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6452B" w14:textId="77777777" w:rsidR="00B85EA4" w:rsidRDefault="00B85EA4" w:rsidP="009D7FBD">
      <w:pPr>
        <w:pStyle w:val="Textoindependiente"/>
        <w:ind w:right="102"/>
        <w:jc w:val="both"/>
        <w:rPr>
          <w:b/>
          <w:color w:val="000000" w:themeColor="text1"/>
        </w:rPr>
      </w:pPr>
      <w:bookmarkStart w:id="0" w:name="_Hlk28946138"/>
      <w:bookmarkStart w:id="1" w:name="_Hlk29548183"/>
    </w:p>
    <w:p w14:paraId="01452655" w14:textId="6027243D" w:rsidR="009D7FBD" w:rsidRPr="004031A8" w:rsidRDefault="009D7FBD" w:rsidP="009D7FBD">
      <w:pPr>
        <w:pStyle w:val="Textoindependiente"/>
        <w:ind w:right="102"/>
        <w:jc w:val="both"/>
        <w:rPr>
          <w:b/>
          <w:color w:val="000000" w:themeColor="text1"/>
        </w:rPr>
      </w:pPr>
      <w:r w:rsidRPr="004031A8">
        <w:rPr>
          <w:b/>
          <w:color w:val="000000" w:themeColor="text1"/>
        </w:rPr>
        <w:t xml:space="preserve">DECRETO 092 DE 2017 – Finalidad – Clases de </w:t>
      </w:r>
      <w:r w:rsidR="0032617F" w:rsidRPr="004031A8">
        <w:rPr>
          <w:b/>
          <w:color w:val="000000" w:themeColor="text1"/>
        </w:rPr>
        <w:t>negocios jurídicos</w:t>
      </w:r>
    </w:p>
    <w:p w14:paraId="54DC3450" w14:textId="77777777" w:rsidR="009D7FBD" w:rsidRPr="005A017A" w:rsidRDefault="009D7FBD" w:rsidP="009D7FBD">
      <w:pPr>
        <w:pStyle w:val="Textoindependiente"/>
        <w:ind w:right="102"/>
        <w:jc w:val="both"/>
        <w:rPr>
          <w:color w:val="000000" w:themeColor="text1"/>
        </w:rPr>
      </w:pPr>
    </w:p>
    <w:p w14:paraId="7FF85C6B" w14:textId="35F69A3B" w:rsidR="009D7FBD" w:rsidRPr="004031A8" w:rsidRDefault="005F6281" w:rsidP="00975518">
      <w:pPr>
        <w:jc w:val="both"/>
        <w:rPr>
          <w:rFonts w:ascii="Arial" w:eastAsia="Arial" w:hAnsi="Arial" w:cs="Arial"/>
          <w:color w:val="000000" w:themeColor="text1"/>
          <w:sz w:val="20"/>
          <w:szCs w:val="20"/>
          <w:lang w:val="es-ES"/>
        </w:rPr>
      </w:pPr>
      <w:r w:rsidRPr="005F6281">
        <w:rPr>
          <w:rFonts w:ascii="Arial" w:eastAsia="Arial" w:hAnsi="Arial" w:cs="Arial"/>
          <w:color w:val="000000" w:themeColor="text1"/>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5F6281">
        <w:rPr>
          <w:rFonts w:ascii="Arial" w:eastAsia="Arial" w:hAnsi="Arial" w:cs="Arial"/>
          <w:color w:val="000000" w:themeColor="text1"/>
          <w:sz w:val="20"/>
          <w:szCs w:val="20"/>
          <w:lang w:val="es-ES"/>
        </w:rPr>
        <w:t>ii</w:t>
      </w:r>
      <w:proofErr w:type="spellEnd"/>
      <w:r w:rsidRPr="005F6281">
        <w:rPr>
          <w:rFonts w:ascii="Arial" w:eastAsia="Arial" w:hAnsi="Arial" w:cs="Arial"/>
          <w:color w:val="000000" w:themeColor="text1"/>
          <w:sz w:val="20"/>
          <w:szCs w:val="20"/>
          <w:lang w:val="es-ES"/>
        </w:rPr>
        <w:t>) los convenios de asociación, para el desarrollo conjunto de actividades relacionadas con las funciones de las entidades estatales, en desarrollo del artículo 96 de la Ley 489 de 1998.</w:t>
      </w:r>
    </w:p>
    <w:p w14:paraId="0A96811E" w14:textId="77777777" w:rsidR="00975518" w:rsidRPr="004031A8" w:rsidRDefault="00975518" w:rsidP="00975518">
      <w:pPr>
        <w:jc w:val="both"/>
        <w:rPr>
          <w:rFonts w:ascii="Arial" w:eastAsia="Calibri" w:hAnsi="Arial" w:cs="Arial"/>
          <w:b/>
          <w:color w:val="000000" w:themeColor="text1"/>
          <w:sz w:val="22"/>
        </w:rPr>
      </w:pPr>
    </w:p>
    <w:p w14:paraId="75FE61D0" w14:textId="4610D497" w:rsidR="009D7FBD" w:rsidRPr="004031A8" w:rsidRDefault="009D7FBD" w:rsidP="009D7FBD">
      <w:pPr>
        <w:jc w:val="both"/>
        <w:rPr>
          <w:rFonts w:ascii="Arial" w:eastAsia="Calibri" w:hAnsi="Arial" w:cs="Arial"/>
          <w:b/>
          <w:color w:val="000000" w:themeColor="text1"/>
          <w:sz w:val="22"/>
        </w:rPr>
      </w:pPr>
      <w:r w:rsidRPr="004031A8">
        <w:rPr>
          <w:rFonts w:ascii="Arial" w:eastAsia="Calibri" w:hAnsi="Arial" w:cs="Arial"/>
          <w:b/>
          <w:color w:val="000000" w:themeColor="text1"/>
          <w:sz w:val="22"/>
        </w:rPr>
        <w:t>CONTRATACIÓN CON ESAL – Contrato</w:t>
      </w:r>
      <w:r w:rsidR="0096367D" w:rsidRPr="004031A8">
        <w:rPr>
          <w:rFonts w:ascii="Arial" w:eastAsia="Calibri" w:hAnsi="Arial" w:cs="Arial"/>
          <w:b/>
          <w:color w:val="000000" w:themeColor="text1"/>
          <w:sz w:val="22"/>
        </w:rPr>
        <w:t xml:space="preserve">s </w:t>
      </w:r>
      <w:r w:rsidRPr="004031A8">
        <w:rPr>
          <w:rFonts w:ascii="Arial" w:eastAsia="Calibri" w:hAnsi="Arial" w:cs="Arial"/>
          <w:b/>
          <w:color w:val="000000" w:themeColor="text1"/>
          <w:sz w:val="22"/>
        </w:rPr>
        <w:t>de colaboración</w:t>
      </w:r>
      <w:r w:rsidR="0096367D" w:rsidRPr="004031A8">
        <w:rPr>
          <w:rFonts w:ascii="Arial" w:eastAsia="Calibri" w:hAnsi="Arial" w:cs="Arial"/>
          <w:b/>
          <w:color w:val="000000" w:themeColor="text1"/>
          <w:sz w:val="22"/>
        </w:rPr>
        <w:t xml:space="preserve"> – Artículo 355</w:t>
      </w:r>
      <w:r w:rsidR="00F41118" w:rsidRPr="004031A8">
        <w:rPr>
          <w:rFonts w:ascii="Arial" w:eastAsia="Calibri" w:hAnsi="Arial" w:cs="Arial"/>
          <w:b/>
          <w:color w:val="000000" w:themeColor="text1"/>
          <w:sz w:val="22"/>
        </w:rPr>
        <w:t xml:space="preserve"> </w:t>
      </w:r>
      <w:r w:rsidR="009F4CA1" w:rsidRPr="004031A8">
        <w:rPr>
          <w:rFonts w:ascii="Arial" w:eastAsia="Calibri" w:hAnsi="Arial" w:cs="Arial"/>
          <w:b/>
          <w:color w:val="000000" w:themeColor="text1"/>
          <w:sz w:val="22"/>
        </w:rPr>
        <w:t>s</w:t>
      </w:r>
      <w:r w:rsidR="00F41118" w:rsidRPr="004031A8">
        <w:rPr>
          <w:rFonts w:ascii="Arial" w:eastAsia="Calibri" w:hAnsi="Arial" w:cs="Arial"/>
          <w:b/>
          <w:color w:val="000000" w:themeColor="text1"/>
          <w:sz w:val="22"/>
        </w:rPr>
        <w:t>uperior</w:t>
      </w:r>
      <w:r w:rsidRPr="004031A8">
        <w:rPr>
          <w:rFonts w:ascii="Arial" w:eastAsia="Calibri" w:hAnsi="Arial" w:cs="Arial"/>
          <w:b/>
          <w:color w:val="000000" w:themeColor="text1"/>
          <w:sz w:val="22"/>
        </w:rPr>
        <w:t xml:space="preserve"> – Objeto – Alcance </w:t>
      </w:r>
    </w:p>
    <w:p w14:paraId="3AFB6CF6" w14:textId="77777777" w:rsidR="009D7FBD" w:rsidRPr="005A017A" w:rsidRDefault="009D7FBD" w:rsidP="009D7FBD">
      <w:pPr>
        <w:jc w:val="both"/>
        <w:rPr>
          <w:rFonts w:ascii="Arial" w:eastAsia="Calibri" w:hAnsi="Arial" w:cs="Arial"/>
          <w:bCs/>
          <w:color w:val="000000" w:themeColor="text1"/>
          <w:sz w:val="22"/>
        </w:rPr>
      </w:pPr>
    </w:p>
    <w:p w14:paraId="5F388C83" w14:textId="27079027" w:rsidR="009D7FBD" w:rsidRPr="004031A8" w:rsidRDefault="005F6281" w:rsidP="009D7FBD">
      <w:pPr>
        <w:jc w:val="both"/>
        <w:rPr>
          <w:rFonts w:ascii="Arial" w:hAnsi="Arial" w:cs="Arial"/>
          <w:color w:val="000000" w:themeColor="text1"/>
          <w:sz w:val="20"/>
          <w:szCs w:val="20"/>
        </w:rPr>
      </w:pPr>
      <w:r w:rsidRPr="005F6281">
        <w:rPr>
          <w:rFonts w:ascii="Arial" w:hAnsi="Arial" w:cs="Arial"/>
          <w:color w:val="000000" w:themeColor="text1"/>
          <w:sz w:val="20"/>
          <w:szCs w:val="20"/>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2C2ADB31" w14:textId="77777777" w:rsidR="00975518" w:rsidRPr="005A017A" w:rsidRDefault="00975518" w:rsidP="009D7FBD">
      <w:pPr>
        <w:jc w:val="both"/>
        <w:rPr>
          <w:rFonts w:ascii="Arial" w:hAnsi="Arial" w:cs="Arial"/>
          <w:color w:val="000000" w:themeColor="text1"/>
          <w:sz w:val="22"/>
        </w:rPr>
      </w:pPr>
    </w:p>
    <w:p w14:paraId="17735CAD" w14:textId="7C67C020" w:rsidR="009D7FBD" w:rsidRPr="004031A8" w:rsidRDefault="009D7FBD" w:rsidP="009D7FBD">
      <w:pPr>
        <w:jc w:val="both"/>
        <w:rPr>
          <w:rFonts w:ascii="Arial" w:eastAsia="Calibri" w:hAnsi="Arial" w:cs="Arial"/>
          <w:b/>
          <w:color w:val="000000" w:themeColor="text1"/>
          <w:sz w:val="22"/>
        </w:rPr>
      </w:pPr>
      <w:r w:rsidRPr="004031A8">
        <w:rPr>
          <w:rFonts w:ascii="Arial" w:eastAsia="Calibri" w:hAnsi="Arial" w:cs="Arial"/>
          <w:b/>
          <w:color w:val="000000" w:themeColor="text1"/>
          <w:sz w:val="22"/>
        </w:rPr>
        <w:t>CONTRATACIÓN CON ESAL – Con</w:t>
      </w:r>
      <w:r w:rsidR="0096367D" w:rsidRPr="004031A8">
        <w:rPr>
          <w:rFonts w:ascii="Arial" w:eastAsia="Calibri" w:hAnsi="Arial" w:cs="Arial"/>
          <w:b/>
          <w:color w:val="000000" w:themeColor="text1"/>
          <w:sz w:val="22"/>
        </w:rPr>
        <w:t>venios</w:t>
      </w:r>
      <w:r w:rsidRPr="004031A8">
        <w:rPr>
          <w:rFonts w:ascii="Arial" w:eastAsia="Calibri" w:hAnsi="Arial" w:cs="Arial"/>
          <w:b/>
          <w:color w:val="000000" w:themeColor="text1"/>
          <w:sz w:val="22"/>
        </w:rPr>
        <w:t xml:space="preserve"> de asociación – Objeto – Alcance</w:t>
      </w:r>
      <w:r w:rsidR="0032617F" w:rsidRPr="004031A8">
        <w:rPr>
          <w:rFonts w:ascii="Arial" w:eastAsia="Calibri" w:hAnsi="Arial" w:cs="Arial"/>
          <w:b/>
          <w:color w:val="000000" w:themeColor="text1"/>
          <w:sz w:val="22"/>
        </w:rPr>
        <w:t xml:space="preserve"> – Aportes</w:t>
      </w:r>
    </w:p>
    <w:p w14:paraId="3FB71F95" w14:textId="77777777" w:rsidR="009D7FBD" w:rsidRPr="004031A8" w:rsidRDefault="009D7FBD" w:rsidP="009D7FBD">
      <w:pPr>
        <w:jc w:val="both"/>
        <w:rPr>
          <w:rFonts w:ascii="Arial" w:eastAsia="Calibri" w:hAnsi="Arial" w:cs="Arial"/>
          <w:b/>
          <w:color w:val="000000" w:themeColor="text1"/>
          <w:sz w:val="22"/>
        </w:rPr>
      </w:pPr>
    </w:p>
    <w:p w14:paraId="0643CEF2" w14:textId="1CA51F68" w:rsidR="009D7FBD" w:rsidRPr="004031A8" w:rsidRDefault="003920BD" w:rsidP="009D7FBD">
      <w:pPr>
        <w:jc w:val="both"/>
        <w:rPr>
          <w:rFonts w:ascii="Arial" w:hAnsi="Arial" w:cs="Arial"/>
          <w:color w:val="000000" w:themeColor="text1"/>
          <w:sz w:val="20"/>
          <w:szCs w:val="20"/>
        </w:rPr>
      </w:pPr>
      <w:r w:rsidRPr="003920BD">
        <w:rPr>
          <w:rFonts w:ascii="Arial" w:hAnsi="Arial" w:cs="Arial"/>
          <w:color w:val="000000" w:themeColor="text1"/>
          <w:sz w:val="20"/>
          <w:szCs w:val="20"/>
        </w:rPr>
        <w:t>De otro lado, los convenios de asociación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w:t>
      </w:r>
      <w:r>
        <w:rPr>
          <w:rFonts w:ascii="Arial" w:hAnsi="Arial" w:cs="Arial"/>
          <w:color w:val="000000" w:themeColor="text1"/>
          <w:sz w:val="20"/>
          <w:szCs w:val="20"/>
        </w:rPr>
        <w:t xml:space="preserve"> </w:t>
      </w:r>
      <w:r w:rsidRPr="003920BD">
        <w:rPr>
          <w:rFonts w:ascii="Arial" w:hAnsi="Arial" w:cs="Arial"/>
          <w:color w:val="000000" w:themeColor="text1"/>
          <w:sz w:val="20"/>
          <w:szCs w:val="20"/>
        </w:rPr>
        <w:t>por tanto, la entidad no instruye al contratista para desarrollar los programas o actividades previstas, sino que se asocia con él para el cumplimiento de objetivos comunes.</w:t>
      </w:r>
    </w:p>
    <w:p w14:paraId="6DCB337C" w14:textId="77777777" w:rsidR="009D7FBD" w:rsidRPr="005A017A" w:rsidRDefault="009D7FBD" w:rsidP="009D7FBD">
      <w:pPr>
        <w:pStyle w:val="Sinespaciado"/>
        <w:jc w:val="both"/>
        <w:rPr>
          <w:rFonts w:ascii="Arial" w:hAnsi="Arial" w:cs="Arial"/>
          <w:color w:val="000000" w:themeColor="text1"/>
          <w:sz w:val="22"/>
        </w:rPr>
      </w:pPr>
    </w:p>
    <w:p w14:paraId="278305B3" w14:textId="77777777" w:rsidR="009D7FBD" w:rsidRPr="004031A8" w:rsidRDefault="009D7FBD" w:rsidP="009D7FBD">
      <w:pPr>
        <w:pStyle w:val="Textoindependiente"/>
        <w:ind w:right="102"/>
        <w:jc w:val="both"/>
        <w:rPr>
          <w:b/>
          <w:bCs/>
          <w:color w:val="000000" w:themeColor="text1"/>
        </w:rPr>
      </w:pPr>
      <w:r w:rsidRPr="004031A8">
        <w:rPr>
          <w:b/>
          <w:bCs/>
          <w:color w:val="000000" w:themeColor="text1"/>
        </w:rPr>
        <w:t>DECRETO 092 DE 2017 – Suspensión Provisional – Artículos suspendidos</w:t>
      </w:r>
    </w:p>
    <w:p w14:paraId="687E5BFF" w14:textId="77777777" w:rsidR="009D7FBD" w:rsidRPr="004031A8" w:rsidRDefault="009D7FBD" w:rsidP="009D7FBD">
      <w:pPr>
        <w:pStyle w:val="Textoindependiente"/>
        <w:ind w:right="102"/>
        <w:jc w:val="both"/>
        <w:rPr>
          <w:b/>
          <w:color w:val="000000" w:themeColor="text1"/>
        </w:rPr>
      </w:pPr>
    </w:p>
    <w:p w14:paraId="529C39C6" w14:textId="6CCE2A7C" w:rsidR="009D7FBD" w:rsidRPr="004031A8" w:rsidRDefault="007345D4" w:rsidP="009D7FBD">
      <w:pPr>
        <w:pStyle w:val="Textoindependiente"/>
        <w:ind w:right="102"/>
        <w:jc w:val="both"/>
        <w:rPr>
          <w:color w:val="000000" w:themeColor="text1"/>
          <w:sz w:val="20"/>
          <w:szCs w:val="20"/>
        </w:rPr>
      </w:pPr>
      <w:r w:rsidRPr="007345D4">
        <w:rPr>
          <w:color w:val="000000" w:themeColor="text1"/>
          <w:sz w:val="20"/>
          <w:szCs w:val="20"/>
        </w:rPr>
        <w:t xml:space="preserve">El Consejo de Estado, en el Auto del 6 de agosto de 2019 de la Sección Tercera, Subsección A, radicado No. 11001-03-26-000-2018-00113-00 (62.003), estudió la solicitud de suspensión provisional del inciso 2 del artículo 1, literales a y c del artículo 2, inciso 5 del artículo 2, inciso 2 del artículo 3, inciso final del artículo 4 y artículo 5 del Decreto 092 de 2017. Ahora bien, cabe precisar, previamente, que las decisiones adoptadas en el auto indicado fueron mantenidas en su mayoría </w:t>
      </w:r>
      <w:r w:rsidRPr="007345D4">
        <w:rPr>
          <w:color w:val="000000" w:themeColor="text1"/>
          <w:sz w:val="20"/>
          <w:szCs w:val="20"/>
        </w:rPr>
        <w:lastRenderedPageBreak/>
        <w:t>en el reciente auto del 15 de marzo de 2022, de la Sala Plena del Consejo de Estado,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w:t>
      </w:r>
      <w:r w:rsidR="009D7FBD" w:rsidRPr="004031A8">
        <w:rPr>
          <w:color w:val="000000" w:themeColor="text1"/>
          <w:sz w:val="20"/>
          <w:szCs w:val="20"/>
        </w:rPr>
        <w:t xml:space="preserve"> […]</w:t>
      </w:r>
    </w:p>
    <w:p w14:paraId="4E614F99" w14:textId="4E53C804" w:rsidR="009D7FBD" w:rsidRPr="004031A8" w:rsidRDefault="00BC359A" w:rsidP="009D7FBD">
      <w:pPr>
        <w:pStyle w:val="Textoindependiente"/>
        <w:ind w:right="102"/>
        <w:jc w:val="both"/>
        <w:rPr>
          <w:color w:val="000000" w:themeColor="text1"/>
          <w:sz w:val="20"/>
          <w:szCs w:val="20"/>
        </w:rPr>
      </w:pPr>
      <w:r>
        <w:rPr>
          <w:color w:val="000000" w:themeColor="text1"/>
          <w:sz w:val="20"/>
          <w:szCs w:val="20"/>
        </w:rPr>
        <w:t>[…]</w:t>
      </w:r>
    </w:p>
    <w:p w14:paraId="0637854A" w14:textId="04ED6292" w:rsidR="009D7FBD" w:rsidRPr="004031A8" w:rsidRDefault="00BC359A" w:rsidP="009D7FBD">
      <w:pPr>
        <w:jc w:val="both"/>
        <w:rPr>
          <w:rFonts w:ascii="Arial" w:eastAsia="Arial" w:hAnsi="Arial" w:cs="Arial"/>
          <w:color w:val="000000" w:themeColor="text1"/>
          <w:sz w:val="20"/>
          <w:szCs w:val="20"/>
          <w:lang w:val="es-ES"/>
        </w:rPr>
      </w:pPr>
      <w:r w:rsidRPr="00BC359A">
        <w:rPr>
          <w:rFonts w:ascii="Arial" w:hAnsi="Arial" w:cs="Arial"/>
          <w:sz w:val="20"/>
          <w:szCs w:val="20"/>
        </w:rPr>
        <w:t xml:space="preserve">Así las cosas, </w:t>
      </w:r>
      <w:r w:rsidRPr="00BC359A">
        <w:rPr>
          <w:rFonts w:ascii="Arial" w:eastAsia="Arial" w:hAnsi="Arial" w:cs="Arial"/>
          <w:color w:val="000000" w:themeColor="text1"/>
          <w:sz w:val="20"/>
          <w:szCs w:val="20"/>
          <w:lang w:val="es-ES"/>
        </w:rPr>
        <w:t>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r>
        <w:rPr>
          <w:rFonts w:ascii="Arial" w:eastAsia="Arial" w:hAnsi="Arial" w:cs="Arial"/>
          <w:color w:val="000000" w:themeColor="text1"/>
          <w:sz w:val="20"/>
          <w:szCs w:val="20"/>
          <w:lang w:val="es-ES"/>
        </w:rPr>
        <w:t>.</w:t>
      </w:r>
      <w:r w:rsidR="009D7FBD" w:rsidRPr="004031A8">
        <w:rPr>
          <w:rFonts w:ascii="Arial" w:eastAsia="Arial" w:hAnsi="Arial" w:cs="Arial"/>
          <w:color w:val="000000" w:themeColor="text1"/>
          <w:sz w:val="20"/>
          <w:szCs w:val="20"/>
          <w:lang w:val="es-ES"/>
        </w:rPr>
        <w:t xml:space="preserve"> […] </w:t>
      </w:r>
    </w:p>
    <w:p w14:paraId="63638E5E" w14:textId="77777777" w:rsidR="00975518" w:rsidRPr="00BC359A" w:rsidRDefault="00975518" w:rsidP="009D7FBD">
      <w:pPr>
        <w:jc w:val="both"/>
        <w:rPr>
          <w:rFonts w:ascii="Arial" w:eastAsia="Arial" w:hAnsi="Arial" w:cs="Arial"/>
          <w:color w:val="000000" w:themeColor="text1"/>
          <w:sz w:val="22"/>
          <w:lang w:val="es-ES"/>
        </w:rPr>
      </w:pPr>
    </w:p>
    <w:p w14:paraId="6A7AB15F" w14:textId="77777777" w:rsidR="009D7FBD" w:rsidRPr="004031A8" w:rsidRDefault="009D7FBD" w:rsidP="009D7FBD">
      <w:pPr>
        <w:jc w:val="both"/>
        <w:rPr>
          <w:rFonts w:ascii="Arial" w:eastAsia="Arial" w:hAnsi="Arial" w:cs="Arial"/>
          <w:b/>
          <w:bCs/>
          <w:color w:val="000000" w:themeColor="text1"/>
          <w:sz w:val="22"/>
          <w:lang w:val="es-ES"/>
        </w:rPr>
      </w:pPr>
      <w:r w:rsidRPr="004031A8">
        <w:rPr>
          <w:rFonts w:ascii="Arial" w:eastAsia="Arial" w:hAnsi="Arial" w:cs="Arial"/>
          <w:b/>
          <w:bCs/>
          <w:color w:val="000000" w:themeColor="text1"/>
          <w:sz w:val="22"/>
          <w:lang w:val="es-ES"/>
        </w:rPr>
        <w:t xml:space="preserve">DECRETO 092 DE 2017 – Normativa vigente </w:t>
      </w:r>
    </w:p>
    <w:p w14:paraId="7FF3806B" w14:textId="77777777" w:rsidR="009D7FBD" w:rsidRPr="004031A8" w:rsidRDefault="009D7FBD" w:rsidP="009D7FBD">
      <w:pPr>
        <w:jc w:val="both"/>
        <w:rPr>
          <w:rFonts w:ascii="Arial" w:eastAsia="Arial" w:hAnsi="Arial" w:cs="Arial"/>
          <w:b/>
          <w:bCs/>
          <w:color w:val="000000" w:themeColor="text1"/>
          <w:sz w:val="22"/>
          <w:lang w:val="es-ES"/>
        </w:rPr>
      </w:pPr>
    </w:p>
    <w:p w14:paraId="01257E45" w14:textId="708DB588" w:rsidR="009D7FBD" w:rsidRPr="004031A8" w:rsidRDefault="005A017A" w:rsidP="009D7FBD">
      <w:pPr>
        <w:jc w:val="both"/>
        <w:rPr>
          <w:rFonts w:ascii="Arial" w:eastAsia="Arial" w:hAnsi="Arial" w:cs="Arial"/>
          <w:b/>
          <w:bCs/>
          <w:color w:val="000000" w:themeColor="text1"/>
          <w:sz w:val="22"/>
          <w:lang w:val="es-ES"/>
        </w:rPr>
      </w:pPr>
      <w:r>
        <w:rPr>
          <w:rFonts w:ascii="Arial" w:hAnsi="Arial" w:cs="Arial"/>
          <w:color w:val="000000" w:themeColor="text1"/>
          <w:sz w:val="20"/>
          <w:szCs w:val="20"/>
        </w:rPr>
        <w:t xml:space="preserve">[…] </w:t>
      </w:r>
      <w:r w:rsidRPr="005A017A">
        <w:rPr>
          <w:rFonts w:ascii="Arial" w:hAnsi="Arial" w:cs="Arial"/>
          <w:color w:val="000000" w:themeColor="text1"/>
          <w:sz w:val="20"/>
          <w:szCs w:val="20"/>
        </w:rPr>
        <w:t>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iv) no puede condicionarse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14:paraId="53524EB3" w14:textId="77777777" w:rsidR="009D7FBD" w:rsidRPr="004031A8" w:rsidRDefault="009D7FBD" w:rsidP="009D7FBD">
      <w:pPr>
        <w:rPr>
          <w:rFonts w:ascii="Arial" w:hAnsi="Arial" w:cs="Arial"/>
          <w:b/>
          <w:color w:val="000000" w:themeColor="text1"/>
          <w:sz w:val="16"/>
          <w:szCs w:val="16"/>
          <w:lang w:eastAsia="es-ES"/>
        </w:rPr>
      </w:pPr>
    </w:p>
    <w:p w14:paraId="3FAD954B" w14:textId="1A1E863A" w:rsidR="00CF2D16" w:rsidRPr="004031A8" w:rsidRDefault="00CF2D16">
      <w:pPr>
        <w:spacing w:after="200" w:line="276" w:lineRule="auto"/>
        <w:rPr>
          <w:rFonts w:ascii="Arial" w:hAnsi="Arial" w:cs="Arial"/>
          <w:b/>
          <w:color w:val="000000" w:themeColor="text1"/>
          <w:sz w:val="16"/>
          <w:szCs w:val="16"/>
          <w:lang w:eastAsia="es-ES"/>
        </w:rPr>
      </w:pPr>
      <w:r w:rsidRPr="004031A8">
        <w:rPr>
          <w:rFonts w:ascii="Arial" w:hAnsi="Arial" w:cs="Arial"/>
          <w:b/>
          <w:color w:val="000000" w:themeColor="text1"/>
          <w:sz w:val="16"/>
          <w:szCs w:val="16"/>
          <w:lang w:eastAsia="es-ES"/>
        </w:rPr>
        <w:br w:type="page"/>
      </w:r>
    </w:p>
    <w:p w14:paraId="20101A7E" w14:textId="77777777" w:rsidR="009D7FBD" w:rsidRPr="004031A8" w:rsidRDefault="009D7FBD" w:rsidP="00C62A49">
      <w:pPr>
        <w:jc w:val="right"/>
        <w:rPr>
          <w:rFonts w:ascii="Arial" w:hAnsi="Arial" w:cs="Arial"/>
          <w:b/>
          <w:color w:val="000000" w:themeColor="text1"/>
          <w:sz w:val="16"/>
          <w:szCs w:val="16"/>
          <w:lang w:eastAsia="es-ES"/>
        </w:rPr>
      </w:pPr>
    </w:p>
    <w:p w14:paraId="182E957B" w14:textId="17A21287" w:rsidR="0034177C" w:rsidRPr="004031A8" w:rsidRDefault="009F59C2" w:rsidP="00C62A49">
      <w:pPr>
        <w:jc w:val="right"/>
        <w:rPr>
          <w:rFonts w:ascii="Arial" w:hAnsi="Arial" w:cs="Arial"/>
          <w:b/>
          <w:color w:val="000000" w:themeColor="text1"/>
          <w:sz w:val="16"/>
          <w:szCs w:val="16"/>
          <w:lang w:eastAsia="es-ES"/>
        </w:rPr>
      </w:pPr>
      <w:r w:rsidRPr="004031A8">
        <w:rPr>
          <w:rFonts w:ascii="Arial" w:hAnsi="Arial" w:cs="Arial"/>
          <w:b/>
          <w:color w:val="000000" w:themeColor="text1"/>
          <w:sz w:val="16"/>
          <w:szCs w:val="16"/>
          <w:lang w:eastAsia="es-ES"/>
        </w:rPr>
        <w:tab/>
      </w:r>
      <w:r w:rsidR="0034177C" w:rsidRPr="004031A8">
        <w:rPr>
          <w:rFonts w:ascii="Arial" w:hAnsi="Arial" w:cs="Arial"/>
          <w:b/>
          <w:color w:val="000000" w:themeColor="text1"/>
          <w:sz w:val="16"/>
          <w:szCs w:val="16"/>
          <w:lang w:eastAsia="es-ES"/>
        </w:rPr>
        <w:t>CCE-DES-FM-17</w:t>
      </w:r>
    </w:p>
    <w:p w14:paraId="33FF83A2" w14:textId="648AD7D1" w:rsidR="0034177C" w:rsidRPr="004031A8" w:rsidRDefault="0034177C" w:rsidP="00C62A49">
      <w:pPr>
        <w:jc w:val="both"/>
        <w:rPr>
          <w:rFonts w:ascii="Arial" w:eastAsia="Calibri" w:hAnsi="Arial" w:cs="Arial"/>
          <w:b/>
          <w:color w:val="000000" w:themeColor="text1"/>
          <w:sz w:val="16"/>
          <w:szCs w:val="16"/>
        </w:rPr>
      </w:pPr>
    </w:p>
    <w:p w14:paraId="7DF053E9" w14:textId="77777777" w:rsidR="009D7FBD" w:rsidRPr="004031A8" w:rsidRDefault="009D7FBD" w:rsidP="006626D4">
      <w:pPr>
        <w:pStyle w:val="Default"/>
        <w:rPr>
          <w:color w:val="000000" w:themeColor="text1"/>
          <w:sz w:val="22"/>
          <w:szCs w:val="22"/>
        </w:rPr>
      </w:pPr>
    </w:p>
    <w:p w14:paraId="0DA2CEBD" w14:textId="56F8365B" w:rsidR="008F5656" w:rsidRPr="004031A8" w:rsidRDefault="008F5656" w:rsidP="0DDCC654">
      <w:pPr>
        <w:jc w:val="right"/>
        <w:rPr>
          <w:szCs w:val="24"/>
        </w:rPr>
      </w:pPr>
    </w:p>
    <w:p w14:paraId="0B4A173B" w14:textId="77777777" w:rsidR="00DE3329" w:rsidRPr="004031A8" w:rsidRDefault="00DE3329" w:rsidP="0DDCC654">
      <w:pPr>
        <w:jc w:val="right"/>
        <w:rPr>
          <w:szCs w:val="24"/>
        </w:rPr>
      </w:pPr>
    </w:p>
    <w:p w14:paraId="6124AC70" w14:textId="2725B71D" w:rsidR="00DE3329" w:rsidRPr="004031A8" w:rsidRDefault="003F6C68" w:rsidP="003F6C68">
      <w:pPr>
        <w:jc w:val="right"/>
        <w:rPr>
          <w:rFonts w:ascii="Arial" w:eastAsia="Calibri" w:hAnsi="Arial" w:cs="Arial"/>
          <w:color w:val="000000" w:themeColor="text1"/>
          <w:sz w:val="22"/>
        </w:rPr>
      </w:pPr>
      <w:r>
        <w:rPr>
          <w:rFonts w:ascii="Arial" w:eastAsia="Calibri" w:hAnsi="Arial" w:cs="Arial"/>
          <w:noProof/>
          <w:color w:val="000000" w:themeColor="text1"/>
          <w:sz w:val="22"/>
        </w:rPr>
        <w:drawing>
          <wp:inline distT="0" distB="0" distL="0" distR="0" wp14:anchorId="6CEE9A0A" wp14:editId="1A06F9B6">
            <wp:extent cx="2870144" cy="761985"/>
            <wp:effectExtent l="0" t="0" r="6985" b="635"/>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2910989" cy="772829"/>
                    </a:xfrm>
                    <a:prstGeom prst="rect">
                      <a:avLst/>
                    </a:prstGeom>
                  </pic:spPr>
                </pic:pic>
              </a:graphicData>
            </a:graphic>
          </wp:inline>
        </w:drawing>
      </w:r>
    </w:p>
    <w:p w14:paraId="465A72F5" w14:textId="77777777" w:rsidR="003F6C68" w:rsidRDefault="003F6C68" w:rsidP="00C133B6">
      <w:pPr>
        <w:rPr>
          <w:rFonts w:ascii="Arial" w:eastAsia="Calibri" w:hAnsi="Arial" w:cs="Arial"/>
          <w:color w:val="000000" w:themeColor="text1"/>
          <w:sz w:val="22"/>
        </w:rPr>
      </w:pPr>
    </w:p>
    <w:p w14:paraId="464D1D6C" w14:textId="18A67EC8" w:rsidR="00C133B6" w:rsidRPr="004031A8" w:rsidRDefault="00DE3329" w:rsidP="00C133B6">
      <w:pPr>
        <w:rPr>
          <w:rFonts w:ascii="Arial" w:eastAsia="Calibri" w:hAnsi="Arial" w:cs="Arial"/>
          <w:color w:val="000000" w:themeColor="text1"/>
          <w:sz w:val="22"/>
        </w:rPr>
      </w:pPr>
      <w:r w:rsidRPr="004031A8">
        <w:rPr>
          <w:rFonts w:ascii="Arial" w:eastAsia="Calibri" w:hAnsi="Arial" w:cs="Arial"/>
          <w:color w:val="000000" w:themeColor="text1"/>
          <w:sz w:val="22"/>
        </w:rPr>
        <w:t>Señor(a)</w:t>
      </w:r>
    </w:p>
    <w:p w14:paraId="176E8736" w14:textId="2C0A521D" w:rsidR="00C133B6" w:rsidRPr="004031A8" w:rsidRDefault="00C2732A" w:rsidP="00C133B6">
      <w:pPr>
        <w:rPr>
          <w:rFonts w:ascii="Arial" w:eastAsia="Calibri" w:hAnsi="Arial" w:cs="Arial"/>
          <w:b/>
          <w:color w:val="000000" w:themeColor="text1"/>
          <w:sz w:val="22"/>
        </w:rPr>
      </w:pPr>
      <w:r w:rsidRPr="004031A8">
        <w:rPr>
          <w:rFonts w:ascii="Arial" w:eastAsia="Calibri" w:hAnsi="Arial" w:cs="Arial"/>
          <w:b/>
          <w:color w:val="000000" w:themeColor="text1"/>
          <w:sz w:val="22"/>
        </w:rPr>
        <w:t>Ciudadano(a) anónimo(a)</w:t>
      </w:r>
    </w:p>
    <w:p w14:paraId="0645E755" w14:textId="2AFAD56E" w:rsidR="00C133B6" w:rsidRPr="004031A8" w:rsidRDefault="00C2732A" w:rsidP="00C133B6">
      <w:pPr>
        <w:rPr>
          <w:rFonts w:ascii="Arial" w:eastAsia="Calibri" w:hAnsi="Arial" w:cs="Arial"/>
          <w:bCs/>
          <w:color w:val="000000" w:themeColor="text1"/>
          <w:sz w:val="22"/>
        </w:rPr>
      </w:pPr>
      <w:r w:rsidRPr="004031A8">
        <w:rPr>
          <w:rFonts w:ascii="Arial" w:eastAsia="Calibri" w:hAnsi="Arial" w:cs="Arial"/>
          <w:bCs/>
          <w:color w:val="000000" w:themeColor="text1"/>
          <w:sz w:val="22"/>
        </w:rPr>
        <w:t>Ciudad</w:t>
      </w:r>
    </w:p>
    <w:p w14:paraId="42C84AA5" w14:textId="77777777" w:rsidR="00C133B6" w:rsidRPr="004031A8" w:rsidRDefault="00C133B6" w:rsidP="00C133B6">
      <w:pPr>
        <w:rPr>
          <w:rFonts w:ascii="Arial" w:eastAsia="Calibri" w:hAnsi="Arial" w:cs="Arial"/>
          <w:bCs/>
          <w:color w:val="000000" w:themeColor="text1"/>
          <w:sz w:val="22"/>
        </w:rPr>
      </w:pPr>
    </w:p>
    <w:p w14:paraId="18E48093" w14:textId="77777777" w:rsidR="00C133B6" w:rsidRPr="004031A8" w:rsidRDefault="00C133B6" w:rsidP="00C133B6">
      <w:pPr>
        <w:rPr>
          <w:rFonts w:ascii="Arial" w:eastAsia="Calibri" w:hAnsi="Arial" w:cs="Arial"/>
          <w:bCs/>
          <w:color w:val="000000" w:themeColor="text1"/>
          <w:sz w:val="22"/>
        </w:rPr>
      </w:pPr>
    </w:p>
    <w:p w14:paraId="112538B5" w14:textId="2E6FC124" w:rsidR="00C133B6" w:rsidRPr="004031A8" w:rsidRDefault="00C133B6" w:rsidP="00C133B6">
      <w:pPr>
        <w:ind w:firstLine="2694"/>
        <w:rPr>
          <w:rFonts w:ascii="Arial" w:eastAsia="Calibri" w:hAnsi="Arial" w:cs="Arial"/>
          <w:b/>
          <w:color w:val="000000" w:themeColor="text1"/>
          <w:sz w:val="22"/>
        </w:rPr>
      </w:pPr>
      <w:r w:rsidRPr="004031A8">
        <w:rPr>
          <w:rFonts w:ascii="Arial" w:eastAsia="Calibri" w:hAnsi="Arial" w:cs="Arial"/>
          <w:b/>
          <w:color w:val="000000" w:themeColor="text1"/>
          <w:sz w:val="22"/>
        </w:rPr>
        <w:t xml:space="preserve">Concepto C – </w:t>
      </w:r>
      <w:r w:rsidR="00DE3329" w:rsidRPr="004031A8">
        <w:rPr>
          <w:rFonts w:ascii="Arial" w:eastAsia="Calibri" w:hAnsi="Arial" w:cs="Arial"/>
          <w:b/>
          <w:color w:val="000000" w:themeColor="text1"/>
          <w:sz w:val="22"/>
        </w:rPr>
        <w:t>236</w:t>
      </w:r>
      <w:r w:rsidRPr="004031A8">
        <w:rPr>
          <w:rFonts w:ascii="Arial" w:eastAsia="Calibri" w:hAnsi="Arial" w:cs="Arial"/>
          <w:b/>
          <w:color w:val="000000" w:themeColor="text1"/>
          <w:sz w:val="22"/>
        </w:rPr>
        <w:t xml:space="preserve"> de 2022</w:t>
      </w:r>
    </w:p>
    <w:p w14:paraId="5BFD3F29" w14:textId="77777777" w:rsidR="00C133B6" w:rsidRPr="004031A8" w:rsidRDefault="00C133B6" w:rsidP="00C133B6">
      <w:pPr>
        <w:rPr>
          <w:rFonts w:ascii="Arial" w:eastAsia="Calibri" w:hAnsi="Arial" w:cs="Arial"/>
          <w:color w:val="000000" w:themeColor="text1"/>
          <w:sz w:val="22"/>
        </w:rPr>
      </w:pPr>
    </w:p>
    <w:tbl>
      <w:tblPr>
        <w:tblStyle w:val="Tablaconcuadrcula"/>
        <w:tblW w:w="8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51"/>
        <w:gridCol w:w="6149"/>
      </w:tblGrid>
      <w:tr w:rsidR="00C133B6" w:rsidRPr="004031A8" w14:paraId="06691F2C" w14:textId="77777777" w:rsidTr="00A53405">
        <w:trPr>
          <w:trHeight w:val="1688"/>
        </w:trPr>
        <w:tc>
          <w:tcPr>
            <w:tcW w:w="2651" w:type="dxa"/>
            <w:hideMark/>
          </w:tcPr>
          <w:p w14:paraId="1D6CE5B5" w14:textId="3B3471CF" w:rsidR="00C133B6" w:rsidRPr="004031A8" w:rsidRDefault="00C133B6" w:rsidP="00A53405">
            <w:pPr>
              <w:rPr>
                <w:rFonts w:ascii="Arial" w:eastAsia="Calibri" w:hAnsi="Arial" w:cs="Arial"/>
                <w:color w:val="000000" w:themeColor="text1"/>
                <w:sz w:val="22"/>
              </w:rPr>
            </w:pPr>
            <w:r w:rsidRPr="004031A8">
              <w:rPr>
                <w:rFonts w:ascii="Arial" w:eastAsia="Calibri" w:hAnsi="Arial" w:cs="Arial"/>
                <w:b/>
                <w:color w:val="000000" w:themeColor="text1"/>
                <w:sz w:val="22"/>
              </w:rPr>
              <w:t>Temas:</w:t>
            </w:r>
            <w:r w:rsidR="00AA77EE" w:rsidRPr="004031A8">
              <w:rPr>
                <w:rFonts w:ascii="Arial" w:eastAsia="Calibri" w:hAnsi="Arial" w:cs="Arial"/>
                <w:color w:val="000000" w:themeColor="text1"/>
                <w:sz w:val="22"/>
              </w:rPr>
              <w:t xml:space="preserve">     </w:t>
            </w:r>
          </w:p>
          <w:p w14:paraId="75B5141D" w14:textId="44FB8874" w:rsidR="00C133B6" w:rsidRPr="004031A8" w:rsidRDefault="00AA77EE" w:rsidP="00A53405">
            <w:pPr>
              <w:rPr>
                <w:rFonts w:ascii="Arial" w:eastAsia="Calibri" w:hAnsi="Arial" w:cs="Arial"/>
                <w:color w:val="000000" w:themeColor="text1"/>
                <w:sz w:val="22"/>
              </w:rPr>
            </w:pPr>
            <w:r w:rsidRPr="004031A8">
              <w:rPr>
                <w:rFonts w:ascii="Arial" w:eastAsia="Calibri" w:hAnsi="Arial" w:cs="Arial"/>
                <w:color w:val="000000" w:themeColor="text1"/>
                <w:sz w:val="22"/>
              </w:rPr>
              <w:t xml:space="preserve">             </w:t>
            </w:r>
          </w:p>
        </w:tc>
        <w:tc>
          <w:tcPr>
            <w:tcW w:w="6149" w:type="dxa"/>
            <w:hideMark/>
          </w:tcPr>
          <w:p w14:paraId="3ED181B0" w14:textId="645F12CF" w:rsidR="00C133B6" w:rsidRPr="004031A8" w:rsidRDefault="00C133B6" w:rsidP="00A53405">
            <w:pPr>
              <w:pStyle w:val="Textoindependiente"/>
              <w:spacing w:after="120"/>
              <w:ind w:right="102"/>
              <w:jc w:val="both"/>
              <w:rPr>
                <w:bCs/>
                <w:color w:val="000000" w:themeColor="text1"/>
              </w:rPr>
            </w:pPr>
            <w:r w:rsidRPr="004031A8">
              <w:rPr>
                <w:bCs/>
                <w:color w:val="000000" w:themeColor="text1"/>
              </w:rPr>
              <w:t>DECRETO 092 DE 2017 – Finalidad</w:t>
            </w:r>
            <w:r w:rsidR="0032617F" w:rsidRPr="004031A8">
              <w:rPr>
                <w:bCs/>
                <w:color w:val="000000" w:themeColor="text1"/>
              </w:rPr>
              <w:t xml:space="preserve"> – Clases de negocios jurídicos / CONTRATACIÓN CON ESAL – Contratos de colaboración – Artículo 355 superior – Objeto – Alcance / CONTRATACIÓN CON ESAL – Convenios de asociación – Objeto – Alcance – Aportes / </w:t>
            </w:r>
            <w:r w:rsidR="00C42AD7" w:rsidRPr="004031A8">
              <w:rPr>
                <w:bCs/>
                <w:color w:val="000000" w:themeColor="text1"/>
              </w:rPr>
              <w:t>DECRETO 092 DE 2017 – Suspensión Provisional – Artículos suspendidos / DECRETO 092 DE 2017 – Normativa vigente</w:t>
            </w:r>
          </w:p>
        </w:tc>
      </w:tr>
      <w:tr w:rsidR="00C133B6" w:rsidRPr="004031A8" w14:paraId="1B6E3C33" w14:textId="77777777" w:rsidTr="00A53405">
        <w:trPr>
          <w:trHeight w:val="256"/>
        </w:trPr>
        <w:tc>
          <w:tcPr>
            <w:tcW w:w="2651" w:type="dxa"/>
          </w:tcPr>
          <w:p w14:paraId="09DD937C" w14:textId="7CCD82AD" w:rsidR="00C133B6" w:rsidRPr="004031A8" w:rsidRDefault="00C133B6" w:rsidP="00A53405">
            <w:pPr>
              <w:rPr>
                <w:rFonts w:ascii="Arial" w:eastAsia="Calibri" w:hAnsi="Arial" w:cs="Arial"/>
                <w:b/>
                <w:color w:val="000000" w:themeColor="text1"/>
                <w:sz w:val="22"/>
              </w:rPr>
            </w:pPr>
            <w:r w:rsidRPr="004031A8">
              <w:rPr>
                <w:rFonts w:ascii="Arial" w:eastAsia="Calibri" w:hAnsi="Arial" w:cs="Arial"/>
                <w:b/>
                <w:color w:val="000000" w:themeColor="text1"/>
                <w:sz w:val="22"/>
              </w:rPr>
              <w:t>Radicación:</w:t>
            </w:r>
            <w:r w:rsidR="00AA77EE" w:rsidRPr="004031A8">
              <w:rPr>
                <w:rFonts w:ascii="Arial" w:eastAsia="Calibri" w:hAnsi="Arial" w:cs="Arial"/>
                <w:color w:val="000000" w:themeColor="text1"/>
                <w:sz w:val="22"/>
              </w:rPr>
              <w:t xml:space="preserve">               </w:t>
            </w:r>
          </w:p>
        </w:tc>
        <w:tc>
          <w:tcPr>
            <w:tcW w:w="6149" w:type="dxa"/>
          </w:tcPr>
          <w:p w14:paraId="146FADE1" w14:textId="17FDFA7B" w:rsidR="00C133B6" w:rsidRPr="004031A8" w:rsidRDefault="00C133B6" w:rsidP="00A53405">
            <w:pPr>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Respuesta a consulta </w:t>
            </w:r>
            <w:r w:rsidR="00DE3329" w:rsidRPr="004031A8">
              <w:rPr>
                <w:rFonts w:ascii="Arial" w:eastAsia="Calibri" w:hAnsi="Arial" w:cs="Arial"/>
                <w:color w:val="000000" w:themeColor="text1"/>
                <w:sz w:val="22"/>
              </w:rPr>
              <w:t>P20220311002490</w:t>
            </w:r>
          </w:p>
        </w:tc>
      </w:tr>
    </w:tbl>
    <w:p w14:paraId="6F08317D" w14:textId="77777777" w:rsidR="00C133B6" w:rsidRPr="004031A8" w:rsidRDefault="00C133B6" w:rsidP="00C133B6">
      <w:pPr>
        <w:rPr>
          <w:rFonts w:ascii="Arial" w:eastAsia="Calibri" w:hAnsi="Arial" w:cs="Arial"/>
          <w:color w:val="000000" w:themeColor="text1"/>
          <w:sz w:val="22"/>
        </w:rPr>
      </w:pPr>
    </w:p>
    <w:p w14:paraId="285F74C2" w14:textId="77777777" w:rsidR="00C133B6" w:rsidRPr="004031A8" w:rsidRDefault="00C133B6" w:rsidP="00C133B6">
      <w:pPr>
        <w:rPr>
          <w:rFonts w:ascii="Arial" w:eastAsia="Calibri" w:hAnsi="Arial" w:cs="Arial"/>
          <w:color w:val="000000" w:themeColor="text1"/>
          <w:sz w:val="22"/>
        </w:rPr>
      </w:pPr>
    </w:p>
    <w:p w14:paraId="710F0320" w14:textId="3AEE0505" w:rsidR="00C133B6" w:rsidRPr="004031A8" w:rsidRDefault="00C133B6" w:rsidP="00C133B6">
      <w:pPr>
        <w:rPr>
          <w:rFonts w:ascii="Arial" w:eastAsia="Calibri" w:hAnsi="Arial" w:cs="Arial"/>
          <w:color w:val="000000" w:themeColor="text1"/>
          <w:sz w:val="22"/>
        </w:rPr>
      </w:pPr>
      <w:r w:rsidRPr="004031A8">
        <w:rPr>
          <w:rFonts w:ascii="Arial" w:eastAsia="Calibri" w:hAnsi="Arial" w:cs="Arial"/>
          <w:color w:val="000000" w:themeColor="text1"/>
          <w:sz w:val="22"/>
        </w:rPr>
        <w:t>Estimado</w:t>
      </w:r>
      <w:r w:rsidR="0057025A" w:rsidRPr="004031A8">
        <w:rPr>
          <w:rFonts w:ascii="Arial" w:eastAsia="Calibri" w:hAnsi="Arial" w:cs="Arial"/>
          <w:color w:val="000000" w:themeColor="text1"/>
          <w:sz w:val="22"/>
        </w:rPr>
        <w:t>(a) señor(a)</w:t>
      </w:r>
      <w:r w:rsidRPr="004031A8">
        <w:rPr>
          <w:rFonts w:ascii="Arial" w:eastAsia="Calibri" w:hAnsi="Arial" w:cs="Arial"/>
          <w:color w:val="000000" w:themeColor="text1"/>
          <w:sz w:val="22"/>
        </w:rPr>
        <w:t>,</w:t>
      </w:r>
    </w:p>
    <w:p w14:paraId="67F7DBDB" w14:textId="77777777" w:rsidR="00C133B6" w:rsidRPr="004031A8" w:rsidRDefault="00C133B6" w:rsidP="00C133B6">
      <w:pPr>
        <w:rPr>
          <w:rFonts w:ascii="Arial" w:eastAsia="Calibri" w:hAnsi="Arial" w:cs="Arial"/>
          <w:color w:val="000000" w:themeColor="text1"/>
          <w:sz w:val="22"/>
        </w:rPr>
      </w:pPr>
    </w:p>
    <w:p w14:paraId="2ABA5CDE" w14:textId="731B1524" w:rsidR="00C133B6" w:rsidRPr="004031A8" w:rsidRDefault="00C133B6" w:rsidP="00C133B6">
      <w:pPr>
        <w:spacing w:line="276" w:lineRule="auto"/>
        <w:jc w:val="both"/>
        <w:rPr>
          <w:rFonts w:ascii="Arial" w:eastAsia="Calibri" w:hAnsi="Arial" w:cs="Arial"/>
          <w:color w:val="000000" w:themeColor="text1"/>
          <w:sz w:val="22"/>
        </w:rPr>
      </w:pPr>
      <w:r w:rsidRPr="004031A8">
        <w:rPr>
          <w:rFonts w:ascii="Arial" w:eastAsia="Calibri" w:hAnsi="Arial" w:cs="Arial"/>
          <w:color w:val="000000" w:themeColor="text1"/>
          <w:sz w:val="22"/>
        </w:rPr>
        <w:t>En ejercicio de la competencia otorgada por los artículos 11, numeral 8º, y 3º, numeral 5º, del Decreto Ley 4170 de 2011, la Agencia Nacional de Contratación Pública</w:t>
      </w:r>
      <w:r w:rsidR="005E2AEB" w:rsidRPr="004031A8">
        <w:rPr>
          <w:rFonts w:ascii="Arial" w:eastAsia="Calibri" w:hAnsi="Arial" w:cs="Arial"/>
          <w:color w:val="000000" w:themeColor="text1"/>
          <w:sz w:val="22"/>
        </w:rPr>
        <w:t xml:space="preserve"> – </w:t>
      </w:r>
      <w:r w:rsidRPr="004031A8">
        <w:rPr>
          <w:rFonts w:ascii="Arial" w:eastAsia="Calibri" w:hAnsi="Arial" w:cs="Arial"/>
          <w:color w:val="000000" w:themeColor="text1"/>
          <w:sz w:val="22"/>
        </w:rPr>
        <w:t xml:space="preserve">Colombia Compra Eficiente responde su consulta del 11 de </w:t>
      </w:r>
      <w:r w:rsidR="00C2732A" w:rsidRPr="004031A8">
        <w:rPr>
          <w:rFonts w:ascii="Arial" w:eastAsia="Calibri" w:hAnsi="Arial" w:cs="Arial"/>
          <w:color w:val="000000" w:themeColor="text1"/>
          <w:sz w:val="22"/>
        </w:rPr>
        <w:t>marzo</w:t>
      </w:r>
      <w:r w:rsidRPr="004031A8">
        <w:rPr>
          <w:rFonts w:ascii="Arial" w:eastAsia="Calibri" w:hAnsi="Arial" w:cs="Arial"/>
          <w:color w:val="000000" w:themeColor="text1"/>
          <w:sz w:val="22"/>
        </w:rPr>
        <w:t xml:space="preserve"> de 2022. </w:t>
      </w:r>
    </w:p>
    <w:p w14:paraId="4A89713C" w14:textId="77777777" w:rsidR="00C133B6" w:rsidRPr="004031A8" w:rsidRDefault="00C133B6" w:rsidP="00C133B6">
      <w:pPr>
        <w:spacing w:line="276" w:lineRule="auto"/>
        <w:jc w:val="both"/>
        <w:rPr>
          <w:rFonts w:ascii="Arial" w:eastAsia="Calibri" w:hAnsi="Arial" w:cs="Arial"/>
          <w:color w:val="000000" w:themeColor="text1"/>
          <w:sz w:val="22"/>
        </w:rPr>
      </w:pPr>
    </w:p>
    <w:p w14:paraId="15C9FAAB" w14:textId="77777777" w:rsidR="00C133B6" w:rsidRPr="004031A8" w:rsidRDefault="00C133B6" w:rsidP="00C133B6">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4031A8">
        <w:rPr>
          <w:rFonts w:ascii="Arial" w:eastAsia="Calibri" w:hAnsi="Arial" w:cs="Arial"/>
          <w:b/>
          <w:color w:val="000000" w:themeColor="text1"/>
          <w:sz w:val="22"/>
        </w:rPr>
        <w:t xml:space="preserve">Problemas planteados </w:t>
      </w:r>
    </w:p>
    <w:p w14:paraId="00A22CDE" w14:textId="77777777" w:rsidR="00C133B6" w:rsidRPr="004031A8" w:rsidRDefault="00C133B6" w:rsidP="00C133B6">
      <w:pPr>
        <w:tabs>
          <w:tab w:val="left" w:pos="426"/>
        </w:tabs>
        <w:spacing w:line="276" w:lineRule="auto"/>
        <w:jc w:val="both"/>
        <w:rPr>
          <w:rFonts w:ascii="Arial" w:eastAsia="Calibri" w:hAnsi="Arial" w:cs="Arial"/>
          <w:b/>
          <w:color w:val="000000" w:themeColor="text1"/>
          <w:sz w:val="22"/>
        </w:rPr>
      </w:pPr>
    </w:p>
    <w:p w14:paraId="1270B99C" w14:textId="77777777" w:rsidR="00013B26" w:rsidRPr="004031A8" w:rsidRDefault="00C133B6" w:rsidP="00C133B6">
      <w:pPr>
        <w:tabs>
          <w:tab w:val="left" w:pos="426"/>
        </w:tabs>
        <w:spacing w:line="276" w:lineRule="auto"/>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Usted realiza las siguientes preguntas: </w:t>
      </w:r>
      <w:bookmarkStart w:id="2" w:name="_Hlk96419248"/>
    </w:p>
    <w:p w14:paraId="0F3B85F3" w14:textId="77777777" w:rsidR="00013B26" w:rsidRPr="004031A8" w:rsidRDefault="00013B26" w:rsidP="00C133B6">
      <w:pPr>
        <w:tabs>
          <w:tab w:val="left" w:pos="426"/>
        </w:tabs>
        <w:spacing w:line="276" w:lineRule="auto"/>
        <w:jc w:val="both"/>
        <w:rPr>
          <w:rFonts w:ascii="Arial" w:eastAsia="Calibri" w:hAnsi="Arial" w:cs="Arial"/>
          <w:color w:val="000000" w:themeColor="text1"/>
          <w:sz w:val="22"/>
        </w:rPr>
      </w:pPr>
    </w:p>
    <w:p w14:paraId="69FEFF7B" w14:textId="5D4728A1" w:rsidR="00013B26" w:rsidRPr="004031A8" w:rsidRDefault="00013B26" w:rsidP="00662852">
      <w:pPr>
        <w:tabs>
          <w:tab w:val="left" w:pos="426"/>
        </w:tabs>
        <w:ind w:left="709"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i) «[¿]Que [sic] es y en que [sic] consiste un proceso competitivo en el marco del Decreto 092 de 2017?</w:t>
      </w:r>
      <w:r w:rsidR="00662852" w:rsidRPr="004031A8">
        <w:rPr>
          <w:rFonts w:ascii="Arial" w:eastAsia="Calibri" w:hAnsi="Arial" w:cs="Arial"/>
          <w:color w:val="000000" w:themeColor="text1"/>
          <w:sz w:val="21"/>
          <w:szCs w:val="21"/>
        </w:rPr>
        <w:t>»</w:t>
      </w:r>
    </w:p>
    <w:p w14:paraId="74BF7E4A" w14:textId="715CCA33" w:rsidR="00013B26" w:rsidRPr="004031A8" w:rsidRDefault="00013B26" w:rsidP="00662852">
      <w:pPr>
        <w:tabs>
          <w:tab w:val="left" w:pos="426"/>
        </w:tabs>
        <w:ind w:left="709" w:right="709"/>
        <w:jc w:val="both"/>
        <w:rPr>
          <w:rFonts w:ascii="Arial" w:eastAsia="Calibri" w:hAnsi="Arial" w:cs="Arial"/>
          <w:color w:val="000000" w:themeColor="text1"/>
          <w:sz w:val="21"/>
          <w:szCs w:val="21"/>
        </w:rPr>
      </w:pPr>
    </w:p>
    <w:p w14:paraId="0FC60755" w14:textId="2600D491" w:rsidR="00013B26" w:rsidRPr="004031A8" w:rsidRDefault="00013B26" w:rsidP="00662852">
      <w:pPr>
        <w:tabs>
          <w:tab w:val="left" w:pos="426"/>
        </w:tabs>
        <w:ind w:left="709"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 xml:space="preserve">ii) </w:t>
      </w:r>
      <w:r w:rsidR="00662852" w:rsidRPr="004031A8">
        <w:rPr>
          <w:rFonts w:ascii="Arial" w:eastAsia="Calibri" w:hAnsi="Arial" w:cs="Arial"/>
          <w:color w:val="000000" w:themeColor="text1"/>
          <w:sz w:val="21"/>
          <w:szCs w:val="21"/>
        </w:rPr>
        <w:t>«</w:t>
      </w:r>
      <w:r w:rsidRPr="004031A8">
        <w:rPr>
          <w:rFonts w:ascii="Arial" w:eastAsia="Calibri" w:hAnsi="Arial" w:cs="Arial"/>
          <w:color w:val="000000" w:themeColor="text1"/>
          <w:sz w:val="21"/>
          <w:szCs w:val="21"/>
        </w:rPr>
        <w:t>[¿]Cuáles son las etapas mínimas que debe contemplar un proceso competitivo en el marco del Decreto 092 de 2017?</w:t>
      </w:r>
      <w:r w:rsidR="00662852" w:rsidRPr="004031A8">
        <w:rPr>
          <w:rFonts w:ascii="Arial" w:eastAsia="Calibri" w:hAnsi="Arial" w:cs="Arial"/>
          <w:color w:val="000000" w:themeColor="text1"/>
          <w:sz w:val="21"/>
          <w:szCs w:val="21"/>
        </w:rPr>
        <w:t>»</w:t>
      </w:r>
    </w:p>
    <w:p w14:paraId="78A9EFC2" w14:textId="2A5FDF9D" w:rsidR="00013B26" w:rsidRPr="004031A8" w:rsidRDefault="00013B26" w:rsidP="00662852">
      <w:pPr>
        <w:tabs>
          <w:tab w:val="left" w:pos="426"/>
        </w:tabs>
        <w:ind w:left="709" w:right="709"/>
        <w:jc w:val="both"/>
        <w:rPr>
          <w:rFonts w:ascii="Arial" w:eastAsia="Calibri" w:hAnsi="Arial" w:cs="Arial"/>
          <w:color w:val="000000" w:themeColor="text1"/>
          <w:sz w:val="21"/>
          <w:szCs w:val="21"/>
        </w:rPr>
      </w:pPr>
    </w:p>
    <w:p w14:paraId="3B124082" w14:textId="546667BF" w:rsidR="00013B26" w:rsidRPr="004031A8" w:rsidRDefault="00013B26" w:rsidP="00662852">
      <w:pPr>
        <w:tabs>
          <w:tab w:val="left" w:pos="426"/>
        </w:tabs>
        <w:ind w:left="709"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lastRenderedPageBreak/>
        <w:t xml:space="preserve">iii) </w:t>
      </w:r>
      <w:r w:rsidR="00662852" w:rsidRPr="004031A8">
        <w:rPr>
          <w:rFonts w:ascii="Arial" w:eastAsia="Calibri" w:hAnsi="Arial" w:cs="Arial"/>
          <w:color w:val="000000" w:themeColor="text1"/>
          <w:sz w:val="21"/>
          <w:szCs w:val="21"/>
        </w:rPr>
        <w:t>«</w:t>
      </w:r>
      <w:r w:rsidRPr="004031A8">
        <w:rPr>
          <w:rFonts w:ascii="Arial" w:eastAsia="Calibri" w:hAnsi="Arial" w:cs="Arial"/>
          <w:color w:val="000000" w:themeColor="text1"/>
          <w:sz w:val="21"/>
          <w:szCs w:val="21"/>
        </w:rPr>
        <w:t xml:space="preserve">Cuando </w:t>
      </w:r>
      <w:r w:rsidR="00662852" w:rsidRPr="004031A8">
        <w:rPr>
          <w:rFonts w:ascii="Arial" w:eastAsia="Calibri" w:hAnsi="Arial" w:cs="Arial"/>
          <w:color w:val="000000" w:themeColor="text1"/>
          <w:sz w:val="21"/>
          <w:szCs w:val="21"/>
        </w:rPr>
        <w:t>la</w:t>
      </w:r>
      <w:r w:rsidRPr="004031A8">
        <w:rPr>
          <w:rFonts w:ascii="Arial" w:eastAsia="Calibri" w:hAnsi="Arial" w:cs="Arial"/>
          <w:color w:val="000000" w:themeColor="text1"/>
          <w:sz w:val="21"/>
          <w:szCs w:val="21"/>
        </w:rPr>
        <w:t xml:space="preserve"> entidad estatal en la etapa de planeación identifique </w:t>
      </w:r>
      <w:r w:rsidR="00596D08" w:rsidRPr="004031A8">
        <w:rPr>
          <w:rFonts w:ascii="Arial" w:eastAsia="Calibri" w:hAnsi="Arial" w:cs="Arial"/>
          <w:color w:val="000000" w:themeColor="text1"/>
          <w:sz w:val="21"/>
          <w:szCs w:val="21"/>
        </w:rPr>
        <w:t>que el programa o actividad de interés público que requiere desarrollar es ofrecido 24 ESAL de reconocida idoneidad y la entidad requiere para desarrollar el programa de interés público 10 ESAL, [¿]deberá adelantar un proceso competitivo para seleccionar las ESAL que requiere o cual [sic] sería el mecanismo contractual para tal fin?</w:t>
      </w:r>
      <w:r w:rsidR="00662852" w:rsidRPr="004031A8">
        <w:rPr>
          <w:rFonts w:ascii="Arial" w:eastAsia="Calibri" w:hAnsi="Arial" w:cs="Arial"/>
          <w:color w:val="000000" w:themeColor="text1"/>
          <w:sz w:val="21"/>
          <w:szCs w:val="21"/>
        </w:rPr>
        <w:t>»</w:t>
      </w:r>
    </w:p>
    <w:p w14:paraId="514F83B5" w14:textId="727C90E4" w:rsidR="00596D08" w:rsidRPr="004031A8" w:rsidRDefault="00596D08" w:rsidP="00662852">
      <w:pPr>
        <w:tabs>
          <w:tab w:val="left" w:pos="426"/>
        </w:tabs>
        <w:ind w:left="709" w:right="709"/>
        <w:jc w:val="both"/>
        <w:rPr>
          <w:rFonts w:ascii="Arial" w:eastAsia="Calibri" w:hAnsi="Arial" w:cs="Arial"/>
          <w:color w:val="000000" w:themeColor="text1"/>
          <w:sz w:val="21"/>
          <w:szCs w:val="21"/>
        </w:rPr>
      </w:pPr>
    </w:p>
    <w:p w14:paraId="2FCF6860" w14:textId="385B987A" w:rsidR="00596D08" w:rsidRPr="004031A8" w:rsidRDefault="00596D08" w:rsidP="00662852">
      <w:pPr>
        <w:tabs>
          <w:tab w:val="left" w:pos="426"/>
        </w:tabs>
        <w:ind w:left="709"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 xml:space="preserve">iv) </w:t>
      </w:r>
      <w:r w:rsidR="00662852" w:rsidRPr="004031A8">
        <w:rPr>
          <w:rFonts w:ascii="Arial" w:eastAsia="Calibri" w:hAnsi="Arial" w:cs="Arial"/>
          <w:color w:val="000000" w:themeColor="text1"/>
          <w:sz w:val="21"/>
          <w:szCs w:val="21"/>
        </w:rPr>
        <w:t>«</w:t>
      </w:r>
      <w:r w:rsidRPr="004031A8">
        <w:rPr>
          <w:rFonts w:ascii="Arial" w:eastAsia="Calibri" w:hAnsi="Arial" w:cs="Arial"/>
          <w:color w:val="000000" w:themeColor="text1"/>
          <w:sz w:val="21"/>
          <w:szCs w:val="21"/>
        </w:rPr>
        <w:t xml:space="preserve">Si hay varias ESAL que comprometen recursos en especie o contrapartida en una proporción igual o superior al 30% del valor total del convenio, [¿]la entidad estatal está facultada para realizar un proceso competitivo para seleccionar la (s) mejor (es) </w:t>
      </w:r>
      <w:r w:rsidR="00662852" w:rsidRPr="004031A8">
        <w:rPr>
          <w:rFonts w:ascii="Arial" w:eastAsia="Calibri" w:hAnsi="Arial" w:cs="Arial"/>
          <w:color w:val="000000" w:themeColor="text1"/>
          <w:sz w:val="21"/>
          <w:szCs w:val="21"/>
        </w:rPr>
        <w:t>oferta (s) o existe una prohibición en el marco del Decreto 092 de 2017 y las demás disposiciones aplicables para el caso particular?»</w:t>
      </w:r>
    </w:p>
    <w:p w14:paraId="114B3E5A" w14:textId="0EA3C190" w:rsidR="00662852" w:rsidRPr="004031A8" w:rsidRDefault="00662852" w:rsidP="00662852">
      <w:pPr>
        <w:tabs>
          <w:tab w:val="left" w:pos="426"/>
        </w:tabs>
        <w:ind w:left="709" w:right="709"/>
        <w:jc w:val="both"/>
        <w:rPr>
          <w:rFonts w:ascii="Arial" w:eastAsia="Calibri" w:hAnsi="Arial" w:cs="Arial"/>
          <w:color w:val="000000" w:themeColor="text1"/>
          <w:sz w:val="21"/>
          <w:szCs w:val="21"/>
        </w:rPr>
      </w:pPr>
    </w:p>
    <w:p w14:paraId="68A003B5" w14:textId="0C7F8440" w:rsidR="00C133B6" w:rsidRPr="004031A8" w:rsidRDefault="00662852" w:rsidP="00662852">
      <w:pPr>
        <w:tabs>
          <w:tab w:val="left" w:pos="426"/>
        </w:tabs>
        <w:ind w:left="709"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v) «El marco del decreto 092 de 2017 [¿]las ESAL pueden hacer aportes en especie o contrapartida[?]»</w:t>
      </w:r>
      <w:bookmarkEnd w:id="2"/>
    </w:p>
    <w:p w14:paraId="5DBB2666" w14:textId="77777777" w:rsidR="00C133B6" w:rsidRPr="004031A8" w:rsidRDefault="00C133B6" w:rsidP="00C133B6">
      <w:pPr>
        <w:tabs>
          <w:tab w:val="left" w:pos="426"/>
        </w:tabs>
        <w:spacing w:line="276" w:lineRule="auto"/>
        <w:jc w:val="both"/>
        <w:rPr>
          <w:rFonts w:ascii="Arial" w:eastAsia="Calibri" w:hAnsi="Arial" w:cs="Arial"/>
          <w:color w:val="000000" w:themeColor="text1"/>
          <w:sz w:val="22"/>
        </w:rPr>
      </w:pPr>
    </w:p>
    <w:p w14:paraId="6FBCEEB8" w14:textId="77777777" w:rsidR="00C133B6" w:rsidRPr="004031A8" w:rsidRDefault="00C133B6" w:rsidP="00C133B6">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4031A8">
        <w:rPr>
          <w:rFonts w:ascii="Arial" w:eastAsia="Calibri" w:hAnsi="Arial" w:cs="Arial"/>
          <w:b/>
          <w:color w:val="000000" w:themeColor="text1"/>
          <w:sz w:val="22"/>
        </w:rPr>
        <w:t>Consideraciones</w:t>
      </w:r>
    </w:p>
    <w:p w14:paraId="3E1EF69D" w14:textId="77777777" w:rsidR="00C133B6" w:rsidRPr="004031A8" w:rsidRDefault="00C133B6" w:rsidP="00C133B6">
      <w:pPr>
        <w:tabs>
          <w:tab w:val="left" w:pos="426"/>
        </w:tabs>
        <w:spacing w:line="276" w:lineRule="auto"/>
        <w:jc w:val="both"/>
        <w:rPr>
          <w:rFonts w:ascii="Arial" w:eastAsia="Calibri" w:hAnsi="Arial" w:cs="Arial"/>
          <w:b/>
          <w:color w:val="000000" w:themeColor="text1"/>
          <w:sz w:val="22"/>
        </w:rPr>
      </w:pPr>
    </w:p>
    <w:p w14:paraId="26E8E187" w14:textId="77777777" w:rsidR="00FC1CE8" w:rsidRPr="004031A8" w:rsidRDefault="00FC1CE8" w:rsidP="00FC1CE8">
      <w:pPr>
        <w:spacing w:after="120" w:line="276" w:lineRule="auto"/>
        <w:jc w:val="both"/>
        <w:rPr>
          <w:rFonts w:ascii="Arial" w:hAnsi="Arial" w:cs="Arial"/>
          <w:sz w:val="22"/>
          <w:lang w:val="es-ES"/>
        </w:rPr>
      </w:pPr>
      <w:bookmarkStart w:id="3" w:name="_Hlk96420298"/>
      <w:r w:rsidRPr="004031A8">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4" w:name="_Hlk61701014"/>
      <w:bookmarkStart w:id="5" w:name="_Hlk62136649"/>
      <w:r w:rsidRPr="004031A8">
        <w:rPr>
          <w:rFonts w:ascii="Arial" w:hAnsi="Arial" w:cs="Arial"/>
          <w:sz w:val="22"/>
          <w:lang w:val="es-ES"/>
        </w:rPr>
        <w:t xml:space="preserve"> Es necesario tener en cuenta que </w:t>
      </w:r>
      <w:bookmarkStart w:id="6" w:name="_Hlk61026958"/>
      <w:r w:rsidRPr="004031A8">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031A8">
        <w:rPr>
          <w:rFonts w:ascii="Arial" w:hAnsi="Arial" w:cs="Arial"/>
          <w:bCs/>
          <w:sz w:val="22"/>
        </w:rPr>
        <w:t xml:space="preserve"> de todos los partícipes de la contratación estatal.</w:t>
      </w:r>
    </w:p>
    <w:p w14:paraId="4F20D03C" w14:textId="77777777" w:rsidR="00FC1CE8" w:rsidRPr="004031A8" w:rsidRDefault="00FC1CE8" w:rsidP="00FC1CE8">
      <w:pPr>
        <w:spacing w:after="120" w:line="276" w:lineRule="auto"/>
        <w:ind w:firstLine="708"/>
        <w:jc w:val="both"/>
        <w:rPr>
          <w:rFonts w:ascii="Arial" w:hAnsi="Arial" w:cs="Arial"/>
          <w:sz w:val="22"/>
          <w:lang w:val="es-ES"/>
        </w:rPr>
      </w:pPr>
      <w:r w:rsidRPr="004031A8">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031A8">
        <w:rPr>
          <w:rFonts w:ascii="Arial" w:hAnsi="Arial" w:cs="Arial"/>
          <w:sz w:val="22"/>
          <w:vertAlign w:val="superscript"/>
          <w:lang w:val="es-ES"/>
        </w:rPr>
        <w:footnoteReference w:id="1"/>
      </w:r>
      <w:r w:rsidRPr="004031A8">
        <w:rPr>
          <w:rFonts w:ascii="Arial" w:hAnsi="Arial" w:cs="Arial"/>
          <w:sz w:val="22"/>
          <w:lang w:val="es-ES"/>
        </w:rPr>
        <w:t xml:space="preserve">. Esta competencia de interpretación de normas generales, por definición, no puede extenderse a la resolución de controversias, ni a brindar asesorías sobre casos puntuales. Esto en la </w:t>
      </w:r>
      <w:r w:rsidRPr="004031A8">
        <w:rPr>
          <w:rFonts w:ascii="Arial" w:hAnsi="Arial" w:cs="Arial"/>
          <w:sz w:val="22"/>
          <w:lang w:val="es-ES"/>
        </w:rPr>
        <w:lastRenderedPageBreak/>
        <w:t>medida en que, para resolver una consulta de carácter particular, además de conocer un sinnúmero de detalles de la actuación administrativa, es necesario acceder al expediente y a los documentos del procedimiento contractual donde surge la inquietud</w:t>
      </w:r>
      <w:bookmarkEnd w:id="6"/>
      <w:r w:rsidRPr="004031A8">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4"/>
    </w:p>
    <w:bookmarkEnd w:id="5"/>
    <w:p w14:paraId="6207A6D1" w14:textId="77777777" w:rsidR="00FE7AC0" w:rsidRPr="004031A8" w:rsidRDefault="00FC1CE8" w:rsidP="00FE7AC0">
      <w:pPr>
        <w:spacing w:after="120" w:line="276" w:lineRule="auto"/>
        <w:ind w:firstLine="708"/>
        <w:jc w:val="both"/>
        <w:rPr>
          <w:rFonts w:ascii="Arial" w:eastAsia="Calibri" w:hAnsi="Arial" w:cs="Arial"/>
          <w:bCs/>
          <w:sz w:val="22"/>
          <w:lang w:val="es-CO"/>
        </w:rPr>
      </w:pPr>
      <w:r w:rsidRPr="004031A8">
        <w:rPr>
          <w:rFonts w:ascii="Arial" w:eastAsia="Calibri" w:hAnsi="Arial" w:cs="Arial"/>
          <w:color w:val="000000" w:themeColor="text1"/>
          <w:sz w:val="22"/>
        </w:rPr>
        <w:t xml:space="preserve">Sin perjuicio de lo anterior, </w:t>
      </w:r>
      <w:r w:rsidRPr="004031A8">
        <w:rPr>
          <w:rFonts w:ascii="Arial" w:eastAsia="Calibri" w:hAnsi="Arial" w:cs="Arial"/>
          <w:color w:val="000000" w:themeColor="text1"/>
          <w:sz w:val="22"/>
          <w:lang w:val="es-ES"/>
        </w:rPr>
        <w:t xml:space="preserve">la Subdirección –dentro de los límites de sus atribuciones, esto es, </w:t>
      </w:r>
      <w:bookmarkStart w:id="7" w:name="_Hlk61025408"/>
      <w:r w:rsidRPr="004031A8">
        <w:rPr>
          <w:rFonts w:ascii="Arial" w:eastAsia="Calibri" w:hAnsi="Arial" w:cs="Arial"/>
          <w:color w:val="000000" w:themeColor="text1"/>
          <w:sz w:val="22"/>
          <w:lang w:val="es-ES"/>
        </w:rPr>
        <w:t>haciendo abstracción del caso particular expuesto por el peticionario</w:t>
      </w:r>
      <w:bookmarkEnd w:id="7"/>
      <w:r w:rsidRPr="004031A8">
        <w:rPr>
          <w:rFonts w:ascii="Arial" w:eastAsia="Calibri" w:hAnsi="Arial" w:cs="Arial"/>
          <w:color w:val="000000" w:themeColor="text1"/>
          <w:sz w:val="22"/>
          <w:lang w:val="es-ES"/>
        </w:rPr>
        <w:t>– resolverá la consulta conforme a las normas generales en materia de contratación estatal. Con este objetivo se analizarán los siguientes temas:</w:t>
      </w:r>
      <w:r w:rsidRPr="004031A8">
        <w:rPr>
          <w:rFonts w:ascii="Arial" w:eastAsia="Calibri" w:hAnsi="Arial" w:cs="Arial"/>
          <w:bCs/>
          <w:sz w:val="22"/>
          <w:lang w:val="es-CO"/>
        </w:rPr>
        <w:t xml:space="preserve"> i) </w:t>
      </w:r>
      <w:r w:rsidR="00FE7AC0" w:rsidRPr="004031A8">
        <w:rPr>
          <w:rFonts w:ascii="Arial" w:eastAsia="Calibri" w:hAnsi="Arial" w:cs="Arial"/>
          <w:bCs/>
          <w:sz w:val="22"/>
          <w:lang w:val="es-CO"/>
        </w:rPr>
        <w:t xml:space="preserve">diferencias entre los contratos del artículo 355 de la Constitución Política y los convenios de asociación del artículo 96 de la Ley 489 de 1998, y </w:t>
      </w:r>
      <w:proofErr w:type="spellStart"/>
      <w:r w:rsidR="00FE7AC0" w:rsidRPr="004031A8">
        <w:rPr>
          <w:rFonts w:ascii="Arial" w:eastAsia="Calibri" w:hAnsi="Arial" w:cs="Arial"/>
          <w:bCs/>
          <w:sz w:val="22"/>
          <w:lang w:val="es-CO"/>
        </w:rPr>
        <w:t>ii</w:t>
      </w:r>
      <w:proofErr w:type="spellEnd"/>
      <w:r w:rsidR="00FE7AC0" w:rsidRPr="004031A8">
        <w:rPr>
          <w:rFonts w:ascii="Arial" w:eastAsia="Calibri" w:hAnsi="Arial" w:cs="Arial"/>
          <w:bCs/>
          <w:sz w:val="22"/>
          <w:lang w:val="es-CO"/>
        </w:rPr>
        <w:t>) suspensión provisional de algunas normas del Decreto 092 de 2017.</w:t>
      </w:r>
      <w:bookmarkEnd w:id="3"/>
    </w:p>
    <w:p w14:paraId="44E7C2EC" w14:textId="43AEB73D" w:rsidR="00C133B6" w:rsidRPr="004031A8" w:rsidRDefault="00C133B6" w:rsidP="00FE7AC0">
      <w:pPr>
        <w:spacing w:after="120" w:line="276" w:lineRule="auto"/>
        <w:ind w:firstLine="708"/>
        <w:jc w:val="both"/>
        <w:rPr>
          <w:rFonts w:ascii="Arial" w:eastAsia="Calibri" w:hAnsi="Arial" w:cs="Arial"/>
          <w:bCs/>
          <w:sz w:val="22"/>
          <w:lang w:val="es-CO"/>
        </w:rPr>
      </w:pPr>
      <w:r w:rsidRPr="004031A8">
        <w:rPr>
          <w:rFonts w:ascii="Arial" w:hAnsi="Arial" w:cs="Arial"/>
          <w:sz w:val="22"/>
        </w:rPr>
        <w:t xml:space="preserve">La Agencia Nacional de Contratación Pública – Colombia Compra Eficiente se ha pronunciado en diferentes conceptos sobre la contratación con entidades privadas sin ánimo de lucro y de reconocida idoneidad –desde ahora ESAL–, con fundamento en el Decreto autónomo </w:t>
      </w:r>
      <w:r w:rsidR="00085E6B" w:rsidRPr="004031A8">
        <w:rPr>
          <w:rFonts w:ascii="Arial" w:hAnsi="Arial" w:cs="Arial"/>
          <w:sz w:val="22"/>
        </w:rPr>
        <w:t>0</w:t>
      </w:r>
      <w:r w:rsidRPr="004031A8">
        <w:rPr>
          <w:rFonts w:ascii="Arial" w:hAnsi="Arial" w:cs="Arial"/>
          <w:sz w:val="22"/>
        </w:rPr>
        <w:t>92 de 2017,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w:t>
      </w:r>
      <w:r w:rsidR="00FE7AC0" w:rsidRPr="004031A8">
        <w:rPr>
          <w:rFonts w:ascii="Arial" w:hAnsi="Arial" w:cs="Arial"/>
          <w:sz w:val="22"/>
        </w:rPr>
        <w:t>,</w:t>
      </w:r>
      <w:r w:rsidRPr="004031A8">
        <w:rPr>
          <w:rFonts w:ascii="Arial" w:hAnsi="Arial" w:cs="Arial"/>
          <w:sz w:val="22"/>
        </w:rPr>
        <w:t xml:space="preserve"> C- 537 del 27 de septiembre de 2021</w:t>
      </w:r>
      <w:r w:rsidR="001E6880" w:rsidRPr="004031A8">
        <w:rPr>
          <w:rFonts w:ascii="Arial" w:hAnsi="Arial" w:cs="Arial"/>
          <w:sz w:val="22"/>
        </w:rPr>
        <w:t>, C-579 del 9 de noviembre de 2021 y</w:t>
      </w:r>
      <w:r w:rsidRPr="004031A8">
        <w:rPr>
          <w:rFonts w:ascii="Arial" w:hAnsi="Arial" w:cs="Arial"/>
          <w:sz w:val="22"/>
        </w:rPr>
        <w:t xml:space="preserve"> </w:t>
      </w:r>
      <w:r w:rsidR="00FE7AC0" w:rsidRPr="004031A8">
        <w:rPr>
          <w:rFonts w:ascii="Arial" w:hAnsi="Arial" w:cs="Arial"/>
          <w:sz w:val="22"/>
        </w:rPr>
        <w:t>C-021 del 22 de febrero de 2022</w:t>
      </w:r>
      <w:r w:rsidR="001E6880" w:rsidRPr="004031A8">
        <w:rPr>
          <w:rFonts w:ascii="Arial" w:hAnsi="Arial" w:cs="Arial"/>
          <w:sz w:val="22"/>
        </w:rPr>
        <w:t>.</w:t>
      </w:r>
    </w:p>
    <w:p w14:paraId="0A2DA211" w14:textId="7106EE4D" w:rsidR="00C133B6" w:rsidRPr="004031A8" w:rsidRDefault="00C133B6" w:rsidP="00C133B6">
      <w:pPr>
        <w:spacing w:line="276" w:lineRule="auto"/>
        <w:ind w:firstLine="708"/>
        <w:jc w:val="both"/>
        <w:rPr>
          <w:rFonts w:ascii="Arial" w:hAnsi="Arial" w:cs="Arial"/>
          <w:bCs/>
          <w:color w:val="000000" w:themeColor="text1"/>
          <w:sz w:val="22"/>
        </w:rPr>
      </w:pPr>
      <w:r w:rsidRPr="004031A8">
        <w:rPr>
          <w:rFonts w:ascii="Arial" w:hAnsi="Arial" w:cs="Arial"/>
          <w:sz w:val="22"/>
        </w:rPr>
        <w:t xml:space="preserve">Adicionalmente, </w:t>
      </w:r>
      <w:r w:rsidRPr="004031A8">
        <w:rPr>
          <w:rFonts w:ascii="Arial" w:hAnsi="Arial" w:cs="Arial"/>
          <w:color w:val="000000" w:themeColor="text1"/>
          <w:sz w:val="22"/>
        </w:rPr>
        <w:t>esta entidad se pronunció respecto de la suspensión provisional de</w:t>
      </w:r>
      <w:r w:rsidR="005E2AEB" w:rsidRPr="004031A8">
        <w:rPr>
          <w:rFonts w:ascii="Arial" w:hAnsi="Arial" w:cs="Arial"/>
          <w:color w:val="000000" w:themeColor="text1"/>
          <w:sz w:val="22"/>
        </w:rPr>
        <w:t xml:space="preserve"> algunos contenidos del</w:t>
      </w:r>
      <w:r w:rsidRPr="004031A8">
        <w:rPr>
          <w:rFonts w:ascii="Arial" w:hAnsi="Arial" w:cs="Arial"/>
          <w:color w:val="000000" w:themeColor="text1"/>
          <w:sz w:val="22"/>
        </w:rPr>
        <w:t xml:space="preserve"> Decreto 092 de 2017, en el concepto No. </w:t>
      </w:r>
      <w:r w:rsidRPr="004031A8">
        <w:rPr>
          <w:rFonts w:ascii="Arial" w:eastAsia="Calibri" w:hAnsi="Arial" w:cs="Arial"/>
          <w:color w:val="000000" w:themeColor="text1"/>
          <w:sz w:val="22"/>
        </w:rPr>
        <w:t>2201913000006512</w:t>
      </w:r>
      <w:r w:rsidRPr="004031A8">
        <w:rPr>
          <w:rFonts w:ascii="Arial" w:hAnsi="Arial" w:cs="Arial"/>
          <w:color w:val="000000" w:themeColor="text1"/>
          <w:sz w:val="22"/>
        </w:rPr>
        <w:t xml:space="preserve"> del 3 de septiembre de 2019, cuyas consideraciones se reiteraron</w:t>
      </w:r>
      <w:r w:rsidR="001E6880" w:rsidRPr="004031A8">
        <w:rPr>
          <w:rFonts w:ascii="Arial" w:hAnsi="Arial" w:cs="Arial"/>
          <w:color w:val="000000" w:themeColor="text1"/>
          <w:sz w:val="22"/>
        </w:rPr>
        <w:t xml:space="preserve">, entre otros, </w:t>
      </w:r>
      <w:r w:rsidRPr="004031A8">
        <w:rPr>
          <w:rFonts w:ascii="Arial" w:hAnsi="Arial" w:cs="Arial"/>
          <w:color w:val="000000" w:themeColor="text1"/>
          <w:sz w:val="22"/>
        </w:rPr>
        <w:t xml:space="preserve">en los conceptos Nos. </w:t>
      </w:r>
      <w:r w:rsidRPr="004031A8">
        <w:rPr>
          <w:rFonts w:ascii="Arial" w:eastAsia="Calibri" w:hAnsi="Arial" w:cs="Arial"/>
          <w:color w:val="000000" w:themeColor="text1"/>
          <w:sz w:val="22"/>
        </w:rPr>
        <w:t xml:space="preserve">2201913000006681 </w:t>
      </w:r>
      <w:r w:rsidRPr="004031A8">
        <w:rPr>
          <w:rFonts w:ascii="Arial" w:hAnsi="Arial" w:cs="Arial"/>
          <w:color w:val="000000" w:themeColor="text1"/>
          <w:sz w:val="22"/>
        </w:rPr>
        <w:t xml:space="preserve">y 4201913000005551 del 9 de septiembre de 2019, 2201913000006843 del 16 de septiembre de 2019, </w:t>
      </w:r>
      <w:r w:rsidRPr="004031A8">
        <w:rPr>
          <w:rFonts w:ascii="Arial" w:eastAsia="Calibri" w:hAnsi="Arial" w:cs="Arial"/>
          <w:color w:val="000000" w:themeColor="text1"/>
          <w:sz w:val="22"/>
        </w:rPr>
        <w:t xml:space="preserve">2201913000009198 del 12 de diciembre de 2019, 2201913000009567 del 24 de diciembre de 2019, 2202013000001579 del 4 de marzo de 2020. </w:t>
      </w:r>
      <w:r w:rsidRPr="004031A8">
        <w:rPr>
          <w:rFonts w:ascii="Arial" w:hAnsi="Arial" w:cs="Arial"/>
          <w:sz w:val="22"/>
        </w:rPr>
        <w:t>Las tesis propuestas en tales conceptos se reiteran a continuación y se complementan en l</w:t>
      </w:r>
      <w:r w:rsidRPr="004031A8">
        <w:rPr>
          <w:rFonts w:ascii="Arial" w:hAnsi="Arial" w:cs="Arial"/>
          <w:bCs/>
          <w:color w:val="000000" w:themeColor="text1"/>
          <w:sz w:val="22"/>
        </w:rPr>
        <w:t>o pertinente.</w:t>
      </w:r>
    </w:p>
    <w:p w14:paraId="13AF20D9" w14:textId="77777777" w:rsidR="00C133B6" w:rsidRPr="004031A8" w:rsidRDefault="00C133B6" w:rsidP="00B81AF9">
      <w:pPr>
        <w:spacing w:line="276" w:lineRule="auto"/>
        <w:jc w:val="both"/>
        <w:rPr>
          <w:rFonts w:ascii="Arial" w:hAnsi="Arial" w:cs="Arial"/>
          <w:bCs/>
          <w:color w:val="000000" w:themeColor="text1"/>
          <w:sz w:val="22"/>
        </w:rPr>
      </w:pPr>
    </w:p>
    <w:p w14:paraId="408BE0ED" w14:textId="77777777" w:rsidR="00C133B6" w:rsidRPr="004031A8" w:rsidRDefault="00C133B6" w:rsidP="00C133B6">
      <w:pPr>
        <w:pStyle w:val="Sinespaciado"/>
        <w:tabs>
          <w:tab w:val="left" w:pos="426"/>
        </w:tabs>
        <w:spacing w:line="276" w:lineRule="auto"/>
        <w:jc w:val="both"/>
        <w:rPr>
          <w:rFonts w:ascii="Arial" w:hAnsi="Arial" w:cs="Arial"/>
          <w:b/>
          <w:bCs/>
          <w:color w:val="000000" w:themeColor="text1"/>
          <w:sz w:val="22"/>
        </w:rPr>
      </w:pPr>
      <w:r w:rsidRPr="004031A8">
        <w:rPr>
          <w:rFonts w:ascii="Arial" w:hAnsi="Arial" w:cs="Arial"/>
          <w:b/>
          <w:bCs/>
          <w:color w:val="000000" w:themeColor="text1"/>
          <w:sz w:val="22"/>
        </w:rPr>
        <w:t>2.1.</w:t>
      </w:r>
      <w:r w:rsidRPr="004031A8">
        <w:rPr>
          <w:rFonts w:ascii="Arial" w:hAnsi="Arial" w:cs="Arial"/>
          <w:b/>
          <w:bCs/>
          <w:color w:val="000000" w:themeColor="text1"/>
          <w:sz w:val="22"/>
        </w:rPr>
        <w:tab/>
      </w:r>
      <w:bookmarkStart w:id="8" w:name="_Hlk99618969"/>
      <w:r w:rsidRPr="004031A8">
        <w:rPr>
          <w:rFonts w:ascii="Arial" w:eastAsia="Calibri" w:hAnsi="Arial" w:cs="Arial"/>
          <w:b/>
          <w:bCs/>
          <w:sz w:val="22"/>
          <w:lang w:val="es-ES_tradnl"/>
        </w:rPr>
        <w:t xml:space="preserve">Diferencias entre los contratos del </w:t>
      </w:r>
      <w:r w:rsidRPr="004031A8">
        <w:rPr>
          <w:rFonts w:ascii="Arial" w:hAnsi="Arial" w:cs="Arial"/>
          <w:b/>
          <w:bCs/>
          <w:color w:val="000000" w:themeColor="text1"/>
          <w:sz w:val="22"/>
        </w:rPr>
        <w:t>artículo 355 de la Constitución Política y los convenios de asociación del artículo 96 de la Ley 489 de 1998</w:t>
      </w:r>
      <w:bookmarkEnd w:id="8"/>
    </w:p>
    <w:p w14:paraId="5140B17F" w14:textId="77777777" w:rsidR="00C133B6" w:rsidRPr="004031A8" w:rsidRDefault="00C133B6" w:rsidP="00C133B6">
      <w:pPr>
        <w:pStyle w:val="Sinespaciado"/>
        <w:spacing w:line="276" w:lineRule="auto"/>
        <w:jc w:val="both"/>
        <w:rPr>
          <w:rFonts w:ascii="Arial" w:hAnsi="Arial" w:cs="Arial"/>
          <w:color w:val="000000" w:themeColor="text1"/>
          <w:sz w:val="22"/>
        </w:rPr>
      </w:pPr>
    </w:p>
    <w:p w14:paraId="39E64754" w14:textId="77777777" w:rsidR="00C133B6" w:rsidRPr="004031A8" w:rsidRDefault="00C133B6" w:rsidP="00C133B6">
      <w:pPr>
        <w:spacing w:line="276" w:lineRule="auto"/>
        <w:jc w:val="both"/>
        <w:rPr>
          <w:rFonts w:ascii="Arial" w:eastAsia="Calibri" w:hAnsi="Arial" w:cs="Arial"/>
          <w:bCs/>
          <w:sz w:val="22"/>
          <w:lang w:val="es-ES_tradnl"/>
        </w:rPr>
      </w:pPr>
      <w:r w:rsidRPr="004031A8">
        <w:rPr>
          <w:rFonts w:ascii="Arial" w:eastAsia="Calibri" w:hAnsi="Arial" w:cs="Arial"/>
          <w:bCs/>
          <w:sz w:val="22"/>
          <w:lang w:val="es-ES_tradnl"/>
        </w:rPr>
        <w:lastRenderedPageBreak/>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4031A8">
        <w:rPr>
          <w:rStyle w:val="Refdenotaalpie"/>
          <w:rFonts w:ascii="Arial" w:hAnsi="Arial" w:cs="Arial"/>
          <w:sz w:val="22"/>
        </w:rPr>
        <w:footnoteReference w:id="2"/>
      </w:r>
      <w:r w:rsidRPr="004031A8">
        <w:rPr>
          <w:rFonts w:ascii="Arial" w:eastAsia="Calibri" w:hAnsi="Arial" w:cs="Arial"/>
          <w:bCs/>
          <w:sz w:val="22"/>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4031A8">
        <w:rPr>
          <w:rStyle w:val="Refdenotaalpie"/>
          <w:rFonts w:ascii="Arial" w:eastAsia="Calibri" w:hAnsi="Arial" w:cs="Arial"/>
          <w:bCs/>
          <w:sz w:val="22"/>
          <w:lang w:val="es-ES_tradnl"/>
        </w:rPr>
        <w:footnoteReference w:id="3"/>
      </w:r>
      <w:r w:rsidRPr="004031A8">
        <w:rPr>
          <w:rFonts w:ascii="Arial" w:eastAsia="Calibri" w:hAnsi="Arial" w:cs="Arial"/>
          <w:bCs/>
          <w:sz w:val="22"/>
          <w:lang w:val="es-ES_tradnl"/>
        </w:rPr>
        <w:t>.</w:t>
      </w:r>
    </w:p>
    <w:p w14:paraId="524B3476" w14:textId="096A8456" w:rsidR="00C133B6" w:rsidRPr="004031A8" w:rsidRDefault="00C133B6" w:rsidP="00C133B6">
      <w:pPr>
        <w:spacing w:before="120" w:after="120" w:line="276" w:lineRule="auto"/>
        <w:ind w:firstLine="709"/>
        <w:jc w:val="both"/>
        <w:rPr>
          <w:rFonts w:ascii="Arial" w:eastAsia="Calibri" w:hAnsi="Arial" w:cs="Arial"/>
          <w:bCs/>
          <w:sz w:val="22"/>
          <w:lang w:val="es-ES_tradnl"/>
        </w:rPr>
      </w:pPr>
      <w:bookmarkStart w:id="10" w:name="_Hlk38819155"/>
      <w:r w:rsidRPr="004031A8">
        <w:rPr>
          <w:rFonts w:ascii="Arial" w:eastAsia="Calibri" w:hAnsi="Arial" w:cs="Arial"/>
          <w:bCs/>
          <w:sz w:val="22"/>
          <w:lang w:val="es-ES_tradnl"/>
        </w:rPr>
        <w:t xml:space="preserve">El Decreto </w:t>
      </w:r>
      <w:r w:rsidR="00085E6B" w:rsidRPr="004031A8">
        <w:rPr>
          <w:rFonts w:ascii="Arial" w:eastAsia="Calibri" w:hAnsi="Arial" w:cs="Arial"/>
          <w:bCs/>
          <w:sz w:val="22"/>
          <w:lang w:val="es-ES_tradnl"/>
        </w:rPr>
        <w:t>0</w:t>
      </w:r>
      <w:r w:rsidRPr="004031A8">
        <w:rPr>
          <w:rFonts w:ascii="Arial" w:eastAsia="Calibri" w:hAnsi="Arial" w:cs="Arial"/>
          <w:bCs/>
          <w:sz w:val="22"/>
          <w:lang w:val="es-ES_tradnl"/>
        </w:rPr>
        <w:t xml:space="preserve">92 de 2017 dispone reglas para las contrataciones que realicen las entidades estatales con las ESAL. </w:t>
      </w:r>
      <w:bookmarkStart w:id="11" w:name="_Hlk99633268"/>
      <w:r w:rsidRPr="004031A8">
        <w:rPr>
          <w:rFonts w:ascii="Arial" w:eastAsia="Calibri" w:hAnsi="Arial" w:cs="Arial"/>
          <w:bCs/>
          <w:sz w:val="22"/>
          <w:lang w:val="es-ES_tradnl"/>
        </w:rPr>
        <w:t xml:space="preserve">El Decreto regula dos (2) eventos: i) los contratos del artículo 355 de la Constitución Política con el fin impulsar programas y actividades de interés público de acuerdo con el Plan Nacional o los planes seccionales de desarrollo; y </w:t>
      </w:r>
      <w:proofErr w:type="spellStart"/>
      <w:r w:rsidRPr="004031A8">
        <w:rPr>
          <w:rFonts w:ascii="Arial" w:eastAsia="Calibri" w:hAnsi="Arial" w:cs="Arial"/>
          <w:bCs/>
          <w:sz w:val="22"/>
          <w:lang w:val="es-ES_tradnl"/>
        </w:rPr>
        <w:t>ii</w:t>
      </w:r>
      <w:proofErr w:type="spellEnd"/>
      <w:r w:rsidRPr="004031A8">
        <w:rPr>
          <w:rFonts w:ascii="Arial" w:eastAsia="Calibri" w:hAnsi="Arial" w:cs="Arial"/>
          <w:bCs/>
          <w:sz w:val="22"/>
          <w:lang w:val="es-ES_tradnl"/>
        </w:rPr>
        <w:t xml:space="preserve">) los convenios de asociación, para el desarrollo conjunto de actividades relacionadas con las funciones de las entidades estatales, en desarrollo del artículo 96 de la Ley 489 de 1998. </w:t>
      </w:r>
      <w:bookmarkEnd w:id="10"/>
      <w:bookmarkEnd w:id="11"/>
    </w:p>
    <w:p w14:paraId="2A286FA1" w14:textId="03B22658" w:rsidR="00C133B6" w:rsidRPr="004031A8" w:rsidRDefault="00C133B6" w:rsidP="00C133B6">
      <w:pPr>
        <w:spacing w:before="120" w:after="120" w:line="276" w:lineRule="auto"/>
        <w:ind w:firstLine="709"/>
        <w:jc w:val="both"/>
        <w:rPr>
          <w:rFonts w:ascii="Arial" w:eastAsia="Calibri" w:hAnsi="Arial" w:cs="Arial"/>
          <w:bCs/>
          <w:sz w:val="22"/>
          <w:lang w:val="es-ES_tradnl"/>
        </w:rPr>
      </w:pPr>
      <w:bookmarkStart w:id="12" w:name="_Hlk95756032"/>
      <w:r w:rsidRPr="004031A8">
        <w:rPr>
          <w:rFonts w:ascii="Arial" w:eastAsia="Calibri" w:hAnsi="Arial" w:cs="Arial"/>
          <w:bCs/>
          <w:sz w:val="22"/>
          <w:lang w:val="es-ES_tradnl"/>
        </w:rPr>
        <w:t xml:space="preserve">Los </w:t>
      </w:r>
      <w:r w:rsidRPr="004031A8">
        <w:rPr>
          <w:rFonts w:ascii="Arial" w:eastAsia="Calibri" w:hAnsi="Arial" w:cs="Arial"/>
          <w:bCs/>
          <w:i/>
          <w:sz w:val="22"/>
          <w:lang w:val="es-ES_tradnl"/>
        </w:rPr>
        <w:t>contratos del artículo 355 de la Constitución Política</w:t>
      </w:r>
      <w:r w:rsidRPr="004031A8">
        <w:rPr>
          <w:rFonts w:ascii="Arial" w:eastAsia="Calibri" w:hAnsi="Arial" w:cs="Arial"/>
          <w:bCs/>
          <w:sz w:val="22"/>
          <w:lang w:val="es-ES_tradn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w:t>
      </w:r>
      <w:r w:rsidR="00085E6B" w:rsidRPr="004031A8">
        <w:rPr>
          <w:rFonts w:ascii="Arial" w:eastAsia="Calibri" w:hAnsi="Arial" w:cs="Arial"/>
          <w:bCs/>
          <w:sz w:val="22"/>
          <w:lang w:val="es-ES_tradnl"/>
        </w:rPr>
        <w:t>0</w:t>
      </w:r>
      <w:r w:rsidRPr="004031A8">
        <w:rPr>
          <w:rFonts w:ascii="Arial" w:eastAsia="Calibri" w:hAnsi="Arial" w:cs="Arial"/>
          <w:bCs/>
          <w:sz w:val="22"/>
          <w:lang w:val="es-ES_tradnl"/>
        </w:rPr>
        <w:t xml:space="preserve">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4031A8">
        <w:rPr>
          <w:rFonts w:ascii="Arial" w:eastAsia="Calibri" w:hAnsi="Arial" w:cs="Arial"/>
          <w:bCs/>
          <w:sz w:val="22"/>
          <w:lang w:val="es-ES_tradnl"/>
        </w:rPr>
        <w:t>ii</w:t>
      </w:r>
      <w:proofErr w:type="spellEnd"/>
      <w:r w:rsidRPr="004031A8">
        <w:rPr>
          <w:rFonts w:ascii="Arial" w:eastAsia="Calibri" w:hAnsi="Arial" w:cs="Arial"/>
          <w:bCs/>
          <w:sz w:val="22"/>
          <w:lang w:val="es-ES_tradnl"/>
        </w:rPr>
        <w:t xml:space="preserve">) que no haya una contraprestación directa a favor de la </w:t>
      </w:r>
      <w:r w:rsidR="005E2AEB" w:rsidRPr="004031A8">
        <w:rPr>
          <w:rFonts w:ascii="Arial" w:eastAsia="Calibri" w:hAnsi="Arial" w:cs="Arial"/>
          <w:bCs/>
          <w:sz w:val="22"/>
          <w:lang w:val="es-ES_tradnl"/>
        </w:rPr>
        <w:t>e</w:t>
      </w:r>
      <w:r w:rsidRPr="004031A8">
        <w:rPr>
          <w:rFonts w:ascii="Arial" w:eastAsia="Calibri" w:hAnsi="Arial" w:cs="Arial"/>
          <w:bCs/>
          <w:sz w:val="22"/>
          <w:lang w:val="es-ES_tradnl"/>
        </w:rPr>
        <w:t xml:space="preserve">ntidad </w:t>
      </w:r>
      <w:r w:rsidR="005E2AEB" w:rsidRPr="004031A8">
        <w:rPr>
          <w:rFonts w:ascii="Arial" w:eastAsia="Calibri" w:hAnsi="Arial" w:cs="Arial"/>
          <w:bCs/>
          <w:sz w:val="22"/>
          <w:lang w:val="es-ES_tradnl"/>
        </w:rPr>
        <w:t>e</w:t>
      </w:r>
      <w:r w:rsidRPr="004031A8">
        <w:rPr>
          <w:rFonts w:ascii="Arial" w:eastAsia="Calibri" w:hAnsi="Arial" w:cs="Arial"/>
          <w:bCs/>
          <w:sz w:val="22"/>
          <w:lang w:val="es-ES_tradnl"/>
        </w:rPr>
        <w:t xml:space="preserve">statal, es decir, que el programa o actividad a desarrollar este dirigida al </w:t>
      </w:r>
      <w:r w:rsidRPr="004031A8">
        <w:rPr>
          <w:rFonts w:ascii="Arial" w:eastAsia="Calibri" w:hAnsi="Arial" w:cs="Arial"/>
          <w:bCs/>
          <w:sz w:val="22"/>
          <w:lang w:val="es-ES_tradnl"/>
        </w:rPr>
        <w:lastRenderedPageBreak/>
        <w:t xml:space="preserve">beneficio de la población en general, ya que cuando se adquieren bienes o servicios o </w:t>
      </w:r>
      <w:r w:rsidR="005E2AEB" w:rsidRPr="004031A8">
        <w:rPr>
          <w:rFonts w:ascii="Arial" w:eastAsia="Calibri" w:hAnsi="Arial" w:cs="Arial"/>
          <w:bCs/>
          <w:sz w:val="22"/>
          <w:lang w:val="es-ES_tradnl"/>
        </w:rPr>
        <w:t xml:space="preserve">se </w:t>
      </w:r>
      <w:r w:rsidRPr="004031A8">
        <w:rPr>
          <w:rFonts w:ascii="Arial" w:eastAsia="Calibri" w:hAnsi="Arial" w:cs="Arial"/>
          <w:bCs/>
          <w:sz w:val="22"/>
          <w:lang w:val="es-ES_tradnl"/>
        </w:rPr>
        <w:t>ejecuta</w:t>
      </w:r>
      <w:r w:rsidR="005E2AEB" w:rsidRPr="004031A8">
        <w:rPr>
          <w:rFonts w:ascii="Arial" w:eastAsia="Calibri" w:hAnsi="Arial" w:cs="Arial"/>
          <w:bCs/>
          <w:sz w:val="22"/>
          <w:lang w:val="es-ES_tradnl"/>
        </w:rPr>
        <w:t>n</w:t>
      </w:r>
      <w:r w:rsidRPr="004031A8">
        <w:rPr>
          <w:rFonts w:ascii="Arial" w:eastAsia="Calibri" w:hAnsi="Arial" w:cs="Arial"/>
          <w:bCs/>
          <w:sz w:val="22"/>
          <w:lang w:val="es-ES_tradnl"/>
        </w:rPr>
        <w:t xml:space="preserve">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12"/>
    <w:p w14:paraId="6C4F4861" w14:textId="1B997E01" w:rsidR="00C133B6" w:rsidRPr="004031A8" w:rsidRDefault="00C133B6" w:rsidP="00C133B6">
      <w:pPr>
        <w:spacing w:before="120" w:after="120" w:line="276" w:lineRule="auto"/>
        <w:ind w:firstLine="709"/>
        <w:jc w:val="both"/>
        <w:rPr>
          <w:rFonts w:ascii="Arial" w:eastAsia="Calibri" w:hAnsi="Arial" w:cs="Arial"/>
          <w:bCs/>
          <w:sz w:val="22"/>
          <w:lang w:val="es-ES_tradnl"/>
        </w:rPr>
      </w:pPr>
      <w:r w:rsidRPr="004031A8">
        <w:rPr>
          <w:rFonts w:ascii="Arial" w:eastAsia="Calibri" w:hAnsi="Arial" w:cs="Arial"/>
          <w:bCs/>
          <w:sz w:val="22"/>
          <w:lang w:val="es-ES_tradnl"/>
        </w:rPr>
        <w:t xml:space="preserve">De otro lado, los </w:t>
      </w:r>
      <w:r w:rsidRPr="004031A8">
        <w:rPr>
          <w:rFonts w:ascii="Arial" w:eastAsia="Calibri" w:hAnsi="Arial" w:cs="Arial"/>
          <w:bCs/>
          <w:i/>
          <w:sz w:val="22"/>
          <w:lang w:val="es-ES_tradnl"/>
        </w:rPr>
        <w:t>convenios de asociación</w:t>
      </w:r>
      <w:r w:rsidRPr="004031A8">
        <w:rPr>
          <w:rFonts w:ascii="Arial" w:eastAsia="Calibri" w:hAnsi="Arial" w:cs="Arial"/>
          <w:bCs/>
          <w:sz w:val="22"/>
          <w:lang w:val="es-ES_tradnl"/>
        </w:rPr>
        <w:t xml:space="preserve"> «[t]</w:t>
      </w:r>
      <w:proofErr w:type="spellStart"/>
      <w:r w:rsidRPr="004031A8">
        <w:rPr>
          <w:rFonts w:ascii="Arial" w:eastAsia="Calibri" w:hAnsi="Arial" w:cs="Arial"/>
          <w:bCs/>
          <w:sz w:val="22"/>
          <w:lang w:val="es-ES_tradnl"/>
        </w:rPr>
        <w:t>ienen</w:t>
      </w:r>
      <w:proofErr w:type="spellEnd"/>
      <w:r w:rsidRPr="004031A8">
        <w:rPr>
          <w:rFonts w:ascii="Arial" w:eastAsia="Calibri" w:hAnsi="Arial" w:cs="Arial"/>
          <w:bCs/>
          <w:sz w:val="22"/>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4031A8">
        <w:rPr>
          <w:rStyle w:val="Refdenotaalpie"/>
          <w:rFonts w:ascii="Arial" w:hAnsi="Arial" w:cs="Arial"/>
          <w:sz w:val="22"/>
        </w:rPr>
        <w:footnoteReference w:id="4"/>
      </w:r>
      <w:r w:rsidRPr="004031A8">
        <w:rPr>
          <w:rFonts w:ascii="Arial" w:eastAsia="Calibri" w:hAnsi="Arial" w:cs="Arial"/>
          <w:bCs/>
          <w:sz w:val="22"/>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w:t>
      </w:r>
      <w:r w:rsidR="003A7A93" w:rsidRPr="004031A8">
        <w:rPr>
          <w:rStyle w:val="Refdenotaalpie"/>
          <w:rFonts w:ascii="Arial" w:eastAsia="Calibri" w:hAnsi="Arial" w:cs="Arial"/>
          <w:bCs/>
          <w:sz w:val="22"/>
          <w:lang w:val="es-ES_tradnl"/>
        </w:rPr>
        <w:footnoteReference w:id="5"/>
      </w:r>
      <w:r w:rsidRPr="004031A8">
        <w:rPr>
          <w:rFonts w:ascii="Arial" w:eastAsia="Calibri" w:hAnsi="Arial" w:cs="Arial"/>
          <w:bCs/>
          <w:sz w:val="22"/>
          <w:lang w:val="es-ES_tradnl"/>
        </w:rPr>
        <w:t xml:space="preserve">. El convenio de asociación no es conmutativo, </w:t>
      </w:r>
      <w:proofErr w:type="gramStart"/>
      <w:r w:rsidRPr="004031A8">
        <w:rPr>
          <w:rFonts w:ascii="Arial" w:eastAsia="Calibri" w:hAnsi="Arial" w:cs="Arial"/>
          <w:bCs/>
          <w:sz w:val="22"/>
          <w:lang w:val="es-ES_tradnl"/>
        </w:rPr>
        <w:t>y</w:t>
      </w:r>
      <w:proofErr w:type="gramEnd"/>
      <w:r w:rsidRPr="004031A8">
        <w:rPr>
          <w:rFonts w:ascii="Arial" w:eastAsia="Calibri" w:hAnsi="Arial" w:cs="Arial"/>
          <w:bCs/>
          <w:sz w:val="22"/>
          <w:lang w:val="es-ES_tradnl"/>
        </w:rPr>
        <w:t xml:space="preserve"> por tanto, la entidad no instruye al contratista para desarrollar los programas o actividades previstas, sino que se asocia con él para el cumplimiento de objetivos comunes</w:t>
      </w:r>
      <w:r w:rsidRPr="004031A8">
        <w:rPr>
          <w:rStyle w:val="Refdenotaalpie"/>
          <w:rFonts w:ascii="Arial" w:hAnsi="Arial" w:cs="Arial"/>
          <w:sz w:val="22"/>
        </w:rPr>
        <w:footnoteReference w:id="6"/>
      </w:r>
      <w:r w:rsidRPr="004031A8">
        <w:rPr>
          <w:rFonts w:ascii="Arial" w:eastAsia="Calibri" w:hAnsi="Arial" w:cs="Arial"/>
          <w:bCs/>
          <w:sz w:val="22"/>
          <w:lang w:val="es-ES_tradnl"/>
        </w:rPr>
        <w:t>.</w:t>
      </w:r>
    </w:p>
    <w:p w14:paraId="35DBF2B7" w14:textId="4CBCE88C" w:rsidR="00DA3CE5" w:rsidRPr="004031A8" w:rsidRDefault="00DA3CE5" w:rsidP="00DA3CE5">
      <w:pPr>
        <w:spacing w:before="120" w:after="120" w:line="276" w:lineRule="auto"/>
        <w:ind w:firstLine="709"/>
        <w:jc w:val="both"/>
        <w:rPr>
          <w:rFonts w:ascii="Arial" w:eastAsia="Calibri" w:hAnsi="Arial" w:cs="Arial"/>
          <w:sz w:val="22"/>
        </w:rPr>
      </w:pPr>
      <w:r w:rsidRPr="004031A8">
        <w:rPr>
          <w:rFonts w:ascii="Arial" w:eastAsia="Calibri" w:hAnsi="Arial" w:cs="Arial"/>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Dentro de estos elementos resalta la exigencia de aportes, que debe interpretarse en el sentido de que las ESAL deben realizar aportes a los convenios que suscriban. Dichos aportes pueden ser en dinero, o en especie, los cuales deben servir al desarrollo de los objetivos comunes de la asociación. </w:t>
      </w:r>
    </w:p>
    <w:p w14:paraId="646A098F" w14:textId="4BE2711B" w:rsidR="0053513C" w:rsidRPr="004031A8" w:rsidRDefault="00D969D2" w:rsidP="00867757">
      <w:pPr>
        <w:spacing w:before="120" w:line="276" w:lineRule="auto"/>
        <w:ind w:firstLine="708"/>
        <w:jc w:val="both"/>
        <w:rPr>
          <w:rFonts w:ascii="Arial" w:eastAsia="Calibri" w:hAnsi="Arial" w:cs="Arial"/>
          <w:sz w:val="22"/>
        </w:rPr>
      </w:pPr>
      <w:r w:rsidRPr="004031A8">
        <w:rPr>
          <w:rFonts w:ascii="Arial" w:eastAsia="Calibri" w:hAnsi="Arial" w:cs="Arial"/>
          <w:sz w:val="22"/>
        </w:rPr>
        <w:t>Sin embargo, de</w:t>
      </w:r>
      <w:r w:rsidR="0053513C" w:rsidRPr="004031A8">
        <w:rPr>
          <w:rFonts w:ascii="Arial" w:eastAsia="Calibri" w:hAnsi="Arial" w:cs="Arial"/>
          <w:sz w:val="22"/>
        </w:rPr>
        <w:t xml:space="preserve">be señalarse que el 30% señalado en el artículo 5 del Decreto 092 de 2017, que debe aportar la ESAL a efectos de poder celebrar el convenio sin acudir a un </w:t>
      </w:r>
      <w:r w:rsidR="0053513C" w:rsidRPr="004031A8">
        <w:rPr>
          <w:rFonts w:ascii="Arial" w:eastAsia="Calibri" w:hAnsi="Arial" w:cs="Arial"/>
          <w:sz w:val="22"/>
        </w:rPr>
        <w:lastRenderedPageBreak/>
        <w:t xml:space="preserve">proceso competitivo, debe calcularse respecto del monto total de los recursos </w:t>
      </w:r>
      <w:r w:rsidR="0053513C" w:rsidRPr="004031A8">
        <w:rPr>
          <w:rFonts w:ascii="Arial" w:eastAsia="Calibri" w:hAnsi="Arial" w:cs="Arial"/>
          <w:i/>
          <w:iCs/>
          <w:sz w:val="22"/>
        </w:rPr>
        <w:t xml:space="preserve">en dinero </w:t>
      </w:r>
      <w:r w:rsidR="0053513C" w:rsidRPr="004031A8">
        <w:rPr>
          <w:rFonts w:ascii="Arial" w:eastAsia="Calibri" w:hAnsi="Arial" w:cs="Arial"/>
          <w:sz w:val="22"/>
        </w:rPr>
        <w:t xml:space="preserve">requeridos para la ejecución proyecto, el cual corresponderá al valor por el que se celebrará el </w:t>
      </w:r>
      <w:r w:rsidR="0053513C" w:rsidRPr="004031A8">
        <w:rPr>
          <w:rFonts w:ascii="Arial" w:eastAsia="Calibri" w:hAnsi="Arial" w:cs="Arial"/>
          <w:i/>
          <w:iCs/>
          <w:sz w:val="22"/>
        </w:rPr>
        <w:t>convenio de asociación</w:t>
      </w:r>
      <w:r w:rsidR="0053513C" w:rsidRPr="004031A8">
        <w:rPr>
          <w:rFonts w:ascii="Arial" w:eastAsia="Calibri" w:hAnsi="Arial" w:cs="Arial"/>
          <w:sz w:val="22"/>
        </w:rPr>
        <w:t xml:space="preserve">. 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30% del que sería el valor del eventual convenio. </w:t>
      </w:r>
      <w:r w:rsidRPr="004031A8">
        <w:rPr>
          <w:rFonts w:ascii="Arial" w:eastAsia="Calibri" w:hAnsi="Arial" w:cs="Arial"/>
          <w:sz w:val="22"/>
        </w:rPr>
        <w:t xml:space="preserve">De esta manera, los eventuales aportes en especie no podrán tenerse en cuenta </w:t>
      </w:r>
      <w:r w:rsidR="00867757" w:rsidRPr="004031A8">
        <w:rPr>
          <w:rFonts w:ascii="Arial" w:eastAsia="Calibri" w:hAnsi="Arial" w:cs="Arial"/>
          <w:sz w:val="22"/>
        </w:rPr>
        <w:t xml:space="preserve">para calcular </w:t>
      </w:r>
      <w:r w:rsidRPr="004031A8">
        <w:rPr>
          <w:rFonts w:ascii="Arial" w:eastAsia="Calibri" w:hAnsi="Arial" w:cs="Arial"/>
          <w:sz w:val="22"/>
        </w:rPr>
        <w:t xml:space="preserve">el referido </w:t>
      </w:r>
      <w:r w:rsidR="00866822" w:rsidRPr="004031A8">
        <w:rPr>
          <w:rFonts w:ascii="Arial" w:eastAsia="Calibri" w:hAnsi="Arial" w:cs="Arial"/>
          <w:sz w:val="22"/>
        </w:rPr>
        <w:t xml:space="preserve">porcentaje, el cual debe ser en dinero. </w:t>
      </w:r>
    </w:p>
    <w:p w14:paraId="4231F2DB" w14:textId="77777777" w:rsidR="00CC17A9" w:rsidRPr="004031A8" w:rsidRDefault="00C133B6" w:rsidP="00C133B6">
      <w:pPr>
        <w:spacing w:before="120" w:after="120" w:line="276" w:lineRule="auto"/>
        <w:ind w:firstLine="709"/>
        <w:jc w:val="both"/>
        <w:rPr>
          <w:rFonts w:ascii="Arial" w:eastAsia="Calibri" w:hAnsi="Arial" w:cs="Arial"/>
          <w:bCs/>
          <w:sz w:val="22"/>
        </w:rPr>
      </w:pPr>
      <w:r w:rsidRPr="004031A8">
        <w:rPr>
          <w:rFonts w:ascii="Arial" w:eastAsia="Calibri" w:hAnsi="Arial" w:cs="Arial"/>
          <w:bCs/>
          <w:sz w:val="22"/>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4031A8">
        <w:rPr>
          <w:rStyle w:val="Refdenotaalpie"/>
          <w:rFonts w:ascii="Arial" w:eastAsia="Calibri" w:hAnsi="Arial" w:cs="Arial"/>
          <w:sz w:val="22"/>
        </w:rPr>
        <w:footnoteReference w:id="7"/>
      </w:r>
      <w:r w:rsidRPr="004031A8">
        <w:rPr>
          <w:rFonts w:ascii="Arial" w:eastAsia="Calibri" w:hAnsi="Arial" w:cs="Arial"/>
          <w:bCs/>
          <w:sz w:val="22"/>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w:t>
      </w:r>
    </w:p>
    <w:p w14:paraId="3898A9B9" w14:textId="39163D6C" w:rsidR="00C133B6" w:rsidRPr="004031A8" w:rsidRDefault="00C133B6" w:rsidP="00C133B6">
      <w:pPr>
        <w:spacing w:before="120" w:after="120" w:line="276" w:lineRule="auto"/>
        <w:ind w:firstLine="709"/>
        <w:jc w:val="both"/>
        <w:rPr>
          <w:rFonts w:ascii="Arial" w:eastAsia="Calibri" w:hAnsi="Arial" w:cs="Arial"/>
          <w:bCs/>
          <w:sz w:val="22"/>
        </w:rPr>
      </w:pPr>
      <w:r w:rsidRPr="004031A8">
        <w:rPr>
          <w:rFonts w:ascii="Arial" w:eastAsia="Calibri" w:hAnsi="Arial" w:cs="Arial"/>
          <w:bCs/>
          <w:sz w:val="22"/>
        </w:rPr>
        <w:t xml:space="preserve">Además, en atención al inciso 2 del artículo 5 del Decreto </w:t>
      </w:r>
      <w:r w:rsidR="00085E6B" w:rsidRPr="004031A8">
        <w:rPr>
          <w:rFonts w:ascii="Arial" w:eastAsia="Calibri" w:hAnsi="Arial" w:cs="Arial"/>
          <w:bCs/>
          <w:sz w:val="22"/>
        </w:rPr>
        <w:t>0</w:t>
      </w:r>
      <w:r w:rsidRPr="004031A8">
        <w:rPr>
          <w:rFonts w:ascii="Arial" w:eastAsia="Calibri" w:hAnsi="Arial" w:cs="Arial"/>
          <w:bCs/>
          <w:sz w:val="22"/>
        </w:rPr>
        <w:t>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53B3FB0B" w14:textId="014BF8CA" w:rsidR="00C133B6" w:rsidRPr="004031A8" w:rsidRDefault="00C133B6" w:rsidP="00C133B6">
      <w:pPr>
        <w:spacing w:before="120" w:after="120" w:line="276" w:lineRule="auto"/>
        <w:ind w:firstLine="709"/>
        <w:jc w:val="both"/>
        <w:rPr>
          <w:rFonts w:ascii="Arial" w:hAnsi="Arial" w:cs="Arial"/>
          <w:color w:val="000000" w:themeColor="text1"/>
          <w:sz w:val="22"/>
        </w:rPr>
      </w:pPr>
      <w:r w:rsidRPr="004031A8">
        <w:rPr>
          <w:rFonts w:ascii="Arial" w:hAnsi="Arial" w:cs="Arial"/>
          <w:color w:val="000000" w:themeColor="text1"/>
          <w:sz w:val="22"/>
        </w:rPr>
        <w:t xml:space="preserve">La noción «seleccionar de forma objetiva», contenida en la disposición </w:t>
      </w:r>
      <w:r w:rsidRPr="004031A8">
        <w:rPr>
          <w:rFonts w:ascii="Arial" w:hAnsi="Arial" w:cs="Arial"/>
          <w:i/>
          <w:iCs/>
          <w:color w:val="000000" w:themeColor="text1"/>
          <w:sz w:val="22"/>
        </w:rPr>
        <w:t xml:space="preserve">sub examine </w:t>
      </w:r>
      <w:r w:rsidRPr="004031A8">
        <w:rPr>
          <w:rFonts w:ascii="Arial" w:hAnsi="Arial" w:cs="Arial"/>
          <w:color w:val="000000" w:themeColor="text1"/>
          <w:sz w:val="22"/>
        </w:rPr>
        <w:t xml:space="preserve">no puede ser entendida como una remisión </w:t>
      </w:r>
      <w:r w:rsidR="00092592" w:rsidRPr="004031A8">
        <w:rPr>
          <w:rFonts w:ascii="Arial" w:hAnsi="Arial" w:cs="Arial"/>
          <w:color w:val="000000" w:themeColor="text1"/>
          <w:sz w:val="22"/>
        </w:rPr>
        <w:t xml:space="preserve">total </w:t>
      </w:r>
      <w:r w:rsidRPr="004031A8">
        <w:rPr>
          <w:rFonts w:ascii="Arial" w:hAnsi="Arial" w:cs="Arial"/>
          <w:color w:val="000000" w:themeColor="text1"/>
          <w:sz w:val="22"/>
        </w:rPr>
        <w:t xml:space="preserve">a las Leyes 80 de 1993 y 1150 de 2007. A lo que se refiere la norma es a que la </w:t>
      </w:r>
      <w:r w:rsidR="00092592" w:rsidRPr="004031A8">
        <w:rPr>
          <w:rFonts w:ascii="Arial" w:hAnsi="Arial" w:cs="Arial"/>
          <w:color w:val="000000" w:themeColor="text1"/>
          <w:sz w:val="22"/>
        </w:rPr>
        <w:t>e</w:t>
      </w:r>
      <w:r w:rsidRPr="004031A8">
        <w:rPr>
          <w:rFonts w:ascii="Arial" w:hAnsi="Arial" w:cs="Arial"/>
          <w:color w:val="000000" w:themeColor="text1"/>
          <w:sz w:val="22"/>
        </w:rPr>
        <w:t xml:space="preserve">ntidad </w:t>
      </w:r>
      <w:r w:rsidR="00092592" w:rsidRPr="004031A8">
        <w:rPr>
          <w:rFonts w:ascii="Arial" w:hAnsi="Arial" w:cs="Arial"/>
          <w:color w:val="000000" w:themeColor="text1"/>
          <w:sz w:val="22"/>
        </w:rPr>
        <w:t>e</w:t>
      </w:r>
      <w:r w:rsidRPr="004031A8">
        <w:rPr>
          <w:rFonts w:ascii="Arial" w:hAnsi="Arial" w:cs="Arial"/>
          <w:color w:val="000000" w:themeColor="text1"/>
          <w:sz w:val="22"/>
        </w:rPr>
        <w:t xml:space="preserve">statal debe diseñar herramientas que permitan una comparación objetiva de las entidades sin ánimo de lucro para seleccionar </w:t>
      </w:r>
      <w:r w:rsidRPr="004031A8">
        <w:rPr>
          <w:rFonts w:ascii="Arial" w:hAnsi="Arial" w:cs="Arial"/>
          <w:color w:val="000000" w:themeColor="text1"/>
          <w:sz w:val="22"/>
        </w:rPr>
        <w:lastRenderedPageBreak/>
        <w:t>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23EC905B" w14:textId="5A941368" w:rsidR="000E16BE" w:rsidRPr="004031A8" w:rsidRDefault="00092592" w:rsidP="000025CF">
      <w:pPr>
        <w:spacing w:before="120" w:line="276" w:lineRule="auto"/>
        <w:ind w:firstLine="708"/>
        <w:jc w:val="both"/>
        <w:rPr>
          <w:rFonts w:ascii="Arial" w:hAnsi="Arial" w:cs="Arial"/>
          <w:sz w:val="22"/>
        </w:rPr>
      </w:pPr>
      <w:r w:rsidRPr="004031A8">
        <w:rPr>
          <w:rFonts w:ascii="Arial" w:hAnsi="Arial" w:cs="Arial"/>
          <w:sz w:val="22"/>
        </w:rPr>
        <w:t>Ahora bien</w:t>
      </w:r>
      <w:r w:rsidR="0087128F" w:rsidRPr="004031A8">
        <w:rPr>
          <w:rFonts w:ascii="Arial" w:hAnsi="Arial" w:cs="Arial"/>
          <w:sz w:val="22"/>
        </w:rPr>
        <w:t xml:space="preserve">, para la celebración de </w:t>
      </w:r>
      <w:r w:rsidR="0087128F" w:rsidRPr="004031A8">
        <w:rPr>
          <w:rFonts w:ascii="Arial" w:hAnsi="Arial" w:cs="Arial"/>
          <w:i/>
          <w:sz w:val="22"/>
        </w:rPr>
        <w:t>contratos de</w:t>
      </w:r>
      <w:r w:rsidR="00AC1D56" w:rsidRPr="004031A8">
        <w:rPr>
          <w:rFonts w:ascii="Arial" w:hAnsi="Arial" w:cs="Arial"/>
          <w:i/>
          <w:sz w:val="22"/>
        </w:rPr>
        <w:t>l artículo 355 de la Constitución</w:t>
      </w:r>
      <w:r w:rsidR="0087128F" w:rsidRPr="004031A8">
        <w:rPr>
          <w:rFonts w:ascii="Arial" w:hAnsi="Arial" w:cs="Arial"/>
          <w:sz w:val="22"/>
        </w:rPr>
        <w:t xml:space="preserve">, cuando en la fase de planeación se determine que el programa a adelantarse es ofertado por más de una ESAL, las entidades estatales deberán adelantar procedimientos de contratación en los que se garanticen las tres fases definidas en el artículo 4 del Decreto </w:t>
      </w:r>
      <w:r w:rsidR="00B023C1" w:rsidRPr="004031A8">
        <w:rPr>
          <w:rFonts w:ascii="Arial" w:hAnsi="Arial" w:cs="Arial"/>
          <w:sz w:val="22"/>
        </w:rPr>
        <w:t>0</w:t>
      </w:r>
      <w:r w:rsidR="0087128F" w:rsidRPr="004031A8">
        <w:rPr>
          <w:rFonts w:ascii="Arial" w:hAnsi="Arial" w:cs="Arial"/>
          <w:sz w:val="22"/>
        </w:rPr>
        <w:t xml:space="preserve">92 de 2017, así como los componentes de las mismas. </w:t>
      </w:r>
      <w:r w:rsidR="00F15C1F" w:rsidRPr="004031A8">
        <w:rPr>
          <w:rFonts w:ascii="Arial" w:hAnsi="Arial" w:cs="Arial"/>
          <w:sz w:val="22"/>
        </w:rPr>
        <w:t>Estas fases son: (i)</w:t>
      </w:r>
      <w:r w:rsidR="00621831" w:rsidRPr="004031A8">
        <w:rPr>
          <w:rFonts w:ascii="Arial" w:hAnsi="Arial" w:cs="Arial"/>
          <w:sz w:val="22"/>
        </w:rPr>
        <w:t xml:space="preserve"> </w:t>
      </w:r>
      <w:r w:rsidR="00621831" w:rsidRPr="004031A8">
        <w:rPr>
          <w:rFonts w:ascii="Arial" w:hAnsi="Arial" w:cs="Arial"/>
          <w:i/>
          <w:iCs/>
          <w:sz w:val="22"/>
        </w:rPr>
        <w:t>convocatoria</w:t>
      </w:r>
      <w:r w:rsidR="00FA6ACD" w:rsidRPr="004031A8">
        <w:rPr>
          <w:rFonts w:ascii="Arial" w:hAnsi="Arial" w:cs="Arial"/>
          <w:sz w:val="22"/>
        </w:rPr>
        <w:t>, que corresponde a la</w:t>
      </w:r>
      <w:r w:rsidR="00F15C1F" w:rsidRPr="004031A8">
        <w:rPr>
          <w:rFonts w:ascii="Arial" w:hAnsi="Arial" w:cs="Arial"/>
          <w:sz w:val="22"/>
        </w:rPr>
        <w:t xml:space="preserve"> </w:t>
      </w:r>
      <w:r w:rsidR="00FA6ACD" w:rsidRPr="004031A8">
        <w:rPr>
          <w:rFonts w:ascii="Arial" w:hAnsi="Arial" w:cs="Arial"/>
          <w:sz w:val="22"/>
        </w:rPr>
        <w:t>«</w:t>
      </w:r>
      <w:r w:rsidR="00F15C1F" w:rsidRPr="004031A8">
        <w:rPr>
          <w:rFonts w:ascii="Arial" w:hAnsi="Arial" w:cs="Arial"/>
          <w:sz w:val="22"/>
        </w:rPr>
        <w:t>definición y publicación de los indicadores de idoneidad, experiencia, eficacia, eficiencia, economía y de manejo del Riesgo y los criterios de ponderación para comparar las ofertas</w:t>
      </w:r>
      <w:r w:rsidR="00287AA8" w:rsidRPr="004031A8">
        <w:rPr>
          <w:rFonts w:ascii="Arial" w:hAnsi="Arial" w:cs="Arial"/>
          <w:sz w:val="22"/>
        </w:rPr>
        <w:t>»</w:t>
      </w:r>
      <w:r w:rsidR="00F15C1F" w:rsidRPr="004031A8">
        <w:rPr>
          <w:rFonts w:ascii="Arial" w:hAnsi="Arial" w:cs="Arial"/>
          <w:sz w:val="22"/>
        </w:rPr>
        <w:t>; (ii)</w:t>
      </w:r>
      <w:r w:rsidR="00FA6ACD" w:rsidRPr="004031A8">
        <w:rPr>
          <w:rFonts w:ascii="Arial" w:hAnsi="Arial" w:cs="Arial"/>
          <w:sz w:val="22"/>
        </w:rPr>
        <w:t xml:space="preserve"> </w:t>
      </w:r>
      <w:r w:rsidR="00FA6ACD" w:rsidRPr="004031A8">
        <w:rPr>
          <w:rFonts w:ascii="Arial" w:hAnsi="Arial" w:cs="Arial"/>
          <w:i/>
          <w:iCs/>
          <w:sz w:val="22"/>
        </w:rPr>
        <w:t>plazo</w:t>
      </w:r>
      <w:r w:rsidR="00FA6ACD" w:rsidRPr="004031A8">
        <w:rPr>
          <w:rFonts w:ascii="Arial" w:hAnsi="Arial" w:cs="Arial"/>
          <w:sz w:val="22"/>
        </w:rPr>
        <w:t xml:space="preserve">, </w:t>
      </w:r>
      <w:r w:rsidR="00D542B7" w:rsidRPr="004031A8">
        <w:rPr>
          <w:rFonts w:ascii="Arial" w:hAnsi="Arial" w:cs="Arial"/>
          <w:sz w:val="22"/>
        </w:rPr>
        <w:t>es decir, la</w:t>
      </w:r>
      <w:r w:rsidR="00F15C1F" w:rsidRPr="004031A8">
        <w:rPr>
          <w:rFonts w:ascii="Arial" w:hAnsi="Arial" w:cs="Arial"/>
          <w:sz w:val="22"/>
        </w:rPr>
        <w:t xml:space="preserve"> </w:t>
      </w:r>
      <w:r w:rsidR="00D542B7" w:rsidRPr="004031A8">
        <w:rPr>
          <w:rFonts w:ascii="Arial" w:hAnsi="Arial" w:cs="Arial"/>
          <w:sz w:val="22"/>
        </w:rPr>
        <w:t>«</w:t>
      </w:r>
      <w:r w:rsidR="00F15C1F" w:rsidRPr="004031A8">
        <w:rPr>
          <w:rFonts w:ascii="Arial" w:hAnsi="Arial" w:cs="Arial"/>
          <w:sz w:val="22"/>
        </w:rPr>
        <w:t>definición de un plazo razonable para que las entidades privadas sin ánimo de lucro de reconocida idoneidad presenten a la Entidad Estatal sus ofertas y los documentos que acrediten su idoneidad</w:t>
      </w:r>
      <w:r w:rsidR="00287AA8" w:rsidRPr="004031A8">
        <w:rPr>
          <w:rFonts w:ascii="Arial" w:hAnsi="Arial" w:cs="Arial"/>
          <w:sz w:val="22"/>
        </w:rPr>
        <w:t>»</w:t>
      </w:r>
      <w:r w:rsidR="00F15C1F" w:rsidRPr="004031A8">
        <w:rPr>
          <w:rFonts w:ascii="Arial" w:hAnsi="Arial" w:cs="Arial"/>
          <w:sz w:val="22"/>
        </w:rPr>
        <w:t>, y</w:t>
      </w:r>
      <w:r w:rsidR="00E0173C" w:rsidRPr="004031A8">
        <w:rPr>
          <w:rFonts w:ascii="Arial" w:hAnsi="Arial" w:cs="Arial"/>
          <w:sz w:val="22"/>
        </w:rPr>
        <w:t xml:space="preserve"> (iii)</w:t>
      </w:r>
      <w:r w:rsidR="00F15C1F" w:rsidRPr="004031A8">
        <w:rPr>
          <w:rFonts w:ascii="Arial" w:hAnsi="Arial" w:cs="Arial"/>
          <w:sz w:val="22"/>
        </w:rPr>
        <w:t xml:space="preserve"> </w:t>
      </w:r>
      <w:r w:rsidR="00E0173C" w:rsidRPr="004031A8">
        <w:rPr>
          <w:rFonts w:ascii="Arial" w:hAnsi="Arial" w:cs="Arial"/>
          <w:i/>
          <w:iCs/>
          <w:sz w:val="22"/>
        </w:rPr>
        <w:t>evaluación</w:t>
      </w:r>
      <w:r w:rsidR="00E0173C" w:rsidRPr="004031A8">
        <w:rPr>
          <w:rFonts w:ascii="Arial" w:hAnsi="Arial" w:cs="Arial"/>
          <w:sz w:val="22"/>
        </w:rPr>
        <w:t xml:space="preserve">, que implica la </w:t>
      </w:r>
      <w:r w:rsidR="00287AA8" w:rsidRPr="004031A8">
        <w:rPr>
          <w:rFonts w:ascii="Arial" w:hAnsi="Arial" w:cs="Arial"/>
          <w:sz w:val="22"/>
        </w:rPr>
        <w:t>«</w:t>
      </w:r>
      <w:r w:rsidR="00F15C1F" w:rsidRPr="004031A8">
        <w:rPr>
          <w:rFonts w:ascii="Arial" w:hAnsi="Arial" w:cs="Arial"/>
          <w:sz w:val="22"/>
        </w:rPr>
        <w:t>evaluación de las ofertas por parte de la Entidad Estatal teniendo en cuenta los criterios definidos para el efecto</w:t>
      </w:r>
      <w:r w:rsidR="00287AA8" w:rsidRPr="004031A8">
        <w:rPr>
          <w:rFonts w:ascii="Arial" w:hAnsi="Arial" w:cs="Arial"/>
          <w:sz w:val="22"/>
        </w:rPr>
        <w:t>»</w:t>
      </w:r>
      <w:r w:rsidR="00F15C1F" w:rsidRPr="004031A8">
        <w:rPr>
          <w:rFonts w:ascii="Arial" w:hAnsi="Arial" w:cs="Arial"/>
          <w:sz w:val="22"/>
        </w:rPr>
        <w:t>.</w:t>
      </w:r>
    </w:p>
    <w:p w14:paraId="4B9AF3E4" w14:textId="7DB95532" w:rsidR="000025CF" w:rsidRPr="004031A8" w:rsidRDefault="00092592" w:rsidP="000025CF">
      <w:pPr>
        <w:spacing w:before="120" w:line="276" w:lineRule="auto"/>
        <w:ind w:firstLine="708"/>
        <w:jc w:val="both"/>
        <w:rPr>
          <w:rFonts w:ascii="Arial" w:hAnsi="Arial" w:cs="Arial"/>
          <w:sz w:val="22"/>
        </w:rPr>
      </w:pPr>
      <w:r w:rsidRPr="004031A8">
        <w:rPr>
          <w:rFonts w:ascii="Arial" w:hAnsi="Arial" w:cs="Arial"/>
          <w:sz w:val="22"/>
        </w:rPr>
        <w:t>De otro lado, e</w:t>
      </w:r>
      <w:r w:rsidR="0087128F" w:rsidRPr="004031A8">
        <w:rPr>
          <w:rFonts w:ascii="Arial" w:hAnsi="Arial" w:cs="Arial"/>
          <w:sz w:val="22"/>
        </w:rPr>
        <w:t xml:space="preserve">n cuanto a </w:t>
      </w:r>
      <w:r w:rsidR="0087128F" w:rsidRPr="004031A8">
        <w:rPr>
          <w:rFonts w:ascii="Arial" w:hAnsi="Arial" w:cs="Arial"/>
          <w:i/>
          <w:sz w:val="22"/>
        </w:rPr>
        <w:t>convenios de asociación</w:t>
      </w:r>
      <w:r w:rsidR="0087128F" w:rsidRPr="004031A8">
        <w:rPr>
          <w:rFonts w:ascii="Arial" w:hAnsi="Arial" w:cs="Arial"/>
          <w:sz w:val="22"/>
        </w:rPr>
        <w:t>,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w:t>
      </w:r>
      <w:r w:rsidR="00AC1D56" w:rsidRPr="004031A8">
        <w:rPr>
          <w:rFonts w:ascii="Arial" w:hAnsi="Arial" w:cs="Arial"/>
          <w:sz w:val="22"/>
        </w:rPr>
        <w:t xml:space="preserve">, por lo que </w:t>
      </w:r>
      <w:r w:rsidR="0087128F" w:rsidRPr="004031A8">
        <w:rPr>
          <w:rFonts w:ascii="Arial" w:hAnsi="Arial" w:cs="Arial"/>
          <w:sz w:val="22"/>
        </w:rPr>
        <w:t>este procedimiento puede ser análogo a otros donde existe competencia, como la licitación pública.</w:t>
      </w:r>
    </w:p>
    <w:p w14:paraId="3AB2B0DC" w14:textId="1F1A361F" w:rsidR="00C133B6" w:rsidRPr="004031A8" w:rsidRDefault="00C133B6" w:rsidP="000025CF">
      <w:pPr>
        <w:spacing w:before="120" w:line="276" w:lineRule="auto"/>
        <w:ind w:firstLine="708"/>
        <w:jc w:val="both"/>
        <w:rPr>
          <w:rFonts w:ascii="Arial" w:hAnsi="Arial" w:cs="Arial"/>
          <w:sz w:val="22"/>
        </w:rPr>
      </w:pPr>
      <w:r w:rsidRPr="004031A8">
        <w:rPr>
          <w:rFonts w:ascii="Arial" w:hAnsi="Arial" w:cs="Arial"/>
          <w:color w:val="000000" w:themeColor="text1"/>
          <w:sz w:val="22"/>
        </w:rPr>
        <w:t>Es importante aclarar que los negocios jurídicos que regula el Decreto 092 de 2017 «[…] son esencialmente distintos a los contratos para la adquisición y aprovisionamiento de bienes, obras o servicios regulados por el estatuto de contratación y[,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4031A8">
        <w:rPr>
          <w:rStyle w:val="Refdenotaalpie"/>
          <w:rFonts w:ascii="Arial" w:hAnsi="Arial" w:cs="Arial"/>
          <w:color w:val="000000" w:themeColor="text1"/>
          <w:sz w:val="22"/>
        </w:rPr>
        <w:footnoteReference w:id="8"/>
      </w:r>
      <w:r w:rsidRPr="004031A8">
        <w:rPr>
          <w:rFonts w:ascii="Arial" w:hAnsi="Arial" w:cs="Arial"/>
          <w:color w:val="000000" w:themeColor="text1"/>
          <w:sz w:val="22"/>
        </w:rPr>
        <w:t>. Así lo consideró la Sala de Consulta y Servicio Civil del Consejo de Estado</w:t>
      </w:r>
      <w:r w:rsidRPr="004031A8">
        <w:rPr>
          <w:rStyle w:val="Refdenotaalpie"/>
          <w:rFonts w:ascii="Arial" w:hAnsi="Arial" w:cs="Arial"/>
          <w:color w:val="000000" w:themeColor="text1"/>
          <w:sz w:val="22"/>
        </w:rPr>
        <w:footnoteReference w:id="9"/>
      </w:r>
      <w:r w:rsidRPr="004031A8">
        <w:rPr>
          <w:rFonts w:ascii="Arial" w:hAnsi="Arial" w:cs="Arial"/>
          <w:color w:val="000000" w:themeColor="text1"/>
          <w:sz w:val="22"/>
        </w:rPr>
        <w:t>:</w:t>
      </w:r>
    </w:p>
    <w:p w14:paraId="7437B5EB" w14:textId="77777777" w:rsidR="00C133B6" w:rsidRPr="004031A8" w:rsidRDefault="00C133B6" w:rsidP="00C133B6">
      <w:pPr>
        <w:pStyle w:val="Sinespaciado"/>
        <w:spacing w:line="276" w:lineRule="auto"/>
        <w:jc w:val="both"/>
        <w:rPr>
          <w:rFonts w:ascii="Arial" w:hAnsi="Arial" w:cs="Arial"/>
          <w:color w:val="000000" w:themeColor="text1"/>
          <w:sz w:val="22"/>
        </w:rPr>
      </w:pPr>
    </w:p>
    <w:p w14:paraId="184AFBF3" w14:textId="4A06515B" w:rsidR="00C133B6" w:rsidRPr="004031A8" w:rsidRDefault="00C133B6" w:rsidP="00C133B6">
      <w:pPr>
        <w:spacing w:after="120"/>
        <w:ind w:left="709"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 xml:space="preserve">Como ya se indicó, el objeto de los contratos que autoriza el inciso segundo del artículo 355 Superior, se limita a la realización de actividades o programas de interés público que, conforme a los planes de desarrollo, adelanten instituciones </w:t>
      </w:r>
      <w:r w:rsidRPr="004031A8">
        <w:rPr>
          <w:rFonts w:ascii="Arial" w:eastAsia="Calibri" w:hAnsi="Arial" w:cs="Arial"/>
          <w:color w:val="000000" w:themeColor="text1"/>
          <w:sz w:val="21"/>
          <w:szCs w:val="21"/>
        </w:rPr>
        <w:lastRenderedPageBreak/>
        <w:t>privadas sin ánimo de lucro.</w:t>
      </w:r>
      <w:r w:rsidR="00AA77EE" w:rsidRPr="004031A8">
        <w:rPr>
          <w:rFonts w:ascii="Arial" w:eastAsia="Calibri" w:hAnsi="Arial" w:cs="Arial"/>
          <w:color w:val="000000" w:themeColor="text1"/>
          <w:sz w:val="21"/>
          <w:szCs w:val="21"/>
        </w:rPr>
        <w:t xml:space="preserve"> </w:t>
      </w:r>
      <w:r w:rsidRPr="004031A8">
        <w:rPr>
          <w:rFonts w:ascii="Arial" w:eastAsia="Calibri" w:hAnsi="Arial" w:cs="Arial"/>
          <w:color w:val="000000" w:themeColor="text1"/>
          <w:sz w:val="21"/>
          <w:szCs w:val="21"/>
        </w:rPr>
        <w:t>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0FB04B42" w14:textId="77777777" w:rsidR="00C133B6" w:rsidRPr="004031A8" w:rsidRDefault="00C133B6" w:rsidP="00C133B6">
      <w:pPr>
        <w:ind w:left="708"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14:paraId="7943DC5E" w14:textId="77777777" w:rsidR="00C133B6" w:rsidRPr="004031A8" w:rsidRDefault="00C133B6" w:rsidP="00C133B6">
      <w:pPr>
        <w:spacing w:line="276" w:lineRule="auto"/>
        <w:jc w:val="both"/>
        <w:rPr>
          <w:rFonts w:ascii="Arial" w:eastAsia="Calibri" w:hAnsi="Arial" w:cs="Arial"/>
          <w:color w:val="000000" w:themeColor="text1"/>
          <w:sz w:val="22"/>
        </w:rPr>
      </w:pPr>
    </w:p>
    <w:p w14:paraId="3B6A0799" w14:textId="77777777" w:rsidR="00C133B6" w:rsidRPr="004031A8" w:rsidRDefault="00C133B6" w:rsidP="00C133B6">
      <w:pPr>
        <w:spacing w:line="276" w:lineRule="auto"/>
        <w:ind w:firstLine="708"/>
        <w:jc w:val="both"/>
        <w:rPr>
          <w:rFonts w:ascii="Arial" w:eastAsia="Calibri" w:hAnsi="Arial" w:cs="Arial"/>
          <w:color w:val="000000" w:themeColor="text1"/>
          <w:sz w:val="22"/>
        </w:rPr>
      </w:pPr>
      <w:bookmarkStart w:id="13" w:name="_Hlk95756200"/>
      <w:r w:rsidRPr="004031A8">
        <w:rPr>
          <w:rFonts w:ascii="Arial" w:eastAsia="Calibri" w:hAnsi="Arial" w:cs="Arial"/>
          <w:color w:val="000000" w:themeColor="text1"/>
          <w:sz w:val="22"/>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13"/>
      <w:r w:rsidRPr="004031A8">
        <w:rPr>
          <w:rFonts w:ascii="Arial" w:eastAsia="Calibri" w:hAnsi="Arial" w:cs="Arial"/>
          <w:color w:val="000000" w:themeColor="text1"/>
          <w:sz w:val="22"/>
        </w:rPr>
        <w:t>Así lo reconoció la Corte Constitucional en la sentencia C-287 del 18 de abril de 2012, en la que sostuvo lo siguiente:</w:t>
      </w:r>
    </w:p>
    <w:p w14:paraId="6DB23F63" w14:textId="77777777" w:rsidR="00C133B6" w:rsidRPr="004031A8" w:rsidRDefault="00C133B6" w:rsidP="00C133B6">
      <w:pPr>
        <w:spacing w:line="276" w:lineRule="auto"/>
        <w:ind w:firstLine="708"/>
        <w:jc w:val="both"/>
        <w:rPr>
          <w:rFonts w:ascii="Arial" w:eastAsia="Calibri" w:hAnsi="Arial" w:cs="Arial"/>
          <w:color w:val="000000" w:themeColor="text1"/>
          <w:sz w:val="22"/>
        </w:rPr>
      </w:pPr>
    </w:p>
    <w:p w14:paraId="6A36ABC1" w14:textId="77777777" w:rsidR="00C133B6" w:rsidRPr="004031A8" w:rsidRDefault="00C133B6" w:rsidP="00C133B6">
      <w:pPr>
        <w:ind w:left="709"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4E67EF71" w14:textId="77777777" w:rsidR="00C133B6" w:rsidRPr="004031A8" w:rsidRDefault="00C133B6" w:rsidP="00C133B6">
      <w:pPr>
        <w:ind w:left="709" w:right="709"/>
        <w:jc w:val="both"/>
        <w:rPr>
          <w:rFonts w:ascii="Arial" w:eastAsia="Calibri" w:hAnsi="Arial" w:cs="Arial"/>
          <w:color w:val="000000" w:themeColor="text1"/>
          <w:sz w:val="21"/>
          <w:szCs w:val="21"/>
        </w:rPr>
      </w:pPr>
    </w:p>
    <w:p w14:paraId="0459A436" w14:textId="77777777" w:rsidR="00C133B6" w:rsidRPr="004031A8" w:rsidRDefault="00C133B6" w:rsidP="00C133B6">
      <w:pPr>
        <w:ind w:left="709" w:right="709"/>
        <w:jc w:val="both"/>
        <w:rPr>
          <w:rFonts w:ascii="Arial" w:eastAsia="Calibri" w:hAnsi="Arial" w:cs="Arial"/>
          <w:color w:val="000000" w:themeColor="text1"/>
          <w:sz w:val="21"/>
          <w:szCs w:val="21"/>
        </w:rPr>
      </w:pPr>
      <w:r w:rsidRPr="004031A8">
        <w:rPr>
          <w:rFonts w:ascii="Arial" w:eastAsia="Calibri" w:hAnsi="Arial" w:cs="Arial"/>
          <w:i/>
          <w:iCs/>
          <w:color w:val="000000" w:themeColor="text1"/>
          <w:sz w:val="21"/>
          <w:szCs w:val="21"/>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4031A8">
        <w:rPr>
          <w:rFonts w:ascii="Arial" w:eastAsia="Calibri" w:hAnsi="Arial" w:cs="Arial"/>
          <w:color w:val="000000" w:themeColor="text1"/>
          <w:sz w:val="21"/>
          <w:szCs w:val="21"/>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7DFD5D24" w14:textId="77777777" w:rsidR="00C133B6" w:rsidRPr="004031A8" w:rsidRDefault="00C133B6" w:rsidP="00C133B6">
      <w:pPr>
        <w:spacing w:line="276" w:lineRule="auto"/>
        <w:ind w:firstLine="709"/>
        <w:jc w:val="both"/>
        <w:rPr>
          <w:rFonts w:ascii="Arial" w:eastAsia="Calibri" w:hAnsi="Arial" w:cs="Arial"/>
          <w:color w:val="000000" w:themeColor="text1"/>
          <w:sz w:val="22"/>
        </w:rPr>
      </w:pPr>
    </w:p>
    <w:p w14:paraId="7BEB30C0" w14:textId="77777777" w:rsidR="00C133B6" w:rsidRPr="004031A8" w:rsidRDefault="00C133B6" w:rsidP="00C133B6">
      <w:pPr>
        <w:spacing w:line="276" w:lineRule="auto"/>
        <w:ind w:firstLine="709"/>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w:t>
      </w:r>
      <w:r w:rsidRPr="004031A8">
        <w:rPr>
          <w:rFonts w:ascii="Arial" w:eastAsia="Calibri" w:hAnsi="Arial" w:cs="Arial"/>
          <w:color w:val="000000" w:themeColor="text1"/>
          <w:sz w:val="22"/>
        </w:rPr>
        <w:lastRenderedPageBreak/>
        <w:t>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08BA2D90" w14:textId="77777777" w:rsidR="00C133B6" w:rsidRPr="004031A8" w:rsidRDefault="00C133B6" w:rsidP="00C133B6">
      <w:pPr>
        <w:spacing w:line="276" w:lineRule="auto"/>
        <w:jc w:val="both"/>
        <w:rPr>
          <w:rFonts w:ascii="Arial" w:hAnsi="Arial" w:cs="Arial"/>
          <w:b/>
          <w:bCs/>
          <w:color w:val="000000" w:themeColor="text1"/>
          <w:sz w:val="22"/>
        </w:rPr>
      </w:pPr>
    </w:p>
    <w:p w14:paraId="6972B1DF" w14:textId="77777777" w:rsidR="00C133B6" w:rsidRPr="004031A8" w:rsidRDefault="00C133B6" w:rsidP="00C133B6">
      <w:pPr>
        <w:tabs>
          <w:tab w:val="left" w:pos="426"/>
        </w:tabs>
        <w:spacing w:line="276" w:lineRule="auto"/>
        <w:jc w:val="both"/>
        <w:rPr>
          <w:rFonts w:ascii="Arial" w:hAnsi="Arial" w:cs="Arial"/>
          <w:b/>
          <w:bCs/>
          <w:color w:val="000000" w:themeColor="text1"/>
          <w:sz w:val="22"/>
        </w:rPr>
      </w:pPr>
      <w:r w:rsidRPr="004031A8">
        <w:rPr>
          <w:rFonts w:ascii="Arial" w:hAnsi="Arial" w:cs="Arial"/>
          <w:b/>
          <w:bCs/>
          <w:color w:val="000000" w:themeColor="text1"/>
          <w:sz w:val="22"/>
        </w:rPr>
        <w:t>2.2.</w:t>
      </w:r>
      <w:r w:rsidRPr="004031A8">
        <w:rPr>
          <w:rFonts w:ascii="Arial" w:hAnsi="Arial" w:cs="Arial"/>
          <w:b/>
          <w:bCs/>
          <w:color w:val="000000" w:themeColor="text1"/>
          <w:sz w:val="22"/>
        </w:rPr>
        <w:tab/>
        <w:t>Suspensión provisional de algunas normas del Decreto 092 de 2017</w:t>
      </w:r>
    </w:p>
    <w:p w14:paraId="701E9991" w14:textId="77777777" w:rsidR="00C133B6" w:rsidRPr="004031A8" w:rsidRDefault="00C133B6" w:rsidP="00C133B6">
      <w:pPr>
        <w:spacing w:line="276" w:lineRule="auto"/>
        <w:jc w:val="both"/>
        <w:rPr>
          <w:rFonts w:ascii="Arial" w:hAnsi="Arial" w:cs="Arial"/>
          <w:b/>
          <w:bCs/>
          <w:color w:val="000000" w:themeColor="text1"/>
          <w:sz w:val="22"/>
        </w:rPr>
      </w:pPr>
    </w:p>
    <w:p w14:paraId="60F63C8B" w14:textId="34AF209C" w:rsidR="00C133B6" w:rsidRPr="004031A8" w:rsidRDefault="00C133B6" w:rsidP="00C133B6">
      <w:pPr>
        <w:spacing w:line="276" w:lineRule="auto"/>
        <w:jc w:val="both"/>
        <w:rPr>
          <w:rFonts w:ascii="Arial" w:eastAsia="Calibri" w:hAnsi="Arial" w:cs="Arial"/>
          <w:color w:val="000000" w:themeColor="text1"/>
          <w:sz w:val="22"/>
        </w:rPr>
      </w:pPr>
      <w:r w:rsidRPr="004031A8">
        <w:rPr>
          <w:rFonts w:ascii="Arial" w:eastAsia="Calibri" w:hAnsi="Arial" w:cs="Arial"/>
          <w:color w:val="000000" w:themeColor="text1"/>
          <w:sz w:val="22"/>
        </w:rPr>
        <w:t>El Consejo de Estado, en el Auto del 6 de agosto de 2019 de la Sección Tercera, Subsección A, radicado No. 11001-03-26-000-2018-00113-00 (62.003)</w:t>
      </w:r>
      <w:r w:rsidR="00027AD0" w:rsidRPr="004031A8">
        <w:rPr>
          <w:rStyle w:val="Refdenotaalpie"/>
          <w:rFonts w:ascii="Arial" w:eastAsia="Calibri" w:hAnsi="Arial" w:cs="Arial"/>
          <w:color w:val="000000" w:themeColor="text1"/>
          <w:sz w:val="22"/>
        </w:rPr>
        <w:footnoteReference w:id="10"/>
      </w:r>
      <w:r w:rsidRPr="004031A8">
        <w:rPr>
          <w:rFonts w:ascii="Arial" w:eastAsia="Calibri" w:hAnsi="Arial" w:cs="Arial"/>
          <w:color w:val="000000" w:themeColor="text1"/>
          <w:sz w:val="22"/>
        </w:rPr>
        <w:t>, estudió la solicitud de suspensión provisional del inciso 2 del artículo 1, literales a y c del artículo 2, inciso 5 del artículo 2, inciso 2 del artículo 3, inciso final del artículo 4 y artículo 5 del Decreto 092 de 2017</w:t>
      </w:r>
      <w:r w:rsidRPr="004031A8">
        <w:rPr>
          <w:rStyle w:val="Refdenotaalpie"/>
          <w:rFonts w:ascii="Arial" w:eastAsia="Calibri" w:hAnsi="Arial" w:cs="Arial"/>
          <w:color w:val="000000" w:themeColor="text1"/>
          <w:sz w:val="22"/>
        </w:rPr>
        <w:footnoteReference w:id="11"/>
      </w:r>
      <w:r w:rsidRPr="004031A8">
        <w:rPr>
          <w:rFonts w:ascii="Arial" w:eastAsia="Calibri" w:hAnsi="Arial" w:cs="Arial"/>
          <w:color w:val="000000" w:themeColor="text1"/>
          <w:sz w:val="22"/>
        </w:rPr>
        <w:t xml:space="preserve">. </w:t>
      </w:r>
      <w:r w:rsidR="00E518B7" w:rsidRPr="004031A8">
        <w:rPr>
          <w:rFonts w:ascii="Arial" w:eastAsia="Calibri" w:hAnsi="Arial" w:cs="Arial"/>
          <w:color w:val="000000" w:themeColor="text1"/>
          <w:sz w:val="22"/>
        </w:rPr>
        <w:t xml:space="preserve">Ahora bien, cabe precisar, previamente, que las decisiones adoptadas en el auto indicado fueron mantenidas en su mayoría </w:t>
      </w:r>
      <w:r w:rsidR="004B2C8C" w:rsidRPr="004031A8">
        <w:rPr>
          <w:rFonts w:ascii="Arial" w:eastAsia="Calibri" w:hAnsi="Arial" w:cs="Arial"/>
          <w:color w:val="000000" w:themeColor="text1"/>
          <w:sz w:val="22"/>
        </w:rPr>
        <w:t>en el reciente auto del 15 de marzo de 2022,</w:t>
      </w:r>
      <w:r w:rsidR="00710D25" w:rsidRPr="004031A8">
        <w:rPr>
          <w:rFonts w:ascii="Arial" w:eastAsia="Calibri" w:hAnsi="Arial" w:cs="Arial"/>
          <w:color w:val="000000" w:themeColor="text1"/>
          <w:sz w:val="22"/>
        </w:rPr>
        <w:t xml:space="preserve"> de la Sala Plena del Consejo de Estado</w:t>
      </w:r>
      <w:r w:rsidR="00710D25" w:rsidRPr="004031A8">
        <w:rPr>
          <w:rStyle w:val="Refdenotaalpie"/>
          <w:rFonts w:ascii="Arial" w:eastAsia="Calibri" w:hAnsi="Arial" w:cs="Arial"/>
          <w:color w:val="000000" w:themeColor="text1"/>
          <w:sz w:val="22"/>
        </w:rPr>
        <w:footnoteReference w:id="12"/>
      </w:r>
      <w:r w:rsidR="00710D25" w:rsidRPr="004031A8">
        <w:rPr>
          <w:rFonts w:ascii="Arial" w:eastAsia="Calibri" w:hAnsi="Arial" w:cs="Arial"/>
          <w:color w:val="000000" w:themeColor="text1"/>
          <w:sz w:val="22"/>
        </w:rPr>
        <w:t>,</w:t>
      </w:r>
      <w:r w:rsidR="004B2C8C" w:rsidRPr="004031A8">
        <w:rPr>
          <w:rFonts w:ascii="Arial" w:eastAsia="Calibri" w:hAnsi="Arial" w:cs="Arial"/>
          <w:color w:val="000000" w:themeColor="text1"/>
          <w:sz w:val="22"/>
        </w:rPr>
        <w:t xml:space="preserve"> mediante el cual se resuelve </w:t>
      </w:r>
      <w:r w:rsidR="00710D25" w:rsidRPr="004031A8">
        <w:rPr>
          <w:rFonts w:ascii="Arial" w:eastAsia="Calibri" w:hAnsi="Arial" w:cs="Arial"/>
          <w:color w:val="000000" w:themeColor="text1"/>
          <w:sz w:val="22"/>
        </w:rPr>
        <w:t>el recurso de súplica frente a</w:t>
      </w:r>
      <w:r w:rsidR="006A1C5D" w:rsidRPr="004031A8">
        <w:rPr>
          <w:rFonts w:ascii="Arial" w:eastAsia="Calibri" w:hAnsi="Arial" w:cs="Arial"/>
          <w:color w:val="000000" w:themeColor="text1"/>
          <w:sz w:val="22"/>
        </w:rPr>
        <w:t xml:space="preserve">l anterior auto que, como se explicará, suspendió provisionalmente varios apartes del Decreto 092 de 2017. En este sentido, </w:t>
      </w:r>
      <w:r w:rsidR="00B47625" w:rsidRPr="004031A8">
        <w:rPr>
          <w:rFonts w:ascii="Arial" w:eastAsia="Calibri" w:hAnsi="Arial" w:cs="Arial"/>
          <w:color w:val="000000" w:themeColor="text1"/>
          <w:sz w:val="22"/>
        </w:rPr>
        <w:t>en el último auto se levantó la suspensión provisional del inciso segundo del artículo 1 y del inciso segundo del artículo 3, manteniendo en lo demás la suspensión provisional, como se precisará a continuación.</w:t>
      </w:r>
    </w:p>
    <w:p w14:paraId="617D9DD9" w14:textId="74D3A07E" w:rsidR="00C133B6" w:rsidRPr="004031A8" w:rsidRDefault="00C133B6" w:rsidP="00C133B6">
      <w:pPr>
        <w:spacing w:before="120" w:line="276" w:lineRule="auto"/>
        <w:ind w:firstLine="708"/>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La </w:t>
      </w:r>
      <w:r w:rsidRPr="004031A8">
        <w:rPr>
          <w:rFonts w:ascii="Arial" w:eastAsia="Calibri" w:hAnsi="Arial" w:cs="Arial"/>
          <w:i/>
          <w:iCs/>
          <w:color w:val="000000" w:themeColor="text1"/>
          <w:sz w:val="22"/>
        </w:rPr>
        <w:t>primera</w:t>
      </w:r>
      <w:r w:rsidRPr="004031A8">
        <w:rPr>
          <w:rFonts w:ascii="Arial" w:eastAsia="Calibri" w:hAnsi="Arial" w:cs="Arial"/>
          <w:color w:val="000000" w:themeColor="text1"/>
          <w:sz w:val="22"/>
        </w:rPr>
        <w:t xml:space="preserve"> norma que estudió el Consejo de Estado </w:t>
      </w:r>
      <w:r w:rsidR="00B47625" w:rsidRPr="004031A8">
        <w:rPr>
          <w:rFonts w:ascii="Arial" w:eastAsia="Calibri" w:hAnsi="Arial" w:cs="Arial"/>
          <w:color w:val="000000" w:themeColor="text1"/>
          <w:sz w:val="22"/>
        </w:rPr>
        <w:t xml:space="preserve">en el auto del 6 de agosto de 2019 </w:t>
      </w:r>
      <w:r w:rsidRPr="004031A8">
        <w:rPr>
          <w:rFonts w:ascii="Arial" w:eastAsia="Calibri" w:hAnsi="Arial" w:cs="Arial"/>
          <w:color w:val="000000" w:themeColor="text1"/>
          <w:sz w:val="22"/>
        </w:rPr>
        <w:t>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4031A8">
        <w:rPr>
          <w:rStyle w:val="Refdenotaalpie"/>
          <w:rFonts w:ascii="Arial" w:eastAsia="Calibri" w:hAnsi="Arial" w:cs="Arial"/>
          <w:color w:val="000000" w:themeColor="text1"/>
          <w:sz w:val="22"/>
        </w:rPr>
        <w:footnoteReference w:id="13"/>
      </w:r>
      <w:r w:rsidRPr="004031A8">
        <w:rPr>
          <w:rFonts w:ascii="Arial" w:eastAsia="Calibri" w:hAnsi="Arial" w:cs="Arial"/>
          <w:color w:val="000000" w:themeColor="text1"/>
          <w:sz w:val="22"/>
        </w:rPr>
        <w:t xml:space="preserve">. Señaló que esta disposición, así como el inciso segundo del artículo 3 del Decreto </w:t>
      </w:r>
      <w:r w:rsidRPr="004031A8">
        <w:rPr>
          <w:rFonts w:ascii="Arial" w:eastAsia="Calibri" w:hAnsi="Arial" w:cs="Arial"/>
          <w:color w:val="000000" w:themeColor="text1"/>
          <w:sz w:val="22"/>
        </w:rPr>
        <w:lastRenderedPageBreak/>
        <w:t>092 de 2017</w:t>
      </w:r>
      <w:r w:rsidRPr="004031A8">
        <w:rPr>
          <w:rStyle w:val="Refdenotaalpie"/>
          <w:rFonts w:ascii="Arial" w:eastAsia="Calibri" w:hAnsi="Arial" w:cs="Arial"/>
          <w:color w:val="000000" w:themeColor="text1"/>
          <w:sz w:val="22"/>
        </w:rPr>
        <w:footnoteReference w:id="14"/>
      </w:r>
      <w:r w:rsidRPr="004031A8">
        <w:rPr>
          <w:rFonts w:ascii="Arial" w:eastAsia="Calibri" w:hAnsi="Arial" w:cs="Arial"/>
          <w:color w:val="000000" w:themeColor="text1"/>
          <w:sz w:val="22"/>
        </w:rPr>
        <w:t>, exced</w:t>
      </w:r>
      <w:r w:rsidR="00EB0480" w:rsidRPr="004031A8">
        <w:rPr>
          <w:rFonts w:ascii="Arial" w:eastAsia="Calibri" w:hAnsi="Arial" w:cs="Arial"/>
          <w:color w:val="000000" w:themeColor="text1"/>
          <w:sz w:val="22"/>
        </w:rPr>
        <w:t>ían</w:t>
      </w:r>
      <w:r w:rsidRPr="004031A8">
        <w:rPr>
          <w:rFonts w:ascii="Arial" w:eastAsia="Calibri" w:hAnsi="Arial" w:cs="Arial"/>
          <w:color w:val="000000" w:themeColor="text1"/>
          <w:sz w:val="22"/>
        </w:rPr>
        <w:t xml:space="preserve"> la potestad reglamentaria, que est</w:t>
      </w:r>
      <w:r w:rsidR="00EB0480" w:rsidRPr="004031A8">
        <w:rPr>
          <w:rFonts w:ascii="Arial" w:eastAsia="Calibri" w:hAnsi="Arial" w:cs="Arial"/>
          <w:color w:val="000000" w:themeColor="text1"/>
          <w:sz w:val="22"/>
        </w:rPr>
        <w:t>aba</w:t>
      </w:r>
      <w:r w:rsidRPr="004031A8">
        <w:rPr>
          <w:rFonts w:ascii="Arial" w:eastAsia="Calibri" w:hAnsi="Arial" w:cs="Arial"/>
          <w:color w:val="000000" w:themeColor="text1"/>
          <w:sz w:val="22"/>
        </w:rPr>
        <w:t xml:space="preserve"> exclusivamente asignada al Presidente de la República, toda vez que la esencia de la facultad reglamentaria es de carácter permanente, inalienable, intransferible e irrenunciable, y el Presidente no la </w:t>
      </w:r>
      <w:r w:rsidR="00EB0480" w:rsidRPr="004031A8">
        <w:rPr>
          <w:rFonts w:ascii="Arial" w:eastAsia="Calibri" w:hAnsi="Arial" w:cs="Arial"/>
          <w:color w:val="000000" w:themeColor="text1"/>
          <w:sz w:val="22"/>
        </w:rPr>
        <w:t xml:space="preserve">podía </w:t>
      </w:r>
      <w:r w:rsidRPr="004031A8">
        <w:rPr>
          <w:rFonts w:ascii="Arial" w:eastAsia="Calibri" w:hAnsi="Arial" w:cs="Arial"/>
          <w:color w:val="000000" w:themeColor="text1"/>
          <w:sz w:val="22"/>
        </w:rPr>
        <w:t>delegar en una entidad como la Agencia Nacional de Contratación Pública – Colombia Compra Eficiente, para que a través de una guía reglament</w:t>
      </w:r>
      <w:r w:rsidR="00EB0480" w:rsidRPr="004031A8">
        <w:rPr>
          <w:rFonts w:ascii="Arial" w:eastAsia="Calibri" w:hAnsi="Arial" w:cs="Arial"/>
          <w:color w:val="000000" w:themeColor="text1"/>
          <w:sz w:val="22"/>
        </w:rPr>
        <w:t>ara</w:t>
      </w:r>
      <w:r w:rsidRPr="004031A8">
        <w:rPr>
          <w:rFonts w:ascii="Arial" w:eastAsia="Calibri" w:hAnsi="Arial" w:cs="Arial"/>
          <w:color w:val="000000" w:themeColor="text1"/>
          <w:sz w:val="22"/>
        </w:rPr>
        <w:t xml:space="preserve"> los vacíos de un Decreto. Al respecto señal</w:t>
      </w:r>
      <w:r w:rsidR="00EB0480" w:rsidRPr="004031A8">
        <w:rPr>
          <w:rFonts w:ascii="Arial" w:eastAsia="Calibri" w:hAnsi="Arial" w:cs="Arial"/>
          <w:color w:val="000000" w:themeColor="text1"/>
          <w:sz w:val="22"/>
        </w:rPr>
        <w:t>ó</w:t>
      </w:r>
      <w:r w:rsidRPr="004031A8">
        <w:rPr>
          <w:rFonts w:ascii="Arial" w:eastAsia="Calibri" w:hAnsi="Arial" w:cs="Arial"/>
          <w:color w:val="000000" w:themeColor="text1"/>
          <w:sz w:val="22"/>
        </w:rPr>
        <w:t xml:space="preserve">: </w:t>
      </w:r>
    </w:p>
    <w:p w14:paraId="2B1D899D" w14:textId="77777777" w:rsidR="00C133B6" w:rsidRPr="004031A8" w:rsidRDefault="00C133B6" w:rsidP="00C133B6">
      <w:pPr>
        <w:spacing w:line="276" w:lineRule="auto"/>
        <w:jc w:val="both"/>
        <w:rPr>
          <w:rFonts w:ascii="Arial" w:eastAsia="Calibri" w:hAnsi="Arial" w:cs="Arial"/>
          <w:color w:val="000000" w:themeColor="text1"/>
          <w:sz w:val="22"/>
        </w:rPr>
      </w:pPr>
    </w:p>
    <w:p w14:paraId="27352893" w14:textId="77777777" w:rsidR="00C133B6" w:rsidRPr="004031A8" w:rsidRDefault="00C133B6" w:rsidP="00C133B6">
      <w:pPr>
        <w:tabs>
          <w:tab w:val="left" w:pos="8789"/>
        </w:tabs>
        <w:ind w:left="708"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3D624F64" w14:textId="77777777" w:rsidR="00C133B6" w:rsidRPr="004031A8" w:rsidRDefault="00C133B6" w:rsidP="00C133B6">
      <w:pPr>
        <w:tabs>
          <w:tab w:val="left" w:pos="8789"/>
        </w:tabs>
        <w:spacing w:line="276" w:lineRule="auto"/>
        <w:ind w:left="708" w:right="709"/>
        <w:jc w:val="both"/>
        <w:rPr>
          <w:rFonts w:ascii="Arial" w:eastAsia="Calibri" w:hAnsi="Arial" w:cs="Arial"/>
          <w:color w:val="000000" w:themeColor="text1"/>
          <w:sz w:val="21"/>
          <w:szCs w:val="21"/>
        </w:rPr>
      </w:pPr>
    </w:p>
    <w:p w14:paraId="7F8C8DCF" w14:textId="75C0EF2A" w:rsidR="00C133B6" w:rsidRPr="004031A8" w:rsidRDefault="00C133B6" w:rsidP="004031A8">
      <w:pPr>
        <w:spacing w:after="120" w:line="276" w:lineRule="auto"/>
        <w:ind w:firstLine="709"/>
        <w:jc w:val="both"/>
        <w:rPr>
          <w:rFonts w:ascii="Arial" w:eastAsia="Calibri" w:hAnsi="Arial" w:cs="Arial"/>
          <w:color w:val="000000" w:themeColor="text1"/>
          <w:sz w:val="22"/>
        </w:rPr>
      </w:pPr>
      <w:bookmarkStart w:id="14" w:name="_Hlk95756437"/>
      <w:r w:rsidRPr="004031A8">
        <w:rPr>
          <w:rFonts w:ascii="Arial" w:eastAsia="Calibri" w:hAnsi="Arial" w:cs="Arial"/>
          <w:color w:val="000000" w:themeColor="text1"/>
          <w:sz w:val="22"/>
        </w:rPr>
        <w:t>En virtud de este análisis, el Consejo de Estado</w:t>
      </w:r>
      <w:r w:rsidR="00B47625" w:rsidRPr="004031A8">
        <w:rPr>
          <w:rFonts w:ascii="Arial" w:eastAsia="Calibri" w:hAnsi="Arial" w:cs="Arial"/>
          <w:color w:val="000000" w:themeColor="text1"/>
          <w:sz w:val="22"/>
        </w:rPr>
        <w:t>, en el auto del 9 de agosto de 2019</w:t>
      </w:r>
      <w:r w:rsidRPr="004031A8">
        <w:rPr>
          <w:rFonts w:ascii="Arial" w:eastAsia="Calibri" w:hAnsi="Arial" w:cs="Arial"/>
          <w:color w:val="000000" w:themeColor="text1"/>
          <w:sz w:val="22"/>
        </w:rPr>
        <w:t xml:space="preserve"> suspendió provisionalmente el inciso 2 del artículo primero y el inciso 2 del artículo 3, lo que significa</w:t>
      </w:r>
      <w:r w:rsidR="00B47625" w:rsidRPr="004031A8">
        <w:rPr>
          <w:rFonts w:ascii="Arial" w:eastAsia="Calibri" w:hAnsi="Arial" w:cs="Arial"/>
          <w:color w:val="000000" w:themeColor="text1"/>
          <w:sz w:val="22"/>
        </w:rPr>
        <w:t>ba</w:t>
      </w:r>
      <w:r w:rsidRPr="004031A8">
        <w:rPr>
          <w:rFonts w:ascii="Arial" w:eastAsia="Calibri" w:hAnsi="Arial" w:cs="Arial"/>
          <w:color w:val="000000" w:themeColor="text1"/>
          <w:sz w:val="22"/>
        </w:rPr>
        <w:t xml:space="preserve"> que los contratos celebrados con entidades sin ánimo de lucro no </w:t>
      </w:r>
      <w:r w:rsidR="00B47625" w:rsidRPr="004031A8">
        <w:rPr>
          <w:rFonts w:ascii="Arial" w:eastAsia="Calibri" w:hAnsi="Arial" w:cs="Arial"/>
          <w:color w:val="000000" w:themeColor="text1"/>
          <w:sz w:val="22"/>
        </w:rPr>
        <w:t xml:space="preserve">tenían </w:t>
      </w:r>
      <w:r w:rsidRPr="004031A8">
        <w:rPr>
          <w:rFonts w:ascii="Arial" w:eastAsia="Calibri" w:hAnsi="Arial" w:cs="Arial"/>
          <w:color w:val="000000" w:themeColor="text1"/>
          <w:sz w:val="22"/>
        </w:rPr>
        <w:t>que aplicar la «Guía para la contratación con entidades privadas sin ánimo de lucro y de reconocida idoneidad», expedida por la Agencia Nacional de Contratación Pública–Colombia Compra Eficiente</w:t>
      </w:r>
      <w:bookmarkEnd w:id="14"/>
      <w:r w:rsidRPr="004031A8">
        <w:rPr>
          <w:rFonts w:ascii="Arial" w:eastAsia="Calibri" w:hAnsi="Arial" w:cs="Arial"/>
          <w:color w:val="000000" w:themeColor="text1"/>
          <w:sz w:val="22"/>
        </w:rPr>
        <w:t xml:space="preserve">. </w:t>
      </w:r>
    </w:p>
    <w:p w14:paraId="694CB292" w14:textId="4D59B224" w:rsidR="00B47625" w:rsidRPr="004031A8" w:rsidRDefault="00B47625" w:rsidP="00C133B6">
      <w:pPr>
        <w:spacing w:line="276" w:lineRule="auto"/>
        <w:ind w:firstLine="709"/>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Sin embargo, mediante </w:t>
      </w:r>
      <w:r w:rsidR="00E520C7" w:rsidRPr="004031A8">
        <w:rPr>
          <w:rFonts w:ascii="Arial" w:eastAsia="Calibri" w:hAnsi="Arial" w:cs="Arial"/>
          <w:color w:val="000000" w:themeColor="text1"/>
          <w:sz w:val="22"/>
        </w:rPr>
        <w:t>el auto del 15 de marzo de 2022 de la Sala Plena del Consejo de Estado, al que se hizo referencia en inicio de este acápite, se ordenó levantar la suspensión provisional del inciso segundo del artículo 1 y del inciso segundo del artículo 3, al considerar la Alta Corporación que:</w:t>
      </w:r>
    </w:p>
    <w:p w14:paraId="649DC4C9" w14:textId="13932F42" w:rsidR="00E520C7" w:rsidRPr="004031A8" w:rsidRDefault="00E520C7" w:rsidP="00C133B6">
      <w:pPr>
        <w:spacing w:line="276" w:lineRule="auto"/>
        <w:ind w:firstLine="709"/>
        <w:jc w:val="both"/>
        <w:rPr>
          <w:rFonts w:ascii="Arial" w:eastAsia="Calibri" w:hAnsi="Arial" w:cs="Arial"/>
          <w:color w:val="000000" w:themeColor="text1"/>
          <w:sz w:val="22"/>
        </w:rPr>
      </w:pPr>
    </w:p>
    <w:p w14:paraId="1088C175" w14:textId="22787B26" w:rsidR="00E520C7" w:rsidRPr="004031A8" w:rsidRDefault="00047FFA" w:rsidP="00E520C7">
      <w:pPr>
        <w:ind w:left="708"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 xml:space="preserve">28. </w:t>
      </w:r>
      <w:r w:rsidR="00E520C7" w:rsidRPr="004031A8">
        <w:rPr>
          <w:rFonts w:ascii="Arial" w:eastAsia="Calibri" w:hAnsi="Arial" w:cs="Arial"/>
          <w:color w:val="000000" w:themeColor="text1"/>
          <w:sz w:val="21"/>
          <w:szCs w:val="21"/>
        </w:rPr>
        <w:t>Contrario a la conclusión a la que se arribó en el auto suplicado, la Sala observa que de la simple confrontación de la norma no se advierte, prima facie, que lo ordenado en el inciso segundo del artículo 1, así como en el inciso segundo del artículo</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t>3</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t>del</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t>Decreto</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t>092</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t>de</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t>2017,</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t>conlleve,</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t>per</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t>se,</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t>la</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t>delegación</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lastRenderedPageBreak/>
        <w:t>de</w:t>
      </w:r>
      <w:r w:rsidR="00AA77EE" w:rsidRPr="004031A8">
        <w:rPr>
          <w:rFonts w:ascii="Arial" w:eastAsia="Calibri" w:hAnsi="Arial" w:cs="Arial"/>
          <w:color w:val="000000" w:themeColor="text1"/>
          <w:sz w:val="21"/>
          <w:szCs w:val="21"/>
        </w:rPr>
        <w:t xml:space="preserve"> </w:t>
      </w:r>
      <w:r w:rsidR="00E520C7" w:rsidRPr="004031A8">
        <w:rPr>
          <w:rFonts w:ascii="Arial" w:eastAsia="Calibri" w:hAnsi="Arial" w:cs="Arial"/>
          <w:color w:val="000000" w:themeColor="text1"/>
          <w:sz w:val="21"/>
          <w:szCs w:val="21"/>
        </w:rPr>
        <w:t>la facultad reglamentaria directa de la Constitución, atribuida al Gobierno nacional en el artículo 355 superior.</w:t>
      </w:r>
    </w:p>
    <w:p w14:paraId="76FE3FDA" w14:textId="12E47599" w:rsidR="00E520C7" w:rsidRPr="004031A8" w:rsidRDefault="00E520C7" w:rsidP="00E520C7">
      <w:pPr>
        <w:ind w:left="708" w:right="709"/>
        <w:jc w:val="both"/>
        <w:rPr>
          <w:rFonts w:ascii="Arial" w:eastAsia="Calibri" w:hAnsi="Arial" w:cs="Arial"/>
          <w:color w:val="000000" w:themeColor="text1"/>
          <w:sz w:val="21"/>
          <w:szCs w:val="21"/>
        </w:rPr>
      </w:pPr>
    </w:p>
    <w:p w14:paraId="61803B88" w14:textId="42062F03" w:rsidR="00E520C7" w:rsidRPr="004031A8" w:rsidRDefault="00E520C7" w:rsidP="009957EA">
      <w:pPr>
        <w:spacing w:line="276" w:lineRule="auto"/>
        <w:ind w:firstLine="709"/>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En armonía con lo anterior, en relación con el inciso segundo del artículo primero </w:t>
      </w:r>
      <w:r w:rsidR="00AA77EE" w:rsidRPr="004031A8">
        <w:rPr>
          <w:rFonts w:ascii="Arial" w:eastAsia="Calibri" w:hAnsi="Arial" w:cs="Arial"/>
          <w:color w:val="000000" w:themeColor="text1"/>
          <w:sz w:val="22"/>
        </w:rPr>
        <w:t xml:space="preserve">del Decreto 092 de 2017, </w:t>
      </w:r>
      <w:r w:rsidRPr="004031A8">
        <w:rPr>
          <w:rFonts w:ascii="Arial" w:eastAsia="Calibri" w:hAnsi="Arial" w:cs="Arial"/>
          <w:color w:val="000000" w:themeColor="text1"/>
          <w:sz w:val="22"/>
        </w:rPr>
        <w:t>que establece que las</w:t>
      </w:r>
      <w:r w:rsidR="00AA77EE" w:rsidRPr="004031A8">
        <w:rPr>
          <w:rFonts w:ascii="Arial" w:eastAsia="Calibri" w:hAnsi="Arial" w:cs="Arial"/>
          <w:color w:val="000000" w:themeColor="text1"/>
          <w:sz w:val="22"/>
        </w:rPr>
        <w:t xml:space="preserve"> </w:t>
      </w:r>
      <w:r w:rsidRPr="004031A8">
        <w:rPr>
          <w:rFonts w:ascii="Arial" w:eastAsia="Calibri" w:hAnsi="Arial" w:cs="Arial"/>
          <w:color w:val="000000" w:themeColor="text1"/>
          <w:sz w:val="22"/>
        </w:rPr>
        <w:t>expresiones</w:t>
      </w:r>
      <w:r w:rsidR="00AA77EE" w:rsidRPr="004031A8">
        <w:rPr>
          <w:rFonts w:ascii="Arial" w:eastAsia="Calibri" w:hAnsi="Arial" w:cs="Arial"/>
          <w:color w:val="000000" w:themeColor="text1"/>
          <w:sz w:val="22"/>
        </w:rPr>
        <w:t xml:space="preserve"> </w:t>
      </w:r>
      <w:r w:rsidRPr="004031A8">
        <w:rPr>
          <w:rFonts w:ascii="Arial" w:eastAsia="Calibri" w:hAnsi="Arial" w:cs="Arial"/>
          <w:color w:val="000000" w:themeColor="text1"/>
          <w:sz w:val="22"/>
        </w:rPr>
        <w:t xml:space="preserve">utilizadas </w:t>
      </w:r>
      <w:r w:rsidR="00AA77EE" w:rsidRPr="004031A8">
        <w:rPr>
          <w:rFonts w:ascii="Arial" w:eastAsia="Calibri" w:hAnsi="Arial" w:cs="Arial"/>
          <w:color w:val="000000" w:themeColor="text1"/>
          <w:sz w:val="22"/>
        </w:rPr>
        <w:t>en el decreto</w:t>
      </w:r>
      <w:r w:rsidRPr="004031A8">
        <w:rPr>
          <w:rFonts w:ascii="Arial" w:eastAsia="Calibri" w:hAnsi="Arial" w:cs="Arial"/>
          <w:color w:val="000000" w:themeColor="text1"/>
          <w:sz w:val="22"/>
        </w:rPr>
        <w:t xml:space="preserve"> con mayúscula inicial deben ser entendidas con el</w:t>
      </w:r>
      <w:r w:rsidR="00AA77EE" w:rsidRPr="004031A8">
        <w:rPr>
          <w:rFonts w:ascii="Arial" w:eastAsia="Calibri" w:hAnsi="Arial" w:cs="Arial"/>
          <w:color w:val="000000" w:themeColor="text1"/>
          <w:sz w:val="22"/>
        </w:rPr>
        <w:t xml:space="preserve"> </w:t>
      </w:r>
      <w:r w:rsidRPr="004031A8">
        <w:rPr>
          <w:rFonts w:ascii="Arial" w:eastAsia="Calibri" w:hAnsi="Arial" w:cs="Arial"/>
          <w:color w:val="000000" w:themeColor="text1"/>
          <w:sz w:val="22"/>
        </w:rPr>
        <w:t>significado indicado en</w:t>
      </w:r>
      <w:r w:rsidR="00AA77EE" w:rsidRPr="004031A8">
        <w:rPr>
          <w:rFonts w:ascii="Arial" w:eastAsia="Calibri" w:hAnsi="Arial" w:cs="Arial"/>
          <w:color w:val="000000" w:themeColor="text1"/>
          <w:sz w:val="22"/>
        </w:rPr>
        <w:t xml:space="preserve"> </w:t>
      </w:r>
      <w:r w:rsidRPr="004031A8">
        <w:rPr>
          <w:rFonts w:ascii="Arial" w:eastAsia="Calibri" w:hAnsi="Arial" w:cs="Arial"/>
          <w:color w:val="000000" w:themeColor="text1"/>
          <w:sz w:val="22"/>
        </w:rPr>
        <w:t>la guía que expida la</w:t>
      </w:r>
      <w:r w:rsidR="00AA77EE" w:rsidRPr="004031A8">
        <w:rPr>
          <w:rFonts w:ascii="Arial" w:eastAsia="Calibri" w:hAnsi="Arial" w:cs="Arial"/>
          <w:color w:val="000000" w:themeColor="text1"/>
          <w:sz w:val="22"/>
        </w:rPr>
        <w:t xml:space="preserve"> </w:t>
      </w:r>
      <w:r w:rsidRPr="004031A8">
        <w:rPr>
          <w:rFonts w:ascii="Arial" w:eastAsia="Calibri" w:hAnsi="Arial" w:cs="Arial"/>
          <w:color w:val="000000" w:themeColor="text1"/>
          <w:sz w:val="22"/>
        </w:rPr>
        <w:t>Agencia</w:t>
      </w:r>
      <w:r w:rsidR="00AA77EE" w:rsidRPr="004031A8">
        <w:rPr>
          <w:rFonts w:ascii="Arial" w:eastAsia="Calibri" w:hAnsi="Arial" w:cs="Arial"/>
          <w:color w:val="000000" w:themeColor="text1"/>
          <w:sz w:val="22"/>
        </w:rPr>
        <w:t xml:space="preserve"> </w:t>
      </w:r>
      <w:r w:rsidRPr="004031A8">
        <w:rPr>
          <w:rFonts w:ascii="Arial" w:eastAsia="Calibri" w:hAnsi="Arial" w:cs="Arial"/>
          <w:color w:val="000000" w:themeColor="text1"/>
          <w:sz w:val="22"/>
        </w:rPr>
        <w:t>Nacional</w:t>
      </w:r>
      <w:r w:rsidR="00AA77EE" w:rsidRPr="004031A8">
        <w:rPr>
          <w:rFonts w:ascii="Arial" w:eastAsia="Calibri" w:hAnsi="Arial" w:cs="Arial"/>
          <w:color w:val="000000" w:themeColor="text1"/>
          <w:sz w:val="22"/>
        </w:rPr>
        <w:t xml:space="preserve"> </w:t>
      </w:r>
      <w:r w:rsidRPr="004031A8">
        <w:rPr>
          <w:rFonts w:ascii="Arial" w:eastAsia="Calibri" w:hAnsi="Arial" w:cs="Arial"/>
          <w:color w:val="000000" w:themeColor="text1"/>
          <w:sz w:val="22"/>
        </w:rPr>
        <w:t>de</w:t>
      </w:r>
      <w:r w:rsidR="00AA77EE" w:rsidRPr="004031A8">
        <w:rPr>
          <w:rFonts w:ascii="Arial" w:eastAsia="Calibri" w:hAnsi="Arial" w:cs="Arial"/>
          <w:color w:val="000000" w:themeColor="text1"/>
          <w:sz w:val="22"/>
        </w:rPr>
        <w:t xml:space="preserve"> </w:t>
      </w:r>
      <w:r w:rsidRPr="004031A8">
        <w:rPr>
          <w:rFonts w:ascii="Arial" w:eastAsia="Calibri" w:hAnsi="Arial" w:cs="Arial"/>
          <w:color w:val="000000" w:themeColor="text1"/>
          <w:sz w:val="22"/>
        </w:rPr>
        <w:t>Contratación</w:t>
      </w:r>
      <w:r w:rsidR="00AA77EE" w:rsidRPr="004031A8">
        <w:rPr>
          <w:rFonts w:ascii="Arial" w:eastAsia="Calibri" w:hAnsi="Arial" w:cs="Arial"/>
          <w:color w:val="000000" w:themeColor="text1"/>
          <w:sz w:val="22"/>
        </w:rPr>
        <w:t xml:space="preserve"> </w:t>
      </w:r>
      <w:r w:rsidRPr="004031A8">
        <w:rPr>
          <w:rFonts w:ascii="Arial" w:eastAsia="Calibri" w:hAnsi="Arial" w:cs="Arial"/>
          <w:color w:val="000000" w:themeColor="text1"/>
          <w:sz w:val="22"/>
        </w:rPr>
        <w:t>Pública</w:t>
      </w:r>
      <w:r w:rsidR="00AA77EE" w:rsidRPr="004031A8">
        <w:rPr>
          <w:rFonts w:ascii="Arial" w:eastAsia="Calibri" w:hAnsi="Arial" w:cs="Arial"/>
          <w:color w:val="000000" w:themeColor="text1"/>
          <w:sz w:val="22"/>
        </w:rPr>
        <w:t xml:space="preserve"> – </w:t>
      </w:r>
      <w:r w:rsidRPr="004031A8">
        <w:rPr>
          <w:rFonts w:ascii="Arial" w:eastAsia="Calibri" w:hAnsi="Arial" w:cs="Arial"/>
          <w:color w:val="000000" w:themeColor="text1"/>
          <w:sz w:val="22"/>
        </w:rPr>
        <w:t>Colombia</w:t>
      </w:r>
      <w:r w:rsidR="00AA77EE" w:rsidRPr="004031A8">
        <w:rPr>
          <w:rFonts w:ascii="Arial" w:eastAsia="Calibri" w:hAnsi="Arial" w:cs="Arial"/>
          <w:color w:val="000000" w:themeColor="text1"/>
          <w:sz w:val="22"/>
        </w:rPr>
        <w:t xml:space="preserve"> </w:t>
      </w:r>
      <w:r w:rsidRPr="004031A8">
        <w:rPr>
          <w:rFonts w:ascii="Arial" w:eastAsia="Calibri" w:hAnsi="Arial" w:cs="Arial"/>
          <w:color w:val="000000" w:themeColor="text1"/>
          <w:sz w:val="22"/>
        </w:rPr>
        <w:t>Compra</w:t>
      </w:r>
      <w:r w:rsidR="00AA77EE" w:rsidRPr="004031A8">
        <w:rPr>
          <w:rFonts w:ascii="Arial" w:eastAsia="Calibri" w:hAnsi="Arial" w:cs="Arial"/>
          <w:color w:val="000000" w:themeColor="text1"/>
          <w:sz w:val="22"/>
        </w:rPr>
        <w:t xml:space="preserve"> </w:t>
      </w:r>
      <w:r w:rsidRPr="004031A8">
        <w:rPr>
          <w:rFonts w:ascii="Arial" w:eastAsia="Calibri" w:hAnsi="Arial" w:cs="Arial"/>
          <w:color w:val="000000" w:themeColor="text1"/>
          <w:sz w:val="22"/>
        </w:rPr>
        <w:t>Eficiente</w:t>
      </w:r>
      <w:r w:rsidR="00AA77EE" w:rsidRPr="004031A8">
        <w:rPr>
          <w:rFonts w:ascii="Arial" w:eastAsia="Calibri" w:hAnsi="Arial" w:cs="Arial"/>
          <w:color w:val="000000" w:themeColor="text1"/>
          <w:sz w:val="22"/>
        </w:rPr>
        <w:t xml:space="preserve">, el Consejo de Estado consideró procedente levantar la suspensión provisional, al considerar que: </w:t>
      </w:r>
    </w:p>
    <w:p w14:paraId="31B1F8AD" w14:textId="5E1671C9" w:rsidR="00E520C7" w:rsidRPr="004031A8" w:rsidRDefault="00E520C7" w:rsidP="00E520C7">
      <w:pPr>
        <w:spacing w:line="276" w:lineRule="auto"/>
        <w:ind w:firstLine="709"/>
        <w:jc w:val="both"/>
        <w:rPr>
          <w:rFonts w:ascii="Arial" w:eastAsia="Calibri" w:hAnsi="Arial" w:cs="Arial"/>
          <w:color w:val="000000" w:themeColor="text1"/>
          <w:sz w:val="22"/>
        </w:rPr>
      </w:pPr>
    </w:p>
    <w:p w14:paraId="1E181898" w14:textId="0EB756ED" w:rsidR="00AA77EE" w:rsidRPr="004031A8" w:rsidRDefault="00047FFA" w:rsidP="00AA77EE">
      <w:pPr>
        <w:ind w:left="708"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 xml:space="preserve">35. </w:t>
      </w:r>
      <w:r w:rsidR="00AA77EE" w:rsidRPr="004031A8">
        <w:rPr>
          <w:rFonts w:ascii="Arial" w:eastAsia="Calibri" w:hAnsi="Arial" w:cs="Arial"/>
          <w:color w:val="000000" w:themeColor="text1"/>
          <w:sz w:val="21"/>
          <w:szCs w:val="21"/>
        </w:rPr>
        <w:t>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definiciones normativas de estas expresiones, sino que de las que ya cuenta el ordenamiento jurídico realiza la guía. Por ello, no hay delegación de la competencia para crear el decreto constitucional que le compete al Gobierno nacional.</w:t>
      </w:r>
    </w:p>
    <w:p w14:paraId="42DF52BD" w14:textId="0C75F9A6" w:rsidR="00AA77EE" w:rsidRPr="004031A8" w:rsidRDefault="00AA77EE" w:rsidP="00AA77EE">
      <w:pPr>
        <w:ind w:left="708" w:right="709"/>
        <w:jc w:val="both"/>
        <w:rPr>
          <w:rFonts w:ascii="Arial" w:eastAsia="Calibri" w:hAnsi="Arial" w:cs="Arial"/>
          <w:color w:val="000000" w:themeColor="text1"/>
          <w:sz w:val="21"/>
          <w:szCs w:val="21"/>
        </w:rPr>
      </w:pPr>
    </w:p>
    <w:p w14:paraId="24F718BE" w14:textId="2C977F19" w:rsidR="00AA77EE" w:rsidRPr="004031A8" w:rsidRDefault="00AA77EE" w:rsidP="006319A7">
      <w:pPr>
        <w:spacing w:before="120" w:line="276" w:lineRule="auto"/>
        <w:ind w:firstLine="709"/>
        <w:jc w:val="both"/>
        <w:rPr>
          <w:rFonts w:ascii="Arial" w:eastAsia="Calibri" w:hAnsi="Arial" w:cs="Arial"/>
          <w:color w:val="000000" w:themeColor="text1"/>
          <w:sz w:val="22"/>
        </w:rPr>
      </w:pPr>
      <w:r w:rsidRPr="004031A8">
        <w:rPr>
          <w:rFonts w:ascii="Arial" w:eastAsia="Calibri" w:hAnsi="Arial" w:cs="Arial"/>
          <w:color w:val="000000" w:themeColor="text1"/>
          <w:sz w:val="22"/>
        </w:rPr>
        <w:t>Además, en relación con el inciso segundo del artículo 3</w:t>
      </w:r>
      <w:r w:rsidR="006319A7" w:rsidRPr="004031A8">
        <w:rPr>
          <w:rFonts w:ascii="Arial" w:eastAsia="Calibri" w:hAnsi="Arial" w:cs="Arial"/>
          <w:color w:val="000000" w:themeColor="text1"/>
          <w:sz w:val="22"/>
        </w:rPr>
        <w:t>,</w:t>
      </w:r>
      <w:r w:rsidRPr="004031A8">
        <w:rPr>
          <w:rFonts w:ascii="Arial" w:eastAsia="Calibri" w:hAnsi="Arial" w:cs="Arial"/>
          <w:color w:val="000000" w:themeColor="text1"/>
          <w:sz w:val="22"/>
        </w:rPr>
        <w:t xml:space="preserve"> que establece que la entidad estatal debe definir en los documentos del proceso </w:t>
      </w:r>
      <w:r w:rsidR="006319A7" w:rsidRPr="004031A8">
        <w:rPr>
          <w:rFonts w:ascii="Arial" w:eastAsia="Calibri" w:hAnsi="Arial" w:cs="Arial"/>
          <w:color w:val="000000" w:themeColor="text1"/>
          <w:sz w:val="22"/>
        </w:rPr>
        <w:t xml:space="preserve">las características que debe acreditar la entidad sin ánimo de lucro, para lo que deberá tener en consideración los criterios establecidos en la guía que expida Colombia Compra Eficiente, el Consejo de Estado también resolvió levantar la suspensión provisional, al considerar que </w:t>
      </w:r>
      <w:r w:rsidR="00EB0480" w:rsidRPr="004031A8">
        <w:rPr>
          <w:rFonts w:ascii="Arial" w:eastAsia="Calibri" w:hAnsi="Arial" w:cs="Arial"/>
          <w:color w:val="000000" w:themeColor="text1"/>
          <w:sz w:val="22"/>
        </w:rPr>
        <w:t xml:space="preserve">el </w:t>
      </w:r>
      <w:r w:rsidR="006319A7" w:rsidRPr="004031A8">
        <w:rPr>
          <w:rFonts w:ascii="Arial" w:eastAsia="Calibri" w:hAnsi="Arial" w:cs="Arial"/>
          <w:color w:val="000000" w:themeColor="text1"/>
          <w:sz w:val="22"/>
        </w:rPr>
        <w:t xml:space="preserve">análisis </w:t>
      </w:r>
      <w:r w:rsidR="00EB0480" w:rsidRPr="004031A8">
        <w:rPr>
          <w:rFonts w:ascii="Arial" w:eastAsia="Calibri" w:hAnsi="Arial" w:cs="Arial"/>
          <w:color w:val="000000" w:themeColor="text1"/>
          <w:sz w:val="22"/>
        </w:rPr>
        <w:t xml:space="preserve">sobre su validez </w:t>
      </w:r>
      <w:r w:rsidR="006319A7" w:rsidRPr="004031A8">
        <w:rPr>
          <w:rFonts w:ascii="Arial" w:eastAsia="Calibri" w:hAnsi="Arial" w:cs="Arial"/>
          <w:color w:val="000000" w:themeColor="text1"/>
          <w:sz w:val="22"/>
        </w:rPr>
        <w:t>se debe reservar para el momento en que se profiera la sentencia respectiva, pues, a su juicio</w:t>
      </w:r>
      <w:r w:rsidR="00EB0480" w:rsidRPr="004031A8">
        <w:rPr>
          <w:rFonts w:ascii="Arial" w:eastAsia="Calibri" w:hAnsi="Arial" w:cs="Arial"/>
          <w:color w:val="000000" w:themeColor="text1"/>
          <w:sz w:val="22"/>
        </w:rPr>
        <w:t>,</w:t>
      </w:r>
      <w:r w:rsidR="006319A7" w:rsidRPr="004031A8">
        <w:rPr>
          <w:rFonts w:ascii="Arial" w:eastAsia="Calibri" w:hAnsi="Arial" w:cs="Arial"/>
          <w:color w:val="000000" w:themeColor="text1"/>
          <w:sz w:val="22"/>
        </w:rPr>
        <w:t xml:space="preserve"> no resulta evidente que se haya delegado indebidamente el ejercicio de la potestad reglamentaria</w:t>
      </w:r>
      <w:r w:rsidR="006319A7" w:rsidRPr="004031A8">
        <w:rPr>
          <w:rStyle w:val="Refdenotaalpie"/>
          <w:rFonts w:ascii="Arial" w:eastAsia="Calibri" w:hAnsi="Arial" w:cs="Arial"/>
          <w:color w:val="000000" w:themeColor="text1"/>
          <w:sz w:val="22"/>
        </w:rPr>
        <w:footnoteReference w:id="15"/>
      </w:r>
      <w:r w:rsidR="006319A7" w:rsidRPr="004031A8">
        <w:rPr>
          <w:rFonts w:ascii="Arial" w:eastAsia="Calibri" w:hAnsi="Arial" w:cs="Arial"/>
          <w:color w:val="000000" w:themeColor="text1"/>
          <w:sz w:val="22"/>
        </w:rPr>
        <w:t>.</w:t>
      </w:r>
    </w:p>
    <w:p w14:paraId="4AF3A5AB" w14:textId="1D295DB9" w:rsidR="00EB0480" w:rsidRPr="004031A8" w:rsidRDefault="00EB0480" w:rsidP="006319A7">
      <w:pPr>
        <w:spacing w:before="120" w:line="276" w:lineRule="auto"/>
        <w:ind w:firstLine="709"/>
        <w:jc w:val="both"/>
        <w:rPr>
          <w:rFonts w:ascii="Arial" w:eastAsia="Calibri" w:hAnsi="Arial" w:cs="Arial"/>
          <w:color w:val="000000" w:themeColor="text1"/>
          <w:sz w:val="22"/>
        </w:rPr>
      </w:pPr>
      <w:r w:rsidRPr="004031A8">
        <w:rPr>
          <w:rFonts w:ascii="Arial" w:eastAsia="Calibri" w:hAnsi="Arial" w:cs="Arial"/>
          <w:color w:val="000000" w:themeColor="text1"/>
          <w:sz w:val="22"/>
        </w:rPr>
        <w:lastRenderedPageBreak/>
        <w:t xml:space="preserve">Ahora bien, cabe precisar que mediante el auto del 15 de marzo de 2022 de la Sala Plena del Consejo de Estado únicamente se levantó la suspensión provisional de las normas desarrolladas hasta este lugar, por lo que, en lo demás, se confirmó la </w:t>
      </w:r>
      <w:r w:rsidR="00575078" w:rsidRPr="004031A8">
        <w:rPr>
          <w:rFonts w:ascii="Arial" w:eastAsia="Calibri" w:hAnsi="Arial" w:cs="Arial"/>
          <w:color w:val="000000" w:themeColor="text1"/>
          <w:sz w:val="22"/>
        </w:rPr>
        <w:t xml:space="preserve">decisión de </w:t>
      </w:r>
      <w:r w:rsidRPr="004031A8">
        <w:rPr>
          <w:rFonts w:ascii="Arial" w:eastAsia="Calibri" w:hAnsi="Arial" w:cs="Arial"/>
          <w:color w:val="000000" w:themeColor="text1"/>
          <w:sz w:val="22"/>
        </w:rPr>
        <w:t xml:space="preserve">suspensión provisional </w:t>
      </w:r>
      <w:r w:rsidR="00575078" w:rsidRPr="004031A8">
        <w:rPr>
          <w:rFonts w:ascii="Arial" w:eastAsia="Calibri" w:hAnsi="Arial" w:cs="Arial"/>
          <w:color w:val="000000" w:themeColor="text1"/>
          <w:sz w:val="22"/>
        </w:rPr>
        <w:t>de los demás apartes del Decreto 019 de 2017 dictada en el auto del 6 de agosto de 2019, como se procede a explicar.</w:t>
      </w:r>
    </w:p>
    <w:p w14:paraId="4E294046" w14:textId="56FD3C46" w:rsidR="00C133B6" w:rsidRPr="004031A8" w:rsidRDefault="00C133B6" w:rsidP="00C133B6">
      <w:pPr>
        <w:spacing w:before="120" w:line="276" w:lineRule="auto"/>
        <w:ind w:firstLine="709"/>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La </w:t>
      </w:r>
      <w:r w:rsidRPr="004031A8">
        <w:rPr>
          <w:rFonts w:ascii="Arial" w:eastAsia="Calibri" w:hAnsi="Arial" w:cs="Arial"/>
          <w:i/>
          <w:iCs/>
          <w:color w:val="000000" w:themeColor="text1"/>
          <w:sz w:val="22"/>
        </w:rPr>
        <w:t>segunda</w:t>
      </w:r>
      <w:r w:rsidRPr="004031A8">
        <w:rPr>
          <w:rFonts w:ascii="Arial" w:eastAsia="Calibri" w:hAnsi="Arial" w:cs="Arial"/>
          <w:color w:val="000000" w:themeColor="text1"/>
          <w:sz w:val="22"/>
        </w:rPr>
        <w:t xml:space="preserve"> norma que analizó el Consejo de Estado</w:t>
      </w:r>
      <w:r w:rsidR="00AE1DA1" w:rsidRPr="004031A8">
        <w:rPr>
          <w:rFonts w:ascii="Arial" w:eastAsia="Calibri" w:hAnsi="Arial" w:cs="Arial"/>
          <w:color w:val="000000" w:themeColor="text1"/>
          <w:sz w:val="22"/>
        </w:rPr>
        <w:t xml:space="preserve"> en el auto del 6 de agosto de 2019,</w:t>
      </w:r>
      <w:r w:rsidRPr="004031A8">
        <w:rPr>
          <w:rFonts w:ascii="Arial" w:eastAsia="Calibri" w:hAnsi="Arial" w:cs="Arial"/>
          <w:color w:val="000000" w:themeColor="text1"/>
          <w:sz w:val="22"/>
        </w:rPr>
        <w:t xml:space="preserve">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4031A8">
        <w:rPr>
          <w:rStyle w:val="Refdenotaalpie"/>
          <w:rFonts w:ascii="Arial" w:hAnsi="Arial" w:cs="Arial"/>
          <w:color w:val="000000" w:themeColor="text1"/>
          <w:sz w:val="22"/>
        </w:rPr>
        <w:footnoteReference w:id="16"/>
      </w:r>
      <w:r w:rsidRPr="004031A8">
        <w:rPr>
          <w:rFonts w:ascii="Arial" w:eastAsia="Calibri" w:hAnsi="Arial" w:cs="Arial"/>
          <w:color w:val="000000" w:themeColor="text1"/>
          <w:sz w:val="22"/>
        </w:rPr>
        <w:t xml:space="preserve">. </w:t>
      </w:r>
      <w:bookmarkStart w:id="15" w:name="_Hlk95756502"/>
      <w:r w:rsidRPr="004031A8">
        <w:rPr>
          <w:rFonts w:ascii="Arial" w:eastAsia="Calibri" w:hAnsi="Arial" w:cs="Arial"/>
          <w:color w:val="000000" w:themeColor="text1"/>
          <w:sz w:val="22"/>
        </w:rPr>
        <w:t xml:space="preserve">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15"/>
      <w:r w:rsidRPr="004031A8">
        <w:rPr>
          <w:rFonts w:ascii="Arial" w:eastAsia="Calibri" w:hAnsi="Arial" w:cs="Arial"/>
          <w:color w:val="000000" w:themeColor="text1"/>
          <w:sz w:val="22"/>
        </w:rPr>
        <w:t xml:space="preserve">En relación con lo anterior, el auto del Consejo de Estado explica que: </w:t>
      </w:r>
    </w:p>
    <w:p w14:paraId="1F93A3DC" w14:textId="77777777" w:rsidR="00C133B6" w:rsidRPr="004031A8" w:rsidRDefault="00C133B6" w:rsidP="00C133B6">
      <w:pPr>
        <w:spacing w:line="276" w:lineRule="auto"/>
        <w:jc w:val="both"/>
        <w:rPr>
          <w:rFonts w:ascii="Arial" w:eastAsia="Calibri" w:hAnsi="Arial" w:cs="Arial"/>
          <w:color w:val="000000" w:themeColor="text1"/>
          <w:sz w:val="22"/>
        </w:rPr>
      </w:pPr>
    </w:p>
    <w:p w14:paraId="7E01EE02" w14:textId="77777777" w:rsidR="00C133B6" w:rsidRPr="004031A8" w:rsidRDefault="00C133B6" w:rsidP="00C133B6">
      <w:pPr>
        <w:ind w:left="708"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2B14C0AF" w14:textId="77777777" w:rsidR="00C133B6" w:rsidRPr="004031A8" w:rsidRDefault="00C133B6" w:rsidP="00C133B6">
      <w:pPr>
        <w:spacing w:line="276" w:lineRule="auto"/>
        <w:jc w:val="both"/>
        <w:rPr>
          <w:rFonts w:ascii="Arial" w:eastAsia="Calibri" w:hAnsi="Arial" w:cs="Arial"/>
          <w:color w:val="000000" w:themeColor="text1"/>
          <w:sz w:val="22"/>
        </w:rPr>
      </w:pPr>
    </w:p>
    <w:p w14:paraId="5630BA16" w14:textId="77777777" w:rsidR="00C133B6" w:rsidRPr="004031A8" w:rsidRDefault="00C133B6" w:rsidP="00C133B6">
      <w:pPr>
        <w:spacing w:line="276" w:lineRule="auto"/>
        <w:ind w:firstLine="708"/>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w:t>
      </w:r>
      <w:r w:rsidRPr="004031A8">
        <w:rPr>
          <w:rFonts w:ascii="Arial" w:eastAsia="Calibri" w:hAnsi="Arial" w:cs="Arial"/>
          <w:color w:val="000000" w:themeColor="text1"/>
          <w:sz w:val="22"/>
        </w:rPr>
        <w:lastRenderedPageBreak/>
        <w:t xml:space="preserve">manifestaciones artísticas, culturales, deportivas y de promoción de la diversidad étnica colombiana, limita el ámbito de aplicación que establece el artículo 355 de la Constitución Política. Al respecto expresa: </w:t>
      </w:r>
    </w:p>
    <w:p w14:paraId="265FC6E5" w14:textId="77777777" w:rsidR="00C133B6" w:rsidRPr="004031A8" w:rsidRDefault="00C133B6" w:rsidP="00C133B6">
      <w:pPr>
        <w:spacing w:line="276" w:lineRule="auto"/>
        <w:jc w:val="both"/>
        <w:rPr>
          <w:rFonts w:ascii="Arial" w:eastAsia="Calibri" w:hAnsi="Arial" w:cs="Arial"/>
          <w:color w:val="000000" w:themeColor="text1"/>
          <w:sz w:val="22"/>
        </w:rPr>
      </w:pPr>
    </w:p>
    <w:p w14:paraId="435DFE0E" w14:textId="77777777" w:rsidR="00C133B6" w:rsidRPr="004031A8" w:rsidRDefault="00C133B6" w:rsidP="00C133B6">
      <w:pPr>
        <w:tabs>
          <w:tab w:val="left" w:pos="8080"/>
        </w:tabs>
        <w:ind w:left="708"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07E84824" w14:textId="77777777" w:rsidR="00C133B6" w:rsidRPr="004031A8" w:rsidRDefault="00C133B6" w:rsidP="00C133B6">
      <w:pPr>
        <w:spacing w:line="276" w:lineRule="auto"/>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 </w:t>
      </w:r>
    </w:p>
    <w:p w14:paraId="75243383" w14:textId="77777777" w:rsidR="00C133B6" w:rsidRPr="004031A8" w:rsidRDefault="00C133B6" w:rsidP="004031A8">
      <w:pPr>
        <w:spacing w:line="276" w:lineRule="auto"/>
        <w:ind w:firstLine="709"/>
        <w:jc w:val="both"/>
        <w:rPr>
          <w:rFonts w:ascii="Arial" w:eastAsia="Calibri" w:hAnsi="Arial" w:cs="Arial"/>
          <w:color w:val="000000" w:themeColor="text1"/>
          <w:sz w:val="22"/>
        </w:rPr>
      </w:pPr>
      <w:bookmarkStart w:id="16" w:name="_Hlk95756534"/>
      <w:r w:rsidRPr="004031A8">
        <w:rPr>
          <w:rFonts w:ascii="Arial" w:eastAsia="Calibri" w:hAnsi="Arial" w:cs="Arial"/>
          <w:color w:val="000000" w:themeColor="text1"/>
          <w:sz w:val="22"/>
        </w:rPr>
        <w:t>Así las cosas,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16"/>
    <w:p w14:paraId="08D92FC4" w14:textId="05A425F5" w:rsidR="00C133B6" w:rsidRPr="004031A8" w:rsidRDefault="00C133B6" w:rsidP="00C133B6">
      <w:pPr>
        <w:spacing w:before="120" w:line="276" w:lineRule="auto"/>
        <w:ind w:firstLine="709"/>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El Consejo de Estado, </w:t>
      </w:r>
      <w:r w:rsidR="00575078" w:rsidRPr="004031A8">
        <w:rPr>
          <w:rFonts w:ascii="Arial" w:eastAsia="Calibri" w:hAnsi="Arial" w:cs="Arial"/>
          <w:color w:val="000000" w:themeColor="text1"/>
          <w:sz w:val="22"/>
        </w:rPr>
        <w:t xml:space="preserve">en el auto del 6 de agosto de 2019, </w:t>
      </w:r>
      <w:r w:rsidRPr="004031A8">
        <w:rPr>
          <w:rFonts w:ascii="Arial" w:eastAsia="Calibri" w:hAnsi="Arial" w:cs="Arial"/>
          <w:color w:val="000000" w:themeColor="text1"/>
          <w:sz w:val="22"/>
        </w:rPr>
        <w:t xml:space="preserve">en </w:t>
      </w:r>
      <w:r w:rsidRPr="004031A8">
        <w:rPr>
          <w:rFonts w:ascii="Arial" w:eastAsia="Calibri" w:hAnsi="Arial" w:cs="Arial"/>
          <w:i/>
          <w:iCs/>
          <w:color w:val="000000" w:themeColor="text1"/>
          <w:sz w:val="22"/>
        </w:rPr>
        <w:t>tercer</w:t>
      </w:r>
      <w:r w:rsidRPr="004031A8">
        <w:rPr>
          <w:rFonts w:ascii="Arial" w:eastAsia="Calibri" w:hAnsi="Arial" w:cs="Arial"/>
          <w:color w:val="000000" w:themeColor="text1"/>
          <w:sz w:val="22"/>
        </w:rPr>
        <w:t xml:space="preserve"> lugar, examinó el literal c) y el inciso 5 del artículo 2 del Decreto</w:t>
      </w:r>
      <w:r w:rsidRPr="004031A8">
        <w:rPr>
          <w:rStyle w:val="Refdenotaalpie"/>
          <w:rFonts w:ascii="Arial" w:eastAsia="Calibri" w:hAnsi="Arial" w:cs="Arial"/>
          <w:color w:val="000000" w:themeColor="text1"/>
          <w:sz w:val="22"/>
        </w:rPr>
        <w:footnoteReference w:id="17"/>
      </w:r>
      <w:r w:rsidRPr="004031A8">
        <w:rPr>
          <w:rFonts w:ascii="Arial" w:eastAsia="Calibri" w:hAnsi="Arial" w:cs="Arial"/>
          <w:color w:val="000000" w:themeColor="text1"/>
          <w:sz w:val="22"/>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0F0A1965" w14:textId="77777777" w:rsidR="00C133B6" w:rsidRPr="004031A8" w:rsidRDefault="00C133B6" w:rsidP="00C133B6">
      <w:pPr>
        <w:spacing w:line="276" w:lineRule="auto"/>
        <w:jc w:val="both"/>
        <w:rPr>
          <w:rFonts w:ascii="Arial" w:eastAsia="Calibri" w:hAnsi="Arial" w:cs="Arial"/>
          <w:color w:val="000000" w:themeColor="text1"/>
          <w:sz w:val="22"/>
        </w:rPr>
      </w:pPr>
    </w:p>
    <w:p w14:paraId="117CEB18" w14:textId="77777777" w:rsidR="00C133B6" w:rsidRPr="004031A8" w:rsidRDefault="00C133B6" w:rsidP="00C133B6">
      <w:pPr>
        <w:ind w:left="708"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 xml:space="preserve">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w:t>
      </w:r>
      <w:r w:rsidRPr="004031A8">
        <w:rPr>
          <w:rFonts w:ascii="Arial" w:eastAsia="Calibri" w:hAnsi="Arial" w:cs="Arial"/>
          <w:color w:val="000000" w:themeColor="text1"/>
          <w:sz w:val="21"/>
          <w:szCs w:val="21"/>
        </w:rPr>
        <w:lastRenderedPageBreak/>
        <w:t>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14:paraId="0053C26D" w14:textId="77777777" w:rsidR="00C133B6" w:rsidRPr="004031A8" w:rsidRDefault="00C133B6" w:rsidP="00C133B6">
      <w:pPr>
        <w:spacing w:line="276" w:lineRule="auto"/>
        <w:jc w:val="both"/>
        <w:rPr>
          <w:rFonts w:ascii="Arial" w:eastAsia="Calibri" w:hAnsi="Arial" w:cs="Arial"/>
          <w:color w:val="000000" w:themeColor="text1"/>
          <w:sz w:val="22"/>
        </w:rPr>
      </w:pPr>
    </w:p>
    <w:p w14:paraId="285686BF" w14:textId="77777777" w:rsidR="00C133B6" w:rsidRPr="004031A8" w:rsidRDefault="00C133B6" w:rsidP="00C133B6">
      <w:pPr>
        <w:spacing w:line="276" w:lineRule="auto"/>
        <w:ind w:firstLine="709"/>
        <w:jc w:val="both"/>
        <w:rPr>
          <w:rFonts w:ascii="Arial" w:eastAsia="Calibri" w:hAnsi="Arial" w:cs="Arial"/>
          <w:color w:val="000000" w:themeColor="text1"/>
          <w:sz w:val="22"/>
        </w:rPr>
      </w:pPr>
      <w:r w:rsidRPr="004031A8">
        <w:rPr>
          <w:rFonts w:ascii="Arial" w:eastAsia="Calibri" w:hAnsi="Arial" w:cs="Arial"/>
          <w:color w:val="000000" w:themeColor="text1"/>
          <w:sz w:val="22"/>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14:paraId="1A7C1B3E" w14:textId="02B44438" w:rsidR="00C133B6" w:rsidRPr="004031A8" w:rsidRDefault="00C133B6" w:rsidP="00C133B6">
      <w:pPr>
        <w:spacing w:before="120" w:line="276" w:lineRule="auto"/>
        <w:ind w:firstLine="709"/>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La </w:t>
      </w:r>
      <w:r w:rsidRPr="004031A8">
        <w:rPr>
          <w:rFonts w:ascii="Arial" w:eastAsia="Calibri" w:hAnsi="Arial" w:cs="Arial"/>
          <w:i/>
          <w:iCs/>
          <w:color w:val="000000" w:themeColor="text1"/>
          <w:sz w:val="22"/>
        </w:rPr>
        <w:t>cuarta</w:t>
      </w:r>
      <w:r w:rsidRPr="004031A8">
        <w:rPr>
          <w:rFonts w:ascii="Arial" w:eastAsia="Calibri" w:hAnsi="Arial" w:cs="Arial"/>
          <w:color w:val="000000" w:themeColor="text1"/>
          <w:sz w:val="22"/>
        </w:rPr>
        <w:t xml:space="preserve"> norma que estudió el Consejo de Estado</w:t>
      </w:r>
      <w:r w:rsidR="00575078" w:rsidRPr="004031A8">
        <w:rPr>
          <w:rFonts w:ascii="Arial" w:eastAsia="Calibri" w:hAnsi="Arial" w:cs="Arial"/>
          <w:color w:val="000000" w:themeColor="text1"/>
          <w:sz w:val="22"/>
        </w:rPr>
        <w:t xml:space="preserve"> en el auto del 6 de agosto de 2019</w:t>
      </w:r>
      <w:r w:rsidRPr="004031A8">
        <w:rPr>
          <w:rFonts w:ascii="Arial" w:eastAsia="Calibri" w:hAnsi="Arial" w:cs="Arial"/>
          <w:color w:val="000000" w:themeColor="text1"/>
          <w:sz w:val="22"/>
        </w:rPr>
        <w:t xml:space="preserve">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4031A8">
        <w:rPr>
          <w:rStyle w:val="Refdenotaalpie"/>
          <w:rFonts w:ascii="Arial" w:eastAsia="Calibri" w:hAnsi="Arial" w:cs="Arial"/>
          <w:color w:val="000000" w:themeColor="text1"/>
          <w:sz w:val="22"/>
        </w:rPr>
        <w:footnoteReference w:id="18"/>
      </w:r>
      <w:r w:rsidRPr="004031A8">
        <w:rPr>
          <w:rFonts w:ascii="Arial" w:eastAsia="Calibri" w:hAnsi="Arial" w:cs="Arial"/>
          <w:color w:val="000000" w:themeColor="text1"/>
          <w:sz w:val="22"/>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262DD0D3" w14:textId="77777777" w:rsidR="00C133B6" w:rsidRPr="004031A8" w:rsidRDefault="00C133B6" w:rsidP="00C133B6">
      <w:pPr>
        <w:spacing w:line="276" w:lineRule="auto"/>
        <w:jc w:val="both"/>
        <w:rPr>
          <w:rFonts w:ascii="Arial" w:eastAsia="Calibri" w:hAnsi="Arial" w:cs="Arial"/>
          <w:color w:val="000000" w:themeColor="text1"/>
          <w:sz w:val="22"/>
        </w:rPr>
      </w:pPr>
    </w:p>
    <w:p w14:paraId="46B0E413" w14:textId="77777777" w:rsidR="00C133B6" w:rsidRPr="004031A8" w:rsidRDefault="00C133B6" w:rsidP="00C133B6">
      <w:pPr>
        <w:ind w:left="708"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 xml:space="preserve">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0B2A9A4D" w14:textId="77777777" w:rsidR="00C133B6" w:rsidRPr="004031A8" w:rsidRDefault="00C133B6" w:rsidP="00C133B6">
      <w:pPr>
        <w:spacing w:line="276" w:lineRule="auto"/>
        <w:ind w:firstLine="709"/>
        <w:jc w:val="both"/>
        <w:rPr>
          <w:rFonts w:ascii="Arial" w:eastAsia="Calibri" w:hAnsi="Arial" w:cs="Arial"/>
          <w:color w:val="000000" w:themeColor="text1"/>
          <w:sz w:val="22"/>
        </w:rPr>
      </w:pPr>
      <w:bookmarkStart w:id="17" w:name="_Hlk95756891"/>
    </w:p>
    <w:p w14:paraId="7C6E36F0" w14:textId="77777777" w:rsidR="00C133B6" w:rsidRPr="004031A8" w:rsidRDefault="00C133B6" w:rsidP="00C133B6">
      <w:pPr>
        <w:spacing w:line="276" w:lineRule="auto"/>
        <w:ind w:firstLine="709"/>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Por consiguiente, se suspendió provisionalmente el inciso final del artículo 4 por violar el principio de igualdad, de manera que la contratación de actividades y programas </w:t>
      </w:r>
      <w:r w:rsidRPr="004031A8">
        <w:rPr>
          <w:rFonts w:ascii="Arial" w:eastAsia="Calibri" w:hAnsi="Arial" w:cs="Arial"/>
          <w:color w:val="000000" w:themeColor="text1"/>
          <w:sz w:val="22"/>
        </w:rPr>
        <w:lastRenderedPageBreak/>
        <w:t xml:space="preserve">de interés público debe realizarse a través de un proceso competitivo para escoger a la entidad sin ánimo de lucro. </w:t>
      </w:r>
      <w:bookmarkEnd w:id="17"/>
      <w:r w:rsidRPr="004031A8">
        <w:rPr>
          <w:rFonts w:ascii="Arial" w:eastAsia="Calibri" w:hAnsi="Arial" w:cs="Arial"/>
          <w:color w:val="000000" w:themeColor="text1"/>
          <w:sz w:val="22"/>
        </w:rPr>
        <w:t xml:space="preserve">En estos procesos, entonces, se debe acudir a los criterios aplicables a los otros negocios jurídicos que regula el Decreto 092 de 2017, particularmente las exigencias del artículo 2 </w:t>
      </w:r>
      <w:r w:rsidRPr="004031A8">
        <w:rPr>
          <w:rFonts w:ascii="Arial" w:eastAsia="Calibri" w:hAnsi="Arial" w:cs="Arial"/>
          <w:i/>
          <w:iCs/>
          <w:color w:val="000000" w:themeColor="text1"/>
          <w:sz w:val="22"/>
        </w:rPr>
        <w:t>ibidem</w:t>
      </w:r>
      <w:r w:rsidRPr="004031A8">
        <w:rPr>
          <w:rFonts w:ascii="Arial" w:eastAsia="Calibri" w:hAnsi="Arial" w:cs="Arial"/>
          <w:color w:val="000000" w:themeColor="text1"/>
          <w:sz w:val="22"/>
        </w:rPr>
        <w:t xml:space="preserve">. Incluso, habría que tener en cuenta las exigencias del inciso 2 del artículo 4 </w:t>
      </w:r>
      <w:r w:rsidRPr="004031A8">
        <w:rPr>
          <w:rFonts w:ascii="Arial" w:eastAsia="Calibri" w:hAnsi="Arial" w:cs="Arial"/>
          <w:i/>
          <w:iCs/>
          <w:color w:val="000000" w:themeColor="text1"/>
          <w:sz w:val="22"/>
        </w:rPr>
        <w:t>íbídem</w:t>
      </w:r>
      <w:r w:rsidRPr="004031A8">
        <w:rPr>
          <w:rFonts w:ascii="Arial" w:eastAsia="Calibri" w:hAnsi="Arial" w:cs="Arial"/>
          <w:color w:val="000000" w:themeColor="text1"/>
          <w:sz w:val="22"/>
        </w:rPr>
        <w:t>, siempre que se configuren los supuestos de aplicación de dicha normativa, esto es, siempre que exista más de una entidad sin ánimo de lucro de reconocida idoneidad.</w:t>
      </w:r>
    </w:p>
    <w:p w14:paraId="2B3E9385" w14:textId="072CC3B9" w:rsidR="00C133B6" w:rsidRPr="004031A8" w:rsidRDefault="00C133B6" w:rsidP="00C133B6">
      <w:pPr>
        <w:spacing w:before="120" w:line="276" w:lineRule="auto"/>
        <w:ind w:firstLine="709"/>
        <w:jc w:val="both"/>
        <w:rPr>
          <w:rFonts w:ascii="Arial" w:eastAsia="Calibri" w:hAnsi="Arial" w:cs="Arial"/>
          <w:color w:val="000000" w:themeColor="text1"/>
          <w:sz w:val="22"/>
        </w:rPr>
      </w:pPr>
      <w:bookmarkStart w:id="18" w:name="_Hlk95757095"/>
      <w:r w:rsidRPr="004031A8">
        <w:rPr>
          <w:rFonts w:ascii="Arial" w:eastAsia="Calibri" w:hAnsi="Arial" w:cs="Arial"/>
          <w:color w:val="000000" w:themeColor="text1"/>
          <w:sz w:val="22"/>
        </w:rPr>
        <w:t xml:space="preserve">Por último, en </w:t>
      </w:r>
      <w:r w:rsidRPr="004031A8">
        <w:rPr>
          <w:rFonts w:ascii="Arial" w:eastAsia="Calibri" w:hAnsi="Arial" w:cs="Arial"/>
          <w:i/>
          <w:iCs/>
          <w:color w:val="000000" w:themeColor="text1"/>
          <w:sz w:val="22"/>
        </w:rPr>
        <w:t xml:space="preserve">quinto </w:t>
      </w:r>
      <w:r w:rsidRPr="004031A8">
        <w:rPr>
          <w:rFonts w:ascii="Arial" w:eastAsia="Calibri" w:hAnsi="Arial" w:cs="Arial"/>
          <w:color w:val="000000" w:themeColor="text1"/>
          <w:sz w:val="22"/>
        </w:rPr>
        <w:t xml:space="preserve">lugar, el Consejo de Estado </w:t>
      </w:r>
      <w:r w:rsidR="00C52971" w:rsidRPr="004031A8">
        <w:rPr>
          <w:rFonts w:ascii="Arial" w:eastAsia="Calibri" w:hAnsi="Arial" w:cs="Arial"/>
          <w:color w:val="000000" w:themeColor="text1"/>
          <w:sz w:val="22"/>
        </w:rPr>
        <w:t xml:space="preserve">en el auto del 6 de agosto de 2019 </w:t>
      </w:r>
      <w:r w:rsidRPr="004031A8">
        <w:rPr>
          <w:rFonts w:ascii="Arial" w:eastAsia="Calibri" w:hAnsi="Arial" w:cs="Arial"/>
          <w:color w:val="000000" w:themeColor="text1"/>
          <w:sz w:val="22"/>
        </w:rPr>
        <w:t xml:space="preserve">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1AAE1263" w14:textId="77777777" w:rsidR="00C133B6" w:rsidRPr="004031A8" w:rsidRDefault="00C133B6" w:rsidP="00C133B6">
      <w:pPr>
        <w:spacing w:before="120" w:line="276" w:lineRule="auto"/>
        <w:ind w:firstLine="709"/>
        <w:jc w:val="both"/>
        <w:rPr>
          <w:rFonts w:ascii="Arial" w:eastAsia="Calibri" w:hAnsi="Arial" w:cs="Arial"/>
          <w:color w:val="000000" w:themeColor="text1"/>
          <w:sz w:val="22"/>
        </w:rPr>
      </w:pPr>
      <w:bookmarkStart w:id="19" w:name="_Hlk95757157"/>
      <w:bookmarkEnd w:id="18"/>
      <w:r w:rsidRPr="004031A8">
        <w:rPr>
          <w:rFonts w:ascii="Arial" w:hAnsi="Arial" w:cs="Arial"/>
          <w:color w:val="000000" w:themeColor="text1"/>
          <w:sz w:val="22"/>
        </w:rPr>
        <w:t>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iv) no puede condicionarse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14:paraId="230414DE" w14:textId="77777777" w:rsidR="00C133B6" w:rsidRPr="004031A8" w:rsidRDefault="00C133B6" w:rsidP="00C133B6">
      <w:pPr>
        <w:spacing w:before="120" w:line="276" w:lineRule="auto"/>
        <w:ind w:firstLine="709"/>
        <w:jc w:val="both"/>
        <w:rPr>
          <w:rFonts w:ascii="Arial" w:eastAsia="Calibri" w:hAnsi="Arial" w:cs="Arial"/>
          <w:color w:val="000000" w:themeColor="text1"/>
          <w:sz w:val="22"/>
        </w:rPr>
      </w:pPr>
      <w:r w:rsidRPr="004031A8">
        <w:rPr>
          <w:rFonts w:ascii="Arial" w:eastAsia="Calibri" w:hAnsi="Arial" w:cs="Arial"/>
          <w:color w:val="000000" w:themeColor="text1"/>
          <w:sz w:val="22"/>
        </w:rPr>
        <w:t xml:space="preserve">Ahora, si se pretende realizar un </w:t>
      </w:r>
      <w:r w:rsidRPr="004031A8">
        <w:rPr>
          <w:rFonts w:ascii="Arial" w:eastAsia="Calibri" w:hAnsi="Arial" w:cs="Arial"/>
          <w:i/>
          <w:iCs/>
          <w:color w:val="000000" w:themeColor="text1"/>
          <w:sz w:val="22"/>
        </w:rPr>
        <w:t>convenio de asociación</w:t>
      </w:r>
      <w:r w:rsidRPr="004031A8">
        <w:rPr>
          <w:rFonts w:ascii="Arial" w:eastAsia="Calibri" w:hAnsi="Arial" w:cs="Arial"/>
          <w:color w:val="000000" w:themeColor="text1"/>
          <w:sz w:val="22"/>
        </w:rPr>
        <w:t xml:space="preserve"> con ESAL de reconocida idoneidad para el cumplimiento de las funciones que la ley les asigna a las entidades públicas, deberá aplicar lo dispuesto en el artículo 5 del Decreto 092 de 2017. De esta manera, </w:t>
      </w:r>
      <w:bookmarkEnd w:id="19"/>
      <w:r w:rsidRPr="004031A8">
        <w:rPr>
          <w:rFonts w:ascii="Arial" w:eastAsia="Calibri" w:hAnsi="Arial" w:cs="Arial"/>
          <w:color w:val="000000" w:themeColor="text1"/>
          <w:sz w:val="22"/>
        </w:rPr>
        <w:t xml:space="preserve">deben estar sujetos a competencia, salvo en aquellos casos en que una entidad sin ánimo de lucro comprometa recursos en dinero por un valor igual o superior al 30% del </w:t>
      </w:r>
      <w:r w:rsidRPr="004031A8">
        <w:rPr>
          <w:rFonts w:ascii="Arial" w:eastAsia="Calibri" w:hAnsi="Arial" w:cs="Arial"/>
          <w:color w:val="000000" w:themeColor="text1"/>
          <w:sz w:val="22"/>
        </w:rPr>
        <w:lastRenderedPageBreak/>
        <w:t>valor total del convenio</w:t>
      </w:r>
      <w:r w:rsidRPr="004031A8">
        <w:rPr>
          <w:rStyle w:val="Refdenotaalpie"/>
          <w:rFonts w:ascii="Arial" w:hAnsi="Arial" w:cs="Arial"/>
          <w:color w:val="000000" w:themeColor="text1"/>
          <w:sz w:val="20"/>
          <w:szCs w:val="20"/>
        </w:rPr>
        <w:footnoteReference w:id="19"/>
      </w:r>
      <w:r w:rsidRPr="004031A8">
        <w:rPr>
          <w:rFonts w:ascii="Arial" w:eastAsia="Calibri" w:hAnsi="Arial" w:cs="Arial"/>
          <w:color w:val="000000" w:themeColor="text1"/>
          <w:sz w:val="22"/>
        </w:rPr>
        <w:t xml:space="preserve">, y siempre que la entidad estatal verifique previamente que no existe ninguna otra entidad sin ánimo de lucro que ofrezca aportes iguales o superiores al 30%. </w:t>
      </w:r>
      <w:r w:rsidRPr="004031A8">
        <w:rPr>
          <w:rFonts w:ascii="Arial" w:eastAsia="Calibri" w:hAnsi="Arial" w:cs="Arial"/>
          <w:color w:val="000000"/>
          <w:sz w:val="22"/>
        </w:rPr>
        <w:t>Lo anterior sin perjuicio de las restricciones previstas en el artículo 33 de la Ley de Garantías durante el periodo preelectoral de las elecciones presidenciales para los procesos no competitivos</w:t>
      </w:r>
      <w:r w:rsidRPr="004031A8">
        <w:rPr>
          <w:rFonts w:ascii="Arial" w:eastAsia="Calibri" w:hAnsi="Arial" w:cs="Arial"/>
          <w:color w:val="000000" w:themeColor="text1"/>
          <w:sz w:val="22"/>
        </w:rPr>
        <w:t>.</w:t>
      </w:r>
    </w:p>
    <w:p w14:paraId="6EA14543" w14:textId="77777777" w:rsidR="00C133B6" w:rsidRPr="004031A8" w:rsidRDefault="00C133B6" w:rsidP="00C133B6">
      <w:pPr>
        <w:spacing w:before="120" w:line="276" w:lineRule="auto"/>
        <w:ind w:firstLine="709"/>
        <w:jc w:val="both"/>
        <w:rPr>
          <w:rFonts w:ascii="Arial" w:eastAsia="Calibri" w:hAnsi="Arial" w:cs="Arial"/>
          <w:color w:val="000000" w:themeColor="text1"/>
          <w:sz w:val="22"/>
        </w:rPr>
      </w:pPr>
      <w:r w:rsidRPr="004031A8">
        <w:rPr>
          <w:rFonts w:ascii="Arial" w:eastAsia="Calibri" w:hAnsi="Arial" w:cs="Arial"/>
          <w:color w:val="000000" w:themeColor="text1"/>
          <w:sz w:val="22"/>
        </w:rPr>
        <w:t>Finalmente, el artículo 9 del Decreto 092 de 2017 exige a las ESAL de reconocida idoneidad estar inscritas en el SECOP para celebrar convenios con las entidades públicas, razón por la que se debe usar únicamente el SECOP II, pues es la única plataforma que por funcionalidad permite el registro de proveedores</w:t>
      </w:r>
      <w:r w:rsidRPr="004031A8">
        <w:rPr>
          <w:rStyle w:val="Refdenotaalpie"/>
          <w:rFonts w:ascii="Arial" w:eastAsia="Calibri" w:hAnsi="Arial" w:cs="Arial"/>
          <w:color w:val="000000" w:themeColor="text1"/>
          <w:sz w:val="22"/>
        </w:rPr>
        <w:footnoteReference w:id="20"/>
      </w:r>
      <w:r w:rsidRPr="004031A8">
        <w:rPr>
          <w:rFonts w:ascii="Arial" w:eastAsia="Calibri" w:hAnsi="Arial" w:cs="Arial"/>
          <w:color w:val="000000" w:themeColor="text1"/>
          <w:sz w:val="22"/>
        </w:rPr>
        <w:t xml:space="preserve">. </w:t>
      </w:r>
    </w:p>
    <w:p w14:paraId="3BEB1985" w14:textId="77777777" w:rsidR="00C133B6" w:rsidRPr="004031A8" w:rsidRDefault="00C133B6" w:rsidP="00C133B6">
      <w:pPr>
        <w:spacing w:line="276" w:lineRule="auto"/>
        <w:ind w:right="709"/>
        <w:jc w:val="both"/>
        <w:rPr>
          <w:rFonts w:ascii="Arial" w:hAnsi="Arial" w:cs="Arial"/>
          <w:color w:val="000000" w:themeColor="text1"/>
          <w:sz w:val="21"/>
          <w:szCs w:val="21"/>
          <w:lang w:val="es-CO"/>
        </w:rPr>
      </w:pPr>
    </w:p>
    <w:p w14:paraId="453ED8A9" w14:textId="77777777" w:rsidR="00C133B6" w:rsidRPr="004031A8" w:rsidRDefault="00C133B6" w:rsidP="00C133B6">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4031A8">
        <w:rPr>
          <w:rFonts w:ascii="Arial" w:hAnsi="Arial" w:cs="Arial"/>
          <w:b/>
          <w:bCs/>
          <w:color w:val="000000" w:themeColor="text1"/>
          <w:sz w:val="22"/>
          <w:lang w:val="es-CO"/>
        </w:rPr>
        <w:t xml:space="preserve">Respuesta </w:t>
      </w:r>
    </w:p>
    <w:p w14:paraId="170AA0F7" w14:textId="77777777" w:rsidR="00C133B6" w:rsidRPr="004031A8" w:rsidRDefault="00C133B6" w:rsidP="00C133B6">
      <w:pPr>
        <w:jc w:val="both"/>
        <w:rPr>
          <w:rFonts w:ascii="Arial" w:hAnsi="Arial" w:cs="Arial"/>
          <w:color w:val="000000" w:themeColor="text1"/>
          <w:sz w:val="22"/>
          <w:lang w:val="es-CO"/>
        </w:rPr>
      </w:pPr>
    </w:p>
    <w:p w14:paraId="08F4021D" w14:textId="77777777" w:rsidR="004D4C7D" w:rsidRPr="004031A8" w:rsidRDefault="004D4C7D" w:rsidP="004D4C7D">
      <w:pPr>
        <w:tabs>
          <w:tab w:val="left" w:pos="426"/>
        </w:tabs>
        <w:ind w:left="709"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i) «[¿]Que [sic] es y en que [sic] consiste un proceso competitivo en el marco del Decreto 092 de 2017?»</w:t>
      </w:r>
    </w:p>
    <w:p w14:paraId="1401BA7A" w14:textId="77777777" w:rsidR="004D4C7D" w:rsidRPr="004031A8" w:rsidRDefault="004D4C7D" w:rsidP="004D4C7D">
      <w:pPr>
        <w:tabs>
          <w:tab w:val="left" w:pos="426"/>
        </w:tabs>
        <w:ind w:left="709" w:right="709"/>
        <w:jc w:val="both"/>
        <w:rPr>
          <w:rFonts w:ascii="Arial" w:eastAsia="Calibri" w:hAnsi="Arial" w:cs="Arial"/>
          <w:color w:val="000000" w:themeColor="text1"/>
          <w:sz w:val="21"/>
          <w:szCs w:val="21"/>
        </w:rPr>
      </w:pPr>
    </w:p>
    <w:p w14:paraId="215B86AE" w14:textId="77777777" w:rsidR="004D4C7D" w:rsidRPr="004031A8" w:rsidRDefault="004D4C7D" w:rsidP="004D4C7D">
      <w:pPr>
        <w:tabs>
          <w:tab w:val="left" w:pos="426"/>
        </w:tabs>
        <w:ind w:left="709"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ii) «[¿]Cuáles son las etapas mínimas que debe contemplar un proceso competitivo en el marco del Decreto 092 de 2017?»</w:t>
      </w:r>
    </w:p>
    <w:p w14:paraId="4F4A8911" w14:textId="77777777" w:rsidR="004D4C7D" w:rsidRPr="004031A8" w:rsidRDefault="004D4C7D" w:rsidP="004D4C7D">
      <w:pPr>
        <w:tabs>
          <w:tab w:val="left" w:pos="426"/>
        </w:tabs>
        <w:ind w:left="709" w:right="709"/>
        <w:jc w:val="both"/>
        <w:rPr>
          <w:rFonts w:ascii="Arial" w:eastAsia="Calibri" w:hAnsi="Arial" w:cs="Arial"/>
          <w:color w:val="000000" w:themeColor="text1"/>
          <w:sz w:val="21"/>
          <w:szCs w:val="21"/>
        </w:rPr>
      </w:pPr>
    </w:p>
    <w:p w14:paraId="7979326E" w14:textId="77777777" w:rsidR="004D4C7D" w:rsidRPr="004031A8" w:rsidRDefault="004D4C7D" w:rsidP="004D4C7D">
      <w:pPr>
        <w:tabs>
          <w:tab w:val="left" w:pos="426"/>
        </w:tabs>
        <w:ind w:left="709"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iii) «Cuando la entidad estatal en la etapa de planeación identifique que el programa o actividad de interés público que requiere desarrollar es ofrecido 24 ESAL de reconocida idoneidad y la entidad requiere para desarrollar el programa de interés público 10 ESAL, [¿]deberá adelantar un proceso competitivo para seleccionar las ESAL que requiere o cual [sic] sería el mecanismo contractual para tal fin?»</w:t>
      </w:r>
    </w:p>
    <w:p w14:paraId="39909D53" w14:textId="77777777" w:rsidR="004D4C7D" w:rsidRPr="004031A8" w:rsidRDefault="004D4C7D" w:rsidP="004D4C7D">
      <w:pPr>
        <w:tabs>
          <w:tab w:val="left" w:pos="426"/>
        </w:tabs>
        <w:ind w:left="709" w:right="709"/>
        <w:jc w:val="both"/>
        <w:rPr>
          <w:rFonts w:ascii="Arial" w:eastAsia="Calibri" w:hAnsi="Arial" w:cs="Arial"/>
          <w:color w:val="000000" w:themeColor="text1"/>
          <w:sz w:val="21"/>
          <w:szCs w:val="21"/>
        </w:rPr>
      </w:pPr>
    </w:p>
    <w:p w14:paraId="7BF03A43" w14:textId="77777777" w:rsidR="004D4C7D" w:rsidRPr="004031A8" w:rsidRDefault="004D4C7D" w:rsidP="004D4C7D">
      <w:pPr>
        <w:tabs>
          <w:tab w:val="left" w:pos="426"/>
        </w:tabs>
        <w:ind w:left="709"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iv) «Si hay varias ESAL que comprometen recursos en especie o contrapartida en una proporción igual o superior al 30% del valor total del convenio, [¿]la entidad estatal está facultada para realizar un proceso competitivo para seleccionar la (s) mejor (es) oferta (s) o existe una prohibición en el marco del Decreto 092 de 2017 y las demás disposiciones aplicables para el caso particular?»</w:t>
      </w:r>
    </w:p>
    <w:p w14:paraId="49F8169F" w14:textId="77777777" w:rsidR="004D4C7D" w:rsidRPr="004031A8" w:rsidRDefault="004D4C7D" w:rsidP="004D4C7D">
      <w:pPr>
        <w:tabs>
          <w:tab w:val="left" w:pos="426"/>
        </w:tabs>
        <w:ind w:left="709" w:right="709"/>
        <w:jc w:val="both"/>
        <w:rPr>
          <w:rFonts w:ascii="Arial" w:eastAsia="Calibri" w:hAnsi="Arial" w:cs="Arial"/>
          <w:color w:val="000000" w:themeColor="text1"/>
          <w:sz w:val="21"/>
          <w:szCs w:val="21"/>
        </w:rPr>
      </w:pPr>
    </w:p>
    <w:p w14:paraId="2F440137" w14:textId="190E759F" w:rsidR="00C133B6" w:rsidRPr="004031A8" w:rsidRDefault="004D4C7D" w:rsidP="004D4C7D">
      <w:pPr>
        <w:tabs>
          <w:tab w:val="left" w:pos="426"/>
        </w:tabs>
        <w:ind w:left="709" w:right="709"/>
        <w:jc w:val="both"/>
        <w:rPr>
          <w:rFonts w:ascii="Arial" w:eastAsia="Calibri" w:hAnsi="Arial" w:cs="Arial"/>
          <w:color w:val="000000" w:themeColor="text1"/>
          <w:sz w:val="21"/>
          <w:szCs w:val="21"/>
        </w:rPr>
      </w:pPr>
      <w:r w:rsidRPr="004031A8">
        <w:rPr>
          <w:rFonts w:ascii="Arial" w:eastAsia="Calibri" w:hAnsi="Arial" w:cs="Arial"/>
          <w:color w:val="000000" w:themeColor="text1"/>
          <w:sz w:val="21"/>
          <w:szCs w:val="21"/>
        </w:rPr>
        <w:t>v) «El marco del decreto 092 de 2017 [¿]las ESAL pueden hacer aportes en especie o contrapartida[?]»</w:t>
      </w:r>
    </w:p>
    <w:p w14:paraId="5EEF7A36" w14:textId="77777777" w:rsidR="00C133B6" w:rsidRPr="004031A8" w:rsidRDefault="00C133B6" w:rsidP="00C133B6">
      <w:pPr>
        <w:spacing w:line="276" w:lineRule="auto"/>
        <w:ind w:left="709" w:right="709"/>
        <w:jc w:val="both"/>
        <w:rPr>
          <w:rFonts w:ascii="Arial" w:eastAsia="Calibri" w:hAnsi="Arial" w:cs="Arial"/>
          <w:color w:val="000000" w:themeColor="text1"/>
          <w:sz w:val="21"/>
          <w:szCs w:val="21"/>
        </w:rPr>
      </w:pPr>
    </w:p>
    <w:p w14:paraId="7B461B98" w14:textId="0550D9AF" w:rsidR="003107E7" w:rsidRPr="004031A8" w:rsidRDefault="00C133B6" w:rsidP="00C133B6">
      <w:pPr>
        <w:spacing w:line="276" w:lineRule="auto"/>
        <w:jc w:val="both"/>
        <w:rPr>
          <w:rFonts w:ascii="Arial" w:hAnsi="Arial" w:cs="Arial"/>
          <w:color w:val="000000" w:themeColor="text1"/>
          <w:sz w:val="22"/>
        </w:rPr>
      </w:pPr>
      <w:r w:rsidRPr="004031A8">
        <w:rPr>
          <w:rFonts w:ascii="Arial" w:hAnsi="Arial" w:cs="Arial"/>
          <w:color w:val="000000" w:themeColor="text1"/>
          <w:sz w:val="22"/>
        </w:rPr>
        <w:lastRenderedPageBreak/>
        <w:t xml:space="preserve">De acuerdo con las ideas expuestas en el presente concepto, la contratación con entidades sin ánimo de lucro se sigue rigiendo por el Decreto 092 de 2017, salvo lo que fue objeto de suspensión provisional por parte del Consejo de Estado. </w:t>
      </w:r>
      <w:r w:rsidR="001248BF" w:rsidRPr="004031A8">
        <w:rPr>
          <w:rFonts w:ascii="Arial" w:hAnsi="Arial" w:cs="Arial"/>
          <w:color w:val="000000" w:themeColor="text1"/>
          <w:sz w:val="22"/>
        </w:rPr>
        <w:t>En ese sentido, e</w:t>
      </w:r>
      <w:r w:rsidR="00E13B97" w:rsidRPr="004031A8">
        <w:rPr>
          <w:rFonts w:ascii="Arial" w:hAnsi="Arial" w:cs="Arial"/>
          <w:color w:val="000000" w:themeColor="text1"/>
          <w:sz w:val="22"/>
        </w:rPr>
        <w:t xml:space="preserve">l Decreto regula dos (2) eventos: i) los contratos del artículo 355 de la Constitución Política con el fin </w:t>
      </w:r>
      <w:r w:rsidR="002E578E" w:rsidRPr="004031A8">
        <w:rPr>
          <w:rFonts w:ascii="Arial" w:hAnsi="Arial" w:cs="Arial"/>
          <w:color w:val="000000" w:themeColor="text1"/>
          <w:sz w:val="22"/>
        </w:rPr>
        <w:t xml:space="preserve">de </w:t>
      </w:r>
      <w:r w:rsidR="00E13B97" w:rsidRPr="004031A8">
        <w:rPr>
          <w:rFonts w:ascii="Arial" w:hAnsi="Arial" w:cs="Arial"/>
          <w:color w:val="000000" w:themeColor="text1"/>
          <w:sz w:val="22"/>
        </w:rPr>
        <w:t>impulsar programas y actividades de interés público de acuerdo con el Plan Nacional o los planes seccionales de desarrollo</w:t>
      </w:r>
      <w:r w:rsidR="0076307E" w:rsidRPr="004031A8">
        <w:rPr>
          <w:rFonts w:ascii="Arial" w:hAnsi="Arial" w:cs="Arial"/>
          <w:color w:val="000000" w:themeColor="text1"/>
          <w:sz w:val="22"/>
        </w:rPr>
        <w:t>, regulados en los artículos 2, 3 y 4 del Decreto 092 de 2017</w:t>
      </w:r>
      <w:r w:rsidR="00E13B97" w:rsidRPr="004031A8">
        <w:rPr>
          <w:rFonts w:ascii="Arial" w:hAnsi="Arial" w:cs="Arial"/>
          <w:color w:val="000000" w:themeColor="text1"/>
          <w:sz w:val="22"/>
        </w:rPr>
        <w:t>; y ii) los convenios de asociación, para el desarrollo conjunto de actividades relacionadas con las funciones de las entidades estatales, en desarrollo del artículo 96 de la Ley 489 de 1998</w:t>
      </w:r>
      <w:r w:rsidR="00C52971" w:rsidRPr="004031A8">
        <w:rPr>
          <w:rFonts w:ascii="Arial" w:hAnsi="Arial" w:cs="Arial"/>
          <w:color w:val="000000" w:themeColor="text1"/>
          <w:sz w:val="22"/>
        </w:rPr>
        <w:t>, regulados en el artículo 5 del Decreto 092 de 2017.</w:t>
      </w:r>
    </w:p>
    <w:p w14:paraId="3089F6D0" w14:textId="532D306C" w:rsidR="003107E7" w:rsidRPr="004031A8" w:rsidRDefault="00912570" w:rsidP="003107E7">
      <w:pPr>
        <w:spacing w:before="120" w:line="276" w:lineRule="auto"/>
        <w:ind w:firstLine="708"/>
        <w:jc w:val="both"/>
        <w:rPr>
          <w:rFonts w:ascii="Arial" w:hAnsi="Arial" w:cs="Arial"/>
          <w:sz w:val="22"/>
        </w:rPr>
      </w:pPr>
      <w:r w:rsidRPr="004031A8">
        <w:rPr>
          <w:rFonts w:ascii="Arial" w:hAnsi="Arial" w:cs="Arial"/>
          <w:sz w:val="22"/>
        </w:rPr>
        <w:t>P</w:t>
      </w:r>
      <w:r w:rsidR="003107E7" w:rsidRPr="004031A8">
        <w:rPr>
          <w:rFonts w:ascii="Arial" w:hAnsi="Arial" w:cs="Arial"/>
          <w:sz w:val="22"/>
        </w:rPr>
        <w:t xml:space="preserve">ara la celebración de </w:t>
      </w:r>
      <w:r w:rsidR="003107E7" w:rsidRPr="004031A8">
        <w:rPr>
          <w:rFonts w:ascii="Arial" w:hAnsi="Arial" w:cs="Arial"/>
          <w:i/>
          <w:sz w:val="22"/>
        </w:rPr>
        <w:t>contratos del artículo 355 de la Constitución</w:t>
      </w:r>
      <w:r w:rsidR="003107E7" w:rsidRPr="004031A8">
        <w:rPr>
          <w:rFonts w:ascii="Arial" w:hAnsi="Arial" w:cs="Arial"/>
          <w:sz w:val="22"/>
        </w:rPr>
        <w:t xml:space="preserve">, </w:t>
      </w:r>
      <w:r w:rsidR="0039418A" w:rsidRPr="004031A8">
        <w:rPr>
          <w:rFonts w:ascii="Arial" w:hAnsi="Arial" w:cs="Arial"/>
          <w:sz w:val="22"/>
        </w:rPr>
        <w:t xml:space="preserve">desarrollados en los artículos 2, 3 y 4 del Decreto 092 de 2017, </w:t>
      </w:r>
      <w:r w:rsidR="003107E7" w:rsidRPr="004031A8">
        <w:rPr>
          <w:rFonts w:ascii="Arial" w:hAnsi="Arial" w:cs="Arial"/>
          <w:sz w:val="22"/>
        </w:rPr>
        <w:t xml:space="preserve">cuando en la fase de planeación se determine que el programa a adelantarse es ofertado por más de una ESAL, las entidades estatales deberán adelantar procedimientos </w:t>
      </w:r>
      <w:r w:rsidRPr="004031A8">
        <w:rPr>
          <w:rFonts w:ascii="Arial" w:hAnsi="Arial" w:cs="Arial"/>
          <w:sz w:val="22"/>
        </w:rPr>
        <w:t xml:space="preserve">competitivos </w:t>
      </w:r>
      <w:r w:rsidR="003107E7" w:rsidRPr="004031A8">
        <w:rPr>
          <w:rFonts w:ascii="Arial" w:hAnsi="Arial" w:cs="Arial"/>
          <w:sz w:val="22"/>
        </w:rPr>
        <w:t xml:space="preserve">en los que se garanticen las tres fases definidas en el artículo 4 del Decreto </w:t>
      </w:r>
      <w:r w:rsidR="00B023C1" w:rsidRPr="004031A8">
        <w:rPr>
          <w:rFonts w:ascii="Arial" w:hAnsi="Arial" w:cs="Arial"/>
          <w:sz w:val="22"/>
        </w:rPr>
        <w:t>0</w:t>
      </w:r>
      <w:r w:rsidR="003107E7" w:rsidRPr="004031A8">
        <w:rPr>
          <w:rFonts w:ascii="Arial" w:hAnsi="Arial" w:cs="Arial"/>
          <w:sz w:val="22"/>
        </w:rPr>
        <w:t xml:space="preserve">92 de 2017, así como los componentes de las mismas. Estas fases son: </w:t>
      </w:r>
      <w:r w:rsidR="002E0648" w:rsidRPr="004031A8">
        <w:rPr>
          <w:rFonts w:ascii="Arial" w:hAnsi="Arial" w:cs="Arial"/>
          <w:sz w:val="22"/>
        </w:rPr>
        <w:t xml:space="preserve">(i) </w:t>
      </w:r>
      <w:r w:rsidR="002E0648" w:rsidRPr="004031A8">
        <w:rPr>
          <w:rFonts w:ascii="Arial" w:hAnsi="Arial" w:cs="Arial"/>
          <w:i/>
          <w:iCs/>
          <w:sz w:val="22"/>
        </w:rPr>
        <w:t>convocatoria</w:t>
      </w:r>
      <w:r w:rsidR="002E0648" w:rsidRPr="004031A8">
        <w:rPr>
          <w:rFonts w:ascii="Arial" w:hAnsi="Arial" w:cs="Arial"/>
          <w:sz w:val="22"/>
        </w:rPr>
        <w:t xml:space="preserve">, que corresponde a la «definición y publicación de los indicadores de idoneidad, experiencia, eficacia, eficiencia, economía y de manejo del Riesgo y los criterios de ponderación para comparar las ofertas»; (ii) </w:t>
      </w:r>
      <w:r w:rsidR="002E0648" w:rsidRPr="004031A8">
        <w:rPr>
          <w:rFonts w:ascii="Arial" w:hAnsi="Arial" w:cs="Arial"/>
          <w:i/>
          <w:iCs/>
          <w:sz w:val="22"/>
        </w:rPr>
        <w:t>plazo</w:t>
      </w:r>
      <w:r w:rsidR="002E0648" w:rsidRPr="004031A8">
        <w:rPr>
          <w:rFonts w:ascii="Arial" w:hAnsi="Arial" w:cs="Arial"/>
          <w:sz w:val="22"/>
        </w:rPr>
        <w:t xml:space="preserve">, es decir, la «definición de un plazo razonable para que las entidades privadas sin ánimo de lucro de reconocida idoneidad presenten a la Entidad Estatal sus ofertas y los documentos que acrediten su idoneidad», y (iii) </w:t>
      </w:r>
      <w:r w:rsidR="002E0648" w:rsidRPr="004031A8">
        <w:rPr>
          <w:rFonts w:ascii="Arial" w:hAnsi="Arial" w:cs="Arial"/>
          <w:i/>
          <w:iCs/>
          <w:sz w:val="22"/>
        </w:rPr>
        <w:t>evaluación</w:t>
      </w:r>
      <w:r w:rsidR="002E0648" w:rsidRPr="004031A8">
        <w:rPr>
          <w:rFonts w:ascii="Arial" w:hAnsi="Arial" w:cs="Arial"/>
          <w:sz w:val="22"/>
        </w:rPr>
        <w:t>, que implica la «evaluación de las ofertas por parte de la Entidad Estatal teniendo en cuenta los criterios definidos para el efecto».</w:t>
      </w:r>
    </w:p>
    <w:p w14:paraId="37CE5B9C" w14:textId="09BBD277" w:rsidR="003107E7" w:rsidRPr="004031A8" w:rsidRDefault="003107E7" w:rsidP="003107E7">
      <w:pPr>
        <w:spacing w:before="120" w:line="276" w:lineRule="auto"/>
        <w:ind w:firstLine="708"/>
        <w:jc w:val="both"/>
        <w:rPr>
          <w:rFonts w:ascii="Arial" w:hAnsi="Arial" w:cs="Arial"/>
          <w:sz w:val="22"/>
        </w:rPr>
      </w:pPr>
      <w:r w:rsidRPr="004031A8">
        <w:rPr>
          <w:rFonts w:ascii="Arial" w:hAnsi="Arial" w:cs="Arial"/>
          <w:sz w:val="22"/>
        </w:rPr>
        <w:t xml:space="preserve">En cuanto a </w:t>
      </w:r>
      <w:r w:rsidR="0076307E" w:rsidRPr="004031A8">
        <w:rPr>
          <w:rFonts w:ascii="Arial" w:hAnsi="Arial" w:cs="Arial"/>
          <w:sz w:val="22"/>
        </w:rPr>
        <w:t xml:space="preserve">los </w:t>
      </w:r>
      <w:r w:rsidRPr="004031A8">
        <w:rPr>
          <w:rFonts w:ascii="Arial" w:hAnsi="Arial" w:cs="Arial"/>
          <w:i/>
          <w:sz w:val="22"/>
        </w:rPr>
        <w:t>convenios de asociación</w:t>
      </w:r>
      <w:r w:rsidRPr="004031A8">
        <w:rPr>
          <w:rFonts w:ascii="Arial" w:hAnsi="Arial" w:cs="Arial"/>
          <w:sz w:val="22"/>
        </w:rPr>
        <w:t xml:space="preserve">,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por lo que este procedimiento </w:t>
      </w:r>
      <w:r w:rsidRPr="004031A8">
        <w:rPr>
          <w:rFonts w:ascii="Arial" w:hAnsi="Arial" w:cs="Arial"/>
          <w:i/>
          <w:iCs/>
          <w:sz w:val="22"/>
        </w:rPr>
        <w:t>puede</w:t>
      </w:r>
      <w:r w:rsidRPr="004031A8">
        <w:rPr>
          <w:rFonts w:ascii="Arial" w:hAnsi="Arial" w:cs="Arial"/>
          <w:sz w:val="22"/>
        </w:rPr>
        <w:t xml:space="preserve"> ser análogo a otros donde existe competencia, como la licitación pública</w:t>
      </w:r>
      <w:r w:rsidR="00C52971" w:rsidRPr="004031A8">
        <w:rPr>
          <w:rFonts w:ascii="Arial" w:hAnsi="Arial" w:cs="Arial"/>
          <w:sz w:val="22"/>
        </w:rPr>
        <w:t>, contando las entidades estatales con un margen amplio de configuración del procedimiento.</w:t>
      </w:r>
    </w:p>
    <w:p w14:paraId="65F0A826" w14:textId="0A66C0CC" w:rsidR="002D3B2D" w:rsidRPr="004031A8" w:rsidRDefault="002D3B2D" w:rsidP="002D3B2D">
      <w:pPr>
        <w:spacing w:before="120" w:after="120" w:line="276" w:lineRule="auto"/>
        <w:ind w:firstLine="709"/>
        <w:jc w:val="both"/>
        <w:rPr>
          <w:rFonts w:ascii="Arial" w:eastAsia="Calibri" w:hAnsi="Arial" w:cs="Arial"/>
          <w:sz w:val="22"/>
        </w:rPr>
      </w:pPr>
      <w:r w:rsidRPr="004031A8">
        <w:rPr>
          <w:rFonts w:ascii="Arial" w:eastAsia="Calibri" w:hAnsi="Arial" w:cs="Arial"/>
          <w:sz w:val="22"/>
        </w:rPr>
        <w:t xml:space="preserve">Adicionalmente, de conformidad con el inciso segundo del artículo 96 de la Ley 489 de 1998, en estos convenios debe determinarse «con precisión su objeto, término, obligaciones de las partes, aportes, coordinación y todos aquellos aspectos que se consideren pertinentes». Dentro de estos elementos resalta la exigencia de aportes, que debe interpretarse en el sentido de que las ESAL deben realizar aportes a los convenios que suscriban. Dichos aportes pueden ser en dinero, o en especie, los cuales deben servir al desarrollo de los objetivos comunes de la asociación. </w:t>
      </w:r>
    </w:p>
    <w:p w14:paraId="52AB224D" w14:textId="0585C213" w:rsidR="00C133B6" w:rsidRPr="004031A8" w:rsidRDefault="002D3B2D" w:rsidP="000253B2">
      <w:pPr>
        <w:spacing w:before="120" w:line="276" w:lineRule="auto"/>
        <w:ind w:firstLine="708"/>
        <w:jc w:val="both"/>
        <w:rPr>
          <w:rFonts w:ascii="Arial" w:eastAsia="Calibri" w:hAnsi="Arial" w:cs="Arial"/>
          <w:sz w:val="22"/>
        </w:rPr>
      </w:pPr>
      <w:r w:rsidRPr="004031A8">
        <w:rPr>
          <w:rFonts w:ascii="Arial" w:eastAsia="Calibri" w:hAnsi="Arial" w:cs="Arial"/>
          <w:sz w:val="22"/>
        </w:rPr>
        <w:t xml:space="preserve">Sin embargo, debe señalarse que el 30% señalado en el artículo 5 del Decreto 092 de 2017, que debe aportar la ESAL a efectos de poder celebrar el convenio sin acudir a un proceso competitivo, debe calcularse respecto del monto total de los recursos </w:t>
      </w:r>
      <w:r w:rsidRPr="004031A8">
        <w:rPr>
          <w:rFonts w:ascii="Arial" w:eastAsia="Calibri" w:hAnsi="Arial" w:cs="Arial"/>
          <w:i/>
          <w:iCs/>
          <w:sz w:val="22"/>
        </w:rPr>
        <w:t>en dinero</w:t>
      </w:r>
      <w:r w:rsidRPr="004031A8">
        <w:rPr>
          <w:rFonts w:ascii="Arial" w:eastAsia="Calibri" w:hAnsi="Arial" w:cs="Arial"/>
          <w:sz w:val="22"/>
        </w:rPr>
        <w:t xml:space="preserve"> requeridos para la ejecución proyecto, el cual corresponderá al valor por el que se celebrará </w:t>
      </w:r>
      <w:r w:rsidRPr="004031A8">
        <w:rPr>
          <w:rFonts w:ascii="Arial" w:eastAsia="Calibri" w:hAnsi="Arial" w:cs="Arial"/>
          <w:sz w:val="22"/>
        </w:rPr>
        <w:lastRenderedPageBreak/>
        <w:t xml:space="preserve">el </w:t>
      </w:r>
      <w:r w:rsidRPr="004031A8">
        <w:rPr>
          <w:rFonts w:ascii="Arial" w:eastAsia="Calibri" w:hAnsi="Arial" w:cs="Arial"/>
          <w:i/>
          <w:iCs/>
          <w:sz w:val="22"/>
        </w:rPr>
        <w:t>convenio de asociación</w:t>
      </w:r>
      <w:r w:rsidRPr="004031A8">
        <w:rPr>
          <w:rFonts w:ascii="Arial" w:eastAsia="Calibri" w:hAnsi="Arial" w:cs="Arial"/>
          <w:sz w:val="22"/>
        </w:rPr>
        <w:t>. De esta manera, los eventuales aportes en especie no podrán tenerse en cuenta para calcular el referido porcentaje, el cual debe ser en dinero</w:t>
      </w:r>
      <w:r w:rsidR="000158BA" w:rsidRPr="004031A8">
        <w:rPr>
          <w:rFonts w:ascii="Arial" w:eastAsia="Calibri" w:hAnsi="Arial" w:cs="Arial"/>
          <w:sz w:val="22"/>
        </w:rPr>
        <w:t>, conforme se explicó en las consideraciones.</w:t>
      </w:r>
    </w:p>
    <w:p w14:paraId="2740A0E8" w14:textId="77731822" w:rsidR="0076307E" w:rsidRPr="004031A8" w:rsidRDefault="0076307E" w:rsidP="0076307E">
      <w:pPr>
        <w:spacing w:before="120" w:after="120" w:line="276" w:lineRule="auto"/>
        <w:ind w:firstLine="709"/>
        <w:jc w:val="both"/>
        <w:rPr>
          <w:rFonts w:ascii="Arial" w:eastAsia="Calibri" w:hAnsi="Arial" w:cs="Arial"/>
          <w:bCs/>
          <w:sz w:val="22"/>
        </w:rPr>
      </w:pPr>
      <w:r w:rsidRPr="004031A8">
        <w:rPr>
          <w:rFonts w:ascii="Arial" w:eastAsia="Calibri" w:hAnsi="Arial" w:cs="Arial"/>
          <w:bCs/>
          <w:sz w:val="22"/>
        </w:rPr>
        <w:t xml:space="preserve">Además, </w:t>
      </w:r>
      <w:r w:rsidR="00304C14" w:rsidRPr="004031A8">
        <w:rPr>
          <w:rFonts w:ascii="Arial" w:eastAsia="Calibri" w:hAnsi="Arial" w:cs="Arial"/>
          <w:bCs/>
          <w:sz w:val="22"/>
        </w:rPr>
        <w:t xml:space="preserve">en atención al inciso 2 del artículo 5 del Decreto 092 de 2017, las entidades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 </w:t>
      </w:r>
      <w:r w:rsidR="0089785F" w:rsidRPr="004031A8">
        <w:rPr>
          <w:rFonts w:ascii="Arial" w:eastAsia="Calibri" w:hAnsi="Arial" w:cs="Arial"/>
          <w:bCs/>
          <w:sz w:val="22"/>
        </w:rPr>
        <w:t xml:space="preserve">para </w:t>
      </w:r>
      <w:r w:rsidR="00304C14" w:rsidRPr="004031A8">
        <w:rPr>
          <w:rFonts w:ascii="Arial" w:eastAsia="Calibri" w:hAnsi="Arial" w:cs="Arial"/>
          <w:bCs/>
          <w:sz w:val="22"/>
        </w:rPr>
        <w:t xml:space="preserve">lo cual </w:t>
      </w:r>
      <w:r w:rsidR="00E51A72" w:rsidRPr="004031A8">
        <w:rPr>
          <w:rFonts w:ascii="Arial" w:eastAsia="Calibri" w:hAnsi="Arial" w:cs="Arial"/>
          <w:bCs/>
          <w:sz w:val="22"/>
        </w:rPr>
        <w:t>d</w:t>
      </w:r>
      <w:r w:rsidR="0089785F" w:rsidRPr="004031A8">
        <w:rPr>
          <w:rFonts w:ascii="Arial" w:eastAsia="Calibri" w:hAnsi="Arial" w:cs="Arial"/>
          <w:bCs/>
          <w:sz w:val="22"/>
        </w:rPr>
        <w:t>eberá</w:t>
      </w:r>
      <w:r w:rsidR="00E51A72" w:rsidRPr="004031A8">
        <w:rPr>
          <w:rFonts w:ascii="Arial" w:eastAsia="Calibri" w:hAnsi="Arial" w:cs="Arial"/>
          <w:bCs/>
          <w:sz w:val="22"/>
        </w:rPr>
        <w:t xml:space="preserve"> realizar un</w:t>
      </w:r>
      <w:r w:rsidR="00304C14" w:rsidRPr="004031A8">
        <w:rPr>
          <w:rFonts w:ascii="Arial" w:eastAsia="Calibri" w:hAnsi="Arial" w:cs="Arial"/>
          <w:bCs/>
          <w:sz w:val="22"/>
        </w:rPr>
        <w:t xml:space="preserve"> proceso competitivo.</w:t>
      </w:r>
    </w:p>
    <w:p w14:paraId="10946057" w14:textId="77777777" w:rsidR="0076307E" w:rsidRPr="004031A8" w:rsidRDefault="0076307E" w:rsidP="000253B2">
      <w:pPr>
        <w:spacing w:before="120" w:line="276" w:lineRule="auto"/>
        <w:ind w:firstLine="708"/>
        <w:jc w:val="both"/>
        <w:rPr>
          <w:rFonts w:ascii="Arial" w:eastAsia="Calibri" w:hAnsi="Arial" w:cs="Arial"/>
          <w:sz w:val="22"/>
        </w:rPr>
      </w:pPr>
    </w:p>
    <w:p w14:paraId="0A4FBEB7" w14:textId="77777777" w:rsidR="00C133B6" w:rsidRPr="004031A8" w:rsidRDefault="00C133B6" w:rsidP="00C133B6">
      <w:pPr>
        <w:spacing w:line="276" w:lineRule="auto"/>
        <w:jc w:val="both"/>
        <w:rPr>
          <w:rFonts w:ascii="Arial" w:eastAsia="Calibri" w:hAnsi="Arial" w:cs="Arial"/>
          <w:color w:val="000000" w:themeColor="text1"/>
          <w:sz w:val="22"/>
        </w:rPr>
      </w:pPr>
      <w:r w:rsidRPr="004031A8">
        <w:rPr>
          <w:rFonts w:ascii="Arial" w:eastAsia="Calibri" w:hAnsi="Arial" w:cs="Arial"/>
          <w:color w:val="000000" w:themeColor="text1"/>
          <w:sz w:val="22"/>
        </w:rPr>
        <w:t>Este concepto tiene el alcance previsto en el artículo 28 del Código de Procedimiento Administrativo y de lo Contencioso Administrativo.</w:t>
      </w:r>
    </w:p>
    <w:p w14:paraId="305424AF" w14:textId="77777777" w:rsidR="00C133B6" w:rsidRPr="004031A8" w:rsidRDefault="00C133B6" w:rsidP="00C133B6">
      <w:pPr>
        <w:rPr>
          <w:noProof/>
          <w:szCs w:val="20"/>
          <w:lang w:val="es-CO" w:eastAsia="es-CO"/>
        </w:rPr>
      </w:pPr>
    </w:p>
    <w:p w14:paraId="27101BE0" w14:textId="77777777" w:rsidR="00C133B6" w:rsidRPr="004031A8" w:rsidRDefault="00C133B6" w:rsidP="00C133B6">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031A8">
        <w:rPr>
          <w:rFonts w:ascii="Arial" w:hAnsi="Arial" w:cs="Arial"/>
          <w:color w:val="000000" w:themeColor="text1"/>
          <w:sz w:val="22"/>
          <w:szCs w:val="22"/>
          <w:lang w:val="es-ES_tradnl"/>
        </w:rPr>
        <w:t>Atentamente,</w:t>
      </w:r>
    </w:p>
    <w:p w14:paraId="300A3319" w14:textId="72180EFE" w:rsidR="00C133B6" w:rsidRPr="004031A8" w:rsidRDefault="00C133B6" w:rsidP="00C133B6">
      <w:pPr>
        <w:rPr>
          <w:rFonts w:ascii="Arial" w:hAnsi="Arial" w:cs="Arial"/>
          <w:sz w:val="22"/>
          <w:lang w:eastAsia="es-CO"/>
        </w:rPr>
      </w:pPr>
    </w:p>
    <w:p w14:paraId="12570DF1" w14:textId="75F75640" w:rsidR="00C133B6" w:rsidRPr="004031A8" w:rsidRDefault="00D21691" w:rsidP="00C133B6">
      <w:pPr>
        <w:jc w:val="center"/>
        <w:rPr>
          <w:rFonts w:ascii="Arial" w:hAnsi="Arial" w:cs="Arial"/>
          <w:sz w:val="22"/>
          <w:lang w:eastAsia="es-CO"/>
        </w:rPr>
      </w:pPr>
      <w:r>
        <w:rPr>
          <w:rFonts w:ascii="Arial" w:hAnsi="Arial" w:cs="Arial"/>
          <w:noProof/>
          <w:sz w:val="22"/>
          <w:lang w:eastAsia="es-CO"/>
        </w:rPr>
        <w:drawing>
          <wp:inline distT="0" distB="0" distL="0" distR="0" wp14:anchorId="2CB4CA5D" wp14:editId="2EC42807">
            <wp:extent cx="2574000" cy="1080000"/>
            <wp:effectExtent l="0" t="0" r="0" b="635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74000" cy="1080000"/>
                    </a:xfrm>
                    <a:prstGeom prst="rect">
                      <a:avLst/>
                    </a:prstGeom>
                  </pic:spPr>
                </pic:pic>
              </a:graphicData>
            </a:graphic>
          </wp:inline>
        </w:drawing>
      </w:r>
      <w:r w:rsidR="00C133B6" w:rsidRPr="004031A8">
        <w:rPr>
          <w:noProof/>
        </w:rPr>
        <w:t xml:space="preserve"> </w:t>
      </w:r>
    </w:p>
    <w:p w14:paraId="30BE9172" w14:textId="77777777" w:rsidR="00C133B6" w:rsidRPr="004031A8" w:rsidRDefault="00C133B6" w:rsidP="00C133B6">
      <w:pPr>
        <w:jc w:val="center"/>
        <w:rPr>
          <w:rFonts w:ascii="Arial" w:hAnsi="Arial" w:cs="Arial"/>
          <w:sz w:val="18"/>
          <w:szCs w:val="20"/>
          <w:lang w:eastAsia="es-CO"/>
        </w:rPr>
      </w:pPr>
    </w:p>
    <w:p w14:paraId="19DE936A" w14:textId="77777777" w:rsidR="00C133B6" w:rsidRPr="004031A8" w:rsidRDefault="00C133B6" w:rsidP="00C133B6">
      <w:pPr>
        <w:jc w:val="center"/>
        <w:rPr>
          <w:rFonts w:ascii="Arial" w:hAnsi="Arial" w:cs="Arial"/>
          <w:sz w:val="18"/>
          <w:szCs w:val="20"/>
          <w:lang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
        <w:gridCol w:w="4794"/>
      </w:tblGrid>
      <w:tr w:rsidR="00C133B6" w:rsidRPr="004031A8" w14:paraId="026CC13A" w14:textId="77777777" w:rsidTr="00A53405">
        <w:trPr>
          <w:trHeight w:val="333"/>
        </w:trPr>
        <w:tc>
          <w:tcPr>
            <w:tcW w:w="882" w:type="dxa"/>
            <w:vAlign w:val="center"/>
            <w:hideMark/>
          </w:tcPr>
          <w:p w14:paraId="0ACA0A8D" w14:textId="77777777" w:rsidR="00C133B6" w:rsidRPr="004031A8" w:rsidRDefault="00C133B6" w:rsidP="00A53405">
            <w:pPr>
              <w:rPr>
                <w:rFonts w:ascii="Arial" w:hAnsi="Arial" w:cs="Arial"/>
                <w:sz w:val="16"/>
                <w:szCs w:val="16"/>
                <w:lang w:eastAsia="es-ES"/>
              </w:rPr>
            </w:pPr>
            <w:r w:rsidRPr="004031A8">
              <w:rPr>
                <w:rFonts w:ascii="Arial" w:hAnsi="Arial" w:cs="Arial"/>
                <w:sz w:val="16"/>
                <w:szCs w:val="16"/>
                <w:lang w:eastAsia="es-ES"/>
              </w:rPr>
              <w:t>Elaboró:</w:t>
            </w:r>
          </w:p>
        </w:tc>
        <w:tc>
          <w:tcPr>
            <w:tcW w:w="4794" w:type="dxa"/>
            <w:tcBorders>
              <w:top w:val="nil"/>
              <w:left w:val="nil"/>
              <w:bottom w:val="dotted" w:sz="4" w:space="0" w:color="7F7F7F" w:themeColor="text1" w:themeTint="80"/>
              <w:right w:val="nil"/>
            </w:tcBorders>
            <w:vAlign w:val="center"/>
            <w:hideMark/>
          </w:tcPr>
          <w:p w14:paraId="040369D1" w14:textId="6BEC646C" w:rsidR="00C133B6" w:rsidRPr="004031A8" w:rsidRDefault="000253B2" w:rsidP="00A53405">
            <w:pPr>
              <w:rPr>
                <w:rFonts w:ascii="Arial" w:hAnsi="Arial" w:cs="Arial"/>
                <w:sz w:val="16"/>
                <w:szCs w:val="16"/>
                <w:lang w:eastAsia="es-ES"/>
              </w:rPr>
            </w:pPr>
            <w:r w:rsidRPr="004031A8">
              <w:rPr>
                <w:rFonts w:ascii="Arial" w:hAnsi="Arial" w:cs="Arial"/>
                <w:sz w:val="16"/>
                <w:szCs w:val="16"/>
                <w:lang w:eastAsia="es-ES"/>
              </w:rPr>
              <w:t>Kevin Arlid Herrera Santa</w:t>
            </w:r>
          </w:p>
          <w:p w14:paraId="11FF18F2" w14:textId="0FCBDC55" w:rsidR="00C133B6" w:rsidRPr="004031A8" w:rsidRDefault="000253B2" w:rsidP="00A53405">
            <w:pPr>
              <w:rPr>
                <w:rFonts w:ascii="Arial" w:hAnsi="Arial" w:cs="Arial"/>
                <w:sz w:val="16"/>
                <w:szCs w:val="16"/>
                <w:lang w:eastAsia="es-ES"/>
              </w:rPr>
            </w:pPr>
            <w:r w:rsidRPr="004031A8">
              <w:rPr>
                <w:rFonts w:ascii="Arial" w:hAnsi="Arial" w:cs="Arial"/>
                <w:sz w:val="16"/>
                <w:szCs w:val="16"/>
                <w:lang w:eastAsia="es-ES"/>
              </w:rPr>
              <w:t>Analista T2-04</w:t>
            </w:r>
            <w:r w:rsidR="00C133B6" w:rsidRPr="004031A8">
              <w:rPr>
                <w:rFonts w:ascii="Arial" w:hAnsi="Arial" w:cs="Arial"/>
                <w:sz w:val="16"/>
                <w:szCs w:val="16"/>
                <w:lang w:eastAsia="es-ES"/>
              </w:rPr>
              <w:t xml:space="preserve"> de la Subdirección de Gestión Contractual</w:t>
            </w:r>
          </w:p>
        </w:tc>
      </w:tr>
      <w:tr w:rsidR="00C133B6" w:rsidRPr="004031A8" w14:paraId="011B6D76" w14:textId="77777777" w:rsidTr="00A53405">
        <w:trPr>
          <w:trHeight w:val="348"/>
        </w:trPr>
        <w:tc>
          <w:tcPr>
            <w:tcW w:w="882" w:type="dxa"/>
            <w:vAlign w:val="center"/>
            <w:hideMark/>
          </w:tcPr>
          <w:p w14:paraId="213D8239" w14:textId="77777777" w:rsidR="00C133B6" w:rsidRPr="004031A8" w:rsidRDefault="00C133B6" w:rsidP="00A53405">
            <w:pPr>
              <w:rPr>
                <w:rFonts w:ascii="Arial" w:hAnsi="Arial" w:cs="Arial"/>
                <w:sz w:val="16"/>
                <w:szCs w:val="16"/>
                <w:lang w:eastAsia="es-ES"/>
              </w:rPr>
            </w:pPr>
            <w:r w:rsidRPr="004031A8">
              <w:rPr>
                <w:rFonts w:ascii="Arial" w:hAnsi="Arial" w:cs="Arial"/>
                <w:sz w:val="16"/>
                <w:szCs w:val="16"/>
                <w:lang w:eastAsia="es-ES"/>
              </w:rPr>
              <w:t>Revisó:</w:t>
            </w:r>
          </w:p>
        </w:tc>
        <w:tc>
          <w:tcPr>
            <w:tcW w:w="4794" w:type="dxa"/>
            <w:tcBorders>
              <w:top w:val="dotted" w:sz="4" w:space="0" w:color="7F7F7F" w:themeColor="text1" w:themeTint="80"/>
              <w:left w:val="nil"/>
              <w:bottom w:val="dotted" w:sz="4" w:space="0" w:color="7F7F7F" w:themeColor="text1" w:themeTint="80"/>
              <w:right w:val="nil"/>
            </w:tcBorders>
            <w:vAlign w:val="center"/>
            <w:hideMark/>
          </w:tcPr>
          <w:p w14:paraId="4FB9885E" w14:textId="17095A9E" w:rsidR="00C133B6" w:rsidRPr="004031A8" w:rsidRDefault="002A504C" w:rsidP="00A53405">
            <w:pPr>
              <w:rPr>
                <w:rFonts w:ascii="Arial" w:hAnsi="Arial" w:cs="Arial"/>
                <w:sz w:val="16"/>
                <w:szCs w:val="16"/>
                <w:lang w:eastAsia="es-ES"/>
              </w:rPr>
            </w:pPr>
            <w:r w:rsidRPr="004031A8">
              <w:rPr>
                <w:rFonts w:ascii="Arial" w:hAnsi="Arial" w:cs="Arial"/>
                <w:sz w:val="16"/>
                <w:szCs w:val="16"/>
                <w:lang w:eastAsia="es-ES"/>
              </w:rPr>
              <w:t>Sebastián Ramírez Grisales</w:t>
            </w:r>
          </w:p>
          <w:p w14:paraId="1BB16FD1" w14:textId="6F489EDD" w:rsidR="00C133B6" w:rsidRPr="004031A8" w:rsidRDefault="002A504C" w:rsidP="00A53405">
            <w:pPr>
              <w:rPr>
                <w:rFonts w:ascii="Arial" w:hAnsi="Arial" w:cs="Arial"/>
                <w:sz w:val="14"/>
                <w:szCs w:val="14"/>
                <w:lang w:eastAsia="es-ES"/>
              </w:rPr>
            </w:pPr>
            <w:r w:rsidRPr="004031A8">
              <w:rPr>
                <w:rFonts w:ascii="Arial" w:hAnsi="Arial" w:cs="Arial"/>
                <w:sz w:val="16"/>
                <w:szCs w:val="16"/>
                <w:lang w:eastAsia="es-ES"/>
              </w:rPr>
              <w:t>Contratista</w:t>
            </w:r>
            <w:r w:rsidR="00C133B6" w:rsidRPr="004031A8">
              <w:rPr>
                <w:rFonts w:ascii="Arial" w:hAnsi="Arial" w:cs="Arial"/>
                <w:sz w:val="16"/>
                <w:szCs w:val="16"/>
                <w:lang w:eastAsia="es-ES"/>
              </w:rPr>
              <w:t xml:space="preserve"> de la Subdirección de Gestión Contractual </w:t>
            </w:r>
          </w:p>
        </w:tc>
      </w:tr>
      <w:tr w:rsidR="00C133B6" w:rsidRPr="00CE44D5" w14:paraId="38DE8EAA" w14:textId="77777777" w:rsidTr="00A53405">
        <w:trPr>
          <w:trHeight w:val="317"/>
        </w:trPr>
        <w:tc>
          <w:tcPr>
            <w:tcW w:w="882" w:type="dxa"/>
            <w:vAlign w:val="center"/>
            <w:hideMark/>
          </w:tcPr>
          <w:p w14:paraId="1442F4C1" w14:textId="77777777" w:rsidR="00C133B6" w:rsidRPr="004031A8" w:rsidRDefault="00C133B6" w:rsidP="00A53405">
            <w:pPr>
              <w:rPr>
                <w:rFonts w:ascii="Arial" w:hAnsi="Arial" w:cs="Arial"/>
                <w:sz w:val="16"/>
                <w:szCs w:val="16"/>
                <w:lang w:eastAsia="es-ES"/>
              </w:rPr>
            </w:pPr>
            <w:r w:rsidRPr="004031A8">
              <w:rPr>
                <w:rFonts w:ascii="Arial" w:hAnsi="Arial" w:cs="Arial"/>
                <w:sz w:val="16"/>
                <w:szCs w:val="16"/>
                <w:lang w:eastAsia="es-ES"/>
              </w:rPr>
              <w:t>Aprobó:</w:t>
            </w:r>
          </w:p>
        </w:tc>
        <w:tc>
          <w:tcPr>
            <w:tcW w:w="4794" w:type="dxa"/>
            <w:tcBorders>
              <w:top w:val="dotted" w:sz="4" w:space="0" w:color="7F7F7F" w:themeColor="text1" w:themeTint="80"/>
              <w:left w:val="nil"/>
              <w:bottom w:val="dotted" w:sz="4" w:space="0" w:color="7F7F7F" w:themeColor="text1" w:themeTint="80"/>
              <w:right w:val="nil"/>
            </w:tcBorders>
            <w:vAlign w:val="center"/>
            <w:hideMark/>
          </w:tcPr>
          <w:p w14:paraId="67B43C05" w14:textId="77777777" w:rsidR="00C133B6" w:rsidRPr="004031A8" w:rsidRDefault="00C133B6" w:rsidP="00A53405">
            <w:pPr>
              <w:rPr>
                <w:rFonts w:ascii="Arial" w:hAnsi="Arial" w:cs="Arial"/>
                <w:sz w:val="16"/>
                <w:szCs w:val="16"/>
                <w:lang w:eastAsia="es-ES"/>
              </w:rPr>
            </w:pPr>
            <w:r w:rsidRPr="004031A8">
              <w:rPr>
                <w:rFonts w:ascii="Arial" w:hAnsi="Arial" w:cs="Arial"/>
                <w:sz w:val="16"/>
                <w:szCs w:val="16"/>
                <w:lang w:eastAsia="es-ES"/>
              </w:rPr>
              <w:t>Jorge Augusto Tirado Navarro</w:t>
            </w:r>
          </w:p>
          <w:p w14:paraId="086F8218" w14:textId="77777777" w:rsidR="00C133B6" w:rsidRPr="00CE44D5" w:rsidRDefault="00C133B6" w:rsidP="00A53405">
            <w:pPr>
              <w:rPr>
                <w:rFonts w:ascii="Arial" w:hAnsi="Arial" w:cs="Arial"/>
                <w:sz w:val="16"/>
                <w:szCs w:val="16"/>
                <w:lang w:eastAsia="es-ES"/>
              </w:rPr>
            </w:pPr>
            <w:r w:rsidRPr="004031A8">
              <w:rPr>
                <w:rFonts w:ascii="Arial" w:hAnsi="Arial" w:cs="Arial"/>
                <w:sz w:val="16"/>
                <w:szCs w:val="16"/>
                <w:lang w:eastAsia="es-ES"/>
              </w:rPr>
              <w:t>Subdirector de Gestión Contractual ANCP – CCE</w:t>
            </w:r>
          </w:p>
        </w:tc>
      </w:tr>
    </w:tbl>
    <w:p w14:paraId="4D13CF39" w14:textId="77777777" w:rsidR="00C133B6" w:rsidRDefault="00C133B6" w:rsidP="00C133B6">
      <w:pPr>
        <w:pStyle w:val="NormalWeb"/>
        <w:spacing w:before="0" w:beforeAutospacing="0" w:after="0" w:afterAutospacing="0" w:line="276" w:lineRule="auto"/>
        <w:jc w:val="both"/>
        <w:rPr>
          <w:rFonts w:ascii="Arial" w:hAnsi="Arial" w:cs="Arial"/>
        </w:rPr>
      </w:pPr>
    </w:p>
    <w:p w14:paraId="0C0191C8" w14:textId="77777777" w:rsidR="00C133B6" w:rsidRPr="00F00D3C" w:rsidRDefault="00C133B6" w:rsidP="00C133B6">
      <w:pPr>
        <w:tabs>
          <w:tab w:val="left" w:pos="3795"/>
        </w:tabs>
        <w:rPr>
          <w:rFonts w:ascii="Arial" w:hAnsi="Arial" w:cs="Arial"/>
          <w:color w:val="000000" w:themeColor="text1"/>
        </w:rPr>
      </w:pPr>
    </w:p>
    <w:p w14:paraId="3342517E" w14:textId="77777777" w:rsidR="00C133B6" w:rsidRDefault="00C133B6" w:rsidP="00C133B6"/>
    <w:p w14:paraId="123D0C38" w14:textId="77777777" w:rsidR="00C133B6" w:rsidRPr="00162EE6" w:rsidRDefault="00C133B6" w:rsidP="00C133B6">
      <w:pPr>
        <w:rPr>
          <w:rFonts w:ascii="Arial" w:hAnsi="Arial" w:cs="Arial"/>
          <w:color w:val="000000" w:themeColor="text1"/>
          <w:sz w:val="20"/>
          <w:szCs w:val="20"/>
        </w:rPr>
      </w:pPr>
    </w:p>
    <w:p w14:paraId="4B0A71B9" w14:textId="77777777" w:rsidR="00C133B6" w:rsidRPr="00162EE6" w:rsidRDefault="00C133B6" w:rsidP="00C133B6">
      <w:pPr>
        <w:spacing w:line="276" w:lineRule="auto"/>
        <w:jc w:val="both"/>
        <w:rPr>
          <w:rFonts w:ascii="Arial" w:eastAsia="Calibri" w:hAnsi="Arial" w:cs="Arial"/>
          <w:b/>
          <w:color w:val="000000" w:themeColor="text1"/>
          <w:sz w:val="22"/>
        </w:rPr>
      </w:pPr>
    </w:p>
    <w:bookmarkEnd w:id="0"/>
    <w:bookmarkEnd w:id="1"/>
    <w:p w14:paraId="29BB5165" w14:textId="77777777" w:rsidR="008F5656" w:rsidRDefault="008F5656" w:rsidP="00A82DE0">
      <w:pPr>
        <w:rPr>
          <w:rFonts w:ascii="Arial" w:hAnsi="Arial" w:cs="Arial"/>
          <w:b/>
          <w:bCs/>
          <w:color w:val="000000" w:themeColor="text1"/>
          <w:sz w:val="22"/>
        </w:rPr>
      </w:pPr>
    </w:p>
    <w:sectPr w:rsidR="008F565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80785" w14:textId="77777777" w:rsidR="00E84C97" w:rsidRDefault="00E84C97">
      <w:r>
        <w:separator/>
      </w:r>
    </w:p>
  </w:endnote>
  <w:endnote w:type="continuationSeparator" w:id="0">
    <w:p w14:paraId="57D5B4B4" w14:textId="77777777" w:rsidR="00E84C97" w:rsidRDefault="00E84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217B7" w:rsidRDefault="008217B7" w:rsidP="00322937">
    <w:pPr>
      <w:pStyle w:val="Sinespaciado"/>
      <w:jc w:val="right"/>
      <w:rPr>
        <w:rFonts w:ascii="Arial" w:hAnsi="Arial" w:cs="Arial"/>
        <w:sz w:val="18"/>
        <w:szCs w:val="18"/>
      </w:rPr>
    </w:pPr>
  </w:p>
  <w:p w14:paraId="7A3785F3" w14:textId="01C12C82"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7369ED">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7369ED">
      <w:rPr>
        <w:rFonts w:ascii="Arial" w:hAnsi="Arial" w:cs="Arial"/>
        <w:b/>
        <w:bCs/>
        <w:noProof/>
        <w:color w:val="7F7F7F" w:themeColor="text1" w:themeTint="80"/>
        <w:sz w:val="16"/>
        <w:szCs w:val="16"/>
      </w:rPr>
      <w:t>20</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981CB1" w:rsidRDefault="004A34D2"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27403" w14:textId="77777777" w:rsidR="00E84C97" w:rsidRDefault="00E84C97">
      <w:r>
        <w:separator/>
      </w:r>
    </w:p>
  </w:footnote>
  <w:footnote w:type="continuationSeparator" w:id="0">
    <w:p w14:paraId="291535A7" w14:textId="77777777" w:rsidR="00E84C97" w:rsidRDefault="00E84C97">
      <w:r>
        <w:continuationSeparator/>
      </w:r>
    </w:p>
  </w:footnote>
  <w:footnote w:id="1">
    <w:p w14:paraId="391E17BA" w14:textId="77777777" w:rsidR="00FC1CE8" w:rsidRPr="004031A8" w:rsidRDefault="00FC1CE8" w:rsidP="00FC1CE8">
      <w:pPr>
        <w:pStyle w:val="Textonotapie"/>
        <w:ind w:firstLine="708"/>
        <w:jc w:val="both"/>
        <w:rPr>
          <w:rFonts w:ascii="Arial" w:hAnsi="Arial" w:cs="Arial"/>
          <w:sz w:val="18"/>
          <w:szCs w:val="18"/>
          <w:lang w:val="es-ES"/>
        </w:rPr>
      </w:pPr>
      <w:r w:rsidRPr="004031A8">
        <w:rPr>
          <w:rStyle w:val="Refdenotaalpie"/>
          <w:rFonts w:ascii="Arial" w:hAnsi="Arial" w:cs="Arial"/>
          <w:sz w:val="18"/>
          <w:szCs w:val="18"/>
        </w:rPr>
        <w:footnoteRef/>
      </w:r>
      <w:r w:rsidRPr="004031A8">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031A8">
        <w:rPr>
          <w:rFonts w:ascii="Arial" w:hAnsi="Arial" w:cs="Arial"/>
          <w:i/>
          <w:iCs/>
          <w:sz w:val="18"/>
          <w:szCs w:val="18"/>
        </w:rPr>
        <w:t xml:space="preserve">ibidem </w:t>
      </w:r>
      <w:r w:rsidRPr="004031A8">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699AC906" w14:textId="77777777" w:rsidR="00C133B6" w:rsidRPr="004031A8" w:rsidRDefault="00C133B6" w:rsidP="00C133B6">
      <w:pPr>
        <w:pStyle w:val="Textonotapie"/>
        <w:ind w:firstLine="708"/>
        <w:jc w:val="both"/>
        <w:rPr>
          <w:rFonts w:ascii="Arial" w:hAnsi="Arial" w:cs="Arial"/>
          <w:sz w:val="19"/>
          <w:szCs w:val="19"/>
        </w:rPr>
      </w:pPr>
      <w:r w:rsidRPr="004031A8">
        <w:rPr>
          <w:rStyle w:val="Refdenotaalpie"/>
          <w:rFonts w:ascii="Arial" w:hAnsi="Arial" w:cs="Arial"/>
          <w:sz w:val="19"/>
          <w:szCs w:val="19"/>
        </w:rPr>
        <w:footnoteRef/>
      </w:r>
      <w:r w:rsidRPr="004031A8">
        <w:rPr>
          <w:rFonts w:ascii="Arial" w:hAnsi="Arial" w:cs="Arial"/>
          <w:sz w:val="19"/>
          <w:szCs w:val="19"/>
        </w:rPr>
        <w:t xml:space="preserve"> Sobre esta norma, consultar los conceptos del 8 de octubre de 2019, con radicado No. 2201913000007532, y del 20 de diciembre de 2019, con radicado No. 4201913000008240.</w:t>
      </w:r>
    </w:p>
    <w:p w14:paraId="721ECCCF" w14:textId="77777777" w:rsidR="00C133B6" w:rsidRPr="004031A8" w:rsidRDefault="00C133B6" w:rsidP="00C133B6">
      <w:pPr>
        <w:pStyle w:val="Textonotapie"/>
        <w:jc w:val="both"/>
        <w:rPr>
          <w:rFonts w:ascii="Arial" w:hAnsi="Arial" w:cs="Arial"/>
          <w:sz w:val="19"/>
          <w:szCs w:val="19"/>
          <w:lang w:val="es-ES"/>
        </w:rPr>
      </w:pPr>
    </w:p>
  </w:footnote>
  <w:footnote w:id="3">
    <w:p w14:paraId="22A4150A" w14:textId="77777777" w:rsidR="00C133B6" w:rsidRPr="004031A8" w:rsidRDefault="00C133B6" w:rsidP="00C133B6">
      <w:pPr>
        <w:pStyle w:val="Textonotapie"/>
        <w:ind w:firstLine="708"/>
        <w:jc w:val="both"/>
        <w:rPr>
          <w:rFonts w:ascii="Arial" w:hAnsi="Arial" w:cs="Arial"/>
          <w:sz w:val="19"/>
          <w:szCs w:val="19"/>
        </w:rPr>
      </w:pPr>
      <w:r w:rsidRPr="004031A8">
        <w:rPr>
          <w:rStyle w:val="Refdenotaalpie"/>
        </w:rPr>
        <w:footnoteRef/>
      </w:r>
      <w:r w:rsidRPr="004031A8">
        <w:t xml:space="preserve"> </w:t>
      </w:r>
      <w:r w:rsidRPr="004031A8">
        <w:rPr>
          <w:rFonts w:ascii="Arial" w:hAnsi="Arial" w:cs="Arial"/>
          <w:sz w:val="19"/>
          <w:szCs w:val="19"/>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BC7F395" w14:textId="77777777" w:rsidR="00C133B6" w:rsidRPr="004031A8" w:rsidRDefault="00C133B6" w:rsidP="00C133B6">
      <w:pPr>
        <w:pStyle w:val="Textonotapie"/>
        <w:ind w:firstLine="708"/>
        <w:jc w:val="both"/>
        <w:rPr>
          <w:rFonts w:ascii="Arial" w:hAnsi="Arial" w:cs="Arial"/>
          <w:sz w:val="19"/>
          <w:szCs w:val="19"/>
        </w:rPr>
      </w:pPr>
      <w:r w:rsidRPr="004031A8">
        <w:rPr>
          <w:rFonts w:ascii="Arial" w:hAnsi="Arial" w:cs="Arial"/>
          <w:sz w:val="19"/>
          <w:szCs w:val="19"/>
        </w:rPr>
        <w:t xml:space="preserve">»Los convenios de asociación a que se refiere el presente artículo </w:t>
      </w:r>
      <w:bookmarkStart w:id="9" w:name="_Hlk36023315"/>
      <w:r w:rsidRPr="004031A8">
        <w:rPr>
          <w:rFonts w:ascii="Arial" w:hAnsi="Arial" w:cs="Arial"/>
          <w:sz w:val="19"/>
          <w:szCs w:val="19"/>
        </w:rPr>
        <w:t>se celebrarán de conformidad con lo dispuesto en el artículo 355 de la Constitución Política</w:t>
      </w:r>
      <w:bookmarkEnd w:id="9"/>
      <w:r w:rsidRPr="004031A8">
        <w:rPr>
          <w:rFonts w:ascii="Arial" w:hAnsi="Arial" w:cs="Arial"/>
          <w:sz w:val="19"/>
          <w:szCs w:val="19"/>
        </w:rPr>
        <w:t>, en ellos se determinará con precisión su objeto, término, obligaciones de las partes, aportes, coordinación y todos aquellos aspectos que se consideren pertinentes».</w:t>
      </w:r>
    </w:p>
    <w:p w14:paraId="10D85188" w14:textId="77777777" w:rsidR="00C133B6" w:rsidRPr="004031A8" w:rsidRDefault="00C133B6" w:rsidP="00C133B6">
      <w:pPr>
        <w:pStyle w:val="Textonotapie"/>
        <w:ind w:firstLine="708"/>
        <w:rPr>
          <w:lang w:val="es-ES"/>
        </w:rPr>
      </w:pPr>
      <w:r w:rsidRPr="004031A8">
        <w:t xml:space="preserve"> </w:t>
      </w:r>
    </w:p>
  </w:footnote>
  <w:footnote w:id="4">
    <w:p w14:paraId="55BC7CF0" w14:textId="77777777" w:rsidR="00C133B6" w:rsidRPr="004031A8" w:rsidRDefault="00C133B6" w:rsidP="00C133B6">
      <w:pPr>
        <w:pStyle w:val="Textonotapie"/>
        <w:ind w:firstLine="708"/>
        <w:jc w:val="both"/>
        <w:rPr>
          <w:rFonts w:ascii="Arial" w:hAnsi="Arial" w:cs="Arial"/>
          <w:sz w:val="19"/>
          <w:szCs w:val="19"/>
        </w:rPr>
      </w:pPr>
      <w:r w:rsidRPr="004031A8">
        <w:rPr>
          <w:rStyle w:val="Refdenotaalpie"/>
          <w:rFonts w:ascii="Arial" w:hAnsi="Arial" w:cs="Arial"/>
          <w:sz w:val="19"/>
          <w:szCs w:val="19"/>
        </w:rPr>
        <w:footnoteRef/>
      </w:r>
      <w:r w:rsidRPr="004031A8">
        <w:rPr>
          <w:rFonts w:ascii="Arial" w:hAnsi="Arial" w:cs="Arial"/>
          <w:sz w:val="19"/>
          <w:szCs w:val="19"/>
        </w:rPr>
        <w:t xml:space="preserve"> Concepto del 3 de septiembre de 2019, con radicado No. 2201913000006512.</w:t>
      </w:r>
    </w:p>
    <w:p w14:paraId="3B11D54F" w14:textId="77777777" w:rsidR="00C133B6" w:rsidRPr="004031A8" w:rsidRDefault="00C133B6" w:rsidP="00C133B6">
      <w:pPr>
        <w:pStyle w:val="Textonotapie"/>
        <w:ind w:firstLine="708"/>
        <w:jc w:val="both"/>
        <w:rPr>
          <w:rFonts w:ascii="Arial" w:hAnsi="Arial" w:cs="Arial"/>
          <w:sz w:val="19"/>
          <w:szCs w:val="19"/>
        </w:rPr>
      </w:pPr>
    </w:p>
  </w:footnote>
  <w:footnote w:id="5">
    <w:p w14:paraId="0BDB8964" w14:textId="1F6AA639" w:rsidR="00923DE8" w:rsidRPr="004031A8" w:rsidRDefault="003A7A93" w:rsidP="00F108D9">
      <w:pPr>
        <w:pStyle w:val="Textonotapie"/>
        <w:ind w:firstLine="709"/>
        <w:jc w:val="both"/>
        <w:rPr>
          <w:rFonts w:ascii="Arial" w:hAnsi="Arial" w:cs="Arial"/>
          <w:sz w:val="19"/>
          <w:szCs w:val="19"/>
        </w:rPr>
      </w:pPr>
      <w:r w:rsidRPr="004031A8">
        <w:rPr>
          <w:rStyle w:val="Refdenotaalpie"/>
          <w:rFonts w:ascii="Arial" w:hAnsi="Arial" w:cs="Arial"/>
          <w:sz w:val="19"/>
          <w:szCs w:val="19"/>
        </w:rPr>
        <w:footnoteRef/>
      </w:r>
      <w:r w:rsidRPr="004031A8">
        <w:rPr>
          <w:rFonts w:ascii="Arial" w:hAnsi="Arial" w:cs="Arial"/>
          <w:sz w:val="19"/>
          <w:szCs w:val="19"/>
        </w:rPr>
        <w:t xml:space="preserve"> Decreto 092 de 2017: «Artículo 5. </w:t>
      </w:r>
      <w:r w:rsidR="00923DE8" w:rsidRPr="004031A8">
        <w:rPr>
          <w:rFonts w:ascii="Arial" w:hAnsi="Arial" w:cs="Arial"/>
          <w:i/>
          <w:iCs/>
          <w:sz w:val="19"/>
          <w:szCs w:val="19"/>
        </w:rPr>
        <w:t>Asociación con entidades privadas sin ánimo de lucro para cumplir actividades propias de las Entidades Estatales.</w:t>
      </w:r>
      <w:r w:rsidR="00923DE8" w:rsidRPr="004031A8">
        <w:rPr>
          <w:rFonts w:ascii="Arial" w:hAnsi="Arial" w:cs="Arial"/>
          <w:sz w:val="19"/>
          <w:szCs w:val="19"/>
        </w:rPr>
        <w:t xml:space="preserve"> 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6A83B09F" w14:textId="2C390ED1" w:rsidR="003A7A93" w:rsidRPr="004031A8" w:rsidRDefault="00F108D9" w:rsidP="00F108D9">
      <w:pPr>
        <w:pStyle w:val="Textonotapie"/>
        <w:ind w:firstLine="709"/>
        <w:jc w:val="both"/>
        <w:rPr>
          <w:rFonts w:ascii="Arial" w:hAnsi="Arial" w:cs="Arial"/>
          <w:sz w:val="19"/>
          <w:szCs w:val="19"/>
        </w:rPr>
      </w:pPr>
      <w:r w:rsidRPr="004031A8">
        <w:rPr>
          <w:rFonts w:ascii="Arial" w:hAnsi="Arial" w:cs="Arial"/>
          <w:sz w:val="19"/>
          <w:szCs w:val="19"/>
        </w:rPr>
        <w:t>»</w:t>
      </w:r>
      <w:r w:rsidR="00923DE8" w:rsidRPr="004031A8">
        <w:rPr>
          <w:rFonts w:ascii="Arial" w:hAnsi="Arial" w:cs="Arial"/>
          <w:sz w:val="19"/>
          <w:szCs w:val="19"/>
        </w:rPr>
        <w:t>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p w14:paraId="1CC08E40" w14:textId="26290873" w:rsidR="00F108D9" w:rsidRPr="004031A8" w:rsidRDefault="00F108D9" w:rsidP="00F108D9">
      <w:pPr>
        <w:pStyle w:val="Textonotapie"/>
        <w:ind w:firstLine="709"/>
        <w:jc w:val="both"/>
        <w:rPr>
          <w:sz w:val="19"/>
          <w:szCs w:val="19"/>
        </w:rPr>
      </w:pPr>
      <w:r w:rsidRPr="004031A8">
        <w:rPr>
          <w:sz w:val="19"/>
          <w:szCs w:val="19"/>
        </w:rPr>
        <w:t>»[…]».</w:t>
      </w:r>
    </w:p>
    <w:p w14:paraId="0F35FA9F" w14:textId="77777777" w:rsidR="00F108D9" w:rsidRPr="004031A8" w:rsidRDefault="00F108D9" w:rsidP="00F108D9">
      <w:pPr>
        <w:pStyle w:val="Textonotapie"/>
        <w:ind w:firstLine="709"/>
        <w:jc w:val="both"/>
      </w:pPr>
    </w:p>
  </w:footnote>
  <w:footnote w:id="6">
    <w:p w14:paraId="36311489" w14:textId="77777777" w:rsidR="00C133B6" w:rsidRPr="004031A8" w:rsidRDefault="00C133B6" w:rsidP="00C133B6">
      <w:pPr>
        <w:pStyle w:val="Textonotapie"/>
        <w:ind w:firstLine="708"/>
        <w:jc w:val="both"/>
        <w:rPr>
          <w:rFonts w:ascii="Arial" w:hAnsi="Arial" w:cs="Arial"/>
          <w:sz w:val="19"/>
          <w:szCs w:val="19"/>
        </w:rPr>
      </w:pPr>
      <w:r w:rsidRPr="004031A8">
        <w:rPr>
          <w:rStyle w:val="Refdenotaalpie"/>
          <w:rFonts w:ascii="Arial" w:hAnsi="Arial" w:cs="Arial"/>
          <w:sz w:val="19"/>
          <w:szCs w:val="19"/>
        </w:rPr>
        <w:footnoteRef/>
      </w:r>
      <w:r w:rsidRPr="004031A8">
        <w:rPr>
          <w:rFonts w:ascii="Arial" w:hAnsi="Arial" w:cs="Arial"/>
          <w:sz w:val="19"/>
          <w:szCs w:val="19"/>
        </w:rPr>
        <w:t xml:space="preserve"> Sobre la naturaleza de los convenios de asociación, se reitera lo expuesto en el concepto del 19 de noviembre de 2019, con radicado No. 2201913000008611.</w:t>
      </w:r>
    </w:p>
    <w:p w14:paraId="13EDA7A2" w14:textId="77777777" w:rsidR="00C133B6" w:rsidRPr="004031A8" w:rsidRDefault="00C133B6" w:rsidP="00C133B6">
      <w:pPr>
        <w:pStyle w:val="Textonotapie"/>
        <w:ind w:firstLine="708"/>
        <w:jc w:val="both"/>
        <w:rPr>
          <w:rFonts w:ascii="Arial" w:hAnsi="Arial" w:cs="Arial"/>
          <w:sz w:val="19"/>
          <w:szCs w:val="19"/>
        </w:rPr>
      </w:pPr>
    </w:p>
  </w:footnote>
  <w:footnote w:id="7">
    <w:p w14:paraId="1F44BFDB" w14:textId="77777777" w:rsidR="00C133B6" w:rsidRPr="004031A8" w:rsidRDefault="00C133B6" w:rsidP="00C133B6">
      <w:pPr>
        <w:pStyle w:val="Textonotapie"/>
        <w:ind w:firstLine="708"/>
        <w:jc w:val="both"/>
        <w:rPr>
          <w:rFonts w:ascii="Arial" w:hAnsi="Arial" w:cs="Arial"/>
          <w:sz w:val="19"/>
          <w:szCs w:val="19"/>
        </w:rPr>
      </w:pPr>
      <w:r w:rsidRPr="004031A8">
        <w:rPr>
          <w:rStyle w:val="Refdenotaalpie"/>
          <w:rFonts w:ascii="Arial" w:hAnsi="Arial" w:cs="Arial"/>
          <w:sz w:val="19"/>
          <w:szCs w:val="19"/>
        </w:rPr>
        <w:footnoteRef/>
      </w:r>
      <w:r w:rsidRPr="004031A8">
        <w:rPr>
          <w:rFonts w:ascii="Arial" w:hAnsi="Arial" w:cs="Arial"/>
          <w:sz w:val="19"/>
          <w:szCs w:val="19"/>
        </w:rPr>
        <w:t xml:space="preserve"> El numeral 16.9 de la Circular Externa Única de Colombia Compra Eficiente explica que: «El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2B80EB68" w14:textId="77777777" w:rsidR="00C133B6" w:rsidRPr="004031A8" w:rsidRDefault="00C133B6" w:rsidP="00C133B6">
      <w:pPr>
        <w:pStyle w:val="Textonotapie"/>
        <w:ind w:firstLine="708"/>
        <w:jc w:val="both"/>
        <w:rPr>
          <w:rFonts w:ascii="Arial" w:hAnsi="Arial" w:cs="Arial"/>
          <w:sz w:val="19"/>
          <w:szCs w:val="19"/>
        </w:rPr>
      </w:pPr>
    </w:p>
    <w:p w14:paraId="0BD3CD20" w14:textId="77777777" w:rsidR="00C133B6" w:rsidRPr="004031A8" w:rsidRDefault="00C133B6" w:rsidP="00C133B6">
      <w:pPr>
        <w:pStyle w:val="Textonotapie"/>
        <w:ind w:firstLine="708"/>
        <w:jc w:val="both"/>
        <w:rPr>
          <w:rFonts w:ascii="Arial" w:hAnsi="Arial" w:cs="Arial"/>
          <w:sz w:val="19"/>
          <w:szCs w:val="19"/>
          <w:lang w:val="es-ES"/>
        </w:rPr>
      </w:pPr>
    </w:p>
  </w:footnote>
  <w:footnote w:id="8">
    <w:p w14:paraId="5770FE05" w14:textId="77777777" w:rsidR="00C133B6" w:rsidRPr="004031A8" w:rsidRDefault="00C133B6" w:rsidP="00C133B6">
      <w:pPr>
        <w:pStyle w:val="Textonotapie"/>
        <w:ind w:firstLine="708"/>
        <w:jc w:val="both"/>
        <w:rPr>
          <w:rFonts w:ascii="Arial" w:hAnsi="Arial" w:cs="Arial"/>
          <w:color w:val="000000" w:themeColor="text1"/>
          <w:sz w:val="19"/>
          <w:szCs w:val="19"/>
        </w:rPr>
      </w:pPr>
      <w:r w:rsidRPr="004031A8">
        <w:rPr>
          <w:rStyle w:val="Refdenotaalpie"/>
          <w:rFonts w:ascii="Arial" w:hAnsi="Arial" w:cs="Arial"/>
          <w:color w:val="000000" w:themeColor="text1"/>
          <w:sz w:val="19"/>
          <w:szCs w:val="19"/>
        </w:rPr>
        <w:footnoteRef/>
      </w:r>
      <w:r w:rsidRPr="004031A8">
        <w:rPr>
          <w:rFonts w:ascii="Arial" w:hAnsi="Arial" w:cs="Arial"/>
          <w:color w:val="000000" w:themeColor="text1"/>
          <w:sz w:val="19"/>
          <w:szCs w:val="19"/>
        </w:rPr>
        <w:t xml:space="preserve"> Cfr. Concepto del 21 de agosto de 2019, dictado dentro del radicado No. 2201913000006047.</w:t>
      </w:r>
    </w:p>
    <w:p w14:paraId="24CDE4E7" w14:textId="77777777" w:rsidR="00C133B6" w:rsidRPr="004031A8" w:rsidRDefault="00C133B6" w:rsidP="00C133B6">
      <w:pPr>
        <w:pStyle w:val="Textonotapie"/>
        <w:ind w:firstLine="708"/>
        <w:jc w:val="both"/>
        <w:rPr>
          <w:rFonts w:ascii="Arial" w:hAnsi="Arial" w:cs="Arial"/>
          <w:color w:val="000000" w:themeColor="text1"/>
          <w:sz w:val="19"/>
          <w:szCs w:val="19"/>
          <w:lang w:val="es-ES"/>
        </w:rPr>
      </w:pPr>
    </w:p>
  </w:footnote>
  <w:footnote w:id="9">
    <w:p w14:paraId="09D338A7" w14:textId="77777777" w:rsidR="00C133B6" w:rsidRPr="004031A8" w:rsidRDefault="00C133B6" w:rsidP="00C133B6">
      <w:pPr>
        <w:pStyle w:val="Textonotapie"/>
        <w:ind w:firstLine="708"/>
        <w:jc w:val="both"/>
        <w:rPr>
          <w:rFonts w:ascii="Arial" w:hAnsi="Arial" w:cs="Arial"/>
          <w:color w:val="000000" w:themeColor="text1"/>
          <w:sz w:val="19"/>
          <w:szCs w:val="19"/>
          <w:lang w:val="es-ES"/>
        </w:rPr>
      </w:pPr>
      <w:r w:rsidRPr="004031A8">
        <w:rPr>
          <w:rStyle w:val="Refdenotaalpie"/>
          <w:rFonts w:ascii="Arial" w:hAnsi="Arial" w:cs="Arial"/>
          <w:color w:val="000000" w:themeColor="text1"/>
          <w:sz w:val="19"/>
          <w:szCs w:val="19"/>
        </w:rPr>
        <w:footnoteRef/>
      </w:r>
      <w:r w:rsidRPr="004031A8">
        <w:rPr>
          <w:rFonts w:ascii="Arial" w:hAnsi="Arial" w:cs="Arial"/>
          <w:color w:val="000000" w:themeColor="text1"/>
          <w:sz w:val="19"/>
          <w:szCs w:val="19"/>
        </w:rPr>
        <w:t xml:space="preserve"> Concepto del 24 de febrero de 2005, con radicado No. 1626, C.P. Dra. Gloria Duque Hernández</w:t>
      </w:r>
    </w:p>
  </w:footnote>
  <w:footnote w:id="10">
    <w:p w14:paraId="0A5AA541" w14:textId="35C6FE8A" w:rsidR="00027AD0" w:rsidRPr="004031A8" w:rsidRDefault="00027AD0">
      <w:pPr>
        <w:pStyle w:val="Textonotapie"/>
        <w:ind w:firstLine="708"/>
        <w:rPr>
          <w:rFonts w:ascii="Arial" w:hAnsi="Arial" w:cs="Arial"/>
          <w:color w:val="000000" w:themeColor="text1"/>
          <w:sz w:val="19"/>
          <w:szCs w:val="19"/>
        </w:rPr>
      </w:pPr>
      <w:r w:rsidRPr="004031A8">
        <w:rPr>
          <w:rStyle w:val="Refdenotaalpie"/>
        </w:rPr>
        <w:footnoteRef/>
      </w:r>
      <w:r w:rsidRPr="004031A8">
        <w:t xml:space="preserve"> </w:t>
      </w:r>
      <w:r w:rsidRPr="004031A8">
        <w:rPr>
          <w:rFonts w:ascii="Arial" w:hAnsi="Arial" w:cs="Arial"/>
          <w:color w:val="000000" w:themeColor="text1"/>
          <w:sz w:val="19"/>
          <w:szCs w:val="19"/>
        </w:rPr>
        <w:t>Consejero Ponente: Carlos Alberto Zambrano Barrera</w:t>
      </w:r>
    </w:p>
    <w:p w14:paraId="2E1FD16C" w14:textId="77777777" w:rsidR="00CE5A8A" w:rsidRPr="004031A8" w:rsidRDefault="00CE5A8A" w:rsidP="004031A8">
      <w:pPr>
        <w:pStyle w:val="Textonotapie"/>
        <w:ind w:firstLine="708"/>
      </w:pPr>
    </w:p>
  </w:footnote>
  <w:footnote w:id="11">
    <w:p w14:paraId="07312421" w14:textId="77777777" w:rsidR="00C133B6" w:rsidRPr="004031A8" w:rsidRDefault="00C133B6" w:rsidP="00C133B6">
      <w:pPr>
        <w:pStyle w:val="Textonotapie"/>
        <w:ind w:firstLine="708"/>
        <w:jc w:val="both"/>
        <w:rPr>
          <w:rFonts w:ascii="Arial" w:hAnsi="Arial" w:cs="Arial"/>
          <w:color w:val="000000" w:themeColor="text1"/>
          <w:sz w:val="19"/>
          <w:szCs w:val="19"/>
        </w:rPr>
      </w:pPr>
      <w:r w:rsidRPr="004031A8">
        <w:rPr>
          <w:rStyle w:val="Refdenotaalpie"/>
          <w:rFonts w:ascii="Arial" w:hAnsi="Arial" w:cs="Arial"/>
          <w:color w:val="000000" w:themeColor="text1"/>
          <w:sz w:val="19"/>
          <w:szCs w:val="19"/>
        </w:rPr>
        <w:footnoteRef/>
      </w:r>
      <w:r w:rsidRPr="004031A8">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0343C814" w14:textId="77777777" w:rsidR="00C133B6" w:rsidRPr="004031A8" w:rsidRDefault="00C133B6" w:rsidP="00C133B6">
      <w:pPr>
        <w:pStyle w:val="Textonotapie"/>
        <w:ind w:firstLine="708"/>
        <w:jc w:val="both"/>
        <w:rPr>
          <w:rFonts w:ascii="Arial" w:hAnsi="Arial" w:cs="Arial"/>
          <w:color w:val="000000" w:themeColor="text1"/>
          <w:sz w:val="19"/>
          <w:szCs w:val="19"/>
          <w:lang w:val="es-ES"/>
        </w:rPr>
      </w:pPr>
    </w:p>
  </w:footnote>
  <w:footnote w:id="12">
    <w:p w14:paraId="7FF446FD" w14:textId="5C548F77" w:rsidR="00710D25" w:rsidRPr="004031A8" w:rsidRDefault="00710D25" w:rsidP="00710D25">
      <w:pPr>
        <w:pStyle w:val="Textonotapie"/>
        <w:ind w:firstLine="708"/>
        <w:rPr>
          <w:rFonts w:ascii="Arial" w:hAnsi="Arial" w:cs="Arial"/>
          <w:color w:val="000000" w:themeColor="text1"/>
          <w:sz w:val="19"/>
          <w:szCs w:val="19"/>
        </w:rPr>
      </w:pPr>
      <w:r w:rsidRPr="004031A8">
        <w:rPr>
          <w:rStyle w:val="Refdenotaalpie"/>
        </w:rPr>
        <w:footnoteRef/>
      </w:r>
      <w:r w:rsidRPr="004031A8">
        <w:t xml:space="preserve"> </w:t>
      </w:r>
      <w:r w:rsidRPr="004031A8">
        <w:rPr>
          <w:rFonts w:ascii="Arial" w:hAnsi="Arial" w:cs="Arial"/>
          <w:color w:val="000000" w:themeColor="text1"/>
          <w:sz w:val="19"/>
          <w:szCs w:val="19"/>
        </w:rPr>
        <w:t xml:space="preserve">CONSEJO DE ESTADO. Sala Plena. Auto del 15 de marzo de 2022. </w:t>
      </w:r>
      <w:r w:rsidR="00047FFA" w:rsidRPr="004031A8">
        <w:rPr>
          <w:rFonts w:ascii="Arial" w:hAnsi="Arial" w:cs="Arial"/>
          <w:color w:val="000000" w:themeColor="text1"/>
          <w:sz w:val="19"/>
          <w:szCs w:val="19"/>
        </w:rPr>
        <w:t>Exp. 11001-03-26-000-2018-00113-01 (62.003). C.P. Rocío Araújo Oñate.</w:t>
      </w:r>
    </w:p>
    <w:p w14:paraId="626B5D94" w14:textId="77777777" w:rsidR="00710D25" w:rsidRPr="004031A8" w:rsidRDefault="00710D25" w:rsidP="004031A8">
      <w:pPr>
        <w:pStyle w:val="Textonotapie"/>
        <w:ind w:firstLine="708"/>
      </w:pPr>
    </w:p>
  </w:footnote>
  <w:footnote w:id="13">
    <w:p w14:paraId="5A5F62AF" w14:textId="77777777" w:rsidR="00C133B6" w:rsidRPr="004031A8" w:rsidRDefault="00C133B6" w:rsidP="00C133B6">
      <w:pPr>
        <w:pStyle w:val="Textonotapie"/>
        <w:ind w:firstLine="708"/>
        <w:jc w:val="both"/>
        <w:rPr>
          <w:rFonts w:ascii="Arial" w:eastAsia="Calibri" w:hAnsi="Arial" w:cs="Arial"/>
          <w:color w:val="000000" w:themeColor="text1"/>
          <w:sz w:val="19"/>
          <w:szCs w:val="19"/>
        </w:rPr>
      </w:pPr>
      <w:r w:rsidRPr="004031A8">
        <w:rPr>
          <w:rStyle w:val="Refdenotaalpie"/>
          <w:rFonts w:ascii="Arial" w:hAnsi="Arial" w:cs="Arial"/>
          <w:color w:val="000000" w:themeColor="text1"/>
          <w:sz w:val="19"/>
          <w:szCs w:val="19"/>
        </w:rPr>
        <w:footnoteRef/>
      </w:r>
      <w:r w:rsidRPr="004031A8">
        <w:rPr>
          <w:rFonts w:ascii="Arial" w:hAnsi="Arial" w:cs="Arial"/>
          <w:color w:val="000000" w:themeColor="text1"/>
          <w:sz w:val="19"/>
          <w:szCs w:val="19"/>
        </w:rPr>
        <w:t xml:space="preserve"> </w:t>
      </w:r>
      <w:r w:rsidRPr="004031A8">
        <w:rPr>
          <w:rFonts w:ascii="Arial" w:eastAsia="Calibri" w:hAnsi="Arial" w:cs="Arial"/>
          <w:color w:val="000000" w:themeColor="text1"/>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1859AEFE" w14:textId="77777777" w:rsidR="00C133B6" w:rsidRPr="004031A8" w:rsidRDefault="00C133B6" w:rsidP="00C133B6">
      <w:pPr>
        <w:pStyle w:val="Textonotapie"/>
        <w:ind w:firstLine="708"/>
        <w:jc w:val="both"/>
        <w:rPr>
          <w:rFonts w:ascii="Arial" w:hAnsi="Arial" w:cs="Arial"/>
          <w:color w:val="000000" w:themeColor="text1"/>
          <w:sz w:val="19"/>
          <w:szCs w:val="19"/>
          <w:lang w:val="es-ES"/>
        </w:rPr>
      </w:pPr>
    </w:p>
  </w:footnote>
  <w:footnote w:id="14">
    <w:p w14:paraId="439B0178" w14:textId="77777777" w:rsidR="00C133B6" w:rsidRPr="004031A8" w:rsidRDefault="00C133B6" w:rsidP="00C133B6">
      <w:pPr>
        <w:pStyle w:val="Textonotapie"/>
        <w:ind w:firstLine="708"/>
        <w:jc w:val="both"/>
        <w:rPr>
          <w:rFonts w:ascii="Arial" w:hAnsi="Arial" w:cs="Arial"/>
          <w:color w:val="000000" w:themeColor="text1"/>
          <w:sz w:val="19"/>
          <w:szCs w:val="19"/>
        </w:rPr>
      </w:pPr>
      <w:r w:rsidRPr="004031A8">
        <w:rPr>
          <w:rStyle w:val="Refdenotaalpie"/>
          <w:rFonts w:ascii="Arial" w:hAnsi="Arial" w:cs="Arial"/>
          <w:color w:val="000000" w:themeColor="text1"/>
          <w:sz w:val="19"/>
          <w:szCs w:val="19"/>
        </w:rPr>
        <w:footnoteRef/>
      </w:r>
      <w:r w:rsidRPr="004031A8">
        <w:rPr>
          <w:rFonts w:ascii="Arial" w:hAnsi="Arial" w:cs="Arial"/>
          <w:color w:val="000000" w:themeColor="text1"/>
          <w:sz w:val="19"/>
          <w:szCs w:val="19"/>
        </w:rPr>
        <w:t xml:space="preserve"> </w:t>
      </w:r>
      <w:r w:rsidRPr="004031A8">
        <w:rPr>
          <w:rFonts w:ascii="Arial" w:eastAsia="Calibri" w:hAnsi="Arial" w:cs="Arial"/>
          <w:color w:val="000000" w:themeColor="text1"/>
          <w:sz w:val="19"/>
          <w:szCs w:val="19"/>
        </w:rPr>
        <w:t>Decreto 092 de 2017, artículo 3, inciso 2: «</w:t>
      </w:r>
      <w:r w:rsidRPr="004031A8">
        <w:rPr>
          <w:rFonts w:ascii="Arial" w:hAnsi="Arial" w:cs="Arial"/>
          <w:color w:val="000000" w:themeColor="text1"/>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p w14:paraId="2C941F1A" w14:textId="77777777" w:rsidR="00C133B6" w:rsidRPr="004031A8" w:rsidRDefault="00C133B6" w:rsidP="00C133B6">
      <w:pPr>
        <w:pStyle w:val="Textonotapie"/>
        <w:ind w:firstLine="708"/>
        <w:jc w:val="both"/>
        <w:rPr>
          <w:rFonts w:ascii="Arial" w:hAnsi="Arial" w:cs="Arial"/>
          <w:color w:val="000000" w:themeColor="text1"/>
          <w:sz w:val="19"/>
          <w:szCs w:val="19"/>
          <w:lang w:val="es-ES"/>
        </w:rPr>
      </w:pPr>
    </w:p>
  </w:footnote>
  <w:footnote w:id="15">
    <w:p w14:paraId="61357DF2" w14:textId="1C69F65D" w:rsidR="00047FFA" w:rsidRPr="004031A8" w:rsidRDefault="006319A7" w:rsidP="004031A8">
      <w:pPr>
        <w:ind w:firstLine="708"/>
        <w:jc w:val="both"/>
        <w:rPr>
          <w:rFonts w:ascii="Arial" w:hAnsi="Arial" w:cs="Arial"/>
          <w:color w:val="000000" w:themeColor="text1"/>
          <w:sz w:val="19"/>
          <w:szCs w:val="19"/>
        </w:rPr>
      </w:pPr>
      <w:r w:rsidRPr="004031A8">
        <w:rPr>
          <w:rFonts w:ascii="Arial" w:hAnsi="Arial" w:cs="Arial"/>
          <w:color w:val="000000" w:themeColor="text1"/>
          <w:sz w:val="19"/>
          <w:szCs w:val="19"/>
        </w:rPr>
        <w:footnoteRef/>
      </w:r>
      <w:r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En el auto del 15 de marzo de 2022 se señalaron los siguientes argumentos para levantar la suspensión provisional del inciso segundo del artículo 3 del Decreto 092 de 2017: «43.</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En</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suma,</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lo</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que</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advierte</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la</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Sala es</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que</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para</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establecer si el Gobierno nacional delegó indebidamente el ejercicio de la potestad reglamentaria directa de la Constitución, es necesario realizar un estudio de fondo, que es propio de la sentencia,</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pues</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de</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la</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literalidad</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de</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las</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normas</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confrontadas</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no</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surge</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que</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los</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reglamentos</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constitucionales</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autónomos,</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como</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lo</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entiende</w:t>
      </w:r>
      <w:r w:rsidR="00E24E43" w:rsidRPr="004031A8">
        <w:rPr>
          <w:rFonts w:ascii="Arial" w:hAnsi="Arial" w:cs="Arial"/>
          <w:color w:val="000000" w:themeColor="text1"/>
          <w:sz w:val="19"/>
          <w:szCs w:val="19"/>
        </w:rPr>
        <w:t xml:space="preserve"> </w:t>
      </w:r>
      <w:r w:rsidR="00047FFA" w:rsidRPr="004031A8">
        <w:rPr>
          <w:rFonts w:ascii="Arial" w:hAnsi="Arial" w:cs="Arial"/>
          <w:color w:val="000000" w:themeColor="text1"/>
          <w:sz w:val="19"/>
          <w:szCs w:val="19"/>
        </w:rPr>
        <w:t xml:space="preserve">el Departamento Nacional de Planeación. </w:t>
      </w:r>
    </w:p>
    <w:p w14:paraId="61AF891A" w14:textId="7DF99FA9" w:rsidR="006319A7" w:rsidRPr="004031A8" w:rsidRDefault="00047FFA" w:rsidP="004031A8">
      <w:pPr>
        <w:ind w:firstLine="708"/>
        <w:jc w:val="both"/>
        <w:rPr>
          <w:rFonts w:ascii="Arial" w:hAnsi="Arial" w:cs="Arial"/>
          <w:color w:val="000000" w:themeColor="text1"/>
          <w:sz w:val="19"/>
          <w:szCs w:val="19"/>
        </w:rPr>
      </w:pPr>
      <w:r w:rsidRPr="004031A8">
        <w:rPr>
          <w:rFonts w:ascii="Arial" w:hAnsi="Arial" w:cs="Arial"/>
          <w:color w:val="000000" w:themeColor="text1"/>
          <w:sz w:val="19"/>
          <w:szCs w:val="19"/>
        </w:rPr>
        <w:t xml:space="preserve"> »44.</w:t>
      </w:r>
      <w:r w:rsidR="00E24E43" w:rsidRPr="004031A8">
        <w:rPr>
          <w:rFonts w:ascii="Arial" w:hAnsi="Arial" w:cs="Arial"/>
          <w:color w:val="000000" w:themeColor="text1"/>
          <w:sz w:val="19"/>
          <w:szCs w:val="19"/>
        </w:rPr>
        <w:t xml:space="preserve"> </w:t>
      </w:r>
      <w:r w:rsidRPr="004031A8">
        <w:rPr>
          <w:rFonts w:ascii="Arial" w:hAnsi="Arial" w:cs="Arial"/>
          <w:color w:val="000000" w:themeColor="text1"/>
          <w:sz w:val="19"/>
          <w:szCs w:val="19"/>
        </w:rPr>
        <w:t>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w:t>
      </w:r>
      <w:r w:rsidR="00E24E43" w:rsidRPr="004031A8">
        <w:rPr>
          <w:rFonts w:ascii="Arial" w:hAnsi="Arial" w:cs="Arial"/>
          <w:color w:val="000000" w:themeColor="text1"/>
          <w:sz w:val="19"/>
          <w:szCs w:val="19"/>
        </w:rPr>
        <w:t xml:space="preserve"> </w:t>
      </w:r>
      <w:r w:rsidRPr="004031A8">
        <w:rPr>
          <w:rFonts w:ascii="Arial" w:hAnsi="Arial" w:cs="Arial"/>
          <w:color w:val="000000" w:themeColor="text1"/>
          <w:sz w:val="19"/>
          <w:szCs w:val="19"/>
        </w:rPr>
        <w:t>revocará</w:t>
      </w:r>
      <w:r w:rsidR="00E24E43" w:rsidRPr="004031A8">
        <w:rPr>
          <w:rFonts w:ascii="Arial" w:hAnsi="Arial" w:cs="Arial"/>
          <w:color w:val="000000" w:themeColor="text1"/>
          <w:sz w:val="19"/>
          <w:szCs w:val="19"/>
        </w:rPr>
        <w:t xml:space="preserve"> </w:t>
      </w:r>
      <w:r w:rsidRPr="004031A8">
        <w:rPr>
          <w:rFonts w:ascii="Arial" w:hAnsi="Arial" w:cs="Arial"/>
          <w:color w:val="000000" w:themeColor="text1"/>
          <w:sz w:val="19"/>
          <w:szCs w:val="19"/>
        </w:rPr>
        <w:t>dicha</w:t>
      </w:r>
      <w:r w:rsidR="00E24E43" w:rsidRPr="004031A8">
        <w:rPr>
          <w:rFonts w:ascii="Arial" w:hAnsi="Arial" w:cs="Arial"/>
          <w:color w:val="000000" w:themeColor="text1"/>
          <w:sz w:val="19"/>
          <w:szCs w:val="19"/>
        </w:rPr>
        <w:t xml:space="preserve"> </w:t>
      </w:r>
      <w:r w:rsidRPr="004031A8">
        <w:rPr>
          <w:rFonts w:ascii="Arial" w:hAnsi="Arial" w:cs="Arial"/>
          <w:color w:val="000000" w:themeColor="text1"/>
          <w:sz w:val="19"/>
          <w:szCs w:val="19"/>
        </w:rPr>
        <w:t>medida</w:t>
      </w:r>
      <w:r w:rsidR="00E24E43" w:rsidRPr="004031A8">
        <w:rPr>
          <w:rFonts w:ascii="Arial" w:hAnsi="Arial" w:cs="Arial"/>
          <w:color w:val="000000" w:themeColor="text1"/>
          <w:sz w:val="19"/>
          <w:szCs w:val="19"/>
        </w:rPr>
        <w:t xml:space="preserve"> </w:t>
      </w:r>
      <w:r w:rsidRPr="004031A8">
        <w:rPr>
          <w:rFonts w:ascii="Arial" w:hAnsi="Arial" w:cs="Arial"/>
          <w:color w:val="000000" w:themeColor="text1"/>
          <w:sz w:val="19"/>
          <w:szCs w:val="19"/>
        </w:rPr>
        <w:t>cautelar</w:t>
      </w:r>
      <w:r w:rsidR="00E24E43" w:rsidRPr="004031A8">
        <w:rPr>
          <w:rFonts w:ascii="Arial" w:hAnsi="Arial" w:cs="Arial"/>
          <w:color w:val="000000" w:themeColor="text1"/>
          <w:sz w:val="19"/>
          <w:szCs w:val="19"/>
        </w:rPr>
        <w:t xml:space="preserve"> </w:t>
      </w:r>
      <w:r w:rsidRPr="004031A8">
        <w:rPr>
          <w:rFonts w:ascii="Arial" w:hAnsi="Arial" w:cs="Arial"/>
          <w:color w:val="000000" w:themeColor="text1"/>
          <w:sz w:val="19"/>
          <w:szCs w:val="19"/>
        </w:rPr>
        <w:t>y</w:t>
      </w:r>
      <w:r w:rsidR="00E24E43" w:rsidRPr="004031A8">
        <w:rPr>
          <w:rFonts w:ascii="Arial" w:hAnsi="Arial" w:cs="Arial"/>
          <w:color w:val="000000" w:themeColor="text1"/>
          <w:sz w:val="19"/>
          <w:szCs w:val="19"/>
        </w:rPr>
        <w:t xml:space="preserve"> </w:t>
      </w:r>
      <w:r w:rsidRPr="004031A8">
        <w:rPr>
          <w:rFonts w:ascii="Arial" w:hAnsi="Arial" w:cs="Arial"/>
          <w:color w:val="000000" w:themeColor="text1"/>
          <w:sz w:val="19"/>
          <w:szCs w:val="19"/>
        </w:rPr>
        <w:t>la</w:t>
      </w:r>
      <w:r w:rsidR="00E24E43" w:rsidRPr="004031A8">
        <w:rPr>
          <w:rFonts w:ascii="Arial" w:hAnsi="Arial" w:cs="Arial"/>
          <w:color w:val="000000" w:themeColor="text1"/>
          <w:sz w:val="19"/>
          <w:szCs w:val="19"/>
        </w:rPr>
        <w:t xml:space="preserve"> </w:t>
      </w:r>
      <w:r w:rsidRPr="004031A8">
        <w:rPr>
          <w:rFonts w:ascii="Arial" w:hAnsi="Arial" w:cs="Arial"/>
          <w:color w:val="000000" w:themeColor="text1"/>
          <w:sz w:val="19"/>
          <w:szCs w:val="19"/>
        </w:rPr>
        <w:t>negará</w:t>
      </w:r>
      <w:r w:rsidR="00E24E43" w:rsidRPr="004031A8">
        <w:rPr>
          <w:rFonts w:ascii="Arial" w:hAnsi="Arial" w:cs="Arial"/>
          <w:color w:val="000000" w:themeColor="text1"/>
          <w:sz w:val="19"/>
          <w:szCs w:val="19"/>
        </w:rPr>
        <w:t xml:space="preserve"> </w:t>
      </w:r>
      <w:r w:rsidRPr="004031A8">
        <w:rPr>
          <w:rFonts w:ascii="Arial" w:hAnsi="Arial" w:cs="Arial"/>
          <w:color w:val="000000" w:themeColor="text1"/>
          <w:sz w:val="19"/>
          <w:szCs w:val="19"/>
        </w:rPr>
        <w:t>en</w:t>
      </w:r>
      <w:r w:rsidR="00E24E43" w:rsidRPr="004031A8">
        <w:rPr>
          <w:rFonts w:ascii="Arial" w:hAnsi="Arial" w:cs="Arial"/>
          <w:color w:val="000000" w:themeColor="text1"/>
          <w:sz w:val="19"/>
          <w:szCs w:val="19"/>
        </w:rPr>
        <w:t xml:space="preserve"> </w:t>
      </w:r>
      <w:r w:rsidRPr="004031A8">
        <w:rPr>
          <w:rFonts w:ascii="Arial" w:hAnsi="Arial" w:cs="Arial"/>
          <w:color w:val="000000" w:themeColor="text1"/>
          <w:sz w:val="19"/>
          <w:szCs w:val="19"/>
        </w:rPr>
        <w:t>relación</w:t>
      </w:r>
      <w:r w:rsidR="00E24E43" w:rsidRPr="004031A8">
        <w:rPr>
          <w:rFonts w:ascii="Arial" w:hAnsi="Arial" w:cs="Arial"/>
          <w:color w:val="000000" w:themeColor="text1"/>
          <w:sz w:val="19"/>
          <w:szCs w:val="19"/>
        </w:rPr>
        <w:t xml:space="preserve"> </w:t>
      </w:r>
      <w:r w:rsidRPr="004031A8">
        <w:rPr>
          <w:rFonts w:ascii="Arial" w:hAnsi="Arial" w:cs="Arial"/>
          <w:color w:val="000000" w:themeColor="text1"/>
          <w:sz w:val="19"/>
          <w:szCs w:val="19"/>
        </w:rPr>
        <w:t>con</w:t>
      </w:r>
      <w:r w:rsidR="00E24E43" w:rsidRPr="004031A8">
        <w:rPr>
          <w:rFonts w:ascii="Arial" w:hAnsi="Arial" w:cs="Arial"/>
          <w:color w:val="000000" w:themeColor="text1"/>
          <w:sz w:val="19"/>
          <w:szCs w:val="19"/>
        </w:rPr>
        <w:t xml:space="preserve"> </w:t>
      </w:r>
      <w:r w:rsidRPr="004031A8">
        <w:rPr>
          <w:rFonts w:ascii="Arial" w:hAnsi="Arial" w:cs="Arial"/>
          <w:color w:val="000000" w:themeColor="text1"/>
          <w:sz w:val="19"/>
          <w:szCs w:val="19"/>
        </w:rPr>
        <w:t>esas disposiciones». (</w:t>
      </w:r>
      <w:r w:rsidR="00CE5A8A" w:rsidRPr="004031A8">
        <w:rPr>
          <w:rFonts w:ascii="Arial" w:hAnsi="Arial" w:cs="Arial"/>
          <w:color w:val="000000" w:themeColor="text1"/>
          <w:sz w:val="19"/>
          <w:szCs w:val="19"/>
        </w:rPr>
        <w:t xml:space="preserve">CONSEJO DE ESTADO. Sala Plena. Auto del 15 de marzo de 2022. </w:t>
      </w:r>
      <w:r w:rsidR="00CE5A8A" w:rsidRPr="004031A8">
        <w:rPr>
          <w:rFonts w:ascii="Arial" w:hAnsi="Arial" w:cs="Arial"/>
          <w:color w:val="000000" w:themeColor="text1"/>
          <w:sz w:val="19"/>
          <w:szCs w:val="19"/>
          <w:lang w:val="es-CO"/>
        </w:rPr>
        <w:t>Exp. 11001-03-26-000-2018-00113-01 (62.003). C.P. Rocío Araújo Oñate).</w:t>
      </w:r>
    </w:p>
    <w:p w14:paraId="7D3A4016" w14:textId="77777777" w:rsidR="006319A7" w:rsidRPr="004031A8" w:rsidRDefault="006319A7" w:rsidP="004031A8">
      <w:pPr>
        <w:pStyle w:val="Textonotapie"/>
        <w:ind w:firstLine="708"/>
      </w:pPr>
    </w:p>
  </w:footnote>
  <w:footnote w:id="16">
    <w:p w14:paraId="4979FF5D" w14:textId="77777777" w:rsidR="00C133B6" w:rsidRPr="004031A8" w:rsidRDefault="00C133B6" w:rsidP="00C133B6">
      <w:pPr>
        <w:ind w:firstLine="708"/>
        <w:jc w:val="both"/>
        <w:rPr>
          <w:rFonts w:ascii="Arial" w:hAnsi="Arial" w:cs="Arial"/>
          <w:color w:val="000000" w:themeColor="text1"/>
          <w:sz w:val="19"/>
          <w:szCs w:val="19"/>
        </w:rPr>
      </w:pPr>
      <w:r w:rsidRPr="004031A8">
        <w:rPr>
          <w:rStyle w:val="Refdenotaalpie"/>
          <w:rFonts w:ascii="Arial" w:hAnsi="Arial" w:cs="Arial"/>
          <w:color w:val="000000" w:themeColor="text1"/>
          <w:sz w:val="19"/>
          <w:szCs w:val="19"/>
        </w:rPr>
        <w:footnoteRef/>
      </w:r>
      <w:r w:rsidRPr="004031A8">
        <w:rPr>
          <w:rFonts w:ascii="Arial" w:hAnsi="Arial" w:cs="Arial"/>
          <w:color w:val="000000" w:themeColor="text1"/>
          <w:sz w:val="19"/>
          <w:szCs w:val="19"/>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6846613C" w14:textId="77777777" w:rsidR="00C133B6" w:rsidRPr="004031A8" w:rsidRDefault="00C133B6" w:rsidP="00C133B6">
      <w:pPr>
        <w:ind w:firstLine="708"/>
        <w:jc w:val="both"/>
        <w:rPr>
          <w:rFonts w:ascii="Arial" w:hAnsi="Arial" w:cs="Arial"/>
          <w:color w:val="000000" w:themeColor="text1"/>
          <w:sz w:val="19"/>
          <w:szCs w:val="19"/>
        </w:rPr>
      </w:pPr>
    </w:p>
  </w:footnote>
  <w:footnote w:id="17">
    <w:p w14:paraId="6F0D1B74" w14:textId="77777777" w:rsidR="00C133B6" w:rsidRPr="004031A8" w:rsidRDefault="00C133B6" w:rsidP="00C133B6">
      <w:pPr>
        <w:pStyle w:val="Textonotapie"/>
        <w:ind w:firstLine="708"/>
        <w:jc w:val="both"/>
        <w:rPr>
          <w:rFonts w:ascii="Arial" w:hAnsi="Arial" w:cs="Arial"/>
          <w:color w:val="000000" w:themeColor="text1"/>
          <w:sz w:val="19"/>
          <w:szCs w:val="19"/>
        </w:rPr>
      </w:pPr>
      <w:r w:rsidRPr="004031A8">
        <w:rPr>
          <w:rStyle w:val="Refdenotaalpie"/>
          <w:rFonts w:ascii="Arial" w:hAnsi="Arial" w:cs="Arial"/>
          <w:color w:val="000000" w:themeColor="text1"/>
          <w:sz w:val="19"/>
          <w:szCs w:val="19"/>
        </w:rPr>
        <w:footnoteRef/>
      </w:r>
      <w:r w:rsidRPr="004031A8">
        <w:rPr>
          <w:rFonts w:ascii="Arial" w:hAnsi="Arial" w:cs="Arial"/>
          <w:color w:val="000000" w:themeColor="text1"/>
          <w:sz w:val="19"/>
          <w:szCs w:val="19"/>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64E3171E" w14:textId="77777777" w:rsidR="00C133B6" w:rsidRPr="004031A8" w:rsidRDefault="00C133B6" w:rsidP="00C133B6">
      <w:pPr>
        <w:pStyle w:val="Textonotapie"/>
        <w:ind w:firstLine="708"/>
        <w:jc w:val="both"/>
        <w:rPr>
          <w:rFonts w:ascii="Arial" w:hAnsi="Arial" w:cs="Arial"/>
          <w:color w:val="000000" w:themeColor="text1"/>
          <w:sz w:val="19"/>
          <w:szCs w:val="19"/>
          <w:lang w:val="es-ES"/>
        </w:rPr>
      </w:pPr>
    </w:p>
  </w:footnote>
  <w:footnote w:id="18">
    <w:p w14:paraId="76FABBFA" w14:textId="77777777" w:rsidR="00C133B6" w:rsidRPr="004031A8" w:rsidRDefault="00C133B6" w:rsidP="00C133B6">
      <w:pPr>
        <w:pStyle w:val="Textonotapie"/>
        <w:ind w:firstLine="708"/>
        <w:jc w:val="both"/>
        <w:rPr>
          <w:rFonts w:ascii="Arial" w:hAnsi="Arial" w:cs="Arial"/>
          <w:color w:val="000000" w:themeColor="text1"/>
          <w:sz w:val="19"/>
          <w:szCs w:val="19"/>
          <w:lang w:val="es-ES"/>
        </w:rPr>
      </w:pPr>
      <w:r w:rsidRPr="004031A8">
        <w:rPr>
          <w:rStyle w:val="Refdenotaalpie"/>
          <w:rFonts w:ascii="Arial" w:hAnsi="Arial" w:cs="Arial"/>
          <w:color w:val="000000" w:themeColor="text1"/>
          <w:sz w:val="19"/>
          <w:szCs w:val="19"/>
        </w:rPr>
        <w:footnoteRef/>
      </w:r>
      <w:r w:rsidRPr="004031A8">
        <w:rPr>
          <w:rFonts w:ascii="Arial" w:hAnsi="Arial" w:cs="Arial"/>
          <w:color w:val="000000" w:themeColor="text1"/>
          <w:sz w:val="19"/>
          <w:szCs w:val="19"/>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9">
    <w:p w14:paraId="0C0A5D1C" w14:textId="77777777" w:rsidR="00C133B6" w:rsidRPr="004031A8" w:rsidRDefault="00C133B6" w:rsidP="00C133B6">
      <w:pPr>
        <w:pStyle w:val="Textonotapie"/>
        <w:ind w:firstLine="708"/>
        <w:jc w:val="both"/>
        <w:rPr>
          <w:rFonts w:ascii="Arial" w:hAnsi="Arial" w:cs="Arial"/>
          <w:color w:val="000000" w:themeColor="text1"/>
          <w:sz w:val="19"/>
          <w:szCs w:val="19"/>
        </w:rPr>
      </w:pPr>
      <w:r w:rsidRPr="004031A8">
        <w:rPr>
          <w:rStyle w:val="Refdenotaalpie"/>
          <w:rFonts w:ascii="Arial" w:hAnsi="Arial" w:cs="Arial"/>
          <w:color w:val="000000" w:themeColor="text1"/>
          <w:sz w:val="19"/>
          <w:szCs w:val="19"/>
        </w:rPr>
        <w:footnoteRef/>
      </w:r>
      <w:r w:rsidRPr="004031A8">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04A2B53F" w14:textId="77777777" w:rsidR="00C133B6" w:rsidRPr="004031A8" w:rsidRDefault="00C133B6" w:rsidP="00C133B6">
      <w:pPr>
        <w:pStyle w:val="Textonotapie"/>
        <w:jc w:val="both"/>
        <w:rPr>
          <w:rFonts w:ascii="Arial" w:hAnsi="Arial" w:cs="Arial"/>
          <w:color w:val="000000" w:themeColor="text1"/>
          <w:sz w:val="19"/>
          <w:szCs w:val="19"/>
          <w:lang w:val="es-ES"/>
        </w:rPr>
      </w:pPr>
    </w:p>
  </w:footnote>
  <w:footnote w:id="20">
    <w:p w14:paraId="710FDC98" w14:textId="77777777" w:rsidR="00C133B6" w:rsidRPr="00162EE6" w:rsidRDefault="00C133B6" w:rsidP="00C133B6">
      <w:pPr>
        <w:pStyle w:val="Textonotapie"/>
        <w:ind w:firstLine="708"/>
        <w:jc w:val="both"/>
        <w:rPr>
          <w:rFonts w:ascii="Arial" w:hAnsi="Arial" w:cs="Arial"/>
          <w:color w:val="000000" w:themeColor="text1"/>
          <w:sz w:val="19"/>
          <w:szCs w:val="19"/>
        </w:rPr>
      </w:pPr>
      <w:r w:rsidRPr="004031A8">
        <w:rPr>
          <w:rStyle w:val="Refdenotaalpie"/>
          <w:rFonts w:ascii="Arial" w:hAnsi="Arial" w:cs="Arial"/>
          <w:color w:val="000000" w:themeColor="text1"/>
          <w:sz w:val="19"/>
          <w:szCs w:val="19"/>
        </w:rPr>
        <w:footnoteRef/>
      </w:r>
      <w:r w:rsidRPr="004031A8">
        <w:rPr>
          <w:rFonts w:ascii="Arial" w:hAnsi="Arial" w:cs="Arial"/>
          <w:color w:val="000000" w:themeColor="text1"/>
          <w:sz w:val="19"/>
          <w:szCs w:val="19"/>
        </w:rPr>
        <w:t xml:space="preserve"> Agencia Nacional de Contratación Pública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p w14:paraId="088EA198" w14:textId="77777777" w:rsidR="00C133B6" w:rsidRPr="00162EE6" w:rsidRDefault="00C133B6" w:rsidP="00C133B6">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F846BE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40546BE"/>
    <w:multiLevelType w:val="hybridMultilevel"/>
    <w:tmpl w:val="9DE84AB8"/>
    <w:lvl w:ilvl="0" w:tplc="4B6489F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223105969">
    <w:abstractNumId w:val="2"/>
  </w:num>
  <w:num w:numId="2" w16cid:durableId="964388996">
    <w:abstractNumId w:val="1"/>
  </w:num>
  <w:num w:numId="3" w16cid:durableId="1539734503">
    <w:abstractNumId w:val="4"/>
  </w:num>
  <w:num w:numId="4" w16cid:durableId="1082919557">
    <w:abstractNumId w:val="5"/>
  </w:num>
  <w:num w:numId="5" w16cid:durableId="1406762870">
    <w:abstractNumId w:val="7"/>
  </w:num>
  <w:num w:numId="6" w16cid:durableId="19238016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6796411">
    <w:abstractNumId w:val="6"/>
  </w:num>
  <w:num w:numId="8" w16cid:durableId="1687559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5CF"/>
    <w:rsid w:val="000041F7"/>
    <w:rsid w:val="00013B26"/>
    <w:rsid w:val="000158BA"/>
    <w:rsid w:val="00017436"/>
    <w:rsid w:val="000253B2"/>
    <w:rsid w:val="00025A1A"/>
    <w:rsid w:val="00027AD0"/>
    <w:rsid w:val="00036413"/>
    <w:rsid w:val="00044FEB"/>
    <w:rsid w:val="00047FFA"/>
    <w:rsid w:val="00056935"/>
    <w:rsid w:val="00065732"/>
    <w:rsid w:val="0007342C"/>
    <w:rsid w:val="00076B79"/>
    <w:rsid w:val="000834C1"/>
    <w:rsid w:val="000838BB"/>
    <w:rsid w:val="00083CF2"/>
    <w:rsid w:val="00084B97"/>
    <w:rsid w:val="0008599F"/>
    <w:rsid w:val="00085E6B"/>
    <w:rsid w:val="00091BA7"/>
    <w:rsid w:val="00092592"/>
    <w:rsid w:val="000942EB"/>
    <w:rsid w:val="000967E9"/>
    <w:rsid w:val="000B103F"/>
    <w:rsid w:val="000B2A2A"/>
    <w:rsid w:val="000E16BE"/>
    <w:rsid w:val="000E18DA"/>
    <w:rsid w:val="000E5825"/>
    <w:rsid w:val="000E6959"/>
    <w:rsid w:val="000F14E8"/>
    <w:rsid w:val="000F20B9"/>
    <w:rsid w:val="00103915"/>
    <w:rsid w:val="00107833"/>
    <w:rsid w:val="00113AFA"/>
    <w:rsid w:val="00114677"/>
    <w:rsid w:val="0011596C"/>
    <w:rsid w:val="00122B23"/>
    <w:rsid w:val="001248BF"/>
    <w:rsid w:val="001328DA"/>
    <w:rsid w:val="00137FFA"/>
    <w:rsid w:val="00141B04"/>
    <w:rsid w:val="00161425"/>
    <w:rsid w:val="00162EE6"/>
    <w:rsid w:val="00163404"/>
    <w:rsid w:val="001713FF"/>
    <w:rsid w:val="00182403"/>
    <w:rsid w:val="0018278A"/>
    <w:rsid w:val="001836DE"/>
    <w:rsid w:val="0018691C"/>
    <w:rsid w:val="00191193"/>
    <w:rsid w:val="001A0C43"/>
    <w:rsid w:val="001A22AE"/>
    <w:rsid w:val="001B0444"/>
    <w:rsid w:val="001B2548"/>
    <w:rsid w:val="001B5F5D"/>
    <w:rsid w:val="001C13B2"/>
    <w:rsid w:val="001C549E"/>
    <w:rsid w:val="001C5B1A"/>
    <w:rsid w:val="001D2C36"/>
    <w:rsid w:val="001E5499"/>
    <w:rsid w:val="001E6880"/>
    <w:rsid w:val="001E7592"/>
    <w:rsid w:val="00200E9B"/>
    <w:rsid w:val="00201AC7"/>
    <w:rsid w:val="0020632A"/>
    <w:rsid w:val="0020690C"/>
    <w:rsid w:val="002110EB"/>
    <w:rsid w:val="00211338"/>
    <w:rsid w:val="00222042"/>
    <w:rsid w:val="0022301C"/>
    <w:rsid w:val="0022368C"/>
    <w:rsid w:val="00223E31"/>
    <w:rsid w:val="0022518A"/>
    <w:rsid w:val="00234B84"/>
    <w:rsid w:val="00240B6D"/>
    <w:rsid w:val="002413F0"/>
    <w:rsid w:val="00257A66"/>
    <w:rsid w:val="00261AD4"/>
    <w:rsid w:val="0026230D"/>
    <w:rsid w:val="002636DB"/>
    <w:rsid w:val="00281E30"/>
    <w:rsid w:val="00287AA8"/>
    <w:rsid w:val="002A18A4"/>
    <w:rsid w:val="002A504C"/>
    <w:rsid w:val="002A6545"/>
    <w:rsid w:val="002B7E62"/>
    <w:rsid w:val="002C0864"/>
    <w:rsid w:val="002C2D63"/>
    <w:rsid w:val="002C4C0C"/>
    <w:rsid w:val="002D22BC"/>
    <w:rsid w:val="002D3B2D"/>
    <w:rsid w:val="002D6F8E"/>
    <w:rsid w:val="002E0648"/>
    <w:rsid w:val="002E285D"/>
    <w:rsid w:val="002E3436"/>
    <w:rsid w:val="002E578E"/>
    <w:rsid w:val="002E7439"/>
    <w:rsid w:val="003033BA"/>
    <w:rsid w:val="00304C14"/>
    <w:rsid w:val="003107E7"/>
    <w:rsid w:val="00316A10"/>
    <w:rsid w:val="00322937"/>
    <w:rsid w:val="00323474"/>
    <w:rsid w:val="0032617F"/>
    <w:rsid w:val="00327C54"/>
    <w:rsid w:val="00335BA6"/>
    <w:rsid w:val="00336379"/>
    <w:rsid w:val="003373DB"/>
    <w:rsid w:val="0034177C"/>
    <w:rsid w:val="0034499E"/>
    <w:rsid w:val="0034680A"/>
    <w:rsid w:val="00347808"/>
    <w:rsid w:val="0035109D"/>
    <w:rsid w:val="00353DD5"/>
    <w:rsid w:val="00355363"/>
    <w:rsid w:val="003757C5"/>
    <w:rsid w:val="00382F0D"/>
    <w:rsid w:val="00386456"/>
    <w:rsid w:val="00391B30"/>
    <w:rsid w:val="003920BD"/>
    <w:rsid w:val="0039418A"/>
    <w:rsid w:val="003A017F"/>
    <w:rsid w:val="003A0878"/>
    <w:rsid w:val="003A2E9E"/>
    <w:rsid w:val="003A581E"/>
    <w:rsid w:val="003A66FD"/>
    <w:rsid w:val="003A6F22"/>
    <w:rsid w:val="003A7A93"/>
    <w:rsid w:val="003B451B"/>
    <w:rsid w:val="003D3FC0"/>
    <w:rsid w:val="003E4DCB"/>
    <w:rsid w:val="003E54EB"/>
    <w:rsid w:val="003F2CA8"/>
    <w:rsid w:val="003F5F9D"/>
    <w:rsid w:val="003F6C68"/>
    <w:rsid w:val="004031A8"/>
    <w:rsid w:val="00405F24"/>
    <w:rsid w:val="00410C5B"/>
    <w:rsid w:val="0041776B"/>
    <w:rsid w:val="00423F9F"/>
    <w:rsid w:val="00426758"/>
    <w:rsid w:val="0044037B"/>
    <w:rsid w:val="00440E9B"/>
    <w:rsid w:val="004422D6"/>
    <w:rsid w:val="00455E76"/>
    <w:rsid w:val="004562B5"/>
    <w:rsid w:val="004606AB"/>
    <w:rsid w:val="00461A7B"/>
    <w:rsid w:val="0049241A"/>
    <w:rsid w:val="004A1DAE"/>
    <w:rsid w:val="004A34D2"/>
    <w:rsid w:val="004B0A86"/>
    <w:rsid w:val="004B2C8C"/>
    <w:rsid w:val="004C07C2"/>
    <w:rsid w:val="004C5013"/>
    <w:rsid w:val="004C77B0"/>
    <w:rsid w:val="004D4C7D"/>
    <w:rsid w:val="004E1475"/>
    <w:rsid w:val="004E2DDE"/>
    <w:rsid w:val="004E5107"/>
    <w:rsid w:val="004F6ADA"/>
    <w:rsid w:val="0051074C"/>
    <w:rsid w:val="00512984"/>
    <w:rsid w:val="00513AF2"/>
    <w:rsid w:val="005171B4"/>
    <w:rsid w:val="00532E81"/>
    <w:rsid w:val="00534601"/>
    <w:rsid w:val="0053513C"/>
    <w:rsid w:val="0054413A"/>
    <w:rsid w:val="005500E1"/>
    <w:rsid w:val="00554531"/>
    <w:rsid w:val="0055500F"/>
    <w:rsid w:val="005556D2"/>
    <w:rsid w:val="005564CA"/>
    <w:rsid w:val="0055668D"/>
    <w:rsid w:val="0056182B"/>
    <w:rsid w:val="00566FAC"/>
    <w:rsid w:val="0057025A"/>
    <w:rsid w:val="00572529"/>
    <w:rsid w:val="00575078"/>
    <w:rsid w:val="005756AA"/>
    <w:rsid w:val="00582656"/>
    <w:rsid w:val="005931DB"/>
    <w:rsid w:val="005949CA"/>
    <w:rsid w:val="00596D08"/>
    <w:rsid w:val="00596D67"/>
    <w:rsid w:val="005A017A"/>
    <w:rsid w:val="005A3021"/>
    <w:rsid w:val="005A3A0C"/>
    <w:rsid w:val="005A690C"/>
    <w:rsid w:val="005B0316"/>
    <w:rsid w:val="005B4344"/>
    <w:rsid w:val="005B468D"/>
    <w:rsid w:val="005B6D84"/>
    <w:rsid w:val="005C02CC"/>
    <w:rsid w:val="005C6375"/>
    <w:rsid w:val="005C6B5E"/>
    <w:rsid w:val="005D13B5"/>
    <w:rsid w:val="005D4846"/>
    <w:rsid w:val="005D51FA"/>
    <w:rsid w:val="005D791B"/>
    <w:rsid w:val="005E04B0"/>
    <w:rsid w:val="005E0BCA"/>
    <w:rsid w:val="005E2AEB"/>
    <w:rsid w:val="005E3BE3"/>
    <w:rsid w:val="005E6EAD"/>
    <w:rsid w:val="005E7A4E"/>
    <w:rsid w:val="005F6281"/>
    <w:rsid w:val="00600D46"/>
    <w:rsid w:val="0061021A"/>
    <w:rsid w:val="00614817"/>
    <w:rsid w:val="00621831"/>
    <w:rsid w:val="006319A7"/>
    <w:rsid w:val="00633DBF"/>
    <w:rsid w:val="00640FCC"/>
    <w:rsid w:val="00641E5D"/>
    <w:rsid w:val="00642600"/>
    <w:rsid w:val="006473BF"/>
    <w:rsid w:val="00647B6F"/>
    <w:rsid w:val="00650749"/>
    <w:rsid w:val="00652BC5"/>
    <w:rsid w:val="00655371"/>
    <w:rsid w:val="00655B5D"/>
    <w:rsid w:val="0066254E"/>
    <w:rsid w:val="006626D4"/>
    <w:rsid w:val="00662852"/>
    <w:rsid w:val="006673D0"/>
    <w:rsid w:val="006713B9"/>
    <w:rsid w:val="00673D28"/>
    <w:rsid w:val="006830FC"/>
    <w:rsid w:val="00691545"/>
    <w:rsid w:val="00694493"/>
    <w:rsid w:val="00697665"/>
    <w:rsid w:val="006A1C5D"/>
    <w:rsid w:val="006A54E5"/>
    <w:rsid w:val="006A7CB5"/>
    <w:rsid w:val="006A7FD0"/>
    <w:rsid w:val="006B06BB"/>
    <w:rsid w:val="006B1EF1"/>
    <w:rsid w:val="006B59BB"/>
    <w:rsid w:val="006C3039"/>
    <w:rsid w:val="006D0903"/>
    <w:rsid w:val="006D7687"/>
    <w:rsid w:val="006D7C9A"/>
    <w:rsid w:val="006E0572"/>
    <w:rsid w:val="006F1414"/>
    <w:rsid w:val="00705631"/>
    <w:rsid w:val="007073C9"/>
    <w:rsid w:val="00710D25"/>
    <w:rsid w:val="00711766"/>
    <w:rsid w:val="00715EAA"/>
    <w:rsid w:val="00716368"/>
    <w:rsid w:val="007345D4"/>
    <w:rsid w:val="007369ED"/>
    <w:rsid w:val="00742DD2"/>
    <w:rsid w:val="00747C96"/>
    <w:rsid w:val="0075094E"/>
    <w:rsid w:val="007522E8"/>
    <w:rsid w:val="0075647A"/>
    <w:rsid w:val="0076307E"/>
    <w:rsid w:val="007634AD"/>
    <w:rsid w:val="007733E4"/>
    <w:rsid w:val="0078122E"/>
    <w:rsid w:val="00794157"/>
    <w:rsid w:val="00795647"/>
    <w:rsid w:val="00796417"/>
    <w:rsid w:val="0079751C"/>
    <w:rsid w:val="007A219D"/>
    <w:rsid w:val="007A5B47"/>
    <w:rsid w:val="007B0854"/>
    <w:rsid w:val="007C1E1A"/>
    <w:rsid w:val="007C6A89"/>
    <w:rsid w:val="007C7A53"/>
    <w:rsid w:val="007E2796"/>
    <w:rsid w:val="007E403F"/>
    <w:rsid w:val="007F0A15"/>
    <w:rsid w:val="007F32D9"/>
    <w:rsid w:val="007F3A1C"/>
    <w:rsid w:val="007F6B46"/>
    <w:rsid w:val="007F72CB"/>
    <w:rsid w:val="007F7458"/>
    <w:rsid w:val="008008E4"/>
    <w:rsid w:val="00801C10"/>
    <w:rsid w:val="008130F7"/>
    <w:rsid w:val="008160EE"/>
    <w:rsid w:val="008217B7"/>
    <w:rsid w:val="00822B6C"/>
    <w:rsid w:val="0083119B"/>
    <w:rsid w:val="00836EAB"/>
    <w:rsid w:val="00840AD1"/>
    <w:rsid w:val="00846496"/>
    <w:rsid w:val="00847D0E"/>
    <w:rsid w:val="0085092D"/>
    <w:rsid w:val="00850F79"/>
    <w:rsid w:val="00866822"/>
    <w:rsid w:val="00867757"/>
    <w:rsid w:val="0087128F"/>
    <w:rsid w:val="008720CE"/>
    <w:rsid w:val="008735A6"/>
    <w:rsid w:val="0087580E"/>
    <w:rsid w:val="00885142"/>
    <w:rsid w:val="00894A5F"/>
    <w:rsid w:val="00895A32"/>
    <w:rsid w:val="0089774F"/>
    <w:rsid w:val="0089785F"/>
    <w:rsid w:val="008B2419"/>
    <w:rsid w:val="008B633A"/>
    <w:rsid w:val="008C3D80"/>
    <w:rsid w:val="008D4DEA"/>
    <w:rsid w:val="008E0ABD"/>
    <w:rsid w:val="008E1C15"/>
    <w:rsid w:val="008E1EA7"/>
    <w:rsid w:val="008E3AEA"/>
    <w:rsid w:val="008E41D9"/>
    <w:rsid w:val="008E47EA"/>
    <w:rsid w:val="008E4EBC"/>
    <w:rsid w:val="008F538E"/>
    <w:rsid w:val="008F5656"/>
    <w:rsid w:val="009047C5"/>
    <w:rsid w:val="00905EF7"/>
    <w:rsid w:val="00907028"/>
    <w:rsid w:val="009079FB"/>
    <w:rsid w:val="00912570"/>
    <w:rsid w:val="00912FD9"/>
    <w:rsid w:val="009229DE"/>
    <w:rsid w:val="00923DE8"/>
    <w:rsid w:val="009250AC"/>
    <w:rsid w:val="00930ECE"/>
    <w:rsid w:val="009410B4"/>
    <w:rsid w:val="00943AA6"/>
    <w:rsid w:val="009461A5"/>
    <w:rsid w:val="0095385A"/>
    <w:rsid w:val="0096367D"/>
    <w:rsid w:val="009648E9"/>
    <w:rsid w:val="009649C6"/>
    <w:rsid w:val="009661FE"/>
    <w:rsid w:val="0097456B"/>
    <w:rsid w:val="00975518"/>
    <w:rsid w:val="00981CB1"/>
    <w:rsid w:val="009957EA"/>
    <w:rsid w:val="009A3850"/>
    <w:rsid w:val="009A585B"/>
    <w:rsid w:val="009A784B"/>
    <w:rsid w:val="009B08AB"/>
    <w:rsid w:val="009B4D62"/>
    <w:rsid w:val="009D0FA5"/>
    <w:rsid w:val="009D3700"/>
    <w:rsid w:val="009D4B75"/>
    <w:rsid w:val="009D7FBD"/>
    <w:rsid w:val="009F05B8"/>
    <w:rsid w:val="009F4CA1"/>
    <w:rsid w:val="009F59C2"/>
    <w:rsid w:val="00A13855"/>
    <w:rsid w:val="00A24560"/>
    <w:rsid w:val="00A320AA"/>
    <w:rsid w:val="00A34538"/>
    <w:rsid w:val="00A37650"/>
    <w:rsid w:val="00A37FB6"/>
    <w:rsid w:val="00A44B31"/>
    <w:rsid w:val="00A453DC"/>
    <w:rsid w:val="00A46832"/>
    <w:rsid w:val="00A637CE"/>
    <w:rsid w:val="00A63FBD"/>
    <w:rsid w:val="00A6479F"/>
    <w:rsid w:val="00A7620B"/>
    <w:rsid w:val="00A810C8"/>
    <w:rsid w:val="00A82DE0"/>
    <w:rsid w:val="00A84D11"/>
    <w:rsid w:val="00A86A50"/>
    <w:rsid w:val="00A90500"/>
    <w:rsid w:val="00A96E98"/>
    <w:rsid w:val="00AA08E7"/>
    <w:rsid w:val="00AA254B"/>
    <w:rsid w:val="00AA442B"/>
    <w:rsid w:val="00AA5D0D"/>
    <w:rsid w:val="00AA669D"/>
    <w:rsid w:val="00AA77EE"/>
    <w:rsid w:val="00AB5925"/>
    <w:rsid w:val="00AB5B0B"/>
    <w:rsid w:val="00AC04FA"/>
    <w:rsid w:val="00AC1D56"/>
    <w:rsid w:val="00AD5367"/>
    <w:rsid w:val="00AE1DA1"/>
    <w:rsid w:val="00AE4AF7"/>
    <w:rsid w:val="00AE5BA8"/>
    <w:rsid w:val="00AF5CAC"/>
    <w:rsid w:val="00B01C30"/>
    <w:rsid w:val="00B023C1"/>
    <w:rsid w:val="00B059A7"/>
    <w:rsid w:val="00B078FE"/>
    <w:rsid w:val="00B13EC0"/>
    <w:rsid w:val="00B16CEC"/>
    <w:rsid w:val="00B16DE9"/>
    <w:rsid w:val="00B2243D"/>
    <w:rsid w:val="00B22E22"/>
    <w:rsid w:val="00B339EB"/>
    <w:rsid w:val="00B34437"/>
    <w:rsid w:val="00B4592B"/>
    <w:rsid w:val="00B47625"/>
    <w:rsid w:val="00B51A81"/>
    <w:rsid w:val="00B525CB"/>
    <w:rsid w:val="00B53EBB"/>
    <w:rsid w:val="00B63872"/>
    <w:rsid w:val="00B63CAB"/>
    <w:rsid w:val="00B63CB2"/>
    <w:rsid w:val="00B64599"/>
    <w:rsid w:val="00B64EDB"/>
    <w:rsid w:val="00B72A12"/>
    <w:rsid w:val="00B744C8"/>
    <w:rsid w:val="00B75211"/>
    <w:rsid w:val="00B81AF9"/>
    <w:rsid w:val="00B81B3B"/>
    <w:rsid w:val="00B84012"/>
    <w:rsid w:val="00B85EA4"/>
    <w:rsid w:val="00B91B8E"/>
    <w:rsid w:val="00BA0531"/>
    <w:rsid w:val="00BA1F28"/>
    <w:rsid w:val="00BA7D6C"/>
    <w:rsid w:val="00BB0E58"/>
    <w:rsid w:val="00BB7589"/>
    <w:rsid w:val="00BC359A"/>
    <w:rsid w:val="00BD075F"/>
    <w:rsid w:val="00BD249C"/>
    <w:rsid w:val="00BD51CC"/>
    <w:rsid w:val="00BD5C01"/>
    <w:rsid w:val="00BD62FE"/>
    <w:rsid w:val="00BD78FE"/>
    <w:rsid w:val="00BF45FB"/>
    <w:rsid w:val="00BF7276"/>
    <w:rsid w:val="00C11613"/>
    <w:rsid w:val="00C133B6"/>
    <w:rsid w:val="00C14C04"/>
    <w:rsid w:val="00C15E01"/>
    <w:rsid w:val="00C16A2E"/>
    <w:rsid w:val="00C24492"/>
    <w:rsid w:val="00C2732A"/>
    <w:rsid w:val="00C35C62"/>
    <w:rsid w:val="00C42AD7"/>
    <w:rsid w:val="00C45D6E"/>
    <w:rsid w:val="00C52971"/>
    <w:rsid w:val="00C569EB"/>
    <w:rsid w:val="00C62A49"/>
    <w:rsid w:val="00C64292"/>
    <w:rsid w:val="00C67049"/>
    <w:rsid w:val="00C673F5"/>
    <w:rsid w:val="00C707E3"/>
    <w:rsid w:val="00C836D0"/>
    <w:rsid w:val="00C83735"/>
    <w:rsid w:val="00CA5D6A"/>
    <w:rsid w:val="00CB3DD3"/>
    <w:rsid w:val="00CB4A8B"/>
    <w:rsid w:val="00CC00CD"/>
    <w:rsid w:val="00CC0E66"/>
    <w:rsid w:val="00CC17A9"/>
    <w:rsid w:val="00CD2D04"/>
    <w:rsid w:val="00CD69CD"/>
    <w:rsid w:val="00CE5A8A"/>
    <w:rsid w:val="00CF2D16"/>
    <w:rsid w:val="00D01760"/>
    <w:rsid w:val="00D16E39"/>
    <w:rsid w:val="00D21691"/>
    <w:rsid w:val="00D223B6"/>
    <w:rsid w:val="00D3269C"/>
    <w:rsid w:val="00D36885"/>
    <w:rsid w:val="00D37026"/>
    <w:rsid w:val="00D4596D"/>
    <w:rsid w:val="00D542B7"/>
    <w:rsid w:val="00D60327"/>
    <w:rsid w:val="00D608A0"/>
    <w:rsid w:val="00D626F6"/>
    <w:rsid w:val="00D72E9D"/>
    <w:rsid w:val="00D7327D"/>
    <w:rsid w:val="00D7475A"/>
    <w:rsid w:val="00D82CE5"/>
    <w:rsid w:val="00D86914"/>
    <w:rsid w:val="00D90E3C"/>
    <w:rsid w:val="00D90FEF"/>
    <w:rsid w:val="00D969D2"/>
    <w:rsid w:val="00DA3CE5"/>
    <w:rsid w:val="00DA5AB1"/>
    <w:rsid w:val="00DC62E5"/>
    <w:rsid w:val="00DC787B"/>
    <w:rsid w:val="00DD735D"/>
    <w:rsid w:val="00DE3119"/>
    <w:rsid w:val="00DE3329"/>
    <w:rsid w:val="00DE7A83"/>
    <w:rsid w:val="00DF236B"/>
    <w:rsid w:val="00E0173C"/>
    <w:rsid w:val="00E13AB8"/>
    <w:rsid w:val="00E13B97"/>
    <w:rsid w:val="00E14F15"/>
    <w:rsid w:val="00E170E8"/>
    <w:rsid w:val="00E24E43"/>
    <w:rsid w:val="00E25CB3"/>
    <w:rsid w:val="00E272ED"/>
    <w:rsid w:val="00E33B62"/>
    <w:rsid w:val="00E35CD0"/>
    <w:rsid w:val="00E4113D"/>
    <w:rsid w:val="00E4143A"/>
    <w:rsid w:val="00E44310"/>
    <w:rsid w:val="00E5025C"/>
    <w:rsid w:val="00E518B7"/>
    <w:rsid w:val="00E51A72"/>
    <w:rsid w:val="00E520C7"/>
    <w:rsid w:val="00E53154"/>
    <w:rsid w:val="00E53164"/>
    <w:rsid w:val="00E54256"/>
    <w:rsid w:val="00E6343A"/>
    <w:rsid w:val="00E641E5"/>
    <w:rsid w:val="00E64EED"/>
    <w:rsid w:val="00E7205C"/>
    <w:rsid w:val="00E74486"/>
    <w:rsid w:val="00E754B8"/>
    <w:rsid w:val="00E803FC"/>
    <w:rsid w:val="00E84C97"/>
    <w:rsid w:val="00E957A0"/>
    <w:rsid w:val="00E9640A"/>
    <w:rsid w:val="00EA24A4"/>
    <w:rsid w:val="00EB0480"/>
    <w:rsid w:val="00EE59B5"/>
    <w:rsid w:val="00F060DE"/>
    <w:rsid w:val="00F108D9"/>
    <w:rsid w:val="00F1135F"/>
    <w:rsid w:val="00F139AC"/>
    <w:rsid w:val="00F15C1F"/>
    <w:rsid w:val="00F1676C"/>
    <w:rsid w:val="00F17F08"/>
    <w:rsid w:val="00F22B92"/>
    <w:rsid w:val="00F24D1B"/>
    <w:rsid w:val="00F365BF"/>
    <w:rsid w:val="00F36B49"/>
    <w:rsid w:val="00F41118"/>
    <w:rsid w:val="00F4300A"/>
    <w:rsid w:val="00F43898"/>
    <w:rsid w:val="00F44331"/>
    <w:rsid w:val="00F50961"/>
    <w:rsid w:val="00F539A8"/>
    <w:rsid w:val="00F57D33"/>
    <w:rsid w:val="00F62BB8"/>
    <w:rsid w:val="00F63B59"/>
    <w:rsid w:val="00F63D5E"/>
    <w:rsid w:val="00F66181"/>
    <w:rsid w:val="00F84899"/>
    <w:rsid w:val="00F859F0"/>
    <w:rsid w:val="00F93320"/>
    <w:rsid w:val="00F96961"/>
    <w:rsid w:val="00FA0E68"/>
    <w:rsid w:val="00FA4FCB"/>
    <w:rsid w:val="00FA5BD7"/>
    <w:rsid w:val="00FA6ACD"/>
    <w:rsid w:val="00FA7A3C"/>
    <w:rsid w:val="00FC1CE8"/>
    <w:rsid w:val="00FC3D49"/>
    <w:rsid w:val="00FD088E"/>
    <w:rsid w:val="00FD5779"/>
    <w:rsid w:val="00FE141E"/>
    <w:rsid w:val="00FE370A"/>
    <w:rsid w:val="00FE4021"/>
    <w:rsid w:val="00FE42ED"/>
    <w:rsid w:val="00FE60CF"/>
    <w:rsid w:val="00FE7AC0"/>
    <w:rsid w:val="00FF5B4F"/>
    <w:rsid w:val="0DDCC65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05F24"/>
    <w:pPr>
      <w:spacing w:after="160" w:line="240" w:lineRule="exact"/>
    </w:pPr>
    <w:rPr>
      <w:sz w:val="22"/>
      <w:vertAlign w:val="superscript"/>
      <w:lang w:val="es-CO"/>
    </w:rPr>
  </w:style>
  <w:style w:type="paragraph" w:customStyle="1" w:styleId="Default">
    <w:name w:val="Default"/>
    <w:rsid w:val="006626D4"/>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E754B8"/>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E754B8"/>
    <w:rPr>
      <w:rFonts w:ascii="Arial" w:eastAsia="Arial" w:hAnsi="Arial" w:cs="Arial"/>
      <w:lang w:val="es-ES"/>
    </w:rPr>
  </w:style>
  <w:style w:type="character" w:customStyle="1" w:styleId="NormalWebCar">
    <w:name w:val="Normal (Web) Car"/>
    <w:link w:val="NormalWeb"/>
    <w:uiPriority w:val="99"/>
    <w:rsid w:val="009D7FBD"/>
    <w:rPr>
      <w:rFonts w:ascii="Times New Roman" w:eastAsia="Times New Roman" w:hAnsi="Times New Roman" w:cs="Times New Roman"/>
      <w:sz w:val="24"/>
      <w:szCs w:val="24"/>
      <w:lang w:eastAsia="es-CO"/>
    </w:rPr>
  </w:style>
  <w:style w:type="table" w:customStyle="1" w:styleId="Tablaconcuadrcula2">
    <w:name w:val="Tabla con cuadrícula2"/>
    <w:basedOn w:val="Tablanormal"/>
    <w:next w:val="Tablaconcuadrcula"/>
    <w:uiPriority w:val="59"/>
    <w:rsid w:val="009D7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E285D"/>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89339228">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26937294">
      <w:bodyDiv w:val="1"/>
      <w:marLeft w:val="0"/>
      <w:marRight w:val="0"/>
      <w:marTop w:val="0"/>
      <w:marBottom w:val="0"/>
      <w:divBdr>
        <w:top w:val="none" w:sz="0" w:space="0" w:color="auto"/>
        <w:left w:val="none" w:sz="0" w:space="0" w:color="auto"/>
        <w:bottom w:val="none" w:sz="0" w:space="0" w:color="auto"/>
        <w:right w:val="none" w:sz="0" w:space="0" w:color="auto"/>
      </w:divBdr>
    </w:div>
    <w:div w:id="837967795">
      <w:bodyDiv w:val="1"/>
      <w:marLeft w:val="0"/>
      <w:marRight w:val="0"/>
      <w:marTop w:val="0"/>
      <w:marBottom w:val="0"/>
      <w:divBdr>
        <w:top w:val="none" w:sz="0" w:space="0" w:color="auto"/>
        <w:left w:val="none" w:sz="0" w:space="0" w:color="auto"/>
        <w:bottom w:val="none" w:sz="0" w:space="0" w:color="auto"/>
        <w:right w:val="none" w:sz="0" w:space="0" w:color="auto"/>
      </w:divBdr>
    </w:div>
    <w:div w:id="910887421">
      <w:bodyDiv w:val="1"/>
      <w:marLeft w:val="0"/>
      <w:marRight w:val="0"/>
      <w:marTop w:val="0"/>
      <w:marBottom w:val="0"/>
      <w:divBdr>
        <w:top w:val="none" w:sz="0" w:space="0" w:color="auto"/>
        <w:left w:val="none" w:sz="0" w:space="0" w:color="auto"/>
        <w:bottom w:val="none" w:sz="0" w:space="0" w:color="auto"/>
        <w:right w:val="none" w:sz="0" w:space="0" w:color="auto"/>
      </w:divBdr>
    </w:div>
    <w:div w:id="174745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5105F4-C15D-40C9-BD7C-3F71DF59EB49}">
  <ds:schemaRefs>
    <ds:schemaRef ds:uri="http://schemas.openxmlformats.org/officeDocument/2006/bibliography"/>
  </ds:schemaRefs>
</ds:datastoreItem>
</file>

<file path=customXml/itemProps2.xml><?xml version="1.0" encoding="utf-8"?>
<ds:datastoreItem xmlns:ds="http://schemas.openxmlformats.org/officeDocument/2006/customXml" ds:itemID="{51F25D5E-9D4C-4CF3-93DD-5A12961BFA6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53953492-73AF-4396-8D69-01078136B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TotalTime>
  <Pages>20</Pages>
  <Words>7580</Words>
  <Characters>41695</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2020-03-04T13:16:00Z</cp:lastPrinted>
  <dcterms:created xsi:type="dcterms:W3CDTF">2022-06-22T15:16:00Z</dcterms:created>
  <dcterms:modified xsi:type="dcterms:W3CDTF">2022-06-22T15:16:00Z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