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3CAC71" w14:textId="5282EFA7" w:rsidR="002415B8" w:rsidRPr="003F155A" w:rsidRDefault="00B55C69" w:rsidP="008536BB">
      <w:pPr>
        <w:jc w:val="right"/>
        <w:rPr>
          <w:rFonts w:ascii="Arial" w:eastAsia="Calibri" w:hAnsi="Arial" w:cs="Arial"/>
          <w:b/>
          <w:color w:val="000000" w:themeColor="text1"/>
          <w:sz w:val="20"/>
          <w:szCs w:val="20"/>
          <w:lang w:val="es-ES_tradnl"/>
        </w:rPr>
      </w:pPr>
      <w:bookmarkStart w:id="0" w:name="_Hlk28946138"/>
      <w:bookmarkStart w:id="1" w:name="_Hlk29548183"/>
      <w:r w:rsidRPr="003F155A">
        <w:rPr>
          <w:rFonts w:ascii="Arial" w:hAnsi="Arial" w:cs="Arial"/>
          <w:bCs/>
          <w:color w:val="000000" w:themeColor="text1"/>
          <w:sz w:val="16"/>
          <w:szCs w:val="16"/>
          <w:lang w:val="es-ES_tradnl" w:eastAsia="es-ES"/>
        </w:rPr>
        <w:t>CCE-DES-FM-17</w:t>
      </w:r>
      <w:bookmarkEnd w:id="0"/>
      <w:bookmarkEnd w:id="1"/>
    </w:p>
    <w:p w14:paraId="55FBD910" w14:textId="77777777" w:rsidR="008536BB" w:rsidRPr="003F155A" w:rsidRDefault="008536BB" w:rsidP="00B95C30">
      <w:pPr>
        <w:spacing w:line="276" w:lineRule="auto"/>
        <w:jc w:val="both"/>
        <w:rPr>
          <w:rFonts w:ascii="Arial" w:hAnsi="Arial" w:cs="Arial"/>
          <w:noProof/>
          <w:color w:val="000000" w:themeColor="text1"/>
          <w:sz w:val="22"/>
          <w:lang w:val="es-ES_tradnl"/>
        </w:rPr>
      </w:pPr>
    </w:p>
    <w:p w14:paraId="315680A1" w14:textId="0AC8B47E" w:rsidR="00D6276C" w:rsidRPr="003F155A" w:rsidRDefault="00D6276C" w:rsidP="00D6276C">
      <w:pPr>
        <w:jc w:val="both"/>
        <w:rPr>
          <w:rFonts w:ascii="Arial" w:eastAsia="Calibri" w:hAnsi="Arial" w:cs="Arial"/>
          <w:b/>
          <w:color w:val="000000"/>
          <w:sz w:val="22"/>
          <w:lang w:val="es-ES_tradnl"/>
        </w:rPr>
      </w:pPr>
      <w:r>
        <w:rPr>
          <w:rFonts w:ascii="Arial" w:eastAsia="Calibri" w:hAnsi="Arial" w:cs="Arial"/>
          <w:b/>
          <w:color w:val="000000"/>
          <w:sz w:val="22"/>
          <w:lang w:val="es-ES_tradnl"/>
        </w:rPr>
        <w:t>CONTRATO DE OBRA</w:t>
      </w:r>
      <w:r w:rsidRPr="003F155A">
        <w:rPr>
          <w:rFonts w:ascii="Arial" w:eastAsia="Calibri" w:hAnsi="Arial" w:cs="Arial"/>
          <w:b/>
          <w:color w:val="000000"/>
          <w:sz w:val="22"/>
          <w:lang w:val="es-ES_tradnl"/>
        </w:rPr>
        <w:t xml:space="preserve"> – </w:t>
      </w:r>
      <w:r>
        <w:rPr>
          <w:rFonts w:ascii="Arial" w:eastAsia="Calibri" w:hAnsi="Arial" w:cs="Arial"/>
          <w:b/>
          <w:color w:val="000000"/>
          <w:sz w:val="22"/>
          <w:lang w:val="es-ES_tradnl"/>
        </w:rPr>
        <w:t>Modalidades de selección</w:t>
      </w:r>
      <w:r w:rsidRPr="003F155A">
        <w:rPr>
          <w:rFonts w:ascii="Arial" w:eastAsia="Calibri" w:hAnsi="Arial" w:cs="Arial"/>
          <w:b/>
          <w:color w:val="000000"/>
          <w:sz w:val="22"/>
          <w:lang w:val="es-ES_tradnl"/>
        </w:rPr>
        <w:t xml:space="preserve"> – </w:t>
      </w:r>
      <w:r w:rsidR="00594462">
        <w:rPr>
          <w:rFonts w:ascii="Arial" w:eastAsia="Calibri" w:hAnsi="Arial" w:cs="Arial"/>
          <w:b/>
          <w:color w:val="000000"/>
          <w:sz w:val="22"/>
          <w:lang w:val="es-ES_tradnl"/>
        </w:rPr>
        <w:t>Circunstancial</w:t>
      </w:r>
    </w:p>
    <w:p w14:paraId="0AA4E182" w14:textId="77777777" w:rsidR="00D6276C" w:rsidRDefault="00D6276C" w:rsidP="00D6276C">
      <w:pPr>
        <w:jc w:val="both"/>
        <w:rPr>
          <w:rFonts w:ascii="Arial" w:eastAsia="Arial" w:hAnsi="Arial" w:cs="Arial"/>
          <w:color w:val="000000"/>
          <w:sz w:val="20"/>
          <w:szCs w:val="20"/>
          <w:lang w:val="es-ES_tradnl"/>
        </w:rPr>
      </w:pPr>
    </w:p>
    <w:p w14:paraId="59029DE9" w14:textId="65448BAF" w:rsidR="00D6276C" w:rsidRDefault="00D6276C" w:rsidP="00D6276C">
      <w:pPr>
        <w:jc w:val="both"/>
        <w:rPr>
          <w:rFonts w:ascii="Arial" w:eastAsia="Arial" w:hAnsi="Arial" w:cs="Arial"/>
          <w:color w:val="000000"/>
          <w:sz w:val="20"/>
          <w:szCs w:val="20"/>
          <w:lang w:val="es-ES_tradnl"/>
        </w:rPr>
      </w:pPr>
      <w:r w:rsidRPr="00D6276C">
        <w:rPr>
          <w:rFonts w:ascii="Arial" w:eastAsia="Arial" w:hAnsi="Arial" w:cs="Arial"/>
          <w:color w:val="000000"/>
          <w:sz w:val="20"/>
          <w:szCs w:val="20"/>
          <w:lang w:val="es-ES_tradnl"/>
        </w:rPr>
        <w:t xml:space="preserve">El Estatuto General de Contratación de la Administración Pública no establece una modalidad de selección especial a la que </w:t>
      </w:r>
      <w:r w:rsidRPr="00D6276C">
        <w:rPr>
          <w:rFonts w:ascii="Arial" w:eastAsia="Arial" w:hAnsi="Arial" w:cs="Arial"/>
          <w:i/>
          <w:iCs/>
          <w:color w:val="000000"/>
          <w:sz w:val="20"/>
          <w:szCs w:val="20"/>
          <w:lang w:val="es-ES_tradnl"/>
        </w:rPr>
        <w:t>siempre</w:t>
      </w:r>
      <w:r w:rsidRPr="00D6276C">
        <w:rPr>
          <w:rFonts w:ascii="Arial" w:eastAsia="Arial" w:hAnsi="Arial" w:cs="Arial"/>
          <w:color w:val="000000"/>
          <w:sz w:val="20"/>
          <w:szCs w:val="20"/>
          <w:lang w:val="es-ES_tradnl"/>
        </w:rPr>
        <w:t xml:space="preserve"> deba acudirse para suscribir contratos de obra pública. Si bien la licitación pública opera como regla general, estos contratos también podrían celebrarse, en ciertos eventos, adelantando previamente otros procesos de selección, por ejemplo, de </w:t>
      </w:r>
      <w:r w:rsidRPr="00D6276C">
        <w:rPr>
          <w:rFonts w:ascii="Arial" w:eastAsia="Arial" w:hAnsi="Arial" w:cs="Arial"/>
          <w:i/>
          <w:iCs/>
          <w:color w:val="000000"/>
          <w:sz w:val="20"/>
          <w:szCs w:val="20"/>
          <w:lang w:val="es-ES_tradnl"/>
        </w:rPr>
        <w:t>selección abreviada</w:t>
      </w:r>
      <w:r w:rsidRPr="00D6276C">
        <w:rPr>
          <w:rFonts w:ascii="Arial" w:eastAsia="Arial" w:hAnsi="Arial" w:cs="Arial"/>
          <w:color w:val="000000"/>
          <w:sz w:val="20"/>
          <w:szCs w:val="20"/>
          <w:lang w:val="es-ES_tradnl"/>
        </w:rPr>
        <w:t xml:space="preserve"> de menor cuantía, de </w:t>
      </w:r>
      <w:r w:rsidRPr="00D6276C">
        <w:rPr>
          <w:rFonts w:ascii="Arial" w:eastAsia="Arial" w:hAnsi="Arial" w:cs="Arial"/>
          <w:i/>
          <w:iCs/>
          <w:color w:val="000000"/>
          <w:sz w:val="20"/>
          <w:szCs w:val="20"/>
          <w:lang w:val="es-ES_tradnl"/>
        </w:rPr>
        <w:t>mínima cuantía</w:t>
      </w:r>
      <w:r w:rsidRPr="00D6276C">
        <w:rPr>
          <w:rFonts w:ascii="Arial" w:eastAsia="Arial" w:hAnsi="Arial" w:cs="Arial"/>
          <w:color w:val="000000"/>
          <w:sz w:val="20"/>
          <w:szCs w:val="20"/>
          <w:lang w:val="es-ES_tradnl"/>
        </w:rPr>
        <w:t xml:space="preserve"> –cuando no excedan el 10% de la menor cuantía– o de </w:t>
      </w:r>
      <w:r w:rsidRPr="00D6276C">
        <w:rPr>
          <w:rFonts w:ascii="Arial" w:eastAsia="Arial" w:hAnsi="Arial" w:cs="Arial"/>
          <w:i/>
          <w:iCs/>
          <w:color w:val="000000"/>
          <w:sz w:val="20"/>
          <w:szCs w:val="20"/>
          <w:lang w:val="es-ES_tradnl"/>
        </w:rPr>
        <w:t>contratación directa</w:t>
      </w:r>
      <w:r w:rsidRPr="00D6276C">
        <w:rPr>
          <w:rFonts w:ascii="Arial" w:eastAsia="Arial" w:hAnsi="Arial" w:cs="Arial"/>
          <w:color w:val="000000"/>
          <w:sz w:val="20"/>
          <w:szCs w:val="20"/>
          <w:lang w:val="es-ES_tradnl"/>
        </w:rPr>
        <w:t xml:space="preserve"> –como sucede en eventos de urgencia manifiesta o en contratos interadministrativos–.</w:t>
      </w:r>
    </w:p>
    <w:p w14:paraId="11AFA23A" w14:textId="19EF42E5" w:rsidR="003D4928" w:rsidRDefault="003D4928" w:rsidP="00D6276C">
      <w:pPr>
        <w:jc w:val="both"/>
        <w:rPr>
          <w:rFonts w:ascii="Arial" w:eastAsia="Arial" w:hAnsi="Arial" w:cs="Arial"/>
          <w:color w:val="000000"/>
          <w:sz w:val="20"/>
          <w:szCs w:val="20"/>
          <w:lang w:val="es-ES_tradnl"/>
        </w:rPr>
      </w:pPr>
    </w:p>
    <w:p w14:paraId="36420275" w14:textId="77777777" w:rsidR="003D4928" w:rsidRPr="00CB63BD" w:rsidRDefault="003D4928" w:rsidP="003D4928">
      <w:pPr>
        <w:jc w:val="both"/>
        <w:rPr>
          <w:rFonts w:ascii="Arial" w:eastAsia="Calibri" w:hAnsi="Arial" w:cs="Arial"/>
          <w:color w:val="000000"/>
          <w:sz w:val="14"/>
          <w:szCs w:val="14"/>
          <w:lang w:val="es-MX" w:eastAsia="en-US"/>
        </w:rPr>
      </w:pPr>
      <w:r w:rsidRPr="00CB63BD">
        <w:rPr>
          <w:rFonts w:ascii="Arial" w:eastAsia="Calibri" w:hAnsi="Arial" w:cs="Arial"/>
          <w:b/>
          <w:bCs/>
          <w:color w:val="000000"/>
          <w:sz w:val="22"/>
          <w:szCs w:val="22"/>
          <w:lang w:val="es-MX" w:eastAsia="en-US"/>
        </w:rPr>
        <w:t>DOCUMENTOS TIPO – Infraestructura de transporte – Fundamento normativo</w:t>
      </w:r>
    </w:p>
    <w:p w14:paraId="1D650019" w14:textId="77777777" w:rsidR="003D4928" w:rsidRPr="00CB63BD" w:rsidRDefault="003D4928" w:rsidP="003D4928">
      <w:pPr>
        <w:jc w:val="both"/>
        <w:rPr>
          <w:rFonts w:ascii="Arial" w:eastAsia="Calibri" w:hAnsi="Arial" w:cs="Arial"/>
          <w:color w:val="000000"/>
          <w:sz w:val="22"/>
          <w:szCs w:val="22"/>
          <w:lang w:val="es-MX" w:eastAsia="en-US"/>
        </w:rPr>
      </w:pPr>
    </w:p>
    <w:p w14:paraId="46C17E65" w14:textId="77777777" w:rsidR="003D4928" w:rsidRPr="00CB63BD" w:rsidRDefault="003D4928" w:rsidP="003D4928">
      <w:pPr>
        <w:jc w:val="both"/>
        <w:rPr>
          <w:rFonts w:ascii="Arial" w:eastAsia="Calibri" w:hAnsi="Arial" w:cs="Arial"/>
          <w:color w:val="000000"/>
          <w:sz w:val="20"/>
          <w:szCs w:val="20"/>
          <w:lang w:val="es-MX" w:eastAsia="en-US"/>
        </w:rPr>
      </w:pPr>
      <w:r w:rsidRPr="00CB63BD">
        <w:rPr>
          <w:rFonts w:ascii="Arial" w:eastAsia="Calibri" w:hAnsi="Arial" w:cs="Arial"/>
          <w:color w:val="000000"/>
          <w:sz w:val="20"/>
          <w:szCs w:val="20"/>
          <w:lang w:val="es-MX" w:eastAsia="en-US"/>
        </w:rPr>
        <w:t>Los pliegos tipo surgen en el 2007 cuando el legislador facultó al Gobierno Nacional para adoptarlos en la compra o suministro de bienes de características técnicas uniformes. La orientación inicial del proyecto que se convirtió en la Ley 1150 de 2007 era facultar al Gobierno Nacional para adoptar los pliegos tipo en todos los contratos estatales, pues en el proyecto el parágrafo 3º disponía que: «El Gobierno Nacional tendrá la facultad de estandarizar los pliegos de condiciones o términos de referencia y los contratos de las entidades estatales».</w:t>
      </w:r>
    </w:p>
    <w:p w14:paraId="081AD531" w14:textId="77777777" w:rsidR="003D4928" w:rsidRPr="00CB63BD" w:rsidRDefault="003D4928" w:rsidP="003D4928">
      <w:pPr>
        <w:jc w:val="both"/>
        <w:rPr>
          <w:rFonts w:ascii="Arial" w:eastAsia="Calibri" w:hAnsi="Arial" w:cs="Arial"/>
          <w:color w:val="000000"/>
          <w:sz w:val="20"/>
          <w:szCs w:val="20"/>
          <w:lang w:val="es-MX" w:eastAsia="en-US"/>
        </w:rPr>
      </w:pPr>
      <w:r w:rsidRPr="00CB63BD">
        <w:rPr>
          <w:rFonts w:ascii="Arial" w:eastAsia="Calibri" w:hAnsi="Arial" w:cs="Arial"/>
          <w:color w:val="000000"/>
          <w:sz w:val="20"/>
          <w:szCs w:val="20"/>
          <w:lang w:val="es-MX" w:eastAsia="en-US"/>
        </w:rPr>
        <w:t>[…]</w:t>
      </w:r>
    </w:p>
    <w:p w14:paraId="0AE60B09" w14:textId="51FF4ABF" w:rsidR="003D4928" w:rsidRPr="003D4928" w:rsidRDefault="003D4928" w:rsidP="00D6276C">
      <w:pPr>
        <w:jc w:val="both"/>
        <w:rPr>
          <w:rFonts w:ascii="Arial" w:eastAsia="Calibri" w:hAnsi="Arial" w:cs="Arial"/>
          <w:color w:val="000000"/>
          <w:sz w:val="20"/>
          <w:szCs w:val="20"/>
          <w:lang w:eastAsia="en-US"/>
        </w:rPr>
      </w:pPr>
      <w:r w:rsidRPr="00CB63BD">
        <w:rPr>
          <w:rFonts w:ascii="Arial" w:eastAsia="Calibri" w:hAnsi="Arial" w:cs="Arial"/>
          <w:color w:val="000000"/>
          <w:sz w:val="20"/>
          <w:szCs w:val="20"/>
          <w:lang w:eastAsia="en-US"/>
        </w:rPr>
        <w:t>Esta Agencia, analizando la afectación económica que causaron las medidas adoptadas para contener la pandemia COVID – 19 en el país, decidió actualizar los documentos tipo para los procesos de licitación de obra pública y selección abreviada de menor cuantía de infraestructura de transporte y, en consecuencia, adoptó medidas en apoyo a la industria nacional. Por tanto, bajo la competencia prevista en la Ley 2022 de 2020, Colombia Compra Eficiente expidió las Resoluciones No. 240 y 241 del 27 de noviembre 2020 mediante las cuales se adoptan los documentos tipo de licitación de obra pública – versión 3 y de selección abreviada de menor cuantía – versión 2 de infraestructura de transporte, los cuales son obligatorios a partir del 1º de enero de 2021. Incluso, estos se ajustaron mediante la Resolución No. 161 del 17 de junio de 2021, «Por la cual se modifican los documentos tipo adoptados por la Agencia Nacional de Contratación Pública – Colombia Compra Eficiente», para adaptar los documentos tipo a los factores de desempate del artículo 35 de la Ley 2069 de 2020.</w:t>
      </w:r>
    </w:p>
    <w:p w14:paraId="07459730" w14:textId="77777777" w:rsidR="00D6276C" w:rsidRDefault="00D6276C" w:rsidP="005448C8">
      <w:pPr>
        <w:jc w:val="both"/>
        <w:rPr>
          <w:rFonts w:ascii="Arial" w:eastAsia="Calibri" w:hAnsi="Arial" w:cs="Arial"/>
          <w:b/>
          <w:color w:val="000000"/>
          <w:sz w:val="22"/>
          <w:lang w:val="es-ES_tradnl"/>
        </w:rPr>
      </w:pPr>
    </w:p>
    <w:p w14:paraId="14DE9BB8" w14:textId="5470D26E" w:rsidR="005448C8" w:rsidRPr="003F155A" w:rsidRDefault="005448C8" w:rsidP="005448C8">
      <w:pPr>
        <w:jc w:val="both"/>
        <w:rPr>
          <w:rFonts w:ascii="Arial" w:eastAsia="Calibri" w:hAnsi="Arial" w:cs="Arial"/>
          <w:b/>
          <w:color w:val="000000"/>
          <w:sz w:val="22"/>
          <w:lang w:val="es-ES_tradnl"/>
        </w:rPr>
      </w:pPr>
      <w:r w:rsidRPr="003F155A">
        <w:rPr>
          <w:rFonts w:ascii="Arial" w:eastAsia="Calibri" w:hAnsi="Arial" w:cs="Arial"/>
          <w:b/>
          <w:color w:val="000000"/>
          <w:sz w:val="22"/>
          <w:lang w:val="es-ES_tradnl"/>
        </w:rPr>
        <w:t>CONTRATACIÓN DIRECTA – Pluralidad de oferentes – Inexistencia – Dos eventos</w:t>
      </w:r>
    </w:p>
    <w:p w14:paraId="3B088CC8" w14:textId="77777777" w:rsidR="005448C8" w:rsidRPr="003F155A" w:rsidRDefault="005448C8" w:rsidP="005448C8">
      <w:pPr>
        <w:tabs>
          <w:tab w:val="left" w:pos="1816"/>
        </w:tabs>
        <w:jc w:val="both"/>
        <w:rPr>
          <w:rFonts w:ascii="Arial" w:eastAsia="Calibri" w:hAnsi="Arial" w:cs="Arial"/>
          <w:b/>
          <w:color w:val="000000"/>
          <w:sz w:val="22"/>
          <w:lang w:val="es-ES_tradnl"/>
        </w:rPr>
      </w:pPr>
      <w:r w:rsidRPr="003F155A">
        <w:rPr>
          <w:rFonts w:ascii="Arial" w:eastAsia="Calibri" w:hAnsi="Arial" w:cs="Arial"/>
          <w:b/>
          <w:color w:val="000000"/>
          <w:sz w:val="22"/>
          <w:lang w:val="es-ES_tradnl"/>
        </w:rPr>
        <w:t xml:space="preserve"> </w:t>
      </w:r>
      <w:r w:rsidRPr="003F155A">
        <w:rPr>
          <w:rFonts w:ascii="Arial" w:eastAsia="Calibri" w:hAnsi="Arial" w:cs="Arial"/>
          <w:b/>
          <w:color w:val="000000"/>
          <w:sz w:val="22"/>
          <w:lang w:val="es-ES_tradnl"/>
        </w:rPr>
        <w:tab/>
      </w:r>
      <w:r w:rsidRPr="003F155A">
        <w:rPr>
          <w:rFonts w:ascii="Arial" w:eastAsia="Calibri" w:hAnsi="Arial" w:cs="Arial"/>
          <w:color w:val="000000"/>
          <w:sz w:val="20"/>
          <w:szCs w:val="20"/>
          <w:lang w:val="es-ES_tradnl"/>
        </w:rPr>
        <w:t xml:space="preserve"> </w:t>
      </w:r>
    </w:p>
    <w:p w14:paraId="520D9992" w14:textId="77777777" w:rsidR="005448C8" w:rsidRPr="003F155A" w:rsidRDefault="005448C8" w:rsidP="005448C8">
      <w:pPr>
        <w:jc w:val="both"/>
        <w:rPr>
          <w:rFonts w:ascii="Arial" w:eastAsia="Calibri" w:hAnsi="Arial" w:cs="Arial"/>
          <w:color w:val="000000" w:themeColor="text1"/>
          <w:sz w:val="20"/>
          <w:szCs w:val="20"/>
          <w:lang w:val="es-ES_tradnl"/>
        </w:rPr>
      </w:pPr>
      <w:r w:rsidRPr="003F155A">
        <w:rPr>
          <w:rFonts w:ascii="Arial" w:eastAsia="Calibri" w:hAnsi="Arial" w:cs="Arial"/>
          <w:color w:val="000000" w:themeColor="text1"/>
          <w:sz w:val="20"/>
          <w:szCs w:val="20"/>
          <w:lang w:val="es-ES_tradnl"/>
        </w:rPr>
        <w:t>En la actualidad, la disposición normativa vigente para interpretar el alcance de la causal de contratación directa establecida en el artículo 2, numeral 4, literal g), de la Ley 1150 de 2007, está compilada en el artículo 2.2.1.2.1.4.8 del Decreto 1082 de 2015, el cual dispone lo siguiente:</w:t>
      </w:r>
    </w:p>
    <w:p w14:paraId="6EC95BF0" w14:textId="77777777" w:rsidR="005448C8" w:rsidRPr="003F155A" w:rsidRDefault="005448C8" w:rsidP="005448C8">
      <w:pPr>
        <w:jc w:val="both"/>
        <w:rPr>
          <w:rFonts w:ascii="Arial" w:eastAsia="Calibri" w:hAnsi="Arial" w:cs="Arial"/>
          <w:color w:val="000000" w:themeColor="text1"/>
          <w:sz w:val="20"/>
          <w:szCs w:val="20"/>
          <w:lang w:val="es-ES_tradnl"/>
        </w:rPr>
      </w:pPr>
    </w:p>
    <w:p w14:paraId="6D39B3CD" w14:textId="77777777" w:rsidR="00D6276C" w:rsidRDefault="005448C8" w:rsidP="005448C8">
      <w:pPr>
        <w:jc w:val="both"/>
        <w:rPr>
          <w:rFonts w:ascii="Arial" w:eastAsia="Calibri" w:hAnsi="Arial" w:cs="Arial"/>
          <w:color w:val="000000" w:themeColor="text1"/>
          <w:sz w:val="20"/>
          <w:szCs w:val="20"/>
          <w:lang w:val="es-ES_tradnl"/>
        </w:rPr>
      </w:pPr>
      <w:r w:rsidRPr="003F155A">
        <w:rPr>
          <w:rFonts w:ascii="Arial" w:eastAsia="Calibri" w:hAnsi="Arial" w:cs="Arial"/>
          <w:color w:val="000000" w:themeColor="text1"/>
          <w:sz w:val="20"/>
          <w:szCs w:val="20"/>
          <w:lang w:val="es-ES_tradnl"/>
        </w:rPr>
        <w:t>Contratación directa cuando no exista pluralidad de oferentes. Se considera que no existe pluralidad de oferentes cuando existe solamente una persona que puede proveer el bien o el servicio por ser titular de los derechos de propiedad industrial o de los derechos de autor, o por ser proveedor exclusivo en el territorio nacional. Estas circunstancias deben constar en el estudio previo que soporta la contratación.</w:t>
      </w:r>
    </w:p>
    <w:p w14:paraId="3DD90797" w14:textId="59B3BDCD" w:rsidR="005448C8" w:rsidRPr="003F155A" w:rsidRDefault="005448C8" w:rsidP="005448C8">
      <w:pPr>
        <w:jc w:val="both"/>
        <w:rPr>
          <w:rFonts w:ascii="Arial" w:eastAsia="Calibri" w:hAnsi="Arial" w:cs="Arial"/>
          <w:color w:val="000000" w:themeColor="text1"/>
          <w:sz w:val="20"/>
          <w:szCs w:val="20"/>
          <w:lang w:val="es-ES_tradnl"/>
        </w:rPr>
      </w:pPr>
      <w:r w:rsidRPr="003F155A">
        <w:rPr>
          <w:rFonts w:ascii="Arial" w:eastAsia="Calibri" w:hAnsi="Arial" w:cs="Arial"/>
          <w:color w:val="000000" w:themeColor="text1"/>
          <w:sz w:val="20"/>
          <w:szCs w:val="20"/>
          <w:lang w:val="es-ES_tradnl"/>
        </w:rPr>
        <w:t xml:space="preserve"> </w:t>
      </w:r>
    </w:p>
    <w:p w14:paraId="3BF7E383" w14:textId="77777777" w:rsidR="005448C8" w:rsidRPr="003F155A" w:rsidRDefault="005448C8" w:rsidP="005448C8">
      <w:pPr>
        <w:jc w:val="both"/>
        <w:rPr>
          <w:rFonts w:ascii="Arial" w:eastAsia="Calibri" w:hAnsi="Arial" w:cs="Arial"/>
          <w:b/>
          <w:color w:val="000000"/>
          <w:sz w:val="22"/>
          <w:lang w:val="es-ES_tradnl"/>
        </w:rPr>
      </w:pPr>
      <w:r w:rsidRPr="003F155A">
        <w:rPr>
          <w:rFonts w:ascii="Arial" w:eastAsia="Calibri" w:hAnsi="Arial" w:cs="Arial"/>
          <w:b/>
          <w:color w:val="000000"/>
          <w:sz w:val="22"/>
          <w:lang w:val="es-ES_tradnl"/>
        </w:rPr>
        <w:t>ÚNICO PROVEEDOR – Titular – Propiedad industrial – Derechos de autor</w:t>
      </w:r>
    </w:p>
    <w:p w14:paraId="2FDFE8B1" w14:textId="77777777" w:rsidR="005448C8" w:rsidRPr="003F155A" w:rsidRDefault="005448C8" w:rsidP="005448C8">
      <w:pPr>
        <w:tabs>
          <w:tab w:val="left" w:pos="1816"/>
        </w:tabs>
        <w:jc w:val="both"/>
        <w:rPr>
          <w:rFonts w:ascii="Arial" w:eastAsia="Calibri" w:hAnsi="Arial" w:cs="Arial"/>
          <w:b/>
          <w:color w:val="000000"/>
          <w:sz w:val="22"/>
          <w:lang w:val="es-ES_tradnl"/>
        </w:rPr>
      </w:pPr>
      <w:r w:rsidRPr="003F155A">
        <w:rPr>
          <w:rFonts w:ascii="Arial" w:eastAsia="Calibri" w:hAnsi="Arial" w:cs="Arial"/>
          <w:b/>
          <w:color w:val="000000"/>
          <w:sz w:val="22"/>
          <w:lang w:val="es-ES_tradnl"/>
        </w:rPr>
        <w:t xml:space="preserve"> </w:t>
      </w:r>
      <w:r w:rsidRPr="003F155A">
        <w:rPr>
          <w:rFonts w:ascii="Arial" w:eastAsia="Calibri" w:hAnsi="Arial" w:cs="Arial"/>
          <w:b/>
          <w:color w:val="000000"/>
          <w:sz w:val="22"/>
          <w:lang w:val="es-ES_tradnl"/>
        </w:rPr>
        <w:tab/>
      </w:r>
      <w:r w:rsidRPr="003F155A">
        <w:rPr>
          <w:rFonts w:ascii="Arial" w:eastAsia="Calibri" w:hAnsi="Arial" w:cs="Arial"/>
          <w:color w:val="000000"/>
          <w:sz w:val="20"/>
          <w:szCs w:val="20"/>
          <w:lang w:val="es-ES_tradnl"/>
        </w:rPr>
        <w:t xml:space="preserve"> </w:t>
      </w:r>
    </w:p>
    <w:p w14:paraId="3BEE8872" w14:textId="77777777" w:rsidR="005448C8" w:rsidRPr="003F155A" w:rsidRDefault="005448C8" w:rsidP="005448C8">
      <w:pPr>
        <w:jc w:val="both"/>
        <w:rPr>
          <w:rFonts w:ascii="Arial" w:eastAsia="Calibri" w:hAnsi="Arial" w:cs="Arial"/>
          <w:color w:val="000000" w:themeColor="text1"/>
          <w:sz w:val="20"/>
          <w:szCs w:val="20"/>
          <w:lang w:val="es-ES_tradnl"/>
        </w:rPr>
      </w:pPr>
      <w:r w:rsidRPr="003F155A">
        <w:rPr>
          <w:rFonts w:ascii="Arial" w:eastAsia="Calibri" w:hAnsi="Arial" w:cs="Arial"/>
          <w:color w:val="000000" w:themeColor="text1"/>
          <w:sz w:val="20"/>
          <w:szCs w:val="20"/>
          <w:lang w:val="es-ES_tradnl"/>
        </w:rPr>
        <w:t xml:space="preserve">[…] </w:t>
      </w:r>
      <w:r w:rsidRPr="003F155A">
        <w:rPr>
          <w:rFonts w:ascii="Arial" w:eastAsia="Calibri" w:hAnsi="Arial" w:cs="Arial"/>
          <w:i/>
          <w:iCs/>
          <w:color w:val="000000" w:themeColor="text1"/>
          <w:sz w:val="20"/>
          <w:szCs w:val="20"/>
          <w:lang w:val="es-ES_tradnl"/>
        </w:rPr>
        <w:t>En primer lugar</w:t>
      </w:r>
      <w:r w:rsidRPr="003F155A">
        <w:rPr>
          <w:rFonts w:ascii="Arial" w:eastAsia="Calibri" w:hAnsi="Arial" w:cs="Arial"/>
          <w:color w:val="000000" w:themeColor="text1"/>
          <w:sz w:val="20"/>
          <w:szCs w:val="20"/>
          <w:lang w:val="es-ES_tradnl"/>
        </w:rPr>
        <w:t xml:space="preserve">, no existe pluralidad de oferentes cuando solo una persona puede proveer el bien o servicio por ser titular de los derechos de propiedad industrial o de los derechos de autor. De </w:t>
      </w:r>
      <w:r w:rsidRPr="003F155A">
        <w:rPr>
          <w:rFonts w:ascii="Arial" w:eastAsia="Calibri" w:hAnsi="Arial" w:cs="Arial"/>
          <w:color w:val="000000" w:themeColor="text1"/>
          <w:sz w:val="20"/>
          <w:szCs w:val="20"/>
          <w:lang w:val="es-ES_tradnl"/>
        </w:rPr>
        <w:lastRenderedPageBreak/>
        <w:t xml:space="preserve">esta manera, no basta con que sea la única persona capaz de ejecutar el contrato, pues se debe justificar una situación de derecho que impida que otra lo haga de forma igual o similar. </w:t>
      </w:r>
    </w:p>
    <w:p w14:paraId="48F55574" w14:textId="77777777" w:rsidR="005448C8" w:rsidRPr="003F155A" w:rsidRDefault="005448C8" w:rsidP="005448C8">
      <w:pPr>
        <w:spacing w:line="276" w:lineRule="auto"/>
        <w:jc w:val="both"/>
        <w:rPr>
          <w:rFonts w:ascii="Arial" w:eastAsia="Calibri" w:hAnsi="Arial" w:cs="Arial"/>
          <w:color w:val="000000" w:themeColor="text1"/>
          <w:sz w:val="22"/>
          <w:lang w:val="es-ES_tradnl"/>
        </w:rPr>
      </w:pPr>
    </w:p>
    <w:p w14:paraId="06DC2D65" w14:textId="77777777" w:rsidR="005448C8" w:rsidRPr="003F155A" w:rsidRDefault="005448C8" w:rsidP="005448C8">
      <w:pPr>
        <w:jc w:val="both"/>
        <w:rPr>
          <w:rFonts w:ascii="Arial" w:eastAsia="Calibri" w:hAnsi="Arial" w:cs="Arial"/>
          <w:b/>
          <w:color w:val="000000"/>
          <w:sz w:val="22"/>
          <w:lang w:val="es-ES_tradnl"/>
        </w:rPr>
      </w:pPr>
      <w:r w:rsidRPr="003F155A">
        <w:rPr>
          <w:rFonts w:ascii="Arial" w:eastAsia="Calibri" w:hAnsi="Arial" w:cs="Arial"/>
          <w:b/>
          <w:color w:val="000000"/>
          <w:sz w:val="22"/>
          <w:lang w:val="es-ES_tradnl"/>
        </w:rPr>
        <w:t>ÚNICO PROVEEDOR – Proveedor exclusivo – Territorio nacional</w:t>
      </w:r>
    </w:p>
    <w:p w14:paraId="47C61E88" w14:textId="77777777" w:rsidR="005448C8" w:rsidRPr="003F155A" w:rsidRDefault="005448C8" w:rsidP="005448C8">
      <w:pPr>
        <w:tabs>
          <w:tab w:val="left" w:pos="1816"/>
        </w:tabs>
        <w:jc w:val="both"/>
        <w:rPr>
          <w:rFonts w:ascii="Arial" w:eastAsia="Calibri" w:hAnsi="Arial" w:cs="Arial"/>
          <w:b/>
          <w:color w:val="000000"/>
          <w:sz w:val="22"/>
          <w:lang w:val="es-ES_tradnl"/>
        </w:rPr>
      </w:pPr>
      <w:r w:rsidRPr="003F155A">
        <w:rPr>
          <w:rFonts w:ascii="Arial" w:eastAsia="Calibri" w:hAnsi="Arial" w:cs="Arial"/>
          <w:b/>
          <w:color w:val="000000"/>
          <w:sz w:val="22"/>
          <w:lang w:val="es-ES_tradnl"/>
        </w:rPr>
        <w:t xml:space="preserve"> </w:t>
      </w:r>
      <w:r w:rsidRPr="003F155A">
        <w:rPr>
          <w:rFonts w:ascii="Arial" w:eastAsia="Calibri" w:hAnsi="Arial" w:cs="Arial"/>
          <w:b/>
          <w:color w:val="000000"/>
          <w:sz w:val="22"/>
          <w:lang w:val="es-ES_tradnl"/>
        </w:rPr>
        <w:tab/>
      </w:r>
      <w:r w:rsidRPr="003F155A">
        <w:rPr>
          <w:rFonts w:ascii="Arial" w:eastAsia="Calibri" w:hAnsi="Arial" w:cs="Arial"/>
          <w:color w:val="000000"/>
          <w:sz w:val="20"/>
          <w:szCs w:val="20"/>
          <w:lang w:val="es-ES_tradnl"/>
        </w:rPr>
        <w:t xml:space="preserve"> </w:t>
      </w:r>
    </w:p>
    <w:p w14:paraId="168E3302" w14:textId="77777777" w:rsidR="005448C8" w:rsidRPr="003F155A" w:rsidRDefault="005448C8" w:rsidP="005448C8">
      <w:pPr>
        <w:jc w:val="both"/>
        <w:rPr>
          <w:rFonts w:ascii="Arial" w:eastAsia="Calibri" w:hAnsi="Arial" w:cs="Arial"/>
          <w:color w:val="000000" w:themeColor="text1"/>
          <w:sz w:val="20"/>
          <w:szCs w:val="20"/>
          <w:lang w:val="es-ES_tradnl"/>
        </w:rPr>
      </w:pPr>
      <w:r w:rsidRPr="003F155A">
        <w:rPr>
          <w:rFonts w:ascii="Arial" w:eastAsia="Calibri" w:hAnsi="Arial" w:cs="Arial"/>
          <w:i/>
          <w:iCs/>
          <w:color w:val="000000" w:themeColor="text1"/>
          <w:sz w:val="20"/>
          <w:szCs w:val="20"/>
          <w:lang w:val="es-ES_tradnl"/>
        </w:rPr>
        <w:t>En segundo lugar</w:t>
      </w:r>
      <w:r w:rsidRPr="003F155A">
        <w:rPr>
          <w:rFonts w:ascii="Arial" w:eastAsia="Calibri" w:hAnsi="Arial" w:cs="Arial"/>
          <w:color w:val="000000" w:themeColor="text1"/>
          <w:sz w:val="20"/>
          <w:szCs w:val="20"/>
          <w:lang w:val="es-ES_tradnl"/>
        </w:rPr>
        <w:t>, el artículo 2.2.1.2.1.4.8 del Decreto 1082 de 2015 dispone que tampoco existe pluralidad de oferentes cuando existe una sola persona que puede celebrar el contrato por ser proveedor exclusivo en el territorio nacional. A modo de ejemplo, esta causal se comprende en el marco de los contratos de colaboración empresarial –agencia, distribución, franquicia, concesión comercial, etc.– que celebran los productores extranjeros con los proveedores nacionales, los cuales contienen usualmente cláusulas de exclusividad como elemento accidental del negocio.</w:t>
      </w:r>
    </w:p>
    <w:p w14:paraId="684780E8" w14:textId="77777777" w:rsidR="005448C8" w:rsidRPr="003F155A" w:rsidRDefault="005448C8" w:rsidP="005448C8">
      <w:pPr>
        <w:jc w:val="both"/>
        <w:rPr>
          <w:rFonts w:ascii="Arial" w:eastAsia="Calibri" w:hAnsi="Arial" w:cs="Arial"/>
          <w:b/>
          <w:sz w:val="22"/>
          <w:lang w:val="es-ES_tradnl"/>
        </w:rPr>
      </w:pPr>
    </w:p>
    <w:p w14:paraId="1A29326E" w14:textId="77777777" w:rsidR="005448C8" w:rsidRPr="003F155A" w:rsidRDefault="005448C8" w:rsidP="005448C8">
      <w:pPr>
        <w:jc w:val="both"/>
        <w:rPr>
          <w:rFonts w:ascii="Arial" w:eastAsia="Calibri" w:hAnsi="Arial" w:cs="Arial"/>
          <w:b/>
          <w:color w:val="000000"/>
          <w:sz w:val="22"/>
          <w:lang w:val="es-ES_tradnl"/>
        </w:rPr>
      </w:pPr>
      <w:r w:rsidRPr="003F155A">
        <w:rPr>
          <w:rFonts w:ascii="Arial" w:eastAsia="Calibri" w:hAnsi="Arial" w:cs="Arial"/>
          <w:b/>
          <w:color w:val="000000"/>
          <w:sz w:val="22"/>
          <w:lang w:val="es-ES_tradnl"/>
        </w:rPr>
        <w:t>PATENTE – Monopolio – Explotación – Contingente</w:t>
      </w:r>
    </w:p>
    <w:p w14:paraId="398059E3" w14:textId="77777777" w:rsidR="005448C8" w:rsidRPr="003F155A" w:rsidRDefault="005448C8" w:rsidP="005448C8">
      <w:pPr>
        <w:tabs>
          <w:tab w:val="left" w:pos="1816"/>
        </w:tabs>
        <w:jc w:val="both"/>
        <w:rPr>
          <w:rFonts w:ascii="Arial" w:eastAsia="Calibri" w:hAnsi="Arial" w:cs="Arial"/>
          <w:b/>
          <w:color w:val="000000"/>
          <w:sz w:val="22"/>
          <w:lang w:val="es-ES_tradnl"/>
        </w:rPr>
      </w:pPr>
      <w:r w:rsidRPr="003F155A">
        <w:rPr>
          <w:rFonts w:ascii="Arial" w:eastAsia="Calibri" w:hAnsi="Arial" w:cs="Arial"/>
          <w:b/>
          <w:color w:val="000000"/>
          <w:sz w:val="22"/>
          <w:lang w:val="es-ES_tradnl"/>
        </w:rPr>
        <w:t xml:space="preserve"> </w:t>
      </w:r>
      <w:r w:rsidRPr="003F155A">
        <w:rPr>
          <w:rFonts w:ascii="Arial" w:eastAsia="Calibri" w:hAnsi="Arial" w:cs="Arial"/>
          <w:b/>
          <w:color w:val="000000"/>
          <w:sz w:val="22"/>
          <w:lang w:val="es-ES_tradnl"/>
        </w:rPr>
        <w:tab/>
      </w:r>
      <w:r w:rsidRPr="003F155A">
        <w:rPr>
          <w:rFonts w:ascii="Arial" w:eastAsia="Calibri" w:hAnsi="Arial" w:cs="Arial"/>
          <w:color w:val="000000"/>
          <w:sz w:val="20"/>
          <w:szCs w:val="20"/>
          <w:lang w:val="es-ES_tradnl"/>
        </w:rPr>
        <w:t xml:space="preserve"> </w:t>
      </w:r>
    </w:p>
    <w:p w14:paraId="0C052E96" w14:textId="6A0D77F0" w:rsidR="005448C8" w:rsidRPr="003F155A" w:rsidRDefault="005448C8" w:rsidP="005448C8">
      <w:pPr>
        <w:jc w:val="both"/>
        <w:rPr>
          <w:rFonts w:ascii="Arial" w:eastAsia="Calibri" w:hAnsi="Arial" w:cs="Arial"/>
          <w:b/>
          <w:sz w:val="22"/>
          <w:lang w:val="es-ES_tradnl"/>
        </w:rPr>
      </w:pPr>
      <w:r w:rsidRPr="003F155A">
        <w:rPr>
          <w:rFonts w:ascii="Arial" w:eastAsia="Calibri" w:hAnsi="Arial" w:cs="Arial"/>
          <w:color w:val="000000" w:themeColor="text1"/>
          <w:sz w:val="20"/>
          <w:szCs w:val="20"/>
          <w:lang w:val="es-ES_tradnl"/>
        </w:rPr>
        <w:t>La concesión de una «patente» constituye un acto jurídico que permite acreditar la titularidad de los derechos de propiedad industrial de un invento y que en principio otorga exclusividad en su explotación. Sin embargo, esta situación es contingente. En otra</w:t>
      </w:r>
      <w:r w:rsidR="004F141C">
        <w:rPr>
          <w:rFonts w:ascii="Arial" w:eastAsia="Calibri" w:hAnsi="Arial" w:cs="Arial"/>
          <w:color w:val="000000" w:themeColor="text1"/>
          <w:sz w:val="20"/>
          <w:szCs w:val="20"/>
          <w:lang w:val="es-ES_tradnl"/>
        </w:rPr>
        <w:t>s</w:t>
      </w:r>
      <w:r w:rsidRPr="003F155A">
        <w:rPr>
          <w:rFonts w:ascii="Arial" w:eastAsia="Calibri" w:hAnsi="Arial" w:cs="Arial"/>
          <w:color w:val="000000" w:themeColor="text1"/>
          <w:sz w:val="20"/>
          <w:szCs w:val="20"/>
          <w:lang w:val="es-ES_tradnl"/>
        </w:rPr>
        <w:t xml:space="preserve"> palabras, no es inexorable, pues también es posible que el titular de una patente autorice su comercialización por parte de otros proveedores, verbigracia, a través del licenciamiento de </w:t>
      </w:r>
      <w:proofErr w:type="gramStart"/>
      <w:r w:rsidRPr="003F155A">
        <w:rPr>
          <w:rFonts w:ascii="Arial" w:eastAsia="Calibri" w:hAnsi="Arial" w:cs="Arial"/>
          <w:color w:val="000000" w:themeColor="text1"/>
          <w:sz w:val="20"/>
          <w:szCs w:val="20"/>
          <w:lang w:val="es-ES_tradnl"/>
        </w:rPr>
        <w:t>la misma</w:t>
      </w:r>
      <w:proofErr w:type="gramEnd"/>
      <w:r w:rsidRPr="003F155A">
        <w:rPr>
          <w:rFonts w:ascii="Arial" w:eastAsia="Calibri" w:hAnsi="Arial" w:cs="Arial"/>
          <w:color w:val="000000" w:themeColor="text1"/>
          <w:sz w:val="20"/>
          <w:szCs w:val="20"/>
          <w:lang w:val="es-ES_tradnl"/>
        </w:rPr>
        <w:t>. De suceder esto, no puede afirmarse la ausencia de pluralidad de oferentes en el mercado. En consecuencia, tampoco se configuraría la causal del artículo 2, numeral 4º, literal g), de la Ley 1150 de 2007.</w:t>
      </w:r>
    </w:p>
    <w:p w14:paraId="3DD8F128" w14:textId="77777777" w:rsidR="005448C8" w:rsidRPr="003F155A" w:rsidRDefault="005448C8" w:rsidP="005448C8">
      <w:pPr>
        <w:tabs>
          <w:tab w:val="left" w:pos="709"/>
        </w:tabs>
        <w:jc w:val="both"/>
        <w:rPr>
          <w:rFonts w:ascii="Arial" w:eastAsia="Arial" w:hAnsi="Arial" w:cs="Arial"/>
          <w:sz w:val="20"/>
          <w:szCs w:val="20"/>
          <w:lang w:val="es-ES_tradnl"/>
        </w:rPr>
      </w:pPr>
    </w:p>
    <w:p w14:paraId="46A85C01" w14:textId="77777777" w:rsidR="005448C8" w:rsidRPr="003F155A" w:rsidRDefault="005448C8" w:rsidP="005448C8">
      <w:pPr>
        <w:jc w:val="both"/>
        <w:rPr>
          <w:rFonts w:ascii="Arial" w:eastAsia="Calibri" w:hAnsi="Arial" w:cs="Arial"/>
          <w:b/>
          <w:color w:val="000000"/>
          <w:sz w:val="22"/>
          <w:lang w:val="es-ES_tradnl"/>
        </w:rPr>
      </w:pPr>
      <w:r w:rsidRPr="003F155A">
        <w:rPr>
          <w:rFonts w:ascii="Arial" w:eastAsia="Calibri" w:hAnsi="Arial" w:cs="Arial"/>
          <w:b/>
          <w:color w:val="000000"/>
          <w:sz w:val="22"/>
          <w:lang w:val="es-ES_tradnl"/>
        </w:rPr>
        <w:t xml:space="preserve">PATENTE – Proveedor exclusivo – Licenciamiento </w:t>
      </w:r>
    </w:p>
    <w:p w14:paraId="43DE6F59" w14:textId="77777777" w:rsidR="005448C8" w:rsidRPr="003F155A" w:rsidRDefault="005448C8" w:rsidP="005448C8">
      <w:pPr>
        <w:tabs>
          <w:tab w:val="left" w:pos="1816"/>
        </w:tabs>
        <w:jc w:val="both"/>
        <w:rPr>
          <w:rFonts w:ascii="Arial" w:eastAsia="Calibri" w:hAnsi="Arial" w:cs="Arial"/>
          <w:b/>
          <w:color w:val="000000"/>
          <w:sz w:val="22"/>
          <w:lang w:val="es-ES_tradnl"/>
        </w:rPr>
      </w:pPr>
      <w:r w:rsidRPr="003F155A">
        <w:rPr>
          <w:rFonts w:ascii="Arial" w:eastAsia="Calibri" w:hAnsi="Arial" w:cs="Arial"/>
          <w:b/>
          <w:color w:val="000000"/>
          <w:sz w:val="22"/>
          <w:lang w:val="es-ES_tradnl"/>
        </w:rPr>
        <w:t xml:space="preserve"> </w:t>
      </w:r>
      <w:r w:rsidRPr="003F155A">
        <w:rPr>
          <w:rFonts w:ascii="Arial" w:eastAsia="Calibri" w:hAnsi="Arial" w:cs="Arial"/>
          <w:b/>
          <w:color w:val="000000"/>
          <w:sz w:val="22"/>
          <w:lang w:val="es-ES_tradnl"/>
        </w:rPr>
        <w:tab/>
      </w:r>
      <w:r w:rsidRPr="003F155A">
        <w:rPr>
          <w:rFonts w:ascii="Arial" w:eastAsia="Calibri" w:hAnsi="Arial" w:cs="Arial"/>
          <w:color w:val="000000"/>
          <w:sz w:val="20"/>
          <w:szCs w:val="20"/>
          <w:lang w:val="es-ES_tradnl"/>
        </w:rPr>
        <w:t xml:space="preserve"> </w:t>
      </w:r>
    </w:p>
    <w:p w14:paraId="47629321" w14:textId="77777777" w:rsidR="005448C8" w:rsidRPr="003F155A" w:rsidRDefault="005448C8" w:rsidP="005448C8">
      <w:pPr>
        <w:tabs>
          <w:tab w:val="left" w:pos="709"/>
        </w:tabs>
        <w:jc w:val="both"/>
        <w:rPr>
          <w:rFonts w:ascii="Arial" w:eastAsia="Calibri" w:hAnsi="Arial" w:cs="Arial"/>
          <w:color w:val="000000" w:themeColor="text1"/>
          <w:sz w:val="20"/>
          <w:szCs w:val="20"/>
          <w:lang w:val="es-ES_tradnl"/>
        </w:rPr>
      </w:pPr>
      <w:r w:rsidRPr="003F155A">
        <w:rPr>
          <w:rFonts w:ascii="Arial" w:eastAsia="Calibri" w:hAnsi="Arial" w:cs="Arial"/>
          <w:color w:val="000000" w:themeColor="text1"/>
          <w:sz w:val="20"/>
          <w:szCs w:val="20"/>
          <w:lang w:val="es-ES_tradnl"/>
        </w:rPr>
        <w:t xml:space="preserve">Lo anterior permite concluir, entonces, que no siempre que existe una patente hay un único proveedor; o, </w:t>
      </w:r>
      <w:proofErr w:type="gramStart"/>
      <w:r w:rsidRPr="003F155A">
        <w:rPr>
          <w:rFonts w:ascii="Arial" w:eastAsia="Calibri" w:hAnsi="Arial" w:cs="Arial"/>
          <w:color w:val="000000" w:themeColor="text1"/>
          <w:sz w:val="20"/>
          <w:szCs w:val="20"/>
          <w:lang w:val="es-ES_tradnl"/>
        </w:rPr>
        <w:t>dicho</w:t>
      </w:r>
      <w:proofErr w:type="gramEnd"/>
      <w:r w:rsidRPr="003F155A">
        <w:rPr>
          <w:rFonts w:ascii="Arial" w:eastAsia="Calibri" w:hAnsi="Arial" w:cs="Arial"/>
          <w:color w:val="000000" w:themeColor="text1"/>
          <w:sz w:val="20"/>
          <w:szCs w:val="20"/>
          <w:lang w:val="es-ES_tradnl"/>
        </w:rPr>
        <w:t xml:space="preserve"> en otros términos, que la patente, por sí misma, no es algo que permita predicar de manera inequívoca la inexistencia de pluralidad de oferentes en el mercado, puesto que, como se ha expuesto, es factible que el titular de la patente haya concedido licencias para la explotación de la invención a varios sujetos, los cuales podrían concurrir a procedimientos de selección plurales.</w:t>
      </w:r>
    </w:p>
    <w:p w14:paraId="2BB3451D" w14:textId="77777777" w:rsidR="005448C8" w:rsidRPr="003F155A" w:rsidRDefault="005448C8" w:rsidP="005448C8">
      <w:pPr>
        <w:tabs>
          <w:tab w:val="left" w:pos="709"/>
        </w:tabs>
        <w:jc w:val="both"/>
        <w:rPr>
          <w:rFonts w:ascii="Arial" w:eastAsia="Calibri" w:hAnsi="Arial" w:cs="Arial"/>
          <w:color w:val="000000" w:themeColor="text1"/>
          <w:sz w:val="20"/>
          <w:szCs w:val="20"/>
          <w:lang w:val="es-ES_tradnl"/>
        </w:rPr>
      </w:pPr>
    </w:p>
    <w:p w14:paraId="176F2122" w14:textId="77777777" w:rsidR="005448C8" w:rsidRPr="003F155A" w:rsidRDefault="005448C8" w:rsidP="005448C8">
      <w:pPr>
        <w:tabs>
          <w:tab w:val="left" w:pos="709"/>
        </w:tabs>
        <w:jc w:val="both"/>
        <w:rPr>
          <w:rFonts w:ascii="Arial" w:eastAsia="Calibri" w:hAnsi="Arial" w:cs="Arial"/>
          <w:color w:val="000000" w:themeColor="text1"/>
          <w:sz w:val="20"/>
          <w:szCs w:val="20"/>
          <w:lang w:val="es-ES_tradnl"/>
        </w:rPr>
      </w:pPr>
      <w:r w:rsidRPr="003F155A">
        <w:rPr>
          <w:rFonts w:ascii="Arial" w:eastAsia="Calibri" w:hAnsi="Arial" w:cs="Arial"/>
          <w:color w:val="000000" w:themeColor="text1"/>
          <w:sz w:val="20"/>
          <w:szCs w:val="20"/>
          <w:lang w:val="es-ES_tradnl"/>
        </w:rPr>
        <w:t xml:space="preserve">Por otra parte, la entidad estatal que requiera adquirir determinado bien o servicio, en los estudios previos, debe identificar si su necesidad solo puede satisfacerse con la invención patentada. Además, podría presentarse el caso de </w:t>
      </w:r>
      <w:proofErr w:type="gramStart"/>
      <w:r w:rsidRPr="003F155A">
        <w:rPr>
          <w:rFonts w:ascii="Arial" w:eastAsia="Calibri" w:hAnsi="Arial" w:cs="Arial"/>
          <w:color w:val="000000" w:themeColor="text1"/>
          <w:sz w:val="20"/>
          <w:szCs w:val="20"/>
          <w:lang w:val="es-ES_tradnl"/>
        </w:rPr>
        <w:t>que</w:t>
      </w:r>
      <w:proofErr w:type="gramEnd"/>
      <w:r w:rsidRPr="003F155A">
        <w:rPr>
          <w:rFonts w:ascii="Arial" w:eastAsia="Calibri" w:hAnsi="Arial" w:cs="Arial"/>
          <w:color w:val="000000" w:themeColor="text1"/>
          <w:sz w:val="20"/>
          <w:szCs w:val="20"/>
          <w:lang w:val="es-ES_tradnl"/>
        </w:rPr>
        <w:t xml:space="preserve"> a pesar de la existencia de la patente, la necesidad pueda ser suplida por otros bienes o servicios, evento en el cual habría pluralidad de potenciales proveedores y no podría aplicarse la causal de contratación directa por la cual se indaga en la consulta.</w:t>
      </w:r>
    </w:p>
    <w:p w14:paraId="30A0730C" w14:textId="77777777" w:rsidR="007B53DA" w:rsidRPr="003F155A" w:rsidRDefault="007B53DA" w:rsidP="007B53DA">
      <w:pPr>
        <w:jc w:val="both"/>
        <w:rPr>
          <w:rFonts w:ascii="Arial" w:hAnsi="Arial" w:cs="Arial"/>
          <w:b/>
          <w:bCs/>
          <w:sz w:val="20"/>
          <w:szCs w:val="20"/>
          <w:highlight w:val="yellow"/>
          <w:lang w:val="es-ES_tradnl"/>
        </w:rPr>
      </w:pPr>
    </w:p>
    <w:p w14:paraId="49BFB92B" w14:textId="77777777" w:rsidR="00DE41C4" w:rsidRPr="003F155A" w:rsidRDefault="00DE41C4" w:rsidP="00B95C30">
      <w:pPr>
        <w:spacing w:line="276" w:lineRule="auto"/>
        <w:jc w:val="both"/>
        <w:rPr>
          <w:rFonts w:ascii="Arial" w:hAnsi="Arial" w:cs="Arial"/>
          <w:noProof/>
          <w:color w:val="000000" w:themeColor="text1"/>
          <w:sz w:val="22"/>
          <w:lang w:val="es-ES_tradnl"/>
        </w:rPr>
      </w:pPr>
    </w:p>
    <w:p w14:paraId="1CA3C6FD" w14:textId="77777777" w:rsidR="006A103E" w:rsidRDefault="006A103E" w:rsidP="00B95C30">
      <w:pPr>
        <w:spacing w:line="276" w:lineRule="auto"/>
        <w:jc w:val="both"/>
        <w:rPr>
          <w:rFonts w:ascii="Arial" w:hAnsi="Arial" w:cs="Arial"/>
          <w:noProof/>
          <w:color w:val="000000" w:themeColor="text1"/>
          <w:sz w:val="22"/>
          <w:lang w:val="es-ES_tradnl"/>
        </w:rPr>
      </w:pPr>
    </w:p>
    <w:p w14:paraId="212C3425" w14:textId="77777777" w:rsidR="006A103E" w:rsidRDefault="006A103E" w:rsidP="00B95C30">
      <w:pPr>
        <w:spacing w:line="276" w:lineRule="auto"/>
        <w:jc w:val="both"/>
        <w:rPr>
          <w:rFonts w:ascii="Arial" w:hAnsi="Arial" w:cs="Arial"/>
          <w:noProof/>
          <w:color w:val="000000" w:themeColor="text1"/>
          <w:sz w:val="22"/>
          <w:lang w:val="es-ES_tradnl"/>
        </w:rPr>
      </w:pPr>
    </w:p>
    <w:p w14:paraId="23B81988" w14:textId="77777777" w:rsidR="006A103E" w:rsidRDefault="006A103E" w:rsidP="00B95C30">
      <w:pPr>
        <w:spacing w:line="276" w:lineRule="auto"/>
        <w:jc w:val="both"/>
        <w:rPr>
          <w:rFonts w:ascii="Arial" w:hAnsi="Arial" w:cs="Arial"/>
          <w:noProof/>
          <w:color w:val="000000" w:themeColor="text1"/>
          <w:sz w:val="22"/>
          <w:lang w:val="es-ES_tradnl"/>
        </w:rPr>
      </w:pPr>
    </w:p>
    <w:p w14:paraId="7F141346" w14:textId="77777777" w:rsidR="006A103E" w:rsidRDefault="006A103E" w:rsidP="00B95C30">
      <w:pPr>
        <w:spacing w:line="276" w:lineRule="auto"/>
        <w:jc w:val="both"/>
        <w:rPr>
          <w:rFonts w:ascii="Arial" w:hAnsi="Arial" w:cs="Arial"/>
          <w:noProof/>
          <w:color w:val="000000" w:themeColor="text1"/>
          <w:sz w:val="22"/>
          <w:lang w:val="es-ES_tradnl"/>
        </w:rPr>
      </w:pPr>
    </w:p>
    <w:p w14:paraId="35F9C188" w14:textId="77777777" w:rsidR="006A103E" w:rsidRDefault="006A103E" w:rsidP="00B95C30">
      <w:pPr>
        <w:spacing w:line="276" w:lineRule="auto"/>
        <w:jc w:val="both"/>
        <w:rPr>
          <w:rFonts w:ascii="Arial" w:hAnsi="Arial" w:cs="Arial"/>
          <w:noProof/>
          <w:color w:val="000000" w:themeColor="text1"/>
          <w:sz w:val="22"/>
          <w:lang w:val="es-ES_tradnl"/>
        </w:rPr>
      </w:pPr>
    </w:p>
    <w:p w14:paraId="27AE6400" w14:textId="4789AE09" w:rsidR="006A103E" w:rsidRDefault="006A103E" w:rsidP="00B95C30">
      <w:pPr>
        <w:spacing w:line="276" w:lineRule="auto"/>
        <w:jc w:val="both"/>
        <w:rPr>
          <w:rFonts w:ascii="Arial" w:hAnsi="Arial" w:cs="Arial"/>
          <w:noProof/>
          <w:color w:val="000000" w:themeColor="text1"/>
          <w:sz w:val="22"/>
          <w:lang w:val="es-ES_tradnl"/>
        </w:rPr>
      </w:pPr>
    </w:p>
    <w:p w14:paraId="07E66FB5" w14:textId="2E581D77" w:rsidR="00E3781F" w:rsidRDefault="00E3781F" w:rsidP="00B95C30">
      <w:pPr>
        <w:spacing w:line="276" w:lineRule="auto"/>
        <w:jc w:val="both"/>
        <w:rPr>
          <w:rFonts w:ascii="Arial" w:hAnsi="Arial" w:cs="Arial"/>
          <w:noProof/>
          <w:color w:val="000000" w:themeColor="text1"/>
          <w:sz w:val="22"/>
          <w:lang w:val="es-ES_tradnl"/>
        </w:rPr>
      </w:pPr>
    </w:p>
    <w:p w14:paraId="056F263E" w14:textId="141ABAFE" w:rsidR="00E3781F" w:rsidRDefault="00E3781F" w:rsidP="00B95C30">
      <w:pPr>
        <w:spacing w:line="276" w:lineRule="auto"/>
        <w:jc w:val="both"/>
        <w:rPr>
          <w:rFonts w:ascii="Arial" w:hAnsi="Arial" w:cs="Arial"/>
          <w:noProof/>
          <w:color w:val="000000" w:themeColor="text1"/>
          <w:sz w:val="22"/>
          <w:lang w:val="es-ES_tradnl"/>
        </w:rPr>
      </w:pPr>
    </w:p>
    <w:p w14:paraId="60846B07" w14:textId="77777777" w:rsidR="00E3781F" w:rsidRDefault="00E3781F" w:rsidP="00B95C30">
      <w:pPr>
        <w:spacing w:line="276" w:lineRule="auto"/>
        <w:jc w:val="both"/>
        <w:rPr>
          <w:rFonts w:ascii="Arial" w:hAnsi="Arial" w:cs="Arial"/>
          <w:noProof/>
          <w:color w:val="000000" w:themeColor="text1"/>
          <w:sz w:val="22"/>
          <w:lang w:val="es-ES_tradnl"/>
        </w:rPr>
      </w:pPr>
    </w:p>
    <w:p w14:paraId="59D44E07" w14:textId="77777777" w:rsidR="006A103E" w:rsidRDefault="006A103E" w:rsidP="00B95C30">
      <w:pPr>
        <w:spacing w:line="276" w:lineRule="auto"/>
        <w:jc w:val="both"/>
        <w:rPr>
          <w:rFonts w:ascii="Arial" w:hAnsi="Arial" w:cs="Arial"/>
          <w:noProof/>
          <w:color w:val="000000" w:themeColor="text1"/>
          <w:sz w:val="22"/>
          <w:lang w:val="es-ES_tradnl"/>
        </w:rPr>
      </w:pPr>
    </w:p>
    <w:p w14:paraId="6A8A869B" w14:textId="1143CA62" w:rsidR="00B95C30" w:rsidRDefault="00DE1C29" w:rsidP="00B95C30">
      <w:pPr>
        <w:jc w:val="both"/>
        <w:rPr>
          <w:rFonts w:ascii="_õ™_ò" w:eastAsiaTheme="minorHAnsi" w:hAnsi="_õ™_ò" w:cs="_õ™_ò"/>
          <w:color w:val="4E4D4D"/>
          <w:sz w:val="22"/>
          <w:szCs w:val="22"/>
          <w:lang w:val="es-ES_tradnl" w:eastAsia="en-US"/>
        </w:rPr>
      </w:pPr>
      <w:r>
        <w:rPr>
          <w:rFonts w:ascii="_õ™_ò" w:eastAsiaTheme="minorHAnsi" w:hAnsi="_õ™_ò" w:cs="_õ™_ò"/>
          <w:color w:val="4E4D4D"/>
          <w:sz w:val="22"/>
          <w:szCs w:val="22"/>
          <w:lang w:val="es-ES_tradnl" w:eastAsia="en-US"/>
        </w:rPr>
        <w:lastRenderedPageBreak/>
        <w:t xml:space="preserve">Bogotá, 26 </w:t>
      </w:r>
      <w:proofErr w:type="gramStart"/>
      <w:r>
        <w:rPr>
          <w:rFonts w:ascii="_õ™_ò" w:eastAsiaTheme="minorHAnsi" w:hAnsi="_õ™_ò" w:cs="_õ™_ò"/>
          <w:color w:val="4E4D4D"/>
          <w:sz w:val="22"/>
          <w:szCs w:val="22"/>
          <w:lang w:val="es-ES_tradnl" w:eastAsia="en-US"/>
        </w:rPr>
        <w:t>Abril</w:t>
      </w:r>
      <w:proofErr w:type="gramEnd"/>
      <w:r>
        <w:rPr>
          <w:rFonts w:ascii="_õ™_ò" w:eastAsiaTheme="minorHAnsi" w:hAnsi="_õ™_ò" w:cs="_õ™_ò"/>
          <w:color w:val="4E4D4D"/>
          <w:sz w:val="22"/>
          <w:szCs w:val="22"/>
          <w:lang w:val="es-ES_tradnl" w:eastAsia="en-US"/>
        </w:rPr>
        <w:t xml:space="preserve"> 2022                                           </w:t>
      </w:r>
      <w:r w:rsidRPr="00DE1C29">
        <w:rPr>
          <w:rFonts w:ascii="_õ™_ò" w:eastAsiaTheme="minorHAnsi" w:hAnsi="_õ™_ò" w:cs="_õ™_ò"/>
          <w:noProof/>
          <w:color w:val="4E4D4D"/>
          <w:sz w:val="22"/>
          <w:szCs w:val="22"/>
          <w:lang w:val="es-ES_tradnl" w:eastAsia="en-US"/>
        </w:rPr>
        <w:drawing>
          <wp:inline distT="0" distB="0" distL="0" distR="0" wp14:anchorId="10E7FFEE" wp14:editId="3F1AD876">
            <wp:extent cx="2972796" cy="777529"/>
            <wp:effectExtent l="0" t="0" r="0" b="0"/>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pic:nvPicPr>
                  <pic:blipFill>
                    <a:blip r:embed="rId11"/>
                    <a:stretch>
                      <a:fillRect/>
                    </a:stretch>
                  </pic:blipFill>
                  <pic:spPr>
                    <a:xfrm>
                      <a:off x="0" y="0"/>
                      <a:ext cx="3042587" cy="795783"/>
                    </a:xfrm>
                    <a:prstGeom prst="rect">
                      <a:avLst/>
                    </a:prstGeom>
                  </pic:spPr>
                </pic:pic>
              </a:graphicData>
            </a:graphic>
          </wp:inline>
        </w:drawing>
      </w:r>
    </w:p>
    <w:p w14:paraId="399FF597" w14:textId="77777777" w:rsidR="00DE1C29" w:rsidRPr="003F155A" w:rsidRDefault="00DE1C29" w:rsidP="00B95C30">
      <w:pPr>
        <w:jc w:val="both"/>
        <w:rPr>
          <w:rFonts w:ascii="Arial" w:hAnsi="Arial" w:cs="Arial"/>
          <w:b/>
          <w:color w:val="000000" w:themeColor="text1"/>
          <w:sz w:val="22"/>
          <w:lang w:val="es-ES_tradnl"/>
        </w:rPr>
      </w:pPr>
    </w:p>
    <w:p w14:paraId="5F5AE9EF" w14:textId="3BFFF702" w:rsidR="00B95C30" w:rsidRPr="003F155A" w:rsidRDefault="00B95C30" w:rsidP="00B95C30">
      <w:pPr>
        <w:jc w:val="both"/>
        <w:rPr>
          <w:rFonts w:ascii="Arial" w:eastAsia="Calibri" w:hAnsi="Arial" w:cs="Arial"/>
          <w:color w:val="000000" w:themeColor="text1"/>
          <w:sz w:val="22"/>
          <w:lang w:val="es-ES_tradnl"/>
        </w:rPr>
      </w:pPr>
      <w:r w:rsidRPr="003F155A">
        <w:rPr>
          <w:rFonts w:ascii="Arial" w:eastAsia="Calibri" w:hAnsi="Arial" w:cs="Arial"/>
          <w:color w:val="000000" w:themeColor="text1"/>
          <w:sz w:val="22"/>
          <w:lang w:val="es-ES_tradnl"/>
        </w:rPr>
        <w:t>Señor</w:t>
      </w:r>
      <w:r w:rsidR="005F3081" w:rsidRPr="003F155A">
        <w:rPr>
          <w:rFonts w:ascii="Arial" w:eastAsia="Calibri" w:hAnsi="Arial" w:cs="Arial"/>
          <w:color w:val="000000" w:themeColor="text1"/>
          <w:sz w:val="22"/>
          <w:lang w:val="es-ES_tradnl"/>
        </w:rPr>
        <w:t>a</w:t>
      </w:r>
    </w:p>
    <w:p w14:paraId="61860B20" w14:textId="6E65AFED" w:rsidR="005D5D15" w:rsidRPr="005D5D15" w:rsidRDefault="005D5D15" w:rsidP="00B95C30">
      <w:pPr>
        <w:jc w:val="both"/>
        <w:rPr>
          <w:rFonts w:ascii="Arial" w:eastAsia="Calibri" w:hAnsi="Arial" w:cs="Arial"/>
          <w:b/>
          <w:bCs/>
          <w:color w:val="000000" w:themeColor="text1"/>
          <w:sz w:val="22"/>
          <w:lang w:val="es-ES_tradnl"/>
        </w:rPr>
      </w:pPr>
      <w:r w:rsidRPr="005D5D15">
        <w:rPr>
          <w:rFonts w:ascii="Arial" w:eastAsia="Calibri" w:hAnsi="Arial" w:cs="Arial"/>
          <w:b/>
          <w:bCs/>
          <w:color w:val="000000" w:themeColor="text1"/>
          <w:sz w:val="22"/>
          <w:lang w:val="es-ES_tradnl"/>
        </w:rPr>
        <w:t>Claudia Cristina Betancourt Villegas</w:t>
      </w:r>
    </w:p>
    <w:p w14:paraId="09D4AEA8" w14:textId="0224CA41" w:rsidR="00B95C30" w:rsidRPr="003F155A" w:rsidRDefault="005D5D15" w:rsidP="00B95C30">
      <w:pPr>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Tuluá – Valle del Cauca</w:t>
      </w:r>
    </w:p>
    <w:p w14:paraId="3F3D1203" w14:textId="77777777" w:rsidR="00B95C30" w:rsidRPr="003F155A" w:rsidRDefault="00B95C30" w:rsidP="00B95C30">
      <w:pPr>
        <w:jc w:val="both"/>
        <w:rPr>
          <w:rFonts w:ascii="Arial" w:eastAsia="Calibri" w:hAnsi="Arial" w:cs="Arial"/>
          <w:color w:val="000000" w:themeColor="text1"/>
          <w:sz w:val="22"/>
          <w:lang w:val="es-ES_tradnl"/>
        </w:rPr>
      </w:pPr>
    </w:p>
    <w:p w14:paraId="24E8D2A9" w14:textId="77777777" w:rsidR="00B95C30" w:rsidRPr="003F155A" w:rsidRDefault="00B95C30" w:rsidP="00B95C30">
      <w:pPr>
        <w:jc w:val="both"/>
        <w:rPr>
          <w:rFonts w:ascii="Arial" w:eastAsia="Calibri" w:hAnsi="Arial" w:cs="Arial"/>
          <w:color w:val="000000" w:themeColor="text1"/>
          <w:sz w:val="22"/>
          <w:lang w:val="es-ES_tradnl"/>
        </w:rPr>
      </w:pPr>
    </w:p>
    <w:p w14:paraId="12E66182" w14:textId="54DAB10B" w:rsidR="00B95C30" w:rsidRPr="003F155A" w:rsidRDefault="00B95C30" w:rsidP="00B95C30">
      <w:pPr>
        <w:jc w:val="center"/>
        <w:rPr>
          <w:rFonts w:ascii="Arial" w:eastAsia="Calibri" w:hAnsi="Arial" w:cs="Arial"/>
          <w:b/>
          <w:bCs/>
          <w:color w:val="000000" w:themeColor="text1"/>
          <w:sz w:val="22"/>
          <w:lang w:val="es-ES_tradnl"/>
        </w:rPr>
      </w:pPr>
      <w:r w:rsidRPr="0051782E">
        <w:rPr>
          <w:rFonts w:ascii="Arial" w:eastAsia="Calibri" w:hAnsi="Arial" w:cs="Arial"/>
          <w:b/>
          <w:bCs/>
          <w:color w:val="000000" w:themeColor="text1"/>
          <w:sz w:val="22"/>
          <w:lang w:val="es-ES_tradnl"/>
        </w:rPr>
        <w:t xml:space="preserve">Concepto C ‒ </w:t>
      </w:r>
      <w:r w:rsidR="005D5D15">
        <w:rPr>
          <w:rFonts w:ascii="Arial" w:eastAsia="Calibri" w:hAnsi="Arial" w:cs="Arial"/>
          <w:b/>
          <w:bCs/>
          <w:color w:val="000000" w:themeColor="text1"/>
          <w:sz w:val="22"/>
          <w:lang w:val="es-ES_tradnl"/>
        </w:rPr>
        <w:t>237 de 2022</w:t>
      </w:r>
    </w:p>
    <w:p w14:paraId="2B376FFA" w14:textId="77777777" w:rsidR="00B95C30" w:rsidRPr="003F155A" w:rsidRDefault="00B95C30" w:rsidP="00B95C30">
      <w:pPr>
        <w:jc w:val="both"/>
        <w:rPr>
          <w:rFonts w:ascii="Arial" w:eastAsia="Calibri" w:hAnsi="Arial" w:cs="Arial"/>
          <w:color w:val="000000" w:themeColor="text1"/>
          <w:sz w:val="22"/>
          <w:lang w:val="es-ES_tradnl"/>
        </w:rPr>
      </w:pPr>
    </w:p>
    <w:p w14:paraId="08CF82B2" w14:textId="77777777" w:rsidR="00B95C30" w:rsidRPr="003F155A" w:rsidRDefault="00B95C30" w:rsidP="00B95C30">
      <w:pPr>
        <w:jc w:val="both"/>
        <w:rPr>
          <w:rFonts w:ascii="Arial" w:eastAsia="Calibri" w:hAnsi="Arial" w:cs="Arial"/>
          <w:color w:val="000000" w:themeColor="text1"/>
          <w:sz w:val="22"/>
          <w:lang w:val="es-ES_tradnl"/>
        </w:rPr>
      </w:pPr>
    </w:p>
    <w:p w14:paraId="1BD594F9" w14:textId="77777777" w:rsidR="00B95C30" w:rsidRPr="003F155A" w:rsidRDefault="00B95C30" w:rsidP="00B95C30">
      <w:pPr>
        <w:jc w:val="both"/>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95C30" w:rsidRPr="003F155A" w14:paraId="19DFC051" w14:textId="77777777" w:rsidTr="002442D4">
        <w:tc>
          <w:tcPr>
            <w:tcW w:w="2689" w:type="dxa"/>
          </w:tcPr>
          <w:p w14:paraId="6BC0D1AC" w14:textId="77777777" w:rsidR="00B95C30" w:rsidRPr="003F155A" w:rsidRDefault="00B95C30" w:rsidP="002442D4">
            <w:pPr>
              <w:jc w:val="both"/>
              <w:rPr>
                <w:rFonts w:ascii="Arial" w:eastAsia="Calibri" w:hAnsi="Arial" w:cs="Arial"/>
                <w:color w:val="000000" w:themeColor="text1"/>
                <w:sz w:val="22"/>
                <w:lang w:val="es-ES_tradnl"/>
              </w:rPr>
            </w:pPr>
            <w:r w:rsidRPr="003F155A">
              <w:rPr>
                <w:rFonts w:ascii="Arial" w:eastAsia="Calibri" w:hAnsi="Arial" w:cs="Arial"/>
                <w:b/>
                <w:color w:val="000000" w:themeColor="text1"/>
                <w:sz w:val="22"/>
                <w:lang w:val="es-ES_tradnl"/>
              </w:rPr>
              <w:t>Temas:</w:t>
            </w:r>
            <w:r w:rsidRPr="003F155A">
              <w:rPr>
                <w:rFonts w:ascii="Arial" w:eastAsia="Calibri" w:hAnsi="Arial" w:cs="Arial"/>
                <w:color w:val="000000" w:themeColor="text1"/>
                <w:sz w:val="22"/>
                <w:lang w:val="es-ES_tradnl"/>
              </w:rPr>
              <w:t xml:space="preserve">                                      </w:t>
            </w:r>
          </w:p>
        </w:tc>
        <w:tc>
          <w:tcPr>
            <w:tcW w:w="6237" w:type="dxa"/>
          </w:tcPr>
          <w:p w14:paraId="5F389CAF" w14:textId="5B95506C" w:rsidR="00B95C30" w:rsidRPr="003F155A" w:rsidRDefault="00594462" w:rsidP="0038512F">
            <w:pPr>
              <w:pStyle w:val="Sinespaciado"/>
              <w:jc w:val="both"/>
              <w:rPr>
                <w:rFonts w:ascii="Arial" w:hAnsi="Arial" w:cs="Arial"/>
                <w:bCs/>
                <w:sz w:val="22"/>
                <w:lang w:val="es-ES_tradnl"/>
              </w:rPr>
            </w:pPr>
            <w:r w:rsidRPr="00594462">
              <w:rPr>
                <w:rFonts w:ascii="Arial" w:eastAsia="Arial" w:hAnsi="Arial" w:cs="Arial"/>
                <w:sz w:val="22"/>
                <w:lang w:val="es-ES_tradnl"/>
              </w:rPr>
              <w:t>CONTRATO DE OBRA – Modalidades de selección – Circunstancial</w:t>
            </w:r>
            <w:r>
              <w:rPr>
                <w:rFonts w:ascii="Arial" w:eastAsia="Arial" w:hAnsi="Arial" w:cs="Arial"/>
                <w:sz w:val="22"/>
                <w:lang w:val="es-ES_tradnl"/>
              </w:rPr>
              <w:t xml:space="preserve"> / </w:t>
            </w:r>
            <w:r w:rsidR="003D4928" w:rsidRPr="00CB63BD">
              <w:rPr>
                <w:rFonts w:ascii="Arial" w:eastAsia="Arial" w:hAnsi="Arial" w:cs="Arial"/>
                <w:sz w:val="22"/>
                <w:lang w:val="es-ES_tradnl"/>
              </w:rPr>
              <w:t>DOCUMENTOS TIPO – Infraestructura de transporte – Fundamento normativo</w:t>
            </w:r>
            <w:r w:rsidR="003D4928" w:rsidRPr="003F155A">
              <w:rPr>
                <w:rFonts w:ascii="Arial" w:eastAsia="Arial" w:hAnsi="Arial" w:cs="Arial"/>
                <w:sz w:val="22"/>
                <w:lang w:val="es-ES_tradnl"/>
              </w:rPr>
              <w:t xml:space="preserve"> </w:t>
            </w:r>
            <w:r w:rsidR="003D4928">
              <w:rPr>
                <w:rFonts w:ascii="Arial" w:eastAsia="Arial" w:hAnsi="Arial" w:cs="Arial"/>
                <w:sz w:val="22"/>
                <w:lang w:val="es-ES_tradnl"/>
              </w:rPr>
              <w:t xml:space="preserve">/ </w:t>
            </w:r>
            <w:r w:rsidR="00F451D4" w:rsidRPr="003F155A">
              <w:rPr>
                <w:rFonts w:ascii="Arial" w:eastAsia="Arial" w:hAnsi="Arial" w:cs="Arial"/>
                <w:sz w:val="22"/>
                <w:lang w:val="es-ES_tradnl"/>
              </w:rPr>
              <w:t>CONTRATACIÓN DIRECTA – Pluralidad de oferentes– Inexistencia – Dos eventos / ÚNICO PROVEEDOR – Titular – Propiedad industrial – Derechos de autor / ÚNICO PROVEEDOR – Proveedor exclusivo – Territorio nacional / PATENTE – Monopolio – Explotación – Contingente / PATENTE – Proveedor exclusivo – Licenciamiento</w:t>
            </w:r>
            <w:r w:rsidR="00B95C30" w:rsidRPr="003F155A">
              <w:rPr>
                <w:rFonts w:ascii="Arial" w:eastAsia="Arial" w:hAnsi="Arial" w:cs="Arial"/>
                <w:sz w:val="22"/>
                <w:lang w:val="es-ES_tradnl"/>
              </w:rPr>
              <w:t>.</w:t>
            </w:r>
          </w:p>
        </w:tc>
      </w:tr>
      <w:tr w:rsidR="00B95C30" w:rsidRPr="003F155A" w14:paraId="27CD52AB" w14:textId="77777777" w:rsidTr="002442D4">
        <w:tc>
          <w:tcPr>
            <w:tcW w:w="2689" w:type="dxa"/>
          </w:tcPr>
          <w:p w14:paraId="37E195A1" w14:textId="4C368209" w:rsidR="00B95C30" w:rsidRPr="003F155A" w:rsidRDefault="00B95C30" w:rsidP="002442D4">
            <w:pPr>
              <w:spacing w:before="120"/>
              <w:jc w:val="both"/>
              <w:rPr>
                <w:rFonts w:ascii="Arial" w:eastAsia="Calibri" w:hAnsi="Arial" w:cs="Arial"/>
                <w:b/>
                <w:color w:val="000000" w:themeColor="text1"/>
                <w:sz w:val="22"/>
                <w:lang w:val="es-ES_tradnl"/>
              </w:rPr>
            </w:pPr>
            <w:r w:rsidRPr="003F155A">
              <w:rPr>
                <w:rFonts w:ascii="Arial" w:eastAsia="Calibri" w:hAnsi="Arial" w:cs="Arial"/>
                <w:b/>
                <w:color w:val="000000" w:themeColor="text1"/>
                <w:sz w:val="22"/>
                <w:lang w:val="es-ES_tradnl"/>
              </w:rPr>
              <w:t>Radicación:</w:t>
            </w:r>
            <w:r w:rsidRPr="003F155A">
              <w:rPr>
                <w:rFonts w:ascii="Arial" w:eastAsia="Calibri" w:hAnsi="Arial" w:cs="Arial"/>
                <w:color w:val="000000" w:themeColor="text1"/>
                <w:sz w:val="22"/>
                <w:lang w:val="es-ES_tradnl"/>
              </w:rPr>
              <w:t xml:space="preserve">                              </w:t>
            </w:r>
          </w:p>
        </w:tc>
        <w:tc>
          <w:tcPr>
            <w:tcW w:w="6237" w:type="dxa"/>
          </w:tcPr>
          <w:p w14:paraId="09088B1B" w14:textId="62F4CE5A" w:rsidR="00B95C30" w:rsidRPr="003F155A" w:rsidRDefault="00B95C30" w:rsidP="002442D4">
            <w:pPr>
              <w:spacing w:before="120"/>
              <w:jc w:val="both"/>
              <w:rPr>
                <w:rFonts w:ascii="Arial" w:eastAsia="Calibri" w:hAnsi="Arial" w:cs="Arial"/>
                <w:color w:val="000000" w:themeColor="text1"/>
                <w:sz w:val="22"/>
                <w:lang w:val="es-ES_tradnl"/>
              </w:rPr>
            </w:pPr>
            <w:r w:rsidRPr="003F155A">
              <w:rPr>
                <w:rFonts w:ascii="Arial" w:eastAsia="Calibri" w:hAnsi="Arial" w:cs="Arial"/>
                <w:color w:val="000000" w:themeColor="text1"/>
                <w:sz w:val="22"/>
                <w:lang w:val="es-ES_tradnl"/>
              </w:rPr>
              <w:t xml:space="preserve">Respuesta a consulta # </w:t>
            </w:r>
            <w:r w:rsidR="001C62C4" w:rsidRPr="001C62C4">
              <w:rPr>
                <w:rFonts w:ascii="Arial" w:eastAsia="Calibri" w:hAnsi="Arial" w:cs="Arial"/>
                <w:color w:val="000000" w:themeColor="text1"/>
                <w:sz w:val="22"/>
                <w:lang w:val="es-ES_tradnl"/>
              </w:rPr>
              <w:t>P20220311002439</w:t>
            </w:r>
            <w:r w:rsidRPr="003F155A">
              <w:rPr>
                <w:rFonts w:ascii="Arial" w:eastAsia="Calibri" w:hAnsi="Arial" w:cs="Arial"/>
                <w:color w:val="000000" w:themeColor="text1"/>
                <w:sz w:val="22"/>
                <w:lang w:val="es-ES_tradnl"/>
              </w:rPr>
              <w:t xml:space="preserve"> </w:t>
            </w:r>
          </w:p>
        </w:tc>
      </w:tr>
    </w:tbl>
    <w:p w14:paraId="7D12D1D1" w14:textId="77777777" w:rsidR="001C62C4" w:rsidRDefault="001C62C4" w:rsidP="003C3339">
      <w:pPr>
        <w:jc w:val="both"/>
        <w:rPr>
          <w:rFonts w:ascii="Arial" w:eastAsia="Calibri" w:hAnsi="Arial" w:cs="Arial"/>
          <w:color w:val="000000" w:themeColor="text1"/>
          <w:sz w:val="22"/>
          <w:lang w:val="es-ES_tradnl"/>
        </w:rPr>
      </w:pPr>
    </w:p>
    <w:p w14:paraId="1CF4AEA0" w14:textId="56083E61" w:rsidR="003C3339" w:rsidRPr="003F155A" w:rsidRDefault="003C3339" w:rsidP="003C3339">
      <w:pPr>
        <w:jc w:val="both"/>
        <w:rPr>
          <w:rFonts w:ascii="Arial" w:eastAsia="Calibri" w:hAnsi="Arial" w:cs="Arial"/>
          <w:color w:val="000000" w:themeColor="text1"/>
          <w:sz w:val="22"/>
          <w:lang w:val="es-ES_tradnl"/>
        </w:rPr>
      </w:pPr>
      <w:r w:rsidRPr="003F155A">
        <w:rPr>
          <w:rFonts w:ascii="Arial" w:eastAsia="Calibri" w:hAnsi="Arial" w:cs="Arial"/>
          <w:color w:val="000000" w:themeColor="text1"/>
          <w:sz w:val="22"/>
          <w:lang w:val="es-ES_tradnl"/>
        </w:rPr>
        <w:t>Estimad</w:t>
      </w:r>
      <w:r w:rsidR="00510F21" w:rsidRPr="003F155A">
        <w:rPr>
          <w:rFonts w:ascii="Arial" w:eastAsia="Calibri" w:hAnsi="Arial" w:cs="Arial"/>
          <w:color w:val="000000" w:themeColor="text1"/>
          <w:sz w:val="22"/>
          <w:lang w:val="es-ES_tradnl"/>
        </w:rPr>
        <w:t>a</w:t>
      </w:r>
      <w:r w:rsidRPr="003F155A">
        <w:rPr>
          <w:rFonts w:ascii="Arial" w:eastAsia="Calibri" w:hAnsi="Arial" w:cs="Arial"/>
          <w:color w:val="000000" w:themeColor="text1"/>
          <w:sz w:val="22"/>
          <w:lang w:val="es-ES_tradnl"/>
        </w:rPr>
        <w:t xml:space="preserve"> </w:t>
      </w:r>
      <w:r w:rsidR="005B5143">
        <w:rPr>
          <w:rFonts w:ascii="Arial" w:eastAsia="Calibri" w:hAnsi="Arial" w:cs="Arial"/>
          <w:color w:val="000000" w:themeColor="text1"/>
          <w:sz w:val="22"/>
          <w:lang w:val="es-ES_tradnl"/>
        </w:rPr>
        <w:t>señora Betancourt</w:t>
      </w:r>
      <w:r w:rsidRPr="003F155A">
        <w:rPr>
          <w:rFonts w:ascii="Arial" w:eastAsia="Calibri" w:hAnsi="Arial" w:cs="Arial"/>
          <w:color w:val="000000" w:themeColor="text1"/>
          <w:sz w:val="22"/>
          <w:lang w:val="es-ES_tradnl"/>
        </w:rPr>
        <w:t>:</w:t>
      </w:r>
    </w:p>
    <w:p w14:paraId="1EAE5543" w14:textId="77777777" w:rsidR="00DD5B04" w:rsidRPr="003F155A" w:rsidRDefault="00DD5B04" w:rsidP="00DF76A2">
      <w:pPr>
        <w:jc w:val="both"/>
        <w:rPr>
          <w:rFonts w:ascii="Arial" w:eastAsia="Calibri" w:hAnsi="Arial" w:cs="Arial"/>
          <w:color w:val="000000" w:themeColor="text1"/>
          <w:sz w:val="22"/>
          <w:lang w:val="es-ES_tradnl"/>
        </w:rPr>
      </w:pPr>
    </w:p>
    <w:p w14:paraId="2109B2D3" w14:textId="12E11B2E" w:rsidR="00DD5B04" w:rsidRPr="003F155A" w:rsidRDefault="00DD5B04" w:rsidP="00DF76A2">
      <w:pPr>
        <w:spacing w:line="276" w:lineRule="auto"/>
        <w:jc w:val="both"/>
        <w:rPr>
          <w:rFonts w:ascii="Arial" w:eastAsia="Calibri" w:hAnsi="Arial" w:cs="Arial"/>
          <w:color w:val="000000" w:themeColor="text1"/>
          <w:sz w:val="22"/>
          <w:lang w:val="es-ES_tradnl"/>
        </w:rPr>
      </w:pPr>
      <w:r w:rsidRPr="003F155A">
        <w:rPr>
          <w:rFonts w:ascii="Arial" w:eastAsia="Calibri" w:hAnsi="Arial" w:cs="Arial"/>
          <w:color w:val="000000" w:themeColor="text1"/>
          <w:sz w:val="22"/>
          <w:lang w:val="es-ES_tradnl"/>
        </w:rPr>
        <w:t>En ejercicio de la competencia otorgada por el numeral 8 del artículo 11 y el numeral 5 del artículo 3 del Decreto Ley 4170 de 2011, la Agencia Nacional de Contratación Pública ― Colombia Compra Eficiente</w:t>
      </w:r>
      <w:r w:rsidR="008C3C57" w:rsidRPr="003F155A">
        <w:rPr>
          <w:rFonts w:ascii="Arial" w:eastAsia="Calibri" w:hAnsi="Arial" w:cs="Arial"/>
          <w:color w:val="000000" w:themeColor="text1"/>
          <w:sz w:val="22"/>
          <w:lang w:val="es-ES_tradnl"/>
        </w:rPr>
        <w:t xml:space="preserve"> </w:t>
      </w:r>
      <w:r w:rsidRPr="003F155A">
        <w:rPr>
          <w:rFonts w:ascii="Arial" w:eastAsia="Calibri" w:hAnsi="Arial" w:cs="Arial"/>
          <w:color w:val="000000" w:themeColor="text1"/>
          <w:sz w:val="22"/>
          <w:lang w:val="es-ES_tradnl"/>
        </w:rPr>
        <w:t xml:space="preserve">responde su consulta del </w:t>
      </w:r>
      <w:r w:rsidR="00FB2887">
        <w:rPr>
          <w:rFonts w:ascii="Arial" w:eastAsia="Calibri" w:hAnsi="Arial" w:cs="Arial"/>
          <w:color w:val="000000" w:themeColor="text1"/>
          <w:sz w:val="22"/>
          <w:lang w:val="es-ES_tradnl"/>
        </w:rPr>
        <w:t>11</w:t>
      </w:r>
      <w:r w:rsidR="00FD4AF3" w:rsidRPr="003F155A">
        <w:rPr>
          <w:rFonts w:ascii="Arial" w:eastAsia="Calibri" w:hAnsi="Arial" w:cs="Arial"/>
          <w:color w:val="000000" w:themeColor="text1"/>
          <w:sz w:val="22"/>
          <w:lang w:val="es-ES_tradnl"/>
        </w:rPr>
        <w:t xml:space="preserve"> de </w:t>
      </w:r>
      <w:r w:rsidR="00FB2887">
        <w:rPr>
          <w:rFonts w:ascii="Arial" w:eastAsia="Calibri" w:hAnsi="Arial" w:cs="Arial"/>
          <w:color w:val="000000" w:themeColor="text1"/>
          <w:sz w:val="22"/>
          <w:lang w:val="es-ES_tradnl"/>
        </w:rPr>
        <w:t>marzo</w:t>
      </w:r>
      <w:r w:rsidRPr="003F155A">
        <w:rPr>
          <w:rFonts w:ascii="Arial" w:eastAsia="Calibri" w:hAnsi="Arial" w:cs="Arial"/>
          <w:color w:val="000000" w:themeColor="text1"/>
          <w:sz w:val="22"/>
          <w:lang w:val="es-ES_tradnl"/>
        </w:rPr>
        <w:t xml:space="preserve"> del</w:t>
      </w:r>
      <w:r w:rsidR="007E74BF" w:rsidRPr="003F155A">
        <w:rPr>
          <w:rFonts w:ascii="Arial" w:eastAsia="Calibri" w:hAnsi="Arial" w:cs="Arial"/>
          <w:color w:val="000000" w:themeColor="text1"/>
          <w:sz w:val="22"/>
          <w:lang w:val="es-ES_tradnl"/>
        </w:rPr>
        <w:t xml:space="preserve"> </w:t>
      </w:r>
      <w:r w:rsidRPr="003F155A">
        <w:rPr>
          <w:rFonts w:ascii="Arial" w:eastAsia="Calibri" w:hAnsi="Arial" w:cs="Arial"/>
          <w:color w:val="000000" w:themeColor="text1"/>
          <w:sz w:val="22"/>
          <w:lang w:val="es-ES_tradnl"/>
        </w:rPr>
        <w:t>202</w:t>
      </w:r>
      <w:r w:rsidR="00FB2887">
        <w:rPr>
          <w:rFonts w:ascii="Arial" w:eastAsia="Calibri" w:hAnsi="Arial" w:cs="Arial"/>
          <w:color w:val="000000" w:themeColor="text1"/>
          <w:sz w:val="22"/>
          <w:lang w:val="es-ES_tradnl"/>
        </w:rPr>
        <w:t>2</w:t>
      </w:r>
      <w:r w:rsidR="008C3C57" w:rsidRPr="003F155A">
        <w:rPr>
          <w:rFonts w:ascii="Arial" w:eastAsia="Calibri" w:hAnsi="Arial" w:cs="Arial"/>
          <w:color w:val="000000" w:themeColor="text1"/>
          <w:sz w:val="22"/>
          <w:lang w:val="es-ES_tradnl"/>
        </w:rPr>
        <w:t>.</w:t>
      </w:r>
    </w:p>
    <w:p w14:paraId="0C1E0712" w14:textId="77777777" w:rsidR="00DD5B04" w:rsidRPr="003F155A" w:rsidRDefault="00DD5B04" w:rsidP="00DF76A2">
      <w:pPr>
        <w:spacing w:line="276" w:lineRule="auto"/>
        <w:jc w:val="both"/>
        <w:rPr>
          <w:rFonts w:ascii="Arial" w:eastAsia="Calibri" w:hAnsi="Arial" w:cs="Arial"/>
          <w:b/>
          <w:color w:val="000000" w:themeColor="text1"/>
          <w:sz w:val="22"/>
          <w:lang w:val="es-ES_tradnl"/>
        </w:rPr>
      </w:pPr>
    </w:p>
    <w:p w14:paraId="7701FCC7" w14:textId="77777777" w:rsidR="00DD5B04" w:rsidRPr="003F155A"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3F155A">
        <w:rPr>
          <w:rFonts w:ascii="Arial" w:eastAsia="Calibri" w:hAnsi="Arial" w:cs="Arial"/>
          <w:b/>
          <w:color w:val="000000" w:themeColor="text1"/>
          <w:sz w:val="22"/>
          <w:lang w:val="es-ES_tradnl"/>
        </w:rPr>
        <w:t xml:space="preserve">Problema planteado </w:t>
      </w:r>
    </w:p>
    <w:p w14:paraId="224B43D3" w14:textId="77777777" w:rsidR="00DD5B04" w:rsidRPr="003F155A" w:rsidRDefault="00DD5B04" w:rsidP="00DF76A2">
      <w:pPr>
        <w:tabs>
          <w:tab w:val="left" w:pos="426"/>
        </w:tabs>
        <w:spacing w:line="276" w:lineRule="auto"/>
        <w:jc w:val="both"/>
        <w:rPr>
          <w:rFonts w:ascii="Arial" w:eastAsia="Calibri" w:hAnsi="Arial" w:cs="Arial"/>
          <w:b/>
          <w:color w:val="000000" w:themeColor="text1"/>
          <w:sz w:val="22"/>
          <w:lang w:val="es-ES_tradnl"/>
        </w:rPr>
      </w:pPr>
    </w:p>
    <w:p w14:paraId="3C575DE9" w14:textId="62A2BD3B" w:rsidR="00443B55" w:rsidRPr="003F155A" w:rsidRDefault="00DD5B04" w:rsidP="0099583D">
      <w:pPr>
        <w:spacing w:line="276" w:lineRule="auto"/>
        <w:jc w:val="both"/>
        <w:rPr>
          <w:rFonts w:ascii="Arial" w:hAnsi="Arial" w:cs="Arial"/>
          <w:color w:val="000000" w:themeColor="text1"/>
          <w:sz w:val="22"/>
          <w:lang w:val="es-ES_tradnl"/>
        </w:rPr>
      </w:pPr>
      <w:r w:rsidRPr="003F155A">
        <w:rPr>
          <w:rFonts w:ascii="Arial" w:hAnsi="Arial" w:cs="Arial"/>
          <w:color w:val="000000" w:themeColor="text1"/>
          <w:sz w:val="22"/>
          <w:lang w:val="es-ES_tradnl"/>
        </w:rPr>
        <w:t xml:space="preserve">Usted </w:t>
      </w:r>
      <w:r w:rsidR="00B422C0" w:rsidRPr="003F155A">
        <w:rPr>
          <w:rFonts w:ascii="Arial" w:hAnsi="Arial" w:cs="Arial"/>
          <w:color w:val="000000" w:themeColor="text1"/>
          <w:sz w:val="22"/>
          <w:lang w:val="es-ES_tradnl"/>
        </w:rPr>
        <w:t>formula</w:t>
      </w:r>
      <w:r w:rsidR="006D46A3" w:rsidRPr="003F155A">
        <w:rPr>
          <w:rFonts w:ascii="Arial" w:hAnsi="Arial" w:cs="Arial"/>
          <w:color w:val="000000" w:themeColor="text1"/>
          <w:sz w:val="22"/>
          <w:lang w:val="es-ES_tradnl"/>
        </w:rPr>
        <w:t xml:space="preserve"> la siguiente </w:t>
      </w:r>
      <w:r w:rsidR="00B46915" w:rsidRPr="003F155A">
        <w:rPr>
          <w:rFonts w:ascii="Arial" w:hAnsi="Arial" w:cs="Arial"/>
          <w:color w:val="000000" w:themeColor="text1"/>
          <w:sz w:val="22"/>
          <w:lang w:val="es-ES_tradnl"/>
        </w:rPr>
        <w:t>consulta</w:t>
      </w:r>
      <w:r w:rsidR="00B422C0" w:rsidRPr="003F155A">
        <w:rPr>
          <w:rFonts w:ascii="Arial" w:hAnsi="Arial" w:cs="Arial"/>
          <w:color w:val="000000" w:themeColor="text1"/>
          <w:sz w:val="22"/>
          <w:lang w:val="es-ES_tradnl"/>
        </w:rPr>
        <w:t>:</w:t>
      </w:r>
      <w:r w:rsidR="007E18DF" w:rsidRPr="003F155A">
        <w:rPr>
          <w:rFonts w:ascii="Arial" w:hAnsi="Arial" w:cs="Arial"/>
          <w:color w:val="000000" w:themeColor="text1"/>
          <w:sz w:val="22"/>
          <w:lang w:val="es-ES_tradnl"/>
        </w:rPr>
        <w:t xml:space="preserve"> </w:t>
      </w:r>
    </w:p>
    <w:p w14:paraId="559EE20C" w14:textId="77777777" w:rsidR="00443B55" w:rsidRPr="003F155A" w:rsidRDefault="00443B55" w:rsidP="0099583D">
      <w:pPr>
        <w:spacing w:line="276" w:lineRule="auto"/>
        <w:jc w:val="both"/>
        <w:rPr>
          <w:rFonts w:ascii="Arial" w:hAnsi="Arial" w:cs="Arial"/>
          <w:color w:val="000000" w:themeColor="text1"/>
          <w:sz w:val="22"/>
          <w:lang w:val="es-ES_tradnl"/>
        </w:rPr>
      </w:pPr>
    </w:p>
    <w:p w14:paraId="7F25AC95" w14:textId="26749D33" w:rsidR="005B5143" w:rsidRDefault="00F40FD8" w:rsidP="005B5143">
      <w:pPr>
        <w:ind w:left="709" w:right="709"/>
        <w:jc w:val="both"/>
        <w:rPr>
          <w:rFonts w:ascii="Arial" w:hAnsi="Arial" w:cs="Arial"/>
          <w:color w:val="000000" w:themeColor="text1"/>
          <w:sz w:val="21"/>
          <w:szCs w:val="21"/>
          <w:lang w:val="es-ES_tradnl"/>
        </w:rPr>
      </w:pPr>
      <w:r w:rsidRPr="003F155A">
        <w:rPr>
          <w:rFonts w:ascii="Arial" w:hAnsi="Arial" w:cs="Arial"/>
          <w:color w:val="000000" w:themeColor="text1"/>
          <w:sz w:val="21"/>
          <w:szCs w:val="21"/>
          <w:lang w:val="es-ES_tradnl"/>
        </w:rPr>
        <w:t>«</w:t>
      </w:r>
      <w:r w:rsidR="005B5143" w:rsidRPr="005B5143">
        <w:rPr>
          <w:rFonts w:ascii="Arial" w:hAnsi="Arial" w:cs="Arial"/>
          <w:color w:val="000000" w:themeColor="text1"/>
          <w:sz w:val="21"/>
          <w:szCs w:val="21"/>
          <w:lang w:val="es-ES_tradnl"/>
        </w:rPr>
        <w:t>[…]1) Es la Superintendencia de industria y Comercio   SIC   la autoridad legal que puede certificar la titularidad de propiedad industrial que indica el Art</w:t>
      </w:r>
      <w:r w:rsidR="005B5143">
        <w:rPr>
          <w:rFonts w:ascii="Arial" w:hAnsi="Arial" w:cs="Arial"/>
          <w:color w:val="000000" w:themeColor="text1"/>
          <w:sz w:val="21"/>
          <w:szCs w:val="21"/>
          <w:lang w:val="es-ES_tradnl"/>
        </w:rPr>
        <w:t>í</w:t>
      </w:r>
      <w:r w:rsidR="005B5143" w:rsidRPr="005B5143">
        <w:rPr>
          <w:rFonts w:ascii="Arial" w:hAnsi="Arial" w:cs="Arial"/>
          <w:color w:val="000000" w:themeColor="text1"/>
          <w:sz w:val="21"/>
          <w:szCs w:val="21"/>
          <w:lang w:val="es-ES_tradnl"/>
        </w:rPr>
        <w:t>culo 2.2.1.2.1.4.8 del decreto 1082 de 2015?</w:t>
      </w:r>
      <w:r w:rsidR="005B5143">
        <w:rPr>
          <w:rFonts w:ascii="Arial" w:hAnsi="Arial" w:cs="Arial"/>
          <w:color w:val="000000" w:themeColor="text1"/>
          <w:sz w:val="21"/>
          <w:szCs w:val="21"/>
          <w:lang w:val="es-ES_tradnl"/>
        </w:rPr>
        <w:t xml:space="preserve"> </w:t>
      </w:r>
    </w:p>
    <w:p w14:paraId="7424E638" w14:textId="026E9E80" w:rsidR="005B5143" w:rsidRPr="005B5143" w:rsidRDefault="005B5143" w:rsidP="005B5143">
      <w:pPr>
        <w:ind w:left="709" w:right="709"/>
        <w:jc w:val="both"/>
        <w:rPr>
          <w:rFonts w:ascii="Arial" w:hAnsi="Arial" w:cs="Arial"/>
          <w:color w:val="000000" w:themeColor="text1"/>
          <w:sz w:val="21"/>
          <w:szCs w:val="21"/>
          <w:lang w:val="es-ES_tradnl"/>
        </w:rPr>
      </w:pPr>
      <w:r w:rsidRPr="005B5143">
        <w:rPr>
          <w:rFonts w:ascii="Arial" w:hAnsi="Arial" w:cs="Arial"/>
          <w:color w:val="000000" w:themeColor="text1"/>
          <w:sz w:val="21"/>
          <w:szCs w:val="21"/>
          <w:lang w:val="es-ES_tradnl"/>
        </w:rPr>
        <w:t>2) Para productos de infraestructura de transporte que puedan tener relación con la matriz 1.</w:t>
      </w:r>
      <w:r>
        <w:rPr>
          <w:rFonts w:ascii="Arial" w:hAnsi="Arial" w:cs="Arial"/>
          <w:color w:val="000000" w:themeColor="text1"/>
          <w:sz w:val="21"/>
          <w:szCs w:val="21"/>
          <w:lang w:val="es-ES_tradnl"/>
        </w:rPr>
        <w:t xml:space="preserve">, </w:t>
      </w:r>
      <w:r w:rsidRPr="005B5143">
        <w:rPr>
          <w:rFonts w:ascii="Arial" w:hAnsi="Arial" w:cs="Arial"/>
          <w:color w:val="000000" w:themeColor="text1"/>
          <w:sz w:val="21"/>
          <w:szCs w:val="21"/>
          <w:lang w:val="es-ES_tradnl"/>
        </w:rPr>
        <w:t xml:space="preserve">Es obligatorio aplicar los documentos tipo para Contratación Directa Artículo 2.2.1.2.1.4.8 decreto 1082 de 2015 en los casos en que exista producto a contratar su mantenimiento, actualización, ampliación, instalación, rehabilitación </w:t>
      </w:r>
      <w:proofErr w:type="spellStart"/>
      <w:r w:rsidRPr="005B5143">
        <w:rPr>
          <w:rFonts w:ascii="Arial" w:hAnsi="Arial" w:cs="Arial"/>
          <w:color w:val="000000" w:themeColor="text1"/>
          <w:sz w:val="21"/>
          <w:szCs w:val="21"/>
          <w:lang w:val="es-ES_tradnl"/>
        </w:rPr>
        <w:t>etc</w:t>
      </w:r>
      <w:proofErr w:type="spellEnd"/>
      <w:r w:rsidRPr="005B5143">
        <w:rPr>
          <w:rFonts w:ascii="Arial" w:hAnsi="Arial" w:cs="Arial"/>
          <w:color w:val="000000" w:themeColor="text1"/>
          <w:sz w:val="21"/>
          <w:szCs w:val="21"/>
          <w:lang w:val="es-ES_tradnl"/>
        </w:rPr>
        <w:t xml:space="preserve"> y existan patentes con exclusividad legal soportada por artículos 306 y 307 del código penal y certificada su titularidad por la SIC?</w:t>
      </w:r>
    </w:p>
    <w:p w14:paraId="7A239EB1" w14:textId="1963EB3D" w:rsidR="007C34A9" w:rsidRDefault="005B5143" w:rsidP="00CB63BD">
      <w:pPr>
        <w:ind w:left="709" w:right="709"/>
        <w:jc w:val="both"/>
        <w:rPr>
          <w:rFonts w:ascii="Arial" w:hAnsi="Arial" w:cs="Arial"/>
          <w:color w:val="000000" w:themeColor="text1"/>
          <w:sz w:val="21"/>
          <w:szCs w:val="21"/>
          <w:lang w:val="es-ES_tradnl"/>
        </w:rPr>
      </w:pPr>
      <w:r w:rsidRPr="005B5143">
        <w:rPr>
          <w:rFonts w:ascii="Arial" w:hAnsi="Arial" w:cs="Arial"/>
          <w:color w:val="000000" w:themeColor="text1"/>
          <w:sz w:val="21"/>
          <w:szCs w:val="21"/>
          <w:lang w:val="es-ES_tradnl"/>
        </w:rPr>
        <w:lastRenderedPageBreak/>
        <w:t>3) Es la Patente expedida por la Superintendencia de industria y Comercio</w:t>
      </w:r>
      <w:r>
        <w:rPr>
          <w:rFonts w:ascii="Arial" w:hAnsi="Arial" w:cs="Arial"/>
          <w:color w:val="000000" w:themeColor="text1"/>
          <w:sz w:val="21"/>
          <w:szCs w:val="21"/>
          <w:lang w:val="es-ES_tradnl"/>
        </w:rPr>
        <w:t xml:space="preserve"> </w:t>
      </w:r>
      <w:r w:rsidRPr="005B5143">
        <w:rPr>
          <w:rFonts w:ascii="Arial" w:hAnsi="Arial" w:cs="Arial"/>
          <w:color w:val="000000" w:themeColor="text1"/>
          <w:sz w:val="21"/>
          <w:szCs w:val="21"/>
          <w:lang w:val="es-ES_tradnl"/>
        </w:rPr>
        <w:t>SIC el documento que demuestra la exclusividad legal y titularidad de propiedad industrial sobre un producto en Colombia que tiene protegida dicha exclusividad por los Art</w:t>
      </w:r>
      <w:r>
        <w:rPr>
          <w:rFonts w:ascii="Arial" w:hAnsi="Arial" w:cs="Arial"/>
          <w:color w:val="000000" w:themeColor="text1"/>
          <w:sz w:val="21"/>
          <w:szCs w:val="21"/>
          <w:lang w:val="es-ES_tradnl"/>
        </w:rPr>
        <w:t>í</w:t>
      </w:r>
      <w:r w:rsidRPr="005B5143">
        <w:rPr>
          <w:rFonts w:ascii="Arial" w:hAnsi="Arial" w:cs="Arial"/>
          <w:color w:val="000000" w:themeColor="text1"/>
          <w:sz w:val="21"/>
          <w:szCs w:val="21"/>
          <w:lang w:val="es-ES_tradnl"/>
        </w:rPr>
        <w:t>culos 306 y 307 del código penal?</w:t>
      </w:r>
      <w:r w:rsidR="003B34B5">
        <w:rPr>
          <w:rFonts w:ascii="Arial" w:hAnsi="Arial" w:cs="Arial"/>
          <w:color w:val="000000" w:themeColor="text1"/>
          <w:sz w:val="21"/>
          <w:szCs w:val="21"/>
          <w:lang w:val="es-ES_tradnl"/>
        </w:rPr>
        <w:t>»</w:t>
      </w:r>
      <w:r w:rsidR="004C2180" w:rsidRPr="003F155A">
        <w:rPr>
          <w:rFonts w:ascii="Arial" w:hAnsi="Arial" w:cs="Arial"/>
          <w:color w:val="000000" w:themeColor="text1"/>
          <w:sz w:val="21"/>
          <w:szCs w:val="21"/>
          <w:lang w:val="es-ES_tradnl"/>
        </w:rPr>
        <w:t xml:space="preserve"> (sic)</w:t>
      </w:r>
      <w:r w:rsidR="00E2302A" w:rsidRPr="003F155A">
        <w:rPr>
          <w:rFonts w:ascii="Arial" w:hAnsi="Arial" w:cs="Arial"/>
          <w:color w:val="000000" w:themeColor="text1"/>
          <w:sz w:val="21"/>
          <w:szCs w:val="21"/>
          <w:lang w:val="es-ES_tradnl"/>
        </w:rPr>
        <w:t>.</w:t>
      </w:r>
    </w:p>
    <w:p w14:paraId="29444FE3" w14:textId="77777777" w:rsidR="006C5F2D" w:rsidRPr="00CB63BD" w:rsidRDefault="006C5F2D" w:rsidP="00CB63BD">
      <w:pPr>
        <w:ind w:left="709" w:right="709"/>
        <w:jc w:val="both"/>
        <w:rPr>
          <w:rFonts w:ascii="Arial" w:hAnsi="Arial" w:cs="Arial"/>
          <w:color w:val="000000" w:themeColor="text1"/>
          <w:sz w:val="21"/>
          <w:szCs w:val="21"/>
          <w:lang w:val="es-ES_tradnl"/>
        </w:rPr>
      </w:pPr>
    </w:p>
    <w:p w14:paraId="124D2DCA" w14:textId="77777777" w:rsidR="00DD5B04" w:rsidRPr="003F155A" w:rsidRDefault="00DD5B04" w:rsidP="00DF76A2">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3F155A">
        <w:rPr>
          <w:rFonts w:ascii="Arial" w:eastAsia="Calibri" w:hAnsi="Arial" w:cs="Arial"/>
          <w:b/>
          <w:color w:val="000000" w:themeColor="text1"/>
          <w:sz w:val="22"/>
          <w:lang w:val="es-ES_tradnl"/>
        </w:rPr>
        <w:t>Consideraciones</w:t>
      </w:r>
    </w:p>
    <w:p w14:paraId="7D050D2E" w14:textId="77777777" w:rsidR="00435703" w:rsidRPr="003F155A" w:rsidRDefault="00435703" w:rsidP="00DF76A2">
      <w:pPr>
        <w:spacing w:line="276" w:lineRule="auto"/>
        <w:jc w:val="both"/>
        <w:rPr>
          <w:rFonts w:ascii="Arial" w:eastAsia="Calibri" w:hAnsi="Arial" w:cs="Arial"/>
          <w:color w:val="000000" w:themeColor="text1"/>
          <w:sz w:val="22"/>
          <w:szCs w:val="22"/>
          <w:lang w:val="es-ES_tradnl"/>
        </w:rPr>
      </w:pPr>
    </w:p>
    <w:p w14:paraId="2E6AA034" w14:textId="26595F6D" w:rsidR="007A00FA" w:rsidRPr="003F155A" w:rsidRDefault="007A00FA" w:rsidP="007A00FA">
      <w:pPr>
        <w:tabs>
          <w:tab w:val="left" w:pos="426"/>
        </w:tabs>
        <w:spacing w:line="276" w:lineRule="auto"/>
        <w:jc w:val="both"/>
        <w:rPr>
          <w:rFonts w:ascii="Arial" w:eastAsia="Calibri" w:hAnsi="Arial" w:cs="Arial"/>
          <w:color w:val="000000"/>
          <w:sz w:val="22"/>
          <w:lang w:val="es-ES_tradnl" w:eastAsia="en-GB"/>
        </w:rPr>
      </w:pPr>
      <w:r w:rsidRPr="003F155A">
        <w:rPr>
          <w:rFonts w:ascii="Arial" w:eastAsia="Calibri" w:hAnsi="Arial" w:cs="Arial"/>
          <w:color w:val="000000"/>
          <w:sz w:val="22"/>
          <w:lang w:val="es-ES_tradnl" w:eastAsia="en-GB"/>
        </w:rPr>
        <w:t xml:space="preserve">Para abordar el interrogante planteado se analizarán los siguientes temas: </w:t>
      </w:r>
      <w:r w:rsidR="00CB63BD" w:rsidRPr="00CB63BD">
        <w:rPr>
          <w:rFonts w:ascii="Arial" w:eastAsia="Calibri" w:hAnsi="Arial" w:cs="Arial"/>
          <w:color w:val="000000"/>
          <w:sz w:val="22"/>
          <w:lang w:val="es-ES_tradnl" w:eastAsia="en-GB"/>
        </w:rPr>
        <w:t>i) la expedición de los documentos tipo de infraestructura de transporte</w:t>
      </w:r>
      <w:r w:rsidR="00CB63BD">
        <w:rPr>
          <w:rFonts w:ascii="Arial" w:eastAsia="Calibri" w:hAnsi="Arial" w:cs="Arial"/>
          <w:color w:val="000000"/>
          <w:sz w:val="22"/>
          <w:lang w:val="es-ES_tradnl" w:eastAsia="en-GB"/>
        </w:rPr>
        <w:t>, i</w:t>
      </w:r>
      <w:r w:rsidR="003F155A" w:rsidRPr="003F155A">
        <w:rPr>
          <w:rFonts w:ascii="Arial" w:eastAsia="Calibri" w:hAnsi="Arial" w:cs="Arial"/>
          <w:color w:val="000000"/>
          <w:sz w:val="22"/>
          <w:lang w:val="es-ES_tradnl" w:eastAsia="en-GB"/>
        </w:rPr>
        <w:t xml:space="preserve">i) el contrato de obra pública en el Estatuto General de Contratación de la Administración Pública, </w:t>
      </w:r>
      <w:r w:rsidRPr="003F155A">
        <w:rPr>
          <w:rFonts w:ascii="Arial" w:eastAsia="Calibri" w:hAnsi="Arial" w:cs="Arial"/>
          <w:color w:val="000000"/>
          <w:sz w:val="22"/>
          <w:lang w:val="es-ES_tradnl" w:eastAsia="en-GB"/>
        </w:rPr>
        <w:t>i</w:t>
      </w:r>
      <w:r w:rsidR="003F155A" w:rsidRPr="003F155A">
        <w:rPr>
          <w:rFonts w:ascii="Arial" w:eastAsia="Calibri" w:hAnsi="Arial" w:cs="Arial"/>
          <w:color w:val="000000"/>
          <w:sz w:val="22"/>
          <w:lang w:val="es-ES_tradnl" w:eastAsia="en-GB"/>
        </w:rPr>
        <w:t>i</w:t>
      </w:r>
      <w:r w:rsidR="00CB63BD">
        <w:rPr>
          <w:rFonts w:ascii="Arial" w:eastAsia="Calibri" w:hAnsi="Arial" w:cs="Arial"/>
          <w:color w:val="000000"/>
          <w:sz w:val="22"/>
          <w:lang w:val="es-ES_tradnl" w:eastAsia="en-GB"/>
        </w:rPr>
        <w:t>i</w:t>
      </w:r>
      <w:r w:rsidRPr="003F155A">
        <w:rPr>
          <w:rFonts w:ascii="Arial" w:eastAsia="Calibri" w:hAnsi="Arial" w:cs="Arial"/>
          <w:color w:val="000000"/>
          <w:sz w:val="22"/>
          <w:lang w:val="es-ES_tradnl" w:eastAsia="en-GB"/>
        </w:rPr>
        <w:t>) alcance de la causal de contratación directa prevista en el artículo 2, numeral 4º, literal g), de la Ley 1150 de 2007 y i</w:t>
      </w:r>
      <w:r w:rsidR="00CB63BD">
        <w:rPr>
          <w:rFonts w:ascii="Arial" w:eastAsia="Calibri" w:hAnsi="Arial" w:cs="Arial"/>
          <w:color w:val="000000"/>
          <w:sz w:val="22"/>
          <w:lang w:val="es-ES_tradnl" w:eastAsia="en-GB"/>
        </w:rPr>
        <w:t>v</w:t>
      </w:r>
      <w:r w:rsidRPr="003F155A">
        <w:rPr>
          <w:rFonts w:ascii="Arial" w:eastAsia="Calibri" w:hAnsi="Arial" w:cs="Arial"/>
          <w:color w:val="000000"/>
          <w:sz w:val="22"/>
          <w:lang w:val="es-ES_tradnl" w:eastAsia="en-GB"/>
        </w:rPr>
        <w:t>) precisión acerca de la posibilidad de que la existencia de una patente configure un supuesto para aplicar tal causal.</w:t>
      </w:r>
    </w:p>
    <w:p w14:paraId="2FF4F9D5" w14:textId="13D150D9" w:rsidR="00312015" w:rsidRPr="003F155A" w:rsidRDefault="007A00FA" w:rsidP="00312015">
      <w:pPr>
        <w:spacing w:before="120" w:line="276" w:lineRule="auto"/>
        <w:ind w:firstLine="709"/>
        <w:jc w:val="both"/>
        <w:rPr>
          <w:rFonts w:ascii="Arial" w:eastAsia="Calibri" w:hAnsi="Arial" w:cs="Arial"/>
          <w:color w:val="000000"/>
          <w:sz w:val="22"/>
          <w:lang w:val="es-ES_tradnl" w:eastAsia="en-GB"/>
        </w:rPr>
      </w:pPr>
      <w:r w:rsidRPr="003F155A">
        <w:rPr>
          <w:rFonts w:ascii="Arial" w:eastAsia="Calibri" w:hAnsi="Arial" w:cs="Arial"/>
          <w:color w:val="000000"/>
          <w:sz w:val="22"/>
          <w:lang w:val="es-ES_tradnl" w:eastAsia="en-GB"/>
        </w:rPr>
        <w:t>La Agencia Nacional de Contratación Pública – Colombia Compra Eficiente</w:t>
      </w:r>
      <w:r w:rsidR="003C1C9C">
        <w:rPr>
          <w:rFonts w:ascii="Arial" w:eastAsia="Calibri" w:hAnsi="Arial" w:cs="Arial"/>
          <w:color w:val="000000"/>
          <w:sz w:val="22"/>
          <w:lang w:val="es-ES_tradnl" w:eastAsia="en-GB"/>
        </w:rPr>
        <w:t xml:space="preserve"> en</w:t>
      </w:r>
      <w:r w:rsidR="00D8644A">
        <w:rPr>
          <w:rFonts w:ascii="Arial" w:eastAsia="Calibri" w:hAnsi="Arial" w:cs="Arial"/>
          <w:color w:val="000000"/>
          <w:sz w:val="22"/>
          <w:lang w:val="es-ES_tradnl" w:eastAsia="en-GB"/>
        </w:rPr>
        <w:t xml:space="preserve"> el concepto C-130 de 22 de marzo de 2022</w:t>
      </w:r>
      <w:r w:rsidR="00CB63BD">
        <w:rPr>
          <w:rFonts w:ascii="Arial" w:eastAsia="Calibri" w:hAnsi="Arial" w:cs="Arial"/>
          <w:color w:val="000000"/>
          <w:sz w:val="22"/>
          <w:lang w:val="es-ES_tradnl" w:eastAsia="en-GB"/>
        </w:rPr>
        <w:t>, entre otros,</w:t>
      </w:r>
      <w:r w:rsidR="00D8644A">
        <w:rPr>
          <w:rFonts w:ascii="Arial" w:eastAsia="Calibri" w:hAnsi="Arial" w:cs="Arial"/>
          <w:color w:val="000000"/>
          <w:sz w:val="22"/>
          <w:lang w:val="es-ES_tradnl" w:eastAsia="en-GB"/>
        </w:rPr>
        <w:t xml:space="preserve"> </w:t>
      </w:r>
      <w:r w:rsidR="00CB63BD">
        <w:rPr>
          <w:rFonts w:ascii="Arial" w:eastAsia="Calibri" w:hAnsi="Arial" w:cs="Arial"/>
          <w:color w:val="000000"/>
          <w:sz w:val="22"/>
          <w:lang w:val="es-ES_tradnl" w:eastAsia="en-GB"/>
        </w:rPr>
        <w:t>explicó las generalidades de los documentos tipo de infraestructura de transporte. Así mismo, en</w:t>
      </w:r>
      <w:r w:rsidR="003C1C9C">
        <w:rPr>
          <w:rFonts w:ascii="Arial" w:eastAsia="Calibri" w:hAnsi="Arial" w:cs="Arial"/>
          <w:color w:val="000000"/>
          <w:sz w:val="22"/>
          <w:lang w:val="es-ES_tradnl" w:eastAsia="en-GB"/>
        </w:rPr>
        <w:t xml:space="preserve"> </w:t>
      </w:r>
      <w:r w:rsidR="00422267">
        <w:rPr>
          <w:rFonts w:ascii="Arial" w:eastAsia="Calibri" w:hAnsi="Arial" w:cs="Arial"/>
          <w:color w:val="000000"/>
          <w:sz w:val="22"/>
          <w:lang w:val="es-ES_tradnl" w:eastAsia="en-GB"/>
        </w:rPr>
        <w:t>los</w:t>
      </w:r>
      <w:r w:rsidR="003C1C9C">
        <w:rPr>
          <w:rFonts w:ascii="Arial" w:eastAsia="Calibri" w:hAnsi="Arial" w:cs="Arial"/>
          <w:color w:val="000000"/>
          <w:sz w:val="22"/>
          <w:lang w:val="es-ES_tradnl" w:eastAsia="en-GB"/>
        </w:rPr>
        <w:t xml:space="preserve"> concepto</w:t>
      </w:r>
      <w:r w:rsidR="00422267">
        <w:rPr>
          <w:rFonts w:ascii="Arial" w:eastAsia="Calibri" w:hAnsi="Arial" w:cs="Arial"/>
          <w:color w:val="000000"/>
          <w:sz w:val="22"/>
          <w:lang w:val="es-ES_tradnl" w:eastAsia="en-GB"/>
        </w:rPr>
        <w:t>s</w:t>
      </w:r>
      <w:r w:rsidR="003C1C9C">
        <w:rPr>
          <w:rFonts w:ascii="Arial" w:eastAsia="Calibri" w:hAnsi="Arial" w:cs="Arial"/>
          <w:color w:val="000000"/>
          <w:sz w:val="22"/>
          <w:lang w:val="es-ES_tradnl" w:eastAsia="en-GB"/>
        </w:rPr>
        <w:t xml:space="preserve"> </w:t>
      </w:r>
      <w:r w:rsidR="00355C52">
        <w:rPr>
          <w:rFonts w:ascii="Arial" w:eastAsia="Calibri" w:hAnsi="Arial" w:cs="Arial"/>
          <w:color w:val="000000"/>
          <w:sz w:val="22"/>
          <w:lang w:val="es-ES_tradnl" w:eastAsia="en-GB"/>
        </w:rPr>
        <w:t>C-530 del 13 de agosto de 2020</w:t>
      </w:r>
      <w:r w:rsidR="00422267">
        <w:rPr>
          <w:rFonts w:ascii="Arial" w:eastAsia="Calibri" w:hAnsi="Arial" w:cs="Arial"/>
          <w:color w:val="000000"/>
          <w:sz w:val="22"/>
          <w:lang w:val="es-ES_tradnl" w:eastAsia="en-GB"/>
        </w:rPr>
        <w:t xml:space="preserve"> y 569 de 12 de octubre de 2021, entre otros,</w:t>
      </w:r>
      <w:r w:rsidR="00355C52">
        <w:rPr>
          <w:rFonts w:ascii="Arial" w:eastAsia="Calibri" w:hAnsi="Arial" w:cs="Arial"/>
          <w:color w:val="000000"/>
          <w:sz w:val="22"/>
          <w:lang w:val="es-ES_tradnl" w:eastAsia="en-GB"/>
        </w:rPr>
        <w:t xml:space="preserve"> estudió el contrato de obra pública</w:t>
      </w:r>
      <w:r w:rsidR="00E3174A">
        <w:rPr>
          <w:rFonts w:ascii="Arial" w:eastAsia="Calibri" w:hAnsi="Arial" w:cs="Arial"/>
          <w:color w:val="000000"/>
          <w:sz w:val="22"/>
          <w:lang w:val="es-ES_tradnl" w:eastAsia="en-GB"/>
        </w:rPr>
        <w:t xml:space="preserve">. </w:t>
      </w:r>
      <w:r w:rsidR="00CB63BD">
        <w:rPr>
          <w:rFonts w:ascii="Arial" w:eastAsia="Calibri" w:hAnsi="Arial" w:cs="Arial"/>
          <w:color w:val="000000"/>
          <w:sz w:val="22"/>
          <w:lang w:val="es-ES_tradnl" w:eastAsia="en-GB"/>
        </w:rPr>
        <w:t>Igualmente</w:t>
      </w:r>
      <w:r w:rsidR="00E3174A">
        <w:rPr>
          <w:rFonts w:ascii="Arial" w:eastAsia="Calibri" w:hAnsi="Arial" w:cs="Arial"/>
          <w:color w:val="000000"/>
          <w:sz w:val="22"/>
          <w:lang w:val="es-ES_tradnl" w:eastAsia="en-GB"/>
        </w:rPr>
        <w:t>,</w:t>
      </w:r>
      <w:r w:rsidRPr="003F155A">
        <w:rPr>
          <w:rFonts w:ascii="Arial" w:eastAsia="Calibri" w:hAnsi="Arial" w:cs="Arial"/>
          <w:color w:val="000000"/>
          <w:sz w:val="22"/>
          <w:lang w:val="es-ES_tradnl" w:eastAsia="en-GB"/>
        </w:rPr>
        <w:t xml:space="preserve"> en los conceptos con radicado C-475 del 22 de julio de 2020</w:t>
      </w:r>
      <w:r w:rsidR="00E44060">
        <w:rPr>
          <w:rFonts w:ascii="Arial" w:eastAsia="Calibri" w:hAnsi="Arial" w:cs="Arial"/>
          <w:color w:val="000000"/>
          <w:sz w:val="22"/>
          <w:lang w:val="es-ES_tradnl" w:eastAsia="en-GB"/>
        </w:rPr>
        <w:t>,</w:t>
      </w:r>
      <w:r w:rsidRPr="003F155A">
        <w:rPr>
          <w:rFonts w:ascii="Arial" w:eastAsia="Calibri" w:hAnsi="Arial" w:cs="Arial"/>
          <w:color w:val="000000"/>
          <w:sz w:val="22"/>
          <w:lang w:val="es-ES_tradnl" w:eastAsia="en-GB"/>
        </w:rPr>
        <w:t xml:space="preserve"> </w:t>
      </w:r>
      <w:r w:rsidR="00312015" w:rsidRPr="003F155A">
        <w:rPr>
          <w:rFonts w:ascii="Arial" w:eastAsia="Calibri" w:hAnsi="Arial" w:cs="Arial"/>
          <w:color w:val="000000"/>
          <w:sz w:val="22"/>
          <w:lang w:val="es-ES_tradnl" w:eastAsia="en-GB"/>
        </w:rPr>
        <w:t>C-658 del 14 de octubre de 2020</w:t>
      </w:r>
      <w:r w:rsidR="00FC18BA">
        <w:rPr>
          <w:rFonts w:ascii="Arial" w:eastAsia="Calibri" w:hAnsi="Arial" w:cs="Arial"/>
          <w:color w:val="000000"/>
          <w:sz w:val="22"/>
          <w:lang w:val="es-ES_tradnl" w:eastAsia="en-GB"/>
        </w:rPr>
        <w:t>, C-038 del 5 de abril del 2021, C-389 del 3 de agosto de 2021 y C-619 de 6 de diciembre de 2021</w:t>
      </w:r>
      <w:r w:rsidRPr="003F155A">
        <w:rPr>
          <w:rFonts w:ascii="Arial" w:eastAsia="Calibri" w:hAnsi="Arial" w:cs="Arial"/>
          <w:sz w:val="22"/>
          <w:lang w:val="es-ES_tradnl" w:eastAsia="en-GB"/>
        </w:rPr>
        <w:t>,</w:t>
      </w:r>
      <w:r w:rsidRPr="003F155A">
        <w:rPr>
          <w:rFonts w:ascii="Arial" w:eastAsia="Calibri" w:hAnsi="Arial" w:cs="Arial"/>
          <w:color w:val="000000"/>
          <w:sz w:val="22"/>
          <w:lang w:val="es-ES_tradnl" w:eastAsia="en-GB"/>
        </w:rPr>
        <w:t xml:space="preserve"> </w:t>
      </w:r>
      <w:r w:rsidR="00E3174A">
        <w:rPr>
          <w:rFonts w:ascii="Arial" w:eastAsia="Calibri" w:hAnsi="Arial" w:cs="Arial"/>
          <w:color w:val="000000"/>
          <w:sz w:val="22"/>
          <w:lang w:val="es-ES_tradnl" w:eastAsia="en-GB"/>
        </w:rPr>
        <w:t>analizó</w:t>
      </w:r>
      <w:r w:rsidRPr="003F155A">
        <w:rPr>
          <w:rFonts w:ascii="Arial" w:eastAsia="Calibri" w:hAnsi="Arial" w:cs="Arial"/>
          <w:color w:val="000000"/>
          <w:sz w:val="22"/>
          <w:lang w:val="es-ES_tradnl" w:eastAsia="en-GB"/>
        </w:rPr>
        <w:t xml:space="preserve"> la causal de contratación directa </w:t>
      </w:r>
      <w:r w:rsidR="00FC18BA">
        <w:rPr>
          <w:rFonts w:ascii="Arial" w:eastAsia="Calibri" w:hAnsi="Arial" w:cs="Arial"/>
          <w:color w:val="000000"/>
          <w:sz w:val="22"/>
          <w:lang w:val="es-ES_tradnl" w:eastAsia="en-GB"/>
        </w:rPr>
        <w:t>por inexistencia de pluralidad de oferentes</w:t>
      </w:r>
      <w:r w:rsidRPr="003F155A">
        <w:rPr>
          <w:rFonts w:ascii="Arial" w:eastAsia="Calibri" w:hAnsi="Arial" w:cs="Arial"/>
          <w:color w:val="000000"/>
          <w:sz w:val="22"/>
          <w:lang w:val="es-ES_tradnl" w:eastAsia="en-GB"/>
        </w:rPr>
        <w:t>. La</w:t>
      </w:r>
      <w:r w:rsidR="00FC18BA">
        <w:rPr>
          <w:rFonts w:ascii="Arial" w:eastAsia="Calibri" w:hAnsi="Arial" w:cs="Arial"/>
          <w:color w:val="000000"/>
          <w:sz w:val="22"/>
          <w:lang w:val="es-ES_tradnl" w:eastAsia="en-GB"/>
        </w:rPr>
        <w:t>s</w:t>
      </w:r>
      <w:r w:rsidRPr="003F155A">
        <w:rPr>
          <w:rFonts w:ascii="Arial" w:eastAsia="Calibri" w:hAnsi="Arial" w:cs="Arial"/>
          <w:color w:val="000000"/>
          <w:sz w:val="22"/>
          <w:lang w:val="es-ES_tradnl" w:eastAsia="en-GB"/>
        </w:rPr>
        <w:t xml:space="preserve"> tesis desarrollada</w:t>
      </w:r>
      <w:r w:rsidR="00FC18BA">
        <w:rPr>
          <w:rFonts w:ascii="Arial" w:eastAsia="Calibri" w:hAnsi="Arial" w:cs="Arial"/>
          <w:color w:val="000000"/>
          <w:sz w:val="22"/>
          <w:lang w:val="es-ES_tradnl" w:eastAsia="en-GB"/>
        </w:rPr>
        <w:t>s</w:t>
      </w:r>
      <w:r w:rsidRPr="003F155A">
        <w:rPr>
          <w:rFonts w:ascii="Arial" w:eastAsia="Calibri" w:hAnsi="Arial" w:cs="Arial"/>
          <w:color w:val="000000"/>
          <w:sz w:val="22"/>
          <w:lang w:val="es-ES_tradnl" w:eastAsia="en-GB"/>
        </w:rPr>
        <w:t xml:space="preserve"> en aquella</w:t>
      </w:r>
      <w:r w:rsidR="00FC18BA">
        <w:rPr>
          <w:rFonts w:ascii="Arial" w:eastAsia="Calibri" w:hAnsi="Arial" w:cs="Arial"/>
          <w:color w:val="000000"/>
          <w:sz w:val="22"/>
          <w:lang w:val="es-ES_tradnl" w:eastAsia="en-GB"/>
        </w:rPr>
        <w:t>s</w:t>
      </w:r>
      <w:r w:rsidRPr="003F155A">
        <w:rPr>
          <w:rFonts w:ascii="Arial" w:eastAsia="Calibri" w:hAnsi="Arial" w:cs="Arial"/>
          <w:color w:val="000000"/>
          <w:sz w:val="22"/>
          <w:lang w:val="es-ES_tradnl" w:eastAsia="en-GB"/>
        </w:rPr>
        <w:t xml:space="preserve"> oportunidad</w:t>
      </w:r>
      <w:r w:rsidR="00FC18BA">
        <w:rPr>
          <w:rFonts w:ascii="Arial" w:eastAsia="Calibri" w:hAnsi="Arial" w:cs="Arial"/>
          <w:color w:val="000000"/>
          <w:sz w:val="22"/>
          <w:lang w:val="es-ES_tradnl" w:eastAsia="en-GB"/>
        </w:rPr>
        <w:t>es</w:t>
      </w:r>
      <w:r w:rsidRPr="003F155A">
        <w:rPr>
          <w:rFonts w:ascii="Arial" w:eastAsia="Calibri" w:hAnsi="Arial" w:cs="Arial"/>
          <w:color w:val="000000"/>
          <w:sz w:val="22"/>
          <w:lang w:val="es-ES_tradnl" w:eastAsia="en-GB"/>
        </w:rPr>
        <w:t xml:space="preserve"> se expone</w:t>
      </w:r>
      <w:r w:rsidR="00FC18BA">
        <w:rPr>
          <w:rFonts w:ascii="Arial" w:eastAsia="Calibri" w:hAnsi="Arial" w:cs="Arial"/>
          <w:color w:val="000000"/>
          <w:sz w:val="22"/>
          <w:lang w:val="es-ES_tradnl" w:eastAsia="en-GB"/>
        </w:rPr>
        <w:t>n</w:t>
      </w:r>
      <w:r w:rsidRPr="003F155A">
        <w:rPr>
          <w:rFonts w:ascii="Arial" w:eastAsia="Calibri" w:hAnsi="Arial" w:cs="Arial"/>
          <w:color w:val="000000"/>
          <w:sz w:val="22"/>
          <w:lang w:val="es-ES_tradnl" w:eastAsia="en-GB"/>
        </w:rPr>
        <w:t xml:space="preserve"> a continuación y se complementa</w:t>
      </w:r>
      <w:r w:rsidR="00FC18BA">
        <w:rPr>
          <w:rFonts w:ascii="Arial" w:eastAsia="Calibri" w:hAnsi="Arial" w:cs="Arial"/>
          <w:color w:val="000000"/>
          <w:sz w:val="22"/>
          <w:lang w:val="es-ES_tradnl" w:eastAsia="en-GB"/>
        </w:rPr>
        <w:t>n en lo que corresponda</w:t>
      </w:r>
      <w:r w:rsidR="00F46DBB" w:rsidRPr="003F155A">
        <w:rPr>
          <w:rFonts w:ascii="Arial" w:eastAsia="Calibri" w:hAnsi="Arial" w:cs="Arial"/>
          <w:color w:val="000000"/>
          <w:sz w:val="22"/>
          <w:lang w:val="es-ES_tradnl" w:eastAsia="en-GB"/>
        </w:rPr>
        <w:t>.</w:t>
      </w:r>
    </w:p>
    <w:p w14:paraId="732F73E0" w14:textId="77777777" w:rsidR="003F155A" w:rsidRPr="003F155A" w:rsidRDefault="003F155A" w:rsidP="003F155A">
      <w:pPr>
        <w:pStyle w:val="Sinespaciado"/>
        <w:widowControl w:val="0"/>
        <w:autoSpaceDE w:val="0"/>
        <w:autoSpaceDN w:val="0"/>
        <w:spacing w:line="276" w:lineRule="auto"/>
        <w:jc w:val="both"/>
        <w:rPr>
          <w:rFonts w:ascii="Arial" w:hAnsi="Arial" w:cs="Arial"/>
          <w:b/>
          <w:color w:val="000000" w:themeColor="text1"/>
          <w:sz w:val="22"/>
          <w:lang w:val="es-ES_tradnl"/>
        </w:rPr>
      </w:pPr>
    </w:p>
    <w:p w14:paraId="50A5891F" w14:textId="5B6CF280" w:rsidR="003F155A" w:rsidRPr="006F33A2" w:rsidRDefault="003F155A" w:rsidP="003F155A">
      <w:pPr>
        <w:pStyle w:val="Sinespaciado"/>
        <w:widowControl w:val="0"/>
        <w:autoSpaceDE w:val="0"/>
        <w:autoSpaceDN w:val="0"/>
        <w:spacing w:line="276" w:lineRule="auto"/>
        <w:jc w:val="both"/>
        <w:rPr>
          <w:rFonts w:ascii="Arial" w:hAnsi="Arial" w:cs="Arial"/>
          <w:b/>
          <w:color w:val="000000" w:themeColor="text1"/>
          <w:sz w:val="22"/>
          <w:lang w:val="es-ES_tradnl"/>
        </w:rPr>
      </w:pPr>
      <w:r w:rsidRPr="003F155A">
        <w:rPr>
          <w:rFonts w:ascii="Arial" w:hAnsi="Arial" w:cs="Arial"/>
          <w:b/>
          <w:color w:val="000000" w:themeColor="text1"/>
          <w:sz w:val="22"/>
          <w:lang w:val="es-ES_tradnl"/>
        </w:rPr>
        <w:t xml:space="preserve">2.1. El contrato de obra pública en el Estatuto General de Contratación de la Administración Pública  </w:t>
      </w:r>
    </w:p>
    <w:p w14:paraId="798A3ACE" w14:textId="77777777" w:rsidR="003F155A" w:rsidRPr="003F155A" w:rsidRDefault="003F155A" w:rsidP="003F155A">
      <w:pPr>
        <w:pStyle w:val="Sinespaciado"/>
        <w:jc w:val="both"/>
        <w:rPr>
          <w:rFonts w:ascii="Arial" w:hAnsi="Arial" w:cs="Arial"/>
          <w:color w:val="000000" w:themeColor="text1"/>
          <w:sz w:val="22"/>
          <w:lang w:val="es-ES_tradnl"/>
        </w:rPr>
      </w:pPr>
    </w:p>
    <w:p w14:paraId="46FEFB27" w14:textId="7466A059" w:rsidR="003F155A" w:rsidRPr="003F155A" w:rsidRDefault="003F155A" w:rsidP="003F155A">
      <w:pPr>
        <w:pStyle w:val="Cuadrculamedia1-nfasis21"/>
        <w:spacing w:after="120" w:line="276" w:lineRule="auto"/>
        <w:ind w:left="0"/>
        <w:contextualSpacing w:val="0"/>
        <w:jc w:val="both"/>
        <w:rPr>
          <w:rFonts w:ascii="Arial" w:eastAsiaTheme="minorHAnsi" w:hAnsi="Arial" w:cs="Arial"/>
          <w:color w:val="000000" w:themeColor="text1"/>
          <w:lang w:val="es-ES_tradnl"/>
        </w:rPr>
      </w:pPr>
      <w:r w:rsidRPr="003F155A">
        <w:rPr>
          <w:rFonts w:ascii="Arial" w:eastAsiaTheme="minorHAnsi" w:hAnsi="Arial" w:cs="Arial"/>
          <w:color w:val="000000" w:themeColor="text1"/>
          <w:lang w:val="es-ES_tradnl"/>
        </w:rPr>
        <w:t>En primer lugar, debe tenerse en cuenta que el contrato de obra pública es una tipología de los contratos estatales, entendidos estos últimos como los actos jurídicos generadores de obligaciones celebrados por alguna de las entidades estatales enlistadas en el artículo 2 de la Ley 80 de 1993.</w:t>
      </w:r>
      <w:r w:rsidR="00142F55">
        <w:rPr>
          <w:rFonts w:ascii="Arial" w:eastAsiaTheme="minorHAnsi" w:hAnsi="Arial" w:cs="Arial"/>
          <w:color w:val="000000" w:themeColor="text1"/>
          <w:lang w:val="es-ES_tradnl"/>
        </w:rPr>
        <w:t xml:space="preserve"> </w:t>
      </w:r>
      <w:r w:rsidRPr="003F155A">
        <w:rPr>
          <w:rFonts w:ascii="Arial" w:eastAsiaTheme="minorHAnsi" w:hAnsi="Arial" w:cs="Arial"/>
          <w:color w:val="000000" w:themeColor="text1"/>
          <w:lang w:val="es-ES_tradnl"/>
        </w:rPr>
        <w:t>Lo anterior resulta de especial relevancia, debido a que dicho tipo contractual se diferencia de la definición y regulación prevista en el derecho privado para el contrato de confección de obra material, en los términos de los artículos 2053 y siguientes del Código Civil.</w:t>
      </w:r>
    </w:p>
    <w:p w14:paraId="3EF5ECFF" w14:textId="7366AFB0" w:rsidR="003F155A" w:rsidRPr="003F155A" w:rsidRDefault="003F155A" w:rsidP="003F155A">
      <w:pPr>
        <w:pStyle w:val="Cuadrculamedia1-nfasis21"/>
        <w:spacing w:before="120" w:after="0" w:line="276" w:lineRule="auto"/>
        <w:ind w:left="0" w:firstLine="709"/>
        <w:contextualSpacing w:val="0"/>
        <w:jc w:val="both"/>
        <w:rPr>
          <w:rFonts w:ascii="Arial" w:eastAsiaTheme="minorHAnsi" w:hAnsi="Arial" w:cs="Arial"/>
          <w:color w:val="000000" w:themeColor="text1"/>
          <w:lang w:val="es-ES_tradnl"/>
        </w:rPr>
      </w:pPr>
      <w:r w:rsidRPr="003F155A">
        <w:rPr>
          <w:rFonts w:ascii="Arial" w:eastAsiaTheme="minorHAnsi" w:hAnsi="Arial" w:cs="Arial"/>
          <w:color w:val="000000" w:themeColor="text1"/>
          <w:lang w:val="es-ES_tradnl"/>
        </w:rPr>
        <w:t>La definición del contrato de obra pública está prevista en el numeral 1° del artículo 32 de la Ley 80 de 1993, como aquel celebrado por una entidad estatal, cuyo objeto sea la construcción, mantenimiento, instalación y, general, la realización de cualquier otro trabajo material sobre bienes inmuebles, cualquiera que sea la modalidad de ejecución y pago. Al respecto, en sentencia de unificación</w:t>
      </w:r>
      <w:r w:rsidR="00B71617">
        <w:rPr>
          <w:rFonts w:ascii="Arial" w:eastAsiaTheme="minorHAnsi" w:hAnsi="Arial" w:cs="Arial"/>
          <w:color w:val="000000" w:themeColor="text1"/>
          <w:lang w:val="es-ES_tradnl"/>
        </w:rPr>
        <w:t xml:space="preserve"> jurisprudencial</w:t>
      </w:r>
      <w:r w:rsidRPr="003F155A">
        <w:rPr>
          <w:rFonts w:ascii="Arial" w:eastAsiaTheme="minorHAnsi" w:hAnsi="Arial" w:cs="Arial"/>
          <w:color w:val="000000" w:themeColor="text1"/>
          <w:lang w:val="es-ES_tradnl"/>
        </w:rPr>
        <w:t xml:space="preserve"> de la Sala Plena del Consejo de </w:t>
      </w:r>
      <w:r w:rsidRPr="003F155A">
        <w:rPr>
          <w:rFonts w:ascii="Arial" w:eastAsiaTheme="minorHAnsi" w:hAnsi="Arial" w:cs="Arial"/>
          <w:color w:val="000000" w:themeColor="text1"/>
          <w:lang w:val="es-ES_tradnl"/>
        </w:rPr>
        <w:lastRenderedPageBreak/>
        <w:t>Estado del 25 de febrero de 2020</w:t>
      </w:r>
      <w:r w:rsidRPr="003F155A">
        <w:rPr>
          <w:rStyle w:val="Refdenotaalpie"/>
          <w:rFonts w:ascii="Arial" w:eastAsiaTheme="minorHAnsi" w:hAnsi="Arial" w:cs="Arial"/>
          <w:color w:val="000000" w:themeColor="text1"/>
          <w:lang w:val="es-ES_tradnl"/>
        </w:rPr>
        <w:footnoteReference w:id="2"/>
      </w:r>
      <w:r w:rsidRPr="003F155A">
        <w:rPr>
          <w:rFonts w:ascii="Arial" w:eastAsiaTheme="minorHAnsi" w:hAnsi="Arial" w:cs="Arial"/>
          <w:color w:val="000000" w:themeColor="text1"/>
          <w:lang w:val="es-ES_tradnl"/>
        </w:rPr>
        <w:t>, se consideró que «[…] debe entenderse que, en términos generales, el contrato de obra pública es el celebrado con entidades de derecho público para la realización de trabajos materiales sobre bienes inmuebles […]».</w:t>
      </w:r>
    </w:p>
    <w:p w14:paraId="7B91C6B4" w14:textId="2F8A8E40" w:rsidR="003F155A" w:rsidRPr="003F155A" w:rsidRDefault="003F155A" w:rsidP="003F155A">
      <w:pPr>
        <w:pStyle w:val="Cuadrculamedia1-nfasis21"/>
        <w:spacing w:before="120" w:after="120" w:line="276" w:lineRule="auto"/>
        <w:ind w:left="0" w:firstLine="709"/>
        <w:contextualSpacing w:val="0"/>
        <w:jc w:val="both"/>
        <w:rPr>
          <w:rFonts w:ascii="Arial" w:eastAsiaTheme="minorHAnsi" w:hAnsi="Arial" w:cs="Arial"/>
          <w:color w:val="000000" w:themeColor="text1"/>
          <w:lang w:val="es-ES_tradnl"/>
        </w:rPr>
      </w:pPr>
      <w:r w:rsidRPr="003F155A">
        <w:rPr>
          <w:rFonts w:ascii="Arial" w:eastAsiaTheme="minorHAnsi" w:hAnsi="Arial" w:cs="Arial"/>
          <w:color w:val="000000" w:themeColor="text1"/>
          <w:lang w:val="es-ES_tradnl"/>
        </w:rPr>
        <w:t xml:space="preserve">El legislador adoptó el criterio de la tipificación del contrato de obra pública </w:t>
      </w:r>
      <w:r w:rsidR="00A27207">
        <w:rPr>
          <w:rFonts w:ascii="Arial" w:eastAsiaTheme="minorHAnsi" w:hAnsi="Arial" w:cs="Arial"/>
          <w:color w:val="000000" w:themeColor="text1"/>
          <w:lang w:val="es-ES_tradnl"/>
        </w:rPr>
        <w:t xml:space="preserve">como aquel </w:t>
      </w:r>
      <w:r w:rsidR="00D416D5">
        <w:rPr>
          <w:rFonts w:ascii="Arial" w:eastAsiaTheme="minorHAnsi" w:hAnsi="Arial" w:cs="Arial"/>
          <w:color w:val="000000" w:themeColor="text1"/>
          <w:lang w:val="es-ES_tradnl"/>
        </w:rPr>
        <w:t>cuyo objeto tiene que ver con</w:t>
      </w:r>
      <w:r w:rsidRPr="003F155A">
        <w:rPr>
          <w:rFonts w:ascii="Arial" w:eastAsiaTheme="minorHAnsi" w:hAnsi="Arial" w:cs="Arial"/>
          <w:color w:val="000000" w:themeColor="text1"/>
          <w:lang w:val="es-ES_tradnl"/>
        </w:rPr>
        <w:t xml:space="preserve"> actividades realizadas sobre bienes inmuebles</w:t>
      </w:r>
      <w:r w:rsidR="00D416D5">
        <w:rPr>
          <w:rFonts w:ascii="Arial" w:eastAsiaTheme="minorHAnsi" w:hAnsi="Arial" w:cs="Arial"/>
          <w:color w:val="000000" w:themeColor="text1"/>
          <w:lang w:val="es-ES_tradnl"/>
        </w:rPr>
        <w:t>. De este modo,</w:t>
      </w:r>
      <w:r w:rsidRPr="003F155A">
        <w:rPr>
          <w:rFonts w:ascii="Arial" w:eastAsiaTheme="minorHAnsi" w:hAnsi="Arial" w:cs="Arial"/>
          <w:color w:val="000000" w:themeColor="text1"/>
          <w:lang w:val="es-ES_tradnl"/>
        </w:rPr>
        <w:t xml:space="preserve"> </w:t>
      </w:r>
      <w:r w:rsidR="00D416D5">
        <w:rPr>
          <w:rFonts w:ascii="Arial" w:eastAsiaTheme="minorHAnsi" w:hAnsi="Arial" w:cs="Arial"/>
          <w:color w:val="000000" w:themeColor="text1"/>
          <w:lang w:val="es-ES_tradnl"/>
        </w:rPr>
        <w:t>admitió</w:t>
      </w:r>
      <w:r w:rsidRPr="003F155A">
        <w:rPr>
          <w:rFonts w:ascii="Arial" w:eastAsiaTheme="minorHAnsi" w:hAnsi="Arial" w:cs="Arial"/>
          <w:color w:val="000000" w:themeColor="text1"/>
          <w:lang w:val="es-ES_tradnl"/>
        </w:rPr>
        <w:t>, de forma muy amplia, la ejecución de todo trabajo</w:t>
      </w:r>
      <w:r w:rsidR="00F8187D">
        <w:rPr>
          <w:rFonts w:ascii="Arial" w:eastAsiaTheme="minorHAnsi" w:hAnsi="Arial" w:cs="Arial"/>
          <w:color w:val="000000" w:themeColor="text1"/>
          <w:lang w:val="es-ES_tradnl"/>
        </w:rPr>
        <w:t xml:space="preserve"> material</w:t>
      </w:r>
      <w:r w:rsidRPr="003F155A">
        <w:rPr>
          <w:rFonts w:ascii="Arial" w:eastAsiaTheme="minorHAnsi" w:hAnsi="Arial" w:cs="Arial"/>
          <w:color w:val="000000" w:themeColor="text1"/>
          <w:lang w:val="es-ES_tradnl"/>
        </w:rPr>
        <w:t xml:space="preserve"> que tenga por objeto crear, construir, conservar, o modificar bienes inmuebles, lo cual incluye trabajos de construcción, instalación, conservación, mantenimiento, reparación y demolición de esos mismos bienes.</w:t>
      </w:r>
    </w:p>
    <w:p w14:paraId="2280DFF4" w14:textId="75BC869F" w:rsidR="003F155A" w:rsidRPr="003F155A" w:rsidRDefault="003F155A" w:rsidP="003F155A">
      <w:pPr>
        <w:pStyle w:val="Cuadrculamedia1-nfasis21"/>
        <w:spacing w:after="120" w:line="276" w:lineRule="auto"/>
        <w:ind w:left="0" w:firstLine="709"/>
        <w:contextualSpacing w:val="0"/>
        <w:jc w:val="both"/>
        <w:rPr>
          <w:rFonts w:ascii="Arial" w:eastAsiaTheme="minorHAnsi" w:hAnsi="Arial" w:cs="Arial"/>
          <w:color w:val="000000" w:themeColor="text1"/>
          <w:lang w:val="es-ES_tradnl"/>
        </w:rPr>
      </w:pPr>
      <w:r w:rsidRPr="003F155A">
        <w:rPr>
          <w:rFonts w:ascii="Arial" w:eastAsiaTheme="minorHAnsi" w:hAnsi="Arial" w:cs="Arial"/>
          <w:color w:val="000000" w:themeColor="text1"/>
          <w:lang w:val="es-ES_tradnl"/>
        </w:rPr>
        <w:t>Por otro lado,</w:t>
      </w:r>
      <w:r w:rsidR="00F8187D">
        <w:rPr>
          <w:rFonts w:ascii="Arial" w:eastAsiaTheme="minorHAnsi" w:hAnsi="Arial" w:cs="Arial"/>
          <w:color w:val="000000" w:themeColor="text1"/>
          <w:lang w:val="es-ES_tradnl"/>
        </w:rPr>
        <w:t xml:space="preserve"> </w:t>
      </w:r>
      <w:r w:rsidRPr="003F155A">
        <w:rPr>
          <w:rFonts w:ascii="Arial" w:eastAsiaTheme="minorHAnsi" w:hAnsi="Arial" w:cs="Arial"/>
          <w:color w:val="000000" w:themeColor="text1"/>
          <w:lang w:val="es-ES_tradnl"/>
        </w:rPr>
        <w:t xml:space="preserve">es importante precisar que en el </w:t>
      </w:r>
      <w:r w:rsidR="00F8187D">
        <w:rPr>
          <w:rFonts w:ascii="Arial" w:eastAsiaTheme="minorHAnsi" w:hAnsi="Arial" w:cs="Arial"/>
          <w:color w:val="000000" w:themeColor="text1"/>
          <w:lang w:val="es-ES_tradnl"/>
        </w:rPr>
        <w:t xml:space="preserve">Estatuto General de Contratación de la Administración Pública </w:t>
      </w:r>
      <w:r w:rsidRPr="003F155A">
        <w:rPr>
          <w:rFonts w:ascii="Arial" w:eastAsiaTheme="minorHAnsi" w:hAnsi="Arial" w:cs="Arial"/>
          <w:color w:val="000000" w:themeColor="text1"/>
          <w:lang w:val="es-ES_tradnl"/>
        </w:rPr>
        <w:t>se mencionan indistintamente las nociones «obra pública» y «obra», sin que ello implique que se está haciendo referencia a dos tipologías contractuales diferentes. En efecto, los artículos 30</w:t>
      </w:r>
      <w:r w:rsidR="00A77FDE">
        <w:rPr>
          <w:rFonts w:ascii="Arial" w:eastAsiaTheme="minorHAnsi" w:hAnsi="Arial" w:cs="Arial"/>
          <w:color w:val="000000" w:themeColor="text1"/>
          <w:lang w:val="es-ES_tradnl"/>
        </w:rPr>
        <w:t xml:space="preserve"> –</w:t>
      </w:r>
      <w:r w:rsidRPr="003F155A">
        <w:rPr>
          <w:rFonts w:ascii="Arial" w:eastAsiaTheme="minorHAnsi" w:hAnsi="Arial" w:cs="Arial"/>
          <w:color w:val="000000" w:themeColor="text1"/>
          <w:lang w:val="es-ES_tradnl"/>
        </w:rPr>
        <w:t>parágrafo 3</w:t>
      </w:r>
      <w:r w:rsidR="00A77FDE">
        <w:rPr>
          <w:rFonts w:ascii="Arial" w:eastAsiaTheme="minorHAnsi" w:hAnsi="Arial" w:cs="Arial"/>
          <w:color w:val="000000" w:themeColor="text1"/>
          <w:lang w:val="es-ES_tradnl"/>
        </w:rPr>
        <w:t>–,</w:t>
      </w:r>
      <w:r w:rsidRPr="003F155A">
        <w:rPr>
          <w:rFonts w:ascii="Arial" w:eastAsiaTheme="minorHAnsi" w:hAnsi="Arial" w:cs="Arial"/>
          <w:color w:val="000000" w:themeColor="text1"/>
          <w:lang w:val="es-ES_tradnl"/>
        </w:rPr>
        <w:t xml:space="preserve"> 32</w:t>
      </w:r>
      <w:r w:rsidR="00A77FDE">
        <w:rPr>
          <w:rFonts w:ascii="Arial" w:eastAsiaTheme="minorHAnsi" w:hAnsi="Arial" w:cs="Arial"/>
          <w:color w:val="000000" w:themeColor="text1"/>
          <w:lang w:val="es-ES_tradnl"/>
        </w:rPr>
        <w:t xml:space="preserve"> –</w:t>
      </w:r>
      <w:r w:rsidRPr="003F155A">
        <w:rPr>
          <w:rFonts w:ascii="Arial" w:eastAsiaTheme="minorHAnsi" w:hAnsi="Arial" w:cs="Arial"/>
          <w:color w:val="000000" w:themeColor="text1"/>
          <w:lang w:val="es-ES_tradnl"/>
        </w:rPr>
        <w:t>parágrafo 2</w:t>
      </w:r>
      <w:r w:rsidR="00A77FDE">
        <w:rPr>
          <w:rFonts w:ascii="Arial" w:eastAsiaTheme="minorHAnsi" w:hAnsi="Arial" w:cs="Arial"/>
          <w:color w:val="000000" w:themeColor="text1"/>
          <w:lang w:val="es-ES_tradnl"/>
        </w:rPr>
        <w:t>–</w:t>
      </w:r>
      <w:r w:rsidRPr="003F155A">
        <w:rPr>
          <w:rFonts w:ascii="Arial" w:eastAsiaTheme="minorHAnsi" w:hAnsi="Arial" w:cs="Arial"/>
          <w:color w:val="000000" w:themeColor="text1"/>
          <w:lang w:val="es-ES_tradnl"/>
        </w:rPr>
        <w:t xml:space="preserve"> y 109 </w:t>
      </w:r>
      <w:r w:rsidR="00A77FDE">
        <w:rPr>
          <w:rFonts w:ascii="Arial" w:eastAsiaTheme="minorHAnsi" w:hAnsi="Arial" w:cs="Arial"/>
          <w:color w:val="000000" w:themeColor="text1"/>
          <w:lang w:val="es-ES_tradnl"/>
        </w:rPr>
        <w:t>–</w:t>
      </w:r>
      <w:r w:rsidRPr="003F155A">
        <w:rPr>
          <w:rFonts w:ascii="Arial" w:eastAsiaTheme="minorHAnsi" w:hAnsi="Arial" w:cs="Arial"/>
          <w:color w:val="000000" w:themeColor="text1"/>
          <w:lang w:val="es-ES_tradnl"/>
        </w:rPr>
        <w:t>inciso 3</w:t>
      </w:r>
      <w:r w:rsidR="00A77FDE">
        <w:rPr>
          <w:rFonts w:ascii="Arial" w:eastAsiaTheme="minorHAnsi" w:hAnsi="Arial" w:cs="Arial"/>
          <w:color w:val="000000" w:themeColor="text1"/>
          <w:lang w:val="es-ES_tradnl"/>
        </w:rPr>
        <w:t>–</w:t>
      </w:r>
      <w:r w:rsidRPr="003F155A">
        <w:rPr>
          <w:rFonts w:ascii="Arial" w:eastAsiaTheme="minorHAnsi" w:hAnsi="Arial" w:cs="Arial"/>
          <w:color w:val="000000" w:themeColor="text1"/>
          <w:lang w:val="es-ES_tradnl"/>
        </w:rPr>
        <w:t>, de la Ley 80 de 1993, así como los artículos 2</w:t>
      </w:r>
      <w:r w:rsidR="007242A2">
        <w:rPr>
          <w:rFonts w:ascii="Arial" w:eastAsiaTheme="minorHAnsi" w:hAnsi="Arial" w:cs="Arial"/>
          <w:color w:val="000000" w:themeColor="text1"/>
          <w:lang w:val="es-ES_tradnl"/>
        </w:rPr>
        <w:t xml:space="preserve"> –</w:t>
      </w:r>
      <w:r w:rsidRPr="003F155A">
        <w:rPr>
          <w:rFonts w:ascii="Arial" w:eastAsiaTheme="minorHAnsi" w:hAnsi="Arial" w:cs="Arial"/>
          <w:color w:val="000000" w:themeColor="text1"/>
          <w:lang w:val="es-ES_tradnl"/>
        </w:rPr>
        <w:t>numeral 4, parágrafo 7</w:t>
      </w:r>
      <w:r w:rsidR="007242A2">
        <w:rPr>
          <w:rFonts w:ascii="Arial" w:eastAsiaTheme="minorHAnsi" w:hAnsi="Arial" w:cs="Arial"/>
          <w:color w:val="000000" w:themeColor="text1"/>
          <w:lang w:val="es-ES_tradnl"/>
        </w:rPr>
        <w:t>–,</w:t>
      </w:r>
      <w:r w:rsidRPr="003F155A">
        <w:rPr>
          <w:rFonts w:ascii="Arial" w:eastAsiaTheme="minorHAnsi" w:hAnsi="Arial" w:cs="Arial"/>
          <w:color w:val="000000" w:themeColor="text1"/>
          <w:lang w:val="es-ES_tradnl"/>
        </w:rPr>
        <w:t xml:space="preserve"> 5 </w:t>
      </w:r>
      <w:r w:rsidR="007242A2">
        <w:rPr>
          <w:rFonts w:ascii="Arial" w:eastAsiaTheme="minorHAnsi" w:hAnsi="Arial" w:cs="Arial"/>
          <w:color w:val="000000" w:themeColor="text1"/>
          <w:lang w:val="es-ES_tradnl"/>
        </w:rPr>
        <w:t>–</w:t>
      </w:r>
      <w:r w:rsidRPr="003F155A">
        <w:rPr>
          <w:rFonts w:ascii="Arial" w:eastAsiaTheme="minorHAnsi" w:hAnsi="Arial" w:cs="Arial"/>
          <w:color w:val="000000" w:themeColor="text1"/>
          <w:lang w:val="es-ES_tradnl"/>
        </w:rPr>
        <w:t>numeral 2</w:t>
      </w:r>
      <w:r w:rsidR="007242A2">
        <w:rPr>
          <w:rFonts w:ascii="Arial" w:eastAsiaTheme="minorHAnsi" w:hAnsi="Arial" w:cs="Arial"/>
          <w:color w:val="000000" w:themeColor="text1"/>
          <w:lang w:val="es-ES_tradnl"/>
        </w:rPr>
        <w:t>–</w:t>
      </w:r>
      <w:r w:rsidRPr="003F155A">
        <w:rPr>
          <w:rFonts w:ascii="Arial" w:eastAsiaTheme="minorHAnsi" w:hAnsi="Arial" w:cs="Arial"/>
          <w:color w:val="000000" w:themeColor="text1"/>
          <w:lang w:val="es-ES_tradnl"/>
        </w:rPr>
        <w:t xml:space="preserve"> y 28</w:t>
      </w:r>
      <w:r w:rsidR="002F26B7">
        <w:rPr>
          <w:rFonts w:ascii="Arial" w:eastAsiaTheme="minorHAnsi" w:hAnsi="Arial" w:cs="Arial"/>
          <w:color w:val="000000" w:themeColor="text1"/>
          <w:lang w:val="es-ES_tradnl"/>
        </w:rPr>
        <w:t>,</w:t>
      </w:r>
      <w:r w:rsidRPr="003F155A">
        <w:rPr>
          <w:rFonts w:ascii="Arial" w:eastAsiaTheme="minorHAnsi" w:hAnsi="Arial" w:cs="Arial"/>
          <w:color w:val="000000" w:themeColor="text1"/>
          <w:lang w:val="es-ES_tradnl"/>
        </w:rPr>
        <w:t xml:space="preserve"> de la Ley 1150 de 2007, se refieren a la «obra pública»</w:t>
      </w:r>
      <w:r w:rsidR="00FA4524">
        <w:rPr>
          <w:rFonts w:ascii="Arial" w:eastAsiaTheme="minorHAnsi" w:hAnsi="Arial" w:cs="Arial"/>
          <w:color w:val="000000" w:themeColor="text1"/>
          <w:lang w:val="es-ES_tradnl"/>
        </w:rPr>
        <w:t>;</w:t>
      </w:r>
      <w:r w:rsidRPr="003F155A">
        <w:rPr>
          <w:rFonts w:ascii="Arial" w:eastAsiaTheme="minorHAnsi" w:hAnsi="Arial" w:cs="Arial"/>
          <w:color w:val="000000" w:themeColor="text1"/>
          <w:lang w:val="es-ES_tradnl"/>
        </w:rPr>
        <w:t xml:space="preserve"> mientras los artículos 4</w:t>
      </w:r>
      <w:r w:rsidR="007242A2">
        <w:rPr>
          <w:rFonts w:ascii="Arial" w:eastAsiaTheme="minorHAnsi" w:hAnsi="Arial" w:cs="Arial"/>
          <w:color w:val="000000" w:themeColor="text1"/>
          <w:lang w:val="es-ES_tradnl"/>
        </w:rPr>
        <w:t xml:space="preserve"> –</w:t>
      </w:r>
      <w:r w:rsidRPr="003F155A">
        <w:rPr>
          <w:rFonts w:ascii="Arial" w:eastAsiaTheme="minorHAnsi" w:hAnsi="Arial" w:cs="Arial"/>
          <w:color w:val="000000" w:themeColor="text1"/>
          <w:lang w:val="es-ES_tradnl"/>
        </w:rPr>
        <w:t>numeral 4</w:t>
      </w:r>
      <w:r w:rsidR="007242A2">
        <w:rPr>
          <w:rFonts w:ascii="Arial" w:eastAsiaTheme="minorHAnsi" w:hAnsi="Arial" w:cs="Arial"/>
          <w:color w:val="000000" w:themeColor="text1"/>
          <w:lang w:val="es-ES_tradnl"/>
        </w:rPr>
        <w:t>–,</w:t>
      </w:r>
      <w:r w:rsidRPr="003F155A">
        <w:rPr>
          <w:rFonts w:ascii="Arial" w:eastAsiaTheme="minorHAnsi" w:hAnsi="Arial" w:cs="Arial"/>
          <w:color w:val="000000" w:themeColor="text1"/>
          <w:lang w:val="es-ES_tradnl"/>
        </w:rPr>
        <w:t xml:space="preserve"> 14 </w:t>
      </w:r>
      <w:r w:rsidR="007242A2">
        <w:rPr>
          <w:rFonts w:ascii="Arial" w:eastAsiaTheme="minorHAnsi" w:hAnsi="Arial" w:cs="Arial"/>
          <w:color w:val="000000" w:themeColor="text1"/>
          <w:lang w:val="es-ES_tradnl"/>
        </w:rPr>
        <w:t>–</w:t>
      </w:r>
      <w:r w:rsidRPr="003F155A">
        <w:rPr>
          <w:rFonts w:ascii="Arial" w:eastAsiaTheme="minorHAnsi" w:hAnsi="Arial" w:cs="Arial"/>
          <w:color w:val="000000" w:themeColor="text1"/>
          <w:lang w:val="es-ES_tradnl"/>
        </w:rPr>
        <w:t>numeral 2</w:t>
      </w:r>
      <w:r w:rsidR="007242A2">
        <w:rPr>
          <w:rFonts w:ascii="Arial" w:eastAsiaTheme="minorHAnsi" w:hAnsi="Arial" w:cs="Arial"/>
          <w:color w:val="000000" w:themeColor="text1"/>
          <w:lang w:val="es-ES_tradnl"/>
        </w:rPr>
        <w:t>–,</w:t>
      </w:r>
      <w:r w:rsidRPr="003F155A">
        <w:rPr>
          <w:rFonts w:ascii="Arial" w:eastAsiaTheme="minorHAnsi" w:hAnsi="Arial" w:cs="Arial"/>
          <w:color w:val="000000" w:themeColor="text1"/>
          <w:lang w:val="es-ES_tradnl"/>
        </w:rPr>
        <w:t xml:space="preserve"> 16</w:t>
      </w:r>
      <w:r w:rsidR="00FD023A">
        <w:rPr>
          <w:rFonts w:ascii="Arial" w:eastAsiaTheme="minorHAnsi" w:hAnsi="Arial" w:cs="Arial"/>
          <w:color w:val="000000" w:themeColor="text1"/>
          <w:lang w:val="es-ES_tradnl"/>
        </w:rPr>
        <w:t xml:space="preserve">, </w:t>
      </w:r>
      <w:r w:rsidRPr="003F155A">
        <w:rPr>
          <w:rFonts w:ascii="Arial" w:eastAsiaTheme="minorHAnsi" w:hAnsi="Arial" w:cs="Arial"/>
          <w:color w:val="000000" w:themeColor="text1"/>
          <w:lang w:val="es-ES_tradnl"/>
        </w:rPr>
        <w:t>18</w:t>
      </w:r>
      <w:r w:rsidR="00FD023A">
        <w:rPr>
          <w:rFonts w:ascii="Arial" w:eastAsiaTheme="minorHAnsi" w:hAnsi="Arial" w:cs="Arial"/>
          <w:color w:val="000000" w:themeColor="text1"/>
          <w:lang w:val="es-ES_tradnl"/>
        </w:rPr>
        <w:t xml:space="preserve"> –</w:t>
      </w:r>
      <w:r w:rsidRPr="003F155A">
        <w:rPr>
          <w:rFonts w:ascii="Arial" w:eastAsiaTheme="minorHAnsi" w:hAnsi="Arial" w:cs="Arial"/>
          <w:color w:val="000000" w:themeColor="text1"/>
          <w:lang w:val="es-ES_tradnl"/>
        </w:rPr>
        <w:t>inciso 2</w:t>
      </w:r>
      <w:r w:rsidR="00FD023A">
        <w:rPr>
          <w:rFonts w:ascii="Arial" w:eastAsiaTheme="minorHAnsi" w:hAnsi="Arial" w:cs="Arial"/>
          <w:color w:val="000000" w:themeColor="text1"/>
          <w:lang w:val="es-ES_tradnl"/>
        </w:rPr>
        <w:t>–,</w:t>
      </w:r>
      <w:r w:rsidRPr="003F155A">
        <w:rPr>
          <w:rFonts w:ascii="Arial" w:eastAsiaTheme="minorHAnsi" w:hAnsi="Arial" w:cs="Arial"/>
          <w:color w:val="000000" w:themeColor="text1"/>
          <w:lang w:val="es-ES_tradnl"/>
        </w:rPr>
        <w:t xml:space="preserve"> 24</w:t>
      </w:r>
      <w:r w:rsidR="00FD023A">
        <w:rPr>
          <w:rFonts w:ascii="Arial" w:eastAsiaTheme="minorHAnsi" w:hAnsi="Arial" w:cs="Arial"/>
          <w:color w:val="000000" w:themeColor="text1"/>
          <w:lang w:val="es-ES_tradnl"/>
        </w:rPr>
        <w:t xml:space="preserve"> –</w:t>
      </w:r>
      <w:r w:rsidRPr="003F155A">
        <w:rPr>
          <w:rFonts w:ascii="Arial" w:eastAsiaTheme="minorHAnsi" w:hAnsi="Arial" w:cs="Arial"/>
          <w:color w:val="000000" w:themeColor="text1"/>
          <w:lang w:val="es-ES_tradnl"/>
        </w:rPr>
        <w:t>numeral 5, literal C</w:t>
      </w:r>
      <w:r w:rsidR="00FD023A">
        <w:rPr>
          <w:rFonts w:ascii="Arial" w:eastAsiaTheme="minorHAnsi" w:hAnsi="Arial" w:cs="Arial"/>
          <w:color w:val="000000" w:themeColor="text1"/>
          <w:lang w:val="es-ES_tradnl"/>
        </w:rPr>
        <w:t>–,</w:t>
      </w:r>
      <w:r w:rsidRPr="003F155A">
        <w:rPr>
          <w:rFonts w:ascii="Arial" w:eastAsiaTheme="minorHAnsi" w:hAnsi="Arial" w:cs="Arial"/>
          <w:color w:val="000000" w:themeColor="text1"/>
          <w:lang w:val="es-ES_tradnl"/>
        </w:rPr>
        <w:t xml:space="preserve"> 25</w:t>
      </w:r>
      <w:r w:rsidR="00FD023A">
        <w:rPr>
          <w:rFonts w:ascii="Arial" w:eastAsiaTheme="minorHAnsi" w:hAnsi="Arial" w:cs="Arial"/>
          <w:color w:val="000000" w:themeColor="text1"/>
          <w:lang w:val="es-ES_tradnl"/>
        </w:rPr>
        <w:t xml:space="preserve"> –</w:t>
      </w:r>
      <w:r w:rsidRPr="003F155A">
        <w:rPr>
          <w:rFonts w:ascii="Arial" w:eastAsiaTheme="minorHAnsi" w:hAnsi="Arial" w:cs="Arial"/>
          <w:color w:val="000000" w:themeColor="text1"/>
          <w:lang w:val="es-ES_tradnl"/>
        </w:rPr>
        <w:t>numeral 12</w:t>
      </w:r>
      <w:r w:rsidR="00FD023A">
        <w:rPr>
          <w:rFonts w:ascii="Arial" w:eastAsiaTheme="minorHAnsi" w:hAnsi="Arial" w:cs="Arial"/>
          <w:color w:val="000000" w:themeColor="text1"/>
          <w:lang w:val="es-ES_tradnl"/>
        </w:rPr>
        <w:t>–,</w:t>
      </w:r>
      <w:r w:rsidRPr="003F155A">
        <w:rPr>
          <w:rFonts w:ascii="Arial" w:eastAsiaTheme="minorHAnsi" w:hAnsi="Arial" w:cs="Arial"/>
          <w:color w:val="000000" w:themeColor="text1"/>
          <w:lang w:val="es-ES_tradnl"/>
        </w:rPr>
        <w:t xml:space="preserve"> 30</w:t>
      </w:r>
      <w:r w:rsidR="00FD023A">
        <w:rPr>
          <w:rFonts w:ascii="Arial" w:eastAsiaTheme="minorHAnsi" w:hAnsi="Arial" w:cs="Arial"/>
          <w:color w:val="000000" w:themeColor="text1"/>
          <w:lang w:val="es-ES_tradnl"/>
        </w:rPr>
        <w:t xml:space="preserve"> –</w:t>
      </w:r>
      <w:r w:rsidRPr="003F155A">
        <w:rPr>
          <w:rFonts w:ascii="Arial" w:eastAsiaTheme="minorHAnsi" w:hAnsi="Arial" w:cs="Arial"/>
          <w:color w:val="000000" w:themeColor="text1"/>
          <w:lang w:val="es-ES_tradnl"/>
        </w:rPr>
        <w:t>parágrafo 2</w:t>
      </w:r>
      <w:r w:rsidR="00FD023A">
        <w:rPr>
          <w:rFonts w:ascii="Arial" w:eastAsiaTheme="minorHAnsi" w:hAnsi="Arial" w:cs="Arial"/>
          <w:color w:val="000000" w:themeColor="text1"/>
          <w:lang w:val="es-ES_tradnl"/>
        </w:rPr>
        <w:t>–,</w:t>
      </w:r>
      <w:r w:rsidRPr="003F155A">
        <w:rPr>
          <w:rFonts w:ascii="Arial" w:eastAsiaTheme="minorHAnsi" w:hAnsi="Arial" w:cs="Arial"/>
          <w:color w:val="000000" w:themeColor="text1"/>
          <w:lang w:val="es-ES_tradnl"/>
        </w:rPr>
        <w:t xml:space="preserve"> y 40</w:t>
      </w:r>
      <w:r w:rsidR="00FD023A">
        <w:rPr>
          <w:rFonts w:ascii="Arial" w:eastAsiaTheme="minorHAnsi" w:hAnsi="Arial" w:cs="Arial"/>
          <w:color w:val="000000" w:themeColor="text1"/>
          <w:lang w:val="es-ES_tradnl"/>
        </w:rPr>
        <w:t xml:space="preserve"> –</w:t>
      </w:r>
      <w:r w:rsidRPr="003F155A">
        <w:rPr>
          <w:rFonts w:ascii="Arial" w:eastAsiaTheme="minorHAnsi" w:hAnsi="Arial" w:cs="Arial"/>
          <w:color w:val="000000" w:themeColor="text1"/>
          <w:lang w:val="es-ES_tradnl"/>
        </w:rPr>
        <w:t>parágrafo, inciso tercero</w:t>
      </w:r>
      <w:r w:rsidR="00FD023A">
        <w:rPr>
          <w:rFonts w:ascii="Arial" w:eastAsiaTheme="minorHAnsi" w:hAnsi="Arial" w:cs="Arial"/>
          <w:color w:val="000000" w:themeColor="text1"/>
          <w:lang w:val="es-ES_tradnl"/>
        </w:rPr>
        <w:t>–,</w:t>
      </w:r>
      <w:r w:rsidRPr="003F155A">
        <w:rPr>
          <w:rFonts w:ascii="Arial" w:eastAsiaTheme="minorHAnsi" w:hAnsi="Arial" w:cs="Arial"/>
          <w:color w:val="000000" w:themeColor="text1"/>
          <w:lang w:val="es-ES_tradnl"/>
        </w:rPr>
        <w:t xml:space="preserve"> así como los artículos 2</w:t>
      </w:r>
      <w:r w:rsidR="00FD023A">
        <w:rPr>
          <w:rFonts w:ascii="Arial" w:eastAsiaTheme="minorHAnsi" w:hAnsi="Arial" w:cs="Arial"/>
          <w:color w:val="000000" w:themeColor="text1"/>
          <w:lang w:val="es-ES_tradnl"/>
        </w:rPr>
        <w:t xml:space="preserve"> –</w:t>
      </w:r>
      <w:r w:rsidRPr="003F155A">
        <w:rPr>
          <w:rFonts w:ascii="Arial" w:eastAsiaTheme="minorHAnsi" w:hAnsi="Arial" w:cs="Arial"/>
          <w:color w:val="000000" w:themeColor="text1"/>
          <w:lang w:val="es-ES_tradnl"/>
        </w:rPr>
        <w:t>numeral 2</w:t>
      </w:r>
      <w:r w:rsidR="00FD023A">
        <w:rPr>
          <w:rFonts w:ascii="Arial" w:eastAsiaTheme="minorHAnsi" w:hAnsi="Arial" w:cs="Arial"/>
          <w:color w:val="000000" w:themeColor="text1"/>
          <w:lang w:val="es-ES_tradnl"/>
        </w:rPr>
        <w:t>–,</w:t>
      </w:r>
      <w:r w:rsidRPr="003F155A">
        <w:rPr>
          <w:rFonts w:ascii="Arial" w:eastAsiaTheme="minorHAnsi" w:hAnsi="Arial" w:cs="Arial"/>
          <w:color w:val="000000" w:themeColor="text1"/>
          <w:lang w:val="es-ES_tradnl"/>
        </w:rPr>
        <w:t xml:space="preserve"> 6</w:t>
      </w:r>
      <w:r w:rsidR="00FD023A">
        <w:rPr>
          <w:rFonts w:ascii="Arial" w:eastAsiaTheme="minorHAnsi" w:hAnsi="Arial" w:cs="Arial"/>
          <w:color w:val="000000" w:themeColor="text1"/>
          <w:lang w:val="es-ES_tradnl"/>
        </w:rPr>
        <w:t xml:space="preserve"> –</w:t>
      </w:r>
      <w:r w:rsidRPr="003F155A">
        <w:rPr>
          <w:rFonts w:ascii="Arial" w:eastAsiaTheme="minorHAnsi" w:hAnsi="Arial" w:cs="Arial"/>
          <w:color w:val="000000" w:themeColor="text1"/>
          <w:lang w:val="es-ES_tradnl"/>
        </w:rPr>
        <w:t>parágrafo 1</w:t>
      </w:r>
      <w:r w:rsidR="00FD023A">
        <w:rPr>
          <w:rFonts w:ascii="Arial" w:eastAsiaTheme="minorHAnsi" w:hAnsi="Arial" w:cs="Arial"/>
          <w:color w:val="000000" w:themeColor="text1"/>
          <w:lang w:val="es-ES_tradnl"/>
        </w:rPr>
        <w:t>–,</w:t>
      </w:r>
      <w:r w:rsidRPr="003F155A">
        <w:rPr>
          <w:rFonts w:ascii="Arial" w:eastAsiaTheme="minorHAnsi" w:hAnsi="Arial" w:cs="Arial"/>
          <w:color w:val="000000" w:themeColor="text1"/>
          <w:lang w:val="es-ES_tradnl"/>
        </w:rPr>
        <w:t xml:space="preserve"> y 12</w:t>
      </w:r>
      <w:r w:rsidR="00FD023A">
        <w:rPr>
          <w:rFonts w:ascii="Arial" w:eastAsiaTheme="minorHAnsi" w:hAnsi="Arial" w:cs="Arial"/>
          <w:color w:val="000000" w:themeColor="text1"/>
          <w:lang w:val="es-ES_tradnl"/>
        </w:rPr>
        <w:t>,</w:t>
      </w:r>
      <w:r w:rsidRPr="003F155A">
        <w:rPr>
          <w:rFonts w:ascii="Arial" w:eastAsiaTheme="minorHAnsi" w:hAnsi="Arial" w:cs="Arial"/>
          <w:color w:val="000000" w:themeColor="text1"/>
          <w:lang w:val="es-ES_tradnl"/>
        </w:rPr>
        <w:t xml:space="preserve"> de la Ley 1150 de 2007, se refieren a «obra». Lo mismo se predica de las disposiciones del Decreto 1082 de 2015, como, por ejemplo, </w:t>
      </w:r>
      <w:r w:rsidR="0074608B">
        <w:rPr>
          <w:rFonts w:ascii="Arial" w:eastAsiaTheme="minorHAnsi" w:hAnsi="Arial" w:cs="Arial"/>
          <w:color w:val="000000" w:themeColor="text1"/>
          <w:lang w:val="es-ES_tradnl"/>
        </w:rPr>
        <w:t>de</w:t>
      </w:r>
      <w:r w:rsidRPr="003F155A">
        <w:rPr>
          <w:rFonts w:ascii="Arial" w:eastAsiaTheme="minorHAnsi" w:hAnsi="Arial" w:cs="Arial"/>
          <w:color w:val="000000" w:themeColor="text1"/>
          <w:lang w:val="es-ES_tradnl"/>
        </w:rPr>
        <w:t xml:space="preserve"> los artículos 2.2.1.2.1.2.24. y 2.2.1.2.3.1.8.</w:t>
      </w:r>
    </w:p>
    <w:p w14:paraId="451C5128" w14:textId="7591DFB9" w:rsidR="003F155A" w:rsidRPr="003F155A" w:rsidRDefault="00472450" w:rsidP="003F155A">
      <w:pPr>
        <w:pStyle w:val="Cuadrculamedia1-nfasis21"/>
        <w:spacing w:before="120" w:after="0" w:line="276" w:lineRule="auto"/>
        <w:ind w:left="0" w:firstLine="709"/>
        <w:jc w:val="both"/>
        <w:rPr>
          <w:rFonts w:ascii="Arial" w:eastAsiaTheme="minorHAnsi" w:hAnsi="Arial" w:cs="Arial"/>
          <w:color w:val="000000" w:themeColor="text1"/>
          <w:lang w:val="es-ES_tradnl"/>
        </w:rPr>
      </w:pPr>
      <w:r>
        <w:rPr>
          <w:rFonts w:ascii="Arial" w:eastAsiaTheme="minorHAnsi" w:hAnsi="Arial" w:cs="Arial"/>
          <w:color w:val="000000" w:themeColor="text1"/>
          <w:lang w:val="es-ES_tradnl"/>
        </w:rPr>
        <w:t>Por ello</w:t>
      </w:r>
      <w:r w:rsidR="003F155A" w:rsidRPr="003F155A">
        <w:rPr>
          <w:rFonts w:ascii="Arial" w:eastAsiaTheme="minorHAnsi" w:hAnsi="Arial" w:cs="Arial"/>
          <w:color w:val="000000" w:themeColor="text1"/>
          <w:lang w:val="es-ES_tradnl"/>
        </w:rPr>
        <w:t>, lo cierto es que se debe entender que, en ambos casos, se está haciendo referencia al «contrato de obra pública» que regula el numeral 1 del artículo 32 de la Ley 80 de 1993, en los siguientes términos:</w:t>
      </w:r>
    </w:p>
    <w:p w14:paraId="6A624A3D" w14:textId="77777777" w:rsidR="003F155A" w:rsidRPr="003F155A" w:rsidRDefault="003F155A" w:rsidP="003F155A">
      <w:pPr>
        <w:pStyle w:val="Cuadrculamedia1-nfasis21"/>
        <w:spacing w:after="0" w:line="240" w:lineRule="auto"/>
        <w:ind w:left="709" w:right="709"/>
        <w:jc w:val="both"/>
        <w:rPr>
          <w:rFonts w:ascii="Arial" w:eastAsiaTheme="minorHAnsi" w:hAnsi="Arial" w:cs="Arial"/>
          <w:b/>
          <w:color w:val="000000" w:themeColor="text1"/>
          <w:sz w:val="21"/>
          <w:szCs w:val="21"/>
          <w:lang w:val="es-ES_tradnl"/>
        </w:rPr>
      </w:pPr>
    </w:p>
    <w:p w14:paraId="57C6F6C7" w14:textId="77777777" w:rsidR="003F155A" w:rsidRPr="003F155A" w:rsidRDefault="003F155A" w:rsidP="0074608B">
      <w:pPr>
        <w:pStyle w:val="Cuadrculamedia1-nfasis21"/>
        <w:spacing w:after="0" w:line="240" w:lineRule="auto"/>
        <w:ind w:left="709" w:right="709"/>
        <w:jc w:val="both"/>
        <w:rPr>
          <w:rFonts w:ascii="Arial" w:eastAsiaTheme="minorHAnsi" w:hAnsi="Arial" w:cs="Arial"/>
          <w:color w:val="000000" w:themeColor="text1"/>
          <w:sz w:val="21"/>
          <w:szCs w:val="21"/>
          <w:lang w:val="es-ES_tradnl"/>
        </w:rPr>
      </w:pPr>
      <w:r w:rsidRPr="003F155A">
        <w:rPr>
          <w:rFonts w:ascii="Arial" w:eastAsiaTheme="minorHAnsi" w:hAnsi="Arial" w:cs="Arial"/>
          <w:color w:val="000000" w:themeColor="text1"/>
          <w:sz w:val="21"/>
          <w:szCs w:val="21"/>
          <w:lang w:val="es-ES_tradnl"/>
        </w:rPr>
        <w:t>Artículo   32. De los Contratos Estatales. Son contratos estatales todos los actos jurídicos generadores de obligaciones que celebren las entidades a que se refiere el presente estatuto, previstos en el derecho privado o en disposiciones especiales, o derivados del ejercicio de la autonomía de la voluntad, así como los que, a título enunciativo, se definen a continuación</w:t>
      </w:r>
    </w:p>
    <w:p w14:paraId="06F60A5C" w14:textId="77777777" w:rsidR="003F155A" w:rsidRPr="003F155A" w:rsidRDefault="003F155A" w:rsidP="0074608B">
      <w:pPr>
        <w:pStyle w:val="Cuadrculamedia1-nfasis21"/>
        <w:spacing w:after="0" w:line="240" w:lineRule="auto"/>
        <w:ind w:left="709" w:right="709"/>
        <w:jc w:val="both"/>
        <w:rPr>
          <w:rFonts w:ascii="Arial" w:eastAsiaTheme="minorHAnsi" w:hAnsi="Arial" w:cs="Arial"/>
          <w:color w:val="000000" w:themeColor="text1"/>
          <w:sz w:val="21"/>
          <w:szCs w:val="21"/>
          <w:lang w:val="es-ES_tradnl"/>
        </w:rPr>
      </w:pPr>
    </w:p>
    <w:p w14:paraId="27F82BA3" w14:textId="77777777" w:rsidR="003F155A" w:rsidRPr="003F155A" w:rsidRDefault="003F155A" w:rsidP="0074608B">
      <w:pPr>
        <w:pStyle w:val="Cuadrculamedia1-nfasis21"/>
        <w:spacing w:after="0" w:line="240" w:lineRule="auto"/>
        <w:ind w:left="709" w:right="709"/>
        <w:jc w:val="both"/>
        <w:rPr>
          <w:rFonts w:ascii="Arial" w:eastAsiaTheme="minorHAnsi" w:hAnsi="Arial" w:cs="Arial"/>
          <w:color w:val="000000" w:themeColor="text1"/>
          <w:sz w:val="21"/>
          <w:szCs w:val="21"/>
          <w:lang w:val="es-ES_tradnl"/>
        </w:rPr>
      </w:pPr>
      <w:r w:rsidRPr="003F155A">
        <w:rPr>
          <w:rFonts w:ascii="Arial" w:eastAsiaTheme="minorHAnsi" w:hAnsi="Arial" w:cs="Arial"/>
          <w:color w:val="000000" w:themeColor="text1"/>
          <w:sz w:val="21"/>
          <w:szCs w:val="21"/>
          <w:lang w:val="es-ES_tradnl"/>
        </w:rPr>
        <w:t>1o. Contrato de Obra</w:t>
      </w:r>
    </w:p>
    <w:p w14:paraId="76AED93D" w14:textId="77777777" w:rsidR="003F155A" w:rsidRPr="003F155A" w:rsidRDefault="003F155A" w:rsidP="0074608B">
      <w:pPr>
        <w:pStyle w:val="Cuadrculamedia1-nfasis21"/>
        <w:spacing w:after="0" w:line="240" w:lineRule="auto"/>
        <w:ind w:left="709" w:right="709"/>
        <w:jc w:val="both"/>
        <w:rPr>
          <w:rFonts w:ascii="Arial" w:eastAsiaTheme="minorHAnsi" w:hAnsi="Arial" w:cs="Arial"/>
          <w:color w:val="000000" w:themeColor="text1"/>
          <w:sz w:val="21"/>
          <w:szCs w:val="21"/>
          <w:lang w:val="es-ES_tradnl"/>
        </w:rPr>
      </w:pPr>
    </w:p>
    <w:p w14:paraId="2CD0EEE0" w14:textId="77777777" w:rsidR="003F155A" w:rsidRPr="003F155A" w:rsidRDefault="003F155A" w:rsidP="0074608B">
      <w:pPr>
        <w:pStyle w:val="Cuadrculamedia1-nfasis21"/>
        <w:spacing w:after="0" w:line="240" w:lineRule="auto"/>
        <w:ind w:left="709" w:right="709"/>
        <w:jc w:val="both"/>
        <w:rPr>
          <w:rFonts w:ascii="Arial" w:eastAsiaTheme="minorHAnsi" w:hAnsi="Arial" w:cs="Arial"/>
          <w:color w:val="000000" w:themeColor="text1"/>
          <w:sz w:val="21"/>
          <w:szCs w:val="21"/>
          <w:lang w:val="es-ES_tradnl"/>
        </w:rPr>
      </w:pPr>
      <w:r w:rsidRPr="003F155A">
        <w:rPr>
          <w:rFonts w:ascii="Arial" w:eastAsiaTheme="minorHAnsi" w:hAnsi="Arial" w:cs="Arial"/>
          <w:color w:val="000000" w:themeColor="text1"/>
          <w:sz w:val="21"/>
          <w:szCs w:val="21"/>
          <w:lang w:val="es-ES_tradnl"/>
        </w:rPr>
        <w:t>Son contratos de obra los que celebren las entidades estatales para la construcción, mantenimiento, instalación y, en general, para la realización de cualquier otro trabajo material sobre bienes inmuebles, cualquiera que sea la modalidad de ejecución y pago.</w:t>
      </w:r>
    </w:p>
    <w:p w14:paraId="6668C8A3" w14:textId="77777777" w:rsidR="003F155A" w:rsidRPr="003F155A" w:rsidRDefault="003F155A" w:rsidP="0074608B">
      <w:pPr>
        <w:pStyle w:val="Cuadrculamedia1-nfasis21"/>
        <w:spacing w:after="0" w:line="240" w:lineRule="auto"/>
        <w:ind w:left="709" w:right="709"/>
        <w:jc w:val="both"/>
        <w:rPr>
          <w:rFonts w:ascii="Arial" w:eastAsiaTheme="minorHAnsi" w:hAnsi="Arial" w:cs="Arial"/>
          <w:color w:val="000000" w:themeColor="text1"/>
          <w:sz w:val="21"/>
          <w:szCs w:val="21"/>
          <w:lang w:val="es-ES_tradnl"/>
        </w:rPr>
      </w:pPr>
    </w:p>
    <w:p w14:paraId="5CE5F712" w14:textId="77777777" w:rsidR="003F155A" w:rsidRPr="003F155A" w:rsidRDefault="003F155A" w:rsidP="0074608B">
      <w:pPr>
        <w:pStyle w:val="Cuadrculamedia1-nfasis21"/>
        <w:spacing w:after="0" w:line="240" w:lineRule="auto"/>
        <w:ind w:left="709" w:right="709"/>
        <w:jc w:val="both"/>
        <w:rPr>
          <w:rFonts w:ascii="Arial" w:eastAsiaTheme="minorHAnsi" w:hAnsi="Arial" w:cs="Arial"/>
          <w:color w:val="000000" w:themeColor="text1"/>
          <w:sz w:val="21"/>
          <w:szCs w:val="21"/>
          <w:lang w:val="es-ES_tradnl"/>
        </w:rPr>
      </w:pPr>
      <w:r w:rsidRPr="003F155A">
        <w:rPr>
          <w:rFonts w:ascii="Arial" w:eastAsiaTheme="minorHAnsi" w:hAnsi="Arial" w:cs="Arial"/>
          <w:color w:val="000000" w:themeColor="text1"/>
          <w:sz w:val="21"/>
          <w:szCs w:val="21"/>
          <w:lang w:val="es-ES_tradnl"/>
        </w:rPr>
        <w:t xml:space="preserve">En los contratos de obra que hayan sido celebrados como resultado de un proceso de licitación o concurso públicos, la interventoría deberá ser contratada </w:t>
      </w:r>
      <w:r w:rsidRPr="003F155A">
        <w:rPr>
          <w:rFonts w:ascii="Arial" w:eastAsiaTheme="minorHAnsi" w:hAnsi="Arial" w:cs="Arial"/>
          <w:color w:val="000000" w:themeColor="text1"/>
          <w:sz w:val="21"/>
          <w:szCs w:val="21"/>
          <w:lang w:val="es-ES_tradnl"/>
        </w:rPr>
        <w:lastRenderedPageBreak/>
        <w:t>con una persona independiente de la entidad contratante y del contratista, quien responderá por los hechos y omisiones que le fueren imputables en los términos previstos en el artículo 53 del presente estatuto. […]</w:t>
      </w:r>
    </w:p>
    <w:p w14:paraId="7D444FEB" w14:textId="77777777" w:rsidR="003F155A" w:rsidRPr="003F155A" w:rsidRDefault="003F155A" w:rsidP="003F155A">
      <w:pPr>
        <w:pStyle w:val="Cuadrculamedia1-nfasis21"/>
        <w:spacing w:after="0" w:line="276" w:lineRule="auto"/>
        <w:ind w:left="0" w:firstLine="708"/>
        <w:jc w:val="both"/>
        <w:rPr>
          <w:rFonts w:ascii="Arial" w:eastAsiaTheme="minorHAnsi" w:hAnsi="Arial" w:cs="Arial"/>
          <w:color w:val="000000" w:themeColor="text1"/>
          <w:lang w:val="es-ES_tradnl"/>
        </w:rPr>
      </w:pPr>
    </w:p>
    <w:p w14:paraId="4D040D86" w14:textId="77777777" w:rsidR="00B45FBA" w:rsidRDefault="003F155A" w:rsidP="00041622">
      <w:pPr>
        <w:spacing w:after="120" w:line="276" w:lineRule="auto"/>
        <w:ind w:firstLine="709"/>
        <w:jc w:val="both"/>
        <w:rPr>
          <w:rFonts w:ascii="Arial" w:eastAsiaTheme="minorHAnsi" w:hAnsi="Arial" w:cs="Arial"/>
          <w:color w:val="000000" w:themeColor="text1"/>
          <w:sz w:val="22"/>
          <w:szCs w:val="22"/>
          <w:lang w:val="es-ES_tradnl"/>
        </w:rPr>
      </w:pPr>
      <w:r w:rsidRPr="00827F96">
        <w:rPr>
          <w:rFonts w:ascii="Arial" w:eastAsiaTheme="minorHAnsi" w:hAnsi="Arial" w:cs="Arial"/>
          <w:color w:val="000000" w:themeColor="text1"/>
          <w:sz w:val="22"/>
          <w:szCs w:val="22"/>
          <w:lang w:val="es-ES_tradnl"/>
        </w:rPr>
        <w:t xml:space="preserve">Teniendo en cuenta lo anterior, la Agencia Nacional de Contratación Pública considera que las nociones «contrato de obra» y «contrato de obra pública», utilizadas indistintamente en las Leyes 80 de 1993 y 1150 de 2007, se refieren al contrato de obra pública que regula el numeral 1 del artículo 32 del EGCAP. En otras palabras, el «contrato de obra» y el «contrato de obra pública», para los fines del EGCAP, </w:t>
      </w:r>
      <w:r w:rsidR="007A5C22" w:rsidRPr="00827F96">
        <w:rPr>
          <w:rFonts w:ascii="Arial" w:eastAsiaTheme="minorHAnsi" w:hAnsi="Arial" w:cs="Arial"/>
          <w:color w:val="000000" w:themeColor="text1"/>
          <w:sz w:val="22"/>
          <w:szCs w:val="22"/>
          <w:lang w:val="es-ES_tradnl"/>
        </w:rPr>
        <w:t>aluden</w:t>
      </w:r>
      <w:r w:rsidRPr="00827F96">
        <w:rPr>
          <w:rFonts w:ascii="Arial" w:eastAsiaTheme="minorHAnsi" w:hAnsi="Arial" w:cs="Arial"/>
          <w:color w:val="000000" w:themeColor="text1"/>
          <w:sz w:val="22"/>
          <w:szCs w:val="22"/>
          <w:lang w:val="es-ES_tradnl"/>
        </w:rPr>
        <w:t xml:space="preserve"> a una misma tipología contractual, específicamente, al contrato </w:t>
      </w:r>
      <w:r w:rsidR="007A5C22" w:rsidRPr="00827F96">
        <w:rPr>
          <w:rFonts w:ascii="Arial" w:eastAsiaTheme="minorHAnsi" w:hAnsi="Arial" w:cs="Arial"/>
          <w:color w:val="000000" w:themeColor="text1"/>
          <w:sz w:val="22"/>
          <w:szCs w:val="22"/>
          <w:lang w:val="es-ES_tradnl"/>
        </w:rPr>
        <w:t>consagrado</w:t>
      </w:r>
      <w:r w:rsidRPr="00827F96">
        <w:rPr>
          <w:rFonts w:ascii="Arial" w:eastAsiaTheme="minorHAnsi" w:hAnsi="Arial" w:cs="Arial"/>
          <w:color w:val="000000" w:themeColor="text1"/>
          <w:sz w:val="22"/>
          <w:szCs w:val="22"/>
          <w:lang w:val="es-ES_tradnl"/>
        </w:rPr>
        <w:t xml:space="preserve"> en el numeral 1 del artículo 32 </w:t>
      </w:r>
      <w:r w:rsidRPr="00827F96">
        <w:rPr>
          <w:rFonts w:ascii="Arial" w:eastAsiaTheme="minorHAnsi" w:hAnsi="Arial" w:cs="Arial"/>
          <w:i/>
          <w:color w:val="000000" w:themeColor="text1"/>
          <w:sz w:val="22"/>
          <w:szCs w:val="22"/>
          <w:lang w:val="es-ES_tradnl"/>
        </w:rPr>
        <w:t>ibídem</w:t>
      </w:r>
      <w:r w:rsidRPr="00827F96">
        <w:rPr>
          <w:rFonts w:ascii="Arial" w:eastAsiaTheme="minorHAnsi" w:hAnsi="Arial" w:cs="Arial"/>
          <w:color w:val="000000" w:themeColor="text1"/>
          <w:sz w:val="22"/>
          <w:szCs w:val="22"/>
          <w:lang w:val="es-ES_tradnl"/>
        </w:rPr>
        <w:t>.</w:t>
      </w:r>
    </w:p>
    <w:p w14:paraId="1C670398" w14:textId="59686AFE" w:rsidR="003649F3" w:rsidRPr="00827F96" w:rsidRDefault="00B45FBA" w:rsidP="00B45FBA">
      <w:pPr>
        <w:spacing w:line="276" w:lineRule="auto"/>
        <w:ind w:firstLine="709"/>
        <w:jc w:val="both"/>
        <w:rPr>
          <w:rFonts w:ascii="Arial" w:eastAsiaTheme="minorHAnsi" w:hAnsi="Arial" w:cs="Arial"/>
          <w:color w:val="000000" w:themeColor="text1"/>
          <w:sz w:val="22"/>
          <w:szCs w:val="22"/>
          <w:lang w:val="es-ES_tradnl"/>
        </w:rPr>
      </w:pPr>
      <w:r w:rsidRPr="00D4474A">
        <w:rPr>
          <w:rFonts w:ascii="Arial" w:eastAsiaTheme="minorHAnsi" w:hAnsi="Arial" w:cs="Arial"/>
          <w:color w:val="000000" w:themeColor="text1"/>
          <w:sz w:val="22"/>
          <w:szCs w:val="22"/>
          <w:lang w:val="es-ES_tradnl"/>
        </w:rPr>
        <w:t xml:space="preserve">Respecto de la forma de seleccionar el contratista de la obra pública, se parte de la premisa de que el EGCAP no establece una modalidad de selección única, a la que siempre deba acudirse para suscribir contratos de obra pública. Si bien la licitación pública opera como regla general, estos contratos también podrían celebrarse, en ciertos eventos, adelantando previamente otros procesos de selección, por ejemplo, de </w:t>
      </w:r>
      <w:r w:rsidRPr="00D4474A">
        <w:rPr>
          <w:rFonts w:ascii="Arial" w:eastAsiaTheme="minorHAnsi" w:hAnsi="Arial" w:cs="Arial"/>
          <w:i/>
          <w:iCs/>
          <w:color w:val="000000" w:themeColor="text1"/>
          <w:sz w:val="22"/>
          <w:szCs w:val="22"/>
          <w:lang w:val="es-ES_tradnl"/>
        </w:rPr>
        <w:t>selección abreviada</w:t>
      </w:r>
      <w:r w:rsidRPr="00D4474A">
        <w:rPr>
          <w:rFonts w:ascii="Arial" w:eastAsiaTheme="minorHAnsi" w:hAnsi="Arial" w:cs="Arial"/>
          <w:color w:val="000000" w:themeColor="text1"/>
          <w:sz w:val="22"/>
          <w:szCs w:val="22"/>
          <w:lang w:val="es-ES_tradnl"/>
        </w:rPr>
        <w:t xml:space="preserve"> de menor cuantía, de </w:t>
      </w:r>
      <w:r w:rsidRPr="00D4474A">
        <w:rPr>
          <w:rFonts w:ascii="Arial" w:eastAsiaTheme="minorHAnsi" w:hAnsi="Arial" w:cs="Arial"/>
          <w:i/>
          <w:iCs/>
          <w:color w:val="000000" w:themeColor="text1"/>
          <w:sz w:val="22"/>
          <w:szCs w:val="22"/>
          <w:lang w:val="es-ES_tradnl"/>
        </w:rPr>
        <w:t>mínima cuantía</w:t>
      </w:r>
      <w:r w:rsidRPr="00D4474A">
        <w:rPr>
          <w:rFonts w:ascii="Arial" w:eastAsiaTheme="minorHAnsi" w:hAnsi="Arial" w:cs="Arial"/>
          <w:color w:val="000000" w:themeColor="text1"/>
          <w:sz w:val="22"/>
          <w:szCs w:val="22"/>
          <w:lang w:val="es-ES_tradnl"/>
        </w:rPr>
        <w:t xml:space="preserve"> –cuando no excedan el 10% de la menor cuantía– o de </w:t>
      </w:r>
      <w:r w:rsidRPr="00D4474A">
        <w:rPr>
          <w:rFonts w:ascii="Arial" w:eastAsiaTheme="minorHAnsi" w:hAnsi="Arial" w:cs="Arial"/>
          <w:i/>
          <w:iCs/>
          <w:color w:val="000000" w:themeColor="text1"/>
          <w:sz w:val="22"/>
          <w:szCs w:val="22"/>
          <w:lang w:val="es-ES_tradnl"/>
        </w:rPr>
        <w:t>contratación directa</w:t>
      </w:r>
      <w:r w:rsidRPr="00D4474A">
        <w:rPr>
          <w:rFonts w:ascii="Arial" w:eastAsiaTheme="minorHAnsi" w:hAnsi="Arial" w:cs="Arial"/>
          <w:color w:val="000000" w:themeColor="text1"/>
          <w:sz w:val="22"/>
          <w:szCs w:val="22"/>
          <w:lang w:val="es-ES_tradnl"/>
        </w:rPr>
        <w:t xml:space="preserve"> –como sucede en eventos de urgencia manifiesta o en contratos interadministrativos–</w:t>
      </w:r>
      <w:r w:rsidR="003649F3" w:rsidRPr="00D4474A">
        <w:rPr>
          <w:rFonts w:ascii="Arial" w:eastAsiaTheme="minorHAnsi" w:hAnsi="Arial" w:cs="Arial"/>
          <w:color w:val="000000" w:themeColor="text1"/>
          <w:sz w:val="22"/>
          <w:szCs w:val="22"/>
          <w:lang w:val="es-ES_tradnl"/>
        </w:rPr>
        <w:t xml:space="preserve">. </w:t>
      </w:r>
      <w:r w:rsidRPr="00D4474A">
        <w:rPr>
          <w:rFonts w:ascii="Arial" w:eastAsiaTheme="minorHAnsi" w:hAnsi="Arial" w:cs="Arial"/>
          <w:color w:val="000000" w:themeColor="text1"/>
          <w:sz w:val="22"/>
          <w:szCs w:val="22"/>
          <w:lang w:val="es-ES_tradnl"/>
        </w:rPr>
        <w:t>No obstante, en razón al objeto de la consulta</w:t>
      </w:r>
      <w:r w:rsidR="003649F3" w:rsidRPr="00D4474A">
        <w:rPr>
          <w:rFonts w:ascii="Arial" w:eastAsiaTheme="minorHAnsi" w:hAnsi="Arial" w:cs="Arial"/>
          <w:color w:val="000000" w:themeColor="text1"/>
          <w:sz w:val="22"/>
          <w:szCs w:val="22"/>
          <w:lang w:val="es-ES_tradnl"/>
        </w:rPr>
        <w:t>, más adelante se estudiará la causal de contratación directa prevista en el artículo 2, numeral 4, literal g) de la Ley 1150 de 2007, es decir, la que tiene que ver con la inexistencia de pluralidad de oferentes en el mercado, con la finalidad de establecer si dicha causal podría utilizarse para celebrar contratos de obra pública de manera directa. Se analizará, entonces, si la ausencia de pluralidad de oferentes en el mercado puede ser otro de los supuestos para contratar directamente una obra pública y, particularmente, si una patente puede habilitar el uso de esta causal.</w:t>
      </w:r>
    </w:p>
    <w:p w14:paraId="43481A2F" w14:textId="15DD75EE" w:rsidR="006F33A2" w:rsidRDefault="003649F3" w:rsidP="00B45FBA">
      <w:pPr>
        <w:spacing w:line="276" w:lineRule="auto"/>
        <w:ind w:firstLine="709"/>
        <w:jc w:val="both"/>
        <w:rPr>
          <w:rFonts w:ascii="Arial" w:eastAsiaTheme="minorHAnsi" w:hAnsi="Arial" w:cs="Arial"/>
          <w:color w:val="000000" w:themeColor="text1"/>
          <w:sz w:val="22"/>
          <w:szCs w:val="22"/>
          <w:lang w:val="es-ES_tradnl"/>
        </w:rPr>
      </w:pPr>
      <w:r>
        <w:rPr>
          <w:rFonts w:ascii="Arial" w:eastAsiaTheme="minorHAnsi" w:hAnsi="Arial" w:cs="Arial"/>
          <w:color w:val="000000" w:themeColor="text1"/>
          <w:sz w:val="22"/>
          <w:szCs w:val="22"/>
          <w:lang w:val="es-ES_tradnl"/>
        </w:rPr>
        <w:t xml:space="preserve"> </w:t>
      </w:r>
    </w:p>
    <w:p w14:paraId="68274670" w14:textId="1F651523" w:rsidR="003649F3" w:rsidRPr="003649F3" w:rsidRDefault="006F33A2" w:rsidP="00041622">
      <w:pPr>
        <w:pStyle w:val="Ttulo1"/>
        <w:spacing w:line="276" w:lineRule="auto"/>
        <w:ind w:left="0" w:firstLine="0"/>
        <w:jc w:val="both"/>
        <w:rPr>
          <w:rFonts w:eastAsiaTheme="minorHAnsi"/>
          <w:bCs w:val="0"/>
          <w:color w:val="000000" w:themeColor="text1"/>
          <w:lang w:val="es-ES_tradnl"/>
        </w:rPr>
      </w:pPr>
      <w:r>
        <w:rPr>
          <w:rFonts w:eastAsiaTheme="minorHAnsi"/>
          <w:color w:val="000000" w:themeColor="text1"/>
          <w:lang w:val="es-ES_tradnl"/>
        </w:rPr>
        <w:t>2</w:t>
      </w:r>
      <w:r w:rsidRPr="003649F3">
        <w:rPr>
          <w:rFonts w:eastAsiaTheme="minorHAnsi"/>
          <w:bCs w:val="0"/>
          <w:color w:val="000000" w:themeColor="text1"/>
          <w:lang w:val="es-ES_tradnl"/>
        </w:rPr>
        <w:t xml:space="preserve">.2. </w:t>
      </w:r>
      <w:r w:rsidR="003649F3" w:rsidRPr="003649F3">
        <w:rPr>
          <w:rFonts w:eastAsiaTheme="minorHAnsi"/>
          <w:bCs w:val="0"/>
          <w:color w:val="000000" w:themeColor="text1"/>
          <w:lang w:val="es-ES_tradnl"/>
        </w:rPr>
        <w:t>Fundamento normativo de los documentos tipo para obra pública de infraestructura de transporte</w:t>
      </w:r>
    </w:p>
    <w:p w14:paraId="5582FB0A" w14:textId="15F2CF22" w:rsidR="006F33A2" w:rsidRDefault="006F33A2" w:rsidP="0074608B">
      <w:pPr>
        <w:spacing w:line="276" w:lineRule="auto"/>
        <w:ind w:firstLine="709"/>
        <w:jc w:val="both"/>
        <w:rPr>
          <w:rFonts w:ascii="Arial" w:eastAsiaTheme="minorHAnsi" w:hAnsi="Arial" w:cs="Arial"/>
          <w:color w:val="000000" w:themeColor="text1"/>
          <w:sz w:val="22"/>
          <w:szCs w:val="22"/>
          <w:lang w:val="es-ES"/>
        </w:rPr>
      </w:pPr>
    </w:p>
    <w:p w14:paraId="472D4A1F" w14:textId="77777777" w:rsidR="003649F3" w:rsidRPr="003649F3" w:rsidRDefault="003649F3" w:rsidP="003649F3">
      <w:pPr>
        <w:shd w:val="clear" w:color="auto" w:fill="FFFFFF"/>
        <w:spacing w:after="120" w:line="276" w:lineRule="auto"/>
        <w:jc w:val="both"/>
        <w:rPr>
          <w:rFonts w:ascii="Arial" w:eastAsia="Calibri" w:hAnsi="Arial" w:cs="Arial"/>
          <w:color w:val="0D0D0D"/>
          <w:sz w:val="22"/>
          <w:szCs w:val="22"/>
          <w:bdr w:val="none" w:sz="0" w:space="0" w:color="auto" w:frame="1"/>
          <w:lang w:eastAsia="es-CO"/>
        </w:rPr>
      </w:pPr>
      <w:r w:rsidRPr="003649F3">
        <w:rPr>
          <w:rFonts w:ascii="Arial" w:eastAsia="Calibri" w:hAnsi="Arial" w:cs="Arial"/>
          <w:color w:val="0D0D0D"/>
          <w:sz w:val="22"/>
          <w:szCs w:val="22"/>
          <w:bdr w:val="none" w:sz="0" w:space="0" w:color="auto" w:frame="1"/>
          <w:lang w:eastAsia="es-CO"/>
        </w:rPr>
        <w:t>Los pliegos tipo surgen en el 2007 cuando el legislador facultó al Gobierno Nacional para adoptarlos en la compra o suministro de bienes de características técnicas uniformes</w:t>
      </w:r>
      <w:r w:rsidRPr="003649F3">
        <w:rPr>
          <w:rFonts w:ascii="Arial" w:eastAsia="Calibri" w:hAnsi="Arial" w:cs="Arial"/>
          <w:color w:val="0D0D0D"/>
          <w:sz w:val="22"/>
          <w:szCs w:val="22"/>
          <w:bdr w:val="none" w:sz="0" w:space="0" w:color="auto" w:frame="1"/>
          <w:vertAlign w:val="superscript"/>
          <w:lang w:eastAsia="es-CO"/>
        </w:rPr>
        <w:footnoteReference w:id="3"/>
      </w:r>
      <w:r w:rsidRPr="003649F3">
        <w:rPr>
          <w:rFonts w:ascii="Arial" w:eastAsia="Calibri" w:hAnsi="Arial" w:cs="Arial"/>
          <w:color w:val="0D0D0D"/>
          <w:sz w:val="22"/>
          <w:szCs w:val="22"/>
          <w:bdr w:val="none" w:sz="0" w:space="0" w:color="auto" w:frame="1"/>
          <w:lang w:eastAsia="es-CO"/>
        </w:rPr>
        <w:t xml:space="preserve">. La orientación inicial del proyecto que se convirtió en la Ley 1150 de 2007 era facultar al Gobierno Nacional para adoptar los pliegos tipo en todos los contratos estatales, pues en el proyecto el parágrafo 3º disponía que: «El Gobierno Nacional tendrá la facultad de </w:t>
      </w:r>
      <w:r w:rsidRPr="003649F3">
        <w:rPr>
          <w:rFonts w:ascii="Arial" w:eastAsia="Calibri" w:hAnsi="Arial" w:cs="Arial"/>
          <w:color w:val="0D0D0D"/>
          <w:sz w:val="22"/>
          <w:szCs w:val="22"/>
          <w:bdr w:val="none" w:sz="0" w:space="0" w:color="auto" w:frame="1"/>
          <w:lang w:eastAsia="es-CO"/>
        </w:rPr>
        <w:lastRenderedPageBreak/>
        <w:t>estandarizar los pliegos de condiciones o términos de referencia y los contratos de las entidades estatales»</w:t>
      </w:r>
      <w:r w:rsidRPr="003649F3">
        <w:rPr>
          <w:rFonts w:ascii="Arial" w:eastAsia="Calibri" w:hAnsi="Arial" w:cs="Arial"/>
          <w:color w:val="0D0D0D"/>
          <w:sz w:val="22"/>
          <w:szCs w:val="22"/>
          <w:bdr w:val="none" w:sz="0" w:space="0" w:color="auto" w:frame="1"/>
          <w:vertAlign w:val="superscript"/>
          <w:lang w:eastAsia="es-CO"/>
        </w:rPr>
        <w:footnoteReference w:id="4"/>
      </w:r>
      <w:r w:rsidRPr="003649F3">
        <w:rPr>
          <w:rFonts w:ascii="Arial" w:eastAsia="Calibri" w:hAnsi="Arial" w:cs="Arial"/>
          <w:color w:val="0D0D0D"/>
          <w:sz w:val="22"/>
          <w:szCs w:val="22"/>
          <w:bdr w:val="none" w:sz="0" w:space="0" w:color="auto" w:frame="1"/>
          <w:lang w:eastAsia="es-CO"/>
        </w:rPr>
        <w:t>. </w:t>
      </w:r>
    </w:p>
    <w:p w14:paraId="2F816047" w14:textId="77777777" w:rsidR="003649F3" w:rsidRPr="003649F3" w:rsidRDefault="003649F3" w:rsidP="003649F3">
      <w:pPr>
        <w:shd w:val="clear" w:color="auto" w:fill="FFFFFF"/>
        <w:spacing w:before="120" w:after="120" w:line="276" w:lineRule="auto"/>
        <w:ind w:firstLine="708"/>
        <w:jc w:val="both"/>
        <w:rPr>
          <w:rFonts w:ascii="Arial" w:eastAsia="Calibri" w:hAnsi="Arial" w:cs="Arial"/>
          <w:color w:val="0D0D0D"/>
          <w:sz w:val="22"/>
          <w:szCs w:val="22"/>
          <w:bdr w:val="none" w:sz="0" w:space="0" w:color="auto" w:frame="1"/>
          <w:lang w:eastAsia="es-CO"/>
        </w:rPr>
      </w:pPr>
      <w:r w:rsidRPr="003649F3">
        <w:rPr>
          <w:rFonts w:ascii="Arial" w:eastAsia="Calibri" w:hAnsi="Arial" w:cs="Arial"/>
          <w:color w:val="0D0D0D"/>
          <w:sz w:val="22"/>
          <w:szCs w:val="22"/>
          <w:bdr w:val="none" w:sz="0" w:space="0" w:color="auto" w:frame="1"/>
          <w:lang w:eastAsia="es-CO"/>
        </w:rPr>
        <w:t>La intención era agilizar y dar mayor transparencia a los procedimientos de selección, así como evitar el direccionamiento, razón por la cual –conforme a lo explicado en la exposición de motivos– «[…] se asigna al Gobierno Nacional la facultad de estandarizar los pliegos de condiciones y términos de referencia de los contratos, medida que redundará en la agilidad y claridad de los procedimientos»</w:t>
      </w:r>
      <w:r w:rsidRPr="003649F3">
        <w:rPr>
          <w:rFonts w:ascii="Arial" w:eastAsia="Calibri" w:hAnsi="Arial" w:cs="Arial"/>
          <w:color w:val="0D0D0D"/>
          <w:sz w:val="22"/>
          <w:szCs w:val="22"/>
          <w:bdr w:val="none" w:sz="0" w:space="0" w:color="auto" w:frame="1"/>
          <w:vertAlign w:val="superscript"/>
          <w:lang w:eastAsia="es-CO"/>
        </w:rPr>
        <w:footnoteReference w:id="5"/>
      </w:r>
      <w:r w:rsidRPr="003649F3">
        <w:rPr>
          <w:rFonts w:ascii="Arial" w:eastAsia="Calibri" w:hAnsi="Arial" w:cs="Arial"/>
          <w:color w:val="0D0D0D"/>
          <w:sz w:val="22"/>
          <w:szCs w:val="22"/>
          <w:bdr w:val="none" w:sz="0" w:space="0" w:color="auto" w:frame="1"/>
          <w:lang w:eastAsia="es-CO"/>
        </w:rPr>
        <w:t>. Sin embargo, en el texto aprobado, los pliegos tipo se limitaron a la adquisición o suministro de bienes de características técnicas uniformes</w:t>
      </w:r>
      <w:r w:rsidRPr="003649F3">
        <w:rPr>
          <w:rFonts w:ascii="Arial" w:eastAsia="Calibri" w:hAnsi="Arial" w:cs="Arial"/>
          <w:color w:val="0D0D0D"/>
          <w:sz w:val="22"/>
          <w:szCs w:val="22"/>
          <w:bdr w:val="none" w:sz="0" w:space="0" w:color="auto" w:frame="1"/>
          <w:vertAlign w:val="superscript"/>
          <w:lang w:eastAsia="es-CO"/>
        </w:rPr>
        <w:footnoteReference w:id="6"/>
      </w:r>
      <w:r w:rsidRPr="003649F3">
        <w:rPr>
          <w:rFonts w:ascii="Arial" w:eastAsia="Calibri" w:hAnsi="Arial" w:cs="Arial"/>
          <w:color w:val="0D0D0D"/>
          <w:sz w:val="22"/>
          <w:szCs w:val="22"/>
          <w:bdr w:val="none" w:sz="0" w:space="0" w:color="auto" w:frame="1"/>
          <w:lang w:eastAsia="es-CO"/>
        </w:rPr>
        <w:t>. </w:t>
      </w:r>
    </w:p>
    <w:p w14:paraId="1157558B" w14:textId="77777777" w:rsidR="003649F3" w:rsidRPr="003649F3" w:rsidRDefault="003649F3" w:rsidP="003649F3">
      <w:pPr>
        <w:shd w:val="clear" w:color="auto" w:fill="FFFFFF"/>
        <w:spacing w:before="120" w:line="276" w:lineRule="auto"/>
        <w:ind w:firstLine="709"/>
        <w:jc w:val="both"/>
        <w:rPr>
          <w:rFonts w:ascii="Arial" w:eastAsia="Calibri" w:hAnsi="Arial" w:cs="Arial"/>
          <w:color w:val="0D0D0D"/>
          <w:sz w:val="22"/>
          <w:szCs w:val="22"/>
          <w:bdr w:val="none" w:sz="0" w:space="0" w:color="auto" w:frame="1"/>
          <w:lang w:eastAsia="es-CO"/>
        </w:rPr>
      </w:pPr>
      <w:r w:rsidRPr="003649F3">
        <w:rPr>
          <w:rFonts w:ascii="Arial" w:eastAsia="Calibri" w:hAnsi="Arial" w:cs="Arial"/>
          <w:color w:val="0D0D0D"/>
          <w:sz w:val="22"/>
          <w:szCs w:val="22"/>
          <w:bdr w:val="none" w:sz="0" w:space="0" w:color="auto" w:frame="1"/>
          <w:lang w:eastAsia="es-CO"/>
        </w:rPr>
        <w:t>Posteriormente, el artículo 2, parágrafo 7º, de la Ley 1150 de 2007, adicionado por el artículo 4 de la Ley 1882 de 2018, establece la obligatoriedad de la adopción de documentos tipo para algunos contratos, en los siguientes términos: </w:t>
      </w:r>
    </w:p>
    <w:p w14:paraId="5E796F7D" w14:textId="77777777" w:rsidR="003649F3" w:rsidRPr="003649F3" w:rsidRDefault="003649F3" w:rsidP="003649F3">
      <w:pPr>
        <w:shd w:val="clear" w:color="auto" w:fill="FFFFFF"/>
        <w:spacing w:line="276" w:lineRule="auto"/>
        <w:ind w:left="709" w:right="709"/>
        <w:jc w:val="both"/>
        <w:rPr>
          <w:rFonts w:ascii="Arial" w:eastAsia="Calibri" w:hAnsi="Arial" w:cs="Arial"/>
          <w:color w:val="0D0D0D"/>
          <w:sz w:val="21"/>
          <w:szCs w:val="21"/>
          <w:bdr w:val="none" w:sz="0" w:space="0" w:color="auto" w:frame="1"/>
          <w:lang w:eastAsia="es-CO"/>
        </w:rPr>
      </w:pPr>
    </w:p>
    <w:p w14:paraId="73B6FEE0" w14:textId="77777777" w:rsidR="003649F3" w:rsidRPr="003649F3" w:rsidRDefault="003649F3" w:rsidP="00041622">
      <w:pPr>
        <w:shd w:val="clear" w:color="auto" w:fill="FFFFFF"/>
        <w:ind w:left="709" w:right="709"/>
        <w:jc w:val="both"/>
        <w:rPr>
          <w:rFonts w:ascii="Arial" w:eastAsia="Calibri" w:hAnsi="Arial" w:cs="Arial"/>
          <w:color w:val="0D0D0D"/>
          <w:sz w:val="21"/>
          <w:szCs w:val="21"/>
          <w:bdr w:val="none" w:sz="0" w:space="0" w:color="auto" w:frame="1"/>
          <w:lang w:eastAsia="es-CO"/>
        </w:rPr>
      </w:pPr>
      <w:r w:rsidRPr="003649F3">
        <w:rPr>
          <w:rFonts w:ascii="Arial" w:eastAsia="Calibri" w:hAnsi="Arial" w:cs="Arial"/>
          <w:color w:val="0D0D0D"/>
          <w:sz w:val="21"/>
          <w:szCs w:val="21"/>
          <w:bdr w:val="none" w:sz="0" w:space="0" w:color="auto" w:frame="1"/>
          <w:lang w:eastAsia="es-CO"/>
        </w:rPr>
        <w:t>Parágrafo 7°. 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w:t>
      </w:r>
      <w:r w:rsidRPr="003649F3">
        <w:rPr>
          <w:rFonts w:ascii="Arial" w:eastAsia="Calibri" w:hAnsi="Arial" w:cs="Arial"/>
          <w:i/>
          <w:iCs/>
          <w:color w:val="0D0D0D"/>
          <w:sz w:val="21"/>
          <w:szCs w:val="21"/>
          <w:bdr w:val="none" w:sz="0" w:space="0" w:color="auto" w:frame="1"/>
          <w:lang w:eastAsia="es-CO"/>
        </w:rPr>
        <w:t>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w:t>
      </w:r>
      <w:r w:rsidRPr="003649F3">
        <w:rPr>
          <w:rFonts w:ascii="Arial" w:eastAsia="Calibri" w:hAnsi="Arial" w:cs="Arial"/>
          <w:color w:val="0D0D0D"/>
          <w:sz w:val="21"/>
          <w:szCs w:val="21"/>
          <w:bdr w:val="none" w:sz="0" w:space="0" w:color="auto" w:frame="1"/>
          <w:lang w:eastAsia="es-CO"/>
        </w:rPr>
        <w:t> […] </w:t>
      </w:r>
      <w:r w:rsidRPr="003649F3">
        <w:rPr>
          <w:rFonts w:ascii="Arial" w:eastAsia="Calibri" w:hAnsi="Arial" w:cs="Arial"/>
          <w:i/>
          <w:iCs/>
          <w:color w:val="0D0D0D"/>
          <w:sz w:val="21"/>
          <w:szCs w:val="21"/>
          <w:bdr w:val="none" w:sz="0" w:space="0" w:color="auto" w:frame="1"/>
          <w:lang w:eastAsia="es-CO"/>
        </w:rPr>
        <w:t>teniendo en cuenta la naturaleza y cuantía de los contratos</w:t>
      </w:r>
      <w:r w:rsidRPr="003649F3">
        <w:rPr>
          <w:rFonts w:ascii="Arial" w:eastAsia="Calibri" w:hAnsi="Arial" w:cs="Arial"/>
          <w:color w:val="0D0D0D"/>
          <w:sz w:val="21"/>
          <w:szCs w:val="21"/>
          <w:bdr w:val="none" w:sz="0" w:space="0" w:color="auto" w:frame="1"/>
          <w:lang w:eastAsia="es-CO"/>
        </w:rPr>
        <w:t> […]. (Énfasis fuera de texto) </w:t>
      </w:r>
    </w:p>
    <w:p w14:paraId="4E5CC9DD" w14:textId="77777777" w:rsidR="003649F3" w:rsidRPr="003649F3" w:rsidRDefault="003649F3" w:rsidP="003649F3">
      <w:pPr>
        <w:shd w:val="clear" w:color="auto" w:fill="FFFFFF"/>
        <w:spacing w:line="276" w:lineRule="auto"/>
        <w:ind w:right="709"/>
        <w:jc w:val="both"/>
        <w:rPr>
          <w:rFonts w:ascii="Arial" w:eastAsia="Calibri" w:hAnsi="Arial" w:cs="Arial"/>
          <w:color w:val="0D0D0D"/>
          <w:sz w:val="21"/>
          <w:szCs w:val="21"/>
          <w:bdr w:val="none" w:sz="0" w:space="0" w:color="auto" w:frame="1"/>
          <w:lang w:eastAsia="es-CO"/>
        </w:rPr>
      </w:pPr>
    </w:p>
    <w:p w14:paraId="58B9121A" w14:textId="77777777" w:rsidR="003649F3" w:rsidRPr="003649F3" w:rsidRDefault="003649F3" w:rsidP="003649F3">
      <w:pPr>
        <w:shd w:val="clear" w:color="auto" w:fill="FFFFFF"/>
        <w:spacing w:line="276" w:lineRule="auto"/>
        <w:ind w:firstLine="709"/>
        <w:jc w:val="both"/>
        <w:rPr>
          <w:rFonts w:ascii="Arial" w:eastAsia="Calibri" w:hAnsi="Arial" w:cs="Arial"/>
          <w:color w:val="0D0D0D"/>
          <w:sz w:val="21"/>
          <w:szCs w:val="21"/>
          <w:bdr w:val="none" w:sz="0" w:space="0" w:color="auto" w:frame="1"/>
          <w:lang w:eastAsia="es-CO"/>
        </w:rPr>
      </w:pPr>
      <w:r w:rsidRPr="003649F3">
        <w:rPr>
          <w:rFonts w:ascii="Arial" w:eastAsia="Calibri" w:hAnsi="Arial" w:cs="Arial"/>
          <w:color w:val="0D0D0D"/>
          <w:sz w:val="22"/>
          <w:szCs w:val="22"/>
          <w:bdr w:val="none" w:sz="0" w:space="0" w:color="auto" w:frame="1"/>
          <w:lang w:eastAsia="es-CO"/>
        </w:rPr>
        <w:t xml:space="preserve">Sin embargo, el 22 de julio de 2020, el Gobierno Nacional sancionó la Ley 2022, llamada la «ley de pliegos tipo», que rige a partir de su publicación y cuyo artículo 1 modifica el artículo 4 de la Ley 1882 de 2018 en relación con los siguientes aspectos: i) el sujeto encargado de la adopción de los documentos tipo, pues antes se señalaba al Gobierno Nacional y ahora la entidad encargada directamente por la Ley es la Agencia Nacional de Contratación Pública – Colombia Compra Eficiente– o quien haga sus veces; ii) la inclusión de buenas prácticas contractuales y los principios de la contratación pública para establecer los requisitos habilitantes, factores técnicos, económicos y otros factores de escogencia en los documentos tipo; iii) la implementación de procesos de capacitación en los municipios para la utilización de los documentos tipo buscando el desarrollo de la economía local; y iv) las responsabilidades para Colombia Compra Eficiente en la definición del desarrollo e </w:t>
      </w:r>
      <w:r w:rsidRPr="003649F3">
        <w:rPr>
          <w:rFonts w:ascii="Arial" w:eastAsia="Calibri" w:hAnsi="Arial" w:cs="Arial"/>
          <w:color w:val="0D0D0D"/>
          <w:sz w:val="22"/>
          <w:szCs w:val="22"/>
          <w:bdr w:val="none" w:sz="0" w:space="0" w:color="auto" w:frame="1"/>
          <w:lang w:eastAsia="es-CO"/>
        </w:rPr>
        <w:lastRenderedPageBreak/>
        <w:t>implementación de los documentos tipo mediante cronogramas, coordinación con otras entidades especializadas, recepción de comentarios de los interesados y revisión de los documentos tipo expedidos</w:t>
      </w:r>
      <w:r w:rsidRPr="003649F3">
        <w:rPr>
          <w:rFonts w:ascii="Arial" w:eastAsia="Calibri" w:hAnsi="Arial" w:cs="Arial"/>
          <w:color w:val="0D0D0D"/>
          <w:sz w:val="22"/>
          <w:szCs w:val="22"/>
          <w:bdr w:val="none" w:sz="0" w:space="0" w:color="auto" w:frame="1"/>
          <w:vertAlign w:val="superscript"/>
          <w:lang w:eastAsia="es-CO"/>
        </w:rPr>
        <w:footnoteReference w:id="7"/>
      </w:r>
      <w:r w:rsidRPr="003649F3">
        <w:rPr>
          <w:rFonts w:ascii="Arial" w:eastAsia="Calibri" w:hAnsi="Arial" w:cs="Arial"/>
          <w:color w:val="0D0D0D"/>
          <w:sz w:val="22"/>
          <w:szCs w:val="22"/>
          <w:bdr w:val="none" w:sz="0" w:space="0" w:color="auto" w:frame="1"/>
          <w:lang w:eastAsia="es-CO"/>
        </w:rPr>
        <w:t>.  </w:t>
      </w:r>
    </w:p>
    <w:p w14:paraId="4EF86216" w14:textId="77777777" w:rsidR="003649F3" w:rsidRPr="003649F3" w:rsidRDefault="003649F3" w:rsidP="003649F3">
      <w:pPr>
        <w:shd w:val="clear" w:color="auto" w:fill="FFFFFF"/>
        <w:spacing w:before="120" w:after="120" w:line="276" w:lineRule="auto"/>
        <w:ind w:firstLine="703"/>
        <w:jc w:val="both"/>
        <w:rPr>
          <w:rFonts w:ascii="Arial" w:eastAsia="Calibri" w:hAnsi="Arial" w:cs="Arial"/>
          <w:color w:val="0D0D0D"/>
          <w:sz w:val="22"/>
          <w:szCs w:val="22"/>
          <w:bdr w:val="none" w:sz="0" w:space="0" w:color="auto" w:frame="1"/>
          <w:lang w:eastAsia="es-CO"/>
        </w:rPr>
      </w:pPr>
      <w:r w:rsidRPr="003649F3">
        <w:rPr>
          <w:rFonts w:ascii="Arial" w:eastAsia="Calibri" w:hAnsi="Arial" w:cs="Arial"/>
          <w:color w:val="0D0D0D"/>
          <w:sz w:val="22"/>
          <w:szCs w:val="22"/>
          <w:bdr w:val="none" w:sz="0" w:space="0" w:color="auto" w:frame="1"/>
          <w:lang w:eastAsia="es-CO"/>
        </w:rPr>
        <w:t>Sin perjuicio de lo anterior, la exposición de motivos del proyecto que se convirtió en la Ley 1882 de 2018 se refirió a la necesidad de utilizar documentos tipo, pues reducen el tiempo de los procesos de contratación y contribuyen al logro de una contratación pública más transparente y con mayor concurrencia de oferentes. Igualmente, la intención del legislador era adaptar el ordenamiento jurídico colombiano a las nuevas tendencias internacionales, al entender que los documentos tipo son una medida eficaz contra la corrupción y permiten una administración pública más eficiente y moderna. </w:t>
      </w:r>
    </w:p>
    <w:p w14:paraId="29D7BC63" w14:textId="77777777" w:rsidR="003649F3" w:rsidRPr="003649F3" w:rsidRDefault="003649F3" w:rsidP="003649F3">
      <w:pPr>
        <w:shd w:val="clear" w:color="auto" w:fill="FFFFFF"/>
        <w:spacing w:before="120" w:after="120" w:line="276" w:lineRule="auto"/>
        <w:ind w:firstLine="705"/>
        <w:jc w:val="both"/>
        <w:rPr>
          <w:rFonts w:ascii="Arial" w:eastAsia="Calibri" w:hAnsi="Arial" w:cs="Arial"/>
          <w:color w:val="0D0D0D"/>
          <w:sz w:val="22"/>
          <w:szCs w:val="22"/>
          <w:bdr w:val="none" w:sz="0" w:space="0" w:color="auto" w:frame="1"/>
          <w:lang w:eastAsia="es-CO"/>
        </w:rPr>
      </w:pPr>
      <w:r w:rsidRPr="003649F3">
        <w:rPr>
          <w:rFonts w:ascii="Arial" w:eastAsia="Calibri" w:hAnsi="Arial" w:cs="Arial"/>
          <w:color w:val="0D0D0D"/>
          <w:sz w:val="22"/>
          <w:szCs w:val="22"/>
          <w:bdr w:val="none" w:sz="0" w:space="0" w:color="auto" w:frame="1"/>
          <w:lang w:eastAsia="es-CO"/>
        </w:rPr>
        <w:t>En ejercicio de la competencia conferida por el citado parágrafo, el Gobierno Nacional expidió el Decreto 342 de 2019, por medio del cual se adoptaron los documentos tipo de licitaciones públicas para la selección de contratistas de obra de infraestructura de transporte. En esta medida, el reglamento adicionó la Sección 6 y la Subsección 1 al Capítulo 2 del Título 1 de la Parte 2 del Libro 2 del Decreto 1082 de 2015, Decreto Único Reglamentario del Sector Administrativo de Planeación Nacional.  </w:t>
      </w:r>
    </w:p>
    <w:p w14:paraId="5462E600" w14:textId="77777777" w:rsidR="003649F3" w:rsidRPr="003649F3" w:rsidRDefault="003649F3" w:rsidP="003649F3">
      <w:pPr>
        <w:shd w:val="clear" w:color="auto" w:fill="FFFFFF"/>
        <w:spacing w:before="120" w:after="120" w:line="276" w:lineRule="auto"/>
        <w:ind w:firstLine="705"/>
        <w:jc w:val="both"/>
        <w:rPr>
          <w:rFonts w:ascii="Arial" w:eastAsia="Calibri" w:hAnsi="Arial" w:cs="Arial"/>
          <w:color w:val="0D0D0D"/>
          <w:sz w:val="22"/>
          <w:szCs w:val="22"/>
          <w:bdr w:val="none" w:sz="0" w:space="0" w:color="auto" w:frame="1"/>
          <w:lang w:eastAsia="es-CO"/>
        </w:rPr>
      </w:pPr>
      <w:r w:rsidRPr="003649F3">
        <w:rPr>
          <w:rFonts w:ascii="Arial" w:eastAsia="Calibri" w:hAnsi="Arial" w:cs="Arial"/>
          <w:color w:val="0D0D0D"/>
          <w:sz w:val="22"/>
          <w:szCs w:val="22"/>
          <w:bdr w:val="none" w:sz="0" w:space="0" w:color="auto" w:frame="1"/>
          <w:lang w:eastAsia="es-CO"/>
        </w:rPr>
        <w:t>El artículo 2.2.1.2.6.1.1 del Decreto 1082 de 2015, sobre el objeto de los «Documentos Tipo» adoptados por el Decreto 342 de 2019, señala que «La presente subsección tiene por objeto adoptar los Documentos Tipo para los pliegos de condiciones de los procesos de selección de licitación de obra pública de infraestructura de transporte». Además, el artículo 2.2.1.2.6.1.2 del Decreto –referido al alcance de los documentos tipo–</w:t>
      </w:r>
      <w:r w:rsidRPr="003649F3">
        <w:rPr>
          <w:rFonts w:ascii="Arial" w:eastAsia="Calibri" w:hAnsi="Arial" w:cs="Arial"/>
          <w:color w:val="0D0D0D"/>
          <w:sz w:val="22"/>
          <w:szCs w:val="22"/>
          <w:bdr w:val="none" w:sz="0" w:space="0" w:color="auto" w:frame="1"/>
          <w:lang w:eastAsia="es-CO"/>
        </w:rPr>
        <w:lastRenderedPageBreak/>
        <w:t>dispone que «contienen parámetros obligatorios para las entidades estatales sometidas al Estatuto General de la Contratación Pública que adelanten procesos de selección de licitación de obra pública de infraestructura de transporte».  </w:t>
      </w:r>
    </w:p>
    <w:p w14:paraId="711E6524" w14:textId="77777777" w:rsidR="003649F3" w:rsidRPr="003649F3" w:rsidRDefault="003649F3" w:rsidP="003649F3">
      <w:pPr>
        <w:shd w:val="clear" w:color="auto" w:fill="FFFFFF"/>
        <w:spacing w:before="120" w:after="120" w:line="276" w:lineRule="auto"/>
        <w:ind w:firstLine="705"/>
        <w:jc w:val="both"/>
        <w:rPr>
          <w:rFonts w:ascii="Arial" w:eastAsia="Calibri" w:hAnsi="Arial" w:cs="Arial"/>
          <w:color w:val="0D0D0D"/>
          <w:sz w:val="22"/>
          <w:szCs w:val="22"/>
          <w:bdr w:val="none" w:sz="0" w:space="0" w:color="auto" w:frame="1"/>
          <w:lang w:eastAsia="es-CO"/>
        </w:rPr>
      </w:pPr>
      <w:r w:rsidRPr="003649F3">
        <w:rPr>
          <w:rFonts w:ascii="Arial" w:eastAsia="Calibri" w:hAnsi="Arial" w:cs="Arial"/>
          <w:color w:val="0D0D0D"/>
          <w:sz w:val="22"/>
          <w:szCs w:val="22"/>
          <w:bdr w:val="none" w:sz="0" w:space="0" w:color="auto" w:frame="1"/>
          <w:lang w:eastAsia="es-CO"/>
        </w:rPr>
        <w:t>El Gobierno Nacional mediante el artículo 2.2.1.2.6.1.3 del Decreto 1082 de 2015, adicionado por el Decreto 342 de 2019, facultó a la Agencia Nacional de Contratación Pública – Colombia Compra Eficiente, para que, en coordinación con el Departamento Nacional de Planeación –DNP– y el Ministerio de Transporte, desarrollara e implementara los Documentos Tipo. Lo anterior se materializó con la expedición de la Resolución No. 1798 del 1º de abril de 2019 que implementó la Versión 1 de los documentos tipo para procesos de licitación de obra pública de infraestructura de transporte. </w:t>
      </w:r>
    </w:p>
    <w:p w14:paraId="361AF96F" w14:textId="77777777" w:rsidR="003649F3" w:rsidRPr="003649F3" w:rsidRDefault="003649F3" w:rsidP="003649F3">
      <w:pPr>
        <w:shd w:val="clear" w:color="auto" w:fill="FFFFFF"/>
        <w:spacing w:before="120" w:after="120" w:line="276" w:lineRule="auto"/>
        <w:ind w:firstLine="705"/>
        <w:jc w:val="both"/>
        <w:rPr>
          <w:rFonts w:ascii="Arial" w:eastAsia="Calibri" w:hAnsi="Arial" w:cs="Arial"/>
          <w:color w:val="0D0D0D"/>
          <w:sz w:val="22"/>
          <w:szCs w:val="22"/>
          <w:bdr w:val="none" w:sz="0" w:space="0" w:color="auto" w:frame="1"/>
          <w:lang w:eastAsia="es-CO"/>
        </w:rPr>
      </w:pPr>
      <w:r w:rsidRPr="003649F3">
        <w:rPr>
          <w:rFonts w:ascii="Arial" w:eastAsia="Calibri" w:hAnsi="Arial" w:cs="Arial"/>
          <w:color w:val="0D0D0D"/>
          <w:sz w:val="22"/>
          <w:szCs w:val="22"/>
          <w:bdr w:val="none" w:sz="0" w:space="0" w:color="auto" w:frame="1"/>
          <w:lang w:eastAsia="es-CO"/>
        </w:rPr>
        <w:t>La Agencia Nacional de Contratación Pública – Colombia Compra Eficiente, luego de identificar, junto con el Departamento Nacional de Planeación y el Ministerio de Transporte, la necesidad de actualizar los documentos tipo para los procesos de licitación pública con la finalidad de fortalecerlos y adaptarlos a la realidad de la contratación del país, implementó la versión 2. De esta manera expidió la Resolución No. 045 del 14 de febrero de 2020, «Por la cual se actualizan los Documentos Tipo para los procesos de selección de licitación de obra pública de infraestructura de transporte y se deroga la Resolución 1798 de 2019».  </w:t>
      </w:r>
    </w:p>
    <w:p w14:paraId="43DFEBC5" w14:textId="77777777" w:rsidR="003649F3" w:rsidRPr="003649F3" w:rsidRDefault="003649F3" w:rsidP="003649F3">
      <w:pPr>
        <w:shd w:val="clear" w:color="auto" w:fill="FFFFFF"/>
        <w:spacing w:before="120" w:after="120" w:line="276" w:lineRule="auto"/>
        <w:ind w:firstLine="708"/>
        <w:jc w:val="both"/>
        <w:rPr>
          <w:rFonts w:ascii="Arial" w:eastAsia="Calibri" w:hAnsi="Arial" w:cs="Arial"/>
          <w:color w:val="0D0D0D"/>
          <w:sz w:val="22"/>
          <w:szCs w:val="22"/>
          <w:bdr w:val="none" w:sz="0" w:space="0" w:color="auto" w:frame="1"/>
          <w:lang w:eastAsia="es-CO"/>
        </w:rPr>
      </w:pPr>
      <w:r w:rsidRPr="003649F3">
        <w:rPr>
          <w:rFonts w:ascii="Arial" w:eastAsia="Calibri" w:hAnsi="Arial" w:cs="Arial"/>
          <w:color w:val="0D0D0D"/>
          <w:sz w:val="22"/>
          <w:szCs w:val="22"/>
          <w:bdr w:val="none" w:sz="0" w:space="0" w:color="auto" w:frame="1"/>
          <w:lang w:eastAsia="es-CO"/>
        </w:rPr>
        <w:t>El Gobierno Nacional ejerció nuevamente la competencia prevista en el citado artículo 4 de la Ley 1882 de 2018, expidiendo el Decreto 2096 de 2019. En este Decreto se autorizó la elaboración de los documentos tipo para procesos de contratación de obra pública de infraestructura de transporte adelantados bajo la modalidad de selección abreviada de menor cuantía. Este reglamento adicionó la Subsección 2 a la Sección 6 del Capítulo 2 del Título 1 de la parte 2 del Libro 2 del Decreto 1082 de 2015. </w:t>
      </w:r>
    </w:p>
    <w:p w14:paraId="0064B33F" w14:textId="77777777" w:rsidR="003649F3" w:rsidRPr="003649F3" w:rsidRDefault="003649F3" w:rsidP="003649F3">
      <w:pPr>
        <w:shd w:val="clear" w:color="auto" w:fill="FFFFFF"/>
        <w:spacing w:before="120" w:after="120" w:line="276" w:lineRule="auto"/>
        <w:ind w:firstLine="708"/>
        <w:jc w:val="both"/>
        <w:rPr>
          <w:rFonts w:ascii="Arial" w:eastAsia="Calibri" w:hAnsi="Arial" w:cs="Arial"/>
          <w:color w:val="0D0D0D"/>
          <w:sz w:val="22"/>
          <w:szCs w:val="22"/>
          <w:bdr w:val="none" w:sz="0" w:space="0" w:color="auto" w:frame="1"/>
          <w:lang w:eastAsia="es-CO"/>
        </w:rPr>
      </w:pPr>
      <w:r w:rsidRPr="003649F3">
        <w:rPr>
          <w:rFonts w:ascii="Arial" w:eastAsia="Calibri" w:hAnsi="Arial" w:cs="Arial"/>
          <w:color w:val="0D0D0D"/>
          <w:sz w:val="22"/>
          <w:szCs w:val="22"/>
          <w:bdr w:val="none" w:sz="0" w:space="0" w:color="auto" w:frame="1"/>
          <w:lang w:eastAsia="es-CO"/>
        </w:rPr>
        <w:t>El artículo 2.2.1.2.6.2.2 del Decreto 1082 de 2015 contiene el listado de los documentos tipo aplicables a los procesos de selección abreviada de menor cuantía para la contratación de obra pública de infraestructura de transporte. Además, el 2.2.1.2.6.2.3 </w:t>
      </w:r>
      <w:r w:rsidRPr="003649F3">
        <w:rPr>
          <w:rFonts w:ascii="Arial" w:eastAsia="Calibri" w:hAnsi="Arial" w:cs="Arial"/>
          <w:i/>
          <w:iCs/>
          <w:color w:val="0D0D0D"/>
          <w:sz w:val="22"/>
          <w:szCs w:val="22"/>
          <w:bdr w:val="none" w:sz="0" w:space="0" w:color="auto" w:frame="1"/>
          <w:lang w:eastAsia="es-CO"/>
        </w:rPr>
        <w:t>ibidem</w:t>
      </w:r>
      <w:r w:rsidRPr="003649F3">
        <w:rPr>
          <w:rFonts w:ascii="Arial" w:eastAsia="Calibri" w:hAnsi="Arial" w:cs="Arial"/>
          <w:color w:val="0D0D0D"/>
          <w:sz w:val="22"/>
          <w:szCs w:val="22"/>
          <w:bdr w:val="none" w:sz="0" w:space="0" w:color="auto" w:frame="1"/>
          <w:lang w:eastAsia="es-CO"/>
        </w:rPr>
        <w:t> facultó a la Agencia Nacional de Contratación Pública – Colombia Compra Eficiente, para que, en coordinación con el Departamento Nacional de Planeación –DNP– y el Ministerio de Transporte, desarrollara e implementara los Documentos Tipo. La entidad ejerció esta competencia mediante la expedición de la Resolución No. 044 del 14 de febrero de 2020, que implementó los documentos tipo para esta modalidad de selección. </w:t>
      </w:r>
    </w:p>
    <w:p w14:paraId="323D20B9" w14:textId="77777777" w:rsidR="003649F3" w:rsidRPr="003649F3" w:rsidRDefault="003649F3" w:rsidP="003649F3">
      <w:pPr>
        <w:shd w:val="clear" w:color="auto" w:fill="FFFFFF"/>
        <w:spacing w:before="120" w:after="120" w:line="276" w:lineRule="auto"/>
        <w:ind w:firstLine="708"/>
        <w:jc w:val="both"/>
        <w:rPr>
          <w:rFonts w:ascii="Arial" w:eastAsia="Calibri" w:hAnsi="Arial" w:cs="Arial"/>
          <w:color w:val="0D0D0D"/>
          <w:sz w:val="22"/>
          <w:szCs w:val="22"/>
          <w:bdr w:val="none" w:sz="0" w:space="0" w:color="auto" w:frame="1"/>
          <w:lang w:eastAsia="es-CO"/>
        </w:rPr>
      </w:pPr>
      <w:r w:rsidRPr="003649F3">
        <w:rPr>
          <w:rFonts w:ascii="Arial" w:eastAsia="Calibri" w:hAnsi="Arial" w:cs="Arial"/>
          <w:color w:val="0D0D0D"/>
          <w:sz w:val="22"/>
          <w:szCs w:val="22"/>
          <w:bdr w:val="none" w:sz="0" w:space="0" w:color="auto" w:frame="1"/>
          <w:lang w:eastAsia="es-CO"/>
        </w:rPr>
        <w:t>Finalmente, el Gobierno Nacional ejerció la competencia prevista en el citado artículo 4 de la Ley 1882 de 2018, expidiendo el Decreto 594 de 2020, el cual adoptó los documentos tipo para procesos de contratación de obra pública de infraestructura de transporte adelantados en la modalidad de mínima cuantía. Este reglamento adicionó la Subsección 3 a la Sección 6 del Capítulo 2 del Título 1 de la parte 2 del Libro 2 del Decreto 1082 de 2015. </w:t>
      </w:r>
    </w:p>
    <w:p w14:paraId="6E1D32D2" w14:textId="77777777" w:rsidR="003649F3" w:rsidRPr="003649F3" w:rsidRDefault="003649F3" w:rsidP="003649F3">
      <w:pPr>
        <w:shd w:val="clear" w:color="auto" w:fill="FFFFFF"/>
        <w:spacing w:before="120" w:after="120" w:line="276" w:lineRule="auto"/>
        <w:ind w:firstLine="708"/>
        <w:jc w:val="both"/>
        <w:rPr>
          <w:rFonts w:ascii="Arial" w:eastAsia="Calibri" w:hAnsi="Arial" w:cs="Arial"/>
          <w:color w:val="0D0D0D"/>
          <w:sz w:val="22"/>
          <w:szCs w:val="22"/>
          <w:bdr w:val="none" w:sz="0" w:space="0" w:color="auto" w:frame="1"/>
          <w:lang w:eastAsia="es-CO"/>
        </w:rPr>
      </w:pPr>
      <w:r w:rsidRPr="003649F3">
        <w:rPr>
          <w:rFonts w:ascii="Arial" w:eastAsia="Calibri" w:hAnsi="Arial" w:cs="Arial"/>
          <w:color w:val="0D0D0D"/>
          <w:sz w:val="22"/>
          <w:szCs w:val="22"/>
          <w:bdr w:val="none" w:sz="0" w:space="0" w:color="auto" w:frame="1"/>
          <w:lang w:eastAsia="es-CO"/>
        </w:rPr>
        <w:lastRenderedPageBreak/>
        <w:t>El artículo 2.2.1.2.6.3.2 del Decreto 1082 de 2015 contiene el listado de los documentos tipo aplicables a los procesos de mínima cuantía para la contratación de obra pública de infraestructura de transporte, mientras que el 2.2.1.2.6.3.3 facultó a la Agencia Nacional de Contratación Pública – Colombia Compra Eficiente, para que, en coordinación con el Departamento Nacional de Planeación –DNP– y el Ministerio de Transporte, desarrollara e implementara los documentos tipo. Esta competencia fue ejercida mediante la expedición de la Resolución No. 094 del 21 de mayo de 2020 que implementó los documentos tipo para esta modalidad de selección. </w:t>
      </w:r>
    </w:p>
    <w:p w14:paraId="713393CE" w14:textId="77777777" w:rsidR="003649F3" w:rsidRPr="003649F3" w:rsidRDefault="003649F3" w:rsidP="003649F3">
      <w:pPr>
        <w:spacing w:before="120" w:after="120" w:line="276" w:lineRule="auto"/>
        <w:ind w:firstLine="709"/>
        <w:jc w:val="both"/>
        <w:rPr>
          <w:rFonts w:ascii="Arial" w:hAnsi="Arial" w:cs="Arial"/>
          <w:color w:val="0D0D0D"/>
          <w:sz w:val="22"/>
          <w:szCs w:val="22"/>
          <w:bdr w:val="none" w:sz="0" w:space="0" w:color="auto" w:frame="1"/>
          <w:lang w:val="es-ES_tradnl" w:eastAsia="es-CO"/>
        </w:rPr>
      </w:pPr>
      <w:r w:rsidRPr="003649F3">
        <w:rPr>
          <w:rFonts w:ascii="Arial" w:hAnsi="Arial" w:cs="Arial"/>
          <w:color w:val="0D0D0D"/>
          <w:sz w:val="22"/>
          <w:szCs w:val="22"/>
          <w:bdr w:val="none" w:sz="0" w:space="0" w:color="auto" w:frame="1"/>
          <w:lang w:val="es-ES_tradnl" w:eastAsia="es-CO"/>
        </w:rPr>
        <w:t xml:space="preserve">Esta Agencia, analizando la afectación económica que causaron las medidas adoptadas para contener la pandemia COVID – 19 en el país, decidió actualizar los documentos tipo para los procesos de licitación de obra pública y selección abreviada de menor cuantía de infraestructura de transporte y, en consecuencia, adoptó medidas en apoyo a la industria nacional. Por tanto, bajo la competencia prevista en la Ley 2022 de 2020, Colombia Compra Eficiente expidió las Resoluciones No. 240 y 241 del 27 de noviembre 2020 mediante las cuales se adoptan los documentos tipo de licitación de obra pública – versión 3 y de selección abreviada de menor cuantía – versión 2 de infraestructura de transporte, los cuales son obligatorios a partir del 1º de enero de 2021. Incluso, estos se ajustaron mediante la Resolución No. 161 del 17 de junio de 2021, «Por la cual se modifican los documentos tipo adoptados por la Agencia Nacional de Contratación Pública – Colombia Compra Eficiente», para adaptar los documentos tipo a los factores de desempate del artículo 35 de la Ley 2069 de 2020. </w:t>
      </w:r>
    </w:p>
    <w:p w14:paraId="62BA26DE" w14:textId="3CB9914E" w:rsidR="003649F3" w:rsidRDefault="003649F3" w:rsidP="00041622">
      <w:pPr>
        <w:spacing w:after="120" w:line="276" w:lineRule="auto"/>
        <w:ind w:firstLine="709"/>
        <w:jc w:val="both"/>
        <w:rPr>
          <w:rFonts w:ascii="Arial" w:eastAsia="Calibri" w:hAnsi="Arial" w:cs="Arial"/>
          <w:spacing w:val="2"/>
          <w:sz w:val="22"/>
          <w:szCs w:val="22"/>
          <w:lang w:eastAsia="es-CO"/>
        </w:rPr>
      </w:pPr>
      <w:r w:rsidRPr="003649F3">
        <w:rPr>
          <w:rFonts w:ascii="Arial" w:hAnsi="Arial" w:cs="Arial"/>
          <w:spacing w:val="2"/>
          <w:sz w:val="22"/>
          <w:szCs w:val="22"/>
          <w:lang w:eastAsia="es-CO"/>
        </w:rPr>
        <w:t xml:space="preserve">Posteriormente, el Decreto 680 del 22 de junio de 2021 modificó la regla de origen aplicable a los Servicios Nacionales, con el fin de acercar el mercado de compras públicas a las empresas colombianas de manera directa o indirecta, promoviendo el empleo en el país y generando emparejamientos y encadenamientos productivos. En este sentido, el parágrafo 2 del artículo 3 del Decreto 680 del 22 de junio de 2021 otorgó un plazo de tres (3) meses contados a partir de su expedición, para que la Agencia Nacional de Contratación Pública – Colombia Compra Eficiente adecúe los Documentos Tipo a las disposiciones previstas en dicho decreto. </w:t>
      </w:r>
      <w:r w:rsidRPr="003649F3">
        <w:rPr>
          <w:rFonts w:ascii="Arial" w:eastAsia="Calibri" w:hAnsi="Arial" w:cs="Arial"/>
          <w:spacing w:val="2"/>
          <w:sz w:val="22"/>
          <w:szCs w:val="22"/>
          <w:lang w:eastAsia="es-CO"/>
        </w:rPr>
        <w:t>Ante este cambio normativo, se expidió la Resolución 304 del 13 de octubre de 2021, la cual modificó los documentos tipo a las nuevas reglas de origen aplicables a los servicios nacionales.</w:t>
      </w:r>
    </w:p>
    <w:p w14:paraId="6A9C021F" w14:textId="7901C1E7" w:rsidR="006C5F2D" w:rsidRPr="00D4474A" w:rsidRDefault="006C5F2D" w:rsidP="003649F3">
      <w:pPr>
        <w:spacing w:line="276" w:lineRule="auto"/>
        <w:ind w:firstLine="709"/>
        <w:jc w:val="both"/>
        <w:rPr>
          <w:rFonts w:ascii="Arial" w:hAnsi="Arial" w:cs="Arial"/>
          <w:spacing w:val="2"/>
          <w:sz w:val="22"/>
          <w:szCs w:val="22"/>
          <w:lang w:eastAsia="es-CO"/>
        </w:rPr>
      </w:pPr>
      <w:r w:rsidRPr="00D4474A">
        <w:rPr>
          <w:rFonts w:ascii="Arial" w:hAnsi="Arial" w:cs="Arial"/>
          <w:spacing w:val="2"/>
          <w:sz w:val="22"/>
          <w:szCs w:val="22"/>
          <w:lang w:eastAsia="es-CO"/>
        </w:rPr>
        <w:t xml:space="preserve">En cuanto al ámbito de aplicación de estos documentos tipo, es preciso explicar que cada una de </w:t>
      </w:r>
      <w:r w:rsidR="00741734" w:rsidRPr="00D4474A">
        <w:rPr>
          <w:rFonts w:ascii="Arial" w:hAnsi="Arial" w:cs="Arial"/>
          <w:spacing w:val="2"/>
          <w:sz w:val="22"/>
          <w:szCs w:val="22"/>
          <w:lang w:eastAsia="es-CO"/>
        </w:rPr>
        <w:t>las</w:t>
      </w:r>
      <w:r w:rsidRPr="00D4474A">
        <w:rPr>
          <w:rFonts w:ascii="Arial" w:hAnsi="Arial" w:cs="Arial"/>
          <w:spacing w:val="2"/>
          <w:sz w:val="22"/>
          <w:szCs w:val="22"/>
          <w:lang w:eastAsia="es-CO"/>
        </w:rPr>
        <w:t xml:space="preserve"> resoluciones</w:t>
      </w:r>
      <w:r w:rsidR="00741734" w:rsidRPr="00D4474A">
        <w:rPr>
          <w:rFonts w:ascii="Arial" w:hAnsi="Arial" w:cs="Arial"/>
          <w:spacing w:val="2"/>
          <w:sz w:val="22"/>
          <w:szCs w:val="22"/>
          <w:lang w:eastAsia="es-CO"/>
        </w:rPr>
        <w:t xml:space="preserve"> que los adoptan</w:t>
      </w:r>
      <w:r w:rsidRPr="00D4474A">
        <w:rPr>
          <w:rFonts w:ascii="Arial" w:hAnsi="Arial" w:cs="Arial"/>
          <w:spacing w:val="2"/>
          <w:sz w:val="22"/>
          <w:szCs w:val="22"/>
          <w:lang w:eastAsia="es-CO"/>
        </w:rPr>
        <w:t xml:space="preserve"> está relacionada con </w:t>
      </w:r>
      <w:r w:rsidR="00741734" w:rsidRPr="00D4474A">
        <w:rPr>
          <w:rFonts w:ascii="Arial" w:hAnsi="Arial" w:cs="Arial"/>
          <w:spacing w:val="2"/>
          <w:sz w:val="22"/>
          <w:szCs w:val="22"/>
          <w:lang w:eastAsia="es-CO"/>
        </w:rPr>
        <w:t>el</w:t>
      </w:r>
      <w:r w:rsidRPr="00D4474A">
        <w:rPr>
          <w:rFonts w:ascii="Arial" w:hAnsi="Arial" w:cs="Arial"/>
          <w:spacing w:val="2"/>
          <w:sz w:val="22"/>
          <w:szCs w:val="22"/>
          <w:lang w:eastAsia="es-CO"/>
        </w:rPr>
        <w:t xml:space="preserve"> sector</w:t>
      </w:r>
      <w:r w:rsidR="00741734" w:rsidRPr="00D4474A">
        <w:rPr>
          <w:rFonts w:ascii="Arial" w:hAnsi="Arial" w:cs="Arial"/>
          <w:spacing w:val="2"/>
          <w:sz w:val="22"/>
          <w:szCs w:val="22"/>
          <w:lang w:eastAsia="es-CO"/>
        </w:rPr>
        <w:t xml:space="preserve"> </w:t>
      </w:r>
      <w:r w:rsidR="00661510" w:rsidRPr="00D4474A">
        <w:rPr>
          <w:rFonts w:ascii="Arial" w:hAnsi="Arial" w:cs="Arial"/>
          <w:spacing w:val="2"/>
          <w:sz w:val="22"/>
          <w:szCs w:val="22"/>
          <w:lang w:eastAsia="es-CO"/>
        </w:rPr>
        <w:t>t</w:t>
      </w:r>
      <w:r w:rsidR="00741734" w:rsidRPr="00D4474A">
        <w:rPr>
          <w:rFonts w:ascii="Arial" w:hAnsi="Arial" w:cs="Arial"/>
          <w:spacing w:val="2"/>
          <w:sz w:val="22"/>
          <w:szCs w:val="22"/>
          <w:lang w:eastAsia="es-CO"/>
        </w:rPr>
        <w:t>ransporte</w:t>
      </w:r>
      <w:r w:rsidRPr="00D4474A">
        <w:rPr>
          <w:rFonts w:ascii="Arial" w:hAnsi="Arial" w:cs="Arial"/>
          <w:spacing w:val="2"/>
          <w:sz w:val="22"/>
          <w:szCs w:val="22"/>
          <w:lang w:eastAsia="es-CO"/>
        </w:rPr>
        <w:t>, un objeto contractual</w:t>
      </w:r>
      <w:r w:rsidR="00741734" w:rsidRPr="00D4474A">
        <w:rPr>
          <w:rFonts w:ascii="Arial" w:hAnsi="Arial" w:cs="Arial"/>
          <w:spacing w:val="2"/>
          <w:sz w:val="22"/>
          <w:szCs w:val="22"/>
          <w:lang w:eastAsia="es-CO"/>
        </w:rPr>
        <w:t xml:space="preserve"> relacionado con infraestructura</w:t>
      </w:r>
      <w:r w:rsidRPr="00D4474A">
        <w:rPr>
          <w:rFonts w:ascii="Arial" w:hAnsi="Arial" w:cs="Arial"/>
          <w:spacing w:val="2"/>
          <w:sz w:val="22"/>
          <w:szCs w:val="22"/>
          <w:lang w:eastAsia="es-CO"/>
        </w:rPr>
        <w:t xml:space="preserve"> y una modalidad de selección en específico</w:t>
      </w:r>
      <w:r w:rsidR="00741734" w:rsidRPr="00D4474A">
        <w:rPr>
          <w:rFonts w:ascii="Arial" w:hAnsi="Arial" w:cs="Arial"/>
          <w:spacing w:val="2"/>
          <w:sz w:val="22"/>
          <w:szCs w:val="22"/>
          <w:lang w:eastAsia="es-CO"/>
        </w:rPr>
        <w:t>, ya sea licitación pública, selección abreviada o mínima cuantía</w:t>
      </w:r>
      <w:r w:rsidRPr="00D4474A">
        <w:rPr>
          <w:rFonts w:ascii="Arial" w:hAnsi="Arial" w:cs="Arial"/>
          <w:spacing w:val="2"/>
          <w:sz w:val="22"/>
          <w:szCs w:val="22"/>
          <w:lang w:eastAsia="es-CO"/>
        </w:rPr>
        <w:t>. Esto de tal manera que las entidades estatales regidas por el Estatuto General de Contratación de la Administración Pública, al momento de adelantar un proceso de contratación asociado a</w:t>
      </w:r>
      <w:r w:rsidR="00741734" w:rsidRPr="00D4474A">
        <w:rPr>
          <w:rFonts w:ascii="Arial" w:hAnsi="Arial" w:cs="Arial"/>
          <w:spacing w:val="2"/>
          <w:sz w:val="22"/>
          <w:szCs w:val="22"/>
          <w:lang w:eastAsia="es-CO"/>
        </w:rPr>
        <w:t xml:space="preserve">l sector transporte </w:t>
      </w:r>
      <w:r w:rsidRPr="00D4474A">
        <w:rPr>
          <w:rFonts w:ascii="Arial" w:hAnsi="Arial" w:cs="Arial"/>
          <w:spacing w:val="2"/>
          <w:sz w:val="22"/>
          <w:szCs w:val="22"/>
          <w:lang w:eastAsia="es-CO"/>
        </w:rPr>
        <w:t xml:space="preserve">para los que se han implementado documentos tipo, deben consultar el contenido de </w:t>
      </w:r>
      <w:r w:rsidR="00B85DE3" w:rsidRPr="00D4474A">
        <w:rPr>
          <w:rFonts w:ascii="Arial" w:hAnsi="Arial" w:cs="Arial"/>
          <w:spacing w:val="2"/>
          <w:sz w:val="22"/>
          <w:szCs w:val="22"/>
          <w:lang w:eastAsia="es-CO"/>
        </w:rPr>
        <w:t>cada uno de ellos</w:t>
      </w:r>
      <w:r w:rsidRPr="00D4474A">
        <w:rPr>
          <w:rFonts w:ascii="Arial" w:hAnsi="Arial" w:cs="Arial"/>
          <w:spacing w:val="2"/>
          <w:sz w:val="22"/>
          <w:szCs w:val="22"/>
          <w:lang w:eastAsia="es-CO"/>
        </w:rPr>
        <w:t xml:space="preserve">, para determinar si la modalidad de escogencia y el objeto a contratar son o no subsumibles dentro de lo dispuesto en el </w:t>
      </w:r>
      <w:r w:rsidRPr="00D4474A">
        <w:rPr>
          <w:rFonts w:ascii="Arial" w:hAnsi="Arial" w:cs="Arial"/>
          <w:spacing w:val="2"/>
          <w:sz w:val="22"/>
          <w:szCs w:val="22"/>
          <w:lang w:eastAsia="es-CO"/>
        </w:rPr>
        <w:lastRenderedPageBreak/>
        <w:t>documento tipo</w:t>
      </w:r>
      <w:r w:rsidR="00CE38DD" w:rsidRPr="00D4474A">
        <w:rPr>
          <w:rFonts w:ascii="Arial" w:hAnsi="Arial" w:cs="Arial"/>
          <w:spacing w:val="2"/>
          <w:sz w:val="22"/>
          <w:szCs w:val="22"/>
          <w:lang w:eastAsia="es-CO"/>
        </w:rPr>
        <w:t xml:space="preserve">, de acuerdo con </w:t>
      </w:r>
      <w:r w:rsidR="0070055F" w:rsidRPr="00D4474A">
        <w:rPr>
          <w:rFonts w:ascii="Arial" w:hAnsi="Arial" w:cs="Arial"/>
          <w:spacing w:val="2"/>
          <w:sz w:val="22"/>
          <w:szCs w:val="22"/>
          <w:lang w:eastAsia="es-CO"/>
        </w:rPr>
        <w:t>la actividades previstas en la Matriz de Experiencia, la cual, además de estandarizar este requisito habilitante delimita el ámbito de aplicación de cada documento tipo, en el entendido de que procederá su aplicación cuando se pretenda contratar alguna de las actividades indicadas en la matriz respectiva</w:t>
      </w:r>
      <w:r w:rsidR="0070055F" w:rsidRPr="00D4474A">
        <w:rPr>
          <w:rStyle w:val="Refdenotaalpie"/>
          <w:rFonts w:ascii="Arial" w:hAnsi="Arial" w:cs="Arial"/>
          <w:spacing w:val="2"/>
          <w:sz w:val="22"/>
          <w:szCs w:val="22"/>
          <w:lang w:eastAsia="es-CO"/>
        </w:rPr>
        <w:footnoteReference w:id="8"/>
      </w:r>
      <w:r w:rsidRPr="00D4474A">
        <w:rPr>
          <w:rFonts w:ascii="Arial" w:hAnsi="Arial" w:cs="Arial"/>
          <w:spacing w:val="2"/>
          <w:sz w:val="22"/>
          <w:szCs w:val="22"/>
          <w:lang w:eastAsia="es-CO"/>
        </w:rPr>
        <w:t>. De ser esto así, la entidad estará obligada a adelantar el proceso de contratación aplicando los documentos tipo del caso</w:t>
      </w:r>
      <w:r w:rsidR="00B85DE3" w:rsidRPr="00D4474A">
        <w:rPr>
          <w:rFonts w:ascii="Arial" w:hAnsi="Arial" w:cs="Arial"/>
          <w:spacing w:val="2"/>
          <w:sz w:val="22"/>
          <w:szCs w:val="22"/>
          <w:lang w:eastAsia="es-CO"/>
        </w:rPr>
        <w:t>; no obstante, si se trata de una modalidad de selección para la cual no existe documento tipo o su objeto no se enmarca en las actividades de las matrices, no procederá su aplicación obligatoria.</w:t>
      </w:r>
    </w:p>
    <w:p w14:paraId="32AD7177" w14:textId="77777777" w:rsidR="00333BC9" w:rsidRPr="00D4474A" w:rsidRDefault="00333BC9" w:rsidP="0083382A">
      <w:pPr>
        <w:spacing w:line="276" w:lineRule="auto"/>
        <w:jc w:val="both"/>
        <w:rPr>
          <w:rFonts w:ascii="Arial" w:eastAsiaTheme="minorHAnsi" w:hAnsi="Arial" w:cs="Arial"/>
          <w:color w:val="000000" w:themeColor="text1"/>
          <w:sz w:val="22"/>
          <w:szCs w:val="22"/>
          <w:lang w:val="es-ES_tradnl"/>
        </w:rPr>
      </w:pPr>
    </w:p>
    <w:p w14:paraId="02CEB2D4" w14:textId="19127A06" w:rsidR="0083382A" w:rsidRPr="00D4474A" w:rsidRDefault="0083382A" w:rsidP="0083382A">
      <w:pPr>
        <w:spacing w:line="276" w:lineRule="auto"/>
        <w:jc w:val="both"/>
        <w:rPr>
          <w:rFonts w:ascii="Arial" w:eastAsia="Calibri" w:hAnsi="Arial" w:cs="Arial"/>
          <w:b/>
          <w:bCs/>
          <w:color w:val="000000" w:themeColor="text1"/>
          <w:sz w:val="22"/>
          <w:szCs w:val="22"/>
          <w:lang w:val="es-ES_tradnl"/>
        </w:rPr>
      </w:pPr>
      <w:r w:rsidRPr="00D4474A">
        <w:rPr>
          <w:rFonts w:ascii="Arial" w:eastAsia="Calibri" w:hAnsi="Arial" w:cs="Arial"/>
          <w:b/>
          <w:bCs/>
          <w:color w:val="000000" w:themeColor="text1"/>
          <w:sz w:val="22"/>
          <w:szCs w:val="22"/>
          <w:lang w:val="es-ES_tradnl"/>
        </w:rPr>
        <w:t>2.</w:t>
      </w:r>
      <w:r w:rsidR="0098263D" w:rsidRPr="00D4474A">
        <w:rPr>
          <w:rFonts w:ascii="Arial" w:eastAsia="Calibri" w:hAnsi="Arial" w:cs="Arial"/>
          <w:b/>
          <w:bCs/>
          <w:color w:val="000000" w:themeColor="text1"/>
          <w:sz w:val="22"/>
          <w:szCs w:val="22"/>
          <w:lang w:val="es-ES_tradnl"/>
        </w:rPr>
        <w:t>3</w:t>
      </w:r>
      <w:r w:rsidRPr="00D4474A">
        <w:rPr>
          <w:rFonts w:ascii="Arial" w:eastAsia="Calibri" w:hAnsi="Arial" w:cs="Arial"/>
          <w:b/>
          <w:bCs/>
          <w:color w:val="000000" w:themeColor="text1"/>
          <w:sz w:val="22"/>
          <w:szCs w:val="22"/>
          <w:lang w:val="es-ES_tradnl"/>
        </w:rPr>
        <w:t>. Ausencia de pluralidad de oferentes como causal de contratación directa</w:t>
      </w:r>
    </w:p>
    <w:p w14:paraId="4EAF263D" w14:textId="77777777" w:rsidR="0083382A" w:rsidRPr="00D4474A" w:rsidRDefault="0083382A" w:rsidP="0083382A">
      <w:pPr>
        <w:spacing w:line="276" w:lineRule="auto"/>
        <w:jc w:val="both"/>
        <w:rPr>
          <w:rFonts w:ascii="Arial" w:hAnsi="Arial" w:cs="Arial"/>
          <w:color w:val="000000" w:themeColor="text1"/>
          <w:sz w:val="22"/>
          <w:szCs w:val="22"/>
          <w:lang w:val="es-ES_tradnl"/>
        </w:rPr>
      </w:pPr>
    </w:p>
    <w:p w14:paraId="19B1B9A9" w14:textId="77777777" w:rsidR="0098263D" w:rsidRPr="00D4474A" w:rsidRDefault="0098263D" w:rsidP="0098263D">
      <w:pPr>
        <w:spacing w:after="120" w:line="276" w:lineRule="auto"/>
        <w:jc w:val="both"/>
        <w:rPr>
          <w:rFonts w:ascii="Arial" w:hAnsi="Arial" w:cs="Arial"/>
          <w:color w:val="000000" w:themeColor="text1"/>
          <w:sz w:val="22"/>
          <w:lang w:val="es-ES_tradnl"/>
        </w:rPr>
      </w:pPr>
      <w:bookmarkStart w:id="2" w:name="_Hlk45531972"/>
      <w:r w:rsidRPr="00D4474A">
        <w:rPr>
          <w:rFonts w:ascii="Arial" w:hAnsi="Arial" w:cs="Arial"/>
          <w:color w:val="000000" w:themeColor="text1"/>
          <w:sz w:val="22"/>
          <w:lang w:val="es-ES_tradnl"/>
        </w:rPr>
        <w:t>Si bien la licitación pública es la modalidad de selección que constituye la regla general para las entidades regidas por el Estatuto General de Contratación de la Administración Pública, el artículo 2, numeral 4, de la Ley 1150 de 2007 consagra algunas excepciones, que atienden a la necesidad de proteger principios como la eficiencia, la eficacia, la economía, la celeridad o la integridad de las personas. Una de las excepciones es la causal de contratación directa prevista en el literal g) del mencionado numeral, que se refiere a la ausencia de pluralidad de oferentes.</w:t>
      </w:r>
      <w:bookmarkEnd w:id="2"/>
    </w:p>
    <w:p w14:paraId="522C435D" w14:textId="5378A29E" w:rsidR="0098263D" w:rsidRPr="00D4474A" w:rsidRDefault="0098263D" w:rsidP="0098263D">
      <w:pPr>
        <w:spacing w:before="120" w:after="120" w:line="276" w:lineRule="auto"/>
        <w:jc w:val="both"/>
        <w:rPr>
          <w:rFonts w:ascii="Arial" w:eastAsia="Calibri" w:hAnsi="Arial" w:cs="Arial"/>
          <w:color w:val="000000" w:themeColor="text1"/>
          <w:sz w:val="22"/>
          <w:lang w:val="es-ES_tradnl"/>
        </w:rPr>
      </w:pPr>
      <w:r w:rsidRPr="00D4474A">
        <w:rPr>
          <w:rFonts w:ascii="Arial" w:hAnsi="Arial" w:cs="Arial"/>
          <w:color w:val="000000" w:themeColor="text1"/>
          <w:sz w:val="22"/>
          <w:lang w:val="es-ES_tradnl"/>
        </w:rPr>
        <w:tab/>
        <w:t xml:space="preserve">Cuando se interpreta aisladamente, la causal constituye un </w:t>
      </w:r>
      <w:r w:rsidRPr="00D4474A">
        <w:rPr>
          <w:rFonts w:ascii="Arial" w:hAnsi="Arial" w:cs="Arial"/>
          <w:i/>
          <w:iCs/>
          <w:color w:val="000000" w:themeColor="text1"/>
          <w:sz w:val="22"/>
          <w:lang w:val="es-ES_tradnl"/>
        </w:rPr>
        <w:t>concepto jurídico indeterminado</w:t>
      </w:r>
      <w:r w:rsidRPr="00D4474A">
        <w:rPr>
          <w:rFonts w:ascii="Arial" w:hAnsi="Arial" w:cs="Arial"/>
          <w:color w:val="000000" w:themeColor="text1"/>
          <w:sz w:val="22"/>
          <w:lang w:val="es-ES_tradnl"/>
        </w:rPr>
        <w:t>. Lo anterior, en la medida que debe precisarse su contenido conforme a las circunstancias</w:t>
      </w:r>
      <w:r w:rsidR="00BA748D" w:rsidRPr="00D4474A">
        <w:rPr>
          <w:rFonts w:ascii="Arial" w:hAnsi="Arial" w:cs="Arial"/>
          <w:color w:val="000000" w:themeColor="text1"/>
          <w:sz w:val="22"/>
          <w:lang w:val="es-ES_tradnl"/>
        </w:rPr>
        <w:t xml:space="preserve"> de cada caso concreto</w:t>
      </w:r>
      <w:r w:rsidRPr="00D4474A">
        <w:rPr>
          <w:rFonts w:ascii="Arial" w:hAnsi="Arial" w:cs="Arial"/>
          <w:color w:val="000000" w:themeColor="text1"/>
          <w:sz w:val="22"/>
          <w:lang w:val="es-ES_tradnl"/>
        </w:rPr>
        <w:t>, pues confiere una cierta facultad de apreciación interpretativa por la amplitud y abstracción del concepto</w:t>
      </w:r>
      <w:r w:rsidRPr="00D4474A">
        <w:rPr>
          <w:rFonts w:ascii="Arial" w:eastAsia="Calibri" w:hAnsi="Arial" w:cs="Arial"/>
          <w:sz w:val="22"/>
          <w:vertAlign w:val="superscript"/>
          <w:lang w:val="es-ES_tradnl"/>
        </w:rPr>
        <w:footnoteReference w:id="9"/>
      </w:r>
      <w:r w:rsidRPr="00D4474A">
        <w:rPr>
          <w:rFonts w:ascii="Arial" w:hAnsi="Arial" w:cs="Arial"/>
          <w:color w:val="000000" w:themeColor="text1"/>
          <w:sz w:val="22"/>
          <w:lang w:val="es-ES_tradnl"/>
        </w:rPr>
        <w:t>. Sin embargo, teniendo en cuenta la competencia del artículo 189.11 superior para la debida ejecución de la ley, nada obsta para que el reglamento determine los casos en que no existe pluralidad de oferentes. Lo anterior teniendo en cuenta que</w:t>
      </w:r>
      <w:r w:rsidRPr="00D4474A">
        <w:rPr>
          <w:rFonts w:ascii="Arial" w:eastAsia="Calibri" w:hAnsi="Arial" w:cs="Arial"/>
          <w:color w:val="000000" w:themeColor="text1"/>
          <w:sz w:val="22"/>
          <w:lang w:val="es-ES_tradnl"/>
        </w:rPr>
        <w:t xml:space="preserve"> a pesar de que el artículo 28 del Código Civil dispone que </w:t>
      </w:r>
      <w:r w:rsidRPr="00D4474A">
        <w:rPr>
          <w:rFonts w:ascii="Arial" w:eastAsia="Calibri" w:hAnsi="Arial" w:cs="Arial"/>
          <w:color w:val="000000" w:themeColor="text1"/>
          <w:sz w:val="22"/>
          <w:lang w:val="es-ES_tradnl"/>
        </w:rPr>
        <w:lastRenderedPageBreak/>
        <w:t xml:space="preserve">las palabras se entenderán en su sentido natural y obvio, es decir, de acuerdo con su sentido general, la norma también dispone que cuando se definan expresamente para ciertas materias, se les dará </w:t>
      </w:r>
      <w:r w:rsidR="009219D1" w:rsidRPr="00D4474A">
        <w:rPr>
          <w:rFonts w:ascii="Arial" w:eastAsia="Calibri" w:hAnsi="Arial" w:cs="Arial"/>
          <w:color w:val="000000" w:themeColor="text1"/>
          <w:sz w:val="22"/>
          <w:lang w:val="es-ES_tradnl"/>
        </w:rPr>
        <w:t>a</w:t>
      </w:r>
      <w:r w:rsidRPr="00D4474A">
        <w:rPr>
          <w:rFonts w:ascii="Arial" w:eastAsia="Calibri" w:hAnsi="Arial" w:cs="Arial"/>
          <w:color w:val="000000" w:themeColor="text1"/>
          <w:sz w:val="22"/>
          <w:lang w:val="es-ES_tradnl"/>
        </w:rPr>
        <w:t xml:space="preserve"> estas su significado legal. </w:t>
      </w:r>
    </w:p>
    <w:p w14:paraId="07211EC1" w14:textId="703D80E1" w:rsidR="0098263D" w:rsidRPr="00D4474A" w:rsidRDefault="0098263D" w:rsidP="0098263D">
      <w:pPr>
        <w:spacing w:before="120" w:after="120" w:line="276" w:lineRule="auto"/>
        <w:ind w:firstLine="708"/>
        <w:jc w:val="both"/>
        <w:rPr>
          <w:rFonts w:ascii="Arial" w:eastAsia="Calibri" w:hAnsi="Arial" w:cs="Arial"/>
          <w:color w:val="000000" w:themeColor="text1"/>
          <w:sz w:val="22"/>
          <w:lang w:val="es-ES_tradnl"/>
        </w:rPr>
      </w:pPr>
      <w:r w:rsidRPr="00D4474A">
        <w:rPr>
          <w:rFonts w:ascii="Arial" w:eastAsia="Calibri" w:hAnsi="Arial" w:cs="Arial"/>
          <w:color w:val="000000" w:themeColor="text1"/>
          <w:sz w:val="22"/>
          <w:lang w:val="es-ES_tradnl"/>
        </w:rPr>
        <w:t xml:space="preserve">Como contexto histórico, es relevante recordar que, mediante el artículo 12 del derogado Decreto 855 de 1994, se reglamentó la causal de contratación directa prevista en el derogado numeral 1, literal j), del artículo 24 de la Ley 80 de 1993. En efecto, el artículo 12 del citado Decreto dispuso la contratación directa cuando la licitación o concurso se </w:t>
      </w:r>
      <w:proofErr w:type="gramStart"/>
      <w:r w:rsidRPr="00D4474A">
        <w:rPr>
          <w:rFonts w:ascii="Arial" w:eastAsia="Calibri" w:hAnsi="Arial" w:cs="Arial"/>
          <w:color w:val="000000" w:themeColor="text1"/>
          <w:sz w:val="22"/>
          <w:lang w:val="es-ES_tradnl"/>
        </w:rPr>
        <w:t>declararan</w:t>
      </w:r>
      <w:proofErr w:type="gramEnd"/>
      <w:r w:rsidRPr="00D4474A">
        <w:rPr>
          <w:rFonts w:ascii="Arial" w:eastAsia="Calibri" w:hAnsi="Arial" w:cs="Arial"/>
          <w:color w:val="000000" w:themeColor="text1"/>
          <w:sz w:val="22"/>
          <w:lang w:val="es-ES_tradnl"/>
        </w:rPr>
        <w:t xml:space="preserve"> desiertos por la ausencia de proponentes, por el incumplimiento de los requisitos del pliego por quienes se presentaban y, en general, por la falta de voluntad de participación. Además, definía la ausencia de pluralidad de ofertes cuando</w:t>
      </w:r>
      <w:r w:rsidR="00C62A24" w:rsidRPr="00D4474A">
        <w:rPr>
          <w:rFonts w:ascii="Arial" w:eastAsia="Calibri" w:hAnsi="Arial" w:cs="Arial"/>
          <w:color w:val="000000" w:themeColor="text1"/>
          <w:sz w:val="22"/>
          <w:lang w:val="es-ES_tradnl"/>
        </w:rPr>
        <w:t>:</w:t>
      </w:r>
      <w:r w:rsidRPr="00D4474A">
        <w:rPr>
          <w:rFonts w:ascii="Arial" w:eastAsia="Calibri" w:hAnsi="Arial" w:cs="Arial"/>
          <w:color w:val="000000" w:themeColor="text1"/>
          <w:sz w:val="22"/>
          <w:lang w:val="es-ES_tradnl"/>
        </w:rPr>
        <w:t xml:space="preserve"> i) no existiese más de una (1) persona inscrita en el registro único de proponentes –RUP– en los contratos que requirieran el cumplimiento de este requisito o ii) solo hubiese un proveedor del bien o el servicio, por ser titular de los derechos de propiedad industrial o de los derechos de autor, o por ser, de acuerdo con la ley, su proveedor exclusivo</w:t>
      </w:r>
      <w:r w:rsidRPr="00D4474A">
        <w:rPr>
          <w:rFonts w:ascii="Arial" w:eastAsia="Calibri" w:hAnsi="Arial" w:cs="Arial"/>
          <w:color w:val="000000" w:themeColor="text1"/>
          <w:sz w:val="22"/>
          <w:vertAlign w:val="superscript"/>
          <w:lang w:val="es-ES_tradnl"/>
        </w:rPr>
        <w:footnoteReference w:id="10"/>
      </w:r>
      <w:r w:rsidRPr="00D4474A">
        <w:rPr>
          <w:rFonts w:ascii="Arial" w:eastAsia="Calibri" w:hAnsi="Arial" w:cs="Arial"/>
          <w:color w:val="000000" w:themeColor="text1"/>
          <w:sz w:val="22"/>
          <w:lang w:val="es-ES_tradnl"/>
        </w:rPr>
        <w:t>.</w:t>
      </w:r>
    </w:p>
    <w:p w14:paraId="1CA58F08" w14:textId="77777777" w:rsidR="0098263D" w:rsidRPr="00D4474A" w:rsidRDefault="0098263D" w:rsidP="0098263D">
      <w:pPr>
        <w:spacing w:after="120" w:line="276" w:lineRule="auto"/>
        <w:ind w:firstLine="708"/>
        <w:jc w:val="both"/>
        <w:rPr>
          <w:rFonts w:ascii="Arial" w:eastAsia="Calibri" w:hAnsi="Arial" w:cs="Arial"/>
          <w:color w:val="000000" w:themeColor="text1"/>
          <w:sz w:val="22"/>
          <w:lang w:val="es-ES_tradnl"/>
        </w:rPr>
      </w:pPr>
      <w:r w:rsidRPr="00D4474A">
        <w:rPr>
          <w:rFonts w:ascii="Arial" w:eastAsia="Calibri" w:hAnsi="Arial" w:cs="Arial"/>
          <w:color w:val="000000" w:themeColor="text1"/>
          <w:sz w:val="22"/>
          <w:lang w:val="es-ES_tradnl"/>
        </w:rPr>
        <w:t>La falta de voluntad de participación y la inexistencia de pluralidad de oferentes son dos (2) eventos distintos. Aunque ambos suponen un conocimiento del mercado en el que los proponentes desarrollan sus actividades, en el segundo escenario no es posible adelantar un proceso de selección abierto, pues no existe concurrencia de participantes. En esta medida, conservando lo dispuesto en el citado artículo 12, parágrafo 2, del Decreto 855 de 1994, tanto el artículo 17 del Decreto 2170 de 2002 como el artículo 81 del Decreto 2474 de 2008 limitaron la falta de pluralidad de oferentes en los casos donde: i) no existiese más de una (1) persona inscrita en el RUP o ii) solo hubiera un proveedor del bien o el servicio por ser titular de los derechos de propiedad industrial o de los derechos de autor, o por ser proveedor exclusivo de acuerdo con la ley.</w:t>
      </w:r>
    </w:p>
    <w:p w14:paraId="166CF33C" w14:textId="77777777" w:rsidR="0098263D" w:rsidRPr="00D4474A" w:rsidRDefault="0098263D" w:rsidP="0098263D">
      <w:pPr>
        <w:spacing w:after="120" w:line="276" w:lineRule="auto"/>
        <w:ind w:firstLine="709"/>
        <w:jc w:val="both"/>
        <w:rPr>
          <w:rFonts w:ascii="Arial" w:eastAsia="Calibri" w:hAnsi="Arial" w:cs="Arial"/>
          <w:color w:val="000000" w:themeColor="text1"/>
          <w:sz w:val="22"/>
          <w:lang w:val="es-ES_tradnl"/>
        </w:rPr>
      </w:pPr>
      <w:r w:rsidRPr="00D4474A">
        <w:rPr>
          <w:rFonts w:ascii="Arial" w:eastAsia="Calibri" w:hAnsi="Arial" w:cs="Arial"/>
          <w:color w:val="000000" w:themeColor="text1"/>
          <w:sz w:val="22"/>
          <w:lang w:val="es-ES_tradnl"/>
        </w:rPr>
        <w:t xml:space="preserve">Continuando con la evolución histórica, el contenido del derogado Decreto 2474 de 2008 era más acorde con los procedimientos de selección del artículo 2 de la Ley 1150 de 2007, ya que –conforme al numeral 2, literal d)– cuando se declara desierta una licitación </w:t>
      </w:r>
      <w:r w:rsidRPr="00D4474A">
        <w:rPr>
          <w:rFonts w:ascii="Arial" w:eastAsia="Calibri" w:hAnsi="Arial" w:cs="Arial"/>
          <w:color w:val="000000" w:themeColor="text1"/>
          <w:sz w:val="22"/>
          <w:lang w:val="es-ES_tradnl"/>
        </w:rPr>
        <w:lastRenderedPageBreak/>
        <w:t xml:space="preserve">pública, no es procedente la contratación directa sino la selección abreviada. Incluso aunque la orientación del párrafo precedente también se conservó en el artículo 3.4.2.4.1 del Decreto 734 de 2012, el artículo 80 del Decreto 1510 de 2013 eliminó la ausencia de pluralidad de oferentes cuando no existiese más de una (1) persona inscrita en el RUP, así como la expresión «de acuerdo con la ley», al tratar los proveedores exclusivos. </w:t>
      </w:r>
    </w:p>
    <w:p w14:paraId="6CBC09A7" w14:textId="41CBA8E7" w:rsidR="0098263D" w:rsidRPr="00D4474A" w:rsidRDefault="0098263D" w:rsidP="0098263D">
      <w:pPr>
        <w:spacing w:before="120" w:line="276" w:lineRule="auto"/>
        <w:ind w:firstLine="708"/>
        <w:jc w:val="both"/>
        <w:rPr>
          <w:rFonts w:ascii="Arial" w:eastAsia="Calibri" w:hAnsi="Arial" w:cs="Arial"/>
          <w:color w:val="000000" w:themeColor="text1"/>
          <w:sz w:val="22"/>
          <w:lang w:val="es-ES_tradnl"/>
        </w:rPr>
      </w:pPr>
      <w:r w:rsidRPr="00D4474A">
        <w:rPr>
          <w:rFonts w:ascii="Arial" w:eastAsia="Calibri" w:hAnsi="Arial" w:cs="Arial"/>
          <w:color w:val="000000" w:themeColor="text1"/>
          <w:sz w:val="22"/>
          <w:lang w:val="es-ES_tradnl"/>
        </w:rPr>
        <w:t xml:space="preserve">En la actualidad, la disposición normativa vigente </w:t>
      </w:r>
      <w:r w:rsidR="00FF154C" w:rsidRPr="00D4474A">
        <w:rPr>
          <w:rFonts w:ascii="Arial" w:eastAsia="Calibri" w:hAnsi="Arial" w:cs="Arial"/>
          <w:color w:val="000000" w:themeColor="text1"/>
          <w:sz w:val="22"/>
          <w:lang w:val="es-ES_tradnl"/>
        </w:rPr>
        <w:t>que desarrolla</w:t>
      </w:r>
      <w:r w:rsidRPr="00D4474A">
        <w:rPr>
          <w:rFonts w:ascii="Arial" w:eastAsia="Calibri" w:hAnsi="Arial" w:cs="Arial"/>
          <w:color w:val="000000" w:themeColor="text1"/>
          <w:sz w:val="22"/>
          <w:lang w:val="es-ES_tradnl"/>
        </w:rPr>
        <w:t xml:space="preserve"> el alcance de la causal de contratación directa establecida en el artículo 2, numeral 4, literal g), de la Ley 1150 de 2007, está </w:t>
      </w:r>
      <w:r w:rsidR="00FF154C" w:rsidRPr="00D4474A">
        <w:rPr>
          <w:rFonts w:ascii="Arial" w:eastAsia="Calibri" w:hAnsi="Arial" w:cs="Arial"/>
          <w:color w:val="000000" w:themeColor="text1"/>
          <w:sz w:val="22"/>
          <w:lang w:val="es-ES_tradnl"/>
        </w:rPr>
        <w:t xml:space="preserve">establecida </w:t>
      </w:r>
      <w:r w:rsidRPr="00D4474A">
        <w:rPr>
          <w:rFonts w:ascii="Arial" w:eastAsia="Calibri" w:hAnsi="Arial" w:cs="Arial"/>
          <w:color w:val="000000" w:themeColor="text1"/>
          <w:sz w:val="22"/>
          <w:lang w:val="es-ES_tradnl"/>
        </w:rPr>
        <w:t>en el artículo 2.2.1.2.1.4.8 del Decreto 1082 de 2015, el cual dispone lo siguiente:</w:t>
      </w:r>
    </w:p>
    <w:p w14:paraId="04CB491A" w14:textId="77777777" w:rsidR="0098263D" w:rsidRPr="00D4474A" w:rsidRDefault="0098263D" w:rsidP="0098263D">
      <w:pPr>
        <w:spacing w:line="276" w:lineRule="auto"/>
        <w:ind w:firstLine="708"/>
        <w:jc w:val="both"/>
        <w:rPr>
          <w:rFonts w:ascii="Arial" w:eastAsia="Calibri" w:hAnsi="Arial" w:cs="Arial"/>
          <w:color w:val="000000" w:themeColor="text1"/>
          <w:sz w:val="22"/>
          <w:lang w:val="es-ES_tradnl"/>
        </w:rPr>
      </w:pPr>
    </w:p>
    <w:p w14:paraId="05C0209F" w14:textId="77777777" w:rsidR="0098263D" w:rsidRPr="00D4474A" w:rsidRDefault="0098263D" w:rsidP="0098263D">
      <w:pPr>
        <w:ind w:left="709" w:right="709"/>
        <w:jc w:val="both"/>
        <w:rPr>
          <w:rFonts w:ascii="Arial" w:eastAsia="Calibri" w:hAnsi="Arial" w:cs="Arial"/>
          <w:color w:val="000000" w:themeColor="text1"/>
          <w:sz w:val="21"/>
          <w:szCs w:val="21"/>
          <w:lang w:val="es-ES_tradnl"/>
        </w:rPr>
      </w:pPr>
      <w:r w:rsidRPr="00D4474A">
        <w:rPr>
          <w:rFonts w:ascii="Arial" w:eastAsia="Calibri" w:hAnsi="Arial" w:cs="Arial"/>
          <w:color w:val="000000" w:themeColor="text1"/>
          <w:sz w:val="21"/>
          <w:szCs w:val="21"/>
          <w:lang w:val="es-ES_tradnl"/>
        </w:rPr>
        <w:t xml:space="preserve">Se considera que no existe pluralidad de oferentes cuando existe solamente una persona que puede proveer el bien o el servicio por ser titular de los derechos de propiedad industrial o de los derechos de autor, o por ser proveedor exclusivo en el territorio nacional. Estas circunstancias deben constar en el estudio previo que soporta la contratación. </w:t>
      </w:r>
    </w:p>
    <w:p w14:paraId="36B033C0" w14:textId="77777777" w:rsidR="0098263D" w:rsidRPr="00D4474A" w:rsidRDefault="0098263D" w:rsidP="0098263D">
      <w:pPr>
        <w:spacing w:line="276" w:lineRule="auto"/>
        <w:ind w:firstLine="708"/>
        <w:jc w:val="both"/>
        <w:rPr>
          <w:rFonts w:ascii="Arial" w:eastAsia="Calibri" w:hAnsi="Arial" w:cs="Arial"/>
          <w:color w:val="000000" w:themeColor="text1"/>
          <w:sz w:val="22"/>
          <w:lang w:val="es-ES_tradnl"/>
        </w:rPr>
      </w:pPr>
      <w:bookmarkStart w:id="4" w:name="_Hlk45532127"/>
    </w:p>
    <w:p w14:paraId="20BE2B3D" w14:textId="77777777" w:rsidR="0098263D" w:rsidRPr="00D4474A" w:rsidRDefault="0098263D" w:rsidP="0098263D">
      <w:pPr>
        <w:spacing w:after="120" w:line="276" w:lineRule="auto"/>
        <w:ind w:firstLine="708"/>
        <w:jc w:val="both"/>
        <w:rPr>
          <w:rFonts w:ascii="Arial" w:eastAsia="Calibri" w:hAnsi="Arial" w:cs="Arial"/>
          <w:color w:val="000000" w:themeColor="text1"/>
          <w:sz w:val="22"/>
          <w:lang w:val="es-ES_tradnl"/>
        </w:rPr>
      </w:pPr>
      <w:r w:rsidRPr="00D4474A">
        <w:rPr>
          <w:rFonts w:ascii="Arial" w:eastAsia="Calibri" w:hAnsi="Arial" w:cs="Arial"/>
          <w:color w:val="000000" w:themeColor="text1"/>
          <w:sz w:val="22"/>
          <w:lang w:val="es-ES_tradnl"/>
        </w:rPr>
        <w:t xml:space="preserve">La norma consagra dos (2) hipótesis. </w:t>
      </w:r>
      <w:r w:rsidRPr="00D4474A">
        <w:rPr>
          <w:rFonts w:ascii="Arial" w:eastAsia="Calibri" w:hAnsi="Arial" w:cs="Arial"/>
          <w:i/>
          <w:iCs/>
          <w:color w:val="000000" w:themeColor="text1"/>
          <w:sz w:val="22"/>
          <w:lang w:val="es-ES_tradnl"/>
        </w:rPr>
        <w:t>En primer lugar</w:t>
      </w:r>
      <w:r w:rsidRPr="00D4474A">
        <w:rPr>
          <w:rFonts w:ascii="Arial" w:eastAsia="Calibri" w:hAnsi="Arial" w:cs="Arial"/>
          <w:color w:val="000000" w:themeColor="text1"/>
          <w:sz w:val="22"/>
          <w:lang w:val="es-ES_tradnl"/>
        </w:rPr>
        <w:t xml:space="preserve">, </w:t>
      </w:r>
      <w:bookmarkStart w:id="5" w:name="_Hlk45627093"/>
      <w:r w:rsidRPr="00D4474A">
        <w:rPr>
          <w:rFonts w:ascii="Arial" w:eastAsia="Calibri" w:hAnsi="Arial" w:cs="Arial"/>
          <w:color w:val="000000" w:themeColor="text1"/>
          <w:sz w:val="22"/>
          <w:lang w:val="es-ES_tradnl"/>
        </w:rPr>
        <w:t xml:space="preserve">no existe pluralidad de oferentes cuando solo una persona puede proveer el bien o servicio por ser titular de los derechos de propiedad industrial o de los derechos de autor. De esta manera, no basta con que sea la única persona capaz de ejecutar el contrato, pues se debe justificar una situación de derecho que impida que otra lo haga de forma igual o similar. </w:t>
      </w:r>
    </w:p>
    <w:p w14:paraId="3A8D7882" w14:textId="77777777" w:rsidR="0098263D" w:rsidRPr="00D4474A" w:rsidRDefault="0098263D" w:rsidP="0098263D">
      <w:pPr>
        <w:spacing w:before="120" w:line="276" w:lineRule="auto"/>
        <w:ind w:firstLine="708"/>
        <w:jc w:val="both"/>
        <w:rPr>
          <w:rFonts w:ascii="Arial" w:eastAsia="Calibri" w:hAnsi="Arial" w:cs="Arial"/>
          <w:color w:val="000000" w:themeColor="text1"/>
          <w:sz w:val="22"/>
          <w:lang w:val="es-ES_tradnl"/>
        </w:rPr>
      </w:pPr>
      <w:bookmarkStart w:id="6" w:name="_Hlk45635593"/>
      <w:r w:rsidRPr="00D4474A">
        <w:rPr>
          <w:rFonts w:ascii="Arial" w:eastAsia="Calibri" w:hAnsi="Arial" w:cs="Arial"/>
          <w:color w:val="000000" w:themeColor="text1"/>
          <w:sz w:val="22"/>
          <w:lang w:val="es-ES_tradnl"/>
        </w:rPr>
        <w:t>Por ello, en la medida que la prestación no esté cubierta por derechos de la naturaleza anteriormente señalada, posibilita que la entidad satisfaga sus necesidades con equivalentes o sustitutos, ya que la presión de la competencia aumenta la oferta y disminuye los costos de adquisición. Para la doctrina, en ausencia de una barrera de entrada –como la que se concreta con los derechos de propiedad industrial o de autor– es necesario aplicar el principio de concurrencia</w:t>
      </w:r>
      <w:bookmarkEnd w:id="5"/>
      <w:bookmarkEnd w:id="6"/>
      <w:r w:rsidRPr="00D4474A">
        <w:rPr>
          <w:rFonts w:ascii="Arial" w:eastAsia="Calibri" w:hAnsi="Arial" w:cs="Arial"/>
          <w:color w:val="000000" w:themeColor="text1"/>
          <w:sz w:val="22"/>
          <w:lang w:val="es-ES_tradnl"/>
        </w:rPr>
        <w:t>.</w:t>
      </w:r>
      <w:bookmarkEnd w:id="4"/>
      <w:r w:rsidRPr="00D4474A">
        <w:rPr>
          <w:rFonts w:ascii="Arial" w:eastAsia="Calibri" w:hAnsi="Arial" w:cs="Arial"/>
          <w:color w:val="000000" w:themeColor="text1"/>
          <w:sz w:val="22"/>
          <w:lang w:val="es-ES_tradnl"/>
        </w:rPr>
        <w:t xml:space="preserve"> Por lo anterior explica que es posible la contratación directa con el oferente que es titular de una marca o privilegio, agregando lo siguiente:</w:t>
      </w:r>
    </w:p>
    <w:p w14:paraId="6054F9A7" w14:textId="77777777" w:rsidR="0098263D" w:rsidRPr="00D4474A" w:rsidRDefault="0098263D" w:rsidP="0098263D">
      <w:pPr>
        <w:spacing w:line="276" w:lineRule="auto"/>
        <w:ind w:firstLine="708"/>
        <w:jc w:val="both"/>
        <w:rPr>
          <w:rFonts w:ascii="Arial" w:eastAsia="Calibri" w:hAnsi="Arial" w:cs="Arial"/>
          <w:color w:val="000000" w:themeColor="text1"/>
          <w:sz w:val="22"/>
          <w:lang w:val="es-ES_tradnl"/>
        </w:rPr>
      </w:pPr>
    </w:p>
    <w:p w14:paraId="36FA611F" w14:textId="77777777" w:rsidR="0098263D" w:rsidRPr="00D4474A" w:rsidRDefault="0098263D" w:rsidP="0098263D">
      <w:pPr>
        <w:ind w:left="709" w:right="709"/>
        <w:jc w:val="both"/>
        <w:rPr>
          <w:rFonts w:ascii="Arial" w:eastAsia="Calibri" w:hAnsi="Arial" w:cs="Arial"/>
          <w:color w:val="000000" w:themeColor="text1"/>
          <w:sz w:val="22"/>
          <w:lang w:val="es-ES_tradnl"/>
        </w:rPr>
      </w:pPr>
      <w:r w:rsidRPr="00D4474A">
        <w:rPr>
          <w:rFonts w:ascii="Arial" w:eastAsia="Calibri" w:hAnsi="Arial" w:cs="Arial"/>
          <w:color w:val="000000" w:themeColor="text1"/>
          <w:sz w:val="21"/>
          <w:szCs w:val="21"/>
          <w:lang w:val="es-ES_tradnl"/>
        </w:rPr>
        <w:t>La tutela de la propiedad intelectual del oferente o de un privilegio otorgado en modo expreso, vuelven imposible proceder por licitación, ya que solamente la persona, entidad o empresa que posee el privilegio de invención o fabricación, podría presentarse formulando ofertas. Desde luego no habría pluralidad de concurrentes, ni puja que hiciera posible el cumplimiento de las finalidades básicas perseguidas por la licitación</w:t>
      </w:r>
      <w:r w:rsidRPr="00D4474A">
        <w:rPr>
          <w:rFonts w:ascii="Arial" w:eastAsia="Calibri" w:hAnsi="Arial" w:cs="Arial"/>
          <w:color w:val="000000" w:themeColor="text1"/>
          <w:sz w:val="21"/>
          <w:szCs w:val="21"/>
          <w:vertAlign w:val="superscript"/>
          <w:lang w:val="es-ES_tradnl"/>
        </w:rPr>
        <w:footnoteReference w:id="11"/>
      </w:r>
      <w:r w:rsidRPr="00D4474A">
        <w:rPr>
          <w:rFonts w:ascii="Arial" w:eastAsia="Calibri" w:hAnsi="Arial" w:cs="Arial"/>
          <w:color w:val="000000" w:themeColor="text1"/>
          <w:sz w:val="22"/>
          <w:lang w:val="es-ES_tradnl"/>
        </w:rPr>
        <w:t>.</w:t>
      </w:r>
    </w:p>
    <w:p w14:paraId="3E6CB9DA" w14:textId="77777777" w:rsidR="0098263D" w:rsidRPr="00D4474A" w:rsidRDefault="0098263D" w:rsidP="0098263D">
      <w:pPr>
        <w:spacing w:line="276" w:lineRule="auto"/>
        <w:ind w:firstLine="708"/>
        <w:jc w:val="both"/>
        <w:rPr>
          <w:rFonts w:ascii="Arial" w:eastAsia="Calibri" w:hAnsi="Arial" w:cs="Arial"/>
          <w:color w:val="000000" w:themeColor="text1"/>
          <w:sz w:val="22"/>
          <w:lang w:val="es-ES_tradnl"/>
        </w:rPr>
      </w:pPr>
      <w:bookmarkStart w:id="7" w:name="_Hlk45532434"/>
    </w:p>
    <w:p w14:paraId="6C22C6FF" w14:textId="77777777" w:rsidR="0098263D" w:rsidRPr="00D4474A" w:rsidRDefault="0098263D" w:rsidP="0098263D">
      <w:pPr>
        <w:spacing w:after="120" w:line="276" w:lineRule="auto"/>
        <w:ind w:firstLine="708"/>
        <w:jc w:val="both"/>
        <w:rPr>
          <w:rFonts w:ascii="Arial" w:eastAsia="Calibri" w:hAnsi="Arial" w:cs="Arial"/>
          <w:color w:val="000000" w:themeColor="text1"/>
          <w:sz w:val="22"/>
          <w:lang w:val="es-ES_tradnl"/>
        </w:rPr>
      </w:pPr>
      <w:r w:rsidRPr="00D4474A">
        <w:rPr>
          <w:rFonts w:ascii="Arial" w:eastAsia="Calibri" w:hAnsi="Arial" w:cs="Arial"/>
          <w:i/>
          <w:iCs/>
          <w:color w:val="000000" w:themeColor="text1"/>
          <w:sz w:val="22"/>
          <w:lang w:val="es-ES_tradnl"/>
        </w:rPr>
        <w:lastRenderedPageBreak/>
        <w:t>En segundo lugar</w:t>
      </w:r>
      <w:r w:rsidRPr="00D4474A">
        <w:rPr>
          <w:rFonts w:ascii="Arial" w:eastAsia="Calibri" w:hAnsi="Arial" w:cs="Arial"/>
          <w:color w:val="000000" w:themeColor="text1"/>
          <w:sz w:val="22"/>
          <w:lang w:val="es-ES_tradnl"/>
        </w:rPr>
        <w:t xml:space="preserve">, </w:t>
      </w:r>
      <w:bookmarkStart w:id="8" w:name="_Hlk45635630"/>
      <w:bookmarkStart w:id="9" w:name="_Hlk45627184"/>
      <w:r w:rsidRPr="00D4474A">
        <w:rPr>
          <w:rFonts w:ascii="Arial" w:eastAsia="Calibri" w:hAnsi="Arial" w:cs="Arial"/>
          <w:color w:val="000000" w:themeColor="text1"/>
          <w:sz w:val="22"/>
          <w:lang w:val="es-ES_tradnl"/>
        </w:rPr>
        <w:t>el artículo 2.2.1.2.1.4.8 del Decreto 1082 de 2015 dispone que tampoco existe pluralidad de oferentes cuando existe una sola persona que puede celebrar el contrato por ser proveedor exclusivo en el territorio nacional. A modo de ejemplo, esta causal se comprende en el marco de los contratos de colaboración empresarial –agencia, distribución, franquicia, concesión comercial, etc.– que celebran los productores extranjeros con los proveedores nacionales, los cuales contienen usualmente cláusulas de exclusividad como elemento accidental del negocio</w:t>
      </w:r>
      <w:bookmarkEnd w:id="8"/>
      <w:r w:rsidRPr="00D4474A">
        <w:rPr>
          <w:rFonts w:ascii="Arial" w:eastAsia="Calibri" w:hAnsi="Arial" w:cs="Arial"/>
          <w:color w:val="000000" w:themeColor="text1"/>
          <w:sz w:val="22"/>
          <w:lang w:val="es-ES_tradnl"/>
        </w:rPr>
        <w:t xml:space="preserve">. </w:t>
      </w:r>
    </w:p>
    <w:p w14:paraId="451F3BBB" w14:textId="7D5E16A2" w:rsidR="0083382A" w:rsidRPr="00D4474A" w:rsidRDefault="0098263D" w:rsidP="0098263D">
      <w:pPr>
        <w:spacing w:after="120" w:line="276" w:lineRule="auto"/>
        <w:ind w:firstLine="708"/>
        <w:jc w:val="both"/>
        <w:rPr>
          <w:rFonts w:ascii="Arial" w:eastAsia="Calibri" w:hAnsi="Arial" w:cs="Arial"/>
          <w:color w:val="000000" w:themeColor="text1"/>
          <w:sz w:val="22"/>
          <w:lang w:val="es-ES_tradnl"/>
        </w:rPr>
      </w:pPr>
      <w:bookmarkStart w:id="10" w:name="_Hlk45635661"/>
      <w:r w:rsidRPr="00D4474A">
        <w:rPr>
          <w:rFonts w:ascii="Arial" w:eastAsia="Calibri" w:hAnsi="Arial" w:cs="Arial"/>
          <w:color w:val="000000" w:themeColor="text1"/>
          <w:sz w:val="22"/>
          <w:lang w:val="es-ES_tradnl"/>
        </w:rPr>
        <w:t xml:space="preserve">Al igual que la hipótesis precedente, la presencia de un proveedor exclusivo supone una barrera de entrada para otros posibles oferentes, por lo que no es posible garantizar el principio de libertad de concurrencia. Sin embargo, para aplicar la causal de contratación directa, la exclusividad del proveedor debe cubrir el territorio nacional, </w:t>
      </w:r>
      <w:r w:rsidR="00FF154C" w:rsidRPr="00D4474A">
        <w:rPr>
          <w:rFonts w:ascii="Arial" w:eastAsia="Calibri" w:hAnsi="Arial" w:cs="Arial"/>
          <w:color w:val="000000" w:themeColor="text1"/>
          <w:sz w:val="22"/>
          <w:lang w:val="es-ES_tradnl"/>
        </w:rPr>
        <w:t xml:space="preserve">como lo establece el reglamento, </w:t>
      </w:r>
      <w:r w:rsidRPr="00D4474A">
        <w:rPr>
          <w:rFonts w:ascii="Arial" w:eastAsia="Calibri" w:hAnsi="Arial" w:cs="Arial"/>
          <w:color w:val="000000" w:themeColor="text1"/>
          <w:sz w:val="22"/>
          <w:lang w:val="es-ES_tradnl"/>
        </w:rPr>
        <w:t>pues –por ejemplo– si se limita a un municipio o un departamento, es posible encontrar proveedores de bienes y servicios similares o sustitutos en otros lugares del país, por lo que es necesario aplicar procedimientos de selección que permitan la pluralidad de oferentes</w:t>
      </w:r>
      <w:bookmarkEnd w:id="10"/>
      <w:r w:rsidRPr="00D4474A">
        <w:rPr>
          <w:rFonts w:ascii="Arial" w:eastAsia="Calibri" w:hAnsi="Arial" w:cs="Arial"/>
          <w:color w:val="000000" w:themeColor="text1"/>
          <w:sz w:val="22"/>
          <w:lang w:val="es-ES_tradnl"/>
        </w:rPr>
        <w:t>.</w:t>
      </w:r>
      <w:bookmarkEnd w:id="7"/>
      <w:bookmarkEnd w:id="9"/>
      <w:r w:rsidR="0083382A" w:rsidRPr="00D4474A">
        <w:rPr>
          <w:rFonts w:ascii="Arial" w:eastAsia="Calibri" w:hAnsi="Arial" w:cs="Arial"/>
          <w:color w:val="000000" w:themeColor="text1"/>
          <w:sz w:val="22"/>
          <w:lang w:val="es-ES_tradnl"/>
        </w:rPr>
        <w:t xml:space="preserve"> </w:t>
      </w:r>
    </w:p>
    <w:p w14:paraId="1B4A9CBF" w14:textId="496C5BE8" w:rsidR="0098263D" w:rsidRPr="00D4474A" w:rsidRDefault="0098263D" w:rsidP="0098263D">
      <w:pPr>
        <w:spacing w:after="120" w:line="276" w:lineRule="auto"/>
        <w:ind w:firstLine="708"/>
        <w:jc w:val="both"/>
        <w:rPr>
          <w:rFonts w:ascii="Arial" w:eastAsia="Calibri" w:hAnsi="Arial" w:cs="Arial"/>
          <w:color w:val="000000" w:themeColor="text1"/>
          <w:sz w:val="22"/>
          <w:lang w:val="es-ES_tradnl"/>
        </w:rPr>
      </w:pPr>
      <w:r w:rsidRPr="00D4474A">
        <w:rPr>
          <w:rFonts w:ascii="Arial" w:eastAsia="Calibri" w:hAnsi="Arial" w:cs="Arial"/>
          <w:color w:val="000000" w:themeColor="text1"/>
          <w:sz w:val="22"/>
          <w:lang w:val="es-ES_tradnl"/>
        </w:rPr>
        <w:t>Ni el artículo 2, numeral 4, literal h) de la Ley 1150 de 2007, ni el artículo 2.2.1.2.1.4.8. del Decreto 1082 de 2015, establecen una tarifa legal para acreditar la exclusividad en el territorio nacional, pues las normas no prevén un medio probatorio específico como el único que tenga valor de convicción para las entidades estatales en la etapa precontractual. Lo que señala la citada disposición reglamentaria es que «Estas circunstancias deben constar en el estudio previo que soporta la contratación». En otras palabras, la entidad estatal debe hacer un análisis riguroso en la etapa de planeación, para determinar si un proveedor es o no exclusivo en el territorio nacional, pudiendo servirse de los medios probatorios que considere pertinentes y conducentes</w:t>
      </w:r>
      <w:r w:rsidRPr="00D4474A">
        <w:rPr>
          <w:rStyle w:val="Refdenotaalpie"/>
          <w:rFonts w:ascii="Arial" w:eastAsia="Calibri" w:hAnsi="Arial" w:cs="Arial"/>
          <w:color w:val="000000" w:themeColor="text1"/>
          <w:sz w:val="22"/>
          <w:lang w:val="es-ES_tradnl"/>
        </w:rPr>
        <w:footnoteReference w:id="12"/>
      </w:r>
      <w:r w:rsidRPr="00D4474A">
        <w:rPr>
          <w:rFonts w:ascii="Arial" w:eastAsia="Calibri" w:hAnsi="Arial" w:cs="Arial"/>
          <w:color w:val="000000" w:themeColor="text1"/>
          <w:sz w:val="22"/>
          <w:lang w:val="es-ES_tradnl"/>
        </w:rPr>
        <w:t xml:space="preserve">. </w:t>
      </w:r>
    </w:p>
    <w:p w14:paraId="6587B8B3" w14:textId="77777777" w:rsidR="0083382A" w:rsidRPr="00D4474A" w:rsidRDefault="0083382A" w:rsidP="0098263D">
      <w:pPr>
        <w:spacing w:line="276" w:lineRule="auto"/>
        <w:jc w:val="both"/>
        <w:rPr>
          <w:rFonts w:ascii="Arial" w:eastAsia="Arial" w:hAnsi="Arial" w:cs="Arial"/>
          <w:color w:val="000000"/>
          <w:sz w:val="22"/>
          <w:lang w:val="es-ES_tradnl"/>
        </w:rPr>
      </w:pPr>
    </w:p>
    <w:p w14:paraId="22C59D98" w14:textId="176D6BED" w:rsidR="0083382A" w:rsidRPr="00D4474A" w:rsidRDefault="0083382A" w:rsidP="0083382A">
      <w:pPr>
        <w:spacing w:line="276" w:lineRule="auto"/>
        <w:jc w:val="both"/>
        <w:rPr>
          <w:rFonts w:ascii="Arial" w:eastAsia="Calibri" w:hAnsi="Arial" w:cs="Arial"/>
          <w:b/>
          <w:bCs/>
          <w:color w:val="000000" w:themeColor="text1"/>
          <w:sz w:val="22"/>
          <w:lang w:val="es-ES_tradnl"/>
        </w:rPr>
      </w:pPr>
      <w:r w:rsidRPr="00D4474A">
        <w:rPr>
          <w:rFonts w:ascii="Arial" w:eastAsia="Calibri" w:hAnsi="Arial" w:cs="Arial"/>
          <w:b/>
          <w:bCs/>
          <w:color w:val="000000" w:themeColor="text1"/>
          <w:sz w:val="22"/>
          <w:lang w:val="es-ES_tradnl"/>
        </w:rPr>
        <w:t>2.</w:t>
      </w:r>
      <w:r w:rsidR="0098263D" w:rsidRPr="00D4474A">
        <w:rPr>
          <w:rFonts w:ascii="Arial" w:eastAsia="Calibri" w:hAnsi="Arial" w:cs="Arial"/>
          <w:b/>
          <w:bCs/>
          <w:color w:val="000000" w:themeColor="text1"/>
          <w:sz w:val="22"/>
          <w:lang w:val="es-ES_tradnl"/>
        </w:rPr>
        <w:t>4</w:t>
      </w:r>
      <w:r w:rsidRPr="00D4474A">
        <w:rPr>
          <w:rFonts w:ascii="Arial" w:eastAsia="Calibri" w:hAnsi="Arial" w:cs="Arial"/>
          <w:b/>
          <w:bCs/>
          <w:color w:val="000000" w:themeColor="text1"/>
          <w:sz w:val="22"/>
          <w:lang w:val="es-ES_tradnl"/>
        </w:rPr>
        <w:t xml:space="preserve">. «Patente» e inexistencia de pluralidad de oferentes en el mercado: posibilidad y contingencia </w:t>
      </w:r>
    </w:p>
    <w:p w14:paraId="123B9FA5" w14:textId="77777777" w:rsidR="0083382A" w:rsidRPr="00D4474A" w:rsidRDefault="0083382A" w:rsidP="0083382A">
      <w:pPr>
        <w:spacing w:line="276" w:lineRule="auto"/>
        <w:jc w:val="both"/>
        <w:rPr>
          <w:rFonts w:ascii="Arial" w:eastAsia="Arial" w:hAnsi="Arial" w:cs="Arial"/>
          <w:color w:val="000000"/>
          <w:sz w:val="22"/>
          <w:lang w:val="es-ES_tradnl"/>
        </w:rPr>
      </w:pPr>
    </w:p>
    <w:p w14:paraId="1468451A" w14:textId="77777777" w:rsidR="0083382A" w:rsidRPr="00D4474A" w:rsidRDefault="0083382A" w:rsidP="0083382A">
      <w:pPr>
        <w:spacing w:line="276" w:lineRule="auto"/>
        <w:jc w:val="both"/>
        <w:rPr>
          <w:rFonts w:ascii="Arial" w:eastAsia="Arial" w:hAnsi="Arial" w:cs="Arial"/>
          <w:color w:val="000000"/>
          <w:sz w:val="22"/>
          <w:lang w:val="es-ES_tradnl"/>
        </w:rPr>
      </w:pPr>
      <w:r w:rsidRPr="00D4474A">
        <w:rPr>
          <w:rFonts w:ascii="Arial" w:eastAsia="Arial" w:hAnsi="Arial" w:cs="Arial"/>
          <w:color w:val="000000"/>
          <w:sz w:val="22"/>
          <w:lang w:val="es-ES_tradnl"/>
        </w:rPr>
        <w:t xml:space="preserve">Como se indicó en el numeral anterior, de conformidad con el artículo 2.2.1.2.1.4.8. del Decreto 1082 de 2015, una de las circunstancias que permiten justificar la causal de contratación directa prevista en el artículo 2, numeral 4º, literal g), de la Ley 1150 de 2007 –o sea, por inexistencia de pluralidad de oferentes en el mercado–, es cuando haya solo una persona que pueda proveer el bien o el servicio, «por ser titular de los derechos de propiedad industrial o de los derechos de autor». </w:t>
      </w:r>
    </w:p>
    <w:p w14:paraId="7F2FA6D8" w14:textId="79B183A3" w:rsidR="0083382A" w:rsidRPr="00D4474A" w:rsidRDefault="0083382A" w:rsidP="0083382A">
      <w:pPr>
        <w:spacing w:before="120" w:line="276" w:lineRule="auto"/>
        <w:ind w:firstLine="709"/>
        <w:jc w:val="both"/>
        <w:rPr>
          <w:rFonts w:ascii="Arial" w:eastAsia="Arial" w:hAnsi="Arial" w:cs="Arial"/>
          <w:color w:val="000000"/>
          <w:sz w:val="22"/>
          <w:lang w:val="es-ES_tradnl"/>
        </w:rPr>
      </w:pPr>
      <w:r w:rsidRPr="00D4474A">
        <w:rPr>
          <w:rFonts w:ascii="Arial" w:eastAsia="Arial" w:hAnsi="Arial" w:cs="Arial"/>
          <w:color w:val="000000"/>
          <w:sz w:val="22"/>
          <w:lang w:val="es-ES_tradnl"/>
        </w:rPr>
        <w:lastRenderedPageBreak/>
        <w:t>La concesión de una «patente» constituye un acto jurídico que permite acreditar la titularidad de los derechos de propiedad industrial de un invento y que en principio otorga exclusividad en su explotación. Sin embargo, esta situación es contingente. En otra</w:t>
      </w:r>
      <w:r w:rsidR="00C61B46" w:rsidRPr="00D4474A">
        <w:rPr>
          <w:rFonts w:ascii="Arial" w:eastAsia="Arial" w:hAnsi="Arial" w:cs="Arial"/>
          <w:color w:val="000000"/>
          <w:sz w:val="22"/>
          <w:lang w:val="es-ES_tradnl"/>
        </w:rPr>
        <w:t>s</w:t>
      </w:r>
      <w:r w:rsidRPr="00D4474A">
        <w:rPr>
          <w:rFonts w:ascii="Arial" w:eastAsia="Arial" w:hAnsi="Arial" w:cs="Arial"/>
          <w:color w:val="000000"/>
          <w:sz w:val="22"/>
          <w:lang w:val="es-ES_tradnl"/>
        </w:rPr>
        <w:t xml:space="preserve"> palabras, no es inexorable, pues es posible que el titular de una patente autorice su comercialización por parte de otros proveedores, verbigracia, a través del licenciamiento de </w:t>
      </w:r>
      <w:proofErr w:type="gramStart"/>
      <w:r w:rsidRPr="00D4474A">
        <w:rPr>
          <w:rFonts w:ascii="Arial" w:eastAsia="Arial" w:hAnsi="Arial" w:cs="Arial"/>
          <w:color w:val="000000"/>
          <w:sz w:val="22"/>
          <w:lang w:val="es-ES_tradnl"/>
        </w:rPr>
        <w:t>la misma</w:t>
      </w:r>
      <w:proofErr w:type="gramEnd"/>
      <w:r w:rsidRPr="00D4474A">
        <w:rPr>
          <w:rFonts w:ascii="Arial" w:eastAsia="Arial" w:hAnsi="Arial" w:cs="Arial"/>
          <w:color w:val="000000"/>
          <w:sz w:val="22"/>
          <w:lang w:val="es-ES_tradnl"/>
        </w:rPr>
        <w:t>. De suceder esto, no puede afirmarse la ausencia de pluralidad de oferentes en el mercado. En consecuencia, tampoco se configuraría la causal del artículo 2, numeral 4º, literal g), de la Ley 1150 de 2007.</w:t>
      </w:r>
    </w:p>
    <w:p w14:paraId="6220B9B5" w14:textId="77777777" w:rsidR="0083382A" w:rsidRPr="00D4474A" w:rsidRDefault="0083382A" w:rsidP="0083382A">
      <w:pPr>
        <w:spacing w:before="120" w:line="276" w:lineRule="auto"/>
        <w:ind w:firstLine="709"/>
        <w:jc w:val="both"/>
        <w:rPr>
          <w:rFonts w:ascii="Arial" w:eastAsia="Arial" w:hAnsi="Arial" w:cs="Arial"/>
          <w:color w:val="000000"/>
          <w:sz w:val="22"/>
          <w:lang w:val="es-ES_tradnl"/>
        </w:rPr>
      </w:pPr>
      <w:r w:rsidRPr="00D4474A">
        <w:rPr>
          <w:rFonts w:ascii="Arial" w:eastAsia="Arial" w:hAnsi="Arial" w:cs="Arial"/>
          <w:color w:val="000000"/>
          <w:sz w:val="22"/>
          <w:lang w:val="es-ES_tradnl"/>
        </w:rPr>
        <w:t xml:space="preserve">En efecto, el artículo 14 de la Decisión 486 de la Comisión de la Comunidad Andina, aplicable a Colombia en materia de propiedad industrial y derechos de autor, dispone que «Los Países Miembros otorgarán patentes para las invenciones, sean de producto o de procedimiento, en todos los campos de la tecnología, siempre que sean nuevas, tengan nivel inventivo y sean susceptibles de aplicación industrial». De esta manera, la </w:t>
      </w:r>
      <w:r w:rsidRPr="00D4474A">
        <w:rPr>
          <w:rFonts w:ascii="Arial" w:eastAsia="Arial" w:hAnsi="Arial" w:cs="Arial"/>
          <w:i/>
          <w:iCs/>
          <w:color w:val="000000"/>
          <w:sz w:val="22"/>
          <w:lang w:val="es-ES_tradnl"/>
        </w:rPr>
        <w:t>patente</w:t>
      </w:r>
      <w:r w:rsidRPr="00D4474A">
        <w:rPr>
          <w:rFonts w:ascii="Arial" w:eastAsia="Arial" w:hAnsi="Arial" w:cs="Arial"/>
          <w:color w:val="000000"/>
          <w:sz w:val="22"/>
          <w:lang w:val="es-ES_tradnl"/>
        </w:rPr>
        <w:t xml:space="preserve"> «es un privilegio que le otorga el Estado al inventor como reconocimiento de la inversión y esfuerzos realizados por éste para lograr una solución técnica que le aporte beneficios a la humanidad. Dicho privilegio consiste en el derecho a explotar exclusivamente el invento por un tiempo determinado»</w:t>
      </w:r>
      <w:r w:rsidRPr="00D4474A">
        <w:rPr>
          <w:rStyle w:val="Refdenotaalpie"/>
          <w:rFonts w:ascii="Arial" w:eastAsia="Arial" w:hAnsi="Arial" w:cs="Arial"/>
          <w:color w:val="000000"/>
          <w:sz w:val="22"/>
          <w:lang w:val="es-ES_tradnl"/>
        </w:rPr>
        <w:footnoteReference w:id="13"/>
      </w:r>
      <w:r w:rsidRPr="00D4474A">
        <w:rPr>
          <w:rFonts w:ascii="Arial" w:eastAsia="Arial" w:hAnsi="Arial" w:cs="Arial"/>
          <w:color w:val="000000"/>
          <w:sz w:val="22"/>
          <w:lang w:val="es-ES_tradnl"/>
        </w:rPr>
        <w:t>.</w:t>
      </w:r>
    </w:p>
    <w:p w14:paraId="1C813DBB" w14:textId="32F6290A" w:rsidR="0083382A" w:rsidRPr="00D4474A" w:rsidRDefault="0083382A" w:rsidP="0083382A">
      <w:pPr>
        <w:spacing w:before="120" w:line="276" w:lineRule="auto"/>
        <w:ind w:firstLine="709"/>
        <w:jc w:val="both"/>
        <w:rPr>
          <w:rFonts w:ascii="Arial" w:eastAsia="Arial" w:hAnsi="Arial" w:cs="Arial"/>
          <w:color w:val="000000"/>
          <w:sz w:val="22"/>
          <w:lang w:val="es-ES_tradnl"/>
        </w:rPr>
      </w:pPr>
      <w:r w:rsidRPr="00D4474A">
        <w:rPr>
          <w:rFonts w:ascii="Arial" w:eastAsia="Arial" w:hAnsi="Arial" w:cs="Arial"/>
          <w:color w:val="000000"/>
          <w:sz w:val="22"/>
          <w:lang w:val="es-ES_tradnl"/>
        </w:rPr>
        <w:t xml:space="preserve">La Corte Constitucional tuvo oportunidad de pronunciarse acerca del concepto, los atributos y el régimen jurídico de las patentes de invención, señalando que es acorde con el ordenamiento que se proteja esta modalidad </w:t>
      </w:r>
      <w:r w:rsidRPr="00D4474A">
        <w:rPr>
          <w:rFonts w:ascii="Arial" w:eastAsia="Arial" w:hAnsi="Arial" w:cs="Arial"/>
          <w:i/>
          <w:iCs/>
          <w:color w:val="000000"/>
          <w:sz w:val="22"/>
          <w:lang w:val="es-ES_tradnl"/>
        </w:rPr>
        <w:t>sui géneris</w:t>
      </w:r>
      <w:r w:rsidRPr="00D4474A">
        <w:rPr>
          <w:rFonts w:ascii="Arial" w:eastAsia="Arial" w:hAnsi="Arial" w:cs="Arial"/>
          <w:color w:val="000000"/>
          <w:sz w:val="22"/>
          <w:lang w:val="es-ES_tradnl"/>
        </w:rPr>
        <w:t xml:space="preserve"> del derecho de propiedad, debido a «[…] la naturaleza intangible del objeto sobre el que se ejerce el derecho; su protección temporal; y, la sujeción de su eficacia a otras condiciones previstas por el Legislador»</w:t>
      </w:r>
      <w:r w:rsidRPr="00D4474A">
        <w:rPr>
          <w:rStyle w:val="Refdenotaalpie"/>
          <w:rFonts w:ascii="Arial" w:eastAsia="Arial" w:hAnsi="Arial" w:cs="Arial"/>
          <w:color w:val="000000"/>
          <w:sz w:val="22"/>
          <w:lang w:val="es-ES_tradnl"/>
        </w:rPr>
        <w:footnoteReference w:id="14"/>
      </w:r>
      <w:r w:rsidRPr="00D4474A">
        <w:rPr>
          <w:rFonts w:ascii="Arial" w:eastAsia="Arial" w:hAnsi="Arial" w:cs="Arial"/>
          <w:color w:val="000000"/>
          <w:sz w:val="22"/>
          <w:lang w:val="es-ES_tradnl"/>
        </w:rPr>
        <w:t xml:space="preserve">. </w:t>
      </w:r>
    </w:p>
    <w:p w14:paraId="2529F4C5" w14:textId="77777777" w:rsidR="0083382A" w:rsidRPr="00D4474A" w:rsidRDefault="0083382A" w:rsidP="0083382A">
      <w:pPr>
        <w:spacing w:before="120" w:line="276" w:lineRule="auto"/>
        <w:ind w:firstLine="709"/>
        <w:jc w:val="both"/>
        <w:rPr>
          <w:rFonts w:ascii="Arial" w:eastAsia="Arial" w:hAnsi="Arial" w:cs="Arial"/>
          <w:color w:val="000000"/>
          <w:sz w:val="22"/>
          <w:lang w:val="es-ES_tradnl"/>
        </w:rPr>
      </w:pPr>
      <w:r w:rsidRPr="00D4474A">
        <w:rPr>
          <w:rFonts w:ascii="Arial" w:eastAsia="Arial" w:hAnsi="Arial" w:cs="Arial"/>
          <w:color w:val="000000"/>
          <w:sz w:val="22"/>
          <w:lang w:val="es-ES_tradnl"/>
        </w:rPr>
        <w:t xml:space="preserve">De igual forma, el artículo 22 de la mencionada Decisión prevé que a pesar de que el derecho de la patente pertenece al inventor, aquel «podrá ser transferido por acto entre vivos o por vía sucesoria». En esta misma perspectiva, aunque el artículo 52 de dicho cuerpo normativo establece que uno de los derechos que otorga la patente a su titular es impedir que terceras personas fabriquen, usen o vendan el producto sin su consentimiento, </w:t>
      </w:r>
      <w:r w:rsidRPr="00D4474A">
        <w:rPr>
          <w:rFonts w:ascii="Arial" w:eastAsia="Arial" w:hAnsi="Arial" w:cs="Arial"/>
          <w:color w:val="000000"/>
          <w:sz w:val="22"/>
          <w:lang w:val="es-ES_tradnl"/>
        </w:rPr>
        <w:lastRenderedPageBreak/>
        <w:t>el artículo 57 le permite a aquel otorgar licencias «para la explotación de la invención respectiva» a «uno o más terceros»</w:t>
      </w:r>
      <w:r w:rsidRPr="00D4474A">
        <w:rPr>
          <w:rStyle w:val="Refdenotaalpie"/>
          <w:rFonts w:ascii="Arial" w:eastAsia="Arial" w:hAnsi="Arial" w:cs="Arial"/>
          <w:color w:val="000000"/>
          <w:sz w:val="22"/>
          <w:lang w:val="es-ES_tradnl"/>
        </w:rPr>
        <w:footnoteReference w:id="15"/>
      </w:r>
      <w:r w:rsidRPr="00D4474A">
        <w:rPr>
          <w:rFonts w:ascii="Arial" w:eastAsia="Arial" w:hAnsi="Arial" w:cs="Arial"/>
          <w:color w:val="000000"/>
          <w:sz w:val="22"/>
          <w:lang w:val="es-ES_tradnl"/>
        </w:rPr>
        <w:t>.</w:t>
      </w:r>
    </w:p>
    <w:p w14:paraId="559FE821" w14:textId="7C34C916" w:rsidR="0083382A" w:rsidRPr="00D4474A" w:rsidRDefault="0083382A" w:rsidP="0083382A">
      <w:pPr>
        <w:spacing w:before="120" w:line="276" w:lineRule="auto"/>
        <w:ind w:firstLine="709"/>
        <w:jc w:val="both"/>
        <w:rPr>
          <w:rFonts w:ascii="Arial" w:eastAsia="Arial" w:hAnsi="Arial" w:cs="Arial"/>
          <w:color w:val="000000"/>
          <w:sz w:val="22"/>
          <w:lang w:val="es-ES_tradnl"/>
        </w:rPr>
      </w:pPr>
      <w:r w:rsidRPr="00D4474A">
        <w:rPr>
          <w:rFonts w:ascii="Arial" w:eastAsia="Arial" w:hAnsi="Arial" w:cs="Arial"/>
          <w:color w:val="000000"/>
          <w:sz w:val="22"/>
          <w:lang w:val="es-ES_tradnl"/>
        </w:rPr>
        <w:t xml:space="preserve">Lo anterior permite concluir, entonces, que no siempre que existe una patente hay un único proveedor o, </w:t>
      </w:r>
      <w:proofErr w:type="gramStart"/>
      <w:r w:rsidRPr="00D4474A">
        <w:rPr>
          <w:rFonts w:ascii="Arial" w:eastAsia="Arial" w:hAnsi="Arial" w:cs="Arial"/>
          <w:color w:val="000000"/>
          <w:sz w:val="22"/>
          <w:lang w:val="es-ES_tradnl"/>
        </w:rPr>
        <w:t>dicho</w:t>
      </w:r>
      <w:proofErr w:type="gramEnd"/>
      <w:r w:rsidRPr="00D4474A">
        <w:rPr>
          <w:rFonts w:ascii="Arial" w:eastAsia="Arial" w:hAnsi="Arial" w:cs="Arial"/>
          <w:color w:val="000000"/>
          <w:sz w:val="22"/>
          <w:lang w:val="es-ES_tradnl"/>
        </w:rPr>
        <w:t xml:space="preserve"> en otros términos, que la patente, por sí misma, no es algo que permita predicar de manera inequívoca la inexistencia de pluralidad de oferentes en el mercado. Así, tal como se ha expuesto, es factible que el titular de la patente haya concedido licencias para la explotación de la invención a varios sujetos, los cuales podrían concurrir a procedimientos de selección plurales.</w:t>
      </w:r>
    </w:p>
    <w:p w14:paraId="72992D86" w14:textId="10133D31" w:rsidR="0083382A" w:rsidRPr="00D4474A" w:rsidRDefault="0083382A" w:rsidP="0083382A">
      <w:pPr>
        <w:spacing w:before="120" w:line="276" w:lineRule="auto"/>
        <w:ind w:firstLine="709"/>
        <w:jc w:val="both"/>
        <w:rPr>
          <w:rFonts w:ascii="Arial" w:eastAsia="Arial" w:hAnsi="Arial" w:cs="Arial"/>
          <w:color w:val="000000"/>
          <w:sz w:val="22"/>
          <w:lang w:val="es-ES_tradnl"/>
        </w:rPr>
      </w:pPr>
      <w:r w:rsidRPr="00D4474A">
        <w:rPr>
          <w:rFonts w:ascii="Arial" w:eastAsia="Arial" w:hAnsi="Arial" w:cs="Arial"/>
          <w:color w:val="000000"/>
          <w:sz w:val="22"/>
          <w:lang w:val="es-ES_tradnl"/>
        </w:rPr>
        <w:t xml:space="preserve">Por otra parte, la entidad estatal que requiera adquirir determinado bien o servicio, en los estudios previos, debe identificar si su necesidad solo puede satisfacerse con la invención patentada. </w:t>
      </w:r>
      <w:r w:rsidR="004F5464" w:rsidRPr="00D4474A">
        <w:rPr>
          <w:rFonts w:ascii="Arial" w:eastAsia="Arial" w:hAnsi="Arial" w:cs="Arial"/>
          <w:color w:val="000000"/>
          <w:sz w:val="22"/>
          <w:lang w:val="es-ES_tradnl"/>
        </w:rPr>
        <w:t>En efecto, p</w:t>
      </w:r>
      <w:r w:rsidRPr="00D4474A">
        <w:rPr>
          <w:rFonts w:ascii="Arial" w:eastAsia="Arial" w:hAnsi="Arial" w:cs="Arial"/>
          <w:color w:val="000000"/>
          <w:sz w:val="22"/>
          <w:lang w:val="es-ES_tradnl"/>
        </w:rPr>
        <w:t xml:space="preserve">odría presentarse el caso de que, no </w:t>
      </w:r>
      <w:proofErr w:type="gramStart"/>
      <w:r w:rsidRPr="00D4474A">
        <w:rPr>
          <w:rFonts w:ascii="Arial" w:eastAsia="Arial" w:hAnsi="Arial" w:cs="Arial"/>
          <w:color w:val="000000"/>
          <w:sz w:val="22"/>
          <w:lang w:val="es-ES_tradnl"/>
        </w:rPr>
        <w:t>obstante</w:t>
      </w:r>
      <w:proofErr w:type="gramEnd"/>
      <w:r w:rsidRPr="00D4474A">
        <w:rPr>
          <w:rFonts w:ascii="Arial" w:eastAsia="Arial" w:hAnsi="Arial" w:cs="Arial"/>
          <w:color w:val="000000"/>
          <w:sz w:val="22"/>
          <w:lang w:val="es-ES_tradnl"/>
        </w:rPr>
        <w:t xml:space="preserve"> la existencia de la patente, la necesidad pueda ser suplida por otros bienes o servicios, evento en el cual habría pluralidad de potenciales proveedores y no podría aplicarse la causal de contratación directa por la cual se indaga en la consulta.</w:t>
      </w:r>
    </w:p>
    <w:p w14:paraId="111C5F89" w14:textId="7F9DE7B8" w:rsidR="003D4928" w:rsidRPr="00D4474A" w:rsidRDefault="003D4928" w:rsidP="0083382A">
      <w:pPr>
        <w:spacing w:before="120" w:line="276" w:lineRule="auto"/>
        <w:ind w:firstLine="709"/>
        <w:jc w:val="both"/>
        <w:rPr>
          <w:rFonts w:ascii="Arial" w:eastAsia="Arial" w:hAnsi="Arial" w:cs="Arial"/>
          <w:color w:val="000000"/>
          <w:sz w:val="22"/>
          <w:lang w:val="es-ES_tradnl"/>
        </w:rPr>
      </w:pPr>
      <w:r w:rsidRPr="00D4474A">
        <w:rPr>
          <w:rFonts w:ascii="Arial" w:eastAsia="Arial" w:hAnsi="Arial" w:cs="Arial"/>
          <w:color w:val="000000"/>
          <w:sz w:val="22"/>
          <w:lang w:val="es-ES_tradnl"/>
        </w:rPr>
        <w:t>Finalmente</w:t>
      </w:r>
      <w:r w:rsidR="0021692D" w:rsidRPr="00D4474A">
        <w:rPr>
          <w:rFonts w:ascii="Arial" w:eastAsia="Arial" w:hAnsi="Arial" w:cs="Arial"/>
          <w:color w:val="000000"/>
          <w:sz w:val="22"/>
          <w:lang w:val="es-ES_tradnl"/>
        </w:rPr>
        <w:t xml:space="preserve">, se aclara que la existencia de una patente se puede acreditar con el documento que emita la Superintendencia de Industria y Comercio, que es la entidad encargada de </w:t>
      </w:r>
      <w:r w:rsidR="0021692D" w:rsidRPr="00D4474A">
        <w:rPr>
          <w:rFonts w:ascii="Arial" w:hAnsi="Arial" w:cs="Arial"/>
          <w:color w:val="000000" w:themeColor="text1"/>
          <w:sz w:val="21"/>
          <w:szCs w:val="21"/>
          <w:lang w:val="es-ES_tradnl"/>
        </w:rPr>
        <w:t>«</w:t>
      </w:r>
      <w:r w:rsidR="0021692D" w:rsidRPr="00D4474A">
        <w:rPr>
          <w:rFonts w:ascii="Arial" w:eastAsia="Arial" w:hAnsi="Arial" w:cs="Arial"/>
          <w:color w:val="000000"/>
          <w:sz w:val="22"/>
          <w:lang w:val="es-ES_tradnl"/>
        </w:rPr>
        <w:t xml:space="preserve">administrar el Sistema Nacional de la Propiedad Industrial y tramitar y decidir los asuntos relacionados con la misma», según las funciones fijadas en el </w:t>
      </w:r>
      <w:r w:rsidR="004B573A" w:rsidRPr="00D4474A">
        <w:rPr>
          <w:rFonts w:ascii="Arial" w:eastAsia="Arial" w:hAnsi="Arial" w:cs="Arial"/>
          <w:color w:val="000000"/>
          <w:sz w:val="22"/>
          <w:lang w:val="es-ES_tradnl"/>
        </w:rPr>
        <w:t xml:space="preserve">artículo 1° del </w:t>
      </w:r>
      <w:r w:rsidR="0021692D" w:rsidRPr="00D4474A">
        <w:rPr>
          <w:rFonts w:ascii="Arial" w:eastAsia="Arial" w:hAnsi="Arial" w:cs="Arial"/>
          <w:color w:val="000000"/>
          <w:sz w:val="22"/>
          <w:lang w:val="es-ES_tradnl"/>
        </w:rPr>
        <w:t>Decreto</w:t>
      </w:r>
      <w:r w:rsidR="004B573A" w:rsidRPr="00D4474A">
        <w:rPr>
          <w:rFonts w:ascii="Arial" w:eastAsia="Arial" w:hAnsi="Arial" w:cs="Arial"/>
          <w:color w:val="000000"/>
          <w:sz w:val="22"/>
          <w:lang w:val="es-ES_tradnl"/>
        </w:rPr>
        <w:t xml:space="preserve"> 4886 de 2011</w:t>
      </w:r>
      <w:r w:rsidR="0021692D" w:rsidRPr="00D4474A">
        <w:rPr>
          <w:rFonts w:ascii="Arial" w:eastAsia="Arial" w:hAnsi="Arial" w:cs="Arial"/>
          <w:color w:val="000000"/>
          <w:sz w:val="22"/>
          <w:lang w:val="es-ES_tradnl"/>
        </w:rPr>
        <w:t>.</w:t>
      </w:r>
      <w:r w:rsidR="004B573A" w:rsidRPr="00D4474A">
        <w:rPr>
          <w:rFonts w:ascii="Arial" w:eastAsia="Arial" w:hAnsi="Arial" w:cs="Arial"/>
          <w:color w:val="000000"/>
          <w:sz w:val="22"/>
          <w:lang w:val="es-ES_tradnl"/>
        </w:rPr>
        <w:t xml:space="preserve"> </w:t>
      </w:r>
    </w:p>
    <w:p w14:paraId="2B82B782" w14:textId="249E3B8A" w:rsidR="00457031" w:rsidRPr="00D4474A" w:rsidRDefault="00374D49" w:rsidP="0083382A">
      <w:pPr>
        <w:spacing w:line="276" w:lineRule="auto"/>
        <w:jc w:val="both"/>
        <w:rPr>
          <w:rFonts w:ascii="Arial" w:hAnsi="Arial" w:cs="Arial"/>
          <w:b/>
          <w:bCs/>
          <w:sz w:val="22"/>
          <w:lang w:val="es-ES_tradnl"/>
        </w:rPr>
      </w:pPr>
      <w:r w:rsidRPr="00D4474A">
        <w:rPr>
          <w:rFonts w:ascii="Arial" w:eastAsia="Calibri" w:hAnsi="Arial" w:cs="Arial"/>
          <w:bCs/>
          <w:sz w:val="22"/>
          <w:lang w:val="es-ES_tradnl"/>
        </w:rPr>
        <w:t xml:space="preserve"> </w:t>
      </w:r>
    </w:p>
    <w:p w14:paraId="37CA9805" w14:textId="7E6B1FAB" w:rsidR="00DD5B04" w:rsidRPr="00D4474A" w:rsidRDefault="004177A6" w:rsidP="00510DE9">
      <w:pPr>
        <w:tabs>
          <w:tab w:val="left" w:pos="0"/>
        </w:tabs>
        <w:jc w:val="both"/>
        <w:rPr>
          <w:rFonts w:ascii="Arial" w:eastAsia="Calibri" w:hAnsi="Arial" w:cs="Arial"/>
          <w:b/>
          <w:color w:val="000000" w:themeColor="text1"/>
          <w:sz w:val="22"/>
          <w:lang w:val="es-ES_tradnl"/>
        </w:rPr>
      </w:pPr>
      <w:r w:rsidRPr="00D4474A">
        <w:rPr>
          <w:rFonts w:ascii="Arial" w:eastAsia="Calibri" w:hAnsi="Arial" w:cs="Arial"/>
          <w:b/>
          <w:color w:val="000000" w:themeColor="text1"/>
          <w:sz w:val="22"/>
          <w:lang w:val="es-ES_tradnl"/>
        </w:rPr>
        <w:t>3</w:t>
      </w:r>
      <w:r w:rsidR="00B011A9" w:rsidRPr="00D4474A">
        <w:rPr>
          <w:rFonts w:ascii="Arial" w:eastAsia="Calibri" w:hAnsi="Arial" w:cs="Arial"/>
          <w:b/>
          <w:color w:val="000000" w:themeColor="text1"/>
          <w:sz w:val="22"/>
          <w:lang w:val="es-ES_tradnl"/>
        </w:rPr>
        <w:t xml:space="preserve">. </w:t>
      </w:r>
      <w:r w:rsidR="00DD5B04" w:rsidRPr="00D4474A">
        <w:rPr>
          <w:rFonts w:ascii="Arial" w:eastAsia="Calibri" w:hAnsi="Arial" w:cs="Arial"/>
          <w:b/>
          <w:color w:val="000000" w:themeColor="text1"/>
          <w:sz w:val="22"/>
          <w:lang w:val="es-ES_tradnl"/>
        </w:rPr>
        <w:t>Respuest</w:t>
      </w:r>
      <w:r w:rsidR="00BF0E64" w:rsidRPr="00D4474A">
        <w:rPr>
          <w:rFonts w:ascii="Arial" w:eastAsia="Calibri" w:hAnsi="Arial" w:cs="Arial"/>
          <w:b/>
          <w:color w:val="000000" w:themeColor="text1"/>
          <w:sz w:val="22"/>
          <w:lang w:val="es-ES_tradnl"/>
        </w:rPr>
        <w:t>a</w:t>
      </w:r>
    </w:p>
    <w:p w14:paraId="0B74D5B8" w14:textId="7F0A7F13" w:rsidR="00C4581D" w:rsidRPr="00D4474A" w:rsidRDefault="00C4581D" w:rsidP="00510DE9">
      <w:pPr>
        <w:tabs>
          <w:tab w:val="left" w:pos="0"/>
        </w:tabs>
        <w:jc w:val="both"/>
        <w:rPr>
          <w:rFonts w:ascii="Arial" w:eastAsia="Calibri" w:hAnsi="Arial" w:cs="Arial"/>
          <w:color w:val="000000" w:themeColor="text1"/>
          <w:sz w:val="22"/>
          <w:lang w:val="es-ES_tradnl"/>
        </w:rPr>
      </w:pPr>
    </w:p>
    <w:p w14:paraId="14636970" w14:textId="77777777" w:rsidR="00DE00EA" w:rsidRPr="00D4474A" w:rsidRDefault="00DE00EA" w:rsidP="00DE00EA">
      <w:pPr>
        <w:ind w:left="709" w:right="709"/>
        <w:jc w:val="both"/>
        <w:rPr>
          <w:rFonts w:ascii="Arial" w:hAnsi="Arial" w:cs="Arial"/>
          <w:color w:val="000000" w:themeColor="text1"/>
          <w:sz w:val="21"/>
          <w:szCs w:val="21"/>
          <w:lang w:val="es-ES_tradnl"/>
        </w:rPr>
      </w:pPr>
      <w:r w:rsidRPr="00D4474A">
        <w:rPr>
          <w:rFonts w:ascii="Arial" w:hAnsi="Arial" w:cs="Arial"/>
          <w:color w:val="000000" w:themeColor="text1"/>
          <w:sz w:val="21"/>
          <w:szCs w:val="21"/>
          <w:lang w:val="es-ES_tradnl"/>
        </w:rPr>
        <w:t xml:space="preserve">«[…]1) Es la Superintendencia de industria y Comercio   SIC   la autoridad legal que puede certificar la titularidad de propiedad industrial que indica el Artículo 2.2.1.2.1.4.8 del decreto 1082 de 2015? </w:t>
      </w:r>
    </w:p>
    <w:p w14:paraId="44D09BFE" w14:textId="77777777" w:rsidR="00DE00EA" w:rsidRPr="00D4474A" w:rsidRDefault="00DE00EA" w:rsidP="00DE00EA">
      <w:pPr>
        <w:ind w:left="709" w:right="709"/>
        <w:jc w:val="both"/>
        <w:rPr>
          <w:rFonts w:ascii="Arial" w:hAnsi="Arial" w:cs="Arial"/>
          <w:color w:val="000000" w:themeColor="text1"/>
          <w:sz w:val="21"/>
          <w:szCs w:val="21"/>
          <w:lang w:val="es-ES_tradnl"/>
        </w:rPr>
      </w:pPr>
      <w:r w:rsidRPr="00D4474A">
        <w:rPr>
          <w:rFonts w:ascii="Arial" w:hAnsi="Arial" w:cs="Arial"/>
          <w:color w:val="000000" w:themeColor="text1"/>
          <w:sz w:val="21"/>
          <w:szCs w:val="21"/>
          <w:lang w:val="es-ES_tradnl"/>
        </w:rPr>
        <w:t xml:space="preserve">2) Para productos de infraestructura de transporte que puedan tener relación con la matriz 1., Es obligatorio aplicar los documentos tipo para Contratación Directa Artículo 2.2.1.2.1.4.8 decreto 1082 de 2015 en los casos en que exista producto a contratar su mantenimiento, actualización, ampliación, instalación, rehabilitación </w:t>
      </w:r>
      <w:proofErr w:type="spellStart"/>
      <w:r w:rsidRPr="00D4474A">
        <w:rPr>
          <w:rFonts w:ascii="Arial" w:hAnsi="Arial" w:cs="Arial"/>
          <w:color w:val="000000" w:themeColor="text1"/>
          <w:sz w:val="21"/>
          <w:szCs w:val="21"/>
          <w:lang w:val="es-ES_tradnl"/>
        </w:rPr>
        <w:t>etc</w:t>
      </w:r>
      <w:proofErr w:type="spellEnd"/>
      <w:r w:rsidRPr="00D4474A">
        <w:rPr>
          <w:rFonts w:ascii="Arial" w:hAnsi="Arial" w:cs="Arial"/>
          <w:color w:val="000000" w:themeColor="text1"/>
          <w:sz w:val="21"/>
          <w:szCs w:val="21"/>
          <w:lang w:val="es-ES_tradnl"/>
        </w:rPr>
        <w:t xml:space="preserve"> y existan patentes con exclusividad legal soportada por artículos 306 y 307 del código penal y certificada su titularidad por la SIC?</w:t>
      </w:r>
    </w:p>
    <w:p w14:paraId="1EE142BB" w14:textId="1635936F" w:rsidR="006364DB" w:rsidRPr="00D4474A" w:rsidRDefault="00DE00EA" w:rsidP="00DE00EA">
      <w:pPr>
        <w:ind w:left="709" w:right="709"/>
        <w:jc w:val="both"/>
        <w:rPr>
          <w:rFonts w:ascii="Arial" w:hAnsi="Arial" w:cs="Arial"/>
          <w:color w:val="000000" w:themeColor="text1"/>
          <w:sz w:val="21"/>
          <w:szCs w:val="21"/>
          <w:lang w:val="es-ES_tradnl"/>
        </w:rPr>
      </w:pPr>
      <w:r w:rsidRPr="00D4474A">
        <w:rPr>
          <w:rFonts w:ascii="Arial" w:hAnsi="Arial" w:cs="Arial"/>
          <w:color w:val="000000" w:themeColor="text1"/>
          <w:sz w:val="21"/>
          <w:szCs w:val="21"/>
          <w:lang w:val="es-ES_tradnl"/>
        </w:rPr>
        <w:lastRenderedPageBreak/>
        <w:t>3) Es la Patente expedida por la Superintendencia de industria y Comercio SIC el documento que demuestra la exclusividad legal y titularidad de propiedad industrial sobre un producto en Colombia que tiene protegida dicha exclusividad por los Artículos 306 y 307 del código penal?»</w:t>
      </w:r>
    </w:p>
    <w:p w14:paraId="5DC4F1AA" w14:textId="619F642D" w:rsidR="00BF0E64" w:rsidRPr="00D4474A" w:rsidRDefault="00BF0E64" w:rsidP="00853A3C">
      <w:pPr>
        <w:ind w:right="709"/>
        <w:jc w:val="both"/>
        <w:rPr>
          <w:rFonts w:ascii="Arial" w:hAnsi="Arial" w:cs="Arial"/>
          <w:color w:val="000000" w:themeColor="text1"/>
          <w:sz w:val="21"/>
          <w:szCs w:val="21"/>
          <w:lang w:val="es-ES_tradnl"/>
        </w:rPr>
      </w:pPr>
    </w:p>
    <w:p w14:paraId="22832CBF" w14:textId="1EBC8E0D" w:rsidR="00D97DAD" w:rsidRPr="00D4474A" w:rsidRDefault="001204D2" w:rsidP="00895828">
      <w:pPr>
        <w:spacing w:line="276" w:lineRule="auto"/>
        <w:jc w:val="both"/>
        <w:rPr>
          <w:rFonts w:ascii="Arial" w:eastAsia="Arial" w:hAnsi="Arial" w:cs="Arial"/>
          <w:color w:val="000000"/>
          <w:sz w:val="22"/>
          <w:lang w:val="es-ES_tradnl"/>
        </w:rPr>
      </w:pPr>
      <w:r w:rsidRPr="00D4474A">
        <w:rPr>
          <w:rFonts w:ascii="Arial" w:eastAsia="Arial" w:hAnsi="Arial" w:cs="Arial"/>
          <w:color w:val="000000"/>
          <w:sz w:val="22"/>
          <w:lang w:val="es-ES_tradnl"/>
        </w:rPr>
        <w:t xml:space="preserve">El Estatuto General de Contratación de la Administración Pública no establece una modalidad de selección especial a la que </w:t>
      </w:r>
      <w:r w:rsidRPr="00D4474A">
        <w:rPr>
          <w:rFonts w:ascii="Arial" w:eastAsia="Arial" w:hAnsi="Arial" w:cs="Arial"/>
          <w:i/>
          <w:iCs/>
          <w:color w:val="000000"/>
          <w:sz w:val="22"/>
          <w:lang w:val="es-ES_tradnl"/>
        </w:rPr>
        <w:t>siempre</w:t>
      </w:r>
      <w:r w:rsidRPr="00D4474A">
        <w:rPr>
          <w:rFonts w:ascii="Arial" w:eastAsia="Arial" w:hAnsi="Arial" w:cs="Arial"/>
          <w:color w:val="000000"/>
          <w:sz w:val="22"/>
          <w:lang w:val="es-ES_tradnl"/>
        </w:rPr>
        <w:t xml:space="preserve"> deba acudirse para suscribir contratos de obra pública. Si bien la licitación pública opera como regla general, estos contratos también podrían celebrarse, en ciertos eventos, adelantando previamente otros procesos de selección, por ejemplo, de </w:t>
      </w:r>
      <w:r w:rsidRPr="00D4474A">
        <w:rPr>
          <w:rFonts w:ascii="Arial" w:eastAsia="Arial" w:hAnsi="Arial" w:cs="Arial"/>
          <w:i/>
          <w:iCs/>
          <w:color w:val="000000"/>
          <w:sz w:val="22"/>
          <w:lang w:val="es-ES_tradnl"/>
        </w:rPr>
        <w:t>selección abreviada</w:t>
      </w:r>
      <w:r w:rsidRPr="00D4474A">
        <w:rPr>
          <w:rFonts w:ascii="Arial" w:eastAsia="Arial" w:hAnsi="Arial" w:cs="Arial"/>
          <w:color w:val="000000"/>
          <w:sz w:val="22"/>
          <w:lang w:val="es-ES_tradnl"/>
        </w:rPr>
        <w:t xml:space="preserve"> de menor cuantía, de </w:t>
      </w:r>
      <w:r w:rsidRPr="00D4474A">
        <w:rPr>
          <w:rFonts w:ascii="Arial" w:eastAsia="Arial" w:hAnsi="Arial" w:cs="Arial"/>
          <w:i/>
          <w:iCs/>
          <w:color w:val="000000"/>
          <w:sz w:val="22"/>
          <w:lang w:val="es-ES_tradnl"/>
        </w:rPr>
        <w:t>mínima cuantía</w:t>
      </w:r>
      <w:r w:rsidRPr="00D4474A">
        <w:rPr>
          <w:rFonts w:ascii="Arial" w:eastAsia="Arial" w:hAnsi="Arial" w:cs="Arial"/>
          <w:color w:val="000000"/>
          <w:sz w:val="22"/>
          <w:lang w:val="es-ES_tradnl"/>
        </w:rPr>
        <w:t xml:space="preserve"> –cuando no excedan el 10% de la menor cuantía– o de </w:t>
      </w:r>
      <w:r w:rsidRPr="00D4474A">
        <w:rPr>
          <w:rFonts w:ascii="Arial" w:eastAsia="Arial" w:hAnsi="Arial" w:cs="Arial"/>
          <w:i/>
          <w:iCs/>
          <w:color w:val="000000"/>
          <w:sz w:val="22"/>
          <w:lang w:val="es-ES_tradnl"/>
        </w:rPr>
        <w:t>contratación directa</w:t>
      </w:r>
      <w:r w:rsidRPr="00D4474A">
        <w:rPr>
          <w:rFonts w:ascii="Arial" w:eastAsia="Arial" w:hAnsi="Arial" w:cs="Arial"/>
          <w:color w:val="000000"/>
          <w:sz w:val="22"/>
          <w:lang w:val="es-ES_tradnl"/>
        </w:rPr>
        <w:t xml:space="preserve"> –como sucede en eventos de urgencia manifiesta o en contratos interadministrativos–.</w:t>
      </w:r>
      <w:r w:rsidR="004B573A" w:rsidRPr="00D4474A">
        <w:rPr>
          <w:rFonts w:ascii="Arial" w:eastAsia="Arial" w:hAnsi="Arial" w:cs="Arial"/>
          <w:color w:val="000000"/>
          <w:sz w:val="22"/>
          <w:lang w:val="es-ES_tradnl"/>
        </w:rPr>
        <w:t xml:space="preserve"> Así mismo, cuando el proceso de selección del contratista de la obra pública esté supeditada a la utilización de los documentos tipo de infraestructura de transporte o de cualesquier</w:t>
      </w:r>
      <w:r w:rsidR="005E1A94" w:rsidRPr="00D4474A">
        <w:rPr>
          <w:rFonts w:ascii="Arial" w:eastAsia="Arial" w:hAnsi="Arial" w:cs="Arial"/>
          <w:color w:val="000000"/>
          <w:sz w:val="22"/>
          <w:lang w:val="es-ES_tradnl"/>
        </w:rPr>
        <w:t>a de los</w:t>
      </w:r>
      <w:r w:rsidR="004B573A" w:rsidRPr="00D4474A">
        <w:rPr>
          <w:rFonts w:ascii="Arial" w:eastAsia="Arial" w:hAnsi="Arial" w:cs="Arial"/>
          <w:color w:val="000000"/>
          <w:sz w:val="22"/>
          <w:lang w:val="es-ES_tradnl"/>
        </w:rPr>
        <w:t xml:space="preserve"> otro</w:t>
      </w:r>
      <w:r w:rsidR="005E1A94" w:rsidRPr="00D4474A">
        <w:rPr>
          <w:rFonts w:ascii="Arial" w:eastAsia="Arial" w:hAnsi="Arial" w:cs="Arial"/>
          <w:color w:val="000000"/>
          <w:sz w:val="22"/>
          <w:lang w:val="es-ES_tradnl"/>
        </w:rPr>
        <w:t>s</w:t>
      </w:r>
      <w:r w:rsidR="004B573A" w:rsidRPr="00D4474A">
        <w:rPr>
          <w:rFonts w:ascii="Arial" w:eastAsia="Arial" w:hAnsi="Arial" w:cs="Arial"/>
          <w:color w:val="000000"/>
          <w:sz w:val="22"/>
          <w:lang w:val="es-ES_tradnl"/>
        </w:rPr>
        <w:t xml:space="preserve"> documentos tipo vigentes</w:t>
      </w:r>
      <w:r w:rsidR="005E1A94" w:rsidRPr="00D4474A">
        <w:rPr>
          <w:rFonts w:ascii="Arial" w:eastAsia="Arial" w:hAnsi="Arial" w:cs="Arial"/>
          <w:color w:val="000000"/>
          <w:sz w:val="22"/>
          <w:lang w:val="es-ES_tradnl"/>
        </w:rPr>
        <w:t xml:space="preserve">, </w:t>
      </w:r>
      <w:r w:rsidR="004F5464" w:rsidRPr="00D4474A">
        <w:rPr>
          <w:rFonts w:ascii="Arial" w:eastAsia="Arial" w:hAnsi="Arial" w:cs="Arial"/>
          <w:color w:val="000000"/>
          <w:sz w:val="22"/>
          <w:lang w:val="es-ES_tradnl"/>
        </w:rPr>
        <w:t xml:space="preserve">conforme con lo explicado en el numeral 2.2. de este concepto, </w:t>
      </w:r>
      <w:r w:rsidR="005E1A94" w:rsidRPr="00D4474A">
        <w:rPr>
          <w:rFonts w:ascii="Arial" w:eastAsia="Arial" w:hAnsi="Arial" w:cs="Arial"/>
          <w:color w:val="000000"/>
          <w:sz w:val="22"/>
          <w:lang w:val="es-ES_tradnl"/>
        </w:rPr>
        <w:t>la entidad estatal contratante deberá aplicarlos para escoger el contratista.</w:t>
      </w:r>
      <w:r w:rsidR="004B573A" w:rsidRPr="00D4474A">
        <w:rPr>
          <w:rFonts w:ascii="Arial" w:eastAsia="Arial" w:hAnsi="Arial" w:cs="Arial"/>
          <w:color w:val="000000"/>
          <w:sz w:val="22"/>
          <w:lang w:val="es-ES_tradnl"/>
        </w:rPr>
        <w:t xml:space="preserve"> </w:t>
      </w:r>
      <w:r w:rsidR="004F5464" w:rsidRPr="00D4474A">
        <w:rPr>
          <w:rFonts w:ascii="Arial" w:eastAsia="Arial" w:hAnsi="Arial" w:cs="Arial"/>
          <w:color w:val="000000"/>
          <w:sz w:val="22"/>
          <w:lang w:val="es-ES_tradnl"/>
        </w:rPr>
        <w:t>Sin embargo, si la modalidad de selección a aplicar no está estandarizada mediante alguno de los documentos tipo, no procedería su aplicación.</w:t>
      </w:r>
    </w:p>
    <w:p w14:paraId="4A624C19" w14:textId="67CF8490" w:rsidR="00083452" w:rsidRPr="00D4474A" w:rsidRDefault="005E1A94" w:rsidP="00D97DAD">
      <w:pPr>
        <w:spacing w:before="120" w:line="276" w:lineRule="auto"/>
        <w:ind w:firstLine="709"/>
        <w:jc w:val="both"/>
        <w:rPr>
          <w:rFonts w:ascii="Arial" w:eastAsia="Arial" w:hAnsi="Arial" w:cs="Arial"/>
          <w:color w:val="000000"/>
          <w:sz w:val="22"/>
          <w:lang w:val="es-ES_tradnl"/>
        </w:rPr>
      </w:pPr>
      <w:r w:rsidRPr="00D4474A">
        <w:rPr>
          <w:rFonts w:ascii="Arial" w:eastAsia="Arial" w:hAnsi="Arial" w:cs="Arial"/>
          <w:color w:val="000000"/>
          <w:sz w:val="22"/>
          <w:lang w:val="es-ES_tradnl"/>
        </w:rPr>
        <w:t>De otra parte, l</w:t>
      </w:r>
      <w:r w:rsidR="00083452" w:rsidRPr="00D4474A">
        <w:rPr>
          <w:rFonts w:ascii="Arial" w:eastAsia="Arial" w:hAnsi="Arial" w:cs="Arial"/>
          <w:color w:val="000000"/>
          <w:sz w:val="22"/>
          <w:lang w:val="es-ES_tradnl"/>
        </w:rPr>
        <w:t xml:space="preserve">a concesión de una «patente» constituye un acto jurídico que permite acreditar la titularidad de los derechos de propiedad industrial de un invento y que en principio otorga exclusividad en su explotación. Sin embargo, esta situación es contingente. En otras palabras, no es inexorable, pues es posible que el titular de una patente autorice su comercialización por parte de otros proveedores, verbigracia, a través del licenciamiento de </w:t>
      </w:r>
      <w:proofErr w:type="gramStart"/>
      <w:r w:rsidR="00083452" w:rsidRPr="00D4474A">
        <w:rPr>
          <w:rFonts w:ascii="Arial" w:eastAsia="Arial" w:hAnsi="Arial" w:cs="Arial"/>
          <w:color w:val="000000"/>
          <w:sz w:val="22"/>
          <w:lang w:val="es-ES_tradnl"/>
        </w:rPr>
        <w:t>la misma</w:t>
      </w:r>
      <w:proofErr w:type="gramEnd"/>
      <w:r w:rsidR="00083452" w:rsidRPr="00D4474A">
        <w:rPr>
          <w:rFonts w:ascii="Arial" w:eastAsia="Arial" w:hAnsi="Arial" w:cs="Arial"/>
          <w:color w:val="000000"/>
          <w:sz w:val="22"/>
          <w:lang w:val="es-ES_tradnl"/>
        </w:rPr>
        <w:t>. De suceder esto, no puede afirmarse la ausencia de pluralidad de oferentes en el mercado. En consecuencia, tampoco se configuraría la causal del artículo 2, numeral 4º, literal g), de la Ley 1150 de 2007.</w:t>
      </w:r>
    </w:p>
    <w:p w14:paraId="380E3C7D" w14:textId="4D1F3F5E" w:rsidR="00083452" w:rsidRPr="00D4474A" w:rsidRDefault="00083452" w:rsidP="00083452">
      <w:pPr>
        <w:spacing w:before="120" w:line="276" w:lineRule="auto"/>
        <w:ind w:firstLine="709"/>
        <w:jc w:val="both"/>
        <w:rPr>
          <w:rFonts w:ascii="Arial" w:eastAsia="Arial" w:hAnsi="Arial" w:cs="Arial"/>
          <w:color w:val="000000"/>
          <w:sz w:val="22"/>
          <w:lang w:val="es-ES_tradnl"/>
        </w:rPr>
      </w:pPr>
      <w:r w:rsidRPr="00D4474A">
        <w:rPr>
          <w:rFonts w:ascii="Arial" w:eastAsia="Arial" w:hAnsi="Arial" w:cs="Arial"/>
          <w:color w:val="000000"/>
          <w:sz w:val="22"/>
          <w:lang w:val="es-ES_tradnl"/>
        </w:rPr>
        <w:t xml:space="preserve">Lo anterior permite concluir, entonces, que no siempre que existe una patente hay un único proveedor o, </w:t>
      </w:r>
      <w:proofErr w:type="gramStart"/>
      <w:r w:rsidRPr="00D4474A">
        <w:rPr>
          <w:rFonts w:ascii="Arial" w:eastAsia="Arial" w:hAnsi="Arial" w:cs="Arial"/>
          <w:color w:val="000000"/>
          <w:sz w:val="22"/>
          <w:lang w:val="es-ES_tradnl"/>
        </w:rPr>
        <w:t>dicho</w:t>
      </w:r>
      <w:proofErr w:type="gramEnd"/>
      <w:r w:rsidRPr="00D4474A">
        <w:rPr>
          <w:rFonts w:ascii="Arial" w:eastAsia="Arial" w:hAnsi="Arial" w:cs="Arial"/>
          <w:color w:val="000000"/>
          <w:sz w:val="22"/>
          <w:lang w:val="es-ES_tradnl"/>
        </w:rPr>
        <w:t xml:space="preserve"> en otros términos, que la patente, por sí misma, no es algo que permita predicar de manera inequívoca la inexistencia de pluralidad de oferentes en el mercado, puesto que, como se ha expuesto, es factible que el titular de la patente haya concedido licencias para la explotación de la invención a varios sujetos, los cuales podrían concurrir a procedimientos de selección plurales.</w:t>
      </w:r>
    </w:p>
    <w:p w14:paraId="0B32DC02" w14:textId="71BF8878" w:rsidR="005E1A94" w:rsidRPr="00D4474A" w:rsidRDefault="003303B3" w:rsidP="003303B3">
      <w:pPr>
        <w:spacing w:before="120" w:line="276" w:lineRule="auto"/>
        <w:ind w:firstLine="709"/>
        <w:jc w:val="both"/>
        <w:rPr>
          <w:rFonts w:ascii="Arial" w:eastAsia="Arial" w:hAnsi="Arial" w:cs="Arial"/>
          <w:color w:val="000000"/>
          <w:sz w:val="22"/>
          <w:lang w:val="es-ES_tradnl"/>
        </w:rPr>
      </w:pPr>
      <w:r w:rsidRPr="00D4474A">
        <w:rPr>
          <w:rFonts w:ascii="Arial" w:eastAsia="Arial" w:hAnsi="Arial" w:cs="Arial"/>
          <w:color w:val="000000"/>
          <w:sz w:val="22"/>
          <w:lang w:val="es-ES_tradnl"/>
        </w:rPr>
        <w:t xml:space="preserve">De otra parte, </w:t>
      </w:r>
      <w:r w:rsidR="005E1A94" w:rsidRPr="00D4474A">
        <w:rPr>
          <w:rFonts w:ascii="Arial" w:eastAsia="Arial" w:hAnsi="Arial" w:cs="Arial"/>
          <w:color w:val="000000"/>
          <w:sz w:val="22"/>
          <w:lang w:val="es-ES_tradnl"/>
        </w:rPr>
        <w:t xml:space="preserve">se considera que la existencia de una patente se puede acreditar con el documento que emita la Superintendencia de Industria y Comercio, que es la entidad encargada de </w:t>
      </w:r>
      <w:r w:rsidR="005E1A94" w:rsidRPr="00D4474A">
        <w:rPr>
          <w:rFonts w:ascii="Arial" w:hAnsi="Arial" w:cs="Arial"/>
          <w:color w:val="000000" w:themeColor="text1"/>
          <w:sz w:val="21"/>
          <w:szCs w:val="21"/>
          <w:lang w:val="es-ES_tradnl"/>
        </w:rPr>
        <w:t>«</w:t>
      </w:r>
      <w:r w:rsidR="005E1A94" w:rsidRPr="00D4474A">
        <w:rPr>
          <w:rFonts w:ascii="Arial" w:eastAsia="Arial" w:hAnsi="Arial" w:cs="Arial"/>
          <w:color w:val="000000"/>
          <w:sz w:val="22"/>
          <w:lang w:val="es-ES_tradnl"/>
        </w:rPr>
        <w:t xml:space="preserve">administrar el Sistema Nacional de la Propiedad Industrial y tramitar y decidir los asuntos relacionados con la misma», según las funciones fijadas en el artículo 1° del Decreto 4886 de 2011. </w:t>
      </w:r>
    </w:p>
    <w:p w14:paraId="15336659" w14:textId="42CEC653" w:rsidR="00083452" w:rsidRPr="003F155A" w:rsidRDefault="003303B3" w:rsidP="00083452">
      <w:pPr>
        <w:spacing w:before="120" w:line="276" w:lineRule="auto"/>
        <w:ind w:firstLine="709"/>
        <w:jc w:val="both"/>
        <w:rPr>
          <w:rFonts w:ascii="Arial" w:eastAsia="Arial" w:hAnsi="Arial" w:cs="Arial"/>
          <w:color w:val="000000"/>
          <w:sz w:val="22"/>
          <w:lang w:val="es-ES_tradnl"/>
        </w:rPr>
      </w:pPr>
      <w:r w:rsidRPr="00D4474A">
        <w:rPr>
          <w:rFonts w:ascii="Arial" w:eastAsia="Arial" w:hAnsi="Arial" w:cs="Arial"/>
          <w:color w:val="000000"/>
          <w:sz w:val="22"/>
          <w:lang w:val="es-ES_tradnl"/>
        </w:rPr>
        <w:t>Finalmente</w:t>
      </w:r>
      <w:r w:rsidR="00083452" w:rsidRPr="00D4474A">
        <w:rPr>
          <w:rFonts w:ascii="Arial" w:eastAsia="Arial" w:hAnsi="Arial" w:cs="Arial"/>
          <w:color w:val="000000"/>
          <w:sz w:val="22"/>
          <w:lang w:val="es-ES_tradnl"/>
        </w:rPr>
        <w:t>, la entidad estatal que requiera adquirir determinado bien o servicio, en los estudios previos, debe identificar si su necesidad solo puede satisfacerse con la invención patentada</w:t>
      </w:r>
      <w:r w:rsidR="004F5464" w:rsidRPr="00D4474A">
        <w:rPr>
          <w:rFonts w:ascii="Arial" w:eastAsia="Arial" w:hAnsi="Arial" w:cs="Arial"/>
          <w:color w:val="000000"/>
          <w:sz w:val="22"/>
          <w:lang w:val="es-ES_tradnl"/>
        </w:rPr>
        <w:t>, porque p</w:t>
      </w:r>
      <w:r w:rsidR="00083452" w:rsidRPr="00D4474A">
        <w:rPr>
          <w:rFonts w:ascii="Arial" w:eastAsia="Arial" w:hAnsi="Arial" w:cs="Arial"/>
          <w:color w:val="000000"/>
          <w:sz w:val="22"/>
          <w:lang w:val="es-ES_tradnl"/>
        </w:rPr>
        <w:t xml:space="preserve">odría presentarse el caso de que, no </w:t>
      </w:r>
      <w:proofErr w:type="gramStart"/>
      <w:r w:rsidR="00083452" w:rsidRPr="00D4474A">
        <w:rPr>
          <w:rFonts w:ascii="Arial" w:eastAsia="Arial" w:hAnsi="Arial" w:cs="Arial"/>
          <w:color w:val="000000"/>
          <w:sz w:val="22"/>
          <w:lang w:val="es-ES_tradnl"/>
        </w:rPr>
        <w:t>obstante</w:t>
      </w:r>
      <w:proofErr w:type="gramEnd"/>
      <w:r w:rsidR="00083452" w:rsidRPr="00D4474A">
        <w:rPr>
          <w:rFonts w:ascii="Arial" w:eastAsia="Arial" w:hAnsi="Arial" w:cs="Arial"/>
          <w:color w:val="000000"/>
          <w:sz w:val="22"/>
          <w:lang w:val="es-ES_tradnl"/>
        </w:rPr>
        <w:t xml:space="preserve"> la existencia </w:t>
      </w:r>
      <w:r w:rsidR="00083452" w:rsidRPr="00D4474A">
        <w:rPr>
          <w:rFonts w:ascii="Arial" w:eastAsia="Arial" w:hAnsi="Arial" w:cs="Arial"/>
          <w:color w:val="000000"/>
          <w:sz w:val="22"/>
          <w:lang w:val="es-ES_tradnl"/>
        </w:rPr>
        <w:lastRenderedPageBreak/>
        <w:t>de la patente, la necesidad pueda ser suplida por otros bienes o servicios, evento en el cual habría pluralidad de potenciales proveedores y no podría aplicarse la causal de contratación directa por la cual se indaga en la consulta.</w:t>
      </w:r>
    </w:p>
    <w:p w14:paraId="3AD2F734" w14:textId="77777777" w:rsidR="00083452" w:rsidRPr="003F155A" w:rsidRDefault="00083452" w:rsidP="00853A3C">
      <w:pPr>
        <w:ind w:right="709"/>
        <w:jc w:val="both"/>
        <w:rPr>
          <w:rFonts w:ascii="Arial" w:hAnsi="Arial" w:cs="Arial"/>
          <w:color w:val="000000" w:themeColor="text1"/>
          <w:sz w:val="21"/>
          <w:szCs w:val="21"/>
          <w:lang w:val="es-ES_tradnl"/>
        </w:rPr>
      </w:pPr>
    </w:p>
    <w:p w14:paraId="7B2C921D" w14:textId="0383AF9A" w:rsidR="00DD5B04" w:rsidRPr="003F155A" w:rsidRDefault="00DD5B04" w:rsidP="00DF76A2">
      <w:pPr>
        <w:spacing w:line="276" w:lineRule="auto"/>
        <w:jc w:val="both"/>
        <w:rPr>
          <w:rFonts w:ascii="Arial" w:hAnsi="Arial" w:cs="Arial"/>
          <w:color w:val="000000" w:themeColor="text1"/>
          <w:sz w:val="22"/>
          <w:lang w:val="es-ES_tradnl"/>
        </w:rPr>
      </w:pPr>
      <w:r w:rsidRPr="003F155A">
        <w:rPr>
          <w:rFonts w:ascii="Arial" w:hAnsi="Arial" w:cs="Arial"/>
          <w:color w:val="000000" w:themeColor="text1"/>
          <w:sz w:val="22"/>
          <w:lang w:val="es-ES_tradnl"/>
        </w:rPr>
        <w:t>Este concepto tiene el alcance previsto en el artículo 28 del Código de Procedimiento Administrativo y de lo Contencioso Administrativo.</w:t>
      </w:r>
    </w:p>
    <w:p w14:paraId="77EE5912" w14:textId="77777777" w:rsidR="00DD5B04" w:rsidRPr="003F155A"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15EB3289" w14:textId="3CD4A001" w:rsidR="002F0B74" w:rsidRPr="00711612" w:rsidRDefault="002F0B74" w:rsidP="002F0B74">
      <w:pPr>
        <w:pStyle w:val="NormalWeb"/>
        <w:spacing w:before="0" w:beforeAutospacing="0" w:after="0" w:afterAutospacing="0" w:line="276" w:lineRule="auto"/>
        <w:jc w:val="both"/>
        <w:rPr>
          <w:rFonts w:ascii="Arial" w:hAnsi="Arial" w:cs="Arial"/>
          <w:color w:val="000000" w:themeColor="text1"/>
          <w:sz w:val="22"/>
          <w:szCs w:val="22"/>
          <w:lang w:val="es-ES_tradnl"/>
        </w:rPr>
      </w:pPr>
      <w:r w:rsidRPr="00711612">
        <w:rPr>
          <w:rFonts w:ascii="Arial" w:hAnsi="Arial" w:cs="Arial"/>
          <w:color w:val="000000" w:themeColor="text1"/>
          <w:sz w:val="22"/>
          <w:szCs w:val="22"/>
          <w:lang w:val="es-ES_tradnl"/>
        </w:rPr>
        <w:t>Atentamente,</w:t>
      </w:r>
    </w:p>
    <w:p w14:paraId="7AFE6086" w14:textId="77777777" w:rsidR="002F0B74" w:rsidRPr="00B00C57" w:rsidRDefault="002F0B74" w:rsidP="002F0B74">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0BC9DBB6" w14:textId="4765F9C6" w:rsidR="002F0B74" w:rsidRPr="00B00C57" w:rsidRDefault="00DE1C29" w:rsidP="002F0B74">
      <w:pPr>
        <w:pStyle w:val="NormalWeb"/>
        <w:spacing w:before="0" w:beforeAutospacing="0" w:after="0" w:afterAutospacing="0" w:line="276" w:lineRule="auto"/>
        <w:rPr>
          <w:rFonts w:ascii="Arial" w:hAnsi="Arial" w:cs="Arial"/>
          <w:color w:val="000000" w:themeColor="text1"/>
          <w:lang w:val="es-ES_tradnl"/>
        </w:rPr>
      </w:pPr>
      <w:r>
        <w:rPr>
          <w:noProof/>
        </w:rPr>
        <w:drawing>
          <wp:inline distT="0" distB="0" distL="0" distR="0" wp14:anchorId="2E2BF54D" wp14:editId="676E52AD">
            <wp:extent cx="2514600" cy="1114425"/>
            <wp:effectExtent l="0" t="0" r="0" b="9525"/>
            <wp:docPr id="4" name="Imagen 4" descr="Texto&#10;&#10;Descripción generada automáticamente"/>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pic:nvPicPr>
                  <pic:blipFill>
                    <a:blip r:embed="rId12"/>
                    <a:stretch>
                      <a:fillRect/>
                    </a:stretch>
                  </pic:blipFill>
                  <pic:spPr>
                    <a:xfrm>
                      <a:off x="0" y="0"/>
                      <a:ext cx="2514600" cy="1114425"/>
                    </a:xfrm>
                    <a:prstGeom prst="rect">
                      <a:avLst/>
                    </a:prstGeom>
                  </pic:spPr>
                </pic:pic>
              </a:graphicData>
            </a:graphic>
          </wp:inline>
        </w:drawing>
      </w:r>
    </w:p>
    <w:p w14:paraId="59FE7F4D" w14:textId="77777777" w:rsidR="002F0B74" w:rsidRPr="00B00C57" w:rsidRDefault="002F0B74" w:rsidP="002F0B74">
      <w:pPr>
        <w:jc w:val="center"/>
        <w:rPr>
          <w:rFonts w:ascii="Arial" w:hAnsi="Arial" w:cs="Arial"/>
          <w:color w:val="000000" w:themeColor="text1"/>
          <w:sz w:val="18"/>
          <w:szCs w:val="20"/>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2F0B74" w:rsidRPr="00B00C57" w14:paraId="6B2EA909" w14:textId="77777777" w:rsidTr="00761BF9">
        <w:trPr>
          <w:trHeight w:val="315"/>
        </w:trPr>
        <w:tc>
          <w:tcPr>
            <w:tcW w:w="812" w:type="dxa"/>
            <w:vAlign w:val="center"/>
            <w:hideMark/>
          </w:tcPr>
          <w:p w14:paraId="136690EE" w14:textId="77777777" w:rsidR="002F0B74" w:rsidRPr="00B00C57" w:rsidRDefault="002F0B74" w:rsidP="00761BF9">
            <w:pPr>
              <w:jc w:val="both"/>
              <w:rPr>
                <w:rFonts w:ascii="Arial" w:hAnsi="Arial" w:cs="Arial"/>
                <w:color w:val="000000" w:themeColor="text1"/>
                <w:sz w:val="16"/>
                <w:szCs w:val="16"/>
                <w:lang w:val="es-ES_tradnl" w:eastAsia="es-ES"/>
              </w:rPr>
            </w:pPr>
            <w:r w:rsidRPr="00B00C57">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60D2B9C6" w14:textId="77777777" w:rsidR="002F0B74" w:rsidRPr="00D06F0A" w:rsidRDefault="002F0B74" w:rsidP="00761BF9">
            <w:pPr>
              <w:jc w:val="both"/>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Felipe Bastidas Paredes</w:t>
            </w:r>
          </w:p>
          <w:p w14:paraId="0F2DCD6E" w14:textId="77777777" w:rsidR="002F0B74" w:rsidRPr="00D06F0A" w:rsidRDefault="002F0B74" w:rsidP="00761BF9">
            <w:pPr>
              <w:jc w:val="both"/>
              <w:rPr>
                <w:rFonts w:ascii="Arial" w:hAnsi="Arial" w:cs="Arial"/>
                <w:color w:val="000000" w:themeColor="text1"/>
                <w:sz w:val="16"/>
                <w:szCs w:val="16"/>
                <w:lang w:val="es-ES_tradnl" w:eastAsia="es-ES"/>
              </w:rPr>
            </w:pPr>
            <w:r w:rsidRPr="00D06F0A">
              <w:rPr>
                <w:rFonts w:ascii="Arial" w:hAnsi="Arial" w:cs="Arial"/>
                <w:color w:val="000000" w:themeColor="text1"/>
                <w:sz w:val="16"/>
                <w:szCs w:val="16"/>
                <w:lang w:val="es-ES_tradnl" w:eastAsia="es-ES"/>
              </w:rPr>
              <w:t>Contratista de la Subdirección de Gestión Contractual</w:t>
            </w:r>
          </w:p>
        </w:tc>
      </w:tr>
      <w:tr w:rsidR="002F0B74" w:rsidRPr="00B00C57" w14:paraId="3EC750BD" w14:textId="77777777" w:rsidTr="00761BF9">
        <w:trPr>
          <w:trHeight w:val="330"/>
        </w:trPr>
        <w:tc>
          <w:tcPr>
            <w:tcW w:w="812" w:type="dxa"/>
            <w:vAlign w:val="center"/>
            <w:hideMark/>
          </w:tcPr>
          <w:p w14:paraId="7817A152" w14:textId="77777777" w:rsidR="002F0B74" w:rsidRPr="00B00C57" w:rsidRDefault="002F0B74" w:rsidP="00761BF9">
            <w:pPr>
              <w:jc w:val="both"/>
              <w:rPr>
                <w:rFonts w:ascii="Arial" w:hAnsi="Arial" w:cs="Arial"/>
                <w:color w:val="000000" w:themeColor="text1"/>
                <w:sz w:val="16"/>
                <w:szCs w:val="16"/>
                <w:lang w:val="es-ES_tradnl" w:eastAsia="es-ES"/>
              </w:rPr>
            </w:pPr>
            <w:r w:rsidRPr="00B00C57">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D94CC16" w14:textId="0A8C6284" w:rsidR="002F0B74" w:rsidRPr="00D06F0A" w:rsidRDefault="002F0B74" w:rsidP="00761BF9">
            <w:pPr>
              <w:jc w:val="both"/>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Sebastián Ramírez Grisales</w:t>
            </w:r>
          </w:p>
          <w:p w14:paraId="1066473B" w14:textId="5523CC87" w:rsidR="002F0B74" w:rsidRPr="00D06F0A" w:rsidRDefault="002F0B74" w:rsidP="00761BF9">
            <w:pPr>
              <w:jc w:val="both"/>
              <w:rPr>
                <w:rFonts w:ascii="Arial" w:hAnsi="Arial" w:cs="Arial"/>
                <w:color w:val="000000" w:themeColor="text1"/>
                <w:sz w:val="16"/>
                <w:szCs w:val="16"/>
                <w:lang w:eastAsia="es-ES"/>
              </w:rPr>
            </w:pPr>
            <w:r>
              <w:rPr>
                <w:rFonts w:ascii="Arial" w:hAnsi="Arial" w:cs="Arial"/>
                <w:color w:val="000000" w:themeColor="text1"/>
                <w:sz w:val="16"/>
                <w:szCs w:val="16"/>
                <w:lang w:val="es-ES_tradnl" w:eastAsia="es-ES"/>
              </w:rPr>
              <w:t xml:space="preserve">Contratista </w:t>
            </w:r>
            <w:r w:rsidRPr="00D06F0A">
              <w:rPr>
                <w:rFonts w:ascii="Arial" w:hAnsi="Arial" w:cs="Arial"/>
                <w:color w:val="000000" w:themeColor="text1"/>
                <w:sz w:val="16"/>
                <w:szCs w:val="16"/>
                <w:lang w:val="es-ES_tradnl" w:eastAsia="es-ES"/>
              </w:rPr>
              <w:t>de la Subdirección de Gestión Contractual</w:t>
            </w:r>
          </w:p>
        </w:tc>
      </w:tr>
      <w:tr w:rsidR="002F0B74" w:rsidRPr="00B00C57" w14:paraId="54E82475" w14:textId="77777777" w:rsidTr="00761BF9">
        <w:trPr>
          <w:trHeight w:val="300"/>
        </w:trPr>
        <w:tc>
          <w:tcPr>
            <w:tcW w:w="812" w:type="dxa"/>
            <w:vAlign w:val="center"/>
            <w:hideMark/>
          </w:tcPr>
          <w:p w14:paraId="7F71463C" w14:textId="77777777" w:rsidR="002F0B74" w:rsidRPr="00B00C57" w:rsidRDefault="002F0B74" w:rsidP="00761BF9">
            <w:pPr>
              <w:jc w:val="both"/>
              <w:rPr>
                <w:rFonts w:ascii="Arial" w:hAnsi="Arial" w:cs="Arial"/>
                <w:color w:val="000000" w:themeColor="text1"/>
                <w:sz w:val="16"/>
                <w:szCs w:val="16"/>
                <w:lang w:val="es-ES_tradnl" w:eastAsia="es-ES"/>
              </w:rPr>
            </w:pPr>
            <w:r w:rsidRPr="00B00C57">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7A07B5C" w14:textId="77777777" w:rsidR="002F0B74" w:rsidRPr="00D06F0A" w:rsidRDefault="002F0B74" w:rsidP="00761BF9">
            <w:pPr>
              <w:jc w:val="both"/>
              <w:rPr>
                <w:rFonts w:ascii="Arial" w:hAnsi="Arial" w:cs="Arial"/>
                <w:color w:val="000000" w:themeColor="text1"/>
                <w:sz w:val="16"/>
                <w:szCs w:val="16"/>
                <w:lang w:val="es-ES_tradnl" w:eastAsia="es-ES"/>
              </w:rPr>
            </w:pPr>
            <w:r w:rsidRPr="00D06F0A">
              <w:rPr>
                <w:rFonts w:ascii="Arial" w:hAnsi="Arial" w:cs="Arial"/>
                <w:color w:val="000000" w:themeColor="text1"/>
                <w:sz w:val="16"/>
                <w:szCs w:val="16"/>
                <w:lang w:val="es-ES_tradnl" w:eastAsia="es-ES"/>
              </w:rPr>
              <w:t>Jorge Augusto Tirado Navarro</w:t>
            </w:r>
          </w:p>
          <w:p w14:paraId="22A9532A" w14:textId="77777777" w:rsidR="002F0B74" w:rsidRPr="00D06F0A" w:rsidRDefault="002F0B74" w:rsidP="00761BF9">
            <w:pPr>
              <w:jc w:val="both"/>
              <w:rPr>
                <w:rFonts w:ascii="Arial" w:hAnsi="Arial" w:cs="Arial"/>
                <w:color w:val="000000" w:themeColor="text1"/>
                <w:sz w:val="16"/>
                <w:szCs w:val="16"/>
                <w:lang w:val="es-ES_tradnl" w:eastAsia="es-ES"/>
              </w:rPr>
            </w:pPr>
            <w:r w:rsidRPr="00D06F0A">
              <w:rPr>
                <w:rFonts w:ascii="Arial" w:hAnsi="Arial" w:cs="Arial"/>
                <w:color w:val="000000" w:themeColor="text1"/>
                <w:sz w:val="16"/>
                <w:szCs w:val="16"/>
                <w:lang w:val="es-ES_tradnl" w:eastAsia="es-ES"/>
              </w:rPr>
              <w:t>Subdirector de Gestión Contractual ANCP – CCE</w:t>
            </w:r>
          </w:p>
        </w:tc>
      </w:tr>
    </w:tbl>
    <w:p w14:paraId="35B56F46" w14:textId="77777777" w:rsidR="00746E08" w:rsidRPr="002F0B74" w:rsidRDefault="00746E08" w:rsidP="00215B8E">
      <w:pPr>
        <w:jc w:val="both"/>
        <w:rPr>
          <w:rFonts w:ascii="Arial" w:hAnsi="Arial" w:cs="Arial"/>
        </w:rPr>
      </w:pPr>
    </w:p>
    <w:sectPr w:rsidR="00746E08" w:rsidRPr="002F0B74"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4D4B5F" w14:textId="77777777" w:rsidR="00231E59" w:rsidRDefault="00231E59">
      <w:r>
        <w:separator/>
      </w:r>
    </w:p>
  </w:endnote>
  <w:endnote w:type="continuationSeparator" w:id="0">
    <w:p w14:paraId="3127DB93" w14:textId="77777777" w:rsidR="00231E59" w:rsidRDefault="00231E59">
      <w:r>
        <w:continuationSeparator/>
      </w:r>
    </w:p>
  </w:endnote>
  <w:endnote w:type="continuationNotice" w:id="1">
    <w:p w14:paraId="0C9DBDA8" w14:textId="77777777" w:rsidR="00231E59" w:rsidRDefault="00231E5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_õ™_ò">
    <w:altName w:val="Calibri"/>
    <w:panose1 w:val="020B0604020202020204"/>
    <w:charset w:val="4D"/>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785F3" w14:textId="2EF28465" w:rsidR="006A59DE" w:rsidRPr="008217B7" w:rsidRDefault="006A59DE"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557140">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557140">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p>
  <w:p w14:paraId="48FC6A04" w14:textId="5FD1A7C9" w:rsidR="006A59DE" w:rsidRDefault="006A59DE" w:rsidP="00322937">
    <w:pPr>
      <w:pStyle w:val="Piedepgina"/>
      <w:jc w:val="center"/>
      <w:rPr>
        <w:lang w:val="es-ES"/>
      </w:rPr>
    </w:pPr>
    <w:r>
      <w:rPr>
        <w:noProof/>
        <w:lang w:val="es-ES_tradnl" w:eastAsia="es-ES_tradnl"/>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6A59DE" w:rsidRDefault="006A59DE" w:rsidP="007B0854">
    <w:pPr>
      <w:pStyle w:val="Piedepgina"/>
      <w:jc w:val="center"/>
      <w:rPr>
        <w:lang w:val="es-ES"/>
      </w:rPr>
    </w:pPr>
  </w:p>
  <w:p w14:paraId="5F17A20E" w14:textId="77777777" w:rsidR="00AD4815" w:rsidRDefault="00AD481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A40D1F" w14:textId="77777777" w:rsidR="00231E59" w:rsidRDefault="00231E59">
      <w:r>
        <w:separator/>
      </w:r>
    </w:p>
  </w:footnote>
  <w:footnote w:type="continuationSeparator" w:id="0">
    <w:p w14:paraId="5FB86317" w14:textId="77777777" w:rsidR="00231E59" w:rsidRDefault="00231E59">
      <w:r>
        <w:continuationSeparator/>
      </w:r>
    </w:p>
  </w:footnote>
  <w:footnote w:type="continuationNotice" w:id="1">
    <w:p w14:paraId="0121C6F8" w14:textId="77777777" w:rsidR="00231E59" w:rsidRDefault="00231E59"/>
  </w:footnote>
  <w:footnote w:id="2">
    <w:p w14:paraId="5ADD5C91" w14:textId="77777777" w:rsidR="003F155A" w:rsidRPr="00CB63BD" w:rsidRDefault="003F155A" w:rsidP="00CB63BD">
      <w:pPr>
        <w:pStyle w:val="Textonotapie"/>
        <w:ind w:firstLine="708"/>
        <w:jc w:val="both"/>
        <w:rPr>
          <w:rFonts w:ascii="Arial" w:hAnsi="Arial" w:cs="Arial"/>
          <w:sz w:val="18"/>
          <w:szCs w:val="18"/>
        </w:rPr>
      </w:pPr>
      <w:r w:rsidRPr="00BB4378">
        <w:rPr>
          <w:rStyle w:val="Refdenotaalpie"/>
          <w:rFonts w:ascii="Arial" w:hAnsi="Arial" w:cs="Arial"/>
          <w:sz w:val="19"/>
          <w:szCs w:val="19"/>
        </w:rPr>
        <w:footnoteRef/>
      </w:r>
      <w:r w:rsidRPr="00BB4378">
        <w:rPr>
          <w:rFonts w:ascii="Arial" w:hAnsi="Arial" w:cs="Arial"/>
          <w:sz w:val="19"/>
          <w:szCs w:val="19"/>
        </w:rPr>
        <w:t xml:space="preserve"> </w:t>
      </w:r>
      <w:r w:rsidRPr="00CB63BD">
        <w:rPr>
          <w:rFonts w:ascii="Arial" w:hAnsi="Arial" w:cs="Arial"/>
          <w:sz w:val="18"/>
          <w:szCs w:val="18"/>
        </w:rPr>
        <w:t xml:space="preserve">Consejo de Estado. Sala Plena. Sentencia de unificación del 25 de febrero de 2020. Exp. 25000-23-37-000-2014-00721-01(22473) (IJ). C.P. William Hernández Gómez. </w:t>
      </w:r>
    </w:p>
    <w:p w14:paraId="79351F9B" w14:textId="77777777" w:rsidR="003F155A" w:rsidRPr="00CB63BD" w:rsidRDefault="003F155A" w:rsidP="00CB63BD">
      <w:pPr>
        <w:pStyle w:val="Textonotapie"/>
        <w:ind w:firstLine="708"/>
        <w:jc w:val="both"/>
        <w:rPr>
          <w:rFonts w:ascii="Arial" w:hAnsi="Arial" w:cs="Arial"/>
          <w:sz w:val="18"/>
          <w:szCs w:val="18"/>
          <w:lang w:val="es-ES"/>
        </w:rPr>
      </w:pPr>
    </w:p>
  </w:footnote>
  <w:footnote w:id="3">
    <w:p w14:paraId="1A71F52F" w14:textId="77777777" w:rsidR="003649F3" w:rsidRPr="00CB63BD" w:rsidRDefault="003649F3" w:rsidP="00CB63BD">
      <w:pPr>
        <w:pStyle w:val="Textonotapie"/>
        <w:ind w:firstLine="709"/>
        <w:jc w:val="both"/>
        <w:rPr>
          <w:rFonts w:ascii="Arial" w:eastAsia="Times New Roman" w:hAnsi="Arial" w:cs="Arial"/>
          <w:color w:val="000000"/>
          <w:sz w:val="18"/>
          <w:szCs w:val="18"/>
          <w:bdr w:val="none" w:sz="0" w:space="0" w:color="auto" w:frame="1"/>
          <w:lang w:eastAsia="es-CO"/>
        </w:rPr>
      </w:pPr>
      <w:r w:rsidRPr="00CB63BD">
        <w:rPr>
          <w:rStyle w:val="Refdenotaalpie"/>
          <w:rFonts w:ascii="Arial" w:hAnsi="Arial" w:cs="Arial"/>
          <w:sz w:val="18"/>
          <w:szCs w:val="18"/>
        </w:rPr>
        <w:footnoteRef/>
      </w:r>
      <w:r w:rsidRPr="00CB63BD">
        <w:rPr>
          <w:rFonts w:ascii="Arial" w:hAnsi="Arial" w:cs="Arial"/>
          <w:sz w:val="18"/>
          <w:szCs w:val="18"/>
        </w:rPr>
        <w:t xml:space="preserve"> </w:t>
      </w:r>
      <w:r w:rsidRPr="00CB63BD">
        <w:rPr>
          <w:rFonts w:ascii="Arial" w:eastAsia="Times New Roman" w:hAnsi="Arial" w:cs="Arial"/>
          <w:color w:val="000000"/>
          <w:sz w:val="18"/>
          <w:szCs w:val="18"/>
          <w:bdr w:val="none" w:sz="0" w:space="0" w:color="auto" w:frame="1"/>
          <w:lang w:eastAsia="es-CO"/>
        </w:rPr>
        <w:t>El parágrafo 3 del artículo 2 de la Ley 1150 de 2007 facultó por primera vez al Gobierno Nacional para adoptar estándares generales en los pliegos de condiciones, razón por la cual dispuso lo siguiente: «El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 </w:t>
      </w:r>
    </w:p>
  </w:footnote>
  <w:footnote w:id="4">
    <w:p w14:paraId="20D7BA15" w14:textId="77777777" w:rsidR="003649F3" w:rsidRPr="00CB63BD" w:rsidRDefault="003649F3" w:rsidP="00CB63BD">
      <w:pPr>
        <w:pStyle w:val="Textonotapie"/>
        <w:ind w:firstLine="709"/>
        <w:jc w:val="both"/>
        <w:rPr>
          <w:rFonts w:ascii="Arial" w:eastAsia="Times New Roman" w:hAnsi="Arial" w:cs="Arial"/>
          <w:color w:val="000000"/>
          <w:sz w:val="18"/>
          <w:szCs w:val="18"/>
          <w:bdr w:val="none" w:sz="0" w:space="0" w:color="auto" w:frame="1"/>
          <w:lang w:eastAsia="es-CO"/>
        </w:rPr>
      </w:pPr>
      <w:r w:rsidRPr="00CB63BD">
        <w:rPr>
          <w:rStyle w:val="Refdenotaalpie"/>
          <w:rFonts w:ascii="Arial" w:hAnsi="Arial" w:cs="Arial"/>
          <w:sz w:val="18"/>
          <w:szCs w:val="18"/>
        </w:rPr>
        <w:footnoteRef/>
      </w:r>
      <w:r w:rsidRPr="00CB63BD">
        <w:rPr>
          <w:rFonts w:ascii="Arial" w:hAnsi="Arial" w:cs="Arial"/>
          <w:sz w:val="18"/>
          <w:szCs w:val="18"/>
        </w:rPr>
        <w:t xml:space="preserve"> </w:t>
      </w:r>
      <w:r w:rsidRPr="00CB63BD">
        <w:rPr>
          <w:rFonts w:ascii="Arial" w:eastAsia="Times New Roman" w:hAnsi="Arial" w:cs="Arial"/>
          <w:color w:val="000000"/>
          <w:sz w:val="18"/>
          <w:szCs w:val="18"/>
          <w:bdr w:val="none" w:sz="0" w:space="0" w:color="auto" w:frame="1"/>
          <w:lang w:eastAsia="es-CO"/>
        </w:rPr>
        <w:t>Diario Oficial. Gaceta del Congreso 458 de 2005.  </w:t>
      </w:r>
    </w:p>
    <w:p w14:paraId="0F0A7F57" w14:textId="77777777" w:rsidR="003649F3" w:rsidRPr="00CB63BD" w:rsidRDefault="003649F3" w:rsidP="00CB63BD">
      <w:pPr>
        <w:pStyle w:val="Textonotapie"/>
        <w:ind w:firstLine="709"/>
        <w:jc w:val="both"/>
        <w:rPr>
          <w:rFonts w:ascii="Arial" w:eastAsia="Times New Roman" w:hAnsi="Arial" w:cs="Arial"/>
          <w:color w:val="000000"/>
          <w:sz w:val="18"/>
          <w:szCs w:val="18"/>
          <w:bdr w:val="none" w:sz="0" w:space="0" w:color="auto" w:frame="1"/>
          <w:lang w:eastAsia="es-CO"/>
        </w:rPr>
      </w:pPr>
    </w:p>
  </w:footnote>
  <w:footnote w:id="5">
    <w:p w14:paraId="20C3D991" w14:textId="77777777" w:rsidR="003649F3" w:rsidRPr="00CB63BD" w:rsidRDefault="003649F3" w:rsidP="00CB63BD">
      <w:pPr>
        <w:pStyle w:val="Textonotapie"/>
        <w:ind w:firstLine="709"/>
        <w:jc w:val="both"/>
        <w:rPr>
          <w:rFonts w:ascii="Arial" w:hAnsi="Arial" w:cs="Arial"/>
          <w:sz w:val="18"/>
          <w:szCs w:val="18"/>
        </w:rPr>
      </w:pPr>
      <w:r w:rsidRPr="00CB63BD">
        <w:rPr>
          <w:rStyle w:val="Refdenotaalpie"/>
          <w:rFonts w:ascii="Arial" w:hAnsi="Arial" w:cs="Arial"/>
          <w:sz w:val="18"/>
          <w:szCs w:val="18"/>
        </w:rPr>
        <w:footnoteRef/>
      </w:r>
      <w:r w:rsidRPr="00CB63BD">
        <w:rPr>
          <w:rFonts w:ascii="Arial" w:hAnsi="Arial" w:cs="Arial"/>
          <w:sz w:val="18"/>
          <w:szCs w:val="18"/>
        </w:rPr>
        <w:t xml:space="preserve"> Ibídem.  </w:t>
      </w:r>
    </w:p>
    <w:p w14:paraId="147E428E" w14:textId="77777777" w:rsidR="003649F3" w:rsidRPr="00CB63BD" w:rsidRDefault="003649F3" w:rsidP="00CB63BD">
      <w:pPr>
        <w:pStyle w:val="Textonotapie"/>
        <w:jc w:val="both"/>
        <w:rPr>
          <w:rFonts w:ascii="Arial" w:hAnsi="Arial" w:cs="Arial"/>
          <w:sz w:val="18"/>
          <w:szCs w:val="18"/>
        </w:rPr>
      </w:pPr>
    </w:p>
  </w:footnote>
  <w:footnote w:id="6">
    <w:p w14:paraId="4ACC01E0" w14:textId="77777777" w:rsidR="003649F3" w:rsidRPr="00CB63BD" w:rsidRDefault="003649F3" w:rsidP="00CB63BD">
      <w:pPr>
        <w:shd w:val="clear" w:color="auto" w:fill="FFFFFF"/>
        <w:ind w:firstLine="708"/>
        <w:jc w:val="both"/>
        <w:textAlignment w:val="baseline"/>
        <w:rPr>
          <w:rFonts w:ascii="Arial" w:hAnsi="Arial" w:cs="Arial"/>
          <w:color w:val="000000"/>
          <w:sz w:val="18"/>
          <w:szCs w:val="18"/>
          <w:bdr w:val="none" w:sz="0" w:space="0" w:color="auto" w:frame="1"/>
          <w:lang w:eastAsia="es-CO"/>
        </w:rPr>
      </w:pPr>
      <w:r w:rsidRPr="00CB63BD">
        <w:rPr>
          <w:rStyle w:val="Refdenotaalpie"/>
          <w:rFonts w:ascii="Arial" w:hAnsi="Arial" w:cs="Arial"/>
          <w:sz w:val="18"/>
          <w:szCs w:val="18"/>
        </w:rPr>
        <w:footnoteRef/>
      </w:r>
      <w:r w:rsidRPr="00CB63BD">
        <w:rPr>
          <w:rFonts w:ascii="Arial" w:hAnsi="Arial" w:cs="Arial"/>
          <w:sz w:val="18"/>
          <w:szCs w:val="18"/>
        </w:rPr>
        <w:t xml:space="preserve"> </w:t>
      </w:r>
      <w:r w:rsidRPr="00CB63BD">
        <w:rPr>
          <w:rFonts w:ascii="Arial" w:hAnsi="Arial" w:cs="Arial"/>
          <w:color w:val="000000"/>
          <w:sz w:val="18"/>
          <w:szCs w:val="18"/>
          <w:bdr w:val="none" w:sz="0" w:space="0" w:color="auto" w:frame="1"/>
          <w:lang w:eastAsia="es-CO"/>
        </w:rPr>
        <w:t>Diario Oficial. Gaceta del Congreso 416 de 2007, Informe de Conciliación Senado. </w:t>
      </w:r>
    </w:p>
    <w:p w14:paraId="0F70C25F" w14:textId="77777777" w:rsidR="003649F3" w:rsidRPr="00CB63BD" w:rsidRDefault="003649F3" w:rsidP="00CB63BD">
      <w:pPr>
        <w:shd w:val="clear" w:color="auto" w:fill="FFFFFF"/>
        <w:jc w:val="both"/>
        <w:textAlignment w:val="baseline"/>
        <w:rPr>
          <w:rFonts w:ascii="Arial" w:hAnsi="Arial" w:cs="Arial"/>
          <w:color w:val="000000"/>
          <w:sz w:val="18"/>
          <w:szCs w:val="18"/>
          <w:lang w:eastAsia="es-CO"/>
        </w:rPr>
      </w:pPr>
    </w:p>
  </w:footnote>
  <w:footnote w:id="7">
    <w:p w14:paraId="182E0577" w14:textId="389459B5" w:rsidR="00CB63BD" w:rsidRPr="00CB63BD" w:rsidRDefault="003649F3" w:rsidP="00B865DD">
      <w:pPr>
        <w:shd w:val="clear" w:color="auto" w:fill="FFFFFF"/>
        <w:ind w:firstLine="708"/>
        <w:jc w:val="both"/>
        <w:textAlignment w:val="baseline"/>
        <w:rPr>
          <w:rFonts w:ascii="Arial" w:hAnsi="Arial" w:cs="Arial"/>
          <w:color w:val="000000"/>
          <w:sz w:val="18"/>
          <w:szCs w:val="18"/>
          <w:bdr w:val="none" w:sz="0" w:space="0" w:color="auto" w:frame="1"/>
          <w:lang w:eastAsia="es-CO"/>
        </w:rPr>
      </w:pPr>
      <w:r w:rsidRPr="00CB63BD">
        <w:rPr>
          <w:rStyle w:val="Refdenotaalpie"/>
          <w:rFonts w:ascii="Arial" w:hAnsi="Arial" w:cs="Arial"/>
          <w:sz w:val="18"/>
          <w:szCs w:val="18"/>
        </w:rPr>
        <w:footnoteRef/>
      </w:r>
      <w:r w:rsidRPr="00CB63BD">
        <w:rPr>
          <w:rFonts w:ascii="Arial" w:hAnsi="Arial" w:cs="Arial"/>
          <w:sz w:val="18"/>
          <w:szCs w:val="18"/>
        </w:rPr>
        <w:t xml:space="preserve"> </w:t>
      </w:r>
      <w:r w:rsidRPr="00CB63BD">
        <w:rPr>
          <w:rFonts w:ascii="Arial" w:hAnsi="Arial" w:cs="Arial"/>
          <w:color w:val="000000"/>
          <w:sz w:val="18"/>
          <w:szCs w:val="18"/>
          <w:bdr w:val="none" w:sz="0" w:space="0" w:color="auto" w:frame="1"/>
          <w:lang w:eastAsia="es-CO"/>
        </w:rPr>
        <w:t>El artículo 1 de la Ley 2022 de 2020 modifica el artículo 4 de la Ley 1882 de 2018, el cual adiciona el parágrafo 7 al artículo 2 de la Ley 1150 de 2007 y dispone que: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 </w:t>
      </w:r>
    </w:p>
    <w:p w14:paraId="13C71797" w14:textId="77777777" w:rsidR="003649F3" w:rsidRPr="00CB63BD" w:rsidRDefault="003649F3" w:rsidP="00B865DD">
      <w:pPr>
        <w:shd w:val="clear" w:color="auto" w:fill="FFFFFF"/>
        <w:ind w:firstLine="708"/>
        <w:jc w:val="both"/>
        <w:textAlignment w:val="baseline"/>
        <w:rPr>
          <w:rFonts w:ascii="Arial" w:hAnsi="Arial" w:cs="Arial"/>
          <w:color w:val="000000"/>
          <w:sz w:val="18"/>
          <w:szCs w:val="18"/>
          <w:lang w:eastAsia="es-CO"/>
        </w:rPr>
      </w:pPr>
      <w:r w:rsidRPr="00CB63BD">
        <w:rPr>
          <w:rFonts w:ascii="Arial" w:hAnsi="Arial" w:cs="Arial"/>
          <w:color w:val="000000"/>
          <w:sz w:val="18"/>
          <w:szCs w:val="18"/>
          <w:bdr w:val="none" w:sz="0" w:space="0" w:color="auto" w:frame="1"/>
          <w:lang w:eastAsia="es-CO"/>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 </w:t>
      </w:r>
    </w:p>
    <w:p w14:paraId="57E0ACEF" w14:textId="77777777" w:rsidR="003649F3" w:rsidRPr="00CB63BD" w:rsidRDefault="003649F3" w:rsidP="00B865DD">
      <w:pPr>
        <w:shd w:val="clear" w:color="auto" w:fill="FFFFFF"/>
        <w:ind w:firstLine="708"/>
        <w:jc w:val="both"/>
        <w:textAlignment w:val="baseline"/>
        <w:rPr>
          <w:rFonts w:ascii="Arial" w:hAnsi="Arial" w:cs="Arial"/>
          <w:color w:val="000000"/>
          <w:sz w:val="18"/>
          <w:szCs w:val="18"/>
          <w:lang w:eastAsia="es-CO"/>
        </w:rPr>
      </w:pPr>
      <w:r w:rsidRPr="00CB63BD">
        <w:rPr>
          <w:rFonts w:ascii="Arial" w:hAnsi="Arial" w:cs="Arial"/>
          <w:color w:val="000000"/>
          <w:sz w:val="18"/>
          <w:szCs w:val="18"/>
          <w:bdr w:val="none" w:sz="0" w:space="0" w:color="auto" w:frame="1"/>
          <w:lang w:eastAsia="es-CO"/>
        </w:rPr>
        <w:t>»Con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 </w:t>
      </w:r>
    </w:p>
    <w:p w14:paraId="615725B0" w14:textId="77777777" w:rsidR="003649F3" w:rsidRPr="00CB63BD" w:rsidRDefault="003649F3" w:rsidP="00B865DD">
      <w:pPr>
        <w:shd w:val="clear" w:color="auto" w:fill="FFFFFF"/>
        <w:ind w:firstLine="708"/>
        <w:jc w:val="both"/>
        <w:textAlignment w:val="baseline"/>
        <w:rPr>
          <w:rFonts w:ascii="Arial" w:hAnsi="Arial" w:cs="Arial"/>
          <w:color w:val="000000"/>
          <w:sz w:val="18"/>
          <w:szCs w:val="18"/>
          <w:lang w:eastAsia="es-CO"/>
        </w:rPr>
      </w:pPr>
      <w:r w:rsidRPr="00CB63BD">
        <w:rPr>
          <w:rFonts w:ascii="Arial" w:hAnsi="Arial" w:cs="Arial"/>
          <w:color w:val="000000"/>
          <w:sz w:val="18"/>
          <w:szCs w:val="18"/>
          <w:bdr w:val="none" w:sz="0" w:space="0" w:color="auto" w:frame="1"/>
          <w:lang w:eastAsia="es-CO"/>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 </w:t>
      </w:r>
    </w:p>
    <w:p w14:paraId="674DBB1C" w14:textId="77777777" w:rsidR="003649F3" w:rsidRPr="00CB63BD" w:rsidRDefault="003649F3" w:rsidP="00CB63BD">
      <w:pPr>
        <w:shd w:val="clear" w:color="auto" w:fill="FFFFFF"/>
        <w:ind w:firstLine="708"/>
        <w:jc w:val="both"/>
        <w:textAlignment w:val="baseline"/>
        <w:rPr>
          <w:rFonts w:ascii="Arial" w:hAnsi="Arial" w:cs="Arial"/>
          <w:color w:val="000000"/>
          <w:sz w:val="18"/>
          <w:szCs w:val="18"/>
          <w:lang w:eastAsia="es-CO"/>
        </w:rPr>
      </w:pPr>
      <w:r w:rsidRPr="00CB63BD">
        <w:rPr>
          <w:rFonts w:ascii="Arial" w:hAnsi="Arial" w:cs="Arial"/>
          <w:color w:val="000000"/>
          <w:sz w:val="18"/>
          <w:szCs w:val="18"/>
          <w:bdr w:val="none" w:sz="0" w:space="0" w:color="auto" w:frame="1"/>
          <w:lang w:eastAsia="es-CO"/>
        </w:rPr>
        <w:t>»En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 </w:t>
      </w:r>
    </w:p>
    <w:p w14:paraId="2C1009C6" w14:textId="77777777" w:rsidR="003649F3" w:rsidRPr="00CB63BD" w:rsidRDefault="003649F3" w:rsidP="00CB63BD">
      <w:pPr>
        <w:pStyle w:val="Textonotapie"/>
        <w:jc w:val="both"/>
        <w:rPr>
          <w:rFonts w:ascii="Arial" w:hAnsi="Arial" w:cs="Arial"/>
          <w:sz w:val="18"/>
          <w:szCs w:val="18"/>
        </w:rPr>
      </w:pPr>
    </w:p>
  </w:footnote>
  <w:footnote w:id="8">
    <w:p w14:paraId="56DB9EED" w14:textId="676968AC" w:rsidR="0070055F" w:rsidRDefault="0070055F" w:rsidP="0070055F">
      <w:pPr>
        <w:pStyle w:val="Textonotapie"/>
        <w:ind w:firstLine="708"/>
        <w:jc w:val="both"/>
        <w:rPr>
          <w:rFonts w:ascii="Arial" w:hAnsi="Arial" w:cs="Arial"/>
          <w:color w:val="000000" w:themeColor="text1"/>
          <w:sz w:val="19"/>
          <w:szCs w:val="19"/>
        </w:rPr>
      </w:pPr>
      <w:r>
        <w:rPr>
          <w:rStyle w:val="Refdenotaalpie"/>
        </w:rPr>
        <w:footnoteRef/>
      </w:r>
      <w:r>
        <w:t xml:space="preserve"> </w:t>
      </w:r>
      <w:r w:rsidRPr="00041622">
        <w:rPr>
          <w:rFonts w:ascii="Arial" w:hAnsi="Arial" w:cs="Arial"/>
          <w:color w:val="000000" w:themeColor="text1"/>
          <w:sz w:val="19"/>
          <w:szCs w:val="19"/>
        </w:rPr>
        <w:t xml:space="preserve">Por ejemplo, </w:t>
      </w:r>
      <w:r>
        <w:rPr>
          <w:rFonts w:ascii="Arial" w:hAnsi="Arial" w:cs="Arial"/>
          <w:color w:val="000000" w:themeColor="text1"/>
          <w:sz w:val="19"/>
          <w:szCs w:val="19"/>
        </w:rPr>
        <w:t xml:space="preserve">en la introducción del documento base de los documentos tipo de licitación de </w:t>
      </w:r>
      <w:r w:rsidRPr="00444ADE">
        <w:rPr>
          <w:rFonts w:ascii="Arial" w:hAnsi="Arial" w:cs="Arial"/>
          <w:color w:val="000000" w:themeColor="text1"/>
          <w:sz w:val="19"/>
          <w:szCs w:val="19"/>
        </w:rPr>
        <w:t xml:space="preserve">obra pública de infraestructura de transporte </w:t>
      </w:r>
      <w:r>
        <w:rPr>
          <w:rFonts w:ascii="Arial" w:hAnsi="Arial" w:cs="Arial"/>
          <w:color w:val="000000" w:themeColor="text1"/>
          <w:sz w:val="19"/>
          <w:szCs w:val="19"/>
        </w:rPr>
        <w:t>–Versión 3– se establece lo siguiente: «</w:t>
      </w:r>
      <w:r w:rsidRPr="00041622">
        <w:rPr>
          <w:rFonts w:ascii="Arial" w:hAnsi="Arial" w:cs="Arial"/>
          <w:color w:val="000000" w:themeColor="text1"/>
          <w:sz w:val="19"/>
          <w:szCs w:val="19"/>
        </w:rPr>
        <w:t>Los Documentos Tipo aplica a los procesos de licitación de obra pública de infraestructura de transporte (versión 3), que correspondan a las actividades definidas en la Matriz 1 – Experiencia. En consecuencia, las actividades de infraestructura de transporte no contempladas en la Matriz 1 – Experiencia no tienen que aplicar los documentos tipo; sin perjuicio de lo previsto en el artículo 2.2.1.2.6.1.5. del Decreto 1082 de 2015.</w:t>
      </w:r>
    </w:p>
    <w:p w14:paraId="51E18372" w14:textId="77777777" w:rsidR="0070055F" w:rsidRPr="0070055F" w:rsidRDefault="0070055F" w:rsidP="00041622">
      <w:pPr>
        <w:pStyle w:val="Textonotapie"/>
        <w:ind w:firstLine="708"/>
        <w:jc w:val="both"/>
      </w:pPr>
    </w:p>
  </w:footnote>
  <w:footnote w:id="9">
    <w:p w14:paraId="5FBDD219" w14:textId="77777777" w:rsidR="0098263D" w:rsidRPr="00C37349" w:rsidRDefault="0098263D" w:rsidP="0098263D">
      <w:pPr>
        <w:pStyle w:val="Textonotapie"/>
        <w:ind w:firstLine="709"/>
        <w:jc w:val="both"/>
        <w:rPr>
          <w:rFonts w:ascii="Arial" w:hAnsi="Arial" w:cs="Arial"/>
          <w:color w:val="000000" w:themeColor="text1"/>
          <w:sz w:val="19"/>
          <w:szCs w:val="19"/>
        </w:rPr>
      </w:pPr>
      <w:r w:rsidRPr="00C37349">
        <w:rPr>
          <w:rStyle w:val="Refdenotaalpie"/>
          <w:rFonts w:ascii="Arial" w:hAnsi="Arial" w:cs="Arial"/>
          <w:color w:val="000000" w:themeColor="text1"/>
          <w:sz w:val="19"/>
          <w:szCs w:val="19"/>
        </w:rPr>
        <w:footnoteRef/>
      </w:r>
      <w:r w:rsidRPr="00C37349">
        <w:rPr>
          <w:rFonts w:ascii="Arial" w:hAnsi="Arial" w:cs="Arial"/>
          <w:color w:val="000000" w:themeColor="text1"/>
          <w:sz w:val="19"/>
          <w:szCs w:val="19"/>
        </w:rPr>
        <w:t xml:space="preserve"> No en vano, la doctrina anota que «Los conceptos jurídicos indeterminados traen causa, pues, de la dificultad de la completa y acabada programación normativa de la acción administrativa. Aunque por razón de la imprecisión propia de todo lenguaje y también del jurídico, todo concepto jurídico requiere interpretación, lo específico del calificado como indeterminado es su utilización por el legislador por razón de no proceder o no poder realizar una predeterminación precisa de la acción administrativa. El legislador conoce ciertamente el supuesto que quiere establecer, pero las características de éste impondrían —para su definición acabada— el recurso a la casuística, lo que incrementaría la densidad de la programación normativa y la seguridad en su ejecución, pero conllevaría un riesgo cierto de restricción del supuesto normativo. El recurso a conceptos jurídicos indeterminados tiene por objeto prevenir este riesgo» (Cfr. PAREJO ALFONSO, Luciano. Lecciones de derecho administrativo. Quinta Edición. Valencia: Tirant lo Blanch, 2012, p. 269).</w:t>
      </w:r>
    </w:p>
    <w:p w14:paraId="1031F8BA" w14:textId="77777777" w:rsidR="0098263D" w:rsidRPr="00C37349" w:rsidRDefault="0098263D" w:rsidP="0098263D">
      <w:pPr>
        <w:pStyle w:val="Textonotapie"/>
        <w:ind w:firstLine="709"/>
        <w:jc w:val="both"/>
        <w:rPr>
          <w:rFonts w:ascii="Arial" w:hAnsi="Arial" w:cs="Arial"/>
          <w:color w:val="000000" w:themeColor="text1"/>
          <w:sz w:val="19"/>
          <w:szCs w:val="19"/>
        </w:rPr>
      </w:pPr>
    </w:p>
  </w:footnote>
  <w:footnote w:id="10">
    <w:p w14:paraId="681FC3C5" w14:textId="77777777" w:rsidR="0098263D" w:rsidRPr="00C37349" w:rsidRDefault="0098263D" w:rsidP="0098263D">
      <w:pPr>
        <w:pStyle w:val="Textonotapie"/>
        <w:ind w:firstLine="709"/>
        <w:jc w:val="both"/>
        <w:rPr>
          <w:rFonts w:ascii="Arial" w:hAnsi="Arial" w:cs="Arial"/>
          <w:color w:val="000000" w:themeColor="text1"/>
          <w:sz w:val="19"/>
          <w:szCs w:val="19"/>
        </w:rPr>
      </w:pPr>
      <w:r w:rsidRPr="00C37349">
        <w:rPr>
          <w:rStyle w:val="Refdenotaalpie"/>
          <w:rFonts w:ascii="Arial" w:hAnsi="Arial" w:cs="Arial"/>
          <w:color w:val="000000" w:themeColor="text1"/>
          <w:sz w:val="19"/>
          <w:szCs w:val="19"/>
        </w:rPr>
        <w:footnoteRef/>
      </w:r>
      <w:r w:rsidRPr="00C37349">
        <w:rPr>
          <w:rFonts w:ascii="Arial" w:hAnsi="Arial" w:cs="Arial"/>
          <w:color w:val="000000" w:themeColor="text1"/>
          <w:sz w:val="19"/>
          <w:szCs w:val="19"/>
        </w:rPr>
        <w:t xml:space="preserve"> En lo pertinente, </w:t>
      </w:r>
      <w:bookmarkStart w:id="3" w:name="_Hlk45470939"/>
      <w:r w:rsidRPr="00C37349">
        <w:rPr>
          <w:rFonts w:ascii="Arial" w:hAnsi="Arial" w:cs="Arial"/>
          <w:color w:val="000000" w:themeColor="text1"/>
          <w:sz w:val="19"/>
          <w:szCs w:val="19"/>
        </w:rPr>
        <w:t>el artículo 12 del derogado Decreto 855 de 1994</w:t>
      </w:r>
      <w:bookmarkEnd w:id="3"/>
      <w:r w:rsidRPr="00C37349">
        <w:rPr>
          <w:rFonts w:ascii="Arial" w:hAnsi="Arial" w:cs="Arial"/>
          <w:color w:val="000000" w:themeColor="text1"/>
          <w:sz w:val="19"/>
          <w:szCs w:val="19"/>
        </w:rPr>
        <w:t xml:space="preserve"> dispuso que: «En los casos de declaratoria de desierta de la licitación o concurso, cuando no se presente propuesta alguna, ninguna propuesta se ajuste al pliego de condiciones o términos de referencia o, en general, cuando falte voluntad de participación, la entidad estatal podrá contratar directamente, sin necesidad de obtener previamente ofertas, teniendo en cuenta los precios del mercado, y si es del caso, los estudios y evaluaciones que para el efecto se hayan realizado directamente o a través de organismos consultores o asesores designados para ello.</w:t>
      </w:r>
    </w:p>
    <w:p w14:paraId="25A6525B" w14:textId="77777777" w:rsidR="0098263D" w:rsidRPr="00C37349" w:rsidRDefault="0098263D" w:rsidP="0098263D">
      <w:pPr>
        <w:pStyle w:val="Textonotapie"/>
        <w:ind w:firstLine="709"/>
        <w:jc w:val="both"/>
        <w:rPr>
          <w:rFonts w:ascii="Arial" w:hAnsi="Arial" w:cs="Arial"/>
          <w:color w:val="000000" w:themeColor="text1"/>
          <w:sz w:val="19"/>
          <w:szCs w:val="19"/>
        </w:rPr>
      </w:pPr>
      <w:r w:rsidRPr="00C37349">
        <w:rPr>
          <w:rFonts w:ascii="Arial" w:hAnsi="Arial" w:cs="Arial"/>
          <w:color w:val="000000" w:themeColor="text1"/>
          <w:sz w:val="19"/>
          <w:szCs w:val="19"/>
        </w:rPr>
        <w:t>[…]</w:t>
      </w:r>
    </w:p>
    <w:p w14:paraId="78B23536" w14:textId="77777777" w:rsidR="0098263D" w:rsidRPr="00C37349" w:rsidRDefault="0098263D" w:rsidP="0098263D">
      <w:pPr>
        <w:pStyle w:val="Textonotapie"/>
        <w:ind w:firstLine="709"/>
        <w:jc w:val="both"/>
        <w:rPr>
          <w:rFonts w:ascii="Arial" w:hAnsi="Arial" w:cs="Arial"/>
          <w:color w:val="000000" w:themeColor="text1"/>
          <w:sz w:val="19"/>
          <w:szCs w:val="19"/>
        </w:rPr>
      </w:pPr>
      <w:r w:rsidRPr="00C37349">
        <w:rPr>
          <w:rFonts w:ascii="Arial" w:hAnsi="Arial" w:cs="Arial"/>
          <w:color w:val="000000" w:themeColor="text1"/>
          <w:sz w:val="19"/>
          <w:szCs w:val="19"/>
        </w:rPr>
        <w:t>»Parágrafo 2. Se considera que no existe pluralidad de oferentes:</w:t>
      </w:r>
    </w:p>
    <w:p w14:paraId="67B055BF" w14:textId="77777777" w:rsidR="0098263D" w:rsidRPr="00C37349" w:rsidRDefault="0098263D" w:rsidP="0098263D">
      <w:pPr>
        <w:pStyle w:val="Textonotapie"/>
        <w:ind w:firstLine="709"/>
        <w:jc w:val="both"/>
        <w:rPr>
          <w:rFonts w:ascii="Arial" w:hAnsi="Arial" w:cs="Arial"/>
          <w:color w:val="000000" w:themeColor="text1"/>
          <w:sz w:val="19"/>
          <w:szCs w:val="19"/>
        </w:rPr>
      </w:pPr>
      <w:r w:rsidRPr="00C37349">
        <w:rPr>
          <w:rFonts w:ascii="Arial" w:hAnsi="Arial" w:cs="Arial"/>
          <w:color w:val="000000" w:themeColor="text1"/>
          <w:sz w:val="19"/>
          <w:szCs w:val="19"/>
        </w:rPr>
        <w:t>»a) Cuando no existiere más de una persona inscrita en el Registro de Proponentes, en aquellos contratos respecto de los cuales se requiere dicha inscripción conforme al artículo 22 de la Ley 80 de 1993,</w:t>
      </w:r>
    </w:p>
    <w:p w14:paraId="72D66769" w14:textId="77777777" w:rsidR="0098263D" w:rsidRPr="00C37349" w:rsidRDefault="0098263D" w:rsidP="0098263D">
      <w:pPr>
        <w:pStyle w:val="Textonotapie"/>
        <w:ind w:firstLine="709"/>
        <w:jc w:val="both"/>
        <w:rPr>
          <w:rFonts w:ascii="Arial" w:hAnsi="Arial" w:cs="Arial"/>
          <w:color w:val="000000" w:themeColor="text1"/>
          <w:sz w:val="19"/>
          <w:szCs w:val="19"/>
          <w:lang w:val="es-ES"/>
        </w:rPr>
      </w:pPr>
      <w:r w:rsidRPr="00C37349">
        <w:rPr>
          <w:rFonts w:ascii="Arial" w:hAnsi="Arial" w:cs="Arial"/>
          <w:color w:val="000000" w:themeColor="text1"/>
          <w:sz w:val="19"/>
          <w:szCs w:val="19"/>
        </w:rPr>
        <w:t xml:space="preserve">»b) Cuando solo exista una persona que pueda proveer el bien o el servicio por ser titular de los derechos de propiedad industrial o de los derechos de autor, o por ser, de acuerdo con la ley, su proveedor exclusivo».  </w:t>
      </w:r>
    </w:p>
  </w:footnote>
  <w:footnote w:id="11">
    <w:p w14:paraId="264A1DFC" w14:textId="77777777" w:rsidR="0098263D" w:rsidRDefault="0098263D" w:rsidP="0098263D">
      <w:pPr>
        <w:pStyle w:val="Textonotapie"/>
        <w:ind w:firstLine="709"/>
        <w:jc w:val="both"/>
        <w:rPr>
          <w:rFonts w:ascii="Arial" w:hAnsi="Arial" w:cs="Arial"/>
          <w:color w:val="000000" w:themeColor="text1"/>
          <w:sz w:val="19"/>
          <w:szCs w:val="19"/>
        </w:rPr>
      </w:pPr>
      <w:r w:rsidRPr="00C37349">
        <w:rPr>
          <w:rStyle w:val="Refdenotaalpie"/>
          <w:rFonts w:ascii="Arial" w:hAnsi="Arial" w:cs="Arial"/>
          <w:color w:val="000000" w:themeColor="text1"/>
          <w:sz w:val="19"/>
          <w:szCs w:val="19"/>
        </w:rPr>
        <w:footnoteRef/>
      </w:r>
      <w:r w:rsidRPr="00C37349">
        <w:rPr>
          <w:rFonts w:ascii="Arial" w:hAnsi="Arial" w:cs="Arial"/>
          <w:color w:val="000000" w:themeColor="text1"/>
          <w:sz w:val="19"/>
          <w:szCs w:val="19"/>
        </w:rPr>
        <w:t xml:space="preserve"> DROMI, José Roberto. La licitación pública. Buenos Aires: Ciudad Argentina, 1980. pp. 173-174. Para el autor, la aplicación de la causal supone que: i) las prestaciones están amparadas legalmente por un derecho de marca; ii) la necesidad no puede satisfacerse con equivalentes no sujetos a privilegio, pues de los contrario la causal es inaplicable; iii) la necesidad solo pueda satisfacerla el titular de estos derechos, excluyendo que otros aspirantes en condiciones similares también puedan hacerlo; y iv) la existencia de informes técnicos que acrediten la imposibilidad de sustitutos convenientes (Ibidem., p. 174).</w:t>
      </w:r>
    </w:p>
    <w:p w14:paraId="046D0353" w14:textId="77777777" w:rsidR="0098263D" w:rsidRPr="00C37349" w:rsidRDefault="0098263D" w:rsidP="0098263D">
      <w:pPr>
        <w:pStyle w:val="Textonotapie"/>
        <w:ind w:firstLine="709"/>
        <w:jc w:val="both"/>
        <w:rPr>
          <w:rFonts w:ascii="Arial" w:hAnsi="Arial" w:cs="Arial"/>
          <w:color w:val="000000" w:themeColor="text1"/>
          <w:sz w:val="19"/>
          <w:szCs w:val="19"/>
        </w:rPr>
      </w:pPr>
    </w:p>
  </w:footnote>
  <w:footnote w:id="12">
    <w:p w14:paraId="04845A49" w14:textId="77777777" w:rsidR="0098263D" w:rsidRPr="00C37349" w:rsidRDefault="0098263D" w:rsidP="0098263D">
      <w:pPr>
        <w:pStyle w:val="Textonotapie"/>
        <w:ind w:firstLine="709"/>
        <w:jc w:val="both"/>
        <w:rPr>
          <w:rFonts w:ascii="Arial" w:hAnsi="Arial" w:cs="Arial"/>
          <w:sz w:val="19"/>
          <w:szCs w:val="19"/>
          <w:lang w:val="es-ES"/>
        </w:rPr>
      </w:pPr>
      <w:r w:rsidRPr="00C37349">
        <w:rPr>
          <w:rStyle w:val="Refdenotaalpie"/>
          <w:rFonts w:ascii="Arial" w:hAnsi="Arial" w:cs="Arial"/>
          <w:sz w:val="19"/>
          <w:szCs w:val="19"/>
        </w:rPr>
        <w:footnoteRef/>
      </w:r>
      <w:r w:rsidRPr="00C37349">
        <w:rPr>
          <w:rFonts w:ascii="Arial" w:hAnsi="Arial" w:cs="Arial"/>
          <w:sz w:val="19"/>
          <w:szCs w:val="19"/>
        </w:rPr>
        <w:t xml:space="preserve"> </w:t>
      </w:r>
      <w:r w:rsidRPr="00C37349">
        <w:rPr>
          <w:rFonts w:ascii="Arial" w:hAnsi="Arial" w:cs="Arial"/>
          <w:sz w:val="19"/>
          <w:szCs w:val="19"/>
          <w:lang w:val="es-ES"/>
        </w:rPr>
        <w:t>Así lo ha reconocido la doctrina, al señalar que «La identificación acerca de la inexistencia de más de un proponente es el resultado de los estudios y análisis que debe efectuar la entidad durante la fase previa o preparatoria, tal como de manera expresa lo reconoce dicha norma» (DÁVILA VINUEZA, Luis Guillermo. Régimen jurídico de la contratación estatal. Bogotá: Legis, 2016, p. 506).</w:t>
      </w:r>
    </w:p>
  </w:footnote>
  <w:footnote w:id="13">
    <w:p w14:paraId="38448DB1" w14:textId="77777777" w:rsidR="0083382A" w:rsidRPr="00CB63BD" w:rsidRDefault="0083382A" w:rsidP="00CB63BD">
      <w:pPr>
        <w:pStyle w:val="Textonotapie"/>
        <w:ind w:firstLine="709"/>
        <w:jc w:val="both"/>
        <w:rPr>
          <w:rFonts w:ascii="Arial" w:hAnsi="Arial" w:cs="Arial"/>
          <w:color w:val="000000" w:themeColor="text1"/>
          <w:sz w:val="18"/>
          <w:szCs w:val="18"/>
          <w:lang w:val="es-ES"/>
        </w:rPr>
      </w:pPr>
      <w:r w:rsidRPr="00CB63BD">
        <w:rPr>
          <w:rStyle w:val="Refdenotaalpie"/>
          <w:rFonts w:ascii="Arial" w:hAnsi="Arial" w:cs="Arial"/>
          <w:color w:val="000000" w:themeColor="text1"/>
          <w:sz w:val="18"/>
          <w:szCs w:val="18"/>
        </w:rPr>
        <w:footnoteRef/>
      </w:r>
      <w:r w:rsidRPr="00CB63BD">
        <w:rPr>
          <w:rFonts w:ascii="Arial" w:hAnsi="Arial" w:cs="Arial"/>
          <w:color w:val="000000" w:themeColor="text1"/>
          <w:sz w:val="18"/>
          <w:szCs w:val="18"/>
        </w:rPr>
        <w:t xml:space="preserve"> </w:t>
      </w:r>
      <w:r w:rsidRPr="00CB63BD">
        <w:rPr>
          <w:rFonts w:ascii="Arial" w:hAnsi="Arial" w:cs="Arial"/>
          <w:color w:val="000000" w:themeColor="text1"/>
          <w:sz w:val="18"/>
          <w:szCs w:val="18"/>
          <w:lang w:val="es-ES"/>
        </w:rPr>
        <w:t xml:space="preserve">Superintendencia de Industria y Comercio. En sitio web: </w:t>
      </w:r>
      <w:hyperlink r:id="rId1" w:history="1">
        <w:r w:rsidRPr="00CB63BD">
          <w:rPr>
            <w:rStyle w:val="Hipervnculo"/>
            <w:rFonts w:ascii="Arial" w:hAnsi="Arial" w:cs="Arial"/>
            <w:color w:val="000000" w:themeColor="text1"/>
            <w:sz w:val="18"/>
            <w:szCs w:val="18"/>
            <w:lang w:val="es-ES"/>
          </w:rPr>
          <w:t>https://www.sic.gov.co/patentes</w:t>
        </w:r>
      </w:hyperlink>
      <w:r w:rsidRPr="00CB63BD">
        <w:rPr>
          <w:rFonts w:ascii="Arial" w:hAnsi="Arial" w:cs="Arial"/>
          <w:color w:val="000000" w:themeColor="text1"/>
          <w:sz w:val="18"/>
          <w:szCs w:val="18"/>
          <w:lang w:val="es-ES"/>
        </w:rPr>
        <w:t>; consultado el 8 de octubre de 2020.</w:t>
      </w:r>
    </w:p>
    <w:p w14:paraId="38FC98C4" w14:textId="77777777" w:rsidR="0083382A" w:rsidRPr="00CB63BD" w:rsidRDefault="0083382A" w:rsidP="00CB63BD">
      <w:pPr>
        <w:pStyle w:val="Textonotapie"/>
        <w:ind w:firstLine="709"/>
        <w:jc w:val="both"/>
        <w:rPr>
          <w:rFonts w:ascii="Arial" w:hAnsi="Arial" w:cs="Arial"/>
          <w:color w:val="000000" w:themeColor="text1"/>
          <w:sz w:val="18"/>
          <w:szCs w:val="18"/>
          <w:lang w:val="es-ES"/>
        </w:rPr>
      </w:pPr>
    </w:p>
  </w:footnote>
  <w:footnote w:id="14">
    <w:p w14:paraId="4D7D6C65" w14:textId="77777777" w:rsidR="0083382A" w:rsidRPr="00CB63BD" w:rsidRDefault="0083382A" w:rsidP="00CB63BD">
      <w:pPr>
        <w:ind w:firstLine="709"/>
        <w:jc w:val="both"/>
        <w:rPr>
          <w:rFonts w:ascii="Arial" w:eastAsia="Arial" w:hAnsi="Arial" w:cs="Arial"/>
          <w:color w:val="000000"/>
          <w:sz w:val="18"/>
          <w:szCs w:val="18"/>
          <w:lang w:val="es-ES_tradnl"/>
        </w:rPr>
      </w:pPr>
      <w:r w:rsidRPr="00CB63BD">
        <w:rPr>
          <w:rStyle w:val="Refdenotaalpie"/>
          <w:rFonts w:ascii="Arial" w:hAnsi="Arial" w:cs="Arial"/>
          <w:sz w:val="18"/>
          <w:szCs w:val="18"/>
        </w:rPr>
        <w:footnoteRef/>
      </w:r>
      <w:r w:rsidRPr="00CB63BD">
        <w:rPr>
          <w:rFonts w:ascii="Arial" w:hAnsi="Arial" w:cs="Arial"/>
          <w:sz w:val="18"/>
          <w:szCs w:val="18"/>
        </w:rPr>
        <w:t xml:space="preserve"> Así continúa el razonamiento de la Corte: «</w:t>
      </w:r>
      <w:r w:rsidRPr="00CB63BD">
        <w:rPr>
          <w:rFonts w:ascii="Arial" w:eastAsia="Arial" w:hAnsi="Arial" w:cs="Arial"/>
          <w:color w:val="000000"/>
          <w:sz w:val="18"/>
          <w:szCs w:val="18"/>
          <w:lang w:val="es-ES_tradnl"/>
        </w:rPr>
        <w:t>La patente de invención se inscribe dentro de la protección a la propiedad industrial, que, junto a los derechos de autor, dota de contenido el derecho inalienable previsto en el artículo 61 de la Constitución Política, ya referido. Su alcance, esto es, las facetas del derecho que son amparadas por el ordenamiento, constituye un asunto cuya competencia radica en el Legislador, tal como esta Corporación lo ha sostenido en reiteradas decisiones en las que ha advertido su margen de configuración, se insiste, con el fin de armonizar los intereses comprometidos y bajo los criterios que guían la propiedad en general, esto es, su función social, la solidaridad y el respeto por la dignidad y el trabajo» (Sentencia C-234 de 2019, Magistrada Ponente: Diana Fajardo Rivera).</w:t>
      </w:r>
    </w:p>
    <w:p w14:paraId="5FB44CAF" w14:textId="77777777" w:rsidR="0083382A" w:rsidRPr="00CB63BD" w:rsidRDefault="0083382A" w:rsidP="00CB63BD">
      <w:pPr>
        <w:ind w:firstLine="709"/>
        <w:jc w:val="both"/>
        <w:rPr>
          <w:rFonts w:ascii="Arial" w:eastAsia="Arial" w:hAnsi="Arial" w:cs="Arial"/>
          <w:color w:val="000000"/>
          <w:sz w:val="18"/>
          <w:szCs w:val="18"/>
          <w:lang w:val="es-ES_tradnl"/>
        </w:rPr>
      </w:pPr>
    </w:p>
  </w:footnote>
  <w:footnote w:id="15">
    <w:p w14:paraId="22EEC84B" w14:textId="77777777" w:rsidR="0083382A" w:rsidRPr="00CB63BD" w:rsidRDefault="0083382A" w:rsidP="00CB63BD">
      <w:pPr>
        <w:tabs>
          <w:tab w:val="left" w:pos="567"/>
        </w:tabs>
        <w:ind w:firstLine="709"/>
        <w:jc w:val="both"/>
        <w:rPr>
          <w:rFonts w:ascii="Arial" w:hAnsi="Arial" w:cs="Arial"/>
          <w:color w:val="000000" w:themeColor="text1"/>
          <w:sz w:val="18"/>
          <w:szCs w:val="18"/>
        </w:rPr>
      </w:pPr>
      <w:r w:rsidRPr="00CB63BD">
        <w:rPr>
          <w:rStyle w:val="Refdenotaalpie"/>
          <w:rFonts w:ascii="Arial" w:hAnsi="Arial" w:cs="Arial"/>
          <w:color w:val="000000" w:themeColor="text1"/>
          <w:sz w:val="18"/>
          <w:szCs w:val="18"/>
        </w:rPr>
        <w:footnoteRef/>
      </w:r>
      <w:r w:rsidRPr="00CB63BD">
        <w:rPr>
          <w:rFonts w:ascii="Arial" w:hAnsi="Arial" w:cs="Arial"/>
          <w:color w:val="000000" w:themeColor="text1"/>
          <w:sz w:val="18"/>
          <w:szCs w:val="18"/>
        </w:rPr>
        <w:t xml:space="preserve"> «</w:t>
      </w:r>
      <w:r w:rsidRPr="00CB63BD">
        <w:rPr>
          <w:rFonts w:ascii="Arial" w:hAnsi="Arial" w:cs="Arial"/>
          <w:bCs/>
          <w:color w:val="000000" w:themeColor="text1"/>
          <w:sz w:val="18"/>
          <w:szCs w:val="18"/>
        </w:rPr>
        <w:t>Artículo 57.-</w:t>
      </w:r>
      <w:r w:rsidRPr="00CB63BD">
        <w:rPr>
          <w:rFonts w:ascii="Arial" w:hAnsi="Arial" w:cs="Arial"/>
          <w:b/>
          <w:color w:val="000000" w:themeColor="text1"/>
          <w:sz w:val="18"/>
          <w:szCs w:val="18"/>
        </w:rPr>
        <w:t xml:space="preserve"> </w:t>
      </w:r>
      <w:r w:rsidRPr="00CB63BD">
        <w:rPr>
          <w:rFonts w:ascii="Arial" w:hAnsi="Arial" w:cs="Arial"/>
          <w:color w:val="000000" w:themeColor="text1"/>
          <w:sz w:val="18"/>
          <w:szCs w:val="18"/>
        </w:rPr>
        <w:t>El titular de una patente concedida o en trámite de concesión podrá dar licencia a uno o más terceros para la explotación de la invención respectiva.</w:t>
      </w:r>
    </w:p>
    <w:p w14:paraId="3D869C3E" w14:textId="77777777" w:rsidR="0083382A" w:rsidRPr="00CB63BD" w:rsidRDefault="0083382A" w:rsidP="00CB63BD">
      <w:pPr>
        <w:tabs>
          <w:tab w:val="left" w:pos="567"/>
        </w:tabs>
        <w:ind w:firstLine="709"/>
        <w:jc w:val="both"/>
        <w:rPr>
          <w:rFonts w:ascii="Arial" w:hAnsi="Arial" w:cs="Arial"/>
          <w:color w:val="000000" w:themeColor="text1"/>
          <w:sz w:val="18"/>
          <w:szCs w:val="18"/>
        </w:rPr>
      </w:pPr>
      <w:r w:rsidRPr="00CB63BD">
        <w:rPr>
          <w:rFonts w:ascii="Arial" w:hAnsi="Arial" w:cs="Arial"/>
          <w:color w:val="000000" w:themeColor="text1"/>
          <w:sz w:val="18"/>
          <w:szCs w:val="18"/>
        </w:rPr>
        <w:t>»Deberá registrarse ante la oficina nacional competente toda licencia de explotación de una patente concedida. La falta de registro ocasionará que la licencia no surta efectos frente a terceros.</w:t>
      </w:r>
    </w:p>
    <w:p w14:paraId="7024DCCC" w14:textId="77777777" w:rsidR="0083382A" w:rsidRPr="00CB63BD" w:rsidRDefault="0083382A" w:rsidP="00CB63BD">
      <w:pPr>
        <w:tabs>
          <w:tab w:val="left" w:pos="567"/>
        </w:tabs>
        <w:ind w:firstLine="709"/>
        <w:jc w:val="both"/>
        <w:rPr>
          <w:rFonts w:ascii="Arial" w:hAnsi="Arial" w:cs="Arial"/>
          <w:color w:val="000000" w:themeColor="text1"/>
          <w:sz w:val="18"/>
          <w:szCs w:val="18"/>
        </w:rPr>
      </w:pPr>
      <w:r w:rsidRPr="00CB63BD">
        <w:rPr>
          <w:rFonts w:ascii="Arial" w:hAnsi="Arial" w:cs="Arial"/>
          <w:color w:val="000000" w:themeColor="text1"/>
          <w:sz w:val="18"/>
          <w:szCs w:val="18"/>
        </w:rPr>
        <w:t>»A efectos del registro la licencia deberá constar por escrito.</w:t>
      </w:r>
    </w:p>
    <w:p w14:paraId="51377BFD" w14:textId="77777777" w:rsidR="0083382A" w:rsidRPr="00CB63BD" w:rsidRDefault="0083382A" w:rsidP="00CB63BD">
      <w:pPr>
        <w:tabs>
          <w:tab w:val="left" w:pos="567"/>
        </w:tabs>
        <w:ind w:firstLine="709"/>
        <w:jc w:val="both"/>
        <w:rPr>
          <w:rFonts w:ascii="Arial" w:hAnsi="Arial" w:cs="Arial"/>
          <w:color w:val="000000" w:themeColor="text1"/>
          <w:sz w:val="18"/>
          <w:szCs w:val="18"/>
        </w:rPr>
      </w:pPr>
      <w:r w:rsidRPr="00CB63BD">
        <w:rPr>
          <w:rFonts w:ascii="Arial" w:hAnsi="Arial" w:cs="Arial"/>
          <w:color w:val="000000" w:themeColor="text1"/>
          <w:sz w:val="18"/>
          <w:szCs w:val="18"/>
        </w:rPr>
        <w:t>»Cualquier persona interesada podrá solicitar el registro de una licencia.</w:t>
      </w:r>
    </w:p>
    <w:p w14:paraId="589C78BE" w14:textId="77777777" w:rsidR="0083382A" w:rsidRPr="00CB63BD" w:rsidRDefault="0083382A" w:rsidP="00CB63BD">
      <w:pPr>
        <w:tabs>
          <w:tab w:val="left" w:pos="567"/>
        </w:tabs>
        <w:ind w:firstLine="709"/>
        <w:jc w:val="both"/>
        <w:rPr>
          <w:rFonts w:ascii="Arial" w:hAnsi="Arial" w:cs="Arial"/>
          <w:color w:val="000000" w:themeColor="text1"/>
          <w:sz w:val="18"/>
          <w:szCs w:val="18"/>
        </w:rPr>
      </w:pPr>
      <w:r w:rsidRPr="00CB63BD">
        <w:rPr>
          <w:rFonts w:ascii="Arial" w:hAnsi="Arial" w:cs="Arial"/>
          <w:color w:val="000000" w:themeColor="text1"/>
          <w:sz w:val="18"/>
          <w:szCs w:val="18"/>
        </w:rPr>
        <w:t xml:space="preserve">»En caso exista algún cambio respecto al nombre o dirección del titular de la patente durante el plazo de vigencia del contrato de licencia, el titular del registro deberá informarlo a la oficina nacional competente. En caso contrario, cualquier notificación realizada conforme a los datos que figuren en el registro, se reputará válida» (Disponible en: </w:t>
      </w:r>
      <w:hyperlink r:id="rId2" w:history="1">
        <w:r w:rsidRPr="00CB63BD">
          <w:rPr>
            <w:rStyle w:val="Hipervnculo"/>
            <w:rFonts w:ascii="Arial" w:hAnsi="Arial" w:cs="Arial"/>
            <w:color w:val="000000" w:themeColor="text1"/>
            <w:sz w:val="18"/>
            <w:szCs w:val="18"/>
          </w:rPr>
          <w:t>http://www.comunidadandina.org/Normativa.aspx?GruDoc=07</w:t>
        </w:r>
      </w:hyperlink>
      <w:r w:rsidRPr="00CB63BD">
        <w:rPr>
          <w:rFonts w:ascii="Arial" w:hAnsi="Arial" w:cs="Arial"/>
          <w:color w:val="000000" w:themeColor="text1"/>
          <w:sz w:val="18"/>
          <w:szCs w:val="18"/>
        </w:rPr>
        <w:t>. Consultado el 8 de octubre de 2020).</w:t>
      </w:r>
    </w:p>
    <w:p w14:paraId="05D0F714" w14:textId="77777777" w:rsidR="0083382A" w:rsidRPr="00CB63BD" w:rsidRDefault="0083382A" w:rsidP="00CB63BD">
      <w:pPr>
        <w:pStyle w:val="Textonotapie"/>
        <w:ind w:firstLine="709"/>
        <w:jc w:val="both"/>
        <w:rPr>
          <w:rFonts w:ascii="Arial" w:hAnsi="Arial" w:cs="Arial"/>
          <w:color w:val="000000" w:themeColor="text1"/>
          <w:sz w:val="18"/>
          <w:szCs w:val="18"/>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6A59DE" w:rsidRDefault="006A59DE">
    <w:pPr>
      <w:pStyle w:val="Encabezado"/>
    </w:pPr>
    <w:r>
      <w:rPr>
        <w:noProof/>
        <w:lang w:val="es-ES_tradnl" w:eastAsia="es-ES_tradnl"/>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F8DFAFA" w14:textId="77777777" w:rsidR="00AD4815" w:rsidRDefault="00AD481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3"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6"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1"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6" w15:restartNumberingAfterBreak="0">
    <w:nsid w:val="597D4B97"/>
    <w:multiLevelType w:val="multilevel"/>
    <w:tmpl w:val="576C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8"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9"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0"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21" w15:restartNumberingAfterBreak="0">
    <w:nsid w:val="72115653"/>
    <w:multiLevelType w:val="multilevel"/>
    <w:tmpl w:val="A0EA9E72"/>
    <w:lvl w:ilvl="0">
      <w:start w:val="1"/>
      <w:numFmt w:val="decimal"/>
      <w:lvlText w:val="%1."/>
      <w:lvlJc w:val="left"/>
      <w:pPr>
        <w:ind w:left="345" w:hanging="245"/>
        <w:jc w:val="left"/>
      </w:pPr>
      <w:rPr>
        <w:rFonts w:ascii="Arial" w:eastAsia="Arial" w:hAnsi="Arial" w:cs="Arial" w:hint="default"/>
        <w:b/>
        <w:bCs/>
        <w:spacing w:val="-1"/>
        <w:w w:val="100"/>
        <w:sz w:val="22"/>
        <w:szCs w:val="22"/>
        <w:lang w:val="es-ES" w:eastAsia="en-US" w:bidi="ar-SA"/>
      </w:rPr>
    </w:lvl>
    <w:lvl w:ilvl="1">
      <w:start w:val="1"/>
      <w:numFmt w:val="decimal"/>
      <w:lvlText w:val="%1.%2."/>
      <w:lvlJc w:val="left"/>
      <w:pPr>
        <w:ind w:left="528" w:hanging="428"/>
        <w:jc w:val="left"/>
      </w:pPr>
      <w:rPr>
        <w:rFonts w:ascii="Arial" w:eastAsia="Arial" w:hAnsi="Arial" w:cs="Arial" w:hint="default"/>
        <w:b/>
        <w:bCs/>
        <w:spacing w:val="-1"/>
        <w:w w:val="100"/>
        <w:sz w:val="22"/>
        <w:szCs w:val="22"/>
        <w:lang w:val="es-ES" w:eastAsia="en-US" w:bidi="ar-SA"/>
      </w:rPr>
    </w:lvl>
    <w:lvl w:ilvl="2">
      <w:numFmt w:val="bullet"/>
      <w:lvlText w:val="•"/>
      <w:lvlJc w:val="left"/>
      <w:pPr>
        <w:ind w:left="1477" w:hanging="428"/>
      </w:pPr>
      <w:rPr>
        <w:rFonts w:hint="default"/>
        <w:lang w:val="es-ES" w:eastAsia="en-US" w:bidi="ar-SA"/>
      </w:rPr>
    </w:lvl>
    <w:lvl w:ilvl="3">
      <w:numFmt w:val="bullet"/>
      <w:lvlText w:val="•"/>
      <w:lvlJc w:val="left"/>
      <w:pPr>
        <w:ind w:left="2435" w:hanging="428"/>
      </w:pPr>
      <w:rPr>
        <w:rFonts w:hint="default"/>
        <w:lang w:val="es-ES" w:eastAsia="en-US" w:bidi="ar-SA"/>
      </w:rPr>
    </w:lvl>
    <w:lvl w:ilvl="4">
      <w:numFmt w:val="bullet"/>
      <w:lvlText w:val="•"/>
      <w:lvlJc w:val="left"/>
      <w:pPr>
        <w:ind w:left="3393" w:hanging="428"/>
      </w:pPr>
      <w:rPr>
        <w:rFonts w:hint="default"/>
        <w:lang w:val="es-ES" w:eastAsia="en-US" w:bidi="ar-SA"/>
      </w:rPr>
    </w:lvl>
    <w:lvl w:ilvl="5">
      <w:numFmt w:val="bullet"/>
      <w:lvlText w:val="•"/>
      <w:lvlJc w:val="left"/>
      <w:pPr>
        <w:ind w:left="4351" w:hanging="428"/>
      </w:pPr>
      <w:rPr>
        <w:rFonts w:hint="default"/>
        <w:lang w:val="es-ES" w:eastAsia="en-US" w:bidi="ar-SA"/>
      </w:rPr>
    </w:lvl>
    <w:lvl w:ilvl="6">
      <w:numFmt w:val="bullet"/>
      <w:lvlText w:val="•"/>
      <w:lvlJc w:val="left"/>
      <w:pPr>
        <w:ind w:left="5308" w:hanging="428"/>
      </w:pPr>
      <w:rPr>
        <w:rFonts w:hint="default"/>
        <w:lang w:val="es-ES" w:eastAsia="en-US" w:bidi="ar-SA"/>
      </w:rPr>
    </w:lvl>
    <w:lvl w:ilvl="7">
      <w:numFmt w:val="bullet"/>
      <w:lvlText w:val="•"/>
      <w:lvlJc w:val="left"/>
      <w:pPr>
        <w:ind w:left="6266" w:hanging="428"/>
      </w:pPr>
      <w:rPr>
        <w:rFonts w:hint="default"/>
        <w:lang w:val="es-ES" w:eastAsia="en-US" w:bidi="ar-SA"/>
      </w:rPr>
    </w:lvl>
    <w:lvl w:ilvl="8">
      <w:numFmt w:val="bullet"/>
      <w:lvlText w:val="•"/>
      <w:lvlJc w:val="left"/>
      <w:pPr>
        <w:ind w:left="7224" w:hanging="428"/>
      </w:pPr>
      <w:rPr>
        <w:rFonts w:hint="default"/>
        <w:lang w:val="es-ES" w:eastAsia="en-US" w:bidi="ar-SA"/>
      </w:rPr>
    </w:lvl>
  </w:abstractNum>
  <w:abstractNum w:abstractNumId="22"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3"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79DF3375"/>
    <w:multiLevelType w:val="multilevel"/>
    <w:tmpl w:val="7FCE6E46"/>
    <w:lvl w:ilvl="0">
      <w:start w:val="2"/>
      <w:numFmt w:val="decimal"/>
      <w:lvlText w:val="%1."/>
      <w:lvlJc w:val="left"/>
      <w:pPr>
        <w:ind w:left="400" w:hanging="40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16cid:durableId="1704285299">
    <w:abstractNumId w:val="9"/>
  </w:num>
  <w:num w:numId="2" w16cid:durableId="813717553">
    <w:abstractNumId w:val="7"/>
  </w:num>
  <w:num w:numId="3" w16cid:durableId="1047073369">
    <w:abstractNumId w:val="12"/>
  </w:num>
  <w:num w:numId="4" w16cid:durableId="1398818078">
    <w:abstractNumId w:val="15"/>
  </w:num>
  <w:num w:numId="5" w16cid:durableId="1272054049">
    <w:abstractNumId w:val="19"/>
  </w:num>
  <w:num w:numId="6" w16cid:durableId="165506822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13291746">
    <w:abstractNumId w:val="17"/>
  </w:num>
  <w:num w:numId="8" w16cid:durableId="356591148">
    <w:abstractNumId w:val="0"/>
  </w:num>
  <w:num w:numId="9" w16cid:durableId="974680145">
    <w:abstractNumId w:val="3"/>
  </w:num>
  <w:num w:numId="10" w16cid:durableId="22060310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7008136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81107094">
    <w:abstractNumId w:val="8"/>
  </w:num>
  <w:num w:numId="13" w16cid:durableId="743337423">
    <w:abstractNumId w:val="11"/>
  </w:num>
  <w:num w:numId="14" w16cid:durableId="513036291">
    <w:abstractNumId w:val="6"/>
  </w:num>
  <w:num w:numId="15" w16cid:durableId="1026908520">
    <w:abstractNumId w:val="1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13930412">
    <w:abstractNumId w:val="2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794514385">
    <w:abstractNumId w:val="22"/>
  </w:num>
  <w:num w:numId="18" w16cid:durableId="1372730593">
    <w:abstractNumId w:val="13"/>
  </w:num>
  <w:num w:numId="19" w16cid:durableId="2097046187">
    <w:abstractNumId w:val="2"/>
  </w:num>
  <w:num w:numId="20" w16cid:durableId="1200361820">
    <w:abstractNumId w:val="23"/>
  </w:num>
  <w:num w:numId="21" w16cid:durableId="392195673">
    <w:abstractNumId w:val="14"/>
  </w:num>
  <w:num w:numId="22" w16cid:durableId="775910607">
    <w:abstractNumId w:val="5"/>
  </w:num>
  <w:num w:numId="23" w16cid:durableId="385221327">
    <w:abstractNumId w:val="4"/>
  </w:num>
  <w:num w:numId="24" w16cid:durableId="1503427157">
    <w:abstractNumId w:val="20"/>
  </w:num>
  <w:num w:numId="25" w16cid:durableId="960502290">
    <w:abstractNumId w:val="16"/>
  </w:num>
  <w:num w:numId="26" w16cid:durableId="569733755">
    <w:abstractNumId w:val="24"/>
  </w:num>
  <w:num w:numId="27" w16cid:durableId="202566509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1004"/>
    <w:rsid w:val="0000162E"/>
    <w:rsid w:val="00001A1C"/>
    <w:rsid w:val="00001FFD"/>
    <w:rsid w:val="00002027"/>
    <w:rsid w:val="000020FE"/>
    <w:rsid w:val="00002173"/>
    <w:rsid w:val="000031A8"/>
    <w:rsid w:val="00003C5C"/>
    <w:rsid w:val="000040D7"/>
    <w:rsid w:val="00004556"/>
    <w:rsid w:val="000051AF"/>
    <w:rsid w:val="000059D3"/>
    <w:rsid w:val="00005B6D"/>
    <w:rsid w:val="0000600A"/>
    <w:rsid w:val="00006081"/>
    <w:rsid w:val="00007750"/>
    <w:rsid w:val="000077FD"/>
    <w:rsid w:val="00007E37"/>
    <w:rsid w:val="00010C40"/>
    <w:rsid w:val="000112B4"/>
    <w:rsid w:val="00011DCC"/>
    <w:rsid w:val="00012532"/>
    <w:rsid w:val="00012B9E"/>
    <w:rsid w:val="00012FBA"/>
    <w:rsid w:val="00013C6B"/>
    <w:rsid w:val="0001406B"/>
    <w:rsid w:val="000143F8"/>
    <w:rsid w:val="00014624"/>
    <w:rsid w:val="00015B44"/>
    <w:rsid w:val="00016081"/>
    <w:rsid w:val="000165AC"/>
    <w:rsid w:val="00016651"/>
    <w:rsid w:val="000171A2"/>
    <w:rsid w:val="00017B65"/>
    <w:rsid w:val="00020158"/>
    <w:rsid w:val="000207E0"/>
    <w:rsid w:val="000209E2"/>
    <w:rsid w:val="00020F8F"/>
    <w:rsid w:val="00021A95"/>
    <w:rsid w:val="0002256F"/>
    <w:rsid w:val="00023DAE"/>
    <w:rsid w:val="00024896"/>
    <w:rsid w:val="00025D0A"/>
    <w:rsid w:val="000263F0"/>
    <w:rsid w:val="00026407"/>
    <w:rsid w:val="00026608"/>
    <w:rsid w:val="00027787"/>
    <w:rsid w:val="000278D2"/>
    <w:rsid w:val="00031158"/>
    <w:rsid w:val="00031364"/>
    <w:rsid w:val="000315E1"/>
    <w:rsid w:val="0003236E"/>
    <w:rsid w:val="0003339A"/>
    <w:rsid w:val="0003370C"/>
    <w:rsid w:val="000341F2"/>
    <w:rsid w:val="00035046"/>
    <w:rsid w:val="000351F2"/>
    <w:rsid w:val="00036E03"/>
    <w:rsid w:val="000406DB"/>
    <w:rsid w:val="0004094D"/>
    <w:rsid w:val="00041029"/>
    <w:rsid w:val="0004149B"/>
    <w:rsid w:val="00041622"/>
    <w:rsid w:val="00042961"/>
    <w:rsid w:val="00042C25"/>
    <w:rsid w:val="00042D03"/>
    <w:rsid w:val="00043086"/>
    <w:rsid w:val="000430A0"/>
    <w:rsid w:val="00043D3B"/>
    <w:rsid w:val="0004418C"/>
    <w:rsid w:val="00044204"/>
    <w:rsid w:val="000449D4"/>
    <w:rsid w:val="000463B5"/>
    <w:rsid w:val="00046717"/>
    <w:rsid w:val="00046A63"/>
    <w:rsid w:val="00046C09"/>
    <w:rsid w:val="0004716A"/>
    <w:rsid w:val="00047385"/>
    <w:rsid w:val="000473E8"/>
    <w:rsid w:val="000504DE"/>
    <w:rsid w:val="00051074"/>
    <w:rsid w:val="000526F0"/>
    <w:rsid w:val="0005273D"/>
    <w:rsid w:val="00052B79"/>
    <w:rsid w:val="00052EA0"/>
    <w:rsid w:val="000536A7"/>
    <w:rsid w:val="000536E3"/>
    <w:rsid w:val="00053896"/>
    <w:rsid w:val="0005474D"/>
    <w:rsid w:val="00055CB9"/>
    <w:rsid w:val="00056F66"/>
    <w:rsid w:val="0005702F"/>
    <w:rsid w:val="00061010"/>
    <w:rsid w:val="00061D06"/>
    <w:rsid w:val="00062CDD"/>
    <w:rsid w:val="000635D9"/>
    <w:rsid w:val="000640AF"/>
    <w:rsid w:val="00064940"/>
    <w:rsid w:val="00064CAE"/>
    <w:rsid w:val="00064DB7"/>
    <w:rsid w:val="00064FA7"/>
    <w:rsid w:val="00065195"/>
    <w:rsid w:val="0006536C"/>
    <w:rsid w:val="00070AF1"/>
    <w:rsid w:val="000714DE"/>
    <w:rsid w:val="0007254F"/>
    <w:rsid w:val="00073C30"/>
    <w:rsid w:val="00074305"/>
    <w:rsid w:val="000744D0"/>
    <w:rsid w:val="00074B2A"/>
    <w:rsid w:val="00074EEE"/>
    <w:rsid w:val="000753D5"/>
    <w:rsid w:val="00075B3E"/>
    <w:rsid w:val="00076456"/>
    <w:rsid w:val="0007779B"/>
    <w:rsid w:val="000777E7"/>
    <w:rsid w:val="0007790A"/>
    <w:rsid w:val="0008017B"/>
    <w:rsid w:val="000808C5"/>
    <w:rsid w:val="00080ACD"/>
    <w:rsid w:val="000811ED"/>
    <w:rsid w:val="00081D62"/>
    <w:rsid w:val="00082B74"/>
    <w:rsid w:val="00083099"/>
    <w:rsid w:val="00083452"/>
    <w:rsid w:val="00083EDC"/>
    <w:rsid w:val="000842BE"/>
    <w:rsid w:val="00084B97"/>
    <w:rsid w:val="0008510E"/>
    <w:rsid w:val="000856DE"/>
    <w:rsid w:val="00085F17"/>
    <w:rsid w:val="00085FB0"/>
    <w:rsid w:val="00085FB3"/>
    <w:rsid w:val="0008686B"/>
    <w:rsid w:val="00086B2A"/>
    <w:rsid w:val="00086ED2"/>
    <w:rsid w:val="000914D6"/>
    <w:rsid w:val="00091569"/>
    <w:rsid w:val="00092CDB"/>
    <w:rsid w:val="00092DCA"/>
    <w:rsid w:val="000942EB"/>
    <w:rsid w:val="00095B70"/>
    <w:rsid w:val="0009617E"/>
    <w:rsid w:val="0009628D"/>
    <w:rsid w:val="0009670F"/>
    <w:rsid w:val="00097342"/>
    <w:rsid w:val="000979CF"/>
    <w:rsid w:val="000A03C8"/>
    <w:rsid w:val="000A05F2"/>
    <w:rsid w:val="000A06C4"/>
    <w:rsid w:val="000A0861"/>
    <w:rsid w:val="000A0ED1"/>
    <w:rsid w:val="000A12DB"/>
    <w:rsid w:val="000A17C8"/>
    <w:rsid w:val="000A1B74"/>
    <w:rsid w:val="000A20D7"/>
    <w:rsid w:val="000A2128"/>
    <w:rsid w:val="000A362F"/>
    <w:rsid w:val="000A3B49"/>
    <w:rsid w:val="000A47E6"/>
    <w:rsid w:val="000A52C0"/>
    <w:rsid w:val="000A5AAF"/>
    <w:rsid w:val="000A5F97"/>
    <w:rsid w:val="000A648E"/>
    <w:rsid w:val="000A73BB"/>
    <w:rsid w:val="000A7EF4"/>
    <w:rsid w:val="000B0A15"/>
    <w:rsid w:val="000B103F"/>
    <w:rsid w:val="000B1437"/>
    <w:rsid w:val="000B1470"/>
    <w:rsid w:val="000B244D"/>
    <w:rsid w:val="000B2B86"/>
    <w:rsid w:val="000B3051"/>
    <w:rsid w:val="000B419B"/>
    <w:rsid w:val="000B5781"/>
    <w:rsid w:val="000B5CB1"/>
    <w:rsid w:val="000B6D08"/>
    <w:rsid w:val="000C0185"/>
    <w:rsid w:val="000C0F81"/>
    <w:rsid w:val="000C128D"/>
    <w:rsid w:val="000C17A3"/>
    <w:rsid w:val="000C1D4B"/>
    <w:rsid w:val="000C2DC4"/>
    <w:rsid w:val="000C3260"/>
    <w:rsid w:val="000C3B77"/>
    <w:rsid w:val="000C3F6D"/>
    <w:rsid w:val="000C4F49"/>
    <w:rsid w:val="000C5861"/>
    <w:rsid w:val="000C5BDE"/>
    <w:rsid w:val="000C639D"/>
    <w:rsid w:val="000C6946"/>
    <w:rsid w:val="000C6C31"/>
    <w:rsid w:val="000C6DBC"/>
    <w:rsid w:val="000C6F79"/>
    <w:rsid w:val="000C7476"/>
    <w:rsid w:val="000C7711"/>
    <w:rsid w:val="000C7AA2"/>
    <w:rsid w:val="000D02BB"/>
    <w:rsid w:val="000D0462"/>
    <w:rsid w:val="000D053D"/>
    <w:rsid w:val="000D0ED2"/>
    <w:rsid w:val="000D1CEB"/>
    <w:rsid w:val="000D2563"/>
    <w:rsid w:val="000D25BF"/>
    <w:rsid w:val="000D3282"/>
    <w:rsid w:val="000D3FDC"/>
    <w:rsid w:val="000D490B"/>
    <w:rsid w:val="000D4E38"/>
    <w:rsid w:val="000D50DB"/>
    <w:rsid w:val="000D6288"/>
    <w:rsid w:val="000D7541"/>
    <w:rsid w:val="000D75E1"/>
    <w:rsid w:val="000D79F4"/>
    <w:rsid w:val="000E047D"/>
    <w:rsid w:val="000E22CF"/>
    <w:rsid w:val="000E2977"/>
    <w:rsid w:val="000E2CC0"/>
    <w:rsid w:val="000E30AC"/>
    <w:rsid w:val="000E3B46"/>
    <w:rsid w:val="000E3E11"/>
    <w:rsid w:val="000E4596"/>
    <w:rsid w:val="000E5768"/>
    <w:rsid w:val="000E5843"/>
    <w:rsid w:val="000E6139"/>
    <w:rsid w:val="000E6BE1"/>
    <w:rsid w:val="000E7E0B"/>
    <w:rsid w:val="000F0136"/>
    <w:rsid w:val="000F078A"/>
    <w:rsid w:val="000F122D"/>
    <w:rsid w:val="000F1450"/>
    <w:rsid w:val="000F14E8"/>
    <w:rsid w:val="000F1BBD"/>
    <w:rsid w:val="000F290F"/>
    <w:rsid w:val="000F4403"/>
    <w:rsid w:val="000F4702"/>
    <w:rsid w:val="000F480B"/>
    <w:rsid w:val="000F4E17"/>
    <w:rsid w:val="000F6578"/>
    <w:rsid w:val="000F7E8F"/>
    <w:rsid w:val="000F7FBB"/>
    <w:rsid w:val="001000FB"/>
    <w:rsid w:val="00100A9E"/>
    <w:rsid w:val="00100F6A"/>
    <w:rsid w:val="00102605"/>
    <w:rsid w:val="00102686"/>
    <w:rsid w:val="00102745"/>
    <w:rsid w:val="00103795"/>
    <w:rsid w:val="00103915"/>
    <w:rsid w:val="00103EA0"/>
    <w:rsid w:val="00104F1C"/>
    <w:rsid w:val="001051E5"/>
    <w:rsid w:val="00105A74"/>
    <w:rsid w:val="00105ACB"/>
    <w:rsid w:val="00105AEF"/>
    <w:rsid w:val="00106259"/>
    <w:rsid w:val="001068EB"/>
    <w:rsid w:val="001078CE"/>
    <w:rsid w:val="00110F61"/>
    <w:rsid w:val="001111BD"/>
    <w:rsid w:val="0011165A"/>
    <w:rsid w:val="001116C6"/>
    <w:rsid w:val="00111B2B"/>
    <w:rsid w:val="00112774"/>
    <w:rsid w:val="00112B2E"/>
    <w:rsid w:val="00113003"/>
    <w:rsid w:val="00113062"/>
    <w:rsid w:val="00113705"/>
    <w:rsid w:val="00113975"/>
    <w:rsid w:val="00113CFC"/>
    <w:rsid w:val="00113FEA"/>
    <w:rsid w:val="00114A22"/>
    <w:rsid w:val="00114E9D"/>
    <w:rsid w:val="0011507B"/>
    <w:rsid w:val="0011627A"/>
    <w:rsid w:val="00116328"/>
    <w:rsid w:val="001163CF"/>
    <w:rsid w:val="001174C9"/>
    <w:rsid w:val="00117E69"/>
    <w:rsid w:val="001204D2"/>
    <w:rsid w:val="00121103"/>
    <w:rsid w:val="00121BAB"/>
    <w:rsid w:val="00121E3C"/>
    <w:rsid w:val="00122B23"/>
    <w:rsid w:val="00122B7E"/>
    <w:rsid w:val="00123FB5"/>
    <w:rsid w:val="0012400F"/>
    <w:rsid w:val="001249DC"/>
    <w:rsid w:val="0012572D"/>
    <w:rsid w:val="00125BED"/>
    <w:rsid w:val="00125C59"/>
    <w:rsid w:val="00125D4F"/>
    <w:rsid w:val="00125DDE"/>
    <w:rsid w:val="00127004"/>
    <w:rsid w:val="00127AF2"/>
    <w:rsid w:val="00127EDC"/>
    <w:rsid w:val="00127F6D"/>
    <w:rsid w:val="00130355"/>
    <w:rsid w:val="00130365"/>
    <w:rsid w:val="00131B5A"/>
    <w:rsid w:val="00132C30"/>
    <w:rsid w:val="00132EFD"/>
    <w:rsid w:val="00133AED"/>
    <w:rsid w:val="00134E09"/>
    <w:rsid w:val="00135DB9"/>
    <w:rsid w:val="0013695C"/>
    <w:rsid w:val="00136BF7"/>
    <w:rsid w:val="001378B9"/>
    <w:rsid w:val="00137FFA"/>
    <w:rsid w:val="00140109"/>
    <w:rsid w:val="0014029B"/>
    <w:rsid w:val="00140464"/>
    <w:rsid w:val="00140A4F"/>
    <w:rsid w:val="001413AB"/>
    <w:rsid w:val="00141DBF"/>
    <w:rsid w:val="00142EFD"/>
    <w:rsid w:val="00142F55"/>
    <w:rsid w:val="00144335"/>
    <w:rsid w:val="0014502F"/>
    <w:rsid w:val="00145282"/>
    <w:rsid w:val="001453B0"/>
    <w:rsid w:val="001454D9"/>
    <w:rsid w:val="00145D8E"/>
    <w:rsid w:val="00146083"/>
    <w:rsid w:val="001462F7"/>
    <w:rsid w:val="00147F35"/>
    <w:rsid w:val="00150005"/>
    <w:rsid w:val="001518D7"/>
    <w:rsid w:val="00151AEB"/>
    <w:rsid w:val="00151B99"/>
    <w:rsid w:val="001521B2"/>
    <w:rsid w:val="00152EDD"/>
    <w:rsid w:val="00153491"/>
    <w:rsid w:val="0015361C"/>
    <w:rsid w:val="0015372F"/>
    <w:rsid w:val="00153BFB"/>
    <w:rsid w:val="0015407E"/>
    <w:rsid w:val="0015448E"/>
    <w:rsid w:val="00154A6F"/>
    <w:rsid w:val="00155D08"/>
    <w:rsid w:val="00156BE5"/>
    <w:rsid w:val="00157232"/>
    <w:rsid w:val="00160401"/>
    <w:rsid w:val="00160D4E"/>
    <w:rsid w:val="00160DF9"/>
    <w:rsid w:val="00161DDA"/>
    <w:rsid w:val="00161E62"/>
    <w:rsid w:val="00161F1C"/>
    <w:rsid w:val="0016200B"/>
    <w:rsid w:val="00162013"/>
    <w:rsid w:val="001625C8"/>
    <w:rsid w:val="00163D7A"/>
    <w:rsid w:val="00164281"/>
    <w:rsid w:val="00165703"/>
    <w:rsid w:val="0016685F"/>
    <w:rsid w:val="0016712F"/>
    <w:rsid w:val="00167503"/>
    <w:rsid w:val="001676A9"/>
    <w:rsid w:val="00167A15"/>
    <w:rsid w:val="00167A50"/>
    <w:rsid w:val="00167DF5"/>
    <w:rsid w:val="00170001"/>
    <w:rsid w:val="00172198"/>
    <w:rsid w:val="00172612"/>
    <w:rsid w:val="00172817"/>
    <w:rsid w:val="001734E3"/>
    <w:rsid w:val="001742BF"/>
    <w:rsid w:val="00175E49"/>
    <w:rsid w:val="0017649F"/>
    <w:rsid w:val="0017655D"/>
    <w:rsid w:val="001805C1"/>
    <w:rsid w:val="00180A2E"/>
    <w:rsid w:val="001813AF"/>
    <w:rsid w:val="001829CD"/>
    <w:rsid w:val="00182F01"/>
    <w:rsid w:val="00184F27"/>
    <w:rsid w:val="0018519B"/>
    <w:rsid w:val="00185966"/>
    <w:rsid w:val="00185A2D"/>
    <w:rsid w:val="00185AFE"/>
    <w:rsid w:val="00185CA2"/>
    <w:rsid w:val="00185E78"/>
    <w:rsid w:val="00187177"/>
    <w:rsid w:val="00187ABD"/>
    <w:rsid w:val="001904E3"/>
    <w:rsid w:val="0019087A"/>
    <w:rsid w:val="00191C5A"/>
    <w:rsid w:val="00191CEB"/>
    <w:rsid w:val="00191E63"/>
    <w:rsid w:val="00192531"/>
    <w:rsid w:val="00192D68"/>
    <w:rsid w:val="0019388B"/>
    <w:rsid w:val="00193B9A"/>
    <w:rsid w:val="001940ED"/>
    <w:rsid w:val="001946AE"/>
    <w:rsid w:val="001946D5"/>
    <w:rsid w:val="00194E8C"/>
    <w:rsid w:val="001962EC"/>
    <w:rsid w:val="001963DD"/>
    <w:rsid w:val="001965DB"/>
    <w:rsid w:val="00196D01"/>
    <w:rsid w:val="00196DC9"/>
    <w:rsid w:val="00196E95"/>
    <w:rsid w:val="001A0236"/>
    <w:rsid w:val="001A0AF8"/>
    <w:rsid w:val="001A18D5"/>
    <w:rsid w:val="001A1A38"/>
    <w:rsid w:val="001A1BE0"/>
    <w:rsid w:val="001A1D4A"/>
    <w:rsid w:val="001A3011"/>
    <w:rsid w:val="001A4A9B"/>
    <w:rsid w:val="001A4DAF"/>
    <w:rsid w:val="001A54CD"/>
    <w:rsid w:val="001A66DF"/>
    <w:rsid w:val="001A67D0"/>
    <w:rsid w:val="001A6863"/>
    <w:rsid w:val="001A7591"/>
    <w:rsid w:val="001A75B1"/>
    <w:rsid w:val="001A7B06"/>
    <w:rsid w:val="001B0366"/>
    <w:rsid w:val="001B0444"/>
    <w:rsid w:val="001B096B"/>
    <w:rsid w:val="001B0F9F"/>
    <w:rsid w:val="001B123C"/>
    <w:rsid w:val="001B1A0D"/>
    <w:rsid w:val="001B1BF1"/>
    <w:rsid w:val="001B2456"/>
    <w:rsid w:val="001B246B"/>
    <w:rsid w:val="001B255B"/>
    <w:rsid w:val="001B449C"/>
    <w:rsid w:val="001B4AA2"/>
    <w:rsid w:val="001B4ADE"/>
    <w:rsid w:val="001B5EF8"/>
    <w:rsid w:val="001B615D"/>
    <w:rsid w:val="001C07C6"/>
    <w:rsid w:val="001C19CD"/>
    <w:rsid w:val="001C22D5"/>
    <w:rsid w:val="001C2515"/>
    <w:rsid w:val="001C26FB"/>
    <w:rsid w:val="001C2BE4"/>
    <w:rsid w:val="001C33C1"/>
    <w:rsid w:val="001C3E30"/>
    <w:rsid w:val="001C3E5C"/>
    <w:rsid w:val="001C5072"/>
    <w:rsid w:val="001C5B2A"/>
    <w:rsid w:val="001C600B"/>
    <w:rsid w:val="001C62C4"/>
    <w:rsid w:val="001C6898"/>
    <w:rsid w:val="001C6DD8"/>
    <w:rsid w:val="001C7C7B"/>
    <w:rsid w:val="001D068D"/>
    <w:rsid w:val="001D12D1"/>
    <w:rsid w:val="001D15DF"/>
    <w:rsid w:val="001D30F3"/>
    <w:rsid w:val="001D31A0"/>
    <w:rsid w:val="001D338E"/>
    <w:rsid w:val="001D56E9"/>
    <w:rsid w:val="001D5EE1"/>
    <w:rsid w:val="001D796A"/>
    <w:rsid w:val="001D7A84"/>
    <w:rsid w:val="001D7C79"/>
    <w:rsid w:val="001E003B"/>
    <w:rsid w:val="001E1CC4"/>
    <w:rsid w:val="001E1D38"/>
    <w:rsid w:val="001E28A0"/>
    <w:rsid w:val="001E4258"/>
    <w:rsid w:val="001E5AEF"/>
    <w:rsid w:val="001E5D6A"/>
    <w:rsid w:val="001E6A94"/>
    <w:rsid w:val="001E70FB"/>
    <w:rsid w:val="001E780A"/>
    <w:rsid w:val="001F0FA0"/>
    <w:rsid w:val="001F1349"/>
    <w:rsid w:val="001F1863"/>
    <w:rsid w:val="001F2356"/>
    <w:rsid w:val="001F2A68"/>
    <w:rsid w:val="001F4773"/>
    <w:rsid w:val="001F5008"/>
    <w:rsid w:val="001F51A9"/>
    <w:rsid w:val="001F56AA"/>
    <w:rsid w:val="001F58AA"/>
    <w:rsid w:val="001F5A4E"/>
    <w:rsid w:val="001F5EF6"/>
    <w:rsid w:val="001F657F"/>
    <w:rsid w:val="001F6FB6"/>
    <w:rsid w:val="001F72BB"/>
    <w:rsid w:val="001F7978"/>
    <w:rsid w:val="001F7A0E"/>
    <w:rsid w:val="0020022E"/>
    <w:rsid w:val="0020054E"/>
    <w:rsid w:val="00201AC4"/>
    <w:rsid w:val="00201F1E"/>
    <w:rsid w:val="0020299B"/>
    <w:rsid w:val="00202E44"/>
    <w:rsid w:val="002037AA"/>
    <w:rsid w:val="00203FE3"/>
    <w:rsid w:val="002042D8"/>
    <w:rsid w:val="00204515"/>
    <w:rsid w:val="00204BF5"/>
    <w:rsid w:val="00204E6B"/>
    <w:rsid w:val="002053EF"/>
    <w:rsid w:val="002058D4"/>
    <w:rsid w:val="0020632A"/>
    <w:rsid w:val="0020697F"/>
    <w:rsid w:val="002110EB"/>
    <w:rsid w:val="00211338"/>
    <w:rsid w:val="00211388"/>
    <w:rsid w:val="0021148C"/>
    <w:rsid w:val="00211694"/>
    <w:rsid w:val="0021201A"/>
    <w:rsid w:val="002138FE"/>
    <w:rsid w:val="00213A1F"/>
    <w:rsid w:val="00213C63"/>
    <w:rsid w:val="00214502"/>
    <w:rsid w:val="00214741"/>
    <w:rsid w:val="0021539A"/>
    <w:rsid w:val="00215852"/>
    <w:rsid w:val="00215B8E"/>
    <w:rsid w:val="00216264"/>
    <w:rsid w:val="0021692D"/>
    <w:rsid w:val="002176B6"/>
    <w:rsid w:val="0021792D"/>
    <w:rsid w:val="00217DB8"/>
    <w:rsid w:val="002202CE"/>
    <w:rsid w:val="0022032A"/>
    <w:rsid w:val="0022194E"/>
    <w:rsid w:val="002220B1"/>
    <w:rsid w:val="002221CE"/>
    <w:rsid w:val="00222BE8"/>
    <w:rsid w:val="00223102"/>
    <w:rsid w:val="002232CB"/>
    <w:rsid w:val="00224022"/>
    <w:rsid w:val="00224A66"/>
    <w:rsid w:val="00226055"/>
    <w:rsid w:val="0022613F"/>
    <w:rsid w:val="00226236"/>
    <w:rsid w:val="002262CE"/>
    <w:rsid w:val="002270C9"/>
    <w:rsid w:val="00227A8B"/>
    <w:rsid w:val="0023146B"/>
    <w:rsid w:val="002315A0"/>
    <w:rsid w:val="0023161C"/>
    <w:rsid w:val="00231748"/>
    <w:rsid w:val="00231E59"/>
    <w:rsid w:val="00231EC7"/>
    <w:rsid w:val="00232E15"/>
    <w:rsid w:val="00233079"/>
    <w:rsid w:val="0023382C"/>
    <w:rsid w:val="00233977"/>
    <w:rsid w:val="00233C58"/>
    <w:rsid w:val="00233C71"/>
    <w:rsid w:val="002345B6"/>
    <w:rsid w:val="002347A6"/>
    <w:rsid w:val="00234B84"/>
    <w:rsid w:val="00236016"/>
    <w:rsid w:val="00237065"/>
    <w:rsid w:val="00237589"/>
    <w:rsid w:val="0023758D"/>
    <w:rsid w:val="002375A7"/>
    <w:rsid w:val="0023798D"/>
    <w:rsid w:val="0024019A"/>
    <w:rsid w:val="00241146"/>
    <w:rsid w:val="0024120F"/>
    <w:rsid w:val="0024131D"/>
    <w:rsid w:val="002415B8"/>
    <w:rsid w:val="00242D62"/>
    <w:rsid w:val="002430BF"/>
    <w:rsid w:val="002430D0"/>
    <w:rsid w:val="002431D7"/>
    <w:rsid w:val="00244058"/>
    <w:rsid w:val="00245718"/>
    <w:rsid w:val="00245E07"/>
    <w:rsid w:val="00247712"/>
    <w:rsid w:val="00250EC6"/>
    <w:rsid w:val="002515C7"/>
    <w:rsid w:val="00251866"/>
    <w:rsid w:val="00251A9F"/>
    <w:rsid w:val="00252492"/>
    <w:rsid w:val="00252B35"/>
    <w:rsid w:val="0025316D"/>
    <w:rsid w:val="00253A02"/>
    <w:rsid w:val="00253B81"/>
    <w:rsid w:val="002554DE"/>
    <w:rsid w:val="00255575"/>
    <w:rsid w:val="00255E11"/>
    <w:rsid w:val="00256835"/>
    <w:rsid w:val="002569F0"/>
    <w:rsid w:val="00256E1A"/>
    <w:rsid w:val="00256ECF"/>
    <w:rsid w:val="00257730"/>
    <w:rsid w:val="00257999"/>
    <w:rsid w:val="002604AA"/>
    <w:rsid w:val="0026129B"/>
    <w:rsid w:val="00261560"/>
    <w:rsid w:val="00261715"/>
    <w:rsid w:val="00261CF9"/>
    <w:rsid w:val="00261EC0"/>
    <w:rsid w:val="0026231B"/>
    <w:rsid w:val="00263101"/>
    <w:rsid w:val="002631D1"/>
    <w:rsid w:val="00263201"/>
    <w:rsid w:val="00263224"/>
    <w:rsid w:val="002634CA"/>
    <w:rsid w:val="00263A37"/>
    <w:rsid w:val="0026478A"/>
    <w:rsid w:val="0026480D"/>
    <w:rsid w:val="002653A6"/>
    <w:rsid w:val="002661F1"/>
    <w:rsid w:val="00266DB6"/>
    <w:rsid w:val="002711A4"/>
    <w:rsid w:val="00271F13"/>
    <w:rsid w:val="0027278E"/>
    <w:rsid w:val="0027482E"/>
    <w:rsid w:val="00274DB5"/>
    <w:rsid w:val="00275BB1"/>
    <w:rsid w:val="00277933"/>
    <w:rsid w:val="00277F8D"/>
    <w:rsid w:val="00277FA7"/>
    <w:rsid w:val="00280046"/>
    <w:rsid w:val="00280B4F"/>
    <w:rsid w:val="00280F3D"/>
    <w:rsid w:val="0028106A"/>
    <w:rsid w:val="00281EB4"/>
    <w:rsid w:val="0028308E"/>
    <w:rsid w:val="002834E9"/>
    <w:rsid w:val="00283975"/>
    <w:rsid w:val="00283A52"/>
    <w:rsid w:val="00283C5E"/>
    <w:rsid w:val="00283E26"/>
    <w:rsid w:val="0028428F"/>
    <w:rsid w:val="00284CFC"/>
    <w:rsid w:val="00285832"/>
    <w:rsid w:val="00285969"/>
    <w:rsid w:val="0028663B"/>
    <w:rsid w:val="00286CEC"/>
    <w:rsid w:val="002870F9"/>
    <w:rsid w:val="002871A9"/>
    <w:rsid w:val="00287505"/>
    <w:rsid w:val="00290781"/>
    <w:rsid w:val="00291784"/>
    <w:rsid w:val="002920DF"/>
    <w:rsid w:val="0029273C"/>
    <w:rsid w:val="002929BB"/>
    <w:rsid w:val="00294368"/>
    <w:rsid w:val="00294B78"/>
    <w:rsid w:val="00295416"/>
    <w:rsid w:val="00295949"/>
    <w:rsid w:val="0029624A"/>
    <w:rsid w:val="00296922"/>
    <w:rsid w:val="00297098"/>
    <w:rsid w:val="002A05D4"/>
    <w:rsid w:val="002A06DB"/>
    <w:rsid w:val="002A09FF"/>
    <w:rsid w:val="002A0E60"/>
    <w:rsid w:val="002A1A58"/>
    <w:rsid w:val="002A1B02"/>
    <w:rsid w:val="002A1C53"/>
    <w:rsid w:val="002A244B"/>
    <w:rsid w:val="002A28FC"/>
    <w:rsid w:val="002A2B44"/>
    <w:rsid w:val="002A2EA5"/>
    <w:rsid w:val="002A3D94"/>
    <w:rsid w:val="002A4736"/>
    <w:rsid w:val="002A4B1C"/>
    <w:rsid w:val="002A55FE"/>
    <w:rsid w:val="002A6AFB"/>
    <w:rsid w:val="002A733D"/>
    <w:rsid w:val="002A774A"/>
    <w:rsid w:val="002A78F3"/>
    <w:rsid w:val="002A7E5C"/>
    <w:rsid w:val="002A7F6D"/>
    <w:rsid w:val="002B1342"/>
    <w:rsid w:val="002B1F83"/>
    <w:rsid w:val="002B27C8"/>
    <w:rsid w:val="002B2A7F"/>
    <w:rsid w:val="002B330B"/>
    <w:rsid w:val="002B39BE"/>
    <w:rsid w:val="002B438C"/>
    <w:rsid w:val="002B48DB"/>
    <w:rsid w:val="002B4B34"/>
    <w:rsid w:val="002B541A"/>
    <w:rsid w:val="002B5EAB"/>
    <w:rsid w:val="002B6407"/>
    <w:rsid w:val="002B6416"/>
    <w:rsid w:val="002B6459"/>
    <w:rsid w:val="002B7014"/>
    <w:rsid w:val="002B73B0"/>
    <w:rsid w:val="002C24B4"/>
    <w:rsid w:val="002C28A6"/>
    <w:rsid w:val="002C2B3A"/>
    <w:rsid w:val="002C2B87"/>
    <w:rsid w:val="002C3CF4"/>
    <w:rsid w:val="002C441A"/>
    <w:rsid w:val="002C4A73"/>
    <w:rsid w:val="002C4B84"/>
    <w:rsid w:val="002C4C0C"/>
    <w:rsid w:val="002C5016"/>
    <w:rsid w:val="002C5C2F"/>
    <w:rsid w:val="002C5D0F"/>
    <w:rsid w:val="002C60B9"/>
    <w:rsid w:val="002C6F77"/>
    <w:rsid w:val="002C704D"/>
    <w:rsid w:val="002D0845"/>
    <w:rsid w:val="002D0933"/>
    <w:rsid w:val="002D0CE3"/>
    <w:rsid w:val="002D19BB"/>
    <w:rsid w:val="002D1A9B"/>
    <w:rsid w:val="002D20F8"/>
    <w:rsid w:val="002D22BD"/>
    <w:rsid w:val="002D22C5"/>
    <w:rsid w:val="002D302A"/>
    <w:rsid w:val="002D36C6"/>
    <w:rsid w:val="002D37C1"/>
    <w:rsid w:val="002D3822"/>
    <w:rsid w:val="002D444B"/>
    <w:rsid w:val="002D4A45"/>
    <w:rsid w:val="002D4B42"/>
    <w:rsid w:val="002D4B43"/>
    <w:rsid w:val="002D5A1B"/>
    <w:rsid w:val="002D65BC"/>
    <w:rsid w:val="002D6A45"/>
    <w:rsid w:val="002E055C"/>
    <w:rsid w:val="002E1050"/>
    <w:rsid w:val="002E107E"/>
    <w:rsid w:val="002E18E5"/>
    <w:rsid w:val="002E1953"/>
    <w:rsid w:val="002E2CB5"/>
    <w:rsid w:val="002E2D7D"/>
    <w:rsid w:val="002E32D0"/>
    <w:rsid w:val="002E3D76"/>
    <w:rsid w:val="002E40A1"/>
    <w:rsid w:val="002E48EC"/>
    <w:rsid w:val="002E4B44"/>
    <w:rsid w:val="002E4ECB"/>
    <w:rsid w:val="002E4F23"/>
    <w:rsid w:val="002E635A"/>
    <w:rsid w:val="002E6D68"/>
    <w:rsid w:val="002E7847"/>
    <w:rsid w:val="002F0073"/>
    <w:rsid w:val="002F0B74"/>
    <w:rsid w:val="002F1C67"/>
    <w:rsid w:val="002F240B"/>
    <w:rsid w:val="002F26B7"/>
    <w:rsid w:val="002F2F50"/>
    <w:rsid w:val="002F33EC"/>
    <w:rsid w:val="002F34E3"/>
    <w:rsid w:val="002F3601"/>
    <w:rsid w:val="002F45F6"/>
    <w:rsid w:val="002F5A6F"/>
    <w:rsid w:val="002F692F"/>
    <w:rsid w:val="002F7B66"/>
    <w:rsid w:val="00300CB4"/>
    <w:rsid w:val="00300E24"/>
    <w:rsid w:val="003033BA"/>
    <w:rsid w:val="00303C19"/>
    <w:rsid w:val="003043A3"/>
    <w:rsid w:val="00304BD4"/>
    <w:rsid w:val="0030500A"/>
    <w:rsid w:val="003052EB"/>
    <w:rsid w:val="00305FCB"/>
    <w:rsid w:val="003063C3"/>
    <w:rsid w:val="003069DC"/>
    <w:rsid w:val="00306B44"/>
    <w:rsid w:val="00307C44"/>
    <w:rsid w:val="00310196"/>
    <w:rsid w:val="0031088E"/>
    <w:rsid w:val="00310D01"/>
    <w:rsid w:val="00311376"/>
    <w:rsid w:val="00311A1F"/>
    <w:rsid w:val="00311B47"/>
    <w:rsid w:val="00311D52"/>
    <w:rsid w:val="00312015"/>
    <w:rsid w:val="00312190"/>
    <w:rsid w:val="003125E0"/>
    <w:rsid w:val="0031271D"/>
    <w:rsid w:val="003132BB"/>
    <w:rsid w:val="00313337"/>
    <w:rsid w:val="00313447"/>
    <w:rsid w:val="00313748"/>
    <w:rsid w:val="00313EA3"/>
    <w:rsid w:val="00315365"/>
    <w:rsid w:val="00315457"/>
    <w:rsid w:val="003161A4"/>
    <w:rsid w:val="00316955"/>
    <w:rsid w:val="0031720A"/>
    <w:rsid w:val="0031749B"/>
    <w:rsid w:val="003174E5"/>
    <w:rsid w:val="00317C9D"/>
    <w:rsid w:val="00317CD2"/>
    <w:rsid w:val="00317D99"/>
    <w:rsid w:val="0032078D"/>
    <w:rsid w:val="00320ADF"/>
    <w:rsid w:val="0032137B"/>
    <w:rsid w:val="00321BD6"/>
    <w:rsid w:val="00321FA3"/>
    <w:rsid w:val="003227D3"/>
    <w:rsid w:val="00322937"/>
    <w:rsid w:val="00323881"/>
    <w:rsid w:val="003247ED"/>
    <w:rsid w:val="003251A8"/>
    <w:rsid w:val="003254B1"/>
    <w:rsid w:val="00325D98"/>
    <w:rsid w:val="0032682A"/>
    <w:rsid w:val="00327A5C"/>
    <w:rsid w:val="003303B3"/>
    <w:rsid w:val="0033092C"/>
    <w:rsid w:val="0033122A"/>
    <w:rsid w:val="003315AC"/>
    <w:rsid w:val="00331932"/>
    <w:rsid w:val="00332382"/>
    <w:rsid w:val="00332453"/>
    <w:rsid w:val="0033251B"/>
    <w:rsid w:val="00332F8C"/>
    <w:rsid w:val="00333A88"/>
    <w:rsid w:val="00333BC9"/>
    <w:rsid w:val="00335B15"/>
    <w:rsid w:val="00335B21"/>
    <w:rsid w:val="00335D3F"/>
    <w:rsid w:val="00336104"/>
    <w:rsid w:val="00336729"/>
    <w:rsid w:val="0033726D"/>
    <w:rsid w:val="00337CA8"/>
    <w:rsid w:val="00340D3F"/>
    <w:rsid w:val="0034174B"/>
    <w:rsid w:val="0034177C"/>
    <w:rsid w:val="003420E9"/>
    <w:rsid w:val="00342345"/>
    <w:rsid w:val="00342C27"/>
    <w:rsid w:val="003430C8"/>
    <w:rsid w:val="003432C8"/>
    <w:rsid w:val="003434B3"/>
    <w:rsid w:val="00343536"/>
    <w:rsid w:val="00343EFB"/>
    <w:rsid w:val="00344760"/>
    <w:rsid w:val="003454E8"/>
    <w:rsid w:val="00345574"/>
    <w:rsid w:val="0034680A"/>
    <w:rsid w:val="00346C62"/>
    <w:rsid w:val="00347202"/>
    <w:rsid w:val="0034778E"/>
    <w:rsid w:val="00347A5A"/>
    <w:rsid w:val="003501E2"/>
    <w:rsid w:val="00351E10"/>
    <w:rsid w:val="003533F4"/>
    <w:rsid w:val="003536F6"/>
    <w:rsid w:val="00353DD5"/>
    <w:rsid w:val="00355131"/>
    <w:rsid w:val="00355C52"/>
    <w:rsid w:val="00355F74"/>
    <w:rsid w:val="003560DB"/>
    <w:rsid w:val="003564DB"/>
    <w:rsid w:val="00356F87"/>
    <w:rsid w:val="00360CF3"/>
    <w:rsid w:val="00361A59"/>
    <w:rsid w:val="00363348"/>
    <w:rsid w:val="00363857"/>
    <w:rsid w:val="00363D59"/>
    <w:rsid w:val="003640F7"/>
    <w:rsid w:val="003649F3"/>
    <w:rsid w:val="00365D3A"/>
    <w:rsid w:val="003664FF"/>
    <w:rsid w:val="00366BD2"/>
    <w:rsid w:val="003670B8"/>
    <w:rsid w:val="00367519"/>
    <w:rsid w:val="003704A3"/>
    <w:rsid w:val="003706F2"/>
    <w:rsid w:val="0037124F"/>
    <w:rsid w:val="003722B3"/>
    <w:rsid w:val="00373827"/>
    <w:rsid w:val="0037401C"/>
    <w:rsid w:val="00374D49"/>
    <w:rsid w:val="0037507B"/>
    <w:rsid w:val="00375C7C"/>
    <w:rsid w:val="00377027"/>
    <w:rsid w:val="00377135"/>
    <w:rsid w:val="00380272"/>
    <w:rsid w:val="003805DB"/>
    <w:rsid w:val="00380F1F"/>
    <w:rsid w:val="0038152A"/>
    <w:rsid w:val="00382BAD"/>
    <w:rsid w:val="003835FD"/>
    <w:rsid w:val="00384DF1"/>
    <w:rsid w:val="00384FF3"/>
    <w:rsid w:val="0038512F"/>
    <w:rsid w:val="00386456"/>
    <w:rsid w:val="003865A9"/>
    <w:rsid w:val="0039092B"/>
    <w:rsid w:val="00390F32"/>
    <w:rsid w:val="0039135E"/>
    <w:rsid w:val="0039319C"/>
    <w:rsid w:val="00393577"/>
    <w:rsid w:val="00393CAE"/>
    <w:rsid w:val="003945F4"/>
    <w:rsid w:val="00394EB5"/>
    <w:rsid w:val="003953B4"/>
    <w:rsid w:val="0039615F"/>
    <w:rsid w:val="003966A0"/>
    <w:rsid w:val="00396A29"/>
    <w:rsid w:val="00397FF0"/>
    <w:rsid w:val="003A0878"/>
    <w:rsid w:val="003A1561"/>
    <w:rsid w:val="003A1D25"/>
    <w:rsid w:val="003A22A2"/>
    <w:rsid w:val="003A2447"/>
    <w:rsid w:val="003A2AA1"/>
    <w:rsid w:val="003A31A5"/>
    <w:rsid w:val="003A329A"/>
    <w:rsid w:val="003A3603"/>
    <w:rsid w:val="003A3851"/>
    <w:rsid w:val="003A39DD"/>
    <w:rsid w:val="003A4199"/>
    <w:rsid w:val="003A4A8E"/>
    <w:rsid w:val="003A563C"/>
    <w:rsid w:val="003A581E"/>
    <w:rsid w:val="003A6160"/>
    <w:rsid w:val="003A65A5"/>
    <w:rsid w:val="003A72F5"/>
    <w:rsid w:val="003A78E5"/>
    <w:rsid w:val="003B0341"/>
    <w:rsid w:val="003B1E57"/>
    <w:rsid w:val="003B2EF3"/>
    <w:rsid w:val="003B34B5"/>
    <w:rsid w:val="003B4A4D"/>
    <w:rsid w:val="003B534F"/>
    <w:rsid w:val="003B5391"/>
    <w:rsid w:val="003B58CE"/>
    <w:rsid w:val="003B65D7"/>
    <w:rsid w:val="003B65E0"/>
    <w:rsid w:val="003B6BD4"/>
    <w:rsid w:val="003B6F4D"/>
    <w:rsid w:val="003B6FE7"/>
    <w:rsid w:val="003C095A"/>
    <w:rsid w:val="003C0D1F"/>
    <w:rsid w:val="003C116A"/>
    <w:rsid w:val="003C1AF4"/>
    <w:rsid w:val="003C1C9C"/>
    <w:rsid w:val="003C1CB8"/>
    <w:rsid w:val="003C22DA"/>
    <w:rsid w:val="003C2550"/>
    <w:rsid w:val="003C287F"/>
    <w:rsid w:val="003C3339"/>
    <w:rsid w:val="003C375A"/>
    <w:rsid w:val="003C4D9F"/>
    <w:rsid w:val="003C5247"/>
    <w:rsid w:val="003C622C"/>
    <w:rsid w:val="003C6505"/>
    <w:rsid w:val="003C73C7"/>
    <w:rsid w:val="003C7CFB"/>
    <w:rsid w:val="003D050B"/>
    <w:rsid w:val="003D0B98"/>
    <w:rsid w:val="003D0C38"/>
    <w:rsid w:val="003D0C3C"/>
    <w:rsid w:val="003D0DE5"/>
    <w:rsid w:val="003D1351"/>
    <w:rsid w:val="003D21C1"/>
    <w:rsid w:val="003D3B15"/>
    <w:rsid w:val="003D3B2E"/>
    <w:rsid w:val="003D4101"/>
    <w:rsid w:val="003D484D"/>
    <w:rsid w:val="003D4928"/>
    <w:rsid w:val="003D49CB"/>
    <w:rsid w:val="003D6B8F"/>
    <w:rsid w:val="003D7566"/>
    <w:rsid w:val="003D7FB3"/>
    <w:rsid w:val="003E0224"/>
    <w:rsid w:val="003E09BB"/>
    <w:rsid w:val="003E159D"/>
    <w:rsid w:val="003E20EA"/>
    <w:rsid w:val="003E210C"/>
    <w:rsid w:val="003E2F55"/>
    <w:rsid w:val="003E3239"/>
    <w:rsid w:val="003E34DB"/>
    <w:rsid w:val="003E3833"/>
    <w:rsid w:val="003E3AF9"/>
    <w:rsid w:val="003E4A70"/>
    <w:rsid w:val="003E4C48"/>
    <w:rsid w:val="003E4CD9"/>
    <w:rsid w:val="003E52C2"/>
    <w:rsid w:val="003E54B3"/>
    <w:rsid w:val="003E5780"/>
    <w:rsid w:val="003E5B9F"/>
    <w:rsid w:val="003E6072"/>
    <w:rsid w:val="003E6AB6"/>
    <w:rsid w:val="003E6E0B"/>
    <w:rsid w:val="003E71CD"/>
    <w:rsid w:val="003E72F0"/>
    <w:rsid w:val="003E78DA"/>
    <w:rsid w:val="003E7A8B"/>
    <w:rsid w:val="003F060E"/>
    <w:rsid w:val="003F0F7F"/>
    <w:rsid w:val="003F115C"/>
    <w:rsid w:val="003F155A"/>
    <w:rsid w:val="003F300D"/>
    <w:rsid w:val="003F391F"/>
    <w:rsid w:val="003F4599"/>
    <w:rsid w:val="003F45E1"/>
    <w:rsid w:val="003F4F6C"/>
    <w:rsid w:val="003F559E"/>
    <w:rsid w:val="003F6181"/>
    <w:rsid w:val="003F6BFC"/>
    <w:rsid w:val="003F7343"/>
    <w:rsid w:val="00400002"/>
    <w:rsid w:val="00400054"/>
    <w:rsid w:val="004016A3"/>
    <w:rsid w:val="00401B31"/>
    <w:rsid w:val="0040202B"/>
    <w:rsid w:val="00402DE1"/>
    <w:rsid w:val="00402EEB"/>
    <w:rsid w:val="004037C2"/>
    <w:rsid w:val="00404041"/>
    <w:rsid w:val="004047DF"/>
    <w:rsid w:val="00404B43"/>
    <w:rsid w:val="00404C61"/>
    <w:rsid w:val="00405487"/>
    <w:rsid w:val="00405B8A"/>
    <w:rsid w:val="0040602B"/>
    <w:rsid w:val="00406359"/>
    <w:rsid w:val="00406DF5"/>
    <w:rsid w:val="00406F35"/>
    <w:rsid w:val="00407A7A"/>
    <w:rsid w:val="00407ABC"/>
    <w:rsid w:val="00407F1E"/>
    <w:rsid w:val="00410A88"/>
    <w:rsid w:val="00411317"/>
    <w:rsid w:val="00411692"/>
    <w:rsid w:val="00411A9E"/>
    <w:rsid w:val="0041259F"/>
    <w:rsid w:val="00412B4D"/>
    <w:rsid w:val="00412C51"/>
    <w:rsid w:val="00413262"/>
    <w:rsid w:val="0041329C"/>
    <w:rsid w:val="00413920"/>
    <w:rsid w:val="004139F4"/>
    <w:rsid w:val="00413FFA"/>
    <w:rsid w:val="00414229"/>
    <w:rsid w:val="00414246"/>
    <w:rsid w:val="00414D9A"/>
    <w:rsid w:val="00415194"/>
    <w:rsid w:val="00415816"/>
    <w:rsid w:val="00415B88"/>
    <w:rsid w:val="00415D32"/>
    <w:rsid w:val="004160A2"/>
    <w:rsid w:val="004170D7"/>
    <w:rsid w:val="004177A6"/>
    <w:rsid w:val="00417C23"/>
    <w:rsid w:val="00417EFD"/>
    <w:rsid w:val="004200EE"/>
    <w:rsid w:val="004209D2"/>
    <w:rsid w:val="00420D6E"/>
    <w:rsid w:val="0042158C"/>
    <w:rsid w:val="00421BD2"/>
    <w:rsid w:val="00421E00"/>
    <w:rsid w:val="00421FCB"/>
    <w:rsid w:val="00422267"/>
    <w:rsid w:val="00422DCA"/>
    <w:rsid w:val="00423F9F"/>
    <w:rsid w:val="00425C43"/>
    <w:rsid w:val="004273FA"/>
    <w:rsid w:val="004275A7"/>
    <w:rsid w:val="00430186"/>
    <w:rsid w:val="00430682"/>
    <w:rsid w:val="00431017"/>
    <w:rsid w:val="00431C0B"/>
    <w:rsid w:val="0043269A"/>
    <w:rsid w:val="004333C2"/>
    <w:rsid w:val="00434787"/>
    <w:rsid w:val="00434C13"/>
    <w:rsid w:val="00435703"/>
    <w:rsid w:val="00435BD5"/>
    <w:rsid w:val="00436323"/>
    <w:rsid w:val="0043683F"/>
    <w:rsid w:val="00436F40"/>
    <w:rsid w:val="004370FA"/>
    <w:rsid w:val="00440096"/>
    <w:rsid w:val="004403DD"/>
    <w:rsid w:val="00440CF3"/>
    <w:rsid w:val="00440DB0"/>
    <w:rsid w:val="00440DD6"/>
    <w:rsid w:val="00440DDC"/>
    <w:rsid w:val="00440FAD"/>
    <w:rsid w:val="00441291"/>
    <w:rsid w:val="00441E04"/>
    <w:rsid w:val="004420AB"/>
    <w:rsid w:val="004422D6"/>
    <w:rsid w:val="004427AC"/>
    <w:rsid w:val="00442C7D"/>
    <w:rsid w:val="00442D4D"/>
    <w:rsid w:val="0044374D"/>
    <w:rsid w:val="00443B55"/>
    <w:rsid w:val="00443D27"/>
    <w:rsid w:val="0044500B"/>
    <w:rsid w:val="00446037"/>
    <w:rsid w:val="0044642F"/>
    <w:rsid w:val="0044772C"/>
    <w:rsid w:val="00447D53"/>
    <w:rsid w:val="00450846"/>
    <w:rsid w:val="00451A52"/>
    <w:rsid w:val="0045271D"/>
    <w:rsid w:val="00452755"/>
    <w:rsid w:val="00452803"/>
    <w:rsid w:val="004529C6"/>
    <w:rsid w:val="00452EAD"/>
    <w:rsid w:val="004533D1"/>
    <w:rsid w:val="004534D1"/>
    <w:rsid w:val="00454548"/>
    <w:rsid w:val="00454717"/>
    <w:rsid w:val="00455004"/>
    <w:rsid w:val="00455047"/>
    <w:rsid w:val="00455354"/>
    <w:rsid w:val="0045558D"/>
    <w:rsid w:val="00455B70"/>
    <w:rsid w:val="00455BD3"/>
    <w:rsid w:val="00456970"/>
    <w:rsid w:val="00456BB1"/>
    <w:rsid w:val="00456CD4"/>
    <w:rsid w:val="00456DDB"/>
    <w:rsid w:val="00457031"/>
    <w:rsid w:val="00460915"/>
    <w:rsid w:val="00460946"/>
    <w:rsid w:val="004614A9"/>
    <w:rsid w:val="00461E97"/>
    <w:rsid w:val="0046268F"/>
    <w:rsid w:val="0046284F"/>
    <w:rsid w:val="00462B10"/>
    <w:rsid w:val="00462C04"/>
    <w:rsid w:val="0046320A"/>
    <w:rsid w:val="004632E2"/>
    <w:rsid w:val="004638E2"/>
    <w:rsid w:val="00464030"/>
    <w:rsid w:val="004647F8"/>
    <w:rsid w:val="004647FB"/>
    <w:rsid w:val="00465347"/>
    <w:rsid w:val="00465677"/>
    <w:rsid w:val="00466616"/>
    <w:rsid w:val="00466A0C"/>
    <w:rsid w:val="00466A53"/>
    <w:rsid w:val="004673A8"/>
    <w:rsid w:val="0046753A"/>
    <w:rsid w:val="00467D4E"/>
    <w:rsid w:val="0047098A"/>
    <w:rsid w:val="00470A6A"/>
    <w:rsid w:val="00470D73"/>
    <w:rsid w:val="00470D92"/>
    <w:rsid w:val="00471DF7"/>
    <w:rsid w:val="00472450"/>
    <w:rsid w:val="004734CF"/>
    <w:rsid w:val="004737EA"/>
    <w:rsid w:val="00475C5A"/>
    <w:rsid w:val="00475C9C"/>
    <w:rsid w:val="0047676B"/>
    <w:rsid w:val="0047773C"/>
    <w:rsid w:val="00477C5F"/>
    <w:rsid w:val="00480050"/>
    <w:rsid w:val="0048011C"/>
    <w:rsid w:val="004808DE"/>
    <w:rsid w:val="00481AC4"/>
    <w:rsid w:val="00481DC1"/>
    <w:rsid w:val="00482507"/>
    <w:rsid w:val="0048268A"/>
    <w:rsid w:val="004832BD"/>
    <w:rsid w:val="004835CA"/>
    <w:rsid w:val="004836F8"/>
    <w:rsid w:val="004836FE"/>
    <w:rsid w:val="00484F0F"/>
    <w:rsid w:val="00484F40"/>
    <w:rsid w:val="0048540C"/>
    <w:rsid w:val="004861B4"/>
    <w:rsid w:val="00486BD0"/>
    <w:rsid w:val="00486D00"/>
    <w:rsid w:val="00487263"/>
    <w:rsid w:val="0048734F"/>
    <w:rsid w:val="0049029D"/>
    <w:rsid w:val="0049030C"/>
    <w:rsid w:val="004903C0"/>
    <w:rsid w:val="0049114B"/>
    <w:rsid w:val="004912A8"/>
    <w:rsid w:val="00491577"/>
    <w:rsid w:val="0049196A"/>
    <w:rsid w:val="0049196E"/>
    <w:rsid w:val="00491B54"/>
    <w:rsid w:val="0049241A"/>
    <w:rsid w:val="00492C1F"/>
    <w:rsid w:val="00492E4C"/>
    <w:rsid w:val="00493664"/>
    <w:rsid w:val="00493E04"/>
    <w:rsid w:val="004940E3"/>
    <w:rsid w:val="0049530F"/>
    <w:rsid w:val="00496664"/>
    <w:rsid w:val="00496786"/>
    <w:rsid w:val="0049695B"/>
    <w:rsid w:val="00496D8F"/>
    <w:rsid w:val="00497463"/>
    <w:rsid w:val="00497D90"/>
    <w:rsid w:val="004A054C"/>
    <w:rsid w:val="004A08D1"/>
    <w:rsid w:val="004A16C1"/>
    <w:rsid w:val="004A1CE2"/>
    <w:rsid w:val="004A34D2"/>
    <w:rsid w:val="004A4301"/>
    <w:rsid w:val="004A4D93"/>
    <w:rsid w:val="004A58EE"/>
    <w:rsid w:val="004A59B7"/>
    <w:rsid w:val="004A6051"/>
    <w:rsid w:val="004A623B"/>
    <w:rsid w:val="004A6A04"/>
    <w:rsid w:val="004A6A52"/>
    <w:rsid w:val="004B0A44"/>
    <w:rsid w:val="004B0F0B"/>
    <w:rsid w:val="004B2197"/>
    <w:rsid w:val="004B298A"/>
    <w:rsid w:val="004B50CB"/>
    <w:rsid w:val="004B573A"/>
    <w:rsid w:val="004B578D"/>
    <w:rsid w:val="004B5BE7"/>
    <w:rsid w:val="004B5E2D"/>
    <w:rsid w:val="004B6C07"/>
    <w:rsid w:val="004B74D3"/>
    <w:rsid w:val="004B788E"/>
    <w:rsid w:val="004B7E5D"/>
    <w:rsid w:val="004C2180"/>
    <w:rsid w:val="004C22F7"/>
    <w:rsid w:val="004C2B27"/>
    <w:rsid w:val="004C3929"/>
    <w:rsid w:val="004C5212"/>
    <w:rsid w:val="004C580A"/>
    <w:rsid w:val="004C5EF0"/>
    <w:rsid w:val="004C64C9"/>
    <w:rsid w:val="004C7226"/>
    <w:rsid w:val="004C74C9"/>
    <w:rsid w:val="004C7915"/>
    <w:rsid w:val="004C7D70"/>
    <w:rsid w:val="004D02F9"/>
    <w:rsid w:val="004D03FE"/>
    <w:rsid w:val="004D0446"/>
    <w:rsid w:val="004D06A3"/>
    <w:rsid w:val="004D0F95"/>
    <w:rsid w:val="004D106A"/>
    <w:rsid w:val="004D1C7E"/>
    <w:rsid w:val="004D245A"/>
    <w:rsid w:val="004D31EE"/>
    <w:rsid w:val="004D36AF"/>
    <w:rsid w:val="004D3BD1"/>
    <w:rsid w:val="004D4BA1"/>
    <w:rsid w:val="004D4EC1"/>
    <w:rsid w:val="004D584D"/>
    <w:rsid w:val="004D5A7E"/>
    <w:rsid w:val="004D6120"/>
    <w:rsid w:val="004D6826"/>
    <w:rsid w:val="004E023F"/>
    <w:rsid w:val="004E0546"/>
    <w:rsid w:val="004E0742"/>
    <w:rsid w:val="004E0C64"/>
    <w:rsid w:val="004E0F6B"/>
    <w:rsid w:val="004E1545"/>
    <w:rsid w:val="004E1F1C"/>
    <w:rsid w:val="004E2A35"/>
    <w:rsid w:val="004E40CE"/>
    <w:rsid w:val="004E5736"/>
    <w:rsid w:val="004E5A3C"/>
    <w:rsid w:val="004E5B36"/>
    <w:rsid w:val="004E5D5D"/>
    <w:rsid w:val="004E6045"/>
    <w:rsid w:val="004E6F43"/>
    <w:rsid w:val="004E7200"/>
    <w:rsid w:val="004E787E"/>
    <w:rsid w:val="004F0960"/>
    <w:rsid w:val="004F0A5C"/>
    <w:rsid w:val="004F141C"/>
    <w:rsid w:val="004F163F"/>
    <w:rsid w:val="004F18A0"/>
    <w:rsid w:val="004F1A08"/>
    <w:rsid w:val="004F2B64"/>
    <w:rsid w:val="004F31B8"/>
    <w:rsid w:val="004F375E"/>
    <w:rsid w:val="004F3764"/>
    <w:rsid w:val="004F3DB4"/>
    <w:rsid w:val="004F3EEF"/>
    <w:rsid w:val="004F5180"/>
    <w:rsid w:val="004F5464"/>
    <w:rsid w:val="004F57C9"/>
    <w:rsid w:val="004F5930"/>
    <w:rsid w:val="004F5970"/>
    <w:rsid w:val="004F5F0C"/>
    <w:rsid w:val="004F5F46"/>
    <w:rsid w:val="004F6121"/>
    <w:rsid w:val="004F6161"/>
    <w:rsid w:val="004F66BC"/>
    <w:rsid w:val="004F6B63"/>
    <w:rsid w:val="004F6C26"/>
    <w:rsid w:val="004F7AC9"/>
    <w:rsid w:val="0050062F"/>
    <w:rsid w:val="00500E74"/>
    <w:rsid w:val="0050160F"/>
    <w:rsid w:val="0050284E"/>
    <w:rsid w:val="0050306F"/>
    <w:rsid w:val="00505DCB"/>
    <w:rsid w:val="005075CA"/>
    <w:rsid w:val="00507B06"/>
    <w:rsid w:val="00507BF1"/>
    <w:rsid w:val="0051047A"/>
    <w:rsid w:val="0051074C"/>
    <w:rsid w:val="00510DE9"/>
    <w:rsid w:val="00510F21"/>
    <w:rsid w:val="005111E2"/>
    <w:rsid w:val="00511231"/>
    <w:rsid w:val="00512C4F"/>
    <w:rsid w:val="00513042"/>
    <w:rsid w:val="0051334F"/>
    <w:rsid w:val="00513399"/>
    <w:rsid w:val="00513AF2"/>
    <w:rsid w:val="00514575"/>
    <w:rsid w:val="00514C03"/>
    <w:rsid w:val="00514D67"/>
    <w:rsid w:val="0051522A"/>
    <w:rsid w:val="00515515"/>
    <w:rsid w:val="0051635C"/>
    <w:rsid w:val="00516C5B"/>
    <w:rsid w:val="00517612"/>
    <w:rsid w:val="0051782E"/>
    <w:rsid w:val="00517CFB"/>
    <w:rsid w:val="00517F85"/>
    <w:rsid w:val="00520235"/>
    <w:rsid w:val="00520899"/>
    <w:rsid w:val="00520922"/>
    <w:rsid w:val="005209FC"/>
    <w:rsid w:val="00521A30"/>
    <w:rsid w:val="005224E5"/>
    <w:rsid w:val="00523903"/>
    <w:rsid w:val="005239B6"/>
    <w:rsid w:val="00523C45"/>
    <w:rsid w:val="00524165"/>
    <w:rsid w:val="005246E7"/>
    <w:rsid w:val="00524B08"/>
    <w:rsid w:val="00524C38"/>
    <w:rsid w:val="00524FD2"/>
    <w:rsid w:val="00525621"/>
    <w:rsid w:val="00526431"/>
    <w:rsid w:val="00527532"/>
    <w:rsid w:val="00527703"/>
    <w:rsid w:val="00527DEB"/>
    <w:rsid w:val="00527E57"/>
    <w:rsid w:val="00527F2C"/>
    <w:rsid w:val="00530405"/>
    <w:rsid w:val="00530522"/>
    <w:rsid w:val="005305E5"/>
    <w:rsid w:val="00530CBA"/>
    <w:rsid w:val="00530F38"/>
    <w:rsid w:val="00531F26"/>
    <w:rsid w:val="00532299"/>
    <w:rsid w:val="0053277C"/>
    <w:rsid w:val="005327C0"/>
    <w:rsid w:val="00533101"/>
    <w:rsid w:val="00533CA9"/>
    <w:rsid w:val="005346AD"/>
    <w:rsid w:val="00534EFB"/>
    <w:rsid w:val="00534F60"/>
    <w:rsid w:val="005357F1"/>
    <w:rsid w:val="00536053"/>
    <w:rsid w:val="00536985"/>
    <w:rsid w:val="005369E6"/>
    <w:rsid w:val="005371AC"/>
    <w:rsid w:val="00537672"/>
    <w:rsid w:val="0053772F"/>
    <w:rsid w:val="00537B77"/>
    <w:rsid w:val="00540C4C"/>
    <w:rsid w:val="00541469"/>
    <w:rsid w:val="00541571"/>
    <w:rsid w:val="00541B1F"/>
    <w:rsid w:val="0054275A"/>
    <w:rsid w:val="005428B8"/>
    <w:rsid w:val="00542BD7"/>
    <w:rsid w:val="00543084"/>
    <w:rsid w:val="00543584"/>
    <w:rsid w:val="00543A9E"/>
    <w:rsid w:val="0054413A"/>
    <w:rsid w:val="00544288"/>
    <w:rsid w:val="005446BB"/>
    <w:rsid w:val="005448C8"/>
    <w:rsid w:val="00544DA5"/>
    <w:rsid w:val="00544F43"/>
    <w:rsid w:val="00545E30"/>
    <w:rsid w:val="00545EA3"/>
    <w:rsid w:val="00546C9B"/>
    <w:rsid w:val="00547BF6"/>
    <w:rsid w:val="00547FB3"/>
    <w:rsid w:val="00551098"/>
    <w:rsid w:val="00551598"/>
    <w:rsid w:val="0055162B"/>
    <w:rsid w:val="00551BFF"/>
    <w:rsid w:val="00551D68"/>
    <w:rsid w:val="00551DFF"/>
    <w:rsid w:val="005525C9"/>
    <w:rsid w:val="00552B3E"/>
    <w:rsid w:val="00554D57"/>
    <w:rsid w:val="005551AA"/>
    <w:rsid w:val="005564CA"/>
    <w:rsid w:val="005568EA"/>
    <w:rsid w:val="00557140"/>
    <w:rsid w:val="00557984"/>
    <w:rsid w:val="00560C87"/>
    <w:rsid w:val="00560F51"/>
    <w:rsid w:val="00561249"/>
    <w:rsid w:val="0056182B"/>
    <w:rsid w:val="00561AF3"/>
    <w:rsid w:val="00561E0B"/>
    <w:rsid w:val="00562141"/>
    <w:rsid w:val="00562D86"/>
    <w:rsid w:val="00564704"/>
    <w:rsid w:val="00564712"/>
    <w:rsid w:val="005657A8"/>
    <w:rsid w:val="00565952"/>
    <w:rsid w:val="00566866"/>
    <w:rsid w:val="005670A5"/>
    <w:rsid w:val="00567285"/>
    <w:rsid w:val="00567723"/>
    <w:rsid w:val="0056772D"/>
    <w:rsid w:val="00567AB8"/>
    <w:rsid w:val="00570A26"/>
    <w:rsid w:val="00570CFD"/>
    <w:rsid w:val="00571872"/>
    <w:rsid w:val="0057221F"/>
    <w:rsid w:val="00572539"/>
    <w:rsid w:val="00573355"/>
    <w:rsid w:val="0057337D"/>
    <w:rsid w:val="00573504"/>
    <w:rsid w:val="00573BA3"/>
    <w:rsid w:val="00573C8C"/>
    <w:rsid w:val="005745F3"/>
    <w:rsid w:val="00574708"/>
    <w:rsid w:val="00574D81"/>
    <w:rsid w:val="005756AA"/>
    <w:rsid w:val="0057696F"/>
    <w:rsid w:val="005774FE"/>
    <w:rsid w:val="0058040C"/>
    <w:rsid w:val="00580D6D"/>
    <w:rsid w:val="005813DE"/>
    <w:rsid w:val="00581796"/>
    <w:rsid w:val="00581B45"/>
    <w:rsid w:val="00582480"/>
    <w:rsid w:val="00582805"/>
    <w:rsid w:val="0058290E"/>
    <w:rsid w:val="00582CAB"/>
    <w:rsid w:val="00582D08"/>
    <w:rsid w:val="00582FA6"/>
    <w:rsid w:val="0058375E"/>
    <w:rsid w:val="00584233"/>
    <w:rsid w:val="005842D0"/>
    <w:rsid w:val="005845FB"/>
    <w:rsid w:val="005855AE"/>
    <w:rsid w:val="00585829"/>
    <w:rsid w:val="00585CA8"/>
    <w:rsid w:val="00586412"/>
    <w:rsid w:val="005864B9"/>
    <w:rsid w:val="005866C4"/>
    <w:rsid w:val="00590F1A"/>
    <w:rsid w:val="00591C03"/>
    <w:rsid w:val="00591D9E"/>
    <w:rsid w:val="00591E2A"/>
    <w:rsid w:val="005923C4"/>
    <w:rsid w:val="00593EA2"/>
    <w:rsid w:val="00593F75"/>
    <w:rsid w:val="005940A0"/>
    <w:rsid w:val="0059429A"/>
    <w:rsid w:val="00594462"/>
    <w:rsid w:val="00594CBE"/>
    <w:rsid w:val="00596AF7"/>
    <w:rsid w:val="00596CCE"/>
    <w:rsid w:val="005A1976"/>
    <w:rsid w:val="005A2120"/>
    <w:rsid w:val="005A2501"/>
    <w:rsid w:val="005A2C80"/>
    <w:rsid w:val="005A3066"/>
    <w:rsid w:val="005A3B35"/>
    <w:rsid w:val="005A3C4B"/>
    <w:rsid w:val="005A3E5A"/>
    <w:rsid w:val="005A43F3"/>
    <w:rsid w:val="005A496F"/>
    <w:rsid w:val="005A4A56"/>
    <w:rsid w:val="005A5608"/>
    <w:rsid w:val="005A5A3D"/>
    <w:rsid w:val="005A6035"/>
    <w:rsid w:val="005A6B75"/>
    <w:rsid w:val="005A6E00"/>
    <w:rsid w:val="005A718A"/>
    <w:rsid w:val="005A7752"/>
    <w:rsid w:val="005A7885"/>
    <w:rsid w:val="005B12B2"/>
    <w:rsid w:val="005B143B"/>
    <w:rsid w:val="005B19BD"/>
    <w:rsid w:val="005B1E45"/>
    <w:rsid w:val="005B21C4"/>
    <w:rsid w:val="005B2A28"/>
    <w:rsid w:val="005B3621"/>
    <w:rsid w:val="005B4948"/>
    <w:rsid w:val="005B501D"/>
    <w:rsid w:val="005B5143"/>
    <w:rsid w:val="005B54CC"/>
    <w:rsid w:val="005B74AD"/>
    <w:rsid w:val="005B7E96"/>
    <w:rsid w:val="005C0429"/>
    <w:rsid w:val="005C084F"/>
    <w:rsid w:val="005C0EE9"/>
    <w:rsid w:val="005C16A8"/>
    <w:rsid w:val="005C1716"/>
    <w:rsid w:val="005C1954"/>
    <w:rsid w:val="005C1C0B"/>
    <w:rsid w:val="005C2011"/>
    <w:rsid w:val="005C3EA3"/>
    <w:rsid w:val="005C44DE"/>
    <w:rsid w:val="005C5011"/>
    <w:rsid w:val="005C5241"/>
    <w:rsid w:val="005C529E"/>
    <w:rsid w:val="005C57BA"/>
    <w:rsid w:val="005C5C52"/>
    <w:rsid w:val="005C5D3D"/>
    <w:rsid w:val="005C5F05"/>
    <w:rsid w:val="005C6186"/>
    <w:rsid w:val="005C7E45"/>
    <w:rsid w:val="005C7F3E"/>
    <w:rsid w:val="005D06D3"/>
    <w:rsid w:val="005D0C3B"/>
    <w:rsid w:val="005D1051"/>
    <w:rsid w:val="005D1606"/>
    <w:rsid w:val="005D2044"/>
    <w:rsid w:val="005D2917"/>
    <w:rsid w:val="005D2EB2"/>
    <w:rsid w:val="005D2F48"/>
    <w:rsid w:val="005D3B32"/>
    <w:rsid w:val="005D464B"/>
    <w:rsid w:val="005D466F"/>
    <w:rsid w:val="005D49F0"/>
    <w:rsid w:val="005D51F7"/>
    <w:rsid w:val="005D51FA"/>
    <w:rsid w:val="005D53E8"/>
    <w:rsid w:val="005D5A9D"/>
    <w:rsid w:val="005D5D15"/>
    <w:rsid w:val="005D6651"/>
    <w:rsid w:val="005D691D"/>
    <w:rsid w:val="005D6A72"/>
    <w:rsid w:val="005D6F38"/>
    <w:rsid w:val="005D791B"/>
    <w:rsid w:val="005D7CF2"/>
    <w:rsid w:val="005D7F92"/>
    <w:rsid w:val="005E0D7B"/>
    <w:rsid w:val="005E1595"/>
    <w:rsid w:val="005E1A94"/>
    <w:rsid w:val="005E1F1D"/>
    <w:rsid w:val="005E273D"/>
    <w:rsid w:val="005E3278"/>
    <w:rsid w:val="005E363B"/>
    <w:rsid w:val="005E3736"/>
    <w:rsid w:val="005F305B"/>
    <w:rsid w:val="005F3081"/>
    <w:rsid w:val="005F3361"/>
    <w:rsid w:val="005F3B47"/>
    <w:rsid w:val="005F4481"/>
    <w:rsid w:val="005F47AC"/>
    <w:rsid w:val="005F49AF"/>
    <w:rsid w:val="005F4A58"/>
    <w:rsid w:val="005F54DF"/>
    <w:rsid w:val="005F5888"/>
    <w:rsid w:val="005F5984"/>
    <w:rsid w:val="005F5EAB"/>
    <w:rsid w:val="005F6CE2"/>
    <w:rsid w:val="005F6F24"/>
    <w:rsid w:val="005F72E9"/>
    <w:rsid w:val="005F780B"/>
    <w:rsid w:val="00600473"/>
    <w:rsid w:val="0060139A"/>
    <w:rsid w:val="006013C9"/>
    <w:rsid w:val="00602B45"/>
    <w:rsid w:val="00603499"/>
    <w:rsid w:val="006035F5"/>
    <w:rsid w:val="00603CC2"/>
    <w:rsid w:val="006047D1"/>
    <w:rsid w:val="00604A55"/>
    <w:rsid w:val="00604D4E"/>
    <w:rsid w:val="00604E3E"/>
    <w:rsid w:val="00605AC3"/>
    <w:rsid w:val="00606908"/>
    <w:rsid w:val="00607996"/>
    <w:rsid w:val="00607A37"/>
    <w:rsid w:val="00607E0A"/>
    <w:rsid w:val="00607E9F"/>
    <w:rsid w:val="0061085E"/>
    <w:rsid w:val="00611398"/>
    <w:rsid w:val="00612322"/>
    <w:rsid w:val="006123C0"/>
    <w:rsid w:val="00612DF1"/>
    <w:rsid w:val="00613191"/>
    <w:rsid w:val="006133F9"/>
    <w:rsid w:val="006134B3"/>
    <w:rsid w:val="00613DE1"/>
    <w:rsid w:val="0061401F"/>
    <w:rsid w:val="00614166"/>
    <w:rsid w:val="00614817"/>
    <w:rsid w:val="006149CC"/>
    <w:rsid w:val="006157A9"/>
    <w:rsid w:val="0061591D"/>
    <w:rsid w:val="00615ED0"/>
    <w:rsid w:val="0061604C"/>
    <w:rsid w:val="00616C2B"/>
    <w:rsid w:val="00616D7F"/>
    <w:rsid w:val="006178D1"/>
    <w:rsid w:val="00620719"/>
    <w:rsid w:val="006212C9"/>
    <w:rsid w:val="00621D0C"/>
    <w:rsid w:val="00622470"/>
    <w:rsid w:val="00622725"/>
    <w:rsid w:val="006231AA"/>
    <w:rsid w:val="00623482"/>
    <w:rsid w:val="00623AC2"/>
    <w:rsid w:val="00623EBC"/>
    <w:rsid w:val="006266D7"/>
    <w:rsid w:val="00626D42"/>
    <w:rsid w:val="00626EE3"/>
    <w:rsid w:val="006274AD"/>
    <w:rsid w:val="00627519"/>
    <w:rsid w:val="00627532"/>
    <w:rsid w:val="006302AA"/>
    <w:rsid w:val="006310C3"/>
    <w:rsid w:val="0063161E"/>
    <w:rsid w:val="00631BB5"/>
    <w:rsid w:val="00631DD0"/>
    <w:rsid w:val="00633DBF"/>
    <w:rsid w:val="00634122"/>
    <w:rsid w:val="00634261"/>
    <w:rsid w:val="00635E32"/>
    <w:rsid w:val="006360FC"/>
    <w:rsid w:val="006364DB"/>
    <w:rsid w:val="006365DE"/>
    <w:rsid w:val="00636BE4"/>
    <w:rsid w:val="00636F88"/>
    <w:rsid w:val="0063732C"/>
    <w:rsid w:val="00637802"/>
    <w:rsid w:val="00637836"/>
    <w:rsid w:val="00637C26"/>
    <w:rsid w:val="00637F44"/>
    <w:rsid w:val="00641078"/>
    <w:rsid w:val="00641242"/>
    <w:rsid w:val="00642A32"/>
    <w:rsid w:val="006433D5"/>
    <w:rsid w:val="00643412"/>
    <w:rsid w:val="00645CEB"/>
    <w:rsid w:val="00645E6E"/>
    <w:rsid w:val="00646B20"/>
    <w:rsid w:val="00646D0F"/>
    <w:rsid w:val="00647A36"/>
    <w:rsid w:val="00647DCC"/>
    <w:rsid w:val="00647EFA"/>
    <w:rsid w:val="00647F14"/>
    <w:rsid w:val="00650027"/>
    <w:rsid w:val="00651B9C"/>
    <w:rsid w:val="00651C47"/>
    <w:rsid w:val="00652E70"/>
    <w:rsid w:val="0065339A"/>
    <w:rsid w:val="00653469"/>
    <w:rsid w:val="00654A38"/>
    <w:rsid w:val="00655301"/>
    <w:rsid w:val="00655371"/>
    <w:rsid w:val="00655507"/>
    <w:rsid w:val="00656C4B"/>
    <w:rsid w:val="006573EA"/>
    <w:rsid w:val="0066073F"/>
    <w:rsid w:val="00661029"/>
    <w:rsid w:val="0066135A"/>
    <w:rsid w:val="00661510"/>
    <w:rsid w:val="00661A38"/>
    <w:rsid w:val="0066272D"/>
    <w:rsid w:val="00662E58"/>
    <w:rsid w:val="00662F39"/>
    <w:rsid w:val="006635A0"/>
    <w:rsid w:val="00664351"/>
    <w:rsid w:val="00665968"/>
    <w:rsid w:val="00665BF7"/>
    <w:rsid w:val="00666178"/>
    <w:rsid w:val="0066639E"/>
    <w:rsid w:val="00666473"/>
    <w:rsid w:val="00666C72"/>
    <w:rsid w:val="00666E6C"/>
    <w:rsid w:val="0066707F"/>
    <w:rsid w:val="00667ED8"/>
    <w:rsid w:val="0067064C"/>
    <w:rsid w:val="00670B20"/>
    <w:rsid w:val="00670E12"/>
    <w:rsid w:val="00670F27"/>
    <w:rsid w:val="0067105C"/>
    <w:rsid w:val="00672E80"/>
    <w:rsid w:val="0067333F"/>
    <w:rsid w:val="006739E4"/>
    <w:rsid w:val="00673ECF"/>
    <w:rsid w:val="0067426B"/>
    <w:rsid w:val="00674A1B"/>
    <w:rsid w:val="00674F1C"/>
    <w:rsid w:val="006754F8"/>
    <w:rsid w:val="00676127"/>
    <w:rsid w:val="00676AED"/>
    <w:rsid w:val="00677E9C"/>
    <w:rsid w:val="00677F26"/>
    <w:rsid w:val="006800EE"/>
    <w:rsid w:val="006802A7"/>
    <w:rsid w:val="006811C9"/>
    <w:rsid w:val="006812CE"/>
    <w:rsid w:val="006826C1"/>
    <w:rsid w:val="00682C89"/>
    <w:rsid w:val="006832B8"/>
    <w:rsid w:val="006837B2"/>
    <w:rsid w:val="00683800"/>
    <w:rsid w:val="00684462"/>
    <w:rsid w:val="00684C8A"/>
    <w:rsid w:val="00684CF5"/>
    <w:rsid w:val="0068553E"/>
    <w:rsid w:val="00685E7B"/>
    <w:rsid w:val="00686551"/>
    <w:rsid w:val="00686CAB"/>
    <w:rsid w:val="00686E4D"/>
    <w:rsid w:val="0068717F"/>
    <w:rsid w:val="0068730C"/>
    <w:rsid w:val="00687504"/>
    <w:rsid w:val="00687A14"/>
    <w:rsid w:val="00687A8C"/>
    <w:rsid w:val="00690839"/>
    <w:rsid w:val="006908DB"/>
    <w:rsid w:val="00690DE9"/>
    <w:rsid w:val="00691DE9"/>
    <w:rsid w:val="00691EAA"/>
    <w:rsid w:val="00692245"/>
    <w:rsid w:val="00692FFA"/>
    <w:rsid w:val="00693772"/>
    <w:rsid w:val="00693984"/>
    <w:rsid w:val="00693B77"/>
    <w:rsid w:val="00694160"/>
    <w:rsid w:val="006959A5"/>
    <w:rsid w:val="00695C0C"/>
    <w:rsid w:val="00696736"/>
    <w:rsid w:val="00696A05"/>
    <w:rsid w:val="00697665"/>
    <w:rsid w:val="006979BF"/>
    <w:rsid w:val="00697C9A"/>
    <w:rsid w:val="00697E68"/>
    <w:rsid w:val="00697FC1"/>
    <w:rsid w:val="006A0274"/>
    <w:rsid w:val="006A103E"/>
    <w:rsid w:val="006A27BC"/>
    <w:rsid w:val="006A2A43"/>
    <w:rsid w:val="006A2BF1"/>
    <w:rsid w:val="006A2F9A"/>
    <w:rsid w:val="006A34E4"/>
    <w:rsid w:val="006A3A5A"/>
    <w:rsid w:val="006A44CF"/>
    <w:rsid w:val="006A457D"/>
    <w:rsid w:val="006A4C06"/>
    <w:rsid w:val="006A55EE"/>
    <w:rsid w:val="006A575B"/>
    <w:rsid w:val="006A59DE"/>
    <w:rsid w:val="006A64C6"/>
    <w:rsid w:val="006A6655"/>
    <w:rsid w:val="006A6BF9"/>
    <w:rsid w:val="006A7CB5"/>
    <w:rsid w:val="006A7FD0"/>
    <w:rsid w:val="006B00E4"/>
    <w:rsid w:val="006B025C"/>
    <w:rsid w:val="006B08ED"/>
    <w:rsid w:val="006B2534"/>
    <w:rsid w:val="006B2CB2"/>
    <w:rsid w:val="006B347D"/>
    <w:rsid w:val="006B3E19"/>
    <w:rsid w:val="006B4488"/>
    <w:rsid w:val="006B49FC"/>
    <w:rsid w:val="006B50C4"/>
    <w:rsid w:val="006B53AE"/>
    <w:rsid w:val="006B58B4"/>
    <w:rsid w:val="006B67AC"/>
    <w:rsid w:val="006B786A"/>
    <w:rsid w:val="006B7E4E"/>
    <w:rsid w:val="006C003A"/>
    <w:rsid w:val="006C107C"/>
    <w:rsid w:val="006C2454"/>
    <w:rsid w:val="006C2551"/>
    <w:rsid w:val="006C37CA"/>
    <w:rsid w:val="006C40D2"/>
    <w:rsid w:val="006C4BBD"/>
    <w:rsid w:val="006C5B15"/>
    <w:rsid w:val="006C5D32"/>
    <w:rsid w:val="006C5DCB"/>
    <w:rsid w:val="006C5F2D"/>
    <w:rsid w:val="006C6475"/>
    <w:rsid w:val="006C70C4"/>
    <w:rsid w:val="006C741F"/>
    <w:rsid w:val="006D04DA"/>
    <w:rsid w:val="006D10F6"/>
    <w:rsid w:val="006D1544"/>
    <w:rsid w:val="006D1688"/>
    <w:rsid w:val="006D1DD3"/>
    <w:rsid w:val="006D1FF3"/>
    <w:rsid w:val="006D2C65"/>
    <w:rsid w:val="006D32C6"/>
    <w:rsid w:val="006D3491"/>
    <w:rsid w:val="006D360E"/>
    <w:rsid w:val="006D3697"/>
    <w:rsid w:val="006D39D2"/>
    <w:rsid w:val="006D3F2A"/>
    <w:rsid w:val="006D4370"/>
    <w:rsid w:val="006D46A3"/>
    <w:rsid w:val="006D62E0"/>
    <w:rsid w:val="006D658F"/>
    <w:rsid w:val="006D6A12"/>
    <w:rsid w:val="006D712D"/>
    <w:rsid w:val="006D7687"/>
    <w:rsid w:val="006D7D1F"/>
    <w:rsid w:val="006D7D8A"/>
    <w:rsid w:val="006E0572"/>
    <w:rsid w:val="006E05D8"/>
    <w:rsid w:val="006E08EE"/>
    <w:rsid w:val="006E155A"/>
    <w:rsid w:val="006E2C34"/>
    <w:rsid w:val="006E359B"/>
    <w:rsid w:val="006E39D1"/>
    <w:rsid w:val="006E3B05"/>
    <w:rsid w:val="006E437F"/>
    <w:rsid w:val="006E4D5B"/>
    <w:rsid w:val="006E602F"/>
    <w:rsid w:val="006E6720"/>
    <w:rsid w:val="006E7275"/>
    <w:rsid w:val="006E77B8"/>
    <w:rsid w:val="006F13BA"/>
    <w:rsid w:val="006F15CC"/>
    <w:rsid w:val="006F15F6"/>
    <w:rsid w:val="006F33A2"/>
    <w:rsid w:val="006F36EA"/>
    <w:rsid w:val="006F4147"/>
    <w:rsid w:val="006F4315"/>
    <w:rsid w:val="006F4CB0"/>
    <w:rsid w:val="006F4F78"/>
    <w:rsid w:val="006F547E"/>
    <w:rsid w:val="006F5CCF"/>
    <w:rsid w:val="006F6F04"/>
    <w:rsid w:val="006F71F5"/>
    <w:rsid w:val="0070055F"/>
    <w:rsid w:val="00700610"/>
    <w:rsid w:val="00700B9C"/>
    <w:rsid w:val="0070138A"/>
    <w:rsid w:val="0070157E"/>
    <w:rsid w:val="007030D4"/>
    <w:rsid w:val="00703279"/>
    <w:rsid w:val="00703B61"/>
    <w:rsid w:val="00703E11"/>
    <w:rsid w:val="00704102"/>
    <w:rsid w:val="0070437C"/>
    <w:rsid w:val="0070461C"/>
    <w:rsid w:val="00705631"/>
    <w:rsid w:val="00705818"/>
    <w:rsid w:val="00705F62"/>
    <w:rsid w:val="0070773F"/>
    <w:rsid w:val="007078BD"/>
    <w:rsid w:val="00707ED3"/>
    <w:rsid w:val="007101B7"/>
    <w:rsid w:val="00710668"/>
    <w:rsid w:val="007110F4"/>
    <w:rsid w:val="007112B1"/>
    <w:rsid w:val="0071130F"/>
    <w:rsid w:val="00712714"/>
    <w:rsid w:val="007129AB"/>
    <w:rsid w:val="00712B63"/>
    <w:rsid w:val="00713526"/>
    <w:rsid w:val="00713FC5"/>
    <w:rsid w:val="00714DCA"/>
    <w:rsid w:val="00715BBF"/>
    <w:rsid w:val="00715C29"/>
    <w:rsid w:val="00715CBD"/>
    <w:rsid w:val="00715EAA"/>
    <w:rsid w:val="00716CAD"/>
    <w:rsid w:val="00716F18"/>
    <w:rsid w:val="00717363"/>
    <w:rsid w:val="00717786"/>
    <w:rsid w:val="00717ACB"/>
    <w:rsid w:val="0072138B"/>
    <w:rsid w:val="00721BFF"/>
    <w:rsid w:val="00723475"/>
    <w:rsid w:val="007236C4"/>
    <w:rsid w:val="007242A2"/>
    <w:rsid w:val="00724635"/>
    <w:rsid w:val="00724F21"/>
    <w:rsid w:val="00725134"/>
    <w:rsid w:val="0072554B"/>
    <w:rsid w:val="00725AFD"/>
    <w:rsid w:val="00726603"/>
    <w:rsid w:val="00727B1D"/>
    <w:rsid w:val="00727DDC"/>
    <w:rsid w:val="00730CD6"/>
    <w:rsid w:val="00730F74"/>
    <w:rsid w:val="0073114B"/>
    <w:rsid w:val="00732151"/>
    <w:rsid w:val="00734952"/>
    <w:rsid w:val="00734990"/>
    <w:rsid w:val="00734FF5"/>
    <w:rsid w:val="00735B78"/>
    <w:rsid w:val="00735DA7"/>
    <w:rsid w:val="007368B4"/>
    <w:rsid w:val="007378E0"/>
    <w:rsid w:val="00737D92"/>
    <w:rsid w:val="00740529"/>
    <w:rsid w:val="00740876"/>
    <w:rsid w:val="00741358"/>
    <w:rsid w:val="00741626"/>
    <w:rsid w:val="00741734"/>
    <w:rsid w:val="00742332"/>
    <w:rsid w:val="00742886"/>
    <w:rsid w:val="00742DD2"/>
    <w:rsid w:val="00742F60"/>
    <w:rsid w:val="007437C6"/>
    <w:rsid w:val="007441A2"/>
    <w:rsid w:val="00744E80"/>
    <w:rsid w:val="00745035"/>
    <w:rsid w:val="0074531C"/>
    <w:rsid w:val="00745547"/>
    <w:rsid w:val="007456DC"/>
    <w:rsid w:val="007459D0"/>
    <w:rsid w:val="0074608B"/>
    <w:rsid w:val="0074623A"/>
    <w:rsid w:val="00746420"/>
    <w:rsid w:val="00746A60"/>
    <w:rsid w:val="00746E04"/>
    <w:rsid w:val="00746E08"/>
    <w:rsid w:val="00746E3D"/>
    <w:rsid w:val="007473B9"/>
    <w:rsid w:val="0074740B"/>
    <w:rsid w:val="00747C96"/>
    <w:rsid w:val="00750075"/>
    <w:rsid w:val="007502EC"/>
    <w:rsid w:val="00750382"/>
    <w:rsid w:val="0075094E"/>
    <w:rsid w:val="00750FA8"/>
    <w:rsid w:val="00750FB5"/>
    <w:rsid w:val="007520F0"/>
    <w:rsid w:val="007522E8"/>
    <w:rsid w:val="00753BAC"/>
    <w:rsid w:val="00754A0B"/>
    <w:rsid w:val="007552DB"/>
    <w:rsid w:val="00755B08"/>
    <w:rsid w:val="00755DD0"/>
    <w:rsid w:val="0075647A"/>
    <w:rsid w:val="00756A2F"/>
    <w:rsid w:val="007573E1"/>
    <w:rsid w:val="0075749E"/>
    <w:rsid w:val="00757722"/>
    <w:rsid w:val="00757B2D"/>
    <w:rsid w:val="00757BAD"/>
    <w:rsid w:val="00757D62"/>
    <w:rsid w:val="00760021"/>
    <w:rsid w:val="00760561"/>
    <w:rsid w:val="00760867"/>
    <w:rsid w:val="00760EB6"/>
    <w:rsid w:val="007616DB"/>
    <w:rsid w:val="00761AB7"/>
    <w:rsid w:val="00761CE6"/>
    <w:rsid w:val="0076228A"/>
    <w:rsid w:val="00762440"/>
    <w:rsid w:val="00762499"/>
    <w:rsid w:val="007629B7"/>
    <w:rsid w:val="00762E60"/>
    <w:rsid w:val="007634AD"/>
    <w:rsid w:val="0076445F"/>
    <w:rsid w:val="00764EC5"/>
    <w:rsid w:val="00766ECC"/>
    <w:rsid w:val="007672F3"/>
    <w:rsid w:val="007677B5"/>
    <w:rsid w:val="007678B1"/>
    <w:rsid w:val="007708A8"/>
    <w:rsid w:val="00772100"/>
    <w:rsid w:val="00772275"/>
    <w:rsid w:val="007734E4"/>
    <w:rsid w:val="0077380D"/>
    <w:rsid w:val="00773BC8"/>
    <w:rsid w:val="0077466F"/>
    <w:rsid w:val="007752B7"/>
    <w:rsid w:val="007759A8"/>
    <w:rsid w:val="00775C27"/>
    <w:rsid w:val="00775D98"/>
    <w:rsid w:val="00776FE5"/>
    <w:rsid w:val="00777101"/>
    <w:rsid w:val="007774E7"/>
    <w:rsid w:val="0077768C"/>
    <w:rsid w:val="00777696"/>
    <w:rsid w:val="00777FF4"/>
    <w:rsid w:val="00780251"/>
    <w:rsid w:val="007804FE"/>
    <w:rsid w:val="00780F32"/>
    <w:rsid w:val="0078122E"/>
    <w:rsid w:val="00781939"/>
    <w:rsid w:val="00781D29"/>
    <w:rsid w:val="007825EF"/>
    <w:rsid w:val="0078286B"/>
    <w:rsid w:val="00782D2C"/>
    <w:rsid w:val="00782FC2"/>
    <w:rsid w:val="0078347A"/>
    <w:rsid w:val="007842D6"/>
    <w:rsid w:val="00784FC4"/>
    <w:rsid w:val="00785353"/>
    <w:rsid w:val="00785BBB"/>
    <w:rsid w:val="00786937"/>
    <w:rsid w:val="00786FAD"/>
    <w:rsid w:val="00787D90"/>
    <w:rsid w:val="00787F5E"/>
    <w:rsid w:val="00790164"/>
    <w:rsid w:val="00790A24"/>
    <w:rsid w:val="00790A37"/>
    <w:rsid w:val="00790A60"/>
    <w:rsid w:val="0079146D"/>
    <w:rsid w:val="00791C32"/>
    <w:rsid w:val="00791FF0"/>
    <w:rsid w:val="007923D0"/>
    <w:rsid w:val="007930D3"/>
    <w:rsid w:val="0079381F"/>
    <w:rsid w:val="00793A57"/>
    <w:rsid w:val="00793B2E"/>
    <w:rsid w:val="007948F5"/>
    <w:rsid w:val="00795647"/>
    <w:rsid w:val="007963F6"/>
    <w:rsid w:val="007968B8"/>
    <w:rsid w:val="00796DC8"/>
    <w:rsid w:val="00796E80"/>
    <w:rsid w:val="0079744F"/>
    <w:rsid w:val="007979AD"/>
    <w:rsid w:val="00797A9C"/>
    <w:rsid w:val="007A00FA"/>
    <w:rsid w:val="007A0EAB"/>
    <w:rsid w:val="007A2341"/>
    <w:rsid w:val="007A2754"/>
    <w:rsid w:val="007A38A1"/>
    <w:rsid w:val="007A3BBE"/>
    <w:rsid w:val="007A4766"/>
    <w:rsid w:val="007A5747"/>
    <w:rsid w:val="007A5947"/>
    <w:rsid w:val="007A5C22"/>
    <w:rsid w:val="007A5DB3"/>
    <w:rsid w:val="007A717B"/>
    <w:rsid w:val="007B0313"/>
    <w:rsid w:val="007B0854"/>
    <w:rsid w:val="007B0E48"/>
    <w:rsid w:val="007B1D1B"/>
    <w:rsid w:val="007B303E"/>
    <w:rsid w:val="007B32C0"/>
    <w:rsid w:val="007B32F7"/>
    <w:rsid w:val="007B3659"/>
    <w:rsid w:val="007B38B5"/>
    <w:rsid w:val="007B3BF3"/>
    <w:rsid w:val="007B431B"/>
    <w:rsid w:val="007B4558"/>
    <w:rsid w:val="007B4632"/>
    <w:rsid w:val="007B46A2"/>
    <w:rsid w:val="007B4828"/>
    <w:rsid w:val="007B4B2D"/>
    <w:rsid w:val="007B4D4A"/>
    <w:rsid w:val="007B53DA"/>
    <w:rsid w:val="007B5428"/>
    <w:rsid w:val="007B59B7"/>
    <w:rsid w:val="007B6C64"/>
    <w:rsid w:val="007B6EC8"/>
    <w:rsid w:val="007B6F81"/>
    <w:rsid w:val="007B7EA2"/>
    <w:rsid w:val="007C097D"/>
    <w:rsid w:val="007C0AF2"/>
    <w:rsid w:val="007C11CE"/>
    <w:rsid w:val="007C1672"/>
    <w:rsid w:val="007C312A"/>
    <w:rsid w:val="007C34A9"/>
    <w:rsid w:val="007C3570"/>
    <w:rsid w:val="007C3F3B"/>
    <w:rsid w:val="007C4241"/>
    <w:rsid w:val="007C425E"/>
    <w:rsid w:val="007C55FF"/>
    <w:rsid w:val="007C6339"/>
    <w:rsid w:val="007C753F"/>
    <w:rsid w:val="007C7C43"/>
    <w:rsid w:val="007C7F0D"/>
    <w:rsid w:val="007D06E3"/>
    <w:rsid w:val="007D1134"/>
    <w:rsid w:val="007D17F0"/>
    <w:rsid w:val="007D23F7"/>
    <w:rsid w:val="007D2566"/>
    <w:rsid w:val="007D2C18"/>
    <w:rsid w:val="007D2D74"/>
    <w:rsid w:val="007D3693"/>
    <w:rsid w:val="007D3C6D"/>
    <w:rsid w:val="007D42D3"/>
    <w:rsid w:val="007D481A"/>
    <w:rsid w:val="007D4ED0"/>
    <w:rsid w:val="007D5648"/>
    <w:rsid w:val="007D58C5"/>
    <w:rsid w:val="007D5DE8"/>
    <w:rsid w:val="007D7CFC"/>
    <w:rsid w:val="007E0812"/>
    <w:rsid w:val="007E18DF"/>
    <w:rsid w:val="007E2C36"/>
    <w:rsid w:val="007E3309"/>
    <w:rsid w:val="007E350D"/>
    <w:rsid w:val="007E3ACA"/>
    <w:rsid w:val="007E564D"/>
    <w:rsid w:val="007E5C4A"/>
    <w:rsid w:val="007E64D4"/>
    <w:rsid w:val="007E66E9"/>
    <w:rsid w:val="007E69F2"/>
    <w:rsid w:val="007E7432"/>
    <w:rsid w:val="007E74BF"/>
    <w:rsid w:val="007F14D3"/>
    <w:rsid w:val="007F1D9D"/>
    <w:rsid w:val="007F1E28"/>
    <w:rsid w:val="007F1F63"/>
    <w:rsid w:val="007F22A0"/>
    <w:rsid w:val="007F2903"/>
    <w:rsid w:val="007F2F90"/>
    <w:rsid w:val="007F3320"/>
    <w:rsid w:val="007F3AC1"/>
    <w:rsid w:val="007F4976"/>
    <w:rsid w:val="007F52AF"/>
    <w:rsid w:val="007F5A56"/>
    <w:rsid w:val="007F616E"/>
    <w:rsid w:val="007F6B46"/>
    <w:rsid w:val="007F72CB"/>
    <w:rsid w:val="007F736A"/>
    <w:rsid w:val="007F7635"/>
    <w:rsid w:val="007F785F"/>
    <w:rsid w:val="007F7961"/>
    <w:rsid w:val="007F7AF6"/>
    <w:rsid w:val="007F7E36"/>
    <w:rsid w:val="00800E6D"/>
    <w:rsid w:val="008014D9"/>
    <w:rsid w:val="0080150F"/>
    <w:rsid w:val="0080153A"/>
    <w:rsid w:val="00801A2A"/>
    <w:rsid w:val="00802041"/>
    <w:rsid w:val="008022C9"/>
    <w:rsid w:val="00802605"/>
    <w:rsid w:val="00802F9E"/>
    <w:rsid w:val="00803700"/>
    <w:rsid w:val="00803D9D"/>
    <w:rsid w:val="008059C6"/>
    <w:rsid w:val="00805AD7"/>
    <w:rsid w:val="00805BD6"/>
    <w:rsid w:val="00805DE3"/>
    <w:rsid w:val="00807C35"/>
    <w:rsid w:val="00807F35"/>
    <w:rsid w:val="00807F69"/>
    <w:rsid w:val="008100F7"/>
    <w:rsid w:val="00810206"/>
    <w:rsid w:val="00811898"/>
    <w:rsid w:val="00811CDC"/>
    <w:rsid w:val="008124D8"/>
    <w:rsid w:val="0081250A"/>
    <w:rsid w:val="00813A7B"/>
    <w:rsid w:val="00813F04"/>
    <w:rsid w:val="0081513E"/>
    <w:rsid w:val="00815DA5"/>
    <w:rsid w:val="00816221"/>
    <w:rsid w:val="00817063"/>
    <w:rsid w:val="0081766B"/>
    <w:rsid w:val="00820705"/>
    <w:rsid w:val="00820BA7"/>
    <w:rsid w:val="00820CBF"/>
    <w:rsid w:val="00820DBC"/>
    <w:rsid w:val="00820FA8"/>
    <w:rsid w:val="008212FD"/>
    <w:rsid w:val="00821489"/>
    <w:rsid w:val="008217B7"/>
    <w:rsid w:val="0082239B"/>
    <w:rsid w:val="0082292E"/>
    <w:rsid w:val="00822D06"/>
    <w:rsid w:val="00822EC4"/>
    <w:rsid w:val="0082348D"/>
    <w:rsid w:val="008236BE"/>
    <w:rsid w:val="008241CE"/>
    <w:rsid w:val="00825240"/>
    <w:rsid w:val="00825B43"/>
    <w:rsid w:val="00826F71"/>
    <w:rsid w:val="00827CC0"/>
    <w:rsid w:val="00827F96"/>
    <w:rsid w:val="00831026"/>
    <w:rsid w:val="0083119B"/>
    <w:rsid w:val="00831BAE"/>
    <w:rsid w:val="00832216"/>
    <w:rsid w:val="00832321"/>
    <w:rsid w:val="00832CD0"/>
    <w:rsid w:val="00833430"/>
    <w:rsid w:val="0083382A"/>
    <w:rsid w:val="00834128"/>
    <w:rsid w:val="0083417F"/>
    <w:rsid w:val="00835143"/>
    <w:rsid w:val="0083569B"/>
    <w:rsid w:val="00835741"/>
    <w:rsid w:val="00836E74"/>
    <w:rsid w:val="00836EAB"/>
    <w:rsid w:val="00836FDF"/>
    <w:rsid w:val="00837673"/>
    <w:rsid w:val="00837937"/>
    <w:rsid w:val="00837D82"/>
    <w:rsid w:val="00840893"/>
    <w:rsid w:val="00840E88"/>
    <w:rsid w:val="008423EC"/>
    <w:rsid w:val="008429A6"/>
    <w:rsid w:val="00843615"/>
    <w:rsid w:val="00843698"/>
    <w:rsid w:val="00843A4B"/>
    <w:rsid w:val="00843B57"/>
    <w:rsid w:val="00843B60"/>
    <w:rsid w:val="00843D33"/>
    <w:rsid w:val="008440DF"/>
    <w:rsid w:val="008444F0"/>
    <w:rsid w:val="00844D4F"/>
    <w:rsid w:val="00845AE3"/>
    <w:rsid w:val="008466A0"/>
    <w:rsid w:val="00847535"/>
    <w:rsid w:val="00847B6D"/>
    <w:rsid w:val="0085092D"/>
    <w:rsid w:val="00850C79"/>
    <w:rsid w:val="00850D82"/>
    <w:rsid w:val="00850F79"/>
    <w:rsid w:val="0085100B"/>
    <w:rsid w:val="00852C43"/>
    <w:rsid w:val="0085304C"/>
    <w:rsid w:val="008536BB"/>
    <w:rsid w:val="00853A3C"/>
    <w:rsid w:val="008548CA"/>
    <w:rsid w:val="00856B9F"/>
    <w:rsid w:val="00856C06"/>
    <w:rsid w:val="0085790B"/>
    <w:rsid w:val="008579B9"/>
    <w:rsid w:val="00857C95"/>
    <w:rsid w:val="00857E78"/>
    <w:rsid w:val="00860AEF"/>
    <w:rsid w:val="00860B18"/>
    <w:rsid w:val="00860D5E"/>
    <w:rsid w:val="0086122C"/>
    <w:rsid w:val="00861310"/>
    <w:rsid w:val="00861F53"/>
    <w:rsid w:val="0086289E"/>
    <w:rsid w:val="008629CB"/>
    <w:rsid w:val="0086394E"/>
    <w:rsid w:val="00863F8A"/>
    <w:rsid w:val="00863FE3"/>
    <w:rsid w:val="00864241"/>
    <w:rsid w:val="0086468A"/>
    <w:rsid w:val="008650BE"/>
    <w:rsid w:val="0086633B"/>
    <w:rsid w:val="00866495"/>
    <w:rsid w:val="00866881"/>
    <w:rsid w:val="00866931"/>
    <w:rsid w:val="00867512"/>
    <w:rsid w:val="008678A3"/>
    <w:rsid w:val="00867C13"/>
    <w:rsid w:val="00867C1D"/>
    <w:rsid w:val="0087033C"/>
    <w:rsid w:val="00870C8D"/>
    <w:rsid w:val="008715ED"/>
    <w:rsid w:val="008717D8"/>
    <w:rsid w:val="00871E3C"/>
    <w:rsid w:val="00872CC1"/>
    <w:rsid w:val="00872F97"/>
    <w:rsid w:val="00874607"/>
    <w:rsid w:val="00874915"/>
    <w:rsid w:val="00874B89"/>
    <w:rsid w:val="00875403"/>
    <w:rsid w:val="00875434"/>
    <w:rsid w:val="00875C1F"/>
    <w:rsid w:val="00876215"/>
    <w:rsid w:val="0087646C"/>
    <w:rsid w:val="00876815"/>
    <w:rsid w:val="00877932"/>
    <w:rsid w:val="008808C7"/>
    <w:rsid w:val="0088106B"/>
    <w:rsid w:val="0088107D"/>
    <w:rsid w:val="00881E64"/>
    <w:rsid w:val="00882E39"/>
    <w:rsid w:val="008850EB"/>
    <w:rsid w:val="00885228"/>
    <w:rsid w:val="00886DF2"/>
    <w:rsid w:val="00886FB9"/>
    <w:rsid w:val="00887057"/>
    <w:rsid w:val="00887080"/>
    <w:rsid w:val="00887C79"/>
    <w:rsid w:val="0089107B"/>
    <w:rsid w:val="008913CC"/>
    <w:rsid w:val="008914AE"/>
    <w:rsid w:val="008919CF"/>
    <w:rsid w:val="00891F84"/>
    <w:rsid w:val="008928EC"/>
    <w:rsid w:val="00892E5D"/>
    <w:rsid w:val="008935CF"/>
    <w:rsid w:val="0089436B"/>
    <w:rsid w:val="00894436"/>
    <w:rsid w:val="0089494C"/>
    <w:rsid w:val="00894BB1"/>
    <w:rsid w:val="008951D0"/>
    <w:rsid w:val="00895828"/>
    <w:rsid w:val="0089582D"/>
    <w:rsid w:val="008959C6"/>
    <w:rsid w:val="0089606D"/>
    <w:rsid w:val="00896129"/>
    <w:rsid w:val="00896316"/>
    <w:rsid w:val="0089774F"/>
    <w:rsid w:val="00897875"/>
    <w:rsid w:val="00897B8F"/>
    <w:rsid w:val="008A00D9"/>
    <w:rsid w:val="008A07D5"/>
    <w:rsid w:val="008A1FB7"/>
    <w:rsid w:val="008A229A"/>
    <w:rsid w:val="008A2A23"/>
    <w:rsid w:val="008A2AF5"/>
    <w:rsid w:val="008A2B5A"/>
    <w:rsid w:val="008A3F9D"/>
    <w:rsid w:val="008A5474"/>
    <w:rsid w:val="008A5C9A"/>
    <w:rsid w:val="008A6005"/>
    <w:rsid w:val="008A614F"/>
    <w:rsid w:val="008A6A55"/>
    <w:rsid w:val="008A6DF0"/>
    <w:rsid w:val="008A6F6E"/>
    <w:rsid w:val="008A7888"/>
    <w:rsid w:val="008A796E"/>
    <w:rsid w:val="008B0862"/>
    <w:rsid w:val="008B088C"/>
    <w:rsid w:val="008B1BF5"/>
    <w:rsid w:val="008B263F"/>
    <w:rsid w:val="008B3045"/>
    <w:rsid w:val="008B47A6"/>
    <w:rsid w:val="008B672C"/>
    <w:rsid w:val="008C065F"/>
    <w:rsid w:val="008C0743"/>
    <w:rsid w:val="008C0B4C"/>
    <w:rsid w:val="008C11F0"/>
    <w:rsid w:val="008C1DBA"/>
    <w:rsid w:val="008C24E7"/>
    <w:rsid w:val="008C2500"/>
    <w:rsid w:val="008C2CAC"/>
    <w:rsid w:val="008C3C57"/>
    <w:rsid w:val="008C3E2A"/>
    <w:rsid w:val="008C45BD"/>
    <w:rsid w:val="008C4B19"/>
    <w:rsid w:val="008C62D4"/>
    <w:rsid w:val="008C6B89"/>
    <w:rsid w:val="008D18AA"/>
    <w:rsid w:val="008D1A2A"/>
    <w:rsid w:val="008D1ADE"/>
    <w:rsid w:val="008D35D9"/>
    <w:rsid w:val="008D3B85"/>
    <w:rsid w:val="008D462D"/>
    <w:rsid w:val="008D560B"/>
    <w:rsid w:val="008D6084"/>
    <w:rsid w:val="008D64AC"/>
    <w:rsid w:val="008D66CA"/>
    <w:rsid w:val="008D69B1"/>
    <w:rsid w:val="008D7338"/>
    <w:rsid w:val="008D785E"/>
    <w:rsid w:val="008E0012"/>
    <w:rsid w:val="008E0952"/>
    <w:rsid w:val="008E0DF7"/>
    <w:rsid w:val="008E0FAD"/>
    <w:rsid w:val="008E11E4"/>
    <w:rsid w:val="008E1252"/>
    <w:rsid w:val="008E1347"/>
    <w:rsid w:val="008E16E0"/>
    <w:rsid w:val="008E1C15"/>
    <w:rsid w:val="008E1C9A"/>
    <w:rsid w:val="008E28BD"/>
    <w:rsid w:val="008E30C4"/>
    <w:rsid w:val="008E38B4"/>
    <w:rsid w:val="008E3BA4"/>
    <w:rsid w:val="008E44AB"/>
    <w:rsid w:val="008E5179"/>
    <w:rsid w:val="008E57FE"/>
    <w:rsid w:val="008E6598"/>
    <w:rsid w:val="008E7214"/>
    <w:rsid w:val="008E7884"/>
    <w:rsid w:val="008E7D6E"/>
    <w:rsid w:val="008F1056"/>
    <w:rsid w:val="008F2E8D"/>
    <w:rsid w:val="008F361D"/>
    <w:rsid w:val="008F387B"/>
    <w:rsid w:val="008F3DD9"/>
    <w:rsid w:val="008F4814"/>
    <w:rsid w:val="008F4DA6"/>
    <w:rsid w:val="008F538E"/>
    <w:rsid w:val="008F5A20"/>
    <w:rsid w:val="008F5ABA"/>
    <w:rsid w:val="008F71AB"/>
    <w:rsid w:val="008F7905"/>
    <w:rsid w:val="008F7989"/>
    <w:rsid w:val="00901F1D"/>
    <w:rsid w:val="009020B3"/>
    <w:rsid w:val="009028E8"/>
    <w:rsid w:val="00902E5C"/>
    <w:rsid w:val="0090363E"/>
    <w:rsid w:val="009046E5"/>
    <w:rsid w:val="009047C5"/>
    <w:rsid w:val="00910683"/>
    <w:rsid w:val="00910E00"/>
    <w:rsid w:val="009116CE"/>
    <w:rsid w:val="00911714"/>
    <w:rsid w:val="00911D04"/>
    <w:rsid w:val="00911EFF"/>
    <w:rsid w:val="009136D4"/>
    <w:rsid w:val="00914B9A"/>
    <w:rsid w:val="00914C3F"/>
    <w:rsid w:val="00914F33"/>
    <w:rsid w:val="00915FCE"/>
    <w:rsid w:val="00916AFE"/>
    <w:rsid w:val="00916FC8"/>
    <w:rsid w:val="009170D3"/>
    <w:rsid w:val="0091759C"/>
    <w:rsid w:val="00920026"/>
    <w:rsid w:val="009203E2"/>
    <w:rsid w:val="00920F61"/>
    <w:rsid w:val="00921304"/>
    <w:rsid w:val="00921395"/>
    <w:rsid w:val="00921805"/>
    <w:rsid w:val="009219D1"/>
    <w:rsid w:val="00921E63"/>
    <w:rsid w:val="00923396"/>
    <w:rsid w:val="00923F56"/>
    <w:rsid w:val="00925346"/>
    <w:rsid w:val="00925743"/>
    <w:rsid w:val="0092579F"/>
    <w:rsid w:val="009257EF"/>
    <w:rsid w:val="00927E8D"/>
    <w:rsid w:val="00927F23"/>
    <w:rsid w:val="009307CD"/>
    <w:rsid w:val="00931365"/>
    <w:rsid w:val="00931451"/>
    <w:rsid w:val="009314FA"/>
    <w:rsid w:val="0093194F"/>
    <w:rsid w:val="00931BF3"/>
    <w:rsid w:val="00931C55"/>
    <w:rsid w:val="00933333"/>
    <w:rsid w:val="0093349A"/>
    <w:rsid w:val="009338BA"/>
    <w:rsid w:val="00933FCB"/>
    <w:rsid w:val="00934CEC"/>
    <w:rsid w:val="00934E69"/>
    <w:rsid w:val="00935E70"/>
    <w:rsid w:val="0093609A"/>
    <w:rsid w:val="00937401"/>
    <w:rsid w:val="009376FB"/>
    <w:rsid w:val="00937D6B"/>
    <w:rsid w:val="00940477"/>
    <w:rsid w:val="00940876"/>
    <w:rsid w:val="00940A53"/>
    <w:rsid w:val="00940F3C"/>
    <w:rsid w:val="009410E0"/>
    <w:rsid w:val="00941FA9"/>
    <w:rsid w:val="009444B4"/>
    <w:rsid w:val="00944644"/>
    <w:rsid w:val="00946A24"/>
    <w:rsid w:val="009470D4"/>
    <w:rsid w:val="00947337"/>
    <w:rsid w:val="00947E6E"/>
    <w:rsid w:val="009512FA"/>
    <w:rsid w:val="009516A9"/>
    <w:rsid w:val="00951E57"/>
    <w:rsid w:val="00952505"/>
    <w:rsid w:val="00953018"/>
    <w:rsid w:val="009533E2"/>
    <w:rsid w:val="00953554"/>
    <w:rsid w:val="0095385A"/>
    <w:rsid w:val="0095780A"/>
    <w:rsid w:val="009578C3"/>
    <w:rsid w:val="009579E4"/>
    <w:rsid w:val="00957AA4"/>
    <w:rsid w:val="00957ACB"/>
    <w:rsid w:val="00957F27"/>
    <w:rsid w:val="00960156"/>
    <w:rsid w:val="00960BDB"/>
    <w:rsid w:val="0096105C"/>
    <w:rsid w:val="0096147D"/>
    <w:rsid w:val="00961D53"/>
    <w:rsid w:val="00961E5F"/>
    <w:rsid w:val="009625C6"/>
    <w:rsid w:val="009629B5"/>
    <w:rsid w:val="00962A50"/>
    <w:rsid w:val="0096409A"/>
    <w:rsid w:val="00964138"/>
    <w:rsid w:val="009648D6"/>
    <w:rsid w:val="00964B3F"/>
    <w:rsid w:val="00964C98"/>
    <w:rsid w:val="00971441"/>
    <w:rsid w:val="009715D4"/>
    <w:rsid w:val="0097179A"/>
    <w:rsid w:val="009732A4"/>
    <w:rsid w:val="00973C05"/>
    <w:rsid w:val="0097494E"/>
    <w:rsid w:val="00974999"/>
    <w:rsid w:val="00974B58"/>
    <w:rsid w:val="00975445"/>
    <w:rsid w:val="009761ED"/>
    <w:rsid w:val="0098022F"/>
    <w:rsid w:val="00980EAB"/>
    <w:rsid w:val="009810DE"/>
    <w:rsid w:val="00981B91"/>
    <w:rsid w:val="00981DFC"/>
    <w:rsid w:val="009822D7"/>
    <w:rsid w:val="0098263D"/>
    <w:rsid w:val="009827E6"/>
    <w:rsid w:val="00982F84"/>
    <w:rsid w:val="0098427D"/>
    <w:rsid w:val="00984567"/>
    <w:rsid w:val="00985102"/>
    <w:rsid w:val="009854BC"/>
    <w:rsid w:val="0098606C"/>
    <w:rsid w:val="009865D5"/>
    <w:rsid w:val="00986DF4"/>
    <w:rsid w:val="009876F2"/>
    <w:rsid w:val="00987C77"/>
    <w:rsid w:val="00987FED"/>
    <w:rsid w:val="00990345"/>
    <w:rsid w:val="00990701"/>
    <w:rsid w:val="0099119C"/>
    <w:rsid w:val="0099137A"/>
    <w:rsid w:val="0099211C"/>
    <w:rsid w:val="0099349E"/>
    <w:rsid w:val="00993B78"/>
    <w:rsid w:val="00993DBE"/>
    <w:rsid w:val="00995119"/>
    <w:rsid w:val="0099531F"/>
    <w:rsid w:val="009953AD"/>
    <w:rsid w:val="0099583D"/>
    <w:rsid w:val="00996020"/>
    <w:rsid w:val="00996992"/>
    <w:rsid w:val="00996E1E"/>
    <w:rsid w:val="00997148"/>
    <w:rsid w:val="00997392"/>
    <w:rsid w:val="0099747C"/>
    <w:rsid w:val="0099771C"/>
    <w:rsid w:val="009A01E4"/>
    <w:rsid w:val="009A0917"/>
    <w:rsid w:val="009A0A33"/>
    <w:rsid w:val="009A1351"/>
    <w:rsid w:val="009A2435"/>
    <w:rsid w:val="009A35DC"/>
    <w:rsid w:val="009A38AB"/>
    <w:rsid w:val="009A3D47"/>
    <w:rsid w:val="009A4D63"/>
    <w:rsid w:val="009A5356"/>
    <w:rsid w:val="009A5468"/>
    <w:rsid w:val="009A5D99"/>
    <w:rsid w:val="009A608C"/>
    <w:rsid w:val="009A6FDF"/>
    <w:rsid w:val="009A715F"/>
    <w:rsid w:val="009A76D6"/>
    <w:rsid w:val="009B2374"/>
    <w:rsid w:val="009B2E29"/>
    <w:rsid w:val="009B3163"/>
    <w:rsid w:val="009B422F"/>
    <w:rsid w:val="009B46BC"/>
    <w:rsid w:val="009B4D1A"/>
    <w:rsid w:val="009B4D85"/>
    <w:rsid w:val="009B502F"/>
    <w:rsid w:val="009B558B"/>
    <w:rsid w:val="009B5F29"/>
    <w:rsid w:val="009B6A34"/>
    <w:rsid w:val="009B6D21"/>
    <w:rsid w:val="009B78ED"/>
    <w:rsid w:val="009C181C"/>
    <w:rsid w:val="009C1A44"/>
    <w:rsid w:val="009C1C7F"/>
    <w:rsid w:val="009C1EC7"/>
    <w:rsid w:val="009C28A2"/>
    <w:rsid w:val="009C3239"/>
    <w:rsid w:val="009C37CE"/>
    <w:rsid w:val="009C3828"/>
    <w:rsid w:val="009C3AD3"/>
    <w:rsid w:val="009C3AF4"/>
    <w:rsid w:val="009C3D2C"/>
    <w:rsid w:val="009C4987"/>
    <w:rsid w:val="009C4FDE"/>
    <w:rsid w:val="009C523F"/>
    <w:rsid w:val="009C59BF"/>
    <w:rsid w:val="009C5E4F"/>
    <w:rsid w:val="009C5F64"/>
    <w:rsid w:val="009C5F82"/>
    <w:rsid w:val="009C60EA"/>
    <w:rsid w:val="009C6BFC"/>
    <w:rsid w:val="009C70F8"/>
    <w:rsid w:val="009C78A3"/>
    <w:rsid w:val="009C7E68"/>
    <w:rsid w:val="009D00D7"/>
    <w:rsid w:val="009D0156"/>
    <w:rsid w:val="009D05DA"/>
    <w:rsid w:val="009D11F6"/>
    <w:rsid w:val="009D1A14"/>
    <w:rsid w:val="009D1E2A"/>
    <w:rsid w:val="009D1FA0"/>
    <w:rsid w:val="009D2BDF"/>
    <w:rsid w:val="009D3736"/>
    <w:rsid w:val="009D4529"/>
    <w:rsid w:val="009D604F"/>
    <w:rsid w:val="009D61BB"/>
    <w:rsid w:val="009D6410"/>
    <w:rsid w:val="009D68BB"/>
    <w:rsid w:val="009D70C2"/>
    <w:rsid w:val="009D7ADB"/>
    <w:rsid w:val="009D7B33"/>
    <w:rsid w:val="009E06C3"/>
    <w:rsid w:val="009E0703"/>
    <w:rsid w:val="009E1035"/>
    <w:rsid w:val="009E16DA"/>
    <w:rsid w:val="009E1CD4"/>
    <w:rsid w:val="009E2391"/>
    <w:rsid w:val="009E34A5"/>
    <w:rsid w:val="009E476A"/>
    <w:rsid w:val="009E4E05"/>
    <w:rsid w:val="009E56FF"/>
    <w:rsid w:val="009E5CB1"/>
    <w:rsid w:val="009E5E56"/>
    <w:rsid w:val="009E61EA"/>
    <w:rsid w:val="009E6990"/>
    <w:rsid w:val="009E6FEE"/>
    <w:rsid w:val="009F00B9"/>
    <w:rsid w:val="009F060F"/>
    <w:rsid w:val="009F0781"/>
    <w:rsid w:val="009F0850"/>
    <w:rsid w:val="009F1BDF"/>
    <w:rsid w:val="009F1EAE"/>
    <w:rsid w:val="009F311F"/>
    <w:rsid w:val="009F369D"/>
    <w:rsid w:val="009F36FE"/>
    <w:rsid w:val="009F4990"/>
    <w:rsid w:val="009F4F25"/>
    <w:rsid w:val="009F59C2"/>
    <w:rsid w:val="009F7263"/>
    <w:rsid w:val="009F76EA"/>
    <w:rsid w:val="009F78EB"/>
    <w:rsid w:val="009F7F32"/>
    <w:rsid w:val="009F7FEB"/>
    <w:rsid w:val="00A003D5"/>
    <w:rsid w:val="00A01852"/>
    <w:rsid w:val="00A0188B"/>
    <w:rsid w:val="00A01E73"/>
    <w:rsid w:val="00A023E7"/>
    <w:rsid w:val="00A02B88"/>
    <w:rsid w:val="00A03160"/>
    <w:rsid w:val="00A036AC"/>
    <w:rsid w:val="00A03C54"/>
    <w:rsid w:val="00A03DE5"/>
    <w:rsid w:val="00A041BC"/>
    <w:rsid w:val="00A0447F"/>
    <w:rsid w:val="00A046D2"/>
    <w:rsid w:val="00A04A54"/>
    <w:rsid w:val="00A05B4B"/>
    <w:rsid w:val="00A066C3"/>
    <w:rsid w:val="00A06754"/>
    <w:rsid w:val="00A069E0"/>
    <w:rsid w:val="00A06E4A"/>
    <w:rsid w:val="00A06EE8"/>
    <w:rsid w:val="00A070E9"/>
    <w:rsid w:val="00A078FB"/>
    <w:rsid w:val="00A1036D"/>
    <w:rsid w:val="00A1069F"/>
    <w:rsid w:val="00A10ACA"/>
    <w:rsid w:val="00A10D08"/>
    <w:rsid w:val="00A11E78"/>
    <w:rsid w:val="00A12355"/>
    <w:rsid w:val="00A127D2"/>
    <w:rsid w:val="00A13CF5"/>
    <w:rsid w:val="00A143EC"/>
    <w:rsid w:val="00A149E8"/>
    <w:rsid w:val="00A1500F"/>
    <w:rsid w:val="00A15621"/>
    <w:rsid w:val="00A15670"/>
    <w:rsid w:val="00A157A0"/>
    <w:rsid w:val="00A1585B"/>
    <w:rsid w:val="00A15C19"/>
    <w:rsid w:val="00A15FE9"/>
    <w:rsid w:val="00A16052"/>
    <w:rsid w:val="00A16809"/>
    <w:rsid w:val="00A17769"/>
    <w:rsid w:val="00A17EA2"/>
    <w:rsid w:val="00A20264"/>
    <w:rsid w:val="00A20997"/>
    <w:rsid w:val="00A213DD"/>
    <w:rsid w:val="00A21454"/>
    <w:rsid w:val="00A216CE"/>
    <w:rsid w:val="00A22025"/>
    <w:rsid w:val="00A22498"/>
    <w:rsid w:val="00A22571"/>
    <w:rsid w:val="00A2298D"/>
    <w:rsid w:val="00A24560"/>
    <w:rsid w:val="00A25B0F"/>
    <w:rsid w:val="00A25BBB"/>
    <w:rsid w:val="00A27207"/>
    <w:rsid w:val="00A27FB6"/>
    <w:rsid w:val="00A30121"/>
    <w:rsid w:val="00A30368"/>
    <w:rsid w:val="00A3043A"/>
    <w:rsid w:val="00A30E02"/>
    <w:rsid w:val="00A30F6A"/>
    <w:rsid w:val="00A31C3E"/>
    <w:rsid w:val="00A34538"/>
    <w:rsid w:val="00A34677"/>
    <w:rsid w:val="00A3540F"/>
    <w:rsid w:val="00A35630"/>
    <w:rsid w:val="00A35914"/>
    <w:rsid w:val="00A36189"/>
    <w:rsid w:val="00A37E73"/>
    <w:rsid w:val="00A37FB6"/>
    <w:rsid w:val="00A409E2"/>
    <w:rsid w:val="00A4104A"/>
    <w:rsid w:val="00A41081"/>
    <w:rsid w:val="00A411CA"/>
    <w:rsid w:val="00A42080"/>
    <w:rsid w:val="00A42096"/>
    <w:rsid w:val="00A426F3"/>
    <w:rsid w:val="00A42FDF"/>
    <w:rsid w:val="00A430A9"/>
    <w:rsid w:val="00A431FE"/>
    <w:rsid w:val="00A439E5"/>
    <w:rsid w:val="00A4497A"/>
    <w:rsid w:val="00A44BE8"/>
    <w:rsid w:val="00A44C96"/>
    <w:rsid w:val="00A44CDD"/>
    <w:rsid w:val="00A44F54"/>
    <w:rsid w:val="00A45EC5"/>
    <w:rsid w:val="00A45F9B"/>
    <w:rsid w:val="00A46574"/>
    <w:rsid w:val="00A500B1"/>
    <w:rsid w:val="00A52A53"/>
    <w:rsid w:val="00A52EE5"/>
    <w:rsid w:val="00A53037"/>
    <w:rsid w:val="00A532B9"/>
    <w:rsid w:val="00A5351D"/>
    <w:rsid w:val="00A53E79"/>
    <w:rsid w:val="00A54031"/>
    <w:rsid w:val="00A5426D"/>
    <w:rsid w:val="00A5471D"/>
    <w:rsid w:val="00A54FC2"/>
    <w:rsid w:val="00A55122"/>
    <w:rsid w:val="00A55CEA"/>
    <w:rsid w:val="00A56DE7"/>
    <w:rsid w:val="00A57EB2"/>
    <w:rsid w:val="00A6009E"/>
    <w:rsid w:val="00A60265"/>
    <w:rsid w:val="00A60B1F"/>
    <w:rsid w:val="00A61C60"/>
    <w:rsid w:val="00A62589"/>
    <w:rsid w:val="00A62AD0"/>
    <w:rsid w:val="00A62C3A"/>
    <w:rsid w:val="00A6319C"/>
    <w:rsid w:val="00A63812"/>
    <w:rsid w:val="00A63DF7"/>
    <w:rsid w:val="00A6454D"/>
    <w:rsid w:val="00A64F18"/>
    <w:rsid w:val="00A64F2F"/>
    <w:rsid w:val="00A6611E"/>
    <w:rsid w:val="00A668BA"/>
    <w:rsid w:val="00A66FA7"/>
    <w:rsid w:val="00A67E16"/>
    <w:rsid w:val="00A67EB1"/>
    <w:rsid w:val="00A703CC"/>
    <w:rsid w:val="00A70C5C"/>
    <w:rsid w:val="00A710A2"/>
    <w:rsid w:val="00A71EA7"/>
    <w:rsid w:val="00A730AD"/>
    <w:rsid w:val="00A73855"/>
    <w:rsid w:val="00A73D64"/>
    <w:rsid w:val="00A74216"/>
    <w:rsid w:val="00A744B4"/>
    <w:rsid w:val="00A751E3"/>
    <w:rsid w:val="00A75504"/>
    <w:rsid w:val="00A75FD7"/>
    <w:rsid w:val="00A77168"/>
    <w:rsid w:val="00A7723B"/>
    <w:rsid w:val="00A7793C"/>
    <w:rsid w:val="00A77D21"/>
    <w:rsid w:val="00A77FDE"/>
    <w:rsid w:val="00A80085"/>
    <w:rsid w:val="00A8043B"/>
    <w:rsid w:val="00A80DA0"/>
    <w:rsid w:val="00A81323"/>
    <w:rsid w:val="00A820CB"/>
    <w:rsid w:val="00A82342"/>
    <w:rsid w:val="00A83BEF"/>
    <w:rsid w:val="00A84443"/>
    <w:rsid w:val="00A8487F"/>
    <w:rsid w:val="00A849A3"/>
    <w:rsid w:val="00A84A0E"/>
    <w:rsid w:val="00A86E0B"/>
    <w:rsid w:val="00A90F12"/>
    <w:rsid w:val="00A91DAA"/>
    <w:rsid w:val="00A93101"/>
    <w:rsid w:val="00A9413E"/>
    <w:rsid w:val="00A94281"/>
    <w:rsid w:val="00A94293"/>
    <w:rsid w:val="00A9496E"/>
    <w:rsid w:val="00A949F0"/>
    <w:rsid w:val="00A94BDE"/>
    <w:rsid w:val="00A94FCA"/>
    <w:rsid w:val="00A95E4C"/>
    <w:rsid w:val="00A96C60"/>
    <w:rsid w:val="00A9740B"/>
    <w:rsid w:val="00A9766C"/>
    <w:rsid w:val="00A977F8"/>
    <w:rsid w:val="00A979DB"/>
    <w:rsid w:val="00A97C93"/>
    <w:rsid w:val="00AA08E7"/>
    <w:rsid w:val="00AA0A06"/>
    <w:rsid w:val="00AA1351"/>
    <w:rsid w:val="00AA184C"/>
    <w:rsid w:val="00AA1C84"/>
    <w:rsid w:val="00AA3D7B"/>
    <w:rsid w:val="00AA42A0"/>
    <w:rsid w:val="00AA442B"/>
    <w:rsid w:val="00AA46A4"/>
    <w:rsid w:val="00AA5779"/>
    <w:rsid w:val="00AA58A1"/>
    <w:rsid w:val="00AA61C7"/>
    <w:rsid w:val="00AA669D"/>
    <w:rsid w:val="00AA66ED"/>
    <w:rsid w:val="00AA6B59"/>
    <w:rsid w:val="00AA6BE1"/>
    <w:rsid w:val="00AA7416"/>
    <w:rsid w:val="00AA7A60"/>
    <w:rsid w:val="00AA7B42"/>
    <w:rsid w:val="00AB041C"/>
    <w:rsid w:val="00AB14E8"/>
    <w:rsid w:val="00AB1B1D"/>
    <w:rsid w:val="00AB2216"/>
    <w:rsid w:val="00AB358D"/>
    <w:rsid w:val="00AB37A1"/>
    <w:rsid w:val="00AB3BAD"/>
    <w:rsid w:val="00AB3CFD"/>
    <w:rsid w:val="00AB4244"/>
    <w:rsid w:val="00AB49BC"/>
    <w:rsid w:val="00AB4DEE"/>
    <w:rsid w:val="00AB4E32"/>
    <w:rsid w:val="00AB5C19"/>
    <w:rsid w:val="00AB724B"/>
    <w:rsid w:val="00AB726C"/>
    <w:rsid w:val="00AB72B4"/>
    <w:rsid w:val="00AC02AA"/>
    <w:rsid w:val="00AC0537"/>
    <w:rsid w:val="00AC0A84"/>
    <w:rsid w:val="00AC1508"/>
    <w:rsid w:val="00AC2A0B"/>
    <w:rsid w:val="00AC2BEE"/>
    <w:rsid w:val="00AC2E53"/>
    <w:rsid w:val="00AC484F"/>
    <w:rsid w:val="00AC4B20"/>
    <w:rsid w:val="00AC56F2"/>
    <w:rsid w:val="00AC71C3"/>
    <w:rsid w:val="00AD09F7"/>
    <w:rsid w:val="00AD1EFA"/>
    <w:rsid w:val="00AD2072"/>
    <w:rsid w:val="00AD2DBD"/>
    <w:rsid w:val="00AD2FBF"/>
    <w:rsid w:val="00AD340E"/>
    <w:rsid w:val="00AD455D"/>
    <w:rsid w:val="00AD463C"/>
    <w:rsid w:val="00AD4815"/>
    <w:rsid w:val="00AD4F60"/>
    <w:rsid w:val="00AD5044"/>
    <w:rsid w:val="00AD5114"/>
    <w:rsid w:val="00AD6236"/>
    <w:rsid w:val="00AD69D5"/>
    <w:rsid w:val="00AD7619"/>
    <w:rsid w:val="00AD7770"/>
    <w:rsid w:val="00AE1772"/>
    <w:rsid w:val="00AE1990"/>
    <w:rsid w:val="00AE25C0"/>
    <w:rsid w:val="00AE25E8"/>
    <w:rsid w:val="00AE2AD4"/>
    <w:rsid w:val="00AE2CA7"/>
    <w:rsid w:val="00AE2F1D"/>
    <w:rsid w:val="00AE4C81"/>
    <w:rsid w:val="00AE586F"/>
    <w:rsid w:val="00AE6582"/>
    <w:rsid w:val="00AE6DC5"/>
    <w:rsid w:val="00AE7686"/>
    <w:rsid w:val="00AE799A"/>
    <w:rsid w:val="00AF041E"/>
    <w:rsid w:val="00AF0E81"/>
    <w:rsid w:val="00AF117A"/>
    <w:rsid w:val="00AF16CA"/>
    <w:rsid w:val="00AF186E"/>
    <w:rsid w:val="00AF19DF"/>
    <w:rsid w:val="00AF1D41"/>
    <w:rsid w:val="00AF26CF"/>
    <w:rsid w:val="00AF344D"/>
    <w:rsid w:val="00AF39B3"/>
    <w:rsid w:val="00AF4402"/>
    <w:rsid w:val="00AF4639"/>
    <w:rsid w:val="00AF4E92"/>
    <w:rsid w:val="00AF554B"/>
    <w:rsid w:val="00AF5C9B"/>
    <w:rsid w:val="00AF5CED"/>
    <w:rsid w:val="00AF5D53"/>
    <w:rsid w:val="00AF5E2D"/>
    <w:rsid w:val="00AF644B"/>
    <w:rsid w:val="00AF69EB"/>
    <w:rsid w:val="00AF6CA6"/>
    <w:rsid w:val="00AF6EB6"/>
    <w:rsid w:val="00AF7796"/>
    <w:rsid w:val="00B011A7"/>
    <w:rsid w:val="00B011A9"/>
    <w:rsid w:val="00B01BAF"/>
    <w:rsid w:val="00B024ED"/>
    <w:rsid w:val="00B026B8"/>
    <w:rsid w:val="00B02EB3"/>
    <w:rsid w:val="00B02FCB"/>
    <w:rsid w:val="00B033F8"/>
    <w:rsid w:val="00B03C1E"/>
    <w:rsid w:val="00B04400"/>
    <w:rsid w:val="00B04835"/>
    <w:rsid w:val="00B05A55"/>
    <w:rsid w:val="00B05DE1"/>
    <w:rsid w:val="00B06595"/>
    <w:rsid w:val="00B10109"/>
    <w:rsid w:val="00B10776"/>
    <w:rsid w:val="00B1085E"/>
    <w:rsid w:val="00B10FD1"/>
    <w:rsid w:val="00B1125B"/>
    <w:rsid w:val="00B11775"/>
    <w:rsid w:val="00B1219D"/>
    <w:rsid w:val="00B12735"/>
    <w:rsid w:val="00B12F44"/>
    <w:rsid w:val="00B13C48"/>
    <w:rsid w:val="00B13E35"/>
    <w:rsid w:val="00B13EC0"/>
    <w:rsid w:val="00B14102"/>
    <w:rsid w:val="00B14D32"/>
    <w:rsid w:val="00B1557C"/>
    <w:rsid w:val="00B155DC"/>
    <w:rsid w:val="00B15766"/>
    <w:rsid w:val="00B15E4A"/>
    <w:rsid w:val="00B1666A"/>
    <w:rsid w:val="00B1686D"/>
    <w:rsid w:val="00B16BF7"/>
    <w:rsid w:val="00B17129"/>
    <w:rsid w:val="00B1741D"/>
    <w:rsid w:val="00B17447"/>
    <w:rsid w:val="00B1771D"/>
    <w:rsid w:val="00B17B91"/>
    <w:rsid w:val="00B20209"/>
    <w:rsid w:val="00B203C9"/>
    <w:rsid w:val="00B2088D"/>
    <w:rsid w:val="00B208FF"/>
    <w:rsid w:val="00B20943"/>
    <w:rsid w:val="00B22E22"/>
    <w:rsid w:val="00B22F5F"/>
    <w:rsid w:val="00B231D9"/>
    <w:rsid w:val="00B23813"/>
    <w:rsid w:val="00B23FD9"/>
    <w:rsid w:val="00B24591"/>
    <w:rsid w:val="00B245D5"/>
    <w:rsid w:val="00B245EF"/>
    <w:rsid w:val="00B24C36"/>
    <w:rsid w:val="00B24F94"/>
    <w:rsid w:val="00B25126"/>
    <w:rsid w:val="00B25A52"/>
    <w:rsid w:val="00B25FC3"/>
    <w:rsid w:val="00B27875"/>
    <w:rsid w:val="00B3008D"/>
    <w:rsid w:val="00B30E11"/>
    <w:rsid w:val="00B30EAE"/>
    <w:rsid w:val="00B30EEB"/>
    <w:rsid w:val="00B31423"/>
    <w:rsid w:val="00B323E0"/>
    <w:rsid w:val="00B32DC0"/>
    <w:rsid w:val="00B3346C"/>
    <w:rsid w:val="00B335E4"/>
    <w:rsid w:val="00B33C23"/>
    <w:rsid w:val="00B345B4"/>
    <w:rsid w:val="00B348B1"/>
    <w:rsid w:val="00B34A28"/>
    <w:rsid w:val="00B35046"/>
    <w:rsid w:val="00B35B6A"/>
    <w:rsid w:val="00B36D2B"/>
    <w:rsid w:val="00B37657"/>
    <w:rsid w:val="00B37AFD"/>
    <w:rsid w:val="00B37B07"/>
    <w:rsid w:val="00B4046F"/>
    <w:rsid w:val="00B406B3"/>
    <w:rsid w:val="00B40A36"/>
    <w:rsid w:val="00B41D39"/>
    <w:rsid w:val="00B422C0"/>
    <w:rsid w:val="00B426CA"/>
    <w:rsid w:val="00B426E1"/>
    <w:rsid w:val="00B4387A"/>
    <w:rsid w:val="00B44746"/>
    <w:rsid w:val="00B44854"/>
    <w:rsid w:val="00B44BA5"/>
    <w:rsid w:val="00B458D0"/>
    <w:rsid w:val="00B45FBA"/>
    <w:rsid w:val="00B46915"/>
    <w:rsid w:val="00B4792C"/>
    <w:rsid w:val="00B50CAE"/>
    <w:rsid w:val="00B512AD"/>
    <w:rsid w:val="00B5196C"/>
    <w:rsid w:val="00B525CB"/>
    <w:rsid w:val="00B52697"/>
    <w:rsid w:val="00B54D8F"/>
    <w:rsid w:val="00B55857"/>
    <w:rsid w:val="00B55C69"/>
    <w:rsid w:val="00B56851"/>
    <w:rsid w:val="00B569D4"/>
    <w:rsid w:val="00B56BA8"/>
    <w:rsid w:val="00B56D6E"/>
    <w:rsid w:val="00B572F7"/>
    <w:rsid w:val="00B57B9D"/>
    <w:rsid w:val="00B57DAF"/>
    <w:rsid w:val="00B60094"/>
    <w:rsid w:val="00B6022C"/>
    <w:rsid w:val="00B614F8"/>
    <w:rsid w:val="00B61994"/>
    <w:rsid w:val="00B61FD4"/>
    <w:rsid w:val="00B62880"/>
    <w:rsid w:val="00B63872"/>
    <w:rsid w:val="00B63CB2"/>
    <w:rsid w:val="00B64246"/>
    <w:rsid w:val="00B64EDB"/>
    <w:rsid w:val="00B65938"/>
    <w:rsid w:val="00B65C8A"/>
    <w:rsid w:val="00B65CE2"/>
    <w:rsid w:val="00B660AD"/>
    <w:rsid w:val="00B66109"/>
    <w:rsid w:val="00B66349"/>
    <w:rsid w:val="00B66CB4"/>
    <w:rsid w:val="00B67903"/>
    <w:rsid w:val="00B67FBF"/>
    <w:rsid w:val="00B70832"/>
    <w:rsid w:val="00B71376"/>
    <w:rsid w:val="00B71617"/>
    <w:rsid w:val="00B716D7"/>
    <w:rsid w:val="00B72110"/>
    <w:rsid w:val="00B72B91"/>
    <w:rsid w:val="00B73019"/>
    <w:rsid w:val="00B7315F"/>
    <w:rsid w:val="00B7323A"/>
    <w:rsid w:val="00B7353B"/>
    <w:rsid w:val="00B737FB"/>
    <w:rsid w:val="00B73E5D"/>
    <w:rsid w:val="00B73EF3"/>
    <w:rsid w:val="00B7423D"/>
    <w:rsid w:val="00B74D05"/>
    <w:rsid w:val="00B75893"/>
    <w:rsid w:val="00B777FA"/>
    <w:rsid w:val="00B77850"/>
    <w:rsid w:val="00B7796B"/>
    <w:rsid w:val="00B80C72"/>
    <w:rsid w:val="00B81964"/>
    <w:rsid w:val="00B81E6F"/>
    <w:rsid w:val="00B82123"/>
    <w:rsid w:val="00B8225B"/>
    <w:rsid w:val="00B82BB5"/>
    <w:rsid w:val="00B83182"/>
    <w:rsid w:val="00B839F0"/>
    <w:rsid w:val="00B851E4"/>
    <w:rsid w:val="00B854CE"/>
    <w:rsid w:val="00B85681"/>
    <w:rsid w:val="00B857EB"/>
    <w:rsid w:val="00B85DE3"/>
    <w:rsid w:val="00B86162"/>
    <w:rsid w:val="00B865DD"/>
    <w:rsid w:val="00B86877"/>
    <w:rsid w:val="00B8695D"/>
    <w:rsid w:val="00B86E66"/>
    <w:rsid w:val="00B873BA"/>
    <w:rsid w:val="00B8746F"/>
    <w:rsid w:val="00B8760D"/>
    <w:rsid w:val="00B87706"/>
    <w:rsid w:val="00B90A49"/>
    <w:rsid w:val="00B90A73"/>
    <w:rsid w:val="00B91B8E"/>
    <w:rsid w:val="00B92531"/>
    <w:rsid w:val="00B92618"/>
    <w:rsid w:val="00B92751"/>
    <w:rsid w:val="00B92B69"/>
    <w:rsid w:val="00B92CC6"/>
    <w:rsid w:val="00B935C9"/>
    <w:rsid w:val="00B93E3D"/>
    <w:rsid w:val="00B95464"/>
    <w:rsid w:val="00B95C30"/>
    <w:rsid w:val="00B95E3D"/>
    <w:rsid w:val="00B9691F"/>
    <w:rsid w:val="00B96EEC"/>
    <w:rsid w:val="00B97392"/>
    <w:rsid w:val="00B976C7"/>
    <w:rsid w:val="00BA0B40"/>
    <w:rsid w:val="00BA0C54"/>
    <w:rsid w:val="00BA1382"/>
    <w:rsid w:val="00BA15E3"/>
    <w:rsid w:val="00BA1A8C"/>
    <w:rsid w:val="00BA20D8"/>
    <w:rsid w:val="00BA22FC"/>
    <w:rsid w:val="00BA2C2A"/>
    <w:rsid w:val="00BA2F30"/>
    <w:rsid w:val="00BA3982"/>
    <w:rsid w:val="00BA4771"/>
    <w:rsid w:val="00BA5027"/>
    <w:rsid w:val="00BA59F2"/>
    <w:rsid w:val="00BA665B"/>
    <w:rsid w:val="00BA6FE8"/>
    <w:rsid w:val="00BA732D"/>
    <w:rsid w:val="00BA7370"/>
    <w:rsid w:val="00BA748D"/>
    <w:rsid w:val="00BA778B"/>
    <w:rsid w:val="00BB0888"/>
    <w:rsid w:val="00BB0DF1"/>
    <w:rsid w:val="00BB0E9B"/>
    <w:rsid w:val="00BB2841"/>
    <w:rsid w:val="00BB300F"/>
    <w:rsid w:val="00BB32C9"/>
    <w:rsid w:val="00BB35C5"/>
    <w:rsid w:val="00BB45E7"/>
    <w:rsid w:val="00BB4C8E"/>
    <w:rsid w:val="00BB57ED"/>
    <w:rsid w:val="00BB65C3"/>
    <w:rsid w:val="00BB662E"/>
    <w:rsid w:val="00BB67A9"/>
    <w:rsid w:val="00BB6C01"/>
    <w:rsid w:val="00BB7942"/>
    <w:rsid w:val="00BB7CD1"/>
    <w:rsid w:val="00BC0F33"/>
    <w:rsid w:val="00BC14A7"/>
    <w:rsid w:val="00BC17CC"/>
    <w:rsid w:val="00BC2898"/>
    <w:rsid w:val="00BC2928"/>
    <w:rsid w:val="00BC29BD"/>
    <w:rsid w:val="00BC2BB1"/>
    <w:rsid w:val="00BC34A3"/>
    <w:rsid w:val="00BC3FF9"/>
    <w:rsid w:val="00BC4834"/>
    <w:rsid w:val="00BC4A97"/>
    <w:rsid w:val="00BC4E15"/>
    <w:rsid w:val="00BC5A25"/>
    <w:rsid w:val="00BC5FDD"/>
    <w:rsid w:val="00BC68B4"/>
    <w:rsid w:val="00BD0140"/>
    <w:rsid w:val="00BD02CC"/>
    <w:rsid w:val="00BD088E"/>
    <w:rsid w:val="00BD0F18"/>
    <w:rsid w:val="00BD2063"/>
    <w:rsid w:val="00BD33D9"/>
    <w:rsid w:val="00BD38C5"/>
    <w:rsid w:val="00BD3DEA"/>
    <w:rsid w:val="00BD3E97"/>
    <w:rsid w:val="00BD40E4"/>
    <w:rsid w:val="00BD52FE"/>
    <w:rsid w:val="00BD62CF"/>
    <w:rsid w:val="00BD67B2"/>
    <w:rsid w:val="00BD68E2"/>
    <w:rsid w:val="00BD6C11"/>
    <w:rsid w:val="00BD76E5"/>
    <w:rsid w:val="00BD78FE"/>
    <w:rsid w:val="00BD7D10"/>
    <w:rsid w:val="00BE0149"/>
    <w:rsid w:val="00BE0767"/>
    <w:rsid w:val="00BE12D7"/>
    <w:rsid w:val="00BE1372"/>
    <w:rsid w:val="00BE1775"/>
    <w:rsid w:val="00BE18DA"/>
    <w:rsid w:val="00BE26C0"/>
    <w:rsid w:val="00BE3442"/>
    <w:rsid w:val="00BE37CD"/>
    <w:rsid w:val="00BE47B2"/>
    <w:rsid w:val="00BE48C7"/>
    <w:rsid w:val="00BE4C4F"/>
    <w:rsid w:val="00BE4F66"/>
    <w:rsid w:val="00BE5238"/>
    <w:rsid w:val="00BE6074"/>
    <w:rsid w:val="00BE7257"/>
    <w:rsid w:val="00BE7A67"/>
    <w:rsid w:val="00BF020D"/>
    <w:rsid w:val="00BF0609"/>
    <w:rsid w:val="00BF0E64"/>
    <w:rsid w:val="00BF0EE8"/>
    <w:rsid w:val="00BF1DD2"/>
    <w:rsid w:val="00BF23A3"/>
    <w:rsid w:val="00BF2A7E"/>
    <w:rsid w:val="00BF3331"/>
    <w:rsid w:val="00BF3A45"/>
    <w:rsid w:val="00BF436F"/>
    <w:rsid w:val="00BF5C05"/>
    <w:rsid w:val="00BF6FC6"/>
    <w:rsid w:val="00BF7C52"/>
    <w:rsid w:val="00BF7F99"/>
    <w:rsid w:val="00C00713"/>
    <w:rsid w:val="00C009A0"/>
    <w:rsid w:val="00C01F74"/>
    <w:rsid w:val="00C02558"/>
    <w:rsid w:val="00C0285F"/>
    <w:rsid w:val="00C02F35"/>
    <w:rsid w:val="00C03305"/>
    <w:rsid w:val="00C03515"/>
    <w:rsid w:val="00C03738"/>
    <w:rsid w:val="00C037A6"/>
    <w:rsid w:val="00C043F5"/>
    <w:rsid w:val="00C044E3"/>
    <w:rsid w:val="00C04607"/>
    <w:rsid w:val="00C04BDB"/>
    <w:rsid w:val="00C052C6"/>
    <w:rsid w:val="00C05A61"/>
    <w:rsid w:val="00C05FEE"/>
    <w:rsid w:val="00C06CCF"/>
    <w:rsid w:val="00C0794D"/>
    <w:rsid w:val="00C10E78"/>
    <w:rsid w:val="00C1159D"/>
    <w:rsid w:val="00C1233E"/>
    <w:rsid w:val="00C123F6"/>
    <w:rsid w:val="00C12FB3"/>
    <w:rsid w:val="00C138BC"/>
    <w:rsid w:val="00C13D85"/>
    <w:rsid w:val="00C14639"/>
    <w:rsid w:val="00C14E82"/>
    <w:rsid w:val="00C14FF6"/>
    <w:rsid w:val="00C15A85"/>
    <w:rsid w:val="00C1637C"/>
    <w:rsid w:val="00C1641B"/>
    <w:rsid w:val="00C165FC"/>
    <w:rsid w:val="00C176D5"/>
    <w:rsid w:val="00C17D24"/>
    <w:rsid w:val="00C2082C"/>
    <w:rsid w:val="00C20EB0"/>
    <w:rsid w:val="00C21004"/>
    <w:rsid w:val="00C21005"/>
    <w:rsid w:val="00C220B6"/>
    <w:rsid w:val="00C22D7C"/>
    <w:rsid w:val="00C22DDE"/>
    <w:rsid w:val="00C2338B"/>
    <w:rsid w:val="00C233CE"/>
    <w:rsid w:val="00C237DD"/>
    <w:rsid w:val="00C238F4"/>
    <w:rsid w:val="00C23A99"/>
    <w:rsid w:val="00C245EE"/>
    <w:rsid w:val="00C24AE1"/>
    <w:rsid w:val="00C24B8D"/>
    <w:rsid w:val="00C24BD7"/>
    <w:rsid w:val="00C25813"/>
    <w:rsid w:val="00C27143"/>
    <w:rsid w:val="00C272CE"/>
    <w:rsid w:val="00C27490"/>
    <w:rsid w:val="00C27D37"/>
    <w:rsid w:val="00C309E8"/>
    <w:rsid w:val="00C32017"/>
    <w:rsid w:val="00C32571"/>
    <w:rsid w:val="00C325CD"/>
    <w:rsid w:val="00C3322E"/>
    <w:rsid w:val="00C337F5"/>
    <w:rsid w:val="00C33B90"/>
    <w:rsid w:val="00C34161"/>
    <w:rsid w:val="00C34B5F"/>
    <w:rsid w:val="00C358D4"/>
    <w:rsid w:val="00C365C6"/>
    <w:rsid w:val="00C366F4"/>
    <w:rsid w:val="00C36785"/>
    <w:rsid w:val="00C3711C"/>
    <w:rsid w:val="00C37256"/>
    <w:rsid w:val="00C37A7B"/>
    <w:rsid w:val="00C37FFE"/>
    <w:rsid w:val="00C40B50"/>
    <w:rsid w:val="00C419E3"/>
    <w:rsid w:val="00C419F4"/>
    <w:rsid w:val="00C41E6A"/>
    <w:rsid w:val="00C42247"/>
    <w:rsid w:val="00C439BE"/>
    <w:rsid w:val="00C4494B"/>
    <w:rsid w:val="00C4539B"/>
    <w:rsid w:val="00C45466"/>
    <w:rsid w:val="00C455C1"/>
    <w:rsid w:val="00C4581D"/>
    <w:rsid w:val="00C47472"/>
    <w:rsid w:val="00C500F0"/>
    <w:rsid w:val="00C504A7"/>
    <w:rsid w:val="00C506C9"/>
    <w:rsid w:val="00C50A16"/>
    <w:rsid w:val="00C51C9A"/>
    <w:rsid w:val="00C52C68"/>
    <w:rsid w:val="00C52D98"/>
    <w:rsid w:val="00C52DA1"/>
    <w:rsid w:val="00C53D24"/>
    <w:rsid w:val="00C54640"/>
    <w:rsid w:val="00C547A6"/>
    <w:rsid w:val="00C54A3A"/>
    <w:rsid w:val="00C55B52"/>
    <w:rsid w:val="00C55C32"/>
    <w:rsid w:val="00C56976"/>
    <w:rsid w:val="00C56A67"/>
    <w:rsid w:val="00C56CC2"/>
    <w:rsid w:val="00C57498"/>
    <w:rsid w:val="00C5763C"/>
    <w:rsid w:val="00C5780C"/>
    <w:rsid w:val="00C5796B"/>
    <w:rsid w:val="00C612C4"/>
    <w:rsid w:val="00C619A1"/>
    <w:rsid w:val="00C61B46"/>
    <w:rsid w:val="00C62370"/>
    <w:rsid w:val="00C62A24"/>
    <w:rsid w:val="00C62BBB"/>
    <w:rsid w:val="00C6305F"/>
    <w:rsid w:val="00C6325B"/>
    <w:rsid w:val="00C63E99"/>
    <w:rsid w:val="00C649B8"/>
    <w:rsid w:val="00C64A64"/>
    <w:rsid w:val="00C65151"/>
    <w:rsid w:val="00C657F4"/>
    <w:rsid w:val="00C6598D"/>
    <w:rsid w:val="00C660FE"/>
    <w:rsid w:val="00C66119"/>
    <w:rsid w:val="00C66292"/>
    <w:rsid w:val="00C672A3"/>
    <w:rsid w:val="00C672F1"/>
    <w:rsid w:val="00C673D0"/>
    <w:rsid w:val="00C6742E"/>
    <w:rsid w:val="00C67B0B"/>
    <w:rsid w:val="00C70012"/>
    <w:rsid w:val="00C71E2A"/>
    <w:rsid w:val="00C733BA"/>
    <w:rsid w:val="00C760DC"/>
    <w:rsid w:val="00C8082B"/>
    <w:rsid w:val="00C81A88"/>
    <w:rsid w:val="00C81D46"/>
    <w:rsid w:val="00C82298"/>
    <w:rsid w:val="00C833B4"/>
    <w:rsid w:val="00C84284"/>
    <w:rsid w:val="00C84E33"/>
    <w:rsid w:val="00C85FFC"/>
    <w:rsid w:val="00C861FC"/>
    <w:rsid w:val="00C86C87"/>
    <w:rsid w:val="00C9005E"/>
    <w:rsid w:val="00C90111"/>
    <w:rsid w:val="00C9038E"/>
    <w:rsid w:val="00C9077B"/>
    <w:rsid w:val="00C90CA9"/>
    <w:rsid w:val="00C90F88"/>
    <w:rsid w:val="00C915F2"/>
    <w:rsid w:val="00C917B1"/>
    <w:rsid w:val="00C9193C"/>
    <w:rsid w:val="00C91B77"/>
    <w:rsid w:val="00C920E2"/>
    <w:rsid w:val="00C93765"/>
    <w:rsid w:val="00C93877"/>
    <w:rsid w:val="00C93D8C"/>
    <w:rsid w:val="00C93E07"/>
    <w:rsid w:val="00C946CC"/>
    <w:rsid w:val="00C959BD"/>
    <w:rsid w:val="00C95DFE"/>
    <w:rsid w:val="00C95F44"/>
    <w:rsid w:val="00C96D1B"/>
    <w:rsid w:val="00C97106"/>
    <w:rsid w:val="00C978D4"/>
    <w:rsid w:val="00CA0031"/>
    <w:rsid w:val="00CA0413"/>
    <w:rsid w:val="00CA043A"/>
    <w:rsid w:val="00CA0E51"/>
    <w:rsid w:val="00CA1691"/>
    <w:rsid w:val="00CA2738"/>
    <w:rsid w:val="00CA2D2E"/>
    <w:rsid w:val="00CA41E7"/>
    <w:rsid w:val="00CA4A99"/>
    <w:rsid w:val="00CA5520"/>
    <w:rsid w:val="00CA5812"/>
    <w:rsid w:val="00CA5BD4"/>
    <w:rsid w:val="00CA5C14"/>
    <w:rsid w:val="00CA76FC"/>
    <w:rsid w:val="00CA7E7B"/>
    <w:rsid w:val="00CB0236"/>
    <w:rsid w:val="00CB1969"/>
    <w:rsid w:val="00CB19E3"/>
    <w:rsid w:val="00CB2C3A"/>
    <w:rsid w:val="00CB2D38"/>
    <w:rsid w:val="00CB4137"/>
    <w:rsid w:val="00CB52D0"/>
    <w:rsid w:val="00CB5578"/>
    <w:rsid w:val="00CB5671"/>
    <w:rsid w:val="00CB591C"/>
    <w:rsid w:val="00CB5943"/>
    <w:rsid w:val="00CB61B3"/>
    <w:rsid w:val="00CB63BD"/>
    <w:rsid w:val="00CB6F83"/>
    <w:rsid w:val="00CB72AE"/>
    <w:rsid w:val="00CC00CD"/>
    <w:rsid w:val="00CC0579"/>
    <w:rsid w:val="00CC0AF3"/>
    <w:rsid w:val="00CC0BC6"/>
    <w:rsid w:val="00CC0E68"/>
    <w:rsid w:val="00CC1780"/>
    <w:rsid w:val="00CC194E"/>
    <w:rsid w:val="00CC21AC"/>
    <w:rsid w:val="00CC232E"/>
    <w:rsid w:val="00CC2514"/>
    <w:rsid w:val="00CC2D34"/>
    <w:rsid w:val="00CC2F69"/>
    <w:rsid w:val="00CC30AA"/>
    <w:rsid w:val="00CC315F"/>
    <w:rsid w:val="00CC3D38"/>
    <w:rsid w:val="00CC40C3"/>
    <w:rsid w:val="00CC4E5D"/>
    <w:rsid w:val="00CC50AE"/>
    <w:rsid w:val="00CC5FFE"/>
    <w:rsid w:val="00CC61B7"/>
    <w:rsid w:val="00CC61CA"/>
    <w:rsid w:val="00CC69EC"/>
    <w:rsid w:val="00CC71D3"/>
    <w:rsid w:val="00CC743D"/>
    <w:rsid w:val="00CC7A62"/>
    <w:rsid w:val="00CD050A"/>
    <w:rsid w:val="00CD1017"/>
    <w:rsid w:val="00CD205D"/>
    <w:rsid w:val="00CD2A22"/>
    <w:rsid w:val="00CD2B50"/>
    <w:rsid w:val="00CD3172"/>
    <w:rsid w:val="00CD4506"/>
    <w:rsid w:val="00CD520B"/>
    <w:rsid w:val="00CD592E"/>
    <w:rsid w:val="00CD5982"/>
    <w:rsid w:val="00CD5A1A"/>
    <w:rsid w:val="00CD7EFA"/>
    <w:rsid w:val="00CE020E"/>
    <w:rsid w:val="00CE0566"/>
    <w:rsid w:val="00CE1CD4"/>
    <w:rsid w:val="00CE2761"/>
    <w:rsid w:val="00CE28FC"/>
    <w:rsid w:val="00CE314E"/>
    <w:rsid w:val="00CE38DD"/>
    <w:rsid w:val="00CE3D5C"/>
    <w:rsid w:val="00CE3E09"/>
    <w:rsid w:val="00CE3E14"/>
    <w:rsid w:val="00CE44C7"/>
    <w:rsid w:val="00CE53CC"/>
    <w:rsid w:val="00CE65A7"/>
    <w:rsid w:val="00CE68FE"/>
    <w:rsid w:val="00CE69CC"/>
    <w:rsid w:val="00CE6EC4"/>
    <w:rsid w:val="00CE7F26"/>
    <w:rsid w:val="00CF0A8D"/>
    <w:rsid w:val="00CF1226"/>
    <w:rsid w:val="00CF1ABB"/>
    <w:rsid w:val="00CF1BCA"/>
    <w:rsid w:val="00CF1E1D"/>
    <w:rsid w:val="00CF24FE"/>
    <w:rsid w:val="00CF287F"/>
    <w:rsid w:val="00CF35D0"/>
    <w:rsid w:val="00CF3B57"/>
    <w:rsid w:val="00CF3DD5"/>
    <w:rsid w:val="00CF481B"/>
    <w:rsid w:val="00CF4AF7"/>
    <w:rsid w:val="00CF4D20"/>
    <w:rsid w:val="00CF73F8"/>
    <w:rsid w:val="00CF7928"/>
    <w:rsid w:val="00CF7CA2"/>
    <w:rsid w:val="00D00911"/>
    <w:rsid w:val="00D00A8E"/>
    <w:rsid w:val="00D00DE0"/>
    <w:rsid w:val="00D00F79"/>
    <w:rsid w:val="00D012BF"/>
    <w:rsid w:val="00D01760"/>
    <w:rsid w:val="00D030BD"/>
    <w:rsid w:val="00D0368E"/>
    <w:rsid w:val="00D0393E"/>
    <w:rsid w:val="00D03AC3"/>
    <w:rsid w:val="00D03D2D"/>
    <w:rsid w:val="00D03E7B"/>
    <w:rsid w:val="00D0401A"/>
    <w:rsid w:val="00D046C1"/>
    <w:rsid w:val="00D047E0"/>
    <w:rsid w:val="00D04B9F"/>
    <w:rsid w:val="00D04FFB"/>
    <w:rsid w:val="00D055FE"/>
    <w:rsid w:val="00D058E9"/>
    <w:rsid w:val="00D0612A"/>
    <w:rsid w:val="00D06E6B"/>
    <w:rsid w:val="00D07315"/>
    <w:rsid w:val="00D1060D"/>
    <w:rsid w:val="00D10E7C"/>
    <w:rsid w:val="00D11182"/>
    <w:rsid w:val="00D1137B"/>
    <w:rsid w:val="00D11807"/>
    <w:rsid w:val="00D11DB3"/>
    <w:rsid w:val="00D12D82"/>
    <w:rsid w:val="00D12F77"/>
    <w:rsid w:val="00D1306E"/>
    <w:rsid w:val="00D134CD"/>
    <w:rsid w:val="00D1486A"/>
    <w:rsid w:val="00D14B5F"/>
    <w:rsid w:val="00D14E13"/>
    <w:rsid w:val="00D14F23"/>
    <w:rsid w:val="00D160F6"/>
    <w:rsid w:val="00D16740"/>
    <w:rsid w:val="00D16A8B"/>
    <w:rsid w:val="00D16E39"/>
    <w:rsid w:val="00D172A4"/>
    <w:rsid w:val="00D17951"/>
    <w:rsid w:val="00D17AD8"/>
    <w:rsid w:val="00D2104A"/>
    <w:rsid w:val="00D21BB5"/>
    <w:rsid w:val="00D21FFC"/>
    <w:rsid w:val="00D223B6"/>
    <w:rsid w:val="00D223E8"/>
    <w:rsid w:val="00D224E1"/>
    <w:rsid w:val="00D22DC8"/>
    <w:rsid w:val="00D23C28"/>
    <w:rsid w:val="00D2477B"/>
    <w:rsid w:val="00D2522A"/>
    <w:rsid w:val="00D2531C"/>
    <w:rsid w:val="00D2553E"/>
    <w:rsid w:val="00D2742F"/>
    <w:rsid w:val="00D2754F"/>
    <w:rsid w:val="00D277C5"/>
    <w:rsid w:val="00D279D9"/>
    <w:rsid w:val="00D312DC"/>
    <w:rsid w:val="00D31B84"/>
    <w:rsid w:val="00D31C6A"/>
    <w:rsid w:val="00D31EDF"/>
    <w:rsid w:val="00D31FF9"/>
    <w:rsid w:val="00D32149"/>
    <w:rsid w:val="00D32256"/>
    <w:rsid w:val="00D32A27"/>
    <w:rsid w:val="00D32ABC"/>
    <w:rsid w:val="00D33FA4"/>
    <w:rsid w:val="00D34B25"/>
    <w:rsid w:val="00D34F4E"/>
    <w:rsid w:val="00D357F3"/>
    <w:rsid w:val="00D35C0E"/>
    <w:rsid w:val="00D373A8"/>
    <w:rsid w:val="00D379A5"/>
    <w:rsid w:val="00D401BE"/>
    <w:rsid w:val="00D4043A"/>
    <w:rsid w:val="00D40DB0"/>
    <w:rsid w:val="00D41093"/>
    <w:rsid w:val="00D416D5"/>
    <w:rsid w:val="00D41858"/>
    <w:rsid w:val="00D422DB"/>
    <w:rsid w:val="00D42303"/>
    <w:rsid w:val="00D42AC2"/>
    <w:rsid w:val="00D4474A"/>
    <w:rsid w:val="00D4498E"/>
    <w:rsid w:val="00D4515F"/>
    <w:rsid w:val="00D451E8"/>
    <w:rsid w:val="00D46185"/>
    <w:rsid w:val="00D466C9"/>
    <w:rsid w:val="00D47275"/>
    <w:rsid w:val="00D50689"/>
    <w:rsid w:val="00D51064"/>
    <w:rsid w:val="00D517F6"/>
    <w:rsid w:val="00D51E15"/>
    <w:rsid w:val="00D52B7E"/>
    <w:rsid w:val="00D52E2F"/>
    <w:rsid w:val="00D52F59"/>
    <w:rsid w:val="00D53445"/>
    <w:rsid w:val="00D53E3E"/>
    <w:rsid w:val="00D54620"/>
    <w:rsid w:val="00D55904"/>
    <w:rsid w:val="00D5616F"/>
    <w:rsid w:val="00D57940"/>
    <w:rsid w:val="00D60327"/>
    <w:rsid w:val="00D61384"/>
    <w:rsid w:val="00D61526"/>
    <w:rsid w:val="00D61F81"/>
    <w:rsid w:val="00D6276C"/>
    <w:rsid w:val="00D62BE6"/>
    <w:rsid w:val="00D63766"/>
    <w:rsid w:val="00D63912"/>
    <w:rsid w:val="00D63923"/>
    <w:rsid w:val="00D6451B"/>
    <w:rsid w:val="00D64B57"/>
    <w:rsid w:val="00D651A1"/>
    <w:rsid w:val="00D65DEA"/>
    <w:rsid w:val="00D66579"/>
    <w:rsid w:val="00D676D3"/>
    <w:rsid w:val="00D67B06"/>
    <w:rsid w:val="00D67BC7"/>
    <w:rsid w:val="00D701F1"/>
    <w:rsid w:val="00D705D3"/>
    <w:rsid w:val="00D70E00"/>
    <w:rsid w:val="00D70F7C"/>
    <w:rsid w:val="00D715AC"/>
    <w:rsid w:val="00D71851"/>
    <w:rsid w:val="00D718CF"/>
    <w:rsid w:val="00D728F5"/>
    <w:rsid w:val="00D72E9D"/>
    <w:rsid w:val="00D73249"/>
    <w:rsid w:val="00D73419"/>
    <w:rsid w:val="00D73CA9"/>
    <w:rsid w:val="00D751B7"/>
    <w:rsid w:val="00D7524B"/>
    <w:rsid w:val="00D75396"/>
    <w:rsid w:val="00D759C0"/>
    <w:rsid w:val="00D75E99"/>
    <w:rsid w:val="00D765CE"/>
    <w:rsid w:val="00D766C7"/>
    <w:rsid w:val="00D7692B"/>
    <w:rsid w:val="00D7734F"/>
    <w:rsid w:val="00D8044C"/>
    <w:rsid w:val="00D805D6"/>
    <w:rsid w:val="00D8075E"/>
    <w:rsid w:val="00D80860"/>
    <w:rsid w:val="00D80D4C"/>
    <w:rsid w:val="00D8184D"/>
    <w:rsid w:val="00D81A7B"/>
    <w:rsid w:val="00D8223C"/>
    <w:rsid w:val="00D82B57"/>
    <w:rsid w:val="00D82CE5"/>
    <w:rsid w:val="00D831E3"/>
    <w:rsid w:val="00D8342C"/>
    <w:rsid w:val="00D85494"/>
    <w:rsid w:val="00D8582C"/>
    <w:rsid w:val="00D85D61"/>
    <w:rsid w:val="00D8616D"/>
    <w:rsid w:val="00D8644A"/>
    <w:rsid w:val="00D8711B"/>
    <w:rsid w:val="00D87384"/>
    <w:rsid w:val="00D90683"/>
    <w:rsid w:val="00D90B2A"/>
    <w:rsid w:val="00D91483"/>
    <w:rsid w:val="00D915C8"/>
    <w:rsid w:val="00D9310B"/>
    <w:rsid w:val="00D931F3"/>
    <w:rsid w:val="00D93726"/>
    <w:rsid w:val="00D93F3E"/>
    <w:rsid w:val="00D9405B"/>
    <w:rsid w:val="00D94942"/>
    <w:rsid w:val="00D95145"/>
    <w:rsid w:val="00D951DA"/>
    <w:rsid w:val="00D96594"/>
    <w:rsid w:val="00D967CB"/>
    <w:rsid w:val="00D968D4"/>
    <w:rsid w:val="00D96EE0"/>
    <w:rsid w:val="00D97BD1"/>
    <w:rsid w:val="00D97DAD"/>
    <w:rsid w:val="00DA06B8"/>
    <w:rsid w:val="00DA14A9"/>
    <w:rsid w:val="00DA286D"/>
    <w:rsid w:val="00DA2969"/>
    <w:rsid w:val="00DA29B7"/>
    <w:rsid w:val="00DA337C"/>
    <w:rsid w:val="00DA4842"/>
    <w:rsid w:val="00DA5989"/>
    <w:rsid w:val="00DA5AB1"/>
    <w:rsid w:val="00DA5F9D"/>
    <w:rsid w:val="00DA5FFB"/>
    <w:rsid w:val="00DA69B2"/>
    <w:rsid w:val="00DA7462"/>
    <w:rsid w:val="00DA7AD0"/>
    <w:rsid w:val="00DB02D7"/>
    <w:rsid w:val="00DB03CC"/>
    <w:rsid w:val="00DB12D4"/>
    <w:rsid w:val="00DB14F0"/>
    <w:rsid w:val="00DB1745"/>
    <w:rsid w:val="00DB19BB"/>
    <w:rsid w:val="00DB1AFF"/>
    <w:rsid w:val="00DB219A"/>
    <w:rsid w:val="00DB3165"/>
    <w:rsid w:val="00DB4292"/>
    <w:rsid w:val="00DB5023"/>
    <w:rsid w:val="00DB6E46"/>
    <w:rsid w:val="00DB7117"/>
    <w:rsid w:val="00DB7760"/>
    <w:rsid w:val="00DB7DD4"/>
    <w:rsid w:val="00DC00B4"/>
    <w:rsid w:val="00DC0954"/>
    <w:rsid w:val="00DC0DF8"/>
    <w:rsid w:val="00DC15BA"/>
    <w:rsid w:val="00DC18CD"/>
    <w:rsid w:val="00DC1A68"/>
    <w:rsid w:val="00DC30B8"/>
    <w:rsid w:val="00DC478F"/>
    <w:rsid w:val="00DC4D08"/>
    <w:rsid w:val="00DC62E5"/>
    <w:rsid w:val="00DC6D70"/>
    <w:rsid w:val="00DC6F33"/>
    <w:rsid w:val="00DC7349"/>
    <w:rsid w:val="00DD14D8"/>
    <w:rsid w:val="00DD1599"/>
    <w:rsid w:val="00DD1B03"/>
    <w:rsid w:val="00DD1E43"/>
    <w:rsid w:val="00DD2A62"/>
    <w:rsid w:val="00DD2F2F"/>
    <w:rsid w:val="00DD2F7A"/>
    <w:rsid w:val="00DD3885"/>
    <w:rsid w:val="00DD5808"/>
    <w:rsid w:val="00DD5946"/>
    <w:rsid w:val="00DD5B04"/>
    <w:rsid w:val="00DD5DAE"/>
    <w:rsid w:val="00DD5EC6"/>
    <w:rsid w:val="00DD605F"/>
    <w:rsid w:val="00DD72A0"/>
    <w:rsid w:val="00DD735D"/>
    <w:rsid w:val="00DE00EA"/>
    <w:rsid w:val="00DE0159"/>
    <w:rsid w:val="00DE064A"/>
    <w:rsid w:val="00DE082D"/>
    <w:rsid w:val="00DE1410"/>
    <w:rsid w:val="00DE1C29"/>
    <w:rsid w:val="00DE20C6"/>
    <w:rsid w:val="00DE3119"/>
    <w:rsid w:val="00DE3FF0"/>
    <w:rsid w:val="00DE4105"/>
    <w:rsid w:val="00DE41C4"/>
    <w:rsid w:val="00DE5189"/>
    <w:rsid w:val="00DE7108"/>
    <w:rsid w:val="00DE78D1"/>
    <w:rsid w:val="00DE78FF"/>
    <w:rsid w:val="00DF0263"/>
    <w:rsid w:val="00DF0EB4"/>
    <w:rsid w:val="00DF158B"/>
    <w:rsid w:val="00DF193C"/>
    <w:rsid w:val="00DF1E36"/>
    <w:rsid w:val="00DF236B"/>
    <w:rsid w:val="00DF2A91"/>
    <w:rsid w:val="00DF3889"/>
    <w:rsid w:val="00DF3CC9"/>
    <w:rsid w:val="00DF4451"/>
    <w:rsid w:val="00DF49FF"/>
    <w:rsid w:val="00DF4FFB"/>
    <w:rsid w:val="00DF5236"/>
    <w:rsid w:val="00DF651F"/>
    <w:rsid w:val="00DF6F43"/>
    <w:rsid w:val="00DF752F"/>
    <w:rsid w:val="00DF76A2"/>
    <w:rsid w:val="00E00B7A"/>
    <w:rsid w:val="00E01FDD"/>
    <w:rsid w:val="00E02186"/>
    <w:rsid w:val="00E026BB"/>
    <w:rsid w:val="00E027C5"/>
    <w:rsid w:val="00E03124"/>
    <w:rsid w:val="00E031C3"/>
    <w:rsid w:val="00E03951"/>
    <w:rsid w:val="00E03DB8"/>
    <w:rsid w:val="00E03F17"/>
    <w:rsid w:val="00E0420C"/>
    <w:rsid w:val="00E04EDD"/>
    <w:rsid w:val="00E05E70"/>
    <w:rsid w:val="00E064BC"/>
    <w:rsid w:val="00E07225"/>
    <w:rsid w:val="00E076B4"/>
    <w:rsid w:val="00E07B55"/>
    <w:rsid w:val="00E10579"/>
    <w:rsid w:val="00E109DD"/>
    <w:rsid w:val="00E11229"/>
    <w:rsid w:val="00E114CA"/>
    <w:rsid w:val="00E11FE2"/>
    <w:rsid w:val="00E1397F"/>
    <w:rsid w:val="00E13AB8"/>
    <w:rsid w:val="00E1482E"/>
    <w:rsid w:val="00E16382"/>
    <w:rsid w:val="00E1699C"/>
    <w:rsid w:val="00E16E75"/>
    <w:rsid w:val="00E1746D"/>
    <w:rsid w:val="00E2012A"/>
    <w:rsid w:val="00E205A2"/>
    <w:rsid w:val="00E20BA4"/>
    <w:rsid w:val="00E2302A"/>
    <w:rsid w:val="00E23137"/>
    <w:rsid w:val="00E23980"/>
    <w:rsid w:val="00E241E9"/>
    <w:rsid w:val="00E257C3"/>
    <w:rsid w:val="00E25CB3"/>
    <w:rsid w:val="00E25DA4"/>
    <w:rsid w:val="00E26237"/>
    <w:rsid w:val="00E26CB8"/>
    <w:rsid w:val="00E26D16"/>
    <w:rsid w:val="00E26FCF"/>
    <w:rsid w:val="00E27165"/>
    <w:rsid w:val="00E275D9"/>
    <w:rsid w:val="00E27988"/>
    <w:rsid w:val="00E3044A"/>
    <w:rsid w:val="00E30E49"/>
    <w:rsid w:val="00E3174A"/>
    <w:rsid w:val="00E31A4A"/>
    <w:rsid w:val="00E3344A"/>
    <w:rsid w:val="00E33B29"/>
    <w:rsid w:val="00E33B62"/>
    <w:rsid w:val="00E3403D"/>
    <w:rsid w:val="00E344BD"/>
    <w:rsid w:val="00E34E6C"/>
    <w:rsid w:val="00E353E2"/>
    <w:rsid w:val="00E36345"/>
    <w:rsid w:val="00E36C86"/>
    <w:rsid w:val="00E36CEB"/>
    <w:rsid w:val="00E37387"/>
    <w:rsid w:val="00E3781F"/>
    <w:rsid w:val="00E37A28"/>
    <w:rsid w:val="00E40430"/>
    <w:rsid w:val="00E40690"/>
    <w:rsid w:val="00E40AEB"/>
    <w:rsid w:val="00E4143A"/>
    <w:rsid w:val="00E424C8"/>
    <w:rsid w:val="00E4251D"/>
    <w:rsid w:val="00E43D00"/>
    <w:rsid w:val="00E44060"/>
    <w:rsid w:val="00E443B4"/>
    <w:rsid w:val="00E445E4"/>
    <w:rsid w:val="00E457CB"/>
    <w:rsid w:val="00E45D47"/>
    <w:rsid w:val="00E45DE4"/>
    <w:rsid w:val="00E45E63"/>
    <w:rsid w:val="00E46BBC"/>
    <w:rsid w:val="00E4759C"/>
    <w:rsid w:val="00E50A7B"/>
    <w:rsid w:val="00E50B0B"/>
    <w:rsid w:val="00E510FE"/>
    <w:rsid w:val="00E516C7"/>
    <w:rsid w:val="00E51E25"/>
    <w:rsid w:val="00E5205B"/>
    <w:rsid w:val="00E521AE"/>
    <w:rsid w:val="00E529A3"/>
    <w:rsid w:val="00E53A21"/>
    <w:rsid w:val="00E53BCA"/>
    <w:rsid w:val="00E53DE2"/>
    <w:rsid w:val="00E53F02"/>
    <w:rsid w:val="00E54534"/>
    <w:rsid w:val="00E548C3"/>
    <w:rsid w:val="00E54C5A"/>
    <w:rsid w:val="00E54F27"/>
    <w:rsid w:val="00E55FF1"/>
    <w:rsid w:val="00E56090"/>
    <w:rsid w:val="00E565B9"/>
    <w:rsid w:val="00E56E7B"/>
    <w:rsid w:val="00E5733B"/>
    <w:rsid w:val="00E5756C"/>
    <w:rsid w:val="00E57811"/>
    <w:rsid w:val="00E601BE"/>
    <w:rsid w:val="00E60B5F"/>
    <w:rsid w:val="00E613AE"/>
    <w:rsid w:val="00E61429"/>
    <w:rsid w:val="00E61ABB"/>
    <w:rsid w:val="00E61FD7"/>
    <w:rsid w:val="00E623E6"/>
    <w:rsid w:val="00E630C0"/>
    <w:rsid w:val="00E63107"/>
    <w:rsid w:val="00E6312C"/>
    <w:rsid w:val="00E634E6"/>
    <w:rsid w:val="00E63DCE"/>
    <w:rsid w:val="00E6453E"/>
    <w:rsid w:val="00E64700"/>
    <w:rsid w:val="00E65074"/>
    <w:rsid w:val="00E65E70"/>
    <w:rsid w:val="00E66087"/>
    <w:rsid w:val="00E66D79"/>
    <w:rsid w:val="00E66FF9"/>
    <w:rsid w:val="00E6706F"/>
    <w:rsid w:val="00E67856"/>
    <w:rsid w:val="00E679C8"/>
    <w:rsid w:val="00E70314"/>
    <w:rsid w:val="00E724E7"/>
    <w:rsid w:val="00E72B41"/>
    <w:rsid w:val="00E7347B"/>
    <w:rsid w:val="00E73792"/>
    <w:rsid w:val="00E73D03"/>
    <w:rsid w:val="00E74040"/>
    <w:rsid w:val="00E7471C"/>
    <w:rsid w:val="00E7498A"/>
    <w:rsid w:val="00E7514E"/>
    <w:rsid w:val="00E76537"/>
    <w:rsid w:val="00E77784"/>
    <w:rsid w:val="00E77AF5"/>
    <w:rsid w:val="00E823F9"/>
    <w:rsid w:val="00E82C1F"/>
    <w:rsid w:val="00E83671"/>
    <w:rsid w:val="00E840EE"/>
    <w:rsid w:val="00E84A71"/>
    <w:rsid w:val="00E86556"/>
    <w:rsid w:val="00E86D35"/>
    <w:rsid w:val="00E86DC2"/>
    <w:rsid w:val="00E86E32"/>
    <w:rsid w:val="00E86F2E"/>
    <w:rsid w:val="00E8732E"/>
    <w:rsid w:val="00E9011F"/>
    <w:rsid w:val="00E906EB"/>
    <w:rsid w:val="00E90A66"/>
    <w:rsid w:val="00E919FB"/>
    <w:rsid w:val="00E9241E"/>
    <w:rsid w:val="00E92460"/>
    <w:rsid w:val="00E92E62"/>
    <w:rsid w:val="00E93804"/>
    <w:rsid w:val="00E9429D"/>
    <w:rsid w:val="00E95434"/>
    <w:rsid w:val="00E96467"/>
    <w:rsid w:val="00E966DA"/>
    <w:rsid w:val="00E96948"/>
    <w:rsid w:val="00E9737B"/>
    <w:rsid w:val="00E97A3F"/>
    <w:rsid w:val="00E97F0A"/>
    <w:rsid w:val="00EA0100"/>
    <w:rsid w:val="00EA0BCE"/>
    <w:rsid w:val="00EA2744"/>
    <w:rsid w:val="00EA37B9"/>
    <w:rsid w:val="00EA39F7"/>
    <w:rsid w:val="00EA3DC2"/>
    <w:rsid w:val="00EA434E"/>
    <w:rsid w:val="00EA4757"/>
    <w:rsid w:val="00EA560B"/>
    <w:rsid w:val="00EA5669"/>
    <w:rsid w:val="00EA5CC6"/>
    <w:rsid w:val="00EA63EF"/>
    <w:rsid w:val="00EA7C16"/>
    <w:rsid w:val="00EB0A89"/>
    <w:rsid w:val="00EB1573"/>
    <w:rsid w:val="00EB1910"/>
    <w:rsid w:val="00EB2D83"/>
    <w:rsid w:val="00EB2E97"/>
    <w:rsid w:val="00EB3416"/>
    <w:rsid w:val="00EB4AE1"/>
    <w:rsid w:val="00EB52F4"/>
    <w:rsid w:val="00EB5694"/>
    <w:rsid w:val="00EB5779"/>
    <w:rsid w:val="00EB5D2F"/>
    <w:rsid w:val="00EB67F1"/>
    <w:rsid w:val="00EB72CD"/>
    <w:rsid w:val="00EB749A"/>
    <w:rsid w:val="00EB76B6"/>
    <w:rsid w:val="00EB7D8A"/>
    <w:rsid w:val="00EC05E2"/>
    <w:rsid w:val="00EC08AC"/>
    <w:rsid w:val="00EC0E84"/>
    <w:rsid w:val="00EC16E2"/>
    <w:rsid w:val="00EC1CE7"/>
    <w:rsid w:val="00EC26F1"/>
    <w:rsid w:val="00EC3C94"/>
    <w:rsid w:val="00EC44DF"/>
    <w:rsid w:val="00EC4FB9"/>
    <w:rsid w:val="00EC5393"/>
    <w:rsid w:val="00EC5741"/>
    <w:rsid w:val="00EC5DA3"/>
    <w:rsid w:val="00EC6014"/>
    <w:rsid w:val="00EC6B3E"/>
    <w:rsid w:val="00EC73DE"/>
    <w:rsid w:val="00EC7637"/>
    <w:rsid w:val="00EC7CF2"/>
    <w:rsid w:val="00ED046C"/>
    <w:rsid w:val="00ED053A"/>
    <w:rsid w:val="00ED1F03"/>
    <w:rsid w:val="00ED2D27"/>
    <w:rsid w:val="00ED3347"/>
    <w:rsid w:val="00ED3441"/>
    <w:rsid w:val="00ED3860"/>
    <w:rsid w:val="00ED3954"/>
    <w:rsid w:val="00ED43A2"/>
    <w:rsid w:val="00ED4967"/>
    <w:rsid w:val="00ED5140"/>
    <w:rsid w:val="00ED538C"/>
    <w:rsid w:val="00ED5771"/>
    <w:rsid w:val="00ED587F"/>
    <w:rsid w:val="00ED5964"/>
    <w:rsid w:val="00ED623F"/>
    <w:rsid w:val="00ED63A5"/>
    <w:rsid w:val="00ED69BA"/>
    <w:rsid w:val="00ED6D1A"/>
    <w:rsid w:val="00ED72E9"/>
    <w:rsid w:val="00ED732E"/>
    <w:rsid w:val="00ED77F0"/>
    <w:rsid w:val="00ED7C60"/>
    <w:rsid w:val="00ED7FBC"/>
    <w:rsid w:val="00EE0253"/>
    <w:rsid w:val="00EE0297"/>
    <w:rsid w:val="00EE1258"/>
    <w:rsid w:val="00EE13DA"/>
    <w:rsid w:val="00EE1668"/>
    <w:rsid w:val="00EE1EDB"/>
    <w:rsid w:val="00EE24E2"/>
    <w:rsid w:val="00EE366D"/>
    <w:rsid w:val="00EE4CDF"/>
    <w:rsid w:val="00EE5454"/>
    <w:rsid w:val="00EE59B5"/>
    <w:rsid w:val="00EE5FB7"/>
    <w:rsid w:val="00EE6783"/>
    <w:rsid w:val="00EE7B54"/>
    <w:rsid w:val="00EE7C47"/>
    <w:rsid w:val="00EE7C88"/>
    <w:rsid w:val="00EE7C8B"/>
    <w:rsid w:val="00EF0209"/>
    <w:rsid w:val="00EF0508"/>
    <w:rsid w:val="00EF0EA4"/>
    <w:rsid w:val="00EF1E97"/>
    <w:rsid w:val="00EF2436"/>
    <w:rsid w:val="00EF2547"/>
    <w:rsid w:val="00EF2B2B"/>
    <w:rsid w:val="00EF2E1C"/>
    <w:rsid w:val="00EF2FD6"/>
    <w:rsid w:val="00EF326A"/>
    <w:rsid w:val="00EF427A"/>
    <w:rsid w:val="00EF45DF"/>
    <w:rsid w:val="00EF4952"/>
    <w:rsid w:val="00EF498F"/>
    <w:rsid w:val="00EF4A42"/>
    <w:rsid w:val="00EF510C"/>
    <w:rsid w:val="00EF55C4"/>
    <w:rsid w:val="00EF57BC"/>
    <w:rsid w:val="00EF6784"/>
    <w:rsid w:val="00EF688A"/>
    <w:rsid w:val="00EF6A03"/>
    <w:rsid w:val="00EF6DC2"/>
    <w:rsid w:val="00EF7506"/>
    <w:rsid w:val="00EF7BF4"/>
    <w:rsid w:val="00F0030F"/>
    <w:rsid w:val="00F00674"/>
    <w:rsid w:val="00F01657"/>
    <w:rsid w:val="00F01E67"/>
    <w:rsid w:val="00F02744"/>
    <w:rsid w:val="00F02BFD"/>
    <w:rsid w:val="00F02D25"/>
    <w:rsid w:val="00F03C3D"/>
    <w:rsid w:val="00F0435D"/>
    <w:rsid w:val="00F04580"/>
    <w:rsid w:val="00F04ECA"/>
    <w:rsid w:val="00F04F8B"/>
    <w:rsid w:val="00F06E19"/>
    <w:rsid w:val="00F06F84"/>
    <w:rsid w:val="00F076E7"/>
    <w:rsid w:val="00F07AA1"/>
    <w:rsid w:val="00F105AE"/>
    <w:rsid w:val="00F10618"/>
    <w:rsid w:val="00F1108B"/>
    <w:rsid w:val="00F114FA"/>
    <w:rsid w:val="00F11768"/>
    <w:rsid w:val="00F11951"/>
    <w:rsid w:val="00F12262"/>
    <w:rsid w:val="00F12564"/>
    <w:rsid w:val="00F12AF8"/>
    <w:rsid w:val="00F12C52"/>
    <w:rsid w:val="00F13E62"/>
    <w:rsid w:val="00F148B7"/>
    <w:rsid w:val="00F14EA9"/>
    <w:rsid w:val="00F15505"/>
    <w:rsid w:val="00F15BFF"/>
    <w:rsid w:val="00F16E4F"/>
    <w:rsid w:val="00F17244"/>
    <w:rsid w:val="00F213A0"/>
    <w:rsid w:val="00F21D54"/>
    <w:rsid w:val="00F21EF4"/>
    <w:rsid w:val="00F23113"/>
    <w:rsid w:val="00F23255"/>
    <w:rsid w:val="00F23393"/>
    <w:rsid w:val="00F23759"/>
    <w:rsid w:val="00F24644"/>
    <w:rsid w:val="00F25947"/>
    <w:rsid w:val="00F262D6"/>
    <w:rsid w:val="00F26F33"/>
    <w:rsid w:val="00F2748A"/>
    <w:rsid w:val="00F300A8"/>
    <w:rsid w:val="00F302C6"/>
    <w:rsid w:val="00F30400"/>
    <w:rsid w:val="00F3079E"/>
    <w:rsid w:val="00F33968"/>
    <w:rsid w:val="00F3399B"/>
    <w:rsid w:val="00F33F4B"/>
    <w:rsid w:val="00F346ED"/>
    <w:rsid w:val="00F34945"/>
    <w:rsid w:val="00F34E1E"/>
    <w:rsid w:val="00F3570C"/>
    <w:rsid w:val="00F363A4"/>
    <w:rsid w:val="00F36765"/>
    <w:rsid w:val="00F368FF"/>
    <w:rsid w:val="00F37068"/>
    <w:rsid w:val="00F37F3F"/>
    <w:rsid w:val="00F40992"/>
    <w:rsid w:val="00F40F72"/>
    <w:rsid w:val="00F40FD8"/>
    <w:rsid w:val="00F41596"/>
    <w:rsid w:val="00F41D8B"/>
    <w:rsid w:val="00F42121"/>
    <w:rsid w:val="00F424B3"/>
    <w:rsid w:val="00F428B1"/>
    <w:rsid w:val="00F428B4"/>
    <w:rsid w:val="00F4345D"/>
    <w:rsid w:val="00F4387B"/>
    <w:rsid w:val="00F448EE"/>
    <w:rsid w:val="00F451D4"/>
    <w:rsid w:val="00F45921"/>
    <w:rsid w:val="00F45B91"/>
    <w:rsid w:val="00F46639"/>
    <w:rsid w:val="00F46DBB"/>
    <w:rsid w:val="00F476FD"/>
    <w:rsid w:val="00F50183"/>
    <w:rsid w:val="00F50D92"/>
    <w:rsid w:val="00F51765"/>
    <w:rsid w:val="00F51A51"/>
    <w:rsid w:val="00F51BC6"/>
    <w:rsid w:val="00F51CB4"/>
    <w:rsid w:val="00F52324"/>
    <w:rsid w:val="00F52950"/>
    <w:rsid w:val="00F52C9D"/>
    <w:rsid w:val="00F533F1"/>
    <w:rsid w:val="00F55679"/>
    <w:rsid w:val="00F561E3"/>
    <w:rsid w:val="00F565E6"/>
    <w:rsid w:val="00F56772"/>
    <w:rsid w:val="00F56AFA"/>
    <w:rsid w:val="00F575E2"/>
    <w:rsid w:val="00F579FF"/>
    <w:rsid w:val="00F600E0"/>
    <w:rsid w:val="00F605EC"/>
    <w:rsid w:val="00F60F60"/>
    <w:rsid w:val="00F612CE"/>
    <w:rsid w:val="00F6133C"/>
    <w:rsid w:val="00F624A7"/>
    <w:rsid w:val="00F62AB6"/>
    <w:rsid w:val="00F65A3C"/>
    <w:rsid w:val="00F66282"/>
    <w:rsid w:val="00F6639E"/>
    <w:rsid w:val="00F670E9"/>
    <w:rsid w:val="00F67AF1"/>
    <w:rsid w:val="00F67D8B"/>
    <w:rsid w:val="00F701C5"/>
    <w:rsid w:val="00F70961"/>
    <w:rsid w:val="00F70A8F"/>
    <w:rsid w:val="00F70E36"/>
    <w:rsid w:val="00F71397"/>
    <w:rsid w:val="00F72389"/>
    <w:rsid w:val="00F72516"/>
    <w:rsid w:val="00F72FB4"/>
    <w:rsid w:val="00F735E5"/>
    <w:rsid w:val="00F73E80"/>
    <w:rsid w:val="00F7469C"/>
    <w:rsid w:val="00F7492E"/>
    <w:rsid w:val="00F74945"/>
    <w:rsid w:val="00F749A3"/>
    <w:rsid w:val="00F74AE8"/>
    <w:rsid w:val="00F76C11"/>
    <w:rsid w:val="00F77021"/>
    <w:rsid w:val="00F77E61"/>
    <w:rsid w:val="00F77E9A"/>
    <w:rsid w:val="00F80221"/>
    <w:rsid w:val="00F80C81"/>
    <w:rsid w:val="00F81265"/>
    <w:rsid w:val="00F815AC"/>
    <w:rsid w:val="00F8187D"/>
    <w:rsid w:val="00F83B33"/>
    <w:rsid w:val="00F83CAE"/>
    <w:rsid w:val="00F840BF"/>
    <w:rsid w:val="00F8427A"/>
    <w:rsid w:val="00F843DF"/>
    <w:rsid w:val="00F84899"/>
    <w:rsid w:val="00F85585"/>
    <w:rsid w:val="00F859F0"/>
    <w:rsid w:val="00F85CC1"/>
    <w:rsid w:val="00F86B5D"/>
    <w:rsid w:val="00F875E1"/>
    <w:rsid w:val="00F87634"/>
    <w:rsid w:val="00F87C13"/>
    <w:rsid w:val="00F87C5A"/>
    <w:rsid w:val="00F87E29"/>
    <w:rsid w:val="00F87F18"/>
    <w:rsid w:val="00F87F68"/>
    <w:rsid w:val="00F90C4D"/>
    <w:rsid w:val="00F9167D"/>
    <w:rsid w:val="00F91CB2"/>
    <w:rsid w:val="00F927E8"/>
    <w:rsid w:val="00F9289C"/>
    <w:rsid w:val="00F93DBC"/>
    <w:rsid w:val="00F93E41"/>
    <w:rsid w:val="00F94644"/>
    <w:rsid w:val="00F952E4"/>
    <w:rsid w:val="00F9537B"/>
    <w:rsid w:val="00F963FC"/>
    <w:rsid w:val="00F97CF1"/>
    <w:rsid w:val="00FA015F"/>
    <w:rsid w:val="00FA0160"/>
    <w:rsid w:val="00FA0FAC"/>
    <w:rsid w:val="00FA10F7"/>
    <w:rsid w:val="00FA1DA2"/>
    <w:rsid w:val="00FA3414"/>
    <w:rsid w:val="00FA347A"/>
    <w:rsid w:val="00FA3CDE"/>
    <w:rsid w:val="00FA4524"/>
    <w:rsid w:val="00FA49B7"/>
    <w:rsid w:val="00FA5043"/>
    <w:rsid w:val="00FA6F8B"/>
    <w:rsid w:val="00FA727C"/>
    <w:rsid w:val="00FA7A30"/>
    <w:rsid w:val="00FB033F"/>
    <w:rsid w:val="00FB12E3"/>
    <w:rsid w:val="00FB1570"/>
    <w:rsid w:val="00FB193B"/>
    <w:rsid w:val="00FB1FBC"/>
    <w:rsid w:val="00FB27B7"/>
    <w:rsid w:val="00FB2887"/>
    <w:rsid w:val="00FB35E3"/>
    <w:rsid w:val="00FB3C52"/>
    <w:rsid w:val="00FB4C98"/>
    <w:rsid w:val="00FB4CE3"/>
    <w:rsid w:val="00FB583C"/>
    <w:rsid w:val="00FB630E"/>
    <w:rsid w:val="00FB6738"/>
    <w:rsid w:val="00FB691B"/>
    <w:rsid w:val="00FB6BE6"/>
    <w:rsid w:val="00FB731C"/>
    <w:rsid w:val="00FB7628"/>
    <w:rsid w:val="00FC05A0"/>
    <w:rsid w:val="00FC0811"/>
    <w:rsid w:val="00FC1196"/>
    <w:rsid w:val="00FC15EB"/>
    <w:rsid w:val="00FC162C"/>
    <w:rsid w:val="00FC18BA"/>
    <w:rsid w:val="00FC18DC"/>
    <w:rsid w:val="00FC2477"/>
    <w:rsid w:val="00FC2AC4"/>
    <w:rsid w:val="00FC2CAC"/>
    <w:rsid w:val="00FC2F73"/>
    <w:rsid w:val="00FC3A9B"/>
    <w:rsid w:val="00FC3AE1"/>
    <w:rsid w:val="00FC3DFC"/>
    <w:rsid w:val="00FC3EF4"/>
    <w:rsid w:val="00FC431B"/>
    <w:rsid w:val="00FC434C"/>
    <w:rsid w:val="00FC472C"/>
    <w:rsid w:val="00FC4FDF"/>
    <w:rsid w:val="00FC5CF4"/>
    <w:rsid w:val="00FC5D64"/>
    <w:rsid w:val="00FC6A39"/>
    <w:rsid w:val="00FC76A9"/>
    <w:rsid w:val="00FC79AB"/>
    <w:rsid w:val="00FC7BE7"/>
    <w:rsid w:val="00FC7DAC"/>
    <w:rsid w:val="00FD005D"/>
    <w:rsid w:val="00FD023A"/>
    <w:rsid w:val="00FD04AE"/>
    <w:rsid w:val="00FD0DFA"/>
    <w:rsid w:val="00FD128D"/>
    <w:rsid w:val="00FD1890"/>
    <w:rsid w:val="00FD1994"/>
    <w:rsid w:val="00FD3508"/>
    <w:rsid w:val="00FD393C"/>
    <w:rsid w:val="00FD3AFF"/>
    <w:rsid w:val="00FD43BB"/>
    <w:rsid w:val="00FD48CD"/>
    <w:rsid w:val="00FD4AF3"/>
    <w:rsid w:val="00FD798D"/>
    <w:rsid w:val="00FE141E"/>
    <w:rsid w:val="00FE144E"/>
    <w:rsid w:val="00FE1768"/>
    <w:rsid w:val="00FE24F4"/>
    <w:rsid w:val="00FE2560"/>
    <w:rsid w:val="00FE35D0"/>
    <w:rsid w:val="00FE42ED"/>
    <w:rsid w:val="00FE4E06"/>
    <w:rsid w:val="00FE55A7"/>
    <w:rsid w:val="00FE5C5A"/>
    <w:rsid w:val="00FE6432"/>
    <w:rsid w:val="00FE72A0"/>
    <w:rsid w:val="00FE76F9"/>
    <w:rsid w:val="00FF0050"/>
    <w:rsid w:val="00FF045F"/>
    <w:rsid w:val="00FF13D4"/>
    <w:rsid w:val="00FF154C"/>
    <w:rsid w:val="00FF2053"/>
    <w:rsid w:val="00FF3B37"/>
    <w:rsid w:val="00FF3CC7"/>
    <w:rsid w:val="00FF3D6F"/>
    <w:rsid w:val="00FF4BD8"/>
    <w:rsid w:val="00FF4D11"/>
    <w:rsid w:val="00FF5214"/>
    <w:rsid w:val="00FF596E"/>
    <w:rsid w:val="00FF5B59"/>
    <w:rsid w:val="00FF5BFD"/>
    <w:rsid w:val="00FF6095"/>
    <w:rsid w:val="00FF62FE"/>
    <w:rsid w:val="00FF6553"/>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34261"/>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styleId="Mencinsinresolver">
    <w:name w:val="Unresolved Mention"/>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paragraph" w:customStyle="1" w:styleId="Cuadrculamedia1-nfasis21">
    <w:name w:val="Cuadrícula media 1 - Énfasis 21"/>
    <w:basedOn w:val="Normal"/>
    <w:uiPriority w:val="34"/>
    <w:qFormat/>
    <w:rsid w:val="003F155A"/>
    <w:pPr>
      <w:spacing w:after="160" w:line="259"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39812000">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79550618">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1133581">
      <w:bodyDiv w:val="1"/>
      <w:marLeft w:val="0"/>
      <w:marRight w:val="0"/>
      <w:marTop w:val="0"/>
      <w:marBottom w:val="0"/>
      <w:divBdr>
        <w:top w:val="none" w:sz="0" w:space="0" w:color="auto"/>
        <w:left w:val="none" w:sz="0" w:space="0" w:color="auto"/>
        <w:bottom w:val="none" w:sz="0" w:space="0" w:color="auto"/>
        <w:right w:val="none" w:sz="0" w:space="0" w:color="auto"/>
      </w:divBdr>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37418480">
      <w:bodyDiv w:val="1"/>
      <w:marLeft w:val="0"/>
      <w:marRight w:val="0"/>
      <w:marTop w:val="0"/>
      <w:marBottom w:val="0"/>
      <w:divBdr>
        <w:top w:val="none" w:sz="0" w:space="0" w:color="auto"/>
        <w:left w:val="none" w:sz="0" w:space="0" w:color="auto"/>
        <w:bottom w:val="none" w:sz="0" w:space="0" w:color="auto"/>
        <w:right w:val="none" w:sz="0" w:space="0" w:color="auto"/>
      </w:divBdr>
      <w:divsChild>
        <w:div w:id="133331227">
          <w:marLeft w:val="0"/>
          <w:marRight w:val="0"/>
          <w:marTop w:val="0"/>
          <w:marBottom w:val="0"/>
          <w:divBdr>
            <w:top w:val="none" w:sz="0" w:space="0" w:color="auto"/>
            <w:left w:val="none" w:sz="0" w:space="0" w:color="auto"/>
            <w:bottom w:val="none" w:sz="0" w:space="0" w:color="auto"/>
            <w:right w:val="none" w:sz="0" w:space="0" w:color="auto"/>
          </w:divBdr>
          <w:divsChild>
            <w:div w:id="1117915273">
              <w:marLeft w:val="0"/>
              <w:marRight w:val="0"/>
              <w:marTop w:val="0"/>
              <w:marBottom w:val="0"/>
              <w:divBdr>
                <w:top w:val="none" w:sz="0" w:space="0" w:color="auto"/>
                <w:left w:val="none" w:sz="0" w:space="0" w:color="auto"/>
                <w:bottom w:val="none" w:sz="0" w:space="0" w:color="auto"/>
                <w:right w:val="none" w:sz="0" w:space="0" w:color="auto"/>
              </w:divBdr>
              <w:divsChild>
                <w:div w:id="107743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8147473">
      <w:bodyDiv w:val="1"/>
      <w:marLeft w:val="0"/>
      <w:marRight w:val="0"/>
      <w:marTop w:val="0"/>
      <w:marBottom w:val="0"/>
      <w:divBdr>
        <w:top w:val="none" w:sz="0" w:space="0" w:color="auto"/>
        <w:left w:val="none" w:sz="0" w:space="0" w:color="auto"/>
        <w:bottom w:val="none" w:sz="0" w:space="0" w:color="auto"/>
        <w:right w:val="none" w:sz="0" w:space="0" w:color="auto"/>
      </w:divBdr>
      <w:divsChild>
        <w:div w:id="1482426068">
          <w:marLeft w:val="0"/>
          <w:marRight w:val="0"/>
          <w:marTop w:val="0"/>
          <w:marBottom w:val="0"/>
          <w:divBdr>
            <w:top w:val="none" w:sz="0" w:space="0" w:color="auto"/>
            <w:left w:val="none" w:sz="0" w:space="0" w:color="auto"/>
            <w:bottom w:val="none" w:sz="0" w:space="0" w:color="auto"/>
            <w:right w:val="none" w:sz="0" w:space="0" w:color="auto"/>
          </w:divBdr>
        </w:div>
        <w:div w:id="1786777220">
          <w:marLeft w:val="0"/>
          <w:marRight w:val="0"/>
          <w:marTop w:val="0"/>
          <w:marBottom w:val="0"/>
          <w:divBdr>
            <w:top w:val="none" w:sz="0" w:space="0" w:color="auto"/>
            <w:left w:val="none" w:sz="0" w:space="0" w:color="auto"/>
            <w:bottom w:val="none" w:sz="0" w:space="0" w:color="auto"/>
            <w:right w:val="none" w:sz="0" w:space="0" w:color="auto"/>
          </w:divBdr>
        </w:div>
        <w:div w:id="1973706903">
          <w:marLeft w:val="0"/>
          <w:marRight w:val="0"/>
          <w:marTop w:val="0"/>
          <w:marBottom w:val="0"/>
          <w:divBdr>
            <w:top w:val="none" w:sz="0" w:space="0" w:color="auto"/>
            <w:left w:val="none" w:sz="0" w:space="0" w:color="auto"/>
            <w:bottom w:val="none" w:sz="0" w:space="0" w:color="auto"/>
            <w:right w:val="none" w:sz="0" w:space="0" w:color="auto"/>
          </w:divBdr>
        </w:div>
        <w:div w:id="704401714">
          <w:marLeft w:val="0"/>
          <w:marRight w:val="0"/>
          <w:marTop w:val="0"/>
          <w:marBottom w:val="0"/>
          <w:divBdr>
            <w:top w:val="none" w:sz="0" w:space="0" w:color="auto"/>
            <w:left w:val="none" w:sz="0" w:space="0" w:color="auto"/>
            <w:bottom w:val="none" w:sz="0" w:space="0" w:color="auto"/>
            <w:right w:val="none" w:sz="0" w:space="0" w:color="auto"/>
          </w:divBdr>
        </w:div>
        <w:div w:id="113255144">
          <w:marLeft w:val="0"/>
          <w:marRight w:val="0"/>
          <w:marTop w:val="0"/>
          <w:marBottom w:val="0"/>
          <w:divBdr>
            <w:top w:val="none" w:sz="0" w:space="0" w:color="auto"/>
            <w:left w:val="none" w:sz="0" w:space="0" w:color="auto"/>
            <w:bottom w:val="none" w:sz="0" w:space="0" w:color="auto"/>
            <w:right w:val="none" w:sz="0" w:space="0" w:color="auto"/>
          </w:divBdr>
        </w:div>
      </w:divsChild>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3775468">
      <w:bodyDiv w:val="1"/>
      <w:marLeft w:val="0"/>
      <w:marRight w:val="0"/>
      <w:marTop w:val="0"/>
      <w:marBottom w:val="0"/>
      <w:divBdr>
        <w:top w:val="none" w:sz="0" w:space="0" w:color="auto"/>
        <w:left w:val="none" w:sz="0" w:space="0" w:color="auto"/>
        <w:bottom w:val="none" w:sz="0" w:space="0" w:color="auto"/>
        <w:right w:val="none" w:sz="0" w:space="0" w:color="auto"/>
      </w:divBdr>
      <w:divsChild>
        <w:div w:id="1932541824">
          <w:marLeft w:val="0"/>
          <w:marRight w:val="0"/>
          <w:marTop w:val="0"/>
          <w:marBottom w:val="0"/>
          <w:divBdr>
            <w:top w:val="none" w:sz="0" w:space="0" w:color="auto"/>
            <w:left w:val="none" w:sz="0" w:space="0" w:color="auto"/>
            <w:bottom w:val="none" w:sz="0" w:space="0" w:color="auto"/>
            <w:right w:val="none" w:sz="0" w:space="0" w:color="auto"/>
          </w:divBdr>
        </w:div>
      </w:divsChild>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2875713">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583900">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15815225">
      <w:bodyDiv w:val="1"/>
      <w:marLeft w:val="0"/>
      <w:marRight w:val="0"/>
      <w:marTop w:val="0"/>
      <w:marBottom w:val="0"/>
      <w:divBdr>
        <w:top w:val="none" w:sz="0" w:space="0" w:color="auto"/>
        <w:left w:val="none" w:sz="0" w:space="0" w:color="auto"/>
        <w:bottom w:val="none" w:sz="0" w:space="0" w:color="auto"/>
        <w:right w:val="none" w:sz="0" w:space="0" w:color="auto"/>
      </w:divBdr>
      <w:divsChild>
        <w:div w:id="1418945597">
          <w:marLeft w:val="0"/>
          <w:marRight w:val="0"/>
          <w:marTop w:val="0"/>
          <w:marBottom w:val="0"/>
          <w:divBdr>
            <w:top w:val="none" w:sz="0" w:space="0" w:color="auto"/>
            <w:left w:val="none" w:sz="0" w:space="0" w:color="auto"/>
            <w:bottom w:val="none" w:sz="0" w:space="0" w:color="auto"/>
            <w:right w:val="none" w:sz="0" w:space="0" w:color="auto"/>
          </w:divBdr>
          <w:divsChild>
            <w:div w:id="1531139627">
              <w:marLeft w:val="0"/>
              <w:marRight w:val="0"/>
              <w:marTop w:val="0"/>
              <w:marBottom w:val="0"/>
              <w:divBdr>
                <w:top w:val="none" w:sz="0" w:space="0" w:color="auto"/>
                <w:left w:val="none" w:sz="0" w:space="0" w:color="auto"/>
                <w:bottom w:val="none" w:sz="0" w:space="0" w:color="auto"/>
                <w:right w:val="none" w:sz="0" w:space="0" w:color="auto"/>
              </w:divBdr>
              <w:divsChild>
                <w:div w:id="2048066693">
                  <w:marLeft w:val="0"/>
                  <w:marRight w:val="0"/>
                  <w:marTop w:val="0"/>
                  <w:marBottom w:val="0"/>
                  <w:divBdr>
                    <w:top w:val="none" w:sz="0" w:space="0" w:color="auto"/>
                    <w:left w:val="none" w:sz="0" w:space="0" w:color="auto"/>
                    <w:bottom w:val="none" w:sz="0" w:space="0" w:color="auto"/>
                    <w:right w:val="none" w:sz="0" w:space="0" w:color="auto"/>
                  </w:divBdr>
                  <w:divsChild>
                    <w:div w:id="291904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3777324">
          <w:marLeft w:val="0"/>
          <w:marRight w:val="0"/>
          <w:marTop w:val="0"/>
          <w:marBottom w:val="0"/>
          <w:divBdr>
            <w:top w:val="none" w:sz="0" w:space="0" w:color="auto"/>
            <w:left w:val="none" w:sz="0" w:space="0" w:color="auto"/>
            <w:bottom w:val="none" w:sz="0" w:space="0" w:color="auto"/>
            <w:right w:val="none" w:sz="0" w:space="0" w:color="auto"/>
          </w:divBdr>
          <w:divsChild>
            <w:div w:id="726802757">
              <w:marLeft w:val="0"/>
              <w:marRight w:val="0"/>
              <w:marTop w:val="0"/>
              <w:marBottom w:val="0"/>
              <w:divBdr>
                <w:top w:val="none" w:sz="0" w:space="0" w:color="auto"/>
                <w:left w:val="none" w:sz="0" w:space="0" w:color="auto"/>
                <w:bottom w:val="none" w:sz="0" w:space="0" w:color="auto"/>
                <w:right w:val="none" w:sz="0" w:space="0" w:color="auto"/>
              </w:divBdr>
              <w:divsChild>
                <w:div w:id="902760746">
                  <w:marLeft w:val="0"/>
                  <w:marRight w:val="0"/>
                  <w:marTop w:val="0"/>
                  <w:marBottom w:val="0"/>
                  <w:divBdr>
                    <w:top w:val="none" w:sz="0" w:space="0" w:color="auto"/>
                    <w:left w:val="none" w:sz="0" w:space="0" w:color="auto"/>
                    <w:bottom w:val="none" w:sz="0" w:space="0" w:color="auto"/>
                    <w:right w:val="none" w:sz="0" w:space="0" w:color="auto"/>
                  </w:divBdr>
                  <w:divsChild>
                    <w:div w:id="763040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2" Type="http://schemas.openxmlformats.org/officeDocument/2006/relationships/hyperlink" Target="http://www.comunidadandina.org/Normativa.aspx?GruDoc=07" TargetMode="External"/><Relationship Id="rId1" Type="http://schemas.openxmlformats.org/officeDocument/2006/relationships/hyperlink" Target="https://www.sic.gov.co/patent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EB2765E-799B-432A-BF2E-024F9E2E47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8521671-D56A-F342-8BC5-FA15744391E7}">
  <ds:schemaRefs>
    <ds:schemaRef ds:uri="http://schemas.openxmlformats.org/officeDocument/2006/bibliography"/>
  </ds:schemaRefs>
</ds:datastoreItem>
</file>

<file path=customXml/itemProps3.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108AACCB-338D-4E1C-91B3-8763C3BB18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C:\Users\ximena.cabezas\AppData\Local\Microsoft\Windows\INetCache\Content.Outlook\N37DCYCK\Respuesta a consultas.dotm</Template>
  <TotalTime>0</TotalTime>
  <Pages>18</Pages>
  <Words>6799</Words>
  <Characters>37396</Characters>
  <Application>Microsoft Office Word</Application>
  <DocSecurity>0</DocSecurity>
  <Lines>311</Lines>
  <Paragraphs>88</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44107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MARIA CLAUDIA DE LA OSSA BOBADILLA</cp:lastModifiedBy>
  <cp:revision>2</cp:revision>
  <cp:lastPrinted>2020-01-30T15:05:00Z</cp:lastPrinted>
  <dcterms:created xsi:type="dcterms:W3CDTF">2022-05-24T16:34:00Z</dcterms:created>
  <dcterms:modified xsi:type="dcterms:W3CDTF">2022-05-24T16:34:00Z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