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6011D7" w14:textId="77777777" w:rsidR="00792132" w:rsidRPr="00C409E6" w:rsidRDefault="00792132" w:rsidP="00792132">
      <w:pPr>
        <w:contextualSpacing/>
        <w:jc w:val="both"/>
        <w:rPr>
          <w:rFonts w:ascii="Verdana" w:hAnsi="Verdana" w:cs="Arial"/>
          <w:b/>
          <w:bdr w:val="none" w:sz="0" w:space="0" w:color="auto" w:frame="1"/>
          <w:lang w:eastAsia="es-CO"/>
        </w:rPr>
      </w:pPr>
      <w:r w:rsidRPr="00C409E6">
        <w:rPr>
          <w:rFonts w:ascii="Verdana" w:hAnsi="Verdana" w:cs="Arial"/>
          <w:b/>
          <w:bdr w:val="none" w:sz="0" w:space="0" w:color="auto" w:frame="1"/>
          <w:lang w:eastAsia="es-CO"/>
        </w:rPr>
        <w:t>CAPACIDAD RESIDUAL – Definición</w:t>
      </w:r>
    </w:p>
    <w:p w14:paraId="26995C3E" w14:textId="77777777" w:rsidR="00792132" w:rsidRPr="00543959" w:rsidRDefault="00792132" w:rsidP="00792132">
      <w:pPr>
        <w:spacing w:after="0"/>
        <w:jc w:val="both"/>
        <w:rPr>
          <w:rFonts w:ascii="Arial" w:eastAsia="Calibri" w:hAnsi="Arial" w:cs="Arial"/>
          <w:b/>
          <w:color w:val="000000" w:themeColor="text1"/>
          <w:sz w:val="20"/>
          <w:szCs w:val="20"/>
        </w:rPr>
      </w:pPr>
    </w:p>
    <w:p w14:paraId="64748905" w14:textId="77777777" w:rsidR="00792132" w:rsidRPr="00C409E6" w:rsidRDefault="00792132" w:rsidP="00792132">
      <w:pPr>
        <w:spacing w:after="12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t>La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65B95E21" w14:textId="77777777" w:rsidR="00792132" w:rsidRDefault="00792132" w:rsidP="00792132">
      <w:pPr>
        <w:spacing w:after="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t>Teniendo en cuenta lo dicho antes, la Agencia Nacional de Contratación Pública – Colombia Compra Eficiente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2C7914B4" w14:textId="2BE72AC2" w:rsidR="00D17400" w:rsidRDefault="00D17400" w:rsidP="00D17400">
      <w:pPr>
        <w:jc w:val="both"/>
        <w:rPr>
          <w:rFonts w:ascii="Century Gothic" w:eastAsia="Geomanist Light" w:hAnsi="Century Gothic" w:cs="Arial"/>
          <w:color w:val="000000" w:themeColor="text1"/>
          <w:lang w:val="es-MX"/>
        </w:rPr>
      </w:pPr>
      <w:r>
        <w:rPr>
          <w:rFonts w:ascii="Century Gothic" w:eastAsia="Geomanist Light" w:hAnsi="Century Gothic" w:cs="Arial"/>
          <w:color w:val="000000" w:themeColor="text1"/>
          <w:lang w:val="es-MX"/>
        </w:rPr>
        <w:br w:type="page"/>
      </w:r>
    </w:p>
    <w:p w14:paraId="6700D6DA" w14:textId="1AA7A531"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3B696B00" w14:textId="77777777" w:rsidR="00792132" w:rsidRPr="00D403FC" w:rsidRDefault="00792132" w:rsidP="00792132">
      <w:pPr>
        <w:pStyle w:val="paragraph"/>
        <w:spacing w:before="0" w:beforeAutospacing="0" w:after="0" w:afterAutospacing="0"/>
        <w:textAlignment w:val="baseline"/>
        <w:rPr>
          <w:rFonts w:ascii="Verdana" w:eastAsia="Calibri" w:hAnsi="Verdana" w:cs="Arial"/>
          <w:sz w:val="22"/>
          <w:szCs w:val="22"/>
          <w:lang w:eastAsia="en-US"/>
        </w:rPr>
      </w:pPr>
      <w:r w:rsidRPr="00D403FC">
        <w:rPr>
          <w:rFonts w:ascii="Verdana" w:eastAsia="Calibri" w:hAnsi="Verdana" w:cs="Arial"/>
          <w:sz w:val="22"/>
          <w:szCs w:val="22"/>
          <w:lang w:eastAsia="en-US"/>
        </w:rPr>
        <w:t>Señora</w:t>
      </w:r>
    </w:p>
    <w:p w14:paraId="563AB17F" w14:textId="77777777" w:rsidR="00792132" w:rsidRDefault="00792132" w:rsidP="00792132">
      <w:pPr>
        <w:pStyle w:val="paragraph"/>
        <w:spacing w:before="0" w:beforeAutospacing="0" w:after="0" w:afterAutospacing="0"/>
        <w:textAlignment w:val="baseline"/>
        <w:rPr>
          <w:rFonts w:ascii="Verdana" w:eastAsia="Calibri" w:hAnsi="Verdana" w:cs="Arial"/>
          <w:sz w:val="22"/>
          <w:szCs w:val="22"/>
          <w:lang w:eastAsia="en-US"/>
        </w:rPr>
      </w:pPr>
      <w:r w:rsidRPr="00D403FC">
        <w:rPr>
          <w:rFonts w:ascii="Verdana" w:eastAsia="Calibri" w:hAnsi="Verdana" w:cs="Arial"/>
          <w:sz w:val="22"/>
          <w:szCs w:val="22"/>
          <w:lang w:eastAsia="en-US"/>
        </w:rPr>
        <w:t>Maria Luisa Derch Massanet</w:t>
      </w:r>
    </w:p>
    <w:p w14:paraId="7834F550" w14:textId="77777777" w:rsidR="00216C2F" w:rsidRPr="0007780B" w:rsidRDefault="00000000" w:rsidP="00216C2F">
      <w:pPr>
        <w:spacing w:after="0" w:line="240" w:lineRule="auto"/>
        <w:textAlignment w:val="baseline"/>
        <w:rPr>
          <w:rFonts w:ascii="Verdana" w:eastAsia="Calibri" w:hAnsi="Verdana" w:cs="Arial"/>
        </w:rPr>
      </w:pPr>
      <w:hyperlink r:id="rId11" w:history="1">
        <w:r w:rsidR="00216C2F" w:rsidRPr="0007780B">
          <w:rPr>
            <w:rFonts w:ascii="Verdana" w:eastAsia="Calibri" w:hAnsi="Verdana" w:cs="Arial"/>
            <w:color w:val="0563C1" w:themeColor="hyperlink"/>
            <w:u w:val="single"/>
          </w:rPr>
          <w:t>mluisa.derch@hyd.net.co</w:t>
        </w:r>
      </w:hyperlink>
      <w:r w:rsidR="00216C2F" w:rsidRPr="0007780B">
        <w:rPr>
          <w:rFonts w:ascii="Verdana" w:eastAsia="Calibri" w:hAnsi="Verdana" w:cs="Arial"/>
        </w:rPr>
        <w:t xml:space="preserve"> </w:t>
      </w:r>
    </w:p>
    <w:p w14:paraId="24B82E74" w14:textId="77777777" w:rsidR="00792132" w:rsidRPr="00D403FC" w:rsidRDefault="00792132" w:rsidP="00792132">
      <w:pPr>
        <w:spacing w:after="0" w:line="240" w:lineRule="auto"/>
        <w:rPr>
          <w:rFonts w:ascii="Verdana" w:eastAsia="Calibri" w:hAnsi="Verdana" w:cs="Arial"/>
        </w:rPr>
      </w:pPr>
      <w:r w:rsidRPr="00D403FC">
        <w:rPr>
          <w:rFonts w:ascii="Verdana" w:eastAsia="Calibri" w:hAnsi="Verdana" w:cs="Arial"/>
        </w:rPr>
        <w:t>Bogotá D.C</w:t>
      </w:r>
    </w:p>
    <w:p w14:paraId="75545CBA" w14:textId="77777777" w:rsidR="00871B59" w:rsidRDefault="00871B59" w:rsidP="00871B59">
      <w:pPr>
        <w:spacing w:after="0" w:line="240" w:lineRule="auto"/>
        <w:rPr>
          <w:rFonts w:ascii="Century Gothic" w:eastAsia="Calibri" w:hAnsi="Century Gothic" w:cs="Arial"/>
          <w:b/>
          <w:bCs/>
          <w:color w:val="000000"/>
          <w:lang w:eastAsia="es-ES_tradnl"/>
        </w:rPr>
      </w:pPr>
    </w:p>
    <w:p w14:paraId="002FA2B0" w14:textId="43B05850" w:rsidR="00460019" w:rsidRPr="00792132" w:rsidRDefault="00460019" w:rsidP="00460019">
      <w:pPr>
        <w:spacing w:after="0" w:line="240" w:lineRule="auto"/>
        <w:jc w:val="right"/>
        <w:rPr>
          <w:rFonts w:ascii="Century Gothic" w:eastAsia="Calibri" w:hAnsi="Century Gothic" w:cs="Arial"/>
          <w:b/>
          <w:bCs/>
          <w:color w:val="000000"/>
          <w:lang w:eastAsia="es-ES_tradnl"/>
        </w:rPr>
      </w:pPr>
      <w:r w:rsidRPr="00460019">
        <w:rPr>
          <w:rFonts w:ascii="Century Gothic" w:eastAsia="Calibri" w:hAnsi="Century Gothic" w:cs="Arial"/>
          <w:b/>
          <w:bCs/>
          <w:color w:val="000000"/>
          <w:lang w:eastAsia="es-ES_tradnl"/>
        </w:rPr>
        <w:drawing>
          <wp:inline distT="0" distB="0" distL="0" distR="0" wp14:anchorId="5F38CEC0" wp14:editId="216085DA">
            <wp:extent cx="3406435" cy="1150720"/>
            <wp:effectExtent l="0" t="0" r="3810" b="0"/>
            <wp:docPr id="13746642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64203" name=""/>
                    <pic:cNvPicPr/>
                  </pic:nvPicPr>
                  <pic:blipFill>
                    <a:blip r:embed="rId12"/>
                    <a:stretch>
                      <a:fillRect/>
                    </a:stretch>
                  </pic:blipFill>
                  <pic:spPr>
                    <a:xfrm>
                      <a:off x="0" y="0"/>
                      <a:ext cx="3406435" cy="1150720"/>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30CB348E"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987B91">
              <w:rPr>
                <w:rFonts w:ascii="Century Gothic" w:eastAsia="Calibri" w:hAnsi="Century Gothic" w:cs="Arial"/>
                <w:b/>
                <w:lang w:val="es-MX" w:eastAsia="es-ES_tradnl"/>
              </w:rPr>
              <w:t>23</w:t>
            </w:r>
            <w:r w:rsidR="00792132">
              <w:rPr>
                <w:rFonts w:ascii="Century Gothic" w:eastAsia="Calibri" w:hAnsi="Century Gothic" w:cs="Arial"/>
                <w:b/>
                <w:lang w:val="es-MX" w:eastAsia="es-ES_tradnl"/>
              </w:rPr>
              <w:t>7</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15BA8489" w14:textId="080CB17A" w:rsidR="00916160" w:rsidRDefault="00792132" w:rsidP="00916160">
            <w:pPr>
              <w:spacing w:line="276" w:lineRule="auto"/>
              <w:jc w:val="both"/>
              <w:rPr>
                <w:rFonts w:ascii="Century Gothic" w:eastAsia="Calibri" w:hAnsi="Century Gothic" w:cs="Arial"/>
                <w:bCs/>
                <w:lang w:val="es-MX" w:eastAsia="es-ES_tradnl"/>
              </w:rPr>
            </w:pPr>
            <w:r w:rsidRPr="004D7F13">
              <w:rPr>
                <w:rFonts w:ascii="Verdana" w:eastAsia="Calibri" w:hAnsi="Verdana" w:cs="Arial"/>
                <w:color w:val="000000" w:themeColor="text1"/>
                <w:lang w:val="es-ES" w:eastAsia="es-ES"/>
              </w:rPr>
              <w:t>CAPACIDAD RESIDUAL – Definición / CAPACIDAD RESIDUAL</w:t>
            </w:r>
            <w:r>
              <w:rPr>
                <w:rFonts w:ascii="Verdana" w:eastAsia="Calibri" w:hAnsi="Verdana" w:cs="Arial"/>
                <w:color w:val="000000" w:themeColor="text1"/>
                <w:lang w:val="es-ES" w:eastAsia="es-ES"/>
              </w:rPr>
              <w:t>- Aplicativo</w:t>
            </w:r>
            <w:r w:rsidR="00685FFD">
              <w:rPr>
                <w:rFonts w:ascii="Century Gothic" w:eastAsia="Calibri" w:hAnsi="Century Gothic"/>
                <w:bCs/>
                <w:lang w:val="es-MX" w:eastAsia="es-ES_tradnl"/>
              </w:rPr>
              <w:t xml:space="preserve">. </w:t>
            </w:r>
          </w:p>
          <w:p w14:paraId="7ADD1096" w14:textId="1A8FD5D6" w:rsidR="00685FFD" w:rsidRPr="00F919E7" w:rsidRDefault="00685FFD"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2B3DFFBD" w:rsidR="00916160" w:rsidRPr="00F919E7" w:rsidRDefault="00916160" w:rsidP="00916160">
            <w:pPr>
              <w:jc w:val="both"/>
              <w:rPr>
                <w:rFonts w:ascii="Century Gothic" w:eastAsia="Calibri" w:hAnsi="Century Gothic" w:cs="Arial"/>
                <w:bCs/>
                <w:lang w:val="es-MX" w:eastAsia="es-ES_tradnl"/>
              </w:rPr>
            </w:pPr>
          </w:p>
        </w:tc>
        <w:tc>
          <w:tcPr>
            <w:tcW w:w="6242" w:type="dxa"/>
          </w:tcPr>
          <w:p w14:paraId="630D2668" w14:textId="052B6782"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987B91" w:rsidRPr="00987B91">
              <w:rPr>
                <w:rFonts w:ascii="Century Gothic" w:eastAsia="Calibri" w:hAnsi="Century Gothic" w:cs="Arial"/>
                <w:bCs/>
                <w:lang w:eastAsia="es-ES_tradnl"/>
              </w:rPr>
              <w:t>P2024</w:t>
            </w:r>
            <w:r w:rsidR="00792132">
              <w:rPr>
                <w:rFonts w:ascii="Century Gothic" w:eastAsia="Calibri" w:hAnsi="Century Gothic" w:cs="Arial"/>
                <w:bCs/>
                <w:lang w:eastAsia="es-ES_tradnl"/>
              </w:rPr>
              <w:t>0628006603</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3F27EDDD" w14:textId="77777777" w:rsidR="0037046D" w:rsidRDefault="0037046D" w:rsidP="00871B59">
      <w:pPr>
        <w:spacing w:after="0" w:line="276" w:lineRule="auto"/>
        <w:jc w:val="both"/>
        <w:rPr>
          <w:rFonts w:ascii="Century Gothic" w:eastAsia="Calibri" w:hAnsi="Century Gothic" w:cs="Arial"/>
          <w:color w:val="000000"/>
          <w:lang w:val="es-ES_tradnl" w:eastAsia="es-ES_tradnl"/>
        </w:rPr>
      </w:pPr>
    </w:p>
    <w:p w14:paraId="4FAA33F0" w14:textId="77777777" w:rsidR="00792132" w:rsidRPr="005A601E" w:rsidRDefault="00792132" w:rsidP="00792132">
      <w:pPr>
        <w:spacing w:after="0" w:line="276" w:lineRule="auto"/>
        <w:jc w:val="both"/>
        <w:textAlignment w:val="baseline"/>
        <w:rPr>
          <w:rFonts w:ascii="Verdana" w:eastAsia="Calibri" w:hAnsi="Verdana" w:cs="Arial"/>
        </w:rPr>
      </w:pPr>
      <w:r w:rsidRPr="00D403FC">
        <w:rPr>
          <w:rFonts w:ascii="Verdana" w:eastAsia="Calibri" w:hAnsi="Verdana" w:cs="Arial"/>
        </w:rPr>
        <w:t>Estimada señora Derch</w:t>
      </w:r>
      <w:r>
        <w:rPr>
          <w:rFonts w:ascii="Verdana" w:eastAsia="Calibri" w:hAnsi="Verdana" w:cs="Arial"/>
        </w:rPr>
        <w:t>:</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7DD1559C"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AC6764">
        <w:rPr>
          <w:rFonts w:ascii="Century Gothic" w:eastAsia="Calibri" w:hAnsi="Century Gothic" w:cs="Arial"/>
          <w:lang w:val="es-ES" w:eastAsia="es-ES"/>
        </w:rPr>
        <w:t>28</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2DF72FE3" w14:textId="77777777" w:rsidR="00792132" w:rsidRPr="00AC6764" w:rsidRDefault="00792132" w:rsidP="00792132">
      <w:pPr>
        <w:autoSpaceDE w:val="0"/>
        <w:autoSpaceDN w:val="0"/>
        <w:adjustRightInd w:val="0"/>
        <w:spacing w:after="0" w:line="240" w:lineRule="auto"/>
        <w:ind w:left="709" w:right="709"/>
        <w:jc w:val="both"/>
        <w:rPr>
          <w:rFonts w:ascii="Century Gothic" w:eastAsia="Calibri" w:hAnsi="Century Gothic" w:cs="Arial"/>
          <w:sz w:val="20"/>
          <w:szCs w:val="20"/>
          <w:lang w:val="es-ES" w:eastAsia="es-ES"/>
        </w:rPr>
      </w:pPr>
      <w:r w:rsidRPr="00AC6764">
        <w:rPr>
          <w:rFonts w:ascii="Century Gothic" w:eastAsia="Calibri" w:hAnsi="Century Gothic" w:cs="Arial"/>
          <w:sz w:val="20"/>
          <w:szCs w:val="20"/>
          <w:lang w:val="es-ES" w:eastAsia="es-ES"/>
        </w:rPr>
        <w:t>“Solicito de manera atenta me informen cual es el archivo de Excel que se utiliza actualmente para determinar la capacidad residual de contratación. En la página web de Colombia Compra Eficiente aparece uno de nombre "copia_de_kresidualv4-12-12-2018" Es ese el más reciente y el que se utiliza actualmente? O se ha implementado ahora alguno diferente?”. (SIC)</w:t>
      </w:r>
    </w:p>
    <w:p w14:paraId="5DA77AFA" w14:textId="77777777" w:rsidR="00987B91" w:rsidRDefault="00987B91" w:rsidP="00871B59">
      <w:pPr>
        <w:spacing w:after="120" w:line="276" w:lineRule="auto"/>
        <w:ind w:firstLine="709"/>
        <w:jc w:val="both"/>
        <w:rPr>
          <w:rFonts w:ascii="Century Gothic" w:eastAsia="Calibri" w:hAnsi="Century Gothic" w:cs="Arial"/>
          <w:color w:val="000000"/>
          <w:lang w:val="es-ES" w:eastAsia="es-ES"/>
        </w:rPr>
      </w:pPr>
    </w:p>
    <w:p w14:paraId="30F17EAD" w14:textId="4B5A2E1A"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1D71B419" w14:textId="3F01151B" w:rsidR="00916160" w:rsidRPr="005639E9" w:rsidRDefault="00792132" w:rsidP="00916160">
      <w:pPr>
        <w:pStyle w:val="Textoindependiente"/>
        <w:spacing w:before="1" w:line="276" w:lineRule="auto"/>
        <w:ind w:right="306"/>
        <w:jc w:val="both"/>
      </w:pPr>
      <w:r>
        <w:rPr>
          <w:rFonts w:ascii="Century Gothic" w:eastAsia="Century Gothic" w:hAnsi="Century Gothic" w:cs="Century Gothic"/>
        </w:rPr>
        <w:t>D</w:t>
      </w:r>
      <w:r w:rsidR="00871B59" w:rsidRPr="00E43EBA">
        <w:rPr>
          <w:rFonts w:ascii="Century Gothic" w:eastAsia="Century Gothic" w:hAnsi="Century Gothic" w:cs="Century Gothic"/>
        </w:rPr>
        <w:t xml:space="preserve">e acuerdo con el contenido de su solicitud, esta Agencia resolverá </w:t>
      </w:r>
      <w:r w:rsidR="00916160">
        <w:rPr>
          <w:rFonts w:ascii="Century Gothic" w:eastAsia="Century Gothic" w:hAnsi="Century Gothic" w:cs="Century Gothic"/>
        </w:rPr>
        <w:t>los</w:t>
      </w:r>
      <w:r w:rsidR="00871B59"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00871B59" w:rsidRPr="00E43EBA">
        <w:rPr>
          <w:rFonts w:ascii="Century Gothic" w:eastAsia="Century Gothic" w:hAnsi="Century Gothic" w:cs="Century Gothic"/>
        </w:rPr>
        <w:t>problema</w:t>
      </w:r>
      <w:r w:rsidR="00916160">
        <w:rPr>
          <w:rFonts w:ascii="Century Gothic" w:eastAsia="Century Gothic" w:hAnsi="Century Gothic" w:cs="Century Gothic"/>
        </w:rPr>
        <w:t>s</w:t>
      </w:r>
      <w:r w:rsidR="00871B59"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7700D3">
        <w:rPr>
          <w:rFonts w:ascii="Century Gothic" w:hAnsi="Century Gothic"/>
        </w:rPr>
        <w:t>C</w:t>
      </w:r>
      <w:r w:rsidR="007700D3" w:rsidRPr="00DD17C4">
        <w:rPr>
          <w:rFonts w:ascii="Century Gothic" w:hAnsi="Century Gothic"/>
        </w:rPr>
        <w:t xml:space="preserve">uál </w:t>
      </w:r>
      <w:r w:rsidR="007700D3">
        <w:rPr>
          <w:rFonts w:ascii="Century Gothic" w:hAnsi="Century Gothic"/>
        </w:rPr>
        <w:t>es</w:t>
      </w:r>
      <w:r w:rsidR="00AC6764">
        <w:rPr>
          <w:rFonts w:ascii="Century Gothic" w:hAnsi="Century Gothic"/>
        </w:rPr>
        <w:t xml:space="preserve"> el</w:t>
      </w:r>
      <w:r w:rsidR="007700D3">
        <w:rPr>
          <w:rFonts w:ascii="Century Gothic" w:hAnsi="Century Gothic"/>
        </w:rPr>
        <w:t xml:space="preserve"> </w:t>
      </w:r>
      <w:r>
        <w:rPr>
          <w:rFonts w:ascii="Century Gothic" w:hAnsi="Century Gothic"/>
        </w:rPr>
        <w:t>aplicativo correcto</w:t>
      </w:r>
      <w:r w:rsidR="00AC6764">
        <w:rPr>
          <w:rFonts w:ascii="Century Gothic" w:hAnsi="Century Gothic"/>
        </w:rPr>
        <w:t xml:space="preserve"> </w:t>
      </w:r>
      <w:r>
        <w:rPr>
          <w:rFonts w:ascii="Century Gothic" w:hAnsi="Century Gothic"/>
        </w:rPr>
        <w:t>para establecer la capacidad residual</w:t>
      </w:r>
      <w:r w:rsidR="00916160" w:rsidRPr="00916160">
        <w:rPr>
          <w:rFonts w:ascii="Century Gothic" w:eastAsia="Century Gothic" w:hAnsi="Century Gothic" w:cs="Century Gothic"/>
        </w:rPr>
        <w:t>?</w:t>
      </w:r>
    </w:p>
    <w:p w14:paraId="5C57421A" w14:textId="6C07FBF8" w:rsidR="00685FFD" w:rsidRPr="00FE33B4"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3DF22F09" w14:textId="77777777" w:rsidR="00792132" w:rsidRDefault="00792132" w:rsidP="00792132">
            <w:pPr>
              <w:autoSpaceDE w:val="0"/>
              <w:autoSpaceDN w:val="0"/>
              <w:adjustRightInd w:val="0"/>
              <w:spacing w:line="276" w:lineRule="auto"/>
              <w:jc w:val="both"/>
              <w:rPr>
                <w:rFonts w:ascii="Verdana" w:hAnsi="Verdana" w:cs="Arial"/>
              </w:rPr>
            </w:pPr>
            <w:r w:rsidRPr="007718ED">
              <w:rPr>
                <w:rFonts w:ascii="Verdana" w:hAnsi="Verdana" w:cs="Arial"/>
              </w:rPr>
              <w:t>La Agencia Nacional de Contratación Pública -Colombia Compra Eficiente-, con fundamento en el artículo 2.2.1.1.1.6.4 del Decreto 1082 de 2015 expid</w:t>
            </w:r>
            <w:r>
              <w:rPr>
                <w:rFonts w:ascii="Verdana" w:hAnsi="Verdana" w:cs="Arial"/>
              </w:rPr>
              <w:t>ió la Guía p</w:t>
            </w:r>
            <w:r w:rsidRPr="007718ED">
              <w:rPr>
                <w:rFonts w:ascii="Verdana" w:hAnsi="Verdana" w:cs="Arial"/>
              </w:rPr>
              <w:t xml:space="preserve">ara determinar y verificar la capacidad residual del proponente en los </w:t>
            </w:r>
            <w:r>
              <w:rPr>
                <w:rFonts w:ascii="Verdana" w:hAnsi="Verdana" w:cs="Arial"/>
              </w:rPr>
              <w:t>P</w:t>
            </w:r>
            <w:r w:rsidRPr="007718ED">
              <w:rPr>
                <w:rFonts w:ascii="Verdana" w:hAnsi="Verdana" w:cs="Arial"/>
              </w:rPr>
              <w:t xml:space="preserve">rocesos de </w:t>
            </w:r>
            <w:r>
              <w:rPr>
                <w:rFonts w:ascii="Verdana" w:hAnsi="Verdana" w:cs="Arial"/>
              </w:rPr>
              <w:t>C</w:t>
            </w:r>
            <w:r w:rsidRPr="007718ED">
              <w:rPr>
                <w:rFonts w:ascii="Verdana" w:hAnsi="Verdana" w:cs="Arial"/>
              </w:rPr>
              <w:t>ontratación de obra pública</w:t>
            </w:r>
            <w:r>
              <w:rPr>
                <w:rFonts w:ascii="Verdana" w:hAnsi="Verdana" w:cs="Arial"/>
              </w:rPr>
              <w:t xml:space="preserve">, la cual tiene como </w:t>
            </w:r>
            <w:r w:rsidRPr="007718ED">
              <w:rPr>
                <w:rFonts w:ascii="Verdana" w:hAnsi="Verdana" w:cs="Arial"/>
              </w:rPr>
              <w:t xml:space="preserve">fin de establecer </w:t>
            </w:r>
            <w:r w:rsidRPr="007718ED">
              <w:rPr>
                <w:rFonts w:ascii="Verdana" w:hAnsi="Verdana" w:cs="Arial"/>
              </w:rPr>
              <w:lastRenderedPageBreak/>
              <w:t>la metodología para el cálculo de la capacidad residual. La metodología resulta de obligatoria observancia tanto para entidades como oferentes en los Procesos de Contratación de obra pública.</w:t>
            </w:r>
          </w:p>
          <w:p w14:paraId="0F03449D" w14:textId="77777777" w:rsidR="00792132" w:rsidRDefault="00792132" w:rsidP="00792132">
            <w:pPr>
              <w:autoSpaceDE w:val="0"/>
              <w:autoSpaceDN w:val="0"/>
              <w:adjustRightInd w:val="0"/>
              <w:spacing w:line="276" w:lineRule="auto"/>
              <w:jc w:val="both"/>
              <w:rPr>
                <w:rFonts w:ascii="Verdana" w:hAnsi="Verdana" w:cs="Arial"/>
              </w:rPr>
            </w:pPr>
          </w:p>
          <w:p w14:paraId="0B6BF46F" w14:textId="77777777" w:rsidR="00792132" w:rsidRPr="00D403FC" w:rsidRDefault="00792132" w:rsidP="00792132">
            <w:pPr>
              <w:autoSpaceDE w:val="0"/>
              <w:autoSpaceDN w:val="0"/>
              <w:adjustRightInd w:val="0"/>
              <w:spacing w:line="276" w:lineRule="auto"/>
              <w:jc w:val="both"/>
              <w:rPr>
                <w:rFonts w:ascii="Verdana" w:hAnsi="Verdana" w:cs="Arial"/>
              </w:rPr>
            </w:pPr>
            <w:r>
              <w:rPr>
                <w:rFonts w:ascii="Verdana" w:hAnsi="Verdana" w:cs="Arial"/>
              </w:rPr>
              <w:t>Asimismo,</w:t>
            </w:r>
            <w:r w:rsidRPr="00D403FC">
              <w:rPr>
                <w:rFonts w:ascii="Verdana" w:hAnsi="Verdana" w:cs="Arial"/>
              </w:rPr>
              <w:t xml:space="preserve"> pone a disposición de los partícipes del sistema de compra pública un formato Excel denominado </w:t>
            </w:r>
            <w:r w:rsidRPr="007718ED">
              <w:rPr>
                <w:rFonts w:ascii="Verdana" w:hAnsi="Verdana" w:cs="Arial"/>
                <w:b/>
                <w:bCs/>
              </w:rPr>
              <w:t>“Aplicación para establecer la Capacidad Residual”</w:t>
            </w:r>
            <w:r w:rsidRPr="00D403FC">
              <w:rPr>
                <w:rFonts w:ascii="Verdana" w:hAnsi="Verdana" w:cs="Arial"/>
              </w:rPr>
              <w:t xml:space="preserve"> que permite, tanto a la Entidad Estatal como a los interesados en los Procesos de Contratación, calcular la Capacidad Residual y validar que los oferentes cumplen con el requisito del Proceso de Contratación.</w:t>
            </w:r>
          </w:p>
          <w:p w14:paraId="478CFF0B" w14:textId="77777777" w:rsidR="00792132" w:rsidRPr="00D403FC" w:rsidRDefault="00792132" w:rsidP="00792132">
            <w:pPr>
              <w:autoSpaceDE w:val="0"/>
              <w:autoSpaceDN w:val="0"/>
              <w:adjustRightInd w:val="0"/>
              <w:spacing w:line="276" w:lineRule="auto"/>
              <w:jc w:val="both"/>
              <w:rPr>
                <w:rFonts w:ascii="Verdana" w:hAnsi="Verdana" w:cs="Arial"/>
              </w:rPr>
            </w:pPr>
          </w:p>
          <w:p w14:paraId="07213618" w14:textId="77777777" w:rsidR="00792132" w:rsidRDefault="00792132" w:rsidP="00792132">
            <w:pPr>
              <w:autoSpaceDE w:val="0"/>
              <w:autoSpaceDN w:val="0"/>
              <w:adjustRightInd w:val="0"/>
              <w:spacing w:line="276" w:lineRule="auto"/>
              <w:jc w:val="both"/>
              <w:rPr>
                <w:rFonts w:ascii="Verdana" w:hAnsi="Verdana" w:cs="Arial"/>
              </w:rPr>
            </w:pPr>
            <w:r w:rsidRPr="00D403FC">
              <w:rPr>
                <w:rFonts w:ascii="Verdana" w:hAnsi="Verdana" w:cs="Arial"/>
              </w:rPr>
              <w:t xml:space="preserve">Esta aplicación se encuentra en la página web de Colombia Compra Eficiente en el siguiente enlace: </w:t>
            </w:r>
            <w:hyperlink r:id="rId13" w:history="1">
              <w:r w:rsidRPr="007718ED">
                <w:rPr>
                  <w:rFonts w:ascii="Verdana" w:hAnsi="Verdana" w:cs="Arial"/>
                </w:rPr>
                <w:t>https://www.colombiacompra.gov.co/manuales-guiasy-pliegos-tipo/manuales-y-guias</w:t>
              </w:r>
            </w:hyperlink>
            <w:r w:rsidRPr="00D403FC">
              <w:rPr>
                <w:rFonts w:ascii="Verdana" w:hAnsi="Verdana" w:cs="Arial"/>
              </w:rPr>
              <w:t>”, en archivo Excel denominado “copia_de_kresidualv4-12-12-2018” el cual se encuentra vigente. Sin perjuicio de lo anterior, el mencionado aplicativo es un instrumento de apoyo que no exime a las Entidades Estatales y a los proponentes de realizar el cálculo de la capacidad residual en los términos de este documento.</w:t>
            </w:r>
          </w:p>
          <w:p w14:paraId="47AEB666" w14:textId="308D75EF" w:rsidR="00916160" w:rsidRPr="001F48DA" w:rsidRDefault="001F48DA" w:rsidP="008B7F31">
            <w:pPr>
              <w:spacing w:line="276" w:lineRule="auto"/>
              <w:contextualSpacing/>
              <w:jc w:val="both"/>
              <w:rPr>
                <w:rFonts w:ascii="Century Gothic" w:eastAsia="Calibri" w:hAnsi="Century Gothic" w:cs="Arial"/>
                <w:lang w:val="es-ES_tradnl" w:eastAsia="es-MX"/>
              </w:rPr>
            </w:pPr>
            <w:r>
              <w:rPr>
                <w:rFonts w:ascii="Arial" w:eastAsia="Calibri" w:hAnsi="Arial" w:cs="Arial"/>
                <w:color w:val="000000" w:themeColor="text1"/>
                <w:lang w:val="es-ES_tradnl" w:eastAsia="es-CO"/>
              </w:rPr>
              <w:t xml:space="preserve">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380AB8B9" w14:textId="77777777" w:rsidR="00792132" w:rsidRDefault="00792132" w:rsidP="00792132">
      <w:pPr>
        <w:pStyle w:val="Prrafodelista"/>
        <w:numPr>
          <w:ilvl w:val="0"/>
          <w:numId w:val="7"/>
        </w:numPr>
        <w:spacing w:after="0" w:line="276" w:lineRule="auto"/>
        <w:jc w:val="both"/>
        <w:rPr>
          <w:rFonts w:ascii="Verdana" w:hAnsi="Verdana"/>
          <w:color w:val="000000" w:themeColor="text1"/>
        </w:rPr>
      </w:pPr>
      <w:r w:rsidRPr="0069135B">
        <w:rPr>
          <w:rFonts w:ascii="Verdana" w:hAnsi="Verdana"/>
          <w:color w:val="000000" w:themeColor="text1"/>
        </w:rPr>
        <w:t>El Decreto 1082 de 2015 en el artículo 2.2.1.1.1.6.4. recoge el desarrollo legislativo de la capacidad residual, en especial los componentes de la Ley 1682 de 2013. De tal forma, el artículo en mención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0E5D5997" w14:textId="77777777" w:rsidR="00792132" w:rsidRDefault="00792132" w:rsidP="00792132">
      <w:pPr>
        <w:spacing w:after="0" w:line="276" w:lineRule="auto"/>
        <w:jc w:val="both"/>
        <w:rPr>
          <w:rFonts w:ascii="Verdana" w:hAnsi="Verdana"/>
          <w:color w:val="000000" w:themeColor="text1"/>
        </w:rPr>
      </w:pPr>
    </w:p>
    <w:p w14:paraId="2E42BB2A" w14:textId="77777777" w:rsidR="00792132" w:rsidRPr="00714C3C" w:rsidRDefault="00792132" w:rsidP="00792132">
      <w:pPr>
        <w:pStyle w:val="Prrafodelista"/>
        <w:spacing w:after="0" w:line="276" w:lineRule="auto"/>
        <w:ind w:left="907" w:right="737"/>
        <w:jc w:val="both"/>
        <w:rPr>
          <w:rFonts w:ascii="Verdana" w:hAnsi="Verdana"/>
          <w:i/>
          <w:iCs/>
          <w:color w:val="000000" w:themeColor="text1"/>
          <w:sz w:val="21"/>
          <w:szCs w:val="21"/>
        </w:rPr>
      </w:pPr>
      <w:r w:rsidRPr="00714C3C">
        <w:rPr>
          <w:rFonts w:ascii="Verdana" w:hAnsi="Verdana"/>
          <w:i/>
          <w:iCs/>
          <w:color w:val="000000" w:themeColor="text1"/>
          <w:sz w:val="21"/>
          <w:szCs w:val="21"/>
        </w:rPr>
        <w:t xml:space="preserve">Artículo 2.2.1.1.1.6.4. Capacidad Residual. El interesado en celebrar contratos de obra pública con Entidades Estatales debe acreditar su </w:t>
      </w:r>
      <w:r w:rsidRPr="00714C3C">
        <w:rPr>
          <w:rFonts w:ascii="Verdana" w:hAnsi="Verdana"/>
          <w:i/>
          <w:iCs/>
          <w:color w:val="000000" w:themeColor="text1"/>
          <w:sz w:val="21"/>
          <w:szCs w:val="21"/>
        </w:rPr>
        <w:lastRenderedPageBreak/>
        <w:t>Capacidad Residual o K de Contratación con los siguientes documentos: […]</w:t>
      </w:r>
    </w:p>
    <w:p w14:paraId="511314C5" w14:textId="77777777" w:rsidR="00792132" w:rsidRPr="00714C3C" w:rsidRDefault="00792132" w:rsidP="00792132">
      <w:pPr>
        <w:pStyle w:val="Prrafodelista"/>
        <w:spacing w:after="0" w:line="276" w:lineRule="auto"/>
        <w:ind w:left="907" w:right="737"/>
        <w:jc w:val="both"/>
        <w:rPr>
          <w:rFonts w:ascii="Verdana" w:hAnsi="Verdana"/>
          <w:i/>
          <w:iCs/>
          <w:color w:val="000000" w:themeColor="text1"/>
          <w:sz w:val="21"/>
          <w:szCs w:val="21"/>
        </w:rPr>
      </w:pPr>
      <w:r w:rsidRPr="00714C3C">
        <w:rPr>
          <w:rFonts w:ascii="Verdana" w:hAnsi="Verdana"/>
          <w:i/>
          <w:iCs/>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410B397" w14:textId="77777777" w:rsidR="00792132" w:rsidRPr="00714C3C" w:rsidRDefault="00792132" w:rsidP="00792132">
      <w:pPr>
        <w:spacing w:after="0" w:line="276" w:lineRule="auto"/>
        <w:jc w:val="both"/>
        <w:rPr>
          <w:rFonts w:ascii="Verdana" w:hAnsi="Verdana"/>
          <w:color w:val="000000" w:themeColor="text1"/>
          <w:lang w:val="es-ES"/>
        </w:rPr>
      </w:pPr>
    </w:p>
    <w:p w14:paraId="6FC68284" w14:textId="77777777" w:rsidR="00792132" w:rsidRPr="009163D6" w:rsidRDefault="00792132" w:rsidP="00792132">
      <w:pPr>
        <w:pStyle w:val="Prrafodelista"/>
        <w:numPr>
          <w:ilvl w:val="0"/>
          <w:numId w:val="7"/>
        </w:numPr>
        <w:spacing w:after="0" w:line="276" w:lineRule="auto"/>
        <w:ind w:left="709"/>
        <w:jc w:val="both"/>
        <w:rPr>
          <w:rFonts w:ascii="Verdana" w:hAnsi="Verdana"/>
        </w:rPr>
      </w:pPr>
      <w:r w:rsidRPr="009163D6">
        <w:rPr>
          <w:rFonts w:ascii="Verdana" w:hAnsi="Verdana"/>
        </w:rPr>
        <w:t xml:space="preserve">De conformidad con lo anterior, la Agencia Nacional de Contratación Pública – Colombia Compra Eficiente expidió la </w:t>
      </w:r>
      <w:r>
        <w:rPr>
          <w:rFonts w:ascii="Verdana" w:hAnsi="Verdana"/>
        </w:rPr>
        <w:t>“</w:t>
      </w:r>
      <w:r w:rsidRPr="009163D6">
        <w:rPr>
          <w:rFonts w:ascii="Verdana" w:hAnsi="Verdana"/>
        </w:rPr>
        <w:t>Guía para Determinar y Verificar la Capacidad Residual del Proponente en los Procesos de Contratación de Obra Pública</w:t>
      </w:r>
      <w:r>
        <w:rPr>
          <w:rFonts w:ascii="Verdana" w:hAnsi="Verdana"/>
        </w:rPr>
        <w:t>”</w:t>
      </w:r>
      <w:r w:rsidRPr="009163D6">
        <w:rPr>
          <w:rFonts w:ascii="Verdana" w:hAnsi="Verdana"/>
        </w:rPr>
        <w:t xml:space="preserve">. Este documento establece, entre otras cuestiones, que a la entidad contratante le corresponde, primero, establecer la capacidad residual del proceso de contratación –CRPC– y, segundo, determinar si los proponentes cumplen con la capacidad residual del proceso de contratación, </w:t>
      </w:r>
      <w:r>
        <w:rPr>
          <w:rFonts w:ascii="Verdana" w:hAnsi="Verdana"/>
        </w:rPr>
        <w:t>de acuerdo con la metodología explicada en dicha guía.</w:t>
      </w:r>
    </w:p>
    <w:p w14:paraId="2D89F9EA" w14:textId="77777777" w:rsidR="00792132" w:rsidRPr="00AC2C81" w:rsidRDefault="00792132" w:rsidP="00792132">
      <w:pPr>
        <w:spacing w:after="0" w:line="276" w:lineRule="auto"/>
        <w:ind w:left="709"/>
        <w:jc w:val="both"/>
        <w:rPr>
          <w:rFonts w:ascii="Verdana" w:hAnsi="Verdana" w:cs="Arial"/>
        </w:rPr>
      </w:pPr>
    </w:p>
    <w:p w14:paraId="21455882" w14:textId="77777777" w:rsidR="00792132" w:rsidRDefault="00792132" w:rsidP="00792132">
      <w:pPr>
        <w:pStyle w:val="Prrafodelista"/>
        <w:widowControl w:val="0"/>
        <w:numPr>
          <w:ilvl w:val="0"/>
          <w:numId w:val="7"/>
        </w:numPr>
        <w:autoSpaceDE w:val="0"/>
        <w:autoSpaceDN w:val="0"/>
        <w:spacing w:after="0" w:line="276" w:lineRule="auto"/>
        <w:jc w:val="both"/>
        <w:rPr>
          <w:rFonts w:ascii="Verdana" w:hAnsi="Verdana" w:cs="Arial"/>
        </w:rPr>
      </w:pPr>
      <w:r w:rsidRPr="00910FE7">
        <w:rPr>
          <w:rFonts w:ascii="Verdana" w:hAnsi="Verdana" w:cs="Arial"/>
        </w:rPr>
        <w:t>En suma, a la entidad contratante le corresponde, por una parte, establecer la capacidad residual del proceso de contratación –CRPC– y, por la otra, determinar si los proponentes cumplen con la capacidad residual del proceso de contratación, claro está, teniendo en cuenta la información aportada por el oferente, y según los criterios y directrices de los párrafos precedentes.</w:t>
      </w:r>
    </w:p>
    <w:p w14:paraId="2A81E753"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029EE920"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4" w:history="1">
              <w:r w:rsidRPr="00E43EBA">
                <w:rPr>
                  <w:rFonts w:ascii="Century Gothic" w:eastAsia="Calibri" w:hAnsi="Century Gothic"/>
                  <w:color w:val="000000"/>
                  <w:lang w:val="es-ES"/>
                </w:rPr>
                <w:t>https://relatoria.colombiacompra.gov.co/providencias-consejo-de-</w:t>
              </w:r>
              <w:r w:rsidRPr="00E43EBA">
                <w:rPr>
                  <w:rFonts w:ascii="Century Gothic" w:eastAsia="Calibri" w:hAnsi="Century Gothic"/>
                  <w:color w:val="000000"/>
                  <w:lang w:val="es-ES"/>
                </w:rPr>
                <w:lastRenderedPageBreak/>
                <w:t>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5"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lastRenderedPageBreak/>
        <w:t>Doctrina de la Agencia Nacional de Contratación Pública:</w:t>
      </w: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688C30E7" w14:textId="56F61182"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w:t>
      </w:r>
      <w:r w:rsidR="00D17400" w:rsidRPr="00AC6764">
        <w:rPr>
          <w:rFonts w:ascii="Century Gothic" w:eastAsia="Calibri" w:hAnsi="Century Gothic" w:cs="Arial"/>
          <w:color w:val="000000"/>
          <w:lang w:val="es-ES"/>
        </w:rPr>
        <w:t xml:space="preserve"> </w:t>
      </w:r>
      <w:r w:rsidR="00AC6764" w:rsidRPr="00AC6764">
        <w:rPr>
          <w:rFonts w:ascii="Century Gothic" w:eastAsia="Calibri" w:hAnsi="Century Gothic"/>
          <w:color w:val="000000"/>
        </w:rPr>
        <w:t>del 27 de agosto y el 20 y 26 (2) de diciembre de 2019 −radicados Nos. 2201913000006275, 2201913000009465, 2201913000009642 y 2201913000009640−. Así como también en los conceptos C-022, C-089, C-112, C-133, C-222 y C-458 de 2020</w:t>
      </w:r>
      <w:r w:rsidR="00685FFD" w:rsidRPr="00685FFD">
        <w:rPr>
          <w:rFonts w:ascii="Century Gothic" w:eastAsia="Calibri" w:hAnsi="Century Gothic" w:cs="Arial"/>
          <w:color w:val="000000"/>
          <w:lang w:val="es-ES"/>
        </w:rPr>
        <w:t>, entre otros</w:t>
      </w:r>
      <w:r w:rsidRPr="00E43EBA">
        <w:rPr>
          <w:rFonts w:ascii="Century Gothic" w:eastAsia="Calibri" w:hAnsi="Century Gothic" w:cs="Arial"/>
          <w:color w:val="000000"/>
          <w:lang w:val="es-ES"/>
        </w:rPr>
        <w:t>.</w:t>
      </w:r>
      <w:r w:rsidR="00685FFD">
        <w:rPr>
          <w:rFonts w:ascii="Century Gothic" w:eastAsia="Calibri" w:hAnsi="Century Gothic" w:cs="Arial"/>
          <w:color w:val="000000"/>
          <w:lang w:val="es-ES"/>
        </w:rPr>
        <w:t xml:space="preserve"> </w:t>
      </w:r>
      <w:r w:rsidR="00871B59" w:rsidRPr="00AC6764">
        <w:rPr>
          <w:rFonts w:eastAsia="Calibri"/>
          <w:color w:val="000000"/>
        </w:rPr>
        <w:t>Es</w:t>
      </w:r>
      <w:r w:rsidR="00871B59" w:rsidRPr="00AC6764">
        <w:rPr>
          <w:rFonts w:ascii="Century Gothic" w:eastAsia="Calibri" w:hAnsi="Century Gothic" w:cs="Arial"/>
          <w:color w:val="000000"/>
          <w:lang w:val="es-ES"/>
        </w:rPr>
        <w:t>tos</w:t>
      </w:r>
      <w:r w:rsidR="00871B59" w:rsidRPr="00E43EBA">
        <w:rPr>
          <w:rFonts w:ascii="Century Gothic" w:hAnsi="Century Gothic"/>
        </w:rPr>
        <w:t xml:space="preserve">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6"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Default="00871B59"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5FDF7B5B" w:rsidR="00871B59" w:rsidRPr="00593A5F" w:rsidRDefault="009C14E5"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1B8C4AEC" wp14:editId="7022F2A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216C2F" w:rsidRPr="0007780B" w14:paraId="60FC5E85" w14:textId="77777777" w:rsidTr="000C04CD">
        <w:trPr>
          <w:trHeight w:val="315"/>
        </w:trPr>
        <w:tc>
          <w:tcPr>
            <w:tcW w:w="810" w:type="dxa"/>
            <w:tcBorders>
              <w:top w:val="nil"/>
              <w:left w:val="nil"/>
              <w:bottom w:val="nil"/>
              <w:right w:val="nil"/>
            </w:tcBorders>
            <w:shd w:val="clear" w:color="auto" w:fill="auto"/>
            <w:vAlign w:val="center"/>
            <w:hideMark/>
          </w:tcPr>
          <w:p w14:paraId="0F49C6AE" w14:textId="77777777" w:rsidR="00216C2F" w:rsidRPr="0007780B" w:rsidRDefault="00216C2F" w:rsidP="000C04CD">
            <w:pPr>
              <w:spacing w:after="0" w:line="240" w:lineRule="auto"/>
              <w:jc w:val="both"/>
              <w:textAlignment w:val="baseline"/>
              <w:rPr>
                <w:rFonts w:ascii="Verdana" w:eastAsia="Times New Roman" w:hAnsi="Verdana" w:cs="Segoe UI"/>
                <w:sz w:val="18"/>
                <w:szCs w:val="18"/>
                <w:lang w:eastAsia="es-CO"/>
              </w:rPr>
            </w:pPr>
            <w:r w:rsidRPr="0007780B">
              <w:rPr>
                <w:rFonts w:ascii="Verdana" w:eastAsia="Times New Roman" w:hAnsi="Verdana" w:cs="Arial"/>
                <w:sz w:val="16"/>
                <w:szCs w:val="16"/>
                <w:lang w:eastAsia="es-CO"/>
              </w:rPr>
              <w:t>Elaboró: </w:t>
            </w:r>
            <w:r w:rsidRPr="0007780B">
              <w:rPr>
                <w:rFonts w:ascii="Verdana" w:eastAsia="Times New Roman" w:hAnsi="Verdana" w:cs="Century Gothic"/>
                <w:sz w:val="16"/>
                <w:szCs w:val="16"/>
                <w:lang w:eastAsia="es-CO"/>
              </w:rPr>
              <w:t> </w:t>
            </w:r>
          </w:p>
        </w:tc>
        <w:tc>
          <w:tcPr>
            <w:tcW w:w="4410" w:type="dxa"/>
            <w:tcBorders>
              <w:top w:val="nil"/>
              <w:left w:val="nil"/>
              <w:bottom w:val="dotted" w:sz="6" w:space="0" w:color="7F7F7F" w:themeColor="text1" w:themeTint="80"/>
              <w:right w:val="nil"/>
            </w:tcBorders>
            <w:shd w:val="clear" w:color="auto" w:fill="auto"/>
            <w:vAlign w:val="center"/>
            <w:hideMark/>
          </w:tcPr>
          <w:p w14:paraId="1C57BEA8" w14:textId="77777777" w:rsidR="00216C2F" w:rsidRPr="0007780B" w:rsidRDefault="00216C2F" w:rsidP="000C04CD">
            <w:pPr>
              <w:spacing w:after="0" w:line="240" w:lineRule="auto"/>
              <w:jc w:val="both"/>
              <w:rPr>
                <w:rFonts w:ascii="Verdana" w:eastAsia="Calibri" w:hAnsi="Verdana" w:cs="Arial"/>
                <w:sz w:val="16"/>
                <w:szCs w:val="16"/>
              </w:rPr>
            </w:pPr>
            <w:r w:rsidRPr="0007780B">
              <w:rPr>
                <w:rFonts w:ascii="Verdana" w:eastAsia="Calibri" w:hAnsi="Verdana" w:cs="Arial"/>
                <w:sz w:val="16"/>
                <w:szCs w:val="16"/>
              </w:rPr>
              <w:t xml:space="preserve">Diana Carolina Blanco Rodriguez </w:t>
            </w:r>
          </w:p>
          <w:p w14:paraId="6D39E468" w14:textId="77777777" w:rsidR="00216C2F" w:rsidRPr="0007780B" w:rsidRDefault="00216C2F" w:rsidP="000C04CD">
            <w:pPr>
              <w:spacing w:after="0" w:line="240" w:lineRule="auto"/>
              <w:jc w:val="both"/>
              <w:rPr>
                <w:rFonts w:ascii="Verdana" w:eastAsia="Calibri" w:hAnsi="Verdana" w:cs="Arial"/>
                <w:sz w:val="16"/>
                <w:szCs w:val="16"/>
              </w:rPr>
            </w:pPr>
            <w:r w:rsidRPr="0007780B">
              <w:rPr>
                <w:rFonts w:ascii="Verdana" w:eastAsia="Calibri" w:hAnsi="Verdana" w:cs="Arial"/>
                <w:sz w:val="16"/>
                <w:szCs w:val="16"/>
              </w:rPr>
              <w:t>Contratista de la Subdirección de Gestión Contractual</w:t>
            </w:r>
          </w:p>
        </w:tc>
      </w:tr>
      <w:tr w:rsidR="00216C2F" w:rsidRPr="0007780B" w14:paraId="4B032275" w14:textId="77777777" w:rsidTr="000C04CD">
        <w:trPr>
          <w:trHeight w:val="315"/>
        </w:trPr>
        <w:tc>
          <w:tcPr>
            <w:tcW w:w="810" w:type="dxa"/>
            <w:tcBorders>
              <w:top w:val="nil"/>
              <w:left w:val="nil"/>
              <w:bottom w:val="nil"/>
              <w:right w:val="nil"/>
            </w:tcBorders>
            <w:shd w:val="clear" w:color="auto" w:fill="auto"/>
            <w:vAlign w:val="center"/>
            <w:hideMark/>
          </w:tcPr>
          <w:p w14:paraId="4CC2EE28" w14:textId="77777777" w:rsidR="00216C2F" w:rsidRPr="0007780B" w:rsidRDefault="00216C2F" w:rsidP="000C04CD">
            <w:pPr>
              <w:spacing w:after="0" w:line="240" w:lineRule="auto"/>
              <w:jc w:val="both"/>
              <w:textAlignment w:val="baseline"/>
              <w:rPr>
                <w:rFonts w:ascii="Verdana" w:eastAsia="Times New Roman" w:hAnsi="Verdana" w:cs="Segoe UI"/>
                <w:sz w:val="18"/>
                <w:szCs w:val="18"/>
                <w:lang w:eastAsia="es-CO"/>
              </w:rPr>
            </w:pPr>
            <w:r w:rsidRPr="0007780B">
              <w:rPr>
                <w:rFonts w:ascii="Verdana" w:eastAsia="Times New Roman" w:hAnsi="Verdana" w:cs="Arial"/>
                <w:sz w:val="16"/>
                <w:szCs w:val="16"/>
                <w:lang w:eastAsia="es-CO"/>
              </w:rPr>
              <w:t>Revisó: </w:t>
            </w:r>
            <w:r w:rsidRPr="0007780B">
              <w:rPr>
                <w:rFonts w:ascii="Verdana" w:eastAsia="Times New Roman" w:hAnsi="Verdana" w:cs="Century Gothic"/>
                <w:sz w:val="16"/>
                <w:szCs w:val="16"/>
                <w:lang w:eastAsia="es-CO"/>
              </w:rPr>
              <w:t> </w:t>
            </w:r>
          </w:p>
        </w:tc>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6D374633" w14:textId="77777777" w:rsidR="00216C2F" w:rsidRPr="0007780B" w:rsidRDefault="00216C2F" w:rsidP="000C04CD">
            <w:pPr>
              <w:spacing w:after="0" w:line="240" w:lineRule="auto"/>
              <w:jc w:val="both"/>
              <w:rPr>
                <w:rFonts w:ascii="Verdana" w:eastAsia="Calibri" w:hAnsi="Verdana" w:cs="Arial"/>
                <w:sz w:val="16"/>
                <w:szCs w:val="16"/>
              </w:rPr>
            </w:pPr>
            <w:r w:rsidRPr="0007780B">
              <w:rPr>
                <w:rFonts w:ascii="Verdana" w:eastAsia="Calibri" w:hAnsi="Verdana" w:cs="Arial"/>
                <w:sz w:val="16"/>
                <w:szCs w:val="16"/>
              </w:rPr>
              <w:t>Juan David Cárdenas Cabeza</w:t>
            </w:r>
          </w:p>
          <w:p w14:paraId="7C8D1247" w14:textId="77777777" w:rsidR="00216C2F" w:rsidRPr="0007780B" w:rsidRDefault="00216C2F" w:rsidP="000C04CD">
            <w:pPr>
              <w:spacing w:after="0" w:line="240" w:lineRule="auto"/>
              <w:jc w:val="both"/>
              <w:rPr>
                <w:rFonts w:ascii="Verdana" w:eastAsia="Calibri" w:hAnsi="Verdana" w:cs="Arial"/>
                <w:sz w:val="16"/>
                <w:szCs w:val="16"/>
              </w:rPr>
            </w:pPr>
            <w:r w:rsidRPr="0007780B">
              <w:rPr>
                <w:rFonts w:ascii="Verdana" w:eastAsia="Calibri" w:hAnsi="Verdana" w:cs="Arial"/>
                <w:sz w:val="16"/>
                <w:szCs w:val="16"/>
              </w:rPr>
              <w:t>Contratista de la Subdirección de Gestión Contractual</w:t>
            </w:r>
          </w:p>
        </w:tc>
      </w:tr>
      <w:tr w:rsidR="00216C2F" w:rsidRPr="0007780B" w14:paraId="53593642" w14:textId="77777777" w:rsidTr="000C04CD">
        <w:trPr>
          <w:trHeight w:val="300"/>
        </w:trPr>
        <w:tc>
          <w:tcPr>
            <w:tcW w:w="810" w:type="dxa"/>
            <w:tcBorders>
              <w:top w:val="nil"/>
              <w:left w:val="nil"/>
              <w:bottom w:val="nil"/>
              <w:right w:val="nil"/>
            </w:tcBorders>
            <w:shd w:val="clear" w:color="auto" w:fill="auto"/>
            <w:vAlign w:val="center"/>
            <w:hideMark/>
          </w:tcPr>
          <w:p w14:paraId="524DB54D" w14:textId="77777777" w:rsidR="00216C2F" w:rsidRPr="0007780B" w:rsidRDefault="00216C2F" w:rsidP="000C04CD">
            <w:pPr>
              <w:spacing w:after="0" w:line="240" w:lineRule="auto"/>
              <w:jc w:val="both"/>
              <w:textAlignment w:val="baseline"/>
              <w:rPr>
                <w:rFonts w:ascii="Verdana" w:eastAsia="Times New Roman" w:hAnsi="Verdana" w:cs="Segoe UI"/>
                <w:sz w:val="18"/>
                <w:szCs w:val="18"/>
                <w:lang w:eastAsia="es-CO"/>
              </w:rPr>
            </w:pPr>
            <w:r w:rsidRPr="0007780B">
              <w:rPr>
                <w:rFonts w:ascii="Verdana" w:eastAsia="Times New Roman" w:hAnsi="Verdana" w:cs="Arial"/>
                <w:sz w:val="16"/>
                <w:szCs w:val="16"/>
                <w:lang w:eastAsia="es-CO"/>
              </w:rPr>
              <w:t>Aprobó: </w:t>
            </w:r>
            <w:r w:rsidRPr="0007780B">
              <w:rPr>
                <w:rFonts w:ascii="Verdana" w:eastAsia="Times New Roman" w:hAnsi="Verdana" w:cs="Century Gothic"/>
                <w:sz w:val="16"/>
                <w:szCs w:val="16"/>
                <w:lang w:eastAsia="es-CO"/>
              </w:rPr>
              <w:t> </w:t>
            </w:r>
          </w:p>
        </w:tc>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0A3119CD" w14:textId="77777777" w:rsidR="00216C2F" w:rsidRPr="0007780B" w:rsidRDefault="00216C2F" w:rsidP="000C04CD">
            <w:pPr>
              <w:spacing w:after="0" w:line="240" w:lineRule="auto"/>
              <w:jc w:val="both"/>
              <w:textAlignment w:val="baseline"/>
              <w:rPr>
                <w:rFonts w:ascii="Verdana" w:eastAsia="Calibri" w:hAnsi="Verdana" w:cs="Arial"/>
                <w:sz w:val="16"/>
                <w:szCs w:val="16"/>
              </w:rPr>
            </w:pPr>
            <w:r w:rsidRPr="0007780B">
              <w:rPr>
                <w:rFonts w:ascii="Verdana" w:eastAsia="Calibri" w:hAnsi="Verdana" w:cs="Arial"/>
                <w:sz w:val="16"/>
                <w:szCs w:val="16"/>
              </w:rPr>
              <w:t>Carolina Quintero Gacharná</w:t>
            </w:r>
          </w:p>
          <w:p w14:paraId="18B7843F" w14:textId="77777777" w:rsidR="00216C2F" w:rsidRPr="0007780B" w:rsidRDefault="00216C2F" w:rsidP="000C04CD">
            <w:pPr>
              <w:spacing w:after="0" w:line="240" w:lineRule="auto"/>
              <w:jc w:val="both"/>
              <w:textAlignment w:val="baseline"/>
              <w:rPr>
                <w:rFonts w:ascii="Verdana" w:eastAsia="Calibri" w:hAnsi="Verdana" w:cs="Arial"/>
                <w:sz w:val="16"/>
                <w:szCs w:val="16"/>
              </w:rPr>
            </w:pPr>
            <w:r w:rsidRPr="0007780B">
              <w:rPr>
                <w:rFonts w:ascii="Verdana" w:eastAsia="Calibri" w:hAnsi="Verdana" w:cs="Arial"/>
                <w:sz w:val="16"/>
                <w:szCs w:val="16"/>
              </w:rPr>
              <w:t>Subdirectora de Gestión Contractual ANCP-CCE </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96528" w14:textId="77777777" w:rsidR="00462381" w:rsidRDefault="00462381" w:rsidP="00B30448">
      <w:pPr>
        <w:spacing w:after="0" w:line="240" w:lineRule="auto"/>
      </w:pPr>
      <w:r>
        <w:separator/>
      </w:r>
    </w:p>
  </w:endnote>
  <w:endnote w:type="continuationSeparator" w:id="0">
    <w:p w14:paraId="6D01F34F" w14:textId="77777777" w:rsidR="00462381" w:rsidRDefault="00462381" w:rsidP="00B30448">
      <w:pPr>
        <w:spacing w:after="0" w:line="240" w:lineRule="auto"/>
      </w:pPr>
      <w:r>
        <w:continuationSeparator/>
      </w:r>
    </w:p>
  </w:endnote>
  <w:endnote w:type="continuationNotice" w:id="1">
    <w:p w14:paraId="7774D240" w14:textId="77777777" w:rsidR="00462381" w:rsidRDefault="004623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4EB98" w14:textId="77777777" w:rsidR="00462381" w:rsidRDefault="00462381" w:rsidP="00B30448">
      <w:pPr>
        <w:spacing w:after="0" w:line="240" w:lineRule="auto"/>
      </w:pPr>
      <w:r>
        <w:separator/>
      </w:r>
    </w:p>
  </w:footnote>
  <w:footnote w:type="continuationSeparator" w:id="0">
    <w:p w14:paraId="7FE691A3" w14:textId="77777777" w:rsidR="00462381" w:rsidRDefault="00462381" w:rsidP="00B30448">
      <w:pPr>
        <w:spacing w:after="0" w:line="240" w:lineRule="auto"/>
      </w:pPr>
      <w:r>
        <w:continuationSeparator/>
      </w:r>
    </w:p>
  </w:footnote>
  <w:footnote w:type="continuationNotice" w:id="1">
    <w:p w14:paraId="569FB328" w14:textId="77777777" w:rsidR="00462381" w:rsidRDefault="004623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F48"/>
    <w:rsid w:val="001F48DA"/>
    <w:rsid w:val="002000AA"/>
    <w:rsid w:val="00204109"/>
    <w:rsid w:val="00211E6E"/>
    <w:rsid w:val="00212A46"/>
    <w:rsid w:val="0021401D"/>
    <w:rsid w:val="002146B8"/>
    <w:rsid w:val="00215516"/>
    <w:rsid w:val="00216C2F"/>
    <w:rsid w:val="00217DDA"/>
    <w:rsid w:val="002527C2"/>
    <w:rsid w:val="00270443"/>
    <w:rsid w:val="00270EE2"/>
    <w:rsid w:val="00272972"/>
    <w:rsid w:val="00286491"/>
    <w:rsid w:val="002A0F8D"/>
    <w:rsid w:val="002B6E44"/>
    <w:rsid w:val="002E1DB5"/>
    <w:rsid w:val="002F6CCB"/>
    <w:rsid w:val="0030461E"/>
    <w:rsid w:val="0031699C"/>
    <w:rsid w:val="0032756A"/>
    <w:rsid w:val="00334EF8"/>
    <w:rsid w:val="00336408"/>
    <w:rsid w:val="003376DC"/>
    <w:rsid w:val="00340DFB"/>
    <w:rsid w:val="0034404F"/>
    <w:rsid w:val="00356980"/>
    <w:rsid w:val="00367462"/>
    <w:rsid w:val="0037046D"/>
    <w:rsid w:val="00371ECA"/>
    <w:rsid w:val="00372748"/>
    <w:rsid w:val="0037332A"/>
    <w:rsid w:val="0038151A"/>
    <w:rsid w:val="0038797D"/>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0019"/>
    <w:rsid w:val="00462381"/>
    <w:rsid w:val="004656D7"/>
    <w:rsid w:val="0046741E"/>
    <w:rsid w:val="00472CC6"/>
    <w:rsid w:val="0047606E"/>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532C"/>
    <w:rsid w:val="005E667C"/>
    <w:rsid w:val="005F077C"/>
    <w:rsid w:val="005F63D0"/>
    <w:rsid w:val="005F7973"/>
    <w:rsid w:val="00600948"/>
    <w:rsid w:val="0061690E"/>
    <w:rsid w:val="00621FAC"/>
    <w:rsid w:val="00627361"/>
    <w:rsid w:val="0063017E"/>
    <w:rsid w:val="00631B28"/>
    <w:rsid w:val="00645B90"/>
    <w:rsid w:val="00650991"/>
    <w:rsid w:val="006511D7"/>
    <w:rsid w:val="0066233E"/>
    <w:rsid w:val="00663D75"/>
    <w:rsid w:val="00670AEF"/>
    <w:rsid w:val="00675678"/>
    <w:rsid w:val="00677012"/>
    <w:rsid w:val="006825B4"/>
    <w:rsid w:val="00682AF2"/>
    <w:rsid w:val="00685FFD"/>
    <w:rsid w:val="006864DF"/>
    <w:rsid w:val="006A2DAA"/>
    <w:rsid w:val="006A3C8A"/>
    <w:rsid w:val="006A7552"/>
    <w:rsid w:val="006B5953"/>
    <w:rsid w:val="006B7A81"/>
    <w:rsid w:val="006C4BAC"/>
    <w:rsid w:val="006C52F3"/>
    <w:rsid w:val="006C68D1"/>
    <w:rsid w:val="006E1D19"/>
    <w:rsid w:val="006E7F37"/>
    <w:rsid w:val="006F3B81"/>
    <w:rsid w:val="006F4F79"/>
    <w:rsid w:val="00705B37"/>
    <w:rsid w:val="00711FD9"/>
    <w:rsid w:val="0071249B"/>
    <w:rsid w:val="007256B8"/>
    <w:rsid w:val="0072628E"/>
    <w:rsid w:val="00735062"/>
    <w:rsid w:val="00741A1E"/>
    <w:rsid w:val="00746BA5"/>
    <w:rsid w:val="00751D23"/>
    <w:rsid w:val="007700D3"/>
    <w:rsid w:val="00770577"/>
    <w:rsid w:val="00777666"/>
    <w:rsid w:val="00780EE2"/>
    <w:rsid w:val="0078159B"/>
    <w:rsid w:val="00782E10"/>
    <w:rsid w:val="0078706B"/>
    <w:rsid w:val="00790836"/>
    <w:rsid w:val="00792132"/>
    <w:rsid w:val="00797131"/>
    <w:rsid w:val="007A3C1D"/>
    <w:rsid w:val="007A457F"/>
    <w:rsid w:val="007A7364"/>
    <w:rsid w:val="007B285D"/>
    <w:rsid w:val="007C6BC6"/>
    <w:rsid w:val="007D5E39"/>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B12B4"/>
    <w:rsid w:val="008B7914"/>
    <w:rsid w:val="008B7F31"/>
    <w:rsid w:val="008C5D2A"/>
    <w:rsid w:val="008C7AF4"/>
    <w:rsid w:val="008D200D"/>
    <w:rsid w:val="008D529F"/>
    <w:rsid w:val="008F5CC8"/>
    <w:rsid w:val="009061B8"/>
    <w:rsid w:val="0091008B"/>
    <w:rsid w:val="00911EA2"/>
    <w:rsid w:val="00916160"/>
    <w:rsid w:val="00916C7D"/>
    <w:rsid w:val="0092575D"/>
    <w:rsid w:val="00926AF2"/>
    <w:rsid w:val="009341DA"/>
    <w:rsid w:val="009430F9"/>
    <w:rsid w:val="009442E8"/>
    <w:rsid w:val="00946BD0"/>
    <w:rsid w:val="0095426C"/>
    <w:rsid w:val="00970087"/>
    <w:rsid w:val="00971074"/>
    <w:rsid w:val="00987B91"/>
    <w:rsid w:val="00995D86"/>
    <w:rsid w:val="009A1104"/>
    <w:rsid w:val="009A5453"/>
    <w:rsid w:val="009B4D94"/>
    <w:rsid w:val="009C14E5"/>
    <w:rsid w:val="009C2871"/>
    <w:rsid w:val="009D3C33"/>
    <w:rsid w:val="009D50FB"/>
    <w:rsid w:val="009D7F3A"/>
    <w:rsid w:val="009E35E3"/>
    <w:rsid w:val="009E4885"/>
    <w:rsid w:val="00A07DB6"/>
    <w:rsid w:val="00A10A73"/>
    <w:rsid w:val="00A13F0D"/>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6764"/>
    <w:rsid w:val="00AC780D"/>
    <w:rsid w:val="00AD036B"/>
    <w:rsid w:val="00AD1996"/>
    <w:rsid w:val="00AD4099"/>
    <w:rsid w:val="00AD4901"/>
    <w:rsid w:val="00AF1F30"/>
    <w:rsid w:val="00B02FE0"/>
    <w:rsid w:val="00B03FDE"/>
    <w:rsid w:val="00B057B6"/>
    <w:rsid w:val="00B168B3"/>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3C50"/>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0DB0"/>
    <w:rsid w:val="00C53220"/>
    <w:rsid w:val="00CA3347"/>
    <w:rsid w:val="00CC299A"/>
    <w:rsid w:val="00CD03E3"/>
    <w:rsid w:val="00CE4DAB"/>
    <w:rsid w:val="00CE6BDA"/>
    <w:rsid w:val="00CE7288"/>
    <w:rsid w:val="00D03DBE"/>
    <w:rsid w:val="00D072C0"/>
    <w:rsid w:val="00D1153A"/>
    <w:rsid w:val="00D17400"/>
    <w:rsid w:val="00D34C82"/>
    <w:rsid w:val="00D3757A"/>
    <w:rsid w:val="00D377C3"/>
    <w:rsid w:val="00D504A9"/>
    <w:rsid w:val="00D5206D"/>
    <w:rsid w:val="00D7177D"/>
    <w:rsid w:val="00D81311"/>
    <w:rsid w:val="00D8204C"/>
    <w:rsid w:val="00DB201E"/>
    <w:rsid w:val="00DC0E68"/>
    <w:rsid w:val="00DD25ED"/>
    <w:rsid w:val="00DE0D6E"/>
    <w:rsid w:val="00DF4393"/>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728FE"/>
    <w:rsid w:val="00F906F4"/>
    <w:rsid w:val="00F919E7"/>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luisa.derch@hyd.net.co" TargetMode="External"/><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1458</Words>
  <Characters>8024</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2024-08-13T22:01:00Z</dcterms:created>
  <dcterms:modified xsi:type="dcterms:W3CDTF">2024-08-19T17:27:00Z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