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908D" w14:textId="77777777" w:rsidR="007448A3" w:rsidRPr="007448A3" w:rsidRDefault="007448A3" w:rsidP="00176C48">
      <w:pPr>
        <w:spacing w:after="0" w:line="240" w:lineRule="auto"/>
        <w:jc w:val="both"/>
        <w:rPr>
          <w:rFonts w:ascii="Verdana" w:eastAsia="Verdana" w:hAnsi="Verdana" w:cs="Verdana"/>
          <w:b/>
          <w:lang w:val="es-ES"/>
        </w:rPr>
      </w:pPr>
      <w:bookmarkStart w:id="0" w:name="_Hlk143780582"/>
      <w:r w:rsidRPr="007448A3">
        <w:rPr>
          <w:rFonts w:ascii="Verdana" w:eastAsia="Verdana" w:hAnsi="Verdana" w:cs="Verdana"/>
          <w:b/>
          <w:lang w:val="es-ES"/>
        </w:rPr>
        <w:t>EGCAP – Ámbito de aplicación – Entidades estatales</w:t>
      </w:r>
    </w:p>
    <w:p w14:paraId="7D42923F" w14:textId="77777777" w:rsidR="007448A3" w:rsidRPr="007448A3" w:rsidRDefault="007448A3" w:rsidP="00176C48">
      <w:pPr>
        <w:spacing w:after="0" w:line="240" w:lineRule="auto"/>
        <w:jc w:val="both"/>
        <w:rPr>
          <w:rFonts w:ascii="Verdana" w:eastAsia="Verdana" w:hAnsi="Verdana" w:cs="Verdana"/>
          <w:b/>
          <w:lang w:val="es-ES"/>
        </w:rPr>
      </w:pPr>
    </w:p>
    <w:p w14:paraId="553B32C8" w14:textId="32EF9636" w:rsidR="007448A3" w:rsidRDefault="007448A3" w:rsidP="00176C48">
      <w:pPr>
        <w:spacing w:after="0" w:line="240" w:lineRule="auto"/>
        <w:jc w:val="both"/>
        <w:rPr>
          <w:rFonts w:ascii="Verdana" w:eastAsia="Verdana" w:hAnsi="Verdana" w:cs="Verdana"/>
          <w:sz w:val="20"/>
          <w:lang w:val="es-ES"/>
        </w:rPr>
      </w:pPr>
      <w:r w:rsidRPr="007448A3">
        <w:rPr>
          <w:rFonts w:ascii="Verdana" w:eastAsia="Verdana" w:hAnsi="Verdana" w:cs="Verdana"/>
          <w:sz w:val="20"/>
          <w:lang w:val="es-ES"/>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7448A3">
        <w:rPr>
          <w:rFonts w:ascii="Verdana" w:eastAsia="Verdana" w:hAnsi="Verdana" w:cs="Verdana"/>
          <w:i/>
          <w:iCs/>
          <w:sz w:val="20"/>
          <w:lang w:val="es-ES"/>
        </w:rPr>
        <w:t>entidades estatales</w:t>
      </w:r>
      <w:r w:rsidRPr="007448A3">
        <w:rPr>
          <w:rFonts w:ascii="Verdana" w:eastAsia="Verdana" w:hAnsi="Verdana" w:cs="Verdana"/>
          <w:sz w:val="20"/>
          <w:lang w:val="es-ES"/>
        </w:rPr>
        <w:t xml:space="preserve">, esto es, aquellas previstas en los literales a) y b) del numeral 1 del artículo 2 </w:t>
      </w:r>
      <w:r w:rsidRPr="007448A3">
        <w:rPr>
          <w:rFonts w:ascii="Verdana" w:eastAsia="Verdana" w:hAnsi="Verdana" w:cs="Verdana"/>
          <w:i/>
          <w:iCs/>
          <w:sz w:val="20"/>
          <w:lang w:val="es-ES"/>
        </w:rPr>
        <w:t>ibidem</w:t>
      </w:r>
      <w:r w:rsidRPr="007448A3">
        <w:rPr>
          <w:rFonts w:ascii="Verdana" w:eastAsia="Verdana" w:hAnsi="Verdana" w:cs="Verdana"/>
          <w:sz w:val="20"/>
          <w:lang w:val="es-ES"/>
        </w:rPr>
        <w:t xml:space="preserve">. La norma citada define la competencia contractual en los siguientes términos: </w:t>
      </w:r>
    </w:p>
    <w:p w14:paraId="2C627321" w14:textId="77777777" w:rsidR="007448A3" w:rsidRPr="007448A3" w:rsidRDefault="007448A3" w:rsidP="00176C48">
      <w:pPr>
        <w:spacing w:after="0" w:line="240" w:lineRule="auto"/>
        <w:jc w:val="both"/>
        <w:rPr>
          <w:rFonts w:ascii="Verdana" w:eastAsia="Verdana" w:hAnsi="Verdana" w:cs="Verdana"/>
          <w:sz w:val="20"/>
          <w:lang w:val="es-ES"/>
        </w:rPr>
      </w:pPr>
    </w:p>
    <w:p w14:paraId="3CDAC7A5" w14:textId="77777777" w:rsidR="007448A3" w:rsidRDefault="007448A3" w:rsidP="00176C48">
      <w:pPr>
        <w:spacing w:after="0" w:line="240" w:lineRule="auto"/>
        <w:jc w:val="both"/>
        <w:rPr>
          <w:rFonts w:ascii="Verdana" w:eastAsia="Verdana" w:hAnsi="Verdana" w:cs="Verdana"/>
          <w:sz w:val="20"/>
          <w:lang w:val="es-ES"/>
        </w:rPr>
      </w:pPr>
      <w:r w:rsidRPr="007448A3">
        <w:rPr>
          <w:rFonts w:ascii="Verdana" w:eastAsia="Verdana" w:hAnsi="Verdana" w:cs="Verdana"/>
          <w:sz w:val="20"/>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5B17F800" w14:textId="5CC9980B" w:rsidR="007448A3" w:rsidRPr="007448A3" w:rsidRDefault="007448A3" w:rsidP="00176C48">
      <w:pPr>
        <w:spacing w:after="0" w:line="240" w:lineRule="auto"/>
        <w:jc w:val="both"/>
        <w:rPr>
          <w:rFonts w:ascii="Verdana" w:eastAsia="Verdana" w:hAnsi="Verdana" w:cs="Verdana"/>
          <w:sz w:val="20"/>
          <w:lang w:val="es-ES"/>
        </w:rPr>
      </w:pPr>
      <w:r w:rsidRPr="007448A3">
        <w:rPr>
          <w:rFonts w:ascii="Verdana" w:eastAsia="Verdana" w:hAnsi="Verdana" w:cs="Verdana"/>
          <w:sz w:val="20"/>
          <w:lang w:val="es-ES"/>
        </w:rPr>
        <w:t xml:space="preserve"> </w:t>
      </w:r>
    </w:p>
    <w:p w14:paraId="4191ED91" w14:textId="20A84D31" w:rsidR="007448A3" w:rsidRPr="007448A3" w:rsidRDefault="007448A3" w:rsidP="00176C48">
      <w:pPr>
        <w:spacing w:after="0" w:line="240" w:lineRule="auto"/>
        <w:jc w:val="both"/>
        <w:rPr>
          <w:rFonts w:ascii="Verdana" w:eastAsia="Verdana" w:hAnsi="Verdana" w:cs="Verdana"/>
          <w:sz w:val="20"/>
          <w:lang w:val="es-ES"/>
        </w:rPr>
      </w:pPr>
      <w:r w:rsidRPr="007448A3">
        <w:rPr>
          <w:rFonts w:ascii="Verdana" w:eastAsia="Verdana" w:hAnsi="Verdana" w:cs="Verdana"/>
          <w:sz w:val="20"/>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 </w:t>
      </w:r>
    </w:p>
    <w:p w14:paraId="139A2642" w14:textId="77777777" w:rsidR="007448A3" w:rsidRPr="007448A3" w:rsidRDefault="007448A3" w:rsidP="00176C48">
      <w:pPr>
        <w:spacing w:after="0" w:line="240" w:lineRule="auto"/>
        <w:jc w:val="both"/>
        <w:rPr>
          <w:rFonts w:ascii="Verdana" w:eastAsia="Verdana" w:hAnsi="Verdana" w:cs="Verdana"/>
          <w:b/>
          <w:lang w:val="es-ES"/>
        </w:rPr>
      </w:pPr>
    </w:p>
    <w:p w14:paraId="4100FCBB" w14:textId="77777777" w:rsidR="007448A3" w:rsidRPr="007448A3" w:rsidRDefault="007448A3" w:rsidP="00176C48">
      <w:pPr>
        <w:spacing w:after="0" w:line="240" w:lineRule="auto"/>
        <w:jc w:val="both"/>
        <w:rPr>
          <w:rFonts w:ascii="Verdana" w:eastAsia="Verdana" w:hAnsi="Verdana" w:cs="Verdana"/>
          <w:b/>
          <w:lang w:val="es-ES"/>
        </w:rPr>
      </w:pPr>
      <w:r w:rsidRPr="007448A3">
        <w:rPr>
          <w:rFonts w:ascii="Verdana" w:eastAsia="Verdana" w:hAnsi="Verdana" w:cs="Verdana"/>
          <w:b/>
          <w:lang w:val="es-ES"/>
        </w:rPr>
        <w:t>ENTIDADES SIN PERSONERÍA JURÍDICA – Capacidad Contractual – Estatuto Orgánico de Presupuesto</w:t>
      </w:r>
    </w:p>
    <w:p w14:paraId="659325FE" w14:textId="77777777" w:rsidR="007448A3" w:rsidRPr="007448A3" w:rsidRDefault="007448A3" w:rsidP="00176C48">
      <w:pPr>
        <w:spacing w:after="0" w:line="240" w:lineRule="auto"/>
        <w:jc w:val="both"/>
        <w:rPr>
          <w:rFonts w:ascii="Verdana" w:eastAsia="Verdana" w:hAnsi="Verdana" w:cs="Verdana"/>
          <w:b/>
          <w:lang w:val="es-ES"/>
        </w:rPr>
      </w:pPr>
    </w:p>
    <w:p w14:paraId="15FE03A6" w14:textId="024EC717" w:rsidR="007448A3" w:rsidRDefault="007448A3" w:rsidP="00176C48">
      <w:pPr>
        <w:spacing w:after="0" w:line="240" w:lineRule="auto"/>
        <w:jc w:val="both"/>
        <w:rPr>
          <w:rFonts w:ascii="Verdana" w:eastAsia="Verdana" w:hAnsi="Verdana" w:cs="Verdana"/>
          <w:sz w:val="20"/>
        </w:rPr>
      </w:pPr>
      <w:r w:rsidRPr="007448A3">
        <w:rPr>
          <w:rFonts w:ascii="Verdana" w:eastAsia="Verdana" w:hAnsi="Verdana" w:cs="Verdana"/>
          <w:sz w:val="20"/>
        </w:rPr>
        <w:t>En torno a la capacidad externa, se encuentra que existen entidades que, si bien no se caracterizan por tener personería jurídica, si tienen capacidad contractual. De este tipo de entidades se refiere el artículo 352 constitucional, cuando prescribe que la Ley Orgánica de Presupuesto tiene la regulación de la capacidad para celebrar contratos a entidades y organismos públicos. En este aspecto, el Estatuto Orgánico del Presupuesto permite que organismos públicos tengan la capacidad para celebrar contratos a pesar de que no cuenten con personería jurídica, teniendo en cuenta que se haya otorgado dicha habilitación de forma expresa.</w:t>
      </w:r>
    </w:p>
    <w:p w14:paraId="23386CDD" w14:textId="77777777" w:rsidR="007448A3" w:rsidRPr="007448A3" w:rsidRDefault="007448A3" w:rsidP="00176C48">
      <w:pPr>
        <w:spacing w:after="0" w:line="240" w:lineRule="auto"/>
        <w:jc w:val="both"/>
        <w:rPr>
          <w:rFonts w:ascii="Verdana" w:eastAsia="Verdana" w:hAnsi="Verdana" w:cs="Verdana"/>
          <w:sz w:val="20"/>
          <w:lang w:val="es-ES"/>
        </w:rPr>
      </w:pPr>
    </w:p>
    <w:p w14:paraId="6C331FF1" w14:textId="77777777" w:rsidR="007448A3" w:rsidRPr="007448A3" w:rsidRDefault="007448A3" w:rsidP="00176C48">
      <w:pPr>
        <w:spacing w:after="0" w:line="240" w:lineRule="auto"/>
        <w:jc w:val="both"/>
        <w:rPr>
          <w:rFonts w:ascii="Verdana" w:eastAsia="Verdana" w:hAnsi="Verdana" w:cs="Verdana"/>
          <w:b/>
          <w:lang w:val="es-ES"/>
        </w:rPr>
      </w:pPr>
      <w:r w:rsidRPr="007448A3">
        <w:rPr>
          <w:rFonts w:ascii="Verdana" w:eastAsia="Verdana" w:hAnsi="Verdana" w:cs="Verdana"/>
          <w:b/>
          <w:lang w:val="es-ES"/>
        </w:rPr>
        <w:t xml:space="preserve">POLICÍA NACIONAL – Naturaleza Jurídica – Cuerpo Civil Armado – Organismo sin personería jurídica </w:t>
      </w:r>
    </w:p>
    <w:p w14:paraId="2D8F115C" w14:textId="1B8A46B0" w:rsidR="007448A3" w:rsidRPr="007448A3" w:rsidRDefault="007448A3" w:rsidP="00176C48">
      <w:pPr>
        <w:spacing w:after="0" w:line="240" w:lineRule="auto"/>
        <w:jc w:val="both"/>
        <w:rPr>
          <w:rFonts w:ascii="Verdana" w:eastAsia="Verdana" w:hAnsi="Verdana" w:cs="Verdana"/>
          <w:sz w:val="20"/>
          <w:lang w:val="es-ES"/>
        </w:rPr>
      </w:pPr>
      <w:r w:rsidRPr="007448A3">
        <w:rPr>
          <w:rFonts w:ascii="Verdana" w:eastAsia="Verdana" w:hAnsi="Verdana" w:cs="Verdana"/>
          <w:sz w:val="20"/>
          <w:lang w:val="es-ES"/>
        </w:rPr>
        <w:lastRenderedPageBreak/>
        <w:t>De este modo, se encuentra que la Policía no tiene personería jurídica, sin embargo, cuenta con la capacidad contractual. Ahora bien, para entender un poco más de esta entidad, el artículo 218 de la Constitución Política establece: “la Policía Nacional es un cuerpo armado permanente de naturaleza civil, a cargo de la Nación, cuyo fin primordial es el mantenimiento de las condiciones necesarias para el ejercicio de los derechos y libertades públicas, y para asegurar que los habitantes de Colombia convivan en paz”. La Corte Constitucional ha reiterado ese carácter civil de la Policía Nacional, estableciendo que la naturaleza jurídica de esta institución es diferente a la de las Fuerzas Militares, su naturaleza civil implica que los inferiores son responsables por la ejecución de las órdenes que reciban y como autoridad administrativa cumple funciones preventivas más no represivas, salvo cuando actúa como colaboradora de las autoridades judiciales en ejercicio de la función de policía judicial.</w:t>
      </w:r>
    </w:p>
    <w:p w14:paraId="23867684" w14:textId="77777777" w:rsidR="007448A3" w:rsidRPr="007448A3" w:rsidRDefault="007448A3" w:rsidP="00176C48">
      <w:pPr>
        <w:spacing w:after="0" w:line="240" w:lineRule="auto"/>
        <w:jc w:val="both"/>
        <w:rPr>
          <w:rFonts w:ascii="Verdana" w:eastAsia="Verdana" w:hAnsi="Verdana" w:cs="Verdana"/>
          <w:b/>
          <w:lang w:val="es-ES"/>
        </w:rPr>
      </w:pPr>
    </w:p>
    <w:p w14:paraId="71C316E5" w14:textId="5E74023B" w:rsidR="007448A3" w:rsidRPr="007448A3" w:rsidRDefault="007448A3" w:rsidP="00176C48">
      <w:pPr>
        <w:spacing w:after="0" w:line="240" w:lineRule="auto"/>
        <w:jc w:val="both"/>
        <w:rPr>
          <w:rFonts w:ascii="Verdana" w:eastAsia="Verdana" w:hAnsi="Verdana" w:cs="Verdana"/>
          <w:b/>
          <w:lang w:val="es-ES_tradnl"/>
        </w:rPr>
      </w:pPr>
      <w:r w:rsidRPr="007448A3">
        <w:rPr>
          <w:rFonts w:ascii="Verdana" w:eastAsia="Verdana" w:hAnsi="Verdana" w:cs="Verdana"/>
          <w:b/>
          <w:lang w:val="es-ES_tradnl"/>
        </w:rPr>
        <w:t xml:space="preserve">LEY 1955 DE 2019 – Artículo 229 – Finalidad </w:t>
      </w:r>
    </w:p>
    <w:p w14:paraId="62697874" w14:textId="77777777" w:rsidR="007448A3" w:rsidRPr="00176C48" w:rsidRDefault="007448A3" w:rsidP="00176C48">
      <w:pPr>
        <w:spacing w:after="0" w:line="240" w:lineRule="auto"/>
        <w:jc w:val="both"/>
        <w:rPr>
          <w:rFonts w:ascii="Verdana" w:eastAsia="Verdana" w:hAnsi="Verdana" w:cs="Verdana"/>
          <w:sz w:val="20"/>
          <w:lang w:val="es-ES_tradnl"/>
        </w:rPr>
      </w:pPr>
    </w:p>
    <w:p w14:paraId="5D2FD516" w14:textId="5AC93D99" w:rsidR="007448A3" w:rsidRPr="00176C48" w:rsidRDefault="007448A3" w:rsidP="00176C48">
      <w:pPr>
        <w:spacing w:after="0" w:line="240" w:lineRule="auto"/>
        <w:jc w:val="both"/>
        <w:rPr>
          <w:rFonts w:ascii="Verdana" w:eastAsia="Verdana" w:hAnsi="Verdana" w:cs="Verdana"/>
          <w:sz w:val="20"/>
        </w:rPr>
      </w:pPr>
      <w:r w:rsidRPr="00176C48">
        <w:rPr>
          <w:rFonts w:ascii="Verdana" w:eastAsia="Verdana" w:hAnsi="Verdana" w:cs="Verdana"/>
          <w:sz w:val="20"/>
        </w:rPr>
        <w:t xml:space="preserve">Así, en el mercado de la compra pública se crean incentivos para fomentar el desarrollo de determinado tipo de proveedores, como ocurre con los incentivos a las </w:t>
      </w:r>
      <w:proofErr w:type="spellStart"/>
      <w:r w:rsidRPr="00176C48">
        <w:rPr>
          <w:rFonts w:ascii="Verdana" w:eastAsia="Verdana" w:hAnsi="Verdana" w:cs="Verdana"/>
          <w:sz w:val="20"/>
        </w:rPr>
        <w:t>Mipymes</w:t>
      </w:r>
      <w:proofErr w:type="spellEnd"/>
      <w:r w:rsidRPr="00176C48">
        <w:rPr>
          <w:rFonts w:ascii="Verdana" w:eastAsia="Verdana" w:hAnsi="Verdana" w:cs="Verdana"/>
          <w:sz w:val="20"/>
        </w:rPr>
        <w:t>, a los emprendimientos y empresas de mujeres, entre otros. En esa orientación, el artículo 229 de la Ley 1955 de 2019, “Por el cual se expide el Plan Nacional de Desarrollo 2018-2022”,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754D08FF" w14:textId="77777777" w:rsidR="007448A3" w:rsidRPr="007448A3" w:rsidRDefault="007448A3" w:rsidP="00176C48">
      <w:pPr>
        <w:spacing w:after="0" w:line="240" w:lineRule="auto"/>
        <w:jc w:val="both"/>
        <w:rPr>
          <w:rFonts w:ascii="Verdana" w:eastAsia="Verdana" w:hAnsi="Verdana" w:cs="Verdana"/>
          <w:b/>
          <w:lang w:val="es-ES_tradnl"/>
        </w:rPr>
      </w:pPr>
    </w:p>
    <w:p w14:paraId="2C210287" w14:textId="77777777" w:rsidR="007448A3" w:rsidRPr="007448A3" w:rsidRDefault="007448A3" w:rsidP="00176C48">
      <w:pPr>
        <w:spacing w:after="0" w:line="240" w:lineRule="auto"/>
        <w:jc w:val="both"/>
        <w:rPr>
          <w:rFonts w:ascii="Verdana" w:eastAsia="Verdana" w:hAnsi="Verdana" w:cs="Verdana"/>
          <w:b/>
          <w:lang w:val="es-ES_tradnl"/>
        </w:rPr>
      </w:pPr>
      <w:r w:rsidRPr="007448A3">
        <w:rPr>
          <w:rFonts w:ascii="Verdana" w:eastAsia="Verdana" w:hAnsi="Verdana" w:cs="Verdana"/>
          <w:b/>
          <w:lang w:val="es-ES_tradnl"/>
        </w:rPr>
        <w:t xml:space="preserve">LEY 2046 DE 2020 – Finalidad – Ámbito de aplicación - Compra pública de alimentos </w:t>
      </w:r>
    </w:p>
    <w:p w14:paraId="0481A37E" w14:textId="77777777" w:rsidR="007448A3" w:rsidRPr="00176C48" w:rsidRDefault="007448A3" w:rsidP="00176C48">
      <w:pPr>
        <w:spacing w:after="0" w:line="240" w:lineRule="auto"/>
        <w:jc w:val="both"/>
        <w:rPr>
          <w:rFonts w:ascii="Verdana" w:eastAsia="Verdana" w:hAnsi="Verdana" w:cs="Verdana"/>
          <w:sz w:val="20"/>
          <w:lang w:val="es-ES_tradnl"/>
        </w:rPr>
      </w:pPr>
    </w:p>
    <w:p w14:paraId="164B9C2C" w14:textId="77777777" w:rsidR="00176C48" w:rsidRP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 xml:space="preserve">La exposición de motivos de la citada Ley explicó, entre otras cosas, lo siguiente: “[…]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n el mercado”. </w:t>
      </w:r>
    </w:p>
    <w:p w14:paraId="66A982FD" w14:textId="2C0DE719" w:rsidR="00176C48" w:rsidRP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w:t>
      </w:r>
    </w:p>
    <w:p w14:paraId="08C5F945" w14:textId="48C7292A" w:rsid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En este contexto, de acuerdo con el artículo 1, el objeto de la ley “[…]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p>
    <w:p w14:paraId="1B831B2F" w14:textId="77777777" w:rsidR="00176C48" w:rsidRPr="00176C48" w:rsidRDefault="00176C48" w:rsidP="00176C48">
      <w:pPr>
        <w:spacing w:after="0" w:line="240" w:lineRule="auto"/>
        <w:jc w:val="both"/>
        <w:rPr>
          <w:rFonts w:ascii="Verdana" w:eastAsia="Verdana" w:hAnsi="Verdana" w:cs="Verdana"/>
          <w:sz w:val="20"/>
        </w:rPr>
      </w:pPr>
    </w:p>
    <w:p w14:paraId="2DF893A0" w14:textId="125529D1" w:rsid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 xml:space="preserve">En cuanto al campo de aplicación, el artículo 3 ibidem prescribe lo siguiente: “Las disposiciones que aquí se establecen, serán obligatorias para las entidades públicas del </w:t>
      </w:r>
      <w:r w:rsidRPr="00176C48">
        <w:rPr>
          <w:rFonts w:ascii="Verdana" w:eastAsia="Verdana" w:hAnsi="Verdana" w:cs="Verdana"/>
          <w:sz w:val="20"/>
        </w:rPr>
        <w:lastRenderedPageBreak/>
        <w:t xml:space="preserve">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 </w:t>
      </w:r>
    </w:p>
    <w:p w14:paraId="6831F87C" w14:textId="77777777" w:rsidR="00176C48" w:rsidRPr="00176C48" w:rsidRDefault="00176C48" w:rsidP="00176C48">
      <w:pPr>
        <w:spacing w:after="0" w:line="240" w:lineRule="auto"/>
        <w:jc w:val="both"/>
        <w:rPr>
          <w:rFonts w:ascii="Verdana" w:eastAsia="Verdana" w:hAnsi="Verdana" w:cs="Verdana"/>
          <w:sz w:val="20"/>
        </w:rPr>
      </w:pPr>
    </w:p>
    <w:p w14:paraId="34442682" w14:textId="77777777" w:rsidR="00176C48" w:rsidRP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En efecto, este ámbito de aplicación no se limita a las entidades sujetas al Estatuto General de Contratación de la Administración Pública, sino que se extiende a otro tipo de Entidades Públicas de los distintos órdenes, las sociedades de economía mixta, entidades privadas que administren recursos públicos, así como los demás sujetos mencionados en la norma. Esta redacción evidencia la intención del legislador de otorgar un alcance general y comprensivo a las obligaciones allí contenidas, evitando limitar su aplicación a una categoría específica de entidades.</w:t>
      </w:r>
    </w:p>
    <w:p w14:paraId="7F2B0C87" w14:textId="77777777" w:rsidR="007448A3" w:rsidRPr="00176C48" w:rsidRDefault="007448A3" w:rsidP="00176C48">
      <w:pPr>
        <w:spacing w:after="0" w:line="240" w:lineRule="auto"/>
        <w:jc w:val="both"/>
        <w:rPr>
          <w:rFonts w:ascii="Verdana" w:eastAsia="Verdana" w:hAnsi="Verdana" w:cs="Verdana"/>
          <w:b/>
        </w:rPr>
      </w:pPr>
    </w:p>
    <w:p w14:paraId="2C058970" w14:textId="6E28A67E" w:rsidR="007448A3" w:rsidRPr="007448A3" w:rsidRDefault="007448A3" w:rsidP="00176C48">
      <w:pPr>
        <w:spacing w:after="0" w:line="240" w:lineRule="auto"/>
        <w:jc w:val="both"/>
        <w:rPr>
          <w:rFonts w:ascii="Verdana" w:eastAsia="Verdana" w:hAnsi="Verdana" w:cs="Verdana"/>
          <w:b/>
          <w:lang w:val="es-ES_tradnl"/>
        </w:rPr>
      </w:pPr>
      <w:r w:rsidRPr="007448A3">
        <w:rPr>
          <w:rFonts w:ascii="Verdana" w:eastAsia="Verdana" w:hAnsi="Verdana" w:cs="Verdana"/>
          <w:b/>
          <w:lang w:val="es-ES_tradnl"/>
        </w:rPr>
        <w:t>DECRETO 248 DE 2021 –</w:t>
      </w:r>
      <w:r w:rsidR="00276931">
        <w:rPr>
          <w:rFonts w:ascii="Verdana" w:eastAsia="Verdana" w:hAnsi="Verdana" w:cs="Verdana"/>
          <w:b/>
          <w:lang w:val="es-ES_tradnl"/>
        </w:rPr>
        <w:t xml:space="preserve"> </w:t>
      </w:r>
      <w:r w:rsidRPr="007448A3">
        <w:rPr>
          <w:rFonts w:ascii="Verdana" w:eastAsia="Verdana" w:hAnsi="Verdana" w:cs="Verdana"/>
          <w:b/>
          <w:lang w:val="es-ES_tradnl"/>
        </w:rPr>
        <w:t xml:space="preserve">Incentivos – Articulo </w:t>
      </w:r>
      <w:r w:rsidRPr="007448A3">
        <w:rPr>
          <w:rFonts w:ascii="Verdana" w:eastAsia="Verdana" w:hAnsi="Verdana" w:cs="Verdana"/>
          <w:b/>
        </w:rPr>
        <w:t>2.20.1.2.1</w:t>
      </w:r>
      <w:r w:rsidRPr="007448A3">
        <w:rPr>
          <w:rFonts w:ascii="Verdana" w:eastAsia="Verdana" w:hAnsi="Verdana" w:cs="Verdana"/>
          <w:b/>
          <w:lang w:val="es-ES_tradnl"/>
        </w:rPr>
        <w:t>. – Literal b)- Proveedor Directo</w:t>
      </w:r>
    </w:p>
    <w:p w14:paraId="5A6343B2" w14:textId="77777777" w:rsidR="007448A3" w:rsidRPr="00176C48" w:rsidRDefault="007448A3" w:rsidP="00176C48">
      <w:pPr>
        <w:spacing w:after="0" w:line="240" w:lineRule="auto"/>
        <w:jc w:val="both"/>
        <w:rPr>
          <w:rFonts w:ascii="Verdana" w:eastAsia="Verdana" w:hAnsi="Verdana" w:cs="Verdana"/>
          <w:sz w:val="20"/>
          <w:lang w:val="es-ES_tradnl"/>
        </w:rPr>
      </w:pPr>
    </w:p>
    <w:p w14:paraId="17DCC263" w14:textId="382B6215" w:rsid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Así, la interpretación sistemática del literal b) del artículo 2.20.1.2.1 permite concluir que el propósito del incentivo normativo es favorecer la contratación con sujetos que intervienen directamente en la producción de los alimentos, ya sea de manera individual como pequeños productores o productores de la ACFC, o de forma asociativa a través de organizaciones conformadas por estos, garantizando que el beneficio del puntaje adicional recaiga sobre quienes hacen parte efectiva de la base productiva rural.</w:t>
      </w:r>
    </w:p>
    <w:p w14:paraId="735E8AA1" w14:textId="77777777" w:rsidR="00176C48" w:rsidRPr="00176C48" w:rsidRDefault="00176C48" w:rsidP="00176C48">
      <w:pPr>
        <w:spacing w:after="0" w:line="240" w:lineRule="auto"/>
        <w:jc w:val="both"/>
        <w:rPr>
          <w:rFonts w:ascii="Verdana" w:eastAsia="Verdana" w:hAnsi="Verdana" w:cs="Verdana"/>
          <w:sz w:val="20"/>
        </w:rPr>
      </w:pPr>
    </w:p>
    <w:p w14:paraId="0B1A1068" w14:textId="1172E8B1" w:rsid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Bajo este entendimiento, no resulta procedente extender la noción de proveedor directo a oferentes que, aun participando en el proceso de contratación, no acrediten su calidad de pequeños productores o productores de la ACFC, ni la de organización de estos, por cuanto ello desnaturalizaría la finalidad del esquema de puntajes establecido por el Decreto 248 de 2021, cuyo objetivo es promover la inclusión de la Agricultura Campesina, Familiar y Comunitaria y de los pequeños productores agropecuarios en las compras públicas de alimentos.</w:t>
      </w:r>
    </w:p>
    <w:p w14:paraId="005590B1" w14:textId="77777777" w:rsidR="00176C48" w:rsidRPr="00176C48" w:rsidRDefault="00176C48" w:rsidP="00176C48">
      <w:pPr>
        <w:spacing w:after="0" w:line="240" w:lineRule="auto"/>
        <w:jc w:val="both"/>
        <w:rPr>
          <w:rFonts w:ascii="Verdana" w:eastAsia="Verdana" w:hAnsi="Verdana" w:cs="Verdana"/>
          <w:sz w:val="20"/>
        </w:rPr>
      </w:pPr>
    </w:p>
    <w:p w14:paraId="01F4215A" w14:textId="77777777" w:rsidR="00176C48" w:rsidRPr="00176C48" w:rsidRDefault="00176C48" w:rsidP="00176C48">
      <w:pPr>
        <w:spacing w:after="0" w:line="240" w:lineRule="auto"/>
        <w:jc w:val="both"/>
        <w:rPr>
          <w:rFonts w:ascii="Verdana" w:eastAsia="Verdana" w:hAnsi="Verdana" w:cs="Verdana"/>
          <w:sz w:val="20"/>
        </w:rPr>
      </w:pPr>
      <w:r w:rsidRPr="00176C48">
        <w:rPr>
          <w:rFonts w:ascii="Verdana" w:eastAsia="Verdana" w:hAnsi="Verdana" w:cs="Verdana"/>
          <w:sz w:val="20"/>
        </w:rPr>
        <w:t>En consecuencia, para efectos de la aplicación del puntaje adicional previsto en el literal b) del artículo 2.20.1.2.1 del Decreto 1071 de 2015, la calidad de proveedor directo debe entenderse acreditada únicamente cuando el oferente demuestre su condición de pequeño productor agropecuario, productor de la Agricultura Campesina, Familiar y Comunitaria, o de organización integrada por estos, en los términos previstos por la normativa vigente.</w:t>
      </w:r>
    </w:p>
    <w:p w14:paraId="2CECF66D" w14:textId="77777777" w:rsidR="007448A3" w:rsidRDefault="007448A3" w:rsidP="008C3D38">
      <w:pPr>
        <w:spacing w:after="0"/>
        <w:rPr>
          <w:rFonts w:ascii="Verdana" w:eastAsia="Verdana" w:hAnsi="Verdana" w:cs="Verdana"/>
        </w:rPr>
      </w:pPr>
    </w:p>
    <w:p w14:paraId="163217A4" w14:textId="3FE6E470" w:rsidR="008C3D38" w:rsidRPr="008C3D38" w:rsidRDefault="0069216D" w:rsidP="008C3D38">
      <w:pPr>
        <w:spacing w:after="0"/>
        <w:rPr>
          <w:rFonts w:ascii="Verdana" w:hAnsi="Verdana"/>
        </w:rPr>
      </w:pPr>
      <w:r w:rsidRPr="0069216D">
        <w:rPr>
          <w:noProof/>
          <w:lang w:val="en-US"/>
        </w:rPr>
        <w:lastRenderedPageBreak/>
        <w:drawing>
          <wp:anchor distT="0" distB="0" distL="114300" distR="114300" simplePos="0" relativeHeight="251658240" behindDoc="0" locked="0" layoutInCell="1" allowOverlap="1" wp14:anchorId="17D1407D" wp14:editId="519047B3">
            <wp:simplePos x="0" y="0"/>
            <wp:positionH relativeFrom="column">
              <wp:posOffset>3013710</wp:posOffset>
            </wp:positionH>
            <wp:positionV relativeFrom="paragraph">
              <wp:posOffset>69850</wp:posOffset>
            </wp:positionV>
            <wp:extent cx="2617470" cy="695960"/>
            <wp:effectExtent l="0" t="0" r="0" b="889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7470" cy="69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8A3">
        <w:rPr>
          <w:rFonts w:ascii="Verdana" w:eastAsia="Verdana" w:hAnsi="Verdana" w:cs="Verdana"/>
        </w:rPr>
        <w:t>Bogotá D.C., 27 de marzo de 2026</w:t>
      </w:r>
      <w:r w:rsidR="008C3D38" w:rsidRPr="008C3D38">
        <w:tab/>
      </w:r>
      <w:r w:rsidR="008C3D38" w:rsidRPr="008C3D38">
        <w:br/>
      </w:r>
    </w:p>
    <w:p w14:paraId="1AC1A594" w14:textId="77777777" w:rsidR="008C3D38" w:rsidRPr="008C3D38" w:rsidRDefault="008C3D38" w:rsidP="008C3D38">
      <w:pPr>
        <w:spacing w:after="0" w:line="240" w:lineRule="auto"/>
        <w:rPr>
          <w:rFonts w:ascii="Verdana" w:hAnsi="Verdana"/>
        </w:rPr>
      </w:pPr>
    </w:p>
    <w:p w14:paraId="11F9DEAF" w14:textId="77777777" w:rsidR="008C3D38" w:rsidRPr="008C3D38" w:rsidRDefault="008C3D38" w:rsidP="008C3D38">
      <w:pPr>
        <w:spacing w:after="0" w:line="240" w:lineRule="auto"/>
        <w:rPr>
          <w:rFonts w:ascii="Verdana" w:eastAsia="Calibri" w:hAnsi="Verdana" w:cs="Times New Roman"/>
          <w:lang w:val="es-MX"/>
        </w:rPr>
      </w:pPr>
      <w:r w:rsidRPr="008C3D38">
        <w:rPr>
          <w:rFonts w:ascii="Verdana" w:eastAsia="Calibri" w:hAnsi="Verdana" w:cs="Times New Roman"/>
          <w:lang w:val="es-MX"/>
        </w:rPr>
        <w:t>Señora</w:t>
      </w:r>
    </w:p>
    <w:p w14:paraId="39E090BA" w14:textId="77777777" w:rsidR="008C3D38" w:rsidRPr="008C3D38" w:rsidRDefault="008C3D38" w:rsidP="008C3D38">
      <w:pPr>
        <w:spacing w:after="0" w:line="240" w:lineRule="auto"/>
        <w:rPr>
          <w:rFonts w:ascii="Verdana" w:eastAsia="Calibri" w:hAnsi="Verdana" w:cs="Times New Roman"/>
          <w:b/>
        </w:rPr>
      </w:pPr>
      <w:r w:rsidRPr="008C3D38">
        <w:rPr>
          <w:rFonts w:ascii="Verdana" w:eastAsia="Calibri" w:hAnsi="Verdana" w:cs="Times New Roman"/>
          <w:b/>
        </w:rPr>
        <w:t xml:space="preserve">Carmen Liliana Salazar </w:t>
      </w:r>
      <w:proofErr w:type="spellStart"/>
      <w:r w:rsidRPr="008C3D38">
        <w:rPr>
          <w:rFonts w:ascii="Verdana" w:eastAsia="Calibri" w:hAnsi="Verdana" w:cs="Times New Roman"/>
          <w:b/>
        </w:rPr>
        <w:t>Salazar</w:t>
      </w:r>
      <w:proofErr w:type="spellEnd"/>
    </w:p>
    <w:p w14:paraId="771D0F67" w14:textId="77777777" w:rsidR="008C3D38" w:rsidRPr="008C3D38" w:rsidRDefault="008C3D38" w:rsidP="008C3D38">
      <w:pPr>
        <w:spacing w:after="0" w:line="240" w:lineRule="auto"/>
        <w:rPr>
          <w:rFonts w:ascii="Verdana" w:hAnsi="Verdana"/>
        </w:rPr>
      </w:pPr>
      <w:hyperlink r:id="rId12" w:history="1">
        <w:r w:rsidRPr="008C3D38">
          <w:rPr>
            <w:rFonts w:ascii="Verdana" w:hAnsi="Verdana"/>
            <w:color w:val="0000FF"/>
            <w:u w:val="single"/>
          </w:rPr>
          <w:t>carmen.lsalazar@hotmail.com;eva@funcionpublica.gov.co</w:t>
        </w:r>
      </w:hyperlink>
      <w:r w:rsidRPr="008C3D38">
        <w:rPr>
          <w:rFonts w:ascii="Verdana" w:hAnsi="Verdana"/>
        </w:rPr>
        <w:t xml:space="preserve"> </w:t>
      </w:r>
    </w:p>
    <w:p w14:paraId="30E4C879" w14:textId="77777777" w:rsidR="008C3D38" w:rsidRPr="008C3D38" w:rsidRDefault="008C3D38" w:rsidP="008C3D38">
      <w:pPr>
        <w:spacing w:after="0" w:line="240" w:lineRule="auto"/>
        <w:rPr>
          <w:rFonts w:ascii="Verdana" w:eastAsia="Calibri" w:hAnsi="Verdana" w:cs="Times New Roman"/>
          <w:bCs/>
        </w:rPr>
      </w:pPr>
      <w:r w:rsidRPr="008C3D38">
        <w:rPr>
          <w:rFonts w:ascii="Verdana" w:eastAsia="Calibri" w:hAnsi="Verdana" w:cs="Times New Roman"/>
          <w:bCs/>
        </w:rPr>
        <w:t xml:space="preserve">Armenia, </w:t>
      </w:r>
      <w:proofErr w:type="spellStart"/>
      <w:r w:rsidRPr="008C3D38">
        <w:rPr>
          <w:rFonts w:ascii="Verdana" w:eastAsia="Calibri" w:hAnsi="Verdana" w:cs="Times New Roman"/>
          <w:bCs/>
        </w:rPr>
        <w:t>Quindio</w:t>
      </w:r>
      <w:proofErr w:type="spellEnd"/>
      <w:r w:rsidRPr="008C3D38">
        <w:rPr>
          <w:rFonts w:ascii="Verdana" w:eastAsia="Calibri" w:hAnsi="Verdana" w:cs="Times New Roman"/>
          <w:bCs/>
        </w:rPr>
        <w:t xml:space="preserve"> </w:t>
      </w:r>
    </w:p>
    <w:p w14:paraId="53EB8CB8" w14:textId="77777777" w:rsidR="008C3D38" w:rsidRPr="008C3D38" w:rsidRDefault="008C3D38" w:rsidP="008C3D38">
      <w:pPr>
        <w:spacing w:after="0" w:line="240" w:lineRule="auto"/>
        <w:rPr>
          <w:rFonts w:ascii="Verdana" w:eastAsia="Calibri" w:hAnsi="Verdana" w:cs="Times New Roman"/>
        </w:rPr>
      </w:pPr>
    </w:p>
    <w:p w14:paraId="0E82429E" w14:textId="77777777" w:rsidR="008C3D38" w:rsidRPr="008C3D38" w:rsidRDefault="008C3D38" w:rsidP="008C3D38">
      <w:pPr>
        <w:spacing w:after="0" w:line="240" w:lineRule="auto"/>
        <w:rPr>
          <w:rFonts w:ascii="Verdana" w:eastAsia="Calibri" w:hAnsi="Verdana" w:cs="Times New Roman"/>
        </w:rPr>
      </w:pPr>
    </w:p>
    <w:p w14:paraId="36425DB9" w14:textId="77777777" w:rsidR="008C3D38" w:rsidRPr="008C3D38" w:rsidRDefault="008C3D38" w:rsidP="008C3D38">
      <w:pPr>
        <w:spacing w:after="0" w:line="240" w:lineRule="auto"/>
        <w:rPr>
          <w:rFonts w:ascii="Verdana" w:eastAsia="Calibri" w:hAnsi="Verdana" w:cs="Times New Roman"/>
          <w:b/>
          <w:bCs/>
          <w:lang w:val="es-ES"/>
        </w:rPr>
      </w:pPr>
      <w:r w:rsidRPr="008C3D38">
        <w:rPr>
          <w:rFonts w:ascii="Verdana" w:eastAsia="Calibri" w:hAnsi="Verdana" w:cs="Times New Roman"/>
          <w:b/>
          <w:bCs/>
          <w:lang w:val="es-ES"/>
        </w:rPr>
        <w:t xml:space="preserve">                                    Concepto C–237 de 2026</w:t>
      </w:r>
    </w:p>
    <w:p w14:paraId="2B125022" w14:textId="77777777" w:rsidR="008C3D38" w:rsidRPr="008C3D38" w:rsidRDefault="008C3D38" w:rsidP="008C3D38">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8C3D38" w:rsidRPr="008C3D38" w14:paraId="3A2541C6" w14:textId="77777777" w:rsidTr="002C7923">
        <w:trPr>
          <w:trHeight w:val="645"/>
        </w:trPr>
        <w:tc>
          <w:tcPr>
            <w:tcW w:w="2685" w:type="dxa"/>
            <w:hideMark/>
          </w:tcPr>
          <w:p w14:paraId="7898FE97" w14:textId="77777777" w:rsidR="008C3D38" w:rsidRPr="008C3D38" w:rsidRDefault="008C3D38" w:rsidP="008C3D38">
            <w:pPr>
              <w:rPr>
                <w:rFonts w:ascii="Verdana" w:hAnsi="Verdana"/>
                <w:b/>
                <w:bCs/>
                <w:lang w:val="es-ES_tradnl"/>
              </w:rPr>
            </w:pPr>
            <w:r w:rsidRPr="008C3D38">
              <w:rPr>
                <w:rFonts w:ascii="Verdana" w:hAnsi="Verdana"/>
                <w:b/>
                <w:bCs/>
                <w:lang w:val="es-ES_tradnl"/>
              </w:rPr>
              <w:t xml:space="preserve">Temas:                  </w:t>
            </w:r>
          </w:p>
        </w:tc>
        <w:tc>
          <w:tcPr>
            <w:tcW w:w="6241" w:type="dxa"/>
            <w:hideMark/>
          </w:tcPr>
          <w:p w14:paraId="206BE9AF" w14:textId="77777777" w:rsidR="008C3D38" w:rsidRPr="008C3D38" w:rsidRDefault="008C3D38" w:rsidP="008C3D38">
            <w:pPr>
              <w:spacing w:line="276" w:lineRule="auto"/>
              <w:jc w:val="both"/>
              <w:rPr>
                <w:rFonts w:ascii="Verdana" w:hAnsi="Verdana" w:cs="Arial"/>
                <w:lang w:val="es-ES_tradnl" w:eastAsia="es-ES"/>
              </w:rPr>
            </w:pPr>
            <w:r w:rsidRPr="008C3D38">
              <w:rPr>
                <w:rFonts w:ascii="Verdana" w:hAnsi="Verdana" w:cs="Arial"/>
                <w:lang w:val="es-ES" w:eastAsia="es-ES"/>
              </w:rPr>
              <w:t xml:space="preserve">EGCAP – Ámbito de aplicación – Entidades estatales / ENTIDADES SIN PERSONERÍA JURÍDICA – Capacidad Contractual – Estatuto Orgánico de Presupuesto / POLICÍA NACIONAL – Naturaleza Jurídica – Cuerpo Civil Armado – Organismo sin personería jurídica / </w:t>
            </w:r>
            <w:r w:rsidRPr="008C3D38">
              <w:rPr>
                <w:rFonts w:ascii="Verdana" w:hAnsi="Verdana" w:cs="Arial"/>
                <w:lang w:val="es-ES_tradnl" w:eastAsia="es-ES"/>
              </w:rPr>
              <w:t xml:space="preserve">LEY 1955 DE 2019 – Artículo 229 – Finalidad / LEY 2046 DE 2020 – Finalidad – Ámbito de aplicación - Compra pública de alimentos / DECRETO 248 DE 2021 –Incentivos – Articulo </w:t>
            </w:r>
            <w:r w:rsidRPr="008C3D38">
              <w:rPr>
                <w:rFonts w:ascii="Verdana" w:hAnsi="Verdana" w:cs="Arial"/>
                <w:lang w:eastAsia="es-ES"/>
              </w:rPr>
              <w:t>2.20.1.2.1</w:t>
            </w:r>
            <w:r w:rsidRPr="008C3D38">
              <w:rPr>
                <w:rFonts w:ascii="Verdana" w:hAnsi="Verdana" w:cs="Arial"/>
                <w:lang w:val="es-ES_tradnl" w:eastAsia="es-ES"/>
              </w:rPr>
              <w:t xml:space="preserve">. – Literal b)- Proveedor Directo. </w:t>
            </w:r>
          </w:p>
          <w:p w14:paraId="66F097BE" w14:textId="77777777" w:rsidR="008C3D38" w:rsidRPr="008C3D38" w:rsidRDefault="008C3D38" w:rsidP="008C3D38">
            <w:pPr>
              <w:snapToGrid w:val="0"/>
              <w:spacing w:line="276" w:lineRule="auto"/>
              <w:jc w:val="both"/>
              <w:rPr>
                <w:rFonts w:ascii="Verdana" w:hAnsi="Verdana" w:cs="Arial"/>
                <w:bCs/>
                <w:lang w:val="es-ES" w:eastAsia="es-ES"/>
              </w:rPr>
            </w:pPr>
          </w:p>
        </w:tc>
        <w:tc>
          <w:tcPr>
            <w:tcW w:w="6237" w:type="dxa"/>
          </w:tcPr>
          <w:p w14:paraId="36FA4491" w14:textId="77777777" w:rsidR="008C3D38" w:rsidRPr="008C3D38" w:rsidRDefault="008C3D38" w:rsidP="008C3D38">
            <w:pPr>
              <w:rPr>
                <w:rFonts w:ascii="Verdana" w:hAnsi="Verdana"/>
                <w:lang w:val="es-ES"/>
              </w:rPr>
            </w:pPr>
          </w:p>
        </w:tc>
      </w:tr>
      <w:tr w:rsidR="008C3D38" w:rsidRPr="008C3D38" w14:paraId="7FB95806" w14:textId="77777777" w:rsidTr="002C7923">
        <w:tc>
          <w:tcPr>
            <w:tcW w:w="2685" w:type="dxa"/>
          </w:tcPr>
          <w:p w14:paraId="42590D44" w14:textId="77777777" w:rsidR="008C3D38" w:rsidRPr="008C3D38" w:rsidRDefault="008C3D38" w:rsidP="008C3D38">
            <w:pPr>
              <w:rPr>
                <w:rFonts w:ascii="Verdana" w:hAnsi="Verdana"/>
                <w:b/>
                <w:bCs/>
                <w:lang w:val="es-ES_tradnl"/>
              </w:rPr>
            </w:pPr>
          </w:p>
          <w:p w14:paraId="6D5EB65A" w14:textId="77777777" w:rsidR="008C3D38" w:rsidRPr="008C3D38" w:rsidRDefault="008C3D38" w:rsidP="008C3D38">
            <w:pPr>
              <w:rPr>
                <w:rFonts w:ascii="Verdana" w:hAnsi="Verdana"/>
                <w:b/>
                <w:bCs/>
                <w:lang w:val="es-ES_tradnl"/>
              </w:rPr>
            </w:pPr>
            <w:r w:rsidRPr="008C3D38">
              <w:rPr>
                <w:rFonts w:ascii="Verdana" w:hAnsi="Verdana"/>
                <w:b/>
                <w:bCs/>
                <w:lang w:val="es-ES_tradnl"/>
              </w:rPr>
              <w:t xml:space="preserve">Radicación:               </w:t>
            </w:r>
          </w:p>
        </w:tc>
        <w:tc>
          <w:tcPr>
            <w:tcW w:w="6241" w:type="dxa"/>
          </w:tcPr>
          <w:p w14:paraId="658693ED" w14:textId="77777777" w:rsidR="008C3D38" w:rsidRPr="008C3D38" w:rsidRDefault="008C3D38" w:rsidP="008C3D38">
            <w:pPr>
              <w:spacing w:line="276" w:lineRule="auto"/>
              <w:jc w:val="both"/>
              <w:rPr>
                <w:rFonts w:ascii="Verdana" w:hAnsi="Verdana"/>
                <w:lang w:val="es-ES_tradnl"/>
              </w:rPr>
            </w:pPr>
          </w:p>
          <w:p w14:paraId="76E5E767" w14:textId="77777777" w:rsidR="008C3D38" w:rsidRPr="008C3D38" w:rsidRDefault="008C3D38" w:rsidP="008C3D38">
            <w:pPr>
              <w:spacing w:line="276" w:lineRule="auto"/>
              <w:jc w:val="both"/>
              <w:rPr>
                <w:rFonts w:ascii="Verdana" w:hAnsi="Verdana"/>
                <w:lang w:val="es-ES_tradnl"/>
              </w:rPr>
            </w:pPr>
            <w:r w:rsidRPr="008C3D38">
              <w:rPr>
                <w:rFonts w:ascii="Verdana" w:hAnsi="Verdana"/>
                <w:lang w:val="es-ES_tradnl"/>
              </w:rPr>
              <w:t xml:space="preserve">Respuesta a consulta con radicado </w:t>
            </w:r>
            <w:r w:rsidRPr="008C3D38">
              <w:rPr>
                <w:rFonts w:ascii="Verdana" w:hAnsi="Verdana"/>
              </w:rPr>
              <w:t>1_2026_02_17_002077</w:t>
            </w:r>
          </w:p>
          <w:p w14:paraId="6CEB415E" w14:textId="77777777" w:rsidR="008C3D38" w:rsidRPr="008C3D38" w:rsidRDefault="008C3D38" w:rsidP="008C3D38">
            <w:pPr>
              <w:spacing w:line="276" w:lineRule="auto"/>
              <w:jc w:val="both"/>
              <w:rPr>
                <w:rFonts w:ascii="Verdana" w:hAnsi="Verdana"/>
              </w:rPr>
            </w:pPr>
          </w:p>
          <w:p w14:paraId="1837A32B" w14:textId="77777777" w:rsidR="008C3D38" w:rsidRPr="008C3D38" w:rsidRDefault="008C3D38" w:rsidP="008C3D38">
            <w:pPr>
              <w:spacing w:line="276" w:lineRule="auto"/>
              <w:jc w:val="both"/>
              <w:rPr>
                <w:rFonts w:ascii="Verdana" w:hAnsi="Verdana"/>
              </w:rPr>
            </w:pPr>
          </w:p>
        </w:tc>
        <w:tc>
          <w:tcPr>
            <w:tcW w:w="6237" w:type="dxa"/>
          </w:tcPr>
          <w:p w14:paraId="297B7161" w14:textId="77777777" w:rsidR="008C3D38" w:rsidRPr="008C3D38" w:rsidRDefault="008C3D38" w:rsidP="008C3D38">
            <w:pPr>
              <w:rPr>
                <w:rFonts w:ascii="Verdana" w:hAnsi="Verdana"/>
              </w:rPr>
            </w:pPr>
          </w:p>
        </w:tc>
      </w:tr>
    </w:tbl>
    <w:p w14:paraId="0472CA74" w14:textId="77777777" w:rsidR="008C3D38" w:rsidRPr="008C3D38" w:rsidRDefault="008C3D38" w:rsidP="008C3D38">
      <w:pPr>
        <w:spacing w:after="0" w:line="256" w:lineRule="auto"/>
        <w:rPr>
          <w:rFonts w:ascii="Verdana" w:eastAsia="Calibri" w:hAnsi="Verdana" w:cs="Times New Roman"/>
          <w:lang w:val="es-ES"/>
        </w:rPr>
      </w:pPr>
      <w:r w:rsidRPr="008C3D38">
        <w:rPr>
          <w:rFonts w:ascii="Verdana" w:eastAsia="Calibri" w:hAnsi="Verdana" w:cs="Times New Roman"/>
          <w:lang w:val="es-ES"/>
        </w:rPr>
        <w:t xml:space="preserve">Estimada Señora Carmen: </w:t>
      </w:r>
    </w:p>
    <w:p w14:paraId="42CD89C0" w14:textId="77777777" w:rsidR="008C3D38" w:rsidRPr="008C3D38" w:rsidRDefault="008C3D38" w:rsidP="008C3D38">
      <w:pPr>
        <w:spacing w:after="0" w:line="276" w:lineRule="auto"/>
        <w:rPr>
          <w:rFonts w:ascii="Verdana" w:eastAsia="Calibri" w:hAnsi="Verdana" w:cs="Times New Roman"/>
          <w:lang w:val="es-ES"/>
        </w:rPr>
      </w:pPr>
    </w:p>
    <w:p w14:paraId="622A5AC6" w14:textId="77777777" w:rsidR="008C3D38" w:rsidRPr="008C3D38" w:rsidRDefault="008C3D38" w:rsidP="008C3D38">
      <w:pPr>
        <w:spacing w:after="120" w:line="276" w:lineRule="auto"/>
        <w:jc w:val="both"/>
        <w:rPr>
          <w:rFonts w:ascii="Verdana" w:eastAsia="Calibri" w:hAnsi="Verdana" w:cs="Times New Roman"/>
          <w:bCs/>
          <w:lang w:val="es-ES" w:bidi="es-ES"/>
        </w:rPr>
      </w:pPr>
      <w:r w:rsidRPr="008C3D38">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8C3D38">
        <w:rPr>
          <w:rFonts w:ascii="Verdana" w:eastAsia="Calibri" w:hAnsi="Verdana" w:cs="Times New Roman"/>
          <w:bCs/>
          <w:lang w:val="es-ES" w:bidi="es-ES"/>
        </w:rPr>
        <w:t xml:space="preserve">responde la solicitud de consulta del 17 de febrero de 2026, en la cual manifiesta: </w:t>
      </w:r>
    </w:p>
    <w:p w14:paraId="0DE93779" w14:textId="77777777" w:rsidR="008C3D38" w:rsidRPr="008C3D38" w:rsidRDefault="008C3D38" w:rsidP="008C3D38">
      <w:pPr>
        <w:autoSpaceDE w:val="0"/>
        <w:autoSpaceDN w:val="0"/>
        <w:adjustRightInd w:val="0"/>
        <w:spacing w:after="0" w:line="240" w:lineRule="auto"/>
        <w:ind w:left="709" w:right="709"/>
        <w:jc w:val="both"/>
        <w:rPr>
          <w:rFonts w:ascii="Verdana" w:hAnsi="Verdana" w:cs="Arial"/>
          <w:color w:val="000000"/>
          <w:sz w:val="24"/>
          <w:szCs w:val="24"/>
        </w:rPr>
      </w:pPr>
    </w:p>
    <w:p w14:paraId="4701D2C1" w14:textId="77777777" w:rsidR="008C3D38" w:rsidRPr="008C3D38" w:rsidRDefault="008C3D38" w:rsidP="008C3D38">
      <w:pPr>
        <w:autoSpaceDE w:val="0"/>
        <w:autoSpaceDN w:val="0"/>
        <w:adjustRightInd w:val="0"/>
        <w:spacing w:after="0" w:line="240" w:lineRule="auto"/>
        <w:ind w:left="709" w:right="709"/>
        <w:jc w:val="both"/>
        <w:rPr>
          <w:rFonts w:ascii="Verdana" w:hAnsi="Verdana" w:cs="Arial"/>
          <w:color w:val="000000"/>
          <w:sz w:val="20"/>
          <w:szCs w:val="20"/>
        </w:rPr>
      </w:pPr>
      <w:r w:rsidRPr="008C3D38">
        <w:rPr>
          <w:rFonts w:ascii="Verdana" w:hAnsi="Verdana" w:cs="Arial"/>
          <w:color w:val="000000"/>
          <w:sz w:val="24"/>
          <w:szCs w:val="24"/>
        </w:rPr>
        <w:t xml:space="preserve"> </w:t>
      </w:r>
      <w:r w:rsidRPr="008C3D38">
        <w:rPr>
          <w:rFonts w:ascii="Verdana" w:hAnsi="Verdana" w:cs="Arial"/>
          <w:color w:val="000000"/>
          <w:sz w:val="20"/>
          <w:szCs w:val="20"/>
        </w:rPr>
        <w:t xml:space="preserve">1. *Naturaleza Jurídica de la Policía Nacional*: ¿La Policía Nacional se considera una entidad descentralizada del orden nacional para efectos de la aplicación del Decreto 248 de 2021, teniendo en cuenta que presta sus </w:t>
      </w:r>
      <w:r w:rsidRPr="008C3D38">
        <w:rPr>
          <w:rFonts w:ascii="Verdana" w:hAnsi="Verdana" w:cs="Arial"/>
          <w:color w:val="000000"/>
          <w:sz w:val="20"/>
          <w:szCs w:val="20"/>
        </w:rPr>
        <w:lastRenderedPageBreak/>
        <w:t xml:space="preserve">servicios mediante la descentralización, delegación y desconcentración de funciones según el artículo 2 de la Ley 62 de 1993? </w:t>
      </w:r>
    </w:p>
    <w:p w14:paraId="2BFF1FFD" w14:textId="77777777" w:rsidR="008C3D38" w:rsidRPr="008C3D38" w:rsidRDefault="008C3D38" w:rsidP="008C3D38">
      <w:pPr>
        <w:autoSpaceDE w:val="0"/>
        <w:autoSpaceDN w:val="0"/>
        <w:adjustRightInd w:val="0"/>
        <w:spacing w:after="0" w:line="240" w:lineRule="auto"/>
        <w:ind w:left="709" w:right="709"/>
        <w:jc w:val="both"/>
        <w:rPr>
          <w:rFonts w:ascii="Verdana" w:hAnsi="Verdana" w:cs="Arial"/>
          <w:color w:val="000000"/>
          <w:sz w:val="20"/>
          <w:szCs w:val="20"/>
        </w:rPr>
      </w:pPr>
      <w:r w:rsidRPr="008C3D38">
        <w:rPr>
          <w:rFonts w:ascii="Verdana" w:hAnsi="Verdana" w:cs="Arial"/>
          <w:color w:val="000000"/>
          <w:sz w:val="20"/>
          <w:szCs w:val="20"/>
        </w:rPr>
        <w:t xml:space="preserve">2. *Aplicación de los Puntajes Obligatorios*: ¿La Policía Nacional está obligada a otorgar puntajes adicionales obligatorios en sus procesos de contratación de compras públicas conforme a lo establecido en el Decreto 248 de 2021, considerando su naturaleza y estructura organizacional? </w:t>
      </w:r>
    </w:p>
    <w:p w14:paraId="757AF9A2" w14:textId="77777777" w:rsidR="008C3D38" w:rsidRPr="008C3D38" w:rsidRDefault="008C3D38" w:rsidP="008C3D38">
      <w:pPr>
        <w:spacing w:after="0" w:line="240" w:lineRule="auto"/>
        <w:ind w:left="709" w:right="709"/>
        <w:jc w:val="both"/>
        <w:rPr>
          <w:rFonts w:ascii="Verdana" w:hAnsi="Verdana"/>
          <w:sz w:val="20"/>
          <w:szCs w:val="20"/>
        </w:rPr>
      </w:pPr>
      <w:r w:rsidRPr="008C3D38">
        <w:rPr>
          <w:rFonts w:ascii="Verdana" w:hAnsi="Verdana"/>
          <w:sz w:val="20"/>
          <w:szCs w:val="20"/>
        </w:rPr>
        <w:t>3. *Implicaciones Normativas*: ¿Cuáles son las implicaciones jurídicas y administrativas de aplicar o no aplicar los puntajes adicionales obligatorios establecidos en el Decreto 248 de 2021 en los procesos de contratación de la Policía Nacional, teniendo en cuenta su marco normativo específico?</w:t>
      </w:r>
    </w:p>
    <w:p w14:paraId="09C7BC0F" w14:textId="77777777" w:rsidR="008C3D38" w:rsidRPr="008C3D38" w:rsidRDefault="008C3D38" w:rsidP="008C3D38">
      <w:pPr>
        <w:spacing w:after="0" w:line="276" w:lineRule="auto"/>
        <w:ind w:left="709" w:right="709"/>
        <w:jc w:val="both"/>
        <w:rPr>
          <w:rFonts w:ascii="Verdana" w:eastAsia="Calibri" w:hAnsi="Verdana" w:cs="Times New Roman"/>
          <w:bCs/>
          <w:lang w:val="es-ES" w:bidi="es-ES"/>
        </w:rPr>
      </w:pPr>
    </w:p>
    <w:p w14:paraId="4E8636D5" w14:textId="77777777" w:rsidR="008C3D38" w:rsidRPr="008C3D38" w:rsidRDefault="008C3D38" w:rsidP="008C3D38">
      <w:pPr>
        <w:spacing w:after="120" w:line="276" w:lineRule="auto"/>
        <w:ind w:firstLine="709"/>
        <w:jc w:val="both"/>
        <w:rPr>
          <w:rFonts w:ascii="Verdana" w:eastAsia="Calibri" w:hAnsi="Verdana" w:cs="Times New Roman"/>
          <w:lang w:val="es-ES"/>
        </w:rPr>
      </w:pPr>
      <w:r w:rsidRPr="008C3D38">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DF269BD" w14:textId="77777777" w:rsidR="008C3D38" w:rsidRPr="008C3D38" w:rsidRDefault="008C3D38" w:rsidP="008C3D38">
      <w:pPr>
        <w:spacing w:after="0" w:line="276" w:lineRule="auto"/>
        <w:ind w:firstLine="708"/>
        <w:jc w:val="both"/>
        <w:rPr>
          <w:rFonts w:ascii="Verdana" w:eastAsia="Calibri" w:hAnsi="Verdana" w:cs="Times New Roman"/>
          <w:lang w:val="es-ES"/>
        </w:rPr>
      </w:pPr>
      <w:r w:rsidRPr="008C3D38">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CF41C4" w14:textId="77777777" w:rsidR="008C3D38" w:rsidRPr="008C3D38" w:rsidRDefault="008C3D38" w:rsidP="008C3D38">
      <w:pPr>
        <w:spacing w:after="0" w:line="276" w:lineRule="auto"/>
        <w:rPr>
          <w:rFonts w:ascii="Verdana" w:eastAsia="Calibri" w:hAnsi="Verdana" w:cs="Times New Roman"/>
          <w:lang w:val="es-ES"/>
        </w:rPr>
      </w:pPr>
    </w:p>
    <w:p w14:paraId="551AC854" w14:textId="77777777" w:rsidR="008C3D38" w:rsidRPr="008C3D38" w:rsidRDefault="008C3D38" w:rsidP="008C3D38">
      <w:pPr>
        <w:numPr>
          <w:ilvl w:val="0"/>
          <w:numId w:val="16"/>
        </w:numPr>
        <w:spacing w:after="0" w:line="276" w:lineRule="auto"/>
        <w:rPr>
          <w:rFonts w:ascii="Verdana" w:eastAsia="Calibri" w:hAnsi="Verdana" w:cs="Times New Roman"/>
          <w:b/>
          <w:bCs/>
          <w:lang w:val="es-ES"/>
        </w:rPr>
      </w:pPr>
      <w:r w:rsidRPr="008C3D38">
        <w:rPr>
          <w:rFonts w:ascii="Verdana" w:eastAsia="Calibri" w:hAnsi="Verdana" w:cs="Times New Roman"/>
          <w:b/>
          <w:bCs/>
          <w:lang w:val="es-ES"/>
        </w:rPr>
        <w:t>Problema planteado:</w:t>
      </w:r>
    </w:p>
    <w:p w14:paraId="7F842D55" w14:textId="77777777" w:rsidR="008C3D38" w:rsidRPr="008C3D38" w:rsidRDefault="008C3D38" w:rsidP="008C3D38">
      <w:pPr>
        <w:spacing w:after="0" w:line="276" w:lineRule="auto"/>
        <w:rPr>
          <w:rFonts w:ascii="Verdana" w:eastAsia="Calibri" w:hAnsi="Verdana" w:cs="Times New Roman"/>
        </w:rPr>
      </w:pPr>
    </w:p>
    <w:p w14:paraId="0CCC0886" w14:textId="77777777" w:rsidR="008C3D38" w:rsidRPr="008C3D38" w:rsidRDefault="008C3D38" w:rsidP="008C3D38">
      <w:pPr>
        <w:spacing w:after="0" w:line="276" w:lineRule="auto"/>
        <w:jc w:val="both"/>
        <w:rPr>
          <w:rFonts w:ascii="Verdana" w:eastAsia="Calibri" w:hAnsi="Verdana" w:cs="Times New Roman"/>
        </w:rPr>
      </w:pPr>
      <w:r w:rsidRPr="008C3D38">
        <w:rPr>
          <w:rFonts w:ascii="Verdana" w:eastAsia="Calibri" w:hAnsi="Verdana" w:cs="Times New Roman"/>
        </w:rPr>
        <w:t xml:space="preserve">De acuerdo con el contenido de sus solicitudes, la Agencia procede a resolver el siguiente problema jurídico: ¿La Policía Nacional está obligada a aplicar los puntajes adicionales obligatorios previstos en el Decreto 248 de 2021 en sus </w:t>
      </w:r>
      <w:r w:rsidRPr="008C3D38">
        <w:rPr>
          <w:rFonts w:ascii="Verdana" w:eastAsia="Calibri" w:hAnsi="Verdana" w:cs="Times New Roman"/>
        </w:rPr>
        <w:lastRenderedPageBreak/>
        <w:t xml:space="preserve">procesos de contratación de alimentos y cuáles serían sus implicaciones jurídicas? </w:t>
      </w:r>
    </w:p>
    <w:p w14:paraId="0A6FACDD" w14:textId="77777777" w:rsidR="008C3D38" w:rsidRPr="008C3D38" w:rsidRDefault="008C3D38" w:rsidP="008C3D38">
      <w:pPr>
        <w:spacing w:after="0" w:line="276" w:lineRule="auto"/>
        <w:jc w:val="both"/>
        <w:rPr>
          <w:rFonts w:ascii="Verdana" w:eastAsia="Calibri" w:hAnsi="Verdana" w:cs="Times New Roman"/>
          <w:i/>
          <w:iCs/>
          <w:lang w:val="es-ES"/>
        </w:rPr>
      </w:pPr>
    </w:p>
    <w:p w14:paraId="794745E4" w14:textId="77777777" w:rsidR="008C3D38" w:rsidRPr="008C3D38" w:rsidRDefault="008C3D38" w:rsidP="008C3D38">
      <w:pPr>
        <w:numPr>
          <w:ilvl w:val="0"/>
          <w:numId w:val="16"/>
        </w:numPr>
        <w:spacing w:after="0" w:line="276" w:lineRule="auto"/>
        <w:rPr>
          <w:rFonts w:ascii="Verdana" w:eastAsia="Calibri" w:hAnsi="Verdana" w:cs="Times New Roman"/>
          <w:b/>
          <w:bCs/>
          <w:lang w:val="es-ES"/>
        </w:rPr>
      </w:pPr>
      <w:r w:rsidRPr="008C3D38">
        <w:rPr>
          <w:rFonts w:ascii="Verdana" w:eastAsia="Calibri" w:hAnsi="Verdana" w:cs="Times New Roman"/>
          <w:b/>
          <w:bCs/>
          <w:lang w:val="es-ES"/>
        </w:rPr>
        <w:t>Respuesta:</w:t>
      </w:r>
    </w:p>
    <w:p w14:paraId="3E513117" w14:textId="77777777" w:rsidR="008C3D38" w:rsidRPr="008C3D38" w:rsidRDefault="008C3D38" w:rsidP="008C3D38">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8C3D38" w:rsidRPr="008C3D38" w14:paraId="48651797" w14:textId="77777777" w:rsidTr="002C7923">
        <w:trPr>
          <w:trHeight w:val="345"/>
          <w:jc w:val="center"/>
        </w:trPr>
        <w:tc>
          <w:tcPr>
            <w:tcW w:w="8784" w:type="dxa"/>
            <w:tcBorders>
              <w:bottom w:val="single" w:sz="4" w:space="0" w:color="auto"/>
            </w:tcBorders>
          </w:tcPr>
          <w:p w14:paraId="4BD52389" w14:textId="77777777" w:rsidR="008C3D38" w:rsidRPr="008C3D38" w:rsidRDefault="008C3D38" w:rsidP="008C3D38">
            <w:pPr>
              <w:spacing w:before="120" w:after="120" w:line="276" w:lineRule="auto"/>
              <w:jc w:val="both"/>
              <w:rPr>
                <w:rFonts w:ascii="Verdana" w:eastAsia="Times New Roman" w:hAnsi="Verdana" w:cs="Arial"/>
                <w:lang w:eastAsia="es-CO"/>
              </w:rPr>
            </w:pPr>
            <w:r w:rsidRPr="008C3D38">
              <w:rPr>
                <w:rFonts w:ascii="Verdana" w:hAnsi="Verdana" w:cs="Segoe UI"/>
              </w:rPr>
              <w:t xml:space="preserve">De acuerdo al problema jurídico de consulta, se precisa que </w:t>
            </w:r>
            <w:r w:rsidRPr="008C3D38">
              <w:rPr>
                <w:rFonts w:ascii="Verdana" w:eastAsia="Times New Roman" w:hAnsi="Verdana" w:cs="Arial"/>
                <w:lang w:eastAsia="es-CO"/>
              </w:rPr>
              <w:t>en cuanto al campo de aplicación, la Ley 2046 de 2020</w:t>
            </w:r>
            <w:r w:rsidRPr="008C3D38">
              <w:rPr>
                <w:rFonts w:ascii="Arial" w:hAnsi="Arial" w:cs="Arial"/>
                <w:b/>
                <w:bCs/>
                <w:color w:val="000000"/>
                <w:sz w:val="21"/>
                <w:szCs w:val="21"/>
              </w:rPr>
              <w:t xml:space="preserve"> </w:t>
            </w:r>
            <w:r w:rsidRPr="008C3D38">
              <w:rPr>
                <w:rFonts w:ascii="Arial" w:hAnsi="Arial" w:cs="Arial"/>
                <w:bCs/>
                <w:color w:val="000000"/>
                <w:sz w:val="21"/>
                <w:szCs w:val="21"/>
              </w:rPr>
              <w:t>“</w:t>
            </w:r>
            <w:r w:rsidRPr="008C3D38">
              <w:rPr>
                <w:rFonts w:ascii="Verdana" w:eastAsia="Times New Roman" w:hAnsi="Verdana" w:cs="Arial"/>
                <w:bCs/>
                <w:lang w:eastAsia="es-CO"/>
              </w:rPr>
              <w:t>por la cual se establecen mecanismos para promover la participación de pequeños productores locales agropecuarios y de la agricultura campesina, familiar y comunitaria en los mercados de compras públicas de alimento”</w:t>
            </w:r>
            <w:r w:rsidRPr="008C3D38">
              <w:rPr>
                <w:rFonts w:ascii="Verdana" w:eastAsia="Times New Roman" w:hAnsi="Verdana" w:cs="Arial"/>
                <w:b/>
                <w:bCs/>
                <w:lang w:eastAsia="es-CO"/>
              </w:rPr>
              <w:t>,</w:t>
            </w:r>
            <w:r w:rsidRPr="008C3D38">
              <w:rPr>
                <w:rFonts w:ascii="Verdana" w:eastAsia="Times New Roman" w:hAnsi="Verdana" w:cs="Arial"/>
                <w:lang w:eastAsia="es-CO"/>
              </w:rPr>
              <w:t xml:space="preserve"> establece en su </w:t>
            </w:r>
            <w:r w:rsidRPr="008C3D38">
              <w:rPr>
                <w:rFonts w:ascii="Verdana" w:eastAsia="Times New Roman" w:hAnsi="Verdana" w:cs="Arial"/>
                <w:bCs/>
                <w:lang w:eastAsia="es-CO"/>
              </w:rPr>
              <w:t>artículo 3</w:t>
            </w:r>
            <w:r w:rsidRPr="008C3D38">
              <w:rPr>
                <w:rFonts w:ascii="Verdana" w:eastAsia="Times New Roman" w:hAnsi="Verdana" w:cs="Arial"/>
                <w:lang w:eastAsia="es-CO"/>
              </w:rPr>
              <w:t xml:space="preserv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 </w:t>
            </w:r>
          </w:p>
          <w:p w14:paraId="4AC112FD" w14:textId="77777777" w:rsidR="008C3D38" w:rsidRPr="008C3D38" w:rsidRDefault="008C3D38" w:rsidP="008C3D38">
            <w:pPr>
              <w:spacing w:before="120" w:after="120" w:line="276" w:lineRule="auto"/>
              <w:ind w:firstLine="708"/>
              <w:jc w:val="both"/>
              <w:rPr>
                <w:rFonts w:ascii="Verdana" w:hAnsi="Verdana" w:cs="Arial"/>
              </w:rPr>
            </w:pPr>
            <w:r w:rsidRPr="008C3D38">
              <w:rPr>
                <w:rFonts w:ascii="Verdana" w:eastAsia="Times New Roman" w:hAnsi="Verdana" w:cs="Arial"/>
                <w:lang w:eastAsia="es-CO"/>
              </w:rPr>
              <w:t>En efecto, este ámbito de aplicación no se limita a las entidades sujetas al Estatuto General de Contratación de la Administración Pública, sino que se extiende a otro tipo de Entidades Públicas de los distintos órdenes, las sociedades de economía mixta, entidades privadas que administren recursos públicos, así como los demás sujetos mencionados en la norma</w:t>
            </w:r>
            <w:r w:rsidRPr="008C3D38">
              <w:rPr>
                <w:rFonts w:ascii="Verdana" w:hAnsi="Verdana" w:cs="Arial"/>
              </w:rPr>
              <w:t>. Esta redacción evidencia la intención del legislador de otorgar un alcance general y comprensivo a las obligaciones allí contenidas, evitando limitar su aplicación a una categoría específica de entidades.</w:t>
            </w:r>
          </w:p>
          <w:p w14:paraId="6C02540A" w14:textId="77777777" w:rsidR="008C3D38" w:rsidRPr="008C3D38" w:rsidRDefault="008C3D38" w:rsidP="008C3D38">
            <w:pPr>
              <w:spacing w:before="120"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En este contexto, la norma </w:t>
            </w:r>
            <w:r w:rsidRPr="008C3D38">
              <w:rPr>
                <w:rFonts w:ascii="Verdana" w:eastAsia="Times New Roman" w:hAnsi="Verdana" w:cs="Arial"/>
                <w:bCs/>
                <w:lang w:eastAsia="es-CO"/>
              </w:rPr>
              <w:t>no distingue entre entidades públicas con personería jurídica y aquellas que carecen de ella</w:t>
            </w:r>
            <w:r w:rsidRPr="008C3D38">
              <w:rPr>
                <w:rFonts w:ascii="Verdana" w:eastAsia="Times New Roman" w:hAnsi="Verdana" w:cs="Arial"/>
                <w:lang w:eastAsia="es-CO"/>
              </w:rPr>
              <w:t xml:space="preserve">, lo que implica que su aplicación recae sobre los organismos que, por su naturaleza y funciones, </w:t>
            </w:r>
            <w:r w:rsidRPr="008C3D38">
              <w:rPr>
                <w:rFonts w:ascii="Verdana" w:eastAsia="Times New Roman" w:hAnsi="Verdana" w:cs="Arial"/>
                <w:lang w:eastAsia="es-CO"/>
              </w:rPr>
              <w:lastRenderedPageBreak/>
              <w:t xml:space="preserve">administran recursos públicos y celebran contratos estatales. Bajo esta premisa, resulta claro que disposiciones como las previstas en la Ley 2046 en mención son plenamente aplicables a la </w:t>
            </w:r>
            <w:r w:rsidRPr="008C3D38">
              <w:rPr>
                <w:rFonts w:ascii="Verdana" w:eastAsia="Times New Roman" w:hAnsi="Verdana" w:cs="Arial"/>
                <w:bCs/>
                <w:lang w:eastAsia="es-CO"/>
              </w:rPr>
              <w:t>Policía Nacional</w:t>
            </w:r>
            <w:r w:rsidRPr="008C3D38">
              <w:rPr>
                <w:rFonts w:ascii="Verdana" w:eastAsia="Times New Roman" w:hAnsi="Verdana" w:cs="Arial"/>
                <w:lang w:eastAsia="es-CO"/>
              </w:rPr>
              <w:t>, dado que, aun careciendo de personería jurídica, cuenta con capacidad contractual, conforme a los artículos 36 y 110 del Estatuto Orgánico de Presupuesto; y a su vez, se encuentra sometida al Estatuto General de Contratación de la Administración Pública, de acuerdo al artículo 2.1. literal b de la Ley 80 de 1993. Por tanto, la Policía debe atender las obligaciones derivadas de dicha regulación en el ejercicio de su actividad contractual, es decir, deberá aplicar la Ley 2046 de 2020, así como las demás normas que la modifiquen, adicionen y reglamenten. De tal modo, debe aplicar las condiciones y regulaciones dispuestas en la Ley 2046 de 2020, así como lo dispuesto en el Decreto 248 de 2021 “</w:t>
            </w:r>
            <w:r w:rsidRPr="008C3D38">
              <w:rPr>
                <w:rFonts w:ascii="Verdana" w:eastAsia="Times New Roman" w:hAnsi="Verdana" w:cs="Arial"/>
                <w:bCs/>
                <w:lang w:eastAsia="es-CO"/>
              </w:rPr>
              <w:t xml:space="preserve">por el cual se adiciona la Parte 20 al Libro 2 del Decreto 1071 de 2015, Decreto Único Reglamentario del Sector Administrativo Agropecuario, Pesquero y de Desarrollo Rural, relacionado con las compras públicas de alimentos”. Es decir, deben tener en cuenta </w:t>
            </w:r>
            <w:r w:rsidRPr="008C3D38">
              <w:rPr>
                <w:rFonts w:ascii="Verdana" w:eastAsia="Times New Roman" w:hAnsi="Verdana" w:cs="Arial"/>
                <w:lang w:eastAsia="es-CO"/>
              </w:rPr>
              <w:t xml:space="preserve">los puntajes adicionales obligatorios que se definen en dicha normatividad y su comprensión, teniendo en cuenta lo expuesto en las razones de la respuesta. </w:t>
            </w:r>
          </w:p>
          <w:p w14:paraId="305F058F" w14:textId="77777777" w:rsidR="008C3D38" w:rsidRPr="008C3D38" w:rsidRDefault="008C3D38" w:rsidP="008C3D38">
            <w:pPr>
              <w:spacing w:before="120" w:after="120" w:line="276" w:lineRule="auto"/>
              <w:ind w:firstLine="709"/>
              <w:jc w:val="both"/>
              <w:rPr>
                <w:rFonts w:ascii="Verdana" w:eastAsia="Calibri" w:hAnsi="Verdana" w:cs="Times New Roman"/>
                <w:bCs/>
                <w:iCs/>
              </w:rPr>
            </w:pPr>
            <w:r w:rsidRPr="008C3D38">
              <w:rPr>
                <w:rFonts w:ascii="Verdana" w:eastAsia="Calibri" w:hAnsi="Verdana" w:cs="Times New Roman"/>
                <w:bCs/>
                <w:iCs/>
              </w:rPr>
              <w:t>Ahora bien, en el evento de que no se cumplan las obligaciones dispuestas en esta normatividad por parte de las entidades</w:t>
            </w:r>
            <w:r w:rsidRPr="008C3D38">
              <w:rPr>
                <w:rFonts w:ascii="Verdana" w:eastAsia="Calibri" w:hAnsi="Verdana" w:cs="Times New Roman"/>
                <w:bCs/>
                <w:iCs/>
                <w:lang w:val="es-ES"/>
              </w:rPr>
              <w:t>, hay que tener en cuenta el artículo 50 de la Ley 80 de 1993, que dispone: “</w:t>
            </w:r>
            <w:r w:rsidRPr="008C3D38">
              <w:rPr>
                <w:rFonts w:ascii="Verdana" w:eastAsia="Calibri" w:hAnsi="Verdana" w:cs="Times New Roman"/>
                <w:bCs/>
                <w:iCs/>
              </w:rPr>
              <w:t xml:space="preserve">Las entidades responderán por las actuaciones, abstenciones, hechos y omisiones antijurídicos que les sean imputables y que causen perjuicios a sus contratistas. En tales casos deberán indemnizar la disminución patrimonial que se ocasione, la prolongación de la misma y la ganancia, beneficio o provecho dejados de percibir por el contratista”. Así mismo, en torno a la responsabilidad de los servidores públicos, el artículo 51 de la Ley 80 de 1993 dispone: “[…] El servidor público responderá disciplinaria, civil y penalmente por sus acciones y omisiones en la actuación contractual en los términos de la Constitución y de la ley”. Bajo esta perspectiva, las entidades y servidores públicos deben responder por las actuaciones, hechos y omisiones en el ejercicio de sus funciones que se enmarcan dentro del proceso de contratación respectivo. </w:t>
            </w:r>
          </w:p>
        </w:tc>
      </w:tr>
    </w:tbl>
    <w:p w14:paraId="6946D11F" w14:textId="77777777" w:rsidR="008C3D38" w:rsidRPr="008C3D38" w:rsidRDefault="008C3D38" w:rsidP="008C3D38">
      <w:pPr>
        <w:spacing w:after="0" w:line="276" w:lineRule="auto"/>
        <w:jc w:val="both"/>
        <w:rPr>
          <w:rFonts w:ascii="Verdana" w:eastAsia="Calibri" w:hAnsi="Verdana" w:cs="Arial"/>
          <w:bCs/>
          <w:color w:val="000000" w:themeColor="text1"/>
        </w:rPr>
      </w:pPr>
      <w:bookmarkStart w:id="1" w:name="_Hlk78820161"/>
      <w:bookmarkStart w:id="2" w:name="_Hlk37703813"/>
    </w:p>
    <w:p w14:paraId="5CD18739" w14:textId="77777777" w:rsidR="008C3D38" w:rsidRPr="008C3D38" w:rsidRDefault="008C3D38" w:rsidP="008C3D38">
      <w:pPr>
        <w:spacing w:after="0" w:line="276" w:lineRule="auto"/>
        <w:jc w:val="both"/>
        <w:rPr>
          <w:rFonts w:ascii="Verdana" w:eastAsia="Calibri" w:hAnsi="Verdana" w:cs="Arial"/>
          <w:bCs/>
          <w:color w:val="000000" w:themeColor="text1"/>
        </w:rPr>
      </w:pPr>
    </w:p>
    <w:p w14:paraId="6D3D844C" w14:textId="77777777" w:rsidR="008C3D38" w:rsidRPr="008C3D38" w:rsidRDefault="008C3D38" w:rsidP="008C3D38">
      <w:pPr>
        <w:numPr>
          <w:ilvl w:val="0"/>
          <w:numId w:val="16"/>
        </w:numPr>
        <w:tabs>
          <w:tab w:val="left" w:pos="2268"/>
        </w:tabs>
        <w:spacing w:after="0" w:line="276" w:lineRule="auto"/>
        <w:rPr>
          <w:rFonts w:ascii="Verdana" w:eastAsia="Calibri" w:hAnsi="Verdana" w:cs="Times New Roman"/>
          <w:b/>
          <w:bCs/>
          <w:lang w:val="es-ES"/>
        </w:rPr>
      </w:pPr>
      <w:r w:rsidRPr="008C3D38">
        <w:rPr>
          <w:rFonts w:ascii="Verdana" w:eastAsia="Calibri" w:hAnsi="Verdana" w:cs="Times New Roman"/>
          <w:b/>
          <w:bCs/>
          <w:lang w:val="es-ES"/>
        </w:rPr>
        <w:lastRenderedPageBreak/>
        <w:t>Razones de la respuesta:</w:t>
      </w:r>
    </w:p>
    <w:p w14:paraId="6C095BB5" w14:textId="77777777" w:rsidR="008C3D38" w:rsidRPr="008C3D38" w:rsidRDefault="008C3D38" w:rsidP="008C3D38">
      <w:pPr>
        <w:spacing w:after="0" w:line="276" w:lineRule="auto"/>
        <w:jc w:val="both"/>
        <w:rPr>
          <w:rFonts w:ascii="Verdana" w:eastAsia="Calibri" w:hAnsi="Verdana" w:cs="Arial"/>
          <w:lang w:val="es-ES"/>
        </w:rPr>
      </w:pPr>
    </w:p>
    <w:p w14:paraId="3E101196" w14:textId="77777777" w:rsidR="008C3D38" w:rsidRPr="008C3D38" w:rsidRDefault="008C3D38" w:rsidP="008C3D38">
      <w:pPr>
        <w:spacing w:after="0" w:line="276" w:lineRule="auto"/>
        <w:jc w:val="both"/>
        <w:rPr>
          <w:rFonts w:ascii="Verdana" w:eastAsia="Calibri" w:hAnsi="Verdana" w:cs="Arial"/>
          <w:lang w:val="es-ES"/>
        </w:rPr>
      </w:pPr>
      <w:r w:rsidRPr="008C3D38">
        <w:rPr>
          <w:rFonts w:ascii="Verdana" w:eastAsia="Calibri" w:hAnsi="Verdana" w:cs="Arial"/>
          <w:lang w:val="es-ES"/>
        </w:rPr>
        <w:t>Lo anterior se sustenta en las siguientes consideraciones:</w:t>
      </w:r>
    </w:p>
    <w:bookmarkEnd w:id="1"/>
    <w:bookmarkEnd w:id="2"/>
    <w:p w14:paraId="097F7173" w14:textId="77777777" w:rsidR="008C3D38" w:rsidRPr="008C3D38" w:rsidRDefault="008C3D38" w:rsidP="008C3D38">
      <w:pPr>
        <w:spacing w:after="0" w:line="276" w:lineRule="auto"/>
        <w:jc w:val="both"/>
        <w:rPr>
          <w:rFonts w:ascii="Verdana" w:eastAsia="Calibri" w:hAnsi="Verdana" w:cs="Arial"/>
          <w:lang w:val="es-ES"/>
        </w:rPr>
      </w:pPr>
    </w:p>
    <w:p w14:paraId="793006F7" w14:textId="77777777" w:rsidR="008C3D38" w:rsidRPr="008C3D38" w:rsidRDefault="008C3D38" w:rsidP="008C3D38">
      <w:pPr>
        <w:spacing w:after="120" w:line="276" w:lineRule="auto"/>
        <w:jc w:val="both"/>
        <w:rPr>
          <w:rFonts w:ascii="Verdana" w:hAnsi="Verdana" w:cs="Arial"/>
          <w:lang w:val="es-ES"/>
        </w:rPr>
      </w:pPr>
      <w:r w:rsidRPr="008C3D38">
        <w:rPr>
          <w:rFonts w:ascii="Verdana" w:hAnsi="Verdana" w:cs="Arial"/>
          <w:lang w:val="es-ES"/>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C3D38">
        <w:rPr>
          <w:rFonts w:ascii="Verdana" w:hAnsi="Verdana" w:cs="Arial"/>
          <w:i/>
          <w:iCs/>
          <w:lang w:val="es-ES"/>
        </w:rPr>
        <w:t>entidades estatales</w:t>
      </w:r>
      <w:r w:rsidRPr="008C3D38">
        <w:rPr>
          <w:rFonts w:ascii="Verdana" w:hAnsi="Verdana" w:cs="Arial"/>
          <w:lang w:val="es-ES"/>
        </w:rPr>
        <w:t xml:space="preserve">, esto es, aquellas previstas en los literales a) y b) del numeral 1 del artículo 2 </w:t>
      </w:r>
      <w:r w:rsidRPr="008C3D38">
        <w:rPr>
          <w:rFonts w:ascii="Verdana" w:hAnsi="Verdana" w:cs="Arial"/>
          <w:i/>
          <w:iCs/>
          <w:lang w:val="es-ES"/>
        </w:rPr>
        <w:t>ibidem</w:t>
      </w:r>
      <w:r w:rsidRPr="008C3D38">
        <w:rPr>
          <w:rFonts w:ascii="Verdana" w:hAnsi="Verdana" w:cs="Arial"/>
          <w:lang w:val="es-ES"/>
        </w:rPr>
        <w:t xml:space="preserve">. La norma citada define la competencia contractual en los siguientes términos: </w:t>
      </w:r>
    </w:p>
    <w:p w14:paraId="428828CB" w14:textId="77777777" w:rsidR="008C3D38" w:rsidRPr="008C3D38" w:rsidRDefault="008C3D38" w:rsidP="008C3D38">
      <w:pPr>
        <w:spacing w:after="120" w:line="276" w:lineRule="auto"/>
        <w:ind w:firstLine="708"/>
        <w:jc w:val="both"/>
        <w:rPr>
          <w:rFonts w:ascii="Verdana" w:hAnsi="Verdana" w:cs="Arial"/>
          <w:lang w:val="es-ES"/>
        </w:rPr>
      </w:pPr>
      <w:r w:rsidRPr="008C3D38">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7C91BF58" w14:textId="77777777" w:rsidR="008C3D38" w:rsidRPr="008C3D38" w:rsidRDefault="008C3D38" w:rsidP="008C3D38">
      <w:pPr>
        <w:spacing w:after="120" w:line="276" w:lineRule="auto"/>
        <w:ind w:firstLine="708"/>
        <w:jc w:val="both"/>
        <w:rPr>
          <w:rFonts w:ascii="Verdana" w:hAnsi="Verdana" w:cs="Arial"/>
          <w:lang w:val="es-ES"/>
        </w:rPr>
      </w:pPr>
      <w:r w:rsidRPr="008C3D38">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C3D38">
        <w:rPr>
          <w:rFonts w:ascii="Verdana" w:hAnsi="Verdana" w:cs="Arial"/>
          <w:vertAlign w:val="superscript"/>
          <w:lang w:val="es-ES"/>
        </w:rPr>
        <w:footnoteReference w:id="1"/>
      </w:r>
      <w:r w:rsidRPr="008C3D38">
        <w:rPr>
          <w:rFonts w:ascii="Verdana" w:hAnsi="Verdana" w:cs="Arial"/>
          <w:lang w:val="es-ES"/>
        </w:rPr>
        <w:t xml:space="preserve">. </w:t>
      </w:r>
    </w:p>
    <w:p w14:paraId="7E669DBC" w14:textId="77777777" w:rsidR="008C3D38" w:rsidRPr="008C3D38" w:rsidRDefault="008C3D38" w:rsidP="008C3D38">
      <w:pPr>
        <w:spacing w:after="0" w:line="276" w:lineRule="auto"/>
        <w:ind w:firstLine="708"/>
        <w:jc w:val="both"/>
        <w:rPr>
          <w:rFonts w:ascii="Verdana" w:hAnsi="Verdana" w:cs="Arial"/>
          <w:bCs/>
          <w:lang w:val="es-MX"/>
        </w:rPr>
      </w:pPr>
      <w:r w:rsidRPr="008C3D38">
        <w:rPr>
          <w:rFonts w:ascii="Verdana" w:hAnsi="Verdana" w:cs="Arial"/>
          <w:lang w:val="es-ES"/>
        </w:rPr>
        <w:lastRenderedPageBreak/>
        <w:t xml:space="preserve">Para las entidades de los párrafos anteriores, sin perjuicio de las excepciones puntales a la aplicación del EGCAP, los procesos de selección se rigen por el artículo 2 de la Ley 1150 de 2007. El </w:t>
      </w:r>
      <w:r w:rsidRPr="008C3D38">
        <w:rPr>
          <w:rFonts w:ascii="Verdana" w:hAnsi="Verdana" w:cs="Arial"/>
          <w:bCs/>
          <w:lang w:val="es-MX"/>
        </w:rPr>
        <w:t xml:space="preserve">numeral uno, inciso primero, dispone que “La escogencia del contratista se efectuará por </w:t>
      </w:r>
      <w:r w:rsidRPr="008C3D38">
        <w:rPr>
          <w:rFonts w:ascii="Verdana" w:hAnsi="Verdana" w:cs="Arial"/>
          <w:bCs/>
          <w:i/>
          <w:iCs/>
          <w:lang w:val="es-MX"/>
        </w:rPr>
        <w:t>regla general</w:t>
      </w:r>
      <w:r w:rsidRPr="008C3D38">
        <w:rPr>
          <w:rFonts w:ascii="Verdana" w:hAnsi="Verdana" w:cs="Arial"/>
          <w:bCs/>
          <w:lang w:val="es-MX"/>
        </w:rPr>
        <w:t xml:space="preserve"> a través de licitación pública, con las </w:t>
      </w:r>
      <w:r w:rsidRPr="008C3D38">
        <w:rPr>
          <w:rFonts w:ascii="Verdana" w:hAnsi="Verdana" w:cs="Arial"/>
          <w:bCs/>
          <w:i/>
          <w:iCs/>
          <w:lang w:val="es-MX"/>
        </w:rPr>
        <w:t>excepciones</w:t>
      </w:r>
      <w:r w:rsidRPr="008C3D38">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8C3D38">
        <w:rPr>
          <w:rFonts w:ascii="Verdana" w:hAnsi="Verdana" w:cs="Arial"/>
          <w:bCs/>
          <w:vertAlign w:val="superscript"/>
          <w:lang w:val="es-MX"/>
        </w:rPr>
        <w:footnoteReference w:id="2"/>
      </w:r>
      <w:r w:rsidRPr="008C3D38">
        <w:rPr>
          <w:rFonts w:ascii="Verdana" w:hAnsi="Verdana" w:cs="Arial"/>
          <w:bCs/>
          <w:lang w:val="es-MX"/>
        </w:rPr>
        <w:t>. En este contexto, salvo norma especial que ordene la celebración del negocio jurídico por selección abreviada, concurso de méritos, mínima cuantía o contratación directa, debe aplicarse la regla general de licitación pública</w:t>
      </w:r>
      <w:r w:rsidRPr="008C3D38">
        <w:rPr>
          <w:rFonts w:ascii="Verdana" w:hAnsi="Verdana" w:cs="Arial"/>
          <w:bCs/>
          <w:vertAlign w:val="superscript"/>
          <w:lang w:val="es-MX"/>
        </w:rPr>
        <w:footnoteReference w:id="3"/>
      </w:r>
      <w:r w:rsidRPr="008C3D38">
        <w:rPr>
          <w:rFonts w:ascii="Verdana" w:hAnsi="Verdana" w:cs="Arial"/>
          <w:bCs/>
          <w:lang w:val="es-MX"/>
        </w:rPr>
        <w:t>.</w:t>
      </w:r>
    </w:p>
    <w:p w14:paraId="41BE1E6C" w14:textId="77777777" w:rsidR="008C3D38" w:rsidRPr="008C3D38" w:rsidRDefault="008C3D38" w:rsidP="008C3D38">
      <w:pPr>
        <w:spacing w:after="0" w:line="276" w:lineRule="auto"/>
        <w:jc w:val="both"/>
        <w:rPr>
          <w:rFonts w:ascii="Verdana" w:eastAsia="Calibri" w:hAnsi="Verdana" w:cs="Arial"/>
        </w:rPr>
      </w:pPr>
    </w:p>
    <w:p w14:paraId="35A1E915" w14:textId="77777777" w:rsidR="008C3D38" w:rsidRPr="008C3D38" w:rsidRDefault="008C3D38" w:rsidP="008C3D38">
      <w:pPr>
        <w:spacing w:after="120"/>
        <w:jc w:val="both"/>
        <w:rPr>
          <w:rFonts w:ascii="Verdana" w:eastAsia="Calibri" w:hAnsi="Verdana" w:cs="Times New Roman"/>
        </w:rPr>
      </w:pPr>
      <w:r w:rsidRPr="008C3D38">
        <w:rPr>
          <w:rFonts w:ascii="Verdana" w:eastAsia="Calibri" w:hAnsi="Verdana" w:cs="Arial"/>
        </w:rPr>
        <w:t xml:space="preserve">ii. </w:t>
      </w:r>
      <w:r w:rsidRPr="008C3D38">
        <w:rPr>
          <w:rFonts w:ascii="Verdana" w:eastAsia="Calibri" w:hAnsi="Verdana" w:cs="Times New Roman"/>
        </w:rPr>
        <w:t xml:space="preserve">La </w:t>
      </w:r>
      <w:r w:rsidRPr="008C3D38">
        <w:rPr>
          <w:rFonts w:ascii="Verdana" w:eastAsia="Calibri" w:hAnsi="Verdana" w:cs="Times New Roman"/>
          <w:i/>
          <w:iCs/>
        </w:rPr>
        <w:t>competencia</w:t>
      </w:r>
      <w:r w:rsidRPr="008C3D38">
        <w:rPr>
          <w:rFonts w:ascii="Verdana" w:eastAsia="Calibri" w:hAnsi="Verdana" w:cs="Times New Roman"/>
        </w:rPr>
        <w:t xml:space="preserve"> es la institución más importante para entender la legalidad en el derecho administrativo, y su trascendencia en la contratación estatal reside en la capacidad para adelantar las actuaciones precontractuales, contractuales </w:t>
      </w:r>
      <w:r w:rsidRPr="008C3D38">
        <w:rPr>
          <w:rFonts w:ascii="Verdana" w:eastAsia="Calibri" w:hAnsi="Verdana" w:cs="Times New Roman"/>
        </w:rPr>
        <w:lastRenderedPageBreak/>
        <w:t xml:space="preserve">y </w:t>
      </w:r>
      <w:proofErr w:type="spellStart"/>
      <w:r w:rsidRPr="008C3D38">
        <w:rPr>
          <w:rFonts w:ascii="Verdana" w:eastAsia="Calibri" w:hAnsi="Verdana" w:cs="Times New Roman"/>
        </w:rPr>
        <w:t>poscontractuales</w:t>
      </w:r>
      <w:proofErr w:type="spellEnd"/>
      <w:r w:rsidRPr="008C3D38">
        <w:rPr>
          <w:rFonts w:ascii="Verdana" w:eastAsia="Calibri" w:hAnsi="Verdana" w:cs="Times New Roman"/>
        </w:rPr>
        <w:t xml:space="preserve">. En la lógica del derecho privado, la capacidad para celebrar un contrato significa necesariamente la personalidad jurídica. Mientras, la Ley 80 de 1993 le da capacidad a organismos que no tienen personería jurídica para suscribir contratos estatales. Al respecto, Dávila Vinueza expresa que la capacidad en la contratación pública se denomina competencia, la cual la concibe desde dos acepciones: i) </w:t>
      </w:r>
      <w:r w:rsidRPr="008C3D38">
        <w:rPr>
          <w:rFonts w:ascii="Verdana" w:eastAsia="Calibri" w:hAnsi="Verdana" w:cs="Times New Roman"/>
          <w:i/>
          <w:iCs/>
        </w:rPr>
        <w:t>la externa</w:t>
      </w:r>
      <w:r w:rsidRPr="008C3D38">
        <w:rPr>
          <w:rFonts w:ascii="Verdana" w:eastAsia="Calibri" w:hAnsi="Verdana" w:cs="Times New Roman"/>
        </w:rPr>
        <w:t xml:space="preserve"> como la capacidad que la ley asigna a determinadas entidades para cumplir la función de suscribir contratos; y ii) la interna, que se entiende como la atribución que hace la ley a un determinado funcionario para expresar la voluntad de la entidad</w:t>
      </w:r>
      <w:r w:rsidRPr="008C3D38">
        <w:rPr>
          <w:rFonts w:ascii="Verdana" w:eastAsia="Calibri" w:hAnsi="Verdana" w:cs="Times New Roman"/>
          <w:vertAlign w:val="superscript"/>
        </w:rPr>
        <w:footnoteReference w:id="4"/>
      </w:r>
      <w:r w:rsidRPr="008C3D38">
        <w:rPr>
          <w:rFonts w:ascii="Verdana" w:eastAsia="Calibri" w:hAnsi="Verdana" w:cs="Times New Roman"/>
        </w:rPr>
        <w:t xml:space="preserve">. En torno a esta misma idea, Alier Eduardo Hernández Enriquez manifiesta: </w:t>
      </w:r>
    </w:p>
    <w:p w14:paraId="1F7787EC" w14:textId="77777777" w:rsidR="008C3D38" w:rsidRPr="008C3D38" w:rsidRDefault="008C3D38" w:rsidP="008C3D38">
      <w:pPr>
        <w:spacing w:after="120" w:line="276" w:lineRule="auto"/>
        <w:jc w:val="both"/>
        <w:rPr>
          <w:rFonts w:ascii="Verdana" w:eastAsia="Calibri" w:hAnsi="Verdana" w:cs="Times New Roman"/>
        </w:rPr>
      </w:pPr>
    </w:p>
    <w:p w14:paraId="47A6328A" w14:textId="77777777" w:rsidR="008C3D38" w:rsidRPr="008C3D38" w:rsidRDefault="008C3D38" w:rsidP="008C3D38">
      <w:pPr>
        <w:spacing w:after="0" w:line="240" w:lineRule="auto"/>
        <w:ind w:left="709" w:right="709"/>
        <w:jc w:val="both"/>
        <w:rPr>
          <w:rFonts w:ascii="Verdana" w:eastAsia="Calibri" w:hAnsi="Verdana" w:cs="Times New Roman"/>
          <w:sz w:val="20"/>
          <w:szCs w:val="20"/>
        </w:rPr>
      </w:pPr>
      <w:r w:rsidRPr="008C3D38">
        <w:rPr>
          <w:rFonts w:ascii="Verdana" w:eastAsia="Calibri" w:hAnsi="Verdana" w:cs="Times New Roman"/>
          <w:sz w:val="20"/>
          <w:szCs w:val="20"/>
        </w:rPr>
        <w:t>En efecto, es bien conocido el hecho de que la capacidad (institución del derecho privado) es constitutiva de regla general mientras que la competencia (instituto del derecho público) es constitutiva de regla de excepción con todas las consecuencias que tales naturalezas acarrean</w:t>
      </w:r>
    </w:p>
    <w:p w14:paraId="4DEDAEC0" w14:textId="77777777" w:rsidR="008C3D38" w:rsidRPr="008C3D38" w:rsidRDefault="008C3D38" w:rsidP="008C3D38">
      <w:pPr>
        <w:spacing w:after="0" w:line="240" w:lineRule="auto"/>
        <w:ind w:left="709" w:right="709"/>
        <w:jc w:val="both"/>
        <w:rPr>
          <w:rFonts w:ascii="Verdana" w:eastAsia="Calibri" w:hAnsi="Verdana" w:cs="Times New Roman"/>
          <w:sz w:val="20"/>
          <w:szCs w:val="20"/>
        </w:rPr>
      </w:pPr>
    </w:p>
    <w:p w14:paraId="3255D4B1" w14:textId="77777777" w:rsidR="008C3D38" w:rsidRPr="008C3D38" w:rsidRDefault="008C3D38" w:rsidP="008C3D38">
      <w:pPr>
        <w:spacing w:after="120" w:line="240" w:lineRule="auto"/>
        <w:ind w:left="709" w:right="709"/>
        <w:jc w:val="both"/>
        <w:rPr>
          <w:rFonts w:ascii="Verdana" w:eastAsia="Calibri" w:hAnsi="Verdana" w:cs="Times New Roman"/>
          <w:sz w:val="20"/>
          <w:szCs w:val="20"/>
        </w:rPr>
      </w:pPr>
      <w:r w:rsidRPr="008C3D38">
        <w:rPr>
          <w:rFonts w:ascii="Verdana" w:eastAsia="Calibri" w:hAnsi="Verdana" w:cs="Times New Roman"/>
          <w:sz w:val="20"/>
          <w:szCs w:val="20"/>
        </w:rPr>
        <w:t>Pues bien, cuando el Estatuto de Contratación Pública se refiere a la capacidad que tienen las “entidades estatales” para celebrar contratos, se está refiriendo a la primera de dichas instituciones y no a la segunda. En cambio, cuando el mismo estatuto se refiere a la competencia de los servidores públicos para dirigir licitaciones y para celebrar contratos estatales se está refiriendo a la segunda y no a la primera</w:t>
      </w:r>
      <w:r w:rsidRPr="008C3D38">
        <w:rPr>
          <w:rFonts w:ascii="Verdana" w:eastAsia="Calibri" w:hAnsi="Verdana" w:cs="Times New Roman"/>
          <w:sz w:val="20"/>
          <w:szCs w:val="20"/>
          <w:vertAlign w:val="superscript"/>
        </w:rPr>
        <w:footnoteReference w:id="5"/>
      </w:r>
      <w:r w:rsidRPr="008C3D38">
        <w:rPr>
          <w:rFonts w:ascii="Verdana" w:eastAsia="Calibri" w:hAnsi="Verdana" w:cs="Times New Roman"/>
          <w:sz w:val="20"/>
          <w:szCs w:val="20"/>
        </w:rPr>
        <w:t xml:space="preserve">. </w:t>
      </w:r>
    </w:p>
    <w:p w14:paraId="21CD5515" w14:textId="77777777" w:rsidR="008C3D38" w:rsidRPr="008C3D38" w:rsidRDefault="008C3D38" w:rsidP="008C3D38">
      <w:pPr>
        <w:spacing w:after="120" w:line="276" w:lineRule="auto"/>
        <w:jc w:val="both"/>
        <w:rPr>
          <w:rFonts w:ascii="Verdana" w:eastAsia="Calibri" w:hAnsi="Verdana" w:cs="Times New Roman"/>
        </w:rPr>
      </w:pPr>
    </w:p>
    <w:p w14:paraId="5D45C4BE" w14:textId="77777777" w:rsidR="008C3D38" w:rsidRPr="008C3D38" w:rsidRDefault="008C3D38" w:rsidP="008C3D38">
      <w:pPr>
        <w:spacing w:after="0" w:line="276" w:lineRule="auto"/>
        <w:jc w:val="both"/>
        <w:rPr>
          <w:rFonts w:ascii="Verdana" w:eastAsia="Calibri" w:hAnsi="Verdana" w:cs="Times New Roman"/>
        </w:rPr>
      </w:pPr>
      <w:r w:rsidRPr="008C3D38">
        <w:rPr>
          <w:rFonts w:ascii="Verdana" w:eastAsia="Calibri" w:hAnsi="Verdana" w:cs="Times New Roman"/>
        </w:rPr>
        <w:tab/>
        <w:t xml:space="preserve">En torno a la capacidad externa, se encuentra que existen entidades que, si bien no se caracterizan por tener personería jurídica, si tienen capacidad contractual. De este tipo de entidades se refiere el artículo 352 constitucional, cuando prescribe que la Ley Orgánica de Presupuesto tiene la regulación de la capacidad para celebrar contratos a entidades y organismos públicos. En este aspecto, el Estatuto Orgánico del Presupuesto permite que organismos públicos tengan la capacidad para celebrar contratos a pesar de que no cuenten con </w:t>
      </w:r>
      <w:r w:rsidRPr="008C3D38">
        <w:rPr>
          <w:rFonts w:ascii="Verdana" w:eastAsia="Calibri" w:hAnsi="Verdana" w:cs="Times New Roman"/>
        </w:rPr>
        <w:lastRenderedPageBreak/>
        <w:t xml:space="preserve">personería jurídica, teniendo en cuenta que se haya otorgado dicha habilitación de forma expresa. Al respecto, el Estatuto Orgánico de Presupuesto, que está condensado en el Decreto 111 de 1996, dispone en el artículo 110: </w:t>
      </w:r>
    </w:p>
    <w:p w14:paraId="58999D1D" w14:textId="77777777" w:rsidR="008C3D38" w:rsidRPr="008C3D38" w:rsidRDefault="008C3D38" w:rsidP="007448A3">
      <w:pPr>
        <w:spacing w:after="0" w:line="240" w:lineRule="auto"/>
        <w:jc w:val="both"/>
        <w:rPr>
          <w:rFonts w:ascii="Verdana" w:eastAsia="Calibri" w:hAnsi="Verdana" w:cs="Times New Roman"/>
        </w:rPr>
      </w:pPr>
    </w:p>
    <w:p w14:paraId="182D578D" w14:textId="77777777" w:rsidR="008C3D38" w:rsidRPr="008C3D38" w:rsidRDefault="008C3D38" w:rsidP="007448A3">
      <w:pPr>
        <w:spacing w:after="0" w:line="240" w:lineRule="auto"/>
        <w:ind w:left="709" w:right="709"/>
        <w:jc w:val="both"/>
        <w:rPr>
          <w:rFonts w:ascii="Verdana" w:eastAsia="Calibri" w:hAnsi="Verdana" w:cs="Times New Roman"/>
          <w:sz w:val="20"/>
          <w:szCs w:val="20"/>
          <w:lang w:val="es-MX"/>
        </w:rPr>
      </w:pPr>
      <w:r w:rsidRPr="008C3D38">
        <w:rPr>
          <w:rFonts w:ascii="Verdana" w:eastAsia="Calibri" w:hAnsi="Verdana" w:cs="Times New Roman"/>
          <w:sz w:val="20"/>
          <w:szCs w:val="20"/>
          <w:lang w:val="es-MX"/>
        </w:rPr>
        <w:t>“Los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1E8472EC" w14:textId="77777777" w:rsidR="008C3D38" w:rsidRPr="008C3D38" w:rsidRDefault="008C3D38" w:rsidP="008C3D38">
      <w:pPr>
        <w:spacing w:after="120" w:line="276" w:lineRule="auto"/>
        <w:jc w:val="both"/>
        <w:rPr>
          <w:rFonts w:ascii="Verdana" w:eastAsia="Calibri" w:hAnsi="Verdana" w:cs="Times New Roman"/>
          <w:lang w:val="es-MX"/>
        </w:rPr>
      </w:pPr>
    </w:p>
    <w:p w14:paraId="5A399223" w14:textId="77777777" w:rsidR="008C3D38" w:rsidRPr="008C3D38" w:rsidRDefault="008C3D38" w:rsidP="008C3D38">
      <w:pPr>
        <w:spacing w:after="0" w:line="276" w:lineRule="auto"/>
        <w:jc w:val="both"/>
        <w:rPr>
          <w:rFonts w:ascii="Verdana" w:eastAsia="Calibri" w:hAnsi="Verdana" w:cs="Times New Roman"/>
          <w:lang w:val="es-MX"/>
        </w:rPr>
      </w:pPr>
      <w:r w:rsidRPr="008C3D38">
        <w:rPr>
          <w:rFonts w:ascii="Verdana" w:eastAsia="Calibri" w:hAnsi="Verdana" w:cs="Times New Roman"/>
          <w:lang w:val="es-MX"/>
        </w:rPr>
        <w:tab/>
        <w:t xml:space="preserve">A su vez, el artículo 36 del Estatuto Orgánico de Presupuesto prescribe en su inciso segundo qué organismos constituyen una Sección del Presupuesto General de la Nación: </w:t>
      </w:r>
    </w:p>
    <w:p w14:paraId="6DA830B6" w14:textId="77777777" w:rsidR="008C3D38" w:rsidRPr="008C3D38" w:rsidRDefault="008C3D38" w:rsidP="008C3D38">
      <w:pPr>
        <w:spacing w:after="0" w:line="276" w:lineRule="auto"/>
        <w:jc w:val="both"/>
        <w:rPr>
          <w:rFonts w:ascii="Verdana" w:eastAsia="Calibri" w:hAnsi="Verdana" w:cs="Times New Roman"/>
          <w:lang w:val="es-MX"/>
        </w:rPr>
      </w:pPr>
    </w:p>
    <w:p w14:paraId="6861BAD0" w14:textId="77777777" w:rsidR="008C3D38" w:rsidRPr="008C3D38" w:rsidRDefault="008C3D38" w:rsidP="007448A3">
      <w:pPr>
        <w:spacing w:after="0" w:line="240" w:lineRule="auto"/>
        <w:ind w:left="709" w:right="709"/>
        <w:jc w:val="both"/>
        <w:rPr>
          <w:rFonts w:ascii="Verdana" w:eastAsia="Calibri" w:hAnsi="Verdana" w:cs="Times New Roman"/>
          <w:sz w:val="20"/>
          <w:szCs w:val="20"/>
        </w:rPr>
      </w:pPr>
      <w:r w:rsidRPr="008C3D38">
        <w:rPr>
          <w:rFonts w:ascii="Verdana" w:eastAsia="Calibri" w:hAnsi="Verdana" w:cs="Times New Roman"/>
          <w:sz w:val="20"/>
          <w:szCs w:val="20"/>
        </w:rPr>
        <w:t xml:space="preserve">Cada uno de estos gastos se presentará clasificado en diferentes secciones que corresponderán a: la Rama Judicial, la Rama Legislativa, la Fiscalía General de la Nación, la Procuraduría General de la Nación, la Defensoría del Pueblo, la Contraloría General de la República, la Registraduría Nacional del Estado Civil que incluye el Consejo Nacional Electoral, una (1) por cada Ministerio, Departamento Administrativo y Establecimientos Públicos, </w:t>
      </w:r>
      <w:r w:rsidRPr="008C3D38">
        <w:rPr>
          <w:rFonts w:ascii="Verdana" w:eastAsia="Calibri" w:hAnsi="Verdana" w:cs="Times New Roman"/>
          <w:b/>
          <w:i/>
          <w:sz w:val="20"/>
          <w:szCs w:val="20"/>
        </w:rPr>
        <w:t>una (1) para la Policía Nacional</w:t>
      </w:r>
      <w:r w:rsidRPr="008C3D38">
        <w:rPr>
          <w:rFonts w:ascii="Verdana" w:eastAsia="Calibri" w:hAnsi="Verdana" w:cs="Times New Roman"/>
          <w:sz w:val="20"/>
          <w:szCs w:val="20"/>
        </w:rPr>
        <w:t xml:space="preserve"> y una (1) para el Servicio de la Deuda Pública. En el proyecto de presupuesto de inversión se indicarán los proyectos establecidos en el Plan Operativo Anual de Inversión, clasificado según lo determine el Gobierno Nacional (énfasis fuera de texto).</w:t>
      </w:r>
    </w:p>
    <w:p w14:paraId="0848B1C8" w14:textId="77777777" w:rsidR="008C3D38" w:rsidRPr="008C3D38" w:rsidRDefault="008C3D38" w:rsidP="008C3D38">
      <w:pPr>
        <w:spacing w:after="0" w:line="276" w:lineRule="auto"/>
        <w:ind w:left="709" w:right="709"/>
        <w:jc w:val="both"/>
        <w:rPr>
          <w:rFonts w:ascii="Verdana" w:eastAsia="Calibri" w:hAnsi="Verdana" w:cs="Times New Roman"/>
          <w:sz w:val="20"/>
          <w:szCs w:val="20"/>
        </w:rPr>
      </w:pPr>
    </w:p>
    <w:p w14:paraId="67D8EE91" w14:textId="77777777" w:rsidR="008C3D38" w:rsidRPr="008C3D38" w:rsidRDefault="008C3D38" w:rsidP="008C3D38">
      <w:pPr>
        <w:spacing w:after="0" w:line="276" w:lineRule="auto"/>
        <w:ind w:firstLine="709"/>
        <w:jc w:val="both"/>
        <w:rPr>
          <w:rFonts w:ascii="Verdana" w:eastAsia="Times New Roman" w:hAnsi="Verdana" w:cs="Segoe UI"/>
          <w:bCs/>
          <w:lang w:eastAsia="es-CO"/>
        </w:rPr>
      </w:pPr>
      <w:r w:rsidRPr="008C3D38">
        <w:rPr>
          <w:rFonts w:ascii="Verdana" w:eastAsia="Times New Roman" w:hAnsi="Verdana" w:cs="Segoe UI"/>
          <w:lang w:eastAsia="es-CO"/>
        </w:rPr>
        <w:t xml:space="preserve">A partir de la disposición citada, resulta claro que la </w:t>
      </w:r>
      <w:r w:rsidRPr="008C3D38">
        <w:rPr>
          <w:rFonts w:ascii="Verdana" w:eastAsia="Times New Roman" w:hAnsi="Verdana" w:cs="Segoe UI"/>
          <w:bCs/>
          <w:lang w:eastAsia="es-CO"/>
        </w:rPr>
        <w:t>Policía Nacional integra el Presupuesto General de la Nación (PGN)</w:t>
      </w:r>
      <w:r w:rsidRPr="008C3D38">
        <w:rPr>
          <w:rFonts w:ascii="Verdana" w:eastAsia="Times New Roman" w:hAnsi="Verdana" w:cs="Segoe UI"/>
          <w:lang w:eastAsia="es-CO"/>
        </w:rPr>
        <w:t xml:space="preserve">, en la medida en que el legislador ha previsto expresamente una sección presupuestal independiente destinada a esta entidad. Esta inclusión no es nominal, sino que implica su reconocimiento como </w:t>
      </w:r>
      <w:r w:rsidRPr="008C3D38">
        <w:rPr>
          <w:rFonts w:ascii="Verdana" w:eastAsia="Times New Roman" w:hAnsi="Verdana" w:cs="Segoe UI"/>
          <w:bCs/>
          <w:lang w:eastAsia="es-CO"/>
        </w:rPr>
        <w:t>unidad ejecutora de recursos públicos</w:t>
      </w:r>
      <w:r w:rsidRPr="008C3D38">
        <w:rPr>
          <w:rFonts w:ascii="Verdana" w:eastAsia="Times New Roman" w:hAnsi="Verdana" w:cs="Segoe UI"/>
          <w:b/>
          <w:lang w:eastAsia="es-CO"/>
        </w:rPr>
        <w:t>,</w:t>
      </w:r>
      <w:r w:rsidRPr="008C3D38">
        <w:rPr>
          <w:rFonts w:ascii="Verdana" w:eastAsia="Times New Roman" w:hAnsi="Verdana" w:cs="Segoe UI"/>
          <w:lang w:eastAsia="es-CO"/>
        </w:rPr>
        <w:t xml:space="preserve"> sujeta al Estatuto Orgánico del Presupuesto y a las reglas de planeación, ejecución y control fiscal propias del gasto público. En efecto, la Policía Nacional participa de manera directa en la programación y ejecución del presupuesto aprobado por el Congreso de la República, lo que la sitúa dentro de la estructura administrativa </w:t>
      </w:r>
      <w:r w:rsidRPr="008C3D38">
        <w:rPr>
          <w:rFonts w:ascii="Verdana" w:eastAsia="Times New Roman" w:hAnsi="Verdana" w:cs="Segoe UI"/>
          <w:lang w:eastAsia="es-CO"/>
        </w:rPr>
        <w:lastRenderedPageBreak/>
        <w:t xml:space="preserve">del Estado con capacidad operativa y financiera definida. De tal manera, al formar parte del Presupuesto General de la Nación y administrar recursos públicos, la Policía Nacional ostenta la </w:t>
      </w:r>
      <w:r w:rsidRPr="008C3D38">
        <w:rPr>
          <w:rFonts w:ascii="Verdana" w:eastAsia="Times New Roman" w:hAnsi="Verdana" w:cs="Segoe UI"/>
          <w:bCs/>
          <w:lang w:eastAsia="es-CO"/>
        </w:rPr>
        <w:t>capacidad para celebrar contratos, y en este sentido, se considera entidad estatal en los términos del artículo 2.1. literal b de la Ley 80 de 1993, cuyo tenor literal dispone:</w:t>
      </w:r>
    </w:p>
    <w:p w14:paraId="08451143" w14:textId="77777777" w:rsidR="008C3D38" w:rsidRPr="008C3D38" w:rsidRDefault="008C3D38" w:rsidP="008C3D38">
      <w:pPr>
        <w:spacing w:after="0" w:line="276" w:lineRule="auto"/>
        <w:ind w:firstLine="709"/>
        <w:jc w:val="both"/>
        <w:rPr>
          <w:rFonts w:ascii="Verdana" w:eastAsia="Times New Roman" w:hAnsi="Verdana" w:cs="Segoe UI"/>
          <w:bCs/>
          <w:lang w:eastAsia="es-CO"/>
        </w:rPr>
      </w:pPr>
    </w:p>
    <w:p w14:paraId="5CB3EFFC" w14:textId="77777777" w:rsidR="008C3D38" w:rsidRPr="008C3D38" w:rsidRDefault="008C3D38" w:rsidP="007448A3">
      <w:pPr>
        <w:spacing w:after="0" w:line="240" w:lineRule="auto"/>
        <w:ind w:left="709" w:right="709"/>
        <w:jc w:val="both"/>
        <w:rPr>
          <w:rFonts w:ascii="Verdana" w:eastAsia="Times New Roman" w:hAnsi="Verdana" w:cs="Segoe UI"/>
          <w:bCs/>
          <w:sz w:val="20"/>
          <w:szCs w:val="20"/>
          <w:lang w:eastAsia="es-CO"/>
        </w:rPr>
      </w:pPr>
      <w:r w:rsidRPr="008C3D38">
        <w:rPr>
          <w:rFonts w:ascii="Verdana" w:eastAsia="Times New Roman" w:hAnsi="Verdana" w:cs="Segoe UI"/>
          <w:bCs/>
          <w:sz w:val="20"/>
          <w:szCs w:val="20"/>
          <w:lang w:eastAsia="es-CO"/>
        </w:rPr>
        <w:t>ARTICULO 2o. DE LA DEFINICION DE ENTIDADES, SERVIDORES Y SERVICIOS PUBLICOS. Para los solos efectos de esta ley:  </w:t>
      </w:r>
    </w:p>
    <w:p w14:paraId="7E0A7CAC" w14:textId="77777777" w:rsidR="008C3D38" w:rsidRPr="008C3D38" w:rsidRDefault="008C3D38" w:rsidP="007448A3">
      <w:pPr>
        <w:spacing w:after="0" w:line="240" w:lineRule="auto"/>
        <w:ind w:left="709" w:right="709"/>
        <w:jc w:val="both"/>
        <w:rPr>
          <w:rFonts w:ascii="Verdana" w:eastAsia="Times New Roman" w:hAnsi="Verdana" w:cs="Segoe UI"/>
          <w:b/>
          <w:bCs/>
          <w:sz w:val="20"/>
          <w:szCs w:val="20"/>
          <w:lang w:eastAsia="es-CO"/>
        </w:rPr>
      </w:pPr>
      <w:r w:rsidRPr="008C3D38">
        <w:rPr>
          <w:rFonts w:ascii="Verdana" w:eastAsia="Times New Roman" w:hAnsi="Verdana" w:cs="Segoe UI"/>
          <w:bCs/>
          <w:sz w:val="20"/>
          <w:szCs w:val="20"/>
          <w:lang w:eastAsia="es-CO"/>
        </w:rPr>
        <w:t>1o. Se denominan entidades estatales: </w:t>
      </w:r>
    </w:p>
    <w:p w14:paraId="735DC26D" w14:textId="77777777" w:rsidR="008C3D38" w:rsidRPr="008C3D38" w:rsidRDefault="008C3D38" w:rsidP="007448A3">
      <w:pPr>
        <w:spacing w:after="0" w:line="240" w:lineRule="auto"/>
        <w:ind w:left="709" w:right="709"/>
        <w:jc w:val="both"/>
        <w:rPr>
          <w:rFonts w:ascii="Verdana" w:eastAsia="Calibri" w:hAnsi="Verdana" w:cs="Times New Roman"/>
          <w:sz w:val="20"/>
          <w:szCs w:val="20"/>
          <w:lang w:val="es-ES" w:eastAsia="es-CO"/>
        </w:rPr>
      </w:pPr>
      <w:r w:rsidRPr="008C3D38">
        <w:rPr>
          <w:rFonts w:ascii="Verdana" w:eastAsia="Times New Roman" w:hAnsi="Verdana" w:cs="Segoe UI"/>
          <w:bCs/>
          <w:sz w:val="20"/>
          <w:szCs w:val="20"/>
          <w:lang w:eastAsia="es-CO"/>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8C3D38">
        <w:rPr>
          <w:rFonts w:ascii="Verdana" w:eastAsia="Times New Roman" w:hAnsi="Verdana" w:cs="Segoe UI"/>
          <w:b/>
          <w:bCs/>
          <w:i/>
          <w:sz w:val="20"/>
          <w:szCs w:val="20"/>
          <w:lang w:eastAsia="es-CO"/>
        </w:rPr>
        <w:t>, los organismos o dependencias del Estado a los que la ley otorgue capacidad para celebrar contratos.</w:t>
      </w:r>
      <w:r w:rsidRPr="008C3D38">
        <w:rPr>
          <w:rFonts w:ascii="Verdana" w:eastAsia="Times New Roman" w:hAnsi="Verdana" w:cs="Segoe UI"/>
          <w:bCs/>
          <w:sz w:val="20"/>
          <w:szCs w:val="20"/>
          <w:lang w:eastAsia="es-CO"/>
        </w:rPr>
        <w:t xml:space="preserve"> (énfasis fuera de texto). </w:t>
      </w:r>
    </w:p>
    <w:p w14:paraId="6EF8B7D2" w14:textId="77777777" w:rsidR="008C3D38" w:rsidRPr="008C3D38" w:rsidRDefault="008C3D38" w:rsidP="008C3D38">
      <w:pPr>
        <w:spacing w:after="0" w:line="276" w:lineRule="auto"/>
        <w:ind w:left="709" w:right="709"/>
        <w:jc w:val="both"/>
        <w:rPr>
          <w:rFonts w:ascii="Verdana" w:eastAsia="Calibri" w:hAnsi="Verdana" w:cs="Times New Roman"/>
          <w:sz w:val="20"/>
          <w:szCs w:val="20"/>
          <w:lang w:val="es-ES"/>
        </w:rPr>
      </w:pPr>
    </w:p>
    <w:p w14:paraId="56B0E69A" w14:textId="77777777" w:rsidR="008C3D38" w:rsidRPr="008C3D38" w:rsidRDefault="008C3D38" w:rsidP="008C3D38">
      <w:pPr>
        <w:spacing w:after="120" w:line="276" w:lineRule="auto"/>
        <w:jc w:val="both"/>
        <w:rPr>
          <w:rFonts w:ascii="Verdana" w:eastAsia="Calibri" w:hAnsi="Verdana" w:cs="Times New Roman"/>
          <w:lang w:val="es-ES"/>
        </w:rPr>
      </w:pPr>
      <w:r w:rsidRPr="008C3D38">
        <w:rPr>
          <w:rFonts w:ascii="Verdana" w:eastAsia="Calibri" w:hAnsi="Verdana" w:cs="Times New Roman"/>
          <w:lang w:val="es-ES"/>
        </w:rPr>
        <w:tab/>
        <w:t>De este modo, se encuentra que la Policía no tiene personería jurídica, sin embargo, cuenta con la capacidad contractual. Ahora bien, para entender un poco más de esta entidad, el artículo 218 de la Constitución Política establece: “la Policía Nacional es un cuerpo armado permanente de naturaleza civil, a cargo de la Nación, cuyo fin primordial es el mantenimiento de las condiciones necesarias para el ejercicio de los derechos y libertades públicas, y para asegurar que los habitantes de Colombia convivan en paz”. La Corte Constitucional ha reiterado ese carácter civil de la Policía Nacional, estableciendo que la naturaleza jurídica de esta institución es diferente a la de las Fuerzas Militares, su naturaleza civil implica que los inferiores son responsables por la ejecución de las órdenes que reciban y como autoridad administrativa cumple funciones preventivas más no represivas, salvo cuando actúa como colaboradora de las autoridades judiciales en ejercicio de la función de policía judicial</w:t>
      </w:r>
      <w:r w:rsidRPr="008C3D38">
        <w:rPr>
          <w:rFonts w:ascii="Verdana" w:eastAsia="Calibri" w:hAnsi="Verdana" w:cs="Times New Roman"/>
          <w:vertAlign w:val="superscript"/>
          <w:lang w:val="es-ES"/>
        </w:rPr>
        <w:footnoteReference w:id="6"/>
      </w:r>
      <w:r w:rsidRPr="008C3D38">
        <w:rPr>
          <w:rFonts w:ascii="Verdana" w:eastAsia="Calibri" w:hAnsi="Verdana" w:cs="Times New Roman"/>
          <w:lang w:val="es-ES"/>
        </w:rPr>
        <w:t xml:space="preserve">. </w:t>
      </w:r>
    </w:p>
    <w:p w14:paraId="5B8B90C3" w14:textId="77777777" w:rsidR="008C3D38" w:rsidRPr="008C3D38" w:rsidRDefault="008C3D38" w:rsidP="008C3D38">
      <w:pPr>
        <w:spacing w:after="0" w:line="276" w:lineRule="auto"/>
        <w:ind w:firstLine="709"/>
        <w:jc w:val="both"/>
        <w:rPr>
          <w:rFonts w:ascii="Verdana" w:eastAsia="Calibri" w:hAnsi="Verdana" w:cs="Times New Roman"/>
          <w:lang w:val="es"/>
        </w:rPr>
      </w:pPr>
      <w:r w:rsidRPr="008C3D38">
        <w:rPr>
          <w:rFonts w:ascii="Verdana" w:eastAsia="Calibri" w:hAnsi="Verdana" w:cs="Times New Roman"/>
          <w:lang w:val="es-ES"/>
        </w:rPr>
        <w:t xml:space="preserve">Así mismo, el artículo 1 decreto 49 de 2003, modificado por el Decreto 113 de 2022, establece que la Dirección General de la Policía Nacional de Colombia hace parte de la estructura del Ministerio de Defensa Nacional y está compuesta por distintas direcciones, subdirecciones, Jefaturas y oficinas. En este </w:t>
      </w:r>
      <w:r w:rsidRPr="008C3D38">
        <w:rPr>
          <w:rFonts w:ascii="Verdana" w:eastAsia="Calibri" w:hAnsi="Verdana" w:cs="Times New Roman"/>
          <w:lang w:val="es-ES"/>
        </w:rPr>
        <w:lastRenderedPageBreak/>
        <w:t>aspecto, se destaca que</w:t>
      </w:r>
      <w:r w:rsidRPr="008C3D38">
        <w:rPr>
          <w:rFonts w:ascii="Verdana" w:eastAsia="Calibri" w:hAnsi="Verdana" w:cs="Times New Roman"/>
          <w:lang w:val="es"/>
        </w:rPr>
        <w:t xml:space="preserve"> la fuerza pública se encuentra integrada por las Fuerzas Militares y la Policía Nacional. La función de los primeros es la defensa de la soberanía, independencia e integridad del territorio nacional; mientras, que la de los segundos es el mantenimiento de las condiciones necesarias para el ejercicio de los derechos y libertades públicas, y para asegurar que los habitantes de Colombia convivan en paz. </w:t>
      </w:r>
    </w:p>
    <w:p w14:paraId="143D7B7C" w14:textId="77777777" w:rsidR="008C3D38" w:rsidRPr="008C3D38" w:rsidRDefault="008C3D38" w:rsidP="008C3D38">
      <w:pPr>
        <w:spacing w:after="0" w:line="276" w:lineRule="auto"/>
        <w:jc w:val="both"/>
        <w:rPr>
          <w:rFonts w:ascii="Verdana" w:eastAsia="Calibri" w:hAnsi="Verdana" w:cs="Arial"/>
          <w:lang w:eastAsia="es-MX"/>
        </w:rPr>
      </w:pPr>
    </w:p>
    <w:p w14:paraId="15B6F414" w14:textId="77777777" w:rsidR="008C3D38" w:rsidRPr="008C3D38" w:rsidRDefault="008C3D38" w:rsidP="008C3D38">
      <w:pPr>
        <w:spacing w:after="120" w:line="276" w:lineRule="auto"/>
        <w:jc w:val="both"/>
        <w:rPr>
          <w:rFonts w:ascii="Verdana" w:eastAsia="Century Gothic" w:hAnsi="Verdana" w:cs="Century Gothic"/>
        </w:rPr>
      </w:pPr>
      <w:r w:rsidRPr="008C3D38">
        <w:rPr>
          <w:rFonts w:ascii="Verdana" w:eastAsia="Calibri" w:hAnsi="Verdana" w:cs="Arial"/>
          <w:lang w:eastAsia="es-MX"/>
        </w:rPr>
        <w:t xml:space="preserve">iii. </w:t>
      </w:r>
      <w:r w:rsidRPr="008C3D38">
        <w:rPr>
          <w:rFonts w:ascii="Verdana" w:eastAsia="Times New Roman" w:hAnsi="Verdana" w:cs="Arial"/>
          <w:lang w:eastAsia="es-CO"/>
        </w:rPr>
        <w:t xml:space="preserve">La contratación pública o sistema de compra pública se concibe como un mercado compuesto por la oferta de particulares, preferentemente, y la demanda de las Entidades Públicas de bienes y servicios. Particularmente, la compra pública de alimentos, a la cual se refiere en su consulta, además de lo dispuesto en el Estatuto General de Contratación de la Administración Pública – en adelante EGCAP -, se encuentra regulada en </w:t>
      </w:r>
      <w:r w:rsidRPr="008C3D38">
        <w:rPr>
          <w:rFonts w:ascii="Verdana" w:eastAsia="Century Gothic" w:hAnsi="Verdana" w:cs="Century Gothic"/>
        </w:rPr>
        <w:t xml:space="preserve">la Ley 1955 de 2019, la Ley 2046 de 2020 y el Decreto 248 de 2021, que modifica el Decreto 1071 de 2015. En ese contexto resulta importante referirse al </w:t>
      </w:r>
      <w:r w:rsidRPr="008C3D38">
        <w:rPr>
          <w:rFonts w:ascii="Verdana" w:eastAsia="Century Gothic" w:hAnsi="Verdana" w:cs="Century Gothic"/>
          <w:lang w:val="es-ES"/>
        </w:rPr>
        <w:t>c</w:t>
      </w:r>
      <w:proofErr w:type="spellStart"/>
      <w:r w:rsidRPr="008C3D38">
        <w:rPr>
          <w:rFonts w:ascii="Verdana" w:eastAsia="Century Gothic" w:hAnsi="Verdana" w:cs="Century Gothic"/>
        </w:rPr>
        <w:t>ontexto</w:t>
      </w:r>
      <w:proofErr w:type="spellEnd"/>
      <w:r w:rsidRPr="008C3D38">
        <w:rPr>
          <w:rFonts w:ascii="Verdana" w:eastAsia="Century Gothic" w:hAnsi="Verdana" w:cs="Century Gothic"/>
        </w:rPr>
        <w:t xml:space="preserve"> y finalidad de los incentivos y estímulos regulados el artículo 229 de la Ley 1955 de 2019 y en la Ley 2046 de 2020. </w:t>
      </w:r>
    </w:p>
    <w:p w14:paraId="26BE674D" w14:textId="77777777" w:rsidR="008C3D38" w:rsidRPr="008C3D38" w:rsidRDefault="008C3D38" w:rsidP="008C3D38">
      <w:pPr>
        <w:spacing w:after="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Así, en el mercado de la compra pública se crean incentivos para fomentar el desarrollo de determinado tipo de proveedores, como ocurre con los incentivos a las </w:t>
      </w:r>
      <w:proofErr w:type="spellStart"/>
      <w:r w:rsidRPr="008C3D38">
        <w:rPr>
          <w:rFonts w:ascii="Verdana" w:eastAsia="Times New Roman" w:hAnsi="Verdana" w:cs="Arial"/>
          <w:lang w:eastAsia="es-CO"/>
        </w:rPr>
        <w:t>Mipymes</w:t>
      </w:r>
      <w:proofErr w:type="spellEnd"/>
      <w:r w:rsidRPr="008C3D38">
        <w:rPr>
          <w:rFonts w:ascii="Verdana" w:eastAsia="Times New Roman" w:hAnsi="Verdana" w:cs="Arial"/>
          <w:lang w:eastAsia="es-CO"/>
        </w:rPr>
        <w:t xml:space="preserve">, a los emprendimientos y empresas de mujeres, entre otros. En esa orientación, el artículo 229 de la Ley 1955 de 2019, “Por el cual se expide el Plan Nacional de Desarrollo 2018-2022”,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 En lo pertinente, la norma dispone que: </w:t>
      </w:r>
    </w:p>
    <w:p w14:paraId="718DCC1D" w14:textId="77777777" w:rsidR="008C3D38" w:rsidRPr="008C3D38" w:rsidRDefault="008C3D38" w:rsidP="008C3D38">
      <w:pPr>
        <w:spacing w:after="0" w:line="276" w:lineRule="auto"/>
        <w:jc w:val="both"/>
        <w:rPr>
          <w:rFonts w:ascii="Verdana" w:eastAsia="Times New Roman" w:hAnsi="Verdana" w:cs="Arial"/>
          <w:lang w:eastAsia="es-CO"/>
        </w:rPr>
      </w:pPr>
    </w:p>
    <w:p w14:paraId="67DC57E3"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w:t>
      </w:r>
      <w:r w:rsidRPr="008C3D38">
        <w:rPr>
          <w:rFonts w:ascii="Verdana" w:eastAsia="Times New Roman" w:hAnsi="Verdana" w:cs="Arial"/>
          <w:sz w:val="20"/>
          <w:szCs w:val="20"/>
          <w:lang w:eastAsia="es-CO"/>
        </w:rPr>
        <w:lastRenderedPageBreak/>
        <w:t>más de tres (3) meses establecerá el esquema de puntajes adicionales, previo análisis de la Agencia de Contratación Colombia Compra Eficiente.</w:t>
      </w:r>
    </w:p>
    <w:p w14:paraId="0B249A47"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p>
    <w:p w14:paraId="163F3E1B"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Sin perjuicio de lo anterior, las entidades públicas contratantes deberán adquirir hasta el cuarenta por ciento (40%) de alimentos procesados o sin procesar, en donde los insumos y los productos hayan sido adquiridos de productores agropecuarios locales.</w:t>
      </w:r>
    </w:p>
    <w:p w14:paraId="133E6103"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p>
    <w:p w14:paraId="5B1C6357"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Adicionalmente, podrá establecerse un diez por ciento (10%) de puntaje adicional, a los proveedores que realicen el suministro que se pretenda contratar vinculando pequeños productores.</w:t>
      </w:r>
    </w:p>
    <w:p w14:paraId="6B1BE3BC"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 </w:t>
      </w:r>
    </w:p>
    <w:p w14:paraId="27FC890D" w14:textId="77777777" w:rsidR="008C3D38" w:rsidRPr="008C3D38" w:rsidRDefault="008C3D38" w:rsidP="008C3D38">
      <w:pPr>
        <w:spacing w:after="0" w:line="276" w:lineRule="auto"/>
        <w:jc w:val="both"/>
        <w:rPr>
          <w:rFonts w:ascii="Verdana" w:eastAsia="Times New Roman" w:hAnsi="Verdana" w:cs="Arial"/>
          <w:lang w:eastAsia="es-CO"/>
        </w:rPr>
      </w:pPr>
    </w:p>
    <w:p w14:paraId="1E2284FA"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Posteriormente, también se expidió la Ley 2046 del 6 de agosto de 2020, “Por la cual se establecen mecanismos para promover la participación de pequeños productores locales agropecuarios y de la agricultura campesina, familiar y comunitaria en los mercados de compras públicas de alimentos”. 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w:t>
      </w:r>
    </w:p>
    <w:p w14:paraId="2D5428B6"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La exposición de motivos de la citada Ley explicó, entre otras cosas, lo siguiente: “[…]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n el mercado”. </w:t>
      </w:r>
    </w:p>
    <w:p w14:paraId="10AAA94F"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Por lo demás, también agrega que “[…]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sociales no </w:t>
      </w:r>
      <w:r w:rsidRPr="008C3D38">
        <w:rPr>
          <w:rFonts w:ascii="Verdana" w:eastAsia="Times New Roman" w:hAnsi="Verdana" w:cs="Arial"/>
          <w:lang w:eastAsia="es-CO"/>
        </w:rPr>
        <w:lastRenderedPageBreak/>
        <w:t xml:space="preserve">han tenido las mismas oportunidades que otros sectores de la población”. De este modo, la Ley 2046 de 2020 pretende la creación de incentivos que beneficien a la agricultura en el territorio nacional. </w:t>
      </w:r>
    </w:p>
    <w:p w14:paraId="7E2DF158"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 En este contexto, de acuerdo con el artículo 1, el objeto de la ley “[…]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p>
    <w:p w14:paraId="4390BF45"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En cuanto al campo de aplicación, el artículo 3 ibidem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 </w:t>
      </w:r>
    </w:p>
    <w:p w14:paraId="23068F1D" w14:textId="77777777" w:rsidR="008C3D38" w:rsidRPr="008C3D38" w:rsidRDefault="008C3D38" w:rsidP="008C3D38">
      <w:pPr>
        <w:spacing w:after="120" w:line="276" w:lineRule="auto"/>
        <w:ind w:firstLine="708"/>
        <w:jc w:val="both"/>
        <w:rPr>
          <w:rFonts w:ascii="Verdana" w:hAnsi="Verdana" w:cs="Arial"/>
        </w:rPr>
      </w:pPr>
      <w:r w:rsidRPr="008C3D38">
        <w:rPr>
          <w:rFonts w:ascii="Verdana" w:eastAsia="Times New Roman" w:hAnsi="Verdana" w:cs="Arial"/>
          <w:lang w:eastAsia="es-CO"/>
        </w:rPr>
        <w:t>En efecto, este ámbito de aplicación no se limita a las entidades sujetas al Estatuto General de Contratación de la Administración Pública, sino que se extiende a otro tipo de Entidades Públicas de los distintos órdenes, las sociedades de economía mixta, entidades privadas que administren recursos públicos, así como los demás sujetos mencionados en la norma</w:t>
      </w:r>
      <w:r w:rsidRPr="008C3D38">
        <w:rPr>
          <w:rFonts w:ascii="Verdana" w:hAnsi="Verdana" w:cs="Arial"/>
        </w:rPr>
        <w:t>. Esta redacción evidencia la intención del legislador de otorgar un alcance general y comprensivo a las obligaciones allí contenidas, evitando limitar su aplicación a una categoría específica de entidades.</w:t>
      </w:r>
    </w:p>
    <w:p w14:paraId="4DAD053B"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En este contexto, la norma </w:t>
      </w:r>
      <w:r w:rsidRPr="008C3D38">
        <w:rPr>
          <w:rFonts w:ascii="Verdana" w:eastAsia="Times New Roman" w:hAnsi="Verdana" w:cs="Arial"/>
          <w:bCs/>
          <w:lang w:eastAsia="es-CO"/>
        </w:rPr>
        <w:t>no distingue entre entidades públicas con personería jurídica y aquellas que carecen de ella</w:t>
      </w:r>
      <w:r w:rsidRPr="008C3D38">
        <w:rPr>
          <w:rFonts w:ascii="Verdana" w:eastAsia="Times New Roman" w:hAnsi="Verdana" w:cs="Arial"/>
          <w:lang w:eastAsia="es-CO"/>
        </w:rPr>
        <w:t xml:space="preserve">, lo que implica que su </w:t>
      </w:r>
      <w:r w:rsidRPr="008C3D38">
        <w:rPr>
          <w:rFonts w:ascii="Verdana" w:eastAsia="Times New Roman" w:hAnsi="Verdana" w:cs="Arial"/>
          <w:lang w:eastAsia="es-CO"/>
        </w:rPr>
        <w:lastRenderedPageBreak/>
        <w:t xml:space="preserve">aplicación recae sobre todos los organismos que, por su naturaleza y funciones, administran recursos públicos y celebran contratos estatales. Bajo esta premisa, resulta claro que disposiciones como las previstas en la Ley 2026 en mención son plenamente aplicables a la </w:t>
      </w:r>
      <w:r w:rsidRPr="008C3D38">
        <w:rPr>
          <w:rFonts w:ascii="Verdana" w:eastAsia="Times New Roman" w:hAnsi="Verdana" w:cs="Arial"/>
          <w:bCs/>
          <w:lang w:eastAsia="es-CO"/>
        </w:rPr>
        <w:t>Policía Nacional</w:t>
      </w:r>
      <w:r w:rsidRPr="008C3D38">
        <w:rPr>
          <w:rFonts w:ascii="Verdana" w:eastAsia="Times New Roman" w:hAnsi="Verdana" w:cs="Arial"/>
          <w:lang w:eastAsia="es-CO"/>
        </w:rPr>
        <w:t xml:space="preserve">, dado que, aun careciendo de personería jurídica, cuenta con capacidad contractual, conforme a los artículos 36 y 110 del Estatuto Orgánico de Presupuesto; y a su vez, se encuentra sometida al Estatuto General de Contratación de la Administración Pública, de acuerdo al artículo 2.1. literal b de la Ley 80 de 1993. Por tanto, la Policía debe atender las obligaciones derivadas de dicha regulación en el ejercicio de su actividad contractual, es decir, deberá aplicar la Ley 2046 de 2020, así como las demás normas que la modifiquen, adicionen y reglamenten. </w:t>
      </w:r>
    </w:p>
    <w:p w14:paraId="01AE7D08"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Teniendo en cuenta lo expuesto sobre el ámbito de aplicación, es pertinente señalar que el artículo 4 de la Ley 2046 de 2020 define algunos términos y establece unas siglas para el entendimiento e interpretación de las reglas contenidas en la Ley 2046 de 2020. El artículo 5 crea la Mesa Técnica Nacional de Compras Públicas Locales de Alimentos, y el artículo 6 obliga al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así como a pequeños productores y productores de la Agricultura Campesina, Familiar o Comunitaria y organizaciones en los diferentes ejes temáticos indicados en la norma. </w:t>
      </w:r>
    </w:p>
    <w:p w14:paraId="1DFF5228" w14:textId="77777777" w:rsidR="008C3D38" w:rsidRPr="008C3D38" w:rsidRDefault="008C3D38" w:rsidP="008C3D38">
      <w:pPr>
        <w:spacing w:after="0" w:line="276" w:lineRule="auto"/>
        <w:ind w:firstLine="426"/>
        <w:jc w:val="both"/>
        <w:rPr>
          <w:rFonts w:ascii="Verdana" w:eastAsia="Times New Roman" w:hAnsi="Verdana" w:cs="Arial"/>
          <w:lang w:eastAsia="es-CO"/>
        </w:rPr>
      </w:pPr>
      <w:r w:rsidRPr="008C3D38">
        <w:rPr>
          <w:rFonts w:ascii="Verdana" w:eastAsia="Times New Roman" w:hAnsi="Verdana" w:cs="Arial"/>
          <w:lang w:eastAsia="es-CO"/>
        </w:rPr>
        <w:t xml:space="preserve">Sin embargo, la mayor pretensión de esta Ley fue lo regulado en el artículo 7, el cual estable los porcentajes mínimos de compra local a pequeños productores y productores de la agricultura campesina, familiar y comunitaria. En tal sentido, establece las siguientes reglas: </w:t>
      </w:r>
    </w:p>
    <w:p w14:paraId="66FF8F7D" w14:textId="77777777" w:rsidR="008C3D38" w:rsidRPr="008C3D38" w:rsidRDefault="008C3D38" w:rsidP="008C3D38">
      <w:pPr>
        <w:spacing w:after="0" w:line="276" w:lineRule="auto"/>
        <w:ind w:left="426" w:right="758"/>
        <w:jc w:val="both"/>
        <w:rPr>
          <w:rFonts w:ascii="Verdana" w:eastAsia="Times New Roman" w:hAnsi="Verdana" w:cs="Arial"/>
          <w:lang w:eastAsia="es-CO"/>
        </w:rPr>
      </w:pPr>
    </w:p>
    <w:p w14:paraId="75309FC6"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“i) las entidades que están sujetas al ámbito de aplicación de esta ley tienen la obligación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p>
    <w:p w14:paraId="656E6850"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p>
    <w:p w14:paraId="57A4A8CA"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ii)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p>
    <w:p w14:paraId="62EC4484"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p>
    <w:p w14:paraId="1D0D74D1"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iii)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284728E1"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p>
    <w:p w14:paraId="4CF806FF"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iv)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 </w:t>
      </w:r>
    </w:p>
    <w:p w14:paraId="62313482" w14:textId="77777777" w:rsidR="008C3D38" w:rsidRPr="008C3D38" w:rsidRDefault="008C3D38" w:rsidP="008C3D38">
      <w:pPr>
        <w:spacing w:after="0" w:line="276" w:lineRule="auto"/>
        <w:jc w:val="both"/>
        <w:rPr>
          <w:rFonts w:ascii="Verdana" w:eastAsia="Times New Roman" w:hAnsi="Verdana" w:cs="Arial"/>
          <w:lang w:eastAsia="es-CO"/>
        </w:rPr>
      </w:pPr>
      <w:r w:rsidRPr="008C3D38">
        <w:rPr>
          <w:rFonts w:ascii="Verdana" w:eastAsia="Times New Roman" w:hAnsi="Verdana" w:cs="Arial"/>
          <w:lang w:eastAsia="es-CO"/>
        </w:rPr>
        <w:t xml:space="preserve"> </w:t>
      </w:r>
    </w:p>
    <w:p w14:paraId="14B85132" w14:textId="77777777" w:rsidR="008C3D38" w:rsidRPr="008C3D38" w:rsidRDefault="008C3D38" w:rsidP="008C3D38">
      <w:pPr>
        <w:spacing w:after="120" w:line="276" w:lineRule="auto"/>
        <w:ind w:firstLine="426"/>
        <w:jc w:val="both"/>
        <w:rPr>
          <w:rFonts w:ascii="Verdana" w:eastAsia="Times New Roman" w:hAnsi="Verdana" w:cs="Arial"/>
          <w:lang w:eastAsia="es-CO"/>
        </w:rPr>
      </w:pPr>
      <w:r w:rsidRPr="008C3D38">
        <w:rPr>
          <w:rFonts w:ascii="Verdana" w:eastAsia="Times New Roman" w:hAnsi="Verdana" w:cs="Arial"/>
          <w:lang w:eastAsia="es-CO"/>
        </w:rPr>
        <w:t>Seguidamente, los demás artículos de la Ley 2046 de 2020 tratan temas varios como: i) diseño y adecuación de minutas alimentarias y menú –artículo 8–, ii) especificaciones técnicas de los productos –artículo 9–, iii) pago de las compras realizadas a productores de la agricultura campesina, familiar y comunitaria –artículo 10–, iv) sistema público de información alimentaria de pequeños productores locales y de productores de la agricultura campesina, familiar y comunitaria y sus organizaciones –artículo 11–, v) informes de cumplimiento al Congreso de la República –artículo 12– y vi) mecanismos de monitoreo y vigilancia –artículo 13–.</w:t>
      </w:r>
    </w:p>
    <w:p w14:paraId="7E0FA934" w14:textId="77777777" w:rsidR="008C3D38" w:rsidRPr="008C3D38" w:rsidRDefault="008C3D38" w:rsidP="008C3D38">
      <w:pPr>
        <w:spacing w:after="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En el marco de la Ley 2046 de 2020, se expidió el Decreto 248 del 9 de marzo de 2021, “Por el cual se adiciona la Parte 20 al Libro 2 del Decreto 1071 de 2015, Decreto Único Reglamentario del Sector Administrativo Agropecuario, Pesquero y de Desarrollo Rural, relacionado con las compras públicas de alimentos”. En la memoria justificativa de este decreto se expresó: </w:t>
      </w:r>
    </w:p>
    <w:p w14:paraId="39DB1904" w14:textId="77777777" w:rsidR="008C3D38" w:rsidRPr="008C3D38" w:rsidRDefault="008C3D38" w:rsidP="008C3D38">
      <w:pPr>
        <w:spacing w:after="0" w:line="276" w:lineRule="auto"/>
        <w:jc w:val="both"/>
        <w:rPr>
          <w:rFonts w:ascii="Verdana" w:eastAsia="Times New Roman" w:hAnsi="Verdana" w:cs="Arial"/>
          <w:lang w:eastAsia="es-CO"/>
        </w:rPr>
      </w:pPr>
    </w:p>
    <w:p w14:paraId="255B824D" w14:textId="77777777" w:rsidR="008C3D38" w:rsidRPr="008C3D38" w:rsidRDefault="008C3D38" w:rsidP="008C3D38">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lastRenderedPageBreak/>
        <w:t xml:space="preserve">“La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Comunitaria, que contiene, una seria de medidas para estimular el mercadeo de los productos campesinos, ordenando entre otras, el diseño e implementación progresiva de un mecanismo de compras públicas para atender la demanda de las entidades y programas institucionales, que de manera descentralizada, que fomente la producción local para apoyar la comercialización y absorción de la producción de la economía campesina familiar y comunitaria”. </w:t>
      </w:r>
    </w:p>
    <w:p w14:paraId="42A28144" w14:textId="77777777" w:rsidR="008C3D38" w:rsidRPr="008C3D38" w:rsidRDefault="008C3D38" w:rsidP="008C3D38">
      <w:pPr>
        <w:spacing w:after="0" w:line="276" w:lineRule="auto"/>
        <w:jc w:val="both"/>
        <w:rPr>
          <w:rFonts w:ascii="Verdana" w:eastAsia="Times New Roman" w:hAnsi="Verdana" w:cs="Arial"/>
          <w:lang w:eastAsia="es-CO"/>
        </w:rPr>
      </w:pPr>
    </w:p>
    <w:p w14:paraId="6F45D781" w14:textId="77777777" w:rsidR="008C3D38" w:rsidRPr="008C3D38" w:rsidRDefault="008C3D38" w:rsidP="008C3D38">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ab/>
        <w:t>Este reglamento adiciona la Parte 20 del Libro 2 del Decreto 1071 de 2015, el cual desarrolla el sistema de compra pública de alimentos. También detalla varios aspectos como las definiciones, el mínimo de compras públicas de alimentos y suministros, los puntajes adicionales obligatorios dentro de los procesos de contratación y los puntajes adicionales facultativos, entre otros.</w:t>
      </w:r>
    </w:p>
    <w:p w14:paraId="65696CD7" w14:textId="77777777" w:rsidR="008C3D38" w:rsidRPr="008C3D38" w:rsidRDefault="008C3D38" w:rsidP="008C3D38">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 xml:space="preserve"> </w:t>
      </w:r>
      <w:r w:rsidRPr="008C3D38">
        <w:rPr>
          <w:rFonts w:ascii="Verdana" w:eastAsia="Times New Roman" w:hAnsi="Verdana" w:cs="Arial"/>
          <w:lang w:eastAsia="es-CO"/>
        </w:rPr>
        <w:tab/>
        <w:t xml:space="preserve">Dentro de estas reglas, es importante señalar que el artículo 2.20.1.1.3. del Decreto 1071 de 2015 dispuso que 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el deber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w:t>
      </w:r>
    </w:p>
    <w:p w14:paraId="18817369"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Asimismo, dispone que en el evento que la oferta de alimentos producidos por pequeños productores y/o productores de la Agricultura Campesina, Familiar o Comunitaria local sea inferior al treinta por ciento (30%), las entidades deben informar de esta situación a la Secretaría Técnica de la Mesa Técnica Nacional de Compras Públicas Locales en el término máximo de cinco (5) días hábiles siguientes una vez advertida la situación. Recibida la comunicación de parte de </w:t>
      </w:r>
      <w:r w:rsidRPr="008C3D38">
        <w:rPr>
          <w:rFonts w:ascii="Verdana" w:eastAsia="Times New Roman" w:hAnsi="Verdana" w:cs="Arial"/>
          <w:lang w:eastAsia="es-CO"/>
        </w:rPr>
        <w:lastRenderedPageBreak/>
        <w:t>la entidad contratante, la Secretaría Técnica de la Mesa tendrá cinco (5) días hábiles para realizar las gestiones necesarias para otorgar un listado de pequeños productores y/o productores de la Agricultura Campesina, Familiar o Comunitaria no locales a quienes puede acudir para suplir el porcentaje restante.</w:t>
      </w:r>
    </w:p>
    <w:p w14:paraId="39354DEC" w14:textId="77777777" w:rsidR="008C3D38" w:rsidRPr="008C3D38" w:rsidRDefault="008C3D38" w:rsidP="008C3D38">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ab/>
        <w:t xml:space="preserve">En este punto, resulta pertinente señalar que el artículo 2.20.1.1.3. </w:t>
      </w:r>
      <w:r w:rsidRPr="008C3D38">
        <w:rPr>
          <w:rFonts w:ascii="Verdana" w:eastAsia="Times New Roman" w:hAnsi="Verdana" w:cs="Arial"/>
          <w:i/>
          <w:lang w:eastAsia="es-CO"/>
        </w:rPr>
        <w:t>ibidem</w:t>
      </w:r>
      <w:r w:rsidRPr="008C3D38">
        <w:rPr>
          <w:rFonts w:ascii="Verdana" w:eastAsia="Times New Roman" w:hAnsi="Verdana" w:cs="Arial"/>
          <w:lang w:eastAsia="es-CO"/>
        </w:rPr>
        <w:t xml:space="preserve"> debe interpretarse de forma sistemática con la Ley 2046 de 2020, la cual como se señaló en el acápite anterior, busca establecer una serie de instrumentos tendientes a que en todos los programas de adquisición, suministro y distribución de alimentos con cargo a recursos públicos se promueva la participación de pequeños productores locales agropecuarios cuyos sistemas productivos pertenezcan a la Agricultura Campesina, Familiar y Comunitaria, o de sus organizaciones legalmente constituidas y los artículos 64 y 65 de la Constitución Política de Colombia. </w:t>
      </w:r>
    </w:p>
    <w:p w14:paraId="4CFB3B36" w14:textId="77777777" w:rsidR="008C3D38" w:rsidRPr="008C3D38" w:rsidRDefault="008C3D38" w:rsidP="008C3D38">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ab/>
        <w:t xml:space="preserve">Ahora bien, respecto a los puntajes previstos en los artículos 2.20.1.2.1, 2.20.1.2.2 y 2.20.1.2.3 del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productores agropecuarios nacionales, los cuales están definidos en el literal d) del artículo 2.20.1.1.1 ibidem como las personas cuyo sistema de producción se encuentra ubicado en el territorio nacional. </w:t>
      </w:r>
    </w:p>
    <w:p w14:paraId="5D1B76B5"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Conforme a los artículos 2.20.1.2.1 y 2.20.1.2.2 del reglamento, estos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01A5F3C5"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En este contexto, el artículo 2.20.1.2.1 del Decreto 1071 de 2015 consagra los criterios de aplicación obligatoria que deben ser incorporados por las entidades estatales en los procesos de selección que tengan por objeto la adquisición de productos agropecuarios para programas institucionales de alimentación. Dentro de dichos criterios, el literal b) prevé la asignación de un </w:t>
      </w:r>
      <w:r w:rsidRPr="008C3D38">
        <w:rPr>
          <w:rFonts w:ascii="Verdana" w:eastAsia="Times New Roman" w:hAnsi="Verdana" w:cs="Arial"/>
          <w:lang w:eastAsia="es-CO"/>
        </w:rPr>
        <w:lastRenderedPageBreak/>
        <w:t>puntaje adicional obligatorio cuando el oferente tenga la calidad de proveedor directo.</w:t>
      </w:r>
    </w:p>
    <w:p w14:paraId="56858343"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Ahora bien, del tenor literal de la norma se advierte que el Decreto no concibe la categoría de proveedor directo como una condición autónoma o independiente, sino que define expresamente su alcance al señalar que dicha calidad se predica de quien sea pequeño productor agropecuario y/o productor de la Agricultura Campesina, Familiar y Comunitaria (ACFC), y/o de sus organizaciones. En consecuencia, la condición de proveedor directo se encuentra jurídicamente vinculada a la participación directa del oferente en la actividad productiva agropecuaria, y no a la simple comercialización o intermediación de los bienes.</w:t>
      </w:r>
    </w:p>
    <w:p w14:paraId="5B09921B"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Así, la interpretación sistemática del literal b) del artículo 2.20.1.2.1 permite concluir que el propósito del incentivo normativo es favorecer la contratación con sujetos que intervienen directamente en la producción de los alimentos, ya sea de manera individual como pequeños productores o productores de la ACFC, o de forma asociativa a través de organizaciones conformadas por estos, garantizando que el beneficio del puntaje adicional recaiga sobre quienes hacen parte efectiva de la base productiva rural.</w:t>
      </w:r>
    </w:p>
    <w:p w14:paraId="19370947"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Bajo este entendimiento, no resulta procedente extender la noción de proveedor directo a oferentes que, aun participando en el proceso de contratación, no acrediten su calidad de pequeños productores o productores de la ACFC, ni la de organización de estos, por cuanto ello desnaturalizaría la finalidad del esquema de puntajes establecido por el Decreto 248 de 2021, cuyo objetivo es promover la inclusión de la Agricultura Campesina, Familiar y Comunitaria y de los pequeños productores agropecuarios en las compras públicas de alimentos.</w:t>
      </w:r>
    </w:p>
    <w:p w14:paraId="6F6B98BF" w14:textId="77777777" w:rsidR="008C3D38" w:rsidRPr="008C3D38" w:rsidRDefault="008C3D38" w:rsidP="008C3D38">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En consecuencia, para efectos de la aplicación del puntaje adicional previsto en el literal b) del artículo 2.20.1.2.1 del Decreto 1071 de 2015, la calidad de proveedor directo debe entenderse acreditada únicamente cuando el oferente demuestre su condición de pequeño productor agropecuario, productor de la Agricultura Campesina, Familiar y Comunitaria, o de organización integrada por estos, en los términos previstos por la normativa vigente.</w:t>
      </w:r>
    </w:p>
    <w:p w14:paraId="0DCFBAD2" w14:textId="77777777" w:rsidR="008C3D38" w:rsidRPr="008C3D38" w:rsidRDefault="008C3D38" w:rsidP="008C3D38">
      <w:pPr>
        <w:spacing w:after="120" w:line="276" w:lineRule="auto"/>
        <w:ind w:firstLine="709"/>
        <w:jc w:val="both"/>
        <w:rPr>
          <w:rFonts w:ascii="Verdana" w:eastAsia="Calibri" w:hAnsi="Verdana" w:cs="Times New Roman"/>
          <w:bCs/>
          <w:iCs/>
        </w:rPr>
      </w:pPr>
      <w:r w:rsidRPr="008C3D38">
        <w:rPr>
          <w:rFonts w:ascii="Verdana" w:eastAsia="Calibri" w:hAnsi="Verdana" w:cs="Times New Roman"/>
          <w:bCs/>
          <w:iCs/>
        </w:rPr>
        <w:t>Ahora bien, en el evento de que no se cumplan las obligaciones dispuestas en esta normatividad por parte de las entidades</w:t>
      </w:r>
      <w:r w:rsidRPr="008C3D38">
        <w:rPr>
          <w:rFonts w:ascii="Verdana" w:eastAsia="Calibri" w:hAnsi="Verdana" w:cs="Times New Roman"/>
          <w:bCs/>
          <w:iCs/>
          <w:lang w:val="es-ES"/>
        </w:rPr>
        <w:t xml:space="preserve">, hay que tener en cuenta el </w:t>
      </w:r>
      <w:r w:rsidRPr="008C3D38">
        <w:rPr>
          <w:rFonts w:ascii="Verdana" w:eastAsia="Calibri" w:hAnsi="Verdana" w:cs="Times New Roman"/>
          <w:bCs/>
          <w:iCs/>
          <w:lang w:val="es-ES"/>
        </w:rPr>
        <w:lastRenderedPageBreak/>
        <w:t>artículo 50 de la Ley 80 de 1993, que dispone: “</w:t>
      </w:r>
      <w:r w:rsidRPr="008C3D38">
        <w:rPr>
          <w:rFonts w:ascii="Verdana" w:eastAsia="Calibri" w:hAnsi="Verdana" w:cs="Times New Roman"/>
          <w:bCs/>
          <w:iCs/>
        </w:rPr>
        <w:t xml:space="preserve">Las entidades responderán por las actuaciones, abstenciones, hechos y omisiones antijurídicos que les sean imputables y que causen perjuicios a sus contratistas. En tales casos deberán indemnizar la disminución patrimonial que se ocasione, la prolongación de la misma y la ganancia, beneficio o provecho dejados de percibir por el contratista”. Así mismo, en torno a la responsabilidad de los servidores públicos, el artículo 51 de la Ley 80 de 1993 dispone: “[…] El servidor público responderá disciplinaria, civil y penalmente por sus acciones y omisiones en la actuación contractual en los términos de la Constitución y de la ley”. Bajo esta perspectiva, las entidades y servidores públicos deben responder por las actuaciones, hechos y omisiones en el ejercicio de sus funciones que se enmarcan dentro del proceso de contratación respectivo. </w:t>
      </w:r>
    </w:p>
    <w:p w14:paraId="753EBF43" w14:textId="77777777" w:rsidR="008C3D38" w:rsidRPr="008C3D38" w:rsidRDefault="008C3D38" w:rsidP="008C3D38">
      <w:pPr>
        <w:spacing w:after="0" w:line="276" w:lineRule="auto"/>
        <w:jc w:val="both"/>
        <w:rPr>
          <w:rFonts w:ascii="Verdana" w:eastAsia="Calibri" w:hAnsi="Verdana" w:cs="Arial"/>
          <w:lang w:eastAsia="es-MX"/>
        </w:rPr>
      </w:pPr>
    </w:p>
    <w:p w14:paraId="033C574B" w14:textId="77777777" w:rsidR="008C3D38" w:rsidRPr="008C3D38" w:rsidRDefault="008C3D38" w:rsidP="008C3D38">
      <w:pPr>
        <w:spacing w:after="120" w:line="276" w:lineRule="auto"/>
        <w:jc w:val="both"/>
        <w:rPr>
          <w:rFonts w:ascii="Verdana" w:eastAsia="Calibri" w:hAnsi="Verdana" w:cs="Arial"/>
          <w:color w:val="000000" w:themeColor="text1"/>
          <w:lang w:val="es-ES"/>
        </w:rPr>
      </w:pPr>
      <w:r w:rsidRPr="008C3D38">
        <w:rPr>
          <w:rFonts w:ascii="Verdana" w:eastAsia="Calibri" w:hAnsi="Verdana" w:cs="Arial"/>
          <w:color w:val="000000" w:themeColor="text1"/>
          <w:lang w:val="es-ES"/>
        </w:rPr>
        <w:t xml:space="preserve">iv. Al </w:t>
      </w:r>
      <w:r w:rsidRPr="008C3D38">
        <w:rPr>
          <w:rFonts w:ascii="Verdana" w:hAnsi="Verdana" w:cs="Arial"/>
          <w:lang w:val="es-ES_tradnl" w:eastAsia="es-ES"/>
        </w:rPr>
        <w:t>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ED85BA" w14:textId="77777777" w:rsidR="008C3D38" w:rsidRPr="008C3D38" w:rsidRDefault="008C3D38" w:rsidP="008C3D38">
      <w:pPr>
        <w:spacing w:after="0" w:line="276" w:lineRule="auto"/>
        <w:ind w:firstLine="709"/>
        <w:jc w:val="both"/>
        <w:rPr>
          <w:rFonts w:ascii="Verdana" w:hAnsi="Verdana" w:cs="Arial"/>
          <w:lang w:val="es-ES" w:eastAsia="es-ES"/>
        </w:rPr>
      </w:pPr>
      <w:r w:rsidRPr="008C3D38">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F301439" w14:textId="77777777" w:rsidR="008C3D38" w:rsidRPr="008C3D38" w:rsidRDefault="008C3D38" w:rsidP="008C3D38">
      <w:pPr>
        <w:spacing w:after="0" w:line="276" w:lineRule="auto"/>
        <w:jc w:val="both"/>
        <w:rPr>
          <w:rFonts w:ascii="Verdana" w:eastAsia="Calibri" w:hAnsi="Verdana" w:cs="Arial"/>
          <w:lang w:eastAsia="es-MX"/>
        </w:rPr>
      </w:pPr>
    </w:p>
    <w:p w14:paraId="7284D5E0" w14:textId="77777777" w:rsidR="008C3D38" w:rsidRPr="008C3D38" w:rsidRDefault="008C3D38" w:rsidP="008C3D3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C3D38">
        <w:rPr>
          <w:rFonts w:ascii="Verdana" w:eastAsia="Century Gothic" w:hAnsi="Verdana" w:cs="Century Gothic"/>
          <w:b/>
          <w:bCs/>
          <w:lang w:val="es-ES"/>
        </w:rPr>
        <w:t>Referencias normativas:</w:t>
      </w:r>
    </w:p>
    <w:p w14:paraId="6D0DE649" w14:textId="77777777" w:rsidR="008C3D38" w:rsidRPr="008C3D38" w:rsidRDefault="008C3D38" w:rsidP="008C3D38">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3D38" w:rsidRPr="008C3D38" w14:paraId="075A21A9" w14:textId="77777777" w:rsidTr="002C7923">
        <w:trPr>
          <w:trHeight w:val="487"/>
          <w:jc w:val="center"/>
        </w:trPr>
        <w:tc>
          <w:tcPr>
            <w:tcW w:w="8647" w:type="dxa"/>
          </w:tcPr>
          <w:p w14:paraId="49487EB9"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lastRenderedPageBreak/>
              <w:t>Constitución Política, artículos 150, 218 y 352.</w:t>
            </w:r>
          </w:p>
          <w:p w14:paraId="7D3250F3"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 xml:space="preserve">Ley 80 de 1993, artículo 2. </w:t>
            </w:r>
          </w:p>
          <w:p w14:paraId="0E588100"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Decreto 111 de 1996, artículos 36 y 110.</w:t>
            </w:r>
          </w:p>
          <w:p w14:paraId="7459A740"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 xml:space="preserve">Ley 1150 de 2007, artículo 2. </w:t>
            </w:r>
          </w:p>
          <w:p w14:paraId="2E7242AE"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 xml:space="preserve">Ley 1955 de 2019: Artículo 229 </w:t>
            </w:r>
          </w:p>
          <w:p w14:paraId="7074CD92"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 xml:space="preserve">Ley 2046 de 2020: Artículo 7, 8, 9, 10, 11,12 y 13 </w:t>
            </w:r>
          </w:p>
          <w:p w14:paraId="4BFF5B5D"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Decreto 248 de 2021: Artículo 2.20.1.2.1.</w:t>
            </w:r>
          </w:p>
          <w:p w14:paraId="1E60EC68" w14:textId="77777777" w:rsidR="008C3D38" w:rsidRPr="008C3D38" w:rsidRDefault="008C3D38" w:rsidP="008C3D3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eastAsia="es-ES" w:bidi="es-ES"/>
              </w:rPr>
              <w:t xml:space="preserve">Decreto 1071 de 2015: Artículo 2.20.1.1.3. </w:t>
            </w:r>
            <w:r w:rsidRPr="008C3D38">
              <w:rPr>
                <w:rFonts w:ascii="Verdana" w:eastAsia="Arial MT" w:hAnsi="Verdana" w:cs="Arial"/>
                <w:lang w:val="es-MX" w:eastAsia="es-ES" w:bidi="es-ES"/>
              </w:rPr>
              <w:t xml:space="preserve"> </w:t>
            </w:r>
          </w:p>
        </w:tc>
      </w:tr>
    </w:tbl>
    <w:p w14:paraId="27C9F5A3" w14:textId="77777777" w:rsidR="008C3D38" w:rsidRPr="008C3D38" w:rsidRDefault="008C3D38" w:rsidP="008C3D38">
      <w:pPr>
        <w:widowControl w:val="0"/>
        <w:autoSpaceDE w:val="0"/>
        <w:autoSpaceDN w:val="0"/>
        <w:spacing w:after="0" w:line="276" w:lineRule="auto"/>
        <w:jc w:val="both"/>
        <w:rPr>
          <w:rFonts w:ascii="Verdana" w:hAnsi="Verdana" w:cs="Arial"/>
        </w:rPr>
      </w:pPr>
    </w:p>
    <w:p w14:paraId="09E12C42" w14:textId="77777777" w:rsidR="008C3D38" w:rsidRPr="008C3D38" w:rsidRDefault="008C3D38" w:rsidP="008C3D3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C3D38">
        <w:rPr>
          <w:rFonts w:ascii="Verdana" w:eastAsia="Century Gothic" w:hAnsi="Verdana" w:cs="Century Gothic"/>
          <w:b/>
          <w:bCs/>
          <w:lang w:val="es-ES"/>
        </w:rPr>
        <w:t>Doctrina de la Agencia Nacional de Contratación Pública:</w:t>
      </w:r>
    </w:p>
    <w:p w14:paraId="1E6BA2BD" w14:textId="77777777" w:rsidR="008C3D38" w:rsidRPr="008C3D38" w:rsidRDefault="008C3D38" w:rsidP="008C3D38">
      <w:pPr>
        <w:widowControl w:val="0"/>
        <w:autoSpaceDE w:val="0"/>
        <w:autoSpaceDN w:val="0"/>
        <w:spacing w:after="0" w:line="276" w:lineRule="auto"/>
        <w:jc w:val="both"/>
        <w:rPr>
          <w:rFonts w:ascii="Verdana" w:hAnsi="Verdana" w:cs="Arial"/>
        </w:rPr>
      </w:pPr>
    </w:p>
    <w:p w14:paraId="224F006F" w14:textId="77777777" w:rsidR="008C3D38" w:rsidRPr="008C3D38" w:rsidRDefault="008C3D38" w:rsidP="008C3D38">
      <w:pPr>
        <w:spacing w:after="0" w:line="276" w:lineRule="auto"/>
        <w:jc w:val="both"/>
        <w:rPr>
          <w:rFonts w:ascii="Verdana" w:eastAsia="Calibri" w:hAnsi="Verdana" w:cs="Arial"/>
          <w:lang w:val="es-ES"/>
        </w:rPr>
      </w:pPr>
      <w:r w:rsidRPr="008C3D38">
        <w:rPr>
          <w:rFonts w:ascii="Verdana" w:hAnsi="Verdana" w:cs="Arial"/>
          <w:shd w:val="clear" w:color="auto" w:fill="FFFFFF"/>
          <w:lang w:val="es-ES"/>
        </w:rPr>
        <w:t>La Agencia Nacional de Contratación Pública – Colombia Compra Eficiente</w:t>
      </w:r>
      <w:r w:rsidRPr="008C3D38">
        <w:rPr>
          <w:rFonts w:ascii="Verdana" w:eastAsia="Aptos" w:hAnsi="Verdana" w:cs="Arial"/>
          <w:shd w:val="clear" w:color="auto" w:fill="FFFFFF"/>
          <w:lang w:val="es-ES"/>
        </w:rPr>
        <w:t xml:space="preserve"> se pronunció esta Subdirección en los conceptos</w:t>
      </w:r>
      <w:r w:rsidRPr="008C3D38">
        <w:rPr>
          <w:rFonts w:ascii="Verdana" w:hAnsi="Verdana" w:cs="Arial"/>
          <w:shd w:val="clear" w:color="auto" w:fill="FFFFFF"/>
          <w:lang w:val="es-ES"/>
        </w:rPr>
        <w:t xml:space="preserve"> la promoción de las compras públicas de alimentos y los incentivos contractuales en los conceptos C-301 de 19 de junio de 2022 y C-810 del 25 de noviembre de 2022, C-410 del 6 de octubre de 2023, C-077 del 26 de abril de 2024, C-1657 del 19 de diciembre de 2025, C-1664 del 20 de diciembre de 2026, entre otros. </w:t>
      </w:r>
      <w:r w:rsidRPr="008C3D3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BD058A6" w14:textId="77777777" w:rsidR="008C3D38" w:rsidRPr="008C3D38" w:rsidRDefault="008C3D38" w:rsidP="008C3D38">
      <w:pPr>
        <w:spacing w:after="0" w:line="256" w:lineRule="auto"/>
        <w:jc w:val="both"/>
        <w:rPr>
          <w:rFonts w:ascii="Verdana" w:eastAsia="Calibri" w:hAnsi="Verdana" w:cs="Times New Roman"/>
        </w:rPr>
      </w:pPr>
      <w:hyperlink r:id="rId13" w:history="1">
        <w:r w:rsidRPr="008C3D38">
          <w:rPr>
            <w:rFonts w:ascii="Verdana" w:eastAsia="Calibri" w:hAnsi="Verdana" w:cs="Times New Roman"/>
            <w:color w:val="0000FF"/>
            <w:u w:val="single"/>
            <w:lang w:val="es-ES"/>
          </w:rPr>
          <w:t>https://relatoria.colombiacompra.gov.co/busqueda/conceptos</w:t>
        </w:r>
      </w:hyperlink>
      <w:r w:rsidRPr="008C3D38">
        <w:rPr>
          <w:rFonts w:ascii="Verdana" w:eastAsia="Calibri" w:hAnsi="Verdana" w:cs="Times New Roman"/>
        </w:rPr>
        <w:t xml:space="preserve">. </w:t>
      </w:r>
    </w:p>
    <w:p w14:paraId="12E5A63C" w14:textId="77777777" w:rsidR="008C3D38" w:rsidRPr="008C3D38" w:rsidRDefault="008C3D38" w:rsidP="008C3D38">
      <w:pPr>
        <w:spacing w:after="0"/>
        <w:jc w:val="both"/>
        <w:rPr>
          <w:rFonts w:ascii="Verdana" w:hAnsi="Verdana"/>
        </w:rPr>
      </w:pPr>
    </w:p>
    <w:p w14:paraId="0F26FBAE" w14:textId="77777777" w:rsidR="008C3D38" w:rsidRPr="008C3D38" w:rsidRDefault="008C3D38" w:rsidP="008C3D38">
      <w:pPr>
        <w:spacing w:after="0"/>
        <w:jc w:val="both"/>
      </w:pPr>
      <w:r w:rsidRPr="008C3D38">
        <w:rPr>
          <w:rFonts w:ascii="Verdana" w:hAnsi="Verdana"/>
        </w:rPr>
        <w:t xml:space="preserve">La sostenibilidad no es una opción, es una obligación. Por ello, la Agencia Nacional de Contratación Pública –Colombia Compra Eficiente– te invita a realizar el </w:t>
      </w:r>
      <w:r w:rsidRPr="008C3D38">
        <w:rPr>
          <w:rFonts w:ascii="Verdana" w:hAnsi="Verdana"/>
          <w:b/>
          <w:bCs/>
        </w:rPr>
        <w:t>Curso de Contratación Pública Sostenible y Socialmente Responsable</w:t>
      </w:r>
      <w:r w:rsidRPr="008C3D38">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8C3D38">
        <w:rPr>
          <w:rFonts w:ascii="Verdana" w:hAnsi="Verdana"/>
        </w:rPr>
        <w:br/>
      </w:r>
      <w:hyperlink r:id="rId14" w:tgtFrame="_new" w:history="1">
        <w:r w:rsidRPr="008C3D38">
          <w:rPr>
            <w:rFonts w:ascii="Verdana" w:hAnsi="Verdana"/>
            <w:color w:val="0000FF"/>
            <w:u w:val="single"/>
          </w:rPr>
          <w:t>https://formacionvirtual.colombiacompra.gov.co/mod/page/view.php?id=3718</w:t>
        </w:r>
      </w:hyperlink>
    </w:p>
    <w:p w14:paraId="6591F84F" w14:textId="77777777" w:rsidR="008C3D38" w:rsidRPr="008C3D38" w:rsidRDefault="008C3D38" w:rsidP="008C3D38">
      <w:pPr>
        <w:spacing w:after="0"/>
        <w:jc w:val="both"/>
        <w:rPr>
          <w:rFonts w:ascii="Verdana" w:hAnsi="Verdana"/>
        </w:rPr>
      </w:pPr>
    </w:p>
    <w:p w14:paraId="2BEFCE16" w14:textId="77777777" w:rsidR="008C3D38" w:rsidRPr="008C3D38" w:rsidRDefault="008C3D38" w:rsidP="008C3D38">
      <w:pPr>
        <w:spacing w:after="0"/>
        <w:jc w:val="both"/>
      </w:pPr>
      <w:r w:rsidRPr="008C3D38">
        <w:rPr>
          <w:rFonts w:ascii="Verdana" w:hAnsi="Verdana"/>
        </w:rPr>
        <w:lastRenderedPageBreak/>
        <w:t xml:space="preserve">De otro lado, te contamos que esta Agencia ha da un paso decisivo en la estandarización y modernización del </w:t>
      </w:r>
      <w:r w:rsidRPr="008C3D38">
        <w:rPr>
          <w:rFonts w:ascii="Verdana" w:hAnsi="Verdana"/>
          <w:b/>
          <w:bCs/>
        </w:rPr>
        <w:t>sector  social</w:t>
      </w:r>
      <w:r w:rsidRPr="008C3D38">
        <w:rPr>
          <w:rFonts w:ascii="Verdana" w:hAnsi="Verdana"/>
        </w:rPr>
        <w:t xml:space="preserve"> con la expedición de las </w:t>
      </w:r>
      <w:r w:rsidRPr="008C3D38">
        <w:rPr>
          <w:rFonts w:ascii="Verdana" w:hAnsi="Verdana"/>
          <w:b/>
          <w:bCs/>
        </w:rPr>
        <w:t>Resoluciones 539, 540, 541, 952 y 953 de 2025</w:t>
      </w:r>
      <w:r w:rsidRPr="008C3D38">
        <w:rPr>
          <w:rFonts w:ascii="Verdana" w:hAnsi="Verdana"/>
        </w:rPr>
        <w:t xml:space="preserve">, </w:t>
      </w:r>
      <w:r w:rsidRPr="008C3D38">
        <w:rPr>
          <w:rFonts w:ascii="Verdana" w:hAnsi="Verdana"/>
          <w:b/>
          <w:bCs/>
        </w:rPr>
        <w:t>mediante las cuales adoptó Documentos Tipo</w:t>
      </w:r>
      <w:r w:rsidRPr="008C3D38">
        <w:rPr>
          <w:rFonts w:ascii="Verdana" w:hAnsi="Verdana"/>
        </w:rPr>
        <w:t xml:space="preserve"> para las modalidades de selección de</w:t>
      </w:r>
      <w:r w:rsidRPr="008C3D38">
        <w:rPr>
          <w:rFonts w:ascii="Verdana" w:hAnsi="Verdana"/>
          <w:b/>
          <w:bCs/>
        </w:rPr>
        <w:t xml:space="preserve"> licitación pública (versión 2), selección abreviada de menor cuantía, mínima cuantía, consultoría e interventoría</w:t>
      </w:r>
      <w:r w:rsidRPr="008C3D38">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8C3D38">
          <w:rPr>
            <w:rFonts w:ascii="Verdana" w:hAnsi="Verdana"/>
            <w:color w:val="0000FF"/>
            <w:u w:val="single"/>
          </w:rPr>
          <w:t>https://www.colombiacompra.gov.co/normativa-y-relatoria/documentos-tipo</w:t>
        </w:r>
      </w:hyperlink>
    </w:p>
    <w:p w14:paraId="29C1DE3C" w14:textId="77777777" w:rsidR="008C3D38" w:rsidRPr="008C3D38" w:rsidRDefault="008C3D38" w:rsidP="008C3D38">
      <w:pPr>
        <w:spacing w:after="0"/>
        <w:jc w:val="both"/>
        <w:rPr>
          <w:rFonts w:ascii="Verdana" w:hAnsi="Verdana"/>
        </w:rPr>
      </w:pPr>
    </w:p>
    <w:p w14:paraId="0D777F23" w14:textId="77777777" w:rsidR="008C3D38" w:rsidRPr="008C3D38" w:rsidRDefault="008C3D38" w:rsidP="008C3D38">
      <w:pPr>
        <w:spacing w:after="0"/>
        <w:jc w:val="both"/>
        <w:rPr>
          <w:rFonts w:ascii="Verdana" w:hAnsi="Verdana"/>
        </w:rPr>
      </w:pPr>
      <w:r w:rsidRPr="008C3D38">
        <w:rPr>
          <w:rFonts w:ascii="Verdana" w:hAnsi="Verdana"/>
        </w:rPr>
        <w:t xml:space="preserve">Si quieres conocer más sobre la aplicación de Documentos Tipo puedes consultar la última versión de la </w:t>
      </w:r>
      <w:r w:rsidRPr="008C3D38">
        <w:rPr>
          <w:rFonts w:ascii="Verdana" w:hAnsi="Verdana"/>
          <w:b/>
          <w:bCs/>
        </w:rPr>
        <w:t>Guía para la comprensión e implementación de los Documentos Tipo de obra pública de infraestructura de transporte</w:t>
      </w:r>
      <w:r w:rsidRPr="008C3D38">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8C3D38">
        <w:rPr>
          <w:rFonts w:ascii="Verdana" w:hAnsi="Verdana"/>
        </w:rPr>
        <w:br/>
      </w:r>
      <w:hyperlink r:id="rId16" w:tgtFrame="_new" w:history="1">
        <w:r w:rsidRPr="008C3D38">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C55254D" w14:textId="77777777" w:rsidR="008C3D38" w:rsidRPr="008C3D38" w:rsidRDefault="008C3D38" w:rsidP="008C3D38">
      <w:pPr>
        <w:shd w:val="clear" w:color="auto" w:fill="FFFFFF"/>
        <w:spacing w:after="0" w:line="276" w:lineRule="auto"/>
        <w:jc w:val="both"/>
        <w:rPr>
          <w:rFonts w:ascii="Verdana" w:hAnsi="Verdana"/>
          <w:color w:val="000000"/>
          <w:u w:val="single"/>
        </w:rPr>
      </w:pPr>
    </w:p>
    <w:p w14:paraId="2984CEAB" w14:textId="77777777" w:rsidR="008C3D38" w:rsidRPr="008C3D38" w:rsidRDefault="008C3D38" w:rsidP="008C3D38">
      <w:pPr>
        <w:spacing w:after="0"/>
        <w:jc w:val="both"/>
        <w:rPr>
          <w:rFonts w:ascii="Verdana" w:hAnsi="Verdana"/>
        </w:rPr>
      </w:pPr>
      <w:r w:rsidRPr="008C3D38">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6F94BD6" w14:textId="77777777" w:rsidR="008C3D38" w:rsidRPr="008C3D38" w:rsidRDefault="008C3D38" w:rsidP="008C3D38">
      <w:pPr>
        <w:spacing w:after="0"/>
        <w:jc w:val="both"/>
        <w:rPr>
          <w:rFonts w:ascii="Verdana" w:hAnsi="Verdana"/>
        </w:rPr>
      </w:pPr>
    </w:p>
    <w:p w14:paraId="04DF4928" w14:textId="77777777" w:rsidR="008C3D38" w:rsidRPr="008C3D38" w:rsidRDefault="008C3D38" w:rsidP="008C3D38">
      <w:pPr>
        <w:numPr>
          <w:ilvl w:val="0"/>
          <w:numId w:val="15"/>
        </w:numPr>
        <w:spacing w:after="0" w:line="240" w:lineRule="auto"/>
        <w:contextualSpacing/>
        <w:jc w:val="both"/>
        <w:rPr>
          <w:rFonts w:ascii="Verdana" w:eastAsia="Verdana" w:hAnsi="Verdana" w:cs="Verdana"/>
          <w:color w:val="4472C4" w:themeColor="accent1"/>
          <w:u w:val="single"/>
          <w:lang w:val="es-ES"/>
        </w:rPr>
      </w:pPr>
      <w:r w:rsidRPr="008C3D38">
        <w:rPr>
          <w:rFonts w:ascii="Verdana" w:eastAsia="Verdana" w:hAnsi="Verdana" w:cs="Verdana"/>
          <w:lang w:val="es-ES"/>
        </w:rPr>
        <w:t xml:space="preserve">Línea nacional gratuita o servicio a la ciudadanía (Mesa de servicio): </w:t>
      </w:r>
      <w:r w:rsidRPr="008C3D38">
        <w:rPr>
          <w:rFonts w:ascii="Verdana" w:hAnsi="Verdana"/>
          <w:color w:val="0000FF"/>
          <w:u w:val="single"/>
          <w:lang w:val="es-ES"/>
        </w:rPr>
        <w:t>01800 0520808</w:t>
      </w:r>
    </w:p>
    <w:p w14:paraId="0506330A" w14:textId="77777777" w:rsidR="008C3D38" w:rsidRPr="008C3D38" w:rsidRDefault="008C3D38" w:rsidP="008C3D38">
      <w:pPr>
        <w:numPr>
          <w:ilvl w:val="0"/>
          <w:numId w:val="15"/>
        </w:numPr>
        <w:spacing w:after="0"/>
        <w:contextualSpacing/>
        <w:rPr>
          <w:rFonts w:ascii="Verdana" w:eastAsia="Verdana" w:hAnsi="Verdana" w:cs="Verdana"/>
          <w:color w:val="4472C4" w:themeColor="accent1"/>
          <w:u w:val="single"/>
          <w:lang w:val="es-ES"/>
        </w:rPr>
      </w:pPr>
      <w:r w:rsidRPr="008C3D38">
        <w:rPr>
          <w:rFonts w:ascii="Verdana" w:eastAsia="Verdana" w:hAnsi="Verdana" w:cs="Verdana"/>
          <w:lang w:val="es-ES"/>
        </w:rPr>
        <w:t>Línea en Bogotá (Mesa de servicio</w:t>
      </w:r>
      <w:proofErr w:type="gramStart"/>
      <w:r w:rsidRPr="008C3D38">
        <w:rPr>
          <w:rFonts w:ascii="Verdana" w:eastAsia="Verdana" w:hAnsi="Verdana" w:cs="Verdana"/>
          <w:lang w:val="es-ES"/>
        </w:rPr>
        <w:t>):</w:t>
      </w:r>
      <w:r w:rsidRPr="008C3D38">
        <w:rPr>
          <w:rFonts w:ascii="Verdana" w:hAnsi="Verdana"/>
          <w:color w:val="0000FF"/>
          <w:u w:val="single"/>
          <w:lang w:val="es-ES"/>
        </w:rPr>
        <w:t>+</w:t>
      </w:r>
      <w:proofErr w:type="gramEnd"/>
      <w:r w:rsidRPr="008C3D38">
        <w:rPr>
          <w:rFonts w:ascii="Verdana" w:hAnsi="Verdana"/>
          <w:color w:val="0000FF"/>
          <w:u w:val="single"/>
          <w:lang w:val="es-ES"/>
        </w:rPr>
        <w:t>57 601 7456788</w:t>
      </w:r>
    </w:p>
    <w:p w14:paraId="59E0C040" w14:textId="77777777" w:rsidR="008C3D38" w:rsidRPr="008C3D38" w:rsidRDefault="008C3D38" w:rsidP="008C3D38">
      <w:pPr>
        <w:numPr>
          <w:ilvl w:val="0"/>
          <w:numId w:val="15"/>
        </w:numPr>
        <w:spacing w:after="0"/>
        <w:contextualSpacing/>
        <w:rPr>
          <w:rFonts w:ascii="Verdana" w:eastAsia="Verdana" w:hAnsi="Verdana" w:cs="Verdana"/>
          <w:color w:val="0000FF"/>
          <w:u w:val="single"/>
          <w:lang w:val="es-ES"/>
        </w:rPr>
      </w:pPr>
      <w:r w:rsidRPr="008C3D38">
        <w:rPr>
          <w:rFonts w:ascii="Verdana" w:eastAsia="Verdana" w:hAnsi="Verdana" w:cs="Verdana"/>
          <w:lang w:val="es-ES"/>
        </w:rPr>
        <w:t xml:space="preserve">Correo de radicación de correspondencia: </w:t>
      </w:r>
      <w:hyperlink r:id="rId17">
        <w:r w:rsidRPr="008C3D38">
          <w:rPr>
            <w:rFonts w:ascii="Verdana" w:eastAsia="Verdana" w:hAnsi="Verdana" w:cs="Verdana"/>
            <w:color w:val="0000FF"/>
            <w:u w:val="single"/>
            <w:lang w:val="es-ES"/>
          </w:rPr>
          <w:t>ventanilladeradicacion@colombiacompra.gov.co</w:t>
        </w:r>
      </w:hyperlink>
    </w:p>
    <w:p w14:paraId="1E3C4B3E" w14:textId="77777777" w:rsidR="008C3D38" w:rsidRPr="008C3D38" w:rsidRDefault="008C3D38" w:rsidP="008C3D38">
      <w:pPr>
        <w:numPr>
          <w:ilvl w:val="0"/>
          <w:numId w:val="15"/>
        </w:numPr>
        <w:spacing w:after="0"/>
        <w:contextualSpacing/>
        <w:rPr>
          <w:rFonts w:ascii="Verdana" w:eastAsia="Verdana" w:hAnsi="Verdana" w:cs="Verdana"/>
          <w:color w:val="0000FF"/>
          <w:u w:val="single"/>
          <w:lang w:val="es-ES"/>
        </w:rPr>
      </w:pPr>
      <w:r w:rsidRPr="008C3D38">
        <w:rPr>
          <w:rFonts w:ascii="Verdana" w:eastAsia="Verdana" w:hAnsi="Verdana" w:cs="Verdana"/>
          <w:lang w:val="es-ES"/>
        </w:rPr>
        <w:lastRenderedPageBreak/>
        <w:t>Formulario web para</w:t>
      </w:r>
      <w:r w:rsidRPr="008C3D38">
        <w:rPr>
          <w:rFonts w:ascii="Verdana" w:eastAsia="Verdana" w:hAnsi="Verdana" w:cs="Verdana"/>
          <w:lang w:val="es"/>
        </w:rPr>
        <w:t xml:space="preserve"> PQRSD: </w:t>
      </w:r>
      <w:hyperlink r:id="rId18">
        <w:r w:rsidRPr="008C3D38">
          <w:rPr>
            <w:rFonts w:ascii="Verdana" w:eastAsia="Verdana" w:hAnsi="Verdana" w:cs="Verdana"/>
            <w:color w:val="0000FF"/>
            <w:u w:val="single"/>
            <w:lang w:val="es-ES"/>
          </w:rPr>
          <w:t>https://www.colombiacompra.gov.co/pqrsd/informacion-importante-antes-de-formular-una-pqrsd</w:t>
        </w:r>
      </w:hyperlink>
    </w:p>
    <w:p w14:paraId="0A1F43E5" w14:textId="77777777" w:rsidR="008C3D38" w:rsidRPr="008C3D38" w:rsidRDefault="008C3D38" w:rsidP="008C3D38">
      <w:pPr>
        <w:spacing w:after="0" w:line="240" w:lineRule="auto"/>
        <w:ind w:left="720"/>
        <w:jc w:val="both"/>
        <w:rPr>
          <w:rFonts w:ascii="Verdana" w:hAnsi="Verdana"/>
        </w:rPr>
      </w:pPr>
    </w:p>
    <w:p w14:paraId="6C7C6EC5" w14:textId="77777777" w:rsidR="008C3D38" w:rsidRPr="008C3D38" w:rsidRDefault="008C3D38" w:rsidP="008C3D38">
      <w:pPr>
        <w:spacing w:after="0" w:line="240" w:lineRule="auto"/>
        <w:rPr>
          <w:rFonts w:ascii="Verdana" w:hAnsi="Verdana"/>
        </w:rPr>
      </w:pPr>
      <w:r w:rsidRPr="008C3D38">
        <w:rPr>
          <w:rFonts w:ascii="Verdana" w:hAnsi="Verdana"/>
        </w:rPr>
        <w:t>Evalúa el servicio que ofrece la Agencia por el canal de atención de PQRSD en el siguiente enlace :</w:t>
      </w:r>
      <w:hyperlink r:id="rId19" w:tgtFrame="_blank" w:tooltip="https://forms.office.com/r/pphywvs2sz" w:history="1">
        <w:r w:rsidRPr="008C3D38">
          <w:rPr>
            <w:rFonts w:ascii="Verdana" w:hAnsi="Verdana"/>
            <w:color w:val="0000FF"/>
            <w:u w:val="single"/>
          </w:rPr>
          <w:t>https://forms.office.com/r/pPHyWVs2SZ</w:t>
        </w:r>
      </w:hyperlink>
      <w:r w:rsidRPr="008C3D38">
        <w:rPr>
          <w:rFonts w:ascii="Verdana" w:hAnsi="Verdana"/>
        </w:rPr>
        <w:t xml:space="preserve"> .¡Ayúdanos a mejorar porque el compromiso es de todos!</w:t>
      </w:r>
    </w:p>
    <w:p w14:paraId="7CB27FD0" w14:textId="77777777" w:rsidR="008C3D38" w:rsidRPr="008C3D38" w:rsidRDefault="008C3D38" w:rsidP="008C3D38">
      <w:pPr>
        <w:spacing w:after="0" w:line="240" w:lineRule="auto"/>
        <w:rPr>
          <w:rFonts w:ascii="Verdana" w:hAnsi="Verdana"/>
        </w:rPr>
      </w:pPr>
    </w:p>
    <w:p w14:paraId="66DE3F54" w14:textId="77777777" w:rsidR="008C3D38" w:rsidRPr="008C3D38" w:rsidRDefault="008C3D38" w:rsidP="008C3D38">
      <w:pPr>
        <w:spacing w:after="0" w:line="240" w:lineRule="auto"/>
        <w:jc w:val="both"/>
        <w:rPr>
          <w:rFonts w:ascii="Verdana" w:hAnsi="Verdana"/>
        </w:rPr>
      </w:pPr>
      <w:r w:rsidRPr="008C3D38">
        <w:rPr>
          <w:rFonts w:ascii="Verdana" w:hAnsi="Verdana"/>
        </w:rPr>
        <w:t xml:space="preserve">Por último, lo invitamos a seguirnos en las redes sociales en las cuales se difunde información institucional: </w:t>
      </w:r>
    </w:p>
    <w:p w14:paraId="77306197" w14:textId="77777777" w:rsidR="008C3D38" w:rsidRPr="008C3D38" w:rsidRDefault="008C3D38" w:rsidP="008C3D38">
      <w:pPr>
        <w:spacing w:after="0" w:line="240" w:lineRule="auto"/>
        <w:jc w:val="both"/>
        <w:rPr>
          <w:rFonts w:ascii="Verdana" w:hAnsi="Verdana"/>
        </w:rPr>
      </w:pPr>
    </w:p>
    <w:p w14:paraId="161CC329" w14:textId="77777777" w:rsidR="008C3D38" w:rsidRPr="008C3D38" w:rsidRDefault="008C3D38" w:rsidP="008C3D38">
      <w:pPr>
        <w:spacing w:after="0" w:line="240" w:lineRule="auto"/>
        <w:jc w:val="both"/>
        <w:rPr>
          <w:rFonts w:ascii="Verdana" w:hAnsi="Verdana"/>
        </w:rPr>
      </w:pPr>
      <w:r w:rsidRPr="008C3D38">
        <w:rPr>
          <w:rFonts w:ascii="Verdana" w:hAnsi="Verdana"/>
        </w:rPr>
        <w:t xml:space="preserve">Twitter: </w:t>
      </w:r>
      <w:r w:rsidRPr="008C3D38">
        <w:rPr>
          <w:rFonts w:ascii="Verdana" w:hAnsi="Verdana"/>
          <w:color w:val="0000FF"/>
          <w:u w:val="single"/>
        </w:rPr>
        <w:t>@colombiacompra</w:t>
      </w:r>
      <w:r w:rsidRPr="008C3D38">
        <w:rPr>
          <w:rFonts w:ascii="Verdana" w:hAnsi="Verdana"/>
        </w:rPr>
        <w:t xml:space="preserve"> </w:t>
      </w:r>
    </w:p>
    <w:p w14:paraId="6877C58C" w14:textId="77777777" w:rsidR="008C3D38" w:rsidRPr="008C3D38" w:rsidRDefault="008C3D38" w:rsidP="008C3D38">
      <w:pPr>
        <w:spacing w:after="0" w:line="240" w:lineRule="auto"/>
        <w:jc w:val="both"/>
        <w:rPr>
          <w:rFonts w:ascii="Verdana" w:hAnsi="Verdana"/>
        </w:rPr>
      </w:pPr>
      <w:r w:rsidRPr="008C3D38">
        <w:rPr>
          <w:rFonts w:ascii="Verdana" w:hAnsi="Verdana"/>
        </w:rPr>
        <w:t xml:space="preserve">Facebook: </w:t>
      </w:r>
      <w:proofErr w:type="spellStart"/>
      <w:r w:rsidRPr="008C3D38">
        <w:rPr>
          <w:rFonts w:ascii="Verdana" w:hAnsi="Verdana"/>
          <w:color w:val="0000FF"/>
          <w:u w:val="single"/>
        </w:rPr>
        <w:t>ColombiaCompraEficiente</w:t>
      </w:r>
      <w:proofErr w:type="spellEnd"/>
    </w:p>
    <w:p w14:paraId="55E27AE7" w14:textId="77777777" w:rsidR="008C3D38" w:rsidRPr="008C3D38" w:rsidRDefault="008C3D38" w:rsidP="008C3D38">
      <w:pPr>
        <w:spacing w:after="0" w:line="240" w:lineRule="auto"/>
        <w:jc w:val="both"/>
        <w:rPr>
          <w:rFonts w:ascii="Verdana" w:hAnsi="Verdana"/>
        </w:rPr>
      </w:pPr>
      <w:r w:rsidRPr="008C3D38">
        <w:rPr>
          <w:rFonts w:ascii="Verdana" w:hAnsi="Verdana"/>
        </w:rPr>
        <w:t xml:space="preserve">LinkedIn: </w:t>
      </w:r>
      <w:r w:rsidRPr="008C3D38">
        <w:rPr>
          <w:rFonts w:ascii="Verdana" w:hAnsi="Verdana"/>
          <w:color w:val="0000FF"/>
          <w:u w:val="single"/>
        </w:rPr>
        <w:t>Agencia Nacional de Contratación Pública - Colombia Compra Eficiente</w:t>
      </w:r>
      <w:r w:rsidRPr="008C3D38">
        <w:rPr>
          <w:rFonts w:ascii="Verdana" w:hAnsi="Verdana"/>
        </w:rPr>
        <w:t xml:space="preserve"> Instagram: </w:t>
      </w:r>
      <w:r w:rsidRPr="008C3D38">
        <w:rPr>
          <w:rFonts w:ascii="Verdana" w:hAnsi="Verdana"/>
          <w:color w:val="0000FF"/>
          <w:u w:val="single"/>
        </w:rPr>
        <w:t>@colombiacompraeficiente_cce</w:t>
      </w:r>
    </w:p>
    <w:p w14:paraId="6C91D119" w14:textId="77777777" w:rsidR="008C3D38" w:rsidRPr="008C3D38" w:rsidRDefault="008C3D38" w:rsidP="008C3D38">
      <w:pPr>
        <w:shd w:val="clear" w:color="auto" w:fill="FFFFFF"/>
        <w:spacing w:after="0" w:line="276" w:lineRule="auto"/>
        <w:jc w:val="both"/>
        <w:rPr>
          <w:rFonts w:ascii="Verdana" w:hAnsi="Verdana" w:cs="Arial"/>
          <w:color w:val="FF0000"/>
          <w:shd w:val="clear" w:color="auto" w:fill="FFFFFF"/>
          <w:lang w:val="es-ES_tradnl"/>
        </w:rPr>
      </w:pPr>
      <w:r w:rsidRPr="008C3D38">
        <w:rPr>
          <w:rFonts w:ascii="Verdana" w:hAnsi="Verdana" w:cs="Arial"/>
          <w:color w:val="000000" w:themeColor="text1"/>
          <w:shd w:val="clear" w:color="auto" w:fill="FFFFFF"/>
          <w:lang w:val="es-ES_tradnl"/>
        </w:rPr>
        <w:t xml:space="preserve"> </w:t>
      </w:r>
      <w:r w:rsidRPr="008C3D38">
        <w:rPr>
          <w:rFonts w:ascii="Verdana" w:hAnsi="Verdana" w:cs="Arial"/>
          <w:color w:val="FF0000"/>
          <w:shd w:val="clear" w:color="auto" w:fill="FFFFFF"/>
          <w:lang w:val="es-ES_tradnl"/>
        </w:rPr>
        <w:t xml:space="preserve">        </w:t>
      </w:r>
    </w:p>
    <w:p w14:paraId="310F9C7A" w14:textId="77777777" w:rsidR="008C3D38" w:rsidRPr="008C3D38" w:rsidRDefault="008C3D38" w:rsidP="008C3D38">
      <w:pPr>
        <w:widowControl w:val="0"/>
        <w:autoSpaceDE w:val="0"/>
        <w:autoSpaceDN w:val="0"/>
        <w:spacing w:after="0" w:line="276" w:lineRule="auto"/>
        <w:jc w:val="both"/>
        <w:rPr>
          <w:rFonts w:ascii="Verdana" w:hAnsi="Verdana" w:cs="Arial"/>
          <w:lang w:val="es-ES_tradnl"/>
        </w:rPr>
      </w:pPr>
      <w:r w:rsidRPr="008C3D38">
        <w:rPr>
          <w:rFonts w:ascii="Verdana" w:hAnsi="Verdana" w:cs="Arial"/>
        </w:rPr>
        <w:t xml:space="preserve">Este concepto tiene el alcance previsto en el artículo 28 del Código de Procedimiento Administrativo y de lo Contencioso Administrativo </w:t>
      </w:r>
      <w:r w:rsidRPr="008C3D38">
        <w:rPr>
          <w:rFonts w:ascii="Verdana" w:hAnsi="Verdana" w:cs="Arial"/>
          <w:lang w:val="es-ES_tradnl"/>
        </w:rPr>
        <w:t xml:space="preserve">y las expresiones aquí utilizadas con mayúscula inicial deben ser entendidas con el significado que les otorga el artículo 2.2.1.1.1.3.1. del Decreto 1082 de 2015. </w:t>
      </w:r>
    </w:p>
    <w:p w14:paraId="3EF2B97B" w14:textId="77777777" w:rsidR="008C3D38" w:rsidRPr="008C3D38" w:rsidRDefault="008C3D38" w:rsidP="008C3D38">
      <w:pPr>
        <w:widowControl w:val="0"/>
        <w:autoSpaceDE w:val="0"/>
        <w:autoSpaceDN w:val="0"/>
        <w:spacing w:after="0" w:line="276" w:lineRule="auto"/>
        <w:jc w:val="both"/>
        <w:rPr>
          <w:rFonts w:ascii="Verdana" w:hAnsi="Verdana" w:cs="Arial"/>
        </w:rPr>
      </w:pPr>
    </w:p>
    <w:p w14:paraId="00C27044" w14:textId="77777777" w:rsidR="008C3D38" w:rsidRPr="008C3D38" w:rsidRDefault="008C3D38" w:rsidP="008C3D38">
      <w:pPr>
        <w:spacing w:after="0" w:line="240" w:lineRule="auto"/>
        <w:rPr>
          <w:rFonts w:ascii="Verdana" w:hAnsi="Verdana" w:cs="Arial"/>
          <w:lang w:eastAsia="es-CO"/>
        </w:rPr>
      </w:pPr>
      <w:r w:rsidRPr="008C3D38">
        <w:rPr>
          <w:rFonts w:ascii="Verdana" w:eastAsia="Times New Roman" w:hAnsi="Verdana" w:cs="Arial"/>
          <w:lang w:eastAsia="es-CO"/>
        </w:rPr>
        <w:t>Atentamente,</w:t>
      </w:r>
      <w:r w:rsidRPr="008C3D38">
        <w:rPr>
          <w:rFonts w:ascii="Verdana" w:hAnsi="Verdana" w:cs="Arial"/>
          <w:lang w:eastAsia="es-CO"/>
        </w:rPr>
        <w:t xml:space="preserve"> </w:t>
      </w:r>
    </w:p>
    <w:p w14:paraId="3E59863E" w14:textId="77777777" w:rsidR="008C3D38" w:rsidRPr="008C3D38" w:rsidRDefault="008C3D38" w:rsidP="008C3D38">
      <w:pPr>
        <w:spacing w:after="0" w:line="240" w:lineRule="auto"/>
        <w:rPr>
          <w:rFonts w:ascii="Verdana" w:hAnsi="Verdana" w:cs="Arial"/>
          <w:lang w:eastAsia="es-CO"/>
        </w:rPr>
      </w:pPr>
    </w:p>
    <w:p w14:paraId="41B8F6CB" w14:textId="7A16900F" w:rsidR="008C3D38" w:rsidRPr="008C3D38" w:rsidRDefault="007448A3" w:rsidP="008C3D38">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4EA193C6" wp14:editId="27AEEFC5">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tbl>
      <w:tblPr>
        <w:tblStyle w:val="Tablaconcuadrcula1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3D38" w:rsidRPr="008C3D38" w14:paraId="37F0BB35" w14:textId="77777777" w:rsidTr="002C7923">
        <w:trPr>
          <w:trHeight w:val="315"/>
        </w:trPr>
        <w:tc>
          <w:tcPr>
            <w:tcW w:w="893" w:type="dxa"/>
            <w:vAlign w:val="center"/>
            <w:hideMark/>
          </w:tcPr>
          <w:p w14:paraId="6FE096FF" w14:textId="77777777" w:rsidR="008C3D38" w:rsidRPr="008C3D38" w:rsidRDefault="008C3D38" w:rsidP="008C3D38">
            <w:pPr>
              <w:contextualSpacing/>
              <w:rPr>
                <w:rFonts w:ascii="Verdana" w:hAnsi="Verdana" w:cs="Arial"/>
                <w:sz w:val="16"/>
                <w:szCs w:val="16"/>
                <w:lang w:val="es-ES" w:eastAsia="es-ES"/>
              </w:rPr>
            </w:pPr>
            <w:r w:rsidRPr="008C3D3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0D98E5" w14:textId="77777777" w:rsidR="008C3D38" w:rsidRPr="008C3D38" w:rsidRDefault="008C3D38" w:rsidP="008C3D38">
            <w:pPr>
              <w:contextualSpacing/>
              <w:rPr>
                <w:rFonts w:ascii="Verdana" w:hAnsi="Verdana"/>
                <w:sz w:val="16"/>
                <w:szCs w:val="16"/>
              </w:rPr>
            </w:pPr>
            <w:r w:rsidRPr="008C3D38">
              <w:rPr>
                <w:rFonts w:ascii="Verdana" w:hAnsi="Verdana"/>
                <w:sz w:val="16"/>
                <w:szCs w:val="16"/>
              </w:rPr>
              <w:t>José Luis Sánchez Cardona</w:t>
            </w:r>
          </w:p>
          <w:p w14:paraId="22AF3E2B" w14:textId="77777777" w:rsidR="008C3D38" w:rsidRPr="008C3D38" w:rsidRDefault="008C3D38" w:rsidP="008C3D38">
            <w:pPr>
              <w:contextualSpacing/>
              <w:rPr>
                <w:rFonts w:ascii="Verdana" w:eastAsia="Arial" w:hAnsi="Verdana" w:cs="Arial"/>
                <w:sz w:val="16"/>
                <w:szCs w:val="16"/>
              </w:rPr>
            </w:pPr>
            <w:r w:rsidRPr="008C3D38">
              <w:rPr>
                <w:rFonts w:ascii="Verdana" w:hAnsi="Verdana"/>
                <w:sz w:val="16"/>
                <w:szCs w:val="16"/>
              </w:rPr>
              <w:t>Contratista de la Subdirección de Gestión Contractual</w:t>
            </w:r>
          </w:p>
        </w:tc>
      </w:tr>
      <w:tr w:rsidR="008C3D38" w:rsidRPr="008C3D38" w14:paraId="795BED70" w14:textId="77777777" w:rsidTr="002C7923">
        <w:trPr>
          <w:trHeight w:val="330"/>
        </w:trPr>
        <w:tc>
          <w:tcPr>
            <w:tcW w:w="893" w:type="dxa"/>
            <w:vAlign w:val="center"/>
            <w:hideMark/>
          </w:tcPr>
          <w:p w14:paraId="294AB3F3" w14:textId="77777777" w:rsidR="008C3D38" w:rsidRPr="008C3D38" w:rsidRDefault="008C3D38" w:rsidP="008C3D38">
            <w:pPr>
              <w:contextualSpacing/>
              <w:rPr>
                <w:rFonts w:ascii="Verdana" w:hAnsi="Verdana" w:cs="Arial"/>
                <w:sz w:val="16"/>
                <w:szCs w:val="16"/>
                <w:lang w:val="es-ES" w:eastAsia="es-ES"/>
              </w:rPr>
            </w:pPr>
            <w:r w:rsidRPr="008C3D3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E646FF" w14:textId="77777777" w:rsidR="008C3D38" w:rsidRPr="008C3D38" w:rsidRDefault="008C3D38" w:rsidP="008C3D38">
            <w:pPr>
              <w:spacing w:before="100" w:beforeAutospacing="1" w:afterAutospacing="1"/>
              <w:contextualSpacing/>
              <w:textAlignment w:val="baseline"/>
              <w:rPr>
                <w:rFonts w:ascii="Verdana" w:eastAsia="Times New Roman" w:hAnsi="Verdana" w:cs="Arial"/>
                <w:sz w:val="16"/>
                <w:szCs w:val="16"/>
                <w:lang w:val="es-ES_tradnl" w:eastAsia="es-CO"/>
              </w:rPr>
            </w:pPr>
            <w:r w:rsidRPr="008C3D38">
              <w:rPr>
                <w:rFonts w:ascii="Verdana" w:eastAsia="Times New Roman" w:hAnsi="Verdana" w:cs="Arial"/>
                <w:sz w:val="16"/>
                <w:szCs w:val="16"/>
                <w:lang w:val="es-ES_tradnl" w:eastAsia="es-CO"/>
              </w:rPr>
              <w:t>Diana Lucía Saavedra Castañeda</w:t>
            </w:r>
          </w:p>
          <w:p w14:paraId="6A3E76AE" w14:textId="77777777" w:rsidR="008C3D38" w:rsidRPr="008C3D38" w:rsidRDefault="008C3D38" w:rsidP="008C3D38">
            <w:pPr>
              <w:contextualSpacing/>
              <w:textAlignment w:val="baseline"/>
              <w:rPr>
                <w:rFonts w:ascii="Verdana" w:eastAsia="Times New Roman" w:hAnsi="Verdana" w:cs="Segoe UI"/>
                <w:sz w:val="16"/>
                <w:szCs w:val="16"/>
                <w:lang w:eastAsia="es-CO"/>
              </w:rPr>
            </w:pPr>
            <w:r w:rsidRPr="008C3D38">
              <w:rPr>
                <w:rFonts w:ascii="Verdana" w:eastAsia="Times New Roman" w:hAnsi="Verdana" w:cs="Arial"/>
                <w:sz w:val="16"/>
                <w:szCs w:val="16"/>
                <w:lang w:val="es-ES_tradnl" w:eastAsia="es-CO"/>
              </w:rPr>
              <w:t>Contratista de la Subdirección de Gestión Contractual</w:t>
            </w:r>
          </w:p>
        </w:tc>
      </w:tr>
      <w:tr w:rsidR="008C3D38" w:rsidRPr="008C3D38" w14:paraId="13BFDF93" w14:textId="77777777" w:rsidTr="002C7923">
        <w:trPr>
          <w:trHeight w:val="300"/>
        </w:trPr>
        <w:tc>
          <w:tcPr>
            <w:tcW w:w="893" w:type="dxa"/>
            <w:vAlign w:val="center"/>
          </w:tcPr>
          <w:p w14:paraId="56B0E808" w14:textId="77777777" w:rsidR="008C3D38" w:rsidRPr="008C3D38" w:rsidRDefault="008C3D38" w:rsidP="008C3D38">
            <w:pPr>
              <w:contextualSpacing/>
              <w:rPr>
                <w:rFonts w:ascii="Verdana" w:hAnsi="Verdana" w:cs="Arial"/>
                <w:sz w:val="16"/>
                <w:szCs w:val="16"/>
                <w:lang w:val="es-ES" w:eastAsia="es-ES"/>
              </w:rPr>
            </w:pPr>
            <w:r w:rsidRPr="008C3D3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C26EF8" w14:textId="77777777" w:rsidR="008C3D38" w:rsidRPr="008C3D38" w:rsidRDefault="008C3D38" w:rsidP="008C3D38">
            <w:pPr>
              <w:contextualSpacing/>
              <w:rPr>
                <w:rFonts w:ascii="Verdana" w:hAnsi="Verdana" w:cs="Arial"/>
                <w:sz w:val="16"/>
                <w:szCs w:val="16"/>
                <w:lang w:val="pt-BR" w:eastAsia="es-ES"/>
              </w:rPr>
            </w:pPr>
            <w:r w:rsidRPr="008C3D38">
              <w:rPr>
                <w:rFonts w:ascii="Verdana" w:hAnsi="Verdana" w:cs="Arial"/>
                <w:sz w:val="16"/>
                <w:szCs w:val="16"/>
                <w:lang w:val="pt-BR" w:eastAsia="es-ES"/>
              </w:rPr>
              <w:t xml:space="preserve">Carolina Quintero </w:t>
            </w:r>
            <w:proofErr w:type="spellStart"/>
            <w:r w:rsidRPr="008C3D38">
              <w:rPr>
                <w:rFonts w:ascii="Verdana" w:hAnsi="Verdana" w:cs="Arial"/>
                <w:sz w:val="16"/>
                <w:szCs w:val="16"/>
                <w:lang w:val="pt-BR" w:eastAsia="es-ES"/>
              </w:rPr>
              <w:t>Gacharná</w:t>
            </w:r>
            <w:proofErr w:type="spellEnd"/>
          </w:p>
          <w:p w14:paraId="4D2807CB" w14:textId="77777777" w:rsidR="008C3D38" w:rsidRPr="008C3D38" w:rsidRDefault="008C3D38" w:rsidP="008C3D38">
            <w:pPr>
              <w:contextualSpacing/>
              <w:rPr>
                <w:rFonts w:ascii="Verdana" w:hAnsi="Verdana" w:cs="Arial"/>
                <w:sz w:val="16"/>
                <w:szCs w:val="16"/>
                <w:lang w:val="pt-BR" w:eastAsia="es-ES"/>
              </w:rPr>
            </w:pPr>
            <w:r w:rsidRPr="008C3D38">
              <w:rPr>
                <w:rFonts w:ascii="Verdana" w:hAnsi="Verdana" w:cs="Arial"/>
                <w:sz w:val="16"/>
                <w:szCs w:val="16"/>
                <w:lang w:eastAsia="es-ES"/>
              </w:rPr>
              <w:t>Subdirectora</w:t>
            </w:r>
            <w:r w:rsidRPr="008C3D38">
              <w:rPr>
                <w:rFonts w:ascii="Verdana" w:hAnsi="Verdana" w:cs="Arial"/>
                <w:sz w:val="16"/>
                <w:szCs w:val="16"/>
                <w:lang w:val="pt-BR" w:eastAsia="es-ES"/>
              </w:rPr>
              <w:t xml:space="preserve"> de Gestión </w:t>
            </w:r>
            <w:proofErr w:type="spellStart"/>
            <w:r w:rsidRPr="008C3D38">
              <w:rPr>
                <w:rFonts w:ascii="Verdana" w:hAnsi="Verdana" w:cs="Arial"/>
                <w:sz w:val="16"/>
                <w:szCs w:val="16"/>
                <w:lang w:val="pt-BR" w:eastAsia="es-ES"/>
              </w:rPr>
              <w:t>Contractual</w:t>
            </w:r>
            <w:proofErr w:type="spellEnd"/>
            <w:r w:rsidRPr="008C3D38">
              <w:rPr>
                <w:rFonts w:ascii="Verdana" w:hAnsi="Verdana" w:cs="Arial"/>
                <w:sz w:val="16"/>
                <w:szCs w:val="16"/>
                <w:lang w:val="pt-BR" w:eastAsia="es-ES"/>
              </w:rPr>
              <w:t xml:space="preserve"> ANCP – CCE</w:t>
            </w:r>
          </w:p>
        </w:tc>
      </w:tr>
    </w:tbl>
    <w:p w14:paraId="42F0C24D" w14:textId="77777777" w:rsidR="008C3D38" w:rsidRPr="008C3D38" w:rsidRDefault="008C3D38" w:rsidP="008C3D38">
      <w:pPr>
        <w:spacing w:after="0" w:line="240" w:lineRule="auto"/>
        <w:jc w:val="both"/>
        <w:textAlignment w:val="baseline"/>
        <w:rPr>
          <w:rFonts w:ascii="Verdana" w:eastAsia="Verdana" w:hAnsi="Verdana" w:cs="Verdana"/>
          <w:lang w:eastAsia="es-CO"/>
        </w:rPr>
      </w:pPr>
    </w:p>
    <w:bookmarkEnd w:id="0"/>
    <w:p w14:paraId="73C61EC8" w14:textId="285376A2" w:rsidR="00EB224C" w:rsidRPr="0069216D" w:rsidRDefault="00EB224C" w:rsidP="0069216D">
      <w:pPr>
        <w:spacing w:after="0" w:line="240" w:lineRule="auto"/>
        <w:textAlignment w:val="baseline"/>
        <w:rPr>
          <w:rFonts w:ascii="Verdana" w:eastAsia="Verdana" w:hAnsi="Verdana" w:cs="Verdana"/>
          <w:lang w:eastAsia="es-CO"/>
        </w:rPr>
      </w:pPr>
    </w:p>
    <w:sectPr w:rsidR="00EB224C" w:rsidRPr="0069216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95440" w14:textId="77777777" w:rsidR="0034094A" w:rsidRDefault="0034094A" w:rsidP="004A1847">
      <w:pPr>
        <w:spacing w:after="0" w:line="240" w:lineRule="auto"/>
      </w:pPr>
      <w:r>
        <w:separator/>
      </w:r>
    </w:p>
  </w:endnote>
  <w:endnote w:type="continuationSeparator" w:id="0">
    <w:p w14:paraId="79B341DD" w14:textId="77777777" w:rsidR="0034094A" w:rsidRDefault="0034094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5FD3F1EE"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69216D" w:rsidRPr="0069216D">
      <w:rPr>
        <w:rFonts w:ascii="Verdana" w:eastAsiaTheme="minorEastAsia" w:hAnsi="Verdana"/>
        <w:b/>
        <w:bCs/>
        <w:noProof/>
        <w:sz w:val="16"/>
        <w:szCs w:val="16"/>
      </w:rPr>
      <w:t>24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B6DF7" w14:textId="77777777" w:rsidR="0034094A" w:rsidRDefault="0034094A" w:rsidP="004A1847">
      <w:pPr>
        <w:spacing w:after="0" w:line="240" w:lineRule="auto"/>
      </w:pPr>
      <w:r>
        <w:separator/>
      </w:r>
    </w:p>
  </w:footnote>
  <w:footnote w:type="continuationSeparator" w:id="0">
    <w:p w14:paraId="48ED28F8" w14:textId="77777777" w:rsidR="0034094A" w:rsidRDefault="0034094A" w:rsidP="004A1847">
      <w:pPr>
        <w:spacing w:after="0" w:line="240" w:lineRule="auto"/>
      </w:pPr>
      <w:r>
        <w:continuationSeparator/>
      </w:r>
    </w:p>
  </w:footnote>
  <w:footnote w:id="1">
    <w:p w14:paraId="1F49AC69" w14:textId="77777777" w:rsidR="008C3D38" w:rsidRPr="007E553E" w:rsidRDefault="008C3D38" w:rsidP="008C3D38">
      <w:pPr>
        <w:pStyle w:val="Textonotapie"/>
        <w:ind w:firstLine="708"/>
        <w:jc w:val="both"/>
        <w:rPr>
          <w:rFonts w:ascii="Verdana" w:hAnsi="Verdana"/>
          <w:sz w:val="16"/>
          <w:szCs w:val="16"/>
        </w:rPr>
      </w:pPr>
      <w:r w:rsidRPr="007E553E">
        <w:rPr>
          <w:rStyle w:val="Refdenotaalpie"/>
          <w:rFonts w:ascii="Verdana" w:hAnsi="Verdana"/>
          <w:sz w:val="16"/>
          <w:szCs w:val="16"/>
        </w:rPr>
        <w:footnoteRef/>
      </w:r>
      <w:r w:rsidRPr="007E553E">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6867EA32" w14:textId="77777777" w:rsidR="008C3D38" w:rsidRPr="007E553E" w:rsidRDefault="008C3D38" w:rsidP="008C3D38">
      <w:pPr>
        <w:pStyle w:val="Textonotapie"/>
        <w:ind w:firstLine="708"/>
        <w:jc w:val="both"/>
        <w:rPr>
          <w:rFonts w:ascii="Verdana" w:hAnsi="Verdana"/>
          <w:sz w:val="16"/>
          <w:szCs w:val="16"/>
        </w:rPr>
      </w:pPr>
      <w:r w:rsidRPr="007E553E">
        <w:rPr>
          <w:rFonts w:ascii="Verdana" w:hAnsi="Verdana"/>
          <w:sz w:val="16"/>
          <w:szCs w:val="16"/>
        </w:rPr>
        <w:t>[…]</w:t>
      </w:r>
    </w:p>
    <w:p w14:paraId="75907264" w14:textId="77777777" w:rsidR="008C3D38" w:rsidRPr="007E553E" w:rsidRDefault="008C3D38" w:rsidP="008C3D38">
      <w:pPr>
        <w:pStyle w:val="Textonotapie"/>
        <w:ind w:firstLine="708"/>
        <w:jc w:val="both"/>
        <w:rPr>
          <w:rFonts w:ascii="Verdana" w:hAnsi="Verdana"/>
          <w:sz w:val="16"/>
          <w:szCs w:val="16"/>
        </w:rPr>
      </w:pPr>
      <w:r w:rsidRPr="007E553E">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41814FFA" w14:textId="77777777" w:rsidR="008C3D38" w:rsidRPr="007E553E" w:rsidRDefault="008C3D38" w:rsidP="008C3D38">
      <w:pPr>
        <w:pStyle w:val="Textonotapie"/>
        <w:ind w:firstLine="708"/>
        <w:jc w:val="both"/>
        <w:rPr>
          <w:rFonts w:ascii="Verdana" w:hAnsi="Verdana"/>
          <w:sz w:val="16"/>
          <w:szCs w:val="16"/>
        </w:rPr>
      </w:pPr>
      <w:r w:rsidRPr="007E553E">
        <w:rPr>
          <w:rFonts w:ascii="Verdana" w:hAnsi="Verdana"/>
          <w:sz w:val="16"/>
          <w:szCs w:val="16"/>
        </w:rPr>
        <w:t>En todo caso, el Presidente de la República podrá celebrar contratos a nombre de la Nación”.</w:t>
      </w:r>
    </w:p>
  </w:footnote>
  <w:footnote w:id="2">
    <w:p w14:paraId="18E60828" w14:textId="77777777" w:rsidR="008C3D38" w:rsidRPr="007E553E" w:rsidRDefault="008C3D38" w:rsidP="008C3D38">
      <w:pPr>
        <w:pStyle w:val="Textonotapie"/>
        <w:ind w:firstLine="708"/>
        <w:jc w:val="both"/>
        <w:rPr>
          <w:rFonts w:ascii="Verdana" w:hAnsi="Verdana" w:cs="Arial"/>
          <w:sz w:val="16"/>
          <w:szCs w:val="16"/>
        </w:rPr>
      </w:pPr>
      <w:r w:rsidRPr="007E553E">
        <w:rPr>
          <w:rStyle w:val="Refdenotaalpie"/>
          <w:rFonts w:ascii="Verdana" w:hAnsi="Verdana" w:cs="Arial"/>
          <w:sz w:val="16"/>
          <w:szCs w:val="16"/>
        </w:rPr>
        <w:footnoteRef/>
      </w:r>
      <w:r w:rsidRPr="007E553E">
        <w:rPr>
          <w:rFonts w:ascii="Verdana" w:hAnsi="Verdana" w:cs="Arial"/>
          <w:sz w:val="16"/>
          <w:szCs w:val="16"/>
        </w:rPr>
        <w:t xml:space="preserve"> El inciso primero de norma disponía que, conforme al principio de transparencia, “</w:t>
      </w:r>
      <w:r w:rsidRPr="007E553E">
        <w:rPr>
          <w:rFonts w:ascii="Verdana" w:hAnsi="Verdana" w:cs="Arial"/>
          <w:i/>
          <w:iCs/>
          <w:sz w:val="16"/>
          <w:szCs w:val="16"/>
        </w:rPr>
        <w:t>La escogencia del contratista se efectuará siempre a través de licitación o concurso públicos</w:t>
      </w:r>
      <w:r w:rsidRPr="007E553E">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4BD3B44E" w14:textId="77777777" w:rsidR="008C3D38" w:rsidRPr="007E553E" w:rsidRDefault="008C3D38" w:rsidP="008C3D38">
      <w:pPr>
        <w:pStyle w:val="Textonotapie"/>
        <w:ind w:firstLine="708"/>
        <w:jc w:val="both"/>
        <w:rPr>
          <w:rFonts w:ascii="Verdana" w:hAnsi="Verdana" w:cs="Arial"/>
          <w:sz w:val="16"/>
          <w:szCs w:val="16"/>
        </w:rPr>
      </w:pPr>
      <w:r w:rsidRPr="007E553E">
        <w:rPr>
          <w:rStyle w:val="Refdenotaalpie"/>
          <w:rFonts w:ascii="Verdana" w:hAnsi="Verdana" w:cs="Arial"/>
          <w:sz w:val="16"/>
          <w:szCs w:val="16"/>
        </w:rPr>
        <w:footnoteRef/>
      </w:r>
      <w:r w:rsidRPr="007E553E">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w:t>
      </w:r>
      <w:r w:rsidRPr="007E553E">
        <w:rPr>
          <w:rFonts w:ascii="Verdana" w:hAnsi="Verdana" w:cs="Arial"/>
          <w:sz w:val="16"/>
          <w:szCs w:val="16"/>
        </w:rPr>
        <w:t>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7E553E">
        <w:rPr>
          <w:rFonts w:ascii="Verdana" w:hAnsi="Verdana" w:cs="Arial"/>
          <w:i/>
          <w:iCs/>
          <w:sz w:val="16"/>
          <w:szCs w:val="16"/>
        </w:rPr>
        <w:t>Presentación de la oferta de manera dinámica</w:t>
      </w:r>
      <w:r w:rsidRPr="007E553E">
        <w:rPr>
          <w:rFonts w:ascii="Verdana" w:hAnsi="Verdana" w:cs="Arial"/>
          <w:sz w:val="16"/>
          <w:szCs w:val="16"/>
        </w:rPr>
        <w:t xml:space="preserve">). Es decir, </w:t>
      </w:r>
      <w:r w:rsidRPr="007E553E">
        <w:rPr>
          <w:rFonts w:ascii="Verdana" w:hAnsi="Verdana" w:cs="Arial"/>
          <w:sz w:val="16"/>
          <w:szCs w:val="16"/>
        </w:rPr>
        <w:t xml:space="preserve">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13B90302" w14:textId="77777777" w:rsidR="008C3D38" w:rsidRPr="007E553E" w:rsidRDefault="008C3D38" w:rsidP="008C3D38">
      <w:pPr>
        <w:pStyle w:val="Textonotapie"/>
        <w:ind w:firstLine="708"/>
        <w:jc w:val="both"/>
        <w:rPr>
          <w:rFonts w:ascii="Verdana" w:hAnsi="Verdana"/>
          <w:sz w:val="16"/>
          <w:szCs w:val="16"/>
        </w:rPr>
      </w:pPr>
      <w:r w:rsidRPr="007E553E">
        <w:rPr>
          <w:rStyle w:val="Refdenotaalpie"/>
          <w:rFonts w:ascii="Verdana" w:hAnsi="Verdana"/>
          <w:sz w:val="16"/>
          <w:szCs w:val="16"/>
        </w:rPr>
        <w:footnoteRef/>
      </w:r>
      <w:r w:rsidRPr="007E553E">
        <w:rPr>
          <w:rFonts w:ascii="Verdana" w:hAnsi="Verdana"/>
          <w:sz w:val="16"/>
          <w:szCs w:val="16"/>
        </w:rPr>
        <w:t xml:space="preserve"> DÁVILA VINUEZA, Luis Guillermo. Régimen jurídico de la contratación estatal. 3° ed. Bogotá: </w:t>
      </w:r>
      <w:r w:rsidRPr="007E553E">
        <w:rPr>
          <w:rFonts w:ascii="Verdana" w:hAnsi="Verdana"/>
          <w:sz w:val="16"/>
          <w:szCs w:val="16"/>
        </w:rPr>
        <w:t xml:space="preserve">Legis. 2016. p.76. </w:t>
      </w:r>
    </w:p>
  </w:footnote>
  <w:footnote w:id="5">
    <w:p w14:paraId="3BB52211" w14:textId="77777777" w:rsidR="008C3D38" w:rsidRPr="0095543E" w:rsidRDefault="008C3D38" w:rsidP="008C3D38">
      <w:pPr>
        <w:pStyle w:val="Textonotapie"/>
        <w:ind w:firstLine="708"/>
        <w:jc w:val="both"/>
        <w:rPr>
          <w:rFonts w:ascii="Bookman Old Style" w:hAnsi="Bookman Old Style"/>
          <w:lang w:val="es-CO"/>
        </w:rPr>
      </w:pPr>
      <w:r w:rsidRPr="007E553E">
        <w:rPr>
          <w:rStyle w:val="Refdenotaalpie"/>
          <w:rFonts w:ascii="Verdana" w:hAnsi="Verdana"/>
          <w:sz w:val="16"/>
          <w:szCs w:val="16"/>
        </w:rPr>
        <w:footnoteRef/>
      </w:r>
      <w:r w:rsidRPr="007E553E">
        <w:rPr>
          <w:rFonts w:ascii="Verdana" w:hAnsi="Verdana"/>
          <w:sz w:val="16"/>
          <w:szCs w:val="16"/>
        </w:rPr>
        <w:t xml:space="preserve"> </w:t>
      </w:r>
      <w:r w:rsidRPr="007E553E">
        <w:rPr>
          <w:rFonts w:ascii="Verdana" w:hAnsi="Verdana"/>
          <w:sz w:val="16"/>
          <w:szCs w:val="16"/>
          <w:lang w:val="es-CO"/>
        </w:rPr>
        <w:t xml:space="preserve">HERNÁNDEZ ENRIQUEZ, </w:t>
      </w:r>
      <w:r w:rsidRPr="007E553E">
        <w:rPr>
          <w:rFonts w:ascii="Verdana" w:hAnsi="Verdana"/>
          <w:sz w:val="16"/>
          <w:szCs w:val="16"/>
          <w:lang w:val="es-CO"/>
        </w:rPr>
        <w:t xml:space="preserve">Alier Eduardo. Sujetos públicos de la contratación estatal. En: Temas en Contratos estatales. Bogotá: Librería Jurídica Diké. 2010. pp. 606-607. En igual sentido, Juan Carlos Expósito Vélez expresa: </w:t>
      </w:r>
      <w:r>
        <w:rPr>
          <w:rFonts w:ascii="Verdana" w:hAnsi="Verdana"/>
          <w:sz w:val="16"/>
          <w:szCs w:val="16"/>
          <w:lang w:val="es-CO"/>
        </w:rPr>
        <w:t>“</w:t>
      </w:r>
      <w:r w:rsidRPr="007E553E">
        <w:rPr>
          <w:rFonts w:ascii="Verdana" w:hAnsi="Verdana"/>
          <w:sz w:val="16"/>
          <w:szCs w:val="16"/>
          <w:lang w:val="es-CO"/>
        </w:rPr>
        <w:t>En efecto, la facultad para contratar por parte de las entidades estatales no depende ya de si las mismas tienen o no personería jurídica, sino de la atribución legal que se haga para poder celebrar acuerdos jurídicos bilaterales de contenido económico, tanto al organismo como tal como a los funcionarios públicos en cuanto titulares de cargos específicos dentro de la planta de personal</w:t>
      </w:r>
      <w:r>
        <w:rPr>
          <w:rFonts w:ascii="Verdana" w:hAnsi="Verdana"/>
          <w:sz w:val="16"/>
          <w:szCs w:val="16"/>
          <w:lang w:val="es-CO"/>
        </w:rPr>
        <w:t>”</w:t>
      </w:r>
      <w:r w:rsidRPr="007E553E">
        <w:rPr>
          <w:rFonts w:ascii="Verdana" w:hAnsi="Verdana"/>
          <w:sz w:val="16"/>
          <w:szCs w:val="16"/>
          <w:lang w:val="es-CO"/>
        </w:rPr>
        <w:t xml:space="preserve"> (EXPÓSITO VÉLEZ, Juan Carlos. Forma y contenido del contrato estatal. Bogotá: Universidad Externado de Colombia, 2013. p. 116).</w:t>
      </w:r>
      <w:r>
        <w:rPr>
          <w:rFonts w:ascii="Bookman Old Style" w:hAnsi="Bookman Old Style"/>
          <w:lang w:val="es-CO"/>
        </w:rPr>
        <w:t xml:space="preserve"> </w:t>
      </w:r>
      <w:r w:rsidRPr="0095543E">
        <w:rPr>
          <w:rFonts w:ascii="Bookman Old Style" w:hAnsi="Bookman Old Style"/>
          <w:lang w:val="es-CO"/>
        </w:rPr>
        <w:t xml:space="preserve"> </w:t>
      </w:r>
    </w:p>
  </w:footnote>
  <w:footnote w:id="6">
    <w:p w14:paraId="2EE8C4D0" w14:textId="77777777" w:rsidR="008C3D38" w:rsidRPr="00B7489A" w:rsidRDefault="008C3D38" w:rsidP="008C3D38">
      <w:pPr>
        <w:pStyle w:val="Textonotapie"/>
        <w:ind w:firstLine="708"/>
        <w:rPr>
          <w:rFonts w:ascii="Verdana" w:hAnsi="Verdana"/>
          <w:sz w:val="16"/>
          <w:szCs w:val="16"/>
        </w:rPr>
      </w:pPr>
      <w:r w:rsidRPr="00B7489A">
        <w:rPr>
          <w:rStyle w:val="Refdenotaalpie"/>
          <w:rFonts w:ascii="Verdana" w:hAnsi="Verdana"/>
          <w:sz w:val="16"/>
          <w:szCs w:val="16"/>
          <w:lang w:val="es-ES"/>
        </w:rPr>
        <w:footnoteRef/>
      </w:r>
      <w:r w:rsidRPr="00B7489A">
        <w:rPr>
          <w:rFonts w:ascii="Verdana" w:hAnsi="Verdana"/>
          <w:sz w:val="16"/>
          <w:szCs w:val="16"/>
          <w:lang w:val="es-ES"/>
        </w:rPr>
        <w:t xml:space="preserve"> </w:t>
      </w:r>
      <w:r w:rsidRPr="00B7489A">
        <w:rPr>
          <w:rFonts w:ascii="Verdana" w:eastAsia="Times New Roman" w:hAnsi="Verdana" w:cs="Times New Roman"/>
          <w:sz w:val="16"/>
          <w:szCs w:val="16"/>
          <w:lang w:val="es-ES"/>
        </w:rPr>
        <w:t>Corte Constitucional, Sentencia C-468 de 16. M.P. María Victoria Calle.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72868834">
    <w:abstractNumId w:val="10"/>
  </w:num>
  <w:num w:numId="2" w16cid:durableId="558438610">
    <w:abstractNumId w:val="2"/>
  </w:num>
  <w:num w:numId="3" w16cid:durableId="1635255337">
    <w:abstractNumId w:val="8"/>
  </w:num>
  <w:num w:numId="4" w16cid:durableId="247010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7314706">
    <w:abstractNumId w:val="2"/>
  </w:num>
  <w:num w:numId="6" w16cid:durableId="1048725614">
    <w:abstractNumId w:val="17"/>
  </w:num>
  <w:num w:numId="7" w16cid:durableId="301694574">
    <w:abstractNumId w:val="9"/>
  </w:num>
  <w:num w:numId="8" w16cid:durableId="980038638">
    <w:abstractNumId w:val="16"/>
  </w:num>
  <w:num w:numId="9" w16cid:durableId="645863876">
    <w:abstractNumId w:val="11"/>
  </w:num>
  <w:num w:numId="10" w16cid:durableId="1340934747">
    <w:abstractNumId w:val="15"/>
  </w:num>
  <w:num w:numId="11" w16cid:durableId="994575835">
    <w:abstractNumId w:val="12"/>
  </w:num>
  <w:num w:numId="12" w16cid:durableId="1711756650">
    <w:abstractNumId w:val="0"/>
  </w:num>
  <w:num w:numId="13" w16cid:durableId="1059205905">
    <w:abstractNumId w:val="5"/>
  </w:num>
  <w:num w:numId="14" w16cid:durableId="58597606">
    <w:abstractNumId w:val="18"/>
  </w:num>
  <w:num w:numId="15" w16cid:durableId="771319297">
    <w:abstractNumId w:val="14"/>
  </w:num>
  <w:num w:numId="16" w16cid:durableId="1630355147">
    <w:abstractNumId w:val="6"/>
  </w:num>
  <w:num w:numId="17" w16cid:durableId="575673994">
    <w:abstractNumId w:val="13"/>
  </w:num>
  <w:num w:numId="18" w16cid:durableId="897742605">
    <w:abstractNumId w:val="21"/>
  </w:num>
  <w:num w:numId="19" w16cid:durableId="245699644">
    <w:abstractNumId w:val="20"/>
  </w:num>
  <w:num w:numId="20" w16cid:durableId="1735854309">
    <w:abstractNumId w:val="1"/>
  </w:num>
  <w:num w:numId="21" w16cid:durableId="868643560">
    <w:abstractNumId w:val="4"/>
  </w:num>
  <w:num w:numId="22" w16cid:durableId="1467117902">
    <w:abstractNumId w:val="7"/>
  </w:num>
  <w:num w:numId="23" w16cid:durableId="1424301009">
    <w:abstractNumId w:val="3"/>
  </w:num>
  <w:num w:numId="24" w16cid:durableId="502272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34D5"/>
    <w:rsid w:val="00016F78"/>
    <w:rsid w:val="000353BD"/>
    <w:rsid w:val="00046945"/>
    <w:rsid w:val="00057775"/>
    <w:rsid w:val="00061B2A"/>
    <w:rsid w:val="000711CF"/>
    <w:rsid w:val="00076D52"/>
    <w:rsid w:val="00080B1D"/>
    <w:rsid w:val="00082362"/>
    <w:rsid w:val="00085031"/>
    <w:rsid w:val="0008794D"/>
    <w:rsid w:val="0009079C"/>
    <w:rsid w:val="000A1514"/>
    <w:rsid w:val="000A1642"/>
    <w:rsid w:val="000A66E5"/>
    <w:rsid w:val="000A683E"/>
    <w:rsid w:val="000A7F5E"/>
    <w:rsid w:val="000B0FAA"/>
    <w:rsid w:val="000B19B9"/>
    <w:rsid w:val="000B27F0"/>
    <w:rsid w:val="000C5A9E"/>
    <w:rsid w:val="000D0334"/>
    <w:rsid w:val="000D1DC8"/>
    <w:rsid w:val="000D4734"/>
    <w:rsid w:val="000D4A0E"/>
    <w:rsid w:val="000D5DA7"/>
    <w:rsid w:val="000E6E2C"/>
    <w:rsid w:val="000F01E9"/>
    <w:rsid w:val="000F078F"/>
    <w:rsid w:val="000F3444"/>
    <w:rsid w:val="000F3E03"/>
    <w:rsid w:val="000F512E"/>
    <w:rsid w:val="000F6486"/>
    <w:rsid w:val="000F7FD4"/>
    <w:rsid w:val="00105C57"/>
    <w:rsid w:val="001161CA"/>
    <w:rsid w:val="001168F2"/>
    <w:rsid w:val="00116940"/>
    <w:rsid w:val="00124414"/>
    <w:rsid w:val="00125105"/>
    <w:rsid w:val="00127233"/>
    <w:rsid w:val="001328F3"/>
    <w:rsid w:val="001428DC"/>
    <w:rsid w:val="001521B3"/>
    <w:rsid w:val="0015699B"/>
    <w:rsid w:val="00171640"/>
    <w:rsid w:val="00174D6E"/>
    <w:rsid w:val="00176C48"/>
    <w:rsid w:val="00182083"/>
    <w:rsid w:val="0019756E"/>
    <w:rsid w:val="0019787F"/>
    <w:rsid w:val="001A33BF"/>
    <w:rsid w:val="001A5968"/>
    <w:rsid w:val="001C5AE4"/>
    <w:rsid w:val="001C61B3"/>
    <w:rsid w:val="001D02CC"/>
    <w:rsid w:val="001D64AE"/>
    <w:rsid w:val="001E2E05"/>
    <w:rsid w:val="001E4177"/>
    <w:rsid w:val="001F0B24"/>
    <w:rsid w:val="001F5DD0"/>
    <w:rsid w:val="001F7DC6"/>
    <w:rsid w:val="00207466"/>
    <w:rsid w:val="00211E12"/>
    <w:rsid w:val="00212AD1"/>
    <w:rsid w:val="00217FCA"/>
    <w:rsid w:val="0022076F"/>
    <w:rsid w:val="002209DE"/>
    <w:rsid w:val="0022400B"/>
    <w:rsid w:val="0023515D"/>
    <w:rsid w:val="002421BB"/>
    <w:rsid w:val="00253436"/>
    <w:rsid w:val="0025796E"/>
    <w:rsid w:val="002626BD"/>
    <w:rsid w:val="0026579C"/>
    <w:rsid w:val="002707A2"/>
    <w:rsid w:val="00275482"/>
    <w:rsid w:val="00276931"/>
    <w:rsid w:val="00277C07"/>
    <w:rsid w:val="0028778F"/>
    <w:rsid w:val="002951A0"/>
    <w:rsid w:val="002962BC"/>
    <w:rsid w:val="002975A4"/>
    <w:rsid w:val="002A093D"/>
    <w:rsid w:val="002A0DD0"/>
    <w:rsid w:val="002A49AC"/>
    <w:rsid w:val="002A64FD"/>
    <w:rsid w:val="002B730F"/>
    <w:rsid w:val="002C6751"/>
    <w:rsid w:val="002C7A84"/>
    <w:rsid w:val="002E05EF"/>
    <w:rsid w:val="002E2BF8"/>
    <w:rsid w:val="002E4FD9"/>
    <w:rsid w:val="002F0847"/>
    <w:rsid w:val="0030657A"/>
    <w:rsid w:val="003136DC"/>
    <w:rsid w:val="003156BF"/>
    <w:rsid w:val="00316053"/>
    <w:rsid w:val="00322A85"/>
    <w:rsid w:val="00322C00"/>
    <w:rsid w:val="00322D77"/>
    <w:rsid w:val="00323B21"/>
    <w:rsid w:val="00324168"/>
    <w:rsid w:val="00330834"/>
    <w:rsid w:val="003332A8"/>
    <w:rsid w:val="0034094A"/>
    <w:rsid w:val="003448F4"/>
    <w:rsid w:val="00360892"/>
    <w:rsid w:val="00374F5E"/>
    <w:rsid w:val="003769E1"/>
    <w:rsid w:val="00377E3E"/>
    <w:rsid w:val="00381BAB"/>
    <w:rsid w:val="003909E8"/>
    <w:rsid w:val="00391C8B"/>
    <w:rsid w:val="003A779E"/>
    <w:rsid w:val="003B0DFC"/>
    <w:rsid w:val="003C0ED7"/>
    <w:rsid w:val="003C6659"/>
    <w:rsid w:val="003D0F4D"/>
    <w:rsid w:val="003D494E"/>
    <w:rsid w:val="003D5B0D"/>
    <w:rsid w:val="003E0499"/>
    <w:rsid w:val="003E4C37"/>
    <w:rsid w:val="003E4F80"/>
    <w:rsid w:val="003E6439"/>
    <w:rsid w:val="003F18C5"/>
    <w:rsid w:val="003F1FD8"/>
    <w:rsid w:val="003F3941"/>
    <w:rsid w:val="003F53D2"/>
    <w:rsid w:val="00403EFA"/>
    <w:rsid w:val="00406575"/>
    <w:rsid w:val="004140B3"/>
    <w:rsid w:val="00414C74"/>
    <w:rsid w:val="0042722E"/>
    <w:rsid w:val="0044528D"/>
    <w:rsid w:val="00451137"/>
    <w:rsid w:val="004555EA"/>
    <w:rsid w:val="0045785F"/>
    <w:rsid w:val="00466E39"/>
    <w:rsid w:val="00477C96"/>
    <w:rsid w:val="00484E40"/>
    <w:rsid w:val="0048787A"/>
    <w:rsid w:val="00492C4A"/>
    <w:rsid w:val="00494F04"/>
    <w:rsid w:val="004A0841"/>
    <w:rsid w:val="004A0A0B"/>
    <w:rsid w:val="004A0E5C"/>
    <w:rsid w:val="004A1847"/>
    <w:rsid w:val="004A305D"/>
    <w:rsid w:val="004A5264"/>
    <w:rsid w:val="004B3DAC"/>
    <w:rsid w:val="004B73B9"/>
    <w:rsid w:val="004C0DBB"/>
    <w:rsid w:val="004D2168"/>
    <w:rsid w:val="004D2B6F"/>
    <w:rsid w:val="004E2B92"/>
    <w:rsid w:val="004F21C4"/>
    <w:rsid w:val="004F685F"/>
    <w:rsid w:val="005000A1"/>
    <w:rsid w:val="00513BF7"/>
    <w:rsid w:val="00517955"/>
    <w:rsid w:val="005229DB"/>
    <w:rsid w:val="00524422"/>
    <w:rsid w:val="00534886"/>
    <w:rsid w:val="005365D9"/>
    <w:rsid w:val="00536A0E"/>
    <w:rsid w:val="0055262A"/>
    <w:rsid w:val="00553040"/>
    <w:rsid w:val="005566E8"/>
    <w:rsid w:val="00560892"/>
    <w:rsid w:val="00570B00"/>
    <w:rsid w:val="00572622"/>
    <w:rsid w:val="00573280"/>
    <w:rsid w:val="00574867"/>
    <w:rsid w:val="00591460"/>
    <w:rsid w:val="00592C94"/>
    <w:rsid w:val="005A2CAB"/>
    <w:rsid w:val="005A52A7"/>
    <w:rsid w:val="005A57A5"/>
    <w:rsid w:val="005A65E0"/>
    <w:rsid w:val="005C0881"/>
    <w:rsid w:val="005C3777"/>
    <w:rsid w:val="005C5CDC"/>
    <w:rsid w:val="005D2566"/>
    <w:rsid w:val="005D476C"/>
    <w:rsid w:val="005F20A4"/>
    <w:rsid w:val="00600D92"/>
    <w:rsid w:val="00603C5B"/>
    <w:rsid w:val="00611CE6"/>
    <w:rsid w:val="006137E1"/>
    <w:rsid w:val="00617200"/>
    <w:rsid w:val="00617E91"/>
    <w:rsid w:val="006200BF"/>
    <w:rsid w:val="0062143E"/>
    <w:rsid w:val="006219F8"/>
    <w:rsid w:val="00624A89"/>
    <w:rsid w:val="00624EEC"/>
    <w:rsid w:val="006302F7"/>
    <w:rsid w:val="00646B9F"/>
    <w:rsid w:val="00646F24"/>
    <w:rsid w:val="006547C3"/>
    <w:rsid w:val="00660C46"/>
    <w:rsid w:val="00662087"/>
    <w:rsid w:val="00663A04"/>
    <w:rsid w:val="00665D70"/>
    <w:rsid w:val="00672499"/>
    <w:rsid w:val="00684F67"/>
    <w:rsid w:val="0068758B"/>
    <w:rsid w:val="006900D9"/>
    <w:rsid w:val="0069216D"/>
    <w:rsid w:val="0069741A"/>
    <w:rsid w:val="006A2BE4"/>
    <w:rsid w:val="006B4707"/>
    <w:rsid w:val="006D13BA"/>
    <w:rsid w:val="006D1D21"/>
    <w:rsid w:val="006D591D"/>
    <w:rsid w:val="006D64EE"/>
    <w:rsid w:val="006F2238"/>
    <w:rsid w:val="006F4199"/>
    <w:rsid w:val="007009D7"/>
    <w:rsid w:val="007025D7"/>
    <w:rsid w:val="00706C16"/>
    <w:rsid w:val="0071557C"/>
    <w:rsid w:val="00731F30"/>
    <w:rsid w:val="007340C3"/>
    <w:rsid w:val="0073510E"/>
    <w:rsid w:val="007448A3"/>
    <w:rsid w:val="007458D3"/>
    <w:rsid w:val="00751DE8"/>
    <w:rsid w:val="0075235A"/>
    <w:rsid w:val="00752CDB"/>
    <w:rsid w:val="0075557D"/>
    <w:rsid w:val="00756841"/>
    <w:rsid w:val="007649AB"/>
    <w:rsid w:val="00771AEF"/>
    <w:rsid w:val="00771D0C"/>
    <w:rsid w:val="00782ED2"/>
    <w:rsid w:val="007833AC"/>
    <w:rsid w:val="00792EB2"/>
    <w:rsid w:val="00795086"/>
    <w:rsid w:val="007A037B"/>
    <w:rsid w:val="007A1830"/>
    <w:rsid w:val="007B268C"/>
    <w:rsid w:val="007B7171"/>
    <w:rsid w:val="007C0C0F"/>
    <w:rsid w:val="007C3DC2"/>
    <w:rsid w:val="007C4353"/>
    <w:rsid w:val="007C5559"/>
    <w:rsid w:val="007D3058"/>
    <w:rsid w:val="007D4B12"/>
    <w:rsid w:val="007E43AC"/>
    <w:rsid w:val="007E5497"/>
    <w:rsid w:val="007E553E"/>
    <w:rsid w:val="00803584"/>
    <w:rsid w:val="00806F5F"/>
    <w:rsid w:val="008103F6"/>
    <w:rsid w:val="00820278"/>
    <w:rsid w:val="00820488"/>
    <w:rsid w:val="0082071A"/>
    <w:rsid w:val="008258C9"/>
    <w:rsid w:val="00830893"/>
    <w:rsid w:val="00833286"/>
    <w:rsid w:val="00836232"/>
    <w:rsid w:val="00841E29"/>
    <w:rsid w:val="00844AE9"/>
    <w:rsid w:val="0085545E"/>
    <w:rsid w:val="00866A9E"/>
    <w:rsid w:val="00867F95"/>
    <w:rsid w:val="00871AAC"/>
    <w:rsid w:val="00875356"/>
    <w:rsid w:val="008843B6"/>
    <w:rsid w:val="00886410"/>
    <w:rsid w:val="00891928"/>
    <w:rsid w:val="00891A0E"/>
    <w:rsid w:val="008A446D"/>
    <w:rsid w:val="008B0D0F"/>
    <w:rsid w:val="008B25F1"/>
    <w:rsid w:val="008C11FD"/>
    <w:rsid w:val="008C3D38"/>
    <w:rsid w:val="008C4DD5"/>
    <w:rsid w:val="008C517A"/>
    <w:rsid w:val="008C6AE5"/>
    <w:rsid w:val="008D0BE7"/>
    <w:rsid w:val="008D1660"/>
    <w:rsid w:val="008D180B"/>
    <w:rsid w:val="008F0EA7"/>
    <w:rsid w:val="008F17DC"/>
    <w:rsid w:val="008F4334"/>
    <w:rsid w:val="008F553F"/>
    <w:rsid w:val="008F6705"/>
    <w:rsid w:val="00901213"/>
    <w:rsid w:val="009037F6"/>
    <w:rsid w:val="0091143C"/>
    <w:rsid w:val="00920817"/>
    <w:rsid w:val="00923EEF"/>
    <w:rsid w:val="00926423"/>
    <w:rsid w:val="00933E3F"/>
    <w:rsid w:val="009419F9"/>
    <w:rsid w:val="00944696"/>
    <w:rsid w:val="0095685E"/>
    <w:rsid w:val="00961B09"/>
    <w:rsid w:val="00963E12"/>
    <w:rsid w:val="00964321"/>
    <w:rsid w:val="00965334"/>
    <w:rsid w:val="00967B4D"/>
    <w:rsid w:val="0097093E"/>
    <w:rsid w:val="009722DE"/>
    <w:rsid w:val="009735E8"/>
    <w:rsid w:val="00984DB3"/>
    <w:rsid w:val="00992E19"/>
    <w:rsid w:val="009A0486"/>
    <w:rsid w:val="009A0DFA"/>
    <w:rsid w:val="009B28B9"/>
    <w:rsid w:val="009B2D26"/>
    <w:rsid w:val="009B4B7C"/>
    <w:rsid w:val="009C71FA"/>
    <w:rsid w:val="009C72E7"/>
    <w:rsid w:val="009C7F7E"/>
    <w:rsid w:val="009D23F2"/>
    <w:rsid w:val="009D3058"/>
    <w:rsid w:val="009E1F28"/>
    <w:rsid w:val="009E6924"/>
    <w:rsid w:val="009E7AED"/>
    <w:rsid w:val="009F3A13"/>
    <w:rsid w:val="009F4B67"/>
    <w:rsid w:val="009F7A6E"/>
    <w:rsid w:val="00A0334B"/>
    <w:rsid w:val="00A0526C"/>
    <w:rsid w:val="00A122D3"/>
    <w:rsid w:val="00A14468"/>
    <w:rsid w:val="00A17F13"/>
    <w:rsid w:val="00A20739"/>
    <w:rsid w:val="00A23AF9"/>
    <w:rsid w:val="00A31A76"/>
    <w:rsid w:val="00A33C78"/>
    <w:rsid w:val="00A53338"/>
    <w:rsid w:val="00A73F45"/>
    <w:rsid w:val="00A8776C"/>
    <w:rsid w:val="00AA1E47"/>
    <w:rsid w:val="00AB0ADB"/>
    <w:rsid w:val="00AB436E"/>
    <w:rsid w:val="00AD173A"/>
    <w:rsid w:val="00AD7D5F"/>
    <w:rsid w:val="00AE1F6E"/>
    <w:rsid w:val="00AE3513"/>
    <w:rsid w:val="00AE5DD2"/>
    <w:rsid w:val="00AF5A10"/>
    <w:rsid w:val="00B00C0E"/>
    <w:rsid w:val="00B01B1A"/>
    <w:rsid w:val="00B04DA1"/>
    <w:rsid w:val="00B11075"/>
    <w:rsid w:val="00B131D7"/>
    <w:rsid w:val="00B206B6"/>
    <w:rsid w:val="00B234CF"/>
    <w:rsid w:val="00B35656"/>
    <w:rsid w:val="00B37EB5"/>
    <w:rsid w:val="00B44A47"/>
    <w:rsid w:val="00B54271"/>
    <w:rsid w:val="00B5550F"/>
    <w:rsid w:val="00B6149C"/>
    <w:rsid w:val="00B64484"/>
    <w:rsid w:val="00B71FD5"/>
    <w:rsid w:val="00B72CD3"/>
    <w:rsid w:val="00B72FFF"/>
    <w:rsid w:val="00B74092"/>
    <w:rsid w:val="00B7489A"/>
    <w:rsid w:val="00B95DAC"/>
    <w:rsid w:val="00BA2EB9"/>
    <w:rsid w:val="00BA703D"/>
    <w:rsid w:val="00BC3D36"/>
    <w:rsid w:val="00BC5D42"/>
    <w:rsid w:val="00BC70CB"/>
    <w:rsid w:val="00BD13AC"/>
    <w:rsid w:val="00BD54A6"/>
    <w:rsid w:val="00BD7F72"/>
    <w:rsid w:val="00BF056C"/>
    <w:rsid w:val="00BF3B66"/>
    <w:rsid w:val="00BF5C08"/>
    <w:rsid w:val="00BF7425"/>
    <w:rsid w:val="00C04FB3"/>
    <w:rsid w:val="00C11D8B"/>
    <w:rsid w:val="00C1350D"/>
    <w:rsid w:val="00C2359C"/>
    <w:rsid w:val="00C251B0"/>
    <w:rsid w:val="00C330EB"/>
    <w:rsid w:val="00C419DF"/>
    <w:rsid w:val="00C50D69"/>
    <w:rsid w:val="00C5365C"/>
    <w:rsid w:val="00C619D4"/>
    <w:rsid w:val="00C61D93"/>
    <w:rsid w:val="00C72666"/>
    <w:rsid w:val="00C754BE"/>
    <w:rsid w:val="00C76B1C"/>
    <w:rsid w:val="00C82667"/>
    <w:rsid w:val="00C90C96"/>
    <w:rsid w:val="00C925AC"/>
    <w:rsid w:val="00C94828"/>
    <w:rsid w:val="00C963BE"/>
    <w:rsid w:val="00C96B64"/>
    <w:rsid w:val="00CA2858"/>
    <w:rsid w:val="00CB02F1"/>
    <w:rsid w:val="00CB6357"/>
    <w:rsid w:val="00CC1B26"/>
    <w:rsid w:val="00CD4C85"/>
    <w:rsid w:val="00CE3C1C"/>
    <w:rsid w:val="00CE4026"/>
    <w:rsid w:val="00CF5ABC"/>
    <w:rsid w:val="00D06146"/>
    <w:rsid w:val="00D0699E"/>
    <w:rsid w:val="00D1210B"/>
    <w:rsid w:val="00D222C0"/>
    <w:rsid w:val="00D22D2B"/>
    <w:rsid w:val="00D334DD"/>
    <w:rsid w:val="00D34EA3"/>
    <w:rsid w:val="00D361FD"/>
    <w:rsid w:val="00D423A2"/>
    <w:rsid w:val="00D44E26"/>
    <w:rsid w:val="00D51A5D"/>
    <w:rsid w:val="00D520D8"/>
    <w:rsid w:val="00D532D4"/>
    <w:rsid w:val="00D56F8A"/>
    <w:rsid w:val="00D62B9C"/>
    <w:rsid w:val="00D63AC2"/>
    <w:rsid w:val="00D64111"/>
    <w:rsid w:val="00D64AFC"/>
    <w:rsid w:val="00D66DF5"/>
    <w:rsid w:val="00D7383B"/>
    <w:rsid w:val="00D73DBD"/>
    <w:rsid w:val="00D7541C"/>
    <w:rsid w:val="00D7788A"/>
    <w:rsid w:val="00D85F06"/>
    <w:rsid w:val="00D936A2"/>
    <w:rsid w:val="00DA231B"/>
    <w:rsid w:val="00DB13F4"/>
    <w:rsid w:val="00DB55DA"/>
    <w:rsid w:val="00DC39FC"/>
    <w:rsid w:val="00DC7CCB"/>
    <w:rsid w:val="00DE6EC3"/>
    <w:rsid w:val="00DF5254"/>
    <w:rsid w:val="00E02524"/>
    <w:rsid w:val="00E1159D"/>
    <w:rsid w:val="00E1451E"/>
    <w:rsid w:val="00E16408"/>
    <w:rsid w:val="00E20894"/>
    <w:rsid w:val="00E245AB"/>
    <w:rsid w:val="00E27341"/>
    <w:rsid w:val="00E2764C"/>
    <w:rsid w:val="00E27F2E"/>
    <w:rsid w:val="00E31225"/>
    <w:rsid w:val="00E501E7"/>
    <w:rsid w:val="00E50AFE"/>
    <w:rsid w:val="00E577E2"/>
    <w:rsid w:val="00E615C4"/>
    <w:rsid w:val="00E71E1B"/>
    <w:rsid w:val="00E75C92"/>
    <w:rsid w:val="00E771DC"/>
    <w:rsid w:val="00E774E7"/>
    <w:rsid w:val="00E8772A"/>
    <w:rsid w:val="00E90F6B"/>
    <w:rsid w:val="00E91AED"/>
    <w:rsid w:val="00E92C27"/>
    <w:rsid w:val="00E96B5C"/>
    <w:rsid w:val="00EA0E3D"/>
    <w:rsid w:val="00EA2DC0"/>
    <w:rsid w:val="00EA426C"/>
    <w:rsid w:val="00EB224C"/>
    <w:rsid w:val="00EC006D"/>
    <w:rsid w:val="00EC1AA2"/>
    <w:rsid w:val="00EC297F"/>
    <w:rsid w:val="00EC38A7"/>
    <w:rsid w:val="00ED4980"/>
    <w:rsid w:val="00EE1AA8"/>
    <w:rsid w:val="00EE265D"/>
    <w:rsid w:val="00EE3D99"/>
    <w:rsid w:val="00EF1D4F"/>
    <w:rsid w:val="00EF4E7D"/>
    <w:rsid w:val="00EF5E13"/>
    <w:rsid w:val="00EF647F"/>
    <w:rsid w:val="00F03314"/>
    <w:rsid w:val="00F0580C"/>
    <w:rsid w:val="00F23FEA"/>
    <w:rsid w:val="00F27B7B"/>
    <w:rsid w:val="00F31EDC"/>
    <w:rsid w:val="00F34294"/>
    <w:rsid w:val="00F43100"/>
    <w:rsid w:val="00F462B3"/>
    <w:rsid w:val="00F5664F"/>
    <w:rsid w:val="00F61959"/>
    <w:rsid w:val="00F666C4"/>
    <w:rsid w:val="00F76AFC"/>
    <w:rsid w:val="00F81BF0"/>
    <w:rsid w:val="00F82E88"/>
    <w:rsid w:val="00F86E11"/>
    <w:rsid w:val="00F86E3E"/>
    <w:rsid w:val="00F91E1F"/>
    <w:rsid w:val="00F95C74"/>
    <w:rsid w:val="00FA47C0"/>
    <w:rsid w:val="00FA5FFD"/>
    <w:rsid w:val="00FB5DD1"/>
    <w:rsid w:val="00FC2B5D"/>
    <w:rsid w:val="00FD1DDC"/>
    <w:rsid w:val="00FD3AD2"/>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Fuerte">
    <w:name w:val="Strong"/>
    <w:basedOn w:val="Fuentedeprrafopredeter"/>
    <w:uiPriority w:val="22"/>
    <w:qFormat/>
    <w:rsid w:val="00B7489A"/>
    <w:rPr>
      <w:b/>
      <w:bCs/>
    </w:rPr>
  </w:style>
  <w:style w:type="table" w:customStyle="1" w:styleId="Tablaconcuadrcula12">
    <w:name w:val="Tabla con cuadrícula12"/>
    <w:basedOn w:val="Tablanormal"/>
    <w:next w:val="Tablaconcuadrcula"/>
    <w:uiPriority w:val="39"/>
    <w:qFormat/>
    <w:rsid w:val="008C3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39609180">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9789425">
      <w:bodyDiv w:val="1"/>
      <w:marLeft w:val="0"/>
      <w:marRight w:val="0"/>
      <w:marTop w:val="0"/>
      <w:marBottom w:val="0"/>
      <w:divBdr>
        <w:top w:val="none" w:sz="0" w:space="0" w:color="auto"/>
        <w:left w:val="none" w:sz="0" w:space="0" w:color="auto"/>
        <w:bottom w:val="none" w:sz="0" w:space="0" w:color="auto"/>
        <w:right w:val="none" w:sz="0" w:space="0" w:color="auto"/>
      </w:divBdr>
      <w:divsChild>
        <w:div w:id="817572852">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1970088735">
      <w:bodyDiv w:val="1"/>
      <w:marLeft w:val="0"/>
      <w:marRight w:val="0"/>
      <w:marTop w:val="0"/>
      <w:marBottom w:val="0"/>
      <w:divBdr>
        <w:top w:val="none" w:sz="0" w:space="0" w:color="auto"/>
        <w:left w:val="none" w:sz="0" w:space="0" w:color="auto"/>
        <w:bottom w:val="none" w:sz="0" w:space="0" w:color="auto"/>
        <w:right w:val="none" w:sz="0" w:space="0" w:color="auto"/>
      </w:divBdr>
      <w:divsChild>
        <w:div w:id="2124030618">
          <w:marLeft w:val="0"/>
          <w:marRight w:val="0"/>
          <w:marTop w:val="0"/>
          <w:marBottom w:val="0"/>
          <w:divBdr>
            <w:top w:val="none" w:sz="0" w:space="0" w:color="auto"/>
            <w:left w:val="none" w:sz="0" w:space="0" w:color="auto"/>
            <w:bottom w:val="none" w:sz="0" w:space="0" w:color="auto"/>
            <w:right w:val="none" w:sz="0" w:space="0" w:color="auto"/>
          </w:divBdr>
        </w:div>
      </w:divsChild>
    </w:div>
    <w:div w:id="2045401966">
      <w:bodyDiv w:val="1"/>
      <w:marLeft w:val="0"/>
      <w:marRight w:val="0"/>
      <w:marTop w:val="0"/>
      <w:marBottom w:val="0"/>
      <w:divBdr>
        <w:top w:val="none" w:sz="0" w:space="0" w:color="auto"/>
        <w:left w:val="none" w:sz="0" w:space="0" w:color="auto"/>
        <w:bottom w:val="none" w:sz="0" w:space="0" w:color="auto"/>
        <w:right w:val="none" w:sz="0" w:space="0" w:color="auto"/>
      </w:divBdr>
    </w:div>
    <w:div w:id="2094351184">
      <w:bodyDiv w:val="1"/>
      <w:marLeft w:val="0"/>
      <w:marRight w:val="0"/>
      <w:marTop w:val="0"/>
      <w:marBottom w:val="0"/>
      <w:divBdr>
        <w:top w:val="none" w:sz="0" w:space="0" w:color="auto"/>
        <w:left w:val="none" w:sz="0" w:space="0" w:color="auto"/>
        <w:bottom w:val="none" w:sz="0" w:space="0" w:color="auto"/>
        <w:right w:val="none" w:sz="0" w:space="0" w:color="auto"/>
      </w:divBdr>
      <w:divsChild>
        <w:div w:id="1644460514">
          <w:marLeft w:val="0"/>
          <w:marRight w:val="0"/>
          <w:marTop w:val="0"/>
          <w:marBottom w:val="0"/>
          <w:divBdr>
            <w:top w:val="none" w:sz="0" w:space="0" w:color="auto"/>
            <w:left w:val="none" w:sz="0" w:space="0" w:color="auto"/>
            <w:bottom w:val="none" w:sz="0" w:space="0" w:color="auto"/>
            <w:right w:val="none" w:sz="0" w:space="0" w:color="auto"/>
          </w:divBdr>
        </w:div>
      </w:divsChild>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carmen.lsalazar@hotmail.com;eva@funcionpublica.gov.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6A32F55-4BCF-4392-A103-9838CB8540ED}">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F65B2DD-47FD-4CC2-BBA8-CB5F97E7D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24</Pages>
  <Words>8515</Words>
  <Characters>46838</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2026-03-27T10:54:00Z</dcterms:created>
  <dcterms:modified xsi:type="dcterms:W3CDTF">2026-03-27T18:28:00Z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