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3066CD13" w:rsidR="005A79FE" w:rsidRPr="00F83DBD" w:rsidRDefault="005A79FE" w:rsidP="00965243">
      <w:pPr>
        <w:jc w:val="right"/>
        <w:rPr>
          <w:rFonts w:ascii="Arial" w:eastAsia="Calibri" w:hAnsi="Arial" w:cs="Arial"/>
          <w:b/>
          <w:color w:val="000000" w:themeColor="text1"/>
          <w:sz w:val="16"/>
          <w:szCs w:val="16"/>
        </w:rPr>
      </w:pPr>
      <w:r w:rsidRPr="00F83DBD">
        <w:rPr>
          <w:rFonts w:ascii="Arial" w:eastAsia="Times New Roman" w:hAnsi="Arial" w:cs="Arial"/>
          <w:color w:val="000000" w:themeColor="text1"/>
          <w:sz w:val="16"/>
          <w:szCs w:val="16"/>
          <w:lang w:eastAsia="es-ES"/>
        </w:rPr>
        <w:t>CCE-DES-FM-17</w:t>
      </w:r>
    </w:p>
    <w:p w14:paraId="74BAB276" w14:textId="77777777" w:rsidR="006B3991" w:rsidRPr="00D164A1" w:rsidRDefault="006B3991" w:rsidP="00965243">
      <w:pPr>
        <w:jc w:val="both"/>
        <w:rPr>
          <w:rFonts w:ascii="Arial" w:hAnsi="Arial" w:cs="Arial"/>
          <w:b/>
          <w:bCs/>
          <w:color w:val="000000" w:themeColor="text1"/>
          <w:sz w:val="16"/>
          <w:szCs w:val="16"/>
          <w:lang w:val="es-ES_tradnl"/>
        </w:rPr>
      </w:pPr>
    </w:p>
    <w:p w14:paraId="746D2C67" w14:textId="74E0149A" w:rsidR="00D467FB" w:rsidRPr="00F83DBD" w:rsidRDefault="006B3991" w:rsidP="00965243">
      <w:pPr>
        <w:jc w:val="both"/>
        <w:rPr>
          <w:rFonts w:ascii="Arial" w:eastAsia="Calibri" w:hAnsi="Arial" w:cs="Arial"/>
          <w:b/>
          <w:color w:val="000000" w:themeColor="text1"/>
          <w:sz w:val="22"/>
        </w:rPr>
      </w:pPr>
      <w:r>
        <w:rPr>
          <w:rFonts w:ascii="Arial" w:hAnsi="Arial" w:cs="Arial"/>
          <w:b/>
          <w:bCs/>
          <w:color w:val="000000" w:themeColor="text1"/>
          <w:sz w:val="22"/>
          <w:lang w:val="es-ES_tradnl"/>
        </w:rPr>
        <w:t xml:space="preserve">CONTRATO DE PRESTACIÓN DE </w:t>
      </w:r>
      <w:r w:rsidRPr="00F83DBD">
        <w:rPr>
          <w:rFonts w:ascii="Arial" w:hAnsi="Arial" w:cs="Arial"/>
          <w:b/>
          <w:bCs/>
          <w:color w:val="000000" w:themeColor="text1"/>
          <w:sz w:val="22"/>
          <w:lang w:val="es-ES_tradnl"/>
        </w:rPr>
        <w:t xml:space="preserve">SERVICIOS </w:t>
      </w:r>
      <w:r w:rsidR="00C34A17" w:rsidRPr="00F83DBD">
        <w:rPr>
          <w:rFonts w:ascii="Arial" w:eastAsia="Calibri" w:hAnsi="Arial" w:cs="Arial"/>
          <w:b/>
          <w:color w:val="000000" w:themeColor="text1"/>
          <w:sz w:val="22"/>
        </w:rPr>
        <w:t>–</w:t>
      </w:r>
      <w:r w:rsidR="00D467FB" w:rsidRPr="00F83DBD">
        <w:rPr>
          <w:rFonts w:ascii="Arial" w:eastAsia="Calibri" w:hAnsi="Arial" w:cs="Arial"/>
          <w:b/>
          <w:color w:val="000000" w:themeColor="text1"/>
          <w:sz w:val="22"/>
        </w:rPr>
        <w:t xml:space="preserve"> Contrato</w:t>
      </w:r>
      <w:r w:rsidR="00EA3FAB">
        <w:rPr>
          <w:rFonts w:ascii="Arial" w:eastAsia="Calibri" w:hAnsi="Arial" w:cs="Arial"/>
          <w:b/>
          <w:color w:val="000000" w:themeColor="text1"/>
          <w:sz w:val="22"/>
        </w:rPr>
        <w:t xml:space="preserve"> tí</w:t>
      </w:r>
      <w:bookmarkStart w:id="0" w:name="_GoBack"/>
      <w:bookmarkEnd w:id="0"/>
      <w:r w:rsidR="00A82B06" w:rsidRPr="00F83DBD">
        <w:rPr>
          <w:rFonts w:ascii="Arial" w:eastAsia="Calibri" w:hAnsi="Arial" w:cs="Arial"/>
          <w:b/>
          <w:color w:val="000000" w:themeColor="text1"/>
          <w:sz w:val="22"/>
        </w:rPr>
        <w:t xml:space="preserve">pico </w:t>
      </w:r>
      <w:r w:rsidR="00C34A17" w:rsidRPr="00F83DBD">
        <w:rPr>
          <w:rFonts w:ascii="Arial" w:eastAsia="Calibri" w:hAnsi="Arial" w:cs="Arial"/>
          <w:b/>
          <w:color w:val="000000" w:themeColor="text1"/>
          <w:sz w:val="22"/>
        </w:rPr>
        <w:t xml:space="preserve">– </w:t>
      </w:r>
      <w:r w:rsidR="00A82B06" w:rsidRPr="00F83DBD">
        <w:rPr>
          <w:rFonts w:ascii="Arial" w:eastAsia="Calibri" w:hAnsi="Arial" w:cs="Arial"/>
          <w:b/>
          <w:color w:val="000000" w:themeColor="text1"/>
          <w:sz w:val="22"/>
        </w:rPr>
        <w:t>Contratación directa</w:t>
      </w:r>
    </w:p>
    <w:p w14:paraId="023AFA8D" w14:textId="77777777" w:rsidR="00D467FB" w:rsidRPr="00F83DBD" w:rsidRDefault="00D467FB" w:rsidP="00965243">
      <w:pPr>
        <w:jc w:val="both"/>
        <w:rPr>
          <w:rFonts w:ascii="Arial" w:eastAsia="Calibri" w:hAnsi="Arial" w:cs="Arial"/>
          <w:b/>
          <w:color w:val="000000" w:themeColor="text1"/>
          <w:sz w:val="20"/>
          <w:szCs w:val="20"/>
        </w:rPr>
      </w:pPr>
    </w:p>
    <w:p w14:paraId="4232D746" w14:textId="4E7AC855" w:rsidR="00D467FB" w:rsidRPr="00F83DBD" w:rsidRDefault="00D467FB" w:rsidP="00E66DFF">
      <w:pPr>
        <w:spacing w:after="120"/>
        <w:jc w:val="both"/>
        <w:rPr>
          <w:rFonts w:ascii="Arial" w:eastAsia="Calibri" w:hAnsi="Arial" w:cs="Arial"/>
          <w:color w:val="000000" w:themeColor="text1"/>
          <w:sz w:val="20"/>
          <w:szCs w:val="20"/>
          <w:lang w:val="es-ES_tradnl"/>
        </w:rPr>
      </w:pPr>
      <w:r w:rsidRPr="00F83DBD">
        <w:rPr>
          <w:rFonts w:ascii="Arial" w:hAnsi="Arial" w:cs="Arial"/>
          <w:color w:val="000000" w:themeColor="text1"/>
          <w:sz w:val="20"/>
          <w:szCs w:val="20"/>
          <w:lang w:val="es-ES_tradnl"/>
        </w:rPr>
        <w:t xml:space="preserve">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w:t>
      </w:r>
    </w:p>
    <w:p w14:paraId="21417F7F" w14:textId="200DD025" w:rsidR="00D467FB" w:rsidRPr="00F83DBD" w:rsidRDefault="00D467FB" w:rsidP="00E66DFF">
      <w:pPr>
        <w:spacing w:before="120"/>
        <w:jc w:val="both"/>
        <w:rPr>
          <w:rFonts w:ascii="Arial" w:hAnsi="Arial" w:cs="Arial"/>
          <w:color w:val="000000" w:themeColor="text1"/>
          <w:sz w:val="20"/>
          <w:szCs w:val="20"/>
          <w:lang w:val="es-ES_tradnl"/>
        </w:rPr>
      </w:pPr>
      <w:r w:rsidRPr="00F83DBD">
        <w:rPr>
          <w:rFonts w:ascii="Arial" w:hAnsi="Arial" w:cs="Arial"/>
          <w:color w:val="000000" w:themeColor="text1"/>
          <w:sz w:val="20"/>
          <w:szCs w:val="20"/>
          <w:lang w:val="es-ES_tradnl"/>
        </w:rPr>
        <w:t>De otro lado, la celebración de dicho contrato se debe efectuar a través de la modalidad de la contratación directa. Así lo prevé el artículo 2, numeral 4º, literal h) de la Ley 1150 de 2007</w:t>
      </w:r>
      <w:r w:rsidR="00A82B06" w:rsidRPr="00F83DBD">
        <w:rPr>
          <w:rFonts w:ascii="Arial" w:hAnsi="Arial" w:cs="Arial"/>
          <w:color w:val="000000" w:themeColor="text1"/>
          <w:sz w:val="20"/>
          <w:szCs w:val="20"/>
          <w:lang w:val="es-ES_tradnl"/>
        </w:rPr>
        <w:t xml:space="preserve"> […]</w:t>
      </w:r>
    </w:p>
    <w:p w14:paraId="06DA44B1" w14:textId="6CD6DB2B" w:rsidR="00A82B06" w:rsidRPr="00F83DBD" w:rsidRDefault="00A82B06" w:rsidP="00965243">
      <w:pPr>
        <w:jc w:val="both"/>
        <w:rPr>
          <w:rFonts w:ascii="Arial" w:hAnsi="Arial" w:cs="Arial"/>
          <w:color w:val="000000" w:themeColor="text1"/>
          <w:sz w:val="20"/>
          <w:szCs w:val="20"/>
          <w:lang w:val="es-ES_tradnl"/>
        </w:rPr>
      </w:pPr>
    </w:p>
    <w:p w14:paraId="0B236C19" w14:textId="3E1DD1F7" w:rsidR="00A82B06" w:rsidRPr="00F83DBD" w:rsidRDefault="00F6267D" w:rsidP="00965243">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PRESTACIÓN DE </w:t>
      </w:r>
      <w:r w:rsidRPr="00F83DBD">
        <w:rPr>
          <w:rFonts w:ascii="Arial" w:hAnsi="Arial" w:cs="Arial"/>
          <w:b/>
          <w:bCs/>
          <w:color w:val="000000" w:themeColor="text1"/>
          <w:sz w:val="22"/>
          <w:lang w:val="es-ES_tradnl"/>
        </w:rPr>
        <w:t xml:space="preserve">SERVICIOS </w:t>
      </w:r>
      <w:r w:rsidR="00C34A17" w:rsidRPr="00F83DBD">
        <w:rPr>
          <w:rFonts w:ascii="Arial" w:eastAsia="Calibri" w:hAnsi="Arial" w:cs="Arial"/>
          <w:b/>
          <w:color w:val="000000" w:themeColor="text1"/>
          <w:sz w:val="22"/>
        </w:rPr>
        <w:t>–</w:t>
      </w:r>
      <w:r w:rsidR="00786561" w:rsidRPr="00F83DBD">
        <w:rPr>
          <w:rFonts w:ascii="Arial" w:hAnsi="Arial" w:cs="Arial"/>
          <w:b/>
          <w:bCs/>
          <w:color w:val="000000" w:themeColor="text1"/>
          <w:sz w:val="22"/>
          <w:lang w:val="es-ES_tradnl"/>
        </w:rPr>
        <w:t xml:space="preserve"> Objeto</w:t>
      </w:r>
    </w:p>
    <w:p w14:paraId="29612BBA" w14:textId="77777777" w:rsidR="008B04D2" w:rsidRPr="00F83DBD" w:rsidRDefault="008B04D2" w:rsidP="00965243">
      <w:pPr>
        <w:jc w:val="both"/>
        <w:rPr>
          <w:rFonts w:ascii="Arial" w:eastAsia="Calibri" w:hAnsi="Arial" w:cs="Arial"/>
          <w:color w:val="000000" w:themeColor="text1"/>
          <w:sz w:val="20"/>
          <w:szCs w:val="20"/>
          <w:lang w:val="es-ES_tradnl"/>
        </w:rPr>
      </w:pPr>
    </w:p>
    <w:p w14:paraId="64F8CF0E" w14:textId="54E32722" w:rsidR="00D467FB" w:rsidRPr="00F83DBD" w:rsidRDefault="00D467FB" w:rsidP="00965243">
      <w:pPr>
        <w:jc w:val="both"/>
        <w:rPr>
          <w:rFonts w:ascii="Arial" w:hAnsi="Arial" w:cs="Arial"/>
          <w:color w:val="000000" w:themeColor="text1"/>
          <w:sz w:val="20"/>
          <w:szCs w:val="20"/>
          <w:lang w:val="es-ES_tradnl"/>
        </w:rPr>
      </w:pPr>
      <w:r w:rsidRPr="00F83DBD">
        <w:rPr>
          <w:rFonts w:ascii="Arial" w:hAnsi="Arial" w:cs="Arial"/>
          <w:color w:val="000000" w:themeColor="text1"/>
          <w:sz w:val="20"/>
          <w:szCs w:val="20"/>
          <w:lang w:val="es-ES_tradnl"/>
        </w:rPr>
        <w:t>i) Solo puede celebrarse para realizar «actividades relacionadas con la administración o funcionamiento de la entidad», es decir, que hagan parte de su giro ordinario o quehacer cotidiano.</w:t>
      </w:r>
    </w:p>
    <w:p w14:paraId="01345FC6" w14:textId="0FD75963" w:rsidR="008B04D2" w:rsidRPr="00F83DBD" w:rsidRDefault="008B04D2" w:rsidP="00965243">
      <w:pPr>
        <w:jc w:val="both"/>
        <w:rPr>
          <w:rFonts w:ascii="Arial" w:hAnsi="Arial" w:cs="Arial"/>
          <w:color w:val="000000" w:themeColor="text1"/>
          <w:sz w:val="20"/>
          <w:szCs w:val="20"/>
          <w:lang w:val="es-ES_tradnl"/>
        </w:rPr>
      </w:pPr>
    </w:p>
    <w:p w14:paraId="538CE422" w14:textId="20ACC7AB" w:rsidR="008B04D2" w:rsidRPr="00F83DBD" w:rsidRDefault="006B3991" w:rsidP="00965243">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PRESTACIÓN DE </w:t>
      </w:r>
      <w:r w:rsidR="008B04D2" w:rsidRPr="00F83DBD">
        <w:rPr>
          <w:rFonts w:ascii="Arial" w:hAnsi="Arial" w:cs="Arial"/>
          <w:b/>
          <w:bCs/>
          <w:color w:val="000000" w:themeColor="text1"/>
          <w:sz w:val="22"/>
          <w:lang w:val="es-ES_tradnl"/>
        </w:rPr>
        <w:t xml:space="preserve">SERVICIOS </w:t>
      </w:r>
      <w:r w:rsidR="00C34A17" w:rsidRPr="00F83DBD">
        <w:rPr>
          <w:rFonts w:ascii="Arial" w:eastAsia="Calibri" w:hAnsi="Arial" w:cs="Arial"/>
          <w:b/>
          <w:color w:val="000000" w:themeColor="text1"/>
          <w:sz w:val="22"/>
        </w:rPr>
        <w:t>–</w:t>
      </w:r>
      <w:r>
        <w:rPr>
          <w:rFonts w:ascii="Arial" w:hAnsi="Arial" w:cs="Arial"/>
          <w:b/>
          <w:bCs/>
          <w:color w:val="000000" w:themeColor="text1"/>
          <w:sz w:val="22"/>
          <w:lang w:val="es-ES_tradnl"/>
        </w:rPr>
        <w:t xml:space="preserve"> Profesionales</w:t>
      </w:r>
      <w:r w:rsidR="008B04D2" w:rsidRPr="00F83DBD">
        <w:rPr>
          <w:rFonts w:ascii="Arial" w:hAnsi="Arial" w:cs="Arial"/>
          <w:b/>
          <w:bCs/>
          <w:color w:val="000000" w:themeColor="text1"/>
          <w:sz w:val="22"/>
          <w:lang w:val="es-ES_tradnl"/>
        </w:rPr>
        <w:t xml:space="preserve"> </w:t>
      </w:r>
      <w:r w:rsidR="00C34A17" w:rsidRPr="00F83DBD">
        <w:rPr>
          <w:rFonts w:ascii="Arial" w:eastAsia="Calibri" w:hAnsi="Arial" w:cs="Arial"/>
          <w:b/>
          <w:color w:val="000000" w:themeColor="text1"/>
          <w:sz w:val="22"/>
        </w:rPr>
        <w:t>–</w:t>
      </w:r>
      <w:r w:rsidR="008B04D2" w:rsidRPr="00F83DBD">
        <w:rPr>
          <w:rFonts w:ascii="Arial" w:hAnsi="Arial" w:cs="Arial"/>
          <w:b/>
          <w:bCs/>
          <w:color w:val="000000" w:themeColor="text1"/>
          <w:sz w:val="22"/>
          <w:lang w:val="es-ES_tradnl"/>
        </w:rPr>
        <w:t xml:space="preserve"> Personas naturales </w:t>
      </w:r>
      <w:r w:rsidR="00C34A17" w:rsidRPr="00F83DBD">
        <w:rPr>
          <w:rFonts w:ascii="Arial" w:eastAsia="Calibri" w:hAnsi="Arial" w:cs="Arial"/>
          <w:b/>
          <w:color w:val="000000" w:themeColor="text1"/>
          <w:sz w:val="22"/>
        </w:rPr>
        <w:t>–</w:t>
      </w:r>
      <w:r w:rsidR="008B04D2" w:rsidRPr="00F83DBD">
        <w:rPr>
          <w:rFonts w:ascii="Arial" w:hAnsi="Arial" w:cs="Arial"/>
          <w:b/>
          <w:bCs/>
          <w:color w:val="000000" w:themeColor="text1"/>
          <w:sz w:val="22"/>
          <w:lang w:val="es-ES_tradnl"/>
        </w:rPr>
        <w:t xml:space="preserve"> Personas jurídicas</w:t>
      </w:r>
      <w:r w:rsidR="00F0730E" w:rsidRPr="00F83DBD">
        <w:rPr>
          <w:rFonts w:ascii="Arial" w:hAnsi="Arial" w:cs="Arial"/>
          <w:b/>
          <w:bCs/>
          <w:color w:val="000000" w:themeColor="text1"/>
          <w:sz w:val="22"/>
          <w:lang w:val="es-ES_tradnl"/>
        </w:rPr>
        <w:t xml:space="preserve"> ─ Justificación </w:t>
      </w:r>
      <w:r w:rsidR="00C34A17" w:rsidRPr="00F83DBD">
        <w:rPr>
          <w:rFonts w:ascii="Arial" w:eastAsia="Calibri" w:hAnsi="Arial" w:cs="Arial"/>
          <w:b/>
          <w:color w:val="000000" w:themeColor="text1"/>
          <w:sz w:val="22"/>
        </w:rPr>
        <w:t>–</w:t>
      </w:r>
      <w:r w:rsidR="00F0730E" w:rsidRPr="00F83DBD">
        <w:rPr>
          <w:rFonts w:ascii="Arial" w:hAnsi="Arial" w:cs="Arial"/>
          <w:b/>
          <w:bCs/>
          <w:color w:val="000000" w:themeColor="text1"/>
          <w:sz w:val="22"/>
          <w:lang w:val="es-ES_tradnl"/>
        </w:rPr>
        <w:t xml:space="preserve"> Personal de planta</w:t>
      </w:r>
    </w:p>
    <w:p w14:paraId="00183BAF" w14:textId="77777777" w:rsidR="008B04D2" w:rsidRPr="00F83DBD" w:rsidRDefault="008B04D2" w:rsidP="00965243">
      <w:pPr>
        <w:jc w:val="both"/>
        <w:rPr>
          <w:rFonts w:ascii="Arial" w:hAnsi="Arial" w:cs="Arial"/>
          <w:color w:val="000000" w:themeColor="text1"/>
          <w:sz w:val="20"/>
          <w:szCs w:val="20"/>
          <w:lang w:val="es-ES_tradnl"/>
        </w:rPr>
      </w:pPr>
    </w:p>
    <w:p w14:paraId="382C4BEA" w14:textId="4243581D" w:rsidR="00D467FB" w:rsidRPr="00F83DBD" w:rsidRDefault="00D467FB" w:rsidP="00965243">
      <w:pPr>
        <w:jc w:val="both"/>
        <w:rPr>
          <w:rFonts w:ascii="Arial" w:hAnsi="Arial" w:cs="Arial"/>
          <w:color w:val="000000" w:themeColor="text1"/>
          <w:sz w:val="20"/>
          <w:szCs w:val="20"/>
          <w:lang w:val="es-ES_tradnl"/>
        </w:rPr>
      </w:pPr>
      <w:r w:rsidRPr="00F83DBD">
        <w:rPr>
          <w:rFonts w:ascii="Arial" w:hAnsi="Arial" w:cs="Arial"/>
          <w:color w:val="000000" w:themeColor="text1"/>
          <w:sz w:val="20"/>
          <w:szCs w:val="20"/>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C982EA6" w14:textId="65424F2C" w:rsidR="005D0CE1" w:rsidRPr="00F83DBD" w:rsidRDefault="005D0CE1" w:rsidP="00965243">
      <w:pPr>
        <w:jc w:val="both"/>
        <w:rPr>
          <w:rFonts w:ascii="Arial" w:hAnsi="Arial" w:cs="Arial"/>
          <w:color w:val="000000" w:themeColor="text1"/>
          <w:sz w:val="20"/>
          <w:szCs w:val="20"/>
          <w:lang w:val="es-ES_tradnl"/>
        </w:rPr>
      </w:pPr>
    </w:p>
    <w:p w14:paraId="03039955" w14:textId="37AB1E1E" w:rsidR="005D0CE1" w:rsidRPr="00F83DBD" w:rsidRDefault="005D0CE1" w:rsidP="00965243">
      <w:pPr>
        <w:jc w:val="both"/>
        <w:rPr>
          <w:rFonts w:ascii="Arial" w:hAnsi="Arial" w:cs="Arial"/>
          <w:b/>
          <w:bCs/>
          <w:color w:val="000000" w:themeColor="text1"/>
          <w:sz w:val="22"/>
          <w:lang w:val="es-ES_tradnl"/>
        </w:rPr>
      </w:pPr>
      <w:r w:rsidRPr="00F83DBD">
        <w:rPr>
          <w:rFonts w:ascii="Arial" w:hAnsi="Arial" w:cs="Arial"/>
          <w:b/>
          <w:bCs/>
          <w:color w:val="000000" w:themeColor="text1"/>
          <w:sz w:val="22"/>
          <w:lang w:val="es-ES_tradnl"/>
        </w:rPr>
        <w:t xml:space="preserve">CONTRATO DE TRABAJO </w:t>
      </w:r>
      <w:r w:rsidR="00C34A17" w:rsidRPr="00F83DBD">
        <w:rPr>
          <w:rFonts w:ascii="Arial" w:eastAsia="Calibri" w:hAnsi="Arial" w:cs="Arial"/>
          <w:b/>
          <w:color w:val="000000" w:themeColor="text1"/>
          <w:sz w:val="22"/>
        </w:rPr>
        <w:t>–</w:t>
      </w:r>
      <w:r w:rsidRPr="00F83DBD">
        <w:rPr>
          <w:rFonts w:ascii="Arial" w:hAnsi="Arial" w:cs="Arial"/>
          <w:b/>
          <w:bCs/>
          <w:color w:val="000000" w:themeColor="text1"/>
          <w:sz w:val="22"/>
          <w:lang w:val="es-ES_tradnl"/>
        </w:rPr>
        <w:t xml:space="preserve"> </w:t>
      </w:r>
      <w:r w:rsidR="006B3991">
        <w:rPr>
          <w:rFonts w:ascii="Arial" w:hAnsi="Arial" w:cs="Arial"/>
          <w:b/>
          <w:bCs/>
          <w:color w:val="000000" w:themeColor="text1"/>
          <w:sz w:val="22"/>
          <w:lang w:val="es-ES_tradnl"/>
        </w:rPr>
        <w:t xml:space="preserve">Prestación de servicios </w:t>
      </w:r>
      <w:r w:rsidR="006B3991" w:rsidRPr="00F83DBD">
        <w:rPr>
          <w:rFonts w:ascii="Arial" w:eastAsia="Calibri" w:hAnsi="Arial" w:cs="Arial"/>
          <w:b/>
          <w:color w:val="000000" w:themeColor="text1"/>
          <w:sz w:val="22"/>
        </w:rPr>
        <w:t>–</w:t>
      </w:r>
      <w:r w:rsidR="006B3991">
        <w:rPr>
          <w:rFonts w:ascii="Arial" w:eastAsia="Calibri" w:hAnsi="Arial" w:cs="Arial"/>
          <w:b/>
          <w:color w:val="000000" w:themeColor="text1"/>
          <w:sz w:val="22"/>
        </w:rPr>
        <w:t xml:space="preserve"> </w:t>
      </w:r>
      <w:r w:rsidRPr="00F83DBD">
        <w:rPr>
          <w:rFonts w:ascii="Arial" w:hAnsi="Arial" w:cs="Arial"/>
          <w:b/>
          <w:bCs/>
          <w:color w:val="000000" w:themeColor="text1"/>
          <w:sz w:val="22"/>
          <w:lang w:val="es-ES_tradnl"/>
        </w:rPr>
        <w:t>Diferencia</w:t>
      </w:r>
      <w:r w:rsidR="00A40EAC" w:rsidRPr="00F83DBD">
        <w:rPr>
          <w:rFonts w:ascii="Arial" w:hAnsi="Arial" w:cs="Arial"/>
          <w:b/>
          <w:bCs/>
          <w:color w:val="000000" w:themeColor="text1"/>
          <w:sz w:val="22"/>
          <w:lang w:val="es-ES_tradnl"/>
        </w:rPr>
        <w:t xml:space="preserve"> </w:t>
      </w:r>
      <w:r w:rsidR="00C34A17" w:rsidRPr="00F83DBD">
        <w:rPr>
          <w:rFonts w:ascii="Arial" w:eastAsia="Calibri" w:hAnsi="Arial" w:cs="Arial"/>
          <w:b/>
          <w:color w:val="000000" w:themeColor="text1"/>
          <w:sz w:val="22"/>
        </w:rPr>
        <w:t>–</w:t>
      </w:r>
      <w:r w:rsidR="00A40EAC" w:rsidRPr="00F83DBD">
        <w:rPr>
          <w:rFonts w:ascii="Arial" w:hAnsi="Arial" w:cs="Arial"/>
          <w:b/>
          <w:bCs/>
          <w:color w:val="000000" w:themeColor="text1"/>
          <w:sz w:val="22"/>
          <w:lang w:val="es-ES_tradnl"/>
        </w:rPr>
        <w:t xml:space="preserve"> Autonomía </w:t>
      </w:r>
      <w:r w:rsidR="00C34A17" w:rsidRPr="00F83DBD">
        <w:rPr>
          <w:rFonts w:ascii="Arial" w:eastAsia="Calibri" w:hAnsi="Arial" w:cs="Arial"/>
          <w:b/>
          <w:color w:val="000000" w:themeColor="text1"/>
          <w:sz w:val="22"/>
        </w:rPr>
        <w:t>–</w:t>
      </w:r>
      <w:r w:rsidR="00A40EAC" w:rsidRPr="00F83DBD">
        <w:rPr>
          <w:rFonts w:ascii="Arial" w:hAnsi="Arial" w:cs="Arial"/>
          <w:b/>
          <w:bCs/>
          <w:color w:val="000000" w:themeColor="text1"/>
          <w:sz w:val="22"/>
          <w:lang w:val="es-ES_tradnl"/>
        </w:rPr>
        <w:t xml:space="preserve"> Independencia</w:t>
      </w:r>
    </w:p>
    <w:p w14:paraId="65A69268" w14:textId="77777777" w:rsidR="005D0CE1" w:rsidRPr="00F83DBD" w:rsidRDefault="005D0CE1" w:rsidP="00965243">
      <w:pPr>
        <w:jc w:val="both"/>
        <w:rPr>
          <w:rFonts w:ascii="Arial" w:hAnsi="Arial" w:cs="Arial"/>
          <w:color w:val="000000" w:themeColor="text1"/>
          <w:sz w:val="20"/>
          <w:szCs w:val="20"/>
          <w:lang w:val="es-ES_tradnl"/>
        </w:rPr>
      </w:pPr>
    </w:p>
    <w:p w14:paraId="49B39981" w14:textId="59B995AC" w:rsidR="00D9268A" w:rsidRPr="00F83DBD" w:rsidRDefault="00D467FB" w:rsidP="00965243">
      <w:pPr>
        <w:jc w:val="both"/>
        <w:rPr>
          <w:rFonts w:ascii="Arial" w:hAnsi="Arial" w:cs="Arial"/>
          <w:color w:val="000000" w:themeColor="text1"/>
          <w:sz w:val="20"/>
          <w:szCs w:val="20"/>
          <w:lang w:val="es-ES_tradnl"/>
        </w:rPr>
      </w:pPr>
      <w:r w:rsidRPr="00F83DBD">
        <w:rPr>
          <w:rFonts w:ascii="Arial" w:hAnsi="Arial" w:cs="Arial"/>
          <w:color w:val="000000" w:themeColor="text1"/>
          <w:sz w:val="20"/>
          <w:szCs w:val="20"/>
          <w:lang w:val="es-ES_tradnl"/>
        </w:rPr>
        <w:t xml:space="preserve">iii)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F83DBD">
        <w:rPr>
          <w:rFonts w:ascii="Arial" w:hAnsi="Arial" w:cs="Arial"/>
          <w:i/>
          <w:color w:val="000000" w:themeColor="text1"/>
          <w:sz w:val="20"/>
          <w:szCs w:val="20"/>
          <w:lang w:val="es-ES_tradnl"/>
        </w:rPr>
        <w:t>subordinación y dependencia</w:t>
      </w:r>
      <w:r w:rsidRPr="00F83DBD">
        <w:rPr>
          <w:rFonts w:ascii="Arial" w:hAnsi="Arial" w:cs="Arial"/>
          <w:iCs/>
          <w:color w:val="000000" w:themeColor="text1"/>
          <w:sz w:val="20"/>
          <w:szCs w:val="20"/>
          <w:lang w:val="es-ES_tradnl"/>
        </w:rPr>
        <w:t>,</w:t>
      </w:r>
      <w:r w:rsidRPr="00F83DBD">
        <w:rPr>
          <w:rFonts w:ascii="Arial" w:hAnsi="Arial" w:cs="Arial"/>
          <w:color w:val="000000" w:themeColor="text1"/>
          <w:sz w:val="20"/>
          <w:szCs w:val="2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F83DBD">
        <w:rPr>
          <w:rFonts w:ascii="Arial" w:hAnsi="Arial" w:cs="Arial"/>
          <w:i/>
          <w:color w:val="000000" w:themeColor="text1"/>
          <w:sz w:val="20"/>
          <w:szCs w:val="20"/>
          <w:lang w:val="es-ES_tradnl"/>
        </w:rPr>
        <w:t>no pueden</w:t>
      </w:r>
      <w:r w:rsidRPr="00F83DBD">
        <w:rPr>
          <w:rFonts w:ascii="Arial" w:hAnsi="Arial" w:cs="Arial"/>
          <w:color w:val="000000" w:themeColor="text1"/>
          <w:sz w:val="20"/>
          <w:szCs w:val="2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p>
    <w:p w14:paraId="3FAFC3F2" w14:textId="54FCFA4C" w:rsidR="003A7176" w:rsidRPr="00F83DBD" w:rsidRDefault="003A7176" w:rsidP="00965243">
      <w:pPr>
        <w:jc w:val="both"/>
        <w:rPr>
          <w:rFonts w:ascii="Arial" w:hAnsi="Arial" w:cs="Arial"/>
          <w:color w:val="000000" w:themeColor="text1"/>
          <w:sz w:val="20"/>
          <w:szCs w:val="20"/>
          <w:lang w:val="es-ES_tradnl"/>
        </w:rPr>
      </w:pPr>
    </w:p>
    <w:p w14:paraId="081B1838" w14:textId="15196C91" w:rsidR="003A7176" w:rsidRPr="00F83DBD" w:rsidRDefault="006B3991" w:rsidP="00965243">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PRESTACIÓN DE SERVICIOS </w:t>
      </w:r>
      <w:r w:rsidR="00C34A17" w:rsidRPr="00F83DBD">
        <w:rPr>
          <w:rFonts w:ascii="Arial" w:eastAsia="Calibri" w:hAnsi="Arial" w:cs="Arial"/>
          <w:b/>
          <w:color w:val="000000" w:themeColor="text1"/>
          <w:sz w:val="22"/>
        </w:rPr>
        <w:t>–</w:t>
      </w:r>
      <w:r w:rsidR="00C51B5C" w:rsidRPr="00F83DBD">
        <w:rPr>
          <w:rFonts w:ascii="Arial" w:hAnsi="Arial" w:cs="Arial"/>
          <w:b/>
          <w:bCs/>
          <w:color w:val="000000" w:themeColor="text1"/>
          <w:sz w:val="22"/>
          <w:lang w:val="es-ES_tradnl"/>
        </w:rPr>
        <w:t xml:space="preserve"> </w:t>
      </w:r>
      <w:r>
        <w:rPr>
          <w:rFonts w:ascii="Arial" w:hAnsi="Arial" w:cs="Arial"/>
          <w:b/>
          <w:bCs/>
          <w:color w:val="000000" w:themeColor="text1"/>
          <w:sz w:val="22"/>
          <w:lang w:val="es-ES_tradnl"/>
        </w:rPr>
        <w:t xml:space="preserve">Características </w:t>
      </w:r>
    </w:p>
    <w:p w14:paraId="5B1D311F" w14:textId="4AD3B5FD" w:rsidR="00D9268A" w:rsidRPr="00F83DBD" w:rsidRDefault="00D9268A" w:rsidP="00965243">
      <w:pPr>
        <w:jc w:val="both"/>
        <w:rPr>
          <w:rFonts w:ascii="Arial" w:hAnsi="Arial" w:cs="Arial"/>
          <w:color w:val="000000" w:themeColor="text1"/>
          <w:sz w:val="20"/>
          <w:szCs w:val="20"/>
          <w:lang w:val="es-ES_tradnl"/>
        </w:rPr>
      </w:pPr>
    </w:p>
    <w:p w14:paraId="4595AF31" w14:textId="42DD8F7D" w:rsidR="00D467FB" w:rsidRPr="00F83DBD" w:rsidRDefault="00D467FB" w:rsidP="00965243">
      <w:pPr>
        <w:jc w:val="both"/>
        <w:rPr>
          <w:rFonts w:ascii="Arial" w:hAnsi="Arial" w:cs="Arial"/>
          <w:color w:val="000000" w:themeColor="text1"/>
          <w:sz w:val="20"/>
          <w:szCs w:val="20"/>
          <w:lang w:val="es-ES_tradnl"/>
        </w:rPr>
      </w:pPr>
      <w:r w:rsidRPr="00F83DBD">
        <w:rPr>
          <w:rFonts w:ascii="Arial" w:hAnsi="Arial" w:cs="Arial"/>
          <w:color w:val="000000" w:themeColor="text1"/>
          <w:sz w:val="20"/>
          <w:szCs w:val="20"/>
          <w:lang w:val="es-ES_tradnl"/>
        </w:rPr>
        <w:t>iv) Deben ser temporales</w:t>
      </w:r>
      <w:r w:rsidR="00F25EF1">
        <w:rPr>
          <w:rFonts w:ascii="Arial" w:hAnsi="Arial" w:cs="Arial"/>
          <w:color w:val="000000" w:themeColor="text1"/>
          <w:sz w:val="20"/>
          <w:szCs w:val="20"/>
          <w:lang w:val="es-ES_tradnl"/>
        </w:rPr>
        <w:t xml:space="preserve"> </w:t>
      </w:r>
      <w:r w:rsidR="0000769F" w:rsidRPr="00F83DBD">
        <w:rPr>
          <w:rFonts w:ascii="Arial" w:eastAsia="MS Mincho" w:hAnsi="Arial" w:cs="Arial"/>
          <w:color w:val="000000" w:themeColor="text1"/>
          <w:sz w:val="20"/>
          <w:szCs w:val="20"/>
          <w:lang w:val="es-ES_tradnl"/>
        </w:rPr>
        <w:t>[…]</w:t>
      </w:r>
      <w:r w:rsidR="00F25EF1">
        <w:rPr>
          <w:rFonts w:ascii="Arial" w:eastAsia="MS Mincho" w:hAnsi="Arial" w:cs="Arial"/>
          <w:color w:val="000000" w:themeColor="text1"/>
          <w:sz w:val="20"/>
          <w:szCs w:val="20"/>
          <w:lang w:val="es-ES_tradnl"/>
        </w:rPr>
        <w:t xml:space="preserve">. </w:t>
      </w:r>
      <w:r w:rsidR="006B3991">
        <w:rPr>
          <w:rFonts w:ascii="Arial" w:eastAsia="MS Mincho" w:hAnsi="Arial" w:cs="Arial"/>
          <w:color w:val="000000" w:themeColor="text1"/>
          <w:sz w:val="20"/>
          <w:szCs w:val="20"/>
          <w:lang w:val="es-ES_tradnl"/>
        </w:rPr>
        <w:t xml:space="preserve"> </w:t>
      </w:r>
      <w:r w:rsidRPr="00F83DBD">
        <w:rPr>
          <w:rFonts w:ascii="Arial" w:hAnsi="Arial" w:cs="Arial"/>
          <w:color w:val="000000" w:themeColor="text1"/>
          <w:sz w:val="20"/>
          <w:szCs w:val="20"/>
          <w:lang w:val="es-ES_tradnl"/>
        </w:rPr>
        <w:t xml:space="preserve">v) Los contratos de prestación de servicios profesionales hacen parte del género denominado </w:t>
      </w:r>
      <w:r w:rsidRPr="00F83DBD">
        <w:rPr>
          <w:rFonts w:ascii="Arial" w:hAnsi="Arial" w:cs="Arial"/>
          <w:i/>
          <w:color w:val="000000" w:themeColor="text1"/>
          <w:sz w:val="20"/>
          <w:szCs w:val="20"/>
          <w:lang w:val="es-ES_tradnl"/>
        </w:rPr>
        <w:t>contratos de prestación de servicios</w:t>
      </w:r>
      <w:r w:rsidRPr="00F83DBD">
        <w:rPr>
          <w:rFonts w:ascii="Arial" w:hAnsi="Arial" w:cs="Arial"/>
          <w:color w:val="000000" w:themeColor="text1"/>
          <w:sz w:val="20"/>
          <w:szCs w:val="20"/>
          <w:lang w:val="es-ES_tradnl"/>
        </w:rPr>
        <w:t xml:space="preserve">, dentro del cual también se ubican, como especies, los contratos de prestación de servicios de apoyo a la gestión y los contratos de prestación de servicios artísticos que solo pueden encomendarse a determinadas personas </w:t>
      </w:r>
      <w:r w:rsidRPr="00F83DBD">
        <w:rPr>
          <w:rFonts w:ascii="Arial" w:hAnsi="Arial" w:cs="Arial"/>
          <w:color w:val="000000" w:themeColor="text1"/>
          <w:sz w:val="20"/>
          <w:szCs w:val="20"/>
          <w:lang w:val="es-ES_tradnl"/>
        </w:rPr>
        <w:lastRenderedPageBreak/>
        <w:t xml:space="preserve">naturales. La diferencia entre el contrato de prestación de servicios </w:t>
      </w:r>
      <w:r w:rsidRPr="00F83DBD">
        <w:rPr>
          <w:rFonts w:ascii="Arial" w:hAnsi="Arial" w:cs="Arial"/>
          <w:i/>
          <w:color w:val="000000" w:themeColor="text1"/>
          <w:sz w:val="20"/>
          <w:szCs w:val="20"/>
          <w:lang w:val="es-ES_tradnl"/>
        </w:rPr>
        <w:t>profesionales</w:t>
      </w:r>
      <w:r w:rsidRPr="00F83DBD">
        <w:rPr>
          <w:rFonts w:ascii="Arial" w:hAnsi="Arial" w:cs="Arial"/>
          <w:color w:val="000000" w:themeColor="text1"/>
          <w:sz w:val="20"/>
          <w:szCs w:val="20"/>
          <w:lang w:val="es-ES_tradnl"/>
        </w:rPr>
        <w:t xml:space="preserve"> con las otras dos especies del género en el cual se ubican, radica en su contenido intelectual intangible y, al mismo tiempo, en la formación profesional que se exige para desempeñar la labor.</w:t>
      </w:r>
    </w:p>
    <w:p w14:paraId="49D42AF8" w14:textId="6B814016" w:rsidR="00B070AC" w:rsidRPr="00F83DBD" w:rsidRDefault="00B070AC" w:rsidP="00965243">
      <w:pPr>
        <w:jc w:val="both"/>
        <w:rPr>
          <w:rFonts w:ascii="Arial" w:hAnsi="Arial" w:cs="Arial"/>
          <w:color w:val="000000" w:themeColor="text1"/>
          <w:sz w:val="20"/>
          <w:szCs w:val="20"/>
          <w:lang w:val="es-ES_tradnl"/>
        </w:rPr>
      </w:pPr>
    </w:p>
    <w:p w14:paraId="58847D95" w14:textId="741EB18A" w:rsidR="00B070AC" w:rsidRPr="00F83DBD" w:rsidRDefault="00F6267D" w:rsidP="00965243">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PRESTACIÓN DE </w:t>
      </w:r>
      <w:r w:rsidRPr="00F83DBD">
        <w:rPr>
          <w:rFonts w:ascii="Arial" w:hAnsi="Arial" w:cs="Arial"/>
          <w:b/>
          <w:bCs/>
          <w:color w:val="000000" w:themeColor="text1"/>
          <w:sz w:val="22"/>
          <w:lang w:val="es-ES_tradnl"/>
        </w:rPr>
        <w:t xml:space="preserve">SERVICIOS </w:t>
      </w:r>
      <w:r w:rsidR="00C34A17" w:rsidRPr="00F83DBD">
        <w:rPr>
          <w:rFonts w:ascii="Arial" w:eastAsia="Calibri" w:hAnsi="Arial" w:cs="Arial"/>
          <w:b/>
          <w:color w:val="000000" w:themeColor="text1"/>
          <w:sz w:val="22"/>
        </w:rPr>
        <w:t>–</w:t>
      </w:r>
      <w:r w:rsidR="00B070AC" w:rsidRPr="00F83DBD">
        <w:rPr>
          <w:rFonts w:ascii="Arial" w:hAnsi="Arial" w:cs="Arial"/>
          <w:b/>
          <w:bCs/>
          <w:color w:val="000000" w:themeColor="text1"/>
          <w:sz w:val="22"/>
          <w:lang w:val="es-ES_tradnl"/>
        </w:rPr>
        <w:t xml:space="preserve"> Modalidad selección </w:t>
      </w:r>
      <w:r w:rsidR="00C34A17" w:rsidRPr="00F83DBD">
        <w:rPr>
          <w:rFonts w:ascii="Arial" w:eastAsia="Calibri" w:hAnsi="Arial" w:cs="Arial"/>
          <w:b/>
          <w:color w:val="000000" w:themeColor="text1"/>
          <w:sz w:val="22"/>
        </w:rPr>
        <w:t>–</w:t>
      </w:r>
      <w:r w:rsidR="00B070AC" w:rsidRPr="00F83DBD">
        <w:rPr>
          <w:rFonts w:ascii="Arial" w:hAnsi="Arial" w:cs="Arial"/>
          <w:b/>
          <w:bCs/>
          <w:color w:val="000000" w:themeColor="text1"/>
          <w:sz w:val="22"/>
          <w:lang w:val="es-ES_tradnl"/>
        </w:rPr>
        <w:t xml:space="preserve"> Contratación directa</w:t>
      </w:r>
    </w:p>
    <w:p w14:paraId="1A6EC3E5" w14:textId="77777777" w:rsidR="00D467FB" w:rsidRPr="00F83DBD" w:rsidRDefault="00D467FB" w:rsidP="00965243">
      <w:pPr>
        <w:ind w:right="709"/>
        <w:jc w:val="both"/>
        <w:rPr>
          <w:rFonts w:ascii="Arial" w:hAnsi="Arial" w:cs="Arial"/>
          <w:color w:val="000000" w:themeColor="text1"/>
          <w:sz w:val="20"/>
          <w:szCs w:val="20"/>
          <w:lang w:val="es-ES_tradnl"/>
        </w:rPr>
      </w:pPr>
    </w:p>
    <w:p w14:paraId="265DDA8C" w14:textId="2BAA09D5" w:rsidR="00D467FB" w:rsidRPr="00F83DBD" w:rsidRDefault="00D467FB" w:rsidP="00965243">
      <w:pPr>
        <w:jc w:val="both"/>
        <w:rPr>
          <w:rFonts w:ascii="Arial" w:hAnsi="Arial" w:cs="Arial"/>
          <w:color w:val="000000" w:themeColor="text1"/>
          <w:sz w:val="20"/>
          <w:szCs w:val="20"/>
          <w:lang w:val="es-ES_tradnl"/>
        </w:rPr>
      </w:pPr>
      <w:r w:rsidRPr="00F83DBD">
        <w:rPr>
          <w:rFonts w:ascii="Arial" w:hAnsi="Arial" w:cs="Arial"/>
          <w:color w:val="000000" w:themeColor="text1"/>
          <w:sz w:val="20"/>
          <w:szCs w:val="20"/>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p>
    <w:p w14:paraId="61B0CA08" w14:textId="77777777" w:rsidR="00D467FB" w:rsidRPr="00F83DBD" w:rsidRDefault="00D467FB" w:rsidP="00965243">
      <w:pPr>
        <w:jc w:val="both"/>
        <w:rPr>
          <w:rFonts w:ascii="Arial" w:hAnsi="Arial" w:cs="Arial"/>
          <w:color w:val="000000" w:themeColor="text1"/>
          <w:sz w:val="20"/>
          <w:szCs w:val="20"/>
          <w:lang w:val="es-ES_tradnl"/>
        </w:rPr>
      </w:pPr>
    </w:p>
    <w:p w14:paraId="56438453" w14:textId="4DD4864A" w:rsidR="00D467FB" w:rsidRPr="00F83DBD" w:rsidRDefault="00631407" w:rsidP="00965243">
      <w:pPr>
        <w:jc w:val="both"/>
        <w:rPr>
          <w:rFonts w:ascii="Arial" w:hAnsi="Arial" w:cs="Arial"/>
          <w:b/>
          <w:bCs/>
          <w:color w:val="000000" w:themeColor="text1"/>
          <w:sz w:val="22"/>
          <w:lang w:val="es-ES_tradnl"/>
        </w:rPr>
      </w:pPr>
      <w:r w:rsidRPr="00F83DBD">
        <w:rPr>
          <w:rFonts w:ascii="Arial" w:hAnsi="Arial" w:cs="Arial"/>
          <w:b/>
          <w:bCs/>
          <w:color w:val="000000" w:themeColor="text1"/>
          <w:sz w:val="22"/>
          <w:lang w:val="es-ES_tradnl"/>
        </w:rPr>
        <w:t>FORMACIÓN ACADÉMI</w:t>
      </w:r>
      <w:r w:rsidR="000335E2">
        <w:rPr>
          <w:rFonts w:ascii="Arial" w:hAnsi="Arial" w:cs="Arial"/>
          <w:b/>
          <w:bCs/>
          <w:color w:val="000000" w:themeColor="text1"/>
          <w:sz w:val="22"/>
          <w:lang w:val="es-ES_tradnl"/>
        </w:rPr>
        <w:t>C</w:t>
      </w:r>
      <w:r w:rsidRPr="00F83DBD">
        <w:rPr>
          <w:rFonts w:ascii="Arial" w:hAnsi="Arial" w:cs="Arial"/>
          <w:b/>
          <w:bCs/>
          <w:color w:val="000000" w:themeColor="text1"/>
          <w:sz w:val="22"/>
          <w:lang w:val="es-ES_tradnl"/>
        </w:rPr>
        <w:t xml:space="preserve">A </w:t>
      </w:r>
      <w:r w:rsidR="00C34A17" w:rsidRPr="00F83DBD">
        <w:rPr>
          <w:rFonts w:ascii="Arial" w:eastAsia="Calibri" w:hAnsi="Arial" w:cs="Arial"/>
          <w:b/>
          <w:color w:val="000000" w:themeColor="text1"/>
          <w:sz w:val="22"/>
        </w:rPr>
        <w:t>–</w:t>
      </w:r>
      <w:r w:rsidR="00977A2C" w:rsidRPr="00F83DBD">
        <w:rPr>
          <w:rFonts w:ascii="Arial" w:hAnsi="Arial" w:cs="Arial"/>
          <w:b/>
          <w:bCs/>
          <w:color w:val="000000" w:themeColor="text1"/>
          <w:sz w:val="22"/>
          <w:lang w:val="es-ES_tradnl"/>
        </w:rPr>
        <w:t xml:space="preserve"> Acreditación </w:t>
      </w:r>
      <w:r w:rsidR="00C34A17" w:rsidRPr="00F83DBD">
        <w:rPr>
          <w:rFonts w:ascii="Arial" w:eastAsia="Calibri" w:hAnsi="Arial" w:cs="Arial"/>
          <w:b/>
          <w:color w:val="000000" w:themeColor="text1"/>
          <w:sz w:val="22"/>
        </w:rPr>
        <w:t>–</w:t>
      </w:r>
      <w:r w:rsidR="00977A2C" w:rsidRPr="00F83DBD">
        <w:rPr>
          <w:rFonts w:ascii="Arial" w:hAnsi="Arial" w:cs="Arial"/>
          <w:b/>
          <w:bCs/>
          <w:color w:val="000000" w:themeColor="text1"/>
          <w:sz w:val="22"/>
          <w:lang w:val="es-ES_tradnl"/>
        </w:rPr>
        <w:t xml:space="preserve"> Profesión </w:t>
      </w:r>
      <w:r w:rsidR="00C34A17" w:rsidRPr="00F83DBD">
        <w:rPr>
          <w:rFonts w:ascii="Arial" w:eastAsia="Calibri" w:hAnsi="Arial" w:cs="Arial"/>
          <w:b/>
          <w:color w:val="000000" w:themeColor="text1"/>
          <w:sz w:val="22"/>
        </w:rPr>
        <w:t>–</w:t>
      </w:r>
      <w:r w:rsidR="004E6938" w:rsidRPr="00F83DBD">
        <w:rPr>
          <w:rFonts w:ascii="Arial" w:hAnsi="Arial" w:cs="Arial"/>
          <w:b/>
          <w:bCs/>
          <w:color w:val="000000" w:themeColor="text1"/>
          <w:sz w:val="22"/>
          <w:lang w:val="es-ES_tradnl"/>
        </w:rPr>
        <w:t xml:space="preserve"> Servicios profesionales </w:t>
      </w:r>
    </w:p>
    <w:p w14:paraId="773841CF" w14:textId="77777777" w:rsidR="00D467FB" w:rsidRPr="00F83DBD" w:rsidRDefault="00D467FB" w:rsidP="00965243">
      <w:pPr>
        <w:jc w:val="both"/>
        <w:rPr>
          <w:rFonts w:ascii="Arial" w:hAnsi="Arial" w:cs="Arial"/>
          <w:b/>
          <w:bCs/>
          <w:color w:val="000000" w:themeColor="text1"/>
          <w:sz w:val="20"/>
          <w:szCs w:val="20"/>
          <w:lang w:val="es-ES_tradnl"/>
        </w:rPr>
      </w:pPr>
    </w:p>
    <w:p w14:paraId="4345BBC6" w14:textId="04FFA4E0" w:rsidR="00D467FB" w:rsidRPr="00F83DBD" w:rsidRDefault="00D467FB" w:rsidP="00965243">
      <w:pPr>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Conforme a lo anterior, si el objeto del contrato de prestación de servicios requiere del desarrollo de actividades que implican el ejercicio de una profesión o de conocimientos especializados que derivan de una formación académica, deben ser acreditados conforme a la normativa para el ejercicio de una profesión o actividad determinada, y de acuerdo con los parámetros o lineamientos que establece el Ministerio de Educación para su convalidación de títulos obtenidos en el exterior. </w:t>
      </w:r>
    </w:p>
    <w:p w14:paraId="5E64E6DC" w14:textId="5FF97CAE" w:rsidR="00977A2C" w:rsidRPr="00F83DBD" w:rsidRDefault="00977A2C" w:rsidP="00965243">
      <w:pPr>
        <w:jc w:val="both"/>
        <w:rPr>
          <w:rFonts w:ascii="Arial" w:eastAsia="Calibri" w:hAnsi="Arial" w:cs="Arial"/>
          <w:color w:val="000000" w:themeColor="text1"/>
          <w:sz w:val="20"/>
          <w:szCs w:val="20"/>
        </w:rPr>
      </w:pPr>
    </w:p>
    <w:p w14:paraId="01311B99" w14:textId="7ECB6094" w:rsidR="00977A2C" w:rsidRPr="00F83DBD" w:rsidRDefault="002A2A8E" w:rsidP="00965243">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 xml:space="preserve">CONVALIDACIÓN </w:t>
      </w:r>
      <w:r w:rsidR="009B50F5" w:rsidRPr="00F83DBD">
        <w:rPr>
          <w:rFonts w:ascii="Arial" w:eastAsia="Calibri" w:hAnsi="Arial" w:cs="Arial"/>
          <w:b/>
          <w:bCs/>
          <w:color w:val="000000" w:themeColor="text1"/>
          <w:sz w:val="22"/>
        </w:rPr>
        <w:t xml:space="preserve">DE </w:t>
      </w:r>
      <w:r w:rsidRPr="00F83DBD">
        <w:rPr>
          <w:rFonts w:ascii="Arial" w:eastAsia="Calibri" w:hAnsi="Arial" w:cs="Arial"/>
          <w:b/>
          <w:bCs/>
          <w:color w:val="000000" w:themeColor="text1"/>
          <w:sz w:val="22"/>
        </w:rPr>
        <w:t>TÍTULOS</w:t>
      </w:r>
      <w:r w:rsidR="000E14ED" w:rsidRPr="00F83DBD">
        <w:rPr>
          <w:rFonts w:ascii="Arial" w:eastAsia="Calibri" w:hAnsi="Arial" w:cs="Arial"/>
          <w:b/>
          <w:bCs/>
          <w:color w:val="000000" w:themeColor="text1"/>
          <w:sz w:val="22"/>
        </w:rPr>
        <w:t xml:space="preserve"> </w:t>
      </w:r>
      <w:r w:rsidR="00C34A17" w:rsidRPr="00F83DBD">
        <w:rPr>
          <w:rFonts w:ascii="Arial" w:eastAsia="Calibri" w:hAnsi="Arial" w:cs="Arial"/>
          <w:b/>
          <w:color w:val="000000" w:themeColor="text1"/>
          <w:sz w:val="22"/>
        </w:rPr>
        <w:t>–</w:t>
      </w:r>
      <w:r w:rsidR="000E14ED" w:rsidRPr="00F83DBD">
        <w:rPr>
          <w:rFonts w:ascii="Arial" w:eastAsia="Calibri" w:hAnsi="Arial" w:cs="Arial"/>
          <w:b/>
          <w:bCs/>
          <w:color w:val="000000" w:themeColor="text1"/>
          <w:sz w:val="22"/>
        </w:rPr>
        <w:t xml:space="preserve"> Título obtenido en el exterior</w:t>
      </w:r>
      <w:r w:rsidRPr="00F83DBD">
        <w:rPr>
          <w:rFonts w:ascii="Arial" w:eastAsia="Calibri" w:hAnsi="Arial" w:cs="Arial"/>
          <w:b/>
          <w:bCs/>
          <w:color w:val="000000" w:themeColor="text1"/>
          <w:sz w:val="22"/>
        </w:rPr>
        <w:t xml:space="preserve"> </w:t>
      </w:r>
      <w:r w:rsidR="00C34A17" w:rsidRPr="00F83DBD">
        <w:rPr>
          <w:rFonts w:ascii="Arial" w:eastAsia="Calibri" w:hAnsi="Arial" w:cs="Arial"/>
          <w:b/>
          <w:color w:val="000000" w:themeColor="text1"/>
          <w:sz w:val="22"/>
        </w:rPr>
        <w:t>–</w:t>
      </w:r>
      <w:r w:rsidR="00752243" w:rsidRPr="00F83DBD">
        <w:rPr>
          <w:rFonts w:ascii="Arial" w:eastAsia="Calibri" w:hAnsi="Arial" w:cs="Arial"/>
          <w:b/>
          <w:bCs/>
          <w:color w:val="000000" w:themeColor="text1"/>
          <w:sz w:val="22"/>
        </w:rPr>
        <w:t xml:space="preserve"> Procedimiento de convalidación </w:t>
      </w:r>
      <w:r w:rsidR="00C34A17" w:rsidRPr="00F83DBD">
        <w:rPr>
          <w:rFonts w:ascii="Arial" w:eastAsia="Calibri" w:hAnsi="Arial" w:cs="Arial"/>
          <w:b/>
          <w:color w:val="000000" w:themeColor="text1"/>
          <w:sz w:val="22"/>
        </w:rPr>
        <w:t>–</w:t>
      </w:r>
      <w:r w:rsidR="00752243" w:rsidRPr="00F83DBD">
        <w:rPr>
          <w:rFonts w:ascii="Arial" w:eastAsia="Calibri" w:hAnsi="Arial" w:cs="Arial"/>
          <w:b/>
          <w:bCs/>
          <w:color w:val="000000" w:themeColor="text1"/>
          <w:sz w:val="22"/>
        </w:rPr>
        <w:t xml:space="preserve"> Autoridad competente </w:t>
      </w:r>
      <w:r w:rsidR="00C34A17" w:rsidRPr="00F83DBD">
        <w:rPr>
          <w:rFonts w:ascii="Arial" w:eastAsia="Calibri" w:hAnsi="Arial" w:cs="Arial"/>
          <w:b/>
          <w:color w:val="000000" w:themeColor="text1"/>
          <w:sz w:val="22"/>
        </w:rPr>
        <w:t>–</w:t>
      </w:r>
      <w:r w:rsidR="00752243" w:rsidRPr="00F83DBD">
        <w:rPr>
          <w:rFonts w:ascii="Arial" w:eastAsia="Calibri" w:hAnsi="Arial" w:cs="Arial"/>
          <w:b/>
          <w:bCs/>
          <w:color w:val="000000" w:themeColor="text1"/>
          <w:sz w:val="22"/>
        </w:rPr>
        <w:t xml:space="preserve"> Efectos </w:t>
      </w:r>
      <w:r w:rsidR="00A97F41" w:rsidRPr="00F83DBD">
        <w:rPr>
          <w:rFonts w:ascii="Arial" w:eastAsia="Calibri" w:hAnsi="Arial" w:cs="Arial"/>
          <w:b/>
          <w:bCs/>
          <w:color w:val="000000" w:themeColor="text1"/>
          <w:sz w:val="22"/>
        </w:rPr>
        <w:t xml:space="preserve">jurídicos </w:t>
      </w:r>
      <w:r w:rsidR="00C34A17" w:rsidRPr="00F83DBD">
        <w:rPr>
          <w:rFonts w:ascii="Arial" w:eastAsia="Calibri" w:hAnsi="Arial" w:cs="Arial"/>
          <w:b/>
          <w:color w:val="000000" w:themeColor="text1"/>
          <w:sz w:val="22"/>
        </w:rPr>
        <w:t>–</w:t>
      </w:r>
      <w:r w:rsidR="00A97F41" w:rsidRPr="00F83DBD">
        <w:rPr>
          <w:rFonts w:ascii="Arial" w:eastAsia="Calibri" w:hAnsi="Arial" w:cs="Arial"/>
          <w:b/>
          <w:bCs/>
          <w:color w:val="000000" w:themeColor="text1"/>
          <w:sz w:val="22"/>
        </w:rPr>
        <w:t xml:space="preserve"> Validez </w:t>
      </w:r>
    </w:p>
    <w:p w14:paraId="13A660AE" w14:textId="77777777" w:rsidR="00977A2C" w:rsidRPr="00F83DBD" w:rsidRDefault="00977A2C" w:rsidP="00965243">
      <w:pPr>
        <w:jc w:val="both"/>
        <w:rPr>
          <w:rFonts w:ascii="Arial" w:eastAsia="Calibri" w:hAnsi="Arial" w:cs="Arial"/>
          <w:color w:val="000000" w:themeColor="text1"/>
          <w:sz w:val="20"/>
          <w:szCs w:val="20"/>
        </w:rPr>
      </w:pPr>
    </w:p>
    <w:p w14:paraId="3D64DD7C" w14:textId="77777777" w:rsidR="007C3D56" w:rsidRPr="00F83DBD" w:rsidRDefault="00D467FB" w:rsidP="007C3D56">
      <w:pPr>
        <w:spacing w:after="120"/>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El artículo 191 de la Ley 1955 de 2019, Ley del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14:paraId="6DF47320" w14:textId="5003D08F" w:rsidR="00D467FB" w:rsidRPr="00F83DBD" w:rsidRDefault="00D467FB" w:rsidP="007C3D56">
      <w:pPr>
        <w:spacing w:before="120"/>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En esta resolución se establece que la convalidación es el proceso de reconocimiento que hace el Ministerio de Educación Nacional a los títulos de educación superior otorgados en el exterior, para que tengan los mismos efectos jurídicos y académicos de los conferidos en el país. Este procedimiento busca garantizar la calidad de la educación superior, cuya metodología consiste en revisar la legalidad los contenidos académicos de los títulos otorgados en el exterior, contrastándolos con los lineamientos, programas académicos y estándares de Colombia, con el fin de garantizar la idoneidad profesional de quienes los detentan, y que aquellos puedan ser reconocidos para todos los efectos legales en el territorio nacional. </w:t>
      </w:r>
    </w:p>
    <w:p w14:paraId="0BF025A0" w14:textId="4E57EB02" w:rsidR="00A97F41" w:rsidRPr="00F83DBD" w:rsidRDefault="00A97F41" w:rsidP="00965243">
      <w:pPr>
        <w:jc w:val="both"/>
        <w:rPr>
          <w:rFonts w:ascii="Arial" w:eastAsia="Calibri" w:hAnsi="Arial" w:cs="Arial"/>
          <w:color w:val="000000" w:themeColor="text1"/>
          <w:sz w:val="20"/>
          <w:szCs w:val="20"/>
        </w:rPr>
      </w:pPr>
    </w:p>
    <w:p w14:paraId="1DDF912F" w14:textId="09AF4A15" w:rsidR="00A97F41" w:rsidRPr="00F83DBD" w:rsidRDefault="00A97F41" w:rsidP="00965243">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CONVALIDACIÓN</w:t>
      </w:r>
      <w:r w:rsidR="009B50F5" w:rsidRPr="00F83DBD">
        <w:rPr>
          <w:rFonts w:ascii="Arial" w:eastAsia="Calibri" w:hAnsi="Arial" w:cs="Arial"/>
          <w:b/>
          <w:bCs/>
          <w:color w:val="000000" w:themeColor="text1"/>
          <w:sz w:val="22"/>
        </w:rPr>
        <w:t xml:space="preserve"> DE TÍTULOS</w:t>
      </w:r>
      <w:r w:rsidRPr="00F83DBD">
        <w:rPr>
          <w:rFonts w:ascii="Arial" w:eastAsia="Calibri" w:hAnsi="Arial" w:cs="Arial"/>
          <w:b/>
          <w:bCs/>
          <w:color w:val="000000" w:themeColor="text1"/>
          <w:sz w:val="22"/>
        </w:rPr>
        <w:t xml:space="preserve"> </w:t>
      </w:r>
      <w:r w:rsidR="00C34A17" w:rsidRPr="00F83DBD">
        <w:rPr>
          <w:rFonts w:ascii="Arial" w:eastAsia="Calibri" w:hAnsi="Arial" w:cs="Arial"/>
          <w:b/>
          <w:color w:val="000000" w:themeColor="text1"/>
          <w:sz w:val="22"/>
        </w:rPr>
        <w:t>–</w:t>
      </w:r>
      <w:r w:rsidR="00B11431">
        <w:rPr>
          <w:rFonts w:ascii="Arial" w:eastAsia="Calibri" w:hAnsi="Arial" w:cs="Arial"/>
          <w:b/>
          <w:bCs/>
          <w:color w:val="000000" w:themeColor="text1"/>
          <w:sz w:val="22"/>
        </w:rPr>
        <w:t xml:space="preserve"> </w:t>
      </w:r>
      <w:r w:rsidR="0080452E" w:rsidRPr="00F83DBD">
        <w:rPr>
          <w:rFonts w:ascii="Arial" w:eastAsia="Calibri" w:hAnsi="Arial" w:cs="Arial"/>
          <w:b/>
          <w:bCs/>
          <w:color w:val="000000" w:themeColor="text1"/>
          <w:sz w:val="22"/>
        </w:rPr>
        <w:t xml:space="preserve">Criterios </w:t>
      </w:r>
      <w:r w:rsidR="00C34A17" w:rsidRPr="00F83DBD">
        <w:rPr>
          <w:rFonts w:ascii="Arial" w:eastAsia="Calibri" w:hAnsi="Arial" w:cs="Arial"/>
          <w:b/>
          <w:color w:val="000000" w:themeColor="text1"/>
          <w:sz w:val="22"/>
        </w:rPr>
        <w:t>–</w:t>
      </w:r>
      <w:r w:rsidR="0080452E" w:rsidRPr="00F83DBD">
        <w:rPr>
          <w:rFonts w:ascii="Arial" w:eastAsia="Calibri" w:hAnsi="Arial" w:cs="Arial"/>
          <w:b/>
          <w:bCs/>
          <w:color w:val="000000" w:themeColor="text1"/>
          <w:sz w:val="22"/>
        </w:rPr>
        <w:t xml:space="preserve"> Acreditación o reconocimiento </w:t>
      </w:r>
      <w:r w:rsidR="00C34A17" w:rsidRPr="00F83DBD">
        <w:rPr>
          <w:rFonts w:ascii="Arial" w:eastAsia="Calibri" w:hAnsi="Arial" w:cs="Arial"/>
          <w:b/>
          <w:color w:val="000000" w:themeColor="text1"/>
          <w:sz w:val="22"/>
        </w:rPr>
        <w:t>–</w:t>
      </w:r>
      <w:r w:rsidR="0080452E" w:rsidRPr="00F83DBD">
        <w:rPr>
          <w:rFonts w:ascii="Arial" w:eastAsia="Calibri" w:hAnsi="Arial" w:cs="Arial"/>
          <w:b/>
          <w:bCs/>
          <w:color w:val="000000" w:themeColor="text1"/>
          <w:sz w:val="22"/>
        </w:rPr>
        <w:t xml:space="preserve"> Precedente Administrativo </w:t>
      </w:r>
      <w:r w:rsidR="00C34A17" w:rsidRPr="00F83DBD">
        <w:rPr>
          <w:rFonts w:ascii="Arial" w:eastAsia="Calibri" w:hAnsi="Arial" w:cs="Arial"/>
          <w:b/>
          <w:color w:val="000000" w:themeColor="text1"/>
          <w:sz w:val="22"/>
        </w:rPr>
        <w:t>–</w:t>
      </w:r>
      <w:r w:rsidR="0080452E" w:rsidRPr="00F83DBD">
        <w:rPr>
          <w:rFonts w:ascii="Arial" w:eastAsia="Calibri" w:hAnsi="Arial" w:cs="Arial"/>
          <w:b/>
          <w:bCs/>
          <w:color w:val="000000" w:themeColor="text1"/>
          <w:sz w:val="22"/>
        </w:rPr>
        <w:t xml:space="preserve"> Evaluación académica</w:t>
      </w:r>
    </w:p>
    <w:p w14:paraId="2FB5039A" w14:textId="77777777" w:rsidR="00A97F41" w:rsidRPr="00F83DBD" w:rsidRDefault="00A97F41" w:rsidP="00965243">
      <w:pPr>
        <w:jc w:val="both"/>
        <w:rPr>
          <w:rFonts w:ascii="Arial" w:eastAsia="Calibri" w:hAnsi="Arial" w:cs="Arial"/>
          <w:color w:val="000000" w:themeColor="text1"/>
          <w:sz w:val="20"/>
          <w:szCs w:val="20"/>
        </w:rPr>
      </w:pPr>
    </w:p>
    <w:p w14:paraId="3E6F9212" w14:textId="77777777" w:rsidR="00C96477" w:rsidRPr="00F83DBD" w:rsidRDefault="00D467FB" w:rsidP="00965243">
      <w:pPr>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La convalidación tiene 3 criterios u opciones de tramitarse: i) acreditación o reconocimiento, ii) precedente administrativo y iii) evaluación académica. El primero se encuentra regulado en el artículo 13 de la Resolución y procede cuando se han cumplido todos los requisitos generales y el Ministerio de Educación Nacional verifica que el programa académico se encuentra acreditado en el país de origen.</w:t>
      </w:r>
    </w:p>
    <w:p w14:paraId="00C7A0B4" w14:textId="77777777" w:rsidR="00C96477" w:rsidRPr="00F83DBD" w:rsidRDefault="00D467FB" w:rsidP="003C481D">
      <w:pPr>
        <w:spacing w:before="120" w:after="120"/>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El segundo, </w:t>
      </w:r>
      <w:r w:rsidRPr="00F83DBD">
        <w:rPr>
          <w:rFonts w:ascii="Arial" w:eastAsia="Calibri" w:hAnsi="Arial" w:cs="Arial"/>
          <w:i/>
          <w:color w:val="000000" w:themeColor="text1"/>
          <w:sz w:val="20"/>
          <w:szCs w:val="20"/>
        </w:rPr>
        <w:t xml:space="preserve">«precedente administrativo» </w:t>
      </w:r>
      <w:r w:rsidRPr="00F83DBD">
        <w:rPr>
          <w:rFonts w:ascii="Arial" w:eastAsia="Calibri" w:hAnsi="Arial" w:cs="Arial"/>
          <w:color w:val="000000" w:themeColor="text1"/>
          <w:sz w:val="20"/>
          <w:szCs w:val="20"/>
        </w:rPr>
        <w:t>está regulado en el artículo 15 y procede en aquellos eventos en que el título que se va a convalidar es similar a otros que ya han sido convalidado en la forma establecida en dicho artículo.</w:t>
      </w:r>
    </w:p>
    <w:p w14:paraId="5BBA5777" w14:textId="056CC0CF" w:rsidR="00D467FB" w:rsidRPr="00F83DBD" w:rsidRDefault="00D467FB" w:rsidP="00965243">
      <w:pPr>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lastRenderedPageBreak/>
        <w:t xml:space="preserve">El tercero, </w:t>
      </w:r>
      <w:r w:rsidRPr="00F83DBD">
        <w:rPr>
          <w:rFonts w:ascii="Arial" w:eastAsia="Calibri" w:hAnsi="Arial" w:cs="Arial"/>
          <w:i/>
          <w:color w:val="000000" w:themeColor="text1"/>
          <w:sz w:val="20"/>
          <w:szCs w:val="20"/>
        </w:rPr>
        <w:t>«evaluación académica»,</w:t>
      </w:r>
      <w:r w:rsidRPr="00F83DBD">
        <w:rPr>
          <w:rFonts w:ascii="Arial" w:eastAsia="Calibri" w:hAnsi="Arial" w:cs="Arial"/>
          <w:color w:val="000000" w:themeColor="text1"/>
          <w:sz w:val="20"/>
          <w:szCs w:val="20"/>
        </w:rPr>
        <w:t xml:space="preserve"> se encuentra regulado en el artículo 17 de la misma resolución y consiste en que un órgano evaluador designado por el Ministerio de Educación Nacional, que generalmente es la Comisión Nacional Intersectorial de Aseguramiento de la Calidad de la Educación Superior CONACES, estudia y emite concepto sobre la formación que adquirió el solicitante en el exterior. De manera que, dentro de los 15 días siguientes a la presentación de la solicitud, el Ministerio deberá determinar cuál de estos 3 procedimientos corresponde aplicar. </w:t>
      </w:r>
    </w:p>
    <w:p w14:paraId="5424032B" w14:textId="0BB23A9A" w:rsidR="0080452E" w:rsidRPr="00F83DBD" w:rsidRDefault="0080452E" w:rsidP="00965243">
      <w:pPr>
        <w:jc w:val="both"/>
        <w:rPr>
          <w:rFonts w:ascii="Arial" w:eastAsia="Calibri" w:hAnsi="Arial" w:cs="Arial"/>
          <w:color w:val="000000" w:themeColor="text1"/>
          <w:sz w:val="20"/>
          <w:szCs w:val="20"/>
        </w:rPr>
      </w:pPr>
    </w:p>
    <w:p w14:paraId="4F7EE017" w14:textId="43F8834F" w:rsidR="0080452E" w:rsidRPr="00F83DBD" w:rsidRDefault="0080452E" w:rsidP="00965243">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CONVALIDACIÓN</w:t>
      </w:r>
      <w:r w:rsidR="009B50F5" w:rsidRPr="00F83DBD">
        <w:rPr>
          <w:rFonts w:ascii="Arial" w:eastAsia="Calibri" w:hAnsi="Arial" w:cs="Arial"/>
          <w:b/>
          <w:bCs/>
          <w:color w:val="000000" w:themeColor="text1"/>
          <w:sz w:val="22"/>
        </w:rPr>
        <w:t xml:space="preserve"> DE TÍTULOS</w:t>
      </w:r>
      <w:r w:rsidRPr="00F83DBD">
        <w:rPr>
          <w:rFonts w:ascii="Arial" w:eastAsia="Calibri" w:hAnsi="Arial" w:cs="Arial"/>
          <w:b/>
          <w:bCs/>
          <w:color w:val="000000" w:themeColor="text1"/>
          <w:sz w:val="22"/>
        </w:rPr>
        <w:t xml:space="preserve"> </w:t>
      </w:r>
      <w:r w:rsidR="00C34A17" w:rsidRPr="00F83DBD">
        <w:rPr>
          <w:rFonts w:ascii="Arial" w:eastAsia="Calibri" w:hAnsi="Arial" w:cs="Arial"/>
          <w:b/>
          <w:color w:val="000000" w:themeColor="text1"/>
          <w:sz w:val="22"/>
        </w:rPr>
        <w:t>–</w:t>
      </w:r>
      <w:r w:rsidRPr="00F83DBD">
        <w:rPr>
          <w:rFonts w:ascii="Arial" w:eastAsia="Calibri" w:hAnsi="Arial" w:cs="Arial"/>
          <w:b/>
          <w:bCs/>
          <w:color w:val="000000" w:themeColor="text1"/>
          <w:sz w:val="22"/>
        </w:rPr>
        <w:t xml:space="preserve"> R</w:t>
      </w:r>
      <w:r w:rsidR="009B50F5" w:rsidRPr="00F83DBD">
        <w:rPr>
          <w:rFonts w:ascii="Arial" w:eastAsia="Calibri" w:hAnsi="Arial" w:cs="Arial"/>
          <w:b/>
          <w:bCs/>
          <w:color w:val="000000" w:themeColor="text1"/>
          <w:sz w:val="22"/>
        </w:rPr>
        <w:t>eglamentación</w:t>
      </w:r>
    </w:p>
    <w:p w14:paraId="35BF6C80" w14:textId="77777777" w:rsidR="0080452E" w:rsidRPr="00F83DBD" w:rsidRDefault="0080452E" w:rsidP="00965243">
      <w:pPr>
        <w:jc w:val="both"/>
        <w:rPr>
          <w:rFonts w:ascii="Arial" w:eastAsia="Calibri" w:hAnsi="Arial" w:cs="Arial"/>
          <w:color w:val="000000" w:themeColor="text1"/>
          <w:sz w:val="20"/>
          <w:szCs w:val="20"/>
        </w:rPr>
      </w:pPr>
    </w:p>
    <w:p w14:paraId="619770D5" w14:textId="77777777" w:rsidR="003C481D" w:rsidRPr="00F83DBD" w:rsidRDefault="00D467FB" w:rsidP="003C481D">
      <w:pPr>
        <w:spacing w:after="120"/>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Es pertinente resaltar que el Ministerio adelanta una revisión de legalidad contenida en el artículo 10 de la Resolución 10687 de 2019, que consiste en revisar la naturaleza jurídica de la institución que otorga el título y del título mismo, así como la autorización dada por la autoridad competente en el país de origen para su funcionamiento y para expedición de diplomas y sobre las condiciones y características de los documentos radicados; y posteriormente, hace la verificación de los programas académicos teniendo en cuenta las particularidades de cada uno de los criterios de convalidación.</w:t>
      </w:r>
    </w:p>
    <w:p w14:paraId="0495C7B9" w14:textId="09D07F1D" w:rsidR="00D467FB" w:rsidRPr="00F83DBD" w:rsidRDefault="00D467FB" w:rsidP="003C481D">
      <w:pPr>
        <w:spacing w:before="120"/>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De manera que, conforme al marco normativo establecido en el plan de desarrollo y en la Resolución referida, a través de este procedimiento es que los títulos de educación superior otorgados por instituciones educativos extranjeras, por programas académicos con reconocimiento oficial en el país de origen, puedan ser válidos dentro del territorio nacional. </w:t>
      </w:r>
    </w:p>
    <w:p w14:paraId="047BE90B" w14:textId="551DB94E" w:rsidR="009B50F5" w:rsidRPr="00F83DBD" w:rsidRDefault="009B50F5" w:rsidP="00965243">
      <w:pPr>
        <w:jc w:val="both"/>
        <w:rPr>
          <w:rFonts w:ascii="Arial" w:eastAsia="Calibri" w:hAnsi="Arial" w:cs="Arial"/>
          <w:color w:val="000000" w:themeColor="text1"/>
          <w:sz w:val="20"/>
          <w:szCs w:val="20"/>
        </w:rPr>
      </w:pPr>
    </w:p>
    <w:p w14:paraId="705AD042" w14:textId="4256F7A7" w:rsidR="009B50F5" w:rsidRPr="00F83DBD" w:rsidRDefault="009B50F5" w:rsidP="00965243">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 xml:space="preserve">CONVALIDACIÓN DE TÍTULOS </w:t>
      </w:r>
      <w:r w:rsidR="00C34A17" w:rsidRPr="00F83DBD">
        <w:rPr>
          <w:rFonts w:ascii="Arial" w:eastAsia="Calibri" w:hAnsi="Arial" w:cs="Arial"/>
          <w:b/>
          <w:color w:val="000000" w:themeColor="text1"/>
          <w:sz w:val="22"/>
        </w:rPr>
        <w:t xml:space="preserve">– </w:t>
      </w:r>
      <w:r w:rsidRPr="00F83DBD">
        <w:rPr>
          <w:rFonts w:ascii="Arial" w:eastAsia="Calibri" w:hAnsi="Arial" w:cs="Arial"/>
          <w:b/>
          <w:bCs/>
          <w:color w:val="000000" w:themeColor="text1"/>
          <w:sz w:val="22"/>
        </w:rPr>
        <w:t>Definición</w:t>
      </w:r>
    </w:p>
    <w:p w14:paraId="69DCC27A" w14:textId="77777777" w:rsidR="009B50F5" w:rsidRPr="00F83DBD" w:rsidRDefault="009B50F5" w:rsidP="00965243">
      <w:pPr>
        <w:jc w:val="both"/>
        <w:rPr>
          <w:rFonts w:ascii="Arial" w:eastAsia="Calibri" w:hAnsi="Arial" w:cs="Arial"/>
          <w:color w:val="000000" w:themeColor="text1"/>
          <w:sz w:val="20"/>
          <w:szCs w:val="20"/>
        </w:rPr>
      </w:pPr>
    </w:p>
    <w:p w14:paraId="47EFA5AF" w14:textId="77777777" w:rsidR="00563432" w:rsidRPr="00F83DBD" w:rsidRDefault="00D467FB" w:rsidP="00965243">
      <w:pPr>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Ahora, tal como se observa de las fuentes citadas, la convalidación es el procedimiento administrativo establecido por el legislador para reconocer como válido un título de educación superior otorgado por una institución extranjera, y en consecuencia, solo a paritr de este procedimiento se le otorgan plenos efectos legales, dentro de los que se incluye el valor probatorio del mismo para acreditar la formación académica de su titular. </w:t>
      </w:r>
    </w:p>
    <w:p w14:paraId="47E0AAC4" w14:textId="77777777" w:rsidR="00563432" w:rsidRPr="00F83DBD" w:rsidRDefault="00563432" w:rsidP="00965243">
      <w:pPr>
        <w:jc w:val="both"/>
        <w:rPr>
          <w:rFonts w:ascii="Arial" w:eastAsia="Calibri" w:hAnsi="Arial" w:cs="Arial"/>
          <w:color w:val="000000" w:themeColor="text1"/>
          <w:sz w:val="20"/>
          <w:szCs w:val="20"/>
        </w:rPr>
      </w:pPr>
    </w:p>
    <w:p w14:paraId="618BDD9D" w14:textId="2D5ABE28" w:rsidR="00563432" w:rsidRPr="00F83DBD" w:rsidRDefault="00563432" w:rsidP="00965243">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 xml:space="preserve">CIRCULAR EXTERNA ÚNICA </w:t>
      </w:r>
      <w:r w:rsidR="00C34A17" w:rsidRPr="00F83DBD">
        <w:rPr>
          <w:rFonts w:ascii="Arial" w:eastAsia="Calibri" w:hAnsi="Arial" w:cs="Arial"/>
          <w:b/>
          <w:color w:val="000000" w:themeColor="text1"/>
          <w:sz w:val="22"/>
        </w:rPr>
        <w:t>–</w:t>
      </w:r>
      <w:r w:rsidRPr="00F83DBD">
        <w:rPr>
          <w:rFonts w:ascii="Arial" w:eastAsia="Calibri" w:hAnsi="Arial" w:cs="Arial"/>
          <w:b/>
          <w:bCs/>
          <w:color w:val="000000" w:themeColor="text1"/>
          <w:sz w:val="22"/>
        </w:rPr>
        <w:t xml:space="preserve"> Convalidación</w:t>
      </w:r>
    </w:p>
    <w:p w14:paraId="1C50A903" w14:textId="77777777" w:rsidR="00563432" w:rsidRPr="00F83DBD" w:rsidRDefault="00563432" w:rsidP="00965243">
      <w:pPr>
        <w:jc w:val="both"/>
        <w:rPr>
          <w:rFonts w:ascii="Arial" w:eastAsia="Calibri" w:hAnsi="Arial" w:cs="Arial"/>
          <w:color w:val="000000" w:themeColor="text1"/>
          <w:sz w:val="20"/>
          <w:szCs w:val="20"/>
        </w:rPr>
      </w:pPr>
    </w:p>
    <w:p w14:paraId="09E70D33" w14:textId="77777777" w:rsidR="003C481D" w:rsidRPr="00F83DBD" w:rsidRDefault="00D467FB" w:rsidP="003C481D">
      <w:pPr>
        <w:spacing w:after="120"/>
        <w:jc w:val="both"/>
        <w:rPr>
          <w:rFonts w:ascii="Arial" w:hAnsi="Arial" w:cs="Arial"/>
          <w:color w:val="000000" w:themeColor="text1"/>
          <w:sz w:val="20"/>
          <w:szCs w:val="20"/>
        </w:rPr>
      </w:pPr>
      <w:r w:rsidRPr="00F83DBD">
        <w:rPr>
          <w:rFonts w:ascii="Arial" w:eastAsia="Calibri" w:hAnsi="Arial" w:cs="Arial"/>
          <w:color w:val="000000" w:themeColor="text1"/>
          <w:sz w:val="20"/>
          <w:szCs w:val="20"/>
        </w:rPr>
        <w:t>No obstante, una inquietud importante se genera al contrastar esta conclusión con lo contenido en la Circular Externa Única de la Agencia Nacional de Contratación Pública – Colombia Compra Eficiente, en la que se establecieron las siguientes reglas para acreditar la formación académica con títulos otorgados en el exterior:</w:t>
      </w:r>
      <w:r w:rsidR="00563432" w:rsidRPr="00F83DBD">
        <w:rPr>
          <w:rFonts w:ascii="Arial" w:eastAsia="Calibri" w:hAnsi="Arial" w:cs="Arial"/>
          <w:color w:val="000000" w:themeColor="text1"/>
          <w:sz w:val="20"/>
          <w:szCs w:val="20"/>
        </w:rPr>
        <w:t xml:space="preserve"> </w:t>
      </w:r>
      <w:r w:rsidRPr="00F83DBD">
        <w:rPr>
          <w:rFonts w:ascii="Arial" w:hAnsi="Arial" w:cs="Arial"/>
          <w:color w:val="000000" w:themeColor="text1"/>
          <w:sz w:val="20"/>
          <w:szCs w:val="20"/>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(ii) la convalidación correspondiente.</w:t>
      </w:r>
    </w:p>
    <w:p w14:paraId="5FA1E8BB" w14:textId="79685126" w:rsidR="00D467FB" w:rsidRPr="00F83DBD" w:rsidRDefault="00D467FB" w:rsidP="003C481D">
      <w:pPr>
        <w:spacing w:before="120"/>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Es claro que la circular ofrece 2 maneras de acreditar la formación académica en procesos de contratación: la primera, con el diploma y la descripción del programa y la segunda, con la convalidación del título ante el Ministerio de Educación Nacional. Sin embargo, conviene precisar que al haberse expedido con anterioridad a la Ley 1955 de 2019 y a la Resolución 10687 de 9 de octubre de 2019 estas reglas de acreditación de formación académica con títulos otorgados en el exterior contenidas en la Circular no se encuentran vigentes, porque para el momento de su expedición no se había promulgado el nuevo régimen establecido por las normas referidas.  </w:t>
      </w:r>
    </w:p>
    <w:p w14:paraId="37E53902" w14:textId="77777777" w:rsidR="00877C6C" w:rsidRPr="00F83DBD" w:rsidRDefault="00877C6C" w:rsidP="00965243">
      <w:pPr>
        <w:ind w:firstLine="708"/>
        <w:jc w:val="both"/>
        <w:rPr>
          <w:rFonts w:ascii="Arial" w:eastAsia="Calibri" w:hAnsi="Arial" w:cs="Arial"/>
          <w:color w:val="000000" w:themeColor="text1"/>
          <w:sz w:val="20"/>
          <w:szCs w:val="20"/>
        </w:rPr>
      </w:pPr>
    </w:p>
    <w:p w14:paraId="04773F90" w14:textId="37F250B9" w:rsidR="00877C6C" w:rsidRPr="00F83DBD" w:rsidRDefault="00877C6C" w:rsidP="00965243">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TÍTULO</w:t>
      </w:r>
      <w:r w:rsidR="007C70BF">
        <w:rPr>
          <w:rFonts w:ascii="Arial" w:eastAsia="Calibri" w:hAnsi="Arial" w:cs="Arial"/>
          <w:b/>
          <w:bCs/>
          <w:color w:val="000000" w:themeColor="text1"/>
          <w:sz w:val="22"/>
        </w:rPr>
        <w:t>S EXTRANJEROS</w:t>
      </w:r>
      <w:r w:rsidRPr="00F83DBD">
        <w:rPr>
          <w:rFonts w:ascii="Arial" w:eastAsia="Calibri" w:hAnsi="Arial" w:cs="Arial"/>
          <w:b/>
          <w:bCs/>
          <w:color w:val="000000" w:themeColor="text1"/>
          <w:sz w:val="22"/>
        </w:rPr>
        <w:t xml:space="preserve"> </w:t>
      </w:r>
      <w:r w:rsidR="00C34A17" w:rsidRPr="00F83DBD">
        <w:rPr>
          <w:rFonts w:ascii="Arial" w:eastAsia="Calibri" w:hAnsi="Arial" w:cs="Arial"/>
          <w:b/>
          <w:color w:val="000000" w:themeColor="text1"/>
          <w:sz w:val="22"/>
        </w:rPr>
        <w:t>–</w:t>
      </w:r>
      <w:r w:rsidR="007C70BF">
        <w:rPr>
          <w:rFonts w:ascii="Arial" w:eastAsia="Calibri" w:hAnsi="Arial" w:cs="Arial"/>
          <w:b/>
          <w:color w:val="000000" w:themeColor="text1"/>
          <w:sz w:val="22"/>
        </w:rPr>
        <w:t xml:space="preserve"> Formación académica </w:t>
      </w:r>
      <w:r w:rsidR="007C70BF" w:rsidRPr="00F83DBD">
        <w:rPr>
          <w:rFonts w:ascii="Arial" w:eastAsia="Calibri" w:hAnsi="Arial" w:cs="Arial"/>
          <w:b/>
          <w:color w:val="000000" w:themeColor="text1"/>
          <w:sz w:val="22"/>
        </w:rPr>
        <w:t>–</w:t>
      </w:r>
      <w:r w:rsidRPr="00F83DBD">
        <w:rPr>
          <w:rFonts w:ascii="Arial" w:eastAsia="Calibri" w:hAnsi="Arial" w:cs="Arial"/>
          <w:b/>
          <w:bCs/>
          <w:color w:val="000000" w:themeColor="text1"/>
          <w:sz w:val="22"/>
        </w:rPr>
        <w:t xml:space="preserve"> </w:t>
      </w:r>
      <w:r w:rsidR="00965243" w:rsidRPr="00F83DBD">
        <w:rPr>
          <w:rFonts w:ascii="Arial" w:eastAsia="Calibri" w:hAnsi="Arial" w:cs="Arial"/>
          <w:b/>
          <w:bCs/>
          <w:color w:val="000000" w:themeColor="text1"/>
          <w:sz w:val="22"/>
        </w:rPr>
        <w:t xml:space="preserve">Validez </w:t>
      </w:r>
      <w:r w:rsidR="00C34A17" w:rsidRPr="00F83DBD">
        <w:rPr>
          <w:rFonts w:ascii="Arial" w:eastAsia="Calibri" w:hAnsi="Arial" w:cs="Arial"/>
          <w:b/>
          <w:color w:val="000000" w:themeColor="text1"/>
          <w:sz w:val="22"/>
        </w:rPr>
        <w:t>–</w:t>
      </w:r>
      <w:r w:rsidR="00965243" w:rsidRPr="00F83DBD">
        <w:rPr>
          <w:rFonts w:ascii="Arial" w:eastAsia="Calibri" w:hAnsi="Arial" w:cs="Arial"/>
          <w:b/>
          <w:bCs/>
          <w:color w:val="000000" w:themeColor="text1"/>
          <w:sz w:val="22"/>
        </w:rPr>
        <w:t xml:space="preserve"> Eficacia </w:t>
      </w:r>
    </w:p>
    <w:p w14:paraId="19B3D467" w14:textId="77777777" w:rsidR="00877C6C" w:rsidRPr="00F83DBD" w:rsidRDefault="00877C6C" w:rsidP="00965243">
      <w:pPr>
        <w:ind w:firstLine="708"/>
        <w:jc w:val="both"/>
        <w:rPr>
          <w:rFonts w:ascii="Arial" w:eastAsia="Calibri" w:hAnsi="Arial" w:cs="Arial"/>
          <w:color w:val="000000" w:themeColor="text1"/>
          <w:sz w:val="20"/>
          <w:szCs w:val="20"/>
        </w:rPr>
      </w:pPr>
    </w:p>
    <w:p w14:paraId="5E3B5538" w14:textId="77777777" w:rsidR="00D43AD5" w:rsidRPr="00F83DBD" w:rsidRDefault="00D467FB" w:rsidP="00D43AD5">
      <w:pPr>
        <w:jc w:val="both"/>
        <w:rPr>
          <w:rFonts w:ascii="Arial" w:eastAsia="Calibri" w:hAnsi="Arial" w:cs="Arial"/>
          <w:color w:val="000000" w:themeColor="text1"/>
          <w:sz w:val="20"/>
          <w:szCs w:val="20"/>
        </w:rPr>
      </w:pPr>
      <w:r w:rsidRPr="00F83DBD">
        <w:rPr>
          <w:rFonts w:ascii="Arial" w:eastAsia="Calibri" w:hAnsi="Arial" w:cs="Arial"/>
          <w:color w:val="000000" w:themeColor="text1"/>
          <w:sz w:val="20"/>
          <w:szCs w:val="20"/>
        </w:rPr>
        <w:t xml:space="preserve">De modo que, bajo el nuevo esquema se estableció que la única forma real que permite evidenciar que los títulos de educación superior obtenidos en el exterior son válidos y eficaces en Colombia es a través de la convalidación realizada ante el Ministerio de Educación, pues solo de esta manera se </w:t>
      </w:r>
      <w:r w:rsidRPr="00F83DBD">
        <w:rPr>
          <w:rFonts w:ascii="Arial" w:eastAsia="Calibri" w:hAnsi="Arial" w:cs="Arial"/>
          <w:color w:val="000000" w:themeColor="text1"/>
          <w:sz w:val="20"/>
          <w:szCs w:val="20"/>
        </w:rPr>
        <w:lastRenderedPageBreak/>
        <w:t>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w:t>
      </w:r>
    </w:p>
    <w:p w14:paraId="50082C38" w14:textId="77777777" w:rsidR="00D43AD5" w:rsidRPr="00F83DBD" w:rsidRDefault="00D43AD5" w:rsidP="00D43AD5">
      <w:pPr>
        <w:jc w:val="both"/>
        <w:rPr>
          <w:rFonts w:ascii="Arial" w:eastAsia="Calibri" w:hAnsi="Arial" w:cs="Arial"/>
          <w:color w:val="000000" w:themeColor="text1"/>
          <w:sz w:val="20"/>
          <w:szCs w:val="20"/>
        </w:rPr>
      </w:pPr>
    </w:p>
    <w:p w14:paraId="56EFDA73" w14:textId="77777777" w:rsidR="00D92711" w:rsidRPr="00F83DBD" w:rsidRDefault="00D92711" w:rsidP="00D92711">
      <w:pPr>
        <w:pStyle w:val="Default"/>
        <w:rPr>
          <w:color w:val="000000" w:themeColor="text1"/>
        </w:rPr>
      </w:pPr>
    </w:p>
    <w:p w14:paraId="4A9C40F3" w14:textId="17C5216F" w:rsidR="00D92711" w:rsidRPr="00F83DBD" w:rsidRDefault="00D92711" w:rsidP="00D92711">
      <w:pPr>
        <w:pStyle w:val="Default"/>
        <w:rPr>
          <w:color w:val="000000" w:themeColor="text1"/>
          <w:sz w:val="22"/>
          <w:szCs w:val="22"/>
        </w:rPr>
      </w:pPr>
      <w:r w:rsidRPr="00F83DBD">
        <w:rPr>
          <w:color w:val="000000" w:themeColor="text1"/>
          <w:sz w:val="22"/>
          <w:szCs w:val="22"/>
        </w:rPr>
        <w:t xml:space="preserve">Bogotá D.C., </w:t>
      </w:r>
      <w:r w:rsidRPr="00F83DBD">
        <w:rPr>
          <w:b/>
          <w:bCs/>
          <w:color w:val="000000" w:themeColor="text1"/>
          <w:sz w:val="22"/>
          <w:szCs w:val="22"/>
        </w:rPr>
        <w:t xml:space="preserve">18/05/2020 Hora 12:5:9s </w:t>
      </w:r>
    </w:p>
    <w:p w14:paraId="2853595C" w14:textId="67747594" w:rsidR="005A79FE" w:rsidRPr="00F83DBD" w:rsidRDefault="00D92711" w:rsidP="00D92711">
      <w:pPr>
        <w:tabs>
          <w:tab w:val="left" w:pos="3374"/>
        </w:tabs>
        <w:jc w:val="right"/>
        <w:rPr>
          <w:rFonts w:ascii="Arial" w:eastAsia="Calibri" w:hAnsi="Arial" w:cs="Arial"/>
          <w:color w:val="000000" w:themeColor="text1"/>
          <w:sz w:val="22"/>
        </w:rPr>
      </w:pPr>
      <w:r w:rsidRPr="00F83DBD">
        <w:rPr>
          <w:rFonts w:ascii="Arial" w:hAnsi="Arial" w:cs="Arial"/>
          <w:b/>
          <w:bCs/>
          <w:color w:val="000000" w:themeColor="text1"/>
          <w:sz w:val="22"/>
        </w:rPr>
        <w:t>N° Radicado: 2202013000003801</w:t>
      </w:r>
      <w:r w:rsidR="005A79FE" w:rsidRPr="00F83DBD">
        <w:rPr>
          <w:rFonts w:ascii="Arial" w:eastAsia="Calibri" w:hAnsi="Arial" w:cs="Arial"/>
          <w:color w:val="000000" w:themeColor="text1"/>
          <w:sz w:val="22"/>
        </w:rPr>
        <w:tab/>
      </w:r>
    </w:p>
    <w:p w14:paraId="2097EFDF" w14:textId="308DF595" w:rsidR="005A79FE" w:rsidRPr="00F83DBD" w:rsidRDefault="005A79FE" w:rsidP="005A79FE">
      <w:pPr>
        <w:rPr>
          <w:rFonts w:ascii="Arial" w:eastAsia="Calibri" w:hAnsi="Arial" w:cs="Arial"/>
          <w:color w:val="000000" w:themeColor="text1"/>
          <w:sz w:val="22"/>
        </w:rPr>
      </w:pPr>
      <w:r w:rsidRPr="00F83DBD">
        <w:rPr>
          <w:rFonts w:ascii="Arial" w:eastAsia="Calibri" w:hAnsi="Arial" w:cs="Arial"/>
          <w:color w:val="000000" w:themeColor="text1"/>
          <w:sz w:val="22"/>
        </w:rPr>
        <w:t>Señor</w:t>
      </w:r>
      <w:r w:rsidR="00270158" w:rsidRPr="00F83DBD">
        <w:rPr>
          <w:rFonts w:ascii="Arial" w:eastAsia="Calibri" w:hAnsi="Arial" w:cs="Arial"/>
          <w:color w:val="000000" w:themeColor="text1"/>
          <w:sz w:val="22"/>
        </w:rPr>
        <w:t>a</w:t>
      </w:r>
    </w:p>
    <w:p w14:paraId="7FDA027E" w14:textId="29B5031F" w:rsidR="005A79FE" w:rsidRPr="00F83DBD" w:rsidRDefault="00270158" w:rsidP="005A79FE">
      <w:pPr>
        <w:rPr>
          <w:rFonts w:ascii="Arial" w:eastAsia="Calibri" w:hAnsi="Arial" w:cs="Arial"/>
          <w:b/>
          <w:color w:val="000000" w:themeColor="text1"/>
          <w:sz w:val="22"/>
        </w:rPr>
      </w:pPr>
      <w:r w:rsidRPr="00F83DBD">
        <w:rPr>
          <w:rFonts w:ascii="Arial" w:eastAsia="Calibri" w:hAnsi="Arial" w:cs="Arial"/>
          <w:b/>
          <w:color w:val="000000" w:themeColor="text1"/>
          <w:sz w:val="22"/>
        </w:rPr>
        <w:t>LILIANA MARÍA PARADA PRIETO</w:t>
      </w:r>
    </w:p>
    <w:p w14:paraId="699E9CB9" w14:textId="65E531BE" w:rsidR="005A79FE" w:rsidRPr="00F83DBD" w:rsidRDefault="005A79FE" w:rsidP="005A79FE">
      <w:pPr>
        <w:rPr>
          <w:rFonts w:ascii="Arial" w:eastAsia="Calibri" w:hAnsi="Arial" w:cs="Arial"/>
          <w:color w:val="000000" w:themeColor="text1"/>
          <w:sz w:val="22"/>
        </w:rPr>
      </w:pPr>
      <w:r w:rsidRPr="00F83DBD">
        <w:rPr>
          <w:rFonts w:ascii="Arial" w:eastAsia="Calibri" w:hAnsi="Arial" w:cs="Arial"/>
          <w:color w:val="000000" w:themeColor="text1"/>
          <w:sz w:val="22"/>
        </w:rPr>
        <w:t>Ciudad</w:t>
      </w:r>
    </w:p>
    <w:p w14:paraId="24B241F5" w14:textId="3D3EEEA5" w:rsidR="009C045C" w:rsidRPr="00F83DBD" w:rsidRDefault="009C045C" w:rsidP="005A79FE">
      <w:pPr>
        <w:rPr>
          <w:rFonts w:ascii="Arial" w:eastAsia="Calibri" w:hAnsi="Arial" w:cs="Arial"/>
          <w:color w:val="000000" w:themeColor="text1"/>
          <w:sz w:val="22"/>
        </w:rPr>
      </w:pPr>
    </w:p>
    <w:p w14:paraId="04EF5647" w14:textId="1A70CB36" w:rsidR="005A79FE" w:rsidRPr="00F83DBD" w:rsidRDefault="005A79FE" w:rsidP="005A79FE">
      <w:pPr>
        <w:jc w:val="center"/>
        <w:rPr>
          <w:rFonts w:ascii="Arial" w:eastAsia="Calibri" w:hAnsi="Arial" w:cs="Arial"/>
          <w:b/>
          <w:color w:val="000000" w:themeColor="text1"/>
          <w:sz w:val="22"/>
        </w:rPr>
      </w:pPr>
      <w:r w:rsidRPr="00F83DBD">
        <w:rPr>
          <w:rFonts w:ascii="Arial" w:eastAsia="Calibri" w:hAnsi="Arial" w:cs="Arial"/>
          <w:b/>
          <w:color w:val="000000" w:themeColor="text1"/>
          <w:sz w:val="22"/>
        </w:rPr>
        <w:t xml:space="preserve">Concepto C ─ </w:t>
      </w:r>
      <w:r w:rsidR="002A5004" w:rsidRPr="00F83DBD">
        <w:rPr>
          <w:rFonts w:ascii="Arial" w:eastAsia="Calibri" w:hAnsi="Arial" w:cs="Arial"/>
          <w:b/>
          <w:color w:val="000000" w:themeColor="text1"/>
          <w:sz w:val="22"/>
        </w:rPr>
        <w:t>2</w:t>
      </w:r>
      <w:r w:rsidR="008A7229" w:rsidRPr="00F83DBD">
        <w:rPr>
          <w:rFonts w:ascii="Arial" w:eastAsia="Calibri" w:hAnsi="Arial" w:cs="Arial"/>
          <w:b/>
          <w:color w:val="000000" w:themeColor="text1"/>
          <w:sz w:val="22"/>
        </w:rPr>
        <w:t>38</w:t>
      </w:r>
      <w:r w:rsidRPr="00F83DBD">
        <w:rPr>
          <w:rFonts w:ascii="Arial" w:eastAsia="Calibri" w:hAnsi="Arial" w:cs="Arial"/>
          <w:b/>
          <w:color w:val="000000" w:themeColor="text1"/>
          <w:sz w:val="22"/>
        </w:rPr>
        <w:t xml:space="preserve"> de 2020</w:t>
      </w:r>
    </w:p>
    <w:p w14:paraId="6CCD98F0" w14:textId="77777777" w:rsidR="005A79FE" w:rsidRPr="00F83DBD" w:rsidRDefault="005A79FE" w:rsidP="005A79F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83DBD" w:rsidRPr="00F83DBD" w14:paraId="21699201" w14:textId="77777777" w:rsidTr="00266042">
        <w:tc>
          <w:tcPr>
            <w:tcW w:w="2689" w:type="dxa"/>
            <w:hideMark/>
          </w:tcPr>
          <w:p w14:paraId="26712367" w14:textId="77777777" w:rsidR="005A79FE" w:rsidRPr="00F83DBD" w:rsidRDefault="005A79FE" w:rsidP="00266042">
            <w:pPr>
              <w:rPr>
                <w:rFonts w:ascii="Arial" w:eastAsia="Calibri" w:hAnsi="Arial" w:cs="Arial"/>
                <w:color w:val="000000" w:themeColor="text1"/>
                <w:sz w:val="22"/>
              </w:rPr>
            </w:pPr>
            <w:r w:rsidRPr="00F83DBD">
              <w:rPr>
                <w:rFonts w:ascii="Arial" w:eastAsia="Calibri" w:hAnsi="Arial" w:cs="Arial"/>
                <w:b/>
                <w:color w:val="000000" w:themeColor="text1"/>
                <w:sz w:val="22"/>
              </w:rPr>
              <w:t>Temas:</w:t>
            </w:r>
            <w:r w:rsidRPr="00F83DBD">
              <w:rPr>
                <w:rFonts w:ascii="Arial" w:eastAsia="Calibri" w:hAnsi="Arial" w:cs="Arial"/>
                <w:color w:val="000000" w:themeColor="text1"/>
                <w:sz w:val="22"/>
              </w:rPr>
              <w:t xml:space="preserve">           </w:t>
            </w:r>
          </w:p>
          <w:p w14:paraId="5D67F5C4" w14:textId="77777777" w:rsidR="005A79FE" w:rsidRPr="00F83DBD" w:rsidRDefault="005A79FE" w:rsidP="00266042">
            <w:pPr>
              <w:rPr>
                <w:rFonts w:ascii="Arial" w:eastAsia="Calibri" w:hAnsi="Arial" w:cs="Arial"/>
                <w:color w:val="000000" w:themeColor="text1"/>
                <w:sz w:val="22"/>
              </w:rPr>
            </w:pPr>
            <w:r w:rsidRPr="00F83DBD">
              <w:rPr>
                <w:rFonts w:ascii="Arial" w:eastAsia="Calibri" w:hAnsi="Arial" w:cs="Arial"/>
                <w:color w:val="000000" w:themeColor="text1"/>
                <w:sz w:val="22"/>
              </w:rPr>
              <w:t xml:space="preserve">                           </w:t>
            </w:r>
          </w:p>
        </w:tc>
        <w:tc>
          <w:tcPr>
            <w:tcW w:w="6237" w:type="dxa"/>
            <w:hideMark/>
          </w:tcPr>
          <w:p w14:paraId="784C47C0" w14:textId="1F121FBB" w:rsidR="005A79FE" w:rsidRPr="00F83DBD" w:rsidRDefault="00D43AD5" w:rsidP="00B2180B">
            <w:pPr>
              <w:jc w:val="both"/>
              <w:rPr>
                <w:rFonts w:ascii="Arial" w:eastAsia="Calibri" w:hAnsi="Arial" w:cs="Arial"/>
                <w:bCs/>
                <w:color w:val="000000" w:themeColor="text1"/>
                <w:sz w:val="22"/>
              </w:rPr>
            </w:pPr>
            <w:r w:rsidRPr="00F83DBD">
              <w:rPr>
                <w:rFonts w:ascii="Arial" w:eastAsia="Calibri" w:hAnsi="Arial" w:cs="Arial"/>
                <w:bCs/>
                <w:color w:val="000000" w:themeColor="text1"/>
                <w:sz w:val="22"/>
              </w:rPr>
              <w:t>PRESTACIÓN DE SERVICIOS ─ Contrato</w:t>
            </w:r>
            <w:r w:rsidR="00D519F7" w:rsidRPr="00F83DBD">
              <w:rPr>
                <w:rFonts w:ascii="Arial" w:eastAsia="Calibri" w:hAnsi="Arial" w:cs="Arial"/>
                <w:bCs/>
                <w:color w:val="000000" w:themeColor="text1"/>
                <w:sz w:val="22"/>
              </w:rPr>
              <w:t xml:space="preserve"> </w:t>
            </w:r>
            <w:r w:rsidRPr="00F83DBD">
              <w:rPr>
                <w:rFonts w:ascii="Arial" w:eastAsia="Calibri" w:hAnsi="Arial" w:cs="Arial"/>
                <w:bCs/>
                <w:color w:val="000000" w:themeColor="text1"/>
                <w:sz w:val="22"/>
              </w:rPr>
              <w:t xml:space="preserve">Típico ─ Contratación directa / </w:t>
            </w:r>
            <w:r w:rsidRPr="00F83DBD">
              <w:rPr>
                <w:rFonts w:ascii="Arial" w:hAnsi="Arial" w:cs="Arial"/>
                <w:bCs/>
                <w:color w:val="000000" w:themeColor="text1"/>
                <w:sz w:val="22"/>
                <w:lang w:val="es-ES_tradnl"/>
              </w:rPr>
              <w:t>SERVICIOS PROFESIONALES ─ Objeto ─ Partes ─ Personas naturales ─ Personas jurídicas ─ Justificación ─ Personal de planta / SERVICIOS PROFESIONALES / CONTRATO DE TRABAJO ─ Diferencia ─ Autonomía ─ Independencia / PRESTACIÓN DE SERVICIOS ─ G</w:t>
            </w:r>
            <w:r w:rsidR="00260F29" w:rsidRPr="00F83DBD">
              <w:rPr>
                <w:rFonts w:ascii="Arial" w:hAnsi="Arial" w:cs="Arial"/>
                <w:bCs/>
                <w:color w:val="000000" w:themeColor="text1"/>
                <w:sz w:val="22"/>
                <w:lang w:val="es-ES_tradnl"/>
              </w:rPr>
              <w:t>é</w:t>
            </w:r>
            <w:r w:rsidRPr="00F83DBD">
              <w:rPr>
                <w:rFonts w:ascii="Arial" w:hAnsi="Arial" w:cs="Arial"/>
                <w:bCs/>
                <w:color w:val="000000" w:themeColor="text1"/>
                <w:sz w:val="22"/>
                <w:lang w:val="es-ES_tradnl"/>
              </w:rPr>
              <w:t xml:space="preserve">nero / SERVICIOS PROFESIONALES ─ Vigencia ─ Especie ─ Contenido intelectual / APOYO A LA GESTIÓN ─ Especie SERVICIOS PROFESIONALES ─ Modalidad selección ─ Contratación directa / CONSULTORÍA ─ Concurso de méritos / FORMACIÓN ACADÉMCIA ─ Acreditación ─ Profesión ─ Servicios profesionales / </w:t>
            </w:r>
            <w:r w:rsidRPr="00F83DBD">
              <w:rPr>
                <w:rFonts w:ascii="Arial" w:eastAsia="Calibri" w:hAnsi="Arial" w:cs="Arial"/>
                <w:bCs/>
                <w:color w:val="000000" w:themeColor="text1"/>
                <w:sz w:val="22"/>
              </w:rPr>
              <w:t>CONVALIDACIÓN DE TÍTULOS ─ Título obtenido en el exterior ─ Procedimiento de convalidación ─ Autoridad competente ─ Efectos jurídicos ─ Validez ─ Trámite ─ Criterios ─ Acreditación o reconocimiento ─ Precedente Administrativo ─ Evaluación académica</w:t>
            </w:r>
            <w:r w:rsidR="00B2180B" w:rsidRPr="00F83DBD">
              <w:rPr>
                <w:rFonts w:ascii="Arial" w:eastAsia="Calibri" w:hAnsi="Arial" w:cs="Arial"/>
                <w:bCs/>
                <w:color w:val="000000" w:themeColor="text1"/>
                <w:sz w:val="22"/>
              </w:rPr>
              <w:t xml:space="preserve"> ─ Reglamentación ─ Definición / CIRCULAR EXTERNA ÚNICA ─ Convalidación / TÍTULO DEL EXTERIOR ─ Validez ─ Eficacia</w:t>
            </w:r>
          </w:p>
        </w:tc>
      </w:tr>
      <w:tr w:rsidR="005A79FE" w:rsidRPr="00F83DBD" w14:paraId="7C0A7D18" w14:textId="77777777" w:rsidTr="00266042">
        <w:tc>
          <w:tcPr>
            <w:tcW w:w="2689" w:type="dxa"/>
          </w:tcPr>
          <w:p w14:paraId="6A12F093" w14:textId="77777777" w:rsidR="005A79FE" w:rsidRPr="00F83DBD" w:rsidRDefault="005A79FE" w:rsidP="00266042">
            <w:pPr>
              <w:rPr>
                <w:rFonts w:ascii="Arial" w:eastAsia="Calibri" w:hAnsi="Arial" w:cs="Arial"/>
                <w:b/>
                <w:color w:val="000000" w:themeColor="text1"/>
                <w:sz w:val="22"/>
              </w:rPr>
            </w:pPr>
            <w:r w:rsidRPr="00F83DBD">
              <w:rPr>
                <w:rFonts w:ascii="Arial" w:eastAsia="Calibri" w:hAnsi="Arial" w:cs="Arial"/>
                <w:b/>
                <w:color w:val="000000" w:themeColor="text1"/>
                <w:sz w:val="22"/>
              </w:rPr>
              <w:t>Radicación:</w:t>
            </w:r>
            <w:r w:rsidRPr="00F83DBD">
              <w:rPr>
                <w:rFonts w:ascii="Arial" w:eastAsia="Calibri" w:hAnsi="Arial" w:cs="Arial"/>
                <w:color w:val="000000" w:themeColor="text1"/>
                <w:sz w:val="22"/>
              </w:rPr>
              <w:t xml:space="preserve">                              </w:t>
            </w:r>
          </w:p>
        </w:tc>
        <w:tc>
          <w:tcPr>
            <w:tcW w:w="6237" w:type="dxa"/>
          </w:tcPr>
          <w:p w14:paraId="73A42ACA" w14:textId="3C63CD3D" w:rsidR="005A79FE" w:rsidRPr="00F83DBD" w:rsidRDefault="005A79FE" w:rsidP="00266042">
            <w:pPr>
              <w:jc w:val="both"/>
              <w:rPr>
                <w:rFonts w:ascii="Arial" w:eastAsia="Calibri" w:hAnsi="Arial" w:cs="Arial"/>
                <w:color w:val="000000" w:themeColor="text1"/>
                <w:sz w:val="22"/>
              </w:rPr>
            </w:pPr>
            <w:r w:rsidRPr="00F83DBD">
              <w:rPr>
                <w:rFonts w:ascii="Arial" w:eastAsia="Calibri" w:hAnsi="Arial" w:cs="Arial"/>
                <w:color w:val="000000" w:themeColor="text1"/>
                <w:sz w:val="22"/>
              </w:rPr>
              <w:t>Respuesta a consulta # 42020</w:t>
            </w:r>
            <w:r w:rsidR="00270158" w:rsidRPr="00F83DBD">
              <w:rPr>
                <w:rFonts w:ascii="Arial" w:eastAsia="Calibri" w:hAnsi="Arial" w:cs="Arial"/>
                <w:color w:val="000000" w:themeColor="text1"/>
                <w:sz w:val="22"/>
              </w:rPr>
              <w:t>13</w:t>
            </w:r>
            <w:r w:rsidR="00024B4A" w:rsidRPr="00F83DBD">
              <w:rPr>
                <w:rFonts w:ascii="Arial" w:eastAsia="Calibri" w:hAnsi="Arial" w:cs="Arial"/>
                <w:color w:val="000000" w:themeColor="text1"/>
                <w:sz w:val="22"/>
              </w:rPr>
              <w:t>000002692</w:t>
            </w:r>
          </w:p>
        </w:tc>
      </w:tr>
    </w:tbl>
    <w:p w14:paraId="396DE958" w14:textId="77777777" w:rsidR="005A79FE" w:rsidRPr="00F83DBD" w:rsidRDefault="005A79FE" w:rsidP="005A79FE">
      <w:pPr>
        <w:jc w:val="both"/>
        <w:rPr>
          <w:rFonts w:ascii="Arial" w:eastAsia="Calibri" w:hAnsi="Arial" w:cs="Arial"/>
          <w:color w:val="000000" w:themeColor="text1"/>
          <w:sz w:val="22"/>
        </w:rPr>
      </w:pPr>
    </w:p>
    <w:p w14:paraId="489DB6E6" w14:textId="77777777" w:rsidR="005A79FE" w:rsidRPr="00F83DBD" w:rsidRDefault="005A79FE" w:rsidP="005A79FE">
      <w:pPr>
        <w:rPr>
          <w:rFonts w:ascii="Arial" w:eastAsia="Calibri" w:hAnsi="Arial" w:cs="Arial"/>
          <w:color w:val="000000" w:themeColor="text1"/>
          <w:sz w:val="22"/>
        </w:rPr>
      </w:pPr>
    </w:p>
    <w:p w14:paraId="657E7EE7" w14:textId="55121EDA" w:rsidR="005A79FE" w:rsidRPr="00F83DBD" w:rsidRDefault="005A79FE" w:rsidP="005A79FE">
      <w:pPr>
        <w:rPr>
          <w:rFonts w:ascii="Arial" w:eastAsia="Calibri" w:hAnsi="Arial" w:cs="Arial"/>
          <w:color w:val="000000" w:themeColor="text1"/>
          <w:sz w:val="22"/>
        </w:rPr>
      </w:pPr>
      <w:r w:rsidRPr="00F83DBD">
        <w:rPr>
          <w:rFonts w:ascii="Arial" w:eastAsia="Calibri" w:hAnsi="Arial" w:cs="Arial"/>
          <w:color w:val="000000" w:themeColor="text1"/>
          <w:sz w:val="22"/>
        </w:rPr>
        <w:t>Estimad</w:t>
      </w:r>
      <w:r w:rsidR="00270158" w:rsidRPr="00F83DBD">
        <w:rPr>
          <w:rFonts w:ascii="Arial" w:eastAsia="Calibri" w:hAnsi="Arial" w:cs="Arial"/>
          <w:color w:val="000000" w:themeColor="text1"/>
          <w:sz w:val="22"/>
        </w:rPr>
        <w:t>a</w:t>
      </w:r>
      <w:r w:rsidRPr="00F83DBD">
        <w:rPr>
          <w:rFonts w:ascii="Arial" w:eastAsia="Calibri" w:hAnsi="Arial" w:cs="Arial"/>
          <w:color w:val="000000" w:themeColor="text1"/>
          <w:sz w:val="22"/>
        </w:rPr>
        <w:t xml:space="preserve"> señ</w:t>
      </w:r>
      <w:r w:rsidR="009A1118" w:rsidRPr="00F83DBD">
        <w:rPr>
          <w:rFonts w:ascii="Arial" w:eastAsia="Calibri" w:hAnsi="Arial" w:cs="Arial"/>
          <w:color w:val="000000" w:themeColor="text1"/>
          <w:sz w:val="22"/>
        </w:rPr>
        <w:t>or</w:t>
      </w:r>
      <w:r w:rsidR="00270158" w:rsidRPr="00F83DBD">
        <w:rPr>
          <w:rFonts w:ascii="Arial" w:eastAsia="Calibri" w:hAnsi="Arial" w:cs="Arial"/>
          <w:color w:val="000000" w:themeColor="text1"/>
          <w:sz w:val="22"/>
        </w:rPr>
        <w:t>a Parada Prieto</w:t>
      </w:r>
      <w:r w:rsidRPr="00F83DBD">
        <w:rPr>
          <w:rFonts w:ascii="Arial" w:eastAsia="Calibri" w:hAnsi="Arial" w:cs="Arial"/>
          <w:color w:val="000000" w:themeColor="text1"/>
          <w:sz w:val="22"/>
        </w:rPr>
        <w:t>,</w:t>
      </w:r>
    </w:p>
    <w:p w14:paraId="40D74C98" w14:textId="77777777" w:rsidR="005A79FE" w:rsidRPr="00F83DBD" w:rsidRDefault="005A79FE" w:rsidP="005A79FE">
      <w:pPr>
        <w:rPr>
          <w:rFonts w:ascii="Arial" w:eastAsia="Calibri" w:hAnsi="Arial" w:cs="Arial"/>
          <w:color w:val="000000" w:themeColor="text1"/>
          <w:sz w:val="22"/>
        </w:rPr>
      </w:pPr>
    </w:p>
    <w:p w14:paraId="1EA2338B" w14:textId="58970D61" w:rsidR="005A79FE" w:rsidRPr="00F83DBD" w:rsidRDefault="005A79FE" w:rsidP="005A79FE">
      <w:pPr>
        <w:spacing w:line="276" w:lineRule="auto"/>
        <w:ind w:right="49"/>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La Agencia Nacional de Contratación Pública ―Colombia Compra Eficiente― responde su consulta del </w:t>
      </w:r>
      <w:r w:rsidR="00024B4A" w:rsidRPr="00F83DBD">
        <w:rPr>
          <w:rFonts w:ascii="Arial" w:eastAsia="Calibri" w:hAnsi="Arial" w:cs="Arial"/>
          <w:color w:val="000000" w:themeColor="text1"/>
          <w:sz w:val="22"/>
        </w:rPr>
        <w:t>15</w:t>
      </w:r>
      <w:r w:rsidRPr="00F83DBD">
        <w:rPr>
          <w:rFonts w:ascii="Arial" w:eastAsia="Calibri" w:hAnsi="Arial" w:cs="Arial"/>
          <w:color w:val="000000" w:themeColor="text1"/>
          <w:sz w:val="22"/>
        </w:rPr>
        <w:t xml:space="preserve"> de</w:t>
      </w:r>
      <w:r w:rsidR="0029194E" w:rsidRPr="00F83DBD">
        <w:rPr>
          <w:rFonts w:ascii="Arial" w:eastAsia="Calibri" w:hAnsi="Arial" w:cs="Arial"/>
          <w:color w:val="000000" w:themeColor="text1"/>
          <w:sz w:val="22"/>
        </w:rPr>
        <w:t xml:space="preserve"> abril de </w:t>
      </w:r>
      <w:r w:rsidRPr="00F83DBD">
        <w:rPr>
          <w:rFonts w:ascii="Arial" w:eastAsia="Calibri" w:hAnsi="Arial" w:cs="Arial"/>
          <w:color w:val="000000" w:themeColor="text1"/>
          <w:sz w:val="22"/>
        </w:rPr>
        <w:t>20</w:t>
      </w:r>
      <w:r w:rsidR="0029194E" w:rsidRPr="00F83DBD">
        <w:rPr>
          <w:rFonts w:ascii="Arial" w:eastAsia="Calibri" w:hAnsi="Arial" w:cs="Arial"/>
          <w:color w:val="000000" w:themeColor="text1"/>
          <w:sz w:val="22"/>
        </w:rPr>
        <w:t>20</w:t>
      </w:r>
      <w:r w:rsidRPr="00F83DBD">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F83DBD" w:rsidRDefault="005A79FE" w:rsidP="005A79FE">
      <w:pPr>
        <w:spacing w:line="276" w:lineRule="auto"/>
        <w:jc w:val="both"/>
        <w:rPr>
          <w:rFonts w:ascii="Arial" w:eastAsia="Calibri" w:hAnsi="Arial" w:cs="Arial"/>
          <w:color w:val="000000" w:themeColor="text1"/>
          <w:sz w:val="22"/>
        </w:rPr>
      </w:pPr>
    </w:p>
    <w:p w14:paraId="4E8D0889" w14:textId="77777777" w:rsidR="005A79FE" w:rsidRPr="00F83DBD" w:rsidRDefault="005A79FE" w:rsidP="005A79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F83DBD">
        <w:rPr>
          <w:rFonts w:ascii="Arial" w:eastAsia="Calibri" w:hAnsi="Arial" w:cs="Arial"/>
          <w:b/>
          <w:color w:val="000000" w:themeColor="text1"/>
          <w:sz w:val="22"/>
        </w:rPr>
        <w:t xml:space="preserve">Problemas planteados </w:t>
      </w:r>
    </w:p>
    <w:p w14:paraId="138D5B25" w14:textId="77777777" w:rsidR="005A79FE" w:rsidRPr="00F83DBD" w:rsidRDefault="005A79FE" w:rsidP="005A79FE">
      <w:pPr>
        <w:tabs>
          <w:tab w:val="left" w:pos="426"/>
        </w:tabs>
        <w:spacing w:line="276" w:lineRule="auto"/>
        <w:jc w:val="both"/>
        <w:rPr>
          <w:rFonts w:ascii="Arial" w:eastAsia="Calibri" w:hAnsi="Arial" w:cs="Arial"/>
          <w:b/>
          <w:color w:val="000000" w:themeColor="text1"/>
          <w:sz w:val="22"/>
        </w:rPr>
      </w:pPr>
    </w:p>
    <w:p w14:paraId="30EE5915" w14:textId="6CC2CB12" w:rsidR="005A79FE" w:rsidRPr="00F83DBD" w:rsidRDefault="005A79FE" w:rsidP="005A79FE">
      <w:pPr>
        <w:tabs>
          <w:tab w:val="left" w:pos="426"/>
        </w:tabs>
        <w:spacing w:line="276" w:lineRule="auto"/>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Usted realiza las siguientes preguntas: </w:t>
      </w:r>
      <w:r w:rsidR="00916959" w:rsidRPr="00F83DBD">
        <w:rPr>
          <w:rFonts w:ascii="Arial" w:eastAsia="Calibri" w:hAnsi="Arial" w:cs="Arial"/>
          <w:color w:val="000000" w:themeColor="text1"/>
          <w:sz w:val="22"/>
        </w:rPr>
        <w:t>¿</w:t>
      </w:r>
      <w:r w:rsidR="00EC4C2B" w:rsidRPr="00F83DBD">
        <w:rPr>
          <w:rFonts w:ascii="Arial" w:eastAsia="Calibri" w:hAnsi="Arial" w:cs="Arial"/>
          <w:color w:val="000000" w:themeColor="text1"/>
          <w:sz w:val="22"/>
        </w:rPr>
        <w:t>Para suscribir un contrato de prestación de servicios profesionales</w:t>
      </w:r>
      <w:r w:rsidR="00F1756C" w:rsidRPr="00F83DBD">
        <w:rPr>
          <w:rFonts w:ascii="Arial" w:eastAsia="Calibri" w:hAnsi="Arial" w:cs="Arial"/>
          <w:color w:val="000000" w:themeColor="text1"/>
          <w:sz w:val="22"/>
        </w:rPr>
        <w:t xml:space="preserve"> se requiere convalidar un título obtenido en el exterior o </w:t>
      </w:r>
      <w:r w:rsidR="00B7639C" w:rsidRPr="00F83DBD">
        <w:rPr>
          <w:rFonts w:ascii="Arial" w:eastAsia="Calibri" w:hAnsi="Arial" w:cs="Arial"/>
          <w:color w:val="000000" w:themeColor="text1"/>
          <w:sz w:val="22"/>
        </w:rPr>
        <w:t>se requiere solamente apostillar ese documento?</w:t>
      </w:r>
    </w:p>
    <w:p w14:paraId="42DC4EC6" w14:textId="77777777" w:rsidR="005A79FE" w:rsidRPr="00F83DBD" w:rsidRDefault="005A79FE" w:rsidP="005A79FE">
      <w:pPr>
        <w:tabs>
          <w:tab w:val="left" w:pos="426"/>
        </w:tabs>
        <w:spacing w:line="276" w:lineRule="auto"/>
        <w:jc w:val="both"/>
        <w:rPr>
          <w:rFonts w:ascii="Arial" w:eastAsia="Calibri" w:hAnsi="Arial" w:cs="Arial"/>
          <w:color w:val="000000" w:themeColor="text1"/>
          <w:sz w:val="22"/>
        </w:rPr>
      </w:pPr>
    </w:p>
    <w:p w14:paraId="18C6DB19" w14:textId="75208A7D" w:rsidR="005A79FE" w:rsidRPr="00F83DBD" w:rsidRDefault="005A79FE" w:rsidP="002C7357">
      <w:pPr>
        <w:pStyle w:val="Prrafodelista"/>
        <w:numPr>
          <w:ilvl w:val="0"/>
          <w:numId w:val="6"/>
        </w:numPr>
        <w:tabs>
          <w:tab w:val="left" w:pos="426"/>
        </w:tabs>
        <w:ind w:left="284" w:hanging="284"/>
        <w:jc w:val="both"/>
        <w:rPr>
          <w:rFonts w:ascii="Arial" w:eastAsia="Calibri" w:hAnsi="Arial" w:cs="Arial"/>
          <w:b/>
          <w:color w:val="000000" w:themeColor="text1"/>
          <w:sz w:val="22"/>
        </w:rPr>
      </w:pPr>
      <w:r w:rsidRPr="00F83DBD">
        <w:rPr>
          <w:rFonts w:ascii="Arial" w:eastAsia="Calibri" w:hAnsi="Arial" w:cs="Arial"/>
          <w:b/>
          <w:color w:val="000000" w:themeColor="text1"/>
          <w:sz w:val="22"/>
        </w:rPr>
        <w:t>Consideraciones</w:t>
      </w:r>
    </w:p>
    <w:p w14:paraId="7C6DDB36" w14:textId="77777777" w:rsidR="002C7357" w:rsidRPr="00F83DBD" w:rsidRDefault="002C7357" w:rsidP="002C7357">
      <w:pPr>
        <w:tabs>
          <w:tab w:val="left" w:pos="426"/>
        </w:tabs>
        <w:jc w:val="both"/>
        <w:rPr>
          <w:rFonts w:ascii="Arial" w:eastAsia="Calibri" w:hAnsi="Arial" w:cs="Arial"/>
          <w:b/>
          <w:color w:val="000000" w:themeColor="text1"/>
          <w:sz w:val="22"/>
        </w:rPr>
      </w:pPr>
    </w:p>
    <w:p w14:paraId="0AB8D28A" w14:textId="0513C8B1" w:rsidR="005A79FE" w:rsidRPr="00F83DBD" w:rsidRDefault="002C7357" w:rsidP="004409E9">
      <w:pPr>
        <w:spacing w:line="276" w:lineRule="auto"/>
        <w:jc w:val="both"/>
        <w:rPr>
          <w:rFonts w:ascii="Arial" w:eastAsia="Calibri" w:hAnsi="Arial" w:cs="Arial"/>
          <w:color w:val="000000" w:themeColor="text1"/>
          <w:sz w:val="22"/>
        </w:rPr>
      </w:pPr>
      <w:r w:rsidRPr="00F83DBD">
        <w:rPr>
          <w:rFonts w:ascii="Arial" w:hAnsi="Arial" w:cs="Arial"/>
          <w:color w:val="000000" w:themeColor="text1"/>
          <w:sz w:val="22"/>
        </w:rPr>
        <w:t xml:space="preserve">La Agencia Nacional de Contratación Pública ― Colombia Compra Eficiente, </w:t>
      </w:r>
      <w:r w:rsidRPr="00F83DBD">
        <w:rPr>
          <w:rFonts w:ascii="Arial" w:eastAsia="Calibri" w:hAnsi="Arial" w:cs="Arial"/>
          <w:color w:val="000000" w:themeColor="text1"/>
          <w:sz w:val="22"/>
        </w:rPr>
        <w:t>en los conceptos identificados con los radicados No</w:t>
      </w:r>
      <w:r w:rsidR="00B66FDD" w:rsidRPr="00F83DBD">
        <w:rPr>
          <w:rFonts w:ascii="Arial" w:eastAsia="Calibri" w:hAnsi="Arial" w:cs="Arial"/>
          <w:color w:val="000000" w:themeColor="text1"/>
          <w:sz w:val="22"/>
        </w:rPr>
        <w:t>s</w:t>
      </w:r>
      <w:r w:rsidRPr="00F83DBD">
        <w:rPr>
          <w:rFonts w:ascii="Arial" w:eastAsia="Calibri" w:hAnsi="Arial" w:cs="Arial"/>
          <w:color w:val="000000" w:themeColor="text1"/>
          <w:sz w:val="22"/>
        </w:rPr>
        <w:t>.</w:t>
      </w:r>
      <w:r w:rsidRPr="00F83DBD">
        <w:rPr>
          <w:rFonts w:ascii="Arial" w:hAnsi="Arial" w:cs="Arial"/>
          <w:color w:val="000000" w:themeColor="text1"/>
          <w:sz w:val="22"/>
        </w:rPr>
        <w:t xml:space="preserve"> </w:t>
      </w:r>
      <w:r w:rsidRPr="00F83DBD">
        <w:rPr>
          <w:rFonts w:ascii="Arial" w:eastAsia="Calibri" w:hAnsi="Arial" w:cs="Arial"/>
          <w:color w:val="000000" w:themeColor="text1"/>
          <w:sz w:val="22"/>
        </w:rPr>
        <w:t>4201912000005113 d</w:t>
      </w:r>
      <w:r w:rsidR="00FD07C3" w:rsidRPr="00F83DBD">
        <w:rPr>
          <w:rFonts w:ascii="Arial" w:eastAsia="Calibri" w:hAnsi="Arial" w:cs="Arial"/>
          <w:color w:val="000000" w:themeColor="text1"/>
          <w:sz w:val="22"/>
        </w:rPr>
        <w:t xml:space="preserve">el </w:t>
      </w:r>
      <w:r w:rsidR="00B66FDD" w:rsidRPr="00F83DBD">
        <w:rPr>
          <w:rFonts w:ascii="Arial" w:eastAsia="Calibri" w:hAnsi="Arial" w:cs="Arial"/>
          <w:color w:val="000000" w:themeColor="text1"/>
          <w:sz w:val="22"/>
        </w:rPr>
        <w:t>16 de agosto de 2019, 420191200000</w:t>
      </w:r>
      <w:r w:rsidR="004E741A" w:rsidRPr="00F83DBD">
        <w:rPr>
          <w:rFonts w:ascii="Arial" w:eastAsia="Calibri" w:hAnsi="Arial" w:cs="Arial"/>
          <w:color w:val="000000" w:themeColor="text1"/>
          <w:sz w:val="22"/>
        </w:rPr>
        <w:t xml:space="preserve">5969 del 18 de septiembre de 2019, </w:t>
      </w:r>
      <w:r w:rsidRPr="00F83DBD">
        <w:rPr>
          <w:rFonts w:ascii="Arial" w:hAnsi="Arial" w:cs="Arial"/>
          <w:color w:val="000000" w:themeColor="text1"/>
          <w:sz w:val="22"/>
        </w:rPr>
        <w:t xml:space="preserve">4201912000006221 del </w:t>
      </w:r>
      <w:r w:rsidR="004E741A" w:rsidRPr="00F83DBD">
        <w:rPr>
          <w:rFonts w:ascii="Arial" w:hAnsi="Arial" w:cs="Arial"/>
          <w:color w:val="000000" w:themeColor="text1"/>
          <w:sz w:val="22"/>
        </w:rPr>
        <w:t>3</w:t>
      </w:r>
      <w:r w:rsidRPr="00F83DBD">
        <w:rPr>
          <w:rFonts w:ascii="Arial" w:hAnsi="Arial" w:cs="Arial"/>
          <w:color w:val="000000" w:themeColor="text1"/>
          <w:sz w:val="22"/>
        </w:rPr>
        <w:t xml:space="preserve"> de</w:t>
      </w:r>
      <w:r w:rsidR="00B31C4E" w:rsidRPr="00F83DBD">
        <w:rPr>
          <w:rFonts w:ascii="Arial" w:hAnsi="Arial" w:cs="Arial"/>
          <w:color w:val="000000" w:themeColor="text1"/>
          <w:sz w:val="22"/>
        </w:rPr>
        <w:t xml:space="preserve"> octubre de 2019,</w:t>
      </w:r>
      <w:r w:rsidR="00687C2E" w:rsidRPr="00F83DBD">
        <w:rPr>
          <w:rFonts w:ascii="Arial" w:hAnsi="Arial" w:cs="Arial"/>
          <w:color w:val="000000" w:themeColor="text1"/>
          <w:sz w:val="22"/>
        </w:rPr>
        <w:t xml:space="preserve"> 42019</w:t>
      </w:r>
      <w:r w:rsidR="00D94FDB" w:rsidRPr="00F83DBD">
        <w:rPr>
          <w:rFonts w:ascii="Arial" w:hAnsi="Arial" w:cs="Arial"/>
          <w:color w:val="000000" w:themeColor="text1"/>
          <w:sz w:val="22"/>
        </w:rPr>
        <w:t>12000007508 del 17 de diciembre de 2019,</w:t>
      </w:r>
      <w:r w:rsidRPr="00F83DBD">
        <w:rPr>
          <w:rFonts w:ascii="Arial" w:hAnsi="Arial" w:cs="Arial"/>
          <w:color w:val="000000" w:themeColor="text1"/>
          <w:sz w:val="22"/>
        </w:rPr>
        <w:t xml:space="preserve"> </w:t>
      </w:r>
      <w:r w:rsidRPr="00F83DBD">
        <w:rPr>
          <w:rFonts w:ascii="Arial" w:eastAsia="Calibri" w:hAnsi="Arial" w:cs="Arial"/>
          <w:color w:val="000000" w:themeColor="text1"/>
          <w:sz w:val="22"/>
        </w:rPr>
        <w:t>C</w:t>
      </w:r>
      <w:r w:rsidR="00D94FDB" w:rsidRPr="00F83DBD">
        <w:rPr>
          <w:rFonts w:ascii="Arial" w:eastAsia="Calibri" w:hAnsi="Arial" w:cs="Arial"/>
          <w:color w:val="000000" w:themeColor="text1"/>
          <w:sz w:val="22"/>
        </w:rPr>
        <w:t xml:space="preserve"> ─</w:t>
      </w:r>
      <w:r w:rsidRPr="00F83DBD">
        <w:rPr>
          <w:rFonts w:ascii="Arial" w:hAnsi="Arial" w:cs="Arial"/>
          <w:color w:val="000000" w:themeColor="text1"/>
          <w:sz w:val="22"/>
        </w:rPr>
        <w:t xml:space="preserve"> </w:t>
      </w:r>
      <w:r w:rsidR="00D94FDB" w:rsidRPr="00F83DBD">
        <w:rPr>
          <w:rFonts w:ascii="Arial" w:hAnsi="Arial" w:cs="Arial"/>
          <w:color w:val="000000" w:themeColor="text1"/>
          <w:sz w:val="22"/>
        </w:rPr>
        <w:t>1</w:t>
      </w:r>
      <w:r w:rsidRPr="00F83DBD">
        <w:rPr>
          <w:rFonts w:ascii="Arial" w:hAnsi="Arial" w:cs="Arial"/>
          <w:color w:val="000000" w:themeColor="text1"/>
          <w:sz w:val="22"/>
        </w:rPr>
        <w:t>56 de 2020</w:t>
      </w:r>
      <w:r w:rsidR="00D94FDB" w:rsidRPr="00F83DBD">
        <w:rPr>
          <w:rFonts w:ascii="Arial" w:hAnsi="Arial" w:cs="Arial"/>
          <w:color w:val="000000" w:themeColor="text1"/>
          <w:sz w:val="22"/>
        </w:rPr>
        <w:t xml:space="preserve"> y </w:t>
      </w:r>
      <w:r w:rsidR="00D624D8" w:rsidRPr="00F83DBD">
        <w:rPr>
          <w:rFonts w:ascii="Arial" w:hAnsi="Arial" w:cs="Arial"/>
          <w:color w:val="000000" w:themeColor="text1"/>
          <w:sz w:val="22"/>
        </w:rPr>
        <w:t>C ─ 256 de 2020</w:t>
      </w:r>
      <w:r w:rsidRPr="00F83DBD">
        <w:rPr>
          <w:rFonts w:ascii="Arial" w:eastAsia="Calibri" w:hAnsi="Arial" w:cs="Arial"/>
          <w:color w:val="000000" w:themeColor="text1"/>
          <w:sz w:val="22"/>
        </w:rPr>
        <w:t xml:space="preserve"> se pronunció sobre la acreditación de formación profesional con títulos otorgados en el exterior.</w:t>
      </w:r>
      <w:r w:rsidR="00B80D47" w:rsidRPr="00F83DBD">
        <w:rPr>
          <w:rFonts w:ascii="Arial" w:eastAsia="Calibri" w:hAnsi="Arial" w:cs="Arial"/>
          <w:color w:val="000000" w:themeColor="text1"/>
          <w:sz w:val="22"/>
        </w:rPr>
        <w:t xml:space="preserve"> La tesis desarrollada en estos conceptos es la que se expone y reitera a continuación.</w:t>
      </w:r>
    </w:p>
    <w:p w14:paraId="6306E42C" w14:textId="1A6C5CD4" w:rsidR="00DE1AA6" w:rsidRPr="00F83DBD" w:rsidRDefault="00DE1AA6" w:rsidP="00333106">
      <w:pPr>
        <w:jc w:val="both"/>
        <w:rPr>
          <w:rFonts w:ascii="Arial" w:eastAsia="Calibri" w:hAnsi="Arial" w:cs="Arial"/>
          <w:color w:val="000000" w:themeColor="text1"/>
          <w:sz w:val="22"/>
        </w:rPr>
      </w:pPr>
    </w:p>
    <w:p w14:paraId="4A31F99F" w14:textId="1F1E760B" w:rsidR="00DE1AA6" w:rsidRPr="00F83DBD" w:rsidRDefault="00DE1AA6" w:rsidP="00333106">
      <w:pPr>
        <w:jc w:val="both"/>
        <w:rPr>
          <w:rFonts w:ascii="Arial" w:eastAsia="Calibri" w:hAnsi="Arial" w:cs="Arial"/>
          <w:b/>
          <w:bCs/>
          <w:color w:val="000000" w:themeColor="text1"/>
          <w:sz w:val="22"/>
        </w:rPr>
      </w:pPr>
      <w:r w:rsidRPr="00F83DBD">
        <w:rPr>
          <w:rFonts w:ascii="Arial" w:eastAsia="Calibri" w:hAnsi="Arial" w:cs="Arial"/>
          <w:b/>
          <w:bCs/>
          <w:color w:val="000000" w:themeColor="text1"/>
          <w:sz w:val="22"/>
        </w:rPr>
        <w:t xml:space="preserve">2.1. </w:t>
      </w:r>
      <w:r w:rsidR="00683472" w:rsidRPr="00F83DBD">
        <w:rPr>
          <w:rFonts w:ascii="Arial" w:eastAsia="Calibri" w:hAnsi="Arial" w:cs="Arial"/>
          <w:b/>
          <w:bCs/>
          <w:color w:val="000000" w:themeColor="text1"/>
          <w:sz w:val="22"/>
        </w:rPr>
        <w:t xml:space="preserve">Contrato de prestación de servicios profesionales: </w:t>
      </w:r>
      <w:r w:rsidR="00DC72CB" w:rsidRPr="00F83DBD">
        <w:rPr>
          <w:rFonts w:ascii="Arial" w:eastAsia="Calibri" w:hAnsi="Arial" w:cs="Arial"/>
          <w:b/>
          <w:bCs/>
          <w:color w:val="000000" w:themeColor="text1"/>
          <w:sz w:val="22"/>
        </w:rPr>
        <w:t>generalidades</w:t>
      </w:r>
    </w:p>
    <w:p w14:paraId="6EA34D46" w14:textId="09D86900" w:rsidR="00DC72CB" w:rsidRPr="00F83DBD" w:rsidRDefault="00DC72CB" w:rsidP="00333106">
      <w:pPr>
        <w:jc w:val="both"/>
        <w:rPr>
          <w:rFonts w:ascii="Arial" w:eastAsia="Calibri" w:hAnsi="Arial" w:cs="Arial"/>
          <w:b/>
          <w:bCs/>
          <w:color w:val="000000" w:themeColor="text1"/>
          <w:sz w:val="22"/>
        </w:rPr>
      </w:pPr>
    </w:p>
    <w:p w14:paraId="31B3251D" w14:textId="5759B6C4" w:rsidR="00333106" w:rsidRPr="00F83DBD" w:rsidRDefault="00333106" w:rsidP="0035147B">
      <w:pPr>
        <w:spacing w:after="120" w:line="276" w:lineRule="auto"/>
        <w:jc w:val="both"/>
        <w:rPr>
          <w:rFonts w:ascii="Arial" w:eastAsia="Calibri" w:hAnsi="Arial" w:cs="Arial"/>
          <w:color w:val="000000" w:themeColor="text1"/>
          <w:sz w:val="22"/>
          <w:lang w:val="es-ES_tradnl"/>
        </w:rPr>
      </w:pPr>
      <w:r w:rsidRPr="00F83DBD">
        <w:rPr>
          <w:rFonts w:ascii="Arial" w:hAnsi="Arial" w:cs="Arial"/>
          <w:color w:val="000000" w:themeColor="text1"/>
          <w:sz w:val="22"/>
          <w:lang w:val="es-ES_tradnl"/>
        </w:rPr>
        <w:t>La Agencia Nacional de Contratación Pública – Colombia Compra Eficiente se pronunció recientemente sobre el contrato de prestación de servicios profesionales en</w:t>
      </w:r>
      <w:r w:rsidR="00D95931" w:rsidRPr="00F83DBD">
        <w:rPr>
          <w:rFonts w:ascii="Arial" w:hAnsi="Arial" w:cs="Arial"/>
          <w:color w:val="000000" w:themeColor="text1"/>
          <w:sz w:val="22"/>
          <w:lang w:val="es-ES_tradnl"/>
        </w:rPr>
        <w:t xml:space="preserve"> conceptos C ─ 156 de 2020 y C ─ 208 de 2020</w:t>
      </w:r>
      <w:r w:rsidRPr="00F83DBD">
        <w:rPr>
          <w:rFonts w:ascii="Arial" w:eastAsia="Calibri" w:hAnsi="Arial" w:cs="Arial"/>
          <w:color w:val="000000" w:themeColor="text1"/>
          <w:sz w:val="22"/>
          <w:lang w:val="es-ES_tradnl"/>
        </w:rPr>
        <w:t>, cuyas ideas se reiteran a continuación:</w:t>
      </w:r>
    </w:p>
    <w:p w14:paraId="08892FB4" w14:textId="77777777" w:rsidR="00E92E5F" w:rsidRPr="00F83DBD" w:rsidRDefault="00E92E5F" w:rsidP="00E92E5F">
      <w:pPr>
        <w:tabs>
          <w:tab w:val="left" w:pos="8505"/>
        </w:tabs>
        <w:spacing w:line="276" w:lineRule="auto"/>
        <w:jc w:val="both"/>
        <w:rPr>
          <w:rFonts w:ascii="Arial" w:hAnsi="Arial" w:cs="Arial"/>
          <w:color w:val="000000" w:themeColor="text1"/>
          <w:sz w:val="22"/>
          <w:lang w:val="es-ES_tradnl"/>
        </w:rPr>
      </w:pPr>
      <w:r w:rsidRPr="00F83DBD">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11F7D1B4" w14:textId="77777777" w:rsidR="00E92E5F" w:rsidRPr="00F83DBD" w:rsidRDefault="00E92E5F" w:rsidP="00E92E5F">
      <w:pPr>
        <w:spacing w:line="276" w:lineRule="auto"/>
        <w:jc w:val="both"/>
        <w:rPr>
          <w:rFonts w:ascii="Arial" w:hAnsi="Arial" w:cs="Arial"/>
          <w:color w:val="000000" w:themeColor="text1"/>
          <w:sz w:val="22"/>
          <w:lang w:val="es-ES_tradnl"/>
        </w:rPr>
      </w:pPr>
    </w:p>
    <w:p w14:paraId="6B349A8A"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C198A28" w14:textId="77777777" w:rsidR="00E92E5F" w:rsidRPr="00F83DBD" w:rsidRDefault="00E92E5F" w:rsidP="00E92E5F">
      <w:pPr>
        <w:ind w:left="709" w:right="709"/>
        <w:jc w:val="both"/>
        <w:rPr>
          <w:rFonts w:ascii="Arial" w:hAnsi="Arial" w:cs="Arial"/>
          <w:color w:val="000000" w:themeColor="text1"/>
          <w:sz w:val="21"/>
          <w:szCs w:val="21"/>
          <w:lang w:val="es-ES_tradnl"/>
        </w:rPr>
      </w:pPr>
    </w:p>
    <w:p w14:paraId="5AD5FB45"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En ningún caso estos contratos generan relación laboral ni prestaciones sociales y se celebrarán por el término estrictamente indispensable.</w:t>
      </w:r>
    </w:p>
    <w:p w14:paraId="5E155EA1" w14:textId="77777777" w:rsidR="00E92E5F" w:rsidRPr="00F83DBD" w:rsidRDefault="00E92E5F" w:rsidP="00E92E5F">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74DC3B26" w14:textId="77777777" w:rsidR="00E92E5F" w:rsidRPr="00F83DBD" w:rsidRDefault="00E92E5F" w:rsidP="00E92E5F">
      <w:pPr>
        <w:tabs>
          <w:tab w:val="left" w:pos="709"/>
        </w:tabs>
        <w:spacing w:line="276" w:lineRule="auto"/>
        <w:jc w:val="both"/>
        <w:rPr>
          <w:rFonts w:ascii="Arial" w:hAnsi="Arial" w:cs="Arial"/>
          <w:color w:val="000000" w:themeColor="text1"/>
          <w:sz w:val="22"/>
          <w:lang w:val="es-ES_tradnl"/>
        </w:rPr>
      </w:pPr>
      <w:r w:rsidRPr="00F83DBD">
        <w:rPr>
          <w:rFonts w:ascii="Arial" w:hAnsi="Arial" w:cs="Arial"/>
          <w:color w:val="000000" w:themeColor="text1"/>
          <w:sz w:val="22"/>
          <w:lang w:val="es-ES_tradnl"/>
        </w:rPr>
        <w:tab/>
        <w:t>De otro lado, la celebración de dicho contrato se debe efectuar a través de la modalidad de la contratación directa. Así lo prevé el artículo 2, numeral 4º, literal h), de la Ley 1150 de 2007, que dispone:</w:t>
      </w:r>
    </w:p>
    <w:p w14:paraId="3FD619E4" w14:textId="77777777" w:rsidR="00E92E5F" w:rsidRPr="00F83DBD" w:rsidRDefault="00E92E5F" w:rsidP="00E92E5F">
      <w:pPr>
        <w:ind w:right="709"/>
        <w:jc w:val="both"/>
        <w:rPr>
          <w:rFonts w:ascii="Arial" w:eastAsia="Calibri" w:hAnsi="Arial" w:cs="Arial"/>
          <w:color w:val="000000" w:themeColor="text1"/>
          <w:sz w:val="21"/>
          <w:szCs w:val="21"/>
          <w:lang w:val="es-ES_tradnl"/>
        </w:rPr>
      </w:pPr>
    </w:p>
    <w:p w14:paraId="13AC07B0" w14:textId="77777777" w:rsidR="00E92E5F" w:rsidRPr="00F83DBD" w:rsidRDefault="00E92E5F" w:rsidP="009C045C">
      <w:pPr>
        <w:ind w:left="709" w:right="758"/>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La escogencia del contratista se efectuará con arreglo a las modalidades de selección de licitación pública, selección abreviada, concurso de méritos y contratación directa, con base en las siguientes reglas:</w:t>
      </w:r>
    </w:p>
    <w:p w14:paraId="49AFA5D5" w14:textId="77777777" w:rsidR="00E92E5F" w:rsidRPr="00F83DBD" w:rsidRDefault="00E92E5F" w:rsidP="009C045C">
      <w:pPr>
        <w:ind w:left="709" w:right="758"/>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w:t>
      </w:r>
    </w:p>
    <w:p w14:paraId="7279AD60" w14:textId="77777777" w:rsidR="00E92E5F" w:rsidRPr="00F83DBD" w:rsidRDefault="00E92E5F" w:rsidP="009C045C">
      <w:pPr>
        <w:ind w:left="709" w:right="758"/>
        <w:jc w:val="both"/>
        <w:rPr>
          <w:rFonts w:ascii="Arial" w:hAnsi="Arial" w:cs="Arial"/>
          <w:color w:val="000000" w:themeColor="text1"/>
          <w:sz w:val="21"/>
          <w:szCs w:val="21"/>
          <w:lang w:val="es-ES_tradnl"/>
        </w:rPr>
      </w:pPr>
    </w:p>
    <w:p w14:paraId="40FD2347" w14:textId="77777777" w:rsidR="00E92E5F" w:rsidRPr="00F83DBD" w:rsidRDefault="00E92E5F" w:rsidP="009C045C">
      <w:pPr>
        <w:ind w:left="709" w:right="758"/>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4. Contratación directa. La modalidad de selección de contratación directa, solamente procederá en los siguientes casos:</w:t>
      </w:r>
    </w:p>
    <w:p w14:paraId="4A3F27BE" w14:textId="77777777" w:rsidR="00E92E5F" w:rsidRPr="00F83DBD" w:rsidRDefault="00E92E5F" w:rsidP="009C045C">
      <w:pPr>
        <w:ind w:left="709" w:right="758"/>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w:t>
      </w:r>
    </w:p>
    <w:p w14:paraId="73E492C4" w14:textId="77777777" w:rsidR="00E92E5F" w:rsidRPr="00F83DBD" w:rsidRDefault="00E92E5F" w:rsidP="009C045C">
      <w:pPr>
        <w:ind w:left="709" w:right="758"/>
        <w:jc w:val="both"/>
        <w:rPr>
          <w:rFonts w:ascii="Arial" w:hAnsi="Arial" w:cs="Arial"/>
          <w:color w:val="000000" w:themeColor="text1"/>
          <w:sz w:val="21"/>
          <w:szCs w:val="21"/>
          <w:lang w:val="es-ES_tradnl"/>
        </w:rPr>
      </w:pPr>
    </w:p>
    <w:p w14:paraId="22DF54E1" w14:textId="77777777" w:rsidR="00E92E5F" w:rsidRPr="00F83DBD" w:rsidRDefault="00E92E5F" w:rsidP="009C045C">
      <w:pPr>
        <w:ind w:left="709" w:right="758"/>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lastRenderedPageBreak/>
        <w:t>h) Para la prestación de servicios profesionales y de apoyo a la gestión, o para la ejecución de trabajos artísticos que sólo puedan encomendarse a determinadas personas naturales.</w:t>
      </w:r>
    </w:p>
    <w:p w14:paraId="6CC7EFF6" w14:textId="77777777" w:rsidR="00E92E5F" w:rsidRPr="00F83DBD" w:rsidRDefault="00E92E5F" w:rsidP="00E92E5F">
      <w:pPr>
        <w:ind w:right="709"/>
        <w:jc w:val="both"/>
        <w:rPr>
          <w:rFonts w:ascii="Arial" w:eastAsia="Calibri" w:hAnsi="Arial" w:cs="Arial"/>
          <w:color w:val="000000" w:themeColor="text1"/>
          <w:sz w:val="22"/>
          <w:lang w:val="es-ES_tradnl"/>
        </w:rPr>
      </w:pPr>
    </w:p>
    <w:p w14:paraId="4D4DA15C"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A partir de las disposiciones citadas y de los pronunciamientos judiciales más destacados sobre el tema, es posible señalar las siguientes características del contrato de prestación de servicios:</w:t>
      </w:r>
    </w:p>
    <w:p w14:paraId="36341CF7" w14:textId="77777777" w:rsidR="00E92E5F" w:rsidRPr="00F83DBD" w:rsidRDefault="00E92E5F" w:rsidP="00E92E5F">
      <w:pPr>
        <w:spacing w:before="120" w:after="120"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84801B5" w14:textId="77777777" w:rsidR="00E92E5F" w:rsidRPr="00F83DBD" w:rsidRDefault="00E92E5F" w:rsidP="00E92E5F">
      <w:pPr>
        <w:spacing w:before="120" w:after="120"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que, por ejemplo,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4D76254A" w14:textId="77777777" w:rsidR="00E92E5F" w:rsidRPr="00F83DBD" w:rsidRDefault="00E92E5F" w:rsidP="00E92E5F">
      <w:pPr>
        <w:spacing w:before="120" w:after="120"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iii) Si bien se celebran para obtener la prestación personal de un servicio, se diferencian del contrato de trabajo</w:t>
      </w:r>
      <w:r w:rsidRPr="00F83DBD">
        <w:rPr>
          <w:rStyle w:val="Refdenotaalpie"/>
          <w:rFonts w:ascii="Arial" w:hAnsi="Arial" w:cs="Arial"/>
          <w:color w:val="000000" w:themeColor="text1"/>
          <w:sz w:val="22"/>
          <w:lang w:val="es-ES_tradnl"/>
        </w:rPr>
        <w:footnoteReference w:id="1"/>
      </w:r>
      <w:r w:rsidRPr="00F83DBD">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F83DBD">
        <w:rPr>
          <w:rStyle w:val="Refdenotaalpie"/>
          <w:rFonts w:ascii="Arial" w:hAnsi="Arial" w:cs="Arial"/>
          <w:color w:val="000000" w:themeColor="text1"/>
          <w:sz w:val="22"/>
          <w:lang w:val="es-ES_tradnl"/>
        </w:rPr>
        <w:footnoteReference w:id="2"/>
      </w:r>
      <w:r w:rsidRPr="00F83DBD">
        <w:rPr>
          <w:rFonts w:ascii="Arial" w:hAnsi="Arial" w:cs="Arial"/>
          <w:color w:val="000000" w:themeColor="text1"/>
          <w:sz w:val="22"/>
          <w:lang w:val="es-ES_tradnl"/>
        </w:rPr>
        <w:t xml:space="preserve">. </w:t>
      </w:r>
    </w:p>
    <w:p w14:paraId="48816BFD" w14:textId="77777777" w:rsidR="00E92E5F" w:rsidRPr="00F83DBD" w:rsidRDefault="00E92E5F" w:rsidP="00E92E5F">
      <w:pPr>
        <w:spacing w:before="120" w:after="120"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lastRenderedPageBreak/>
        <w:t>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F83DBD">
        <w:rPr>
          <w:rStyle w:val="Refdenotaalpie"/>
          <w:rFonts w:ascii="Arial" w:hAnsi="Arial" w:cs="Arial"/>
          <w:color w:val="000000" w:themeColor="text1"/>
          <w:sz w:val="22"/>
          <w:lang w:val="es-ES_tradnl"/>
        </w:rPr>
        <w:footnoteReference w:id="3"/>
      </w:r>
      <w:r w:rsidRPr="00F83DBD">
        <w:rPr>
          <w:rFonts w:ascii="Arial" w:hAnsi="Arial" w:cs="Arial"/>
          <w:color w:val="000000" w:themeColor="text1"/>
          <w:sz w:val="22"/>
          <w:lang w:val="es-ES_tradnl"/>
        </w:rPr>
        <w:t>.</w:t>
      </w:r>
    </w:p>
    <w:p w14:paraId="2818962A" w14:textId="77777777" w:rsidR="00E92E5F" w:rsidRPr="00F83DBD" w:rsidRDefault="00E92E5F" w:rsidP="00E92E5F">
      <w:pPr>
        <w:spacing w:after="120" w:line="276" w:lineRule="auto"/>
        <w:ind w:firstLine="709"/>
        <w:jc w:val="both"/>
        <w:rPr>
          <w:rFonts w:ascii="Arial" w:hAnsi="Arial" w:cs="Arial"/>
          <w:color w:val="000000" w:themeColor="text1"/>
          <w:sz w:val="21"/>
          <w:szCs w:val="21"/>
          <w:lang w:val="es-ES_tradnl"/>
        </w:rPr>
      </w:pPr>
      <w:r w:rsidRPr="00F83DBD">
        <w:rPr>
          <w:rFonts w:ascii="Arial" w:hAnsi="Arial" w:cs="Arial"/>
          <w:color w:val="000000" w:themeColor="text1"/>
          <w:sz w:val="22"/>
          <w:lang w:val="es-ES_tradnl"/>
        </w:rPr>
        <w:t>iv) Deben ser temporales y su duración debe ser por tiempo limitado, esto es, el indispensable para ejecutar el objeto contractual convenido. En el caso de que las actividades demanden una permanencia indefinida, excediendo su carácter excepcional y temporal para convertirse en ordinario y permanente, es necesario que entidad adopte las medidas y provisiones pertinentes de acuerdo al artículo 122 de la Carta Política, según el cual se requiere que el empleo público quede contemplado en la respectiva planta y previstos sus emolumentos en el presupuesto correspondiente</w:t>
      </w:r>
      <w:r w:rsidRPr="00F83DBD">
        <w:rPr>
          <w:rStyle w:val="Refdenotaalpie"/>
          <w:rFonts w:ascii="Arial" w:hAnsi="Arial" w:cs="Arial"/>
          <w:color w:val="000000" w:themeColor="text1"/>
          <w:sz w:val="21"/>
          <w:szCs w:val="21"/>
          <w:lang w:val="es-ES_tradnl"/>
        </w:rPr>
        <w:footnoteReference w:id="4"/>
      </w:r>
      <w:r w:rsidRPr="00F83DBD">
        <w:rPr>
          <w:rFonts w:ascii="Arial" w:hAnsi="Arial" w:cs="Arial"/>
          <w:color w:val="000000" w:themeColor="text1"/>
          <w:sz w:val="21"/>
          <w:szCs w:val="21"/>
          <w:lang w:val="es-ES_tradnl"/>
        </w:rPr>
        <w:t>.</w:t>
      </w:r>
    </w:p>
    <w:p w14:paraId="52458726"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 xml:space="preserve">v) Los contratos de prestación de servicios profesionales hacen parte del género denominado </w:t>
      </w:r>
      <w:r w:rsidRPr="00F83DBD">
        <w:rPr>
          <w:rFonts w:ascii="Arial" w:hAnsi="Arial" w:cs="Arial"/>
          <w:i/>
          <w:color w:val="000000" w:themeColor="text1"/>
          <w:sz w:val="22"/>
          <w:lang w:val="es-ES_tradnl"/>
        </w:rPr>
        <w:t>contratos de prestación de servicios</w:t>
      </w:r>
      <w:r w:rsidRPr="00F83DBD">
        <w:rPr>
          <w:rFonts w:ascii="Arial" w:hAnsi="Arial" w:cs="Arial"/>
          <w:color w:val="000000" w:themeColor="text1"/>
          <w:sz w:val="22"/>
          <w:lang w:val="es-ES_tradnl"/>
        </w:rPr>
        <w:t xml:space="preserve">, dentro del cual también se ubican, como especies, los </w:t>
      </w:r>
      <w:r w:rsidRPr="00F83DBD">
        <w:rPr>
          <w:rFonts w:ascii="Arial" w:hAnsi="Arial" w:cs="Arial"/>
          <w:i/>
          <w:iCs/>
          <w:color w:val="000000" w:themeColor="text1"/>
          <w:sz w:val="22"/>
          <w:lang w:val="es-ES_tradnl"/>
        </w:rPr>
        <w:t>contratos de prestación de servicios de apoyo a la gestión</w:t>
      </w:r>
      <w:r w:rsidRPr="00F83DBD">
        <w:rPr>
          <w:rFonts w:ascii="Arial" w:hAnsi="Arial" w:cs="Arial"/>
          <w:color w:val="000000" w:themeColor="text1"/>
          <w:sz w:val="22"/>
          <w:lang w:val="es-ES_tradnl"/>
        </w:rPr>
        <w:t xml:space="preserve"> y los </w:t>
      </w:r>
      <w:r w:rsidRPr="00F83DBD">
        <w:rPr>
          <w:rFonts w:ascii="Arial" w:hAnsi="Arial" w:cs="Arial"/>
          <w:i/>
          <w:iCs/>
          <w:color w:val="000000" w:themeColor="text1"/>
          <w:sz w:val="22"/>
          <w:lang w:val="es-ES_tradnl"/>
        </w:rPr>
        <w:t>contratos de prestación de servicios artísticos que solo pueden encomendarse a determinadas personas naturales</w:t>
      </w:r>
      <w:r w:rsidRPr="00F83DBD">
        <w:rPr>
          <w:rStyle w:val="Refdenotaalpie"/>
          <w:rFonts w:ascii="Arial" w:hAnsi="Arial" w:cs="Arial"/>
          <w:color w:val="000000" w:themeColor="text1"/>
          <w:sz w:val="22"/>
          <w:lang w:val="es-ES_tradnl"/>
        </w:rPr>
        <w:footnoteReference w:id="5"/>
      </w:r>
      <w:r w:rsidRPr="00F83DBD">
        <w:rPr>
          <w:rFonts w:ascii="Arial" w:hAnsi="Arial" w:cs="Arial"/>
          <w:color w:val="000000" w:themeColor="text1"/>
          <w:sz w:val="22"/>
          <w:lang w:val="es-ES_tradnl"/>
        </w:rPr>
        <w:t xml:space="preserve">. La diferencia entre el contrato de prestación de servicios </w:t>
      </w:r>
      <w:r w:rsidRPr="00F83DBD">
        <w:rPr>
          <w:rFonts w:ascii="Arial" w:hAnsi="Arial" w:cs="Arial"/>
          <w:i/>
          <w:color w:val="000000" w:themeColor="text1"/>
          <w:sz w:val="22"/>
          <w:lang w:val="es-ES_tradnl"/>
        </w:rPr>
        <w:t>profesionales</w:t>
      </w:r>
      <w:r w:rsidRPr="00F83DBD">
        <w:rPr>
          <w:rFonts w:ascii="Arial" w:hAnsi="Arial" w:cs="Arial"/>
          <w:color w:val="000000" w:themeColor="text1"/>
          <w:sz w:val="22"/>
          <w:lang w:val="es-ES_tradnl"/>
        </w:rPr>
        <w:t xml:space="preserve"> con las </w:t>
      </w:r>
      <w:r w:rsidRPr="00F83DBD">
        <w:rPr>
          <w:rFonts w:ascii="Arial" w:hAnsi="Arial" w:cs="Arial"/>
          <w:color w:val="000000" w:themeColor="text1"/>
          <w:sz w:val="22"/>
          <w:lang w:val="es-ES_tradnl"/>
        </w:rPr>
        <w:lastRenderedPageBreak/>
        <w:t>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05E97FE"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p>
    <w:p w14:paraId="57F9C749"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F83DBD">
        <w:rPr>
          <w:rStyle w:val="Refdenotaalpie"/>
          <w:rFonts w:ascii="Arial" w:hAnsi="Arial" w:cs="Arial"/>
          <w:color w:val="000000" w:themeColor="text1"/>
          <w:sz w:val="21"/>
          <w:szCs w:val="21"/>
          <w:lang w:val="es-ES_tradnl"/>
        </w:rPr>
        <w:footnoteReference w:id="6"/>
      </w:r>
      <w:r w:rsidRPr="00F83DBD">
        <w:rPr>
          <w:rFonts w:ascii="Arial" w:hAnsi="Arial" w:cs="Arial"/>
          <w:color w:val="000000" w:themeColor="text1"/>
          <w:sz w:val="21"/>
          <w:szCs w:val="21"/>
          <w:lang w:val="es-ES_tradnl"/>
        </w:rPr>
        <w:t>.</w:t>
      </w:r>
    </w:p>
    <w:p w14:paraId="245F1775"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p>
    <w:p w14:paraId="6F13B878"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 xml:space="preserve">Objeto que, según la jurisprudencia citada, se diferencia del objeto del </w:t>
      </w:r>
      <w:r w:rsidRPr="00F83DBD">
        <w:rPr>
          <w:rFonts w:ascii="Arial" w:hAnsi="Arial" w:cs="Arial"/>
          <w:i/>
          <w:iCs/>
          <w:color w:val="000000" w:themeColor="text1"/>
          <w:sz w:val="22"/>
          <w:lang w:val="es-ES_tradnl"/>
        </w:rPr>
        <w:t>contrato de prestación de servicios de apoyo a la gestión</w:t>
      </w:r>
      <w:r w:rsidRPr="00F83DBD">
        <w:rPr>
          <w:rFonts w:ascii="Arial" w:hAnsi="Arial" w:cs="Arial"/>
          <w:color w:val="000000" w:themeColor="text1"/>
          <w:sz w:val="22"/>
          <w:lang w:val="es-ES_tradnl"/>
        </w:rPr>
        <w:t>, porque:</w:t>
      </w:r>
    </w:p>
    <w:p w14:paraId="6298D30C"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p>
    <w:p w14:paraId="1BE54C27"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6A73102" w14:textId="77777777" w:rsidR="00E92E5F" w:rsidRPr="00F83DBD" w:rsidRDefault="00E92E5F" w:rsidP="00E92E5F">
      <w:pPr>
        <w:ind w:left="709" w:right="709"/>
        <w:jc w:val="both"/>
        <w:rPr>
          <w:rFonts w:ascii="Arial" w:hAnsi="Arial" w:cs="Arial"/>
          <w:color w:val="000000" w:themeColor="text1"/>
          <w:sz w:val="21"/>
          <w:szCs w:val="21"/>
          <w:lang w:val="es-ES_tradnl"/>
        </w:rPr>
      </w:pPr>
    </w:p>
    <w:p w14:paraId="17100673"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CD432C2" w14:textId="77777777" w:rsidR="00E92E5F" w:rsidRPr="00F83DBD" w:rsidRDefault="00E92E5F" w:rsidP="00E92E5F">
      <w:pPr>
        <w:ind w:left="709" w:right="709"/>
        <w:jc w:val="both"/>
        <w:rPr>
          <w:rFonts w:ascii="Arial" w:hAnsi="Arial" w:cs="Arial"/>
          <w:color w:val="000000" w:themeColor="text1"/>
          <w:sz w:val="21"/>
          <w:szCs w:val="21"/>
          <w:lang w:val="es-ES_tradnl"/>
        </w:rPr>
      </w:pPr>
    </w:p>
    <w:p w14:paraId="53AC132B"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F83DBD">
        <w:rPr>
          <w:rStyle w:val="Refdenotaalpie"/>
          <w:rFonts w:ascii="Arial" w:hAnsi="Arial" w:cs="Arial"/>
          <w:color w:val="000000" w:themeColor="text1"/>
          <w:sz w:val="21"/>
          <w:szCs w:val="21"/>
          <w:lang w:val="es-ES_tradnl"/>
        </w:rPr>
        <w:footnoteReference w:id="7"/>
      </w:r>
      <w:r w:rsidRPr="00F83DBD">
        <w:rPr>
          <w:rFonts w:ascii="Arial" w:hAnsi="Arial" w:cs="Arial"/>
          <w:color w:val="000000" w:themeColor="text1"/>
          <w:sz w:val="21"/>
          <w:szCs w:val="21"/>
          <w:lang w:val="es-ES_tradnl"/>
        </w:rPr>
        <w:t>.</w:t>
      </w:r>
    </w:p>
    <w:p w14:paraId="0B683888"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p>
    <w:p w14:paraId="384D8010"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 xml:space="preserve">En relación con el </w:t>
      </w:r>
      <w:r w:rsidRPr="00F83DBD">
        <w:rPr>
          <w:rFonts w:ascii="Arial" w:hAnsi="Arial" w:cs="Arial"/>
          <w:i/>
          <w:iCs/>
          <w:color w:val="000000" w:themeColor="text1"/>
          <w:sz w:val="22"/>
          <w:lang w:val="es-ES_tradnl"/>
        </w:rPr>
        <w:t>contrato de prestación de servicios artísticos que solo pueden encomendarse a determinadas personas naturales</w:t>
      </w:r>
      <w:r w:rsidRPr="00F83DBD">
        <w:rPr>
          <w:rFonts w:ascii="Arial" w:hAnsi="Arial" w:cs="Arial"/>
          <w:color w:val="000000" w:themeColor="text1"/>
          <w:sz w:val="22"/>
          <w:lang w:val="es-ES_tradnl"/>
        </w:rPr>
        <w:t>, señala el mencionado fallo que:</w:t>
      </w:r>
    </w:p>
    <w:p w14:paraId="1036CAAB" w14:textId="77777777" w:rsidR="00E92E5F" w:rsidRPr="00F83DBD" w:rsidRDefault="00E92E5F" w:rsidP="00E92E5F">
      <w:pPr>
        <w:ind w:left="709" w:right="709"/>
        <w:jc w:val="both"/>
        <w:rPr>
          <w:rFonts w:ascii="Arial" w:hAnsi="Arial" w:cs="Arial"/>
          <w:color w:val="000000" w:themeColor="text1"/>
          <w:sz w:val="21"/>
          <w:szCs w:val="21"/>
          <w:lang w:val="es-ES_tradnl"/>
        </w:rPr>
      </w:pPr>
    </w:p>
    <w:p w14:paraId="2109C855" w14:textId="77777777" w:rsidR="00E92E5F" w:rsidRPr="00F83DBD" w:rsidRDefault="00E92E5F" w:rsidP="00E92E5F">
      <w:pPr>
        <w:ind w:left="709" w:right="709"/>
        <w:jc w:val="both"/>
        <w:rPr>
          <w:rFonts w:ascii="Arial" w:hAnsi="Arial" w:cs="Arial"/>
          <w:color w:val="000000" w:themeColor="text1"/>
          <w:sz w:val="21"/>
          <w:szCs w:val="21"/>
          <w:lang w:val="es-ES_tradnl"/>
        </w:rPr>
      </w:pPr>
      <w:r w:rsidRPr="00F83DBD">
        <w:rPr>
          <w:rFonts w:ascii="Arial" w:hAnsi="Arial" w:cs="Arial"/>
          <w:color w:val="000000" w:themeColor="text1"/>
          <w:sz w:val="21"/>
          <w:szCs w:val="21"/>
          <w:lang w:val="es-ES_tradnl"/>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F83DBD">
        <w:rPr>
          <w:rStyle w:val="Refdenotaalpie"/>
          <w:rFonts w:ascii="Arial" w:hAnsi="Arial" w:cs="Arial"/>
          <w:color w:val="000000" w:themeColor="text1"/>
          <w:sz w:val="21"/>
          <w:szCs w:val="21"/>
          <w:lang w:val="es-ES_tradnl"/>
        </w:rPr>
        <w:footnoteReference w:id="8"/>
      </w:r>
      <w:r w:rsidRPr="00F83DBD">
        <w:rPr>
          <w:rFonts w:ascii="Arial" w:hAnsi="Arial" w:cs="Arial"/>
          <w:color w:val="000000" w:themeColor="text1"/>
          <w:sz w:val="21"/>
          <w:szCs w:val="21"/>
          <w:lang w:val="es-ES_tradnl"/>
        </w:rPr>
        <w:t>.</w:t>
      </w:r>
    </w:p>
    <w:p w14:paraId="0F571FED" w14:textId="77777777" w:rsidR="00E92E5F" w:rsidRPr="00F83DBD" w:rsidRDefault="00E92E5F" w:rsidP="00E92E5F">
      <w:pPr>
        <w:ind w:left="709" w:right="709"/>
        <w:jc w:val="both"/>
        <w:rPr>
          <w:rFonts w:ascii="Arial" w:hAnsi="Arial" w:cs="Arial"/>
          <w:color w:val="000000" w:themeColor="text1"/>
          <w:sz w:val="21"/>
          <w:szCs w:val="21"/>
          <w:lang w:val="es-ES_tradnl"/>
        </w:rPr>
      </w:pPr>
    </w:p>
    <w:p w14:paraId="1C707FAC" w14:textId="77777777" w:rsidR="00E92E5F" w:rsidRPr="00F83DBD" w:rsidRDefault="00E92E5F" w:rsidP="00E92E5F">
      <w:pPr>
        <w:spacing w:line="276" w:lineRule="auto"/>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F83DBD">
        <w:rPr>
          <w:rStyle w:val="Refdenotaalpie"/>
          <w:rFonts w:ascii="Arial" w:hAnsi="Arial" w:cs="Arial"/>
          <w:color w:val="000000" w:themeColor="text1"/>
          <w:sz w:val="22"/>
          <w:lang w:val="es-ES_tradnl"/>
        </w:rPr>
        <w:footnoteReference w:id="9"/>
      </w:r>
      <w:r w:rsidRPr="00F83DBD">
        <w:rPr>
          <w:rFonts w:ascii="Arial" w:hAnsi="Arial" w:cs="Arial"/>
          <w:color w:val="000000" w:themeColor="text1"/>
          <w:sz w:val="22"/>
          <w:lang w:val="es-ES_tradnl"/>
        </w:rPr>
        <w:t>. Pero, tampoco puede suscribirse un contrato de prestación de servicios profesionales para que el contratista ejecute labores que se enmarcan dentro de los otros contratos tipificados en el artículo 32 de la Ley 80 de 1993, como, por ejemplo, para la construcción o mantenimiento de obras.</w:t>
      </w:r>
    </w:p>
    <w:p w14:paraId="22DEA248" w14:textId="77777777" w:rsidR="00E92E5F" w:rsidRPr="00F83DBD" w:rsidRDefault="00E92E5F" w:rsidP="00E92E5F">
      <w:pPr>
        <w:spacing w:before="120" w:after="120"/>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vii) Para su celebración no se requiere la expedición del acto administrativo de justificación de la contratación directa</w:t>
      </w:r>
      <w:r w:rsidRPr="00F83DBD">
        <w:rPr>
          <w:rStyle w:val="Refdenotaalpie"/>
          <w:rFonts w:ascii="Arial" w:hAnsi="Arial" w:cs="Arial"/>
          <w:color w:val="000000" w:themeColor="text1"/>
          <w:sz w:val="22"/>
          <w:lang w:val="es-ES_tradnl"/>
        </w:rPr>
        <w:footnoteReference w:id="10"/>
      </w:r>
      <w:r w:rsidRPr="00F83DBD">
        <w:rPr>
          <w:rFonts w:ascii="Arial" w:hAnsi="Arial" w:cs="Arial"/>
          <w:color w:val="000000" w:themeColor="text1"/>
          <w:sz w:val="22"/>
          <w:lang w:val="es-ES_tradnl"/>
        </w:rPr>
        <w:t xml:space="preserve">. </w:t>
      </w:r>
    </w:p>
    <w:p w14:paraId="520471DB" w14:textId="77777777" w:rsidR="00E92E5F" w:rsidRPr="00F83DBD" w:rsidRDefault="00E92E5F" w:rsidP="00E92E5F">
      <w:pPr>
        <w:spacing w:before="120" w:after="120"/>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 xml:space="preserve">viii) Admiten el pacto de cláusulas excepcionales. Es decir, en los contratos de prestación de servicios profesionales es posible pactar la caducidad, así como la modificación, interpretación o terminación unilaterales, como elementos accidentales; es </w:t>
      </w:r>
      <w:r w:rsidRPr="00F83DBD">
        <w:rPr>
          <w:rFonts w:ascii="Arial" w:hAnsi="Arial" w:cs="Arial"/>
          <w:color w:val="000000" w:themeColor="text1"/>
          <w:sz w:val="22"/>
          <w:lang w:val="es-ES_tradnl"/>
        </w:rPr>
        <w:lastRenderedPageBreak/>
        <w:t>decir, que para ejercer dichas exorbitancias, estas deben incluirse expresamente en el contrato, ya que no se entienden pactadas. Así se infiere del artículo 14, numeral 2º, de la Ley 80 de 1993</w:t>
      </w:r>
      <w:r w:rsidRPr="00F83DBD">
        <w:rPr>
          <w:rStyle w:val="Refdenotaalpie"/>
          <w:rFonts w:ascii="Arial" w:hAnsi="Arial" w:cs="Arial"/>
          <w:color w:val="000000" w:themeColor="text1"/>
          <w:sz w:val="22"/>
          <w:lang w:val="es-ES_tradnl"/>
        </w:rPr>
        <w:footnoteReference w:id="11"/>
      </w:r>
      <w:r w:rsidRPr="00F83DBD">
        <w:rPr>
          <w:rFonts w:ascii="Arial" w:hAnsi="Arial" w:cs="Arial"/>
          <w:color w:val="000000" w:themeColor="text1"/>
          <w:sz w:val="22"/>
          <w:lang w:val="es-ES_tradnl"/>
        </w:rPr>
        <w:t>.</w:t>
      </w:r>
    </w:p>
    <w:p w14:paraId="0F90C643" w14:textId="77777777" w:rsidR="00E92E5F" w:rsidRPr="00F83DBD" w:rsidRDefault="00E92E5F" w:rsidP="00E92E5F">
      <w:pPr>
        <w:spacing w:before="120" w:after="120"/>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ix) En ellos no es obligatoria la liquidación, pues así lo estableció el artículo 217 del Decreto 019 de 2012, que modificó el artículo 60 de la Ley 80 de 1993</w:t>
      </w:r>
      <w:r w:rsidRPr="00F83DBD">
        <w:rPr>
          <w:rStyle w:val="Refdenotaalpie"/>
          <w:rFonts w:ascii="Arial" w:hAnsi="Arial" w:cs="Arial"/>
          <w:color w:val="000000" w:themeColor="text1"/>
          <w:sz w:val="22"/>
          <w:lang w:val="es-ES_tradnl"/>
        </w:rPr>
        <w:footnoteReference w:id="12"/>
      </w:r>
      <w:r w:rsidRPr="00F83DBD">
        <w:rPr>
          <w:rFonts w:ascii="Arial" w:hAnsi="Arial" w:cs="Arial"/>
          <w:color w:val="000000" w:themeColor="text1"/>
          <w:sz w:val="22"/>
          <w:lang w:val="es-ES_tradnl"/>
        </w:rPr>
        <w:t>.</w:t>
      </w:r>
    </w:p>
    <w:p w14:paraId="4012BACD" w14:textId="77777777" w:rsidR="00E92E5F" w:rsidRPr="00F83DBD" w:rsidRDefault="00E92E5F" w:rsidP="00E92E5F">
      <w:pPr>
        <w:spacing w:before="120" w:after="120"/>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F83DBD">
        <w:rPr>
          <w:rStyle w:val="Refdenotaalpie"/>
          <w:rFonts w:ascii="Arial" w:hAnsi="Arial" w:cs="Arial"/>
          <w:color w:val="000000" w:themeColor="text1"/>
          <w:sz w:val="22"/>
          <w:lang w:val="es-ES_tradnl"/>
        </w:rPr>
        <w:footnoteReference w:id="13"/>
      </w:r>
      <w:r w:rsidRPr="00F83DBD">
        <w:rPr>
          <w:rFonts w:ascii="Arial" w:hAnsi="Arial" w:cs="Arial"/>
          <w:color w:val="000000" w:themeColor="text1"/>
          <w:sz w:val="22"/>
          <w:lang w:val="es-ES_tradnl"/>
        </w:rPr>
        <w:t>.</w:t>
      </w:r>
    </w:p>
    <w:p w14:paraId="299528BC" w14:textId="77777777" w:rsidR="00E92E5F" w:rsidRPr="00F83DBD" w:rsidRDefault="00E92E5F" w:rsidP="00E92E5F">
      <w:pPr>
        <w:spacing w:before="120" w:after="120"/>
        <w:ind w:firstLine="709"/>
        <w:jc w:val="both"/>
        <w:rPr>
          <w:rFonts w:ascii="Arial" w:hAnsi="Arial" w:cs="Arial"/>
          <w:color w:val="000000" w:themeColor="text1"/>
          <w:sz w:val="22"/>
          <w:lang w:val="es-ES_tradnl"/>
        </w:rPr>
      </w:pPr>
      <w:r w:rsidRPr="00F83DBD">
        <w:rPr>
          <w:rFonts w:ascii="Arial" w:hAnsi="Arial" w:cs="Arial"/>
          <w:color w:val="000000" w:themeColor="text1"/>
          <w:sz w:val="22"/>
          <w:lang w:val="es-ES_tradnl"/>
        </w:rPr>
        <w:t>xi) En ellos no son necesarias las garantías</w:t>
      </w:r>
      <w:r w:rsidRPr="00F83DBD">
        <w:rPr>
          <w:rStyle w:val="Refdenotaalpie"/>
          <w:rFonts w:ascii="Arial" w:hAnsi="Arial" w:cs="Arial"/>
          <w:color w:val="000000" w:themeColor="text1"/>
          <w:sz w:val="22"/>
          <w:lang w:val="es-ES_tradnl"/>
        </w:rPr>
        <w:footnoteReference w:id="14"/>
      </w:r>
      <w:r w:rsidRPr="00F83DBD">
        <w:rPr>
          <w:rFonts w:ascii="Arial" w:hAnsi="Arial" w:cs="Arial"/>
          <w:color w:val="000000" w:themeColor="text1"/>
          <w:sz w:val="22"/>
          <w:lang w:val="es-ES_tradnl"/>
        </w:rPr>
        <w:t>.</w:t>
      </w:r>
    </w:p>
    <w:p w14:paraId="0F1530FE" w14:textId="3B0549DB" w:rsidR="000A3BC8" w:rsidRPr="00F83DBD" w:rsidRDefault="000A3BC8" w:rsidP="00720604">
      <w:pPr>
        <w:jc w:val="both"/>
        <w:rPr>
          <w:rFonts w:ascii="Arial" w:hAnsi="Arial" w:cs="Arial"/>
          <w:color w:val="000000" w:themeColor="text1"/>
          <w:sz w:val="22"/>
          <w:lang w:val="es-ES_tradnl"/>
        </w:rPr>
      </w:pPr>
    </w:p>
    <w:p w14:paraId="54EF1845" w14:textId="637A4709" w:rsidR="000A3BC8" w:rsidRPr="00F83DBD" w:rsidRDefault="000A3BC8" w:rsidP="00720604">
      <w:pPr>
        <w:jc w:val="both"/>
        <w:rPr>
          <w:rFonts w:ascii="Arial" w:hAnsi="Arial" w:cs="Arial"/>
          <w:b/>
          <w:bCs/>
          <w:color w:val="000000" w:themeColor="text1"/>
          <w:sz w:val="22"/>
          <w:lang w:val="es-ES_tradnl"/>
        </w:rPr>
      </w:pPr>
      <w:r w:rsidRPr="00F83DBD">
        <w:rPr>
          <w:rFonts w:ascii="Arial" w:hAnsi="Arial" w:cs="Arial"/>
          <w:b/>
          <w:bCs/>
          <w:color w:val="000000" w:themeColor="text1"/>
          <w:sz w:val="22"/>
          <w:lang w:val="es-ES_tradnl"/>
        </w:rPr>
        <w:t xml:space="preserve">2.2. Acreditación </w:t>
      </w:r>
      <w:r w:rsidR="00C33D64" w:rsidRPr="00F83DBD">
        <w:rPr>
          <w:rFonts w:ascii="Arial" w:hAnsi="Arial" w:cs="Arial"/>
          <w:b/>
          <w:bCs/>
          <w:color w:val="000000" w:themeColor="text1"/>
          <w:sz w:val="22"/>
          <w:lang w:val="es-ES_tradnl"/>
        </w:rPr>
        <w:t>de formación académica con títulos otorgados en el exterior</w:t>
      </w:r>
    </w:p>
    <w:p w14:paraId="6503FD5B" w14:textId="76579F0E" w:rsidR="00C33D64" w:rsidRPr="00F83DBD" w:rsidRDefault="00C33D64" w:rsidP="00BA469D">
      <w:pPr>
        <w:jc w:val="both"/>
        <w:rPr>
          <w:rFonts w:ascii="Arial" w:hAnsi="Arial" w:cs="Arial"/>
          <w:b/>
          <w:bCs/>
          <w:color w:val="000000" w:themeColor="text1"/>
          <w:sz w:val="22"/>
          <w:lang w:val="es-ES_tradnl"/>
        </w:rPr>
      </w:pPr>
    </w:p>
    <w:p w14:paraId="4D67C934"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El artículo 2.2.1.2.1.4.9. del Decreto 1082 de 2015</w:t>
      </w:r>
      <w:r w:rsidRPr="00F83DBD">
        <w:rPr>
          <w:rStyle w:val="Refdenotaalpie"/>
          <w:rFonts w:ascii="Arial" w:eastAsia="Calibri" w:hAnsi="Arial" w:cs="Arial"/>
          <w:color w:val="000000" w:themeColor="text1"/>
          <w:sz w:val="22"/>
        </w:rPr>
        <w:footnoteReference w:id="15"/>
      </w:r>
      <w:r w:rsidRPr="00F83DBD">
        <w:rPr>
          <w:rFonts w:ascii="Arial" w:eastAsia="Calibri" w:hAnsi="Arial" w:cs="Arial"/>
          <w:color w:val="000000" w:themeColor="text1"/>
          <w:sz w:val="22"/>
        </w:rPr>
        <w:t xml:space="preserve"> expresa que los contratos de prestación de servicios se celebraran directamente, siempre y cuando la entidad estatal verifique la idoneidad o experiencia requerida y relacionada con el área de que se trate. </w:t>
      </w:r>
    </w:p>
    <w:p w14:paraId="219EB5F2"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lastRenderedPageBreak/>
        <w:t xml:space="preserve">Conforme a lo anterior, si el objeto del contrato de prestación de servicios requiere del desarrollo de actividades que implican el ejercicio de una profesión o de conocimientos especializados que derivan de una formación académica, deben ser acreditados conforme a la normativa para el ejercicio de una profesión o actividad determinada, y de acuerdo con los parámetros o lineamientos que establece el Ministerio de Educación para su convalidación de títulos obtenidos en el exterior. </w:t>
      </w:r>
    </w:p>
    <w:p w14:paraId="60B6C786"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La convalidación de títulos otorgados por instituciones de educación superior extranjeras se sustenta en una de las principales finalidades del sistema de educación superior, ofrecer un servicio de educación en condiciones de calidad.  </w:t>
      </w:r>
    </w:p>
    <w:p w14:paraId="5F114BE0"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El artículo 26 de la Constitución Política</w:t>
      </w:r>
      <w:r w:rsidRPr="00F83DBD">
        <w:rPr>
          <w:rStyle w:val="Refdenotaalpie"/>
          <w:rFonts w:ascii="Arial" w:eastAsia="Calibri" w:hAnsi="Arial" w:cs="Arial"/>
          <w:color w:val="000000" w:themeColor="text1"/>
          <w:sz w:val="22"/>
        </w:rPr>
        <w:footnoteReference w:id="16"/>
      </w:r>
      <w:r w:rsidRPr="00F83DBD">
        <w:rPr>
          <w:rFonts w:ascii="Arial" w:eastAsia="Calibri" w:hAnsi="Arial" w:cs="Arial"/>
          <w:color w:val="000000" w:themeColor="text1"/>
          <w:sz w:val="22"/>
        </w:rPr>
        <w:t xml:space="preserve"> facultó al legislador para determinar los eventos en los que son exigibles los títulos de idoneidad profesional y de oficio, y a las autoridades administrativas les asignó la competencia para vigilar e inspeccionar el ejercicio de las profesiones. </w:t>
      </w:r>
    </w:p>
    <w:p w14:paraId="3598B54E"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En virtud de la facultad de configuración asignada al legislador por el artículo referido, el artículo 3 de la Ley 30 de 1992 preceptúa que el Estado debe «velar por la calidad del servicio educativo a través del ejercicio de la suprema inspección y vigilancia de la Educación Superior». Esta facultad fue asignada al Ministerio de Educación Nacional, según lo prevé el artículo 1 del Decreto 5012 de 2009</w:t>
      </w:r>
      <w:r w:rsidRPr="00F83DBD">
        <w:rPr>
          <w:rStyle w:val="Refdenotaalpie"/>
          <w:rFonts w:ascii="Arial" w:eastAsia="Calibri" w:hAnsi="Arial" w:cs="Arial"/>
          <w:color w:val="000000" w:themeColor="text1"/>
          <w:sz w:val="22"/>
        </w:rPr>
        <w:footnoteReference w:id="17"/>
      </w:r>
      <w:r w:rsidRPr="00F83DBD">
        <w:rPr>
          <w:rFonts w:ascii="Arial" w:eastAsia="Calibri" w:hAnsi="Arial" w:cs="Arial"/>
          <w:color w:val="000000" w:themeColor="text1"/>
          <w:sz w:val="22"/>
        </w:rPr>
        <w:t>.</w:t>
      </w:r>
    </w:p>
    <w:p w14:paraId="3E703E83"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lastRenderedPageBreak/>
        <w:t>Ahora, el artículo 27 de la Ley 30 de 1992</w:t>
      </w:r>
      <w:r w:rsidRPr="00F83DBD">
        <w:rPr>
          <w:rStyle w:val="Refdenotaalpie"/>
          <w:rFonts w:ascii="Arial" w:eastAsia="Calibri" w:hAnsi="Arial" w:cs="Arial"/>
          <w:color w:val="000000" w:themeColor="text1"/>
          <w:sz w:val="22"/>
        </w:rPr>
        <w:footnoteReference w:id="18"/>
      </w:r>
      <w:r w:rsidRPr="00F83DBD">
        <w:rPr>
          <w:rFonts w:ascii="Arial" w:eastAsia="Calibri" w:hAnsi="Arial" w:cs="Arial"/>
          <w:color w:val="000000" w:themeColor="text1"/>
          <w:sz w:val="22"/>
        </w:rPr>
        <w:t xml:space="preserve"> estableció las pruebas de estado como un mecanismo a través del cual no solo se comprueban los conocimientos de los estudiantes y se evalúa la calidad de las instituciones de educación superior, sino que además permite convalidar los títulos de educación superior realizados en el exterior y, en este mismo sentido, estableció como una de las funciones del Ministerio de Educación Nacional, la de adelantar los procesos de convalidación de títulos otorgados por instituciones de educación superior extranjeras. </w:t>
      </w:r>
    </w:p>
    <w:p w14:paraId="731B04DF"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Es decir, la adopción de esos mecanismos de medición de la educación superior permite colegir que para el legislador la obligación de prestación de este servicio por parte del Estado no se agota con su oferta a la comunidad, sino que tiene un componente medular que lo constituye el factor calidad. </w:t>
      </w:r>
    </w:p>
    <w:p w14:paraId="6E96E4AE"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El artículo 191 de la Ley 1955 de 2019</w:t>
      </w:r>
      <w:r w:rsidRPr="00F83DBD">
        <w:rPr>
          <w:rStyle w:val="Refdenotaalpie"/>
          <w:rFonts w:ascii="Arial" w:eastAsia="Calibri" w:hAnsi="Arial" w:cs="Arial"/>
          <w:color w:val="000000" w:themeColor="text1"/>
          <w:sz w:val="22"/>
        </w:rPr>
        <w:footnoteReference w:id="19"/>
      </w:r>
      <w:r w:rsidRPr="00F83DBD">
        <w:rPr>
          <w:rFonts w:ascii="Arial" w:eastAsia="Calibri" w:hAnsi="Arial" w:cs="Arial"/>
          <w:color w:val="000000" w:themeColor="text1"/>
          <w:sz w:val="22"/>
        </w:rPr>
        <w:t xml:space="preserve">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14:paraId="2DCFE937" w14:textId="7DF0B378"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 En esta resolución se establece que la convalidación es el proceso de reconocimiento que hace el Ministerio de Educación Nacional a los títulos de educación </w:t>
      </w:r>
      <w:r w:rsidRPr="00F83DBD">
        <w:rPr>
          <w:rFonts w:ascii="Arial" w:eastAsia="Calibri" w:hAnsi="Arial" w:cs="Arial"/>
          <w:color w:val="000000" w:themeColor="text1"/>
          <w:sz w:val="22"/>
        </w:rPr>
        <w:lastRenderedPageBreak/>
        <w:t>superior otorgados en el exterior, para que tengan los mismos efectos jurídicos y académicos de los conferidos en el país</w:t>
      </w:r>
      <w:r w:rsidRPr="00F83DBD">
        <w:rPr>
          <w:rStyle w:val="Refdenotaalpie"/>
          <w:rFonts w:ascii="Arial" w:eastAsia="Calibri" w:hAnsi="Arial" w:cs="Arial"/>
          <w:color w:val="000000" w:themeColor="text1"/>
          <w:sz w:val="22"/>
        </w:rPr>
        <w:footnoteReference w:id="20"/>
      </w:r>
      <w:r w:rsidRPr="00F83DBD">
        <w:rPr>
          <w:rFonts w:ascii="Arial" w:eastAsia="Calibri" w:hAnsi="Arial" w:cs="Arial"/>
          <w:color w:val="000000" w:themeColor="text1"/>
          <w:sz w:val="22"/>
        </w:rPr>
        <w:t xml:space="preserve">. Este procedimiento busca garantizar la calidad de la educación superior, cuya metodología consiste en revisar la legalidad los contenidos académicos de los títulos otorgados en el exterior, contrastándolos con los lineamientos, programas académicos y estándares de Colombia, con el fin de garantizar la idoneidad profesional de quienes los detentan, y que aquellos puedan ser reconocidos para todos los efectos legales en el territorio nacional. </w:t>
      </w:r>
    </w:p>
    <w:p w14:paraId="1C329C27"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Por su parte, el Consejo de Estado señaló que la convalidación es un procedimiento administrativo adelantado por el Ministerio de Educación Nacional, en el que se le da validez a un título de educación superior, para que el mismo pueda acreditar que su titular es poseedor de los conocimientos inherentes a los estudios realizados</w:t>
      </w:r>
      <w:r w:rsidRPr="00F83DBD">
        <w:rPr>
          <w:rStyle w:val="Refdenotaalpie"/>
          <w:rFonts w:ascii="Arial" w:eastAsia="Calibri" w:hAnsi="Arial" w:cs="Arial"/>
          <w:color w:val="000000" w:themeColor="text1"/>
          <w:sz w:val="22"/>
        </w:rPr>
        <w:footnoteReference w:id="21"/>
      </w:r>
      <w:r w:rsidRPr="00F83DBD">
        <w:rPr>
          <w:rFonts w:ascii="Arial" w:eastAsia="Calibri" w:hAnsi="Arial" w:cs="Arial"/>
          <w:color w:val="000000" w:themeColor="text1"/>
          <w:sz w:val="22"/>
        </w:rPr>
        <w:t xml:space="preserve">.  </w:t>
      </w:r>
    </w:p>
    <w:p w14:paraId="5C9D4E58"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La convalidación tiene 3 criterios u opciones de tramitarse: i) acreditación o reconocimiento, ii) precedente administrativo y iii) evaluación académica.  El primero está regulado en el artículo 13 de la Resolución</w:t>
      </w:r>
      <w:r w:rsidRPr="00F83DBD">
        <w:rPr>
          <w:rStyle w:val="Refdenotaalpie"/>
          <w:rFonts w:ascii="Arial" w:eastAsia="Calibri" w:hAnsi="Arial" w:cs="Arial"/>
          <w:color w:val="000000" w:themeColor="text1"/>
          <w:sz w:val="22"/>
        </w:rPr>
        <w:footnoteReference w:id="22"/>
      </w:r>
      <w:r w:rsidRPr="00F83DBD">
        <w:rPr>
          <w:rFonts w:ascii="Arial" w:eastAsia="Calibri" w:hAnsi="Arial" w:cs="Arial"/>
          <w:color w:val="000000" w:themeColor="text1"/>
          <w:sz w:val="22"/>
        </w:rPr>
        <w:t xml:space="preserve"> y procede cuando se cumplen todos los requisitos generales y el Ministerio de Educación Nacional verifica que el programa académico se encuentra acreditado en el país de origen.</w:t>
      </w:r>
    </w:p>
    <w:p w14:paraId="19D37F6E"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El segundo, </w:t>
      </w:r>
      <w:r w:rsidRPr="00F83DBD">
        <w:rPr>
          <w:rFonts w:ascii="Arial" w:eastAsia="Calibri" w:hAnsi="Arial" w:cs="Arial"/>
          <w:i/>
          <w:color w:val="000000" w:themeColor="text1"/>
          <w:sz w:val="22"/>
        </w:rPr>
        <w:t xml:space="preserve">«precedente administrativo» </w:t>
      </w:r>
      <w:r w:rsidRPr="00F83DBD">
        <w:rPr>
          <w:rFonts w:ascii="Arial" w:eastAsia="Calibri" w:hAnsi="Arial" w:cs="Arial"/>
          <w:color w:val="000000" w:themeColor="text1"/>
          <w:sz w:val="22"/>
        </w:rPr>
        <w:t>está regulado en el artículo 15</w:t>
      </w:r>
      <w:r w:rsidRPr="00F83DBD">
        <w:rPr>
          <w:rStyle w:val="Refdenotaalpie"/>
          <w:rFonts w:ascii="Arial" w:eastAsia="Calibri" w:hAnsi="Arial" w:cs="Arial"/>
          <w:color w:val="000000" w:themeColor="text1"/>
          <w:sz w:val="22"/>
        </w:rPr>
        <w:footnoteReference w:id="23"/>
      </w:r>
      <w:r w:rsidRPr="00F83DBD">
        <w:rPr>
          <w:rFonts w:ascii="Arial" w:eastAsia="Calibri" w:hAnsi="Arial" w:cs="Arial"/>
          <w:color w:val="000000" w:themeColor="text1"/>
          <w:sz w:val="22"/>
        </w:rPr>
        <w:t xml:space="preserve"> y procede  en aquellos eventos en que el título que se va a convalidar es similar a otros que han sido convalidados en la forma establecida en dicho artículo. </w:t>
      </w:r>
    </w:p>
    <w:p w14:paraId="61CC634B"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lastRenderedPageBreak/>
        <w:t xml:space="preserve">El tercero, </w:t>
      </w:r>
      <w:r w:rsidRPr="00F83DBD">
        <w:rPr>
          <w:rFonts w:ascii="Arial" w:eastAsia="Calibri" w:hAnsi="Arial" w:cs="Arial"/>
          <w:i/>
          <w:color w:val="000000" w:themeColor="text1"/>
          <w:sz w:val="22"/>
        </w:rPr>
        <w:t>«evaluación académica»</w:t>
      </w:r>
      <w:r w:rsidRPr="00F83DBD">
        <w:rPr>
          <w:rFonts w:ascii="Arial" w:eastAsia="Calibri" w:hAnsi="Arial" w:cs="Arial"/>
          <w:color w:val="000000" w:themeColor="text1"/>
          <w:sz w:val="22"/>
        </w:rPr>
        <w:t xml:space="preserve"> se encuentra regulado en el artículo 17 de la misma resolución</w:t>
      </w:r>
      <w:r w:rsidRPr="00F83DBD">
        <w:rPr>
          <w:rStyle w:val="Refdenotaalpie"/>
          <w:rFonts w:ascii="Arial" w:eastAsia="Calibri" w:hAnsi="Arial" w:cs="Arial"/>
          <w:color w:val="000000" w:themeColor="text1"/>
          <w:sz w:val="22"/>
        </w:rPr>
        <w:footnoteReference w:id="24"/>
      </w:r>
      <w:r w:rsidRPr="00F83DBD">
        <w:rPr>
          <w:rFonts w:ascii="Arial" w:eastAsia="Calibri" w:hAnsi="Arial" w:cs="Arial"/>
          <w:color w:val="000000" w:themeColor="text1"/>
          <w:sz w:val="22"/>
        </w:rPr>
        <w:t xml:space="preserve"> y consiste en que un órgano evaluador designado por el Ministerio de Educación Nacional, que generalmente es la Comisión Nacional Intersectorial de Aseguramiento de la Calidad de la Educación Superior CONACES, estudia y emite concepto sobre la formación que adquirió el solicitante en el exterior. De manera que, una vez dentro de los 15 días siguientes a la presentación de la solicitud, el Ministerio deberá determinar cuál de estos 3 procedimientos corresponde aplicar. </w:t>
      </w:r>
    </w:p>
    <w:p w14:paraId="790A2742"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Es pertinente resaltar que el Ministerio elabora una revisión de legalidad contenida en el artículo 10 de la Resolución 10687 de 2019</w:t>
      </w:r>
      <w:r w:rsidRPr="00F83DBD">
        <w:rPr>
          <w:rStyle w:val="Refdenotaalpie"/>
          <w:rFonts w:ascii="Arial" w:eastAsia="Calibri" w:hAnsi="Arial" w:cs="Arial"/>
          <w:color w:val="000000" w:themeColor="text1"/>
          <w:sz w:val="22"/>
        </w:rPr>
        <w:footnoteReference w:id="25"/>
      </w:r>
      <w:r w:rsidRPr="00F83DBD">
        <w:rPr>
          <w:rFonts w:ascii="Arial" w:eastAsia="Calibri" w:hAnsi="Arial" w:cs="Arial"/>
          <w:color w:val="000000" w:themeColor="text1"/>
          <w:sz w:val="22"/>
        </w:rPr>
        <w:t xml:space="preserve">, que consiste en revisar la naturaleza jurídica de la institución que otorga el título y del título mismo, revisa la autorización dada por la autoridad competente en el país de origen para su funcionamiento y para expedición de diplomas y sobre las condiciones y características de los documentos radicados; y posteriormente, hace la verificación de los programas académicos teniendo en cuenta las particularidades de cada uno de los criterios de convalidación. </w:t>
      </w:r>
    </w:p>
    <w:p w14:paraId="15910837"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lastRenderedPageBreak/>
        <w:t xml:space="preserve">De manera que, conforme al marco normativo establecido en el plan de desarrollo y en la Resolución referida, a través de este procedimiento, los títulos de educación superior otorgados por instituciones educativos extranjeras, por programas académicos con reconocimiento oficial en el país de origen, pueden ser válidos dentro del territorio nacional. </w:t>
      </w:r>
    </w:p>
    <w:p w14:paraId="77F4D58F" w14:textId="77777777" w:rsidR="00F75056" w:rsidRPr="00F83DBD" w:rsidRDefault="00F75056" w:rsidP="00F75056">
      <w:pPr>
        <w:spacing w:before="120" w:line="276" w:lineRule="auto"/>
        <w:ind w:firstLine="709"/>
        <w:jc w:val="both"/>
        <w:rPr>
          <w:rFonts w:ascii="Arial" w:eastAsia="Calibri" w:hAnsi="Arial" w:cs="Arial"/>
          <w:color w:val="000000" w:themeColor="text1"/>
          <w:sz w:val="22"/>
        </w:rPr>
      </w:pPr>
      <w:r w:rsidRPr="00F83DBD">
        <w:rPr>
          <w:rFonts w:ascii="Arial" w:eastAsia="Calibri" w:hAnsi="Arial" w:cs="Arial"/>
          <w:color w:val="000000" w:themeColor="text1"/>
          <w:sz w:val="22"/>
        </w:rPr>
        <w:t>Ahora, tal como se observa de las fuentes citadas,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No obstante, una inquietud importante se genera al contrastar esta conclusión con lo contenido en la Circular Externa Única de la Agencia Nacional de Contratación Pública – Colombia Compra Eficiente, que además fue reiterada en la Circular Externa No. 22 del 16 de marzo de 2017, en la que se estableceron las siguientes reglas para acreditar la formación académica con títulos otorgados en el exterior:</w:t>
      </w:r>
    </w:p>
    <w:p w14:paraId="06B1B5E8" w14:textId="77777777" w:rsidR="00F75056" w:rsidRPr="00F83DBD" w:rsidRDefault="00F75056" w:rsidP="00F75056">
      <w:pPr>
        <w:spacing w:line="276" w:lineRule="auto"/>
        <w:ind w:firstLine="709"/>
        <w:contextualSpacing/>
        <w:jc w:val="both"/>
        <w:rPr>
          <w:rFonts w:ascii="Arial" w:eastAsia="Calibri" w:hAnsi="Arial" w:cs="Arial"/>
          <w:color w:val="000000" w:themeColor="text1"/>
          <w:sz w:val="22"/>
        </w:rPr>
      </w:pPr>
    </w:p>
    <w:p w14:paraId="6A9C2892" w14:textId="77777777" w:rsidR="00F75056" w:rsidRPr="00F83DBD" w:rsidRDefault="00F75056" w:rsidP="0052218E">
      <w:pPr>
        <w:ind w:left="709" w:right="709"/>
        <w:contextualSpacing/>
        <w:jc w:val="both"/>
        <w:rPr>
          <w:rFonts w:ascii="Arial" w:hAnsi="Arial" w:cs="Arial"/>
          <w:color w:val="000000" w:themeColor="text1"/>
          <w:sz w:val="21"/>
          <w:szCs w:val="21"/>
        </w:rPr>
      </w:pPr>
      <w:r w:rsidRPr="00F83DBD">
        <w:rPr>
          <w:rFonts w:ascii="Arial" w:hAnsi="Arial" w:cs="Arial"/>
          <w:color w:val="000000" w:themeColor="text1"/>
          <w:sz w:val="21"/>
          <w:szCs w:val="21"/>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(ii) la convalidación correspondiente</w:t>
      </w:r>
      <w:r w:rsidRPr="00F83DBD">
        <w:rPr>
          <w:rStyle w:val="Refdenotaalpie"/>
          <w:rFonts w:ascii="Arial" w:hAnsi="Arial" w:cs="Arial"/>
          <w:color w:val="000000" w:themeColor="text1"/>
          <w:sz w:val="21"/>
          <w:szCs w:val="21"/>
        </w:rPr>
        <w:footnoteReference w:id="26"/>
      </w:r>
      <w:r w:rsidRPr="00F83DBD">
        <w:rPr>
          <w:rFonts w:ascii="Arial" w:hAnsi="Arial" w:cs="Arial"/>
          <w:color w:val="000000" w:themeColor="text1"/>
          <w:sz w:val="21"/>
          <w:szCs w:val="21"/>
        </w:rPr>
        <w:t>.</w:t>
      </w:r>
    </w:p>
    <w:p w14:paraId="03CD5816" w14:textId="77777777" w:rsidR="00F75056" w:rsidRPr="00F83DBD" w:rsidRDefault="00F75056" w:rsidP="00F75056">
      <w:pPr>
        <w:spacing w:line="276" w:lineRule="auto"/>
        <w:ind w:firstLine="708"/>
        <w:contextualSpacing/>
        <w:jc w:val="both"/>
        <w:rPr>
          <w:rFonts w:ascii="Arial" w:eastAsia="Calibri" w:hAnsi="Arial" w:cs="Arial"/>
          <w:color w:val="000000" w:themeColor="text1"/>
          <w:sz w:val="22"/>
        </w:rPr>
      </w:pPr>
    </w:p>
    <w:p w14:paraId="77B8FECF" w14:textId="65026CF4" w:rsidR="00F75056" w:rsidRPr="00F83DBD" w:rsidRDefault="00F75056" w:rsidP="00F75056">
      <w:pPr>
        <w:spacing w:after="120" w:line="276" w:lineRule="auto"/>
        <w:ind w:firstLine="709"/>
        <w:jc w:val="both"/>
        <w:rPr>
          <w:rFonts w:ascii="Arial" w:eastAsia="Calibri" w:hAnsi="Arial" w:cs="Arial"/>
          <w:color w:val="000000" w:themeColor="text1"/>
          <w:sz w:val="22"/>
        </w:rPr>
      </w:pPr>
      <w:r w:rsidRPr="00F83DBD">
        <w:rPr>
          <w:rFonts w:ascii="Arial" w:eastAsia="Calibri" w:hAnsi="Arial" w:cs="Arial"/>
          <w:color w:val="000000" w:themeColor="text1"/>
          <w:sz w:val="22"/>
        </w:rPr>
        <w:t>Es claro que la circular ofrece 2 maneras de acreditar la formación académica en procesos de contratación: la primera, con el diploma y la descripción del programa y la segunda, con la convalidación del título ante el Ministerio de Educación. Sin embargo, conviene precisar que al haberse expedido con anterioridad a la Ley 1955 de 2019 y a la Resolución 10687 de 9 de octubre de 2019 estas reglas de acreditación de formación académica con títulos otorgados en el exterior contenidas en la Circular no se encuentra</w:t>
      </w:r>
      <w:r w:rsidR="00AE4F2A" w:rsidRPr="00F83DBD">
        <w:rPr>
          <w:rFonts w:ascii="Arial" w:eastAsia="Calibri" w:hAnsi="Arial" w:cs="Arial"/>
          <w:color w:val="000000" w:themeColor="text1"/>
          <w:sz w:val="22"/>
        </w:rPr>
        <w:t>n</w:t>
      </w:r>
      <w:r w:rsidRPr="00F83DBD">
        <w:rPr>
          <w:rFonts w:ascii="Arial" w:eastAsia="Calibri" w:hAnsi="Arial" w:cs="Arial"/>
          <w:color w:val="000000" w:themeColor="text1"/>
          <w:sz w:val="22"/>
        </w:rPr>
        <w:t xml:space="preserve"> vigente</w:t>
      </w:r>
      <w:r w:rsidR="00AE4F2A" w:rsidRPr="00F83DBD">
        <w:rPr>
          <w:rFonts w:ascii="Arial" w:eastAsia="Calibri" w:hAnsi="Arial" w:cs="Arial"/>
          <w:color w:val="000000" w:themeColor="text1"/>
          <w:sz w:val="22"/>
        </w:rPr>
        <w:t>s</w:t>
      </w:r>
      <w:r w:rsidRPr="00F83DBD">
        <w:rPr>
          <w:rFonts w:ascii="Arial" w:eastAsia="Calibri" w:hAnsi="Arial" w:cs="Arial"/>
          <w:color w:val="000000" w:themeColor="text1"/>
          <w:sz w:val="22"/>
        </w:rPr>
        <w:t xml:space="preserve">, porque para el momento de su expedición no se había expedido el nuevo régimen establecido por las normas referidas.  </w:t>
      </w:r>
    </w:p>
    <w:p w14:paraId="0F143B98" w14:textId="77777777" w:rsidR="00F75056" w:rsidRPr="00F83DBD" w:rsidRDefault="00F75056" w:rsidP="00F75056">
      <w:pPr>
        <w:spacing w:before="120" w:after="120" w:line="276" w:lineRule="auto"/>
        <w:ind w:firstLine="708"/>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De modo que, bajo el nuevo esquema se estableció como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 </w:t>
      </w:r>
    </w:p>
    <w:p w14:paraId="163EFB61" w14:textId="1813EB8B" w:rsidR="00F75056" w:rsidRPr="00F83DBD" w:rsidRDefault="00F75056" w:rsidP="00B47C69">
      <w:pPr>
        <w:spacing w:before="120" w:line="276" w:lineRule="auto"/>
        <w:ind w:firstLine="709"/>
        <w:jc w:val="both"/>
        <w:rPr>
          <w:rFonts w:ascii="Arial" w:eastAsia="Calibri" w:hAnsi="Arial" w:cs="Arial"/>
          <w:color w:val="000000" w:themeColor="text1"/>
          <w:sz w:val="22"/>
        </w:rPr>
      </w:pPr>
      <w:r w:rsidRPr="00F83DBD">
        <w:rPr>
          <w:rFonts w:ascii="Arial" w:eastAsia="Calibri" w:hAnsi="Arial" w:cs="Arial"/>
          <w:color w:val="000000" w:themeColor="text1"/>
          <w:sz w:val="22"/>
        </w:rPr>
        <w:lastRenderedPageBreak/>
        <w:t xml:space="preserve">Así las cosas, teniendo en cuenta que el objetivo de exigir los títulos académicos del contratista es precisamente constatar la idoneidad profesional, la entidad debe exigir que los títulos de educación superior otorgados en el exterior con los que se pretenda acreditar la formación académica de un proponente, estén convalidados por el Ministerio de Educación Nacional, y en caso contrario, no podrá tenerlo en cuenta para efectos de un proceso de contratación. </w:t>
      </w:r>
    </w:p>
    <w:p w14:paraId="5E6B8351" w14:textId="4DBEADBF" w:rsidR="005A79FE" w:rsidRPr="00F83DBD" w:rsidRDefault="005A79FE" w:rsidP="00C1491E">
      <w:pPr>
        <w:jc w:val="both"/>
        <w:rPr>
          <w:rFonts w:ascii="Arial" w:eastAsia="Calibri" w:hAnsi="Arial" w:cs="Arial"/>
          <w:b/>
          <w:color w:val="000000" w:themeColor="text1"/>
          <w:sz w:val="22"/>
        </w:rPr>
      </w:pPr>
    </w:p>
    <w:p w14:paraId="5D99A3C6" w14:textId="77777777" w:rsidR="005A79FE" w:rsidRPr="00F83DBD" w:rsidRDefault="005A79FE" w:rsidP="00C1491E">
      <w:pPr>
        <w:pStyle w:val="Prrafodelista"/>
        <w:numPr>
          <w:ilvl w:val="0"/>
          <w:numId w:val="6"/>
        </w:numPr>
        <w:tabs>
          <w:tab w:val="left" w:pos="284"/>
        </w:tabs>
        <w:ind w:left="0" w:hanging="142"/>
        <w:jc w:val="both"/>
        <w:rPr>
          <w:rFonts w:ascii="Arial" w:eastAsia="Calibri" w:hAnsi="Arial" w:cs="Arial"/>
          <w:color w:val="000000" w:themeColor="text1"/>
          <w:sz w:val="22"/>
        </w:rPr>
      </w:pPr>
      <w:r w:rsidRPr="00F83DBD">
        <w:rPr>
          <w:rFonts w:ascii="Arial" w:eastAsia="Calibri" w:hAnsi="Arial" w:cs="Arial"/>
          <w:b/>
          <w:color w:val="000000" w:themeColor="text1"/>
          <w:sz w:val="22"/>
        </w:rPr>
        <w:t>Respuestas</w:t>
      </w:r>
    </w:p>
    <w:p w14:paraId="6A2CCB9A" w14:textId="77777777" w:rsidR="005A79FE" w:rsidRPr="00F83DBD" w:rsidRDefault="005A79FE" w:rsidP="00C1491E">
      <w:pPr>
        <w:ind w:left="709" w:right="709"/>
        <w:jc w:val="both"/>
        <w:rPr>
          <w:rFonts w:ascii="Arial" w:eastAsia="Calibri" w:hAnsi="Arial" w:cs="Arial"/>
          <w:i/>
          <w:color w:val="000000" w:themeColor="text1"/>
          <w:sz w:val="22"/>
        </w:rPr>
      </w:pPr>
    </w:p>
    <w:p w14:paraId="538BC9A1" w14:textId="3C368D63" w:rsidR="005A79FE" w:rsidRPr="00F83DBD" w:rsidRDefault="005A79FE" w:rsidP="0039719D">
      <w:pPr>
        <w:ind w:left="709" w:right="709"/>
        <w:jc w:val="both"/>
        <w:rPr>
          <w:rFonts w:ascii="Arial" w:eastAsia="Calibri" w:hAnsi="Arial" w:cs="Arial"/>
          <w:color w:val="000000" w:themeColor="text1"/>
          <w:sz w:val="21"/>
          <w:szCs w:val="21"/>
        </w:rPr>
      </w:pPr>
      <w:r w:rsidRPr="00F83DBD">
        <w:rPr>
          <w:rFonts w:ascii="Arial" w:eastAsia="Calibri" w:hAnsi="Arial" w:cs="Arial"/>
          <w:color w:val="000000" w:themeColor="text1"/>
          <w:sz w:val="21"/>
          <w:szCs w:val="21"/>
        </w:rPr>
        <w:t xml:space="preserve">i) </w:t>
      </w:r>
      <w:r w:rsidR="0039719D" w:rsidRPr="00F83DBD">
        <w:rPr>
          <w:rFonts w:ascii="Arial" w:eastAsia="Calibri" w:hAnsi="Arial" w:cs="Arial"/>
          <w:color w:val="000000" w:themeColor="text1"/>
          <w:sz w:val="21"/>
          <w:szCs w:val="21"/>
        </w:rPr>
        <w:t>¿Para suscribir un contrato de prestación de servicios profesionales se requiere convalidar un título obtenido en el exterior o se requiere solamente apostillar ese documento?</w:t>
      </w:r>
    </w:p>
    <w:p w14:paraId="34C31AE7" w14:textId="77777777" w:rsidR="005A79FE" w:rsidRPr="00F83DBD" w:rsidRDefault="005A79FE" w:rsidP="005A79FE">
      <w:pPr>
        <w:spacing w:line="276" w:lineRule="auto"/>
        <w:ind w:left="708" w:right="709"/>
        <w:jc w:val="both"/>
        <w:rPr>
          <w:rFonts w:ascii="Arial" w:eastAsia="Calibri" w:hAnsi="Arial" w:cs="Arial"/>
          <w:color w:val="000000" w:themeColor="text1"/>
          <w:sz w:val="22"/>
        </w:rPr>
      </w:pPr>
    </w:p>
    <w:p w14:paraId="46CA704A" w14:textId="4DA77BCE" w:rsidR="005A79FE" w:rsidRPr="00F83DBD" w:rsidRDefault="004843D2" w:rsidP="00EA11E5">
      <w:pPr>
        <w:spacing w:line="276" w:lineRule="auto"/>
        <w:jc w:val="both"/>
        <w:rPr>
          <w:rFonts w:ascii="Arial" w:eastAsia="Calibri" w:hAnsi="Arial" w:cs="Arial"/>
          <w:color w:val="000000" w:themeColor="text1"/>
          <w:sz w:val="22"/>
        </w:rPr>
      </w:pPr>
      <w:r w:rsidRPr="00F83DBD">
        <w:rPr>
          <w:rFonts w:ascii="Arial" w:eastAsia="Calibri" w:hAnsi="Arial" w:cs="Arial"/>
          <w:color w:val="000000" w:themeColor="text1"/>
          <w:sz w:val="22"/>
        </w:rPr>
        <w:t xml:space="preserve">Los títulos académicos </w:t>
      </w:r>
      <w:r w:rsidR="00AE4F2A" w:rsidRPr="00F83DBD">
        <w:rPr>
          <w:rFonts w:ascii="Arial" w:eastAsia="Calibri" w:hAnsi="Arial" w:cs="Arial"/>
          <w:color w:val="000000" w:themeColor="text1"/>
          <w:sz w:val="22"/>
        </w:rPr>
        <w:t xml:space="preserve">otorgados </w:t>
      </w:r>
      <w:r w:rsidRPr="00F83DBD">
        <w:rPr>
          <w:rFonts w:ascii="Arial" w:eastAsia="Calibri" w:hAnsi="Arial" w:cs="Arial"/>
          <w:color w:val="000000" w:themeColor="text1"/>
          <w:sz w:val="22"/>
        </w:rPr>
        <w:t>en el exterior</w:t>
      </w:r>
      <w:r w:rsidR="00216207" w:rsidRPr="00F83DBD">
        <w:rPr>
          <w:rFonts w:ascii="Arial" w:eastAsia="Calibri" w:hAnsi="Arial" w:cs="Arial"/>
          <w:color w:val="000000" w:themeColor="text1"/>
          <w:sz w:val="22"/>
        </w:rPr>
        <w:t xml:space="preserve">, para ser tenidos en cuenta para </w:t>
      </w:r>
      <w:r w:rsidR="00AE4F2A" w:rsidRPr="00F83DBD">
        <w:rPr>
          <w:rFonts w:ascii="Arial" w:eastAsia="Calibri" w:hAnsi="Arial" w:cs="Arial"/>
          <w:color w:val="000000" w:themeColor="text1"/>
          <w:sz w:val="22"/>
        </w:rPr>
        <w:t>suscribir</w:t>
      </w:r>
      <w:r w:rsidR="00216207" w:rsidRPr="00F83DBD">
        <w:rPr>
          <w:rFonts w:ascii="Arial" w:eastAsia="Calibri" w:hAnsi="Arial" w:cs="Arial"/>
          <w:color w:val="000000" w:themeColor="text1"/>
          <w:sz w:val="22"/>
        </w:rPr>
        <w:t xml:space="preserve"> un contrato de prestación de servicios profesionales, </w:t>
      </w:r>
      <w:r w:rsidR="00B35017" w:rsidRPr="00F83DBD">
        <w:rPr>
          <w:rFonts w:ascii="Arial" w:eastAsia="Calibri" w:hAnsi="Arial" w:cs="Arial"/>
          <w:color w:val="000000" w:themeColor="text1"/>
          <w:sz w:val="22"/>
        </w:rPr>
        <w:t>deben ser convalidados por el Ministerio de Educación Nacional</w:t>
      </w:r>
      <w:r w:rsidR="00AE4F2A" w:rsidRPr="00F83DBD">
        <w:rPr>
          <w:rFonts w:ascii="Arial" w:eastAsia="Calibri" w:hAnsi="Arial" w:cs="Arial"/>
          <w:color w:val="000000" w:themeColor="text1"/>
          <w:sz w:val="22"/>
        </w:rPr>
        <w:t>; de manera que no basta con apostillarlos</w:t>
      </w:r>
      <w:r w:rsidR="00EA11E5" w:rsidRPr="00F83DBD">
        <w:rPr>
          <w:rFonts w:ascii="Arial" w:eastAsia="Calibri" w:hAnsi="Arial" w:cs="Arial"/>
          <w:color w:val="000000" w:themeColor="text1"/>
          <w:sz w:val="22"/>
        </w:rPr>
        <w:t>.</w:t>
      </w:r>
    </w:p>
    <w:p w14:paraId="284CB0F6" w14:textId="212D8D49" w:rsidR="00EA11E5" w:rsidRPr="00F83DBD" w:rsidRDefault="00EA11E5" w:rsidP="00EA11E5">
      <w:pPr>
        <w:jc w:val="both"/>
        <w:rPr>
          <w:rFonts w:ascii="Arial" w:eastAsia="Calibri" w:hAnsi="Arial" w:cs="Arial"/>
          <w:color w:val="000000" w:themeColor="text1"/>
          <w:sz w:val="22"/>
        </w:rPr>
      </w:pPr>
    </w:p>
    <w:p w14:paraId="6B91DAAC" w14:textId="77777777" w:rsidR="00EA11E5" w:rsidRPr="00F83DBD" w:rsidRDefault="00EA11E5" w:rsidP="00EA11E5">
      <w:pPr>
        <w:spacing w:line="276" w:lineRule="auto"/>
        <w:jc w:val="both"/>
        <w:rPr>
          <w:rFonts w:ascii="Arial" w:hAnsi="Arial" w:cs="Arial"/>
          <w:color w:val="000000" w:themeColor="text1"/>
          <w:sz w:val="22"/>
        </w:rPr>
      </w:pPr>
    </w:p>
    <w:p w14:paraId="5F429EFF" w14:textId="77777777" w:rsidR="005A79FE" w:rsidRPr="00F83DBD" w:rsidRDefault="005A79FE" w:rsidP="00EA11E5">
      <w:pPr>
        <w:spacing w:line="276" w:lineRule="auto"/>
        <w:jc w:val="both"/>
        <w:rPr>
          <w:rFonts w:ascii="Arial" w:eastAsia="Calibri" w:hAnsi="Arial" w:cs="Arial"/>
          <w:color w:val="000000" w:themeColor="text1"/>
          <w:sz w:val="22"/>
        </w:rPr>
      </w:pPr>
      <w:r w:rsidRPr="00F83DBD">
        <w:rPr>
          <w:rFonts w:ascii="Arial" w:eastAsia="Calibri" w:hAnsi="Arial" w:cs="Arial"/>
          <w:color w:val="000000" w:themeColor="text1"/>
          <w:sz w:val="22"/>
        </w:rPr>
        <w:t>Este concepto tiene el alcance previsto en el artículo 28 del Código de Procedimiento Administrativo y de lo Contencioso Administrativo.</w:t>
      </w:r>
    </w:p>
    <w:p w14:paraId="19DA8DDB" w14:textId="77777777" w:rsidR="005A79FE" w:rsidRPr="00F83DBD" w:rsidRDefault="005A79FE" w:rsidP="005A79FE">
      <w:pPr>
        <w:spacing w:line="276" w:lineRule="auto"/>
        <w:jc w:val="both"/>
        <w:rPr>
          <w:rFonts w:ascii="Arial" w:eastAsia="Calibri" w:hAnsi="Arial" w:cs="Arial"/>
          <w:color w:val="000000" w:themeColor="text1"/>
          <w:sz w:val="22"/>
        </w:rPr>
      </w:pPr>
    </w:p>
    <w:p w14:paraId="7080CFA4" w14:textId="77777777" w:rsidR="005A79FE" w:rsidRPr="00F83DBD" w:rsidRDefault="005A79FE" w:rsidP="005A79FE">
      <w:pPr>
        <w:jc w:val="both"/>
        <w:rPr>
          <w:rFonts w:ascii="Arial" w:eastAsia="Calibri" w:hAnsi="Arial" w:cs="Arial"/>
          <w:color w:val="000000" w:themeColor="text1"/>
          <w:sz w:val="22"/>
        </w:rPr>
      </w:pPr>
      <w:r w:rsidRPr="00F83DBD">
        <w:rPr>
          <w:noProof/>
          <w:color w:val="000000" w:themeColor="text1"/>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pic="http://schemas.openxmlformats.org/drawingml/2006/picture" xmlns:a14="http://schemas.microsoft.com/office/drawing/2010/main">
            <w:pict w14:anchorId="242E3CEE">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35A22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F83DBD" w:rsidRDefault="005A79FE" w:rsidP="005A79FE">
      <w:pPr>
        <w:rPr>
          <w:rFonts w:ascii="Arial" w:eastAsia="Times New Roman" w:hAnsi="Arial" w:cs="Arial"/>
          <w:color w:val="000000" w:themeColor="text1"/>
          <w:sz w:val="22"/>
          <w:lang w:eastAsia="es-CO"/>
        </w:rPr>
      </w:pPr>
      <w:r w:rsidRPr="0865BE48">
        <w:rPr>
          <w:rFonts w:ascii="Arial" w:eastAsia="Times New Roman" w:hAnsi="Arial" w:cs="Arial"/>
          <w:color w:val="000000" w:themeColor="text1"/>
          <w:sz w:val="22"/>
          <w:lang w:eastAsia="es-CO"/>
        </w:rPr>
        <w:t>Atentamente,</w:t>
      </w:r>
    </w:p>
    <w:p w14:paraId="67909B52" w14:textId="1E78D9C2" w:rsidR="005A79FE" w:rsidRDefault="0EDFE4A8" w:rsidP="0865BE48">
      <w:pPr>
        <w:jc w:val="center"/>
      </w:pPr>
      <w:r>
        <w:rPr>
          <w:noProof/>
          <w:lang w:val="en-US"/>
        </w:rPr>
        <w:drawing>
          <wp:inline distT="0" distB="0" distL="0" distR="0" wp14:anchorId="319ACC0C" wp14:editId="5B82C636">
            <wp:extent cx="2771775" cy="990600"/>
            <wp:effectExtent l="0" t="0" r="0" b="0"/>
            <wp:docPr id="492257467" name="Imagen 49225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1D46AE10" w14:textId="77777777" w:rsidR="00D164A1" w:rsidRPr="00F83DBD" w:rsidRDefault="00D164A1" w:rsidP="0865BE48">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3DBD" w:rsidRPr="00F83DBD" w14:paraId="047B79DC" w14:textId="77777777" w:rsidTr="00C35EA3">
        <w:trPr>
          <w:trHeight w:val="315"/>
        </w:trPr>
        <w:tc>
          <w:tcPr>
            <w:tcW w:w="812" w:type="dxa"/>
            <w:vAlign w:val="center"/>
            <w:hideMark/>
          </w:tcPr>
          <w:p w14:paraId="66736F0D" w14:textId="77777777" w:rsidR="005A79FE" w:rsidRPr="00F83DBD" w:rsidRDefault="005A79FE"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3AA573E3" w:rsidR="005A79FE" w:rsidRPr="00F83DBD" w:rsidRDefault="00EA11E5"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Juan Manuel Castillo López</w:t>
            </w:r>
          </w:p>
          <w:p w14:paraId="2102D393" w14:textId="15222A01" w:rsidR="005A79FE" w:rsidRPr="00F83DBD" w:rsidRDefault="00EA11E5"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Contratista</w:t>
            </w:r>
            <w:r w:rsidR="00B47C69" w:rsidRPr="00F83DBD">
              <w:rPr>
                <w:rFonts w:ascii="Arial" w:eastAsia="Times New Roman" w:hAnsi="Arial" w:cs="Arial"/>
                <w:color w:val="000000" w:themeColor="text1"/>
                <w:sz w:val="16"/>
                <w:szCs w:val="16"/>
                <w:lang w:eastAsia="es-ES"/>
              </w:rPr>
              <w:t xml:space="preserve"> de la</w:t>
            </w:r>
            <w:r w:rsidRPr="00F83DBD">
              <w:rPr>
                <w:rFonts w:ascii="Arial" w:eastAsia="Times New Roman" w:hAnsi="Arial" w:cs="Arial"/>
                <w:color w:val="000000" w:themeColor="text1"/>
                <w:sz w:val="16"/>
                <w:szCs w:val="16"/>
                <w:lang w:eastAsia="es-ES"/>
              </w:rPr>
              <w:t xml:space="preserve"> Subdirección de Gestión Contractual</w:t>
            </w:r>
          </w:p>
        </w:tc>
      </w:tr>
      <w:tr w:rsidR="00F83DBD" w:rsidRPr="00F83DBD" w14:paraId="7B1DF477" w14:textId="77777777" w:rsidTr="00C35EA3">
        <w:trPr>
          <w:trHeight w:val="330"/>
        </w:trPr>
        <w:tc>
          <w:tcPr>
            <w:tcW w:w="812" w:type="dxa"/>
            <w:vAlign w:val="center"/>
            <w:hideMark/>
          </w:tcPr>
          <w:p w14:paraId="0FFE9D07" w14:textId="77777777" w:rsidR="005A79FE" w:rsidRPr="00F83DBD" w:rsidRDefault="005A79FE"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27797072" w:rsidR="005A79FE" w:rsidRPr="00F83DBD" w:rsidRDefault="003E1430"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Sebastián Ramírez Grisales</w:t>
            </w:r>
          </w:p>
          <w:p w14:paraId="28E52DE2" w14:textId="390E9EAF" w:rsidR="005A79FE" w:rsidRPr="00F83DBD" w:rsidRDefault="003E1430"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Contratista</w:t>
            </w:r>
            <w:r w:rsidR="00B47C69" w:rsidRPr="00F83DBD">
              <w:rPr>
                <w:rFonts w:ascii="Arial" w:eastAsia="Times New Roman" w:hAnsi="Arial" w:cs="Arial"/>
                <w:color w:val="000000" w:themeColor="text1"/>
                <w:sz w:val="16"/>
                <w:szCs w:val="16"/>
                <w:lang w:eastAsia="es-ES"/>
              </w:rPr>
              <w:t xml:space="preserve"> de la</w:t>
            </w:r>
            <w:r w:rsidRPr="00F83DBD">
              <w:rPr>
                <w:rFonts w:ascii="Arial" w:eastAsia="Times New Roman" w:hAnsi="Arial" w:cs="Arial"/>
                <w:color w:val="000000" w:themeColor="text1"/>
                <w:sz w:val="16"/>
                <w:szCs w:val="16"/>
                <w:lang w:eastAsia="es-ES"/>
              </w:rPr>
              <w:t xml:space="preserve"> Subdirección de Gestión Contractual</w:t>
            </w:r>
          </w:p>
        </w:tc>
      </w:tr>
      <w:tr w:rsidR="00C6267F" w:rsidRPr="00F83DBD" w14:paraId="711E3E03" w14:textId="77777777" w:rsidTr="00C35EA3">
        <w:trPr>
          <w:trHeight w:val="300"/>
        </w:trPr>
        <w:tc>
          <w:tcPr>
            <w:tcW w:w="812" w:type="dxa"/>
            <w:vAlign w:val="center"/>
            <w:hideMark/>
          </w:tcPr>
          <w:p w14:paraId="4738705E" w14:textId="77777777" w:rsidR="005A79FE" w:rsidRPr="00F83DBD" w:rsidRDefault="005A79FE"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F83DBD" w:rsidRDefault="005A79FE"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Fabián Gonzalo Marín Cortés</w:t>
            </w:r>
          </w:p>
          <w:p w14:paraId="18618B00" w14:textId="77777777" w:rsidR="005A79FE" w:rsidRPr="00F83DBD" w:rsidRDefault="005A79FE" w:rsidP="00266042">
            <w:pPr>
              <w:rPr>
                <w:rFonts w:ascii="Arial" w:eastAsia="Times New Roman" w:hAnsi="Arial" w:cs="Arial"/>
                <w:color w:val="000000" w:themeColor="text1"/>
                <w:sz w:val="16"/>
                <w:szCs w:val="16"/>
                <w:lang w:eastAsia="es-ES"/>
              </w:rPr>
            </w:pPr>
            <w:r w:rsidRPr="00F83DBD">
              <w:rPr>
                <w:rFonts w:ascii="Arial" w:eastAsia="Times New Roman" w:hAnsi="Arial" w:cs="Arial"/>
                <w:color w:val="000000" w:themeColor="text1"/>
                <w:sz w:val="16"/>
                <w:szCs w:val="16"/>
                <w:lang w:eastAsia="es-ES"/>
              </w:rPr>
              <w:t>Subdirector de Gestión Contractual</w:t>
            </w:r>
          </w:p>
        </w:tc>
      </w:tr>
    </w:tbl>
    <w:p w14:paraId="7EBF297E" w14:textId="77777777" w:rsidR="007B0854" w:rsidRPr="00F83DBD" w:rsidRDefault="007B0854" w:rsidP="00CA287E">
      <w:pPr>
        <w:jc w:val="both"/>
        <w:rPr>
          <w:rFonts w:ascii="Arial" w:eastAsia="Calibri" w:hAnsi="Arial" w:cs="Arial"/>
          <w:color w:val="000000" w:themeColor="text1"/>
          <w:sz w:val="22"/>
        </w:rPr>
      </w:pPr>
      <w:bookmarkStart w:id="1" w:name="_Hlk29890381"/>
      <w:bookmarkEnd w:id="1"/>
    </w:p>
    <w:sectPr w:rsidR="007B0854" w:rsidRPr="00F83DBD"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C67C5" w14:textId="77777777" w:rsidR="007C30F4" w:rsidRDefault="007C30F4">
      <w:r>
        <w:separator/>
      </w:r>
    </w:p>
  </w:endnote>
  <w:endnote w:type="continuationSeparator" w:id="0">
    <w:p w14:paraId="1D5F882A" w14:textId="77777777" w:rsidR="007C30F4" w:rsidRDefault="007C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4A14" w14:textId="06E6553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A3FAB">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A3FAB">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0E0B8C38" w:rsidR="009047C5" w:rsidRDefault="0865BE48" w:rsidP="007B0854">
    <w:pPr>
      <w:pStyle w:val="Piedepgina"/>
      <w:jc w:val="center"/>
      <w:rPr>
        <w:lang w:val="es-ES"/>
      </w:rPr>
    </w:pPr>
    <w:r>
      <w:rPr>
        <w:noProof/>
        <w:lang w:val="en-US"/>
      </w:rPr>
      <w:drawing>
        <wp:inline distT="0" distB="0" distL="0" distR="0" wp14:anchorId="608B196D" wp14:editId="3DAD846A">
          <wp:extent cx="4241994" cy="595165"/>
          <wp:effectExtent l="0" t="0" r="6350" b="0"/>
          <wp:docPr id="178442581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441DE" w14:textId="77777777" w:rsidR="007C30F4" w:rsidRDefault="007C30F4">
      <w:r>
        <w:separator/>
      </w:r>
    </w:p>
  </w:footnote>
  <w:footnote w:type="continuationSeparator" w:id="0">
    <w:p w14:paraId="617DBF71" w14:textId="77777777" w:rsidR="007C30F4" w:rsidRDefault="007C30F4">
      <w:r>
        <w:continuationSeparator/>
      </w:r>
    </w:p>
  </w:footnote>
  <w:footnote w:id="1">
    <w:p w14:paraId="5A487B1A"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9A7873D"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2">
    <w:p w14:paraId="1AFBED21"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DC4C6C8"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10ABE8D"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»El Gobierno nacional reglamentará el mecanismo para realizar la mensualización de que trata el presente artículo».</w:t>
      </w:r>
    </w:p>
    <w:p w14:paraId="643CDD2B"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3">
    <w:p w14:paraId="0DFDB26F"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CORTE CONSTITUCIONAL. Sentencia C-154 de 1997. M.P. Hernando Herrera Vergara.</w:t>
      </w:r>
    </w:p>
    <w:p w14:paraId="58B310CF"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4">
    <w:p w14:paraId="6898AFC9"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i/>
          <w:iCs/>
          <w:color w:val="000000" w:themeColor="text1"/>
          <w:sz w:val="19"/>
          <w:szCs w:val="19"/>
          <w:lang w:val="es-ES"/>
        </w:rPr>
        <w:t>Ibíd</w:t>
      </w:r>
      <w:r w:rsidRPr="00F83DBD">
        <w:rPr>
          <w:rFonts w:ascii="Arial" w:hAnsi="Arial" w:cs="Arial"/>
          <w:color w:val="000000" w:themeColor="text1"/>
          <w:sz w:val="19"/>
          <w:szCs w:val="19"/>
          <w:lang w:val="es-ES"/>
        </w:rPr>
        <w:t>.</w:t>
      </w:r>
    </w:p>
    <w:p w14:paraId="449CA303"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5">
    <w:p w14:paraId="482680A2"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82198D4"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BF0A58E"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p w14:paraId="2A0BF654"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6">
    <w:p w14:paraId="27F5C1C5"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1A176076"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7">
    <w:p w14:paraId="0DDC43B2"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i/>
          <w:iCs/>
          <w:color w:val="000000" w:themeColor="text1"/>
          <w:sz w:val="19"/>
          <w:szCs w:val="19"/>
          <w:lang w:val="es-ES"/>
        </w:rPr>
        <w:t>Ibíd</w:t>
      </w:r>
      <w:r w:rsidRPr="00F83DBD">
        <w:rPr>
          <w:rFonts w:ascii="Arial" w:hAnsi="Arial" w:cs="Arial"/>
          <w:color w:val="000000" w:themeColor="text1"/>
          <w:sz w:val="19"/>
          <w:szCs w:val="19"/>
          <w:lang w:val="es-ES"/>
        </w:rPr>
        <w:t>.</w:t>
      </w:r>
    </w:p>
    <w:p w14:paraId="561DB950"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8">
    <w:p w14:paraId="4D5B0E00"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i/>
          <w:iCs/>
          <w:color w:val="000000" w:themeColor="text1"/>
          <w:sz w:val="19"/>
          <w:szCs w:val="19"/>
          <w:lang w:val="es-ES"/>
        </w:rPr>
        <w:t>Ibíd</w:t>
      </w:r>
      <w:r w:rsidRPr="00F83DBD">
        <w:rPr>
          <w:rFonts w:ascii="Arial" w:hAnsi="Arial" w:cs="Arial"/>
          <w:color w:val="000000" w:themeColor="text1"/>
          <w:sz w:val="19"/>
          <w:szCs w:val="19"/>
          <w:lang w:val="es-ES"/>
        </w:rPr>
        <w:t>.</w:t>
      </w:r>
    </w:p>
    <w:p w14:paraId="3934EAF8"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9">
    <w:p w14:paraId="3E27052F"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i/>
          <w:iCs/>
          <w:color w:val="000000" w:themeColor="text1"/>
          <w:sz w:val="19"/>
          <w:szCs w:val="19"/>
          <w:lang w:val="es-ES"/>
        </w:rPr>
        <w:t>Ibíd</w:t>
      </w:r>
      <w:r w:rsidRPr="00F83DBD">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9FEB4C9"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B6A859F"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0094EF52"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10">
    <w:p w14:paraId="6CADC5FF"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6191C418"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»1. La causal que invoca para contratar directamente.</w:t>
      </w:r>
    </w:p>
    <w:p w14:paraId="301CA6DC"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»2. El objeto del contrato.</w:t>
      </w:r>
    </w:p>
    <w:p w14:paraId="563A0D1A"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»3. El presupuesto para la contratación y las condiciones que exigirá al contratista.</w:t>
      </w:r>
    </w:p>
    <w:p w14:paraId="0C158DB8"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»4. El lugar en el cual los interesados pueden consultar los estudios y documentos previos.</w:t>
      </w:r>
    </w:p>
    <w:p w14:paraId="31EA7535"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0A9F2FEC"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11">
    <w:p w14:paraId="17FE3705"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Esta norma expresa: «</w:t>
      </w:r>
      <w:r w:rsidRPr="00F83DBD">
        <w:rPr>
          <w:rFonts w:ascii="Arial" w:hAnsi="Arial" w:cs="Arial"/>
          <w:color w:val="000000" w:themeColor="text1"/>
          <w:sz w:val="19"/>
          <w:szCs w:val="19"/>
        </w:rPr>
        <w:t>P</w:t>
      </w:r>
      <w:r w:rsidRPr="00F83DBD">
        <w:rPr>
          <w:rFonts w:ascii="Arial" w:hAnsi="Arial" w:cs="Arial"/>
          <w:color w:val="000000" w:themeColor="text1"/>
          <w:sz w:val="19"/>
          <w:szCs w:val="19"/>
          <w:lang w:val="es-ES"/>
        </w:rPr>
        <w:t xml:space="preserve">ara el cumplimiento de los fines de la contratación, las entidades estatales al celebrar un contrato: </w:t>
      </w:r>
    </w:p>
    <w:p w14:paraId="0E917CD5"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 xml:space="preserve">»[…] </w:t>
      </w:r>
    </w:p>
    <w:p w14:paraId="7E6EABD3"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 xml:space="preserve">»2o.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w:t>
      </w:r>
    </w:p>
    <w:p w14:paraId="76C2C38C"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Fonts w:ascii="Arial" w:hAnsi="Arial" w:cs="Arial"/>
          <w:color w:val="000000" w:themeColor="text1"/>
          <w:sz w:val="19"/>
          <w:szCs w:val="19"/>
          <w:lang w:val="es-ES"/>
        </w:rPr>
        <w:t>Las entidades estatales podrán pactar estas cláusulas en los contratos de suministro y de prestación de servicios […]».</w:t>
      </w:r>
    </w:p>
    <w:p w14:paraId="28D4C27A"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12">
    <w:p w14:paraId="05359C77"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74C0220C"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p>
  </w:footnote>
  <w:footnote w:id="13">
    <w:p w14:paraId="09E715A2" w14:textId="77777777" w:rsidR="00E92E5F" w:rsidRPr="00F83DBD" w:rsidRDefault="00E92E5F" w:rsidP="00E92E5F">
      <w:pPr>
        <w:pStyle w:val="Textonotapie"/>
        <w:ind w:firstLine="709"/>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135914B" w14:textId="77777777" w:rsidR="00E92E5F" w:rsidRPr="00F83DBD" w:rsidRDefault="00E92E5F" w:rsidP="00E92E5F">
      <w:pPr>
        <w:pStyle w:val="Textonotapie"/>
        <w:ind w:firstLine="709"/>
        <w:jc w:val="both"/>
        <w:rPr>
          <w:rFonts w:ascii="Arial" w:hAnsi="Arial" w:cs="Arial"/>
          <w:color w:val="000000" w:themeColor="text1"/>
          <w:sz w:val="19"/>
          <w:szCs w:val="19"/>
        </w:rPr>
      </w:pPr>
      <w:r w:rsidRPr="00F83DBD">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7F138883" w14:textId="77777777" w:rsidR="00E92E5F" w:rsidRPr="00F83DBD" w:rsidRDefault="00E92E5F" w:rsidP="00E92E5F">
      <w:pPr>
        <w:pStyle w:val="Textonotapie"/>
        <w:ind w:firstLine="709"/>
        <w:jc w:val="both"/>
        <w:rPr>
          <w:rFonts w:ascii="Arial" w:hAnsi="Arial" w:cs="Arial"/>
          <w:color w:val="000000" w:themeColor="text1"/>
          <w:sz w:val="19"/>
          <w:szCs w:val="19"/>
        </w:rPr>
      </w:pPr>
    </w:p>
  </w:footnote>
  <w:footnote w:id="14">
    <w:p w14:paraId="2B69187B" w14:textId="77777777" w:rsidR="00E92E5F" w:rsidRPr="00F83DBD" w:rsidRDefault="00E92E5F" w:rsidP="00E92E5F">
      <w:pPr>
        <w:pStyle w:val="Textonotapie"/>
        <w:ind w:firstLine="709"/>
        <w:jc w:val="both"/>
        <w:rPr>
          <w:rFonts w:ascii="Arial" w:hAnsi="Arial" w:cs="Arial"/>
          <w:color w:val="000000" w:themeColor="text1"/>
          <w:sz w:val="19"/>
          <w:szCs w:val="19"/>
          <w:lang w:val="es-ES"/>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5">
    <w:p w14:paraId="3E7A11D4" w14:textId="77777777" w:rsidR="00F75056" w:rsidRPr="00F83DBD" w:rsidRDefault="00F75056" w:rsidP="00F75056">
      <w:pPr>
        <w:pStyle w:val="Textonotapie"/>
        <w:jc w:val="both"/>
        <w:rPr>
          <w:rFonts w:ascii="Arial" w:hAnsi="Arial" w:cs="Arial"/>
          <w:color w:val="000000" w:themeColor="text1"/>
          <w:sz w:val="19"/>
          <w:szCs w:val="19"/>
        </w:rPr>
      </w:pPr>
    </w:p>
    <w:p w14:paraId="6C0ACBED"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53E4219"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07AB4C9"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 xml:space="preserve">»La Entidad Estatal, para la contratación de trabajos artísticos que solamente puedan en­comendarse a determinadas personas naturales, debe justificar esta situación en los estudios y documentos previo» </w:t>
      </w:r>
    </w:p>
    <w:p w14:paraId="2E767F07" w14:textId="77777777" w:rsidR="00F75056" w:rsidRPr="00F83DBD" w:rsidRDefault="00F75056" w:rsidP="00F75056">
      <w:pPr>
        <w:pStyle w:val="Textonotapie"/>
        <w:ind w:firstLine="708"/>
        <w:jc w:val="both"/>
        <w:rPr>
          <w:rFonts w:ascii="Arial" w:hAnsi="Arial" w:cs="Arial"/>
          <w:color w:val="000000" w:themeColor="text1"/>
          <w:sz w:val="19"/>
          <w:szCs w:val="19"/>
        </w:rPr>
      </w:pPr>
    </w:p>
  </w:footnote>
  <w:footnote w:id="16">
    <w:p w14:paraId="12F3FAB3"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Constitución Política. «Artículo 26. 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w:t>
      </w:r>
    </w:p>
    <w:p w14:paraId="34E55F9F"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w:t>
      </w:r>
    </w:p>
    <w:p w14:paraId="5E92323F" w14:textId="77777777" w:rsidR="00F75056" w:rsidRPr="00F83DBD" w:rsidRDefault="00F75056" w:rsidP="00F75056">
      <w:pPr>
        <w:pStyle w:val="Textonotapie"/>
        <w:ind w:firstLine="708"/>
        <w:jc w:val="both"/>
        <w:rPr>
          <w:rFonts w:ascii="Arial" w:hAnsi="Arial" w:cs="Arial"/>
          <w:color w:val="000000" w:themeColor="text1"/>
          <w:sz w:val="19"/>
          <w:szCs w:val="19"/>
          <w:lang w:val="es-CO"/>
        </w:rPr>
      </w:pPr>
    </w:p>
  </w:footnote>
  <w:footnote w:id="17">
    <w:p w14:paraId="299E92C6"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Decreto 5012 de 2009. «Artículo 1. El Ministerio de Educación Nacional, tendrá como objetivos los siguientes: </w:t>
      </w:r>
    </w:p>
    <w:p w14:paraId="43718162"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 xml:space="preserve">»1.1. Establecer las políticas y lineamientos para dotar al sector educativo  de un servicio de calidad con acceso equitativo y con permanencia en el sistema. </w:t>
      </w:r>
    </w:p>
    <w:p w14:paraId="747D6311" w14:textId="77777777" w:rsidR="00F75056" w:rsidRPr="00F83DBD" w:rsidRDefault="00F75056" w:rsidP="00F75056">
      <w:pPr>
        <w:pStyle w:val="pa10"/>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»1.2. Diseñar estándares que definan el nivel fundamental de calidad de la educación que garantice la formación de las personas en convivencia pacífica, participación y responsabilidad democrática, así como en valoración e integración de las diferencias para una cultura de derechos humanos y ciudadanía en la práctica del trabajo y la recreación para lograr el mejoramiento social, cultural, científico y la protección del ambiente.</w:t>
      </w:r>
    </w:p>
    <w:p w14:paraId="094E748C" w14:textId="77777777" w:rsidR="00F75056" w:rsidRPr="00F83DBD" w:rsidRDefault="00F75056" w:rsidP="00F75056">
      <w:pPr>
        <w:pStyle w:val="pa10"/>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w:t>
      </w:r>
    </w:p>
    <w:p w14:paraId="21D9CB98" w14:textId="77777777" w:rsidR="00F75056" w:rsidRPr="00F83DBD" w:rsidRDefault="00F75056" w:rsidP="00F75056">
      <w:pPr>
        <w:pStyle w:val="pa10"/>
        <w:spacing w:before="0" w:beforeAutospacing="0" w:after="0" w:afterAutospacing="0"/>
        <w:jc w:val="both"/>
        <w:rPr>
          <w:rFonts w:ascii="Arial" w:hAnsi="Arial" w:cs="Arial"/>
          <w:color w:val="000000" w:themeColor="text1"/>
          <w:sz w:val="19"/>
          <w:szCs w:val="19"/>
        </w:rPr>
      </w:pPr>
      <w:r w:rsidRPr="00F83DBD">
        <w:rPr>
          <w:rFonts w:ascii="Arial" w:hAnsi="Arial" w:cs="Arial"/>
          <w:color w:val="000000" w:themeColor="text1"/>
          <w:sz w:val="19"/>
          <w:szCs w:val="19"/>
        </w:rPr>
        <w:t> </w:t>
      </w:r>
    </w:p>
  </w:footnote>
  <w:footnote w:id="18">
    <w:p w14:paraId="3B644A8E" w14:textId="77777777" w:rsidR="00F75056" w:rsidRPr="00F83DBD" w:rsidRDefault="00F75056" w:rsidP="00F75056">
      <w:pPr>
        <w:pStyle w:val="NormalWeb"/>
        <w:spacing w:before="0" w:beforeAutospacing="0" w:after="0" w:afterAutospacing="0"/>
        <w:ind w:firstLine="708"/>
        <w:jc w:val="both"/>
        <w:rPr>
          <w:rFonts w:ascii="Arial" w:eastAsia="Arial Unicode MS"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eastAsia="Arial Unicode MS" w:hAnsi="Arial" w:cs="Arial"/>
          <w:color w:val="000000" w:themeColor="text1"/>
          <w:sz w:val="19"/>
          <w:szCs w:val="19"/>
          <w:lang w:val="es-ES"/>
        </w:rPr>
        <w:t>Artículo 27. Los Exámenes de Estado son pruebas académicas de carácter oficial que tienen por objeto:</w:t>
      </w:r>
    </w:p>
    <w:p w14:paraId="118CF63E" w14:textId="77777777" w:rsidR="00F75056" w:rsidRPr="00F83DBD" w:rsidRDefault="00F75056" w:rsidP="00F75056">
      <w:pPr>
        <w:pStyle w:val="NormalWeb"/>
        <w:spacing w:before="0" w:beforeAutospacing="0" w:after="0" w:afterAutospacing="0"/>
        <w:ind w:firstLine="708"/>
        <w:jc w:val="both"/>
        <w:rPr>
          <w:rFonts w:ascii="Arial" w:eastAsia="Arial Unicode MS" w:hAnsi="Arial" w:cs="Arial"/>
          <w:color w:val="000000" w:themeColor="text1"/>
          <w:sz w:val="19"/>
          <w:szCs w:val="19"/>
        </w:rPr>
      </w:pPr>
      <w:r w:rsidRPr="00F83DBD">
        <w:rPr>
          <w:rFonts w:ascii="Arial" w:eastAsia="Arial Unicode MS" w:hAnsi="Arial" w:cs="Arial"/>
          <w:color w:val="000000" w:themeColor="text1"/>
          <w:sz w:val="19"/>
          <w:szCs w:val="19"/>
        </w:rPr>
        <w:t>»</w:t>
      </w:r>
      <w:r w:rsidRPr="00F83DBD">
        <w:rPr>
          <w:rFonts w:ascii="Arial" w:eastAsia="Arial Unicode MS" w:hAnsi="Arial" w:cs="Arial"/>
          <w:color w:val="000000" w:themeColor="text1"/>
          <w:sz w:val="19"/>
          <w:szCs w:val="19"/>
          <w:lang w:val="es-ES"/>
        </w:rPr>
        <w:t>a) Comprobar niveles mínimos de aptitudes y conocimientos.</w:t>
      </w:r>
    </w:p>
    <w:p w14:paraId="67CF5507" w14:textId="77777777" w:rsidR="00F75056" w:rsidRPr="00F83DBD" w:rsidRDefault="00F75056" w:rsidP="00F75056">
      <w:pPr>
        <w:pStyle w:val="NormalWeb"/>
        <w:spacing w:before="0" w:beforeAutospacing="0" w:after="0" w:afterAutospacing="0"/>
        <w:ind w:firstLine="708"/>
        <w:jc w:val="both"/>
        <w:rPr>
          <w:rFonts w:ascii="Arial" w:eastAsia="Arial Unicode MS" w:hAnsi="Arial" w:cs="Arial"/>
          <w:color w:val="000000" w:themeColor="text1"/>
          <w:sz w:val="19"/>
          <w:szCs w:val="19"/>
        </w:rPr>
      </w:pPr>
      <w:r w:rsidRPr="00F83DBD">
        <w:rPr>
          <w:rFonts w:ascii="Arial" w:eastAsia="Arial Unicode MS" w:hAnsi="Arial" w:cs="Arial"/>
          <w:color w:val="000000" w:themeColor="text1"/>
          <w:sz w:val="19"/>
          <w:szCs w:val="19"/>
        </w:rPr>
        <w:t>»</w:t>
      </w:r>
      <w:r w:rsidRPr="00F83DBD">
        <w:rPr>
          <w:rFonts w:ascii="Arial" w:eastAsia="Arial Unicode MS" w:hAnsi="Arial" w:cs="Arial"/>
          <w:color w:val="000000" w:themeColor="text1"/>
          <w:sz w:val="19"/>
          <w:szCs w:val="19"/>
          <w:lang w:val="es-ES"/>
        </w:rPr>
        <w:t>b) Verificar conocimientos y destrezas para la expedición de títulos a los egresados de programas cuya aprobación no esté vigente. </w:t>
      </w:r>
    </w:p>
    <w:p w14:paraId="17FDE9B4" w14:textId="77777777" w:rsidR="00F75056" w:rsidRPr="00F83DBD" w:rsidRDefault="00F75056" w:rsidP="00F75056">
      <w:pPr>
        <w:pStyle w:val="NormalWeb"/>
        <w:spacing w:before="0" w:beforeAutospacing="0" w:after="0" w:afterAutospacing="0"/>
        <w:ind w:firstLine="708"/>
        <w:jc w:val="both"/>
        <w:rPr>
          <w:rFonts w:ascii="Arial" w:eastAsia="Arial Unicode MS" w:hAnsi="Arial" w:cs="Arial"/>
          <w:color w:val="000000" w:themeColor="text1"/>
          <w:sz w:val="19"/>
          <w:szCs w:val="19"/>
        </w:rPr>
      </w:pPr>
      <w:r w:rsidRPr="00F83DBD">
        <w:rPr>
          <w:rFonts w:ascii="Arial" w:eastAsia="Arial Unicode MS" w:hAnsi="Arial" w:cs="Arial"/>
          <w:color w:val="000000" w:themeColor="text1"/>
          <w:sz w:val="19"/>
          <w:szCs w:val="19"/>
        </w:rPr>
        <w:t>»</w:t>
      </w:r>
      <w:r w:rsidRPr="00F83DBD">
        <w:rPr>
          <w:rFonts w:ascii="Arial" w:eastAsia="Arial Unicode MS" w:hAnsi="Arial" w:cs="Arial"/>
          <w:color w:val="000000" w:themeColor="text1"/>
          <w:sz w:val="19"/>
          <w:szCs w:val="19"/>
          <w:lang w:val="es-ES"/>
        </w:rPr>
        <w:t>c) Expedir certificación sobre aprobación o desaprobación de cursos que se hayan adelantado en instituciones en disolución cuya personería jurídica ha sido suspendida o cancelada.</w:t>
      </w:r>
    </w:p>
    <w:p w14:paraId="02FB510C" w14:textId="77777777" w:rsidR="00F75056" w:rsidRPr="00F83DBD" w:rsidRDefault="00F75056" w:rsidP="00F75056">
      <w:pPr>
        <w:pStyle w:val="NormalWeb"/>
        <w:spacing w:before="0" w:beforeAutospacing="0" w:after="0" w:afterAutospacing="0"/>
        <w:ind w:firstLine="708"/>
        <w:jc w:val="both"/>
        <w:rPr>
          <w:rFonts w:ascii="Arial" w:eastAsia="Arial Unicode MS" w:hAnsi="Arial" w:cs="Arial"/>
          <w:color w:val="000000" w:themeColor="text1"/>
          <w:sz w:val="19"/>
          <w:szCs w:val="19"/>
        </w:rPr>
      </w:pPr>
      <w:r w:rsidRPr="00F83DBD">
        <w:rPr>
          <w:rFonts w:ascii="Arial" w:eastAsia="Arial Unicode MS" w:hAnsi="Arial" w:cs="Arial"/>
          <w:color w:val="000000" w:themeColor="text1"/>
          <w:sz w:val="19"/>
          <w:szCs w:val="19"/>
        </w:rPr>
        <w:t>»</w:t>
      </w:r>
      <w:r w:rsidRPr="00F83DBD">
        <w:rPr>
          <w:rFonts w:ascii="Arial" w:eastAsia="Arial Unicode MS" w:hAnsi="Arial" w:cs="Arial"/>
          <w:color w:val="000000" w:themeColor="text1"/>
          <w:sz w:val="19"/>
          <w:szCs w:val="19"/>
          <w:lang w:val="es-ES"/>
        </w:rPr>
        <w:t>d) Homologar y convalidar títulos de estudios de Educación Superior realizados en el exterior, cuando sea pertinente a juicio del Consejo Nacional para la Educación Superior (CESU)».</w:t>
      </w:r>
    </w:p>
    <w:p w14:paraId="7E60E4BD" w14:textId="77777777" w:rsidR="00F75056" w:rsidRPr="00F83DBD" w:rsidRDefault="00F75056" w:rsidP="00F75056">
      <w:pPr>
        <w:pStyle w:val="Textonotapie"/>
        <w:rPr>
          <w:rFonts w:ascii="Arial" w:hAnsi="Arial" w:cs="Arial"/>
          <w:color w:val="000000" w:themeColor="text1"/>
          <w:sz w:val="19"/>
          <w:szCs w:val="19"/>
          <w:lang w:val="es-CO"/>
        </w:rPr>
      </w:pPr>
    </w:p>
  </w:footnote>
  <w:footnote w:id="19">
    <w:p w14:paraId="66342D62" w14:textId="77777777" w:rsidR="00F75056" w:rsidRPr="00F83DBD" w:rsidRDefault="00F75056" w:rsidP="00F75056">
      <w:pPr>
        <w:pStyle w:val="NormalWeb"/>
        <w:spacing w:before="0" w:beforeAutospacing="0" w:after="0" w:afterAutospacing="0"/>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Ley 1955 de 2019. «</w:t>
      </w:r>
      <w:r w:rsidRPr="00F83DBD">
        <w:rPr>
          <w:rFonts w:ascii="Arial" w:hAnsi="Arial" w:cs="Arial"/>
          <w:bCs/>
          <w:color w:val="000000" w:themeColor="text1"/>
          <w:sz w:val="19"/>
          <w:szCs w:val="19"/>
        </w:rPr>
        <w:t>Artículo 191</w:t>
      </w:r>
      <w:r w:rsidRPr="00F83DBD">
        <w:rPr>
          <w:rFonts w:ascii="Arial" w:hAnsi="Arial" w:cs="Arial"/>
          <w:b/>
          <w:bCs/>
          <w:color w:val="000000" w:themeColor="text1"/>
          <w:sz w:val="19"/>
          <w:szCs w:val="19"/>
        </w:rPr>
        <w:t xml:space="preserve">. </w:t>
      </w:r>
      <w:r w:rsidRPr="00F83DBD">
        <w:rPr>
          <w:rFonts w:ascii="Arial" w:hAnsi="Arial" w:cs="Arial"/>
          <w:bCs/>
          <w:color w:val="000000" w:themeColor="text1"/>
          <w:sz w:val="19"/>
          <w:szCs w:val="19"/>
        </w:rPr>
        <w:t xml:space="preserve">Reconocimiento de títulos de educación superior. </w:t>
      </w:r>
      <w:r w:rsidRPr="00F83DBD">
        <w:rPr>
          <w:rFonts w:ascii="Arial" w:hAnsi="Arial" w:cs="Arial"/>
          <w:color w:val="000000" w:themeColor="text1"/>
          <w:sz w:val="19"/>
          <w:szCs w:val="19"/>
        </w:rPr>
        <w:t>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14:paraId="7ABDE9C8" w14:textId="77777777" w:rsidR="00F75056" w:rsidRPr="00F83DBD" w:rsidRDefault="00F75056" w:rsidP="00F75056">
      <w:pPr>
        <w:pStyle w:val="NormalWeb"/>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w:t>
      </w:r>
      <w:r w:rsidRPr="00F83DBD">
        <w:rPr>
          <w:rStyle w:val="baj"/>
          <w:rFonts w:ascii="Arial" w:hAnsi="Arial" w:cs="Arial"/>
          <w:bCs/>
          <w:color w:val="000000" w:themeColor="text1"/>
          <w:sz w:val="19"/>
          <w:szCs w:val="19"/>
        </w:rPr>
        <w:t>Parágrafo 1.</w:t>
      </w:r>
      <w:r w:rsidRPr="00F83DBD">
        <w:rPr>
          <w:rFonts w:ascii="Arial" w:hAnsi="Arial" w:cs="Arial"/>
          <w:color w:val="000000" w:themeColor="text1"/>
          <w:sz w:val="19"/>
          <w:szCs w:val="19"/>
        </w:rPr>
        <w:t xml:space="preserve"> Para el caso de profesiones reguladas, el Ministerio contará con una reglamentación específica. No obstante, los tiempos de trámite para la convalidación no podrán exceder lo establecido previamente. </w:t>
      </w:r>
    </w:p>
    <w:p w14:paraId="62BE8E0C" w14:textId="77777777" w:rsidR="00F75056" w:rsidRPr="00F83DBD" w:rsidRDefault="00F75056" w:rsidP="00F75056">
      <w:pPr>
        <w:pStyle w:val="NormalWeb"/>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w:t>
      </w:r>
      <w:r w:rsidRPr="00F83DBD">
        <w:rPr>
          <w:rStyle w:val="baj"/>
          <w:rFonts w:ascii="Arial" w:hAnsi="Arial" w:cs="Arial"/>
          <w:bCs/>
          <w:color w:val="000000" w:themeColor="text1"/>
          <w:sz w:val="19"/>
          <w:szCs w:val="19"/>
        </w:rPr>
        <w:t xml:space="preserve">Parágrafo 2. </w:t>
      </w:r>
      <w:r w:rsidRPr="00F83DBD">
        <w:rPr>
          <w:rFonts w:ascii="Arial" w:hAnsi="Arial" w:cs="Arial"/>
          <w:color w:val="000000" w:themeColor="text1"/>
          <w:sz w:val="19"/>
          <w:szCs w:val="19"/>
        </w:rPr>
        <w:t> 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p>
    <w:p w14:paraId="435C4DE2" w14:textId="77777777" w:rsidR="00F75056" w:rsidRPr="00F83DBD" w:rsidRDefault="00F75056" w:rsidP="00F75056">
      <w:pPr>
        <w:pStyle w:val="Textonotapie"/>
        <w:ind w:firstLine="708"/>
        <w:rPr>
          <w:rFonts w:ascii="Arial" w:hAnsi="Arial" w:cs="Arial"/>
          <w:color w:val="000000" w:themeColor="text1"/>
          <w:sz w:val="19"/>
          <w:szCs w:val="19"/>
          <w:lang w:val="es-CO"/>
        </w:rPr>
      </w:pPr>
      <w:r w:rsidRPr="00F83DBD">
        <w:rPr>
          <w:rFonts w:ascii="Arial" w:hAnsi="Arial" w:cs="Arial"/>
          <w:color w:val="000000" w:themeColor="text1"/>
          <w:sz w:val="19"/>
          <w:szCs w:val="19"/>
          <w:lang w:val="es-CO"/>
        </w:rPr>
        <w:t xml:space="preserve"> </w:t>
      </w:r>
    </w:p>
  </w:footnote>
  <w:footnote w:id="20">
    <w:p w14:paraId="4724A3AE" w14:textId="77777777" w:rsidR="00F75056" w:rsidRPr="00F83DBD" w:rsidRDefault="00F75056" w:rsidP="00F75056">
      <w:pPr>
        <w:pStyle w:val="Textonotapie"/>
        <w:ind w:firstLine="708"/>
        <w:jc w:val="both"/>
        <w:rPr>
          <w:rFonts w:ascii="Arial" w:eastAsia="Calibri"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eastAsia="Calibri" w:hAnsi="Arial" w:cs="Arial"/>
          <w:color w:val="000000" w:themeColor="text1"/>
          <w:sz w:val="19"/>
          <w:szCs w:val="19"/>
        </w:rPr>
        <w:t xml:space="preserve">Resolución 10687 de 9 de octubre de 2019. «Artículo 2º. Definiciones. Para efectos de aplicar la presente resolución, se acogen las siguientes definiciones: </w:t>
      </w:r>
    </w:p>
    <w:p w14:paraId="63A8161D" w14:textId="77777777" w:rsidR="00F75056" w:rsidRPr="00F83DBD" w:rsidRDefault="00F75056" w:rsidP="00F75056">
      <w:pPr>
        <w:pStyle w:val="Textonotapie"/>
        <w:ind w:firstLine="708"/>
        <w:jc w:val="both"/>
        <w:rPr>
          <w:rFonts w:ascii="Arial" w:eastAsia="Calibri" w:hAnsi="Arial" w:cs="Arial"/>
          <w:color w:val="000000" w:themeColor="text1"/>
          <w:sz w:val="19"/>
          <w:szCs w:val="19"/>
        </w:rPr>
      </w:pPr>
      <w:r w:rsidRPr="00F83DBD">
        <w:rPr>
          <w:rFonts w:ascii="Arial" w:eastAsia="Calibri" w:hAnsi="Arial" w:cs="Arial"/>
          <w:color w:val="000000" w:themeColor="text1"/>
          <w:sz w:val="19"/>
          <w:szCs w:val="19"/>
        </w:rPr>
        <w:t>[…]</w:t>
      </w:r>
    </w:p>
    <w:p w14:paraId="42653073" w14:textId="77777777" w:rsidR="00F75056" w:rsidRPr="00F83DBD" w:rsidRDefault="00F75056" w:rsidP="00F75056">
      <w:pPr>
        <w:pStyle w:val="Textonotapie"/>
        <w:ind w:firstLine="708"/>
        <w:jc w:val="both"/>
        <w:rPr>
          <w:rFonts w:ascii="Arial" w:eastAsia="Calibri" w:hAnsi="Arial" w:cs="Arial"/>
          <w:color w:val="000000" w:themeColor="text1"/>
          <w:sz w:val="19"/>
          <w:szCs w:val="19"/>
        </w:rPr>
      </w:pPr>
      <w:r w:rsidRPr="00F83DBD">
        <w:rPr>
          <w:rFonts w:ascii="Arial" w:eastAsia="Calibri" w:hAnsi="Arial" w:cs="Arial"/>
          <w:color w:val="000000" w:themeColor="text1"/>
          <w:sz w:val="19"/>
          <w:szCs w:val="19"/>
        </w:rPr>
        <w:t xml:space="preserve">»Convalidación: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 </w:t>
      </w:r>
    </w:p>
  </w:footnote>
  <w:footnote w:id="21">
    <w:p w14:paraId="3F00846B" w14:textId="77777777" w:rsidR="00F75056" w:rsidRPr="00F83DBD" w:rsidRDefault="00F75056" w:rsidP="00F75056">
      <w:pPr>
        <w:pStyle w:val="Textonotapie"/>
        <w:jc w:val="both"/>
        <w:rPr>
          <w:rFonts w:ascii="Arial" w:hAnsi="Arial" w:cs="Arial"/>
          <w:color w:val="000000" w:themeColor="text1"/>
          <w:sz w:val="19"/>
          <w:szCs w:val="19"/>
        </w:rPr>
      </w:pPr>
    </w:p>
    <w:p w14:paraId="11E4D225" w14:textId="77777777" w:rsidR="00F75056" w:rsidRPr="00F83DBD" w:rsidRDefault="00F75056" w:rsidP="00F75056">
      <w:pPr>
        <w:pStyle w:val="Textonotapie"/>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Consejo de Estado. Sección Primera. Sentencia del 13 de marzo de 2014. Exp. 2010-00166. C.P. Guillermo Vargas Ayala. </w:t>
      </w:r>
    </w:p>
    <w:p w14:paraId="125E7DAE" w14:textId="77777777" w:rsidR="00F75056" w:rsidRPr="00F83DBD" w:rsidRDefault="00F75056" w:rsidP="00F75056">
      <w:pPr>
        <w:pStyle w:val="Textonotapie"/>
        <w:ind w:firstLine="708"/>
        <w:jc w:val="both"/>
        <w:rPr>
          <w:rFonts w:ascii="Arial" w:hAnsi="Arial" w:cs="Arial"/>
          <w:color w:val="000000" w:themeColor="text1"/>
          <w:sz w:val="19"/>
          <w:szCs w:val="19"/>
          <w:lang w:val="es-CO"/>
        </w:rPr>
      </w:pPr>
    </w:p>
  </w:footnote>
  <w:footnote w:id="22">
    <w:p w14:paraId="4E084471"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«Artículo 13. Criterio de acreditación o reconocimiento en alta calidad. Criterio aplicable al proceso de convalidación, cuando la institución o el programa cursado del título a convalidar, cuenten con acreditación o reconocimiento en alta calidad por parte de una entidad gubernamental o estatal competente u organización privada autorizada oficialmente para ello en el país de origen.</w:t>
      </w:r>
    </w:p>
    <w:p w14:paraId="2E3680CA"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»Las solicitudes de convalidación que se estudien mediante este criterio se resolverán en un término no mayor a 60 días calendario contados a partir del día siguiente hábil al reporte de pago en la plataforma o a la verificación de la condición de víctima en el Registro Único de Víctimas de la Unidad para la Atención y Reparación Integral a las Víctimas».</w:t>
      </w:r>
    </w:p>
    <w:p w14:paraId="7BF781C6" w14:textId="77777777" w:rsidR="00F75056" w:rsidRPr="00F83DBD" w:rsidRDefault="00F75056" w:rsidP="00F75056">
      <w:pPr>
        <w:pStyle w:val="Textonotapie"/>
        <w:ind w:firstLine="708"/>
        <w:rPr>
          <w:rFonts w:ascii="Arial" w:hAnsi="Arial" w:cs="Arial"/>
          <w:color w:val="000000" w:themeColor="text1"/>
          <w:sz w:val="19"/>
          <w:szCs w:val="19"/>
          <w:lang w:val="es-CO"/>
        </w:rPr>
      </w:pP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rPr>
        <w:tab/>
      </w:r>
    </w:p>
  </w:footnote>
  <w:footnote w:id="23">
    <w:p w14:paraId="613A7234"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«Artículo 15. Criterio de precedente administrativo. Criterio aplicable cuando el título sometido a convalidación coincide con títulos que han sido evaluados académicamente por la Comisión Nacional Intersectorial para el Aseguramiento de la Calidad de la Educación Superior (Conaces) o el órgano evaluador que el Ministerio de Educación Nacional designe para ello, siempre y cuando se cumplan las condiciones establecidas en el artículo 16 de la presente resolución.</w:t>
      </w:r>
    </w:p>
    <w:p w14:paraId="1A3C16AD"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»Las solicitudes de convalidación que se estudien mediante este criterio se resolverán en un término no mayor a 120 días calendario, contados a partir del día siguiente hábil al reporte de pago en la plataforma o a la verificación de la condición de víctima en el Registro Único de Víctimas de la Unidad para la Atención y Reparación Integral a las Víctimas».</w:t>
      </w:r>
    </w:p>
    <w:p w14:paraId="0E3E9FE6" w14:textId="77777777" w:rsidR="00F75056" w:rsidRPr="00F83DBD" w:rsidRDefault="00F75056" w:rsidP="00F75056">
      <w:pPr>
        <w:pStyle w:val="pa14"/>
        <w:spacing w:before="0" w:beforeAutospacing="0" w:after="0" w:afterAutospacing="0"/>
        <w:jc w:val="both"/>
        <w:rPr>
          <w:rFonts w:ascii="Arial" w:hAnsi="Arial" w:cs="Arial"/>
          <w:color w:val="000000" w:themeColor="text1"/>
          <w:sz w:val="19"/>
          <w:szCs w:val="19"/>
        </w:rPr>
      </w:pPr>
      <w:r w:rsidRPr="00F83DBD">
        <w:rPr>
          <w:rFonts w:ascii="Arial" w:hAnsi="Arial" w:cs="Arial"/>
          <w:color w:val="000000" w:themeColor="text1"/>
          <w:sz w:val="19"/>
          <w:szCs w:val="19"/>
        </w:rPr>
        <w:t xml:space="preserve"> </w:t>
      </w:r>
    </w:p>
  </w:footnote>
  <w:footnote w:id="24">
    <w:p w14:paraId="1389051D" w14:textId="77777777" w:rsidR="00F75056" w:rsidRPr="00F83DBD" w:rsidRDefault="00F75056" w:rsidP="00F75056">
      <w:pPr>
        <w:pStyle w:val="pa14"/>
        <w:spacing w:before="0" w:beforeAutospacing="0" w:after="0" w:afterAutospacing="0"/>
        <w:ind w:firstLine="709"/>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«Artículo 17. Criterio de evaluación académica. Criterio aplicable al proceso de convalidación, mediante el cual la Comisión Nacional Intersectorial de Aseguramiento de la Calidad de la Educación Superior (Conaces) o el órgano evaluador que el Ministerio de Educación Nacional designe para el efecto, estudia, valora y emite un concepto sobre la formación académica adquirida en el exterior por el solicitante, con relación a los programas ofertados en el territorio nacional, que permita o niegue la convalidación del título.</w:t>
      </w:r>
    </w:p>
    <w:p w14:paraId="0A95D2C0" w14:textId="77777777" w:rsidR="00F75056" w:rsidRPr="00F83DBD" w:rsidRDefault="00F75056" w:rsidP="00F75056">
      <w:pPr>
        <w:pStyle w:val="pa14"/>
        <w:spacing w:before="0" w:beforeAutospacing="0" w:after="0" w:afterAutospacing="0"/>
        <w:ind w:firstLine="709"/>
        <w:jc w:val="both"/>
        <w:rPr>
          <w:rFonts w:ascii="Arial" w:hAnsi="Arial" w:cs="Arial"/>
          <w:color w:val="000000" w:themeColor="text1"/>
          <w:sz w:val="19"/>
          <w:szCs w:val="19"/>
        </w:rPr>
      </w:pPr>
      <w:r w:rsidRPr="00F83DBD">
        <w:rPr>
          <w:rFonts w:ascii="Arial" w:hAnsi="Arial" w:cs="Arial"/>
          <w:color w:val="000000" w:themeColor="text1"/>
          <w:sz w:val="19"/>
          <w:szCs w:val="19"/>
        </w:rPr>
        <w:t>»Las solicitudes de convalidación que se estudien mediante este criterio se resolverán en un término no mayor a 180 días calendario, contados a partir del día siguiente hábil al reporte de pago en la plataforma o a la verificación de la condición de víctima en el Registro Único de Víctimas de la Unidad para la Atención y Reparación Integral a las Víctimas».</w:t>
      </w:r>
    </w:p>
    <w:p w14:paraId="30C2BF7B" w14:textId="77777777" w:rsidR="00F75056" w:rsidRPr="00F83DBD" w:rsidRDefault="00F75056" w:rsidP="00F75056">
      <w:pPr>
        <w:pStyle w:val="Textonotapie"/>
        <w:ind w:firstLine="708"/>
        <w:rPr>
          <w:rFonts w:ascii="Arial" w:hAnsi="Arial" w:cs="Arial"/>
          <w:color w:val="000000" w:themeColor="text1"/>
          <w:lang w:val="es-CO"/>
        </w:rPr>
      </w:pPr>
      <w:r w:rsidRPr="00F83DBD">
        <w:rPr>
          <w:rFonts w:ascii="Arial" w:hAnsi="Arial" w:cs="Arial"/>
          <w:color w:val="000000" w:themeColor="text1"/>
        </w:rPr>
        <w:t xml:space="preserve"> </w:t>
      </w:r>
    </w:p>
  </w:footnote>
  <w:footnote w:id="25">
    <w:p w14:paraId="3A38A036"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«Artículo 10. Revisión de legalidad. Durante la actuación administrativa, el Ministerio de Educación Nacional conserva la potestad de analizar de manera permanente la información relacionada con: i) naturaleza jurídica de la institución que otorga el título; ii) naturaleza jurídica del título otorgado; iii) autorización dada por la autoridad competente en el país de origen para el funcionamiento y expedición de títulos de educación superior; y iv) condiciones y características de los documentos radicados (formatos, contenidos, escritura original, país de origen, logos, sellos, firmas, denominaciones, fechas, duración, etc.). </w:t>
      </w:r>
    </w:p>
    <w:p w14:paraId="2966F8E2"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»El trámite de convalidación se desarrolla en observancia del principio de la buena fe, en virtud del cual se presume el comportamiento leal y fiel de los particulares en el ejercicio de sus derechos y deberes, asumiendo que todas las personas honran su obligación de actuar con rectitud, lealtad y honestidad frente a la administración, teniendo en cuenta la expresa manifestación bajo gravedad de juramento, en torno a la veracidad y autenticidad de la documentación radicada con la solicitud.</w:t>
      </w:r>
    </w:p>
    <w:p w14:paraId="6E66B198" w14:textId="77777777" w:rsidR="00F75056" w:rsidRPr="00F83DBD" w:rsidRDefault="00F75056" w:rsidP="00F75056">
      <w:pPr>
        <w:pStyle w:val="pa14"/>
        <w:spacing w:before="0" w:beforeAutospacing="0" w:after="0" w:afterAutospacing="0"/>
        <w:ind w:firstLine="708"/>
        <w:jc w:val="both"/>
        <w:rPr>
          <w:rFonts w:ascii="Arial" w:hAnsi="Arial" w:cs="Arial"/>
          <w:color w:val="000000" w:themeColor="text1"/>
          <w:sz w:val="19"/>
          <w:szCs w:val="19"/>
        </w:rPr>
      </w:pPr>
      <w:r w:rsidRPr="00F83DBD">
        <w:rPr>
          <w:rFonts w:ascii="Arial" w:hAnsi="Arial" w:cs="Arial"/>
          <w:color w:val="000000" w:themeColor="text1"/>
          <w:sz w:val="19"/>
          <w:szCs w:val="19"/>
        </w:rPr>
        <w:t>»Parágrafo. En el evento de encontrarse presuntas inconsistencias o irregularidades en la documentación aportada, el Ministerio de Educación Nacional dará traslado a las autoridades correspondientes para lo de su competencia».</w:t>
      </w:r>
    </w:p>
    <w:p w14:paraId="74B7F699" w14:textId="77777777" w:rsidR="00F75056" w:rsidRPr="00F83DBD" w:rsidRDefault="00F75056" w:rsidP="00F75056">
      <w:pPr>
        <w:pStyle w:val="Textonotapie"/>
        <w:ind w:firstLine="708"/>
        <w:rPr>
          <w:rFonts w:ascii="Arial" w:hAnsi="Arial" w:cs="Arial"/>
          <w:color w:val="000000" w:themeColor="text1"/>
          <w:lang w:val="es-CO"/>
        </w:rPr>
      </w:pPr>
      <w:r w:rsidRPr="00F83DBD">
        <w:rPr>
          <w:rFonts w:ascii="Arial" w:hAnsi="Arial" w:cs="Arial"/>
          <w:color w:val="000000" w:themeColor="text1"/>
        </w:rPr>
        <w:t xml:space="preserve"> </w:t>
      </w:r>
    </w:p>
  </w:footnote>
  <w:footnote w:id="26">
    <w:p w14:paraId="507C3874" w14:textId="77777777" w:rsidR="00F75056" w:rsidRPr="00F83DBD" w:rsidRDefault="00F75056" w:rsidP="00F75056">
      <w:pPr>
        <w:pStyle w:val="Textonotapie"/>
        <w:ind w:firstLine="708"/>
        <w:jc w:val="both"/>
        <w:rPr>
          <w:rFonts w:ascii="Arial" w:hAnsi="Arial" w:cs="Arial"/>
          <w:color w:val="000000" w:themeColor="text1"/>
          <w:sz w:val="19"/>
          <w:szCs w:val="19"/>
          <w:lang w:val="es-CO"/>
        </w:rPr>
      </w:pPr>
      <w:r w:rsidRPr="00F83DBD">
        <w:rPr>
          <w:rStyle w:val="Refdenotaalpie"/>
          <w:rFonts w:ascii="Arial" w:hAnsi="Arial" w:cs="Arial"/>
          <w:color w:val="000000" w:themeColor="text1"/>
          <w:sz w:val="19"/>
          <w:szCs w:val="19"/>
        </w:rPr>
        <w:footnoteRef/>
      </w:r>
      <w:r w:rsidRPr="00F83DBD">
        <w:rPr>
          <w:rFonts w:ascii="Arial" w:hAnsi="Arial" w:cs="Arial"/>
          <w:color w:val="000000" w:themeColor="text1"/>
          <w:sz w:val="19"/>
          <w:szCs w:val="19"/>
        </w:rPr>
        <w:t xml:space="preserve"> </w:t>
      </w:r>
      <w:r w:rsidRPr="00F83DBD">
        <w:rPr>
          <w:rFonts w:ascii="Arial" w:hAnsi="Arial" w:cs="Arial"/>
          <w:color w:val="000000" w:themeColor="text1"/>
          <w:sz w:val="19"/>
          <w:szCs w:val="19"/>
          <w:lang w:val="es-CO"/>
        </w:rPr>
        <w:t xml:space="preserve">Circular Única Externa de Colombia Compra Eficiente. Actualización abril de 2019. p 45.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61AC8DD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69F"/>
    <w:rsid w:val="00024B4A"/>
    <w:rsid w:val="00026AD9"/>
    <w:rsid w:val="000335E2"/>
    <w:rsid w:val="00044E8D"/>
    <w:rsid w:val="00091DD6"/>
    <w:rsid w:val="000942EB"/>
    <w:rsid w:val="000A3BC8"/>
    <w:rsid w:val="000B103F"/>
    <w:rsid w:val="000E14ED"/>
    <w:rsid w:val="000F044B"/>
    <w:rsid w:val="000F14E8"/>
    <w:rsid w:val="000F3B54"/>
    <w:rsid w:val="00103915"/>
    <w:rsid w:val="00122B23"/>
    <w:rsid w:val="00137FFA"/>
    <w:rsid w:val="0015330E"/>
    <w:rsid w:val="00184448"/>
    <w:rsid w:val="001E7E3B"/>
    <w:rsid w:val="00216207"/>
    <w:rsid w:val="00234B84"/>
    <w:rsid w:val="00253D00"/>
    <w:rsid w:val="00260F29"/>
    <w:rsid w:val="00270158"/>
    <w:rsid w:val="0029194E"/>
    <w:rsid w:val="002A2A8E"/>
    <w:rsid w:val="002A5004"/>
    <w:rsid w:val="002C7357"/>
    <w:rsid w:val="003033BA"/>
    <w:rsid w:val="00312B91"/>
    <w:rsid w:val="00333106"/>
    <w:rsid w:val="0034680A"/>
    <w:rsid w:val="0035147B"/>
    <w:rsid w:val="00361A72"/>
    <w:rsid w:val="00385233"/>
    <w:rsid w:val="00386456"/>
    <w:rsid w:val="0039719D"/>
    <w:rsid w:val="003A581E"/>
    <w:rsid w:val="003A7176"/>
    <w:rsid w:val="003C481D"/>
    <w:rsid w:val="003D272B"/>
    <w:rsid w:val="003E1430"/>
    <w:rsid w:val="00437801"/>
    <w:rsid w:val="004409E9"/>
    <w:rsid w:val="004422D6"/>
    <w:rsid w:val="004843D2"/>
    <w:rsid w:val="004A34D2"/>
    <w:rsid w:val="004B64C4"/>
    <w:rsid w:val="004E3105"/>
    <w:rsid w:val="004E6938"/>
    <w:rsid w:val="004E741A"/>
    <w:rsid w:val="0051074C"/>
    <w:rsid w:val="00513AF2"/>
    <w:rsid w:val="0052218E"/>
    <w:rsid w:val="00524857"/>
    <w:rsid w:val="00533412"/>
    <w:rsid w:val="0054413A"/>
    <w:rsid w:val="00555733"/>
    <w:rsid w:val="005564CA"/>
    <w:rsid w:val="00563432"/>
    <w:rsid w:val="005A1EF6"/>
    <w:rsid w:val="005A79FE"/>
    <w:rsid w:val="005D0CE1"/>
    <w:rsid w:val="00606650"/>
    <w:rsid w:val="0061175E"/>
    <w:rsid w:val="0062733B"/>
    <w:rsid w:val="00631407"/>
    <w:rsid w:val="0064015C"/>
    <w:rsid w:val="0064525F"/>
    <w:rsid w:val="006533F8"/>
    <w:rsid w:val="00655371"/>
    <w:rsid w:val="0066448C"/>
    <w:rsid w:val="00683472"/>
    <w:rsid w:val="00685FD3"/>
    <w:rsid w:val="00687C2E"/>
    <w:rsid w:val="00697665"/>
    <w:rsid w:val="006A7FD0"/>
    <w:rsid w:val="006B3991"/>
    <w:rsid w:val="006C6305"/>
    <w:rsid w:val="006D7687"/>
    <w:rsid w:val="006E0572"/>
    <w:rsid w:val="00705631"/>
    <w:rsid w:val="00705C29"/>
    <w:rsid w:val="00720604"/>
    <w:rsid w:val="00742DD2"/>
    <w:rsid w:val="00752243"/>
    <w:rsid w:val="0075647A"/>
    <w:rsid w:val="0075684E"/>
    <w:rsid w:val="007634AD"/>
    <w:rsid w:val="0078122E"/>
    <w:rsid w:val="00786561"/>
    <w:rsid w:val="00794235"/>
    <w:rsid w:val="007B0854"/>
    <w:rsid w:val="007B0ED5"/>
    <w:rsid w:val="007C30F4"/>
    <w:rsid w:val="007C3D56"/>
    <w:rsid w:val="007C70BF"/>
    <w:rsid w:val="007F72CB"/>
    <w:rsid w:val="0080452E"/>
    <w:rsid w:val="0083119B"/>
    <w:rsid w:val="00836EAB"/>
    <w:rsid w:val="0085092D"/>
    <w:rsid w:val="00877C6C"/>
    <w:rsid w:val="008A7229"/>
    <w:rsid w:val="008B04D2"/>
    <w:rsid w:val="008B42AB"/>
    <w:rsid w:val="008C0A63"/>
    <w:rsid w:val="008E1C15"/>
    <w:rsid w:val="00901A18"/>
    <w:rsid w:val="009047C5"/>
    <w:rsid w:val="00916959"/>
    <w:rsid w:val="00944AA1"/>
    <w:rsid w:val="0095385A"/>
    <w:rsid w:val="00965243"/>
    <w:rsid w:val="00966030"/>
    <w:rsid w:val="00977A2C"/>
    <w:rsid w:val="009854D7"/>
    <w:rsid w:val="00997EED"/>
    <w:rsid w:val="009A1118"/>
    <w:rsid w:val="009B50F5"/>
    <w:rsid w:val="009C045C"/>
    <w:rsid w:val="009D2367"/>
    <w:rsid w:val="009D54EC"/>
    <w:rsid w:val="00A24560"/>
    <w:rsid w:val="00A24EAF"/>
    <w:rsid w:val="00A25140"/>
    <w:rsid w:val="00A34538"/>
    <w:rsid w:val="00A37029"/>
    <w:rsid w:val="00A40EAC"/>
    <w:rsid w:val="00A82B06"/>
    <w:rsid w:val="00A97F41"/>
    <w:rsid w:val="00AA1839"/>
    <w:rsid w:val="00AA442B"/>
    <w:rsid w:val="00AE4F2A"/>
    <w:rsid w:val="00B05F44"/>
    <w:rsid w:val="00B070AC"/>
    <w:rsid w:val="00B11431"/>
    <w:rsid w:val="00B2180B"/>
    <w:rsid w:val="00B22E22"/>
    <w:rsid w:val="00B31C4E"/>
    <w:rsid w:val="00B335AA"/>
    <w:rsid w:val="00B35017"/>
    <w:rsid w:val="00B404FE"/>
    <w:rsid w:val="00B47C69"/>
    <w:rsid w:val="00B525CB"/>
    <w:rsid w:val="00B63CB2"/>
    <w:rsid w:val="00B66FDD"/>
    <w:rsid w:val="00B7639C"/>
    <w:rsid w:val="00B80D47"/>
    <w:rsid w:val="00B87DC9"/>
    <w:rsid w:val="00BA469D"/>
    <w:rsid w:val="00BA67E1"/>
    <w:rsid w:val="00BB6926"/>
    <w:rsid w:val="00BC46FA"/>
    <w:rsid w:val="00BD0C3F"/>
    <w:rsid w:val="00BD78FE"/>
    <w:rsid w:val="00BE70E3"/>
    <w:rsid w:val="00C1491E"/>
    <w:rsid w:val="00C2341D"/>
    <w:rsid w:val="00C33D64"/>
    <w:rsid w:val="00C34A17"/>
    <w:rsid w:val="00C35EA3"/>
    <w:rsid w:val="00C51B5C"/>
    <w:rsid w:val="00C6267F"/>
    <w:rsid w:val="00C96477"/>
    <w:rsid w:val="00CA287E"/>
    <w:rsid w:val="00CC00CD"/>
    <w:rsid w:val="00D164A1"/>
    <w:rsid w:val="00D16E39"/>
    <w:rsid w:val="00D20BED"/>
    <w:rsid w:val="00D35D5C"/>
    <w:rsid w:val="00D43AD5"/>
    <w:rsid w:val="00D467FB"/>
    <w:rsid w:val="00D519F7"/>
    <w:rsid w:val="00D624D8"/>
    <w:rsid w:val="00D72E9D"/>
    <w:rsid w:val="00D82CE5"/>
    <w:rsid w:val="00D9268A"/>
    <w:rsid w:val="00D92711"/>
    <w:rsid w:val="00D94FDB"/>
    <w:rsid w:val="00D95931"/>
    <w:rsid w:val="00DA5AB1"/>
    <w:rsid w:val="00DC62E5"/>
    <w:rsid w:val="00DC72CB"/>
    <w:rsid w:val="00DD735D"/>
    <w:rsid w:val="00DE1AA6"/>
    <w:rsid w:val="00DE3119"/>
    <w:rsid w:val="00DF236B"/>
    <w:rsid w:val="00E13AB8"/>
    <w:rsid w:val="00E33B62"/>
    <w:rsid w:val="00E55248"/>
    <w:rsid w:val="00E66DFF"/>
    <w:rsid w:val="00E92BFD"/>
    <w:rsid w:val="00E92E5F"/>
    <w:rsid w:val="00EA11E5"/>
    <w:rsid w:val="00EA3FAB"/>
    <w:rsid w:val="00EA477C"/>
    <w:rsid w:val="00EC4C2B"/>
    <w:rsid w:val="00EE2522"/>
    <w:rsid w:val="00EF6AED"/>
    <w:rsid w:val="00F0730E"/>
    <w:rsid w:val="00F1756C"/>
    <w:rsid w:val="00F25EF1"/>
    <w:rsid w:val="00F6267D"/>
    <w:rsid w:val="00F75056"/>
    <w:rsid w:val="00F83DBD"/>
    <w:rsid w:val="00F84899"/>
    <w:rsid w:val="00F859F0"/>
    <w:rsid w:val="00F90183"/>
    <w:rsid w:val="00FC5192"/>
    <w:rsid w:val="00FD07C3"/>
    <w:rsid w:val="00FE141E"/>
    <w:rsid w:val="0865BE48"/>
    <w:rsid w:val="0EDFE4A8"/>
    <w:rsid w:val="154076A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paragraph" w:customStyle="1" w:styleId="pa10">
    <w:name w:val="pa10"/>
    <w:basedOn w:val="Normal"/>
    <w:rsid w:val="00BA469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BA469D"/>
  </w:style>
  <w:style w:type="paragraph" w:customStyle="1" w:styleId="pa14">
    <w:name w:val="pa14"/>
    <w:basedOn w:val="Normal"/>
    <w:rsid w:val="00BA469D"/>
    <w:pPr>
      <w:spacing w:before="100" w:beforeAutospacing="1" w:after="100" w:afterAutospacing="1"/>
    </w:pPr>
    <w:rPr>
      <w:rFonts w:ascii="Times New Roman" w:eastAsia="Times New Roman" w:hAnsi="Times New Roman" w:cs="Times New Roman"/>
      <w:szCs w:val="24"/>
      <w:lang w:val="es-CO" w:eastAsia="es-CO"/>
    </w:rPr>
  </w:style>
  <w:style w:type="paragraph" w:customStyle="1" w:styleId="Appelnotedebasde">
    <w:name w:val="Appel note de bas de..."/>
    <w:basedOn w:val="Normal"/>
    <w:link w:val="Refdenotaalpie"/>
    <w:uiPriority w:val="99"/>
    <w:rsid w:val="00E92E5F"/>
    <w:pPr>
      <w:spacing w:after="160" w:line="240" w:lineRule="exact"/>
    </w:pPr>
    <w:rPr>
      <w:sz w:val="22"/>
      <w:vertAlign w:val="superscript"/>
      <w:lang w:val="es-CO"/>
    </w:rPr>
  </w:style>
  <w:style w:type="paragraph" w:customStyle="1" w:styleId="Default">
    <w:name w:val="Default"/>
    <w:rsid w:val="00D9271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E7A4C-061D-4643-BBFA-E3EE53408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99D7577-F594-4827-AAAA-6983B0D86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5071</Words>
  <Characters>28910</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2020-08-13T13:19:00Z</dcterms:created>
  <dcterms:modified xsi:type="dcterms:W3CDTF">2020-08-13T13:19:00Z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