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D4FB24" w14:textId="77777777" w:rsidR="00C02156" w:rsidRPr="00DD2D97" w:rsidRDefault="00C02156" w:rsidP="00C02156">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72750731"/>
      <w:r w:rsidRPr="00DD2D97">
        <w:rPr>
          <w:rFonts w:ascii="Arial" w:hAnsi="Arial" w:cs="Arial"/>
          <w:bCs/>
          <w:color w:val="000000" w:themeColor="text1"/>
          <w:sz w:val="16"/>
          <w:szCs w:val="16"/>
          <w:lang w:val="es-ES_tradnl" w:eastAsia="es-ES"/>
        </w:rPr>
        <w:t>CCE-DES-FM-17</w:t>
      </w:r>
      <w:bookmarkEnd w:id="0"/>
      <w:bookmarkEnd w:id="1"/>
    </w:p>
    <w:p w14:paraId="7AB3896A" w14:textId="77777777" w:rsidR="00C02156" w:rsidRPr="00DD2D97" w:rsidRDefault="00C02156" w:rsidP="00C02156">
      <w:pPr>
        <w:jc w:val="both"/>
        <w:rPr>
          <w:rFonts w:ascii="Arial" w:eastAsia="Calibri" w:hAnsi="Arial" w:cs="Arial"/>
          <w:b/>
          <w:color w:val="000000" w:themeColor="text1"/>
          <w:sz w:val="22"/>
          <w:lang w:val="es-ES_tradnl"/>
        </w:rPr>
      </w:pPr>
    </w:p>
    <w:p w14:paraId="54AB92BB" w14:textId="77777777" w:rsidR="00C02156" w:rsidRPr="00C22EDD" w:rsidRDefault="00C02156" w:rsidP="00C02156">
      <w:pPr>
        <w:jc w:val="both"/>
        <w:rPr>
          <w:rFonts w:ascii="Arial" w:hAnsi="Arial" w:cs="Arial"/>
          <w:b/>
          <w:sz w:val="22"/>
          <w:szCs w:val="22"/>
          <w:lang w:val="es-ES_tradnl" w:eastAsia="es-ES"/>
        </w:rPr>
      </w:pPr>
      <w:r w:rsidRPr="00C22EDD">
        <w:rPr>
          <w:rFonts w:ascii="Arial" w:hAnsi="Arial" w:cs="Arial"/>
          <w:b/>
          <w:sz w:val="22"/>
          <w:szCs w:val="22"/>
          <w:lang w:val="es-ES_tradnl" w:eastAsia="es-ES"/>
        </w:rPr>
        <w:t>PRINCIPIO DE PUBLICIDAD – Democracia – Estado social de Derecho – Fundamento axiológico</w:t>
      </w:r>
    </w:p>
    <w:p w14:paraId="5528E713" w14:textId="77777777" w:rsidR="00C02156" w:rsidRPr="00C22EDD" w:rsidRDefault="00C02156" w:rsidP="00C02156">
      <w:pPr>
        <w:jc w:val="both"/>
        <w:rPr>
          <w:rFonts w:ascii="Arial" w:hAnsi="Arial" w:cs="Arial"/>
          <w:noProof/>
          <w:color w:val="000000" w:themeColor="text1"/>
          <w:sz w:val="22"/>
          <w:lang w:val="es-ES_tradnl"/>
        </w:rPr>
      </w:pPr>
    </w:p>
    <w:p w14:paraId="1D35A742" w14:textId="77777777" w:rsidR="00C02156" w:rsidRDefault="00C02156" w:rsidP="00C02156">
      <w:pPr>
        <w:jc w:val="both"/>
        <w:rPr>
          <w:rFonts w:ascii="Arial" w:eastAsia="Calibri" w:hAnsi="Arial" w:cs="Arial"/>
          <w:color w:val="000000" w:themeColor="text1"/>
          <w:sz w:val="20"/>
          <w:szCs w:val="20"/>
          <w:lang w:val="es-ES_tradnl"/>
        </w:rPr>
      </w:pPr>
      <w:r w:rsidRPr="00A71531">
        <w:rPr>
          <w:rFonts w:ascii="Arial" w:eastAsia="Calibri" w:hAnsi="Arial" w:cs="Arial"/>
          <w:color w:val="000000" w:themeColor="text1"/>
          <w:sz w:val="20"/>
          <w:szCs w:val="20"/>
          <w:lang w:val="es-ES_tradnl"/>
        </w:rPr>
        <w:t>Uno de los postulados más importantes de un Estado social y democrático de derecho es el principio de publicidad,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proofErr w:type="gramStart"/>
      <w:r w:rsidRPr="00A71531">
        <w:rPr>
          <w:rFonts w:ascii="Arial" w:eastAsia="Calibri" w:hAnsi="Arial" w:cs="Arial"/>
          <w:color w:val="000000" w:themeColor="text1"/>
          <w:sz w:val="20"/>
          <w:szCs w:val="20"/>
          <w:lang w:val="es-ES_tradnl"/>
        </w:rPr>
        <w:t>» .</w:t>
      </w:r>
      <w:proofErr w:type="gramEnd"/>
      <w:r w:rsidRPr="00A71531">
        <w:rPr>
          <w:rFonts w:ascii="Arial" w:eastAsia="Calibri" w:hAnsi="Arial" w:cs="Arial"/>
          <w:color w:val="000000" w:themeColor="text1"/>
          <w:sz w:val="20"/>
          <w:szCs w:val="20"/>
          <w:lang w:val="es-ES_tradn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2E5E6346" w14:textId="77777777" w:rsidR="00C02156" w:rsidRPr="00A71531" w:rsidRDefault="00C02156" w:rsidP="00C02156">
      <w:pPr>
        <w:jc w:val="both"/>
        <w:rPr>
          <w:rFonts w:ascii="Arial" w:eastAsia="Calibri" w:hAnsi="Arial" w:cs="Arial"/>
          <w:color w:val="000000" w:themeColor="text1"/>
          <w:sz w:val="20"/>
          <w:szCs w:val="20"/>
          <w:lang w:val="es-ES_tradnl"/>
        </w:rPr>
      </w:pPr>
    </w:p>
    <w:p w14:paraId="7613352A" w14:textId="77777777" w:rsidR="00C02156" w:rsidRPr="00C22EDD" w:rsidRDefault="00C02156" w:rsidP="00C02156">
      <w:pPr>
        <w:jc w:val="both"/>
        <w:rPr>
          <w:rFonts w:ascii="Arial" w:eastAsia="Calibri" w:hAnsi="Arial" w:cs="Arial"/>
          <w:color w:val="000000" w:themeColor="text1"/>
          <w:sz w:val="20"/>
          <w:szCs w:val="20"/>
          <w:lang w:val="es-ES_tradnl"/>
        </w:rPr>
      </w:pPr>
      <w:r w:rsidRPr="00A71531">
        <w:rPr>
          <w:rFonts w:ascii="Arial" w:eastAsia="Calibri" w:hAnsi="Arial" w:cs="Arial"/>
          <w:color w:val="000000" w:themeColor="text1"/>
          <w:sz w:val="20"/>
          <w:szCs w:val="20"/>
          <w:lang w:val="es-ES_tradnl"/>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w:t>
      </w:r>
      <w:r w:rsidRPr="00C22EDD">
        <w:rPr>
          <w:rFonts w:ascii="Arial" w:eastAsia="Calibri" w:hAnsi="Arial" w:cs="Arial"/>
          <w:color w:val="000000" w:themeColor="text1"/>
          <w:sz w:val="20"/>
          <w:szCs w:val="20"/>
          <w:lang w:val="es-ES_tradnl"/>
        </w:rPr>
        <w:t xml:space="preserve">. </w:t>
      </w:r>
    </w:p>
    <w:p w14:paraId="59EB8A10" w14:textId="77777777" w:rsidR="00C02156" w:rsidRPr="00C22EDD" w:rsidRDefault="00C02156" w:rsidP="00C02156">
      <w:pPr>
        <w:jc w:val="both"/>
        <w:rPr>
          <w:rFonts w:ascii="Arial" w:hAnsi="Arial" w:cs="Arial"/>
          <w:sz w:val="20"/>
          <w:szCs w:val="20"/>
          <w:lang w:val="es-ES_tradnl" w:eastAsia="es-ES"/>
        </w:rPr>
      </w:pPr>
    </w:p>
    <w:p w14:paraId="3C1C60C1" w14:textId="77777777" w:rsidR="00C02156" w:rsidRPr="00C22EDD" w:rsidRDefault="00C02156" w:rsidP="00C02156">
      <w:pPr>
        <w:jc w:val="both"/>
        <w:rPr>
          <w:rFonts w:ascii="Arial" w:hAnsi="Arial" w:cs="Arial"/>
          <w:b/>
          <w:sz w:val="22"/>
          <w:szCs w:val="22"/>
          <w:lang w:val="es-ES_tradnl" w:eastAsia="es-ES"/>
        </w:rPr>
      </w:pPr>
      <w:r w:rsidRPr="00C22EDD">
        <w:rPr>
          <w:rFonts w:ascii="Arial" w:hAnsi="Arial" w:cs="Arial"/>
          <w:b/>
          <w:sz w:val="22"/>
          <w:szCs w:val="22"/>
          <w:lang w:val="es-ES_tradnl" w:eastAsia="es-ES"/>
        </w:rPr>
        <w:t>SECOP – Entidades exceptuadas – Información oficial – Auto del 25 de febrero de 2021 – Efectos</w:t>
      </w:r>
    </w:p>
    <w:p w14:paraId="27B896E5" w14:textId="77777777" w:rsidR="00C02156" w:rsidRPr="00C22EDD" w:rsidRDefault="00C02156" w:rsidP="00C02156">
      <w:pPr>
        <w:jc w:val="both"/>
        <w:rPr>
          <w:rFonts w:ascii="Arial" w:hAnsi="Arial" w:cs="Arial"/>
          <w:sz w:val="20"/>
          <w:szCs w:val="20"/>
          <w:lang w:val="es-ES_tradnl" w:eastAsia="es-ES"/>
        </w:rPr>
      </w:pPr>
    </w:p>
    <w:p w14:paraId="6F818D4E" w14:textId="77777777" w:rsidR="00C02156" w:rsidRDefault="00C02156" w:rsidP="00C02156">
      <w:pPr>
        <w:jc w:val="both"/>
        <w:rPr>
          <w:rFonts w:ascii="Arial" w:hAnsi="Arial" w:cs="Arial"/>
          <w:color w:val="000000" w:themeColor="text1"/>
          <w:sz w:val="20"/>
          <w:szCs w:val="20"/>
          <w:lang w:val="es-ES_tradnl"/>
        </w:rPr>
      </w:pPr>
      <w:r w:rsidRPr="00C22EDD">
        <w:rPr>
          <w:rFonts w:ascii="Arial" w:hAnsi="Arial" w:cs="Arial"/>
          <w:color w:val="000000" w:themeColor="text1"/>
          <w:sz w:val="20"/>
          <w:szCs w:val="20"/>
          <w:lang w:val="es-ES_tradnl"/>
        </w:rPr>
        <w:t xml:space="preserve">[…] </w:t>
      </w:r>
      <w:r w:rsidRPr="00A71531">
        <w:rPr>
          <w:rFonts w:ascii="Arial" w:hAnsi="Arial" w:cs="Arial"/>
          <w:color w:val="000000" w:themeColor="text1"/>
          <w:sz w:val="20"/>
          <w:szCs w:val="20"/>
          <w:lang w:val="es-ES_tradnl"/>
        </w:rPr>
        <w:t xml:space="preserve">en el auto bajo análisis la Sección Tercera admite que a las entidades exceptuadas de la aplicación del Estatuto General de Contratación de la Administración Pública sí les resulta aplicable el deber de publicar la «información oficial de la contratación» en el SECOP, pero no de la manera como precisó el alcance de dicho mandato la Agencia Nacional de Contratación Pública – Colombia Compra Eficiente en las circulares </w:t>
      </w:r>
      <w:proofErr w:type="spellStart"/>
      <w:r w:rsidRPr="00A71531">
        <w:rPr>
          <w:rFonts w:ascii="Arial" w:hAnsi="Arial" w:cs="Arial"/>
          <w:color w:val="000000" w:themeColor="text1"/>
          <w:sz w:val="20"/>
          <w:szCs w:val="20"/>
          <w:lang w:val="es-ES_tradnl"/>
        </w:rPr>
        <w:t>Nº</w:t>
      </w:r>
      <w:proofErr w:type="spellEnd"/>
      <w:r w:rsidRPr="00A71531">
        <w:rPr>
          <w:rFonts w:ascii="Arial" w:hAnsi="Arial" w:cs="Arial"/>
          <w:color w:val="000000" w:themeColor="text1"/>
          <w:sz w:val="20"/>
          <w:szCs w:val="20"/>
          <w:lang w:val="es-ES_tradnl"/>
        </w:rPr>
        <w:t xml:space="preserve">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 Para el Consejo de Estado, quien debe decir qué debe entenderse por la expresión «información oficial de la contratación» es el legislador o a lo sumo el gobierno nacional a través de un decreto reglamentario, no la Agencia mediante una circular.</w:t>
      </w:r>
    </w:p>
    <w:p w14:paraId="5816D96D" w14:textId="77777777" w:rsidR="00C02156" w:rsidRPr="00A71531" w:rsidRDefault="00C02156" w:rsidP="00C02156">
      <w:pPr>
        <w:jc w:val="both"/>
        <w:rPr>
          <w:rFonts w:ascii="Arial" w:hAnsi="Arial" w:cs="Arial"/>
          <w:color w:val="000000" w:themeColor="text1"/>
          <w:sz w:val="20"/>
          <w:szCs w:val="20"/>
          <w:lang w:val="es-ES_tradnl"/>
        </w:rPr>
      </w:pPr>
    </w:p>
    <w:p w14:paraId="7FA0209B" w14:textId="77777777" w:rsidR="00C02156" w:rsidRPr="00C22EDD" w:rsidRDefault="00C02156" w:rsidP="00C02156">
      <w:pPr>
        <w:jc w:val="both"/>
        <w:rPr>
          <w:rFonts w:ascii="Arial" w:hAnsi="Arial" w:cs="Arial"/>
          <w:sz w:val="20"/>
          <w:szCs w:val="20"/>
          <w:lang w:val="es-ES_tradnl" w:eastAsia="es-ES"/>
        </w:rPr>
      </w:pPr>
      <w:r w:rsidRPr="00A71531">
        <w:rPr>
          <w:rFonts w:ascii="Arial" w:hAnsi="Arial" w:cs="Arial"/>
          <w:color w:val="000000" w:themeColor="text1"/>
          <w:sz w:val="20"/>
          <w:szCs w:val="20"/>
          <w:lang w:val="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«No hay duda de que el literal c) del artículo 3o pertenece a este grupo de normas. Expresamente establece que ese aparte del artículo se aplica a la “contratación realizada con dineros públicos”. Para su aplicación resulta irrelevante el régimen contractual del contrato. La publicación de la información oficial de la contratación debe realizarse si los negocios jurídicos adelantados fueron financiados con recursos públicos»</w:t>
      </w:r>
      <w:r>
        <w:rPr>
          <w:rFonts w:ascii="Arial" w:hAnsi="Arial" w:cs="Arial"/>
          <w:color w:val="000000" w:themeColor="text1"/>
          <w:sz w:val="20"/>
          <w:szCs w:val="20"/>
          <w:lang w:val="es-ES_tradnl"/>
        </w:rPr>
        <w:t>.</w:t>
      </w:r>
    </w:p>
    <w:p w14:paraId="3D0FDDBC" w14:textId="77777777" w:rsidR="00C02156" w:rsidRPr="00C22EDD" w:rsidRDefault="00C02156" w:rsidP="00C02156">
      <w:pPr>
        <w:jc w:val="both"/>
        <w:rPr>
          <w:rFonts w:ascii="Arial" w:hAnsi="Arial" w:cs="Arial"/>
          <w:b/>
          <w:sz w:val="22"/>
          <w:szCs w:val="22"/>
          <w:lang w:val="es-ES_tradnl" w:eastAsia="es-ES"/>
        </w:rPr>
      </w:pPr>
      <w:r w:rsidRPr="00C22EDD">
        <w:rPr>
          <w:rFonts w:ascii="Arial" w:hAnsi="Arial" w:cs="Arial"/>
          <w:b/>
          <w:sz w:val="22"/>
          <w:szCs w:val="22"/>
          <w:lang w:val="es-ES_tradnl" w:eastAsia="es-ES"/>
        </w:rPr>
        <w:lastRenderedPageBreak/>
        <w:t>SECOP – Entidades exceptuadas – Publicidad – Documentos – Información oficial – Concepto CU-003</w:t>
      </w:r>
    </w:p>
    <w:p w14:paraId="24BA3FDA" w14:textId="77777777" w:rsidR="00C02156" w:rsidRPr="00C22EDD" w:rsidRDefault="00C02156" w:rsidP="00C02156">
      <w:pPr>
        <w:jc w:val="both"/>
        <w:rPr>
          <w:rFonts w:ascii="Arial" w:hAnsi="Arial" w:cs="Arial"/>
          <w:b/>
          <w:sz w:val="22"/>
          <w:szCs w:val="22"/>
          <w:lang w:val="es-ES_tradnl" w:eastAsia="es-ES"/>
        </w:rPr>
      </w:pPr>
    </w:p>
    <w:p w14:paraId="18305DC6" w14:textId="77777777" w:rsidR="00C02156" w:rsidRPr="00C22EDD" w:rsidRDefault="00C02156" w:rsidP="00C02156">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xml:space="preserve">[…] la Ley 1712 de 2014 –«Por medio de la cual se crea la Ley de Transparencia y del Derecho de Acceso a la Información Pública Nacional y se dictan otras disposiciones»–, señala en el artículo 11, literal g), que todo </w:t>
      </w:r>
      <w:r w:rsidRPr="00C22EDD">
        <w:rPr>
          <w:rFonts w:ascii="Arial" w:eastAsia="Calibri" w:hAnsi="Arial" w:cs="Arial"/>
          <w:i/>
          <w:iCs/>
          <w:color w:val="000000" w:themeColor="text1"/>
          <w:sz w:val="20"/>
          <w:szCs w:val="20"/>
          <w:lang w:val="es-ES_tradnl"/>
        </w:rPr>
        <w:t>sujeto obligado</w:t>
      </w:r>
      <w:r w:rsidRPr="00C22EDD">
        <w:rPr>
          <w:rFonts w:ascii="Arial" w:eastAsia="Calibri" w:hAnsi="Arial" w:cs="Arial"/>
          <w:color w:val="000000" w:themeColor="text1"/>
          <w:sz w:val="20"/>
          <w:szCs w:val="20"/>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128A24AA" w14:textId="77777777" w:rsidR="00C02156" w:rsidRPr="00C22EDD" w:rsidRDefault="00C02156" w:rsidP="00C02156">
      <w:pPr>
        <w:jc w:val="both"/>
        <w:rPr>
          <w:rFonts w:ascii="Arial" w:eastAsia="Calibri" w:hAnsi="Arial" w:cs="Arial"/>
          <w:color w:val="000000" w:themeColor="text1"/>
          <w:sz w:val="20"/>
          <w:szCs w:val="20"/>
          <w:lang w:val="es-ES_tradnl"/>
        </w:rPr>
      </w:pPr>
    </w:p>
    <w:p w14:paraId="58AD35EB" w14:textId="77777777" w:rsidR="00C02156" w:rsidRPr="00C22EDD" w:rsidRDefault="00C02156" w:rsidP="00C02156">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 Finalmente, el artículo 10 del Decreto 103 de 2015 –</w:t>
      </w:r>
      <w:r w:rsidRPr="00C22EDD">
        <w:rPr>
          <w:rFonts w:ascii="Arial" w:hAnsi="Arial" w:cs="Arial"/>
          <w:sz w:val="20"/>
          <w:szCs w:val="20"/>
          <w:lang w:val="es-ES_tradnl"/>
        </w:rPr>
        <w:t xml:space="preserve">artículo </w:t>
      </w:r>
      <w:r w:rsidRPr="00C22EDD">
        <w:rPr>
          <w:rFonts w:ascii="Arial" w:eastAsia="Calibri" w:hAnsi="Arial" w:cs="Arial"/>
          <w:color w:val="000000" w:themeColor="text1"/>
          <w:sz w:val="20"/>
          <w:szCs w:val="20"/>
          <w:lang w:val="es-ES_tradnl"/>
        </w:rPr>
        <w:t>2.1.1.2.1.10. del Decreto 1081 de 2015– consagra la obligación que tienen las entidades estatales de publicar en el SECOP el Plan Anual de Adquisiciones.</w:t>
      </w:r>
    </w:p>
    <w:p w14:paraId="07FA6000" w14:textId="77777777" w:rsidR="00C02156" w:rsidRPr="00C22EDD" w:rsidRDefault="00C02156" w:rsidP="00C02156">
      <w:pPr>
        <w:jc w:val="both"/>
        <w:rPr>
          <w:rFonts w:ascii="Arial" w:hAnsi="Arial" w:cs="Arial"/>
          <w:sz w:val="20"/>
          <w:szCs w:val="20"/>
          <w:lang w:val="es-ES_tradnl" w:eastAsia="es-ES"/>
        </w:rPr>
      </w:pPr>
    </w:p>
    <w:p w14:paraId="2B419B7F" w14:textId="77777777" w:rsidR="00C02156" w:rsidRPr="00C22EDD" w:rsidRDefault="00C02156" w:rsidP="00C02156">
      <w:pPr>
        <w:jc w:val="both"/>
        <w:rPr>
          <w:rFonts w:ascii="Arial" w:hAnsi="Arial" w:cs="Arial"/>
          <w:b/>
          <w:sz w:val="22"/>
          <w:szCs w:val="22"/>
          <w:lang w:val="es-ES_tradnl" w:eastAsia="es-ES"/>
        </w:rPr>
      </w:pPr>
      <w:r w:rsidRPr="00C22EDD">
        <w:rPr>
          <w:rFonts w:ascii="Arial" w:hAnsi="Arial" w:cs="Arial"/>
          <w:b/>
          <w:sz w:val="22"/>
          <w:szCs w:val="22"/>
          <w:lang w:val="es-ES_tradnl" w:eastAsia="es-ES"/>
        </w:rPr>
        <w:t>SECOP – Auto del 25 de febrero de 2021 – Publicidad – Mandato vigente</w:t>
      </w:r>
    </w:p>
    <w:p w14:paraId="0EF71328" w14:textId="77777777" w:rsidR="00C02156" w:rsidRPr="00C22EDD" w:rsidRDefault="00C02156" w:rsidP="00C02156">
      <w:pPr>
        <w:jc w:val="both"/>
        <w:rPr>
          <w:rFonts w:ascii="Arial" w:hAnsi="Arial" w:cs="Arial"/>
          <w:sz w:val="20"/>
          <w:szCs w:val="20"/>
          <w:lang w:val="es-ES_tradnl" w:eastAsia="es-ES"/>
        </w:rPr>
      </w:pPr>
    </w:p>
    <w:p w14:paraId="37A6ABF7" w14:textId="77777777" w:rsidR="00C02156" w:rsidRDefault="00C02156" w:rsidP="00C02156">
      <w:pPr>
        <w:jc w:val="both"/>
        <w:rPr>
          <w:rFonts w:ascii="Arial" w:hAnsi="Arial" w:cs="Arial"/>
          <w:color w:val="000000" w:themeColor="text1"/>
          <w:sz w:val="20"/>
          <w:szCs w:val="20"/>
          <w:lang w:val="es-ES_tradnl"/>
        </w:rPr>
      </w:pPr>
      <w:r w:rsidRPr="00DE4D2A">
        <w:rPr>
          <w:rFonts w:ascii="Arial" w:hAnsi="Arial" w:cs="Arial"/>
          <w:color w:val="000000" w:themeColor="text1"/>
          <w:sz w:val="20"/>
          <w:szCs w:val="20"/>
          <w:lang w:val="es-ES_tradnl" w:eastAsia="es-CO"/>
        </w:rPr>
        <w:t>[…]</w:t>
      </w:r>
      <w:r>
        <w:rPr>
          <w:rFonts w:ascii="Arial" w:hAnsi="Arial" w:cs="Arial"/>
          <w:color w:val="000000" w:themeColor="text1"/>
          <w:sz w:val="20"/>
          <w:szCs w:val="20"/>
          <w:lang w:val="es-ES_tradnl" w:eastAsia="es-CO"/>
        </w:rPr>
        <w:t xml:space="preserve"> </w:t>
      </w:r>
      <w:r w:rsidRPr="004353C9">
        <w:rPr>
          <w:rFonts w:ascii="Arial" w:hAnsi="Arial" w:cs="Arial"/>
          <w:color w:val="000000" w:themeColor="text1"/>
          <w:sz w:val="20"/>
          <w:szCs w:val="20"/>
          <w:lang w:val="es-ES_tradnl" w:eastAsia="es-CO"/>
        </w:rPr>
        <w:t xml:space="preserve">No </w:t>
      </w:r>
      <w:r w:rsidRPr="00D66932">
        <w:rPr>
          <w:rFonts w:ascii="Arial" w:hAnsi="Arial" w:cs="Arial"/>
          <w:color w:val="000000" w:themeColor="text1"/>
          <w:sz w:val="20"/>
          <w:szCs w:val="20"/>
          <w:lang w:val="es-ES_tradnl"/>
        </w:rPr>
        <w:t xml:space="preserve">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precisamente dicho auto indica que 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w:t>
      </w:r>
      <w:r w:rsidRPr="00D66932">
        <w:rPr>
          <w:rFonts w:ascii="Arial" w:hAnsi="Arial" w:cs="Arial"/>
          <w:i/>
          <w:iCs/>
          <w:color w:val="000000" w:themeColor="text1"/>
          <w:sz w:val="20"/>
          <w:szCs w:val="20"/>
          <w:lang w:val="es-ES_tradnl"/>
        </w:rPr>
        <w:t>sujetos obligados</w:t>
      </w:r>
      <w:r w:rsidRPr="00D66932">
        <w:rPr>
          <w:rFonts w:ascii="Arial" w:hAnsi="Arial" w:cs="Arial"/>
          <w:color w:val="000000" w:themeColor="text1"/>
          <w:sz w:val="20"/>
          <w:szCs w:val="20"/>
          <w:lang w:val="es-ES_tradnl"/>
        </w:rPr>
        <w:t xml:space="preserve"> a garantizar el derecho de acceso a la información y a los documentos públicos, deben publicar en el SECOP los documentos a los que se refiere el literal e), del artículo 9 y el </w:t>
      </w:r>
      <w:r w:rsidRPr="00D66932">
        <w:rPr>
          <w:rFonts w:ascii="Arial" w:eastAsia="Calibri" w:hAnsi="Arial" w:cs="Arial"/>
          <w:color w:val="000000" w:themeColor="text1"/>
          <w:sz w:val="20"/>
          <w:szCs w:val="20"/>
          <w:lang w:val="es-ES_tradnl"/>
        </w:rPr>
        <w:t>literal g), del artículo 11, de la Ley 1712 de 2014, como los artículos 7 al 10 del Decreto 103 de 2015 –compilado en los artículos 2.1.1.1.1. al 2.1.1.6.1. del Decreto 1081 de 2015–</w:t>
      </w:r>
      <w:r w:rsidRPr="00D66932">
        <w:rPr>
          <w:rFonts w:ascii="Arial" w:hAnsi="Arial" w:cs="Arial"/>
          <w:color w:val="000000" w:themeColor="text1"/>
          <w:sz w:val="20"/>
          <w:szCs w:val="20"/>
          <w:lang w:val="es-ES_tradnl"/>
        </w:rPr>
        <w:t xml:space="preserve">. Cuarto, porque, el auto del 25 de febrero de 2021 no suspende todo el contenido de las </w:t>
      </w:r>
      <w:r w:rsidRPr="00D66932">
        <w:rPr>
          <w:rFonts w:ascii="Arial" w:hAnsi="Arial" w:cs="Arial"/>
          <w:sz w:val="20"/>
          <w:szCs w:val="20"/>
          <w:lang w:val="es-ES_tradnl"/>
        </w:rPr>
        <w:t xml:space="preserve">circulares </w:t>
      </w:r>
      <w:r w:rsidRPr="00D66932">
        <w:rPr>
          <w:rFonts w:ascii="Arial" w:eastAsia="Arial" w:hAnsi="Arial" w:cs="Arial"/>
          <w:sz w:val="20"/>
          <w:szCs w:val="20"/>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D66932">
        <w:rPr>
          <w:rFonts w:ascii="Arial" w:hAnsi="Arial" w:cs="Arial"/>
          <w:bCs/>
          <w:color w:val="000000" w:themeColor="text1"/>
          <w:sz w:val="20"/>
          <w:szCs w:val="20"/>
          <w:lang w:val="es-ES_tradnl"/>
        </w:rPr>
        <w:t>No. 23 del 16 de marzo de 2017 y No. 007 de 2020, así como de la Circular Externa Única –actualizada el 16 de abril de 2019–, las cuales se encuentran vigentes.</w:t>
      </w:r>
      <w:r w:rsidRPr="00D66932">
        <w:rPr>
          <w:rFonts w:ascii="Arial" w:hAnsi="Arial" w:cs="Arial"/>
          <w:color w:val="000000" w:themeColor="text1"/>
          <w:sz w:val="20"/>
          <w:szCs w:val="20"/>
          <w:lang w:val="es-ES_tradnl"/>
        </w:rPr>
        <w:t xml:space="preserve"> </w:t>
      </w:r>
    </w:p>
    <w:p w14:paraId="101FF2AF" w14:textId="77777777" w:rsidR="00C02156" w:rsidRDefault="00C02156" w:rsidP="00C02156">
      <w:pPr>
        <w:jc w:val="both"/>
        <w:rPr>
          <w:rFonts w:ascii="Arial" w:hAnsi="Arial" w:cs="Arial"/>
          <w:color w:val="000000" w:themeColor="text1"/>
          <w:sz w:val="20"/>
          <w:szCs w:val="20"/>
          <w:lang w:val="es-ES_tradnl"/>
        </w:rPr>
      </w:pPr>
    </w:p>
    <w:p w14:paraId="34ADCFC8" w14:textId="77777777" w:rsidR="00C02156" w:rsidRPr="00B6306F" w:rsidRDefault="00C02156" w:rsidP="00C02156">
      <w:pPr>
        <w:jc w:val="both"/>
        <w:rPr>
          <w:rFonts w:ascii="Arial" w:eastAsia="Calibri" w:hAnsi="Arial" w:cs="Arial"/>
          <w:b/>
          <w:bCs/>
          <w:color w:val="000000" w:themeColor="text1"/>
          <w:sz w:val="22"/>
        </w:rPr>
      </w:pPr>
      <w:r w:rsidRPr="0091437B">
        <w:rPr>
          <w:rFonts w:ascii="Arial" w:eastAsia="Calibri" w:hAnsi="Arial" w:cs="Arial"/>
          <w:b/>
          <w:bCs/>
          <w:color w:val="1A1A1A" w:themeColor="background1" w:themeShade="1A"/>
          <w:sz w:val="22"/>
        </w:rPr>
        <w:t>EMPRESAS DE SERVICIOS PÚBLICOS – Naturaleza jurídica especial</w:t>
      </w:r>
      <w:r>
        <w:rPr>
          <w:rFonts w:ascii="Arial" w:eastAsia="Calibri" w:hAnsi="Arial" w:cs="Arial"/>
          <w:b/>
          <w:bCs/>
          <w:color w:val="1A1A1A" w:themeColor="background1" w:themeShade="1A"/>
          <w:sz w:val="22"/>
        </w:rPr>
        <w:t xml:space="preserve"> </w:t>
      </w:r>
      <w:r w:rsidRPr="0091437B">
        <w:rPr>
          <w:rFonts w:ascii="Arial" w:eastAsia="Calibri" w:hAnsi="Arial" w:cs="Arial"/>
          <w:b/>
          <w:bCs/>
          <w:color w:val="1A1A1A" w:themeColor="background1" w:themeShade="1A"/>
          <w:sz w:val="22"/>
        </w:rPr>
        <w:t>–</w:t>
      </w:r>
      <w:r>
        <w:rPr>
          <w:rFonts w:ascii="Arial" w:eastAsia="Calibri" w:hAnsi="Arial" w:cs="Arial"/>
          <w:b/>
          <w:bCs/>
          <w:color w:val="1A1A1A" w:themeColor="background1" w:themeShade="1A"/>
          <w:sz w:val="22"/>
        </w:rPr>
        <w:t xml:space="preserve"> Régimen contractual </w:t>
      </w:r>
    </w:p>
    <w:p w14:paraId="0B090BF1" w14:textId="77777777" w:rsidR="00C02156" w:rsidRPr="0091437B" w:rsidRDefault="00C02156" w:rsidP="00C02156">
      <w:pPr>
        <w:jc w:val="both"/>
        <w:rPr>
          <w:rFonts w:ascii="Arial" w:eastAsia="Calibri" w:hAnsi="Arial" w:cs="Arial"/>
          <w:b/>
          <w:bCs/>
          <w:color w:val="1A1A1A" w:themeColor="background1" w:themeShade="1A"/>
          <w:sz w:val="22"/>
        </w:rPr>
      </w:pPr>
    </w:p>
    <w:p w14:paraId="751BDFAF" w14:textId="77777777" w:rsidR="00C02156" w:rsidRPr="0091437B" w:rsidRDefault="00C02156" w:rsidP="00C02156">
      <w:pPr>
        <w:jc w:val="both"/>
        <w:rPr>
          <w:rFonts w:ascii="Arial" w:eastAsia="Calibri" w:hAnsi="Arial" w:cs="Arial"/>
          <w:b/>
          <w:color w:val="1A1A1A" w:themeColor="background1" w:themeShade="1A"/>
          <w:sz w:val="20"/>
          <w:szCs w:val="20"/>
        </w:rPr>
      </w:pPr>
    </w:p>
    <w:p w14:paraId="4961332F" w14:textId="77777777" w:rsidR="00C02156" w:rsidRDefault="00C02156" w:rsidP="00C02156">
      <w:pPr>
        <w:jc w:val="both"/>
        <w:rPr>
          <w:rFonts w:ascii="Arial" w:hAnsi="Arial" w:cs="Arial"/>
          <w:color w:val="1A1A1A" w:themeColor="background1" w:themeShade="1A"/>
          <w:sz w:val="20"/>
          <w:szCs w:val="20"/>
        </w:rPr>
      </w:pPr>
      <w:r w:rsidRPr="00401C7E">
        <w:rPr>
          <w:rFonts w:ascii="Arial" w:hAnsi="Arial" w:cs="Arial"/>
          <w:color w:val="1A1A1A" w:themeColor="background1" w:themeShade="1A"/>
          <w:sz w:val="20"/>
          <w:szCs w:val="20"/>
        </w:rPr>
        <w:lastRenderedPageBreak/>
        <w:t xml:space="preserve">Así las cosas, las empresas de servicios públicos tienen una naturaleza jurídica especial que viene dada directamente por el artículo 356 de la Constitución Política, y el hecho de que su composición accionaria pueda estar compartida por recursos públicos y privados no las convierte en sociedades de economía mixta, pues las empresas en cuestión 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30F58098" w14:textId="77777777" w:rsidR="00C02156" w:rsidRPr="00401C7E" w:rsidRDefault="00C02156" w:rsidP="00C02156">
      <w:pPr>
        <w:jc w:val="both"/>
        <w:rPr>
          <w:rFonts w:ascii="Arial" w:hAnsi="Arial" w:cs="Arial"/>
          <w:color w:val="1A1A1A" w:themeColor="background1" w:themeShade="1A"/>
          <w:sz w:val="20"/>
          <w:szCs w:val="20"/>
        </w:rPr>
      </w:pPr>
    </w:p>
    <w:p w14:paraId="55531DFC" w14:textId="77777777" w:rsidR="00C02156" w:rsidRDefault="00C02156" w:rsidP="00C02156">
      <w:pPr>
        <w:jc w:val="both"/>
        <w:rPr>
          <w:rFonts w:ascii="Arial" w:hAnsi="Arial" w:cs="Arial"/>
          <w:color w:val="1A1A1A" w:themeColor="background1" w:themeShade="1A"/>
          <w:sz w:val="20"/>
          <w:szCs w:val="20"/>
        </w:rPr>
      </w:pPr>
      <w:r w:rsidRPr="00401C7E">
        <w:rPr>
          <w:rFonts w:ascii="Arial" w:hAnsi="Arial" w:cs="Arial"/>
          <w:color w:val="1A1A1A" w:themeColor="background1" w:themeShade="1A"/>
          <w:sz w:val="20"/>
          <w:szCs w:val="20"/>
        </w:rPr>
        <w:t>En cuanto al régimen jurídico de contratación de las empresas de servicios públicos, el inciso primero del artículo 31 de la Ley 142 de 1994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De esta manera,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incluso para las oficiales y las mixtas, es el contenido en el derecho civil y comercial, esto es, por regla general no están sometidas a la Ley 80 de 1993. Sin embargo, como se analizó ut supra, eso no las exime del deber de publicar su actividad contractual, cuando ejecuten recursos públicos.</w:t>
      </w:r>
    </w:p>
    <w:p w14:paraId="70B2336C" w14:textId="77777777" w:rsidR="00C02156" w:rsidRDefault="00C02156" w:rsidP="00C02156">
      <w:pPr>
        <w:jc w:val="both"/>
        <w:rPr>
          <w:rFonts w:ascii="Arial" w:hAnsi="Arial" w:cs="Arial"/>
          <w:color w:val="000000" w:themeColor="text1"/>
          <w:sz w:val="20"/>
          <w:szCs w:val="20"/>
          <w:lang w:val="es-ES_tradnl"/>
        </w:rPr>
      </w:pPr>
    </w:p>
    <w:p w14:paraId="7F6B9F21" w14:textId="77777777" w:rsidR="00C02156" w:rsidRPr="00B6306F" w:rsidRDefault="00C02156" w:rsidP="00C02156">
      <w:pPr>
        <w:jc w:val="both"/>
        <w:rPr>
          <w:rFonts w:ascii="Arial" w:eastAsia="Calibri" w:hAnsi="Arial" w:cs="Arial"/>
          <w:b/>
          <w:bCs/>
          <w:color w:val="000000" w:themeColor="text1"/>
          <w:sz w:val="22"/>
        </w:rPr>
      </w:pPr>
      <w:r w:rsidRPr="2B0DD062">
        <w:rPr>
          <w:rFonts w:ascii="Arial" w:eastAsia="Calibri" w:hAnsi="Arial" w:cs="Arial"/>
          <w:b/>
          <w:bCs/>
          <w:color w:val="000000" w:themeColor="text1"/>
          <w:sz w:val="22"/>
        </w:rPr>
        <w:t xml:space="preserve">SECOP II – </w:t>
      </w:r>
      <w:r>
        <w:rPr>
          <w:rFonts w:ascii="Arial" w:eastAsia="Calibri" w:hAnsi="Arial" w:cs="Arial"/>
          <w:b/>
          <w:bCs/>
          <w:color w:val="000000" w:themeColor="text1"/>
          <w:sz w:val="22"/>
        </w:rPr>
        <w:t xml:space="preserve">Deber de publicidad </w:t>
      </w:r>
      <w:r w:rsidRPr="2B0DD062">
        <w:rPr>
          <w:rFonts w:ascii="Arial" w:eastAsia="Calibri" w:hAnsi="Arial" w:cs="Arial"/>
          <w:b/>
          <w:bCs/>
          <w:color w:val="000000" w:themeColor="text1"/>
          <w:sz w:val="22"/>
        </w:rPr>
        <w:t>– Alcance</w:t>
      </w:r>
    </w:p>
    <w:p w14:paraId="5EC4C094" w14:textId="77777777" w:rsidR="00C02156" w:rsidRPr="00A5491D" w:rsidRDefault="00C02156" w:rsidP="00C02156">
      <w:pPr>
        <w:jc w:val="both"/>
        <w:rPr>
          <w:rFonts w:ascii="Arial" w:hAnsi="Arial" w:cs="Arial"/>
          <w:color w:val="000000" w:themeColor="text1"/>
          <w:sz w:val="22"/>
        </w:rPr>
      </w:pPr>
    </w:p>
    <w:p w14:paraId="3D1CD6E4" w14:textId="77777777" w:rsidR="00C02156" w:rsidRDefault="00C02156" w:rsidP="00C02156">
      <w:pPr>
        <w:jc w:val="both"/>
        <w:rPr>
          <w:rFonts w:ascii="Arial" w:eastAsia="Calibri" w:hAnsi="Arial" w:cs="Arial"/>
          <w:color w:val="000000" w:themeColor="text1"/>
          <w:sz w:val="20"/>
          <w:szCs w:val="20"/>
        </w:rPr>
      </w:pPr>
      <w:r w:rsidRPr="147ED689">
        <w:rPr>
          <w:rFonts w:ascii="Arial" w:eastAsia="Calibri" w:hAnsi="Arial" w:cs="Arial"/>
          <w:color w:val="000000" w:themeColor="text1"/>
          <w:sz w:val="20"/>
          <w:szCs w:val="20"/>
        </w:rPr>
        <w:t xml:space="preserve">[…] </w:t>
      </w:r>
      <w:r w:rsidRPr="00401C7E">
        <w:rPr>
          <w:rFonts w:ascii="Arial" w:eastAsia="Calibri" w:hAnsi="Arial" w:cs="Arial"/>
          <w:color w:val="000000" w:themeColor="text1"/>
          <w:sz w:val="20"/>
          <w:szCs w:val="20"/>
        </w:rPr>
        <w:t>el hecho de que todas las entidades públicas, sin importar su naturaleza jurídica o régimen de contratación, deban publicar los procesos contractuales en los que ejecutan recursos públicos, no se deriva que siempre tengan que hacerlo en el SECOP II, ya que al uso obligatorio de esta plataforma está vinculado a las entidades referidas por la Agencia en las Circulares Externas mencionadas.</w:t>
      </w:r>
    </w:p>
    <w:p w14:paraId="166CBC9A" w14:textId="77777777" w:rsidR="00C02156" w:rsidRDefault="00C02156" w:rsidP="00C02156">
      <w:pPr>
        <w:jc w:val="both"/>
        <w:rPr>
          <w:rFonts w:ascii="Arial" w:eastAsia="Calibri" w:hAnsi="Arial" w:cs="Arial"/>
          <w:color w:val="000000" w:themeColor="text1"/>
          <w:sz w:val="20"/>
          <w:szCs w:val="20"/>
        </w:rPr>
      </w:pPr>
    </w:p>
    <w:p w14:paraId="648C1644" w14:textId="77777777" w:rsidR="00C02156" w:rsidRDefault="00C02156" w:rsidP="00C02156">
      <w:pPr>
        <w:jc w:val="both"/>
        <w:rPr>
          <w:rFonts w:ascii="Arial" w:eastAsia="Calibri" w:hAnsi="Arial" w:cs="Arial"/>
          <w:b/>
          <w:bCs/>
          <w:color w:val="000000" w:themeColor="text1"/>
          <w:sz w:val="22"/>
        </w:rPr>
      </w:pPr>
      <w:r w:rsidRPr="2B0DD062">
        <w:rPr>
          <w:rFonts w:ascii="Arial" w:eastAsia="Calibri" w:hAnsi="Arial" w:cs="Arial"/>
          <w:b/>
          <w:bCs/>
          <w:color w:val="000000" w:themeColor="text1"/>
          <w:sz w:val="22"/>
        </w:rPr>
        <w:t xml:space="preserve">SECOP </w:t>
      </w:r>
      <w:r>
        <w:rPr>
          <w:rFonts w:ascii="Arial" w:eastAsia="Calibri" w:hAnsi="Arial" w:cs="Arial"/>
          <w:b/>
          <w:bCs/>
          <w:color w:val="000000" w:themeColor="text1"/>
          <w:sz w:val="22"/>
        </w:rPr>
        <w:t xml:space="preserve">– EMPRESAS </w:t>
      </w:r>
      <w:r w:rsidRPr="004E6A98">
        <w:rPr>
          <w:rFonts w:ascii="Arial" w:eastAsia="Calibri" w:hAnsi="Arial" w:cs="Arial"/>
          <w:b/>
          <w:bCs/>
          <w:color w:val="000000" w:themeColor="text1"/>
          <w:sz w:val="22"/>
        </w:rPr>
        <w:t>PRESTADOR</w:t>
      </w:r>
      <w:r>
        <w:rPr>
          <w:rFonts w:ascii="Arial" w:eastAsia="Calibri" w:hAnsi="Arial" w:cs="Arial"/>
          <w:b/>
          <w:bCs/>
          <w:color w:val="000000" w:themeColor="text1"/>
          <w:sz w:val="22"/>
        </w:rPr>
        <w:t>A</w:t>
      </w:r>
      <w:r w:rsidRPr="004E6A98">
        <w:rPr>
          <w:rFonts w:ascii="Arial" w:eastAsia="Calibri" w:hAnsi="Arial" w:cs="Arial"/>
          <w:b/>
          <w:bCs/>
          <w:color w:val="000000" w:themeColor="text1"/>
          <w:sz w:val="22"/>
        </w:rPr>
        <w:t xml:space="preserve">S DE SERVICIOS PÚBLICOS DOMICILIARIOS </w:t>
      </w:r>
      <w:r w:rsidRPr="2B0DD062">
        <w:rPr>
          <w:rFonts w:ascii="Arial" w:eastAsia="Calibri" w:hAnsi="Arial" w:cs="Arial"/>
          <w:b/>
          <w:bCs/>
          <w:color w:val="000000" w:themeColor="text1"/>
          <w:sz w:val="22"/>
        </w:rPr>
        <w:t xml:space="preserve">– </w:t>
      </w:r>
      <w:r>
        <w:rPr>
          <w:rFonts w:ascii="Arial" w:eastAsia="Calibri" w:hAnsi="Arial" w:cs="Arial"/>
          <w:b/>
          <w:bCs/>
          <w:color w:val="000000" w:themeColor="text1"/>
          <w:sz w:val="22"/>
        </w:rPr>
        <w:t xml:space="preserve">Deber de publicidad </w:t>
      </w:r>
    </w:p>
    <w:p w14:paraId="6D3F22FD" w14:textId="77777777" w:rsidR="00C02156" w:rsidRDefault="00C02156" w:rsidP="00C02156">
      <w:pPr>
        <w:pStyle w:val="paragraph"/>
        <w:spacing w:before="0" w:beforeAutospacing="0" w:after="0" w:afterAutospacing="0"/>
        <w:ind w:right="45"/>
        <w:jc w:val="both"/>
        <w:textAlignment w:val="baseline"/>
        <w:rPr>
          <w:rFonts w:ascii="Arial" w:eastAsia="Calibri" w:hAnsi="Arial" w:cs="Arial"/>
          <w:color w:val="000000" w:themeColor="text1"/>
          <w:sz w:val="20"/>
          <w:szCs w:val="20"/>
          <w:lang w:eastAsia="es-ES_tradnl"/>
        </w:rPr>
      </w:pPr>
    </w:p>
    <w:p w14:paraId="2A2E4084" w14:textId="77777777" w:rsidR="00C02156" w:rsidRPr="00401C7E" w:rsidRDefault="00C02156" w:rsidP="00C02156">
      <w:pPr>
        <w:spacing w:after="120"/>
        <w:jc w:val="both"/>
        <w:rPr>
          <w:rFonts w:ascii="Arial" w:eastAsia="Calibri" w:hAnsi="Arial" w:cs="Arial"/>
          <w:color w:val="000000" w:themeColor="text1"/>
          <w:sz w:val="20"/>
          <w:szCs w:val="20"/>
        </w:rPr>
      </w:pPr>
      <w:r w:rsidRPr="00401C7E">
        <w:rPr>
          <w:rFonts w:ascii="Arial" w:eastAsia="Calibri" w:hAnsi="Arial" w:cs="Arial"/>
          <w:color w:val="000000" w:themeColor="text1"/>
          <w:sz w:val="20"/>
          <w:szCs w:val="20"/>
        </w:rPr>
        <w:t>las empresas prestadoras de servicios públicos domiciliarios no se encuentran incluidas en el Anexo 1 de la Circular No. 1 de 2019, ni en el Anexo de la Circular No. 1 de 2021, razón por la cual no están obligados a utilizar la plataforma SECOP II para gestionar y publicar en línea sus procesos de contratación. Es decir que, los procesos de contratación deben seguir gestionándose a través de SECOP I, con excepción de los procesos de contratación derivados de la aplicación del Decreto 092 de 2017.</w:t>
      </w:r>
    </w:p>
    <w:p w14:paraId="4B6DE47D" w14:textId="77777777" w:rsidR="00C02156" w:rsidRDefault="00C02156" w:rsidP="00C02156">
      <w:pPr>
        <w:spacing w:after="120"/>
        <w:jc w:val="both"/>
        <w:rPr>
          <w:rFonts w:ascii="Arial" w:eastAsia="Calibri" w:hAnsi="Arial" w:cs="Arial"/>
          <w:color w:val="000000" w:themeColor="text1"/>
          <w:sz w:val="20"/>
          <w:szCs w:val="20"/>
        </w:rPr>
      </w:pPr>
      <w:r w:rsidRPr="00401C7E">
        <w:rPr>
          <w:rFonts w:ascii="Arial" w:eastAsia="Calibri" w:hAnsi="Arial" w:cs="Arial"/>
          <w:color w:val="000000" w:themeColor="text1"/>
          <w:sz w:val="20"/>
          <w:szCs w:val="20"/>
        </w:rPr>
        <w:t>En todo caso, informamos que la Agencia Nacional de Contratación Pública – Colombia Compra Eficiente no ha establecido una fecha exacta a partir de la cual será obligatorio el uso del SECOP II para las entidades que no se encuentran incluidas en los Anexos de las Circulares No.1 de 2019 y 2021. Cuando se determine, la entidad informará con la suficiente anticipación a través los canales de comunicación oficiales, con el fin de coordinar los servicios de capacitación y acompañamiento correspondientes.</w:t>
      </w:r>
    </w:p>
    <w:p w14:paraId="51E375C3" w14:textId="77777777" w:rsidR="00C02156" w:rsidRDefault="00C02156" w:rsidP="00C02156">
      <w:pPr>
        <w:jc w:val="both"/>
        <w:rPr>
          <w:rFonts w:ascii="Arial" w:hAnsi="Arial" w:cs="Arial"/>
          <w:color w:val="000000" w:themeColor="text1"/>
          <w:sz w:val="20"/>
          <w:szCs w:val="20"/>
          <w:lang w:val="es-ES_tradnl" w:eastAsia="es-CO"/>
        </w:rPr>
      </w:pPr>
    </w:p>
    <w:p w14:paraId="1E299854" w14:textId="77777777" w:rsidR="00C02156" w:rsidRDefault="00C02156" w:rsidP="00C02156">
      <w:pPr>
        <w:jc w:val="both"/>
        <w:rPr>
          <w:rFonts w:ascii="Arial" w:hAnsi="Arial" w:cs="Arial"/>
          <w:color w:val="000000" w:themeColor="text1"/>
          <w:sz w:val="20"/>
          <w:szCs w:val="20"/>
          <w:lang w:val="es-ES_tradnl" w:eastAsia="es-CO"/>
        </w:rPr>
      </w:pPr>
    </w:p>
    <w:p w14:paraId="3CC583DD" w14:textId="77777777" w:rsidR="00C02156" w:rsidRDefault="00C02156" w:rsidP="00C02156">
      <w:pPr>
        <w:jc w:val="both"/>
        <w:rPr>
          <w:rFonts w:ascii="Arial" w:hAnsi="Arial" w:cs="Arial"/>
          <w:color w:val="000000" w:themeColor="text1"/>
          <w:sz w:val="20"/>
          <w:szCs w:val="20"/>
          <w:lang w:val="es-ES_tradnl" w:eastAsia="es-CO"/>
        </w:rPr>
      </w:pPr>
    </w:p>
    <w:p w14:paraId="00609BB7" w14:textId="77777777" w:rsidR="00C02156" w:rsidRDefault="00C02156" w:rsidP="00C02156">
      <w:pPr>
        <w:jc w:val="both"/>
        <w:rPr>
          <w:rFonts w:ascii="Arial" w:hAnsi="Arial" w:cs="Arial"/>
          <w:color w:val="000000" w:themeColor="text1"/>
          <w:sz w:val="20"/>
          <w:szCs w:val="20"/>
          <w:lang w:val="es-ES_tradnl" w:eastAsia="es-CO"/>
        </w:rPr>
      </w:pPr>
    </w:p>
    <w:p w14:paraId="15427A93" w14:textId="77777777" w:rsidR="00C02156" w:rsidRPr="00EF512B" w:rsidRDefault="00C02156" w:rsidP="00C02156">
      <w:pPr>
        <w:jc w:val="both"/>
        <w:rPr>
          <w:rFonts w:ascii="Arial" w:hAnsi="Arial" w:cs="Arial"/>
          <w:noProof/>
          <w:color w:val="000000" w:themeColor="text1"/>
          <w:sz w:val="22"/>
          <w:szCs w:val="22"/>
          <w:lang w:val="es-ES_tradnl"/>
        </w:rPr>
      </w:pPr>
    </w:p>
    <w:p w14:paraId="32650AA2" w14:textId="77777777" w:rsidR="00C02156" w:rsidRPr="002E060B" w:rsidRDefault="00C02156" w:rsidP="00C02156">
      <w:pPr>
        <w:jc w:val="both"/>
        <w:rPr>
          <w:rFonts w:ascii="Arial" w:hAnsi="Arial" w:cs="Arial"/>
          <w:color w:val="000000" w:themeColor="text1"/>
          <w:sz w:val="22"/>
          <w:szCs w:val="22"/>
          <w:lang w:val="es-ES_tradnl" w:eastAsia="es-CO"/>
        </w:rPr>
      </w:pPr>
    </w:p>
    <w:p w14:paraId="6955B7A8" w14:textId="77777777" w:rsidR="00C02156" w:rsidRPr="006F4713" w:rsidRDefault="00C02156" w:rsidP="00C02156">
      <w:pPr>
        <w:jc w:val="right"/>
      </w:pPr>
      <w:r>
        <w:rPr>
          <w:noProof/>
        </w:rPr>
        <w:lastRenderedPageBreak/>
        <w:drawing>
          <wp:inline distT="0" distB="0" distL="0" distR="0" wp14:anchorId="5015462F" wp14:editId="5B324D11">
            <wp:extent cx="2095500" cy="6953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95500" cy="695325"/>
                    </a:xfrm>
                    <a:prstGeom prst="rect">
                      <a:avLst/>
                    </a:prstGeom>
                  </pic:spPr>
                </pic:pic>
              </a:graphicData>
            </a:graphic>
          </wp:inline>
        </w:drawing>
      </w:r>
      <w:bookmarkStart w:id="3" w:name="_GoBack"/>
      <w:bookmarkEnd w:id="3"/>
      <w:r w:rsidRPr="006F4713">
        <w:fldChar w:fldCharType="begin"/>
      </w:r>
      <w:r>
        <w:instrText xml:space="preserve"> INCLUDEPICTURE "C:\\var\\folders\\5l\\v1rdjm0x1x9416lmbj7_vjt40000gn\\T\\com.microsoft.Word\\WebArchiveCopyPasteTempFiles\\page1image3851712" \* MERGEFORMAT </w:instrText>
      </w:r>
      <w:r w:rsidRPr="006F4713">
        <w:fldChar w:fldCharType="end"/>
      </w:r>
    </w:p>
    <w:p w14:paraId="18738D0A" w14:textId="77777777" w:rsidR="00C02156" w:rsidRPr="00DD2D97" w:rsidRDefault="00C02156" w:rsidP="00C02156">
      <w:pPr>
        <w:jc w:val="both"/>
        <w:rPr>
          <w:rFonts w:ascii="Arial" w:hAnsi="Arial" w:cs="Arial"/>
          <w:b/>
          <w:color w:val="000000" w:themeColor="text1"/>
          <w:sz w:val="22"/>
          <w:lang w:val="es-ES_tradnl"/>
        </w:rPr>
      </w:pPr>
    </w:p>
    <w:p w14:paraId="23F6666B" w14:textId="77777777" w:rsidR="00C02156" w:rsidRPr="00DD2D97" w:rsidRDefault="00C02156" w:rsidP="00C02156">
      <w:pPr>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Señor</w:t>
      </w:r>
    </w:p>
    <w:p w14:paraId="3EC3C9AC" w14:textId="77777777" w:rsidR="00C02156" w:rsidRDefault="00C02156" w:rsidP="00C02156">
      <w:pPr>
        <w:jc w:val="both"/>
        <w:rPr>
          <w:rFonts w:ascii="Arial" w:eastAsia="Calibri" w:hAnsi="Arial" w:cs="Arial"/>
          <w:b/>
          <w:color w:val="000000" w:themeColor="text1"/>
          <w:sz w:val="22"/>
          <w:lang w:val="es-ES_tradnl"/>
        </w:rPr>
      </w:pPr>
      <w:r w:rsidRPr="008077A1">
        <w:rPr>
          <w:rFonts w:ascii="Arial" w:eastAsia="Calibri" w:hAnsi="Arial" w:cs="Arial"/>
          <w:b/>
          <w:color w:val="000000" w:themeColor="text1"/>
          <w:sz w:val="22"/>
          <w:lang w:val="es-ES_tradnl"/>
        </w:rPr>
        <w:t>Juan Diego Bar</w:t>
      </w:r>
      <w:r>
        <w:rPr>
          <w:rFonts w:ascii="Arial" w:eastAsia="Calibri" w:hAnsi="Arial" w:cs="Arial"/>
          <w:b/>
          <w:color w:val="000000" w:themeColor="text1"/>
          <w:sz w:val="22"/>
          <w:lang w:val="es-ES_tradnl"/>
        </w:rPr>
        <w:t>ó</w:t>
      </w:r>
      <w:r w:rsidRPr="008077A1">
        <w:rPr>
          <w:rFonts w:ascii="Arial" w:eastAsia="Calibri" w:hAnsi="Arial" w:cs="Arial"/>
          <w:b/>
          <w:color w:val="000000" w:themeColor="text1"/>
          <w:sz w:val="22"/>
          <w:lang w:val="es-ES_tradnl"/>
        </w:rPr>
        <w:t>n Sierra</w:t>
      </w:r>
    </w:p>
    <w:p w14:paraId="781CAB2A" w14:textId="77777777" w:rsidR="00C02156" w:rsidRPr="008077A1" w:rsidRDefault="00C02156" w:rsidP="00C02156">
      <w:pPr>
        <w:jc w:val="both"/>
        <w:rPr>
          <w:rFonts w:ascii="Arial" w:eastAsia="Calibri" w:hAnsi="Arial" w:cs="Arial"/>
          <w:b/>
          <w:color w:val="000000" w:themeColor="text1"/>
          <w:sz w:val="22"/>
          <w:lang w:val="es-ES_tradnl"/>
        </w:rPr>
      </w:pPr>
      <w:r>
        <w:rPr>
          <w:rFonts w:ascii="Arial" w:eastAsia="Calibri" w:hAnsi="Arial" w:cs="Arial"/>
          <w:color w:val="000000" w:themeColor="text1"/>
          <w:sz w:val="22"/>
          <w:lang w:val="es-ES_tradnl"/>
        </w:rPr>
        <w:t>Bogotá D.C</w:t>
      </w:r>
    </w:p>
    <w:p w14:paraId="7EDF68BC" w14:textId="77777777" w:rsidR="00C02156" w:rsidRPr="00DD2D97" w:rsidRDefault="00C02156" w:rsidP="00C02156">
      <w:pPr>
        <w:jc w:val="both"/>
        <w:rPr>
          <w:rFonts w:ascii="Arial" w:eastAsia="Calibri" w:hAnsi="Arial" w:cs="Arial"/>
          <w:color w:val="000000" w:themeColor="text1"/>
          <w:sz w:val="22"/>
          <w:lang w:val="es-ES_tradnl"/>
        </w:rPr>
      </w:pPr>
    </w:p>
    <w:p w14:paraId="5BC1E583" w14:textId="77777777" w:rsidR="00C02156" w:rsidRPr="00DD2D97" w:rsidRDefault="00C02156" w:rsidP="00C02156">
      <w:pPr>
        <w:jc w:val="both"/>
        <w:rPr>
          <w:rFonts w:ascii="Arial" w:eastAsia="Calibri" w:hAnsi="Arial" w:cs="Arial"/>
          <w:color w:val="000000" w:themeColor="text1"/>
          <w:sz w:val="22"/>
          <w:lang w:val="es-ES_tradnl"/>
        </w:rPr>
      </w:pPr>
    </w:p>
    <w:p w14:paraId="388EBE1D" w14:textId="77777777" w:rsidR="00C02156" w:rsidRPr="00DD2D97" w:rsidRDefault="00C02156" w:rsidP="00C02156">
      <w:pPr>
        <w:jc w:val="center"/>
        <w:rPr>
          <w:rFonts w:ascii="Arial" w:eastAsia="Calibri" w:hAnsi="Arial" w:cs="Arial"/>
          <w:b/>
          <w:bCs/>
          <w:color w:val="000000" w:themeColor="text1"/>
          <w:sz w:val="22"/>
          <w:lang w:val="es-ES_tradnl"/>
        </w:rPr>
      </w:pPr>
      <w:r w:rsidRPr="0058385E">
        <w:rPr>
          <w:rFonts w:ascii="Arial" w:eastAsia="Calibri" w:hAnsi="Arial" w:cs="Arial"/>
          <w:b/>
          <w:bCs/>
          <w:color w:val="000000" w:themeColor="text1"/>
          <w:sz w:val="22"/>
          <w:lang w:val="es-ES_tradnl"/>
        </w:rPr>
        <w:t xml:space="preserve">Concepto C ‒ </w:t>
      </w:r>
      <w:r>
        <w:rPr>
          <w:rFonts w:ascii="Arial" w:eastAsia="Calibri" w:hAnsi="Arial" w:cs="Arial"/>
          <w:b/>
          <w:bCs/>
          <w:color w:val="000000" w:themeColor="text1"/>
          <w:sz w:val="22"/>
          <w:lang w:val="es-ES_tradnl"/>
        </w:rPr>
        <w:t>238</w:t>
      </w:r>
      <w:r w:rsidRPr="0058385E">
        <w:rPr>
          <w:rFonts w:ascii="Arial" w:eastAsia="Calibri" w:hAnsi="Arial" w:cs="Arial"/>
          <w:b/>
          <w:bCs/>
          <w:color w:val="000000" w:themeColor="text1"/>
          <w:sz w:val="22"/>
          <w:lang w:val="es-ES_tradnl"/>
        </w:rPr>
        <w:t xml:space="preserve"> de 2021</w:t>
      </w:r>
    </w:p>
    <w:p w14:paraId="57202B1C" w14:textId="77777777" w:rsidR="00C02156" w:rsidRPr="00DD2D97" w:rsidRDefault="00C02156" w:rsidP="00C02156">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02156" w:rsidRPr="00DD2D97" w14:paraId="6535E195" w14:textId="77777777" w:rsidTr="001A0879">
        <w:tc>
          <w:tcPr>
            <w:tcW w:w="2689" w:type="dxa"/>
          </w:tcPr>
          <w:p w14:paraId="0822C371" w14:textId="77777777" w:rsidR="00C02156" w:rsidRPr="00DD2D97" w:rsidRDefault="00C02156" w:rsidP="001A0879">
            <w:pPr>
              <w:jc w:val="both"/>
              <w:rPr>
                <w:rFonts w:ascii="Arial" w:eastAsia="Calibri" w:hAnsi="Arial" w:cs="Arial"/>
                <w:color w:val="000000" w:themeColor="text1"/>
                <w:sz w:val="22"/>
                <w:lang w:val="es-ES_tradnl"/>
              </w:rPr>
            </w:pPr>
            <w:r w:rsidRPr="00DD2D97">
              <w:rPr>
                <w:rFonts w:ascii="Arial" w:eastAsia="Calibri" w:hAnsi="Arial" w:cs="Arial"/>
                <w:b/>
                <w:color w:val="000000" w:themeColor="text1"/>
                <w:sz w:val="22"/>
                <w:lang w:val="es-ES_tradnl"/>
              </w:rPr>
              <w:t>Temas:</w:t>
            </w:r>
            <w:r w:rsidRPr="00DD2D97">
              <w:rPr>
                <w:rFonts w:ascii="Arial" w:eastAsia="Calibri" w:hAnsi="Arial" w:cs="Arial"/>
                <w:color w:val="000000" w:themeColor="text1"/>
                <w:sz w:val="22"/>
                <w:lang w:val="es-ES_tradnl"/>
              </w:rPr>
              <w:t xml:space="preserve">                                      </w:t>
            </w:r>
          </w:p>
        </w:tc>
        <w:tc>
          <w:tcPr>
            <w:tcW w:w="6237" w:type="dxa"/>
          </w:tcPr>
          <w:p w14:paraId="38B0799A" w14:textId="77777777" w:rsidR="00C02156" w:rsidRPr="004E6A98" w:rsidRDefault="00C02156" w:rsidP="001A0879">
            <w:pPr>
              <w:spacing w:after="120"/>
              <w:jc w:val="both"/>
              <w:rPr>
                <w:rFonts w:ascii="Arial" w:eastAsia="Calibri" w:hAnsi="Arial" w:cs="Arial"/>
                <w:color w:val="000000" w:themeColor="text1"/>
                <w:sz w:val="22"/>
              </w:rPr>
            </w:pPr>
            <w:r w:rsidRPr="004E6A98">
              <w:rPr>
                <w:rFonts w:ascii="Arial" w:eastAsia="Calibri" w:hAnsi="Arial" w:cs="Arial"/>
                <w:color w:val="000000" w:themeColor="text1"/>
                <w:sz w:val="22"/>
                <w:lang w:val="es-ES_tradnl"/>
              </w:rPr>
              <w:t xml:space="preserve">PRINCIPIO DE PUBLICIDAD – Democracia – Estado social de Derecho – Fundamento axiológico / SECOP – Entidades exceptuadas – Información oficial – Auto del 25 de febrero de 2021 – Efectos / SECOP – Entidades exceptuadas – Publicidad – Documentos – Información oficial – Concepto CU-003 / SECOP – Auto del 25 de febrero de 2021 – Publicidad – Mandato vigente / </w:t>
            </w:r>
            <w:r w:rsidRPr="004E6A98">
              <w:rPr>
                <w:rFonts w:ascii="Arial" w:eastAsia="Calibri" w:hAnsi="Arial" w:cs="Arial"/>
                <w:color w:val="1A1A1A" w:themeColor="background1" w:themeShade="1A"/>
                <w:sz w:val="22"/>
              </w:rPr>
              <w:t xml:space="preserve">EMPRESAS DE SERVICIOS PÚBLICOS – Naturaleza jurídica especial – Régimen contractual / </w:t>
            </w:r>
            <w:r w:rsidRPr="004E6A98">
              <w:rPr>
                <w:rFonts w:ascii="Arial" w:eastAsia="Calibri" w:hAnsi="Arial" w:cs="Arial"/>
                <w:color w:val="000000" w:themeColor="text1"/>
                <w:sz w:val="22"/>
              </w:rPr>
              <w:t xml:space="preserve">SECOP II – Deber de publicidad – Alcance / SECOP – EMPRESAS PRESTADORAS DE SERVICIOS PÚBLICOS DOMICILIARIOS – Deber de publicidad </w:t>
            </w:r>
          </w:p>
        </w:tc>
      </w:tr>
      <w:tr w:rsidR="00C02156" w:rsidRPr="00DD2D97" w14:paraId="0C4DAE49" w14:textId="77777777" w:rsidTr="001A0879">
        <w:tc>
          <w:tcPr>
            <w:tcW w:w="2689" w:type="dxa"/>
          </w:tcPr>
          <w:p w14:paraId="5F1C0CC2" w14:textId="77777777" w:rsidR="00C02156" w:rsidRPr="00DD2D97" w:rsidRDefault="00C02156" w:rsidP="001A0879">
            <w:pPr>
              <w:spacing w:before="12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Radicación:</w:t>
            </w:r>
            <w:r w:rsidRPr="00DD2D97">
              <w:rPr>
                <w:rFonts w:ascii="Arial" w:eastAsia="Calibri" w:hAnsi="Arial" w:cs="Arial"/>
                <w:color w:val="000000" w:themeColor="text1"/>
                <w:sz w:val="22"/>
                <w:lang w:val="es-ES_tradnl"/>
              </w:rPr>
              <w:t xml:space="preserve">                              </w:t>
            </w:r>
          </w:p>
        </w:tc>
        <w:tc>
          <w:tcPr>
            <w:tcW w:w="6237" w:type="dxa"/>
          </w:tcPr>
          <w:p w14:paraId="52226370" w14:textId="77777777" w:rsidR="00C02156" w:rsidRPr="00DD2D97" w:rsidRDefault="00C02156" w:rsidP="001A0879">
            <w:pPr>
              <w:spacing w:before="120"/>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Respuesta a consulta # </w:t>
            </w:r>
            <w:r w:rsidRPr="00C02156">
              <w:rPr>
                <w:rFonts w:ascii="Arial" w:eastAsia="Calibri" w:hAnsi="Arial" w:cs="Arial"/>
                <w:color w:val="000000" w:themeColor="text1"/>
                <w:sz w:val="22"/>
                <w:lang w:val="es-ES_tradnl"/>
              </w:rPr>
              <w:t>P20210415003069</w:t>
            </w:r>
          </w:p>
        </w:tc>
      </w:tr>
    </w:tbl>
    <w:p w14:paraId="1B23DDE5" w14:textId="77777777" w:rsidR="00C02156" w:rsidRDefault="00C02156" w:rsidP="00C02156">
      <w:pPr>
        <w:jc w:val="both"/>
        <w:rPr>
          <w:rFonts w:ascii="Arial" w:eastAsia="Calibri" w:hAnsi="Arial" w:cs="Arial"/>
          <w:color w:val="000000" w:themeColor="text1"/>
          <w:sz w:val="22"/>
          <w:lang w:val="es-ES_tradnl"/>
        </w:rPr>
      </w:pPr>
    </w:p>
    <w:p w14:paraId="4A045695" w14:textId="77777777" w:rsidR="00C02156" w:rsidRDefault="00C02156" w:rsidP="00C02156">
      <w:pPr>
        <w:jc w:val="both"/>
        <w:rPr>
          <w:rFonts w:ascii="Arial" w:eastAsia="Calibri" w:hAnsi="Arial" w:cs="Arial"/>
          <w:color w:val="000000" w:themeColor="text1"/>
          <w:sz w:val="22"/>
          <w:lang w:val="es-ES_tradnl"/>
        </w:rPr>
      </w:pPr>
    </w:p>
    <w:p w14:paraId="237A7B68" w14:textId="77777777" w:rsidR="00C02156" w:rsidRPr="00DD2D97" w:rsidRDefault="00C02156" w:rsidP="00C02156">
      <w:pPr>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Estimado señor </w:t>
      </w:r>
      <w:r>
        <w:rPr>
          <w:rFonts w:ascii="Arial" w:eastAsia="Calibri" w:hAnsi="Arial" w:cs="Arial"/>
          <w:color w:val="000000" w:themeColor="text1"/>
          <w:sz w:val="22"/>
          <w:lang w:val="es-ES_tradnl"/>
        </w:rPr>
        <w:t>Barón</w:t>
      </w:r>
      <w:r w:rsidRPr="00DD2D97">
        <w:rPr>
          <w:rFonts w:ascii="Arial" w:eastAsia="Calibri" w:hAnsi="Arial" w:cs="Arial"/>
          <w:color w:val="000000" w:themeColor="text1"/>
          <w:sz w:val="22"/>
          <w:lang w:val="es-ES_tradnl"/>
        </w:rPr>
        <w:t>:</w:t>
      </w:r>
    </w:p>
    <w:p w14:paraId="2CDD0020" w14:textId="77777777" w:rsidR="00C02156" w:rsidRPr="00DD2D97" w:rsidRDefault="00C02156" w:rsidP="00C02156">
      <w:pPr>
        <w:jc w:val="both"/>
        <w:rPr>
          <w:rFonts w:ascii="Arial" w:eastAsia="Calibri" w:hAnsi="Arial" w:cs="Arial"/>
          <w:color w:val="000000" w:themeColor="text1"/>
          <w:sz w:val="22"/>
          <w:lang w:val="es-ES_tradnl"/>
        </w:rPr>
      </w:pPr>
    </w:p>
    <w:p w14:paraId="355AA012" w14:textId="77777777" w:rsidR="00C02156" w:rsidRPr="00DD2D97" w:rsidRDefault="00C02156" w:rsidP="00C02156">
      <w:pPr>
        <w:spacing w:line="276" w:lineRule="auto"/>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color w:val="000000" w:themeColor="text1"/>
          <w:sz w:val="22"/>
          <w:lang w:val="es-ES_tradnl"/>
        </w:rPr>
        <w:t>6</w:t>
      </w:r>
      <w:r w:rsidRPr="00DD2D97">
        <w:rPr>
          <w:rFonts w:ascii="Arial" w:eastAsia="Calibri" w:hAnsi="Arial" w:cs="Arial"/>
          <w:color w:val="000000" w:themeColor="text1"/>
          <w:sz w:val="22"/>
          <w:lang w:val="es-ES_tradnl"/>
        </w:rPr>
        <w:t xml:space="preserve"> de </w:t>
      </w:r>
      <w:r>
        <w:rPr>
          <w:rFonts w:ascii="Arial" w:eastAsia="Calibri" w:hAnsi="Arial" w:cs="Arial"/>
          <w:color w:val="000000" w:themeColor="text1"/>
          <w:sz w:val="22"/>
          <w:lang w:val="es-ES_tradnl"/>
        </w:rPr>
        <w:t xml:space="preserve">abril </w:t>
      </w:r>
      <w:r w:rsidRPr="00DD2D97">
        <w:rPr>
          <w:rFonts w:ascii="Arial" w:eastAsia="Calibri" w:hAnsi="Arial" w:cs="Arial"/>
          <w:color w:val="000000" w:themeColor="text1"/>
          <w:sz w:val="22"/>
          <w:lang w:val="es-ES_tradnl"/>
        </w:rPr>
        <w:t>del 2021.</w:t>
      </w:r>
    </w:p>
    <w:p w14:paraId="70BBA136" w14:textId="77777777" w:rsidR="00C02156" w:rsidRPr="00DD2D97" w:rsidRDefault="00C02156" w:rsidP="00C02156">
      <w:pPr>
        <w:spacing w:line="276" w:lineRule="auto"/>
        <w:jc w:val="both"/>
        <w:rPr>
          <w:rFonts w:ascii="Arial" w:eastAsia="Calibri" w:hAnsi="Arial" w:cs="Arial"/>
          <w:b/>
          <w:color w:val="000000" w:themeColor="text1"/>
          <w:sz w:val="22"/>
          <w:lang w:val="es-ES_tradnl"/>
        </w:rPr>
      </w:pPr>
    </w:p>
    <w:p w14:paraId="69248A2D" w14:textId="77777777" w:rsidR="00C02156" w:rsidRPr="00DD2D97" w:rsidRDefault="00C02156" w:rsidP="00C02156">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 xml:space="preserve">Problema planteado </w:t>
      </w:r>
    </w:p>
    <w:p w14:paraId="39D5E067" w14:textId="77777777" w:rsidR="00C02156" w:rsidRPr="00DD2D97" w:rsidRDefault="00C02156" w:rsidP="00C02156">
      <w:pPr>
        <w:tabs>
          <w:tab w:val="left" w:pos="426"/>
        </w:tabs>
        <w:spacing w:line="276" w:lineRule="auto"/>
        <w:jc w:val="both"/>
        <w:rPr>
          <w:rFonts w:ascii="Arial" w:eastAsia="Calibri" w:hAnsi="Arial" w:cs="Arial"/>
          <w:b/>
          <w:color w:val="000000" w:themeColor="text1"/>
          <w:sz w:val="22"/>
          <w:lang w:val="es-ES_tradnl"/>
        </w:rPr>
      </w:pPr>
    </w:p>
    <w:p w14:paraId="5D0E9327" w14:textId="77777777" w:rsidR="00C02156" w:rsidRPr="00DD2D97" w:rsidRDefault="00C02156" w:rsidP="00C02156">
      <w:pPr>
        <w:spacing w:line="276" w:lineRule="auto"/>
        <w:jc w:val="both"/>
        <w:rPr>
          <w:rFonts w:ascii="Arial" w:hAnsi="Arial" w:cs="Arial"/>
          <w:color w:val="000000" w:themeColor="text1"/>
          <w:sz w:val="22"/>
          <w:lang w:val="es-ES_tradnl"/>
        </w:rPr>
      </w:pPr>
      <w:r w:rsidRPr="00DD2D97">
        <w:rPr>
          <w:rFonts w:ascii="Arial" w:hAnsi="Arial" w:cs="Arial"/>
          <w:color w:val="000000" w:themeColor="text1"/>
          <w:sz w:val="22"/>
          <w:lang w:val="es-ES_tradnl"/>
        </w:rPr>
        <w:t xml:space="preserve">Usted </w:t>
      </w:r>
      <w:r>
        <w:rPr>
          <w:rFonts w:ascii="Arial" w:hAnsi="Arial" w:cs="Arial"/>
          <w:color w:val="000000" w:themeColor="text1"/>
          <w:sz w:val="22"/>
          <w:lang w:val="es-ES_tradnl"/>
        </w:rPr>
        <w:t>realiza</w:t>
      </w:r>
      <w:r w:rsidRPr="00DD2D97">
        <w:rPr>
          <w:rFonts w:ascii="Arial" w:hAnsi="Arial" w:cs="Arial"/>
          <w:color w:val="000000" w:themeColor="text1"/>
          <w:sz w:val="22"/>
          <w:lang w:val="es-ES_tradnl"/>
        </w:rPr>
        <w:t xml:space="preserve"> la siguiente consulta: </w:t>
      </w:r>
    </w:p>
    <w:p w14:paraId="133020CD" w14:textId="77777777" w:rsidR="00C02156" w:rsidRPr="00DD2D97" w:rsidRDefault="00C02156" w:rsidP="00C02156">
      <w:pPr>
        <w:spacing w:line="276" w:lineRule="auto"/>
        <w:jc w:val="both"/>
        <w:rPr>
          <w:rFonts w:ascii="Arial" w:hAnsi="Arial" w:cs="Arial"/>
          <w:color w:val="000000" w:themeColor="text1"/>
          <w:sz w:val="22"/>
          <w:lang w:val="es-ES_tradnl"/>
        </w:rPr>
      </w:pPr>
    </w:p>
    <w:p w14:paraId="386725F3" w14:textId="77777777" w:rsidR="00C02156" w:rsidRDefault="00C02156" w:rsidP="00C02156">
      <w:pPr>
        <w:ind w:left="709" w:right="709"/>
        <w:jc w:val="both"/>
        <w:rPr>
          <w:rFonts w:ascii="Arial" w:hAnsi="Arial" w:cs="Arial"/>
          <w:color w:val="000000" w:themeColor="text1"/>
          <w:sz w:val="22"/>
          <w:lang w:val="es-ES_tradnl"/>
        </w:rPr>
      </w:pPr>
      <w:r>
        <w:rPr>
          <w:rFonts w:ascii="Arial" w:hAnsi="Arial" w:cs="Arial"/>
          <w:color w:val="000000" w:themeColor="text1"/>
          <w:sz w:val="21"/>
          <w:szCs w:val="21"/>
          <w:lang w:val="es-ES_tradnl"/>
        </w:rPr>
        <w:t>«</w:t>
      </w:r>
      <w:bookmarkStart w:id="4" w:name="_Hlk70359962"/>
      <w:r w:rsidRPr="007C32D7">
        <w:rPr>
          <w:rFonts w:ascii="Arial" w:hAnsi="Arial" w:cs="Arial"/>
          <w:color w:val="000000" w:themeColor="text1"/>
          <w:sz w:val="21"/>
          <w:szCs w:val="21"/>
          <w:lang w:val="es-ES_tradnl"/>
        </w:rPr>
        <w:t>Por medio del auto 11001032600029160000399 (56151), Feb 25/21 la Sección Tercera del Consejo de Estado dictó suspensión temporal de todas las expresiones "actividad contractual"  de las circulares externas 1 de 2013 y 20 del 2015 expedidas por Colombia Compra Eficiente</w:t>
      </w:r>
      <w:r>
        <w:rPr>
          <w:rFonts w:ascii="Arial" w:hAnsi="Arial" w:cs="Arial"/>
          <w:color w:val="000000" w:themeColor="text1"/>
          <w:sz w:val="21"/>
          <w:szCs w:val="21"/>
          <w:lang w:val="es-ES_tradnl"/>
        </w:rPr>
        <w:t xml:space="preserve"> (…) </w:t>
      </w:r>
      <w:r w:rsidRPr="007C32D7">
        <w:rPr>
          <w:rFonts w:ascii="Arial" w:hAnsi="Arial" w:cs="Arial"/>
          <w:color w:val="000000" w:themeColor="text1"/>
          <w:sz w:val="21"/>
          <w:szCs w:val="21"/>
          <w:lang w:val="es-ES_tradnl"/>
        </w:rPr>
        <w:t xml:space="preserve">Dado que no discriminan qué tipo de SECOP sea el I </w:t>
      </w:r>
      <w:proofErr w:type="spellStart"/>
      <w:r w:rsidRPr="007C32D7">
        <w:rPr>
          <w:rFonts w:ascii="Arial" w:hAnsi="Arial" w:cs="Arial"/>
          <w:color w:val="000000" w:themeColor="text1"/>
          <w:sz w:val="21"/>
          <w:szCs w:val="21"/>
          <w:lang w:val="es-ES_tradnl"/>
        </w:rPr>
        <w:t>ó</w:t>
      </w:r>
      <w:proofErr w:type="spellEnd"/>
      <w:r w:rsidRPr="007C32D7">
        <w:rPr>
          <w:rFonts w:ascii="Arial" w:hAnsi="Arial" w:cs="Arial"/>
          <w:color w:val="000000" w:themeColor="text1"/>
          <w:sz w:val="21"/>
          <w:szCs w:val="21"/>
          <w:lang w:val="es-ES_tradnl"/>
        </w:rPr>
        <w:t xml:space="preserve"> el II; acudimos ante ustedes para solicitar consulta, respecto a que tras la suspensión provisional de toda carga de publicar en el SECOP la actividad contractual de los prestadores mientras exista sentencia judicial en firme desde la sección tercera del Consejo de Estado; los prestadores </w:t>
      </w:r>
      <w:r w:rsidRPr="007C32D7">
        <w:rPr>
          <w:rFonts w:ascii="Arial" w:hAnsi="Arial" w:cs="Arial"/>
          <w:color w:val="000000" w:themeColor="text1"/>
          <w:sz w:val="21"/>
          <w:szCs w:val="21"/>
          <w:lang w:val="es-ES_tradnl"/>
        </w:rPr>
        <w:lastRenderedPageBreak/>
        <w:t xml:space="preserve">de servicios públicos domiciliarios  están aún sujetos a publicar en el SECOP I </w:t>
      </w:r>
      <w:proofErr w:type="spellStart"/>
      <w:r w:rsidRPr="007C32D7">
        <w:rPr>
          <w:rFonts w:ascii="Arial" w:hAnsi="Arial" w:cs="Arial"/>
          <w:color w:val="000000" w:themeColor="text1"/>
          <w:sz w:val="21"/>
          <w:szCs w:val="21"/>
          <w:lang w:val="es-ES_tradnl"/>
        </w:rPr>
        <w:t>ó</w:t>
      </w:r>
      <w:proofErr w:type="spellEnd"/>
      <w:r w:rsidRPr="007C32D7">
        <w:rPr>
          <w:rFonts w:ascii="Arial" w:hAnsi="Arial" w:cs="Arial"/>
          <w:color w:val="000000" w:themeColor="text1"/>
          <w:sz w:val="21"/>
          <w:szCs w:val="21"/>
          <w:lang w:val="es-ES_tradnl"/>
        </w:rPr>
        <w:t xml:space="preserve"> SECOP II, o dicha obligación quedó suspendida en su totalidad?; de la misma manera, a pesar de que no están en la Circular 001-2021 CCE, en el Anexo 1; los prestadores de servicios públicos domiciliarios tiene alguna fecha límite para utilizar el SECOP en caso de estar obligados; y de ser procedente cuál sería el trámite a seguir?</w:t>
      </w:r>
      <w:r>
        <w:rPr>
          <w:rFonts w:ascii="Arial" w:hAnsi="Arial" w:cs="Arial"/>
          <w:color w:val="000000" w:themeColor="text1"/>
          <w:sz w:val="21"/>
          <w:szCs w:val="21"/>
          <w:lang w:val="es-ES_tradnl"/>
        </w:rPr>
        <w:t>»</w:t>
      </w:r>
      <w:r w:rsidRPr="007C32D7">
        <w:rPr>
          <w:rFonts w:ascii="Arial" w:hAnsi="Arial" w:cs="Arial"/>
          <w:color w:val="000000" w:themeColor="text1"/>
          <w:sz w:val="21"/>
          <w:szCs w:val="21"/>
          <w:lang w:val="es-ES_tradnl"/>
        </w:rPr>
        <w:t>.</w:t>
      </w:r>
    </w:p>
    <w:p w14:paraId="6827AE12" w14:textId="77777777" w:rsidR="00C02156" w:rsidRPr="00DD2D97" w:rsidRDefault="00C02156" w:rsidP="00C02156">
      <w:pPr>
        <w:ind w:left="709" w:right="709"/>
        <w:jc w:val="both"/>
        <w:rPr>
          <w:rFonts w:ascii="Arial" w:hAnsi="Arial" w:cs="Arial"/>
          <w:color w:val="000000" w:themeColor="text1"/>
          <w:sz w:val="22"/>
          <w:lang w:val="es-ES_tradnl"/>
        </w:rPr>
      </w:pPr>
    </w:p>
    <w:bookmarkEnd w:id="4"/>
    <w:p w14:paraId="554DDDBA" w14:textId="77777777" w:rsidR="00C02156" w:rsidRPr="00DD2D97" w:rsidRDefault="00C02156" w:rsidP="00C02156">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Consideraciones</w:t>
      </w:r>
    </w:p>
    <w:p w14:paraId="274005B5" w14:textId="77777777" w:rsidR="00C02156" w:rsidRPr="00DD2D97" w:rsidRDefault="00C02156" w:rsidP="00C02156">
      <w:pPr>
        <w:spacing w:line="276" w:lineRule="auto"/>
        <w:jc w:val="both"/>
        <w:rPr>
          <w:rFonts w:ascii="Arial" w:eastAsia="Calibri" w:hAnsi="Arial" w:cs="Arial"/>
          <w:color w:val="000000" w:themeColor="text1"/>
          <w:sz w:val="22"/>
          <w:szCs w:val="22"/>
          <w:lang w:val="es-ES_tradnl"/>
        </w:rPr>
      </w:pPr>
    </w:p>
    <w:p w14:paraId="5E27C220" w14:textId="77777777" w:rsidR="00C02156" w:rsidRPr="00DD2D97" w:rsidRDefault="00C02156" w:rsidP="00C02156">
      <w:pPr>
        <w:spacing w:line="276" w:lineRule="auto"/>
        <w:jc w:val="both"/>
        <w:rPr>
          <w:rFonts w:ascii="Arial" w:eastAsia="Calibri" w:hAnsi="Arial" w:cs="Arial"/>
          <w:color w:val="000000" w:themeColor="text1"/>
          <w:sz w:val="22"/>
          <w:lang w:val="es-ES_tradnl"/>
        </w:rPr>
      </w:pPr>
      <w:r w:rsidRPr="00DD2D97">
        <w:rPr>
          <w:rFonts w:ascii="Arial" w:eastAsia="Calibri" w:hAnsi="Arial" w:cs="Arial"/>
          <w:bCs/>
          <w:color w:val="000000" w:themeColor="text1"/>
          <w:sz w:val="22"/>
          <w:lang w:val="es-ES_tradnl"/>
        </w:rPr>
        <w:t xml:space="preserve">Para responder la consulta se analizarán los siguientes temas: i) fundamento axiológico de la publicidad de la información oficial de la contratación estatal en el Sistema Electrónico </w:t>
      </w:r>
      <w:r>
        <w:rPr>
          <w:rFonts w:ascii="Arial" w:eastAsia="Calibri" w:hAnsi="Arial" w:cs="Arial"/>
          <w:bCs/>
          <w:color w:val="000000" w:themeColor="text1"/>
          <w:sz w:val="22"/>
          <w:lang w:val="es-ES_tradnl"/>
        </w:rPr>
        <w:t>para la</w:t>
      </w:r>
      <w:r w:rsidRPr="00DD2D97">
        <w:rPr>
          <w:rFonts w:ascii="Arial" w:eastAsia="Calibri" w:hAnsi="Arial" w:cs="Arial"/>
          <w:bCs/>
          <w:color w:val="000000" w:themeColor="text1"/>
          <w:sz w:val="22"/>
          <w:lang w:val="es-ES_tradnl"/>
        </w:rPr>
        <w:t xml:space="preserve"> Contratación Pública –SECOP–, </w:t>
      </w:r>
      <w:proofErr w:type="spellStart"/>
      <w:r w:rsidRPr="00DD2D97">
        <w:rPr>
          <w:rFonts w:ascii="Arial" w:eastAsia="Calibri" w:hAnsi="Arial" w:cs="Arial"/>
          <w:bCs/>
          <w:color w:val="000000" w:themeColor="text1"/>
          <w:sz w:val="22"/>
          <w:lang w:val="es-ES_tradnl"/>
        </w:rPr>
        <w:t>ii</w:t>
      </w:r>
      <w:proofErr w:type="spellEnd"/>
      <w:r w:rsidRPr="00DD2D97">
        <w:rPr>
          <w:rFonts w:ascii="Arial" w:eastAsia="Calibri" w:hAnsi="Arial" w:cs="Arial"/>
          <w:bCs/>
          <w:color w:val="000000" w:themeColor="text1"/>
          <w:sz w:val="22"/>
          <w:lang w:val="es-ES_tradnl"/>
        </w:rPr>
        <w:t xml:space="preserve">) efectos del auto del Consejo de Estado del 25 de febrero de 2021 sobre la publicación en el SECOP por parte de las entidades estatales con régimen especial de contratación y </w:t>
      </w:r>
      <w:proofErr w:type="spellStart"/>
      <w:r w:rsidRPr="00DD2D97">
        <w:rPr>
          <w:rFonts w:ascii="Arial" w:eastAsia="Calibri" w:hAnsi="Arial" w:cs="Arial"/>
          <w:bCs/>
          <w:color w:val="000000" w:themeColor="text1"/>
          <w:sz w:val="22"/>
          <w:lang w:val="es-ES_tradnl"/>
        </w:rPr>
        <w:t>iii</w:t>
      </w:r>
      <w:proofErr w:type="spellEnd"/>
      <w:r w:rsidRPr="00DD2D97">
        <w:rPr>
          <w:rFonts w:ascii="Arial" w:eastAsia="Calibri" w:hAnsi="Arial" w:cs="Arial"/>
          <w:bCs/>
          <w:color w:val="000000" w:themeColor="text1"/>
          <w:sz w:val="22"/>
          <w:lang w:val="es-ES_tradnl"/>
        </w:rPr>
        <w:t>) documentos que deben publicar en el SECOP las entidades estatales que, por regla general, se rigen por el derecho privado en su actividad contractual.</w:t>
      </w:r>
    </w:p>
    <w:p w14:paraId="364F2981" w14:textId="77777777" w:rsidR="00C02156" w:rsidRDefault="00C02156" w:rsidP="00C02156">
      <w:pPr>
        <w:spacing w:before="120" w:after="120" w:line="276" w:lineRule="auto"/>
        <w:ind w:firstLine="709"/>
        <w:jc w:val="both"/>
        <w:rPr>
          <w:rFonts w:ascii="Arial" w:eastAsia="Calibri" w:hAnsi="Arial" w:cs="Arial"/>
          <w:color w:val="1A1A1A" w:themeColor="background1" w:themeShade="1A"/>
          <w:sz w:val="22"/>
        </w:rPr>
      </w:pPr>
      <w:r w:rsidRPr="00DD2D97">
        <w:rPr>
          <w:rFonts w:ascii="Arial" w:eastAsia="Calibri" w:hAnsi="Arial" w:cs="Arial"/>
          <w:bCs/>
          <w:color w:val="000000" w:themeColor="text1"/>
          <w:sz w:val="22"/>
          <w:lang w:val="es-ES_tradnl"/>
        </w:rPr>
        <w:t xml:space="preserve">La Agencia Nacional de Contratación Pública –Colombia Compra Eficiente– unificó su doctrina sobre el deber de las entidades exceptuadas del Estatuto General de Contratación de la Administración Pública –o con régimen especial– de publicar sus actuaciones contractuales en el SECOP, en el concepto CU-003 del 15 de enero de 2020.  Este concepto se reiterará a continuación, porque, como se explicará, no es contrario al contenido del auto del Consejo de Estado del 25 de febrero de 2021, que motiva la formulación de la consulta. </w:t>
      </w:r>
    </w:p>
    <w:p w14:paraId="15F81893" w14:textId="77777777" w:rsidR="00C02156" w:rsidRPr="00D307CD" w:rsidRDefault="00C02156" w:rsidP="00C02156">
      <w:pPr>
        <w:spacing w:line="276" w:lineRule="auto"/>
        <w:ind w:firstLine="708"/>
        <w:jc w:val="both"/>
        <w:rPr>
          <w:rFonts w:ascii="Arial" w:hAnsi="Arial" w:cs="Arial"/>
          <w:color w:val="1A1A1A" w:themeColor="background1" w:themeShade="1A"/>
          <w:sz w:val="22"/>
        </w:rPr>
      </w:pPr>
      <w:r>
        <w:rPr>
          <w:rFonts w:ascii="Arial" w:eastAsia="Calibri" w:hAnsi="Arial" w:cs="Arial"/>
          <w:color w:val="1A1A1A" w:themeColor="background1" w:themeShade="1A"/>
          <w:sz w:val="22"/>
        </w:rPr>
        <w:t>Adicionalmente, p</w:t>
      </w:r>
      <w:r w:rsidRPr="0091437B">
        <w:rPr>
          <w:rFonts w:ascii="Arial" w:eastAsia="Calibri" w:hAnsi="Arial" w:cs="Arial"/>
          <w:color w:val="1A1A1A" w:themeColor="background1" w:themeShade="1A"/>
          <w:sz w:val="22"/>
        </w:rPr>
        <w:t xml:space="preserve">ara desarrollar </w:t>
      </w:r>
      <w:r>
        <w:rPr>
          <w:rFonts w:ascii="Arial" w:eastAsia="Calibri" w:hAnsi="Arial" w:cs="Arial"/>
          <w:color w:val="1A1A1A" w:themeColor="background1" w:themeShade="1A"/>
          <w:sz w:val="22"/>
        </w:rPr>
        <w:t>el</w:t>
      </w:r>
      <w:r w:rsidRPr="0091437B">
        <w:rPr>
          <w:rFonts w:ascii="Arial" w:eastAsia="Calibri" w:hAnsi="Arial" w:cs="Arial"/>
          <w:color w:val="1A1A1A" w:themeColor="background1" w:themeShade="1A"/>
          <w:sz w:val="22"/>
        </w:rPr>
        <w:t xml:space="preserve"> problema planteado</w:t>
      </w:r>
      <w:r>
        <w:rPr>
          <w:rFonts w:ascii="Arial" w:eastAsia="Calibri" w:hAnsi="Arial" w:cs="Arial"/>
          <w:color w:val="1A1A1A" w:themeColor="background1" w:themeShade="1A"/>
          <w:sz w:val="22"/>
        </w:rPr>
        <w:t>,</w:t>
      </w:r>
      <w:r w:rsidRPr="0091437B">
        <w:rPr>
          <w:rFonts w:ascii="Arial" w:eastAsia="Calibri" w:hAnsi="Arial" w:cs="Arial"/>
          <w:color w:val="1A1A1A" w:themeColor="background1" w:themeShade="1A"/>
          <w:sz w:val="22"/>
        </w:rPr>
        <w:t xml:space="preserve"> se explicará</w:t>
      </w:r>
      <w:r>
        <w:rPr>
          <w:rFonts w:ascii="Arial" w:eastAsia="Calibri" w:hAnsi="Arial" w:cs="Arial"/>
          <w:color w:val="1A1A1A" w:themeColor="background1" w:themeShade="1A"/>
          <w:sz w:val="22"/>
        </w:rPr>
        <w:t xml:space="preserve"> el deber de publicidad de la información contractual en el SECOP</w:t>
      </w:r>
      <w:r w:rsidRPr="0091437B">
        <w:rPr>
          <w:rFonts w:ascii="Arial" w:eastAsia="Calibri" w:hAnsi="Arial" w:cs="Arial"/>
          <w:color w:val="1A1A1A" w:themeColor="background1" w:themeShade="1A"/>
          <w:sz w:val="22"/>
        </w:rPr>
        <w:t xml:space="preserve">. </w:t>
      </w:r>
      <w:r w:rsidRPr="0091437B">
        <w:rPr>
          <w:rFonts w:ascii="Arial" w:eastAsia="Calibri" w:hAnsi="Arial" w:cs="Arial"/>
          <w:bCs/>
          <w:color w:val="1A1A1A" w:themeColor="background1" w:themeShade="1A"/>
          <w:sz w:val="22"/>
        </w:rPr>
        <w:t xml:space="preserve">La Agencia Nacional de Contratación Pública estudió este tema en la consulta No. </w:t>
      </w:r>
      <w:r w:rsidRPr="00E26D3C">
        <w:rPr>
          <w:rFonts w:ascii="Arial" w:eastAsia="Calibri" w:hAnsi="Arial" w:cs="Arial"/>
          <w:bCs/>
          <w:color w:val="1A1A1A" w:themeColor="background1" w:themeShade="1A"/>
          <w:sz w:val="22"/>
        </w:rPr>
        <w:t xml:space="preserve">4201913000005397 del 9 de agosto de 2019 y reiteró la posición en los siguientes conceptos: 4201912000006611 del 25 de septiembre de 2019, </w:t>
      </w:r>
      <w:r w:rsidRPr="00E26D3C">
        <w:rPr>
          <w:rFonts w:ascii="Arial" w:hAnsi="Arial" w:cs="Arial"/>
          <w:sz w:val="22"/>
        </w:rPr>
        <w:t>4201913000006847</w:t>
      </w:r>
      <w:r w:rsidRPr="00E26D3C">
        <w:rPr>
          <w:rFonts w:ascii="Arial" w:hAnsi="Arial" w:cs="Arial"/>
          <w:color w:val="1A1A1A" w:themeColor="background1" w:themeShade="1A"/>
          <w:sz w:val="22"/>
        </w:rPr>
        <w:t xml:space="preserve"> del 4 de octubre de 2019, </w:t>
      </w:r>
      <w:r w:rsidRPr="00E26D3C">
        <w:rPr>
          <w:rFonts w:ascii="Arial" w:eastAsia="Calibri" w:hAnsi="Arial" w:cs="Arial"/>
          <w:bCs/>
          <w:color w:val="1A1A1A" w:themeColor="background1" w:themeShade="1A"/>
          <w:sz w:val="22"/>
        </w:rPr>
        <w:t>4201912000007762 del 18 de noviembre de 2019</w:t>
      </w:r>
      <w:r>
        <w:rPr>
          <w:rFonts w:ascii="Arial" w:eastAsia="Calibri" w:hAnsi="Arial" w:cs="Arial"/>
          <w:bCs/>
          <w:color w:val="1A1A1A" w:themeColor="background1" w:themeShade="1A"/>
          <w:sz w:val="22"/>
        </w:rPr>
        <w:t xml:space="preserve"> y</w:t>
      </w:r>
      <w:r w:rsidRPr="00E26D3C">
        <w:rPr>
          <w:rFonts w:ascii="Arial" w:eastAsia="Calibri" w:hAnsi="Arial" w:cs="Arial"/>
          <w:bCs/>
          <w:color w:val="1A1A1A" w:themeColor="background1" w:themeShade="1A"/>
          <w:sz w:val="22"/>
        </w:rPr>
        <w:t xml:space="preserve"> 4201912000007828 del 13 de noviembre de 2019</w:t>
      </w:r>
      <w:r>
        <w:rPr>
          <w:rFonts w:ascii="Arial" w:eastAsia="Calibri" w:hAnsi="Arial" w:cs="Arial"/>
          <w:bCs/>
          <w:color w:val="1A1A1A" w:themeColor="background1" w:themeShade="1A"/>
          <w:sz w:val="22"/>
        </w:rPr>
        <w:t>. Las tesis expuestas en los anteriores conceptos fueron unificadas en el concepto</w:t>
      </w:r>
      <w:r w:rsidRPr="00E26D3C">
        <w:rPr>
          <w:rFonts w:ascii="Arial" w:eastAsia="Calibri" w:hAnsi="Arial" w:cs="Arial"/>
          <w:bCs/>
          <w:color w:val="1A1A1A" w:themeColor="background1" w:themeShade="1A"/>
          <w:sz w:val="22"/>
        </w:rPr>
        <w:t xml:space="preserve"> CU-003 del 15 de enero de 2020</w:t>
      </w:r>
      <w:r>
        <w:rPr>
          <w:rFonts w:ascii="Arial" w:eastAsia="Calibri" w:hAnsi="Arial" w:cs="Arial"/>
          <w:bCs/>
          <w:color w:val="1A1A1A" w:themeColor="background1" w:themeShade="1A"/>
          <w:sz w:val="22"/>
        </w:rPr>
        <w:t xml:space="preserve">. </w:t>
      </w:r>
      <w:r w:rsidRPr="005C29B6">
        <w:rPr>
          <w:rFonts w:ascii="Arial" w:hAnsi="Arial" w:cs="Arial"/>
          <w:color w:val="1A1A1A" w:themeColor="background1" w:themeShade="1A"/>
          <w:sz w:val="22"/>
        </w:rPr>
        <w:t xml:space="preserve">Dicho concepto de unificación, fue reiterado 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C-559 del 25 de agosto de 2020, C-562 del 25 de </w:t>
      </w:r>
      <w:r w:rsidRPr="005C29B6">
        <w:rPr>
          <w:rFonts w:ascii="Arial" w:hAnsi="Arial" w:cs="Arial"/>
          <w:color w:val="1A1A1A" w:themeColor="background1" w:themeShade="1A"/>
          <w:sz w:val="22"/>
        </w:rPr>
        <w:lastRenderedPageBreak/>
        <w:t>agosto de 2020, C-574 del 27 de agosto de 2020</w:t>
      </w:r>
      <w:r>
        <w:rPr>
          <w:rFonts w:ascii="Arial" w:hAnsi="Arial" w:cs="Arial"/>
          <w:color w:val="1A1A1A" w:themeColor="background1" w:themeShade="1A"/>
          <w:sz w:val="22"/>
        </w:rPr>
        <w:t xml:space="preserve">, </w:t>
      </w:r>
      <w:r w:rsidRPr="005C29B6">
        <w:rPr>
          <w:rFonts w:ascii="Arial" w:hAnsi="Arial" w:cs="Arial"/>
          <w:color w:val="1A1A1A" w:themeColor="background1" w:themeShade="1A"/>
          <w:sz w:val="22"/>
        </w:rPr>
        <w:t>C-680 de 18 de noviembre de 2020</w:t>
      </w:r>
      <w:r>
        <w:rPr>
          <w:rFonts w:ascii="Arial" w:hAnsi="Arial" w:cs="Arial"/>
          <w:color w:val="1A1A1A" w:themeColor="background1" w:themeShade="1A"/>
          <w:sz w:val="22"/>
        </w:rPr>
        <w:t xml:space="preserve"> y C-780 del 18 de enero de 2021. Finalmente, como consecuencia del </w:t>
      </w:r>
      <w:r>
        <w:rPr>
          <w:rFonts w:ascii="Arial" w:eastAsia="Calibri" w:hAnsi="Arial" w:cs="Arial"/>
          <w:bCs/>
          <w:color w:val="000000" w:themeColor="text1"/>
          <w:sz w:val="22"/>
          <w:lang w:val="es-ES_tradnl"/>
        </w:rPr>
        <w:t>A</w:t>
      </w:r>
      <w:r w:rsidRPr="00DD2D97">
        <w:rPr>
          <w:rFonts w:ascii="Arial" w:eastAsia="Calibri" w:hAnsi="Arial" w:cs="Arial"/>
          <w:bCs/>
          <w:color w:val="000000" w:themeColor="text1"/>
          <w:sz w:val="22"/>
          <w:lang w:val="es-ES_tradnl"/>
        </w:rPr>
        <w:t>uto del Consejo de Estado del 25 de febrero de 2021</w:t>
      </w:r>
      <w:r>
        <w:rPr>
          <w:rFonts w:ascii="Arial" w:eastAsia="Calibri" w:hAnsi="Arial" w:cs="Arial"/>
          <w:bCs/>
          <w:color w:val="000000" w:themeColor="text1"/>
          <w:sz w:val="22"/>
          <w:lang w:val="es-ES_tradnl"/>
        </w:rPr>
        <w:t xml:space="preserve"> se expidió el concepto C-094 del 13 de abril de 2021, C-137 del </w:t>
      </w:r>
      <w:r>
        <w:rPr>
          <w:rFonts w:ascii="Arial" w:hAnsi="Arial" w:cs="Arial"/>
          <w:color w:val="1A1A1A" w:themeColor="background1" w:themeShade="1A"/>
          <w:sz w:val="22"/>
        </w:rPr>
        <w:t xml:space="preserve">13 de abril de 2021 y C-185 del 29 de abril de 2021. </w:t>
      </w:r>
      <w:r w:rsidRPr="00E26D3C">
        <w:rPr>
          <w:rFonts w:ascii="Arial" w:eastAsia="Calibri" w:hAnsi="Arial" w:cs="Arial"/>
          <w:color w:val="1A1A1A" w:themeColor="background1" w:themeShade="1A"/>
          <w:sz w:val="22"/>
        </w:rPr>
        <w:t>La tesis de estos conceptos se reitera a continuación:</w:t>
      </w:r>
      <w:r w:rsidRPr="0091437B">
        <w:rPr>
          <w:rFonts w:ascii="Arial" w:hAnsi="Arial" w:cs="Arial"/>
          <w:color w:val="1A1A1A" w:themeColor="background1" w:themeShade="1A"/>
          <w:sz w:val="22"/>
        </w:rPr>
        <w:t xml:space="preserve"> </w:t>
      </w:r>
    </w:p>
    <w:p w14:paraId="69D389A7" w14:textId="77777777" w:rsidR="00C02156" w:rsidRPr="00DD2D97" w:rsidRDefault="00C02156" w:rsidP="00C02156">
      <w:pPr>
        <w:spacing w:line="276" w:lineRule="auto"/>
        <w:jc w:val="both"/>
        <w:rPr>
          <w:rFonts w:ascii="Arial" w:hAnsi="Arial" w:cs="Arial"/>
          <w:b/>
          <w:bCs/>
          <w:color w:val="000000" w:themeColor="text1"/>
          <w:sz w:val="22"/>
          <w:lang w:val="es-ES_tradnl"/>
        </w:rPr>
      </w:pPr>
    </w:p>
    <w:p w14:paraId="7354CC18" w14:textId="77777777" w:rsidR="00C02156" w:rsidRPr="00C22EDD" w:rsidRDefault="00C02156" w:rsidP="00C02156">
      <w:pPr>
        <w:tabs>
          <w:tab w:val="left" w:pos="426"/>
        </w:tabs>
        <w:spacing w:line="276" w:lineRule="auto"/>
        <w:jc w:val="both"/>
        <w:rPr>
          <w:rFonts w:ascii="Arial" w:eastAsia="Calibri" w:hAnsi="Arial" w:cs="Arial"/>
          <w:b/>
          <w:color w:val="000000" w:themeColor="text1"/>
          <w:sz w:val="22"/>
          <w:lang w:val="es-ES_tradnl"/>
        </w:rPr>
      </w:pPr>
      <w:bookmarkStart w:id="5" w:name="_Hlk69128905"/>
      <w:r w:rsidRPr="00C22EDD">
        <w:rPr>
          <w:rFonts w:ascii="Arial" w:eastAsia="Calibri" w:hAnsi="Arial" w:cs="Arial"/>
          <w:b/>
          <w:color w:val="000000" w:themeColor="text1"/>
          <w:sz w:val="22"/>
          <w:lang w:val="es-ES_tradnl"/>
        </w:rPr>
        <w:t xml:space="preserve">2.1. Fundamento axiológico de la publicidad de la información oficial de la contratación estatal en el Sistema Electrónico </w:t>
      </w:r>
      <w:r>
        <w:rPr>
          <w:rFonts w:ascii="Arial" w:eastAsia="Calibri" w:hAnsi="Arial" w:cs="Arial"/>
          <w:b/>
          <w:color w:val="000000" w:themeColor="text1"/>
          <w:sz w:val="22"/>
          <w:lang w:val="es-ES_tradnl"/>
        </w:rPr>
        <w:t>para la</w:t>
      </w:r>
      <w:r w:rsidRPr="00C22EDD">
        <w:rPr>
          <w:rFonts w:ascii="Arial" w:eastAsia="Calibri" w:hAnsi="Arial" w:cs="Arial"/>
          <w:b/>
          <w:color w:val="000000" w:themeColor="text1"/>
          <w:sz w:val="22"/>
          <w:lang w:val="es-ES_tradnl"/>
        </w:rPr>
        <w:t xml:space="preserve"> Contratación Pública –SECOP–</w:t>
      </w:r>
    </w:p>
    <w:p w14:paraId="17269B4C" w14:textId="77777777" w:rsidR="00C02156" w:rsidRPr="00C22EDD" w:rsidRDefault="00C02156" w:rsidP="00C02156">
      <w:pPr>
        <w:pStyle w:val="Prrafodelista"/>
        <w:spacing w:line="276" w:lineRule="auto"/>
        <w:ind w:left="0" w:firstLine="709"/>
        <w:jc w:val="both"/>
        <w:rPr>
          <w:rFonts w:ascii="Arial" w:eastAsia="Calibri" w:hAnsi="Arial" w:cs="Arial"/>
          <w:b/>
          <w:color w:val="000000" w:themeColor="text1"/>
          <w:sz w:val="22"/>
          <w:lang w:val="es-ES_tradnl"/>
        </w:rPr>
      </w:pPr>
    </w:p>
    <w:p w14:paraId="3F207FB6" w14:textId="77777777" w:rsidR="00C02156" w:rsidRDefault="00C02156" w:rsidP="00C02156">
      <w:pPr>
        <w:spacing w:after="120" w:line="276" w:lineRule="auto"/>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Uno de los postulados más importantes de un Estado social y democrático de derecho es el principio de </w:t>
      </w:r>
      <w:r w:rsidRPr="00C22EDD">
        <w:rPr>
          <w:rFonts w:ascii="Arial" w:eastAsia="Calibri" w:hAnsi="Arial" w:cs="Arial"/>
          <w:i/>
          <w:iCs/>
          <w:color w:val="000000" w:themeColor="text1"/>
          <w:sz w:val="22"/>
          <w:lang w:val="es-ES_tradnl"/>
        </w:rPr>
        <w:t>publicidad</w:t>
      </w:r>
      <w:r w:rsidRPr="00C22EDD">
        <w:rPr>
          <w:rFonts w:ascii="Arial" w:eastAsia="Calibri" w:hAnsi="Arial" w:cs="Arial"/>
          <w:color w:val="000000" w:themeColor="text1"/>
          <w:sz w:val="22"/>
          <w:lang w:val="es-ES_tradnl"/>
        </w:rPr>
        <w:t xml:space="preserve">, pues este permite que las actuaciones de las autoridades gocen de visibilidad. En tal sentido, la filosofía política </w:t>
      </w:r>
      <w:r>
        <w:rPr>
          <w:rFonts w:ascii="Arial" w:eastAsia="Calibri" w:hAnsi="Arial" w:cs="Arial"/>
          <w:color w:val="000000" w:themeColor="text1"/>
          <w:sz w:val="22"/>
          <w:lang w:val="es-ES_tradnl"/>
        </w:rPr>
        <w:t>explica</w:t>
      </w:r>
      <w:r w:rsidRPr="00C22EDD">
        <w:rPr>
          <w:rFonts w:ascii="Arial" w:eastAsia="Calibri" w:hAnsi="Arial" w:cs="Arial"/>
          <w:color w:val="000000" w:themeColor="text1"/>
          <w:sz w:val="22"/>
          <w:lang w:val="es-ES_tradnl"/>
        </w:rPr>
        <w:t xml:space="preserve"> que la democracia «[…] es idealmente el gobierno de un poder visible, es decir, el gobierno cuyos actos se realizan ante el público y bajo la supervisión de la opinión pública»</w:t>
      </w:r>
      <w:r w:rsidRPr="00C22EDD">
        <w:rPr>
          <w:rStyle w:val="Refdenotaalpie"/>
          <w:rFonts w:ascii="Arial" w:eastAsia="Calibri" w:hAnsi="Arial" w:cs="Arial"/>
          <w:color w:val="000000" w:themeColor="text1"/>
          <w:sz w:val="22"/>
          <w:lang w:val="es-ES_tradnl"/>
        </w:rPr>
        <w:footnoteReference w:id="1"/>
      </w:r>
      <w:r w:rsidRPr="00C22EDD">
        <w:rPr>
          <w:rFonts w:ascii="Arial" w:eastAsia="Calibri" w:hAnsi="Arial" w:cs="Arial"/>
          <w:color w:val="000000" w:themeColor="text1"/>
          <w:sz w:val="22"/>
          <w:lang w:val="es-ES_tradn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5CD03F6F" w14:textId="77777777" w:rsidR="00C02156" w:rsidRPr="00C22EDD" w:rsidRDefault="00C02156" w:rsidP="00C02156">
      <w:pPr>
        <w:spacing w:line="276" w:lineRule="auto"/>
        <w:ind w:firstLine="708"/>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w:t>
      </w:r>
      <w:r>
        <w:rPr>
          <w:rFonts w:ascii="Arial" w:eastAsia="Calibri" w:hAnsi="Arial" w:cs="Arial"/>
          <w:color w:val="000000" w:themeColor="text1"/>
          <w:sz w:val="22"/>
          <w:lang w:val="es-ES_tradnl"/>
        </w:rPr>
        <w:t>explica</w:t>
      </w:r>
      <w:r w:rsidRPr="00C22EDD">
        <w:rPr>
          <w:rFonts w:ascii="Arial" w:eastAsia="Calibri" w:hAnsi="Arial" w:cs="Arial"/>
          <w:color w:val="000000" w:themeColor="text1"/>
          <w:sz w:val="22"/>
          <w:lang w:val="es-ES_tradnl"/>
        </w:rPr>
        <w:t>:</w:t>
      </w:r>
    </w:p>
    <w:p w14:paraId="3C1E68C1" w14:textId="77777777" w:rsidR="00C02156" w:rsidRPr="00C22EDD" w:rsidRDefault="00C02156" w:rsidP="00C02156">
      <w:pPr>
        <w:ind w:firstLine="709"/>
        <w:jc w:val="both"/>
        <w:rPr>
          <w:rFonts w:ascii="Arial" w:eastAsia="Calibri" w:hAnsi="Arial" w:cs="Arial"/>
          <w:color w:val="000000" w:themeColor="text1"/>
          <w:sz w:val="22"/>
          <w:lang w:val="es-ES_tradnl"/>
        </w:rPr>
      </w:pPr>
    </w:p>
    <w:p w14:paraId="75A58F5F" w14:textId="77777777" w:rsidR="00C02156" w:rsidRPr="00C22EDD" w:rsidRDefault="00C02156" w:rsidP="00C02156">
      <w:pPr>
        <w:tabs>
          <w:tab w:val="left" w:pos="3885"/>
        </w:tabs>
        <w:spacing w:after="120"/>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6B7A38DA" w14:textId="77777777" w:rsidR="00C02156" w:rsidRPr="00C22EDD" w:rsidRDefault="00C02156" w:rsidP="00C02156">
      <w:pPr>
        <w:tabs>
          <w:tab w:val="left" w:pos="3885"/>
          <w:tab w:val="left" w:pos="8222"/>
        </w:tabs>
        <w:ind w:left="709" w:right="709"/>
        <w:jc w:val="both"/>
        <w:rPr>
          <w:rFonts w:ascii="Arial" w:hAnsi="Arial" w:cs="Arial"/>
          <w:color w:val="000000" w:themeColor="text1"/>
          <w:sz w:val="22"/>
          <w:lang w:val="es-ES_tradnl"/>
        </w:rPr>
      </w:pPr>
      <w:r w:rsidRPr="00C22EDD">
        <w:rPr>
          <w:rFonts w:ascii="Arial" w:hAnsi="Arial" w:cs="Arial"/>
          <w:color w:val="000000" w:themeColor="text1"/>
          <w:sz w:val="21"/>
          <w:szCs w:val="21"/>
          <w:lang w:val="es-ES_tradnl"/>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C22EDD">
        <w:rPr>
          <w:rStyle w:val="Refdenotaalpie"/>
          <w:rFonts w:ascii="Arial" w:eastAsia="Calibri" w:hAnsi="Arial" w:cs="Arial"/>
          <w:color w:val="000000" w:themeColor="text1"/>
          <w:sz w:val="21"/>
          <w:szCs w:val="21"/>
          <w:lang w:val="es-ES_tradnl"/>
        </w:rPr>
        <w:footnoteReference w:id="2"/>
      </w:r>
      <w:r w:rsidRPr="00C22EDD">
        <w:rPr>
          <w:rFonts w:ascii="Arial" w:eastAsia="Calibri" w:hAnsi="Arial" w:cs="Arial"/>
          <w:color w:val="000000" w:themeColor="text1"/>
          <w:sz w:val="21"/>
          <w:szCs w:val="21"/>
          <w:lang w:val="es-ES_tradnl"/>
        </w:rPr>
        <w:t>.</w:t>
      </w:r>
    </w:p>
    <w:p w14:paraId="4AE40173" w14:textId="77777777" w:rsidR="00C02156" w:rsidRPr="00C22EDD" w:rsidRDefault="00C02156" w:rsidP="00C02156">
      <w:pPr>
        <w:spacing w:line="276" w:lineRule="auto"/>
        <w:ind w:right="709"/>
        <w:jc w:val="both"/>
        <w:rPr>
          <w:rFonts w:ascii="Arial" w:eastAsia="Calibri" w:hAnsi="Arial" w:cs="Arial"/>
          <w:color w:val="000000" w:themeColor="text1"/>
          <w:sz w:val="22"/>
          <w:lang w:val="es-ES_tradnl"/>
        </w:rPr>
      </w:pPr>
    </w:p>
    <w:p w14:paraId="2818752A" w14:textId="77777777" w:rsidR="00C02156" w:rsidRPr="00C22EDD" w:rsidRDefault="00C02156" w:rsidP="00C02156">
      <w:pPr>
        <w:spacing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El principio de publicidad impone a las autoridades administrativas el deber de dar a conocer sus actos, contratos y decisiones, para que se divulguen y eventualmente se controlen dichas actuaciones. Es por e</w:t>
      </w:r>
      <w:r>
        <w:rPr>
          <w:rFonts w:ascii="Arial" w:eastAsia="Calibri" w:hAnsi="Arial" w:cs="Arial"/>
          <w:color w:val="000000" w:themeColor="text1"/>
          <w:sz w:val="22"/>
          <w:lang w:val="es-ES_tradnl"/>
        </w:rPr>
        <w:t>s</w:t>
      </w:r>
      <w:r w:rsidRPr="00C22EDD">
        <w:rPr>
          <w:rFonts w:ascii="Arial" w:eastAsia="Calibri" w:hAnsi="Arial" w:cs="Arial"/>
          <w:color w:val="000000" w:themeColor="text1"/>
          <w:sz w:val="22"/>
          <w:lang w:val="es-ES_tradnl"/>
        </w:rPr>
        <w:t>o que,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C22EDD">
        <w:rPr>
          <w:rStyle w:val="Refdenotaalpie"/>
          <w:rFonts w:ascii="Arial" w:eastAsia="Calibri" w:hAnsi="Arial" w:cs="Arial"/>
          <w:color w:val="000000" w:themeColor="text1"/>
          <w:sz w:val="22"/>
          <w:lang w:val="es-ES_tradnl"/>
        </w:rPr>
        <w:footnoteReference w:id="3"/>
      </w:r>
      <w:r w:rsidRPr="00C22EDD">
        <w:rPr>
          <w:rFonts w:ascii="Arial" w:eastAsia="Calibri" w:hAnsi="Arial" w:cs="Arial"/>
          <w:color w:val="000000" w:themeColor="text1"/>
          <w:sz w:val="22"/>
          <w:lang w:val="es-ES_tradnl"/>
        </w:rPr>
        <w:t xml:space="preserve">. </w:t>
      </w:r>
    </w:p>
    <w:p w14:paraId="4D53A4AC" w14:textId="77777777" w:rsidR="00C02156" w:rsidRPr="00C22EDD" w:rsidRDefault="00C02156" w:rsidP="00C02156">
      <w:pPr>
        <w:spacing w:before="120" w:line="276" w:lineRule="auto"/>
        <w:ind w:firstLine="709"/>
        <w:jc w:val="both"/>
        <w:rPr>
          <w:rFonts w:ascii="Arial" w:eastAsia="Calibri" w:hAnsi="Arial" w:cs="Arial"/>
          <w:color w:val="000000" w:themeColor="text1"/>
          <w:sz w:val="22"/>
          <w:lang w:val="es-ES_tradnl"/>
        </w:rPr>
      </w:pPr>
      <w:r w:rsidRPr="00C22EDD">
        <w:rPr>
          <w:rFonts w:ascii="Arial" w:hAnsi="Arial" w:cs="Arial"/>
          <w:color w:val="000000" w:themeColor="text1"/>
          <w:sz w:val="22"/>
          <w:lang w:val="es-ES_tradn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C22EDD">
        <w:rPr>
          <w:rStyle w:val="Refdenotaalpie"/>
          <w:rFonts w:ascii="Arial" w:hAnsi="Arial" w:cs="Arial"/>
          <w:color w:val="000000" w:themeColor="text1"/>
          <w:sz w:val="22"/>
          <w:lang w:val="es-ES_tradnl"/>
        </w:rPr>
        <w:footnoteReference w:id="4"/>
      </w:r>
      <w:r w:rsidRPr="00C22EDD">
        <w:rPr>
          <w:rFonts w:ascii="Arial" w:hAnsi="Arial" w:cs="Arial"/>
          <w:color w:val="000000" w:themeColor="text1"/>
          <w:sz w:val="22"/>
          <w:lang w:val="es-ES_tradnl"/>
        </w:rPr>
        <w:t xml:space="preserve">. El principio de transparencia en la información alude al deber de los sujetos de proporcionar y facilitar el acceso a la misma en los términos más amplios posibles, y a través de los medios y procedimientos legales. </w:t>
      </w:r>
      <w:r>
        <w:rPr>
          <w:rFonts w:ascii="Arial" w:eastAsiaTheme="minorHAnsi" w:hAnsi="Arial" w:cs="Arial"/>
          <w:color w:val="000000" w:themeColor="text1"/>
          <w:sz w:val="22"/>
          <w:szCs w:val="22"/>
          <w:lang w:val="es-ES_tradnl" w:eastAsia="en-US"/>
        </w:rPr>
        <w:t>E</w:t>
      </w:r>
      <w:r w:rsidRPr="00C22EDD">
        <w:rPr>
          <w:rFonts w:ascii="Arial" w:eastAsiaTheme="minorHAnsi" w:hAnsi="Arial" w:cs="Arial"/>
          <w:color w:val="000000" w:themeColor="text1"/>
          <w:sz w:val="22"/>
          <w:szCs w:val="22"/>
          <w:lang w:val="es-ES_tradnl" w:eastAsia="en-US"/>
        </w:rPr>
        <w:t>n el literal e) del artículo 9</w:t>
      </w:r>
      <w:r>
        <w:rPr>
          <w:rFonts w:ascii="Arial" w:eastAsiaTheme="minorHAnsi" w:hAnsi="Arial" w:cs="Arial"/>
          <w:color w:val="000000" w:themeColor="text1"/>
          <w:sz w:val="22"/>
          <w:szCs w:val="22"/>
          <w:lang w:val="es-ES_tradnl" w:eastAsia="en-US"/>
        </w:rPr>
        <w:t>, l</w:t>
      </w:r>
      <w:r w:rsidRPr="00C22EDD">
        <w:rPr>
          <w:rFonts w:ascii="Arial" w:eastAsiaTheme="minorHAnsi" w:hAnsi="Arial" w:cs="Arial"/>
          <w:color w:val="000000" w:themeColor="text1"/>
          <w:sz w:val="22"/>
          <w:szCs w:val="22"/>
          <w:lang w:val="es-ES_tradnl" w:eastAsia="en-US"/>
        </w:rPr>
        <w:t>a ley estatutaria citada establece</w:t>
      </w:r>
      <w:r>
        <w:rPr>
          <w:rFonts w:ascii="Arial" w:eastAsiaTheme="minorHAnsi" w:hAnsi="Arial" w:cs="Arial"/>
          <w:color w:val="000000" w:themeColor="text1"/>
          <w:sz w:val="22"/>
          <w:szCs w:val="22"/>
          <w:lang w:val="es-ES_tradnl" w:eastAsia="en-US"/>
        </w:rPr>
        <w:t xml:space="preserve"> dispone</w:t>
      </w:r>
      <w:r w:rsidRPr="00C22EDD">
        <w:rPr>
          <w:rFonts w:ascii="Arial" w:eastAsiaTheme="minorHAnsi" w:hAnsi="Arial" w:cs="Arial"/>
          <w:color w:val="000000" w:themeColor="text1"/>
          <w:sz w:val="22"/>
          <w:szCs w:val="22"/>
          <w:lang w:val="es-ES_tradnl" w:eastAsia="en-US"/>
        </w:rPr>
        <w:t xml:space="preserve"> que los sujetos obligados, que son todas las entidades públicas</w:t>
      </w:r>
      <w:r w:rsidRPr="00C22EDD">
        <w:rPr>
          <w:rStyle w:val="Refdenotaalpie"/>
          <w:rFonts w:ascii="Arial" w:eastAsiaTheme="minorHAnsi" w:hAnsi="Arial" w:cs="Arial"/>
          <w:color w:val="000000" w:themeColor="text1"/>
          <w:sz w:val="22"/>
          <w:szCs w:val="22"/>
          <w:lang w:val="es-ES_tradnl" w:eastAsia="en-US"/>
        </w:rPr>
        <w:footnoteReference w:id="5"/>
      </w:r>
      <w:r w:rsidRPr="00C22EDD">
        <w:rPr>
          <w:rFonts w:ascii="Arial" w:eastAsiaTheme="minorHAnsi" w:hAnsi="Arial" w:cs="Arial"/>
          <w:color w:val="000000" w:themeColor="text1"/>
          <w:sz w:val="22"/>
          <w:szCs w:val="22"/>
          <w:lang w:val="es-ES_tradnl" w:eastAsia="en-US"/>
        </w:rPr>
        <w:t>, deben publicar la información relativa a su contratación. Esta obligación fue desarrollada por el Decreto Único Reglamentario 1081 de 2015</w:t>
      </w:r>
      <w:r w:rsidRPr="00C22EDD">
        <w:rPr>
          <w:rStyle w:val="Refdenotaalpie"/>
          <w:rFonts w:ascii="Arial" w:eastAsiaTheme="minorHAnsi" w:hAnsi="Arial" w:cs="Arial"/>
          <w:color w:val="000000" w:themeColor="text1"/>
          <w:sz w:val="22"/>
          <w:szCs w:val="22"/>
          <w:lang w:val="es-ES_tradnl" w:eastAsia="en-US"/>
        </w:rPr>
        <w:footnoteReference w:id="6"/>
      </w:r>
      <w:r w:rsidRPr="00C22EDD">
        <w:rPr>
          <w:rFonts w:ascii="Arial" w:eastAsiaTheme="minorHAnsi" w:hAnsi="Arial" w:cs="Arial"/>
          <w:color w:val="000000" w:themeColor="text1"/>
          <w:sz w:val="22"/>
          <w:szCs w:val="22"/>
          <w:lang w:val="es-ES_tradnl" w:eastAsia="en-US"/>
        </w:rPr>
        <w:t xml:space="preserve">, el cual dispuso que la publicación de la información </w:t>
      </w:r>
      <w:r w:rsidRPr="00C22EDD">
        <w:rPr>
          <w:rFonts w:ascii="Arial" w:eastAsiaTheme="minorHAnsi" w:hAnsi="Arial" w:cs="Arial"/>
          <w:color w:val="000000" w:themeColor="text1"/>
          <w:sz w:val="22"/>
          <w:szCs w:val="22"/>
          <w:lang w:val="es-ES_tradnl" w:eastAsia="en-US"/>
        </w:rPr>
        <w:lastRenderedPageBreak/>
        <w:t xml:space="preserve">contractual de los sujetos obligados, que contratan con cargo a recursos públicos, debe hacerse en el Sistema Electrónico </w:t>
      </w:r>
      <w:r>
        <w:rPr>
          <w:rFonts w:ascii="Arial" w:eastAsiaTheme="minorHAnsi" w:hAnsi="Arial" w:cs="Arial"/>
          <w:color w:val="000000" w:themeColor="text1"/>
          <w:sz w:val="22"/>
          <w:szCs w:val="22"/>
          <w:lang w:val="es-ES_tradnl" w:eastAsia="en-US"/>
        </w:rPr>
        <w:t>para la</w:t>
      </w:r>
      <w:r w:rsidRPr="00C22EDD">
        <w:rPr>
          <w:rFonts w:ascii="Arial" w:eastAsiaTheme="minorHAnsi" w:hAnsi="Arial" w:cs="Arial"/>
          <w:color w:val="000000" w:themeColor="text1"/>
          <w:sz w:val="22"/>
          <w:szCs w:val="22"/>
          <w:lang w:val="es-ES_tradnl" w:eastAsia="en-US"/>
        </w:rPr>
        <w:t xml:space="preserve"> Contratación Pública ─</w:t>
      </w:r>
      <w:r w:rsidRPr="00C22EDD">
        <w:rPr>
          <w:rFonts w:ascii="Arial" w:eastAsiaTheme="minorHAnsi" w:hAnsi="Arial" w:cs="Arial"/>
          <w:color w:val="000000" w:themeColor="text1"/>
          <w:sz w:val="22"/>
          <w:szCs w:val="22"/>
          <w:lang w:val="es-ES_tradnl" w:eastAsia="en-US"/>
        </w:rPr>
        <w:softHyphen/>
        <w:t xml:space="preserve"> </w:t>
      </w:r>
      <w:r w:rsidRPr="00C22EDD">
        <w:rPr>
          <w:rFonts w:ascii="Arial" w:eastAsiaTheme="minorHAnsi" w:hAnsi="Arial" w:cs="Arial"/>
          <w:color w:val="000000" w:themeColor="text1"/>
          <w:sz w:val="22"/>
          <w:szCs w:val="22"/>
          <w:lang w:val="es-ES_tradnl" w:eastAsia="en-US"/>
        </w:rPr>
        <w:softHyphen/>
        <w:t>SECOP–.</w:t>
      </w:r>
    </w:p>
    <w:p w14:paraId="1CE14137" w14:textId="77777777" w:rsidR="00C02156" w:rsidRPr="00C22EDD" w:rsidRDefault="00C02156" w:rsidP="00C02156">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C22EDD">
        <w:rPr>
          <w:rFonts w:ascii="Arial" w:eastAsia="Calibri" w:hAnsi="Arial" w:cs="Arial"/>
          <w:color w:val="000000" w:themeColor="text1"/>
          <w:sz w:val="22"/>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C22EDD">
        <w:rPr>
          <w:rStyle w:val="Refdenotaalpie"/>
          <w:rFonts w:ascii="Arial" w:eastAsia="Calibri" w:hAnsi="Arial" w:cs="Arial"/>
          <w:color w:val="000000" w:themeColor="text1"/>
          <w:sz w:val="22"/>
          <w:lang w:val="es-ES_tradnl"/>
        </w:rPr>
        <w:footnoteReference w:id="7"/>
      </w:r>
      <w:r w:rsidRPr="00C22EDD">
        <w:rPr>
          <w:rFonts w:ascii="Arial" w:eastAsia="Calibri" w:hAnsi="Arial" w:cs="Arial"/>
          <w:color w:val="000000" w:themeColor="text1"/>
          <w:sz w:val="22"/>
          <w:lang w:val="es-ES_tradnl"/>
        </w:rPr>
        <w:t>.</w:t>
      </w:r>
    </w:p>
    <w:p w14:paraId="088F8F95" w14:textId="77777777" w:rsidR="00C02156" w:rsidRPr="00C22EDD" w:rsidRDefault="00C02156" w:rsidP="00C02156">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Para el año 2013, la Agencia Nacional de Contratación Pública </w:t>
      </w:r>
      <w:r>
        <w:rPr>
          <w:rFonts w:ascii="Arial" w:hAnsi="Arial" w:cs="Arial"/>
          <w:color w:val="000000" w:themeColor="text1"/>
          <w:sz w:val="22"/>
          <w:lang w:val="es-ES_tradnl"/>
        </w:rPr>
        <w:t>–</w:t>
      </w:r>
      <w:r w:rsidRPr="00C22EDD">
        <w:rPr>
          <w:rFonts w:ascii="Arial" w:hAnsi="Arial" w:cs="Arial"/>
          <w:color w:val="000000" w:themeColor="text1"/>
          <w:sz w:val="22"/>
          <w:lang w:val="es-ES_tradnl"/>
        </w:rPr>
        <w:t xml:space="preserve">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C22EDD">
        <w:rPr>
          <w:rStyle w:val="Refdenotaalpie"/>
          <w:rFonts w:ascii="Arial" w:hAnsi="Arial" w:cs="Arial"/>
          <w:color w:val="000000" w:themeColor="text1"/>
          <w:sz w:val="22"/>
          <w:lang w:val="es-ES_tradnl"/>
        </w:rPr>
        <w:footnoteReference w:id="8"/>
      </w:r>
      <w:r w:rsidRPr="00C22EDD">
        <w:rPr>
          <w:rFonts w:ascii="Arial" w:hAnsi="Arial" w:cs="Arial"/>
          <w:color w:val="000000" w:themeColor="text1"/>
          <w:sz w:val="22"/>
          <w:lang w:val="es-ES_tradnl"/>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06840E3D" w14:textId="77777777" w:rsidR="00C02156" w:rsidRPr="00C22EDD" w:rsidRDefault="00C02156" w:rsidP="00C02156">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El debate sobre la obligatoriedad o no de publicar en el SECOP, para las entidades con régimen especial de contratación, había sido definido, al menos de manera preliminar, por el Consejo de Estado. </w:t>
      </w:r>
      <w:r>
        <w:rPr>
          <w:rFonts w:ascii="Arial" w:hAnsi="Arial" w:cs="Arial"/>
          <w:color w:val="000000" w:themeColor="text1"/>
          <w:sz w:val="22"/>
          <w:lang w:val="es-ES_tradnl"/>
        </w:rPr>
        <w:t>En este sentido, l</w:t>
      </w:r>
      <w:r w:rsidRPr="00C22EDD">
        <w:rPr>
          <w:rFonts w:ascii="Arial" w:hAnsi="Arial" w:cs="Arial"/>
          <w:color w:val="000000" w:themeColor="text1"/>
          <w:sz w:val="22"/>
          <w:lang w:val="es-ES_tradnl"/>
        </w:rPr>
        <w:t>a Sección Tercera, Subsección C, en el Auto del 14 de agosto de 2017</w:t>
      </w:r>
      <w:r w:rsidRPr="00C22EDD">
        <w:rPr>
          <w:rStyle w:val="Refdenotaalpie"/>
          <w:rFonts w:ascii="Arial" w:hAnsi="Arial" w:cs="Arial"/>
          <w:color w:val="000000" w:themeColor="text1"/>
          <w:sz w:val="22"/>
          <w:lang w:val="es-ES_tradnl"/>
        </w:rPr>
        <w:footnoteReference w:id="9"/>
      </w:r>
      <w:r w:rsidRPr="00C22EDD">
        <w:rPr>
          <w:rFonts w:ascii="Arial" w:hAnsi="Arial" w:cs="Arial"/>
          <w:color w:val="000000" w:themeColor="text1"/>
          <w:sz w:val="22"/>
          <w:lang w:val="es-ES_tradnl"/>
        </w:rPr>
        <w:t>, expresó que la obligación prevista en la Circular Externa No. 1 se ajusta a la normativa superior, en los siguientes términos:</w:t>
      </w:r>
    </w:p>
    <w:p w14:paraId="1322FC1A" w14:textId="77777777" w:rsidR="00C02156" w:rsidRPr="00C22EDD" w:rsidRDefault="00C02156" w:rsidP="00C02156">
      <w:pPr>
        <w:spacing w:line="276" w:lineRule="auto"/>
        <w:jc w:val="both"/>
        <w:rPr>
          <w:rFonts w:ascii="Arial" w:hAnsi="Arial" w:cs="Arial"/>
          <w:color w:val="000000" w:themeColor="text1"/>
          <w:sz w:val="22"/>
          <w:lang w:val="es-ES_tradnl"/>
        </w:rPr>
      </w:pPr>
    </w:p>
    <w:p w14:paraId="402E1EED" w14:textId="77777777" w:rsidR="00C02156" w:rsidRPr="00C22EDD" w:rsidRDefault="00C02156" w:rsidP="00C02156">
      <w:pPr>
        <w:tabs>
          <w:tab w:val="left" w:pos="3885"/>
        </w:tabs>
        <w:spacing w:after="120"/>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4654DC1" w14:textId="77777777" w:rsidR="00C02156" w:rsidRPr="00C22EDD" w:rsidRDefault="00C02156" w:rsidP="00C02156">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7D64AEEA" w14:textId="77777777" w:rsidR="00C02156" w:rsidRPr="00C22EDD" w:rsidRDefault="00C02156" w:rsidP="00C02156">
      <w:pPr>
        <w:tabs>
          <w:tab w:val="left" w:pos="3885"/>
        </w:tabs>
        <w:spacing w:after="120"/>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w:t>
      </w:r>
    </w:p>
    <w:p w14:paraId="1A9743FE" w14:textId="77777777" w:rsidR="00C02156" w:rsidRPr="00C22EDD" w:rsidRDefault="00C02156" w:rsidP="00C02156">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C22EDD">
        <w:rPr>
          <w:rStyle w:val="Refdenotaalpie"/>
          <w:rFonts w:ascii="Arial" w:hAnsi="Arial" w:cs="Arial"/>
          <w:color w:val="000000" w:themeColor="text1"/>
          <w:sz w:val="21"/>
          <w:szCs w:val="21"/>
          <w:lang w:val="es-ES_tradnl"/>
        </w:rPr>
        <w:footnoteReference w:id="10"/>
      </w:r>
      <w:r>
        <w:rPr>
          <w:rFonts w:ascii="Arial" w:hAnsi="Arial" w:cs="Arial"/>
          <w:color w:val="000000" w:themeColor="text1"/>
          <w:sz w:val="21"/>
          <w:szCs w:val="21"/>
          <w:lang w:val="es-ES_tradnl"/>
        </w:rPr>
        <w:t>.</w:t>
      </w:r>
    </w:p>
    <w:p w14:paraId="381819DA" w14:textId="77777777" w:rsidR="00C02156" w:rsidRPr="00C22EDD" w:rsidRDefault="00C02156" w:rsidP="00C02156">
      <w:pPr>
        <w:tabs>
          <w:tab w:val="left" w:pos="3885"/>
        </w:tabs>
        <w:spacing w:line="276" w:lineRule="auto"/>
        <w:ind w:left="709" w:right="709"/>
        <w:jc w:val="both"/>
        <w:rPr>
          <w:rFonts w:ascii="Arial" w:eastAsia="Calibri" w:hAnsi="Arial" w:cs="Arial"/>
          <w:color w:val="000000" w:themeColor="text1"/>
          <w:sz w:val="22"/>
          <w:lang w:val="es-ES_tradnl"/>
        </w:rPr>
      </w:pPr>
    </w:p>
    <w:p w14:paraId="0FA48AFA" w14:textId="77777777" w:rsidR="00C02156" w:rsidRPr="00C22EDD" w:rsidRDefault="00C02156" w:rsidP="00C02156">
      <w:pPr>
        <w:spacing w:line="276" w:lineRule="auto"/>
        <w:ind w:firstLine="708"/>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Adicionalmente, </w:t>
      </w:r>
      <w:r>
        <w:rPr>
          <w:rFonts w:ascii="Arial" w:hAnsi="Arial" w:cs="Arial"/>
          <w:color w:val="000000" w:themeColor="text1"/>
          <w:sz w:val="22"/>
          <w:lang w:val="es-ES_tradnl"/>
        </w:rPr>
        <w:t>la publicación de</w:t>
      </w:r>
      <w:r w:rsidRPr="00C22EDD">
        <w:rPr>
          <w:rFonts w:ascii="Arial" w:hAnsi="Arial" w:cs="Arial"/>
          <w:color w:val="000000" w:themeColor="text1"/>
          <w:sz w:val="22"/>
          <w:lang w:val="es-ES_tradnl"/>
        </w:rPr>
        <w:t xml:space="preserve">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367456F0" w14:textId="77777777" w:rsidR="00C02156" w:rsidRPr="00C22EDD" w:rsidRDefault="00C02156" w:rsidP="00C02156">
      <w:pPr>
        <w:ind w:leftChars="709" w:left="1702" w:right="709" w:firstLine="2"/>
        <w:jc w:val="both"/>
        <w:rPr>
          <w:rFonts w:ascii="Arial" w:hAnsi="Arial" w:cs="Arial"/>
          <w:color w:val="000000" w:themeColor="text1"/>
          <w:sz w:val="21"/>
          <w:szCs w:val="21"/>
          <w:lang w:val="es-ES_tradnl"/>
        </w:rPr>
      </w:pPr>
    </w:p>
    <w:p w14:paraId="2837FEEB" w14:textId="77777777" w:rsidR="00C02156" w:rsidRPr="00C22EDD" w:rsidRDefault="00C02156" w:rsidP="00C02156">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xml:space="preserve">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w:t>
      </w:r>
      <w:r w:rsidRPr="00C22EDD">
        <w:rPr>
          <w:rFonts w:ascii="Arial" w:hAnsi="Arial" w:cs="Arial"/>
          <w:color w:val="000000" w:themeColor="text1"/>
          <w:sz w:val="21"/>
          <w:szCs w:val="21"/>
          <w:lang w:val="es-ES_tradnl"/>
        </w:rPr>
        <w:lastRenderedPageBreak/>
        <w:t>que no se estructura ese deber informativo en relación a los negocios que celebren con cargo a recursos de otra índole</w:t>
      </w:r>
      <w:r w:rsidRPr="00C22EDD">
        <w:rPr>
          <w:rStyle w:val="Refdenotaalpie"/>
          <w:rFonts w:ascii="Arial" w:hAnsi="Arial" w:cs="Arial"/>
          <w:color w:val="000000" w:themeColor="text1"/>
          <w:sz w:val="21"/>
          <w:szCs w:val="21"/>
          <w:lang w:val="es-ES_tradnl"/>
        </w:rPr>
        <w:footnoteReference w:id="11"/>
      </w:r>
      <w:r w:rsidRPr="00C22EDD">
        <w:rPr>
          <w:rFonts w:ascii="Arial" w:hAnsi="Arial" w:cs="Arial"/>
          <w:color w:val="000000" w:themeColor="text1"/>
          <w:sz w:val="21"/>
          <w:szCs w:val="21"/>
          <w:lang w:val="es-ES_tradnl"/>
        </w:rPr>
        <w:t>.</w:t>
      </w:r>
    </w:p>
    <w:p w14:paraId="073B4D06" w14:textId="77777777" w:rsidR="00C02156" w:rsidRPr="00C22EDD" w:rsidRDefault="00C02156" w:rsidP="00C02156">
      <w:pPr>
        <w:spacing w:line="276" w:lineRule="auto"/>
        <w:ind w:leftChars="709" w:left="1702" w:right="709"/>
        <w:jc w:val="both"/>
        <w:rPr>
          <w:rFonts w:ascii="Arial" w:hAnsi="Arial" w:cs="Arial"/>
          <w:color w:val="000000" w:themeColor="text1"/>
          <w:sz w:val="21"/>
          <w:szCs w:val="21"/>
          <w:lang w:val="es-ES_tradnl"/>
        </w:rPr>
      </w:pPr>
    </w:p>
    <w:p w14:paraId="090695E2" w14:textId="77777777" w:rsidR="00C02156" w:rsidRPr="00C22EDD" w:rsidRDefault="00C02156" w:rsidP="00C02156">
      <w:pPr>
        <w:spacing w:line="276" w:lineRule="auto"/>
        <w:ind w:firstLine="708"/>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Nótese, entonces, que en ese momento el Consejo de Estado asumió como criterio para determinar la obligatoriedad de publicar en el SECOP que la contratación se realizara con recursos públicos, conclusión que </w:t>
      </w:r>
      <w:r>
        <w:rPr>
          <w:rFonts w:ascii="Arial" w:hAnsi="Arial" w:cs="Arial"/>
          <w:color w:val="000000" w:themeColor="text1"/>
          <w:sz w:val="22"/>
          <w:lang w:val="es-ES_tradnl"/>
        </w:rPr>
        <w:t xml:space="preserve">se fundamenta en </w:t>
      </w:r>
      <w:r w:rsidRPr="00C22EDD">
        <w:rPr>
          <w:rFonts w:ascii="Arial" w:hAnsi="Arial" w:cs="Arial"/>
          <w:color w:val="000000" w:themeColor="text1"/>
          <w:sz w:val="22"/>
          <w:lang w:val="es-ES_tradnl"/>
        </w:rPr>
        <w:t xml:space="preserve">el literal c) del artículo 3 de la Ley 1150 de 2007. Así, </w:t>
      </w:r>
      <w:r>
        <w:rPr>
          <w:rFonts w:ascii="Arial" w:hAnsi="Arial" w:cs="Arial"/>
          <w:color w:val="000000" w:themeColor="text1"/>
          <w:sz w:val="22"/>
          <w:lang w:val="es-ES_tradnl"/>
        </w:rPr>
        <w:t>la decisión judicial citada refuerza la obligación de publicar en el SECOP, mandato que además está expresamente consagrado en</w:t>
      </w:r>
      <w:r w:rsidRPr="00C22EDD">
        <w:rPr>
          <w:rFonts w:ascii="Arial" w:hAnsi="Arial" w:cs="Arial"/>
          <w:color w:val="000000" w:themeColor="text1"/>
          <w:sz w:val="22"/>
          <w:lang w:val="es-ES_tradnl"/>
        </w:rPr>
        <w:t xml:space="preserve"> las Leyes 1150 de 2007, 1712 de 2014 y la Circular Externa Única. </w:t>
      </w:r>
    </w:p>
    <w:p w14:paraId="5CB0A324" w14:textId="77777777" w:rsidR="00C02156" w:rsidRPr="00C22EDD" w:rsidRDefault="00C02156" w:rsidP="00C02156">
      <w:pPr>
        <w:pStyle w:val="Prrafodelista"/>
        <w:tabs>
          <w:tab w:val="left" w:pos="284"/>
          <w:tab w:val="left" w:pos="426"/>
        </w:tabs>
        <w:spacing w:line="276" w:lineRule="auto"/>
        <w:ind w:left="0"/>
        <w:jc w:val="both"/>
        <w:rPr>
          <w:rFonts w:ascii="Arial" w:hAnsi="Arial" w:cs="Arial"/>
          <w:b/>
          <w:color w:val="000000" w:themeColor="text1"/>
          <w:sz w:val="22"/>
          <w:lang w:val="es-ES_tradnl"/>
        </w:rPr>
      </w:pPr>
    </w:p>
    <w:p w14:paraId="7F6F8413" w14:textId="77777777" w:rsidR="00C02156" w:rsidRPr="00C22EDD" w:rsidRDefault="00C02156" w:rsidP="00C02156">
      <w:pPr>
        <w:spacing w:line="276" w:lineRule="auto"/>
        <w:jc w:val="both"/>
        <w:rPr>
          <w:rFonts w:ascii="Arial" w:eastAsia="Calibri" w:hAnsi="Arial" w:cs="Arial"/>
          <w:b/>
          <w:color w:val="000000" w:themeColor="text1"/>
          <w:sz w:val="22"/>
          <w:lang w:val="es-ES_tradnl"/>
        </w:rPr>
      </w:pPr>
      <w:r w:rsidRPr="00C22EDD">
        <w:rPr>
          <w:rFonts w:ascii="Arial" w:eastAsia="Calibri" w:hAnsi="Arial" w:cs="Arial"/>
          <w:b/>
          <w:color w:val="000000" w:themeColor="text1"/>
          <w:sz w:val="22"/>
          <w:lang w:val="es-ES_tradnl"/>
        </w:rPr>
        <w:t>2.2. Efectos del auto del Consejo de Estado del 25 de febrero de 2021 sobre la publicación en el SECOP por parte de las entidades estatales con régimen especial de contratación</w:t>
      </w:r>
    </w:p>
    <w:p w14:paraId="742AD199" w14:textId="77777777" w:rsidR="00C02156" w:rsidRPr="00C22EDD" w:rsidRDefault="00C02156" w:rsidP="00C02156">
      <w:pPr>
        <w:pStyle w:val="Prrafodelista"/>
        <w:tabs>
          <w:tab w:val="left" w:pos="284"/>
          <w:tab w:val="left" w:pos="426"/>
        </w:tabs>
        <w:spacing w:line="276" w:lineRule="auto"/>
        <w:ind w:left="0"/>
        <w:jc w:val="both"/>
        <w:rPr>
          <w:rFonts w:ascii="Arial" w:hAnsi="Arial" w:cs="Arial"/>
          <w:b/>
          <w:color w:val="000000" w:themeColor="text1"/>
          <w:sz w:val="22"/>
          <w:lang w:val="es-ES_tradnl"/>
        </w:rPr>
      </w:pPr>
    </w:p>
    <w:p w14:paraId="29B7CECC" w14:textId="77777777" w:rsidR="00C02156" w:rsidRPr="00C22EDD" w:rsidRDefault="00C02156" w:rsidP="00C02156">
      <w:pPr>
        <w:pStyle w:val="Prrafodelista"/>
        <w:tabs>
          <w:tab w:val="left" w:pos="284"/>
          <w:tab w:val="left" w:pos="426"/>
        </w:tabs>
        <w:spacing w:line="276" w:lineRule="auto"/>
        <w:ind w:left="0"/>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El 25 de febrero de 2021 la Sección Tercera del Consejo de Estado expidió un auto</w:t>
      </w:r>
      <w:r w:rsidRPr="00C22EDD">
        <w:rPr>
          <w:rStyle w:val="Refdenotaalpie"/>
          <w:rFonts w:ascii="Arial" w:hAnsi="Arial" w:cs="Arial"/>
          <w:bCs/>
          <w:color w:val="000000" w:themeColor="text1"/>
          <w:sz w:val="22"/>
          <w:lang w:val="es-ES_tradnl"/>
        </w:rPr>
        <w:footnoteReference w:id="12"/>
      </w:r>
      <w:r w:rsidRPr="00C22EDD">
        <w:rPr>
          <w:rFonts w:ascii="Arial" w:hAnsi="Arial" w:cs="Arial"/>
          <w:bCs/>
          <w:color w:val="000000" w:themeColor="text1"/>
          <w:sz w:val="22"/>
          <w:lang w:val="es-ES_tradnl"/>
        </w:rPr>
        <w:t xml:space="preserve"> mediante el cual decretó la suspensión provisional de algunos apartes de las circulares externas No. 1 del 21 de junio de 2013 y No. 20 del 27 de agosto de 2015. Teniendo en cuenta que esta decisión judicial</w:t>
      </w:r>
      <w:r>
        <w:rPr>
          <w:rFonts w:ascii="Arial" w:hAnsi="Arial" w:cs="Arial"/>
          <w:bCs/>
          <w:color w:val="000000" w:themeColor="text1"/>
          <w:sz w:val="22"/>
          <w:lang w:val="es-ES_tradnl"/>
        </w:rPr>
        <w:t xml:space="preserve"> es</w:t>
      </w:r>
      <w:r w:rsidRPr="00C22EDD">
        <w:rPr>
          <w:rFonts w:ascii="Arial" w:hAnsi="Arial" w:cs="Arial"/>
          <w:bCs/>
          <w:color w:val="000000" w:themeColor="text1"/>
          <w:sz w:val="22"/>
          <w:lang w:val="es-ES_tradnl"/>
        </w:rPr>
        <w:t xml:space="preserve"> la razón que motiva la presente consulta, se efectuará una síntesis de la providencia y de los argumentos en los que se apoya el Consejo de Estado. </w:t>
      </w:r>
      <w:r>
        <w:rPr>
          <w:rFonts w:ascii="Arial" w:hAnsi="Arial" w:cs="Arial"/>
          <w:bCs/>
          <w:color w:val="000000" w:themeColor="text1"/>
          <w:sz w:val="22"/>
          <w:lang w:val="es-ES_tradnl"/>
        </w:rPr>
        <w:t>Sin embargo</w:t>
      </w:r>
      <w:r w:rsidRPr="00C22EDD">
        <w:rPr>
          <w:rFonts w:ascii="Arial" w:hAnsi="Arial" w:cs="Arial"/>
          <w:bCs/>
          <w:color w:val="000000" w:themeColor="text1"/>
          <w:sz w:val="22"/>
          <w:lang w:val="es-ES_tradnl"/>
        </w:rPr>
        <w:t xml:space="preserve">, antes de proceder con ello, es importante hacer tres aclaraciones importantes: </w:t>
      </w:r>
    </w:p>
    <w:p w14:paraId="0B853776" w14:textId="77777777" w:rsidR="00C02156" w:rsidRPr="00C22EDD" w:rsidRDefault="00C02156" w:rsidP="00C02156">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La primera es que la suspensión provisional es una medida cautelar consagrada en el artículo 238 de la Constitución Política</w:t>
      </w:r>
      <w:r w:rsidRPr="00C22EDD">
        <w:rPr>
          <w:rStyle w:val="Refdenotaalpie"/>
          <w:rFonts w:ascii="Arial" w:hAnsi="Arial" w:cs="Arial"/>
          <w:bCs/>
          <w:color w:val="000000" w:themeColor="text1"/>
          <w:sz w:val="22"/>
          <w:lang w:val="es-ES_tradnl"/>
        </w:rPr>
        <w:footnoteReference w:id="13"/>
      </w:r>
      <w:r w:rsidRPr="00C22EDD">
        <w:rPr>
          <w:rFonts w:ascii="Arial" w:hAnsi="Arial" w:cs="Arial"/>
          <w:bCs/>
          <w:color w:val="000000" w:themeColor="text1"/>
          <w:sz w:val="22"/>
          <w:lang w:val="es-ES_tradnl"/>
        </w:rPr>
        <w:t xml:space="preserve"> y en el artículo 230, numeral 3 de la Ley 1437 de 2011</w:t>
      </w:r>
      <w:r w:rsidRPr="00C22EDD">
        <w:rPr>
          <w:rStyle w:val="Refdenotaalpie"/>
          <w:rFonts w:ascii="Arial" w:hAnsi="Arial" w:cs="Arial"/>
          <w:bCs/>
          <w:color w:val="000000" w:themeColor="text1"/>
          <w:sz w:val="22"/>
          <w:lang w:val="es-ES_tradnl"/>
        </w:rPr>
        <w:footnoteReference w:id="14"/>
      </w:r>
      <w:r w:rsidRPr="00C22EDD">
        <w:rPr>
          <w:rFonts w:ascii="Arial" w:hAnsi="Arial" w:cs="Arial"/>
          <w:bCs/>
          <w:color w:val="000000" w:themeColor="text1"/>
          <w:sz w:val="22"/>
          <w:lang w:val="es-ES_tradnl"/>
        </w:rPr>
        <w:t>, que genera –al menos mientras se expide la sentencia– la pérdida de fuerza ejecutoria de los actos administrativos</w:t>
      </w:r>
      <w:r w:rsidRPr="00C22EDD">
        <w:rPr>
          <w:rStyle w:val="Refdenotaalpie"/>
          <w:rFonts w:ascii="Arial" w:hAnsi="Arial" w:cs="Arial"/>
          <w:bCs/>
          <w:color w:val="000000" w:themeColor="text1"/>
          <w:sz w:val="22"/>
          <w:lang w:val="es-ES_tradnl"/>
        </w:rPr>
        <w:footnoteReference w:id="15"/>
      </w:r>
      <w:r w:rsidRPr="00C22EDD">
        <w:rPr>
          <w:rFonts w:ascii="Arial" w:hAnsi="Arial" w:cs="Arial"/>
          <w:bCs/>
          <w:color w:val="000000" w:themeColor="text1"/>
          <w:sz w:val="22"/>
          <w:lang w:val="es-ES_tradnl"/>
        </w:rPr>
        <w:t xml:space="preserve">, pero no la pérdida de su presunción de legalidad, </w:t>
      </w:r>
      <w:r w:rsidRPr="00C22EDD">
        <w:rPr>
          <w:rFonts w:ascii="Arial" w:hAnsi="Arial" w:cs="Arial"/>
          <w:bCs/>
          <w:color w:val="000000" w:themeColor="text1"/>
          <w:sz w:val="22"/>
          <w:lang w:val="es-ES_tradnl"/>
        </w:rPr>
        <w:lastRenderedPageBreak/>
        <w:t xml:space="preserve">pues el artículo 88 de la Ley 1437 de 2011 dispone que esta solo desaparece cuando los actos administrativos «hayan sido anulados por la Jurisdicción de lo Contencioso Administrativo». Por consiguiente, las circulares externas No. 1 del 21 de junio de 2013 y No. 20 del 27 de agosto de 2015 continúan presumiéndose legales.  </w:t>
      </w:r>
    </w:p>
    <w:p w14:paraId="10AD6B0F" w14:textId="77777777" w:rsidR="00C02156" w:rsidRPr="00C22EDD" w:rsidRDefault="00C02156" w:rsidP="00C02156">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 xml:space="preserve">La segunda precisión es que en el auto que se comentará a continuación, no se declara la suspensión provisional de todo el contenido de las circulares externas No. 1 del 21 de junio de 2013 y No. 20 del 27 de agosto de 2015, sino solo de algunos apartes que utilizan la expresión «actividad contractual», lo que por supuesto, exige determinar en qué estado queda la obligación de las entidades estatales con régimen especial de contratación de publicar la documentación contractual en el SECOP. </w:t>
      </w:r>
    </w:p>
    <w:p w14:paraId="67F0D2F9" w14:textId="77777777" w:rsidR="00C02156" w:rsidRPr="00C22EDD" w:rsidRDefault="00C02156" w:rsidP="00C02156">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La tercera salvedad es que la Circular Externa Única –actualizada el 16 de abril de 2019–</w:t>
      </w:r>
      <w:r w:rsidRPr="00C22EDD">
        <w:rPr>
          <w:rStyle w:val="Refdenotaalpie"/>
          <w:rFonts w:ascii="Arial" w:hAnsi="Arial" w:cs="Arial"/>
          <w:bCs/>
          <w:color w:val="000000" w:themeColor="text1"/>
          <w:sz w:val="22"/>
          <w:lang w:val="es-ES_tradnl"/>
        </w:rPr>
        <w:footnoteReference w:id="16"/>
      </w:r>
      <w:r w:rsidRPr="00C22EDD">
        <w:rPr>
          <w:rFonts w:ascii="Arial" w:hAnsi="Arial" w:cs="Arial"/>
          <w:bCs/>
          <w:color w:val="000000" w:themeColor="text1"/>
          <w:sz w:val="22"/>
          <w:lang w:val="es-ES_tradnl"/>
        </w:rPr>
        <w:t xml:space="preserve">, la Circular No. 007 de 2020 </w:t>
      </w:r>
      <w:r w:rsidRPr="00C22EDD">
        <w:rPr>
          <w:rFonts w:ascii="Arial" w:hAnsi="Arial" w:cs="Arial"/>
          <w:bCs/>
          <w:color w:val="000000" w:themeColor="text1"/>
          <w:sz w:val="22"/>
          <w:lang w:val="es-ES_tradnl"/>
        </w:rPr>
        <w:softHyphen/>
        <w:t>–sobre actualización y diligenciamiento de información en el Sistema Electrónico para la Contratación Pública – SECOP–</w:t>
      </w:r>
      <w:r w:rsidRPr="00C22EDD">
        <w:rPr>
          <w:rStyle w:val="Refdenotaalpie"/>
          <w:rFonts w:ascii="Arial" w:hAnsi="Arial" w:cs="Arial"/>
          <w:bCs/>
          <w:color w:val="000000" w:themeColor="text1"/>
          <w:sz w:val="22"/>
          <w:lang w:val="es-ES_tradnl"/>
        </w:rPr>
        <w:footnoteReference w:id="17"/>
      </w:r>
      <w:r w:rsidRPr="00C22EDD">
        <w:rPr>
          <w:rFonts w:ascii="Arial" w:hAnsi="Arial" w:cs="Arial"/>
          <w:bCs/>
          <w:color w:val="000000" w:themeColor="text1"/>
          <w:sz w:val="22"/>
          <w:lang w:val="es-ES_tradnl"/>
        </w:rPr>
        <w:t xml:space="preserve"> y la Circular </w:t>
      </w:r>
      <w:proofErr w:type="spellStart"/>
      <w:r w:rsidRPr="00C22EDD">
        <w:rPr>
          <w:rFonts w:ascii="Arial" w:hAnsi="Arial" w:cs="Arial"/>
          <w:bCs/>
          <w:color w:val="000000" w:themeColor="text1"/>
          <w:sz w:val="22"/>
          <w:lang w:val="es-ES_tradnl"/>
        </w:rPr>
        <w:t>Nº</w:t>
      </w:r>
      <w:proofErr w:type="spellEnd"/>
      <w:r w:rsidRPr="00C22EDD">
        <w:rPr>
          <w:rFonts w:ascii="Arial" w:hAnsi="Arial" w:cs="Arial"/>
          <w:bCs/>
          <w:color w:val="000000" w:themeColor="text1"/>
          <w:sz w:val="22"/>
          <w:lang w:val="es-ES_tradnl"/>
        </w:rPr>
        <w:t xml:space="preserve"> 23 del 16 de marzo de 2017 –sobre la calidad y oportunidad de la información del Sistema de Compra Pública disponible en el SECOP–</w:t>
      </w:r>
      <w:r w:rsidRPr="00C22EDD">
        <w:rPr>
          <w:rStyle w:val="Refdenotaalpie"/>
          <w:rFonts w:ascii="Arial" w:hAnsi="Arial" w:cs="Arial"/>
          <w:bCs/>
          <w:color w:val="000000" w:themeColor="text1"/>
          <w:sz w:val="22"/>
          <w:lang w:val="es-ES_tradnl"/>
        </w:rPr>
        <w:footnoteReference w:id="18"/>
      </w:r>
      <w:r w:rsidRPr="00C22EDD">
        <w:rPr>
          <w:rFonts w:ascii="Arial" w:hAnsi="Arial" w:cs="Arial"/>
          <w:bCs/>
          <w:color w:val="000000" w:themeColor="text1"/>
          <w:sz w:val="22"/>
          <w:lang w:val="es-ES_tradnl"/>
        </w:rPr>
        <w:t xml:space="preserve">, permanecen vigentes, pues no fueron tampoco suspendidas por dicho auto. Como se verá, no </w:t>
      </w:r>
      <w:proofErr w:type="gramStart"/>
      <w:r w:rsidRPr="00C22EDD">
        <w:rPr>
          <w:rFonts w:ascii="Arial" w:hAnsi="Arial" w:cs="Arial"/>
          <w:bCs/>
          <w:color w:val="000000" w:themeColor="text1"/>
          <w:sz w:val="22"/>
          <w:lang w:val="es-ES_tradnl"/>
        </w:rPr>
        <w:t>obstante</w:t>
      </w:r>
      <w:proofErr w:type="gramEnd"/>
      <w:r w:rsidRPr="00C22EDD">
        <w:rPr>
          <w:rFonts w:ascii="Arial" w:hAnsi="Arial" w:cs="Arial"/>
          <w:bCs/>
          <w:color w:val="000000" w:themeColor="text1"/>
          <w:sz w:val="22"/>
          <w:lang w:val="es-ES_tradnl"/>
        </w:rPr>
        <w:t xml:space="preserve"> la suspensión provisional de los apartes de las circulares externas No. 1 del 21 de junio de 2013 y No. 20 del 27 de agosto de 2015, las otras circulares mencionadas, que no fueron suspendidas, continúan estableciendo directrices sobre la publicación de los documentos de la contratación en el SECOP para las entidades estatales que contratan con recursos públicos, incluidas aquellas que tienen régimen especial. Este deber se sustenta no solo en dichas circulares, sino</w:t>
      </w:r>
      <w:r>
        <w:rPr>
          <w:rFonts w:ascii="Arial" w:hAnsi="Arial" w:cs="Arial"/>
          <w:bCs/>
          <w:color w:val="000000" w:themeColor="text1"/>
          <w:sz w:val="22"/>
          <w:lang w:val="es-ES_tradnl"/>
        </w:rPr>
        <w:t>, especialmente,</w:t>
      </w:r>
      <w:r w:rsidRPr="00C22EDD">
        <w:rPr>
          <w:rFonts w:ascii="Arial" w:hAnsi="Arial" w:cs="Arial"/>
          <w:bCs/>
          <w:color w:val="000000" w:themeColor="text1"/>
          <w:sz w:val="22"/>
          <w:lang w:val="es-ES_tradnl"/>
        </w:rPr>
        <w:t xml:space="preserve"> en normas de rango constitucional, legal y reglamentario, como las señaladas en los numerales 2.1. y 2.3. de este concepto. Hechas estas aclaraciones, se comentará el auto del 25 de febrero de 2021.</w:t>
      </w:r>
    </w:p>
    <w:p w14:paraId="1CDA80F6" w14:textId="77777777" w:rsidR="00C02156" w:rsidRPr="00C22EDD" w:rsidRDefault="00C02156" w:rsidP="00C02156">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En ejercicio del medio de control de nulidad simple, dos empresas prestadoras de servicios públicos domiciliarios interpusieron demandas en contra de la Agencia Nacional </w:t>
      </w:r>
      <w:r w:rsidRPr="00C22EDD">
        <w:rPr>
          <w:rFonts w:ascii="Arial" w:hAnsi="Arial" w:cs="Arial"/>
          <w:color w:val="000000" w:themeColor="text1"/>
          <w:sz w:val="22"/>
          <w:lang w:val="es-ES_tradnl"/>
        </w:rPr>
        <w:lastRenderedPageBreak/>
        <w:t>de Contratación Pública – Colombia Compra Eficiente, para que se declarara la nulidad de las circulares externas No. 1 de 21 de junio de 2013 y No. 20 de 27 de agosto de 2015, considerando que dichas circulares se expidieron con falta de competencia e inobservancia de las normas en que deberían fundarse, solicitando a su vez la suspensión provisional de las mismas. En dichas circulares se trata, respectivamente, el deber de publicar la actividad contractual en el SECOP y las condiciones de publicidad de esta información por parte de las empresas industriales y comerciales del Estado, las sociedades de economía mixta y las empresas de servicios públicos domiciliarios.</w:t>
      </w:r>
    </w:p>
    <w:p w14:paraId="0592236E" w14:textId="77777777" w:rsidR="00C02156" w:rsidRPr="00C22EDD" w:rsidRDefault="00C02156" w:rsidP="00C02156">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Luego de verificar las condiciones de procedencia de la medida cautelar solicitada, en el auto del 25 de febrero de 2021 la Sección Tercera del Consejo de Estado decreta la suspensión provisional de los apartes de las mencionadas circulares que establecen que dichas entidades deben publicar su </w:t>
      </w:r>
      <w:r w:rsidRPr="00C22EDD">
        <w:rPr>
          <w:rFonts w:ascii="Arial" w:hAnsi="Arial" w:cs="Arial"/>
          <w:i/>
          <w:iCs/>
          <w:color w:val="000000" w:themeColor="text1"/>
          <w:sz w:val="22"/>
          <w:lang w:val="es-ES_tradnl"/>
        </w:rPr>
        <w:t>actividad contractual</w:t>
      </w:r>
      <w:r w:rsidRPr="00C22EDD">
        <w:rPr>
          <w:rFonts w:ascii="Arial" w:hAnsi="Arial" w:cs="Arial"/>
          <w:color w:val="000000" w:themeColor="text1"/>
          <w:sz w:val="22"/>
          <w:lang w:val="es-ES_tradnl"/>
        </w:rPr>
        <w:t xml:space="preserve"> en el SECOP. Los argumentos en los que se apoya el alto tribunal para suspender provisionalmente tales expresiones son básicamente dos: «(i) las circulares se expidieron por fuera del ámbito de competencia de Colombia Compra Eficiente; y (</w:t>
      </w:r>
      <w:proofErr w:type="spellStart"/>
      <w:r w:rsidRPr="00C22EDD">
        <w:rPr>
          <w:rFonts w:ascii="Arial" w:hAnsi="Arial" w:cs="Arial"/>
          <w:color w:val="000000" w:themeColor="text1"/>
          <w:sz w:val="22"/>
          <w:lang w:val="es-ES_tradnl"/>
        </w:rPr>
        <w:t>ii</w:t>
      </w:r>
      <w:proofErr w:type="spellEnd"/>
      <w:r w:rsidRPr="00C22EDD">
        <w:rPr>
          <w:rFonts w:ascii="Arial" w:hAnsi="Arial" w:cs="Arial"/>
          <w:color w:val="000000" w:themeColor="text1"/>
          <w:sz w:val="22"/>
          <w:lang w:val="es-ES_tradnl"/>
        </w:rPr>
        <w:t>) las Circulares Externas No. 1 de 21 de junio de 2013 y 20 de 27 de agosto de 2015 contrarían lo previsto en el artículo 3o de la Ley 1150 de 2007»</w:t>
      </w:r>
      <w:r w:rsidRPr="00C22EDD">
        <w:rPr>
          <w:rStyle w:val="Refdenotaalpie"/>
          <w:rFonts w:ascii="Arial" w:hAnsi="Arial" w:cs="Arial"/>
          <w:color w:val="000000" w:themeColor="text1"/>
          <w:sz w:val="22"/>
          <w:lang w:val="es-ES_tradnl"/>
        </w:rPr>
        <w:footnoteReference w:id="19"/>
      </w:r>
      <w:r w:rsidRPr="00C22EDD">
        <w:rPr>
          <w:rFonts w:ascii="Arial" w:hAnsi="Arial" w:cs="Arial"/>
          <w:color w:val="000000" w:themeColor="text1"/>
          <w:sz w:val="22"/>
          <w:lang w:val="es-ES_tradnl"/>
        </w:rPr>
        <w:t xml:space="preserve">. </w:t>
      </w:r>
      <w:r>
        <w:rPr>
          <w:rFonts w:ascii="Arial" w:hAnsi="Arial" w:cs="Arial"/>
          <w:color w:val="000000" w:themeColor="text1"/>
          <w:sz w:val="22"/>
          <w:lang w:val="es-ES_tradnl"/>
        </w:rPr>
        <w:t>La providencia</w:t>
      </w:r>
      <w:r w:rsidRPr="00C22EDD">
        <w:rPr>
          <w:rFonts w:ascii="Arial" w:hAnsi="Arial" w:cs="Arial"/>
          <w:color w:val="000000" w:themeColor="text1"/>
          <w:sz w:val="22"/>
          <w:lang w:val="es-ES_tradnl"/>
        </w:rPr>
        <w:t>, además, indica que se aparta del auto de la Sección Tercera del 14 de agosto de 201</w:t>
      </w:r>
      <w:r>
        <w:rPr>
          <w:rFonts w:ascii="Arial" w:hAnsi="Arial" w:cs="Arial"/>
          <w:color w:val="000000" w:themeColor="text1"/>
          <w:sz w:val="22"/>
          <w:lang w:val="es-ES_tradnl"/>
        </w:rPr>
        <w:t>7</w:t>
      </w:r>
      <w:r w:rsidRPr="00C22EDD">
        <w:rPr>
          <w:rFonts w:ascii="Arial" w:hAnsi="Arial" w:cs="Arial"/>
          <w:color w:val="000000" w:themeColor="text1"/>
          <w:sz w:val="22"/>
          <w:lang w:val="es-ES_tradnl"/>
        </w:rPr>
        <w:t>, que había negado la suspensión provisional de la circular externa No. 1 de 21 de junio de 2013, por considerar que no hace un análisis adecuado sobre la viabilidad de dicha medida y porque no existe en él cosa juzgada.</w:t>
      </w:r>
    </w:p>
    <w:p w14:paraId="5265E011" w14:textId="77777777" w:rsidR="00C02156" w:rsidRPr="00C22EDD" w:rsidRDefault="00C02156" w:rsidP="00C02156">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Por otra parte, en el auto del 25 de febrero de 2021 se sostiene que la Agencia Nacional de Contratación Pública – Colombia Compra Eficiente habría contrariado el literal c) del artículo 3 de la Ley 1150 de 2007, porque en las circulares cuya nulidad se demanda equiparó la expresión «información oficial de la contratación» con la de «actividad contractual». En otras palabras, señala que cuando el artículo 3, literal c) de la Ley 1150 de 2007 establece que el SECOP «Contará con la </w:t>
      </w:r>
      <w:r w:rsidRPr="00C22EDD">
        <w:rPr>
          <w:rFonts w:ascii="Arial" w:hAnsi="Arial" w:cs="Arial"/>
          <w:i/>
          <w:iCs/>
          <w:color w:val="000000" w:themeColor="text1"/>
          <w:sz w:val="22"/>
          <w:lang w:val="es-ES_tradnl"/>
        </w:rPr>
        <w:t>información oficial</w:t>
      </w:r>
      <w:r w:rsidRPr="00C22EDD">
        <w:rPr>
          <w:rFonts w:ascii="Arial" w:hAnsi="Arial" w:cs="Arial"/>
          <w:color w:val="000000" w:themeColor="text1"/>
          <w:sz w:val="22"/>
          <w:lang w:val="es-ES_tradnl"/>
        </w:rPr>
        <w:t xml:space="preserve"> de la contratación realizada con dineros públicos, […]» (cursiva fuera de texto), la expresión «información contractual» no se puede entender, para las entidades estatales que en la contratación se rigen por el derecho privado, como «actividad contractual», porque ello desconoce que aunque contratan con recursos públicos, el alcance del deber de publicidad en aquellas es diferente del que está radicado en las entidades estatales sometidas al Estatuto General de Contratación de la Administración Pública</w:t>
      </w:r>
      <w:r>
        <w:rPr>
          <w:rFonts w:ascii="Arial" w:hAnsi="Arial" w:cs="Arial"/>
          <w:color w:val="000000" w:themeColor="text1"/>
          <w:sz w:val="22"/>
          <w:lang w:val="es-ES_tradnl"/>
        </w:rPr>
        <w:t xml:space="preserve"> ‒en adelante también EGCAP‒</w:t>
      </w:r>
      <w:r w:rsidRPr="00C22EDD">
        <w:rPr>
          <w:rFonts w:ascii="Arial" w:hAnsi="Arial" w:cs="Arial"/>
          <w:color w:val="000000" w:themeColor="text1"/>
          <w:sz w:val="22"/>
          <w:lang w:val="es-ES_tradnl"/>
        </w:rPr>
        <w:t>. En consecuencia, para el Consejo de Estado, Colombia Compra eficiente ejerció una potestad reglamentaria sobre el mencionado literal de la Ley 1150 de 2007, para la cual carec</w:t>
      </w:r>
      <w:r>
        <w:rPr>
          <w:rFonts w:ascii="Arial" w:hAnsi="Arial" w:cs="Arial"/>
          <w:color w:val="000000" w:themeColor="text1"/>
          <w:sz w:val="22"/>
          <w:lang w:val="es-ES_tradnl"/>
        </w:rPr>
        <w:t>ía</w:t>
      </w:r>
      <w:r w:rsidRPr="00C22EDD">
        <w:rPr>
          <w:rFonts w:ascii="Arial" w:hAnsi="Arial" w:cs="Arial"/>
          <w:color w:val="000000" w:themeColor="text1"/>
          <w:sz w:val="22"/>
          <w:lang w:val="es-ES_tradnl"/>
        </w:rPr>
        <w:t xml:space="preserve"> de competencia.</w:t>
      </w:r>
    </w:p>
    <w:p w14:paraId="2951D35B" w14:textId="77777777" w:rsidR="00C02156" w:rsidRPr="00C22EDD" w:rsidRDefault="00C02156" w:rsidP="00C02156">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lastRenderedPageBreak/>
        <w:t xml:space="preserve">No obstante, en el auto bajo análisis la Sección Tercera admite que a las entidades exceptuadas de la aplicación del Estatuto General de Contratación de la Administración Pública </w:t>
      </w:r>
      <w:r w:rsidRPr="00C22EDD">
        <w:rPr>
          <w:rFonts w:ascii="Arial" w:hAnsi="Arial" w:cs="Arial"/>
          <w:i/>
          <w:iCs/>
          <w:color w:val="000000" w:themeColor="text1"/>
          <w:sz w:val="22"/>
          <w:lang w:val="es-ES_tradnl"/>
        </w:rPr>
        <w:t>sí</w:t>
      </w:r>
      <w:r w:rsidRPr="00C22EDD">
        <w:rPr>
          <w:rFonts w:ascii="Arial" w:hAnsi="Arial" w:cs="Arial"/>
          <w:color w:val="000000" w:themeColor="text1"/>
          <w:sz w:val="22"/>
          <w:lang w:val="es-ES_tradnl"/>
        </w:rPr>
        <w:t xml:space="preserve"> les resulta aplicable el deber de publicar la «información oficial de la contratación» en el SECOP, pero no de la manera como precisó el alcance de dicho mandato la Agencia Nacional de Contratación Pública – Colombia Compra Eficiente en las circulares </w:t>
      </w:r>
      <w:proofErr w:type="spellStart"/>
      <w:r w:rsidRPr="00C22EDD">
        <w:rPr>
          <w:rFonts w:ascii="Arial" w:hAnsi="Arial" w:cs="Arial"/>
          <w:color w:val="000000" w:themeColor="text1"/>
          <w:sz w:val="22"/>
          <w:lang w:val="es-ES_tradnl"/>
        </w:rPr>
        <w:t>Nº</w:t>
      </w:r>
      <w:proofErr w:type="spellEnd"/>
      <w:r w:rsidRPr="00C22EDD">
        <w:rPr>
          <w:rFonts w:ascii="Arial" w:hAnsi="Arial" w:cs="Arial"/>
          <w:color w:val="000000" w:themeColor="text1"/>
          <w:sz w:val="22"/>
          <w:lang w:val="es-ES_tradnl"/>
        </w:rPr>
        <w:t xml:space="preserve">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w:t>
      </w:r>
      <w:r w:rsidRPr="00C22EDD">
        <w:rPr>
          <w:rStyle w:val="Refdenotaalpie"/>
          <w:rFonts w:ascii="Arial" w:hAnsi="Arial" w:cs="Arial"/>
          <w:color w:val="000000" w:themeColor="text1"/>
          <w:sz w:val="22"/>
          <w:lang w:val="es-ES_tradnl"/>
        </w:rPr>
        <w:footnoteReference w:id="20"/>
      </w:r>
      <w:r w:rsidRPr="00C22EDD">
        <w:rPr>
          <w:rFonts w:ascii="Arial" w:hAnsi="Arial" w:cs="Arial"/>
          <w:color w:val="000000" w:themeColor="text1"/>
          <w:sz w:val="22"/>
          <w:lang w:val="es-ES_tradnl"/>
        </w:rPr>
        <w:t>. Para el Consejo de Estado, quien debe decir qué debe entenderse por la expresión «información oficial de la contratación» es el legislador o a lo sumo el gobierno nacional a través de un decreto reglamentario, no la Agencia mediante una circular.</w:t>
      </w:r>
    </w:p>
    <w:p w14:paraId="4326021B" w14:textId="77777777" w:rsidR="00C02156" w:rsidRPr="00C22EDD" w:rsidRDefault="00C02156" w:rsidP="00C02156">
      <w:pPr>
        <w:spacing w:before="120" w:line="276" w:lineRule="auto"/>
        <w:ind w:firstLine="709"/>
        <w:jc w:val="both"/>
        <w:rPr>
          <w:rFonts w:ascii="Arial" w:hAnsi="Arial" w:cs="Arial"/>
          <w:sz w:val="22"/>
          <w:szCs w:val="22"/>
          <w:lang w:val="es-ES_tradnl"/>
        </w:rPr>
      </w:pPr>
      <w:r w:rsidRPr="00C22EDD">
        <w:rPr>
          <w:rFonts w:ascii="Arial" w:hAnsi="Arial" w:cs="Arial"/>
          <w:color w:val="000000" w:themeColor="text1"/>
          <w:sz w:val="22"/>
          <w:szCs w:val="22"/>
          <w:lang w:val="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w:t>
      </w:r>
      <w:r w:rsidRPr="00C22EDD">
        <w:rPr>
          <w:rFonts w:ascii="Arial" w:hAnsi="Arial" w:cs="Arial"/>
          <w:sz w:val="22"/>
          <w:szCs w:val="22"/>
          <w:lang w:val="es-ES_tradnl"/>
        </w:rPr>
        <w:t>No hay duda de que el literal c) del artículo 3o pertenece a este grupo de normas. Expresamente establece que ese aparte del artículo se aplica a la “</w:t>
      </w:r>
      <w:r w:rsidRPr="00C22EDD">
        <w:rPr>
          <w:rFonts w:ascii="Arial" w:hAnsi="Arial" w:cs="Arial"/>
          <w:i/>
          <w:iCs/>
          <w:sz w:val="22"/>
          <w:szCs w:val="22"/>
          <w:lang w:val="es-ES_tradnl"/>
        </w:rPr>
        <w:t>contratación realizada con dineros públicos</w:t>
      </w:r>
      <w:r w:rsidRPr="00C22EDD">
        <w:rPr>
          <w:rFonts w:ascii="Arial" w:hAnsi="Arial" w:cs="Arial"/>
          <w:sz w:val="22"/>
          <w:szCs w:val="22"/>
          <w:lang w:val="es-ES_tradnl"/>
        </w:rPr>
        <w:t>”. Para su aplicación resulta irrelevante el régimen contractual del contrato. La publicación de la información oficial de la contratación debe realizarse si los negocios jurídicos adelantados fueron financiados con recursos públicos»</w:t>
      </w:r>
      <w:r w:rsidRPr="00C22EDD">
        <w:rPr>
          <w:rStyle w:val="Refdenotaalpie"/>
          <w:rFonts w:ascii="Arial" w:hAnsi="Arial" w:cs="Arial"/>
          <w:sz w:val="22"/>
          <w:szCs w:val="22"/>
          <w:lang w:val="es-ES_tradnl"/>
        </w:rPr>
        <w:footnoteReference w:id="21"/>
      </w:r>
      <w:r w:rsidRPr="00C22EDD">
        <w:rPr>
          <w:rFonts w:ascii="Arial" w:hAnsi="Arial" w:cs="Arial"/>
          <w:sz w:val="22"/>
          <w:szCs w:val="22"/>
          <w:lang w:val="es-ES_tradnl"/>
        </w:rPr>
        <w:t xml:space="preserve">. </w:t>
      </w:r>
    </w:p>
    <w:p w14:paraId="242B9A8E" w14:textId="77777777" w:rsidR="00C02156" w:rsidRPr="00C22EDD" w:rsidRDefault="00C02156" w:rsidP="00C02156">
      <w:pPr>
        <w:spacing w:before="120" w:line="276" w:lineRule="auto"/>
        <w:ind w:firstLine="709"/>
        <w:jc w:val="both"/>
        <w:rPr>
          <w:rFonts w:ascii="Arial" w:hAnsi="Arial" w:cs="Arial"/>
          <w:sz w:val="22"/>
          <w:szCs w:val="22"/>
          <w:lang w:val="es-ES_tradnl"/>
        </w:rPr>
      </w:pPr>
      <w:r w:rsidRPr="00C22EDD">
        <w:rPr>
          <w:rFonts w:ascii="Arial" w:hAnsi="Arial" w:cs="Arial"/>
          <w:sz w:val="22"/>
          <w:szCs w:val="22"/>
          <w:lang w:val="es-ES_tradnl"/>
        </w:rPr>
        <w:t xml:space="preserve">El Consejo de Estado </w:t>
      </w:r>
      <w:r>
        <w:rPr>
          <w:rFonts w:ascii="Arial" w:hAnsi="Arial" w:cs="Arial"/>
          <w:sz w:val="22"/>
          <w:szCs w:val="22"/>
          <w:lang w:val="es-ES_tradnl"/>
        </w:rPr>
        <w:t>señala</w:t>
      </w:r>
      <w:r w:rsidRPr="00C22EDD">
        <w:rPr>
          <w:rFonts w:ascii="Arial" w:hAnsi="Arial" w:cs="Arial"/>
          <w:sz w:val="22"/>
          <w:szCs w:val="22"/>
          <w:lang w:val="es-ES_tradnl"/>
        </w:rPr>
        <w:t xml:space="preserve">, por tanto, </w:t>
      </w:r>
      <w:r>
        <w:rPr>
          <w:rFonts w:ascii="Arial" w:hAnsi="Arial" w:cs="Arial"/>
          <w:sz w:val="22"/>
          <w:szCs w:val="22"/>
          <w:lang w:val="es-ES_tradnl"/>
        </w:rPr>
        <w:t xml:space="preserve">en armonía con lo sostenido por esta Agencia, </w:t>
      </w:r>
      <w:r w:rsidRPr="00C22EDD">
        <w:rPr>
          <w:rFonts w:ascii="Arial" w:hAnsi="Arial" w:cs="Arial"/>
          <w:sz w:val="22"/>
          <w:szCs w:val="22"/>
          <w:lang w:val="es-ES_tradnl"/>
        </w:rPr>
        <w:t xml:space="preserve">que el mandato de publicar la «información oficial de la contratación» se predica de la contratación </w:t>
      </w:r>
      <w:r w:rsidRPr="00C22EDD">
        <w:rPr>
          <w:rFonts w:ascii="Arial" w:hAnsi="Arial" w:cs="Arial"/>
          <w:i/>
          <w:iCs/>
          <w:sz w:val="22"/>
          <w:szCs w:val="22"/>
          <w:lang w:val="es-ES_tradnl"/>
        </w:rPr>
        <w:t>con recursos públicos</w:t>
      </w:r>
      <w:r w:rsidRPr="00C22EDD">
        <w:rPr>
          <w:rFonts w:ascii="Arial" w:hAnsi="Arial" w:cs="Arial"/>
          <w:sz w:val="22"/>
          <w:szCs w:val="22"/>
          <w:lang w:val="es-ES_tradnl"/>
        </w:rPr>
        <w:t>, independientemente de si es adelantada por una entidad estatal sometida o exceptuada del Estatuto General de Contratación de la Administración Pública</w:t>
      </w:r>
      <w:r>
        <w:rPr>
          <w:rFonts w:ascii="Arial" w:hAnsi="Arial" w:cs="Arial"/>
          <w:sz w:val="22"/>
          <w:szCs w:val="22"/>
          <w:lang w:val="es-ES_tradnl"/>
        </w:rPr>
        <w:t xml:space="preserve"> ‒EGCAP‒</w:t>
      </w:r>
      <w:r w:rsidRPr="00C22EDD">
        <w:rPr>
          <w:rFonts w:ascii="Arial" w:hAnsi="Arial" w:cs="Arial"/>
          <w:sz w:val="22"/>
          <w:szCs w:val="22"/>
          <w:lang w:val="es-ES_tradnl"/>
        </w:rPr>
        <w:t xml:space="preserve">. Sin embargo, aclara que el alcance de dicha obligación no es igual para las entidades que se rigen </w:t>
      </w:r>
      <w:r>
        <w:rPr>
          <w:rFonts w:ascii="Arial" w:hAnsi="Arial" w:cs="Arial"/>
          <w:sz w:val="22"/>
          <w:szCs w:val="22"/>
          <w:lang w:val="es-ES_tradnl"/>
        </w:rPr>
        <w:t xml:space="preserve">por </w:t>
      </w:r>
      <w:r w:rsidRPr="00C22EDD">
        <w:rPr>
          <w:rFonts w:ascii="Arial" w:hAnsi="Arial" w:cs="Arial"/>
          <w:sz w:val="22"/>
          <w:szCs w:val="22"/>
          <w:lang w:val="es-ES_tradnl"/>
        </w:rPr>
        <w:t xml:space="preserve">la Ley 80 de 1993 y demás normas complementarias, que para las que aplican el derecho privado o cuentan con un régimen especial. Al respecto, afirma que mientras que una entidad sometida al </w:t>
      </w:r>
      <w:r>
        <w:rPr>
          <w:rFonts w:ascii="Arial" w:hAnsi="Arial" w:cs="Arial"/>
          <w:sz w:val="22"/>
          <w:szCs w:val="22"/>
          <w:lang w:val="es-ES_tradnl"/>
        </w:rPr>
        <w:t>EGCAP</w:t>
      </w:r>
      <w:r w:rsidRPr="00C22EDD">
        <w:rPr>
          <w:rFonts w:ascii="Arial" w:hAnsi="Arial" w:cs="Arial"/>
          <w:sz w:val="22"/>
          <w:szCs w:val="22"/>
          <w:lang w:val="es-ES_tradnl"/>
        </w:rPr>
        <w:t xml:space="preserve"> debe publicar «todos los actos relacionados con la actividad contractual», esto mismo no lo exige el artículo 3 de la Ley 1150 de 2007 para las entidades exceptuadas de dicho Estatuto. </w:t>
      </w:r>
      <w:r w:rsidRPr="00C22EDD">
        <w:rPr>
          <w:rFonts w:ascii="Arial" w:hAnsi="Arial" w:cs="Arial"/>
          <w:sz w:val="22"/>
          <w:szCs w:val="22"/>
          <w:lang w:val="es-ES_tradnl"/>
        </w:rPr>
        <w:lastRenderedPageBreak/>
        <w:t>Según el alto tribunal, esta interpretación es acorde con los principio</w:t>
      </w:r>
      <w:r>
        <w:rPr>
          <w:rFonts w:ascii="Arial" w:hAnsi="Arial" w:cs="Arial"/>
          <w:sz w:val="22"/>
          <w:szCs w:val="22"/>
          <w:lang w:val="es-ES_tradnl"/>
        </w:rPr>
        <w:t>s</w:t>
      </w:r>
      <w:r w:rsidRPr="00C22EDD">
        <w:rPr>
          <w:rFonts w:ascii="Arial" w:hAnsi="Arial" w:cs="Arial"/>
          <w:sz w:val="22"/>
          <w:szCs w:val="22"/>
          <w:lang w:val="es-ES_tradnl"/>
        </w:rPr>
        <w:t xml:space="preserve"> de publicidad y de la gestión fiscal, consagrados en los artículo 209 y 267 de la Constitución, respectivamente, así como con los principios de igualdad y de libertad de empresa previstos en los artículos 13 y 333 de la misma Carta, en la medida en que, como la mayoría de las entidades exceptuadas del Estatuto General de Contratación de la Administración Pública actúan en competencia en el mercado, exigir que deban publicar en el SECOP la información de toda la actividad contractual podría ponerlas en una situación de desventaja respecto de sus competidores.</w:t>
      </w:r>
    </w:p>
    <w:p w14:paraId="37D4FDC6" w14:textId="77777777" w:rsidR="00C02156" w:rsidRPr="00C22EDD" w:rsidRDefault="00C02156" w:rsidP="00C02156">
      <w:pPr>
        <w:spacing w:before="120" w:line="276" w:lineRule="auto"/>
        <w:ind w:firstLine="709"/>
        <w:jc w:val="both"/>
        <w:rPr>
          <w:rFonts w:ascii="Arial" w:hAnsi="Arial" w:cs="Arial"/>
          <w:color w:val="000000" w:themeColor="text1"/>
          <w:sz w:val="22"/>
          <w:lang w:val="es-ES_tradnl"/>
        </w:rPr>
      </w:pPr>
      <w:r w:rsidRPr="00C22EDD">
        <w:rPr>
          <w:rFonts w:ascii="Arial" w:hAnsi="Arial" w:cs="Arial"/>
          <w:sz w:val="22"/>
          <w:szCs w:val="22"/>
          <w:lang w:val="es-ES_tradnl"/>
        </w:rPr>
        <w:t xml:space="preserve">Sin embargo, como se indicó al inicio de este numeral, en el auto del 25 de febrero de 2021 no se decreta la suspensión provisional de todo el contenido de las circulares </w:t>
      </w:r>
      <w:r w:rsidRPr="00C22EDD">
        <w:rPr>
          <w:rFonts w:ascii="Arial" w:hAnsi="Arial" w:cs="Arial"/>
          <w:color w:val="000000" w:themeColor="text1"/>
          <w:sz w:val="22"/>
          <w:lang w:val="es-ES_tradnl"/>
        </w:rPr>
        <w:t xml:space="preserve">No. 1 de 2013 y No. 20 de 2015, sino de las expresiones que empleaban la frase «actividad contractual». De este modo, siendo coherente con la argumentación utilizada en la providencia, el Consejo de Estado mantiene incólume el deber de las entidades exceptuadas del Estatuto General de Contratación de la Administración Pública de publicar la «información oficial de la contratación» en el SECOP. En efecto, con el mencionado auto dichas circulares </w:t>
      </w:r>
      <w:r w:rsidRPr="00C22EDD">
        <w:rPr>
          <w:rFonts w:ascii="Arial" w:hAnsi="Arial" w:cs="Arial"/>
          <w:i/>
          <w:iCs/>
          <w:color w:val="000000" w:themeColor="text1"/>
          <w:sz w:val="22"/>
          <w:lang w:val="es-ES_tradnl"/>
        </w:rPr>
        <w:t>quedaron vigentes</w:t>
      </w:r>
      <w:r w:rsidRPr="00C22EDD">
        <w:rPr>
          <w:rFonts w:ascii="Arial" w:hAnsi="Arial" w:cs="Arial"/>
          <w:color w:val="000000" w:themeColor="text1"/>
          <w:sz w:val="22"/>
          <w:lang w:val="es-ES_tradnl"/>
        </w:rPr>
        <w:t>, redactadas en los siguientes términos –solo hay que entender suspendidas las expresiones tachadas–:</w:t>
      </w:r>
    </w:p>
    <w:p w14:paraId="011853A6" w14:textId="77777777" w:rsidR="00C02156" w:rsidRPr="00C22EDD" w:rsidRDefault="00C02156" w:rsidP="00C02156">
      <w:pPr>
        <w:ind w:left="709" w:right="709"/>
        <w:jc w:val="both"/>
        <w:rPr>
          <w:rFonts w:ascii="Arial" w:hAnsi="Arial" w:cs="Arial"/>
          <w:color w:val="000000" w:themeColor="text1"/>
          <w:sz w:val="21"/>
          <w:szCs w:val="21"/>
          <w:lang w:val="es-ES_tradnl"/>
        </w:rPr>
      </w:pPr>
    </w:p>
    <w:p w14:paraId="1D4DBC0F" w14:textId="77777777" w:rsidR="00C02156" w:rsidRPr="00C22EDD" w:rsidRDefault="00C02156" w:rsidP="00C02156">
      <w:pPr>
        <w:widowControl w:val="0"/>
        <w:ind w:left="709" w:right="709"/>
        <w:jc w:val="both"/>
        <w:rPr>
          <w:rFonts w:ascii="Arial" w:eastAsia="Arial" w:hAnsi="Arial" w:cs="Arial"/>
          <w:sz w:val="21"/>
          <w:szCs w:val="21"/>
          <w:lang w:val="es-ES_tradnl"/>
        </w:rPr>
      </w:pPr>
      <w:r w:rsidRPr="00C22EDD">
        <w:rPr>
          <w:rFonts w:ascii="Arial" w:eastAsia="Arial" w:hAnsi="Arial" w:cs="Arial"/>
          <w:sz w:val="21"/>
          <w:szCs w:val="21"/>
          <w:lang w:val="es-ES_tradnl"/>
        </w:rPr>
        <w:t>Circular Externa No. 1 del 21 de junio de 2013:</w:t>
      </w:r>
    </w:p>
    <w:p w14:paraId="4A343A21" w14:textId="77777777" w:rsidR="00C02156" w:rsidRPr="00C22EDD" w:rsidRDefault="00C02156" w:rsidP="00C02156">
      <w:pPr>
        <w:widowControl w:val="0"/>
        <w:ind w:left="709" w:right="709"/>
        <w:jc w:val="both"/>
        <w:rPr>
          <w:rFonts w:ascii="Arial" w:eastAsia="Arial" w:hAnsi="Arial" w:cs="Arial"/>
          <w:sz w:val="21"/>
          <w:szCs w:val="21"/>
          <w:lang w:val="es-ES_tradnl"/>
        </w:rPr>
      </w:pPr>
    </w:p>
    <w:p w14:paraId="50A6EF8C" w14:textId="77777777" w:rsidR="00C02156" w:rsidRPr="00C22EDD" w:rsidRDefault="00C02156" w:rsidP="00C02156">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&lt;&lt;Para: Entidades que contratan con recursos públicos</w:t>
      </w:r>
    </w:p>
    <w:p w14:paraId="2F40B111" w14:textId="77777777" w:rsidR="00C02156" w:rsidRPr="00C22EDD" w:rsidRDefault="00C02156" w:rsidP="00C02156">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Asunto: Publicación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en el SECOP</w:t>
      </w:r>
    </w:p>
    <w:p w14:paraId="5FD59F88" w14:textId="77777777" w:rsidR="00C02156" w:rsidRPr="00C22EDD" w:rsidRDefault="00C02156" w:rsidP="00C02156">
      <w:pPr>
        <w:widowControl w:val="0"/>
        <w:ind w:left="709" w:right="709"/>
        <w:jc w:val="both"/>
        <w:rPr>
          <w:rFonts w:ascii="Arial" w:eastAsia="Arial" w:hAnsi="Arial" w:cs="Arial"/>
          <w:i/>
          <w:sz w:val="21"/>
          <w:szCs w:val="21"/>
          <w:lang w:val="es-ES_tradnl"/>
        </w:rPr>
      </w:pPr>
    </w:p>
    <w:p w14:paraId="215613C0" w14:textId="77777777" w:rsidR="00C02156" w:rsidRPr="00C22EDD" w:rsidRDefault="00C02156" w:rsidP="00C02156">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 Agencia Nacional de Contratación Pública -Colombia Compra Eficiente- en cumplimiento de su objetivo como ente rector del sistema de compras y contratación pública, recuerda a todas las entidades del Estado la obligación de publicar </w:t>
      </w:r>
      <w:r w:rsidRPr="00C22EDD">
        <w:rPr>
          <w:rFonts w:ascii="Arial" w:eastAsia="Arial" w:hAnsi="Arial" w:cs="Arial"/>
          <w:i/>
          <w:strike/>
          <w:sz w:val="21"/>
          <w:szCs w:val="21"/>
          <w:lang w:val="es-ES_tradnl"/>
        </w:rPr>
        <w:t xml:space="preserve">su actividad contractual </w:t>
      </w:r>
      <w:r w:rsidRPr="00C22EDD">
        <w:rPr>
          <w:rFonts w:ascii="Arial" w:eastAsia="Arial" w:hAnsi="Arial" w:cs="Arial"/>
          <w:i/>
          <w:sz w:val="21"/>
          <w:szCs w:val="21"/>
          <w:lang w:val="es-ES_tradnl"/>
        </w:rPr>
        <w:t>en el Sistema Electrónico para la Contratación Pública -SECOP-.</w:t>
      </w:r>
    </w:p>
    <w:p w14:paraId="7E408370" w14:textId="77777777" w:rsidR="00C02156" w:rsidRPr="00C22EDD" w:rsidRDefault="00C02156" w:rsidP="00C02156">
      <w:pPr>
        <w:widowControl w:val="0"/>
        <w:ind w:left="709" w:right="709"/>
        <w:jc w:val="both"/>
        <w:rPr>
          <w:rFonts w:ascii="Arial" w:eastAsia="Arial" w:hAnsi="Arial" w:cs="Arial"/>
          <w:i/>
          <w:sz w:val="21"/>
          <w:szCs w:val="21"/>
          <w:lang w:val="es-ES_tradnl"/>
        </w:rPr>
      </w:pPr>
    </w:p>
    <w:p w14:paraId="0BFF65F6" w14:textId="77777777" w:rsidR="00C02156" w:rsidRPr="00C22EDD" w:rsidRDefault="00C02156" w:rsidP="00C02156">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que contratan con cargo a recursos públicos están obligadas a publicar oportunamente </w:t>
      </w:r>
      <w:r w:rsidRPr="00C22EDD">
        <w:rPr>
          <w:rFonts w:ascii="Arial" w:eastAsia="Arial" w:hAnsi="Arial" w:cs="Arial"/>
          <w:i/>
          <w:strike/>
          <w:sz w:val="21"/>
          <w:szCs w:val="21"/>
          <w:lang w:val="es-ES_tradnl"/>
        </w:rPr>
        <w:t>su actividad contractual</w:t>
      </w:r>
      <w:r w:rsidRPr="00C22EDD">
        <w:rPr>
          <w:rFonts w:ascii="Arial" w:eastAsia="Arial" w:hAnsi="Arial" w:cs="Arial"/>
          <w:i/>
          <w:sz w:val="21"/>
          <w:szCs w:val="21"/>
          <w:lang w:val="es-ES_tradnl"/>
        </w:rPr>
        <w:t xml:space="preserve"> en el SECOP, sin que sea relevante para la exigencia de esta obligación su régimen jurídico, naturaleza de público o privado o la pertenencia a una u otra rama del poder público. Las instituciones que ejecutan recursos públicos sin ser entidades del Estado están obligadas a publicar en el SECOP </w:t>
      </w:r>
      <w:r w:rsidRPr="00C22EDD">
        <w:rPr>
          <w:rFonts w:ascii="Arial" w:eastAsia="Arial" w:hAnsi="Arial" w:cs="Arial"/>
          <w:i/>
          <w:strike/>
          <w:sz w:val="21"/>
          <w:szCs w:val="21"/>
          <w:lang w:val="es-ES_tradnl"/>
        </w:rPr>
        <w:t>su actividad contractual</w:t>
      </w:r>
      <w:r w:rsidRPr="00C22EDD">
        <w:rPr>
          <w:rFonts w:ascii="Arial" w:eastAsia="Arial" w:hAnsi="Arial" w:cs="Arial"/>
          <w:i/>
          <w:sz w:val="21"/>
          <w:szCs w:val="21"/>
          <w:lang w:val="es-ES_tradnl"/>
        </w:rPr>
        <w:t xml:space="preserve"> que se ejecute con cargo a recursos públicos.</w:t>
      </w:r>
    </w:p>
    <w:p w14:paraId="5FF75506" w14:textId="77777777" w:rsidR="00C02156" w:rsidRPr="00C22EDD" w:rsidRDefault="00C02156" w:rsidP="00C02156">
      <w:pPr>
        <w:widowControl w:val="0"/>
        <w:ind w:left="709" w:right="709"/>
        <w:jc w:val="both"/>
        <w:rPr>
          <w:rFonts w:ascii="Arial" w:eastAsia="Arial" w:hAnsi="Arial" w:cs="Arial"/>
          <w:i/>
          <w:sz w:val="21"/>
          <w:szCs w:val="21"/>
          <w:lang w:val="es-ES_tradnl"/>
        </w:rPr>
      </w:pPr>
    </w:p>
    <w:p w14:paraId="2E85AC09" w14:textId="77777777" w:rsidR="00C02156" w:rsidRPr="00C22EDD" w:rsidRDefault="00C02156" w:rsidP="00C02156">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La publicación en gacetas locales, regionales o diarios de amplia circulación nacional, departamental o municipal solamente es obligatoria cuando es la forma de cumplir con una obligación de carácter tributario establecida en acuerdos u ordenanzas, y en ningún caso remplaza la publicación en el SECOP.</w:t>
      </w:r>
    </w:p>
    <w:p w14:paraId="59259B7A" w14:textId="77777777" w:rsidR="00C02156" w:rsidRPr="00C22EDD" w:rsidRDefault="00C02156" w:rsidP="00C02156">
      <w:pPr>
        <w:widowControl w:val="0"/>
        <w:ind w:left="709" w:right="709"/>
        <w:jc w:val="both"/>
        <w:rPr>
          <w:rFonts w:ascii="Arial" w:eastAsia="Arial" w:hAnsi="Arial" w:cs="Arial"/>
          <w:i/>
          <w:sz w:val="21"/>
          <w:szCs w:val="21"/>
          <w:lang w:val="es-ES_tradnl"/>
        </w:rPr>
      </w:pPr>
    </w:p>
    <w:p w14:paraId="12CA78BB" w14:textId="77777777" w:rsidR="00C02156" w:rsidRPr="00C22EDD" w:rsidRDefault="00C02156" w:rsidP="00C02156">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lastRenderedPageBreak/>
        <w:t xml:space="preserve">Las entidades que contraten de acuerdo con regímenes especiales deben publicar </w:t>
      </w:r>
      <w:r w:rsidRPr="00C22EDD">
        <w:rPr>
          <w:rFonts w:ascii="Arial" w:eastAsia="Arial" w:hAnsi="Arial" w:cs="Arial"/>
          <w:i/>
          <w:strike/>
          <w:sz w:val="21"/>
          <w:szCs w:val="21"/>
          <w:lang w:val="es-ES_tradnl"/>
        </w:rPr>
        <w:t>la actividad contractual</w:t>
      </w:r>
      <w:r w:rsidRPr="00C22EDD">
        <w:rPr>
          <w:rFonts w:ascii="Arial" w:eastAsia="Arial" w:hAnsi="Arial" w:cs="Arial"/>
          <w:i/>
          <w:sz w:val="21"/>
          <w:szCs w:val="21"/>
          <w:lang w:val="es-ES_tradnl"/>
        </w:rPr>
        <w:t xml:space="preserve"> en el SECOP utilizando la clasificación "régimen especial".</w:t>
      </w:r>
    </w:p>
    <w:p w14:paraId="7C865680" w14:textId="77777777" w:rsidR="00C02156" w:rsidRPr="00C22EDD" w:rsidRDefault="00C02156" w:rsidP="00C02156">
      <w:pPr>
        <w:widowControl w:val="0"/>
        <w:ind w:left="709" w:right="709"/>
        <w:jc w:val="both"/>
        <w:rPr>
          <w:rFonts w:ascii="Arial" w:eastAsia="Arial" w:hAnsi="Arial" w:cs="Arial"/>
          <w:i/>
          <w:sz w:val="21"/>
          <w:szCs w:val="21"/>
          <w:lang w:val="es-ES_tradnl"/>
        </w:rPr>
      </w:pPr>
    </w:p>
    <w:p w14:paraId="48B17206" w14:textId="77777777" w:rsidR="00C02156" w:rsidRPr="00C22EDD" w:rsidRDefault="00C02156" w:rsidP="00C02156">
      <w:pPr>
        <w:ind w:left="709" w:right="709"/>
        <w:jc w:val="both"/>
        <w:rPr>
          <w:rFonts w:ascii="Arial" w:eastAsia="Arial" w:hAnsi="Arial" w:cs="Arial"/>
          <w:sz w:val="21"/>
          <w:szCs w:val="21"/>
          <w:lang w:val="es-ES_tradnl"/>
        </w:rPr>
      </w:pPr>
      <w:r w:rsidRPr="00C22EDD">
        <w:rPr>
          <w:rFonts w:ascii="Arial" w:eastAsia="Arial" w:hAnsi="Arial" w:cs="Arial"/>
          <w:i/>
          <w:sz w:val="21"/>
          <w:szCs w:val="21"/>
          <w:lang w:val="es-ES_tradnl"/>
        </w:rPr>
        <w:t xml:space="preserve">En http://www.colombiacompra.gov.co/es/compradores está publicado el instructivo para obtener el permiso para publicar </w:t>
      </w:r>
      <w:r w:rsidRPr="00C22EDD">
        <w:rPr>
          <w:rFonts w:ascii="Arial" w:eastAsia="Arial" w:hAnsi="Arial" w:cs="Arial"/>
          <w:i/>
          <w:strike/>
          <w:sz w:val="21"/>
          <w:szCs w:val="21"/>
          <w:lang w:val="es-ES_tradnl"/>
        </w:rPr>
        <w:t>la actividad contractual</w:t>
      </w:r>
      <w:r w:rsidRPr="00C22EDD">
        <w:rPr>
          <w:rFonts w:ascii="Arial" w:eastAsia="Arial" w:hAnsi="Arial" w:cs="Arial"/>
          <w:i/>
          <w:sz w:val="21"/>
          <w:szCs w:val="21"/>
          <w:lang w:val="es-ES_tradnl"/>
        </w:rPr>
        <w:t>. Si tiene dudas sobre el particular comuníquese en Bogotá al 5953525 opción 5 y para el resto del país al 018000952525 opción 5.&gt;&gt;</w:t>
      </w:r>
    </w:p>
    <w:p w14:paraId="5A701E07" w14:textId="77777777" w:rsidR="00C02156" w:rsidRPr="00C22EDD" w:rsidRDefault="00C02156" w:rsidP="00C02156">
      <w:pPr>
        <w:widowControl w:val="0"/>
        <w:ind w:left="709" w:right="709"/>
        <w:jc w:val="both"/>
        <w:rPr>
          <w:rFonts w:ascii="Arial" w:eastAsia="Arial" w:hAnsi="Arial" w:cs="Arial"/>
          <w:sz w:val="21"/>
          <w:szCs w:val="21"/>
          <w:lang w:val="es-ES_tradnl"/>
        </w:rPr>
      </w:pPr>
    </w:p>
    <w:p w14:paraId="1A3CE82F" w14:textId="77777777" w:rsidR="00C02156" w:rsidRPr="00C22EDD" w:rsidRDefault="00C02156" w:rsidP="00C02156">
      <w:pPr>
        <w:widowControl w:val="0"/>
        <w:ind w:left="709" w:right="709"/>
        <w:jc w:val="both"/>
        <w:rPr>
          <w:rFonts w:ascii="Arial" w:eastAsia="Arial" w:hAnsi="Arial" w:cs="Arial"/>
          <w:sz w:val="21"/>
          <w:szCs w:val="21"/>
          <w:u w:val="single"/>
          <w:lang w:val="es-ES_tradnl"/>
        </w:rPr>
      </w:pPr>
      <w:r w:rsidRPr="00C22EDD">
        <w:rPr>
          <w:rFonts w:ascii="Arial" w:eastAsia="Arial" w:hAnsi="Arial" w:cs="Arial"/>
          <w:sz w:val="21"/>
          <w:szCs w:val="21"/>
          <w:u w:val="single"/>
          <w:lang w:val="es-ES_tradnl"/>
        </w:rPr>
        <w:t>Circular Externa No. 20 del 27 de agosto de 2015:</w:t>
      </w:r>
    </w:p>
    <w:p w14:paraId="2DA40D4C" w14:textId="77777777" w:rsidR="00C02156" w:rsidRPr="00C22EDD" w:rsidRDefault="00C02156" w:rsidP="00C02156">
      <w:pPr>
        <w:widowControl w:val="0"/>
        <w:ind w:left="709" w:right="709"/>
        <w:jc w:val="both"/>
        <w:rPr>
          <w:rFonts w:ascii="Arial" w:eastAsia="Arial" w:hAnsi="Arial" w:cs="Arial"/>
          <w:sz w:val="21"/>
          <w:szCs w:val="21"/>
          <w:lang w:val="es-ES_tradnl"/>
        </w:rPr>
      </w:pPr>
    </w:p>
    <w:p w14:paraId="099ED542" w14:textId="77777777" w:rsidR="00C02156" w:rsidRPr="00C22EDD" w:rsidRDefault="00C02156" w:rsidP="00C02156">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&lt;&lt;Para: Entidades que contratan con recursos públicos </w:t>
      </w:r>
    </w:p>
    <w:p w14:paraId="2D6804BE" w14:textId="77777777" w:rsidR="00C02156" w:rsidRPr="00C22EDD" w:rsidRDefault="00C02156" w:rsidP="00C02156">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Asunto: Publicidad de las empresas industriales y comerciales del Estado, las sociedades de economía mixta y las empresas de servicios públicos domiciliarios que en su actividad comercial están en situación de competencia. </w:t>
      </w:r>
    </w:p>
    <w:p w14:paraId="0A8AB69B" w14:textId="77777777" w:rsidR="00C02156" w:rsidRPr="00C22EDD" w:rsidRDefault="00C02156" w:rsidP="00C02156">
      <w:pPr>
        <w:ind w:left="709" w:right="709"/>
        <w:jc w:val="both"/>
        <w:rPr>
          <w:rFonts w:ascii="Arial" w:eastAsia="Arial" w:hAnsi="Arial" w:cs="Arial"/>
          <w:i/>
          <w:sz w:val="21"/>
          <w:szCs w:val="21"/>
          <w:lang w:val="es-ES_tradnl"/>
        </w:rPr>
      </w:pPr>
    </w:p>
    <w:p w14:paraId="068C1A06" w14:textId="77777777" w:rsidR="00C02156" w:rsidRPr="00C22EDD" w:rsidRDefault="00C02156" w:rsidP="00C02156">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 Agencia Nacional de Contratación Pública -Colombia Compra Eficiente- en cumplimiento de su objetivo como ente rector del sistema de compra y contratación pública, da alcance a la Circular Externa 1 de 2013 para establecer las condiciones de publicidad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de las empresas industriales y comerciales del Estado, las sociedades de economía mixta y las empresas de servicios públicos domiciliarios que en su actividad comercial están en situación de competencia. </w:t>
      </w:r>
    </w:p>
    <w:p w14:paraId="47CF171F" w14:textId="77777777" w:rsidR="00C02156" w:rsidRPr="00C22EDD" w:rsidRDefault="00C02156" w:rsidP="00C02156">
      <w:pPr>
        <w:ind w:left="709" w:right="709"/>
        <w:jc w:val="both"/>
        <w:rPr>
          <w:rFonts w:ascii="Arial" w:eastAsia="Arial" w:hAnsi="Arial" w:cs="Arial"/>
          <w:i/>
          <w:sz w:val="21"/>
          <w:szCs w:val="21"/>
          <w:lang w:val="es-ES_tradnl"/>
        </w:rPr>
      </w:pPr>
    </w:p>
    <w:p w14:paraId="6EB6C9EA" w14:textId="77777777" w:rsidR="00C02156" w:rsidRPr="00C22EDD" w:rsidRDefault="00C02156" w:rsidP="00C02156">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destinatarias de la presente Circular Externa pueden utilizar sus sistemas de información propios para efectos de la publicidad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cuando estos permitan hacer el proceso de contratación en línea, además de permitir a los proveedores y al público en general tener acceso oportuno, permanente e ininterrumpido a la información </w:t>
      </w:r>
      <w:r w:rsidRPr="00C22EDD">
        <w:rPr>
          <w:rFonts w:ascii="Arial" w:eastAsia="Arial" w:hAnsi="Arial" w:cs="Arial"/>
          <w:i/>
          <w:strike/>
          <w:sz w:val="21"/>
          <w:szCs w:val="21"/>
          <w:lang w:val="es-ES_tradnl"/>
        </w:rPr>
        <w:t>de su actividad contractual</w:t>
      </w:r>
      <w:r w:rsidRPr="00C22EDD">
        <w:rPr>
          <w:rFonts w:ascii="Arial" w:eastAsia="Arial" w:hAnsi="Arial" w:cs="Arial"/>
          <w:i/>
          <w:sz w:val="21"/>
          <w:szCs w:val="21"/>
          <w:lang w:val="es-ES_tradnl"/>
        </w:rPr>
        <w:t xml:space="preserve">. La información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debe cumplir los plazos y requerimientos de las normas aplicables en materia de contratación y de acceso a la información, respetando la información y documentos reservados de acuerdo con la normativa aplicable. </w:t>
      </w:r>
    </w:p>
    <w:p w14:paraId="756D050C" w14:textId="77777777" w:rsidR="00C02156" w:rsidRPr="00C22EDD" w:rsidRDefault="00C02156" w:rsidP="00C02156">
      <w:pPr>
        <w:ind w:left="709" w:right="709"/>
        <w:jc w:val="both"/>
        <w:rPr>
          <w:rFonts w:ascii="Arial" w:eastAsia="Arial" w:hAnsi="Arial" w:cs="Arial"/>
          <w:i/>
          <w:sz w:val="21"/>
          <w:szCs w:val="21"/>
          <w:lang w:val="es-ES_tradnl"/>
        </w:rPr>
      </w:pPr>
    </w:p>
    <w:p w14:paraId="7267A50D" w14:textId="77777777" w:rsidR="00C02156" w:rsidRPr="00C22EDD" w:rsidRDefault="00C02156" w:rsidP="00C02156">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Para que la información de la contratación con cargo a recursos públicos esté disponible al público en general en un solo sitio de internet, Colombia Compra Eficiente y las entidades destinatarias de la presente Circular Externa que cuentan con sistemas de información propios, deben disponer de un hipervínculo que comunique al SECOP con los sistemas de información de las entidades mencionadas antes del 30 de noviembre de 2015. Las entidades destinatarias de la presente Circular Externa cuyos sistemas de información propios no cumplan las condiciones señaladas, deben publicar </w:t>
      </w:r>
      <w:r w:rsidRPr="00C22EDD">
        <w:rPr>
          <w:rFonts w:ascii="Arial" w:eastAsia="Arial" w:hAnsi="Arial" w:cs="Arial"/>
          <w:i/>
          <w:strike/>
          <w:sz w:val="21"/>
          <w:szCs w:val="21"/>
          <w:lang w:val="es-ES_tradnl"/>
        </w:rPr>
        <w:t xml:space="preserve">su actividad contractual </w:t>
      </w:r>
      <w:r w:rsidRPr="00C22EDD">
        <w:rPr>
          <w:rFonts w:ascii="Arial" w:eastAsia="Arial" w:hAnsi="Arial" w:cs="Arial"/>
          <w:i/>
          <w:sz w:val="21"/>
          <w:szCs w:val="21"/>
          <w:lang w:val="es-ES_tradnl"/>
        </w:rPr>
        <w:t>en el SECOP utilizando la clasificación "régimen especial”.&gt;&gt;</w:t>
      </w:r>
    </w:p>
    <w:p w14:paraId="0D33E221" w14:textId="77777777" w:rsidR="00C02156" w:rsidRPr="00C22EDD" w:rsidRDefault="00C02156" w:rsidP="00C02156">
      <w:pPr>
        <w:ind w:right="709"/>
        <w:jc w:val="both"/>
        <w:rPr>
          <w:rFonts w:ascii="Arial" w:hAnsi="Arial" w:cs="Arial"/>
          <w:color w:val="000000" w:themeColor="text1"/>
          <w:sz w:val="21"/>
          <w:szCs w:val="21"/>
          <w:lang w:val="es-ES_tradnl"/>
        </w:rPr>
      </w:pPr>
    </w:p>
    <w:p w14:paraId="1A76CFF3" w14:textId="77777777" w:rsidR="00C02156" w:rsidRPr="00C22EDD" w:rsidRDefault="00C02156" w:rsidP="00C02156">
      <w:pPr>
        <w:spacing w:line="276" w:lineRule="auto"/>
        <w:ind w:firstLine="709"/>
        <w:jc w:val="both"/>
        <w:rPr>
          <w:rFonts w:ascii="Arial" w:hAnsi="Arial" w:cs="Arial"/>
          <w:sz w:val="22"/>
          <w:szCs w:val="22"/>
          <w:lang w:val="es-ES_tradnl"/>
        </w:rPr>
      </w:pPr>
      <w:r w:rsidRPr="00C22EDD">
        <w:rPr>
          <w:rFonts w:ascii="Arial" w:hAnsi="Arial" w:cs="Arial"/>
          <w:sz w:val="22"/>
          <w:szCs w:val="22"/>
          <w:lang w:val="es-ES_tradnl"/>
        </w:rPr>
        <w:t xml:space="preserve">No cabe entonces duda alguna de que, aún a pesar de la expedición del auto del 25 de febrero de 2021, las entidades que cuentan con un régimen especial de contratación conservan el deber de publicar la información oficial de la contratación con recursos públicos en el SECOP. </w:t>
      </w:r>
      <w:r>
        <w:rPr>
          <w:rFonts w:ascii="Arial" w:hAnsi="Arial" w:cs="Arial"/>
          <w:sz w:val="22"/>
          <w:szCs w:val="22"/>
          <w:lang w:val="es-ES_tradnl"/>
        </w:rPr>
        <w:t>Esta</w:t>
      </w:r>
      <w:r w:rsidRPr="00C22EDD">
        <w:rPr>
          <w:rFonts w:ascii="Arial" w:hAnsi="Arial" w:cs="Arial"/>
          <w:sz w:val="22"/>
          <w:szCs w:val="22"/>
          <w:lang w:val="es-ES_tradnl"/>
        </w:rPr>
        <w:t xml:space="preserve"> obligación se fundamenta, entre otros, en los siguientes </w:t>
      </w:r>
      <w:r w:rsidRPr="00C22EDD">
        <w:rPr>
          <w:rFonts w:ascii="Arial" w:hAnsi="Arial" w:cs="Arial"/>
          <w:sz w:val="22"/>
          <w:szCs w:val="22"/>
          <w:lang w:val="es-ES_tradnl"/>
        </w:rPr>
        <w:lastRenderedPageBreak/>
        <w:t xml:space="preserve">enunciados normativos: i) los artículos 74 y 209 de la Constitución, </w:t>
      </w:r>
      <w:proofErr w:type="spellStart"/>
      <w:r w:rsidRPr="00C22EDD">
        <w:rPr>
          <w:rFonts w:ascii="Arial" w:hAnsi="Arial" w:cs="Arial"/>
          <w:sz w:val="22"/>
          <w:szCs w:val="22"/>
          <w:lang w:val="es-ES_tradnl"/>
        </w:rPr>
        <w:t>ii</w:t>
      </w:r>
      <w:proofErr w:type="spellEnd"/>
      <w:r w:rsidRPr="00C22EDD">
        <w:rPr>
          <w:rFonts w:ascii="Arial" w:hAnsi="Arial" w:cs="Arial"/>
          <w:sz w:val="22"/>
          <w:szCs w:val="22"/>
          <w:lang w:val="es-ES_tradnl"/>
        </w:rPr>
        <w:t xml:space="preserve">) el artículo 3, literal c) de la Ley 1150 de 2007, </w:t>
      </w:r>
      <w:proofErr w:type="spellStart"/>
      <w:r w:rsidRPr="00C22EDD">
        <w:rPr>
          <w:rFonts w:ascii="Arial" w:hAnsi="Arial" w:cs="Arial"/>
          <w:sz w:val="22"/>
          <w:szCs w:val="22"/>
          <w:lang w:val="es-ES_tradnl"/>
        </w:rPr>
        <w:t>iii</w:t>
      </w:r>
      <w:proofErr w:type="spellEnd"/>
      <w:r w:rsidRPr="00C22EDD">
        <w:rPr>
          <w:rFonts w:ascii="Arial" w:hAnsi="Arial" w:cs="Arial"/>
          <w:sz w:val="22"/>
          <w:szCs w:val="22"/>
          <w:lang w:val="es-ES_tradnl"/>
        </w:rPr>
        <w:t>) los artículos 3</w:t>
      </w:r>
      <w:r>
        <w:rPr>
          <w:rFonts w:ascii="Arial" w:hAnsi="Arial" w:cs="Arial"/>
          <w:sz w:val="22"/>
          <w:szCs w:val="22"/>
          <w:lang w:val="es-ES_tradnl"/>
        </w:rPr>
        <w:t>, 9, literal e) y</w:t>
      </w:r>
      <w:r w:rsidRPr="00C22EDD">
        <w:rPr>
          <w:rFonts w:ascii="Arial" w:hAnsi="Arial" w:cs="Arial"/>
          <w:sz w:val="22"/>
          <w:szCs w:val="22"/>
          <w:lang w:val="es-ES_tradnl"/>
        </w:rPr>
        <w:t xml:space="preserve"> 11, literal g), de la Ley 1712 de 2014, </w:t>
      </w:r>
      <w:proofErr w:type="spellStart"/>
      <w:r w:rsidRPr="00C22EDD">
        <w:rPr>
          <w:rFonts w:ascii="Arial" w:hAnsi="Arial" w:cs="Arial"/>
          <w:sz w:val="22"/>
          <w:szCs w:val="22"/>
          <w:lang w:val="es-ES_tradnl"/>
        </w:rPr>
        <w:t>iv</w:t>
      </w:r>
      <w:proofErr w:type="spellEnd"/>
      <w:r w:rsidRPr="00C22EDD">
        <w:rPr>
          <w:rFonts w:ascii="Arial" w:hAnsi="Arial" w:cs="Arial"/>
          <w:sz w:val="22"/>
          <w:szCs w:val="22"/>
          <w:lang w:val="es-ES_tradnl"/>
        </w:rPr>
        <w:t xml:space="preserve">) </w:t>
      </w:r>
      <w:r w:rsidRPr="00C22EDD">
        <w:rPr>
          <w:rFonts w:ascii="Arial" w:eastAsia="Calibri" w:hAnsi="Arial" w:cs="Arial"/>
          <w:color w:val="000000" w:themeColor="text1"/>
          <w:sz w:val="22"/>
          <w:lang w:val="es-ES_tradnl"/>
        </w:rPr>
        <w:t xml:space="preserve">los artículos </w:t>
      </w:r>
      <w:r>
        <w:rPr>
          <w:rFonts w:ascii="Arial" w:eastAsia="Calibri" w:hAnsi="Arial" w:cs="Arial"/>
          <w:color w:val="000000" w:themeColor="text1"/>
          <w:sz w:val="22"/>
          <w:lang w:val="es-ES_tradnl"/>
        </w:rPr>
        <w:t>7</w:t>
      </w:r>
      <w:r w:rsidRPr="00C22EDD">
        <w:rPr>
          <w:rFonts w:ascii="Arial" w:eastAsia="Calibri" w:hAnsi="Arial" w:cs="Arial"/>
          <w:color w:val="000000" w:themeColor="text1"/>
          <w:sz w:val="22"/>
          <w:lang w:val="es-ES_tradnl"/>
        </w:rPr>
        <w:t xml:space="preserve"> al 10 del Decreto 103 de 2015 –compilado en los artículos 2.1.1.1.1. al 2.1.1.6.1. del Decreto 1081 de 2015–</w:t>
      </w:r>
      <w:r w:rsidRPr="00C22EDD">
        <w:rPr>
          <w:rFonts w:ascii="Arial" w:hAnsi="Arial" w:cs="Arial"/>
          <w:sz w:val="22"/>
          <w:szCs w:val="22"/>
          <w:lang w:val="es-ES_tradnl"/>
        </w:rPr>
        <w:t xml:space="preserve"> y v) las circulares </w:t>
      </w:r>
      <w:r w:rsidRPr="00C22EDD">
        <w:rPr>
          <w:rFonts w:ascii="Arial" w:eastAsia="Arial" w:hAnsi="Arial" w:cs="Arial"/>
          <w:sz w:val="22"/>
          <w:szCs w:val="22"/>
          <w:lang w:val="es-ES_tradnl"/>
        </w:rPr>
        <w:t xml:space="preserve">No. 1 del 21 de junio de 2013, No. 20 del 27 de agosto de 2015, </w:t>
      </w:r>
      <w:r w:rsidRPr="00C22EDD">
        <w:rPr>
          <w:rFonts w:ascii="Arial" w:hAnsi="Arial" w:cs="Arial"/>
          <w:bCs/>
          <w:color w:val="000000" w:themeColor="text1"/>
          <w:sz w:val="22"/>
          <w:szCs w:val="22"/>
          <w:lang w:val="es-ES_tradnl"/>
        </w:rPr>
        <w:t>No. 23 del 16 de marzo de 2017, No. 007 de 2020 y la Circular Externa Única –actualizada el 16 de abril de 2019–</w:t>
      </w:r>
      <w:r w:rsidRPr="00C22EDD">
        <w:rPr>
          <w:rStyle w:val="Refdenotaalpie"/>
          <w:rFonts w:ascii="Arial" w:hAnsi="Arial" w:cs="Arial"/>
          <w:bCs/>
          <w:color w:val="000000" w:themeColor="text1"/>
          <w:sz w:val="22"/>
          <w:szCs w:val="22"/>
          <w:lang w:val="es-ES_tradnl"/>
        </w:rPr>
        <w:footnoteReference w:id="22"/>
      </w:r>
      <w:r w:rsidRPr="00C22EDD">
        <w:rPr>
          <w:rFonts w:ascii="Arial" w:hAnsi="Arial" w:cs="Arial"/>
          <w:bCs/>
          <w:color w:val="000000" w:themeColor="text1"/>
          <w:sz w:val="22"/>
          <w:szCs w:val="22"/>
          <w:lang w:val="es-ES_tradnl"/>
        </w:rPr>
        <w:t>, de la Agencia Nacional de Contratación Pública – Colombia Compra Eficiente.</w:t>
      </w:r>
    </w:p>
    <w:p w14:paraId="5B146D73" w14:textId="77777777" w:rsidR="00C02156" w:rsidRPr="00C22EDD" w:rsidRDefault="00C02156" w:rsidP="00C02156">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 xml:space="preserve">Ahora, en lo que respecta al contenido o alcance de la expresión «información oficial de la contratación», empleada por el Congreso de la República en el artículo 3, literal c) de la Ley 1150 de 2007, </w:t>
      </w:r>
      <w:r>
        <w:rPr>
          <w:rFonts w:ascii="Arial" w:hAnsi="Arial" w:cs="Arial"/>
          <w:bCs/>
          <w:color w:val="000000" w:themeColor="text1"/>
          <w:sz w:val="22"/>
          <w:lang w:val="es-ES_tradnl"/>
        </w:rPr>
        <w:t>la Agencia Nacional de Contratación Pública</w:t>
      </w:r>
      <w:r w:rsidRPr="00C22EDD">
        <w:rPr>
          <w:rFonts w:ascii="Arial" w:hAnsi="Arial" w:cs="Arial"/>
          <w:bCs/>
          <w:color w:val="000000" w:themeColor="text1"/>
          <w:sz w:val="22"/>
          <w:lang w:val="es-ES_tradnl"/>
        </w:rPr>
        <w:t xml:space="preserve"> considera que el auto del 25 de febrero de 2021 no afecta la interpretación adoptada </w:t>
      </w:r>
      <w:r>
        <w:rPr>
          <w:rFonts w:ascii="Arial" w:hAnsi="Arial" w:cs="Arial"/>
          <w:bCs/>
          <w:color w:val="000000" w:themeColor="text1"/>
          <w:sz w:val="22"/>
          <w:lang w:val="es-ES_tradnl"/>
        </w:rPr>
        <w:t xml:space="preserve">por esta misma Agencia </w:t>
      </w:r>
      <w:r w:rsidRPr="00C22EDD">
        <w:rPr>
          <w:rFonts w:ascii="Arial" w:hAnsi="Arial" w:cs="Arial"/>
          <w:bCs/>
          <w:color w:val="000000" w:themeColor="text1"/>
          <w:sz w:val="22"/>
          <w:lang w:val="es-ES_tradnl"/>
        </w:rPr>
        <w:t xml:space="preserve">en el Concepto CU-003 del 15 de enero de 2020 y, en consecuencia, mantendrá los argumentos que allí se expusieron y que a continuación se </w:t>
      </w:r>
      <w:r w:rsidRPr="002E060B">
        <w:rPr>
          <w:rFonts w:ascii="Arial" w:hAnsi="Arial" w:cs="Arial"/>
          <w:bCs/>
          <w:color w:val="000000" w:themeColor="text1"/>
          <w:sz w:val="22"/>
          <w:lang w:val="es-ES_tradnl"/>
        </w:rPr>
        <w:t>reproducirán. Pero, antes de eso, se explica por qué el referido auto no se aparta de la interpretación que en el siguiente numeral de este concepto reiterará la Subdirección de Gestión Contractual:</w:t>
      </w:r>
    </w:p>
    <w:p w14:paraId="39B7BC41" w14:textId="77777777" w:rsidR="00C02156" w:rsidRPr="00C22EDD" w:rsidRDefault="00C02156" w:rsidP="00C02156">
      <w:pPr>
        <w:spacing w:before="120" w:line="276" w:lineRule="auto"/>
        <w:ind w:firstLine="709"/>
        <w:jc w:val="both"/>
        <w:rPr>
          <w:rFonts w:ascii="Arial" w:eastAsia="Calibri" w:hAnsi="Arial" w:cs="Arial"/>
          <w:color w:val="000000" w:themeColor="text1"/>
          <w:sz w:val="22"/>
          <w:lang w:val="es-ES_tradnl"/>
        </w:rPr>
      </w:pPr>
      <w:r w:rsidRPr="00C22EDD">
        <w:rPr>
          <w:rFonts w:ascii="Arial" w:hAnsi="Arial" w:cs="Arial"/>
          <w:bCs/>
          <w:color w:val="000000" w:themeColor="text1"/>
          <w:sz w:val="22"/>
          <w:lang w:val="es-ES_tradnl"/>
        </w:rPr>
        <w:t xml:space="preserve">a) En dicha providencia se dice que la Agencia Nacional de Contratación Pública – Colombia Compra Eficiente carece de competencia para expedir un reglamento que establezca por vía de autoridad qué significa «información oficial de la contratación» para una entidad estatal con régimen contractual excepcional o de derecho privado. Sin embargo, tal afirmación no niega la competencia de la Agencia para resolver consultas sobre la aplicación de normas de carácter general en materia de compras y contratación pública. Esta habilitación se encuentra en </w:t>
      </w:r>
      <w:r w:rsidRPr="00C22EDD">
        <w:rPr>
          <w:rFonts w:ascii="Arial" w:eastAsia="Calibri" w:hAnsi="Arial" w:cs="Arial"/>
          <w:color w:val="000000" w:themeColor="text1"/>
          <w:sz w:val="22"/>
          <w:lang w:val="es-ES_tradnl"/>
        </w:rPr>
        <w:t>el numeral 8 del artículo 11 y en el numeral 5 del artículo 3 del Decreto Ley 4170 de 2011. Además, como es sabido, la interpretación realizada por la Agencia Nacional de Contratación Pública – Colombia Compra Eficiente en los conceptos que profiere no tiene carácter vinculante y</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por lo tanto, no es un reglamento, sino que es un criterio doctrinario o auxiliar, según el efecto que a aquellos les confiere el segundo inciso del artículo 230 de la Constitución Política y el artículo 28 de la Ley 1437 de 2011.</w:t>
      </w:r>
    </w:p>
    <w:p w14:paraId="58BDDD88" w14:textId="77777777" w:rsidR="00C02156" w:rsidRPr="00C22EDD" w:rsidRDefault="00C02156" w:rsidP="00C02156">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b) En el auto del 25 de febrero de 2021 la Sección Tercera del Consejo de Estado señala que las entidades exceptuadas del Estatuto General de Contratación de la Administración Pública –es decir, las que cuentan con un régimen especial, </w:t>
      </w:r>
      <w:r w:rsidRPr="00C22EDD">
        <w:rPr>
          <w:rFonts w:ascii="Arial" w:eastAsia="Calibri" w:hAnsi="Arial" w:cs="Arial"/>
          <w:color w:val="000000" w:themeColor="text1"/>
          <w:sz w:val="22"/>
          <w:lang w:val="es-ES_tradnl"/>
        </w:rPr>
        <w:lastRenderedPageBreak/>
        <w:t xml:space="preserve">preponderantemente de derecho privado– no deben publicar la misma información en el SECOP que las sometidas a dicho Estatuto. Pues bien, en el concepto CU-003 del 15 de enero de 2020 Colombia Compra Eficiente acoge una tesis similar, explicando cuáles deberían ser entonces los documentos que han de publicar en el SECOP las entidades que se rigen por el derecho privado en su </w:t>
      </w:r>
      <w:r>
        <w:rPr>
          <w:rFonts w:ascii="Arial" w:eastAsia="Calibri" w:hAnsi="Arial" w:cs="Arial"/>
          <w:color w:val="000000" w:themeColor="text1"/>
          <w:sz w:val="22"/>
          <w:lang w:val="es-ES_tradnl"/>
        </w:rPr>
        <w:t>contratación</w:t>
      </w:r>
      <w:r w:rsidRPr="00C22EDD">
        <w:rPr>
          <w:rFonts w:ascii="Arial" w:eastAsia="Calibri" w:hAnsi="Arial" w:cs="Arial"/>
          <w:color w:val="000000" w:themeColor="text1"/>
          <w:sz w:val="22"/>
          <w:lang w:val="es-ES_tradnl"/>
        </w:rPr>
        <w:t>, que no son los mismos que aquellos que deben publicar las que se rigen por la Ley 80 de 1993 y demás disposiciones complementarias de esta.</w:t>
      </w:r>
    </w:p>
    <w:p w14:paraId="06E89508" w14:textId="77777777" w:rsidR="00C02156" w:rsidRPr="00C22EDD" w:rsidRDefault="00C02156" w:rsidP="00C02156">
      <w:pPr>
        <w:spacing w:before="120" w:line="276" w:lineRule="auto"/>
        <w:ind w:firstLine="709"/>
        <w:jc w:val="both"/>
        <w:rPr>
          <w:rFonts w:ascii="Arial" w:hAnsi="Arial" w:cs="Arial"/>
          <w:bCs/>
          <w:color w:val="000000" w:themeColor="text1"/>
          <w:sz w:val="22"/>
          <w:lang w:val="es-ES_tradnl"/>
        </w:rPr>
      </w:pPr>
      <w:r w:rsidRPr="00C22EDD">
        <w:rPr>
          <w:rFonts w:ascii="Arial" w:eastAsia="Calibri" w:hAnsi="Arial" w:cs="Arial"/>
          <w:color w:val="000000" w:themeColor="text1"/>
          <w:sz w:val="22"/>
          <w:lang w:val="es-ES_tradnl"/>
        </w:rPr>
        <w:t xml:space="preserve">c) En el concepto CU-003 del 15 de enero de 2020 la Agencia Nacional de Contratación Pública – Colombia Compra Eficiente se fundamenta, para concluir cuáles son los documentos que deben publicar en el SECOP las entidades estatales que cuentan con un régimen especial, en el artículo 3, literal c) de la Ley 1150 de 2007, en el artículo 11, literal g) de la Ley 1712 de 2014 y en los artículos </w:t>
      </w:r>
      <w:r>
        <w:rPr>
          <w:rFonts w:ascii="Arial" w:eastAsia="Calibri" w:hAnsi="Arial" w:cs="Arial"/>
          <w:color w:val="000000" w:themeColor="text1"/>
          <w:sz w:val="22"/>
          <w:lang w:val="es-ES_tradnl"/>
        </w:rPr>
        <w:t>7</w:t>
      </w:r>
      <w:r w:rsidRPr="00C22EDD">
        <w:rPr>
          <w:rFonts w:ascii="Arial" w:eastAsia="Calibri" w:hAnsi="Arial" w:cs="Arial"/>
          <w:color w:val="000000" w:themeColor="text1"/>
          <w:sz w:val="22"/>
          <w:lang w:val="es-ES_tradnl"/>
        </w:rPr>
        <w:t xml:space="preserve"> al 10 del Decreto 103 de 2015 –compilado en los artículos 2.1.1.1.1. al 2.1.1.6.1. del Decreto 1081 de 2015–. Es decir, la Agencia respetó el régimen legal y reglamentario que en la actualidad desarrolla el derecho de transparencia y de acceso a la información pública. Por ende, </w:t>
      </w:r>
      <w:r>
        <w:rPr>
          <w:rFonts w:ascii="Arial" w:eastAsia="Calibri" w:hAnsi="Arial" w:cs="Arial"/>
          <w:color w:val="000000" w:themeColor="text1"/>
          <w:sz w:val="22"/>
          <w:lang w:val="es-ES_tradnl"/>
        </w:rPr>
        <w:t>la interpretación aquí expuesta</w:t>
      </w:r>
      <w:r w:rsidRPr="00C22EDD">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es congruente con e</w:t>
      </w:r>
      <w:r w:rsidRPr="00C22EDD">
        <w:rPr>
          <w:rFonts w:ascii="Arial" w:eastAsia="Calibri" w:hAnsi="Arial" w:cs="Arial"/>
          <w:color w:val="000000" w:themeColor="text1"/>
          <w:sz w:val="22"/>
          <w:lang w:val="es-ES_tradnl"/>
        </w:rPr>
        <w:t>l auto del Consejo de Estado del 25 de febrero de 2021.</w:t>
      </w:r>
    </w:p>
    <w:p w14:paraId="23AA1997" w14:textId="77777777" w:rsidR="00C02156" w:rsidRPr="00C22EDD" w:rsidRDefault="00C02156" w:rsidP="00C02156">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xml:space="preserve">  </w:t>
      </w:r>
    </w:p>
    <w:p w14:paraId="4FA48CD9" w14:textId="77777777" w:rsidR="00C02156" w:rsidRPr="00C22EDD" w:rsidRDefault="00C02156" w:rsidP="00C02156">
      <w:pPr>
        <w:pStyle w:val="Prrafodelista"/>
        <w:tabs>
          <w:tab w:val="left" w:pos="284"/>
          <w:tab w:val="left" w:pos="426"/>
        </w:tabs>
        <w:spacing w:line="276" w:lineRule="auto"/>
        <w:ind w:left="0"/>
        <w:jc w:val="both"/>
        <w:rPr>
          <w:rFonts w:ascii="Arial" w:hAnsi="Arial" w:cs="Arial"/>
          <w:b/>
          <w:color w:val="000000" w:themeColor="text1"/>
          <w:sz w:val="22"/>
          <w:lang w:val="es-ES_tradnl"/>
        </w:rPr>
      </w:pPr>
      <w:r w:rsidRPr="00C22EDD">
        <w:rPr>
          <w:rFonts w:ascii="Arial" w:hAnsi="Arial" w:cs="Arial"/>
          <w:b/>
          <w:color w:val="000000" w:themeColor="text1"/>
          <w:sz w:val="22"/>
          <w:lang w:val="es-ES_tradnl"/>
        </w:rPr>
        <w:t xml:space="preserve">2.3. Documentos que deben publicar en el SECOP las entidades estatales de régimen especial. Reiteración del concepto CU-003 del 15 de enero de 2020 </w:t>
      </w:r>
    </w:p>
    <w:p w14:paraId="76BC363F" w14:textId="77777777" w:rsidR="00C02156" w:rsidRPr="00C22EDD" w:rsidRDefault="00C02156" w:rsidP="00C02156">
      <w:pPr>
        <w:pStyle w:val="Prrafodelista"/>
        <w:spacing w:line="276" w:lineRule="auto"/>
        <w:ind w:left="0"/>
        <w:jc w:val="both"/>
        <w:rPr>
          <w:rFonts w:ascii="Arial" w:hAnsi="Arial" w:cs="Arial"/>
          <w:b/>
          <w:color w:val="000000" w:themeColor="text1"/>
          <w:sz w:val="22"/>
          <w:lang w:val="es-ES_tradnl"/>
        </w:rPr>
      </w:pPr>
    </w:p>
    <w:p w14:paraId="2D7A11CA" w14:textId="77777777" w:rsidR="00C02156" w:rsidRPr="00C22EDD" w:rsidRDefault="00C02156" w:rsidP="00C02156">
      <w:pPr>
        <w:pStyle w:val="Prrafodelista"/>
        <w:spacing w:line="276" w:lineRule="auto"/>
        <w:ind w:left="0"/>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Determinada la obligación que tienen las entidades sujetas a un régimen especial de publicar la información oficial de su contratación con recursos públicos en el SECOP, se identificarán los documentos que deben publicar, n</w:t>
      </w:r>
      <w:r w:rsidRPr="00C22EDD">
        <w:rPr>
          <w:rFonts w:ascii="Arial" w:hAnsi="Arial" w:cs="Arial"/>
          <w:bCs/>
          <w:color w:val="000000" w:themeColor="text1"/>
          <w:sz w:val="22"/>
          <w:lang w:val="es-ES_tradnl"/>
        </w:rPr>
        <w:t xml:space="preserve">o sin antes explicar la posición que la Agencia Nacional de Contratación Pública ─ Colombia Compra Eficiente adoptó desde el 2016 hasta el 2019. Posteriormente, se reiterará el concepto CU-003 del 15 de enero de 2020, que contiene la tesis que actualmente acoge la Agencia. </w:t>
      </w:r>
    </w:p>
    <w:p w14:paraId="3F093272" w14:textId="77777777" w:rsidR="00C02156" w:rsidRPr="00C22EDD" w:rsidRDefault="00C02156" w:rsidP="00C02156">
      <w:pPr>
        <w:spacing w:before="120" w:line="276" w:lineRule="auto"/>
        <w:ind w:firstLine="709"/>
        <w:jc w:val="both"/>
        <w:rPr>
          <w:rFonts w:ascii="Arial" w:hAnsi="Arial" w:cs="Arial"/>
          <w:color w:val="000000" w:themeColor="text1"/>
          <w:sz w:val="22"/>
          <w:lang w:val="es-ES_tradnl"/>
        </w:rPr>
      </w:pPr>
      <w:r w:rsidRPr="00C22EDD">
        <w:rPr>
          <w:rFonts w:ascii="Arial" w:eastAsia="Calibri" w:hAnsi="Arial" w:cs="Arial"/>
          <w:color w:val="000000" w:themeColor="text1"/>
          <w:sz w:val="22"/>
          <w:lang w:val="es-ES_tradnl"/>
        </w:rPr>
        <w:t>Primero, en respuesta a la consulta identificada con el radicado No. 41612000877 del 15 de febrero de 2016, la Agencia señaló que las empresas industriales y comerciales del Estado, las empresas de servicios públicos domiciliarios y las sociedades de economía mixta –sometidas a un régimen especial de contratación– debían publicar en el SECO</w:t>
      </w:r>
      <w:r w:rsidRPr="00C22EDD">
        <w:rPr>
          <w:rFonts w:ascii="Arial" w:hAnsi="Arial" w:cs="Arial"/>
          <w:bCs/>
          <w:color w:val="000000" w:themeColor="text1"/>
          <w:sz w:val="22"/>
          <w:lang w:val="es-ES_tradnl"/>
        </w:rPr>
        <w:t>P todos los documentos del proceso que define el Decreto 1082 de 2015, así como lo relativo a la ejecución del contrato. Lo anterior, a partir de lo dispuesto en el literal c) del artículo 3 de la Ley 1150 de 2007</w:t>
      </w:r>
      <w:r w:rsidRPr="00C22EDD">
        <w:rPr>
          <w:rStyle w:val="Refdenotaalpie"/>
          <w:rFonts w:ascii="Arial" w:hAnsi="Arial" w:cs="Arial"/>
          <w:bCs/>
          <w:color w:val="000000" w:themeColor="text1"/>
          <w:sz w:val="22"/>
          <w:lang w:val="es-ES_tradnl"/>
        </w:rPr>
        <w:footnoteReference w:id="23"/>
      </w:r>
      <w:r w:rsidRPr="00C22EDD">
        <w:rPr>
          <w:rFonts w:ascii="Arial" w:hAnsi="Arial" w:cs="Arial"/>
          <w:bCs/>
          <w:color w:val="000000" w:themeColor="text1"/>
          <w:sz w:val="22"/>
          <w:lang w:val="es-ES_tradnl"/>
        </w:rPr>
        <w:t xml:space="preserve">. </w:t>
      </w:r>
      <w:r w:rsidRPr="00C22EDD">
        <w:rPr>
          <w:rFonts w:ascii="Arial" w:hAnsi="Arial" w:cs="Arial"/>
          <w:color w:val="000000" w:themeColor="text1"/>
          <w:sz w:val="22"/>
          <w:lang w:val="es-ES_tradnl"/>
        </w:rPr>
        <w:t xml:space="preserve">En este sentido, reconoció la obligatoriedad, por parte de las </w:t>
      </w:r>
      <w:r w:rsidRPr="00C22EDD">
        <w:rPr>
          <w:rFonts w:ascii="Arial" w:hAnsi="Arial" w:cs="Arial"/>
          <w:color w:val="000000" w:themeColor="text1"/>
          <w:sz w:val="22"/>
          <w:lang w:val="es-ES_tradnl"/>
        </w:rPr>
        <w:lastRenderedPageBreak/>
        <w:t xml:space="preserve">entidades de régimen especial, de publicar su </w:t>
      </w:r>
      <w:r w:rsidRPr="00C22EDD">
        <w:rPr>
          <w:rFonts w:ascii="Arial" w:hAnsi="Arial" w:cs="Arial"/>
          <w:i/>
          <w:iCs/>
          <w:color w:val="000000" w:themeColor="text1"/>
          <w:sz w:val="22"/>
          <w:lang w:val="es-ES_tradnl"/>
        </w:rPr>
        <w:t>actividad contractual</w:t>
      </w:r>
      <w:r w:rsidRPr="00C22EDD">
        <w:rPr>
          <w:rFonts w:ascii="Arial" w:hAnsi="Arial" w:cs="Arial"/>
          <w:color w:val="000000" w:themeColor="text1"/>
          <w:sz w:val="22"/>
          <w:lang w:val="es-ES_tradnl"/>
        </w:rPr>
        <w:t xml:space="preserve"> en el SECOP. De este modo, con fundamento en el artículo 2.2.1.1.1.3.1 del Decreto 1082 de 2015, normativa que aplica a las entidades que se rigen por la Ley 80 de 1993, indicó que los documentos del proceso que se enunciaban allí también eran los que debían publicar las entidades exceptuadas del Estatuto General de Contratación de la Administración Pública.</w:t>
      </w:r>
    </w:p>
    <w:p w14:paraId="5EE124DE" w14:textId="77777777" w:rsidR="00C02156" w:rsidRPr="00C22EDD" w:rsidRDefault="00C02156" w:rsidP="00C02156">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Posteriormente, en el año 2018, cambió el fundamento normativo que define los documentos que las entidades de régimen especial debían publicar en el SECOP. Así, en el concepto con radicado No. 4201814000008329 del 8 de octubre de 2018, la Agencia dijo que en virtud del artículo 11 de la Ley 1712 de 2014, los destinatarios de las normas contenidas en la ley de transparencia debían publicar los procedimientos, lineamientos, políticas en materia de adquisiciones y compras, así como todos los datos de adjudicación y ejecución de contratos, incluidos concursos y licitaciones. Por lo tanto, los documentos que se debían publicar eran los previstos en el manual de contratación de cada entidad de régimen especial para la adquisición de un bien o servicio, y no los que definía el artículo 2.2.1.1.1.3.1 del Decreto 1082 de 2015</w:t>
      </w:r>
      <w:r w:rsidRPr="00C22EDD">
        <w:rPr>
          <w:rStyle w:val="Refdenotaalpie"/>
          <w:rFonts w:ascii="Arial" w:eastAsia="Calibri" w:hAnsi="Arial" w:cs="Arial"/>
          <w:color w:val="000000" w:themeColor="text1"/>
          <w:sz w:val="22"/>
          <w:lang w:val="es-ES_tradnl"/>
        </w:rPr>
        <w:footnoteReference w:id="24"/>
      </w:r>
      <w:r w:rsidRPr="00C22EDD">
        <w:rPr>
          <w:rFonts w:ascii="Arial" w:eastAsia="Calibri" w:hAnsi="Arial" w:cs="Arial"/>
          <w:color w:val="000000" w:themeColor="text1"/>
          <w:sz w:val="22"/>
          <w:lang w:val="es-ES_tradnl"/>
        </w:rPr>
        <w:t xml:space="preserve">. </w:t>
      </w:r>
    </w:p>
    <w:p w14:paraId="7E50303C" w14:textId="77777777" w:rsidR="00C02156" w:rsidRPr="00C22EDD" w:rsidRDefault="00C02156" w:rsidP="00C02156">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Conforme a lo anterior, en un primer momento la Agencia Nacional de Contratación Pública – Colombia Compra Eficiente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–compilado en los artículos 2.1.1.1.1. al 2.1.1.6.1. del Decreto 1081 de 2015–. Esta posición –que fue la acogida y desarrollada en el concepto de unificación CU-003 de 2020– es la que se reiterará a continuación.</w:t>
      </w:r>
    </w:p>
    <w:p w14:paraId="65577AF6" w14:textId="77777777" w:rsidR="00C02156" w:rsidRPr="00C22EDD" w:rsidRDefault="00C02156" w:rsidP="00C02156">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En efecto, la Ley 1712 de 2014 –«Por medio de la cual se crea la Ley de Transparencia y del Derecho de Acceso a la Información Pública Nacional y se dictan otras disposiciones»–, señala en el artículo 11, literal g), que todo </w:t>
      </w:r>
      <w:r w:rsidRPr="00C22EDD">
        <w:rPr>
          <w:rFonts w:ascii="Arial" w:eastAsia="Calibri" w:hAnsi="Arial" w:cs="Arial"/>
          <w:i/>
          <w:iCs/>
          <w:color w:val="000000" w:themeColor="text1"/>
          <w:sz w:val="22"/>
          <w:lang w:val="es-ES_tradnl"/>
        </w:rPr>
        <w:t>sujeto obligado</w:t>
      </w:r>
      <w:r w:rsidRPr="00C22EDD">
        <w:rPr>
          <w:rFonts w:ascii="Arial" w:eastAsia="Calibri" w:hAnsi="Arial" w:cs="Arial"/>
          <w:color w:val="000000" w:themeColor="text1"/>
          <w:sz w:val="22"/>
          <w:lang w:val="es-ES_tradnl"/>
        </w:rPr>
        <w:t xml:space="preserve"> –y las entidades estatales con régimen especial de contratación lo son– debe publicar sus procedimientos, lineamientos, políticas en materia de adquisiciones y compras, así como todos los datos de </w:t>
      </w:r>
      <w:r w:rsidRPr="00C22EDD">
        <w:rPr>
          <w:rFonts w:ascii="Arial" w:eastAsia="Calibri" w:hAnsi="Arial" w:cs="Arial"/>
          <w:color w:val="000000" w:themeColor="text1"/>
          <w:sz w:val="22"/>
          <w:lang w:val="es-ES_tradnl"/>
        </w:rPr>
        <w:lastRenderedPageBreak/>
        <w:t xml:space="preserve">adjudicación y ejecución de sus contratos. Lo anterior implica que se deberá publicar cada procedimiento para la adquisición de un producto o servicio, incluidos los datos de adjudicación y ejecución del contrato. </w:t>
      </w:r>
    </w:p>
    <w:p w14:paraId="6815114C" w14:textId="77777777" w:rsidR="00C02156" w:rsidRPr="00C22EDD" w:rsidRDefault="00C02156" w:rsidP="00C02156">
      <w:pPr>
        <w:spacing w:before="120" w:line="276" w:lineRule="auto"/>
        <w:ind w:firstLine="709"/>
        <w:jc w:val="both"/>
        <w:rPr>
          <w:rFonts w:ascii="Arial" w:eastAsia="Calibri" w:hAnsi="Arial" w:cs="Arial"/>
          <w:color w:val="000000" w:themeColor="text1"/>
          <w:sz w:val="22"/>
          <w:szCs w:val="22"/>
          <w:lang w:val="es-ES_tradnl"/>
        </w:rPr>
      </w:pPr>
      <w:r w:rsidRPr="00C22EDD">
        <w:rPr>
          <w:rFonts w:ascii="Arial" w:eastAsia="Calibri" w:hAnsi="Arial" w:cs="Arial"/>
          <w:color w:val="000000" w:themeColor="text1"/>
          <w:sz w:val="22"/>
          <w:szCs w:val="22"/>
          <w:lang w:val="es-ES_tradnl"/>
        </w:rPr>
        <w:t>Luego,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w:t>
      </w:r>
      <w:r w:rsidRPr="00C22EDD">
        <w:rPr>
          <w:rStyle w:val="Refdenotaalpie"/>
          <w:rFonts w:ascii="Arial" w:eastAsia="Calibri" w:hAnsi="Arial" w:cs="Arial"/>
          <w:color w:val="000000" w:themeColor="text1"/>
          <w:sz w:val="22"/>
          <w:szCs w:val="22"/>
          <w:lang w:val="es-ES_tradnl"/>
        </w:rPr>
        <w:footnoteReference w:id="25"/>
      </w:r>
      <w:r w:rsidRPr="00C22EDD">
        <w:rPr>
          <w:rFonts w:ascii="Arial" w:eastAsia="Calibri" w:hAnsi="Arial" w:cs="Arial"/>
          <w:color w:val="000000" w:themeColor="text1"/>
          <w:sz w:val="22"/>
          <w:szCs w:val="22"/>
          <w:lang w:val="es-ES_tradnl"/>
        </w:rPr>
        <w:t>.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w:t>
      </w:r>
      <w:r w:rsidRPr="00C22EDD">
        <w:rPr>
          <w:rStyle w:val="Refdenotaalpie"/>
          <w:rFonts w:ascii="Arial" w:eastAsia="Calibri" w:hAnsi="Arial" w:cs="Arial"/>
          <w:color w:val="000000" w:themeColor="text1"/>
          <w:sz w:val="22"/>
          <w:szCs w:val="22"/>
          <w:lang w:val="es-ES_tradnl"/>
        </w:rPr>
        <w:footnoteReference w:id="26"/>
      </w:r>
      <w:r w:rsidRPr="00C22EDD">
        <w:rPr>
          <w:rFonts w:ascii="Arial" w:eastAsia="Calibri" w:hAnsi="Arial" w:cs="Arial"/>
          <w:color w:val="000000" w:themeColor="text1"/>
          <w:sz w:val="22"/>
          <w:szCs w:val="22"/>
          <w:lang w:val="es-ES_tradnl"/>
        </w:rPr>
        <w:t>. Finalmente, el artículo 10 del Decreto 103 de 2015 –</w:t>
      </w:r>
      <w:r w:rsidRPr="00C22EDD">
        <w:rPr>
          <w:rFonts w:ascii="Arial" w:hAnsi="Arial" w:cs="Arial"/>
          <w:sz w:val="22"/>
          <w:szCs w:val="22"/>
          <w:lang w:val="es-ES_tradnl"/>
        </w:rPr>
        <w:t xml:space="preserve">artículo </w:t>
      </w:r>
      <w:r w:rsidRPr="00C22EDD">
        <w:rPr>
          <w:rFonts w:ascii="Arial" w:eastAsia="Calibri" w:hAnsi="Arial" w:cs="Arial"/>
          <w:color w:val="000000" w:themeColor="text1"/>
          <w:sz w:val="22"/>
          <w:szCs w:val="22"/>
          <w:lang w:val="es-ES_tradnl"/>
        </w:rPr>
        <w:t>2.1.1.2.1.10. del Decreto 1081 de 2015– consagra la obligación que tienen las entidades estatales de publicar en el SECOP el Plan Anual de Adquisiciones</w:t>
      </w:r>
      <w:r w:rsidRPr="00C22EDD">
        <w:rPr>
          <w:rStyle w:val="Refdenotaalpie"/>
          <w:rFonts w:ascii="Arial" w:eastAsia="Calibri" w:hAnsi="Arial" w:cs="Arial"/>
          <w:color w:val="000000" w:themeColor="text1"/>
          <w:sz w:val="22"/>
          <w:szCs w:val="22"/>
          <w:lang w:val="es-ES_tradnl"/>
        </w:rPr>
        <w:footnoteReference w:id="27"/>
      </w:r>
      <w:r w:rsidRPr="00C22EDD">
        <w:rPr>
          <w:rFonts w:ascii="Arial" w:eastAsia="Calibri" w:hAnsi="Arial" w:cs="Arial"/>
          <w:color w:val="000000" w:themeColor="text1"/>
          <w:sz w:val="22"/>
          <w:szCs w:val="22"/>
          <w:lang w:val="es-ES_tradnl"/>
        </w:rPr>
        <w:t>.</w:t>
      </w:r>
    </w:p>
    <w:p w14:paraId="0B4579F6" w14:textId="77777777" w:rsidR="00C02156" w:rsidRPr="00C22EDD" w:rsidRDefault="00C02156" w:rsidP="00C02156">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De conformidad con lo anterior, el Decreto 103 de 2015 –compilado en los artículos 2.1.1.1.1. al 2.1.1.6.1. del Decreto 1081 de 2015– preceptúa que los documentos que deben publicar las entidades estatales, entre estas las empresas industriales y comerciales del Estado que actúan en competencia o en mercados regulados, las sociedades de economía </w:t>
      </w:r>
      <w:r w:rsidRPr="00C22EDD">
        <w:rPr>
          <w:rFonts w:ascii="Arial" w:eastAsia="Calibri" w:hAnsi="Arial" w:cs="Arial"/>
          <w:color w:val="000000" w:themeColor="text1"/>
          <w:sz w:val="22"/>
          <w:lang w:val="es-ES_tradnl"/>
        </w:rPr>
        <w:lastRenderedPageBreak/>
        <w:t xml:space="preserve">mixta que se encuentren en la misma condición o que tenga capital privado igual o superior al 50% de todo el capital social, las empresas de servicios públicos domiciliarios, las universidades públicas, y en general todas las entidades estatales con régimen especial de contratación, son: i) las autorizaciones, requerimientos, aprobaciones o informes del supervisor o del interventor, que prueben la ejecución del contrato, </w:t>
      </w:r>
      <w:proofErr w:type="spellStart"/>
      <w:r w:rsidRPr="00C22EDD">
        <w:rPr>
          <w:rFonts w:ascii="Arial" w:eastAsia="Calibri" w:hAnsi="Arial" w:cs="Arial"/>
          <w:color w:val="000000" w:themeColor="text1"/>
          <w:sz w:val="22"/>
          <w:lang w:val="es-ES_tradnl"/>
        </w:rPr>
        <w:t>ii</w:t>
      </w:r>
      <w:proofErr w:type="spellEnd"/>
      <w:r w:rsidRPr="00C22EDD">
        <w:rPr>
          <w:rFonts w:ascii="Arial" w:eastAsia="Calibri" w:hAnsi="Arial" w:cs="Arial"/>
          <w:color w:val="000000" w:themeColor="text1"/>
          <w:sz w:val="22"/>
          <w:lang w:val="es-ES_tradnl"/>
        </w:rPr>
        <w:t xml:space="preserve">) los procedimientos, lineamientos y políticas en materia de adquisición que corresponden a los  documentos que los conforman, previstos en el manual de contratación de la entidad, y finalmente, </w:t>
      </w:r>
      <w:proofErr w:type="spellStart"/>
      <w:r w:rsidRPr="00C22EDD">
        <w:rPr>
          <w:rFonts w:ascii="Arial" w:eastAsia="Calibri" w:hAnsi="Arial" w:cs="Arial"/>
          <w:color w:val="000000" w:themeColor="text1"/>
          <w:sz w:val="22"/>
          <w:lang w:val="es-ES_tradnl"/>
        </w:rPr>
        <w:t>iii</w:t>
      </w:r>
      <w:proofErr w:type="spellEnd"/>
      <w:r w:rsidRPr="00C22EDD">
        <w:rPr>
          <w:rFonts w:ascii="Arial" w:eastAsia="Calibri" w:hAnsi="Arial" w:cs="Arial"/>
          <w:color w:val="000000" w:themeColor="text1"/>
          <w:sz w:val="22"/>
          <w:lang w:val="es-ES_tradnl"/>
        </w:rPr>
        <w:t>) el plan anual de adquisiciones.</w:t>
      </w:r>
    </w:p>
    <w:p w14:paraId="036494AF" w14:textId="77777777" w:rsidR="00C02156" w:rsidRPr="00C22EDD" w:rsidRDefault="00C02156" w:rsidP="00C02156">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relación con el</w:t>
      </w:r>
      <w:r w:rsidRPr="00C22EDD">
        <w:rPr>
          <w:rFonts w:ascii="Arial" w:eastAsia="Calibri" w:hAnsi="Arial" w:cs="Arial"/>
          <w:color w:val="000000" w:themeColor="text1"/>
          <w:sz w:val="22"/>
          <w:lang w:val="es-ES_tradnl"/>
        </w:rPr>
        <w:t xml:space="preserve"> segundo grupo de documentos, debido a que estas entidades están sometidas al derecho privado y</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por lo tanto</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44A8A789" w14:textId="77777777" w:rsidR="00C02156" w:rsidRPr="00C22EDD" w:rsidRDefault="00C02156" w:rsidP="00C02156">
      <w:pPr>
        <w:spacing w:before="120" w:line="276" w:lineRule="auto"/>
        <w:ind w:firstLine="709"/>
        <w:jc w:val="both"/>
        <w:rPr>
          <w:rFonts w:ascii="Arial" w:hAnsi="Arial" w:cs="Arial"/>
          <w:color w:val="000000" w:themeColor="text1"/>
          <w:sz w:val="22"/>
          <w:lang w:val="es-ES_tradnl" w:eastAsia="es-CO"/>
        </w:rPr>
      </w:pPr>
      <w:r w:rsidRPr="00C22EDD">
        <w:rPr>
          <w:rFonts w:ascii="Arial" w:eastAsia="Calibri" w:hAnsi="Arial" w:cs="Arial"/>
          <w:color w:val="000000" w:themeColor="text1"/>
          <w:sz w:val="22"/>
          <w:lang w:val="es-ES_tradnl"/>
        </w:rPr>
        <w:t xml:space="preserve">Por lo tanto, en estos casos aplica la Ley 1712 de 2014 y el Decreto 103 de 2015, no el Decreto 1082 de 2015, porque esta última norma rige a las entidades sometidas al Estatuto General de Contratación Pública, y por lo tanto no aplica a las entidades exceptuadas de dicho Estatuto que, por regla general, se rigen por el derecho privado. Por su parte, la Ley 1712 de 2014 y el Decreto reglamentario 103 de 2015 –compilado en los artículos 2.1.1.1.1. al 2.1.1.6.1. del Decreto 1081 de 2015– </w:t>
      </w:r>
      <w:r>
        <w:rPr>
          <w:rFonts w:ascii="Arial" w:eastAsia="Calibri" w:hAnsi="Arial" w:cs="Arial"/>
          <w:color w:val="000000" w:themeColor="text1"/>
          <w:sz w:val="22"/>
          <w:lang w:val="es-ES_tradnl"/>
        </w:rPr>
        <w:t>le aplican</w:t>
      </w:r>
      <w:r w:rsidRPr="00C22EDD">
        <w:rPr>
          <w:rFonts w:ascii="Arial" w:eastAsia="Calibri" w:hAnsi="Arial" w:cs="Arial"/>
          <w:color w:val="000000" w:themeColor="text1"/>
          <w:sz w:val="22"/>
          <w:lang w:val="es-ES_tradnl"/>
        </w:rPr>
        <w:t xml:space="preserve"> a cualquier entidad pública, incluyendo</w:t>
      </w:r>
      <w:r w:rsidRPr="00C22EDD">
        <w:rPr>
          <w:rFonts w:ascii="Arial" w:hAnsi="Arial" w:cs="Arial"/>
          <w:color w:val="000000" w:themeColor="text1"/>
          <w:sz w:val="22"/>
          <w:lang w:val="es-ES_tradnl"/>
        </w:rPr>
        <w:t xml:space="preserve"> </w:t>
      </w:r>
      <w:r w:rsidRPr="00C22EDD">
        <w:rPr>
          <w:rFonts w:ascii="Arial" w:hAnsi="Arial" w:cs="Arial"/>
          <w:color w:val="000000" w:themeColor="text1"/>
          <w:sz w:val="22"/>
          <w:lang w:val="es-ES_tradnl" w:eastAsia="es-CO"/>
        </w:rPr>
        <w:t>las pertenecientes a todas las ramas del poder público, en todos los niveles de la estructura estatal, central o descentralizada por servicios o territorialmente, en los órdenes nacional, departamental, municipal y distrital.</w:t>
      </w:r>
    </w:p>
    <w:p w14:paraId="153001D2" w14:textId="77777777" w:rsidR="00C02156" w:rsidRDefault="00C02156" w:rsidP="00C02156">
      <w:pPr>
        <w:spacing w:before="120" w:line="276" w:lineRule="auto"/>
        <w:ind w:firstLine="708"/>
        <w:jc w:val="both"/>
        <w:rPr>
          <w:rFonts w:ascii="Arial" w:hAnsi="Arial" w:cs="Arial"/>
          <w:color w:val="000000" w:themeColor="text1"/>
          <w:sz w:val="22"/>
          <w:szCs w:val="22"/>
          <w:lang w:val="es-ES_tradnl"/>
        </w:rPr>
      </w:pPr>
      <w:r w:rsidRPr="00C22EDD">
        <w:rPr>
          <w:rFonts w:ascii="Arial" w:hAnsi="Arial" w:cs="Arial"/>
          <w:color w:val="000000" w:themeColor="text1"/>
          <w:sz w:val="22"/>
          <w:lang w:val="es-ES_tradnl" w:eastAsia="es-CO"/>
        </w:rPr>
        <w:t xml:space="preserve">Se concluye entonces que </w:t>
      </w:r>
      <w:r>
        <w:rPr>
          <w:rFonts w:ascii="Arial" w:hAnsi="Arial" w:cs="Arial"/>
          <w:color w:val="000000" w:themeColor="text1"/>
          <w:sz w:val="22"/>
          <w:lang w:val="es-ES_tradnl" w:eastAsia="es-CO"/>
        </w:rPr>
        <w:t>no</w:t>
      </w:r>
      <w:r w:rsidRPr="00C22EDD">
        <w:rPr>
          <w:rFonts w:ascii="Arial" w:hAnsi="Arial" w:cs="Arial"/>
          <w:color w:val="000000" w:themeColor="text1"/>
          <w:sz w:val="22"/>
          <w:szCs w:val="22"/>
          <w:lang w:val="es-ES_tradnl"/>
        </w:rPr>
        <w:t xml:space="preserve"> 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w:t>
      </w:r>
      <w:r>
        <w:rPr>
          <w:rFonts w:ascii="Arial" w:hAnsi="Arial" w:cs="Arial"/>
          <w:color w:val="000000" w:themeColor="text1"/>
          <w:sz w:val="22"/>
          <w:szCs w:val="22"/>
          <w:lang w:val="es-ES_tradnl"/>
        </w:rPr>
        <w:t xml:space="preserve"> precisamente</w:t>
      </w:r>
      <w:r w:rsidRPr="00C22EDD">
        <w:rPr>
          <w:rFonts w:ascii="Arial" w:hAnsi="Arial" w:cs="Arial"/>
          <w:color w:val="000000" w:themeColor="text1"/>
          <w:sz w:val="22"/>
          <w:szCs w:val="22"/>
          <w:lang w:val="es-ES_tradnl"/>
        </w:rPr>
        <w:t xml:space="preserve"> dicho auto indica que el artículo 3, literal c), de la Ley 1150 de 2007 también les resulta aplicable a dichas entidades, independientemente de su régimen contractual. Segundo, porque estas deben garantizar los principios de publicidad y transparencia, previsto</w:t>
      </w:r>
      <w:r>
        <w:rPr>
          <w:rFonts w:ascii="Arial" w:hAnsi="Arial" w:cs="Arial"/>
          <w:color w:val="000000" w:themeColor="text1"/>
          <w:sz w:val="22"/>
          <w:szCs w:val="22"/>
          <w:lang w:val="es-ES_tradnl"/>
        </w:rPr>
        <w:t>s</w:t>
      </w:r>
      <w:r w:rsidRPr="00C22EDD">
        <w:rPr>
          <w:rFonts w:ascii="Arial" w:hAnsi="Arial" w:cs="Arial"/>
          <w:color w:val="000000" w:themeColor="text1"/>
          <w:sz w:val="22"/>
          <w:szCs w:val="22"/>
          <w:lang w:val="es-ES_tradnl"/>
        </w:rPr>
        <w:t xml:space="preserve"> en los artículos 209 y 74 de la Constitución Política. Tercero, porque las entidades estatales –incluidas las que se rigen generalmente por el derecho privado en materia </w:t>
      </w:r>
      <w:r w:rsidRPr="00C22EDD">
        <w:rPr>
          <w:rFonts w:ascii="Arial" w:hAnsi="Arial" w:cs="Arial"/>
          <w:color w:val="000000" w:themeColor="text1"/>
          <w:sz w:val="22"/>
          <w:szCs w:val="22"/>
          <w:lang w:val="es-ES_tradnl"/>
        </w:rPr>
        <w:lastRenderedPageBreak/>
        <w:t xml:space="preserve">contractual–, al ser </w:t>
      </w:r>
      <w:r w:rsidRPr="00C22EDD">
        <w:rPr>
          <w:rFonts w:ascii="Arial" w:hAnsi="Arial" w:cs="Arial"/>
          <w:i/>
          <w:iCs/>
          <w:color w:val="000000" w:themeColor="text1"/>
          <w:sz w:val="22"/>
          <w:szCs w:val="22"/>
          <w:lang w:val="es-ES_tradnl"/>
        </w:rPr>
        <w:t>sujetos obligados</w:t>
      </w:r>
      <w:r w:rsidRPr="00C22EDD">
        <w:rPr>
          <w:rFonts w:ascii="Arial" w:hAnsi="Arial" w:cs="Arial"/>
          <w:color w:val="000000" w:themeColor="text1"/>
          <w:sz w:val="22"/>
          <w:szCs w:val="22"/>
          <w:lang w:val="es-ES_tradnl"/>
        </w:rPr>
        <w:t xml:space="preserve"> a garantizar el derecho de acceso a la información y a los documentos públicos, deben publicar en el SECOP los documentos a los que se refiere el </w:t>
      </w:r>
      <w:r>
        <w:rPr>
          <w:rFonts w:ascii="Arial" w:hAnsi="Arial" w:cs="Arial"/>
          <w:color w:val="000000" w:themeColor="text1"/>
          <w:sz w:val="22"/>
          <w:szCs w:val="22"/>
          <w:lang w:val="es-ES_tradnl"/>
        </w:rPr>
        <w:t xml:space="preserve">literal e), del artículo 9 y el </w:t>
      </w:r>
      <w:r w:rsidRPr="00C22EDD">
        <w:rPr>
          <w:rFonts w:ascii="Arial" w:eastAsia="Calibri" w:hAnsi="Arial" w:cs="Arial"/>
          <w:color w:val="000000" w:themeColor="text1"/>
          <w:sz w:val="22"/>
          <w:szCs w:val="22"/>
          <w:lang w:val="es-ES_tradnl"/>
        </w:rPr>
        <w:t xml:space="preserve">literal g), del artículo 11, de la Ley 1712 de 2014, como los artículos </w:t>
      </w:r>
      <w:r>
        <w:rPr>
          <w:rFonts w:ascii="Arial" w:eastAsia="Calibri" w:hAnsi="Arial" w:cs="Arial"/>
          <w:color w:val="000000" w:themeColor="text1"/>
          <w:sz w:val="22"/>
          <w:szCs w:val="22"/>
          <w:lang w:val="es-ES_tradnl"/>
        </w:rPr>
        <w:t>7</w:t>
      </w:r>
      <w:r w:rsidRPr="00C22EDD">
        <w:rPr>
          <w:rFonts w:ascii="Arial" w:eastAsia="Calibri" w:hAnsi="Arial" w:cs="Arial"/>
          <w:color w:val="000000" w:themeColor="text1"/>
          <w:sz w:val="22"/>
          <w:szCs w:val="22"/>
          <w:lang w:val="es-ES_tradnl"/>
        </w:rPr>
        <w:t xml:space="preserve"> al 10 del Decreto 103 de 2015 –compilado en los artículos 2.1.1.1.1. al 2.1.1.6.1. del Decreto 1081 de 2015–</w:t>
      </w:r>
      <w:r w:rsidRPr="00C22EDD">
        <w:rPr>
          <w:rFonts w:ascii="Arial" w:hAnsi="Arial" w:cs="Arial"/>
          <w:color w:val="000000" w:themeColor="text1"/>
          <w:sz w:val="22"/>
          <w:szCs w:val="22"/>
          <w:lang w:val="es-ES_tradnl"/>
        </w:rPr>
        <w:t xml:space="preserve">. Cuarto, porque, el auto del 25 de febrero de 2021 no suspende todo el contenido de las </w:t>
      </w:r>
      <w:r w:rsidRPr="00C22EDD">
        <w:rPr>
          <w:rFonts w:ascii="Arial" w:hAnsi="Arial" w:cs="Arial"/>
          <w:sz w:val="22"/>
          <w:szCs w:val="22"/>
          <w:lang w:val="es-ES_tradnl"/>
        </w:rPr>
        <w:t xml:space="preserve">circulares </w:t>
      </w:r>
      <w:r w:rsidRPr="00C22EDD">
        <w:rPr>
          <w:rFonts w:ascii="Arial" w:eastAsia="Arial" w:hAnsi="Arial" w:cs="Arial"/>
          <w:sz w:val="22"/>
          <w:szCs w:val="22"/>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C22EDD">
        <w:rPr>
          <w:rFonts w:ascii="Arial" w:hAnsi="Arial" w:cs="Arial"/>
          <w:bCs/>
          <w:color w:val="000000" w:themeColor="text1"/>
          <w:sz w:val="22"/>
          <w:szCs w:val="22"/>
          <w:lang w:val="es-ES_tradnl"/>
        </w:rPr>
        <w:t>No. 23 del 16 de marzo de 2017 y No. 007 de 2020, así como de la Circular Externa Única –actualizada el 16 de abril de 2019–, las cuales se encuentran vigentes.</w:t>
      </w:r>
      <w:bookmarkEnd w:id="5"/>
      <w:r w:rsidRPr="00C22EDD">
        <w:rPr>
          <w:rFonts w:ascii="Arial" w:hAnsi="Arial" w:cs="Arial"/>
          <w:color w:val="000000" w:themeColor="text1"/>
          <w:sz w:val="22"/>
          <w:szCs w:val="22"/>
          <w:lang w:val="es-ES_tradnl"/>
        </w:rPr>
        <w:t xml:space="preserve"> </w:t>
      </w:r>
    </w:p>
    <w:p w14:paraId="6DC2A0F7" w14:textId="77777777" w:rsidR="00C02156" w:rsidRDefault="00C02156" w:rsidP="00C02156">
      <w:pPr>
        <w:spacing w:line="276" w:lineRule="auto"/>
        <w:jc w:val="both"/>
        <w:rPr>
          <w:rFonts w:ascii="Arial" w:hAnsi="Arial" w:cs="Arial"/>
          <w:color w:val="000000" w:themeColor="text1"/>
          <w:sz w:val="22"/>
          <w:szCs w:val="22"/>
          <w:lang w:val="es-ES_tradnl"/>
        </w:rPr>
      </w:pPr>
    </w:p>
    <w:p w14:paraId="5EA60F1A" w14:textId="77777777" w:rsidR="00C02156" w:rsidRPr="0091437B" w:rsidRDefault="00C02156" w:rsidP="00C02156">
      <w:pPr>
        <w:spacing w:line="276" w:lineRule="auto"/>
        <w:jc w:val="both"/>
        <w:rPr>
          <w:rFonts w:ascii="Arial" w:hAnsi="Arial" w:cs="Arial"/>
          <w:b/>
          <w:color w:val="1A1A1A" w:themeColor="background1" w:themeShade="1A"/>
          <w:sz w:val="22"/>
        </w:rPr>
      </w:pPr>
      <w:r w:rsidRPr="0091437B">
        <w:rPr>
          <w:rFonts w:ascii="Arial" w:hAnsi="Arial" w:cs="Arial"/>
          <w:b/>
          <w:color w:val="1A1A1A" w:themeColor="background1" w:themeShade="1A"/>
          <w:sz w:val="22"/>
        </w:rPr>
        <w:t>2.</w:t>
      </w:r>
      <w:r>
        <w:rPr>
          <w:rFonts w:ascii="Arial" w:hAnsi="Arial" w:cs="Arial"/>
          <w:b/>
          <w:color w:val="1A1A1A" w:themeColor="background1" w:themeShade="1A"/>
          <w:sz w:val="22"/>
        </w:rPr>
        <w:t>4</w:t>
      </w:r>
      <w:r w:rsidRPr="0091437B">
        <w:rPr>
          <w:rFonts w:ascii="Arial" w:hAnsi="Arial" w:cs="Arial"/>
          <w:b/>
          <w:color w:val="1A1A1A" w:themeColor="background1" w:themeShade="1A"/>
          <w:sz w:val="22"/>
        </w:rPr>
        <w:t xml:space="preserve">. </w:t>
      </w:r>
      <w:proofErr w:type="gramStart"/>
      <w:r>
        <w:rPr>
          <w:rFonts w:ascii="Arial" w:hAnsi="Arial" w:cs="Arial"/>
          <w:b/>
          <w:color w:val="1A1A1A" w:themeColor="background1" w:themeShade="1A"/>
          <w:sz w:val="22"/>
        </w:rPr>
        <w:t>Régimen  de</w:t>
      </w:r>
      <w:proofErr w:type="gramEnd"/>
      <w:r>
        <w:rPr>
          <w:rFonts w:ascii="Arial" w:hAnsi="Arial" w:cs="Arial"/>
          <w:b/>
          <w:color w:val="1A1A1A" w:themeColor="background1" w:themeShade="1A"/>
          <w:sz w:val="22"/>
        </w:rPr>
        <w:t xml:space="preserve"> las e</w:t>
      </w:r>
      <w:r w:rsidRPr="0091437B">
        <w:rPr>
          <w:rFonts w:ascii="Arial" w:hAnsi="Arial" w:cs="Arial"/>
          <w:b/>
          <w:color w:val="1A1A1A" w:themeColor="background1" w:themeShade="1A"/>
          <w:sz w:val="22"/>
        </w:rPr>
        <w:t>mpresas de servicios públicos domiciliarios</w:t>
      </w:r>
      <w:r>
        <w:rPr>
          <w:rFonts w:ascii="Arial" w:hAnsi="Arial" w:cs="Arial"/>
          <w:b/>
          <w:color w:val="1A1A1A" w:themeColor="background1" w:themeShade="1A"/>
          <w:sz w:val="22"/>
        </w:rPr>
        <w:t xml:space="preserve"> y publicidad de la información contractual en el SECOP </w:t>
      </w:r>
      <w:r w:rsidRPr="0091437B">
        <w:rPr>
          <w:rFonts w:ascii="Arial" w:hAnsi="Arial" w:cs="Arial"/>
          <w:b/>
          <w:color w:val="1A1A1A" w:themeColor="background1" w:themeShade="1A"/>
          <w:sz w:val="22"/>
        </w:rPr>
        <w:t xml:space="preserve"> </w:t>
      </w:r>
    </w:p>
    <w:p w14:paraId="239E3D87" w14:textId="77777777" w:rsidR="00C02156" w:rsidRPr="0091437B" w:rsidRDefault="00C02156" w:rsidP="00C02156">
      <w:pPr>
        <w:spacing w:line="276" w:lineRule="auto"/>
        <w:jc w:val="both"/>
        <w:rPr>
          <w:rFonts w:ascii="Arial" w:hAnsi="Arial" w:cs="Arial"/>
          <w:color w:val="1A1A1A" w:themeColor="background1" w:themeShade="1A"/>
          <w:sz w:val="22"/>
        </w:rPr>
      </w:pPr>
    </w:p>
    <w:p w14:paraId="08AB18CC" w14:textId="77777777" w:rsidR="00C02156" w:rsidRDefault="00C02156" w:rsidP="00C02156">
      <w:pPr>
        <w:spacing w:after="120" w:line="276" w:lineRule="auto"/>
        <w:jc w:val="both"/>
        <w:rPr>
          <w:rFonts w:ascii="Arial" w:hAnsi="Arial" w:cs="Arial"/>
          <w:color w:val="1A1A1A" w:themeColor="background1" w:themeShade="1A"/>
          <w:sz w:val="22"/>
        </w:rPr>
      </w:pPr>
      <w:r>
        <w:rPr>
          <w:rFonts w:ascii="Arial" w:hAnsi="Arial" w:cs="Arial"/>
          <w:color w:val="1A1A1A" w:themeColor="background1" w:themeShade="1A"/>
          <w:sz w:val="22"/>
        </w:rPr>
        <w:t xml:space="preserve">El artículo 365 de la Constitución Política establece que los servicios públicos domiciliarios «podrán ser prestados por el Estado, directa o indirectamente, por comunidades organizadas o por particulares», pero que «[e]n todo caso, el Estado mantendrá la regulación, el control y la vigilancia de dichos servicios». </w:t>
      </w:r>
      <w:r w:rsidRPr="00E56769">
        <w:rPr>
          <w:rFonts w:ascii="Arial" w:hAnsi="Arial" w:cs="Arial"/>
          <w:color w:val="1A1A1A" w:themeColor="background1" w:themeShade="1A"/>
          <w:sz w:val="22"/>
        </w:rPr>
        <w:t xml:space="preserve">En desarrollo de esta habilitación superior, el </w:t>
      </w:r>
      <w:r>
        <w:rPr>
          <w:rFonts w:ascii="Arial" w:hAnsi="Arial" w:cs="Arial"/>
          <w:color w:val="1A1A1A" w:themeColor="background1" w:themeShade="1A"/>
          <w:sz w:val="22"/>
        </w:rPr>
        <w:t>Congreso de la República dispuso, en el artículo</w:t>
      </w:r>
      <w:r w:rsidRPr="00E56769">
        <w:rPr>
          <w:rFonts w:ascii="Arial" w:hAnsi="Arial" w:cs="Arial"/>
          <w:color w:val="1A1A1A" w:themeColor="background1" w:themeShade="1A"/>
          <w:sz w:val="22"/>
        </w:rPr>
        <w:t xml:space="preserve"> 15 de la Ley 142 de 1994</w:t>
      </w:r>
      <w:r>
        <w:rPr>
          <w:rFonts w:ascii="Arial" w:hAnsi="Arial" w:cs="Arial"/>
          <w:color w:val="1A1A1A" w:themeColor="background1" w:themeShade="1A"/>
          <w:sz w:val="22"/>
        </w:rPr>
        <w:t xml:space="preserve">, </w:t>
      </w:r>
      <w:r w:rsidRPr="00E56769">
        <w:rPr>
          <w:rFonts w:ascii="Arial" w:hAnsi="Arial" w:cs="Arial"/>
          <w:color w:val="1A1A1A" w:themeColor="background1" w:themeShade="1A"/>
          <w:sz w:val="22"/>
        </w:rPr>
        <w:t>que pueden actuar como operadores de servicios públicos domiciliarios: i) «Las empresas de servicios públicos» –oficiales, mixtas y privadas–, </w:t>
      </w:r>
      <w:proofErr w:type="spellStart"/>
      <w:r w:rsidRPr="00E56769">
        <w:rPr>
          <w:rFonts w:ascii="Arial" w:hAnsi="Arial" w:cs="Arial"/>
          <w:color w:val="1A1A1A" w:themeColor="background1" w:themeShade="1A"/>
          <w:sz w:val="22"/>
        </w:rPr>
        <w:t>ii</w:t>
      </w:r>
      <w:proofErr w:type="spellEnd"/>
      <w:r w:rsidRPr="00E56769">
        <w:rPr>
          <w:rFonts w:ascii="Arial" w:hAnsi="Arial" w:cs="Arial"/>
          <w:color w:val="1A1A1A" w:themeColor="background1" w:themeShade="1A"/>
          <w:sz w:val="22"/>
        </w:rPr>
        <w:t>) «Las personas naturales o jurídicas que produzcan para ellas mismas, o como consecuencia o complemento de su actividad principal, los bienes y servicios propios del objeto de las empresas de servicios públicos, </w:t>
      </w:r>
      <w:proofErr w:type="spellStart"/>
      <w:r w:rsidRPr="00E56769">
        <w:rPr>
          <w:rFonts w:ascii="Arial" w:hAnsi="Arial" w:cs="Arial"/>
          <w:color w:val="1A1A1A" w:themeColor="background1" w:themeShade="1A"/>
          <w:sz w:val="22"/>
        </w:rPr>
        <w:t>iii</w:t>
      </w:r>
      <w:proofErr w:type="spellEnd"/>
      <w:r w:rsidRPr="00E56769">
        <w:rPr>
          <w:rFonts w:ascii="Arial" w:hAnsi="Arial" w:cs="Arial"/>
          <w:color w:val="1A1A1A" w:themeColor="background1" w:themeShade="1A"/>
          <w:sz w:val="22"/>
        </w:rPr>
        <w:t>) «Los municipios cuando asuman en forma directa, a través de su administración central, la prestación de los servicios públicos, conforme a lo dispuesto en esta Ley», y </w:t>
      </w:r>
      <w:proofErr w:type="spellStart"/>
      <w:r w:rsidRPr="00E56769">
        <w:rPr>
          <w:rFonts w:ascii="Arial" w:hAnsi="Arial" w:cs="Arial"/>
          <w:color w:val="1A1A1A" w:themeColor="background1" w:themeShade="1A"/>
          <w:sz w:val="22"/>
        </w:rPr>
        <w:t>iv</w:t>
      </w:r>
      <w:proofErr w:type="spellEnd"/>
      <w:r w:rsidRPr="00E56769">
        <w:rPr>
          <w:rFonts w:ascii="Arial" w:hAnsi="Arial" w:cs="Arial"/>
          <w:color w:val="1A1A1A" w:themeColor="background1" w:themeShade="1A"/>
          <w:sz w:val="22"/>
        </w:rPr>
        <w:t>) «Las organizaciones autorizadas conforme a esta Ley para prestar servicios públicos en municipios menores en zonas rurales y en áreas o zonas urbanas específicas».</w:t>
      </w:r>
    </w:p>
    <w:p w14:paraId="26E2F8CB" w14:textId="77777777" w:rsidR="00C02156" w:rsidRPr="0091437B" w:rsidRDefault="00C02156" w:rsidP="00C02156">
      <w:pPr>
        <w:spacing w:line="276" w:lineRule="auto"/>
        <w:ind w:firstLine="709"/>
        <w:jc w:val="both"/>
        <w:rPr>
          <w:rFonts w:ascii="Arial" w:hAnsi="Arial" w:cs="Arial"/>
          <w:color w:val="1A1A1A" w:themeColor="background1" w:themeShade="1A"/>
          <w:sz w:val="22"/>
        </w:rPr>
      </w:pPr>
      <w:r>
        <w:rPr>
          <w:rFonts w:ascii="Arial" w:hAnsi="Arial" w:cs="Arial"/>
          <w:color w:val="1A1A1A" w:themeColor="background1" w:themeShade="1A"/>
          <w:sz w:val="22"/>
        </w:rPr>
        <w:t>Por su parte, e</w:t>
      </w:r>
      <w:r w:rsidRPr="0091437B">
        <w:rPr>
          <w:rFonts w:ascii="Arial" w:hAnsi="Arial" w:cs="Arial"/>
          <w:color w:val="1A1A1A" w:themeColor="background1" w:themeShade="1A"/>
          <w:sz w:val="22"/>
        </w:rPr>
        <w:t xml:space="preserv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6C6F3D70" w14:textId="77777777" w:rsidR="00C02156" w:rsidRPr="0091437B" w:rsidRDefault="00C02156" w:rsidP="00C02156">
      <w:pPr>
        <w:jc w:val="both"/>
        <w:rPr>
          <w:rFonts w:ascii="Arial" w:hAnsi="Arial" w:cs="Arial"/>
          <w:color w:val="1A1A1A" w:themeColor="background1" w:themeShade="1A"/>
          <w:sz w:val="22"/>
        </w:rPr>
      </w:pPr>
    </w:p>
    <w:p w14:paraId="0294ECA6" w14:textId="77777777" w:rsidR="00C02156" w:rsidRPr="0091437B" w:rsidRDefault="00C02156" w:rsidP="00C02156">
      <w:pPr>
        <w:pStyle w:val="NormalWeb"/>
        <w:spacing w:before="0" w:beforeAutospacing="0" w:after="0" w:afterAutospacing="0"/>
        <w:ind w:left="709" w:right="474"/>
        <w:jc w:val="both"/>
        <w:rPr>
          <w:rFonts w:ascii="Arial" w:hAnsi="Arial" w:cs="Arial"/>
          <w:color w:val="1A1A1A" w:themeColor="background1" w:themeShade="1A"/>
          <w:sz w:val="21"/>
          <w:szCs w:val="21"/>
          <w:lang w:eastAsia="es-ES_tradnl"/>
        </w:rPr>
      </w:pPr>
      <w:r w:rsidRPr="0091437B">
        <w:rPr>
          <w:rFonts w:ascii="Arial" w:hAnsi="Arial" w:cs="Arial"/>
          <w:color w:val="1A1A1A" w:themeColor="background1" w:themeShade="1A"/>
          <w:sz w:val="21"/>
          <w:szCs w:val="21"/>
          <w:lang w:eastAsia="es-ES_tradnl"/>
        </w:rPr>
        <w:t>14.5. Empresa de servicios públicos oficial. Es aquella en cuyo capital la Nación, las entidades territoriales, o las entidades descentralizadas de aquella o estas tienen el 100% de los aportes.</w:t>
      </w:r>
    </w:p>
    <w:p w14:paraId="264752A1" w14:textId="77777777" w:rsidR="00C02156" w:rsidRPr="0091437B" w:rsidRDefault="00C02156" w:rsidP="00C02156">
      <w:pPr>
        <w:pStyle w:val="NormalWeb"/>
        <w:spacing w:before="120" w:beforeAutospacing="0" w:after="120" w:afterAutospacing="0"/>
        <w:ind w:left="709" w:right="474"/>
        <w:jc w:val="both"/>
        <w:rPr>
          <w:rFonts w:ascii="Arial" w:hAnsi="Arial" w:cs="Arial"/>
          <w:color w:val="1A1A1A" w:themeColor="background1" w:themeShade="1A"/>
          <w:sz w:val="21"/>
          <w:szCs w:val="21"/>
          <w:lang w:eastAsia="es-ES_tradnl"/>
        </w:rPr>
      </w:pPr>
      <w:r w:rsidRPr="0091437B">
        <w:rPr>
          <w:rFonts w:ascii="Arial" w:hAnsi="Arial" w:cs="Arial"/>
          <w:color w:val="1A1A1A" w:themeColor="background1" w:themeShade="1A"/>
          <w:sz w:val="21"/>
          <w:szCs w:val="21"/>
          <w:lang w:eastAsia="es-ES_tradnl"/>
        </w:rPr>
        <w:t>14.6. Empresa de servicios públicos mixta. Es aquella en cuyo capital la Nación, las entidades territoriales, o las entidades descentralizadas de aquella o éstas tienen aportes iguales o superiores al 50%. </w:t>
      </w:r>
    </w:p>
    <w:p w14:paraId="1939B86B" w14:textId="77777777" w:rsidR="00C02156" w:rsidRPr="0091437B" w:rsidRDefault="00C02156" w:rsidP="00C02156">
      <w:pPr>
        <w:pStyle w:val="NormalWeb"/>
        <w:spacing w:before="120" w:beforeAutospacing="0" w:after="0" w:afterAutospacing="0"/>
        <w:ind w:left="709" w:right="474"/>
        <w:jc w:val="both"/>
        <w:rPr>
          <w:rFonts w:ascii="Arial" w:hAnsi="Arial" w:cs="Arial"/>
          <w:color w:val="1A1A1A" w:themeColor="background1" w:themeShade="1A"/>
          <w:sz w:val="21"/>
          <w:szCs w:val="21"/>
          <w:lang w:eastAsia="es-ES_tradnl"/>
        </w:rPr>
      </w:pPr>
      <w:r w:rsidRPr="0091437B">
        <w:rPr>
          <w:rFonts w:ascii="Arial" w:hAnsi="Arial" w:cs="Arial"/>
          <w:color w:val="1A1A1A" w:themeColor="background1" w:themeShade="1A"/>
          <w:sz w:val="21"/>
          <w:szCs w:val="21"/>
          <w:lang w:eastAsia="es-ES_tradnl"/>
        </w:rPr>
        <w:lastRenderedPageBreak/>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5664A7C1" w14:textId="77777777" w:rsidR="00C02156" w:rsidRPr="0091437B" w:rsidRDefault="00C02156" w:rsidP="00C02156">
      <w:pPr>
        <w:pStyle w:val="NormalWeb"/>
        <w:spacing w:before="0" w:beforeAutospacing="0" w:after="0" w:afterAutospacing="0"/>
        <w:jc w:val="both"/>
        <w:rPr>
          <w:rFonts w:ascii="Arial" w:hAnsi="Arial" w:cs="Arial"/>
          <w:color w:val="1A1A1A" w:themeColor="background1" w:themeShade="1A"/>
          <w:sz w:val="22"/>
          <w:lang w:eastAsia="es-ES_tradnl"/>
        </w:rPr>
      </w:pPr>
    </w:p>
    <w:p w14:paraId="6E846A82" w14:textId="77777777" w:rsidR="00C02156" w:rsidRPr="0091437B" w:rsidRDefault="00C02156" w:rsidP="00C02156">
      <w:pPr>
        <w:pStyle w:val="NormalWeb"/>
        <w:spacing w:before="0" w:beforeAutospacing="0" w:after="120" w:afterAutospacing="0" w:line="276" w:lineRule="auto"/>
        <w:ind w:firstLine="708"/>
        <w:jc w:val="both"/>
        <w:rPr>
          <w:rFonts w:ascii="Arial" w:hAnsi="Arial" w:cs="Arial"/>
          <w:color w:val="1A1A1A" w:themeColor="background1" w:themeShade="1A"/>
          <w:sz w:val="22"/>
          <w:lang w:eastAsia="es-ES_tradnl"/>
        </w:rPr>
      </w:pPr>
      <w:r w:rsidRPr="0091437B">
        <w:rPr>
          <w:rFonts w:ascii="Arial" w:hAnsi="Arial" w:cs="Arial"/>
          <w:color w:val="1A1A1A" w:themeColor="background1" w:themeShade="1A"/>
          <w:sz w:val="22"/>
          <w:lang w:eastAsia="es-ES_tradnl"/>
        </w:rPr>
        <w:t>A su turno, el artículo 17 de la ley citada señala que «las empresas de servicios públicos son sociedades por acciones cuyo objeto es la prestación de los servicios públicos de que trata esta ley».</w:t>
      </w:r>
      <w:r>
        <w:rPr>
          <w:rFonts w:ascii="Arial" w:hAnsi="Arial" w:cs="Arial"/>
          <w:color w:val="1A1A1A" w:themeColor="background1" w:themeShade="1A"/>
          <w:sz w:val="22"/>
          <w:lang w:eastAsia="es-ES_tradnl"/>
        </w:rPr>
        <w:t xml:space="preserve"> </w:t>
      </w:r>
    </w:p>
    <w:p w14:paraId="68F6DD6F" w14:textId="77777777" w:rsidR="00C02156" w:rsidRPr="0091437B" w:rsidRDefault="00C02156" w:rsidP="00C02156">
      <w:pPr>
        <w:pStyle w:val="NormalWeb"/>
        <w:spacing w:before="120" w:beforeAutospacing="0" w:after="120" w:afterAutospacing="0" w:line="276" w:lineRule="auto"/>
        <w:ind w:firstLine="708"/>
        <w:jc w:val="both"/>
        <w:rPr>
          <w:rFonts w:ascii="Arial" w:hAnsi="Arial" w:cs="Arial"/>
          <w:color w:val="1A1A1A" w:themeColor="background1" w:themeShade="1A"/>
          <w:sz w:val="22"/>
          <w:lang w:eastAsia="es-ES_tradnl"/>
        </w:rPr>
      </w:pPr>
      <w:r w:rsidRPr="0091437B">
        <w:rPr>
          <w:rFonts w:ascii="Arial" w:hAnsi="Arial" w:cs="Arial"/>
          <w:color w:val="1A1A1A" w:themeColor="background1" w:themeShade="1A"/>
          <w:sz w:val="22"/>
          <w:lang w:eastAsia="es-ES_tradnl"/>
        </w:rPr>
        <w:t>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w:t>
      </w:r>
      <w:r>
        <w:rPr>
          <w:rFonts w:ascii="Arial" w:hAnsi="Arial" w:cs="Arial"/>
          <w:color w:val="1A1A1A" w:themeColor="background1" w:themeShade="1A"/>
          <w:sz w:val="22"/>
          <w:lang w:eastAsia="es-ES_tradnl"/>
        </w:rPr>
        <w:t xml:space="preserve"> </w:t>
      </w:r>
      <w:r w:rsidRPr="0091437B">
        <w:rPr>
          <w:rFonts w:ascii="Arial" w:hAnsi="Arial" w:cs="Arial"/>
          <w:color w:val="1A1A1A" w:themeColor="background1" w:themeShade="1A"/>
          <w:sz w:val="22"/>
          <w:lang w:eastAsia="es-ES_tradnl"/>
        </w:rPr>
        <w:t>El artículo 68 de esta ley, al listar las entidades descentralizadas del orden nacional, se refirió únicamente a las empresas oficiales de servicios públicos, esto es, aquellas en las que la participación del Estado es del 100%</w:t>
      </w:r>
      <w:r w:rsidRPr="0091437B">
        <w:rPr>
          <w:rStyle w:val="Refdenotaalpie"/>
          <w:rFonts w:ascii="Arial" w:hAnsi="Arial" w:cs="Arial"/>
          <w:color w:val="1A1A1A" w:themeColor="background1" w:themeShade="1A"/>
          <w:sz w:val="22"/>
          <w:lang w:eastAsia="es-ES_tradnl"/>
        </w:rPr>
        <w:footnoteReference w:id="28"/>
      </w:r>
      <w:r w:rsidRPr="0091437B">
        <w:rPr>
          <w:rFonts w:ascii="Arial" w:hAnsi="Arial" w:cs="Arial"/>
          <w:color w:val="1A1A1A" w:themeColor="background1" w:themeShade="1A"/>
          <w:sz w:val="22"/>
          <w:lang w:eastAsia="es-ES_tradnl"/>
        </w:rPr>
        <w:t xml:space="preserve">. </w:t>
      </w:r>
    </w:p>
    <w:p w14:paraId="6199CDDA" w14:textId="77777777" w:rsidR="00C02156" w:rsidRPr="0091437B" w:rsidRDefault="00C02156" w:rsidP="00C02156">
      <w:pPr>
        <w:pStyle w:val="NormalWeb"/>
        <w:spacing w:before="120" w:beforeAutospacing="0" w:after="120" w:afterAutospacing="0" w:line="276" w:lineRule="auto"/>
        <w:ind w:firstLine="708"/>
        <w:jc w:val="both"/>
        <w:rPr>
          <w:rFonts w:ascii="Arial" w:hAnsi="Arial" w:cs="Arial"/>
          <w:color w:val="1A1A1A" w:themeColor="background1" w:themeShade="1A"/>
          <w:sz w:val="22"/>
          <w:lang w:eastAsia="es-ES_tradnl"/>
        </w:rPr>
      </w:pPr>
      <w:r w:rsidRPr="0091437B">
        <w:rPr>
          <w:rFonts w:ascii="Arial" w:hAnsi="Arial" w:cs="Arial"/>
          <w:color w:val="1A1A1A" w:themeColor="background1" w:themeShade="1A"/>
          <w:sz w:val="22"/>
          <w:lang w:eastAsia="es-ES_tradnl"/>
        </w:rPr>
        <w:t>Lo anterior llevó a pensar que el legislador excluyó de la Rama Ejecutiva a las empresas de servicios públicos mixta</w:t>
      </w:r>
      <w:r>
        <w:rPr>
          <w:rFonts w:ascii="Arial" w:hAnsi="Arial" w:cs="Arial"/>
          <w:color w:val="1A1A1A" w:themeColor="background1" w:themeShade="1A"/>
          <w:sz w:val="22"/>
          <w:lang w:eastAsia="es-ES_tradnl"/>
        </w:rPr>
        <w:t>s</w:t>
      </w:r>
      <w:r w:rsidRPr="0091437B">
        <w:rPr>
          <w:rFonts w:ascii="Arial" w:hAnsi="Arial" w:cs="Arial"/>
          <w:color w:val="1A1A1A" w:themeColor="background1" w:themeShade="1A"/>
          <w:sz w:val="22"/>
          <w:lang w:eastAsia="es-ES_tradnl"/>
        </w:rPr>
        <w:t xml:space="preserve"> –capital público superior al 50%– y las privadas –capital público inferior al 50%–. Sin embargo, la Corte Constitucional determinó que tanto las empresas de servicios públicos mixta</w:t>
      </w:r>
      <w:r>
        <w:rPr>
          <w:rFonts w:ascii="Arial" w:hAnsi="Arial" w:cs="Arial"/>
          <w:color w:val="1A1A1A" w:themeColor="background1" w:themeShade="1A"/>
          <w:sz w:val="22"/>
          <w:lang w:eastAsia="es-ES_tradnl"/>
        </w:rPr>
        <w:t>s</w:t>
      </w:r>
      <w:r w:rsidRPr="0091437B">
        <w:rPr>
          <w:rFonts w:ascii="Arial" w:hAnsi="Arial" w:cs="Arial"/>
          <w:color w:val="1A1A1A" w:themeColor="background1" w:themeShade="1A"/>
          <w:sz w:val="22"/>
          <w:lang w:eastAsia="es-ES_tradnl"/>
        </w:rPr>
        <w:t xml:space="preserve"> como las privadas hacían parte de la Rama Ejecutiva, toda vez que el literal g) del artículo 38 de la Ley 489 de 1998 </w:t>
      </w:r>
      <w:r>
        <w:rPr>
          <w:rFonts w:ascii="Arial" w:hAnsi="Arial" w:cs="Arial"/>
          <w:color w:val="1A1A1A" w:themeColor="background1" w:themeShade="1A"/>
          <w:sz w:val="22"/>
          <w:lang w:eastAsia="es-ES_tradnl"/>
        </w:rPr>
        <w:t xml:space="preserve">aplica a </w:t>
      </w:r>
      <w:r w:rsidRPr="0091437B">
        <w:rPr>
          <w:rFonts w:ascii="Arial" w:hAnsi="Arial" w:cs="Arial"/>
          <w:color w:val="1A1A1A" w:themeColor="background1" w:themeShade="1A"/>
          <w:sz w:val="22"/>
          <w:lang w:eastAsia="es-ES_tradnl"/>
        </w:rPr>
        <w:t xml:space="preserve">«g) Las demás entidades administrativas nacionales con personería jurídica que cree, organice o autorice la ley para que formen parte de la Rama Ejecutiva del Poder Público». </w:t>
      </w:r>
    </w:p>
    <w:p w14:paraId="647B1EED" w14:textId="77777777" w:rsidR="00C02156" w:rsidRPr="0091437B" w:rsidRDefault="00C02156" w:rsidP="00C02156">
      <w:pPr>
        <w:pStyle w:val="NormalWeb"/>
        <w:spacing w:before="120" w:beforeAutospacing="0" w:after="120" w:afterAutospacing="0" w:line="276" w:lineRule="auto"/>
        <w:ind w:firstLine="709"/>
        <w:jc w:val="both"/>
        <w:rPr>
          <w:rFonts w:ascii="Arial" w:hAnsi="Arial" w:cs="Arial"/>
          <w:color w:val="1A1A1A" w:themeColor="background1" w:themeShade="1A"/>
          <w:sz w:val="21"/>
          <w:szCs w:val="21"/>
        </w:rPr>
      </w:pPr>
      <w:r w:rsidRPr="0091437B">
        <w:rPr>
          <w:rFonts w:ascii="Arial" w:hAnsi="Arial" w:cs="Arial"/>
          <w:color w:val="1A1A1A" w:themeColor="background1" w:themeShade="1A"/>
          <w:sz w:val="22"/>
          <w:lang w:eastAsia="es-ES_tradnl"/>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r w:rsidRPr="0091437B">
        <w:rPr>
          <w:rStyle w:val="Refdenotaalpie"/>
          <w:rFonts w:ascii="Arial" w:hAnsi="Arial" w:cs="Arial"/>
          <w:color w:val="1A1A1A" w:themeColor="background1" w:themeShade="1A"/>
          <w:sz w:val="22"/>
          <w:lang w:eastAsia="es-ES_tradnl"/>
        </w:rPr>
        <w:footnoteReference w:id="29"/>
      </w:r>
      <w:r w:rsidRPr="0091437B">
        <w:rPr>
          <w:rFonts w:ascii="Arial" w:hAnsi="Arial" w:cs="Arial"/>
          <w:color w:val="1A1A1A" w:themeColor="background1" w:themeShade="1A"/>
          <w:sz w:val="22"/>
          <w:lang w:eastAsia="es-ES_tradnl"/>
        </w:rPr>
        <w:t>.</w:t>
      </w:r>
      <w:r>
        <w:rPr>
          <w:rFonts w:ascii="Arial" w:hAnsi="Arial" w:cs="Arial"/>
          <w:color w:val="1A1A1A" w:themeColor="background1" w:themeShade="1A"/>
          <w:sz w:val="22"/>
          <w:lang w:eastAsia="es-ES_tradnl"/>
        </w:rPr>
        <w:t xml:space="preserve"> </w:t>
      </w:r>
      <w:r w:rsidRPr="0091437B">
        <w:rPr>
          <w:rFonts w:ascii="Arial" w:hAnsi="Arial" w:cs="Arial"/>
          <w:color w:val="1A1A1A" w:themeColor="background1" w:themeShade="1A"/>
          <w:sz w:val="22"/>
          <w:lang w:eastAsia="es-ES_tradnl"/>
        </w:rPr>
        <w:t>En esta providencia también aclar</w:t>
      </w:r>
      <w:r>
        <w:rPr>
          <w:rFonts w:ascii="Arial" w:hAnsi="Arial" w:cs="Arial"/>
          <w:color w:val="1A1A1A" w:themeColor="background1" w:themeShade="1A"/>
          <w:sz w:val="22"/>
          <w:lang w:eastAsia="es-ES_tradnl"/>
        </w:rPr>
        <w:t>ó</w:t>
      </w:r>
      <w:r w:rsidRPr="0091437B">
        <w:rPr>
          <w:rFonts w:ascii="Arial" w:hAnsi="Arial" w:cs="Arial"/>
          <w:color w:val="1A1A1A" w:themeColor="background1" w:themeShade="1A"/>
          <w:sz w:val="22"/>
          <w:lang w:eastAsia="es-ES_tradnl"/>
        </w:rPr>
        <w:t xml:space="preserve"> que las empresas prestadoras de servicios </w:t>
      </w:r>
      <w:r w:rsidRPr="0091437B">
        <w:rPr>
          <w:rFonts w:ascii="Arial" w:hAnsi="Arial" w:cs="Arial"/>
          <w:color w:val="1A1A1A" w:themeColor="background1" w:themeShade="1A"/>
          <w:sz w:val="22"/>
          <w:lang w:eastAsia="es-ES_tradnl"/>
        </w:rPr>
        <w:lastRenderedPageBreak/>
        <w:t>públicos, de carácter mixto o privado, no son empresas de economía mixta. La anterior conclusión fue fundamentada sobre la idea del carácter o naturaleza especial que la Constitución otorgó a las empresas de servicios públicos</w:t>
      </w:r>
      <w:r w:rsidRPr="0091437B">
        <w:rPr>
          <w:rStyle w:val="Refdenotaalpie"/>
          <w:rFonts w:ascii="Arial" w:hAnsi="Arial" w:cs="Arial"/>
          <w:color w:val="1A1A1A" w:themeColor="background1" w:themeShade="1A"/>
          <w:sz w:val="21"/>
          <w:szCs w:val="21"/>
        </w:rPr>
        <w:footnoteReference w:id="30"/>
      </w:r>
      <w:r w:rsidRPr="0091437B">
        <w:rPr>
          <w:rFonts w:ascii="Arial" w:hAnsi="Arial" w:cs="Arial"/>
          <w:color w:val="1A1A1A" w:themeColor="background1" w:themeShade="1A"/>
          <w:sz w:val="21"/>
          <w:szCs w:val="21"/>
        </w:rPr>
        <w:t>.</w:t>
      </w:r>
    </w:p>
    <w:p w14:paraId="625E582A" w14:textId="77777777" w:rsidR="00C02156" w:rsidRDefault="00C02156" w:rsidP="00C02156">
      <w:pPr>
        <w:spacing w:after="120" w:line="276" w:lineRule="auto"/>
        <w:ind w:firstLine="708"/>
        <w:jc w:val="both"/>
        <w:rPr>
          <w:rFonts w:ascii="Arial" w:hAnsi="Arial" w:cs="Arial"/>
          <w:color w:val="1A1A1A" w:themeColor="background1" w:themeShade="1A"/>
          <w:sz w:val="22"/>
        </w:rPr>
      </w:pPr>
      <w:bookmarkStart w:id="6" w:name="_Hlk65589443"/>
      <w:r w:rsidRPr="0091437B">
        <w:rPr>
          <w:rFonts w:ascii="Arial" w:hAnsi="Arial" w:cs="Arial"/>
          <w:color w:val="1A1A1A" w:themeColor="background1" w:themeShade="1A"/>
          <w:sz w:val="22"/>
        </w:rPr>
        <w:t>Así las cosas, las empresas de servicios públicos tienen una naturaleza jurídica especial que viene dada directamente por el artículo 356 de la Constitución Política</w:t>
      </w:r>
      <w:r>
        <w:rPr>
          <w:rFonts w:ascii="Arial" w:hAnsi="Arial" w:cs="Arial"/>
          <w:color w:val="1A1A1A" w:themeColor="background1" w:themeShade="1A"/>
          <w:sz w:val="22"/>
        </w:rPr>
        <w:t xml:space="preserve">, y </w:t>
      </w:r>
      <w:r w:rsidRPr="0091437B">
        <w:rPr>
          <w:rFonts w:ascii="Arial" w:hAnsi="Arial" w:cs="Arial"/>
          <w:color w:val="1A1A1A" w:themeColor="background1" w:themeShade="1A"/>
          <w:sz w:val="22"/>
        </w:rPr>
        <w:t xml:space="preserve">el hecho de que su composición accionaria </w:t>
      </w:r>
      <w:r>
        <w:rPr>
          <w:rFonts w:ascii="Arial" w:hAnsi="Arial" w:cs="Arial"/>
          <w:color w:val="1A1A1A" w:themeColor="background1" w:themeShade="1A"/>
          <w:sz w:val="22"/>
        </w:rPr>
        <w:t xml:space="preserve">pueda </w:t>
      </w:r>
      <w:r w:rsidRPr="0091437B">
        <w:rPr>
          <w:rFonts w:ascii="Arial" w:hAnsi="Arial" w:cs="Arial"/>
          <w:color w:val="1A1A1A" w:themeColor="background1" w:themeShade="1A"/>
          <w:sz w:val="22"/>
        </w:rPr>
        <w:t>est</w:t>
      </w:r>
      <w:r>
        <w:rPr>
          <w:rFonts w:ascii="Arial" w:hAnsi="Arial" w:cs="Arial"/>
          <w:color w:val="1A1A1A" w:themeColor="background1" w:themeShade="1A"/>
          <w:sz w:val="22"/>
        </w:rPr>
        <w:t>ar</w:t>
      </w:r>
      <w:r w:rsidRPr="0091437B">
        <w:rPr>
          <w:rFonts w:ascii="Arial" w:hAnsi="Arial" w:cs="Arial"/>
          <w:color w:val="1A1A1A" w:themeColor="background1" w:themeShade="1A"/>
          <w:sz w:val="22"/>
        </w:rPr>
        <w:t xml:space="preserve"> compartida por recursos públicos y privados no la</w:t>
      </w:r>
      <w:r>
        <w:rPr>
          <w:rFonts w:ascii="Arial" w:hAnsi="Arial" w:cs="Arial"/>
          <w:color w:val="1A1A1A" w:themeColor="background1" w:themeShade="1A"/>
          <w:sz w:val="22"/>
        </w:rPr>
        <w:t>s</w:t>
      </w:r>
      <w:r w:rsidRPr="0091437B">
        <w:rPr>
          <w:rFonts w:ascii="Arial" w:hAnsi="Arial" w:cs="Arial"/>
          <w:color w:val="1A1A1A" w:themeColor="background1" w:themeShade="1A"/>
          <w:sz w:val="22"/>
        </w:rPr>
        <w:t xml:space="preserve"> convierte en sociedad</w:t>
      </w:r>
      <w:r>
        <w:rPr>
          <w:rFonts w:ascii="Arial" w:hAnsi="Arial" w:cs="Arial"/>
          <w:color w:val="1A1A1A" w:themeColor="background1" w:themeShade="1A"/>
          <w:sz w:val="22"/>
        </w:rPr>
        <w:t xml:space="preserve">es </w:t>
      </w:r>
      <w:r w:rsidRPr="0091437B">
        <w:rPr>
          <w:rFonts w:ascii="Arial" w:hAnsi="Arial" w:cs="Arial"/>
          <w:color w:val="1A1A1A" w:themeColor="background1" w:themeShade="1A"/>
          <w:sz w:val="22"/>
        </w:rPr>
        <w:t xml:space="preserve">de economía mixta, pues las empresas </w:t>
      </w:r>
      <w:r>
        <w:rPr>
          <w:rFonts w:ascii="Arial" w:hAnsi="Arial" w:cs="Arial"/>
          <w:color w:val="1A1A1A" w:themeColor="background1" w:themeShade="1A"/>
          <w:sz w:val="22"/>
        </w:rPr>
        <w:t xml:space="preserve">en cuestión </w:t>
      </w:r>
      <w:r w:rsidRPr="0091437B">
        <w:rPr>
          <w:rFonts w:ascii="Arial" w:hAnsi="Arial" w:cs="Arial"/>
          <w:color w:val="1A1A1A" w:themeColor="background1" w:themeShade="1A"/>
          <w:sz w:val="22"/>
        </w:rPr>
        <w:t xml:space="preserve">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58693CF1" w14:textId="77777777" w:rsidR="00C02156" w:rsidRDefault="00C02156" w:rsidP="00C02156">
      <w:pPr>
        <w:spacing w:after="120" w:line="276" w:lineRule="auto"/>
        <w:ind w:firstLine="708"/>
        <w:jc w:val="both"/>
        <w:rPr>
          <w:rFonts w:ascii="Arial" w:hAnsi="Arial" w:cs="Arial"/>
          <w:color w:val="1A1A1A" w:themeColor="background1" w:themeShade="1A"/>
          <w:sz w:val="22"/>
        </w:rPr>
      </w:pPr>
      <w:r>
        <w:rPr>
          <w:rFonts w:ascii="Arial" w:hAnsi="Arial" w:cs="Arial"/>
          <w:color w:val="1A1A1A" w:themeColor="background1" w:themeShade="1A"/>
          <w:sz w:val="22"/>
        </w:rPr>
        <w:t>E</w:t>
      </w:r>
      <w:r w:rsidRPr="008B7C9D">
        <w:rPr>
          <w:rFonts w:ascii="Arial" w:hAnsi="Arial" w:cs="Arial"/>
          <w:color w:val="1A1A1A" w:themeColor="background1" w:themeShade="1A"/>
          <w:sz w:val="22"/>
        </w:rPr>
        <w:t>n cuanto al régimen jurídico de contratación de las empresas de servicios públicos, el inciso primero del artículo 31 de la Ley 142 de 1994 señala que «</w:t>
      </w:r>
      <w:r>
        <w:rPr>
          <w:rFonts w:ascii="Arial" w:hAnsi="Arial" w:cs="Arial"/>
          <w:color w:val="1A1A1A" w:themeColor="background1" w:themeShade="1A"/>
          <w:sz w:val="22"/>
        </w:rPr>
        <w:t>[l]</w:t>
      </w:r>
      <w:r w:rsidRPr="008B7C9D">
        <w:rPr>
          <w:rFonts w:ascii="Arial" w:hAnsi="Arial" w:cs="Arial"/>
          <w:color w:val="1A1A1A" w:themeColor="background1" w:themeShade="1A"/>
          <w:sz w:val="22"/>
        </w:rPr>
        <w:t xml:space="preserve">os contratos que celebren las entidades estatales que prestan los servicios públicos a los que se refiere esta ley no estarán sujetos a las disposiciones del Estatuto General de Contratación de la Administración Pública, salvo en lo que la presente ley disponga otra cosa». </w:t>
      </w:r>
      <w:r>
        <w:rPr>
          <w:rFonts w:ascii="Arial" w:hAnsi="Arial" w:cs="Arial"/>
          <w:color w:val="1A1A1A" w:themeColor="background1" w:themeShade="1A"/>
          <w:sz w:val="22"/>
        </w:rPr>
        <w:t>De esta manera</w:t>
      </w:r>
      <w:r w:rsidRPr="008B7C9D">
        <w:rPr>
          <w:rFonts w:ascii="Arial" w:hAnsi="Arial" w:cs="Arial"/>
          <w:color w:val="1A1A1A" w:themeColor="background1" w:themeShade="1A"/>
          <w:sz w:val="22"/>
        </w:rPr>
        <w:t>,</w:t>
      </w:r>
      <w:r>
        <w:rPr>
          <w:rFonts w:ascii="Arial" w:hAnsi="Arial" w:cs="Arial"/>
          <w:color w:val="1A1A1A" w:themeColor="background1" w:themeShade="1A"/>
          <w:sz w:val="22"/>
        </w:rPr>
        <w:t xml:space="preserve"> sin perjuicio de lo dispuesto en el artículo 13 de la Ley 1150 de 2007 sobre la aplicación de los principios de la función administrativa, la gestión fiscal, las inhabilidades e incompatibilidades,</w:t>
      </w:r>
      <w:r w:rsidRPr="008B7C9D">
        <w:rPr>
          <w:rFonts w:ascii="Arial" w:hAnsi="Arial" w:cs="Arial"/>
          <w:color w:val="1A1A1A" w:themeColor="background1" w:themeShade="1A"/>
          <w:sz w:val="22"/>
        </w:rPr>
        <w:t xml:space="preserve"> el régimen jurídico aplicable a los contratos que celebren las empresas de servicios públicos, incluso para las oficiales y las mixtas, es el contenido en </w:t>
      </w:r>
      <w:r>
        <w:rPr>
          <w:rFonts w:ascii="Arial" w:hAnsi="Arial" w:cs="Arial"/>
          <w:color w:val="1A1A1A" w:themeColor="background1" w:themeShade="1A"/>
          <w:sz w:val="22"/>
        </w:rPr>
        <w:t>el derecho civil y comercial</w:t>
      </w:r>
      <w:r w:rsidRPr="008B7C9D">
        <w:rPr>
          <w:rFonts w:ascii="Arial" w:hAnsi="Arial" w:cs="Arial"/>
          <w:color w:val="1A1A1A" w:themeColor="background1" w:themeShade="1A"/>
          <w:sz w:val="22"/>
        </w:rPr>
        <w:t xml:space="preserve">, esto es, </w:t>
      </w:r>
      <w:r>
        <w:rPr>
          <w:rFonts w:ascii="Arial" w:hAnsi="Arial" w:cs="Arial"/>
          <w:color w:val="1A1A1A" w:themeColor="background1" w:themeShade="1A"/>
          <w:sz w:val="22"/>
        </w:rPr>
        <w:t xml:space="preserve">por regla general </w:t>
      </w:r>
      <w:r w:rsidRPr="008B7C9D">
        <w:rPr>
          <w:rFonts w:ascii="Arial" w:hAnsi="Arial" w:cs="Arial"/>
          <w:color w:val="1A1A1A" w:themeColor="background1" w:themeShade="1A"/>
          <w:sz w:val="22"/>
        </w:rPr>
        <w:t>no están sometidas a la Ley 80 de 1993</w:t>
      </w:r>
      <w:r>
        <w:rPr>
          <w:rStyle w:val="Refdenotaalpie"/>
          <w:rFonts w:ascii="Arial" w:hAnsi="Arial" w:cs="Arial"/>
          <w:color w:val="1A1A1A" w:themeColor="background1" w:themeShade="1A"/>
          <w:sz w:val="22"/>
        </w:rPr>
        <w:footnoteReference w:id="31"/>
      </w:r>
      <w:r w:rsidRPr="008B7C9D">
        <w:rPr>
          <w:rFonts w:ascii="Arial" w:hAnsi="Arial" w:cs="Arial"/>
          <w:color w:val="1A1A1A" w:themeColor="background1" w:themeShade="1A"/>
          <w:sz w:val="22"/>
        </w:rPr>
        <w:t xml:space="preserve">. Sin embargo, como </w:t>
      </w:r>
      <w:r>
        <w:rPr>
          <w:rFonts w:ascii="Arial" w:hAnsi="Arial" w:cs="Arial"/>
          <w:color w:val="1A1A1A" w:themeColor="background1" w:themeShade="1A"/>
          <w:sz w:val="22"/>
        </w:rPr>
        <w:t xml:space="preserve">se analizó </w:t>
      </w:r>
      <w:r w:rsidRPr="002E060B">
        <w:rPr>
          <w:rFonts w:ascii="Arial" w:hAnsi="Arial" w:cs="Arial"/>
          <w:i/>
          <w:iCs/>
          <w:color w:val="1A1A1A" w:themeColor="background1" w:themeShade="1A"/>
          <w:sz w:val="22"/>
        </w:rPr>
        <w:t>ut supra</w:t>
      </w:r>
      <w:r w:rsidRPr="008B7C9D">
        <w:rPr>
          <w:rFonts w:ascii="Arial" w:hAnsi="Arial" w:cs="Arial"/>
          <w:color w:val="1A1A1A" w:themeColor="background1" w:themeShade="1A"/>
          <w:sz w:val="22"/>
        </w:rPr>
        <w:t>, eso no las exime del deber de publicar su actividad contractual, cuando ejecuten recursos públicos.</w:t>
      </w:r>
      <w:r w:rsidRPr="0091437B">
        <w:rPr>
          <w:rFonts w:ascii="Arial" w:hAnsi="Arial" w:cs="Arial"/>
          <w:color w:val="1A1A1A" w:themeColor="background1" w:themeShade="1A"/>
          <w:sz w:val="22"/>
        </w:rPr>
        <w:t xml:space="preserve"> </w:t>
      </w:r>
    </w:p>
    <w:p w14:paraId="5853C2CA" w14:textId="77777777" w:rsidR="00C02156" w:rsidRPr="00A5491D" w:rsidRDefault="00C02156" w:rsidP="00C02156">
      <w:pPr>
        <w:spacing w:after="120" w:line="276" w:lineRule="auto"/>
        <w:ind w:firstLine="708"/>
        <w:jc w:val="both"/>
        <w:rPr>
          <w:rFonts w:ascii="Arial" w:eastAsia="Calibri" w:hAnsi="Arial" w:cs="Arial"/>
          <w:color w:val="000000" w:themeColor="text1"/>
          <w:sz w:val="22"/>
          <w:lang w:val="es-ES"/>
        </w:rPr>
      </w:pPr>
      <w:bookmarkStart w:id="7" w:name="_Hlk37950210"/>
      <w:bookmarkStart w:id="8" w:name="_Hlk70968001"/>
      <w:r w:rsidRPr="00A5491D">
        <w:rPr>
          <w:rFonts w:ascii="Arial" w:eastAsia="Calibri" w:hAnsi="Arial" w:cs="Arial"/>
          <w:color w:val="000000" w:themeColor="text1"/>
          <w:sz w:val="22"/>
          <w:lang w:val="es-ES"/>
        </w:rPr>
        <w:lastRenderedPageBreak/>
        <w:t>Ahora bien, la Agencia Nacional de Contratación Pública – Colombia Compra Eficiente tiene como función administrar el SECOP</w:t>
      </w:r>
      <w:r w:rsidRPr="00A5491D">
        <w:rPr>
          <w:rStyle w:val="Refdenotaalpie"/>
          <w:rFonts w:ascii="Arial" w:eastAsia="Calibri" w:hAnsi="Arial" w:cs="Arial"/>
          <w:color w:val="000000" w:themeColor="text1"/>
          <w:sz w:val="22"/>
          <w:lang w:val="es-ES"/>
        </w:rPr>
        <w:footnoteReference w:id="32"/>
      </w:r>
      <w:r w:rsidRPr="00A5491D">
        <w:rPr>
          <w:rFonts w:ascii="Arial" w:eastAsia="Calibri" w:hAnsi="Arial" w:cs="Arial"/>
          <w:color w:val="000000" w:themeColor="text1"/>
          <w:sz w:val="22"/>
          <w:lang w:val="es-ES"/>
        </w:rPr>
        <w:t>, por lo cual desarrolló la primera versión de la plataforma, denominada SECOP I, que funciona como medio de publicidad y no transaccional, lo que significa que, en la práctica, el procedimiento contractual ocurre fuera de la plataforma y del mismo la entidad lleva un expediente físico, cuyos documentos se convierten en electrónicos para ser cargados, por quien tenga la función dentro de la entidad, de acuerdo con su organización interna y en cumplimiento de un deber legal.</w:t>
      </w:r>
    </w:p>
    <w:p w14:paraId="2064A609" w14:textId="77777777" w:rsidR="00C02156" w:rsidRPr="00A5491D" w:rsidRDefault="00C02156" w:rsidP="00C02156">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El SECOP II es la segunda versión de la plataforma y su principal característica es que es transaccional, esto es, permite gestionar en línea todos los procedimientos de contratación, con cuentas y usuarios asociados a éstas, para las entidades y los proveedores, así como también el acceso para consulta por parte de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50427B43" w14:textId="77777777" w:rsidR="00C02156" w:rsidRPr="00A5491D" w:rsidRDefault="00C02156" w:rsidP="00C02156">
      <w:pPr>
        <w:spacing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 xml:space="preserve">Es necesario aclarar que, dado que el procedimiento contractual se desarrolla en línea y dentro de la plataforma, paulatinamente se va conformando un expediente electrónico, lo cual </w:t>
      </w:r>
      <w:r>
        <w:rPr>
          <w:rFonts w:ascii="Arial" w:eastAsia="Calibri" w:hAnsi="Arial" w:cs="Arial"/>
          <w:color w:val="000000" w:themeColor="text1"/>
          <w:sz w:val="22"/>
          <w:lang w:val="es-ES"/>
        </w:rPr>
        <w:t>implica</w:t>
      </w:r>
      <w:r w:rsidRPr="00A5491D">
        <w:rPr>
          <w:rFonts w:ascii="Arial" w:eastAsia="Calibri" w:hAnsi="Arial" w:cs="Arial"/>
          <w:color w:val="000000" w:themeColor="text1"/>
          <w:sz w:val="22"/>
          <w:lang w:val="es-ES"/>
        </w:rPr>
        <w:t xml:space="preserve">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217FAAEF" w14:textId="77777777" w:rsidR="00C02156" w:rsidRPr="00A5491D" w:rsidRDefault="00C02156" w:rsidP="00C02156">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Son las entidades públicas relacionadas en dicho anexo las obligadas al uso de la plataforma que se estudia.</w:t>
      </w:r>
    </w:p>
    <w:p w14:paraId="39CD5463" w14:textId="77777777" w:rsidR="00C02156" w:rsidRPr="00A5491D" w:rsidRDefault="00C02156" w:rsidP="00C02156">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 xml:space="preserve">Este plazo fue prorrogado por la Agencia Nacional de Contratación Pública – Colombia Compra Eficiente, mediante la Circular Externa No. 2 de 2019, a través de la cual se amplió «la entrada en vigencia de la obligatoriedad del SECOP ll. En consecuencia, las </w:t>
      </w:r>
      <w:r w:rsidRPr="00A5491D">
        <w:rPr>
          <w:rFonts w:ascii="Arial" w:eastAsia="Calibri" w:hAnsi="Arial" w:cs="Arial"/>
          <w:color w:val="000000" w:themeColor="text1"/>
          <w:sz w:val="22"/>
          <w:lang w:val="es-ES"/>
        </w:rPr>
        <w:lastRenderedPageBreak/>
        <w:t>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152B3156" w14:textId="77777777" w:rsidR="00C02156" w:rsidRDefault="00C02156" w:rsidP="00C02156">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 xml:space="preserve">Los primeros, porque no alcanzaron a ser capacitados en el uso de la plataforma SECOP II, </w:t>
      </w:r>
      <w:r>
        <w:rPr>
          <w:rFonts w:ascii="Arial" w:eastAsia="Calibri" w:hAnsi="Arial" w:cs="Arial"/>
          <w:color w:val="000000" w:themeColor="text1"/>
          <w:sz w:val="22"/>
          <w:lang w:val="es-ES"/>
        </w:rPr>
        <w:t>pues</w:t>
      </w:r>
      <w:r w:rsidRPr="00A5491D">
        <w:rPr>
          <w:rFonts w:ascii="Arial" w:eastAsia="Calibri" w:hAnsi="Arial" w:cs="Arial"/>
          <w:color w:val="000000" w:themeColor="text1"/>
          <w:sz w:val="22"/>
          <w:lang w:val="es-ES"/>
        </w:rPr>
        <w:t xml:space="preserve"> los programas de formación a cargo de esta entidad se suspendieron por la emergencia en salud pública ocasionada por el Coronavirus - COVID 19. Los segundos, debido a que «las velocidades de carga son insuficientes para operar la plataforma en [sus] territorios», esto es, por problemas de capacidad técnica de las redes.</w:t>
      </w:r>
    </w:p>
    <w:p w14:paraId="35105BC7" w14:textId="77777777" w:rsidR="00C02156" w:rsidRPr="00A5491D" w:rsidRDefault="00C02156" w:rsidP="00C02156">
      <w:pPr>
        <w:spacing w:before="120"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Finalmente, </w:t>
      </w:r>
      <w:r w:rsidRPr="00E00947">
        <w:rPr>
          <w:rFonts w:ascii="Arial" w:eastAsia="Calibri" w:hAnsi="Arial" w:cs="Arial"/>
          <w:color w:val="000000" w:themeColor="text1"/>
          <w:sz w:val="22"/>
          <w:lang w:val="es-ES"/>
        </w:rPr>
        <w:t>el pasado 10 de febrero de 2021</w:t>
      </w:r>
      <w:r>
        <w:rPr>
          <w:rFonts w:ascii="Arial" w:eastAsia="Calibri" w:hAnsi="Arial" w:cs="Arial"/>
          <w:color w:val="000000" w:themeColor="text1"/>
          <w:sz w:val="22"/>
          <w:lang w:val="es-ES"/>
        </w:rPr>
        <w:t xml:space="preserve"> la Agencia</w:t>
      </w:r>
      <w:r w:rsidRPr="00E00947">
        <w:rPr>
          <w:rFonts w:ascii="Arial" w:eastAsia="Calibri" w:hAnsi="Arial" w:cs="Arial"/>
          <w:color w:val="000000" w:themeColor="text1"/>
          <w:sz w:val="22"/>
          <w:lang w:val="es-ES"/>
        </w:rPr>
        <w:t xml:space="preserve"> expidió la Circular Externa No. 1 de 2021 por medio de la cual se determina la obligatoriedad del SECOP II para la vigencia del 2021</w:t>
      </w:r>
      <w:r>
        <w:rPr>
          <w:rFonts w:ascii="Arial" w:eastAsia="Calibri" w:hAnsi="Arial" w:cs="Arial"/>
          <w:color w:val="000000" w:themeColor="text1"/>
          <w:sz w:val="22"/>
          <w:lang w:val="es-ES"/>
        </w:rPr>
        <w:t xml:space="preserve"> </w:t>
      </w:r>
      <w:r w:rsidRPr="00E00947">
        <w:rPr>
          <w:rFonts w:ascii="Arial" w:eastAsia="Calibri" w:hAnsi="Arial" w:cs="Arial"/>
          <w:color w:val="000000" w:themeColor="text1"/>
          <w:sz w:val="22"/>
          <w:lang w:val="es-ES"/>
        </w:rPr>
        <w:t xml:space="preserve">para las entidades estatales listadas en el Anexo No. 1 de esta circular. </w:t>
      </w:r>
    </w:p>
    <w:bookmarkEnd w:id="7"/>
    <w:p w14:paraId="4F9DA939" w14:textId="77777777" w:rsidR="00C02156" w:rsidRPr="00A5491D" w:rsidRDefault="00C02156" w:rsidP="00C02156">
      <w:pPr>
        <w:spacing w:before="120" w:line="276" w:lineRule="auto"/>
        <w:ind w:firstLine="708"/>
        <w:jc w:val="both"/>
        <w:rPr>
          <w:rFonts w:ascii="Arial" w:eastAsia="Calibri" w:hAnsi="Arial" w:cs="Arial"/>
          <w:bCs/>
          <w:color w:val="000000" w:themeColor="text1"/>
          <w:sz w:val="22"/>
        </w:rPr>
      </w:pPr>
      <w:r>
        <w:rPr>
          <w:rFonts w:ascii="Arial" w:eastAsia="Calibri" w:hAnsi="Arial" w:cs="Arial"/>
          <w:bCs/>
          <w:color w:val="000000" w:themeColor="text1"/>
          <w:sz w:val="22"/>
        </w:rPr>
        <w:t>Así las cosas</w:t>
      </w:r>
      <w:r w:rsidRPr="00A5491D">
        <w:rPr>
          <w:rFonts w:ascii="Arial" w:eastAsia="Calibri" w:hAnsi="Arial" w:cs="Arial"/>
          <w:bCs/>
          <w:color w:val="000000" w:themeColor="text1"/>
          <w:sz w:val="22"/>
        </w:rPr>
        <w:t xml:space="preserve">, con fundamento en las consideraciones expuestas en ese momento, </w:t>
      </w:r>
      <w:bookmarkStart w:id="9" w:name="_Hlk72911197"/>
      <w:r w:rsidRPr="00A5491D">
        <w:rPr>
          <w:rFonts w:ascii="Arial" w:eastAsia="Calibri" w:hAnsi="Arial" w:cs="Arial"/>
          <w:bCs/>
          <w:color w:val="000000" w:themeColor="text1"/>
          <w:sz w:val="22"/>
        </w:rPr>
        <w:t>el hecho de que todas las entidades públicas, sin importar su naturaleza jurídica o régimen de contratación, deban publicar los procesos contractuales en los que ejecutan recursos públicos, no se deriva que siempre tengan que hacerlo en el SECOP II, ya que al uso obligatorio de esta plataforma est</w:t>
      </w:r>
      <w:r>
        <w:rPr>
          <w:rFonts w:ascii="Arial" w:eastAsia="Calibri" w:hAnsi="Arial" w:cs="Arial"/>
          <w:bCs/>
          <w:color w:val="000000" w:themeColor="text1"/>
          <w:sz w:val="22"/>
        </w:rPr>
        <w:t>á</w:t>
      </w:r>
      <w:r w:rsidRPr="00A5491D">
        <w:rPr>
          <w:rFonts w:ascii="Arial" w:eastAsia="Calibri" w:hAnsi="Arial" w:cs="Arial"/>
          <w:bCs/>
          <w:color w:val="000000" w:themeColor="text1"/>
          <w:sz w:val="22"/>
        </w:rPr>
        <w:t xml:space="preserve"> vinculad</w:t>
      </w:r>
      <w:r>
        <w:rPr>
          <w:rFonts w:ascii="Arial" w:eastAsia="Calibri" w:hAnsi="Arial" w:cs="Arial"/>
          <w:bCs/>
          <w:color w:val="000000" w:themeColor="text1"/>
          <w:sz w:val="22"/>
        </w:rPr>
        <w:t>o a</w:t>
      </w:r>
      <w:r w:rsidRPr="00A5491D">
        <w:rPr>
          <w:rFonts w:ascii="Arial" w:eastAsia="Calibri" w:hAnsi="Arial" w:cs="Arial"/>
          <w:bCs/>
          <w:color w:val="000000" w:themeColor="text1"/>
          <w:sz w:val="22"/>
        </w:rPr>
        <w:t xml:space="preserve"> las entidades referidas </w:t>
      </w:r>
      <w:r>
        <w:rPr>
          <w:rFonts w:ascii="Arial" w:eastAsia="Calibri" w:hAnsi="Arial" w:cs="Arial"/>
          <w:bCs/>
          <w:color w:val="000000" w:themeColor="text1"/>
          <w:sz w:val="22"/>
        </w:rPr>
        <w:t>por la Agencia en las Circulares Externas mencionadas</w:t>
      </w:r>
      <w:r w:rsidRPr="00A5491D">
        <w:rPr>
          <w:rFonts w:ascii="Arial" w:eastAsia="Calibri" w:hAnsi="Arial" w:cs="Arial"/>
          <w:bCs/>
          <w:color w:val="000000" w:themeColor="text1"/>
          <w:sz w:val="22"/>
        </w:rPr>
        <w:t>.</w:t>
      </w:r>
      <w:bookmarkEnd w:id="9"/>
      <w:r w:rsidRPr="00A5491D">
        <w:rPr>
          <w:rFonts w:ascii="Arial" w:eastAsia="Calibri" w:hAnsi="Arial" w:cs="Arial"/>
          <w:bCs/>
          <w:color w:val="000000" w:themeColor="text1"/>
          <w:sz w:val="22"/>
        </w:rPr>
        <w:t xml:space="preserve"> En efecto, en el concepto C-151 de 2020 se concluyó lo siguiente:</w:t>
      </w:r>
    </w:p>
    <w:p w14:paraId="6E71D7EE" w14:textId="77777777" w:rsidR="00C02156" w:rsidRPr="00A5491D" w:rsidRDefault="00C02156" w:rsidP="00C02156">
      <w:pPr>
        <w:spacing w:line="276" w:lineRule="auto"/>
        <w:jc w:val="both"/>
        <w:rPr>
          <w:rFonts w:ascii="Arial" w:eastAsia="Calibri" w:hAnsi="Arial" w:cs="Arial"/>
          <w:bCs/>
          <w:color w:val="000000" w:themeColor="text1"/>
          <w:sz w:val="22"/>
        </w:rPr>
      </w:pPr>
    </w:p>
    <w:p w14:paraId="2075B8B4" w14:textId="77777777" w:rsidR="00C02156" w:rsidRPr="00A5491D" w:rsidRDefault="00C02156" w:rsidP="00C02156">
      <w:pPr>
        <w:ind w:left="709" w:right="709"/>
        <w:jc w:val="both"/>
        <w:rPr>
          <w:rFonts w:ascii="Arial" w:eastAsia="Calibri" w:hAnsi="Arial" w:cs="Arial"/>
          <w:bCs/>
          <w:color w:val="000000" w:themeColor="text1"/>
          <w:sz w:val="21"/>
          <w:szCs w:val="21"/>
        </w:rPr>
      </w:pPr>
      <w:r w:rsidRPr="00A5491D">
        <w:rPr>
          <w:rFonts w:ascii="Arial" w:eastAsia="Calibri" w:hAnsi="Arial" w:cs="Arial"/>
          <w:bCs/>
          <w:color w:val="000000" w:themeColor="text1"/>
          <w:sz w:val="21"/>
          <w:szCs w:val="21"/>
        </w:rPr>
        <w:t>Respecto a la publicación del SECOP I o en el SECOP II,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las releva de continuar publicando sus procesos de contratación en la plataforma de SECOP I.</w:t>
      </w:r>
      <w:r w:rsidRPr="00A5491D">
        <w:rPr>
          <w:rFonts w:ascii="Arial" w:eastAsia="Calibri" w:hAnsi="Arial" w:cs="Arial"/>
          <w:bCs/>
          <w:color w:val="000000" w:themeColor="text1"/>
          <w:sz w:val="21"/>
          <w:szCs w:val="21"/>
        </w:rPr>
        <w:tab/>
      </w:r>
    </w:p>
    <w:p w14:paraId="5F3B92F4" w14:textId="77777777" w:rsidR="00C02156" w:rsidRPr="00A5491D" w:rsidRDefault="00C02156" w:rsidP="00C02156">
      <w:pPr>
        <w:spacing w:line="276" w:lineRule="auto"/>
        <w:jc w:val="both"/>
        <w:rPr>
          <w:rFonts w:ascii="Arial" w:eastAsia="Calibri" w:hAnsi="Arial" w:cs="Arial"/>
          <w:bCs/>
          <w:color w:val="000000" w:themeColor="text1"/>
          <w:sz w:val="22"/>
        </w:rPr>
      </w:pPr>
    </w:p>
    <w:p w14:paraId="0B817203" w14:textId="77777777" w:rsidR="00C02156" w:rsidRPr="00A5491D" w:rsidRDefault="00C02156" w:rsidP="00C02156">
      <w:pPr>
        <w:spacing w:line="276" w:lineRule="auto"/>
        <w:ind w:firstLine="709"/>
        <w:jc w:val="both"/>
        <w:rPr>
          <w:rFonts w:ascii="Arial" w:eastAsia="Calibri" w:hAnsi="Arial" w:cs="Arial"/>
          <w:bCs/>
          <w:color w:val="000000" w:themeColor="text1"/>
          <w:sz w:val="22"/>
          <w:lang w:val="es-ES"/>
        </w:rPr>
      </w:pPr>
      <w:r w:rsidRPr="00A5491D">
        <w:rPr>
          <w:rFonts w:ascii="Arial" w:eastAsia="Calibri" w:hAnsi="Arial" w:cs="Arial"/>
          <w:bCs/>
          <w:color w:val="000000" w:themeColor="text1"/>
          <w:sz w:val="22"/>
        </w:rPr>
        <w:t xml:space="preserve">Las entidades descentralizadas por servicios, por otro lado, también </w:t>
      </w:r>
      <w:r>
        <w:rPr>
          <w:rFonts w:ascii="Arial" w:eastAsia="Calibri" w:hAnsi="Arial" w:cs="Arial"/>
          <w:bCs/>
          <w:color w:val="000000" w:themeColor="text1"/>
          <w:sz w:val="22"/>
        </w:rPr>
        <w:t>deben</w:t>
      </w:r>
      <w:r w:rsidRPr="00A5491D">
        <w:rPr>
          <w:rFonts w:ascii="Arial" w:eastAsia="Calibri" w:hAnsi="Arial" w:cs="Arial"/>
          <w:bCs/>
          <w:color w:val="000000" w:themeColor="text1"/>
          <w:sz w:val="22"/>
        </w:rPr>
        <w:t xml:space="preserve"> publicar su actividad contractual en el SECOP. Así lo concluyó Colombia Compra Eficiente en el concepto C-264 de 2020, en donde </w:t>
      </w:r>
      <w:r>
        <w:rPr>
          <w:rFonts w:ascii="Arial" w:eastAsia="Calibri" w:hAnsi="Arial" w:cs="Arial"/>
          <w:bCs/>
          <w:color w:val="000000" w:themeColor="text1"/>
          <w:sz w:val="22"/>
        </w:rPr>
        <w:t>sostuvo</w:t>
      </w:r>
      <w:r w:rsidRPr="00A5491D">
        <w:rPr>
          <w:rFonts w:ascii="Arial" w:eastAsia="Calibri" w:hAnsi="Arial" w:cs="Arial"/>
          <w:bCs/>
          <w:color w:val="000000" w:themeColor="text1"/>
          <w:sz w:val="22"/>
        </w:rPr>
        <w:t xml:space="preserve"> que: «[e]l Instituto Social de Vivienda y Hábitat de Medellín, sin consideración al régimen sustantivo de contratación que le resulta aplicable, esto es, Estatuto General de Contratación de la Administración Pública o </w:t>
      </w:r>
      <w:r w:rsidRPr="00A5491D">
        <w:rPr>
          <w:rFonts w:ascii="Arial" w:eastAsia="Calibri" w:hAnsi="Arial" w:cs="Arial"/>
          <w:bCs/>
          <w:color w:val="000000" w:themeColor="text1"/>
          <w:sz w:val="22"/>
        </w:rPr>
        <w:lastRenderedPageBreak/>
        <w:t xml:space="preserve">regímenes exceptuados, inclusive </w:t>
      </w:r>
      <w:r w:rsidRPr="00A5491D">
        <w:rPr>
          <w:rFonts w:ascii="Arial" w:eastAsia="Calibri" w:hAnsi="Arial" w:cs="Arial"/>
          <w:bCs/>
          <w:i/>
          <w:iCs/>
          <w:color w:val="000000" w:themeColor="text1"/>
          <w:sz w:val="22"/>
        </w:rPr>
        <w:t>independiente de la tipología de los contratos y el régimen aplicable a los mismos</w:t>
      </w:r>
      <w:r w:rsidRPr="00A5491D">
        <w:rPr>
          <w:rFonts w:ascii="Arial" w:eastAsia="Calibri" w:hAnsi="Arial" w:cs="Arial"/>
          <w:bCs/>
          <w:color w:val="000000" w:themeColor="text1"/>
          <w:sz w:val="22"/>
        </w:rPr>
        <w:t>, está en la obligación de publicar todos los documentos proferidos con ocasión de sus procesos de contratación» «cursivas propias».</w:t>
      </w:r>
    </w:p>
    <w:p w14:paraId="7FFF889F" w14:textId="77777777" w:rsidR="00C02156" w:rsidRDefault="00C02156" w:rsidP="00C02156">
      <w:pPr>
        <w:spacing w:after="120" w:line="276" w:lineRule="auto"/>
        <w:jc w:val="both"/>
        <w:rPr>
          <w:rFonts w:ascii="Arial" w:eastAsia="Calibri" w:hAnsi="Arial" w:cs="Arial"/>
          <w:bCs/>
          <w:color w:val="000000" w:themeColor="text1"/>
          <w:sz w:val="22"/>
        </w:rPr>
      </w:pPr>
      <w:r w:rsidRPr="00A5491D">
        <w:rPr>
          <w:rFonts w:ascii="Arial" w:eastAsia="Calibri" w:hAnsi="Arial" w:cs="Arial"/>
          <w:bCs/>
          <w:color w:val="000000" w:themeColor="text1"/>
          <w:sz w:val="22"/>
        </w:rPr>
        <w:tab/>
        <w:t xml:space="preserve">En suma, a la luz de los criterios desarrollados por la Agencia Nacional de Contratación Pública, el deber de publicar en el SECOP se </w:t>
      </w:r>
      <w:r>
        <w:rPr>
          <w:rFonts w:ascii="Arial" w:eastAsia="Calibri" w:hAnsi="Arial" w:cs="Arial"/>
          <w:bCs/>
          <w:color w:val="000000" w:themeColor="text1"/>
          <w:sz w:val="22"/>
        </w:rPr>
        <w:t>fundamenta</w:t>
      </w:r>
      <w:r w:rsidRPr="00A5491D">
        <w:rPr>
          <w:rFonts w:ascii="Arial" w:eastAsia="Calibri" w:hAnsi="Arial" w:cs="Arial"/>
          <w:bCs/>
          <w:color w:val="000000" w:themeColor="text1"/>
          <w:sz w:val="22"/>
        </w:rPr>
        <w:t xml:space="preserve"> en una idea general, esto es, que se debe publicar toda actividad contractual en la que se ejecuten recursos públicos, </w:t>
      </w:r>
      <w:r>
        <w:rPr>
          <w:rFonts w:ascii="Arial" w:eastAsia="Calibri" w:hAnsi="Arial" w:cs="Arial"/>
          <w:bCs/>
          <w:color w:val="000000" w:themeColor="text1"/>
          <w:sz w:val="22"/>
        </w:rPr>
        <w:t>con independencia</w:t>
      </w:r>
      <w:r w:rsidRPr="00A5491D">
        <w:rPr>
          <w:rFonts w:ascii="Arial" w:eastAsia="Calibri" w:hAnsi="Arial" w:cs="Arial"/>
          <w:bCs/>
          <w:color w:val="000000" w:themeColor="text1"/>
          <w:sz w:val="22"/>
        </w:rPr>
        <w:t xml:space="preserve"> de la naturaleza jurídica de la entidad contratante, de su régimen contractual, incluso, sin importar la tipología del contrato a celebrar. Igualmente, este deber debe hacerse efectivo en el SECOP I o en el SECOP II, dependiendo de cada caso.</w:t>
      </w:r>
    </w:p>
    <w:p w14:paraId="09292A0F" w14:textId="77777777" w:rsidR="00C02156" w:rsidRPr="00461416" w:rsidRDefault="00C02156" w:rsidP="00C02156">
      <w:pPr>
        <w:spacing w:after="120" w:line="276" w:lineRule="auto"/>
        <w:ind w:firstLine="708"/>
        <w:jc w:val="both"/>
        <w:rPr>
          <w:rFonts w:ascii="Arial" w:eastAsia="Calibri" w:hAnsi="Arial" w:cs="Arial"/>
          <w:bCs/>
          <w:color w:val="000000" w:themeColor="text1"/>
          <w:sz w:val="22"/>
          <w:szCs w:val="22"/>
        </w:rPr>
      </w:pPr>
      <w:r w:rsidRPr="00461416">
        <w:rPr>
          <w:rFonts w:ascii="Arial" w:eastAsia="Calibri" w:hAnsi="Arial" w:cs="Arial"/>
          <w:bCs/>
          <w:color w:val="000000" w:themeColor="text1"/>
          <w:sz w:val="22"/>
          <w:szCs w:val="22"/>
        </w:rPr>
        <w:t xml:space="preserve">Para el caso concreto, </w:t>
      </w:r>
      <w:bookmarkStart w:id="10" w:name="_Hlk69139846"/>
      <w:r w:rsidRPr="00461416">
        <w:rPr>
          <w:rFonts w:ascii="Arial" w:eastAsia="Calibri" w:hAnsi="Arial" w:cs="Arial"/>
          <w:bCs/>
          <w:color w:val="000000" w:themeColor="text1"/>
          <w:sz w:val="22"/>
          <w:szCs w:val="22"/>
        </w:rPr>
        <w:t xml:space="preserve">las empresas prestadoras de servicios públicos domiciliarios </w:t>
      </w:r>
      <w:bookmarkEnd w:id="10"/>
      <w:r w:rsidRPr="00461416">
        <w:rPr>
          <w:rFonts w:ascii="Arial" w:eastAsia="Calibri" w:hAnsi="Arial" w:cs="Arial"/>
          <w:bCs/>
          <w:color w:val="000000" w:themeColor="text1"/>
          <w:sz w:val="22"/>
          <w:szCs w:val="22"/>
        </w:rPr>
        <w:t>no se encuentran incluidas en el Anexo 1 de la Circular No. 1 de 2019, ni en el Anexo de la Circular No. 1 de 2021, razón por la cual no están obligados a utilizar la plataforma SECOP II para gestionar y publicar en línea sus procesos de contratación. Es decir que, los procesos de contratación deben seguir gestionándo</w:t>
      </w:r>
      <w:r>
        <w:rPr>
          <w:rFonts w:ascii="Arial" w:eastAsia="Calibri" w:hAnsi="Arial" w:cs="Arial"/>
          <w:bCs/>
          <w:color w:val="000000" w:themeColor="text1"/>
          <w:sz w:val="22"/>
          <w:szCs w:val="22"/>
        </w:rPr>
        <w:t>se</w:t>
      </w:r>
      <w:r w:rsidRPr="00461416">
        <w:rPr>
          <w:rFonts w:ascii="Arial" w:eastAsia="Calibri" w:hAnsi="Arial" w:cs="Arial"/>
          <w:bCs/>
          <w:color w:val="000000" w:themeColor="text1"/>
          <w:sz w:val="22"/>
          <w:szCs w:val="22"/>
        </w:rPr>
        <w:t xml:space="preserve"> a través de SECOP I</w:t>
      </w:r>
      <w:r>
        <w:rPr>
          <w:rFonts w:ascii="Arial" w:eastAsia="Calibri" w:hAnsi="Arial" w:cs="Arial"/>
          <w:bCs/>
          <w:color w:val="000000" w:themeColor="text1"/>
          <w:sz w:val="22"/>
          <w:szCs w:val="22"/>
        </w:rPr>
        <w:t>,</w:t>
      </w:r>
      <w:r w:rsidRPr="00461416">
        <w:rPr>
          <w:rFonts w:ascii="Arial" w:eastAsia="Calibri" w:hAnsi="Arial" w:cs="Arial"/>
          <w:bCs/>
          <w:color w:val="000000" w:themeColor="text1"/>
          <w:sz w:val="22"/>
          <w:szCs w:val="22"/>
        </w:rPr>
        <w:t xml:space="preserve"> con excepción de los procesos de contratación derivados de la aplicación del Decreto 092 de 2017</w:t>
      </w:r>
      <w:r>
        <w:rPr>
          <w:rStyle w:val="Refdenotaalpie"/>
          <w:rFonts w:ascii="Arial" w:eastAsia="Calibri" w:hAnsi="Arial" w:cs="Arial"/>
          <w:bCs/>
          <w:color w:val="000000" w:themeColor="text1"/>
          <w:sz w:val="22"/>
          <w:szCs w:val="22"/>
        </w:rPr>
        <w:footnoteReference w:id="33"/>
      </w:r>
      <w:r w:rsidRPr="00461416">
        <w:rPr>
          <w:rFonts w:ascii="Arial" w:eastAsia="Calibri" w:hAnsi="Arial" w:cs="Arial"/>
          <w:bCs/>
          <w:color w:val="000000" w:themeColor="text1"/>
          <w:sz w:val="22"/>
          <w:szCs w:val="22"/>
        </w:rPr>
        <w:t>.</w:t>
      </w:r>
    </w:p>
    <w:p w14:paraId="0B3F4351" w14:textId="77777777" w:rsidR="00C02156" w:rsidRDefault="00C02156" w:rsidP="00C02156">
      <w:pPr>
        <w:pStyle w:val="paragraph"/>
        <w:spacing w:before="0" w:beforeAutospacing="0" w:after="0" w:afterAutospacing="0" w:line="276" w:lineRule="auto"/>
        <w:ind w:firstLine="708"/>
        <w:jc w:val="both"/>
        <w:textAlignment w:val="baseline"/>
        <w:rPr>
          <w:rFonts w:ascii="Arial" w:eastAsia="Calibri" w:hAnsi="Arial" w:cs="Arial"/>
          <w:bCs/>
          <w:color w:val="000000" w:themeColor="text1"/>
          <w:sz w:val="22"/>
          <w:szCs w:val="22"/>
          <w:lang w:eastAsia="es-ES_tradnl"/>
        </w:rPr>
      </w:pPr>
      <w:r w:rsidRPr="00461416">
        <w:rPr>
          <w:rFonts w:ascii="Arial" w:eastAsia="Calibri" w:hAnsi="Arial" w:cs="Arial"/>
          <w:bCs/>
          <w:color w:val="000000" w:themeColor="text1"/>
          <w:sz w:val="22"/>
          <w:szCs w:val="22"/>
          <w:lang w:eastAsia="es-ES_tradnl"/>
        </w:rPr>
        <w:t xml:space="preserve">En otras palabras, los únicos procesos que debe adelantar las empresas prestadoras de servicios públicos domiciliarios a través del SECOP II son los derivados del Decreto 092 de 2017 para la contratación con </w:t>
      </w:r>
      <w:r>
        <w:rPr>
          <w:rFonts w:ascii="Arial" w:eastAsia="Calibri" w:hAnsi="Arial" w:cs="Arial"/>
          <w:bCs/>
          <w:color w:val="000000" w:themeColor="text1"/>
          <w:sz w:val="22"/>
          <w:szCs w:val="22"/>
          <w:lang w:eastAsia="es-ES_tradnl"/>
        </w:rPr>
        <w:t>ESAL de</w:t>
      </w:r>
      <w:r w:rsidRPr="00461416">
        <w:rPr>
          <w:rFonts w:ascii="Arial" w:eastAsia="Calibri" w:hAnsi="Arial" w:cs="Arial"/>
          <w:bCs/>
          <w:color w:val="000000" w:themeColor="text1"/>
          <w:sz w:val="22"/>
          <w:szCs w:val="22"/>
          <w:lang w:eastAsia="es-ES_tradnl"/>
        </w:rPr>
        <w:t xml:space="preserve"> reconocida idoneidad. Para ello, tendrán habilitados los módulos de “Régimen Especial” en la plataforma. Si requiere información adicional sobre el uso de estos módulos, puede consultar las guías y manuales dispuestos por la ANCP- CCE en el minisitio de SECOP II disponible en los siguientes enlaces:</w:t>
      </w:r>
    </w:p>
    <w:p w14:paraId="150620F1" w14:textId="77777777" w:rsidR="00C02156" w:rsidRPr="00461416" w:rsidRDefault="00C02156" w:rsidP="00C02156">
      <w:pPr>
        <w:pStyle w:val="paragraph"/>
        <w:spacing w:before="0" w:beforeAutospacing="0" w:after="0" w:afterAutospacing="0" w:line="276" w:lineRule="auto"/>
        <w:ind w:firstLine="708"/>
        <w:jc w:val="both"/>
        <w:textAlignment w:val="baseline"/>
        <w:rPr>
          <w:rFonts w:ascii="Arial" w:eastAsia="Calibri" w:hAnsi="Arial" w:cs="Arial"/>
          <w:bCs/>
          <w:color w:val="000000" w:themeColor="text1"/>
          <w:sz w:val="22"/>
          <w:szCs w:val="22"/>
          <w:lang w:eastAsia="es-ES_tradnl"/>
        </w:rPr>
      </w:pPr>
    </w:p>
    <w:p w14:paraId="272A7EF7" w14:textId="77777777" w:rsidR="00C02156" w:rsidRPr="00461416" w:rsidRDefault="00C02156" w:rsidP="00C02156">
      <w:pPr>
        <w:pStyle w:val="paragraph"/>
        <w:numPr>
          <w:ilvl w:val="0"/>
          <w:numId w:val="2"/>
        </w:numPr>
        <w:spacing w:before="0" w:beforeAutospacing="0" w:after="0" w:afterAutospacing="0"/>
        <w:jc w:val="both"/>
        <w:textAlignment w:val="baseline"/>
        <w:rPr>
          <w:rStyle w:val="normaltextrun"/>
          <w:rFonts w:ascii="Arial" w:hAnsi="Arial" w:cs="Arial"/>
          <w:color w:val="000000" w:themeColor="text1"/>
          <w:sz w:val="22"/>
          <w:szCs w:val="22"/>
        </w:rPr>
      </w:pPr>
      <w:r w:rsidRPr="00461416">
        <w:rPr>
          <w:rStyle w:val="normaltextrun"/>
          <w:rFonts w:ascii="Arial" w:hAnsi="Arial" w:cs="Arial"/>
          <w:color w:val="000000" w:themeColor="text1"/>
          <w:sz w:val="22"/>
          <w:szCs w:val="22"/>
        </w:rPr>
        <w:t xml:space="preserve">Régimen especial – Con Oferta: </w:t>
      </w:r>
      <w:hyperlink r:id="rId11" w:history="1">
        <w:r w:rsidRPr="00461416">
          <w:rPr>
            <w:rStyle w:val="Hipervnculo"/>
            <w:rFonts w:ascii="Arial" w:hAnsi="Arial" w:cs="Arial"/>
            <w:color w:val="000000" w:themeColor="text1"/>
            <w:sz w:val="22"/>
            <w:szCs w:val="22"/>
          </w:rPr>
          <w:t>https://colombiacompra.gov.co/node/23628</w:t>
        </w:r>
      </w:hyperlink>
    </w:p>
    <w:p w14:paraId="2455932A" w14:textId="77777777" w:rsidR="00C02156" w:rsidRPr="00A71531" w:rsidRDefault="00C02156" w:rsidP="00C02156">
      <w:pPr>
        <w:pStyle w:val="paragraph"/>
        <w:numPr>
          <w:ilvl w:val="0"/>
          <w:numId w:val="2"/>
        </w:numPr>
        <w:spacing w:before="0" w:beforeAutospacing="0" w:after="0" w:afterAutospacing="0" w:line="276" w:lineRule="auto"/>
        <w:jc w:val="both"/>
        <w:textAlignment w:val="baseline"/>
        <w:rPr>
          <w:rStyle w:val="Hipervnculo"/>
          <w:rFonts w:ascii="Arial" w:hAnsi="Arial" w:cs="Arial"/>
          <w:color w:val="000000" w:themeColor="text1"/>
          <w:sz w:val="22"/>
          <w:szCs w:val="22"/>
        </w:rPr>
      </w:pPr>
      <w:r w:rsidRPr="00461416">
        <w:rPr>
          <w:rStyle w:val="normaltextrun"/>
          <w:rFonts w:ascii="Arial" w:hAnsi="Arial" w:cs="Arial"/>
          <w:color w:val="000000" w:themeColor="text1"/>
          <w:sz w:val="22"/>
          <w:szCs w:val="22"/>
        </w:rPr>
        <w:t xml:space="preserve">Régimen especial – Sin ofertas (Uso transaccional): </w:t>
      </w:r>
      <w:hyperlink r:id="rId12" w:history="1">
        <w:r w:rsidRPr="00461416">
          <w:rPr>
            <w:rStyle w:val="Hipervnculo"/>
            <w:rFonts w:ascii="Arial" w:hAnsi="Arial" w:cs="Arial"/>
            <w:color w:val="000000" w:themeColor="text1"/>
            <w:sz w:val="22"/>
            <w:szCs w:val="22"/>
          </w:rPr>
          <w:t>https://www.colombiacompra.gov.co/node/30741</w:t>
        </w:r>
      </w:hyperlink>
    </w:p>
    <w:p w14:paraId="01FB660A" w14:textId="77777777" w:rsidR="00C02156" w:rsidRPr="00461416" w:rsidRDefault="00C02156" w:rsidP="00C02156">
      <w:pPr>
        <w:pStyle w:val="paragraph"/>
        <w:spacing w:before="0" w:beforeAutospacing="0" w:after="0" w:afterAutospacing="0" w:line="276" w:lineRule="auto"/>
        <w:ind w:left="720"/>
        <w:jc w:val="both"/>
        <w:textAlignment w:val="baseline"/>
        <w:rPr>
          <w:rStyle w:val="normaltextrun"/>
          <w:rFonts w:ascii="Arial" w:hAnsi="Arial" w:cs="Arial"/>
          <w:color w:val="000000" w:themeColor="text1"/>
          <w:sz w:val="22"/>
          <w:szCs w:val="22"/>
        </w:rPr>
      </w:pPr>
    </w:p>
    <w:p w14:paraId="24862E74" w14:textId="77777777" w:rsidR="00C02156" w:rsidRPr="00461416" w:rsidRDefault="00C02156" w:rsidP="00C02156">
      <w:pPr>
        <w:pStyle w:val="paragraph"/>
        <w:spacing w:before="0" w:beforeAutospacing="0" w:after="120" w:afterAutospacing="0" w:line="276" w:lineRule="auto"/>
        <w:ind w:firstLine="709"/>
        <w:jc w:val="both"/>
        <w:textAlignment w:val="baseline"/>
        <w:rPr>
          <w:rFonts w:ascii="Arial" w:eastAsiaTheme="minorHAnsi" w:hAnsi="Arial" w:cs="Arial"/>
          <w:color w:val="000000" w:themeColor="text1"/>
          <w:sz w:val="22"/>
          <w:szCs w:val="22"/>
          <w:lang w:eastAsia="en-US"/>
        </w:rPr>
      </w:pPr>
      <w:r>
        <w:rPr>
          <w:rStyle w:val="normaltextrun"/>
          <w:rFonts w:ascii="Arial" w:hAnsi="Arial" w:cs="Arial"/>
          <w:color w:val="000000" w:themeColor="text1"/>
          <w:sz w:val="22"/>
          <w:szCs w:val="22"/>
        </w:rPr>
        <w:t xml:space="preserve">En todo caso, informamos que </w:t>
      </w:r>
      <w:r w:rsidRPr="00461416">
        <w:rPr>
          <w:rStyle w:val="normaltextrun"/>
          <w:rFonts w:ascii="Arial" w:hAnsi="Arial" w:cs="Arial"/>
          <w:color w:val="000000" w:themeColor="text1"/>
          <w:sz w:val="22"/>
          <w:szCs w:val="22"/>
        </w:rPr>
        <w:t xml:space="preserve">la Agencia Nacional de Contratación Pública </w:t>
      </w:r>
      <w:r>
        <w:rPr>
          <w:rStyle w:val="normaltextrun"/>
          <w:rFonts w:ascii="Arial" w:hAnsi="Arial" w:cs="Arial"/>
          <w:color w:val="000000" w:themeColor="text1"/>
          <w:sz w:val="22"/>
          <w:szCs w:val="22"/>
        </w:rPr>
        <w:t>–</w:t>
      </w:r>
      <w:r w:rsidRPr="00461416">
        <w:rPr>
          <w:rStyle w:val="normaltextrun"/>
          <w:rFonts w:ascii="Arial" w:hAnsi="Arial" w:cs="Arial"/>
          <w:color w:val="000000" w:themeColor="text1"/>
          <w:sz w:val="22"/>
          <w:szCs w:val="22"/>
        </w:rPr>
        <w:t xml:space="preserve"> Colombia Compra Eficiente no ha establecido una fecha exacta a partir de la cual será obligatorio el uso del SECOP II para las entidades que no se encuentran incluidas en los Anexos de las Circulares No.1 de 2019 y 2021. Cuando </w:t>
      </w:r>
      <w:r>
        <w:rPr>
          <w:rStyle w:val="normaltextrun"/>
          <w:rFonts w:ascii="Arial" w:hAnsi="Arial" w:cs="Arial"/>
          <w:color w:val="000000" w:themeColor="text1"/>
          <w:sz w:val="22"/>
          <w:szCs w:val="22"/>
        </w:rPr>
        <w:t>se determine</w:t>
      </w:r>
      <w:r w:rsidRPr="00461416">
        <w:rPr>
          <w:rStyle w:val="normaltextrun"/>
          <w:rFonts w:ascii="Arial" w:hAnsi="Arial" w:cs="Arial"/>
          <w:color w:val="000000" w:themeColor="text1"/>
          <w:sz w:val="22"/>
          <w:szCs w:val="22"/>
        </w:rPr>
        <w:t xml:space="preserve">, la </w:t>
      </w:r>
      <w:r>
        <w:rPr>
          <w:rStyle w:val="normaltextrun"/>
          <w:rFonts w:ascii="Arial" w:hAnsi="Arial" w:cs="Arial"/>
          <w:color w:val="000000" w:themeColor="text1"/>
          <w:sz w:val="22"/>
          <w:szCs w:val="22"/>
        </w:rPr>
        <w:t>entidad</w:t>
      </w:r>
      <w:r w:rsidRPr="00461416">
        <w:rPr>
          <w:rStyle w:val="normaltextrun"/>
          <w:rFonts w:ascii="Arial" w:hAnsi="Arial" w:cs="Arial"/>
          <w:color w:val="000000" w:themeColor="text1"/>
          <w:sz w:val="22"/>
          <w:szCs w:val="22"/>
        </w:rPr>
        <w:t xml:space="preserve"> </w:t>
      </w:r>
      <w:r>
        <w:rPr>
          <w:rStyle w:val="normaltextrun"/>
          <w:rFonts w:ascii="Arial" w:hAnsi="Arial" w:cs="Arial"/>
          <w:color w:val="000000" w:themeColor="text1"/>
          <w:sz w:val="22"/>
          <w:szCs w:val="22"/>
        </w:rPr>
        <w:t>informará</w:t>
      </w:r>
      <w:r w:rsidRPr="00461416">
        <w:rPr>
          <w:rStyle w:val="normaltextrun"/>
          <w:rFonts w:ascii="Arial" w:hAnsi="Arial" w:cs="Arial"/>
          <w:color w:val="000000" w:themeColor="text1"/>
          <w:sz w:val="22"/>
          <w:szCs w:val="22"/>
        </w:rPr>
        <w:t xml:space="preserve"> con la suficiente anticipación a través los canales de comunicación oficiales</w:t>
      </w:r>
      <w:r>
        <w:rPr>
          <w:rStyle w:val="normaltextrun"/>
          <w:rFonts w:ascii="Arial" w:hAnsi="Arial" w:cs="Arial"/>
          <w:color w:val="000000" w:themeColor="text1"/>
          <w:sz w:val="22"/>
          <w:szCs w:val="22"/>
        </w:rPr>
        <w:t>,</w:t>
      </w:r>
      <w:r w:rsidRPr="00461416">
        <w:rPr>
          <w:rStyle w:val="normaltextrun"/>
          <w:rFonts w:ascii="Arial" w:hAnsi="Arial" w:cs="Arial"/>
          <w:color w:val="000000" w:themeColor="text1"/>
          <w:sz w:val="22"/>
          <w:szCs w:val="22"/>
        </w:rPr>
        <w:t xml:space="preserve"> con el fin de coordinar los servicios de capacitación y acompañamiento correspondientes.</w:t>
      </w:r>
    </w:p>
    <w:p w14:paraId="4AB0E10C" w14:textId="77777777" w:rsidR="00C02156" w:rsidRPr="00461416" w:rsidRDefault="00C02156" w:rsidP="00C02156">
      <w:pPr>
        <w:pStyle w:val="paragraph"/>
        <w:spacing w:before="0" w:beforeAutospacing="0" w:after="120" w:afterAutospacing="0" w:line="276" w:lineRule="auto"/>
        <w:ind w:firstLine="709"/>
        <w:jc w:val="both"/>
        <w:textAlignment w:val="baseline"/>
        <w:rPr>
          <w:rFonts w:ascii="Arial" w:hAnsi="Arial" w:cs="Arial"/>
          <w:color w:val="000000" w:themeColor="text1"/>
          <w:sz w:val="22"/>
          <w:szCs w:val="22"/>
          <w:lang w:eastAsia="es-ES"/>
        </w:rPr>
      </w:pPr>
      <w:r w:rsidRPr="00461416">
        <w:rPr>
          <w:rFonts w:ascii="Arial" w:eastAsiaTheme="minorHAnsi" w:hAnsi="Arial" w:cs="Arial"/>
          <w:color w:val="000000" w:themeColor="text1"/>
          <w:sz w:val="22"/>
          <w:szCs w:val="22"/>
          <w:lang w:eastAsia="en-US"/>
        </w:rPr>
        <w:lastRenderedPageBreak/>
        <w:t>Si desea conocer información sobre el funcionamiento técnico de SECOP II puede consultar</w:t>
      </w:r>
      <w:r w:rsidRPr="00461416">
        <w:rPr>
          <w:rFonts w:ascii="Arial" w:hAnsi="Arial" w:cs="Arial"/>
          <w:color w:val="000000" w:themeColor="text1"/>
          <w:sz w:val="22"/>
          <w:szCs w:val="22"/>
        </w:rPr>
        <w:t xml:space="preserve"> las guías y manuales dispuestos por la ANCP- CCE en el minisitio de SECOP II en el siguiente enlace </w:t>
      </w:r>
      <w:hyperlink r:id="rId13" w:history="1">
        <w:r w:rsidRPr="00461416">
          <w:rPr>
            <w:rStyle w:val="Hipervnculo"/>
            <w:rFonts w:ascii="Arial" w:eastAsiaTheme="minorHAnsi" w:hAnsi="Arial" w:cs="Arial"/>
            <w:color w:val="000000" w:themeColor="text1"/>
            <w:sz w:val="22"/>
            <w:szCs w:val="22"/>
            <w:lang w:eastAsia="en-US"/>
          </w:rPr>
          <w:t>https://www.colombiacompra.gov.co/secop-ii</w:t>
        </w:r>
      </w:hyperlink>
      <w:r w:rsidRPr="00461416">
        <w:rPr>
          <w:rStyle w:val="Hipervnculo"/>
          <w:rFonts w:ascii="Arial" w:eastAsiaTheme="minorHAnsi" w:hAnsi="Arial" w:cs="Arial"/>
          <w:color w:val="000000" w:themeColor="text1"/>
          <w:sz w:val="22"/>
          <w:szCs w:val="22"/>
          <w:lang w:eastAsia="en-US"/>
        </w:rPr>
        <w:t>.</w:t>
      </w:r>
      <w:r w:rsidRPr="00461416">
        <w:rPr>
          <w:rFonts w:ascii="Arial" w:hAnsi="Arial" w:cs="Arial"/>
          <w:color w:val="000000" w:themeColor="text1"/>
          <w:sz w:val="22"/>
          <w:szCs w:val="22"/>
        </w:rPr>
        <w:t xml:space="preserve"> </w:t>
      </w:r>
    </w:p>
    <w:p w14:paraId="7EB67015" w14:textId="77777777" w:rsidR="00C02156" w:rsidRPr="00461416" w:rsidRDefault="00C02156" w:rsidP="00C02156">
      <w:pPr>
        <w:spacing w:line="276" w:lineRule="auto"/>
        <w:ind w:firstLine="708"/>
        <w:jc w:val="both"/>
        <w:rPr>
          <w:rFonts w:ascii="Arial" w:hAnsi="Arial" w:cs="Arial"/>
          <w:color w:val="000000" w:themeColor="text1"/>
          <w:sz w:val="22"/>
          <w:szCs w:val="22"/>
        </w:rPr>
      </w:pPr>
      <w:r w:rsidRPr="00461416">
        <w:rPr>
          <w:rFonts w:ascii="Arial" w:hAnsi="Arial" w:cs="Arial"/>
          <w:color w:val="000000" w:themeColor="text1"/>
          <w:sz w:val="22"/>
          <w:szCs w:val="22"/>
        </w:rPr>
        <w:t xml:space="preserve">Finalmente, en caso de tener dudas sobre las herramientas puede acceder a la Mesa de Servicio de la ANCP - CCE a través de los canales especificados en este enlace: </w:t>
      </w:r>
      <w:hyperlink r:id="rId14" w:history="1">
        <w:r w:rsidRPr="00461416">
          <w:rPr>
            <w:rStyle w:val="Hipervnculo"/>
            <w:rFonts w:ascii="Arial" w:hAnsi="Arial" w:cs="Arial"/>
            <w:color w:val="000000" w:themeColor="text1"/>
            <w:sz w:val="22"/>
            <w:szCs w:val="22"/>
          </w:rPr>
          <w:t>https://www.colombiacompra.gov.co/mesa-de-servicio</w:t>
        </w:r>
      </w:hyperlink>
      <w:r w:rsidRPr="00461416">
        <w:rPr>
          <w:rFonts w:ascii="Arial" w:hAnsi="Arial" w:cs="Arial"/>
          <w:color w:val="000000" w:themeColor="text1"/>
          <w:sz w:val="22"/>
          <w:szCs w:val="22"/>
        </w:rPr>
        <w:t xml:space="preserve">. </w:t>
      </w:r>
    </w:p>
    <w:bookmarkEnd w:id="6"/>
    <w:bookmarkEnd w:id="8"/>
    <w:p w14:paraId="37F6D6F5" w14:textId="77777777" w:rsidR="00C02156" w:rsidRPr="00DD2D97" w:rsidRDefault="00C02156" w:rsidP="00C02156">
      <w:pPr>
        <w:spacing w:line="276" w:lineRule="auto"/>
        <w:jc w:val="both"/>
        <w:rPr>
          <w:rFonts w:ascii="Arial" w:eastAsia="Calibri" w:hAnsi="Arial" w:cs="Arial"/>
          <w:b/>
          <w:color w:val="000000" w:themeColor="text1"/>
          <w:sz w:val="22"/>
          <w:lang w:val="es-ES_tradnl"/>
        </w:rPr>
      </w:pPr>
    </w:p>
    <w:p w14:paraId="13A13C44" w14:textId="77777777" w:rsidR="00C02156" w:rsidRPr="00DD2D97" w:rsidRDefault="00C02156" w:rsidP="00C02156">
      <w:pPr>
        <w:spacing w:line="276" w:lineRule="auto"/>
        <w:jc w:val="both"/>
        <w:rPr>
          <w:rFonts w:ascii="Arial" w:hAnsi="Arial" w:cs="Arial"/>
          <w:sz w:val="22"/>
          <w:lang w:val="es-ES_tradnl"/>
        </w:rPr>
      </w:pPr>
      <w:r w:rsidRPr="00DD2D97">
        <w:rPr>
          <w:rFonts w:ascii="Arial" w:eastAsia="Calibri" w:hAnsi="Arial" w:cs="Arial"/>
          <w:b/>
          <w:color w:val="000000" w:themeColor="text1"/>
          <w:sz w:val="22"/>
          <w:lang w:val="es-ES_tradnl"/>
        </w:rPr>
        <w:t>3. Respuesta</w:t>
      </w:r>
    </w:p>
    <w:p w14:paraId="2B91A637" w14:textId="77777777" w:rsidR="00C02156" w:rsidRPr="00DD2D97" w:rsidRDefault="00C02156" w:rsidP="00C02156">
      <w:pPr>
        <w:tabs>
          <w:tab w:val="left" w:pos="0"/>
        </w:tabs>
        <w:jc w:val="both"/>
        <w:rPr>
          <w:rFonts w:ascii="Arial" w:eastAsia="Calibri" w:hAnsi="Arial" w:cs="Arial"/>
          <w:color w:val="000000" w:themeColor="text1"/>
          <w:sz w:val="22"/>
          <w:lang w:val="es-ES_tradnl"/>
        </w:rPr>
      </w:pPr>
    </w:p>
    <w:p w14:paraId="0DA25796" w14:textId="77777777" w:rsidR="00C02156" w:rsidRPr="007C32D7" w:rsidRDefault="00C02156" w:rsidP="00C02156">
      <w:pPr>
        <w:ind w:left="709" w:right="709"/>
        <w:jc w:val="both"/>
        <w:rPr>
          <w:rFonts w:ascii="Arial" w:hAnsi="Arial" w:cs="Arial"/>
          <w:color w:val="000000" w:themeColor="text1"/>
          <w:sz w:val="22"/>
          <w:lang w:val="es-ES_tradnl"/>
        </w:rPr>
      </w:pPr>
      <w:r w:rsidRPr="00DD2D97">
        <w:rPr>
          <w:rFonts w:ascii="Arial" w:hAnsi="Arial" w:cs="Arial"/>
          <w:color w:val="000000" w:themeColor="text1"/>
          <w:sz w:val="21"/>
          <w:szCs w:val="21"/>
          <w:lang w:val="es-ES_tradnl"/>
        </w:rPr>
        <w:t>«</w:t>
      </w:r>
      <w:r w:rsidRPr="007C32D7">
        <w:rPr>
          <w:rFonts w:ascii="Arial" w:hAnsi="Arial" w:cs="Arial"/>
          <w:color w:val="000000" w:themeColor="text1"/>
          <w:sz w:val="21"/>
          <w:szCs w:val="21"/>
          <w:lang w:val="es-ES_tradnl"/>
        </w:rPr>
        <w:t>Por medio del auto 11001032600029160000399 (56151), Feb 25/21 la Sección Tercera del Consejo de Estado dictó suspensión temporal de todas las expresiones "actividad contractual"  de las circulares externas 1 de 2013 y 20 del 2015 expedidas por Colombia Compra Eficiente</w:t>
      </w:r>
      <w:r>
        <w:rPr>
          <w:rFonts w:ascii="Arial" w:hAnsi="Arial" w:cs="Arial"/>
          <w:color w:val="000000" w:themeColor="text1"/>
          <w:sz w:val="21"/>
          <w:szCs w:val="21"/>
          <w:lang w:val="es-ES_tradnl"/>
        </w:rPr>
        <w:t xml:space="preserve"> (…) </w:t>
      </w:r>
      <w:r w:rsidRPr="007C32D7">
        <w:rPr>
          <w:rFonts w:ascii="Arial" w:hAnsi="Arial" w:cs="Arial"/>
          <w:color w:val="000000" w:themeColor="text1"/>
          <w:sz w:val="21"/>
          <w:szCs w:val="21"/>
          <w:lang w:val="es-ES_tradnl"/>
        </w:rPr>
        <w:t xml:space="preserve">Dado que no discriminan qué tipo de SECOP sea el I </w:t>
      </w:r>
      <w:proofErr w:type="spellStart"/>
      <w:r w:rsidRPr="007C32D7">
        <w:rPr>
          <w:rFonts w:ascii="Arial" w:hAnsi="Arial" w:cs="Arial"/>
          <w:color w:val="000000" w:themeColor="text1"/>
          <w:sz w:val="21"/>
          <w:szCs w:val="21"/>
          <w:lang w:val="es-ES_tradnl"/>
        </w:rPr>
        <w:t>ó</w:t>
      </w:r>
      <w:proofErr w:type="spellEnd"/>
      <w:r w:rsidRPr="007C32D7">
        <w:rPr>
          <w:rFonts w:ascii="Arial" w:hAnsi="Arial" w:cs="Arial"/>
          <w:color w:val="000000" w:themeColor="text1"/>
          <w:sz w:val="21"/>
          <w:szCs w:val="21"/>
          <w:lang w:val="es-ES_tradnl"/>
        </w:rPr>
        <w:t xml:space="preserve"> el II; acudimos ante ustedes para solicitar consulta, respecto a que tras la suspensión provisional de toda carga de publicar en el SECOP la actividad contractual de los prestadores mientras exista sentencia judicial en firme desde la sección tercera del Consejo de Estado; los prestadores de servicios públicos domiciliarios  están aún sujetos a publicar en el SECOP I </w:t>
      </w:r>
      <w:proofErr w:type="spellStart"/>
      <w:r w:rsidRPr="007C32D7">
        <w:rPr>
          <w:rFonts w:ascii="Arial" w:hAnsi="Arial" w:cs="Arial"/>
          <w:color w:val="000000" w:themeColor="text1"/>
          <w:sz w:val="21"/>
          <w:szCs w:val="21"/>
          <w:lang w:val="es-ES_tradnl"/>
        </w:rPr>
        <w:t>ó</w:t>
      </w:r>
      <w:proofErr w:type="spellEnd"/>
      <w:r w:rsidRPr="007C32D7">
        <w:rPr>
          <w:rFonts w:ascii="Arial" w:hAnsi="Arial" w:cs="Arial"/>
          <w:color w:val="000000" w:themeColor="text1"/>
          <w:sz w:val="21"/>
          <w:szCs w:val="21"/>
          <w:lang w:val="es-ES_tradnl"/>
        </w:rPr>
        <w:t xml:space="preserve"> SECOP II, o dicha obligación quedó suspendida en su totalidad?; de la misma manera, a pesar de que no están en la Circular 001-2021 CCE, en el Anexo 1; los prestadores de servicios públicos domiciliarios tiene alguna fecha límite para utilizar el SECOP en caso de estar obligados; y de ser procedente cuál sería el trámite a seguir?</w:t>
      </w:r>
      <w:r w:rsidRPr="00C22EDD">
        <w:rPr>
          <w:rFonts w:ascii="Arial" w:eastAsia="Calibri" w:hAnsi="Arial" w:cs="Arial"/>
          <w:color w:val="000000" w:themeColor="text1"/>
          <w:sz w:val="22"/>
          <w:lang w:val="es-ES_tradnl"/>
        </w:rPr>
        <w:t>»</w:t>
      </w:r>
      <w:r w:rsidRPr="007C32D7">
        <w:rPr>
          <w:rFonts w:ascii="Arial" w:hAnsi="Arial" w:cs="Arial"/>
          <w:color w:val="000000" w:themeColor="text1"/>
          <w:sz w:val="21"/>
          <w:szCs w:val="21"/>
          <w:lang w:val="es-ES_tradnl"/>
        </w:rPr>
        <w:t>.</w:t>
      </w:r>
    </w:p>
    <w:p w14:paraId="2806D389" w14:textId="77777777" w:rsidR="00C02156" w:rsidRPr="00DD2D97" w:rsidRDefault="00C02156" w:rsidP="00C02156">
      <w:pPr>
        <w:ind w:left="709" w:right="709"/>
        <w:jc w:val="both"/>
        <w:rPr>
          <w:rFonts w:ascii="Arial" w:hAnsi="Arial" w:cs="Arial"/>
          <w:color w:val="000000" w:themeColor="text1"/>
          <w:sz w:val="21"/>
          <w:szCs w:val="21"/>
          <w:lang w:val="es-ES_tradnl"/>
        </w:rPr>
      </w:pPr>
    </w:p>
    <w:p w14:paraId="28EDF188" w14:textId="77777777" w:rsidR="00C02156" w:rsidRDefault="00C02156" w:rsidP="00C02156">
      <w:pPr>
        <w:spacing w:after="120" w:line="276" w:lineRule="auto"/>
        <w:jc w:val="both"/>
        <w:rPr>
          <w:rFonts w:ascii="Arial" w:hAnsi="Arial" w:cs="Arial"/>
          <w:color w:val="000000" w:themeColor="text1"/>
          <w:sz w:val="22"/>
          <w:szCs w:val="22"/>
          <w:lang w:val="es-ES_tradnl"/>
        </w:rPr>
      </w:pPr>
      <w:r w:rsidRPr="008B3AFB">
        <w:rPr>
          <w:rFonts w:ascii="Arial" w:hAnsi="Arial" w:cs="Arial"/>
          <w:color w:val="000000" w:themeColor="text1"/>
          <w:sz w:val="22"/>
          <w:szCs w:val="22"/>
          <w:lang w:val="es-ES_tradnl"/>
        </w:rPr>
        <w:t xml:space="preserve">De ninguna manera 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w:t>
      </w:r>
      <w:r>
        <w:rPr>
          <w:rFonts w:ascii="Arial" w:hAnsi="Arial" w:cs="Arial"/>
          <w:color w:val="000000" w:themeColor="text1"/>
          <w:sz w:val="22"/>
          <w:szCs w:val="22"/>
          <w:lang w:val="es-ES_tradnl"/>
        </w:rPr>
        <w:t xml:space="preserve">precisamente </w:t>
      </w:r>
      <w:r w:rsidRPr="008B3AFB">
        <w:rPr>
          <w:rFonts w:ascii="Arial" w:hAnsi="Arial" w:cs="Arial"/>
          <w:color w:val="000000" w:themeColor="text1"/>
          <w:sz w:val="22"/>
          <w:szCs w:val="22"/>
          <w:lang w:val="es-ES_tradnl"/>
        </w:rPr>
        <w:t>dicho auto indica que el artículo 3, literal c), de la Ley 1150 de 2007 también les resulta aplicable a dichas entidades, independientemente de su régimen contractual. Segundo, porque estas deben garantizar los principios de publicidad y transparencia, previsto</w:t>
      </w:r>
      <w:r>
        <w:rPr>
          <w:rFonts w:ascii="Arial" w:hAnsi="Arial" w:cs="Arial"/>
          <w:color w:val="000000" w:themeColor="text1"/>
          <w:sz w:val="22"/>
          <w:szCs w:val="22"/>
          <w:lang w:val="es-ES_tradnl"/>
        </w:rPr>
        <w:t>s</w:t>
      </w:r>
      <w:r w:rsidRPr="008B3AFB">
        <w:rPr>
          <w:rFonts w:ascii="Arial" w:hAnsi="Arial" w:cs="Arial"/>
          <w:color w:val="000000" w:themeColor="text1"/>
          <w:sz w:val="22"/>
          <w:szCs w:val="22"/>
          <w:lang w:val="es-ES_tradnl"/>
        </w:rPr>
        <w:t xml:space="preserve"> en los artículos 209 y 74 de la Constitución Política. Tercero, porque las entidades estatales –incluidas las que se rigen generalmente por el derecho privado en materia contractual–, al ser </w:t>
      </w:r>
      <w:r w:rsidRPr="008B3AFB">
        <w:rPr>
          <w:rFonts w:ascii="Arial" w:hAnsi="Arial" w:cs="Arial"/>
          <w:i/>
          <w:iCs/>
          <w:color w:val="000000" w:themeColor="text1"/>
          <w:sz w:val="22"/>
          <w:szCs w:val="22"/>
          <w:lang w:val="es-ES_tradnl"/>
        </w:rPr>
        <w:t>sujetos obligados</w:t>
      </w:r>
      <w:r w:rsidRPr="008B3AFB">
        <w:rPr>
          <w:rFonts w:ascii="Arial" w:hAnsi="Arial" w:cs="Arial"/>
          <w:color w:val="000000" w:themeColor="text1"/>
          <w:sz w:val="22"/>
          <w:szCs w:val="22"/>
          <w:lang w:val="es-ES_tradnl"/>
        </w:rPr>
        <w:t xml:space="preserve"> a garantizar el derecho de acceso a la información y a los documentos públicos, deben publicar en el SECOP los documentos a los que se refiere el </w:t>
      </w:r>
      <w:r>
        <w:rPr>
          <w:rFonts w:ascii="Arial" w:hAnsi="Arial" w:cs="Arial"/>
          <w:color w:val="000000" w:themeColor="text1"/>
          <w:sz w:val="22"/>
          <w:szCs w:val="22"/>
          <w:lang w:val="es-ES_tradnl"/>
        </w:rPr>
        <w:t>literal e), del artículo 9 y el</w:t>
      </w:r>
      <w:r w:rsidRPr="008B3AFB">
        <w:rPr>
          <w:rFonts w:ascii="Arial" w:eastAsia="Calibri" w:hAnsi="Arial" w:cs="Arial"/>
          <w:color w:val="000000" w:themeColor="text1"/>
          <w:sz w:val="22"/>
          <w:szCs w:val="22"/>
          <w:lang w:val="es-ES_tradnl"/>
        </w:rPr>
        <w:t xml:space="preserve"> literal g), del artículo 11, de la Ley 1712 de 2014, como los artículos </w:t>
      </w:r>
      <w:r>
        <w:rPr>
          <w:rFonts w:ascii="Arial" w:eastAsia="Calibri" w:hAnsi="Arial" w:cs="Arial"/>
          <w:color w:val="000000" w:themeColor="text1"/>
          <w:sz w:val="22"/>
          <w:szCs w:val="22"/>
          <w:lang w:val="es-ES_tradnl"/>
        </w:rPr>
        <w:t>7</w:t>
      </w:r>
      <w:r w:rsidRPr="008B3AFB">
        <w:rPr>
          <w:rFonts w:ascii="Arial" w:eastAsia="Calibri" w:hAnsi="Arial" w:cs="Arial"/>
          <w:color w:val="000000" w:themeColor="text1"/>
          <w:sz w:val="22"/>
          <w:szCs w:val="22"/>
          <w:lang w:val="es-ES_tradnl"/>
        </w:rPr>
        <w:t xml:space="preserve"> al 10 del Decreto 103 de 2015 –compilado en los artículos 2.1.1.1.1. al 2.1.1.6.1. del Decreto 1081 de 2015–</w:t>
      </w:r>
      <w:r w:rsidRPr="008B3AFB">
        <w:rPr>
          <w:rFonts w:ascii="Arial" w:hAnsi="Arial" w:cs="Arial"/>
          <w:color w:val="000000" w:themeColor="text1"/>
          <w:sz w:val="22"/>
          <w:szCs w:val="22"/>
          <w:lang w:val="es-ES_tradnl"/>
        </w:rPr>
        <w:t xml:space="preserve">. Cuarto, porque, el auto del 25 de febrero de 2021 no suspende todo el contenido de las </w:t>
      </w:r>
      <w:r w:rsidRPr="008B3AFB">
        <w:rPr>
          <w:rFonts w:ascii="Arial" w:hAnsi="Arial" w:cs="Arial"/>
          <w:sz w:val="22"/>
          <w:szCs w:val="22"/>
          <w:lang w:val="es-ES_tradnl"/>
        </w:rPr>
        <w:t xml:space="preserve">circulares </w:t>
      </w:r>
      <w:r w:rsidRPr="008B3AFB">
        <w:rPr>
          <w:rFonts w:ascii="Arial" w:eastAsia="Arial" w:hAnsi="Arial" w:cs="Arial"/>
          <w:sz w:val="22"/>
          <w:szCs w:val="22"/>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w:t>
      </w:r>
      <w:r w:rsidRPr="008B3AFB">
        <w:rPr>
          <w:rFonts w:ascii="Arial" w:eastAsia="Arial" w:hAnsi="Arial" w:cs="Arial"/>
          <w:sz w:val="22"/>
          <w:szCs w:val="22"/>
          <w:lang w:val="es-ES_tradnl"/>
        </w:rPr>
        <w:lastRenderedPageBreak/>
        <w:t xml:space="preserve">SECOP la información oficial de la contratación se desprende además de las circulares </w:t>
      </w:r>
      <w:r w:rsidRPr="008B3AFB">
        <w:rPr>
          <w:rFonts w:ascii="Arial" w:hAnsi="Arial" w:cs="Arial"/>
          <w:bCs/>
          <w:color w:val="000000" w:themeColor="text1"/>
          <w:sz w:val="22"/>
          <w:szCs w:val="22"/>
          <w:lang w:val="es-ES_tradnl"/>
        </w:rPr>
        <w:t>No. 23 del 16 de marzo de 2017 y No. 007 de 2020, así como de la Circular Externa Única –actualizada el 16 de abril de 2019–, las cuales se encuentran vigentes.</w:t>
      </w:r>
      <w:r w:rsidRPr="008B3AFB">
        <w:rPr>
          <w:rFonts w:ascii="Arial" w:hAnsi="Arial" w:cs="Arial"/>
          <w:color w:val="000000" w:themeColor="text1"/>
          <w:sz w:val="22"/>
          <w:szCs w:val="22"/>
          <w:lang w:val="es-ES_tradnl"/>
        </w:rPr>
        <w:t xml:space="preserve"> </w:t>
      </w:r>
    </w:p>
    <w:p w14:paraId="4B57C22D" w14:textId="77777777" w:rsidR="00C02156" w:rsidRPr="00461416" w:rsidRDefault="00C02156" w:rsidP="00C02156">
      <w:pPr>
        <w:pStyle w:val="paragraph"/>
        <w:spacing w:before="0" w:beforeAutospacing="0" w:after="120" w:afterAutospacing="0" w:line="276" w:lineRule="auto"/>
        <w:ind w:right="45" w:firstLine="708"/>
        <w:jc w:val="both"/>
        <w:textAlignment w:val="baseline"/>
        <w:rPr>
          <w:rStyle w:val="normaltextrun"/>
          <w:rFonts w:ascii="Arial" w:eastAsia="Calibri" w:hAnsi="Arial" w:cs="Arial"/>
          <w:bCs/>
          <w:color w:val="000000" w:themeColor="text1"/>
          <w:sz w:val="22"/>
          <w:szCs w:val="22"/>
          <w:lang w:eastAsia="es-ES_tradnl"/>
        </w:rPr>
      </w:pPr>
      <w:r w:rsidRPr="00AB4A8F">
        <w:rPr>
          <w:rFonts w:ascii="Arial" w:eastAsia="Calibri" w:hAnsi="Arial" w:cs="Arial"/>
          <w:bCs/>
          <w:color w:val="000000" w:themeColor="text1"/>
          <w:sz w:val="22"/>
          <w:szCs w:val="22"/>
          <w:lang w:eastAsia="es-ES_tradnl"/>
        </w:rPr>
        <w:t xml:space="preserve">Para el caso concreto, las empresas prestadoras de servicios públicos domiciliarios no se encuentran incluidas en el Anexo 1 de la Circular No. 1 de 2019, ni en el Anexo de la Circular No. 1 de 2021, razón por la cual no están obligados a utilizar la plataforma SECOP II para gestionar y publicar en línea sus procesos de contratación. </w:t>
      </w:r>
      <w:r>
        <w:rPr>
          <w:rFonts w:ascii="Arial" w:eastAsia="Calibri" w:hAnsi="Arial" w:cs="Arial"/>
          <w:bCs/>
          <w:color w:val="000000" w:themeColor="text1"/>
          <w:sz w:val="22"/>
          <w:szCs w:val="22"/>
          <w:lang w:eastAsia="es-ES_tradnl"/>
        </w:rPr>
        <w:t>Por ello</w:t>
      </w:r>
      <w:r w:rsidRPr="00AB4A8F">
        <w:rPr>
          <w:rFonts w:ascii="Arial" w:eastAsia="Calibri" w:hAnsi="Arial" w:cs="Arial"/>
          <w:bCs/>
          <w:color w:val="000000" w:themeColor="text1"/>
          <w:sz w:val="22"/>
          <w:szCs w:val="22"/>
          <w:lang w:eastAsia="es-ES_tradnl"/>
        </w:rPr>
        <w:t>, los procesos de contratación deben seguir gestionándose a través de SECOP I, con excepción de los procesos de contratación derivados de la aplicación del Decreto 092 de 2017</w:t>
      </w:r>
      <w:r w:rsidRPr="00461416">
        <w:rPr>
          <w:rFonts w:ascii="Arial" w:eastAsia="Calibri" w:hAnsi="Arial" w:cs="Arial"/>
          <w:bCs/>
          <w:color w:val="000000" w:themeColor="text1"/>
          <w:sz w:val="22"/>
          <w:szCs w:val="22"/>
          <w:lang w:eastAsia="es-ES_tradnl"/>
        </w:rPr>
        <w:t>.</w:t>
      </w:r>
    </w:p>
    <w:p w14:paraId="00C1150A" w14:textId="77777777" w:rsidR="00C02156" w:rsidRDefault="00C02156" w:rsidP="00C02156">
      <w:pPr>
        <w:pStyle w:val="paragraph"/>
        <w:spacing w:before="0" w:beforeAutospacing="0" w:after="0" w:afterAutospacing="0" w:line="276" w:lineRule="auto"/>
        <w:ind w:right="45" w:firstLine="708"/>
        <w:jc w:val="both"/>
        <w:textAlignment w:val="baseline"/>
        <w:rPr>
          <w:rStyle w:val="normaltextrun"/>
          <w:rFonts w:ascii="Arial" w:hAnsi="Arial" w:cs="Arial"/>
          <w:color w:val="000000" w:themeColor="text1"/>
          <w:sz w:val="22"/>
          <w:szCs w:val="22"/>
        </w:rPr>
      </w:pPr>
      <w:r>
        <w:rPr>
          <w:rStyle w:val="normaltextrun"/>
          <w:rFonts w:ascii="Arial" w:hAnsi="Arial" w:cs="Arial"/>
          <w:color w:val="000000" w:themeColor="text1"/>
          <w:sz w:val="22"/>
          <w:szCs w:val="22"/>
        </w:rPr>
        <w:t xml:space="preserve">En todo caso, informamos que </w:t>
      </w:r>
      <w:r w:rsidRPr="00461416">
        <w:rPr>
          <w:rStyle w:val="normaltextrun"/>
          <w:rFonts w:ascii="Arial" w:hAnsi="Arial" w:cs="Arial"/>
          <w:color w:val="000000" w:themeColor="text1"/>
          <w:sz w:val="22"/>
          <w:szCs w:val="22"/>
        </w:rPr>
        <w:t xml:space="preserve">la Agencia Nacional de Contratación Pública </w:t>
      </w:r>
      <w:r>
        <w:rPr>
          <w:rStyle w:val="normaltextrun"/>
          <w:rFonts w:ascii="Arial" w:hAnsi="Arial" w:cs="Arial"/>
          <w:color w:val="000000" w:themeColor="text1"/>
          <w:sz w:val="22"/>
          <w:szCs w:val="22"/>
        </w:rPr>
        <w:t>–</w:t>
      </w:r>
      <w:r w:rsidRPr="00461416">
        <w:rPr>
          <w:rStyle w:val="normaltextrun"/>
          <w:rFonts w:ascii="Arial" w:hAnsi="Arial" w:cs="Arial"/>
          <w:color w:val="000000" w:themeColor="text1"/>
          <w:sz w:val="22"/>
          <w:szCs w:val="22"/>
        </w:rPr>
        <w:t xml:space="preserve"> Colombia Compra Eficiente no ha establecido una fecha exacta a partir de la cual será obligatorio el uso del SECOP II para las entidades que no se encuentran incluidas en los Anexos de las Circulares No.1 de 2019 y 2021. Cuando </w:t>
      </w:r>
      <w:r>
        <w:rPr>
          <w:rStyle w:val="normaltextrun"/>
          <w:rFonts w:ascii="Arial" w:hAnsi="Arial" w:cs="Arial"/>
          <w:color w:val="000000" w:themeColor="text1"/>
          <w:sz w:val="22"/>
          <w:szCs w:val="22"/>
        </w:rPr>
        <w:t>se determine</w:t>
      </w:r>
      <w:r w:rsidRPr="00461416">
        <w:rPr>
          <w:rStyle w:val="normaltextrun"/>
          <w:rFonts w:ascii="Arial" w:hAnsi="Arial" w:cs="Arial"/>
          <w:color w:val="000000" w:themeColor="text1"/>
          <w:sz w:val="22"/>
          <w:szCs w:val="22"/>
        </w:rPr>
        <w:t xml:space="preserve">, la </w:t>
      </w:r>
      <w:r>
        <w:rPr>
          <w:rStyle w:val="normaltextrun"/>
          <w:rFonts w:ascii="Arial" w:hAnsi="Arial" w:cs="Arial"/>
          <w:color w:val="000000" w:themeColor="text1"/>
          <w:sz w:val="22"/>
          <w:szCs w:val="22"/>
        </w:rPr>
        <w:t>entidad</w:t>
      </w:r>
      <w:r w:rsidRPr="00461416">
        <w:rPr>
          <w:rStyle w:val="normaltextrun"/>
          <w:rFonts w:ascii="Arial" w:hAnsi="Arial" w:cs="Arial"/>
          <w:color w:val="000000" w:themeColor="text1"/>
          <w:sz w:val="22"/>
          <w:szCs w:val="22"/>
        </w:rPr>
        <w:t xml:space="preserve"> </w:t>
      </w:r>
      <w:r>
        <w:rPr>
          <w:rStyle w:val="normaltextrun"/>
          <w:rFonts w:ascii="Arial" w:hAnsi="Arial" w:cs="Arial"/>
          <w:color w:val="000000" w:themeColor="text1"/>
          <w:sz w:val="22"/>
          <w:szCs w:val="22"/>
        </w:rPr>
        <w:t>informará</w:t>
      </w:r>
      <w:r w:rsidRPr="00461416">
        <w:rPr>
          <w:rStyle w:val="normaltextrun"/>
          <w:rFonts w:ascii="Arial" w:hAnsi="Arial" w:cs="Arial"/>
          <w:color w:val="000000" w:themeColor="text1"/>
          <w:sz w:val="22"/>
          <w:szCs w:val="22"/>
        </w:rPr>
        <w:t xml:space="preserve"> con la suficiente anticipación a través los canales de comunicación oficiales</w:t>
      </w:r>
      <w:r>
        <w:rPr>
          <w:rStyle w:val="normaltextrun"/>
          <w:rFonts w:ascii="Arial" w:hAnsi="Arial" w:cs="Arial"/>
          <w:color w:val="000000" w:themeColor="text1"/>
          <w:sz w:val="22"/>
          <w:szCs w:val="22"/>
        </w:rPr>
        <w:t>,</w:t>
      </w:r>
      <w:r w:rsidRPr="00461416">
        <w:rPr>
          <w:rStyle w:val="normaltextrun"/>
          <w:rFonts w:ascii="Arial" w:hAnsi="Arial" w:cs="Arial"/>
          <w:color w:val="000000" w:themeColor="text1"/>
          <w:sz w:val="22"/>
          <w:szCs w:val="22"/>
        </w:rPr>
        <w:t xml:space="preserve"> con el fin de coordinar los servicios de capacitación y acompañamiento correspondientes.</w:t>
      </w:r>
    </w:p>
    <w:p w14:paraId="0A50C833" w14:textId="77777777" w:rsidR="00C02156" w:rsidRPr="00DD2D97" w:rsidRDefault="00C02156" w:rsidP="00C02156">
      <w:pPr>
        <w:spacing w:after="210"/>
        <w:ind w:right="709"/>
        <w:jc w:val="both"/>
        <w:rPr>
          <w:rFonts w:ascii="Arial" w:hAnsi="Arial" w:cs="Arial"/>
          <w:color w:val="000000" w:themeColor="text1"/>
          <w:sz w:val="21"/>
          <w:szCs w:val="21"/>
          <w:lang w:val="es-ES_tradnl"/>
        </w:rPr>
      </w:pPr>
    </w:p>
    <w:p w14:paraId="581CFC68" w14:textId="77777777" w:rsidR="00C02156" w:rsidRPr="00DD2D97" w:rsidRDefault="00C02156" w:rsidP="00C02156">
      <w:pPr>
        <w:spacing w:line="276" w:lineRule="auto"/>
        <w:jc w:val="both"/>
        <w:rPr>
          <w:rFonts w:ascii="Arial" w:hAnsi="Arial" w:cs="Arial"/>
          <w:color w:val="000000" w:themeColor="text1"/>
          <w:sz w:val="22"/>
          <w:lang w:val="es-ES_tradnl"/>
        </w:rPr>
      </w:pPr>
      <w:r w:rsidRPr="00DD2D97">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6B0C09BE" w14:textId="77777777" w:rsidR="00C02156" w:rsidRPr="00DD2D97" w:rsidRDefault="00C02156" w:rsidP="00C02156">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7DEAC05" w14:textId="77777777" w:rsidR="00C02156" w:rsidRPr="00DD2D97" w:rsidRDefault="00C02156" w:rsidP="00C02156">
      <w:pPr>
        <w:pStyle w:val="NormalWeb"/>
        <w:spacing w:before="0" w:beforeAutospacing="0" w:after="0" w:afterAutospacing="0" w:line="276" w:lineRule="auto"/>
        <w:jc w:val="both"/>
        <w:rPr>
          <w:rFonts w:ascii="Arial" w:hAnsi="Arial" w:cs="Arial"/>
          <w:color w:val="000000" w:themeColor="text1"/>
          <w:sz w:val="22"/>
          <w:szCs w:val="22"/>
          <w:lang w:val="es-ES_tradnl"/>
        </w:rPr>
      </w:pPr>
      <w:r w:rsidRPr="00DD2D97">
        <w:rPr>
          <w:rFonts w:ascii="Arial" w:hAnsi="Arial" w:cs="Arial"/>
          <w:color w:val="000000" w:themeColor="text1"/>
          <w:sz w:val="22"/>
          <w:szCs w:val="22"/>
          <w:lang w:val="es-ES_tradnl"/>
        </w:rPr>
        <w:t>Atentamente,</w:t>
      </w:r>
    </w:p>
    <w:p w14:paraId="447A082B" w14:textId="77777777" w:rsidR="00C02156" w:rsidRPr="00DD2D97" w:rsidRDefault="00C02156" w:rsidP="00C02156">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89836FC" w14:textId="77777777" w:rsidR="00C02156" w:rsidRPr="00DD2D97" w:rsidRDefault="00C02156" w:rsidP="00C02156">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423B170" wp14:editId="485B009C">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22822176" w14:textId="77777777" w:rsidR="00C02156" w:rsidRPr="00DD2D97" w:rsidRDefault="00C02156" w:rsidP="00C02156">
      <w:pPr>
        <w:jc w:val="center"/>
        <w:rPr>
          <w:rFonts w:ascii="Arial" w:hAnsi="Arial" w:cs="Arial"/>
          <w:color w:val="000000" w:themeColor="text1"/>
          <w:sz w:val="18"/>
          <w:szCs w:val="20"/>
          <w:lang w:val="es-ES_tradnl" w:eastAsia="es-CO"/>
        </w:rPr>
      </w:pPr>
    </w:p>
    <w:p w14:paraId="754A8361" w14:textId="77777777" w:rsidR="00C02156" w:rsidRPr="00DD2D97" w:rsidRDefault="00C02156" w:rsidP="00C02156">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02156" w:rsidRPr="00DD2D97" w14:paraId="07E39FEC" w14:textId="77777777" w:rsidTr="001A0879">
        <w:trPr>
          <w:trHeight w:val="315"/>
        </w:trPr>
        <w:tc>
          <w:tcPr>
            <w:tcW w:w="812" w:type="dxa"/>
            <w:vAlign w:val="center"/>
            <w:hideMark/>
          </w:tcPr>
          <w:p w14:paraId="469F266F" w14:textId="77777777" w:rsidR="00C02156" w:rsidRPr="00DD2D97" w:rsidRDefault="00C02156" w:rsidP="001A0879">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2925673" w14:textId="77777777" w:rsidR="00C02156" w:rsidRPr="00DD2D97" w:rsidRDefault="00C02156" w:rsidP="001A0879">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Nathalia Urrego Jiménez</w:t>
            </w:r>
          </w:p>
          <w:p w14:paraId="230B69B9" w14:textId="77777777" w:rsidR="00C02156" w:rsidRPr="00DD2D97" w:rsidRDefault="00C02156" w:rsidP="001A0879">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Contratista de la Subdirección de Gestión Contractual</w:t>
            </w:r>
          </w:p>
        </w:tc>
      </w:tr>
      <w:tr w:rsidR="00C02156" w:rsidRPr="00DD2D97" w14:paraId="017B7FD5" w14:textId="77777777" w:rsidTr="001A0879">
        <w:trPr>
          <w:trHeight w:val="330"/>
        </w:trPr>
        <w:tc>
          <w:tcPr>
            <w:tcW w:w="812" w:type="dxa"/>
            <w:vAlign w:val="center"/>
            <w:hideMark/>
          </w:tcPr>
          <w:p w14:paraId="427ADFAD" w14:textId="77777777" w:rsidR="00C02156" w:rsidRPr="00DD2D97" w:rsidRDefault="00C02156" w:rsidP="001A0879">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EE3B980" w14:textId="77777777" w:rsidR="00C02156" w:rsidRPr="00DD2D97" w:rsidRDefault="00C02156" w:rsidP="001A0879">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Montoya</w:t>
            </w:r>
          </w:p>
          <w:p w14:paraId="0150528C" w14:textId="77777777" w:rsidR="00C02156" w:rsidRPr="00DD2D97" w:rsidRDefault="00C02156" w:rsidP="001A0879">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Gestor T1-15 de la Subdirección de Gestión Contractual</w:t>
            </w:r>
          </w:p>
        </w:tc>
      </w:tr>
      <w:tr w:rsidR="00C02156" w:rsidRPr="00DD2D97" w14:paraId="7BE7BDA9" w14:textId="77777777" w:rsidTr="001A0879">
        <w:trPr>
          <w:trHeight w:val="300"/>
        </w:trPr>
        <w:tc>
          <w:tcPr>
            <w:tcW w:w="812" w:type="dxa"/>
            <w:vAlign w:val="center"/>
            <w:hideMark/>
          </w:tcPr>
          <w:p w14:paraId="79E3BFFB" w14:textId="77777777" w:rsidR="00C02156" w:rsidRPr="00DD2D97" w:rsidRDefault="00C02156" w:rsidP="001A0879">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48EEF7" w14:textId="77777777" w:rsidR="00C02156" w:rsidRPr="00DD2D97" w:rsidRDefault="00C02156" w:rsidP="001A0879">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Jorge Augusto Tirado Navarro</w:t>
            </w:r>
          </w:p>
          <w:p w14:paraId="56043EBD" w14:textId="77777777" w:rsidR="00C02156" w:rsidRPr="00DD2D97" w:rsidRDefault="00C02156" w:rsidP="001A0879">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Subdirector de Gestión Contractual ANCP – CCE</w:t>
            </w:r>
          </w:p>
        </w:tc>
      </w:tr>
      <w:bookmarkEnd w:id="2"/>
    </w:tbl>
    <w:p w14:paraId="0463F6E8" w14:textId="77777777" w:rsidR="00C02156" w:rsidRPr="00DD2D97" w:rsidRDefault="00C02156" w:rsidP="00C02156">
      <w:pPr>
        <w:jc w:val="both"/>
        <w:rPr>
          <w:rFonts w:ascii="Arial" w:hAnsi="Arial" w:cs="Arial"/>
          <w:lang w:val="es-ES_tradnl"/>
        </w:rPr>
      </w:pPr>
    </w:p>
    <w:p w14:paraId="0A03D529" w14:textId="77777777" w:rsidR="00CE7CA5" w:rsidRDefault="00C02156"/>
    <w:sectPr w:rsidR="00CE7CA5" w:rsidSect="005D791B">
      <w:headerReference w:type="default" r:id="rId16"/>
      <w:footerReference w:type="defaul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9134E" w14:textId="77777777" w:rsidR="00C02156" w:rsidRDefault="00C02156" w:rsidP="00C02156">
      <w:r>
        <w:separator/>
      </w:r>
    </w:p>
  </w:endnote>
  <w:endnote w:type="continuationSeparator" w:id="0">
    <w:p w14:paraId="14649282" w14:textId="77777777" w:rsidR="00C02156" w:rsidRDefault="00C02156" w:rsidP="00C02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DE674" w14:textId="77777777" w:rsidR="003D3D44" w:rsidRDefault="00C02156" w:rsidP="00322937">
    <w:pPr>
      <w:pStyle w:val="Sinespaciado"/>
      <w:jc w:val="right"/>
      <w:rPr>
        <w:rFonts w:ascii="Arial" w:hAnsi="Arial" w:cs="Arial"/>
        <w:sz w:val="18"/>
        <w:szCs w:val="18"/>
      </w:rPr>
    </w:pPr>
  </w:p>
  <w:p w14:paraId="1B9EC94F" w14:textId="77777777" w:rsidR="003D3D44" w:rsidRPr="008217B7" w:rsidRDefault="00C0215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359D9505" w14:textId="77777777" w:rsidR="003D3D44" w:rsidRDefault="00C02156" w:rsidP="00322937">
    <w:pPr>
      <w:pStyle w:val="Piedepgina"/>
      <w:jc w:val="center"/>
      <w:rPr>
        <w:lang w:val="es-ES"/>
      </w:rPr>
    </w:pPr>
    <w:r>
      <w:rPr>
        <w:noProof/>
        <w:lang w:val="es-ES_tradnl" w:eastAsia="es-ES_tradnl"/>
      </w:rPr>
      <w:drawing>
        <wp:inline distT="0" distB="0" distL="0" distR="0" wp14:anchorId="0FF35679" wp14:editId="05490EDE">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96AB8EE" w14:textId="77777777" w:rsidR="003D3D44" w:rsidRDefault="00C02156" w:rsidP="007B0854">
    <w:pPr>
      <w:pStyle w:val="Piedepgina"/>
      <w:jc w:val="center"/>
      <w:rPr>
        <w:lang w:val="es-ES"/>
      </w:rPr>
    </w:pPr>
  </w:p>
  <w:p w14:paraId="0E4573AE" w14:textId="77777777" w:rsidR="003D3D44" w:rsidRPr="007B0854" w:rsidRDefault="00C0215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0CE8D8" w14:textId="77777777" w:rsidR="00C02156" w:rsidRDefault="00C02156" w:rsidP="00C02156">
      <w:r>
        <w:separator/>
      </w:r>
    </w:p>
  </w:footnote>
  <w:footnote w:type="continuationSeparator" w:id="0">
    <w:p w14:paraId="762D655A" w14:textId="77777777" w:rsidR="00C02156" w:rsidRDefault="00C02156" w:rsidP="00C02156">
      <w:r>
        <w:continuationSeparator/>
      </w:r>
    </w:p>
  </w:footnote>
  <w:footnote w:id="1">
    <w:p w14:paraId="5ECC02E2" w14:textId="77777777" w:rsidR="00C02156" w:rsidRPr="002E060B" w:rsidRDefault="00C02156" w:rsidP="00C02156">
      <w:pPr>
        <w:pStyle w:val="Textonotapie"/>
        <w:ind w:firstLine="709"/>
        <w:jc w:val="both"/>
        <w:rPr>
          <w:rFonts w:ascii="Arial" w:hAnsi="Arial" w:cs="Arial"/>
          <w:sz w:val="18"/>
          <w:szCs w:val="18"/>
          <w:lang w:val="es-ES"/>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lang w:val="es-ES"/>
        </w:rPr>
        <w:t>BOBBIO, Norberto. Democracia y secreto. México: Fondo de Cultura Económica, 2013. p. 27.</w:t>
      </w:r>
    </w:p>
  </w:footnote>
  <w:footnote w:id="2">
    <w:p w14:paraId="539786B2" w14:textId="77777777" w:rsidR="00C02156" w:rsidRPr="002E060B" w:rsidRDefault="00C02156" w:rsidP="00C02156">
      <w:pPr>
        <w:pStyle w:val="Textonotapie"/>
        <w:ind w:firstLine="709"/>
        <w:jc w:val="both"/>
        <w:rPr>
          <w:rFonts w:ascii="Arial" w:hAnsi="Arial" w:cs="Arial"/>
          <w:color w:val="000000" w:themeColor="text1"/>
          <w:sz w:val="18"/>
          <w:szCs w:val="18"/>
        </w:rPr>
      </w:pPr>
    </w:p>
    <w:p w14:paraId="77173865"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Corte Constitucional. Sentencia C- 341 del 4 de junio de 2014. M. P. Mauricio González Cuervo.</w:t>
      </w:r>
    </w:p>
    <w:p w14:paraId="50DB83CF" w14:textId="77777777" w:rsidR="00C02156" w:rsidRPr="002E060B" w:rsidRDefault="00C02156" w:rsidP="00C02156">
      <w:pPr>
        <w:pStyle w:val="Textonotapie"/>
        <w:ind w:firstLine="709"/>
        <w:jc w:val="both"/>
        <w:rPr>
          <w:rFonts w:ascii="Arial" w:hAnsi="Arial" w:cs="Arial"/>
          <w:color w:val="000000" w:themeColor="text1"/>
          <w:sz w:val="18"/>
          <w:szCs w:val="18"/>
        </w:rPr>
      </w:pPr>
    </w:p>
  </w:footnote>
  <w:footnote w:id="3">
    <w:p w14:paraId="105C85A0"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87F1468"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»Lo anterior, sin perjuicio de las publicaciones previstas en el numeral 3 del artículo 30 de la Ley 80 de 1993.</w:t>
      </w:r>
    </w:p>
    <w:p w14:paraId="4E3EA5FC"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547283F8"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w:t>
      </w:r>
    </w:p>
    <w:p w14:paraId="483DAF9D"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0186F0CE" w14:textId="77777777" w:rsidR="00C02156" w:rsidRPr="002E060B" w:rsidRDefault="00C02156" w:rsidP="00C02156">
      <w:pPr>
        <w:pStyle w:val="Textonotapie"/>
        <w:ind w:firstLine="709"/>
        <w:jc w:val="both"/>
        <w:rPr>
          <w:rFonts w:ascii="Arial" w:hAnsi="Arial" w:cs="Arial"/>
          <w:color w:val="000000" w:themeColor="text1"/>
          <w:sz w:val="18"/>
          <w:szCs w:val="18"/>
          <w:lang w:val="es-CO"/>
        </w:rPr>
      </w:pPr>
    </w:p>
  </w:footnote>
  <w:footnote w:id="4">
    <w:p w14:paraId="30D0CF5A"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55AF723B" w14:textId="77777777" w:rsidR="00C02156" w:rsidRPr="002E060B" w:rsidRDefault="00C02156" w:rsidP="00C02156">
      <w:pPr>
        <w:pStyle w:val="Textonotapie"/>
        <w:ind w:firstLine="709"/>
        <w:jc w:val="both"/>
        <w:rPr>
          <w:rFonts w:ascii="Arial" w:hAnsi="Arial" w:cs="Arial"/>
          <w:color w:val="000000" w:themeColor="text1"/>
          <w:sz w:val="18"/>
          <w:szCs w:val="18"/>
          <w:lang w:val="es-CO"/>
        </w:rPr>
      </w:pPr>
    </w:p>
  </w:footnote>
  <w:footnote w:id="5">
    <w:p w14:paraId="46BE322A"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1712 de 2014: «Artículo 5. Ámbito de aplicación. Las disposiciones de esta ley serán aplicables a las siguientes personas en calidad de sujetos obligados: </w:t>
      </w:r>
    </w:p>
    <w:p w14:paraId="099746A2"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0B7D725F" w14:textId="77777777" w:rsidR="00C02156" w:rsidRPr="002E060B" w:rsidRDefault="00C02156" w:rsidP="00C02156">
      <w:pPr>
        <w:pStyle w:val="Textonotapie"/>
        <w:ind w:firstLine="709"/>
        <w:jc w:val="both"/>
        <w:rPr>
          <w:rFonts w:ascii="Arial" w:hAnsi="Arial" w:cs="Arial"/>
          <w:color w:val="000000" w:themeColor="text1"/>
          <w:sz w:val="18"/>
          <w:szCs w:val="18"/>
          <w:lang w:val="es-CO"/>
        </w:rPr>
      </w:pPr>
    </w:p>
  </w:footnote>
  <w:footnote w:id="6">
    <w:p w14:paraId="66995EDB"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Fonts w:ascii="Arial" w:eastAsia="Times New Roman" w:hAnsi="Arial" w:cs="Arial"/>
          <w:color w:val="000000" w:themeColor="text1"/>
          <w:sz w:val="18"/>
          <w:szCs w:val="18"/>
          <w:vertAlign w:val="superscript"/>
          <w:lang w:val="es-ES" w:eastAsia="es-ES"/>
        </w:rPr>
        <w:footnoteRef/>
      </w:r>
      <w:r w:rsidRPr="002E060B">
        <w:rPr>
          <w:rFonts w:ascii="Arial" w:eastAsia="Times New Roman" w:hAnsi="Arial" w:cs="Arial"/>
          <w:color w:val="000000" w:themeColor="text1"/>
          <w:sz w:val="18"/>
          <w:szCs w:val="18"/>
          <w:vertAlign w:val="superscript"/>
          <w:lang w:val="es-ES" w:eastAsia="es-ES"/>
        </w:rPr>
        <w:t xml:space="preserve"> </w:t>
      </w:r>
      <w:r w:rsidRPr="002E060B">
        <w:rPr>
          <w:rFonts w:ascii="Arial" w:eastAsia="Times New Roman" w:hAnsi="Arial" w:cs="Arial"/>
          <w:color w:val="000000" w:themeColor="text1"/>
          <w:sz w:val="18"/>
          <w:szCs w:val="18"/>
          <w:lang w:val="es-ES" w:eastAsia="es-ES"/>
        </w:rPr>
        <w:t>«</w:t>
      </w:r>
      <w:r w:rsidRPr="002E060B">
        <w:rPr>
          <w:rFonts w:ascii="Arial" w:hAnsi="Arial"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4D8E82E" w14:textId="77777777" w:rsidR="00C02156" w:rsidRPr="002E060B" w:rsidRDefault="00C02156" w:rsidP="00C02156">
      <w:pPr>
        <w:pStyle w:val="Textonotapie"/>
        <w:ind w:firstLine="709"/>
        <w:jc w:val="both"/>
        <w:rPr>
          <w:rFonts w:ascii="Arial" w:eastAsia="Times New Roman" w:hAnsi="Arial" w:cs="Arial"/>
          <w:color w:val="000000" w:themeColor="text1"/>
          <w:sz w:val="18"/>
          <w:szCs w:val="18"/>
          <w:lang w:val="es-ES" w:eastAsia="es-ES"/>
        </w:rPr>
      </w:pPr>
      <w:r w:rsidRPr="002E060B">
        <w:rPr>
          <w:rFonts w:ascii="Arial" w:hAnsi="Arial" w:cs="Arial"/>
          <w:color w:val="000000" w:themeColor="text1"/>
          <w:sz w:val="18"/>
          <w:szCs w:val="18"/>
        </w:rPr>
        <w:t>[…].</w:t>
      </w:r>
    </w:p>
    <w:p w14:paraId="304FE06A" w14:textId="77777777" w:rsidR="00C02156" w:rsidRPr="002E060B" w:rsidRDefault="00C02156" w:rsidP="00C02156">
      <w:pPr>
        <w:pStyle w:val="Textonotapie"/>
        <w:ind w:firstLine="709"/>
        <w:jc w:val="both"/>
        <w:rPr>
          <w:rFonts w:ascii="Arial" w:eastAsia="Times New Roman" w:hAnsi="Arial" w:cs="Arial"/>
          <w:color w:val="000000" w:themeColor="text1"/>
          <w:sz w:val="18"/>
          <w:szCs w:val="18"/>
          <w:lang w:val="es-ES" w:eastAsia="es-ES"/>
        </w:rPr>
      </w:pPr>
      <w:r w:rsidRPr="002E060B">
        <w:rPr>
          <w:rFonts w:ascii="Arial" w:eastAsia="Times New Roman" w:hAnsi="Arial" w:cs="Arial"/>
          <w:color w:val="000000" w:themeColor="text1"/>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036102BA" w14:textId="77777777" w:rsidR="00C02156" w:rsidRPr="002E060B" w:rsidRDefault="00C02156" w:rsidP="00C02156">
      <w:pPr>
        <w:pStyle w:val="Textonotapie"/>
        <w:ind w:firstLine="709"/>
        <w:jc w:val="both"/>
        <w:rPr>
          <w:rFonts w:ascii="Arial" w:eastAsia="Times New Roman" w:hAnsi="Arial" w:cs="Arial"/>
          <w:color w:val="000000" w:themeColor="text1"/>
          <w:sz w:val="18"/>
          <w:szCs w:val="18"/>
          <w:lang w:val="es-ES" w:eastAsia="es-ES"/>
        </w:rPr>
      </w:pPr>
    </w:p>
  </w:footnote>
  <w:footnote w:id="7">
    <w:p w14:paraId="3BB2403C"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w:t>
      </w:r>
      <w:r w:rsidRPr="002E060B">
        <w:rPr>
          <w:rFonts w:ascii="Arial" w:eastAsia="Times New Roman" w:hAnsi="Arial" w:cs="Arial"/>
          <w:color w:val="000000" w:themeColor="text1"/>
          <w:sz w:val="18"/>
          <w:szCs w:val="18"/>
          <w:lang w:val="es-ES" w:eastAsia="es-ES"/>
        </w:rPr>
        <w:t xml:space="preserve">orte Constitucional. Sentencia C‒274 de 9 de mayo de 2013. M.P. María Victoria Calle Correa. </w:t>
      </w:r>
    </w:p>
    <w:p w14:paraId="40570D25" w14:textId="77777777" w:rsidR="00C02156" w:rsidRPr="002E060B" w:rsidRDefault="00C02156" w:rsidP="00C02156">
      <w:pPr>
        <w:pStyle w:val="Textonotapie"/>
        <w:ind w:firstLine="709"/>
        <w:jc w:val="both"/>
        <w:rPr>
          <w:rFonts w:ascii="Arial" w:hAnsi="Arial" w:cs="Arial"/>
          <w:color w:val="000000" w:themeColor="text1"/>
          <w:sz w:val="18"/>
          <w:szCs w:val="18"/>
          <w:lang w:val="es-CO"/>
        </w:rPr>
      </w:pPr>
    </w:p>
  </w:footnote>
  <w:footnote w:id="8">
    <w:p w14:paraId="66A02BFE"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9C48A2A" w14:textId="77777777" w:rsidR="00C02156" w:rsidRPr="002E060B" w:rsidRDefault="00C02156" w:rsidP="00C02156">
      <w:pPr>
        <w:pStyle w:val="Textonotapie"/>
        <w:ind w:firstLine="709"/>
        <w:jc w:val="both"/>
        <w:rPr>
          <w:rFonts w:ascii="Arial" w:hAnsi="Arial" w:cs="Arial"/>
          <w:color w:val="000000" w:themeColor="text1"/>
          <w:sz w:val="18"/>
          <w:szCs w:val="18"/>
          <w:lang w:val="es-CO"/>
        </w:rPr>
      </w:pPr>
    </w:p>
  </w:footnote>
  <w:footnote w:id="9">
    <w:p w14:paraId="73F52D65" w14:textId="77777777" w:rsidR="00C02156" w:rsidRPr="002E060B" w:rsidRDefault="00C02156" w:rsidP="00C02156">
      <w:pPr>
        <w:pStyle w:val="Textonotapie"/>
        <w:ind w:firstLine="709"/>
        <w:jc w:val="both"/>
        <w:rPr>
          <w:rFonts w:ascii="Arial" w:hAnsi="Arial" w:cs="Arial"/>
          <w:sz w:val="18"/>
          <w:szCs w:val="18"/>
          <w:lang w:val="es-ES"/>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color w:val="000000" w:themeColor="text1"/>
          <w:sz w:val="18"/>
          <w:szCs w:val="18"/>
          <w:lang w:val="es-ES"/>
        </w:rPr>
        <w:t>Consejero Ponente: Jaime Orlando Santofimio Gamboa.</w:t>
      </w:r>
    </w:p>
  </w:footnote>
  <w:footnote w:id="10">
    <w:p w14:paraId="1FDB681D" w14:textId="77777777" w:rsidR="00C02156" w:rsidRPr="002E060B" w:rsidRDefault="00C02156" w:rsidP="00C02156">
      <w:pPr>
        <w:pStyle w:val="Textonotapie"/>
        <w:ind w:firstLine="709"/>
        <w:jc w:val="both"/>
        <w:rPr>
          <w:rFonts w:ascii="Arial" w:hAnsi="Arial" w:cs="Arial"/>
          <w:color w:val="000000" w:themeColor="text1"/>
          <w:sz w:val="18"/>
          <w:szCs w:val="18"/>
        </w:rPr>
      </w:pPr>
    </w:p>
    <w:p w14:paraId="3F35F415"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Consejo de Estado. Sección Tercera. Subsección C. Auto del 14 de agosto de 2017. Exp. 58.820. C.P. Jaime Orlando Santofimio Gamboa. </w:t>
      </w:r>
    </w:p>
    <w:p w14:paraId="13E1916A" w14:textId="77777777" w:rsidR="00C02156" w:rsidRPr="002E060B" w:rsidRDefault="00C02156" w:rsidP="00C02156">
      <w:pPr>
        <w:pStyle w:val="Textonotapie"/>
        <w:ind w:firstLine="709"/>
        <w:jc w:val="both"/>
        <w:rPr>
          <w:rFonts w:ascii="Arial" w:hAnsi="Arial" w:cs="Arial"/>
          <w:color w:val="000000" w:themeColor="text1"/>
          <w:sz w:val="18"/>
          <w:szCs w:val="18"/>
          <w:lang w:val="es-CO"/>
        </w:rPr>
      </w:pPr>
    </w:p>
  </w:footnote>
  <w:footnote w:id="11">
    <w:p w14:paraId="4F94436F" w14:textId="77777777" w:rsidR="00C02156" w:rsidRPr="002E060B" w:rsidRDefault="00C02156" w:rsidP="00C02156">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Ibíd. </w:t>
      </w:r>
    </w:p>
  </w:footnote>
  <w:footnote w:id="12">
    <w:p w14:paraId="05EBCE72" w14:textId="77777777" w:rsidR="00C02156" w:rsidRPr="002E060B" w:rsidRDefault="00C02156" w:rsidP="00C02156">
      <w:pPr>
        <w:pStyle w:val="Textonotapie"/>
        <w:ind w:firstLine="709"/>
        <w:jc w:val="both"/>
        <w:rPr>
          <w:rFonts w:ascii="Arial" w:hAnsi="Arial" w:cs="Arial"/>
          <w:sz w:val="18"/>
          <w:szCs w:val="18"/>
        </w:rPr>
      </w:pPr>
    </w:p>
    <w:p w14:paraId="425BAC14" w14:textId="77777777" w:rsidR="00C02156" w:rsidRPr="002E060B" w:rsidRDefault="00C02156" w:rsidP="00C02156">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Consejo de Estado. Sección Tercera. Subsección B. Auto del 25 de febrero de 2021. Consejero Ponente: Martín Bermúdez Muñoz. Expedientes acumulados: 56.151, 56.160, 56.162, 56.163 y 58.711.</w:t>
      </w:r>
    </w:p>
    <w:p w14:paraId="51E54BBD" w14:textId="77777777" w:rsidR="00C02156" w:rsidRPr="002E060B" w:rsidRDefault="00C02156" w:rsidP="00C02156">
      <w:pPr>
        <w:pStyle w:val="Textonotapie"/>
        <w:ind w:firstLine="709"/>
        <w:jc w:val="both"/>
        <w:rPr>
          <w:rFonts w:ascii="Arial" w:hAnsi="Arial" w:cs="Arial"/>
          <w:sz w:val="18"/>
          <w:szCs w:val="18"/>
          <w:lang w:val="es-ES_tradnl"/>
        </w:rPr>
      </w:pPr>
    </w:p>
  </w:footnote>
  <w:footnote w:id="13">
    <w:p w14:paraId="64976EA5" w14:textId="77777777" w:rsidR="00C02156" w:rsidRPr="002E060B" w:rsidRDefault="00C02156" w:rsidP="00C02156">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Esta norma establece: «La jurisdicción de lo contencioso administrativo podrá suspender provisionalmente, por los motivos y con los requisitos que establezca la ley, los efectos de los actos administrativos que sean susceptibles de impugnación por vía judicial».</w:t>
      </w:r>
    </w:p>
    <w:p w14:paraId="207C99BE" w14:textId="77777777" w:rsidR="00C02156" w:rsidRPr="002E060B" w:rsidRDefault="00C02156" w:rsidP="00C02156">
      <w:pPr>
        <w:pStyle w:val="Textonotapie"/>
        <w:ind w:firstLine="709"/>
        <w:jc w:val="both"/>
        <w:rPr>
          <w:rFonts w:ascii="Arial" w:hAnsi="Arial" w:cs="Arial"/>
          <w:sz w:val="18"/>
          <w:szCs w:val="18"/>
          <w:lang w:val="es-CO"/>
        </w:rPr>
      </w:pPr>
    </w:p>
  </w:footnote>
  <w:footnote w:id="14">
    <w:p w14:paraId="6722D3C8" w14:textId="77777777" w:rsidR="00C02156" w:rsidRPr="002E060B" w:rsidRDefault="00C02156" w:rsidP="00C02156">
      <w:pPr>
        <w:ind w:firstLine="709"/>
        <w:jc w:val="both"/>
        <w:rPr>
          <w:rFonts w:ascii="Arial" w:eastAsiaTheme="minorHAnsi" w:hAnsi="Arial" w:cs="Arial"/>
          <w:sz w:val="18"/>
          <w:szCs w:val="18"/>
          <w:lang w:val="es-MX" w:eastAsia="en-US"/>
        </w:rPr>
      </w:pPr>
      <w:r w:rsidRPr="002E060B">
        <w:rPr>
          <w:rStyle w:val="Refdenotaalpie"/>
          <w:rFonts w:ascii="Arial" w:hAnsi="Arial" w:cs="Arial"/>
          <w:sz w:val="18"/>
          <w:szCs w:val="18"/>
        </w:rPr>
        <w:footnoteRef/>
      </w:r>
      <w:r w:rsidRPr="002E060B">
        <w:rPr>
          <w:rFonts w:ascii="Arial" w:hAnsi="Arial" w:cs="Arial"/>
          <w:sz w:val="18"/>
          <w:szCs w:val="18"/>
        </w:rPr>
        <w:t xml:space="preserve"> Este enunciado normativo dispone que «</w:t>
      </w:r>
      <w:r w:rsidRPr="002E060B">
        <w:rPr>
          <w:rFonts w:ascii="Arial" w:eastAsiaTheme="minorHAnsi" w:hAnsi="Arial" w:cs="Arial"/>
          <w:sz w:val="18"/>
          <w:szCs w:val="18"/>
          <w:lang w:val="es-MX" w:eastAsia="en-US"/>
        </w:rPr>
        <w:t>Las medidas cautelares podrán ser preventivas, conservativas, anticipativas o de suspensión, y deberán tener relación directa y necesaria con las pretensiones de la demanda. Para el efecto, el Juez o Magistrado Ponente podrá decretar una o varias de las siguientes medidas:</w:t>
      </w:r>
    </w:p>
    <w:p w14:paraId="3E237D9E" w14:textId="77777777" w:rsidR="00C02156" w:rsidRPr="002E060B" w:rsidRDefault="00C02156" w:rsidP="00C02156">
      <w:pPr>
        <w:ind w:firstLine="709"/>
        <w:jc w:val="both"/>
        <w:rPr>
          <w:rFonts w:ascii="Arial" w:eastAsiaTheme="minorHAnsi" w:hAnsi="Arial" w:cs="Arial"/>
          <w:sz w:val="18"/>
          <w:szCs w:val="18"/>
          <w:lang w:val="es-MX" w:eastAsia="en-US"/>
        </w:rPr>
      </w:pPr>
      <w:r w:rsidRPr="002E060B">
        <w:rPr>
          <w:rFonts w:ascii="Arial" w:eastAsiaTheme="minorHAnsi" w:hAnsi="Arial" w:cs="Arial"/>
          <w:sz w:val="18"/>
          <w:szCs w:val="18"/>
          <w:lang w:val="es-MX" w:eastAsia="en-US"/>
        </w:rPr>
        <w:t>»[…]</w:t>
      </w:r>
    </w:p>
    <w:p w14:paraId="7296E7B1" w14:textId="77777777" w:rsidR="00C02156" w:rsidRPr="002E060B" w:rsidRDefault="00C02156" w:rsidP="00C02156">
      <w:pPr>
        <w:shd w:val="clear" w:color="auto" w:fill="FFFFFF"/>
        <w:ind w:firstLine="709"/>
        <w:jc w:val="both"/>
        <w:rPr>
          <w:rFonts w:ascii="Arial" w:hAnsi="Arial" w:cs="Arial"/>
          <w:color w:val="333333"/>
          <w:sz w:val="18"/>
          <w:szCs w:val="18"/>
        </w:rPr>
      </w:pPr>
      <w:r w:rsidRPr="002E060B">
        <w:rPr>
          <w:rFonts w:ascii="Arial" w:hAnsi="Arial" w:cs="Arial"/>
          <w:color w:val="333333"/>
          <w:sz w:val="18"/>
          <w:szCs w:val="18"/>
        </w:rPr>
        <w:t>»3. Suspender provisionalmente los efectos de un acto administrativo.</w:t>
      </w:r>
    </w:p>
    <w:p w14:paraId="22437494" w14:textId="77777777" w:rsidR="00C02156" w:rsidRPr="002E060B" w:rsidRDefault="00C02156" w:rsidP="00C02156">
      <w:pPr>
        <w:shd w:val="clear" w:color="auto" w:fill="FFFFFF"/>
        <w:ind w:firstLine="709"/>
        <w:jc w:val="both"/>
        <w:rPr>
          <w:rFonts w:ascii="Arial" w:hAnsi="Arial" w:cs="Arial"/>
          <w:color w:val="333333"/>
          <w:sz w:val="18"/>
          <w:szCs w:val="18"/>
        </w:rPr>
      </w:pPr>
      <w:r w:rsidRPr="002E060B">
        <w:rPr>
          <w:rFonts w:ascii="Arial" w:hAnsi="Arial" w:cs="Arial"/>
          <w:color w:val="333333"/>
          <w:sz w:val="18"/>
          <w:szCs w:val="18"/>
        </w:rPr>
        <w:t>»[…]».</w:t>
      </w:r>
    </w:p>
    <w:p w14:paraId="10DC0E3C" w14:textId="77777777" w:rsidR="00C02156" w:rsidRPr="002E060B" w:rsidRDefault="00C02156" w:rsidP="00C02156">
      <w:pPr>
        <w:pStyle w:val="Textonotapie"/>
        <w:ind w:firstLine="709"/>
        <w:jc w:val="both"/>
        <w:rPr>
          <w:rFonts w:ascii="Arial" w:hAnsi="Arial" w:cs="Arial"/>
          <w:sz w:val="18"/>
          <w:szCs w:val="18"/>
          <w:lang w:val="es-CO"/>
        </w:rPr>
      </w:pPr>
    </w:p>
  </w:footnote>
  <w:footnote w:id="15">
    <w:p w14:paraId="651ADDAD" w14:textId="77777777" w:rsidR="00C02156" w:rsidRPr="002E060B" w:rsidRDefault="00C02156" w:rsidP="00C02156">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En efecto, el artículo 91 de la Ley 1437 de 2011 dice que «Salvo norma expresa en contrario, los actos administrativos en firme serán obligatorios mientras no hayan sido anulados por la Jurisdicción de lo Contencioso Administrativo. Perderán obligatoriedad y, por lo tanto, no podrán ser ejecutados en los siguientes casos:</w:t>
      </w:r>
    </w:p>
    <w:p w14:paraId="52B7136F" w14:textId="77777777" w:rsidR="00C02156" w:rsidRPr="002E060B" w:rsidRDefault="00C02156" w:rsidP="00C02156">
      <w:pPr>
        <w:pStyle w:val="Textonotapie"/>
        <w:ind w:firstLine="709"/>
        <w:jc w:val="both"/>
        <w:rPr>
          <w:rFonts w:ascii="Arial" w:hAnsi="Arial" w:cs="Arial"/>
          <w:sz w:val="18"/>
          <w:szCs w:val="18"/>
        </w:rPr>
      </w:pPr>
      <w:r w:rsidRPr="002E060B">
        <w:rPr>
          <w:rFonts w:ascii="Arial" w:hAnsi="Arial" w:cs="Arial"/>
          <w:sz w:val="18"/>
          <w:szCs w:val="18"/>
        </w:rPr>
        <w:t>1. Cuando sean suspendidos provisionalmente sus efectos por la Jurisdicción de lo Contencioso Administrativo.</w:t>
      </w:r>
    </w:p>
    <w:p w14:paraId="54715E24" w14:textId="77777777" w:rsidR="00C02156" w:rsidRPr="002E060B" w:rsidRDefault="00C02156" w:rsidP="00C02156">
      <w:pPr>
        <w:pStyle w:val="Textonotapie"/>
        <w:ind w:firstLine="709"/>
        <w:jc w:val="both"/>
        <w:rPr>
          <w:rFonts w:ascii="Arial" w:hAnsi="Arial" w:cs="Arial"/>
          <w:sz w:val="18"/>
          <w:szCs w:val="18"/>
        </w:rPr>
      </w:pPr>
      <w:r w:rsidRPr="002E060B">
        <w:rPr>
          <w:rFonts w:ascii="Arial" w:hAnsi="Arial" w:cs="Arial"/>
          <w:sz w:val="18"/>
          <w:szCs w:val="18"/>
        </w:rPr>
        <w:t xml:space="preserve">[…]». </w:t>
      </w:r>
    </w:p>
  </w:footnote>
  <w:footnote w:id="16">
    <w:p w14:paraId="1C357C99" w14:textId="77777777" w:rsidR="00C02156" w:rsidRPr="002E060B" w:rsidRDefault="00C02156" w:rsidP="00C02156">
      <w:pPr>
        <w:pStyle w:val="Textonotapie"/>
        <w:ind w:firstLine="709"/>
        <w:jc w:val="both"/>
        <w:rPr>
          <w:rFonts w:ascii="Arial" w:hAnsi="Arial" w:cs="Arial"/>
          <w:sz w:val="18"/>
          <w:szCs w:val="18"/>
        </w:rPr>
      </w:pPr>
    </w:p>
    <w:p w14:paraId="4AF9B42D" w14:textId="77777777" w:rsidR="00C02156" w:rsidRPr="002E060B" w:rsidRDefault="00C02156" w:rsidP="00C02156">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En sitio web:</w:t>
      </w:r>
    </w:p>
    <w:p w14:paraId="6881FDD5" w14:textId="77777777" w:rsidR="00C02156" w:rsidRPr="002E060B" w:rsidRDefault="00C02156" w:rsidP="00C02156">
      <w:pPr>
        <w:pStyle w:val="Textonotapie"/>
        <w:jc w:val="both"/>
        <w:rPr>
          <w:rFonts w:ascii="Arial" w:hAnsi="Arial" w:cs="Arial"/>
          <w:sz w:val="18"/>
          <w:szCs w:val="18"/>
        </w:rPr>
      </w:pPr>
      <w:r w:rsidRPr="002E060B">
        <w:rPr>
          <w:rFonts w:ascii="Arial" w:hAnsi="Arial" w:cs="Arial"/>
          <w:sz w:val="18"/>
          <w:szCs w:val="18"/>
        </w:rPr>
        <w:t>https://www.colombiacompra.gov.co/sites/cce_public/files/cce_circulares/cce_circular_unica.pdf</w:t>
      </w:r>
    </w:p>
  </w:footnote>
  <w:footnote w:id="17">
    <w:p w14:paraId="5DF3CC43" w14:textId="77777777" w:rsidR="00C02156" w:rsidRPr="002E060B" w:rsidRDefault="00C02156" w:rsidP="00C02156">
      <w:pPr>
        <w:pStyle w:val="Textonotapie"/>
        <w:ind w:firstLine="709"/>
        <w:jc w:val="both"/>
        <w:rPr>
          <w:rFonts w:ascii="Arial" w:hAnsi="Arial" w:cs="Arial"/>
          <w:sz w:val="18"/>
          <w:szCs w:val="18"/>
        </w:rPr>
      </w:pPr>
    </w:p>
    <w:p w14:paraId="6CF01827" w14:textId="77777777" w:rsidR="00C02156" w:rsidRPr="002E060B" w:rsidRDefault="00C02156" w:rsidP="00C02156">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En sitio web:</w:t>
      </w:r>
    </w:p>
    <w:p w14:paraId="51DB8CFF" w14:textId="77777777" w:rsidR="00C02156" w:rsidRPr="002E060B" w:rsidRDefault="00C02156" w:rsidP="00C02156">
      <w:pPr>
        <w:pStyle w:val="Textonotapie"/>
        <w:ind w:firstLine="709"/>
        <w:jc w:val="both"/>
        <w:rPr>
          <w:rFonts w:ascii="Arial" w:hAnsi="Arial" w:cs="Arial"/>
          <w:sz w:val="18"/>
          <w:szCs w:val="18"/>
        </w:rPr>
      </w:pPr>
      <w:r w:rsidRPr="002E060B">
        <w:rPr>
          <w:rFonts w:ascii="Arial" w:hAnsi="Arial" w:cs="Arial"/>
          <w:sz w:val="18"/>
          <w:szCs w:val="18"/>
        </w:rPr>
        <w:t>https://www.colombiacompra.gov.co/sites/cce_public/files/cce_circulares/circular_007_de_2020_uso_secop.pdf</w:t>
      </w:r>
    </w:p>
  </w:footnote>
  <w:footnote w:id="18">
    <w:p w14:paraId="6EBD0427" w14:textId="77777777" w:rsidR="00C02156" w:rsidRPr="002E060B" w:rsidRDefault="00C02156" w:rsidP="00C02156">
      <w:pPr>
        <w:pStyle w:val="Textonotapie"/>
        <w:ind w:firstLine="709"/>
        <w:jc w:val="both"/>
        <w:rPr>
          <w:rFonts w:ascii="Arial" w:hAnsi="Arial" w:cs="Arial"/>
          <w:sz w:val="18"/>
          <w:szCs w:val="18"/>
        </w:rPr>
      </w:pPr>
    </w:p>
    <w:p w14:paraId="64552D20" w14:textId="77777777" w:rsidR="00C02156" w:rsidRPr="002E060B" w:rsidRDefault="00C02156" w:rsidP="00C02156">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En sitio web:</w:t>
      </w:r>
    </w:p>
    <w:p w14:paraId="32B10043" w14:textId="77777777" w:rsidR="00C02156" w:rsidRPr="002E060B" w:rsidRDefault="00C02156" w:rsidP="00C02156">
      <w:pPr>
        <w:pStyle w:val="Textonotapie"/>
        <w:ind w:firstLine="709"/>
        <w:jc w:val="both"/>
        <w:rPr>
          <w:rFonts w:ascii="Arial" w:hAnsi="Arial" w:cs="Arial"/>
          <w:sz w:val="18"/>
          <w:szCs w:val="18"/>
        </w:rPr>
      </w:pPr>
      <w:r w:rsidRPr="002E060B">
        <w:rPr>
          <w:rFonts w:ascii="Arial" w:hAnsi="Arial" w:cs="Arial"/>
          <w:sz w:val="18"/>
          <w:szCs w:val="18"/>
        </w:rPr>
        <w:t>https://www.colombiacompra.gov.co/sites/cce_public/files/cce_circulares/20170316circularinformacion.pdf</w:t>
      </w:r>
    </w:p>
  </w:footnote>
  <w:footnote w:id="19">
    <w:p w14:paraId="4B63E9CC" w14:textId="77777777" w:rsidR="00C02156" w:rsidRPr="002E060B" w:rsidRDefault="00C02156" w:rsidP="00C02156">
      <w:pPr>
        <w:pStyle w:val="Textonotapie"/>
        <w:ind w:firstLine="709"/>
        <w:jc w:val="both"/>
        <w:rPr>
          <w:rFonts w:ascii="Arial" w:hAnsi="Arial" w:cs="Arial"/>
          <w:sz w:val="18"/>
          <w:szCs w:val="18"/>
        </w:rPr>
      </w:pPr>
    </w:p>
    <w:p w14:paraId="530D20AF" w14:textId="77777777" w:rsidR="00C02156" w:rsidRPr="002E060B" w:rsidRDefault="00C02156" w:rsidP="00C02156">
      <w:pPr>
        <w:pStyle w:val="Textonotapie"/>
        <w:ind w:firstLine="709"/>
        <w:jc w:val="both"/>
        <w:rPr>
          <w:rFonts w:ascii="Arial" w:hAnsi="Arial" w:cs="Arial"/>
          <w:sz w:val="18"/>
          <w:szCs w:val="18"/>
          <w:lang w:val="es-ES_tradnl"/>
        </w:rPr>
      </w:pPr>
      <w:r w:rsidRPr="002E060B">
        <w:rPr>
          <w:rStyle w:val="Refdenotaalpie"/>
          <w:rFonts w:ascii="Arial" w:hAnsi="Arial" w:cs="Arial"/>
          <w:sz w:val="18"/>
          <w:szCs w:val="18"/>
        </w:rPr>
        <w:footnoteRef/>
      </w:r>
      <w:r w:rsidRPr="002E060B">
        <w:rPr>
          <w:rFonts w:ascii="Arial" w:hAnsi="Arial" w:cs="Arial"/>
          <w:sz w:val="18"/>
          <w:szCs w:val="18"/>
        </w:rPr>
        <w:t xml:space="preserve"> Consejo de Estado. Sección Tercera. Subsección B. Auto del 25 de febrero de 2021. Consejero Ponente: Martín Bermúdez Muñoz. Expedientes acumulados: 56.151, 56.160, 56.162, 56.163 y 58.711.</w:t>
      </w:r>
    </w:p>
  </w:footnote>
  <w:footnote w:id="20">
    <w:p w14:paraId="39ABB0CB" w14:textId="77777777" w:rsidR="00C02156" w:rsidRPr="002E060B" w:rsidRDefault="00C02156" w:rsidP="00C02156">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Ibíd.</w:t>
      </w:r>
    </w:p>
    <w:p w14:paraId="0AAA1FB6" w14:textId="77777777" w:rsidR="00C02156" w:rsidRPr="002E060B" w:rsidRDefault="00C02156" w:rsidP="00C02156">
      <w:pPr>
        <w:pStyle w:val="Textonotapie"/>
        <w:ind w:firstLine="709"/>
        <w:jc w:val="both"/>
        <w:rPr>
          <w:rFonts w:ascii="Arial" w:hAnsi="Arial" w:cs="Arial"/>
          <w:sz w:val="18"/>
          <w:szCs w:val="18"/>
        </w:rPr>
      </w:pPr>
    </w:p>
  </w:footnote>
  <w:footnote w:id="21">
    <w:p w14:paraId="3B8F32EE" w14:textId="77777777" w:rsidR="00C02156" w:rsidRPr="002E060B" w:rsidRDefault="00C02156" w:rsidP="00C02156">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Ibíd.</w:t>
      </w:r>
    </w:p>
  </w:footnote>
  <w:footnote w:id="22">
    <w:p w14:paraId="7FA19592" w14:textId="77777777" w:rsidR="00C02156" w:rsidRPr="002E060B" w:rsidRDefault="00C02156" w:rsidP="00C02156">
      <w:pPr>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El numeral 1.1. de la Circular Externa Única establece que deben publicar en el SECOP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 De manera enunciativa, estas son: las empresas industriales y comerciales del Estado y sociedades de economía mixta en las que el Estado tenga una participación superior al 50% que desarrollen actividades comerciales en competencia con el sector privado y/o público, nacional o internacional o en mercados regulados, empresas de servicios públicos domiciliarios, empresas sociales del Estado, entidades descentralizadas indirectas, entre otras».</w:t>
      </w:r>
    </w:p>
    <w:p w14:paraId="74F3FC52" w14:textId="77777777" w:rsidR="00C02156" w:rsidRPr="002E060B" w:rsidRDefault="00C02156" w:rsidP="00C02156">
      <w:pPr>
        <w:pStyle w:val="Textonotapie"/>
        <w:ind w:firstLine="709"/>
        <w:jc w:val="both"/>
        <w:rPr>
          <w:rFonts w:ascii="Arial" w:hAnsi="Arial" w:cs="Arial"/>
          <w:sz w:val="18"/>
          <w:szCs w:val="18"/>
          <w:lang w:val="es-CO"/>
        </w:rPr>
      </w:pPr>
    </w:p>
  </w:footnote>
  <w:footnote w:id="23">
    <w:p w14:paraId="4F23C069" w14:textId="77777777" w:rsidR="00C02156" w:rsidRPr="002E060B" w:rsidRDefault="00C02156" w:rsidP="00C02156">
      <w:pPr>
        <w:pStyle w:val="Prrafodelista"/>
        <w:ind w:left="0" w:firstLine="709"/>
        <w:jc w:val="both"/>
        <w:rPr>
          <w:rFonts w:ascii="Arial" w:hAnsi="Arial" w:cs="Arial"/>
          <w:bCs/>
          <w:color w:val="000000" w:themeColor="text1"/>
          <w:sz w:val="18"/>
          <w:szCs w:val="18"/>
          <w:lang w:val="es-ES"/>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w:t>
      </w:r>
      <w:r w:rsidRPr="002E060B">
        <w:rPr>
          <w:rFonts w:ascii="Arial" w:hAnsi="Arial" w:cs="Arial"/>
          <w:bCs/>
          <w:color w:val="000000" w:themeColor="text1"/>
          <w:sz w:val="18"/>
          <w:szCs w:val="18"/>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29996845" w14:textId="77777777" w:rsidR="00C02156" w:rsidRPr="002E060B" w:rsidRDefault="00C02156" w:rsidP="00C02156">
      <w:pPr>
        <w:pStyle w:val="Textonotapie"/>
        <w:ind w:firstLine="709"/>
        <w:jc w:val="both"/>
        <w:rPr>
          <w:rFonts w:ascii="Arial" w:hAnsi="Arial" w:cs="Arial"/>
          <w:color w:val="000000" w:themeColor="text1"/>
          <w:sz w:val="18"/>
          <w:szCs w:val="18"/>
          <w:lang w:val="es-ES"/>
        </w:rPr>
      </w:pPr>
    </w:p>
  </w:footnote>
  <w:footnote w:id="24">
    <w:p w14:paraId="7D41D6A9"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61D5090E"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44C93B12" w14:textId="77777777" w:rsidR="00C02156" w:rsidRPr="002E060B" w:rsidRDefault="00C02156" w:rsidP="00C02156">
      <w:pPr>
        <w:pStyle w:val="Textonotapie"/>
        <w:ind w:firstLine="709"/>
        <w:jc w:val="both"/>
        <w:rPr>
          <w:rFonts w:ascii="Arial" w:hAnsi="Arial" w:cs="Arial"/>
          <w:color w:val="000000" w:themeColor="text1"/>
          <w:sz w:val="18"/>
          <w:szCs w:val="18"/>
        </w:rPr>
      </w:pPr>
    </w:p>
  </w:footnote>
  <w:footnote w:id="25">
    <w:p w14:paraId="76EC0B56"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26">
    <w:p w14:paraId="587BCE5D" w14:textId="77777777" w:rsidR="00C02156" w:rsidRPr="002E060B" w:rsidRDefault="00C02156" w:rsidP="00C02156">
      <w:pPr>
        <w:pStyle w:val="Textonotapie"/>
        <w:ind w:firstLine="709"/>
        <w:jc w:val="both"/>
        <w:rPr>
          <w:rFonts w:ascii="Arial" w:hAnsi="Arial" w:cs="Arial"/>
          <w:color w:val="000000" w:themeColor="text1"/>
          <w:sz w:val="18"/>
          <w:szCs w:val="18"/>
        </w:rPr>
      </w:pPr>
    </w:p>
    <w:p w14:paraId="20A8A3D3"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00A1878F" w14:textId="77777777" w:rsidR="00C02156" w:rsidRPr="002E060B" w:rsidRDefault="00C02156" w:rsidP="00C02156">
      <w:pPr>
        <w:pStyle w:val="Textonotapie"/>
        <w:ind w:firstLine="709"/>
        <w:jc w:val="both"/>
        <w:rPr>
          <w:rFonts w:ascii="Arial" w:hAnsi="Arial" w:cs="Arial"/>
          <w:color w:val="000000" w:themeColor="text1"/>
          <w:sz w:val="18"/>
          <w:szCs w:val="18"/>
        </w:rPr>
      </w:pPr>
    </w:p>
  </w:footnote>
  <w:footnote w:id="27">
    <w:p w14:paraId="4FDA2B60"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7FBEE514"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»Los sujetos obligados que no contratan con cargo a recursos públicos no están obligados a publicar su Plan Anual de Adquisiciones.</w:t>
      </w:r>
    </w:p>
    <w:p w14:paraId="59672873"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»Los sujetos obligados que contratan con cargo a recursos públicos y recursos privados, deben publicar en su página web y en el SECOP el Plan Anual de Adquisiciones para los recursos de carácter público que ejecutarán en el año.</w:t>
      </w:r>
    </w:p>
    <w:p w14:paraId="6587AB1A" w14:textId="77777777" w:rsidR="00C02156" w:rsidRPr="002E060B" w:rsidRDefault="00C02156" w:rsidP="00C02156">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»Se entenderá como definición de Plan Anual de Adquisiciones respecto a todos los sujetos obligados que contratan con recursos públicos, la prevista en el artículo 3° del Decreto 1510 de 2013, o el que lo modifique, sustituya o adicione».</w:t>
      </w:r>
    </w:p>
  </w:footnote>
  <w:footnote w:id="28">
    <w:p w14:paraId="20BBF0CB" w14:textId="77777777" w:rsidR="00C02156" w:rsidRPr="002E060B" w:rsidRDefault="00C02156" w:rsidP="00C02156">
      <w:pPr>
        <w:pStyle w:val="Textonotapie"/>
        <w:ind w:firstLine="708"/>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2E060B">
        <w:rPr>
          <w:rFonts w:ascii="Arial" w:hAnsi="Arial" w:cs="Arial"/>
          <w:bCs/>
          <w:i/>
          <w:iCs/>
          <w:color w:val="000000" w:themeColor="text1"/>
          <w:sz w:val="18"/>
          <w:szCs w:val="18"/>
        </w:rPr>
        <w:t>las empresas oficiales de servicios públicos</w:t>
      </w:r>
      <w:r w:rsidRPr="002E060B">
        <w:rPr>
          <w:rFonts w:ascii="Arial" w:hAnsi="Arial" w:cs="Arial"/>
          <w:color w:val="000000" w:themeColor="text1"/>
          <w:sz w:val="18"/>
          <w:szCs w:val="18"/>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 (Énfasis fuera de texto).</w:t>
      </w:r>
    </w:p>
    <w:p w14:paraId="6511683F" w14:textId="77777777" w:rsidR="00C02156" w:rsidRPr="002E060B" w:rsidRDefault="00C02156" w:rsidP="00C02156">
      <w:pPr>
        <w:pStyle w:val="Textonotapie"/>
        <w:ind w:firstLine="708"/>
        <w:jc w:val="both"/>
        <w:rPr>
          <w:rFonts w:ascii="Arial" w:hAnsi="Arial" w:cs="Arial"/>
          <w:color w:val="000000" w:themeColor="text1"/>
          <w:sz w:val="18"/>
          <w:szCs w:val="18"/>
        </w:rPr>
      </w:pPr>
    </w:p>
  </w:footnote>
  <w:footnote w:id="29">
    <w:p w14:paraId="67D9242F" w14:textId="77777777" w:rsidR="00C02156" w:rsidRPr="002E060B" w:rsidRDefault="00C02156" w:rsidP="00C02156">
      <w:pPr>
        <w:pStyle w:val="Textonotapie"/>
        <w:ind w:firstLine="708"/>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Corte Constitucional. Sentencia C-736 de 2007. C.P. Marco Gerardo Monroy Cabra: «Obsérvese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Así las cosas, de manera implícita incluye a las empresas de servicios públicos mixtas o privadas como entidades descentralizadas, por lo cual la Corte no encuentra obstáculo para declarar su constitucionalidad».</w:t>
      </w:r>
    </w:p>
    <w:p w14:paraId="104DFD1D" w14:textId="77777777" w:rsidR="00C02156" w:rsidRPr="002E060B" w:rsidRDefault="00C02156" w:rsidP="00C02156">
      <w:pPr>
        <w:pStyle w:val="Textonotapie"/>
        <w:ind w:firstLine="708"/>
        <w:jc w:val="both"/>
        <w:rPr>
          <w:rFonts w:ascii="Arial" w:hAnsi="Arial" w:cs="Arial"/>
          <w:color w:val="000000" w:themeColor="text1"/>
          <w:sz w:val="18"/>
          <w:szCs w:val="18"/>
          <w:lang w:val="es-ES"/>
        </w:rPr>
      </w:pPr>
    </w:p>
  </w:footnote>
  <w:footnote w:id="30">
    <w:p w14:paraId="1AF3F371" w14:textId="77777777" w:rsidR="00C02156" w:rsidRPr="002E060B" w:rsidRDefault="00C02156" w:rsidP="00C02156">
      <w:pPr>
        <w:pStyle w:val="Textonotapie"/>
        <w:ind w:firstLine="708"/>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i/>
          <w:color w:val="000000" w:themeColor="text1"/>
          <w:sz w:val="18"/>
          <w:szCs w:val="18"/>
        </w:rPr>
        <w:t xml:space="preserve"> </w:t>
      </w:r>
      <w:r w:rsidRPr="002E060B">
        <w:rPr>
          <w:rFonts w:ascii="Arial" w:hAnsi="Arial" w:cs="Arial"/>
          <w:i/>
          <w:iCs/>
          <w:color w:val="000000" w:themeColor="text1"/>
          <w:sz w:val="18"/>
          <w:szCs w:val="18"/>
        </w:rPr>
        <w:t>Ibídem.</w:t>
      </w:r>
      <w:r w:rsidRPr="002E060B">
        <w:rPr>
          <w:rFonts w:ascii="Arial" w:hAnsi="Arial" w:cs="Arial"/>
          <w:color w:val="000000" w:themeColor="text1"/>
          <w:sz w:val="18"/>
          <w:szCs w:val="18"/>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1BCEE87B" w14:textId="77777777" w:rsidR="00C02156" w:rsidRPr="002E060B" w:rsidRDefault="00C02156" w:rsidP="00C02156">
      <w:pPr>
        <w:pStyle w:val="Textonotapie"/>
        <w:ind w:firstLine="708"/>
        <w:jc w:val="both"/>
        <w:rPr>
          <w:rFonts w:ascii="Arial" w:hAnsi="Arial" w:cs="Arial"/>
          <w:color w:val="000000" w:themeColor="text1"/>
          <w:sz w:val="18"/>
          <w:szCs w:val="18"/>
        </w:rPr>
      </w:pPr>
    </w:p>
  </w:footnote>
  <w:footnote w:id="31">
    <w:p w14:paraId="6BB97386" w14:textId="77777777" w:rsidR="00C02156" w:rsidRPr="002E060B" w:rsidRDefault="00C02156" w:rsidP="00C02156">
      <w:pPr>
        <w:pStyle w:val="Textonotapie"/>
        <w:ind w:firstLine="708"/>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La Ley 1150 de 2007, en el artículo 13, dispone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491C867" w14:textId="77777777" w:rsidR="00C02156" w:rsidRPr="002E060B" w:rsidRDefault="00C02156" w:rsidP="00C02156">
      <w:pPr>
        <w:pStyle w:val="Textonotapie"/>
        <w:ind w:firstLine="708"/>
        <w:jc w:val="both"/>
        <w:rPr>
          <w:rFonts w:ascii="Arial" w:hAnsi="Arial" w:cs="Arial"/>
          <w:sz w:val="18"/>
          <w:szCs w:val="18"/>
          <w:lang w:val="es-ES"/>
        </w:rPr>
      </w:pPr>
    </w:p>
  </w:footnote>
  <w:footnote w:id="32">
    <w:p w14:paraId="27C1E07A" w14:textId="77777777" w:rsidR="00C02156" w:rsidRPr="002E060B" w:rsidRDefault="00C02156" w:rsidP="00C02156">
      <w:pPr>
        <w:pStyle w:val="Textonotapie"/>
        <w:ind w:firstLine="708"/>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4170 de 2011: «Artículo 3. Funciones: La Agencia Nacional de Contratación Pública –Colombia Compra Eficiente– ejercerá las siguientes funciones:</w:t>
      </w:r>
    </w:p>
    <w:p w14:paraId="53CD5F9E" w14:textId="77777777" w:rsidR="00C02156" w:rsidRPr="002E060B" w:rsidRDefault="00C02156" w:rsidP="00C02156">
      <w:pPr>
        <w:pStyle w:val="Textonotapie"/>
        <w:ind w:firstLine="708"/>
        <w:jc w:val="both"/>
        <w:rPr>
          <w:rFonts w:ascii="Arial" w:hAnsi="Arial" w:cs="Arial"/>
          <w:color w:val="000000" w:themeColor="text1"/>
          <w:sz w:val="18"/>
          <w:szCs w:val="18"/>
        </w:rPr>
      </w:pPr>
      <w:r w:rsidRPr="002E060B">
        <w:rPr>
          <w:rFonts w:ascii="Arial" w:hAnsi="Arial" w:cs="Arial"/>
          <w:color w:val="000000" w:themeColor="text1"/>
          <w:sz w:val="18"/>
          <w:szCs w:val="18"/>
        </w:rPr>
        <w:t>[...]</w:t>
      </w:r>
    </w:p>
    <w:p w14:paraId="08DA0C30" w14:textId="77777777" w:rsidR="00C02156" w:rsidRPr="002E060B" w:rsidRDefault="00C02156" w:rsidP="00C02156">
      <w:pPr>
        <w:pStyle w:val="Textonotapie"/>
        <w:ind w:firstLine="708"/>
        <w:jc w:val="both"/>
        <w:rPr>
          <w:rFonts w:ascii="Arial" w:hAnsi="Arial" w:cs="Arial"/>
          <w:color w:val="000000" w:themeColor="text1"/>
          <w:sz w:val="18"/>
          <w:szCs w:val="18"/>
        </w:rPr>
      </w:pPr>
    </w:p>
    <w:p w14:paraId="30125479" w14:textId="77777777" w:rsidR="00C02156" w:rsidRPr="002E060B" w:rsidRDefault="00C02156" w:rsidP="00C02156">
      <w:pPr>
        <w:pStyle w:val="Textonotapie"/>
        <w:ind w:firstLine="708"/>
        <w:jc w:val="both"/>
        <w:rPr>
          <w:rFonts w:ascii="Arial" w:hAnsi="Arial" w:cs="Arial"/>
          <w:color w:val="000000" w:themeColor="text1"/>
          <w:sz w:val="18"/>
          <w:szCs w:val="18"/>
        </w:rPr>
      </w:pPr>
      <w:r w:rsidRPr="002E060B">
        <w:rPr>
          <w:rFonts w:ascii="Arial" w:hAnsi="Arial" w:cs="Arial"/>
          <w:color w:val="000000" w:themeColor="text1"/>
          <w:sz w:val="18"/>
          <w:szCs w:val="18"/>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4A3F60ED" w14:textId="77777777" w:rsidR="00C02156" w:rsidRPr="002E060B" w:rsidRDefault="00C02156" w:rsidP="00C02156">
      <w:pPr>
        <w:pStyle w:val="Textonotapie"/>
        <w:ind w:firstLine="708"/>
        <w:jc w:val="both"/>
        <w:rPr>
          <w:rFonts w:ascii="Arial" w:hAnsi="Arial" w:cs="Arial"/>
          <w:color w:val="000000" w:themeColor="text1"/>
          <w:sz w:val="18"/>
          <w:szCs w:val="18"/>
        </w:rPr>
      </w:pPr>
      <w:r w:rsidRPr="002E060B">
        <w:rPr>
          <w:rFonts w:ascii="Arial" w:hAnsi="Arial" w:cs="Arial"/>
          <w:color w:val="000000" w:themeColor="text1"/>
          <w:sz w:val="18"/>
          <w:szCs w:val="18"/>
        </w:rPr>
        <w:t>[...]».</w:t>
      </w:r>
    </w:p>
  </w:footnote>
  <w:footnote w:id="33">
    <w:p w14:paraId="7C763C0F" w14:textId="77777777" w:rsidR="00C02156" w:rsidRPr="002E060B" w:rsidRDefault="00C02156" w:rsidP="00C02156">
      <w:pPr>
        <w:pStyle w:val="Textonotapie"/>
        <w:rPr>
          <w:rFonts w:ascii="Arial" w:hAnsi="Arial" w:cs="Arial"/>
          <w:sz w:val="18"/>
          <w:szCs w:val="18"/>
          <w:lang w:val="es-ES"/>
        </w:rPr>
      </w:pPr>
      <w:r w:rsidRPr="002E060B">
        <w:rPr>
          <w:rStyle w:val="Refdenotaalpie"/>
          <w:rFonts w:ascii="Arial" w:hAnsi="Arial" w:cs="Arial"/>
          <w:sz w:val="18"/>
          <w:szCs w:val="18"/>
        </w:rPr>
        <w:footnoteRef/>
      </w:r>
      <w:r w:rsidRPr="002E060B">
        <w:rPr>
          <w:rFonts w:ascii="Arial" w:hAnsi="Arial" w:cs="Arial"/>
          <w:sz w:val="18"/>
          <w:szCs w:val="18"/>
        </w:rPr>
        <w:t xml:space="preserve"> Ver: </w:t>
      </w:r>
      <w:r>
        <w:rPr>
          <w:rFonts w:ascii="Arial" w:hAnsi="Arial" w:cs="Arial"/>
          <w:sz w:val="18"/>
          <w:szCs w:val="18"/>
        </w:rPr>
        <w:t xml:space="preserve">Artículo 9 del </w:t>
      </w:r>
      <w:r w:rsidRPr="002E060B">
        <w:rPr>
          <w:rFonts w:ascii="Arial" w:hAnsi="Arial" w:cs="Arial"/>
          <w:sz w:val="18"/>
          <w:szCs w:val="18"/>
          <w:lang w:val="es-ES"/>
        </w:rPr>
        <w:t xml:space="preserve">Decreto 92 de 2017 y los conceptos </w:t>
      </w:r>
      <w:r w:rsidRPr="002E060B">
        <w:rPr>
          <w:rFonts w:ascii="Arial" w:hAnsi="Arial" w:cs="Arial"/>
          <w:sz w:val="18"/>
          <w:szCs w:val="18"/>
        </w:rPr>
        <w:t>4201913000005551 del 9/09/2019, C-014 de 2020, C.670 de 2020</w:t>
      </w:r>
      <w:r>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48373" w14:textId="77777777" w:rsidR="003D3D44" w:rsidRDefault="00C02156">
    <w:pPr>
      <w:pStyle w:val="Encabezado"/>
    </w:pPr>
    <w:r>
      <w:rPr>
        <w:noProof/>
        <w:lang w:val="es-ES_tradnl" w:eastAsia="es-ES_tradnl"/>
      </w:rPr>
      <w:drawing>
        <wp:anchor distT="0" distB="0" distL="114300" distR="114300" simplePos="0" relativeHeight="251659264" behindDoc="1" locked="0" layoutInCell="1" allowOverlap="1" wp14:anchorId="70635A41" wp14:editId="2E8A6FE4">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59D91B8B"/>
    <w:multiLevelType w:val="hybridMultilevel"/>
    <w:tmpl w:val="B69E75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156"/>
    <w:rsid w:val="007A39B0"/>
    <w:rsid w:val="00C02156"/>
    <w:rsid w:val="00FE3A4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41C37"/>
  <w15:chartTrackingRefBased/>
  <w15:docId w15:val="{D19DA71C-9D7F-46A2-8598-362880BA7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02156"/>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C02156"/>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C02156"/>
    <w:rPr>
      <w:sz w:val="24"/>
      <w:lang w:val="es-MX"/>
    </w:rPr>
  </w:style>
  <w:style w:type="paragraph" w:styleId="Encabezado">
    <w:name w:val="header"/>
    <w:basedOn w:val="Normal"/>
    <w:link w:val="EncabezadoCar"/>
    <w:uiPriority w:val="99"/>
    <w:unhideWhenUsed/>
    <w:rsid w:val="00C02156"/>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C02156"/>
    <w:rPr>
      <w:sz w:val="24"/>
      <w:lang w:val="es-MX"/>
    </w:rPr>
  </w:style>
  <w:style w:type="table" w:styleId="Tablaconcuadrcula">
    <w:name w:val="Table Grid"/>
    <w:basedOn w:val="Tablanormal"/>
    <w:uiPriority w:val="59"/>
    <w:rsid w:val="00C02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C02156"/>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C02156"/>
    <w:rPr>
      <w:color w:val="0563C1" w:themeColor="hyperlink"/>
      <w:u w:val="single"/>
    </w:rPr>
  </w:style>
  <w:style w:type="paragraph" w:styleId="NormalWeb">
    <w:name w:val="Normal (Web)"/>
    <w:basedOn w:val="Normal"/>
    <w:link w:val="NormalWebCar"/>
    <w:uiPriority w:val="99"/>
    <w:unhideWhenUsed/>
    <w:rsid w:val="00C02156"/>
    <w:pPr>
      <w:spacing w:before="100" w:beforeAutospacing="1" w:after="100" w:afterAutospacing="1"/>
    </w:pPr>
    <w:rPr>
      <w:lang w:eastAsia="es-CO"/>
    </w:rPr>
  </w:style>
  <w:style w:type="paragraph" w:styleId="Sinespaciado">
    <w:name w:val="No Spacing"/>
    <w:aliases w:val="No Indent"/>
    <w:uiPriority w:val="3"/>
    <w:qFormat/>
    <w:rsid w:val="00C0215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0215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C0215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C02156"/>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0215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C02156"/>
    <w:rPr>
      <w:vertAlign w:val="superscript"/>
    </w:rPr>
  </w:style>
  <w:style w:type="paragraph" w:customStyle="1" w:styleId="paragraph">
    <w:name w:val="paragraph"/>
    <w:basedOn w:val="Normal"/>
    <w:uiPriority w:val="99"/>
    <w:rsid w:val="00C02156"/>
    <w:pPr>
      <w:spacing w:before="100" w:beforeAutospacing="1" w:after="100" w:afterAutospacing="1"/>
    </w:pPr>
    <w:rPr>
      <w:lang w:eastAsia="es-CO"/>
    </w:rPr>
  </w:style>
  <w:style w:type="character" w:customStyle="1" w:styleId="normaltextrun">
    <w:name w:val="normaltextrun"/>
    <w:basedOn w:val="Fuentedeprrafopredeter"/>
    <w:rsid w:val="00C02156"/>
  </w:style>
  <w:style w:type="paragraph" w:customStyle="1" w:styleId="Appelnotedebasde">
    <w:name w:val="Appel note de bas de..."/>
    <w:basedOn w:val="Normal"/>
    <w:link w:val="Refdenotaalpie"/>
    <w:uiPriority w:val="99"/>
    <w:rsid w:val="00C02156"/>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C0215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421639">
      <w:bodyDiv w:val="1"/>
      <w:marLeft w:val="0"/>
      <w:marRight w:val="0"/>
      <w:marTop w:val="0"/>
      <w:marBottom w:val="0"/>
      <w:divBdr>
        <w:top w:val="none" w:sz="0" w:space="0" w:color="auto"/>
        <w:left w:val="none" w:sz="0" w:space="0" w:color="auto"/>
        <w:bottom w:val="none" w:sz="0" w:space="0" w:color="auto"/>
        <w:right w:val="none" w:sz="0" w:space="0" w:color="auto"/>
      </w:divBdr>
      <w:divsChild>
        <w:div w:id="19223304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ecop-i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de/3074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lombiacompra.gov.co/node/23628" TargetMode="External"/><Relationship Id="rId5" Type="http://schemas.openxmlformats.org/officeDocument/2006/relationships/styles" Target="styles.xml"/><Relationship Id="rId15" Type="http://schemas.openxmlformats.org/officeDocument/2006/relationships/image" Target="media/image2.jpe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mesa-de-servici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659552C-4522-4CC3-A6D7-EFC84BBEC0AF}"/>
</file>

<file path=customXml/itemProps2.xml><?xml version="1.0" encoding="utf-8"?>
<ds:datastoreItem xmlns:ds="http://schemas.openxmlformats.org/officeDocument/2006/customXml" ds:itemID="{7CEB4963-09CF-4B5B-992F-05EFB1333F85}">
  <ds:schemaRefs>
    <ds:schemaRef ds:uri="http://schemas.microsoft.com/sharepoint/v3/contenttype/forms"/>
  </ds:schemaRefs>
</ds:datastoreItem>
</file>

<file path=customXml/itemProps3.xml><?xml version="1.0" encoding="utf-8"?>
<ds:datastoreItem xmlns:ds="http://schemas.openxmlformats.org/officeDocument/2006/customXml" ds:itemID="{CCE7370C-141A-4EFA-8B81-F65E456DD7B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28</Pages>
  <Words>11238</Words>
  <Characters>61809</Characters>
  <Application>Microsoft Office Word</Application>
  <DocSecurity>0</DocSecurity>
  <Lines>515</Lines>
  <Paragraphs>145</Paragraphs>
  <ScaleCrop>false</ScaleCrop>
  <Company/>
  <LinksUpToDate>false</LinksUpToDate>
  <CharactersWithSpaces>72902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Urrego J.</dc:creator>
  <cp:keywords/>
  <dc:description/>
  <cp:lastModifiedBy>Nathalia Urrego J.</cp:lastModifiedBy>
  <cp:revision>1</cp:revision>
  <dcterms:created xsi:type="dcterms:W3CDTF">2021-05-26T13:59:00Z</dcterms:created>
  <dcterms:modified xsi:type="dcterms:W3CDTF">2021-05-26T14:17:00Z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