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E04191" w:rsidR="005A79FE" w:rsidP="00647E5F" w:rsidRDefault="005A79FE" w14:paraId="21F87225" w14:textId="3066CD13">
      <w:pPr>
        <w:jc w:val="right"/>
        <w:rPr>
          <w:rFonts w:ascii="Arial" w:hAnsi="Arial" w:eastAsia="Calibri" w:cs="Arial"/>
          <w:b/>
          <w:bCs/>
          <w:color w:val="000000" w:themeColor="text1"/>
          <w:sz w:val="16"/>
          <w:szCs w:val="16"/>
        </w:rPr>
      </w:pPr>
      <w:r w:rsidRPr="00E04191">
        <w:rPr>
          <w:rFonts w:ascii="Arial" w:hAnsi="Arial" w:eastAsia="Times New Roman" w:cs="Arial"/>
          <w:b/>
          <w:bCs/>
          <w:color w:val="000000" w:themeColor="text1"/>
          <w:sz w:val="16"/>
          <w:szCs w:val="16"/>
          <w:lang w:eastAsia="es-ES"/>
        </w:rPr>
        <w:t>CCE-DES-FM-17</w:t>
      </w:r>
    </w:p>
    <w:p w:rsidRPr="00E04191" w:rsidR="005A79FE" w:rsidP="00647E5F" w:rsidRDefault="005A79FE" w14:paraId="36768CD0" w14:textId="5FF43224">
      <w:pPr>
        <w:jc w:val="both"/>
        <w:rPr>
          <w:rFonts w:ascii="Arial" w:hAnsi="Arial" w:cs="Arial"/>
          <w:color w:val="000000" w:themeColor="text1"/>
          <w:sz w:val="20"/>
          <w:szCs w:val="20"/>
        </w:rPr>
      </w:pPr>
    </w:p>
    <w:p w:rsidRPr="00E04191" w:rsidR="0007454E" w:rsidP="220E6C25" w:rsidRDefault="0070208A" w14:paraId="6A70228F" w14:textId="586B285B">
      <w:pPr>
        <w:pStyle w:val="Sinespaciado"/>
        <w:jc w:val="both"/>
        <w:rPr>
          <w:rFonts w:ascii="Arial" w:hAnsi="Arial" w:cs="Arial"/>
          <w:b w:val="1"/>
          <w:bCs w:val="1"/>
          <w:color w:val="000000" w:themeColor="text1"/>
          <w:sz w:val="22"/>
          <w:szCs w:val="22"/>
        </w:rPr>
      </w:pPr>
      <w:r w:rsidRPr="220E6C25" w:rsidR="0070208A">
        <w:rPr>
          <w:rFonts w:ascii="Arial" w:hAnsi="Arial" w:cs="Arial"/>
          <w:b w:val="1"/>
          <w:bCs w:val="1"/>
          <w:color w:val="000000" w:themeColor="text1" w:themeTint="FF" w:themeShade="FF"/>
          <w:sz w:val="22"/>
          <w:szCs w:val="22"/>
        </w:rPr>
        <w:t xml:space="preserve">INHABILIDAD </w:t>
      </w:r>
      <w:bookmarkStart w:name="_Hlk39666823" w:id="0"/>
      <w:r w:rsidRPr="220E6C25" w:rsidR="006655D4">
        <w:rPr>
          <w:rFonts w:ascii="Arial" w:hAnsi="Arial" w:eastAsia="Calibri" w:cs="Arial"/>
          <w:b w:val="1"/>
          <w:bCs w:val="1"/>
          <w:color w:val="000000" w:themeColor="text1" w:themeTint="FF" w:themeShade="FF"/>
          <w:sz w:val="22"/>
          <w:szCs w:val="22"/>
        </w:rPr>
        <w:t>–</w:t>
      </w:r>
      <w:bookmarkEnd w:id="0"/>
      <w:r w:rsidRPr="220E6C25" w:rsidR="0070208A">
        <w:rPr>
          <w:rFonts w:ascii="Arial" w:hAnsi="Arial" w:cs="Arial"/>
          <w:b w:val="1"/>
          <w:bCs w:val="1"/>
          <w:color w:val="000000" w:themeColor="text1" w:themeTint="FF" w:themeShade="FF"/>
          <w:sz w:val="22"/>
          <w:szCs w:val="22"/>
        </w:rPr>
        <w:t xml:space="preserve"> </w:t>
      </w:r>
      <w:r w:rsidRPr="220E6C25" w:rsidR="00CD1E0D">
        <w:rPr>
          <w:rFonts w:ascii="Arial" w:hAnsi="Arial" w:cs="Arial"/>
          <w:b w:val="1"/>
          <w:bCs w:val="1"/>
          <w:color w:val="000000" w:themeColor="text1" w:themeTint="FF" w:themeShade="FF"/>
          <w:sz w:val="22"/>
          <w:szCs w:val="22"/>
        </w:rPr>
        <w:t>Régimen de inhabilidad</w:t>
      </w:r>
      <w:r w:rsidRPr="220E6C25" w:rsidR="00FC6A37">
        <w:rPr>
          <w:rFonts w:ascii="Arial" w:hAnsi="Arial" w:cs="Arial"/>
          <w:b w:val="1"/>
          <w:bCs w:val="1"/>
          <w:color w:val="000000" w:themeColor="text1" w:themeTint="FF" w:themeShade="FF"/>
          <w:sz w:val="22"/>
          <w:szCs w:val="22"/>
        </w:rPr>
        <w:t>es</w:t>
      </w:r>
    </w:p>
    <w:p w:rsidRPr="00E04191" w:rsidR="0007454E" w:rsidP="006655D4" w:rsidRDefault="0007454E" w14:paraId="4B83580C" w14:textId="77777777">
      <w:pPr>
        <w:pStyle w:val="Sinespaciado"/>
        <w:jc w:val="both"/>
        <w:rPr>
          <w:rFonts w:ascii="Arial" w:hAnsi="Arial" w:cs="Arial"/>
          <w:color w:val="000000" w:themeColor="text1"/>
          <w:sz w:val="20"/>
          <w:szCs w:val="20"/>
        </w:rPr>
      </w:pPr>
    </w:p>
    <w:p w:rsidR="000A0F5A" w:rsidP="000A0F5A" w:rsidRDefault="0007454E" w14:paraId="6EBA96CA" w14:textId="77777777">
      <w:pPr>
        <w:pStyle w:val="Sinespaciado"/>
        <w:spacing w:after="120"/>
        <w:jc w:val="both"/>
        <w:rPr>
          <w:rFonts w:ascii="Arial" w:hAnsi="Arial" w:cs="Arial"/>
          <w:color w:val="000000" w:themeColor="text1"/>
          <w:sz w:val="20"/>
          <w:szCs w:val="20"/>
        </w:rPr>
      </w:pPr>
      <w:r w:rsidRPr="00E04191">
        <w:rPr>
          <w:rFonts w:ascii="Arial" w:hAnsi="Arial" w:cs="Arial"/>
          <w:color w:val="000000" w:themeColor="text1"/>
          <w:sz w:val="20"/>
          <w:szCs w:val="20"/>
        </w:rPr>
        <w:t>Las inhabilidades son circunstancias establecidas por la Constitución o la Ley que impiden que personas naturales o jurídicas sean elegidas o designadas en un cargo público o puedan celebrar contratos con el Estado, con el objetivo de garantizar la idoneidad, imparcialidad, probidad, transparencia y moralidad de la función pública, y lograr garantizar el interés general.</w:t>
      </w:r>
    </w:p>
    <w:p w:rsidRPr="00E04191" w:rsidR="0007454E" w:rsidP="006655D4" w:rsidRDefault="0007454E" w14:paraId="06FD5260" w14:textId="0737A910">
      <w:pPr>
        <w:pStyle w:val="Sinespaciado"/>
        <w:jc w:val="both"/>
        <w:rPr>
          <w:rFonts w:ascii="Arial" w:hAnsi="Arial" w:cs="Arial"/>
          <w:color w:val="000000" w:themeColor="text1"/>
          <w:sz w:val="20"/>
          <w:szCs w:val="20"/>
        </w:rPr>
      </w:pPr>
      <w:r w:rsidRPr="00E04191">
        <w:rPr>
          <w:rFonts w:ascii="Arial" w:hAnsi="Arial" w:cs="Arial"/>
          <w:color w:val="000000" w:themeColor="text1"/>
          <w:sz w:val="20"/>
          <w:szCs w:val="20"/>
        </w:rPr>
        <w:t xml:space="preserve">El régimen de inhabilidades para contratar con el Estado es un conjunto de restricciones establecidas por el constituyente o por el legislador que afectan directamente la capacidad de las personas para establecer una relación jurídica contractual con el Estado, que pueden resultar de condenas, sanciones o situaciones previamente establecidas por el ordenamiento jurídico. </w:t>
      </w:r>
    </w:p>
    <w:p w:rsidRPr="00E04191" w:rsidR="00CD1E0D" w:rsidP="006655D4" w:rsidRDefault="00CD1E0D" w14:paraId="374E56F2" w14:textId="021B4417">
      <w:pPr>
        <w:pStyle w:val="Sinespaciado"/>
        <w:jc w:val="both"/>
        <w:rPr>
          <w:rFonts w:ascii="Arial" w:hAnsi="Arial" w:cs="Arial"/>
          <w:color w:val="000000" w:themeColor="text1"/>
          <w:sz w:val="20"/>
          <w:szCs w:val="20"/>
        </w:rPr>
      </w:pPr>
    </w:p>
    <w:p w:rsidRPr="00E04191" w:rsidR="00CD1E0D" w:rsidP="220E6C25" w:rsidRDefault="00CD1E0D" w14:paraId="6B0FD8EE" w14:textId="5A72429F">
      <w:pPr>
        <w:pStyle w:val="Sinespaciado"/>
        <w:jc w:val="both"/>
        <w:rPr>
          <w:rFonts w:ascii="Arial" w:hAnsi="Arial" w:cs="Arial"/>
          <w:b w:val="1"/>
          <w:bCs w:val="1"/>
          <w:color w:val="000000" w:themeColor="text1"/>
          <w:sz w:val="22"/>
          <w:szCs w:val="22"/>
        </w:rPr>
      </w:pPr>
      <w:r w:rsidRPr="220E6C25" w:rsidR="00CD1E0D">
        <w:rPr>
          <w:rFonts w:ascii="Arial" w:hAnsi="Arial" w:cs="Arial"/>
          <w:b w:val="1"/>
          <w:bCs w:val="1"/>
          <w:color w:val="000000" w:themeColor="text1" w:themeTint="FF" w:themeShade="FF"/>
          <w:sz w:val="22"/>
          <w:szCs w:val="22"/>
        </w:rPr>
        <w:t>INHABILI</w:t>
      </w:r>
      <w:r w:rsidRPr="220E6C25" w:rsidR="00DA5292">
        <w:rPr>
          <w:rFonts w:ascii="Arial" w:hAnsi="Arial" w:cs="Arial"/>
          <w:b w:val="1"/>
          <w:bCs w:val="1"/>
          <w:color w:val="000000" w:themeColor="text1" w:themeTint="FF" w:themeShade="FF"/>
          <w:sz w:val="22"/>
          <w:szCs w:val="22"/>
        </w:rPr>
        <w:t xml:space="preserve">DAD </w:t>
      </w:r>
      <w:r w:rsidRPr="220E6C25" w:rsidR="006655D4">
        <w:rPr>
          <w:rFonts w:ascii="Arial" w:hAnsi="Arial" w:eastAsia="Calibri" w:cs="Arial"/>
          <w:b w:val="1"/>
          <w:bCs w:val="1"/>
          <w:color w:val="000000" w:themeColor="text1" w:themeTint="FF" w:themeShade="FF"/>
          <w:sz w:val="22"/>
          <w:szCs w:val="22"/>
        </w:rPr>
        <w:t>–</w:t>
      </w:r>
      <w:r w:rsidRPr="220E6C25" w:rsidR="00DA5292">
        <w:rPr>
          <w:rFonts w:ascii="Arial" w:hAnsi="Arial" w:cs="Arial"/>
          <w:b w:val="1"/>
          <w:bCs w:val="1"/>
          <w:color w:val="000000" w:themeColor="text1" w:themeTint="FF" w:themeShade="FF"/>
          <w:sz w:val="22"/>
          <w:szCs w:val="22"/>
        </w:rPr>
        <w:t xml:space="preserve"> Limitación</w:t>
      </w:r>
      <w:r w:rsidRPr="220E6C25" w:rsidR="001D6109">
        <w:rPr>
          <w:rFonts w:ascii="Arial" w:hAnsi="Arial" w:cs="Arial"/>
          <w:b w:val="1"/>
          <w:bCs w:val="1"/>
          <w:color w:val="000000" w:themeColor="text1" w:themeTint="FF" w:themeShade="FF"/>
          <w:sz w:val="22"/>
          <w:szCs w:val="22"/>
        </w:rPr>
        <w:t xml:space="preserve"> </w:t>
      </w:r>
      <w:r w:rsidRPr="220E6C25" w:rsidR="006655D4">
        <w:rPr>
          <w:rFonts w:ascii="Arial" w:hAnsi="Arial" w:eastAsia="Calibri" w:cs="Arial"/>
          <w:b w:val="1"/>
          <w:bCs w:val="1"/>
          <w:color w:val="000000" w:themeColor="text1" w:themeTint="FF" w:themeShade="FF"/>
          <w:sz w:val="22"/>
          <w:szCs w:val="22"/>
        </w:rPr>
        <w:t>–</w:t>
      </w:r>
      <w:r w:rsidRPr="220E6C25" w:rsidR="00507A90">
        <w:rPr>
          <w:rFonts w:ascii="Arial" w:hAnsi="Arial" w:cs="Arial"/>
          <w:b w:val="1"/>
          <w:bCs w:val="1"/>
          <w:color w:val="000000" w:themeColor="text1" w:themeTint="FF" w:themeShade="FF"/>
          <w:sz w:val="22"/>
          <w:szCs w:val="22"/>
        </w:rPr>
        <w:t xml:space="preserve"> </w:t>
      </w:r>
      <w:r w:rsidRPr="220E6C25" w:rsidR="001D6109">
        <w:rPr>
          <w:rFonts w:ascii="Arial" w:hAnsi="Arial" w:cs="Arial"/>
          <w:b w:val="1"/>
          <w:bCs w:val="1"/>
          <w:color w:val="000000" w:themeColor="text1" w:themeTint="FF" w:themeShade="FF"/>
          <w:sz w:val="22"/>
          <w:szCs w:val="22"/>
        </w:rPr>
        <w:t>C</w:t>
      </w:r>
      <w:r w:rsidRPr="220E6C25" w:rsidR="00507A90">
        <w:rPr>
          <w:rFonts w:ascii="Arial" w:hAnsi="Arial" w:cs="Arial"/>
          <w:b w:val="1"/>
          <w:bCs w:val="1"/>
          <w:color w:val="000000" w:themeColor="text1" w:themeTint="FF" w:themeShade="FF"/>
          <w:sz w:val="22"/>
          <w:szCs w:val="22"/>
        </w:rPr>
        <w:t xml:space="preserve">apacidad jurídica </w:t>
      </w:r>
      <w:r w:rsidRPr="220E6C25" w:rsidR="006655D4">
        <w:rPr>
          <w:rFonts w:ascii="Arial" w:hAnsi="Arial" w:eastAsia="Calibri" w:cs="Arial"/>
          <w:b w:val="1"/>
          <w:bCs w:val="1"/>
          <w:color w:val="000000" w:themeColor="text1" w:themeTint="FF" w:themeShade="FF"/>
          <w:sz w:val="22"/>
          <w:szCs w:val="22"/>
        </w:rPr>
        <w:t>–</w:t>
      </w:r>
      <w:r w:rsidRPr="220E6C25" w:rsidR="00507A90">
        <w:rPr>
          <w:rFonts w:ascii="Arial" w:hAnsi="Arial" w:cs="Arial"/>
          <w:b w:val="1"/>
          <w:bCs w:val="1"/>
          <w:color w:val="000000" w:themeColor="text1" w:themeTint="FF" w:themeShade="FF"/>
          <w:sz w:val="22"/>
          <w:szCs w:val="22"/>
        </w:rPr>
        <w:t xml:space="preserve"> Finalidad</w:t>
      </w:r>
    </w:p>
    <w:p w:rsidRPr="00E04191" w:rsidR="00CD1E0D" w:rsidP="006655D4" w:rsidRDefault="00CD1E0D" w14:paraId="33C75BD8" w14:textId="77777777">
      <w:pPr>
        <w:pStyle w:val="Sinespaciado"/>
        <w:jc w:val="both"/>
        <w:rPr>
          <w:rFonts w:ascii="Arial" w:hAnsi="Arial" w:cs="Arial"/>
          <w:color w:val="000000" w:themeColor="text1"/>
          <w:sz w:val="20"/>
          <w:szCs w:val="20"/>
        </w:rPr>
      </w:pPr>
    </w:p>
    <w:p w:rsidR="00D64579" w:rsidP="00D64579" w:rsidRDefault="0007454E" w14:paraId="6F16BCE9" w14:textId="77777777">
      <w:pPr>
        <w:pStyle w:val="Sinespaciado"/>
        <w:spacing w:after="120"/>
        <w:jc w:val="both"/>
        <w:rPr>
          <w:rFonts w:ascii="Arial" w:hAnsi="Arial" w:cs="Arial"/>
          <w:color w:val="000000" w:themeColor="text1"/>
          <w:sz w:val="20"/>
          <w:szCs w:val="20"/>
        </w:rPr>
      </w:pPr>
      <w:r w:rsidRPr="00E04191">
        <w:rPr>
          <w:rFonts w:ascii="Arial" w:hAnsi="Arial" w:cs="Arial"/>
          <w:color w:val="000000" w:themeColor="text1"/>
          <w:sz w:val="20"/>
          <w:szCs w:val="20"/>
        </w:rPr>
        <w:t>La Corte Constitucional ha determinado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p>
    <w:p w:rsidR="00686494" w:rsidP="00D64579" w:rsidRDefault="0007454E" w14:paraId="3FEE7058" w14:textId="2AF78338">
      <w:pPr>
        <w:pStyle w:val="Sinespaciado"/>
        <w:spacing w:after="120"/>
        <w:jc w:val="both"/>
        <w:rPr>
          <w:rFonts w:ascii="Arial" w:hAnsi="Arial" w:cs="Arial"/>
          <w:color w:val="000000" w:themeColor="text1"/>
          <w:sz w:val="20"/>
          <w:szCs w:val="20"/>
        </w:rPr>
      </w:pPr>
      <w:r w:rsidRPr="00E04191">
        <w:rPr>
          <w:rFonts w:ascii="Arial" w:hAnsi="Arial" w:cs="Arial"/>
          <w:color w:val="000000" w:themeColor="text1"/>
          <w:sz w:val="20"/>
          <w:szCs w:val="20"/>
        </w:rPr>
        <w:t>La consagración de estas restricciones o limitaciones que afectan la capacidad jurídica de la persona para contratar busca la realización de los principios de la función administrativa, consagrados en el artículo 209 de la Constitución Política, con especial énfasis en el de moralidad. Así lo ha entendido el Consejo de Estado</w:t>
      </w:r>
      <w:r w:rsidRPr="00E04191" w:rsidR="0068226C">
        <w:rPr>
          <w:rFonts w:ascii="Arial" w:hAnsi="Arial" w:cs="Arial"/>
          <w:color w:val="000000" w:themeColor="text1"/>
          <w:sz w:val="20"/>
          <w:szCs w:val="20"/>
        </w:rPr>
        <w:t xml:space="preserve"> </w:t>
      </w:r>
      <w:r w:rsidRPr="00E04191" w:rsidR="00507A90">
        <w:rPr>
          <w:rFonts w:ascii="Arial" w:hAnsi="Arial" w:cs="Arial"/>
          <w:color w:val="000000" w:themeColor="text1"/>
          <w:sz w:val="20"/>
          <w:szCs w:val="20"/>
        </w:rPr>
        <w:t>[…]</w:t>
      </w:r>
    </w:p>
    <w:p w:rsidRPr="00E04191" w:rsidR="00F67886" w:rsidP="00D64579" w:rsidRDefault="00F67886" w14:paraId="7471BD94" w14:textId="12ACA765">
      <w:pPr>
        <w:pStyle w:val="Sinespaciado"/>
        <w:spacing w:after="120"/>
        <w:jc w:val="both"/>
        <w:rPr>
          <w:rFonts w:ascii="Arial" w:hAnsi="Arial" w:cs="Arial"/>
          <w:color w:val="000000" w:themeColor="text1"/>
          <w:sz w:val="20"/>
          <w:szCs w:val="20"/>
        </w:rPr>
      </w:pPr>
      <w:r>
        <w:rPr>
          <w:rFonts w:ascii="Arial" w:hAnsi="Arial" w:cs="Arial"/>
          <w:color w:val="000000" w:themeColor="text1"/>
          <w:sz w:val="20"/>
          <w:szCs w:val="20"/>
        </w:rPr>
        <w:t>[…]</w:t>
      </w:r>
    </w:p>
    <w:p w:rsidRPr="00E04191" w:rsidR="0007454E" w:rsidP="006655D4" w:rsidRDefault="0007454E" w14:paraId="440C37CE" w14:textId="23C10BCD">
      <w:pPr>
        <w:pStyle w:val="Sinespaciado"/>
        <w:jc w:val="both"/>
        <w:rPr>
          <w:rFonts w:ascii="Arial" w:hAnsi="Arial" w:cs="Arial"/>
          <w:color w:val="000000" w:themeColor="text1"/>
          <w:sz w:val="20"/>
          <w:szCs w:val="20"/>
        </w:rPr>
      </w:pPr>
      <w:r w:rsidRPr="00E04191">
        <w:rPr>
          <w:rFonts w:ascii="Arial" w:hAnsi="Arial" w:cs="Arial"/>
          <w:color w:val="000000" w:themeColor="text1"/>
          <w:sz w:val="20"/>
          <w:szCs w:val="20"/>
        </w:rPr>
        <w:t xml:space="preserve">Así las cosas, las inhabilidades son medios que buscan garantizar la transparencia y eficiencia en la actividad contractual del Estado y para ello imponen restricciones en la personalidad jurídica, la igualdad, la libre empresa y, particularmente, </w:t>
      </w:r>
      <w:r w:rsidRPr="00E04191" w:rsidR="00D2560D">
        <w:rPr>
          <w:rFonts w:ascii="Arial" w:hAnsi="Arial" w:cs="Arial"/>
          <w:color w:val="000000" w:themeColor="text1"/>
          <w:sz w:val="20"/>
          <w:szCs w:val="20"/>
        </w:rPr>
        <w:t>a</w:t>
      </w:r>
      <w:r w:rsidRPr="00E04191">
        <w:rPr>
          <w:rFonts w:ascii="Arial" w:hAnsi="Arial" w:cs="Arial"/>
          <w:color w:val="000000" w:themeColor="text1"/>
          <w:sz w:val="20"/>
          <w:szCs w:val="20"/>
        </w:rPr>
        <w:t>l derecho a participar en procesos de</w:t>
      </w:r>
      <w:r w:rsidRPr="00E04191" w:rsidR="00D2560D">
        <w:rPr>
          <w:rFonts w:ascii="Arial" w:hAnsi="Arial" w:cs="Arial"/>
          <w:color w:val="000000" w:themeColor="text1"/>
          <w:sz w:val="20"/>
          <w:szCs w:val="20"/>
        </w:rPr>
        <w:t xml:space="preserve"> selección </w:t>
      </w:r>
      <w:r w:rsidRPr="00E04191">
        <w:rPr>
          <w:rFonts w:ascii="Arial" w:hAnsi="Arial" w:cs="Arial"/>
          <w:color w:val="000000" w:themeColor="text1"/>
          <w:sz w:val="20"/>
          <w:szCs w:val="20"/>
        </w:rPr>
        <w:t xml:space="preserve">y celebrar contratos con </w:t>
      </w:r>
      <w:r w:rsidRPr="00E04191" w:rsidR="00D2560D">
        <w:rPr>
          <w:rFonts w:ascii="Arial" w:hAnsi="Arial" w:cs="Arial"/>
          <w:color w:val="000000" w:themeColor="text1"/>
          <w:sz w:val="20"/>
          <w:szCs w:val="20"/>
        </w:rPr>
        <w:t>e</w:t>
      </w:r>
      <w:r w:rsidRPr="00E04191">
        <w:rPr>
          <w:rFonts w:ascii="Arial" w:hAnsi="Arial" w:cs="Arial"/>
          <w:color w:val="000000" w:themeColor="text1"/>
          <w:sz w:val="20"/>
          <w:szCs w:val="20"/>
        </w:rPr>
        <w:t xml:space="preserve">l </w:t>
      </w:r>
      <w:r w:rsidRPr="00E04191" w:rsidR="00D2560D">
        <w:rPr>
          <w:rFonts w:ascii="Arial" w:hAnsi="Arial" w:cs="Arial"/>
          <w:color w:val="000000" w:themeColor="text1"/>
          <w:sz w:val="20"/>
          <w:szCs w:val="20"/>
        </w:rPr>
        <w:t>Estado</w:t>
      </w:r>
      <w:r w:rsidRPr="00E04191">
        <w:rPr>
          <w:rFonts w:ascii="Arial" w:hAnsi="Arial" w:cs="Arial"/>
          <w:color w:val="000000" w:themeColor="text1"/>
          <w:sz w:val="20"/>
          <w:szCs w:val="20"/>
        </w:rPr>
        <w:t>. La Corte Constitucional ha reconocido que estas limitaciones deben estar justificadas en la salvaguarda del interés general y que su lectura e interpretación debe ser taxativa y restrictiva</w:t>
      </w:r>
      <w:r w:rsidRPr="00E04191" w:rsidR="00507A90">
        <w:rPr>
          <w:rFonts w:ascii="Arial" w:hAnsi="Arial" w:cs="Arial"/>
          <w:color w:val="000000" w:themeColor="text1"/>
          <w:sz w:val="20"/>
          <w:szCs w:val="20"/>
        </w:rPr>
        <w:t xml:space="preserve"> […]</w:t>
      </w:r>
    </w:p>
    <w:p w:rsidRPr="00E04191" w:rsidR="00C64D4C" w:rsidP="006655D4" w:rsidRDefault="00C64D4C" w14:paraId="3452BFA8" w14:textId="0206F530">
      <w:pPr>
        <w:pStyle w:val="Sinespaciado"/>
        <w:jc w:val="both"/>
        <w:rPr>
          <w:rFonts w:ascii="Arial" w:hAnsi="Arial" w:cs="Arial"/>
          <w:color w:val="000000" w:themeColor="text1"/>
          <w:sz w:val="20"/>
          <w:szCs w:val="20"/>
        </w:rPr>
      </w:pPr>
    </w:p>
    <w:p w:rsidRPr="00E04191" w:rsidR="00C64D4C" w:rsidP="220E6C25" w:rsidRDefault="00C64D4C" w14:paraId="5FF8F187" w14:textId="28A11483">
      <w:pPr>
        <w:pStyle w:val="Sinespaciado"/>
        <w:jc w:val="both"/>
        <w:rPr>
          <w:rFonts w:ascii="Arial" w:hAnsi="Arial" w:cs="Arial"/>
          <w:b w:val="1"/>
          <w:bCs w:val="1"/>
          <w:color w:val="000000" w:themeColor="text1"/>
          <w:sz w:val="22"/>
          <w:szCs w:val="22"/>
        </w:rPr>
      </w:pPr>
      <w:r w:rsidRPr="220E6C25" w:rsidR="00C64D4C">
        <w:rPr>
          <w:rFonts w:ascii="Arial" w:hAnsi="Arial" w:cs="Arial"/>
          <w:b w:val="1"/>
          <w:bCs w:val="1"/>
          <w:color w:val="000000" w:themeColor="text1" w:themeTint="FF" w:themeShade="FF"/>
          <w:sz w:val="22"/>
          <w:szCs w:val="22"/>
        </w:rPr>
        <w:t>INHABILIDAD</w:t>
      </w:r>
      <w:r w:rsidRPr="220E6C25" w:rsidR="65DAD8AD">
        <w:rPr>
          <w:rFonts w:ascii="Arial" w:hAnsi="Arial" w:cs="Arial"/>
          <w:b w:val="1"/>
          <w:bCs w:val="1"/>
          <w:color w:val="000000" w:themeColor="text1" w:themeTint="FF" w:themeShade="FF"/>
          <w:sz w:val="22"/>
          <w:szCs w:val="22"/>
        </w:rPr>
        <w:t xml:space="preserve"> </w:t>
      </w:r>
      <w:r w:rsidRPr="220E6C25" w:rsidR="006655D4">
        <w:rPr>
          <w:rFonts w:ascii="Arial" w:hAnsi="Arial" w:eastAsia="Calibri" w:cs="Arial"/>
          <w:b w:val="1"/>
          <w:bCs w:val="1"/>
          <w:color w:val="000000" w:themeColor="text1" w:themeTint="FF" w:themeShade="FF"/>
          <w:sz w:val="22"/>
          <w:szCs w:val="22"/>
        </w:rPr>
        <w:t>–</w:t>
      </w:r>
      <w:r w:rsidRPr="220E6C25" w:rsidR="00C64D4C">
        <w:rPr>
          <w:rFonts w:ascii="Arial" w:hAnsi="Arial" w:cs="Arial"/>
          <w:b w:val="1"/>
          <w:bCs w:val="1"/>
          <w:color w:val="000000" w:themeColor="text1" w:themeTint="FF" w:themeShade="FF"/>
          <w:sz w:val="22"/>
          <w:szCs w:val="22"/>
        </w:rPr>
        <w:t xml:space="preserve"> Competencia </w:t>
      </w:r>
      <w:r w:rsidRPr="220E6C25" w:rsidR="68614B7F">
        <w:rPr>
          <w:rFonts w:ascii="Arial" w:hAnsi="Arial" w:cs="Arial"/>
          <w:b w:val="1"/>
          <w:bCs w:val="1"/>
          <w:color w:val="000000" w:themeColor="text1" w:themeTint="FF" w:themeShade="FF"/>
          <w:sz w:val="22"/>
          <w:szCs w:val="22"/>
        </w:rPr>
        <w:t>definición</w:t>
      </w:r>
      <w:r w:rsidRPr="220E6C25" w:rsidR="00C64D4C">
        <w:rPr>
          <w:rFonts w:ascii="Arial" w:hAnsi="Arial" w:cs="Arial"/>
          <w:b w:val="1"/>
          <w:bCs w:val="1"/>
          <w:color w:val="000000" w:themeColor="text1" w:themeTint="FF" w:themeShade="FF"/>
          <w:sz w:val="22"/>
          <w:szCs w:val="22"/>
        </w:rPr>
        <w:t xml:space="preserve"> </w:t>
      </w:r>
      <w:r w:rsidRPr="220E6C25" w:rsidR="006655D4">
        <w:rPr>
          <w:rFonts w:ascii="Arial" w:hAnsi="Arial" w:eastAsia="Calibri" w:cs="Arial"/>
          <w:b w:val="1"/>
          <w:bCs w:val="1"/>
          <w:color w:val="000000" w:themeColor="text1" w:themeTint="FF" w:themeShade="FF"/>
          <w:sz w:val="22"/>
          <w:szCs w:val="22"/>
        </w:rPr>
        <w:t>–</w:t>
      </w:r>
      <w:r w:rsidRPr="220E6C25" w:rsidR="00C64D4C">
        <w:rPr>
          <w:rFonts w:ascii="Arial" w:hAnsi="Arial" w:cs="Arial"/>
          <w:b w:val="1"/>
          <w:bCs w:val="1"/>
          <w:color w:val="000000" w:themeColor="text1" w:themeTint="FF" w:themeShade="FF"/>
          <w:sz w:val="22"/>
          <w:szCs w:val="22"/>
        </w:rPr>
        <w:t xml:space="preserve"> Principio de legalidad</w:t>
      </w:r>
    </w:p>
    <w:p w:rsidRPr="00E04191" w:rsidR="0007454E" w:rsidP="006655D4" w:rsidRDefault="0007454E" w14:paraId="23C5B03C" w14:textId="77777777">
      <w:pPr>
        <w:jc w:val="both"/>
        <w:rPr>
          <w:rFonts w:ascii="Arial" w:hAnsi="Arial" w:eastAsia="Times New Roman" w:cs="Arial"/>
          <w:color w:val="000000" w:themeColor="text1"/>
          <w:sz w:val="20"/>
          <w:szCs w:val="20"/>
          <w:shd w:val="clear" w:color="auto" w:fill="FFFFFF"/>
          <w:lang w:val="es-CO" w:eastAsia="es-ES_tradnl"/>
        </w:rPr>
      </w:pPr>
    </w:p>
    <w:p w:rsidRPr="00E04191" w:rsidR="0007454E" w:rsidP="006655D4" w:rsidRDefault="0007454E" w14:paraId="7206A278" w14:textId="68B7A98C">
      <w:pPr>
        <w:jc w:val="both"/>
        <w:rPr>
          <w:rFonts w:ascii="Arial" w:hAnsi="Arial" w:cs="Arial"/>
          <w:color w:val="000000" w:themeColor="text1"/>
          <w:sz w:val="20"/>
          <w:szCs w:val="20"/>
        </w:rPr>
      </w:pPr>
      <w:r w:rsidRPr="00E04191">
        <w:rPr>
          <w:rFonts w:ascii="Arial" w:hAnsi="Arial" w:cs="Arial"/>
          <w:color w:val="000000" w:themeColor="text1"/>
          <w:sz w:val="20"/>
          <w:szCs w:val="20"/>
        </w:rPr>
        <w:t>Asimismo, la Corte Constitucional ha resaltado que la competencia para determinar qué hechos o situaciones generan inhabilidad para contratar con el Estado la tiene el legislador, pues este régimen es un aspecto propio del Estatuto General de la Contratación Pública, cuya expedición compete al Congreso de la República, a la luz del artículo 150 de la Constitución Política, y que en esta materia rige el principio de legalidad</w:t>
      </w:r>
      <w:r w:rsidRPr="00E04191" w:rsidR="00C64D4C">
        <w:rPr>
          <w:rFonts w:ascii="Arial" w:hAnsi="Arial" w:cs="Arial"/>
          <w:color w:val="000000" w:themeColor="text1"/>
          <w:sz w:val="20"/>
          <w:szCs w:val="20"/>
        </w:rPr>
        <w:t xml:space="preserve"> […]</w:t>
      </w:r>
    </w:p>
    <w:p w:rsidRPr="00E04191" w:rsidR="0007454E" w:rsidP="006655D4" w:rsidRDefault="0007454E" w14:paraId="5B0756BB" w14:textId="57070E90">
      <w:pPr>
        <w:jc w:val="both"/>
        <w:rPr>
          <w:rFonts w:ascii="Arial" w:hAnsi="Arial" w:eastAsia="Times New Roman" w:cs="Arial"/>
          <w:color w:val="000000" w:themeColor="text1"/>
          <w:sz w:val="20"/>
          <w:szCs w:val="20"/>
          <w:shd w:val="clear" w:color="auto" w:fill="FFFFFF"/>
          <w:lang w:val="es-CO" w:eastAsia="es-ES_tradnl"/>
        </w:rPr>
      </w:pPr>
    </w:p>
    <w:p w:rsidRPr="00E04191" w:rsidR="00C64D4C" w:rsidP="220E6C25" w:rsidRDefault="00C64D4C" w14:paraId="44C68AF8" w14:textId="7905CAB0">
      <w:pPr>
        <w:jc w:val="both"/>
        <w:rPr>
          <w:rFonts w:ascii="Arial" w:hAnsi="Arial" w:eastAsia="Times New Roman" w:cs="Arial"/>
          <w:b w:val="1"/>
          <w:bCs w:val="1"/>
          <w:color w:val="000000" w:themeColor="text1"/>
          <w:sz w:val="22"/>
          <w:szCs w:val="22"/>
          <w:shd w:val="clear" w:color="auto" w:fill="FFFFFF"/>
          <w:lang w:val="es-CO" w:eastAsia="es-ES"/>
        </w:rPr>
      </w:pPr>
      <w:r w:rsidRPr="220E6C25" w:rsidR="00C64D4C">
        <w:rPr>
          <w:rFonts w:ascii="Arial" w:hAnsi="Arial" w:eastAsia="Times New Roman" w:cs="Arial"/>
          <w:b w:val="1"/>
          <w:bCs w:val="1"/>
          <w:color w:val="000000" w:themeColor="text1"/>
          <w:sz w:val="22"/>
          <w:szCs w:val="22"/>
          <w:shd w:val="clear" w:color="auto" w:fill="FFFFFF"/>
          <w:lang w:val="es-CO" w:eastAsia="es-ES"/>
        </w:rPr>
        <w:t>I</w:t>
      </w:r>
      <w:r w:rsidRPr="220E6C25" w:rsidR="00C93209">
        <w:rPr>
          <w:rFonts w:ascii="Arial" w:hAnsi="Arial" w:eastAsia="Times New Roman" w:cs="Arial"/>
          <w:b w:val="1"/>
          <w:bCs w:val="1"/>
          <w:color w:val="000000" w:themeColor="text1"/>
          <w:sz w:val="22"/>
          <w:szCs w:val="22"/>
          <w:shd w:val="clear" w:color="auto" w:fill="FFFFFF"/>
          <w:lang w:val="es-CO" w:eastAsia="es-ES"/>
        </w:rPr>
        <w:t xml:space="preserve">NHABILIDAD </w:t>
      </w:r>
      <w:r w:rsidRPr="220E6C25" w:rsidR="006655D4">
        <w:rPr>
          <w:rFonts w:ascii="Arial" w:hAnsi="Arial" w:eastAsia="Calibri" w:cs="Arial"/>
          <w:b w:val="1"/>
          <w:bCs w:val="1"/>
          <w:color w:val="000000" w:themeColor="text1"/>
          <w:sz w:val="22"/>
          <w:szCs w:val="22"/>
        </w:rPr>
        <w:t>–</w:t>
      </w:r>
      <w:r w:rsidRPr="220E6C25" w:rsidR="00C93209">
        <w:rPr>
          <w:rFonts w:ascii="Arial" w:hAnsi="Arial" w:eastAsia="Times New Roman" w:cs="Arial"/>
          <w:b w:val="1"/>
          <w:bCs w:val="1"/>
          <w:color w:val="000000" w:themeColor="text1"/>
          <w:sz w:val="22"/>
          <w:szCs w:val="22"/>
          <w:shd w:val="clear" w:color="auto" w:fill="FFFFFF"/>
          <w:lang w:val="es-CO" w:eastAsia="es-ES"/>
        </w:rPr>
        <w:t xml:space="preserve"> Clases</w:t>
      </w:r>
      <w:r w:rsidRPr="220E6C25" w:rsidR="008263B7">
        <w:rPr>
          <w:rFonts w:ascii="Arial" w:hAnsi="Arial" w:eastAsia="Times New Roman" w:cs="Arial"/>
          <w:b w:val="1"/>
          <w:bCs w:val="1"/>
          <w:color w:val="000000" w:themeColor="text1"/>
          <w:sz w:val="22"/>
          <w:szCs w:val="22"/>
          <w:shd w:val="clear" w:color="auto" w:fill="FFFFFF"/>
          <w:lang w:val="es-CO" w:eastAsia="es-ES"/>
        </w:rPr>
        <w:t xml:space="preserve"> </w:t>
      </w:r>
      <w:r w:rsidRPr="220E6C25" w:rsidR="006655D4">
        <w:rPr>
          <w:rFonts w:ascii="Arial" w:hAnsi="Arial" w:eastAsia="Calibri" w:cs="Arial"/>
          <w:b w:val="1"/>
          <w:bCs w:val="1"/>
          <w:color w:val="000000" w:themeColor="text1"/>
          <w:sz w:val="22"/>
          <w:szCs w:val="22"/>
        </w:rPr>
        <w:t>–</w:t>
      </w:r>
      <w:r w:rsidRPr="220E6C25" w:rsidR="008263B7">
        <w:rPr>
          <w:rFonts w:ascii="Arial" w:hAnsi="Arial" w:eastAsia="Times New Roman" w:cs="Arial"/>
          <w:b w:val="1"/>
          <w:bCs w:val="1"/>
          <w:color w:val="000000" w:themeColor="text1"/>
          <w:sz w:val="22"/>
          <w:szCs w:val="22"/>
          <w:shd w:val="clear" w:color="auto" w:fill="FFFFFF"/>
          <w:lang w:val="es-CO" w:eastAsia="es-ES"/>
        </w:rPr>
        <w:t xml:space="preserve"> Distinción</w:t>
      </w:r>
    </w:p>
    <w:p w:rsidRPr="00E04191" w:rsidR="00C64D4C" w:rsidP="006655D4" w:rsidRDefault="00C64D4C" w14:paraId="305564C1" w14:textId="77777777">
      <w:pPr>
        <w:ind w:firstLine="709"/>
        <w:jc w:val="both"/>
        <w:rPr>
          <w:rFonts w:ascii="Arial" w:hAnsi="Arial" w:cs="Arial"/>
          <w:color w:val="000000" w:themeColor="text1"/>
          <w:sz w:val="20"/>
          <w:szCs w:val="20"/>
        </w:rPr>
      </w:pPr>
    </w:p>
    <w:p w:rsidRPr="00E04191" w:rsidR="0007454E" w:rsidP="006655D4" w:rsidRDefault="0007454E" w14:paraId="43971E86" w14:textId="11055D48">
      <w:pPr>
        <w:jc w:val="both"/>
        <w:rPr>
          <w:rFonts w:ascii="Arial" w:hAnsi="Arial" w:cs="Arial"/>
          <w:color w:val="000000" w:themeColor="text1"/>
          <w:sz w:val="20"/>
          <w:szCs w:val="20"/>
        </w:rPr>
      </w:pPr>
      <w:r w:rsidRPr="00E04191">
        <w:rPr>
          <w:rFonts w:ascii="Arial" w:hAnsi="Arial" w:cs="Arial"/>
          <w:color w:val="000000" w:themeColor="text1"/>
          <w:sz w:val="20"/>
          <w:szCs w:val="20"/>
        </w:rPr>
        <w:t xml:space="preserve">Conviene también acudir a la distinción que se ha trazado en torno a la fuente de las inhabilidades, las cuales han sido clasificadas en dos grupos: i) inhabilidades-sanción y </w:t>
      </w:r>
      <w:proofErr w:type="spellStart"/>
      <w:r w:rsidRPr="00E04191">
        <w:rPr>
          <w:rFonts w:ascii="Arial" w:hAnsi="Arial" w:cs="Arial"/>
          <w:color w:val="000000" w:themeColor="text1"/>
          <w:sz w:val="20"/>
          <w:szCs w:val="20"/>
        </w:rPr>
        <w:t>ii</w:t>
      </w:r>
      <w:proofErr w:type="spellEnd"/>
      <w:r w:rsidRPr="00E04191">
        <w:rPr>
          <w:rFonts w:ascii="Arial" w:hAnsi="Arial" w:cs="Arial"/>
          <w:color w:val="000000" w:themeColor="text1"/>
          <w:sz w:val="20"/>
          <w:szCs w:val="20"/>
        </w:rPr>
        <w:t xml:space="preserve">) inhabilidades-requisito. En el primer grupo se encuentran las inhabilidades que surgen como consecuencia de un proceso sancionatorio, en los ámbitos penal, disciplinario, contravencional o de punición por indignidad política –pérdida de investidura–. En el segundo grupo están aquellas que no devienen de un proceso sancionatorio sino de condiciones propias de la persona y buscan garantizar la moralidad, la imparcialidad, la eficacia y la transparencia. </w:t>
      </w:r>
    </w:p>
    <w:p w:rsidRPr="00E04191" w:rsidR="0007454E" w:rsidP="006655D4" w:rsidRDefault="0007454E" w14:paraId="12A5EBC5" w14:textId="4532E647">
      <w:pPr>
        <w:jc w:val="both"/>
        <w:rPr>
          <w:rFonts w:ascii="Arial" w:hAnsi="Arial" w:cs="Arial"/>
          <w:color w:val="000000" w:themeColor="text1"/>
          <w:sz w:val="20"/>
          <w:szCs w:val="20"/>
        </w:rPr>
      </w:pPr>
    </w:p>
    <w:p w:rsidRPr="00E04191" w:rsidR="0007454E" w:rsidP="220E6C25" w:rsidRDefault="001205B5" w14:paraId="61914ED0" w14:textId="47A75D0B">
      <w:pPr>
        <w:pStyle w:val="Normal"/>
        <w:jc w:val="both"/>
        <w:rPr>
          <w:rFonts w:ascii="Arial" w:hAnsi="Arial" w:cs="Arial"/>
          <w:b w:val="1"/>
          <w:bCs w:val="1"/>
          <w:color w:val="000000" w:themeColor="text1"/>
          <w:sz w:val="22"/>
          <w:szCs w:val="22"/>
        </w:rPr>
      </w:pPr>
      <w:r w:rsidRPr="220E6C25" w:rsidR="001205B5">
        <w:rPr>
          <w:rFonts w:ascii="Arial" w:hAnsi="Arial" w:cs="Arial"/>
          <w:b w:val="1"/>
          <w:bCs w:val="1"/>
          <w:color w:val="000000" w:themeColor="text1" w:themeTint="FF" w:themeShade="FF"/>
          <w:sz w:val="22"/>
          <w:szCs w:val="22"/>
        </w:rPr>
        <w:t xml:space="preserve">INHABILIDAD </w:t>
      </w:r>
      <w:r w:rsidRPr="220E6C25" w:rsidR="006655D4">
        <w:rPr>
          <w:rFonts w:ascii="Arial" w:hAnsi="Arial" w:eastAsia="Calibri" w:cs="Arial"/>
          <w:b w:val="1"/>
          <w:bCs w:val="1"/>
          <w:color w:val="000000" w:themeColor="text1" w:themeTint="FF" w:themeShade="FF"/>
          <w:sz w:val="22"/>
          <w:szCs w:val="22"/>
        </w:rPr>
        <w:t>–</w:t>
      </w:r>
      <w:r w:rsidRPr="220E6C25" w:rsidR="0030003A">
        <w:rPr>
          <w:rFonts w:ascii="Arial" w:hAnsi="Arial" w:cs="Arial"/>
          <w:b w:val="1"/>
          <w:bCs w:val="1"/>
          <w:color w:val="000000" w:themeColor="text1" w:themeTint="FF" w:themeShade="FF"/>
          <w:sz w:val="22"/>
          <w:szCs w:val="22"/>
        </w:rPr>
        <w:t xml:space="preserve"> </w:t>
      </w:r>
      <w:r w:rsidRPr="220E6C25" w:rsidR="000E454F">
        <w:rPr>
          <w:rFonts w:ascii="Arial" w:hAnsi="Arial" w:cs="Arial"/>
          <w:b w:val="1"/>
          <w:bCs w:val="1"/>
          <w:color w:val="000000" w:themeColor="text1" w:themeTint="FF" w:themeShade="FF"/>
          <w:sz w:val="22"/>
          <w:szCs w:val="22"/>
        </w:rPr>
        <w:t>Prohibici</w:t>
      </w:r>
      <w:r w:rsidRPr="220E6C25" w:rsidR="00EA667A">
        <w:rPr>
          <w:rFonts w:ascii="Arial" w:hAnsi="Arial" w:cs="Arial"/>
          <w:b w:val="1"/>
          <w:bCs w:val="1"/>
          <w:color w:val="000000" w:themeColor="text1" w:themeTint="FF" w:themeShade="FF"/>
          <w:sz w:val="22"/>
          <w:szCs w:val="22"/>
        </w:rPr>
        <w:t xml:space="preserve">ones </w:t>
      </w:r>
      <w:r w:rsidRPr="220E6C25" w:rsidR="006655D4">
        <w:rPr>
          <w:rFonts w:ascii="Arial" w:hAnsi="Arial" w:eastAsia="Calibri" w:cs="Arial"/>
          <w:b w:val="1"/>
          <w:bCs w:val="1"/>
          <w:color w:val="000000" w:themeColor="text1" w:themeTint="FF" w:themeShade="FF"/>
          <w:sz w:val="22"/>
          <w:szCs w:val="22"/>
        </w:rPr>
        <w:t>–</w:t>
      </w:r>
      <w:r w:rsidRPr="220E6C25" w:rsidR="00EA667A">
        <w:rPr>
          <w:rFonts w:ascii="Arial" w:hAnsi="Arial" w:cs="Arial"/>
          <w:b w:val="1"/>
          <w:bCs w:val="1"/>
          <w:color w:val="000000" w:themeColor="text1" w:themeTint="FF" w:themeShade="FF"/>
          <w:sz w:val="22"/>
          <w:szCs w:val="22"/>
        </w:rPr>
        <w:t xml:space="preserve"> Procedimientos </w:t>
      </w:r>
      <w:r w:rsidRPr="220E6C25" w:rsidR="001D6109">
        <w:rPr>
          <w:rFonts w:ascii="Arial" w:hAnsi="Arial" w:cs="Arial"/>
          <w:b w:val="1"/>
          <w:bCs w:val="1"/>
          <w:color w:val="000000" w:themeColor="text1" w:themeTint="FF" w:themeShade="FF"/>
          <w:sz w:val="22"/>
          <w:szCs w:val="22"/>
        </w:rPr>
        <w:t xml:space="preserve">de selección </w:t>
      </w:r>
      <w:r w:rsidRPr="220E6C25" w:rsidR="006655D4">
        <w:rPr>
          <w:rFonts w:ascii="Arial" w:hAnsi="Arial" w:eastAsia="Calibri" w:cs="Arial"/>
          <w:b w:val="1"/>
          <w:bCs w:val="1"/>
          <w:color w:val="000000" w:themeColor="text1" w:themeTint="FF" w:themeShade="FF"/>
          <w:sz w:val="22"/>
          <w:szCs w:val="22"/>
        </w:rPr>
        <w:t>–</w:t>
      </w:r>
      <w:r w:rsidRPr="220E6C25" w:rsidR="001D6109">
        <w:rPr>
          <w:rFonts w:ascii="Arial" w:hAnsi="Arial" w:cs="Arial"/>
          <w:b w:val="1"/>
          <w:bCs w:val="1"/>
          <w:color w:val="000000" w:themeColor="text1" w:themeTint="FF" w:themeShade="FF"/>
          <w:sz w:val="22"/>
          <w:szCs w:val="22"/>
        </w:rPr>
        <w:t xml:space="preserve"> C</w:t>
      </w:r>
      <w:r w:rsidRPr="220E6C25" w:rsidR="085B9F11">
        <w:rPr>
          <w:rFonts w:ascii="Arial" w:hAnsi="Arial" w:cs="Arial"/>
          <w:b w:val="1"/>
          <w:bCs w:val="1"/>
          <w:color w:val="000000" w:themeColor="text1" w:themeTint="FF" w:themeShade="FF"/>
          <w:sz w:val="22"/>
          <w:szCs w:val="22"/>
        </w:rPr>
        <w:t>elebración de contratos – Eventos</w:t>
      </w:r>
    </w:p>
    <w:p w:rsidRPr="00E04191" w:rsidR="00EA667A" w:rsidP="006655D4" w:rsidRDefault="00EA667A" w14:paraId="57F710BA" w14:textId="77777777">
      <w:pPr>
        <w:jc w:val="both"/>
        <w:rPr>
          <w:rFonts w:ascii="Arial" w:hAnsi="Arial" w:eastAsia="Calibri" w:cs="Arial"/>
          <w:color w:val="000000" w:themeColor="text1"/>
          <w:sz w:val="20"/>
          <w:szCs w:val="20"/>
          <w:lang w:val="es-ES_tradnl"/>
        </w:rPr>
      </w:pPr>
    </w:p>
    <w:p w:rsidRPr="00E04191" w:rsidR="0007454E" w:rsidP="006655D4" w:rsidRDefault="0007454E" w14:paraId="1E896884" w14:textId="36DCCF5D">
      <w:pPr>
        <w:jc w:val="both"/>
        <w:rPr>
          <w:rFonts w:ascii="Arial" w:hAnsi="Arial" w:eastAsia="Calibri" w:cs="Arial"/>
          <w:color w:val="000000" w:themeColor="text1"/>
          <w:sz w:val="20"/>
          <w:szCs w:val="20"/>
          <w:lang w:val="es-ES_tradnl"/>
        </w:rPr>
      </w:pPr>
      <w:r w:rsidRPr="00E04191">
        <w:rPr>
          <w:rFonts w:ascii="Arial" w:hAnsi="Arial" w:eastAsia="Calibri" w:cs="Arial"/>
          <w:color w:val="000000" w:themeColor="text1"/>
          <w:sz w:val="20"/>
          <w:szCs w:val="20"/>
          <w:lang w:val="es-ES_tradnl"/>
        </w:rPr>
        <w:t xml:space="preserve">Las inhabilidades son prohibiciones para concurrir a los procedimientos de selección y para contratar con el Estado, que se derivan: i) de la existencia de comportamientos reprochables o de sanciones anteriormente impuestas, </w:t>
      </w:r>
      <w:proofErr w:type="spellStart"/>
      <w:r w:rsidRPr="00E04191">
        <w:rPr>
          <w:rFonts w:ascii="Arial" w:hAnsi="Arial" w:eastAsia="Calibri" w:cs="Arial"/>
          <w:color w:val="000000" w:themeColor="text1"/>
          <w:sz w:val="20"/>
          <w:szCs w:val="20"/>
          <w:lang w:val="es-ES_tradnl"/>
        </w:rPr>
        <w:t>ii</w:t>
      </w:r>
      <w:proofErr w:type="spellEnd"/>
      <w:r w:rsidRPr="00E04191">
        <w:rPr>
          <w:rFonts w:ascii="Arial" w:hAnsi="Arial" w:eastAsia="Calibri" w:cs="Arial"/>
          <w:color w:val="000000" w:themeColor="text1"/>
          <w:sz w:val="20"/>
          <w:szCs w:val="20"/>
          <w:lang w:val="es-ES_tradnl"/>
        </w:rPr>
        <w:t xml:space="preserve">) de vínculos personales relativos al parentesco o al estado civil o </w:t>
      </w:r>
      <w:proofErr w:type="spellStart"/>
      <w:r w:rsidRPr="00E04191">
        <w:rPr>
          <w:rFonts w:ascii="Arial" w:hAnsi="Arial" w:eastAsia="Calibri" w:cs="Arial"/>
          <w:color w:val="000000" w:themeColor="text1"/>
          <w:sz w:val="20"/>
          <w:szCs w:val="20"/>
          <w:lang w:val="es-ES_tradnl"/>
        </w:rPr>
        <w:t>iii</w:t>
      </w:r>
      <w:proofErr w:type="spellEnd"/>
      <w:r w:rsidRPr="00E04191">
        <w:rPr>
          <w:rFonts w:ascii="Arial" w:hAnsi="Arial" w:eastAsia="Calibri" w:cs="Arial"/>
          <w:color w:val="000000" w:themeColor="text1"/>
          <w:sz w:val="20"/>
          <w:szCs w:val="20"/>
          <w:lang w:val="es-ES_tradnl"/>
        </w:rPr>
        <w:t xml:space="preserve">) de una actividad u oficio que se desempeñó en el pasado. De otro lado, las incompatibilidades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 </w:t>
      </w:r>
    </w:p>
    <w:p w:rsidRPr="00E04191" w:rsidR="000E454F" w:rsidP="006655D4" w:rsidRDefault="000E454F" w14:paraId="76717D19" w14:textId="20FF6F45">
      <w:pPr>
        <w:jc w:val="both"/>
        <w:rPr>
          <w:rFonts w:ascii="Arial" w:hAnsi="Arial" w:eastAsia="Calibri" w:cs="Arial"/>
          <w:color w:val="000000" w:themeColor="text1"/>
          <w:sz w:val="20"/>
          <w:szCs w:val="20"/>
          <w:lang w:val="es-ES_tradnl"/>
        </w:rPr>
      </w:pPr>
    </w:p>
    <w:p w:rsidRPr="00E04191" w:rsidR="000E454F" w:rsidP="220E6C25" w:rsidRDefault="000E454F" w14:paraId="025C7DEA" w14:textId="33AC6B0F">
      <w:pPr>
        <w:pStyle w:val="Normal"/>
        <w:jc w:val="both"/>
        <w:rPr>
          <w:rFonts w:ascii="Arial" w:hAnsi="Arial" w:eastAsia="Calibri" w:cs="Arial"/>
          <w:b w:val="1"/>
          <w:bCs w:val="1"/>
          <w:color w:val="000000" w:themeColor="text1"/>
          <w:sz w:val="22"/>
          <w:szCs w:val="22"/>
          <w:lang w:val="es-ES"/>
        </w:rPr>
      </w:pPr>
      <w:r w:rsidRPr="220E6C25" w:rsidR="000E454F">
        <w:rPr>
          <w:rFonts w:ascii="Arial" w:hAnsi="Arial" w:eastAsia="Calibri" w:cs="Arial"/>
          <w:b w:val="1"/>
          <w:bCs w:val="1"/>
          <w:color w:val="000000" w:themeColor="text1" w:themeTint="FF" w:themeShade="FF"/>
          <w:sz w:val="22"/>
          <w:szCs w:val="22"/>
          <w:lang w:val="es-ES"/>
        </w:rPr>
        <w:t xml:space="preserve">INHABILIDAD </w:t>
      </w:r>
      <w:r w:rsidRPr="220E6C25" w:rsidR="006655D4">
        <w:rPr>
          <w:rFonts w:ascii="Arial" w:hAnsi="Arial" w:eastAsia="Calibri" w:cs="Arial"/>
          <w:b w:val="1"/>
          <w:bCs w:val="1"/>
          <w:color w:val="000000" w:themeColor="text1" w:themeTint="FF" w:themeShade="FF"/>
          <w:sz w:val="22"/>
          <w:szCs w:val="22"/>
        </w:rPr>
        <w:t>–</w:t>
      </w:r>
      <w:r w:rsidRPr="220E6C25" w:rsidR="000E454F">
        <w:rPr>
          <w:rFonts w:ascii="Arial" w:hAnsi="Arial" w:eastAsia="Calibri" w:cs="Arial"/>
          <w:b w:val="1"/>
          <w:bCs w:val="1"/>
          <w:color w:val="000000" w:themeColor="text1" w:themeTint="FF" w:themeShade="FF"/>
          <w:sz w:val="22"/>
          <w:szCs w:val="22"/>
          <w:lang w:val="es-ES"/>
        </w:rPr>
        <w:t xml:space="preserve"> </w:t>
      </w:r>
      <w:r w:rsidRPr="220E6C25" w:rsidR="0000489B">
        <w:rPr>
          <w:rFonts w:ascii="Arial" w:hAnsi="Arial" w:eastAsia="Calibri" w:cs="Arial"/>
          <w:b w:val="1"/>
          <w:bCs w:val="1"/>
          <w:color w:val="000000" w:themeColor="text1" w:themeTint="FF" w:themeShade="FF"/>
          <w:sz w:val="22"/>
          <w:szCs w:val="22"/>
          <w:lang w:val="es-ES"/>
        </w:rPr>
        <w:t>Garantía</w:t>
      </w:r>
      <w:r w:rsidRPr="220E6C25" w:rsidR="00D44A75">
        <w:rPr>
          <w:rFonts w:ascii="Arial" w:hAnsi="Arial" w:eastAsia="Calibri" w:cs="Arial"/>
          <w:b w:val="1"/>
          <w:bCs w:val="1"/>
          <w:color w:val="000000" w:themeColor="text1" w:themeTint="FF" w:themeShade="FF"/>
          <w:sz w:val="22"/>
          <w:szCs w:val="22"/>
          <w:lang w:val="es-ES"/>
        </w:rPr>
        <w:t xml:space="preserve"> </w:t>
      </w:r>
      <w:r w:rsidRPr="220E6C25" w:rsidR="006655D4">
        <w:rPr>
          <w:rFonts w:ascii="Arial" w:hAnsi="Arial" w:eastAsia="Calibri" w:cs="Arial"/>
          <w:b w:val="1"/>
          <w:bCs w:val="1"/>
          <w:color w:val="000000" w:themeColor="text1" w:themeTint="FF" w:themeShade="FF"/>
          <w:sz w:val="22"/>
          <w:szCs w:val="22"/>
        </w:rPr>
        <w:t>–</w:t>
      </w:r>
      <w:r w:rsidRPr="220E6C25" w:rsidR="00D44A75">
        <w:rPr>
          <w:rFonts w:ascii="Arial" w:hAnsi="Arial" w:eastAsia="Calibri" w:cs="Arial"/>
          <w:b w:val="1"/>
          <w:bCs w:val="1"/>
          <w:color w:val="000000" w:themeColor="text1" w:themeTint="FF" w:themeShade="FF"/>
          <w:sz w:val="22"/>
          <w:szCs w:val="22"/>
          <w:lang w:val="es-ES"/>
        </w:rPr>
        <w:t xml:space="preserve"> Pr</w:t>
      </w:r>
      <w:r w:rsidRPr="220E6C25" w:rsidR="0000489B">
        <w:rPr>
          <w:rFonts w:ascii="Arial" w:hAnsi="Arial" w:eastAsia="Calibri" w:cs="Arial"/>
          <w:b w:val="1"/>
          <w:bCs w:val="1"/>
          <w:color w:val="000000" w:themeColor="text1" w:themeTint="FF" w:themeShade="FF"/>
          <w:sz w:val="22"/>
          <w:szCs w:val="22"/>
          <w:lang w:val="es-ES"/>
        </w:rPr>
        <w:t xml:space="preserve">incipios </w:t>
      </w:r>
      <w:r w:rsidRPr="220E6C25" w:rsidR="7E9D9ABE">
        <w:rPr>
          <w:rFonts w:ascii="Arial" w:hAnsi="Arial" w:eastAsia="Calibri" w:cs="Arial"/>
          <w:b w:val="1"/>
          <w:bCs w:val="1"/>
          <w:color w:val="000000" w:themeColor="text1" w:themeTint="FF" w:themeShade="FF"/>
          <w:sz w:val="22"/>
          <w:szCs w:val="22"/>
        </w:rPr>
        <w:t>– F</w:t>
      </w:r>
      <w:r w:rsidRPr="220E6C25" w:rsidR="0000489B">
        <w:rPr>
          <w:rFonts w:ascii="Arial" w:hAnsi="Arial" w:eastAsia="Calibri" w:cs="Arial"/>
          <w:b w:val="1"/>
          <w:bCs w:val="1"/>
          <w:color w:val="000000" w:themeColor="text1" w:themeTint="FF" w:themeShade="FF"/>
          <w:sz w:val="22"/>
          <w:szCs w:val="22"/>
          <w:lang w:val="es-ES"/>
        </w:rPr>
        <w:t xml:space="preserve">unción administrativa </w:t>
      </w:r>
      <w:r w:rsidRPr="220E6C25" w:rsidR="006655D4">
        <w:rPr>
          <w:rFonts w:ascii="Arial" w:hAnsi="Arial" w:eastAsia="Calibri" w:cs="Arial"/>
          <w:b w:val="1"/>
          <w:bCs w:val="1"/>
          <w:color w:val="000000" w:themeColor="text1" w:themeTint="FF" w:themeShade="FF"/>
          <w:sz w:val="22"/>
          <w:szCs w:val="22"/>
        </w:rPr>
        <w:t>–</w:t>
      </w:r>
      <w:r w:rsidRPr="220E6C25" w:rsidR="0000489B">
        <w:rPr>
          <w:rFonts w:ascii="Arial" w:hAnsi="Arial" w:eastAsia="Calibri" w:cs="Arial"/>
          <w:b w:val="1"/>
          <w:bCs w:val="1"/>
          <w:color w:val="000000" w:themeColor="text1" w:themeTint="FF" w:themeShade="FF"/>
          <w:sz w:val="22"/>
          <w:szCs w:val="22"/>
          <w:lang w:val="es-ES"/>
        </w:rPr>
        <w:t xml:space="preserve"> Instrumento</w:t>
      </w:r>
      <w:r w:rsidRPr="220E6C25" w:rsidR="00D44A75">
        <w:rPr>
          <w:rFonts w:ascii="Arial" w:hAnsi="Arial" w:eastAsia="Calibri" w:cs="Arial"/>
          <w:b w:val="1"/>
          <w:bCs w:val="1"/>
          <w:color w:val="000000" w:themeColor="text1" w:themeTint="FF" w:themeShade="FF"/>
          <w:sz w:val="22"/>
          <w:szCs w:val="22"/>
          <w:lang w:val="es-ES"/>
        </w:rPr>
        <w:t xml:space="preserve"> contra corrupción</w:t>
      </w:r>
    </w:p>
    <w:p w:rsidRPr="00E04191" w:rsidR="000E454F" w:rsidP="006655D4" w:rsidRDefault="000E454F" w14:paraId="746D5269" w14:textId="77777777">
      <w:pPr>
        <w:jc w:val="both"/>
        <w:rPr>
          <w:rFonts w:ascii="Arial" w:hAnsi="Arial" w:eastAsia="Calibri" w:cs="Arial"/>
          <w:color w:val="000000" w:themeColor="text1"/>
          <w:sz w:val="20"/>
          <w:szCs w:val="20"/>
          <w:lang w:val="es-ES_tradnl"/>
        </w:rPr>
      </w:pPr>
    </w:p>
    <w:p w:rsidRPr="00E04191" w:rsidR="0007454E" w:rsidP="006655D4" w:rsidRDefault="0007454E" w14:paraId="187B5976" w14:textId="7A3BD23E">
      <w:pPr>
        <w:jc w:val="both"/>
        <w:rPr>
          <w:rFonts w:ascii="Arial" w:hAnsi="Arial" w:eastAsia="Calibri" w:cs="Arial"/>
          <w:color w:val="000000" w:themeColor="text1"/>
          <w:sz w:val="20"/>
          <w:szCs w:val="20"/>
          <w:lang w:val="es-ES_tradnl"/>
        </w:rPr>
      </w:pPr>
      <w:r w:rsidRPr="00E04191">
        <w:rPr>
          <w:rFonts w:ascii="Arial" w:hAnsi="Arial" w:eastAsia="Calibri" w:cs="Arial"/>
          <w:color w:val="000000" w:themeColor="text1"/>
          <w:sz w:val="20"/>
          <w:szCs w:val="20"/>
          <w:lang w:val="es-ES_tradnl"/>
        </w:rPr>
        <w:t xml:space="preserve">El régimen de inhabilidades e incompatibilidades en la contratación pública responde a la tendencia, vigente desde hace varias décadas en nuestro país, pero que se ha reforzado en los últimos años, de asegurar que la actividad de provisión de los bienes y servicios por parte de las entidades estatales se efectúe cumpliendo con los principios de la función administrativa y de la gestión fiscal, especialmente con probidad y transparencia. Es por ello </w:t>
      </w:r>
      <w:proofErr w:type="gramStart"/>
      <w:r w:rsidRPr="00E04191">
        <w:rPr>
          <w:rFonts w:ascii="Arial" w:hAnsi="Arial" w:eastAsia="Calibri" w:cs="Arial"/>
          <w:color w:val="000000" w:themeColor="text1"/>
          <w:sz w:val="20"/>
          <w:szCs w:val="20"/>
          <w:lang w:val="es-ES_tradnl"/>
        </w:rPr>
        <w:t>que</w:t>
      </w:r>
      <w:proofErr w:type="gramEnd"/>
      <w:r w:rsidRPr="00E04191">
        <w:rPr>
          <w:rFonts w:ascii="Arial" w:hAnsi="Arial" w:eastAsia="Calibri" w:cs="Arial"/>
          <w:color w:val="000000" w:themeColor="text1"/>
          <w:sz w:val="20"/>
          <w:szCs w:val="20"/>
          <w:lang w:val="es-ES_tradnl"/>
        </w:rPr>
        <w:t>, como lo ha destacado la doctrina, las inhabilidades e incompatibilidades se han convertido en herramientas en la lucha contra la corrupción, adoptando paulatinamente un cariz sancionatorio o «</w:t>
      </w:r>
      <w:proofErr w:type="spellStart"/>
      <w:r w:rsidRPr="00E04191">
        <w:rPr>
          <w:rFonts w:ascii="Arial" w:hAnsi="Arial" w:eastAsia="Calibri" w:cs="Arial"/>
          <w:color w:val="000000" w:themeColor="text1"/>
          <w:sz w:val="20"/>
          <w:szCs w:val="20"/>
          <w:lang w:val="es-ES_tradnl"/>
        </w:rPr>
        <w:t>neopunitivo</w:t>
      </w:r>
      <w:proofErr w:type="spellEnd"/>
      <w:r w:rsidRPr="00E04191">
        <w:rPr>
          <w:rFonts w:ascii="Arial" w:hAnsi="Arial" w:eastAsia="Calibri" w:cs="Arial"/>
          <w:color w:val="000000" w:themeColor="text1"/>
          <w:sz w:val="20"/>
          <w:szCs w:val="20"/>
          <w:lang w:val="es-ES_tradnl"/>
        </w:rPr>
        <w:t>». Si bien no todas las causales de inhabilidad y de incompatibilidad son consecuencia de una medida de reproche ni de una sanción previa, como ya se explicó, es indiscutible que en los años más recientes los lamentables hechos de corrupción han generado, como respuesta del legislador, un incremento de las restricciones a la capacidad contractual, dirigidas a prevenir este tipo de situaciones o a sancionar tales conductas.</w:t>
      </w:r>
    </w:p>
    <w:p w:rsidRPr="00E04191" w:rsidR="00173B4E" w:rsidP="006655D4" w:rsidRDefault="00173B4E" w14:paraId="759661D9" w14:textId="3CAA3A05">
      <w:pPr>
        <w:jc w:val="both"/>
        <w:rPr>
          <w:rFonts w:ascii="Arial" w:hAnsi="Arial" w:eastAsia="Calibri" w:cs="Arial"/>
          <w:color w:val="000000" w:themeColor="text1"/>
          <w:sz w:val="20"/>
          <w:szCs w:val="20"/>
          <w:lang w:val="es-ES_tradnl"/>
        </w:rPr>
      </w:pPr>
    </w:p>
    <w:p w:rsidRPr="00E04191" w:rsidR="00173B4E" w:rsidP="220E6C25" w:rsidRDefault="00173B4E" w14:paraId="69809660" w14:textId="01F02C69">
      <w:pPr>
        <w:jc w:val="both"/>
        <w:rPr>
          <w:rFonts w:ascii="Arial" w:hAnsi="Arial" w:eastAsia="Calibri" w:cs="Arial"/>
          <w:b w:val="1"/>
          <w:bCs w:val="1"/>
          <w:i w:val="1"/>
          <w:iCs w:val="1"/>
          <w:color w:val="000000" w:themeColor="text1"/>
          <w:sz w:val="22"/>
          <w:szCs w:val="22"/>
          <w:lang w:val="es-ES"/>
        </w:rPr>
      </w:pPr>
      <w:r w:rsidRPr="220E6C25" w:rsidR="00173B4E">
        <w:rPr>
          <w:rFonts w:ascii="Arial" w:hAnsi="Arial" w:eastAsia="Calibri" w:cs="Arial"/>
          <w:b w:val="1"/>
          <w:bCs w:val="1"/>
          <w:color w:val="000000" w:themeColor="text1" w:themeTint="FF" w:themeShade="FF"/>
          <w:sz w:val="22"/>
          <w:szCs w:val="22"/>
          <w:lang w:val="es-ES"/>
        </w:rPr>
        <w:t xml:space="preserve">INHABILIDAD </w:t>
      </w:r>
      <w:r w:rsidRPr="220E6C25" w:rsidR="006655D4">
        <w:rPr>
          <w:rFonts w:ascii="Arial" w:hAnsi="Arial" w:eastAsia="Calibri" w:cs="Arial"/>
          <w:b w:val="1"/>
          <w:bCs w:val="1"/>
          <w:color w:val="000000" w:themeColor="text1" w:themeTint="FF" w:themeShade="FF"/>
          <w:sz w:val="22"/>
          <w:szCs w:val="22"/>
        </w:rPr>
        <w:t>–</w:t>
      </w:r>
      <w:r w:rsidRPr="220E6C25" w:rsidR="00173B4E">
        <w:rPr>
          <w:rFonts w:ascii="Arial" w:hAnsi="Arial" w:eastAsia="Calibri" w:cs="Arial"/>
          <w:b w:val="1"/>
          <w:bCs w:val="1"/>
          <w:color w:val="000000" w:themeColor="text1" w:themeTint="FF" w:themeShade="FF"/>
          <w:sz w:val="22"/>
          <w:szCs w:val="22"/>
          <w:lang w:val="es-ES"/>
        </w:rPr>
        <w:t xml:space="preserve"> Principio de legalidad </w:t>
      </w:r>
      <w:r w:rsidRPr="220E6C25" w:rsidR="006655D4">
        <w:rPr>
          <w:rFonts w:ascii="Arial" w:hAnsi="Arial" w:eastAsia="Calibri" w:cs="Arial"/>
          <w:b w:val="1"/>
          <w:bCs w:val="1"/>
          <w:color w:val="000000" w:themeColor="text1" w:themeTint="FF" w:themeShade="FF"/>
          <w:sz w:val="22"/>
          <w:szCs w:val="22"/>
        </w:rPr>
        <w:t>–</w:t>
      </w:r>
      <w:r w:rsidRPr="220E6C25" w:rsidR="003B1FE2">
        <w:rPr>
          <w:rFonts w:ascii="Arial" w:hAnsi="Arial" w:eastAsia="Calibri" w:cs="Arial"/>
          <w:b w:val="1"/>
          <w:bCs w:val="1"/>
          <w:color w:val="000000" w:themeColor="text1" w:themeTint="FF" w:themeShade="FF"/>
          <w:sz w:val="22"/>
          <w:szCs w:val="22"/>
          <w:lang w:val="es-ES"/>
        </w:rPr>
        <w:t xml:space="preserve"> Interpretación restrictiva </w:t>
      </w:r>
      <w:r w:rsidRPr="220E6C25" w:rsidR="006655D4">
        <w:rPr>
          <w:rFonts w:ascii="Arial" w:hAnsi="Arial" w:eastAsia="Calibri" w:cs="Arial"/>
          <w:b w:val="1"/>
          <w:bCs w:val="1"/>
          <w:color w:val="000000" w:themeColor="text1" w:themeTint="FF" w:themeShade="FF"/>
          <w:sz w:val="22"/>
          <w:szCs w:val="22"/>
        </w:rPr>
        <w:t>–</w:t>
      </w:r>
      <w:r w:rsidRPr="220E6C25" w:rsidR="00C27C7D">
        <w:rPr>
          <w:rFonts w:ascii="Arial" w:hAnsi="Arial" w:eastAsia="Calibri" w:cs="Arial"/>
          <w:b w:val="1"/>
          <w:bCs w:val="1"/>
          <w:color w:val="000000" w:themeColor="text1" w:themeTint="FF" w:themeShade="FF"/>
          <w:sz w:val="22"/>
          <w:szCs w:val="22"/>
          <w:lang w:val="es-ES"/>
        </w:rPr>
        <w:t xml:space="preserve"> Principio </w:t>
      </w:r>
      <w:r w:rsidRPr="220E6C25" w:rsidR="00C27C7D">
        <w:rPr>
          <w:rFonts w:ascii="Arial" w:hAnsi="Arial" w:eastAsia="Calibri" w:cs="Arial"/>
          <w:b w:val="1"/>
          <w:bCs w:val="1"/>
          <w:i w:val="1"/>
          <w:iCs w:val="1"/>
          <w:color w:val="000000" w:themeColor="text1" w:themeTint="FF" w:themeShade="FF"/>
          <w:sz w:val="22"/>
          <w:szCs w:val="22"/>
          <w:lang w:val="es-ES"/>
        </w:rPr>
        <w:t xml:space="preserve">pro </w:t>
      </w:r>
      <w:proofErr w:type="spellStart"/>
      <w:r w:rsidRPr="220E6C25" w:rsidR="00C27C7D">
        <w:rPr>
          <w:rFonts w:ascii="Arial" w:hAnsi="Arial" w:eastAsia="Calibri" w:cs="Arial"/>
          <w:b w:val="1"/>
          <w:bCs w:val="1"/>
          <w:i w:val="1"/>
          <w:iCs w:val="1"/>
          <w:color w:val="000000" w:themeColor="text1" w:themeTint="FF" w:themeShade="FF"/>
          <w:sz w:val="22"/>
          <w:szCs w:val="22"/>
          <w:lang w:val="es-ES"/>
        </w:rPr>
        <w:t>libertate</w:t>
      </w:r>
      <w:proofErr w:type="spellEnd"/>
    </w:p>
    <w:p w:rsidRPr="00E04191" w:rsidR="00173B4E" w:rsidP="006655D4" w:rsidRDefault="00173B4E" w14:paraId="70670EA8" w14:textId="77777777">
      <w:pPr>
        <w:jc w:val="both"/>
        <w:rPr>
          <w:rFonts w:ascii="Arial" w:hAnsi="Arial" w:eastAsia="Calibri" w:cs="Arial"/>
          <w:color w:val="000000" w:themeColor="text1"/>
          <w:sz w:val="20"/>
          <w:szCs w:val="20"/>
          <w:lang w:val="es-ES_tradnl"/>
        </w:rPr>
      </w:pPr>
    </w:p>
    <w:p w:rsidRPr="00E04191" w:rsidR="00E87AD4" w:rsidP="00D64579" w:rsidRDefault="0007454E" w14:paraId="0DF66D9D" w14:textId="261330FE">
      <w:pPr>
        <w:spacing w:after="120"/>
        <w:jc w:val="both"/>
        <w:rPr>
          <w:rFonts w:ascii="Arial" w:hAnsi="Arial" w:eastAsia="Calibri" w:cs="Arial"/>
          <w:color w:val="000000" w:themeColor="text1"/>
          <w:sz w:val="20"/>
          <w:szCs w:val="20"/>
          <w:lang w:val="es-ES_tradnl"/>
        </w:rPr>
      </w:pPr>
      <w:r w:rsidRPr="00E04191">
        <w:rPr>
          <w:rFonts w:ascii="Arial" w:hAnsi="Arial" w:eastAsia="Calibri" w:cs="Arial"/>
          <w:color w:val="000000" w:themeColor="text1"/>
          <w:sz w:val="20"/>
          <w:szCs w:val="20"/>
          <w:lang w:val="es-ES_tradnl"/>
        </w:rPr>
        <w:t xml:space="preserve">Ahora bien, 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w:t>
      </w:r>
      <w:r w:rsidRPr="00E04191">
        <w:rPr>
          <w:rFonts w:ascii="Arial" w:hAnsi="Arial" w:eastAsia="Calibri" w:cs="Arial"/>
          <w:i/>
          <w:iCs/>
          <w:color w:val="000000" w:themeColor="text1"/>
          <w:sz w:val="20"/>
          <w:szCs w:val="20"/>
          <w:lang w:val="es-ES_tradnl"/>
        </w:rPr>
        <w:t>restrictiva</w:t>
      </w:r>
      <w:r w:rsidRPr="00E04191">
        <w:rPr>
          <w:rFonts w:ascii="Arial" w:hAnsi="Arial" w:eastAsia="Calibri" w:cs="Arial"/>
          <w:color w:val="000000" w:themeColor="text1"/>
          <w:sz w:val="20"/>
          <w:szCs w:val="20"/>
          <w:lang w:val="es-ES_tradnl"/>
        </w:rPr>
        <w:t xml:space="preserve">, pues si se admitiera una interpretación 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 Tal ha sido la postura al interior de la jurisprudencia, tanto de la Corte Constitucional como de la Sección Tercera del Consejo de Estado. </w:t>
      </w:r>
    </w:p>
    <w:p w:rsidRPr="00E04191" w:rsidR="0007454E" w:rsidP="00C024B3" w:rsidRDefault="0007454E" w14:paraId="29545019" w14:textId="5B05BB6B">
      <w:pPr>
        <w:spacing w:after="120"/>
        <w:jc w:val="both"/>
        <w:rPr>
          <w:rFonts w:ascii="Arial" w:hAnsi="Arial" w:eastAsia="Calibri" w:cs="Arial"/>
          <w:color w:val="000000" w:themeColor="text1"/>
          <w:sz w:val="20"/>
          <w:szCs w:val="20"/>
          <w:lang w:val="es-ES_tradnl"/>
        </w:rPr>
      </w:pPr>
      <w:r w:rsidRPr="00E04191">
        <w:rPr>
          <w:rFonts w:ascii="Arial" w:hAnsi="Arial" w:eastAsia="Calibri" w:cs="Arial"/>
          <w:color w:val="000000" w:themeColor="text1"/>
          <w:sz w:val="20"/>
          <w:szCs w:val="20"/>
          <w:lang w:val="es-ES_tradnl"/>
        </w:rPr>
        <w:t>En efecto, el máximo tribunal constitucional ha indicado que, al tratar de precisar el sentido de este tipo de normas,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 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00C024B3">
        <w:rPr>
          <w:rFonts w:ascii="Arial" w:hAnsi="Arial" w:eastAsia="Calibri" w:cs="Arial"/>
          <w:color w:val="000000" w:themeColor="text1"/>
          <w:sz w:val="20"/>
          <w:szCs w:val="20"/>
          <w:lang w:val="es-ES_tradnl"/>
        </w:rPr>
        <w:t>.</w:t>
      </w:r>
    </w:p>
    <w:p w:rsidRPr="00E04191" w:rsidR="00535196" w:rsidP="006655D4" w:rsidRDefault="00535196" w14:paraId="56F1BA35" w14:textId="096C030B">
      <w:pPr>
        <w:jc w:val="both"/>
        <w:rPr>
          <w:rFonts w:ascii="Arial" w:hAnsi="Arial" w:eastAsia="Calibri" w:cs="Arial"/>
          <w:color w:val="000000" w:themeColor="text1"/>
          <w:sz w:val="20"/>
          <w:szCs w:val="20"/>
          <w:lang w:val="es-ES_tradnl"/>
        </w:rPr>
      </w:pPr>
    </w:p>
    <w:p w:rsidRPr="00E04191" w:rsidR="0007454E" w:rsidP="006655D4" w:rsidRDefault="0007454E" w14:paraId="1BCDA4B5" w14:textId="6B4F2956">
      <w:pPr>
        <w:jc w:val="both"/>
        <w:rPr>
          <w:rFonts w:ascii="Arial" w:hAnsi="Arial" w:eastAsia="Calibri" w:cs="Arial"/>
          <w:color w:val="000000" w:themeColor="text1"/>
          <w:sz w:val="20"/>
          <w:szCs w:val="20"/>
          <w:lang w:val="es-ES_tradnl"/>
        </w:rPr>
      </w:pPr>
      <w:r w:rsidRPr="00E04191">
        <w:rPr>
          <w:rFonts w:ascii="Arial" w:hAnsi="Arial" w:eastAsia="Calibri" w:cs="Arial"/>
          <w:color w:val="000000" w:themeColor="text1"/>
          <w:sz w:val="20"/>
          <w:szCs w:val="20"/>
          <w:lang w:val="es-ES_tradnl"/>
        </w:rPr>
        <w:lastRenderedPageBreak/>
        <w:t xml:space="preserve">Como se aprecia, el principio </w:t>
      </w:r>
      <w:r w:rsidRPr="00E04191">
        <w:rPr>
          <w:rFonts w:ascii="Arial" w:hAnsi="Arial" w:eastAsia="Calibri" w:cs="Arial"/>
          <w:i/>
          <w:iCs/>
          <w:color w:val="000000" w:themeColor="text1"/>
          <w:sz w:val="20"/>
          <w:szCs w:val="20"/>
          <w:lang w:val="es-ES_tradnl"/>
        </w:rPr>
        <w:t xml:space="preserve">pro </w:t>
      </w:r>
      <w:proofErr w:type="spellStart"/>
      <w:r w:rsidRPr="00E04191">
        <w:rPr>
          <w:rFonts w:ascii="Arial" w:hAnsi="Arial" w:eastAsia="Calibri" w:cs="Arial"/>
          <w:i/>
          <w:iCs/>
          <w:color w:val="000000" w:themeColor="text1"/>
          <w:sz w:val="20"/>
          <w:szCs w:val="20"/>
          <w:lang w:val="es-ES_tradnl"/>
        </w:rPr>
        <w:t>libertate</w:t>
      </w:r>
      <w:proofErr w:type="spellEnd"/>
      <w:r w:rsidRPr="00E04191">
        <w:rPr>
          <w:rFonts w:ascii="Arial" w:hAnsi="Arial" w:eastAsia="Calibri" w:cs="Arial"/>
          <w:color w:val="000000" w:themeColor="text1"/>
          <w:sz w:val="20"/>
          <w:szCs w:val="20"/>
          <w:lang w:val="es-ES_tradnl"/>
        </w:rPr>
        <w:t xml:space="preserve"> es el que debe dirigir la interpretación de las disposiciones normativas que consagran restricciones de derechos, como sucede con las causales de inhabilidad e incompatibilidad en la contratación estatal.</w:t>
      </w:r>
    </w:p>
    <w:p w:rsidRPr="00E04191" w:rsidR="0007454E" w:rsidP="006655D4" w:rsidRDefault="0007454E" w14:paraId="3B346AAD" w14:textId="77777777">
      <w:pPr>
        <w:jc w:val="both"/>
        <w:rPr>
          <w:rFonts w:ascii="Arial" w:hAnsi="Arial" w:eastAsia="Calibri" w:cs="Arial"/>
          <w:color w:val="000000" w:themeColor="text1"/>
          <w:sz w:val="20"/>
          <w:szCs w:val="20"/>
          <w:lang w:val="es-ES_tradnl"/>
        </w:rPr>
      </w:pPr>
    </w:p>
    <w:p w:rsidRPr="00E04191" w:rsidR="00C27C7D" w:rsidP="006655D4" w:rsidRDefault="00C27C7D" w14:paraId="7B4D690B" w14:textId="5A7E9E88">
      <w:pPr>
        <w:jc w:val="both"/>
        <w:rPr>
          <w:rFonts w:ascii="Arial" w:hAnsi="Arial" w:cs="Arial"/>
          <w:b/>
          <w:bCs/>
          <w:color w:val="000000" w:themeColor="text1"/>
          <w:sz w:val="22"/>
        </w:rPr>
      </w:pPr>
      <w:r w:rsidRPr="00E04191">
        <w:rPr>
          <w:rFonts w:ascii="Arial" w:hAnsi="Arial" w:cs="Arial"/>
          <w:b/>
          <w:bCs/>
          <w:color w:val="000000" w:themeColor="text1"/>
          <w:sz w:val="22"/>
        </w:rPr>
        <w:t xml:space="preserve">CÓDIGO NACIONAL DE TRÁNSITO </w:t>
      </w:r>
      <w:r w:rsidRPr="006C15D5" w:rsidR="006655D4">
        <w:rPr>
          <w:rFonts w:ascii="Arial" w:hAnsi="Arial" w:eastAsia="Calibri" w:cs="Arial"/>
          <w:b/>
          <w:color w:val="000000" w:themeColor="text1"/>
          <w:sz w:val="22"/>
        </w:rPr>
        <w:t>–</w:t>
      </w:r>
      <w:r w:rsidRPr="00E04191" w:rsidR="00692433">
        <w:rPr>
          <w:rFonts w:ascii="Arial" w:hAnsi="Arial" w:cs="Arial"/>
          <w:b/>
          <w:bCs/>
          <w:color w:val="000000" w:themeColor="text1"/>
          <w:sz w:val="22"/>
        </w:rPr>
        <w:t xml:space="preserve"> </w:t>
      </w:r>
      <w:r w:rsidRPr="00E04191" w:rsidR="00D44A75">
        <w:rPr>
          <w:rFonts w:ascii="Arial" w:hAnsi="Arial" w:cs="Arial"/>
          <w:b/>
          <w:bCs/>
          <w:color w:val="000000" w:themeColor="text1"/>
          <w:sz w:val="22"/>
        </w:rPr>
        <w:t>L</w:t>
      </w:r>
      <w:r w:rsidRPr="00E04191" w:rsidR="00692433">
        <w:rPr>
          <w:rFonts w:ascii="Arial" w:hAnsi="Arial" w:cs="Arial"/>
          <w:b/>
          <w:bCs/>
          <w:color w:val="000000" w:themeColor="text1"/>
          <w:sz w:val="22"/>
        </w:rPr>
        <w:t xml:space="preserve">ibertad de circulación </w:t>
      </w:r>
      <w:r w:rsidRPr="006C15D5" w:rsidR="006655D4">
        <w:rPr>
          <w:rFonts w:ascii="Arial" w:hAnsi="Arial" w:eastAsia="Calibri" w:cs="Arial"/>
          <w:b/>
          <w:color w:val="000000" w:themeColor="text1"/>
          <w:sz w:val="22"/>
        </w:rPr>
        <w:t>–</w:t>
      </w:r>
      <w:r w:rsidRPr="00E04191" w:rsidR="00692433">
        <w:rPr>
          <w:rFonts w:ascii="Arial" w:hAnsi="Arial" w:cs="Arial"/>
          <w:b/>
          <w:bCs/>
          <w:color w:val="000000" w:themeColor="text1"/>
          <w:sz w:val="22"/>
        </w:rPr>
        <w:t xml:space="preserve"> Finalidad</w:t>
      </w:r>
    </w:p>
    <w:p w:rsidRPr="00E04191" w:rsidR="00692433" w:rsidP="006655D4" w:rsidRDefault="00692433" w14:paraId="6B1F5CCC" w14:textId="77777777">
      <w:pPr>
        <w:jc w:val="both"/>
        <w:rPr>
          <w:rFonts w:ascii="Arial" w:hAnsi="Arial" w:cs="Arial"/>
          <w:b/>
          <w:bCs/>
          <w:color w:val="000000" w:themeColor="text1"/>
          <w:sz w:val="20"/>
          <w:szCs w:val="20"/>
        </w:rPr>
      </w:pPr>
    </w:p>
    <w:p w:rsidRPr="00E04191" w:rsidR="0007454E" w:rsidP="006655D4" w:rsidRDefault="0007454E" w14:paraId="6030C114" w14:textId="1E98E5DB">
      <w:pPr>
        <w:jc w:val="both"/>
        <w:rPr>
          <w:rFonts w:ascii="Arial" w:hAnsi="Arial" w:cs="Arial"/>
          <w:color w:val="000000" w:themeColor="text1"/>
          <w:sz w:val="20"/>
          <w:szCs w:val="20"/>
        </w:rPr>
      </w:pPr>
      <w:r w:rsidRPr="00E04191">
        <w:rPr>
          <w:rFonts w:ascii="Arial" w:hAnsi="Arial" w:cs="Arial"/>
          <w:color w:val="000000" w:themeColor="text1"/>
          <w:sz w:val="20"/>
          <w:szCs w:val="20"/>
        </w:rPr>
        <w:t>La Constitución Política de Colombia garantiza, entre otros</w:t>
      </w:r>
      <w:r w:rsidRPr="00E04191" w:rsidR="009E3F9D">
        <w:rPr>
          <w:rFonts w:ascii="Arial" w:hAnsi="Arial" w:cs="Arial"/>
          <w:color w:val="000000" w:themeColor="text1"/>
          <w:sz w:val="20"/>
          <w:szCs w:val="20"/>
        </w:rPr>
        <w:t xml:space="preserve"> derechos fundamentales,</w:t>
      </w:r>
      <w:r w:rsidRPr="00E04191">
        <w:rPr>
          <w:rFonts w:ascii="Arial" w:hAnsi="Arial" w:cs="Arial"/>
          <w:color w:val="000000" w:themeColor="text1"/>
          <w:sz w:val="20"/>
          <w:szCs w:val="20"/>
        </w:rPr>
        <w:t xml:space="preserve"> la libertad de circulación. En ejercicio de la función legislativa del poder público, el Congreso de la República profirió la Ley 769 de 2002 «Por la cual se expide el Código Nacional de Tránsito Terrestre y se dictan otras disposiciones», cuerpo normativo que tiene como propósito desarrollar el mencionado derecho fundamental en el ámbito relacionado con el comportamiento de los denominados actores viales [peatones, pasajeros y conductores] en uso de vías públicas o privadas.</w:t>
      </w:r>
    </w:p>
    <w:p w:rsidRPr="00E04191" w:rsidR="005C0368" w:rsidP="006655D4" w:rsidRDefault="005C0368" w14:paraId="00861D77" w14:textId="4429822F">
      <w:pPr>
        <w:jc w:val="both"/>
        <w:rPr>
          <w:rFonts w:ascii="Arial" w:hAnsi="Arial" w:cs="Arial"/>
          <w:color w:val="000000" w:themeColor="text1"/>
          <w:sz w:val="20"/>
          <w:szCs w:val="20"/>
        </w:rPr>
      </w:pPr>
    </w:p>
    <w:p w:rsidRPr="00E04191" w:rsidR="005C0368" w:rsidP="006655D4" w:rsidRDefault="005C0368" w14:paraId="077421A7" w14:textId="21EB59D5">
      <w:pPr>
        <w:jc w:val="both"/>
        <w:rPr>
          <w:rFonts w:ascii="Arial" w:hAnsi="Arial" w:cs="Arial"/>
          <w:b/>
          <w:bCs/>
          <w:color w:val="000000" w:themeColor="text1"/>
          <w:sz w:val="22"/>
        </w:rPr>
      </w:pPr>
      <w:r w:rsidRPr="00E04191">
        <w:rPr>
          <w:rFonts w:ascii="Arial" w:hAnsi="Arial" w:cs="Arial"/>
          <w:b/>
          <w:bCs/>
          <w:color w:val="000000" w:themeColor="text1"/>
          <w:sz w:val="22"/>
        </w:rPr>
        <w:t xml:space="preserve">CÓDIGO NACIONAL DE TRÁNSITO </w:t>
      </w:r>
      <w:r w:rsidRPr="006C15D5" w:rsidR="006655D4">
        <w:rPr>
          <w:rFonts w:ascii="Arial" w:hAnsi="Arial" w:eastAsia="Calibri" w:cs="Arial"/>
          <w:b/>
          <w:color w:val="000000" w:themeColor="text1"/>
          <w:sz w:val="22"/>
        </w:rPr>
        <w:t>–</w:t>
      </w:r>
      <w:r w:rsidRPr="00E04191">
        <w:rPr>
          <w:rFonts w:ascii="Arial" w:hAnsi="Arial" w:cs="Arial"/>
          <w:b/>
          <w:bCs/>
          <w:color w:val="000000" w:themeColor="text1"/>
          <w:sz w:val="22"/>
        </w:rPr>
        <w:t xml:space="preserve"> </w:t>
      </w:r>
      <w:r w:rsidRPr="00E04191" w:rsidR="00940227">
        <w:rPr>
          <w:rFonts w:ascii="Arial" w:hAnsi="Arial" w:cs="Arial"/>
          <w:b/>
          <w:bCs/>
          <w:color w:val="000000" w:themeColor="text1"/>
          <w:sz w:val="22"/>
        </w:rPr>
        <w:t xml:space="preserve">Régimen sancionatorio </w:t>
      </w:r>
      <w:r w:rsidRPr="006C15D5" w:rsidR="006655D4">
        <w:rPr>
          <w:rFonts w:ascii="Arial" w:hAnsi="Arial" w:eastAsia="Calibri" w:cs="Arial"/>
          <w:b/>
          <w:color w:val="000000" w:themeColor="text1"/>
          <w:sz w:val="22"/>
        </w:rPr>
        <w:t>–</w:t>
      </w:r>
      <w:r w:rsidRPr="00E04191" w:rsidR="00940227">
        <w:rPr>
          <w:rFonts w:ascii="Arial" w:hAnsi="Arial" w:cs="Arial"/>
          <w:b/>
          <w:bCs/>
          <w:color w:val="000000" w:themeColor="text1"/>
          <w:sz w:val="22"/>
        </w:rPr>
        <w:t xml:space="preserve"> </w:t>
      </w:r>
      <w:r w:rsidRPr="00E04191" w:rsidR="003B02AC">
        <w:rPr>
          <w:rFonts w:ascii="Arial" w:hAnsi="Arial" w:cs="Arial"/>
          <w:b/>
          <w:bCs/>
          <w:color w:val="000000" w:themeColor="text1"/>
          <w:sz w:val="22"/>
        </w:rPr>
        <w:t>Inhabilidades e incompatibilidades</w:t>
      </w:r>
      <w:r w:rsidRPr="00E04191" w:rsidR="00D44A75">
        <w:rPr>
          <w:rFonts w:ascii="Arial" w:hAnsi="Arial" w:cs="Arial"/>
          <w:b/>
          <w:bCs/>
          <w:color w:val="000000" w:themeColor="text1"/>
          <w:sz w:val="22"/>
        </w:rPr>
        <w:t xml:space="preserve"> </w:t>
      </w:r>
      <w:r w:rsidRPr="006C15D5" w:rsidR="006655D4">
        <w:rPr>
          <w:rFonts w:ascii="Arial" w:hAnsi="Arial" w:eastAsia="Calibri" w:cs="Arial"/>
          <w:b/>
          <w:color w:val="000000" w:themeColor="text1"/>
          <w:sz w:val="22"/>
        </w:rPr>
        <w:t>–</w:t>
      </w:r>
      <w:r w:rsidRPr="00E04191" w:rsidR="003B02AC">
        <w:rPr>
          <w:rFonts w:ascii="Arial" w:hAnsi="Arial" w:cs="Arial"/>
          <w:b/>
          <w:bCs/>
          <w:color w:val="000000" w:themeColor="text1"/>
          <w:sz w:val="22"/>
        </w:rPr>
        <w:t xml:space="preserve"> Ley 769 de 2002</w:t>
      </w:r>
    </w:p>
    <w:p w:rsidRPr="00E04191" w:rsidR="005C0368" w:rsidP="006655D4" w:rsidRDefault="005C0368" w14:paraId="0F6F840C" w14:textId="77777777">
      <w:pPr>
        <w:jc w:val="both"/>
        <w:rPr>
          <w:rFonts w:ascii="Arial" w:hAnsi="Arial" w:cs="Arial"/>
          <w:color w:val="000000" w:themeColor="text1"/>
          <w:sz w:val="20"/>
          <w:szCs w:val="20"/>
        </w:rPr>
      </w:pPr>
    </w:p>
    <w:p w:rsidRPr="00E04191" w:rsidR="00D44A75" w:rsidP="00C024B3" w:rsidRDefault="0007454E" w14:paraId="1CFEED18" w14:textId="180C90F7">
      <w:pPr>
        <w:spacing w:after="120"/>
        <w:jc w:val="both"/>
        <w:rPr>
          <w:rFonts w:ascii="Arial" w:hAnsi="Arial" w:cs="Arial"/>
          <w:color w:val="000000" w:themeColor="text1"/>
          <w:sz w:val="20"/>
          <w:szCs w:val="20"/>
        </w:rPr>
      </w:pPr>
      <w:r w:rsidRPr="00E04191">
        <w:rPr>
          <w:rFonts w:ascii="Arial" w:hAnsi="Arial" w:cs="Arial"/>
          <w:color w:val="000000" w:themeColor="text1"/>
          <w:sz w:val="20"/>
          <w:szCs w:val="20"/>
        </w:rPr>
        <w:t>El incumplimiento de esos preceptos normativos, entre ellos, los relacionados con la conducción de vehículos</w:t>
      </w:r>
      <w:r w:rsidRPr="00E04191" w:rsidR="00865C94">
        <w:rPr>
          <w:rFonts w:ascii="Arial" w:hAnsi="Arial" w:cs="Arial"/>
          <w:color w:val="000000" w:themeColor="text1"/>
          <w:sz w:val="20"/>
          <w:szCs w:val="20"/>
        </w:rPr>
        <w:t>,</w:t>
      </w:r>
      <w:r w:rsidRPr="00E04191">
        <w:rPr>
          <w:rFonts w:ascii="Arial" w:hAnsi="Arial" w:cs="Arial"/>
          <w:color w:val="000000" w:themeColor="text1"/>
          <w:sz w:val="20"/>
          <w:szCs w:val="20"/>
        </w:rPr>
        <w:t xml:space="preserve"> hará acreedor al infractor </w:t>
      </w:r>
      <w:r w:rsidRPr="00E04191" w:rsidR="00AE1909">
        <w:rPr>
          <w:rFonts w:ascii="Arial" w:hAnsi="Arial" w:cs="Arial"/>
          <w:color w:val="000000" w:themeColor="text1"/>
          <w:sz w:val="20"/>
          <w:szCs w:val="20"/>
        </w:rPr>
        <w:t>a</w:t>
      </w:r>
      <w:r w:rsidRPr="00E04191">
        <w:rPr>
          <w:rFonts w:ascii="Arial" w:hAnsi="Arial" w:cs="Arial"/>
          <w:color w:val="000000" w:themeColor="text1"/>
          <w:sz w:val="20"/>
          <w:szCs w:val="20"/>
        </w:rPr>
        <w:t xml:space="preserve"> las sanciones allí establecidas, que pueden consistir en amonestación, multa, retención preventiva de la licencia de conducción, suspensión de la licencia de conducción, suspensión o cancelación del permiso o registro, inmovilización del vehículo, retención preventiva del vehículo y/o cancelación definitiva de la licencia de conducción; esto implica que el derecho a conducir vehículos no es absoluto, pues el mismo ordenamiento jurídico contempló límites a su ejercicio.</w:t>
      </w:r>
    </w:p>
    <w:p w:rsidRPr="00E04191" w:rsidR="00D44A75" w:rsidP="00C024B3" w:rsidRDefault="0007454E" w14:paraId="50F2F101" w14:textId="13FAC6B9">
      <w:pPr>
        <w:spacing w:after="120"/>
        <w:jc w:val="both"/>
        <w:rPr>
          <w:rFonts w:ascii="Arial" w:hAnsi="Arial" w:cs="Arial"/>
          <w:color w:val="000000" w:themeColor="text1"/>
          <w:sz w:val="20"/>
          <w:szCs w:val="20"/>
        </w:rPr>
      </w:pPr>
      <w:r w:rsidRPr="2D99B1DF">
        <w:rPr>
          <w:rFonts w:ascii="Arial" w:hAnsi="Arial" w:cs="Arial"/>
          <w:color w:val="000000" w:themeColor="text1"/>
          <w:sz w:val="20"/>
          <w:szCs w:val="20"/>
        </w:rPr>
        <w:t>Dentro de los límites establecidos en la Ley 769 de 2002 al ejercicio del derecho a la conducción de vehículos, se establecieron inhabilidades e incompatibilidades de carácter temporal o permanente, que consisten en la suspensión temporal o cancelación definitiva de la licencia de conducción</w:t>
      </w:r>
      <w:r w:rsidRPr="2D99B1DF" w:rsidR="00DF75F3">
        <w:rPr>
          <w:rFonts w:ascii="Arial" w:hAnsi="Arial" w:cs="Arial"/>
          <w:color w:val="000000" w:themeColor="text1"/>
          <w:sz w:val="20"/>
          <w:szCs w:val="20"/>
        </w:rPr>
        <w:t>; sin embargo, ninguna de esas limitaciones guarda relación directa o indirecta con las disposiciones que regulan la contratación de las Entidades Públicas.</w:t>
      </w:r>
    </w:p>
    <w:p w:rsidRPr="00E04191" w:rsidR="0007454E" w:rsidP="006655D4" w:rsidRDefault="00D44A75" w14:paraId="36348098" w14:textId="702C640A">
      <w:pPr>
        <w:jc w:val="both"/>
        <w:rPr>
          <w:rFonts w:ascii="Arial" w:hAnsi="Arial" w:cs="Arial"/>
          <w:color w:val="000000" w:themeColor="text1"/>
          <w:sz w:val="20"/>
          <w:szCs w:val="20"/>
        </w:rPr>
      </w:pPr>
      <w:r w:rsidRPr="00E04191">
        <w:rPr>
          <w:rFonts w:ascii="Arial" w:hAnsi="Arial" w:cs="Arial"/>
          <w:color w:val="000000" w:themeColor="text1"/>
          <w:sz w:val="20"/>
          <w:szCs w:val="20"/>
        </w:rPr>
        <w:t>E</w:t>
      </w:r>
      <w:r w:rsidRPr="00E04191" w:rsidR="00DF75F3">
        <w:rPr>
          <w:rFonts w:ascii="Arial" w:hAnsi="Arial" w:cs="Arial"/>
          <w:color w:val="000000" w:themeColor="text1"/>
          <w:sz w:val="20"/>
          <w:szCs w:val="20"/>
        </w:rPr>
        <w:t>n conclusión</w:t>
      </w:r>
      <w:r w:rsidRPr="00E04191" w:rsidR="0007454E">
        <w:rPr>
          <w:rFonts w:ascii="Arial" w:hAnsi="Arial" w:cs="Arial"/>
          <w:color w:val="000000" w:themeColor="text1"/>
          <w:sz w:val="20"/>
          <w:szCs w:val="20"/>
        </w:rPr>
        <w:t xml:space="preserve">, se debe señalar que la Ley 769 de 2002 no contempló ninguna prohibición, inhabilidad o incompatibilidad para suscribir contratos con </w:t>
      </w:r>
      <w:r w:rsidRPr="00E04191">
        <w:rPr>
          <w:rFonts w:ascii="Arial" w:hAnsi="Arial" w:cs="Arial"/>
          <w:color w:val="000000" w:themeColor="text1"/>
          <w:sz w:val="20"/>
          <w:szCs w:val="20"/>
        </w:rPr>
        <w:t>e</w:t>
      </w:r>
      <w:r w:rsidRPr="00E04191" w:rsidR="0007454E">
        <w:rPr>
          <w:rFonts w:ascii="Arial" w:hAnsi="Arial" w:cs="Arial"/>
          <w:color w:val="000000" w:themeColor="text1"/>
          <w:sz w:val="20"/>
          <w:szCs w:val="20"/>
        </w:rPr>
        <w:t xml:space="preserve">ntidades </w:t>
      </w:r>
      <w:r w:rsidRPr="00E04191">
        <w:rPr>
          <w:rFonts w:ascii="Arial" w:hAnsi="Arial" w:cs="Arial"/>
          <w:color w:val="000000" w:themeColor="text1"/>
          <w:sz w:val="20"/>
          <w:szCs w:val="20"/>
        </w:rPr>
        <w:t>p</w:t>
      </w:r>
      <w:r w:rsidRPr="00E04191" w:rsidR="0007454E">
        <w:rPr>
          <w:rFonts w:ascii="Arial" w:hAnsi="Arial" w:cs="Arial"/>
          <w:color w:val="000000" w:themeColor="text1"/>
          <w:sz w:val="20"/>
          <w:szCs w:val="20"/>
        </w:rPr>
        <w:t xml:space="preserve">úblicas que tenga origen o causa en las sanciones impuestas por las </w:t>
      </w:r>
      <w:r w:rsidRPr="00E04191">
        <w:rPr>
          <w:rFonts w:ascii="Arial" w:hAnsi="Arial" w:cs="Arial"/>
          <w:color w:val="000000" w:themeColor="text1"/>
          <w:sz w:val="20"/>
          <w:szCs w:val="20"/>
        </w:rPr>
        <w:t>a</w:t>
      </w:r>
      <w:r w:rsidRPr="00E04191" w:rsidR="0007454E">
        <w:rPr>
          <w:rFonts w:ascii="Arial" w:hAnsi="Arial" w:cs="Arial"/>
          <w:color w:val="000000" w:themeColor="text1"/>
          <w:sz w:val="20"/>
          <w:szCs w:val="20"/>
        </w:rPr>
        <w:t>utoridades</w:t>
      </w:r>
      <w:r w:rsidRPr="00E04191">
        <w:rPr>
          <w:rFonts w:ascii="Arial" w:hAnsi="Arial" w:cs="Arial"/>
          <w:color w:val="000000" w:themeColor="text1"/>
          <w:sz w:val="20"/>
          <w:szCs w:val="20"/>
        </w:rPr>
        <w:t xml:space="preserve"> de</w:t>
      </w:r>
      <w:r w:rsidRPr="00E04191" w:rsidR="0007454E">
        <w:rPr>
          <w:rFonts w:ascii="Arial" w:hAnsi="Arial" w:cs="Arial"/>
          <w:color w:val="000000" w:themeColor="text1"/>
          <w:sz w:val="20"/>
          <w:szCs w:val="20"/>
        </w:rPr>
        <w:t xml:space="preserve"> </w:t>
      </w:r>
      <w:r w:rsidRPr="00E04191">
        <w:rPr>
          <w:rFonts w:ascii="Arial" w:hAnsi="Arial" w:cs="Arial"/>
          <w:color w:val="000000" w:themeColor="text1"/>
          <w:sz w:val="20"/>
          <w:szCs w:val="20"/>
        </w:rPr>
        <w:t>t</w:t>
      </w:r>
      <w:r w:rsidRPr="00E04191" w:rsidR="0007454E">
        <w:rPr>
          <w:rFonts w:ascii="Arial" w:hAnsi="Arial" w:cs="Arial"/>
          <w:color w:val="000000" w:themeColor="text1"/>
          <w:sz w:val="20"/>
          <w:szCs w:val="20"/>
        </w:rPr>
        <w:t>ránsito a los infractores de los preceptos del ordenamiento jurídico que regulan las actividades de tránsito y transporte en el territorio nacional.</w:t>
      </w:r>
    </w:p>
    <w:p w:rsidRPr="00C024B3" w:rsidR="0007454E" w:rsidP="005A79FE" w:rsidRDefault="0007454E" w14:paraId="13B021D7" w14:textId="670EE043">
      <w:pPr>
        <w:spacing w:line="276" w:lineRule="auto"/>
        <w:jc w:val="both"/>
        <w:rPr>
          <w:rFonts w:ascii="Arial" w:hAnsi="Arial" w:cs="Arial"/>
          <w:color w:val="000000" w:themeColor="text1"/>
          <w:sz w:val="20"/>
          <w:szCs w:val="20"/>
        </w:rPr>
      </w:pPr>
    </w:p>
    <w:p w:rsidRPr="00C024B3" w:rsidR="0007454E" w:rsidP="005A79FE" w:rsidRDefault="0007454E" w14:paraId="40BE5C28" w14:textId="61E240FF">
      <w:pPr>
        <w:spacing w:line="276" w:lineRule="auto"/>
        <w:jc w:val="both"/>
        <w:rPr>
          <w:rFonts w:ascii="Arial" w:hAnsi="Arial" w:cs="Arial"/>
          <w:color w:val="000000" w:themeColor="text1"/>
          <w:sz w:val="20"/>
          <w:szCs w:val="20"/>
        </w:rPr>
      </w:pPr>
    </w:p>
    <w:p w:rsidRPr="00E04191" w:rsidR="005A79FE" w:rsidP="00FC0065" w:rsidRDefault="005A79FE" w14:paraId="23C1B978" w14:textId="55BD5697">
      <w:pPr>
        <w:pStyle w:val="Default"/>
        <w:rPr>
          <w:rFonts w:eastAsia="Calibri"/>
          <w:color w:val="000000" w:themeColor="text1"/>
          <w:sz w:val="20"/>
        </w:rPr>
      </w:pPr>
      <w:r w:rsidRPr="00E04191">
        <w:rPr>
          <w:color w:val="000000" w:themeColor="text1"/>
          <w:sz w:val="22"/>
        </w:rPr>
        <w:t xml:space="preserve">Bogotá D.C., </w:t>
      </w:r>
      <w:r w:rsidRPr="00E04191" w:rsidR="00ED319B">
        <w:rPr>
          <w:b/>
          <w:bCs/>
          <w:color w:val="000000" w:themeColor="text1"/>
          <w:sz w:val="22"/>
        </w:rPr>
        <w:t>16/04/2020</w:t>
      </w:r>
      <w:r w:rsidR="00FC0065">
        <w:t xml:space="preserve"> </w:t>
      </w:r>
      <w:r w:rsidR="00FC0065">
        <w:rPr>
          <w:b/>
          <w:bCs/>
          <w:sz w:val="22"/>
          <w:szCs w:val="22"/>
        </w:rPr>
        <w:t>Hora 10:46:25s</w:t>
      </w:r>
    </w:p>
    <w:p w:rsidRPr="00E04191" w:rsidR="005A79FE" w:rsidP="005A79FE" w:rsidRDefault="005A79FE" w14:paraId="59F5087C" w14:textId="682F6C8E">
      <w:pPr>
        <w:jc w:val="right"/>
        <w:rPr>
          <w:rFonts w:ascii="Arial" w:hAnsi="Arial" w:cs="Arial"/>
          <w:b/>
          <w:color w:val="000000" w:themeColor="text1"/>
          <w:sz w:val="22"/>
        </w:rPr>
      </w:pPr>
      <w:proofErr w:type="spellStart"/>
      <w:r w:rsidRPr="00E04191">
        <w:rPr>
          <w:rFonts w:ascii="Arial" w:hAnsi="Arial" w:cs="Arial"/>
          <w:b/>
          <w:color w:val="000000" w:themeColor="text1"/>
          <w:sz w:val="22"/>
        </w:rPr>
        <w:t>N°</w:t>
      </w:r>
      <w:proofErr w:type="spellEnd"/>
      <w:r w:rsidRPr="00E04191">
        <w:rPr>
          <w:rFonts w:ascii="Arial" w:hAnsi="Arial" w:cs="Arial"/>
          <w:b/>
          <w:color w:val="000000" w:themeColor="text1"/>
          <w:sz w:val="22"/>
        </w:rPr>
        <w:t xml:space="preserve"> Radicado: </w:t>
      </w:r>
      <w:r w:rsidRPr="00E04191" w:rsidR="00E04191">
        <w:rPr>
          <w:rFonts w:ascii="Arial" w:hAnsi="Arial" w:cs="Arial"/>
          <w:b/>
          <w:color w:val="000000" w:themeColor="text1"/>
          <w:sz w:val="22"/>
        </w:rPr>
        <w:t>2202013000002735</w:t>
      </w:r>
    </w:p>
    <w:p w:rsidRPr="00E04191" w:rsidR="005A79FE" w:rsidP="005A79FE" w:rsidRDefault="005A79FE" w14:paraId="2853595C" w14:textId="77777777">
      <w:pPr>
        <w:tabs>
          <w:tab w:val="left" w:pos="3374"/>
        </w:tabs>
        <w:rPr>
          <w:rFonts w:ascii="Arial" w:hAnsi="Arial" w:eastAsia="Calibri" w:cs="Arial"/>
          <w:color w:val="000000" w:themeColor="text1"/>
          <w:sz w:val="22"/>
        </w:rPr>
      </w:pPr>
      <w:r w:rsidRPr="00E04191">
        <w:rPr>
          <w:rFonts w:ascii="Arial" w:hAnsi="Arial" w:eastAsia="Calibri" w:cs="Arial"/>
          <w:color w:val="000000" w:themeColor="text1"/>
          <w:sz w:val="22"/>
        </w:rPr>
        <w:tab/>
      </w:r>
    </w:p>
    <w:p w:rsidRPr="00E04191" w:rsidR="005A79FE" w:rsidP="005A79FE" w:rsidRDefault="005A79FE" w14:paraId="2097EFDF" w14:textId="089529EE">
      <w:pPr>
        <w:rPr>
          <w:rFonts w:ascii="Arial" w:hAnsi="Arial" w:eastAsia="Calibri" w:cs="Arial"/>
          <w:color w:val="000000" w:themeColor="text1"/>
          <w:sz w:val="22"/>
        </w:rPr>
      </w:pPr>
      <w:r w:rsidRPr="00E04191">
        <w:rPr>
          <w:rFonts w:ascii="Arial" w:hAnsi="Arial" w:eastAsia="Calibri" w:cs="Arial"/>
          <w:color w:val="000000" w:themeColor="text1"/>
          <w:sz w:val="22"/>
        </w:rPr>
        <w:t>Señor</w:t>
      </w:r>
    </w:p>
    <w:p w:rsidRPr="00E04191" w:rsidR="005A79FE" w:rsidP="005A79FE" w:rsidRDefault="00F46812" w14:paraId="7FDA027E" w14:textId="482B1386">
      <w:pPr>
        <w:rPr>
          <w:rFonts w:ascii="Arial" w:hAnsi="Arial" w:eastAsia="Calibri" w:cs="Arial"/>
          <w:b/>
          <w:color w:val="000000" w:themeColor="text1"/>
          <w:sz w:val="22"/>
        </w:rPr>
      </w:pPr>
      <w:r w:rsidRPr="00E04191">
        <w:rPr>
          <w:rFonts w:ascii="Arial" w:hAnsi="Arial" w:eastAsia="Calibri" w:cs="Arial"/>
          <w:b/>
          <w:color w:val="000000" w:themeColor="text1"/>
          <w:sz w:val="22"/>
        </w:rPr>
        <w:t>ALFRED JHOSSEF GARAY</w:t>
      </w:r>
    </w:p>
    <w:p w:rsidRPr="00E04191" w:rsidR="005A79FE" w:rsidP="005A79FE" w:rsidRDefault="005A79FE" w14:paraId="699E9CB9" w14:textId="77777777">
      <w:pPr>
        <w:rPr>
          <w:rFonts w:ascii="Arial" w:hAnsi="Arial" w:eastAsia="Calibri" w:cs="Arial"/>
          <w:color w:val="000000" w:themeColor="text1"/>
          <w:sz w:val="22"/>
        </w:rPr>
      </w:pPr>
      <w:r w:rsidRPr="00E04191">
        <w:rPr>
          <w:rFonts w:ascii="Arial" w:hAnsi="Arial" w:eastAsia="Calibri" w:cs="Arial"/>
          <w:color w:val="000000" w:themeColor="text1"/>
          <w:sz w:val="22"/>
        </w:rPr>
        <w:t>Ciudad</w:t>
      </w:r>
    </w:p>
    <w:p w:rsidRPr="00E04191" w:rsidR="005A79FE" w:rsidP="005A79FE" w:rsidRDefault="005A79FE" w14:paraId="04EF5647" w14:textId="5FF23F78">
      <w:pPr>
        <w:jc w:val="center"/>
        <w:rPr>
          <w:rFonts w:ascii="Arial" w:hAnsi="Arial" w:eastAsia="Calibri" w:cs="Arial"/>
          <w:b/>
          <w:color w:val="000000" w:themeColor="text1"/>
          <w:sz w:val="22"/>
        </w:rPr>
      </w:pPr>
      <w:r w:rsidRPr="00E04191">
        <w:rPr>
          <w:rFonts w:ascii="Arial" w:hAnsi="Arial" w:eastAsia="Calibri" w:cs="Arial"/>
          <w:b/>
          <w:color w:val="000000" w:themeColor="text1"/>
          <w:sz w:val="22"/>
        </w:rPr>
        <w:t xml:space="preserve">Concepto C ─ </w:t>
      </w:r>
      <w:r w:rsidRPr="00E04191" w:rsidR="005C1A9C">
        <w:rPr>
          <w:rFonts w:ascii="Arial" w:hAnsi="Arial" w:eastAsia="Calibri" w:cs="Arial"/>
          <w:b/>
          <w:color w:val="000000" w:themeColor="text1"/>
          <w:sz w:val="22"/>
        </w:rPr>
        <w:t>239</w:t>
      </w:r>
      <w:r w:rsidRPr="00E04191">
        <w:rPr>
          <w:rFonts w:ascii="Arial" w:hAnsi="Arial" w:eastAsia="Calibri" w:cs="Arial"/>
          <w:b/>
          <w:color w:val="000000" w:themeColor="text1"/>
          <w:sz w:val="22"/>
        </w:rPr>
        <w:t xml:space="preserve"> de 2020</w:t>
      </w:r>
    </w:p>
    <w:p w:rsidRPr="00E04191" w:rsidR="005A79FE" w:rsidP="005A79FE" w:rsidRDefault="005A79FE" w14:paraId="6CCD98F0" w14:textId="77777777">
      <w:pPr>
        <w:rPr>
          <w:rFonts w:ascii="Arial" w:hAnsi="Arial" w:eastAsia="Calibri" w:cs="Arial"/>
          <w:color w:val="000000" w:themeColor="text1"/>
          <w:sz w:val="22"/>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E04191" w:rsidR="00E04191" w:rsidTr="00266042" w14:paraId="21699201" w14:textId="77777777">
        <w:tc>
          <w:tcPr>
            <w:tcW w:w="2689" w:type="dxa"/>
            <w:hideMark/>
          </w:tcPr>
          <w:p w:rsidRPr="00E04191" w:rsidR="005A79FE" w:rsidP="00266042" w:rsidRDefault="005A79FE" w14:paraId="26712367" w14:textId="77777777">
            <w:pPr>
              <w:rPr>
                <w:rFonts w:ascii="Arial" w:hAnsi="Arial" w:eastAsia="Calibri" w:cs="Arial"/>
                <w:color w:val="000000" w:themeColor="text1"/>
                <w:sz w:val="22"/>
              </w:rPr>
            </w:pPr>
            <w:r w:rsidRPr="00E04191">
              <w:rPr>
                <w:rFonts w:ascii="Arial" w:hAnsi="Arial" w:eastAsia="Calibri" w:cs="Arial"/>
                <w:b/>
                <w:color w:val="000000" w:themeColor="text1"/>
                <w:sz w:val="22"/>
              </w:rPr>
              <w:t>Temas:</w:t>
            </w:r>
            <w:r w:rsidRPr="00E04191">
              <w:rPr>
                <w:rFonts w:ascii="Arial" w:hAnsi="Arial" w:eastAsia="Calibri" w:cs="Arial"/>
                <w:color w:val="000000" w:themeColor="text1"/>
                <w:sz w:val="22"/>
              </w:rPr>
              <w:t xml:space="preserve">           </w:t>
            </w:r>
          </w:p>
          <w:p w:rsidRPr="00E04191" w:rsidR="005A79FE" w:rsidP="00266042" w:rsidRDefault="005A79FE" w14:paraId="5D67F5C4" w14:textId="77777777">
            <w:pPr>
              <w:rPr>
                <w:rFonts w:ascii="Arial" w:hAnsi="Arial" w:eastAsia="Calibri" w:cs="Arial"/>
                <w:color w:val="000000" w:themeColor="text1"/>
                <w:sz w:val="22"/>
              </w:rPr>
            </w:pPr>
            <w:r w:rsidRPr="00E04191">
              <w:rPr>
                <w:rFonts w:ascii="Arial" w:hAnsi="Arial" w:eastAsia="Calibri" w:cs="Arial"/>
                <w:color w:val="000000" w:themeColor="text1"/>
                <w:sz w:val="22"/>
              </w:rPr>
              <w:t xml:space="preserve">                           </w:t>
            </w:r>
          </w:p>
        </w:tc>
        <w:tc>
          <w:tcPr>
            <w:tcW w:w="6237" w:type="dxa"/>
            <w:hideMark/>
          </w:tcPr>
          <w:p w:rsidRPr="00E04191" w:rsidR="00FC6A37" w:rsidP="00FC6A37" w:rsidRDefault="00FC6A37" w14:paraId="1B3CD18D" w14:textId="2D60CB9D">
            <w:pPr>
              <w:pStyle w:val="Sinespaciado"/>
              <w:jc w:val="both"/>
              <w:rPr>
                <w:rFonts w:ascii="Arial" w:hAnsi="Arial" w:cs="Arial"/>
                <w:color w:val="000000" w:themeColor="text1"/>
                <w:sz w:val="22"/>
              </w:rPr>
            </w:pPr>
            <w:r w:rsidRPr="00E04191">
              <w:rPr>
                <w:rFonts w:ascii="Arial" w:hAnsi="Arial" w:cs="Arial"/>
                <w:color w:val="000000" w:themeColor="text1"/>
                <w:sz w:val="22"/>
              </w:rPr>
              <w:t xml:space="preserve">INHABILIDADES ─ Régimen de inhabilidades ─ Limitación ─ Capacidad jurídica ─ Finalidad ─ Competencia para establecerlas ─ Principio de legalidad </w:t>
            </w:r>
            <w:r w:rsidRPr="00E04191">
              <w:rPr>
                <w:rFonts w:ascii="Arial" w:hAnsi="Arial" w:eastAsia="Times New Roman" w:cs="Arial"/>
                <w:color w:val="000000" w:themeColor="text1"/>
                <w:sz w:val="22"/>
                <w:shd w:val="clear" w:color="auto" w:fill="FFFFFF"/>
                <w:lang w:val="es-CO" w:eastAsia="es-ES_tradnl"/>
              </w:rPr>
              <w:t xml:space="preserve">─ Clases ─ Distinción </w:t>
            </w:r>
            <w:r w:rsidRPr="00E04191">
              <w:rPr>
                <w:rFonts w:ascii="Arial" w:hAnsi="Arial" w:cs="Arial"/>
                <w:color w:val="000000" w:themeColor="text1"/>
                <w:sz w:val="22"/>
              </w:rPr>
              <w:t xml:space="preserve">─ Prohibiciones ─ Procedimientos de selección ─ Contratar </w:t>
            </w:r>
            <w:r w:rsidRPr="00E04191">
              <w:rPr>
                <w:rFonts w:ascii="Arial" w:hAnsi="Arial" w:eastAsia="Calibri" w:cs="Arial"/>
                <w:color w:val="000000" w:themeColor="text1"/>
                <w:sz w:val="22"/>
                <w:lang w:val="es-ES_tradnl"/>
              </w:rPr>
              <w:t>─ Garantía ─ Principios función administrativa ─ Instrumento contra corrupción</w:t>
            </w:r>
            <w:r w:rsidRPr="00E04191" w:rsidR="008B3030">
              <w:rPr>
                <w:rFonts w:ascii="Arial" w:hAnsi="Arial" w:eastAsia="Calibri" w:cs="Arial"/>
                <w:color w:val="000000" w:themeColor="text1"/>
                <w:sz w:val="22"/>
                <w:lang w:val="es-ES_tradnl"/>
              </w:rPr>
              <w:t xml:space="preserve"> ─ Principio de legalidad ─ Interpretación </w:t>
            </w:r>
            <w:r w:rsidRPr="00E04191" w:rsidR="008B3030">
              <w:rPr>
                <w:rFonts w:ascii="Arial" w:hAnsi="Arial" w:eastAsia="Calibri" w:cs="Arial"/>
                <w:color w:val="000000" w:themeColor="text1"/>
                <w:sz w:val="22"/>
                <w:lang w:val="es-ES_tradnl"/>
              </w:rPr>
              <w:lastRenderedPageBreak/>
              <w:t xml:space="preserve">restrictiva ─ Principio </w:t>
            </w:r>
            <w:r w:rsidRPr="00E04191" w:rsidR="008B3030">
              <w:rPr>
                <w:rFonts w:ascii="Arial" w:hAnsi="Arial" w:eastAsia="Calibri" w:cs="Arial"/>
                <w:i/>
                <w:iCs/>
                <w:color w:val="000000" w:themeColor="text1"/>
                <w:sz w:val="22"/>
                <w:lang w:val="es-ES_tradnl"/>
              </w:rPr>
              <w:t xml:space="preserve">pro </w:t>
            </w:r>
            <w:proofErr w:type="spellStart"/>
            <w:r w:rsidRPr="00E04191" w:rsidR="008B3030">
              <w:rPr>
                <w:rFonts w:ascii="Arial" w:hAnsi="Arial" w:eastAsia="Calibri" w:cs="Arial"/>
                <w:i/>
                <w:iCs/>
                <w:color w:val="000000" w:themeColor="text1"/>
                <w:sz w:val="22"/>
                <w:lang w:val="es-ES_tradnl"/>
              </w:rPr>
              <w:t>libertate</w:t>
            </w:r>
            <w:proofErr w:type="spellEnd"/>
            <w:r w:rsidRPr="00E04191" w:rsidR="008B3030">
              <w:rPr>
                <w:rFonts w:ascii="Arial" w:hAnsi="Arial" w:eastAsia="Calibri" w:cs="Arial"/>
                <w:i/>
                <w:iCs/>
                <w:color w:val="000000" w:themeColor="text1"/>
                <w:sz w:val="22"/>
                <w:lang w:val="es-ES_tradnl"/>
              </w:rPr>
              <w:t xml:space="preserve"> </w:t>
            </w:r>
            <w:r w:rsidRPr="00E04191" w:rsidR="008B3030">
              <w:rPr>
                <w:rFonts w:ascii="Arial" w:hAnsi="Arial" w:eastAsia="Calibri" w:cs="Arial"/>
                <w:color w:val="000000" w:themeColor="text1"/>
                <w:sz w:val="22"/>
                <w:lang w:val="es-ES_tradnl"/>
              </w:rPr>
              <w:t xml:space="preserve">/ </w:t>
            </w:r>
            <w:r w:rsidRPr="00E04191" w:rsidR="008B3030">
              <w:rPr>
                <w:rFonts w:ascii="Arial" w:hAnsi="Arial" w:cs="Arial"/>
                <w:color w:val="000000" w:themeColor="text1"/>
                <w:sz w:val="22"/>
              </w:rPr>
              <w:t>CÓDIGO NACIONAL DE TRÁNSITO ─ Libertad de circulación ─ Finalidad ─ Régimen sancionatorio ─ Inhabilidades e incompatibilidades ─ Ley 769 de 2002</w:t>
            </w:r>
          </w:p>
          <w:p w:rsidRPr="00E04191" w:rsidR="005A79FE" w:rsidP="00266042" w:rsidRDefault="005A79FE" w14:paraId="784C47C0" w14:textId="62100280">
            <w:pPr>
              <w:jc w:val="both"/>
              <w:rPr>
                <w:rFonts w:ascii="Arial" w:hAnsi="Arial" w:eastAsia="Calibri" w:cs="Arial"/>
                <w:color w:val="000000" w:themeColor="text1"/>
                <w:sz w:val="22"/>
              </w:rPr>
            </w:pPr>
          </w:p>
        </w:tc>
      </w:tr>
      <w:tr w:rsidRPr="00E04191" w:rsidR="005A79FE" w:rsidTr="00266042" w14:paraId="7C0A7D18" w14:textId="77777777">
        <w:tc>
          <w:tcPr>
            <w:tcW w:w="2689" w:type="dxa"/>
          </w:tcPr>
          <w:p w:rsidRPr="00E04191" w:rsidR="005A79FE" w:rsidP="00266042" w:rsidRDefault="005A79FE" w14:paraId="6A12F093" w14:textId="77777777">
            <w:pPr>
              <w:rPr>
                <w:rFonts w:ascii="Arial" w:hAnsi="Arial" w:eastAsia="Calibri" w:cs="Arial"/>
                <w:b/>
                <w:color w:val="000000" w:themeColor="text1"/>
                <w:sz w:val="22"/>
              </w:rPr>
            </w:pPr>
            <w:r w:rsidRPr="00E04191">
              <w:rPr>
                <w:rFonts w:ascii="Arial" w:hAnsi="Arial" w:eastAsia="Calibri" w:cs="Arial"/>
                <w:b/>
                <w:color w:val="000000" w:themeColor="text1"/>
                <w:sz w:val="22"/>
              </w:rPr>
              <w:lastRenderedPageBreak/>
              <w:t>Radicación:</w:t>
            </w:r>
            <w:r w:rsidRPr="00E04191">
              <w:rPr>
                <w:rFonts w:ascii="Arial" w:hAnsi="Arial" w:eastAsia="Calibri" w:cs="Arial"/>
                <w:color w:val="000000" w:themeColor="text1"/>
                <w:sz w:val="22"/>
              </w:rPr>
              <w:t xml:space="preserve">                              </w:t>
            </w:r>
          </w:p>
        </w:tc>
        <w:tc>
          <w:tcPr>
            <w:tcW w:w="6237" w:type="dxa"/>
          </w:tcPr>
          <w:p w:rsidRPr="00E04191" w:rsidR="005A79FE" w:rsidP="00266042" w:rsidRDefault="005A79FE" w14:paraId="73A42ACA" w14:textId="5D50FFED">
            <w:pPr>
              <w:jc w:val="both"/>
              <w:rPr>
                <w:rFonts w:ascii="Arial" w:hAnsi="Arial" w:eastAsia="Calibri" w:cs="Arial"/>
                <w:color w:val="000000" w:themeColor="text1"/>
                <w:sz w:val="22"/>
              </w:rPr>
            </w:pPr>
            <w:r w:rsidRPr="00E04191">
              <w:rPr>
                <w:rFonts w:ascii="Arial" w:hAnsi="Arial" w:eastAsia="Calibri" w:cs="Arial"/>
                <w:color w:val="000000" w:themeColor="text1"/>
                <w:sz w:val="22"/>
              </w:rPr>
              <w:t>Respuesta a consulta # 42020</w:t>
            </w:r>
            <w:r w:rsidRPr="00E04191" w:rsidR="005C1A9C">
              <w:rPr>
                <w:rFonts w:ascii="Arial" w:hAnsi="Arial" w:eastAsia="Calibri" w:cs="Arial"/>
                <w:color w:val="000000" w:themeColor="text1"/>
                <w:sz w:val="22"/>
              </w:rPr>
              <w:t>13000001873</w:t>
            </w:r>
          </w:p>
        </w:tc>
      </w:tr>
    </w:tbl>
    <w:p w:rsidRPr="00E04191" w:rsidR="005A79FE" w:rsidP="005A79FE" w:rsidRDefault="005A79FE" w14:paraId="396DE958" w14:textId="77777777">
      <w:pPr>
        <w:jc w:val="both"/>
        <w:rPr>
          <w:rFonts w:ascii="Arial" w:hAnsi="Arial" w:eastAsia="Calibri" w:cs="Arial"/>
          <w:color w:val="000000" w:themeColor="text1"/>
          <w:sz w:val="22"/>
        </w:rPr>
      </w:pPr>
    </w:p>
    <w:p w:rsidRPr="00E04191" w:rsidR="005A79FE" w:rsidP="005A79FE" w:rsidRDefault="005A79FE" w14:paraId="489DB6E6" w14:textId="77777777">
      <w:pPr>
        <w:rPr>
          <w:rFonts w:ascii="Arial" w:hAnsi="Arial" w:eastAsia="Calibri" w:cs="Arial"/>
          <w:color w:val="000000" w:themeColor="text1"/>
          <w:sz w:val="22"/>
        </w:rPr>
      </w:pPr>
    </w:p>
    <w:p w:rsidRPr="00E04191" w:rsidR="005A79FE" w:rsidP="005A79FE" w:rsidRDefault="005A79FE" w14:paraId="657E7EE7" w14:textId="522BA5EB">
      <w:pPr>
        <w:rPr>
          <w:rFonts w:ascii="Arial" w:hAnsi="Arial" w:eastAsia="Calibri" w:cs="Arial"/>
          <w:color w:val="000000" w:themeColor="text1"/>
          <w:sz w:val="22"/>
        </w:rPr>
      </w:pPr>
      <w:r w:rsidRPr="00E04191">
        <w:rPr>
          <w:rFonts w:ascii="Arial" w:hAnsi="Arial" w:eastAsia="Calibri" w:cs="Arial"/>
          <w:color w:val="000000" w:themeColor="text1"/>
          <w:sz w:val="22"/>
        </w:rPr>
        <w:t>Estimado</w:t>
      </w:r>
      <w:r w:rsidRPr="00E04191" w:rsidR="00F46812">
        <w:rPr>
          <w:rFonts w:ascii="Arial" w:hAnsi="Arial" w:eastAsia="Calibri" w:cs="Arial"/>
          <w:color w:val="000000" w:themeColor="text1"/>
          <w:sz w:val="22"/>
        </w:rPr>
        <w:t xml:space="preserve"> señor Garay,</w:t>
      </w:r>
    </w:p>
    <w:p w:rsidRPr="00E04191" w:rsidR="005A79FE" w:rsidP="005A79FE" w:rsidRDefault="005A79FE" w14:paraId="40D74C98" w14:textId="77777777">
      <w:pPr>
        <w:rPr>
          <w:rFonts w:ascii="Arial" w:hAnsi="Arial" w:eastAsia="Calibri" w:cs="Arial"/>
          <w:color w:val="000000" w:themeColor="text1"/>
          <w:sz w:val="22"/>
        </w:rPr>
      </w:pPr>
    </w:p>
    <w:p w:rsidRPr="00E04191" w:rsidR="005A79FE" w:rsidP="005A79FE" w:rsidRDefault="005A79FE" w14:paraId="1EA2338B" w14:textId="11730BB6">
      <w:pPr>
        <w:spacing w:line="276" w:lineRule="auto"/>
        <w:ind w:right="49"/>
        <w:jc w:val="both"/>
        <w:rPr>
          <w:rFonts w:ascii="Arial" w:hAnsi="Arial" w:eastAsia="Calibri" w:cs="Arial"/>
          <w:color w:val="000000" w:themeColor="text1"/>
          <w:sz w:val="22"/>
        </w:rPr>
      </w:pPr>
      <w:r w:rsidRPr="00E04191">
        <w:rPr>
          <w:rFonts w:ascii="Arial" w:hAnsi="Arial" w:eastAsia="Calibri" w:cs="Arial"/>
          <w:color w:val="000000" w:themeColor="text1"/>
          <w:sz w:val="22"/>
        </w:rPr>
        <w:t xml:space="preserve">La Agencia Nacional de Contratación Pública ―Colombia Compra Eficiente― responde su consulta del </w:t>
      </w:r>
      <w:r w:rsidRPr="00E04191" w:rsidR="00661FAC">
        <w:rPr>
          <w:rFonts w:ascii="Arial" w:hAnsi="Arial" w:eastAsia="Calibri" w:cs="Arial"/>
          <w:color w:val="000000" w:themeColor="text1"/>
          <w:sz w:val="22"/>
        </w:rPr>
        <w:t>12</w:t>
      </w:r>
      <w:r w:rsidRPr="00E04191">
        <w:rPr>
          <w:rFonts w:ascii="Arial" w:hAnsi="Arial" w:eastAsia="Calibri" w:cs="Arial"/>
          <w:color w:val="000000" w:themeColor="text1"/>
          <w:sz w:val="22"/>
        </w:rPr>
        <w:t xml:space="preserve"> de</w:t>
      </w:r>
      <w:r w:rsidRPr="00E04191" w:rsidR="00661FAC">
        <w:rPr>
          <w:rFonts w:ascii="Arial" w:hAnsi="Arial" w:eastAsia="Calibri" w:cs="Arial"/>
          <w:color w:val="000000" w:themeColor="text1"/>
          <w:sz w:val="22"/>
        </w:rPr>
        <w:t xml:space="preserve"> marzo</w:t>
      </w:r>
      <w:r w:rsidRPr="00E04191">
        <w:rPr>
          <w:rFonts w:ascii="Arial" w:hAnsi="Arial" w:eastAsia="Calibri" w:cs="Arial"/>
          <w:color w:val="000000" w:themeColor="text1"/>
          <w:sz w:val="22"/>
        </w:rPr>
        <w:t xml:space="preserve"> de 20</w:t>
      </w:r>
      <w:r w:rsidRPr="00E04191" w:rsidR="00661FAC">
        <w:rPr>
          <w:rFonts w:ascii="Arial" w:hAnsi="Arial" w:eastAsia="Calibri" w:cs="Arial"/>
          <w:color w:val="000000" w:themeColor="text1"/>
          <w:sz w:val="22"/>
        </w:rPr>
        <w:t>20</w:t>
      </w:r>
      <w:r w:rsidRPr="00E04191">
        <w:rPr>
          <w:rFonts w:ascii="Arial" w:hAnsi="Arial" w:eastAsia="Calibri" w:cs="Arial"/>
          <w:color w:val="000000" w:themeColor="text1"/>
          <w:sz w:val="22"/>
        </w:rPr>
        <w:t xml:space="preserve">, en ejercicio de la competencia otorgada por el numeral 8 del artículo 11 y el numeral 5 del artículo 3 del Decreto Ley 4170 de 2011. </w:t>
      </w:r>
    </w:p>
    <w:p w:rsidRPr="00E04191" w:rsidR="005A79FE" w:rsidP="005A79FE" w:rsidRDefault="005A79FE" w14:paraId="4FA02A8B" w14:textId="77777777">
      <w:pPr>
        <w:spacing w:line="276" w:lineRule="auto"/>
        <w:jc w:val="both"/>
        <w:rPr>
          <w:rFonts w:ascii="Arial" w:hAnsi="Arial" w:eastAsia="Calibri" w:cs="Arial"/>
          <w:color w:val="000000" w:themeColor="text1"/>
          <w:sz w:val="22"/>
        </w:rPr>
      </w:pPr>
    </w:p>
    <w:p w:rsidRPr="00E04191" w:rsidR="005A79FE" w:rsidP="005A79FE" w:rsidRDefault="005A79FE" w14:paraId="4E8D0889" w14:textId="77777777">
      <w:pPr>
        <w:pStyle w:val="Prrafodelista"/>
        <w:numPr>
          <w:ilvl w:val="0"/>
          <w:numId w:val="6"/>
        </w:numPr>
        <w:tabs>
          <w:tab w:val="left" w:pos="284"/>
        </w:tabs>
        <w:spacing w:line="276" w:lineRule="auto"/>
        <w:ind w:left="0" w:firstLine="0"/>
        <w:jc w:val="both"/>
        <w:rPr>
          <w:rFonts w:ascii="Arial" w:hAnsi="Arial" w:eastAsia="Calibri" w:cs="Arial"/>
          <w:b/>
          <w:color w:val="000000" w:themeColor="text1"/>
          <w:sz w:val="22"/>
        </w:rPr>
      </w:pPr>
      <w:r w:rsidRPr="00E04191">
        <w:rPr>
          <w:rFonts w:ascii="Arial" w:hAnsi="Arial" w:eastAsia="Calibri" w:cs="Arial"/>
          <w:b/>
          <w:color w:val="000000" w:themeColor="text1"/>
          <w:sz w:val="22"/>
        </w:rPr>
        <w:t xml:space="preserve">Problemas planteados </w:t>
      </w:r>
    </w:p>
    <w:p w:rsidRPr="00E04191" w:rsidR="005A79FE" w:rsidP="005A79FE" w:rsidRDefault="005A79FE" w14:paraId="138D5B25" w14:textId="77777777">
      <w:pPr>
        <w:tabs>
          <w:tab w:val="left" w:pos="426"/>
        </w:tabs>
        <w:spacing w:line="276" w:lineRule="auto"/>
        <w:jc w:val="both"/>
        <w:rPr>
          <w:rFonts w:ascii="Arial" w:hAnsi="Arial" w:eastAsia="Calibri" w:cs="Arial"/>
          <w:b/>
          <w:color w:val="000000" w:themeColor="text1"/>
          <w:sz w:val="22"/>
        </w:rPr>
      </w:pPr>
    </w:p>
    <w:p w:rsidRPr="00E04191" w:rsidR="005A79FE" w:rsidP="005A79FE" w:rsidRDefault="005A79FE" w14:paraId="30EE5915" w14:textId="3F0C5283">
      <w:pPr>
        <w:tabs>
          <w:tab w:val="left" w:pos="426"/>
        </w:tabs>
        <w:spacing w:line="276" w:lineRule="auto"/>
        <w:jc w:val="both"/>
        <w:rPr>
          <w:rFonts w:ascii="Arial" w:hAnsi="Arial" w:eastAsia="Calibri" w:cs="Arial"/>
          <w:color w:val="000000" w:themeColor="text1"/>
          <w:sz w:val="22"/>
        </w:rPr>
      </w:pPr>
      <w:r w:rsidRPr="00E04191">
        <w:rPr>
          <w:rFonts w:ascii="Arial" w:hAnsi="Arial" w:eastAsia="Calibri" w:cs="Arial"/>
          <w:color w:val="000000" w:themeColor="text1"/>
          <w:sz w:val="22"/>
        </w:rPr>
        <w:t xml:space="preserve">Usted realiza la siguiente pregunta: i) </w:t>
      </w:r>
      <w:r w:rsidRPr="00E04191" w:rsidR="00964178">
        <w:rPr>
          <w:rFonts w:ascii="Arial" w:hAnsi="Arial" w:eastAsia="Calibri" w:cs="Arial"/>
          <w:color w:val="000000" w:themeColor="text1"/>
          <w:sz w:val="22"/>
        </w:rPr>
        <w:t>«</w:t>
      </w:r>
      <w:r w:rsidRPr="00E04191">
        <w:rPr>
          <w:rFonts w:ascii="Arial" w:hAnsi="Arial" w:eastAsia="Calibri" w:cs="Arial"/>
          <w:color w:val="000000" w:themeColor="text1"/>
          <w:sz w:val="22"/>
        </w:rPr>
        <w:t>¿</w:t>
      </w:r>
      <w:r w:rsidRPr="00E04191" w:rsidR="00964178">
        <w:rPr>
          <w:rFonts w:ascii="Arial" w:hAnsi="Arial" w:eastAsia="Calibri" w:cs="Arial"/>
          <w:color w:val="000000" w:themeColor="text1"/>
          <w:sz w:val="22"/>
        </w:rPr>
        <w:t xml:space="preserve">Existe alguna prohibición, inhabilidad o incompatibilidad para contratar con una persona que tiene multas de </w:t>
      </w:r>
      <w:proofErr w:type="spellStart"/>
      <w:r w:rsidRPr="00E04191" w:rsidR="00964178">
        <w:rPr>
          <w:rFonts w:ascii="Arial" w:hAnsi="Arial" w:eastAsia="Calibri" w:cs="Arial"/>
          <w:color w:val="000000" w:themeColor="text1"/>
          <w:sz w:val="22"/>
        </w:rPr>
        <w:t>transito</w:t>
      </w:r>
      <w:proofErr w:type="spellEnd"/>
      <w:r w:rsidRPr="00E04191" w:rsidR="00964178">
        <w:rPr>
          <w:rFonts w:ascii="Arial" w:hAnsi="Arial" w:eastAsia="Calibri" w:cs="Arial"/>
          <w:color w:val="000000" w:themeColor="text1"/>
          <w:sz w:val="22"/>
        </w:rPr>
        <w:t xml:space="preserve"> </w:t>
      </w:r>
      <w:r w:rsidRPr="00E04191" w:rsidR="000432D7">
        <w:rPr>
          <w:rFonts w:ascii="Arial" w:hAnsi="Arial" w:eastAsia="Calibri" w:cs="Arial"/>
          <w:color w:val="000000" w:themeColor="text1"/>
          <w:sz w:val="22"/>
        </w:rPr>
        <w:t>(sic)</w:t>
      </w:r>
      <w:r w:rsidRPr="00E04191" w:rsidR="00964178">
        <w:rPr>
          <w:rFonts w:ascii="Arial" w:hAnsi="Arial" w:eastAsia="Calibri" w:cs="Arial"/>
          <w:color w:val="000000" w:themeColor="text1"/>
          <w:sz w:val="22"/>
        </w:rPr>
        <w:t>?»</w:t>
      </w:r>
    </w:p>
    <w:p w:rsidRPr="00E04191" w:rsidR="005A79FE" w:rsidP="005A79FE" w:rsidRDefault="005A79FE" w14:paraId="42DC4EC6" w14:textId="77777777">
      <w:pPr>
        <w:tabs>
          <w:tab w:val="left" w:pos="426"/>
        </w:tabs>
        <w:spacing w:line="276" w:lineRule="auto"/>
        <w:jc w:val="both"/>
        <w:rPr>
          <w:rFonts w:ascii="Arial" w:hAnsi="Arial" w:eastAsia="Calibri" w:cs="Arial"/>
          <w:color w:val="000000" w:themeColor="text1"/>
          <w:sz w:val="22"/>
        </w:rPr>
      </w:pPr>
    </w:p>
    <w:p w:rsidRPr="00E04191" w:rsidR="005A79FE" w:rsidP="005A79FE" w:rsidRDefault="005A79FE" w14:paraId="18C6DB19" w14:textId="77777777">
      <w:pPr>
        <w:pStyle w:val="Prrafodelista"/>
        <w:numPr>
          <w:ilvl w:val="0"/>
          <w:numId w:val="6"/>
        </w:numPr>
        <w:tabs>
          <w:tab w:val="left" w:pos="426"/>
        </w:tabs>
        <w:spacing w:line="276" w:lineRule="auto"/>
        <w:ind w:left="284" w:hanging="284"/>
        <w:jc w:val="both"/>
        <w:rPr>
          <w:rFonts w:ascii="Arial" w:hAnsi="Arial" w:eastAsia="Calibri" w:cs="Arial"/>
          <w:b/>
          <w:color w:val="000000" w:themeColor="text1"/>
          <w:sz w:val="22"/>
        </w:rPr>
      </w:pPr>
      <w:r w:rsidRPr="00E04191">
        <w:rPr>
          <w:rFonts w:ascii="Arial" w:hAnsi="Arial" w:eastAsia="Calibri" w:cs="Arial"/>
          <w:b/>
          <w:color w:val="000000" w:themeColor="text1"/>
          <w:sz w:val="22"/>
        </w:rPr>
        <w:t>Consideraciones</w:t>
      </w:r>
    </w:p>
    <w:p w:rsidRPr="00E04191" w:rsidR="005A79FE" w:rsidP="005A79FE" w:rsidRDefault="005A79FE" w14:paraId="1FD00768" w14:textId="3412C60C">
      <w:pPr>
        <w:spacing w:before="120" w:line="276" w:lineRule="auto"/>
        <w:jc w:val="both"/>
        <w:rPr>
          <w:rFonts w:ascii="Arial" w:hAnsi="Arial" w:eastAsia="Calibri" w:cs="Arial"/>
          <w:color w:val="000000" w:themeColor="text1"/>
          <w:sz w:val="22"/>
        </w:rPr>
      </w:pPr>
      <w:r w:rsidRPr="00E04191">
        <w:rPr>
          <w:rFonts w:ascii="Arial" w:hAnsi="Arial" w:cs="Arial"/>
          <w:color w:val="000000" w:themeColor="text1"/>
          <w:sz w:val="22"/>
        </w:rPr>
        <w:t xml:space="preserve">La Agencia Nacional de Contratación Pública ― Colombia Compra Eficiente </w:t>
      </w:r>
      <w:r w:rsidRPr="00E04191">
        <w:rPr>
          <w:rFonts w:ascii="Arial" w:hAnsi="Arial" w:eastAsia="Calibri" w:cs="Arial"/>
          <w:color w:val="000000" w:themeColor="text1"/>
          <w:sz w:val="22"/>
        </w:rPr>
        <w:t xml:space="preserve">en </w:t>
      </w:r>
      <w:r w:rsidRPr="00E04191" w:rsidR="00936C4C">
        <w:rPr>
          <w:rFonts w:ascii="Arial" w:hAnsi="Arial" w:eastAsia="Calibri" w:cs="Arial"/>
          <w:color w:val="000000" w:themeColor="text1"/>
          <w:sz w:val="22"/>
        </w:rPr>
        <w:t>los</w:t>
      </w:r>
      <w:r w:rsidRPr="00E04191">
        <w:rPr>
          <w:rFonts w:ascii="Arial" w:hAnsi="Arial" w:eastAsia="Calibri" w:cs="Arial"/>
          <w:color w:val="000000" w:themeColor="text1"/>
          <w:sz w:val="22"/>
        </w:rPr>
        <w:t xml:space="preserve"> concepto</w:t>
      </w:r>
      <w:r w:rsidRPr="00E04191" w:rsidR="00936C4C">
        <w:rPr>
          <w:rFonts w:ascii="Arial" w:hAnsi="Arial" w:eastAsia="Calibri" w:cs="Arial"/>
          <w:color w:val="000000" w:themeColor="text1"/>
          <w:sz w:val="22"/>
        </w:rPr>
        <w:t>s</w:t>
      </w:r>
      <w:r w:rsidRPr="00E04191">
        <w:rPr>
          <w:rFonts w:ascii="Arial" w:hAnsi="Arial" w:eastAsia="Calibri" w:cs="Arial"/>
          <w:color w:val="000000" w:themeColor="text1"/>
          <w:sz w:val="22"/>
        </w:rPr>
        <w:t xml:space="preserve"> con radicado</w:t>
      </w:r>
      <w:r w:rsidRPr="00E04191" w:rsidR="00936C4C">
        <w:rPr>
          <w:rFonts w:ascii="Arial" w:hAnsi="Arial" w:eastAsia="Calibri" w:cs="Arial"/>
          <w:color w:val="000000" w:themeColor="text1"/>
          <w:sz w:val="22"/>
        </w:rPr>
        <w:t>s</w:t>
      </w:r>
      <w:r w:rsidRPr="00E04191" w:rsidR="0009209C">
        <w:rPr>
          <w:rFonts w:ascii="Arial" w:hAnsi="Arial" w:eastAsia="Calibri" w:cs="Arial"/>
          <w:color w:val="000000" w:themeColor="text1"/>
          <w:sz w:val="22"/>
        </w:rPr>
        <w:t xml:space="preserve"> </w:t>
      </w:r>
      <w:r w:rsidRPr="00E04191" w:rsidR="00DB6A4C">
        <w:rPr>
          <w:rFonts w:ascii="Arial" w:hAnsi="Arial" w:eastAsia="Calibri" w:cs="Arial"/>
          <w:color w:val="000000" w:themeColor="text1"/>
          <w:sz w:val="22"/>
        </w:rPr>
        <w:t>número</w:t>
      </w:r>
      <w:r w:rsidRPr="00E04191" w:rsidR="002979F7">
        <w:rPr>
          <w:rFonts w:ascii="Arial" w:hAnsi="Arial" w:eastAsia="Calibri" w:cs="Arial"/>
          <w:color w:val="000000" w:themeColor="text1"/>
          <w:sz w:val="22"/>
        </w:rPr>
        <w:t>s</w:t>
      </w:r>
      <w:r w:rsidRPr="00E04191" w:rsidR="00DB6A4C">
        <w:rPr>
          <w:rFonts w:ascii="Arial" w:hAnsi="Arial" w:eastAsia="Calibri" w:cs="Arial"/>
          <w:color w:val="000000" w:themeColor="text1"/>
          <w:sz w:val="22"/>
        </w:rPr>
        <w:t xml:space="preserve"> 4201912000003592 del 28 de agosto de 2019</w:t>
      </w:r>
      <w:r w:rsidRPr="00E04191" w:rsidR="00936C4C">
        <w:rPr>
          <w:rFonts w:ascii="Arial" w:hAnsi="Arial" w:eastAsia="Calibri" w:cs="Arial"/>
          <w:color w:val="000000" w:themeColor="text1"/>
          <w:sz w:val="22"/>
        </w:rPr>
        <w:t>, 42019</w:t>
      </w:r>
      <w:r w:rsidRPr="00E04191" w:rsidR="00B41DD7">
        <w:rPr>
          <w:rFonts w:ascii="Arial" w:hAnsi="Arial" w:eastAsia="Calibri" w:cs="Arial"/>
          <w:color w:val="000000" w:themeColor="text1"/>
          <w:sz w:val="22"/>
        </w:rPr>
        <w:t>13000005649 del 17 septiembre de 2019, 4201912000006692 del 12 de noviembre de 2019</w:t>
      </w:r>
      <w:r w:rsidRPr="00E04191" w:rsidR="005C1D7D">
        <w:rPr>
          <w:rFonts w:ascii="Arial" w:hAnsi="Arial" w:eastAsia="Calibri" w:cs="Arial"/>
          <w:color w:val="000000" w:themeColor="text1"/>
          <w:sz w:val="22"/>
        </w:rPr>
        <w:t xml:space="preserve">, 4201913000006917 del 21 de noviembre de 2019, C ─ 001 de 2020, </w:t>
      </w:r>
      <w:r w:rsidRPr="00E04191" w:rsidR="007B4FB0">
        <w:rPr>
          <w:rFonts w:ascii="Arial" w:hAnsi="Arial" w:eastAsia="Calibri" w:cs="Arial"/>
          <w:color w:val="000000" w:themeColor="text1"/>
          <w:sz w:val="22"/>
        </w:rPr>
        <w:t>C ─ 007 de 2020, C ─ 011 de 2020, C</w:t>
      </w:r>
      <w:r w:rsidRPr="00E04191" w:rsidR="002B56F5">
        <w:rPr>
          <w:rFonts w:ascii="Arial" w:hAnsi="Arial" w:eastAsia="Calibri" w:cs="Arial"/>
          <w:color w:val="000000" w:themeColor="text1"/>
          <w:sz w:val="22"/>
        </w:rPr>
        <w:t xml:space="preserve"> ─ 085 de 2020, C ─</w:t>
      </w:r>
      <w:r w:rsidRPr="00E04191" w:rsidR="000B7588">
        <w:rPr>
          <w:rFonts w:ascii="Arial" w:hAnsi="Arial" w:eastAsia="Calibri" w:cs="Arial"/>
          <w:color w:val="000000" w:themeColor="text1"/>
          <w:sz w:val="22"/>
        </w:rPr>
        <w:t xml:space="preserve"> 090 de 2020, C ─ 125 de 2020 y C ─ 157 de 2020</w:t>
      </w:r>
      <w:r w:rsidRPr="00E04191">
        <w:rPr>
          <w:rFonts w:ascii="Arial" w:hAnsi="Arial" w:eastAsia="Calibri" w:cs="Arial"/>
          <w:color w:val="000000" w:themeColor="text1"/>
          <w:sz w:val="22"/>
        </w:rPr>
        <w:t>, estudió</w:t>
      </w:r>
      <w:r w:rsidRPr="00E04191" w:rsidR="00D8050A">
        <w:rPr>
          <w:rFonts w:ascii="Arial" w:hAnsi="Arial" w:eastAsia="Calibri" w:cs="Arial"/>
          <w:color w:val="000000" w:themeColor="text1"/>
          <w:sz w:val="22"/>
        </w:rPr>
        <w:t xml:space="preserve"> la naturaleza jurídica del régimen de inhabilidades e incompatibilidades</w:t>
      </w:r>
      <w:r w:rsidRPr="00E04191" w:rsidR="00404159">
        <w:rPr>
          <w:rFonts w:ascii="Arial" w:hAnsi="Arial" w:eastAsia="Calibri" w:cs="Arial"/>
          <w:color w:val="000000" w:themeColor="text1"/>
          <w:sz w:val="22"/>
        </w:rPr>
        <w:t xml:space="preserve"> para contratar con el Estado</w:t>
      </w:r>
      <w:r w:rsidRPr="00E04191" w:rsidR="00D8050A">
        <w:rPr>
          <w:rFonts w:ascii="Arial" w:hAnsi="Arial" w:eastAsia="Calibri" w:cs="Arial"/>
          <w:color w:val="000000" w:themeColor="text1"/>
          <w:sz w:val="22"/>
        </w:rPr>
        <w:t>, así como</w:t>
      </w:r>
      <w:r w:rsidRPr="00E04191" w:rsidR="005A2125">
        <w:rPr>
          <w:rFonts w:ascii="Arial" w:hAnsi="Arial" w:eastAsia="Calibri" w:cs="Arial"/>
          <w:color w:val="000000" w:themeColor="text1"/>
          <w:sz w:val="22"/>
        </w:rPr>
        <w:t xml:space="preserve"> el mismo se erige como un límite a la capacidad contractua</w:t>
      </w:r>
      <w:r w:rsidRPr="00E04191" w:rsidR="003C0BDF">
        <w:rPr>
          <w:rFonts w:ascii="Arial" w:hAnsi="Arial" w:eastAsia="Calibri" w:cs="Arial"/>
          <w:color w:val="000000" w:themeColor="text1"/>
          <w:sz w:val="22"/>
        </w:rPr>
        <w:t xml:space="preserve">l y </w:t>
      </w:r>
      <w:r w:rsidRPr="00E04191" w:rsidR="007D6B17">
        <w:rPr>
          <w:rFonts w:ascii="Arial" w:hAnsi="Arial" w:eastAsia="Calibri" w:cs="Arial"/>
          <w:color w:val="000000" w:themeColor="text1"/>
          <w:sz w:val="22"/>
        </w:rPr>
        <w:t>la forma en que debe</w:t>
      </w:r>
      <w:r w:rsidRPr="00E04191" w:rsidR="00272230">
        <w:rPr>
          <w:rFonts w:ascii="Arial" w:hAnsi="Arial" w:eastAsia="Calibri" w:cs="Arial"/>
          <w:color w:val="000000" w:themeColor="text1"/>
          <w:sz w:val="22"/>
        </w:rPr>
        <w:t xml:space="preserve"> interpretarse el régimen de inhabilidades e incompatibilidades</w:t>
      </w:r>
      <w:r w:rsidRPr="00E04191">
        <w:rPr>
          <w:rFonts w:ascii="Arial" w:hAnsi="Arial" w:eastAsia="Calibri" w:cs="Arial"/>
          <w:color w:val="000000" w:themeColor="text1"/>
          <w:sz w:val="22"/>
        </w:rPr>
        <w:t>. La tesis desarrollada en estos conceptos es la que se expone</w:t>
      </w:r>
      <w:r w:rsidRPr="00E04191" w:rsidR="008564C0">
        <w:rPr>
          <w:rFonts w:ascii="Arial" w:hAnsi="Arial" w:eastAsia="Calibri" w:cs="Arial"/>
          <w:color w:val="000000" w:themeColor="text1"/>
          <w:sz w:val="22"/>
        </w:rPr>
        <w:t xml:space="preserve"> y reitera</w:t>
      </w:r>
      <w:r w:rsidRPr="00E04191">
        <w:rPr>
          <w:rFonts w:ascii="Arial" w:hAnsi="Arial" w:eastAsia="Calibri" w:cs="Arial"/>
          <w:color w:val="000000" w:themeColor="text1"/>
          <w:sz w:val="22"/>
        </w:rPr>
        <w:t xml:space="preserve"> a continuación. </w:t>
      </w:r>
    </w:p>
    <w:p w:rsidRPr="00E04191" w:rsidR="00F8649C" w:rsidP="00F8649C" w:rsidRDefault="00F8649C" w14:paraId="38F4D42D" w14:textId="77777777">
      <w:pPr>
        <w:pStyle w:val="Sinespaciado"/>
        <w:spacing w:line="276" w:lineRule="auto"/>
        <w:jc w:val="both"/>
        <w:rPr>
          <w:rFonts w:ascii="Arial" w:hAnsi="Arial" w:cs="Arial"/>
          <w:color w:val="000000" w:themeColor="text1"/>
          <w:sz w:val="22"/>
        </w:rPr>
      </w:pPr>
    </w:p>
    <w:p w:rsidRPr="00E04191" w:rsidR="00F8649C" w:rsidP="00A22BDF" w:rsidRDefault="00A22BDF" w14:paraId="237C9E5D" w14:textId="4117D6B1">
      <w:pPr>
        <w:pStyle w:val="Sinespaciado"/>
        <w:widowControl w:val="0"/>
        <w:autoSpaceDE w:val="0"/>
        <w:autoSpaceDN w:val="0"/>
        <w:spacing w:line="276" w:lineRule="auto"/>
        <w:jc w:val="both"/>
        <w:rPr>
          <w:rFonts w:ascii="Arial" w:hAnsi="Arial" w:cs="Arial"/>
          <w:b/>
          <w:color w:val="000000" w:themeColor="text1"/>
          <w:sz w:val="22"/>
        </w:rPr>
      </w:pPr>
      <w:r w:rsidRPr="00E04191">
        <w:rPr>
          <w:rFonts w:ascii="Arial" w:hAnsi="Arial" w:cs="Arial"/>
          <w:b/>
          <w:color w:val="000000" w:themeColor="text1"/>
          <w:sz w:val="22"/>
        </w:rPr>
        <w:t xml:space="preserve">2.1. </w:t>
      </w:r>
      <w:r w:rsidRPr="00E04191" w:rsidR="00F8649C">
        <w:rPr>
          <w:rFonts w:ascii="Arial" w:hAnsi="Arial" w:cs="Arial"/>
          <w:b/>
          <w:color w:val="000000" w:themeColor="text1"/>
          <w:sz w:val="22"/>
        </w:rPr>
        <w:t xml:space="preserve">Régimen de inhabilidades e incompatibilidades para contratar con el Estado </w:t>
      </w:r>
    </w:p>
    <w:p w:rsidRPr="00E04191" w:rsidR="00F8649C" w:rsidP="00F77764" w:rsidRDefault="00F8649C" w14:paraId="7ED40B5B" w14:textId="77777777">
      <w:pPr>
        <w:pStyle w:val="Sinespaciado"/>
        <w:spacing w:line="276" w:lineRule="auto"/>
        <w:jc w:val="both"/>
        <w:rPr>
          <w:rFonts w:ascii="Arial" w:hAnsi="Arial" w:cs="Arial"/>
          <w:color w:val="000000" w:themeColor="text1"/>
          <w:sz w:val="22"/>
        </w:rPr>
      </w:pPr>
    </w:p>
    <w:p w:rsidRPr="00E04191" w:rsidR="00F8649C" w:rsidP="00173739" w:rsidRDefault="00F8649C" w14:paraId="27C49D64" w14:textId="560819DC">
      <w:pPr>
        <w:pStyle w:val="Sinespaciado"/>
        <w:spacing w:after="120" w:line="276" w:lineRule="auto"/>
        <w:jc w:val="both"/>
        <w:rPr>
          <w:rFonts w:ascii="Arial" w:hAnsi="Arial" w:cs="Arial"/>
          <w:color w:val="000000" w:themeColor="text1"/>
          <w:sz w:val="22"/>
        </w:rPr>
      </w:pPr>
      <w:r w:rsidRPr="00E04191">
        <w:rPr>
          <w:rFonts w:ascii="Arial" w:hAnsi="Arial" w:cs="Arial"/>
          <w:color w:val="000000" w:themeColor="text1"/>
          <w:sz w:val="22"/>
        </w:rPr>
        <w:t xml:space="preserve">Las inhabilidades son circunstancias establecidas por la Constitución o la Ley que impiden que personas naturales o jurídicas sean elegidas o designadas en un cargo público o puedan celebrar contratos con el Estado, con el objetivo de garantizar la idoneidad, imparcialidad, probidad, transparencia y moralidad de la función pública, y lograr garantizar el interés general.  </w:t>
      </w:r>
    </w:p>
    <w:p w:rsidRPr="00E04191" w:rsidR="00F8649C" w:rsidP="00F8649C" w:rsidRDefault="00F8649C" w14:paraId="3CD6DE91" w14:textId="77777777">
      <w:pPr>
        <w:pStyle w:val="Sinespaciado"/>
        <w:spacing w:before="120" w:after="120" w:line="276" w:lineRule="auto"/>
        <w:ind w:firstLine="708"/>
        <w:jc w:val="both"/>
        <w:rPr>
          <w:rFonts w:ascii="Arial" w:hAnsi="Arial" w:cs="Arial"/>
          <w:color w:val="000000" w:themeColor="text1"/>
          <w:sz w:val="22"/>
        </w:rPr>
      </w:pPr>
      <w:r w:rsidRPr="00E04191">
        <w:rPr>
          <w:rFonts w:ascii="Arial" w:hAnsi="Arial" w:cs="Arial"/>
          <w:color w:val="000000" w:themeColor="text1"/>
          <w:sz w:val="22"/>
        </w:rPr>
        <w:t xml:space="preserve">El régimen de inhabilidades para contratar con el Estado es un conjunto de restricciones establecidas por el constituyente o por el legislador que afectan directamente la capacidad de las personas para establecer una relación jurídica contractual con el </w:t>
      </w:r>
      <w:r w:rsidRPr="00E04191">
        <w:rPr>
          <w:rFonts w:ascii="Arial" w:hAnsi="Arial" w:cs="Arial"/>
          <w:color w:val="000000" w:themeColor="text1"/>
          <w:sz w:val="22"/>
        </w:rPr>
        <w:lastRenderedPageBreak/>
        <w:t xml:space="preserve">Estado, que pueden resultar de condenas, sanciones o situaciones previamente establecidas por el ordenamiento jurídico. </w:t>
      </w:r>
    </w:p>
    <w:p w:rsidRPr="00E04191" w:rsidR="00F8649C" w:rsidP="00F8649C" w:rsidRDefault="00F8649C" w14:paraId="1A254755" w14:textId="77777777">
      <w:pPr>
        <w:pStyle w:val="Sinespaciado"/>
        <w:spacing w:before="120" w:after="120" w:line="276" w:lineRule="auto"/>
        <w:ind w:firstLine="708"/>
        <w:jc w:val="both"/>
        <w:rPr>
          <w:rFonts w:ascii="Arial" w:hAnsi="Arial" w:cs="Arial"/>
          <w:color w:val="000000" w:themeColor="text1"/>
          <w:sz w:val="22"/>
        </w:rPr>
      </w:pPr>
      <w:r w:rsidRPr="00E04191">
        <w:rPr>
          <w:rFonts w:ascii="Arial" w:hAnsi="Arial" w:cs="Arial"/>
          <w:color w:val="000000" w:themeColor="text1"/>
          <w:sz w:val="22"/>
        </w:rPr>
        <w:t>La Corte Constitucional ha determinado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Pr="00E04191">
        <w:rPr>
          <w:rFonts w:ascii="Arial" w:hAnsi="Arial" w:cs="Arial"/>
          <w:color w:val="000000" w:themeColor="text1"/>
          <w:sz w:val="22"/>
          <w:vertAlign w:val="superscript"/>
        </w:rPr>
        <w:footnoteReference w:id="1"/>
      </w:r>
      <w:r w:rsidRPr="00E04191">
        <w:rPr>
          <w:rFonts w:ascii="Arial" w:hAnsi="Arial" w:cs="Arial"/>
          <w:color w:val="000000" w:themeColor="text1"/>
          <w:sz w:val="22"/>
        </w:rPr>
        <w:t xml:space="preserve">. </w:t>
      </w:r>
    </w:p>
    <w:p w:rsidRPr="00E04191" w:rsidR="00F8649C" w:rsidP="00173739" w:rsidRDefault="00F8649C" w14:paraId="232E3583" w14:textId="77777777">
      <w:pPr>
        <w:pStyle w:val="Sinespaciado"/>
        <w:spacing w:before="120" w:line="276" w:lineRule="auto"/>
        <w:ind w:firstLine="709"/>
        <w:jc w:val="both"/>
        <w:rPr>
          <w:rFonts w:ascii="Arial" w:hAnsi="Arial" w:cs="Arial"/>
          <w:color w:val="000000" w:themeColor="text1"/>
          <w:sz w:val="22"/>
        </w:rPr>
      </w:pPr>
      <w:r w:rsidRPr="00E04191">
        <w:rPr>
          <w:rFonts w:ascii="Arial" w:hAnsi="Arial" w:cs="Arial"/>
          <w:color w:val="000000" w:themeColor="text1"/>
          <w:sz w:val="22"/>
        </w:rPr>
        <w:t xml:space="preserve">La consagración de estas restricciones o limitaciones que afectan la capacidad jurídica de la persona para contratar busca la realización de los principios de la función administrativa, consagrados en el artículo 209 de la Constitución Política, con especial énfasis en el de moralidad. Así lo ha entendido el Consejo de Estado: </w:t>
      </w:r>
    </w:p>
    <w:p w:rsidRPr="00E04191" w:rsidR="00F8649C" w:rsidP="00173739" w:rsidRDefault="00F8649C" w14:paraId="3EC7ADD1" w14:textId="77777777">
      <w:pPr>
        <w:pStyle w:val="Sinespaciado"/>
        <w:spacing w:line="276" w:lineRule="auto"/>
        <w:jc w:val="both"/>
        <w:rPr>
          <w:rFonts w:ascii="Arial" w:hAnsi="Arial" w:cs="Arial"/>
          <w:color w:val="000000" w:themeColor="text1"/>
          <w:sz w:val="22"/>
        </w:rPr>
      </w:pPr>
    </w:p>
    <w:p w:rsidRPr="00E04191" w:rsidR="00F8649C" w:rsidP="00173739" w:rsidRDefault="00F8649C" w14:paraId="0D6412DB" w14:textId="77777777">
      <w:pPr>
        <w:pStyle w:val="NormalWeb"/>
        <w:shd w:val="clear" w:color="auto" w:fill="FFFFFF"/>
        <w:spacing w:before="0" w:beforeAutospacing="0" w:after="0" w:afterAutospacing="0"/>
        <w:ind w:left="709" w:right="709"/>
        <w:jc w:val="both"/>
        <w:rPr>
          <w:rFonts w:ascii="Arial" w:hAnsi="Arial" w:cs="Arial" w:eastAsiaTheme="minorHAnsi"/>
          <w:color w:val="000000" w:themeColor="text1"/>
          <w:sz w:val="21"/>
          <w:szCs w:val="21"/>
          <w:lang w:val="es-ES" w:eastAsia="en-US"/>
        </w:rPr>
      </w:pPr>
      <w:r w:rsidRPr="00E04191">
        <w:rPr>
          <w:rFonts w:ascii="Arial" w:hAnsi="Arial" w:cs="Arial" w:eastAsiaTheme="minorHAnsi"/>
          <w:color w:val="000000" w:themeColor="text1"/>
          <w:sz w:val="21"/>
          <w:szCs w:val="21"/>
          <w:lang w:val="es-ES" w:eastAsia="en-US"/>
        </w:rPr>
        <w:t>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la Carta, toda vez que este Principio –en su carácter jurídico, ordenador y orientador del derecho– constituye la Finalidad, el Deber Ser, la Razón de Primer Orden en la cual se inspira, justifica y legitima la existencia de las normas que definen y regulan las inhabilidades e incompatibilidades.</w:t>
      </w:r>
    </w:p>
    <w:p w:rsidRPr="00E04191" w:rsidR="00F8649C" w:rsidP="00173739" w:rsidRDefault="00F8649C" w14:paraId="53340C90" w14:textId="77777777">
      <w:pPr>
        <w:pStyle w:val="NormalWeb"/>
        <w:shd w:val="clear" w:color="auto" w:fill="FFFFFF"/>
        <w:spacing w:before="0" w:beforeAutospacing="0" w:after="0" w:afterAutospacing="0"/>
        <w:ind w:left="709" w:right="709"/>
        <w:jc w:val="both"/>
        <w:rPr>
          <w:rFonts w:ascii="Arial" w:hAnsi="Arial" w:cs="Arial" w:eastAsiaTheme="minorHAnsi"/>
          <w:color w:val="000000" w:themeColor="text1"/>
          <w:sz w:val="21"/>
          <w:szCs w:val="21"/>
          <w:lang w:val="es-ES" w:eastAsia="en-US"/>
        </w:rPr>
      </w:pPr>
    </w:p>
    <w:p w:rsidRPr="00E04191" w:rsidR="00F8649C" w:rsidP="00173739" w:rsidRDefault="00F8649C" w14:paraId="0ED2C236" w14:textId="77777777">
      <w:pPr>
        <w:pStyle w:val="NormalWeb"/>
        <w:shd w:val="clear" w:color="auto" w:fill="FFFFFF"/>
        <w:spacing w:before="0" w:beforeAutospacing="0" w:after="0" w:afterAutospacing="0"/>
        <w:ind w:left="709" w:right="709"/>
        <w:jc w:val="both"/>
        <w:rPr>
          <w:rFonts w:ascii="Arial" w:hAnsi="Arial" w:cs="Arial" w:eastAsiaTheme="minorHAnsi"/>
          <w:color w:val="000000" w:themeColor="text1"/>
          <w:sz w:val="21"/>
          <w:szCs w:val="21"/>
          <w:lang w:val="es-ES" w:eastAsia="en-US"/>
        </w:rPr>
      </w:pPr>
      <w:r w:rsidRPr="00E04191">
        <w:rPr>
          <w:rFonts w:ascii="Arial" w:hAnsi="Arial" w:cs="Arial" w:eastAsiaTheme="minorHAnsi"/>
          <w:color w:val="000000" w:themeColor="text1"/>
          <w:sz w:val="21"/>
          <w:szCs w:val="21"/>
          <w:lang w:val="es-ES" w:eastAsia="en-US"/>
        </w:rPr>
        <w:t>Adicionalmente, toda vez que la Jurisprudencia Constitucional se ha referido a la protección del Interés General como causa que legitima la estructuración legal de las incompatibilidades e inhabilidades, se puede precisar que la regulación de sus causales para contratar con el Estado debe orientarse por el Principio de Moralidad que obviamente –como es propio de todos los Principios de la Función Administrativa– se despliega ordenado con base en la protección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Estado</w:t>
      </w:r>
      <w:r w:rsidRPr="00E04191">
        <w:rPr>
          <w:rStyle w:val="Refdenotaalpie"/>
          <w:rFonts w:ascii="Arial" w:hAnsi="Arial" w:cs="Arial" w:eastAsiaTheme="minorHAnsi"/>
          <w:color w:val="000000" w:themeColor="text1"/>
          <w:sz w:val="21"/>
          <w:szCs w:val="21"/>
          <w:lang w:val="es-ES" w:eastAsia="en-US"/>
        </w:rPr>
        <w:footnoteReference w:id="2"/>
      </w:r>
      <w:r w:rsidRPr="00E04191">
        <w:rPr>
          <w:rFonts w:ascii="Arial" w:hAnsi="Arial" w:cs="Arial" w:eastAsiaTheme="minorHAnsi"/>
          <w:color w:val="000000" w:themeColor="text1"/>
          <w:sz w:val="21"/>
          <w:szCs w:val="21"/>
          <w:lang w:val="es-ES" w:eastAsia="en-US"/>
        </w:rPr>
        <w:t xml:space="preserve">. </w:t>
      </w:r>
    </w:p>
    <w:p w:rsidRPr="00E04191" w:rsidR="00F8649C" w:rsidP="00173739" w:rsidRDefault="00F8649C" w14:paraId="4671598C" w14:textId="77777777">
      <w:pPr>
        <w:pStyle w:val="Sinespaciado"/>
        <w:spacing w:line="276" w:lineRule="auto"/>
        <w:jc w:val="both"/>
        <w:rPr>
          <w:rFonts w:ascii="Arial" w:hAnsi="Arial" w:cs="Arial"/>
          <w:color w:val="000000" w:themeColor="text1"/>
          <w:sz w:val="22"/>
        </w:rPr>
      </w:pPr>
    </w:p>
    <w:p w:rsidRPr="00E04191" w:rsidR="00F8649C" w:rsidP="00173739" w:rsidRDefault="00F8649C" w14:paraId="05853817" w14:textId="237DAD83">
      <w:pPr>
        <w:pStyle w:val="Sinespaciado"/>
        <w:spacing w:line="276" w:lineRule="auto"/>
        <w:ind w:firstLine="709"/>
        <w:jc w:val="both"/>
        <w:rPr>
          <w:rFonts w:ascii="Arial" w:hAnsi="Arial" w:cs="Arial"/>
          <w:color w:val="000000" w:themeColor="text1"/>
          <w:sz w:val="22"/>
        </w:rPr>
      </w:pPr>
      <w:r w:rsidRPr="00E04191">
        <w:rPr>
          <w:rFonts w:ascii="Arial" w:hAnsi="Arial" w:cs="Arial"/>
          <w:color w:val="000000" w:themeColor="text1"/>
          <w:sz w:val="22"/>
        </w:rPr>
        <w:t xml:space="preserve">Así las cosas, las inhabilidades son medios que buscan garantizar la transparencia y eficiencia en la actividad contractual del Estado y para ello imponen restricciones en la personalidad jurídica, la igualdad, la libre empresa y, particularmente, </w:t>
      </w:r>
      <w:r w:rsidRPr="00E04191" w:rsidR="003B7A26">
        <w:rPr>
          <w:rFonts w:ascii="Arial" w:hAnsi="Arial" w:cs="Arial"/>
          <w:color w:val="000000" w:themeColor="text1"/>
          <w:sz w:val="22"/>
        </w:rPr>
        <w:t>al derecho a participar en procesos de selección y celebrar contratos con el Estado</w:t>
      </w:r>
      <w:r w:rsidRPr="00E04191">
        <w:rPr>
          <w:rFonts w:ascii="Arial" w:hAnsi="Arial" w:cs="Arial"/>
          <w:color w:val="000000" w:themeColor="text1"/>
          <w:sz w:val="22"/>
        </w:rPr>
        <w:t xml:space="preserve">. La Corte Constitucional ha reconocido que estas limitaciones deben estar justificadas en la </w:t>
      </w:r>
      <w:r w:rsidRPr="00E04191">
        <w:rPr>
          <w:rFonts w:ascii="Arial" w:hAnsi="Arial" w:cs="Arial"/>
          <w:color w:val="000000" w:themeColor="text1"/>
          <w:sz w:val="22"/>
        </w:rPr>
        <w:lastRenderedPageBreak/>
        <w:t xml:space="preserve">salvaguarda del interés general y que su lectura e interpretación debe ser taxativa y restrictiva: </w:t>
      </w:r>
    </w:p>
    <w:p w:rsidRPr="00E04191" w:rsidR="00F8649C" w:rsidP="00F8649C" w:rsidRDefault="00F8649C" w14:paraId="62C570DE" w14:textId="77777777">
      <w:pPr>
        <w:rPr>
          <w:rFonts w:ascii="Arial" w:hAnsi="Arial" w:eastAsia="Times New Roman" w:cs="Arial"/>
          <w:color w:val="000000" w:themeColor="text1"/>
          <w:sz w:val="22"/>
          <w:shd w:val="clear" w:color="auto" w:fill="FFFFFF"/>
          <w:lang w:val="es-CO" w:eastAsia="es-ES_tradnl"/>
        </w:rPr>
      </w:pPr>
    </w:p>
    <w:p w:rsidRPr="00E04191" w:rsidR="00F8649C" w:rsidP="00173739" w:rsidRDefault="00F8649C" w14:paraId="4B87DC6C" w14:textId="77777777">
      <w:pPr>
        <w:ind w:left="709" w:right="709"/>
        <w:jc w:val="both"/>
        <w:rPr>
          <w:rFonts w:ascii="Arial" w:hAnsi="Arial" w:cs="Arial"/>
          <w:color w:val="000000" w:themeColor="text1"/>
          <w:sz w:val="21"/>
          <w:szCs w:val="21"/>
        </w:rPr>
      </w:pPr>
      <w:r w:rsidRPr="00E04191">
        <w:rPr>
          <w:rFonts w:ascii="Arial" w:hAnsi="Arial" w:cs="Arial"/>
          <w:color w:val="000000" w:themeColor="text1"/>
          <w:sz w:val="21"/>
          <w:szCs w:val="21"/>
        </w:rPr>
        <w:t xml:space="preserve">Todo régimen de inhabilidades e incompatibilidades de suyo excluye a ciertas categorías de personas del proceso de contratación, generando incapacidades especiales, impedimentos y prohibiciones de variada naturaleza, que en cierta medida afectan el derecho a la personalidad jurídica traducido, a su turno, en el principio general de capacidad legal [CC arts. 1502 y 1503; ley 80 de 1993, art. 6]. De ordinario, como ocurre en la contratación estatal, la inobservancia del régimen de inhabilidades e </w:t>
      </w:r>
      <w:proofErr w:type="gramStart"/>
      <w:r w:rsidRPr="00E04191">
        <w:rPr>
          <w:rFonts w:ascii="Arial" w:hAnsi="Arial" w:cs="Arial"/>
          <w:color w:val="000000" w:themeColor="text1"/>
          <w:sz w:val="21"/>
          <w:szCs w:val="21"/>
        </w:rPr>
        <w:t>incompatibilidades,</w:t>
      </w:r>
      <w:proofErr w:type="gramEnd"/>
      <w:r w:rsidRPr="00E04191">
        <w:rPr>
          <w:rFonts w:ascii="Arial" w:hAnsi="Arial" w:cs="Arial"/>
          <w:color w:val="000000" w:themeColor="text1"/>
          <w:sz w:val="21"/>
          <w:szCs w:val="21"/>
        </w:rPr>
        <w:t xml:space="preserve"> se erige en causal de nulidad del contrato celebrado en esas condiciones (ley 80 de 1993, art. 44).</w:t>
      </w:r>
    </w:p>
    <w:p w:rsidRPr="00E04191" w:rsidR="00F8649C" w:rsidP="00173739" w:rsidRDefault="00F8649C" w14:paraId="36200B07" w14:textId="77777777">
      <w:pPr>
        <w:ind w:left="709" w:right="709"/>
        <w:jc w:val="both"/>
        <w:rPr>
          <w:rFonts w:ascii="Arial" w:hAnsi="Arial" w:cs="Arial"/>
          <w:color w:val="000000" w:themeColor="text1"/>
          <w:sz w:val="21"/>
          <w:szCs w:val="21"/>
        </w:rPr>
      </w:pPr>
      <w:r w:rsidRPr="00E04191">
        <w:rPr>
          <w:rFonts w:ascii="Arial" w:hAnsi="Arial" w:cs="Arial"/>
          <w:color w:val="000000" w:themeColor="text1"/>
          <w:sz w:val="21"/>
          <w:szCs w:val="21"/>
        </w:rPr>
        <w:t> </w:t>
      </w:r>
    </w:p>
    <w:p w:rsidRPr="00E04191" w:rsidR="00F8649C" w:rsidP="00173739" w:rsidRDefault="00F8649C" w14:paraId="0653E5B0" w14:textId="77777777">
      <w:pPr>
        <w:ind w:left="709" w:right="709"/>
        <w:jc w:val="both"/>
        <w:rPr>
          <w:rFonts w:ascii="Arial" w:hAnsi="Arial" w:cs="Arial"/>
          <w:color w:val="000000" w:themeColor="text1"/>
          <w:sz w:val="21"/>
          <w:szCs w:val="21"/>
        </w:rPr>
      </w:pPr>
      <w:r w:rsidRPr="00E04191">
        <w:rPr>
          <w:rFonts w:ascii="Arial" w:hAnsi="Arial" w:cs="Arial"/>
          <w:color w:val="000000" w:themeColor="text1"/>
          <w:sz w:val="21"/>
          <w:szCs w:val="21"/>
        </w:rPr>
        <w:t>El carácter reconocidamente taxativo y restrictivo de este régimen y el de las correlativas nulidades, obedece a la necesidad de salvaguardar el interés general ínsito en la contratación pública de manera que implique el menor sacrificio posible al derecho de igualdad y de reconocimiento de la personalidad jurídica de quienes aspiran a contratar con el Estado. Es evidente que si la restricción legal [incompatibilidad o inhabilidad] no se sustenta en ninguna necesidad de protección del interés general o ésta es irrazonable o desproporcionada, en esa misma medida pierde justificación constitucional como medio legítimo para restringir, en ese caso, el derecho a la igualdad y el reconocimiento de la personalidad jurídica de las personas que resultan rechazadas del ámbito contractual del Estado</w:t>
      </w:r>
      <w:r w:rsidRPr="00E04191">
        <w:rPr>
          <w:rStyle w:val="Refdenotaalpie"/>
          <w:rFonts w:ascii="Arial" w:hAnsi="Arial" w:cs="Arial"/>
          <w:color w:val="000000" w:themeColor="text1"/>
          <w:sz w:val="21"/>
          <w:szCs w:val="21"/>
        </w:rPr>
        <w:footnoteReference w:id="3"/>
      </w:r>
      <w:r w:rsidRPr="00E04191">
        <w:rPr>
          <w:rFonts w:ascii="Arial" w:hAnsi="Arial" w:cs="Arial"/>
          <w:color w:val="000000" w:themeColor="text1"/>
          <w:sz w:val="21"/>
          <w:szCs w:val="21"/>
        </w:rPr>
        <w:t>.</w:t>
      </w:r>
    </w:p>
    <w:p w:rsidRPr="00E04191" w:rsidR="00F8649C" w:rsidP="00173739" w:rsidRDefault="00F8649C" w14:paraId="5B9F31C1" w14:textId="77777777">
      <w:pPr>
        <w:spacing w:line="276" w:lineRule="auto"/>
        <w:ind w:left="709" w:right="709"/>
        <w:rPr>
          <w:rFonts w:ascii="Arial" w:hAnsi="Arial" w:eastAsia="Times New Roman" w:cs="Arial"/>
          <w:color w:val="000000" w:themeColor="text1"/>
          <w:sz w:val="22"/>
          <w:shd w:val="clear" w:color="auto" w:fill="FFFFFF"/>
          <w:lang w:val="es-CO" w:eastAsia="es-ES_tradnl"/>
        </w:rPr>
      </w:pPr>
    </w:p>
    <w:p w:rsidRPr="00E04191" w:rsidR="00F8649C" w:rsidP="00A978F3" w:rsidRDefault="00F8649C" w14:paraId="0544A863" w14:textId="77777777">
      <w:pPr>
        <w:spacing w:line="276" w:lineRule="auto"/>
        <w:ind w:firstLine="709"/>
        <w:jc w:val="both"/>
        <w:rPr>
          <w:rFonts w:ascii="Arial" w:hAnsi="Arial" w:cs="Arial"/>
          <w:color w:val="000000" w:themeColor="text1"/>
          <w:sz w:val="22"/>
        </w:rPr>
      </w:pPr>
      <w:r w:rsidRPr="00E04191">
        <w:rPr>
          <w:rFonts w:ascii="Arial" w:hAnsi="Arial" w:cs="Arial"/>
          <w:color w:val="000000" w:themeColor="text1"/>
          <w:sz w:val="22"/>
        </w:rPr>
        <w:t>Asimismo, la Corte Constitucional ha resaltado que la competencia para determinar qué hechos o situaciones generan inhabilidad para contratar con el Estado la tiene el legislador, pues este régimen es un aspecto propio del Estatuto General de la Contratación Pública, cuya expedición compete al Congreso de la República, a la luz del artículo 150 de la Constitución Política, y que en esta materia rige el principio de legalidad:</w:t>
      </w:r>
    </w:p>
    <w:p w:rsidRPr="00E04191" w:rsidR="00F8649C" w:rsidP="00A978F3" w:rsidRDefault="00F8649C" w14:paraId="35FC8754" w14:textId="290C5D76">
      <w:pPr>
        <w:pStyle w:val="Sinespaciado"/>
        <w:tabs>
          <w:tab w:val="left" w:pos="1532"/>
        </w:tabs>
        <w:spacing w:line="276" w:lineRule="auto"/>
        <w:jc w:val="both"/>
        <w:rPr>
          <w:rFonts w:ascii="Arial" w:hAnsi="Arial" w:cs="Arial"/>
          <w:color w:val="000000" w:themeColor="text1"/>
          <w:sz w:val="22"/>
        </w:rPr>
      </w:pPr>
    </w:p>
    <w:p w:rsidRPr="00E04191" w:rsidR="00F8649C" w:rsidP="008D572D" w:rsidRDefault="00F8649C" w14:paraId="33E05F2F" w14:textId="77777777">
      <w:pPr>
        <w:ind w:left="709" w:right="709"/>
        <w:jc w:val="both"/>
        <w:rPr>
          <w:rFonts w:ascii="Arial" w:hAnsi="Arial" w:cs="Arial"/>
          <w:color w:val="000000" w:themeColor="text1"/>
          <w:sz w:val="21"/>
          <w:szCs w:val="21"/>
        </w:rPr>
      </w:pPr>
      <w:r w:rsidRPr="00E04191">
        <w:rPr>
          <w:rFonts w:ascii="Arial" w:hAnsi="Arial" w:cs="Arial"/>
          <w:color w:val="000000" w:themeColor="text1"/>
          <w:sz w:val="21"/>
          <w:szCs w:val="21"/>
        </w:rPr>
        <w:t xml:space="preserve">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 pro </w:t>
      </w:r>
      <w:proofErr w:type="spellStart"/>
      <w:r w:rsidRPr="00E04191">
        <w:rPr>
          <w:rFonts w:ascii="Arial" w:hAnsi="Arial" w:cs="Arial"/>
          <w:color w:val="000000" w:themeColor="text1"/>
          <w:sz w:val="21"/>
          <w:szCs w:val="21"/>
        </w:rPr>
        <w:t>libertate</w:t>
      </w:r>
      <w:proofErr w:type="spellEnd"/>
      <w:r w:rsidRPr="00E04191">
        <w:rPr>
          <w:rFonts w:ascii="Arial" w:hAnsi="Arial" w:cs="Arial"/>
          <w:color w:val="000000" w:themeColor="text1"/>
          <w:sz w:val="21"/>
          <w:szCs w:val="21"/>
        </w:rPr>
        <w:t xml:space="preserve">, sino el de legalidad, el que ordena que la función pública debe someterse estrictamente a lo que disponga la Constitución y la ley (CP art. 6). </w:t>
      </w:r>
    </w:p>
    <w:p w:rsidRPr="00E04191" w:rsidR="00B87FFA" w:rsidP="008D572D" w:rsidRDefault="00B87FFA" w14:paraId="257C74B7" w14:textId="77777777">
      <w:pPr>
        <w:ind w:left="709" w:right="709"/>
        <w:jc w:val="both"/>
        <w:rPr>
          <w:rFonts w:ascii="Arial" w:hAnsi="Arial" w:cs="Arial"/>
          <w:color w:val="000000" w:themeColor="text1"/>
          <w:sz w:val="21"/>
          <w:szCs w:val="21"/>
        </w:rPr>
      </w:pPr>
    </w:p>
    <w:p w:rsidRPr="00E04191" w:rsidR="00F8649C" w:rsidP="008D572D" w:rsidRDefault="00F8649C" w14:paraId="41B0545B" w14:textId="75785C5E">
      <w:pPr>
        <w:ind w:left="709" w:right="709"/>
        <w:jc w:val="both"/>
        <w:rPr>
          <w:rFonts w:ascii="Arial" w:hAnsi="Arial" w:cs="Arial"/>
          <w:color w:val="000000" w:themeColor="text1"/>
          <w:sz w:val="21"/>
          <w:szCs w:val="21"/>
        </w:rPr>
      </w:pPr>
      <w:r w:rsidRPr="00E04191">
        <w:rPr>
          <w:rFonts w:ascii="Arial" w:hAnsi="Arial" w:cs="Arial"/>
          <w:color w:val="000000" w:themeColor="text1"/>
          <w:sz w:val="21"/>
          <w:szCs w:val="21"/>
        </w:rPr>
        <w:t xml:space="preserve">[…] </w:t>
      </w:r>
    </w:p>
    <w:p w:rsidRPr="00E04191" w:rsidR="00F8649C" w:rsidP="008D572D" w:rsidRDefault="00F8649C" w14:paraId="24A10F70" w14:textId="77777777">
      <w:pPr>
        <w:ind w:left="709" w:right="709"/>
        <w:jc w:val="both"/>
        <w:rPr>
          <w:rFonts w:ascii="Arial" w:hAnsi="Arial" w:cs="Arial"/>
          <w:color w:val="000000" w:themeColor="text1"/>
          <w:sz w:val="21"/>
          <w:szCs w:val="21"/>
        </w:rPr>
      </w:pPr>
    </w:p>
    <w:p w:rsidRPr="00E04191" w:rsidR="00F8649C" w:rsidP="008D572D" w:rsidRDefault="00F8649C" w14:paraId="51D9F023" w14:textId="77777777">
      <w:pPr>
        <w:ind w:left="709" w:right="709"/>
        <w:jc w:val="both"/>
        <w:rPr>
          <w:rFonts w:ascii="Arial" w:hAnsi="Arial" w:cs="Arial"/>
          <w:color w:val="000000" w:themeColor="text1"/>
          <w:sz w:val="21"/>
          <w:szCs w:val="21"/>
        </w:rPr>
      </w:pPr>
      <w:r w:rsidRPr="00E04191">
        <w:rPr>
          <w:rFonts w:ascii="Arial" w:hAnsi="Arial" w:cs="Arial"/>
          <w:color w:val="000000" w:themeColor="text1"/>
          <w:sz w:val="21"/>
          <w:szCs w:val="21"/>
        </w:rPr>
        <w:lastRenderedPageBreak/>
        <w:t xml:space="preserve">Se comprende con facilidad que el régimen de inhabilidades e </w:t>
      </w:r>
      <w:proofErr w:type="gramStart"/>
      <w:r w:rsidRPr="00E04191">
        <w:rPr>
          <w:rFonts w:ascii="Arial" w:hAnsi="Arial" w:cs="Arial"/>
          <w:color w:val="000000" w:themeColor="text1"/>
          <w:sz w:val="21"/>
          <w:szCs w:val="21"/>
        </w:rPr>
        <w:t>incompatibilidades,</w:t>
      </w:r>
      <w:proofErr w:type="gramEnd"/>
      <w:r w:rsidRPr="00E04191">
        <w:rPr>
          <w:rFonts w:ascii="Arial" w:hAnsi="Arial" w:cs="Arial"/>
          <w:color w:val="000000" w:themeColor="text1"/>
          <w:sz w:val="21"/>
          <w:szCs w:val="21"/>
        </w:rPr>
        <w:t xml:space="preserve"> corresponde a una materia de normal y obligada inclusión en un estatuto contractual. El legislador, a quien se ha confiado expedir el indicado estatuto, tiene, pues, competencia para establecerlo (CP art. 150)</w:t>
      </w:r>
      <w:r w:rsidRPr="00E04191">
        <w:rPr>
          <w:rStyle w:val="Refdenotaalpie"/>
          <w:rFonts w:ascii="Arial" w:hAnsi="Arial" w:cs="Arial"/>
          <w:color w:val="000000" w:themeColor="text1"/>
          <w:sz w:val="21"/>
          <w:szCs w:val="21"/>
        </w:rPr>
        <w:footnoteReference w:id="4"/>
      </w:r>
      <w:r w:rsidRPr="00E04191">
        <w:rPr>
          <w:rFonts w:ascii="Arial" w:hAnsi="Arial" w:cs="Arial"/>
          <w:color w:val="000000" w:themeColor="text1"/>
          <w:sz w:val="21"/>
          <w:szCs w:val="21"/>
        </w:rPr>
        <w:t>.</w:t>
      </w:r>
    </w:p>
    <w:p w:rsidRPr="00E04191" w:rsidR="00F8649C" w:rsidP="008D572D" w:rsidRDefault="00F8649C" w14:paraId="30DE4E40" w14:textId="77777777">
      <w:pPr>
        <w:ind w:left="709" w:right="709"/>
        <w:rPr>
          <w:rFonts w:ascii="Arial" w:hAnsi="Arial" w:eastAsia="Times New Roman" w:cs="Arial"/>
          <w:color w:val="000000" w:themeColor="text1"/>
          <w:sz w:val="22"/>
          <w:shd w:val="clear" w:color="auto" w:fill="FFFFFF"/>
          <w:lang w:val="es-CO" w:eastAsia="es-ES_tradnl"/>
        </w:rPr>
      </w:pPr>
    </w:p>
    <w:p w:rsidRPr="00E04191" w:rsidR="00F8649C" w:rsidP="008D572D" w:rsidRDefault="00F8649C" w14:paraId="5B6CB76D" w14:textId="77777777">
      <w:pPr>
        <w:spacing w:after="120" w:line="276" w:lineRule="auto"/>
        <w:ind w:firstLine="709"/>
        <w:jc w:val="both"/>
        <w:rPr>
          <w:rFonts w:ascii="Arial" w:hAnsi="Arial" w:cs="Arial"/>
          <w:color w:val="000000" w:themeColor="text1"/>
          <w:sz w:val="22"/>
        </w:rPr>
      </w:pPr>
      <w:r w:rsidRPr="00E04191">
        <w:rPr>
          <w:rFonts w:ascii="Arial" w:hAnsi="Arial" w:cs="Arial"/>
          <w:color w:val="000000" w:themeColor="text1"/>
          <w:sz w:val="22"/>
        </w:rPr>
        <w:t xml:space="preserve">Conviene también acudir a la distinción que se ha trazado en torno a la fuente de las inhabilidades, las cuales han sido clasificadas en dos grupos: i) inhabilidades-sanción y </w:t>
      </w:r>
      <w:proofErr w:type="spellStart"/>
      <w:r w:rsidRPr="00E04191">
        <w:rPr>
          <w:rFonts w:ascii="Arial" w:hAnsi="Arial" w:cs="Arial"/>
          <w:color w:val="000000" w:themeColor="text1"/>
          <w:sz w:val="22"/>
        </w:rPr>
        <w:t>ii</w:t>
      </w:r>
      <w:proofErr w:type="spellEnd"/>
      <w:r w:rsidRPr="00E04191">
        <w:rPr>
          <w:rFonts w:ascii="Arial" w:hAnsi="Arial" w:cs="Arial"/>
          <w:color w:val="000000" w:themeColor="text1"/>
          <w:sz w:val="22"/>
        </w:rPr>
        <w:t>) inhabilidades-requisito. En el primer grupo se encuentran las inhabilidades que surgen como consecuencia de un proceso sancionatorio, en los ámbitos penal, disciplinario, contravencional o de punición por indignidad política –pérdida de investidura–. En el segundo grupo están aquellas que no devienen de un proceso sancionatorio sino de condiciones propias de la persona y buscan garantizar la moralidad, la imparcialidad, la eficacia y la transparencia</w:t>
      </w:r>
      <w:r w:rsidRPr="00E04191">
        <w:rPr>
          <w:rStyle w:val="Refdenotaalpie"/>
          <w:rFonts w:ascii="Arial" w:hAnsi="Arial" w:cs="Arial"/>
          <w:color w:val="000000" w:themeColor="text1"/>
          <w:sz w:val="22"/>
        </w:rPr>
        <w:footnoteReference w:id="5"/>
      </w:r>
      <w:r w:rsidRPr="00E04191">
        <w:rPr>
          <w:rFonts w:ascii="Arial" w:hAnsi="Arial" w:cs="Arial"/>
          <w:color w:val="000000" w:themeColor="text1"/>
          <w:sz w:val="22"/>
        </w:rPr>
        <w:t xml:space="preserve">. </w:t>
      </w:r>
    </w:p>
    <w:p w:rsidRPr="00E04191" w:rsidR="00F8649C" w:rsidP="00F8649C" w:rsidRDefault="00F8649C" w14:paraId="74C5CA0E" w14:textId="77777777">
      <w:pPr>
        <w:spacing w:before="120" w:after="120" w:line="276" w:lineRule="auto"/>
        <w:ind w:firstLine="708"/>
        <w:jc w:val="both"/>
        <w:rPr>
          <w:rFonts w:ascii="Arial" w:hAnsi="Arial" w:cs="Arial"/>
          <w:color w:val="000000" w:themeColor="text1"/>
          <w:sz w:val="22"/>
        </w:rPr>
      </w:pPr>
      <w:r w:rsidRPr="00E04191">
        <w:rPr>
          <w:rFonts w:ascii="Arial" w:hAnsi="Arial" w:cs="Arial"/>
          <w:color w:val="000000" w:themeColor="text1"/>
          <w:sz w:val="22"/>
        </w:rPr>
        <w:t>A manera de ejemplo, en materia contractual, los literales c), d) y j) del numeral 1 del artículo 8 de la Ley 80 de 1993</w:t>
      </w:r>
      <w:r w:rsidRPr="00E04191">
        <w:rPr>
          <w:rFonts w:ascii="Arial" w:hAnsi="Arial" w:cs="Arial"/>
          <w:color w:val="000000" w:themeColor="text1"/>
          <w:sz w:val="22"/>
          <w:vertAlign w:val="superscript"/>
        </w:rPr>
        <w:footnoteReference w:id="6"/>
      </w:r>
      <w:r w:rsidRPr="00E04191">
        <w:rPr>
          <w:rFonts w:ascii="Arial" w:hAnsi="Arial" w:cs="Arial"/>
          <w:color w:val="000000" w:themeColor="text1"/>
          <w:sz w:val="22"/>
        </w:rPr>
        <w:t xml:space="preserve"> establecen inhabilidades-sanción, porque la prohibición </w:t>
      </w:r>
      <w:r w:rsidRPr="00E04191">
        <w:rPr>
          <w:rFonts w:ascii="Arial" w:hAnsi="Arial" w:cs="Arial"/>
          <w:color w:val="000000" w:themeColor="text1"/>
          <w:sz w:val="22"/>
        </w:rPr>
        <w:lastRenderedPageBreak/>
        <w:t xml:space="preserve">para contratar con el Estado en esos eventos es una consecuencia de una declaratoria de responsabilidad que surge luego de un proceso sancionatorio –administrativo, disciplinario o penal–; mientras que las inhabilidades de los literales f), g) y h) del literal 1 de la norma citada establecen inhabilidades-requisito, pues no se configuran por la comisión previa de </w:t>
      </w:r>
      <w:r w:rsidRPr="00E04191">
        <w:rPr>
          <w:rFonts w:ascii="Arial" w:hAnsi="Arial" w:cs="Arial"/>
          <w:color w:val="000000" w:themeColor="text1"/>
          <w:sz w:val="22"/>
        </w:rPr>
        <w:lastRenderedPageBreak/>
        <w:t xml:space="preserve">una falta o un delito que dio lugar a una declaratoria por parte de la Administración o el juez, sino de aspectos propios de la persona, derivados, por ejemplo, del parentesco o la afinidad o de la condición de servidor público. </w:t>
      </w:r>
    </w:p>
    <w:p w:rsidRPr="00E04191" w:rsidR="00F8649C" w:rsidP="00F77764" w:rsidRDefault="00F8649C" w14:paraId="62E565C8" w14:textId="77777777">
      <w:pPr>
        <w:spacing w:before="120" w:line="276" w:lineRule="auto"/>
        <w:ind w:firstLine="709"/>
        <w:jc w:val="both"/>
        <w:rPr>
          <w:rFonts w:ascii="Arial" w:hAnsi="Arial" w:cs="Arial"/>
          <w:color w:val="000000" w:themeColor="text1"/>
          <w:sz w:val="22"/>
        </w:rPr>
      </w:pPr>
      <w:r w:rsidRPr="00E04191">
        <w:rPr>
          <w:rFonts w:ascii="Arial" w:hAnsi="Arial" w:cs="Arial"/>
          <w:color w:val="000000" w:themeColor="text1"/>
          <w:sz w:val="22"/>
        </w:rPr>
        <w:t xml:space="preserve">En ambos eventos, la inhabilidad tiene como fuente una situación o un hecho propio del proponente –una conducta o una condición– y no de su oferta. La inhabilidad surge, entre otros, por su grado de parentesco o afinidad, por su condición de servidor público o porque sobre él existe una declaratoria de responsabilidad en firme –penal, disciplinaria o sancionatoria contractual–. </w:t>
      </w:r>
    </w:p>
    <w:p w:rsidRPr="00E04191" w:rsidR="00F8649C" w:rsidP="00F77764" w:rsidRDefault="00F8649C" w14:paraId="735A2E0F" w14:textId="481B7F03">
      <w:pPr>
        <w:spacing w:line="276" w:lineRule="auto"/>
        <w:jc w:val="both"/>
        <w:rPr>
          <w:rFonts w:ascii="Arial" w:hAnsi="Arial" w:cs="Arial"/>
          <w:color w:val="000000" w:themeColor="text1"/>
          <w:sz w:val="22"/>
        </w:rPr>
      </w:pPr>
    </w:p>
    <w:p w:rsidRPr="00E04191" w:rsidR="00D20CF9" w:rsidP="00D20CF9" w:rsidRDefault="00D20CF9" w14:paraId="13451EFF" w14:textId="02F1C2F8">
      <w:pPr>
        <w:tabs>
          <w:tab w:val="left" w:pos="426"/>
        </w:tabs>
        <w:spacing w:line="276" w:lineRule="auto"/>
        <w:jc w:val="both"/>
        <w:rPr>
          <w:rFonts w:ascii="Arial" w:hAnsi="Arial" w:eastAsia="Calibri" w:cs="Arial"/>
          <w:b/>
          <w:color w:val="000000" w:themeColor="text1"/>
          <w:sz w:val="22"/>
          <w:lang w:val="es-ES_tradnl"/>
        </w:rPr>
      </w:pPr>
      <w:r w:rsidRPr="00E04191">
        <w:rPr>
          <w:rFonts w:ascii="Arial" w:hAnsi="Arial" w:eastAsia="Calibri" w:cs="Arial"/>
          <w:b/>
          <w:color w:val="000000" w:themeColor="text1"/>
          <w:sz w:val="22"/>
          <w:lang w:val="es-ES_tradnl"/>
        </w:rPr>
        <w:t>2.</w:t>
      </w:r>
      <w:r w:rsidRPr="00E04191" w:rsidR="00F77764">
        <w:rPr>
          <w:rFonts w:ascii="Arial" w:hAnsi="Arial" w:eastAsia="Calibri" w:cs="Arial"/>
          <w:b/>
          <w:color w:val="000000" w:themeColor="text1"/>
          <w:sz w:val="22"/>
          <w:lang w:val="es-ES_tradnl"/>
        </w:rPr>
        <w:t xml:space="preserve">2. </w:t>
      </w:r>
      <w:r w:rsidRPr="00E04191">
        <w:rPr>
          <w:rFonts w:ascii="Arial" w:hAnsi="Arial" w:eastAsia="Calibri" w:cs="Arial"/>
          <w:b/>
          <w:color w:val="000000" w:themeColor="text1"/>
          <w:sz w:val="22"/>
          <w:lang w:val="es-ES_tradnl"/>
        </w:rPr>
        <w:t xml:space="preserve">Régimen de inhabilidades e incompatibilidades en la contratación estatal: un límite a la capacidad contractual. La interpretación restrictiva como criterio hermenéutico de los enunciados normativos gravosos </w:t>
      </w:r>
    </w:p>
    <w:p w:rsidRPr="00E04191" w:rsidR="00D20CF9" w:rsidP="00D20CF9" w:rsidRDefault="00D20CF9" w14:paraId="5DC2E0AC" w14:textId="77777777">
      <w:pPr>
        <w:spacing w:line="276" w:lineRule="auto"/>
        <w:jc w:val="both"/>
        <w:rPr>
          <w:rFonts w:ascii="Arial" w:hAnsi="Arial" w:eastAsia="Calibri" w:cs="Arial"/>
          <w:color w:val="000000" w:themeColor="text1"/>
          <w:sz w:val="22"/>
          <w:lang w:val="es-ES_tradnl"/>
        </w:rPr>
      </w:pPr>
    </w:p>
    <w:p w:rsidRPr="00E04191" w:rsidR="00D20CF9" w:rsidP="00D20CF9" w:rsidRDefault="00D20CF9" w14:paraId="1831FDA1" w14:textId="77777777">
      <w:pPr>
        <w:spacing w:line="276" w:lineRule="auto"/>
        <w:jc w:val="both"/>
        <w:rPr>
          <w:rFonts w:ascii="Arial" w:hAnsi="Arial" w:eastAsia="Calibri" w:cs="Arial"/>
          <w:color w:val="000000" w:themeColor="text1"/>
          <w:sz w:val="22"/>
          <w:lang w:val="es-ES_tradnl"/>
        </w:rPr>
      </w:pPr>
      <w:r w:rsidRPr="00E04191">
        <w:rPr>
          <w:rFonts w:ascii="Arial" w:hAnsi="Arial" w:eastAsia="Calibri" w:cs="Arial"/>
          <w:color w:val="000000" w:themeColor="text1"/>
          <w:sz w:val="22"/>
          <w:lang w:val="es-ES_tradnl"/>
        </w:rPr>
        <w:t xml:space="preserve">En la contratación estatal, la </w:t>
      </w:r>
      <w:r w:rsidRPr="00E04191">
        <w:rPr>
          <w:rFonts w:ascii="Arial" w:hAnsi="Arial" w:eastAsia="Calibri" w:cs="Arial"/>
          <w:i/>
          <w:iCs/>
          <w:color w:val="000000" w:themeColor="text1"/>
          <w:sz w:val="22"/>
          <w:lang w:val="es-ES_tradnl"/>
        </w:rPr>
        <w:t>capacidad</w:t>
      </w:r>
      <w:r w:rsidRPr="00E04191">
        <w:rPr>
          <w:rFonts w:ascii="Arial" w:hAnsi="Arial" w:eastAsia="Calibri" w:cs="Arial"/>
          <w:color w:val="000000" w:themeColor="text1"/>
          <w:sz w:val="22"/>
          <w:lang w:val="es-ES_tradnl"/>
        </w:rPr>
        <w:t xml:space="preserve"> también es un requisito de validez de los contratos, tanto en el régimen de las entidades sujetas al Estatuto General de Contratación de la Administración Pública</w:t>
      </w:r>
      <w:r w:rsidRPr="00E04191">
        <w:rPr>
          <w:rFonts w:ascii="Arial" w:hAnsi="Arial" w:eastAsia="Calibri" w:cs="Arial"/>
          <w:color w:val="000000" w:themeColor="text1"/>
          <w:sz w:val="22"/>
          <w:vertAlign w:val="superscript"/>
          <w:lang w:val="es-ES_tradnl"/>
        </w:rPr>
        <w:footnoteReference w:id="7"/>
      </w:r>
      <w:r w:rsidRPr="00E04191">
        <w:rPr>
          <w:rFonts w:ascii="Arial" w:hAnsi="Arial" w:eastAsia="Calibri" w:cs="Arial"/>
          <w:color w:val="000000" w:themeColor="text1"/>
          <w:sz w:val="22"/>
          <w:lang w:val="es-ES_tradnl"/>
        </w:rPr>
        <w:t xml:space="preserve"> como en el de las entidades exceptuadas de aquel</w:t>
      </w:r>
      <w:r w:rsidRPr="00E04191">
        <w:rPr>
          <w:rFonts w:ascii="Arial" w:hAnsi="Arial" w:eastAsia="Calibri" w:cs="Arial"/>
          <w:color w:val="000000" w:themeColor="text1"/>
          <w:sz w:val="22"/>
          <w:vertAlign w:val="superscript"/>
          <w:lang w:val="es-ES_tradnl"/>
        </w:rPr>
        <w:footnoteReference w:id="8"/>
      </w:r>
      <w:r w:rsidRPr="00E04191">
        <w:rPr>
          <w:rFonts w:ascii="Arial" w:hAnsi="Arial" w:eastAsia="Calibri" w:cs="Arial"/>
          <w:color w:val="000000" w:themeColor="text1"/>
          <w:sz w:val="22"/>
          <w:lang w:val="es-ES_tradnl"/>
        </w:rPr>
        <w:t>. Si bien la regulación de la capacidad se integra por varias disposiciones y exigencias especiales –como el requisito de inscribirse, por regla general, en el Registro Único de Proponentes (RUP), establecido en el artículo 6 de la Ley 1150 de 2007, modificado por el artículo 221 del Decreto 19 de 2012</w:t>
      </w:r>
      <w:r w:rsidRPr="00E04191">
        <w:rPr>
          <w:rFonts w:ascii="Arial" w:hAnsi="Arial" w:eastAsia="Calibri" w:cs="Arial"/>
          <w:color w:val="000000" w:themeColor="text1"/>
          <w:sz w:val="22"/>
          <w:vertAlign w:val="superscript"/>
          <w:lang w:val="es-ES_tradnl"/>
        </w:rPr>
        <w:footnoteReference w:id="9"/>
      </w:r>
      <w:r w:rsidRPr="00E04191">
        <w:rPr>
          <w:rFonts w:ascii="Arial" w:hAnsi="Arial" w:eastAsia="Calibri" w:cs="Arial"/>
          <w:color w:val="000000" w:themeColor="text1"/>
          <w:sz w:val="22"/>
          <w:lang w:val="es-ES_tradnl"/>
        </w:rPr>
        <w:t xml:space="preserve">–, se destaca el régimen de inhabilidades e incompatibilidades </w:t>
      </w:r>
      <w:r w:rsidRPr="00E04191">
        <w:rPr>
          <w:rFonts w:ascii="Arial" w:hAnsi="Arial" w:eastAsia="Calibri" w:cs="Arial"/>
          <w:color w:val="000000" w:themeColor="text1"/>
          <w:sz w:val="22"/>
          <w:lang w:val="es-ES_tradnl"/>
        </w:rPr>
        <w:lastRenderedPageBreak/>
        <w:t>como un conjunto de enunciados normativos que imponen restricciones para los sujetos que, eventualmente, pretendan participar en los procedimientos de selección o celebrar contratos con las entidades estatales</w:t>
      </w:r>
      <w:r w:rsidRPr="00E04191">
        <w:rPr>
          <w:rFonts w:ascii="Arial" w:hAnsi="Arial" w:eastAsia="Calibri" w:cs="Arial"/>
          <w:color w:val="000000" w:themeColor="text1"/>
          <w:sz w:val="22"/>
          <w:vertAlign w:val="superscript"/>
          <w:lang w:val="es-ES_tradnl"/>
        </w:rPr>
        <w:footnoteReference w:id="10"/>
      </w:r>
      <w:r w:rsidRPr="00E04191">
        <w:rPr>
          <w:rFonts w:ascii="Arial" w:hAnsi="Arial" w:eastAsia="Calibri" w:cs="Arial"/>
          <w:color w:val="000000" w:themeColor="text1"/>
          <w:sz w:val="22"/>
          <w:lang w:val="es-ES_tradnl"/>
        </w:rPr>
        <w:t>.</w:t>
      </w:r>
    </w:p>
    <w:p w:rsidRPr="00E04191" w:rsidR="00D20CF9" w:rsidP="00D20CF9" w:rsidRDefault="00D20CF9" w14:paraId="50DBC67B" w14:textId="77777777">
      <w:pPr>
        <w:spacing w:before="120" w:after="120" w:line="276" w:lineRule="auto"/>
        <w:ind w:firstLine="709"/>
        <w:jc w:val="both"/>
        <w:rPr>
          <w:rFonts w:ascii="Arial" w:hAnsi="Arial" w:eastAsia="Calibri" w:cs="Arial"/>
          <w:color w:val="000000" w:themeColor="text1"/>
          <w:sz w:val="22"/>
          <w:lang w:val="es-ES_tradnl"/>
        </w:rPr>
      </w:pPr>
      <w:r w:rsidRPr="00E04191">
        <w:rPr>
          <w:rFonts w:ascii="Arial" w:hAnsi="Arial" w:eastAsia="Calibri" w:cs="Arial"/>
          <w:color w:val="000000" w:themeColor="text1"/>
          <w:sz w:val="22"/>
          <w:lang w:val="es-ES_tradnl"/>
        </w:rPr>
        <w:t>Las inhabilidades son prohibiciones para concurrir a los procedimientos de selección y para contratar con el Estado, que se derivan: i) de la existencia de comportamientos reprochables o de sanciones anteriormente impuestas</w:t>
      </w:r>
      <w:r w:rsidRPr="00E04191">
        <w:rPr>
          <w:rFonts w:ascii="Arial" w:hAnsi="Arial" w:eastAsia="Calibri" w:cs="Arial"/>
          <w:color w:val="000000" w:themeColor="text1"/>
          <w:sz w:val="22"/>
          <w:vertAlign w:val="superscript"/>
          <w:lang w:val="es-ES_tradnl"/>
        </w:rPr>
        <w:footnoteReference w:id="11"/>
      </w:r>
      <w:r w:rsidRPr="00E04191">
        <w:rPr>
          <w:rFonts w:ascii="Arial" w:hAnsi="Arial" w:eastAsia="Calibri" w:cs="Arial"/>
          <w:color w:val="000000" w:themeColor="text1"/>
          <w:sz w:val="22"/>
          <w:lang w:val="es-ES_tradnl"/>
        </w:rPr>
        <w:t xml:space="preserve">, </w:t>
      </w:r>
      <w:proofErr w:type="spellStart"/>
      <w:r w:rsidRPr="00E04191">
        <w:rPr>
          <w:rFonts w:ascii="Arial" w:hAnsi="Arial" w:eastAsia="Calibri" w:cs="Arial"/>
          <w:color w:val="000000" w:themeColor="text1"/>
          <w:sz w:val="22"/>
          <w:lang w:val="es-ES_tradnl"/>
        </w:rPr>
        <w:t>ii</w:t>
      </w:r>
      <w:proofErr w:type="spellEnd"/>
      <w:r w:rsidRPr="00E04191">
        <w:rPr>
          <w:rFonts w:ascii="Arial" w:hAnsi="Arial" w:eastAsia="Calibri" w:cs="Arial"/>
          <w:color w:val="000000" w:themeColor="text1"/>
          <w:sz w:val="22"/>
          <w:lang w:val="es-ES_tradnl"/>
        </w:rPr>
        <w:t>) de vínculos personales relativos al parentesco o al estado civil</w:t>
      </w:r>
      <w:r w:rsidRPr="00E04191">
        <w:rPr>
          <w:rFonts w:ascii="Arial" w:hAnsi="Arial" w:eastAsia="Calibri" w:cs="Arial"/>
          <w:color w:val="000000" w:themeColor="text1"/>
          <w:sz w:val="22"/>
          <w:vertAlign w:val="superscript"/>
          <w:lang w:val="es-ES_tradnl"/>
        </w:rPr>
        <w:footnoteReference w:id="12"/>
      </w:r>
      <w:r w:rsidRPr="00E04191">
        <w:rPr>
          <w:rFonts w:ascii="Arial" w:hAnsi="Arial" w:eastAsia="Calibri" w:cs="Arial"/>
          <w:color w:val="000000" w:themeColor="text1"/>
          <w:sz w:val="22"/>
          <w:lang w:val="es-ES_tradnl"/>
        </w:rPr>
        <w:t xml:space="preserve"> o </w:t>
      </w:r>
      <w:proofErr w:type="spellStart"/>
      <w:r w:rsidRPr="00E04191">
        <w:rPr>
          <w:rFonts w:ascii="Arial" w:hAnsi="Arial" w:eastAsia="Calibri" w:cs="Arial"/>
          <w:color w:val="000000" w:themeColor="text1"/>
          <w:sz w:val="22"/>
          <w:lang w:val="es-ES_tradnl"/>
        </w:rPr>
        <w:t>iii</w:t>
      </w:r>
      <w:proofErr w:type="spellEnd"/>
      <w:r w:rsidRPr="00E04191">
        <w:rPr>
          <w:rFonts w:ascii="Arial" w:hAnsi="Arial" w:eastAsia="Calibri" w:cs="Arial"/>
          <w:color w:val="000000" w:themeColor="text1"/>
          <w:sz w:val="22"/>
          <w:lang w:val="es-ES_tradnl"/>
        </w:rPr>
        <w:t xml:space="preserve">) de una actividad u oficio que se </w:t>
      </w:r>
      <w:r w:rsidRPr="00E04191">
        <w:rPr>
          <w:rFonts w:ascii="Arial" w:hAnsi="Arial" w:eastAsia="Calibri" w:cs="Arial"/>
          <w:color w:val="000000" w:themeColor="text1"/>
          <w:sz w:val="22"/>
          <w:lang w:val="es-ES_tradnl"/>
        </w:rPr>
        <w:lastRenderedPageBreak/>
        <w:t>desempeñó en el pasado</w:t>
      </w:r>
      <w:r w:rsidRPr="00E04191">
        <w:rPr>
          <w:rFonts w:ascii="Arial" w:hAnsi="Arial" w:eastAsia="Calibri" w:cs="Arial"/>
          <w:color w:val="000000" w:themeColor="text1"/>
          <w:sz w:val="22"/>
          <w:vertAlign w:val="superscript"/>
          <w:lang w:val="es-ES_tradnl"/>
        </w:rPr>
        <w:footnoteReference w:id="13"/>
      </w:r>
      <w:r w:rsidRPr="00E04191">
        <w:rPr>
          <w:rFonts w:ascii="Arial" w:hAnsi="Arial" w:eastAsia="Calibri" w:cs="Arial"/>
          <w:color w:val="000000" w:themeColor="text1"/>
          <w:sz w:val="22"/>
          <w:lang w:val="es-ES_tradnl"/>
        </w:rPr>
        <w:t>. De otro lado, las incompatibilidades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w:t>
      </w:r>
      <w:r w:rsidRPr="00E04191">
        <w:rPr>
          <w:rFonts w:ascii="Arial" w:hAnsi="Arial" w:eastAsia="Calibri" w:cs="Arial"/>
          <w:color w:val="000000" w:themeColor="text1"/>
          <w:sz w:val="22"/>
          <w:vertAlign w:val="superscript"/>
          <w:lang w:val="es-ES_tradnl"/>
        </w:rPr>
        <w:footnoteReference w:id="14"/>
      </w:r>
      <w:r w:rsidRPr="00E04191">
        <w:rPr>
          <w:rFonts w:ascii="Arial" w:hAnsi="Arial" w:eastAsia="Calibri" w:cs="Arial"/>
          <w:color w:val="000000" w:themeColor="text1"/>
          <w:sz w:val="22"/>
          <w:lang w:val="es-ES_tradnl"/>
        </w:rPr>
        <w:t xml:space="preserve">. </w:t>
      </w:r>
    </w:p>
    <w:p w:rsidRPr="00E04191" w:rsidR="00D20CF9" w:rsidP="00D20CF9" w:rsidRDefault="00D20CF9" w14:paraId="1A5A30FB" w14:textId="77777777">
      <w:pPr>
        <w:spacing w:before="120" w:after="120" w:line="276" w:lineRule="auto"/>
        <w:ind w:firstLine="709"/>
        <w:jc w:val="both"/>
        <w:rPr>
          <w:rFonts w:ascii="Arial" w:hAnsi="Arial" w:eastAsia="Calibri" w:cs="Arial"/>
          <w:color w:val="000000" w:themeColor="text1"/>
          <w:sz w:val="22"/>
          <w:lang w:val="es-ES_tradnl"/>
        </w:rPr>
      </w:pPr>
      <w:r w:rsidRPr="00E04191">
        <w:rPr>
          <w:rFonts w:ascii="Arial" w:hAnsi="Arial" w:eastAsia="Calibri" w:cs="Arial"/>
          <w:color w:val="000000" w:themeColor="text1"/>
          <w:sz w:val="22"/>
          <w:lang w:val="es-ES_tradnl"/>
        </w:rPr>
        <w:lastRenderedPageBreak/>
        <w:t xml:space="preserve">El régimen de inhabilidades e incompatibilidades en la contratación pública responde a la tendencia, vigente desde hace varias décadas en nuestro país, pero que se ha reforzado en los últimos años, de asegurar que la actividad de provisión de los bienes y servicios por parte de las entidades estatales se efectúe cumpliendo con los principios de la función administrativa y de la gestión fiscal, especialmente con probidad y transparencia. Es por ello </w:t>
      </w:r>
      <w:proofErr w:type="gramStart"/>
      <w:r w:rsidRPr="00E04191">
        <w:rPr>
          <w:rFonts w:ascii="Arial" w:hAnsi="Arial" w:eastAsia="Calibri" w:cs="Arial"/>
          <w:color w:val="000000" w:themeColor="text1"/>
          <w:sz w:val="22"/>
          <w:lang w:val="es-ES_tradnl"/>
        </w:rPr>
        <w:t>que</w:t>
      </w:r>
      <w:proofErr w:type="gramEnd"/>
      <w:r w:rsidRPr="00E04191">
        <w:rPr>
          <w:rFonts w:ascii="Arial" w:hAnsi="Arial" w:eastAsia="Calibri" w:cs="Arial"/>
          <w:color w:val="000000" w:themeColor="text1"/>
          <w:sz w:val="22"/>
          <w:lang w:val="es-ES_tradnl"/>
        </w:rPr>
        <w:t>, como lo ha destacado la doctrina, las inhabilidades e incompatibilidades se han convertido en herramientas en la lucha contra la corrupción, adoptando paulatinamente un cariz sancionatorio o «</w:t>
      </w:r>
      <w:proofErr w:type="spellStart"/>
      <w:r w:rsidRPr="00E04191">
        <w:rPr>
          <w:rFonts w:ascii="Arial" w:hAnsi="Arial" w:eastAsia="Calibri" w:cs="Arial"/>
          <w:color w:val="000000" w:themeColor="text1"/>
          <w:sz w:val="22"/>
          <w:lang w:val="es-ES_tradnl"/>
        </w:rPr>
        <w:t>neopunitivo</w:t>
      </w:r>
      <w:proofErr w:type="spellEnd"/>
      <w:r w:rsidRPr="00E04191">
        <w:rPr>
          <w:rFonts w:ascii="Arial" w:hAnsi="Arial" w:eastAsia="Calibri" w:cs="Arial"/>
          <w:color w:val="000000" w:themeColor="text1"/>
          <w:sz w:val="22"/>
          <w:lang w:val="es-ES_tradnl"/>
        </w:rPr>
        <w:t>»</w:t>
      </w:r>
      <w:r w:rsidRPr="00E04191">
        <w:rPr>
          <w:rFonts w:ascii="Arial" w:hAnsi="Arial" w:eastAsia="Calibri" w:cs="Arial"/>
          <w:color w:val="000000" w:themeColor="text1"/>
          <w:sz w:val="22"/>
          <w:vertAlign w:val="superscript"/>
          <w:lang w:val="es-ES_tradnl"/>
        </w:rPr>
        <w:footnoteReference w:id="15"/>
      </w:r>
      <w:r w:rsidRPr="00E04191">
        <w:rPr>
          <w:rFonts w:ascii="Arial" w:hAnsi="Arial" w:eastAsia="Calibri" w:cs="Arial"/>
          <w:color w:val="000000" w:themeColor="text1"/>
          <w:sz w:val="22"/>
          <w:lang w:val="es-ES_tradnl"/>
        </w:rPr>
        <w:t>. Si bien no todas las causales de inhabilidad y de incompatibilidad son consecuencia de una medida de reproche ni de una sanción previa, como ya se explicó, es indiscutible que en los años más recientes los lamentables hechos de corrupción han generado, como respuesta del legislador, un incremento de las restricciones a la capacidad contractual, dirigidas a prevenir este tipo de situaciones o a sancionar tales conductas.</w:t>
      </w:r>
    </w:p>
    <w:p w:rsidRPr="00E04191" w:rsidR="00D20CF9" w:rsidP="00D20CF9" w:rsidRDefault="00D20CF9" w14:paraId="1115CDED" w14:textId="77777777">
      <w:pPr>
        <w:spacing w:before="120" w:after="120" w:line="276" w:lineRule="auto"/>
        <w:ind w:firstLine="709"/>
        <w:jc w:val="both"/>
        <w:rPr>
          <w:rFonts w:ascii="Arial" w:hAnsi="Arial" w:eastAsia="Calibri" w:cs="Arial"/>
          <w:color w:val="000000" w:themeColor="text1"/>
          <w:sz w:val="22"/>
          <w:lang w:val="es-ES_tradnl"/>
        </w:rPr>
      </w:pPr>
      <w:r w:rsidRPr="00E04191">
        <w:rPr>
          <w:rFonts w:ascii="Arial" w:hAnsi="Arial" w:eastAsia="Calibri" w:cs="Arial"/>
          <w:color w:val="000000" w:themeColor="text1"/>
          <w:sz w:val="22"/>
          <w:lang w:val="es-ES_tradnl"/>
        </w:rPr>
        <w:t xml:space="preserve">Ahora bien, 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w:t>
      </w:r>
      <w:r w:rsidRPr="00E04191">
        <w:rPr>
          <w:rFonts w:ascii="Arial" w:hAnsi="Arial" w:eastAsia="Calibri" w:cs="Arial"/>
          <w:i/>
          <w:iCs/>
          <w:color w:val="000000" w:themeColor="text1"/>
          <w:sz w:val="22"/>
          <w:lang w:val="es-ES_tradnl"/>
        </w:rPr>
        <w:t>restrictiva</w:t>
      </w:r>
      <w:r w:rsidRPr="00E04191">
        <w:rPr>
          <w:rFonts w:ascii="Arial" w:hAnsi="Arial" w:eastAsia="Calibri" w:cs="Arial"/>
          <w:color w:val="000000" w:themeColor="text1"/>
          <w:sz w:val="22"/>
          <w:vertAlign w:val="superscript"/>
          <w:lang w:val="es-ES_tradnl"/>
        </w:rPr>
        <w:footnoteReference w:id="16"/>
      </w:r>
      <w:r w:rsidRPr="00E04191">
        <w:rPr>
          <w:rFonts w:ascii="Arial" w:hAnsi="Arial" w:eastAsia="Calibri" w:cs="Arial"/>
          <w:color w:val="000000" w:themeColor="text1"/>
          <w:sz w:val="22"/>
          <w:lang w:val="es-ES_tradnl"/>
        </w:rPr>
        <w:t xml:space="preserve">, pues si se admitiera una interpretación 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 Tal ha sido la postura al interior de la jurisprudencia, tanto de la Corte Constitucional como de la Sección Tercera del Consejo de Estado. </w:t>
      </w:r>
    </w:p>
    <w:p w:rsidRPr="00E04191" w:rsidR="00D20CF9" w:rsidP="00D20CF9" w:rsidRDefault="00D20CF9" w14:paraId="0C89AE2E" w14:textId="77777777">
      <w:pPr>
        <w:spacing w:line="276" w:lineRule="auto"/>
        <w:ind w:firstLine="709"/>
        <w:jc w:val="both"/>
        <w:rPr>
          <w:rFonts w:ascii="Arial" w:hAnsi="Arial" w:eastAsia="Calibri" w:cs="Arial"/>
          <w:color w:val="000000" w:themeColor="text1"/>
          <w:sz w:val="22"/>
          <w:lang w:val="es-ES_tradnl"/>
        </w:rPr>
      </w:pPr>
      <w:r w:rsidRPr="00E04191">
        <w:rPr>
          <w:rFonts w:ascii="Arial" w:hAnsi="Arial" w:eastAsia="Calibri" w:cs="Arial"/>
          <w:color w:val="000000" w:themeColor="text1"/>
          <w:sz w:val="22"/>
          <w:lang w:val="es-ES_tradnl"/>
        </w:rPr>
        <w:t>En efecto, el máximo tribunal constitucional ha indicado que, al tratar de precisar el sentido de este tipo de normas,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E04191">
        <w:rPr>
          <w:rFonts w:ascii="Arial" w:hAnsi="Arial" w:eastAsia="Calibri" w:cs="Arial"/>
          <w:color w:val="000000" w:themeColor="text1"/>
          <w:sz w:val="22"/>
          <w:vertAlign w:val="superscript"/>
          <w:lang w:val="es-ES_tradnl"/>
        </w:rPr>
        <w:footnoteReference w:id="17"/>
      </w:r>
      <w:r w:rsidRPr="00E04191">
        <w:rPr>
          <w:rFonts w:ascii="Arial" w:hAnsi="Arial" w:eastAsia="Calibri" w:cs="Arial"/>
          <w:color w:val="000000" w:themeColor="text1"/>
          <w:sz w:val="22"/>
          <w:lang w:val="es-ES_tradnl"/>
        </w:rPr>
        <w:t xml:space="preserve">. Por su parte, el Consejo de Estado ha acogido también este criterio, considerando –como expresa la Sala de Consulta y Servicio Civil–, que «La interpretación </w:t>
      </w:r>
      <w:r w:rsidRPr="00E04191">
        <w:rPr>
          <w:rFonts w:ascii="Arial" w:hAnsi="Arial" w:eastAsia="Calibri" w:cs="Arial"/>
          <w:color w:val="000000" w:themeColor="text1"/>
          <w:sz w:val="22"/>
          <w:lang w:val="es-ES_tradnl"/>
        </w:rPr>
        <w:lastRenderedPageBreak/>
        <w:t>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E04191">
        <w:rPr>
          <w:rFonts w:ascii="Arial" w:hAnsi="Arial" w:eastAsia="Calibri" w:cs="Arial"/>
          <w:color w:val="000000" w:themeColor="text1"/>
          <w:sz w:val="22"/>
          <w:vertAlign w:val="superscript"/>
          <w:lang w:val="es-ES_tradnl"/>
        </w:rPr>
        <w:footnoteReference w:id="18"/>
      </w:r>
      <w:r w:rsidRPr="00E04191">
        <w:rPr>
          <w:rFonts w:ascii="Arial" w:hAnsi="Arial" w:eastAsia="Calibri" w:cs="Arial"/>
          <w:color w:val="000000" w:themeColor="text1"/>
          <w:sz w:val="22"/>
          <w:lang w:val="es-ES_tradnl"/>
        </w:rPr>
        <w:t>. En tal sentido, la Sección Tercera ha señalado que:</w:t>
      </w:r>
    </w:p>
    <w:p w:rsidRPr="00E04191" w:rsidR="00D20CF9" w:rsidP="00D20CF9" w:rsidRDefault="00D20CF9" w14:paraId="18EBCD37" w14:textId="77777777">
      <w:pPr>
        <w:spacing w:line="276" w:lineRule="auto"/>
        <w:ind w:firstLine="709"/>
        <w:jc w:val="both"/>
        <w:rPr>
          <w:rFonts w:ascii="Arial" w:hAnsi="Arial" w:eastAsia="Calibri" w:cs="Arial"/>
          <w:color w:val="000000" w:themeColor="text1"/>
          <w:sz w:val="22"/>
          <w:lang w:val="es-ES_tradnl"/>
        </w:rPr>
      </w:pPr>
    </w:p>
    <w:p w:rsidRPr="00E04191" w:rsidR="00D20CF9" w:rsidP="00A17A79" w:rsidRDefault="00D20CF9" w14:paraId="292C7ACB" w14:textId="77777777">
      <w:pPr>
        <w:ind w:left="709" w:right="709"/>
        <w:jc w:val="both"/>
        <w:rPr>
          <w:rFonts w:ascii="Arial" w:hAnsi="Arial" w:cs="Arial"/>
          <w:bCs/>
          <w:color w:val="000000" w:themeColor="text1"/>
          <w:sz w:val="21"/>
          <w:szCs w:val="21"/>
          <w:lang w:val="es-ES_tradnl"/>
        </w:rPr>
      </w:pPr>
      <w:r w:rsidRPr="00E04191">
        <w:rPr>
          <w:rFonts w:ascii="Arial" w:hAnsi="Arial" w:cs="Arial"/>
          <w:color w:val="000000" w:themeColor="text1"/>
          <w:sz w:val="21"/>
          <w:szCs w:val="21"/>
          <w:lang w:val="es-ES_tradnl"/>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E04191">
        <w:rPr>
          <w:rFonts w:ascii="Arial" w:hAnsi="Arial" w:cs="Arial"/>
          <w:color w:val="000000" w:themeColor="text1"/>
          <w:sz w:val="21"/>
          <w:szCs w:val="21"/>
          <w:vertAlign w:val="superscript"/>
          <w:lang w:val="es-ES_tradnl"/>
        </w:rPr>
        <w:footnoteReference w:id="19"/>
      </w:r>
      <w:r w:rsidRPr="00E04191">
        <w:rPr>
          <w:rFonts w:ascii="Arial" w:hAnsi="Arial" w:cs="Arial"/>
          <w:color w:val="000000" w:themeColor="text1"/>
          <w:sz w:val="21"/>
          <w:szCs w:val="21"/>
          <w:lang w:val="es-ES_tradnl"/>
        </w:rPr>
        <w:t>.</w:t>
      </w:r>
    </w:p>
    <w:p w:rsidRPr="00E04191" w:rsidR="00D20CF9" w:rsidP="00FF2C1B" w:rsidRDefault="00D20CF9" w14:paraId="2A6F7FFC" w14:textId="77777777">
      <w:pPr>
        <w:ind w:firstLine="709"/>
        <w:jc w:val="both"/>
        <w:rPr>
          <w:rFonts w:ascii="Arial" w:hAnsi="Arial" w:eastAsia="Calibri" w:cs="Arial"/>
          <w:color w:val="000000" w:themeColor="text1"/>
          <w:sz w:val="22"/>
          <w:lang w:val="es-ES_tradnl"/>
        </w:rPr>
      </w:pPr>
    </w:p>
    <w:p w:rsidRPr="00E04191" w:rsidR="00D20CF9" w:rsidP="00A17A79" w:rsidRDefault="00D20CF9" w14:paraId="128DAFE8" w14:textId="77777777">
      <w:pPr>
        <w:ind w:firstLine="709"/>
        <w:jc w:val="both"/>
        <w:rPr>
          <w:rFonts w:ascii="Arial" w:hAnsi="Arial" w:eastAsia="Calibri" w:cs="Arial"/>
          <w:color w:val="000000" w:themeColor="text1"/>
          <w:sz w:val="22"/>
          <w:lang w:val="es-ES_tradnl"/>
        </w:rPr>
      </w:pPr>
      <w:r w:rsidRPr="00E04191">
        <w:rPr>
          <w:rFonts w:ascii="Arial" w:hAnsi="Arial" w:eastAsia="Calibri" w:cs="Arial"/>
          <w:color w:val="000000" w:themeColor="text1"/>
          <w:sz w:val="22"/>
          <w:lang w:val="es-ES_tradnl"/>
        </w:rPr>
        <w:t>También ha dicho que:</w:t>
      </w:r>
    </w:p>
    <w:p w:rsidRPr="00E04191" w:rsidR="00D20CF9" w:rsidP="00FF2C1B" w:rsidRDefault="00D20CF9" w14:paraId="60A20416" w14:textId="77777777">
      <w:pPr>
        <w:ind w:firstLine="709"/>
        <w:jc w:val="both"/>
        <w:rPr>
          <w:rFonts w:ascii="Arial" w:hAnsi="Arial" w:eastAsia="Calibri" w:cs="Arial"/>
          <w:color w:val="000000" w:themeColor="text1"/>
          <w:sz w:val="22"/>
          <w:lang w:val="es-ES_tradnl"/>
        </w:rPr>
      </w:pPr>
    </w:p>
    <w:p w:rsidRPr="00E04191" w:rsidR="00D20CF9" w:rsidP="00A17A79" w:rsidRDefault="00D20CF9" w14:paraId="4283B1A9" w14:textId="77777777">
      <w:pPr>
        <w:ind w:left="709" w:right="709"/>
        <w:jc w:val="both"/>
        <w:rPr>
          <w:rFonts w:ascii="Arial" w:hAnsi="Arial" w:cs="Arial"/>
          <w:color w:val="000000" w:themeColor="text1"/>
          <w:sz w:val="21"/>
          <w:szCs w:val="21"/>
          <w:lang w:val="es-ES_tradnl"/>
        </w:rPr>
      </w:pPr>
      <w:r w:rsidRPr="00E04191">
        <w:rPr>
          <w:rFonts w:ascii="Arial" w:hAnsi="Arial" w:cs="Arial"/>
          <w:color w:val="000000" w:themeColor="text1"/>
          <w:sz w:val="21"/>
          <w:szCs w:val="21"/>
          <w:lang w:val="es-ES_tradnl"/>
        </w:rPr>
        <w:t xml:space="preserve">[…] la aplicación de estos preceptos exige una interpretación restrictiva, dado que según el principio hermenéutico </w:t>
      </w:r>
      <w:r w:rsidRPr="00E04191">
        <w:rPr>
          <w:rFonts w:ascii="Arial" w:hAnsi="Arial" w:cs="Arial"/>
          <w:i/>
          <w:iCs/>
          <w:color w:val="000000" w:themeColor="text1"/>
          <w:sz w:val="21"/>
          <w:szCs w:val="21"/>
          <w:lang w:val="es-ES_tradnl"/>
        </w:rPr>
        <w:t xml:space="preserve">pro </w:t>
      </w:r>
      <w:proofErr w:type="spellStart"/>
      <w:r w:rsidRPr="00E04191">
        <w:rPr>
          <w:rFonts w:ascii="Arial" w:hAnsi="Arial" w:cs="Arial"/>
          <w:i/>
          <w:iCs/>
          <w:color w:val="000000" w:themeColor="text1"/>
          <w:sz w:val="21"/>
          <w:szCs w:val="21"/>
          <w:lang w:val="es-ES_tradnl"/>
        </w:rPr>
        <w:t>libertate</w:t>
      </w:r>
      <w:proofErr w:type="spellEnd"/>
      <w:r w:rsidRPr="00E04191">
        <w:rPr>
          <w:rFonts w:ascii="Arial" w:hAnsi="Arial" w:cs="Arial"/>
          <w:color w:val="000000" w:themeColor="text1"/>
          <w:sz w:val="21"/>
          <w:szCs w:val="21"/>
          <w:lang w:val="es-ES_tradnl"/>
        </w:rPr>
        <w:t>,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sidRPr="00E04191">
        <w:rPr>
          <w:rFonts w:ascii="Arial" w:hAnsi="Arial" w:cs="Arial"/>
          <w:color w:val="000000" w:themeColor="text1"/>
          <w:sz w:val="21"/>
          <w:szCs w:val="21"/>
          <w:vertAlign w:val="superscript"/>
          <w:lang w:val="es-ES_tradnl"/>
        </w:rPr>
        <w:footnoteReference w:id="20"/>
      </w:r>
      <w:r w:rsidRPr="00E04191">
        <w:rPr>
          <w:rFonts w:ascii="Arial" w:hAnsi="Arial" w:cs="Arial"/>
          <w:color w:val="000000" w:themeColor="text1"/>
          <w:sz w:val="21"/>
          <w:szCs w:val="21"/>
          <w:lang w:val="es-ES_tradnl"/>
        </w:rPr>
        <w:t>.</w:t>
      </w:r>
    </w:p>
    <w:p w:rsidRPr="00E04191" w:rsidR="00D20CF9" w:rsidP="00D20CF9" w:rsidRDefault="00D20CF9" w14:paraId="514368ED" w14:textId="77777777">
      <w:pPr>
        <w:spacing w:line="276" w:lineRule="auto"/>
        <w:jc w:val="both"/>
        <w:rPr>
          <w:rFonts w:ascii="Arial" w:hAnsi="Arial" w:eastAsia="Calibri" w:cs="Arial"/>
          <w:color w:val="000000" w:themeColor="text1"/>
          <w:sz w:val="22"/>
          <w:lang w:val="es-ES_tradnl"/>
        </w:rPr>
      </w:pPr>
    </w:p>
    <w:p w:rsidRPr="00E04191" w:rsidR="00D20CF9" w:rsidP="00B932D1" w:rsidRDefault="00D20CF9" w14:paraId="61E46D61" w14:textId="4E5CE0D9">
      <w:pPr>
        <w:spacing w:before="120" w:line="276" w:lineRule="auto"/>
        <w:ind w:firstLine="709"/>
        <w:jc w:val="both"/>
        <w:rPr>
          <w:rFonts w:ascii="Arial" w:hAnsi="Arial" w:eastAsia="Calibri" w:cs="Arial"/>
          <w:color w:val="000000" w:themeColor="text1"/>
          <w:sz w:val="22"/>
          <w:lang w:val="es-ES_tradnl"/>
        </w:rPr>
      </w:pPr>
      <w:r w:rsidRPr="00E04191">
        <w:rPr>
          <w:rFonts w:ascii="Arial" w:hAnsi="Arial" w:eastAsia="Calibri" w:cs="Arial"/>
          <w:color w:val="000000" w:themeColor="text1"/>
          <w:sz w:val="22"/>
          <w:lang w:val="es-ES_tradnl"/>
        </w:rPr>
        <w:t xml:space="preserve">Como se aprecia, el principio </w:t>
      </w:r>
      <w:r w:rsidRPr="00E04191">
        <w:rPr>
          <w:rFonts w:ascii="Arial" w:hAnsi="Arial" w:eastAsia="Calibri" w:cs="Arial"/>
          <w:i/>
          <w:iCs/>
          <w:color w:val="000000" w:themeColor="text1"/>
          <w:sz w:val="22"/>
          <w:lang w:val="es-ES_tradnl"/>
        </w:rPr>
        <w:t xml:space="preserve">pro </w:t>
      </w:r>
      <w:proofErr w:type="spellStart"/>
      <w:r w:rsidRPr="00E04191">
        <w:rPr>
          <w:rFonts w:ascii="Arial" w:hAnsi="Arial" w:eastAsia="Calibri" w:cs="Arial"/>
          <w:i/>
          <w:iCs/>
          <w:color w:val="000000" w:themeColor="text1"/>
          <w:sz w:val="22"/>
          <w:lang w:val="es-ES_tradnl"/>
        </w:rPr>
        <w:t>libertate</w:t>
      </w:r>
      <w:proofErr w:type="spellEnd"/>
      <w:r w:rsidRPr="00E04191">
        <w:rPr>
          <w:rFonts w:ascii="Arial" w:hAnsi="Arial" w:eastAsia="Calibri" w:cs="Arial"/>
          <w:color w:val="000000" w:themeColor="text1"/>
          <w:sz w:val="22"/>
          <w:lang w:val="es-ES_tradnl"/>
        </w:rPr>
        <w:t xml:space="preserve"> es el que debe dirigir la interpretación de las disposiciones normativas que consagran restricciones de derechos, como sucede con las causales de inhabilidad e incompatibilidad en la contratación estatal.</w:t>
      </w:r>
    </w:p>
    <w:p w:rsidRPr="00E04191" w:rsidR="00A22BDF" w:rsidP="00B932D1" w:rsidRDefault="00A22BDF" w14:paraId="5C2ABFDE" w14:textId="6F0F9C16">
      <w:pPr>
        <w:spacing w:line="276" w:lineRule="auto"/>
        <w:jc w:val="both"/>
        <w:rPr>
          <w:rFonts w:ascii="Arial" w:hAnsi="Arial" w:eastAsia="Calibri" w:cs="Arial"/>
          <w:color w:val="000000" w:themeColor="text1"/>
          <w:sz w:val="22"/>
          <w:lang w:val="es-ES_tradnl"/>
        </w:rPr>
      </w:pPr>
    </w:p>
    <w:p w:rsidRPr="00E04191" w:rsidR="00A22BDF" w:rsidP="00B932D1" w:rsidRDefault="00A22BDF" w14:paraId="44E3DC2C" w14:textId="5601F6A2">
      <w:pPr>
        <w:spacing w:line="276" w:lineRule="auto"/>
        <w:jc w:val="both"/>
        <w:rPr>
          <w:rFonts w:ascii="Arial" w:hAnsi="Arial" w:cs="Arial"/>
          <w:b/>
          <w:bCs/>
          <w:color w:val="000000" w:themeColor="text1"/>
          <w:sz w:val="22"/>
        </w:rPr>
      </w:pPr>
      <w:r w:rsidRPr="00E04191">
        <w:rPr>
          <w:rFonts w:ascii="Arial" w:hAnsi="Arial" w:cs="Arial"/>
          <w:b/>
          <w:bCs/>
          <w:color w:val="000000" w:themeColor="text1"/>
          <w:sz w:val="22"/>
        </w:rPr>
        <w:t xml:space="preserve">2.3. </w:t>
      </w:r>
      <w:r w:rsidRPr="00E04191" w:rsidR="002E20BB">
        <w:rPr>
          <w:rFonts w:ascii="Arial" w:hAnsi="Arial" w:cs="Arial"/>
          <w:b/>
          <w:bCs/>
          <w:color w:val="000000" w:themeColor="text1"/>
          <w:sz w:val="22"/>
        </w:rPr>
        <w:t xml:space="preserve">Ley </w:t>
      </w:r>
      <w:r w:rsidRPr="00E04191" w:rsidR="008C09D0">
        <w:rPr>
          <w:rFonts w:ascii="Arial" w:hAnsi="Arial" w:cs="Arial"/>
          <w:b/>
          <w:bCs/>
          <w:color w:val="000000" w:themeColor="text1"/>
          <w:sz w:val="22"/>
        </w:rPr>
        <w:t>769 de 20</w:t>
      </w:r>
      <w:r w:rsidRPr="00E04191" w:rsidR="00D34E42">
        <w:rPr>
          <w:rFonts w:ascii="Arial" w:hAnsi="Arial" w:cs="Arial"/>
          <w:b/>
          <w:bCs/>
          <w:color w:val="000000" w:themeColor="text1"/>
          <w:sz w:val="22"/>
        </w:rPr>
        <w:t>02</w:t>
      </w:r>
      <w:r w:rsidRPr="00E04191" w:rsidR="008C09D0">
        <w:rPr>
          <w:rFonts w:ascii="Arial" w:hAnsi="Arial" w:cs="Arial"/>
          <w:b/>
          <w:bCs/>
          <w:color w:val="000000" w:themeColor="text1"/>
          <w:sz w:val="22"/>
        </w:rPr>
        <w:t xml:space="preserve"> ─ Código Nacional de Tránsito</w:t>
      </w:r>
    </w:p>
    <w:p w:rsidRPr="00E04191" w:rsidR="008C09D0" w:rsidP="00B932D1" w:rsidRDefault="008C09D0" w14:paraId="76A481D8" w14:textId="20163172">
      <w:pPr>
        <w:spacing w:line="276" w:lineRule="auto"/>
        <w:jc w:val="both"/>
        <w:rPr>
          <w:rFonts w:ascii="Arial" w:hAnsi="Arial" w:cs="Arial"/>
          <w:b/>
          <w:bCs/>
          <w:color w:val="000000" w:themeColor="text1"/>
          <w:sz w:val="22"/>
        </w:rPr>
      </w:pPr>
    </w:p>
    <w:p w:rsidRPr="00E04191" w:rsidR="008C09D0" w:rsidP="00945D7C" w:rsidRDefault="00EC64DD" w14:paraId="0E73A8ED" w14:textId="15200D29">
      <w:pPr>
        <w:spacing w:after="120" w:line="276" w:lineRule="auto"/>
        <w:jc w:val="both"/>
        <w:rPr>
          <w:rFonts w:ascii="Arial" w:hAnsi="Arial" w:cs="Arial"/>
          <w:color w:val="000000" w:themeColor="text1"/>
          <w:sz w:val="22"/>
        </w:rPr>
      </w:pPr>
      <w:r w:rsidRPr="00E04191">
        <w:rPr>
          <w:rFonts w:ascii="Arial" w:hAnsi="Arial" w:cs="Arial"/>
          <w:color w:val="000000" w:themeColor="text1"/>
          <w:sz w:val="22"/>
        </w:rPr>
        <w:t xml:space="preserve">La Constitución Política de Colombia </w:t>
      </w:r>
      <w:r w:rsidRPr="00E04191" w:rsidR="006F1118">
        <w:rPr>
          <w:rFonts w:ascii="Arial" w:hAnsi="Arial" w:cs="Arial"/>
          <w:color w:val="000000" w:themeColor="text1"/>
          <w:sz w:val="22"/>
        </w:rPr>
        <w:t>garantiza</w:t>
      </w:r>
      <w:r w:rsidRPr="00E04191">
        <w:rPr>
          <w:rFonts w:ascii="Arial" w:hAnsi="Arial" w:cs="Arial"/>
          <w:color w:val="000000" w:themeColor="text1"/>
          <w:sz w:val="22"/>
        </w:rPr>
        <w:t>, entre otros</w:t>
      </w:r>
      <w:r w:rsidRPr="00E04191" w:rsidR="0094332A">
        <w:rPr>
          <w:rFonts w:ascii="Arial" w:hAnsi="Arial" w:cs="Arial"/>
          <w:color w:val="000000" w:themeColor="text1"/>
          <w:sz w:val="22"/>
        </w:rPr>
        <w:t xml:space="preserve"> derechos fundamentales</w:t>
      </w:r>
      <w:r w:rsidRPr="00E04191">
        <w:rPr>
          <w:rFonts w:ascii="Arial" w:hAnsi="Arial" w:cs="Arial"/>
          <w:color w:val="000000" w:themeColor="text1"/>
          <w:sz w:val="22"/>
        </w:rPr>
        <w:t>, la libertad de circulación</w:t>
      </w:r>
      <w:r w:rsidRPr="00E04191" w:rsidR="00D71DDD">
        <w:rPr>
          <w:rStyle w:val="Refdenotaalpie"/>
          <w:rFonts w:ascii="Arial" w:hAnsi="Arial" w:cs="Arial"/>
          <w:color w:val="000000" w:themeColor="text1"/>
          <w:sz w:val="22"/>
        </w:rPr>
        <w:footnoteReference w:id="21"/>
      </w:r>
      <w:r w:rsidRPr="00E04191" w:rsidR="006F1118">
        <w:rPr>
          <w:rFonts w:ascii="Arial" w:hAnsi="Arial" w:cs="Arial"/>
          <w:color w:val="000000" w:themeColor="text1"/>
          <w:sz w:val="22"/>
        </w:rPr>
        <w:t>.</w:t>
      </w:r>
      <w:r w:rsidRPr="00E04191" w:rsidR="00D20698">
        <w:rPr>
          <w:rFonts w:ascii="Arial" w:hAnsi="Arial" w:cs="Arial"/>
          <w:color w:val="000000" w:themeColor="text1"/>
          <w:sz w:val="22"/>
        </w:rPr>
        <w:t xml:space="preserve"> </w:t>
      </w:r>
      <w:r w:rsidRPr="00E04191" w:rsidR="006F1118">
        <w:rPr>
          <w:rFonts w:ascii="Arial" w:hAnsi="Arial" w:cs="Arial"/>
          <w:color w:val="000000" w:themeColor="text1"/>
          <w:sz w:val="22"/>
        </w:rPr>
        <w:t>E</w:t>
      </w:r>
      <w:r w:rsidRPr="00E04191" w:rsidR="007030BD">
        <w:rPr>
          <w:rFonts w:ascii="Arial" w:hAnsi="Arial" w:cs="Arial"/>
          <w:color w:val="000000" w:themeColor="text1"/>
          <w:sz w:val="22"/>
        </w:rPr>
        <w:t>n ejercicio de la función legislativa del poder públic</w:t>
      </w:r>
      <w:r w:rsidRPr="00E04191" w:rsidR="0097289A">
        <w:rPr>
          <w:rFonts w:ascii="Arial" w:hAnsi="Arial" w:cs="Arial"/>
          <w:color w:val="000000" w:themeColor="text1"/>
          <w:sz w:val="22"/>
        </w:rPr>
        <w:t>o</w:t>
      </w:r>
      <w:r w:rsidRPr="00E04191" w:rsidR="007030BD">
        <w:rPr>
          <w:rFonts w:ascii="Arial" w:hAnsi="Arial" w:cs="Arial"/>
          <w:color w:val="000000" w:themeColor="text1"/>
          <w:sz w:val="22"/>
        </w:rPr>
        <w:t xml:space="preserve">, </w:t>
      </w:r>
      <w:r w:rsidRPr="00E04191" w:rsidR="00D20698">
        <w:rPr>
          <w:rFonts w:ascii="Arial" w:hAnsi="Arial" w:cs="Arial"/>
          <w:color w:val="000000" w:themeColor="text1"/>
          <w:sz w:val="22"/>
        </w:rPr>
        <w:t xml:space="preserve">el Congreso </w:t>
      </w:r>
      <w:r w:rsidRPr="00E04191" w:rsidR="00D20698">
        <w:rPr>
          <w:rFonts w:ascii="Arial" w:hAnsi="Arial" w:cs="Arial"/>
          <w:color w:val="000000" w:themeColor="text1"/>
          <w:sz w:val="22"/>
        </w:rPr>
        <w:lastRenderedPageBreak/>
        <w:t xml:space="preserve">de la República </w:t>
      </w:r>
      <w:r w:rsidRPr="00E04191" w:rsidR="00D34E42">
        <w:rPr>
          <w:rFonts w:ascii="Arial" w:hAnsi="Arial" w:cs="Arial"/>
          <w:color w:val="000000" w:themeColor="text1"/>
          <w:sz w:val="22"/>
        </w:rPr>
        <w:t xml:space="preserve">profirió la Ley 769 de </w:t>
      </w:r>
      <w:r w:rsidRPr="00E04191" w:rsidR="008A5BE1">
        <w:rPr>
          <w:rFonts w:ascii="Arial" w:hAnsi="Arial" w:cs="Arial"/>
          <w:color w:val="000000" w:themeColor="text1"/>
          <w:sz w:val="22"/>
        </w:rPr>
        <w:t>2002 «Por la cual se expide el Código Nacional de Tránsito Terrestre y se dictan otras disposiciones»</w:t>
      </w:r>
      <w:r w:rsidRPr="00E04191" w:rsidR="004D6FB0">
        <w:rPr>
          <w:rFonts w:ascii="Arial" w:hAnsi="Arial" w:cs="Arial"/>
          <w:color w:val="000000" w:themeColor="text1"/>
          <w:sz w:val="22"/>
        </w:rPr>
        <w:t>, cuerpo normativo</w:t>
      </w:r>
      <w:r w:rsidRPr="00E04191" w:rsidR="00E6266F">
        <w:rPr>
          <w:rFonts w:ascii="Arial" w:hAnsi="Arial" w:cs="Arial"/>
          <w:color w:val="000000" w:themeColor="text1"/>
          <w:sz w:val="22"/>
        </w:rPr>
        <w:t xml:space="preserve"> que tiene como</w:t>
      </w:r>
      <w:r w:rsidRPr="00E04191" w:rsidR="004D6FB0">
        <w:rPr>
          <w:rFonts w:ascii="Arial" w:hAnsi="Arial" w:cs="Arial"/>
          <w:color w:val="000000" w:themeColor="text1"/>
          <w:sz w:val="22"/>
        </w:rPr>
        <w:t xml:space="preserve"> propósito </w:t>
      </w:r>
      <w:r w:rsidRPr="00E04191" w:rsidR="009D1508">
        <w:rPr>
          <w:rFonts w:ascii="Arial" w:hAnsi="Arial" w:cs="Arial"/>
          <w:color w:val="000000" w:themeColor="text1"/>
          <w:sz w:val="22"/>
        </w:rPr>
        <w:t xml:space="preserve">desarrollar </w:t>
      </w:r>
      <w:r w:rsidRPr="00E04191" w:rsidR="00E6266F">
        <w:rPr>
          <w:rFonts w:ascii="Arial" w:hAnsi="Arial" w:cs="Arial"/>
          <w:color w:val="000000" w:themeColor="text1"/>
          <w:sz w:val="22"/>
        </w:rPr>
        <w:t>el mencionado derecho fundamental</w:t>
      </w:r>
      <w:r w:rsidRPr="00E04191" w:rsidR="00871E1E">
        <w:rPr>
          <w:rFonts w:ascii="Arial" w:hAnsi="Arial" w:cs="Arial"/>
          <w:color w:val="000000" w:themeColor="text1"/>
          <w:sz w:val="22"/>
        </w:rPr>
        <w:t xml:space="preserve"> en el ámbito </w:t>
      </w:r>
      <w:r w:rsidRPr="00E04191" w:rsidR="00DF3582">
        <w:rPr>
          <w:rFonts w:ascii="Arial" w:hAnsi="Arial" w:cs="Arial"/>
          <w:color w:val="000000" w:themeColor="text1"/>
          <w:sz w:val="22"/>
        </w:rPr>
        <w:t xml:space="preserve">relacionado con el comportamiento de los </w:t>
      </w:r>
      <w:r w:rsidRPr="00E04191" w:rsidR="00205585">
        <w:rPr>
          <w:rFonts w:ascii="Arial" w:hAnsi="Arial" w:cs="Arial"/>
          <w:color w:val="000000" w:themeColor="text1"/>
          <w:sz w:val="22"/>
        </w:rPr>
        <w:t>denominados actores</w:t>
      </w:r>
      <w:r w:rsidRPr="00E04191" w:rsidR="00755BBB">
        <w:rPr>
          <w:rFonts w:ascii="Arial" w:hAnsi="Arial" w:cs="Arial"/>
          <w:color w:val="000000" w:themeColor="text1"/>
          <w:sz w:val="22"/>
        </w:rPr>
        <w:t xml:space="preserve"> viales</w:t>
      </w:r>
      <w:r w:rsidRPr="00E04191" w:rsidR="004145E9">
        <w:rPr>
          <w:rFonts w:ascii="Arial" w:hAnsi="Arial" w:cs="Arial"/>
          <w:color w:val="000000" w:themeColor="text1"/>
          <w:sz w:val="22"/>
        </w:rPr>
        <w:t xml:space="preserve"> [</w:t>
      </w:r>
      <w:r w:rsidRPr="00E04191" w:rsidR="00755BBB">
        <w:rPr>
          <w:rFonts w:ascii="Arial" w:hAnsi="Arial" w:cs="Arial"/>
          <w:color w:val="000000" w:themeColor="text1"/>
          <w:sz w:val="22"/>
        </w:rPr>
        <w:t>peatones, pasajeros y conductores]</w:t>
      </w:r>
      <w:r w:rsidRPr="00E04191" w:rsidR="00205585">
        <w:rPr>
          <w:rFonts w:ascii="Arial" w:hAnsi="Arial" w:cs="Arial"/>
          <w:color w:val="000000" w:themeColor="text1"/>
          <w:sz w:val="22"/>
        </w:rPr>
        <w:t xml:space="preserve"> </w:t>
      </w:r>
      <w:r w:rsidRPr="00E04191" w:rsidR="002E6795">
        <w:rPr>
          <w:rFonts w:ascii="Arial" w:hAnsi="Arial" w:cs="Arial"/>
          <w:color w:val="000000" w:themeColor="text1"/>
          <w:sz w:val="22"/>
        </w:rPr>
        <w:t>en uso de vías públicas o privadas</w:t>
      </w:r>
      <w:r w:rsidRPr="00E04191" w:rsidR="00354A5E">
        <w:rPr>
          <w:rStyle w:val="Refdenotaalpie"/>
          <w:rFonts w:ascii="Arial" w:hAnsi="Arial" w:cs="Arial"/>
          <w:color w:val="000000" w:themeColor="text1"/>
          <w:sz w:val="22"/>
        </w:rPr>
        <w:footnoteReference w:id="22"/>
      </w:r>
      <w:r w:rsidRPr="00E04191" w:rsidR="00692DFF">
        <w:rPr>
          <w:rFonts w:ascii="Arial" w:hAnsi="Arial" w:cs="Arial"/>
          <w:color w:val="000000" w:themeColor="text1"/>
          <w:sz w:val="22"/>
        </w:rPr>
        <w:t>.</w:t>
      </w:r>
    </w:p>
    <w:p w:rsidRPr="00E04191" w:rsidR="009823E3" w:rsidP="00692DFF" w:rsidRDefault="00392650" w14:paraId="36258321" w14:textId="6B5B1F9A">
      <w:pPr>
        <w:spacing w:before="120" w:after="120" w:line="276" w:lineRule="auto"/>
        <w:ind w:firstLine="709"/>
        <w:jc w:val="both"/>
        <w:rPr>
          <w:rFonts w:ascii="Arial" w:hAnsi="Arial" w:cs="Arial"/>
          <w:color w:val="000000" w:themeColor="text1"/>
          <w:sz w:val="22"/>
        </w:rPr>
      </w:pPr>
      <w:r w:rsidRPr="00E04191">
        <w:rPr>
          <w:rFonts w:ascii="Arial" w:hAnsi="Arial" w:cs="Arial"/>
          <w:color w:val="000000" w:themeColor="text1"/>
          <w:sz w:val="22"/>
        </w:rPr>
        <w:t xml:space="preserve">Dentro de las disposiciones contenidas en la Ley </w:t>
      </w:r>
      <w:r w:rsidRPr="00E04191" w:rsidR="00086063">
        <w:rPr>
          <w:rFonts w:ascii="Arial" w:hAnsi="Arial" w:cs="Arial"/>
          <w:color w:val="000000" w:themeColor="text1"/>
          <w:sz w:val="22"/>
        </w:rPr>
        <w:t>769 de 2002</w:t>
      </w:r>
      <w:r w:rsidRPr="00E04191" w:rsidR="002B6435">
        <w:rPr>
          <w:rFonts w:ascii="Arial" w:hAnsi="Arial" w:cs="Arial"/>
          <w:color w:val="000000" w:themeColor="text1"/>
          <w:sz w:val="22"/>
        </w:rPr>
        <w:t xml:space="preserve"> encontramos </w:t>
      </w:r>
      <w:r w:rsidRPr="00E04191" w:rsidR="00BA3693">
        <w:rPr>
          <w:rFonts w:ascii="Arial" w:hAnsi="Arial" w:cs="Arial"/>
          <w:color w:val="000000" w:themeColor="text1"/>
          <w:sz w:val="22"/>
        </w:rPr>
        <w:t>que</w:t>
      </w:r>
      <w:r w:rsidRPr="00E04191" w:rsidR="00176A24">
        <w:rPr>
          <w:rFonts w:ascii="Arial" w:hAnsi="Arial" w:cs="Arial"/>
          <w:color w:val="000000" w:themeColor="text1"/>
          <w:sz w:val="22"/>
        </w:rPr>
        <w:t xml:space="preserve">, por regla general, </w:t>
      </w:r>
      <w:r w:rsidRPr="00E04191" w:rsidR="00BA3693">
        <w:rPr>
          <w:rFonts w:ascii="Arial" w:hAnsi="Arial" w:cs="Arial"/>
          <w:color w:val="000000" w:themeColor="text1"/>
          <w:sz w:val="22"/>
        </w:rPr>
        <w:t xml:space="preserve">los conductores de vehículos </w:t>
      </w:r>
      <w:r w:rsidRPr="00E04191" w:rsidR="009913B2">
        <w:rPr>
          <w:rFonts w:ascii="Arial" w:hAnsi="Arial" w:cs="Arial"/>
          <w:color w:val="000000" w:themeColor="text1"/>
          <w:sz w:val="22"/>
        </w:rPr>
        <w:t>requieren de habilitación legal para el desarroll</w:t>
      </w:r>
      <w:r w:rsidRPr="00E04191" w:rsidR="00B03A04">
        <w:rPr>
          <w:rFonts w:ascii="Arial" w:hAnsi="Arial" w:cs="Arial"/>
          <w:color w:val="000000" w:themeColor="text1"/>
          <w:sz w:val="22"/>
        </w:rPr>
        <w:t>o</w:t>
      </w:r>
      <w:r w:rsidRPr="00E04191" w:rsidR="009913B2">
        <w:rPr>
          <w:rFonts w:ascii="Arial" w:hAnsi="Arial" w:cs="Arial"/>
          <w:color w:val="000000" w:themeColor="text1"/>
          <w:sz w:val="22"/>
        </w:rPr>
        <w:t xml:space="preserve"> de esa actividad</w:t>
      </w:r>
      <w:r w:rsidRPr="00E04191" w:rsidR="00B03A04">
        <w:rPr>
          <w:rFonts w:ascii="Arial" w:hAnsi="Arial" w:cs="Arial"/>
          <w:color w:val="000000" w:themeColor="text1"/>
          <w:sz w:val="22"/>
        </w:rPr>
        <w:t>; habilitación que se logra</w:t>
      </w:r>
      <w:r w:rsidRPr="00E04191" w:rsidR="00DE67F8">
        <w:rPr>
          <w:rFonts w:ascii="Arial" w:hAnsi="Arial" w:cs="Arial"/>
          <w:color w:val="000000" w:themeColor="text1"/>
          <w:sz w:val="22"/>
        </w:rPr>
        <w:t xml:space="preserve"> con la obtención de la correspondiente licencia de conducción, previo cumplimiento de los requisitos </w:t>
      </w:r>
      <w:r w:rsidRPr="00E04191" w:rsidR="009823E3">
        <w:rPr>
          <w:rFonts w:ascii="Arial" w:hAnsi="Arial" w:cs="Arial"/>
          <w:color w:val="000000" w:themeColor="text1"/>
          <w:sz w:val="22"/>
        </w:rPr>
        <w:t>allí establecidos</w:t>
      </w:r>
      <w:r w:rsidRPr="00E04191" w:rsidR="00DC33EB">
        <w:rPr>
          <w:rFonts w:ascii="Arial" w:hAnsi="Arial" w:cs="Arial"/>
          <w:color w:val="000000" w:themeColor="text1"/>
          <w:sz w:val="22"/>
        </w:rPr>
        <w:t>. Igualmente, encontramos el establecimiento de un régimen sancionatorio</w:t>
      </w:r>
      <w:r w:rsidRPr="00E04191" w:rsidR="00CE341C">
        <w:rPr>
          <w:rFonts w:ascii="Arial" w:hAnsi="Arial" w:cs="Arial"/>
          <w:color w:val="000000" w:themeColor="text1"/>
          <w:sz w:val="22"/>
        </w:rPr>
        <w:t xml:space="preserve"> y </w:t>
      </w:r>
      <w:r w:rsidRPr="00E04191" w:rsidR="00840837">
        <w:rPr>
          <w:rFonts w:ascii="Arial" w:hAnsi="Arial" w:cs="Arial"/>
          <w:color w:val="000000" w:themeColor="text1"/>
          <w:sz w:val="22"/>
        </w:rPr>
        <w:t>su procedimiento</w:t>
      </w:r>
      <w:r w:rsidRPr="00E04191" w:rsidR="00DC33EB">
        <w:rPr>
          <w:rFonts w:ascii="Arial" w:hAnsi="Arial" w:cs="Arial"/>
          <w:color w:val="000000" w:themeColor="text1"/>
          <w:sz w:val="22"/>
        </w:rPr>
        <w:t xml:space="preserve"> </w:t>
      </w:r>
      <w:r w:rsidRPr="00E04191" w:rsidR="00F613EE">
        <w:rPr>
          <w:rFonts w:ascii="Arial" w:hAnsi="Arial" w:cs="Arial"/>
          <w:color w:val="000000" w:themeColor="text1"/>
          <w:sz w:val="22"/>
        </w:rPr>
        <w:t>aplicable a aquellos que incumplan normas que regulan</w:t>
      </w:r>
      <w:r w:rsidRPr="00E04191" w:rsidR="00C10318">
        <w:rPr>
          <w:rFonts w:ascii="Arial" w:hAnsi="Arial" w:cs="Arial"/>
          <w:color w:val="000000" w:themeColor="text1"/>
          <w:sz w:val="22"/>
        </w:rPr>
        <w:t xml:space="preserve"> las actividades de tránsito y transporte.</w:t>
      </w:r>
    </w:p>
    <w:p w:rsidRPr="00E04191" w:rsidR="00BA2400" w:rsidP="00692DFF" w:rsidRDefault="00B03A04" w14:paraId="7F6BEAED" w14:textId="65B69E7C">
      <w:pPr>
        <w:spacing w:before="120" w:after="120" w:line="276" w:lineRule="auto"/>
        <w:ind w:firstLine="709"/>
        <w:jc w:val="both"/>
        <w:rPr>
          <w:rFonts w:ascii="Arial" w:hAnsi="Arial" w:cs="Arial"/>
          <w:color w:val="000000" w:themeColor="text1"/>
          <w:sz w:val="22"/>
        </w:rPr>
      </w:pPr>
      <w:r w:rsidRPr="00E04191">
        <w:rPr>
          <w:rFonts w:ascii="Arial" w:hAnsi="Arial" w:cs="Arial"/>
          <w:color w:val="000000" w:themeColor="text1"/>
          <w:sz w:val="22"/>
        </w:rPr>
        <w:t xml:space="preserve"> </w:t>
      </w:r>
      <w:r w:rsidRPr="00E04191" w:rsidR="001F44FA">
        <w:rPr>
          <w:rFonts w:ascii="Arial" w:hAnsi="Arial" w:cs="Arial"/>
          <w:color w:val="000000" w:themeColor="text1"/>
          <w:sz w:val="22"/>
        </w:rPr>
        <w:t xml:space="preserve">El incumplimiento </w:t>
      </w:r>
      <w:r w:rsidRPr="00E04191" w:rsidR="00753988">
        <w:rPr>
          <w:rFonts w:ascii="Arial" w:hAnsi="Arial" w:cs="Arial"/>
          <w:color w:val="000000" w:themeColor="text1"/>
          <w:sz w:val="22"/>
        </w:rPr>
        <w:t xml:space="preserve">de </w:t>
      </w:r>
      <w:r w:rsidRPr="00E04191" w:rsidR="00C10318">
        <w:rPr>
          <w:rFonts w:ascii="Arial" w:hAnsi="Arial" w:cs="Arial"/>
          <w:color w:val="000000" w:themeColor="text1"/>
          <w:sz w:val="22"/>
        </w:rPr>
        <w:t>esos preceptos normativos</w:t>
      </w:r>
      <w:r w:rsidRPr="00E04191" w:rsidR="00C00E37">
        <w:rPr>
          <w:rFonts w:ascii="Arial" w:hAnsi="Arial" w:cs="Arial"/>
          <w:color w:val="000000" w:themeColor="text1"/>
          <w:sz w:val="22"/>
        </w:rPr>
        <w:t>, entre ell</w:t>
      </w:r>
      <w:r w:rsidRPr="00E04191" w:rsidR="0020764F">
        <w:rPr>
          <w:rFonts w:ascii="Arial" w:hAnsi="Arial" w:cs="Arial"/>
          <w:color w:val="000000" w:themeColor="text1"/>
          <w:sz w:val="22"/>
        </w:rPr>
        <w:t>o</w:t>
      </w:r>
      <w:r w:rsidRPr="00E04191" w:rsidR="00C00E37">
        <w:rPr>
          <w:rFonts w:ascii="Arial" w:hAnsi="Arial" w:cs="Arial"/>
          <w:color w:val="000000" w:themeColor="text1"/>
          <w:sz w:val="22"/>
        </w:rPr>
        <w:t>s,</w:t>
      </w:r>
      <w:r w:rsidRPr="00E04191" w:rsidR="0020764F">
        <w:rPr>
          <w:rFonts w:ascii="Arial" w:hAnsi="Arial" w:cs="Arial"/>
          <w:color w:val="000000" w:themeColor="text1"/>
          <w:sz w:val="22"/>
        </w:rPr>
        <w:t xml:space="preserve"> los relacionados con </w:t>
      </w:r>
      <w:r w:rsidRPr="00E04191" w:rsidR="00C81CC6">
        <w:rPr>
          <w:rFonts w:ascii="Arial" w:hAnsi="Arial" w:cs="Arial"/>
          <w:color w:val="000000" w:themeColor="text1"/>
          <w:sz w:val="22"/>
        </w:rPr>
        <w:t xml:space="preserve">la conducción de </w:t>
      </w:r>
      <w:r w:rsidRPr="00E04191" w:rsidR="00CE4F94">
        <w:rPr>
          <w:rFonts w:ascii="Arial" w:hAnsi="Arial" w:cs="Arial"/>
          <w:color w:val="000000" w:themeColor="text1"/>
          <w:sz w:val="22"/>
        </w:rPr>
        <w:t>vehículos</w:t>
      </w:r>
      <w:r w:rsidRPr="00E04191" w:rsidR="00AE1909">
        <w:rPr>
          <w:rFonts w:ascii="Arial" w:hAnsi="Arial" w:cs="Arial"/>
          <w:color w:val="000000" w:themeColor="text1"/>
          <w:sz w:val="22"/>
        </w:rPr>
        <w:t>,</w:t>
      </w:r>
      <w:r w:rsidRPr="00E04191" w:rsidR="00C81CC6">
        <w:rPr>
          <w:rFonts w:ascii="Arial" w:hAnsi="Arial" w:cs="Arial"/>
          <w:color w:val="000000" w:themeColor="text1"/>
          <w:sz w:val="22"/>
        </w:rPr>
        <w:t xml:space="preserve"> </w:t>
      </w:r>
      <w:r w:rsidRPr="00E04191" w:rsidR="005A29EB">
        <w:rPr>
          <w:rFonts w:ascii="Arial" w:hAnsi="Arial" w:cs="Arial"/>
          <w:color w:val="000000" w:themeColor="text1"/>
          <w:sz w:val="22"/>
        </w:rPr>
        <w:t xml:space="preserve">hará </w:t>
      </w:r>
      <w:r w:rsidRPr="00E04191" w:rsidR="00467AFC">
        <w:rPr>
          <w:rFonts w:ascii="Arial" w:hAnsi="Arial" w:cs="Arial"/>
          <w:color w:val="000000" w:themeColor="text1"/>
          <w:sz w:val="22"/>
        </w:rPr>
        <w:t>acr</w:t>
      </w:r>
      <w:r w:rsidRPr="00E04191" w:rsidR="005A29EB">
        <w:rPr>
          <w:rFonts w:ascii="Arial" w:hAnsi="Arial" w:cs="Arial"/>
          <w:color w:val="000000" w:themeColor="text1"/>
          <w:sz w:val="22"/>
        </w:rPr>
        <w:t>eedor al infractor</w:t>
      </w:r>
      <w:r w:rsidRPr="00E04191" w:rsidR="00AE1909">
        <w:rPr>
          <w:rFonts w:ascii="Arial" w:hAnsi="Arial" w:cs="Arial"/>
          <w:color w:val="000000" w:themeColor="text1"/>
          <w:sz w:val="22"/>
        </w:rPr>
        <w:t xml:space="preserve"> a</w:t>
      </w:r>
      <w:r w:rsidRPr="00E04191" w:rsidR="0093062D">
        <w:rPr>
          <w:rFonts w:ascii="Arial" w:hAnsi="Arial" w:cs="Arial"/>
          <w:color w:val="000000" w:themeColor="text1"/>
          <w:sz w:val="22"/>
        </w:rPr>
        <w:t xml:space="preserve"> las sanciones</w:t>
      </w:r>
      <w:r w:rsidRPr="00E04191" w:rsidR="00467AFC">
        <w:rPr>
          <w:rFonts w:ascii="Arial" w:hAnsi="Arial" w:cs="Arial"/>
          <w:color w:val="000000" w:themeColor="text1"/>
          <w:sz w:val="22"/>
        </w:rPr>
        <w:t xml:space="preserve"> allí </w:t>
      </w:r>
      <w:r w:rsidRPr="00E04191" w:rsidR="00C24C6F">
        <w:rPr>
          <w:rFonts w:ascii="Arial" w:hAnsi="Arial" w:cs="Arial"/>
          <w:color w:val="000000" w:themeColor="text1"/>
          <w:sz w:val="22"/>
        </w:rPr>
        <w:t>establecidas</w:t>
      </w:r>
      <w:r w:rsidRPr="00E04191" w:rsidR="00565D22">
        <w:rPr>
          <w:rFonts w:ascii="Arial" w:hAnsi="Arial" w:cs="Arial"/>
          <w:color w:val="000000" w:themeColor="text1"/>
          <w:sz w:val="22"/>
        </w:rPr>
        <w:t>,</w:t>
      </w:r>
      <w:r w:rsidRPr="00E04191" w:rsidR="003E3B96">
        <w:rPr>
          <w:rFonts w:ascii="Arial" w:hAnsi="Arial" w:cs="Arial"/>
          <w:color w:val="000000" w:themeColor="text1"/>
          <w:sz w:val="22"/>
        </w:rPr>
        <w:t xml:space="preserve"> que pueden consistir en</w:t>
      </w:r>
      <w:r w:rsidRPr="00E04191" w:rsidR="00CE4F94">
        <w:rPr>
          <w:rFonts w:ascii="Arial" w:hAnsi="Arial" w:cs="Arial"/>
          <w:color w:val="000000" w:themeColor="text1"/>
          <w:sz w:val="22"/>
        </w:rPr>
        <w:t xml:space="preserve"> amonestación, multa, retención preventiva de la licencia de conducción, suspensión de la licencia de conducción</w:t>
      </w:r>
      <w:r w:rsidRPr="00E04191" w:rsidR="0011311B">
        <w:rPr>
          <w:rFonts w:ascii="Arial" w:hAnsi="Arial" w:cs="Arial"/>
          <w:color w:val="000000" w:themeColor="text1"/>
          <w:sz w:val="22"/>
        </w:rPr>
        <w:t>, suspensión o cancelación del permiso o registro, inmovilización</w:t>
      </w:r>
      <w:r w:rsidRPr="00E04191" w:rsidR="00082D96">
        <w:rPr>
          <w:rFonts w:ascii="Arial" w:hAnsi="Arial" w:cs="Arial"/>
          <w:color w:val="000000" w:themeColor="text1"/>
          <w:sz w:val="22"/>
        </w:rPr>
        <w:t xml:space="preserve"> del vehículo, retención preventiva del vehículo y/o cancelación definitiva de la licencia de conducción</w:t>
      </w:r>
      <w:r w:rsidRPr="00E04191" w:rsidR="009815CD">
        <w:rPr>
          <w:rStyle w:val="Refdenotaalpie"/>
          <w:rFonts w:ascii="Arial" w:hAnsi="Arial" w:cs="Arial"/>
          <w:color w:val="000000" w:themeColor="text1"/>
          <w:sz w:val="22"/>
        </w:rPr>
        <w:footnoteReference w:id="23"/>
      </w:r>
      <w:r w:rsidRPr="00E04191" w:rsidR="000061E5">
        <w:rPr>
          <w:rFonts w:ascii="Arial" w:hAnsi="Arial" w:cs="Arial"/>
          <w:color w:val="000000" w:themeColor="text1"/>
          <w:sz w:val="22"/>
        </w:rPr>
        <w:t>.</w:t>
      </w:r>
      <w:r w:rsidRPr="00E04191" w:rsidR="00A96F3E">
        <w:rPr>
          <w:rFonts w:ascii="Arial" w:hAnsi="Arial" w:cs="Arial"/>
          <w:color w:val="000000" w:themeColor="text1"/>
          <w:sz w:val="22"/>
        </w:rPr>
        <w:t xml:space="preserve"> </w:t>
      </w:r>
      <w:r w:rsidRPr="00E04191" w:rsidR="000061E5">
        <w:rPr>
          <w:rFonts w:ascii="Arial" w:hAnsi="Arial" w:cs="Arial"/>
          <w:color w:val="000000" w:themeColor="text1"/>
          <w:sz w:val="22"/>
        </w:rPr>
        <w:t>E</w:t>
      </w:r>
      <w:r w:rsidRPr="00E04191" w:rsidR="00A96F3E">
        <w:rPr>
          <w:rFonts w:ascii="Arial" w:hAnsi="Arial" w:cs="Arial"/>
          <w:color w:val="000000" w:themeColor="text1"/>
          <w:sz w:val="22"/>
        </w:rPr>
        <w:t xml:space="preserve">sto </w:t>
      </w:r>
      <w:r w:rsidRPr="00E04191" w:rsidR="00B13B8B">
        <w:rPr>
          <w:rFonts w:ascii="Arial" w:hAnsi="Arial" w:cs="Arial"/>
          <w:color w:val="000000" w:themeColor="text1"/>
          <w:sz w:val="22"/>
        </w:rPr>
        <w:t xml:space="preserve">implica que el derecho a conducir vehículos </w:t>
      </w:r>
      <w:r w:rsidRPr="00E04191" w:rsidR="00CB69DA">
        <w:rPr>
          <w:rFonts w:ascii="Arial" w:hAnsi="Arial" w:cs="Arial"/>
          <w:color w:val="000000" w:themeColor="text1"/>
          <w:sz w:val="22"/>
        </w:rPr>
        <w:t>no es absoluto, pues el mismo ordenamiento jurídico contempló límites a</w:t>
      </w:r>
      <w:r w:rsidRPr="00E04191" w:rsidR="005E1CE2">
        <w:rPr>
          <w:rFonts w:ascii="Arial" w:hAnsi="Arial" w:cs="Arial"/>
          <w:color w:val="000000" w:themeColor="text1"/>
          <w:sz w:val="22"/>
        </w:rPr>
        <w:t xml:space="preserve"> su</w:t>
      </w:r>
      <w:r w:rsidRPr="00E04191" w:rsidR="00CB69DA">
        <w:rPr>
          <w:rFonts w:ascii="Arial" w:hAnsi="Arial" w:cs="Arial"/>
          <w:color w:val="000000" w:themeColor="text1"/>
          <w:sz w:val="22"/>
        </w:rPr>
        <w:t xml:space="preserve"> ejercicio</w:t>
      </w:r>
      <w:r w:rsidRPr="00E04191" w:rsidR="007B6DA0">
        <w:rPr>
          <w:rFonts w:ascii="Arial" w:hAnsi="Arial" w:cs="Arial"/>
          <w:color w:val="000000" w:themeColor="text1"/>
          <w:sz w:val="22"/>
        </w:rPr>
        <w:t>.</w:t>
      </w:r>
    </w:p>
    <w:p w:rsidRPr="00E04191" w:rsidR="00B13B8B" w:rsidP="00692DFF" w:rsidRDefault="005E1CE2" w14:paraId="79F28823" w14:textId="3C5C22C9">
      <w:pPr>
        <w:spacing w:before="120" w:after="120" w:line="276" w:lineRule="auto"/>
        <w:ind w:firstLine="709"/>
        <w:jc w:val="both"/>
        <w:rPr>
          <w:rFonts w:ascii="Arial" w:hAnsi="Arial" w:cs="Arial"/>
          <w:color w:val="000000" w:themeColor="text1"/>
          <w:sz w:val="22"/>
        </w:rPr>
      </w:pPr>
      <w:r w:rsidRPr="00E04191">
        <w:rPr>
          <w:rFonts w:ascii="Arial" w:hAnsi="Arial" w:cs="Arial"/>
          <w:color w:val="000000" w:themeColor="text1"/>
          <w:sz w:val="22"/>
        </w:rPr>
        <w:t>Dentro de</w:t>
      </w:r>
      <w:r w:rsidRPr="00E04191" w:rsidR="00B078E6">
        <w:rPr>
          <w:rFonts w:ascii="Arial" w:hAnsi="Arial" w:cs="Arial"/>
          <w:color w:val="000000" w:themeColor="text1"/>
          <w:sz w:val="22"/>
        </w:rPr>
        <w:t xml:space="preserve"> los límites establecidos en la Ley 769 de 2002 al ejercicio del derecho a la conducción de vehículos, </w:t>
      </w:r>
      <w:r w:rsidRPr="00E04191" w:rsidR="00A663FB">
        <w:rPr>
          <w:rFonts w:ascii="Arial" w:hAnsi="Arial" w:cs="Arial"/>
          <w:color w:val="000000" w:themeColor="text1"/>
          <w:sz w:val="22"/>
        </w:rPr>
        <w:t>se establecieron</w:t>
      </w:r>
      <w:r w:rsidRPr="00E04191" w:rsidR="00613803">
        <w:rPr>
          <w:rFonts w:ascii="Arial" w:hAnsi="Arial" w:cs="Arial"/>
          <w:color w:val="000000" w:themeColor="text1"/>
          <w:sz w:val="22"/>
        </w:rPr>
        <w:t xml:space="preserve"> medidas </w:t>
      </w:r>
      <w:r w:rsidRPr="00E04191" w:rsidR="00A663FB">
        <w:rPr>
          <w:rFonts w:ascii="Arial" w:hAnsi="Arial" w:cs="Arial"/>
          <w:color w:val="000000" w:themeColor="text1"/>
          <w:sz w:val="22"/>
        </w:rPr>
        <w:t>de carácter temporal o permanente, que consisten en la suspens</w:t>
      </w:r>
      <w:r w:rsidRPr="00E04191" w:rsidR="00A633D9">
        <w:rPr>
          <w:rFonts w:ascii="Arial" w:hAnsi="Arial" w:cs="Arial"/>
          <w:color w:val="000000" w:themeColor="text1"/>
          <w:sz w:val="22"/>
        </w:rPr>
        <w:t xml:space="preserve">ión temporal o </w:t>
      </w:r>
      <w:r w:rsidRPr="00E04191" w:rsidR="007D74E6">
        <w:rPr>
          <w:rFonts w:ascii="Arial" w:hAnsi="Arial" w:cs="Arial"/>
          <w:color w:val="000000" w:themeColor="text1"/>
          <w:sz w:val="22"/>
        </w:rPr>
        <w:t>cancelación definitiva</w:t>
      </w:r>
      <w:r w:rsidRPr="00E04191" w:rsidR="00A633D9">
        <w:rPr>
          <w:rFonts w:ascii="Arial" w:hAnsi="Arial" w:cs="Arial"/>
          <w:color w:val="000000" w:themeColor="text1"/>
          <w:sz w:val="22"/>
        </w:rPr>
        <w:t xml:space="preserve"> </w:t>
      </w:r>
      <w:r w:rsidRPr="00E04191" w:rsidR="00EF5836">
        <w:rPr>
          <w:rFonts w:ascii="Arial" w:hAnsi="Arial" w:cs="Arial"/>
          <w:color w:val="000000" w:themeColor="text1"/>
          <w:sz w:val="22"/>
        </w:rPr>
        <w:t>de la licencia de conducción</w:t>
      </w:r>
      <w:r w:rsidRPr="00E04191" w:rsidR="007B1FDA">
        <w:rPr>
          <w:rStyle w:val="Refdenotaalpie"/>
          <w:rFonts w:ascii="Arial" w:hAnsi="Arial" w:cs="Arial"/>
          <w:color w:val="000000" w:themeColor="text1"/>
          <w:sz w:val="22"/>
        </w:rPr>
        <w:footnoteReference w:id="24"/>
      </w:r>
      <w:r w:rsidRPr="00E04191" w:rsidR="00EE2903">
        <w:rPr>
          <w:rFonts w:ascii="Arial" w:hAnsi="Arial" w:cs="Arial"/>
          <w:color w:val="000000" w:themeColor="text1"/>
          <w:sz w:val="22"/>
        </w:rPr>
        <w:t xml:space="preserve">; sin embargo, ninguna de esas limitaciones </w:t>
      </w:r>
      <w:r w:rsidRPr="00E04191" w:rsidR="00274FBC">
        <w:rPr>
          <w:rFonts w:ascii="Arial" w:hAnsi="Arial" w:cs="Arial"/>
          <w:color w:val="000000" w:themeColor="text1"/>
          <w:sz w:val="22"/>
        </w:rPr>
        <w:t xml:space="preserve">guarda relación directa o indirecta </w:t>
      </w:r>
      <w:r w:rsidRPr="00E04191" w:rsidR="00F50C08">
        <w:rPr>
          <w:rFonts w:ascii="Arial" w:hAnsi="Arial" w:cs="Arial"/>
          <w:color w:val="000000" w:themeColor="text1"/>
          <w:sz w:val="22"/>
        </w:rPr>
        <w:t xml:space="preserve">con </w:t>
      </w:r>
      <w:r w:rsidRPr="00E04191" w:rsidR="000A5C06">
        <w:rPr>
          <w:rFonts w:ascii="Arial" w:hAnsi="Arial" w:cs="Arial"/>
          <w:color w:val="000000" w:themeColor="text1"/>
          <w:sz w:val="22"/>
        </w:rPr>
        <w:t xml:space="preserve">las disposiciones que regulan la contratación de las </w:t>
      </w:r>
      <w:r w:rsidRPr="00E04191" w:rsidR="0026187C">
        <w:rPr>
          <w:rFonts w:ascii="Arial" w:hAnsi="Arial" w:cs="Arial"/>
          <w:color w:val="000000" w:themeColor="text1"/>
          <w:sz w:val="22"/>
        </w:rPr>
        <w:t>e</w:t>
      </w:r>
      <w:r w:rsidRPr="00E04191" w:rsidR="000A5C06">
        <w:rPr>
          <w:rFonts w:ascii="Arial" w:hAnsi="Arial" w:cs="Arial"/>
          <w:color w:val="000000" w:themeColor="text1"/>
          <w:sz w:val="22"/>
        </w:rPr>
        <w:t xml:space="preserve">ntidades </w:t>
      </w:r>
      <w:r w:rsidRPr="00E04191" w:rsidR="0026187C">
        <w:rPr>
          <w:rFonts w:ascii="Arial" w:hAnsi="Arial" w:cs="Arial"/>
          <w:color w:val="000000" w:themeColor="text1"/>
          <w:sz w:val="22"/>
        </w:rPr>
        <w:t>p</w:t>
      </w:r>
      <w:r w:rsidRPr="00E04191" w:rsidR="000A5C06">
        <w:rPr>
          <w:rFonts w:ascii="Arial" w:hAnsi="Arial" w:cs="Arial"/>
          <w:color w:val="000000" w:themeColor="text1"/>
          <w:sz w:val="22"/>
        </w:rPr>
        <w:t>úblicas.</w:t>
      </w:r>
    </w:p>
    <w:p w:rsidRPr="00E04191" w:rsidR="0016482D" w:rsidP="00C50638" w:rsidRDefault="00DF75F3" w14:paraId="715F4753" w14:textId="0A0923BF">
      <w:pPr>
        <w:spacing w:before="120" w:line="276" w:lineRule="auto"/>
        <w:ind w:firstLine="709"/>
        <w:jc w:val="both"/>
        <w:rPr>
          <w:rFonts w:ascii="Arial" w:hAnsi="Arial" w:cs="Arial"/>
          <w:color w:val="000000" w:themeColor="text1"/>
          <w:sz w:val="22"/>
        </w:rPr>
      </w:pPr>
      <w:r w:rsidRPr="00E04191">
        <w:rPr>
          <w:rFonts w:ascii="Arial" w:hAnsi="Arial" w:cs="Arial"/>
          <w:color w:val="000000" w:themeColor="text1"/>
          <w:sz w:val="22"/>
        </w:rPr>
        <w:lastRenderedPageBreak/>
        <w:t>En conclusión</w:t>
      </w:r>
      <w:r w:rsidRPr="00E04191" w:rsidR="000B6665">
        <w:rPr>
          <w:rFonts w:ascii="Arial" w:hAnsi="Arial" w:cs="Arial"/>
          <w:color w:val="000000" w:themeColor="text1"/>
          <w:sz w:val="22"/>
        </w:rPr>
        <w:t xml:space="preserve">, </w:t>
      </w:r>
      <w:r w:rsidRPr="00E04191" w:rsidR="00504444">
        <w:rPr>
          <w:rFonts w:ascii="Arial" w:hAnsi="Arial" w:cs="Arial"/>
          <w:color w:val="000000" w:themeColor="text1"/>
          <w:sz w:val="22"/>
        </w:rPr>
        <w:t xml:space="preserve">se </w:t>
      </w:r>
      <w:r w:rsidRPr="00E04191" w:rsidR="00062F73">
        <w:rPr>
          <w:rFonts w:ascii="Arial" w:hAnsi="Arial" w:cs="Arial"/>
          <w:color w:val="000000" w:themeColor="text1"/>
          <w:sz w:val="22"/>
        </w:rPr>
        <w:t>debe señalar</w:t>
      </w:r>
      <w:r w:rsidRPr="00E04191" w:rsidR="00504444">
        <w:rPr>
          <w:rFonts w:ascii="Arial" w:hAnsi="Arial" w:cs="Arial"/>
          <w:color w:val="000000" w:themeColor="text1"/>
          <w:sz w:val="22"/>
        </w:rPr>
        <w:t xml:space="preserve"> que la Ley 769 de 2002 no contempló ninguna</w:t>
      </w:r>
      <w:r w:rsidRPr="00E04191" w:rsidR="00A64DFE">
        <w:rPr>
          <w:rFonts w:ascii="Arial" w:hAnsi="Arial" w:cs="Arial"/>
          <w:color w:val="000000" w:themeColor="text1"/>
          <w:sz w:val="22"/>
        </w:rPr>
        <w:t xml:space="preserve"> prohibición, inhabilidad o incompatibilidad </w:t>
      </w:r>
      <w:r w:rsidRPr="00E04191" w:rsidR="00767F14">
        <w:rPr>
          <w:rFonts w:ascii="Arial" w:hAnsi="Arial" w:cs="Arial"/>
          <w:color w:val="000000" w:themeColor="text1"/>
          <w:sz w:val="22"/>
        </w:rPr>
        <w:t>para suscribir contratos con</w:t>
      </w:r>
      <w:r w:rsidRPr="00E04191" w:rsidR="00023701">
        <w:rPr>
          <w:rFonts w:ascii="Arial" w:hAnsi="Arial" w:cs="Arial"/>
          <w:color w:val="000000" w:themeColor="text1"/>
          <w:sz w:val="22"/>
        </w:rPr>
        <w:t xml:space="preserve"> </w:t>
      </w:r>
      <w:r w:rsidRPr="00E04191" w:rsidR="005618C1">
        <w:rPr>
          <w:rFonts w:ascii="Arial" w:hAnsi="Arial" w:cs="Arial"/>
          <w:color w:val="000000" w:themeColor="text1"/>
          <w:sz w:val="22"/>
        </w:rPr>
        <w:t>e</w:t>
      </w:r>
      <w:r w:rsidRPr="00E04191" w:rsidR="00023701">
        <w:rPr>
          <w:rFonts w:ascii="Arial" w:hAnsi="Arial" w:cs="Arial"/>
          <w:color w:val="000000" w:themeColor="text1"/>
          <w:sz w:val="22"/>
        </w:rPr>
        <w:t xml:space="preserve">ntidades </w:t>
      </w:r>
      <w:r w:rsidRPr="00E04191" w:rsidR="005618C1">
        <w:rPr>
          <w:rFonts w:ascii="Arial" w:hAnsi="Arial" w:cs="Arial"/>
          <w:color w:val="000000" w:themeColor="text1"/>
          <w:sz w:val="22"/>
        </w:rPr>
        <w:t>pú</w:t>
      </w:r>
      <w:r w:rsidRPr="00E04191" w:rsidR="00023701">
        <w:rPr>
          <w:rFonts w:ascii="Arial" w:hAnsi="Arial" w:cs="Arial"/>
          <w:color w:val="000000" w:themeColor="text1"/>
          <w:sz w:val="22"/>
        </w:rPr>
        <w:t>blicas</w:t>
      </w:r>
      <w:r w:rsidRPr="00E04191" w:rsidR="00DF3C0F">
        <w:rPr>
          <w:rFonts w:ascii="Arial" w:hAnsi="Arial" w:cs="Arial"/>
          <w:color w:val="000000" w:themeColor="text1"/>
          <w:sz w:val="22"/>
        </w:rPr>
        <w:t xml:space="preserve"> que tenga origen o causa en </w:t>
      </w:r>
      <w:r w:rsidRPr="00E04191" w:rsidR="00F97E47">
        <w:rPr>
          <w:rFonts w:ascii="Arial" w:hAnsi="Arial" w:cs="Arial"/>
          <w:color w:val="000000" w:themeColor="text1"/>
          <w:sz w:val="22"/>
        </w:rPr>
        <w:t xml:space="preserve">las sanciones </w:t>
      </w:r>
      <w:r w:rsidRPr="00E04191" w:rsidR="00031C37">
        <w:rPr>
          <w:rFonts w:ascii="Arial" w:hAnsi="Arial" w:cs="Arial"/>
          <w:color w:val="000000" w:themeColor="text1"/>
          <w:sz w:val="22"/>
        </w:rPr>
        <w:t>impuestas</w:t>
      </w:r>
      <w:r w:rsidRPr="00E04191" w:rsidR="00F97E47">
        <w:rPr>
          <w:rFonts w:ascii="Arial" w:hAnsi="Arial" w:cs="Arial"/>
          <w:color w:val="000000" w:themeColor="text1"/>
          <w:sz w:val="22"/>
        </w:rPr>
        <w:t xml:space="preserve"> por las </w:t>
      </w:r>
      <w:r w:rsidRPr="00E04191" w:rsidR="005618C1">
        <w:rPr>
          <w:rFonts w:ascii="Arial" w:hAnsi="Arial" w:cs="Arial"/>
          <w:color w:val="000000" w:themeColor="text1"/>
          <w:sz w:val="22"/>
        </w:rPr>
        <w:t>a</w:t>
      </w:r>
      <w:r w:rsidRPr="00E04191" w:rsidR="00F97E47">
        <w:rPr>
          <w:rFonts w:ascii="Arial" w:hAnsi="Arial" w:cs="Arial"/>
          <w:color w:val="000000" w:themeColor="text1"/>
          <w:sz w:val="22"/>
        </w:rPr>
        <w:t xml:space="preserve">utoridades </w:t>
      </w:r>
      <w:r w:rsidRPr="00E04191" w:rsidR="005618C1">
        <w:rPr>
          <w:rFonts w:ascii="Arial" w:hAnsi="Arial" w:cs="Arial"/>
          <w:color w:val="000000" w:themeColor="text1"/>
          <w:sz w:val="22"/>
        </w:rPr>
        <w:t>de t</w:t>
      </w:r>
      <w:r w:rsidRPr="00E04191" w:rsidR="00F97E47">
        <w:rPr>
          <w:rFonts w:ascii="Arial" w:hAnsi="Arial" w:cs="Arial"/>
          <w:color w:val="000000" w:themeColor="text1"/>
          <w:sz w:val="22"/>
        </w:rPr>
        <w:t>ránsito</w:t>
      </w:r>
      <w:r w:rsidRPr="00E04191" w:rsidR="00D150EF">
        <w:rPr>
          <w:rFonts w:ascii="Arial" w:hAnsi="Arial" w:cs="Arial"/>
          <w:color w:val="000000" w:themeColor="text1"/>
          <w:sz w:val="22"/>
        </w:rPr>
        <w:t xml:space="preserve"> a los infractores</w:t>
      </w:r>
      <w:r w:rsidRPr="00E04191" w:rsidR="00031C37">
        <w:rPr>
          <w:rFonts w:ascii="Arial" w:hAnsi="Arial" w:cs="Arial"/>
          <w:color w:val="000000" w:themeColor="text1"/>
          <w:sz w:val="22"/>
        </w:rPr>
        <w:t xml:space="preserve"> de los preceptos del ordenamiento jurídico que regulan las actividades de tránsito y transporte en el territorio nacional.</w:t>
      </w:r>
    </w:p>
    <w:p w:rsidRPr="00E04191" w:rsidR="005A79FE" w:rsidP="00C50638" w:rsidRDefault="005A79FE" w14:paraId="5E6B8351" w14:textId="4DBEADBF">
      <w:pPr>
        <w:spacing w:line="276" w:lineRule="auto"/>
        <w:jc w:val="both"/>
        <w:rPr>
          <w:rFonts w:ascii="Arial" w:hAnsi="Arial" w:eastAsia="Calibri" w:cs="Arial"/>
          <w:b/>
          <w:color w:val="000000" w:themeColor="text1"/>
          <w:sz w:val="22"/>
        </w:rPr>
      </w:pPr>
    </w:p>
    <w:p w:rsidRPr="00E04191" w:rsidR="005A79FE" w:rsidP="00C50638" w:rsidRDefault="005A79FE" w14:paraId="5D99A3C6" w14:textId="2554B123">
      <w:pPr>
        <w:pStyle w:val="Prrafodelista"/>
        <w:numPr>
          <w:ilvl w:val="0"/>
          <w:numId w:val="6"/>
        </w:numPr>
        <w:tabs>
          <w:tab w:val="left" w:pos="284"/>
        </w:tabs>
        <w:spacing w:line="276" w:lineRule="auto"/>
        <w:ind w:left="0" w:firstLine="0"/>
        <w:jc w:val="both"/>
        <w:rPr>
          <w:rFonts w:ascii="Arial" w:hAnsi="Arial" w:eastAsia="Calibri" w:cs="Arial"/>
          <w:color w:val="000000" w:themeColor="text1"/>
          <w:sz w:val="22"/>
        </w:rPr>
      </w:pPr>
      <w:r w:rsidRPr="00E04191">
        <w:rPr>
          <w:rFonts w:ascii="Arial" w:hAnsi="Arial" w:eastAsia="Calibri" w:cs="Arial"/>
          <w:b/>
          <w:color w:val="000000" w:themeColor="text1"/>
          <w:sz w:val="22"/>
        </w:rPr>
        <w:t>Respuesta</w:t>
      </w:r>
    </w:p>
    <w:p w:rsidRPr="00E04191" w:rsidR="005A79FE" w:rsidP="00C50638" w:rsidRDefault="005A79FE" w14:paraId="6A2CCB9A" w14:textId="77777777">
      <w:pPr>
        <w:spacing w:line="276" w:lineRule="auto"/>
        <w:ind w:right="709"/>
        <w:jc w:val="both"/>
        <w:rPr>
          <w:rFonts w:ascii="Arial" w:hAnsi="Arial" w:eastAsia="Calibri" w:cs="Arial"/>
          <w:iCs/>
          <w:color w:val="000000" w:themeColor="text1"/>
          <w:sz w:val="22"/>
        </w:rPr>
      </w:pPr>
    </w:p>
    <w:p w:rsidRPr="00E04191" w:rsidR="005A79FE" w:rsidP="005A79FE" w:rsidRDefault="00A27EAE" w14:paraId="538BC9A1" w14:textId="6602E5CE">
      <w:pPr>
        <w:spacing w:line="276" w:lineRule="auto"/>
        <w:ind w:left="709" w:right="709"/>
        <w:jc w:val="both"/>
        <w:rPr>
          <w:rFonts w:ascii="Arial" w:hAnsi="Arial" w:eastAsia="Calibri" w:cs="Arial"/>
          <w:color w:val="000000" w:themeColor="text1"/>
          <w:sz w:val="22"/>
        </w:rPr>
      </w:pPr>
      <w:r w:rsidRPr="00E04191">
        <w:rPr>
          <w:rFonts w:ascii="Arial" w:hAnsi="Arial" w:eastAsia="Calibri" w:cs="Arial"/>
          <w:color w:val="000000" w:themeColor="text1"/>
          <w:sz w:val="22"/>
        </w:rPr>
        <w:t>«</w:t>
      </w:r>
      <w:r w:rsidRPr="00E04191" w:rsidR="005A79FE">
        <w:rPr>
          <w:rFonts w:ascii="Arial" w:hAnsi="Arial" w:eastAsia="Calibri" w:cs="Arial"/>
          <w:color w:val="000000" w:themeColor="text1"/>
          <w:sz w:val="22"/>
        </w:rPr>
        <w:t>¿</w:t>
      </w:r>
      <w:r w:rsidRPr="00E04191" w:rsidR="00C50638">
        <w:rPr>
          <w:rFonts w:ascii="Arial" w:hAnsi="Arial" w:eastAsia="Calibri" w:cs="Arial"/>
          <w:color w:val="000000" w:themeColor="text1"/>
          <w:sz w:val="22"/>
        </w:rPr>
        <w:t xml:space="preserve">Existe alguna prohibición, inhabilidad o incompatibilidad para contratar con una persona que tiene multas de </w:t>
      </w:r>
      <w:proofErr w:type="spellStart"/>
      <w:r w:rsidRPr="00E04191" w:rsidR="00C50638">
        <w:rPr>
          <w:rFonts w:ascii="Arial" w:hAnsi="Arial" w:eastAsia="Calibri" w:cs="Arial"/>
          <w:color w:val="000000" w:themeColor="text1"/>
          <w:sz w:val="22"/>
        </w:rPr>
        <w:t>transito</w:t>
      </w:r>
      <w:proofErr w:type="spellEnd"/>
      <w:r w:rsidRPr="00E04191" w:rsidR="00C50638">
        <w:rPr>
          <w:rFonts w:ascii="Arial" w:hAnsi="Arial" w:eastAsia="Calibri" w:cs="Arial"/>
          <w:color w:val="000000" w:themeColor="text1"/>
          <w:sz w:val="22"/>
        </w:rPr>
        <w:t xml:space="preserve"> (sic)</w:t>
      </w:r>
      <w:r w:rsidRPr="00E04191" w:rsidR="005A79FE">
        <w:rPr>
          <w:rFonts w:ascii="Arial" w:hAnsi="Arial" w:eastAsia="Calibri" w:cs="Arial"/>
          <w:color w:val="000000" w:themeColor="text1"/>
          <w:sz w:val="22"/>
        </w:rPr>
        <w:t>?</w:t>
      </w:r>
      <w:r w:rsidRPr="00E04191">
        <w:rPr>
          <w:rFonts w:ascii="Arial" w:hAnsi="Arial" w:eastAsia="Calibri" w:cs="Arial"/>
          <w:color w:val="000000" w:themeColor="text1"/>
          <w:sz w:val="22"/>
        </w:rPr>
        <w:t>»</w:t>
      </w:r>
    </w:p>
    <w:p w:rsidRPr="00E04191" w:rsidR="005A79FE" w:rsidP="005A79FE" w:rsidRDefault="005A79FE" w14:paraId="34C31AE7" w14:textId="77777777">
      <w:pPr>
        <w:spacing w:line="276" w:lineRule="auto"/>
        <w:ind w:left="708" w:right="709"/>
        <w:jc w:val="both"/>
        <w:rPr>
          <w:rFonts w:ascii="Arial" w:hAnsi="Arial" w:eastAsia="Calibri" w:cs="Arial"/>
          <w:color w:val="000000" w:themeColor="text1"/>
          <w:sz w:val="22"/>
        </w:rPr>
      </w:pPr>
    </w:p>
    <w:p w:rsidRPr="00E04191" w:rsidR="005A79FE" w:rsidP="008C154C" w:rsidRDefault="007E7D57" w14:paraId="46CA704A" w14:textId="655C35A3">
      <w:pPr>
        <w:spacing w:line="276" w:lineRule="auto"/>
        <w:jc w:val="both"/>
        <w:rPr>
          <w:rFonts w:ascii="Arial" w:hAnsi="Arial" w:eastAsia="Calibri" w:cs="Arial"/>
          <w:color w:val="000000" w:themeColor="text1"/>
          <w:sz w:val="22"/>
        </w:rPr>
      </w:pPr>
      <w:r w:rsidRPr="00E04191">
        <w:rPr>
          <w:rFonts w:ascii="Arial" w:hAnsi="Arial" w:eastAsia="Calibri" w:cs="Arial"/>
          <w:color w:val="000000" w:themeColor="text1"/>
          <w:sz w:val="22"/>
        </w:rPr>
        <w:t>El Congreso de la República, en ejercicio de la función legislativa, no ha contemplado en nuestro ordenamiento jurídico vigente</w:t>
      </w:r>
      <w:r w:rsidRPr="00E04191" w:rsidR="003A5107">
        <w:rPr>
          <w:rFonts w:ascii="Arial" w:hAnsi="Arial" w:eastAsia="Calibri" w:cs="Arial"/>
          <w:color w:val="000000" w:themeColor="text1"/>
          <w:sz w:val="22"/>
        </w:rPr>
        <w:t xml:space="preserve"> alguna</w:t>
      </w:r>
      <w:r w:rsidRPr="00E04191" w:rsidR="00C14856">
        <w:rPr>
          <w:rFonts w:ascii="Arial" w:hAnsi="Arial" w:eastAsia="Calibri" w:cs="Arial"/>
          <w:color w:val="000000" w:themeColor="text1"/>
          <w:sz w:val="22"/>
        </w:rPr>
        <w:t xml:space="preserve"> causal de prohibición, inhabilidad o incompatibilidad</w:t>
      </w:r>
      <w:r w:rsidRPr="00E04191" w:rsidR="003605BA">
        <w:rPr>
          <w:rFonts w:ascii="Arial" w:hAnsi="Arial" w:eastAsia="Calibri" w:cs="Arial"/>
          <w:color w:val="000000" w:themeColor="text1"/>
          <w:sz w:val="22"/>
        </w:rPr>
        <w:t>, que tenga causa u origen en la comisión de infracciones al régimen legal de tránsito y transporte,</w:t>
      </w:r>
      <w:r w:rsidRPr="00E04191" w:rsidR="00BC032E">
        <w:rPr>
          <w:rFonts w:ascii="Arial" w:hAnsi="Arial" w:eastAsia="Calibri" w:cs="Arial"/>
          <w:color w:val="000000" w:themeColor="text1"/>
          <w:sz w:val="22"/>
        </w:rPr>
        <w:t xml:space="preserve"> que limite la capacidad de una persona par</w:t>
      </w:r>
      <w:r w:rsidRPr="00E04191" w:rsidR="001D3800">
        <w:rPr>
          <w:rFonts w:ascii="Arial" w:hAnsi="Arial" w:eastAsia="Calibri" w:cs="Arial"/>
          <w:color w:val="000000" w:themeColor="text1"/>
          <w:sz w:val="22"/>
        </w:rPr>
        <w:t>a suscribir contratos estatales</w:t>
      </w:r>
      <w:r w:rsidRPr="00E04191" w:rsidR="008C154C">
        <w:rPr>
          <w:rFonts w:ascii="Arial" w:hAnsi="Arial" w:eastAsia="Calibri" w:cs="Arial"/>
          <w:color w:val="000000" w:themeColor="text1"/>
          <w:sz w:val="22"/>
        </w:rPr>
        <w:t>.</w:t>
      </w:r>
    </w:p>
    <w:p w:rsidRPr="00E04191" w:rsidR="008C154C" w:rsidP="00A549DC" w:rsidRDefault="008C154C" w14:paraId="06D53680" w14:textId="3C988871">
      <w:pPr>
        <w:jc w:val="both"/>
        <w:rPr>
          <w:rFonts w:ascii="Arial" w:hAnsi="Arial" w:eastAsia="Calibri" w:cs="Arial"/>
          <w:color w:val="000000" w:themeColor="text1"/>
          <w:sz w:val="22"/>
        </w:rPr>
      </w:pPr>
    </w:p>
    <w:p w:rsidRPr="00E04191" w:rsidR="008C154C" w:rsidP="00A549DC" w:rsidRDefault="008C154C" w14:paraId="42B73CE1" w14:textId="77777777">
      <w:pPr>
        <w:jc w:val="both"/>
        <w:rPr>
          <w:rFonts w:ascii="Arial" w:hAnsi="Arial" w:cs="Arial"/>
          <w:color w:val="000000" w:themeColor="text1"/>
          <w:sz w:val="22"/>
        </w:rPr>
      </w:pPr>
    </w:p>
    <w:p w:rsidRPr="00E04191" w:rsidR="005A79FE" w:rsidP="00A549DC" w:rsidRDefault="005A79FE" w14:paraId="5F429EFF" w14:textId="77777777">
      <w:pPr>
        <w:spacing w:before="120" w:after="120" w:line="276" w:lineRule="auto"/>
        <w:jc w:val="both"/>
        <w:rPr>
          <w:rFonts w:ascii="Arial" w:hAnsi="Arial" w:eastAsia="Calibri" w:cs="Arial"/>
          <w:color w:val="000000" w:themeColor="text1"/>
          <w:sz w:val="22"/>
        </w:rPr>
      </w:pPr>
      <w:r w:rsidRPr="00E04191">
        <w:rPr>
          <w:rFonts w:ascii="Arial" w:hAnsi="Arial" w:eastAsia="Calibri" w:cs="Arial"/>
          <w:color w:val="000000" w:themeColor="text1"/>
          <w:sz w:val="22"/>
        </w:rPr>
        <w:t>Este concepto tiene el alcance previsto en el artículo 28 del Código de Procedimiento Administrativo y de lo Contencioso Administrativo.</w:t>
      </w:r>
    </w:p>
    <w:p w:rsidRPr="00E04191" w:rsidR="005A79FE" w:rsidP="005A79FE" w:rsidRDefault="005A79FE" w14:paraId="19DA8DDB" w14:textId="77777777">
      <w:pPr>
        <w:spacing w:line="276" w:lineRule="auto"/>
        <w:jc w:val="both"/>
        <w:rPr>
          <w:rFonts w:ascii="Arial" w:hAnsi="Arial" w:eastAsia="Calibri" w:cs="Arial"/>
          <w:color w:val="000000" w:themeColor="text1"/>
          <w:sz w:val="22"/>
        </w:rPr>
      </w:pPr>
    </w:p>
    <w:p w:rsidRPr="00E04191" w:rsidR="005A79FE" w:rsidP="005A79FE" w:rsidRDefault="005A79FE" w14:paraId="7080CFA4" w14:textId="77777777">
      <w:pPr>
        <w:jc w:val="both"/>
        <w:rPr>
          <w:rFonts w:ascii="Arial" w:hAnsi="Arial" w:eastAsia="Calibri" w:cs="Arial"/>
          <w:color w:val="000000" w:themeColor="text1"/>
          <w:sz w:val="22"/>
        </w:rPr>
      </w:pPr>
      <w:r w:rsidRPr="00E04191">
        <w:rPr>
          <w:noProof/>
          <w:color w:val="000000" w:themeColor="text1"/>
        </w:rPr>
        <mc:AlternateContent>
          <mc:Choice Requires="wps">
            <w:drawing>
              <wp:anchor distT="0" distB="0" distL="114300" distR="114300" simplePos="0" relativeHeight="251660800" behindDoc="0" locked="0" layoutInCell="1" allowOverlap="1" wp14:anchorId="194C2921" wp14:editId="19D2879F">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BF72D88">
              <v:line id="Conector recto 2" style="position:absolute;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39FD4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w10:wrap anchorx="page"/>
              </v:line>
            </w:pict>
          </mc:Fallback>
        </mc:AlternateContent>
      </w:r>
    </w:p>
    <w:p w:rsidRPr="00E04191" w:rsidR="005A79FE" w:rsidP="005A79FE" w:rsidRDefault="005A79FE" w14:paraId="18AAB28D" w14:textId="77777777">
      <w:pPr>
        <w:rPr>
          <w:rFonts w:ascii="Arial" w:hAnsi="Arial" w:eastAsia="Times New Roman" w:cs="Arial"/>
          <w:color w:val="000000" w:themeColor="text1"/>
          <w:sz w:val="22"/>
          <w:lang w:eastAsia="es-CO"/>
        </w:rPr>
      </w:pPr>
      <w:r w:rsidRPr="00E04191">
        <w:rPr>
          <w:rFonts w:ascii="Arial" w:hAnsi="Arial" w:eastAsia="Times New Roman" w:cs="Arial"/>
          <w:color w:val="000000" w:themeColor="text1"/>
          <w:sz w:val="22"/>
          <w:lang w:eastAsia="es-CO"/>
        </w:rPr>
        <w:t>Atentamente,</w:t>
      </w:r>
    </w:p>
    <w:p w:rsidR="005A79FE" w:rsidP="008D5500" w:rsidRDefault="008D5500" w14:paraId="640E419B" w14:textId="6CDA7E71">
      <w:pPr>
        <w:jc w:val="center"/>
        <w:rPr>
          <w:rFonts w:ascii="Arial" w:hAnsi="Arial" w:eastAsia="Times New Roman" w:cs="Arial"/>
          <w:color w:val="000000" w:themeColor="text1"/>
          <w:sz w:val="22"/>
          <w:lang w:eastAsia="es-CO"/>
        </w:rPr>
      </w:pPr>
      <w:r w:rsidR="008D5500">
        <w:drawing>
          <wp:inline wp14:editId="327DBA3C" wp14:anchorId="3148C3DB">
            <wp:extent cx="2773045" cy="988695"/>
            <wp:effectExtent l="0" t="0" r="0" b="0"/>
            <wp:docPr id="922742424" name="Imagen 1" title=""/>
            <wp:cNvGraphicFramePr>
              <a:graphicFrameLocks/>
            </wp:cNvGraphicFramePr>
            <a:graphic>
              <a:graphicData uri="http://schemas.openxmlformats.org/drawingml/2006/picture">
                <pic:pic>
                  <pic:nvPicPr>
                    <pic:cNvPr id="0" name="Imagen 1"/>
                    <pic:cNvPicPr/>
                  </pic:nvPicPr>
                  <pic:blipFill>
                    <a:blip r:embed="Rf1fcb0db94e14ec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E04191" w:rsidR="008D5500" w:rsidP="008D5500" w:rsidRDefault="008D5500" w14:paraId="1531AAFE" w14:textId="77777777">
      <w:pPr>
        <w:jc w:val="center"/>
        <w:rPr>
          <w:rFonts w:ascii="Arial" w:hAnsi="Arial" w:eastAsia="Times New Roman" w:cs="Arial"/>
          <w:color w:val="000000" w:themeColor="text1"/>
          <w:sz w:val="22"/>
          <w:lang w:eastAsia="es-CO"/>
        </w:rPr>
      </w:pPr>
    </w:p>
    <w:p w:rsidRPr="00E04191" w:rsidR="005A79FE" w:rsidP="005A79FE" w:rsidRDefault="005A79FE" w14:paraId="11F7B1FA" w14:textId="77777777">
      <w:pPr>
        <w:jc w:val="center"/>
        <w:rPr>
          <w:rFonts w:ascii="Arial" w:hAnsi="Arial" w:eastAsia="Times New Roman" w:cs="Arial"/>
          <w:color w:val="000000" w:themeColor="text1"/>
          <w:sz w:val="18"/>
          <w:szCs w:val="20"/>
          <w:lang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E04191" w:rsidR="00E04191" w:rsidTr="00266042" w14:paraId="047B79DC" w14:textId="77777777">
        <w:trPr>
          <w:trHeight w:val="315"/>
        </w:trPr>
        <w:tc>
          <w:tcPr>
            <w:tcW w:w="488" w:type="dxa"/>
            <w:vAlign w:val="center"/>
            <w:hideMark/>
          </w:tcPr>
          <w:p w:rsidRPr="00E04191" w:rsidR="005A79FE" w:rsidP="00266042" w:rsidRDefault="005A79FE" w14:paraId="66736F0D" w14:textId="77777777">
            <w:pPr>
              <w:rPr>
                <w:rFonts w:ascii="Arial" w:hAnsi="Arial" w:eastAsia="Times New Roman" w:cs="Arial"/>
                <w:color w:val="000000" w:themeColor="text1"/>
                <w:sz w:val="16"/>
                <w:szCs w:val="16"/>
                <w:lang w:eastAsia="es-ES"/>
              </w:rPr>
            </w:pPr>
            <w:r w:rsidRPr="00E04191">
              <w:rPr>
                <w:rFonts w:ascii="Arial" w:hAnsi="Arial" w:eastAsia="Times New Roman" w:cs="Arial"/>
                <w:color w:val="000000" w:themeColor="text1"/>
                <w:sz w:val="16"/>
                <w:szCs w:val="16"/>
                <w:lang w:eastAsia="es-ES"/>
              </w:rPr>
              <w:t>Elaboró:</w:t>
            </w:r>
          </w:p>
        </w:tc>
        <w:tc>
          <w:tcPr>
            <w:tcW w:w="4413" w:type="dxa"/>
            <w:tcBorders>
              <w:top w:val="nil"/>
              <w:left w:val="nil"/>
              <w:bottom w:val="dotted" w:color="7F7F7F" w:themeColor="text1" w:themeTint="80" w:sz="4" w:space="0"/>
              <w:right w:val="nil"/>
            </w:tcBorders>
            <w:vAlign w:val="center"/>
            <w:hideMark/>
          </w:tcPr>
          <w:p w:rsidRPr="00E04191" w:rsidR="005A79FE" w:rsidP="00266042" w:rsidRDefault="00422DDB" w14:paraId="75783E81" w14:textId="5A2A3F72">
            <w:pPr>
              <w:rPr>
                <w:rFonts w:ascii="Arial" w:hAnsi="Arial" w:eastAsia="Times New Roman" w:cs="Arial"/>
                <w:color w:val="000000" w:themeColor="text1"/>
                <w:sz w:val="16"/>
                <w:szCs w:val="16"/>
                <w:lang w:eastAsia="es-ES"/>
              </w:rPr>
            </w:pPr>
            <w:r w:rsidRPr="00E04191">
              <w:rPr>
                <w:rFonts w:ascii="Arial" w:hAnsi="Arial" w:eastAsia="Times New Roman" w:cs="Arial"/>
                <w:color w:val="000000" w:themeColor="text1"/>
                <w:sz w:val="16"/>
                <w:szCs w:val="16"/>
                <w:lang w:eastAsia="es-ES"/>
              </w:rPr>
              <w:t>Juan Manuel Castillo López</w:t>
            </w:r>
          </w:p>
          <w:p w:rsidRPr="00E04191" w:rsidR="005A79FE" w:rsidP="00266042" w:rsidRDefault="00422DDB" w14:paraId="2102D393" w14:textId="3EF985ED">
            <w:pPr>
              <w:rPr>
                <w:rFonts w:ascii="Arial" w:hAnsi="Arial" w:eastAsia="Times New Roman" w:cs="Arial"/>
                <w:color w:val="000000" w:themeColor="text1"/>
                <w:sz w:val="16"/>
                <w:szCs w:val="16"/>
                <w:lang w:eastAsia="es-ES"/>
              </w:rPr>
            </w:pPr>
            <w:r w:rsidRPr="00E04191">
              <w:rPr>
                <w:rFonts w:ascii="Arial" w:hAnsi="Arial" w:eastAsia="Times New Roman" w:cs="Arial"/>
                <w:color w:val="000000" w:themeColor="text1"/>
                <w:sz w:val="16"/>
                <w:szCs w:val="16"/>
                <w:lang w:eastAsia="es-ES"/>
              </w:rPr>
              <w:t>Contratista ─ Subdirección de Gestión Contractual</w:t>
            </w:r>
          </w:p>
        </w:tc>
      </w:tr>
      <w:tr w:rsidRPr="00E04191" w:rsidR="00E04191" w:rsidTr="00266042" w14:paraId="7B1DF477" w14:textId="77777777">
        <w:trPr>
          <w:trHeight w:val="330"/>
        </w:trPr>
        <w:tc>
          <w:tcPr>
            <w:tcW w:w="488" w:type="dxa"/>
            <w:vAlign w:val="center"/>
            <w:hideMark/>
          </w:tcPr>
          <w:p w:rsidRPr="00E04191" w:rsidR="005A79FE" w:rsidP="00266042" w:rsidRDefault="005A79FE" w14:paraId="0FFE9D07" w14:textId="77777777">
            <w:pPr>
              <w:rPr>
                <w:rFonts w:ascii="Arial" w:hAnsi="Arial" w:eastAsia="Times New Roman" w:cs="Arial"/>
                <w:color w:val="000000" w:themeColor="text1"/>
                <w:sz w:val="16"/>
                <w:szCs w:val="16"/>
                <w:lang w:eastAsia="es-ES"/>
              </w:rPr>
            </w:pPr>
            <w:r w:rsidRPr="00E04191">
              <w:rPr>
                <w:rFonts w:ascii="Arial" w:hAnsi="Arial" w:eastAsia="Times New Roman" w:cs="Arial"/>
                <w:color w:val="000000" w:themeColor="text1"/>
                <w:sz w:val="16"/>
                <w:szCs w:val="16"/>
                <w:lang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E04191" w:rsidR="005A79FE" w:rsidP="00266042" w:rsidRDefault="00A549DC" w14:paraId="35DAE08C" w14:textId="58F2D829">
            <w:pPr>
              <w:rPr>
                <w:rFonts w:ascii="Arial" w:hAnsi="Arial" w:eastAsia="Times New Roman" w:cs="Arial"/>
                <w:color w:val="000000" w:themeColor="text1"/>
                <w:sz w:val="16"/>
                <w:szCs w:val="16"/>
                <w:lang w:eastAsia="es-ES"/>
              </w:rPr>
            </w:pPr>
            <w:r w:rsidRPr="00E04191">
              <w:rPr>
                <w:rFonts w:ascii="Arial" w:hAnsi="Arial" w:eastAsia="Times New Roman" w:cs="Arial"/>
                <w:color w:val="000000" w:themeColor="text1"/>
                <w:sz w:val="16"/>
                <w:szCs w:val="16"/>
                <w:lang w:eastAsia="es-ES"/>
              </w:rPr>
              <w:t>Cristian Andrés Díaz Díez</w:t>
            </w:r>
          </w:p>
          <w:p w:rsidRPr="00E04191" w:rsidR="005A79FE" w:rsidP="00266042" w:rsidRDefault="00A549DC" w14:paraId="28E52DE2" w14:textId="100859E1">
            <w:pPr>
              <w:rPr>
                <w:rFonts w:ascii="Arial" w:hAnsi="Arial" w:eastAsia="Times New Roman" w:cs="Arial"/>
                <w:color w:val="000000" w:themeColor="text1"/>
                <w:sz w:val="16"/>
                <w:szCs w:val="16"/>
                <w:lang w:eastAsia="es-ES"/>
              </w:rPr>
            </w:pPr>
            <w:r w:rsidRPr="00E04191">
              <w:rPr>
                <w:rFonts w:ascii="Arial" w:hAnsi="Arial" w:eastAsia="Times New Roman" w:cs="Arial"/>
                <w:color w:val="000000" w:themeColor="text1"/>
                <w:sz w:val="16"/>
                <w:szCs w:val="16"/>
                <w:lang w:eastAsia="es-ES"/>
              </w:rPr>
              <w:t xml:space="preserve">Contratista ─ </w:t>
            </w:r>
            <w:r w:rsidRPr="00E04191" w:rsidR="005A79FE">
              <w:rPr>
                <w:rFonts w:ascii="Arial" w:hAnsi="Arial" w:eastAsia="Times New Roman" w:cs="Arial"/>
                <w:color w:val="000000" w:themeColor="text1"/>
                <w:sz w:val="16"/>
                <w:szCs w:val="16"/>
                <w:lang w:eastAsia="es-ES"/>
              </w:rPr>
              <w:t>Subdire</w:t>
            </w:r>
            <w:r w:rsidRPr="00E04191" w:rsidR="003B6C7B">
              <w:rPr>
                <w:rFonts w:ascii="Arial" w:hAnsi="Arial" w:eastAsia="Times New Roman" w:cs="Arial"/>
                <w:color w:val="000000" w:themeColor="text1"/>
                <w:sz w:val="16"/>
                <w:szCs w:val="16"/>
                <w:lang w:eastAsia="es-ES"/>
              </w:rPr>
              <w:t>cción</w:t>
            </w:r>
            <w:r w:rsidRPr="00E04191" w:rsidR="005A79FE">
              <w:rPr>
                <w:rFonts w:ascii="Arial" w:hAnsi="Arial" w:eastAsia="Times New Roman" w:cs="Arial"/>
                <w:color w:val="000000" w:themeColor="text1"/>
                <w:sz w:val="16"/>
                <w:szCs w:val="16"/>
                <w:lang w:eastAsia="es-ES"/>
              </w:rPr>
              <w:t xml:space="preserve"> de Gestión Contractual</w:t>
            </w:r>
          </w:p>
        </w:tc>
      </w:tr>
      <w:tr w:rsidRPr="00E04191" w:rsidR="005A79FE" w:rsidTr="00266042" w14:paraId="711E3E03" w14:textId="77777777">
        <w:trPr>
          <w:trHeight w:val="300"/>
        </w:trPr>
        <w:tc>
          <w:tcPr>
            <w:tcW w:w="488" w:type="dxa"/>
            <w:vAlign w:val="center"/>
            <w:hideMark/>
          </w:tcPr>
          <w:p w:rsidRPr="00E04191" w:rsidR="005A79FE" w:rsidP="00266042" w:rsidRDefault="005A79FE" w14:paraId="4738705E" w14:textId="77777777">
            <w:pPr>
              <w:rPr>
                <w:rFonts w:ascii="Arial" w:hAnsi="Arial" w:eastAsia="Times New Roman" w:cs="Arial"/>
                <w:color w:val="000000" w:themeColor="text1"/>
                <w:sz w:val="16"/>
                <w:szCs w:val="16"/>
                <w:lang w:eastAsia="es-ES"/>
              </w:rPr>
            </w:pPr>
            <w:r w:rsidRPr="00E04191">
              <w:rPr>
                <w:rFonts w:ascii="Arial" w:hAnsi="Arial" w:eastAsia="Times New Roman" w:cs="Arial"/>
                <w:color w:val="000000" w:themeColor="text1"/>
                <w:sz w:val="16"/>
                <w:szCs w:val="16"/>
                <w:lang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E04191" w:rsidR="005A79FE" w:rsidP="00266042" w:rsidRDefault="005A79FE" w14:paraId="5B3B98CB" w14:textId="77777777">
            <w:pPr>
              <w:rPr>
                <w:rFonts w:ascii="Arial" w:hAnsi="Arial" w:eastAsia="Times New Roman" w:cs="Arial"/>
                <w:color w:val="000000" w:themeColor="text1"/>
                <w:sz w:val="16"/>
                <w:szCs w:val="16"/>
                <w:lang w:eastAsia="es-ES"/>
              </w:rPr>
            </w:pPr>
            <w:r w:rsidRPr="00E04191">
              <w:rPr>
                <w:rFonts w:ascii="Arial" w:hAnsi="Arial" w:eastAsia="Times New Roman" w:cs="Arial"/>
                <w:color w:val="000000" w:themeColor="text1"/>
                <w:sz w:val="16"/>
                <w:szCs w:val="16"/>
                <w:lang w:eastAsia="es-ES"/>
              </w:rPr>
              <w:t>Fabián Gonzalo Marín Cortés</w:t>
            </w:r>
          </w:p>
          <w:p w:rsidRPr="00E04191" w:rsidR="005A79FE" w:rsidP="00266042" w:rsidRDefault="005A79FE" w14:paraId="18618B00" w14:textId="77777777">
            <w:pPr>
              <w:rPr>
                <w:rFonts w:ascii="Arial" w:hAnsi="Arial" w:eastAsia="Times New Roman" w:cs="Arial"/>
                <w:color w:val="000000" w:themeColor="text1"/>
                <w:sz w:val="16"/>
                <w:szCs w:val="16"/>
                <w:lang w:eastAsia="es-ES"/>
              </w:rPr>
            </w:pPr>
            <w:r w:rsidRPr="00E04191">
              <w:rPr>
                <w:rFonts w:ascii="Arial" w:hAnsi="Arial" w:eastAsia="Times New Roman" w:cs="Arial"/>
                <w:color w:val="000000" w:themeColor="text1"/>
                <w:sz w:val="16"/>
                <w:szCs w:val="16"/>
                <w:lang w:eastAsia="es-ES"/>
              </w:rPr>
              <w:t>Subdirector de Gestión Contractual</w:t>
            </w:r>
          </w:p>
        </w:tc>
      </w:tr>
    </w:tbl>
    <w:p w:rsidRPr="00E04191" w:rsidR="007B0854" w:rsidP="00CA287E" w:rsidRDefault="007B0854" w14:paraId="7EBF297E" w14:textId="77777777">
      <w:pPr>
        <w:jc w:val="both"/>
        <w:rPr>
          <w:rFonts w:ascii="Arial" w:hAnsi="Arial" w:eastAsia="Calibri" w:cs="Arial"/>
          <w:color w:val="000000" w:themeColor="text1"/>
          <w:sz w:val="22"/>
        </w:rPr>
      </w:pPr>
      <w:bookmarkStart w:name="_Hlk29890381" w:id="1"/>
      <w:bookmarkEnd w:id="1"/>
    </w:p>
    <w:sectPr w:rsidRPr="00E04191" w:rsidR="007B0854" w:rsidSect="005A79FE">
      <w:headerReference w:type="default" r:id="rId12"/>
      <w:footerReference w:type="default" r:id="rId13"/>
      <w:pgSz w:w="12240" w:h="15840" w:orient="portrait"/>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14A68" w:rsidRDefault="00314A68" w14:paraId="3B116508" w14:textId="77777777">
      <w:r>
        <w:separator/>
      </w:r>
    </w:p>
  </w:endnote>
  <w:endnote w:type="continuationSeparator" w:id="0">
    <w:p w:rsidR="00314A68" w:rsidRDefault="00314A68" w14:paraId="1603540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4A34D2" w:rsidP="007B0854" w:rsidRDefault="004A34D2" w14:paraId="6E90F2C9" w14:textId="77777777">
    <w:pPr>
      <w:pStyle w:val="Sinespaciado"/>
      <w:jc w:val="center"/>
      <w:rPr>
        <w:rFonts w:ascii="Arial" w:hAnsi="Arial" w:cs="Arial"/>
        <w:sz w:val="18"/>
        <w:szCs w:val="18"/>
      </w:rPr>
    </w:pPr>
  </w:p>
  <w:p w:rsidRPr="005A79FE" w:rsidR="007B0854" w:rsidP="005A79FE" w:rsidRDefault="005A79FE" w14:paraId="312C4A14" w14:textId="1CC17C36">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10</w:t>
    </w:r>
    <w:r w:rsidRPr="00084B97">
      <w:rPr>
        <w:rFonts w:ascii="Arial" w:hAnsi="Arial" w:cs="Arial"/>
        <w:b/>
        <w:bCs/>
        <w:color w:val="7F7F7F" w:themeColor="text1" w:themeTint="80"/>
        <w:sz w:val="16"/>
        <w:szCs w:val="16"/>
      </w:rPr>
      <w:fldChar w:fldCharType="end"/>
    </w:r>
  </w:p>
  <w:p w:rsidR="009047C5" w:rsidP="007B0854" w:rsidRDefault="2D99B1DF" w14:paraId="48FC6A04" w14:textId="0E0B8C38">
    <w:pPr>
      <w:pStyle w:val="Piedepgina"/>
      <w:jc w:val="center"/>
      <w:rPr>
        <w:lang w:val="es-ES"/>
      </w:rPr>
    </w:pPr>
    <w:r w:rsidR="220E6C25">
      <w:drawing>
        <wp:inline wp14:editId="165DF6A4" wp14:anchorId="608B196D">
          <wp:extent cx="4241994" cy="595165"/>
          <wp:effectExtent l="0" t="0" r="6350" b="0"/>
          <wp:docPr id="350107288" name="Imagen 12" title=""/>
          <wp:cNvGraphicFramePr>
            <a:graphicFrameLocks noChangeAspect="1"/>
          </wp:cNvGraphicFramePr>
          <a:graphic>
            <a:graphicData uri="http://schemas.openxmlformats.org/drawingml/2006/picture">
              <pic:pic>
                <pic:nvPicPr>
                  <pic:cNvPr id="0" name="Imagen 12"/>
                  <pic:cNvPicPr/>
                </pic:nvPicPr>
                <pic:blipFill>
                  <a:blip r:embed="Rdb3da08bbaa14ef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241994" cy="595165"/>
                  </a:xfrm>
                  <a:prstGeom prst="rect">
                    <a:avLst/>
                  </a:prstGeom>
                </pic:spPr>
              </pic:pic>
            </a:graphicData>
          </a:graphic>
        </wp:inline>
      </w:drawing>
    </w:r>
  </w:p>
  <w:p w:rsidRPr="007B0854" w:rsidR="004A34D2" w:rsidP="007B0854" w:rsidRDefault="004A34D2" w14:paraId="6C0EFC49" w14:textId="7777777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14A68" w:rsidRDefault="00314A68" w14:paraId="423910BB" w14:textId="77777777">
      <w:r>
        <w:separator/>
      </w:r>
    </w:p>
  </w:footnote>
  <w:footnote w:type="continuationSeparator" w:id="0">
    <w:p w:rsidR="00314A68" w:rsidRDefault="00314A68" w14:paraId="1B339FAA" w14:textId="77777777">
      <w:r>
        <w:continuationSeparator/>
      </w:r>
    </w:p>
  </w:footnote>
  <w:footnote w:id="1">
    <w:p w:rsidRPr="00E04191" w:rsidR="00F8649C" w:rsidP="00692DFF" w:rsidRDefault="00F8649C" w14:paraId="157E9CAD" w14:textId="6D8049FF">
      <w:pPr>
        <w:pStyle w:val="Textonotapie"/>
        <w:ind w:firstLine="708"/>
        <w:jc w:val="both"/>
        <w:rPr>
          <w:rFonts w:ascii="Arial" w:hAnsi="Arial" w:cs="Arial"/>
          <w:color w:val="000000" w:themeColor="text1"/>
          <w:sz w:val="19"/>
          <w:szCs w:val="19"/>
        </w:rPr>
      </w:pPr>
      <w:r w:rsidRPr="00E04191">
        <w:rPr>
          <w:rStyle w:val="Refdenotaalpie"/>
          <w:rFonts w:ascii="Arial" w:hAnsi="Arial" w:cs="Arial"/>
          <w:color w:val="000000" w:themeColor="text1"/>
          <w:sz w:val="19"/>
          <w:szCs w:val="19"/>
        </w:rPr>
        <w:footnoteRef/>
      </w:r>
      <w:r w:rsidRPr="00E04191">
        <w:rPr>
          <w:rFonts w:ascii="Arial" w:hAnsi="Arial" w:cs="Arial"/>
          <w:color w:val="000000" w:themeColor="text1"/>
          <w:sz w:val="19"/>
          <w:szCs w:val="19"/>
        </w:rPr>
        <w:t xml:space="preserve"> Corte Constitucional. Sentencia C</w:t>
      </w:r>
      <w:r w:rsidRPr="00E04191" w:rsidR="00B34E7A">
        <w:rPr>
          <w:rFonts w:ascii="Arial" w:hAnsi="Arial" w:cs="Arial"/>
          <w:color w:val="000000" w:themeColor="text1"/>
          <w:sz w:val="19"/>
          <w:szCs w:val="19"/>
        </w:rPr>
        <w:t xml:space="preserve"> ─ </w:t>
      </w:r>
      <w:r w:rsidRPr="00E04191">
        <w:rPr>
          <w:rFonts w:ascii="Arial" w:hAnsi="Arial" w:cs="Arial"/>
          <w:color w:val="000000" w:themeColor="text1"/>
          <w:sz w:val="19"/>
          <w:szCs w:val="19"/>
        </w:rPr>
        <w:t>1016 de 2012.</w:t>
      </w:r>
      <w:r w:rsidRPr="00E04191" w:rsidR="00B34E7A">
        <w:rPr>
          <w:rFonts w:ascii="Arial" w:hAnsi="Arial" w:cs="Arial"/>
          <w:color w:val="000000" w:themeColor="text1"/>
          <w:sz w:val="19"/>
          <w:szCs w:val="19"/>
        </w:rPr>
        <w:t xml:space="preserve"> Magistrado Ponente:</w:t>
      </w:r>
      <w:r w:rsidRPr="00E04191">
        <w:rPr>
          <w:rFonts w:ascii="Arial" w:hAnsi="Arial" w:cs="Arial"/>
          <w:color w:val="000000" w:themeColor="text1"/>
          <w:sz w:val="19"/>
          <w:szCs w:val="19"/>
        </w:rPr>
        <w:t xml:space="preserve"> Jorge Iván Palacio. </w:t>
      </w:r>
    </w:p>
    <w:p w:rsidRPr="00E04191" w:rsidR="00F8649C" w:rsidP="00692DFF" w:rsidRDefault="00F8649C" w14:paraId="354D455B" w14:textId="77777777">
      <w:pPr>
        <w:pStyle w:val="Textonotapie"/>
        <w:ind w:firstLine="708"/>
        <w:jc w:val="both"/>
        <w:rPr>
          <w:rFonts w:ascii="Arial" w:hAnsi="Arial" w:cs="Arial"/>
          <w:color w:val="000000" w:themeColor="text1"/>
          <w:sz w:val="19"/>
          <w:szCs w:val="19"/>
        </w:rPr>
      </w:pPr>
    </w:p>
  </w:footnote>
  <w:footnote w:id="2">
    <w:p w:rsidRPr="00E04191" w:rsidR="00F8649C" w:rsidP="00692DFF" w:rsidRDefault="00F8649C" w14:paraId="706A89D9" w14:textId="494A18EE">
      <w:pPr>
        <w:pStyle w:val="Textonotapie"/>
        <w:ind w:firstLine="708"/>
        <w:jc w:val="both"/>
        <w:rPr>
          <w:rFonts w:ascii="Arial" w:hAnsi="Arial" w:cs="Arial"/>
          <w:color w:val="000000" w:themeColor="text1"/>
          <w:sz w:val="19"/>
          <w:szCs w:val="19"/>
        </w:rPr>
      </w:pPr>
      <w:r w:rsidRPr="00E04191">
        <w:rPr>
          <w:rStyle w:val="Refdenotaalpie"/>
          <w:rFonts w:ascii="Arial" w:hAnsi="Arial" w:cs="Arial"/>
          <w:color w:val="000000" w:themeColor="text1"/>
          <w:sz w:val="19"/>
          <w:szCs w:val="19"/>
        </w:rPr>
        <w:footnoteRef/>
      </w:r>
      <w:r w:rsidRPr="00E04191">
        <w:rPr>
          <w:rFonts w:ascii="Arial" w:hAnsi="Arial" w:cs="Arial"/>
          <w:color w:val="000000" w:themeColor="text1"/>
          <w:sz w:val="19"/>
          <w:szCs w:val="19"/>
        </w:rPr>
        <w:t xml:space="preserve"> Consejo de Estado. Sección Tercera</w:t>
      </w:r>
      <w:r w:rsidRPr="00E04191" w:rsidR="00A34606">
        <w:rPr>
          <w:rFonts w:ascii="Arial" w:hAnsi="Arial" w:cs="Arial"/>
          <w:color w:val="000000" w:themeColor="text1"/>
          <w:sz w:val="19"/>
          <w:szCs w:val="19"/>
        </w:rPr>
        <w:t>.</w:t>
      </w:r>
      <w:r w:rsidRPr="00E04191">
        <w:rPr>
          <w:rFonts w:ascii="Arial" w:hAnsi="Arial" w:cs="Arial"/>
          <w:color w:val="000000" w:themeColor="text1"/>
          <w:sz w:val="19"/>
          <w:szCs w:val="19"/>
        </w:rPr>
        <w:t xml:space="preserve"> Subsección A. Sentencia del 13 de noviembre de 2013. </w:t>
      </w:r>
      <w:proofErr w:type="spellStart"/>
      <w:r w:rsidRPr="00E04191" w:rsidR="00373F7B">
        <w:rPr>
          <w:rFonts w:ascii="Arial" w:hAnsi="Arial" w:cs="Arial"/>
          <w:color w:val="000000" w:themeColor="text1"/>
          <w:sz w:val="19"/>
          <w:szCs w:val="19"/>
        </w:rPr>
        <w:t>Exp</w:t>
      </w:r>
      <w:proofErr w:type="spellEnd"/>
      <w:r w:rsidRPr="00E04191" w:rsidR="00373F7B">
        <w:rPr>
          <w:rFonts w:ascii="Arial" w:hAnsi="Arial" w:cs="Arial"/>
          <w:color w:val="000000" w:themeColor="text1"/>
          <w:sz w:val="19"/>
          <w:szCs w:val="19"/>
        </w:rPr>
        <w:t xml:space="preserve">. </w:t>
      </w:r>
      <w:r w:rsidRPr="00E04191">
        <w:rPr>
          <w:rFonts w:ascii="Arial" w:hAnsi="Arial" w:cs="Arial"/>
          <w:color w:val="000000" w:themeColor="text1"/>
          <w:sz w:val="19"/>
          <w:szCs w:val="19"/>
        </w:rPr>
        <w:t>25.646.</w:t>
      </w:r>
      <w:r w:rsidRPr="00E04191" w:rsidR="004B7587">
        <w:rPr>
          <w:rFonts w:ascii="Arial" w:hAnsi="Arial" w:cs="Arial"/>
          <w:color w:val="000000" w:themeColor="text1"/>
          <w:sz w:val="19"/>
          <w:szCs w:val="19"/>
        </w:rPr>
        <w:t xml:space="preserve"> Consejero Ponente: Mauricio Fajardo Gómez. </w:t>
      </w:r>
      <w:r w:rsidRPr="00E04191">
        <w:rPr>
          <w:rFonts w:ascii="Arial" w:hAnsi="Arial" w:cs="Arial"/>
          <w:color w:val="000000" w:themeColor="text1"/>
          <w:sz w:val="19"/>
          <w:szCs w:val="19"/>
        </w:rPr>
        <w:t xml:space="preserve"> </w:t>
      </w:r>
    </w:p>
    <w:p w:rsidRPr="00E04191" w:rsidR="00F8649C" w:rsidP="00692DFF" w:rsidRDefault="00F8649C" w14:paraId="42374936" w14:textId="77777777">
      <w:pPr>
        <w:pStyle w:val="Textonotapie"/>
        <w:ind w:firstLine="708"/>
        <w:jc w:val="both"/>
        <w:rPr>
          <w:rFonts w:ascii="Arial" w:hAnsi="Arial" w:cs="Arial"/>
          <w:color w:val="000000" w:themeColor="text1"/>
          <w:sz w:val="19"/>
          <w:szCs w:val="19"/>
        </w:rPr>
      </w:pPr>
    </w:p>
  </w:footnote>
  <w:footnote w:id="3">
    <w:p w:rsidRPr="00E04191" w:rsidR="00F8649C" w:rsidP="00692DFF" w:rsidRDefault="00F8649C" w14:paraId="5E006E5D" w14:textId="7FF98693">
      <w:pPr>
        <w:pStyle w:val="Textonotapie"/>
        <w:ind w:firstLine="708"/>
        <w:jc w:val="both"/>
        <w:rPr>
          <w:rFonts w:ascii="Arial" w:hAnsi="Arial" w:cs="Arial"/>
          <w:color w:val="000000" w:themeColor="text1"/>
          <w:sz w:val="19"/>
          <w:szCs w:val="19"/>
        </w:rPr>
      </w:pPr>
      <w:r w:rsidRPr="00E04191">
        <w:rPr>
          <w:rFonts w:ascii="Arial" w:hAnsi="Arial" w:cs="Arial"/>
          <w:color w:val="000000" w:themeColor="text1"/>
          <w:sz w:val="19"/>
          <w:szCs w:val="19"/>
          <w:vertAlign w:val="superscript"/>
        </w:rPr>
        <w:footnoteRef/>
      </w:r>
      <w:r w:rsidRPr="00E04191">
        <w:rPr>
          <w:rFonts w:ascii="Arial" w:hAnsi="Arial" w:cs="Arial"/>
          <w:color w:val="000000" w:themeColor="text1"/>
          <w:sz w:val="19"/>
          <w:szCs w:val="19"/>
        </w:rPr>
        <w:t xml:space="preserve"> Corte Constitucional. Sentencia C</w:t>
      </w:r>
      <w:r w:rsidRPr="00E04191" w:rsidR="00B62EF8">
        <w:rPr>
          <w:rFonts w:ascii="Arial" w:hAnsi="Arial" w:cs="Arial"/>
          <w:color w:val="000000" w:themeColor="text1"/>
          <w:sz w:val="19"/>
          <w:szCs w:val="19"/>
        </w:rPr>
        <w:t xml:space="preserve"> ─ </w:t>
      </w:r>
      <w:r w:rsidRPr="00E04191">
        <w:rPr>
          <w:rFonts w:ascii="Arial" w:hAnsi="Arial" w:cs="Arial"/>
          <w:color w:val="000000" w:themeColor="text1"/>
          <w:sz w:val="19"/>
          <w:szCs w:val="19"/>
        </w:rPr>
        <w:t xml:space="preserve">415 de 1994. </w:t>
      </w:r>
      <w:r w:rsidRPr="00E04191" w:rsidR="004B7587">
        <w:rPr>
          <w:rFonts w:ascii="Arial" w:hAnsi="Arial" w:cs="Arial"/>
          <w:color w:val="000000" w:themeColor="text1"/>
          <w:sz w:val="19"/>
          <w:szCs w:val="19"/>
        </w:rPr>
        <w:t>Magistrado Ponente:</w:t>
      </w:r>
      <w:r w:rsidRPr="00E04191">
        <w:rPr>
          <w:rFonts w:ascii="Arial" w:hAnsi="Arial" w:cs="Arial"/>
          <w:color w:val="000000" w:themeColor="text1"/>
          <w:sz w:val="19"/>
          <w:szCs w:val="19"/>
        </w:rPr>
        <w:t xml:space="preserve"> Eduardo Cifuentes Muñoz. </w:t>
      </w:r>
    </w:p>
    <w:p w:rsidRPr="00E04191" w:rsidR="00F8649C" w:rsidP="00692DFF" w:rsidRDefault="00F8649C" w14:paraId="5196C624" w14:textId="77777777">
      <w:pPr>
        <w:pStyle w:val="Textonotapie"/>
        <w:ind w:firstLine="708"/>
        <w:jc w:val="both"/>
        <w:rPr>
          <w:rFonts w:ascii="Arial" w:hAnsi="Arial" w:cs="Arial"/>
          <w:color w:val="000000" w:themeColor="text1"/>
          <w:sz w:val="19"/>
          <w:szCs w:val="19"/>
        </w:rPr>
      </w:pPr>
    </w:p>
  </w:footnote>
  <w:footnote w:id="4">
    <w:p w:rsidRPr="00E04191" w:rsidR="00F8649C" w:rsidP="00692DFF" w:rsidRDefault="00F8649C" w14:paraId="203C438C" w14:textId="77777777">
      <w:pPr>
        <w:pStyle w:val="Textonotapie"/>
        <w:ind w:firstLine="708"/>
        <w:jc w:val="both"/>
        <w:rPr>
          <w:rFonts w:ascii="Arial" w:hAnsi="Arial" w:cs="Arial"/>
          <w:color w:val="000000" w:themeColor="text1"/>
          <w:sz w:val="19"/>
          <w:szCs w:val="19"/>
        </w:rPr>
      </w:pPr>
      <w:r w:rsidRPr="00E04191">
        <w:rPr>
          <w:rStyle w:val="Refdenotaalpie"/>
          <w:rFonts w:ascii="Arial" w:hAnsi="Arial" w:cs="Arial"/>
          <w:color w:val="000000" w:themeColor="text1"/>
          <w:sz w:val="19"/>
          <w:szCs w:val="19"/>
        </w:rPr>
        <w:footnoteRef/>
      </w:r>
      <w:r w:rsidRPr="00E04191">
        <w:rPr>
          <w:rFonts w:ascii="Arial" w:hAnsi="Arial" w:cs="Arial"/>
          <w:color w:val="000000" w:themeColor="text1"/>
          <w:sz w:val="19"/>
          <w:szCs w:val="19"/>
        </w:rPr>
        <w:t xml:space="preserve"> </w:t>
      </w:r>
      <w:proofErr w:type="spellStart"/>
      <w:r w:rsidRPr="00E04191">
        <w:rPr>
          <w:rFonts w:ascii="Arial" w:hAnsi="Arial" w:cs="Arial"/>
          <w:color w:val="000000" w:themeColor="text1"/>
          <w:sz w:val="19"/>
          <w:szCs w:val="19"/>
        </w:rPr>
        <w:t>Ibídem</w:t>
      </w:r>
      <w:proofErr w:type="spellEnd"/>
      <w:r w:rsidRPr="00E04191">
        <w:rPr>
          <w:rFonts w:ascii="Arial" w:hAnsi="Arial" w:cs="Arial"/>
          <w:color w:val="000000" w:themeColor="text1"/>
          <w:sz w:val="19"/>
          <w:szCs w:val="19"/>
        </w:rPr>
        <w:t xml:space="preserve">. </w:t>
      </w:r>
    </w:p>
    <w:p w:rsidRPr="00E04191" w:rsidR="00F8649C" w:rsidP="00692DFF" w:rsidRDefault="00F8649C" w14:paraId="42F81DFD" w14:textId="77777777">
      <w:pPr>
        <w:pStyle w:val="Textonotapie"/>
        <w:ind w:firstLine="708"/>
        <w:jc w:val="both"/>
        <w:rPr>
          <w:rFonts w:ascii="Arial" w:hAnsi="Arial" w:cs="Arial"/>
          <w:color w:val="000000" w:themeColor="text1"/>
          <w:sz w:val="19"/>
          <w:szCs w:val="19"/>
        </w:rPr>
      </w:pPr>
    </w:p>
  </w:footnote>
  <w:footnote w:id="5">
    <w:p w:rsidRPr="00E04191" w:rsidR="00F8649C" w:rsidP="00692DFF" w:rsidRDefault="00F8649C" w14:paraId="43A33B5E" w14:textId="2C79EA90">
      <w:pPr>
        <w:pStyle w:val="Textonotapie"/>
        <w:ind w:firstLine="708"/>
        <w:jc w:val="both"/>
        <w:rPr>
          <w:rFonts w:ascii="Arial" w:hAnsi="Arial" w:cs="Arial"/>
          <w:color w:val="000000" w:themeColor="text1"/>
          <w:sz w:val="19"/>
          <w:szCs w:val="19"/>
        </w:rPr>
      </w:pPr>
      <w:r w:rsidRPr="00E04191">
        <w:rPr>
          <w:rStyle w:val="Refdenotaalpie"/>
          <w:rFonts w:ascii="Arial" w:hAnsi="Arial" w:cs="Arial"/>
          <w:color w:val="000000" w:themeColor="text1"/>
          <w:sz w:val="19"/>
          <w:szCs w:val="19"/>
        </w:rPr>
        <w:footnoteRef/>
      </w:r>
      <w:r w:rsidRPr="00E04191">
        <w:rPr>
          <w:rFonts w:ascii="Arial" w:hAnsi="Arial" w:cs="Arial"/>
          <w:color w:val="000000" w:themeColor="text1"/>
          <w:sz w:val="19"/>
          <w:szCs w:val="19"/>
        </w:rPr>
        <w:t xml:space="preserve"> Corte Constitucional. Sentencia C</w:t>
      </w:r>
      <w:r w:rsidRPr="00E04191" w:rsidR="00B62EF8">
        <w:rPr>
          <w:rFonts w:ascii="Arial" w:hAnsi="Arial" w:cs="Arial"/>
          <w:color w:val="000000" w:themeColor="text1"/>
          <w:sz w:val="19"/>
          <w:szCs w:val="19"/>
        </w:rPr>
        <w:t xml:space="preserve"> ─ </w:t>
      </w:r>
      <w:r w:rsidRPr="00E04191">
        <w:rPr>
          <w:rFonts w:ascii="Arial" w:hAnsi="Arial" w:cs="Arial"/>
          <w:color w:val="000000" w:themeColor="text1"/>
          <w:sz w:val="19"/>
          <w:szCs w:val="19"/>
        </w:rPr>
        <w:t>780 de 2001.</w:t>
      </w:r>
      <w:r w:rsidRPr="00E04191" w:rsidR="00B62EF8">
        <w:rPr>
          <w:rFonts w:ascii="Arial" w:hAnsi="Arial" w:cs="Arial"/>
          <w:color w:val="000000" w:themeColor="text1"/>
          <w:sz w:val="19"/>
          <w:szCs w:val="19"/>
        </w:rPr>
        <w:t xml:space="preserve"> Magistrado Ponente:</w:t>
      </w:r>
      <w:r w:rsidRPr="00E04191">
        <w:rPr>
          <w:rFonts w:ascii="Arial" w:hAnsi="Arial" w:cs="Arial"/>
          <w:color w:val="000000" w:themeColor="text1"/>
          <w:sz w:val="19"/>
          <w:szCs w:val="19"/>
        </w:rPr>
        <w:t xml:space="preserve"> Jaime Córdoba Triviño. </w:t>
      </w:r>
    </w:p>
    <w:p w:rsidRPr="00E04191" w:rsidR="00F8649C" w:rsidP="00692DFF" w:rsidRDefault="00F8649C" w14:paraId="6829516C" w14:textId="77777777">
      <w:pPr>
        <w:pStyle w:val="Textonotapie"/>
        <w:ind w:firstLine="708"/>
        <w:jc w:val="both"/>
        <w:rPr>
          <w:rFonts w:ascii="Arial" w:hAnsi="Arial" w:cs="Arial"/>
          <w:color w:val="000000" w:themeColor="text1"/>
          <w:sz w:val="19"/>
          <w:szCs w:val="19"/>
        </w:rPr>
      </w:pPr>
    </w:p>
  </w:footnote>
  <w:footnote w:id="6">
    <w:p w:rsidRPr="00E04191" w:rsidR="00F8649C" w:rsidP="00692DFF" w:rsidRDefault="00F8649C" w14:paraId="142598FE" w14:textId="12F98128">
      <w:pPr>
        <w:pStyle w:val="NormalWeb"/>
        <w:spacing w:before="0" w:beforeAutospacing="0" w:after="0" w:afterAutospacing="0"/>
        <w:ind w:firstLine="708"/>
        <w:jc w:val="both"/>
        <w:rPr>
          <w:rFonts w:ascii="Arial" w:hAnsi="Arial" w:cs="Arial" w:eastAsiaTheme="minorHAnsi"/>
          <w:color w:val="000000" w:themeColor="text1"/>
          <w:sz w:val="19"/>
          <w:szCs w:val="19"/>
          <w:lang w:val="es-ES" w:eastAsia="en-US"/>
        </w:rPr>
      </w:pPr>
      <w:r w:rsidRPr="00E04191">
        <w:rPr>
          <w:rStyle w:val="Refdenotaalpie"/>
          <w:rFonts w:ascii="Arial" w:hAnsi="Arial" w:cs="Arial"/>
          <w:color w:val="000000" w:themeColor="text1"/>
          <w:sz w:val="19"/>
          <w:szCs w:val="19"/>
        </w:rPr>
        <w:footnoteRef/>
      </w:r>
      <w:r w:rsidRPr="00E04191">
        <w:rPr>
          <w:rFonts w:ascii="Arial" w:hAnsi="Arial" w:cs="Arial"/>
          <w:color w:val="000000" w:themeColor="text1"/>
          <w:sz w:val="19"/>
          <w:szCs w:val="19"/>
        </w:rPr>
        <w:t xml:space="preserve"> </w:t>
      </w:r>
      <w:r w:rsidRPr="00E04191">
        <w:rPr>
          <w:rFonts w:ascii="Arial" w:hAnsi="Arial" w:cs="Arial" w:eastAsiaTheme="minorHAnsi"/>
          <w:color w:val="000000" w:themeColor="text1"/>
          <w:sz w:val="19"/>
          <w:szCs w:val="19"/>
          <w:lang w:val="es-ES" w:eastAsia="en-US"/>
        </w:rPr>
        <w:t>Ley 80 de 1993</w:t>
      </w:r>
      <w:r w:rsidRPr="00E04191" w:rsidR="00B62EF8">
        <w:rPr>
          <w:rFonts w:ascii="Arial" w:hAnsi="Arial" w:cs="Arial" w:eastAsiaTheme="minorHAnsi"/>
          <w:color w:val="000000" w:themeColor="text1"/>
          <w:sz w:val="19"/>
          <w:szCs w:val="19"/>
          <w:lang w:val="es-ES" w:eastAsia="en-US"/>
        </w:rPr>
        <w:t>:</w:t>
      </w:r>
      <w:r w:rsidRPr="00E04191">
        <w:rPr>
          <w:rFonts w:ascii="Arial" w:hAnsi="Arial" w:cs="Arial" w:eastAsiaTheme="minorHAnsi"/>
          <w:color w:val="000000" w:themeColor="text1"/>
          <w:sz w:val="19"/>
          <w:szCs w:val="19"/>
          <w:lang w:val="es-ES" w:eastAsia="en-US"/>
        </w:rPr>
        <w:t xml:space="preserve"> «Artículo 8: 1o. Son inhábiles para participar en licitaciones o concursos y para celebrar contratos con las entidades estatales: </w:t>
      </w:r>
    </w:p>
    <w:p w:rsidRPr="00E04191" w:rsidR="00F8649C" w:rsidP="00692DFF" w:rsidRDefault="00F8649C" w14:paraId="016B0C50" w14:textId="77777777">
      <w:pPr>
        <w:pStyle w:val="NormalWeb"/>
        <w:spacing w:before="0" w:beforeAutospacing="0" w:after="0" w:afterAutospacing="0"/>
        <w:jc w:val="both"/>
        <w:rPr>
          <w:rFonts w:ascii="Arial" w:hAnsi="Arial" w:cs="Arial" w:eastAsiaTheme="minorHAnsi"/>
          <w:color w:val="000000" w:themeColor="text1"/>
          <w:sz w:val="19"/>
          <w:szCs w:val="19"/>
          <w:lang w:val="es-ES" w:eastAsia="en-US"/>
        </w:rPr>
      </w:pPr>
      <w:r w:rsidRPr="00E04191">
        <w:rPr>
          <w:rFonts w:ascii="Arial" w:hAnsi="Arial" w:cs="Arial" w:eastAsiaTheme="minorHAnsi"/>
          <w:color w:val="000000" w:themeColor="text1"/>
          <w:sz w:val="19"/>
          <w:szCs w:val="19"/>
          <w:lang w:val="es-ES" w:eastAsia="en-US"/>
        </w:rPr>
        <w:t>  </w:t>
      </w:r>
      <w:r w:rsidRPr="00E04191">
        <w:rPr>
          <w:rFonts w:ascii="Arial" w:hAnsi="Arial" w:cs="Arial" w:eastAsiaTheme="minorHAnsi"/>
          <w:color w:val="000000" w:themeColor="text1"/>
          <w:sz w:val="19"/>
          <w:szCs w:val="19"/>
          <w:lang w:val="es-ES" w:eastAsia="en-US"/>
        </w:rPr>
        <w:tab/>
      </w:r>
      <w:proofErr w:type="gramStart"/>
      <w:r w:rsidRPr="00E04191">
        <w:rPr>
          <w:rFonts w:ascii="Arial" w:hAnsi="Arial" w:cs="Arial" w:eastAsiaTheme="minorHAnsi"/>
          <w:color w:val="000000" w:themeColor="text1"/>
          <w:sz w:val="19"/>
          <w:szCs w:val="19"/>
          <w:lang w:val="es-ES" w:eastAsia="en-US"/>
        </w:rPr>
        <w:t>»a</w:t>
      </w:r>
      <w:proofErr w:type="gramEnd"/>
      <w:r w:rsidRPr="00E04191">
        <w:rPr>
          <w:rFonts w:ascii="Arial" w:hAnsi="Arial" w:cs="Arial" w:eastAsiaTheme="minorHAnsi"/>
          <w:color w:val="000000" w:themeColor="text1"/>
          <w:sz w:val="19"/>
          <w:szCs w:val="19"/>
          <w:lang w:val="es-ES" w:eastAsia="en-US"/>
        </w:rPr>
        <w:t>) Las personas que se hallen inhabilitadas para contratar por la Constitución y las leyes. </w:t>
      </w:r>
    </w:p>
    <w:p w:rsidRPr="00E04191" w:rsidR="00F8649C" w:rsidP="00692DFF" w:rsidRDefault="00F8649C" w14:paraId="02C409D8" w14:textId="77777777">
      <w:pPr>
        <w:pStyle w:val="NormalWeb"/>
        <w:spacing w:before="0" w:beforeAutospacing="0" w:after="0" w:afterAutospacing="0"/>
        <w:jc w:val="both"/>
        <w:rPr>
          <w:rFonts w:ascii="Arial" w:hAnsi="Arial" w:cs="Arial" w:eastAsiaTheme="minorHAnsi"/>
          <w:color w:val="000000" w:themeColor="text1"/>
          <w:sz w:val="19"/>
          <w:szCs w:val="19"/>
          <w:lang w:val="es-ES" w:eastAsia="en-US"/>
        </w:rPr>
      </w:pPr>
      <w:r w:rsidRPr="00E04191">
        <w:rPr>
          <w:rFonts w:ascii="Arial" w:hAnsi="Arial" w:cs="Arial" w:eastAsiaTheme="minorHAnsi"/>
          <w:color w:val="000000" w:themeColor="text1"/>
          <w:sz w:val="19"/>
          <w:szCs w:val="19"/>
          <w:lang w:val="es-ES" w:eastAsia="en-US"/>
        </w:rPr>
        <w:t>  </w:t>
      </w:r>
      <w:r w:rsidRPr="00E04191">
        <w:rPr>
          <w:rFonts w:ascii="Arial" w:hAnsi="Arial" w:cs="Arial" w:eastAsiaTheme="minorHAnsi"/>
          <w:color w:val="000000" w:themeColor="text1"/>
          <w:sz w:val="19"/>
          <w:szCs w:val="19"/>
          <w:lang w:val="es-ES" w:eastAsia="en-US"/>
        </w:rPr>
        <w:tab/>
      </w:r>
      <w:proofErr w:type="gramStart"/>
      <w:r w:rsidRPr="00E04191">
        <w:rPr>
          <w:rFonts w:ascii="Arial" w:hAnsi="Arial" w:cs="Arial" w:eastAsiaTheme="minorHAnsi"/>
          <w:color w:val="000000" w:themeColor="text1"/>
          <w:sz w:val="19"/>
          <w:szCs w:val="19"/>
          <w:lang w:val="es-ES" w:eastAsia="en-US"/>
        </w:rPr>
        <w:t>»b</w:t>
      </w:r>
      <w:proofErr w:type="gramEnd"/>
      <w:r w:rsidRPr="00E04191">
        <w:rPr>
          <w:rFonts w:ascii="Arial" w:hAnsi="Arial" w:cs="Arial" w:eastAsiaTheme="minorHAnsi"/>
          <w:color w:val="000000" w:themeColor="text1"/>
          <w:sz w:val="19"/>
          <w:szCs w:val="19"/>
          <w:lang w:val="es-ES" w:eastAsia="en-US"/>
        </w:rPr>
        <w:t>) Quienes participaron en las licitaciones o concursos o celebraron los contratos de que trata el literal anterior estando inhabilitados. </w:t>
      </w:r>
    </w:p>
    <w:p w:rsidRPr="00E04191" w:rsidR="00F8649C" w:rsidP="00692DFF" w:rsidRDefault="00F8649C" w14:paraId="35BA6076" w14:textId="77777777">
      <w:pPr>
        <w:pStyle w:val="NormalWeb"/>
        <w:spacing w:before="0" w:beforeAutospacing="0" w:after="0" w:afterAutospacing="0"/>
        <w:jc w:val="both"/>
        <w:rPr>
          <w:rFonts w:ascii="Arial" w:hAnsi="Arial" w:cs="Arial" w:eastAsiaTheme="minorHAnsi"/>
          <w:color w:val="000000" w:themeColor="text1"/>
          <w:sz w:val="19"/>
          <w:szCs w:val="19"/>
          <w:lang w:val="es-ES" w:eastAsia="en-US"/>
        </w:rPr>
      </w:pPr>
      <w:r w:rsidRPr="00E04191">
        <w:rPr>
          <w:rFonts w:ascii="Arial" w:hAnsi="Arial" w:cs="Arial" w:eastAsiaTheme="minorHAnsi"/>
          <w:color w:val="000000" w:themeColor="text1"/>
          <w:sz w:val="19"/>
          <w:szCs w:val="19"/>
          <w:lang w:val="es-ES" w:eastAsia="en-US"/>
        </w:rPr>
        <w:t>  </w:t>
      </w:r>
      <w:r w:rsidRPr="00E04191">
        <w:rPr>
          <w:rFonts w:ascii="Arial" w:hAnsi="Arial" w:cs="Arial" w:eastAsiaTheme="minorHAnsi"/>
          <w:color w:val="000000" w:themeColor="text1"/>
          <w:sz w:val="19"/>
          <w:szCs w:val="19"/>
          <w:lang w:val="es-ES" w:eastAsia="en-US"/>
        </w:rPr>
        <w:tab/>
      </w:r>
      <w:r w:rsidRPr="00E04191">
        <w:rPr>
          <w:rFonts w:ascii="Arial" w:hAnsi="Arial" w:cs="Arial" w:eastAsiaTheme="minorHAnsi"/>
          <w:color w:val="000000" w:themeColor="text1"/>
          <w:sz w:val="19"/>
          <w:szCs w:val="19"/>
          <w:lang w:val="es-ES" w:eastAsia="en-US"/>
        </w:rPr>
        <w:t>»c) Quienes dieron lugar a la declaratoria de caducidad. </w:t>
      </w:r>
    </w:p>
    <w:p w:rsidRPr="00E04191" w:rsidR="00F8649C" w:rsidP="00692DFF" w:rsidRDefault="00F8649C" w14:paraId="4A136EA9" w14:textId="77777777">
      <w:pPr>
        <w:pStyle w:val="NormalWeb"/>
        <w:spacing w:before="0" w:beforeAutospacing="0" w:after="0" w:afterAutospacing="0"/>
        <w:jc w:val="both"/>
        <w:rPr>
          <w:rFonts w:ascii="Arial" w:hAnsi="Arial" w:cs="Arial" w:eastAsiaTheme="minorHAnsi"/>
          <w:color w:val="000000" w:themeColor="text1"/>
          <w:sz w:val="19"/>
          <w:szCs w:val="19"/>
          <w:lang w:val="es-ES" w:eastAsia="en-US"/>
        </w:rPr>
      </w:pPr>
      <w:r w:rsidRPr="00E04191">
        <w:rPr>
          <w:rFonts w:ascii="Arial" w:hAnsi="Arial" w:cs="Arial" w:eastAsiaTheme="minorHAnsi"/>
          <w:color w:val="000000" w:themeColor="text1"/>
          <w:sz w:val="19"/>
          <w:szCs w:val="19"/>
          <w:lang w:val="es-ES" w:eastAsia="en-US"/>
        </w:rPr>
        <w:t>  </w:t>
      </w:r>
      <w:r w:rsidRPr="00E04191">
        <w:rPr>
          <w:rFonts w:ascii="Arial" w:hAnsi="Arial" w:cs="Arial" w:eastAsiaTheme="minorHAnsi"/>
          <w:color w:val="000000" w:themeColor="text1"/>
          <w:sz w:val="19"/>
          <w:szCs w:val="19"/>
          <w:lang w:val="es-ES" w:eastAsia="en-US"/>
        </w:rPr>
        <w:tab/>
      </w:r>
      <w:proofErr w:type="gramStart"/>
      <w:r w:rsidRPr="00E04191">
        <w:rPr>
          <w:rFonts w:ascii="Arial" w:hAnsi="Arial" w:cs="Arial" w:eastAsiaTheme="minorHAnsi"/>
          <w:color w:val="000000" w:themeColor="text1"/>
          <w:sz w:val="19"/>
          <w:szCs w:val="19"/>
          <w:lang w:val="es-ES" w:eastAsia="en-US"/>
        </w:rPr>
        <w:t>»d</w:t>
      </w:r>
      <w:proofErr w:type="gramEnd"/>
      <w:r w:rsidRPr="00E04191">
        <w:rPr>
          <w:rFonts w:ascii="Arial" w:hAnsi="Arial" w:cs="Arial" w:eastAsiaTheme="minorHAnsi"/>
          <w:color w:val="000000" w:themeColor="text1"/>
          <w:sz w:val="19"/>
          <w:szCs w:val="19"/>
          <w:lang w:val="es-ES" w:eastAsia="en-US"/>
        </w:rPr>
        <w:t>) Quienes en sentencia judicial hayan sido condenados a la pena accesoria de interdicción de derechos y funciones públicas y quienes hayan sido sancionados disciplinariamente con destitución. </w:t>
      </w:r>
    </w:p>
    <w:p w:rsidRPr="00E04191" w:rsidR="00F8649C" w:rsidP="00692DFF" w:rsidRDefault="00F8649C" w14:paraId="6689282D" w14:textId="77777777">
      <w:pPr>
        <w:pStyle w:val="NormalWeb"/>
        <w:spacing w:before="0" w:beforeAutospacing="0" w:after="0" w:afterAutospacing="0"/>
        <w:jc w:val="both"/>
        <w:rPr>
          <w:rFonts w:ascii="Arial" w:hAnsi="Arial" w:cs="Arial" w:eastAsiaTheme="minorHAnsi"/>
          <w:color w:val="000000" w:themeColor="text1"/>
          <w:sz w:val="19"/>
          <w:szCs w:val="19"/>
          <w:lang w:val="es-ES" w:eastAsia="en-US"/>
        </w:rPr>
      </w:pPr>
      <w:r w:rsidRPr="00E04191">
        <w:rPr>
          <w:rFonts w:ascii="Arial" w:hAnsi="Arial" w:cs="Arial" w:eastAsiaTheme="minorHAnsi"/>
          <w:color w:val="000000" w:themeColor="text1"/>
          <w:sz w:val="19"/>
          <w:szCs w:val="19"/>
          <w:lang w:val="es-ES" w:eastAsia="en-US"/>
        </w:rPr>
        <w:t>  </w:t>
      </w:r>
      <w:r w:rsidRPr="00E04191">
        <w:rPr>
          <w:rFonts w:ascii="Arial" w:hAnsi="Arial" w:cs="Arial" w:eastAsiaTheme="minorHAnsi"/>
          <w:color w:val="000000" w:themeColor="text1"/>
          <w:sz w:val="19"/>
          <w:szCs w:val="19"/>
          <w:lang w:val="es-ES" w:eastAsia="en-US"/>
        </w:rPr>
        <w:tab/>
      </w:r>
      <w:proofErr w:type="gramStart"/>
      <w:r w:rsidRPr="00E04191">
        <w:rPr>
          <w:rFonts w:ascii="Arial" w:hAnsi="Arial" w:cs="Arial" w:eastAsiaTheme="minorHAnsi"/>
          <w:color w:val="000000" w:themeColor="text1"/>
          <w:sz w:val="19"/>
          <w:szCs w:val="19"/>
          <w:lang w:val="es-ES" w:eastAsia="en-US"/>
        </w:rPr>
        <w:t>»e</w:t>
      </w:r>
      <w:proofErr w:type="gramEnd"/>
      <w:r w:rsidRPr="00E04191">
        <w:rPr>
          <w:rFonts w:ascii="Arial" w:hAnsi="Arial" w:cs="Arial" w:eastAsiaTheme="minorHAnsi"/>
          <w:color w:val="000000" w:themeColor="text1"/>
          <w:sz w:val="19"/>
          <w:szCs w:val="19"/>
          <w:lang w:val="es-ES" w:eastAsia="en-US"/>
        </w:rPr>
        <w:t>) Quienes sin justa causa se abstengan de suscribir el contrato estatal adjudicado. </w:t>
      </w:r>
    </w:p>
    <w:p w:rsidRPr="00E04191" w:rsidR="00F8649C" w:rsidP="00692DFF" w:rsidRDefault="00F8649C" w14:paraId="36D73DEF" w14:textId="77777777">
      <w:pPr>
        <w:pStyle w:val="NormalWeb"/>
        <w:spacing w:before="0" w:beforeAutospacing="0" w:after="0" w:afterAutospacing="0"/>
        <w:jc w:val="both"/>
        <w:rPr>
          <w:rFonts w:ascii="Arial" w:hAnsi="Arial" w:cs="Arial" w:eastAsiaTheme="minorHAnsi"/>
          <w:color w:val="000000" w:themeColor="text1"/>
          <w:sz w:val="19"/>
          <w:szCs w:val="19"/>
          <w:lang w:val="es-ES" w:eastAsia="en-US"/>
        </w:rPr>
      </w:pPr>
      <w:r w:rsidRPr="00E04191">
        <w:rPr>
          <w:rFonts w:ascii="Arial" w:hAnsi="Arial" w:cs="Arial" w:eastAsiaTheme="minorHAnsi"/>
          <w:color w:val="000000" w:themeColor="text1"/>
          <w:sz w:val="19"/>
          <w:szCs w:val="19"/>
          <w:lang w:val="es-ES" w:eastAsia="en-US"/>
        </w:rPr>
        <w:t>  </w:t>
      </w:r>
      <w:r w:rsidRPr="00E04191">
        <w:rPr>
          <w:rFonts w:ascii="Arial" w:hAnsi="Arial" w:cs="Arial" w:eastAsiaTheme="minorHAnsi"/>
          <w:color w:val="000000" w:themeColor="text1"/>
          <w:sz w:val="19"/>
          <w:szCs w:val="19"/>
          <w:lang w:val="es-ES" w:eastAsia="en-US"/>
        </w:rPr>
        <w:tab/>
      </w:r>
      <w:proofErr w:type="gramStart"/>
      <w:r w:rsidRPr="00E04191">
        <w:rPr>
          <w:rFonts w:ascii="Arial" w:hAnsi="Arial" w:cs="Arial" w:eastAsiaTheme="minorHAnsi"/>
          <w:color w:val="000000" w:themeColor="text1"/>
          <w:sz w:val="19"/>
          <w:szCs w:val="19"/>
          <w:lang w:val="es-ES" w:eastAsia="en-US"/>
        </w:rPr>
        <w:t>»f</w:t>
      </w:r>
      <w:proofErr w:type="gramEnd"/>
      <w:r w:rsidRPr="00E04191">
        <w:rPr>
          <w:rFonts w:ascii="Arial" w:hAnsi="Arial" w:cs="Arial" w:eastAsiaTheme="minorHAnsi"/>
          <w:color w:val="000000" w:themeColor="text1"/>
          <w:sz w:val="19"/>
          <w:szCs w:val="19"/>
          <w:lang w:val="es-ES" w:eastAsia="en-US"/>
        </w:rPr>
        <w:t>) Los servidores públicos. </w:t>
      </w:r>
    </w:p>
    <w:p w:rsidRPr="00E04191" w:rsidR="00F8649C" w:rsidP="00692DFF" w:rsidRDefault="00F8649C" w14:paraId="7A6FCFC4" w14:textId="77777777">
      <w:pPr>
        <w:pStyle w:val="NormalWeb"/>
        <w:spacing w:before="0" w:beforeAutospacing="0" w:after="0" w:afterAutospacing="0"/>
        <w:jc w:val="both"/>
        <w:rPr>
          <w:rFonts w:ascii="Arial" w:hAnsi="Arial" w:cs="Arial" w:eastAsiaTheme="minorHAnsi"/>
          <w:color w:val="000000" w:themeColor="text1"/>
          <w:sz w:val="19"/>
          <w:szCs w:val="19"/>
          <w:lang w:val="es-ES" w:eastAsia="en-US"/>
        </w:rPr>
      </w:pPr>
      <w:r w:rsidRPr="00E04191">
        <w:rPr>
          <w:rFonts w:ascii="Arial" w:hAnsi="Arial" w:cs="Arial" w:eastAsiaTheme="minorHAnsi"/>
          <w:color w:val="000000" w:themeColor="text1"/>
          <w:sz w:val="19"/>
          <w:szCs w:val="19"/>
          <w:lang w:val="es-ES" w:eastAsia="en-US"/>
        </w:rPr>
        <w:t>  </w:t>
      </w:r>
      <w:r w:rsidRPr="00E04191">
        <w:rPr>
          <w:rFonts w:ascii="Arial" w:hAnsi="Arial" w:cs="Arial" w:eastAsiaTheme="minorHAnsi"/>
          <w:color w:val="000000" w:themeColor="text1"/>
          <w:sz w:val="19"/>
          <w:szCs w:val="19"/>
          <w:lang w:val="es-ES" w:eastAsia="en-US"/>
        </w:rPr>
        <w:tab/>
      </w:r>
      <w:proofErr w:type="gramStart"/>
      <w:r w:rsidRPr="00E04191">
        <w:rPr>
          <w:rFonts w:ascii="Arial" w:hAnsi="Arial" w:cs="Arial" w:eastAsiaTheme="minorHAnsi"/>
          <w:color w:val="000000" w:themeColor="text1"/>
          <w:sz w:val="19"/>
          <w:szCs w:val="19"/>
          <w:lang w:val="es-ES" w:eastAsia="en-US"/>
        </w:rPr>
        <w:t>»g</w:t>
      </w:r>
      <w:proofErr w:type="gramEnd"/>
      <w:r w:rsidRPr="00E04191">
        <w:rPr>
          <w:rFonts w:ascii="Arial" w:hAnsi="Arial" w:cs="Arial" w:eastAsiaTheme="minorHAnsi"/>
          <w:color w:val="000000" w:themeColor="text1"/>
          <w:sz w:val="19"/>
          <w:szCs w:val="19"/>
          <w:lang w:val="es-ES" w:eastAsia="en-US"/>
        </w:rPr>
        <w:t>) Quienes sean cónyuges o compañeros permanentes y quienes se encuentren dentro del segundo grado de consanguinidad o segundo de afinidad con cualquier otra persona que formalmente haya presentado propuesta para una misma licitación o concurso. </w:t>
      </w:r>
    </w:p>
    <w:p w:rsidRPr="00E04191" w:rsidR="00F8649C" w:rsidP="00692DFF" w:rsidRDefault="00F8649C" w14:paraId="2E827928" w14:textId="77777777">
      <w:pPr>
        <w:pStyle w:val="NormalWeb"/>
        <w:spacing w:before="0" w:beforeAutospacing="0" w:after="0" w:afterAutospacing="0"/>
        <w:ind w:firstLine="708"/>
        <w:jc w:val="both"/>
        <w:rPr>
          <w:rFonts w:ascii="Arial" w:hAnsi="Arial" w:cs="Arial" w:eastAsiaTheme="minorHAnsi"/>
          <w:color w:val="000000" w:themeColor="text1"/>
          <w:sz w:val="19"/>
          <w:szCs w:val="19"/>
          <w:lang w:val="es-ES" w:eastAsia="en-US"/>
        </w:rPr>
      </w:pPr>
      <w:r w:rsidRPr="00E04191">
        <w:rPr>
          <w:rFonts w:ascii="Arial" w:hAnsi="Arial" w:cs="Arial" w:eastAsiaTheme="minorHAnsi"/>
          <w:color w:val="000000" w:themeColor="text1"/>
          <w:sz w:val="19"/>
          <w:szCs w:val="19"/>
          <w:lang w:val="es-ES" w:eastAsia="en-US"/>
        </w:rPr>
        <w:t>»h)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o concurso. </w:t>
      </w:r>
    </w:p>
    <w:p w:rsidRPr="00E04191" w:rsidR="00F8649C" w:rsidP="00692DFF" w:rsidRDefault="00F8649C" w14:paraId="5E6EBD2F" w14:textId="77777777">
      <w:pPr>
        <w:pStyle w:val="NormalWeb"/>
        <w:spacing w:before="0" w:beforeAutospacing="0" w:after="0" w:afterAutospacing="0"/>
        <w:jc w:val="both"/>
        <w:rPr>
          <w:rFonts w:ascii="Arial" w:hAnsi="Arial" w:cs="Arial" w:eastAsiaTheme="minorHAnsi"/>
          <w:color w:val="000000" w:themeColor="text1"/>
          <w:sz w:val="19"/>
          <w:szCs w:val="19"/>
          <w:lang w:val="es-ES" w:eastAsia="en-US"/>
        </w:rPr>
      </w:pPr>
      <w:r w:rsidRPr="00E04191">
        <w:rPr>
          <w:rFonts w:ascii="Arial" w:hAnsi="Arial" w:cs="Arial" w:eastAsiaTheme="minorHAnsi"/>
          <w:color w:val="000000" w:themeColor="text1"/>
          <w:sz w:val="19"/>
          <w:szCs w:val="19"/>
          <w:lang w:val="es-ES" w:eastAsia="en-US"/>
        </w:rPr>
        <w:t>  </w:t>
      </w:r>
      <w:r w:rsidRPr="00E04191">
        <w:rPr>
          <w:rFonts w:ascii="Arial" w:hAnsi="Arial" w:cs="Arial" w:eastAsiaTheme="minorHAnsi"/>
          <w:color w:val="000000" w:themeColor="text1"/>
          <w:sz w:val="19"/>
          <w:szCs w:val="19"/>
          <w:lang w:val="es-ES" w:eastAsia="en-US"/>
        </w:rPr>
        <w:tab/>
      </w:r>
      <w:proofErr w:type="gramStart"/>
      <w:r w:rsidRPr="00E04191">
        <w:rPr>
          <w:rFonts w:ascii="Arial" w:hAnsi="Arial" w:cs="Arial" w:eastAsiaTheme="minorHAnsi"/>
          <w:color w:val="000000" w:themeColor="text1"/>
          <w:sz w:val="19"/>
          <w:szCs w:val="19"/>
          <w:lang w:val="es-ES" w:eastAsia="en-US"/>
        </w:rPr>
        <w:t>»i</w:t>
      </w:r>
      <w:proofErr w:type="gramEnd"/>
      <w:r w:rsidRPr="00E04191">
        <w:rPr>
          <w:rFonts w:ascii="Arial" w:hAnsi="Arial" w:cs="Arial" w:eastAsiaTheme="minorHAnsi"/>
          <w:color w:val="000000" w:themeColor="text1"/>
          <w:sz w:val="19"/>
          <w:szCs w:val="19"/>
          <w:lang w:val="es-ES" w:eastAsia="en-US"/>
        </w:rPr>
        <w:t>) Los socios de sociedades de personas a las cuales se haya declarado la caducidad, así como las sociedades de personas de las que aquellos formen parte con posterioridad a dicha declaratoria. </w:t>
      </w:r>
    </w:p>
    <w:p w:rsidRPr="00E04191" w:rsidR="00F8649C" w:rsidP="00692DFF" w:rsidRDefault="00F8649C" w14:paraId="595CA31E" w14:textId="77777777">
      <w:pPr>
        <w:pStyle w:val="NormalWeb"/>
        <w:spacing w:before="0" w:beforeAutospacing="0" w:after="0" w:afterAutospacing="0"/>
        <w:jc w:val="both"/>
        <w:rPr>
          <w:rFonts w:ascii="Arial" w:hAnsi="Arial" w:cs="Arial" w:eastAsiaTheme="minorHAnsi"/>
          <w:color w:val="000000" w:themeColor="text1"/>
          <w:sz w:val="19"/>
          <w:szCs w:val="19"/>
          <w:lang w:val="es-ES" w:eastAsia="en-US"/>
        </w:rPr>
      </w:pPr>
      <w:r w:rsidRPr="00E04191">
        <w:rPr>
          <w:rFonts w:ascii="Arial" w:hAnsi="Arial" w:cs="Arial" w:eastAsiaTheme="minorHAnsi"/>
          <w:color w:val="000000" w:themeColor="text1"/>
          <w:sz w:val="19"/>
          <w:szCs w:val="19"/>
          <w:lang w:val="es-ES" w:eastAsia="en-US"/>
        </w:rPr>
        <w:t>  </w:t>
      </w:r>
      <w:r w:rsidRPr="00E04191">
        <w:rPr>
          <w:rFonts w:ascii="Arial" w:hAnsi="Arial" w:cs="Arial" w:eastAsiaTheme="minorHAnsi"/>
          <w:color w:val="000000" w:themeColor="text1"/>
          <w:sz w:val="19"/>
          <w:szCs w:val="19"/>
          <w:lang w:val="es-ES" w:eastAsia="en-US"/>
        </w:rPr>
        <w:tab/>
      </w:r>
      <w:r w:rsidRPr="00E04191">
        <w:rPr>
          <w:rFonts w:ascii="Arial" w:hAnsi="Arial" w:cs="Arial" w:eastAsiaTheme="minorHAnsi"/>
          <w:color w:val="000000" w:themeColor="text1"/>
          <w:sz w:val="19"/>
          <w:szCs w:val="19"/>
          <w:lang w:val="es-ES" w:eastAsia="en-US"/>
        </w:rPr>
        <w:t>»Las inhabilidades a que se refieren los literales c), d) e i) se extenderán por un término de cinco (5) años contado a partir de la fecha de ejecutoria del acto que declaró la caducidad, o de la sentencia que impuso la pena, o del acto que dispuso la destitución; las previstas en los literales b) y e), se extenderán por un término de cinco (5) años contado a partir de la fecha de ocurrencia del hecho de la participación en la licitación o concurso, o de la de celebración del contrato, o de la de expiración del plazo para su firma. </w:t>
      </w:r>
    </w:p>
    <w:p w:rsidRPr="00E04191" w:rsidR="00F8649C" w:rsidP="00692DFF" w:rsidRDefault="00F8649C" w14:paraId="51EA9714" w14:textId="77777777">
      <w:pPr>
        <w:pStyle w:val="NormalWeb"/>
        <w:spacing w:before="0" w:beforeAutospacing="0" w:after="0" w:afterAutospacing="0"/>
        <w:jc w:val="both"/>
        <w:rPr>
          <w:rFonts w:ascii="Arial" w:hAnsi="Arial" w:cs="Arial" w:eastAsiaTheme="minorHAnsi"/>
          <w:color w:val="000000" w:themeColor="text1"/>
          <w:sz w:val="19"/>
          <w:szCs w:val="19"/>
          <w:lang w:val="es-ES" w:eastAsia="en-US"/>
        </w:rPr>
      </w:pPr>
      <w:r w:rsidRPr="00E04191">
        <w:rPr>
          <w:rFonts w:ascii="Arial" w:hAnsi="Arial" w:cs="Arial" w:eastAsiaTheme="minorHAnsi"/>
          <w:color w:val="000000" w:themeColor="text1"/>
          <w:sz w:val="19"/>
          <w:szCs w:val="19"/>
          <w:lang w:val="es-ES" w:eastAsia="en-US"/>
        </w:rPr>
        <w:t>  </w:t>
      </w:r>
      <w:r w:rsidRPr="00E04191">
        <w:rPr>
          <w:rFonts w:ascii="Arial" w:hAnsi="Arial" w:cs="Arial" w:eastAsiaTheme="minorHAnsi"/>
          <w:color w:val="000000" w:themeColor="text1"/>
          <w:sz w:val="19"/>
          <w:szCs w:val="19"/>
          <w:lang w:val="es-ES" w:eastAsia="en-US"/>
        </w:rPr>
        <w:tab/>
      </w:r>
      <w:r w:rsidRPr="00E04191">
        <w:rPr>
          <w:rFonts w:ascii="Arial" w:hAnsi="Arial" w:cs="Arial" w:eastAsiaTheme="minorHAnsi"/>
          <w:color w:val="000000" w:themeColor="text1"/>
          <w:sz w:val="19"/>
          <w:szCs w:val="19"/>
          <w:lang w:val="es-ES" w:eastAsia="en-US"/>
        </w:rPr>
        <w:t>»j) Las personas naturales que hayan sido declaradas responsables judicialmente por la comisión de delitos contra la Administración pública, o de cualquiera de los delitos o faltas contempladas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w:t>
      </w:r>
    </w:p>
    <w:p w:rsidRPr="00E04191" w:rsidR="00F8649C" w:rsidP="00692DFF" w:rsidRDefault="00F8649C" w14:paraId="2FB2CAA9" w14:textId="77777777">
      <w:pPr>
        <w:pStyle w:val="NormalWeb"/>
        <w:spacing w:before="0" w:beforeAutospacing="0" w:after="0" w:afterAutospacing="0"/>
        <w:jc w:val="both"/>
        <w:rPr>
          <w:rFonts w:ascii="Arial" w:hAnsi="Arial" w:cs="Arial" w:eastAsiaTheme="minorHAnsi"/>
          <w:color w:val="000000" w:themeColor="text1"/>
          <w:sz w:val="19"/>
          <w:szCs w:val="19"/>
          <w:lang w:val="es-ES" w:eastAsia="en-US"/>
        </w:rPr>
      </w:pPr>
      <w:r w:rsidRPr="00E04191">
        <w:rPr>
          <w:rFonts w:ascii="Arial" w:hAnsi="Arial" w:cs="Arial" w:eastAsiaTheme="minorHAnsi"/>
          <w:color w:val="000000" w:themeColor="text1"/>
          <w:sz w:val="19"/>
          <w:szCs w:val="19"/>
          <w:lang w:val="es-ES" w:eastAsia="en-US"/>
        </w:rPr>
        <w:t> </w:t>
      </w:r>
      <w:r w:rsidRPr="00E04191">
        <w:rPr>
          <w:rFonts w:ascii="Arial" w:hAnsi="Arial" w:cs="Arial" w:eastAsiaTheme="minorHAnsi"/>
          <w:color w:val="000000" w:themeColor="text1"/>
          <w:sz w:val="19"/>
          <w:szCs w:val="19"/>
          <w:lang w:val="es-ES" w:eastAsia="en-US"/>
        </w:rPr>
        <w:tab/>
      </w:r>
      <w:proofErr w:type="gramStart"/>
      <w:r w:rsidRPr="00E04191">
        <w:rPr>
          <w:rFonts w:ascii="Arial" w:hAnsi="Arial" w:cs="Arial" w:eastAsiaTheme="minorHAnsi"/>
          <w:color w:val="000000" w:themeColor="text1"/>
          <w:sz w:val="19"/>
          <w:szCs w:val="19"/>
          <w:lang w:val="es-ES" w:eastAsia="en-US"/>
        </w:rPr>
        <w:t>»Esta</w:t>
      </w:r>
      <w:proofErr w:type="gramEnd"/>
      <w:r w:rsidRPr="00E04191">
        <w:rPr>
          <w:rFonts w:ascii="Arial" w:hAnsi="Arial" w:cs="Arial" w:eastAsiaTheme="minorHAnsi"/>
          <w:color w:val="000000" w:themeColor="text1"/>
          <w:sz w:val="19"/>
          <w:szCs w:val="19"/>
          <w:lang w:val="es-ES" w:eastAsia="en-US"/>
        </w:rPr>
        <w:t xml:space="preserve"> inhabilidad procederá preventivamente aún en los casos en los que esté pendiente la decisión sobre la impugnación de la sentencia condenatoria. Asimismo, la inhabilidad se extenderá a las sociedades de las que hagan parte dichas personas en calidad de administradores, represen</w:t>
      </w:r>
      <w:r w:rsidRPr="00E04191">
        <w:rPr>
          <w:rFonts w:ascii="Arial" w:hAnsi="Arial" w:cs="Arial" w:eastAsiaTheme="minorHAnsi"/>
          <w:color w:val="000000" w:themeColor="text1"/>
          <w:sz w:val="19"/>
          <w:szCs w:val="19"/>
          <w:lang w:val="es-ES" w:eastAsia="en-US"/>
        </w:rPr>
        <w:softHyphen/>
        <w:t>tantes legales, miembros de junta directiva o de socios controlantes, a sus matrices y a sus subordinadas, a los grupos empresariales a los que estas pertenezcan cuando la conducta delictiva haya sido parte de una política del grupo y a las sucursales de sociedades extranjeras, con ex</w:t>
      </w:r>
      <w:r w:rsidRPr="00E04191">
        <w:rPr>
          <w:rFonts w:ascii="Arial" w:hAnsi="Arial" w:cs="Arial" w:eastAsiaTheme="minorHAnsi"/>
          <w:color w:val="000000" w:themeColor="text1"/>
          <w:sz w:val="19"/>
          <w:szCs w:val="19"/>
          <w:lang w:val="es-ES" w:eastAsia="en-US"/>
        </w:rPr>
        <w:softHyphen/>
        <w:t>cepción de las sociedades anónimas abiertas. También se considerarán inhabilitadas para contratar, las personas jurídicas sobre las cuales se haya ordenado la suspensión de la perso</w:t>
      </w:r>
      <w:r w:rsidRPr="00E04191">
        <w:rPr>
          <w:rFonts w:ascii="Arial" w:hAnsi="Arial" w:cs="Arial" w:eastAsiaTheme="minorHAnsi"/>
          <w:color w:val="000000" w:themeColor="text1"/>
          <w:sz w:val="19"/>
          <w:szCs w:val="19"/>
          <w:lang w:val="es-ES" w:eastAsia="en-US"/>
        </w:rPr>
        <w:softHyphen/>
        <w:t>nería jurídica en los términos de ley, o cuyos representantes legales, ad</w:t>
      </w:r>
      <w:r w:rsidRPr="00E04191">
        <w:rPr>
          <w:rFonts w:ascii="Arial" w:hAnsi="Arial" w:cs="Arial" w:eastAsiaTheme="minorHAnsi"/>
          <w:color w:val="000000" w:themeColor="text1"/>
          <w:sz w:val="19"/>
          <w:szCs w:val="19"/>
          <w:lang w:val="es-ES" w:eastAsia="en-US"/>
        </w:rPr>
        <w:softHyphen/>
        <w:t>ministradores de hecho o de derecho, miembros de junta directiva o sus socios controlantes, sus matrices, subordinadas y/o las sucursales de sociedades extranjeras, hayan sido beneficiados con la aplicación de un principio de oportunidad por cualquier delito contra la Administración pública o el patrimonio del Estado.  La inhabilidad prevista en este literal se extenderá de forma perma</w:t>
      </w:r>
      <w:r w:rsidRPr="00E04191">
        <w:rPr>
          <w:rFonts w:ascii="Arial" w:hAnsi="Arial" w:cs="Arial" w:eastAsiaTheme="minorHAnsi"/>
          <w:color w:val="000000" w:themeColor="text1"/>
          <w:sz w:val="19"/>
          <w:szCs w:val="19"/>
          <w:lang w:val="es-ES" w:eastAsia="en-US"/>
        </w:rPr>
        <w:softHyphen/>
        <w:t>nente a las sociedades de las que hagan parte dichas personas en las calidades presentadas en los incisos anteriores, y se aplicará de igual forma a las personas naturales que hayan sido declaradas responsables judicialmente por la comisión de delitos mencionados en este literal. </w:t>
      </w:r>
    </w:p>
    <w:p w:rsidRPr="00E04191" w:rsidR="00F8649C" w:rsidP="00692DFF" w:rsidRDefault="00F8649C" w14:paraId="79157A8D" w14:textId="77777777">
      <w:pPr>
        <w:pStyle w:val="NormalWeb"/>
        <w:spacing w:before="0" w:beforeAutospacing="0" w:after="0" w:afterAutospacing="0"/>
        <w:jc w:val="both"/>
        <w:rPr>
          <w:rFonts w:ascii="Arial" w:hAnsi="Arial" w:cs="Arial" w:eastAsiaTheme="minorHAnsi"/>
          <w:color w:val="000000" w:themeColor="text1"/>
          <w:sz w:val="19"/>
          <w:szCs w:val="19"/>
          <w:lang w:val="es-ES" w:eastAsia="en-US"/>
        </w:rPr>
      </w:pPr>
      <w:r w:rsidRPr="00E04191">
        <w:rPr>
          <w:rFonts w:ascii="Arial" w:hAnsi="Arial" w:cs="Arial" w:eastAsiaTheme="minorHAnsi"/>
          <w:color w:val="000000" w:themeColor="text1"/>
          <w:sz w:val="19"/>
          <w:szCs w:val="19"/>
          <w:lang w:val="es-ES" w:eastAsia="en-US"/>
        </w:rPr>
        <w:t>[…]</w:t>
      </w:r>
    </w:p>
    <w:p w:rsidRPr="00E04191" w:rsidR="00F8649C" w:rsidP="00692DFF" w:rsidRDefault="00F8649C" w14:paraId="480B662A" w14:textId="77777777">
      <w:pPr>
        <w:pStyle w:val="NormalWeb"/>
        <w:spacing w:before="0" w:beforeAutospacing="0" w:after="0" w:afterAutospacing="0"/>
        <w:ind w:firstLine="708"/>
        <w:jc w:val="both"/>
        <w:rPr>
          <w:rFonts w:ascii="Arial" w:hAnsi="Arial" w:cs="Arial" w:eastAsiaTheme="minorHAnsi"/>
          <w:color w:val="000000" w:themeColor="text1"/>
          <w:sz w:val="19"/>
          <w:szCs w:val="19"/>
          <w:lang w:val="es-ES" w:eastAsia="en-US"/>
        </w:rPr>
      </w:pPr>
      <w:proofErr w:type="gramStart"/>
      <w:r w:rsidRPr="00E04191">
        <w:rPr>
          <w:rFonts w:ascii="Arial" w:hAnsi="Arial" w:cs="Arial" w:eastAsiaTheme="minorHAnsi"/>
          <w:color w:val="000000" w:themeColor="text1"/>
          <w:sz w:val="19"/>
          <w:szCs w:val="19"/>
          <w:lang w:val="es-ES" w:eastAsia="en-US"/>
        </w:rPr>
        <w:t>»2o.</w:t>
      </w:r>
      <w:proofErr w:type="gramEnd"/>
      <w:r w:rsidRPr="00E04191">
        <w:rPr>
          <w:rFonts w:ascii="Arial" w:hAnsi="Arial" w:cs="Arial" w:eastAsiaTheme="minorHAnsi"/>
          <w:color w:val="000000" w:themeColor="text1"/>
          <w:sz w:val="19"/>
          <w:szCs w:val="19"/>
          <w:lang w:val="es-ES" w:eastAsia="en-US"/>
        </w:rPr>
        <w:t xml:space="preserve"> Tampoco podrán participar en licitaciones o concursos ni celebrar contratos estatales con la entidad respectiva: </w:t>
      </w:r>
    </w:p>
    <w:p w:rsidRPr="00E04191" w:rsidR="00F8649C" w:rsidP="00692DFF" w:rsidRDefault="00F8649C" w14:paraId="785B254F" w14:textId="77777777">
      <w:pPr>
        <w:pStyle w:val="NormalWeb"/>
        <w:spacing w:before="0" w:beforeAutospacing="0" w:after="0" w:afterAutospacing="0"/>
        <w:jc w:val="both"/>
        <w:rPr>
          <w:rFonts w:ascii="Arial" w:hAnsi="Arial" w:cs="Arial" w:eastAsiaTheme="minorHAnsi"/>
          <w:color w:val="000000" w:themeColor="text1"/>
          <w:sz w:val="19"/>
          <w:szCs w:val="19"/>
          <w:lang w:val="es-ES" w:eastAsia="en-US"/>
        </w:rPr>
      </w:pPr>
      <w:r w:rsidRPr="00E04191">
        <w:rPr>
          <w:rFonts w:ascii="Arial" w:hAnsi="Arial" w:cs="Arial" w:eastAsiaTheme="minorHAnsi"/>
          <w:color w:val="000000" w:themeColor="text1"/>
          <w:sz w:val="19"/>
          <w:szCs w:val="19"/>
          <w:lang w:val="es-ES" w:eastAsia="en-US"/>
        </w:rPr>
        <w:t>  </w:t>
      </w:r>
      <w:r w:rsidRPr="00E04191">
        <w:rPr>
          <w:rFonts w:ascii="Arial" w:hAnsi="Arial" w:cs="Arial" w:eastAsiaTheme="minorHAnsi"/>
          <w:color w:val="000000" w:themeColor="text1"/>
          <w:sz w:val="19"/>
          <w:szCs w:val="19"/>
          <w:lang w:val="es-ES" w:eastAsia="en-US"/>
        </w:rPr>
        <w:tab/>
      </w:r>
      <w:proofErr w:type="gramStart"/>
      <w:r w:rsidRPr="00E04191">
        <w:rPr>
          <w:rFonts w:ascii="Arial" w:hAnsi="Arial" w:cs="Arial" w:eastAsiaTheme="minorHAnsi"/>
          <w:color w:val="000000" w:themeColor="text1"/>
          <w:sz w:val="19"/>
          <w:szCs w:val="19"/>
          <w:lang w:val="es-ES" w:eastAsia="en-US"/>
        </w:rPr>
        <w:t>»a</w:t>
      </w:r>
      <w:proofErr w:type="gramEnd"/>
      <w:r w:rsidRPr="00E04191">
        <w:rPr>
          <w:rFonts w:ascii="Arial" w:hAnsi="Arial" w:cs="Arial" w:eastAsiaTheme="minorHAnsi"/>
          <w:color w:val="000000" w:themeColor="text1"/>
          <w:sz w:val="19"/>
          <w:szCs w:val="19"/>
          <w:lang w:val="es-ES" w:eastAsia="en-US"/>
        </w:rPr>
        <w:t>) Quienes fueron miembros de la junta o consejo directivo o servidores públicos de la entidad contratante. Esta incompatibilidad solo comprende a quienes desempeñaron funciones en los niveles directivo, asesor o ejecutivo y se extiende por el término de un (1) año, contado a partir de la fecha del retiro. </w:t>
      </w:r>
    </w:p>
    <w:p w:rsidRPr="00E04191" w:rsidR="00F8649C" w:rsidP="00692DFF" w:rsidRDefault="00F8649C" w14:paraId="5BB32F8C" w14:textId="77777777">
      <w:pPr>
        <w:pStyle w:val="NormalWeb"/>
        <w:spacing w:before="0" w:beforeAutospacing="0" w:after="0" w:afterAutospacing="0"/>
        <w:jc w:val="both"/>
        <w:rPr>
          <w:rFonts w:ascii="Arial" w:hAnsi="Arial" w:cs="Arial" w:eastAsiaTheme="minorHAnsi"/>
          <w:color w:val="000000" w:themeColor="text1"/>
          <w:sz w:val="19"/>
          <w:szCs w:val="19"/>
          <w:lang w:val="es-ES" w:eastAsia="en-US"/>
        </w:rPr>
      </w:pPr>
      <w:r w:rsidRPr="00E04191">
        <w:rPr>
          <w:rFonts w:ascii="Arial" w:hAnsi="Arial" w:cs="Arial" w:eastAsiaTheme="minorHAnsi"/>
          <w:color w:val="000000" w:themeColor="text1"/>
          <w:sz w:val="19"/>
          <w:szCs w:val="19"/>
          <w:lang w:val="es-ES" w:eastAsia="en-US"/>
        </w:rPr>
        <w:t>  </w:t>
      </w:r>
      <w:r w:rsidRPr="00E04191">
        <w:rPr>
          <w:rFonts w:ascii="Arial" w:hAnsi="Arial" w:cs="Arial" w:eastAsiaTheme="minorHAnsi"/>
          <w:color w:val="000000" w:themeColor="text1"/>
          <w:sz w:val="19"/>
          <w:szCs w:val="19"/>
          <w:lang w:val="es-ES" w:eastAsia="en-US"/>
        </w:rPr>
        <w:tab/>
      </w:r>
      <w:proofErr w:type="gramStart"/>
      <w:r w:rsidRPr="00E04191">
        <w:rPr>
          <w:rFonts w:ascii="Arial" w:hAnsi="Arial" w:cs="Arial" w:eastAsiaTheme="minorHAnsi"/>
          <w:color w:val="000000" w:themeColor="text1"/>
          <w:sz w:val="19"/>
          <w:szCs w:val="19"/>
          <w:lang w:val="es-ES" w:eastAsia="en-US"/>
        </w:rPr>
        <w:t>»b</w:t>
      </w:r>
      <w:proofErr w:type="gramEnd"/>
      <w:r w:rsidRPr="00E04191">
        <w:rPr>
          <w:rFonts w:ascii="Arial" w:hAnsi="Arial" w:cs="Arial" w:eastAsiaTheme="minorHAnsi"/>
          <w:color w:val="000000" w:themeColor="text1"/>
          <w:sz w:val="19"/>
          <w:szCs w:val="19"/>
          <w:lang w:val="es-ES" w:eastAsia="en-US"/>
        </w:rPr>
        <w:t>)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w:t>
      </w:r>
    </w:p>
    <w:p w:rsidRPr="00E04191" w:rsidR="00F8649C" w:rsidP="00692DFF" w:rsidRDefault="00F8649C" w14:paraId="043404C6" w14:textId="77777777">
      <w:pPr>
        <w:pStyle w:val="NormalWeb"/>
        <w:spacing w:before="0" w:beforeAutospacing="0" w:after="0" w:afterAutospacing="0"/>
        <w:jc w:val="both"/>
        <w:rPr>
          <w:rFonts w:ascii="Arial" w:hAnsi="Arial" w:cs="Arial" w:eastAsiaTheme="minorHAnsi"/>
          <w:color w:val="000000" w:themeColor="text1"/>
          <w:sz w:val="19"/>
          <w:szCs w:val="19"/>
          <w:lang w:val="es-ES" w:eastAsia="en-US"/>
        </w:rPr>
      </w:pPr>
      <w:r w:rsidRPr="00E04191">
        <w:rPr>
          <w:rFonts w:ascii="Arial" w:hAnsi="Arial" w:cs="Arial" w:eastAsiaTheme="minorHAnsi"/>
          <w:color w:val="000000" w:themeColor="text1"/>
          <w:sz w:val="19"/>
          <w:szCs w:val="19"/>
          <w:lang w:val="es-ES" w:eastAsia="en-US"/>
        </w:rPr>
        <w:t>  </w:t>
      </w:r>
      <w:r w:rsidRPr="00E04191">
        <w:rPr>
          <w:rFonts w:ascii="Arial" w:hAnsi="Arial" w:cs="Arial" w:eastAsiaTheme="minorHAnsi"/>
          <w:color w:val="000000" w:themeColor="text1"/>
          <w:sz w:val="19"/>
          <w:szCs w:val="19"/>
          <w:lang w:val="es-ES" w:eastAsia="en-US"/>
        </w:rPr>
        <w:tab/>
      </w:r>
      <w:r w:rsidRPr="00E04191">
        <w:rPr>
          <w:rFonts w:ascii="Arial" w:hAnsi="Arial" w:cs="Arial" w:eastAsiaTheme="minorHAnsi"/>
          <w:color w:val="000000" w:themeColor="text1"/>
          <w:sz w:val="19"/>
          <w:szCs w:val="19"/>
          <w:lang w:val="es-ES" w:eastAsia="en-US"/>
        </w:rPr>
        <w:t>»c) El cónyuge, compañero o compañera permanente del servidor público en los niveles directivo, asesor, ejecutivo, o de un miembro de la junta o consejo directivo, o de quien ejerza funciones de control interno o de control fiscal. </w:t>
      </w:r>
    </w:p>
    <w:p w:rsidRPr="00E04191" w:rsidR="00F8649C" w:rsidP="00692DFF" w:rsidRDefault="00F8649C" w14:paraId="5AA7DD85" w14:textId="77777777">
      <w:pPr>
        <w:pStyle w:val="NormalWeb"/>
        <w:spacing w:before="0" w:beforeAutospacing="0" w:after="0" w:afterAutospacing="0"/>
        <w:jc w:val="both"/>
        <w:rPr>
          <w:rFonts w:ascii="Arial" w:hAnsi="Arial" w:cs="Arial" w:eastAsiaTheme="minorHAnsi"/>
          <w:color w:val="000000" w:themeColor="text1"/>
          <w:sz w:val="19"/>
          <w:szCs w:val="19"/>
          <w:lang w:val="es-ES" w:eastAsia="en-US"/>
        </w:rPr>
      </w:pPr>
      <w:r w:rsidRPr="00E04191">
        <w:rPr>
          <w:rFonts w:ascii="Arial" w:hAnsi="Arial" w:cs="Arial" w:eastAsiaTheme="minorHAnsi"/>
          <w:color w:val="000000" w:themeColor="text1"/>
          <w:sz w:val="19"/>
          <w:szCs w:val="19"/>
          <w:lang w:val="es-ES" w:eastAsia="en-US"/>
        </w:rPr>
        <w:t>  </w:t>
      </w:r>
      <w:r w:rsidRPr="00E04191">
        <w:rPr>
          <w:rFonts w:ascii="Arial" w:hAnsi="Arial" w:cs="Arial" w:eastAsiaTheme="minorHAnsi"/>
          <w:color w:val="000000" w:themeColor="text1"/>
          <w:sz w:val="19"/>
          <w:szCs w:val="19"/>
          <w:lang w:val="es-ES" w:eastAsia="en-US"/>
        </w:rPr>
        <w:tab/>
      </w:r>
      <w:r w:rsidRPr="00E04191">
        <w:rPr>
          <w:rFonts w:ascii="Arial" w:hAnsi="Arial" w:cs="Arial" w:eastAsiaTheme="minorHAnsi"/>
          <w:color w:val="000000" w:themeColor="text1"/>
          <w:sz w:val="19"/>
          <w:szCs w:val="19"/>
          <w:lang w:val="es-ES" w:eastAsia="en-US"/>
        </w:rPr>
        <w:t>»d)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w:t>
      </w:r>
    </w:p>
    <w:p w:rsidRPr="00E04191" w:rsidR="00F8649C" w:rsidP="00692DFF" w:rsidRDefault="00F8649C" w14:paraId="74EA1CFE" w14:textId="77777777">
      <w:pPr>
        <w:pStyle w:val="NormalWeb"/>
        <w:spacing w:before="0" w:beforeAutospacing="0" w:after="0" w:afterAutospacing="0"/>
        <w:jc w:val="both"/>
        <w:rPr>
          <w:rFonts w:ascii="Arial" w:hAnsi="Arial" w:cs="Arial" w:eastAsiaTheme="minorHAnsi"/>
          <w:color w:val="000000" w:themeColor="text1"/>
          <w:sz w:val="19"/>
          <w:szCs w:val="19"/>
          <w:lang w:val="es-ES" w:eastAsia="en-US"/>
        </w:rPr>
      </w:pPr>
      <w:r w:rsidRPr="00E04191">
        <w:rPr>
          <w:rFonts w:ascii="Arial" w:hAnsi="Arial" w:cs="Arial" w:eastAsiaTheme="minorHAnsi"/>
          <w:color w:val="000000" w:themeColor="text1"/>
          <w:sz w:val="19"/>
          <w:szCs w:val="19"/>
          <w:lang w:val="es-ES" w:eastAsia="en-US"/>
        </w:rPr>
        <w:t>  </w:t>
      </w:r>
      <w:r w:rsidRPr="00E04191">
        <w:rPr>
          <w:rFonts w:ascii="Arial" w:hAnsi="Arial" w:cs="Arial" w:eastAsiaTheme="minorHAnsi"/>
          <w:color w:val="000000" w:themeColor="text1"/>
          <w:sz w:val="19"/>
          <w:szCs w:val="19"/>
          <w:lang w:val="es-ES" w:eastAsia="en-US"/>
        </w:rPr>
        <w:tab/>
      </w:r>
      <w:proofErr w:type="gramStart"/>
      <w:r w:rsidRPr="00E04191">
        <w:rPr>
          <w:rFonts w:ascii="Arial" w:hAnsi="Arial" w:cs="Arial" w:eastAsiaTheme="minorHAnsi"/>
          <w:color w:val="000000" w:themeColor="text1"/>
          <w:sz w:val="19"/>
          <w:szCs w:val="19"/>
          <w:lang w:val="es-ES" w:eastAsia="en-US"/>
        </w:rPr>
        <w:t>»e</w:t>
      </w:r>
      <w:proofErr w:type="gramEnd"/>
      <w:r w:rsidRPr="00E04191">
        <w:rPr>
          <w:rFonts w:ascii="Arial" w:hAnsi="Arial" w:cs="Arial" w:eastAsiaTheme="minorHAnsi"/>
          <w:color w:val="000000" w:themeColor="text1"/>
          <w:sz w:val="19"/>
          <w:szCs w:val="19"/>
          <w:lang w:val="es-ES" w:eastAsia="en-US"/>
        </w:rPr>
        <w:t>) Los miembros de las juntas o consejos directivos. Esta incompatibilidad sólo se predica respecto de la entidad a la cual prestan sus servicios y de las del sector administrativo al que la misma esté adscrita o vinculada. </w:t>
      </w:r>
    </w:p>
    <w:p w:rsidRPr="00E04191" w:rsidR="00F8649C" w:rsidP="00692DFF" w:rsidRDefault="00F8649C" w14:paraId="546728C5" w14:textId="77777777">
      <w:pPr>
        <w:pStyle w:val="NormalWeb"/>
        <w:spacing w:before="0" w:beforeAutospacing="0" w:after="0" w:afterAutospacing="0"/>
        <w:ind w:firstLine="708"/>
        <w:jc w:val="both"/>
        <w:rPr>
          <w:rFonts w:ascii="Arial" w:hAnsi="Arial" w:cs="Arial" w:eastAsiaTheme="minorHAnsi"/>
          <w:color w:val="000000" w:themeColor="text1"/>
          <w:sz w:val="19"/>
          <w:szCs w:val="19"/>
          <w:lang w:val="es-ES" w:eastAsia="en-US"/>
        </w:rPr>
      </w:pPr>
      <w:proofErr w:type="gramStart"/>
      <w:r w:rsidRPr="00E04191">
        <w:rPr>
          <w:rFonts w:ascii="Arial" w:hAnsi="Arial" w:cs="Arial" w:eastAsiaTheme="minorHAnsi"/>
          <w:color w:val="000000" w:themeColor="text1"/>
          <w:sz w:val="19"/>
          <w:szCs w:val="19"/>
          <w:lang w:val="es-ES" w:eastAsia="en-US"/>
        </w:rPr>
        <w:t>»f</w:t>
      </w:r>
      <w:proofErr w:type="gramEnd"/>
      <w:r w:rsidRPr="00E04191">
        <w:rPr>
          <w:rFonts w:ascii="Arial" w:hAnsi="Arial" w:cs="Arial" w:eastAsiaTheme="minorHAnsi"/>
          <w:color w:val="000000" w:themeColor="text1"/>
          <w:sz w:val="19"/>
          <w:szCs w:val="19"/>
          <w:lang w:val="es-ES" w:eastAsia="en-US"/>
        </w:rPr>
        <w:t xml:space="preserve">)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Esta incompatibilidad también operará para las personas que se encuentren dentro del primer grado de consanguinidad, primero de afinidad, o primero civil del </w:t>
      </w:r>
      <w:proofErr w:type="gramStart"/>
      <w:r w:rsidRPr="00E04191">
        <w:rPr>
          <w:rFonts w:ascii="Arial" w:hAnsi="Arial" w:cs="Arial" w:eastAsiaTheme="minorHAnsi"/>
          <w:color w:val="000000" w:themeColor="text1"/>
          <w:sz w:val="19"/>
          <w:szCs w:val="19"/>
          <w:lang w:val="es-ES" w:eastAsia="en-US"/>
        </w:rPr>
        <w:t>ex empleado</w:t>
      </w:r>
      <w:proofErr w:type="gramEnd"/>
      <w:r w:rsidRPr="00E04191">
        <w:rPr>
          <w:rFonts w:ascii="Arial" w:hAnsi="Arial" w:cs="Arial" w:eastAsiaTheme="minorHAnsi"/>
          <w:color w:val="000000" w:themeColor="text1"/>
          <w:sz w:val="19"/>
          <w:szCs w:val="19"/>
          <w:lang w:val="es-ES" w:eastAsia="en-US"/>
        </w:rPr>
        <w:t xml:space="preserve"> público». (…). </w:t>
      </w:r>
    </w:p>
    <w:p w:rsidRPr="00E04191" w:rsidR="00F8649C" w:rsidP="00692DFF" w:rsidRDefault="00F8649C" w14:paraId="0938516C" w14:textId="61DBE3ED">
      <w:pPr>
        <w:pStyle w:val="NormalWeb"/>
        <w:spacing w:before="0" w:beforeAutospacing="0" w:after="0" w:afterAutospacing="0"/>
        <w:jc w:val="both"/>
        <w:rPr>
          <w:rFonts w:ascii="Arial" w:hAnsi="Arial" w:cs="Arial"/>
          <w:color w:val="000000" w:themeColor="text1"/>
          <w:sz w:val="19"/>
          <w:szCs w:val="19"/>
        </w:rPr>
      </w:pPr>
      <w:r w:rsidRPr="00E04191">
        <w:rPr>
          <w:rFonts w:ascii="Arial" w:hAnsi="Arial" w:cs="Arial" w:eastAsiaTheme="minorHAnsi"/>
          <w:color w:val="000000" w:themeColor="text1"/>
          <w:sz w:val="19"/>
          <w:szCs w:val="19"/>
          <w:lang w:val="es-ES" w:eastAsia="en-US"/>
        </w:rPr>
        <w:t>  </w:t>
      </w:r>
    </w:p>
  </w:footnote>
  <w:footnote w:id="7">
    <w:p w:rsidRPr="00E04191" w:rsidR="00D20CF9" w:rsidP="00692DFF" w:rsidRDefault="00D20CF9" w14:paraId="5248453D" w14:textId="0EC13020">
      <w:pPr>
        <w:pStyle w:val="Textonotapie"/>
        <w:ind w:firstLine="709"/>
        <w:jc w:val="both"/>
        <w:rPr>
          <w:rFonts w:ascii="Arial" w:hAnsi="Arial" w:cs="Arial"/>
          <w:color w:val="000000" w:themeColor="text1"/>
          <w:sz w:val="19"/>
          <w:szCs w:val="19"/>
        </w:rPr>
      </w:pPr>
      <w:r w:rsidRPr="00E04191">
        <w:rPr>
          <w:rStyle w:val="Refdenotaalpie"/>
          <w:rFonts w:ascii="Arial" w:hAnsi="Arial" w:cs="Arial"/>
          <w:color w:val="000000" w:themeColor="text1"/>
          <w:sz w:val="19"/>
          <w:szCs w:val="19"/>
        </w:rPr>
        <w:footnoteRef/>
      </w:r>
      <w:r w:rsidRPr="00E04191">
        <w:rPr>
          <w:rFonts w:ascii="Arial" w:hAnsi="Arial" w:cs="Arial"/>
          <w:color w:val="000000" w:themeColor="text1"/>
          <w:sz w:val="19"/>
          <w:szCs w:val="19"/>
        </w:rPr>
        <w:t xml:space="preserve"> </w:t>
      </w:r>
      <w:r w:rsidRPr="00E04191" w:rsidR="00BA57A7">
        <w:rPr>
          <w:rFonts w:ascii="Arial" w:hAnsi="Arial" w:cs="Arial"/>
          <w:color w:val="000000" w:themeColor="text1"/>
          <w:sz w:val="19"/>
          <w:szCs w:val="19"/>
        </w:rPr>
        <w:t xml:space="preserve">Ley 80 de 1993: </w:t>
      </w:r>
      <w:r w:rsidRPr="00E04191">
        <w:rPr>
          <w:rFonts w:ascii="Arial" w:hAnsi="Arial" w:cs="Arial"/>
          <w:color w:val="000000" w:themeColor="text1"/>
          <w:sz w:val="19"/>
          <w:szCs w:val="19"/>
        </w:rPr>
        <w:t>«</w:t>
      </w:r>
      <w:r w:rsidRPr="00E04191" w:rsidR="00A23B79">
        <w:rPr>
          <w:rFonts w:ascii="Arial" w:hAnsi="Arial" w:cs="Arial"/>
          <w:color w:val="000000" w:themeColor="text1"/>
          <w:sz w:val="19"/>
          <w:szCs w:val="19"/>
        </w:rPr>
        <w:t xml:space="preserve">Artículo </w:t>
      </w:r>
      <w:r w:rsidRPr="00E04191" w:rsidR="00457E45">
        <w:rPr>
          <w:rFonts w:ascii="Arial" w:hAnsi="Arial" w:cs="Arial"/>
          <w:color w:val="000000" w:themeColor="text1"/>
          <w:sz w:val="19"/>
          <w:szCs w:val="19"/>
        </w:rPr>
        <w:t xml:space="preserve">6. De la capacidad para contratar. </w:t>
      </w:r>
      <w:r w:rsidRPr="00E04191">
        <w:rPr>
          <w:rFonts w:ascii="Arial" w:hAnsi="Arial" w:cs="Arial"/>
          <w:color w:val="000000" w:themeColor="text1"/>
          <w:sz w:val="19"/>
          <w:szCs w:val="19"/>
        </w:rPr>
        <w:t>Pueden celebrar contratos con las entidades estatales las personas consideradas legalmente capaces en las disposiciones vigentes. También podrán celebrar contratos con las entidades estatales, los consorcios y uniones temporales.</w:t>
      </w:r>
    </w:p>
    <w:p w:rsidRPr="00E04191" w:rsidR="00D20CF9" w:rsidP="00692DFF" w:rsidRDefault="00D20CF9" w14:paraId="39951FEF" w14:textId="77777777">
      <w:pPr>
        <w:pStyle w:val="Textonotapie"/>
        <w:ind w:firstLine="709"/>
        <w:jc w:val="both"/>
        <w:rPr>
          <w:rFonts w:ascii="Arial" w:hAnsi="Arial" w:cs="Arial"/>
          <w:color w:val="000000" w:themeColor="text1"/>
          <w:sz w:val="19"/>
          <w:szCs w:val="19"/>
        </w:rPr>
      </w:pPr>
      <w:proofErr w:type="gramStart"/>
      <w:r w:rsidRPr="00E04191">
        <w:rPr>
          <w:rFonts w:ascii="Arial" w:hAnsi="Arial" w:cs="Arial"/>
          <w:color w:val="000000" w:themeColor="text1"/>
          <w:sz w:val="19"/>
          <w:szCs w:val="19"/>
        </w:rPr>
        <w:t>»Las</w:t>
      </w:r>
      <w:proofErr w:type="gramEnd"/>
      <w:r w:rsidRPr="00E04191">
        <w:rPr>
          <w:rFonts w:ascii="Arial" w:hAnsi="Arial" w:cs="Arial"/>
          <w:color w:val="000000" w:themeColor="text1"/>
          <w:sz w:val="19"/>
          <w:szCs w:val="19"/>
        </w:rPr>
        <w:t xml:space="preserve"> personas jurídicas nacionales y extranjeras deberán acreditar que su duración no será inferior a la del plazo del contrato y un año más».</w:t>
      </w:r>
    </w:p>
    <w:p w:rsidRPr="00E04191" w:rsidR="00D20CF9" w:rsidP="00692DFF" w:rsidRDefault="00D20CF9" w14:paraId="28F6E772" w14:textId="77777777">
      <w:pPr>
        <w:pStyle w:val="Textonotapie"/>
        <w:ind w:firstLine="709"/>
        <w:jc w:val="both"/>
        <w:rPr>
          <w:rFonts w:ascii="Arial" w:hAnsi="Arial" w:cs="Arial"/>
          <w:color w:val="000000" w:themeColor="text1"/>
          <w:sz w:val="19"/>
          <w:szCs w:val="19"/>
        </w:rPr>
      </w:pPr>
    </w:p>
  </w:footnote>
  <w:footnote w:id="8">
    <w:p w:rsidRPr="00E04191" w:rsidR="00D20CF9" w:rsidP="00692DFF" w:rsidRDefault="00D20CF9" w14:paraId="2319CF2A" w14:textId="2EFA2022">
      <w:pPr>
        <w:pStyle w:val="Textonotapie"/>
        <w:ind w:firstLine="709"/>
        <w:jc w:val="both"/>
        <w:rPr>
          <w:rFonts w:ascii="Arial" w:hAnsi="Arial" w:cs="Arial"/>
          <w:color w:val="000000" w:themeColor="text1"/>
          <w:sz w:val="19"/>
          <w:szCs w:val="19"/>
        </w:rPr>
      </w:pPr>
      <w:r w:rsidRPr="00E04191">
        <w:rPr>
          <w:rStyle w:val="Refdenotaalpie"/>
          <w:rFonts w:ascii="Arial" w:hAnsi="Arial" w:cs="Arial"/>
          <w:color w:val="000000" w:themeColor="text1"/>
          <w:sz w:val="19"/>
          <w:szCs w:val="19"/>
        </w:rPr>
        <w:footnoteRef/>
      </w:r>
      <w:r w:rsidRPr="00E04191">
        <w:rPr>
          <w:rFonts w:ascii="Arial" w:hAnsi="Arial" w:cs="Arial"/>
          <w:color w:val="000000" w:themeColor="text1"/>
          <w:sz w:val="19"/>
          <w:szCs w:val="19"/>
        </w:rPr>
        <w:t xml:space="preserve"> </w:t>
      </w:r>
      <w:r w:rsidRPr="00E04191" w:rsidR="00457E45">
        <w:rPr>
          <w:rFonts w:ascii="Arial" w:hAnsi="Arial" w:cs="Arial"/>
          <w:color w:val="000000" w:themeColor="text1"/>
          <w:sz w:val="19"/>
          <w:szCs w:val="19"/>
        </w:rPr>
        <w:t>Código Civil</w:t>
      </w:r>
      <w:r w:rsidRPr="00E04191" w:rsidR="009D2F32">
        <w:rPr>
          <w:rFonts w:ascii="Arial" w:hAnsi="Arial" w:cs="Arial"/>
          <w:color w:val="000000" w:themeColor="text1"/>
          <w:sz w:val="19"/>
          <w:szCs w:val="19"/>
        </w:rPr>
        <w:t xml:space="preserve">: </w:t>
      </w:r>
      <w:r w:rsidRPr="00E04191" w:rsidR="00D643F2">
        <w:rPr>
          <w:rFonts w:ascii="Arial" w:hAnsi="Arial" w:cs="Arial"/>
          <w:color w:val="000000" w:themeColor="text1"/>
          <w:sz w:val="19"/>
          <w:szCs w:val="19"/>
        </w:rPr>
        <w:t>«A</w:t>
      </w:r>
      <w:r w:rsidRPr="00E04191">
        <w:rPr>
          <w:rFonts w:ascii="Arial" w:hAnsi="Arial" w:cs="Arial"/>
          <w:color w:val="000000" w:themeColor="text1"/>
          <w:sz w:val="19"/>
          <w:szCs w:val="19"/>
        </w:rPr>
        <w:t>rtículo 1502</w:t>
      </w:r>
      <w:r w:rsidRPr="00E04191" w:rsidR="00D643F2">
        <w:rPr>
          <w:rFonts w:ascii="Arial" w:hAnsi="Arial" w:cs="Arial"/>
          <w:color w:val="000000" w:themeColor="text1"/>
          <w:sz w:val="19"/>
          <w:szCs w:val="19"/>
        </w:rPr>
        <w:t xml:space="preserve">. Requisitos para obligarse. </w:t>
      </w:r>
      <w:r w:rsidRPr="00E04191">
        <w:rPr>
          <w:rFonts w:ascii="Arial" w:hAnsi="Arial" w:cs="Arial"/>
          <w:color w:val="000000" w:themeColor="text1"/>
          <w:sz w:val="19"/>
          <w:szCs w:val="19"/>
        </w:rPr>
        <w:t>Para que una persona se obligue a otra por un acto o declaración de voluntad, es necesario:</w:t>
      </w:r>
    </w:p>
    <w:p w:rsidRPr="00E04191" w:rsidR="00D20CF9" w:rsidP="00692DFF" w:rsidRDefault="00D20CF9" w14:paraId="302D546D" w14:textId="77777777">
      <w:pPr>
        <w:pStyle w:val="Textonotapie"/>
        <w:ind w:firstLine="709"/>
        <w:jc w:val="both"/>
        <w:rPr>
          <w:rFonts w:ascii="Arial" w:hAnsi="Arial" w:cs="Arial"/>
          <w:color w:val="000000" w:themeColor="text1"/>
          <w:sz w:val="19"/>
          <w:szCs w:val="19"/>
        </w:rPr>
      </w:pPr>
      <w:proofErr w:type="gramStart"/>
      <w:r w:rsidRPr="00E04191">
        <w:rPr>
          <w:rFonts w:ascii="Arial" w:hAnsi="Arial" w:cs="Arial"/>
          <w:color w:val="000000" w:themeColor="text1"/>
          <w:sz w:val="19"/>
          <w:szCs w:val="19"/>
        </w:rPr>
        <w:t>»1o.</w:t>
      </w:r>
      <w:proofErr w:type="gramEnd"/>
      <w:r w:rsidRPr="00E04191">
        <w:rPr>
          <w:rFonts w:ascii="Arial" w:hAnsi="Arial" w:cs="Arial"/>
          <w:color w:val="000000" w:themeColor="text1"/>
          <w:sz w:val="19"/>
          <w:szCs w:val="19"/>
        </w:rPr>
        <w:t>) que sea legalmente capaz.</w:t>
      </w:r>
    </w:p>
    <w:p w:rsidRPr="00E04191" w:rsidR="00D20CF9" w:rsidP="00692DFF" w:rsidRDefault="00D20CF9" w14:paraId="560CAF17" w14:textId="77777777">
      <w:pPr>
        <w:pStyle w:val="Textonotapie"/>
        <w:ind w:firstLine="709"/>
        <w:jc w:val="both"/>
        <w:rPr>
          <w:rFonts w:ascii="Arial" w:hAnsi="Arial" w:cs="Arial"/>
          <w:color w:val="000000" w:themeColor="text1"/>
          <w:sz w:val="19"/>
          <w:szCs w:val="19"/>
        </w:rPr>
      </w:pPr>
      <w:r w:rsidRPr="00E04191">
        <w:rPr>
          <w:rFonts w:ascii="Arial" w:hAnsi="Arial" w:cs="Arial"/>
          <w:color w:val="000000" w:themeColor="text1"/>
          <w:sz w:val="19"/>
          <w:szCs w:val="19"/>
        </w:rPr>
        <w:t>[…]</w:t>
      </w:r>
    </w:p>
    <w:p w:rsidRPr="00E04191" w:rsidR="00D20CF9" w:rsidP="00692DFF" w:rsidRDefault="00D20CF9" w14:paraId="3FA5E8DC" w14:textId="77777777">
      <w:pPr>
        <w:pStyle w:val="Textonotapie"/>
        <w:ind w:firstLine="709"/>
        <w:jc w:val="both"/>
        <w:rPr>
          <w:rFonts w:ascii="Arial" w:hAnsi="Arial" w:cs="Arial"/>
          <w:color w:val="000000" w:themeColor="text1"/>
          <w:sz w:val="19"/>
          <w:szCs w:val="19"/>
        </w:rPr>
      </w:pPr>
      <w:proofErr w:type="gramStart"/>
      <w:r w:rsidRPr="00E04191">
        <w:rPr>
          <w:rFonts w:ascii="Arial" w:hAnsi="Arial" w:cs="Arial"/>
          <w:color w:val="000000" w:themeColor="text1"/>
          <w:sz w:val="19"/>
          <w:szCs w:val="19"/>
        </w:rPr>
        <w:t>»La</w:t>
      </w:r>
      <w:proofErr w:type="gramEnd"/>
      <w:r w:rsidRPr="00E04191">
        <w:rPr>
          <w:rFonts w:ascii="Arial" w:hAnsi="Arial" w:cs="Arial"/>
          <w:color w:val="000000" w:themeColor="text1"/>
          <w:sz w:val="19"/>
          <w:szCs w:val="19"/>
        </w:rPr>
        <w:t xml:space="preserve"> capacidad legal de una persona consiste en poderse obligar por sí misma, sin el ministerio o la autorización de otra».</w:t>
      </w:r>
    </w:p>
    <w:p w:rsidRPr="00E04191" w:rsidR="00D20CF9" w:rsidP="00692DFF" w:rsidRDefault="00D20CF9" w14:paraId="5AE32227" w14:textId="77777777">
      <w:pPr>
        <w:pStyle w:val="Textonotapie"/>
        <w:ind w:firstLine="709"/>
        <w:jc w:val="both"/>
        <w:rPr>
          <w:rFonts w:ascii="Arial" w:hAnsi="Arial" w:cs="Arial"/>
          <w:color w:val="000000" w:themeColor="text1"/>
          <w:sz w:val="19"/>
          <w:szCs w:val="19"/>
        </w:rPr>
      </w:pPr>
    </w:p>
  </w:footnote>
  <w:footnote w:id="9">
    <w:p w:rsidRPr="00E04191" w:rsidR="00CB53E6" w:rsidP="00692DFF" w:rsidRDefault="00D20CF9" w14:paraId="04A8A446" w14:textId="0440CA88">
      <w:pPr>
        <w:pStyle w:val="Textonotapie"/>
        <w:ind w:firstLine="709"/>
        <w:jc w:val="both"/>
        <w:rPr>
          <w:rFonts w:ascii="Arial" w:hAnsi="Arial" w:cs="Arial"/>
          <w:color w:val="000000" w:themeColor="text1"/>
          <w:sz w:val="19"/>
          <w:szCs w:val="19"/>
        </w:rPr>
      </w:pPr>
      <w:r w:rsidRPr="00E04191">
        <w:rPr>
          <w:rStyle w:val="Refdenotaalpie"/>
          <w:rFonts w:ascii="Arial" w:hAnsi="Arial" w:cs="Arial"/>
          <w:color w:val="000000" w:themeColor="text1"/>
          <w:sz w:val="19"/>
          <w:szCs w:val="19"/>
        </w:rPr>
        <w:footnoteRef/>
      </w:r>
      <w:r w:rsidRPr="00E04191">
        <w:rPr>
          <w:rFonts w:ascii="Arial" w:hAnsi="Arial" w:cs="Arial"/>
          <w:color w:val="000000" w:themeColor="text1"/>
          <w:sz w:val="19"/>
          <w:szCs w:val="19"/>
        </w:rPr>
        <w:t xml:space="preserve"> </w:t>
      </w:r>
      <w:r w:rsidRPr="00E04191" w:rsidR="006D73FE">
        <w:rPr>
          <w:rFonts w:ascii="Arial" w:hAnsi="Arial" w:cs="Arial"/>
          <w:color w:val="000000" w:themeColor="text1"/>
          <w:sz w:val="19"/>
          <w:szCs w:val="19"/>
        </w:rPr>
        <w:t xml:space="preserve">Decreto Ley 19 de 2012: </w:t>
      </w:r>
      <w:r w:rsidRPr="00E04191" w:rsidR="00665943">
        <w:rPr>
          <w:rFonts w:ascii="Arial" w:hAnsi="Arial" w:cs="Arial"/>
          <w:color w:val="000000" w:themeColor="text1"/>
          <w:sz w:val="19"/>
          <w:szCs w:val="19"/>
        </w:rPr>
        <w:t>«Artículo 221.</w:t>
      </w:r>
      <w:r w:rsidRPr="00E04191" w:rsidR="002F44B3">
        <w:rPr>
          <w:rFonts w:ascii="Arial" w:hAnsi="Arial" w:cs="Arial"/>
          <w:color w:val="000000" w:themeColor="text1"/>
          <w:sz w:val="19"/>
          <w:szCs w:val="19"/>
        </w:rPr>
        <w:t xml:space="preserve"> El artículo 6 de la Ley 1150 de 2007, quedará así:</w:t>
      </w:r>
    </w:p>
    <w:p w:rsidRPr="00E04191" w:rsidR="00D20CF9" w:rsidP="00692DFF" w:rsidRDefault="00CB53E6" w14:paraId="56A21107" w14:textId="4823BCA0">
      <w:pPr>
        <w:pStyle w:val="Textonotapie"/>
        <w:ind w:firstLine="709"/>
        <w:jc w:val="both"/>
        <w:rPr>
          <w:rFonts w:ascii="Arial" w:hAnsi="Arial" w:cs="Arial"/>
          <w:color w:val="000000" w:themeColor="text1"/>
          <w:sz w:val="19"/>
          <w:szCs w:val="19"/>
          <w:lang w:val="es-ES"/>
        </w:rPr>
      </w:pPr>
      <w:proofErr w:type="gramStart"/>
      <w:r w:rsidRPr="00E04191">
        <w:rPr>
          <w:rFonts w:ascii="Arial" w:hAnsi="Arial" w:cs="Arial"/>
          <w:color w:val="000000" w:themeColor="text1"/>
          <w:sz w:val="19"/>
          <w:szCs w:val="19"/>
        </w:rPr>
        <w:t>»Artículo</w:t>
      </w:r>
      <w:proofErr w:type="gramEnd"/>
      <w:r w:rsidRPr="00E04191">
        <w:rPr>
          <w:rFonts w:ascii="Arial" w:hAnsi="Arial" w:cs="Arial"/>
          <w:color w:val="000000" w:themeColor="text1"/>
          <w:sz w:val="19"/>
          <w:szCs w:val="19"/>
        </w:rPr>
        <w:t xml:space="preserve"> 6.</w:t>
      </w:r>
      <w:r w:rsidRPr="00E04191" w:rsidR="004A53F4">
        <w:rPr>
          <w:rFonts w:ascii="Arial" w:hAnsi="Arial" w:cs="Arial"/>
          <w:color w:val="000000" w:themeColor="text1"/>
          <w:sz w:val="19"/>
          <w:szCs w:val="19"/>
        </w:rPr>
        <w:t xml:space="preserve"> De la verificación de las condiciones de los proponentes.</w:t>
      </w:r>
      <w:r w:rsidRPr="00E04191">
        <w:rPr>
          <w:rFonts w:ascii="Arial" w:hAnsi="Arial" w:cs="Arial"/>
          <w:color w:val="000000" w:themeColor="text1"/>
          <w:sz w:val="19"/>
          <w:szCs w:val="19"/>
        </w:rPr>
        <w:t xml:space="preserve"> </w:t>
      </w:r>
      <w:r w:rsidRPr="00E04191" w:rsidR="004A53F4">
        <w:rPr>
          <w:rFonts w:ascii="Arial" w:hAnsi="Arial" w:cs="Arial"/>
          <w:color w:val="000000" w:themeColor="text1"/>
          <w:sz w:val="19"/>
          <w:szCs w:val="19"/>
        </w:rPr>
        <w:t>T</w:t>
      </w:r>
      <w:proofErr w:type="spellStart"/>
      <w:r w:rsidRPr="00E04191" w:rsidR="00D20CF9">
        <w:rPr>
          <w:rFonts w:ascii="Arial" w:hAnsi="Arial" w:cs="Arial"/>
          <w:color w:val="000000" w:themeColor="text1"/>
          <w:sz w:val="19"/>
          <w:szCs w:val="19"/>
          <w:lang w:val="es-ES"/>
        </w:rPr>
        <w:t>odas</w:t>
      </w:r>
      <w:proofErr w:type="spellEnd"/>
      <w:r w:rsidRPr="00E04191" w:rsidR="00D20CF9">
        <w:rPr>
          <w:rFonts w:ascii="Arial" w:hAnsi="Arial" w:cs="Arial"/>
          <w:color w:val="000000" w:themeColor="text1"/>
          <w:sz w:val="19"/>
          <w:szCs w:val="19"/>
          <w:lang w:val="es-ES"/>
        </w:rPr>
        <w:t xml:space="preserve">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rsidRPr="00E04191" w:rsidR="00D20CF9" w:rsidP="00692DFF" w:rsidRDefault="00D20CF9" w14:paraId="227411BC" w14:textId="77777777">
      <w:pPr>
        <w:pStyle w:val="Textonotapie"/>
        <w:ind w:firstLine="709"/>
        <w:jc w:val="both"/>
        <w:rPr>
          <w:rFonts w:ascii="Arial" w:hAnsi="Arial" w:cs="Arial"/>
          <w:color w:val="000000" w:themeColor="text1"/>
          <w:sz w:val="19"/>
          <w:szCs w:val="19"/>
          <w:lang w:val="es-ES"/>
        </w:rPr>
      </w:pPr>
      <w:r w:rsidRPr="00E04191">
        <w:rPr>
          <w:rFonts w:ascii="Arial" w:hAnsi="Arial" w:cs="Arial"/>
          <w:color w:val="000000" w:themeColor="text1"/>
          <w:sz w:val="19"/>
          <w:szCs w:val="19"/>
          <w:lang w:val="es-ES"/>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rsidRPr="00E04191" w:rsidR="00D20CF9" w:rsidP="00692DFF" w:rsidRDefault="00D20CF9" w14:paraId="59D92B1E" w14:textId="77777777">
      <w:pPr>
        <w:pStyle w:val="Textonotapie"/>
        <w:ind w:firstLine="709"/>
        <w:jc w:val="both"/>
        <w:rPr>
          <w:rFonts w:ascii="Arial" w:hAnsi="Arial" w:cs="Arial"/>
          <w:color w:val="000000" w:themeColor="text1"/>
          <w:sz w:val="19"/>
          <w:szCs w:val="19"/>
        </w:rPr>
      </w:pPr>
    </w:p>
  </w:footnote>
  <w:footnote w:id="10">
    <w:p w:rsidRPr="00E04191" w:rsidR="00D20CF9" w:rsidP="00692DFF" w:rsidRDefault="00D20CF9" w14:paraId="7B580539" w14:textId="77777777">
      <w:pPr>
        <w:pStyle w:val="Textonotapie"/>
        <w:ind w:firstLine="709"/>
        <w:jc w:val="both"/>
        <w:rPr>
          <w:rFonts w:ascii="Arial" w:hAnsi="Arial" w:cs="Arial"/>
          <w:color w:val="000000" w:themeColor="text1"/>
          <w:sz w:val="19"/>
          <w:szCs w:val="19"/>
          <w:lang w:val="es-ES"/>
        </w:rPr>
      </w:pPr>
      <w:r w:rsidRPr="00E04191">
        <w:rPr>
          <w:rStyle w:val="Refdenotaalpie"/>
          <w:rFonts w:ascii="Arial" w:hAnsi="Arial" w:cs="Arial"/>
          <w:color w:val="000000" w:themeColor="text1"/>
          <w:sz w:val="19"/>
          <w:szCs w:val="19"/>
        </w:rPr>
        <w:footnoteRef/>
      </w:r>
      <w:r w:rsidRPr="00E04191">
        <w:rPr>
          <w:rFonts w:ascii="Arial" w:hAnsi="Arial" w:cs="Arial"/>
          <w:color w:val="000000" w:themeColor="text1"/>
          <w:sz w:val="19"/>
          <w:szCs w:val="19"/>
        </w:rPr>
        <w:t xml:space="preserve"> </w:t>
      </w:r>
      <w:r w:rsidRPr="00E04191">
        <w:rPr>
          <w:rFonts w:ascii="Arial" w:hAnsi="Arial" w:cs="Arial"/>
          <w:color w:val="000000" w:themeColor="text1"/>
          <w:sz w:val="19"/>
          <w:szCs w:val="19"/>
          <w:lang w:val="es-ES"/>
        </w:rPr>
        <w:t xml:space="preserve">En tal sentido, José Luis Benavides comenta que «Aunque la mayoría de las reglas limitativas de la responsabilidad contractual se aplican a la administración, existen también algunas restricciones importantes a la capacidad de los contratistas: </w:t>
      </w:r>
      <w:r w:rsidRPr="00E04191">
        <w:rPr>
          <w:rFonts w:ascii="Arial" w:hAnsi="Arial" w:cs="Arial"/>
          <w:i/>
          <w:iCs/>
          <w:color w:val="000000" w:themeColor="text1"/>
          <w:sz w:val="19"/>
          <w:szCs w:val="19"/>
          <w:lang w:val="es-ES"/>
        </w:rPr>
        <w:t>el régimen de inhabilidades e incompatibilidades</w:t>
      </w:r>
      <w:r w:rsidRPr="00E04191">
        <w:rPr>
          <w:rFonts w:ascii="Arial" w:hAnsi="Arial" w:cs="Arial"/>
          <w:color w:val="000000" w:themeColor="text1"/>
          <w:sz w:val="19"/>
          <w:szCs w:val="19"/>
          <w:lang w:val="es-ES"/>
        </w:rPr>
        <w:t xml:space="preserve"> (1) y la obligación de ciertos proponentes de inscribirse en el </w:t>
      </w:r>
      <w:r w:rsidRPr="00E04191">
        <w:rPr>
          <w:rFonts w:ascii="Arial" w:hAnsi="Arial" w:cs="Arial"/>
          <w:i/>
          <w:iCs/>
          <w:color w:val="000000" w:themeColor="text1"/>
          <w:sz w:val="19"/>
          <w:szCs w:val="19"/>
          <w:lang w:val="es-ES"/>
        </w:rPr>
        <w:t>registro único</w:t>
      </w:r>
      <w:r w:rsidRPr="00E04191">
        <w:rPr>
          <w:rFonts w:ascii="Arial" w:hAnsi="Arial" w:cs="Arial"/>
          <w:color w:val="000000" w:themeColor="text1"/>
          <w:sz w:val="19"/>
          <w:szCs w:val="19"/>
          <w:lang w:val="es-ES"/>
        </w:rPr>
        <w:t xml:space="preserve"> (2)» (BENAVIDES, José Luis. El contrato estatal. Entre el Derecho público y el Derecho privado. 2ª ed. Bogotá: Universidad Externado de Colombia, 2004. p. 278). </w:t>
      </w:r>
    </w:p>
    <w:p w:rsidRPr="00E04191" w:rsidR="00D20CF9" w:rsidP="00692DFF" w:rsidRDefault="00D20CF9" w14:paraId="7ACD480D" w14:textId="77777777">
      <w:pPr>
        <w:pStyle w:val="Textonotapie"/>
        <w:ind w:firstLine="709"/>
        <w:jc w:val="both"/>
        <w:rPr>
          <w:rFonts w:ascii="Arial" w:hAnsi="Arial" w:cs="Arial"/>
          <w:color w:val="000000" w:themeColor="text1"/>
          <w:sz w:val="19"/>
          <w:szCs w:val="19"/>
          <w:lang w:val="es-ES"/>
        </w:rPr>
      </w:pPr>
    </w:p>
  </w:footnote>
  <w:footnote w:id="11">
    <w:p w:rsidRPr="00E04191" w:rsidR="00D20CF9" w:rsidP="00692DFF" w:rsidRDefault="00D20CF9" w14:paraId="30520DBD" w14:textId="77777777">
      <w:pPr>
        <w:ind w:firstLine="709"/>
        <w:jc w:val="both"/>
        <w:rPr>
          <w:rFonts w:ascii="Arial" w:hAnsi="Arial" w:cs="Arial"/>
          <w:color w:val="000000" w:themeColor="text1"/>
          <w:sz w:val="19"/>
          <w:szCs w:val="19"/>
          <w:lang w:val="es-ES"/>
        </w:rPr>
      </w:pPr>
      <w:r w:rsidRPr="00E04191">
        <w:rPr>
          <w:rStyle w:val="Refdenotaalpie"/>
          <w:rFonts w:ascii="Arial" w:hAnsi="Arial" w:cs="Arial"/>
          <w:color w:val="000000" w:themeColor="text1"/>
          <w:sz w:val="19"/>
          <w:szCs w:val="19"/>
        </w:rPr>
        <w:footnoteRef/>
      </w:r>
      <w:r w:rsidRPr="00E04191">
        <w:rPr>
          <w:rFonts w:ascii="Arial" w:hAnsi="Arial" w:cs="Arial"/>
          <w:color w:val="000000" w:themeColor="text1"/>
          <w:sz w:val="19"/>
          <w:szCs w:val="19"/>
        </w:rPr>
        <w:t xml:space="preserve"> </w:t>
      </w:r>
      <w:r w:rsidRPr="00E04191">
        <w:rPr>
          <w:rFonts w:ascii="Arial" w:hAnsi="Arial" w:cs="Arial"/>
          <w:color w:val="000000" w:themeColor="text1"/>
          <w:sz w:val="19"/>
          <w:szCs w:val="19"/>
          <w:lang w:val="es-ES"/>
        </w:rPr>
        <w:t xml:space="preserve">Son inhabilidades que responden a esta circunstancia, entre otras, las siguientes: «Quienes participaron en las licitaciones o celebraron los contratos de que trata el literal anterior estando inhabilitados» (art. 8, </w:t>
      </w:r>
      <w:proofErr w:type="spellStart"/>
      <w:r w:rsidRPr="00E04191">
        <w:rPr>
          <w:rFonts w:ascii="Arial" w:hAnsi="Arial" w:cs="Arial"/>
          <w:color w:val="000000" w:themeColor="text1"/>
          <w:sz w:val="19"/>
          <w:szCs w:val="19"/>
          <w:lang w:val="es-ES"/>
        </w:rPr>
        <w:t>num</w:t>
      </w:r>
      <w:proofErr w:type="spellEnd"/>
      <w:r w:rsidRPr="00E04191">
        <w:rPr>
          <w:rFonts w:ascii="Arial" w:hAnsi="Arial" w:cs="Arial"/>
          <w:color w:val="000000" w:themeColor="text1"/>
          <w:sz w:val="19"/>
          <w:szCs w:val="19"/>
          <w:lang w:val="es-ES"/>
        </w:rPr>
        <w:t xml:space="preserve">. 1º, </w:t>
      </w:r>
      <w:proofErr w:type="spellStart"/>
      <w:r w:rsidRPr="00E04191">
        <w:rPr>
          <w:rFonts w:ascii="Arial" w:hAnsi="Arial" w:cs="Arial"/>
          <w:color w:val="000000" w:themeColor="text1"/>
          <w:sz w:val="19"/>
          <w:szCs w:val="19"/>
          <w:lang w:val="es-ES"/>
        </w:rPr>
        <w:t>lit.</w:t>
      </w:r>
      <w:proofErr w:type="spellEnd"/>
      <w:r w:rsidRPr="00E04191">
        <w:rPr>
          <w:rFonts w:ascii="Arial" w:hAnsi="Arial" w:cs="Arial"/>
          <w:color w:val="000000" w:themeColor="text1"/>
          <w:sz w:val="19"/>
          <w:szCs w:val="19"/>
          <w:lang w:val="es-ES"/>
        </w:rPr>
        <w:t xml:space="preserve"> b, Ley 80/93); «Quienes dieron lugar a la declaratoria de caducidad» (art. 8, </w:t>
      </w:r>
      <w:proofErr w:type="spellStart"/>
      <w:r w:rsidRPr="00E04191">
        <w:rPr>
          <w:rFonts w:ascii="Arial" w:hAnsi="Arial" w:cs="Arial"/>
          <w:color w:val="000000" w:themeColor="text1"/>
          <w:sz w:val="19"/>
          <w:szCs w:val="19"/>
          <w:lang w:val="es-ES"/>
        </w:rPr>
        <w:t>num</w:t>
      </w:r>
      <w:proofErr w:type="spellEnd"/>
      <w:r w:rsidRPr="00E04191">
        <w:rPr>
          <w:rFonts w:ascii="Arial" w:hAnsi="Arial" w:cs="Arial"/>
          <w:color w:val="000000" w:themeColor="text1"/>
          <w:sz w:val="19"/>
          <w:szCs w:val="19"/>
          <w:lang w:val="es-ES"/>
        </w:rPr>
        <w:t xml:space="preserve">. 1º, </w:t>
      </w:r>
      <w:proofErr w:type="spellStart"/>
      <w:r w:rsidRPr="00E04191">
        <w:rPr>
          <w:rFonts w:ascii="Arial" w:hAnsi="Arial" w:cs="Arial"/>
          <w:color w:val="000000" w:themeColor="text1"/>
          <w:sz w:val="19"/>
          <w:szCs w:val="19"/>
          <w:lang w:val="es-ES"/>
        </w:rPr>
        <w:t>lit.</w:t>
      </w:r>
      <w:proofErr w:type="spellEnd"/>
      <w:r w:rsidRPr="00E04191">
        <w:rPr>
          <w:rFonts w:ascii="Arial" w:hAnsi="Arial" w:cs="Arial"/>
          <w:color w:val="000000" w:themeColor="text1"/>
          <w:sz w:val="19"/>
          <w:szCs w:val="19"/>
          <w:lang w:val="es-ES"/>
        </w:rPr>
        <w:t xml:space="preserve"> c), Ley 80/93); «Quienes en sentencia judicial hayan sido condenados a la pena accesoria de interdicción de derechos y funciones públicas y quienes hayan sido sancionados disciplinariamente con destitución» (art. 8, </w:t>
      </w:r>
      <w:proofErr w:type="spellStart"/>
      <w:r w:rsidRPr="00E04191">
        <w:rPr>
          <w:rFonts w:ascii="Arial" w:hAnsi="Arial" w:cs="Arial"/>
          <w:color w:val="000000" w:themeColor="text1"/>
          <w:sz w:val="19"/>
          <w:szCs w:val="19"/>
          <w:lang w:val="es-ES"/>
        </w:rPr>
        <w:t>num</w:t>
      </w:r>
      <w:proofErr w:type="spellEnd"/>
      <w:r w:rsidRPr="00E04191">
        <w:rPr>
          <w:rFonts w:ascii="Arial" w:hAnsi="Arial" w:cs="Arial"/>
          <w:color w:val="000000" w:themeColor="text1"/>
          <w:sz w:val="19"/>
          <w:szCs w:val="19"/>
          <w:lang w:val="es-ES"/>
        </w:rPr>
        <w:t xml:space="preserve">. 1º, </w:t>
      </w:r>
      <w:proofErr w:type="spellStart"/>
      <w:r w:rsidRPr="00E04191">
        <w:rPr>
          <w:rFonts w:ascii="Arial" w:hAnsi="Arial" w:cs="Arial"/>
          <w:color w:val="000000" w:themeColor="text1"/>
          <w:sz w:val="19"/>
          <w:szCs w:val="19"/>
          <w:lang w:val="es-ES"/>
        </w:rPr>
        <w:t>lit.</w:t>
      </w:r>
      <w:proofErr w:type="spellEnd"/>
      <w:r w:rsidRPr="00E04191">
        <w:rPr>
          <w:rFonts w:ascii="Arial" w:hAnsi="Arial" w:cs="Arial"/>
          <w:color w:val="000000" w:themeColor="text1"/>
          <w:sz w:val="19"/>
          <w:szCs w:val="19"/>
          <w:lang w:val="es-ES"/>
        </w:rPr>
        <w:t xml:space="preserve"> d), Ley 80/93); «Quienes sin justa causa se abstengan de suscribir el contrato estatal adjudicado» (art. 8, </w:t>
      </w:r>
      <w:proofErr w:type="spellStart"/>
      <w:r w:rsidRPr="00E04191">
        <w:rPr>
          <w:rFonts w:ascii="Arial" w:hAnsi="Arial" w:cs="Arial"/>
          <w:color w:val="000000" w:themeColor="text1"/>
          <w:sz w:val="19"/>
          <w:szCs w:val="19"/>
          <w:lang w:val="es-ES"/>
        </w:rPr>
        <w:t>num</w:t>
      </w:r>
      <w:proofErr w:type="spellEnd"/>
      <w:r w:rsidRPr="00E04191">
        <w:rPr>
          <w:rFonts w:ascii="Arial" w:hAnsi="Arial" w:cs="Arial"/>
          <w:color w:val="000000" w:themeColor="text1"/>
          <w:sz w:val="19"/>
          <w:szCs w:val="19"/>
          <w:lang w:val="es-ES"/>
        </w:rPr>
        <w:t xml:space="preserve">. 1º, </w:t>
      </w:r>
      <w:proofErr w:type="spellStart"/>
      <w:r w:rsidRPr="00E04191">
        <w:rPr>
          <w:rFonts w:ascii="Arial" w:hAnsi="Arial" w:cs="Arial"/>
          <w:color w:val="000000" w:themeColor="text1"/>
          <w:sz w:val="19"/>
          <w:szCs w:val="19"/>
          <w:lang w:val="es-ES"/>
        </w:rPr>
        <w:t>lit.</w:t>
      </w:r>
      <w:proofErr w:type="spellEnd"/>
      <w:r w:rsidRPr="00E04191">
        <w:rPr>
          <w:rFonts w:ascii="Arial" w:hAnsi="Arial" w:cs="Arial"/>
          <w:color w:val="000000" w:themeColor="text1"/>
          <w:sz w:val="19"/>
          <w:szCs w:val="19"/>
          <w:lang w:val="es-ES"/>
        </w:rPr>
        <w:t xml:space="preserve"> e), Ley 80/93); «i) Los socios de sociedades de personas a las cuales se haya declarado la caducidad, así como las sociedades de personas de las que aquellos formen parte con posterioridad a dicha declaratoria» (art. 8, </w:t>
      </w:r>
      <w:proofErr w:type="spellStart"/>
      <w:r w:rsidRPr="00E04191">
        <w:rPr>
          <w:rFonts w:ascii="Arial" w:hAnsi="Arial" w:cs="Arial"/>
          <w:color w:val="000000" w:themeColor="text1"/>
          <w:sz w:val="19"/>
          <w:szCs w:val="19"/>
          <w:lang w:val="es-ES"/>
        </w:rPr>
        <w:t>num</w:t>
      </w:r>
      <w:proofErr w:type="spellEnd"/>
      <w:r w:rsidRPr="00E04191">
        <w:rPr>
          <w:rFonts w:ascii="Arial" w:hAnsi="Arial" w:cs="Arial"/>
          <w:color w:val="000000" w:themeColor="text1"/>
          <w:sz w:val="19"/>
          <w:szCs w:val="19"/>
          <w:lang w:val="es-ES"/>
        </w:rPr>
        <w:t xml:space="preserve">. 1º, </w:t>
      </w:r>
      <w:proofErr w:type="spellStart"/>
      <w:r w:rsidRPr="00E04191">
        <w:rPr>
          <w:rFonts w:ascii="Arial" w:hAnsi="Arial" w:cs="Arial"/>
          <w:color w:val="000000" w:themeColor="text1"/>
          <w:sz w:val="19"/>
          <w:szCs w:val="19"/>
          <w:lang w:val="es-ES"/>
        </w:rPr>
        <w:t>lit.</w:t>
      </w:r>
      <w:proofErr w:type="spellEnd"/>
      <w:r w:rsidRPr="00E04191">
        <w:rPr>
          <w:rFonts w:ascii="Arial" w:hAnsi="Arial" w:cs="Arial"/>
          <w:color w:val="000000" w:themeColor="text1"/>
          <w:sz w:val="19"/>
          <w:szCs w:val="19"/>
          <w:lang w:val="es-ES"/>
        </w:rPr>
        <w:t xml:space="preserve"> i), Ley 80/93); «Las personas naturales que hayan sido declaradas responsables judicialmente por la comisión de delitos contra la Administración Pública o de cualquiera de los delitos o faltas contemplados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(art. 8, </w:t>
      </w:r>
      <w:proofErr w:type="spellStart"/>
      <w:r w:rsidRPr="00E04191">
        <w:rPr>
          <w:rFonts w:ascii="Arial" w:hAnsi="Arial" w:cs="Arial"/>
          <w:color w:val="000000" w:themeColor="text1"/>
          <w:sz w:val="19"/>
          <w:szCs w:val="19"/>
          <w:lang w:val="es-ES"/>
        </w:rPr>
        <w:t>num</w:t>
      </w:r>
      <w:proofErr w:type="spellEnd"/>
      <w:r w:rsidRPr="00E04191">
        <w:rPr>
          <w:rFonts w:ascii="Arial" w:hAnsi="Arial" w:cs="Arial"/>
          <w:color w:val="000000" w:themeColor="text1"/>
          <w:sz w:val="19"/>
          <w:szCs w:val="19"/>
          <w:lang w:val="es-ES"/>
        </w:rPr>
        <w:t xml:space="preserve">. 1º, </w:t>
      </w:r>
      <w:proofErr w:type="spellStart"/>
      <w:r w:rsidRPr="00E04191">
        <w:rPr>
          <w:rFonts w:ascii="Arial" w:hAnsi="Arial" w:cs="Arial"/>
          <w:color w:val="000000" w:themeColor="text1"/>
          <w:sz w:val="19"/>
          <w:szCs w:val="19"/>
          <w:lang w:val="es-ES"/>
        </w:rPr>
        <w:t>lit.</w:t>
      </w:r>
      <w:proofErr w:type="spellEnd"/>
      <w:r w:rsidRPr="00E04191">
        <w:rPr>
          <w:rFonts w:ascii="Arial" w:hAnsi="Arial" w:cs="Arial"/>
          <w:color w:val="000000" w:themeColor="text1"/>
          <w:sz w:val="19"/>
          <w:szCs w:val="19"/>
          <w:lang w:val="es-ES"/>
        </w:rPr>
        <w:t xml:space="preserve"> j), Ley 80/93); «El interventor que incumpla el deber de entregar información a la entidad contratante relacionada con el incumplimiento del contrato, con hechos o circunstancias que puedan constituir actos de corrupción tipificados como conductas punibles, o que puedan poner o pongan en riesgo el cumplimiento del contrato» (art. 8, </w:t>
      </w:r>
      <w:proofErr w:type="spellStart"/>
      <w:r w:rsidRPr="00E04191">
        <w:rPr>
          <w:rFonts w:ascii="Arial" w:hAnsi="Arial" w:cs="Arial"/>
          <w:color w:val="000000" w:themeColor="text1"/>
          <w:sz w:val="19"/>
          <w:szCs w:val="19"/>
          <w:lang w:val="es-ES"/>
        </w:rPr>
        <w:t>num</w:t>
      </w:r>
      <w:proofErr w:type="spellEnd"/>
      <w:r w:rsidRPr="00E04191">
        <w:rPr>
          <w:rFonts w:ascii="Arial" w:hAnsi="Arial" w:cs="Arial"/>
          <w:color w:val="000000" w:themeColor="text1"/>
          <w:sz w:val="19"/>
          <w:szCs w:val="19"/>
          <w:lang w:val="es-ES"/>
        </w:rPr>
        <w:t xml:space="preserve">. 1º, </w:t>
      </w:r>
      <w:proofErr w:type="spellStart"/>
      <w:r w:rsidRPr="00E04191">
        <w:rPr>
          <w:rFonts w:ascii="Arial" w:hAnsi="Arial" w:cs="Arial"/>
          <w:color w:val="000000" w:themeColor="text1"/>
          <w:sz w:val="19"/>
          <w:szCs w:val="19"/>
          <w:lang w:val="es-ES"/>
        </w:rPr>
        <w:t>lit.</w:t>
      </w:r>
      <w:proofErr w:type="spellEnd"/>
      <w:r w:rsidRPr="00E04191">
        <w:rPr>
          <w:rFonts w:ascii="Arial" w:hAnsi="Arial" w:cs="Arial"/>
          <w:color w:val="000000" w:themeColor="text1"/>
          <w:sz w:val="19"/>
          <w:szCs w:val="19"/>
          <w:lang w:val="es-ES"/>
        </w:rPr>
        <w:t xml:space="preserve"> k), Ley 80/93); «Haber sido objeto de imposición de cinco (5) o más multas durante la ejecución de uno o varios contratos, con una o varias entidades estatales, durante los últimos tres (3) años; […] Haber sido objeto de declaratorias de incumplimiento contractual en por lo menos dos (2) contratos, con una o varias entidades estatales, durante los últimos tres (3) años; […] Haber sido objeto de imposición de dos (2) multas y un (1) incumplimiento durante una misma vigencia fiscal, con una o varias entidades estatales» (art. 90, </w:t>
      </w:r>
      <w:proofErr w:type="spellStart"/>
      <w:r w:rsidRPr="00E04191">
        <w:rPr>
          <w:rFonts w:ascii="Arial" w:hAnsi="Arial" w:cs="Arial"/>
          <w:color w:val="000000" w:themeColor="text1"/>
          <w:sz w:val="19"/>
          <w:szCs w:val="19"/>
          <w:lang w:val="es-ES"/>
        </w:rPr>
        <w:t>lit.</w:t>
      </w:r>
      <w:proofErr w:type="spellEnd"/>
      <w:r w:rsidRPr="00E04191">
        <w:rPr>
          <w:rFonts w:ascii="Arial" w:hAnsi="Arial" w:cs="Arial"/>
          <w:color w:val="000000" w:themeColor="text1"/>
          <w:sz w:val="19"/>
          <w:szCs w:val="19"/>
          <w:lang w:val="es-ES"/>
        </w:rPr>
        <w:t xml:space="preserve"> a), b) y c), Ley 1474/11, modificado por el art. 43, Ley 1955/19).</w:t>
      </w:r>
    </w:p>
    <w:p w:rsidRPr="00E04191" w:rsidR="00D20CF9" w:rsidP="00692DFF" w:rsidRDefault="00D20CF9" w14:paraId="56E5DE9B" w14:textId="77777777">
      <w:pPr>
        <w:ind w:firstLine="709"/>
        <w:jc w:val="both"/>
        <w:rPr>
          <w:rFonts w:ascii="Arial" w:hAnsi="Arial" w:cs="Arial"/>
          <w:color w:val="000000" w:themeColor="text1"/>
          <w:sz w:val="19"/>
          <w:szCs w:val="19"/>
          <w:lang w:val="es-ES"/>
        </w:rPr>
      </w:pPr>
    </w:p>
  </w:footnote>
  <w:footnote w:id="12">
    <w:p w:rsidRPr="00E04191" w:rsidR="00D20CF9" w:rsidP="00692DFF" w:rsidRDefault="00D20CF9" w14:paraId="4B99BD12" w14:textId="77777777">
      <w:pPr>
        <w:pStyle w:val="Textonotapie"/>
        <w:ind w:firstLine="709"/>
        <w:jc w:val="both"/>
        <w:rPr>
          <w:rFonts w:ascii="Arial" w:hAnsi="Arial" w:cs="Arial"/>
          <w:color w:val="000000" w:themeColor="text1"/>
          <w:sz w:val="19"/>
          <w:szCs w:val="19"/>
          <w:lang w:val="es-ES"/>
        </w:rPr>
      </w:pPr>
      <w:r w:rsidRPr="00E04191">
        <w:rPr>
          <w:rStyle w:val="Refdenotaalpie"/>
          <w:rFonts w:ascii="Arial" w:hAnsi="Arial" w:cs="Arial"/>
          <w:color w:val="000000" w:themeColor="text1"/>
          <w:sz w:val="19"/>
          <w:szCs w:val="19"/>
        </w:rPr>
        <w:footnoteRef/>
      </w:r>
      <w:r w:rsidRPr="00E04191">
        <w:rPr>
          <w:rFonts w:ascii="Arial" w:hAnsi="Arial" w:cs="Arial"/>
          <w:color w:val="000000" w:themeColor="text1"/>
          <w:sz w:val="19"/>
          <w:szCs w:val="19"/>
        </w:rPr>
        <w:t xml:space="preserve"> </w:t>
      </w:r>
      <w:r w:rsidRPr="00E04191">
        <w:rPr>
          <w:rFonts w:ascii="Arial" w:hAnsi="Arial" w:cs="Arial"/>
          <w:color w:val="000000" w:themeColor="text1"/>
          <w:sz w:val="19"/>
          <w:szCs w:val="19"/>
          <w:lang w:val="es-ES"/>
        </w:rPr>
        <w:t xml:space="preserve">Por ejemplo, a título enunciativo, las siguientes: «Quienes sean cónyuges o compañeros permanentes y quienes se encuentren dentro del segundo grado de consanguinidad o segundo de afinidad con cualquier otra persona que formalmente haya presentado propuesta para una misma licitación» (art. 8, </w:t>
      </w:r>
      <w:proofErr w:type="spellStart"/>
      <w:r w:rsidRPr="00E04191">
        <w:rPr>
          <w:rFonts w:ascii="Arial" w:hAnsi="Arial" w:cs="Arial"/>
          <w:color w:val="000000" w:themeColor="text1"/>
          <w:sz w:val="19"/>
          <w:szCs w:val="19"/>
          <w:lang w:val="es-ES"/>
        </w:rPr>
        <w:t>num</w:t>
      </w:r>
      <w:proofErr w:type="spellEnd"/>
      <w:r w:rsidRPr="00E04191">
        <w:rPr>
          <w:rFonts w:ascii="Arial" w:hAnsi="Arial" w:cs="Arial"/>
          <w:color w:val="000000" w:themeColor="text1"/>
          <w:sz w:val="19"/>
          <w:szCs w:val="19"/>
          <w:lang w:val="es-ES"/>
        </w:rPr>
        <w:t xml:space="preserve">. 1º, </w:t>
      </w:r>
      <w:proofErr w:type="spellStart"/>
      <w:r w:rsidRPr="00E04191">
        <w:rPr>
          <w:rFonts w:ascii="Arial" w:hAnsi="Arial" w:cs="Arial"/>
          <w:color w:val="000000" w:themeColor="text1"/>
          <w:sz w:val="19"/>
          <w:szCs w:val="19"/>
          <w:lang w:val="es-ES"/>
        </w:rPr>
        <w:t>lit.</w:t>
      </w:r>
      <w:proofErr w:type="spellEnd"/>
      <w:r w:rsidRPr="00E04191">
        <w:rPr>
          <w:rFonts w:ascii="Arial" w:hAnsi="Arial" w:cs="Arial"/>
          <w:color w:val="000000" w:themeColor="text1"/>
          <w:sz w:val="19"/>
          <w:szCs w:val="19"/>
          <w:lang w:val="es-ES"/>
        </w:rPr>
        <w:t xml:space="preserve"> g), Ley 80/93);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(art. 8, </w:t>
      </w:r>
      <w:proofErr w:type="spellStart"/>
      <w:r w:rsidRPr="00E04191">
        <w:rPr>
          <w:rFonts w:ascii="Arial" w:hAnsi="Arial" w:cs="Arial"/>
          <w:color w:val="000000" w:themeColor="text1"/>
          <w:sz w:val="19"/>
          <w:szCs w:val="19"/>
          <w:lang w:val="es-ES"/>
        </w:rPr>
        <w:t>num</w:t>
      </w:r>
      <w:proofErr w:type="spellEnd"/>
      <w:r w:rsidRPr="00E04191">
        <w:rPr>
          <w:rFonts w:ascii="Arial" w:hAnsi="Arial" w:cs="Arial"/>
          <w:color w:val="000000" w:themeColor="text1"/>
          <w:sz w:val="19"/>
          <w:szCs w:val="19"/>
          <w:lang w:val="es-ES"/>
        </w:rPr>
        <w:t xml:space="preserve">. 1º, </w:t>
      </w:r>
      <w:proofErr w:type="spellStart"/>
      <w:r w:rsidRPr="00E04191">
        <w:rPr>
          <w:rFonts w:ascii="Arial" w:hAnsi="Arial" w:cs="Arial"/>
          <w:color w:val="000000" w:themeColor="text1"/>
          <w:sz w:val="19"/>
          <w:szCs w:val="19"/>
          <w:lang w:val="es-ES"/>
        </w:rPr>
        <w:t>lit.</w:t>
      </w:r>
      <w:proofErr w:type="spellEnd"/>
      <w:r w:rsidRPr="00E04191">
        <w:rPr>
          <w:rFonts w:ascii="Arial" w:hAnsi="Arial" w:cs="Arial"/>
          <w:color w:val="000000" w:themeColor="text1"/>
          <w:sz w:val="19"/>
          <w:szCs w:val="19"/>
          <w:lang w:val="es-ES"/>
        </w:rPr>
        <w:t xml:space="preserve"> h), Ley 80/93);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(art. 8, </w:t>
      </w:r>
      <w:proofErr w:type="spellStart"/>
      <w:r w:rsidRPr="00E04191">
        <w:rPr>
          <w:rFonts w:ascii="Arial" w:hAnsi="Arial" w:cs="Arial"/>
          <w:color w:val="000000" w:themeColor="text1"/>
          <w:sz w:val="19"/>
          <w:szCs w:val="19"/>
          <w:lang w:val="es-ES"/>
        </w:rPr>
        <w:t>num</w:t>
      </w:r>
      <w:proofErr w:type="spellEnd"/>
      <w:r w:rsidRPr="00E04191">
        <w:rPr>
          <w:rFonts w:ascii="Arial" w:hAnsi="Arial" w:cs="Arial"/>
          <w:color w:val="000000" w:themeColor="text1"/>
          <w:sz w:val="19"/>
          <w:szCs w:val="19"/>
          <w:lang w:val="es-ES"/>
        </w:rPr>
        <w:t xml:space="preserve">. 2º, </w:t>
      </w:r>
      <w:proofErr w:type="spellStart"/>
      <w:r w:rsidRPr="00E04191">
        <w:rPr>
          <w:rFonts w:ascii="Arial" w:hAnsi="Arial" w:cs="Arial"/>
          <w:color w:val="000000" w:themeColor="text1"/>
          <w:sz w:val="19"/>
          <w:szCs w:val="19"/>
          <w:lang w:val="es-ES"/>
        </w:rPr>
        <w:t>lit.</w:t>
      </w:r>
      <w:proofErr w:type="spellEnd"/>
      <w:r w:rsidRPr="00E04191">
        <w:rPr>
          <w:rFonts w:ascii="Arial" w:hAnsi="Arial" w:cs="Arial"/>
          <w:color w:val="000000" w:themeColor="text1"/>
          <w:sz w:val="19"/>
          <w:szCs w:val="19"/>
          <w:lang w:val="es-ES"/>
        </w:rPr>
        <w:t xml:space="preserve"> b), Ley 80/93); «El cónyuge, compañero o compañera permanente del servidor público en los niveles directivo, asesor, ejecutivo, o de un miembro de la junta o consejo directivo, o de quien ejerza funciones de control interno o de control fiscal» (art. 8, </w:t>
      </w:r>
      <w:proofErr w:type="spellStart"/>
      <w:r w:rsidRPr="00E04191">
        <w:rPr>
          <w:rFonts w:ascii="Arial" w:hAnsi="Arial" w:cs="Arial"/>
          <w:color w:val="000000" w:themeColor="text1"/>
          <w:sz w:val="19"/>
          <w:szCs w:val="19"/>
          <w:lang w:val="es-ES"/>
        </w:rPr>
        <w:t>num</w:t>
      </w:r>
      <w:proofErr w:type="spellEnd"/>
      <w:r w:rsidRPr="00E04191">
        <w:rPr>
          <w:rFonts w:ascii="Arial" w:hAnsi="Arial" w:cs="Arial"/>
          <w:color w:val="000000" w:themeColor="text1"/>
          <w:sz w:val="19"/>
          <w:szCs w:val="19"/>
          <w:lang w:val="es-ES"/>
        </w:rPr>
        <w:t xml:space="preserve">. 2º, </w:t>
      </w:r>
      <w:proofErr w:type="spellStart"/>
      <w:r w:rsidRPr="00E04191">
        <w:rPr>
          <w:rFonts w:ascii="Arial" w:hAnsi="Arial" w:cs="Arial"/>
          <w:color w:val="000000" w:themeColor="text1"/>
          <w:sz w:val="19"/>
          <w:szCs w:val="19"/>
          <w:lang w:val="es-ES"/>
        </w:rPr>
        <w:t>lit.</w:t>
      </w:r>
      <w:proofErr w:type="spellEnd"/>
      <w:r w:rsidRPr="00E04191">
        <w:rPr>
          <w:rFonts w:ascii="Arial" w:hAnsi="Arial" w:cs="Arial"/>
          <w:color w:val="000000" w:themeColor="text1"/>
          <w:sz w:val="19"/>
          <w:szCs w:val="19"/>
          <w:lang w:val="es-ES"/>
        </w:rPr>
        <w:t xml:space="preserve"> c),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w:t>
      </w:r>
      <w:proofErr w:type="spellStart"/>
      <w:r w:rsidRPr="00E04191">
        <w:rPr>
          <w:rFonts w:ascii="Arial" w:hAnsi="Arial" w:cs="Arial"/>
          <w:color w:val="000000" w:themeColor="text1"/>
          <w:sz w:val="19"/>
          <w:szCs w:val="19"/>
          <w:lang w:val="es-ES"/>
        </w:rPr>
        <w:t>num</w:t>
      </w:r>
      <w:proofErr w:type="spellEnd"/>
      <w:r w:rsidRPr="00E04191">
        <w:rPr>
          <w:rFonts w:ascii="Arial" w:hAnsi="Arial" w:cs="Arial"/>
          <w:color w:val="000000" w:themeColor="text1"/>
          <w:sz w:val="19"/>
          <w:szCs w:val="19"/>
          <w:lang w:val="es-ES"/>
        </w:rPr>
        <w:t xml:space="preserve">. 2º, </w:t>
      </w:r>
      <w:proofErr w:type="spellStart"/>
      <w:r w:rsidRPr="00E04191">
        <w:rPr>
          <w:rFonts w:ascii="Arial" w:hAnsi="Arial" w:cs="Arial"/>
          <w:color w:val="000000" w:themeColor="text1"/>
          <w:sz w:val="19"/>
          <w:szCs w:val="19"/>
          <w:lang w:val="es-ES"/>
        </w:rPr>
        <w:t>lit.</w:t>
      </w:r>
      <w:proofErr w:type="spellEnd"/>
      <w:r w:rsidRPr="00E04191">
        <w:rPr>
          <w:rFonts w:ascii="Arial" w:hAnsi="Arial" w:cs="Arial"/>
          <w:color w:val="000000" w:themeColor="text1"/>
          <w:sz w:val="19"/>
          <w:szCs w:val="19"/>
          <w:lang w:val="es-ES"/>
        </w:rPr>
        <w:t xml:space="preserve"> d), Ley 80/93).</w:t>
      </w:r>
    </w:p>
    <w:p w:rsidRPr="00E04191" w:rsidR="00D20CF9" w:rsidP="00692DFF" w:rsidRDefault="00D20CF9" w14:paraId="63F7306E" w14:textId="77777777">
      <w:pPr>
        <w:pStyle w:val="Textonotapie"/>
        <w:ind w:firstLine="709"/>
        <w:jc w:val="both"/>
        <w:rPr>
          <w:rFonts w:ascii="Arial" w:hAnsi="Arial" w:cs="Arial"/>
          <w:color w:val="000000" w:themeColor="text1"/>
          <w:sz w:val="19"/>
          <w:szCs w:val="19"/>
        </w:rPr>
      </w:pPr>
    </w:p>
  </w:footnote>
  <w:footnote w:id="13">
    <w:p w:rsidRPr="00E04191" w:rsidR="00D20CF9" w:rsidP="00692DFF" w:rsidRDefault="00D20CF9" w14:paraId="1D09E473" w14:textId="77777777">
      <w:pPr>
        <w:pStyle w:val="Textonotapie"/>
        <w:ind w:firstLine="709"/>
        <w:jc w:val="both"/>
        <w:rPr>
          <w:rFonts w:ascii="Arial" w:hAnsi="Arial" w:cs="Arial"/>
          <w:color w:val="000000" w:themeColor="text1"/>
          <w:sz w:val="19"/>
          <w:szCs w:val="19"/>
          <w:lang w:val="es-ES"/>
        </w:rPr>
      </w:pPr>
      <w:r w:rsidRPr="00E04191">
        <w:rPr>
          <w:rStyle w:val="Refdenotaalpie"/>
          <w:rFonts w:ascii="Arial" w:hAnsi="Arial" w:cs="Arial"/>
          <w:color w:val="000000" w:themeColor="text1"/>
          <w:sz w:val="19"/>
          <w:szCs w:val="19"/>
        </w:rPr>
        <w:footnoteRef/>
      </w:r>
      <w:r w:rsidRPr="00E04191">
        <w:rPr>
          <w:rFonts w:ascii="Arial" w:hAnsi="Arial" w:cs="Arial"/>
          <w:color w:val="000000" w:themeColor="text1"/>
          <w:sz w:val="19"/>
          <w:szCs w:val="19"/>
        </w:rPr>
        <w:t xml:space="preserve"> </w:t>
      </w:r>
      <w:r w:rsidRPr="00E04191">
        <w:rPr>
          <w:rFonts w:ascii="Arial" w:hAnsi="Arial" w:cs="Arial"/>
          <w:color w:val="000000" w:themeColor="text1"/>
          <w:sz w:val="19"/>
          <w:szCs w:val="19"/>
          <w:lang w:val="es-ES"/>
        </w:rPr>
        <w:t xml:space="preserve">Verbigracia, entre otras, las que se indican a continuación: «Las personas que hayan financiado campañas políticas a la Presidencia de la República, a las gobernaciones o a las alcaldías con aportes superiores al dos punto cinco por ciento (2.5%)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 (art. 8, </w:t>
      </w:r>
      <w:proofErr w:type="spellStart"/>
      <w:r w:rsidRPr="00E04191">
        <w:rPr>
          <w:rFonts w:ascii="Arial" w:hAnsi="Arial" w:cs="Arial"/>
          <w:color w:val="000000" w:themeColor="text1"/>
          <w:sz w:val="19"/>
          <w:szCs w:val="19"/>
          <w:lang w:val="es-ES"/>
        </w:rPr>
        <w:t>num</w:t>
      </w:r>
      <w:proofErr w:type="spellEnd"/>
      <w:r w:rsidRPr="00E04191">
        <w:rPr>
          <w:rFonts w:ascii="Arial" w:hAnsi="Arial" w:cs="Arial"/>
          <w:color w:val="000000" w:themeColor="text1"/>
          <w:sz w:val="19"/>
          <w:szCs w:val="19"/>
          <w:lang w:val="es-ES"/>
        </w:rPr>
        <w:t xml:space="preserve">. 1º, </w:t>
      </w:r>
      <w:proofErr w:type="spellStart"/>
      <w:r w:rsidRPr="00E04191">
        <w:rPr>
          <w:rFonts w:ascii="Arial" w:hAnsi="Arial" w:cs="Arial"/>
          <w:color w:val="000000" w:themeColor="text1"/>
          <w:sz w:val="19"/>
          <w:szCs w:val="19"/>
          <w:lang w:val="es-ES"/>
        </w:rPr>
        <w:t>lit.</w:t>
      </w:r>
      <w:proofErr w:type="spellEnd"/>
      <w:r w:rsidRPr="00E04191">
        <w:rPr>
          <w:rFonts w:ascii="Arial" w:hAnsi="Arial" w:cs="Arial"/>
          <w:color w:val="000000" w:themeColor="text1"/>
          <w:sz w:val="19"/>
          <w:szCs w:val="19"/>
          <w:lang w:val="es-ES"/>
        </w:rPr>
        <w:t xml:space="preserve"> k), Ley 80/93, modificado por el art. 33, Ley 1778/16); «Quienes fueron miembros de la junta o consejo directivo o servidores públicos de la entidad contratante» (art. 8, </w:t>
      </w:r>
      <w:proofErr w:type="spellStart"/>
      <w:r w:rsidRPr="00E04191">
        <w:rPr>
          <w:rFonts w:ascii="Arial" w:hAnsi="Arial" w:cs="Arial"/>
          <w:color w:val="000000" w:themeColor="text1"/>
          <w:sz w:val="19"/>
          <w:szCs w:val="19"/>
          <w:lang w:val="es-ES"/>
        </w:rPr>
        <w:t>num</w:t>
      </w:r>
      <w:proofErr w:type="spellEnd"/>
      <w:r w:rsidRPr="00E04191">
        <w:rPr>
          <w:rFonts w:ascii="Arial" w:hAnsi="Arial" w:cs="Arial"/>
          <w:color w:val="000000" w:themeColor="text1"/>
          <w:sz w:val="19"/>
          <w:szCs w:val="19"/>
          <w:lang w:val="es-ES"/>
        </w:rPr>
        <w:t xml:space="preserve">. 2º, </w:t>
      </w:r>
      <w:proofErr w:type="spellStart"/>
      <w:r w:rsidRPr="00E04191">
        <w:rPr>
          <w:rFonts w:ascii="Arial" w:hAnsi="Arial" w:cs="Arial"/>
          <w:color w:val="000000" w:themeColor="text1"/>
          <w:sz w:val="19"/>
          <w:szCs w:val="19"/>
          <w:lang w:val="es-ES"/>
        </w:rPr>
        <w:t>lit.</w:t>
      </w:r>
      <w:proofErr w:type="spellEnd"/>
      <w:r w:rsidRPr="00E04191">
        <w:rPr>
          <w:rFonts w:ascii="Arial" w:hAnsi="Arial" w:cs="Arial"/>
          <w:color w:val="000000" w:themeColor="text1"/>
          <w:sz w:val="19"/>
          <w:szCs w:val="19"/>
          <w:lang w:val="es-ES"/>
        </w:rPr>
        <w:t xml:space="preserve"> a), Ley 80/93) [a pesar de que la norma la califica como una incompatibilidad, en realidad se trata de una inhabilidad, ya que en dicha causal no existe concurrencia de calidades en un sujeto];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(art. 8, </w:t>
      </w:r>
      <w:proofErr w:type="spellStart"/>
      <w:r w:rsidRPr="00E04191">
        <w:rPr>
          <w:rFonts w:ascii="Arial" w:hAnsi="Arial" w:cs="Arial"/>
          <w:color w:val="000000" w:themeColor="text1"/>
          <w:sz w:val="19"/>
          <w:szCs w:val="19"/>
          <w:lang w:val="es-ES"/>
        </w:rPr>
        <w:t>num</w:t>
      </w:r>
      <w:proofErr w:type="spellEnd"/>
      <w:r w:rsidRPr="00E04191">
        <w:rPr>
          <w:rFonts w:ascii="Arial" w:hAnsi="Arial" w:cs="Arial"/>
          <w:color w:val="000000" w:themeColor="text1"/>
          <w:sz w:val="19"/>
          <w:szCs w:val="19"/>
          <w:lang w:val="es-ES"/>
        </w:rPr>
        <w:t xml:space="preserve">. 2º, </w:t>
      </w:r>
      <w:proofErr w:type="spellStart"/>
      <w:r w:rsidRPr="00E04191">
        <w:rPr>
          <w:rFonts w:ascii="Arial" w:hAnsi="Arial" w:cs="Arial"/>
          <w:color w:val="000000" w:themeColor="text1"/>
          <w:sz w:val="19"/>
          <w:szCs w:val="19"/>
          <w:lang w:val="es-ES"/>
        </w:rPr>
        <w:t>lit.</w:t>
      </w:r>
      <w:proofErr w:type="spellEnd"/>
      <w:r w:rsidRPr="00E04191">
        <w:rPr>
          <w:rFonts w:ascii="Arial" w:hAnsi="Arial" w:cs="Arial"/>
          <w:color w:val="000000" w:themeColor="text1"/>
          <w:sz w:val="19"/>
          <w:szCs w:val="19"/>
          <w:lang w:val="es-ES"/>
        </w:rPr>
        <w:t xml:space="preserve"> f), Ley 80/93, adicionado por el art. 4º, Ley 1474/2011) [a pesar de que la norma la califica como una incompatibilidad, en realidad se trata de una inhabilidad, ya que en dicha causal no existe concurrencia de calidades en un sujeto]. </w:t>
      </w:r>
    </w:p>
    <w:p w:rsidRPr="00E04191" w:rsidR="00D20CF9" w:rsidP="00692DFF" w:rsidRDefault="00D20CF9" w14:paraId="1F8DC641" w14:textId="77777777">
      <w:pPr>
        <w:pStyle w:val="Textonotapie"/>
        <w:ind w:firstLine="709"/>
        <w:jc w:val="both"/>
        <w:rPr>
          <w:rFonts w:ascii="Arial" w:hAnsi="Arial" w:cs="Arial"/>
          <w:color w:val="000000" w:themeColor="text1"/>
          <w:sz w:val="19"/>
          <w:szCs w:val="19"/>
        </w:rPr>
      </w:pPr>
      <w:r w:rsidRPr="00E04191">
        <w:rPr>
          <w:rFonts w:ascii="Arial" w:hAnsi="Arial" w:cs="Arial"/>
          <w:color w:val="000000" w:themeColor="text1"/>
          <w:sz w:val="19"/>
          <w:szCs w:val="19"/>
          <w:lang w:val="es-ES"/>
        </w:rPr>
        <w:t xml:space="preserve">  </w:t>
      </w:r>
    </w:p>
  </w:footnote>
  <w:footnote w:id="14">
    <w:p w:rsidRPr="00E04191" w:rsidR="00D20CF9" w:rsidP="00692DFF" w:rsidRDefault="00D20CF9" w14:paraId="1CFB611D" w14:textId="77777777">
      <w:pPr>
        <w:ind w:firstLine="709"/>
        <w:jc w:val="both"/>
        <w:rPr>
          <w:rFonts w:ascii="Arial" w:hAnsi="Arial" w:cs="Arial"/>
          <w:color w:val="000000" w:themeColor="text1"/>
          <w:sz w:val="19"/>
          <w:szCs w:val="19"/>
          <w:lang w:val="es-ES"/>
        </w:rPr>
      </w:pPr>
      <w:r w:rsidRPr="00E04191">
        <w:rPr>
          <w:rStyle w:val="Refdenotaalpie"/>
          <w:rFonts w:ascii="Arial" w:hAnsi="Arial" w:cs="Arial"/>
          <w:color w:val="000000" w:themeColor="text1"/>
          <w:sz w:val="19"/>
          <w:szCs w:val="19"/>
        </w:rPr>
        <w:footnoteRef/>
      </w:r>
      <w:r w:rsidRPr="00E04191">
        <w:rPr>
          <w:rFonts w:ascii="Arial" w:hAnsi="Arial" w:cs="Arial"/>
          <w:color w:val="000000" w:themeColor="text1"/>
          <w:sz w:val="19"/>
          <w:szCs w:val="19"/>
        </w:rPr>
        <w:t xml:space="preserve"> </w:t>
      </w:r>
      <w:r w:rsidRPr="00E04191">
        <w:rPr>
          <w:rFonts w:ascii="Arial" w:hAnsi="Arial" w:cs="Arial"/>
          <w:color w:val="000000" w:themeColor="text1"/>
          <w:sz w:val="19"/>
          <w:szCs w:val="19"/>
          <w:lang w:val="es-ES"/>
        </w:rPr>
        <w:t xml:space="preserve">Como las señaladas a continuación: «Los servidores públicos» (art. 8, </w:t>
      </w:r>
      <w:proofErr w:type="spellStart"/>
      <w:r w:rsidRPr="00E04191">
        <w:rPr>
          <w:rFonts w:ascii="Arial" w:hAnsi="Arial" w:cs="Arial"/>
          <w:color w:val="000000" w:themeColor="text1"/>
          <w:sz w:val="19"/>
          <w:szCs w:val="19"/>
          <w:lang w:val="es-ES"/>
        </w:rPr>
        <w:t>num</w:t>
      </w:r>
      <w:proofErr w:type="spellEnd"/>
      <w:r w:rsidRPr="00E04191">
        <w:rPr>
          <w:rFonts w:ascii="Arial" w:hAnsi="Arial" w:cs="Arial"/>
          <w:color w:val="000000" w:themeColor="text1"/>
          <w:sz w:val="19"/>
          <w:szCs w:val="19"/>
          <w:lang w:val="es-ES"/>
        </w:rPr>
        <w:t xml:space="preserve">. 1º, </w:t>
      </w:r>
      <w:proofErr w:type="spellStart"/>
      <w:r w:rsidRPr="00E04191">
        <w:rPr>
          <w:rFonts w:ascii="Arial" w:hAnsi="Arial" w:cs="Arial"/>
          <w:color w:val="000000" w:themeColor="text1"/>
          <w:sz w:val="19"/>
          <w:szCs w:val="19"/>
          <w:lang w:val="es-ES"/>
        </w:rPr>
        <w:t>lit.</w:t>
      </w:r>
      <w:proofErr w:type="spellEnd"/>
      <w:r w:rsidRPr="00E04191">
        <w:rPr>
          <w:rFonts w:ascii="Arial" w:hAnsi="Arial" w:cs="Arial"/>
          <w:color w:val="000000" w:themeColor="text1"/>
          <w:sz w:val="19"/>
          <w:szCs w:val="19"/>
          <w:lang w:val="es-ES"/>
        </w:rPr>
        <w:t xml:space="preserve"> f),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w:t>
      </w:r>
      <w:proofErr w:type="spellStart"/>
      <w:r w:rsidRPr="00E04191">
        <w:rPr>
          <w:rFonts w:ascii="Arial" w:hAnsi="Arial" w:cs="Arial"/>
          <w:color w:val="000000" w:themeColor="text1"/>
          <w:sz w:val="19"/>
          <w:szCs w:val="19"/>
          <w:lang w:val="es-ES"/>
        </w:rPr>
        <w:t>num</w:t>
      </w:r>
      <w:proofErr w:type="spellEnd"/>
      <w:r w:rsidRPr="00E04191">
        <w:rPr>
          <w:rFonts w:ascii="Arial" w:hAnsi="Arial" w:cs="Arial"/>
          <w:color w:val="000000" w:themeColor="text1"/>
          <w:sz w:val="19"/>
          <w:szCs w:val="19"/>
          <w:lang w:val="es-ES"/>
        </w:rPr>
        <w:t xml:space="preserve">. 2º, </w:t>
      </w:r>
      <w:proofErr w:type="spellStart"/>
      <w:r w:rsidRPr="00E04191">
        <w:rPr>
          <w:rFonts w:ascii="Arial" w:hAnsi="Arial" w:cs="Arial"/>
          <w:color w:val="000000" w:themeColor="text1"/>
          <w:sz w:val="19"/>
          <w:szCs w:val="19"/>
          <w:lang w:val="es-ES"/>
        </w:rPr>
        <w:t>lit.</w:t>
      </w:r>
      <w:proofErr w:type="spellEnd"/>
      <w:r w:rsidRPr="00E04191">
        <w:rPr>
          <w:rFonts w:ascii="Arial" w:hAnsi="Arial" w:cs="Arial"/>
          <w:color w:val="000000" w:themeColor="text1"/>
          <w:sz w:val="19"/>
          <w:szCs w:val="19"/>
          <w:lang w:val="es-ES"/>
        </w:rPr>
        <w:t xml:space="preserve"> d), Ley 80/93); «Los miembros de las juntas o consejos directivos. Esta incompatibilidad sólo se predica respecto de la entidad a la cual prestan sus servicios y de las del sector administrativo al que la misma esté adscrita o vinculada» (art. 8, </w:t>
      </w:r>
      <w:proofErr w:type="spellStart"/>
      <w:r w:rsidRPr="00E04191">
        <w:rPr>
          <w:rFonts w:ascii="Arial" w:hAnsi="Arial" w:cs="Arial"/>
          <w:color w:val="000000" w:themeColor="text1"/>
          <w:sz w:val="19"/>
          <w:szCs w:val="19"/>
          <w:lang w:val="es-ES"/>
        </w:rPr>
        <w:t>num</w:t>
      </w:r>
      <w:proofErr w:type="spellEnd"/>
      <w:r w:rsidRPr="00E04191">
        <w:rPr>
          <w:rFonts w:ascii="Arial" w:hAnsi="Arial" w:cs="Arial"/>
          <w:color w:val="000000" w:themeColor="text1"/>
          <w:sz w:val="19"/>
          <w:szCs w:val="19"/>
          <w:lang w:val="es-ES"/>
        </w:rPr>
        <w:t xml:space="preserve">. 2º, </w:t>
      </w:r>
      <w:proofErr w:type="spellStart"/>
      <w:r w:rsidRPr="00E04191">
        <w:rPr>
          <w:rFonts w:ascii="Arial" w:hAnsi="Arial" w:cs="Arial"/>
          <w:color w:val="000000" w:themeColor="text1"/>
          <w:sz w:val="19"/>
          <w:szCs w:val="19"/>
          <w:lang w:val="es-ES"/>
        </w:rPr>
        <w:t>lit.</w:t>
      </w:r>
      <w:proofErr w:type="spellEnd"/>
      <w:r w:rsidRPr="00E04191">
        <w:rPr>
          <w:rFonts w:ascii="Arial" w:hAnsi="Arial" w:cs="Arial"/>
          <w:color w:val="000000" w:themeColor="text1"/>
          <w:sz w:val="19"/>
          <w:szCs w:val="19"/>
          <w:lang w:val="es-ES"/>
        </w:rPr>
        <w:t xml:space="preserve"> e), Ley 80/93); «Quien haya celebrado un contrato estatal de obra pública, de concesión, suministro de medicamentos y de alimentos o su cónyuge, compañero o compañera permanente, pariente hasta el segundo grado de </w:t>
      </w:r>
      <w:proofErr w:type="spellStart"/>
      <w:r w:rsidRPr="00E04191">
        <w:rPr>
          <w:rFonts w:ascii="Arial" w:hAnsi="Arial" w:cs="Arial"/>
          <w:color w:val="000000" w:themeColor="text1"/>
          <w:sz w:val="19"/>
          <w:szCs w:val="19"/>
          <w:lang w:val="es-ES"/>
        </w:rPr>
        <w:t>consaguinidad</w:t>
      </w:r>
      <w:proofErr w:type="spellEnd"/>
      <w:r w:rsidRPr="00E04191">
        <w:rPr>
          <w:rFonts w:ascii="Arial" w:hAnsi="Arial" w:cs="Arial"/>
          <w:color w:val="000000" w:themeColor="text1"/>
          <w:sz w:val="19"/>
          <w:szCs w:val="19"/>
          <w:lang w:val="es-ES"/>
        </w:rPr>
        <w:t xml:space="preserve">, segundo de afinidad y/o primero civil o sus socios en sociedades distintas de las anónimas abiertas, con las entidades a que se refiere el artículo 2o de la Ley 80 de 1993, durante el plazo de ejecución y hasta la liquidación del mismo, no podrán celebrar contratos de interventoría con la misma entidad» (art. 5, Ley 1474/11). </w:t>
      </w:r>
    </w:p>
    <w:p w:rsidRPr="00E04191" w:rsidR="00D20CF9" w:rsidP="00692DFF" w:rsidRDefault="00D20CF9" w14:paraId="72C96388" w14:textId="77777777">
      <w:pPr>
        <w:ind w:firstLine="709"/>
        <w:jc w:val="both"/>
        <w:rPr>
          <w:rFonts w:ascii="Arial" w:hAnsi="Arial" w:cs="Arial"/>
          <w:color w:val="000000" w:themeColor="text1"/>
          <w:sz w:val="19"/>
          <w:szCs w:val="19"/>
          <w:lang w:val="es-ES"/>
        </w:rPr>
      </w:pPr>
    </w:p>
  </w:footnote>
  <w:footnote w:id="15">
    <w:p w:rsidRPr="00E04191" w:rsidR="00D20CF9" w:rsidP="00692DFF" w:rsidRDefault="00D20CF9" w14:paraId="32FC5BFB" w14:textId="77777777">
      <w:pPr>
        <w:pStyle w:val="Textonotapie"/>
        <w:ind w:firstLine="709"/>
        <w:jc w:val="both"/>
        <w:rPr>
          <w:rFonts w:ascii="Arial" w:hAnsi="Arial" w:cs="Arial"/>
          <w:color w:val="000000" w:themeColor="text1"/>
          <w:sz w:val="19"/>
          <w:szCs w:val="19"/>
          <w:lang w:val="es-ES"/>
        </w:rPr>
      </w:pPr>
      <w:r w:rsidRPr="00E04191">
        <w:rPr>
          <w:rStyle w:val="Refdenotaalpie"/>
          <w:rFonts w:ascii="Arial" w:hAnsi="Arial" w:cs="Arial"/>
          <w:color w:val="000000" w:themeColor="text1"/>
          <w:sz w:val="19"/>
          <w:szCs w:val="19"/>
        </w:rPr>
        <w:footnoteRef/>
      </w:r>
      <w:r w:rsidRPr="00E04191">
        <w:rPr>
          <w:rFonts w:ascii="Arial" w:hAnsi="Arial" w:cs="Arial"/>
          <w:color w:val="000000" w:themeColor="text1"/>
          <w:sz w:val="19"/>
          <w:szCs w:val="19"/>
        </w:rPr>
        <w:t xml:space="preserve"> </w:t>
      </w:r>
      <w:r w:rsidRPr="00E04191">
        <w:rPr>
          <w:rFonts w:ascii="Arial" w:hAnsi="Arial" w:cs="Arial"/>
          <w:color w:val="000000" w:themeColor="text1"/>
          <w:sz w:val="19"/>
          <w:szCs w:val="19"/>
          <w:lang w:val="es-ES"/>
        </w:rPr>
        <w:t xml:space="preserve">BARRETO ROZO, Antonio Alejandro. Inhabilidades de la contratación estatal, efectos y </w:t>
      </w:r>
      <w:proofErr w:type="spellStart"/>
      <w:r w:rsidRPr="00E04191">
        <w:rPr>
          <w:rFonts w:ascii="Arial" w:hAnsi="Arial" w:cs="Arial"/>
          <w:color w:val="000000" w:themeColor="text1"/>
          <w:sz w:val="19"/>
          <w:szCs w:val="19"/>
          <w:lang w:val="es-ES"/>
        </w:rPr>
        <w:t>neopunitivismo</w:t>
      </w:r>
      <w:proofErr w:type="spellEnd"/>
      <w:r w:rsidRPr="00E04191">
        <w:rPr>
          <w:rFonts w:ascii="Arial" w:hAnsi="Arial" w:cs="Arial"/>
          <w:color w:val="000000" w:themeColor="text1"/>
          <w:sz w:val="19"/>
          <w:szCs w:val="19"/>
          <w:lang w:val="es-ES"/>
        </w:rPr>
        <w:t xml:space="preserve"> en el Estatuto Anticorrupción. En: ALVIAR GARCÍA, Helena (Coordinadora). Nuevas tendencias del Derecho administrativo. Bogotá: Universidad de los Andes; Temis, 2016. pp. 63-99.</w:t>
      </w:r>
    </w:p>
    <w:p w:rsidRPr="00E04191" w:rsidR="00D20CF9" w:rsidP="00692DFF" w:rsidRDefault="00D20CF9" w14:paraId="16618487" w14:textId="77777777">
      <w:pPr>
        <w:pStyle w:val="Textonotapie"/>
        <w:ind w:firstLine="709"/>
        <w:jc w:val="both"/>
        <w:rPr>
          <w:rFonts w:ascii="Arial" w:hAnsi="Arial" w:cs="Arial"/>
          <w:color w:val="000000" w:themeColor="text1"/>
          <w:sz w:val="19"/>
          <w:szCs w:val="19"/>
          <w:lang w:val="es-ES"/>
        </w:rPr>
      </w:pPr>
    </w:p>
  </w:footnote>
  <w:footnote w:id="16">
    <w:p w:rsidRPr="00E04191" w:rsidR="00D20CF9" w:rsidP="00692DFF" w:rsidRDefault="00D20CF9" w14:paraId="3625E870" w14:textId="5A647D8E">
      <w:pPr>
        <w:pStyle w:val="Textonotapie"/>
        <w:ind w:firstLine="709"/>
        <w:jc w:val="both"/>
        <w:rPr>
          <w:rFonts w:ascii="Arial" w:hAnsi="Arial" w:cs="Arial"/>
          <w:color w:val="000000" w:themeColor="text1"/>
          <w:sz w:val="19"/>
          <w:szCs w:val="19"/>
          <w:lang w:val="es-ES"/>
        </w:rPr>
      </w:pPr>
      <w:r w:rsidRPr="00E04191">
        <w:rPr>
          <w:rStyle w:val="Refdenotaalpie"/>
          <w:rFonts w:ascii="Arial" w:hAnsi="Arial" w:cs="Arial"/>
          <w:color w:val="000000" w:themeColor="text1"/>
          <w:sz w:val="19"/>
          <w:szCs w:val="19"/>
        </w:rPr>
        <w:footnoteRef/>
      </w:r>
      <w:r w:rsidRPr="00E04191">
        <w:rPr>
          <w:rFonts w:ascii="Arial" w:hAnsi="Arial" w:cs="Arial"/>
          <w:color w:val="000000" w:themeColor="text1"/>
          <w:sz w:val="19"/>
          <w:szCs w:val="19"/>
        </w:rPr>
        <w:t xml:space="preserve"> </w:t>
      </w:r>
      <w:proofErr w:type="spellStart"/>
      <w:r w:rsidRPr="00E04191">
        <w:rPr>
          <w:rFonts w:ascii="Arial" w:hAnsi="Arial" w:cs="Arial"/>
          <w:color w:val="000000" w:themeColor="text1"/>
          <w:sz w:val="19"/>
          <w:szCs w:val="19"/>
          <w:lang w:val="es-ES"/>
        </w:rPr>
        <w:t>Ibíd</w:t>
      </w:r>
      <w:r w:rsidRPr="00E04191" w:rsidR="005F03E0">
        <w:rPr>
          <w:rFonts w:ascii="Arial" w:hAnsi="Arial" w:cs="Arial"/>
          <w:color w:val="000000" w:themeColor="text1"/>
          <w:sz w:val="19"/>
          <w:szCs w:val="19"/>
          <w:lang w:val="es-ES"/>
        </w:rPr>
        <w:t>em</w:t>
      </w:r>
      <w:proofErr w:type="spellEnd"/>
      <w:r w:rsidRPr="00E04191">
        <w:rPr>
          <w:rFonts w:ascii="Arial" w:hAnsi="Arial" w:cs="Arial"/>
          <w:color w:val="000000" w:themeColor="text1"/>
          <w:sz w:val="19"/>
          <w:szCs w:val="19"/>
          <w:lang w:val="es-ES"/>
        </w:rPr>
        <w:t>. p. 69.</w:t>
      </w:r>
    </w:p>
    <w:p w:rsidRPr="00E04191" w:rsidR="00D20CF9" w:rsidP="00692DFF" w:rsidRDefault="00D20CF9" w14:paraId="6752EFC5" w14:textId="77777777">
      <w:pPr>
        <w:pStyle w:val="Textonotapie"/>
        <w:ind w:firstLine="709"/>
        <w:jc w:val="both"/>
        <w:rPr>
          <w:rFonts w:ascii="Arial" w:hAnsi="Arial" w:cs="Arial"/>
          <w:color w:val="000000" w:themeColor="text1"/>
          <w:sz w:val="19"/>
          <w:szCs w:val="19"/>
          <w:lang w:val="es-ES"/>
        </w:rPr>
      </w:pPr>
    </w:p>
  </w:footnote>
  <w:footnote w:id="17">
    <w:p w:rsidRPr="00E04191" w:rsidR="00D20CF9" w:rsidP="00692DFF" w:rsidRDefault="00D20CF9" w14:paraId="73C545A9" w14:textId="4A38AC8D">
      <w:pPr>
        <w:pStyle w:val="Textonotapie"/>
        <w:ind w:firstLine="709"/>
        <w:jc w:val="both"/>
        <w:rPr>
          <w:rFonts w:ascii="Arial" w:hAnsi="Arial" w:cs="Arial"/>
          <w:color w:val="000000" w:themeColor="text1"/>
          <w:sz w:val="19"/>
          <w:szCs w:val="19"/>
          <w:lang w:val="es-ES"/>
        </w:rPr>
      </w:pPr>
      <w:r w:rsidRPr="00E04191">
        <w:rPr>
          <w:rStyle w:val="Refdenotaalpie"/>
          <w:rFonts w:ascii="Arial" w:hAnsi="Arial" w:cs="Arial"/>
          <w:color w:val="000000" w:themeColor="text1"/>
          <w:sz w:val="19"/>
          <w:szCs w:val="19"/>
        </w:rPr>
        <w:footnoteRef/>
      </w:r>
      <w:r w:rsidRPr="00E04191">
        <w:rPr>
          <w:rFonts w:ascii="Arial" w:hAnsi="Arial" w:cs="Arial"/>
          <w:color w:val="000000" w:themeColor="text1"/>
          <w:sz w:val="19"/>
          <w:szCs w:val="19"/>
        </w:rPr>
        <w:t xml:space="preserve"> </w:t>
      </w:r>
      <w:r w:rsidRPr="00E04191">
        <w:rPr>
          <w:rFonts w:ascii="Arial" w:hAnsi="Arial" w:cs="Arial"/>
          <w:color w:val="000000" w:themeColor="text1"/>
          <w:sz w:val="19"/>
          <w:szCs w:val="19"/>
          <w:lang w:val="es-ES"/>
        </w:rPr>
        <w:t>Corte Constitucional. Sentencia T</w:t>
      </w:r>
      <w:r w:rsidRPr="00E04191" w:rsidR="00C205EA">
        <w:rPr>
          <w:rFonts w:ascii="Arial" w:hAnsi="Arial" w:cs="Arial"/>
          <w:color w:val="000000" w:themeColor="text1"/>
          <w:sz w:val="19"/>
          <w:szCs w:val="19"/>
          <w:lang w:val="es-ES"/>
        </w:rPr>
        <w:t xml:space="preserve"> ─ </w:t>
      </w:r>
      <w:r w:rsidRPr="00E04191">
        <w:rPr>
          <w:rFonts w:ascii="Arial" w:hAnsi="Arial" w:cs="Arial"/>
          <w:color w:val="000000" w:themeColor="text1"/>
          <w:sz w:val="19"/>
          <w:szCs w:val="19"/>
          <w:lang w:val="es-ES"/>
        </w:rPr>
        <w:t>1039 de 2006. Magistrado Ponente: Humberto Sierra Porto. La Corte</w:t>
      </w:r>
      <w:r w:rsidRPr="00E04191" w:rsidR="00C205EA">
        <w:rPr>
          <w:rFonts w:ascii="Arial" w:hAnsi="Arial" w:cs="Arial"/>
          <w:color w:val="000000" w:themeColor="text1"/>
          <w:sz w:val="19"/>
          <w:szCs w:val="19"/>
          <w:lang w:val="es-ES"/>
        </w:rPr>
        <w:t xml:space="preserve"> Constitucional</w:t>
      </w:r>
      <w:r w:rsidRPr="00E04191">
        <w:rPr>
          <w:rFonts w:ascii="Arial" w:hAnsi="Arial" w:cs="Arial"/>
          <w:color w:val="000000" w:themeColor="text1"/>
          <w:sz w:val="19"/>
          <w:szCs w:val="19"/>
          <w:lang w:val="es-ES"/>
        </w:rPr>
        <w:t xml:space="preserve"> ha mantenido este criterio en las sentencias: C</w:t>
      </w:r>
      <w:r w:rsidRPr="00E04191" w:rsidR="00C205EA">
        <w:rPr>
          <w:rFonts w:ascii="Arial" w:hAnsi="Arial" w:cs="Arial"/>
          <w:color w:val="000000" w:themeColor="text1"/>
          <w:sz w:val="19"/>
          <w:szCs w:val="19"/>
          <w:lang w:val="es-ES"/>
        </w:rPr>
        <w:t xml:space="preserve"> ─ </w:t>
      </w:r>
      <w:r w:rsidRPr="00E04191">
        <w:rPr>
          <w:rFonts w:ascii="Arial" w:hAnsi="Arial" w:cs="Arial"/>
          <w:color w:val="000000" w:themeColor="text1"/>
          <w:sz w:val="19"/>
          <w:szCs w:val="19"/>
          <w:lang w:val="es-ES"/>
        </w:rPr>
        <w:t>903 de 2008. Magistrado Ponente: Jaime Araujo Rentería; C</w:t>
      </w:r>
      <w:r w:rsidRPr="00E04191" w:rsidR="00C205EA">
        <w:rPr>
          <w:rFonts w:ascii="Arial" w:hAnsi="Arial" w:cs="Arial"/>
          <w:color w:val="000000" w:themeColor="text1"/>
          <w:sz w:val="19"/>
          <w:szCs w:val="19"/>
          <w:lang w:val="es-ES"/>
        </w:rPr>
        <w:t xml:space="preserve"> ─ </w:t>
      </w:r>
      <w:r w:rsidRPr="00E04191">
        <w:rPr>
          <w:rFonts w:ascii="Arial" w:hAnsi="Arial" w:cs="Arial"/>
          <w:color w:val="000000" w:themeColor="text1"/>
          <w:sz w:val="19"/>
          <w:szCs w:val="19"/>
          <w:lang w:val="es-ES"/>
        </w:rPr>
        <w:t xml:space="preserve">101 de 2018. Magistrada Ponente Gloria Stella Ortiz Delgado; entre otras. </w:t>
      </w:r>
    </w:p>
    <w:p w:rsidRPr="00E04191" w:rsidR="00D20CF9" w:rsidP="00692DFF" w:rsidRDefault="00D20CF9" w14:paraId="720E5037" w14:textId="77777777">
      <w:pPr>
        <w:pStyle w:val="Textonotapie"/>
        <w:ind w:firstLine="709"/>
        <w:jc w:val="both"/>
        <w:rPr>
          <w:rFonts w:ascii="Arial" w:hAnsi="Arial" w:cs="Arial"/>
          <w:color w:val="000000" w:themeColor="text1"/>
          <w:sz w:val="19"/>
          <w:szCs w:val="19"/>
          <w:lang w:val="es-ES"/>
        </w:rPr>
      </w:pPr>
    </w:p>
  </w:footnote>
  <w:footnote w:id="18">
    <w:p w:rsidRPr="00E04191" w:rsidR="00D20CF9" w:rsidP="00692DFF" w:rsidRDefault="00D20CF9" w14:paraId="2A283682" w14:textId="298990C1">
      <w:pPr>
        <w:pStyle w:val="Textonotapie"/>
        <w:ind w:firstLine="709"/>
        <w:jc w:val="both"/>
        <w:rPr>
          <w:rFonts w:ascii="Arial" w:hAnsi="Arial" w:cs="Arial"/>
          <w:color w:val="000000" w:themeColor="text1"/>
          <w:sz w:val="19"/>
          <w:szCs w:val="19"/>
          <w:lang w:val="es-ES"/>
        </w:rPr>
      </w:pPr>
      <w:r w:rsidRPr="00E04191">
        <w:rPr>
          <w:rStyle w:val="Refdenotaalpie"/>
          <w:rFonts w:ascii="Arial" w:hAnsi="Arial" w:cs="Arial"/>
          <w:color w:val="000000" w:themeColor="text1"/>
          <w:sz w:val="19"/>
          <w:szCs w:val="19"/>
        </w:rPr>
        <w:footnoteRef/>
      </w:r>
      <w:r w:rsidRPr="00E04191">
        <w:rPr>
          <w:rFonts w:ascii="Arial" w:hAnsi="Arial" w:cs="Arial"/>
          <w:color w:val="000000" w:themeColor="text1"/>
          <w:sz w:val="19"/>
          <w:szCs w:val="19"/>
        </w:rPr>
        <w:t xml:space="preserve"> </w:t>
      </w:r>
      <w:r w:rsidRPr="00E04191">
        <w:rPr>
          <w:rFonts w:ascii="Arial" w:hAnsi="Arial" w:cs="Arial"/>
          <w:color w:val="000000" w:themeColor="text1"/>
          <w:sz w:val="19"/>
          <w:szCs w:val="19"/>
          <w:lang w:val="es-ES"/>
        </w:rPr>
        <w:t xml:space="preserve">Consejo de Estado. Sala de Consulta y Servicio Civil. Concepto del 30 de abril de 2015. </w:t>
      </w:r>
      <w:proofErr w:type="spellStart"/>
      <w:r w:rsidRPr="00E04191">
        <w:rPr>
          <w:rFonts w:ascii="Arial" w:hAnsi="Arial" w:cs="Arial"/>
          <w:color w:val="000000" w:themeColor="text1"/>
          <w:sz w:val="19"/>
          <w:szCs w:val="19"/>
          <w:lang w:val="es-ES"/>
        </w:rPr>
        <w:t>Exp</w:t>
      </w:r>
      <w:proofErr w:type="spellEnd"/>
      <w:r w:rsidRPr="00E04191" w:rsidR="00C205EA">
        <w:rPr>
          <w:rFonts w:ascii="Arial" w:hAnsi="Arial" w:cs="Arial"/>
          <w:color w:val="000000" w:themeColor="text1"/>
          <w:sz w:val="19"/>
          <w:szCs w:val="19"/>
          <w:lang w:val="es-ES"/>
        </w:rPr>
        <w:t>.</w:t>
      </w:r>
      <w:r w:rsidRPr="00E04191">
        <w:rPr>
          <w:rFonts w:ascii="Arial" w:hAnsi="Arial" w:cs="Arial"/>
          <w:color w:val="000000" w:themeColor="text1"/>
          <w:sz w:val="19"/>
          <w:szCs w:val="19"/>
          <w:lang w:val="es-ES"/>
        </w:rPr>
        <w:t xml:space="preserve"> 2251. Consejero Ponente: Álvaro </w:t>
      </w:r>
      <w:proofErr w:type="spellStart"/>
      <w:r w:rsidRPr="00E04191">
        <w:rPr>
          <w:rFonts w:ascii="Arial" w:hAnsi="Arial" w:cs="Arial"/>
          <w:color w:val="000000" w:themeColor="text1"/>
          <w:sz w:val="19"/>
          <w:szCs w:val="19"/>
          <w:lang w:val="es-ES"/>
        </w:rPr>
        <w:t>Namén</w:t>
      </w:r>
      <w:proofErr w:type="spellEnd"/>
      <w:r w:rsidRPr="00E04191">
        <w:rPr>
          <w:rFonts w:ascii="Arial" w:hAnsi="Arial" w:cs="Arial"/>
          <w:color w:val="000000" w:themeColor="text1"/>
          <w:sz w:val="19"/>
          <w:szCs w:val="19"/>
          <w:lang w:val="es-ES"/>
        </w:rPr>
        <w:t xml:space="preserve"> Vargas.</w:t>
      </w:r>
    </w:p>
    <w:p w:rsidRPr="00E04191" w:rsidR="00D20CF9" w:rsidP="00692DFF" w:rsidRDefault="00D20CF9" w14:paraId="63BFDBB0" w14:textId="77777777">
      <w:pPr>
        <w:pStyle w:val="Textonotapie"/>
        <w:ind w:firstLine="709"/>
        <w:jc w:val="both"/>
        <w:rPr>
          <w:rFonts w:ascii="Arial" w:hAnsi="Arial" w:cs="Arial"/>
          <w:color w:val="000000" w:themeColor="text1"/>
          <w:sz w:val="19"/>
          <w:szCs w:val="19"/>
          <w:lang w:val="es-ES"/>
        </w:rPr>
      </w:pPr>
    </w:p>
  </w:footnote>
  <w:footnote w:id="19">
    <w:p w:rsidRPr="00E04191" w:rsidR="00D20CF9" w:rsidP="00692DFF" w:rsidRDefault="00D20CF9" w14:paraId="525BCD32" w14:textId="77777777">
      <w:pPr>
        <w:pStyle w:val="Textonotapie"/>
        <w:ind w:firstLine="709"/>
        <w:jc w:val="both"/>
        <w:rPr>
          <w:rFonts w:ascii="Arial" w:hAnsi="Arial" w:cs="Arial"/>
          <w:color w:val="000000" w:themeColor="text1"/>
          <w:sz w:val="19"/>
          <w:szCs w:val="19"/>
        </w:rPr>
      </w:pPr>
      <w:r w:rsidRPr="00E04191">
        <w:rPr>
          <w:rStyle w:val="Refdenotaalpie"/>
          <w:rFonts w:ascii="Arial" w:hAnsi="Arial" w:cs="Arial"/>
          <w:color w:val="000000" w:themeColor="text1"/>
          <w:sz w:val="19"/>
          <w:szCs w:val="19"/>
        </w:rPr>
        <w:footnoteRef/>
      </w:r>
      <w:r w:rsidRPr="00E04191">
        <w:rPr>
          <w:rFonts w:ascii="Arial" w:hAnsi="Arial" w:cs="Arial"/>
          <w:color w:val="000000" w:themeColor="text1"/>
          <w:sz w:val="19"/>
          <w:szCs w:val="19"/>
        </w:rPr>
        <w:t xml:space="preserve"> Consejo de Estado. Sección Tercera. Subsección A. Sentencia del 24 de junio de 2015. </w:t>
      </w:r>
      <w:proofErr w:type="spellStart"/>
      <w:r w:rsidRPr="00E04191">
        <w:rPr>
          <w:rFonts w:ascii="Arial" w:hAnsi="Arial" w:cs="Arial"/>
          <w:color w:val="000000" w:themeColor="text1"/>
          <w:sz w:val="19"/>
          <w:szCs w:val="19"/>
        </w:rPr>
        <w:t>Exp</w:t>
      </w:r>
      <w:proofErr w:type="spellEnd"/>
      <w:r w:rsidRPr="00E04191">
        <w:rPr>
          <w:rFonts w:ascii="Arial" w:hAnsi="Arial" w:cs="Arial"/>
          <w:color w:val="000000" w:themeColor="text1"/>
          <w:sz w:val="19"/>
          <w:szCs w:val="19"/>
        </w:rPr>
        <w:t>. 40.635. Consejero Ponente: Hernán Andrade Rincón (E).</w:t>
      </w:r>
    </w:p>
    <w:p w:rsidRPr="00E04191" w:rsidR="00D20CF9" w:rsidP="00692DFF" w:rsidRDefault="00D20CF9" w14:paraId="26DBE456" w14:textId="77777777">
      <w:pPr>
        <w:pStyle w:val="Textonotapie"/>
        <w:ind w:firstLine="709"/>
        <w:jc w:val="both"/>
        <w:rPr>
          <w:rFonts w:ascii="Arial" w:hAnsi="Arial" w:cs="Arial"/>
          <w:color w:val="000000" w:themeColor="text1"/>
          <w:sz w:val="19"/>
          <w:szCs w:val="19"/>
          <w:lang w:val="es-ES"/>
        </w:rPr>
      </w:pPr>
    </w:p>
  </w:footnote>
  <w:footnote w:id="20">
    <w:p w:rsidRPr="00E04191" w:rsidR="00D20CF9" w:rsidP="00692DFF" w:rsidRDefault="00D20CF9" w14:paraId="5CD383AB" w14:textId="77777777">
      <w:pPr>
        <w:pStyle w:val="Textonotapie"/>
        <w:ind w:firstLine="709"/>
        <w:jc w:val="both"/>
        <w:rPr>
          <w:rFonts w:ascii="Arial" w:hAnsi="Arial" w:cs="Arial"/>
          <w:color w:val="000000" w:themeColor="text1"/>
          <w:sz w:val="19"/>
          <w:szCs w:val="19"/>
        </w:rPr>
      </w:pPr>
      <w:r w:rsidRPr="00E04191">
        <w:rPr>
          <w:rStyle w:val="Refdenotaalpie"/>
          <w:rFonts w:ascii="Arial" w:hAnsi="Arial" w:cs="Arial"/>
          <w:color w:val="000000" w:themeColor="text1"/>
          <w:sz w:val="19"/>
          <w:szCs w:val="19"/>
        </w:rPr>
        <w:footnoteRef/>
      </w:r>
      <w:r w:rsidRPr="00E04191">
        <w:rPr>
          <w:rFonts w:ascii="Arial" w:hAnsi="Arial" w:cs="Arial"/>
          <w:color w:val="000000" w:themeColor="text1"/>
          <w:sz w:val="19"/>
          <w:szCs w:val="19"/>
        </w:rPr>
        <w:t xml:space="preserve"> Consejo de Estado. Sección Tercera. Subsección C. Sentencia del 22 de mayo de 2013. </w:t>
      </w:r>
      <w:proofErr w:type="spellStart"/>
      <w:r w:rsidRPr="00E04191">
        <w:rPr>
          <w:rFonts w:ascii="Arial" w:hAnsi="Arial" w:cs="Arial"/>
          <w:color w:val="000000" w:themeColor="text1"/>
          <w:sz w:val="19"/>
          <w:szCs w:val="19"/>
        </w:rPr>
        <w:t>Exp</w:t>
      </w:r>
      <w:proofErr w:type="spellEnd"/>
      <w:r w:rsidRPr="00E04191">
        <w:rPr>
          <w:rFonts w:ascii="Arial" w:hAnsi="Arial" w:cs="Arial"/>
          <w:color w:val="000000" w:themeColor="text1"/>
          <w:sz w:val="19"/>
          <w:szCs w:val="19"/>
        </w:rPr>
        <w:t xml:space="preserve">. 24.057. Consejera Ponente: Olga </w:t>
      </w:r>
      <w:proofErr w:type="spellStart"/>
      <w:r w:rsidRPr="00E04191">
        <w:rPr>
          <w:rFonts w:ascii="Arial" w:hAnsi="Arial" w:cs="Arial"/>
          <w:color w:val="000000" w:themeColor="text1"/>
          <w:sz w:val="19"/>
          <w:szCs w:val="19"/>
        </w:rPr>
        <w:t>Melida</w:t>
      </w:r>
      <w:proofErr w:type="spellEnd"/>
      <w:r w:rsidRPr="00E04191">
        <w:rPr>
          <w:rFonts w:ascii="Arial" w:hAnsi="Arial" w:cs="Arial"/>
          <w:color w:val="000000" w:themeColor="text1"/>
          <w:sz w:val="19"/>
          <w:szCs w:val="19"/>
        </w:rPr>
        <w:t xml:space="preserve"> Valle De </w:t>
      </w:r>
      <w:proofErr w:type="spellStart"/>
      <w:r w:rsidRPr="00E04191">
        <w:rPr>
          <w:rFonts w:ascii="Arial" w:hAnsi="Arial" w:cs="Arial"/>
          <w:color w:val="000000" w:themeColor="text1"/>
          <w:sz w:val="19"/>
          <w:szCs w:val="19"/>
        </w:rPr>
        <w:t>De</w:t>
      </w:r>
      <w:proofErr w:type="spellEnd"/>
      <w:r w:rsidRPr="00E04191">
        <w:rPr>
          <w:rFonts w:ascii="Arial" w:hAnsi="Arial" w:cs="Arial"/>
          <w:color w:val="000000" w:themeColor="text1"/>
          <w:sz w:val="19"/>
          <w:szCs w:val="19"/>
        </w:rPr>
        <w:t xml:space="preserve"> La Hoz.</w:t>
      </w:r>
    </w:p>
    <w:p w:rsidRPr="00E04191" w:rsidR="00D20CF9" w:rsidP="00692DFF" w:rsidRDefault="00D20CF9" w14:paraId="396F1B73" w14:textId="77777777">
      <w:pPr>
        <w:pStyle w:val="Textonotapie"/>
        <w:ind w:firstLine="709"/>
        <w:jc w:val="both"/>
        <w:rPr>
          <w:rFonts w:ascii="Arial" w:hAnsi="Arial" w:cs="Arial"/>
          <w:color w:val="000000" w:themeColor="text1"/>
          <w:sz w:val="19"/>
          <w:szCs w:val="19"/>
          <w:lang w:val="es-ES"/>
        </w:rPr>
      </w:pPr>
    </w:p>
  </w:footnote>
  <w:footnote w:id="21">
    <w:p w:rsidRPr="00E04191" w:rsidR="00D71DDD" w:rsidP="00692DFF" w:rsidRDefault="00D71DDD" w14:paraId="72602460" w14:textId="4CCB3E9E">
      <w:pPr>
        <w:pStyle w:val="Textonotapie"/>
        <w:ind w:firstLine="709"/>
        <w:jc w:val="both"/>
        <w:rPr>
          <w:rFonts w:ascii="Arial" w:hAnsi="Arial" w:cs="Arial"/>
          <w:color w:val="000000" w:themeColor="text1"/>
          <w:sz w:val="19"/>
          <w:szCs w:val="19"/>
          <w:lang w:val="es-CO"/>
        </w:rPr>
      </w:pPr>
      <w:r w:rsidRPr="00E04191">
        <w:rPr>
          <w:rStyle w:val="Refdenotaalpie"/>
          <w:rFonts w:ascii="Arial" w:hAnsi="Arial" w:cs="Arial"/>
          <w:color w:val="000000" w:themeColor="text1"/>
          <w:sz w:val="19"/>
          <w:szCs w:val="19"/>
        </w:rPr>
        <w:footnoteRef/>
      </w:r>
      <w:r w:rsidRPr="00E04191">
        <w:rPr>
          <w:rFonts w:ascii="Arial" w:hAnsi="Arial" w:cs="Arial"/>
          <w:color w:val="000000" w:themeColor="text1"/>
          <w:sz w:val="19"/>
          <w:szCs w:val="19"/>
        </w:rPr>
        <w:t xml:space="preserve"> </w:t>
      </w:r>
      <w:r w:rsidRPr="00E04191">
        <w:rPr>
          <w:rFonts w:ascii="Arial" w:hAnsi="Arial" w:cs="Arial"/>
          <w:color w:val="000000" w:themeColor="text1"/>
          <w:sz w:val="19"/>
          <w:szCs w:val="19"/>
          <w:lang w:val="es-CO"/>
        </w:rPr>
        <w:t>C</w:t>
      </w:r>
      <w:r w:rsidRPr="00E04191" w:rsidR="00E16B88">
        <w:rPr>
          <w:rFonts w:ascii="Arial" w:hAnsi="Arial" w:cs="Arial"/>
          <w:color w:val="000000" w:themeColor="text1"/>
          <w:sz w:val="19"/>
          <w:szCs w:val="19"/>
          <w:lang w:val="es-CO"/>
        </w:rPr>
        <w:t xml:space="preserve">onstitución Política de Colombia: «Artículo 24. </w:t>
      </w:r>
      <w:r w:rsidRPr="00E04191" w:rsidR="00180EE4">
        <w:rPr>
          <w:rFonts w:ascii="Arial" w:hAnsi="Arial" w:cs="Arial"/>
          <w:color w:val="000000" w:themeColor="text1"/>
          <w:sz w:val="19"/>
          <w:szCs w:val="19"/>
          <w:lang w:val="es-CO"/>
        </w:rPr>
        <w:t>Todo colombiano, con las limitaciones que establezca la ley, tiene derecho a circular libremente por el territorio nacional, a entrar y salir de él, y a permanecer y residenciarse en Colombia».</w:t>
      </w:r>
    </w:p>
  </w:footnote>
  <w:footnote w:id="22">
    <w:p w:rsidRPr="00E04191" w:rsidR="009E2660" w:rsidP="00C12452" w:rsidRDefault="00354A5E" w14:paraId="0D903CE5" w14:textId="7C3ABEA5">
      <w:pPr>
        <w:pStyle w:val="Textonotapie"/>
        <w:ind w:firstLine="709"/>
        <w:jc w:val="both"/>
        <w:rPr>
          <w:rFonts w:ascii="Arial" w:hAnsi="Arial" w:cs="Arial"/>
          <w:color w:val="000000" w:themeColor="text1"/>
          <w:sz w:val="19"/>
          <w:szCs w:val="19"/>
          <w:lang w:val="es-CO"/>
        </w:rPr>
      </w:pPr>
      <w:r w:rsidRPr="00E04191">
        <w:rPr>
          <w:rStyle w:val="Refdenotaalpie"/>
          <w:rFonts w:ascii="Arial" w:hAnsi="Arial" w:cs="Arial"/>
          <w:color w:val="000000" w:themeColor="text1"/>
          <w:sz w:val="19"/>
          <w:szCs w:val="19"/>
        </w:rPr>
        <w:footnoteRef/>
      </w:r>
      <w:r w:rsidRPr="00E04191">
        <w:rPr>
          <w:rFonts w:ascii="Arial" w:hAnsi="Arial" w:cs="Arial"/>
          <w:color w:val="000000" w:themeColor="text1"/>
          <w:sz w:val="19"/>
          <w:szCs w:val="19"/>
        </w:rPr>
        <w:t xml:space="preserve"> </w:t>
      </w:r>
      <w:r w:rsidRPr="00E04191">
        <w:rPr>
          <w:rFonts w:ascii="Arial" w:hAnsi="Arial" w:cs="Arial"/>
          <w:color w:val="000000" w:themeColor="text1"/>
          <w:sz w:val="19"/>
          <w:szCs w:val="19"/>
          <w:lang w:val="es-CO"/>
        </w:rPr>
        <w:t xml:space="preserve">Ley 769 de 2002: «Artículo </w:t>
      </w:r>
      <w:r w:rsidRPr="00E04191" w:rsidR="00BD7D73">
        <w:rPr>
          <w:rFonts w:ascii="Arial" w:hAnsi="Arial" w:cs="Arial"/>
          <w:color w:val="000000" w:themeColor="text1"/>
          <w:sz w:val="19"/>
          <w:szCs w:val="19"/>
          <w:lang w:val="es-CO"/>
        </w:rPr>
        <w:t>1. Ámbito de aplicación y principios.</w:t>
      </w:r>
      <w:r w:rsidRPr="00E04191" w:rsidR="00C12452">
        <w:rPr>
          <w:rFonts w:ascii="Arial" w:hAnsi="Arial" w:cs="Arial"/>
          <w:color w:val="000000" w:themeColor="text1"/>
          <w:sz w:val="19"/>
          <w:szCs w:val="19"/>
          <w:lang w:val="es-CO"/>
        </w:rPr>
        <w:t xml:space="preserve"> Las normas del presente Código rigen en todo el territorio nacional y regulan la circulación de los peatones, usuarios, pasajeros, conductores, motociclistas, ciclistas, agentes de tránsito, y vehículos por las vías públicas o privadas que están abiertas al público, o en las vías privadas, que internamente circulen vehículos; así como la actuación y procedimientos de las autoridades de tránsito.</w:t>
      </w:r>
    </w:p>
    <w:p w:rsidRPr="00E04191" w:rsidR="009E2660" w:rsidP="00692DFF" w:rsidRDefault="009E2660" w14:paraId="78CE3251" w14:textId="6B86C623">
      <w:pPr>
        <w:pStyle w:val="Textonotapie"/>
        <w:ind w:firstLine="709"/>
        <w:jc w:val="both"/>
        <w:rPr>
          <w:rFonts w:ascii="Arial" w:hAnsi="Arial" w:cs="Arial"/>
          <w:color w:val="000000" w:themeColor="text1"/>
          <w:sz w:val="19"/>
          <w:szCs w:val="19"/>
          <w:lang w:val="es-CO"/>
        </w:rPr>
      </w:pPr>
      <w:proofErr w:type="gramStart"/>
      <w:r w:rsidRPr="00E04191">
        <w:rPr>
          <w:rFonts w:ascii="Arial" w:hAnsi="Arial" w:cs="Arial"/>
          <w:color w:val="000000" w:themeColor="text1"/>
          <w:sz w:val="19"/>
          <w:szCs w:val="19"/>
          <w:lang w:val="es-CO"/>
        </w:rPr>
        <w:t>»En</w:t>
      </w:r>
      <w:proofErr w:type="gramEnd"/>
      <w:r w:rsidRPr="00E04191">
        <w:rPr>
          <w:rFonts w:ascii="Arial" w:hAnsi="Arial" w:cs="Arial"/>
          <w:color w:val="000000" w:themeColor="text1"/>
          <w:sz w:val="19"/>
          <w:szCs w:val="19"/>
          <w:lang w:val="es-CO"/>
        </w:rPr>
        <w:t xml:space="preserve"> desarrollo de lo dispuesto por el artículo 24 de la Constitución Política, todo colombiano tiene derecho a circular libremente por el territorio nacional, pero está sujeto a la intervención y reglamentación de las autoridades para garantía de la seguridad y comodidad de los habitantes, especialmente de los peatones y de los discapacitados físicos y mentales, para la preservación de un ambiente sano y la protección del uso común del espacio público.</w:t>
      </w:r>
    </w:p>
    <w:p w:rsidRPr="00E04191" w:rsidR="00613EA9" w:rsidP="00692DFF" w:rsidRDefault="00613EA9" w14:paraId="2C6C0AE7" w14:textId="0A92A09A">
      <w:pPr>
        <w:pStyle w:val="Textonotapie"/>
        <w:ind w:firstLine="709"/>
        <w:jc w:val="both"/>
        <w:rPr>
          <w:rFonts w:ascii="Arial" w:hAnsi="Arial" w:cs="Arial"/>
          <w:color w:val="000000" w:themeColor="text1"/>
          <w:sz w:val="19"/>
          <w:szCs w:val="19"/>
          <w:lang w:val="es-CO"/>
        </w:rPr>
      </w:pPr>
      <w:r w:rsidRPr="00E04191">
        <w:rPr>
          <w:rFonts w:ascii="Arial" w:hAnsi="Arial" w:cs="Arial"/>
          <w:color w:val="000000" w:themeColor="text1"/>
          <w:sz w:val="19"/>
          <w:szCs w:val="19"/>
          <w:lang w:val="es-CO"/>
        </w:rPr>
        <w:t>[…]</w:t>
      </w:r>
    </w:p>
    <w:p w:rsidRPr="00E04191" w:rsidR="00871E1E" w:rsidP="00692DFF" w:rsidRDefault="00871E1E" w14:paraId="3627EC84" w14:textId="4E45D1B6">
      <w:pPr>
        <w:pStyle w:val="Textonotapie"/>
        <w:ind w:firstLine="709"/>
        <w:jc w:val="both"/>
        <w:rPr>
          <w:rFonts w:ascii="Arial" w:hAnsi="Arial" w:cs="Arial"/>
          <w:color w:val="000000" w:themeColor="text1"/>
          <w:sz w:val="19"/>
          <w:szCs w:val="19"/>
          <w:lang w:val="es-CO"/>
        </w:rPr>
      </w:pPr>
      <w:proofErr w:type="gramStart"/>
      <w:r w:rsidRPr="00E04191">
        <w:rPr>
          <w:rFonts w:ascii="Arial" w:hAnsi="Arial" w:cs="Arial"/>
          <w:color w:val="000000" w:themeColor="text1"/>
          <w:sz w:val="19"/>
          <w:szCs w:val="19"/>
          <w:lang w:val="es-CO"/>
        </w:rPr>
        <w:t>»Los</w:t>
      </w:r>
      <w:proofErr w:type="gramEnd"/>
      <w:r w:rsidRPr="00E04191">
        <w:rPr>
          <w:rFonts w:ascii="Arial" w:hAnsi="Arial" w:cs="Arial"/>
          <w:color w:val="000000" w:themeColor="text1"/>
          <w:sz w:val="19"/>
          <w:szCs w:val="19"/>
          <w:lang w:val="es-CO"/>
        </w:rPr>
        <w:t xml:space="preserve"> principios rectores de este código son: seguridad de los usuarios, la movilidad, la calidad, la oportunidad, el cubrimiento, la libertad de acceso, la plena identificación, libre circulación, educación y descentralización».</w:t>
      </w:r>
    </w:p>
  </w:footnote>
  <w:footnote w:id="23">
    <w:p w:rsidRPr="00E04191" w:rsidR="009815CD" w:rsidP="008624A4" w:rsidRDefault="009815CD" w14:paraId="17842031" w14:textId="3C36E592">
      <w:pPr>
        <w:pStyle w:val="Textonotapie"/>
        <w:ind w:firstLine="709"/>
        <w:jc w:val="both"/>
        <w:rPr>
          <w:rFonts w:ascii="Arial" w:hAnsi="Arial" w:cs="Arial"/>
          <w:color w:val="000000" w:themeColor="text1"/>
          <w:sz w:val="19"/>
          <w:szCs w:val="19"/>
          <w:lang w:val="es-CO"/>
        </w:rPr>
      </w:pPr>
      <w:r w:rsidRPr="00E04191">
        <w:rPr>
          <w:rStyle w:val="Refdenotaalpie"/>
          <w:rFonts w:ascii="Arial" w:hAnsi="Arial" w:cs="Arial"/>
          <w:color w:val="000000" w:themeColor="text1"/>
          <w:sz w:val="19"/>
          <w:szCs w:val="19"/>
        </w:rPr>
        <w:footnoteRef/>
      </w:r>
      <w:r w:rsidRPr="00E04191">
        <w:rPr>
          <w:rFonts w:ascii="Arial" w:hAnsi="Arial" w:cs="Arial"/>
          <w:color w:val="000000" w:themeColor="text1"/>
          <w:sz w:val="19"/>
          <w:szCs w:val="19"/>
        </w:rPr>
        <w:t xml:space="preserve"> </w:t>
      </w:r>
      <w:r w:rsidRPr="00E04191">
        <w:rPr>
          <w:rFonts w:ascii="Arial" w:hAnsi="Arial" w:cs="Arial"/>
          <w:color w:val="000000" w:themeColor="text1"/>
          <w:sz w:val="19"/>
          <w:szCs w:val="19"/>
          <w:lang w:val="es-CO"/>
        </w:rPr>
        <w:t>Ley 769</w:t>
      </w:r>
      <w:r w:rsidRPr="00E04191" w:rsidR="000E305A">
        <w:rPr>
          <w:rFonts w:ascii="Arial" w:hAnsi="Arial" w:cs="Arial"/>
          <w:color w:val="000000" w:themeColor="text1"/>
          <w:sz w:val="19"/>
          <w:szCs w:val="19"/>
          <w:lang w:val="es-CO"/>
        </w:rPr>
        <w:t xml:space="preserve"> de 2002: «Artículo</w:t>
      </w:r>
      <w:r w:rsidRPr="00E04191" w:rsidR="00BB780C">
        <w:rPr>
          <w:rFonts w:ascii="Arial" w:hAnsi="Arial" w:cs="Arial"/>
          <w:color w:val="000000" w:themeColor="text1"/>
          <w:sz w:val="19"/>
          <w:szCs w:val="19"/>
          <w:lang w:val="es-CO"/>
        </w:rPr>
        <w:t xml:space="preserve"> 122 y siguientes»</w:t>
      </w:r>
      <w:r w:rsidRPr="00E04191" w:rsidR="005A2A0D">
        <w:rPr>
          <w:rFonts w:ascii="Arial" w:hAnsi="Arial" w:cs="Arial"/>
          <w:color w:val="000000" w:themeColor="text1"/>
          <w:sz w:val="19"/>
          <w:szCs w:val="19"/>
          <w:lang w:val="es-CO"/>
        </w:rPr>
        <w:t>.</w:t>
      </w:r>
    </w:p>
    <w:p w:rsidRPr="00E04191" w:rsidR="005A2A0D" w:rsidP="008624A4" w:rsidRDefault="005A2A0D" w14:paraId="2111D4A7" w14:textId="77777777">
      <w:pPr>
        <w:pStyle w:val="Textonotapie"/>
        <w:ind w:firstLine="709"/>
        <w:jc w:val="both"/>
        <w:rPr>
          <w:rFonts w:ascii="Arial" w:hAnsi="Arial" w:cs="Arial"/>
          <w:color w:val="000000" w:themeColor="text1"/>
          <w:sz w:val="19"/>
          <w:szCs w:val="19"/>
          <w:lang w:val="es-CO"/>
        </w:rPr>
      </w:pPr>
    </w:p>
  </w:footnote>
  <w:footnote w:id="24">
    <w:p w:rsidRPr="00E04191" w:rsidR="00E40DA9" w:rsidP="00E40DA9" w:rsidRDefault="007B1FDA" w14:paraId="6E800343" w14:textId="135E7913">
      <w:pPr>
        <w:pStyle w:val="Textonotapie"/>
        <w:ind w:firstLine="709"/>
        <w:jc w:val="both"/>
        <w:rPr>
          <w:color w:val="000000" w:themeColor="text1"/>
          <w:lang w:val="es-CO"/>
        </w:rPr>
      </w:pPr>
      <w:r w:rsidRPr="00E04191">
        <w:rPr>
          <w:rStyle w:val="Refdenotaalpie"/>
          <w:rFonts w:ascii="Arial" w:hAnsi="Arial" w:cs="Arial"/>
          <w:color w:val="000000" w:themeColor="text1"/>
          <w:sz w:val="19"/>
          <w:szCs w:val="19"/>
        </w:rPr>
        <w:footnoteRef/>
      </w:r>
      <w:r w:rsidRPr="00E04191">
        <w:rPr>
          <w:rFonts w:ascii="Arial" w:hAnsi="Arial" w:cs="Arial"/>
          <w:color w:val="000000" w:themeColor="text1"/>
          <w:sz w:val="19"/>
          <w:szCs w:val="19"/>
        </w:rPr>
        <w:t xml:space="preserve"> </w:t>
      </w:r>
      <w:r w:rsidRPr="00E04191" w:rsidR="001E03A5">
        <w:rPr>
          <w:rFonts w:ascii="Arial" w:hAnsi="Arial" w:cs="Arial"/>
          <w:color w:val="000000" w:themeColor="text1"/>
          <w:sz w:val="19"/>
          <w:szCs w:val="19"/>
          <w:lang w:val="es-CO"/>
        </w:rPr>
        <w:t>Ley 769 de 2002: «</w:t>
      </w:r>
      <w:r w:rsidRPr="00E04191" w:rsidR="00E40DA9">
        <w:rPr>
          <w:rFonts w:ascii="Arial" w:hAnsi="Arial" w:cs="Arial"/>
          <w:color w:val="000000" w:themeColor="text1"/>
          <w:sz w:val="19"/>
          <w:szCs w:val="19"/>
          <w:lang w:val="es-CO"/>
        </w:rPr>
        <w:t>A</w:t>
      </w:r>
      <w:r w:rsidRPr="00E04191" w:rsidR="001E03A5">
        <w:rPr>
          <w:rFonts w:ascii="Arial" w:hAnsi="Arial" w:cs="Arial"/>
          <w:color w:val="000000" w:themeColor="text1"/>
          <w:sz w:val="19"/>
          <w:szCs w:val="19"/>
          <w:lang w:val="es-CO"/>
        </w:rPr>
        <w:t>rtículo 26</w:t>
      </w:r>
      <w:r w:rsidRPr="00E04191" w:rsidR="00E40DA9">
        <w:rPr>
          <w:rFonts w:ascii="Arial" w:hAnsi="Arial" w:cs="Arial"/>
          <w:color w:val="000000" w:themeColor="text1"/>
          <w:sz w:val="19"/>
          <w:szCs w:val="19"/>
          <w:lang w:val="es-CO"/>
        </w:rPr>
        <w:t>, Artículo</w:t>
      </w:r>
      <w:r w:rsidRPr="00E04191" w:rsidR="001E1B3E">
        <w:rPr>
          <w:rFonts w:ascii="Arial" w:hAnsi="Arial" w:cs="Arial"/>
          <w:color w:val="000000" w:themeColor="text1"/>
          <w:sz w:val="19"/>
          <w:szCs w:val="19"/>
          <w:lang w:val="es-CO"/>
        </w:rPr>
        <w:t xml:space="preserve"> 122 y siguientes».</w:t>
      </w:r>
      <w:r w:rsidRPr="00E04191" w:rsidR="00E40DA9">
        <w:rPr>
          <w:rFonts w:ascii="Arial" w:hAnsi="Arial" w:cs="Arial"/>
          <w:color w:val="000000" w:themeColor="text1"/>
          <w:sz w:val="19"/>
          <w:szCs w:val="19"/>
          <w:lang w:val="es-CO"/>
        </w:rPr>
        <w:t xml:space="preserve"> </w:t>
      </w:r>
    </w:p>
    <w:p w:rsidRPr="00E04191" w:rsidR="007B1FDA" w:rsidP="005A2A0D" w:rsidRDefault="007B1FDA" w14:paraId="6311EB13" w14:textId="5A400B34">
      <w:pPr>
        <w:pStyle w:val="Textonotapie"/>
        <w:ind w:firstLine="709"/>
        <w:jc w:val="both"/>
        <w:rPr>
          <w:color w:val="000000" w:themeColor="text1"/>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5A79FE" w:rsidRDefault="005A79FE" w14:paraId="4CEB5923" w14:textId="72BD7C0A">
    <w:pPr>
      <w:pStyle w:val="Encabezado"/>
    </w:pPr>
  </w:p>
  <w:p w:rsidR="005A79FE" w:rsidRDefault="005A79FE" w14:paraId="6A4C7F2C" w14:textId="7D093DBB">
    <w:pPr>
      <w:pStyle w:val="Encabezado"/>
    </w:pPr>
  </w:p>
  <w:p w:rsidR="005A79FE" w:rsidRDefault="005A79FE" w14:paraId="055F2E1F" w14:textId="0B935ADD">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220E6C25">
      <w:rPr/>
      <w:t/>
    </w:r>
  </w:p>
  <w:p w:rsidR="005A79FE" w:rsidRDefault="005A79FE" w14:paraId="51400574" w14:textId="61BAF652">
    <w:pPr>
      <w:pStyle w:val="Encabezado"/>
    </w:pPr>
  </w:p>
  <w:p w:rsidR="005A79FE" w:rsidRDefault="005A79FE" w14:paraId="3D323BDB" w14:textId="04AF0DE6">
    <w:pPr>
      <w:pStyle w:val="Encabezado"/>
    </w:pPr>
  </w:p>
  <w:p w:rsidR="007B0854" w:rsidRDefault="007B0854" w14:paraId="6520770B" w14:textId="18EB07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831656DC"/>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4" w15:restartNumberingAfterBreak="0">
    <w:nsid w:val="4B8B5997"/>
    <w:multiLevelType w:val="multilevel"/>
    <w:tmpl w:val="7F30F58A"/>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5"/>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2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489B"/>
    <w:rsid w:val="000061E5"/>
    <w:rsid w:val="00023701"/>
    <w:rsid w:val="00026AD9"/>
    <w:rsid w:val="00027774"/>
    <w:rsid w:val="00031C37"/>
    <w:rsid w:val="000432D7"/>
    <w:rsid w:val="00061AD2"/>
    <w:rsid w:val="00062F73"/>
    <w:rsid w:val="0007454E"/>
    <w:rsid w:val="00076370"/>
    <w:rsid w:val="00082D96"/>
    <w:rsid w:val="00086063"/>
    <w:rsid w:val="0009209C"/>
    <w:rsid w:val="0009306A"/>
    <w:rsid w:val="000942EB"/>
    <w:rsid w:val="000A0F5A"/>
    <w:rsid w:val="000A20E8"/>
    <w:rsid w:val="000A5C06"/>
    <w:rsid w:val="000B103F"/>
    <w:rsid w:val="000B6665"/>
    <w:rsid w:val="000B7588"/>
    <w:rsid w:val="000C48FA"/>
    <w:rsid w:val="000E305A"/>
    <w:rsid w:val="000E454F"/>
    <w:rsid w:val="000F14E8"/>
    <w:rsid w:val="00103915"/>
    <w:rsid w:val="0011311B"/>
    <w:rsid w:val="001205B5"/>
    <w:rsid w:val="001219AA"/>
    <w:rsid w:val="00122B23"/>
    <w:rsid w:val="00137FFA"/>
    <w:rsid w:val="00140B9F"/>
    <w:rsid w:val="0016482D"/>
    <w:rsid w:val="001728F2"/>
    <w:rsid w:val="00173739"/>
    <w:rsid w:val="00173B4E"/>
    <w:rsid w:val="00176A24"/>
    <w:rsid w:val="00180EE4"/>
    <w:rsid w:val="001861B8"/>
    <w:rsid w:val="001A5A43"/>
    <w:rsid w:val="001B1276"/>
    <w:rsid w:val="001B2D09"/>
    <w:rsid w:val="001D3800"/>
    <w:rsid w:val="001D6109"/>
    <w:rsid w:val="001E03A5"/>
    <w:rsid w:val="001E1B3E"/>
    <w:rsid w:val="001F44FA"/>
    <w:rsid w:val="00205585"/>
    <w:rsid w:val="0020764F"/>
    <w:rsid w:val="00234B84"/>
    <w:rsid w:val="00260377"/>
    <w:rsid w:val="0026187C"/>
    <w:rsid w:val="00272230"/>
    <w:rsid w:val="00274FBC"/>
    <w:rsid w:val="002979F7"/>
    <w:rsid w:val="002B56F5"/>
    <w:rsid w:val="002B6435"/>
    <w:rsid w:val="002E12E1"/>
    <w:rsid w:val="002E20BB"/>
    <w:rsid w:val="002E6795"/>
    <w:rsid w:val="002F44B3"/>
    <w:rsid w:val="0030003A"/>
    <w:rsid w:val="003033BA"/>
    <w:rsid w:val="00314A68"/>
    <w:rsid w:val="00345A97"/>
    <w:rsid w:val="0034680A"/>
    <w:rsid w:val="00354A5E"/>
    <w:rsid w:val="003605BA"/>
    <w:rsid w:val="00361827"/>
    <w:rsid w:val="00365EA4"/>
    <w:rsid w:val="00373F7B"/>
    <w:rsid w:val="00374A29"/>
    <w:rsid w:val="00386456"/>
    <w:rsid w:val="00392650"/>
    <w:rsid w:val="003A5107"/>
    <w:rsid w:val="003A581E"/>
    <w:rsid w:val="003B02AC"/>
    <w:rsid w:val="003B1FE2"/>
    <w:rsid w:val="003B6C7B"/>
    <w:rsid w:val="003B7A26"/>
    <w:rsid w:val="003C0BDF"/>
    <w:rsid w:val="003E3B96"/>
    <w:rsid w:val="0040177F"/>
    <w:rsid w:val="00404159"/>
    <w:rsid w:val="004145E9"/>
    <w:rsid w:val="00422DDB"/>
    <w:rsid w:val="00436D09"/>
    <w:rsid w:val="004422D6"/>
    <w:rsid w:val="0044365F"/>
    <w:rsid w:val="00447595"/>
    <w:rsid w:val="00457E45"/>
    <w:rsid w:val="00467AFC"/>
    <w:rsid w:val="004A34D2"/>
    <w:rsid w:val="004A53F4"/>
    <w:rsid w:val="004B1ED7"/>
    <w:rsid w:val="004B7587"/>
    <w:rsid w:val="004D0033"/>
    <w:rsid w:val="004D6FB0"/>
    <w:rsid w:val="004F69E6"/>
    <w:rsid w:val="00504444"/>
    <w:rsid w:val="00507A90"/>
    <w:rsid w:val="0051074C"/>
    <w:rsid w:val="00513AF2"/>
    <w:rsid w:val="005226BC"/>
    <w:rsid w:val="00535196"/>
    <w:rsid w:val="0054413A"/>
    <w:rsid w:val="00544986"/>
    <w:rsid w:val="00550C2B"/>
    <w:rsid w:val="005564CA"/>
    <w:rsid w:val="005618C1"/>
    <w:rsid w:val="00565D22"/>
    <w:rsid w:val="005A2125"/>
    <w:rsid w:val="005A29EB"/>
    <w:rsid w:val="005A2A0D"/>
    <w:rsid w:val="005A79FE"/>
    <w:rsid w:val="005B50AD"/>
    <w:rsid w:val="005C0368"/>
    <w:rsid w:val="005C1A9C"/>
    <w:rsid w:val="005C1D7D"/>
    <w:rsid w:val="005D3DFF"/>
    <w:rsid w:val="005E1CE2"/>
    <w:rsid w:val="005F03E0"/>
    <w:rsid w:val="00613803"/>
    <w:rsid w:val="00613EA9"/>
    <w:rsid w:val="00647E5F"/>
    <w:rsid w:val="006533F8"/>
    <w:rsid w:val="00655371"/>
    <w:rsid w:val="00661FAC"/>
    <w:rsid w:val="006655D4"/>
    <w:rsid w:val="00665943"/>
    <w:rsid w:val="0068226C"/>
    <w:rsid w:val="0068612E"/>
    <w:rsid w:val="00686494"/>
    <w:rsid w:val="00692433"/>
    <w:rsid w:val="00692DFF"/>
    <w:rsid w:val="00697665"/>
    <w:rsid w:val="006A456D"/>
    <w:rsid w:val="006A7FD0"/>
    <w:rsid w:val="006B0A07"/>
    <w:rsid w:val="006B34B2"/>
    <w:rsid w:val="006C53C8"/>
    <w:rsid w:val="006D73FE"/>
    <w:rsid w:val="006D7687"/>
    <w:rsid w:val="006E0572"/>
    <w:rsid w:val="006F1118"/>
    <w:rsid w:val="0070208A"/>
    <w:rsid w:val="007030BD"/>
    <w:rsid w:val="00705631"/>
    <w:rsid w:val="00710061"/>
    <w:rsid w:val="0072092B"/>
    <w:rsid w:val="00742DD2"/>
    <w:rsid w:val="00753988"/>
    <w:rsid w:val="00755BBB"/>
    <w:rsid w:val="0075647A"/>
    <w:rsid w:val="007621BE"/>
    <w:rsid w:val="007634AD"/>
    <w:rsid w:val="00767F14"/>
    <w:rsid w:val="0078122E"/>
    <w:rsid w:val="00792BFB"/>
    <w:rsid w:val="007B0854"/>
    <w:rsid w:val="007B1FDA"/>
    <w:rsid w:val="007B43FC"/>
    <w:rsid w:val="007B4FB0"/>
    <w:rsid w:val="007B6DA0"/>
    <w:rsid w:val="007D6B17"/>
    <w:rsid w:val="007D74E6"/>
    <w:rsid w:val="007E7C33"/>
    <w:rsid w:val="007E7D57"/>
    <w:rsid w:val="007F72CB"/>
    <w:rsid w:val="00812A4A"/>
    <w:rsid w:val="008231A0"/>
    <w:rsid w:val="008263B7"/>
    <w:rsid w:val="0083119B"/>
    <w:rsid w:val="00836EAB"/>
    <w:rsid w:val="00840837"/>
    <w:rsid w:val="00845BA0"/>
    <w:rsid w:val="0085092D"/>
    <w:rsid w:val="0085488A"/>
    <w:rsid w:val="008564C0"/>
    <w:rsid w:val="008624A4"/>
    <w:rsid w:val="00865C94"/>
    <w:rsid w:val="008676D8"/>
    <w:rsid w:val="00871E1E"/>
    <w:rsid w:val="008915FD"/>
    <w:rsid w:val="008A5BE1"/>
    <w:rsid w:val="008B3030"/>
    <w:rsid w:val="008C09D0"/>
    <w:rsid w:val="008C154C"/>
    <w:rsid w:val="008C2EA7"/>
    <w:rsid w:val="008D4CE0"/>
    <w:rsid w:val="008D5500"/>
    <w:rsid w:val="008D572D"/>
    <w:rsid w:val="008E1C15"/>
    <w:rsid w:val="00901C6D"/>
    <w:rsid w:val="009047C5"/>
    <w:rsid w:val="00911219"/>
    <w:rsid w:val="0093062D"/>
    <w:rsid w:val="00934116"/>
    <w:rsid w:val="00936C4C"/>
    <w:rsid w:val="00940227"/>
    <w:rsid w:val="009432BB"/>
    <w:rsid w:val="0094332A"/>
    <w:rsid w:val="00945D7C"/>
    <w:rsid w:val="0095385A"/>
    <w:rsid w:val="00956C4B"/>
    <w:rsid w:val="00961280"/>
    <w:rsid w:val="00964178"/>
    <w:rsid w:val="0097289A"/>
    <w:rsid w:val="009815CD"/>
    <w:rsid w:val="009823E3"/>
    <w:rsid w:val="00982FEA"/>
    <w:rsid w:val="009913B2"/>
    <w:rsid w:val="009D1508"/>
    <w:rsid w:val="009D2F32"/>
    <w:rsid w:val="009D54EC"/>
    <w:rsid w:val="009E2660"/>
    <w:rsid w:val="009E3F9D"/>
    <w:rsid w:val="00A135AE"/>
    <w:rsid w:val="00A17A79"/>
    <w:rsid w:val="00A22BDF"/>
    <w:rsid w:val="00A23B79"/>
    <w:rsid w:val="00A24560"/>
    <w:rsid w:val="00A249A9"/>
    <w:rsid w:val="00A27EAE"/>
    <w:rsid w:val="00A34538"/>
    <w:rsid w:val="00A34606"/>
    <w:rsid w:val="00A549DC"/>
    <w:rsid w:val="00A61841"/>
    <w:rsid w:val="00A633D9"/>
    <w:rsid w:val="00A64DFE"/>
    <w:rsid w:val="00A663FB"/>
    <w:rsid w:val="00A773B8"/>
    <w:rsid w:val="00A83FCE"/>
    <w:rsid w:val="00A96F3E"/>
    <w:rsid w:val="00A978F3"/>
    <w:rsid w:val="00AA442B"/>
    <w:rsid w:val="00AA453F"/>
    <w:rsid w:val="00AE1909"/>
    <w:rsid w:val="00B03A04"/>
    <w:rsid w:val="00B078E6"/>
    <w:rsid w:val="00B13B8B"/>
    <w:rsid w:val="00B21140"/>
    <w:rsid w:val="00B22E22"/>
    <w:rsid w:val="00B343D1"/>
    <w:rsid w:val="00B34E7A"/>
    <w:rsid w:val="00B41D89"/>
    <w:rsid w:val="00B41DD7"/>
    <w:rsid w:val="00B4322F"/>
    <w:rsid w:val="00B525CB"/>
    <w:rsid w:val="00B62EF8"/>
    <w:rsid w:val="00B63CB2"/>
    <w:rsid w:val="00B769CD"/>
    <w:rsid w:val="00B80DBF"/>
    <w:rsid w:val="00B812D2"/>
    <w:rsid w:val="00B87FFA"/>
    <w:rsid w:val="00B932D1"/>
    <w:rsid w:val="00BA2400"/>
    <w:rsid w:val="00BA3693"/>
    <w:rsid w:val="00BA57A7"/>
    <w:rsid w:val="00BB780C"/>
    <w:rsid w:val="00BC032E"/>
    <w:rsid w:val="00BC46FA"/>
    <w:rsid w:val="00BD6043"/>
    <w:rsid w:val="00BD6210"/>
    <w:rsid w:val="00BD78FE"/>
    <w:rsid w:val="00BD7D73"/>
    <w:rsid w:val="00C00E37"/>
    <w:rsid w:val="00C024B3"/>
    <w:rsid w:val="00C10318"/>
    <w:rsid w:val="00C12452"/>
    <w:rsid w:val="00C14856"/>
    <w:rsid w:val="00C1667C"/>
    <w:rsid w:val="00C205EA"/>
    <w:rsid w:val="00C2341D"/>
    <w:rsid w:val="00C24C6F"/>
    <w:rsid w:val="00C27C7D"/>
    <w:rsid w:val="00C3403F"/>
    <w:rsid w:val="00C50638"/>
    <w:rsid w:val="00C64D4C"/>
    <w:rsid w:val="00C81CC6"/>
    <w:rsid w:val="00C93209"/>
    <w:rsid w:val="00CA287E"/>
    <w:rsid w:val="00CB53E6"/>
    <w:rsid w:val="00CB69DA"/>
    <w:rsid w:val="00CC00CD"/>
    <w:rsid w:val="00CC43FB"/>
    <w:rsid w:val="00CD1E0D"/>
    <w:rsid w:val="00CE341C"/>
    <w:rsid w:val="00CE4F94"/>
    <w:rsid w:val="00CF1E98"/>
    <w:rsid w:val="00D05987"/>
    <w:rsid w:val="00D14D37"/>
    <w:rsid w:val="00D150EF"/>
    <w:rsid w:val="00D16E39"/>
    <w:rsid w:val="00D20698"/>
    <w:rsid w:val="00D20CF9"/>
    <w:rsid w:val="00D250B7"/>
    <w:rsid w:val="00D2560D"/>
    <w:rsid w:val="00D34E42"/>
    <w:rsid w:val="00D35D5C"/>
    <w:rsid w:val="00D44A75"/>
    <w:rsid w:val="00D46880"/>
    <w:rsid w:val="00D626D0"/>
    <w:rsid w:val="00D643F2"/>
    <w:rsid w:val="00D64579"/>
    <w:rsid w:val="00D674F3"/>
    <w:rsid w:val="00D71DDD"/>
    <w:rsid w:val="00D72E9D"/>
    <w:rsid w:val="00D8050A"/>
    <w:rsid w:val="00D82CE5"/>
    <w:rsid w:val="00DA5292"/>
    <w:rsid w:val="00DA5750"/>
    <w:rsid w:val="00DA5AB1"/>
    <w:rsid w:val="00DB08D0"/>
    <w:rsid w:val="00DB0C71"/>
    <w:rsid w:val="00DB2CD9"/>
    <w:rsid w:val="00DB6A4C"/>
    <w:rsid w:val="00DC33EB"/>
    <w:rsid w:val="00DC62E5"/>
    <w:rsid w:val="00DD735D"/>
    <w:rsid w:val="00DE3119"/>
    <w:rsid w:val="00DE6039"/>
    <w:rsid w:val="00DE67F8"/>
    <w:rsid w:val="00DE71DE"/>
    <w:rsid w:val="00DF236B"/>
    <w:rsid w:val="00DF3582"/>
    <w:rsid w:val="00DF3C0F"/>
    <w:rsid w:val="00DF75F3"/>
    <w:rsid w:val="00E04191"/>
    <w:rsid w:val="00E13AB8"/>
    <w:rsid w:val="00E16B88"/>
    <w:rsid w:val="00E265CC"/>
    <w:rsid w:val="00E33B62"/>
    <w:rsid w:val="00E37985"/>
    <w:rsid w:val="00E40DA9"/>
    <w:rsid w:val="00E6266F"/>
    <w:rsid w:val="00E627F0"/>
    <w:rsid w:val="00E75448"/>
    <w:rsid w:val="00E87AD4"/>
    <w:rsid w:val="00EA667A"/>
    <w:rsid w:val="00EB26CE"/>
    <w:rsid w:val="00EC4886"/>
    <w:rsid w:val="00EC4F1A"/>
    <w:rsid w:val="00EC64DD"/>
    <w:rsid w:val="00ED319B"/>
    <w:rsid w:val="00EE2903"/>
    <w:rsid w:val="00EE57BD"/>
    <w:rsid w:val="00EF5836"/>
    <w:rsid w:val="00EF5B06"/>
    <w:rsid w:val="00F46812"/>
    <w:rsid w:val="00F50C08"/>
    <w:rsid w:val="00F5188C"/>
    <w:rsid w:val="00F613EE"/>
    <w:rsid w:val="00F67886"/>
    <w:rsid w:val="00F77764"/>
    <w:rsid w:val="00F84899"/>
    <w:rsid w:val="00F859F0"/>
    <w:rsid w:val="00F8649C"/>
    <w:rsid w:val="00F97E47"/>
    <w:rsid w:val="00FC0065"/>
    <w:rsid w:val="00FC6A37"/>
    <w:rsid w:val="00FE141E"/>
    <w:rsid w:val="00FF04C4"/>
    <w:rsid w:val="00FF2C1B"/>
    <w:rsid w:val="06AC3AB5"/>
    <w:rsid w:val="085B9F11"/>
    <w:rsid w:val="220E6C25"/>
    <w:rsid w:val="2D99B1DF"/>
    <w:rsid w:val="3919F3F8"/>
    <w:rsid w:val="50553599"/>
    <w:rsid w:val="65DAD8AD"/>
    <w:rsid w:val="68614B7F"/>
    <w:rsid w:val="6F908478"/>
    <w:rsid w:val="7560908F"/>
    <w:rsid w:val="7E9D9AB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34538"/>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hAnsi="Times New Roman" w:eastAsia="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eastAsia="Times New Roman"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paragraph" w:styleId="Default" w:customStyle="1">
    <w:name w:val="Default"/>
    <w:rsid w:val="00FC0065"/>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990673752">
      <w:bodyDiv w:val="1"/>
      <w:marLeft w:val="0"/>
      <w:marRight w:val="0"/>
      <w:marTop w:val="0"/>
      <w:marBottom w:val="0"/>
      <w:divBdr>
        <w:top w:val="none" w:sz="0" w:space="0" w:color="auto"/>
        <w:left w:val="none" w:sz="0" w:space="0" w:color="auto"/>
        <w:bottom w:val="none" w:sz="0" w:space="0" w:color="auto"/>
        <w:right w:val="none" w:sz="0" w:space="0" w:color="auto"/>
      </w:divBdr>
    </w:div>
    <w:div w:id="2109807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f1fcb0db94e14ec1" /></Relationships>
</file>

<file path=word/_rels/footer1.xml.rels>&#65279;<?xml version="1.0" encoding="utf-8"?><Relationships xmlns="http://schemas.openxmlformats.org/package/2006/relationships"><Relationship Type="http://schemas.openxmlformats.org/officeDocument/2006/relationships/image" Target="/media/image5.png" Id="Rdb3da08bbaa14ef2"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9C9D1DB5-3FD2-429D-B038-BA69180CEF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79AD63F5-42A9-4D58-B0C5-211202C9398C}">
  <ds:schemaRefs>
    <ds:schemaRef ds:uri="http://schemas.openxmlformats.org/officeDocument/2006/bibliography"/>
  </ds:schemaRefs>
</ds:datastoreItem>
</file>

<file path=customXml/itemProps4.xml><?xml version="1.0" encoding="utf-8"?>
<ds:datastoreItem xmlns:ds="http://schemas.openxmlformats.org/officeDocument/2006/customXml" ds:itemID="{6DF2D78E-BF03-4089-8F01-9AEDC816224F}">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13</revision>
  <dcterms:created xsi:type="dcterms:W3CDTF">2020-04-16T19:15:00.0000000Z</dcterms:created>
  <dcterms:modified xsi:type="dcterms:W3CDTF">2020-07-24T00:14:37.9207876Z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