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7341A" w14:textId="70F603D6" w:rsidR="00524963" w:rsidRPr="00481068" w:rsidRDefault="00D43222" w:rsidP="00524963">
      <w:pPr>
        <w:spacing w:line="276" w:lineRule="auto"/>
        <w:jc w:val="right"/>
        <w:rPr>
          <w:rFonts w:ascii="Arial" w:eastAsia="Calibri" w:hAnsi="Arial" w:cs="Arial"/>
          <w:b/>
          <w:bCs/>
          <w:sz w:val="16"/>
          <w:szCs w:val="16"/>
          <w:lang w:eastAsia="en-US"/>
        </w:rPr>
      </w:pPr>
      <w:bookmarkStart w:id="0" w:name="_Hlk29890381"/>
      <w:bookmarkEnd w:id="0"/>
      <w:r>
        <w:rPr>
          <w:rFonts w:ascii="Arial" w:hAnsi="Arial" w:cs="Arial"/>
          <w:b/>
          <w:bCs/>
          <w:sz w:val="16"/>
          <w:szCs w:val="16"/>
          <w:lang w:eastAsia="es-ES"/>
        </w:rPr>
        <w:t xml:space="preserve"> </w:t>
      </w:r>
      <w:r w:rsidR="00524963" w:rsidRPr="00481068">
        <w:rPr>
          <w:rFonts w:ascii="Arial" w:hAnsi="Arial" w:cs="Arial"/>
          <w:b/>
          <w:bCs/>
          <w:sz w:val="16"/>
          <w:szCs w:val="16"/>
          <w:lang w:eastAsia="es-ES"/>
        </w:rPr>
        <w:t>CCE-DES-FM-17</w:t>
      </w:r>
    </w:p>
    <w:p w14:paraId="00AC5863" w14:textId="77777777" w:rsidR="001A1CC0" w:rsidRPr="00481068" w:rsidRDefault="001A1CC0" w:rsidP="001A1CC0">
      <w:pPr>
        <w:spacing w:line="276" w:lineRule="auto"/>
        <w:jc w:val="both"/>
        <w:rPr>
          <w:rFonts w:ascii="Arial" w:hAnsi="Arial" w:cs="Arial"/>
          <w:noProof/>
          <w:color w:val="000000" w:themeColor="text1"/>
          <w:sz w:val="22"/>
          <w:lang w:val="es-ES_tradnl"/>
        </w:rPr>
      </w:pPr>
    </w:p>
    <w:p w14:paraId="6EC7760D" w14:textId="77777777" w:rsidR="001A1CC0" w:rsidRPr="00481068" w:rsidRDefault="001A1CC0" w:rsidP="001A1CC0">
      <w:pPr>
        <w:spacing w:after="120"/>
        <w:contextualSpacing/>
        <w:jc w:val="both"/>
        <w:rPr>
          <w:rFonts w:ascii="Arial" w:eastAsia="Calibri" w:hAnsi="Arial" w:cs="Arial"/>
          <w:b/>
          <w:bCs/>
          <w:color w:val="000000" w:themeColor="text1"/>
          <w:sz w:val="22"/>
          <w:szCs w:val="22"/>
          <w:lang w:val="es-ES_tradnl" w:eastAsia="en-US"/>
        </w:rPr>
      </w:pPr>
      <w:r w:rsidRPr="00481068">
        <w:rPr>
          <w:rFonts w:ascii="Arial" w:eastAsia="Calibri" w:hAnsi="Arial" w:cs="Arial"/>
          <w:b/>
          <w:bCs/>
          <w:color w:val="000000" w:themeColor="text1"/>
          <w:sz w:val="22"/>
          <w:szCs w:val="22"/>
          <w:lang w:val="es-ES_tradnl" w:eastAsia="en-US"/>
        </w:rPr>
        <w:t>LEY DE GARANTÍAS ELECTORALES – Finalidad</w:t>
      </w:r>
    </w:p>
    <w:p w14:paraId="7508B161" w14:textId="77777777" w:rsidR="001A1CC0" w:rsidRPr="00481068" w:rsidRDefault="001A1CC0" w:rsidP="001A1CC0">
      <w:pPr>
        <w:spacing w:after="120"/>
        <w:contextualSpacing/>
        <w:jc w:val="both"/>
        <w:rPr>
          <w:rFonts w:ascii="Arial" w:eastAsia="Calibri" w:hAnsi="Arial" w:cs="Arial"/>
          <w:color w:val="000000" w:themeColor="text1"/>
          <w:sz w:val="20"/>
          <w:szCs w:val="20"/>
          <w:lang w:val="es-ES_tradnl" w:eastAsia="en-US"/>
        </w:rPr>
      </w:pPr>
    </w:p>
    <w:p w14:paraId="6989C7C1" w14:textId="676A0635" w:rsidR="001A1CC0" w:rsidRPr="00481068" w:rsidRDefault="00465F57" w:rsidP="00465F57">
      <w:pPr>
        <w:tabs>
          <w:tab w:val="left" w:pos="426"/>
        </w:tabs>
        <w:spacing w:after="120"/>
        <w:jc w:val="both"/>
        <w:rPr>
          <w:rFonts w:ascii="Arial" w:hAnsi="Arial" w:cs="Arial"/>
          <w:bCs/>
          <w:color w:val="000000" w:themeColor="text1"/>
          <w:sz w:val="20"/>
          <w:szCs w:val="20"/>
          <w:lang w:eastAsia="es-CO"/>
        </w:rPr>
      </w:pPr>
      <w:r w:rsidRPr="00481068">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481068">
        <w:rPr>
          <w:rFonts w:ascii="Arial" w:hAnsi="Arial" w:cs="Arial"/>
          <w:bCs/>
          <w:i/>
          <w:iCs/>
          <w:color w:val="000000" w:themeColor="text1"/>
          <w:sz w:val="20"/>
          <w:szCs w:val="20"/>
          <w:lang w:eastAsia="es-CO"/>
        </w:rPr>
        <w:t xml:space="preserve">. </w:t>
      </w:r>
      <w:r w:rsidRPr="00481068">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w:t>
      </w:r>
      <w:r w:rsidRPr="00481068">
        <w:rPr>
          <w:rFonts w:ascii="Arial" w:hAnsi="Arial" w:cs="Arial"/>
          <w:bCs/>
          <w:color w:val="000000" w:themeColor="text1"/>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hAnsi="Arial" w:cs="Arial"/>
          <w:bCs/>
          <w:color w:val="000000" w:themeColor="text1"/>
          <w:sz w:val="20"/>
          <w:szCs w:val="20"/>
          <w:lang w:val="es-ES_tradnl" w:eastAsia="es-CO"/>
        </w:rPr>
        <w:t xml:space="preserve"> </w:t>
      </w:r>
      <w:r w:rsidRPr="00481068">
        <w:rPr>
          <w:rFonts w:ascii="Arial" w:hAnsi="Arial" w:cs="Arial"/>
          <w:bCs/>
          <w:color w:val="000000" w:themeColor="text1"/>
          <w:sz w:val="20"/>
          <w:szCs w:val="20"/>
          <w:lang w:val="es-MX" w:eastAsia="es-CO"/>
        </w:rPr>
        <w:t>En armonía con lo anterior, la Corte Constitucional ha abordado la definición de la Ley de Garantías Electorales</w:t>
      </w:r>
      <w:r w:rsidR="001A1CC0" w:rsidRPr="00481068">
        <w:rPr>
          <w:rFonts w:ascii="Arial" w:hAnsi="Arial" w:cs="Arial"/>
          <w:bCs/>
          <w:color w:val="000000" w:themeColor="text1"/>
          <w:sz w:val="20"/>
          <w:szCs w:val="20"/>
          <w:lang w:val="es-ES_tradnl" w:eastAsia="es-CO"/>
        </w:rPr>
        <w:t>.</w:t>
      </w:r>
      <w:r w:rsidRPr="00481068">
        <w:rPr>
          <w:rFonts w:ascii="Arial" w:hAnsi="Arial" w:cs="Arial"/>
          <w:bCs/>
          <w:color w:val="000000" w:themeColor="text1"/>
          <w:sz w:val="20"/>
          <w:szCs w:val="20"/>
          <w:lang w:val="es-ES_tradnl" w:eastAsia="es-CO"/>
        </w:rPr>
        <w:t xml:space="preserve"> </w:t>
      </w:r>
      <w:r w:rsidRPr="00481068">
        <w:rPr>
          <w:rFonts w:ascii="Arial" w:hAnsi="Arial" w:cs="Arial"/>
          <w:bCs/>
          <w:color w:val="000000" w:themeColor="text1"/>
          <w:sz w:val="20"/>
          <w:szCs w:val="20"/>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65C11825" w14:textId="77777777" w:rsidR="001A1CC0" w:rsidRPr="00481068" w:rsidRDefault="001A1CC0" w:rsidP="001A1CC0">
      <w:pPr>
        <w:tabs>
          <w:tab w:val="left" w:pos="426"/>
        </w:tabs>
        <w:jc w:val="both"/>
        <w:rPr>
          <w:rFonts w:ascii="Arial" w:eastAsia="Calibri" w:hAnsi="Arial" w:cs="Arial"/>
          <w:bCs/>
          <w:color w:val="000000" w:themeColor="text1"/>
          <w:sz w:val="20"/>
          <w:szCs w:val="20"/>
          <w:lang w:val="es-ES_tradnl" w:eastAsia="en-US"/>
        </w:rPr>
      </w:pPr>
    </w:p>
    <w:p w14:paraId="3BC825E6" w14:textId="77777777" w:rsidR="001A1CC0" w:rsidRPr="00481068" w:rsidRDefault="001A1CC0" w:rsidP="001A1CC0">
      <w:pPr>
        <w:tabs>
          <w:tab w:val="left" w:pos="426"/>
        </w:tabs>
        <w:jc w:val="both"/>
        <w:rPr>
          <w:rFonts w:ascii="Arial" w:eastAsia="Calibri" w:hAnsi="Arial" w:cs="Arial"/>
          <w:b/>
          <w:bCs/>
          <w:color w:val="000000" w:themeColor="text1"/>
          <w:sz w:val="22"/>
          <w:szCs w:val="22"/>
          <w:lang w:val="es-ES_tradnl" w:eastAsia="en-US"/>
        </w:rPr>
      </w:pPr>
      <w:bookmarkStart w:id="1" w:name="_Hlk77152637"/>
      <w:bookmarkStart w:id="2" w:name="_Hlk77157066"/>
      <w:r w:rsidRPr="00481068">
        <w:rPr>
          <w:rFonts w:ascii="Arial" w:eastAsia="Calibri" w:hAnsi="Arial" w:cs="Arial"/>
          <w:b/>
          <w:bCs/>
          <w:color w:val="000000" w:themeColor="text1"/>
          <w:sz w:val="22"/>
          <w:szCs w:val="22"/>
          <w:lang w:val="es-ES_tradnl" w:eastAsia="en-US"/>
        </w:rPr>
        <w:t>LEY DE GARANTÍAS ELECTORALES ‒</w:t>
      </w:r>
      <w:bookmarkEnd w:id="1"/>
      <w:r w:rsidRPr="00481068">
        <w:rPr>
          <w:rFonts w:ascii="Arial" w:eastAsia="Calibri" w:hAnsi="Arial" w:cs="Arial"/>
          <w:b/>
          <w:bCs/>
          <w:color w:val="000000" w:themeColor="text1"/>
          <w:sz w:val="22"/>
          <w:szCs w:val="22"/>
          <w:lang w:val="es-ES_tradnl" w:eastAsia="en-US"/>
        </w:rPr>
        <w:t xml:space="preserve"> Restricciones </w:t>
      </w:r>
      <w:bookmarkStart w:id="3" w:name="_Hlk77157034"/>
      <w:r w:rsidRPr="00481068">
        <w:rPr>
          <w:rFonts w:ascii="Arial" w:eastAsia="Calibri" w:hAnsi="Arial" w:cs="Arial"/>
          <w:b/>
          <w:bCs/>
          <w:color w:val="000000" w:themeColor="text1"/>
          <w:sz w:val="22"/>
          <w:szCs w:val="22"/>
          <w:lang w:val="es-ES_tradnl" w:eastAsia="en-US"/>
        </w:rPr>
        <w:t xml:space="preserve">‒ </w:t>
      </w:r>
      <w:bookmarkEnd w:id="3"/>
      <w:r w:rsidRPr="00481068">
        <w:rPr>
          <w:rFonts w:ascii="Arial" w:eastAsia="Calibri" w:hAnsi="Arial" w:cs="Arial"/>
          <w:b/>
          <w:bCs/>
          <w:color w:val="000000" w:themeColor="text1"/>
          <w:sz w:val="22"/>
          <w:szCs w:val="22"/>
          <w:lang w:val="es-ES_tradnl" w:eastAsia="en-US"/>
        </w:rPr>
        <w:t>Contratación</w:t>
      </w:r>
      <w:bookmarkStart w:id="4" w:name="_Hlk77153098"/>
      <w:r w:rsidRPr="00481068">
        <w:rPr>
          <w:rFonts w:ascii="Arial" w:eastAsia="Calibri" w:hAnsi="Arial" w:cs="Arial"/>
          <w:b/>
          <w:bCs/>
          <w:color w:val="000000" w:themeColor="text1"/>
          <w:sz w:val="22"/>
          <w:szCs w:val="22"/>
          <w:lang w:val="es-ES_tradnl" w:eastAsia="en-US"/>
        </w:rPr>
        <w:t xml:space="preserve"> ‒ Tipos de elección</w:t>
      </w:r>
      <w:bookmarkEnd w:id="4"/>
      <w:r w:rsidRPr="00481068">
        <w:rPr>
          <w:rFonts w:ascii="Arial" w:eastAsia="Calibri" w:hAnsi="Arial" w:cs="Arial"/>
          <w:b/>
          <w:bCs/>
          <w:color w:val="000000" w:themeColor="text1"/>
          <w:sz w:val="22"/>
          <w:szCs w:val="22"/>
          <w:lang w:val="es-ES_tradnl" w:eastAsia="en-US"/>
        </w:rPr>
        <w:t xml:space="preserve"> </w:t>
      </w:r>
    </w:p>
    <w:p w14:paraId="0862B5F6" w14:textId="77777777" w:rsidR="001A1CC0" w:rsidRPr="00481068" w:rsidRDefault="001A1CC0" w:rsidP="001A1CC0">
      <w:pPr>
        <w:tabs>
          <w:tab w:val="left" w:pos="426"/>
        </w:tabs>
        <w:jc w:val="both"/>
        <w:rPr>
          <w:rFonts w:ascii="Arial" w:eastAsia="Calibri" w:hAnsi="Arial" w:cs="Arial"/>
          <w:b/>
          <w:bCs/>
          <w:color w:val="000000" w:themeColor="text1"/>
          <w:sz w:val="20"/>
          <w:szCs w:val="20"/>
          <w:lang w:val="es-ES_tradnl" w:eastAsia="en-US"/>
        </w:rPr>
      </w:pPr>
    </w:p>
    <w:p w14:paraId="55961553" w14:textId="3C2EB888" w:rsidR="001A1CC0" w:rsidRPr="00481068" w:rsidRDefault="00465F57" w:rsidP="00465F57">
      <w:pPr>
        <w:tabs>
          <w:tab w:val="left" w:pos="426"/>
        </w:tabs>
        <w:jc w:val="both"/>
        <w:rPr>
          <w:rFonts w:ascii="Arial" w:hAnsi="Arial" w:cs="Arial"/>
          <w:bCs/>
          <w:color w:val="000000" w:themeColor="text1"/>
          <w:sz w:val="20"/>
          <w:szCs w:val="20"/>
          <w:lang w:val="es-ES_tradnl" w:eastAsia="es-CO" w:bidi="es-ES"/>
        </w:rPr>
      </w:pPr>
      <w:bookmarkStart w:id="5" w:name="_Hlk77165666"/>
      <w:bookmarkEnd w:id="2"/>
      <w:r w:rsidRPr="00481068">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481068">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hAnsi="Arial" w:cs="Arial"/>
          <w:bCs/>
          <w:color w:val="000000" w:themeColor="text1"/>
          <w:sz w:val="20"/>
          <w:szCs w:val="20"/>
          <w:lang w:val="es-ES_tradnl" w:eastAsia="es-CO" w:bidi="es-ES"/>
        </w:rPr>
        <w:t xml:space="preserve"> </w:t>
      </w:r>
      <w:r w:rsidRPr="00481068">
        <w:rPr>
          <w:rFonts w:ascii="Arial" w:hAnsi="Arial" w:cs="Arial"/>
          <w:bCs/>
          <w:color w:val="000000" w:themeColor="text1"/>
          <w:sz w:val="20"/>
          <w:szCs w:val="20"/>
          <w:lang w:eastAsia="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81068">
        <w:rPr>
          <w:rFonts w:ascii="Arial" w:hAnsi="Arial" w:cs="Arial"/>
          <w:bCs/>
          <w:color w:val="000000" w:themeColor="text1"/>
          <w:sz w:val="20"/>
          <w:szCs w:val="20"/>
          <w:lang w:val="es-MX" w:eastAsia="es-CO"/>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hAnsi="Arial" w:cs="Arial"/>
          <w:bCs/>
          <w:color w:val="000000" w:themeColor="text1"/>
          <w:sz w:val="20"/>
          <w:szCs w:val="20"/>
          <w:lang w:eastAsia="es-CO"/>
        </w:rPr>
        <w:t>»</w:t>
      </w:r>
    </w:p>
    <w:p w14:paraId="79BCEDE9" w14:textId="77777777" w:rsidR="001A1CC0" w:rsidRPr="00481068" w:rsidRDefault="001A1CC0" w:rsidP="001A1CC0">
      <w:pPr>
        <w:tabs>
          <w:tab w:val="left" w:pos="426"/>
        </w:tabs>
        <w:jc w:val="both"/>
        <w:rPr>
          <w:rFonts w:ascii="Arial" w:eastAsia="Calibri" w:hAnsi="Arial" w:cs="Arial"/>
          <w:b/>
          <w:bCs/>
          <w:sz w:val="22"/>
          <w:szCs w:val="22"/>
          <w:lang w:val="es-ES_tradnl" w:eastAsia="en-US"/>
        </w:rPr>
      </w:pPr>
      <w:r w:rsidRPr="00481068">
        <w:rPr>
          <w:rFonts w:ascii="Arial" w:eastAsia="Calibri" w:hAnsi="Arial" w:cs="Arial"/>
          <w:b/>
          <w:bCs/>
          <w:sz w:val="22"/>
          <w:szCs w:val="22"/>
          <w:lang w:val="es-ES_tradnl" w:eastAsia="en-US"/>
        </w:rPr>
        <w:lastRenderedPageBreak/>
        <w:t xml:space="preserve">LEY DE GARANTÍAS ELECTORALES ─ Prohibición artículo 33 ‒ </w:t>
      </w:r>
      <w:bookmarkEnd w:id="5"/>
      <w:r w:rsidRPr="00481068">
        <w:rPr>
          <w:rFonts w:ascii="Arial" w:eastAsia="Calibri" w:hAnsi="Arial" w:cs="Arial"/>
          <w:b/>
          <w:bCs/>
          <w:sz w:val="22"/>
          <w:szCs w:val="22"/>
          <w:lang w:val="es-ES_tradnl" w:eastAsia="en-US"/>
        </w:rPr>
        <w:t xml:space="preserve">Contratación directa ‒ Alcance </w:t>
      </w:r>
    </w:p>
    <w:p w14:paraId="5FFFFEE6" w14:textId="77777777" w:rsidR="001A1CC0" w:rsidRPr="00481068" w:rsidRDefault="001A1CC0" w:rsidP="001A1CC0">
      <w:pPr>
        <w:tabs>
          <w:tab w:val="left" w:pos="426"/>
        </w:tabs>
        <w:jc w:val="both"/>
        <w:rPr>
          <w:rFonts w:ascii="Arial" w:eastAsia="Calibri" w:hAnsi="Arial" w:cs="Arial"/>
          <w:noProof/>
          <w:sz w:val="20"/>
          <w:szCs w:val="20"/>
          <w:lang w:val="es-ES_tradnl" w:eastAsia="en-US"/>
        </w:rPr>
      </w:pPr>
    </w:p>
    <w:p w14:paraId="7AE2B61C" w14:textId="77777777" w:rsidR="001A1CC0" w:rsidRPr="00481068" w:rsidRDefault="001A1CC0" w:rsidP="001A1CC0">
      <w:pPr>
        <w:jc w:val="both"/>
        <w:rPr>
          <w:rFonts w:ascii="Arial" w:hAnsi="Arial" w:cs="Arial"/>
          <w:bCs/>
          <w:sz w:val="20"/>
          <w:szCs w:val="20"/>
          <w:lang w:val="es-ES_tradnl" w:eastAsia="x-none"/>
        </w:rPr>
      </w:pPr>
      <w:r w:rsidRPr="00481068">
        <w:rPr>
          <w:rFonts w:ascii="Arial" w:eastAsia="Calibri" w:hAnsi="Arial" w:cs="Arial"/>
          <w:noProof/>
          <w:sz w:val="20"/>
          <w:szCs w:val="20"/>
          <w:lang w:val="es-ES_tradnl" w:eastAsia="en-US"/>
        </w:rPr>
        <w:t xml:space="preserve">[…] </w:t>
      </w:r>
      <w:r w:rsidRPr="00481068">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hAnsi="Arial" w:cs="Arial"/>
          <w:sz w:val="20"/>
          <w:szCs w:val="20"/>
          <w:vertAlign w:val="superscript"/>
          <w:lang w:val="es-ES_tradnl" w:eastAsia="x-none"/>
        </w:rPr>
        <w:t xml:space="preserve">. </w:t>
      </w:r>
      <w:r w:rsidRPr="00481068">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6715A56" w14:textId="77777777" w:rsidR="001A1CC0" w:rsidRPr="00481068" w:rsidRDefault="001A1CC0" w:rsidP="001A1CC0">
      <w:pPr>
        <w:jc w:val="both"/>
        <w:rPr>
          <w:rFonts w:ascii="Arial" w:hAnsi="Arial" w:cs="Arial"/>
          <w:b/>
          <w:bCs/>
          <w:sz w:val="20"/>
          <w:szCs w:val="20"/>
          <w:lang w:val="es-ES_tradnl" w:eastAsia="es-ES"/>
        </w:rPr>
      </w:pPr>
    </w:p>
    <w:p w14:paraId="25A39359" w14:textId="77777777" w:rsidR="001A1CC0" w:rsidRPr="00481068" w:rsidRDefault="001A1CC0" w:rsidP="001A1CC0">
      <w:pPr>
        <w:shd w:val="clear" w:color="auto" w:fill="FFFFFF"/>
        <w:jc w:val="both"/>
        <w:rPr>
          <w:rFonts w:ascii="Arial" w:hAnsi="Arial" w:cs="Arial"/>
          <w:b/>
          <w:bCs/>
          <w:sz w:val="22"/>
          <w:szCs w:val="22"/>
          <w:lang w:val="es-ES_tradnl" w:eastAsia="es-CO"/>
        </w:rPr>
      </w:pPr>
      <w:r w:rsidRPr="00481068">
        <w:rPr>
          <w:rFonts w:ascii="Arial" w:hAnsi="Arial" w:cs="Arial"/>
          <w:b/>
          <w:bCs/>
          <w:sz w:val="22"/>
          <w:szCs w:val="22"/>
          <w:lang w:val="es-ES_tradnl" w:eastAsia="es-CO"/>
        </w:rPr>
        <w:t xml:space="preserve">LEY DE GARANTÍAS ELECTORALES </w:t>
      </w:r>
      <w:bookmarkStart w:id="6" w:name="_Hlk77022358"/>
      <w:r w:rsidRPr="00481068">
        <w:rPr>
          <w:rFonts w:ascii="Arial" w:hAnsi="Arial" w:cs="Arial"/>
          <w:b/>
          <w:bCs/>
          <w:sz w:val="22"/>
          <w:szCs w:val="22"/>
          <w:lang w:val="es-ES_tradnl" w:eastAsia="es-CO"/>
        </w:rPr>
        <w:t>‒</w:t>
      </w:r>
      <w:bookmarkEnd w:id="6"/>
      <w:r w:rsidRPr="00481068">
        <w:rPr>
          <w:rFonts w:ascii="Arial" w:hAnsi="Arial" w:cs="Arial"/>
          <w:b/>
          <w:bCs/>
          <w:sz w:val="22"/>
          <w:szCs w:val="22"/>
          <w:lang w:val="es-ES_tradnl" w:eastAsia="es-CO"/>
        </w:rPr>
        <w:t xml:space="preserve"> Excepciones</w:t>
      </w:r>
      <w:r w:rsidRPr="00481068">
        <w:rPr>
          <w:rFonts w:ascii="Arial" w:hAnsi="Arial" w:cs="Arial"/>
          <w:b/>
          <w:sz w:val="22"/>
          <w:szCs w:val="22"/>
          <w:lang w:val="es-ES_tradnl" w:eastAsia="es-CO"/>
        </w:rPr>
        <w:t xml:space="preserve"> </w:t>
      </w:r>
    </w:p>
    <w:p w14:paraId="0F588BB6" w14:textId="77777777" w:rsidR="001A1CC0" w:rsidRPr="00481068" w:rsidRDefault="001A1CC0" w:rsidP="001A1CC0">
      <w:pPr>
        <w:shd w:val="clear" w:color="auto" w:fill="FFFFFF"/>
        <w:jc w:val="both"/>
        <w:rPr>
          <w:rFonts w:ascii="Arial" w:hAnsi="Arial" w:cs="Arial"/>
          <w:b/>
          <w:sz w:val="22"/>
          <w:szCs w:val="22"/>
          <w:lang w:val="es-ES_tradnl" w:eastAsia="es-CO"/>
        </w:rPr>
      </w:pPr>
    </w:p>
    <w:p w14:paraId="52F47871" w14:textId="77777777" w:rsidR="001A1CC0" w:rsidRPr="00481068" w:rsidRDefault="001A1CC0" w:rsidP="001A1CC0">
      <w:pPr>
        <w:tabs>
          <w:tab w:val="left" w:pos="426"/>
        </w:tabs>
        <w:jc w:val="both"/>
        <w:rPr>
          <w:rFonts w:ascii="Arial" w:eastAsia="Calibri" w:hAnsi="Arial" w:cs="Arial"/>
          <w:sz w:val="20"/>
          <w:szCs w:val="20"/>
          <w:lang w:val="es-ES_tradnl" w:eastAsia="en-US"/>
        </w:rPr>
      </w:pPr>
      <w:r w:rsidRPr="00481068">
        <w:rPr>
          <w:rFonts w:ascii="Arial" w:hAnsi="Arial" w:cs="Arial"/>
          <w:sz w:val="20"/>
          <w:szCs w:val="20"/>
          <w:lang w:val="es-ES_tradnl" w:eastAsia="x-none"/>
        </w:rPr>
        <w:t xml:space="preserve">[…] </w:t>
      </w:r>
      <w:r w:rsidRPr="00481068">
        <w:rPr>
          <w:rFonts w:ascii="Arial" w:hAnsi="Arial" w:cs="Arial"/>
          <w:bCs/>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81068">
        <w:rPr>
          <w:rFonts w:ascii="Arial" w:hAnsi="Arial" w:cs="Arial"/>
          <w:bCs/>
          <w:sz w:val="20"/>
          <w:szCs w:val="20"/>
          <w:lang w:val="es-ES_tradnl" w:eastAsia="x-none"/>
        </w:rPr>
        <w:t>ii</w:t>
      </w:r>
      <w:proofErr w:type="spellEnd"/>
      <w:r w:rsidRPr="00481068">
        <w:rPr>
          <w:rFonts w:ascii="Arial" w:hAnsi="Arial" w:cs="Arial"/>
          <w:bCs/>
          <w:sz w:val="20"/>
          <w:szCs w:val="20"/>
          <w:lang w:val="es-ES_tradnl" w:eastAsia="x-none"/>
        </w:rPr>
        <w:t xml:space="preserve">) los contratos de crédito público; </w:t>
      </w:r>
      <w:proofErr w:type="spellStart"/>
      <w:r w:rsidRPr="00481068">
        <w:rPr>
          <w:rFonts w:ascii="Arial" w:hAnsi="Arial" w:cs="Arial"/>
          <w:bCs/>
          <w:sz w:val="20"/>
          <w:szCs w:val="20"/>
          <w:lang w:val="es-ES_tradnl" w:eastAsia="x-none"/>
        </w:rPr>
        <w:t>iii</w:t>
      </w:r>
      <w:proofErr w:type="spellEnd"/>
      <w:r w:rsidRPr="00481068">
        <w:rPr>
          <w:rFonts w:ascii="Arial" w:hAnsi="Arial" w:cs="Arial"/>
          <w:bCs/>
          <w:sz w:val="20"/>
          <w:szCs w:val="20"/>
          <w:lang w:val="es-ES_tradnl" w:eastAsia="x-none"/>
        </w:rPr>
        <w:t xml:space="preserve">) los requeridos para cubrir las emergencias educativas, sanitarias y desastres; </w:t>
      </w:r>
      <w:proofErr w:type="spellStart"/>
      <w:r w:rsidRPr="00481068">
        <w:rPr>
          <w:rFonts w:ascii="Arial" w:hAnsi="Arial" w:cs="Arial"/>
          <w:bCs/>
          <w:sz w:val="20"/>
          <w:szCs w:val="20"/>
          <w:lang w:val="es-ES_tradnl" w:eastAsia="x-none"/>
        </w:rPr>
        <w:t>iv</w:t>
      </w:r>
      <w:proofErr w:type="spellEnd"/>
      <w:r w:rsidRPr="00481068">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7BD7127" w14:textId="77777777" w:rsidR="001A1CC0" w:rsidRPr="00481068" w:rsidRDefault="001A1CC0" w:rsidP="001A1CC0">
      <w:pPr>
        <w:tabs>
          <w:tab w:val="left" w:pos="426"/>
        </w:tabs>
        <w:jc w:val="both"/>
        <w:rPr>
          <w:rFonts w:ascii="Arial" w:eastAsia="Calibri" w:hAnsi="Arial" w:cs="Arial"/>
          <w:noProof/>
          <w:sz w:val="20"/>
          <w:szCs w:val="20"/>
          <w:lang w:val="es-ES_tradnl" w:eastAsia="en-US"/>
        </w:rPr>
      </w:pPr>
    </w:p>
    <w:p w14:paraId="09AAA071" w14:textId="77777777" w:rsidR="001A1CC0" w:rsidRPr="00481068" w:rsidRDefault="001A1CC0" w:rsidP="001A1CC0">
      <w:pPr>
        <w:jc w:val="both"/>
        <w:rPr>
          <w:rFonts w:ascii="Arial" w:hAnsi="Arial" w:cs="Arial"/>
          <w:b/>
          <w:sz w:val="22"/>
          <w:szCs w:val="22"/>
          <w:lang w:val="es-ES_tradnl" w:eastAsia="es-CO"/>
        </w:rPr>
      </w:pPr>
      <w:r w:rsidRPr="00481068">
        <w:rPr>
          <w:rFonts w:ascii="Arial" w:hAnsi="Arial" w:cs="Arial"/>
          <w:b/>
          <w:bCs/>
          <w:sz w:val="22"/>
          <w:szCs w:val="22"/>
          <w:lang w:val="es-ES_tradnl" w:eastAsia="es-CO"/>
        </w:rPr>
        <w:t xml:space="preserve">LEY DE GARANTÍAS ELECTORALES </w:t>
      </w:r>
      <w:bookmarkStart w:id="7" w:name="_Hlk77166669"/>
      <w:r w:rsidRPr="00481068">
        <w:rPr>
          <w:rFonts w:ascii="Arial" w:hAnsi="Arial" w:cs="Arial"/>
          <w:b/>
          <w:bCs/>
          <w:sz w:val="22"/>
          <w:szCs w:val="22"/>
          <w:lang w:val="es-ES_tradnl" w:eastAsia="es-CO"/>
        </w:rPr>
        <w:t>‒</w:t>
      </w:r>
      <w:bookmarkEnd w:id="7"/>
      <w:r w:rsidRPr="00481068">
        <w:rPr>
          <w:rFonts w:ascii="Arial" w:hAnsi="Arial" w:cs="Arial"/>
          <w:b/>
          <w:bCs/>
          <w:sz w:val="22"/>
          <w:szCs w:val="22"/>
          <w:lang w:val="es-ES_tradnl" w:eastAsia="es-CO"/>
        </w:rPr>
        <w:t xml:space="preserve"> </w:t>
      </w:r>
      <w:r w:rsidRPr="00481068">
        <w:rPr>
          <w:rFonts w:ascii="Arial" w:hAnsi="Arial" w:cs="Arial"/>
          <w:b/>
          <w:sz w:val="22"/>
          <w:szCs w:val="22"/>
          <w:lang w:val="es-ES_tradnl" w:eastAsia="es-CO"/>
        </w:rPr>
        <w:t xml:space="preserve">Prohibición del artículo 33 </w:t>
      </w:r>
      <w:r w:rsidRPr="00481068">
        <w:rPr>
          <w:rFonts w:ascii="Arial" w:hAnsi="Arial" w:cs="Arial"/>
          <w:b/>
          <w:bCs/>
          <w:sz w:val="22"/>
          <w:szCs w:val="22"/>
          <w:lang w:val="es-ES_tradnl" w:eastAsia="es-CO"/>
        </w:rPr>
        <w:t>‒ Destinatarios</w:t>
      </w:r>
    </w:p>
    <w:p w14:paraId="71D9B629" w14:textId="77777777" w:rsidR="001A1CC0" w:rsidRPr="00481068" w:rsidRDefault="001A1CC0" w:rsidP="001A1CC0">
      <w:pPr>
        <w:tabs>
          <w:tab w:val="left" w:pos="426"/>
        </w:tabs>
        <w:jc w:val="both"/>
        <w:rPr>
          <w:rFonts w:ascii="Arial" w:eastAsia="Calibri" w:hAnsi="Arial" w:cs="Arial"/>
          <w:noProof/>
          <w:sz w:val="22"/>
          <w:szCs w:val="22"/>
          <w:lang w:val="es-ES_tradnl" w:eastAsia="en-US"/>
        </w:rPr>
      </w:pPr>
    </w:p>
    <w:p w14:paraId="482E3C0E" w14:textId="74169825" w:rsidR="001A1CC0" w:rsidRPr="00481068" w:rsidRDefault="001A1CC0" w:rsidP="001A1CC0">
      <w:pPr>
        <w:tabs>
          <w:tab w:val="left" w:pos="426"/>
        </w:tabs>
        <w:jc w:val="both"/>
        <w:rPr>
          <w:rFonts w:ascii="Arial" w:hAnsi="Arial" w:cs="Arial"/>
          <w:bCs/>
          <w:sz w:val="20"/>
          <w:szCs w:val="20"/>
          <w:lang w:val="es-ES_tradnl" w:eastAsia="x-none"/>
        </w:rPr>
      </w:pPr>
      <w:r w:rsidRPr="00481068">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81068">
        <w:rPr>
          <w:rFonts w:ascii="Arial" w:eastAsia="Calibri" w:hAnsi="Arial" w:cs="Arial"/>
          <w:sz w:val="20"/>
          <w:szCs w:val="20"/>
          <w:lang w:val="es-ES_tradnl" w:eastAsia="en-US"/>
        </w:rPr>
        <w:t xml:space="preserve"> </w:t>
      </w:r>
      <w:r w:rsidRPr="00481068">
        <w:rPr>
          <w:rFonts w:ascii="Arial" w:hAnsi="Arial" w:cs="Arial"/>
          <w:bCs/>
          <w:sz w:val="20"/>
          <w:szCs w:val="20"/>
          <w:lang w:val="es-ES_tradnl" w:eastAsia="x-none"/>
        </w:rPr>
        <w:t>En efecto, tal como lo ha sostenido el Consejo de Estado, el vocablo «todos» utilizado por el legislador comprende</w:t>
      </w:r>
      <w:r w:rsidRPr="00481068">
        <w:rPr>
          <w:rFonts w:ascii="Arial" w:eastAsia="Calibri" w:hAnsi="Arial" w:cs="Arial"/>
          <w:sz w:val="20"/>
          <w:szCs w:val="20"/>
          <w:lang w:val="es-ES_tradnl" w:eastAsia="en-US"/>
        </w:rPr>
        <w:t xml:space="preserve"> </w:t>
      </w:r>
      <w:r w:rsidRPr="00481068">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916F09">
        <w:rPr>
          <w:rFonts w:ascii="Arial" w:hAnsi="Arial" w:cs="Arial"/>
          <w:bCs/>
          <w:sz w:val="20"/>
          <w:szCs w:val="20"/>
          <w:lang w:val="es-ES_tradnl" w:eastAsia="x-none"/>
        </w:rPr>
        <w:t xml:space="preserve"> </w:t>
      </w:r>
    </w:p>
    <w:p w14:paraId="30C2B3FD" w14:textId="77777777" w:rsidR="001A1CC0" w:rsidRPr="00481068" w:rsidRDefault="001A1CC0" w:rsidP="001A1CC0">
      <w:pPr>
        <w:widowControl w:val="0"/>
        <w:autoSpaceDE w:val="0"/>
        <w:autoSpaceDN w:val="0"/>
        <w:jc w:val="both"/>
        <w:rPr>
          <w:rFonts w:ascii="Arial" w:eastAsia="Arial" w:hAnsi="Arial" w:cs="Arial"/>
          <w:color w:val="000000" w:themeColor="text1"/>
          <w:sz w:val="20"/>
          <w:szCs w:val="20"/>
          <w:lang w:val="es-ES_tradnl" w:eastAsia="es-ES" w:bidi="es-ES"/>
        </w:rPr>
      </w:pPr>
    </w:p>
    <w:p w14:paraId="387FAEA7" w14:textId="3B4965B1" w:rsidR="001A1CC0" w:rsidRPr="00481068" w:rsidRDefault="001A1CC0" w:rsidP="009F030F">
      <w:pPr>
        <w:tabs>
          <w:tab w:val="left" w:pos="3374"/>
        </w:tabs>
        <w:jc w:val="both"/>
        <w:rPr>
          <w:rFonts w:ascii="Arial" w:eastAsia="Calibri" w:hAnsi="Arial" w:cs="Arial"/>
          <w:b/>
          <w:bCs/>
          <w:sz w:val="22"/>
          <w:szCs w:val="22"/>
          <w:lang w:val="es-MX" w:eastAsia="en-US"/>
        </w:rPr>
      </w:pPr>
      <w:r w:rsidRPr="00481068">
        <w:rPr>
          <w:rFonts w:ascii="Arial" w:eastAsia="Calibri" w:hAnsi="Arial" w:cs="Arial"/>
          <w:b/>
          <w:color w:val="000000" w:themeColor="text1"/>
          <w:sz w:val="22"/>
          <w:szCs w:val="22"/>
        </w:rPr>
        <w:t xml:space="preserve">ORGANISMOS INTERNACIONALES – </w:t>
      </w:r>
      <w:r w:rsidR="009F030F" w:rsidRPr="00481068">
        <w:rPr>
          <w:rFonts w:ascii="Arial" w:eastAsia="Calibri" w:hAnsi="Arial" w:cs="Arial"/>
          <w:b/>
          <w:bCs/>
          <w:sz w:val="22"/>
          <w:szCs w:val="22"/>
          <w:lang w:eastAsia="en-US"/>
        </w:rPr>
        <w:t xml:space="preserve">Régimen de contratación </w:t>
      </w:r>
    </w:p>
    <w:p w14:paraId="155C09EC" w14:textId="77777777" w:rsidR="001A1CC0" w:rsidRPr="00481068" w:rsidRDefault="001A1CC0" w:rsidP="001A1CC0">
      <w:pPr>
        <w:jc w:val="both"/>
        <w:rPr>
          <w:rFonts w:ascii="Arial" w:eastAsia="Calibri" w:hAnsi="Arial" w:cs="Arial"/>
          <w:color w:val="000000" w:themeColor="text1"/>
          <w:sz w:val="20"/>
          <w:szCs w:val="20"/>
        </w:rPr>
      </w:pPr>
    </w:p>
    <w:p w14:paraId="0543A6D8" w14:textId="564FCD7B" w:rsidR="001A1CC0" w:rsidRPr="00481068" w:rsidRDefault="00D55299" w:rsidP="00D55299">
      <w:pPr>
        <w:jc w:val="both"/>
        <w:rPr>
          <w:rFonts w:ascii="Arial" w:hAnsi="Arial" w:cs="Arial"/>
          <w:bCs/>
          <w:sz w:val="20"/>
          <w:szCs w:val="20"/>
          <w:lang w:val="es-MX" w:eastAsia="x-none"/>
        </w:rPr>
      </w:pPr>
      <w:r w:rsidRPr="00481068">
        <w:rPr>
          <w:rFonts w:ascii="Arial" w:hAnsi="Arial" w:cs="Arial"/>
          <w:bCs/>
          <w:sz w:val="20"/>
          <w:szCs w:val="20"/>
          <w:lang w:val="es-ES" w:eastAsia="x-none"/>
        </w:rPr>
        <w:t>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009F030F" w:rsidRPr="00481068">
        <w:rPr>
          <w:rFonts w:ascii="Arial" w:hAnsi="Arial" w:cs="Arial"/>
          <w:bCs/>
          <w:sz w:val="20"/>
          <w:szCs w:val="20"/>
          <w:lang w:val="es-ES_tradnl" w:eastAsia="x-none"/>
        </w:rPr>
        <w:t xml:space="preserve">. </w:t>
      </w:r>
    </w:p>
    <w:p w14:paraId="2766A17D" w14:textId="5626A8FD" w:rsidR="00524963" w:rsidRPr="00481068" w:rsidRDefault="00524963" w:rsidP="00524963">
      <w:pPr>
        <w:tabs>
          <w:tab w:val="left" w:pos="3374"/>
        </w:tabs>
        <w:jc w:val="both"/>
        <w:rPr>
          <w:rFonts w:ascii="Arial" w:eastAsia="Calibri" w:hAnsi="Arial" w:cs="Arial"/>
          <w:sz w:val="22"/>
          <w:szCs w:val="22"/>
          <w:lang w:val="es-MX" w:eastAsia="en-US"/>
        </w:rPr>
      </w:pPr>
    </w:p>
    <w:p w14:paraId="5E8BFFE9" w14:textId="79526FC8" w:rsidR="009F030F" w:rsidRPr="00481068" w:rsidRDefault="009F030F" w:rsidP="009F030F">
      <w:pPr>
        <w:tabs>
          <w:tab w:val="left" w:pos="3374"/>
        </w:tabs>
        <w:jc w:val="both"/>
        <w:rPr>
          <w:rFonts w:ascii="Arial" w:eastAsia="Calibri" w:hAnsi="Arial" w:cs="Arial"/>
          <w:b/>
          <w:bCs/>
          <w:sz w:val="22"/>
          <w:szCs w:val="22"/>
          <w:lang w:val="es-MX" w:eastAsia="en-US"/>
        </w:rPr>
      </w:pPr>
      <w:r w:rsidRPr="00481068">
        <w:rPr>
          <w:rFonts w:ascii="Arial" w:eastAsia="Calibri" w:hAnsi="Arial" w:cs="Arial"/>
          <w:b/>
          <w:bCs/>
          <w:sz w:val="22"/>
          <w:szCs w:val="22"/>
          <w:lang w:eastAsia="en-US"/>
        </w:rPr>
        <w:t>ORGANISMOS INTERNACIONALES –</w:t>
      </w:r>
      <w:r w:rsidR="000807F4" w:rsidRPr="00481068">
        <w:rPr>
          <w:rFonts w:ascii="Arial" w:eastAsia="Calibri" w:hAnsi="Arial" w:cs="Arial"/>
          <w:b/>
          <w:bCs/>
          <w:sz w:val="22"/>
          <w:szCs w:val="22"/>
          <w:lang w:eastAsia="en-US"/>
        </w:rPr>
        <w:t xml:space="preserve"> </w:t>
      </w:r>
      <w:r w:rsidRPr="00481068">
        <w:rPr>
          <w:rFonts w:ascii="Arial" w:eastAsia="Calibri" w:hAnsi="Arial" w:cs="Arial"/>
          <w:b/>
          <w:bCs/>
          <w:sz w:val="22"/>
          <w:szCs w:val="22"/>
          <w:lang w:val="es-MX" w:eastAsia="en-US"/>
        </w:rPr>
        <w:t xml:space="preserve">Ley de Garantías Electorales – Restricción – Contratación Directa – Artículo 33 – Alcance – </w:t>
      </w:r>
      <w:r w:rsidR="00D55299" w:rsidRPr="00481068">
        <w:rPr>
          <w:rFonts w:ascii="Arial" w:eastAsia="Calibri" w:hAnsi="Arial" w:cs="Arial"/>
          <w:b/>
          <w:bCs/>
          <w:sz w:val="22"/>
          <w:szCs w:val="22"/>
          <w:lang w:val="es-MX" w:eastAsia="en-US"/>
        </w:rPr>
        <w:t>Concepto CU – 180 de 2022</w:t>
      </w:r>
    </w:p>
    <w:p w14:paraId="3BE5690F" w14:textId="77777777" w:rsidR="009F030F" w:rsidRPr="00481068" w:rsidRDefault="009F030F" w:rsidP="009F030F">
      <w:pPr>
        <w:tabs>
          <w:tab w:val="left" w:pos="3374"/>
        </w:tabs>
        <w:jc w:val="both"/>
        <w:rPr>
          <w:rFonts w:ascii="Arial" w:eastAsia="Calibri" w:hAnsi="Arial" w:cs="Arial"/>
          <w:b/>
          <w:bCs/>
          <w:sz w:val="22"/>
          <w:szCs w:val="22"/>
          <w:lang w:val="es-MX" w:eastAsia="en-US"/>
        </w:rPr>
      </w:pPr>
    </w:p>
    <w:p w14:paraId="6AFC2F00" w14:textId="7AA4D642" w:rsidR="009F030F" w:rsidRPr="00481068" w:rsidRDefault="00D55299" w:rsidP="00D55299">
      <w:pPr>
        <w:jc w:val="both"/>
        <w:rPr>
          <w:rFonts w:ascii="Arial" w:hAnsi="Arial" w:cs="Arial"/>
          <w:bCs/>
          <w:sz w:val="20"/>
          <w:szCs w:val="20"/>
          <w:lang w:val="es-ES" w:eastAsia="x-none"/>
        </w:rPr>
      </w:pPr>
      <w:r w:rsidRPr="00481068">
        <w:rPr>
          <w:rFonts w:ascii="Arial" w:hAnsi="Arial" w:cs="Arial"/>
          <w:bCs/>
          <w:sz w:val="20"/>
          <w:szCs w:val="20"/>
          <w:lang w:val="es-ES" w:eastAsia="x-none"/>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009F030F" w:rsidRPr="00481068">
        <w:rPr>
          <w:rFonts w:ascii="Arial" w:hAnsi="Arial" w:cs="Arial"/>
          <w:bCs/>
          <w:sz w:val="20"/>
          <w:szCs w:val="20"/>
          <w:lang w:val="es-MX" w:eastAsia="x-none"/>
        </w:rPr>
        <w:t>.</w:t>
      </w:r>
    </w:p>
    <w:p w14:paraId="242DCE26" w14:textId="0C4A5249" w:rsidR="001A1CC0" w:rsidRPr="00481068" w:rsidRDefault="001A1CC0" w:rsidP="000807F4">
      <w:pPr>
        <w:jc w:val="both"/>
        <w:rPr>
          <w:rFonts w:ascii="Arial" w:hAnsi="Arial" w:cs="Arial"/>
          <w:bCs/>
          <w:sz w:val="20"/>
          <w:szCs w:val="20"/>
          <w:lang w:val="es-MX" w:eastAsia="x-none"/>
        </w:rPr>
      </w:pPr>
    </w:p>
    <w:p w14:paraId="1A438321" w14:textId="2B0A3CD7" w:rsidR="001A1CC0" w:rsidRPr="00481068" w:rsidRDefault="001A1CC0" w:rsidP="000807F4">
      <w:pPr>
        <w:jc w:val="both"/>
        <w:rPr>
          <w:rFonts w:ascii="Arial" w:hAnsi="Arial" w:cs="Arial"/>
          <w:bCs/>
          <w:sz w:val="20"/>
          <w:szCs w:val="20"/>
          <w:lang w:val="es-MX" w:eastAsia="x-none"/>
        </w:rPr>
      </w:pPr>
    </w:p>
    <w:p w14:paraId="42CCD241" w14:textId="46AAF2C3" w:rsidR="001A1CC0" w:rsidRPr="00481068" w:rsidRDefault="001A1CC0" w:rsidP="000807F4">
      <w:pPr>
        <w:jc w:val="both"/>
        <w:rPr>
          <w:rFonts w:ascii="Arial" w:hAnsi="Arial" w:cs="Arial"/>
          <w:bCs/>
          <w:sz w:val="20"/>
          <w:szCs w:val="20"/>
          <w:lang w:val="es-MX" w:eastAsia="x-none"/>
        </w:rPr>
      </w:pPr>
    </w:p>
    <w:p w14:paraId="272FF2F1" w14:textId="7587C1B1" w:rsidR="001A1CC0" w:rsidRPr="00481068" w:rsidRDefault="001A1CC0" w:rsidP="00524963">
      <w:pPr>
        <w:tabs>
          <w:tab w:val="left" w:pos="3374"/>
        </w:tabs>
        <w:jc w:val="both"/>
        <w:rPr>
          <w:rFonts w:ascii="Arial" w:eastAsia="Calibri" w:hAnsi="Arial" w:cs="Arial"/>
          <w:sz w:val="22"/>
          <w:szCs w:val="22"/>
          <w:lang w:val="es-MX" w:eastAsia="en-US"/>
        </w:rPr>
      </w:pPr>
    </w:p>
    <w:p w14:paraId="741EA1B4" w14:textId="562E60B6" w:rsidR="001A1CC0" w:rsidRPr="00481068" w:rsidRDefault="001A1CC0" w:rsidP="00524963">
      <w:pPr>
        <w:tabs>
          <w:tab w:val="left" w:pos="3374"/>
        </w:tabs>
        <w:jc w:val="both"/>
        <w:rPr>
          <w:rFonts w:ascii="Arial" w:eastAsia="Calibri" w:hAnsi="Arial" w:cs="Arial"/>
          <w:sz w:val="22"/>
          <w:szCs w:val="22"/>
          <w:lang w:val="es-MX" w:eastAsia="en-US"/>
        </w:rPr>
      </w:pPr>
    </w:p>
    <w:p w14:paraId="4C411CBA" w14:textId="78F7FA03" w:rsidR="001A1CC0" w:rsidRPr="00481068" w:rsidRDefault="001A1CC0" w:rsidP="00524963">
      <w:pPr>
        <w:tabs>
          <w:tab w:val="left" w:pos="3374"/>
        </w:tabs>
        <w:jc w:val="both"/>
        <w:rPr>
          <w:rFonts w:ascii="Arial" w:eastAsia="Calibri" w:hAnsi="Arial" w:cs="Arial"/>
          <w:sz w:val="22"/>
          <w:szCs w:val="22"/>
          <w:lang w:val="es-MX" w:eastAsia="en-US"/>
        </w:rPr>
      </w:pPr>
    </w:p>
    <w:p w14:paraId="5C3F3B40" w14:textId="00D0F154" w:rsidR="001A1CC0" w:rsidRPr="00481068" w:rsidRDefault="001A1CC0" w:rsidP="00524963">
      <w:pPr>
        <w:tabs>
          <w:tab w:val="left" w:pos="3374"/>
        </w:tabs>
        <w:jc w:val="both"/>
        <w:rPr>
          <w:rFonts w:ascii="Arial" w:eastAsia="Calibri" w:hAnsi="Arial" w:cs="Arial"/>
          <w:sz w:val="22"/>
          <w:szCs w:val="22"/>
          <w:lang w:val="es-MX" w:eastAsia="en-US"/>
        </w:rPr>
      </w:pPr>
    </w:p>
    <w:p w14:paraId="6AC6C648" w14:textId="66B19CC9" w:rsidR="001A1CC0" w:rsidRPr="00481068" w:rsidRDefault="001A1CC0" w:rsidP="00524963">
      <w:pPr>
        <w:tabs>
          <w:tab w:val="left" w:pos="3374"/>
        </w:tabs>
        <w:jc w:val="both"/>
        <w:rPr>
          <w:rFonts w:ascii="Arial" w:eastAsia="Calibri" w:hAnsi="Arial" w:cs="Arial"/>
          <w:sz w:val="22"/>
          <w:szCs w:val="22"/>
          <w:lang w:val="es-MX" w:eastAsia="en-US"/>
        </w:rPr>
      </w:pPr>
    </w:p>
    <w:p w14:paraId="46D8AE4D" w14:textId="01A38D4E" w:rsidR="001A1CC0" w:rsidRPr="00481068" w:rsidRDefault="001A1CC0" w:rsidP="00524963">
      <w:pPr>
        <w:tabs>
          <w:tab w:val="left" w:pos="3374"/>
        </w:tabs>
        <w:jc w:val="both"/>
        <w:rPr>
          <w:rFonts w:ascii="Arial" w:eastAsia="Calibri" w:hAnsi="Arial" w:cs="Arial"/>
          <w:sz w:val="22"/>
          <w:szCs w:val="22"/>
          <w:lang w:val="es-MX" w:eastAsia="en-US"/>
        </w:rPr>
      </w:pPr>
    </w:p>
    <w:p w14:paraId="7A7087D4" w14:textId="4A17CD72" w:rsidR="001A1CC0" w:rsidRPr="00481068" w:rsidRDefault="001A1CC0" w:rsidP="00524963">
      <w:pPr>
        <w:tabs>
          <w:tab w:val="left" w:pos="3374"/>
        </w:tabs>
        <w:jc w:val="both"/>
        <w:rPr>
          <w:rFonts w:ascii="Arial" w:eastAsia="Calibri" w:hAnsi="Arial" w:cs="Arial"/>
          <w:sz w:val="22"/>
          <w:szCs w:val="22"/>
          <w:lang w:val="es-MX" w:eastAsia="en-US"/>
        </w:rPr>
      </w:pPr>
    </w:p>
    <w:p w14:paraId="0E317658" w14:textId="1A95BEF9" w:rsidR="001A1CC0" w:rsidRPr="00481068" w:rsidRDefault="001A1CC0" w:rsidP="00524963">
      <w:pPr>
        <w:tabs>
          <w:tab w:val="left" w:pos="3374"/>
        </w:tabs>
        <w:jc w:val="both"/>
        <w:rPr>
          <w:rFonts w:ascii="Arial" w:eastAsia="Calibri" w:hAnsi="Arial" w:cs="Arial"/>
          <w:sz w:val="22"/>
          <w:szCs w:val="22"/>
          <w:lang w:val="es-MX" w:eastAsia="en-US"/>
        </w:rPr>
      </w:pPr>
    </w:p>
    <w:p w14:paraId="7DCC285A" w14:textId="1C34F2FE" w:rsidR="001A1CC0" w:rsidRPr="00481068" w:rsidRDefault="001A1CC0" w:rsidP="00524963">
      <w:pPr>
        <w:tabs>
          <w:tab w:val="left" w:pos="3374"/>
        </w:tabs>
        <w:jc w:val="both"/>
        <w:rPr>
          <w:rFonts w:ascii="Arial" w:eastAsia="Calibri" w:hAnsi="Arial" w:cs="Arial"/>
          <w:sz w:val="22"/>
          <w:szCs w:val="22"/>
          <w:lang w:val="es-MX" w:eastAsia="en-US"/>
        </w:rPr>
      </w:pPr>
    </w:p>
    <w:p w14:paraId="365ABC23" w14:textId="51F05797" w:rsidR="001A1CC0" w:rsidRPr="00481068" w:rsidRDefault="001A1CC0" w:rsidP="00524963">
      <w:pPr>
        <w:tabs>
          <w:tab w:val="left" w:pos="3374"/>
        </w:tabs>
        <w:jc w:val="both"/>
        <w:rPr>
          <w:rFonts w:ascii="Arial" w:eastAsia="Calibri" w:hAnsi="Arial" w:cs="Arial"/>
          <w:sz w:val="22"/>
          <w:szCs w:val="22"/>
          <w:lang w:val="es-MX" w:eastAsia="en-US"/>
        </w:rPr>
      </w:pPr>
    </w:p>
    <w:p w14:paraId="0C5D23A2" w14:textId="6C2CC747" w:rsidR="001A1CC0" w:rsidRPr="00481068" w:rsidRDefault="001A1CC0" w:rsidP="00524963">
      <w:pPr>
        <w:tabs>
          <w:tab w:val="left" w:pos="3374"/>
        </w:tabs>
        <w:jc w:val="both"/>
        <w:rPr>
          <w:rFonts w:ascii="Arial" w:eastAsia="Calibri" w:hAnsi="Arial" w:cs="Arial"/>
          <w:sz w:val="22"/>
          <w:szCs w:val="22"/>
          <w:lang w:val="es-MX" w:eastAsia="en-US"/>
        </w:rPr>
      </w:pPr>
    </w:p>
    <w:p w14:paraId="0CE5EF4C" w14:textId="6C19FDDD" w:rsidR="001A1CC0" w:rsidRPr="00481068" w:rsidRDefault="001A1CC0" w:rsidP="00524963">
      <w:pPr>
        <w:tabs>
          <w:tab w:val="left" w:pos="3374"/>
        </w:tabs>
        <w:jc w:val="both"/>
        <w:rPr>
          <w:rFonts w:ascii="Arial" w:eastAsia="Calibri" w:hAnsi="Arial" w:cs="Arial"/>
          <w:sz w:val="22"/>
          <w:szCs w:val="22"/>
          <w:lang w:val="es-MX" w:eastAsia="en-US"/>
        </w:rPr>
      </w:pPr>
    </w:p>
    <w:p w14:paraId="3C2CFD86" w14:textId="2506C96F" w:rsidR="001A1CC0" w:rsidRPr="00481068" w:rsidRDefault="001A1CC0" w:rsidP="00524963">
      <w:pPr>
        <w:tabs>
          <w:tab w:val="left" w:pos="3374"/>
        </w:tabs>
        <w:jc w:val="both"/>
        <w:rPr>
          <w:rFonts w:ascii="Arial" w:eastAsia="Calibri" w:hAnsi="Arial" w:cs="Arial"/>
          <w:sz w:val="22"/>
          <w:szCs w:val="22"/>
          <w:lang w:val="es-MX" w:eastAsia="en-US"/>
        </w:rPr>
      </w:pPr>
    </w:p>
    <w:p w14:paraId="106A734E" w14:textId="5ED631DA" w:rsidR="001A1CC0" w:rsidRPr="00481068" w:rsidRDefault="001A1CC0" w:rsidP="00524963">
      <w:pPr>
        <w:tabs>
          <w:tab w:val="left" w:pos="3374"/>
        </w:tabs>
        <w:jc w:val="both"/>
        <w:rPr>
          <w:rFonts w:ascii="Arial" w:eastAsia="Calibri" w:hAnsi="Arial" w:cs="Arial"/>
          <w:sz w:val="22"/>
          <w:szCs w:val="22"/>
          <w:lang w:val="es-MX" w:eastAsia="en-US"/>
        </w:rPr>
      </w:pPr>
    </w:p>
    <w:p w14:paraId="5A437314" w14:textId="68A29BE8" w:rsidR="001A1CC0" w:rsidRPr="00481068" w:rsidRDefault="001A1CC0" w:rsidP="00524963">
      <w:pPr>
        <w:tabs>
          <w:tab w:val="left" w:pos="3374"/>
        </w:tabs>
        <w:jc w:val="both"/>
        <w:rPr>
          <w:rFonts w:ascii="Arial" w:eastAsia="Calibri" w:hAnsi="Arial" w:cs="Arial"/>
          <w:sz w:val="22"/>
          <w:szCs w:val="22"/>
          <w:lang w:val="es-MX" w:eastAsia="en-US"/>
        </w:rPr>
      </w:pPr>
    </w:p>
    <w:p w14:paraId="414404B9" w14:textId="69760732" w:rsidR="001A1CC0" w:rsidRPr="00481068" w:rsidRDefault="001A1CC0" w:rsidP="00524963">
      <w:pPr>
        <w:tabs>
          <w:tab w:val="left" w:pos="3374"/>
        </w:tabs>
        <w:jc w:val="both"/>
        <w:rPr>
          <w:rFonts w:ascii="Arial" w:eastAsia="Calibri" w:hAnsi="Arial" w:cs="Arial"/>
          <w:sz w:val="22"/>
          <w:szCs w:val="22"/>
          <w:lang w:val="es-MX" w:eastAsia="en-US"/>
        </w:rPr>
      </w:pPr>
    </w:p>
    <w:p w14:paraId="6FFEE8C5" w14:textId="2134C514" w:rsidR="001A1CC0" w:rsidRPr="00481068" w:rsidRDefault="001A1CC0" w:rsidP="00524963">
      <w:pPr>
        <w:tabs>
          <w:tab w:val="left" w:pos="3374"/>
        </w:tabs>
        <w:jc w:val="both"/>
        <w:rPr>
          <w:rFonts w:ascii="Arial" w:eastAsia="Calibri" w:hAnsi="Arial" w:cs="Arial"/>
          <w:sz w:val="22"/>
          <w:szCs w:val="22"/>
          <w:lang w:val="es-MX" w:eastAsia="en-US"/>
        </w:rPr>
      </w:pPr>
    </w:p>
    <w:p w14:paraId="00795F52" w14:textId="4B4A721A" w:rsidR="001A1CC0" w:rsidRPr="00481068" w:rsidRDefault="001A1CC0" w:rsidP="00524963">
      <w:pPr>
        <w:tabs>
          <w:tab w:val="left" w:pos="3374"/>
        </w:tabs>
        <w:jc w:val="both"/>
        <w:rPr>
          <w:rFonts w:ascii="Arial" w:eastAsia="Calibri" w:hAnsi="Arial" w:cs="Arial"/>
          <w:sz w:val="22"/>
          <w:szCs w:val="22"/>
          <w:lang w:val="es-MX" w:eastAsia="en-US"/>
        </w:rPr>
      </w:pPr>
    </w:p>
    <w:p w14:paraId="6927745C" w14:textId="77777777" w:rsidR="000807F4" w:rsidRPr="00481068" w:rsidRDefault="000807F4" w:rsidP="00524963">
      <w:pPr>
        <w:tabs>
          <w:tab w:val="left" w:pos="3374"/>
        </w:tabs>
        <w:rPr>
          <w:rFonts w:ascii="Arial" w:eastAsia="Calibri" w:hAnsi="Arial" w:cs="Arial"/>
          <w:sz w:val="22"/>
          <w:szCs w:val="22"/>
          <w:lang w:val="es-MX" w:eastAsia="en-US"/>
        </w:rPr>
      </w:pPr>
    </w:p>
    <w:p w14:paraId="1E4D5F42" w14:textId="732EE23A" w:rsidR="001A1CC0" w:rsidRDefault="001A1CC0" w:rsidP="00524963">
      <w:pPr>
        <w:tabs>
          <w:tab w:val="left" w:pos="3374"/>
        </w:tabs>
        <w:rPr>
          <w:rFonts w:ascii="Arial" w:eastAsia="Calibri" w:hAnsi="Arial" w:cs="Arial"/>
          <w:sz w:val="22"/>
          <w:szCs w:val="22"/>
          <w:lang w:val="es-MX" w:eastAsia="en-US"/>
        </w:rPr>
      </w:pPr>
    </w:p>
    <w:p w14:paraId="68A9CEDE" w14:textId="557207F8" w:rsidR="0091425E" w:rsidRDefault="0091425E" w:rsidP="00524963">
      <w:pPr>
        <w:tabs>
          <w:tab w:val="left" w:pos="3374"/>
        </w:tabs>
        <w:rPr>
          <w:rFonts w:ascii="Arial" w:eastAsia="Calibri" w:hAnsi="Arial" w:cs="Arial"/>
          <w:sz w:val="22"/>
          <w:szCs w:val="22"/>
          <w:lang w:val="es-MX" w:eastAsia="en-US"/>
        </w:rPr>
      </w:pPr>
    </w:p>
    <w:p w14:paraId="12A88F76" w14:textId="67945797" w:rsidR="0091425E" w:rsidRDefault="0091425E" w:rsidP="00524963">
      <w:pPr>
        <w:tabs>
          <w:tab w:val="left" w:pos="3374"/>
        </w:tabs>
        <w:rPr>
          <w:rFonts w:ascii="Arial" w:eastAsia="Calibri" w:hAnsi="Arial" w:cs="Arial"/>
          <w:sz w:val="22"/>
          <w:szCs w:val="22"/>
          <w:lang w:val="es-MX" w:eastAsia="en-US"/>
        </w:rPr>
      </w:pPr>
    </w:p>
    <w:p w14:paraId="40F11EC3" w14:textId="7D35EFAF" w:rsidR="0091425E" w:rsidRDefault="0091425E" w:rsidP="00524963">
      <w:pPr>
        <w:tabs>
          <w:tab w:val="left" w:pos="3374"/>
        </w:tabs>
        <w:rPr>
          <w:rFonts w:ascii="Arial" w:eastAsia="Calibri" w:hAnsi="Arial" w:cs="Arial"/>
          <w:sz w:val="22"/>
          <w:szCs w:val="22"/>
          <w:lang w:val="es-MX" w:eastAsia="en-US"/>
        </w:rPr>
      </w:pPr>
    </w:p>
    <w:p w14:paraId="19390C68" w14:textId="77777777" w:rsidR="0091425E" w:rsidRPr="00481068" w:rsidRDefault="0091425E" w:rsidP="00524963">
      <w:pPr>
        <w:tabs>
          <w:tab w:val="left" w:pos="3374"/>
        </w:tabs>
        <w:rPr>
          <w:rFonts w:ascii="Arial" w:eastAsia="Calibri" w:hAnsi="Arial" w:cs="Arial"/>
          <w:sz w:val="22"/>
          <w:szCs w:val="22"/>
          <w:lang w:val="es-MX" w:eastAsia="en-US"/>
        </w:rPr>
      </w:pPr>
    </w:p>
    <w:p w14:paraId="140B7AD7" w14:textId="77777777" w:rsidR="00D55299" w:rsidRPr="00481068" w:rsidRDefault="00D55299" w:rsidP="00524963">
      <w:pPr>
        <w:tabs>
          <w:tab w:val="left" w:pos="3374"/>
        </w:tabs>
        <w:rPr>
          <w:rFonts w:ascii="Arial" w:eastAsia="Calibri" w:hAnsi="Arial" w:cs="Arial"/>
          <w:sz w:val="22"/>
          <w:szCs w:val="22"/>
          <w:lang w:val="es-MX" w:eastAsia="en-US"/>
        </w:rPr>
      </w:pPr>
    </w:p>
    <w:p w14:paraId="1306D9A8" w14:textId="3C9DA0C3" w:rsidR="008810EB" w:rsidRPr="00481068" w:rsidRDefault="008810EB" w:rsidP="008810EB">
      <w:pPr>
        <w:spacing w:line="276" w:lineRule="auto"/>
        <w:jc w:val="both"/>
        <w:rPr>
          <w:rFonts w:ascii="Arial" w:hAnsi="Arial" w:cs="Arial"/>
          <w:b/>
          <w:color w:val="000000" w:themeColor="text1"/>
          <w:sz w:val="22"/>
        </w:rPr>
      </w:pPr>
      <w:r w:rsidRPr="00481068">
        <w:rPr>
          <w:rFonts w:ascii="Arial" w:hAnsi="Arial" w:cs="Arial"/>
          <w:noProof/>
          <w:color w:val="000000" w:themeColor="text1"/>
          <w:sz w:val="22"/>
        </w:rPr>
        <w:lastRenderedPageBreak/>
        <w:t xml:space="preserve">Bogotá D.C., </w:t>
      </w:r>
    </w:p>
    <w:p w14:paraId="0038E58E" w14:textId="77777777" w:rsidR="008810EB" w:rsidRPr="00481068" w:rsidRDefault="008810EB" w:rsidP="008810EB">
      <w:pPr>
        <w:jc w:val="both"/>
        <w:rPr>
          <w:rFonts w:ascii="Arial" w:eastAsia="Calibri" w:hAnsi="Arial" w:cs="Arial"/>
          <w:noProof/>
          <w:color w:val="000000" w:themeColor="text1"/>
          <w:sz w:val="22"/>
          <w:szCs w:val="22"/>
        </w:rPr>
      </w:pPr>
    </w:p>
    <w:p w14:paraId="1BF5F2AB" w14:textId="15B0857F" w:rsidR="0091425E" w:rsidRPr="0091425E" w:rsidRDefault="0091425E" w:rsidP="0091425E">
      <w:pPr>
        <w:jc w:val="right"/>
        <w:rPr>
          <w:lang w:eastAsia="es-MX"/>
        </w:rPr>
      </w:pPr>
      <w:r w:rsidRPr="0091425E">
        <w:rPr>
          <w:lang w:eastAsia="es-MX"/>
        </w:rPr>
        <w:fldChar w:fldCharType="begin"/>
      </w:r>
      <w:r w:rsidRPr="0091425E">
        <w:rPr>
          <w:lang w:eastAsia="es-MX"/>
        </w:rPr>
        <w:instrText xml:space="preserve"> INCLUDEPICTURE "/var/folders/tb/0fmk9b510f57pz5rwhv8lnpw0000gp/T/com.microsoft.Word/WebArchiveCopyPasteTempFiles/page1image11977328" \* MERGEFORMATINET </w:instrText>
      </w:r>
      <w:r w:rsidRPr="0091425E">
        <w:rPr>
          <w:lang w:eastAsia="es-MX"/>
        </w:rPr>
        <w:fldChar w:fldCharType="separate"/>
      </w:r>
      <w:r w:rsidRPr="0091425E">
        <w:rPr>
          <w:noProof/>
          <w:lang w:eastAsia="es-MX"/>
        </w:rPr>
        <w:drawing>
          <wp:inline distT="0" distB="0" distL="0" distR="0" wp14:anchorId="07928B48" wp14:editId="1CC6E79F">
            <wp:extent cx="2402205" cy="614045"/>
            <wp:effectExtent l="0" t="0" r="0" b="0"/>
            <wp:docPr id="1" name="Imagen 1" descr="page1image1197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19773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rsidRPr="0091425E">
        <w:rPr>
          <w:lang w:eastAsia="es-MX"/>
        </w:rPr>
        <w:fldChar w:fldCharType="end"/>
      </w:r>
    </w:p>
    <w:p w14:paraId="7CC2EF28" w14:textId="77777777" w:rsidR="00524963" w:rsidRPr="00481068" w:rsidRDefault="00524963" w:rsidP="00524963">
      <w:pPr>
        <w:rPr>
          <w:rFonts w:ascii="Arial" w:eastAsia="Calibri" w:hAnsi="Arial" w:cs="Arial"/>
          <w:noProof/>
          <w:sz w:val="22"/>
          <w:szCs w:val="22"/>
          <w:lang w:eastAsia="en-US"/>
        </w:rPr>
      </w:pPr>
    </w:p>
    <w:p w14:paraId="5D5DCB70" w14:textId="77777777" w:rsidR="00524963" w:rsidRPr="00481068" w:rsidRDefault="00524963" w:rsidP="00524963">
      <w:pPr>
        <w:rPr>
          <w:rFonts w:ascii="Arial" w:eastAsia="Calibri" w:hAnsi="Arial" w:cs="Arial"/>
          <w:sz w:val="22"/>
          <w:szCs w:val="22"/>
          <w:lang w:eastAsia="en-US"/>
        </w:rPr>
      </w:pPr>
    </w:p>
    <w:p w14:paraId="725275E7" w14:textId="052EFDBF" w:rsidR="00524963" w:rsidRPr="00481068" w:rsidRDefault="00EB09FF" w:rsidP="00524963">
      <w:pPr>
        <w:jc w:val="both"/>
        <w:rPr>
          <w:rFonts w:ascii="Arial" w:eastAsia="Calibri" w:hAnsi="Arial" w:cs="Arial"/>
          <w:sz w:val="22"/>
          <w:szCs w:val="22"/>
          <w:lang w:eastAsia="en-US"/>
        </w:rPr>
      </w:pPr>
      <w:bookmarkStart w:id="8" w:name="_Hlk96417464"/>
      <w:r w:rsidRPr="00481068">
        <w:rPr>
          <w:rFonts w:ascii="Arial" w:eastAsia="Calibri" w:hAnsi="Arial" w:cs="Arial"/>
          <w:sz w:val="22"/>
          <w:szCs w:val="22"/>
          <w:lang w:eastAsia="en-US"/>
        </w:rPr>
        <w:t>Señor</w:t>
      </w:r>
      <w:r w:rsidR="00AC2C3B">
        <w:rPr>
          <w:rFonts w:ascii="Arial" w:eastAsia="Calibri" w:hAnsi="Arial" w:cs="Arial"/>
          <w:sz w:val="22"/>
          <w:szCs w:val="22"/>
          <w:lang w:eastAsia="en-US"/>
        </w:rPr>
        <w:t>a</w:t>
      </w:r>
    </w:p>
    <w:p w14:paraId="4A8A1325" w14:textId="34074547" w:rsidR="00EB09FF" w:rsidRPr="00481068" w:rsidRDefault="00AC2C3B" w:rsidP="00EB09FF">
      <w:pPr>
        <w:jc w:val="both"/>
        <w:rPr>
          <w:rFonts w:ascii="Arial" w:eastAsia="Calibri" w:hAnsi="Arial" w:cs="Arial"/>
          <w:b/>
          <w:sz w:val="22"/>
          <w:szCs w:val="22"/>
          <w:lang w:eastAsia="en-US"/>
        </w:rPr>
      </w:pPr>
      <w:r>
        <w:rPr>
          <w:rFonts w:ascii="Arial" w:eastAsia="Calibri" w:hAnsi="Arial" w:cs="Arial"/>
          <w:b/>
          <w:sz w:val="22"/>
          <w:szCs w:val="22"/>
          <w:lang w:eastAsia="en-US"/>
        </w:rPr>
        <w:t xml:space="preserve">Sara Consuelo Sastoque </w:t>
      </w:r>
      <w:r w:rsidR="00C44295">
        <w:rPr>
          <w:rFonts w:ascii="Arial" w:eastAsia="Calibri" w:hAnsi="Arial" w:cs="Arial"/>
          <w:b/>
          <w:sz w:val="22"/>
          <w:szCs w:val="22"/>
          <w:lang w:eastAsia="en-US"/>
        </w:rPr>
        <w:t>Acevedo</w:t>
      </w:r>
    </w:p>
    <w:p w14:paraId="1EA4E737" w14:textId="7A00F73C" w:rsidR="00524963" w:rsidRPr="00481068" w:rsidRDefault="00C44295" w:rsidP="00C44295">
      <w:pPr>
        <w:jc w:val="both"/>
        <w:rPr>
          <w:rFonts w:ascii="Arial" w:eastAsia="Calibri" w:hAnsi="Arial" w:cs="Arial"/>
          <w:color w:val="FF0000"/>
          <w:sz w:val="22"/>
          <w:szCs w:val="22"/>
          <w:lang w:eastAsia="en-US"/>
        </w:rPr>
      </w:pPr>
      <w:r w:rsidRPr="00C44295">
        <w:rPr>
          <w:rFonts w:ascii="Arial" w:eastAsia="Calibri" w:hAnsi="Arial" w:cs="Arial"/>
          <w:bCs/>
          <w:sz w:val="22"/>
          <w:szCs w:val="22"/>
          <w:lang w:eastAsia="en-US"/>
        </w:rPr>
        <w:t>Bogotá D.C.</w:t>
      </w:r>
    </w:p>
    <w:p w14:paraId="3746D9AF" w14:textId="79215A9D" w:rsidR="00524963" w:rsidRPr="00481068" w:rsidRDefault="00524963" w:rsidP="00524963">
      <w:pPr>
        <w:jc w:val="both"/>
        <w:rPr>
          <w:rFonts w:ascii="Arial" w:eastAsia="Calibri" w:hAnsi="Arial" w:cs="Arial"/>
          <w:color w:val="FF0000"/>
          <w:sz w:val="22"/>
          <w:szCs w:val="22"/>
          <w:lang w:eastAsia="en-US"/>
        </w:rPr>
      </w:pPr>
    </w:p>
    <w:p w14:paraId="0F9E3977" w14:textId="77777777" w:rsidR="00EB09FF" w:rsidRPr="00481068" w:rsidRDefault="00EB09FF" w:rsidP="00524963">
      <w:pPr>
        <w:jc w:val="both"/>
        <w:rPr>
          <w:rFonts w:ascii="Arial" w:eastAsia="Calibri" w:hAnsi="Arial" w:cs="Arial"/>
          <w:color w:val="FF0000"/>
          <w:sz w:val="22"/>
          <w:szCs w:val="22"/>
          <w:lang w:eastAsia="en-US"/>
        </w:rPr>
      </w:pPr>
    </w:p>
    <w:p w14:paraId="3419EAF6" w14:textId="2FA1AAC0" w:rsidR="00524963" w:rsidRPr="00481068" w:rsidRDefault="00524963" w:rsidP="00524963">
      <w:pPr>
        <w:jc w:val="both"/>
        <w:rPr>
          <w:rFonts w:ascii="Arial" w:eastAsia="Calibri" w:hAnsi="Arial" w:cs="Arial"/>
          <w:sz w:val="22"/>
          <w:szCs w:val="22"/>
          <w:lang w:eastAsia="en-US"/>
        </w:rPr>
      </w:pPr>
      <w:r w:rsidRPr="00481068">
        <w:rPr>
          <w:rFonts w:ascii="Arial" w:eastAsia="Calibri" w:hAnsi="Arial" w:cs="Arial"/>
          <w:sz w:val="22"/>
          <w:szCs w:val="22"/>
          <w:lang w:eastAsia="en-US"/>
        </w:rPr>
        <w:t xml:space="preserve">                                            </w:t>
      </w:r>
      <w:r w:rsidRPr="00481068">
        <w:rPr>
          <w:rFonts w:ascii="Arial" w:eastAsia="Calibri" w:hAnsi="Arial" w:cs="Arial"/>
          <w:b/>
          <w:sz w:val="22"/>
          <w:szCs w:val="22"/>
          <w:lang w:eastAsia="en-US"/>
        </w:rPr>
        <w:t xml:space="preserve">Concepto C – </w:t>
      </w:r>
      <w:r w:rsidR="00162BA5">
        <w:rPr>
          <w:rFonts w:ascii="Arial" w:eastAsia="Calibri" w:hAnsi="Arial" w:cs="Arial"/>
          <w:b/>
          <w:sz w:val="22"/>
          <w:szCs w:val="22"/>
          <w:lang w:eastAsia="en-US"/>
        </w:rPr>
        <w:t>241</w:t>
      </w:r>
      <w:r w:rsidRPr="00481068">
        <w:rPr>
          <w:rFonts w:ascii="Arial" w:eastAsia="Calibri" w:hAnsi="Arial" w:cs="Arial"/>
          <w:b/>
          <w:sz w:val="22"/>
          <w:szCs w:val="22"/>
          <w:lang w:eastAsia="en-US"/>
        </w:rPr>
        <w:t xml:space="preserve"> de 2022</w:t>
      </w:r>
      <w:r w:rsidRPr="00481068">
        <w:rPr>
          <w:rFonts w:ascii="Arial" w:eastAsia="Calibri" w:hAnsi="Arial" w:cs="Arial"/>
          <w:sz w:val="22"/>
          <w:szCs w:val="22"/>
          <w:lang w:eastAsia="en-US"/>
        </w:rPr>
        <w:t xml:space="preserve"> </w:t>
      </w:r>
    </w:p>
    <w:p w14:paraId="6157B7C8" w14:textId="77777777" w:rsidR="00524963" w:rsidRPr="00481068" w:rsidRDefault="00524963" w:rsidP="00524963">
      <w:pPr>
        <w:jc w:val="both"/>
        <w:rPr>
          <w:rFonts w:ascii="Arial" w:eastAsia="Calibri" w:hAnsi="Arial" w:cs="Arial"/>
          <w:b/>
          <w:sz w:val="22"/>
          <w:szCs w:val="22"/>
          <w:lang w:eastAsia="en-US"/>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24963" w:rsidRPr="00481068" w14:paraId="3B9133A1" w14:textId="77777777" w:rsidTr="00266B9D">
        <w:trPr>
          <w:trHeight w:val="485"/>
        </w:trPr>
        <w:tc>
          <w:tcPr>
            <w:tcW w:w="2689" w:type="dxa"/>
            <w:hideMark/>
          </w:tcPr>
          <w:p w14:paraId="7D325A61" w14:textId="77777777" w:rsidR="00524963" w:rsidRPr="00481068" w:rsidRDefault="00524963" w:rsidP="00524963">
            <w:pPr>
              <w:contextualSpacing/>
              <w:rPr>
                <w:rFonts w:ascii="Arial" w:eastAsia="Calibri" w:hAnsi="Arial" w:cs="Arial"/>
                <w:noProof/>
                <w:sz w:val="22"/>
                <w:szCs w:val="22"/>
                <w:lang w:val="es-ES_tradnl" w:eastAsia="en-US"/>
              </w:rPr>
            </w:pPr>
            <w:r w:rsidRPr="00481068">
              <w:rPr>
                <w:rFonts w:ascii="Arial" w:eastAsia="Calibri" w:hAnsi="Arial" w:cs="Arial"/>
                <w:b/>
                <w:noProof/>
                <w:sz w:val="22"/>
                <w:szCs w:val="22"/>
                <w:lang w:val="es-ES_tradnl" w:eastAsia="en-US"/>
              </w:rPr>
              <w:t>Temas:</w:t>
            </w:r>
            <w:r w:rsidRPr="00481068">
              <w:rPr>
                <w:rFonts w:ascii="Arial" w:eastAsia="Calibri" w:hAnsi="Arial" w:cs="Arial"/>
                <w:noProof/>
                <w:sz w:val="22"/>
                <w:szCs w:val="22"/>
                <w:lang w:val="es-ES_tradnl" w:eastAsia="en-US"/>
              </w:rPr>
              <w:t xml:space="preserve">        </w:t>
            </w:r>
          </w:p>
        </w:tc>
        <w:tc>
          <w:tcPr>
            <w:tcW w:w="6237" w:type="dxa"/>
            <w:hideMark/>
          </w:tcPr>
          <w:p w14:paraId="7CB6205F" w14:textId="3AF60F37" w:rsidR="0041286F" w:rsidRPr="00481068" w:rsidRDefault="001A1CC0" w:rsidP="001A1CC0">
            <w:pPr>
              <w:spacing w:after="120"/>
              <w:contextualSpacing/>
              <w:jc w:val="both"/>
              <w:rPr>
                <w:rFonts w:ascii="Arial" w:hAnsi="Arial" w:cs="Arial"/>
                <w:bCs/>
                <w:sz w:val="22"/>
                <w:lang w:val="es-ES_tradnl" w:eastAsia="es-CO"/>
              </w:rPr>
            </w:pPr>
            <w:r w:rsidRPr="00481068">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481068">
              <w:rPr>
                <w:rFonts w:ascii="Arial" w:eastAsia="Calibri" w:hAnsi="Arial" w:cs="Arial"/>
                <w:bCs/>
                <w:sz w:val="22"/>
                <w:lang w:val="es-ES_tradnl"/>
              </w:rPr>
              <w:t xml:space="preserve">LEY DE GARANTÍAS ELECTORALES ─ Prohibición artículo 33 ‒ Contratación directa ‒ Alcance / </w:t>
            </w:r>
            <w:r w:rsidRPr="00481068">
              <w:rPr>
                <w:rFonts w:ascii="Arial" w:hAnsi="Arial" w:cs="Arial"/>
                <w:bCs/>
                <w:sz w:val="22"/>
                <w:lang w:val="es-ES_tradnl" w:eastAsia="es-CO"/>
              </w:rPr>
              <w:t>LEY DE GARANTÍAS ELECTORALES ‒ Excepciones</w:t>
            </w:r>
            <w:r w:rsidRPr="00481068">
              <w:rPr>
                <w:rFonts w:ascii="Arial" w:hAnsi="Arial" w:cs="Arial"/>
                <w:sz w:val="22"/>
                <w:lang w:val="es-ES_tradnl" w:eastAsia="es-CO"/>
              </w:rPr>
              <w:t xml:space="preserve"> / </w:t>
            </w:r>
            <w:r w:rsidRPr="00481068">
              <w:rPr>
                <w:rFonts w:ascii="Arial" w:hAnsi="Arial" w:cs="Arial"/>
                <w:bCs/>
                <w:sz w:val="22"/>
                <w:lang w:val="es-ES_tradnl" w:eastAsia="es-CO"/>
              </w:rPr>
              <w:t xml:space="preserve">LEY DE GARANTÍAS ELECTORALES ‒ </w:t>
            </w:r>
            <w:r w:rsidRPr="00481068">
              <w:rPr>
                <w:rFonts w:ascii="Arial" w:hAnsi="Arial" w:cs="Arial"/>
                <w:sz w:val="22"/>
                <w:lang w:val="es-ES_tradnl" w:eastAsia="es-CO"/>
              </w:rPr>
              <w:t xml:space="preserve">Prohibición del artículo 33 </w:t>
            </w:r>
            <w:r w:rsidRPr="00481068">
              <w:rPr>
                <w:rFonts w:ascii="Arial" w:hAnsi="Arial" w:cs="Arial"/>
                <w:bCs/>
                <w:sz w:val="22"/>
                <w:lang w:val="es-ES_tradnl" w:eastAsia="es-CO"/>
              </w:rPr>
              <w:t xml:space="preserve">‒ Destinatarios / </w:t>
            </w:r>
            <w:r w:rsidR="000807F4" w:rsidRPr="00481068">
              <w:rPr>
                <w:rFonts w:ascii="Arial" w:hAnsi="Arial" w:cs="Arial"/>
                <w:bCs/>
                <w:sz w:val="22"/>
                <w:lang w:val="es-ES_tradnl" w:eastAsia="es-CO"/>
              </w:rPr>
              <w:t xml:space="preserve">ORGANISMOS INTERNACIONALES – Régimen de contratación / </w:t>
            </w:r>
            <w:r w:rsidRPr="00481068">
              <w:rPr>
                <w:rFonts w:ascii="Arial" w:hAnsi="Arial" w:cs="Arial"/>
                <w:bCs/>
                <w:sz w:val="22"/>
                <w:lang w:val="es-ES_tradnl" w:eastAsia="es-CO"/>
              </w:rPr>
              <w:t>ORGANISMOS INTERNACIONALES – Ley de garantías electorales – Restricción – Contratación Directa – Artículo 33 – Alcance</w:t>
            </w:r>
            <w:r w:rsidR="00D260C6" w:rsidRPr="00481068">
              <w:rPr>
                <w:rFonts w:ascii="Arial" w:hAnsi="Arial" w:cs="Arial"/>
                <w:bCs/>
                <w:sz w:val="22"/>
                <w:lang w:val="es-ES_tradnl" w:eastAsia="es-CO"/>
              </w:rPr>
              <w:t xml:space="preserve"> – Unificación de criterios</w:t>
            </w:r>
          </w:p>
          <w:p w14:paraId="616ABA7B" w14:textId="77777777" w:rsidR="001A1CC0" w:rsidRPr="00481068" w:rsidRDefault="001A1CC0" w:rsidP="00AF5B0E">
            <w:pPr>
              <w:spacing w:after="120"/>
              <w:contextualSpacing/>
              <w:jc w:val="both"/>
              <w:rPr>
                <w:rFonts w:ascii="Arial" w:eastAsia="Calibri" w:hAnsi="Arial" w:cs="Arial"/>
                <w:b/>
                <w:sz w:val="12"/>
                <w:szCs w:val="12"/>
                <w:lang w:val="es-MX" w:eastAsia="es-MX"/>
              </w:rPr>
            </w:pPr>
          </w:p>
          <w:p w14:paraId="1FAC99B3" w14:textId="77777777" w:rsidR="00524963" w:rsidRPr="00481068" w:rsidRDefault="00524963" w:rsidP="00524963">
            <w:pPr>
              <w:spacing w:after="120"/>
              <w:rPr>
                <w:rFonts w:ascii="Arial" w:eastAsia="Calibri" w:hAnsi="Arial" w:cs="Arial"/>
                <w:bCs/>
                <w:sz w:val="22"/>
                <w:szCs w:val="22"/>
                <w:lang w:val="es-MX" w:eastAsia="en-US"/>
              </w:rPr>
            </w:pPr>
          </w:p>
        </w:tc>
      </w:tr>
      <w:tr w:rsidR="00524963" w:rsidRPr="00481068" w14:paraId="3ACF6E69" w14:textId="77777777" w:rsidTr="00EB09FF">
        <w:trPr>
          <w:trHeight w:val="231"/>
        </w:trPr>
        <w:tc>
          <w:tcPr>
            <w:tcW w:w="2689" w:type="dxa"/>
          </w:tcPr>
          <w:p w14:paraId="4C768BE4" w14:textId="77777777" w:rsidR="00524963" w:rsidRPr="00481068" w:rsidRDefault="00524963" w:rsidP="00EB09FF">
            <w:pPr>
              <w:contextualSpacing/>
              <w:rPr>
                <w:rFonts w:ascii="Arial" w:eastAsia="Calibri" w:hAnsi="Arial" w:cs="Arial"/>
                <w:b/>
                <w:noProof/>
                <w:sz w:val="22"/>
                <w:szCs w:val="22"/>
                <w:lang w:val="es-ES_tradnl" w:eastAsia="en-US"/>
              </w:rPr>
            </w:pPr>
            <w:r w:rsidRPr="00481068">
              <w:rPr>
                <w:rFonts w:ascii="Arial" w:eastAsia="Calibri" w:hAnsi="Arial" w:cs="Arial"/>
                <w:b/>
                <w:noProof/>
                <w:sz w:val="22"/>
                <w:szCs w:val="22"/>
                <w:lang w:val="es-ES_tradnl" w:eastAsia="en-US"/>
              </w:rPr>
              <w:t>Radicación:</w:t>
            </w:r>
            <w:r w:rsidRPr="00481068">
              <w:rPr>
                <w:rFonts w:ascii="Arial" w:eastAsia="Calibri" w:hAnsi="Arial" w:cs="Arial"/>
                <w:noProof/>
                <w:sz w:val="22"/>
                <w:szCs w:val="22"/>
                <w:lang w:val="es-ES_tradnl" w:eastAsia="en-US"/>
              </w:rPr>
              <w:t xml:space="preserve">                              </w:t>
            </w:r>
          </w:p>
        </w:tc>
        <w:tc>
          <w:tcPr>
            <w:tcW w:w="6237" w:type="dxa"/>
          </w:tcPr>
          <w:p w14:paraId="7AE192F3" w14:textId="61F8C04D" w:rsidR="00524963" w:rsidRPr="00481068" w:rsidRDefault="00524963" w:rsidP="00162BA5">
            <w:pPr>
              <w:jc w:val="both"/>
              <w:rPr>
                <w:rFonts w:ascii="Arial" w:eastAsia="Calibri" w:hAnsi="Arial" w:cs="Arial"/>
                <w:noProof/>
                <w:sz w:val="22"/>
                <w:szCs w:val="22"/>
                <w:lang w:val="es-ES_tradnl" w:eastAsia="en-US"/>
              </w:rPr>
            </w:pPr>
            <w:r w:rsidRPr="00481068">
              <w:rPr>
                <w:rFonts w:ascii="Arial" w:eastAsia="Calibri" w:hAnsi="Arial" w:cs="Arial"/>
                <w:noProof/>
                <w:sz w:val="22"/>
                <w:szCs w:val="22"/>
                <w:lang w:val="es-ES_tradnl" w:eastAsia="en-US"/>
              </w:rPr>
              <w:t xml:space="preserve">Respuesta a </w:t>
            </w:r>
            <w:r w:rsidR="00A057E8" w:rsidRPr="00481068">
              <w:rPr>
                <w:rFonts w:ascii="Arial" w:eastAsia="Calibri" w:hAnsi="Arial" w:cs="Arial"/>
                <w:noProof/>
                <w:sz w:val="22"/>
                <w:szCs w:val="22"/>
                <w:lang w:val="es-ES_tradnl" w:eastAsia="en-US"/>
              </w:rPr>
              <w:t xml:space="preserve">la </w:t>
            </w:r>
            <w:r w:rsidRPr="00481068">
              <w:rPr>
                <w:rFonts w:ascii="Arial" w:eastAsia="Calibri" w:hAnsi="Arial" w:cs="Arial"/>
                <w:noProof/>
                <w:sz w:val="22"/>
                <w:szCs w:val="22"/>
                <w:lang w:val="es-ES_tradnl" w:eastAsia="en-US"/>
              </w:rPr>
              <w:t>consulta</w:t>
            </w:r>
            <w:r w:rsidR="007E213A" w:rsidRPr="00481068">
              <w:rPr>
                <w:rFonts w:ascii="Arial" w:eastAsia="Calibri" w:hAnsi="Arial" w:cs="Arial"/>
                <w:noProof/>
                <w:sz w:val="22"/>
                <w:szCs w:val="22"/>
                <w:lang w:val="es-ES_tradnl" w:eastAsia="en-US"/>
              </w:rPr>
              <w:t xml:space="preserve"> </w:t>
            </w:r>
            <w:r w:rsidR="00162BA5" w:rsidRPr="00162BA5">
              <w:rPr>
                <w:rFonts w:ascii="Arial" w:eastAsia="Calibri" w:hAnsi="Arial" w:cs="Arial"/>
                <w:noProof/>
                <w:sz w:val="22"/>
                <w:szCs w:val="22"/>
                <w:lang w:val="es-ES_tradnl" w:eastAsia="en-US"/>
              </w:rPr>
              <w:t>P20220328003084</w:t>
            </w:r>
          </w:p>
        </w:tc>
      </w:tr>
    </w:tbl>
    <w:p w14:paraId="16390F0C" w14:textId="37125357" w:rsidR="00524963" w:rsidRPr="00481068" w:rsidRDefault="00524963" w:rsidP="00EB09FF">
      <w:pPr>
        <w:jc w:val="both"/>
        <w:rPr>
          <w:rFonts w:ascii="Arial" w:eastAsia="Calibri" w:hAnsi="Arial" w:cs="Arial"/>
          <w:sz w:val="22"/>
          <w:szCs w:val="22"/>
          <w:lang w:eastAsia="en-US"/>
        </w:rPr>
      </w:pPr>
    </w:p>
    <w:p w14:paraId="55141216" w14:textId="77777777" w:rsidR="0041286F" w:rsidRPr="00481068" w:rsidRDefault="0041286F" w:rsidP="00EB09FF">
      <w:pPr>
        <w:jc w:val="both"/>
        <w:rPr>
          <w:rFonts w:ascii="Arial" w:eastAsia="Calibri" w:hAnsi="Arial" w:cs="Arial"/>
          <w:sz w:val="22"/>
          <w:szCs w:val="22"/>
          <w:lang w:eastAsia="en-US"/>
        </w:rPr>
      </w:pPr>
    </w:p>
    <w:p w14:paraId="26030D5D" w14:textId="40FFE476" w:rsidR="00524963" w:rsidRPr="00481068" w:rsidRDefault="00524963" w:rsidP="00C44295">
      <w:pPr>
        <w:spacing w:line="276" w:lineRule="auto"/>
        <w:jc w:val="both"/>
        <w:rPr>
          <w:rFonts w:ascii="Arial" w:eastAsia="Calibri" w:hAnsi="Arial" w:cs="Arial"/>
          <w:sz w:val="22"/>
          <w:szCs w:val="22"/>
          <w:lang w:eastAsia="en-US"/>
        </w:rPr>
      </w:pPr>
      <w:r w:rsidRPr="00481068">
        <w:rPr>
          <w:rFonts w:ascii="Arial" w:eastAsia="Calibri" w:hAnsi="Arial" w:cs="Arial"/>
          <w:sz w:val="22"/>
          <w:szCs w:val="22"/>
          <w:lang w:eastAsia="en-US"/>
        </w:rPr>
        <w:t>Estimad</w:t>
      </w:r>
      <w:r w:rsidR="00C44295">
        <w:rPr>
          <w:rFonts w:ascii="Arial" w:eastAsia="Calibri" w:hAnsi="Arial" w:cs="Arial"/>
          <w:sz w:val="22"/>
          <w:szCs w:val="22"/>
          <w:lang w:eastAsia="en-US"/>
        </w:rPr>
        <w:t>a</w:t>
      </w:r>
      <w:r w:rsidRPr="00481068">
        <w:rPr>
          <w:rFonts w:ascii="Arial" w:eastAsia="Calibri" w:hAnsi="Arial" w:cs="Arial"/>
          <w:sz w:val="22"/>
          <w:szCs w:val="22"/>
          <w:lang w:eastAsia="en-US"/>
        </w:rPr>
        <w:t xml:space="preserve"> </w:t>
      </w:r>
      <w:r w:rsidR="00D260C6" w:rsidRPr="00481068">
        <w:rPr>
          <w:rFonts w:ascii="Arial" w:eastAsia="Calibri" w:hAnsi="Arial" w:cs="Arial"/>
          <w:sz w:val="22"/>
          <w:szCs w:val="22"/>
          <w:lang w:eastAsia="en-US"/>
        </w:rPr>
        <w:t>D</w:t>
      </w:r>
      <w:r w:rsidRPr="00481068">
        <w:rPr>
          <w:rFonts w:ascii="Arial" w:eastAsia="Calibri" w:hAnsi="Arial" w:cs="Arial"/>
          <w:sz w:val="22"/>
          <w:szCs w:val="22"/>
          <w:lang w:eastAsia="en-US"/>
        </w:rPr>
        <w:t>octor</w:t>
      </w:r>
      <w:r w:rsidR="00C44295">
        <w:rPr>
          <w:rFonts w:ascii="Arial" w:eastAsia="Calibri" w:hAnsi="Arial" w:cs="Arial"/>
          <w:sz w:val="22"/>
          <w:szCs w:val="22"/>
          <w:lang w:eastAsia="en-US"/>
        </w:rPr>
        <w:t>a</w:t>
      </w:r>
      <w:r w:rsidRPr="00481068">
        <w:rPr>
          <w:rFonts w:ascii="Arial" w:eastAsia="Calibri" w:hAnsi="Arial" w:cs="Arial"/>
          <w:sz w:val="22"/>
          <w:szCs w:val="22"/>
          <w:lang w:eastAsia="en-US"/>
        </w:rPr>
        <w:t xml:space="preserve"> </w:t>
      </w:r>
      <w:r w:rsidR="00C44295" w:rsidRPr="00C44295">
        <w:rPr>
          <w:rFonts w:ascii="Arial" w:eastAsia="Calibri" w:hAnsi="Arial" w:cs="Arial"/>
          <w:bCs/>
          <w:sz w:val="22"/>
          <w:szCs w:val="22"/>
          <w:lang w:eastAsia="en-US"/>
        </w:rPr>
        <w:t>Sastoque</w:t>
      </w:r>
      <w:r w:rsidRPr="00481068">
        <w:rPr>
          <w:rFonts w:ascii="Arial" w:eastAsia="Calibri" w:hAnsi="Arial" w:cs="Arial"/>
          <w:sz w:val="22"/>
          <w:szCs w:val="22"/>
          <w:lang w:eastAsia="en-US"/>
        </w:rPr>
        <w:t>:</w:t>
      </w:r>
    </w:p>
    <w:p w14:paraId="5E245FA2" w14:textId="77777777" w:rsidR="00524963" w:rsidRPr="00481068" w:rsidRDefault="00524963" w:rsidP="00524963">
      <w:pPr>
        <w:spacing w:line="276" w:lineRule="auto"/>
        <w:ind w:firstLine="709"/>
        <w:jc w:val="both"/>
        <w:rPr>
          <w:rFonts w:ascii="Arial" w:eastAsia="Calibri" w:hAnsi="Arial" w:cs="Arial"/>
          <w:sz w:val="22"/>
          <w:szCs w:val="22"/>
          <w:lang w:eastAsia="en-US"/>
        </w:rPr>
      </w:pPr>
    </w:p>
    <w:p w14:paraId="3475A231" w14:textId="23E1E15C" w:rsidR="00524963" w:rsidRPr="00481068" w:rsidRDefault="00524963" w:rsidP="00524963">
      <w:pPr>
        <w:spacing w:line="276" w:lineRule="auto"/>
        <w:ind w:right="51"/>
        <w:jc w:val="both"/>
        <w:rPr>
          <w:rFonts w:ascii="Arial" w:eastAsia="Calibri" w:hAnsi="Arial" w:cs="Arial"/>
          <w:sz w:val="22"/>
          <w:szCs w:val="22"/>
          <w:lang w:eastAsia="en-US"/>
        </w:rPr>
      </w:pPr>
      <w:r w:rsidRPr="00481068">
        <w:rPr>
          <w:rFonts w:ascii="Arial" w:eastAsia="Calibri" w:hAnsi="Arial" w:cs="Arial"/>
          <w:sz w:val="22"/>
          <w:szCs w:val="22"/>
          <w:lang w:eastAsia="en-US"/>
        </w:rPr>
        <w:t>En ejercicio de la competencia otorgada por el numeral 8 del artículo 11 y el numeral 5 del artículo 3 del Decreto Ley 4170 de 2011, la Agencia Nacional de Contratación Pública – Colombia Compra Eficiente responde la consulta</w:t>
      </w:r>
      <w:r w:rsidR="00B52A3C" w:rsidRPr="00481068">
        <w:rPr>
          <w:rFonts w:ascii="Arial" w:eastAsia="Calibri" w:hAnsi="Arial" w:cs="Arial"/>
          <w:sz w:val="22"/>
          <w:szCs w:val="22"/>
          <w:lang w:eastAsia="en-US"/>
        </w:rPr>
        <w:t xml:space="preserve"> </w:t>
      </w:r>
      <w:r w:rsidR="00A057E8" w:rsidRPr="00481068">
        <w:rPr>
          <w:rFonts w:ascii="Arial" w:eastAsia="Calibri" w:hAnsi="Arial" w:cs="Arial"/>
          <w:sz w:val="22"/>
          <w:szCs w:val="22"/>
          <w:lang w:eastAsia="en-US"/>
        </w:rPr>
        <w:t xml:space="preserve">radicada </w:t>
      </w:r>
      <w:r w:rsidRPr="00481068">
        <w:rPr>
          <w:rFonts w:ascii="Arial" w:eastAsia="Calibri" w:hAnsi="Arial" w:cs="Arial"/>
          <w:sz w:val="22"/>
          <w:szCs w:val="22"/>
          <w:lang w:eastAsia="en-US"/>
        </w:rPr>
        <w:t xml:space="preserve">el </w:t>
      </w:r>
      <w:r w:rsidR="005263AC">
        <w:rPr>
          <w:rFonts w:ascii="Arial" w:eastAsia="Calibri" w:hAnsi="Arial" w:cs="Arial"/>
          <w:sz w:val="22"/>
          <w:szCs w:val="22"/>
          <w:lang w:eastAsia="en-US"/>
        </w:rPr>
        <w:t>28</w:t>
      </w:r>
      <w:r w:rsidR="007E213A" w:rsidRPr="00481068">
        <w:rPr>
          <w:rFonts w:ascii="Arial" w:eastAsia="Calibri" w:hAnsi="Arial" w:cs="Arial"/>
          <w:sz w:val="22"/>
          <w:szCs w:val="22"/>
          <w:lang w:eastAsia="en-US"/>
        </w:rPr>
        <w:t xml:space="preserve"> </w:t>
      </w:r>
      <w:r w:rsidRPr="00481068">
        <w:rPr>
          <w:rFonts w:ascii="Arial" w:eastAsia="Calibri" w:hAnsi="Arial" w:cs="Arial"/>
          <w:sz w:val="22"/>
          <w:szCs w:val="22"/>
          <w:lang w:eastAsia="en-US"/>
        </w:rPr>
        <w:t xml:space="preserve">de </w:t>
      </w:r>
      <w:r w:rsidR="007E213A" w:rsidRPr="00481068">
        <w:rPr>
          <w:rFonts w:ascii="Arial" w:eastAsia="Calibri" w:hAnsi="Arial" w:cs="Arial"/>
          <w:sz w:val="22"/>
          <w:szCs w:val="22"/>
          <w:lang w:eastAsia="en-US"/>
        </w:rPr>
        <w:t>marzo</w:t>
      </w:r>
      <w:r w:rsidRPr="00481068">
        <w:rPr>
          <w:rFonts w:ascii="Arial" w:eastAsia="Calibri" w:hAnsi="Arial" w:cs="Arial"/>
          <w:sz w:val="22"/>
          <w:szCs w:val="22"/>
          <w:lang w:eastAsia="en-US"/>
        </w:rPr>
        <w:t xml:space="preserve"> de 202</w:t>
      </w:r>
      <w:r w:rsidR="007E213A" w:rsidRPr="00481068">
        <w:rPr>
          <w:rFonts w:ascii="Arial" w:eastAsia="Calibri" w:hAnsi="Arial" w:cs="Arial"/>
          <w:sz w:val="22"/>
          <w:szCs w:val="22"/>
          <w:lang w:eastAsia="en-US"/>
        </w:rPr>
        <w:t>2</w:t>
      </w:r>
      <w:r w:rsidR="00A057E8" w:rsidRPr="00481068">
        <w:rPr>
          <w:rFonts w:ascii="Arial" w:eastAsia="Calibri" w:hAnsi="Arial" w:cs="Arial"/>
          <w:sz w:val="22"/>
          <w:szCs w:val="22"/>
          <w:lang w:eastAsia="en-US"/>
        </w:rPr>
        <w:t>.</w:t>
      </w:r>
      <w:r w:rsidRPr="00481068">
        <w:rPr>
          <w:rFonts w:ascii="Arial" w:eastAsia="Calibri" w:hAnsi="Arial" w:cs="Arial"/>
          <w:sz w:val="22"/>
          <w:szCs w:val="22"/>
          <w:lang w:eastAsia="en-US"/>
        </w:rPr>
        <w:t xml:space="preserve"> </w:t>
      </w:r>
    </w:p>
    <w:p w14:paraId="1FDC1190" w14:textId="77777777" w:rsidR="00524963" w:rsidRPr="00481068" w:rsidRDefault="00524963" w:rsidP="00524963">
      <w:pPr>
        <w:spacing w:line="276" w:lineRule="auto"/>
        <w:jc w:val="both"/>
        <w:rPr>
          <w:rFonts w:ascii="Arial" w:eastAsia="Calibri" w:hAnsi="Arial" w:cs="Arial"/>
          <w:sz w:val="22"/>
          <w:szCs w:val="22"/>
          <w:lang w:eastAsia="en-US"/>
        </w:rPr>
      </w:pPr>
    </w:p>
    <w:p w14:paraId="589A7A08" w14:textId="4A0D82C9" w:rsidR="00524963" w:rsidRPr="00481068" w:rsidRDefault="00524963" w:rsidP="00524963">
      <w:pPr>
        <w:tabs>
          <w:tab w:val="left" w:pos="284"/>
        </w:tabs>
        <w:spacing w:line="276" w:lineRule="auto"/>
        <w:jc w:val="both"/>
        <w:rPr>
          <w:rFonts w:ascii="Arial" w:eastAsia="Calibri" w:hAnsi="Arial" w:cs="Arial"/>
          <w:b/>
          <w:sz w:val="22"/>
          <w:szCs w:val="22"/>
          <w:lang w:eastAsia="en-US"/>
        </w:rPr>
      </w:pPr>
      <w:r w:rsidRPr="00481068">
        <w:rPr>
          <w:rFonts w:ascii="Arial" w:eastAsia="Calibri" w:hAnsi="Arial" w:cs="Arial"/>
          <w:b/>
          <w:sz w:val="22"/>
          <w:szCs w:val="22"/>
          <w:lang w:eastAsia="en-US"/>
        </w:rPr>
        <w:t>1. Problema</w:t>
      </w:r>
      <w:r w:rsidR="007B1256">
        <w:rPr>
          <w:rFonts w:ascii="Arial" w:eastAsia="Calibri" w:hAnsi="Arial" w:cs="Arial"/>
          <w:b/>
          <w:sz w:val="22"/>
          <w:szCs w:val="22"/>
          <w:lang w:eastAsia="en-US"/>
        </w:rPr>
        <w:t>s</w:t>
      </w:r>
      <w:r w:rsidRPr="00481068">
        <w:rPr>
          <w:rFonts w:ascii="Arial" w:eastAsia="Calibri" w:hAnsi="Arial" w:cs="Arial"/>
          <w:b/>
          <w:sz w:val="22"/>
          <w:szCs w:val="22"/>
          <w:lang w:eastAsia="en-US"/>
        </w:rPr>
        <w:t xml:space="preserve"> planteado</w:t>
      </w:r>
      <w:r w:rsidR="007B1256">
        <w:rPr>
          <w:rFonts w:ascii="Arial" w:eastAsia="Calibri" w:hAnsi="Arial" w:cs="Arial"/>
          <w:b/>
          <w:sz w:val="22"/>
          <w:szCs w:val="22"/>
          <w:lang w:eastAsia="en-US"/>
        </w:rPr>
        <w:t>s</w:t>
      </w:r>
      <w:r w:rsidRPr="00481068">
        <w:rPr>
          <w:rFonts w:ascii="Arial" w:eastAsia="Calibri" w:hAnsi="Arial" w:cs="Arial"/>
          <w:b/>
          <w:sz w:val="22"/>
          <w:szCs w:val="22"/>
          <w:lang w:eastAsia="en-US"/>
        </w:rPr>
        <w:t xml:space="preserve"> </w:t>
      </w:r>
    </w:p>
    <w:p w14:paraId="39487201" w14:textId="77777777" w:rsidR="00524963" w:rsidRPr="00481068" w:rsidRDefault="00524963" w:rsidP="00524963">
      <w:pPr>
        <w:tabs>
          <w:tab w:val="left" w:pos="284"/>
        </w:tabs>
        <w:spacing w:line="276" w:lineRule="auto"/>
        <w:ind w:firstLine="709"/>
        <w:contextualSpacing/>
        <w:jc w:val="both"/>
        <w:rPr>
          <w:rFonts w:ascii="Arial" w:eastAsia="Calibri" w:hAnsi="Arial" w:cs="Arial"/>
          <w:b/>
          <w:sz w:val="22"/>
          <w:szCs w:val="22"/>
          <w:lang w:eastAsia="en-US"/>
        </w:rPr>
      </w:pPr>
    </w:p>
    <w:p w14:paraId="2B4A55D3" w14:textId="7D2FFE19" w:rsidR="00524963" w:rsidRPr="00481068" w:rsidRDefault="0040152A" w:rsidP="00A01D33">
      <w:pPr>
        <w:spacing w:line="276" w:lineRule="auto"/>
        <w:jc w:val="both"/>
        <w:rPr>
          <w:rFonts w:ascii="Arial" w:eastAsia="Calibri" w:hAnsi="Arial" w:cs="Arial"/>
          <w:sz w:val="21"/>
          <w:szCs w:val="21"/>
          <w:lang w:val="es-ES_tradnl" w:eastAsia="es-CO"/>
        </w:rPr>
      </w:pPr>
      <w:bookmarkStart w:id="9" w:name="_Hlk58917991"/>
      <w:bookmarkStart w:id="10" w:name="_Hlk56103000"/>
      <w:r w:rsidRPr="00481068">
        <w:rPr>
          <w:rFonts w:ascii="Arial" w:hAnsi="Arial" w:cs="Arial"/>
          <w:color w:val="000000"/>
          <w:sz w:val="22"/>
          <w:szCs w:val="22"/>
          <w:lang w:val="es-ES_tradnl"/>
        </w:rPr>
        <w:t>Respecto a la prohibición del artículo 33 de</w:t>
      </w:r>
      <w:r w:rsidR="00524963" w:rsidRPr="00481068">
        <w:rPr>
          <w:rFonts w:ascii="Arial" w:hAnsi="Arial" w:cs="Arial"/>
          <w:color w:val="000000"/>
          <w:sz w:val="22"/>
          <w:szCs w:val="22"/>
          <w:lang w:val="es-ES_tradnl"/>
        </w:rPr>
        <w:t xml:space="preserve"> la Ley de Garantías Electorales, usted </w:t>
      </w:r>
      <w:r w:rsidRPr="00481068">
        <w:rPr>
          <w:rFonts w:ascii="Arial" w:hAnsi="Arial" w:cs="Arial"/>
          <w:color w:val="000000"/>
          <w:sz w:val="22"/>
          <w:szCs w:val="22"/>
          <w:lang w:val="es-ES_tradnl"/>
        </w:rPr>
        <w:t>realiza la</w:t>
      </w:r>
      <w:r w:rsidR="00913185">
        <w:rPr>
          <w:rFonts w:ascii="Arial" w:hAnsi="Arial" w:cs="Arial"/>
          <w:color w:val="000000"/>
          <w:sz w:val="22"/>
          <w:szCs w:val="22"/>
          <w:lang w:val="es-ES_tradnl"/>
        </w:rPr>
        <w:t>s</w:t>
      </w:r>
      <w:r w:rsidRPr="00481068">
        <w:rPr>
          <w:rFonts w:ascii="Arial" w:hAnsi="Arial" w:cs="Arial"/>
          <w:color w:val="000000"/>
          <w:sz w:val="22"/>
          <w:szCs w:val="22"/>
          <w:lang w:val="es-ES_tradnl"/>
        </w:rPr>
        <w:t xml:space="preserve"> siguiente</w:t>
      </w:r>
      <w:r w:rsidR="00913185">
        <w:rPr>
          <w:rFonts w:ascii="Arial" w:hAnsi="Arial" w:cs="Arial"/>
          <w:color w:val="000000"/>
          <w:sz w:val="22"/>
          <w:szCs w:val="22"/>
          <w:lang w:val="es-ES_tradnl"/>
        </w:rPr>
        <w:t>s</w:t>
      </w:r>
      <w:r w:rsidRPr="00481068">
        <w:rPr>
          <w:rFonts w:ascii="Arial" w:hAnsi="Arial" w:cs="Arial"/>
          <w:color w:val="000000"/>
          <w:sz w:val="22"/>
          <w:szCs w:val="22"/>
          <w:lang w:val="es-ES_tradnl"/>
        </w:rPr>
        <w:t xml:space="preserve"> pregunta</w:t>
      </w:r>
      <w:r w:rsidR="00913185">
        <w:rPr>
          <w:rFonts w:ascii="Arial" w:hAnsi="Arial" w:cs="Arial"/>
          <w:color w:val="000000"/>
          <w:sz w:val="22"/>
          <w:szCs w:val="22"/>
          <w:lang w:val="es-ES_tradnl"/>
        </w:rPr>
        <w:t>s</w:t>
      </w:r>
      <w:r w:rsidR="00524963" w:rsidRPr="00481068">
        <w:rPr>
          <w:rFonts w:ascii="Arial" w:hAnsi="Arial" w:cs="Arial"/>
          <w:color w:val="000000"/>
          <w:sz w:val="22"/>
          <w:szCs w:val="22"/>
          <w:lang w:val="es-ES_tradnl"/>
        </w:rPr>
        <w:t xml:space="preserve">: </w:t>
      </w:r>
      <w:bookmarkStart w:id="11" w:name="_Hlk98832248"/>
      <w:bookmarkStart w:id="12" w:name="_Hlk94514883"/>
      <w:r w:rsidR="00913185">
        <w:rPr>
          <w:rFonts w:ascii="Arial" w:hAnsi="Arial" w:cs="Arial"/>
          <w:color w:val="000000"/>
          <w:sz w:val="22"/>
          <w:szCs w:val="22"/>
          <w:lang w:val="es-ES_tradnl"/>
        </w:rPr>
        <w:t>i)</w:t>
      </w:r>
      <w:bookmarkEnd w:id="11"/>
      <w:bookmarkEnd w:id="12"/>
      <w:r w:rsidR="00913185">
        <w:rPr>
          <w:rFonts w:ascii="Arial" w:hAnsi="Arial" w:cs="Arial"/>
          <w:color w:val="000000"/>
          <w:sz w:val="22"/>
          <w:szCs w:val="22"/>
          <w:lang w:val="es-ES_tradnl"/>
        </w:rPr>
        <w:t xml:space="preserve"> «</w:t>
      </w:r>
      <w:r w:rsidR="00913185" w:rsidRPr="00913185">
        <w:rPr>
          <w:rFonts w:ascii="Arial" w:hAnsi="Arial" w:cs="Arial"/>
          <w:color w:val="000000"/>
          <w:sz w:val="22"/>
          <w:szCs w:val="22"/>
        </w:rPr>
        <w:t>Que se informe a la entidad, por favor, si es viable para la entidad suscribir Cartas de Entendimiento o memorandos de entendimiento, sin recursos, en el cual se estipula la suma de esfuerzos para atender comunidades artesanales, durante la vigencia de la Ley de Garantías</w:t>
      </w:r>
      <w:r w:rsidR="006237B9">
        <w:rPr>
          <w:rFonts w:ascii="Arial" w:hAnsi="Arial" w:cs="Arial"/>
          <w:color w:val="000000"/>
          <w:sz w:val="22"/>
          <w:szCs w:val="22"/>
        </w:rPr>
        <w:t xml:space="preserve">» y </w:t>
      </w:r>
      <w:proofErr w:type="spellStart"/>
      <w:r w:rsidR="006237B9">
        <w:rPr>
          <w:rFonts w:ascii="Arial" w:hAnsi="Arial" w:cs="Arial"/>
          <w:color w:val="000000"/>
          <w:sz w:val="22"/>
          <w:szCs w:val="22"/>
        </w:rPr>
        <w:t>ii</w:t>
      </w:r>
      <w:proofErr w:type="spellEnd"/>
      <w:r w:rsidR="006237B9">
        <w:rPr>
          <w:rFonts w:ascii="Arial" w:hAnsi="Arial" w:cs="Arial"/>
          <w:color w:val="000000"/>
          <w:sz w:val="22"/>
          <w:szCs w:val="22"/>
        </w:rPr>
        <w:t xml:space="preserve">) </w:t>
      </w:r>
      <w:r w:rsidR="00A01D33">
        <w:rPr>
          <w:rFonts w:ascii="Arial" w:hAnsi="Arial" w:cs="Arial"/>
          <w:color w:val="000000"/>
          <w:sz w:val="22"/>
          <w:szCs w:val="22"/>
        </w:rPr>
        <w:t>«</w:t>
      </w:r>
      <w:r w:rsidR="00A01D33" w:rsidRPr="00A01D33">
        <w:rPr>
          <w:rFonts w:ascii="Arial" w:hAnsi="Arial" w:cs="Arial"/>
          <w:color w:val="000000"/>
          <w:sz w:val="22"/>
          <w:szCs w:val="22"/>
        </w:rPr>
        <w:t>Que se informe a la entidad, por favor, si es viable contratar directamente con Organismos Internacionales durante la vigencia de la Ley de Garantías, sin el aporte de recursos</w:t>
      </w:r>
      <w:r w:rsidR="00A01D33">
        <w:rPr>
          <w:rFonts w:ascii="Arial" w:hAnsi="Arial" w:cs="Arial"/>
          <w:color w:val="000000"/>
          <w:sz w:val="22"/>
          <w:szCs w:val="22"/>
        </w:rPr>
        <w:t>».</w:t>
      </w:r>
      <w:r w:rsidR="00881E2A" w:rsidRPr="00481068">
        <w:rPr>
          <w:rFonts w:ascii="Arial" w:hAnsi="Arial" w:cs="Arial"/>
          <w:color w:val="000000"/>
          <w:sz w:val="22"/>
          <w:szCs w:val="22"/>
        </w:rPr>
        <w:t xml:space="preserve"> </w:t>
      </w:r>
    </w:p>
    <w:p w14:paraId="5DCB41BD" w14:textId="77777777" w:rsidR="00524963" w:rsidRPr="00481068" w:rsidRDefault="00524963" w:rsidP="00524963">
      <w:pPr>
        <w:tabs>
          <w:tab w:val="left" w:pos="426"/>
        </w:tabs>
        <w:spacing w:line="276" w:lineRule="auto"/>
        <w:jc w:val="both"/>
        <w:rPr>
          <w:rFonts w:ascii="Arial" w:eastAsia="Calibri" w:hAnsi="Arial" w:cs="Arial"/>
          <w:sz w:val="22"/>
          <w:szCs w:val="22"/>
          <w:lang w:eastAsia="en-US"/>
        </w:rPr>
      </w:pPr>
    </w:p>
    <w:bookmarkEnd w:id="9"/>
    <w:bookmarkEnd w:id="10"/>
    <w:p w14:paraId="59A5D171" w14:textId="77777777" w:rsidR="00524963" w:rsidRPr="00481068" w:rsidRDefault="00524963" w:rsidP="00524963">
      <w:pPr>
        <w:tabs>
          <w:tab w:val="left" w:pos="284"/>
        </w:tabs>
        <w:spacing w:line="276" w:lineRule="auto"/>
        <w:jc w:val="both"/>
        <w:rPr>
          <w:rFonts w:ascii="Arial" w:eastAsia="Calibri" w:hAnsi="Arial" w:cs="Arial"/>
          <w:b/>
          <w:sz w:val="22"/>
          <w:szCs w:val="22"/>
          <w:lang w:eastAsia="en-US"/>
        </w:rPr>
      </w:pPr>
      <w:r w:rsidRPr="00481068">
        <w:rPr>
          <w:rFonts w:ascii="Arial" w:eastAsia="Calibri" w:hAnsi="Arial" w:cs="Arial"/>
          <w:b/>
          <w:sz w:val="22"/>
          <w:szCs w:val="22"/>
          <w:lang w:eastAsia="en-US"/>
        </w:rPr>
        <w:t>2. Consideraciones</w:t>
      </w:r>
    </w:p>
    <w:p w14:paraId="4960B777" w14:textId="77777777" w:rsidR="00524963" w:rsidRPr="00481068" w:rsidRDefault="00524963" w:rsidP="00524963">
      <w:pPr>
        <w:tabs>
          <w:tab w:val="left" w:pos="426"/>
        </w:tabs>
        <w:spacing w:line="276" w:lineRule="auto"/>
        <w:ind w:firstLine="709"/>
        <w:jc w:val="both"/>
        <w:rPr>
          <w:rFonts w:ascii="Arial" w:eastAsia="Calibri" w:hAnsi="Arial" w:cs="Arial"/>
          <w:bCs/>
          <w:sz w:val="22"/>
          <w:szCs w:val="22"/>
          <w:lang w:eastAsia="en-US"/>
        </w:rPr>
      </w:pPr>
    </w:p>
    <w:p w14:paraId="1E6B1AC9" w14:textId="77777777" w:rsidR="00524963" w:rsidRPr="00481068" w:rsidRDefault="00524963" w:rsidP="0051212F">
      <w:pPr>
        <w:spacing w:line="276" w:lineRule="auto"/>
        <w:jc w:val="both"/>
        <w:rPr>
          <w:rFonts w:ascii="Arial" w:eastAsia="Calibri" w:hAnsi="Arial" w:cs="Arial"/>
          <w:color w:val="000000"/>
          <w:sz w:val="22"/>
        </w:rPr>
      </w:pPr>
      <w:r w:rsidRPr="00481068">
        <w:rPr>
          <w:rFonts w:ascii="Arial" w:eastAsia="Calibri" w:hAnsi="Arial"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481068">
        <w:rPr>
          <w:rFonts w:ascii="Arial" w:eastAsia="Calibri" w:hAnsi="Arial" w:cs="Arial"/>
          <w:color w:val="000000"/>
          <w:sz w:val="22"/>
          <w:vertAlign w:val="superscript"/>
        </w:rPr>
        <w:footnoteReference w:id="2"/>
      </w:r>
      <w:r w:rsidRPr="00481068">
        <w:rPr>
          <w:rFonts w:ascii="Arial" w:eastAsia="Calibri" w:hAnsi="Arial"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0DEF6099" w14:textId="7A402169" w:rsidR="00524963" w:rsidRPr="00481068" w:rsidRDefault="00524963" w:rsidP="0051212F">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094EC3C5" w14:textId="3AB846C4" w:rsidR="00975010" w:rsidRPr="00481068" w:rsidRDefault="00975010" w:rsidP="0051212F">
      <w:pPr>
        <w:spacing w:before="120" w:line="276" w:lineRule="auto"/>
        <w:ind w:firstLine="708"/>
        <w:jc w:val="both"/>
        <w:rPr>
          <w:rFonts w:ascii="Arial" w:eastAsia="Calibri" w:hAnsi="Arial" w:cs="Arial"/>
          <w:color w:val="000000"/>
          <w:sz w:val="22"/>
        </w:rPr>
      </w:pPr>
      <w:r w:rsidRPr="00481068">
        <w:rPr>
          <w:rFonts w:ascii="Arial" w:eastAsia="Calibri" w:hAnsi="Arial" w:cs="Arial"/>
          <w:bCs/>
          <w:color w:val="000000"/>
          <w:sz w:val="22"/>
          <w:szCs w:val="22"/>
          <w:lang w:eastAsia="es-CO"/>
        </w:rPr>
        <w:t xml:space="preserve">Bajo estas consideraciones, corresponde a cada entidad pública, en ejercicio de su competencia y previa valoración de los elementos fácticos y jurídicos, determinar si </w:t>
      </w:r>
      <w:r w:rsidR="00091642" w:rsidRPr="00481068">
        <w:rPr>
          <w:rFonts w:ascii="Arial" w:eastAsia="Calibri" w:hAnsi="Arial" w:cs="Arial"/>
          <w:bCs/>
          <w:color w:val="000000"/>
          <w:sz w:val="22"/>
          <w:szCs w:val="22"/>
          <w:lang w:eastAsia="es-CO"/>
        </w:rPr>
        <w:t>es procedente o no la celebración de un determinado contrato en específico</w:t>
      </w:r>
      <w:r w:rsidRPr="00481068">
        <w:rPr>
          <w:rFonts w:ascii="Arial" w:eastAsia="Calibri" w:hAnsi="Arial" w:cs="Arial"/>
          <w:bCs/>
          <w:color w:val="000000"/>
          <w:sz w:val="22"/>
          <w:szCs w:val="22"/>
          <w:lang w:eastAsia="es-CO"/>
        </w:rPr>
        <w:t>.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3597D50" w14:textId="426C72FF" w:rsidR="00524963" w:rsidRPr="00481068" w:rsidRDefault="009B1E40" w:rsidP="00091642">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Sin perjuicio de</w:t>
      </w:r>
      <w:r w:rsidR="00524963" w:rsidRPr="00481068">
        <w:rPr>
          <w:rFonts w:ascii="Arial" w:eastAsia="Calibri" w:hAnsi="Arial" w:cs="Arial"/>
          <w:color w:val="000000"/>
          <w:sz w:val="22"/>
        </w:rPr>
        <w:t xml:space="preserve"> lo anterior, </w:t>
      </w:r>
      <w:r w:rsidR="00091642" w:rsidRPr="00481068">
        <w:rPr>
          <w:rFonts w:ascii="Arial" w:eastAsia="Calibri" w:hAnsi="Arial" w:cs="Arial"/>
          <w:color w:val="000000"/>
          <w:sz w:val="22"/>
          <w:lang w:val="es-ES"/>
        </w:rPr>
        <w:t xml:space="preserve">la Agencia –dentro de los límites de sus atribuciones, esto es, </w:t>
      </w:r>
      <w:bookmarkStart w:id="13" w:name="_Hlk61025408"/>
      <w:r w:rsidR="00091642" w:rsidRPr="00481068">
        <w:rPr>
          <w:rFonts w:ascii="Arial" w:eastAsia="Calibri" w:hAnsi="Arial" w:cs="Arial"/>
          <w:color w:val="000000"/>
          <w:sz w:val="22"/>
          <w:lang w:val="es-ES"/>
        </w:rPr>
        <w:t xml:space="preserve">haciendo abstracción </w:t>
      </w:r>
      <w:bookmarkEnd w:id="13"/>
      <w:r w:rsidR="009B66AA">
        <w:rPr>
          <w:rFonts w:ascii="Arial" w:eastAsia="Calibri" w:hAnsi="Arial" w:cs="Arial"/>
          <w:color w:val="000000"/>
          <w:sz w:val="22"/>
          <w:lang w:val="es-ES"/>
        </w:rPr>
        <w:t xml:space="preserve">de las circunstancias particulares </w:t>
      </w:r>
      <w:r w:rsidR="00557A53">
        <w:rPr>
          <w:rFonts w:ascii="Arial" w:eastAsia="Calibri" w:hAnsi="Arial" w:cs="Arial"/>
          <w:color w:val="000000"/>
          <w:sz w:val="22"/>
          <w:lang w:val="es-ES"/>
        </w:rPr>
        <w:t xml:space="preserve">expuestas </w:t>
      </w:r>
      <w:r w:rsidR="00F37B8C">
        <w:rPr>
          <w:rFonts w:ascii="Arial" w:eastAsia="Calibri" w:hAnsi="Arial" w:cs="Arial"/>
          <w:color w:val="000000"/>
          <w:sz w:val="22"/>
          <w:lang w:val="es-ES"/>
        </w:rPr>
        <w:t>en la petición</w:t>
      </w:r>
      <w:r w:rsidR="00091642" w:rsidRPr="00481068">
        <w:rPr>
          <w:rFonts w:ascii="Arial" w:eastAsia="Calibri" w:hAnsi="Arial" w:cs="Arial"/>
          <w:color w:val="000000"/>
          <w:sz w:val="22"/>
          <w:lang w:val="es-ES"/>
        </w:rPr>
        <w:t xml:space="preserve">– resolverá la consulta conforme a las normas generales en materia de contratación estatal. </w:t>
      </w:r>
      <w:r w:rsidR="00091642" w:rsidRPr="00481068">
        <w:rPr>
          <w:rFonts w:ascii="Arial" w:eastAsia="Calibri" w:hAnsi="Arial" w:cs="Arial"/>
          <w:color w:val="000000" w:themeColor="text1"/>
          <w:sz w:val="22"/>
          <w:lang w:val="es-ES"/>
        </w:rPr>
        <w:lastRenderedPageBreak/>
        <w:t>Con este objetivo se analizarán los siguientes temas</w:t>
      </w:r>
      <w:r w:rsidR="00524963" w:rsidRPr="00481068">
        <w:rPr>
          <w:rFonts w:ascii="Arial" w:eastAsia="Calibri" w:hAnsi="Arial" w:cs="Arial"/>
          <w:color w:val="000000"/>
          <w:sz w:val="22"/>
        </w:rPr>
        <w:t xml:space="preserve">: </w:t>
      </w:r>
      <w:r w:rsidR="00524963" w:rsidRPr="00481068">
        <w:rPr>
          <w:rFonts w:ascii="Arial" w:eastAsia="Calibri" w:hAnsi="Arial" w:cs="Arial"/>
          <w:color w:val="000000"/>
          <w:sz w:val="22"/>
          <w:lang w:val="es-ES_tradnl"/>
        </w:rPr>
        <w:t xml:space="preserve">i) alcance de las restricciones establecidas en la Ley 996 de 2005 –más conocida como «Ley de Garantías Electorales»–, </w:t>
      </w:r>
      <w:proofErr w:type="spellStart"/>
      <w:r w:rsidR="00524963" w:rsidRPr="00481068">
        <w:rPr>
          <w:rFonts w:ascii="Arial" w:eastAsia="Calibri" w:hAnsi="Arial" w:cs="Arial"/>
          <w:color w:val="000000"/>
          <w:sz w:val="22"/>
          <w:lang w:val="es-ES_tradnl"/>
        </w:rPr>
        <w:t>ii</w:t>
      </w:r>
      <w:proofErr w:type="spellEnd"/>
      <w:r w:rsidR="00524963" w:rsidRPr="00481068">
        <w:rPr>
          <w:rFonts w:ascii="Arial" w:eastAsia="Calibri" w:hAnsi="Arial" w:cs="Arial"/>
          <w:color w:val="000000"/>
          <w:sz w:val="22"/>
          <w:lang w:val="es-ES_tradnl"/>
        </w:rPr>
        <w:t>) restricciones especiales aplicables de cara a las elecciones presidenciales</w:t>
      </w:r>
      <w:r w:rsidR="00A12B5B">
        <w:rPr>
          <w:rFonts w:ascii="Arial" w:eastAsia="Calibri" w:hAnsi="Arial" w:cs="Arial"/>
          <w:color w:val="000000"/>
          <w:sz w:val="22"/>
          <w:lang w:val="es-ES_tradnl"/>
        </w:rPr>
        <w:t xml:space="preserve"> y</w:t>
      </w:r>
      <w:r w:rsidR="00524963" w:rsidRPr="00481068">
        <w:rPr>
          <w:rFonts w:ascii="Arial" w:eastAsia="Calibri" w:hAnsi="Arial" w:cs="Arial"/>
          <w:color w:val="000000"/>
          <w:sz w:val="22"/>
          <w:lang w:val="es-ES_tradnl"/>
        </w:rPr>
        <w:t xml:space="preserve"> </w:t>
      </w:r>
      <w:proofErr w:type="spellStart"/>
      <w:r w:rsidR="00524963" w:rsidRPr="00481068">
        <w:rPr>
          <w:rFonts w:ascii="Arial" w:eastAsia="Calibri" w:hAnsi="Arial" w:cs="Arial"/>
          <w:color w:val="000000"/>
          <w:sz w:val="22"/>
          <w:lang w:val="es-ES_tradnl"/>
        </w:rPr>
        <w:t>iii</w:t>
      </w:r>
      <w:proofErr w:type="spellEnd"/>
      <w:r w:rsidR="00524963" w:rsidRPr="00481068">
        <w:rPr>
          <w:rFonts w:ascii="Arial" w:eastAsia="Calibri" w:hAnsi="Arial" w:cs="Arial"/>
          <w:color w:val="000000"/>
          <w:sz w:val="22"/>
          <w:lang w:val="es-ES_tradnl"/>
        </w:rPr>
        <w:t>) aplicación de la Ley de Garantías Electorales a la contratación directa sometida a los reglamentos de los organismos de cooperación, asistencia o ayuda internacional</w:t>
      </w:r>
      <w:r w:rsidR="00524963" w:rsidRPr="00481068">
        <w:rPr>
          <w:rFonts w:ascii="Arial" w:eastAsia="Calibri" w:hAnsi="Arial" w:cs="Arial"/>
          <w:color w:val="000000"/>
          <w:sz w:val="22"/>
        </w:rPr>
        <w:t>.</w:t>
      </w:r>
    </w:p>
    <w:p w14:paraId="1BECEB7D" w14:textId="062B760B" w:rsidR="00AA196C" w:rsidRPr="00481068" w:rsidRDefault="00524963" w:rsidP="0051212F">
      <w:pPr>
        <w:tabs>
          <w:tab w:val="left" w:pos="426"/>
        </w:tabs>
        <w:spacing w:before="120" w:line="276" w:lineRule="auto"/>
        <w:ind w:firstLine="709"/>
        <w:jc w:val="both"/>
        <w:rPr>
          <w:rFonts w:ascii="Arial" w:hAnsi="Arial" w:cs="Arial"/>
          <w:sz w:val="22"/>
          <w:szCs w:val="22"/>
        </w:rPr>
      </w:pPr>
      <w:r w:rsidRPr="00481068">
        <w:rPr>
          <w:rFonts w:ascii="Arial" w:eastAsia="Calibri" w:hAnsi="Arial"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w:t>
      </w:r>
      <w:r w:rsidR="00A235A1">
        <w:rPr>
          <w:rFonts w:ascii="Arial" w:eastAsia="Calibri" w:hAnsi="Arial" w:cs="Arial"/>
          <w:color w:val="000000"/>
          <w:sz w:val="22"/>
        </w:rPr>
        <w:t xml:space="preserve">, </w:t>
      </w:r>
      <w:r w:rsidRPr="00481068">
        <w:rPr>
          <w:rFonts w:ascii="Arial" w:eastAsia="Calibri" w:hAnsi="Arial" w:cs="Arial"/>
          <w:color w:val="000000"/>
          <w:sz w:val="22"/>
        </w:rPr>
        <w:t>C-077 del 17 de marzo de 2022</w:t>
      </w:r>
      <w:r w:rsidR="00A235A1">
        <w:rPr>
          <w:rFonts w:ascii="Arial" w:eastAsia="Calibri" w:hAnsi="Arial" w:cs="Arial"/>
          <w:color w:val="000000"/>
          <w:sz w:val="22"/>
        </w:rPr>
        <w:t xml:space="preserve">, C-248 del </w:t>
      </w:r>
      <w:r w:rsidR="00903665">
        <w:rPr>
          <w:rFonts w:ascii="Arial" w:eastAsia="Calibri" w:hAnsi="Arial" w:cs="Arial"/>
          <w:color w:val="000000"/>
          <w:sz w:val="22"/>
        </w:rPr>
        <w:t>del 5 de mayo de 2022</w:t>
      </w:r>
      <w:r w:rsidRPr="00481068">
        <w:rPr>
          <w:rFonts w:ascii="Arial" w:eastAsia="Calibri" w:hAnsi="Arial" w:cs="Arial"/>
          <w:color w:val="000000"/>
          <w:sz w:val="22"/>
        </w:rPr>
        <w:t xml:space="preserve">, entre otros. </w:t>
      </w:r>
    </w:p>
    <w:p w14:paraId="0B293497" w14:textId="5E6F07AA" w:rsidR="00524963" w:rsidRPr="00481068" w:rsidRDefault="00AA196C" w:rsidP="001D7836">
      <w:pPr>
        <w:tabs>
          <w:tab w:val="left" w:pos="426"/>
        </w:tabs>
        <w:spacing w:before="120" w:line="276" w:lineRule="auto"/>
        <w:ind w:firstLine="709"/>
        <w:jc w:val="both"/>
        <w:rPr>
          <w:rFonts w:ascii="Arial" w:eastAsia="Calibri" w:hAnsi="Arial" w:cs="Arial"/>
          <w:sz w:val="22"/>
          <w:szCs w:val="22"/>
          <w:lang w:val="es-ES" w:eastAsia="en-US"/>
        </w:rPr>
      </w:pPr>
      <w:r w:rsidRPr="00481068">
        <w:rPr>
          <w:rFonts w:ascii="Arial" w:hAnsi="Arial" w:cs="Arial"/>
          <w:sz w:val="22"/>
          <w:szCs w:val="22"/>
        </w:rPr>
        <w:t xml:space="preserve">Los </w:t>
      </w:r>
      <w:r w:rsidR="00827B78" w:rsidRPr="00481068">
        <w:rPr>
          <w:rFonts w:ascii="Arial" w:hAnsi="Arial" w:cs="Arial"/>
          <w:sz w:val="22"/>
          <w:szCs w:val="22"/>
        </w:rPr>
        <w:t xml:space="preserve">conceptos </w:t>
      </w:r>
      <w:r w:rsidRPr="00481068">
        <w:rPr>
          <w:rFonts w:ascii="Arial" w:hAnsi="Arial" w:cs="Arial"/>
          <w:sz w:val="22"/>
          <w:szCs w:val="22"/>
        </w:rPr>
        <w:t xml:space="preserve">mencionados en el párrafo precedente </w:t>
      </w:r>
      <w:r w:rsidR="00827B78" w:rsidRPr="00481068">
        <w:rPr>
          <w:rFonts w:ascii="Arial" w:hAnsi="Arial" w:cs="Arial"/>
          <w:sz w:val="22"/>
          <w:szCs w:val="22"/>
        </w:rPr>
        <w:t xml:space="preserve">fueron complementados, en lo pertinente, </w:t>
      </w:r>
      <w:r w:rsidR="00715BAE" w:rsidRPr="00481068">
        <w:rPr>
          <w:rFonts w:ascii="Arial" w:hAnsi="Arial" w:cs="Arial"/>
          <w:sz w:val="22"/>
          <w:szCs w:val="22"/>
        </w:rPr>
        <w:t>por</w:t>
      </w:r>
      <w:r w:rsidR="00827B78" w:rsidRPr="00481068">
        <w:rPr>
          <w:rFonts w:ascii="Arial" w:hAnsi="Arial" w:cs="Arial"/>
          <w:sz w:val="22"/>
          <w:szCs w:val="22"/>
        </w:rPr>
        <w:t xml:space="preserve"> el </w:t>
      </w:r>
      <w:r w:rsidR="00715BAE" w:rsidRPr="00481068">
        <w:rPr>
          <w:rFonts w:ascii="Arial" w:hAnsi="Arial" w:cs="Arial"/>
          <w:sz w:val="22"/>
          <w:szCs w:val="22"/>
        </w:rPr>
        <w:t>C</w:t>
      </w:r>
      <w:r w:rsidR="00827B78" w:rsidRPr="00481068">
        <w:rPr>
          <w:rFonts w:ascii="Arial" w:hAnsi="Arial" w:cs="Arial"/>
          <w:sz w:val="22"/>
          <w:szCs w:val="22"/>
        </w:rPr>
        <w:t>oncepto CU-180 del 8 de abril de 2022</w:t>
      </w:r>
      <w:r w:rsidR="00D260C6" w:rsidRPr="00481068">
        <w:rPr>
          <w:rFonts w:ascii="Arial" w:hAnsi="Arial" w:cs="Arial"/>
          <w:sz w:val="22"/>
          <w:szCs w:val="22"/>
        </w:rPr>
        <w:t xml:space="preserve">, en el que se efectuaron </w:t>
      </w:r>
      <w:r w:rsidR="00827B78" w:rsidRPr="00481068">
        <w:rPr>
          <w:rFonts w:ascii="Arial" w:hAnsi="Arial" w:cs="Arial"/>
          <w:sz w:val="22"/>
          <w:szCs w:val="22"/>
        </w:rPr>
        <w:t xml:space="preserve">algunas precisiones sobre los Conceptos </w:t>
      </w:r>
      <w:r w:rsidR="00827B78" w:rsidRPr="00481068">
        <w:rPr>
          <w:rFonts w:ascii="Arial" w:hAnsi="Arial" w:cs="Arial"/>
          <w:bCs/>
          <w:sz w:val="22"/>
          <w:szCs w:val="22"/>
        </w:rPr>
        <w:t>C-296 del 22 de junio</w:t>
      </w:r>
      <w:r w:rsidR="00827B78" w:rsidRPr="00481068">
        <w:rPr>
          <w:rFonts w:ascii="Arial" w:hAnsi="Arial" w:cs="Arial"/>
          <w:sz w:val="22"/>
          <w:szCs w:val="22"/>
        </w:rPr>
        <w:t xml:space="preserve"> de 2021, C-559 del 31 de agosto de 2021 y C-100 de 29 de marzo de 2022, relacionados con la aplicación de la Ley de Garantías Electorales frente a la contratación con organismos internacionales. </w:t>
      </w:r>
      <w:bookmarkStart w:id="14" w:name="_Hlk102372764"/>
      <w:bookmarkStart w:id="15" w:name="_Hlk102372981"/>
      <w:r w:rsidR="001D7836" w:rsidRPr="00481068">
        <w:rPr>
          <w:rFonts w:ascii="Arial" w:eastAsia="Calibri" w:hAnsi="Arial" w:cs="Arial"/>
          <w:sz w:val="22"/>
          <w:szCs w:val="22"/>
          <w:lang w:val="es-ES" w:eastAsia="en-US"/>
        </w:rPr>
        <w:t xml:space="preserve">De acuerdo con el artículo 10 de la Ley 1437 de 2011, </w:t>
      </w:r>
      <w:r w:rsidR="00A92816" w:rsidRPr="00481068">
        <w:rPr>
          <w:rFonts w:ascii="Arial" w:eastAsia="Calibri" w:hAnsi="Arial" w:cs="Arial"/>
          <w:sz w:val="22"/>
          <w:szCs w:val="22"/>
          <w:lang w:val="es-ES" w:eastAsia="en-US"/>
        </w:rPr>
        <w:t xml:space="preserve">es necesario tener en cuenta que </w:t>
      </w:r>
      <w:r w:rsidR="001D7836" w:rsidRPr="00481068">
        <w:rPr>
          <w:rFonts w:ascii="Arial" w:eastAsia="Calibri" w:hAnsi="Arial" w:cs="Arial"/>
          <w:sz w:val="22"/>
          <w:szCs w:val="22"/>
          <w:lang w:val="es-ES" w:eastAsia="en-US"/>
        </w:rPr>
        <w:t>«</w:t>
      </w:r>
      <w:r w:rsidR="001D7836" w:rsidRPr="00481068">
        <w:rPr>
          <w:rFonts w:ascii="Arial" w:eastAsia="Calibri" w:hAnsi="Arial" w:cs="Arial"/>
          <w:sz w:val="22"/>
          <w:szCs w:val="22"/>
          <w:lang w:eastAsia="en-US"/>
        </w:rPr>
        <w:t>Al resolver los asuntos de su competencia, las autoridades aplicarán las disposiciones constitucionales, legales y reglamentarias de manera uniforme a situaciones que tengan los mismos supuestos fácticos y jurídicos». Por tanto,</w:t>
      </w:r>
      <w:r w:rsidR="00715BAE" w:rsidRPr="00481068">
        <w:rPr>
          <w:rFonts w:ascii="Arial" w:eastAsia="Calibri" w:hAnsi="Arial" w:cs="Arial"/>
          <w:sz w:val="22"/>
          <w:szCs w:val="22"/>
          <w:lang w:val="es-ES" w:eastAsia="en-US"/>
        </w:rPr>
        <w:t xml:space="preserve"> l</w:t>
      </w:r>
      <w:r w:rsidR="00524963" w:rsidRPr="00481068">
        <w:rPr>
          <w:rFonts w:ascii="Arial" w:eastAsia="Calibri" w:hAnsi="Arial" w:cs="Arial"/>
          <w:sz w:val="22"/>
          <w:szCs w:val="22"/>
          <w:lang w:val="es-ES" w:eastAsia="en-US"/>
        </w:rPr>
        <w:t>a tesi</w:t>
      </w:r>
      <w:r w:rsidR="00D260C6" w:rsidRPr="00481068">
        <w:rPr>
          <w:rFonts w:ascii="Arial" w:eastAsia="Calibri" w:hAnsi="Arial" w:cs="Arial"/>
          <w:sz w:val="22"/>
          <w:szCs w:val="22"/>
          <w:lang w:val="es-ES" w:eastAsia="en-US"/>
        </w:rPr>
        <w:t xml:space="preserve">s </w:t>
      </w:r>
      <w:r w:rsidR="00524963" w:rsidRPr="00481068">
        <w:rPr>
          <w:rFonts w:ascii="Arial" w:eastAsia="Calibri" w:hAnsi="Arial" w:cs="Arial"/>
          <w:sz w:val="22"/>
          <w:szCs w:val="22"/>
          <w:lang w:val="es-ES" w:eastAsia="en-US"/>
        </w:rPr>
        <w:t>desarrollada</w:t>
      </w:r>
      <w:r w:rsidR="00827B78" w:rsidRPr="00481068">
        <w:rPr>
          <w:rFonts w:ascii="Arial" w:eastAsia="Calibri" w:hAnsi="Arial" w:cs="Arial"/>
          <w:sz w:val="22"/>
          <w:szCs w:val="22"/>
          <w:lang w:val="es-ES" w:eastAsia="en-US"/>
        </w:rPr>
        <w:t xml:space="preserve"> en el Concepto de Unificación C</w:t>
      </w:r>
      <w:r w:rsidR="00F80371" w:rsidRPr="00481068">
        <w:rPr>
          <w:rFonts w:ascii="Arial" w:eastAsia="Calibri" w:hAnsi="Arial" w:cs="Arial"/>
          <w:sz w:val="22"/>
          <w:szCs w:val="22"/>
          <w:lang w:val="es-ES" w:eastAsia="en-US"/>
        </w:rPr>
        <w:t>U</w:t>
      </w:r>
      <w:r w:rsidR="00827B78" w:rsidRPr="00481068">
        <w:rPr>
          <w:rFonts w:ascii="Arial" w:eastAsia="Calibri" w:hAnsi="Arial" w:cs="Arial"/>
          <w:sz w:val="22"/>
          <w:szCs w:val="22"/>
          <w:lang w:val="es-ES" w:eastAsia="en-US"/>
        </w:rPr>
        <w:t>-180 del 8 de abril de 2022</w:t>
      </w:r>
      <w:r w:rsidR="00A6049A" w:rsidRPr="00481068">
        <w:rPr>
          <w:rFonts w:ascii="Arial" w:eastAsia="Calibri" w:hAnsi="Arial" w:cs="Arial"/>
          <w:sz w:val="22"/>
          <w:szCs w:val="22"/>
          <w:lang w:val="es-ES" w:eastAsia="en-US"/>
        </w:rPr>
        <w:t xml:space="preserve"> se reitera </w:t>
      </w:r>
      <w:r w:rsidR="00715BAE" w:rsidRPr="00481068">
        <w:rPr>
          <w:rFonts w:ascii="Arial" w:eastAsia="Calibri" w:hAnsi="Arial" w:cs="Arial"/>
          <w:sz w:val="22"/>
          <w:szCs w:val="22"/>
          <w:lang w:val="es-ES" w:eastAsia="en-US"/>
        </w:rPr>
        <w:t>a continuación</w:t>
      </w:r>
      <w:bookmarkEnd w:id="14"/>
      <w:r w:rsidR="00524963" w:rsidRPr="00481068">
        <w:rPr>
          <w:rFonts w:ascii="Arial" w:eastAsia="Calibri" w:hAnsi="Arial" w:cs="Arial"/>
          <w:sz w:val="22"/>
          <w:szCs w:val="22"/>
          <w:lang w:val="es-ES" w:eastAsia="en-US"/>
        </w:rPr>
        <w:t>:</w:t>
      </w:r>
    </w:p>
    <w:bookmarkEnd w:id="15"/>
    <w:p w14:paraId="46D3461E" w14:textId="77777777" w:rsidR="00524963" w:rsidRPr="00481068" w:rsidRDefault="00524963" w:rsidP="00524963">
      <w:pPr>
        <w:spacing w:line="276" w:lineRule="auto"/>
        <w:contextualSpacing/>
        <w:jc w:val="both"/>
        <w:rPr>
          <w:rFonts w:ascii="Arial" w:eastAsia="Calibri" w:hAnsi="Arial" w:cs="Arial"/>
          <w:color w:val="000000"/>
          <w:sz w:val="22"/>
        </w:rPr>
      </w:pPr>
    </w:p>
    <w:p w14:paraId="3235CEC2" w14:textId="77777777" w:rsidR="00524963" w:rsidRPr="00481068" w:rsidRDefault="00524963" w:rsidP="00524963">
      <w:pPr>
        <w:tabs>
          <w:tab w:val="left" w:pos="426"/>
        </w:tabs>
        <w:spacing w:line="276" w:lineRule="auto"/>
        <w:jc w:val="both"/>
        <w:rPr>
          <w:rFonts w:ascii="Arial" w:eastAsia="Calibri" w:hAnsi="Arial" w:cs="Arial"/>
          <w:b/>
          <w:bCs/>
          <w:sz w:val="22"/>
          <w:szCs w:val="22"/>
          <w:lang w:val="es-ES_tradnl" w:eastAsia="en-US"/>
        </w:rPr>
      </w:pPr>
      <w:r w:rsidRPr="00481068">
        <w:rPr>
          <w:rFonts w:ascii="Arial" w:eastAsia="Calibri" w:hAnsi="Arial" w:cs="Arial"/>
          <w:b/>
          <w:bCs/>
          <w:sz w:val="22"/>
          <w:szCs w:val="22"/>
          <w:lang w:val="es-ES_tradnl" w:eastAsia="en-US"/>
        </w:rPr>
        <w:t>2.1. Definición y finalidad de la Ley de Garantías Electorales: alcance de las restricciones</w:t>
      </w:r>
    </w:p>
    <w:p w14:paraId="5549A47E" w14:textId="77777777" w:rsidR="00524963" w:rsidRPr="00481068" w:rsidRDefault="00524963" w:rsidP="00524963">
      <w:pPr>
        <w:tabs>
          <w:tab w:val="left" w:pos="426"/>
        </w:tabs>
        <w:spacing w:line="276" w:lineRule="auto"/>
        <w:ind w:firstLine="709"/>
        <w:jc w:val="both"/>
        <w:rPr>
          <w:rFonts w:ascii="Arial" w:eastAsia="Calibri" w:hAnsi="Arial" w:cs="Arial"/>
          <w:bCs/>
          <w:sz w:val="22"/>
          <w:szCs w:val="22"/>
          <w:lang w:val="es-ES_tradnl" w:eastAsia="en-US"/>
        </w:rPr>
      </w:pPr>
    </w:p>
    <w:p w14:paraId="4BD1B5CA" w14:textId="77777777" w:rsidR="00963B93" w:rsidRPr="00481068" w:rsidRDefault="00963B93" w:rsidP="00963B93">
      <w:pPr>
        <w:tabs>
          <w:tab w:val="left" w:pos="426"/>
        </w:tabs>
        <w:spacing w:after="120" w:line="276" w:lineRule="auto"/>
        <w:jc w:val="both"/>
        <w:rPr>
          <w:rFonts w:ascii="Arial" w:hAnsi="Arial" w:cs="Arial"/>
          <w:bCs/>
          <w:sz w:val="22"/>
          <w:szCs w:val="22"/>
          <w:lang w:eastAsia="es-CO"/>
        </w:rPr>
      </w:pPr>
      <w:r w:rsidRPr="00481068">
        <w:rPr>
          <w:rFonts w:ascii="Arial" w:eastAsia="Calibri" w:hAnsi="Arial" w:cs="Arial"/>
          <w:bCs/>
          <w:sz w:val="22"/>
          <w:szCs w:val="22"/>
        </w:rPr>
        <w:t>El ordenamiento jurídico colombiano contempla previsiones claras para evitar la obtención de beneficios personales en asuntos propios de la administración pública</w:t>
      </w:r>
      <w:r w:rsidRPr="00481068">
        <w:rPr>
          <w:rFonts w:ascii="Arial" w:eastAsia="Calibri" w:hAnsi="Arial" w:cs="Arial"/>
          <w:bCs/>
          <w:i/>
          <w:iCs/>
          <w:sz w:val="22"/>
          <w:szCs w:val="22"/>
        </w:rPr>
        <w:t xml:space="preserve">. </w:t>
      </w:r>
      <w:r w:rsidRPr="00481068">
        <w:rPr>
          <w:rFonts w:ascii="Arial" w:eastAsia="Calibri" w:hAnsi="Arial" w:cs="Arial"/>
          <w:bCs/>
          <w:sz w:val="22"/>
          <w:szCs w:val="22"/>
        </w:rPr>
        <w:t xml:space="preserve">Por ejemplo, el artículo 127 de la Constitución Política establece una prohibición contractual a los </w:t>
      </w:r>
      <w:r w:rsidRPr="00481068">
        <w:rPr>
          <w:rFonts w:ascii="Arial" w:eastAsia="Calibri" w:hAnsi="Arial" w:cs="Arial"/>
          <w:bCs/>
          <w:sz w:val="22"/>
          <w:szCs w:val="22"/>
        </w:rPr>
        <w:lastRenderedPageBreak/>
        <w:t>servidores públicos y en cuanto a aspectos políticos consagra restricciones a ciertos empleados del Estado, incluso en época no electoral</w:t>
      </w:r>
      <w:r w:rsidRPr="00481068">
        <w:rPr>
          <w:rFonts w:ascii="Arial" w:eastAsia="Calibri" w:hAnsi="Arial" w:cs="Arial"/>
          <w:bCs/>
          <w:sz w:val="22"/>
          <w:szCs w:val="22"/>
          <w:vertAlign w:val="superscript"/>
        </w:rPr>
        <w:footnoteReference w:id="3"/>
      </w:r>
      <w:r w:rsidRPr="00481068">
        <w:rPr>
          <w:rFonts w:ascii="Arial" w:eastAsia="Calibri" w:hAnsi="Arial" w:cs="Arial"/>
          <w:bCs/>
          <w:sz w:val="22"/>
          <w:szCs w:val="22"/>
        </w:rPr>
        <w:t xml:space="preserve">. </w:t>
      </w:r>
    </w:p>
    <w:p w14:paraId="4737EA0A" w14:textId="77777777" w:rsidR="00963B93" w:rsidRPr="00481068" w:rsidRDefault="00963B93" w:rsidP="00963B93">
      <w:pPr>
        <w:tabs>
          <w:tab w:val="left" w:pos="426"/>
        </w:tabs>
        <w:spacing w:line="276" w:lineRule="auto"/>
        <w:ind w:firstLine="709"/>
        <w:jc w:val="both"/>
        <w:rPr>
          <w:rFonts w:ascii="Arial" w:hAnsi="Arial" w:cs="Arial"/>
          <w:bCs/>
          <w:sz w:val="22"/>
          <w:szCs w:val="22"/>
          <w:lang w:val="es-MX" w:eastAsia="es-CO"/>
        </w:rPr>
      </w:pPr>
      <w:r w:rsidRPr="00481068">
        <w:rPr>
          <w:rFonts w:ascii="Arial" w:hAnsi="Arial" w:cs="Arial"/>
          <w:bCs/>
          <w:sz w:val="22"/>
          <w:szCs w:val="22"/>
          <w:lang w:eastAsia="es-CO"/>
        </w:rPr>
        <w:t>En el mismo sentido</w:t>
      </w:r>
      <w:r w:rsidRPr="00481068">
        <w:rPr>
          <w:rFonts w:ascii="Arial" w:hAnsi="Arial" w:cs="Arial"/>
          <w:bCs/>
          <w:sz w:val="22"/>
          <w:szCs w:val="22"/>
          <w:lang w:val="es-MX" w:eastAsia="es-CO"/>
        </w:rPr>
        <w:t xml:space="preserve">, </w:t>
      </w:r>
      <w:bookmarkStart w:id="16" w:name="_Hlk99576829"/>
      <w:r w:rsidRPr="00481068">
        <w:rPr>
          <w:rFonts w:ascii="Arial" w:hAnsi="Arial" w:cs="Arial"/>
          <w:bCs/>
          <w:sz w:val="22"/>
          <w:szCs w:val="22"/>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068">
        <w:rPr>
          <w:rFonts w:ascii="Arial" w:hAnsi="Arial" w:cs="Arial"/>
          <w:bCs/>
          <w:sz w:val="22"/>
          <w:szCs w:val="22"/>
          <w:vertAlign w:val="superscript"/>
          <w:lang w:val="es-MX" w:eastAsia="es-CO"/>
        </w:rPr>
        <w:footnoteReference w:id="4"/>
      </w:r>
      <w:r w:rsidRPr="00481068">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eastAsia="Calibri" w:hAnsi="Arial" w:cs="Arial"/>
          <w:noProof/>
          <w:sz w:val="22"/>
          <w:szCs w:val="22"/>
          <w:lang w:val="es-ES_tradnl"/>
        </w:rPr>
        <w:t xml:space="preserve"> </w:t>
      </w:r>
      <w:bookmarkEnd w:id="16"/>
      <w:r w:rsidRPr="00481068">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471A4B70" w14:textId="77777777" w:rsidR="00963B93" w:rsidRPr="00481068" w:rsidRDefault="00963B93" w:rsidP="00963B93">
      <w:pPr>
        <w:spacing w:line="276" w:lineRule="auto"/>
        <w:ind w:right="709"/>
        <w:contextualSpacing/>
        <w:jc w:val="both"/>
        <w:rPr>
          <w:rFonts w:ascii="Arial" w:hAnsi="Arial" w:cs="Arial"/>
          <w:sz w:val="22"/>
          <w:szCs w:val="22"/>
          <w:lang w:val="es-ES" w:eastAsia="es-CO"/>
        </w:rPr>
      </w:pPr>
    </w:p>
    <w:p w14:paraId="0C792F47" w14:textId="11A5A52C" w:rsidR="00963B93" w:rsidRPr="00481068" w:rsidRDefault="00963B93" w:rsidP="00963B93">
      <w:pPr>
        <w:ind w:left="709" w:right="709"/>
        <w:contextualSpacing/>
        <w:jc w:val="both"/>
        <w:rPr>
          <w:rFonts w:ascii="Arial" w:hAnsi="Arial" w:cs="Arial"/>
          <w:bCs/>
          <w:sz w:val="21"/>
          <w:szCs w:val="21"/>
          <w:lang w:val="es-MX" w:eastAsia="es-CO"/>
        </w:rPr>
      </w:pPr>
      <w:r w:rsidRPr="00481068">
        <w:rPr>
          <w:rFonts w:ascii="Arial" w:hAnsi="Arial" w:cs="Arial"/>
          <w:sz w:val="21"/>
          <w:szCs w:val="21"/>
          <w:lang w:val="es-ES" w:eastAsia="es-CO"/>
        </w:rPr>
        <w:t xml:space="preserve">[…] </w:t>
      </w:r>
      <w:r w:rsidRPr="00481068">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20178193" w14:textId="77777777" w:rsidR="00963B93" w:rsidRPr="00481068" w:rsidRDefault="00963B93" w:rsidP="00963B93">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 xml:space="preserve">[…] </w:t>
      </w:r>
    </w:p>
    <w:p w14:paraId="40D2A285" w14:textId="77777777" w:rsidR="00963B93" w:rsidRPr="00481068" w:rsidRDefault="00963B93" w:rsidP="00AF5B0E">
      <w:pPr>
        <w:ind w:right="709"/>
        <w:contextualSpacing/>
        <w:jc w:val="both"/>
        <w:rPr>
          <w:rFonts w:ascii="Arial" w:hAnsi="Arial" w:cs="Arial"/>
          <w:bCs/>
          <w:sz w:val="21"/>
          <w:szCs w:val="21"/>
          <w:lang w:val="es-MX" w:eastAsia="es-CO"/>
        </w:rPr>
      </w:pPr>
    </w:p>
    <w:p w14:paraId="6BB1920B" w14:textId="77777777" w:rsidR="00963B93" w:rsidRPr="00481068" w:rsidRDefault="00963B93" w:rsidP="00963B93">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068">
        <w:rPr>
          <w:rFonts w:ascii="Arial" w:eastAsia="Calibri" w:hAnsi="Arial" w:cs="Arial"/>
          <w:sz w:val="20"/>
          <w:szCs w:val="20"/>
          <w:vertAlign w:val="superscript"/>
          <w:lang w:val="es-MX"/>
        </w:rPr>
        <w:footnoteReference w:id="5"/>
      </w:r>
    </w:p>
    <w:p w14:paraId="163CA603" w14:textId="77777777" w:rsidR="00963B93" w:rsidRPr="00481068" w:rsidRDefault="00963B93" w:rsidP="00963B93">
      <w:pPr>
        <w:spacing w:line="276" w:lineRule="auto"/>
        <w:ind w:left="709" w:right="709"/>
        <w:contextualSpacing/>
        <w:jc w:val="both"/>
        <w:rPr>
          <w:rFonts w:ascii="Arial" w:hAnsi="Arial" w:cs="Arial"/>
          <w:bCs/>
          <w:sz w:val="22"/>
          <w:szCs w:val="22"/>
          <w:lang w:val="es-MX" w:eastAsia="es-CO"/>
        </w:rPr>
      </w:pPr>
    </w:p>
    <w:p w14:paraId="2FB977DD" w14:textId="1ABE36B1" w:rsidR="00963B93" w:rsidRPr="00481068" w:rsidRDefault="00963B93" w:rsidP="00963B93">
      <w:pPr>
        <w:spacing w:line="276" w:lineRule="auto"/>
        <w:ind w:firstLine="709"/>
        <w:jc w:val="both"/>
        <w:rPr>
          <w:rFonts w:ascii="Arial" w:hAnsi="Arial" w:cs="Arial"/>
          <w:bCs/>
          <w:sz w:val="22"/>
          <w:szCs w:val="22"/>
          <w:lang w:val="es-MX" w:eastAsia="es-CO"/>
        </w:rPr>
      </w:pPr>
      <w:bookmarkStart w:id="17" w:name="_Hlk78818186"/>
      <w:r w:rsidRPr="00481068">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7"/>
      <w:r w:rsidRPr="00481068">
        <w:rPr>
          <w:rFonts w:ascii="Arial" w:hAnsi="Arial" w:cs="Arial"/>
          <w:bCs/>
          <w:sz w:val="22"/>
          <w:szCs w:val="22"/>
          <w:lang w:val="es-MX" w:eastAsia="es-CO"/>
        </w:rPr>
        <w:t xml:space="preserve">Por ello, varias de las disposiciones de </w:t>
      </w:r>
      <w:r w:rsidRPr="00481068">
        <w:rPr>
          <w:rFonts w:ascii="Arial" w:hAnsi="Arial" w:cs="Arial"/>
          <w:bCs/>
          <w:sz w:val="22"/>
          <w:szCs w:val="22"/>
          <w:lang w:val="es-MX" w:eastAsia="es-CO"/>
        </w:rPr>
        <w:lastRenderedPageBreak/>
        <w:t>la Ley 996 de 2005, al contener normas prohibitivas, no admiten una interpretación amplia, sino que deben interpretarse restrictivamente. En efecto, la Sala de Consulta y Servicio Civil del Consejo de Estado, precisó lo siguiente:</w:t>
      </w:r>
    </w:p>
    <w:p w14:paraId="79382AA7" w14:textId="77777777" w:rsidR="00963B93" w:rsidRPr="00481068" w:rsidRDefault="00963B93" w:rsidP="00963B93">
      <w:pPr>
        <w:spacing w:line="276" w:lineRule="auto"/>
        <w:ind w:firstLine="709"/>
        <w:contextualSpacing/>
        <w:jc w:val="both"/>
        <w:rPr>
          <w:rFonts w:ascii="Arial" w:hAnsi="Arial" w:cs="Arial"/>
          <w:bCs/>
          <w:sz w:val="22"/>
          <w:szCs w:val="22"/>
          <w:lang w:val="es-MX" w:eastAsia="es-CO"/>
        </w:rPr>
      </w:pPr>
    </w:p>
    <w:p w14:paraId="7AC952E8" w14:textId="77777777" w:rsidR="00963B93" w:rsidRPr="00481068" w:rsidRDefault="00963B93" w:rsidP="00963B93">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87E936E" w14:textId="77777777" w:rsidR="00963B93" w:rsidRPr="00481068" w:rsidRDefault="00963B93" w:rsidP="00963B93">
      <w:pPr>
        <w:ind w:left="709" w:right="709"/>
        <w:contextualSpacing/>
        <w:jc w:val="both"/>
        <w:rPr>
          <w:rFonts w:ascii="Arial" w:hAnsi="Arial" w:cs="Arial"/>
          <w:bCs/>
          <w:sz w:val="21"/>
          <w:szCs w:val="21"/>
          <w:lang w:val="es-MX" w:eastAsia="es-CO"/>
        </w:rPr>
      </w:pPr>
    </w:p>
    <w:p w14:paraId="4AEAB442" w14:textId="77777777" w:rsidR="00963B93" w:rsidRPr="00481068" w:rsidRDefault="00963B93" w:rsidP="00963B93">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La jurisprudencia de la Corte Constitucional</w:t>
      </w:r>
      <w:r w:rsidRPr="00481068">
        <w:rPr>
          <w:rFonts w:ascii="Arial" w:hAnsi="Arial" w:cs="Arial"/>
          <w:bCs/>
          <w:sz w:val="21"/>
          <w:szCs w:val="21"/>
          <w:vertAlign w:val="superscript"/>
          <w:lang w:val="es-MX" w:eastAsia="es-CO"/>
        </w:rPr>
        <w:footnoteReference w:id="6"/>
      </w:r>
      <w:r w:rsidRPr="00481068">
        <w:rPr>
          <w:rFonts w:ascii="Arial" w:hAnsi="Arial" w:cs="Arial"/>
          <w:bCs/>
          <w:sz w:val="21"/>
          <w:szCs w:val="21"/>
          <w:lang w:val="es-MX" w:eastAsia="es-CO"/>
        </w:rPr>
        <w:t> y del Consejo de Estado</w:t>
      </w:r>
      <w:r w:rsidRPr="00481068">
        <w:rPr>
          <w:rFonts w:ascii="Arial" w:hAnsi="Arial" w:cs="Arial"/>
          <w:bCs/>
          <w:sz w:val="21"/>
          <w:szCs w:val="21"/>
          <w:vertAlign w:val="superscript"/>
          <w:lang w:val="es-MX" w:eastAsia="es-CO"/>
        </w:rPr>
        <w:footnoteReference w:id="7"/>
      </w:r>
      <w:r w:rsidRPr="00481068">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81068">
        <w:rPr>
          <w:rFonts w:ascii="Arial" w:hAnsi="Arial" w:cs="Arial"/>
          <w:bCs/>
          <w:vertAlign w:val="superscript"/>
          <w:lang w:val="es-MX" w:eastAsia="es-CO"/>
        </w:rPr>
        <w:footnoteReference w:id="8"/>
      </w:r>
      <w:r w:rsidRPr="00481068">
        <w:rPr>
          <w:rFonts w:ascii="Arial" w:hAnsi="Arial" w:cs="Arial"/>
          <w:bCs/>
          <w:sz w:val="21"/>
          <w:szCs w:val="21"/>
          <w:lang w:val="es-MX" w:eastAsia="es-CO"/>
        </w:rPr>
        <w:t>.</w:t>
      </w:r>
    </w:p>
    <w:p w14:paraId="291224E4" w14:textId="77777777" w:rsidR="00963B93" w:rsidRPr="00481068" w:rsidRDefault="00963B93" w:rsidP="00963B93">
      <w:pPr>
        <w:spacing w:line="276" w:lineRule="auto"/>
        <w:ind w:right="709"/>
        <w:contextualSpacing/>
        <w:jc w:val="both"/>
        <w:rPr>
          <w:rFonts w:ascii="Arial" w:hAnsi="Arial" w:cs="Arial"/>
          <w:bCs/>
          <w:sz w:val="22"/>
          <w:szCs w:val="22"/>
          <w:lang w:val="es-MX" w:eastAsia="es-CO"/>
        </w:rPr>
      </w:pPr>
    </w:p>
    <w:p w14:paraId="381DFB4C" w14:textId="06B149F2" w:rsidR="00963B93" w:rsidRPr="00481068" w:rsidRDefault="00963B93" w:rsidP="00963B93">
      <w:pPr>
        <w:spacing w:after="120" w:line="276" w:lineRule="auto"/>
        <w:jc w:val="both"/>
        <w:rPr>
          <w:rFonts w:ascii="Arial" w:eastAsia="Arial" w:hAnsi="Arial" w:cs="Arial"/>
          <w:sz w:val="22"/>
          <w:szCs w:val="22"/>
          <w:lang w:val="es-ES" w:eastAsia="es-ES" w:bidi="es-ES"/>
        </w:rPr>
      </w:pPr>
      <w:r w:rsidRPr="00481068">
        <w:rPr>
          <w:rFonts w:ascii="Arial" w:hAnsi="Arial" w:cs="Arial"/>
          <w:bCs/>
          <w:sz w:val="22"/>
          <w:szCs w:val="22"/>
          <w:lang w:val="es-MX" w:eastAsia="es-CO"/>
        </w:rPr>
        <w:tab/>
        <w:t>De</w:t>
      </w:r>
      <w:r w:rsidRPr="00481068">
        <w:rPr>
          <w:rFonts w:ascii="Arial" w:eastAsia="Arial" w:hAnsi="Arial" w:cs="Arial"/>
          <w:sz w:val="22"/>
          <w:szCs w:val="22"/>
          <w:lang w:val="es-ES" w:eastAsia="es-ES" w:bidi="es-ES"/>
        </w:rPr>
        <w:t xml:space="preserve"> conformidad con lo anterior, </w:t>
      </w:r>
      <w:bookmarkStart w:id="18" w:name="_Hlk77236098"/>
      <w:r w:rsidRPr="00481068">
        <w:rPr>
          <w:rFonts w:ascii="Arial" w:eastAsia="Arial" w:hAnsi="Arial" w:cs="Arial"/>
          <w:sz w:val="22"/>
          <w:szCs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8"/>
    </w:p>
    <w:p w14:paraId="713E5C7C" w14:textId="77777777" w:rsidR="00963B93" w:rsidRPr="00481068" w:rsidRDefault="00963B93" w:rsidP="00963B93">
      <w:pPr>
        <w:spacing w:after="120" w:line="276" w:lineRule="auto"/>
        <w:ind w:firstLine="708"/>
        <w:jc w:val="both"/>
        <w:rPr>
          <w:rFonts w:ascii="Arial" w:eastAsia="Calibri" w:hAnsi="Arial" w:cs="Arial"/>
          <w:sz w:val="22"/>
          <w:szCs w:val="22"/>
        </w:rPr>
      </w:pPr>
      <w:r w:rsidRPr="00481068">
        <w:rPr>
          <w:rFonts w:ascii="Arial" w:eastAsia="Calibri" w:hAnsi="Arial" w:cs="Arial"/>
          <w:sz w:val="22"/>
          <w:szCs w:val="22"/>
        </w:rPr>
        <w:lastRenderedPageBreak/>
        <w:t xml:space="preserve">Por un lado, el artículo 33 de la Ley 996 de 2005 prohíbe </w:t>
      </w:r>
      <w:r w:rsidRPr="00481068">
        <w:rPr>
          <w:rFonts w:ascii="Arial" w:eastAsia="Calibri" w:hAnsi="Arial" w:cs="Arial"/>
          <w:bCs/>
          <w:sz w:val="22"/>
          <w:szCs w:val="22"/>
        </w:rPr>
        <w:t xml:space="preserve">«[…] </w:t>
      </w:r>
      <w:r w:rsidRPr="00481068">
        <w:rPr>
          <w:rFonts w:ascii="Arial" w:eastAsia="Calibri" w:hAnsi="Arial" w:cs="Arial"/>
          <w:sz w:val="22"/>
          <w:szCs w:val="22"/>
        </w:rPr>
        <w:t>la contratación directa por parte de todos los entes del Estado</w:t>
      </w:r>
      <w:r w:rsidRPr="00481068">
        <w:rPr>
          <w:rFonts w:ascii="Arial" w:eastAsia="Calibri" w:hAnsi="Arial" w:cs="Arial"/>
          <w:bCs/>
          <w:sz w:val="22"/>
          <w:szCs w:val="22"/>
        </w:rPr>
        <w:t>»</w:t>
      </w:r>
      <w:r w:rsidRPr="00481068">
        <w:rPr>
          <w:rFonts w:ascii="Arial" w:eastAsia="Calibri" w:hAnsi="Arial" w:cs="Arial"/>
          <w:sz w:val="22"/>
          <w:szCs w:val="22"/>
        </w:rPr>
        <w:t xml:space="preserve"> durante los cuatro (4) meses anteriores a las elecciones presidenciales, salvo </w:t>
      </w:r>
      <w:r w:rsidRPr="00481068">
        <w:rPr>
          <w:rFonts w:ascii="Arial" w:eastAsia="Calibri" w:hAnsi="Arial" w:cs="Arial"/>
          <w:bCs/>
          <w:sz w:val="22"/>
          <w:szCs w:val="22"/>
        </w:rPr>
        <w:t xml:space="preserve">«[…] </w:t>
      </w:r>
      <w:r w:rsidRPr="00481068">
        <w:rPr>
          <w:rFonts w:ascii="Arial" w:eastAsia="Calibri" w:hAnsi="Arial" w:cs="Arial"/>
          <w:sz w:val="22"/>
          <w:szCs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eastAsia="Calibri" w:hAnsi="Arial" w:cs="Arial"/>
          <w:bCs/>
          <w:sz w:val="22"/>
          <w:szCs w:val="22"/>
        </w:rPr>
        <w:t>»</w:t>
      </w:r>
      <w:r w:rsidRPr="00481068">
        <w:rPr>
          <w:rFonts w:ascii="Arial" w:eastAsia="Calibri" w:hAnsi="Arial" w:cs="Arial"/>
          <w:bCs/>
          <w:sz w:val="22"/>
          <w:szCs w:val="22"/>
          <w:vertAlign w:val="superscript"/>
        </w:rPr>
        <w:footnoteReference w:id="9"/>
      </w:r>
      <w:r w:rsidRPr="00481068">
        <w:rPr>
          <w:rFonts w:ascii="Arial" w:eastAsia="Calibri" w:hAnsi="Arial" w:cs="Arial"/>
          <w:sz w:val="22"/>
          <w:szCs w:val="22"/>
        </w:rPr>
        <w:t>.</w:t>
      </w:r>
    </w:p>
    <w:p w14:paraId="006F0500" w14:textId="77777777" w:rsidR="00963B93" w:rsidRPr="00481068" w:rsidRDefault="00963B93" w:rsidP="00963B93">
      <w:pPr>
        <w:widowControl w:val="0"/>
        <w:autoSpaceDE w:val="0"/>
        <w:autoSpaceDN w:val="0"/>
        <w:spacing w:line="276" w:lineRule="auto"/>
        <w:ind w:right="113" w:firstLine="708"/>
        <w:contextualSpacing/>
        <w:jc w:val="both"/>
        <w:rPr>
          <w:rFonts w:ascii="Arial" w:eastAsia="Arial" w:hAnsi="Arial" w:cs="Arial"/>
          <w:sz w:val="22"/>
          <w:szCs w:val="22"/>
          <w:lang w:val="es-ES" w:eastAsia="es-ES" w:bidi="es-ES"/>
        </w:rPr>
      </w:pPr>
      <w:r w:rsidRPr="00481068">
        <w:rPr>
          <w:rFonts w:ascii="Arial" w:eastAsia="Calibri" w:hAnsi="Arial" w:cs="Arial"/>
          <w:sz w:val="22"/>
          <w:szCs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068">
        <w:rPr>
          <w:rFonts w:ascii="Arial" w:eastAsia="Calibri" w:hAnsi="Arial" w:cs="Arial"/>
          <w:bCs/>
          <w:sz w:val="22"/>
          <w:szCs w:val="22"/>
        </w:rPr>
        <w:t xml:space="preserve">«[…] </w:t>
      </w:r>
      <w:r w:rsidRPr="00481068">
        <w:rPr>
          <w:rFonts w:ascii="Arial" w:eastAsia="Calibri" w:hAnsi="Arial"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eastAsia="Calibri" w:hAnsi="Arial" w:cs="Arial"/>
          <w:bCs/>
          <w:sz w:val="22"/>
          <w:szCs w:val="22"/>
        </w:rPr>
        <w:t>»</w:t>
      </w:r>
      <w:r w:rsidRPr="00481068">
        <w:rPr>
          <w:rFonts w:ascii="Arial" w:eastAsia="Calibri" w:hAnsi="Arial" w:cs="Arial"/>
          <w:bCs/>
          <w:sz w:val="22"/>
          <w:szCs w:val="22"/>
          <w:vertAlign w:val="superscript"/>
        </w:rPr>
        <w:footnoteReference w:id="10"/>
      </w:r>
      <w:r w:rsidRPr="00481068">
        <w:rPr>
          <w:rFonts w:ascii="Arial" w:eastAsia="Calibri" w:hAnsi="Arial" w:cs="Arial"/>
          <w:sz w:val="22"/>
          <w:szCs w:val="22"/>
          <w:lang w:val="es-MX"/>
        </w:rPr>
        <w:t>.</w:t>
      </w:r>
      <w:r w:rsidRPr="00481068">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E1F7F88" w14:textId="77777777" w:rsidR="00963B93" w:rsidRPr="00481068" w:rsidRDefault="00963B93" w:rsidP="00963B93">
      <w:pPr>
        <w:widowControl w:val="0"/>
        <w:autoSpaceDE w:val="0"/>
        <w:autoSpaceDN w:val="0"/>
        <w:spacing w:line="276" w:lineRule="auto"/>
        <w:ind w:left="805" w:right="812"/>
        <w:contextualSpacing/>
        <w:jc w:val="both"/>
        <w:rPr>
          <w:rFonts w:ascii="Arial" w:eastAsia="Arial" w:hAnsi="Arial" w:cs="Arial"/>
          <w:sz w:val="22"/>
          <w:szCs w:val="22"/>
          <w:lang w:val="es-ES" w:eastAsia="es-ES" w:bidi="es-ES"/>
        </w:rPr>
      </w:pPr>
    </w:p>
    <w:p w14:paraId="596C5687" w14:textId="77777777" w:rsidR="00963B93" w:rsidRPr="00481068" w:rsidRDefault="00963B93" w:rsidP="00963B93">
      <w:pPr>
        <w:widowControl w:val="0"/>
        <w:autoSpaceDE w:val="0"/>
        <w:autoSpaceDN w:val="0"/>
        <w:ind w:left="709" w:right="709"/>
        <w:contextualSpacing/>
        <w:jc w:val="both"/>
        <w:rPr>
          <w:rFonts w:ascii="Arial" w:eastAsia="Arial" w:hAnsi="Arial" w:cs="Arial"/>
          <w:sz w:val="21"/>
          <w:szCs w:val="21"/>
          <w:lang w:val="es-ES" w:eastAsia="es-ES" w:bidi="es-ES"/>
        </w:rPr>
      </w:pPr>
      <w:r w:rsidRPr="0048106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Pr="00481068">
        <w:rPr>
          <w:rFonts w:ascii="Arial" w:eastAsia="Arial" w:hAnsi="Arial" w:cs="Arial"/>
          <w:sz w:val="21"/>
          <w:szCs w:val="21"/>
          <w:lang w:val="es-ES" w:eastAsia="es-ES" w:bidi="es-ES"/>
        </w:rPr>
        <w:t xml:space="preserve">se </w:t>
      </w:r>
      <w:r w:rsidRPr="00481068">
        <w:rPr>
          <w:rFonts w:ascii="Arial" w:eastAsia="Arial" w:hAnsi="Arial" w:cs="Arial"/>
          <w:sz w:val="21"/>
          <w:szCs w:val="21"/>
          <w:lang w:val="es-ES" w:eastAsia="es-ES" w:bidi="es-ES"/>
        </w:rPr>
        <w:lastRenderedPageBreak/>
        <w:t>integran parcialmente</w:t>
      </w:r>
      <w:bookmarkEnd w:id="21"/>
      <w:r w:rsidRPr="0048106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068">
        <w:rPr>
          <w:rFonts w:ascii="Arial" w:eastAsia="Arial" w:hAnsi="Arial" w:cs="Arial"/>
          <w:bCs/>
          <w:sz w:val="21"/>
          <w:szCs w:val="21"/>
          <w:lang w:val="es-ES" w:eastAsia="es-ES" w:bidi="es-ES"/>
        </w:rPr>
        <w:t xml:space="preserve">En cambio, para elecciones en general, excluyendo las correspondientes a </w:t>
      </w:r>
      <w:proofErr w:type="gramStart"/>
      <w:r w:rsidRPr="00481068">
        <w:rPr>
          <w:rFonts w:ascii="Arial" w:eastAsia="Arial" w:hAnsi="Arial" w:cs="Arial"/>
          <w:bCs/>
          <w:sz w:val="21"/>
          <w:szCs w:val="21"/>
          <w:lang w:val="es-ES" w:eastAsia="es-ES" w:bidi="es-ES"/>
        </w:rPr>
        <w:t>Presidente</w:t>
      </w:r>
      <w:proofErr w:type="gramEnd"/>
      <w:r w:rsidRPr="00481068">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81068">
        <w:rPr>
          <w:rFonts w:ascii="Arial" w:eastAsia="Arial" w:hAnsi="Arial" w:cs="Arial"/>
          <w:sz w:val="21"/>
          <w:szCs w:val="21"/>
          <w:lang w:val="es-ES" w:eastAsia="es-ES" w:bidi="es-ES"/>
        </w:rPr>
        <w:t>.</w:t>
      </w:r>
      <w:r w:rsidRPr="00481068">
        <w:rPr>
          <w:rFonts w:ascii="Arial" w:eastAsia="Arial" w:hAnsi="Arial" w:cs="Arial"/>
          <w:sz w:val="21"/>
          <w:szCs w:val="21"/>
          <w:vertAlign w:val="superscript"/>
          <w:lang w:val="es-ES" w:eastAsia="es-ES" w:bidi="es-ES"/>
        </w:rPr>
        <w:footnoteReference w:id="11"/>
      </w:r>
    </w:p>
    <w:p w14:paraId="2C406158" w14:textId="77777777" w:rsidR="00963B93" w:rsidRPr="00481068" w:rsidRDefault="00963B93" w:rsidP="00963B93">
      <w:pPr>
        <w:widowControl w:val="0"/>
        <w:autoSpaceDE w:val="0"/>
        <w:autoSpaceDN w:val="0"/>
        <w:spacing w:line="276" w:lineRule="auto"/>
        <w:contextualSpacing/>
        <w:rPr>
          <w:rFonts w:ascii="Arial" w:eastAsia="Arial" w:hAnsi="Arial" w:cs="Arial"/>
          <w:sz w:val="22"/>
          <w:szCs w:val="22"/>
          <w:lang w:val="es-ES" w:eastAsia="es-ES" w:bidi="es-ES"/>
        </w:rPr>
      </w:pPr>
    </w:p>
    <w:p w14:paraId="3CE340D0" w14:textId="77777777" w:rsidR="00963B93" w:rsidRPr="00481068" w:rsidRDefault="00963B93" w:rsidP="00963B93">
      <w:pPr>
        <w:spacing w:after="120" w:line="276" w:lineRule="auto"/>
        <w:ind w:firstLine="709"/>
        <w:jc w:val="both"/>
        <w:rPr>
          <w:rFonts w:ascii="Arial" w:eastAsia="Arial" w:hAnsi="Arial" w:cs="Arial"/>
          <w:sz w:val="22"/>
          <w:szCs w:val="22"/>
          <w:lang w:val="es-ES" w:eastAsia="es-ES" w:bidi="es-ES"/>
        </w:rPr>
      </w:pPr>
      <w:r w:rsidRPr="00481068">
        <w:rPr>
          <w:rFonts w:ascii="Arial" w:eastAsia="Arial" w:hAnsi="Arial" w:cs="Arial"/>
          <w:sz w:val="22"/>
          <w:szCs w:val="22"/>
          <w:lang w:val="es-ES" w:eastAsia="es-ES" w:bidi="es-ES"/>
        </w:rPr>
        <w:t xml:space="preserve">De conformidad con lo anterior, </w:t>
      </w:r>
      <w:bookmarkStart w:id="22" w:name="_Hlk77236420"/>
      <w:bookmarkStart w:id="23" w:name="_Hlk78818435"/>
      <w:bookmarkStart w:id="24" w:name="_Hlk75780333"/>
      <w:r w:rsidRPr="00481068">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481068">
        <w:rPr>
          <w:rFonts w:ascii="Arial" w:eastAsia="Arial" w:hAnsi="Arial" w:cs="Arial"/>
          <w:i/>
          <w:iCs/>
          <w:sz w:val="22"/>
          <w:szCs w:val="22"/>
          <w:lang w:val="es-ES" w:eastAsia="es-ES" w:bidi="es-ES"/>
        </w:rPr>
        <w:t>En primer lugar</w:t>
      </w:r>
      <w:r w:rsidRPr="00481068">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068">
        <w:rPr>
          <w:rFonts w:ascii="Arial" w:eastAsia="Arial" w:hAnsi="Arial" w:cs="Arial"/>
          <w:i/>
          <w:iCs/>
          <w:sz w:val="22"/>
          <w:szCs w:val="22"/>
          <w:lang w:val="es-ES" w:eastAsia="es-ES" w:bidi="es-ES"/>
        </w:rPr>
        <w:t>En segundo lugar</w:t>
      </w:r>
      <w:r w:rsidRPr="00481068">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2"/>
    </w:p>
    <w:bookmarkEnd w:id="23"/>
    <w:p w14:paraId="753A4F37" w14:textId="77777777" w:rsidR="00963B93" w:rsidRPr="00481068" w:rsidRDefault="00963B93" w:rsidP="00963B93">
      <w:pPr>
        <w:spacing w:after="120" w:line="276" w:lineRule="auto"/>
        <w:ind w:firstLine="709"/>
        <w:jc w:val="both"/>
        <w:rPr>
          <w:rFonts w:ascii="Arial" w:eastAsia="Arial" w:hAnsi="Arial" w:cs="Arial"/>
          <w:sz w:val="22"/>
          <w:szCs w:val="22"/>
          <w:lang w:val="es-ES" w:eastAsia="es-ES" w:bidi="es-ES"/>
        </w:rPr>
      </w:pPr>
      <w:r w:rsidRPr="00481068">
        <w:rPr>
          <w:rFonts w:ascii="Arial" w:eastAsia="Arial" w:hAnsi="Arial" w:cs="Arial"/>
          <w:sz w:val="22"/>
          <w:szCs w:val="22"/>
          <w:lang w:val="es-ES" w:eastAsia="es-ES" w:bidi="es-ES"/>
        </w:rPr>
        <w:t xml:space="preserve">Ambas restricciones no son excluyentes, lo que permite concluir que en el período preelectoral para elección de </w:t>
      </w:r>
      <w:proofErr w:type="gramStart"/>
      <w:r w:rsidRPr="00481068">
        <w:rPr>
          <w:rFonts w:ascii="Arial" w:eastAsia="Arial" w:hAnsi="Arial" w:cs="Arial"/>
          <w:sz w:val="22"/>
          <w:szCs w:val="22"/>
          <w:lang w:val="es-ES" w:eastAsia="es-ES" w:bidi="es-ES"/>
        </w:rPr>
        <w:t>Presidente</w:t>
      </w:r>
      <w:proofErr w:type="gramEnd"/>
      <w:r w:rsidRPr="00481068">
        <w:rPr>
          <w:rFonts w:ascii="Arial" w:eastAsia="Arial" w:hAnsi="Arial" w:cs="Arial"/>
          <w:sz w:val="22"/>
          <w:szCs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1068">
        <w:rPr>
          <w:rFonts w:ascii="Arial" w:eastAsia="Arial" w:hAnsi="Arial" w:cs="Arial"/>
          <w:sz w:val="22"/>
          <w:szCs w:val="22"/>
          <w:lang w:val="es-ES" w:eastAsia="es-ES" w:bidi="es-ES"/>
        </w:rPr>
        <w:t>Presidente</w:t>
      </w:r>
      <w:proofErr w:type="gramEnd"/>
      <w:r w:rsidRPr="00481068">
        <w:rPr>
          <w:rFonts w:ascii="Arial" w:eastAsia="Arial" w:hAnsi="Arial" w:cs="Arial"/>
          <w:sz w:val="22"/>
          <w:szCs w:val="22"/>
          <w:lang w:val="es-ES" w:eastAsia="es-ES" w:bidi="es-ES"/>
        </w:rPr>
        <w:t xml:space="preserve"> de la República, las autoridades allí mencionadas sólo deben aplicar las restricciones contenidas en el parágrafo del artículo 38.</w:t>
      </w:r>
    </w:p>
    <w:bookmarkEnd w:id="24"/>
    <w:p w14:paraId="5121E9E1" w14:textId="58FDE126" w:rsidR="00524963" w:rsidRPr="00481068" w:rsidRDefault="00963B93" w:rsidP="00963B93">
      <w:pPr>
        <w:spacing w:before="120" w:line="276" w:lineRule="auto"/>
        <w:ind w:firstLine="708"/>
        <w:jc w:val="both"/>
        <w:rPr>
          <w:rFonts w:ascii="Arial" w:eastAsia="Arial" w:hAnsi="Arial" w:cs="Arial"/>
          <w:sz w:val="22"/>
          <w:szCs w:val="22"/>
          <w:lang w:val="es-ES_tradnl" w:eastAsia="es-ES" w:bidi="es-ES"/>
        </w:rPr>
      </w:pPr>
      <w:r w:rsidRPr="00481068">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81068">
        <w:rPr>
          <w:rFonts w:ascii="Arial" w:eastAsia="Arial" w:hAnsi="Arial" w:cs="Arial"/>
          <w:sz w:val="22"/>
          <w:szCs w:val="22"/>
          <w:lang w:val="es-ES" w:eastAsia="es-ES" w:bidi="es-ES"/>
        </w:rPr>
        <w:t>Presidente</w:t>
      </w:r>
      <w:proofErr w:type="gramEnd"/>
      <w:r w:rsidRPr="00481068">
        <w:rPr>
          <w:rFonts w:ascii="Arial" w:eastAsia="Arial" w:hAnsi="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w:t>
      </w:r>
      <w:r w:rsidRPr="00481068">
        <w:rPr>
          <w:rFonts w:ascii="Arial" w:eastAsia="Arial" w:hAnsi="Arial" w:cs="Arial"/>
          <w:sz w:val="22"/>
          <w:szCs w:val="22"/>
          <w:lang w:val="es-ES" w:eastAsia="es-ES" w:bidi="es-ES"/>
        </w:rPr>
        <w:lastRenderedPageBreak/>
        <w:t xml:space="preserve">que no haya ejercido la presidencia o que la haya ejercido por un tiempo inferior a tres (3) meses durante el respectivo cuatrienio, en forma continua o discontinua, conforme al artículo 197 de la Constitución Política.  </w:t>
      </w:r>
    </w:p>
    <w:p w14:paraId="1D163A2D" w14:textId="77777777" w:rsidR="00524963" w:rsidRPr="00481068" w:rsidRDefault="00524963" w:rsidP="00524963">
      <w:pPr>
        <w:spacing w:line="276" w:lineRule="auto"/>
        <w:jc w:val="both"/>
        <w:rPr>
          <w:rFonts w:ascii="Arial" w:eastAsia="Arial" w:hAnsi="Arial" w:cs="Arial"/>
          <w:sz w:val="22"/>
          <w:szCs w:val="22"/>
          <w:lang w:val="es-ES_tradnl" w:eastAsia="es-ES" w:bidi="es-ES"/>
        </w:rPr>
      </w:pPr>
    </w:p>
    <w:p w14:paraId="78C2973A" w14:textId="77777777" w:rsidR="00524963" w:rsidRPr="00481068" w:rsidRDefault="00524963" w:rsidP="00524963">
      <w:pPr>
        <w:spacing w:line="276" w:lineRule="auto"/>
        <w:jc w:val="both"/>
        <w:rPr>
          <w:rFonts w:ascii="Arial" w:eastAsia="Calibri" w:hAnsi="Arial" w:cs="Arial"/>
          <w:b/>
          <w:sz w:val="22"/>
          <w:szCs w:val="22"/>
          <w:lang w:val="es-ES_tradnl" w:eastAsia="es-CO"/>
        </w:rPr>
      </w:pPr>
      <w:r w:rsidRPr="00481068">
        <w:rPr>
          <w:rFonts w:ascii="Arial" w:eastAsia="Calibri" w:hAnsi="Arial" w:cs="Arial"/>
          <w:b/>
          <w:sz w:val="22"/>
          <w:szCs w:val="22"/>
          <w:lang w:val="es-ES_tradnl" w:eastAsia="es-CO"/>
        </w:rPr>
        <w:t xml:space="preserve">2.2. </w:t>
      </w:r>
      <w:r w:rsidRPr="00481068">
        <w:rPr>
          <w:rFonts w:ascii="Arial" w:eastAsia="Calibri" w:hAnsi="Arial" w:cs="Arial"/>
          <w:b/>
          <w:bCs/>
          <w:sz w:val="22"/>
          <w:szCs w:val="22"/>
          <w:lang w:val="es-ES_tradnl" w:eastAsia="es-CO"/>
        </w:rPr>
        <w:t>Restricciones en elecciones presidenciales: prohibición del artículo 33 de la Ley 996 de 2005</w:t>
      </w:r>
    </w:p>
    <w:p w14:paraId="5C3085D4" w14:textId="77777777" w:rsidR="00524963" w:rsidRPr="00481068" w:rsidRDefault="00524963" w:rsidP="00524963">
      <w:pPr>
        <w:spacing w:line="276" w:lineRule="auto"/>
        <w:jc w:val="both"/>
        <w:rPr>
          <w:rFonts w:ascii="Arial" w:eastAsia="Calibri" w:hAnsi="Arial" w:cs="Arial"/>
          <w:bCs/>
          <w:sz w:val="22"/>
          <w:szCs w:val="22"/>
          <w:lang w:val="es-ES_tradnl" w:eastAsia="x-none"/>
        </w:rPr>
      </w:pPr>
    </w:p>
    <w:p w14:paraId="4C8AF64C" w14:textId="77777777" w:rsidR="00524963" w:rsidRPr="00481068" w:rsidRDefault="00524963" w:rsidP="00524963">
      <w:pPr>
        <w:spacing w:line="276" w:lineRule="auto"/>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x-none"/>
        </w:rPr>
        <w:t xml:space="preserve">El ámbito material de la prohibición contenida en el artículo 33 de la ley 996 de 2005 está delimitado por la expresión </w:t>
      </w:r>
      <w:r w:rsidRPr="00481068">
        <w:rPr>
          <w:rFonts w:ascii="Arial" w:eastAsia="Calibri" w:hAnsi="Arial" w:cs="Arial"/>
          <w:bCs/>
          <w:sz w:val="20"/>
          <w:szCs w:val="20"/>
          <w:lang w:val="es-ES_tradnl" w:eastAsia="en-US"/>
        </w:rPr>
        <w:t>«</w:t>
      </w:r>
      <w:r w:rsidRPr="00481068">
        <w:rPr>
          <w:rFonts w:ascii="Arial" w:eastAsia="Calibri" w:hAnsi="Arial" w:cs="Arial"/>
          <w:bCs/>
          <w:sz w:val="22"/>
          <w:szCs w:val="22"/>
          <w:lang w:val="es-ES_tradnl" w:eastAsia="x-none"/>
        </w:rPr>
        <w:t>queda prohibida la contratación directa</w:t>
      </w:r>
      <w:r w:rsidRPr="00481068">
        <w:rPr>
          <w:rFonts w:ascii="Arial" w:eastAsia="Calibri" w:hAnsi="Arial" w:cs="Arial"/>
          <w:sz w:val="20"/>
          <w:szCs w:val="20"/>
          <w:lang w:val="es-ES_tradnl" w:eastAsia="en-US"/>
        </w:rPr>
        <w:t>»</w:t>
      </w:r>
      <w:r w:rsidRPr="00481068">
        <w:rPr>
          <w:rFonts w:ascii="Arial" w:eastAsia="Calibri" w:hAnsi="Arial" w:cs="Arial"/>
          <w:bCs/>
          <w:sz w:val="22"/>
          <w:szCs w:val="22"/>
          <w:lang w:val="es-ES_tradnl" w:eastAsia="x-none"/>
        </w:rPr>
        <w:t xml:space="preserve">. </w:t>
      </w:r>
      <w:r w:rsidRPr="00481068">
        <w:rPr>
          <w:rFonts w:ascii="Arial" w:eastAsia="Calibri" w:hAnsi="Arial" w:cs="Arial"/>
          <w:sz w:val="22"/>
          <w:szCs w:val="22"/>
          <w:lang w:val="es-ES_tradnl" w:eastAsia="es-CO"/>
        </w:rPr>
        <w:t xml:space="preserve"> A propósito de esta restricción de la Ley de Garantías Electorales, la Sala de Consulta y Servicio Civil del Consejo de Estado ha considerado que:</w:t>
      </w:r>
    </w:p>
    <w:p w14:paraId="0A17AB1D" w14:textId="77777777" w:rsidR="00524963" w:rsidRPr="00481068" w:rsidRDefault="00524963" w:rsidP="00524963">
      <w:pPr>
        <w:spacing w:line="259" w:lineRule="auto"/>
        <w:ind w:left="708" w:right="709"/>
        <w:jc w:val="both"/>
        <w:rPr>
          <w:rFonts w:ascii="Arial" w:eastAsia="Calibri" w:hAnsi="Arial" w:cs="Arial"/>
          <w:sz w:val="22"/>
          <w:szCs w:val="22"/>
          <w:lang w:val="es-ES_tradnl" w:eastAsia="en-US"/>
        </w:rPr>
      </w:pPr>
    </w:p>
    <w:p w14:paraId="490C216B" w14:textId="77777777" w:rsidR="00524963" w:rsidRPr="00481068" w:rsidRDefault="00524963" w:rsidP="00524963">
      <w:pPr>
        <w:spacing w:after="120"/>
        <w:ind w:left="709" w:right="709"/>
        <w:jc w:val="both"/>
        <w:rPr>
          <w:rFonts w:ascii="Arial" w:eastAsia="Calibri" w:hAnsi="Arial" w:cs="Arial"/>
          <w:sz w:val="21"/>
          <w:szCs w:val="21"/>
          <w:lang w:val="es-ES_tradnl" w:eastAsia="en-US"/>
        </w:rPr>
      </w:pPr>
      <w:r w:rsidRPr="00481068">
        <w:rPr>
          <w:rFonts w:ascii="Arial" w:eastAsia="Calibr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068">
        <w:rPr>
          <w:rFonts w:ascii="Arial" w:eastAsia="Calibri" w:hAnsi="Arial" w:cs="Arial"/>
          <w:sz w:val="21"/>
          <w:szCs w:val="21"/>
          <w:vertAlign w:val="superscript"/>
          <w:lang w:eastAsia="en-US"/>
        </w:rPr>
        <w:footnoteReference w:id="12"/>
      </w:r>
      <w:r w:rsidRPr="00481068">
        <w:rPr>
          <w:rFonts w:ascii="Arial" w:eastAsia="Calibri" w:hAnsi="Arial" w:cs="Arial"/>
          <w:sz w:val="21"/>
          <w:szCs w:val="21"/>
          <w:lang w:val="es-ES_tradnl" w:eastAsia="en-US"/>
        </w:rPr>
        <w:t>.</w:t>
      </w:r>
    </w:p>
    <w:p w14:paraId="716AF450" w14:textId="77777777" w:rsidR="00524963" w:rsidRPr="00481068" w:rsidRDefault="00524963" w:rsidP="00524963">
      <w:pPr>
        <w:ind w:left="708" w:right="709"/>
        <w:jc w:val="both"/>
        <w:rPr>
          <w:rFonts w:ascii="Arial" w:eastAsia="Calibri" w:hAnsi="Arial" w:cs="Arial"/>
          <w:sz w:val="21"/>
          <w:szCs w:val="21"/>
          <w:lang w:val="es-ES_tradnl" w:eastAsia="en-US"/>
        </w:rPr>
      </w:pPr>
      <w:r w:rsidRPr="00481068">
        <w:rPr>
          <w:rFonts w:ascii="Arial" w:eastAsia="Calibri" w:hAnsi="Arial" w:cs="Arial"/>
          <w:sz w:val="21"/>
          <w:szCs w:val="21"/>
          <w:lang w:val="es-ES_tradnl" w:eastAsia="en-US"/>
        </w:rPr>
        <w:t xml:space="preserve">Esta Sala ha entendido </w:t>
      </w:r>
      <w:proofErr w:type="gramStart"/>
      <w:r w:rsidRPr="00481068">
        <w:rPr>
          <w:rFonts w:ascii="Arial" w:eastAsia="Calibri" w:hAnsi="Arial" w:cs="Arial"/>
          <w:sz w:val="21"/>
          <w:szCs w:val="21"/>
          <w:lang w:val="es-ES_tradnl" w:eastAsia="en-US"/>
        </w:rPr>
        <w:t>que</w:t>
      </w:r>
      <w:proofErr w:type="gramEnd"/>
      <w:r w:rsidRPr="00481068">
        <w:rPr>
          <w:rFonts w:ascii="Arial" w:eastAsia="Calibri" w:hAnsi="Arial" w:cs="Arial"/>
          <w:sz w:val="21"/>
          <w:szCs w:val="21"/>
          <w:lang w:val="es-ES_tradnl" w:eastAsia="en-U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068">
        <w:rPr>
          <w:rFonts w:ascii="Arial" w:eastAsia="Calibri" w:hAnsi="Arial" w:cs="Arial"/>
          <w:sz w:val="21"/>
          <w:szCs w:val="21"/>
          <w:vertAlign w:val="superscript"/>
          <w:lang w:eastAsia="en-US"/>
        </w:rPr>
        <w:footnoteReference w:id="13"/>
      </w:r>
      <w:r w:rsidRPr="00481068">
        <w:rPr>
          <w:rFonts w:ascii="Arial" w:eastAsia="Calibri" w:hAnsi="Arial" w:cs="Arial"/>
          <w:sz w:val="21"/>
          <w:szCs w:val="21"/>
          <w:vertAlign w:val="superscript"/>
          <w:lang w:val="es-ES_tradnl" w:eastAsia="en-US"/>
        </w:rPr>
        <w:t>.</w:t>
      </w:r>
      <w:r w:rsidRPr="00481068">
        <w:rPr>
          <w:rFonts w:ascii="Arial" w:eastAsia="Calibri" w:hAnsi="Arial"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81068">
        <w:rPr>
          <w:rFonts w:ascii="Arial" w:eastAsia="Calibri" w:hAnsi="Arial" w:cs="Arial"/>
          <w:sz w:val="21"/>
          <w:szCs w:val="21"/>
          <w:vertAlign w:val="superscript"/>
          <w:lang w:eastAsia="en-US"/>
        </w:rPr>
        <w:footnoteReference w:id="14"/>
      </w:r>
      <w:r w:rsidRPr="00481068">
        <w:rPr>
          <w:rFonts w:ascii="Arial" w:eastAsia="Calibri" w:hAnsi="Arial" w:cs="Arial"/>
          <w:sz w:val="21"/>
          <w:szCs w:val="21"/>
          <w:lang w:val="es-ES_tradnl" w:eastAsia="en-US"/>
        </w:rPr>
        <w:t xml:space="preserve"> .</w:t>
      </w:r>
    </w:p>
    <w:p w14:paraId="2F2B973A" w14:textId="77777777" w:rsidR="00524963" w:rsidRPr="00481068" w:rsidRDefault="00524963" w:rsidP="00524963">
      <w:pPr>
        <w:shd w:val="clear" w:color="auto" w:fill="FFFFFF"/>
        <w:spacing w:line="276" w:lineRule="auto"/>
        <w:ind w:firstLine="709"/>
        <w:jc w:val="both"/>
        <w:rPr>
          <w:rFonts w:ascii="Arial" w:eastAsia="Calibri" w:hAnsi="Arial" w:cs="Arial"/>
          <w:sz w:val="22"/>
          <w:szCs w:val="22"/>
          <w:lang w:val="es-ES_tradnl" w:eastAsia="x-none"/>
        </w:rPr>
      </w:pPr>
    </w:p>
    <w:p w14:paraId="365550C8" w14:textId="5B565D9F" w:rsidR="00524963" w:rsidRPr="00481068" w:rsidRDefault="00524963" w:rsidP="0051212F">
      <w:pPr>
        <w:spacing w:line="276" w:lineRule="auto"/>
        <w:ind w:firstLine="708"/>
        <w:jc w:val="both"/>
        <w:rPr>
          <w:rFonts w:ascii="Arial" w:eastAsia="Calibri" w:hAnsi="Arial" w:cs="Arial"/>
          <w:bCs/>
          <w:sz w:val="22"/>
          <w:szCs w:val="22"/>
          <w:lang w:val="es-ES_tradnl" w:eastAsia="x-none"/>
        </w:rPr>
      </w:pPr>
      <w:r w:rsidRPr="00481068">
        <w:rPr>
          <w:rFonts w:ascii="Arial" w:eastAsia="Calibri" w:hAnsi="Arial" w:cs="Arial"/>
          <w:sz w:val="22"/>
          <w:szCs w:val="22"/>
          <w:lang w:val="es-ES_tradnl" w:eastAsia="x-none"/>
        </w:rPr>
        <w:t xml:space="preserve">De acuerdo con el citado concepto, la prohibición del artículo 33 de la Ley de Garantías Electorales se refiere a </w:t>
      </w:r>
      <w:r w:rsidRPr="00481068">
        <w:rPr>
          <w:rFonts w:ascii="Arial" w:eastAsia="Calibri" w:hAnsi="Arial" w:cs="Arial"/>
          <w:sz w:val="19"/>
          <w:szCs w:val="19"/>
          <w:lang w:val="es-ES_tradnl" w:eastAsia="en-GB"/>
        </w:rPr>
        <w:t>«</w:t>
      </w:r>
      <w:r w:rsidRPr="00481068">
        <w:rPr>
          <w:rFonts w:ascii="Arial" w:eastAsia="Calibri" w:hAnsi="Arial" w:cs="Arial"/>
          <w:sz w:val="22"/>
          <w:szCs w:val="22"/>
          <w:lang w:val="es-ES_tradnl" w:eastAsia="x-none"/>
        </w:rPr>
        <w:t>cualquier sistema que no implique convocatoria pública y posibilidad de pluralidad de oferentes</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w:t>
      </w:r>
      <w:r w:rsidRPr="00481068">
        <w:rPr>
          <w:rFonts w:ascii="Arial" w:eastAsia="Calibri" w:hAnsi="Arial" w:cs="Arial"/>
          <w:sz w:val="22"/>
          <w:szCs w:val="22"/>
          <w:lang w:val="es-ES_tradnl" w:eastAsia="x-none"/>
        </w:rPr>
        <w:lastRenderedPageBreak/>
        <w:t>de oferentes. Esta posición es congruente con la expedición de la Ley 1150 de 2007 que, entre otras reformas, introdujo la selección abreviada, rediseñó el concurso de méritos</w:t>
      </w:r>
      <w:r w:rsidRPr="00481068">
        <w:rPr>
          <w:rFonts w:ascii="Arial" w:eastAsia="Calibri" w:hAnsi="Arial" w:cs="Arial"/>
          <w:sz w:val="22"/>
          <w:szCs w:val="22"/>
          <w:vertAlign w:val="superscript"/>
          <w:lang w:eastAsia="en-US"/>
        </w:rPr>
        <w:footnoteReference w:id="15"/>
      </w:r>
      <w:r w:rsidRPr="00481068">
        <w:rPr>
          <w:rFonts w:ascii="Arial" w:eastAsia="Calibri" w:hAnsi="Arial" w:cs="Arial"/>
          <w:sz w:val="22"/>
          <w:szCs w:val="22"/>
          <w:lang w:val="es-ES_tradnl" w:eastAsia="x-none"/>
        </w:rPr>
        <w:t xml:space="preserve"> y sistematizó las causales de contratación directa</w:t>
      </w:r>
      <w:r w:rsidRPr="00481068">
        <w:rPr>
          <w:rFonts w:ascii="Arial" w:eastAsia="Calibri" w:hAnsi="Arial" w:cs="Arial"/>
          <w:sz w:val="22"/>
          <w:szCs w:val="22"/>
          <w:vertAlign w:val="superscript"/>
          <w:lang w:eastAsia="en-US"/>
        </w:rPr>
        <w:footnoteReference w:id="16"/>
      </w:r>
      <w:r w:rsidR="00C54797" w:rsidRPr="00481068">
        <w:rPr>
          <w:rFonts w:ascii="Arial" w:eastAsia="Calibri" w:hAnsi="Arial" w:cs="Arial"/>
          <w:sz w:val="22"/>
          <w:szCs w:val="22"/>
          <w:lang w:val="es-ES_tradnl" w:eastAsia="x-none"/>
        </w:rPr>
        <w:t>.</w:t>
      </w:r>
    </w:p>
    <w:p w14:paraId="0208D1CA" w14:textId="1B527674" w:rsidR="00524963" w:rsidRPr="00481068" w:rsidRDefault="00524963" w:rsidP="0051212F">
      <w:pPr>
        <w:spacing w:before="120" w:line="276" w:lineRule="auto"/>
        <w:ind w:firstLine="708"/>
        <w:jc w:val="both"/>
        <w:rPr>
          <w:rFonts w:ascii="Arial" w:eastAsia="Calibri" w:hAnsi="Arial" w:cs="Arial"/>
          <w:sz w:val="22"/>
          <w:szCs w:val="22"/>
          <w:lang w:val="es-ES_tradnl" w:eastAsia="x-none"/>
        </w:rPr>
      </w:pPr>
      <w:r w:rsidRPr="00481068">
        <w:rPr>
          <w:rFonts w:ascii="Arial" w:eastAsia="Calibri" w:hAnsi="Arial" w:cs="Arial"/>
          <w:sz w:val="22"/>
          <w:szCs w:val="22"/>
          <w:lang w:val="es-ES_tradnl" w:eastAsia="x-none"/>
        </w:rPr>
        <w:t xml:space="preserve">De esta forma, se ha depurado la noción de </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contratación directa</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068">
        <w:rPr>
          <w:rFonts w:ascii="Arial" w:eastAsia="Calibri" w:hAnsi="Arial" w:cs="Arial"/>
          <w:sz w:val="22"/>
          <w:szCs w:val="22"/>
          <w:vertAlign w:val="superscript"/>
          <w:lang w:eastAsia="en-US"/>
        </w:rPr>
        <w:footnoteReference w:id="17"/>
      </w:r>
      <w:r w:rsidRPr="00481068">
        <w:rPr>
          <w:rFonts w:ascii="Arial" w:eastAsia="Calibri" w:hAnsi="Arial" w:cs="Arial"/>
          <w:sz w:val="22"/>
          <w:szCs w:val="22"/>
          <w:lang w:val="es-ES_tradnl" w:eastAsia="x-none"/>
        </w:rPr>
        <w:t>, han establecido sistemas de contratación que implican convocatoria pública y participación de varios oferentes</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 xml:space="preserve">. </w:t>
      </w:r>
    </w:p>
    <w:p w14:paraId="2764F0A6" w14:textId="77777777" w:rsidR="00524963" w:rsidRPr="00481068" w:rsidRDefault="00524963" w:rsidP="0051212F">
      <w:pPr>
        <w:spacing w:before="120" w:line="276" w:lineRule="auto"/>
        <w:ind w:firstLine="708"/>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x-none"/>
        </w:rPr>
        <w:t>E</w:t>
      </w:r>
      <w:r w:rsidRPr="00481068">
        <w:rPr>
          <w:rFonts w:ascii="Arial" w:eastAsia="Calibri"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068">
        <w:rPr>
          <w:rFonts w:ascii="Arial" w:eastAsia="Calibri" w:hAnsi="Arial" w:cs="Arial"/>
          <w:sz w:val="22"/>
          <w:szCs w:val="22"/>
          <w:vertAlign w:val="superscript"/>
          <w:lang w:eastAsia="en-US"/>
        </w:rPr>
        <w:footnoteReference w:id="18"/>
      </w:r>
      <w:r w:rsidRPr="00481068">
        <w:rPr>
          <w:rFonts w:ascii="Arial" w:eastAsia="Calibri" w:hAnsi="Arial" w:cs="Arial"/>
          <w:sz w:val="22"/>
          <w:szCs w:val="22"/>
          <w:lang w:val="es-ES_tradnl" w:eastAsia="x-none"/>
        </w:rPr>
        <w:t xml:space="preserve">. </w:t>
      </w:r>
    </w:p>
    <w:p w14:paraId="6670E7F9" w14:textId="77777777" w:rsidR="00524963" w:rsidRPr="00481068" w:rsidRDefault="00524963" w:rsidP="0051212F">
      <w:pPr>
        <w:spacing w:before="120" w:line="276" w:lineRule="auto"/>
        <w:ind w:firstLine="708"/>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48019DF" w14:textId="77777777" w:rsidR="00524963" w:rsidRPr="00481068" w:rsidRDefault="00524963" w:rsidP="0051212F">
      <w:pPr>
        <w:spacing w:before="120" w:line="276" w:lineRule="auto"/>
        <w:ind w:firstLine="708"/>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481068">
        <w:rPr>
          <w:rFonts w:ascii="Arial" w:eastAsia="Calibri" w:hAnsi="Arial" w:cs="Arial"/>
          <w:bCs/>
          <w:sz w:val="22"/>
          <w:szCs w:val="22"/>
          <w:lang w:val="es-ES_tradnl" w:eastAsia="x-none"/>
        </w:rPr>
        <w:lastRenderedPageBreak/>
        <w:t>contratación utilizado por las entidades estatales que no incluya la convocatoria pública en alguna de sus etapas, ni permita la participación de una pluralidad de oferentes</w:t>
      </w:r>
      <w:r w:rsidRPr="00481068">
        <w:rPr>
          <w:rFonts w:ascii="Arial" w:eastAsia="Calibri" w:hAnsi="Arial" w:cs="Arial"/>
          <w:sz w:val="22"/>
          <w:szCs w:val="22"/>
          <w:vertAlign w:val="superscript"/>
          <w:lang w:eastAsia="en-US"/>
        </w:rPr>
        <w:footnoteReference w:id="19"/>
      </w:r>
      <w:r w:rsidRPr="00481068">
        <w:rPr>
          <w:rFonts w:ascii="Arial" w:eastAsia="Calibri" w:hAnsi="Arial" w:cs="Arial"/>
          <w:bCs/>
          <w:sz w:val="22"/>
          <w:szCs w:val="22"/>
          <w:lang w:val="es-ES_tradnl" w:eastAsia="x-none"/>
        </w:rPr>
        <w:t>.</w:t>
      </w:r>
      <w:r w:rsidRPr="00481068">
        <w:rPr>
          <w:rFonts w:ascii="Arial" w:eastAsia="Calibri" w:hAnsi="Arial" w:cs="Arial"/>
          <w:sz w:val="22"/>
          <w:szCs w:val="22"/>
          <w:vertAlign w:val="superscript"/>
          <w:lang w:val="es-ES_tradnl" w:eastAsia="x-none"/>
        </w:rPr>
        <w:t xml:space="preserve"> </w:t>
      </w:r>
    </w:p>
    <w:p w14:paraId="116D2E65" w14:textId="77777777" w:rsidR="00524963" w:rsidRPr="00481068" w:rsidRDefault="00524963" w:rsidP="0051212F">
      <w:pPr>
        <w:spacing w:before="120" w:line="276" w:lineRule="auto"/>
        <w:ind w:firstLine="708"/>
        <w:jc w:val="both"/>
        <w:rPr>
          <w:rFonts w:ascii="Arial" w:eastAsia="Calibri" w:hAnsi="Arial" w:cs="Arial"/>
          <w:sz w:val="22"/>
          <w:szCs w:val="22"/>
          <w:lang w:val="es-ES_tradnl" w:eastAsia="x-none"/>
        </w:rPr>
      </w:pPr>
      <w:r w:rsidRPr="00481068">
        <w:rPr>
          <w:rFonts w:ascii="Arial" w:eastAsia="Calibri"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eastAsia="Calibri" w:hAnsi="Arial" w:cs="Arial"/>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24999CE1" w14:textId="77777777" w:rsidR="00524963" w:rsidRPr="00481068" w:rsidRDefault="00524963" w:rsidP="0051212F">
      <w:pPr>
        <w:spacing w:before="120" w:line="276" w:lineRule="auto"/>
        <w:ind w:firstLine="708"/>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es-CO"/>
        </w:rPr>
        <w:t xml:space="preserve">Como en otras oportunidades lo ha manifestado esta Agencia, las prórrogas, modificaciones o adiciones de los contratos suscritos antes de la </w:t>
      </w:r>
      <w:proofErr w:type="gramStart"/>
      <w:r w:rsidRPr="00481068">
        <w:rPr>
          <w:rFonts w:ascii="Arial" w:eastAsia="Calibri" w:hAnsi="Arial" w:cs="Arial"/>
          <w:bCs/>
          <w:sz w:val="22"/>
          <w:szCs w:val="22"/>
          <w:lang w:val="es-ES_tradnl" w:eastAsia="es-CO"/>
        </w:rPr>
        <w:t>entrada en vigencia</w:t>
      </w:r>
      <w:proofErr w:type="gramEnd"/>
      <w:r w:rsidRPr="00481068">
        <w:rPr>
          <w:rFonts w:ascii="Arial" w:eastAsia="Calibri" w:hAnsi="Arial" w:cs="Arial"/>
          <w:bCs/>
          <w:sz w:val="22"/>
          <w:szCs w:val="22"/>
          <w:lang w:val="es-ES_tradnl" w:eastAsia="es-CO"/>
        </w:rPr>
        <w:t xml:space="preserve"> de las prohibiciones anotadas, así como la cesión de los mismos, pueden tener lugar en el período de aplicación de la Ley de Garantías</w:t>
      </w:r>
      <w:r w:rsidRPr="00481068">
        <w:rPr>
          <w:rFonts w:ascii="Arial" w:eastAsia="Calibri" w:hAnsi="Arial" w:cs="Arial"/>
          <w:sz w:val="22"/>
          <w:szCs w:val="22"/>
          <w:vertAlign w:val="superscript"/>
          <w:lang w:eastAsia="en-US"/>
        </w:rPr>
        <w:footnoteReference w:id="20"/>
      </w:r>
      <w:r w:rsidRPr="00481068">
        <w:rPr>
          <w:rFonts w:ascii="Arial" w:eastAsia="Calibri" w:hAnsi="Arial" w:cs="Arial"/>
          <w:bCs/>
          <w:sz w:val="22"/>
          <w:szCs w:val="22"/>
          <w:lang w:val="es-ES_tradnl" w:eastAsia="es-CO"/>
        </w:rPr>
        <w:t>. Esto sin que ello haga nugatoria la restricción de la contratación directa y siempre que cumplan los principios de planeación, transparencia y responsabilidad.</w:t>
      </w:r>
    </w:p>
    <w:p w14:paraId="34242274" w14:textId="77777777" w:rsidR="00524963" w:rsidRPr="00481068" w:rsidRDefault="00524963" w:rsidP="0051212F">
      <w:pPr>
        <w:spacing w:before="120" w:line="276" w:lineRule="auto"/>
        <w:ind w:firstLine="708"/>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481068">
        <w:rPr>
          <w:rFonts w:ascii="Arial" w:eastAsia="Calibri" w:hAnsi="Arial" w:cs="Arial"/>
          <w:bCs/>
          <w:sz w:val="22"/>
          <w:szCs w:val="22"/>
          <w:lang w:val="es-ES_tradnl" w:eastAsia="x-none"/>
        </w:rPr>
        <w:t>ii</w:t>
      </w:r>
      <w:proofErr w:type="spellEnd"/>
      <w:r w:rsidRPr="00481068">
        <w:rPr>
          <w:rFonts w:ascii="Arial" w:eastAsia="Calibri" w:hAnsi="Arial" w:cs="Arial"/>
          <w:bCs/>
          <w:sz w:val="22"/>
          <w:szCs w:val="22"/>
          <w:lang w:val="es-ES_tradnl" w:eastAsia="x-none"/>
        </w:rPr>
        <w:t xml:space="preserve">) los contratos de crédito público; </w:t>
      </w:r>
      <w:proofErr w:type="spellStart"/>
      <w:r w:rsidRPr="00481068">
        <w:rPr>
          <w:rFonts w:ascii="Arial" w:eastAsia="Calibri" w:hAnsi="Arial" w:cs="Arial"/>
          <w:bCs/>
          <w:sz w:val="22"/>
          <w:szCs w:val="22"/>
          <w:lang w:val="es-ES_tradnl" w:eastAsia="x-none"/>
        </w:rPr>
        <w:t>iii</w:t>
      </w:r>
      <w:proofErr w:type="spellEnd"/>
      <w:r w:rsidRPr="00481068">
        <w:rPr>
          <w:rFonts w:ascii="Arial" w:eastAsia="Calibri" w:hAnsi="Arial" w:cs="Arial"/>
          <w:bCs/>
          <w:sz w:val="22"/>
          <w:szCs w:val="22"/>
          <w:lang w:val="es-ES_tradnl" w:eastAsia="x-none"/>
        </w:rPr>
        <w:t xml:space="preserve">) los requeridos para cubrir las emergencias educativas, sanitarias y desastres; </w:t>
      </w:r>
      <w:proofErr w:type="spellStart"/>
      <w:r w:rsidRPr="00481068">
        <w:rPr>
          <w:rFonts w:ascii="Arial" w:eastAsia="Calibri" w:hAnsi="Arial" w:cs="Arial"/>
          <w:bCs/>
          <w:sz w:val="22"/>
          <w:szCs w:val="22"/>
          <w:lang w:val="es-ES_tradnl" w:eastAsia="x-none"/>
        </w:rPr>
        <w:t>iv</w:t>
      </w:r>
      <w:proofErr w:type="spellEnd"/>
      <w:r w:rsidRPr="00481068">
        <w:rPr>
          <w:rFonts w:ascii="Arial" w:eastAsia="Calibri" w:hAnsi="Arial" w:cs="Arial"/>
          <w:bCs/>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068">
        <w:rPr>
          <w:rFonts w:ascii="Arial" w:eastAsia="Calibri"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94A9740" w14:textId="77777777" w:rsidR="00524963" w:rsidRPr="00481068" w:rsidRDefault="00524963" w:rsidP="0051212F">
      <w:pPr>
        <w:spacing w:before="120" w:line="276" w:lineRule="auto"/>
        <w:ind w:firstLine="708"/>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068">
        <w:rPr>
          <w:rFonts w:ascii="Arial" w:eastAsia="Calibri" w:hAnsi="Arial" w:cs="Arial"/>
          <w:sz w:val="22"/>
          <w:szCs w:val="22"/>
          <w:vertAlign w:val="superscript"/>
          <w:lang w:eastAsia="en-US"/>
        </w:rPr>
        <w:footnoteReference w:id="21"/>
      </w:r>
      <w:r w:rsidRPr="00481068">
        <w:rPr>
          <w:rFonts w:ascii="Arial" w:eastAsia="Calibri" w:hAnsi="Arial" w:cs="Arial"/>
          <w:bCs/>
          <w:sz w:val="22"/>
          <w:szCs w:val="22"/>
          <w:lang w:val="es-ES_tradnl" w:eastAsia="x-none"/>
        </w:rPr>
        <w:t xml:space="preserve">. </w:t>
      </w:r>
      <w:r w:rsidRPr="00481068">
        <w:rPr>
          <w:rFonts w:ascii="Arial" w:eastAsia="Calibri" w:hAnsi="Arial" w:cs="Arial"/>
          <w:bCs/>
          <w:sz w:val="22"/>
          <w:szCs w:val="22"/>
          <w:lang w:val="es-ES_tradnl" w:eastAsia="x-none"/>
        </w:rPr>
        <w:lastRenderedPageBreak/>
        <w:t>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D996DA8" w14:textId="60AFDC7D" w:rsidR="00524963" w:rsidRPr="00481068" w:rsidRDefault="00C54797" w:rsidP="00524963">
      <w:pPr>
        <w:spacing w:before="120" w:line="276" w:lineRule="auto"/>
        <w:ind w:firstLine="709"/>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x-none"/>
        </w:rPr>
        <w:t>Por lo demás, e</w:t>
      </w:r>
      <w:r w:rsidR="00524963" w:rsidRPr="00481068">
        <w:rPr>
          <w:rFonts w:ascii="Arial" w:eastAsia="Calibri" w:hAnsi="Arial" w:cs="Arial"/>
          <w:bCs/>
          <w:sz w:val="22"/>
          <w:szCs w:val="22"/>
          <w:lang w:val="es-ES_tradnl" w:eastAsia="x-none"/>
        </w:rPr>
        <w:t>l artículo 33 de la Ley 996 de 2005 señala expresamente a los destinatarios de la prohibición, en el sentido de que son «todos los entes del Estado», expresión que contempla a los diferentes organismos o entidades autorizadas por la ley para suscribir contratos.</w:t>
      </w:r>
      <w:r w:rsidR="00524963" w:rsidRPr="00481068">
        <w:rPr>
          <w:rFonts w:ascii="Arial" w:eastAsia="Calibri" w:hAnsi="Arial" w:cs="Arial"/>
          <w:sz w:val="22"/>
          <w:szCs w:val="22"/>
          <w:lang w:val="es-ES_tradnl" w:eastAsia="en-US"/>
        </w:rPr>
        <w:t xml:space="preserve"> </w:t>
      </w:r>
      <w:r w:rsidR="00524963" w:rsidRPr="00481068">
        <w:rPr>
          <w:rFonts w:ascii="Arial" w:eastAsia="Calibri" w:hAnsi="Arial" w:cs="Arial"/>
          <w:bCs/>
          <w:sz w:val="22"/>
          <w:szCs w:val="22"/>
          <w:lang w:val="es-ES_tradnl" w:eastAsia="x-none"/>
        </w:rPr>
        <w:t>En efecto, como lo ha sostenido el Consejo de Estado, el vocablo «todos» utilizado por el legislador comprende</w:t>
      </w:r>
      <w:r w:rsidR="00524963" w:rsidRPr="00481068">
        <w:rPr>
          <w:rFonts w:ascii="Arial" w:eastAsia="Calibri" w:hAnsi="Arial" w:cs="Arial"/>
          <w:sz w:val="22"/>
          <w:szCs w:val="22"/>
          <w:lang w:val="es-ES_tradnl" w:eastAsia="en-US"/>
        </w:rPr>
        <w:t xml:space="preserve"> </w:t>
      </w:r>
      <w:r w:rsidR="00524963" w:rsidRPr="00481068">
        <w:rPr>
          <w:rFonts w:ascii="Arial" w:eastAsia="Calibri"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14:paraId="3210A617" w14:textId="77777777" w:rsidR="00524963" w:rsidRPr="00481068" w:rsidRDefault="00524963" w:rsidP="00524963">
      <w:pPr>
        <w:spacing w:line="276" w:lineRule="auto"/>
        <w:ind w:firstLine="708"/>
        <w:jc w:val="both"/>
        <w:rPr>
          <w:rFonts w:ascii="Arial" w:eastAsia="Calibri" w:hAnsi="Arial" w:cs="Arial"/>
          <w:bCs/>
          <w:sz w:val="22"/>
          <w:szCs w:val="22"/>
          <w:lang w:val="es-ES_tradnl" w:eastAsia="x-none"/>
        </w:rPr>
      </w:pPr>
    </w:p>
    <w:p w14:paraId="43C09519" w14:textId="77777777" w:rsidR="00524963" w:rsidRPr="00481068" w:rsidRDefault="00524963" w:rsidP="00524963">
      <w:pPr>
        <w:ind w:left="708" w:right="709"/>
        <w:jc w:val="both"/>
        <w:rPr>
          <w:rFonts w:ascii="Arial" w:eastAsia="Calibri" w:hAnsi="Arial" w:cs="Arial"/>
          <w:bCs/>
          <w:sz w:val="21"/>
          <w:szCs w:val="21"/>
          <w:lang w:val="es-ES_tradnl" w:eastAsia="es-CO"/>
        </w:rPr>
      </w:pPr>
      <w:r w:rsidRPr="00481068">
        <w:rPr>
          <w:rFonts w:ascii="Arial" w:eastAsia="Calibri"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81068">
        <w:rPr>
          <w:rFonts w:ascii="Arial" w:eastAsia="Calibri" w:hAnsi="Arial" w:cs="Arial"/>
          <w:sz w:val="21"/>
          <w:szCs w:val="21"/>
          <w:vertAlign w:val="superscript"/>
          <w:lang w:eastAsia="en-US"/>
        </w:rPr>
        <w:footnoteReference w:id="22"/>
      </w:r>
      <w:r w:rsidRPr="00481068">
        <w:rPr>
          <w:rFonts w:ascii="Arial" w:eastAsia="Calibri" w:hAnsi="Arial" w:cs="Arial"/>
          <w:bCs/>
          <w:sz w:val="21"/>
          <w:szCs w:val="21"/>
          <w:lang w:val="es-ES_tradnl" w:eastAsia="x-none"/>
        </w:rPr>
        <w:t>.</w:t>
      </w:r>
      <w:r w:rsidRPr="00481068">
        <w:rPr>
          <w:rFonts w:ascii="Arial" w:eastAsia="Calibri" w:hAnsi="Arial" w:cs="Arial"/>
          <w:bCs/>
          <w:sz w:val="21"/>
          <w:szCs w:val="21"/>
          <w:lang w:val="es-ES_tradnl" w:eastAsia="es-CO"/>
        </w:rPr>
        <w:t xml:space="preserve"> </w:t>
      </w:r>
    </w:p>
    <w:p w14:paraId="4E24CAA1" w14:textId="77777777" w:rsidR="00524963" w:rsidRPr="00481068" w:rsidRDefault="00524963" w:rsidP="00524963">
      <w:pPr>
        <w:spacing w:line="276" w:lineRule="auto"/>
        <w:ind w:firstLine="708"/>
        <w:jc w:val="both"/>
        <w:rPr>
          <w:rFonts w:ascii="Arial" w:eastAsia="Calibri" w:hAnsi="Arial" w:cs="Arial"/>
          <w:bCs/>
          <w:sz w:val="22"/>
          <w:szCs w:val="22"/>
          <w:lang w:val="es-ES_tradnl" w:eastAsia="es-CO"/>
        </w:rPr>
      </w:pPr>
    </w:p>
    <w:p w14:paraId="2A6D1194" w14:textId="77777777" w:rsidR="0040083B" w:rsidRPr="00481068" w:rsidRDefault="0040083B" w:rsidP="0040083B">
      <w:pPr>
        <w:spacing w:line="276" w:lineRule="auto"/>
        <w:ind w:firstLine="708"/>
        <w:contextualSpacing/>
        <w:jc w:val="both"/>
        <w:rPr>
          <w:rFonts w:ascii="Arial" w:eastAsia="Calibri" w:hAnsi="Arial" w:cs="Arial"/>
          <w:sz w:val="22"/>
          <w:szCs w:val="22"/>
          <w:lang w:val="es-MX"/>
        </w:rPr>
      </w:pPr>
      <w:r w:rsidRPr="00481068">
        <w:rPr>
          <w:rFonts w:ascii="Arial" w:hAnsi="Arial" w:cs="Arial"/>
          <w:bCs/>
          <w:sz w:val="22"/>
          <w:szCs w:val="22"/>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25" w:name="_Hlk75635823"/>
      <w:r w:rsidRPr="00481068">
        <w:rPr>
          <w:rFonts w:ascii="Arial" w:hAnsi="Arial" w:cs="Arial"/>
          <w:bCs/>
          <w:sz w:val="22"/>
          <w:szCs w:val="22"/>
          <w:lang w:val="es-MX" w:eastAsia="x-none"/>
        </w:rPr>
        <w:t>»</w:t>
      </w:r>
      <w:bookmarkStart w:id="26" w:name="_Hlk75758868"/>
      <w:bookmarkStart w:id="27" w:name="_Hlk75741220"/>
      <w:bookmarkEnd w:id="25"/>
      <w:r w:rsidRPr="00481068">
        <w:rPr>
          <w:rFonts w:ascii="Arial" w:eastAsia="Calibri" w:hAnsi="Arial" w:cs="Arial"/>
          <w:sz w:val="22"/>
          <w:szCs w:val="22"/>
          <w:vertAlign w:val="superscript"/>
          <w:lang w:val="es-MX"/>
        </w:rPr>
        <w:footnoteReference w:id="23"/>
      </w:r>
      <w:bookmarkEnd w:id="26"/>
      <w:bookmarkEnd w:id="27"/>
      <w:r w:rsidRPr="00481068">
        <w:rPr>
          <w:rFonts w:ascii="Arial" w:hAnsi="Arial" w:cs="Arial"/>
          <w:bCs/>
          <w:sz w:val="22"/>
          <w:szCs w:val="22"/>
          <w:lang w:val="es-MX" w:eastAsia="x-none"/>
        </w:rPr>
        <w:t>.</w:t>
      </w:r>
      <w:r w:rsidRPr="00481068">
        <w:rPr>
          <w:rFonts w:ascii="Arial" w:eastAsia="Calibri" w:hAnsi="Arial" w:cs="Arial"/>
          <w:sz w:val="22"/>
          <w:szCs w:val="22"/>
          <w:lang w:val="es-MX"/>
        </w:rPr>
        <w:t xml:space="preserve"> </w:t>
      </w:r>
      <w:r w:rsidRPr="00481068">
        <w:rPr>
          <w:rFonts w:ascii="Arial" w:eastAsia="Calibri" w:hAnsi="Arial" w:cs="Arial"/>
          <w:sz w:val="22"/>
          <w:szCs w:val="22"/>
          <w:lang w:val="es-MX"/>
        </w:rPr>
        <w:lastRenderedPageBreak/>
        <w:t>Sin embargo, debe precisarse el siguiente aspecto que distinguió la Sala de Consulta y Servicio Civil:</w:t>
      </w:r>
    </w:p>
    <w:p w14:paraId="354813F0" w14:textId="77777777" w:rsidR="0040083B" w:rsidRPr="00481068" w:rsidRDefault="0040083B" w:rsidP="0040083B">
      <w:pPr>
        <w:spacing w:line="276" w:lineRule="auto"/>
        <w:contextualSpacing/>
        <w:jc w:val="both"/>
        <w:rPr>
          <w:rFonts w:ascii="Arial" w:eastAsia="Calibri" w:hAnsi="Arial" w:cs="Arial"/>
          <w:sz w:val="22"/>
          <w:szCs w:val="22"/>
          <w:lang w:val="es-MX"/>
        </w:rPr>
      </w:pPr>
    </w:p>
    <w:p w14:paraId="2931A85E" w14:textId="77777777" w:rsidR="0040083B" w:rsidRPr="00481068" w:rsidRDefault="0040083B" w:rsidP="0040083B">
      <w:pPr>
        <w:ind w:left="708" w:right="709"/>
        <w:contextualSpacing/>
        <w:jc w:val="both"/>
        <w:rPr>
          <w:rFonts w:ascii="Arial" w:eastAsia="Calibri" w:hAnsi="Arial" w:cs="Arial"/>
          <w:sz w:val="21"/>
          <w:szCs w:val="21"/>
          <w:lang w:val="es-MX"/>
        </w:rPr>
      </w:pPr>
      <w:bookmarkStart w:id="29" w:name="_Hlk75811446"/>
      <w:r w:rsidRPr="00481068">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29"/>
      <w:r w:rsidRPr="00481068">
        <w:rPr>
          <w:rFonts w:ascii="Arial" w:eastAsia="Calibri" w:hAnsi="Arial" w:cs="Arial"/>
          <w:vertAlign w:val="superscript"/>
          <w:lang w:val="es-MX"/>
        </w:rPr>
        <w:footnoteReference w:id="24"/>
      </w:r>
      <w:r w:rsidRPr="00481068">
        <w:rPr>
          <w:rFonts w:ascii="Arial" w:hAnsi="Arial" w:cs="Arial"/>
          <w:bCs/>
          <w:lang w:val="es-MX" w:eastAsia="x-none"/>
        </w:rPr>
        <w:t>.</w:t>
      </w:r>
    </w:p>
    <w:p w14:paraId="7114F13E" w14:textId="77777777" w:rsidR="0040083B" w:rsidRPr="00481068" w:rsidRDefault="0040083B" w:rsidP="0040083B">
      <w:pPr>
        <w:spacing w:line="276" w:lineRule="auto"/>
        <w:contextualSpacing/>
        <w:jc w:val="both"/>
        <w:rPr>
          <w:rFonts w:ascii="Arial" w:eastAsia="Calibri" w:hAnsi="Arial" w:cs="Arial"/>
          <w:sz w:val="22"/>
          <w:szCs w:val="22"/>
          <w:lang w:val="es-MX"/>
        </w:rPr>
      </w:pPr>
    </w:p>
    <w:p w14:paraId="20BDBFA0" w14:textId="32F80199" w:rsidR="0040083B" w:rsidRPr="00481068" w:rsidRDefault="0040083B" w:rsidP="00AF5B0E">
      <w:pPr>
        <w:spacing w:after="120" w:line="276" w:lineRule="auto"/>
        <w:ind w:firstLine="709"/>
        <w:jc w:val="both"/>
        <w:rPr>
          <w:rFonts w:ascii="Arial" w:hAnsi="Arial" w:cs="Arial"/>
          <w:bCs/>
          <w:sz w:val="22"/>
          <w:szCs w:val="22"/>
          <w:lang w:val="es-MX" w:eastAsia="x-none"/>
        </w:rPr>
      </w:pPr>
      <w:r w:rsidRPr="00481068">
        <w:rPr>
          <w:rFonts w:ascii="Arial" w:eastAsia="Calibri" w:hAnsi="Arial" w:cs="Arial"/>
          <w:sz w:val="22"/>
          <w:szCs w:val="22"/>
          <w:lang w:val="es-MX"/>
        </w:rPr>
        <w:t>Aplicando este razonamiento,</w:t>
      </w:r>
      <w:bookmarkStart w:id="30" w:name="_Hlk75811096"/>
      <w:r w:rsidRPr="00481068">
        <w:rPr>
          <w:rFonts w:ascii="Arial" w:eastAsia="Calibri" w:hAnsi="Arial" w:cs="Arial"/>
          <w:sz w:val="22"/>
          <w:szCs w:val="22"/>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30"/>
      <w:r w:rsidRPr="00481068">
        <w:rPr>
          <w:rFonts w:ascii="Arial" w:eastAsia="Calibri" w:hAnsi="Arial" w:cs="Arial"/>
          <w:sz w:val="22"/>
          <w:szCs w:val="22"/>
          <w:lang w:val="es-MX"/>
        </w:rPr>
        <w:t>»</w:t>
      </w:r>
      <w:r w:rsidRPr="00481068">
        <w:rPr>
          <w:rFonts w:ascii="Arial" w:eastAsia="Calibri" w:hAnsi="Arial" w:cs="Arial"/>
          <w:sz w:val="22"/>
          <w:szCs w:val="22"/>
          <w:vertAlign w:val="superscript"/>
          <w:lang w:val="es-MX"/>
        </w:rPr>
        <w:t xml:space="preserve"> </w:t>
      </w:r>
      <w:r w:rsidRPr="00481068">
        <w:rPr>
          <w:rFonts w:ascii="Arial" w:eastAsia="Calibri" w:hAnsi="Arial" w:cs="Arial"/>
          <w:sz w:val="22"/>
          <w:szCs w:val="22"/>
          <w:vertAlign w:val="superscript"/>
          <w:lang w:val="es-MX"/>
        </w:rPr>
        <w:footnoteReference w:id="25"/>
      </w:r>
      <w:r w:rsidRPr="00481068">
        <w:rPr>
          <w:rFonts w:ascii="Arial" w:eastAsia="Calibri" w:hAnsi="Arial" w:cs="Arial"/>
          <w:sz w:val="22"/>
          <w:szCs w:val="22"/>
          <w:lang w:val="es-MX"/>
        </w:rPr>
        <w:t>.</w:t>
      </w:r>
    </w:p>
    <w:p w14:paraId="747E6790" w14:textId="3DC73C34" w:rsidR="00524963" w:rsidRPr="00481068" w:rsidRDefault="00524963" w:rsidP="00524963">
      <w:pPr>
        <w:spacing w:line="276" w:lineRule="auto"/>
        <w:ind w:firstLine="708"/>
        <w:jc w:val="both"/>
        <w:rPr>
          <w:rFonts w:ascii="Arial" w:eastAsia="Calibri" w:hAnsi="Arial" w:cs="Arial"/>
          <w:bCs/>
          <w:sz w:val="22"/>
          <w:szCs w:val="22"/>
          <w:lang w:val="es-ES_tradnl" w:eastAsia="x-none"/>
        </w:rPr>
      </w:pPr>
      <w:r w:rsidRPr="00481068">
        <w:rPr>
          <w:rFonts w:ascii="Arial" w:eastAsia="Calibri" w:hAnsi="Arial" w:cs="Arial"/>
          <w:sz w:val="22"/>
          <w:szCs w:val="22"/>
          <w:lang w:val="es-ES_tradnl" w:eastAsia="en-US"/>
        </w:rPr>
        <w:t xml:space="preserve">Por lo tanto, la restricción prevista en la Ley 996 de 2005, </w:t>
      </w:r>
      <w:r w:rsidRPr="00481068">
        <w:rPr>
          <w:rFonts w:ascii="Arial" w:eastAsia="Calibri" w:hAnsi="Arial" w:cs="Arial"/>
          <w:bCs/>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w:t>
      </w:r>
      <w:r w:rsidR="00F850C0" w:rsidRPr="00481068">
        <w:rPr>
          <w:rFonts w:ascii="Arial" w:eastAsia="Calibri" w:hAnsi="Arial" w:cs="Arial"/>
          <w:bCs/>
          <w:sz w:val="22"/>
          <w:szCs w:val="22"/>
          <w:lang w:val="es-ES_tradnl" w:eastAsia="x-none"/>
        </w:rPr>
        <w:t>el derecho privado</w:t>
      </w:r>
      <w:r w:rsidRPr="00481068">
        <w:rPr>
          <w:rFonts w:ascii="Arial" w:eastAsia="Calibri" w:hAnsi="Arial" w:cs="Arial"/>
          <w:bCs/>
          <w:sz w:val="22"/>
          <w:szCs w:val="22"/>
          <w:lang w:val="es-ES_tradnl" w:eastAsia="x-none"/>
        </w:rPr>
        <w:t>.</w:t>
      </w:r>
    </w:p>
    <w:p w14:paraId="305800CA" w14:textId="77777777" w:rsidR="00524963" w:rsidRPr="00481068" w:rsidRDefault="00524963" w:rsidP="00524963">
      <w:pPr>
        <w:tabs>
          <w:tab w:val="left" w:pos="426"/>
        </w:tabs>
        <w:spacing w:line="276" w:lineRule="auto"/>
        <w:jc w:val="both"/>
        <w:rPr>
          <w:rFonts w:ascii="Arial" w:eastAsia="Calibri" w:hAnsi="Arial" w:cs="Arial"/>
          <w:bCs/>
          <w:sz w:val="22"/>
          <w:szCs w:val="22"/>
          <w:lang w:val="es-ES" w:eastAsia="es-CO"/>
        </w:rPr>
      </w:pPr>
    </w:p>
    <w:p w14:paraId="657F10AF" w14:textId="6BC2E170" w:rsidR="001428C2" w:rsidRPr="00481068" w:rsidRDefault="00524963" w:rsidP="00037198">
      <w:pPr>
        <w:spacing w:line="276" w:lineRule="auto"/>
        <w:jc w:val="both"/>
        <w:rPr>
          <w:rFonts w:ascii="Arial" w:eastAsia="Calibri" w:hAnsi="Arial" w:cs="Arial"/>
          <w:sz w:val="22"/>
          <w:szCs w:val="22"/>
          <w:lang w:val="es-MX"/>
        </w:rPr>
      </w:pPr>
      <w:r w:rsidRPr="00481068">
        <w:rPr>
          <w:rFonts w:ascii="Arial" w:eastAsia="Calibri" w:hAnsi="Arial" w:cs="Arial"/>
          <w:b/>
          <w:bCs/>
          <w:color w:val="000000"/>
          <w:sz w:val="22"/>
          <w:szCs w:val="22"/>
          <w:lang w:eastAsia="en-US"/>
        </w:rPr>
        <w:lastRenderedPageBreak/>
        <w:t xml:space="preserve">2.3. </w:t>
      </w:r>
      <w:r w:rsidR="00037198" w:rsidRPr="00481068">
        <w:rPr>
          <w:rFonts w:ascii="Arial" w:hAnsi="Arial" w:cs="Arial"/>
          <w:b/>
          <w:bCs/>
          <w:color w:val="000000" w:themeColor="text1"/>
          <w:sz w:val="22"/>
          <w:szCs w:val="22"/>
        </w:rPr>
        <w:t>Contratos con organismos internacionales y restricciones de la Ley de Garantías para la contratación directa</w:t>
      </w:r>
    </w:p>
    <w:p w14:paraId="2FCF9A58" w14:textId="77777777" w:rsidR="00037198" w:rsidRPr="00481068" w:rsidRDefault="00037198" w:rsidP="001428C2">
      <w:pPr>
        <w:snapToGrid w:val="0"/>
        <w:spacing w:line="276" w:lineRule="auto"/>
        <w:jc w:val="both"/>
        <w:rPr>
          <w:rFonts w:ascii="Arial" w:eastAsia="Calibri" w:hAnsi="Arial" w:cs="Arial"/>
          <w:bCs/>
          <w:sz w:val="22"/>
          <w:szCs w:val="22"/>
          <w:lang w:val="es-MX"/>
        </w:rPr>
      </w:pPr>
    </w:p>
    <w:p w14:paraId="08BDBB1B" w14:textId="77777777" w:rsidR="00037198" w:rsidRPr="00481068" w:rsidRDefault="00037198">
      <w:pPr>
        <w:spacing w:after="120" w:line="276" w:lineRule="auto"/>
        <w:jc w:val="both"/>
        <w:rPr>
          <w:rFonts w:ascii="Arial" w:hAnsi="Arial" w:cs="Arial"/>
          <w:sz w:val="22"/>
          <w:szCs w:val="22"/>
          <w:lang w:val="es-ES"/>
        </w:rPr>
      </w:pPr>
      <w:bookmarkStart w:id="31" w:name="_Hlk99449041"/>
      <w:r w:rsidRPr="00481068">
        <w:rPr>
          <w:rFonts w:ascii="Arial" w:hAnsi="Arial" w:cs="Arial"/>
          <w:sz w:val="22"/>
          <w:szCs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481068">
        <w:rPr>
          <w:rStyle w:val="Refdenotaalpie"/>
          <w:rFonts w:ascii="Arial" w:hAnsi="Arial" w:cs="Arial"/>
          <w:sz w:val="22"/>
          <w:szCs w:val="22"/>
        </w:rPr>
        <w:footnoteReference w:id="26"/>
      </w:r>
      <w:r w:rsidRPr="00481068">
        <w:rPr>
          <w:rFonts w:ascii="Arial" w:hAnsi="Arial" w:cs="Arial"/>
          <w:sz w:val="22"/>
          <w:szCs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604646EF" w14:textId="36B9A4EE" w:rsidR="00037198" w:rsidRPr="00481068" w:rsidRDefault="00037198" w:rsidP="00037198">
      <w:pPr>
        <w:pStyle w:val="Prrafodelista"/>
        <w:snapToGrid w:val="0"/>
        <w:spacing w:before="120" w:after="120" w:line="276" w:lineRule="auto"/>
        <w:ind w:left="0" w:firstLine="709"/>
        <w:jc w:val="both"/>
        <w:rPr>
          <w:rFonts w:ascii="Arial" w:eastAsia="Calibri" w:hAnsi="Arial" w:cs="Arial"/>
          <w:sz w:val="22"/>
        </w:rPr>
      </w:pPr>
      <w:bookmarkStart w:id="32" w:name="_Hlk99449078"/>
      <w:bookmarkEnd w:id="31"/>
      <w:r w:rsidRPr="00481068">
        <w:rPr>
          <w:rFonts w:ascii="Arial" w:eastAsia="Calibri" w:hAnsi="Arial" w:cs="Arial"/>
          <w:sz w:val="22"/>
        </w:rPr>
        <w:t>El artículo 13 de la Ley 80 de 1993 regula de forma general el régimen aplicable a los contratos que celebren las entidades referidas en el artículo segundo del estatuto</w:t>
      </w:r>
      <w:r w:rsidRPr="00481068">
        <w:rPr>
          <w:rStyle w:val="Refdenotaalpie"/>
          <w:rFonts w:ascii="Arial" w:hAnsi="Arial" w:cs="Arial"/>
          <w:sz w:val="22"/>
        </w:rPr>
        <w:footnoteReference w:id="27"/>
      </w:r>
      <w:r w:rsidRPr="00481068">
        <w:rPr>
          <w:rFonts w:ascii="Arial" w:eastAsia="Calibri" w:hAnsi="Arial" w:cs="Arial"/>
          <w:sz w:val="22"/>
        </w:rPr>
        <w:t xml:space="preserve">,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bookmarkEnd w:id="32"/>
    </w:p>
    <w:p w14:paraId="0AF9026D" w14:textId="77777777" w:rsidR="00037198" w:rsidRPr="00481068" w:rsidRDefault="00037198" w:rsidP="00AF5B0E">
      <w:pPr>
        <w:pStyle w:val="Prrafodelista"/>
        <w:snapToGrid w:val="0"/>
        <w:spacing w:before="120" w:after="120" w:line="276" w:lineRule="auto"/>
        <w:ind w:left="0" w:firstLine="709"/>
        <w:jc w:val="both"/>
        <w:rPr>
          <w:rFonts w:ascii="Arial" w:eastAsia="Calibri" w:hAnsi="Arial" w:cs="Arial"/>
          <w:sz w:val="12"/>
          <w:szCs w:val="12"/>
        </w:rPr>
      </w:pPr>
    </w:p>
    <w:p w14:paraId="031C21A9" w14:textId="77777777" w:rsidR="00037198" w:rsidRPr="00481068" w:rsidRDefault="00037198" w:rsidP="00AF5B0E">
      <w:pPr>
        <w:pStyle w:val="Prrafodelista"/>
        <w:snapToGrid w:val="0"/>
        <w:spacing w:line="276" w:lineRule="auto"/>
        <w:ind w:left="0" w:firstLine="709"/>
        <w:jc w:val="both"/>
        <w:rPr>
          <w:rFonts w:ascii="Arial" w:eastAsia="Calibri" w:hAnsi="Arial" w:cs="Arial"/>
          <w:sz w:val="22"/>
        </w:rPr>
      </w:pPr>
      <w:r w:rsidRPr="00481068">
        <w:rPr>
          <w:rFonts w:ascii="Arial" w:eastAsia="Calibri" w:hAnsi="Arial" w:cs="Arial"/>
          <w:sz w:val="22"/>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6943F3E9" w14:textId="77777777" w:rsidR="00037198" w:rsidRPr="00481068" w:rsidRDefault="00037198" w:rsidP="00AF5B0E">
      <w:pPr>
        <w:pStyle w:val="Prrafodelista"/>
        <w:snapToGrid w:val="0"/>
        <w:spacing w:line="276" w:lineRule="auto"/>
        <w:ind w:left="0" w:firstLine="709"/>
        <w:jc w:val="both"/>
        <w:rPr>
          <w:rFonts w:ascii="Arial" w:eastAsia="Calibri" w:hAnsi="Arial" w:cs="Arial"/>
          <w:sz w:val="22"/>
        </w:rPr>
      </w:pPr>
    </w:p>
    <w:p w14:paraId="6EF10F3B" w14:textId="77777777" w:rsidR="00037198" w:rsidRPr="00481068" w:rsidRDefault="00037198" w:rsidP="00AF5B0E">
      <w:pPr>
        <w:pStyle w:val="Prrafodelista"/>
        <w:ind w:left="709" w:right="709"/>
        <w:jc w:val="both"/>
        <w:rPr>
          <w:rFonts w:ascii="Arial" w:eastAsia="MS Mincho" w:hAnsi="Arial" w:cs="Arial"/>
          <w:sz w:val="21"/>
          <w:szCs w:val="21"/>
          <w:lang w:eastAsia="es-ES"/>
        </w:rPr>
      </w:pPr>
      <w:r w:rsidRPr="00481068">
        <w:rPr>
          <w:rFonts w:ascii="Arial" w:eastAsia="MS Mincho" w:hAnsi="Arial" w:cs="Arial"/>
          <w:sz w:val="21"/>
          <w:szCs w:val="21"/>
          <w:lang w:eastAsia="es-ES"/>
        </w:rPr>
        <w:t xml:space="preserve">i) Contratos celebrados en el exterior, los cuales se podrán regir en su ejecución por las reglas del país donde se ha suscrito, salvo cuando su cumplimiento deba </w:t>
      </w:r>
      <w:r w:rsidRPr="00481068">
        <w:rPr>
          <w:rFonts w:ascii="Arial" w:eastAsia="MS Mincho" w:hAnsi="Arial" w:cs="Arial"/>
          <w:sz w:val="21"/>
          <w:szCs w:val="21"/>
          <w:lang w:eastAsia="es-ES"/>
        </w:rPr>
        <w:lastRenderedPageBreak/>
        <w:t>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481068">
        <w:rPr>
          <w:rStyle w:val="Refdenotaalpie"/>
          <w:rFonts w:ascii="Arial" w:hAnsi="Arial" w:cs="Arial"/>
          <w:sz w:val="21"/>
          <w:szCs w:val="21"/>
        </w:rPr>
        <w:footnoteReference w:id="28"/>
      </w:r>
      <w:r w:rsidRPr="00481068">
        <w:rPr>
          <w:rFonts w:ascii="Arial" w:eastAsia="MS Mincho" w:hAnsi="Arial" w:cs="Arial"/>
          <w:sz w:val="21"/>
          <w:szCs w:val="21"/>
          <w:lang w:eastAsia="es-ES"/>
        </w:rPr>
        <w:t xml:space="preserve">. </w:t>
      </w:r>
    </w:p>
    <w:p w14:paraId="30E23642" w14:textId="77777777" w:rsidR="00037198" w:rsidRPr="00481068" w:rsidRDefault="00037198" w:rsidP="00037198">
      <w:pPr>
        <w:pStyle w:val="Prrafodelista"/>
        <w:spacing w:before="120"/>
        <w:ind w:left="851" w:right="709"/>
        <w:rPr>
          <w:rFonts w:ascii="Arial" w:eastAsia="Calibri" w:hAnsi="Arial" w:cs="Arial"/>
          <w:sz w:val="22"/>
        </w:rPr>
      </w:pPr>
    </w:p>
    <w:p w14:paraId="71484423" w14:textId="77777777" w:rsidR="00037198" w:rsidRPr="00481068" w:rsidRDefault="00037198" w:rsidP="00037198">
      <w:pPr>
        <w:spacing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481068">
        <w:rPr>
          <w:rStyle w:val="Refdenotaalpie"/>
          <w:rFonts w:ascii="Arial" w:eastAsia="Calibri" w:hAnsi="Arial" w:cs="Arial"/>
          <w:sz w:val="22"/>
          <w:szCs w:val="22"/>
        </w:rPr>
        <w:footnoteReference w:id="29"/>
      </w:r>
      <w:r w:rsidRPr="00481068">
        <w:rPr>
          <w:rFonts w:ascii="Arial" w:eastAsia="Calibri" w:hAnsi="Arial" w:cs="Arial"/>
          <w:sz w:val="22"/>
          <w:szCs w:val="22"/>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7C6ADB76" w14:textId="77777777" w:rsidR="00037198" w:rsidRPr="00481068" w:rsidRDefault="00037198" w:rsidP="00037198">
      <w:pPr>
        <w:spacing w:before="120" w:after="120"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Para comprender el alcance del régimen aplicable a los contratos o convenios que se suscriban con organismos internacionales, de acuerdo con la financiación de estos, resulta necesario analizar el artículo 20 de la Ley 1150 de 2007</w:t>
      </w:r>
      <w:r w:rsidRPr="00481068">
        <w:rPr>
          <w:rStyle w:val="Refdenotaalpie"/>
          <w:rFonts w:ascii="Arial" w:eastAsia="Calibri" w:hAnsi="Arial" w:cs="Arial"/>
          <w:sz w:val="22"/>
          <w:szCs w:val="22"/>
        </w:rPr>
        <w:footnoteReference w:id="30"/>
      </w:r>
      <w:r w:rsidRPr="00481068">
        <w:rPr>
          <w:rFonts w:ascii="Arial" w:eastAsia="Calibri" w:hAnsi="Arial" w:cs="Arial"/>
          <w:sz w:val="22"/>
          <w:szCs w:val="22"/>
          <w:lang w:val="es-ES"/>
        </w:rPr>
        <w:t xml:space="preserve">. De conformidad con este </w:t>
      </w:r>
      <w:r w:rsidRPr="00481068">
        <w:rPr>
          <w:rFonts w:ascii="Arial" w:eastAsia="Calibri" w:hAnsi="Arial" w:cs="Arial"/>
          <w:sz w:val="22"/>
          <w:szCs w:val="22"/>
          <w:lang w:val="es-ES"/>
        </w:rPr>
        <w:lastRenderedPageBreak/>
        <w:t xml:space="preserve">artículo, en lo que tiene que ver con el </w:t>
      </w:r>
      <w:r w:rsidRPr="00481068">
        <w:rPr>
          <w:rFonts w:ascii="Arial" w:eastAsia="Calibri" w:hAnsi="Arial" w:cs="Arial"/>
          <w:i/>
          <w:iCs/>
          <w:sz w:val="22"/>
          <w:szCs w:val="22"/>
          <w:lang w:val="es-ES"/>
        </w:rPr>
        <w:t>inciso primero</w:t>
      </w:r>
      <w:r w:rsidRPr="00481068">
        <w:rPr>
          <w:rFonts w:ascii="Arial" w:eastAsia="Calibri" w:hAnsi="Arial" w:cs="Arial"/>
          <w:sz w:val="22"/>
          <w:szCs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2A723BAC" w14:textId="77777777" w:rsidR="00037198" w:rsidRPr="00481068" w:rsidRDefault="00037198" w:rsidP="00037198">
      <w:pPr>
        <w:spacing w:before="120"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 xml:space="preserve">Por otro lado, la norma establece un segundo criterio, en el </w:t>
      </w:r>
      <w:r w:rsidRPr="00481068">
        <w:rPr>
          <w:rFonts w:ascii="Arial" w:eastAsia="Calibri" w:hAnsi="Arial" w:cs="Arial"/>
          <w:i/>
          <w:iCs/>
          <w:sz w:val="22"/>
          <w:szCs w:val="22"/>
          <w:lang w:val="es-ES"/>
        </w:rPr>
        <w:t>inciso segundo,</w:t>
      </w:r>
      <w:r w:rsidRPr="00481068">
        <w:rPr>
          <w:rFonts w:ascii="Arial" w:eastAsia="Calibri" w:hAnsi="Arial" w:cs="Arial"/>
          <w:sz w:val="22"/>
          <w:szCs w:val="22"/>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En tal sentido, los otros supuestos en que es posible someter el régimen contractual a los reglamentos de los organismos internacionales son los siguientes: </w:t>
      </w:r>
    </w:p>
    <w:p w14:paraId="7B680E6C" w14:textId="77777777" w:rsidR="00037198" w:rsidRPr="00481068" w:rsidRDefault="00037198" w:rsidP="00037198">
      <w:pPr>
        <w:spacing w:line="276" w:lineRule="auto"/>
        <w:ind w:firstLine="709"/>
        <w:jc w:val="both"/>
        <w:rPr>
          <w:rFonts w:ascii="Arial" w:eastAsia="Calibri" w:hAnsi="Arial" w:cs="Arial"/>
          <w:sz w:val="22"/>
          <w:szCs w:val="22"/>
          <w:lang w:val="es-ES"/>
        </w:rPr>
      </w:pPr>
    </w:p>
    <w:p w14:paraId="61FE3660" w14:textId="77777777" w:rsidR="00037198" w:rsidRPr="00481068" w:rsidRDefault="00037198" w:rsidP="00037198">
      <w:pPr>
        <w:pStyle w:val="Prrafodelista"/>
        <w:numPr>
          <w:ilvl w:val="0"/>
          <w:numId w:val="40"/>
        </w:numPr>
        <w:spacing w:after="200" w:line="276" w:lineRule="auto"/>
        <w:ind w:left="1134" w:right="709" w:hanging="141"/>
        <w:jc w:val="both"/>
        <w:rPr>
          <w:rFonts w:ascii="Arial" w:eastAsia="Calibri" w:hAnsi="Arial" w:cs="Arial"/>
          <w:sz w:val="21"/>
          <w:szCs w:val="21"/>
        </w:rPr>
      </w:pPr>
      <w:r w:rsidRPr="00481068">
        <w:rPr>
          <w:rFonts w:ascii="Arial" w:eastAsia="Calibri" w:hAnsi="Arial" w:cs="Arial"/>
          <w:sz w:val="21"/>
          <w:szCs w:val="21"/>
        </w:rPr>
        <w:t xml:space="preserve">Desarrollo de programas de promoción, prevención y atención en salud. </w:t>
      </w:r>
    </w:p>
    <w:p w14:paraId="7078E580" w14:textId="77777777" w:rsidR="00037198" w:rsidRPr="00481068" w:rsidRDefault="00037198" w:rsidP="00037198">
      <w:pPr>
        <w:pStyle w:val="Prrafodelista"/>
        <w:numPr>
          <w:ilvl w:val="0"/>
          <w:numId w:val="40"/>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necesarios para la operación de la OIT.</w:t>
      </w:r>
    </w:p>
    <w:p w14:paraId="69095D87" w14:textId="77777777" w:rsidR="00037198" w:rsidRPr="00481068" w:rsidRDefault="00037198" w:rsidP="00037198">
      <w:pPr>
        <w:pStyle w:val="Prrafodelista"/>
        <w:numPr>
          <w:ilvl w:val="0"/>
          <w:numId w:val="40"/>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que se ejecuten en desarrollo del sistema integrado de monitoreo de cultivos ilícitos.</w:t>
      </w:r>
    </w:p>
    <w:p w14:paraId="2755F1F7" w14:textId="77777777" w:rsidR="00037198" w:rsidRPr="00481068" w:rsidRDefault="00037198" w:rsidP="00037198">
      <w:pPr>
        <w:pStyle w:val="Prrafodelista"/>
        <w:numPr>
          <w:ilvl w:val="0"/>
          <w:numId w:val="40"/>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la operación del programa mundial de alimentos.</w:t>
      </w:r>
    </w:p>
    <w:p w14:paraId="2730561E" w14:textId="77777777" w:rsidR="00037198" w:rsidRPr="00481068" w:rsidRDefault="00037198" w:rsidP="00037198">
      <w:pPr>
        <w:pStyle w:val="Prrafodelista"/>
        <w:numPr>
          <w:ilvl w:val="0"/>
          <w:numId w:val="40"/>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el desarrollo de programas de apoyo educativo a población desplazada y vulnerable adelantados por la Unesco y la OIM.</w:t>
      </w:r>
    </w:p>
    <w:p w14:paraId="04647805" w14:textId="77777777" w:rsidR="00037198" w:rsidRPr="00481068" w:rsidRDefault="00037198" w:rsidP="00037198">
      <w:pPr>
        <w:pStyle w:val="Prrafodelista"/>
        <w:numPr>
          <w:ilvl w:val="0"/>
          <w:numId w:val="40"/>
        </w:numPr>
        <w:spacing w:line="276" w:lineRule="auto"/>
        <w:ind w:left="1134" w:right="709" w:hanging="141"/>
        <w:jc w:val="both"/>
        <w:rPr>
          <w:rFonts w:ascii="Arial" w:hAnsi="Arial" w:cs="Arial"/>
          <w:sz w:val="22"/>
        </w:rPr>
      </w:pPr>
      <w:r w:rsidRPr="00481068">
        <w:rPr>
          <w:rFonts w:ascii="Arial" w:hAnsi="Arial" w:cs="Arial"/>
          <w:sz w:val="21"/>
          <w:szCs w:val="21"/>
        </w:rPr>
        <w:t>Los contratos o convenios financiados con fondos de los organismos multilaterales de crédito y entes gubernamentales extranjeros.</w:t>
      </w:r>
      <w:r w:rsidRPr="00481068">
        <w:rPr>
          <w:rFonts w:ascii="Arial" w:hAnsi="Arial" w:cs="Arial"/>
          <w:sz w:val="22"/>
        </w:rPr>
        <w:t xml:space="preserve"> </w:t>
      </w:r>
    </w:p>
    <w:p w14:paraId="1D5D175C" w14:textId="77777777" w:rsidR="00037198" w:rsidRPr="00481068" w:rsidRDefault="00037198" w:rsidP="00037198">
      <w:pPr>
        <w:pStyle w:val="Prrafodelista"/>
        <w:ind w:left="1429"/>
        <w:rPr>
          <w:rFonts w:ascii="Arial" w:hAnsi="Arial" w:cs="Arial"/>
          <w:sz w:val="22"/>
        </w:rPr>
      </w:pPr>
    </w:p>
    <w:p w14:paraId="1755D919" w14:textId="77777777" w:rsidR="00037198" w:rsidRPr="00481068" w:rsidRDefault="00037198" w:rsidP="00037198">
      <w:pPr>
        <w:spacing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 xml:space="preserve">En los supuestos anteriores, regulados en el inciso segundo del artículo 20, independientemente del monto de los aportes de cada una de las partes, es posible optar por someter el contrato a los reglamentos de dichos organismos o bien someterlos al </w:t>
      </w:r>
      <w:r w:rsidRPr="00481068">
        <w:rPr>
          <w:rFonts w:ascii="Arial" w:eastAsia="Calibri" w:hAnsi="Arial" w:cs="Arial"/>
          <w:sz w:val="22"/>
          <w:szCs w:val="22"/>
          <w:lang w:val="es-ES"/>
        </w:rPr>
        <w:lastRenderedPageBreak/>
        <w:t>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53766228" w14:textId="77777777" w:rsidR="00037198" w:rsidRPr="00481068" w:rsidRDefault="00037198" w:rsidP="00037198">
      <w:pPr>
        <w:spacing w:line="276" w:lineRule="auto"/>
        <w:ind w:firstLine="709"/>
        <w:jc w:val="both"/>
        <w:rPr>
          <w:rFonts w:ascii="Arial" w:eastAsia="Calibri" w:hAnsi="Arial" w:cs="Arial"/>
          <w:sz w:val="22"/>
          <w:szCs w:val="22"/>
          <w:lang w:val="es-ES"/>
        </w:rPr>
      </w:pPr>
    </w:p>
    <w:p w14:paraId="7FA07CB5" w14:textId="77777777" w:rsidR="00037198" w:rsidRPr="00481068" w:rsidRDefault="00037198" w:rsidP="00037198">
      <w:pPr>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 </w:t>
      </w:r>
      <w:bookmarkStart w:id="33" w:name="_Hlk102741655"/>
      <w:r w:rsidRPr="00481068">
        <w:rPr>
          <w:rFonts w:ascii="Arial" w:eastAsia="Calibri" w:hAnsi="Arial" w:cs="Arial"/>
          <w:sz w:val="21"/>
          <w:szCs w:val="21"/>
          <w:lang w:val="es-ES"/>
        </w:rPr>
        <w:t>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bookmarkEnd w:id="33"/>
      <w:r w:rsidRPr="00481068">
        <w:rPr>
          <w:rFonts w:ascii="Arial" w:eastAsia="Calibri" w:hAnsi="Arial" w:cs="Arial"/>
          <w:sz w:val="21"/>
          <w:szCs w:val="21"/>
          <w:lang w:val="es-ES"/>
        </w:rPr>
        <w:t>.</w:t>
      </w:r>
    </w:p>
    <w:p w14:paraId="4ADD2656" w14:textId="77777777" w:rsidR="00037198" w:rsidRPr="00481068" w:rsidRDefault="00037198" w:rsidP="00037198">
      <w:pPr>
        <w:ind w:left="709" w:right="709"/>
        <w:jc w:val="both"/>
        <w:rPr>
          <w:rFonts w:ascii="Arial" w:eastAsia="Calibri" w:hAnsi="Arial" w:cs="Arial"/>
          <w:sz w:val="22"/>
          <w:szCs w:val="22"/>
          <w:lang w:val="es-ES"/>
        </w:rPr>
      </w:pPr>
    </w:p>
    <w:p w14:paraId="21149161" w14:textId="6AA8E373" w:rsidR="00037198" w:rsidRPr="00481068" w:rsidRDefault="00037198" w:rsidP="00AF5B0E">
      <w:pPr>
        <w:spacing w:after="120" w:line="276" w:lineRule="auto"/>
        <w:ind w:firstLine="709"/>
        <w:jc w:val="both"/>
        <w:rPr>
          <w:rFonts w:ascii="Arial" w:hAnsi="Arial" w:cs="Arial"/>
          <w:sz w:val="22"/>
          <w:szCs w:val="22"/>
        </w:rPr>
      </w:pPr>
      <w:r w:rsidRPr="00481068">
        <w:rPr>
          <w:rFonts w:ascii="Arial" w:eastAsia="Calibri" w:hAnsi="Arial" w:cs="Arial"/>
          <w:sz w:val="22"/>
          <w:szCs w:val="22"/>
          <w:lang w:val="es-ES"/>
        </w:rPr>
        <w:t>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481068">
        <w:rPr>
          <w:rStyle w:val="Refdenotaalpie"/>
          <w:rFonts w:ascii="Arial" w:eastAsia="Calibri" w:hAnsi="Arial" w:cs="Arial"/>
          <w:sz w:val="22"/>
          <w:szCs w:val="22"/>
        </w:rPr>
        <w:footnoteReference w:id="31"/>
      </w:r>
      <w:r w:rsidRPr="00481068">
        <w:rPr>
          <w:rFonts w:ascii="Arial" w:eastAsia="Calibri" w:hAnsi="Arial" w:cs="Arial"/>
          <w:sz w:val="22"/>
          <w:szCs w:val="22"/>
          <w:lang w:val="es-ES"/>
        </w:rPr>
        <w:t xml:space="preserve">. Así las cosas, la entidad contratante debe realizar </w:t>
      </w:r>
      <w:r w:rsidRPr="00481068">
        <w:rPr>
          <w:rFonts w:ascii="Arial" w:eastAsia="Calibri" w:hAnsi="Arial" w:cs="Arial"/>
          <w:sz w:val="22"/>
          <w:szCs w:val="22"/>
          <w:lang w:val="es-ES"/>
        </w:rPr>
        <w:lastRenderedPageBreak/>
        <w:t>un constante monitoreo respecto de los aportes de cada una de las partes para determinar si se debe realizar un ajuste frente al régimen aplicable, esto es, en relación con los contratos regulados en el inciso primero del artículo 20 de la Ley 1150 de 2007</w:t>
      </w:r>
      <w:r w:rsidRPr="00481068">
        <w:rPr>
          <w:rFonts w:ascii="Arial" w:hAnsi="Arial" w:cs="Arial"/>
          <w:sz w:val="22"/>
          <w:szCs w:val="22"/>
        </w:rPr>
        <w:t xml:space="preserve">. </w:t>
      </w:r>
    </w:p>
    <w:p w14:paraId="34D4BB85" w14:textId="560BD058" w:rsidR="00FC728E" w:rsidRPr="00481068" w:rsidRDefault="007A4952" w:rsidP="00AF5B0E">
      <w:pPr>
        <w:snapToGrid w:val="0"/>
        <w:spacing w:after="120" w:line="276" w:lineRule="auto"/>
        <w:ind w:firstLine="709"/>
        <w:jc w:val="both"/>
        <w:rPr>
          <w:rFonts w:ascii="Arial" w:eastAsia="Calibri" w:hAnsi="Arial" w:cs="Arial"/>
          <w:sz w:val="22"/>
          <w:szCs w:val="22"/>
          <w:lang w:val="es-ES" w:eastAsia="en-US"/>
        </w:rPr>
      </w:pPr>
      <w:r w:rsidRPr="00481068">
        <w:rPr>
          <w:rFonts w:ascii="Arial" w:hAnsi="Arial" w:cs="Arial"/>
          <w:sz w:val="22"/>
          <w:szCs w:val="22"/>
        </w:rPr>
        <w:t>Ahora bien, d</w:t>
      </w:r>
      <w:r w:rsidR="001056C4" w:rsidRPr="00481068">
        <w:rPr>
          <w:rFonts w:ascii="Arial" w:hAnsi="Arial" w:cs="Arial"/>
          <w:sz w:val="22"/>
          <w:szCs w:val="22"/>
          <w:lang w:val="es-MX"/>
        </w:rPr>
        <w:t xml:space="preserve">e acuerdo con el </w:t>
      </w:r>
      <w:r w:rsidR="001056C4" w:rsidRPr="00481068">
        <w:rPr>
          <w:rFonts w:ascii="Arial" w:eastAsia="Calibri" w:hAnsi="Arial" w:cs="Arial"/>
          <w:sz w:val="22"/>
          <w:szCs w:val="22"/>
          <w:lang w:val="es-ES" w:eastAsia="en-US"/>
        </w:rPr>
        <w:t>Concepto CU-180 del 8 de abril de 2022</w:t>
      </w:r>
      <w:r w:rsidR="0060503B" w:rsidRPr="00481068">
        <w:rPr>
          <w:rFonts w:ascii="Arial" w:eastAsia="Calibri" w:hAnsi="Arial" w:cs="Arial"/>
          <w:sz w:val="22"/>
          <w:szCs w:val="22"/>
          <w:lang w:val="es-ES" w:eastAsia="en-US"/>
        </w:rPr>
        <w:t xml:space="preserve"> de esta Agencia</w:t>
      </w:r>
      <w:r w:rsidR="001056C4" w:rsidRPr="00481068">
        <w:rPr>
          <w:rFonts w:ascii="Arial" w:eastAsia="Calibri" w:hAnsi="Arial" w:cs="Arial"/>
          <w:sz w:val="22"/>
          <w:szCs w:val="22"/>
          <w:lang w:val="es-ES" w:eastAsia="en-US"/>
        </w:rPr>
        <w:t>,</w:t>
      </w:r>
      <w:r w:rsidR="0006040A" w:rsidRPr="00481068">
        <w:rPr>
          <w:rFonts w:ascii="Arial" w:eastAsia="Calibri" w:hAnsi="Arial" w:cs="Arial"/>
          <w:sz w:val="22"/>
          <w:szCs w:val="22"/>
          <w:lang w:val="es-ES" w:eastAsia="en-US"/>
        </w:rPr>
        <w:t xml:space="preserve"> el artículo 20 de la Ley 1150 </w:t>
      </w:r>
      <w:r w:rsidR="0060503B" w:rsidRPr="00481068">
        <w:rPr>
          <w:rFonts w:ascii="Arial" w:eastAsia="Calibri" w:hAnsi="Arial" w:cs="Arial"/>
          <w:sz w:val="22"/>
          <w:szCs w:val="22"/>
          <w:lang w:val="es-ES" w:eastAsia="en-US"/>
        </w:rPr>
        <w:t xml:space="preserve">de 2007 </w:t>
      </w:r>
      <w:r w:rsidR="0006040A" w:rsidRPr="00481068">
        <w:rPr>
          <w:rFonts w:ascii="Arial" w:eastAsia="Calibri" w:hAnsi="Arial" w:cs="Arial"/>
          <w:sz w:val="22"/>
          <w:szCs w:val="22"/>
          <w:lang w:val="es-ES" w:eastAsia="en-US"/>
        </w:rPr>
        <w:t>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w:t>
      </w:r>
      <w:r w:rsidR="00C22305" w:rsidRPr="00481068">
        <w:rPr>
          <w:rFonts w:ascii="Arial" w:eastAsia="Calibri" w:hAnsi="Arial" w:cs="Arial"/>
          <w:sz w:val="22"/>
          <w:szCs w:val="22"/>
          <w:lang w:val="es-ES" w:eastAsia="en-US"/>
        </w:rPr>
        <w:t xml:space="preserve"> </w:t>
      </w:r>
      <w:r w:rsidR="004364FC" w:rsidRPr="00481068">
        <w:rPr>
          <w:rFonts w:ascii="Arial" w:eastAsia="Calibri" w:hAnsi="Arial" w:cs="Arial"/>
          <w:sz w:val="22"/>
          <w:szCs w:val="22"/>
          <w:lang w:val="es-ES" w:eastAsia="en-US"/>
        </w:rPr>
        <w:t>Por tanto, sobre el artículo 33 de la Ley de Garantías</w:t>
      </w:r>
      <w:r w:rsidR="004364FC" w:rsidRPr="00481068">
        <w:rPr>
          <w:rFonts w:ascii="Arial" w:eastAsia="Calibri" w:hAnsi="Arial" w:cs="Arial"/>
          <w:sz w:val="22"/>
          <w:szCs w:val="22"/>
          <w:lang w:val="es-MX" w:eastAsia="en-US"/>
        </w:rPr>
        <w:t xml:space="preserve">, </w:t>
      </w:r>
      <w:r w:rsidR="004364FC" w:rsidRPr="00481068">
        <w:rPr>
          <w:rFonts w:ascii="Arial" w:eastAsia="Calibri" w:hAnsi="Arial" w:cs="Arial"/>
          <w:sz w:val="22"/>
          <w:szCs w:val="22"/>
          <w:lang w:val="es-ES" w:eastAsia="en-US"/>
        </w:rPr>
        <w:t>la Agencia –al retomar la tesis del Concepto C-559 del 31 de agosto de 2021– consider</w:t>
      </w:r>
      <w:r w:rsidR="00741363" w:rsidRPr="00481068">
        <w:rPr>
          <w:rFonts w:ascii="Arial" w:eastAsia="Calibri" w:hAnsi="Arial" w:cs="Arial"/>
          <w:sz w:val="22"/>
          <w:szCs w:val="22"/>
          <w:lang w:val="es-ES" w:eastAsia="en-US"/>
        </w:rPr>
        <w:t>ó</w:t>
      </w:r>
      <w:r w:rsidR="004364FC" w:rsidRPr="00481068">
        <w:rPr>
          <w:rFonts w:ascii="Arial" w:eastAsia="Calibri" w:hAnsi="Arial" w:cs="Arial"/>
          <w:sz w:val="22"/>
          <w:szCs w:val="22"/>
          <w:lang w:val="es-ES" w:eastAsia="en-US"/>
        </w:rPr>
        <w:t xml:space="preserve"> lo siguiente: «[…] </w:t>
      </w:r>
      <w:r w:rsidR="004364FC" w:rsidRPr="00481068">
        <w:rPr>
          <w:rFonts w:ascii="Arial" w:eastAsia="Calibri" w:hAnsi="Arial" w:cs="Arial"/>
          <w:i/>
          <w:iCs/>
          <w:sz w:val="22"/>
          <w:szCs w:val="22"/>
          <w:lang w:val="es-ES" w:eastAsia="en-US"/>
        </w:rPr>
        <w:t>dado que</w:t>
      </w:r>
      <w:r w:rsidR="004364FC" w:rsidRPr="00481068">
        <w:rPr>
          <w:rFonts w:ascii="Arial" w:eastAsia="Calibri" w:hAnsi="Arial" w:cs="Arial"/>
          <w:sz w:val="22"/>
          <w:szCs w:val="22"/>
          <w:lang w:val="es-ES" w:eastAsia="en-US"/>
        </w:rPr>
        <w:t xml:space="preserve"> […] </w:t>
      </w:r>
      <w:r w:rsidR="004364FC" w:rsidRPr="00481068">
        <w:rPr>
          <w:rFonts w:ascii="Arial" w:eastAsia="Calibri" w:hAnsi="Arial" w:cs="Arial"/>
          <w:i/>
          <w:iCs/>
          <w:sz w:val="22"/>
          <w:szCs w:val="22"/>
          <w:lang w:val="es-ES" w:eastAsia="en-US"/>
        </w:rPr>
        <w:t>existen algunos casos en los cuales el legislador habilitó a las entidades públicas para que suscribieran contratos cuyo régimen es distinto al derecho nacional,</w:t>
      </w:r>
      <w:r w:rsidR="004364FC" w:rsidRPr="00481068">
        <w:rPr>
          <w:rFonts w:ascii="Arial" w:eastAsia="Calibri" w:hAnsi="Arial" w:cs="Arial"/>
          <w:sz w:val="22"/>
          <w:szCs w:val="22"/>
          <w:lang w:val="es-ES" w:eastAsia="en-US"/>
        </w:rPr>
        <w:t xml:space="preserve"> […] </w:t>
      </w:r>
      <w:r w:rsidR="004364FC" w:rsidRPr="00481068">
        <w:rPr>
          <w:rFonts w:ascii="Arial" w:eastAsia="Calibri" w:hAnsi="Arial" w:cs="Arial"/>
          <w:i/>
          <w:iCs/>
          <w:sz w:val="22"/>
          <w:szCs w:val="22"/>
          <w:lang w:val="es-ES" w:eastAsia="en-US"/>
        </w:rPr>
        <w:t>en estos eventos dicha restricción no sería aplicable</w:t>
      </w:r>
      <w:r w:rsidR="004364FC" w:rsidRPr="00481068">
        <w:rPr>
          <w:rFonts w:ascii="Arial" w:eastAsia="Calibri" w:hAnsi="Arial" w:cs="Arial"/>
          <w:sz w:val="22"/>
          <w:szCs w:val="22"/>
          <w:lang w:val="es-ES" w:eastAsia="en-US"/>
        </w:rPr>
        <w:t>» (Énfasis fuera de texto)</w:t>
      </w:r>
      <w:r w:rsidR="0083788E" w:rsidRPr="00481068">
        <w:rPr>
          <w:rFonts w:ascii="Arial" w:eastAsia="Calibri" w:hAnsi="Arial" w:cs="Arial"/>
          <w:sz w:val="22"/>
          <w:szCs w:val="22"/>
          <w:lang w:val="es-ES" w:eastAsia="en-US"/>
        </w:rPr>
        <w:t xml:space="preserve">. </w:t>
      </w:r>
    </w:p>
    <w:p w14:paraId="6102A70C" w14:textId="6B2BF00F" w:rsidR="00CD5D94" w:rsidRPr="00481068" w:rsidRDefault="007A4952" w:rsidP="00563680">
      <w:pPr>
        <w:snapToGrid w:val="0"/>
        <w:spacing w:line="276" w:lineRule="auto"/>
        <w:ind w:firstLine="708"/>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Para efectos de la tesis unificada,</w:t>
      </w:r>
      <w:r w:rsidR="0083788E" w:rsidRPr="00481068">
        <w:rPr>
          <w:rFonts w:ascii="Arial" w:eastAsia="Calibri" w:hAnsi="Arial" w:cs="Arial"/>
          <w:sz w:val="22"/>
          <w:szCs w:val="22"/>
          <w:lang w:val="es-ES" w:eastAsia="en-US"/>
        </w:rPr>
        <w:t xml:space="preserve"> el artículo 20 </w:t>
      </w:r>
      <w:r w:rsidR="00176F27" w:rsidRPr="00481068">
        <w:rPr>
          <w:rFonts w:ascii="Arial" w:eastAsia="Calibri" w:hAnsi="Arial" w:cs="Arial"/>
          <w:sz w:val="22"/>
          <w:szCs w:val="22"/>
          <w:lang w:val="es-ES" w:eastAsia="en-US"/>
        </w:rPr>
        <w:t>de la Ley 1150 de 2007 implica un régimen exceptuado distinto a los demás, en la medida que el derecho aplicable a estos contratos no es el derecho nacional</w:t>
      </w:r>
      <w:r w:rsidRPr="00481068">
        <w:rPr>
          <w:rFonts w:ascii="Arial" w:eastAsia="Calibri" w:hAnsi="Arial" w:cs="Arial"/>
          <w:sz w:val="22"/>
          <w:szCs w:val="22"/>
          <w:lang w:val="es-ES" w:eastAsia="en-US"/>
        </w:rPr>
        <w:t>,</w:t>
      </w:r>
      <w:r w:rsidR="00176F27" w:rsidRPr="00481068">
        <w:rPr>
          <w:rFonts w:ascii="Arial" w:eastAsia="Calibri" w:hAnsi="Arial" w:cs="Arial"/>
          <w:sz w:val="22"/>
          <w:szCs w:val="22"/>
          <w:lang w:val="es-ES" w:eastAsia="en-US"/>
        </w:rPr>
        <w:t xml:space="preserve"> sino </w:t>
      </w:r>
      <w:r w:rsidR="00E569FA" w:rsidRPr="00481068">
        <w:rPr>
          <w:rFonts w:ascii="Arial" w:eastAsia="Calibri" w:hAnsi="Arial" w:cs="Arial"/>
          <w:sz w:val="22"/>
          <w:szCs w:val="22"/>
          <w:lang w:val="es-ES" w:eastAsia="en-US"/>
        </w:rPr>
        <w:t>disposiciones</w:t>
      </w:r>
      <w:r w:rsidR="00176F27" w:rsidRPr="00481068">
        <w:rPr>
          <w:rFonts w:ascii="Arial" w:eastAsia="Calibri" w:hAnsi="Arial" w:cs="Arial"/>
          <w:sz w:val="22"/>
          <w:szCs w:val="22"/>
          <w:lang w:val="es-ES" w:eastAsia="en-US"/>
        </w:rPr>
        <w:t xml:space="preserve"> de carácter internacional, </w:t>
      </w:r>
      <w:r w:rsidRPr="00481068">
        <w:rPr>
          <w:rFonts w:ascii="Arial" w:eastAsia="Calibri" w:hAnsi="Arial" w:cs="Arial"/>
          <w:sz w:val="22"/>
          <w:szCs w:val="22"/>
          <w:lang w:val="es-ES" w:eastAsia="en-US"/>
        </w:rPr>
        <w:t>normas que se</w:t>
      </w:r>
      <w:r w:rsidR="00176F27" w:rsidRPr="00481068">
        <w:rPr>
          <w:rFonts w:ascii="Arial" w:eastAsia="Calibri" w:hAnsi="Arial" w:cs="Arial"/>
          <w:sz w:val="22"/>
          <w:szCs w:val="22"/>
          <w:lang w:val="es-ES" w:eastAsia="en-US"/>
        </w:rPr>
        <w:t xml:space="preserve"> materializan a través de los reglamentos de</w:t>
      </w:r>
      <w:r w:rsidR="00E569FA" w:rsidRPr="00481068">
        <w:rPr>
          <w:rFonts w:ascii="Arial" w:eastAsia="Calibri" w:hAnsi="Arial" w:cs="Arial"/>
          <w:sz w:val="22"/>
          <w:szCs w:val="22"/>
          <w:lang w:val="es-ES" w:eastAsia="en-US"/>
        </w:rPr>
        <w:t xml:space="preserve"> los organismos de</w:t>
      </w:r>
      <w:r w:rsidR="00176F27" w:rsidRPr="00481068">
        <w:rPr>
          <w:rFonts w:ascii="Arial" w:eastAsia="Calibri" w:hAnsi="Arial" w:cs="Arial"/>
          <w:sz w:val="22"/>
          <w:szCs w:val="22"/>
          <w:lang w:val="es-ES" w:eastAsia="en-US"/>
        </w:rPr>
        <w:t xml:space="preserve"> cooperación, asistencia o ayuda</w:t>
      </w:r>
      <w:r w:rsidRPr="00481068">
        <w:rPr>
          <w:rFonts w:ascii="Arial" w:eastAsia="Calibri" w:hAnsi="Arial" w:cs="Arial"/>
          <w:sz w:val="22"/>
          <w:szCs w:val="22"/>
          <w:lang w:val="es-ES" w:eastAsia="en-US"/>
        </w:rPr>
        <w:t xml:space="preserve">. Así las cosas, </w:t>
      </w:r>
      <w:r w:rsidR="001E7B2B" w:rsidRPr="00481068">
        <w:rPr>
          <w:rFonts w:ascii="Arial" w:eastAsia="Calibri" w:hAnsi="Arial" w:cs="Arial"/>
          <w:sz w:val="22"/>
          <w:szCs w:val="22"/>
          <w:lang w:val="es-ES" w:eastAsia="en-US"/>
        </w:rPr>
        <w:t xml:space="preserve">en </w:t>
      </w:r>
      <w:r w:rsidRPr="00481068">
        <w:rPr>
          <w:rFonts w:ascii="Arial" w:eastAsia="Calibri" w:hAnsi="Arial" w:cs="Arial"/>
          <w:sz w:val="22"/>
          <w:szCs w:val="22"/>
          <w:lang w:val="es-ES" w:eastAsia="en-US"/>
        </w:rPr>
        <w:t>el Concepto CU-180 del 8 de abril de 2022</w:t>
      </w:r>
      <w:r w:rsidR="001E7B2B" w:rsidRPr="00481068">
        <w:rPr>
          <w:rFonts w:ascii="Arial" w:eastAsia="Calibri" w:hAnsi="Arial" w:cs="Arial"/>
          <w:sz w:val="22"/>
          <w:szCs w:val="22"/>
          <w:lang w:val="es-ES" w:eastAsia="en-US"/>
        </w:rPr>
        <w:t>, la Agencia estimó que</w:t>
      </w:r>
      <w:r w:rsidR="00CD5D94" w:rsidRPr="00481068">
        <w:rPr>
          <w:rFonts w:ascii="Arial" w:eastAsia="Calibri" w:hAnsi="Arial" w:cs="Arial"/>
          <w:sz w:val="22"/>
          <w:szCs w:val="22"/>
          <w:lang w:val="es-ES" w:eastAsia="en-US"/>
        </w:rPr>
        <w:t>:</w:t>
      </w:r>
    </w:p>
    <w:p w14:paraId="1B4FE483" w14:textId="77777777" w:rsidR="00455672" w:rsidRPr="00481068" w:rsidRDefault="00455672" w:rsidP="00AF5B0E">
      <w:pPr>
        <w:snapToGrid w:val="0"/>
        <w:spacing w:line="276" w:lineRule="auto"/>
        <w:jc w:val="both"/>
        <w:rPr>
          <w:rFonts w:ascii="Arial" w:eastAsia="Calibri" w:hAnsi="Arial" w:cs="Arial"/>
          <w:sz w:val="22"/>
          <w:szCs w:val="22"/>
          <w:lang w:val="es-ES" w:eastAsia="en-US"/>
        </w:rPr>
      </w:pPr>
    </w:p>
    <w:p w14:paraId="017F82F6" w14:textId="0D80A53E" w:rsidR="00CD5D94" w:rsidRPr="00481068" w:rsidRDefault="00CD5D94" w:rsidP="00AF5B0E">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 siempre y cuando se cumplan con los requisitos que el artículo 20 impone, las partes que deseen contratar podrán incorporar las normas contenidas en los 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14:paraId="13CFC8E6" w14:textId="77777777" w:rsidR="00CD5D94" w:rsidRPr="00481068" w:rsidRDefault="00CD5D94" w:rsidP="00AF5B0E">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lastRenderedPageBreak/>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14:paraId="255AD582" w14:textId="77777777" w:rsidR="00CD5D94" w:rsidRPr="00481068" w:rsidRDefault="00CD5D94" w:rsidP="00AF5B0E">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28BD92D0" w14:textId="77777777" w:rsidR="00CD5D94" w:rsidRPr="00481068" w:rsidRDefault="00CD5D94" w:rsidP="00AF5B0E">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 </w:t>
      </w:r>
    </w:p>
    <w:p w14:paraId="0BB608B3" w14:textId="4624EF9A" w:rsidR="00CD5D94" w:rsidRPr="00481068" w:rsidRDefault="00CD5D94" w:rsidP="00AF5B0E">
      <w:pPr>
        <w:snapToGrid w:val="0"/>
        <w:ind w:left="709" w:right="709"/>
        <w:jc w:val="both"/>
        <w:rPr>
          <w:rFonts w:ascii="Arial" w:eastAsia="Calibri" w:hAnsi="Arial" w:cs="Arial"/>
          <w:sz w:val="22"/>
          <w:szCs w:val="22"/>
          <w:lang w:val="es-ES" w:eastAsia="en-US"/>
        </w:rPr>
      </w:pPr>
      <w:r w:rsidRPr="00481068">
        <w:rPr>
          <w:rFonts w:ascii="Arial" w:eastAsia="Calibri" w:hAnsi="Arial" w:cs="Arial"/>
          <w:sz w:val="21"/>
          <w:szCs w:val="21"/>
          <w:lang w:val="es-ES" w:eastAsia="en-US"/>
        </w:rPr>
        <w:t>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un contrato regulado por esta última disposición pueden optar por aplicar la normativa nacional o la internacional de manera absoluta o parcial</w:t>
      </w:r>
      <w:r w:rsidR="00741363" w:rsidRPr="00481068">
        <w:rPr>
          <w:rStyle w:val="Refdenotaalpie"/>
          <w:rFonts w:ascii="Arial" w:eastAsia="Calibri" w:hAnsi="Arial" w:cs="Arial"/>
          <w:sz w:val="21"/>
          <w:szCs w:val="21"/>
          <w:lang w:val="es-ES" w:eastAsia="en-US"/>
        </w:rPr>
        <w:footnoteReference w:id="32"/>
      </w:r>
      <w:r w:rsidRPr="00481068">
        <w:rPr>
          <w:rFonts w:ascii="Arial" w:eastAsia="Calibri" w:hAnsi="Arial" w:cs="Arial"/>
          <w:sz w:val="21"/>
          <w:szCs w:val="21"/>
          <w:lang w:val="es-ES" w:eastAsia="en-US"/>
        </w:rPr>
        <w:t>.</w:t>
      </w:r>
      <w:r w:rsidRPr="00481068">
        <w:rPr>
          <w:rFonts w:ascii="Arial" w:eastAsia="Calibri" w:hAnsi="Arial" w:cs="Arial"/>
          <w:sz w:val="22"/>
          <w:szCs w:val="22"/>
          <w:lang w:val="es-ES" w:eastAsia="en-US"/>
        </w:rPr>
        <w:t xml:space="preserve"> </w:t>
      </w:r>
    </w:p>
    <w:p w14:paraId="2DB58DFA" w14:textId="291489E3" w:rsidR="00455672" w:rsidRPr="00481068" w:rsidRDefault="00455672" w:rsidP="00CD5D94">
      <w:pPr>
        <w:snapToGrid w:val="0"/>
        <w:spacing w:line="276" w:lineRule="auto"/>
        <w:jc w:val="both"/>
        <w:rPr>
          <w:rFonts w:ascii="Arial" w:eastAsia="Calibri" w:hAnsi="Arial" w:cs="Arial"/>
          <w:sz w:val="22"/>
          <w:szCs w:val="22"/>
          <w:lang w:val="es-ES" w:eastAsia="en-US"/>
        </w:rPr>
      </w:pPr>
    </w:p>
    <w:p w14:paraId="69C799FB" w14:textId="5E3F7FA1" w:rsidR="001056C4" w:rsidRPr="00481068" w:rsidRDefault="00455672">
      <w:pPr>
        <w:snapToGrid w:val="0"/>
        <w:spacing w:line="276" w:lineRule="auto"/>
        <w:jc w:val="both"/>
        <w:rPr>
          <w:rFonts w:ascii="Arial" w:eastAsia="Calibri" w:hAnsi="Arial" w:cs="Arial"/>
          <w:bCs/>
          <w:sz w:val="22"/>
          <w:szCs w:val="22"/>
          <w:lang w:val="es-ES"/>
        </w:rPr>
      </w:pPr>
      <w:r w:rsidRPr="00481068">
        <w:rPr>
          <w:rFonts w:ascii="Arial" w:eastAsia="Calibri" w:hAnsi="Arial" w:cs="Arial"/>
          <w:sz w:val="22"/>
          <w:szCs w:val="22"/>
          <w:lang w:val="es-ES" w:eastAsia="en-US"/>
        </w:rPr>
        <w:tab/>
      </w:r>
      <w:r w:rsidR="009A61EA" w:rsidRPr="00481068">
        <w:rPr>
          <w:rFonts w:ascii="Arial" w:eastAsia="Calibri" w:hAnsi="Arial" w:cs="Arial"/>
          <w:sz w:val="22"/>
          <w:szCs w:val="22"/>
          <w:lang w:val="es-ES" w:eastAsia="en-US"/>
        </w:rPr>
        <w:t xml:space="preserve">De acuerdo con la fundamentación del concepto citado, lo anterior no implica una violación de las normas nacionales, puesto que la contratación </w:t>
      </w:r>
      <w:r w:rsidR="00635824" w:rsidRPr="00481068">
        <w:rPr>
          <w:rFonts w:ascii="Arial" w:eastAsia="Calibri" w:hAnsi="Arial" w:cs="Arial"/>
          <w:sz w:val="22"/>
          <w:szCs w:val="22"/>
          <w:lang w:val="es-ES" w:eastAsia="en-US"/>
        </w:rPr>
        <w:t>con los sujetos previstos en el artículo 20 de la Ley 1150 de 2007 se encuentra amparada por tratados, convenios o convenciones ratificados por el Estado e incorporados debidamente al ordenamiento jurídico interno. De esta manera,</w:t>
      </w:r>
      <w:r w:rsidR="00741363" w:rsidRPr="00481068">
        <w:rPr>
          <w:rFonts w:ascii="Arial" w:eastAsia="Calibri" w:hAnsi="Arial" w:cs="Arial"/>
          <w:sz w:val="22"/>
          <w:szCs w:val="22"/>
          <w:lang w:val="es-ES" w:eastAsia="en-US"/>
        </w:rPr>
        <w:t xml:space="preserve"> en dicho concepto</w:t>
      </w:r>
      <w:r w:rsidR="00635824" w:rsidRPr="00481068">
        <w:rPr>
          <w:rFonts w:ascii="Arial" w:eastAsia="Calibri" w:hAnsi="Arial" w:cs="Arial"/>
          <w:sz w:val="22"/>
          <w:szCs w:val="22"/>
          <w:lang w:val="es-ES" w:eastAsia="en-US"/>
        </w:rPr>
        <w:t xml:space="preserve"> también </w:t>
      </w:r>
      <w:r w:rsidR="00A6049A" w:rsidRPr="00481068">
        <w:rPr>
          <w:rFonts w:ascii="Arial" w:eastAsia="Calibri" w:hAnsi="Arial" w:cs="Arial"/>
          <w:sz w:val="22"/>
          <w:szCs w:val="22"/>
          <w:lang w:val="es-ES" w:eastAsia="en-US"/>
        </w:rPr>
        <w:t xml:space="preserve">estimó que este régimen de excepcionalidad obedece a </w:t>
      </w:r>
      <w:r w:rsidR="00A6049A" w:rsidRPr="00481068">
        <w:rPr>
          <w:rFonts w:ascii="Arial" w:eastAsia="Calibri" w:hAnsi="Arial" w:cs="Arial"/>
          <w:sz w:val="22"/>
          <w:szCs w:val="22"/>
          <w:lang w:val="es-ES_tradnl" w:eastAsia="en-US"/>
        </w:rPr>
        <w:t xml:space="preserve">razones de política económica exterior y de apertura para obtener la colaboración efectiva de los organismos multilaterales de crédito. En este contexto, «[…] </w:t>
      </w:r>
      <w:r w:rsidR="00A6049A" w:rsidRPr="00481068">
        <w:rPr>
          <w:rFonts w:ascii="Arial" w:eastAsia="Calibri" w:hAnsi="Arial" w:cs="Arial"/>
          <w:sz w:val="22"/>
          <w:szCs w:val="22"/>
          <w:lang w:val="es-ES" w:eastAsia="en-U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p>
    <w:p w14:paraId="6857DAA8" w14:textId="77777777" w:rsidR="00362B12" w:rsidRPr="00481068" w:rsidRDefault="00362B12" w:rsidP="00E04A32">
      <w:pPr>
        <w:spacing w:before="120" w:line="276" w:lineRule="auto"/>
        <w:ind w:firstLine="709"/>
        <w:contextualSpacing/>
        <w:jc w:val="both"/>
        <w:rPr>
          <w:rFonts w:ascii="Arial" w:eastAsia="Calibri" w:hAnsi="Arial" w:cs="Arial"/>
          <w:bCs/>
          <w:sz w:val="22"/>
          <w:szCs w:val="22"/>
          <w:lang w:eastAsia="es-CO"/>
        </w:rPr>
      </w:pPr>
    </w:p>
    <w:p w14:paraId="2354B772" w14:textId="77777777" w:rsidR="00524963" w:rsidRPr="00481068" w:rsidRDefault="00524963" w:rsidP="00524963">
      <w:pPr>
        <w:spacing w:line="276" w:lineRule="auto"/>
        <w:contextualSpacing/>
        <w:jc w:val="both"/>
        <w:rPr>
          <w:rFonts w:ascii="Arial" w:eastAsia="Calibri" w:hAnsi="Arial" w:cs="Arial"/>
          <w:b/>
          <w:sz w:val="22"/>
          <w:szCs w:val="22"/>
          <w:lang w:eastAsia="en-US"/>
        </w:rPr>
      </w:pPr>
      <w:r w:rsidRPr="00481068">
        <w:rPr>
          <w:rFonts w:ascii="Arial" w:eastAsia="Calibri" w:hAnsi="Arial" w:cs="Arial"/>
          <w:b/>
          <w:sz w:val="22"/>
          <w:szCs w:val="22"/>
          <w:lang w:eastAsia="en-US"/>
        </w:rPr>
        <w:t>3. Respuesta</w:t>
      </w:r>
    </w:p>
    <w:p w14:paraId="040E4518" w14:textId="65889D89" w:rsidR="00524963" w:rsidRPr="0027409A" w:rsidRDefault="00524963" w:rsidP="00524963">
      <w:pPr>
        <w:spacing w:line="276" w:lineRule="auto"/>
        <w:contextualSpacing/>
        <w:jc w:val="both"/>
        <w:rPr>
          <w:rFonts w:ascii="Arial" w:eastAsia="Calibri" w:hAnsi="Arial" w:cs="Arial"/>
          <w:bCs/>
          <w:sz w:val="22"/>
          <w:szCs w:val="22"/>
          <w:lang w:eastAsia="en-US"/>
        </w:rPr>
      </w:pPr>
    </w:p>
    <w:p w14:paraId="45108C67" w14:textId="22C1A53B" w:rsidR="00DC2974" w:rsidRPr="0027409A" w:rsidRDefault="00DC2974" w:rsidP="0027409A">
      <w:pPr>
        <w:ind w:left="709" w:right="709"/>
        <w:contextualSpacing/>
        <w:jc w:val="both"/>
        <w:rPr>
          <w:rFonts w:ascii="Arial" w:eastAsia="Calibri" w:hAnsi="Arial" w:cs="Arial"/>
          <w:bCs/>
          <w:sz w:val="21"/>
          <w:szCs w:val="21"/>
          <w:lang w:eastAsia="en-US"/>
        </w:rPr>
      </w:pPr>
      <w:r w:rsidRPr="0027409A">
        <w:rPr>
          <w:rFonts w:ascii="Arial" w:eastAsia="Calibri" w:hAnsi="Arial" w:cs="Arial"/>
          <w:bCs/>
          <w:sz w:val="21"/>
          <w:szCs w:val="21"/>
          <w:lang w:eastAsia="en-US"/>
        </w:rPr>
        <w:t>i) «Que se informe a la entidad, por favor, si es viable para la entidad suscribir Cartas de Entendimiento o memorandos de entendimiento, sin recursos, en el cual se estipula la suma de esfuerzos para atender comunidades artesanales, durante la vigencia de la Ley de Garantías»</w:t>
      </w:r>
      <w:r w:rsidR="0027409A" w:rsidRPr="0027409A">
        <w:rPr>
          <w:rFonts w:ascii="Arial" w:eastAsia="Calibri" w:hAnsi="Arial" w:cs="Arial"/>
          <w:bCs/>
          <w:sz w:val="21"/>
          <w:szCs w:val="21"/>
          <w:lang w:eastAsia="en-US"/>
        </w:rPr>
        <w:t>.</w:t>
      </w:r>
    </w:p>
    <w:p w14:paraId="587389D3" w14:textId="77777777" w:rsidR="00647B2C" w:rsidRPr="0027409A" w:rsidRDefault="00647B2C" w:rsidP="00524963">
      <w:pPr>
        <w:spacing w:line="276" w:lineRule="auto"/>
        <w:contextualSpacing/>
        <w:jc w:val="both"/>
        <w:rPr>
          <w:rFonts w:ascii="Arial" w:eastAsia="Calibri" w:hAnsi="Arial" w:cs="Arial"/>
          <w:bCs/>
          <w:sz w:val="22"/>
          <w:szCs w:val="22"/>
          <w:lang w:val="es-ES_tradnl" w:eastAsia="x-none"/>
        </w:rPr>
      </w:pPr>
    </w:p>
    <w:p w14:paraId="43E85344" w14:textId="78A3EB3B" w:rsidR="0099519E" w:rsidRDefault="00647B2C" w:rsidP="00A90A41">
      <w:pPr>
        <w:spacing w:after="120" w:line="276" w:lineRule="auto"/>
        <w:contextualSpacing/>
        <w:jc w:val="both"/>
        <w:rPr>
          <w:rFonts w:ascii="Arial" w:eastAsia="Calibri" w:hAnsi="Arial" w:cs="Arial"/>
          <w:bCs/>
          <w:sz w:val="22"/>
          <w:szCs w:val="22"/>
          <w:lang w:val="es-ES_tradnl" w:eastAsia="x-none"/>
        </w:rPr>
      </w:pPr>
      <w:r>
        <w:rPr>
          <w:rFonts w:ascii="Arial" w:eastAsia="Calibri" w:hAnsi="Arial" w:cs="Arial"/>
          <w:bCs/>
          <w:sz w:val="22"/>
          <w:szCs w:val="22"/>
          <w:lang w:val="es-ES_tradnl" w:eastAsia="x-none"/>
        </w:rPr>
        <w:t xml:space="preserve">De acuerdo con la interpretación de las normas generales del sistema de compras públicas, </w:t>
      </w:r>
      <w:r w:rsidR="00B104BA" w:rsidRPr="0027409A">
        <w:rPr>
          <w:rFonts w:ascii="Arial" w:eastAsia="Calibri" w:hAnsi="Arial" w:cs="Arial"/>
          <w:bCs/>
          <w:sz w:val="22"/>
          <w:szCs w:val="22"/>
          <w:lang w:val="es-MX" w:eastAsia="x-none"/>
        </w:rPr>
        <w:t xml:space="preserve">sin perjuicio de </w:t>
      </w:r>
      <w:r w:rsidR="00B104BA" w:rsidRPr="0027409A">
        <w:rPr>
          <w:rFonts w:ascii="Arial" w:eastAsia="Calibri" w:hAnsi="Arial" w:cs="Arial"/>
          <w:bCs/>
          <w:sz w:val="22"/>
          <w:szCs w:val="22"/>
          <w:lang w:val="es-ES" w:eastAsia="x-none"/>
        </w:rPr>
        <w:t>cada entidad defina la viabilidad técnica, jurídica y financiera de celebrar determinado contrato estatal en específico</w:t>
      </w:r>
      <w:r w:rsidR="00B104BA">
        <w:rPr>
          <w:rFonts w:ascii="Arial" w:eastAsia="Calibri" w:hAnsi="Arial" w:cs="Arial"/>
          <w:bCs/>
          <w:sz w:val="22"/>
          <w:szCs w:val="22"/>
          <w:lang w:val="es-ES" w:eastAsia="x-none"/>
        </w:rPr>
        <w:t xml:space="preserve">, </w:t>
      </w:r>
      <w:r w:rsidR="0099519E" w:rsidRPr="00481068">
        <w:rPr>
          <w:rFonts w:ascii="Arial" w:eastAsia="Calibri"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0099519E" w:rsidRPr="00481068">
        <w:rPr>
          <w:rFonts w:ascii="Arial" w:eastAsia="Calibri" w:hAnsi="Arial" w:cs="Arial"/>
          <w:sz w:val="22"/>
          <w:szCs w:val="22"/>
          <w:lang w:val="es-ES_tradnl" w:eastAsia="en-US"/>
        </w:rPr>
        <w:t xml:space="preserve"> </w:t>
      </w:r>
      <w:r w:rsidR="0099519E" w:rsidRPr="00481068">
        <w:rPr>
          <w:rFonts w:ascii="Arial" w:eastAsia="Calibri" w:hAnsi="Arial" w:cs="Arial"/>
          <w:bCs/>
          <w:sz w:val="22"/>
          <w:szCs w:val="22"/>
          <w:lang w:val="es-ES_tradnl" w:eastAsia="x-none"/>
        </w:rPr>
        <w:t>En efecto, como lo ha sostenido el Consejo de Estado, el vocablo «todos» utilizado por el legislador comprende</w:t>
      </w:r>
      <w:r w:rsidR="0099519E" w:rsidRPr="00481068">
        <w:rPr>
          <w:rFonts w:ascii="Arial" w:eastAsia="Calibri" w:hAnsi="Arial" w:cs="Arial"/>
          <w:sz w:val="22"/>
          <w:szCs w:val="22"/>
          <w:lang w:val="es-ES_tradnl" w:eastAsia="en-US"/>
        </w:rPr>
        <w:t xml:space="preserve"> </w:t>
      </w:r>
      <w:r w:rsidR="0099519E" w:rsidRPr="00481068">
        <w:rPr>
          <w:rFonts w:ascii="Arial" w:eastAsia="Calibri" w:hAnsi="Arial" w:cs="Arial"/>
          <w:bCs/>
          <w:sz w:val="22"/>
          <w:szCs w:val="22"/>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3842D92" w14:textId="77777777" w:rsidR="00A90A41" w:rsidRPr="00A90A41" w:rsidRDefault="00A90A41" w:rsidP="00A90A41">
      <w:pPr>
        <w:spacing w:after="120" w:line="276" w:lineRule="auto"/>
        <w:contextualSpacing/>
        <w:jc w:val="both"/>
        <w:rPr>
          <w:rFonts w:ascii="Arial" w:eastAsia="Calibri" w:hAnsi="Arial" w:cs="Arial"/>
          <w:bCs/>
          <w:sz w:val="22"/>
          <w:szCs w:val="22"/>
          <w:lang w:val="es-ES_tradnl" w:eastAsia="x-none"/>
        </w:rPr>
      </w:pPr>
    </w:p>
    <w:p w14:paraId="2C9AD675" w14:textId="70C77EA3" w:rsidR="008C7399" w:rsidRPr="00481068" w:rsidRDefault="009260EE" w:rsidP="009260EE">
      <w:pPr>
        <w:ind w:left="709" w:right="709"/>
        <w:jc w:val="both"/>
        <w:rPr>
          <w:rFonts w:ascii="Arial" w:eastAsia="Calibri" w:hAnsi="Arial" w:cs="Arial"/>
          <w:sz w:val="21"/>
          <w:szCs w:val="21"/>
          <w:lang w:val="es-ES_tradnl" w:eastAsia="es-CO"/>
        </w:rPr>
      </w:pPr>
      <w:bookmarkStart w:id="34" w:name="_Hlk57650395"/>
      <w:proofErr w:type="spellStart"/>
      <w:r w:rsidRPr="009260EE">
        <w:rPr>
          <w:rFonts w:ascii="Arial" w:eastAsia="Calibri" w:hAnsi="Arial" w:cs="Arial"/>
          <w:sz w:val="21"/>
          <w:szCs w:val="21"/>
          <w:lang w:eastAsia="es-CO"/>
        </w:rPr>
        <w:lastRenderedPageBreak/>
        <w:t>ii</w:t>
      </w:r>
      <w:proofErr w:type="spellEnd"/>
      <w:r w:rsidRPr="009260EE">
        <w:rPr>
          <w:rFonts w:ascii="Arial" w:eastAsia="Calibri" w:hAnsi="Arial" w:cs="Arial"/>
          <w:sz w:val="21"/>
          <w:szCs w:val="21"/>
          <w:lang w:eastAsia="es-CO"/>
        </w:rPr>
        <w:t>) «Que se informe a la entidad, por favor, si es viable contratar directamente con Organismos Internacionales durante la vigencia de la Ley de Garantías, sin el aporte de recursos»</w:t>
      </w:r>
      <w:r w:rsidR="00881E2A" w:rsidRPr="00481068">
        <w:rPr>
          <w:rFonts w:ascii="Arial" w:eastAsia="Calibri" w:hAnsi="Arial" w:cs="Arial"/>
          <w:sz w:val="21"/>
          <w:szCs w:val="21"/>
          <w:lang w:eastAsia="es-CO"/>
        </w:rPr>
        <w:t>.</w:t>
      </w:r>
    </w:p>
    <w:p w14:paraId="0CA9CD25" w14:textId="77777777" w:rsidR="00524963" w:rsidRPr="00481068" w:rsidRDefault="00524963" w:rsidP="00977689">
      <w:pPr>
        <w:spacing w:line="276" w:lineRule="auto"/>
        <w:contextualSpacing/>
        <w:jc w:val="both"/>
        <w:rPr>
          <w:rFonts w:ascii="Arial" w:hAnsi="Arial" w:cs="Arial"/>
          <w:bCs/>
          <w:sz w:val="22"/>
          <w:szCs w:val="22"/>
          <w:lang w:val="es-MX" w:eastAsia="es-CO"/>
        </w:rPr>
      </w:pPr>
    </w:p>
    <w:p w14:paraId="609FCBA7" w14:textId="284B8EBC" w:rsidR="00FB1F0C" w:rsidRDefault="001D5765" w:rsidP="00FB1F0C">
      <w:pPr>
        <w:snapToGrid w:val="0"/>
        <w:spacing w:after="120" w:line="276" w:lineRule="auto"/>
        <w:jc w:val="both"/>
        <w:rPr>
          <w:rFonts w:ascii="Arial" w:hAnsi="Arial" w:cs="Arial"/>
          <w:bCs/>
          <w:sz w:val="22"/>
          <w:szCs w:val="22"/>
          <w:lang w:eastAsia="es-CO"/>
        </w:rPr>
      </w:pPr>
      <w:bookmarkStart w:id="35" w:name="_Hlk102373021"/>
      <w:r w:rsidRPr="00481068">
        <w:rPr>
          <w:rFonts w:ascii="Arial" w:hAnsi="Arial" w:cs="Arial"/>
          <w:bCs/>
          <w:sz w:val="22"/>
          <w:szCs w:val="22"/>
          <w:lang w:eastAsia="es-CO"/>
        </w:rPr>
        <w:t xml:space="preserve">De acuerdo con la interpretación de las normas generales del sistema de compras y contratación pública, </w:t>
      </w:r>
      <w:r w:rsidR="00FB1F0C" w:rsidRPr="00FB1F0C">
        <w:rPr>
          <w:rFonts w:ascii="Arial" w:hAnsi="Arial" w:cs="Arial"/>
          <w:bCs/>
          <w:sz w:val="22"/>
          <w:szCs w:val="22"/>
          <w:lang w:val="es-ES" w:eastAsia="es-CO"/>
        </w:rPr>
        <w:t>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00CE4AFE">
        <w:rPr>
          <w:rFonts w:ascii="Arial" w:hAnsi="Arial" w:cs="Arial"/>
          <w:bCs/>
          <w:sz w:val="22"/>
          <w:szCs w:val="22"/>
          <w:lang w:val="es-ES" w:eastAsia="es-CO"/>
        </w:rPr>
        <w:t>.</w:t>
      </w:r>
    </w:p>
    <w:p w14:paraId="3D73870C" w14:textId="43D15FDF" w:rsidR="00A72945" w:rsidRPr="00481068" w:rsidRDefault="00CE4AFE" w:rsidP="00CE4AFE">
      <w:pPr>
        <w:snapToGrid w:val="0"/>
        <w:spacing w:after="120" w:line="276" w:lineRule="auto"/>
        <w:ind w:firstLine="708"/>
        <w:jc w:val="both"/>
        <w:rPr>
          <w:rFonts w:ascii="Arial" w:eastAsia="Calibri" w:hAnsi="Arial" w:cs="Arial"/>
          <w:sz w:val="22"/>
          <w:szCs w:val="22"/>
          <w:lang w:val="es-ES" w:eastAsia="en-US"/>
        </w:rPr>
      </w:pPr>
      <w:r>
        <w:rPr>
          <w:rFonts w:ascii="Arial" w:hAnsi="Arial" w:cs="Arial"/>
          <w:bCs/>
          <w:sz w:val="22"/>
          <w:szCs w:val="22"/>
          <w:lang w:val="es-ES" w:eastAsia="es-CO"/>
        </w:rPr>
        <w:t xml:space="preserve">Ahora bien, </w:t>
      </w:r>
      <w:r w:rsidR="001D7836" w:rsidRPr="00481068">
        <w:rPr>
          <w:rFonts w:ascii="Arial" w:hAnsi="Arial" w:cs="Arial"/>
          <w:bCs/>
          <w:sz w:val="22"/>
          <w:szCs w:val="22"/>
          <w:lang w:val="es-ES" w:eastAsia="es-CO"/>
        </w:rPr>
        <w:t>considerando que el artículo 10 de la Ley 1437 de 2011 dispone que «</w:t>
      </w:r>
      <w:r w:rsidR="001D7836" w:rsidRPr="00481068">
        <w:rPr>
          <w:rFonts w:ascii="Arial" w:hAnsi="Arial" w:cs="Arial"/>
          <w:bCs/>
          <w:sz w:val="22"/>
          <w:szCs w:val="22"/>
          <w:lang w:eastAsia="es-CO"/>
        </w:rPr>
        <w:t>Al resolver los asuntos de su competencia, las autoridades aplicarán las disposiciones constitucionales, legales y reglamentarias de manera uniforme a situaciones que tengan los mismos supuestos fácticos y jurídicos»</w:t>
      </w:r>
      <w:r w:rsidR="00715421" w:rsidRPr="00481068">
        <w:rPr>
          <w:rFonts w:ascii="Arial" w:hAnsi="Arial" w:cs="Arial"/>
          <w:bCs/>
          <w:sz w:val="22"/>
          <w:szCs w:val="22"/>
          <w:lang w:eastAsia="es-CO"/>
        </w:rPr>
        <w:t xml:space="preserve">, se reitera la tesis del </w:t>
      </w:r>
      <w:r w:rsidR="00715421" w:rsidRPr="00481068">
        <w:rPr>
          <w:rFonts w:ascii="Arial" w:hAnsi="Arial" w:cs="Arial"/>
          <w:bCs/>
          <w:sz w:val="22"/>
          <w:szCs w:val="22"/>
          <w:lang w:val="es-ES" w:eastAsia="es-CO"/>
        </w:rPr>
        <w:t>Concepto de Unificación CU-180 del 8 de abril de 2022</w:t>
      </w:r>
      <w:bookmarkEnd w:id="35"/>
      <w:r w:rsidR="00715421" w:rsidRPr="00481068">
        <w:rPr>
          <w:rFonts w:ascii="Arial" w:hAnsi="Arial" w:cs="Arial"/>
          <w:bCs/>
          <w:sz w:val="22"/>
          <w:szCs w:val="22"/>
          <w:lang w:val="es-ES" w:eastAsia="es-CO"/>
        </w:rPr>
        <w:t xml:space="preserve">. </w:t>
      </w:r>
      <w:r w:rsidR="00B44C28" w:rsidRPr="00481068">
        <w:rPr>
          <w:rFonts w:ascii="Arial" w:eastAsia="Calibri" w:hAnsi="Arial" w:cs="Arial"/>
          <w:sz w:val="22"/>
          <w:szCs w:val="22"/>
          <w:lang w:val="es-ES" w:eastAsia="en-US"/>
        </w:rPr>
        <w:t>Por tanto, sobre el artículo 33 de la Ley de Garantías</w:t>
      </w:r>
      <w:r w:rsidR="00B44C28" w:rsidRPr="00481068">
        <w:rPr>
          <w:rFonts w:ascii="Arial" w:eastAsia="Calibri" w:hAnsi="Arial" w:cs="Arial"/>
          <w:sz w:val="22"/>
          <w:szCs w:val="22"/>
          <w:lang w:val="es-MX" w:eastAsia="en-US"/>
        </w:rPr>
        <w:t xml:space="preserve">, </w:t>
      </w:r>
      <w:r w:rsidR="00B44C28" w:rsidRPr="00481068">
        <w:rPr>
          <w:rFonts w:ascii="Arial" w:eastAsia="Calibri" w:hAnsi="Arial" w:cs="Arial"/>
          <w:sz w:val="22"/>
          <w:szCs w:val="22"/>
          <w:lang w:val="es-ES" w:eastAsia="en-US"/>
        </w:rPr>
        <w:t>la Agencia –al retomar la tesis del Concepto C-559 del 31 de agosto de 2021– consider</w:t>
      </w:r>
      <w:r w:rsidR="00EF37D3" w:rsidRPr="00481068">
        <w:rPr>
          <w:rFonts w:ascii="Arial" w:eastAsia="Calibri" w:hAnsi="Arial" w:cs="Arial"/>
          <w:sz w:val="22"/>
          <w:szCs w:val="22"/>
          <w:lang w:val="es-ES" w:eastAsia="en-US"/>
        </w:rPr>
        <w:t>ó</w:t>
      </w:r>
      <w:r w:rsidR="00B44C28" w:rsidRPr="00481068">
        <w:rPr>
          <w:rFonts w:ascii="Arial" w:eastAsia="Calibri" w:hAnsi="Arial" w:cs="Arial"/>
          <w:sz w:val="22"/>
          <w:szCs w:val="22"/>
          <w:lang w:val="es-ES" w:eastAsia="en-US"/>
        </w:rPr>
        <w:t xml:space="preserve"> lo siguiente: «[…] </w:t>
      </w:r>
      <w:r w:rsidR="00B44C28" w:rsidRPr="00481068">
        <w:rPr>
          <w:rFonts w:ascii="Arial" w:eastAsia="Calibri" w:hAnsi="Arial" w:cs="Arial"/>
          <w:i/>
          <w:iCs/>
          <w:sz w:val="22"/>
          <w:szCs w:val="22"/>
          <w:lang w:val="es-ES" w:eastAsia="en-US"/>
        </w:rPr>
        <w:t>dado que</w:t>
      </w:r>
      <w:r w:rsidR="00B44C28" w:rsidRPr="00481068">
        <w:rPr>
          <w:rFonts w:ascii="Arial" w:eastAsia="Calibri" w:hAnsi="Arial" w:cs="Arial"/>
          <w:sz w:val="22"/>
          <w:szCs w:val="22"/>
          <w:lang w:val="es-ES" w:eastAsia="en-US"/>
        </w:rPr>
        <w:t xml:space="preserve"> […] </w:t>
      </w:r>
      <w:r w:rsidR="00B44C28" w:rsidRPr="00481068">
        <w:rPr>
          <w:rFonts w:ascii="Arial" w:eastAsia="Calibri" w:hAnsi="Arial" w:cs="Arial"/>
          <w:i/>
          <w:iCs/>
          <w:sz w:val="22"/>
          <w:szCs w:val="22"/>
          <w:lang w:val="es-ES" w:eastAsia="en-US"/>
        </w:rPr>
        <w:t>existen algunos casos en los cuales el legislador habilitó a las entidades públicas para que suscribieran contratos cuyo régimen es distinto al derecho nacional,</w:t>
      </w:r>
      <w:r w:rsidR="00B44C28" w:rsidRPr="00481068">
        <w:rPr>
          <w:rFonts w:ascii="Arial" w:eastAsia="Calibri" w:hAnsi="Arial" w:cs="Arial"/>
          <w:sz w:val="22"/>
          <w:szCs w:val="22"/>
          <w:lang w:val="es-ES" w:eastAsia="en-US"/>
        </w:rPr>
        <w:t xml:space="preserve"> […] </w:t>
      </w:r>
      <w:r w:rsidR="00B44C28" w:rsidRPr="00481068">
        <w:rPr>
          <w:rFonts w:ascii="Arial" w:eastAsia="Calibri" w:hAnsi="Arial" w:cs="Arial"/>
          <w:i/>
          <w:iCs/>
          <w:sz w:val="22"/>
          <w:szCs w:val="22"/>
          <w:lang w:val="es-ES" w:eastAsia="en-US"/>
        </w:rPr>
        <w:t>en estos eventos dicha restricción no sería aplicable</w:t>
      </w:r>
      <w:r w:rsidR="00B44C28" w:rsidRPr="00481068">
        <w:rPr>
          <w:rFonts w:ascii="Arial" w:eastAsia="Calibri" w:hAnsi="Arial" w:cs="Arial"/>
          <w:sz w:val="22"/>
          <w:szCs w:val="22"/>
          <w:lang w:val="es-ES" w:eastAsia="en-US"/>
        </w:rPr>
        <w:t>» (Énfasis fuera de texto)</w:t>
      </w:r>
      <w:r w:rsidR="00A72945" w:rsidRPr="00481068">
        <w:rPr>
          <w:rFonts w:ascii="Arial" w:eastAsia="Calibri" w:hAnsi="Arial" w:cs="Arial"/>
          <w:sz w:val="22"/>
          <w:szCs w:val="22"/>
          <w:lang w:val="es-ES" w:eastAsia="en-US"/>
        </w:rPr>
        <w:t xml:space="preserve">. </w:t>
      </w:r>
    </w:p>
    <w:p w14:paraId="515B4ADC" w14:textId="0AF4347F" w:rsidR="00A72945" w:rsidRPr="00481068" w:rsidRDefault="00A72945" w:rsidP="00A72945">
      <w:pPr>
        <w:spacing w:before="120" w:line="276" w:lineRule="auto"/>
        <w:ind w:firstLine="851"/>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w:t>
      </w:r>
    </w:p>
    <w:p w14:paraId="558E9E0A" w14:textId="28DC6B16" w:rsidR="00A72945" w:rsidRPr="00481068" w:rsidRDefault="00A72945" w:rsidP="00A72945">
      <w:pPr>
        <w:spacing w:line="276" w:lineRule="auto"/>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ab/>
      </w:r>
    </w:p>
    <w:p w14:paraId="2B04F686" w14:textId="14D098D0" w:rsidR="00A72945" w:rsidRPr="00481068" w:rsidRDefault="00A72945" w:rsidP="00AF5B0E">
      <w:pPr>
        <w:spacing w:line="276" w:lineRule="auto"/>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ab/>
        <w:t>[…]</w:t>
      </w:r>
    </w:p>
    <w:p w14:paraId="1D2FBD02" w14:textId="77777777" w:rsidR="00A72945" w:rsidRPr="00481068" w:rsidRDefault="00A72945" w:rsidP="00A72945">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w:t>
      </w:r>
      <w:r w:rsidRPr="00481068">
        <w:rPr>
          <w:rFonts w:ascii="Arial" w:eastAsia="Calibri" w:hAnsi="Arial" w:cs="Arial"/>
          <w:sz w:val="21"/>
          <w:szCs w:val="21"/>
          <w:lang w:val="es-ES" w:eastAsia="en-US"/>
        </w:rPr>
        <w:lastRenderedPageBreak/>
        <w:t>el convenio y la contratación respectiva (bien sean contratos, donaciones, asistencias técnicas y sus derivados) y, por ende, la norma del artículo 33 no será derecho aplicable a la misma.</w:t>
      </w:r>
    </w:p>
    <w:p w14:paraId="3D907DE0" w14:textId="77777777" w:rsidR="00A72945" w:rsidRPr="00481068" w:rsidRDefault="00A72945" w:rsidP="00AF5B0E">
      <w:pPr>
        <w:snapToGrid w:val="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p>
    <w:p w14:paraId="4B72B771" w14:textId="7B7C33F2" w:rsidR="00A72945" w:rsidRPr="00481068" w:rsidRDefault="00A72945" w:rsidP="009F3410">
      <w:pPr>
        <w:snapToGrid w:val="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 </w:t>
      </w:r>
    </w:p>
    <w:p w14:paraId="6F8972B3" w14:textId="01651052" w:rsidR="00977689" w:rsidRPr="00481068" w:rsidRDefault="00977689" w:rsidP="009F3410">
      <w:pPr>
        <w:spacing w:line="276" w:lineRule="auto"/>
        <w:jc w:val="both"/>
        <w:rPr>
          <w:rFonts w:ascii="Arial" w:hAnsi="Arial" w:cs="Arial"/>
          <w:bCs/>
          <w:sz w:val="22"/>
          <w:szCs w:val="22"/>
          <w:lang w:val="es-ES" w:eastAsia="es-CO"/>
        </w:rPr>
      </w:pPr>
    </w:p>
    <w:p w14:paraId="66E0C229" w14:textId="31AC091A" w:rsidR="0051212F" w:rsidRPr="00481068" w:rsidRDefault="00EA6BEC" w:rsidP="009F3410">
      <w:pPr>
        <w:spacing w:line="276" w:lineRule="auto"/>
        <w:ind w:firstLine="709"/>
        <w:jc w:val="both"/>
        <w:rPr>
          <w:rFonts w:ascii="Arial" w:eastAsia="Calibri" w:hAnsi="Arial" w:cs="Arial"/>
          <w:color w:val="000000"/>
          <w:sz w:val="22"/>
        </w:rPr>
      </w:pPr>
      <w:r w:rsidRPr="00481068">
        <w:rPr>
          <w:rFonts w:ascii="Arial" w:eastAsia="Calibri" w:hAnsi="Arial" w:cs="Arial"/>
          <w:bCs/>
          <w:color w:val="000000"/>
          <w:sz w:val="22"/>
          <w:szCs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00524963" w:rsidRPr="00481068">
        <w:rPr>
          <w:rFonts w:ascii="Arial" w:hAnsi="Arial" w:cs="Arial"/>
          <w:sz w:val="22"/>
          <w:szCs w:val="22"/>
          <w:lang w:eastAsia="x-none"/>
        </w:rPr>
        <w:t>.</w:t>
      </w:r>
    </w:p>
    <w:p w14:paraId="6F8D21A7" w14:textId="01B0DFD8" w:rsidR="00524963" w:rsidRPr="00481068" w:rsidRDefault="00524963" w:rsidP="009F3410">
      <w:pPr>
        <w:spacing w:after="120" w:line="259" w:lineRule="auto"/>
        <w:jc w:val="both"/>
        <w:rPr>
          <w:rFonts w:asciiTheme="minorBidi" w:hAnsiTheme="minorBidi" w:cstheme="minorBidi"/>
          <w:sz w:val="22"/>
          <w:szCs w:val="22"/>
        </w:rPr>
      </w:pPr>
    </w:p>
    <w:p w14:paraId="7A2C9C60" w14:textId="77777777" w:rsidR="0051212F" w:rsidRPr="00481068" w:rsidRDefault="0051212F" w:rsidP="0051212F">
      <w:pPr>
        <w:spacing w:line="276" w:lineRule="auto"/>
        <w:jc w:val="both"/>
        <w:rPr>
          <w:rFonts w:ascii="Arial" w:hAnsi="Arial" w:cs="Arial"/>
          <w:color w:val="000000" w:themeColor="text1"/>
          <w:sz w:val="22"/>
          <w:lang w:val="es-ES_tradnl"/>
        </w:rPr>
      </w:pPr>
      <w:r w:rsidRPr="00481068">
        <w:rPr>
          <w:rFonts w:ascii="Arial" w:hAnsi="Arial" w:cs="Arial"/>
          <w:color w:val="000000" w:themeColor="text1"/>
          <w:sz w:val="22"/>
          <w:szCs w:val="22"/>
          <w:lang w:val="es-ES_tradnl"/>
        </w:rPr>
        <w:t>Este concepto tiene el alcance previsto en el artículo 28 del</w:t>
      </w:r>
      <w:r w:rsidRPr="00481068">
        <w:rPr>
          <w:rFonts w:ascii="Arial" w:hAnsi="Arial" w:cs="Arial"/>
          <w:color w:val="000000" w:themeColor="text1"/>
          <w:sz w:val="22"/>
          <w:lang w:val="es-ES_tradnl"/>
        </w:rPr>
        <w:t xml:space="preserve"> Código de Procedimiento Administrativo y de lo Contencioso Administrativo.</w:t>
      </w:r>
    </w:p>
    <w:bookmarkEnd w:id="8"/>
    <w:bookmarkEnd w:id="34"/>
    <w:p w14:paraId="6F54E9C9" w14:textId="77777777" w:rsidR="00003233" w:rsidRPr="00481068"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481068"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81068">
        <w:rPr>
          <w:rFonts w:ascii="Arial" w:hAnsi="Arial" w:cs="Arial"/>
          <w:color w:val="000000" w:themeColor="text1"/>
          <w:sz w:val="22"/>
          <w:szCs w:val="22"/>
          <w:lang w:val="es-ES_tradnl"/>
        </w:rPr>
        <w:t>Atentamente,</w:t>
      </w:r>
    </w:p>
    <w:p w14:paraId="10A1E411" w14:textId="28E3F02B" w:rsidR="00D40F8B" w:rsidRPr="00481068" w:rsidRDefault="005E7C1B"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9000E4">
        <w:rPr>
          <w:rFonts w:ascii="Arial" w:hAnsi="Arial" w:cs="Arial"/>
          <w:noProof/>
          <w:lang w:val="es-ES_tradnl"/>
        </w:rPr>
        <w:drawing>
          <wp:inline distT="0" distB="0" distL="0" distR="0" wp14:anchorId="4B817D42" wp14:editId="41AF2C6F">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ED13883" w14:textId="77777777" w:rsidR="00003233" w:rsidRPr="00481068"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81068" w14:paraId="0C7DC5F7" w14:textId="77777777" w:rsidTr="00D40F8B">
        <w:trPr>
          <w:trHeight w:val="160"/>
        </w:trPr>
        <w:tc>
          <w:tcPr>
            <w:tcW w:w="812" w:type="dxa"/>
            <w:vAlign w:val="center"/>
            <w:hideMark/>
          </w:tcPr>
          <w:p w14:paraId="5BDB1AC9" w14:textId="77777777" w:rsidR="00DD5B04" w:rsidRPr="00481068" w:rsidRDefault="00DD5B04" w:rsidP="00DF76A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1798226" w14:textId="3FDE786A" w:rsidR="00E00A83" w:rsidRPr="00481068" w:rsidRDefault="00F50CB6" w:rsidP="009F3410">
            <w:pPr>
              <w:jc w:val="both"/>
              <w:rPr>
                <w:rFonts w:ascii="Arial" w:hAnsi="Arial" w:cs="Arial"/>
                <w:color w:val="000000"/>
                <w:sz w:val="16"/>
                <w:szCs w:val="16"/>
                <w:shd w:val="clear" w:color="auto" w:fill="FFFFFF"/>
              </w:rPr>
            </w:pPr>
            <w:r w:rsidRPr="00F50CB6">
              <w:rPr>
                <w:rFonts w:ascii="Arial" w:hAnsi="Arial" w:cs="Arial"/>
                <w:color w:val="000000" w:themeColor="text1"/>
                <w:sz w:val="16"/>
                <w:szCs w:val="16"/>
                <w:lang w:val="es-ES_tradnl" w:eastAsia="es-ES"/>
              </w:rPr>
              <w:t>Camilo Perdomo Villamil</w:t>
            </w:r>
            <w:r w:rsidR="00E00A83" w:rsidRPr="00481068">
              <w:rPr>
                <w:rFonts w:ascii="Arial" w:hAnsi="Arial" w:cs="Arial"/>
                <w:color w:val="000000"/>
                <w:sz w:val="16"/>
                <w:szCs w:val="16"/>
                <w:shd w:val="clear" w:color="auto" w:fill="FFFFFF"/>
              </w:rPr>
              <w:t xml:space="preserve"> </w:t>
            </w:r>
          </w:p>
          <w:p w14:paraId="240C71FD" w14:textId="71A35552" w:rsidR="00DD5B04" w:rsidRPr="00481068" w:rsidRDefault="00E3797F" w:rsidP="009F3410">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Contratista</w:t>
            </w:r>
            <w:r w:rsidR="009F3410" w:rsidRPr="00481068">
              <w:rPr>
                <w:rFonts w:ascii="Arial" w:hAnsi="Arial" w:cs="Arial"/>
                <w:color w:val="000000"/>
                <w:sz w:val="16"/>
                <w:szCs w:val="16"/>
                <w:shd w:val="clear" w:color="auto" w:fill="FFFFFF"/>
              </w:rPr>
              <w:t xml:space="preserve"> de la </w:t>
            </w:r>
            <w:r w:rsidR="009F3410" w:rsidRPr="00481068">
              <w:rPr>
                <w:rFonts w:ascii="Arial" w:hAnsi="Arial" w:cs="Arial"/>
                <w:color w:val="000000" w:themeColor="text1"/>
                <w:sz w:val="16"/>
                <w:szCs w:val="16"/>
                <w:lang w:val="es-ES" w:eastAsia="es-ES"/>
              </w:rPr>
              <w:t>Subdirección de Gestión Contractual</w:t>
            </w:r>
          </w:p>
        </w:tc>
      </w:tr>
      <w:tr w:rsidR="00DD5B04" w:rsidRPr="00481068" w14:paraId="2F8FD650" w14:textId="77777777" w:rsidTr="00D15356">
        <w:trPr>
          <w:trHeight w:val="330"/>
        </w:trPr>
        <w:tc>
          <w:tcPr>
            <w:tcW w:w="812" w:type="dxa"/>
            <w:vAlign w:val="center"/>
            <w:hideMark/>
          </w:tcPr>
          <w:p w14:paraId="50203A0B" w14:textId="77777777" w:rsidR="00DD5B04" w:rsidRPr="00481068" w:rsidRDefault="00DD5B04" w:rsidP="00DF76A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2ED0338" w:rsidR="00B17563" w:rsidRPr="00481068" w:rsidRDefault="006B42C6" w:rsidP="00F412DF">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Juan David Montoya Penagos</w:t>
            </w:r>
          </w:p>
          <w:p w14:paraId="130B3228" w14:textId="6F49F386" w:rsidR="00DD5B04" w:rsidRPr="00481068" w:rsidRDefault="009F3410" w:rsidP="00F412DF">
            <w:pPr>
              <w:jc w:val="both"/>
              <w:rPr>
                <w:rFonts w:ascii="Arial" w:hAnsi="Arial" w:cs="Arial"/>
                <w:color w:val="000000" w:themeColor="text1"/>
                <w:sz w:val="16"/>
                <w:szCs w:val="16"/>
                <w:lang w:val="es-ES_tradnl" w:eastAsia="es-ES"/>
              </w:rPr>
            </w:pPr>
            <w:r w:rsidRPr="00481068">
              <w:rPr>
                <w:rFonts w:ascii="Arial" w:hAnsi="Arial" w:cs="Arial"/>
                <w:color w:val="000000"/>
                <w:sz w:val="16"/>
                <w:szCs w:val="16"/>
                <w:shd w:val="clear" w:color="auto" w:fill="FFFFFF"/>
              </w:rPr>
              <w:t>Gestor T1-15</w:t>
            </w:r>
            <w:r w:rsidR="00F412DF" w:rsidRPr="00481068">
              <w:rPr>
                <w:rFonts w:ascii="Arial" w:hAnsi="Arial" w:cs="Arial"/>
                <w:color w:val="000000"/>
                <w:sz w:val="16"/>
                <w:szCs w:val="16"/>
                <w:shd w:val="clear" w:color="auto" w:fill="FFFFFF"/>
              </w:rPr>
              <w:t xml:space="preserve"> de la </w:t>
            </w:r>
            <w:r w:rsidR="00F412DF" w:rsidRPr="00481068">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481068" w:rsidRDefault="00DD5B04" w:rsidP="00DF76A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81068" w:rsidRDefault="00C05A61" w:rsidP="00DF76A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 xml:space="preserve">Jorge </w:t>
            </w:r>
            <w:r w:rsidR="00647A36" w:rsidRPr="00481068">
              <w:rPr>
                <w:rFonts w:ascii="Arial" w:hAnsi="Arial" w:cs="Arial"/>
                <w:color w:val="000000" w:themeColor="text1"/>
                <w:sz w:val="16"/>
                <w:szCs w:val="16"/>
                <w:lang w:val="es-ES_tradnl" w:eastAsia="es-ES"/>
              </w:rPr>
              <w:t xml:space="preserve">Augusto </w:t>
            </w:r>
            <w:r w:rsidRPr="00481068">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Subdirector de Gestión Contractual</w:t>
            </w:r>
            <w:r w:rsidR="00973AA2" w:rsidRPr="00481068">
              <w:rPr>
                <w:rFonts w:ascii="Arial" w:hAnsi="Arial" w:cs="Arial"/>
                <w:color w:val="000000" w:themeColor="text1"/>
                <w:sz w:val="16"/>
                <w:szCs w:val="16"/>
                <w:lang w:val="es-ES_tradnl" w:eastAsia="es-ES"/>
              </w:rPr>
              <w:t xml:space="preserve"> </w:t>
            </w:r>
            <w:r w:rsidR="00973AA2" w:rsidRPr="00481068">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58C8A" w14:textId="77777777" w:rsidR="00AB19C7" w:rsidRDefault="00AB19C7">
      <w:r>
        <w:separator/>
      </w:r>
    </w:p>
  </w:endnote>
  <w:endnote w:type="continuationSeparator" w:id="0">
    <w:p w14:paraId="7874E133" w14:textId="77777777" w:rsidR="00AB19C7" w:rsidRDefault="00AB19C7">
      <w:r>
        <w:continuationSeparator/>
      </w:r>
    </w:p>
  </w:endnote>
  <w:endnote w:type="continuationNotice" w:id="1">
    <w:p w14:paraId="3F8BAD20" w14:textId="77777777" w:rsidR="00AB19C7" w:rsidRDefault="00AB1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CCBBF" w14:textId="77777777" w:rsidR="00AB19C7" w:rsidRDefault="00AB19C7">
      <w:r>
        <w:separator/>
      </w:r>
    </w:p>
  </w:footnote>
  <w:footnote w:type="continuationSeparator" w:id="0">
    <w:p w14:paraId="6BD451E4" w14:textId="77777777" w:rsidR="00AB19C7" w:rsidRDefault="00AB19C7">
      <w:r>
        <w:continuationSeparator/>
      </w:r>
    </w:p>
  </w:footnote>
  <w:footnote w:type="continuationNotice" w:id="1">
    <w:p w14:paraId="4F957062" w14:textId="77777777" w:rsidR="00AB19C7" w:rsidRDefault="00AB19C7"/>
  </w:footnote>
  <w:footnote w:id="2">
    <w:p w14:paraId="3EAC3DAF" w14:textId="77777777" w:rsidR="00524963" w:rsidRPr="00A0627B" w:rsidRDefault="00524963" w:rsidP="00E20A7A">
      <w:pPr>
        <w:pStyle w:val="Textonotapie"/>
        <w:ind w:firstLine="708"/>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«Artículo 3°. Funciones. La Agencia Nacional de Contratación Pública –Colombia Compra Eficiente– ejercerá las siguientes funciones: </w:t>
      </w:r>
    </w:p>
    <w:p w14:paraId="70C73CDC" w14:textId="77777777" w:rsidR="00524963" w:rsidRPr="00A0627B" w:rsidRDefault="00524963" w:rsidP="00E20A7A">
      <w:pPr>
        <w:pStyle w:val="Textonotapie"/>
        <w:ind w:firstLine="709"/>
        <w:contextualSpacing/>
        <w:jc w:val="both"/>
        <w:rPr>
          <w:rFonts w:ascii="Arial" w:hAnsi="Arial" w:cs="Arial"/>
          <w:sz w:val="19"/>
          <w:szCs w:val="19"/>
          <w:lang w:val="es-ES"/>
        </w:rPr>
      </w:pPr>
      <w:r w:rsidRPr="00A0627B">
        <w:rPr>
          <w:rFonts w:ascii="Arial" w:hAnsi="Arial" w:cs="Arial"/>
          <w:sz w:val="19"/>
          <w:szCs w:val="19"/>
          <w:lang w:val="es-ES"/>
        </w:rPr>
        <w:t xml:space="preserve">»[...] </w:t>
      </w:r>
    </w:p>
    <w:p w14:paraId="2676BF68" w14:textId="77777777" w:rsidR="00524963" w:rsidRPr="00A0627B" w:rsidRDefault="00524963" w:rsidP="00E20A7A">
      <w:pPr>
        <w:pStyle w:val="Textonotapie"/>
        <w:ind w:firstLine="709"/>
        <w:contextualSpacing/>
        <w:jc w:val="both"/>
        <w:rPr>
          <w:rFonts w:ascii="Arial" w:hAnsi="Arial" w:cs="Arial"/>
          <w:sz w:val="19"/>
          <w:szCs w:val="19"/>
          <w:lang w:val="es-ES"/>
        </w:rPr>
      </w:pPr>
      <w:r w:rsidRPr="00A0627B">
        <w:rPr>
          <w:rFonts w:ascii="Arial" w:hAnsi="Arial" w:cs="Arial"/>
          <w:sz w:val="19"/>
          <w:szCs w:val="19"/>
          <w:lang w:val="es-ES"/>
        </w:rPr>
        <w:t>»5. Absolver consultas sobre la aplicación de normas de carácter general y expedir circulares externas en materia de compras y contratación pública».</w:t>
      </w:r>
    </w:p>
    <w:p w14:paraId="3499B972" w14:textId="77777777" w:rsidR="00524963" w:rsidRPr="00A0627B" w:rsidRDefault="00524963" w:rsidP="00E20A7A">
      <w:pPr>
        <w:pStyle w:val="Textonotapie"/>
        <w:ind w:firstLine="709"/>
        <w:contextualSpacing/>
        <w:jc w:val="both"/>
        <w:rPr>
          <w:rFonts w:ascii="Arial" w:hAnsi="Arial" w:cs="Arial"/>
          <w:sz w:val="19"/>
          <w:szCs w:val="19"/>
          <w:lang w:val="es-ES"/>
        </w:rPr>
      </w:pPr>
      <w:r w:rsidRPr="00A0627B">
        <w:rPr>
          <w:rFonts w:ascii="Arial" w:eastAsia="Times New Roman" w:hAnsi="Arial" w:cs="Arial"/>
          <w:sz w:val="19"/>
          <w:szCs w:val="19"/>
          <w:lang w:val="es-CO" w:eastAsia="es-ES_tradnl"/>
        </w:rPr>
        <w:t>«</w:t>
      </w:r>
      <w:r w:rsidRPr="00A0627B">
        <w:rPr>
          <w:rFonts w:ascii="Arial" w:hAnsi="Arial" w:cs="Arial"/>
          <w:sz w:val="19"/>
          <w:szCs w:val="19"/>
          <w:lang w:val="es-ES"/>
        </w:rPr>
        <w:t xml:space="preserve">Artículo 11. Subdirección de Gestión Contractual. Son funciones de la Subdirección de Gestión Contractual las siguientes: </w:t>
      </w:r>
    </w:p>
    <w:p w14:paraId="086C1AE4" w14:textId="77777777" w:rsidR="00524963" w:rsidRPr="00A0627B" w:rsidRDefault="00524963" w:rsidP="00E20A7A">
      <w:pPr>
        <w:pStyle w:val="Textonotapie"/>
        <w:ind w:firstLine="709"/>
        <w:contextualSpacing/>
        <w:jc w:val="both"/>
        <w:rPr>
          <w:rFonts w:ascii="Arial" w:hAnsi="Arial" w:cs="Arial"/>
          <w:sz w:val="19"/>
          <w:szCs w:val="19"/>
          <w:lang w:val="es-ES"/>
        </w:rPr>
      </w:pPr>
      <w:r w:rsidRPr="00A0627B">
        <w:rPr>
          <w:rFonts w:ascii="Arial" w:hAnsi="Arial" w:cs="Arial"/>
          <w:sz w:val="19"/>
          <w:szCs w:val="19"/>
          <w:lang w:val="es-ES"/>
        </w:rPr>
        <w:t xml:space="preserve">»[...] </w:t>
      </w:r>
    </w:p>
    <w:p w14:paraId="36505374" w14:textId="77777777" w:rsidR="00524963" w:rsidRPr="00A0627B" w:rsidRDefault="00524963" w:rsidP="00E20A7A">
      <w:pPr>
        <w:pStyle w:val="Textonotapie"/>
        <w:ind w:firstLine="708"/>
        <w:contextualSpacing/>
        <w:jc w:val="both"/>
        <w:rPr>
          <w:rFonts w:ascii="Arial" w:hAnsi="Arial" w:cs="Arial"/>
          <w:sz w:val="19"/>
          <w:szCs w:val="19"/>
        </w:rPr>
      </w:pPr>
      <w:r w:rsidRPr="00A0627B">
        <w:rPr>
          <w:rFonts w:ascii="Arial" w:eastAsia="Times New Roman" w:hAnsi="Arial" w:cs="Arial"/>
          <w:sz w:val="19"/>
          <w:szCs w:val="19"/>
          <w:lang w:val="es-CO" w:eastAsia="es-ES_tradnl"/>
        </w:rPr>
        <w:t>»</w:t>
      </w:r>
      <w:r w:rsidRPr="00A0627B">
        <w:rPr>
          <w:rFonts w:ascii="Arial" w:hAnsi="Arial" w:cs="Arial"/>
          <w:sz w:val="19"/>
          <w:szCs w:val="19"/>
          <w:lang w:val="es-ES"/>
        </w:rPr>
        <w:t>8. Absolver consultas sobre la aplicación de normas de carácter general».</w:t>
      </w:r>
    </w:p>
  </w:footnote>
  <w:footnote w:id="3">
    <w:p w14:paraId="1EB34580" w14:textId="77777777" w:rsidR="00963B93" w:rsidRPr="00A0627B" w:rsidRDefault="00963B93" w:rsidP="00E20A7A">
      <w:pPr>
        <w:pStyle w:val="Textonotapie"/>
        <w:ind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1C80805" w14:textId="79881E28" w:rsidR="00963B93" w:rsidRPr="00A0627B" w:rsidRDefault="00963B93" w:rsidP="00E20A7A">
      <w:pPr>
        <w:pStyle w:val="Textonotapie"/>
        <w:ind w:firstLine="709"/>
        <w:contextualSpacing/>
        <w:jc w:val="both"/>
        <w:rPr>
          <w:rFonts w:ascii="Arial" w:hAnsi="Arial" w:cs="Arial"/>
          <w:sz w:val="19"/>
          <w:szCs w:val="19"/>
        </w:rPr>
      </w:pPr>
      <w:r w:rsidRPr="00A0627B">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11E8664F" w14:textId="77777777" w:rsidR="00963B93" w:rsidRPr="00A0627B" w:rsidRDefault="00963B93" w:rsidP="00E20A7A">
      <w:pPr>
        <w:pStyle w:val="Textonotapie"/>
        <w:ind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Gaceta del Congreso de la República No. 71 del 2005.</w:t>
      </w:r>
    </w:p>
  </w:footnote>
  <w:footnote w:id="5">
    <w:p w14:paraId="1BA9AAE9" w14:textId="77777777" w:rsidR="00963B93" w:rsidRPr="00A0627B" w:rsidRDefault="00963B93" w:rsidP="00E20A7A">
      <w:pPr>
        <w:pStyle w:val="Textonotapie"/>
        <w:ind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Corte Constitucional, Sentencia C- 1153 de 2005, M.P. Marco Gerardo Monroy Cabra.</w:t>
      </w:r>
    </w:p>
  </w:footnote>
  <w:footnote w:id="6">
    <w:p w14:paraId="570E67B0" w14:textId="77777777" w:rsidR="00963B93" w:rsidRPr="00A0627B" w:rsidRDefault="00963B93" w:rsidP="00E20A7A">
      <w:pPr>
        <w:pStyle w:val="Textonotapie"/>
        <w:ind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5EACA9DF" w14:textId="77777777" w:rsidR="00963B93" w:rsidRPr="00A0627B" w:rsidRDefault="00963B93" w:rsidP="00E20A7A">
      <w:pPr>
        <w:pStyle w:val="Textonotapie"/>
        <w:ind w:firstLine="709"/>
        <w:contextualSpacing/>
        <w:jc w:val="both"/>
        <w:rPr>
          <w:rFonts w:ascii="Arial" w:hAnsi="Arial" w:cs="Arial"/>
          <w:sz w:val="19"/>
          <w:szCs w:val="19"/>
          <w:lang w:val="es-CO"/>
        </w:rPr>
      </w:pPr>
      <w:r w:rsidRPr="00A0627B">
        <w:rPr>
          <w:rStyle w:val="Refdenotaalpie"/>
          <w:rFonts w:ascii="Arial" w:hAnsi="Arial" w:cs="Arial"/>
          <w:sz w:val="19"/>
          <w:szCs w:val="19"/>
        </w:rPr>
        <w:footnoteRef/>
      </w:r>
      <w:r w:rsidRPr="00A0627B">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20FDAF2C" w14:textId="77777777" w:rsidR="00963B93" w:rsidRPr="00A0627B" w:rsidRDefault="00963B93" w:rsidP="00E20A7A">
      <w:pPr>
        <w:pStyle w:val="Textonotapie"/>
        <w:ind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Consejo de Estado, Sala de Consulta y Servicio Civil de fecha 24 de julio de 2013, radicado 2166, Consejero Ponente: Álvaro Namén Vargas.  </w:t>
      </w:r>
    </w:p>
  </w:footnote>
  <w:footnote w:id="9">
    <w:p w14:paraId="3F35F8AF" w14:textId="77777777" w:rsidR="00963B93" w:rsidRPr="00A0627B" w:rsidRDefault="00963B93" w:rsidP="00E20A7A">
      <w:pPr>
        <w:ind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w:t>
      </w:r>
      <w:bookmarkStart w:id="19" w:name="33"/>
      <w:r w:rsidRPr="00A0627B">
        <w:rPr>
          <w:rFonts w:ascii="Arial" w:eastAsia="Calibri" w:hAnsi="Arial" w:cs="Arial"/>
          <w:bCs/>
          <w:color w:val="000000"/>
          <w:sz w:val="19"/>
          <w:szCs w:val="19"/>
        </w:rPr>
        <w:t>«</w:t>
      </w:r>
      <w:r w:rsidRPr="00A0627B">
        <w:rPr>
          <w:rFonts w:ascii="Arial" w:hAnsi="Arial" w:cs="Arial"/>
          <w:sz w:val="19"/>
          <w:szCs w:val="19"/>
        </w:rPr>
        <w:t>Artículo 33. Restricciones a la contratación pública.</w:t>
      </w:r>
      <w:bookmarkEnd w:id="19"/>
      <w:r w:rsidRPr="00A0627B">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4923947" w14:textId="77777777" w:rsidR="00963B93" w:rsidRPr="00A0627B" w:rsidRDefault="00963B93" w:rsidP="00E20A7A">
      <w:pPr>
        <w:ind w:firstLine="709"/>
        <w:contextualSpacing/>
        <w:jc w:val="both"/>
        <w:rPr>
          <w:rFonts w:ascii="Arial" w:hAnsi="Arial" w:cs="Arial"/>
          <w:sz w:val="19"/>
          <w:szCs w:val="19"/>
        </w:rPr>
      </w:pPr>
      <w:r w:rsidRPr="00A0627B">
        <w:rPr>
          <w:rFonts w:ascii="Arial" w:eastAsia="Calibri" w:hAnsi="Arial" w:cs="Arial"/>
          <w:bCs/>
          <w:color w:val="000000"/>
          <w:sz w:val="19"/>
          <w:szCs w:val="19"/>
        </w:rPr>
        <w:t>»</w:t>
      </w:r>
      <w:r w:rsidRPr="00A0627B">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0627B">
        <w:rPr>
          <w:rFonts w:ascii="Arial" w:eastAsia="Calibri" w:hAnsi="Arial" w:cs="Arial"/>
          <w:bCs/>
          <w:color w:val="000000"/>
          <w:sz w:val="19"/>
          <w:szCs w:val="19"/>
        </w:rPr>
        <w:t>»</w:t>
      </w:r>
      <w:r w:rsidRPr="00A0627B">
        <w:rPr>
          <w:rFonts w:ascii="Arial" w:hAnsi="Arial" w:cs="Arial"/>
          <w:sz w:val="19"/>
          <w:szCs w:val="19"/>
        </w:rPr>
        <w:t>.</w:t>
      </w:r>
    </w:p>
  </w:footnote>
  <w:footnote w:id="10">
    <w:p w14:paraId="48AC1B41" w14:textId="77777777" w:rsidR="00963B93" w:rsidRPr="00A0627B" w:rsidRDefault="00963B93" w:rsidP="00E20A7A">
      <w:pPr>
        <w:pStyle w:val="NormalWeb"/>
        <w:spacing w:before="0" w:beforeAutospacing="0" w:after="0" w:afterAutospacing="0"/>
        <w:ind w:firstLine="709"/>
        <w:contextualSpacing/>
        <w:jc w:val="both"/>
        <w:rPr>
          <w:rFonts w:ascii="Arial" w:hAnsi="Arial" w:cs="Arial"/>
          <w:sz w:val="19"/>
          <w:szCs w:val="19"/>
          <w:lang w:val="es-MX"/>
        </w:rPr>
      </w:pPr>
      <w:r w:rsidRPr="00A0627B">
        <w:rPr>
          <w:rStyle w:val="Refdenotaalpie"/>
          <w:rFonts w:ascii="Arial" w:hAnsi="Arial" w:cs="Arial"/>
          <w:sz w:val="19"/>
          <w:szCs w:val="19"/>
        </w:rPr>
        <w:footnoteRef/>
      </w:r>
      <w:r w:rsidRPr="00A0627B">
        <w:rPr>
          <w:rFonts w:ascii="Arial" w:hAnsi="Arial" w:cs="Arial"/>
          <w:sz w:val="19"/>
          <w:szCs w:val="19"/>
        </w:rPr>
        <w:t xml:space="preserve"> </w:t>
      </w:r>
      <w:bookmarkStart w:id="20" w:name="38"/>
      <w:r w:rsidRPr="00A0627B">
        <w:rPr>
          <w:rFonts w:ascii="Arial" w:eastAsia="Calibri" w:hAnsi="Arial" w:cs="Arial"/>
          <w:bCs/>
          <w:color w:val="000000"/>
          <w:sz w:val="19"/>
          <w:szCs w:val="19"/>
        </w:rPr>
        <w:t>«</w:t>
      </w:r>
      <w:r w:rsidRPr="00A0627B">
        <w:rPr>
          <w:rFonts w:ascii="Arial" w:hAnsi="Arial" w:cs="Arial"/>
          <w:sz w:val="19"/>
          <w:szCs w:val="19"/>
          <w:lang w:val="es-MX"/>
        </w:rPr>
        <w:t>Artículo 38. Prohibiciones para los servidores públicos. A los empleados del Estado les está prohibido:</w:t>
      </w:r>
      <w:bookmarkEnd w:id="20"/>
    </w:p>
    <w:p w14:paraId="0D9E6AE0" w14:textId="77777777" w:rsidR="00963B93" w:rsidRPr="00A0627B" w:rsidRDefault="00963B93" w:rsidP="00E20A7A">
      <w:pPr>
        <w:pStyle w:val="NormalWeb"/>
        <w:spacing w:before="0" w:beforeAutospacing="0" w:after="0" w:afterAutospacing="0"/>
        <w:ind w:firstLine="709"/>
        <w:contextualSpacing/>
        <w:jc w:val="both"/>
        <w:rPr>
          <w:rFonts w:ascii="Arial" w:hAnsi="Arial" w:cs="Arial"/>
          <w:sz w:val="19"/>
          <w:szCs w:val="19"/>
          <w:lang w:val="es-MX"/>
        </w:rPr>
      </w:pPr>
      <w:r w:rsidRPr="00A0627B">
        <w:rPr>
          <w:rFonts w:ascii="Arial" w:eastAsia="Calibri" w:hAnsi="Arial" w:cs="Arial"/>
          <w:bCs/>
          <w:color w:val="000000"/>
          <w:sz w:val="19"/>
          <w:szCs w:val="19"/>
        </w:rPr>
        <w:t>»</w:t>
      </w:r>
      <w:r w:rsidRPr="00A0627B">
        <w:rPr>
          <w:rFonts w:ascii="Arial" w:hAnsi="Arial" w:cs="Arial"/>
          <w:sz w:val="19"/>
          <w:szCs w:val="19"/>
          <w:lang w:val="es-MX"/>
        </w:rPr>
        <w:t xml:space="preserve"> […]</w:t>
      </w:r>
    </w:p>
    <w:p w14:paraId="1176DA2F" w14:textId="77777777" w:rsidR="00963B93" w:rsidRPr="00A0627B" w:rsidRDefault="00963B93" w:rsidP="00E20A7A">
      <w:pPr>
        <w:pStyle w:val="NormalWeb"/>
        <w:spacing w:before="0" w:beforeAutospacing="0" w:after="0" w:afterAutospacing="0"/>
        <w:ind w:firstLine="709"/>
        <w:contextualSpacing/>
        <w:jc w:val="both"/>
        <w:rPr>
          <w:rFonts w:ascii="Arial" w:hAnsi="Arial" w:cs="Arial"/>
          <w:sz w:val="19"/>
          <w:szCs w:val="19"/>
          <w:lang w:val="es-MX"/>
        </w:rPr>
      </w:pPr>
      <w:r w:rsidRPr="00A0627B">
        <w:rPr>
          <w:rFonts w:ascii="Arial" w:eastAsia="Calibri" w:hAnsi="Arial" w:cs="Arial"/>
          <w:bCs/>
          <w:color w:val="000000"/>
          <w:sz w:val="19"/>
          <w:szCs w:val="19"/>
        </w:rPr>
        <w:t>»</w:t>
      </w:r>
      <w:r w:rsidRPr="00A0627B">
        <w:rPr>
          <w:rStyle w:val="baj"/>
          <w:rFonts w:ascii="Arial" w:hAnsi="Arial" w:cs="Arial"/>
          <w:sz w:val="19"/>
          <w:szCs w:val="19"/>
          <w:lang w:val="es-MX"/>
        </w:rPr>
        <w:t xml:space="preserve"> Parágrafo.</w:t>
      </w:r>
      <w:r w:rsidRPr="00A0627B">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0627B">
        <w:rPr>
          <w:rFonts w:ascii="Arial" w:eastAsia="Calibri" w:hAnsi="Arial" w:cs="Arial"/>
          <w:bCs/>
          <w:color w:val="000000"/>
          <w:sz w:val="19"/>
          <w:szCs w:val="19"/>
        </w:rPr>
        <w:t>»</w:t>
      </w:r>
      <w:r w:rsidRPr="00A0627B">
        <w:rPr>
          <w:rFonts w:ascii="Arial" w:hAnsi="Arial" w:cs="Arial"/>
          <w:sz w:val="19"/>
          <w:szCs w:val="19"/>
          <w:lang w:val="es-MX"/>
        </w:rPr>
        <w:t>.</w:t>
      </w:r>
    </w:p>
  </w:footnote>
  <w:footnote w:id="11">
    <w:p w14:paraId="179D0981" w14:textId="77777777" w:rsidR="00963B93" w:rsidRPr="00A0627B" w:rsidRDefault="00963B93" w:rsidP="00E20A7A">
      <w:pPr>
        <w:ind w:left="100" w:right="244" w:firstLine="709"/>
        <w:contextualSpacing/>
        <w:jc w:val="both"/>
        <w:rPr>
          <w:rFonts w:ascii="Arial" w:hAnsi="Arial" w:cs="Arial"/>
          <w:sz w:val="19"/>
          <w:szCs w:val="19"/>
          <w:lang w:val="es-ES"/>
        </w:rPr>
      </w:pPr>
      <w:r w:rsidRPr="00A0627B">
        <w:rPr>
          <w:rStyle w:val="Refdenotaalpie"/>
          <w:rFonts w:ascii="Arial" w:hAnsi="Arial" w:cs="Arial"/>
          <w:sz w:val="19"/>
          <w:szCs w:val="19"/>
        </w:rPr>
        <w:footnoteRef/>
      </w:r>
      <w:r w:rsidRPr="00A0627B">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2E0912E5" w14:textId="77777777" w:rsidR="00524963" w:rsidRPr="00A0627B" w:rsidRDefault="00524963" w:rsidP="00E20A7A">
      <w:pPr>
        <w:pStyle w:val="Textonotapie"/>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w:t>
      </w:r>
      <w:r w:rsidRPr="00A0627B">
        <w:rPr>
          <w:rFonts w:ascii="Arial" w:hAnsi="Arial" w:cs="Arial"/>
          <w:color w:val="000000"/>
          <w:sz w:val="19"/>
          <w:szCs w:val="19"/>
          <w:lang w:val="es-ES"/>
        </w:rPr>
        <w:t xml:space="preserve">[25] </w:t>
      </w:r>
      <w:r w:rsidRPr="00A0627B">
        <w:rPr>
          <w:rFonts w:ascii="Arial" w:hAnsi="Arial" w:cs="Arial"/>
          <w:color w:val="000000"/>
          <w:sz w:val="19"/>
          <w:szCs w:val="19"/>
        </w:rPr>
        <w:t>Cfr. Consejo de Estado. Sección Tercera. Sentencia de 3 de diciembre de 2007. Radicados: 24.715, 25.206, 25.409, 24.524, 27.834, 25.410, 26.105, 28.244, 31.447 -acumulados-».</w:t>
      </w:r>
    </w:p>
  </w:footnote>
  <w:footnote w:id="13">
    <w:p w14:paraId="2D26AD8A" w14:textId="77777777" w:rsidR="00524963" w:rsidRPr="00A0627B" w:rsidRDefault="00524963" w:rsidP="00E20A7A">
      <w:pPr>
        <w:pStyle w:val="Textonotapie"/>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w:t>
      </w:r>
      <w:r w:rsidRPr="00A0627B">
        <w:rPr>
          <w:rFonts w:ascii="Arial" w:hAnsi="Arial" w:cs="Arial"/>
          <w:color w:val="000000"/>
          <w:sz w:val="19"/>
          <w:szCs w:val="19"/>
          <w:lang w:val="es-ES"/>
        </w:rPr>
        <w:t xml:space="preserve">[26] </w:t>
      </w:r>
      <w:r w:rsidRPr="00A0627B">
        <w:rPr>
          <w:rFonts w:ascii="Arial" w:hAnsi="Arial" w:cs="Arial"/>
          <w:color w:val="000000"/>
          <w:sz w:val="19"/>
          <w:szCs w:val="19"/>
        </w:rPr>
        <w:t>Al respecto ver el concepto 1712 de 2 de febrero de 2006. Consejo de Estado Sala de Consulta y Servicio Civil».</w:t>
      </w:r>
    </w:p>
  </w:footnote>
  <w:footnote w:id="14">
    <w:p w14:paraId="3FDC5283" w14:textId="77777777" w:rsidR="00524963" w:rsidRPr="00A0627B" w:rsidRDefault="00524963" w:rsidP="00E20A7A">
      <w:pPr>
        <w:pStyle w:val="Textonotapie"/>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Consejo de Estado. Sala de Consulta y Servicio Civil. Concepto del 2 de septiembre de 2013. Radicación número: 11001-03-06-000-2013-00412-00 (2168). Consejero Ponente: Álvaro Namén Vargas.</w:t>
      </w:r>
    </w:p>
  </w:footnote>
  <w:footnote w:id="15">
    <w:p w14:paraId="02563B18" w14:textId="77777777" w:rsidR="00524963" w:rsidRPr="00A0627B" w:rsidRDefault="00524963" w:rsidP="00E20A7A">
      <w:pPr>
        <w:pStyle w:val="Textonotapie"/>
        <w:ind w:firstLine="709"/>
        <w:jc w:val="both"/>
        <w:rPr>
          <w:rFonts w:ascii="Arial" w:hAnsi="Arial" w:cs="Arial"/>
          <w:color w:val="000000"/>
          <w:sz w:val="19"/>
          <w:szCs w:val="19"/>
          <w:lang w:val="es-ES"/>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w:t>
      </w:r>
      <w:r w:rsidRPr="00A0627B">
        <w:rPr>
          <w:rFonts w:ascii="Arial" w:hAnsi="Arial" w:cs="Arial"/>
          <w:color w:val="000000"/>
          <w:sz w:val="19"/>
          <w:szCs w:val="19"/>
          <w:lang w:val="es-ES"/>
        </w:rPr>
        <w:t xml:space="preserve">Artículo 2. </w:t>
      </w:r>
    </w:p>
  </w:footnote>
  <w:footnote w:id="16">
    <w:p w14:paraId="4125B07B" w14:textId="77777777" w:rsidR="00524963" w:rsidRPr="00A0627B" w:rsidRDefault="00524963" w:rsidP="00E20A7A">
      <w:pPr>
        <w:pStyle w:val="Textonotapie"/>
        <w:ind w:firstLine="709"/>
        <w:jc w:val="both"/>
        <w:rPr>
          <w:rFonts w:ascii="Arial" w:hAnsi="Arial" w:cs="Arial"/>
          <w:color w:val="000000"/>
          <w:sz w:val="19"/>
          <w:szCs w:val="19"/>
          <w:lang w:val="es-ES"/>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w:t>
      </w:r>
      <w:r w:rsidRPr="00A0627B">
        <w:rPr>
          <w:rFonts w:ascii="Arial" w:hAnsi="Arial" w:cs="Arial"/>
          <w:i/>
          <w:color w:val="000000"/>
          <w:sz w:val="19"/>
          <w:szCs w:val="19"/>
          <w:lang w:val="es-ES"/>
        </w:rPr>
        <w:t>Ídem</w:t>
      </w:r>
      <w:r w:rsidRPr="00A0627B">
        <w:rPr>
          <w:rFonts w:ascii="Arial" w:hAnsi="Arial" w:cs="Arial"/>
          <w:color w:val="000000"/>
          <w:sz w:val="19"/>
          <w:szCs w:val="19"/>
          <w:lang w:val="es-ES"/>
        </w:rPr>
        <w:t>.</w:t>
      </w:r>
    </w:p>
  </w:footnote>
  <w:footnote w:id="17">
    <w:p w14:paraId="5DF03155" w14:textId="77777777" w:rsidR="00524963" w:rsidRPr="00A0627B" w:rsidRDefault="00524963" w:rsidP="00E20A7A">
      <w:pPr>
        <w:pStyle w:val="Textonotapie"/>
        <w:ind w:firstLine="709"/>
        <w:jc w:val="both"/>
        <w:rPr>
          <w:rFonts w:ascii="Arial" w:hAnsi="Arial" w:cs="Arial"/>
          <w:color w:val="000000"/>
          <w:sz w:val="19"/>
          <w:szCs w:val="19"/>
          <w:lang w:val="es-ES"/>
        </w:rPr>
      </w:pPr>
      <w:r w:rsidRPr="00A0627B">
        <w:rPr>
          <w:rStyle w:val="Refdenotaalpie"/>
          <w:rFonts w:ascii="Arial" w:hAnsi="Arial" w:cs="Arial"/>
          <w:sz w:val="19"/>
          <w:szCs w:val="19"/>
        </w:rPr>
        <w:footnoteRef/>
      </w:r>
      <w:r w:rsidRPr="00A0627B">
        <w:rPr>
          <w:rStyle w:val="Refdenotaalpie"/>
          <w:rFonts w:ascii="Arial" w:hAnsi="Arial" w:cs="Arial"/>
          <w:color w:val="000000"/>
          <w:sz w:val="19"/>
          <w:szCs w:val="19"/>
        </w:rPr>
        <w:t xml:space="preserve"> </w:t>
      </w:r>
      <w:r w:rsidRPr="00A0627B">
        <w:rPr>
          <w:rFonts w:ascii="Arial" w:hAnsi="Arial" w:cs="Arial"/>
          <w:color w:val="000000"/>
          <w:sz w:val="19"/>
          <w:szCs w:val="19"/>
          <w:lang w:val="es-ES"/>
        </w:rPr>
        <w:t xml:space="preserve">«[…] A este respecto, cabe recordar que el artículo 860 del Código de Comercio regula la licitación en el derecho privado». </w:t>
      </w:r>
    </w:p>
  </w:footnote>
  <w:footnote w:id="18">
    <w:p w14:paraId="62A161C5" w14:textId="77777777" w:rsidR="00524963" w:rsidRPr="00A0627B" w:rsidRDefault="00524963" w:rsidP="00E20A7A">
      <w:pPr>
        <w:shd w:val="clear" w:color="auto" w:fill="FFFFFF"/>
        <w:ind w:firstLine="709"/>
        <w:jc w:val="both"/>
        <w:rPr>
          <w:rFonts w:ascii="Arial" w:hAnsi="Arial" w:cs="Arial"/>
          <w:color w:val="000000"/>
          <w:sz w:val="19"/>
          <w:szCs w:val="19"/>
          <w:lang w:val="es-ES"/>
        </w:rPr>
      </w:pPr>
      <w:r w:rsidRPr="00A0627B">
        <w:rPr>
          <w:rStyle w:val="Refdenotaalpie"/>
          <w:rFonts w:ascii="Arial" w:hAnsi="Arial" w:cs="Arial"/>
          <w:sz w:val="19"/>
          <w:szCs w:val="19"/>
        </w:rPr>
        <w:footnoteRef/>
      </w:r>
      <w:r w:rsidRPr="00A0627B">
        <w:rPr>
          <w:rStyle w:val="Refdenotaalpie"/>
          <w:rFonts w:ascii="Arial" w:hAnsi="Arial" w:cs="Arial"/>
          <w:color w:val="000000"/>
          <w:sz w:val="19"/>
          <w:szCs w:val="19"/>
        </w:rPr>
        <w:t xml:space="preserve"> </w:t>
      </w:r>
      <w:r w:rsidRPr="00A0627B">
        <w:rPr>
          <w:rFonts w:ascii="Arial" w:hAnsi="Arial" w:cs="Arial"/>
          <w:color w:val="000000"/>
          <w:sz w:val="19"/>
          <w:szCs w:val="19"/>
          <w:lang w:val="es-ES"/>
        </w:rPr>
        <w:t xml:space="preserve">Consejo de Estado. Sala de Consulta y Servicio Civil, Concepto de 8 de mayo de 2018. Radicación Número: 11001-03-06-000-2018-00095-00(2382). Consejero Ponente: Álvaro </w:t>
      </w:r>
      <w:proofErr w:type="spellStart"/>
      <w:r w:rsidRPr="00A0627B">
        <w:rPr>
          <w:rFonts w:ascii="Arial" w:hAnsi="Arial" w:cs="Arial"/>
          <w:color w:val="000000"/>
          <w:sz w:val="19"/>
          <w:szCs w:val="19"/>
          <w:lang w:val="es-ES"/>
        </w:rPr>
        <w:t>Namén</w:t>
      </w:r>
      <w:proofErr w:type="spellEnd"/>
      <w:r w:rsidRPr="00A0627B">
        <w:rPr>
          <w:rFonts w:ascii="Arial" w:hAnsi="Arial" w:cs="Arial"/>
          <w:color w:val="000000"/>
          <w:sz w:val="19"/>
          <w:szCs w:val="19"/>
          <w:lang w:val="es-ES"/>
        </w:rPr>
        <w:t xml:space="preserve"> Vargas.</w:t>
      </w:r>
    </w:p>
  </w:footnote>
  <w:footnote w:id="19">
    <w:p w14:paraId="64309EE0" w14:textId="77777777" w:rsidR="00524963" w:rsidRPr="00A0627B" w:rsidRDefault="00524963" w:rsidP="00E20A7A">
      <w:pPr>
        <w:pStyle w:val="Textonotapie"/>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Consejo de Estado. Sala de Consulta y Servicio Civil. Concepto del 08 de mayo de 2018. Exp. 2.382. C.P. Álvaro Namén Vargas.</w:t>
      </w:r>
    </w:p>
  </w:footnote>
  <w:footnote w:id="20">
    <w:p w14:paraId="384BEF30" w14:textId="77777777" w:rsidR="00524963" w:rsidRPr="00A0627B" w:rsidRDefault="00524963" w:rsidP="00E20A7A">
      <w:pPr>
        <w:pStyle w:val="Textonotapie"/>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Cfr. Concepto C-757 del 30 de diciembre de 2021.</w:t>
      </w:r>
    </w:p>
  </w:footnote>
  <w:footnote w:id="21">
    <w:p w14:paraId="5423C8EC" w14:textId="77777777" w:rsidR="00524963" w:rsidRPr="00A0627B" w:rsidRDefault="00524963" w:rsidP="00E20A7A">
      <w:pPr>
        <w:pStyle w:val="Textonotapie"/>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7BDFE052" w14:textId="77777777" w:rsidR="00524963" w:rsidRPr="00A0627B" w:rsidRDefault="00524963" w:rsidP="00E20A7A">
      <w:pPr>
        <w:ind w:firstLine="709"/>
        <w:jc w:val="both"/>
        <w:rPr>
          <w:rFonts w:ascii="Arial" w:hAnsi="Arial" w:cs="Arial"/>
          <w:color w:val="000000"/>
          <w:sz w:val="19"/>
          <w:szCs w:val="19"/>
        </w:rPr>
      </w:pPr>
      <w:r w:rsidRPr="00A0627B">
        <w:rPr>
          <w:rStyle w:val="Refdenotaalpie"/>
          <w:rFonts w:ascii="Arial" w:hAnsi="Arial" w:cs="Arial"/>
          <w:sz w:val="19"/>
          <w:szCs w:val="19"/>
        </w:rPr>
        <w:footnoteRef/>
      </w:r>
      <w:r w:rsidRPr="00A0627B">
        <w:rPr>
          <w:rFonts w:ascii="Arial" w:hAnsi="Arial" w:cs="Arial"/>
          <w:color w:val="000000"/>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4C62D15C" w14:textId="77777777" w:rsidR="0040083B" w:rsidRPr="00A0627B" w:rsidRDefault="0040083B" w:rsidP="00E20A7A">
      <w:pPr>
        <w:pStyle w:val="Textonotapie"/>
        <w:ind w:right="51"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w:t>
      </w:r>
      <w:bookmarkStart w:id="28" w:name="_Hlk75633115"/>
      <w:r w:rsidRPr="00A0627B">
        <w:rPr>
          <w:rFonts w:ascii="Arial" w:hAnsi="Arial" w:cs="Arial"/>
          <w:sz w:val="19"/>
          <w:szCs w:val="19"/>
        </w:rPr>
        <w:t xml:space="preserve">Consejo de Estado. Sala de Consulta y Servicio Civil. Concepto </w:t>
      </w:r>
      <w:bookmarkEnd w:id="28"/>
      <w:r w:rsidRPr="00A0627B">
        <w:rPr>
          <w:rFonts w:ascii="Arial" w:hAnsi="Arial" w:cs="Arial"/>
          <w:sz w:val="19"/>
          <w:szCs w:val="19"/>
        </w:rPr>
        <w:t>de 6 de abril de 2006. Radicación Número: 11001-03-06-000-2006-00038-00(1738). Consejero Ponente: Enrique José Arboleda Perdomo:</w:t>
      </w:r>
      <w:r w:rsidRPr="00A0627B">
        <w:rPr>
          <w:rFonts w:ascii="Arial" w:eastAsia="Times New Roman" w:hAnsi="Arial" w:cs="Arial"/>
          <w:bCs/>
          <w:sz w:val="19"/>
          <w:szCs w:val="19"/>
          <w:lang w:eastAsia="x-none"/>
        </w:rPr>
        <w:t xml:space="preserve"> «</w:t>
      </w:r>
      <w:r w:rsidRPr="00A0627B">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A0627B">
        <w:rPr>
          <w:rFonts w:ascii="Arial" w:eastAsia="Times New Roman" w:hAnsi="Arial" w:cs="Arial"/>
          <w:bCs/>
          <w:sz w:val="19"/>
          <w:szCs w:val="19"/>
          <w:lang w:eastAsia="x-none"/>
        </w:rPr>
        <w:t>».</w:t>
      </w:r>
    </w:p>
  </w:footnote>
  <w:footnote w:id="24">
    <w:p w14:paraId="0606894C" w14:textId="77777777" w:rsidR="0040083B" w:rsidRPr="00A0627B" w:rsidRDefault="0040083B" w:rsidP="00E20A7A">
      <w:pPr>
        <w:pStyle w:val="Textonotapie"/>
        <w:ind w:right="51"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5">
    <w:p w14:paraId="43CDD80A" w14:textId="77777777" w:rsidR="0040083B" w:rsidRPr="00A0627B" w:rsidRDefault="0040083B" w:rsidP="00E20A7A">
      <w:pPr>
        <w:pStyle w:val="Textonotapie"/>
        <w:ind w:right="51" w:firstLine="709"/>
        <w:contextualSpacing/>
        <w:jc w:val="both"/>
        <w:rPr>
          <w:rFonts w:ascii="Arial" w:hAnsi="Arial" w:cs="Arial"/>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Consejo de Estado. Sala de Consulta y Servicio Civil, ídem.</w:t>
      </w:r>
    </w:p>
  </w:footnote>
  <w:footnote w:id="26">
    <w:p w14:paraId="2D19EB70" w14:textId="77777777" w:rsidR="00037198" w:rsidRPr="00A0627B" w:rsidRDefault="00037198" w:rsidP="00E20A7A">
      <w:pPr>
        <w:pStyle w:val="Textonotapie"/>
        <w:ind w:firstLine="709"/>
        <w:jc w:val="both"/>
        <w:rPr>
          <w:rFonts w:ascii="Arial" w:hAnsi="Arial" w:cs="Arial"/>
          <w:color w:val="000000" w:themeColor="text1"/>
          <w:sz w:val="19"/>
          <w:szCs w:val="19"/>
          <w:lang w:val="es-CO"/>
        </w:rPr>
      </w:pPr>
      <w:r w:rsidRPr="00A0627B">
        <w:rPr>
          <w:rStyle w:val="Refdenotaalpie"/>
          <w:rFonts w:ascii="Arial" w:hAnsi="Arial" w:cs="Arial"/>
          <w:sz w:val="19"/>
          <w:szCs w:val="19"/>
        </w:rPr>
        <w:footnoteRef/>
      </w:r>
      <w:r w:rsidRPr="00A0627B">
        <w:rPr>
          <w:rFonts w:ascii="Arial" w:hAnsi="Arial" w:cs="Arial"/>
          <w:color w:val="000000" w:themeColor="text1"/>
          <w:sz w:val="19"/>
          <w:szCs w:val="19"/>
          <w:lang w:val="es-CO"/>
        </w:rPr>
        <w:t xml:space="preserve"> FIGUEROA U. Organismos internacionales. 2ª edición. Santiago de Chile: Editorial RIL editores, 2010.</w:t>
      </w:r>
    </w:p>
  </w:footnote>
  <w:footnote w:id="27">
    <w:p w14:paraId="566A002D"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Style w:val="Refdenotaalpie"/>
          <w:rFonts w:ascii="Arial" w:hAnsi="Arial" w:cs="Arial"/>
          <w:sz w:val="19"/>
          <w:szCs w:val="19"/>
        </w:rPr>
        <w:footnoteRef/>
      </w:r>
      <w:r w:rsidRPr="00A0627B">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r:id="rId1" w:anchor="2" w:history="1">
        <w:r w:rsidRPr="00A0627B">
          <w:t>2</w:t>
        </w:r>
      </w:hyperlink>
      <w:r w:rsidRPr="00A0627B">
        <w:rPr>
          <w:rFonts w:ascii="Arial" w:hAnsi="Arial" w:cs="Arial"/>
          <w:color w:val="000000" w:themeColor="text1"/>
          <w:sz w:val="19"/>
          <w:szCs w:val="19"/>
        </w:rPr>
        <w:t>o. del presente estatuto se regirán por las disposiciones comerciales y civiles pertinentes, salvo en las materias particularmente reguladas en esta ley.</w:t>
      </w:r>
    </w:p>
    <w:p w14:paraId="3B95AC0B"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»Los contratos celebrados en el exterior se podrán regir en su ejecución por las reglas del país en donde se hayan suscrito, a menos que deban cumplirse en Colombia»</w:t>
      </w:r>
    </w:p>
    <w:p w14:paraId="77F5F8D6"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»Los contratos que se celebren en Colombia y deban ejecutarse o cumplirse en el extranjero, podrán someterse a la ley extranjera».</w:t>
      </w:r>
    </w:p>
  </w:footnote>
  <w:footnote w:id="28">
    <w:p w14:paraId="32581797" w14:textId="77777777" w:rsidR="00037198" w:rsidRPr="00A0627B" w:rsidRDefault="00037198" w:rsidP="00E20A7A">
      <w:pPr>
        <w:pStyle w:val="Textonotapie"/>
        <w:ind w:firstLine="709"/>
        <w:jc w:val="both"/>
        <w:rPr>
          <w:rFonts w:ascii="Arial" w:hAnsi="Arial" w:cs="Arial"/>
          <w:color w:val="000000" w:themeColor="text1"/>
          <w:sz w:val="19"/>
          <w:szCs w:val="19"/>
          <w:lang w:val="es-ES_tradnl"/>
        </w:rPr>
      </w:pPr>
      <w:r w:rsidRPr="00A0627B">
        <w:rPr>
          <w:rStyle w:val="Refdenotaalpie"/>
          <w:rFonts w:ascii="Arial" w:hAnsi="Arial" w:cs="Arial"/>
          <w:sz w:val="19"/>
          <w:szCs w:val="19"/>
        </w:rPr>
        <w:footnoteRef/>
      </w:r>
      <w:r w:rsidRPr="00A0627B">
        <w:rPr>
          <w:rFonts w:ascii="Arial" w:hAnsi="Arial" w:cs="Arial"/>
          <w:color w:val="000000" w:themeColor="text1"/>
          <w:sz w:val="19"/>
          <w:szCs w:val="19"/>
        </w:rPr>
        <w:t xml:space="preserve"> Consejo de Estado. Sección Tercera, Subsección C. Sentencia del 26 de noviembre de 2015. </w:t>
      </w:r>
      <w:proofErr w:type="spellStart"/>
      <w:r w:rsidRPr="00A0627B">
        <w:rPr>
          <w:rFonts w:ascii="Arial" w:hAnsi="Arial" w:cs="Arial"/>
          <w:color w:val="000000" w:themeColor="text1"/>
          <w:sz w:val="19"/>
          <w:szCs w:val="19"/>
          <w:lang w:val="es-ES_tradnl"/>
        </w:rPr>
        <w:t>Exp</w:t>
      </w:r>
      <w:proofErr w:type="spellEnd"/>
      <w:r w:rsidRPr="00A0627B">
        <w:rPr>
          <w:rFonts w:ascii="Arial" w:hAnsi="Arial" w:cs="Arial"/>
          <w:color w:val="000000" w:themeColor="text1"/>
          <w:sz w:val="19"/>
          <w:szCs w:val="19"/>
          <w:lang w:val="es-ES_tradnl"/>
        </w:rPr>
        <w:t xml:space="preserve">. </w:t>
      </w:r>
      <w:r w:rsidRPr="00A0627B">
        <w:rPr>
          <w:rFonts w:ascii="Arial" w:hAnsi="Arial" w:cs="Arial"/>
          <w:color w:val="000000" w:themeColor="text1"/>
          <w:sz w:val="19"/>
          <w:szCs w:val="19"/>
          <w:lang w:val="es-CO"/>
        </w:rPr>
        <w:t xml:space="preserve">54.069. C.P Jaime Orlando Santofimio Gamboa. </w:t>
      </w:r>
    </w:p>
  </w:footnote>
  <w:footnote w:id="29">
    <w:p w14:paraId="788DBA6B" w14:textId="77777777" w:rsidR="00037198" w:rsidRPr="00A0627B" w:rsidRDefault="00037198" w:rsidP="00E20A7A">
      <w:pPr>
        <w:pStyle w:val="Textonotapie"/>
        <w:ind w:firstLine="709"/>
        <w:jc w:val="both"/>
        <w:rPr>
          <w:rFonts w:ascii="Arial" w:hAnsi="Arial" w:cs="Arial"/>
          <w:color w:val="000000" w:themeColor="text1"/>
          <w:sz w:val="19"/>
          <w:szCs w:val="19"/>
          <w:lang w:eastAsia="es-CO"/>
        </w:rPr>
      </w:pPr>
      <w:r w:rsidRPr="00A0627B">
        <w:rPr>
          <w:rStyle w:val="Refdenotaalpie"/>
          <w:rFonts w:ascii="Arial" w:hAnsi="Arial" w:cs="Arial"/>
          <w:sz w:val="19"/>
          <w:szCs w:val="19"/>
        </w:rPr>
        <w:footnoteRef/>
      </w:r>
      <w:r w:rsidRPr="00A0627B">
        <w:rPr>
          <w:rFonts w:ascii="Arial" w:hAnsi="Arial" w:cs="Arial"/>
          <w:color w:val="000000" w:themeColor="text1"/>
          <w:sz w:val="19"/>
          <w:szCs w:val="19"/>
        </w:rPr>
        <w:t xml:space="preserve"> </w:t>
      </w:r>
      <w:r w:rsidRPr="00A0627B">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30">
    <w:p w14:paraId="70358E68"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Style w:val="Refdenotaalpie"/>
          <w:rFonts w:ascii="Arial" w:hAnsi="Arial" w:cs="Arial"/>
          <w:sz w:val="19"/>
          <w:szCs w:val="19"/>
        </w:rPr>
        <w:footnoteRef/>
      </w:r>
      <w:r w:rsidRPr="00A0627B">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51A52F94"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491F2E16"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4C37DC5B"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w:t>
      </w:r>
      <w:r w:rsidRPr="00A0627B">
        <w:rPr>
          <w:rStyle w:val="baj"/>
          <w:rFonts w:ascii="Arial" w:hAnsi="Arial" w:cs="Arial"/>
          <w:color w:val="000000" w:themeColor="text1"/>
          <w:sz w:val="19"/>
          <w:szCs w:val="19"/>
        </w:rPr>
        <w:t>PARÁGRAFO 1o.</w:t>
      </w:r>
      <w:r w:rsidRPr="00A0627B">
        <w:rPr>
          <w:rFonts w:ascii="Arial" w:hAnsi="Arial" w:cs="Arial"/>
          <w:color w:val="000000" w:themeColor="text1"/>
          <w:sz w:val="19"/>
          <w:szCs w:val="19"/>
        </w:rPr>
        <w:t> Los contratos o acuerdos celebrados con personas extranjeras de derecho público, podrán someterse a las reglas de tales organismos.</w:t>
      </w:r>
    </w:p>
    <w:p w14:paraId="160D6B26"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w:t>
      </w:r>
      <w:r w:rsidRPr="00A0627B">
        <w:rPr>
          <w:rStyle w:val="baj"/>
          <w:rFonts w:ascii="Arial" w:hAnsi="Arial" w:cs="Arial"/>
          <w:color w:val="000000" w:themeColor="text1"/>
          <w:sz w:val="19"/>
          <w:szCs w:val="19"/>
        </w:rPr>
        <w:t>PARÁGRAFO 2o.</w:t>
      </w:r>
      <w:r w:rsidRPr="00A0627B">
        <w:rPr>
          <w:rFonts w:ascii="Arial" w:hAnsi="Arial" w:cs="Arial"/>
          <w:color w:val="000000" w:themeColor="text1"/>
          <w:sz w:val="19"/>
          <w:szCs w:val="19"/>
        </w:rPr>
        <w:t xml:space="preserve"> Las entidades estatales tendrán la obligación de reportar la información a los organismos de control y al </w:t>
      </w:r>
      <w:proofErr w:type="spellStart"/>
      <w:r w:rsidRPr="00A0627B">
        <w:rPr>
          <w:rFonts w:ascii="Arial" w:hAnsi="Arial" w:cs="Arial"/>
          <w:color w:val="000000" w:themeColor="text1"/>
          <w:sz w:val="19"/>
          <w:szCs w:val="19"/>
        </w:rPr>
        <w:t>Secop</w:t>
      </w:r>
      <w:proofErr w:type="spellEnd"/>
      <w:r w:rsidRPr="00A0627B">
        <w:rPr>
          <w:rFonts w:ascii="Arial" w:hAnsi="Arial" w:cs="Arial"/>
          <w:color w:val="000000" w:themeColor="text1"/>
          <w:sz w:val="19"/>
          <w:szCs w:val="19"/>
        </w:rPr>
        <w:t xml:space="preserve"> relativa a la ejecución de los contratos a los que se refiere el presente artículo.</w:t>
      </w:r>
    </w:p>
    <w:p w14:paraId="1BD44D59" w14:textId="77777777" w:rsidR="00037198" w:rsidRPr="00A0627B" w:rsidRDefault="00037198" w:rsidP="00E20A7A">
      <w:pPr>
        <w:pStyle w:val="NormalWeb"/>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w:t>
      </w:r>
      <w:r w:rsidRPr="00A0627B">
        <w:rPr>
          <w:rStyle w:val="baj"/>
          <w:rFonts w:ascii="Arial" w:hAnsi="Arial" w:cs="Arial"/>
          <w:color w:val="000000" w:themeColor="text1"/>
          <w:sz w:val="19"/>
          <w:szCs w:val="19"/>
        </w:rPr>
        <w:t>PARÁGRAFO 3o.</w:t>
      </w:r>
      <w:r w:rsidRPr="00A0627B">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1">
    <w:p w14:paraId="3AA8202E" w14:textId="77777777" w:rsidR="00037198" w:rsidRPr="00A0627B" w:rsidRDefault="00037198" w:rsidP="00E20A7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Style w:val="Refdenotaalpie"/>
          <w:rFonts w:ascii="Arial" w:hAnsi="Arial" w:cs="Arial"/>
          <w:sz w:val="19"/>
          <w:szCs w:val="19"/>
        </w:rPr>
        <w:footnoteRef/>
      </w:r>
      <w:r w:rsidRPr="00A0627B">
        <w:rPr>
          <w:rFonts w:ascii="Arial" w:hAnsi="Arial" w:cs="Arial"/>
          <w:color w:val="000000" w:themeColor="text1"/>
          <w:sz w:val="19"/>
          <w:szCs w:val="19"/>
        </w:rPr>
        <w:t xml:space="preserve"> Decreto 1082 de 2015. «Artículo </w:t>
      </w:r>
      <w:r w:rsidRPr="00A0627B">
        <w:rPr>
          <w:rStyle w:val="Textoennegrita"/>
          <w:rFonts w:ascii="Arial" w:hAnsi="Arial" w:cs="Arial"/>
          <w:color w:val="000000" w:themeColor="text1"/>
          <w:sz w:val="19"/>
          <w:szCs w:val="19"/>
        </w:rPr>
        <w:t>2.2.1.2.4.4.1. </w:t>
      </w:r>
      <w:r w:rsidRPr="00A0627B">
        <w:rPr>
          <w:rStyle w:val="nfasis"/>
          <w:rFonts w:ascii="Arial" w:hAnsi="Arial" w:cs="Arial"/>
          <w:color w:val="000000" w:themeColor="text1"/>
          <w:sz w:val="19"/>
          <w:szCs w:val="19"/>
        </w:rPr>
        <w:t>Régimen aplicable a los contratos o convenios de cooperación Internacional. </w:t>
      </w:r>
      <w:r w:rsidRPr="00A0627B">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5EE75E2C" w14:textId="77777777" w:rsidR="00037198" w:rsidRPr="00A0627B" w:rsidRDefault="00037198" w:rsidP="00E20A7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w:t>
      </w:r>
      <w:r w:rsidRPr="00A0627B">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A0627B">
        <w:rPr>
          <w:rFonts w:ascii="Arial" w:hAnsi="Arial" w:cs="Arial"/>
          <w:color w:val="000000" w:themeColor="text1"/>
          <w:sz w:val="19"/>
          <w:szCs w:val="19"/>
        </w:rPr>
        <w:t>.</w:t>
      </w:r>
    </w:p>
    <w:p w14:paraId="6D14B98A" w14:textId="77777777" w:rsidR="00037198" w:rsidRPr="00A0627B" w:rsidRDefault="00037198" w:rsidP="00E20A7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4F1ED120" w14:textId="77777777" w:rsidR="00037198" w:rsidRPr="00A0627B" w:rsidRDefault="00037198" w:rsidP="00E20A7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6C49AB56" w14:textId="77777777" w:rsidR="00037198" w:rsidRPr="00A0627B" w:rsidRDefault="00037198" w:rsidP="00E20A7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2" w:history="1">
        <w:r w:rsidRPr="00A0627B">
          <w:rPr>
            <w:rStyle w:val="Hipervnculo"/>
            <w:rFonts w:ascii="Arial" w:hAnsi="Arial" w:cs="Arial"/>
            <w:color w:val="000000" w:themeColor="text1"/>
            <w:sz w:val="19"/>
            <w:szCs w:val="19"/>
          </w:rPr>
          <w:t>Ley 1150 de 2007</w:t>
        </w:r>
      </w:hyperlink>
      <w:r w:rsidRPr="00A0627B">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3" w:history="1">
        <w:r w:rsidRPr="00A0627B">
          <w:rPr>
            <w:rStyle w:val="Hipervnculo"/>
            <w:rFonts w:ascii="Arial" w:hAnsi="Arial" w:cs="Arial"/>
            <w:color w:val="000000" w:themeColor="text1"/>
            <w:sz w:val="19"/>
            <w:szCs w:val="19"/>
          </w:rPr>
          <w:t> Ley 1150 de 2007</w:t>
        </w:r>
      </w:hyperlink>
      <w:r w:rsidRPr="00A0627B">
        <w:rPr>
          <w:rFonts w:ascii="Arial" w:hAnsi="Arial" w:cs="Arial"/>
          <w:color w:val="000000" w:themeColor="text1"/>
          <w:sz w:val="19"/>
          <w:szCs w:val="19"/>
        </w:rPr>
        <w:t>.</w:t>
      </w:r>
    </w:p>
    <w:p w14:paraId="613F05F7" w14:textId="77777777" w:rsidR="00037198" w:rsidRPr="00A0627B" w:rsidRDefault="00037198" w:rsidP="00E20A7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»Los contratos con personas extranjeras de derecho público se deben celebrar y ejecutar según se acuerde entre las partes».</w:t>
      </w:r>
    </w:p>
  </w:footnote>
  <w:footnote w:id="32">
    <w:p w14:paraId="1208B121" w14:textId="441AF4A1" w:rsidR="00741363" w:rsidRPr="00A0627B" w:rsidRDefault="00741363" w:rsidP="00741363">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Style w:val="Refdenotaalpie"/>
          <w:rFonts w:ascii="Arial" w:hAnsi="Arial" w:cs="Arial"/>
          <w:sz w:val="19"/>
          <w:szCs w:val="19"/>
        </w:rPr>
        <w:footnoteRef/>
      </w:r>
      <w:r w:rsidRPr="00A0627B">
        <w:rPr>
          <w:rFonts w:ascii="Arial" w:hAnsi="Arial" w:cs="Arial"/>
          <w:sz w:val="19"/>
          <w:szCs w:val="19"/>
        </w:rPr>
        <w:t xml:space="preserve"> </w:t>
      </w:r>
      <w:r w:rsidRPr="00A0627B">
        <w:rPr>
          <w:rFonts w:ascii="Arial" w:hAnsi="Arial" w:cs="Arial"/>
          <w:color w:val="000000" w:themeColor="text1"/>
          <w:sz w:val="19"/>
          <w:szCs w:val="19"/>
        </w:rPr>
        <w:t xml:space="preserve">En otros apartes del Concepto CU-180 del 8 de abril de 2022 se sintetizó la postura de unificación en los siguientes términos: «En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727FEBB8" w14:textId="77777777" w:rsidR="00741363" w:rsidRPr="00A0627B" w:rsidRDefault="00741363" w:rsidP="00741363">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0627B">
        <w:rPr>
          <w:rFonts w:ascii="Arial" w:hAnsi="Arial" w:cs="Arial"/>
          <w:color w:val="000000" w:themeColor="text1"/>
          <w:sz w:val="19"/>
          <w:szCs w:val="19"/>
        </w:rPr>
        <w:t>»En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0324192"/>
    <w:multiLevelType w:val="hybridMultilevel"/>
    <w:tmpl w:val="B3FC81D8"/>
    <w:lvl w:ilvl="0" w:tplc="33FA551E">
      <w:start w:val="3"/>
      <w:numFmt w:val="bullet"/>
      <w:lvlText w:val="-"/>
      <w:lvlJc w:val="left"/>
      <w:pPr>
        <w:ind w:left="3054" w:hanging="360"/>
      </w:pPr>
      <w:rPr>
        <w:rFonts w:ascii="Arial" w:eastAsia="Calibri" w:hAnsi="Arial" w:cs="Arial" w:hint="default"/>
      </w:rPr>
    </w:lvl>
    <w:lvl w:ilvl="1" w:tplc="240A0003" w:tentative="1">
      <w:start w:val="1"/>
      <w:numFmt w:val="bullet"/>
      <w:lvlText w:val="o"/>
      <w:lvlJc w:val="left"/>
      <w:pPr>
        <w:ind w:left="3774" w:hanging="360"/>
      </w:pPr>
      <w:rPr>
        <w:rFonts w:ascii="Courier New" w:hAnsi="Courier New" w:cs="Courier New" w:hint="default"/>
      </w:rPr>
    </w:lvl>
    <w:lvl w:ilvl="2" w:tplc="240A0005" w:tentative="1">
      <w:start w:val="1"/>
      <w:numFmt w:val="bullet"/>
      <w:lvlText w:val=""/>
      <w:lvlJc w:val="left"/>
      <w:pPr>
        <w:ind w:left="4494" w:hanging="360"/>
      </w:pPr>
      <w:rPr>
        <w:rFonts w:ascii="Wingdings" w:hAnsi="Wingdings" w:hint="default"/>
      </w:rPr>
    </w:lvl>
    <w:lvl w:ilvl="3" w:tplc="240A0001" w:tentative="1">
      <w:start w:val="1"/>
      <w:numFmt w:val="bullet"/>
      <w:lvlText w:val=""/>
      <w:lvlJc w:val="left"/>
      <w:pPr>
        <w:ind w:left="5214" w:hanging="360"/>
      </w:pPr>
      <w:rPr>
        <w:rFonts w:ascii="Symbol" w:hAnsi="Symbol" w:hint="default"/>
      </w:rPr>
    </w:lvl>
    <w:lvl w:ilvl="4" w:tplc="240A0003" w:tentative="1">
      <w:start w:val="1"/>
      <w:numFmt w:val="bullet"/>
      <w:lvlText w:val="o"/>
      <w:lvlJc w:val="left"/>
      <w:pPr>
        <w:ind w:left="5934" w:hanging="360"/>
      </w:pPr>
      <w:rPr>
        <w:rFonts w:ascii="Courier New" w:hAnsi="Courier New" w:cs="Courier New" w:hint="default"/>
      </w:rPr>
    </w:lvl>
    <w:lvl w:ilvl="5" w:tplc="240A0005" w:tentative="1">
      <w:start w:val="1"/>
      <w:numFmt w:val="bullet"/>
      <w:lvlText w:val=""/>
      <w:lvlJc w:val="left"/>
      <w:pPr>
        <w:ind w:left="6654" w:hanging="360"/>
      </w:pPr>
      <w:rPr>
        <w:rFonts w:ascii="Wingdings" w:hAnsi="Wingdings" w:hint="default"/>
      </w:rPr>
    </w:lvl>
    <w:lvl w:ilvl="6" w:tplc="240A0001" w:tentative="1">
      <w:start w:val="1"/>
      <w:numFmt w:val="bullet"/>
      <w:lvlText w:val=""/>
      <w:lvlJc w:val="left"/>
      <w:pPr>
        <w:ind w:left="7374" w:hanging="360"/>
      </w:pPr>
      <w:rPr>
        <w:rFonts w:ascii="Symbol" w:hAnsi="Symbol" w:hint="default"/>
      </w:rPr>
    </w:lvl>
    <w:lvl w:ilvl="7" w:tplc="240A0003" w:tentative="1">
      <w:start w:val="1"/>
      <w:numFmt w:val="bullet"/>
      <w:lvlText w:val="o"/>
      <w:lvlJc w:val="left"/>
      <w:pPr>
        <w:ind w:left="8094" w:hanging="360"/>
      </w:pPr>
      <w:rPr>
        <w:rFonts w:ascii="Courier New" w:hAnsi="Courier New" w:cs="Courier New" w:hint="default"/>
      </w:rPr>
    </w:lvl>
    <w:lvl w:ilvl="8" w:tplc="240A0005" w:tentative="1">
      <w:start w:val="1"/>
      <w:numFmt w:val="bullet"/>
      <w:lvlText w:val=""/>
      <w:lvlJc w:val="left"/>
      <w:pPr>
        <w:ind w:left="8814" w:hanging="360"/>
      </w:pPr>
      <w:rPr>
        <w:rFonts w:ascii="Wingdings" w:hAnsi="Wingdings" w:hint="default"/>
      </w:r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6" w15:restartNumberingAfterBreak="0">
    <w:nsid w:val="723B1079"/>
    <w:multiLevelType w:val="hybridMultilevel"/>
    <w:tmpl w:val="2E0CD9C4"/>
    <w:lvl w:ilvl="0" w:tplc="E3DC3302">
      <w:start w:val="2"/>
      <w:numFmt w:val="bullet"/>
      <w:lvlText w:val="-"/>
      <w:lvlJc w:val="left"/>
      <w:pPr>
        <w:ind w:left="720" w:hanging="360"/>
      </w:pPr>
      <w:rPr>
        <w:rFonts w:ascii="Arial" w:eastAsia="Calibr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0"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41511651">
    <w:abstractNumId w:val="16"/>
  </w:num>
  <w:num w:numId="2" w16cid:durableId="599415786">
    <w:abstractNumId w:val="14"/>
  </w:num>
  <w:num w:numId="3" w16cid:durableId="1298024361">
    <w:abstractNumId w:val="23"/>
  </w:num>
  <w:num w:numId="4" w16cid:durableId="2069567963">
    <w:abstractNumId w:val="29"/>
  </w:num>
  <w:num w:numId="5" w16cid:durableId="2125998958">
    <w:abstractNumId w:val="33"/>
  </w:num>
  <w:num w:numId="6" w16cid:durableId="196715776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5760332">
    <w:abstractNumId w:val="30"/>
  </w:num>
  <w:num w:numId="8" w16cid:durableId="1596134620">
    <w:abstractNumId w:val="3"/>
  </w:num>
  <w:num w:numId="9" w16cid:durableId="860624318">
    <w:abstractNumId w:val="8"/>
  </w:num>
  <w:num w:numId="10" w16cid:durableId="13861817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916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7727127">
    <w:abstractNumId w:val="15"/>
  </w:num>
  <w:num w:numId="13" w16cid:durableId="1382364735">
    <w:abstractNumId w:val="21"/>
  </w:num>
  <w:num w:numId="14" w16cid:durableId="2006784727">
    <w:abstractNumId w:val="12"/>
  </w:num>
  <w:num w:numId="15" w16cid:durableId="2060320889">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4834218">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2596789">
    <w:abstractNumId w:val="37"/>
  </w:num>
  <w:num w:numId="18" w16cid:durableId="98068813">
    <w:abstractNumId w:val="24"/>
  </w:num>
  <w:num w:numId="19" w16cid:durableId="1206794228">
    <w:abstractNumId w:val="7"/>
  </w:num>
  <w:num w:numId="20" w16cid:durableId="744377293">
    <w:abstractNumId w:val="38"/>
  </w:num>
  <w:num w:numId="21" w16cid:durableId="2027632297">
    <w:abstractNumId w:val="27"/>
  </w:num>
  <w:num w:numId="22" w16cid:durableId="829053337">
    <w:abstractNumId w:val="10"/>
  </w:num>
  <w:num w:numId="23" w16cid:durableId="111361378">
    <w:abstractNumId w:val="9"/>
  </w:num>
  <w:num w:numId="24" w16cid:durableId="508760960">
    <w:abstractNumId w:val="31"/>
  </w:num>
  <w:num w:numId="25" w16cid:durableId="379212600">
    <w:abstractNumId w:val="18"/>
  </w:num>
  <w:num w:numId="26" w16cid:durableId="1676954214">
    <w:abstractNumId w:val="34"/>
  </w:num>
  <w:num w:numId="27" w16cid:durableId="1836215344">
    <w:abstractNumId w:val="40"/>
  </w:num>
  <w:num w:numId="28" w16cid:durableId="143281948">
    <w:abstractNumId w:val="22"/>
  </w:num>
  <w:num w:numId="29" w16cid:durableId="1061713901">
    <w:abstractNumId w:val="2"/>
  </w:num>
  <w:num w:numId="30" w16cid:durableId="155541465">
    <w:abstractNumId w:val="25"/>
  </w:num>
  <w:num w:numId="31" w16cid:durableId="1329748672">
    <w:abstractNumId w:val="19"/>
  </w:num>
  <w:num w:numId="32" w16cid:durableId="1158305571">
    <w:abstractNumId w:val="28"/>
  </w:num>
  <w:num w:numId="33" w16cid:durableId="1243029788">
    <w:abstractNumId w:val="39"/>
  </w:num>
  <w:num w:numId="34" w16cid:durableId="1650789726">
    <w:abstractNumId w:val="17"/>
  </w:num>
  <w:num w:numId="35" w16cid:durableId="1723093840">
    <w:abstractNumId w:val="1"/>
  </w:num>
  <w:num w:numId="36" w16cid:durableId="544408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5998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56487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4583813">
    <w:abstractNumId w:val="5"/>
  </w:num>
  <w:num w:numId="40" w16cid:durableId="10199649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9111041">
    <w:abstractNumId w:val="11"/>
  </w:num>
  <w:num w:numId="42" w16cid:durableId="1801804628">
    <w:abstractNumId w:val="36"/>
  </w:num>
  <w:num w:numId="43" w16cid:durableId="128045080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hideGrammaticalErrors/>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37198"/>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6F22"/>
    <w:rsid w:val="00056F66"/>
    <w:rsid w:val="0005702F"/>
    <w:rsid w:val="00057661"/>
    <w:rsid w:val="0005779C"/>
    <w:rsid w:val="0006040A"/>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7F4"/>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1642"/>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9AF"/>
    <w:rsid w:val="000B0A15"/>
    <w:rsid w:val="000B0DF3"/>
    <w:rsid w:val="000B103F"/>
    <w:rsid w:val="000B1437"/>
    <w:rsid w:val="000B1470"/>
    <w:rsid w:val="000B2B86"/>
    <w:rsid w:val="000B3051"/>
    <w:rsid w:val="000B419B"/>
    <w:rsid w:val="000B4364"/>
    <w:rsid w:val="000B4716"/>
    <w:rsid w:val="000B5781"/>
    <w:rsid w:val="000B5891"/>
    <w:rsid w:val="000B6E4B"/>
    <w:rsid w:val="000C0185"/>
    <w:rsid w:val="000C0444"/>
    <w:rsid w:val="000C0960"/>
    <w:rsid w:val="000C0AEC"/>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15D2"/>
    <w:rsid w:val="00102605"/>
    <w:rsid w:val="00102686"/>
    <w:rsid w:val="00102745"/>
    <w:rsid w:val="001032E3"/>
    <w:rsid w:val="00103361"/>
    <w:rsid w:val="00103855"/>
    <w:rsid w:val="00103915"/>
    <w:rsid w:val="00103EA0"/>
    <w:rsid w:val="001046B8"/>
    <w:rsid w:val="00104F1C"/>
    <w:rsid w:val="001051E5"/>
    <w:rsid w:val="001056C4"/>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A33"/>
    <w:rsid w:val="00126F9B"/>
    <w:rsid w:val="00127004"/>
    <w:rsid w:val="00127AF2"/>
    <w:rsid w:val="00127B7B"/>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421"/>
    <w:rsid w:val="00140A4F"/>
    <w:rsid w:val="001413AB"/>
    <w:rsid w:val="001428C2"/>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E5"/>
    <w:rsid w:val="00156FDB"/>
    <w:rsid w:val="00157232"/>
    <w:rsid w:val="00160401"/>
    <w:rsid w:val="00160D4E"/>
    <w:rsid w:val="00161721"/>
    <w:rsid w:val="00161E62"/>
    <w:rsid w:val="00161F1C"/>
    <w:rsid w:val="0016200B"/>
    <w:rsid w:val="00162BA5"/>
    <w:rsid w:val="00163D7A"/>
    <w:rsid w:val="00164281"/>
    <w:rsid w:val="00164AF1"/>
    <w:rsid w:val="001654DF"/>
    <w:rsid w:val="00166476"/>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6F27"/>
    <w:rsid w:val="00177076"/>
    <w:rsid w:val="001805C1"/>
    <w:rsid w:val="00180A2E"/>
    <w:rsid w:val="001813AF"/>
    <w:rsid w:val="00182831"/>
    <w:rsid w:val="001829CD"/>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CC0"/>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B6BD3"/>
    <w:rsid w:val="001B6EBB"/>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5765"/>
    <w:rsid w:val="001D7836"/>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E7B2B"/>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58C"/>
    <w:rsid w:val="002037AA"/>
    <w:rsid w:val="00203FE3"/>
    <w:rsid w:val="002042D8"/>
    <w:rsid w:val="00204515"/>
    <w:rsid w:val="00204BF5"/>
    <w:rsid w:val="00204D91"/>
    <w:rsid w:val="00204E6B"/>
    <w:rsid w:val="002058D4"/>
    <w:rsid w:val="00205BAA"/>
    <w:rsid w:val="0020632A"/>
    <w:rsid w:val="0020697F"/>
    <w:rsid w:val="00210430"/>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740"/>
    <w:rsid w:val="00222BE8"/>
    <w:rsid w:val="00223102"/>
    <w:rsid w:val="002232CB"/>
    <w:rsid w:val="00223567"/>
    <w:rsid w:val="00223AA2"/>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1E21"/>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21E"/>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3D71"/>
    <w:rsid w:val="0027409A"/>
    <w:rsid w:val="00274DB5"/>
    <w:rsid w:val="00275BB1"/>
    <w:rsid w:val="00275FBF"/>
    <w:rsid w:val="00276373"/>
    <w:rsid w:val="00277933"/>
    <w:rsid w:val="00277F13"/>
    <w:rsid w:val="00277F8D"/>
    <w:rsid w:val="00277FA7"/>
    <w:rsid w:val="002805E0"/>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1F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B62"/>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8FE"/>
    <w:rsid w:val="002B73B0"/>
    <w:rsid w:val="002C054D"/>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37DD"/>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2780"/>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8F4"/>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134"/>
    <w:rsid w:val="003443DF"/>
    <w:rsid w:val="00344760"/>
    <w:rsid w:val="00344A64"/>
    <w:rsid w:val="00344BF8"/>
    <w:rsid w:val="0034680A"/>
    <w:rsid w:val="00346C62"/>
    <w:rsid w:val="0034778E"/>
    <w:rsid w:val="00347FEE"/>
    <w:rsid w:val="003501E2"/>
    <w:rsid w:val="00350A59"/>
    <w:rsid w:val="00351E10"/>
    <w:rsid w:val="0035273A"/>
    <w:rsid w:val="00352D59"/>
    <w:rsid w:val="003533F4"/>
    <w:rsid w:val="003536F6"/>
    <w:rsid w:val="00353DD5"/>
    <w:rsid w:val="00355131"/>
    <w:rsid w:val="00355462"/>
    <w:rsid w:val="00356438"/>
    <w:rsid w:val="00356687"/>
    <w:rsid w:val="003609C4"/>
    <w:rsid w:val="003618D9"/>
    <w:rsid w:val="00361A59"/>
    <w:rsid w:val="00362B12"/>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878"/>
    <w:rsid w:val="00383A8D"/>
    <w:rsid w:val="00384CD6"/>
    <w:rsid w:val="00384DF1"/>
    <w:rsid w:val="00384FF3"/>
    <w:rsid w:val="00386456"/>
    <w:rsid w:val="003865A9"/>
    <w:rsid w:val="003867EE"/>
    <w:rsid w:val="00387642"/>
    <w:rsid w:val="003903B6"/>
    <w:rsid w:val="00390F32"/>
    <w:rsid w:val="0039135E"/>
    <w:rsid w:val="0039200F"/>
    <w:rsid w:val="0039319C"/>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3D7F"/>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A5C"/>
    <w:rsid w:val="003C6D53"/>
    <w:rsid w:val="003C73C7"/>
    <w:rsid w:val="003D03F3"/>
    <w:rsid w:val="003D050B"/>
    <w:rsid w:val="003D0B98"/>
    <w:rsid w:val="003D0C3C"/>
    <w:rsid w:val="003D0DE5"/>
    <w:rsid w:val="003D1351"/>
    <w:rsid w:val="003D1E4F"/>
    <w:rsid w:val="003D21C1"/>
    <w:rsid w:val="003D2924"/>
    <w:rsid w:val="003D3707"/>
    <w:rsid w:val="003D3B15"/>
    <w:rsid w:val="003D3B2E"/>
    <w:rsid w:val="003D484D"/>
    <w:rsid w:val="003D49CB"/>
    <w:rsid w:val="003D4BD6"/>
    <w:rsid w:val="003D6412"/>
    <w:rsid w:val="003D6B8F"/>
    <w:rsid w:val="003D7566"/>
    <w:rsid w:val="003E08B3"/>
    <w:rsid w:val="003E09BB"/>
    <w:rsid w:val="003E0EAD"/>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083B"/>
    <w:rsid w:val="0040152A"/>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86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6D3B"/>
    <w:rsid w:val="004273FA"/>
    <w:rsid w:val="004276C2"/>
    <w:rsid w:val="00430186"/>
    <w:rsid w:val="00430730"/>
    <w:rsid w:val="0043269A"/>
    <w:rsid w:val="00432AD2"/>
    <w:rsid w:val="00432E14"/>
    <w:rsid w:val="004333C2"/>
    <w:rsid w:val="00433ACB"/>
    <w:rsid w:val="00434787"/>
    <w:rsid w:val="004347DA"/>
    <w:rsid w:val="004349EF"/>
    <w:rsid w:val="00434C13"/>
    <w:rsid w:val="00436323"/>
    <w:rsid w:val="004364FC"/>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6C64"/>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63D"/>
    <w:rsid w:val="00454717"/>
    <w:rsid w:val="00455047"/>
    <w:rsid w:val="00455354"/>
    <w:rsid w:val="0045558D"/>
    <w:rsid w:val="00455672"/>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5F57"/>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068"/>
    <w:rsid w:val="00481AC4"/>
    <w:rsid w:val="00481DC1"/>
    <w:rsid w:val="00482507"/>
    <w:rsid w:val="0048268A"/>
    <w:rsid w:val="00482BB3"/>
    <w:rsid w:val="00483356"/>
    <w:rsid w:val="00483372"/>
    <w:rsid w:val="004835CA"/>
    <w:rsid w:val="004836F8"/>
    <w:rsid w:val="004836FE"/>
    <w:rsid w:val="00484074"/>
    <w:rsid w:val="004843F9"/>
    <w:rsid w:val="00484F0F"/>
    <w:rsid w:val="00484F40"/>
    <w:rsid w:val="0048540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5DCB"/>
    <w:rsid w:val="005075CA"/>
    <w:rsid w:val="0051074C"/>
    <w:rsid w:val="00510DE9"/>
    <w:rsid w:val="005111E2"/>
    <w:rsid w:val="00511231"/>
    <w:rsid w:val="0051212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963"/>
    <w:rsid w:val="00524FD2"/>
    <w:rsid w:val="00525621"/>
    <w:rsid w:val="00525B2E"/>
    <w:rsid w:val="005263AC"/>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A53"/>
    <w:rsid w:val="00557DE4"/>
    <w:rsid w:val="0056058C"/>
    <w:rsid w:val="00560C87"/>
    <w:rsid w:val="00560EF9"/>
    <w:rsid w:val="00560F51"/>
    <w:rsid w:val="00561249"/>
    <w:rsid w:val="0056182B"/>
    <w:rsid w:val="00561AF3"/>
    <w:rsid w:val="00561E0B"/>
    <w:rsid w:val="00562141"/>
    <w:rsid w:val="00562D86"/>
    <w:rsid w:val="00563680"/>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C1B"/>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03B"/>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322"/>
    <w:rsid w:val="006157A9"/>
    <w:rsid w:val="0061591D"/>
    <w:rsid w:val="00615ED0"/>
    <w:rsid w:val="0061604C"/>
    <w:rsid w:val="0061610B"/>
    <w:rsid w:val="006168BD"/>
    <w:rsid w:val="00616C2B"/>
    <w:rsid w:val="006174FA"/>
    <w:rsid w:val="006178D1"/>
    <w:rsid w:val="00620719"/>
    <w:rsid w:val="006212C9"/>
    <w:rsid w:val="00621D0C"/>
    <w:rsid w:val="00622470"/>
    <w:rsid w:val="00622725"/>
    <w:rsid w:val="006231AA"/>
    <w:rsid w:val="00623482"/>
    <w:rsid w:val="006237B9"/>
    <w:rsid w:val="00623AC2"/>
    <w:rsid w:val="00623FF7"/>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824"/>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B2C"/>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2C6"/>
    <w:rsid w:val="006B4488"/>
    <w:rsid w:val="006B671C"/>
    <w:rsid w:val="006B67AC"/>
    <w:rsid w:val="006B6A25"/>
    <w:rsid w:val="006B7285"/>
    <w:rsid w:val="006B786A"/>
    <w:rsid w:val="006B79B7"/>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038"/>
    <w:rsid w:val="006E437F"/>
    <w:rsid w:val="006E4D5B"/>
    <w:rsid w:val="006E602F"/>
    <w:rsid w:val="006E6720"/>
    <w:rsid w:val="006E68FA"/>
    <w:rsid w:val="006E7275"/>
    <w:rsid w:val="006E77B8"/>
    <w:rsid w:val="006F15CC"/>
    <w:rsid w:val="006F1EA6"/>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421"/>
    <w:rsid w:val="00715BAE"/>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5F0"/>
    <w:rsid w:val="00727DDC"/>
    <w:rsid w:val="00727E93"/>
    <w:rsid w:val="00730CD6"/>
    <w:rsid w:val="00730F74"/>
    <w:rsid w:val="0073114B"/>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363"/>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64B"/>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2FBA"/>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5CB6"/>
    <w:rsid w:val="007963F6"/>
    <w:rsid w:val="00796418"/>
    <w:rsid w:val="00796485"/>
    <w:rsid w:val="00796576"/>
    <w:rsid w:val="00796E80"/>
    <w:rsid w:val="007979AD"/>
    <w:rsid w:val="00797A9C"/>
    <w:rsid w:val="007A0EAB"/>
    <w:rsid w:val="007A2341"/>
    <w:rsid w:val="007A2D07"/>
    <w:rsid w:val="007A38A1"/>
    <w:rsid w:val="007A38C1"/>
    <w:rsid w:val="007A3967"/>
    <w:rsid w:val="007A3BBE"/>
    <w:rsid w:val="007A4766"/>
    <w:rsid w:val="007A4952"/>
    <w:rsid w:val="007A5816"/>
    <w:rsid w:val="007A5947"/>
    <w:rsid w:val="007B00D8"/>
    <w:rsid w:val="007B0313"/>
    <w:rsid w:val="007B05FB"/>
    <w:rsid w:val="007B0854"/>
    <w:rsid w:val="007B0E48"/>
    <w:rsid w:val="007B1256"/>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1D"/>
    <w:rsid w:val="007C4241"/>
    <w:rsid w:val="007C51E2"/>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13A"/>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7203"/>
    <w:rsid w:val="0082767A"/>
    <w:rsid w:val="00827B78"/>
    <w:rsid w:val="00827CC0"/>
    <w:rsid w:val="00831026"/>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88E"/>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0"/>
    <w:rsid w:val="00860AEF"/>
    <w:rsid w:val="0086122C"/>
    <w:rsid w:val="00861310"/>
    <w:rsid w:val="00861630"/>
    <w:rsid w:val="00861B7B"/>
    <w:rsid w:val="00861F0F"/>
    <w:rsid w:val="00861F53"/>
    <w:rsid w:val="00862205"/>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0EB"/>
    <w:rsid w:val="008812E2"/>
    <w:rsid w:val="0088168A"/>
    <w:rsid w:val="00881E2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111"/>
    <w:rsid w:val="008B6649"/>
    <w:rsid w:val="008B672C"/>
    <w:rsid w:val="008B7611"/>
    <w:rsid w:val="008B7DE4"/>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B89"/>
    <w:rsid w:val="008C7399"/>
    <w:rsid w:val="008D18AA"/>
    <w:rsid w:val="008D1A16"/>
    <w:rsid w:val="008D1A2A"/>
    <w:rsid w:val="008D29B1"/>
    <w:rsid w:val="008D2EB5"/>
    <w:rsid w:val="008D35D9"/>
    <w:rsid w:val="008D3B85"/>
    <w:rsid w:val="008D4527"/>
    <w:rsid w:val="008D462D"/>
    <w:rsid w:val="008D51F2"/>
    <w:rsid w:val="008D577B"/>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665"/>
    <w:rsid w:val="009039EB"/>
    <w:rsid w:val="009046E5"/>
    <w:rsid w:val="0090475D"/>
    <w:rsid w:val="009047C5"/>
    <w:rsid w:val="00910683"/>
    <w:rsid w:val="00910E00"/>
    <w:rsid w:val="009116CE"/>
    <w:rsid w:val="00911714"/>
    <w:rsid w:val="00911A5B"/>
    <w:rsid w:val="00913185"/>
    <w:rsid w:val="009136D4"/>
    <w:rsid w:val="0091425E"/>
    <w:rsid w:val="00914B9A"/>
    <w:rsid w:val="00914C3F"/>
    <w:rsid w:val="00914F33"/>
    <w:rsid w:val="009153F6"/>
    <w:rsid w:val="00915FCE"/>
    <w:rsid w:val="00916AFE"/>
    <w:rsid w:val="00916F09"/>
    <w:rsid w:val="00916FC8"/>
    <w:rsid w:val="009170D3"/>
    <w:rsid w:val="0091759C"/>
    <w:rsid w:val="00917910"/>
    <w:rsid w:val="00920026"/>
    <w:rsid w:val="0092032F"/>
    <w:rsid w:val="009203E2"/>
    <w:rsid w:val="00921304"/>
    <w:rsid w:val="0092177A"/>
    <w:rsid w:val="00921805"/>
    <w:rsid w:val="00921BA7"/>
    <w:rsid w:val="00923396"/>
    <w:rsid w:val="00923F56"/>
    <w:rsid w:val="00923FA6"/>
    <w:rsid w:val="009246C4"/>
    <w:rsid w:val="00925743"/>
    <w:rsid w:val="0092579F"/>
    <w:rsid w:val="009260EE"/>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AD7"/>
    <w:rsid w:val="00940F3C"/>
    <w:rsid w:val="00940FC1"/>
    <w:rsid w:val="009410E0"/>
    <w:rsid w:val="009444B4"/>
    <w:rsid w:val="00944644"/>
    <w:rsid w:val="009449F9"/>
    <w:rsid w:val="009451CE"/>
    <w:rsid w:val="009460F9"/>
    <w:rsid w:val="00946A24"/>
    <w:rsid w:val="009470D4"/>
    <w:rsid w:val="00947337"/>
    <w:rsid w:val="009512FA"/>
    <w:rsid w:val="00951E57"/>
    <w:rsid w:val="00953018"/>
    <w:rsid w:val="009533E2"/>
    <w:rsid w:val="00953554"/>
    <w:rsid w:val="0095385A"/>
    <w:rsid w:val="00953928"/>
    <w:rsid w:val="009540F0"/>
    <w:rsid w:val="00954432"/>
    <w:rsid w:val="00955906"/>
    <w:rsid w:val="00955978"/>
    <w:rsid w:val="00957010"/>
    <w:rsid w:val="009574F8"/>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3B93"/>
    <w:rsid w:val="00964138"/>
    <w:rsid w:val="00964B3F"/>
    <w:rsid w:val="00964C98"/>
    <w:rsid w:val="00964E0A"/>
    <w:rsid w:val="00965C11"/>
    <w:rsid w:val="00966214"/>
    <w:rsid w:val="00971441"/>
    <w:rsid w:val="009715D4"/>
    <w:rsid w:val="00972470"/>
    <w:rsid w:val="009739A9"/>
    <w:rsid w:val="00973AA2"/>
    <w:rsid w:val="0097494E"/>
    <w:rsid w:val="00974B58"/>
    <w:rsid w:val="00975010"/>
    <w:rsid w:val="00975DA3"/>
    <w:rsid w:val="009761ED"/>
    <w:rsid w:val="00977689"/>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3CD6"/>
    <w:rsid w:val="0099483A"/>
    <w:rsid w:val="00995119"/>
    <w:rsid w:val="0099519E"/>
    <w:rsid w:val="009953AD"/>
    <w:rsid w:val="0099583D"/>
    <w:rsid w:val="00995B7C"/>
    <w:rsid w:val="00996992"/>
    <w:rsid w:val="00996E1E"/>
    <w:rsid w:val="00997392"/>
    <w:rsid w:val="0099747C"/>
    <w:rsid w:val="0099771C"/>
    <w:rsid w:val="009A0190"/>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1EA"/>
    <w:rsid w:val="009A6CA7"/>
    <w:rsid w:val="009A6FDF"/>
    <w:rsid w:val="009A76D6"/>
    <w:rsid w:val="009B199E"/>
    <w:rsid w:val="009B1E40"/>
    <w:rsid w:val="009B2E29"/>
    <w:rsid w:val="009B3163"/>
    <w:rsid w:val="009B422F"/>
    <w:rsid w:val="009B46BC"/>
    <w:rsid w:val="009B4D1A"/>
    <w:rsid w:val="009B558B"/>
    <w:rsid w:val="009B66AA"/>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6E67"/>
    <w:rsid w:val="009D70C2"/>
    <w:rsid w:val="009D7278"/>
    <w:rsid w:val="009D773A"/>
    <w:rsid w:val="009D7ADB"/>
    <w:rsid w:val="009D7B33"/>
    <w:rsid w:val="009E0327"/>
    <w:rsid w:val="009E0703"/>
    <w:rsid w:val="009E0E95"/>
    <w:rsid w:val="009E1649"/>
    <w:rsid w:val="009E16DA"/>
    <w:rsid w:val="009E1CD4"/>
    <w:rsid w:val="009E20DC"/>
    <w:rsid w:val="009E2391"/>
    <w:rsid w:val="009E476A"/>
    <w:rsid w:val="009E4E05"/>
    <w:rsid w:val="009E56FF"/>
    <w:rsid w:val="009E5CB1"/>
    <w:rsid w:val="009E5E56"/>
    <w:rsid w:val="009E61EA"/>
    <w:rsid w:val="009E6990"/>
    <w:rsid w:val="009E6FEE"/>
    <w:rsid w:val="009F030F"/>
    <w:rsid w:val="009F060F"/>
    <w:rsid w:val="009F0781"/>
    <w:rsid w:val="009F0850"/>
    <w:rsid w:val="009F11B2"/>
    <w:rsid w:val="009F1BDF"/>
    <w:rsid w:val="009F1EAE"/>
    <w:rsid w:val="009F29A5"/>
    <w:rsid w:val="009F3410"/>
    <w:rsid w:val="009F369D"/>
    <w:rsid w:val="009F36FE"/>
    <w:rsid w:val="009F46A9"/>
    <w:rsid w:val="009F4F25"/>
    <w:rsid w:val="009F59C2"/>
    <w:rsid w:val="009F61DE"/>
    <w:rsid w:val="009F7263"/>
    <w:rsid w:val="009F76EA"/>
    <w:rsid w:val="009F78EB"/>
    <w:rsid w:val="009F7F32"/>
    <w:rsid w:val="009F7FEB"/>
    <w:rsid w:val="00A01852"/>
    <w:rsid w:val="00A0188B"/>
    <w:rsid w:val="00A01D33"/>
    <w:rsid w:val="00A01E73"/>
    <w:rsid w:val="00A023E7"/>
    <w:rsid w:val="00A02B88"/>
    <w:rsid w:val="00A03160"/>
    <w:rsid w:val="00A036AC"/>
    <w:rsid w:val="00A03C54"/>
    <w:rsid w:val="00A041BC"/>
    <w:rsid w:val="00A0447F"/>
    <w:rsid w:val="00A046D2"/>
    <w:rsid w:val="00A04A54"/>
    <w:rsid w:val="00A057E8"/>
    <w:rsid w:val="00A05B4B"/>
    <w:rsid w:val="00A0627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2B5B"/>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5A1"/>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189D"/>
    <w:rsid w:val="00A42096"/>
    <w:rsid w:val="00A421E7"/>
    <w:rsid w:val="00A426F3"/>
    <w:rsid w:val="00A42FDF"/>
    <w:rsid w:val="00A430A9"/>
    <w:rsid w:val="00A431FE"/>
    <w:rsid w:val="00A439E5"/>
    <w:rsid w:val="00A43D1B"/>
    <w:rsid w:val="00A4497A"/>
    <w:rsid w:val="00A44BE8"/>
    <w:rsid w:val="00A44C96"/>
    <w:rsid w:val="00A44F54"/>
    <w:rsid w:val="00A45E0E"/>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49A"/>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2945"/>
    <w:rsid w:val="00A730AD"/>
    <w:rsid w:val="00A733D2"/>
    <w:rsid w:val="00A73855"/>
    <w:rsid w:val="00A73D64"/>
    <w:rsid w:val="00A73FEA"/>
    <w:rsid w:val="00A74216"/>
    <w:rsid w:val="00A744B4"/>
    <w:rsid w:val="00A749D9"/>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A41"/>
    <w:rsid w:val="00A90F12"/>
    <w:rsid w:val="00A92816"/>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96C"/>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9C7"/>
    <w:rsid w:val="00AB1B1D"/>
    <w:rsid w:val="00AB2080"/>
    <w:rsid w:val="00AB2216"/>
    <w:rsid w:val="00AB2C0A"/>
    <w:rsid w:val="00AB33A8"/>
    <w:rsid w:val="00AB358D"/>
    <w:rsid w:val="00AB37A1"/>
    <w:rsid w:val="00AB3BAD"/>
    <w:rsid w:val="00AB3CFD"/>
    <w:rsid w:val="00AB40C6"/>
    <w:rsid w:val="00AB49BC"/>
    <w:rsid w:val="00AB4DEE"/>
    <w:rsid w:val="00AB4E32"/>
    <w:rsid w:val="00AB579A"/>
    <w:rsid w:val="00AB5DB2"/>
    <w:rsid w:val="00AB7159"/>
    <w:rsid w:val="00AB724B"/>
    <w:rsid w:val="00AB726C"/>
    <w:rsid w:val="00AB72B4"/>
    <w:rsid w:val="00AC01FD"/>
    <w:rsid w:val="00AC02AA"/>
    <w:rsid w:val="00AC0537"/>
    <w:rsid w:val="00AC0A84"/>
    <w:rsid w:val="00AC2A0B"/>
    <w:rsid w:val="00AC2BEC"/>
    <w:rsid w:val="00AC2BEE"/>
    <w:rsid w:val="00AC2C3B"/>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B0E"/>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4BA"/>
    <w:rsid w:val="00B1085E"/>
    <w:rsid w:val="00B10FD0"/>
    <w:rsid w:val="00B10FD1"/>
    <w:rsid w:val="00B11896"/>
    <w:rsid w:val="00B11CE3"/>
    <w:rsid w:val="00B12735"/>
    <w:rsid w:val="00B129C6"/>
    <w:rsid w:val="00B131C4"/>
    <w:rsid w:val="00B13386"/>
    <w:rsid w:val="00B13533"/>
    <w:rsid w:val="00B1353F"/>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418"/>
    <w:rsid w:val="00B309C9"/>
    <w:rsid w:val="00B30E11"/>
    <w:rsid w:val="00B30EEB"/>
    <w:rsid w:val="00B30FD0"/>
    <w:rsid w:val="00B31423"/>
    <w:rsid w:val="00B31710"/>
    <w:rsid w:val="00B323E0"/>
    <w:rsid w:val="00B3279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C28"/>
    <w:rsid w:val="00B458D0"/>
    <w:rsid w:val="00B46120"/>
    <w:rsid w:val="00B4792C"/>
    <w:rsid w:val="00B50CAE"/>
    <w:rsid w:val="00B512AD"/>
    <w:rsid w:val="00B5196C"/>
    <w:rsid w:val="00B525CB"/>
    <w:rsid w:val="00B525CF"/>
    <w:rsid w:val="00B52697"/>
    <w:rsid w:val="00B52A3C"/>
    <w:rsid w:val="00B53E7C"/>
    <w:rsid w:val="00B54D8F"/>
    <w:rsid w:val="00B55857"/>
    <w:rsid w:val="00B55C69"/>
    <w:rsid w:val="00B55EC1"/>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09A7"/>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DAD"/>
    <w:rsid w:val="00C14E82"/>
    <w:rsid w:val="00C14FF6"/>
    <w:rsid w:val="00C150A6"/>
    <w:rsid w:val="00C15A85"/>
    <w:rsid w:val="00C1641B"/>
    <w:rsid w:val="00C165FC"/>
    <w:rsid w:val="00C176D5"/>
    <w:rsid w:val="00C20460"/>
    <w:rsid w:val="00C2082C"/>
    <w:rsid w:val="00C20832"/>
    <w:rsid w:val="00C20EB0"/>
    <w:rsid w:val="00C21005"/>
    <w:rsid w:val="00C2183B"/>
    <w:rsid w:val="00C220B6"/>
    <w:rsid w:val="00C22305"/>
    <w:rsid w:val="00C22D7C"/>
    <w:rsid w:val="00C22DDE"/>
    <w:rsid w:val="00C2338B"/>
    <w:rsid w:val="00C233CE"/>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295"/>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97"/>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5B7"/>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C2A"/>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5D94"/>
    <w:rsid w:val="00CD6054"/>
    <w:rsid w:val="00CD7EFA"/>
    <w:rsid w:val="00CE020E"/>
    <w:rsid w:val="00CE0566"/>
    <w:rsid w:val="00CE16A9"/>
    <w:rsid w:val="00CE1CD4"/>
    <w:rsid w:val="00CE23FE"/>
    <w:rsid w:val="00CE2761"/>
    <w:rsid w:val="00CE2B49"/>
    <w:rsid w:val="00CE314E"/>
    <w:rsid w:val="00CE3D5C"/>
    <w:rsid w:val="00CE3E14"/>
    <w:rsid w:val="00CE44C7"/>
    <w:rsid w:val="00CE4AFE"/>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2B73"/>
    <w:rsid w:val="00D0368E"/>
    <w:rsid w:val="00D03D2D"/>
    <w:rsid w:val="00D03E7B"/>
    <w:rsid w:val="00D0401A"/>
    <w:rsid w:val="00D047E0"/>
    <w:rsid w:val="00D04B9F"/>
    <w:rsid w:val="00D04F34"/>
    <w:rsid w:val="00D04FFB"/>
    <w:rsid w:val="00D05153"/>
    <w:rsid w:val="00D058E9"/>
    <w:rsid w:val="00D0612A"/>
    <w:rsid w:val="00D06A0E"/>
    <w:rsid w:val="00D076D6"/>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123"/>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0C6"/>
    <w:rsid w:val="00D26C21"/>
    <w:rsid w:val="00D2742F"/>
    <w:rsid w:val="00D2754F"/>
    <w:rsid w:val="00D27912"/>
    <w:rsid w:val="00D279D9"/>
    <w:rsid w:val="00D27C74"/>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316"/>
    <w:rsid w:val="00D4043A"/>
    <w:rsid w:val="00D40A8E"/>
    <w:rsid w:val="00D40AB0"/>
    <w:rsid w:val="00D40DB0"/>
    <w:rsid w:val="00D40F8B"/>
    <w:rsid w:val="00D41858"/>
    <w:rsid w:val="00D422DB"/>
    <w:rsid w:val="00D42A83"/>
    <w:rsid w:val="00D42AC2"/>
    <w:rsid w:val="00D4322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299"/>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2C8"/>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2974"/>
    <w:rsid w:val="00DC30B8"/>
    <w:rsid w:val="00DC32C6"/>
    <w:rsid w:val="00DC3720"/>
    <w:rsid w:val="00DC478F"/>
    <w:rsid w:val="00DC62E5"/>
    <w:rsid w:val="00DC6AB9"/>
    <w:rsid w:val="00DC6F33"/>
    <w:rsid w:val="00DC729E"/>
    <w:rsid w:val="00DC7349"/>
    <w:rsid w:val="00DD005B"/>
    <w:rsid w:val="00DD118B"/>
    <w:rsid w:val="00DD14D8"/>
    <w:rsid w:val="00DD1599"/>
    <w:rsid w:val="00DD177F"/>
    <w:rsid w:val="00DD1B03"/>
    <w:rsid w:val="00DD2772"/>
    <w:rsid w:val="00DD2A62"/>
    <w:rsid w:val="00DD2F2F"/>
    <w:rsid w:val="00DD2F7A"/>
    <w:rsid w:val="00DD3885"/>
    <w:rsid w:val="00DD3A42"/>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6230"/>
    <w:rsid w:val="00DE7108"/>
    <w:rsid w:val="00DE78D1"/>
    <w:rsid w:val="00DF0263"/>
    <w:rsid w:val="00DF0EB4"/>
    <w:rsid w:val="00DF1E36"/>
    <w:rsid w:val="00DF1FDB"/>
    <w:rsid w:val="00DF236B"/>
    <w:rsid w:val="00DF250E"/>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A83"/>
    <w:rsid w:val="00E00B7A"/>
    <w:rsid w:val="00E02186"/>
    <w:rsid w:val="00E024D8"/>
    <w:rsid w:val="00E026BB"/>
    <w:rsid w:val="00E027C5"/>
    <w:rsid w:val="00E03124"/>
    <w:rsid w:val="00E031EB"/>
    <w:rsid w:val="00E03951"/>
    <w:rsid w:val="00E03DB8"/>
    <w:rsid w:val="00E04A32"/>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A7A"/>
    <w:rsid w:val="00E20BA4"/>
    <w:rsid w:val="00E20C24"/>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6FDA"/>
    <w:rsid w:val="00E3797F"/>
    <w:rsid w:val="00E37A28"/>
    <w:rsid w:val="00E40430"/>
    <w:rsid w:val="00E40690"/>
    <w:rsid w:val="00E40AEB"/>
    <w:rsid w:val="00E4143A"/>
    <w:rsid w:val="00E41A5D"/>
    <w:rsid w:val="00E424C8"/>
    <w:rsid w:val="00E4251D"/>
    <w:rsid w:val="00E42F41"/>
    <w:rsid w:val="00E43D00"/>
    <w:rsid w:val="00E43D30"/>
    <w:rsid w:val="00E44128"/>
    <w:rsid w:val="00E445E4"/>
    <w:rsid w:val="00E457CB"/>
    <w:rsid w:val="00E45D47"/>
    <w:rsid w:val="00E45DE4"/>
    <w:rsid w:val="00E45E63"/>
    <w:rsid w:val="00E46A80"/>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69FA"/>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B41"/>
    <w:rsid w:val="00E7347B"/>
    <w:rsid w:val="00E73D03"/>
    <w:rsid w:val="00E7471C"/>
    <w:rsid w:val="00E7498A"/>
    <w:rsid w:val="00E7514E"/>
    <w:rsid w:val="00E75B34"/>
    <w:rsid w:val="00E76AC5"/>
    <w:rsid w:val="00E77AF5"/>
    <w:rsid w:val="00E8029A"/>
    <w:rsid w:val="00E803A6"/>
    <w:rsid w:val="00E81653"/>
    <w:rsid w:val="00E818BF"/>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A6BEC"/>
    <w:rsid w:val="00EB09FF"/>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ACA"/>
    <w:rsid w:val="00EF1E97"/>
    <w:rsid w:val="00EF2436"/>
    <w:rsid w:val="00EF2547"/>
    <w:rsid w:val="00EF2B2B"/>
    <w:rsid w:val="00EF2E1C"/>
    <w:rsid w:val="00EF2FD6"/>
    <w:rsid w:val="00EF326A"/>
    <w:rsid w:val="00EF37D3"/>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3A0F"/>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1FA9"/>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B8C"/>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CB6"/>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5FE1"/>
    <w:rsid w:val="00F76C11"/>
    <w:rsid w:val="00F77021"/>
    <w:rsid w:val="00F775CB"/>
    <w:rsid w:val="00F77E61"/>
    <w:rsid w:val="00F80371"/>
    <w:rsid w:val="00F814B2"/>
    <w:rsid w:val="00F815AC"/>
    <w:rsid w:val="00F83200"/>
    <w:rsid w:val="00F83B33"/>
    <w:rsid w:val="00F83CAE"/>
    <w:rsid w:val="00F840BF"/>
    <w:rsid w:val="00F8415D"/>
    <w:rsid w:val="00F8427A"/>
    <w:rsid w:val="00F843DF"/>
    <w:rsid w:val="00F84899"/>
    <w:rsid w:val="00F848AB"/>
    <w:rsid w:val="00F84A0A"/>
    <w:rsid w:val="00F850C0"/>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5E75"/>
    <w:rsid w:val="00FA6F8B"/>
    <w:rsid w:val="00FA7A30"/>
    <w:rsid w:val="00FB033F"/>
    <w:rsid w:val="00FB0F29"/>
    <w:rsid w:val="00FB12E3"/>
    <w:rsid w:val="00FB1570"/>
    <w:rsid w:val="00FB193B"/>
    <w:rsid w:val="00FB1F0C"/>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28E"/>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table" w:customStyle="1" w:styleId="Tablaconcuadrcula3">
    <w:name w:val="Tabla con cuadrícula3"/>
    <w:basedOn w:val="Tablanormal"/>
    <w:next w:val="Tablaconcuadrcula"/>
    <w:uiPriority w:val="39"/>
    <w:rsid w:val="0052496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524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524963"/>
  </w:style>
  <w:style w:type="paragraph" w:customStyle="1" w:styleId="footnotedescription">
    <w:name w:val="footnote description"/>
    <w:next w:val="Normal"/>
    <w:link w:val="footnotedescriptionChar"/>
    <w:hidden/>
    <w:rsid w:val="007A38C1"/>
    <w:pPr>
      <w:spacing w:after="14" w:line="246" w:lineRule="auto"/>
      <w:ind w:right="55" w:firstLine="709"/>
      <w:jc w:val="both"/>
    </w:pPr>
    <w:rPr>
      <w:rFonts w:ascii="Arial" w:eastAsia="Arial" w:hAnsi="Arial" w:cs="Arial"/>
      <w:color w:val="000000"/>
      <w:sz w:val="19"/>
      <w:lang w:eastAsia="es-CO"/>
    </w:rPr>
  </w:style>
  <w:style w:type="character" w:customStyle="1" w:styleId="footnotedescriptionChar">
    <w:name w:val="footnote description Char"/>
    <w:link w:val="footnotedescription"/>
    <w:rsid w:val="007A38C1"/>
    <w:rPr>
      <w:rFonts w:ascii="Arial" w:eastAsia="Arial" w:hAnsi="Arial" w:cs="Arial"/>
      <w:color w:val="000000"/>
      <w:sz w:val="19"/>
      <w:lang w:eastAsia="es-CO"/>
    </w:rPr>
  </w:style>
  <w:style w:type="character" w:customStyle="1" w:styleId="footnotemark">
    <w:name w:val="footnote mark"/>
    <w:hidden/>
    <w:rsid w:val="007A38C1"/>
    <w:rPr>
      <w:rFonts w:ascii="Arial" w:eastAsia="Arial" w:hAnsi="Arial" w:cs="Arial"/>
      <w:color w:val="000000"/>
      <w:sz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9605611">
      <w:bodyDiv w:val="1"/>
      <w:marLeft w:val="0"/>
      <w:marRight w:val="0"/>
      <w:marTop w:val="0"/>
      <w:marBottom w:val="0"/>
      <w:divBdr>
        <w:top w:val="none" w:sz="0" w:space="0" w:color="auto"/>
        <w:left w:val="none" w:sz="0" w:space="0" w:color="auto"/>
        <w:bottom w:val="none" w:sz="0" w:space="0" w:color="auto"/>
        <w:right w:val="none" w:sz="0" w:space="0" w:color="auto"/>
      </w:divBdr>
      <w:divsChild>
        <w:div w:id="903837203">
          <w:marLeft w:val="0"/>
          <w:marRight w:val="0"/>
          <w:marTop w:val="0"/>
          <w:marBottom w:val="0"/>
          <w:divBdr>
            <w:top w:val="none" w:sz="0" w:space="0" w:color="auto"/>
            <w:left w:val="none" w:sz="0" w:space="0" w:color="auto"/>
            <w:bottom w:val="none" w:sz="0" w:space="0" w:color="auto"/>
            <w:right w:val="none" w:sz="0" w:space="0" w:color="auto"/>
          </w:divBdr>
        </w:div>
      </w:divsChild>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E1165-7B95-426E-B130-ED4FC585AAEC}"/>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TotalTime>
  <Pages>24</Pages>
  <Words>9152</Words>
  <Characters>50342</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nicolle saenz camargo</cp:lastModifiedBy>
  <cp:revision>8</cp:revision>
  <cp:lastPrinted>2020-01-30T15:05:00Z</cp:lastPrinted>
  <dcterms:created xsi:type="dcterms:W3CDTF">2022-05-11T18:41:00Z</dcterms:created>
  <dcterms:modified xsi:type="dcterms:W3CDTF">2022-05-21T16:18:00Z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