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E3A91" w14:textId="77777777" w:rsidR="00F821A0" w:rsidRPr="00C865D4" w:rsidRDefault="00F821A0" w:rsidP="00F821A0">
      <w:pPr>
        <w:spacing w:after="0"/>
        <w:rPr>
          <w:rFonts w:ascii="Verdana" w:hAnsi="Verdana"/>
        </w:rPr>
      </w:pPr>
      <w:bookmarkStart w:id="0" w:name="_Hlk143780582"/>
      <w:r w:rsidRPr="00C865D4">
        <w:rPr>
          <w:rFonts w:ascii="Verdana" w:hAnsi="Verdana"/>
          <w:b/>
          <w:bCs/>
          <w:color w:val="000000"/>
          <w:sz w:val="20"/>
          <w:szCs w:val="20"/>
        </w:rPr>
        <w:t xml:space="preserve">DOCUMENTOS TIPO – Fundamento normativo – Obligatoriedad </w:t>
      </w:r>
    </w:p>
    <w:p w14:paraId="0649815B" w14:textId="77777777" w:rsidR="00F821A0" w:rsidRPr="00C865D4" w:rsidRDefault="00F821A0" w:rsidP="00F821A0">
      <w:pPr>
        <w:spacing w:after="0" w:line="276" w:lineRule="auto"/>
        <w:jc w:val="both"/>
        <w:rPr>
          <w:rFonts w:ascii="Verdana" w:eastAsia="Calibri" w:hAnsi="Verdana" w:cs="Arial"/>
          <w:b/>
          <w:bCs/>
          <w:lang w:val="es-ES_tradnl"/>
        </w:rPr>
      </w:pPr>
    </w:p>
    <w:p w14:paraId="4CF427C5" w14:textId="77777777" w:rsidR="00F821A0" w:rsidRPr="00C865D4" w:rsidRDefault="00F821A0" w:rsidP="00F821A0">
      <w:pPr>
        <w:snapToGrid w:val="0"/>
        <w:spacing w:after="0" w:line="240" w:lineRule="auto"/>
        <w:jc w:val="both"/>
        <w:rPr>
          <w:rFonts w:ascii="Verdana" w:eastAsia="Times New Roman" w:hAnsi="Verdana" w:cs="Arial"/>
          <w:sz w:val="20"/>
          <w:szCs w:val="20"/>
          <w:shd w:val="clear" w:color="auto" w:fill="FFFFFF"/>
          <w:lang w:val="es-ES_tradnl" w:eastAsia="es-ES_tradnl"/>
        </w:rPr>
      </w:pPr>
      <w:r w:rsidRPr="00C865D4">
        <w:rPr>
          <w:rFonts w:ascii="Verdana" w:eastAsia="Times New Roman" w:hAnsi="Verdana" w:cs="Arial"/>
          <w:sz w:val="20"/>
          <w:szCs w:val="20"/>
          <w:shd w:val="clear" w:color="auto" w:fill="FFFFFF"/>
          <w:lang w:val="es-ES_tradnl" w:eastAsia="es-ES_tradnl"/>
        </w:rPr>
        <w:t xml:space="preserve">Los documentos tipo expedidos por la Agencia Nacional de Contratación Pública </w:t>
      </w:r>
      <w:r w:rsidRPr="00C865D4">
        <w:rPr>
          <w:rFonts w:ascii="Verdana" w:eastAsia="Times New Roman" w:hAnsi="Verdana" w:cs="Arial"/>
          <w:sz w:val="20"/>
          <w:szCs w:val="20"/>
          <w:shd w:val="clear" w:color="auto" w:fill="FFFFFF"/>
          <w:lang w:val="es-ES_tradnl" w:eastAsia="es-ES_tradnl"/>
        </w:rPr>
        <w:sym w:font="Symbol" w:char="F02D"/>
      </w:r>
      <w:r w:rsidRPr="00C865D4">
        <w:rPr>
          <w:rFonts w:ascii="Verdana" w:eastAsia="Times New Roman" w:hAnsi="Verdana" w:cs="Arial"/>
          <w:sz w:val="20"/>
          <w:szCs w:val="20"/>
          <w:shd w:val="clear" w:color="auto" w:fill="FFFFFF"/>
          <w:lang w:val="es-ES_tradnl" w:eastAsia="es-ES_tradnl"/>
        </w:rPr>
        <w:t xml:space="preserve">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4DA694BF" w14:textId="77777777" w:rsidR="00F821A0" w:rsidRPr="00C865D4" w:rsidRDefault="00F821A0" w:rsidP="00F821A0">
      <w:pPr>
        <w:spacing w:after="0" w:line="276" w:lineRule="auto"/>
        <w:jc w:val="both"/>
        <w:rPr>
          <w:rFonts w:ascii="Verdana" w:eastAsia="Calibri" w:hAnsi="Verdana" w:cs="Arial"/>
          <w:b/>
          <w:bCs/>
          <w:lang w:val="es-ES_tradnl"/>
        </w:rPr>
      </w:pPr>
    </w:p>
    <w:p w14:paraId="0AA5379C" w14:textId="77777777" w:rsidR="00F821A0" w:rsidRPr="00C865D4" w:rsidRDefault="00F821A0" w:rsidP="00F821A0">
      <w:pPr>
        <w:spacing w:after="0" w:line="276" w:lineRule="auto"/>
        <w:jc w:val="both"/>
        <w:rPr>
          <w:rFonts w:ascii="Verdana" w:eastAsia="Geomanist Light" w:hAnsi="Verdana" w:cs="Arial"/>
          <w:b/>
          <w:bCs/>
          <w:lang w:val="es-ES_tradnl"/>
        </w:rPr>
      </w:pPr>
      <w:r w:rsidRPr="00C865D4">
        <w:rPr>
          <w:rFonts w:ascii="Verdana" w:eastAsia="Calibri" w:hAnsi="Verdana" w:cs="Arial"/>
          <w:b/>
          <w:bCs/>
          <w:lang w:val="es-ES_tradnl"/>
        </w:rPr>
        <w:t>DOCUMENTOS TIPO – Inalterabilidad</w:t>
      </w:r>
    </w:p>
    <w:p w14:paraId="7F531570" w14:textId="77777777" w:rsidR="00F821A0" w:rsidRPr="00C865D4" w:rsidRDefault="00F821A0" w:rsidP="00F821A0">
      <w:pPr>
        <w:spacing w:after="0" w:line="276" w:lineRule="auto"/>
        <w:jc w:val="both"/>
        <w:rPr>
          <w:rFonts w:ascii="Verdana" w:eastAsia="Geomanist Light" w:hAnsi="Verdana" w:cs="Arial"/>
          <w:lang w:val="es-ES_tradnl"/>
        </w:rPr>
      </w:pPr>
    </w:p>
    <w:p w14:paraId="316A6B9D" w14:textId="77777777" w:rsidR="00F821A0" w:rsidRPr="00C865D4" w:rsidRDefault="00F821A0" w:rsidP="00F821A0">
      <w:pPr>
        <w:spacing w:after="0" w:line="240" w:lineRule="auto"/>
        <w:jc w:val="both"/>
        <w:rPr>
          <w:rFonts w:ascii="Verdana" w:eastAsia="Geomanist Light" w:hAnsi="Verdana" w:cs="Arial"/>
          <w:sz w:val="20"/>
          <w:szCs w:val="20"/>
          <w:lang w:val="es-ES_tradnl"/>
        </w:rPr>
      </w:pPr>
      <w:r w:rsidRPr="00C865D4">
        <w:rPr>
          <w:rFonts w:ascii="Verdana" w:eastAsia="Calibri" w:hAnsi="Verdana" w:cs="Arial"/>
          <w:sz w:val="20"/>
          <w:szCs w:val="20"/>
        </w:rPr>
        <w:t>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los Documentos Tipo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w:t>
      </w:r>
    </w:p>
    <w:p w14:paraId="5AAF3EAD" w14:textId="77777777" w:rsidR="00F821A0" w:rsidRPr="00C865D4" w:rsidRDefault="00F821A0" w:rsidP="00F821A0">
      <w:pPr>
        <w:spacing w:after="0" w:line="276" w:lineRule="auto"/>
        <w:jc w:val="both"/>
        <w:rPr>
          <w:rFonts w:ascii="Verdana" w:eastAsia="Geomanist Light" w:hAnsi="Verdana" w:cs="Arial"/>
          <w:lang w:val="es-ES_tradnl"/>
        </w:rPr>
      </w:pPr>
    </w:p>
    <w:p w14:paraId="1004481F" w14:textId="77777777" w:rsidR="00F821A0" w:rsidRPr="00C865D4" w:rsidRDefault="00F821A0" w:rsidP="00F821A0">
      <w:pPr>
        <w:shd w:val="clear" w:color="auto" w:fill="FFFFFF"/>
        <w:spacing w:after="0" w:line="276" w:lineRule="auto"/>
        <w:jc w:val="both"/>
        <w:rPr>
          <w:rFonts w:ascii="Arial" w:eastAsia="Calibri" w:hAnsi="Arial" w:cs="Arial"/>
          <w:b/>
          <w:color w:val="000000"/>
          <w:lang w:eastAsia="es-ES_tradnl"/>
        </w:rPr>
      </w:pPr>
      <w:r w:rsidRPr="00C865D4">
        <w:rPr>
          <w:rFonts w:ascii="Arial" w:eastAsia="Calibri" w:hAnsi="Arial" w:cs="Arial"/>
          <w:b/>
          <w:color w:val="000000"/>
          <w:lang w:eastAsia="es-ES_tradnl"/>
        </w:rPr>
        <w:t>DOCUMENTOS TIPO − Matriz 1 – Experiencia − Aplicación</w:t>
      </w:r>
    </w:p>
    <w:p w14:paraId="0F4F7580" w14:textId="77777777" w:rsidR="00F821A0" w:rsidRPr="00C865D4" w:rsidRDefault="00F821A0" w:rsidP="00F821A0">
      <w:pPr>
        <w:spacing w:after="0" w:line="276" w:lineRule="auto"/>
        <w:ind w:right="51"/>
        <w:jc w:val="both"/>
        <w:rPr>
          <w:rFonts w:ascii="Arial" w:eastAsia="Calibri" w:hAnsi="Arial" w:cs="Arial"/>
          <w:lang w:val="es-MX"/>
        </w:rPr>
      </w:pPr>
    </w:p>
    <w:p w14:paraId="765B77BA" w14:textId="77777777" w:rsidR="00F821A0" w:rsidRPr="00C865D4" w:rsidRDefault="00F821A0" w:rsidP="00F821A0">
      <w:pPr>
        <w:snapToGrid w:val="0"/>
        <w:spacing w:after="0" w:line="240" w:lineRule="auto"/>
        <w:jc w:val="both"/>
        <w:rPr>
          <w:rFonts w:ascii="Verdana" w:eastAsia="Times New Roman" w:hAnsi="Verdana" w:cs="Arial"/>
          <w:sz w:val="20"/>
          <w:szCs w:val="20"/>
          <w:shd w:val="clear" w:color="auto" w:fill="FFFFFF"/>
          <w:lang w:val="es-ES_tradnl" w:eastAsia="es-ES_tradnl"/>
        </w:rPr>
      </w:pPr>
      <w:r w:rsidRPr="00C865D4">
        <w:rPr>
          <w:rFonts w:ascii="Verdana" w:eastAsia="Times New Roman" w:hAnsi="Verdana" w:cs="Arial"/>
          <w:sz w:val="20"/>
          <w:szCs w:val="20"/>
          <w:shd w:val="clear" w:color="auto" w:fill="FFFFFF"/>
          <w:lang w:val="es-ES_tradnl" w:eastAsia="es-ES_tradnl"/>
        </w:rPr>
        <w:t>(…) uno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cada sector deben acogerse a los pliegos tipo. Por otro lado, encontramos el “Anexo 3 – Glosario”, el cual contiene las definiciones de los términos usados en los documentos del proceso. Utilizando estos dos documentos, la entidad estatal puede definir si el objeto a contratarse debe emplear los documentos tipo adoptados por esta Agencia.</w:t>
      </w:r>
    </w:p>
    <w:p w14:paraId="2E0D1EAC" w14:textId="77777777" w:rsidR="00F821A0" w:rsidRPr="00C865D4" w:rsidRDefault="00F821A0" w:rsidP="00F821A0">
      <w:pPr>
        <w:snapToGrid w:val="0"/>
        <w:spacing w:after="0" w:line="240" w:lineRule="auto"/>
        <w:jc w:val="both"/>
        <w:rPr>
          <w:rFonts w:ascii="Verdana" w:eastAsia="Times New Roman" w:hAnsi="Verdana" w:cs="Arial"/>
          <w:sz w:val="20"/>
          <w:szCs w:val="20"/>
          <w:shd w:val="clear" w:color="auto" w:fill="FFFFFF"/>
          <w:lang w:val="es-ES_tradnl" w:eastAsia="es-ES_tradnl"/>
        </w:rPr>
      </w:pPr>
    </w:p>
    <w:p w14:paraId="485E68F4" w14:textId="77777777" w:rsidR="00F821A0" w:rsidRPr="00C865D4" w:rsidRDefault="00F821A0" w:rsidP="00F821A0">
      <w:pPr>
        <w:snapToGrid w:val="0"/>
        <w:spacing w:after="0" w:line="240" w:lineRule="auto"/>
        <w:jc w:val="both"/>
        <w:rPr>
          <w:rFonts w:ascii="Verdana" w:eastAsia="Times New Roman" w:hAnsi="Verdana" w:cs="Arial"/>
          <w:sz w:val="20"/>
          <w:szCs w:val="20"/>
          <w:shd w:val="clear" w:color="auto" w:fill="FFFFFF"/>
          <w:lang w:val="es-ES_tradnl" w:eastAsia="es-ES_tradnl"/>
        </w:rPr>
      </w:pPr>
      <w:r w:rsidRPr="00C865D4">
        <w:rPr>
          <w:rFonts w:ascii="Verdana" w:eastAsia="Times New Roman" w:hAnsi="Verdana" w:cs="Arial"/>
          <w:sz w:val="20"/>
          <w:szCs w:val="20"/>
          <w:shd w:val="clear" w:color="auto" w:fill="FFFFFF"/>
          <w:lang w:val="es-ES_tradnl" w:eastAsia="es-ES_tradnl"/>
        </w:rPr>
        <w:t>Conforme a lo anterior, 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68ED2285" w14:textId="77777777" w:rsidR="00F821A0" w:rsidRPr="00C865D4" w:rsidRDefault="00F821A0" w:rsidP="00F821A0">
      <w:pPr>
        <w:spacing w:after="0" w:line="240" w:lineRule="auto"/>
        <w:rPr>
          <w:rFonts w:ascii="Verdana" w:eastAsia="Geomanist Light" w:hAnsi="Verdana" w:cs="Arial"/>
          <w:lang w:val="es-MX"/>
        </w:rPr>
      </w:pPr>
    </w:p>
    <w:p w14:paraId="6C5225E6" w14:textId="77777777" w:rsidR="00F821A0" w:rsidRDefault="00F821A0" w:rsidP="00F821A0">
      <w:pPr>
        <w:spacing w:after="0" w:line="240" w:lineRule="auto"/>
        <w:rPr>
          <w:rFonts w:ascii="Arial" w:eastAsia="Calibri" w:hAnsi="Arial" w:cs="Arial"/>
          <w:b/>
          <w:color w:val="000000"/>
          <w:lang w:eastAsia="es-ES_tradnl"/>
        </w:rPr>
      </w:pPr>
      <w:r w:rsidRPr="00C865D4">
        <w:rPr>
          <w:rFonts w:ascii="Arial" w:eastAsia="Calibri" w:hAnsi="Arial" w:cs="Arial"/>
          <w:b/>
          <w:color w:val="000000"/>
          <w:lang w:eastAsia="es-ES_tradnl"/>
        </w:rPr>
        <w:t>DOCUMENTOS TIPO − Matriz 1 –</w:t>
      </w:r>
      <w:r>
        <w:rPr>
          <w:rFonts w:ascii="Arial" w:eastAsia="Calibri" w:hAnsi="Arial" w:cs="Arial"/>
          <w:b/>
          <w:color w:val="000000"/>
          <w:lang w:eastAsia="es-ES_tradnl"/>
        </w:rPr>
        <w:t xml:space="preserve"> Anexo 3 </w:t>
      </w:r>
      <w:r w:rsidRPr="00C865D4">
        <w:rPr>
          <w:rFonts w:ascii="Arial" w:eastAsia="Calibri" w:hAnsi="Arial" w:cs="Arial"/>
          <w:b/>
          <w:color w:val="000000"/>
          <w:lang w:eastAsia="es-ES_tradnl"/>
        </w:rPr>
        <w:t>–</w:t>
      </w:r>
      <w:r>
        <w:rPr>
          <w:rFonts w:ascii="Arial" w:eastAsia="Calibri" w:hAnsi="Arial" w:cs="Arial"/>
          <w:b/>
          <w:color w:val="000000"/>
          <w:lang w:eastAsia="es-ES_tradnl"/>
        </w:rPr>
        <w:t xml:space="preserve"> Franjas de seguridad</w:t>
      </w:r>
    </w:p>
    <w:p w14:paraId="2684E3BD" w14:textId="77777777" w:rsidR="00F821A0" w:rsidRPr="008421D4" w:rsidRDefault="00F821A0" w:rsidP="00F821A0">
      <w:pPr>
        <w:spacing w:after="0" w:line="240" w:lineRule="auto"/>
        <w:rPr>
          <w:rFonts w:ascii="Arial" w:eastAsia="Calibri" w:hAnsi="Arial" w:cs="Arial"/>
          <w:b/>
          <w:color w:val="000000"/>
          <w:lang w:eastAsia="es-ES_tradnl"/>
        </w:rPr>
      </w:pPr>
    </w:p>
    <w:p w14:paraId="532194D0" w14:textId="77777777" w:rsidR="00F821A0" w:rsidRPr="008421D4" w:rsidRDefault="00F821A0" w:rsidP="00F821A0">
      <w:pPr>
        <w:spacing w:after="0" w:line="240" w:lineRule="auto"/>
        <w:jc w:val="both"/>
        <w:rPr>
          <w:rFonts w:ascii="Verdana" w:hAnsi="Verdana"/>
          <w:i/>
          <w:iCs/>
          <w:sz w:val="20"/>
          <w:szCs w:val="20"/>
        </w:rPr>
      </w:pPr>
      <w:r w:rsidRPr="008421D4">
        <w:rPr>
          <w:rFonts w:ascii="Verdana" w:eastAsia="Times New Roman" w:hAnsi="Verdana" w:cs="Arial"/>
          <w:sz w:val="20"/>
          <w:szCs w:val="20"/>
          <w:shd w:val="clear" w:color="auto" w:fill="FFFFFF"/>
          <w:lang w:eastAsia="es-ES"/>
        </w:rPr>
        <w:t xml:space="preserve">La Matriz 1 de los documentos tipo de licitación pública de obra pública de infraestructura de transporte – versión 4, en el capítulo 8. Obras Aeroportuarias, establece la actividad “8.5 PROYECTOS DE CONSTRUCCIÓN O CONFORMACIÓN O ADECUACIÓN O </w:t>
      </w:r>
      <w:r w:rsidRPr="008421D4">
        <w:rPr>
          <w:rFonts w:ascii="Verdana" w:eastAsia="Times New Roman" w:hAnsi="Verdana" w:cs="Arial"/>
          <w:sz w:val="20"/>
          <w:szCs w:val="20"/>
          <w:shd w:val="clear" w:color="auto" w:fill="FFFFFF"/>
          <w:lang w:eastAsia="es-ES"/>
        </w:rPr>
        <w:lastRenderedPageBreak/>
        <w:t xml:space="preserve">NIVELACIÓN O CONSERVACION O MANTENIMIENTO DE FRANJAS DE SEGURIDAD O CANALES O DRENAJES” </w:t>
      </w:r>
    </w:p>
    <w:p w14:paraId="4A56D085" w14:textId="77777777" w:rsidR="00F821A0" w:rsidRPr="008421D4" w:rsidRDefault="00F821A0" w:rsidP="00F821A0">
      <w:pPr>
        <w:pStyle w:val="Prrafodelista"/>
        <w:spacing w:after="0" w:line="240" w:lineRule="auto"/>
        <w:contextualSpacing w:val="0"/>
        <w:rPr>
          <w:rFonts w:ascii="Verdana" w:eastAsia="Times New Roman" w:hAnsi="Verdana" w:cs="Arial"/>
          <w:sz w:val="20"/>
          <w:szCs w:val="20"/>
          <w:shd w:val="clear" w:color="auto" w:fill="FFFFFF"/>
          <w:lang w:eastAsia="es-ES"/>
        </w:rPr>
      </w:pPr>
    </w:p>
    <w:p w14:paraId="7F8A59CD" w14:textId="77777777" w:rsidR="00F821A0" w:rsidRPr="008421D4" w:rsidRDefault="00F821A0" w:rsidP="00F821A0">
      <w:pPr>
        <w:snapToGrid w:val="0"/>
        <w:spacing w:after="0" w:line="240" w:lineRule="auto"/>
        <w:jc w:val="both"/>
        <w:rPr>
          <w:rFonts w:ascii="Verdana" w:eastAsia="Times New Roman" w:hAnsi="Verdana" w:cs="Arial"/>
          <w:sz w:val="20"/>
          <w:szCs w:val="20"/>
          <w:shd w:val="clear" w:color="auto" w:fill="FFFFFF"/>
          <w:lang w:val="es-ES" w:eastAsia="es-ES"/>
        </w:rPr>
      </w:pPr>
      <w:r w:rsidRPr="008421D4">
        <w:rPr>
          <w:rFonts w:ascii="Verdana" w:eastAsia="Times New Roman" w:hAnsi="Verdana" w:cs="Arial"/>
          <w:sz w:val="20"/>
          <w:szCs w:val="20"/>
          <w:shd w:val="clear" w:color="auto" w:fill="FFFFFF"/>
          <w:lang w:val="es-ES" w:eastAsia="es-ES"/>
        </w:rPr>
        <w:t xml:space="preserve">En relación con la experiencia general dispuesta en la Matriz 1 para la actividad 8.5, en esta se solicita experiencia en actividades de “OBRAS DE CONSTRUCCIÓN O CONFORMACIÓN O ADECUACIÓN O NIVELACIÓN O CONSERVACION O MANTENIMIENTO” y que estas recaigan sobre “FRANJAS DE SEGURIDAD O CANALES DE DRENAJES”. De esta forma, el requisito de experiencia general, no se limita a que no pueda darse su acreditación sobre zonas urbanas o rurales. </w:t>
      </w:r>
    </w:p>
    <w:p w14:paraId="79A4055B" w14:textId="77777777" w:rsidR="00F821A0" w:rsidRPr="008421D4" w:rsidRDefault="00F821A0" w:rsidP="00F821A0">
      <w:pPr>
        <w:snapToGrid w:val="0"/>
        <w:spacing w:after="0" w:line="240" w:lineRule="auto"/>
        <w:ind w:left="720"/>
        <w:jc w:val="both"/>
        <w:rPr>
          <w:rFonts w:ascii="Verdana" w:eastAsia="Times New Roman" w:hAnsi="Verdana" w:cs="Arial"/>
          <w:sz w:val="20"/>
          <w:szCs w:val="20"/>
          <w:shd w:val="clear" w:color="auto" w:fill="FFFFFF"/>
          <w:lang w:val="es-ES" w:eastAsia="es-ES"/>
        </w:rPr>
      </w:pPr>
    </w:p>
    <w:p w14:paraId="246E65E0" w14:textId="77777777" w:rsidR="00F821A0" w:rsidRPr="008421D4" w:rsidRDefault="00F821A0" w:rsidP="00F821A0">
      <w:pPr>
        <w:snapToGrid w:val="0"/>
        <w:spacing w:after="0" w:line="240" w:lineRule="auto"/>
        <w:jc w:val="both"/>
        <w:rPr>
          <w:rFonts w:ascii="Arial" w:eastAsia="Times New Roman" w:hAnsi="Arial" w:cs="Arial"/>
          <w:i/>
          <w:iCs/>
          <w:sz w:val="20"/>
          <w:szCs w:val="20"/>
          <w:lang w:val="es-ES" w:eastAsia="es-ES"/>
        </w:rPr>
      </w:pPr>
      <w:r w:rsidRPr="008421D4">
        <w:rPr>
          <w:rFonts w:ascii="Verdana" w:eastAsia="Times New Roman" w:hAnsi="Verdana" w:cs="Arial"/>
          <w:sz w:val="20"/>
          <w:szCs w:val="20"/>
          <w:shd w:val="clear" w:color="auto" w:fill="FFFFFF"/>
          <w:lang w:val="es-ES" w:eastAsia="es-ES"/>
        </w:rPr>
        <w:t xml:space="preserve">Ahora bien, para entender el alcance de la experiencia especifica contenida en la actividad 8.5, es pertinente indicar que en el Anexo 3 – Glosario de los documentos tipo de </w:t>
      </w:r>
      <w:r w:rsidRPr="008421D4">
        <w:rPr>
          <w:rFonts w:ascii="Verdana" w:eastAsia="Times New Roman" w:hAnsi="Verdana" w:cs="Arial"/>
          <w:sz w:val="20"/>
          <w:szCs w:val="20"/>
          <w:shd w:val="clear" w:color="auto" w:fill="FFFFFF"/>
          <w:lang w:eastAsia="es-ES"/>
        </w:rPr>
        <w:t>licitación pública de obra pública de infraestructura de transporte – versión 4, se define “franja de seguridad” (…)</w:t>
      </w:r>
    </w:p>
    <w:p w14:paraId="3A4718EB" w14:textId="77777777" w:rsidR="00F821A0" w:rsidRPr="008421D4" w:rsidRDefault="00F821A0" w:rsidP="00F821A0">
      <w:pPr>
        <w:snapToGrid w:val="0"/>
        <w:spacing w:after="0" w:line="240" w:lineRule="auto"/>
        <w:jc w:val="both"/>
        <w:rPr>
          <w:rFonts w:ascii="Verdana" w:eastAsia="Times New Roman" w:hAnsi="Verdana" w:cs="Arial"/>
          <w:sz w:val="20"/>
          <w:szCs w:val="20"/>
          <w:shd w:val="clear" w:color="auto" w:fill="FFFFFF"/>
          <w:lang w:val="es-ES" w:eastAsia="es-ES"/>
        </w:rPr>
      </w:pPr>
    </w:p>
    <w:p w14:paraId="5493C157" w14:textId="77777777" w:rsidR="00F821A0" w:rsidRPr="008421D4" w:rsidRDefault="00F821A0" w:rsidP="00F821A0">
      <w:pPr>
        <w:tabs>
          <w:tab w:val="num" w:pos="720"/>
        </w:tabs>
        <w:spacing w:after="0" w:line="240" w:lineRule="auto"/>
        <w:jc w:val="both"/>
        <w:rPr>
          <w:rFonts w:ascii="Verdana" w:eastAsia="Times New Roman" w:hAnsi="Verdana" w:cs="Arial"/>
          <w:sz w:val="20"/>
          <w:szCs w:val="20"/>
          <w:shd w:val="clear" w:color="auto" w:fill="FFFFFF"/>
          <w:lang w:eastAsia="es-ES"/>
        </w:rPr>
      </w:pPr>
      <w:r w:rsidRPr="008421D4">
        <w:rPr>
          <w:rFonts w:ascii="Verdana" w:eastAsia="Times New Roman" w:hAnsi="Verdana" w:cs="Arial"/>
          <w:sz w:val="20"/>
          <w:szCs w:val="20"/>
          <w:shd w:val="clear" w:color="auto" w:fill="FFFFFF"/>
          <w:lang w:eastAsia="es-ES"/>
        </w:rPr>
        <w:t xml:space="preserve">Como se aprecia la construcción o el mantenimiento o conformación o adecuación o nivelación de estas franjas, es muy importante para garantizar la seguridad de las aeronaves. En este sentido, la experiencia especifica busca que las entidades seleccionen proponentes con idoneidad técnica para ejecutar este tipo de trabajos y que garanticen la pluralidad de oferentes, por esta razón, se solicita, que uno de los contratos que se presente dentro de la </w:t>
      </w:r>
      <w:r w:rsidRPr="00080921">
        <w:rPr>
          <w:rFonts w:ascii="Verdana" w:eastAsia="Times New Roman" w:hAnsi="Verdana" w:cs="Arial"/>
          <w:sz w:val="20"/>
          <w:szCs w:val="20"/>
          <w:shd w:val="clear" w:color="auto" w:fill="FFFFFF"/>
          <w:lang w:eastAsia="es-ES"/>
        </w:rPr>
        <w:t>experiencia específica, cuente</w:t>
      </w:r>
      <w:r w:rsidRPr="008421D4">
        <w:rPr>
          <w:rFonts w:ascii="Verdana" w:eastAsia="Times New Roman" w:hAnsi="Verdana" w:cs="Arial"/>
          <w:sz w:val="20"/>
          <w:szCs w:val="20"/>
          <w:shd w:val="clear" w:color="auto" w:fill="FFFFFF"/>
          <w:lang w:eastAsia="es-ES"/>
        </w:rPr>
        <w:t xml:space="preserve"> con un presupuesto igual o mayor al 30% del valor del PRESUPUESTO OFICIAL (PO) del proceso de Contratación.</w:t>
      </w:r>
    </w:p>
    <w:p w14:paraId="436D1BDE" w14:textId="77777777" w:rsidR="00F821A0" w:rsidRPr="008421D4" w:rsidRDefault="00F821A0" w:rsidP="00F821A0">
      <w:pPr>
        <w:tabs>
          <w:tab w:val="num" w:pos="720"/>
        </w:tabs>
        <w:spacing w:after="0" w:line="240" w:lineRule="auto"/>
        <w:jc w:val="both"/>
        <w:rPr>
          <w:rFonts w:ascii="Verdana" w:eastAsia="Times New Roman" w:hAnsi="Verdana" w:cs="Arial"/>
          <w:sz w:val="20"/>
          <w:szCs w:val="20"/>
          <w:shd w:val="clear" w:color="auto" w:fill="FFFFFF"/>
          <w:lang w:eastAsia="es-ES"/>
        </w:rPr>
      </w:pPr>
    </w:p>
    <w:p w14:paraId="4BD2F7C1" w14:textId="77777777" w:rsidR="00F821A0" w:rsidRPr="008421D4" w:rsidRDefault="00F821A0" w:rsidP="00F821A0">
      <w:pPr>
        <w:spacing w:after="0" w:line="240" w:lineRule="auto"/>
        <w:jc w:val="both"/>
        <w:rPr>
          <w:rFonts w:ascii="Verdana" w:eastAsia="Times New Roman" w:hAnsi="Verdana" w:cs="Arial"/>
          <w:sz w:val="20"/>
          <w:szCs w:val="20"/>
          <w:shd w:val="clear" w:color="auto" w:fill="FFFFFF"/>
          <w:lang w:eastAsia="es-ES"/>
        </w:rPr>
      </w:pPr>
      <w:r w:rsidRPr="008421D4">
        <w:rPr>
          <w:rFonts w:ascii="Verdana" w:eastAsia="Times New Roman" w:hAnsi="Verdana" w:cs="Arial"/>
          <w:sz w:val="20"/>
          <w:szCs w:val="20"/>
          <w:shd w:val="clear" w:color="auto" w:fill="FFFFFF"/>
          <w:lang w:eastAsia="es-ES"/>
        </w:rPr>
        <w:t>Así mismo, se indica resaltado entre corchetes, que: para procesos de construcción o conformación o adecuación o nivelación de franjas de seguridad, se solicite adicionalmente, que uno de los contratos presentados en la experiencia general cumpla con la “CONSTRUCCION O CONFORMACION O ADECUACION O NIVELACIÓN O MANTENIMEINTO DE: FRANJAS DE SEGURIDAD O ROCERIAS DE FRANJAS DE SEGURIDAD.” Aquí sí, se solicita de manera particular que se tenga experiencia en “franjas de seguridad o rocería de franjas de seguridad”.</w:t>
      </w:r>
    </w:p>
    <w:p w14:paraId="7777745C" w14:textId="77777777" w:rsidR="00F821A0" w:rsidRDefault="00F821A0" w:rsidP="00F821A0">
      <w:pPr>
        <w:spacing w:after="0" w:line="240" w:lineRule="auto"/>
        <w:rPr>
          <w:rFonts w:ascii="Verdana" w:eastAsia="Geomanist Light" w:hAnsi="Verdana" w:cs="Arial"/>
          <w:lang w:val="es-MX"/>
        </w:rPr>
      </w:pPr>
    </w:p>
    <w:p w14:paraId="3CB7F80A" w14:textId="77777777" w:rsidR="00F821A0" w:rsidRDefault="00F821A0" w:rsidP="00F821A0">
      <w:pPr>
        <w:spacing w:after="0" w:line="240" w:lineRule="auto"/>
        <w:rPr>
          <w:rFonts w:ascii="Verdana" w:eastAsia="Geomanist Light" w:hAnsi="Verdana" w:cs="Arial"/>
          <w:lang w:val="es-MX"/>
        </w:rPr>
      </w:pPr>
    </w:p>
    <w:p w14:paraId="78B372F8" w14:textId="77777777" w:rsidR="00F821A0" w:rsidRDefault="00F821A0" w:rsidP="00F821A0">
      <w:pPr>
        <w:spacing w:after="0" w:line="240" w:lineRule="auto"/>
        <w:rPr>
          <w:rFonts w:ascii="Verdana" w:eastAsia="Geomanist Light" w:hAnsi="Verdana" w:cs="Arial"/>
          <w:lang w:val="es-MX"/>
        </w:rPr>
      </w:pPr>
    </w:p>
    <w:p w14:paraId="174E7E0C" w14:textId="77777777" w:rsidR="00F821A0" w:rsidRDefault="00F821A0" w:rsidP="00F821A0">
      <w:pPr>
        <w:spacing w:after="0" w:line="240" w:lineRule="auto"/>
        <w:rPr>
          <w:rFonts w:ascii="Verdana" w:eastAsia="Geomanist Light" w:hAnsi="Verdana" w:cs="Arial"/>
          <w:lang w:val="es-MX"/>
        </w:rPr>
      </w:pPr>
    </w:p>
    <w:p w14:paraId="39463FD7" w14:textId="77777777" w:rsidR="00F821A0" w:rsidRDefault="00F821A0" w:rsidP="00F821A0">
      <w:pPr>
        <w:spacing w:after="0" w:line="240" w:lineRule="auto"/>
        <w:rPr>
          <w:rFonts w:ascii="Verdana" w:eastAsia="Geomanist Light" w:hAnsi="Verdana" w:cs="Arial"/>
          <w:lang w:val="es-MX"/>
        </w:rPr>
      </w:pPr>
    </w:p>
    <w:p w14:paraId="570BFEC2" w14:textId="77777777" w:rsidR="00F821A0" w:rsidRDefault="00F821A0" w:rsidP="00F821A0">
      <w:pPr>
        <w:spacing w:after="0" w:line="240" w:lineRule="auto"/>
        <w:rPr>
          <w:rFonts w:ascii="Verdana" w:eastAsia="Geomanist Light" w:hAnsi="Verdana" w:cs="Arial"/>
          <w:lang w:val="es-MX"/>
        </w:rPr>
      </w:pPr>
    </w:p>
    <w:p w14:paraId="023948A6" w14:textId="77777777" w:rsidR="00F821A0" w:rsidRDefault="00F821A0" w:rsidP="00F821A0">
      <w:pPr>
        <w:spacing w:after="0" w:line="240" w:lineRule="auto"/>
        <w:rPr>
          <w:rFonts w:ascii="Verdana" w:eastAsia="Geomanist Light" w:hAnsi="Verdana" w:cs="Arial"/>
          <w:lang w:val="es-MX"/>
        </w:rPr>
      </w:pPr>
    </w:p>
    <w:p w14:paraId="6AA4B88E" w14:textId="77777777" w:rsidR="00F821A0" w:rsidRDefault="00F821A0" w:rsidP="00F821A0">
      <w:pPr>
        <w:spacing w:after="0" w:line="240" w:lineRule="auto"/>
        <w:rPr>
          <w:rFonts w:ascii="Verdana" w:eastAsia="Geomanist Light" w:hAnsi="Verdana" w:cs="Arial"/>
          <w:lang w:val="es-MX"/>
        </w:rPr>
      </w:pPr>
    </w:p>
    <w:p w14:paraId="4C491EE4" w14:textId="77777777" w:rsidR="00F821A0" w:rsidRDefault="00F821A0" w:rsidP="00F821A0">
      <w:pPr>
        <w:spacing w:after="0" w:line="240" w:lineRule="auto"/>
        <w:rPr>
          <w:rFonts w:ascii="Verdana" w:eastAsia="Geomanist Light" w:hAnsi="Verdana" w:cs="Arial"/>
          <w:lang w:val="es-MX"/>
        </w:rPr>
      </w:pPr>
    </w:p>
    <w:p w14:paraId="2C32F29C" w14:textId="77777777" w:rsidR="00F821A0" w:rsidRDefault="00F821A0" w:rsidP="00F821A0">
      <w:pPr>
        <w:spacing w:after="0" w:line="240" w:lineRule="auto"/>
        <w:rPr>
          <w:rFonts w:ascii="Verdana" w:eastAsia="Geomanist Light" w:hAnsi="Verdana" w:cs="Arial"/>
          <w:lang w:val="es-MX"/>
        </w:rPr>
      </w:pPr>
    </w:p>
    <w:p w14:paraId="39922616" w14:textId="77777777" w:rsidR="00F821A0" w:rsidRDefault="00F821A0" w:rsidP="00F821A0">
      <w:pPr>
        <w:spacing w:after="0" w:line="240" w:lineRule="auto"/>
        <w:rPr>
          <w:rFonts w:ascii="Verdana" w:eastAsia="Geomanist Light" w:hAnsi="Verdana" w:cs="Arial"/>
          <w:lang w:val="es-MX"/>
        </w:rPr>
      </w:pPr>
    </w:p>
    <w:p w14:paraId="36CBE48C" w14:textId="77777777" w:rsidR="00F821A0" w:rsidRDefault="00F821A0" w:rsidP="00F821A0">
      <w:pPr>
        <w:spacing w:after="0" w:line="240" w:lineRule="auto"/>
        <w:rPr>
          <w:rFonts w:ascii="Verdana" w:eastAsia="Geomanist Light" w:hAnsi="Verdana" w:cs="Arial"/>
          <w:lang w:val="es-MX"/>
        </w:rPr>
      </w:pPr>
    </w:p>
    <w:p w14:paraId="2B615574" w14:textId="77777777" w:rsidR="00F5141A" w:rsidRDefault="00F5141A" w:rsidP="00F821A0">
      <w:pPr>
        <w:spacing w:after="0" w:line="240" w:lineRule="auto"/>
        <w:rPr>
          <w:rFonts w:ascii="Verdana" w:eastAsia="Geomanist Light" w:hAnsi="Verdana" w:cs="Arial"/>
          <w:lang w:val="es-MX"/>
        </w:rPr>
      </w:pPr>
    </w:p>
    <w:p w14:paraId="44C6E144" w14:textId="77777777" w:rsidR="00F5141A" w:rsidRDefault="00F5141A" w:rsidP="00F821A0">
      <w:pPr>
        <w:spacing w:after="0" w:line="240" w:lineRule="auto"/>
        <w:rPr>
          <w:rFonts w:ascii="Verdana" w:eastAsia="Geomanist Light" w:hAnsi="Verdana" w:cs="Arial"/>
          <w:lang w:val="es-MX"/>
        </w:rPr>
      </w:pPr>
    </w:p>
    <w:p w14:paraId="10A1D849" w14:textId="77777777" w:rsidR="00F5141A" w:rsidRDefault="00F5141A" w:rsidP="00F821A0">
      <w:pPr>
        <w:spacing w:after="0" w:line="240" w:lineRule="auto"/>
        <w:rPr>
          <w:rFonts w:ascii="Verdana" w:eastAsia="Geomanist Light" w:hAnsi="Verdana" w:cs="Arial"/>
          <w:lang w:val="es-MX"/>
        </w:rPr>
      </w:pPr>
    </w:p>
    <w:p w14:paraId="470B9E6F" w14:textId="3D298418" w:rsidR="00F821A0" w:rsidRDefault="00F821A0" w:rsidP="00F821A0">
      <w:pPr>
        <w:spacing w:after="0" w:line="240" w:lineRule="auto"/>
        <w:rPr>
          <w:rFonts w:ascii="Verdana" w:eastAsia="Geomanist Light" w:hAnsi="Verdana" w:cs="Arial"/>
          <w:lang w:val="es-MX"/>
        </w:rPr>
      </w:pPr>
      <w:r w:rsidRPr="00C865D4">
        <w:rPr>
          <w:rFonts w:ascii="Verdana" w:eastAsia="Geomanist Light" w:hAnsi="Verdana" w:cs="Arial"/>
          <w:lang w:val="es-MX"/>
        </w:rPr>
        <w:lastRenderedPageBreak/>
        <w:t>Bogotá D.C., </w:t>
      </w:r>
      <w:r w:rsidR="0054441D">
        <w:rPr>
          <w:rFonts w:ascii="Verdana" w:eastAsia="Geomanist Light" w:hAnsi="Verdana" w:cs="Arial"/>
          <w:lang w:val="es-MX"/>
        </w:rPr>
        <w:t>14 de marzo de 2025</w:t>
      </w:r>
    </w:p>
    <w:p w14:paraId="057C7702" w14:textId="77777777" w:rsidR="0054441D" w:rsidRDefault="0054441D" w:rsidP="00F821A0">
      <w:pPr>
        <w:spacing w:after="0" w:line="240" w:lineRule="auto"/>
        <w:rPr>
          <w:rFonts w:ascii="Verdana" w:eastAsia="Geomanist Light" w:hAnsi="Verdana" w:cs="Arial"/>
          <w:lang w:val="es-MX"/>
        </w:rPr>
      </w:pPr>
    </w:p>
    <w:p w14:paraId="23C9DE6B" w14:textId="660A8132" w:rsidR="00F821A0" w:rsidRPr="00C865D4" w:rsidRDefault="0054441D" w:rsidP="0054441D">
      <w:pPr>
        <w:spacing w:after="0" w:line="240" w:lineRule="auto"/>
        <w:jc w:val="right"/>
        <w:rPr>
          <w:rFonts w:ascii="Verdana" w:eastAsia="Calibri" w:hAnsi="Verdana" w:cs="Arial"/>
          <w:lang w:val="es-MX" w:eastAsia="es-ES"/>
        </w:rPr>
      </w:pPr>
      <w:r w:rsidRPr="0054441D">
        <w:rPr>
          <w:rFonts w:ascii="Verdana" w:eastAsia="Calibri" w:hAnsi="Verdana" w:cs="Arial"/>
          <w:lang w:val="es-MX" w:eastAsia="es-ES"/>
        </w:rPr>
        <w:drawing>
          <wp:inline distT="0" distB="0" distL="0" distR="0" wp14:anchorId="2070B211" wp14:editId="77B39CB1">
            <wp:extent cx="3352825" cy="1104908"/>
            <wp:effectExtent l="0" t="0" r="0" b="0"/>
            <wp:docPr id="1153479515"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479515" name="Imagen 1" descr="Texto&#10;&#10;El contenido generado por IA puede ser incorrecto."/>
                    <pic:cNvPicPr/>
                  </pic:nvPicPr>
                  <pic:blipFill>
                    <a:blip r:embed="rId10"/>
                    <a:stretch>
                      <a:fillRect/>
                    </a:stretch>
                  </pic:blipFill>
                  <pic:spPr>
                    <a:xfrm>
                      <a:off x="0" y="0"/>
                      <a:ext cx="3352825" cy="1104908"/>
                    </a:xfrm>
                    <a:prstGeom prst="rect">
                      <a:avLst/>
                    </a:prstGeom>
                  </pic:spPr>
                </pic:pic>
              </a:graphicData>
            </a:graphic>
          </wp:inline>
        </w:drawing>
      </w:r>
    </w:p>
    <w:p w14:paraId="12667D66" w14:textId="77777777" w:rsidR="00F821A0" w:rsidRPr="00C865D4" w:rsidRDefault="00F821A0" w:rsidP="00F821A0">
      <w:pPr>
        <w:spacing w:after="0" w:line="240" w:lineRule="auto"/>
        <w:rPr>
          <w:rFonts w:ascii="Verdana" w:eastAsia="Calibri" w:hAnsi="Verdana" w:cs="Arial"/>
          <w:lang w:val="es-MX" w:eastAsia="es-ES"/>
        </w:rPr>
      </w:pPr>
    </w:p>
    <w:p w14:paraId="00E57352" w14:textId="77777777" w:rsidR="00F821A0" w:rsidRPr="00C865D4" w:rsidRDefault="00F821A0" w:rsidP="00F821A0">
      <w:pPr>
        <w:spacing w:after="0" w:line="240" w:lineRule="auto"/>
        <w:rPr>
          <w:rFonts w:ascii="Verdana" w:hAnsi="Verdana"/>
        </w:rPr>
      </w:pPr>
      <w:r w:rsidRPr="00C865D4">
        <w:rPr>
          <w:rFonts w:ascii="Verdana" w:eastAsia="Calibri" w:hAnsi="Verdana" w:cs="Arial"/>
          <w:lang w:val="es-ES" w:eastAsia="es-ES"/>
        </w:rPr>
        <w:t>Señor</w:t>
      </w:r>
    </w:p>
    <w:p w14:paraId="7D85CC47" w14:textId="77777777" w:rsidR="00F821A0" w:rsidRDefault="00F821A0" w:rsidP="00F821A0">
      <w:pPr>
        <w:spacing w:after="0" w:line="240" w:lineRule="auto"/>
        <w:rPr>
          <w:rFonts w:ascii="Verdana" w:eastAsia="Calibri" w:hAnsi="Verdana" w:cs="Arial"/>
          <w:b/>
          <w:bCs/>
          <w:lang w:eastAsia="es-ES_tradnl"/>
        </w:rPr>
      </w:pPr>
      <w:r>
        <w:rPr>
          <w:rFonts w:ascii="Verdana" w:eastAsia="Calibri" w:hAnsi="Verdana" w:cs="Arial"/>
          <w:b/>
          <w:bCs/>
          <w:lang w:eastAsia="es-ES_tradnl"/>
        </w:rPr>
        <w:t>Richard Steven Sanabria Vargas</w:t>
      </w:r>
      <w:r w:rsidRPr="00C865D4">
        <w:rPr>
          <w:rFonts w:ascii="Verdana" w:eastAsia="Calibri" w:hAnsi="Verdana" w:cs="Arial"/>
          <w:b/>
          <w:bCs/>
          <w:lang w:eastAsia="es-ES_tradnl"/>
        </w:rPr>
        <w:t xml:space="preserve">  </w:t>
      </w:r>
    </w:p>
    <w:p w14:paraId="10FAC88B" w14:textId="77777777" w:rsidR="00F821A0" w:rsidRPr="00C865D4" w:rsidRDefault="00F821A0" w:rsidP="00F821A0">
      <w:pPr>
        <w:spacing w:after="0" w:line="240" w:lineRule="auto"/>
        <w:rPr>
          <w:rFonts w:ascii="Verdana" w:eastAsia="Calibri" w:hAnsi="Verdana" w:cs="Arial"/>
          <w:b/>
          <w:bCs/>
          <w:lang w:val="es-ES_tradnl" w:eastAsia="es-ES_tradnl"/>
        </w:rPr>
      </w:pPr>
      <w:r>
        <w:rPr>
          <w:rFonts w:ascii="Verdana" w:eastAsia="Calibri" w:hAnsi="Verdana" w:cs="Arial"/>
          <w:lang w:eastAsia="es-ES_tradnl"/>
        </w:rPr>
        <w:t>Bogotá D.C</w:t>
      </w:r>
    </w:p>
    <w:p w14:paraId="7FEC282D" w14:textId="77777777" w:rsidR="00F821A0" w:rsidRDefault="00F821A0" w:rsidP="00F821A0">
      <w:pPr>
        <w:spacing w:after="0" w:line="240" w:lineRule="auto"/>
        <w:rPr>
          <w:rFonts w:ascii="Verdana" w:eastAsia="Calibri" w:hAnsi="Verdana" w:cs="Arial"/>
          <w:b/>
          <w:bCs/>
          <w:lang w:val="es-ES_tradnl" w:eastAsia="es-ES_tradnl"/>
        </w:rPr>
      </w:pPr>
    </w:p>
    <w:p w14:paraId="21CE4295" w14:textId="77777777" w:rsidR="00F821A0" w:rsidRPr="00C865D4" w:rsidRDefault="00F821A0" w:rsidP="00F821A0">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379"/>
      </w:tblGrid>
      <w:tr w:rsidR="00F821A0" w:rsidRPr="00C865D4" w14:paraId="132182EB" w14:textId="77777777" w:rsidTr="006E475D">
        <w:trPr>
          <w:trHeight w:val="229"/>
        </w:trPr>
        <w:tc>
          <w:tcPr>
            <w:tcW w:w="2410" w:type="dxa"/>
          </w:tcPr>
          <w:p w14:paraId="00DD07E7" w14:textId="77777777" w:rsidR="00F821A0" w:rsidRPr="00C865D4" w:rsidRDefault="00F821A0" w:rsidP="006E475D">
            <w:pPr>
              <w:jc w:val="both"/>
              <w:rPr>
                <w:rFonts w:ascii="Verdana" w:eastAsia="Calibri" w:hAnsi="Verdana" w:cs="Arial"/>
                <w:b/>
                <w:bCs/>
                <w:lang w:val="es-ES_tradnl" w:eastAsia="es-ES_tradnl"/>
              </w:rPr>
            </w:pPr>
          </w:p>
        </w:tc>
        <w:tc>
          <w:tcPr>
            <w:tcW w:w="6379" w:type="dxa"/>
          </w:tcPr>
          <w:p w14:paraId="3A84DE1E" w14:textId="77777777" w:rsidR="00F821A0" w:rsidRPr="00C865D4" w:rsidRDefault="00F821A0" w:rsidP="006E475D">
            <w:pPr>
              <w:jc w:val="both"/>
              <w:rPr>
                <w:rFonts w:ascii="Verdana" w:eastAsia="Calibri" w:hAnsi="Verdana" w:cs="Arial"/>
                <w:b/>
                <w:bCs/>
                <w:lang w:val="es-ES" w:eastAsia="es-ES"/>
              </w:rPr>
            </w:pPr>
            <w:r w:rsidRPr="00C865D4">
              <w:rPr>
                <w:rFonts w:ascii="Verdana" w:eastAsia="Calibri" w:hAnsi="Verdana" w:cs="Arial"/>
                <w:b/>
                <w:bCs/>
                <w:lang w:val="es-ES" w:eastAsia="es-ES"/>
              </w:rPr>
              <w:t>Concepto C-</w:t>
            </w:r>
            <w:r>
              <w:rPr>
                <w:rFonts w:ascii="Verdana" w:eastAsia="Calibri" w:hAnsi="Verdana" w:cs="Arial"/>
                <w:b/>
                <w:bCs/>
                <w:lang w:val="es-ES" w:eastAsia="es-ES"/>
              </w:rPr>
              <w:t>241</w:t>
            </w:r>
            <w:r w:rsidRPr="00C865D4">
              <w:rPr>
                <w:rFonts w:ascii="Verdana" w:eastAsia="Calibri" w:hAnsi="Verdana" w:cs="Arial"/>
                <w:b/>
                <w:bCs/>
                <w:lang w:val="es-ES" w:eastAsia="es-ES"/>
              </w:rPr>
              <w:t xml:space="preserve"> de 2025</w:t>
            </w:r>
          </w:p>
          <w:p w14:paraId="1649FD65" w14:textId="77777777" w:rsidR="00F821A0" w:rsidRDefault="00F821A0" w:rsidP="006E475D">
            <w:pPr>
              <w:jc w:val="both"/>
              <w:rPr>
                <w:rFonts w:ascii="Verdana" w:eastAsia="Calibri" w:hAnsi="Verdana" w:cs="Arial"/>
                <w:b/>
                <w:bCs/>
                <w:lang w:val="es-ES" w:eastAsia="es-ES"/>
              </w:rPr>
            </w:pPr>
          </w:p>
          <w:p w14:paraId="2F8AB820" w14:textId="77777777" w:rsidR="00F821A0" w:rsidRDefault="00F821A0" w:rsidP="006E475D">
            <w:pPr>
              <w:jc w:val="both"/>
              <w:rPr>
                <w:rFonts w:ascii="Verdana" w:eastAsia="Calibri" w:hAnsi="Verdana" w:cs="Arial"/>
                <w:b/>
                <w:bCs/>
                <w:lang w:val="es-ES" w:eastAsia="es-ES"/>
              </w:rPr>
            </w:pPr>
          </w:p>
          <w:p w14:paraId="77C67272" w14:textId="77777777" w:rsidR="00F821A0" w:rsidRPr="00C865D4" w:rsidRDefault="00F821A0" w:rsidP="006E475D">
            <w:pPr>
              <w:jc w:val="both"/>
              <w:rPr>
                <w:rFonts w:ascii="Verdana" w:eastAsia="Calibri" w:hAnsi="Verdana" w:cs="Arial"/>
                <w:b/>
                <w:bCs/>
                <w:lang w:val="es-ES" w:eastAsia="es-ES"/>
              </w:rPr>
            </w:pPr>
          </w:p>
        </w:tc>
      </w:tr>
      <w:tr w:rsidR="00F821A0" w:rsidRPr="00C865D4" w14:paraId="00AF7989" w14:textId="77777777" w:rsidTr="006E475D">
        <w:trPr>
          <w:trHeight w:val="884"/>
        </w:trPr>
        <w:tc>
          <w:tcPr>
            <w:tcW w:w="2410" w:type="dxa"/>
          </w:tcPr>
          <w:p w14:paraId="07A81C75" w14:textId="77777777" w:rsidR="00F821A0" w:rsidRPr="00C865D4" w:rsidRDefault="00F821A0" w:rsidP="006E475D">
            <w:pPr>
              <w:jc w:val="both"/>
              <w:rPr>
                <w:rFonts w:ascii="Verdana" w:eastAsia="Calibri" w:hAnsi="Verdana" w:cs="Arial"/>
                <w:lang w:val="es-ES_tradnl" w:eastAsia="es-ES_tradnl"/>
              </w:rPr>
            </w:pPr>
            <w:r w:rsidRPr="00C865D4">
              <w:rPr>
                <w:rFonts w:ascii="Verdana" w:eastAsia="Calibri" w:hAnsi="Verdana" w:cs="Arial"/>
                <w:b/>
                <w:lang w:val="es-ES_tradnl" w:eastAsia="es-ES_tradnl"/>
              </w:rPr>
              <w:t>Temas:</w:t>
            </w:r>
            <w:r w:rsidRPr="00C865D4">
              <w:rPr>
                <w:rFonts w:ascii="Verdana" w:eastAsia="Calibri" w:hAnsi="Verdana" w:cs="Arial"/>
                <w:lang w:val="es-ES_tradnl" w:eastAsia="es-ES_tradnl"/>
              </w:rPr>
              <w:t xml:space="preserve">                   </w:t>
            </w:r>
          </w:p>
        </w:tc>
        <w:tc>
          <w:tcPr>
            <w:tcW w:w="6379" w:type="dxa"/>
          </w:tcPr>
          <w:p w14:paraId="575878FD" w14:textId="6269567D" w:rsidR="00F821A0" w:rsidRPr="002C6DEB" w:rsidRDefault="00F821A0" w:rsidP="006E475D">
            <w:pPr>
              <w:jc w:val="both"/>
              <w:rPr>
                <w:rFonts w:ascii="Verdana" w:eastAsia="Calibri" w:hAnsi="Verdana" w:cs="Arial"/>
                <w:bCs/>
                <w:lang w:val="es-ES_tradnl" w:eastAsia="es-ES_tradnl"/>
              </w:rPr>
            </w:pPr>
            <w:r w:rsidRPr="00080921">
              <w:rPr>
                <w:rFonts w:ascii="Verdana" w:eastAsia="Calibri" w:hAnsi="Verdana" w:cs="Arial"/>
                <w:bCs/>
                <w:lang w:val="es-ES_tradnl" w:eastAsia="es-ES_tradnl"/>
              </w:rPr>
              <w:t xml:space="preserve">DOCUMENTOS TIPO – Fundamento normativo – Obligatoriedad / </w:t>
            </w:r>
            <w:r w:rsidRPr="00080921">
              <w:rPr>
                <w:rFonts w:ascii="Verdana" w:eastAsia="Calibri" w:hAnsi="Verdana" w:cs="Arial"/>
                <w:bCs/>
                <w:lang w:val="es-ES_tradnl"/>
              </w:rPr>
              <w:t xml:space="preserve">DOCUMENTOS TIPO – Inalterabilidad / </w:t>
            </w:r>
            <w:r w:rsidRPr="00080921">
              <w:rPr>
                <w:rFonts w:ascii="Verdana" w:eastAsia="Calibri" w:hAnsi="Verdana" w:cs="Arial"/>
                <w:bCs/>
                <w:color w:val="000000"/>
                <w:lang w:eastAsia="es-ES_tradnl"/>
              </w:rPr>
              <w:t xml:space="preserve">DOCUMENTOS </w:t>
            </w:r>
            <w:r w:rsidRPr="002C6DEB">
              <w:rPr>
                <w:rFonts w:ascii="Verdana" w:eastAsia="Calibri" w:hAnsi="Verdana" w:cs="Arial"/>
                <w:bCs/>
                <w:lang w:val="es-ES_tradnl" w:eastAsia="es-ES_tradnl"/>
              </w:rPr>
              <w:t>TIPO − Matriz 1 – Experiencia – Aplicación / DOCUMENTOS TIPO − Matriz 1 – Anexo 3 Franjas de seguridad</w:t>
            </w:r>
          </w:p>
          <w:p w14:paraId="78265C7F" w14:textId="77777777" w:rsidR="00F821A0" w:rsidRPr="00C865D4" w:rsidRDefault="00F821A0" w:rsidP="006E475D">
            <w:pPr>
              <w:jc w:val="both"/>
              <w:rPr>
                <w:rFonts w:ascii="Arial" w:eastAsia="Calibri" w:hAnsi="Arial" w:cs="Arial"/>
                <w:bCs/>
                <w:color w:val="000000"/>
                <w:lang w:eastAsia="es-ES_tradnl"/>
              </w:rPr>
            </w:pPr>
          </w:p>
          <w:p w14:paraId="72B76520" w14:textId="77777777" w:rsidR="00F821A0" w:rsidRPr="00C865D4" w:rsidRDefault="00F821A0" w:rsidP="006E475D">
            <w:pPr>
              <w:jc w:val="both"/>
              <w:rPr>
                <w:rFonts w:ascii="Verdana" w:eastAsia="Calibri" w:hAnsi="Verdana" w:cs="Arial"/>
                <w:lang w:val="es-ES" w:eastAsia="es-ES"/>
              </w:rPr>
            </w:pPr>
          </w:p>
        </w:tc>
      </w:tr>
      <w:tr w:rsidR="00F821A0" w:rsidRPr="00C865D4" w14:paraId="2304F82D" w14:textId="77777777" w:rsidTr="006E475D">
        <w:tc>
          <w:tcPr>
            <w:tcW w:w="2410" w:type="dxa"/>
          </w:tcPr>
          <w:p w14:paraId="66D62873" w14:textId="77777777" w:rsidR="00F821A0" w:rsidRPr="00C865D4" w:rsidRDefault="00F821A0" w:rsidP="006E475D">
            <w:pPr>
              <w:jc w:val="both"/>
              <w:rPr>
                <w:rFonts w:ascii="Verdana" w:eastAsia="Calibri" w:hAnsi="Verdana" w:cs="Arial"/>
                <w:b/>
                <w:lang w:val="es-ES_tradnl" w:eastAsia="es-ES_tradnl"/>
              </w:rPr>
            </w:pPr>
            <w:r w:rsidRPr="00C865D4">
              <w:rPr>
                <w:rFonts w:ascii="Verdana" w:eastAsia="Calibri" w:hAnsi="Verdana" w:cs="Arial"/>
                <w:b/>
                <w:lang w:val="es-ES_tradnl" w:eastAsia="es-ES_tradnl"/>
              </w:rPr>
              <w:t>Radicación:</w:t>
            </w:r>
            <w:r w:rsidRPr="00C865D4">
              <w:rPr>
                <w:rFonts w:ascii="Verdana" w:eastAsia="Calibri" w:hAnsi="Verdana" w:cs="Arial"/>
                <w:lang w:val="es-ES_tradnl" w:eastAsia="es-ES_tradnl"/>
              </w:rPr>
              <w:t xml:space="preserve">               </w:t>
            </w:r>
          </w:p>
        </w:tc>
        <w:tc>
          <w:tcPr>
            <w:tcW w:w="6379" w:type="dxa"/>
          </w:tcPr>
          <w:p w14:paraId="40DAC003" w14:textId="77777777" w:rsidR="00F821A0" w:rsidRPr="00C865D4" w:rsidRDefault="00F821A0" w:rsidP="006E475D">
            <w:pPr>
              <w:ind w:left="708" w:hanging="708"/>
              <w:jc w:val="both"/>
              <w:rPr>
                <w:rFonts w:ascii="Verdana" w:eastAsia="Calibri" w:hAnsi="Verdana" w:cs="Arial"/>
                <w:lang w:val="es-ES_tradnl" w:eastAsia="es-ES_tradnl"/>
              </w:rPr>
            </w:pPr>
            <w:r w:rsidRPr="00C865D4">
              <w:rPr>
                <w:rFonts w:ascii="Verdana" w:eastAsia="Calibri" w:hAnsi="Verdana" w:cs="Arial"/>
                <w:lang w:val="es-ES_tradnl" w:eastAsia="es-ES_tradnl"/>
              </w:rPr>
              <w:t xml:space="preserve">Respuesta a consulta con radicado No. </w:t>
            </w:r>
            <w:r w:rsidRPr="00E5674F">
              <w:rPr>
                <w:rFonts w:ascii="Verdana" w:eastAsia="Calibri" w:hAnsi="Verdana" w:cs="Arial"/>
                <w:lang w:val="es-ES_tradnl" w:eastAsia="es-ES_tradnl"/>
              </w:rPr>
              <w:t>P20250225001863</w:t>
            </w:r>
          </w:p>
        </w:tc>
      </w:tr>
    </w:tbl>
    <w:p w14:paraId="10B19BF6" w14:textId="77777777" w:rsidR="00F821A0" w:rsidRPr="00C865D4" w:rsidRDefault="00F821A0" w:rsidP="00F821A0">
      <w:pPr>
        <w:spacing w:after="0" w:line="240" w:lineRule="auto"/>
        <w:jc w:val="both"/>
        <w:rPr>
          <w:rFonts w:ascii="Verdana" w:eastAsia="Calibri" w:hAnsi="Verdana" w:cs="Arial"/>
          <w:lang w:val="es-ES_tradnl" w:eastAsia="es-ES_tradnl"/>
        </w:rPr>
      </w:pPr>
    </w:p>
    <w:p w14:paraId="08B8D608" w14:textId="77777777" w:rsidR="00F821A0" w:rsidRPr="00C865D4" w:rsidRDefault="00F821A0" w:rsidP="00F821A0">
      <w:pPr>
        <w:spacing w:after="0" w:line="240" w:lineRule="auto"/>
        <w:jc w:val="both"/>
        <w:rPr>
          <w:rFonts w:ascii="Verdana" w:eastAsia="Calibri" w:hAnsi="Verdana" w:cs="Arial"/>
          <w:lang w:val="es-ES_tradnl" w:eastAsia="es-ES_tradnl"/>
        </w:rPr>
      </w:pPr>
    </w:p>
    <w:p w14:paraId="35F7A415" w14:textId="77777777" w:rsidR="00F821A0" w:rsidRPr="00E5674F" w:rsidRDefault="00F821A0" w:rsidP="00F821A0">
      <w:pPr>
        <w:spacing w:after="0" w:line="276" w:lineRule="auto"/>
        <w:jc w:val="both"/>
        <w:rPr>
          <w:rFonts w:ascii="Verdana" w:eastAsia="Calibri" w:hAnsi="Verdana" w:cs="Arial"/>
          <w:lang w:val="es-ES" w:eastAsia="es-ES"/>
        </w:rPr>
      </w:pPr>
      <w:r w:rsidRPr="00C865D4">
        <w:rPr>
          <w:rFonts w:ascii="Verdana" w:eastAsia="Calibri" w:hAnsi="Verdana" w:cs="Arial"/>
          <w:lang w:val="es-ES" w:eastAsia="es-ES"/>
        </w:rPr>
        <w:t>Estimado señor</w:t>
      </w:r>
      <w:r>
        <w:rPr>
          <w:rFonts w:ascii="Verdana" w:eastAsia="Calibri" w:hAnsi="Verdana" w:cs="Arial"/>
          <w:lang w:eastAsia="es-ES_tradnl"/>
        </w:rPr>
        <w:t xml:space="preserve"> </w:t>
      </w:r>
      <w:r w:rsidRPr="00E5674F">
        <w:rPr>
          <w:rFonts w:ascii="Verdana" w:eastAsia="Calibri" w:hAnsi="Verdana" w:cs="Arial"/>
          <w:lang w:eastAsia="es-ES_tradnl"/>
        </w:rPr>
        <w:t>Sanabria Vargas</w:t>
      </w:r>
      <w:r w:rsidRPr="00E5674F">
        <w:rPr>
          <w:rFonts w:ascii="Verdana" w:eastAsia="Calibri" w:hAnsi="Verdana" w:cs="Arial"/>
          <w:lang w:val="es-ES" w:eastAsia="es-ES"/>
        </w:rPr>
        <w:t xml:space="preserve">: </w:t>
      </w:r>
    </w:p>
    <w:p w14:paraId="785E95CA" w14:textId="77777777" w:rsidR="00F821A0" w:rsidRPr="00C865D4" w:rsidRDefault="00F821A0" w:rsidP="00F821A0">
      <w:pPr>
        <w:tabs>
          <w:tab w:val="left" w:pos="3768"/>
        </w:tabs>
        <w:spacing w:after="0" w:line="276" w:lineRule="auto"/>
        <w:jc w:val="both"/>
        <w:rPr>
          <w:rFonts w:ascii="Verdana" w:eastAsia="Calibri" w:hAnsi="Verdana" w:cs="Arial"/>
          <w:lang w:val="es-ES" w:eastAsia="es-ES"/>
        </w:rPr>
      </w:pPr>
      <w:r w:rsidRPr="00C865D4">
        <w:rPr>
          <w:rFonts w:ascii="Verdana" w:eastAsia="Calibri" w:hAnsi="Verdana" w:cs="Arial"/>
          <w:lang w:val="es-ES" w:eastAsia="es-ES"/>
        </w:rPr>
        <w:tab/>
      </w:r>
    </w:p>
    <w:p w14:paraId="5FA55041" w14:textId="77777777" w:rsidR="00F821A0" w:rsidRPr="00C865D4" w:rsidRDefault="00F821A0" w:rsidP="00F821A0">
      <w:pPr>
        <w:spacing w:after="0" w:line="276" w:lineRule="auto"/>
        <w:jc w:val="both"/>
        <w:rPr>
          <w:rFonts w:ascii="Verdana" w:eastAsia="Calibri" w:hAnsi="Verdana" w:cs="Arial"/>
          <w:lang w:val="es-ES" w:eastAsia="es-ES"/>
        </w:rPr>
      </w:pPr>
      <w:r w:rsidRPr="00C865D4">
        <w:rPr>
          <w:rFonts w:ascii="Verdana" w:eastAsia="Calibri" w:hAnsi="Verdana" w:cs="Arial"/>
          <w:lang w:val="es-ES" w:eastAsia="es-ES"/>
        </w:rPr>
        <w:t>En ejercicio de la competencia otorgada por los artículos 3, numeral 5º, y 11, numeral 8º, del Decreto Ley 4170 de 2011,</w:t>
      </w:r>
      <w:r w:rsidRPr="00C865D4">
        <w:rPr>
          <w:rFonts w:ascii="Verdana" w:eastAsia="Arial MT" w:hAnsi="Verdana" w:cs="Arial MT"/>
          <w:lang w:val="es-ES" w:eastAsia="es-ES"/>
        </w:rPr>
        <w:t xml:space="preserve"> </w:t>
      </w:r>
      <w:r w:rsidRPr="00C865D4">
        <w:rPr>
          <w:rFonts w:ascii="Verdana" w:hAnsi="Verdana" w:cs="Arial"/>
        </w:rPr>
        <w:t xml:space="preserve">así como lo establecido en el artículo 4 de la Resolución 1707 de 2018 expedida por esta Entidad, </w:t>
      </w:r>
      <w:r w:rsidRPr="00C865D4">
        <w:rPr>
          <w:rFonts w:ascii="Verdana" w:eastAsia="Calibri" w:hAnsi="Verdana" w:cs="Arial"/>
          <w:lang w:val="es-ES" w:eastAsia="es-ES"/>
        </w:rPr>
        <w:t xml:space="preserve">la Agencia Nacional de Contratación Pública – Colombia Compra Eficiente– responde su solicitud de consulta del </w:t>
      </w:r>
      <w:r>
        <w:rPr>
          <w:rFonts w:ascii="Verdana" w:eastAsia="Calibri" w:hAnsi="Verdana" w:cs="Arial"/>
          <w:lang w:val="es-ES" w:eastAsia="es-ES"/>
        </w:rPr>
        <w:t>25</w:t>
      </w:r>
      <w:r w:rsidRPr="00C865D4">
        <w:rPr>
          <w:rFonts w:ascii="Verdana" w:eastAsia="Calibri" w:hAnsi="Verdana" w:cs="Arial"/>
          <w:lang w:val="es-ES" w:eastAsia="es-ES"/>
        </w:rPr>
        <w:t xml:space="preserve"> de febrero de 2025, en la cual manifiesta lo siguiente: </w:t>
      </w:r>
    </w:p>
    <w:p w14:paraId="6404C0C7" w14:textId="77777777" w:rsidR="00F821A0" w:rsidRPr="00C865D4" w:rsidRDefault="00F821A0" w:rsidP="00F821A0">
      <w:pPr>
        <w:tabs>
          <w:tab w:val="left" w:pos="142"/>
          <w:tab w:val="left" w:pos="284"/>
        </w:tabs>
        <w:spacing w:after="0" w:line="276" w:lineRule="auto"/>
        <w:ind w:left="709" w:right="709"/>
        <w:jc w:val="both"/>
        <w:rPr>
          <w:rFonts w:ascii="Verdana" w:eastAsia="Century Gothic" w:hAnsi="Verdana" w:cs="Century Gothic"/>
          <w:b/>
          <w:bCs/>
        </w:rPr>
      </w:pPr>
    </w:p>
    <w:p w14:paraId="2564731A" w14:textId="77777777" w:rsidR="00F821A0" w:rsidRPr="000B6935" w:rsidRDefault="00F821A0" w:rsidP="00F821A0">
      <w:pPr>
        <w:spacing w:after="120" w:line="240" w:lineRule="auto"/>
        <w:ind w:left="709" w:right="709"/>
        <w:jc w:val="both"/>
        <w:rPr>
          <w:rFonts w:ascii="Verdana" w:eastAsia="Aptos" w:hAnsi="Verdana" w:cs="Times New Roman"/>
          <w:sz w:val="21"/>
          <w:szCs w:val="21"/>
        </w:rPr>
      </w:pPr>
      <w:r>
        <w:rPr>
          <w:rFonts w:ascii="Verdana" w:eastAsia="Century Gothic" w:hAnsi="Verdana" w:cs="Century Gothic"/>
          <w:sz w:val="21"/>
          <w:szCs w:val="21"/>
          <w:lang w:val="es-ES"/>
        </w:rPr>
        <w:t>“</w:t>
      </w:r>
      <w:r w:rsidRPr="00E5674F">
        <w:rPr>
          <w:rFonts w:ascii="Verdana" w:eastAsia="Century Gothic" w:hAnsi="Verdana" w:cs="Century Gothic"/>
          <w:sz w:val="21"/>
          <w:szCs w:val="21"/>
        </w:rPr>
        <w:t xml:space="preserve">Se ha observado que los procesos recientes limitan la participación al exigir experiencia en franjas de seguridad, excluyendo oferentes con trayectoria en sectores urbano y rural. Esto restringe la pluralidad de oferentes, afectando la libre competencia y eficiencia del proceso. Solicito un concepto sobre: Justificación normativa o técnica de esta </w:t>
      </w:r>
      <w:r w:rsidRPr="00E5674F">
        <w:rPr>
          <w:rFonts w:ascii="Verdana" w:eastAsia="Century Gothic" w:hAnsi="Verdana" w:cs="Century Gothic"/>
          <w:sz w:val="21"/>
          <w:szCs w:val="21"/>
        </w:rPr>
        <w:lastRenderedPageBreak/>
        <w:t>restricción. Posibilidad de ampliar los criterios para incluir experiencia en otros sectores. Medidas para garantizar pluralidad sin afectar la idoneidad</w:t>
      </w:r>
      <w:r>
        <w:rPr>
          <w:rFonts w:ascii="Verdana" w:hAnsi="Verdana"/>
          <w:sz w:val="21"/>
          <w:szCs w:val="21"/>
        </w:rPr>
        <w:t xml:space="preserve">”. </w:t>
      </w:r>
      <w:r w:rsidRPr="00C865D4">
        <w:rPr>
          <w:rFonts w:ascii="Verdana" w:eastAsia="Aptos" w:hAnsi="Verdana" w:cs="Times New Roman"/>
          <w:sz w:val="21"/>
          <w:szCs w:val="21"/>
        </w:rPr>
        <w:t xml:space="preserve"> </w:t>
      </w:r>
    </w:p>
    <w:p w14:paraId="19A07A00" w14:textId="77777777" w:rsidR="00F821A0" w:rsidRPr="00C865D4" w:rsidRDefault="00F821A0" w:rsidP="00F821A0">
      <w:pPr>
        <w:spacing w:after="0" w:line="276" w:lineRule="auto"/>
        <w:ind w:left="709" w:right="709"/>
        <w:jc w:val="both"/>
        <w:rPr>
          <w:rFonts w:ascii="Verdana" w:eastAsia="Century Gothic" w:hAnsi="Verdana" w:cs="Century Gothic"/>
          <w:sz w:val="20"/>
          <w:szCs w:val="20"/>
          <w:lang w:val="es-ES"/>
        </w:rPr>
      </w:pPr>
    </w:p>
    <w:p w14:paraId="3C750567" w14:textId="77777777" w:rsidR="00F821A0" w:rsidRPr="009322DA" w:rsidRDefault="00F821A0" w:rsidP="00F821A0">
      <w:pPr>
        <w:spacing w:after="120" w:line="276" w:lineRule="auto"/>
        <w:ind w:firstLine="709"/>
        <w:jc w:val="both"/>
        <w:rPr>
          <w:rFonts w:ascii="Verdana" w:eastAsia="Calibri" w:hAnsi="Verdana" w:cs="Arial"/>
          <w:szCs w:val="24"/>
          <w:lang w:val="es-ES_tradnl" w:eastAsia="es-ES_tradnl"/>
        </w:rPr>
      </w:pPr>
      <w:r w:rsidRPr="009322DA">
        <w:rPr>
          <w:rFonts w:ascii="Verdana" w:eastAsia="Calibri" w:hAnsi="Verdana" w:cs="Arial"/>
          <w:lang w:val="es-ES"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322DA">
        <w:rPr>
          <w:rFonts w:ascii="Verdana" w:eastAsia="Calibri" w:hAnsi="Verdana" w:cs="Arial"/>
          <w:szCs w:val="24"/>
          <w:lang w:val="es-ES_tradnl" w:eastAsia="es-ES_tradnl"/>
        </w:rPr>
        <w:tab/>
      </w:r>
    </w:p>
    <w:p w14:paraId="705D0B1E" w14:textId="77777777" w:rsidR="00F821A0" w:rsidRPr="009322DA" w:rsidRDefault="00F821A0" w:rsidP="00F821A0">
      <w:pPr>
        <w:spacing w:after="0" w:line="276" w:lineRule="auto"/>
        <w:ind w:firstLine="708"/>
        <w:jc w:val="both"/>
        <w:rPr>
          <w:rFonts w:ascii="Verdana" w:eastAsia="Calibri" w:hAnsi="Verdana" w:cs="Arial"/>
          <w:lang w:val="es-ES" w:eastAsia="es-ES"/>
        </w:rPr>
      </w:pPr>
      <w:r w:rsidRPr="009322D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C8081C6" w14:textId="77777777" w:rsidR="00F821A0" w:rsidRPr="00C865D4" w:rsidRDefault="00F821A0" w:rsidP="00F821A0">
      <w:pPr>
        <w:spacing w:after="0" w:line="276" w:lineRule="auto"/>
        <w:jc w:val="both"/>
        <w:rPr>
          <w:rFonts w:ascii="Verdana" w:eastAsia="Calibri" w:hAnsi="Verdana" w:cs="Arial"/>
          <w:lang w:val="es-ES" w:eastAsia="es-ES"/>
        </w:rPr>
      </w:pPr>
    </w:p>
    <w:p w14:paraId="28FF56C8" w14:textId="77777777" w:rsidR="00F821A0" w:rsidRPr="00C865D4" w:rsidRDefault="00F821A0" w:rsidP="00F821A0">
      <w:pPr>
        <w:numPr>
          <w:ilvl w:val="0"/>
          <w:numId w:val="20"/>
        </w:numPr>
        <w:tabs>
          <w:tab w:val="left" w:pos="142"/>
          <w:tab w:val="left" w:pos="284"/>
        </w:tabs>
        <w:spacing w:after="0" w:line="276" w:lineRule="auto"/>
        <w:jc w:val="both"/>
        <w:rPr>
          <w:rFonts w:ascii="Verdana" w:eastAsia="Century Gothic" w:hAnsi="Verdana" w:cs="Century Gothic"/>
          <w:b/>
          <w:bCs/>
        </w:rPr>
      </w:pPr>
      <w:r w:rsidRPr="00C865D4">
        <w:rPr>
          <w:rFonts w:ascii="Verdana" w:eastAsia="Century Gothic" w:hAnsi="Verdana" w:cs="Century Gothic"/>
          <w:b/>
          <w:bCs/>
        </w:rPr>
        <w:t>Problema planteado:</w:t>
      </w:r>
    </w:p>
    <w:p w14:paraId="66B105EE" w14:textId="77777777" w:rsidR="00F821A0" w:rsidRPr="00C865D4" w:rsidRDefault="00F821A0" w:rsidP="00F821A0">
      <w:pPr>
        <w:tabs>
          <w:tab w:val="left" w:pos="426"/>
        </w:tabs>
        <w:spacing w:after="0" w:line="276" w:lineRule="auto"/>
        <w:jc w:val="both"/>
        <w:rPr>
          <w:rFonts w:ascii="Verdana" w:eastAsia="Century Gothic" w:hAnsi="Verdana" w:cs="Century Gothic"/>
          <w:lang w:val="es-ES"/>
        </w:rPr>
      </w:pPr>
    </w:p>
    <w:p w14:paraId="303D5C0B" w14:textId="77777777" w:rsidR="00F821A0" w:rsidRPr="00C865D4" w:rsidRDefault="00F821A0" w:rsidP="00F821A0">
      <w:pPr>
        <w:spacing w:after="0" w:line="276" w:lineRule="auto"/>
        <w:jc w:val="both"/>
        <w:rPr>
          <w:rFonts w:ascii="Verdana" w:eastAsia="Calibri" w:hAnsi="Verdana" w:cs="Arial"/>
          <w:bCs/>
          <w:lang w:val="es-ES_tradnl" w:eastAsia="es-ES_tradnl"/>
        </w:rPr>
      </w:pPr>
      <w:r w:rsidRPr="006C304A">
        <w:rPr>
          <w:rFonts w:ascii="Verdana" w:eastAsia="Century Gothic" w:hAnsi="Verdana" w:cs="Century Gothic"/>
        </w:rPr>
        <w:t>De acuerdo con el contenido de su solicitud, esta Agencia resolverá el siguiente problema jurídico:</w:t>
      </w:r>
      <w:r w:rsidRPr="006C304A">
        <w:rPr>
          <w:rFonts w:ascii="Verdana" w:eastAsia="Calibri" w:hAnsi="Verdana" w:cs="Arial"/>
          <w:bCs/>
          <w:lang w:val="es-ES_tradnl" w:eastAsia="es-ES_tradnl"/>
        </w:rPr>
        <w:t xml:space="preserve"> ¿Cuál es el alcance de la actividad “</w:t>
      </w:r>
      <w:r w:rsidRPr="006C304A">
        <w:rPr>
          <w:rFonts w:ascii="Verdana" w:eastAsia="Times New Roman" w:hAnsi="Verdana" w:cs="Arial"/>
          <w:shd w:val="clear" w:color="auto" w:fill="FFFFFF"/>
          <w:lang w:eastAsia="es-ES"/>
        </w:rPr>
        <w:t>8.5 PROYECTOS DE CONSTRUCCIÓN O CONFORMACIÓN O ADECUACIÓN O NIVELACIÓN O CONSERVACION O MANTENIMIENTO DE FRANJAS DE SEGURIDAD O CANALES O DRENAJES” contenida en la Matriz 1</w:t>
      </w:r>
      <w:r>
        <w:rPr>
          <w:rFonts w:ascii="Verdana" w:eastAsia="Times New Roman" w:hAnsi="Verdana" w:cs="Arial"/>
          <w:shd w:val="clear" w:color="auto" w:fill="FFFFFF"/>
          <w:lang w:eastAsia="es-ES"/>
        </w:rPr>
        <w:t xml:space="preserve">, </w:t>
      </w:r>
      <w:r w:rsidRPr="006C304A">
        <w:rPr>
          <w:rFonts w:ascii="Verdana" w:eastAsia="Times New Roman" w:hAnsi="Verdana" w:cs="Arial"/>
          <w:shd w:val="clear" w:color="auto" w:fill="FFFFFF"/>
          <w:lang w:eastAsia="es-ES"/>
        </w:rPr>
        <w:t>de los documentos tipo de licitación de obra pública de infraestructura de transporte – versión 4</w:t>
      </w:r>
      <w:r w:rsidRPr="006C304A">
        <w:rPr>
          <w:rFonts w:ascii="Verdana" w:eastAsia="Calibri" w:hAnsi="Verdana" w:cs="Arial"/>
          <w:bCs/>
          <w:lang w:val="es-ES_tradnl" w:eastAsia="es-ES_tradnl"/>
        </w:rPr>
        <w:t>?</w:t>
      </w:r>
      <w:r w:rsidRPr="00C865D4">
        <w:rPr>
          <w:rFonts w:ascii="Verdana" w:eastAsia="Calibri" w:hAnsi="Verdana" w:cs="Arial"/>
          <w:bCs/>
          <w:lang w:val="es-ES_tradnl" w:eastAsia="es-ES_tradnl"/>
        </w:rPr>
        <w:t xml:space="preserve"> </w:t>
      </w:r>
    </w:p>
    <w:p w14:paraId="3D00F101" w14:textId="77777777" w:rsidR="00F821A0" w:rsidRPr="00C865D4" w:rsidRDefault="00F821A0" w:rsidP="00F821A0">
      <w:pPr>
        <w:spacing w:after="0" w:line="276" w:lineRule="auto"/>
        <w:jc w:val="both"/>
        <w:rPr>
          <w:rFonts w:ascii="Verdana" w:eastAsia="Century Gothic" w:hAnsi="Verdana" w:cs="Century Gothic"/>
        </w:rPr>
      </w:pPr>
    </w:p>
    <w:p w14:paraId="682A997D" w14:textId="77777777" w:rsidR="00F821A0" w:rsidRPr="00C865D4" w:rsidRDefault="00F821A0" w:rsidP="00F821A0">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C865D4">
        <w:rPr>
          <w:rFonts w:ascii="Verdana" w:eastAsia="Century Gothic" w:hAnsi="Verdana" w:cs="Century Gothic"/>
          <w:b/>
          <w:bCs/>
          <w:lang w:val="es-ES"/>
        </w:rPr>
        <w:t>Respuestas:</w:t>
      </w:r>
    </w:p>
    <w:p w14:paraId="454F405A" w14:textId="77777777" w:rsidR="00F821A0" w:rsidRPr="00C865D4" w:rsidRDefault="00F821A0" w:rsidP="00F821A0">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821A0" w:rsidRPr="00C865D4" w14:paraId="62E22F1C" w14:textId="77777777" w:rsidTr="006E475D">
        <w:trPr>
          <w:trHeight w:val="40"/>
        </w:trPr>
        <w:tc>
          <w:tcPr>
            <w:tcW w:w="8828" w:type="dxa"/>
            <w:tcBorders>
              <w:top w:val="dotted" w:sz="4" w:space="0" w:color="auto"/>
              <w:left w:val="dotted" w:sz="4" w:space="0" w:color="auto"/>
              <w:bottom w:val="dotted" w:sz="4" w:space="0" w:color="auto"/>
              <w:right w:val="dotted" w:sz="4" w:space="0" w:color="auto"/>
            </w:tcBorders>
          </w:tcPr>
          <w:p w14:paraId="0C64A4C6" w14:textId="77777777" w:rsidR="00F821A0" w:rsidRDefault="00F821A0" w:rsidP="006E475D">
            <w:pPr>
              <w:snapToGrid w:val="0"/>
              <w:spacing w:line="276" w:lineRule="auto"/>
              <w:jc w:val="both"/>
              <w:rPr>
                <w:rFonts w:ascii="Verdana" w:eastAsia="Times New Roman" w:hAnsi="Verdana" w:cs="Arial"/>
                <w:shd w:val="clear" w:color="auto" w:fill="FFFFFF"/>
                <w:lang w:val="es-ES" w:eastAsia="es-ES"/>
              </w:rPr>
            </w:pPr>
            <w:r>
              <w:rPr>
                <w:rFonts w:ascii="Verdana" w:eastAsia="Times New Roman" w:hAnsi="Verdana" w:cs="Arial"/>
                <w:shd w:val="clear" w:color="auto" w:fill="FFFFFF"/>
                <w:lang w:val="es-ES" w:eastAsia="es-ES"/>
              </w:rPr>
              <w:t xml:space="preserve">Debe indicarse que, </w:t>
            </w:r>
            <w:r w:rsidRPr="00E5674F">
              <w:rPr>
                <w:rFonts w:ascii="Verdana" w:eastAsia="Times New Roman" w:hAnsi="Verdana" w:cs="Arial"/>
                <w:shd w:val="clear" w:color="auto" w:fill="FFFFFF"/>
                <w:lang w:val="es-ES" w:eastAsia="es-ES"/>
              </w:rPr>
              <w:t xml:space="preserve">las entidades estructuran los procesos de selección a partir de los Estudios previos, en donde dependiendo del alcance del proyecto y la complejidad técnica del mismo, determinan que tipo de experiencia le aplican </w:t>
            </w:r>
            <w:r w:rsidRPr="00E5674F">
              <w:rPr>
                <w:rFonts w:ascii="Verdana" w:eastAsia="Times New Roman" w:hAnsi="Verdana" w:cs="Arial"/>
                <w:shd w:val="clear" w:color="auto" w:fill="FFFFFF"/>
                <w:lang w:val="es-ES" w:eastAsia="es-ES"/>
              </w:rPr>
              <w:lastRenderedPageBreak/>
              <w:t>de acuerdo con lo establecido en la Matriz 1</w:t>
            </w:r>
            <w:r>
              <w:rPr>
                <w:rFonts w:ascii="Verdana" w:eastAsia="Times New Roman" w:hAnsi="Verdana" w:cs="Arial"/>
                <w:shd w:val="clear" w:color="auto" w:fill="FFFFFF"/>
                <w:lang w:val="es-ES" w:eastAsia="es-ES"/>
              </w:rPr>
              <w:t xml:space="preserve"> </w:t>
            </w:r>
            <w:r w:rsidRPr="00E5674F">
              <w:rPr>
                <w:rFonts w:ascii="Verdana" w:eastAsia="Times New Roman" w:hAnsi="Verdana" w:cs="Arial"/>
                <w:shd w:val="clear" w:color="auto" w:fill="FFFFFF"/>
                <w:lang w:val="es-ES" w:eastAsia="es-ES"/>
              </w:rPr>
              <w:t>y con base en ello, determinar si les corresponde aplicar los Documentos Tipo.</w:t>
            </w:r>
          </w:p>
          <w:p w14:paraId="0C11FEDF" w14:textId="77777777" w:rsidR="00F821A0" w:rsidRDefault="00F821A0" w:rsidP="006E475D">
            <w:pPr>
              <w:pStyle w:val="Prrafodelista"/>
              <w:contextualSpacing w:val="0"/>
              <w:rPr>
                <w:rFonts w:ascii="Verdana" w:eastAsia="Times New Roman" w:hAnsi="Verdana" w:cs="Arial"/>
                <w:shd w:val="clear" w:color="auto" w:fill="FFFFFF"/>
                <w:lang w:eastAsia="es-ES"/>
              </w:rPr>
            </w:pPr>
          </w:p>
          <w:p w14:paraId="296B7AAB" w14:textId="77777777" w:rsidR="00F821A0" w:rsidRPr="00080921" w:rsidRDefault="00F821A0" w:rsidP="006E475D">
            <w:pPr>
              <w:jc w:val="both"/>
              <w:rPr>
                <w:rFonts w:ascii="Verdana" w:eastAsia="Times New Roman" w:hAnsi="Verdana" w:cs="Arial"/>
                <w:shd w:val="clear" w:color="auto" w:fill="FFFFFF"/>
                <w:lang w:eastAsia="es-ES"/>
              </w:rPr>
            </w:pPr>
            <w:r w:rsidRPr="00080921">
              <w:rPr>
                <w:rFonts w:ascii="Verdana" w:eastAsia="Times New Roman" w:hAnsi="Verdana" w:cs="Arial"/>
                <w:shd w:val="clear" w:color="auto" w:fill="FFFFFF"/>
                <w:lang w:eastAsia="es-ES"/>
              </w:rPr>
              <w:t>Así mismo, debe mencionarse que, la Matriz 1 de los documentos tipo de licitación pública de obra pública de infraestructura de transporte – versión 4, en el capítulo 8. Obras Aeroportuarias, contiene la actividad “8.5 PROYECTOS DE CONSTRUCCIÓN O CONFORMACIÓN O ADECUACIÓN O NIVELACIÓN O CONSERVACION O MANTENIMIENTO DE FRANJAS DE SEGURIDAD O CANALES O DRENAJES” y en la misma se solicitan las siguientes condiciones de experiencia general y específica:</w:t>
            </w:r>
          </w:p>
          <w:p w14:paraId="1B4DBACE" w14:textId="77777777" w:rsidR="00F821A0" w:rsidRPr="00E5674F" w:rsidRDefault="00F821A0" w:rsidP="006E475D">
            <w:pPr>
              <w:pStyle w:val="Prrafodelista"/>
              <w:tabs>
                <w:tab w:val="num" w:pos="720"/>
              </w:tabs>
              <w:ind w:left="644"/>
              <w:jc w:val="both"/>
              <w:rPr>
                <w:rFonts w:ascii="Verdana" w:eastAsia="Times New Roman" w:hAnsi="Verdana" w:cs="Arial"/>
                <w:shd w:val="clear" w:color="auto" w:fill="FFFFFF"/>
                <w:lang w:eastAsia="es-ES"/>
              </w:rPr>
            </w:pPr>
          </w:p>
          <w:p w14:paraId="10042BA8" w14:textId="77777777" w:rsidR="00F821A0" w:rsidRPr="00856377" w:rsidRDefault="00F821A0" w:rsidP="006E475D">
            <w:pPr>
              <w:pStyle w:val="Prrafodelista"/>
              <w:tabs>
                <w:tab w:val="num" w:pos="1068"/>
              </w:tabs>
              <w:spacing w:after="120"/>
              <w:ind w:left="644"/>
              <w:contextualSpacing w:val="0"/>
              <w:jc w:val="both"/>
              <w:rPr>
                <w:rFonts w:ascii="Verdana" w:hAnsi="Verdana"/>
                <w:sz w:val="21"/>
                <w:szCs w:val="21"/>
                <w:u w:val="single"/>
              </w:rPr>
            </w:pPr>
            <w:r w:rsidRPr="00856377">
              <w:rPr>
                <w:rFonts w:ascii="Verdana" w:hAnsi="Verdana"/>
                <w:sz w:val="21"/>
                <w:szCs w:val="21"/>
                <w:u w:val="single"/>
              </w:rPr>
              <w:t>“Experiencia General</w:t>
            </w:r>
          </w:p>
          <w:p w14:paraId="0B0B9610" w14:textId="77777777" w:rsidR="00F821A0" w:rsidRPr="00856377" w:rsidRDefault="00F821A0" w:rsidP="006E475D">
            <w:pPr>
              <w:tabs>
                <w:tab w:val="num" w:pos="720"/>
              </w:tabs>
              <w:spacing w:after="120"/>
              <w:ind w:left="644"/>
              <w:jc w:val="both"/>
              <w:rPr>
                <w:rFonts w:ascii="Verdana" w:hAnsi="Verdana"/>
                <w:i/>
                <w:iCs/>
                <w:sz w:val="21"/>
                <w:szCs w:val="21"/>
              </w:rPr>
            </w:pPr>
            <w:r w:rsidRPr="00856377">
              <w:rPr>
                <w:rFonts w:ascii="Verdana" w:hAnsi="Verdana"/>
                <w:i/>
                <w:iCs/>
                <w:sz w:val="21"/>
                <w:szCs w:val="21"/>
              </w:rPr>
              <w:tab/>
              <w:t>OBRAS DE CONSTRUCCIÓN O CONFORMACIÓN O ADECUACIÓN O NIVELACIÓN O CONSERVACION O MANTENIMIENTO  DE: FRANJAS DE SEGURIDAD O CANALES O DRENAJES.</w:t>
            </w:r>
          </w:p>
          <w:p w14:paraId="5688A8F8" w14:textId="77777777" w:rsidR="00F821A0" w:rsidRPr="00856377" w:rsidRDefault="00F821A0" w:rsidP="006E475D">
            <w:pPr>
              <w:pStyle w:val="Prrafodelista"/>
              <w:tabs>
                <w:tab w:val="num" w:pos="1068"/>
              </w:tabs>
              <w:spacing w:after="120"/>
              <w:ind w:left="644"/>
              <w:contextualSpacing w:val="0"/>
              <w:jc w:val="both"/>
              <w:rPr>
                <w:rFonts w:ascii="Verdana" w:hAnsi="Verdana"/>
                <w:sz w:val="21"/>
                <w:szCs w:val="21"/>
                <w:u w:val="single"/>
              </w:rPr>
            </w:pPr>
            <w:r w:rsidRPr="00856377">
              <w:rPr>
                <w:rFonts w:ascii="Verdana" w:hAnsi="Verdana"/>
                <w:sz w:val="21"/>
                <w:szCs w:val="21"/>
                <w:u w:val="single"/>
              </w:rPr>
              <w:t>Experiencia Específica</w:t>
            </w:r>
          </w:p>
          <w:p w14:paraId="53C72508" w14:textId="77777777" w:rsidR="00F821A0" w:rsidRPr="00856377" w:rsidRDefault="00F821A0" w:rsidP="006E475D">
            <w:pPr>
              <w:tabs>
                <w:tab w:val="num" w:pos="720"/>
              </w:tabs>
              <w:spacing w:after="120"/>
              <w:ind w:left="708"/>
              <w:jc w:val="both"/>
              <w:rPr>
                <w:rFonts w:ascii="Verdana" w:hAnsi="Verdana"/>
                <w:sz w:val="21"/>
                <w:szCs w:val="21"/>
              </w:rPr>
            </w:pPr>
            <w:r w:rsidRPr="00856377">
              <w:rPr>
                <w:rFonts w:ascii="Verdana" w:hAnsi="Verdana"/>
                <w:sz w:val="21"/>
                <w:szCs w:val="21"/>
              </w:rPr>
              <w:t>El valor del contrato en SMMLV de UNO (1) de los contratos válidos aportados para la acreditación de la experiencia general, deberá ser igual o mayor al 30% del valor del PRESUPUESTO OFICIAL (PO) del presente  Proceso de Contratación.</w:t>
            </w:r>
          </w:p>
          <w:p w14:paraId="19E4962D" w14:textId="77777777" w:rsidR="00F821A0" w:rsidRPr="00856377" w:rsidRDefault="00F821A0" w:rsidP="006E475D">
            <w:pPr>
              <w:tabs>
                <w:tab w:val="num" w:pos="720"/>
              </w:tabs>
              <w:spacing w:after="120"/>
              <w:ind w:left="708"/>
              <w:jc w:val="both"/>
              <w:rPr>
                <w:rFonts w:ascii="Verdana" w:hAnsi="Verdana"/>
                <w:sz w:val="21"/>
                <w:szCs w:val="21"/>
              </w:rPr>
            </w:pPr>
            <w:r w:rsidRPr="00856377">
              <w:rPr>
                <w:rFonts w:ascii="Verdana" w:hAnsi="Verdana"/>
                <w:sz w:val="21"/>
                <w:szCs w:val="21"/>
              </w:rPr>
              <w:t>[Para procesos de contratación que contemplen la construcción o conformación o adecuación o nivelación de franjas de seguridad se empleará la siguiente experiencia específica adicional:]</w:t>
            </w:r>
          </w:p>
          <w:p w14:paraId="7161EFE5" w14:textId="77777777" w:rsidR="00F821A0" w:rsidRPr="00856377" w:rsidRDefault="00F821A0" w:rsidP="006E475D">
            <w:pPr>
              <w:tabs>
                <w:tab w:val="num" w:pos="720"/>
              </w:tabs>
              <w:ind w:left="708"/>
              <w:jc w:val="both"/>
              <w:rPr>
                <w:rFonts w:ascii="Verdana" w:hAnsi="Verdana"/>
                <w:i/>
                <w:iCs/>
                <w:sz w:val="21"/>
                <w:szCs w:val="21"/>
              </w:rPr>
            </w:pPr>
            <w:r w:rsidRPr="00856377">
              <w:rPr>
                <w:rFonts w:ascii="Verdana" w:hAnsi="Verdana"/>
                <w:i/>
                <w:iCs/>
                <w:sz w:val="21"/>
                <w:szCs w:val="21"/>
              </w:rPr>
              <w:t>Por lo menos uno (1) de los contratos válidos aportados como experiencia general deberá acreditar la CONSTRUCCION O CONFORMACION O ADECUACION O NIVELACIÓN O MANTENIMEINTO DE: FRANJAS DE SEGURIDAD  O ROCERIAS DE FRANJAS DE SEGURIDAD.”</w:t>
            </w:r>
          </w:p>
          <w:p w14:paraId="553D2332" w14:textId="77777777" w:rsidR="00F821A0" w:rsidRDefault="00F821A0" w:rsidP="006E475D">
            <w:pPr>
              <w:pStyle w:val="Prrafodelista"/>
              <w:contextualSpacing w:val="0"/>
              <w:rPr>
                <w:rFonts w:ascii="Verdana" w:eastAsia="Times New Roman" w:hAnsi="Verdana" w:cs="Arial"/>
                <w:shd w:val="clear" w:color="auto" w:fill="FFFFFF"/>
                <w:lang w:eastAsia="es-ES"/>
              </w:rPr>
            </w:pPr>
          </w:p>
          <w:p w14:paraId="257C0A82" w14:textId="77777777" w:rsidR="00F821A0" w:rsidRDefault="00F821A0" w:rsidP="006E475D">
            <w:pPr>
              <w:snapToGrid w:val="0"/>
              <w:spacing w:line="276" w:lineRule="auto"/>
              <w:jc w:val="both"/>
              <w:rPr>
                <w:rFonts w:ascii="Verdana" w:eastAsia="Times New Roman" w:hAnsi="Verdana" w:cs="Arial"/>
                <w:shd w:val="clear" w:color="auto" w:fill="FFFFFF"/>
                <w:lang w:val="es-ES" w:eastAsia="es-ES"/>
              </w:rPr>
            </w:pPr>
            <w:r>
              <w:rPr>
                <w:rFonts w:ascii="Verdana" w:eastAsia="Times New Roman" w:hAnsi="Verdana" w:cs="Arial"/>
                <w:shd w:val="clear" w:color="auto" w:fill="FFFFFF"/>
                <w:lang w:val="es-ES" w:eastAsia="es-ES"/>
              </w:rPr>
              <w:t>En relación con la experiencia general dispuesta en la Matriz 1 para la actividad 8.5, en esta se solicita experiencia en actividades de “</w:t>
            </w:r>
            <w:r w:rsidRPr="002E62C8">
              <w:rPr>
                <w:rFonts w:ascii="Verdana" w:eastAsia="Times New Roman" w:hAnsi="Verdana" w:cs="Arial"/>
                <w:shd w:val="clear" w:color="auto" w:fill="FFFFFF"/>
                <w:lang w:val="es-ES" w:eastAsia="es-ES"/>
              </w:rPr>
              <w:t>OBRAS DE CONSTRUCCIÓN O CONFORMACIÓN O ADECUACIÓN O NIVELACIÓN O CONSERVACION O MANTENIMIENTO” y que estas recaigan sobre</w:t>
            </w:r>
            <w:r>
              <w:rPr>
                <w:rFonts w:ascii="Verdana" w:eastAsia="Times New Roman" w:hAnsi="Verdana" w:cs="Arial"/>
                <w:shd w:val="clear" w:color="auto" w:fill="FFFFFF"/>
                <w:lang w:val="es-ES" w:eastAsia="es-ES"/>
              </w:rPr>
              <w:t xml:space="preserve"> “FRANJAS DE SEGURIDAD O CANALES DE DRENAJES”. De esta forma, el requisito de experiencia general, no se limita a que no pueda darse su acreditación sobre zonas urbanas o rurales, por lo que, si los oferentes acreditan experiencia en estos aspectos, podrán hacerlo, no solamente en zonas indicadas, sino en cualquier otro tipo de áreas. Por lo tanto, la forma como está considerada la experiencia general para la actividad señalada, no restringe la participación de oferentes o limita la experiencia. </w:t>
            </w:r>
          </w:p>
          <w:p w14:paraId="22ABF2CC" w14:textId="77777777" w:rsidR="00F821A0" w:rsidRDefault="00F821A0" w:rsidP="006E475D">
            <w:pPr>
              <w:snapToGrid w:val="0"/>
              <w:spacing w:line="276" w:lineRule="auto"/>
              <w:ind w:left="720"/>
              <w:jc w:val="both"/>
              <w:rPr>
                <w:rFonts w:ascii="Verdana" w:eastAsia="Times New Roman" w:hAnsi="Verdana" w:cs="Arial"/>
                <w:shd w:val="clear" w:color="auto" w:fill="FFFFFF"/>
                <w:lang w:val="es-ES" w:eastAsia="es-ES"/>
              </w:rPr>
            </w:pPr>
          </w:p>
          <w:p w14:paraId="398E4038" w14:textId="77777777" w:rsidR="00F821A0" w:rsidRPr="001201BA" w:rsidRDefault="00F821A0" w:rsidP="006E475D">
            <w:pPr>
              <w:snapToGrid w:val="0"/>
              <w:spacing w:line="276" w:lineRule="auto"/>
              <w:jc w:val="both"/>
              <w:rPr>
                <w:rFonts w:ascii="Verdana" w:eastAsia="Times New Roman" w:hAnsi="Verdana" w:cs="Arial"/>
                <w:shd w:val="clear" w:color="auto" w:fill="FFFFFF"/>
                <w:lang w:val="es-ES" w:eastAsia="es-ES"/>
              </w:rPr>
            </w:pPr>
            <w:r>
              <w:rPr>
                <w:rFonts w:ascii="Verdana" w:eastAsia="Times New Roman" w:hAnsi="Verdana" w:cs="Arial"/>
                <w:shd w:val="clear" w:color="auto" w:fill="FFFFFF"/>
                <w:lang w:val="es-ES" w:eastAsia="es-ES"/>
              </w:rPr>
              <w:t xml:space="preserve">Ahora bien, para entender el alcance de la experiencia especifica contenida en la actividad 8.5, es pertinente indicar que en el Anexo 3 – Glosario de los documentos tipo de </w:t>
            </w:r>
            <w:r>
              <w:rPr>
                <w:rFonts w:ascii="Verdana" w:eastAsia="Times New Roman" w:hAnsi="Verdana" w:cs="Arial"/>
                <w:shd w:val="clear" w:color="auto" w:fill="FFFFFF"/>
                <w:lang w:eastAsia="es-ES"/>
              </w:rPr>
              <w:t>l</w:t>
            </w:r>
            <w:r w:rsidRPr="00E5674F">
              <w:rPr>
                <w:rFonts w:ascii="Verdana" w:eastAsia="Times New Roman" w:hAnsi="Verdana" w:cs="Arial"/>
                <w:shd w:val="clear" w:color="auto" w:fill="FFFFFF"/>
                <w:lang w:eastAsia="es-ES"/>
              </w:rPr>
              <w:t xml:space="preserve">icitación </w:t>
            </w:r>
            <w:r>
              <w:rPr>
                <w:rFonts w:ascii="Verdana" w:eastAsia="Times New Roman" w:hAnsi="Verdana" w:cs="Arial"/>
                <w:shd w:val="clear" w:color="auto" w:fill="FFFFFF"/>
                <w:lang w:eastAsia="es-ES"/>
              </w:rPr>
              <w:t>p</w:t>
            </w:r>
            <w:r w:rsidRPr="00E5674F">
              <w:rPr>
                <w:rFonts w:ascii="Verdana" w:eastAsia="Times New Roman" w:hAnsi="Verdana" w:cs="Arial"/>
                <w:shd w:val="clear" w:color="auto" w:fill="FFFFFF"/>
                <w:lang w:eastAsia="es-ES"/>
              </w:rPr>
              <w:t>ública</w:t>
            </w:r>
            <w:r>
              <w:rPr>
                <w:rFonts w:ascii="Verdana" w:eastAsia="Times New Roman" w:hAnsi="Verdana" w:cs="Arial"/>
                <w:shd w:val="clear" w:color="auto" w:fill="FFFFFF"/>
                <w:lang w:eastAsia="es-ES"/>
              </w:rPr>
              <w:t xml:space="preserve"> de obra pública de infraestructura de transporte – versión </w:t>
            </w:r>
            <w:r w:rsidRPr="00E5674F">
              <w:rPr>
                <w:rFonts w:ascii="Verdana" w:eastAsia="Times New Roman" w:hAnsi="Verdana" w:cs="Arial"/>
                <w:shd w:val="clear" w:color="auto" w:fill="FFFFFF"/>
                <w:lang w:eastAsia="es-ES"/>
              </w:rPr>
              <w:t>4</w:t>
            </w:r>
            <w:r>
              <w:rPr>
                <w:rFonts w:ascii="Verdana" w:eastAsia="Times New Roman" w:hAnsi="Verdana" w:cs="Arial"/>
                <w:shd w:val="clear" w:color="auto" w:fill="FFFFFF"/>
                <w:lang w:eastAsia="es-ES"/>
              </w:rPr>
              <w:t>, se define “franja de seguridad” en los siguientes términos:</w:t>
            </w:r>
          </w:p>
          <w:p w14:paraId="21428275" w14:textId="77777777" w:rsidR="00F821A0" w:rsidRDefault="00F821A0" w:rsidP="006E475D">
            <w:pPr>
              <w:snapToGrid w:val="0"/>
              <w:spacing w:line="276" w:lineRule="auto"/>
              <w:jc w:val="both"/>
              <w:rPr>
                <w:rFonts w:ascii="Verdana" w:eastAsia="Times New Roman" w:hAnsi="Verdana" w:cs="Arial"/>
                <w:shd w:val="clear" w:color="auto" w:fill="FFFFFF"/>
                <w:lang w:eastAsia="es-ES"/>
              </w:rPr>
            </w:pPr>
          </w:p>
          <w:p w14:paraId="0F937B61" w14:textId="77777777" w:rsidR="00F821A0" w:rsidRPr="001201BA" w:rsidRDefault="00F821A0" w:rsidP="006E475D">
            <w:pPr>
              <w:pStyle w:val="Invias-VietaNumerada"/>
              <w:autoSpaceDE w:val="0"/>
              <w:autoSpaceDN w:val="0"/>
              <w:adjustRightInd w:val="0"/>
              <w:spacing w:before="0" w:after="0"/>
              <w:ind w:left="709" w:right="709"/>
              <w:rPr>
                <w:rFonts w:ascii="Arial" w:hAnsi="Arial" w:cs="Arial"/>
                <w:i/>
                <w:iCs/>
                <w:sz w:val="20"/>
                <w:szCs w:val="20"/>
                <w:lang w:val="es-ES"/>
              </w:rPr>
            </w:pPr>
            <w:r w:rsidRPr="0034062C">
              <w:rPr>
                <w:rFonts w:ascii="Arial" w:hAnsi="Arial" w:cs="Arial"/>
                <w:i/>
                <w:iCs/>
                <w:sz w:val="20"/>
                <w:szCs w:val="20"/>
                <w:lang w:val="es-CO"/>
              </w:rPr>
              <w:t>“</w:t>
            </w:r>
            <w:r w:rsidRPr="0034062C">
              <w:rPr>
                <w:rFonts w:ascii="Arial" w:hAnsi="Arial" w:cs="Arial"/>
                <w:i/>
                <w:iCs/>
                <w:sz w:val="20"/>
                <w:szCs w:val="20"/>
                <w:lang w:val="es-ES"/>
              </w:rPr>
              <w:t>Franja de Seguridad (franja de pista): Superficie definida que comprende la pista y la zona de parada, si la hubiese, destinada a: a) reducir el riesgo de daños a las aeronaves que se salgan de la pista; y b) proteger a las aeronaves que la sobrevuelan durante las operaciones de despegue o aterrizaje</w:t>
            </w:r>
            <w:r w:rsidRPr="0034062C">
              <w:rPr>
                <w:rFonts w:ascii="Arial" w:hAnsi="Arial" w:cs="Arial"/>
                <w:i/>
                <w:iCs/>
                <w:sz w:val="20"/>
                <w:szCs w:val="20"/>
                <w:vertAlign w:val="superscript"/>
                <w:lang w:val="es-ES"/>
              </w:rPr>
              <w:footnoteReference w:id="1"/>
            </w:r>
            <w:r>
              <w:rPr>
                <w:rFonts w:ascii="Arial" w:hAnsi="Arial" w:cs="Arial"/>
                <w:i/>
                <w:iCs/>
                <w:sz w:val="20"/>
                <w:szCs w:val="20"/>
                <w:lang w:val="es-ES"/>
              </w:rPr>
              <w:t>”</w:t>
            </w:r>
            <w:r w:rsidRPr="0034062C">
              <w:rPr>
                <w:rFonts w:ascii="Arial" w:hAnsi="Arial" w:cs="Arial"/>
                <w:i/>
                <w:iCs/>
                <w:sz w:val="20"/>
                <w:szCs w:val="20"/>
                <w:lang w:val="es-ES"/>
              </w:rPr>
              <w:t>.</w:t>
            </w:r>
          </w:p>
          <w:p w14:paraId="27F0E68C" w14:textId="77777777" w:rsidR="00F821A0" w:rsidRDefault="00F821A0" w:rsidP="006E475D">
            <w:pPr>
              <w:snapToGrid w:val="0"/>
              <w:spacing w:line="276" w:lineRule="auto"/>
              <w:jc w:val="both"/>
              <w:rPr>
                <w:rFonts w:ascii="Verdana" w:eastAsia="Times New Roman" w:hAnsi="Verdana" w:cs="Arial"/>
                <w:shd w:val="clear" w:color="auto" w:fill="FFFFFF"/>
                <w:lang w:val="es-ES" w:eastAsia="es-ES"/>
              </w:rPr>
            </w:pPr>
          </w:p>
          <w:p w14:paraId="5FC94613" w14:textId="77777777" w:rsidR="00F821A0" w:rsidRPr="00080921" w:rsidRDefault="00F821A0" w:rsidP="006E475D">
            <w:pPr>
              <w:jc w:val="both"/>
              <w:rPr>
                <w:rFonts w:ascii="Verdana" w:eastAsia="Times New Roman" w:hAnsi="Verdana" w:cs="Arial"/>
                <w:shd w:val="clear" w:color="auto" w:fill="FFFFFF"/>
                <w:lang w:eastAsia="es-ES"/>
              </w:rPr>
            </w:pPr>
            <w:r w:rsidRPr="00080921">
              <w:rPr>
                <w:rFonts w:ascii="Verdana" w:eastAsia="Times New Roman" w:hAnsi="Verdana" w:cs="Arial"/>
                <w:shd w:val="clear" w:color="auto" w:fill="FFFFFF"/>
                <w:lang w:eastAsia="es-ES"/>
              </w:rPr>
              <w:t>Como se aprecia, la construcción o el mantenimiento o conformación o adecuación o nivelación de estas franjas, es muy importante para garantizar la seguridad de las aeronaves. En este sentido, la experiencia especifica busca que las entidades seleccionen proponentes con idoneidad técnica para ejecutar este tipo de trabajos y que garanticen la pluralidad de oferentes. Por esta razón, se solicita, que uno de los contratos que se presente dentro de la experiencia específica, cuente con un presupuesto  igual o mayor al 30% del valor del PRESUPUESTO OFICIAL (PO) del proceso de Contratación.</w:t>
            </w:r>
          </w:p>
          <w:p w14:paraId="4792301A" w14:textId="77777777" w:rsidR="00F821A0" w:rsidRPr="001201BA" w:rsidRDefault="00F821A0" w:rsidP="006E475D">
            <w:pPr>
              <w:tabs>
                <w:tab w:val="num" w:pos="720"/>
              </w:tabs>
              <w:jc w:val="both"/>
              <w:rPr>
                <w:rFonts w:ascii="Verdana" w:eastAsia="Times New Roman" w:hAnsi="Verdana" w:cs="Arial"/>
                <w:shd w:val="clear" w:color="auto" w:fill="FFFFFF"/>
                <w:lang w:eastAsia="es-ES"/>
              </w:rPr>
            </w:pPr>
          </w:p>
          <w:p w14:paraId="4E4C302F" w14:textId="77777777" w:rsidR="00F821A0" w:rsidRPr="00080921" w:rsidRDefault="00F821A0" w:rsidP="006E475D">
            <w:pPr>
              <w:jc w:val="both"/>
              <w:rPr>
                <w:rFonts w:ascii="Verdana" w:eastAsia="Times New Roman" w:hAnsi="Verdana" w:cs="Arial"/>
                <w:shd w:val="clear" w:color="auto" w:fill="FFFFFF"/>
                <w:lang w:eastAsia="es-ES"/>
              </w:rPr>
            </w:pPr>
            <w:r w:rsidRPr="00080921">
              <w:rPr>
                <w:rFonts w:ascii="Verdana" w:eastAsia="Times New Roman" w:hAnsi="Verdana" w:cs="Arial"/>
                <w:shd w:val="clear" w:color="auto" w:fill="FFFFFF"/>
                <w:lang w:eastAsia="es-ES"/>
              </w:rPr>
              <w:t>Así mismo, se indica resaltado entre corchetes, que: para procesos de construcción o conformación o adecuación o nivelación de franjas de seguridad, se solicite adicionalmente, que uno de los contratos presentados en la experiencia general cumpla con la “CONSTRUCCION O CONFORMACION O ADECUACION O NIVELACIÓN O MANTENIMEINTO DE: FRANJAS DE SEGURIDAD O ROCERIAS DE FRANJAS DE SEGURIDAD.” Conforme con lo señalado, en el requisito establecido, sí se solicita de manera particular que se tenga experiencia en “franjas de seguridad o rocería de franjas de seguridad”.</w:t>
            </w:r>
          </w:p>
          <w:p w14:paraId="5BE153A3" w14:textId="77777777" w:rsidR="00F821A0" w:rsidRDefault="00F821A0" w:rsidP="006E475D">
            <w:pPr>
              <w:tabs>
                <w:tab w:val="num" w:pos="720"/>
              </w:tabs>
              <w:jc w:val="both"/>
              <w:rPr>
                <w:rFonts w:ascii="Verdana" w:eastAsia="Times New Roman" w:hAnsi="Verdana" w:cs="Arial"/>
                <w:shd w:val="clear" w:color="auto" w:fill="FFFFFF"/>
                <w:lang w:eastAsia="es-ES"/>
              </w:rPr>
            </w:pPr>
          </w:p>
          <w:p w14:paraId="6E5288E0" w14:textId="77777777" w:rsidR="00F821A0" w:rsidRPr="00080921" w:rsidRDefault="00F821A0" w:rsidP="006E475D">
            <w:pPr>
              <w:jc w:val="both"/>
              <w:rPr>
                <w:rFonts w:ascii="Verdana" w:hAnsi="Verdana"/>
              </w:rPr>
            </w:pPr>
            <w:r w:rsidRPr="00080921">
              <w:rPr>
                <w:rFonts w:ascii="Verdana" w:hAnsi="Verdana"/>
              </w:rPr>
              <w:t>La “</w:t>
            </w:r>
            <w:r w:rsidRPr="00080921">
              <w:rPr>
                <w:rFonts w:ascii="Verdana" w:hAnsi="Verdana"/>
                <w:b/>
                <w:bCs/>
              </w:rPr>
              <w:t>experiencia específica”</w:t>
            </w:r>
            <w:r w:rsidRPr="00080921">
              <w:rPr>
                <w:rFonts w:ascii="Verdana" w:hAnsi="Verdana"/>
              </w:rPr>
              <w:t xml:space="preserve"> hace parte del conjunto de conocimientos, habilidades y competencias que son adquiridas previamente, a través de la práctica profesional en un campo o actividad particular y para el caso particular del contexto aeroportuario, en “franjas seguridad” es importante que los oferentes puedan evidenciar este conocimiento, de manera que se tenga idoneidad en aspectos como: i) Protección y seguridad, ii) Conocimiento de la normatividad y iii) Experiencia en manejo de riesgos en ese sector.</w:t>
            </w:r>
          </w:p>
          <w:p w14:paraId="6F59F275" w14:textId="77777777" w:rsidR="00F821A0" w:rsidRPr="005E3937" w:rsidRDefault="00F821A0" w:rsidP="006E475D">
            <w:pPr>
              <w:pStyle w:val="Prrafodelista"/>
              <w:tabs>
                <w:tab w:val="num" w:pos="720"/>
              </w:tabs>
              <w:ind w:left="714"/>
              <w:contextualSpacing w:val="0"/>
              <w:jc w:val="both"/>
              <w:rPr>
                <w:rFonts w:ascii="Verdana" w:hAnsi="Verdana"/>
              </w:rPr>
            </w:pPr>
          </w:p>
          <w:p w14:paraId="68B760B9" w14:textId="77777777" w:rsidR="00F821A0" w:rsidRPr="00080921" w:rsidRDefault="00F821A0" w:rsidP="006E475D">
            <w:pPr>
              <w:jc w:val="both"/>
              <w:rPr>
                <w:rFonts w:ascii="Verdana" w:hAnsi="Verdana"/>
              </w:rPr>
            </w:pPr>
            <w:r w:rsidRPr="00080921">
              <w:rPr>
                <w:rFonts w:ascii="Verdana" w:hAnsi="Verdana"/>
              </w:rPr>
              <w:lastRenderedPageBreak/>
              <w:t>Al solicitar experiencia específica en franjas de seguridad, se busca que los oferentes tengan las competencias necesarias para mantener la seguridad y cumplir con todas las normas y estándares en este tipo de proyectos.</w:t>
            </w:r>
          </w:p>
          <w:p w14:paraId="5E067A8A" w14:textId="77777777" w:rsidR="00F821A0" w:rsidRPr="001201BA" w:rsidRDefault="00F821A0" w:rsidP="006E475D">
            <w:pPr>
              <w:tabs>
                <w:tab w:val="num" w:pos="720"/>
              </w:tabs>
              <w:jc w:val="both"/>
              <w:rPr>
                <w:rFonts w:ascii="Verdana" w:hAnsi="Verdana"/>
              </w:rPr>
            </w:pPr>
          </w:p>
          <w:p w14:paraId="3997D819" w14:textId="77777777" w:rsidR="00F821A0" w:rsidRDefault="00F821A0" w:rsidP="006E475D">
            <w:pPr>
              <w:jc w:val="both"/>
              <w:rPr>
                <w:rFonts w:ascii="Verdana" w:hAnsi="Verdana"/>
              </w:rPr>
            </w:pPr>
            <w:r w:rsidRPr="00080921">
              <w:rPr>
                <w:rFonts w:ascii="Verdana" w:hAnsi="Verdana"/>
              </w:rPr>
              <w:t>Finalmente, si los oferentes no cuentan con todas las condiciones de Experiencia General o Especifica, la ley establece las condiciones para que dos o más personas aúnen esfuerzos técnicos, económico o financieros, para que de manera conjunta presenten propuesta, y para tal condición, el documento base de los documentos tipo de licitación de obra pública de infraestructura de transporte – versión 4, establece las particularidades sobre la presentación de ofertas por proponentes plurales.</w:t>
            </w:r>
          </w:p>
          <w:p w14:paraId="0DE83C84" w14:textId="77777777" w:rsidR="008609BE" w:rsidRDefault="008609BE" w:rsidP="006E475D">
            <w:pPr>
              <w:jc w:val="both"/>
              <w:rPr>
                <w:rFonts w:ascii="Verdana" w:hAnsi="Verdana"/>
              </w:rPr>
            </w:pPr>
          </w:p>
          <w:p w14:paraId="67385962" w14:textId="7BE98C30" w:rsidR="008609BE" w:rsidRPr="008609BE" w:rsidRDefault="008609BE" w:rsidP="008609BE">
            <w:pPr>
              <w:tabs>
                <w:tab w:val="num" w:pos="720"/>
              </w:tabs>
              <w:jc w:val="both"/>
              <w:rPr>
                <w:rFonts w:ascii="Verdana" w:hAnsi="Verdana"/>
              </w:rPr>
            </w:pPr>
            <w:r>
              <w:rPr>
                <w:rFonts w:ascii="Verdana" w:hAnsi="Verdana"/>
              </w:rPr>
              <w:t>L</w:t>
            </w:r>
            <w:r w:rsidRPr="008609BE">
              <w:rPr>
                <w:rFonts w:ascii="Verdana" w:hAnsi="Verdana"/>
              </w:rPr>
              <w:t>a Agencia Nacional de Contratación Pública – Colombia Compra Eficiente solicitó a la Superintendencia de Industria y Comercio, el 31 de julio de 2024, su pronunciamiento para agotar el trámite de abogacía de la competencia de que trata el artículo 7 de la Ley 1340 de 2007 y los artículos 2.2.2.30.1 y ss. del Decreto 1074 de 2015, en relación con la modificación a los documentos tipo de licitación de obra pública de infraestructura de transporte</w:t>
            </w:r>
            <w:r w:rsidR="00F861E4">
              <w:rPr>
                <w:rFonts w:ascii="Verdana" w:hAnsi="Verdana"/>
              </w:rPr>
              <w:t xml:space="preserve"> – Versión 4</w:t>
            </w:r>
            <w:r w:rsidRPr="008609BE">
              <w:rPr>
                <w:rFonts w:ascii="Verdana" w:hAnsi="Verdana"/>
              </w:rPr>
              <w:t xml:space="preserve">. </w:t>
            </w:r>
          </w:p>
          <w:p w14:paraId="77C9F152" w14:textId="77777777" w:rsidR="008609BE" w:rsidRPr="006F65CF" w:rsidRDefault="008609BE" w:rsidP="008609BE">
            <w:pPr>
              <w:pStyle w:val="Prrafodelista"/>
              <w:rPr>
                <w:rFonts w:ascii="Verdana" w:hAnsi="Verdana"/>
              </w:rPr>
            </w:pPr>
          </w:p>
          <w:p w14:paraId="193BC623" w14:textId="7EF8D46B" w:rsidR="008609BE" w:rsidRPr="00F861E4" w:rsidRDefault="008609BE" w:rsidP="00F861E4">
            <w:pPr>
              <w:tabs>
                <w:tab w:val="num" w:pos="720"/>
              </w:tabs>
              <w:jc w:val="both"/>
              <w:rPr>
                <w:rFonts w:ascii="Verdana" w:hAnsi="Verdana"/>
              </w:rPr>
            </w:pPr>
            <w:r w:rsidRPr="00F861E4">
              <w:rPr>
                <w:rFonts w:ascii="Verdana" w:hAnsi="Verdana"/>
              </w:rPr>
              <w:t xml:space="preserve">Al respecto, la Superintendencia de Industria y Comercio, a través del radicado No. 24-323922- -3-0 del 15 de agosto de 2024, consideró, sobre estos documentos tipo, que: “i) en aras de promover la libre competencia económica en el ámbito de las compras públicas, resulta de gran relevancia que se promueva la concurrencia y la pluralidad de agentes; ii) este tipo de medidas contribuye a simplificar los trámites contractuales y reduce la complejidad inherente a los procedimientos de contratación estatal, agilizando el desarrollo del proceso; iii) </w:t>
            </w:r>
            <w:r w:rsidRPr="00F5141A">
              <w:rPr>
                <w:rFonts w:ascii="Verdana" w:hAnsi="Verdana"/>
                <w:b/>
                <w:bCs/>
                <w:i/>
                <w:iCs/>
              </w:rPr>
              <w:t>la actualización de los documentos tipo ofrece varios beneficios a la libre competencia</w:t>
            </w:r>
            <w:r w:rsidRPr="00F861E4">
              <w:rPr>
                <w:rFonts w:ascii="Verdana" w:hAnsi="Verdana"/>
              </w:rPr>
              <w:t xml:space="preserve">; iv) </w:t>
            </w:r>
            <w:r w:rsidRPr="00F5141A">
              <w:rPr>
                <w:rFonts w:ascii="Verdana" w:hAnsi="Verdana"/>
                <w:b/>
                <w:bCs/>
                <w:i/>
                <w:iCs/>
              </w:rPr>
              <w:t>la revisión de los documentos tipo también ayuda a identificar las posibles barreras que estarían limitando la participación de algunos competidores en el mercado de la contratación pública;</w:t>
            </w:r>
            <w:r w:rsidRPr="00F861E4">
              <w:rPr>
                <w:rFonts w:ascii="Verdana" w:hAnsi="Verdana"/>
              </w:rPr>
              <w:t xml:space="preserve"> v) resalta la pertinencia de integrar los documentos tipo para la contratación de obras de infraestructura de transporte con el Plan Maestro Intermodal 2021-2051, y vi) [frente a la inclusión de criterios sociales y ambientales] estos criterios contribuyen a varios objetivos específicos”</w:t>
            </w:r>
            <w:r w:rsidR="00F5141A">
              <w:rPr>
                <w:rFonts w:ascii="Verdana" w:hAnsi="Verdana"/>
              </w:rPr>
              <w:t xml:space="preserve"> (énfasis fuera del texto original)</w:t>
            </w:r>
            <w:r w:rsidRPr="00F861E4">
              <w:rPr>
                <w:rFonts w:ascii="Verdana" w:hAnsi="Verdana"/>
              </w:rPr>
              <w:t>.</w:t>
            </w:r>
          </w:p>
          <w:p w14:paraId="252CDD32" w14:textId="77777777" w:rsidR="008609BE" w:rsidRPr="00810594" w:rsidRDefault="008609BE" w:rsidP="008609BE">
            <w:pPr>
              <w:tabs>
                <w:tab w:val="num" w:pos="720"/>
              </w:tabs>
              <w:jc w:val="both"/>
              <w:rPr>
                <w:rFonts w:ascii="Verdana" w:hAnsi="Verdana"/>
              </w:rPr>
            </w:pPr>
          </w:p>
          <w:p w14:paraId="114A1A5D" w14:textId="462648E4" w:rsidR="00F821A0" w:rsidRPr="00F861E4" w:rsidRDefault="008609BE" w:rsidP="00F861E4">
            <w:pPr>
              <w:jc w:val="both"/>
              <w:rPr>
                <w:rFonts w:ascii="Verdana" w:hAnsi="Verdana"/>
                <w:i/>
                <w:iCs/>
                <w:lang w:val="es-ES"/>
              </w:rPr>
            </w:pPr>
            <w:r w:rsidRPr="00F861E4">
              <w:rPr>
                <w:rFonts w:ascii="Verdana" w:hAnsi="Verdana"/>
              </w:rPr>
              <w:t xml:space="preserve">A su vez, es importante señalar que la Superintendencia de Industria y Comercio realiza diversas recomendaciones al proyecto de resolución que adopta estos documentos, particularmente, sobre: i) la experiencia adicional y los porcentajes para determinar la experiencia en la “Matriz 1 – Experiencia”; ii) el contenido del “Anexo 3 – Glosario”, y iii) el contenido del “Anexo 4 – Pacto de transparencia”. </w:t>
            </w:r>
            <w:r w:rsidRPr="00F861E4">
              <w:rPr>
                <w:rFonts w:ascii="Verdana" w:hAnsi="Verdana"/>
                <w:i/>
                <w:iCs/>
              </w:rPr>
              <w:t xml:space="preserve">Estas recomendaciones fueron atendidas e </w:t>
            </w:r>
            <w:r w:rsidRPr="00F861E4">
              <w:rPr>
                <w:rFonts w:ascii="Verdana" w:hAnsi="Verdana"/>
                <w:i/>
                <w:iCs/>
              </w:rPr>
              <w:lastRenderedPageBreak/>
              <w:t xml:space="preserve">incorporadas en la presente modificación de los documentos tipo de infraestructura de transporte.  </w:t>
            </w:r>
          </w:p>
        </w:tc>
      </w:tr>
    </w:tbl>
    <w:p w14:paraId="1A363066" w14:textId="77777777" w:rsidR="00F821A0" w:rsidRPr="00C865D4" w:rsidRDefault="00F821A0" w:rsidP="00F821A0">
      <w:pPr>
        <w:tabs>
          <w:tab w:val="left" w:pos="142"/>
          <w:tab w:val="left" w:pos="284"/>
        </w:tabs>
        <w:spacing w:after="0" w:line="276" w:lineRule="auto"/>
        <w:jc w:val="both"/>
        <w:rPr>
          <w:rFonts w:ascii="Verdana" w:eastAsia="Century Gothic" w:hAnsi="Verdana" w:cs="Century Gothic"/>
          <w:b/>
          <w:bCs/>
          <w:lang w:val="es-ES"/>
        </w:rPr>
      </w:pPr>
    </w:p>
    <w:p w14:paraId="2BEB69C2" w14:textId="77777777" w:rsidR="00F821A0" w:rsidRPr="00C865D4" w:rsidRDefault="00F821A0" w:rsidP="00F821A0">
      <w:pPr>
        <w:numPr>
          <w:ilvl w:val="0"/>
          <w:numId w:val="16"/>
        </w:numPr>
        <w:tabs>
          <w:tab w:val="left" w:pos="142"/>
          <w:tab w:val="left" w:pos="284"/>
        </w:tabs>
        <w:spacing w:after="0" w:line="276" w:lineRule="auto"/>
        <w:jc w:val="both"/>
        <w:rPr>
          <w:rFonts w:ascii="Verdana" w:eastAsia="Century Gothic" w:hAnsi="Verdana" w:cs="Century Gothic"/>
          <w:b/>
          <w:bCs/>
          <w:lang w:val="es-ES"/>
        </w:rPr>
      </w:pPr>
      <w:r w:rsidRPr="00C865D4">
        <w:rPr>
          <w:rFonts w:ascii="Verdana" w:eastAsia="Century Gothic" w:hAnsi="Verdana" w:cs="Century Gothic"/>
          <w:b/>
          <w:bCs/>
          <w:lang w:val="es-ES"/>
        </w:rPr>
        <w:t>Razones de la respuesta:</w:t>
      </w:r>
    </w:p>
    <w:p w14:paraId="014513DE" w14:textId="77777777" w:rsidR="00F821A0" w:rsidRPr="00C865D4" w:rsidRDefault="00F821A0" w:rsidP="00F821A0">
      <w:pPr>
        <w:spacing w:after="0" w:line="276" w:lineRule="auto"/>
        <w:jc w:val="both"/>
        <w:rPr>
          <w:rFonts w:ascii="Verdana" w:eastAsia="Calibri" w:hAnsi="Verdana" w:cs="Arial"/>
          <w:lang w:val="es-ES"/>
        </w:rPr>
      </w:pPr>
    </w:p>
    <w:p w14:paraId="5217DDB3" w14:textId="77777777" w:rsidR="00F821A0" w:rsidRPr="00C865D4" w:rsidRDefault="00F821A0" w:rsidP="00F821A0">
      <w:pPr>
        <w:spacing w:after="0" w:line="276" w:lineRule="auto"/>
        <w:jc w:val="both"/>
        <w:rPr>
          <w:rFonts w:ascii="Verdana" w:eastAsia="Calibri" w:hAnsi="Verdana" w:cs="Arial"/>
          <w:lang w:val="es-ES"/>
        </w:rPr>
      </w:pPr>
      <w:r w:rsidRPr="00C865D4">
        <w:rPr>
          <w:rFonts w:ascii="Verdana" w:eastAsia="Calibri" w:hAnsi="Verdana" w:cs="Arial"/>
          <w:lang w:val="es-ES"/>
        </w:rPr>
        <w:t xml:space="preserve">Lo anterior se sustenta en las siguientes consideraciones: </w:t>
      </w:r>
    </w:p>
    <w:p w14:paraId="78A102C1" w14:textId="77777777" w:rsidR="00F821A0" w:rsidRPr="00C865D4" w:rsidRDefault="00F821A0" w:rsidP="00F821A0">
      <w:pPr>
        <w:spacing w:after="0" w:line="276" w:lineRule="auto"/>
        <w:jc w:val="both"/>
        <w:rPr>
          <w:rFonts w:ascii="Verdana" w:eastAsia="Calibri" w:hAnsi="Verdana" w:cs="Arial"/>
          <w:lang w:val="es-ES"/>
        </w:rPr>
      </w:pPr>
    </w:p>
    <w:p w14:paraId="53F38C8A" w14:textId="77777777" w:rsidR="00F821A0" w:rsidRPr="00C865D4" w:rsidRDefault="00F821A0" w:rsidP="00F821A0">
      <w:pPr>
        <w:numPr>
          <w:ilvl w:val="0"/>
          <w:numId w:val="17"/>
        </w:numPr>
        <w:spacing w:after="0" w:line="276" w:lineRule="auto"/>
        <w:jc w:val="both"/>
        <w:rPr>
          <w:rFonts w:ascii="Verdana" w:eastAsia="Calibri" w:hAnsi="Verdana" w:cs="Arial"/>
          <w:lang w:val="es-ES_tradnl" w:eastAsia="es-ES"/>
        </w:rPr>
      </w:pPr>
      <w:bookmarkStart w:id="1" w:name="_Hlk113022941"/>
      <w:r w:rsidRPr="00C865D4">
        <w:rPr>
          <w:rFonts w:ascii="Verdana" w:eastAsia="Calibri" w:hAnsi="Verdana" w:cs="Arial"/>
          <w:lang w:val="es-ES_tradnl" w:eastAsia="es-ES"/>
        </w:rPr>
        <w:t xml:space="preserve">La </w:t>
      </w:r>
      <w:bookmarkStart w:id="2" w:name="_Hlk176876754"/>
      <w:r w:rsidRPr="00C865D4">
        <w:rPr>
          <w:rFonts w:ascii="Verdana" w:eastAsia="Calibri" w:hAnsi="Verdana" w:cs="Arial"/>
          <w:lang w:val="es-ES_tradnl" w:eastAsia="es-ES"/>
        </w:rPr>
        <w:t>Ley 2022 de 2020, modificó el contenido del parágrafo 7 del artículo 2 de la Ley 1150 de 2007, que había sido adicionado por la Ley 1882 de 2018</w:t>
      </w:r>
      <w:bookmarkEnd w:id="2"/>
      <w:r w:rsidRPr="00C865D4">
        <w:rPr>
          <w:vertAlign w:val="superscript"/>
          <w:lang w:val="es-ES_tradnl" w:eastAsia="es-ES"/>
        </w:rPr>
        <w:footnoteReference w:id="2"/>
      </w:r>
      <w:r w:rsidRPr="00C865D4">
        <w:rPr>
          <w:rFonts w:ascii="Verdana" w:eastAsia="Calibri" w:hAnsi="Verdana" w:cs="Arial"/>
          <w:lang w:val="es-ES_tradnl" w:eastAsia="es-ES"/>
        </w:rPr>
        <w:t xml:space="preserve">. Con esta modificación, si bien se mantuvo el mandato de aplicación obligatoria de los Documentos Tipo por parte de las entidades sometidas al </w:t>
      </w:r>
      <w:r w:rsidRPr="00C865D4">
        <w:rPr>
          <w:rFonts w:ascii="Verdana" w:eastAsia="Calibri" w:hAnsi="Verdana" w:cs="Arial"/>
          <w:bCs/>
          <w:lang w:val="es-ES_tradnl" w:eastAsia="es-ES_tradnl"/>
        </w:rPr>
        <w:t>EGCAP</w:t>
      </w:r>
      <w:r w:rsidRPr="00C865D4">
        <w:rPr>
          <w:rFonts w:ascii="Verdana" w:eastAsia="Calibri" w:hAnsi="Verdana" w:cs="Arial"/>
          <w:lang w:val="es-ES_tradnl" w:eastAsia="es-ES"/>
        </w:rPr>
        <w:t xml:space="preserve">, se atribuyó a la </w:t>
      </w:r>
      <w:r w:rsidRPr="00C865D4">
        <w:rPr>
          <w:rFonts w:ascii="Verdana" w:eastAsia="Calibri" w:hAnsi="Verdana" w:cs="Arial"/>
          <w:lang w:val="es-ES_tradnl" w:eastAsia="es-ES_tradnl"/>
        </w:rPr>
        <w:t xml:space="preserve">Agencia Nacional de Contratación Pública – Colombia Compra Eficiente la competencia para su expedición. </w:t>
      </w:r>
    </w:p>
    <w:p w14:paraId="41636FA9" w14:textId="77777777" w:rsidR="00F821A0" w:rsidRPr="00C865D4" w:rsidRDefault="00F821A0" w:rsidP="00F821A0">
      <w:pPr>
        <w:spacing w:before="120" w:after="120" w:line="276" w:lineRule="auto"/>
        <w:ind w:left="720"/>
        <w:contextualSpacing/>
        <w:jc w:val="both"/>
        <w:rPr>
          <w:rFonts w:ascii="Verdana" w:eastAsia="Calibri" w:hAnsi="Verdana" w:cs="Arial"/>
          <w:lang w:val="es-ES_tradnl" w:eastAsia="es-ES"/>
        </w:rPr>
      </w:pPr>
    </w:p>
    <w:p w14:paraId="4DE210A5" w14:textId="2BB314F0" w:rsidR="008609BE" w:rsidRDefault="00F821A0" w:rsidP="008609BE">
      <w:pPr>
        <w:numPr>
          <w:ilvl w:val="0"/>
          <w:numId w:val="17"/>
        </w:numPr>
        <w:spacing w:after="0" w:line="240" w:lineRule="auto"/>
        <w:ind w:left="714" w:hanging="357"/>
        <w:jc w:val="both"/>
        <w:rPr>
          <w:rFonts w:ascii="Verdana" w:hAnsi="Verdana" w:cs="Arial"/>
          <w:lang w:val="es-ES"/>
        </w:rPr>
      </w:pPr>
      <w:r w:rsidRPr="00C865D4">
        <w:rPr>
          <w:rFonts w:ascii="Verdana" w:hAnsi="Verdana" w:cs="Arial"/>
          <w:lang w:val="es-ES"/>
        </w:rPr>
        <w:t xml:space="preserve">Con sustento en esta competencia, esta Agencia ha expedido diversos grupos de Documentos Tipo aplicables principalmente a la contratación de obras públicas de infraestructura de transporte, agua potable, saneamiento básico y social, para interventoría y consultoría de estudios </w:t>
      </w:r>
      <w:r w:rsidRPr="00C865D4">
        <w:rPr>
          <w:rFonts w:ascii="Verdana" w:hAnsi="Verdana" w:cs="Arial"/>
          <w:lang w:val="es-ES"/>
        </w:rPr>
        <w:lastRenderedPageBreak/>
        <w:t>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0547A025" w14:textId="77777777" w:rsidR="008609BE" w:rsidRPr="008609BE" w:rsidRDefault="008609BE" w:rsidP="008609BE">
      <w:pPr>
        <w:spacing w:after="0" w:line="240" w:lineRule="auto"/>
        <w:jc w:val="both"/>
        <w:rPr>
          <w:rFonts w:ascii="Verdana" w:hAnsi="Verdana" w:cs="Arial"/>
          <w:lang w:val="es-ES"/>
        </w:rPr>
      </w:pPr>
    </w:p>
    <w:p w14:paraId="78CC3A36" w14:textId="095733FC" w:rsidR="008609BE" w:rsidRPr="008609BE" w:rsidRDefault="008609BE" w:rsidP="008609BE">
      <w:pPr>
        <w:numPr>
          <w:ilvl w:val="0"/>
          <w:numId w:val="17"/>
        </w:numPr>
        <w:spacing w:after="0" w:line="276" w:lineRule="auto"/>
        <w:ind w:left="714" w:hanging="357"/>
        <w:jc w:val="both"/>
        <w:rPr>
          <w:rFonts w:ascii="Verdana" w:hAnsi="Verdana" w:cs="Arial"/>
          <w:lang w:val="es-ES"/>
        </w:rPr>
      </w:pPr>
      <w:r w:rsidRPr="00A72D84">
        <w:rPr>
          <w:rFonts w:ascii="Verdana" w:hAnsi="Verdana" w:cs="Arial"/>
          <w:lang w:val="es-ES"/>
        </w:rPr>
        <w:t xml:space="preserve">Los Documentos tipo para la contratación de obra pública de infraestructura de transporte fueron modificados después de surtir el procedimiento interno establecido por esta agencia. En relación con los documentos tipo de licitación de obra pública de infraestructura de transporte, mediante la Resolución 465 del 10 de septiembre de 2024, se adoptó la versión 4 de estos documentos. </w:t>
      </w:r>
    </w:p>
    <w:p w14:paraId="345C6752" w14:textId="77777777" w:rsidR="00F821A0" w:rsidRPr="00C865D4" w:rsidRDefault="00F821A0" w:rsidP="00F821A0">
      <w:pPr>
        <w:spacing w:after="0" w:line="276" w:lineRule="auto"/>
        <w:jc w:val="both"/>
        <w:rPr>
          <w:rFonts w:ascii="Verdana" w:hAnsi="Verdana" w:cs="Arial"/>
          <w:lang w:val="es-ES"/>
        </w:rPr>
      </w:pPr>
    </w:p>
    <w:bookmarkEnd w:id="1"/>
    <w:p w14:paraId="57F49718" w14:textId="77777777" w:rsidR="00F821A0" w:rsidRPr="00C865D4" w:rsidRDefault="00F821A0" w:rsidP="00F821A0">
      <w:pPr>
        <w:numPr>
          <w:ilvl w:val="0"/>
          <w:numId w:val="17"/>
        </w:numPr>
        <w:spacing w:after="0" w:line="276" w:lineRule="auto"/>
        <w:jc w:val="both"/>
        <w:rPr>
          <w:rFonts w:ascii="Verdana" w:eastAsia="Calibri" w:hAnsi="Verdana" w:cs="Arial"/>
        </w:rPr>
      </w:pPr>
      <w:r w:rsidRPr="00C865D4">
        <w:rPr>
          <w:rFonts w:ascii="Verdana" w:eastAsia="Calibri" w:hAnsi="Verdana" w:cs="Arial"/>
          <w:lang w:eastAsia="es-ES_tradnl"/>
        </w:rPr>
        <w:t xml:space="preserve">De acuerdo con lo expuesto, </w:t>
      </w:r>
      <w:r w:rsidRPr="00C865D4">
        <w:rPr>
          <w:rFonts w:ascii="Verdana" w:eastAsia="Calibri" w:hAnsi="Verdana" w:cs="Arial"/>
          <w:bdr w:val="none" w:sz="0" w:space="0" w:color="auto" w:frame="1"/>
          <w:lang w:eastAsia="es-ES_tradnl"/>
        </w:rPr>
        <w:t xml:space="preserve">los Documentos Tipo adoptados son obligatorios para las Entidades Estatales regidas por el </w:t>
      </w:r>
      <w:r w:rsidRPr="00C865D4">
        <w:rPr>
          <w:rFonts w:ascii="Verdana" w:eastAsia="Calibri" w:hAnsi="Verdana" w:cs="Arial"/>
          <w:bCs/>
          <w:lang w:val="es-ES_tradnl" w:eastAsia="es-ES_tradnl"/>
        </w:rPr>
        <w:t>EGCAP</w:t>
      </w:r>
      <w:r w:rsidRPr="00C865D4">
        <w:rPr>
          <w:rFonts w:ascii="Verdana" w:eastAsia="Calibri" w:hAnsi="Verdana" w:cs="Arial"/>
          <w:bdr w:val="none" w:sz="0" w:space="0" w:color="auto" w:frame="1"/>
          <w:lang w:eastAsia="es-ES_tradnl"/>
        </w:rPr>
        <w:t xml:space="preserve"> que adelanten Procesos de Contratación mediante las modalidades de selección y objetos contractuales cobijados por alguno de los Documentos Tipo vigentes en los diferentes sectores</w:t>
      </w:r>
      <w:r w:rsidRPr="00C865D4">
        <w:rPr>
          <w:bdr w:val="none" w:sz="0" w:space="0" w:color="auto" w:frame="1"/>
          <w:vertAlign w:val="superscript"/>
          <w:lang w:eastAsia="es-ES_tradnl"/>
        </w:rPr>
        <w:footnoteReference w:id="3"/>
      </w:r>
      <w:r w:rsidRPr="00C865D4">
        <w:rPr>
          <w:rFonts w:ascii="Verdana" w:eastAsia="Calibri" w:hAnsi="Verdana" w:cs="Arial"/>
          <w:bdr w:val="none" w:sz="0" w:space="0" w:color="auto" w:frame="1"/>
          <w:lang w:eastAsia="es-ES_tradnl"/>
        </w:rPr>
        <w:t xml:space="preserve">. </w:t>
      </w:r>
      <w:r w:rsidRPr="00C865D4">
        <w:rPr>
          <w:rFonts w:ascii="Verdana" w:eastAsia="Calibri" w:hAnsi="Verdana" w:cs="Arial"/>
        </w:rPr>
        <w:t>Esta obligatoriedad implica, a su vez, que las Entidades Estatales tengan que adelantar los Procesos de Contratación bajo las condiciones establecidas en los Documentos Tipo que rijan para el objeto a contratar y el procedimiento de selección aplicables, sin que puedan variarse los requisitos fijados en ellos. Lo anterior, por cuanto los Documentos Tipo se caracterizan por ser inalterables, es decir, que las Entidades Públicas carecen de la facultad de modificarlos, con excepción de aquellos aspectos que pueden diligenciar, que son las descripciones que están incluidas entre corchetes y resaltadas en gris en cada uno de los Documentos Tipo</w:t>
      </w:r>
      <w:r w:rsidRPr="00C865D4">
        <w:rPr>
          <w:rFonts w:ascii="Verdana" w:hAnsi="Verdana" w:cs="Arial"/>
          <w:shd w:val="clear" w:color="auto" w:fill="FFFFFF"/>
        </w:rPr>
        <w:t>”</w:t>
      </w:r>
      <w:r w:rsidRPr="00C865D4">
        <w:rPr>
          <w:rFonts w:ascii="Verdana" w:hAnsi="Verdana" w:cs="Times New Roman"/>
          <w:vertAlign w:val="superscript"/>
          <w:lang w:val="es-ES_tradnl"/>
        </w:rPr>
        <w:footnoteReference w:id="4"/>
      </w:r>
      <w:r w:rsidRPr="00C865D4">
        <w:rPr>
          <w:rFonts w:ascii="Verdana" w:hAnsi="Verdana" w:cs="Arial"/>
          <w:shd w:val="clear" w:color="auto" w:fill="FFFFFF"/>
        </w:rPr>
        <w:t>.</w:t>
      </w:r>
    </w:p>
    <w:p w14:paraId="5D55598B" w14:textId="77777777" w:rsidR="00F821A0" w:rsidRPr="00C865D4" w:rsidRDefault="00F821A0" w:rsidP="00F821A0">
      <w:pPr>
        <w:snapToGrid w:val="0"/>
        <w:spacing w:after="0" w:line="276" w:lineRule="auto"/>
        <w:ind w:left="360"/>
        <w:contextualSpacing/>
        <w:jc w:val="both"/>
        <w:rPr>
          <w:rFonts w:ascii="Verdana" w:eastAsia="Times New Roman" w:hAnsi="Verdana" w:cs="Arial"/>
          <w:shd w:val="clear" w:color="auto" w:fill="FFFFFF"/>
          <w:lang w:val="es-ES_tradnl" w:eastAsia="es-ES"/>
        </w:rPr>
      </w:pPr>
    </w:p>
    <w:p w14:paraId="2E5923EE" w14:textId="77777777" w:rsidR="00F821A0" w:rsidRPr="00C865D4" w:rsidRDefault="00F821A0" w:rsidP="00F821A0">
      <w:pPr>
        <w:numPr>
          <w:ilvl w:val="0"/>
          <w:numId w:val="17"/>
        </w:numPr>
        <w:spacing w:after="0" w:line="276" w:lineRule="auto"/>
        <w:jc w:val="both"/>
        <w:rPr>
          <w:rFonts w:ascii="Verdana" w:eastAsia="Calibri" w:hAnsi="Verdana" w:cs="Arial"/>
          <w:bCs/>
        </w:rPr>
      </w:pPr>
      <w:r w:rsidRPr="00C865D4">
        <w:rPr>
          <w:rFonts w:ascii="Verdana" w:eastAsia="Calibri" w:hAnsi="Verdana" w:cs="Arial"/>
          <w:bCs/>
          <w:lang w:val="es-ES"/>
        </w:rPr>
        <w:t xml:space="preserve">Para establecer si determinado objeto contractual se encuentra cobijado o no por los documentos tipo, es necesario determinar si el mismo se </w:t>
      </w:r>
      <w:r w:rsidRPr="00C865D4">
        <w:rPr>
          <w:rFonts w:ascii="Verdana" w:eastAsia="Calibri" w:hAnsi="Verdana" w:cs="Arial"/>
          <w:bCs/>
          <w:lang w:val="es-ES"/>
        </w:rPr>
        <w:lastRenderedPageBreak/>
        <w:t>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2CC433A9" w14:textId="77777777" w:rsidR="00F821A0" w:rsidRPr="00C865D4" w:rsidRDefault="00F821A0" w:rsidP="00F821A0">
      <w:pPr>
        <w:snapToGrid w:val="0"/>
        <w:spacing w:after="0" w:line="276" w:lineRule="auto"/>
        <w:jc w:val="both"/>
        <w:rPr>
          <w:rFonts w:ascii="Verdana" w:eastAsia="Times New Roman" w:hAnsi="Verdana" w:cs="Arial"/>
          <w:shd w:val="clear" w:color="auto" w:fill="FFFFFF"/>
          <w:lang w:val="es-ES_tradnl" w:eastAsia="es-ES_tradnl"/>
        </w:rPr>
      </w:pPr>
    </w:p>
    <w:p w14:paraId="7DFE97D5" w14:textId="77777777" w:rsidR="00F821A0" w:rsidRPr="00C865D4" w:rsidRDefault="00F821A0" w:rsidP="00F821A0">
      <w:pPr>
        <w:numPr>
          <w:ilvl w:val="0"/>
          <w:numId w:val="18"/>
        </w:numPr>
        <w:snapToGrid w:val="0"/>
        <w:spacing w:after="0" w:line="276" w:lineRule="auto"/>
        <w:ind w:left="720"/>
        <w:jc w:val="both"/>
        <w:rPr>
          <w:rFonts w:ascii="Verdana" w:eastAsia="Times New Roman" w:hAnsi="Verdana" w:cs="Arial"/>
          <w:shd w:val="clear" w:color="auto" w:fill="FFFFFF"/>
          <w:lang w:val="es-ES_tradnl" w:eastAsia="es-ES_tradnl"/>
        </w:rPr>
      </w:pPr>
      <w:r w:rsidRPr="00C865D4">
        <w:rPr>
          <w:rFonts w:ascii="Verdana" w:eastAsia="Times New Roman" w:hAnsi="Verdana" w:cs="Arial"/>
          <w:shd w:val="clear" w:color="auto" w:fill="FFFFFF"/>
          <w:lang w:val="es-ES_tradnl" w:eastAsia="es-ES_tradnl"/>
        </w:rPr>
        <w:t>Uno de los elementos comunes a los diferentes documentos tipo es la “Matriz 1 – Experiencia” –en adelante Matriz 1–. Esta consta de unas celdas en las que se describe la experiencia requerida en relación con el objeto a contratar, definiendo además qué tipo de actividades relacionadas con cada sector deben acogerse a los pliegos tipo. Por otro lado, encontramos el “Anexo 3 – Glosario”, el cual contiene las definiciones de los términos usados en los documentos del proceso. Utilizando estos dos documentos, la entidad estatal puede definir si el objeto a contratarse debe emplear los documentos tipo adoptados por esta Agencia.</w:t>
      </w:r>
    </w:p>
    <w:p w14:paraId="2B13C47C" w14:textId="77777777" w:rsidR="00F821A0" w:rsidRPr="00C865D4" w:rsidRDefault="00F821A0" w:rsidP="00F821A0">
      <w:pPr>
        <w:snapToGrid w:val="0"/>
        <w:spacing w:after="0" w:line="276" w:lineRule="auto"/>
        <w:ind w:left="720"/>
        <w:jc w:val="both"/>
        <w:rPr>
          <w:rFonts w:ascii="Verdana" w:eastAsia="Times New Roman" w:hAnsi="Verdana" w:cs="Arial"/>
          <w:shd w:val="clear" w:color="auto" w:fill="FFFFFF"/>
          <w:lang w:val="es-ES_tradnl" w:eastAsia="es-ES_tradnl"/>
        </w:rPr>
      </w:pPr>
    </w:p>
    <w:p w14:paraId="30659780" w14:textId="77777777" w:rsidR="00F821A0" w:rsidRPr="007D457F" w:rsidRDefault="00F821A0" w:rsidP="00F821A0">
      <w:pPr>
        <w:numPr>
          <w:ilvl w:val="0"/>
          <w:numId w:val="18"/>
        </w:numPr>
        <w:snapToGrid w:val="0"/>
        <w:spacing w:after="0" w:line="276" w:lineRule="auto"/>
        <w:ind w:left="720"/>
        <w:jc w:val="both"/>
        <w:rPr>
          <w:rFonts w:ascii="Verdana" w:eastAsia="Times New Roman" w:hAnsi="Verdana" w:cs="Arial"/>
          <w:shd w:val="clear" w:color="auto" w:fill="FFFFFF"/>
          <w:lang w:val="es-ES_tradnl" w:eastAsia="es-ES_tradnl"/>
        </w:rPr>
      </w:pPr>
      <w:r w:rsidRPr="00C865D4">
        <w:rPr>
          <w:rFonts w:ascii="Verdana" w:eastAsia="Times New Roman" w:hAnsi="Verdana" w:cs="Arial"/>
          <w:shd w:val="clear" w:color="auto" w:fill="FFFFFF"/>
          <w:lang w:val="es-ES_tradnl" w:eastAsia="es-ES_tradnl"/>
        </w:rPr>
        <w:t>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4471C3CB" w14:textId="77777777" w:rsidR="00F821A0" w:rsidRPr="00C865D4" w:rsidRDefault="00F821A0" w:rsidP="00F821A0">
      <w:pPr>
        <w:spacing w:after="0"/>
        <w:ind w:left="720"/>
        <w:rPr>
          <w:rFonts w:ascii="Verdana" w:eastAsia="Times New Roman" w:hAnsi="Verdana" w:cs="Arial"/>
          <w:shd w:val="clear" w:color="auto" w:fill="FFFFFF"/>
          <w:lang w:val="es-ES_tradnl" w:eastAsia="es-ES_tradnl"/>
        </w:rPr>
      </w:pPr>
    </w:p>
    <w:p w14:paraId="5B7128B9" w14:textId="77777777" w:rsidR="00F821A0" w:rsidRDefault="00F821A0" w:rsidP="00F821A0">
      <w:pPr>
        <w:numPr>
          <w:ilvl w:val="0"/>
          <w:numId w:val="18"/>
        </w:numPr>
        <w:snapToGrid w:val="0"/>
        <w:spacing w:after="0" w:line="276" w:lineRule="auto"/>
        <w:ind w:left="720"/>
        <w:jc w:val="both"/>
        <w:rPr>
          <w:rFonts w:ascii="Verdana" w:eastAsia="Times New Roman" w:hAnsi="Verdana" w:cs="Arial"/>
          <w:shd w:val="clear" w:color="auto" w:fill="FFFFFF"/>
          <w:lang w:val="es-ES" w:eastAsia="es-ES"/>
        </w:rPr>
      </w:pPr>
      <w:r>
        <w:rPr>
          <w:rFonts w:ascii="Verdana" w:eastAsia="Times New Roman" w:hAnsi="Verdana" w:cs="Arial"/>
          <w:shd w:val="clear" w:color="auto" w:fill="FFFFFF"/>
          <w:lang w:val="es-ES" w:eastAsia="es-ES"/>
        </w:rPr>
        <w:t xml:space="preserve">Debe indicarse que, </w:t>
      </w:r>
      <w:r w:rsidRPr="00E5674F">
        <w:rPr>
          <w:rFonts w:ascii="Verdana" w:eastAsia="Times New Roman" w:hAnsi="Verdana" w:cs="Arial"/>
          <w:shd w:val="clear" w:color="auto" w:fill="FFFFFF"/>
          <w:lang w:val="es-ES" w:eastAsia="es-ES"/>
        </w:rPr>
        <w:t>las entidades estructuran los procesos de selección a partir de los Estudios previos, en donde dependiendo del alcance del proyecto y la complejidad técnica del mismo, determinan que tipo de experiencia le aplican de acuerdo con lo establecido en la Matriz 1</w:t>
      </w:r>
      <w:r>
        <w:rPr>
          <w:rFonts w:ascii="Verdana" w:eastAsia="Times New Roman" w:hAnsi="Verdana" w:cs="Arial"/>
          <w:shd w:val="clear" w:color="auto" w:fill="FFFFFF"/>
          <w:lang w:val="es-ES" w:eastAsia="es-ES"/>
        </w:rPr>
        <w:t xml:space="preserve"> </w:t>
      </w:r>
      <w:r w:rsidRPr="00E5674F">
        <w:rPr>
          <w:rFonts w:ascii="Verdana" w:eastAsia="Times New Roman" w:hAnsi="Verdana" w:cs="Arial"/>
          <w:shd w:val="clear" w:color="auto" w:fill="FFFFFF"/>
          <w:lang w:val="es-ES" w:eastAsia="es-ES"/>
        </w:rPr>
        <w:t>y con base en ello, determinar si les corresponde aplicar los Documentos Tipo.</w:t>
      </w:r>
    </w:p>
    <w:p w14:paraId="1F342337" w14:textId="77777777" w:rsidR="00F821A0" w:rsidRDefault="00F821A0" w:rsidP="00F821A0">
      <w:pPr>
        <w:pStyle w:val="Prrafodelista"/>
        <w:spacing w:after="0"/>
        <w:contextualSpacing w:val="0"/>
        <w:rPr>
          <w:rFonts w:ascii="Verdana" w:eastAsia="Times New Roman" w:hAnsi="Verdana" w:cs="Arial"/>
          <w:shd w:val="clear" w:color="auto" w:fill="FFFFFF"/>
          <w:lang w:eastAsia="es-ES"/>
        </w:rPr>
      </w:pPr>
    </w:p>
    <w:p w14:paraId="2E37BEF0" w14:textId="77777777" w:rsidR="00F821A0" w:rsidRPr="002E62C8" w:rsidRDefault="00F821A0" w:rsidP="00F821A0">
      <w:pPr>
        <w:pStyle w:val="Prrafodelista"/>
        <w:numPr>
          <w:ilvl w:val="0"/>
          <w:numId w:val="18"/>
        </w:numPr>
        <w:tabs>
          <w:tab w:val="num" w:pos="720"/>
        </w:tabs>
        <w:jc w:val="both"/>
        <w:rPr>
          <w:rFonts w:ascii="Verdana" w:eastAsia="Times New Roman" w:hAnsi="Verdana" w:cs="Arial"/>
          <w:shd w:val="clear" w:color="auto" w:fill="FFFFFF"/>
          <w:lang w:eastAsia="es-ES"/>
        </w:rPr>
      </w:pPr>
      <w:r>
        <w:rPr>
          <w:rFonts w:ascii="Verdana" w:eastAsia="Times New Roman" w:hAnsi="Verdana" w:cs="Arial"/>
          <w:shd w:val="clear" w:color="auto" w:fill="FFFFFF"/>
          <w:lang w:eastAsia="es-ES"/>
        </w:rPr>
        <w:t>Así mismo, debe mencionarse que, la</w:t>
      </w:r>
      <w:r w:rsidRPr="00E5674F">
        <w:rPr>
          <w:rFonts w:ascii="Verdana" w:eastAsia="Times New Roman" w:hAnsi="Verdana" w:cs="Arial"/>
          <w:shd w:val="clear" w:color="auto" w:fill="FFFFFF"/>
          <w:lang w:eastAsia="es-ES"/>
        </w:rPr>
        <w:t xml:space="preserve"> </w:t>
      </w:r>
      <w:r>
        <w:rPr>
          <w:rFonts w:ascii="Verdana" w:eastAsia="Times New Roman" w:hAnsi="Verdana" w:cs="Arial"/>
          <w:shd w:val="clear" w:color="auto" w:fill="FFFFFF"/>
          <w:lang w:eastAsia="es-ES"/>
        </w:rPr>
        <w:t>M</w:t>
      </w:r>
      <w:r w:rsidRPr="00E5674F">
        <w:rPr>
          <w:rFonts w:ascii="Verdana" w:eastAsia="Times New Roman" w:hAnsi="Verdana" w:cs="Arial"/>
          <w:shd w:val="clear" w:color="auto" w:fill="FFFFFF"/>
          <w:lang w:eastAsia="es-ES"/>
        </w:rPr>
        <w:t xml:space="preserve">atriz </w:t>
      </w:r>
      <w:r>
        <w:rPr>
          <w:rFonts w:ascii="Verdana" w:eastAsia="Times New Roman" w:hAnsi="Verdana" w:cs="Arial"/>
          <w:shd w:val="clear" w:color="auto" w:fill="FFFFFF"/>
          <w:lang w:eastAsia="es-ES"/>
        </w:rPr>
        <w:t xml:space="preserve">1 </w:t>
      </w:r>
      <w:r w:rsidRPr="00E5674F">
        <w:rPr>
          <w:rFonts w:ascii="Verdana" w:eastAsia="Times New Roman" w:hAnsi="Verdana" w:cs="Arial"/>
          <w:shd w:val="clear" w:color="auto" w:fill="FFFFFF"/>
          <w:lang w:eastAsia="es-ES"/>
        </w:rPr>
        <w:t xml:space="preserve">de </w:t>
      </w:r>
      <w:r>
        <w:rPr>
          <w:rFonts w:ascii="Verdana" w:eastAsia="Times New Roman" w:hAnsi="Verdana" w:cs="Arial"/>
          <w:shd w:val="clear" w:color="auto" w:fill="FFFFFF"/>
          <w:lang w:eastAsia="es-ES"/>
        </w:rPr>
        <w:t>los documentos tipo de l</w:t>
      </w:r>
      <w:r w:rsidRPr="00E5674F">
        <w:rPr>
          <w:rFonts w:ascii="Verdana" w:eastAsia="Times New Roman" w:hAnsi="Verdana" w:cs="Arial"/>
          <w:shd w:val="clear" w:color="auto" w:fill="FFFFFF"/>
          <w:lang w:eastAsia="es-ES"/>
        </w:rPr>
        <w:t xml:space="preserve">icitación </w:t>
      </w:r>
      <w:r>
        <w:rPr>
          <w:rFonts w:ascii="Verdana" w:eastAsia="Times New Roman" w:hAnsi="Verdana" w:cs="Arial"/>
          <w:shd w:val="clear" w:color="auto" w:fill="FFFFFF"/>
          <w:lang w:eastAsia="es-ES"/>
        </w:rPr>
        <w:t>p</w:t>
      </w:r>
      <w:r w:rsidRPr="00E5674F">
        <w:rPr>
          <w:rFonts w:ascii="Verdana" w:eastAsia="Times New Roman" w:hAnsi="Verdana" w:cs="Arial"/>
          <w:shd w:val="clear" w:color="auto" w:fill="FFFFFF"/>
          <w:lang w:eastAsia="es-ES"/>
        </w:rPr>
        <w:t>ública</w:t>
      </w:r>
      <w:r>
        <w:rPr>
          <w:rFonts w:ascii="Verdana" w:eastAsia="Times New Roman" w:hAnsi="Verdana" w:cs="Arial"/>
          <w:shd w:val="clear" w:color="auto" w:fill="FFFFFF"/>
          <w:lang w:eastAsia="es-ES"/>
        </w:rPr>
        <w:t xml:space="preserve"> de obra pública de infraestructura de transporte – versión </w:t>
      </w:r>
      <w:r w:rsidRPr="00E5674F">
        <w:rPr>
          <w:rFonts w:ascii="Verdana" w:eastAsia="Times New Roman" w:hAnsi="Verdana" w:cs="Arial"/>
          <w:shd w:val="clear" w:color="auto" w:fill="FFFFFF"/>
          <w:lang w:eastAsia="es-ES"/>
        </w:rPr>
        <w:t xml:space="preserve">4, en el capítulo 8. Obras Aeroportuarias, </w:t>
      </w:r>
      <w:r>
        <w:rPr>
          <w:rFonts w:ascii="Verdana" w:eastAsia="Times New Roman" w:hAnsi="Verdana" w:cs="Arial"/>
          <w:shd w:val="clear" w:color="auto" w:fill="FFFFFF"/>
          <w:lang w:eastAsia="es-ES"/>
        </w:rPr>
        <w:t>contiene</w:t>
      </w:r>
      <w:r w:rsidRPr="00E5674F">
        <w:rPr>
          <w:rFonts w:ascii="Verdana" w:eastAsia="Times New Roman" w:hAnsi="Verdana" w:cs="Arial"/>
          <w:shd w:val="clear" w:color="auto" w:fill="FFFFFF"/>
          <w:lang w:eastAsia="es-ES"/>
        </w:rPr>
        <w:t xml:space="preserve"> la actividad “8.5 PROYECTOS DE CONSTRUCCIÓN O CONFORMACIÓN O ADECUACIÓN O NIVELACIÓN O CONSERVACION O MANTENIMIENTO DE FRANJAS DE </w:t>
      </w:r>
      <w:r w:rsidRPr="00E5674F">
        <w:rPr>
          <w:rFonts w:ascii="Verdana" w:eastAsia="Times New Roman" w:hAnsi="Verdana" w:cs="Arial"/>
          <w:shd w:val="clear" w:color="auto" w:fill="FFFFFF"/>
          <w:lang w:eastAsia="es-ES"/>
        </w:rPr>
        <w:lastRenderedPageBreak/>
        <w:t>SEGURIDAD O CANALES O DRENAJES” y en la misma se solicita</w:t>
      </w:r>
      <w:r>
        <w:rPr>
          <w:rFonts w:ascii="Verdana" w:eastAsia="Times New Roman" w:hAnsi="Verdana" w:cs="Arial"/>
          <w:shd w:val="clear" w:color="auto" w:fill="FFFFFF"/>
          <w:lang w:eastAsia="es-ES"/>
        </w:rPr>
        <w:t>n</w:t>
      </w:r>
      <w:r w:rsidRPr="00E5674F">
        <w:rPr>
          <w:rFonts w:ascii="Verdana" w:eastAsia="Times New Roman" w:hAnsi="Verdana" w:cs="Arial"/>
          <w:shd w:val="clear" w:color="auto" w:fill="FFFFFF"/>
          <w:lang w:eastAsia="es-ES"/>
        </w:rPr>
        <w:t xml:space="preserve"> la</w:t>
      </w:r>
      <w:r>
        <w:rPr>
          <w:rFonts w:ascii="Verdana" w:eastAsia="Times New Roman" w:hAnsi="Verdana" w:cs="Arial"/>
          <w:shd w:val="clear" w:color="auto" w:fill="FFFFFF"/>
          <w:lang w:eastAsia="es-ES"/>
        </w:rPr>
        <w:t>s</w:t>
      </w:r>
      <w:r w:rsidRPr="00E5674F">
        <w:rPr>
          <w:rFonts w:ascii="Verdana" w:eastAsia="Times New Roman" w:hAnsi="Verdana" w:cs="Arial"/>
          <w:shd w:val="clear" w:color="auto" w:fill="FFFFFF"/>
          <w:lang w:eastAsia="es-ES"/>
        </w:rPr>
        <w:t xml:space="preserve"> siguiente</w:t>
      </w:r>
      <w:r>
        <w:rPr>
          <w:rFonts w:ascii="Verdana" w:eastAsia="Times New Roman" w:hAnsi="Verdana" w:cs="Arial"/>
          <w:shd w:val="clear" w:color="auto" w:fill="FFFFFF"/>
          <w:lang w:eastAsia="es-ES"/>
        </w:rPr>
        <w:t>s condiciones de</w:t>
      </w:r>
      <w:r w:rsidRPr="00E5674F">
        <w:rPr>
          <w:rFonts w:ascii="Verdana" w:eastAsia="Times New Roman" w:hAnsi="Verdana" w:cs="Arial"/>
          <w:shd w:val="clear" w:color="auto" w:fill="FFFFFF"/>
          <w:lang w:eastAsia="es-ES"/>
        </w:rPr>
        <w:t xml:space="preserve"> </w:t>
      </w:r>
      <w:r>
        <w:rPr>
          <w:rFonts w:ascii="Verdana" w:eastAsia="Times New Roman" w:hAnsi="Verdana" w:cs="Arial"/>
          <w:shd w:val="clear" w:color="auto" w:fill="FFFFFF"/>
          <w:lang w:eastAsia="es-ES"/>
        </w:rPr>
        <w:t>e</w:t>
      </w:r>
      <w:r w:rsidRPr="00E5674F">
        <w:rPr>
          <w:rFonts w:ascii="Verdana" w:eastAsia="Times New Roman" w:hAnsi="Verdana" w:cs="Arial"/>
          <w:shd w:val="clear" w:color="auto" w:fill="FFFFFF"/>
          <w:lang w:eastAsia="es-ES"/>
        </w:rPr>
        <w:t>xperiencia</w:t>
      </w:r>
      <w:r>
        <w:rPr>
          <w:rFonts w:ascii="Verdana" w:eastAsia="Times New Roman" w:hAnsi="Verdana" w:cs="Arial"/>
          <w:shd w:val="clear" w:color="auto" w:fill="FFFFFF"/>
          <w:lang w:eastAsia="es-ES"/>
        </w:rPr>
        <w:t xml:space="preserve"> general y específica</w:t>
      </w:r>
      <w:r w:rsidRPr="00E5674F">
        <w:rPr>
          <w:rFonts w:ascii="Verdana" w:eastAsia="Times New Roman" w:hAnsi="Verdana" w:cs="Arial"/>
          <w:shd w:val="clear" w:color="auto" w:fill="FFFFFF"/>
          <w:lang w:eastAsia="es-ES"/>
        </w:rPr>
        <w:t>:</w:t>
      </w:r>
    </w:p>
    <w:p w14:paraId="2BA4BB61" w14:textId="77777777" w:rsidR="00F821A0" w:rsidRPr="00E5674F" w:rsidRDefault="00F821A0" w:rsidP="00F821A0">
      <w:pPr>
        <w:pStyle w:val="Prrafodelista"/>
        <w:tabs>
          <w:tab w:val="num" w:pos="720"/>
        </w:tabs>
        <w:ind w:left="644"/>
        <w:jc w:val="both"/>
        <w:rPr>
          <w:rFonts w:ascii="Verdana" w:eastAsia="Times New Roman" w:hAnsi="Verdana" w:cs="Arial"/>
          <w:shd w:val="clear" w:color="auto" w:fill="FFFFFF"/>
          <w:lang w:eastAsia="es-ES"/>
        </w:rPr>
      </w:pPr>
    </w:p>
    <w:p w14:paraId="69B548EF" w14:textId="77777777" w:rsidR="00F821A0" w:rsidRPr="00856377" w:rsidRDefault="00F821A0" w:rsidP="00F821A0">
      <w:pPr>
        <w:pStyle w:val="Prrafodelista"/>
        <w:tabs>
          <w:tab w:val="num" w:pos="1068"/>
        </w:tabs>
        <w:spacing w:after="120" w:line="240" w:lineRule="auto"/>
        <w:ind w:left="644"/>
        <w:contextualSpacing w:val="0"/>
        <w:jc w:val="both"/>
        <w:rPr>
          <w:rFonts w:ascii="Verdana" w:hAnsi="Verdana"/>
          <w:sz w:val="21"/>
          <w:szCs w:val="21"/>
          <w:u w:val="single"/>
        </w:rPr>
      </w:pPr>
      <w:r w:rsidRPr="00856377">
        <w:rPr>
          <w:rFonts w:ascii="Verdana" w:hAnsi="Verdana"/>
          <w:sz w:val="21"/>
          <w:szCs w:val="21"/>
          <w:u w:val="single"/>
        </w:rPr>
        <w:t>“Experiencia General</w:t>
      </w:r>
    </w:p>
    <w:p w14:paraId="6ABBEAB7" w14:textId="77777777" w:rsidR="00F821A0" w:rsidRPr="00856377" w:rsidRDefault="00F821A0" w:rsidP="00F821A0">
      <w:pPr>
        <w:tabs>
          <w:tab w:val="num" w:pos="720"/>
        </w:tabs>
        <w:spacing w:after="120"/>
        <w:ind w:left="644"/>
        <w:jc w:val="both"/>
        <w:rPr>
          <w:rFonts w:ascii="Verdana" w:hAnsi="Verdana"/>
          <w:i/>
          <w:iCs/>
          <w:sz w:val="21"/>
          <w:szCs w:val="21"/>
        </w:rPr>
      </w:pPr>
      <w:r w:rsidRPr="00856377">
        <w:rPr>
          <w:rFonts w:ascii="Verdana" w:hAnsi="Verdana"/>
          <w:i/>
          <w:iCs/>
          <w:sz w:val="21"/>
          <w:szCs w:val="21"/>
        </w:rPr>
        <w:tab/>
        <w:t>OBRAS DE CONSTRUCCIÓN O CONFORMACIÓN O ADECUACIÓN O NIVELACIÓN O CONSERVACION O MANTENIMIENTO  DE: FRANJAS DE SEGURIDAD O CANALES O DRENAJES.</w:t>
      </w:r>
    </w:p>
    <w:p w14:paraId="46284BEA" w14:textId="77777777" w:rsidR="00F821A0" w:rsidRPr="00856377" w:rsidRDefault="00F821A0" w:rsidP="00F821A0">
      <w:pPr>
        <w:pStyle w:val="Prrafodelista"/>
        <w:tabs>
          <w:tab w:val="num" w:pos="1068"/>
        </w:tabs>
        <w:spacing w:after="120" w:line="240" w:lineRule="auto"/>
        <w:ind w:left="644"/>
        <w:contextualSpacing w:val="0"/>
        <w:jc w:val="both"/>
        <w:rPr>
          <w:rFonts w:ascii="Verdana" w:hAnsi="Verdana"/>
          <w:sz w:val="21"/>
          <w:szCs w:val="21"/>
          <w:u w:val="single"/>
        </w:rPr>
      </w:pPr>
      <w:r w:rsidRPr="00856377">
        <w:rPr>
          <w:rFonts w:ascii="Verdana" w:hAnsi="Verdana"/>
          <w:sz w:val="21"/>
          <w:szCs w:val="21"/>
          <w:u w:val="single"/>
        </w:rPr>
        <w:t>Experiencia Específica</w:t>
      </w:r>
    </w:p>
    <w:p w14:paraId="12F53D42" w14:textId="77777777" w:rsidR="00F821A0" w:rsidRPr="00856377" w:rsidRDefault="00F821A0" w:rsidP="00F821A0">
      <w:pPr>
        <w:tabs>
          <w:tab w:val="num" w:pos="720"/>
        </w:tabs>
        <w:spacing w:after="120"/>
        <w:ind w:left="708"/>
        <w:jc w:val="both"/>
        <w:rPr>
          <w:rFonts w:ascii="Verdana" w:hAnsi="Verdana"/>
          <w:sz w:val="21"/>
          <w:szCs w:val="21"/>
        </w:rPr>
      </w:pPr>
      <w:r w:rsidRPr="00856377">
        <w:rPr>
          <w:rFonts w:ascii="Verdana" w:hAnsi="Verdana"/>
          <w:sz w:val="21"/>
          <w:szCs w:val="21"/>
        </w:rPr>
        <w:t>El valor del contrato en SMMLV de UNO (1) de los contratos válidos aportados para la acreditación de la experiencia general, deberá ser igual o mayor al 30% del valor del PRESUPUESTO OFICIAL (PO) del presente  Proceso de Contratación.</w:t>
      </w:r>
    </w:p>
    <w:p w14:paraId="653BBA02" w14:textId="77777777" w:rsidR="00F821A0" w:rsidRPr="00856377" w:rsidRDefault="00F821A0" w:rsidP="00F821A0">
      <w:pPr>
        <w:tabs>
          <w:tab w:val="num" w:pos="720"/>
        </w:tabs>
        <w:spacing w:after="120"/>
        <w:ind w:left="708"/>
        <w:jc w:val="both"/>
        <w:rPr>
          <w:rFonts w:ascii="Verdana" w:hAnsi="Verdana"/>
          <w:sz w:val="21"/>
          <w:szCs w:val="21"/>
        </w:rPr>
      </w:pPr>
      <w:r w:rsidRPr="00856377">
        <w:rPr>
          <w:rFonts w:ascii="Verdana" w:hAnsi="Verdana"/>
          <w:sz w:val="21"/>
          <w:szCs w:val="21"/>
        </w:rPr>
        <w:t>[Para procesos de contratación que contemplen la construcción o conformación o adecuación o nivelación de franjas de seguridad se empleará la siguiente experiencia específica adicional:]</w:t>
      </w:r>
    </w:p>
    <w:p w14:paraId="3F5BBEEF" w14:textId="77777777" w:rsidR="00F821A0" w:rsidRPr="00856377" w:rsidRDefault="00F821A0" w:rsidP="00F821A0">
      <w:pPr>
        <w:tabs>
          <w:tab w:val="num" w:pos="720"/>
        </w:tabs>
        <w:spacing w:after="0"/>
        <w:ind w:left="708"/>
        <w:jc w:val="both"/>
        <w:rPr>
          <w:rFonts w:ascii="Verdana" w:hAnsi="Verdana"/>
          <w:i/>
          <w:iCs/>
          <w:sz w:val="21"/>
          <w:szCs w:val="21"/>
        </w:rPr>
      </w:pPr>
      <w:r w:rsidRPr="00856377">
        <w:rPr>
          <w:rFonts w:ascii="Verdana" w:hAnsi="Verdana"/>
          <w:i/>
          <w:iCs/>
          <w:sz w:val="21"/>
          <w:szCs w:val="21"/>
        </w:rPr>
        <w:t>Por lo menos uno (1) de los contratos válidos aportados como experiencia general deberá acreditar la CONSTRUCCION O CONFORMACION O ADECUACION O NIVELACIÓN O MANTENIMEINTO DE: FRANJAS DE SEGURIDAD  O ROCERIAS DE FRANJAS DE SEGURIDAD.”</w:t>
      </w:r>
    </w:p>
    <w:p w14:paraId="3DB8B95B" w14:textId="77777777" w:rsidR="00F821A0" w:rsidRDefault="00F821A0" w:rsidP="00F821A0">
      <w:pPr>
        <w:pStyle w:val="Prrafodelista"/>
        <w:spacing w:after="0"/>
        <w:contextualSpacing w:val="0"/>
        <w:rPr>
          <w:rFonts w:ascii="Verdana" w:eastAsia="Times New Roman" w:hAnsi="Verdana" w:cs="Arial"/>
          <w:shd w:val="clear" w:color="auto" w:fill="FFFFFF"/>
          <w:lang w:eastAsia="es-ES"/>
        </w:rPr>
      </w:pPr>
    </w:p>
    <w:p w14:paraId="72ABAC6D" w14:textId="77777777" w:rsidR="00F821A0" w:rsidRDefault="00F821A0" w:rsidP="00F821A0">
      <w:pPr>
        <w:numPr>
          <w:ilvl w:val="0"/>
          <w:numId w:val="18"/>
        </w:numPr>
        <w:snapToGrid w:val="0"/>
        <w:spacing w:after="0" w:line="276" w:lineRule="auto"/>
        <w:ind w:left="720"/>
        <w:jc w:val="both"/>
        <w:rPr>
          <w:rFonts w:ascii="Verdana" w:eastAsia="Times New Roman" w:hAnsi="Verdana" w:cs="Arial"/>
          <w:shd w:val="clear" w:color="auto" w:fill="FFFFFF"/>
          <w:lang w:val="es-ES" w:eastAsia="es-ES"/>
        </w:rPr>
      </w:pPr>
      <w:r>
        <w:rPr>
          <w:rFonts w:ascii="Verdana" w:eastAsia="Times New Roman" w:hAnsi="Verdana" w:cs="Arial"/>
          <w:shd w:val="clear" w:color="auto" w:fill="FFFFFF"/>
          <w:lang w:val="es-ES" w:eastAsia="es-ES"/>
        </w:rPr>
        <w:t>En relación con la experiencia general dispuesta en la Matriz 1 para la actividad 8.5, en esta se solicita experiencia en actividades de “</w:t>
      </w:r>
      <w:r w:rsidRPr="002E62C8">
        <w:rPr>
          <w:rFonts w:ascii="Verdana" w:eastAsia="Times New Roman" w:hAnsi="Verdana" w:cs="Arial"/>
          <w:shd w:val="clear" w:color="auto" w:fill="FFFFFF"/>
          <w:lang w:val="es-ES" w:eastAsia="es-ES"/>
        </w:rPr>
        <w:t>OBRAS DE CONSTRUCCIÓN O CONFORMACIÓN O ADECUACIÓN O NIVELACIÓN O CONSERVACION O MANTENIMIENTO” y que estas recaigan sobre</w:t>
      </w:r>
      <w:r>
        <w:rPr>
          <w:rFonts w:ascii="Verdana" w:eastAsia="Times New Roman" w:hAnsi="Verdana" w:cs="Arial"/>
          <w:shd w:val="clear" w:color="auto" w:fill="FFFFFF"/>
          <w:lang w:val="es-ES" w:eastAsia="es-ES"/>
        </w:rPr>
        <w:t xml:space="preserve"> “FRANJAS DE SEGURIDAD O CANALES DE DRENAJES”. De esta forma, el requisito de experiencia general, no se limita a que no pueda darse su acreditación sobre zonas urbanas o rurales, por lo que, si los oferentes acreditan experiencia en estos aspectos, podrán hacerlo, no solamente en zonas indicadas, sino en cualquier otro tipo de áreas. Por lo tanto, la forma como está considerada la experiencia general para la actividad señalada, no restringe la participación de oferentes o limita la experiencia. </w:t>
      </w:r>
    </w:p>
    <w:p w14:paraId="3F02BFAB" w14:textId="77777777" w:rsidR="00F821A0" w:rsidRDefault="00F821A0" w:rsidP="00F821A0">
      <w:pPr>
        <w:snapToGrid w:val="0"/>
        <w:spacing w:after="0" w:line="276" w:lineRule="auto"/>
        <w:ind w:left="720"/>
        <w:jc w:val="both"/>
        <w:rPr>
          <w:rFonts w:ascii="Verdana" w:eastAsia="Times New Roman" w:hAnsi="Verdana" w:cs="Arial"/>
          <w:shd w:val="clear" w:color="auto" w:fill="FFFFFF"/>
          <w:lang w:val="es-ES" w:eastAsia="es-ES"/>
        </w:rPr>
      </w:pPr>
    </w:p>
    <w:p w14:paraId="677FD684" w14:textId="77777777" w:rsidR="00F821A0" w:rsidRPr="001201BA" w:rsidRDefault="00F821A0" w:rsidP="00F821A0">
      <w:pPr>
        <w:numPr>
          <w:ilvl w:val="0"/>
          <w:numId w:val="18"/>
        </w:numPr>
        <w:snapToGrid w:val="0"/>
        <w:spacing w:after="0" w:line="276" w:lineRule="auto"/>
        <w:ind w:left="720"/>
        <w:jc w:val="both"/>
        <w:rPr>
          <w:rFonts w:ascii="Verdana" w:eastAsia="Times New Roman" w:hAnsi="Verdana" w:cs="Arial"/>
          <w:shd w:val="clear" w:color="auto" w:fill="FFFFFF"/>
          <w:lang w:val="es-ES" w:eastAsia="es-ES"/>
        </w:rPr>
      </w:pPr>
      <w:r>
        <w:rPr>
          <w:rFonts w:ascii="Verdana" w:eastAsia="Times New Roman" w:hAnsi="Verdana" w:cs="Arial"/>
          <w:shd w:val="clear" w:color="auto" w:fill="FFFFFF"/>
          <w:lang w:val="es-ES" w:eastAsia="es-ES"/>
        </w:rPr>
        <w:t xml:space="preserve">Ahora bien, para entender el alcance de la experiencia especifica contenida en la actividad 8.5, es pertinente indicar que en el Anexo 3 – Glosario de los documentos tipo de </w:t>
      </w:r>
      <w:r>
        <w:rPr>
          <w:rFonts w:ascii="Verdana" w:eastAsia="Times New Roman" w:hAnsi="Verdana" w:cs="Arial"/>
          <w:shd w:val="clear" w:color="auto" w:fill="FFFFFF"/>
          <w:lang w:eastAsia="es-ES"/>
        </w:rPr>
        <w:t>l</w:t>
      </w:r>
      <w:r w:rsidRPr="00E5674F">
        <w:rPr>
          <w:rFonts w:ascii="Verdana" w:eastAsia="Times New Roman" w:hAnsi="Verdana" w:cs="Arial"/>
          <w:shd w:val="clear" w:color="auto" w:fill="FFFFFF"/>
          <w:lang w:eastAsia="es-ES"/>
        </w:rPr>
        <w:t xml:space="preserve">icitación </w:t>
      </w:r>
      <w:r>
        <w:rPr>
          <w:rFonts w:ascii="Verdana" w:eastAsia="Times New Roman" w:hAnsi="Verdana" w:cs="Arial"/>
          <w:shd w:val="clear" w:color="auto" w:fill="FFFFFF"/>
          <w:lang w:eastAsia="es-ES"/>
        </w:rPr>
        <w:t>p</w:t>
      </w:r>
      <w:r w:rsidRPr="00E5674F">
        <w:rPr>
          <w:rFonts w:ascii="Verdana" w:eastAsia="Times New Roman" w:hAnsi="Verdana" w:cs="Arial"/>
          <w:shd w:val="clear" w:color="auto" w:fill="FFFFFF"/>
          <w:lang w:eastAsia="es-ES"/>
        </w:rPr>
        <w:t>ública</w:t>
      </w:r>
      <w:r>
        <w:rPr>
          <w:rFonts w:ascii="Verdana" w:eastAsia="Times New Roman" w:hAnsi="Verdana" w:cs="Arial"/>
          <w:shd w:val="clear" w:color="auto" w:fill="FFFFFF"/>
          <w:lang w:eastAsia="es-ES"/>
        </w:rPr>
        <w:t xml:space="preserve"> de obra pública de infraestructura de transporte – versión </w:t>
      </w:r>
      <w:r w:rsidRPr="00E5674F">
        <w:rPr>
          <w:rFonts w:ascii="Verdana" w:eastAsia="Times New Roman" w:hAnsi="Verdana" w:cs="Arial"/>
          <w:shd w:val="clear" w:color="auto" w:fill="FFFFFF"/>
          <w:lang w:eastAsia="es-ES"/>
        </w:rPr>
        <w:t>4</w:t>
      </w:r>
      <w:r>
        <w:rPr>
          <w:rFonts w:ascii="Verdana" w:eastAsia="Times New Roman" w:hAnsi="Verdana" w:cs="Arial"/>
          <w:shd w:val="clear" w:color="auto" w:fill="FFFFFF"/>
          <w:lang w:eastAsia="es-ES"/>
        </w:rPr>
        <w:t>, se define “franja de seguridad” en los siguientes términos:</w:t>
      </w:r>
    </w:p>
    <w:p w14:paraId="2E55662A" w14:textId="77777777" w:rsidR="00F821A0" w:rsidRDefault="00F821A0" w:rsidP="00F821A0">
      <w:pPr>
        <w:snapToGrid w:val="0"/>
        <w:spacing w:after="0" w:line="276" w:lineRule="auto"/>
        <w:jc w:val="both"/>
        <w:rPr>
          <w:rFonts w:ascii="Verdana" w:eastAsia="Times New Roman" w:hAnsi="Verdana" w:cs="Arial"/>
          <w:shd w:val="clear" w:color="auto" w:fill="FFFFFF"/>
          <w:lang w:eastAsia="es-ES"/>
        </w:rPr>
      </w:pPr>
    </w:p>
    <w:p w14:paraId="1D3D156D" w14:textId="77777777" w:rsidR="00F821A0" w:rsidRPr="001201BA" w:rsidRDefault="00F821A0" w:rsidP="00F821A0">
      <w:pPr>
        <w:pStyle w:val="Invias-VietaNumerada"/>
        <w:autoSpaceDE w:val="0"/>
        <w:autoSpaceDN w:val="0"/>
        <w:adjustRightInd w:val="0"/>
        <w:spacing w:before="0" w:after="0"/>
        <w:ind w:left="709" w:right="709"/>
        <w:rPr>
          <w:rFonts w:ascii="Arial" w:hAnsi="Arial" w:cs="Arial"/>
          <w:i/>
          <w:iCs/>
          <w:sz w:val="20"/>
          <w:szCs w:val="20"/>
          <w:lang w:val="es-ES"/>
        </w:rPr>
      </w:pPr>
      <w:r w:rsidRPr="0034062C">
        <w:rPr>
          <w:rFonts w:ascii="Arial" w:hAnsi="Arial" w:cs="Arial"/>
          <w:i/>
          <w:iCs/>
          <w:sz w:val="20"/>
          <w:szCs w:val="20"/>
          <w:lang w:val="es-CO"/>
        </w:rPr>
        <w:t>“</w:t>
      </w:r>
      <w:r w:rsidRPr="0034062C">
        <w:rPr>
          <w:rFonts w:ascii="Arial" w:hAnsi="Arial" w:cs="Arial"/>
          <w:i/>
          <w:iCs/>
          <w:sz w:val="20"/>
          <w:szCs w:val="20"/>
          <w:lang w:val="es-ES"/>
        </w:rPr>
        <w:t>Franja de Seguridad (franja de pista): Superficie definida que comprende la pista y la zona de parada, si la hubiese, destinada a: a) reducir el riesgo de daños a las aeronaves que se salgan de la pista; y b) proteger a las aeronaves que la sobrevuelan durante las operaciones de despegue o aterrizaje</w:t>
      </w:r>
      <w:r w:rsidRPr="0034062C">
        <w:rPr>
          <w:rFonts w:ascii="Arial" w:hAnsi="Arial" w:cs="Arial"/>
          <w:i/>
          <w:iCs/>
          <w:sz w:val="20"/>
          <w:szCs w:val="20"/>
          <w:vertAlign w:val="superscript"/>
          <w:lang w:val="es-ES"/>
        </w:rPr>
        <w:footnoteReference w:id="5"/>
      </w:r>
      <w:r>
        <w:rPr>
          <w:rFonts w:ascii="Arial" w:hAnsi="Arial" w:cs="Arial"/>
          <w:i/>
          <w:iCs/>
          <w:sz w:val="20"/>
          <w:szCs w:val="20"/>
          <w:lang w:val="es-ES"/>
        </w:rPr>
        <w:t>”</w:t>
      </w:r>
      <w:r w:rsidRPr="0034062C">
        <w:rPr>
          <w:rFonts w:ascii="Arial" w:hAnsi="Arial" w:cs="Arial"/>
          <w:i/>
          <w:iCs/>
          <w:sz w:val="20"/>
          <w:szCs w:val="20"/>
          <w:lang w:val="es-ES"/>
        </w:rPr>
        <w:t>.</w:t>
      </w:r>
    </w:p>
    <w:p w14:paraId="4B6BCAF7" w14:textId="77777777" w:rsidR="00F821A0" w:rsidRDefault="00F821A0" w:rsidP="00F821A0">
      <w:pPr>
        <w:snapToGrid w:val="0"/>
        <w:spacing w:after="0" w:line="276" w:lineRule="auto"/>
        <w:jc w:val="both"/>
        <w:rPr>
          <w:rFonts w:ascii="Verdana" w:eastAsia="Times New Roman" w:hAnsi="Verdana" w:cs="Arial"/>
          <w:shd w:val="clear" w:color="auto" w:fill="FFFFFF"/>
          <w:lang w:val="es-ES" w:eastAsia="es-ES"/>
        </w:rPr>
      </w:pPr>
    </w:p>
    <w:p w14:paraId="015653CE" w14:textId="77777777" w:rsidR="00F821A0" w:rsidRPr="001201BA" w:rsidRDefault="00F821A0" w:rsidP="00F821A0">
      <w:pPr>
        <w:pStyle w:val="Prrafodelista"/>
        <w:numPr>
          <w:ilvl w:val="0"/>
          <w:numId w:val="18"/>
        </w:numPr>
        <w:tabs>
          <w:tab w:val="num" w:pos="720"/>
        </w:tabs>
        <w:spacing w:after="0"/>
        <w:contextualSpacing w:val="0"/>
        <w:jc w:val="both"/>
        <w:rPr>
          <w:rFonts w:ascii="Verdana" w:eastAsia="Times New Roman" w:hAnsi="Verdana" w:cs="Arial"/>
          <w:shd w:val="clear" w:color="auto" w:fill="FFFFFF"/>
          <w:lang w:eastAsia="es-ES"/>
        </w:rPr>
      </w:pPr>
      <w:r>
        <w:rPr>
          <w:rFonts w:ascii="Verdana" w:eastAsia="Times New Roman" w:hAnsi="Verdana" w:cs="Arial"/>
          <w:shd w:val="clear" w:color="auto" w:fill="FFFFFF"/>
          <w:lang w:eastAsia="es-ES"/>
        </w:rPr>
        <w:t xml:space="preserve">Como se aprecia, </w:t>
      </w:r>
      <w:r w:rsidRPr="001201BA">
        <w:rPr>
          <w:rFonts w:ascii="Verdana" w:eastAsia="Times New Roman" w:hAnsi="Verdana" w:cs="Arial"/>
          <w:shd w:val="clear" w:color="auto" w:fill="FFFFFF"/>
          <w:lang w:eastAsia="es-ES"/>
        </w:rPr>
        <w:t>la construcción o el mantenimiento o conformación o adecuación o nivelación</w:t>
      </w:r>
      <w:r>
        <w:rPr>
          <w:rFonts w:ascii="Verdana" w:eastAsia="Times New Roman" w:hAnsi="Verdana" w:cs="Arial"/>
          <w:shd w:val="clear" w:color="auto" w:fill="FFFFFF"/>
          <w:lang w:eastAsia="es-ES"/>
        </w:rPr>
        <w:t xml:space="preserve"> de estas franjas, </w:t>
      </w:r>
      <w:r w:rsidRPr="001201BA">
        <w:rPr>
          <w:rFonts w:ascii="Verdana" w:eastAsia="Times New Roman" w:hAnsi="Verdana" w:cs="Arial"/>
          <w:shd w:val="clear" w:color="auto" w:fill="FFFFFF"/>
          <w:lang w:eastAsia="es-ES"/>
        </w:rPr>
        <w:t>es muy importante para garantizar la seguridad de las aeronaves</w:t>
      </w:r>
      <w:r>
        <w:rPr>
          <w:rFonts w:ascii="Verdana" w:eastAsia="Times New Roman" w:hAnsi="Verdana" w:cs="Arial"/>
          <w:shd w:val="clear" w:color="auto" w:fill="FFFFFF"/>
          <w:lang w:eastAsia="es-ES"/>
        </w:rPr>
        <w:t>.</w:t>
      </w:r>
      <w:r w:rsidRPr="001201BA">
        <w:rPr>
          <w:rFonts w:ascii="Verdana" w:eastAsia="Times New Roman" w:hAnsi="Verdana" w:cs="Arial"/>
          <w:shd w:val="clear" w:color="auto" w:fill="FFFFFF"/>
          <w:lang w:eastAsia="es-ES"/>
        </w:rPr>
        <w:t xml:space="preserve"> </w:t>
      </w:r>
      <w:r>
        <w:rPr>
          <w:rFonts w:ascii="Verdana" w:eastAsia="Times New Roman" w:hAnsi="Verdana" w:cs="Arial"/>
          <w:shd w:val="clear" w:color="auto" w:fill="FFFFFF"/>
          <w:lang w:eastAsia="es-ES"/>
        </w:rPr>
        <w:t>E</w:t>
      </w:r>
      <w:r w:rsidRPr="001201BA">
        <w:rPr>
          <w:rFonts w:ascii="Verdana" w:eastAsia="Times New Roman" w:hAnsi="Verdana" w:cs="Arial"/>
          <w:shd w:val="clear" w:color="auto" w:fill="FFFFFF"/>
          <w:lang w:eastAsia="es-ES"/>
        </w:rPr>
        <w:t>n este sentido, la experiencia especifica busca que las entidades seleccionen proponentes con idoneidad técnica para ejecutar este tipo de trabajos y que garanticen la pluralidad de oferentes</w:t>
      </w:r>
      <w:r>
        <w:rPr>
          <w:rFonts w:ascii="Verdana" w:eastAsia="Times New Roman" w:hAnsi="Verdana" w:cs="Arial"/>
          <w:shd w:val="clear" w:color="auto" w:fill="FFFFFF"/>
          <w:lang w:eastAsia="es-ES"/>
        </w:rPr>
        <w:t>.</w:t>
      </w:r>
      <w:r w:rsidRPr="001201BA">
        <w:rPr>
          <w:rFonts w:ascii="Verdana" w:eastAsia="Times New Roman" w:hAnsi="Verdana" w:cs="Arial"/>
          <w:shd w:val="clear" w:color="auto" w:fill="FFFFFF"/>
          <w:lang w:eastAsia="es-ES"/>
        </w:rPr>
        <w:t xml:space="preserve"> </w:t>
      </w:r>
      <w:r>
        <w:rPr>
          <w:rFonts w:ascii="Verdana" w:eastAsia="Times New Roman" w:hAnsi="Verdana" w:cs="Arial"/>
          <w:shd w:val="clear" w:color="auto" w:fill="FFFFFF"/>
          <w:lang w:eastAsia="es-ES"/>
        </w:rPr>
        <w:t>P</w:t>
      </w:r>
      <w:r w:rsidRPr="001201BA">
        <w:rPr>
          <w:rFonts w:ascii="Verdana" w:eastAsia="Times New Roman" w:hAnsi="Verdana" w:cs="Arial"/>
          <w:shd w:val="clear" w:color="auto" w:fill="FFFFFF"/>
          <w:lang w:eastAsia="es-ES"/>
        </w:rPr>
        <w:t>or esta razón</w:t>
      </w:r>
      <w:r>
        <w:rPr>
          <w:rFonts w:ascii="Verdana" w:eastAsia="Times New Roman" w:hAnsi="Verdana" w:cs="Arial"/>
          <w:shd w:val="clear" w:color="auto" w:fill="FFFFFF"/>
          <w:lang w:eastAsia="es-ES"/>
        </w:rPr>
        <w:t>,</w:t>
      </w:r>
      <w:r w:rsidRPr="001201BA">
        <w:rPr>
          <w:rFonts w:ascii="Verdana" w:eastAsia="Times New Roman" w:hAnsi="Verdana" w:cs="Arial"/>
          <w:shd w:val="clear" w:color="auto" w:fill="FFFFFF"/>
          <w:lang w:eastAsia="es-ES"/>
        </w:rPr>
        <w:t xml:space="preserve"> se solicita, que uno de los contratos que se presente dentro de la </w:t>
      </w:r>
      <w:r w:rsidRPr="004904A9">
        <w:rPr>
          <w:rFonts w:ascii="Verdana" w:eastAsia="Times New Roman" w:hAnsi="Verdana" w:cs="Arial"/>
          <w:shd w:val="clear" w:color="auto" w:fill="FFFFFF"/>
          <w:lang w:eastAsia="es-ES"/>
        </w:rPr>
        <w:t>experiencia específica</w:t>
      </w:r>
      <w:r w:rsidRPr="001201BA">
        <w:rPr>
          <w:rFonts w:ascii="Verdana" w:eastAsia="Times New Roman" w:hAnsi="Verdana" w:cs="Arial"/>
          <w:shd w:val="clear" w:color="auto" w:fill="FFFFFF"/>
          <w:lang w:eastAsia="es-ES"/>
        </w:rPr>
        <w:t>, cuente con un presupuesto  igual o mayor al 30% del valor del PRESUPUESTO OFICIAL (PO) del proceso de Contratación.</w:t>
      </w:r>
    </w:p>
    <w:p w14:paraId="67D9B2CA" w14:textId="77777777" w:rsidR="00F821A0" w:rsidRPr="001201BA" w:rsidRDefault="00F821A0" w:rsidP="00F821A0">
      <w:pPr>
        <w:tabs>
          <w:tab w:val="num" w:pos="720"/>
        </w:tabs>
        <w:spacing w:after="0"/>
        <w:jc w:val="both"/>
        <w:rPr>
          <w:rFonts w:ascii="Verdana" w:eastAsia="Times New Roman" w:hAnsi="Verdana" w:cs="Arial"/>
          <w:shd w:val="clear" w:color="auto" w:fill="FFFFFF"/>
          <w:lang w:eastAsia="es-ES"/>
        </w:rPr>
      </w:pPr>
    </w:p>
    <w:p w14:paraId="25ACEEFD" w14:textId="77777777" w:rsidR="00F821A0" w:rsidRDefault="00F821A0" w:rsidP="00F821A0">
      <w:pPr>
        <w:pStyle w:val="Prrafodelista"/>
        <w:numPr>
          <w:ilvl w:val="0"/>
          <w:numId w:val="21"/>
        </w:numPr>
        <w:tabs>
          <w:tab w:val="num" w:pos="720"/>
        </w:tabs>
        <w:spacing w:after="0"/>
        <w:contextualSpacing w:val="0"/>
        <w:jc w:val="both"/>
        <w:rPr>
          <w:rFonts w:ascii="Verdana" w:eastAsia="Times New Roman" w:hAnsi="Verdana" w:cs="Arial"/>
          <w:shd w:val="clear" w:color="auto" w:fill="FFFFFF"/>
          <w:lang w:eastAsia="es-ES"/>
        </w:rPr>
      </w:pPr>
      <w:r>
        <w:rPr>
          <w:rFonts w:ascii="Verdana" w:eastAsia="Times New Roman" w:hAnsi="Verdana" w:cs="Arial"/>
          <w:shd w:val="clear" w:color="auto" w:fill="FFFFFF"/>
          <w:lang w:eastAsia="es-ES"/>
        </w:rPr>
        <w:t>Así mismo</w:t>
      </w:r>
      <w:r w:rsidRPr="001201BA">
        <w:rPr>
          <w:rFonts w:ascii="Verdana" w:eastAsia="Times New Roman" w:hAnsi="Verdana" w:cs="Arial"/>
          <w:shd w:val="clear" w:color="auto" w:fill="FFFFFF"/>
          <w:lang w:eastAsia="es-ES"/>
        </w:rPr>
        <w:t>, se indica resaltado entre corchetes, que: para procesos de construcción o conformación o adecuación o nivelación de franjas de seguridad</w:t>
      </w:r>
      <w:r>
        <w:rPr>
          <w:rFonts w:ascii="Verdana" w:eastAsia="Times New Roman" w:hAnsi="Verdana" w:cs="Arial"/>
          <w:shd w:val="clear" w:color="auto" w:fill="FFFFFF"/>
          <w:lang w:eastAsia="es-ES"/>
        </w:rPr>
        <w:t>,</w:t>
      </w:r>
      <w:r w:rsidRPr="001201BA">
        <w:rPr>
          <w:rFonts w:ascii="Verdana" w:eastAsia="Times New Roman" w:hAnsi="Verdana" w:cs="Arial"/>
          <w:shd w:val="clear" w:color="auto" w:fill="FFFFFF"/>
          <w:lang w:eastAsia="es-ES"/>
        </w:rPr>
        <w:t xml:space="preserve"> se solicite adicionalmente, que uno de los contratos presentados en la experiencia general cumpla con la “CONSTRUCCION O CONFORMACION O ADECUACION O NIVELACIÓN O MANTENIMEINTO DE: FRANJAS DE SEGURIDAD O ROCERIAS DE FRANJAS DE SEGURIDAD.” </w:t>
      </w:r>
      <w:r>
        <w:rPr>
          <w:rFonts w:ascii="Verdana" w:eastAsia="Times New Roman" w:hAnsi="Verdana" w:cs="Arial"/>
          <w:shd w:val="clear" w:color="auto" w:fill="FFFFFF"/>
          <w:lang w:eastAsia="es-ES"/>
        </w:rPr>
        <w:t>Conforme con lo señalado, en el requisito establecido, sí</w:t>
      </w:r>
      <w:r w:rsidRPr="001201BA">
        <w:rPr>
          <w:rFonts w:ascii="Verdana" w:eastAsia="Times New Roman" w:hAnsi="Verdana" w:cs="Arial"/>
          <w:shd w:val="clear" w:color="auto" w:fill="FFFFFF"/>
          <w:lang w:eastAsia="es-ES"/>
        </w:rPr>
        <w:t xml:space="preserve"> se solicita de manera particular que se tenga experiencia en “franjas de seguridad o rocería de franjas de seguridad”.</w:t>
      </w:r>
    </w:p>
    <w:p w14:paraId="76592BA9" w14:textId="77777777" w:rsidR="00F821A0" w:rsidRDefault="00F821A0" w:rsidP="00F821A0">
      <w:pPr>
        <w:tabs>
          <w:tab w:val="num" w:pos="720"/>
        </w:tabs>
        <w:spacing w:after="0"/>
        <w:jc w:val="both"/>
        <w:rPr>
          <w:rFonts w:ascii="Verdana" w:eastAsia="Times New Roman" w:hAnsi="Verdana" w:cs="Arial"/>
          <w:shd w:val="clear" w:color="auto" w:fill="FFFFFF"/>
          <w:lang w:eastAsia="es-ES"/>
        </w:rPr>
      </w:pPr>
    </w:p>
    <w:p w14:paraId="55ECE4BC" w14:textId="77777777" w:rsidR="00F821A0" w:rsidRPr="005E3937" w:rsidRDefault="00F821A0" w:rsidP="00F821A0">
      <w:pPr>
        <w:pStyle w:val="Prrafodelista"/>
        <w:numPr>
          <w:ilvl w:val="0"/>
          <w:numId w:val="21"/>
        </w:numPr>
        <w:tabs>
          <w:tab w:val="num" w:pos="720"/>
        </w:tabs>
        <w:spacing w:after="0"/>
        <w:ind w:left="714" w:hanging="357"/>
        <w:contextualSpacing w:val="0"/>
        <w:jc w:val="both"/>
        <w:rPr>
          <w:rFonts w:ascii="Verdana" w:hAnsi="Verdana"/>
        </w:rPr>
      </w:pPr>
      <w:r w:rsidRPr="001201BA">
        <w:rPr>
          <w:rFonts w:ascii="Verdana" w:hAnsi="Verdana"/>
        </w:rPr>
        <w:t>La “</w:t>
      </w:r>
      <w:r w:rsidRPr="001201BA">
        <w:rPr>
          <w:rFonts w:ascii="Verdana" w:hAnsi="Verdana"/>
          <w:b/>
          <w:bCs/>
        </w:rPr>
        <w:t>experiencia específica”</w:t>
      </w:r>
      <w:r w:rsidRPr="001201BA">
        <w:rPr>
          <w:rFonts w:ascii="Verdana" w:hAnsi="Verdana"/>
        </w:rPr>
        <w:t xml:space="preserve"> hace parte del conjunto de conocimientos, habilidades y competencias que son adquiridas previamente, a través de la práctica profesional en un campo o actividad particular y para el caso particular del contexto aeroportuario, en “franjas seguridad”</w:t>
      </w:r>
      <w:r>
        <w:rPr>
          <w:rFonts w:ascii="Verdana" w:hAnsi="Verdana"/>
        </w:rPr>
        <w:t xml:space="preserve"> </w:t>
      </w:r>
      <w:r w:rsidRPr="001201BA">
        <w:rPr>
          <w:rFonts w:ascii="Verdana" w:hAnsi="Verdana"/>
        </w:rPr>
        <w:t>es importante que los oferentes puedan evidenciar este conocimiento, de manera que se tenga idoneidad en aspectos como:</w:t>
      </w:r>
      <w:r>
        <w:rPr>
          <w:rFonts w:ascii="Verdana" w:hAnsi="Verdana"/>
        </w:rPr>
        <w:t xml:space="preserve"> i) </w:t>
      </w:r>
      <w:r w:rsidRPr="001201BA">
        <w:rPr>
          <w:rFonts w:ascii="Verdana" w:hAnsi="Verdana"/>
        </w:rPr>
        <w:t>Protección y seguridad</w:t>
      </w:r>
      <w:r>
        <w:rPr>
          <w:rFonts w:ascii="Verdana" w:hAnsi="Verdana"/>
        </w:rPr>
        <w:t>, ii)</w:t>
      </w:r>
      <w:r w:rsidRPr="001201BA">
        <w:rPr>
          <w:rFonts w:ascii="Verdana" w:hAnsi="Verdana"/>
        </w:rPr>
        <w:t xml:space="preserve"> Conocimiento de la normatividad</w:t>
      </w:r>
      <w:r>
        <w:rPr>
          <w:rFonts w:ascii="Verdana" w:hAnsi="Verdana"/>
        </w:rPr>
        <w:t xml:space="preserve"> y iii)</w:t>
      </w:r>
      <w:r w:rsidRPr="001201BA">
        <w:rPr>
          <w:rFonts w:ascii="Verdana" w:hAnsi="Verdana"/>
        </w:rPr>
        <w:t xml:space="preserve"> Experiencia en manejo de riesgos en ese sector</w:t>
      </w:r>
      <w:r>
        <w:rPr>
          <w:rFonts w:ascii="Verdana" w:hAnsi="Verdana"/>
        </w:rPr>
        <w:t>.</w:t>
      </w:r>
    </w:p>
    <w:p w14:paraId="7C0FE153" w14:textId="77777777" w:rsidR="00F821A0" w:rsidRPr="005E3937" w:rsidRDefault="00F821A0" w:rsidP="00F821A0">
      <w:pPr>
        <w:pStyle w:val="Prrafodelista"/>
        <w:tabs>
          <w:tab w:val="num" w:pos="720"/>
        </w:tabs>
        <w:spacing w:after="0"/>
        <w:ind w:left="714"/>
        <w:contextualSpacing w:val="0"/>
        <w:jc w:val="both"/>
        <w:rPr>
          <w:rFonts w:ascii="Verdana" w:hAnsi="Verdana"/>
        </w:rPr>
      </w:pPr>
    </w:p>
    <w:p w14:paraId="084435FA" w14:textId="77777777" w:rsidR="00F821A0" w:rsidRPr="001201BA" w:rsidRDefault="00F821A0" w:rsidP="00F821A0">
      <w:pPr>
        <w:pStyle w:val="Prrafodelista"/>
        <w:numPr>
          <w:ilvl w:val="0"/>
          <w:numId w:val="21"/>
        </w:numPr>
        <w:tabs>
          <w:tab w:val="num" w:pos="720"/>
        </w:tabs>
        <w:spacing w:after="0"/>
        <w:ind w:left="714" w:hanging="357"/>
        <w:contextualSpacing w:val="0"/>
        <w:jc w:val="both"/>
        <w:rPr>
          <w:rFonts w:ascii="Verdana" w:hAnsi="Verdana"/>
        </w:rPr>
      </w:pPr>
      <w:r w:rsidRPr="001201BA">
        <w:rPr>
          <w:rFonts w:ascii="Verdana" w:hAnsi="Verdana"/>
        </w:rPr>
        <w:t xml:space="preserve">Al solicitar experiencia específica en franjas de seguridad, se busca que los oferentes tengan las competencias necesarias para mantener la </w:t>
      </w:r>
      <w:r w:rsidRPr="001201BA">
        <w:rPr>
          <w:rFonts w:ascii="Verdana" w:hAnsi="Verdana"/>
        </w:rPr>
        <w:lastRenderedPageBreak/>
        <w:t>seguridad y cumplir con todas las normas y estándares en este tipo de proyectos.</w:t>
      </w:r>
    </w:p>
    <w:p w14:paraId="3BD75F02" w14:textId="77777777" w:rsidR="00F821A0" w:rsidRPr="001201BA" w:rsidRDefault="00F821A0" w:rsidP="00F821A0">
      <w:pPr>
        <w:tabs>
          <w:tab w:val="num" w:pos="720"/>
        </w:tabs>
        <w:spacing w:after="0"/>
        <w:jc w:val="both"/>
        <w:rPr>
          <w:rFonts w:ascii="Verdana" w:hAnsi="Verdana"/>
        </w:rPr>
      </w:pPr>
    </w:p>
    <w:p w14:paraId="5064A97D" w14:textId="77777777" w:rsidR="00F821A0" w:rsidRPr="001201BA" w:rsidRDefault="00F821A0" w:rsidP="00F821A0">
      <w:pPr>
        <w:pStyle w:val="Prrafodelista"/>
        <w:numPr>
          <w:ilvl w:val="0"/>
          <w:numId w:val="21"/>
        </w:numPr>
        <w:tabs>
          <w:tab w:val="num" w:pos="720"/>
        </w:tabs>
        <w:spacing w:after="0"/>
        <w:contextualSpacing w:val="0"/>
        <w:jc w:val="both"/>
        <w:rPr>
          <w:rFonts w:ascii="Verdana" w:hAnsi="Verdana"/>
        </w:rPr>
      </w:pPr>
      <w:r w:rsidRPr="001201BA">
        <w:rPr>
          <w:rFonts w:ascii="Verdana" w:hAnsi="Verdana"/>
        </w:rPr>
        <w:t>Finalmente, si los oferentes no cuentan con todas las condiciones de Experiencia General o Especifica, la ley establece las condiciones para que dos o más personas aúnen esfuerzos técnicos, económico o financieros</w:t>
      </w:r>
      <w:r>
        <w:rPr>
          <w:rFonts w:ascii="Verdana" w:hAnsi="Verdana"/>
        </w:rPr>
        <w:t>,</w:t>
      </w:r>
      <w:r w:rsidRPr="001201BA">
        <w:rPr>
          <w:rFonts w:ascii="Verdana" w:hAnsi="Verdana"/>
        </w:rPr>
        <w:t xml:space="preserve"> para que de manera conjunta </w:t>
      </w:r>
      <w:r>
        <w:rPr>
          <w:rFonts w:ascii="Verdana" w:hAnsi="Verdana"/>
        </w:rPr>
        <w:t xml:space="preserve">presenten propuesta, </w:t>
      </w:r>
      <w:r w:rsidRPr="001201BA">
        <w:rPr>
          <w:rFonts w:ascii="Verdana" w:hAnsi="Verdana"/>
        </w:rPr>
        <w:t xml:space="preserve">y para tal condición, el documento base </w:t>
      </w:r>
      <w:r>
        <w:rPr>
          <w:rFonts w:ascii="Verdana" w:hAnsi="Verdana"/>
        </w:rPr>
        <w:t xml:space="preserve">de los documentos tipo de licitación de obra pública de infraestructura de transporte – versión 4, </w:t>
      </w:r>
      <w:r w:rsidRPr="001201BA">
        <w:rPr>
          <w:rFonts w:ascii="Verdana" w:hAnsi="Verdana"/>
        </w:rPr>
        <w:t>establece las particularidades sobre la presentación de ofertas por proponentes plurales.</w:t>
      </w:r>
    </w:p>
    <w:p w14:paraId="40C7117A" w14:textId="77777777" w:rsidR="00F821A0" w:rsidRPr="00C865D4" w:rsidRDefault="00F821A0" w:rsidP="00F821A0">
      <w:pPr>
        <w:snapToGrid w:val="0"/>
        <w:spacing w:after="0" w:line="276" w:lineRule="auto"/>
        <w:jc w:val="both"/>
        <w:rPr>
          <w:rFonts w:ascii="Verdana" w:eastAsia="Times New Roman" w:hAnsi="Verdana" w:cs="Arial"/>
          <w:shd w:val="clear" w:color="auto" w:fill="FFFFFF"/>
          <w:lang w:val="es-ES_tradnl" w:eastAsia="es-ES_tradnl"/>
        </w:rPr>
      </w:pPr>
      <w:bookmarkStart w:id="3" w:name="_Hlk191371688"/>
    </w:p>
    <w:p w14:paraId="2FF652D5" w14:textId="77777777" w:rsidR="00F821A0" w:rsidRDefault="00F821A0" w:rsidP="00F821A0">
      <w:pPr>
        <w:numPr>
          <w:ilvl w:val="0"/>
          <w:numId w:val="18"/>
        </w:numPr>
        <w:snapToGrid w:val="0"/>
        <w:spacing w:after="0" w:line="276" w:lineRule="auto"/>
        <w:ind w:left="720" w:hanging="357"/>
        <w:jc w:val="both"/>
        <w:rPr>
          <w:rFonts w:ascii="Verdana" w:eastAsia="Times New Roman" w:hAnsi="Verdana" w:cs="Arial"/>
          <w:shd w:val="clear" w:color="auto" w:fill="FFFFFF"/>
          <w:lang w:val="es-ES_tradnl" w:eastAsia="es-ES_tradnl"/>
        </w:rPr>
      </w:pPr>
      <w:r w:rsidRPr="00C865D4">
        <w:rPr>
          <w:rFonts w:ascii="Verdana" w:eastAsia="Times New Roman" w:hAnsi="Verdana" w:cs="Arial"/>
          <w:shd w:val="clear" w:color="auto" w:fill="FFFFFF"/>
          <w:lang w:val="es-ES_tradnl" w:eastAsia="es-ES_tradnl"/>
        </w:rPr>
        <w:t xml:space="preserve">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 </w:t>
      </w:r>
    </w:p>
    <w:p w14:paraId="5DA67D1B" w14:textId="77777777" w:rsidR="004E0AB0" w:rsidRDefault="004E0AB0" w:rsidP="004E0AB0">
      <w:pPr>
        <w:snapToGrid w:val="0"/>
        <w:spacing w:after="0" w:line="276" w:lineRule="auto"/>
        <w:jc w:val="both"/>
        <w:rPr>
          <w:rFonts w:ascii="Verdana" w:eastAsia="Times New Roman" w:hAnsi="Verdana" w:cs="Arial"/>
          <w:shd w:val="clear" w:color="auto" w:fill="FFFFFF"/>
          <w:lang w:val="es-ES_tradnl" w:eastAsia="es-ES_tradnl"/>
        </w:rPr>
      </w:pPr>
    </w:p>
    <w:p w14:paraId="2265C2AE" w14:textId="77777777" w:rsidR="004E0AB0" w:rsidRDefault="004E0AB0" w:rsidP="004E0AB0">
      <w:pPr>
        <w:pStyle w:val="Prrafodelista"/>
        <w:numPr>
          <w:ilvl w:val="0"/>
          <w:numId w:val="21"/>
        </w:numPr>
        <w:tabs>
          <w:tab w:val="num" w:pos="720"/>
        </w:tabs>
        <w:spacing w:after="0"/>
        <w:contextualSpacing w:val="0"/>
        <w:jc w:val="both"/>
        <w:rPr>
          <w:rFonts w:ascii="Verdana" w:hAnsi="Verdana"/>
        </w:rPr>
      </w:pPr>
      <w:r>
        <w:rPr>
          <w:rFonts w:ascii="Verdana" w:hAnsi="Verdana"/>
        </w:rPr>
        <w:t>Finalmente debe indicarse que, l</w:t>
      </w:r>
      <w:r w:rsidRPr="00DC58F8">
        <w:rPr>
          <w:rFonts w:ascii="Verdana" w:hAnsi="Verdana"/>
        </w:rPr>
        <w:t>a Agencia Nacional de Contratación Pública – Colombia Compra Eficiente solicitó a la Superintendencia de Industria y Comercio, el 31 de julio de 2024, su pronunciamiento para agotar el trámite de abogacía de la competencia de que trata el artículo 7 de la Ley 1340 de 2007 y los artículos 2.2.2.30.1 y ss. del Decreto 1074 de 2015, en relación con la modificación a los documentos tipo de licitación de obra pública de infraestructura de transporte</w:t>
      </w:r>
      <w:r>
        <w:rPr>
          <w:rFonts w:ascii="Verdana" w:hAnsi="Verdana"/>
        </w:rPr>
        <w:t xml:space="preserve">. </w:t>
      </w:r>
    </w:p>
    <w:p w14:paraId="34EA53B8" w14:textId="77777777" w:rsidR="004E0AB0" w:rsidRPr="006F65CF" w:rsidRDefault="004E0AB0" w:rsidP="004E0AB0">
      <w:pPr>
        <w:pStyle w:val="Prrafodelista"/>
        <w:rPr>
          <w:rFonts w:ascii="Verdana" w:hAnsi="Verdana"/>
        </w:rPr>
      </w:pPr>
    </w:p>
    <w:p w14:paraId="1C9A90C3" w14:textId="1C42C65F" w:rsidR="004E0AB0" w:rsidRPr="00810594" w:rsidRDefault="004E0AB0" w:rsidP="004E0AB0">
      <w:pPr>
        <w:pStyle w:val="Prrafodelista"/>
        <w:numPr>
          <w:ilvl w:val="0"/>
          <w:numId w:val="21"/>
        </w:numPr>
        <w:tabs>
          <w:tab w:val="num" w:pos="720"/>
        </w:tabs>
        <w:spacing w:after="0"/>
        <w:contextualSpacing w:val="0"/>
        <w:jc w:val="both"/>
        <w:rPr>
          <w:rFonts w:ascii="Verdana" w:hAnsi="Verdana"/>
        </w:rPr>
      </w:pPr>
      <w:r w:rsidRPr="006F65CF">
        <w:rPr>
          <w:rFonts w:ascii="Verdana" w:hAnsi="Verdana"/>
        </w:rPr>
        <w:t xml:space="preserve">Al respecto, la Superintendencia de Industria y Comercio, a través del radicado No. 24-323922- -3-0 del 15 de agosto de 2024, consideró, sobre estos documentos tipo, que: “i) en aras de promover la libre competencia económica en el ámbito de las compras públicas, resulta de gran relevancia que se promueva la concurrencia y la pluralidad de agentes; ii) este tipo de medidas contribuye a simplificar los trámites contractuales y reduce la complejidad inherente a los procedimientos de contratación estatal, agilizando el desarrollo del proceso; </w:t>
      </w:r>
      <w:r w:rsidRPr="00F5141A">
        <w:rPr>
          <w:rFonts w:ascii="Verdana" w:hAnsi="Verdana"/>
          <w:b/>
          <w:bCs/>
        </w:rPr>
        <w:t>iii)</w:t>
      </w:r>
      <w:r w:rsidRPr="006F65CF">
        <w:rPr>
          <w:rFonts w:ascii="Verdana" w:hAnsi="Verdana"/>
        </w:rPr>
        <w:t xml:space="preserve"> </w:t>
      </w:r>
      <w:r w:rsidRPr="00F5141A">
        <w:rPr>
          <w:rFonts w:ascii="Verdana" w:hAnsi="Verdana"/>
          <w:b/>
          <w:bCs/>
          <w:i/>
          <w:iCs/>
        </w:rPr>
        <w:t xml:space="preserve">la actualización de los documentos tipo ofrece varios beneficios a la libre competencia; </w:t>
      </w:r>
      <w:r w:rsidRPr="00F5141A">
        <w:rPr>
          <w:rFonts w:ascii="Verdana" w:hAnsi="Verdana"/>
          <w:b/>
          <w:bCs/>
          <w:i/>
          <w:iCs/>
        </w:rPr>
        <w:lastRenderedPageBreak/>
        <w:t>iv) la revisión de los documentos tipo también ayuda a identificar las posibles barreras que estarían limitando la participación de algunos competidores en el mercado de la contratación pública;</w:t>
      </w:r>
      <w:r w:rsidRPr="006F65CF">
        <w:rPr>
          <w:rFonts w:ascii="Verdana" w:hAnsi="Verdana"/>
        </w:rPr>
        <w:t xml:space="preserve"> v) resalta la pertinencia de integrar los documentos tipo para la contratación de obras de infraestructura de transporte con el Plan Maestro Intermodal 2021-2051, y vi) [frente a la inclusión de criterios sociales y ambientales] estos criterios contribuyen a varios objetivos específicos”.</w:t>
      </w:r>
      <w:r w:rsidR="00F5141A">
        <w:rPr>
          <w:rFonts w:ascii="Verdana" w:hAnsi="Verdana"/>
        </w:rPr>
        <w:t xml:space="preserve"> (Énfasis fuera del texto original). </w:t>
      </w:r>
    </w:p>
    <w:p w14:paraId="70B0574A" w14:textId="77777777" w:rsidR="004E0AB0" w:rsidRPr="00810594" w:rsidRDefault="004E0AB0" w:rsidP="004E0AB0">
      <w:pPr>
        <w:tabs>
          <w:tab w:val="num" w:pos="720"/>
        </w:tabs>
        <w:spacing w:after="0"/>
        <w:jc w:val="both"/>
        <w:rPr>
          <w:rFonts w:ascii="Verdana" w:hAnsi="Verdana"/>
        </w:rPr>
      </w:pPr>
    </w:p>
    <w:p w14:paraId="1ED8EDA8" w14:textId="4BAE31F8" w:rsidR="004E0AB0" w:rsidRPr="004E0AB0" w:rsidRDefault="004E0AB0" w:rsidP="004E0AB0">
      <w:pPr>
        <w:pStyle w:val="Prrafodelista"/>
        <w:numPr>
          <w:ilvl w:val="0"/>
          <w:numId w:val="21"/>
        </w:numPr>
        <w:tabs>
          <w:tab w:val="num" w:pos="720"/>
        </w:tabs>
        <w:spacing w:after="0"/>
        <w:jc w:val="both"/>
        <w:rPr>
          <w:rFonts w:ascii="Verdana" w:hAnsi="Verdana"/>
          <w:i/>
          <w:iCs/>
        </w:rPr>
      </w:pPr>
      <w:r w:rsidRPr="00810594">
        <w:rPr>
          <w:rFonts w:ascii="Verdana" w:hAnsi="Verdana"/>
        </w:rPr>
        <w:t xml:space="preserve">A su vez, es importante señalar que la Superintendencia de Industria y Comercio realiza diversas recomendaciones al proyecto de resolución que adopta estos documentos, particularmente, sobre: i) la experiencia adicional y los porcentajes para determinar la experiencia en la “Matriz 1 – Experiencia”; ii) el contenido del “Anexo 3 – Glosario”, y iii) el contenido del “Anexo 4 – Pacto de transparencia”. </w:t>
      </w:r>
      <w:r w:rsidRPr="00810594">
        <w:rPr>
          <w:rFonts w:ascii="Verdana" w:hAnsi="Verdana"/>
          <w:i/>
          <w:iCs/>
        </w:rPr>
        <w:t xml:space="preserve">Estas recomendaciones fueron atendidas e incorporadas en la presente modificación de los documentos tipo de infraestructura de transporte.  </w:t>
      </w:r>
    </w:p>
    <w:bookmarkEnd w:id="3"/>
    <w:p w14:paraId="17D4833B" w14:textId="77777777" w:rsidR="00F821A0" w:rsidRPr="00C865D4" w:rsidRDefault="00F821A0" w:rsidP="00F821A0">
      <w:pPr>
        <w:spacing w:after="0" w:line="276" w:lineRule="auto"/>
        <w:contextualSpacing/>
        <w:jc w:val="both"/>
        <w:rPr>
          <w:rFonts w:ascii="Verdana" w:eastAsia="Calibri" w:hAnsi="Verdana" w:cs="Arial"/>
          <w:lang w:val="es-ES_tradnl"/>
        </w:rPr>
      </w:pPr>
    </w:p>
    <w:p w14:paraId="4EBB3DB5" w14:textId="77777777" w:rsidR="00F821A0" w:rsidRPr="00C865D4" w:rsidRDefault="00F821A0" w:rsidP="00F821A0">
      <w:pPr>
        <w:numPr>
          <w:ilvl w:val="0"/>
          <w:numId w:val="20"/>
        </w:numPr>
        <w:tabs>
          <w:tab w:val="left" w:pos="142"/>
          <w:tab w:val="left" w:pos="284"/>
        </w:tabs>
        <w:spacing w:after="0" w:line="276" w:lineRule="auto"/>
        <w:ind w:left="357" w:hanging="357"/>
        <w:jc w:val="both"/>
        <w:rPr>
          <w:rFonts w:ascii="Verdana" w:eastAsia="Century Gothic" w:hAnsi="Verdana" w:cs="Century Gothic"/>
          <w:b/>
          <w:bCs/>
          <w:lang w:val="es-ES_tradnl"/>
        </w:rPr>
      </w:pPr>
      <w:r w:rsidRPr="00C865D4">
        <w:rPr>
          <w:rFonts w:ascii="Verdana" w:eastAsia="Century Gothic" w:hAnsi="Verdana" w:cs="Century Gothic"/>
          <w:b/>
          <w:bCs/>
          <w:lang w:val="es-ES_tradnl"/>
        </w:rPr>
        <w:t>Referencias normativas, jurisprudenciales y otras fuentes:</w:t>
      </w:r>
    </w:p>
    <w:p w14:paraId="003B2957" w14:textId="77777777" w:rsidR="00F821A0" w:rsidRPr="00C865D4" w:rsidRDefault="00F821A0" w:rsidP="00F821A0">
      <w:pPr>
        <w:spacing w:after="0"/>
        <w:ind w:left="-15840"/>
        <w:jc w:val="both"/>
        <w:rPr>
          <w:rFonts w:ascii="Verdana" w:eastAsia="Calibri" w:hAnsi="Verdana" w:cs="Arial"/>
          <w:b/>
          <w:bCs/>
        </w:rPr>
      </w:pPr>
      <w:r w:rsidRPr="00C865D4">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F821A0" w:rsidRPr="00C865D4" w14:paraId="33DBF634" w14:textId="77777777" w:rsidTr="006E475D">
        <w:trPr>
          <w:trHeight w:val="870"/>
        </w:trPr>
        <w:tc>
          <w:tcPr>
            <w:tcW w:w="8647" w:type="dxa"/>
            <w:tcBorders>
              <w:top w:val="dotted" w:sz="4" w:space="0" w:color="auto"/>
              <w:left w:val="dotted" w:sz="4" w:space="0" w:color="auto"/>
              <w:bottom w:val="dotted" w:sz="4" w:space="0" w:color="auto"/>
              <w:right w:val="dotted" w:sz="4" w:space="0" w:color="auto"/>
            </w:tcBorders>
          </w:tcPr>
          <w:p w14:paraId="78ADA740" w14:textId="77777777" w:rsidR="00F821A0" w:rsidRPr="00C865D4" w:rsidRDefault="00F821A0" w:rsidP="006E475D">
            <w:pPr>
              <w:spacing w:line="259" w:lineRule="auto"/>
              <w:ind w:left="720"/>
              <w:contextualSpacing/>
              <w:jc w:val="both"/>
              <w:rPr>
                <w:rFonts w:ascii="Verdana" w:eastAsia="Calibri" w:hAnsi="Verdana" w:cs="Arial"/>
                <w:bCs/>
              </w:rPr>
            </w:pPr>
          </w:p>
          <w:p w14:paraId="38F62861" w14:textId="77777777" w:rsidR="00F821A0" w:rsidRPr="00C865D4" w:rsidRDefault="00F821A0" w:rsidP="00F821A0">
            <w:pPr>
              <w:widowControl w:val="0"/>
              <w:numPr>
                <w:ilvl w:val="0"/>
                <w:numId w:val="19"/>
              </w:numPr>
              <w:autoSpaceDE w:val="0"/>
              <w:autoSpaceDN w:val="0"/>
              <w:spacing w:line="276" w:lineRule="auto"/>
              <w:ind w:left="714" w:hanging="357"/>
              <w:jc w:val="both"/>
              <w:rPr>
                <w:rFonts w:ascii="Verdana" w:eastAsia="Calibri" w:hAnsi="Verdana" w:cs="Arial"/>
                <w:lang w:val="es-ES_tradnl"/>
              </w:rPr>
            </w:pPr>
            <w:r w:rsidRPr="00C865D4">
              <w:rPr>
                <w:rFonts w:ascii="Verdana" w:eastAsia="Calibri" w:hAnsi="Verdana" w:cs="Arial"/>
                <w:lang w:val="es-ES_tradnl"/>
              </w:rPr>
              <w:t xml:space="preserve">Ley 2022 de 2020, artículo 1. </w:t>
            </w:r>
          </w:p>
          <w:p w14:paraId="5677E947" w14:textId="77777777" w:rsidR="00F821A0" w:rsidRPr="00C865D4" w:rsidRDefault="00F821A0" w:rsidP="00F821A0">
            <w:pPr>
              <w:widowControl w:val="0"/>
              <w:numPr>
                <w:ilvl w:val="0"/>
                <w:numId w:val="19"/>
              </w:numPr>
              <w:autoSpaceDE w:val="0"/>
              <w:autoSpaceDN w:val="0"/>
              <w:spacing w:line="276" w:lineRule="auto"/>
              <w:jc w:val="both"/>
              <w:rPr>
                <w:rFonts w:ascii="Verdana" w:eastAsia="Calibri" w:hAnsi="Verdana" w:cs="Arial"/>
              </w:rPr>
            </w:pPr>
            <w:r w:rsidRPr="00C865D4">
              <w:rPr>
                <w:rFonts w:ascii="Verdana" w:eastAsia="Calibri" w:hAnsi="Verdana" w:cs="Arial"/>
              </w:rPr>
              <w:t>Ley 1150 de 2007, artículo 2.</w:t>
            </w:r>
          </w:p>
          <w:p w14:paraId="513D330A" w14:textId="77777777" w:rsidR="00F821A0" w:rsidRPr="00C865D4" w:rsidRDefault="00F821A0" w:rsidP="00F821A0">
            <w:pPr>
              <w:widowControl w:val="0"/>
              <w:numPr>
                <w:ilvl w:val="0"/>
                <w:numId w:val="19"/>
              </w:numPr>
              <w:autoSpaceDE w:val="0"/>
              <w:autoSpaceDN w:val="0"/>
              <w:spacing w:line="276" w:lineRule="auto"/>
              <w:contextualSpacing/>
              <w:jc w:val="both"/>
              <w:rPr>
                <w:rFonts w:ascii="Verdana" w:hAnsi="Verdana" w:cs="Arial"/>
              </w:rPr>
            </w:pPr>
            <w:r w:rsidRPr="00C865D4">
              <w:rPr>
                <w:rFonts w:ascii="Verdana" w:eastAsia="Calibri" w:hAnsi="Verdana" w:cs="Arial"/>
                <w:lang w:val="es-ES_tradnl"/>
              </w:rPr>
              <w:t xml:space="preserve">Documentos Tipo. Disponibles en: </w:t>
            </w:r>
            <w:hyperlink r:id="rId11" w:history="1">
              <w:r w:rsidRPr="00C865D4">
                <w:rPr>
                  <w:rFonts w:ascii="Verdana" w:eastAsia="Calibri" w:hAnsi="Verdana" w:cs="Arial"/>
                  <w:color w:val="0000FF"/>
                  <w:u w:val="single"/>
                  <w:lang w:val="es-ES_tradnl"/>
                </w:rPr>
                <w:t>https://www.colombiacompra.gov.co/documentos-tipo/documentos-tipo</w:t>
              </w:r>
            </w:hyperlink>
            <w:r w:rsidRPr="00C865D4">
              <w:rPr>
                <w:rFonts w:ascii="Verdana" w:eastAsia="Calibri" w:hAnsi="Verdana" w:cs="Arial"/>
                <w:lang w:val="es-ES_tradnl"/>
              </w:rPr>
              <w:t>.</w:t>
            </w:r>
          </w:p>
        </w:tc>
      </w:tr>
    </w:tbl>
    <w:p w14:paraId="1880EE21" w14:textId="77777777" w:rsidR="00F821A0" w:rsidRPr="00C865D4" w:rsidRDefault="00F821A0" w:rsidP="00F821A0">
      <w:pPr>
        <w:tabs>
          <w:tab w:val="left" w:pos="142"/>
          <w:tab w:val="left" w:pos="284"/>
        </w:tabs>
        <w:spacing w:after="0" w:line="276" w:lineRule="auto"/>
        <w:jc w:val="both"/>
        <w:rPr>
          <w:rFonts w:ascii="Verdana" w:eastAsia="Calibri" w:hAnsi="Verdana" w:cs="Arial"/>
        </w:rPr>
      </w:pPr>
    </w:p>
    <w:p w14:paraId="253C152C" w14:textId="77777777" w:rsidR="00F821A0" w:rsidRPr="00C865D4" w:rsidRDefault="00F821A0" w:rsidP="00F821A0">
      <w:pPr>
        <w:tabs>
          <w:tab w:val="left" w:pos="142"/>
          <w:tab w:val="left" w:pos="284"/>
        </w:tabs>
        <w:spacing w:after="0" w:line="276" w:lineRule="auto"/>
        <w:jc w:val="both"/>
        <w:rPr>
          <w:rFonts w:ascii="Verdana" w:eastAsia="Century Gothic" w:hAnsi="Verdana" w:cs="Century Gothic"/>
          <w:b/>
          <w:bCs/>
          <w:lang w:val="es-ES"/>
        </w:rPr>
      </w:pPr>
      <w:r w:rsidRPr="00C865D4">
        <w:rPr>
          <w:rFonts w:ascii="Verdana" w:eastAsia="Calibri" w:hAnsi="Verdana" w:cs="Arial"/>
          <w:b/>
          <w:bCs/>
        </w:rPr>
        <w:t>5</w:t>
      </w:r>
      <w:r w:rsidRPr="00C865D4">
        <w:rPr>
          <w:rFonts w:ascii="Verdana" w:eastAsia="Calibri" w:hAnsi="Verdana" w:cs="Arial"/>
        </w:rPr>
        <w:t>.</w:t>
      </w:r>
      <w:r w:rsidRPr="00C865D4">
        <w:rPr>
          <w:rFonts w:ascii="Verdana" w:eastAsia="Century Gothic" w:hAnsi="Verdana" w:cs="Century Gothic"/>
          <w:b/>
          <w:bCs/>
          <w:lang w:val="es-ES"/>
        </w:rPr>
        <w:t>Doctrina de la Agencia Nacional de Contratación Pública:</w:t>
      </w:r>
    </w:p>
    <w:p w14:paraId="0D0500C5" w14:textId="77777777" w:rsidR="00F821A0" w:rsidRPr="00C865D4" w:rsidRDefault="00F821A0" w:rsidP="00F821A0">
      <w:pPr>
        <w:widowControl w:val="0"/>
        <w:autoSpaceDE w:val="0"/>
        <w:autoSpaceDN w:val="0"/>
        <w:spacing w:after="0" w:line="276" w:lineRule="auto"/>
        <w:jc w:val="both"/>
        <w:rPr>
          <w:rFonts w:ascii="Verdana" w:eastAsia="Calibri" w:hAnsi="Verdana" w:cs="Arial"/>
        </w:rPr>
      </w:pPr>
    </w:p>
    <w:p w14:paraId="13FB397F" w14:textId="77777777" w:rsidR="00F821A0" w:rsidRPr="00C865D4" w:rsidRDefault="00F821A0" w:rsidP="00F821A0">
      <w:pPr>
        <w:widowControl w:val="0"/>
        <w:autoSpaceDE w:val="0"/>
        <w:autoSpaceDN w:val="0"/>
        <w:spacing w:after="0" w:line="276" w:lineRule="auto"/>
        <w:jc w:val="both"/>
        <w:rPr>
          <w:rFonts w:ascii="Verdana" w:eastAsia="Times New Roman" w:hAnsi="Verdana" w:cs="Arial"/>
          <w:shd w:val="clear" w:color="auto" w:fill="FFFFFF"/>
          <w:lang w:val="es-ES"/>
        </w:rPr>
      </w:pPr>
      <w:r w:rsidRPr="00C865D4">
        <w:rPr>
          <w:rFonts w:ascii="Verdana" w:eastAsia="Calibri" w:hAnsi="Verdana" w:cs="Arial"/>
          <w:shd w:val="clear" w:color="auto" w:fill="FFFFFF"/>
        </w:rPr>
        <w:t>L</w:t>
      </w:r>
      <w:r w:rsidRPr="00C865D4">
        <w:rPr>
          <w:rFonts w:ascii="Verdana" w:eastAsia="Calibri" w:hAnsi="Verdana" w:cs="Arial"/>
          <w:shd w:val="clear" w:color="auto" w:fill="FFFFFF"/>
          <w:lang w:val="es-ES"/>
        </w:rPr>
        <w:t xml:space="preserve">a Agencia Nacional de Contratación Pública – Colombia Compra Eficiente, se ha pronunciado sobre el fundamento normativo de los documentos tipo en los conceptos: </w:t>
      </w:r>
      <w:r w:rsidRPr="00C865D4">
        <w:rPr>
          <w:rFonts w:ascii="Verdana" w:eastAsia="Times New Roman" w:hAnsi="Verdana" w:cs="Arial"/>
          <w:shd w:val="clear" w:color="auto" w:fill="FFFFFF"/>
          <w:lang w:val="es-ES"/>
        </w:rPr>
        <w:t xml:space="preserve">C-653 del 9 de noviembre de 2020, C-665 del 11 de noviembre de 2020, C-698 del 19 de noviembre de 2020, C-716 del 30 de noviembre de 2020, C-775 de 2020 del 11 de diciembre de 2020, C-798 del 25 de enero de 2021, C-027 del 1 de marzo de 2021 y C-204 del 6 de mayo de 2021, C-215 del 12 de mayo de 2021, C-224 del 20 de mayo, C-264 del 2 de junio del 2021, C-268 del 3 de junio de 2021, C-312 del 29 de junio de 2021, C-344 del 13 de julio de 2021, C-384 del 30 de julio de 2021, C-412 del 17 de agosto de 2021, C-433 </w:t>
      </w:r>
      <w:r w:rsidRPr="00C865D4">
        <w:rPr>
          <w:rFonts w:ascii="Verdana" w:eastAsia="Times New Roman" w:hAnsi="Verdana" w:cs="Arial"/>
          <w:shd w:val="clear" w:color="auto" w:fill="FFFFFF"/>
          <w:lang w:val="es-ES"/>
        </w:rPr>
        <w:lastRenderedPageBreak/>
        <w:t xml:space="preserve">del 20 de agosto de 2021, C-471 del 30 de agosto de 2021, C-450 del 31 de agosto de 2021, C-473 del 7 de septiembre de 2021, C-591 del 31 de agosto de 2021, C-493 del 13 de septiembre de 2021, C-569 del 12 de octubre de 2021, C-599 del 26 de octubre de 2021, C-643 del 17 de noviembre de 2021 y C-356 del 6 de julio de 2022, C-654 del 7 de octubre de 2022, C-874 del 22 de diciembre de 2022, C-909 del 5 de enero de 2023, C-945 del 17 de febrero de 2023, C-042 del 29 de marzo de 2023, C-051 del 28 de abril de 2023, C-299 del 24 de julio de 2023, C- 272 del 22 de agosto de 2024, C- 516 del 07 de octubre de 2024, C- 481 del 09 de noviembre de 2024, C- 692 del 19 de noviembre de 2024 y C-753 del 4 de enero de 2024. </w:t>
      </w:r>
    </w:p>
    <w:p w14:paraId="27D96BE5" w14:textId="77777777" w:rsidR="00F821A0" w:rsidRPr="00C865D4" w:rsidRDefault="00F821A0" w:rsidP="00F821A0">
      <w:pPr>
        <w:widowControl w:val="0"/>
        <w:autoSpaceDE w:val="0"/>
        <w:autoSpaceDN w:val="0"/>
        <w:spacing w:after="0" w:line="276" w:lineRule="auto"/>
        <w:jc w:val="both"/>
        <w:rPr>
          <w:rFonts w:ascii="Verdana" w:eastAsia="Times New Roman" w:hAnsi="Verdana" w:cs="Arial"/>
          <w:shd w:val="clear" w:color="auto" w:fill="FFFFFF"/>
          <w:lang w:val="es-ES"/>
        </w:rPr>
      </w:pPr>
    </w:p>
    <w:p w14:paraId="5B0CF0DA" w14:textId="77777777" w:rsidR="00F821A0" w:rsidRPr="00C865D4" w:rsidRDefault="00F821A0" w:rsidP="00F821A0">
      <w:pPr>
        <w:widowControl w:val="0"/>
        <w:autoSpaceDE w:val="0"/>
        <w:autoSpaceDN w:val="0"/>
        <w:spacing w:after="0" w:line="276" w:lineRule="auto"/>
        <w:jc w:val="both"/>
        <w:rPr>
          <w:rFonts w:ascii="Verdana" w:eastAsia="Times New Roman" w:hAnsi="Verdana" w:cs="Arial"/>
          <w:shd w:val="clear" w:color="auto" w:fill="FFFFFF"/>
          <w:lang w:val="es-ES"/>
        </w:rPr>
      </w:pPr>
      <w:r w:rsidRPr="00C865D4">
        <w:rPr>
          <w:rFonts w:ascii="Verdana" w:eastAsia="Calibri"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2" w:tgtFrame="_blank" w:tooltip="Dirección URL original: https://relatoria.colombiacompra.gov.co/. Haga clic o pulse si confía en este vínculo." w:history="1">
        <w:r w:rsidRPr="00C865D4">
          <w:rPr>
            <w:rFonts w:ascii="Verdana" w:eastAsia="Calibri" w:hAnsi="Verdana" w:cs="Arial"/>
            <w:color w:val="000000" w:themeColor="text1"/>
            <w:u w:val="single"/>
            <w:shd w:val="clear" w:color="auto" w:fill="FFFFFF"/>
          </w:rPr>
          <w:t>https://relatoria.colombiacompra.gov.co/</w:t>
        </w:r>
      </w:hyperlink>
      <w:r w:rsidRPr="00C865D4">
        <w:rPr>
          <w:rFonts w:ascii="Verdana" w:eastAsia="Calibri" w:hAnsi="Verdana" w:cs="Arial"/>
          <w:color w:val="000000" w:themeColor="text1"/>
          <w:shd w:val="clear" w:color="auto" w:fill="FFFFFF"/>
        </w:rPr>
        <w:t> .</w:t>
      </w:r>
    </w:p>
    <w:p w14:paraId="1A80D209" w14:textId="77777777" w:rsidR="00F821A0" w:rsidRPr="00C865D4" w:rsidRDefault="00F821A0" w:rsidP="00F821A0">
      <w:pPr>
        <w:spacing w:after="0" w:line="240" w:lineRule="auto"/>
        <w:jc w:val="both"/>
        <w:rPr>
          <w:rFonts w:ascii="Verdana" w:eastAsia="Calibri" w:hAnsi="Verdana" w:cs="Arial"/>
          <w:color w:val="000000" w:themeColor="text1"/>
          <w:shd w:val="clear" w:color="auto" w:fill="FFFFFF"/>
        </w:rPr>
      </w:pPr>
    </w:p>
    <w:p w14:paraId="5B0659E4" w14:textId="77777777" w:rsidR="00F821A0" w:rsidRPr="00C865D4" w:rsidRDefault="00F821A0" w:rsidP="00F821A0">
      <w:pPr>
        <w:shd w:val="clear" w:color="auto" w:fill="FFFFFF"/>
        <w:spacing w:line="240" w:lineRule="auto"/>
        <w:jc w:val="both"/>
        <w:rPr>
          <w:rFonts w:ascii="Verdana" w:hAnsi="Verdana"/>
          <w:color w:val="212121"/>
        </w:rPr>
      </w:pPr>
      <w:r w:rsidRPr="00C865D4">
        <w:rPr>
          <w:rFonts w:ascii="Verdana" w:hAnsi="Verdana"/>
          <w:color w:val="000000"/>
        </w:rPr>
        <w:t>Te informamos que ya se encuentra disponible la </w:t>
      </w:r>
      <w:r w:rsidRPr="00C865D4">
        <w:rPr>
          <w:rFonts w:ascii="Verdana" w:hAnsi="Verdana"/>
          <w:b/>
          <w:bCs/>
          <w:color w:val="000000"/>
        </w:rPr>
        <w:t>Cartilla para incentivar y fortalecer el acceso a las compras y contratación pública de los pueblos y comunidades étnicas en Colombia.</w:t>
      </w:r>
      <w:r w:rsidRPr="00C865D4">
        <w:rPr>
          <w:rFonts w:ascii="Verdana" w:hAnsi="Verdana"/>
          <w:color w:val="000000"/>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ooltip="Original URL:&#10;https://www.colombiacompra.gov.co/manuales-guias-y-pliegos-tipo/manuales-y-guias/cartilla-para-incentivar-y-fortalecer-el-acceso-las&#10;&#10;Click to follow link." w:history="1">
        <w:r w:rsidRPr="00C865D4">
          <w:rPr>
            <w:rFonts w:ascii="Verdana" w:hAnsi="Verdana"/>
            <w:color w:val="467886"/>
            <w:u w:val="single"/>
          </w:rPr>
          <w:t>Cartilla para incentivar y fortalecer el acceso a las compras y contratación pública de los pueblos y comunidades étnicas en Colombia | Colombia Compra Eficiente | Agencia Nacional de Contratación Pública</w:t>
        </w:r>
      </w:hyperlink>
    </w:p>
    <w:p w14:paraId="1DB369A1" w14:textId="77777777" w:rsidR="00F821A0" w:rsidRPr="00C865D4" w:rsidRDefault="00F821A0" w:rsidP="00F821A0">
      <w:pPr>
        <w:jc w:val="both"/>
        <w:rPr>
          <w:rFonts w:ascii="Verdana" w:hAnsi="Verdana"/>
          <w:color w:val="212121"/>
        </w:rPr>
      </w:pPr>
      <w:r w:rsidRPr="00C865D4">
        <w:rPr>
          <w:rFonts w:ascii="Verdana" w:hAnsi="Verdana"/>
          <w:color w:val="000000"/>
        </w:rPr>
        <w:t>De otra parte, te informamos que, con el objetivo de garantizar un conocimiento adecuado de las </w:t>
      </w:r>
      <w:r w:rsidRPr="00C865D4">
        <w:rPr>
          <w:rFonts w:ascii="Verdana" w:hAnsi="Verdana"/>
          <w:b/>
          <w:bCs/>
          <w:color w:val="000000"/>
        </w:rPr>
        <w:t>modificaciones y/o actualizaciones realizadas a los Documentos Tipo</w:t>
      </w:r>
      <w:r w:rsidRPr="00C865D4">
        <w:rPr>
          <w:rFonts w:ascii="Verdana" w:hAnsi="Verdana"/>
          <w:color w:val="000000"/>
        </w:rPr>
        <w:t>, hemos programado una serie de </w:t>
      </w:r>
      <w:r w:rsidRPr="00C865D4">
        <w:rPr>
          <w:rFonts w:ascii="Verdana" w:hAnsi="Verdana"/>
          <w:b/>
          <w:bCs/>
          <w:color w:val="000000"/>
        </w:rPr>
        <w:t>capacitaciones </w:t>
      </w:r>
      <w:r w:rsidRPr="00C865D4">
        <w:rPr>
          <w:rFonts w:ascii="Verdana" w:hAnsi="Verdana"/>
          <w:color w:val="000000"/>
        </w:rPr>
        <w:t>dirigidas a todos los actores involucrados en los procesos de selección. Podrás conocer la programación y realizar tu inscripción a estas capacitaciones a través del siguiente enlace: </w:t>
      </w:r>
      <w:hyperlink r:id="rId14" w:tooltip="Original URL:&#10;https://www.colombiacompra.gov.co/ciudadanos/calendario&#10;&#10;Click to follow link." w:history="1">
        <w:r w:rsidRPr="00C865D4">
          <w:rPr>
            <w:rFonts w:ascii="Verdana" w:hAnsi="Verdana"/>
            <w:color w:val="467886"/>
            <w:u w:val="single"/>
          </w:rPr>
          <w:t>Calendario | Colombia Compra Eficiente | Agencia Nacional de Contratación Pública</w:t>
        </w:r>
      </w:hyperlink>
    </w:p>
    <w:p w14:paraId="06E80B40" w14:textId="77777777" w:rsidR="00F821A0" w:rsidRPr="00C865D4" w:rsidRDefault="00F821A0" w:rsidP="00F821A0">
      <w:pPr>
        <w:spacing w:after="0"/>
        <w:jc w:val="both"/>
        <w:rPr>
          <w:rFonts w:ascii="Verdana" w:hAnsi="Verdana"/>
          <w:color w:val="212121"/>
        </w:rPr>
      </w:pPr>
      <w:r w:rsidRPr="00C865D4">
        <w:rPr>
          <w:rFonts w:ascii="Verdana" w:hAnsi="Verdana"/>
          <w:color w:val="000000"/>
        </w:rPr>
        <w:t>También, te contamos que ya publicamos </w:t>
      </w:r>
      <w:r w:rsidRPr="00C865D4">
        <w:rPr>
          <w:rFonts w:ascii="Verdana" w:hAnsi="Verdana"/>
          <w:b/>
          <w:bCs/>
          <w:color w:val="000000"/>
        </w:rPr>
        <w:t>la nueva Guía de Contratación Pública Sostenible y Socialmente Responsable</w:t>
      </w:r>
      <w:r w:rsidRPr="00C865D4">
        <w:rPr>
          <w:rFonts w:ascii="Verdana" w:hAnsi="Verdana"/>
          <w:color w:val="000000"/>
        </w:rPr>
        <w:t xml:space="preserve">. Esta guía es un instrumento clave para integrar buenas prácticas en la contratación estatal, promoviendo los Objetivos de Desarrollo Sostenible (ODS) a través de criterios y obligaciones </w:t>
      </w:r>
      <w:r w:rsidRPr="00C865D4">
        <w:rPr>
          <w:rFonts w:ascii="Verdana" w:hAnsi="Verdana"/>
          <w:color w:val="000000"/>
        </w:rPr>
        <w:lastRenderedPageBreak/>
        <w:t>ambientales y sociales en todas las etapas del proceso. Puede consultar la guía en el siguiente enlace: </w:t>
      </w:r>
      <w:hyperlink r:id="rId15" w:tooltip="Original URL:&#10;https://www.colombiacompra.gov.co/manuales-guias-y-pliegos-tipo/manuales-y-guias/guia-de-contratacion-publica-sostenible-y-socialmente&#10;&#10;Click to follow link." w:history="1">
        <w:r w:rsidRPr="00C865D4">
          <w:rPr>
            <w:rFonts w:ascii="Verdana" w:hAnsi="Verdana"/>
            <w:color w:val="467886"/>
            <w:u w:val="single"/>
          </w:rPr>
          <w:t>Guía de Contratación Pública Sostenible y Socialmente Responsable | Colombia Compra Eficiente | Agencia Nacional de Contratación Pública</w:t>
        </w:r>
      </w:hyperlink>
    </w:p>
    <w:p w14:paraId="0F044DDA" w14:textId="77777777" w:rsidR="00F821A0" w:rsidRPr="00C865D4" w:rsidRDefault="00F821A0" w:rsidP="00F821A0">
      <w:pPr>
        <w:spacing w:after="0"/>
        <w:jc w:val="both"/>
        <w:rPr>
          <w:rFonts w:ascii="Verdana" w:hAnsi="Verdana"/>
          <w:color w:val="212121"/>
        </w:rPr>
      </w:pPr>
    </w:p>
    <w:p w14:paraId="332B4F21" w14:textId="77777777" w:rsidR="00F821A0" w:rsidRPr="00C865D4" w:rsidRDefault="00F821A0" w:rsidP="00F821A0">
      <w:pPr>
        <w:spacing w:after="0" w:line="240" w:lineRule="auto"/>
        <w:jc w:val="both"/>
        <w:rPr>
          <w:rFonts w:ascii="Calibri" w:eastAsia="Calibri" w:hAnsi="Calibri" w:cs="Times New Roman"/>
        </w:rPr>
      </w:pPr>
      <w:r w:rsidRPr="00C865D4">
        <w:rPr>
          <w:rFonts w:ascii="Verdana" w:hAnsi="Verdana"/>
        </w:rPr>
        <w:t xml:space="preserve">Por último, lo invitamos a seguirnos en las redes sociales en las cuales se difunde información institucional: </w:t>
      </w:r>
    </w:p>
    <w:p w14:paraId="1F8781E7" w14:textId="77777777" w:rsidR="00F821A0" w:rsidRPr="00C865D4" w:rsidRDefault="00F821A0" w:rsidP="00F821A0">
      <w:pPr>
        <w:spacing w:after="0" w:line="240" w:lineRule="auto"/>
        <w:jc w:val="both"/>
        <w:rPr>
          <w:rFonts w:ascii="Verdana" w:hAnsi="Verdana"/>
        </w:rPr>
      </w:pPr>
    </w:p>
    <w:p w14:paraId="2C8F3763" w14:textId="77777777" w:rsidR="00F821A0" w:rsidRPr="00C865D4" w:rsidRDefault="00F821A0" w:rsidP="00F821A0">
      <w:pPr>
        <w:spacing w:after="0" w:line="240" w:lineRule="auto"/>
        <w:jc w:val="both"/>
        <w:rPr>
          <w:rFonts w:ascii="Verdana" w:hAnsi="Verdana"/>
        </w:rPr>
      </w:pPr>
      <w:r w:rsidRPr="00C865D4">
        <w:rPr>
          <w:rFonts w:ascii="Verdana" w:hAnsi="Verdana"/>
        </w:rPr>
        <w:t xml:space="preserve">Twitter: </w:t>
      </w:r>
      <w:r w:rsidRPr="00C865D4">
        <w:rPr>
          <w:rFonts w:ascii="Verdana" w:eastAsia="Calibri" w:hAnsi="Verdana" w:cs="Times New Roman"/>
          <w:color w:val="4472C4" w:themeColor="accent1"/>
          <w:u w:val="single"/>
        </w:rPr>
        <w:t>@colombiacompra</w:t>
      </w:r>
      <w:r w:rsidRPr="00C865D4">
        <w:rPr>
          <w:rFonts w:ascii="Verdana" w:eastAsia="Calibri" w:hAnsi="Verdana" w:cs="Times New Roman"/>
          <w:color w:val="4472C4" w:themeColor="accent1"/>
        </w:rPr>
        <w:t xml:space="preserve"> </w:t>
      </w:r>
    </w:p>
    <w:p w14:paraId="0D4C9AD9" w14:textId="77777777" w:rsidR="00F821A0" w:rsidRPr="00C865D4" w:rsidRDefault="00F821A0" w:rsidP="00F821A0">
      <w:pPr>
        <w:spacing w:after="0" w:line="240" w:lineRule="auto"/>
        <w:jc w:val="both"/>
        <w:rPr>
          <w:rFonts w:ascii="Verdana" w:hAnsi="Verdana"/>
        </w:rPr>
      </w:pPr>
      <w:r w:rsidRPr="00C865D4">
        <w:rPr>
          <w:rFonts w:ascii="Verdana" w:hAnsi="Verdana"/>
        </w:rPr>
        <w:t xml:space="preserve">Facebook: </w:t>
      </w:r>
      <w:r w:rsidRPr="00C865D4">
        <w:rPr>
          <w:rFonts w:ascii="Verdana" w:eastAsia="Calibri" w:hAnsi="Verdana" w:cs="Times New Roman"/>
          <w:color w:val="4472C4" w:themeColor="accent1"/>
          <w:u w:val="single"/>
        </w:rPr>
        <w:t>ColombiaCompraEficiente</w:t>
      </w:r>
    </w:p>
    <w:p w14:paraId="4EDD2E0E" w14:textId="77777777" w:rsidR="00F821A0" w:rsidRPr="00C865D4" w:rsidRDefault="00F821A0" w:rsidP="00F821A0">
      <w:pPr>
        <w:spacing w:after="0" w:line="240" w:lineRule="auto"/>
        <w:jc w:val="both"/>
        <w:rPr>
          <w:rFonts w:ascii="Verdana" w:hAnsi="Verdana"/>
        </w:rPr>
      </w:pPr>
      <w:r w:rsidRPr="00C865D4">
        <w:rPr>
          <w:rFonts w:ascii="Verdana" w:hAnsi="Verdana"/>
        </w:rPr>
        <w:t xml:space="preserve">LinkedIn: </w:t>
      </w:r>
      <w:r w:rsidRPr="00C865D4">
        <w:rPr>
          <w:rFonts w:ascii="Verdana" w:eastAsia="Calibri" w:hAnsi="Verdana" w:cs="Times New Roman"/>
          <w:color w:val="4472C4" w:themeColor="accent1"/>
          <w:u w:val="single"/>
        </w:rPr>
        <w:t>Agencia Nacional de Contratación Pública - Colombia Compra Eficiente</w:t>
      </w:r>
      <w:r w:rsidRPr="00C865D4">
        <w:rPr>
          <w:rFonts w:ascii="Verdana" w:eastAsia="Calibri" w:hAnsi="Verdana" w:cs="Times New Roman"/>
          <w:color w:val="4472C4" w:themeColor="accent1"/>
        </w:rPr>
        <w:t xml:space="preserve"> </w:t>
      </w:r>
      <w:r w:rsidRPr="00C865D4">
        <w:rPr>
          <w:rFonts w:ascii="Verdana" w:hAnsi="Verdana"/>
        </w:rPr>
        <w:t xml:space="preserve">Instagram: </w:t>
      </w:r>
      <w:r w:rsidRPr="00C865D4">
        <w:rPr>
          <w:rFonts w:ascii="Verdana" w:eastAsia="Calibri" w:hAnsi="Verdana" w:cs="Times New Roman"/>
          <w:color w:val="4472C4" w:themeColor="accent1"/>
          <w:u w:val="single"/>
        </w:rPr>
        <w:t>@colombiacompraeficiente_cce</w:t>
      </w:r>
    </w:p>
    <w:p w14:paraId="163CA3E8" w14:textId="77777777" w:rsidR="00F821A0" w:rsidRPr="00C865D4" w:rsidRDefault="00F821A0" w:rsidP="00F821A0">
      <w:pPr>
        <w:widowControl w:val="0"/>
        <w:autoSpaceDE w:val="0"/>
        <w:autoSpaceDN w:val="0"/>
        <w:spacing w:after="0" w:line="276" w:lineRule="auto"/>
        <w:jc w:val="both"/>
        <w:rPr>
          <w:rFonts w:ascii="Verdana" w:hAnsi="Verdana"/>
        </w:rPr>
      </w:pPr>
    </w:p>
    <w:p w14:paraId="2F68C670" w14:textId="77777777" w:rsidR="00F821A0" w:rsidRPr="00C865D4" w:rsidRDefault="00F821A0" w:rsidP="00F821A0">
      <w:pPr>
        <w:widowControl w:val="0"/>
        <w:autoSpaceDE w:val="0"/>
        <w:autoSpaceDN w:val="0"/>
        <w:spacing w:after="0" w:line="276" w:lineRule="auto"/>
        <w:jc w:val="both"/>
        <w:rPr>
          <w:rFonts w:ascii="Verdana" w:eastAsia="Calibri" w:hAnsi="Verdana" w:cs="Arial"/>
          <w:lang w:val="es-ES_tradnl"/>
        </w:rPr>
      </w:pPr>
      <w:r w:rsidRPr="00C865D4">
        <w:rPr>
          <w:rFonts w:ascii="Verdana" w:eastAsia="Calibri" w:hAnsi="Verdana" w:cs="Arial"/>
        </w:rPr>
        <w:t>Este concepto tiene el alcance previsto en el artículo 28 del Código de Procedimiento Administrativo y de lo Contencioso Administrativo.</w:t>
      </w:r>
    </w:p>
    <w:p w14:paraId="61917148" w14:textId="77777777" w:rsidR="00F821A0" w:rsidRPr="00C865D4" w:rsidRDefault="00F821A0" w:rsidP="00F821A0">
      <w:pPr>
        <w:widowControl w:val="0"/>
        <w:autoSpaceDE w:val="0"/>
        <w:autoSpaceDN w:val="0"/>
        <w:spacing w:after="0" w:line="276" w:lineRule="auto"/>
        <w:jc w:val="both"/>
        <w:rPr>
          <w:rFonts w:ascii="Verdana" w:eastAsia="Calibri" w:hAnsi="Verdana" w:cs="Arial"/>
        </w:rPr>
      </w:pPr>
    </w:p>
    <w:p w14:paraId="23B3B2A5" w14:textId="77777777" w:rsidR="00F821A0" w:rsidRPr="00C865D4" w:rsidRDefault="00F821A0" w:rsidP="00F821A0">
      <w:pPr>
        <w:spacing w:after="0" w:line="240" w:lineRule="auto"/>
        <w:rPr>
          <w:rFonts w:ascii="Verdana" w:eastAsia="Calibri" w:hAnsi="Verdana" w:cs="Arial"/>
          <w:lang w:eastAsia="es-CO"/>
        </w:rPr>
      </w:pPr>
      <w:r w:rsidRPr="00C865D4">
        <w:rPr>
          <w:rFonts w:ascii="Verdana" w:eastAsia="Times New Roman" w:hAnsi="Verdana" w:cs="Arial"/>
          <w:lang w:eastAsia="es-CO"/>
        </w:rPr>
        <w:t>Atentamente,</w:t>
      </w:r>
      <w:r w:rsidRPr="00C865D4">
        <w:rPr>
          <w:rFonts w:ascii="Verdana" w:eastAsia="Calibri" w:hAnsi="Verdana" w:cs="Arial"/>
          <w:lang w:eastAsia="es-CO"/>
        </w:rPr>
        <w:t xml:space="preserve"> </w:t>
      </w:r>
    </w:p>
    <w:p w14:paraId="3FD93577" w14:textId="77777777" w:rsidR="00F821A0" w:rsidRPr="00C865D4" w:rsidRDefault="00F821A0" w:rsidP="00F821A0">
      <w:pPr>
        <w:tabs>
          <w:tab w:val="left" w:pos="1320"/>
        </w:tabs>
        <w:rPr>
          <w:rFonts w:ascii="Century Gothic" w:hAnsi="Century Gothic"/>
        </w:rPr>
      </w:pPr>
    </w:p>
    <w:p w14:paraId="0AE4E1B0" w14:textId="4B082F63" w:rsidR="00F821A0" w:rsidRPr="00C865D4" w:rsidRDefault="004D662B" w:rsidP="00F821A0">
      <w:pPr>
        <w:tabs>
          <w:tab w:val="left" w:pos="1320"/>
        </w:tabs>
        <w:jc w:val="center"/>
        <w:rPr>
          <w:rFonts w:ascii="Century Gothic" w:hAnsi="Century Gothic"/>
        </w:rPr>
      </w:pPr>
      <w:r w:rsidRPr="004D5C25">
        <w:rPr>
          <w:rFonts w:ascii="Century Gothic" w:hAnsi="Century Gothic"/>
          <w:noProof/>
        </w:rPr>
        <w:drawing>
          <wp:inline distT="0" distB="0" distL="0" distR="0" wp14:anchorId="140EB8B1" wp14:editId="13D01BF8">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821A0" w:rsidRPr="00C865D4" w14:paraId="05253FA3" w14:textId="77777777" w:rsidTr="006E475D">
        <w:trPr>
          <w:trHeight w:val="315"/>
        </w:trPr>
        <w:tc>
          <w:tcPr>
            <w:tcW w:w="893" w:type="dxa"/>
            <w:vAlign w:val="center"/>
            <w:hideMark/>
          </w:tcPr>
          <w:p w14:paraId="09B2CD0C" w14:textId="77777777" w:rsidR="00F821A0" w:rsidRPr="00C865D4" w:rsidRDefault="00F821A0" w:rsidP="006E475D">
            <w:pPr>
              <w:spacing w:line="259" w:lineRule="auto"/>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2B70EA00" w14:textId="77777777" w:rsidR="00F821A0" w:rsidRPr="00C865D4" w:rsidRDefault="00F821A0" w:rsidP="006E475D">
            <w:pPr>
              <w:spacing w:line="259" w:lineRule="auto"/>
              <w:rPr>
                <w:rFonts w:ascii="Verdana" w:eastAsia="Arial" w:hAnsi="Verdana" w:cs="Arial"/>
                <w:sz w:val="16"/>
                <w:szCs w:val="16"/>
                <w:lang w:val="es-ES"/>
              </w:rPr>
            </w:pPr>
            <w:r w:rsidRPr="00C865D4">
              <w:rPr>
                <w:rFonts w:ascii="Verdana" w:eastAsia="Arial" w:hAnsi="Verdana" w:cs="Arial"/>
                <w:sz w:val="16"/>
                <w:szCs w:val="16"/>
                <w:lang w:val="es-ES"/>
              </w:rPr>
              <w:t xml:space="preserve">Carlos Mario Castrillon Endo </w:t>
            </w:r>
          </w:p>
          <w:p w14:paraId="25CDD506" w14:textId="77777777" w:rsidR="00F821A0" w:rsidRPr="00C865D4" w:rsidRDefault="00F821A0" w:rsidP="006E475D">
            <w:pPr>
              <w:spacing w:line="259" w:lineRule="auto"/>
              <w:rPr>
                <w:rFonts w:ascii="Verdana" w:eastAsia="Arial" w:hAnsi="Verdana" w:cs="Arial"/>
                <w:sz w:val="16"/>
                <w:szCs w:val="16"/>
                <w:lang w:val="es-ES_tradnl"/>
              </w:rPr>
            </w:pPr>
            <w:r w:rsidRPr="00C865D4">
              <w:rPr>
                <w:rFonts w:ascii="Verdana" w:eastAsia="Arial" w:hAnsi="Verdana" w:cs="Arial"/>
                <w:sz w:val="16"/>
                <w:szCs w:val="16"/>
                <w:lang w:val="es-ES_tradnl"/>
              </w:rPr>
              <w:t>Contratista de la Subdirección de Gestión Contractual</w:t>
            </w:r>
          </w:p>
          <w:p w14:paraId="6472048B" w14:textId="77777777" w:rsidR="00F821A0" w:rsidRPr="00C865D4" w:rsidRDefault="00F821A0" w:rsidP="006E475D">
            <w:pPr>
              <w:spacing w:line="259" w:lineRule="auto"/>
              <w:rPr>
                <w:rFonts w:ascii="Verdana" w:eastAsia="Arial" w:hAnsi="Verdana" w:cs="Arial"/>
                <w:sz w:val="16"/>
                <w:szCs w:val="16"/>
                <w:lang w:val="es-ES_tradnl"/>
              </w:rPr>
            </w:pPr>
          </w:p>
        </w:tc>
      </w:tr>
      <w:tr w:rsidR="00F821A0" w:rsidRPr="00C865D4" w14:paraId="4C0DBC98" w14:textId="77777777" w:rsidTr="006E475D">
        <w:trPr>
          <w:trHeight w:val="330"/>
        </w:trPr>
        <w:tc>
          <w:tcPr>
            <w:tcW w:w="893" w:type="dxa"/>
            <w:vAlign w:val="center"/>
            <w:hideMark/>
          </w:tcPr>
          <w:p w14:paraId="0106FC5A" w14:textId="77777777" w:rsidR="00F821A0" w:rsidRPr="00C865D4" w:rsidRDefault="00F821A0" w:rsidP="006E475D">
            <w:pPr>
              <w:spacing w:line="259" w:lineRule="auto"/>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040BBBA7" w14:textId="77777777" w:rsidR="00F821A0" w:rsidRPr="00C865D4" w:rsidRDefault="00F821A0" w:rsidP="006E475D">
            <w:pPr>
              <w:spacing w:line="259" w:lineRule="auto"/>
              <w:textAlignment w:val="baseline"/>
              <w:rPr>
                <w:rFonts w:ascii="Verdana" w:eastAsia="Times New Roman" w:hAnsi="Verdana" w:cs="Segoe UI"/>
                <w:sz w:val="16"/>
                <w:szCs w:val="16"/>
                <w:lang w:eastAsia="es-ES_tradnl"/>
              </w:rPr>
            </w:pPr>
            <w:r w:rsidRPr="00C865D4">
              <w:rPr>
                <w:rFonts w:ascii="Verdana" w:eastAsia="Times New Roman" w:hAnsi="Verdana" w:cs="Segoe UI"/>
                <w:sz w:val="16"/>
                <w:szCs w:val="16"/>
                <w:lang w:eastAsia="es-ES_tradnl"/>
              </w:rPr>
              <w:t>Lida Milena Guanumen Pacheco</w:t>
            </w:r>
          </w:p>
          <w:p w14:paraId="512A9690" w14:textId="77777777" w:rsidR="00F821A0" w:rsidRPr="00C865D4" w:rsidRDefault="00F821A0" w:rsidP="006E475D">
            <w:pPr>
              <w:spacing w:line="259" w:lineRule="auto"/>
              <w:rPr>
                <w:rFonts w:ascii="Verdana" w:eastAsia="Arial" w:hAnsi="Verdana" w:cs="Arial"/>
                <w:sz w:val="16"/>
                <w:szCs w:val="16"/>
                <w:lang w:val="es-ES_tradnl"/>
              </w:rPr>
            </w:pPr>
            <w:r w:rsidRPr="00C865D4">
              <w:rPr>
                <w:rFonts w:ascii="Verdana" w:eastAsia="Arial" w:hAnsi="Verdana" w:cs="Arial"/>
                <w:sz w:val="16"/>
                <w:szCs w:val="16"/>
                <w:lang w:val="es-ES_tradnl"/>
              </w:rPr>
              <w:t>Contratista de la Subdirección de Gestión Contractual</w:t>
            </w:r>
          </w:p>
          <w:p w14:paraId="69DEEDAE" w14:textId="77777777" w:rsidR="00F821A0" w:rsidRPr="00C865D4" w:rsidRDefault="00F821A0" w:rsidP="006E475D">
            <w:pPr>
              <w:spacing w:line="259" w:lineRule="auto"/>
              <w:textAlignment w:val="baseline"/>
              <w:rPr>
                <w:rFonts w:ascii="Verdana" w:eastAsia="Times New Roman" w:hAnsi="Verdana" w:cs="Segoe UI"/>
                <w:sz w:val="16"/>
                <w:szCs w:val="16"/>
                <w:lang w:val="es-ES_tradnl" w:eastAsia="es-ES_tradnl"/>
              </w:rPr>
            </w:pPr>
            <w:r w:rsidRPr="00C865D4">
              <w:rPr>
                <w:rFonts w:ascii="Verdana" w:eastAsia="Times New Roman" w:hAnsi="Verdana" w:cs="Segoe UI"/>
                <w:sz w:val="16"/>
                <w:szCs w:val="16"/>
                <w:lang w:val="es-ES_tradnl" w:eastAsia="es-ES_tradnl"/>
              </w:rPr>
              <w:t xml:space="preserve">Juan David Cárdenas Cabeza </w:t>
            </w:r>
          </w:p>
          <w:p w14:paraId="28512539" w14:textId="77777777" w:rsidR="00F821A0" w:rsidRPr="00C865D4" w:rsidRDefault="00F821A0" w:rsidP="006E475D">
            <w:pPr>
              <w:spacing w:line="259" w:lineRule="auto"/>
              <w:textAlignment w:val="baseline"/>
              <w:rPr>
                <w:rFonts w:ascii="Verdana" w:eastAsia="Times New Roman" w:hAnsi="Verdana" w:cs="Segoe UI"/>
                <w:sz w:val="16"/>
                <w:szCs w:val="16"/>
                <w:lang w:val="es-ES_tradnl" w:eastAsia="es-ES_tradnl"/>
              </w:rPr>
            </w:pPr>
            <w:r w:rsidRPr="00C865D4">
              <w:rPr>
                <w:rFonts w:ascii="Verdana" w:eastAsia="Times New Roman" w:hAnsi="Verdana" w:cs="Arial"/>
                <w:sz w:val="16"/>
                <w:szCs w:val="16"/>
                <w:lang w:val="es-ES_tradnl" w:eastAsia="es-ES_tradnl"/>
              </w:rPr>
              <w:t>Contratista de la Subdirección de Gestión Contractual </w:t>
            </w:r>
          </w:p>
        </w:tc>
      </w:tr>
      <w:tr w:rsidR="00F821A0" w:rsidRPr="00C865D4" w14:paraId="40D2D41F" w14:textId="77777777" w:rsidTr="006E475D">
        <w:trPr>
          <w:trHeight w:val="300"/>
        </w:trPr>
        <w:tc>
          <w:tcPr>
            <w:tcW w:w="893" w:type="dxa"/>
            <w:vAlign w:val="center"/>
          </w:tcPr>
          <w:p w14:paraId="4608F899" w14:textId="77777777" w:rsidR="00F821A0" w:rsidRPr="00C865D4" w:rsidRDefault="00F821A0" w:rsidP="006E475D">
            <w:pPr>
              <w:spacing w:line="259" w:lineRule="auto"/>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6135D634" w14:textId="77777777" w:rsidR="00F821A0" w:rsidRPr="00C865D4" w:rsidRDefault="00F821A0" w:rsidP="006E475D">
            <w:pPr>
              <w:spacing w:line="259" w:lineRule="auto"/>
              <w:rPr>
                <w:rFonts w:ascii="Verdana" w:eastAsia="Calibri" w:hAnsi="Verdana" w:cs="Arial"/>
                <w:sz w:val="16"/>
                <w:szCs w:val="16"/>
                <w:lang w:val="es-ES" w:eastAsia="es-ES"/>
              </w:rPr>
            </w:pPr>
            <w:r w:rsidRPr="00C865D4">
              <w:rPr>
                <w:rFonts w:ascii="Verdana" w:eastAsia="Calibri" w:hAnsi="Verdana" w:cs="Arial"/>
                <w:sz w:val="16"/>
                <w:szCs w:val="16"/>
                <w:lang w:val="es-ES" w:eastAsia="es-ES"/>
              </w:rPr>
              <w:t>Carolina Quintero Gacharná</w:t>
            </w:r>
          </w:p>
          <w:p w14:paraId="696773D0" w14:textId="77777777" w:rsidR="00F821A0" w:rsidRPr="00C865D4" w:rsidRDefault="00F821A0" w:rsidP="006E475D">
            <w:pPr>
              <w:spacing w:line="259" w:lineRule="auto"/>
              <w:rPr>
                <w:rFonts w:ascii="Verdana" w:eastAsia="Calibri" w:hAnsi="Verdana" w:cs="Arial"/>
                <w:sz w:val="16"/>
                <w:szCs w:val="16"/>
                <w:lang w:val="es-ES_tradnl" w:eastAsia="es-ES"/>
              </w:rPr>
            </w:pPr>
            <w:r w:rsidRPr="00C865D4">
              <w:rPr>
                <w:rFonts w:ascii="Verdana" w:eastAsia="Calibri" w:hAnsi="Verdana" w:cs="Arial"/>
                <w:sz w:val="16"/>
                <w:szCs w:val="16"/>
                <w:lang w:val="es-ES_tradnl" w:eastAsia="es-ES"/>
              </w:rPr>
              <w:t>Subdirectora de Gestión Contractual ANCP – CCE</w:t>
            </w:r>
          </w:p>
        </w:tc>
      </w:tr>
      <w:bookmarkEnd w:id="0"/>
    </w:tbl>
    <w:p w14:paraId="73206FC4" w14:textId="77777777" w:rsidR="00F821A0" w:rsidRPr="00C865D4" w:rsidRDefault="00F821A0" w:rsidP="00F821A0">
      <w:pPr>
        <w:tabs>
          <w:tab w:val="left" w:pos="1320"/>
        </w:tabs>
        <w:rPr>
          <w:rFonts w:ascii="Century Gothic" w:hAnsi="Century Gothic"/>
        </w:rPr>
      </w:pPr>
    </w:p>
    <w:p w14:paraId="3900974D" w14:textId="77777777" w:rsidR="003D5B0D" w:rsidRPr="000E7595" w:rsidRDefault="003D5B0D" w:rsidP="000E7595"/>
    <w:sectPr w:rsidR="003D5B0D" w:rsidRPr="000E7595"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E58E7" w14:textId="77777777" w:rsidR="008A05BE" w:rsidRDefault="008A05BE" w:rsidP="004A1847">
      <w:pPr>
        <w:spacing w:after="0" w:line="240" w:lineRule="auto"/>
      </w:pPr>
      <w:r>
        <w:separator/>
      </w:r>
    </w:p>
  </w:endnote>
  <w:endnote w:type="continuationSeparator" w:id="0">
    <w:p w14:paraId="2BCD0BA4" w14:textId="77777777" w:rsidR="008A05BE" w:rsidRDefault="008A05BE"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7D2E66" w14:textId="77777777" w:rsidR="008A05BE" w:rsidRDefault="008A05BE" w:rsidP="004A1847">
      <w:pPr>
        <w:spacing w:after="0" w:line="240" w:lineRule="auto"/>
      </w:pPr>
      <w:r>
        <w:separator/>
      </w:r>
    </w:p>
  </w:footnote>
  <w:footnote w:type="continuationSeparator" w:id="0">
    <w:p w14:paraId="4780B800" w14:textId="77777777" w:rsidR="008A05BE" w:rsidRDefault="008A05BE" w:rsidP="004A1847">
      <w:pPr>
        <w:spacing w:after="0" w:line="240" w:lineRule="auto"/>
      </w:pPr>
      <w:r>
        <w:continuationSeparator/>
      </w:r>
    </w:p>
  </w:footnote>
  <w:footnote w:id="1">
    <w:p w14:paraId="538A1845" w14:textId="77777777" w:rsidR="00F821A0" w:rsidRPr="00594664" w:rsidRDefault="00F821A0" w:rsidP="00F821A0">
      <w:pPr>
        <w:pStyle w:val="Textonotapie"/>
      </w:pPr>
      <w:r>
        <w:rPr>
          <w:rStyle w:val="Refdenotaalpie"/>
        </w:rPr>
        <w:footnoteRef/>
      </w:r>
      <w:r>
        <w:t xml:space="preserve"> </w:t>
      </w:r>
      <w:r w:rsidRPr="000B7F1A">
        <w:rPr>
          <w:sz w:val="16"/>
        </w:rPr>
        <w:t>Reglamentos Aeronáuticos de Colombia (RAC). RAC 14.</w:t>
      </w:r>
      <w:r w:rsidRPr="00D971D9">
        <w:t xml:space="preserve"> </w:t>
      </w:r>
      <w:r w:rsidRPr="00D971D9">
        <w:rPr>
          <w:sz w:val="16"/>
        </w:rPr>
        <w:t>Numeral 14.1. Definiciones</w:t>
      </w:r>
      <w:r w:rsidRPr="000B7F1A">
        <w:rPr>
          <w:sz w:val="16"/>
        </w:rPr>
        <w:t>.</w:t>
      </w:r>
    </w:p>
  </w:footnote>
  <w:footnote w:id="2">
    <w:p w14:paraId="73D1E023" w14:textId="77777777" w:rsidR="00F821A0" w:rsidRPr="00671E64" w:rsidRDefault="00F821A0" w:rsidP="00F821A0">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Style w:val="Refdenotaalpie"/>
          <w:rFonts w:ascii="Verdana" w:eastAsiaTheme="majorEastAsia" w:hAnsi="Verdana" w:cs="Arial"/>
          <w:color w:val="000000" w:themeColor="text1"/>
          <w:sz w:val="18"/>
          <w:szCs w:val="18"/>
        </w:rPr>
        <w:footnoteRef/>
      </w:r>
      <w:r w:rsidRPr="00671E64">
        <w:rPr>
          <w:rFonts w:ascii="Verdana" w:hAnsi="Verdana" w:cs="Arial"/>
          <w:color w:val="000000" w:themeColor="text1"/>
          <w:sz w:val="18"/>
          <w:szCs w:val="18"/>
        </w:rPr>
        <w:t xml:space="preserve"> Ley 2022 de 2020: “</w:t>
      </w:r>
      <w:r w:rsidRPr="00671E64">
        <w:rPr>
          <w:rStyle w:val="Textoennegrita"/>
          <w:rFonts w:ascii="Verdana" w:hAnsi="Verdana" w:cs="Arial"/>
          <w:color w:val="000000" w:themeColor="text1"/>
          <w:sz w:val="18"/>
          <w:szCs w:val="18"/>
        </w:rPr>
        <w:t xml:space="preserve">Artículo 1º. </w:t>
      </w:r>
      <w:r w:rsidRPr="00671E64">
        <w:rPr>
          <w:rFonts w:ascii="Verdana" w:hAnsi="Verdana" w:cs="Arial"/>
          <w:color w:val="000000" w:themeColor="text1"/>
          <w:sz w:val="18"/>
          <w:szCs w:val="18"/>
        </w:rPr>
        <w:t>Modifíquese el artículo 4º de la Ley 1882 de 2018, el cual quedará así:</w:t>
      </w:r>
    </w:p>
    <w:p w14:paraId="55908D15" w14:textId="77777777" w:rsidR="00F821A0" w:rsidRPr="00671E64" w:rsidRDefault="00F821A0" w:rsidP="00F821A0">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Style w:val="Textoennegrita"/>
          <w:rFonts w:ascii="Verdana" w:hAnsi="Verdana" w:cs="Arial"/>
          <w:color w:val="000000" w:themeColor="text1"/>
          <w:sz w:val="18"/>
          <w:szCs w:val="18"/>
        </w:rPr>
        <w:t xml:space="preserve">“Artículo 4º. </w:t>
      </w:r>
      <w:r w:rsidRPr="00671E64">
        <w:rPr>
          <w:rFonts w:ascii="Verdana" w:hAnsi="Verdana" w:cs="Arial"/>
          <w:color w:val="000000" w:themeColor="text1"/>
          <w:sz w:val="18"/>
          <w:szCs w:val="18"/>
        </w:rPr>
        <w:t>Adiciónese el siguiente parágrafo al artículo 2º de la Ley 1150 de 2007.</w:t>
      </w:r>
    </w:p>
    <w:p w14:paraId="25814DE6" w14:textId="77777777" w:rsidR="00F821A0" w:rsidRPr="00671E64" w:rsidRDefault="00F821A0" w:rsidP="00F821A0">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Style w:val="Textoennegrita"/>
          <w:rFonts w:ascii="Verdana" w:hAnsi="Verdana" w:cs="Arial"/>
          <w:color w:val="000000" w:themeColor="text1"/>
          <w:sz w:val="18"/>
          <w:szCs w:val="18"/>
        </w:rPr>
        <w:t xml:space="preserve">Parágrafo 7º. </w:t>
      </w:r>
      <w:r w:rsidRPr="00671E64">
        <w:rPr>
          <w:rFonts w:ascii="Verdana" w:hAnsi="Verdana" w:cs="Arial"/>
          <w:color w:val="000000" w:themeColor="text1"/>
          <w:sz w:val="18"/>
          <w:szCs w:val="18"/>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6C964047" w14:textId="77777777" w:rsidR="00F821A0" w:rsidRPr="00671E64" w:rsidRDefault="00F821A0" w:rsidP="00F821A0">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Fonts w:ascii="Verdana" w:hAnsi="Verdana" w:cs="Arial"/>
          <w:color w:val="000000" w:themeColor="text1"/>
          <w:sz w:val="18"/>
          <w:szCs w:val="18"/>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5B2CC7D2" w14:textId="77777777" w:rsidR="00F821A0" w:rsidRPr="00671E64" w:rsidRDefault="00F821A0" w:rsidP="00F821A0">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Fonts w:ascii="Verdana" w:hAnsi="Verdana" w:cs="Arial"/>
          <w:color w:val="000000" w:themeColor="text1"/>
          <w:sz w:val="18"/>
          <w:szCs w:val="18"/>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5FFAB002" w14:textId="77777777" w:rsidR="00F821A0" w:rsidRPr="00671E64" w:rsidRDefault="00F821A0" w:rsidP="00F821A0">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Fonts w:ascii="Verdana" w:hAnsi="Verdana" w:cs="Arial"/>
          <w:color w:val="000000" w:themeColor="text1"/>
          <w:sz w:val="18"/>
          <w:szCs w:val="18"/>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2F3F2C12" w14:textId="77777777" w:rsidR="00F821A0" w:rsidRPr="00671E64" w:rsidRDefault="00F821A0" w:rsidP="00F821A0">
      <w:pPr>
        <w:pStyle w:val="NormalWeb"/>
        <w:spacing w:before="0" w:beforeAutospacing="0" w:after="0" w:afterAutospacing="0"/>
        <w:ind w:firstLine="708"/>
        <w:contextualSpacing/>
        <w:jc w:val="both"/>
        <w:rPr>
          <w:rFonts w:ascii="Verdana" w:hAnsi="Verdana" w:cs="Arial"/>
          <w:color w:val="000000" w:themeColor="text1"/>
          <w:sz w:val="18"/>
          <w:szCs w:val="18"/>
        </w:rPr>
      </w:pPr>
      <w:r w:rsidRPr="00671E64">
        <w:rPr>
          <w:rFonts w:ascii="Verdana" w:hAnsi="Verdana" w:cs="Arial"/>
          <w:color w:val="000000" w:themeColor="text1"/>
          <w:sz w:val="18"/>
          <w:szCs w:val="18"/>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3">
    <w:p w14:paraId="258A853C" w14:textId="77777777" w:rsidR="00F821A0" w:rsidRPr="00671E64" w:rsidRDefault="00F821A0" w:rsidP="00F821A0">
      <w:pPr>
        <w:pStyle w:val="Textonotapie"/>
        <w:ind w:firstLine="708"/>
        <w:contextualSpacing/>
        <w:jc w:val="both"/>
        <w:rPr>
          <w:rFonts w:ascii="Verdana" w:hAnsi="Verdana" w:cs="Arial"/>
          <w:color w:val="000000" w:themeColor="text1"/>
          <w:sz w:val="18"/>
          <w:szCs w:val="18"/>
        </w:rPr>
      </w:pPr>
      <w:r w:rsidRPr="00671E64">
        <w:rPr>
          <w:rStyle w:val="Refdenotaalpie"/>
          <w:rFonts w:ascii="Verdana" w:hAnsi="Verdana" w:cs="Arial"/>
          <w:color w:val="000000" w:themeColor="text1"/>
          <w:sz w:val="18"/>
          <w:szCs w:val="18"/>
        </w:rPr>
        <w:footnoteRef/>
      </w:r>
      <w:r w:rsidRPr="00671E64">
        <w:rPr>
          <w:rFonts w:ascii="Verdana" w:hAnsi="Verdana" w:cs="Arial"/>
          <w:color w:val="000000" w:themeColor="text1"/>
          <w:sz w:val="18"/>
          <w:szCs w:val="18"/>
        </w:rPr>
        <w:t xml:space="preserve"> Los Documentos Tipo expedidos por la Agencia Nacional de Contratación Pública – Colombia Compra Eficiente pueden ser consultados en el siguiente enlace: </w:t>
      </w:r>
      <w:hyperlink r:id="rId1" w:history="1">
        <w:r w:rsidRPr="00671E64">
          <w:rPr>
            <w:rStyle w:val="Hipervnculo"/>
            <w:rFonts w:ascii="Verdana" w:hAnsi="Verdana" w:cs="Arial"/>
            <w:color w:val="000000" w:themeColor="text1"/>
            <w:sz w:val="18"/>
            <w:szCs w:val="18"/>
          </w:rPr>
          <w:t>https://www.colombiacompra.gov.co/documentos-tipo/documentos-tipo</w:t>
        </w:r>
      </w:hyperlink>
      <w:r w:rsidRPr="00671E64">
        <w:rPr>
          <w:rFonts w:ascii="Verdana" w:hAnsi="Verdana" w:cs="Arial"/>
          <w:color w:val="000000" w:themeColor="text1"/>
          <w:sz w:val="18"/>
          <w:szCs w:val="18"/>
        </w:rPr>
        <w:t xml:space="preserve"> </w:t>
      </w:r>
    </w:p>
  </w:footnote>
  <w:footnote w:id="4">
    <w:p w14:paraId="4E260857" w14:textId="77777777" w:rsidR="00F821A0" w:rsidRPr="00671E64" w:rsidRDefault="00F821A0" w:rsidP="00F821A0">
      <w:pPr>
        <w:pStyle w:val="Textonotapie"/>
        <w:rPr>
          <w:rFonts w:ascii="Verdana" w:hAnsi="Verdana"/>
          <w:sz w:val="18"/>
          <w:szCs w:val="18"/>
        </w:rPr>
      </w:pPr>
      <w:r w:rsidRPr="00671E64">
        <w:rPr>
          <w:rStyle w:val="Refdenotaalpie"/>
          <w:rFonts w:ascii="Verdana" w:hAnsi="Verdana"/>
          <w:sz w:val="18"/>
          <w:szCs w:val="18"/>
        </w:rPr>
        <w:footnoteRef/>
      </w:r>
      <w:r w:rsidRPr="00671E64">
        <w:rPr>
          <w:rFonts w:ascii="Verdana" w:hAnsi="Verdana"/>
          <w:sz w:val="18"/>
          <w:szCs w:val="18"/>
        </w:rPr>
        <w:t xml:space="preserve"> Estos Documentos Tipo pueden ser consultados en la página web de Colombia Compra Eficiente, a través del siguiente enlace: </w:t>
      </w:r>
      <w:hyperlink r:id="rId2" w:history="1">
        <w:r w:rsidRPr="00671E64">
          <w:rPr>
            <w:rStyle w:val="Hipervnculo"/>
            <w:rFonts w:ascii="Verdana" w:hAnsi="Verdana"/>
            <w:sz w:val="18"/>
            <w:szCs w:val="18"/>
          </w:rPr>
          <w:t>https://www.colombiacompra.gov.co/documentos-tipo/documentos-tipo</w:t>
        </w:r>
      </w:hyperlink>
      <w:r w:rsidRPr="00671E64">
        <w:rPr>
          <w:rFonts w:ascii="Verdana" w:hAnsi="Verdana"/>
          <w:sz w:val="18"/>
          <w:szCs w:val="18"/>
        </w:rPr>
        <w:t xml:space="preserve"> </w:t>
      </w:r>
    </w:p>
    <w:p w14:paraId="241ADEA1" w14:textId="77777777" w:rsidR="00F821A0" w:rsidRPr="00671E64" w:rsidRDefault="00F821A0" w:rsidP="00F821A0">
      <w:pPr>
        <w:pStyle w:val="Textonotapie"/>
        <w:rPr>
          <w:rFonts w:ascii="Verdana" w:hAnsi="Verdana"/>
          <w:sz w:val="18"/>
          <w:szCs w:val="18"/>
        </w:rPr>
      </w:pPr>
    </w:p>
  </w:footnote>
  <w:footnote w:id="5">
    <w:p w14:paraId="35DB84FB" w14:textId="77777777" w:rsidR="00F821A0" w:rsidRPr="00594664" w:rsidRDefault="00F821A0" w:rsidP="00F821A0">
      <w:pPr>
        <w:pStyle w:val="Textonotapie"/>
      </w:pPr>
      <w:r>
        <w:rPr>
          <w:rStyle w:val="Refdenotaalpie"/>
        </w:rPr>
        <w:footnoteRef/>
      </w:r>
      <w:r>
        <w:t xml:space="preserve"> </w:t>
      </w:r>
      <w:r w:rsidRPr="000B7F1A">
        <w:rPr>
          <w:sz w:val="16"/>
        </w:rPr>
        <w:t>Reglamentos Aeronáuticos de Colombia (RAC). RAC 14.</w:t>
      </w:r>
      <w:r w:rsidRPr="00D971D9">
        <w:t xml:space="preserve"> </w:t>
      </w:r>
      <w:r w:rsidRPr="00D971D9">
        <w:rPr>
          <w:sz w:val="16"/>
        </w:rPr>
        <w:t>Numeral 14.1. Definiciones</w:t>
      </w:r>
      <w:r w:rsidRPr="000B7F1A">
        <w:rPr>
          <w:sz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6C81120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591570495" o:spid="_x0000_i1025" type="#_x0000_t75" style="width:11.25pt;height:11.25pt;visibility:visible;mso-wrap-style:square">
            <v:imagedata r:id="rId1" o:title=""/>
          </v:shape>
        </w:pict>
      </mc:Choice>
      <mc:Fallback>
        <w:drawing>
          <wp:inline distT="0" distB="0" distL="0" distR="0" wp14:anchorId="7EAD47CD" wp14:editId="7EAD47CE">
            <wp:extent cx="142875" cy="142875"/>
            <wp:effectExtent l="0" t="0" r="0" b="0"/>
            <wp:docPr id="591570495" name="Imagen 591570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FFFFFFFF"/>
    <w:lvl w:ilvl="0" w:tplc="040A0001">
      <w:start w:val="1"/>
      <w:numFmt w:val="bullet"/>
      <w:lvlText w:val=""/>
      <w:lvlJc w:val="left"/>
      <w:pPr>
        <w:ind w:left="644" w:hanging="360"/>
      </w:pPr>
      <w:rPr>
        <w:rFonts w:ascii="Symbol" w:hAnsi="Symbol" w:hint="default"/>
      </w:rPr>
    </w:lvl>
    <w:lvl w:ilvl="1" w:tplc="040A0003" w:tentative="1">
      <w:start w:val="1"/>
      <w:numFmt w:val="bullet"/>
      <w:lvlText w:val="o"/>
      <w:lvlJc w:val="left"/>
      <w:pPr>
        <w:ind w:left="1364" w:hanging="360"/>
      </w:pPr>
      <w:rPr>
        <w:rFonts w:ascii="Courier New" w:hAnsi="Courier New" w:hint="default"/>
      </w:rPr>
    </w:lvl>
    <w:lvl w:ilvl="2" w:tplc="040A0005" w:tentative="1">
      <w:start w:val="1"/>
      <w:numFmt w:val="bullet"/>
      <w:lvlText w:val=""/>
      <w:lvlJc w:val="left"/>
      <w:pPr>
        <w:ind w:left="2084" w:hanging="360"/>
      </w:pPr>
      <w:rPr>
        <w:rFonts w:ascii="Wingdings" w:hAnsi="Wingdings" w:hint="default"/>
      </w:rPr>
    </w:lvl>
    <w:lvl w:ilvl="3" w:tplc="040A0001" w:tentative="1">
      <w:start w:val="1"/>
      <w:numFmt w:val="bullet"/>
      <w:lvlText w:val=""/>
      <w:lvlJc w:val="left"/>
      <w:pPr>
        <w:ind w:left="2804" w:hanging="360"/>
      </w:pPr>
      <w:rPr>
        <w:rFonts w:ascii="Symbol" w:hAnsi="Symbol" w:hint="default"/>
      </w:rPr>
    </w:lvl>
    <w:lvl w:ilvl="4" w:tplc="040A0003" w:tentative="1">
      <w:start w:val="1"/>
      <w:numFmt w:val="bullet"/>
      <w:lvlText w:val="o"/>
      <w:lvlJc w:val="left"/>
      <w:pPr>
        <w:ind w:left="3524" w:hanging="360"/>
      </w:pPr>
      <w:rPr>
        <w:rFonts w:ascii="Courier New" w:hAnsi="Courier New" w:hint="default"/>
      </w:rPr>
    </w:lvl>
    <w:lvl w:ilvl="5" w:tplc="040A0005" w:tentative="1">
      <w:start w:val="1"/>
      <w:numFmt w:val="bullet"/>
      <w:lvlText w:val=""/>
      <w:lvlJc w:val="left"/>
      <w:pPr>
        <w:ind w:left="4244" w:hanging="360"/>
      </w:pPr>
      <w:rPr>
        <w:rFonts w:ascii="Wingdings" w:hAnsi="Wingdings" w:hint="default"/>
      </w:rPr>
    </w:lvl>
    <w:lvl w:ilvl="6" w:tplc="040A0001" w:tentative="1">
      <w:start w:val="1"/>
      <w:numFmt w:val="bullet"/>
      <w:lvlText w:val=""/>
      <w:lvlJc w:val="left"/>
      <w:pPr>
        <w:ind w:left="4964" w:hanging="360"/>
      </w:pPr>
      <w:rPr>
        <w:rFonts w:ascii="Symbol" w:hAnsi="Symbol" w:hint="default"/>
      </w:rPr>
    </w:lvl>
    <w:lvl w:ilvl="7" w:tplc="040A0003" w:tentative="1">
      <w:start w:val="1"/>
      <w:numFmt w:val="bullet"/>
      <w:lvlText w:val="o"/>
      <w:lvlJc w:val="left"/>
      <w:pPr>
        <w:ind w:left="5684" w:hanging="360"/>
      </w:pPr>
      <w:rPr>
        <w:rFonts w:ascii="Courier New" w:hAnsi="Courier New" w:hint="default"/>
      </w:rPr>
    </w:lvl>
    <w:lvl w:ilvl="8" w:tplc="040A0005" w:tentative="1">
      <w:start w:val="1"/>
      <w:numFmt w:val="bullet"/>
      <w:lvlText w:val=""/>
      <w:lvlJc w:val="left"/>
      <w:pPr>
        <w:ind w:left="6404"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1" w15:restartNumberingAfterBreak="0">
    <w:nsid w:val="513D64C9"/>
    <w:multiLevelType w:val="hybridMultilevel"/>
    <w:tmpl w:val="D3026B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62902FB"/>
    <w:multiLevelType w:val="hybridMultilevel"/>
    <w:tmpl w:val="FFFFFFFF"/>
    <w:lvl w:ilvl="0" w:tplc="97A661EA">
      <w:start w:val="5"/>
      <w:numFmt w:val="bullet"/>
      <w:lvlText w:val=""/>
      <w:lvlJc w:val="left"/>
      <w:pPr>
        <w:ind w:left="720" w:hanging="360"/>
      </w:pPr>
      <w:rPr>
        <w:rFonts w:ascii="Symbol" w:eastAsia="Times New Roman" w:hAnsi="Symbol" w:hint="default"/>
      </w:rPr>
    </w:lvl>
    <w:lvl w:ilvl="1" w:tplc="240A0003" w:tentative="1">
      <w:start w:val="1"/>
      <w:numFmt w:val="bullet"/>
      <w:lvlText w:val="o"/>
      <w:lvlJc w:val="left"/>
      <w:pPr>
        <w:ind w:left="1440" w:hanging="360"/>
      </w:pPr>
      <w:rPr>
        <w:rFonts w:ascii="Courier New" w:hAnsi="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3"/>
  </w:num>
  <w:num w:numId="14" w16cid:durableId="895897244">
    <w:abstractNumId w:val="17"/>
  </w:num>
  <w:num w:numId="15" w16cid:durableId="390349800">
    <w:abstractNumId w:val="12"/>
  </w:num>
  <w:num w:numId="16" w16cid:durableId="1699816028">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567968">
    <w:abstractNumId w:val="13"/>
  </w:num>
  <w:num w:numId="18" w16cid:durableId="106973597">
    <w:abstractNumId w:val="5"/>
  </w:num>
  <w:num w:numId="19" w16cid:durableId="827985604">
    <w:abstractNumId w:val="10"/>
  </w:num>
  <w:num w:numId="20" w16cid:durableId="341274352">
    <w:abstractNumId w:val="0"/>
  </w:num>
  <w:num w:numId="21" w16cid:durableId="7545175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E7595"/>
    <w:rsid w:val="000F6486"/>
    <w:rsid w:val="00125105"/>
    <w:rsid w:val="00127233"/>
    <w:rsid w:val="00142B4E"/>
    <w:rsid w:val="001511A0"/>
    <w:rsid w:val="001E4177"/>
    <w:rsid w:val="001F7DC6"/>
    <w:rsid w:val="002421BB"/>
    <w:rsid w:val="0025796E"/>
    <w:rsid w:val="002707A2"/>
    <w:rsid w:val="002951A0"/>
    <w:rsid w:val="002962BC"/>
    <w:rsid w:val="002A093D"/>
    <w:rsid w:val="002A0DD0"/>
    <w:rsid w:val="002A49AC"/>
    <w:rsid w:val="002A64FD"/>
    <w:rsid w:val="002C6DEB"/>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D662B"/>
    <w:rsid w:val="004E0AB0"/>
    <w:rsid w:val="004F21C4"/>
    <w:rsid w:val="004F685F"/>
    <w:rsid w:val="0054441D"/>
    <w:rsid w:val="005566E8"/>
    <w:rsid w:val="00574867"/>
    <w:rsid w:val="00591460"/>
    <w:rsid w:val="005B3816"/>
    <w:rsid w:val="005C3777"/>
    <w:rsid w:val="005C5CDC"/>
    <w:rsid w:val="005D476C"/>
    <w:rsid w:val="006219F8"/>
    <w:rsid w:val="00632B07"/>
    <w:rsid w:val="00665D70"/>
    <w:rsid w:val="006900D9"/>
    <w:rsid w:val="00706C16"/>
    <w:rsid w:val="00756841"/>
    <w:rsid w:val="007649AB"/>
    <w:rsid w:val="00771D0C"/>
    <w:rsid w:val="007833AC"/>
    <w:rsid w:val="007B268C"/>
    <w:rsid w:val="007B7171"/>
    <w:rsid w:val="007C0C0F"/>
    <w:rsid w:val="007C3DC2"/>
    <w:rsid w:val="007E5497"/>
    <w:rsid w:val="00801FFD"/>
    <w:rsid w:val="00806F5F"/>
    <w:rsid w:val="00820278"/>
    <w:rsid w:val="008609BE"/>
    <w:rsid w:val="00867F95"/>
    <w:rsid w:val="008843B6"/>
    <w:rsid w:val="00891928"/>
    <w:rsid w:val="008A05BE"/>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46C80"/>
    <w:rsid w:val="00AB0ADB"/>
    <w:rsid w:val="00AF77AA"/>
    <w:rsid w:val="00B01B1A"/>
    <w:rsid w:val="00B66319"/>
    <w:rsid w:val="00B72CD3"/>
    <w:rsid w:val="00B72FFF"/>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C39FC"/>
    <w:rsid w:val="00DD6C3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31EDC"/>
    <w:rsid w:val="00F462B3"/>
    <w:rsid w:val="00F5141A"/>
    <w:rsid w:val="00F5664F"/>
    <w:rsid w:val="00F666C4"/>
    <w:rsid w:val="00F76AFC"/>
    <w:rsid w:val="00F821A0"/>
    <w:rsid w:val="00F861E4"/>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821A0"/>
    <w:pPr>
      <w:spacing w:line="240" w:lineRule="exact"/>
    </w:pPr>
    <w:rPr>
      <w:vertAlign w:val="superscript"/>
    </w:rPr>
  </w:style>
  <w:style w:type="table" w:customStyle="1" w:styleId="Tablaconcuadrcula1">
    <w:name w:val="Tabla con cuadrícula1"/>
    <w:basedOn w:val="Tablanormal"/>
    <w:next w:val="Tablaconcuadrcula"/>
    <w:uiPriority w:val="39"/>
    <w:qFormat/>
    <w:rsid w:val="00F821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F821A0"/>
    <w:rPr>
      <w:b/>
      <w:bCs/>
    </w:rPr>
  </w:style>
  <w:style w:type="paragraph" w:customStyle="1" w:styleId="Invias-VietaNumerada">
    <w:name w:val="Invias-Viñeta Numerada"/>
    <w:next w:val="Normal"/>
    <w:link w:val="Invias-VietaNumeradaCar"/>
    <w:uiPriority w:val="99"/>
    <w:qFormat/>
    <w:rsid w:val="00F821A0"/>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F821A0"/>
    <w:rPr>
      <w:rFonts w:ascii="Arial Narrow" w:eastAsia="Times New Roman" w:hAnsi="Arial Narrow" w:cs="Times New Roman"/>
      <w:sz w:val="24"/>
      <w:szCs w:val="24"/>
      <w:lang w:val="en-US" w:eastAsia="es-ES"/>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rsid w:val="004E0AB0"/>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carlos.castrillon%40colombiacompra.gov.co%7Ceb0fd05604104aa4d3bc08dd4c4ad35e%7C7b09041e245149d08cb179d5e3d8c1be%7C0%7C0%7C638750606445342495%7CUnknown%7CTWFpbGZsb3d8eyJFbXB0eU1hcGkiOnRydWUsIlYiOiIwLjAuMDAwMCIsIlAiOiJXaW4zMiIsIkFOIjoiTWFpbCIsIldUIjoyfQ%3D%3D%7C0%7C%7C%7C&amp;sdata=QjdkVIaLZrDJ7LHxm%2FQR2RWhmxzNwmEPLnWPN%2BV%2F4jE%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carlos.castrillon%40colombiacompra.gov.co%7Ceb0fd05604104aa4d3bc08dd4c4ad35e%7C7b09041e245149d08cb179d5e3d8c1be%7C0%7C0%7C638750606445402573%7CUnknown%7CTWFpbGZsb3d8eyJFbXB0eU1hcGkiOnRydWUsIlYiOiIwLjAuMDAwMCIsIlAiOiJXaW4zMiIsIkFOIjoiTWFpbCIsIldUIjoyfQ%3D%3D%7C0%7C%7C%7C&amp;sdata=Qg%2Bj2KODoy3mNrtTOL1WJEfzT5QrAdRT2oEKhAgMsdw%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carlos.castrillon%40colombiacompra.gov.co%7Ceb0fd05604104aa4d3bc08dd4c4ad35e%7C7b09041e245149d08cb179d5e3d8c1be%7C0%7C0%7C638750606445381469%7CUnknown%7CTWFpbGZsb3d8eyJFbXB0eU1hcGkiOnRydWUsIlYiOiIwLjAuMDAwMCIsIlAiOiJXaW4zMiIsIkFOIjoiTWFpbCIsIldUIjoyfQ%3D%3D%7C0%7C%7C%7C&amp;sdata=j29N9iGAQKkKYNPvseqiVZ1GlQoAuIdl0ViH4%2FwMNME%3D&amp;reserved=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documentos-tipo/documentos-tipo" TargetMode="External"/><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purl.org/dc/dcmitype/"/>
    <ds:schemaRef ds:uri="http://purl.org/dc/terms/"/>
    <ds:schemaRef ds:uri="http://purl.org/dc/elements/1.1/"/>
    <ds:schemaRef ds:uri="b531b13d-89bf-4629-be1e-22fdf3dd34d4"/>
    <ds:schemaRef ds:uri="http://schemas.microsoft.com/office/infopath/2007/PartnerControls"/>
    <ds:schemaRef ds:uri="http://schemas.openxmlformats.org/package/2006/metadata/core-properties"/>
    <ds:schemaRef ds:uri="http://schemas.microsoft.com/office/2006/documentManagement/types"/>
    <ds:schemaRef ds:uri="8ae15d26-076e-464e-81a7-6f76a0fb3917"/>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659BAE13-D179-4862-A96B-D71FE6CFC933}"/>
</file>

<file path=docProps/app.xml><?xml version="1.0" encoding="utf-8"?>
<Properties xmlns="http://schemas.openxmlformats.org/officeDocument/2006/extended-properties" xmlns:vt="http://schemas.openxmlformats.org/officeDocument/2006/docPropsVTypes">
  <Template>Normal</Template>
  <TotalTime>3</TotalTime>
  <Pages>16</Pages>
  <Words>5434</Words>
  <Characters>29890</Characters>
  <Application>Microsoft Office Word</Application>
  <DocSecurity>0</DocSecurity>
  <Lines>249</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Carlos Mario Castrillón Endo</cp:lastModifiedBy>
  <cp:revision>5</cp:revision>
  <cp:lastPrinted>2023-01-10T21:18:00Z</cp:lastPrinted>
  <dcterms:created xsi:type="dcterms:W3CDTF">2025-03-14T16:26:00Z</dcterms:created>
  <dcterms:modified xsi:type="dcterms:W3CDTF">2025-03-14T21:09:00Z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