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73F1FD" w14:textId="77777777" w:rsidR="003657C8" w:rsidRPr="00F97D96" w:rsidRDefault="003657C8" w:rsidP="003657C8">
      <w:pPr>
        <w:jc w:val="right"/>
        <w:rPr>
          <w:rFonts w:ascii="Arial" w:hAnsi="Arial" w:cs="Arial"/>
          <w:b/>
          <w:color w:val="000000" w:themeColor="text1"/>
          <w:sz w:val="16"/>
          <w:szCs w:val="16"/>
          <w:lang w:val="es-ES_tradnl" w:eastAsia="es-ES"/>
        </w:rPr>
      </w:pPr>
      <w:bookmarkStart w:id="0" w:name="_Hlk28946138"/>
      <w:bookmarkStart w:id="1" w:name="_Hlk29548183"/>
      <w:r w:rsidRPr="006F1B1E">
        <w:rPr>
          <w:rFonts w:ascii="Arial" w:hAnsi="Arial" w:cs="Arial"/>
          <w:b/>
          <w:color w:val="000000" w:themeColor="text1"/>
          <w:sz w:val="20"/>
          <w:szCs w:val="20"/>
          <w:lang w:val="es-ES_tradnl" w:eastAsia="es-ES"/>
        </w:rPr>
        <w:tab/>
      </w:r>
      <w:r w:rsidRPr="00F97D96">
        <w:rPr>
          <w:rFonts w:ascii="Arial" w:hAnsi="Arial" w:cs="Arial"/>
          <w:b/>
          <w:color w:val="000000" w:themeColor="text1"/>
          <w:sz w:val="16"/>
          <w:szCs w:val="16"/>
          <w:lang w:val="es-ES_tradnl" w:eastAsia="es-ES"/>
        </w:rPr>
        <w:t>CCE-DES-FM-17</w:t>
      </w:r>
    </w:p>
    <w:p w14:paraId="37176641" w14:textId="77777777" w:rsidR="003657C8" w:rsidRPr="006F1B1E" w:rsidRDefault="003657C8" w:rsidP="003657C8">
      <w:pPr>
        <w:jc w:val="both"/>
        <w:rPr>
          <w:rFonts w:ascii="Arial" w:eastAsia="Calibri" w:hAnsi="Arial" w:cs="Arial"/>
          <w:b/>
          <w:color w:val="000000" w:themeColor="text1"/>
          <w:sz w:val="20"/>
          <w:szCs w:val="20"/>
          <w:lang w:val="es-ES_tradnl"/>
        </w:rPr>
      </w:pPr>
    </w:p>
    <w:p w14:paraId="17BAA275" w14:textId="77777777" w:rsidR="003657C8" w:rsidRPr="006F1B1E" w:rsidRDefault="003657C8" w:rsidP="003657C8">
      <w:pPr>
        <w:jc w:val="both"/>
        <w:rPr>
          <w:rFonts w:ascii="Arial" w:eastAsia="Calibri" w:hAnsi="Arial" w:cs="Arial"/>
          <w:b/>
          <w:color w:val="000000" w:themeColor="text1"/>
          <w:sz w:val="22"/>
          <w:szCs w:val="22"/>
          <w:lang w:val="es-ES_tradnl"/>
        </w:rPr>
      </w:pPr>
      <w:r w:rsidRPr="006F1B1E">
        <w:rPr>
          <w:rFonts w:ascii="Arial" w:eastAsia="Calibri" w:hAnsi="Arial" w:cs="Arial"/>
          <w:b/>
          <w:color w:val="000000" w:themeColor="text1"/>
          <w:sz w:val="22"/>
          <w:szCs w:val="22"/>
          <w:lang w:val="es-ES_tradnl"/>
        </w:rPr>
        <w:t>MEDIOS ELECTRÓNICOS</w:t>
      </w:r>
      <w:r>
        <w:rPr>
          <w:rFonts w:ascii="Arial" w:eastAsia="Calibri" w:hAnsi="Arial" w:cs="Arial"/>
          <w:b/>
          <w:color w:val="000000" w:themeColor="text1"/>
          <w:sz w:val="22"/>
          <w:szCs w:val="22"/>
          <w:lang w:val="es-ES_tradnl"/>
        </w:rPr>
        <w:t xml:space="preserve"> </w:t>
      </w:r>
      <w:bookmarkStart w:id="2" w:name="_Hlk39666823"/>
      <w:r w:rsidRPr="006C15D5">
        <w:rPr>
          <w:rFonts w:ascii="Arial" w:eastAsia="Calibri" w:hAnsi="Arial" w:cs="Arial"/>
          <w:b/>
          <w:color w:val="000000" w:themeColor="text1"/>
          <w:sz w:val="22"/>
        </w:rPr>
        <w:t>–</w:t>
      </w:r>
      <w:bookmarkEnd w:id="2"/>
      <w:r w:rsidRPr="006F1B1E">
        <w:rPr>
          <w:rFonts w:ascii="Arial" w:eastAsia="Calibri" w:hAnsi="Arial" w:cs="Arial"/>
          <w:b/>
          <w:color w:val="000000" w:themeColor="text1"/>
          <w:sz w:val="22"/>
          <w:szCs w:val="22"/>
          <w:lang w:val="es-ES_tradnl"/>
        </w:rPr>
        <w:t xml:space="preserve"> Contratación estatal</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Régimen jurídico</w:t>
      </w:r>
    </w:p>
    <w:p w14:paraId="6DF729FC" w14:textId="77777777" w:rsidR="003657C8" w:rsidRPr="006F1B1E" w:rsidRDefault="003657C8" w:rsidP="003657C8">
      <w:pPr>
        <w:jc w:val="both"/>
        <w:rPr>
          <w:rFonts w:ascii="Arial" w:eastAsia="Calibri" w:hAnsi="Arial" w:cs="Arial"/>
          <w:color w:val="000000" w:themeColor="text1"/>
          <w:sz w:val="20"/>
          <w:szCs w:val="20"/>
          <w:lang w:val="es-ES_tradnl"/>
        </w:rPr>
      </w:pPr>
    </w:p>
    <w:p w14:paraId="3E128D53" w14:textId="77777777" w:rsidR="003657C8" w:rsidRPr="006F1B1E" w:rsidRDefault="003657C8" w:rsidP="003657C8">
      <w:pPr>
        <w:jc w:val="both"/>
        <w:rPr>
          <w:rFonts w:ascii="Arial" w:eastAsia="Calibri" w:hAnsi="Arial" w:cs="Arial"/>
          <w:color w:val="000000" w:themeColor="text1"/>
          <w:sz w:val="20"/>
          <w:szCs w:val="20"/>
          <w:lang w:val="es-ES"/>
        </w:rPr>
      </w:pPr>
      <w:r w:rsidRPr="540242F6">
        <w:rPr>
          <w:rFonts w:ascii="Arial" w:eastAsia="Calibri" w:hAnsi="Arial" w:cs="Arial"/>
          <w:color w:val="000000" w:themeColor="text1"/>
          <w:sz w:val="20"/>
          <w:szCs w:val="20"/>
          <w:lang w:val="es-ES"/>
        </w:rPr>
        <w:t>[…]</w:t>
      </w:r>
      <w:r>
        <w:rPr>
          <w:rFonts w:ascii="Arial" w:eastAsia="Calibri" w:hAnsi="Arial" w:cs="Arial"/>
          <w:color w:val="000000" w:themeColor="text1"/>
          <w:sz w:val="20"/>
          <w:szCs w:val="20"/>
          <w:lang w:val="es-ES"/>
        </w:rPr>
        <w:t xml:space="preserve"> </w:t>
      </w:r>
      <w:r w:rsidRPr="540242F6">
        <w:rPr>
          <w:rFonts w:ascii="Arial" w:eastAsia="Calibri" w:hAnsi="Arial" w:cs="Arial"/>
          <w:color w:val="000000" w:themeColor="text1"/>
          <w:sz w:val="20"/>
          <w:szCs w:val="20"/>
          <w:lang w:val="es-ES"/>
        </w:rPr>
        <w:t xml:space="preserve">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540242F6">
        <w:rPr>
          <w:rFonts w:ascii="Arial" w:eastAsia="Calibri" w:hAnsi="Arial" w:cs="Arial"/>
          <w:i/>
          <w:iCs/>
          <w:color w:val="000000" w:themeColor="text1"/>
          <w:sz w:val="20"/>
          <w:szCs w:val="20"/>
          <w:lang w:val="es-ES"/>
        </w:rPr>
        <w:t>Skype</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Facetime</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Whatsapp</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Teams</w:t>
      </w:r>
      <w:r w:rsidRPr="540242F6">
        <w:rPr>
          <w:rFonts w:ascii="Arial" w:eastAsia="Calibri" w:hAnsi="Arial" w:cs="Arial"/>
          <w:color w:val="000000" w:themeColor="text1"/>
          <w:sz w:val="20"/>
          <w:szCs w:val="20"/>
          <w:lang w:val="es-ES"/>
        </w:rPr>
        <w:t>, entre otras, constituyen sistemas de información, permitidos por el legislador en las actuaciones administrativas.</w:t>
      </w:r>
    </w:p>
    <w:p w14:paraId="68C48ED4" w14:textId="77777777" w:rsidR="003657C8" w:rsidRPr="006F1B1E" w:rsidRDefault="003657C8" w:rsidP="003657C8">
      <w:pPr>
        <w:jc w:val="both"/>
        <w:rPr>
          <w:rFonts w:ascii="Arial" w:eastAsia="Calibri" w:hAnsi="Arial" w:cs="Arial"/>
          <w:color w:val="000000" w:themeColor="text1"/>
          <w:sz w:val="20"/>
          <w:szCs w:val="20"/>
          <w:lang w:val="es-ES_tradnl"/>
        </w:rPr>
      </w:pPr>
    </w:p>
    <w:p w14:paraId="57A84783"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Adicionalmente, la Ley 1150 de 2007 incorporó la posibilidad de utilizar dichos sistemas de información y en general los medios electrónicos en las actuaciones contractuales. Así se infiere del artículo 3, […].</w:t>
      </w:r>
    </w:p>
    <w:p w14:paraId="6DCC4707" w14:textId="77777777" w:rsidR="003657C8" w:rsidRPr="006F1B1E" w:rsidRDefault="003657C8" w:rsidP="003657C8">
      <w:pPr>
        <w:jc w:val="both"/>
        <w:rPr>
          <w:rFonts w:ascii="Arial" w:eastAsia="Calibri" w:hAnsi="Arial" w:cs="Arial"/>
          <w:color w:val="000000" w:themeColor="text1"/>
          <w:sz w:val="20"/>
          <w:szCs w:val="20"/>
          <w:lang w:val="es-ES_tradnl"/>
        </w:rPr>
      </w:pPr>
    </w:p>
    <w:p w14:paraId="50CDBA99"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7F7C5E83" w14:textId="77777777" w:rsidR="003657C8" w:rsidRPr="006F1B1E" w:rsidRDefault="003657C8" w:rsidP="003657C8">
      <w:pPr>
        <w:jc w:val="both"/>
        <w:rPr>
          <w:rFonts w:ascii="Arial" w:eastAsia="Calibri" w:hAnsi="Arial" w:cs="Arial"/>
          <w:color w:val="000000" w:themeColor="text1"/>
          <w:sz w:val="20"/>
          <w:szCs w:val="20"/>
          <w:lang w:val="es-ES_tradnl"/>
        </w:rPr>
      </w:pPr>
    </w:p>
    <w:p w14:paraId="6142CD1C" w14:textId="77777777" w:rsidR="003657C8" w:rsidRPr="006F1B1E" w:rsidRDefault="003657C8" w:rsidP="003657C8">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COVID-19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Colombia</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Estado de emergencia económica, social y ecológica</w:t>
      </w:r>
    </w:p>
    <w:p w14:paraId="5AC39F62" w14:textId="77777777" w:rsidR="003657C8" w:rsidRPr="006F1B1E" w:rsidRDefault="003657C8" w:rsidP="003657C8">
      <w:pPr>
        <w:jc w:val="both"/>
        <w:rPr>
          <w:rFonts w:ascii="Arial" w:eastAsia="Calibri" w:hAnsi="Arial" w:cs="Arial"/>
          <w:color w:val="000000" w:themeColor="text1"/>
          <w:sz w:val="20"/>
          <w:szCs w:val="20"/>
          <w:lang w:val="es-ES_tradnl"/>
        </w:rPr>
      </w:pPr>
    </w:p>
    <w:p w14:paraId="1DC6683E"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Como es por todos sabido, actualmente el mundo –y particularmente Colombia– atraviesa una situación grave en materia de salud, causada por la pandemia del virus COVID-19, declarada así por la Organización Mundial de la Salud (OMS) el 11 de marzo de 2020.</w:t>
      </w:r>
    </w:p>
    <w:p w14:paraId="5F99CCBE" w14:textId="77777777" w:rsidR="003657C8" w:rsidRPr="006F1B1E" w:rsidRDefault="003657C8" w:rsidP="003657C8">
      <w:pPr>
        <w:jc w:val="both"/>
        <w:rPr>
          <w:rFonts w:ascii="Arial" w:eastAsia="Calibri" w:hAnsi="Arial" w:cs="Arial"/>
          <w:color w:val="000000" w:themeColor="text1"/>
          <w:sz w:val="20"/>
          <w:szCs w:val="20"/>
          <w:lang w:val="es-ES_tradnl"/>
        </w:rPr>
      </w:pPr>
    </w:p>
    <w:p w14:paraId="2A507409"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hasta el 31 de mayo.</w:t>
      </w:r>
    </w:p>
    <w:p w14:paraId="6B803D08" w14:textId="77777777" w:rsidR="003657C8" w:rsidRPr="006F1B1E" w:rsidRDefault="003657C8" w:rsidP="003657C8">
      <w:pPr>
        <w:jc w:val="both"/>
        <w:rPr>
          <w:rFonts w:ascii="Arial" w:eastAsia="Calibri" w:hAnsi="Arial" w:cs="Arial"/>
          <w:color w:val="000000" w:themeColor="text1"/>
          <w:sz w:val="20"/>
          <w:szCs w:val="20"/>
          <w:lang w:val="es-ES_tradnl"/>
        </w:rPr>
      </w:pPr>
    </w:p>
    <w:p w14:paraId="31B24BDA" w14:textId="469E53C9" w:rsidR="003657C8" w:rsidRPr="003D4231" w:rsidRDefault="003657C8" w:rsidP="003657C8">
      <w:pPr>
        <w:jc w:val="both"/>
        <w:rPr>
          <w:rFonts w:ascii="Arial" w:eastAsia="Calibri" w:hAnsi="Arial" w:cs="Arial"/>
          <w:b/>
          <w:color w:val="000000" w:themeColor="text1"/>
          <w:sz w:val="22"/>
          <w:szCs w:val="22"/>
          <w:lang w:val="es-ES_tradnl"/>
        </w:rPr>
      </w:pPr>
      <w:r w:rsidRPr="006F1B1E">
        <w:rPr>
          <w:rFonts w:ascii="Arial" w:eastAsia="Calibri" w:hAnsi="Arial" w:cs="Arial"/>
          <w:b/>
          <w:color w:val="000000" w:themeColor="text1"/>
          <w:sz w:val="22"/>
          <w:szCs w:val="22"/>
          <w:lang w:val="es-ES_tradnl"/>
        </w:rPr>
        <w:t>AUDIENCIA DE ADJUDICACIÓN</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Virtual</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Fundamento normativo</w:t>
      </w:r>
      <w:r w:rsidR="003D4231">
        <w:rPr>
          <w:rFonts w:ascii="Arial" w:eastAsia="Calibri" w:hAnsi="Arial" w:cs="Arial"/>
          <w:b/>
          <w:color w:val="000000" w:themeColor="text1"/>
          <w:sz w:val="22"/>
          <w:lang w:val="es-ES_tradnl"/>
        </w:rPr>
        <w:t xml:space="preserve"> </w:t>
      </w:r>
      <w:r w:rsidR="003D4231" w:rsidRPr="006C15D5">
        <w:rPr>
          <w:rFonts w:ascii="Arial" w:eastAsia="Calibri" w:hAnsi="Arial" w:cs="Arial"/>
          <w:b/>
          <w:color w:val="000000" w:themeColor="text1"/>
          <w:sz w:val="22"/>
        </w:rPr>
        <w:t>–</w:t>
      </w:r>
      <w:r w:rsidR="003D4231">
        <w:rPr>
          <w:rFonts w:ascii="Arial" w:eastAsia="Calibri" w:hAnsi="Arial" w:cs="Arial"/>
          <w:b/>
          <w:color w:val="000000" w:themeColor="text1"/>
          <w:sz w:val="22"/>
        </w:rPr>
        <w:t xml:space="preserve"> Autoridad control fiscal </w:t>
      </w:r>
    </w:p>
    <w:p w14:paraId="2014AC0F" w14:textId="77777777" w:rsidR="003657C8" w:rsidRPr="006F1B1E" w:rsidRDefault="003657C8" w:rsidP="003657C8">
      <w:pPr>
        <w:jc w:val="both"/>
        <w:rPr>
          <w:rFonts w:ascii="Arial" w:eastAsia="Calibri" w:hAnsi="Arial" w:cs="Arial"/>
          <w:color w:val="000000" w:themeColor="text1"/>
          <w:sz w:val="20"/>
          <w:szCs w:val="20"/>
          <w:lang w:val="es-ES_tradnl"/>
        </w:rPr>
      </w:pPr>
    </w:p>
    <w:p w14:paraId="54198853"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 xml:space="preserve">[…], la adjudicación es el acto administrativo mediante el cual se escoge la mejor oferta en un procedimiento de contratación plural –de licitación pública, selección abreviada o concurso de </w:t>
      </w:r>
      <w:r w:rsidRPr="006F1B1E">
        <w:rPr>
          <w:rFonts w:ascii="Arial" w:eastAsia="Calibri" w:hAnsi="Arial" w:cs="Arial"/>
          <w:color w:val="000000" w:themeColor="text1"/>
          <w:sz w:val="20"/>
          <w:szCs w:val="20"/>
          <w:lang w:val="es-ES_tradnl"/>
        </w:rPr>
        <w:lastRenderedPageBreak/>
        <w:t>méritos–, atendiendo al principio de selección objetiva, generando para el adjudicatario, tanto el derecho, como la obligación de celebrar el contrato estatal.</w:t>
      </w:r>
    </w:p>
    <w:p w14:paraId="728FBFED" w14:textId="77777777" w:rsidR="003657C8" w:rsidRPr="006F1B1E" w:rsidRDefault="003657C8" w:rsidP="003657C8">
      <w:pPr>
        <w:jc w:val="both"/>
        <w:rPr>
          <w:rFonts w:ascii="Arial" w:eastAsia="Calibri" w:hAnsi="Arial" w:cs="Arial"/>
          <w:color w:val="000000" w:themeColor="text1"/>
          <w:sz w:val="20"/>
          <w:szCs w:val="20"/>
          <w:lang w:val="es-ES_tradnl"/>
        </w:rPr>
      </w:pPr>
    </w:p>
    <w:p w14:paraId="0FC2D6E5"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 xml:space="preserve">El artículo 273 de la Constitución exige que la audiencia de adjudicación se desarrolle en audiencia pública, cuando así lo solicite cualquiera de los proponentes, el Contralor General de la República o demás autoridades de </w:t>
      </w:r>
      <w:bookmarkStart w:id="3" w:name="_GoBack"/>
      <w:r w:rsidRPr="006F1B1E">
        <w:rPr>
          <w:rFonts w:ascii="Arial" w:eastAsia="Calibri" w:hAnsi="Arial" w:cs="Arial"/>
          <w:color w:val="000000" w:themeColor="text1"/>
          <w:sz w:val="20"/>
          <w:szCs w:val="20"/>
          <w:lang w:val="es-ES_tradnl"/>
        </w:rPr>
        <w:t>control fisca</w:t>
      </w:r>
      <w:bookmarkEnd w:id="3"/>
      <w:r w:rsidRPr="006F1B1E">
        <w:rPr>
          <w:rFonts w:ascii="Arial" w:eastAsia="Calibri" w:hAnsi="Arial" w:cs="Arial"/>
          <w:color w:val="000000" w:themeColor="text1"/>
          <w:sz w:val="20"/>
          <w:szCs w:val="20"/>
          <w:lang w:val="es-ES_tradnl"/>
        </w:rPr>
        <w:t>l. Sin embargo, el artículo 9 de la Ley 1150 de 2007 extendió la obligatoriedad de la audiencia pública de adjudicación a todos los casos en la licitación.</w:t>
      </w:r>
    </w:p>
    <w:p w14:paraId="40BAC2F8"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w:t>
      </w:r>
    </w:p>
    <w:p w14:paraId="57D66B46" w14:textId="77777777" w:rsidR="003657C8" w:rsidRPr="006F1B1E" w:rsidRDefault="003657C8" w:rsidP="003657C8">
      <w:pPr>
        <w:jc w:val="both"/>
        <w:rPr>
          <w:rFonts w:ascii="Arial" w:eastAsia="Calibri" w:hAnsi="Arial" w:cs="Arial"/>
          <w:color w:val="000000" w:themeColor="text1"/>
          <w:sz w:val="22"/>
          <w:lang w:val="es-ES_tradnl"/>
        </w:rPr>
      </w:pPr>
    </w:p>
    <w:p w14:paraId="57DE4BB2"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Pues bien, si se armoniza el artículo 9 con el 3 de la Ley 1150 de 2007, así como con las disposiciones citadas anteriormente, contenidas en las leyes 527 de 1999, 962 del 2005, 1341 de 2009 y 1437 de 2011, al igual que en los decretos 019 de 2012 y 2106 de 2019, ello permite concluir que la audiencia de adjudicación en la licitación pública se puede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así como la veeduría ciudadana.</w:t>
      </w:r>
    </w:p>
    <w:p w14:paraId="060AE1C1" w14:textId="77777777" w:rsidR="003657C8" w:rsidRPr="006F1B1E" w:rsidRDefault="003657C8" w:rsidP="003657C8">
      <w:pPr>
        <w:jc w:val="both"/>
        <w:rPr>
          <w:rFonts w:ascii="Arial" w:eastAsia="Calibri" w:hAnsi="Arial" w:cs="Arial"/>
          <w:color w:val="000000" w:themeColor="text1"/>
          <w:sz w:val="20"/>
          <w:szCs w:val="20"/>
          <w:lang w:val="es-ES_tradnl"/>
        </w:rPr>
      </w:pPr>
    </w:p>
    <w:p w14:paraId="6A8366C7" w14:textId="77777777" w:rsidR="003657C8" w:rsidRPr="006F1B1E" w:rsidRDefault="003657C8" w:rsidP="003657C8">
      <w:pPr>
        <w:jc w:val="both"/>
        <w:rPr>
          <w:rFonts w:ascii="Arial" w:eastAsia="Calibri" w:hAnsi="Arial" w:cs="Arial"/>
          <w:b/>
          <w:color w:val="000000" w:themeColor="text1"/>
          <w:sz w:val="22"/>
          <w:szCs w:val="22"/>
          <w:lang w:val="es-ES_tradnl"/>
        </w:rPr>
      </w:pPr>
      <w:r w:rsidRPr="006F1B1E">
        <w:rPr>
          <w:rFonts w:ascii="Arial" w:eastAsia="Calibri" w:hAnsi="Arial" w:cs="Arial"/>
          <w:b/>
          <w:color w:val="000000" w:themeColor="text1"/>
          <w:sz w:val="22"/>
          <w:szCs w:val="22"/>
          <w:lang w:val="es-ES_tradnl"/>
        </w:rPr>
        <w:t>AUDIENCIA DE ADJUDICACIÓN</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Suspensión</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Causales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Fuerza mayor</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COVID-19</w:t>
      </w:r>
    </w:p>
    <w:p w14:paraId="4E0ACCF0" w14:textId="77777777" w:rsidR="003657C8" w:rsidRPr="006F1B1E" w:rsidRDefault="003657C8" w:rsidP="003657C8">
      <w:pPr>
        <w:jc w:val="both"/>
        <w:rPr>
          <w:rFonts w:ascii="Arial" w:eastAsia="Calibri" w:hAnsi="Arial" w:cs="Arial"/>
          <w:color w:val="000000" w:themeColor="text1"/>
          <w:sz w:val="20"/>
          <w:szCs w:val="20"/>
          <w:lang w:val="es-ES_tradnl"/>
        </w:rPr>
      </w:pPr>
    </w:p>
    <w:p w14:paraId="0F64FB91" w14:textId="77777777" w:rsidR="003657C8" w:rsidRPr="006F1B1E" w:rsidRDefault="003657C8" w:rsidP="003657C8">
      <w:pPr>
        <w:jc w:val="both"/>
        <w:rPr>
          <w:rFonts w:ascii="Arial" w:eastAsia="Calibri" w:hAnsi="Arial" w:cs="Arial"/>
          <w:color w:val="000000" w:themeColor="text1"/>
          <w:sz w:val="20"/>
          <w:szCs w:val="20"/>
          <w:lang w:val="es-ES"/>
        </w:rPr>
      </w:pPr>
      <w:r w:rsidRPr="38DB2C1E">
        <w:rPr>
          <w:rFonts w:ascii="Arial" w:eastAsia="Calibri" w:hAnsi="Arial" w:cs="Arial"/>
          <w:color w:val="000000" w:themeColor="text1"/>
          <w:sz w:val="20"/>
          <w:szCs w:val="20"/>
          <w:lang w:val="es-ES"/>
        </w:rPr>
        <w:t>Como se indicó, la audiencia de adjudicación en la licitación pública se puede llevar a cabo por medios electrónicos. Sin embargo, ¿qué sucede cuando una entidad estatal, por razones técnicas o presupuestales se encuentra en imposibilidad fáctica de acceder a las herramientas tecnológicas –computadores, otros aparatos electrónicos o aplicaciones web– para realizar la audiencia en medio virtual? ¿Podría en tal caso suspender la audiencia de adjudicación?</w:t>
      </w:r>
    </w:p>
    <w:p w14:paraId="30139E20" w14:textId="77777777" w:rsidR="003657C8" w:rsidRPr="006F1B1E" w:rsidRDefault="003657C8" w:rsidP="003657C8">
      <w:pPr>
        <w:jc w:val="both"/>
        <w:rPr>
          <w:rFonts w:ascii="Arial" w:eastAsia="Calibri" w:hAnsi="Arial" w:cs="Arial"/>
          <w:color w:val="000000" w:themeColor="text1"/>
          <w:sz w:val="20"/>
          <w:szCs w:val="20"/>
          <w:lang w:val="es-ES_tradnl"/>
        </w:rPr>
      </w:pPr>
    </w:p>
    <w:p w14:paraId="7BA61128"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 i) el artículo 63 del Código Civil –que define la fuerza mayor o caso fortuito como «[…] el imprevisto o que no es posible resistir, como un naufragio, un terremoto, el apresamiento de enemigos, los actos de autoridad ejercidos por un funcionario público, etc.»– y ii) el principio general del derecho según el cual «a lo imposible nadie está obligado», permiten deducir que ante una razonable imposibilidad fáctica para realizar la audiencia de adjudicación en medio presencial –en atención a las directrices de salud impartidas por las autoridades en virtud del COVID-19– y llevarla a cabo por medios electrónicos –por la ausencia de herramientas tecnológicas o digitales que lo permitan–, las entidades estatales podrían suspender su realización, aplazándola para el momento en que cese el estado de emergencia sanitario o se tengan los medios logísticos para su desarrollo.</w:t>
      </w:r>
    </w:p>
    <w:p w14:paraId="2CED1C13" w14:textId="77777777" w:rsidR="003657C8" w:rsidRPr="006F1B1E" w:rsidRDefault="003657C8" w:rsidP="003657C8">
      <w:pPr>
        <w:jc w:val="both"/>
        <w:rPr>
          <w:rFonts w:ascii="Arial" w:eastAsia="Calibri" w:hAnsi="Arial" w:cs="Arial"/>
          <w:color w:val="000000" w:themeColor="text1"/>
          <w:sz w:val="20"/>
          <w:szCs w:val="20"/>
          <w:lang w:val="es-ES_tradnl"/>
        </w:rPr>
      </w:pPr>
    </w:p>
    <w:p w14:paraId="1F5AD826" w14:textId="77777777" w:rsidR="003657C8" w:rsidRPr="006F1B1E" w:rsidRDefault="003657C8" w:rsidP="003657C8">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 xml:space="preserve">No obstante lo anterior, esta Subdirección insiste en que la suspensión de la audiencia debe ser la última ratio; es decir, una decisión que solo se puede tomar si en el caso concreto, efectivamente, no es posible contar con los medios tecnológicos e informáticos que permitan adelantarla en sede virtual. Si tales herramientas web están a disposición material de las entidades estatales, se debe hacer la audiencia de adjudicación a través de dichos sistemas de información, sin que sea viable suspenderla, salvo por la razón prevista en el numeral 1º del artículo 2.2.1.2.1.1.2. del Decreto 1082 de 2015, que a la letra dispone: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      </w:t>
      </w:r>
    </w:p>
    <w:p w14:paraId="7B22FC13" w14:textId="77777777" w:rsidR="003657C8" w:rsidRPr="006F1B1E" w:rsidRDefault="003657C8" w:rsidP="003657C8">
      <w:pPr>
        <w:jc w:val="both"/>
        <w:rPr>
          <w:rFonts w:ascii="Arial" w:hAnsi="Arial" w:cs="Arial"/>
          <w:color w:val="000000" w:themeColor="text1"/>
          <w:sz w:val="20"/>
          <w:szCs w:val="20"/>
          <w:lang w:val="es-ES_tradnl"/>
        </w:rPr>
      </w:pPr>
    </w:p>
    <w:p w14:paraId="082D4FAE" w14:textId="2098B9C8" w:rsidR="003657C8" w:rsidRPr="002F3B6E" w:rsidRDefault="003657C8" w:rsidP="003657C8">
      <w:pPr>
        <w:spacing w:line="276" w:lineRule="auto"/>
        <w:jc w:val="both"/>
        <w:rPr>
          <w:rFonts w:ascii="Arial" w:eastAsia="Calibri" w:hAnsi="Arial" w:cs="Arial"/>
          <w:color w:val="000000" w:themeColor="text1"/>
          <w:sz w:val="20"/>
          <w:lang w:val="es-ES_tradnl"/>
        </w:rPr>
      </w:pPr>
      <w:r w:rsidRPr="002F3B6E">
        <w:rPr>
          <w:rFonts w:ascii="Arial" w:hAnsi="Arial" w:cs="Arial"/>
          <w:color w:val="000000" w:themeColor="text1"/>
          <w:sz w:val="22"/>
          <w:lang w:val="es-ES_tradnl"/>
        </w:rPr>
        <w:t xml:space="preserve">Bogotá D.C, </w:t>
      </w:r>
      <w:r w:rsidRPr="002F3B6E">
        <w:rPr>
          <w:rFonts w:ascii="Arial" w:hAnsi="Arial" w:cs="Arial"/>
          <w:b/>
          <w:bCs/>
          <w:color w:val="000000" w:themeColor="text1"/>
          <w:sz w:val="22"/>
          <w:lang w:val="es-ES_tradnl"/>
        </w:rPr>
        <w:t>24/03/2020</w:t>
      </w:r>
      <w:r w:rsidR="002F3B6E" w:rsidRPr="002F3B6E">
        <w:rPr>
          <w:rFonts w:ascii="Arial" w:hAnsi="Arial" w:cs="Arial"/>
          <w:b/>
          <w:bCs/>
          <w:color w:val="000000" w:themeColor="text1"/>
          <w:sz w:val="22"/>
          <w:lang w:val="es-ES_tradnl"/>
        </w:rPr>
        <w:t xml:space="preserve"> </w:t>
      </w:r>
      <w:r w:rsidR="002F3B6E" w:rsidRPr="002F3B6E">
        <w:rPr>
          <w:rFonts w:ascii="Arial" w:hAnsi="Arial" w:cs="Arial"/>
          <w:b/>
          <w:bCs/>
          <w:sz w:val="22"/>
          <w:szCs w:val="22"/>
        </w:rPr>
        <w:t>Hora 14:37:21s</w:t>
      </w:r>
    </w:p>
    <w:p w14:paraId="4D56738B" w14:textId="77777777" w:rsidR="003657C8" w:rsidRDefault="003657C8" w:rsidP="003657C8">
      <w:pPr>
        <w:spacing w:line="276" w:lineRule="auto"/>
        <w:jc w:val="right"/>
        <w:rPr>
          <w:rFonts w:ascii="Arial" w:hAnsi="Arial" w:cs="Arial"/>
          <w:b/>
          <w:color w:val="000000" w:themeColor="text1"/>
          <w:sz w:val="22"/>
          <w:lang w:val="es-ES_tradnl"/>
        </w:rPr>
      </w:pPr>
      <w:r w:rsidRPr="006F1B1E">
        <w:rPr>
          <w:rFonts w:ascii="Arial" w:hAnsi="Arial" w:cs="Arial"/>
          <w:b/>
          <w:color w:val="000000" w:themeColor="text1"/>
          <w:sz w:val="22"/>
          <w:lang w:val="es-ES_tradnl"/>
        </w:rPr>
        <w:t>N° Radicado: 2202013000002122</w:t>
      </w:r>
    </w:p>
    <w:p w14:paraId="089B7138" w14:textId="77777777" w:rsidR="003657C8" w:rsidRDefault="003657C8" w:rsidP="003657C8">
      <w:pPr>
        <w:spacing w:line="276" w:lineRule="auto"/>
        <w:jc w:val="right"/>
        <w:rPr>
          <w:rFonts w:ascii="Arial" w:hAnsi="Arial" w:cs="Arial"/>
          <w:b/>
          <w:color w:val="000000" w:themeColor="text1"/>
          <w:sz w:val="22"/>
          <w:lang w:val="es-ES_tradnl"/>
        </w:rPr>
      </w:pPr>
    </w:p>
    <w:p w14:paraId="4E531D07" w14:textId="77777777" w:rsidR="003657C8" w:rsidRPr="006F1B1E" w:rsidRDefault="003657C8" w:rsidP="003657C8">
      <w:pPr>
        <w:spacing w:line="276" w:lineRule="auto"/>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Señor</w:t>
      </w:r>
    </w:p>
    <w:p w14:paraId="658D6B69" w14:textId="77777777" w:rsidR="003657C8" w:rsidRPr="006F1B1E" w:rsidRDefault="003657C8" w:rsidP="003657C8">
      <w:pPr>
        <w:spacing w:line="276" w:lineRule="auto"/>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Mauricio Fernando Rodríguez Tamayo</w:t>
      </w:r>
    </w:p>
    <w:p w14:paraId="7D5E7B20" w14:textId="77777777" w:rsidR="003657C8" w:rsidRDefault="003657C8" w:rsidP="003657C8">
      <w:pPr>
        <w:spacing w:line="276" w:lineRule="auto"/>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Ciudad</w:t>
      </w:r>
    </w:p>
    <w:p w14:paraId="2CA66E9E" w14:textId="77777777" w:rsidR="003657C8" w:rsidRDefault="003657C8" w:rsidP="003657C8">
      <w:pPr>
        <w:spacing w:line="276" w:lineRule="auto"/>
        <w:rPr>
          <w:rFonts w:ascii="Arial" w:eastAsia="Calibri" w:hAnsi="Arial" w:cs="Arial"/>
          <w:color w:val="000000" w:themeColor="text1"/>
          <w:sz w:val="22"/>
          <w:lang w:val="es-ES_tradnl"/>
        </w:rPr>
      </w:pPr>
    </w:p>
    <w:p w14:paraId="07EE5DC5" w14:textId="77777777" w:rsidR="003657C8" w:rsidRDefault="003657C8" w:rsidP="003657C8">
      <w:pPr>
        <w:spacing w:line="276" w:lineRule="auto"/>
        <w:rPr>
          <w:rFonts w:ascii="Arial" w:eastAsia="Calibri" w:hAnsi="Arial" w:cs="Arial"/>
          <w:color w:val="000000" w:themeColor="text1"/>
          <w:sz w:val="22"/>
          <w:lang w:val="es-ES_tradnl"/>
        </w:rPr>
      </w:pPr>
    </w:p>
    <w:p w14:paraId="5E901526" w14:textId="77777777" w:rsidR="003657C8" w:rsidRPr="006F1B1E" w:rsidRDefault="003657C8" w:rsidP="003657C8">
      <w:pPr>
        <w:spacing w:line="276" w:lineRule="auto"/>
        <w:rPr>
          <w:rFonts w:ascii="Arial" w:eastAsia="Calibri" w:hAnsi="Arial" w:cs="Arial"/>
          <w:color w:val="000000" w:themeColor="text1"/>
          <w:sz w:val="22"/>
          <w:lang w:val="es-ES_tradnl"/>
        </w:rPr>
      </w:pPr>
    </w:p>
    <w:p w14:paraId="588830B0" w14:textId="77777777" w:rsidR="003657C8" w:rsidRDefault="003657C8" w:rsidP="003657C8">
      <w:pPr>
        <w:spacing w:line="276" w:lineRule="auto"/>
        <w:jc w:val="center"/>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Concepto C ─ 243 de 2020</w:t>
      </w:r>
    </w:p>
    <w:p w14:paraId="7BC0C0A0" w14:textId="77777777" w:rsidR="003657C8" w:rsidRDefault="003657C8" w:rsidP="003657C8">
      <w:pPr>
        <w:spacing w:line="276" w:lineRule="auto"/>
        <w:jc w:val="center"/>
        <w:rPr>
          <w:rFonts w:ascii="Arial" w:eastAsia="Calibri" w:hAnsi="Arial" w:cs="Arial"/>
          <w:b/>
          <w:color w:val="000000" w:themeColor="text1"/>
          <w:sz w:val="22"/>
          <w:lang w:val="es-ES_tradnl"/>
        </w:rPr>
      </w:pPr>
    </w:p>
    <w:p w14:paraId="2CAAC186" w14:textId="77777777" w:rsidR="003657C8" w:rsidRPr="006F1B1E" w:rsidRDefault="003657C8" w:rsidP="003657C8">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657C8" w:rsidRPr="006F1B1E" w14:paraId="1CCB4CFB" w14:textId="77777777" w:rsidTr="00FB0BC1">
        <w:trPr>
          <w:trHeight w:val="1173"/>
        </w:trPr>
        <w:tc>
          <w:tcPr>
            <w:tcW w:w="2689" w:type="dxa"/>
            <w:hideMark/>
          </w:tcPr>
          <w:p w14:paraId="2DCEEDD9" w14:textId="77777777" w:rsidR="003657C8" w:rsidRPr="006F1B1E" w:rsidRDefault="003657C8" w:rsidP="00FB0BC1">
            <w:pPr>
              <w:spacing w:line="276" w:lineRule="auto"/>
              <w:rPr>
                <w:rFonts w:ascii="Arial" w:eastAsia="Calibri" w:hAnsi="Arial" w:cs="Arial"/>
                <w:color w:val="000000" w:themeColor="text1"/>
                <w:sz w:val="22"/>
                <w:lang w:val="es-ES_tradnl"/>
              </w:rPr>
            </w:pPr>
            <w:r w:rsidRPr="006F1B1E">
              <w:rPr>
                <w:rFonts w:ascii="Arial" w:eastAsia="Calibri" w:hAnsi="Arial" w:cs="Arial"/>
                <w:b/>
                <w:color w:val="000000" w:themeColor="text1"/>
                <w:sz w:val="22"/>
                <w:lang w:val="es-ES_tradnl"/>
              </w:rPr>
              <w:t>Temas:</w:t>
            </w:r>
            <w:r w:rsidRPr="006F1B1E">
              <w:rPr>
                <w:rFonts w:ascii="Arial" w:eastAsia="Calibri" w:hAnsi="Arial" w:cs="Arial"/>
                <w:color w:val="000000" w:themeColor="text1"/>
                <w:sz w:val="22"/>
                <w:lang w:val="es-ES_tradnl"/>
              </w:rPr>
              <w:t xml:space="preserve">           </w:t>
            </w:r>
          </w:p>
          <w:p w14:paraId="76877233" w14:textId="77777777" w:rsidR="003657C8" w:rsidRPr="006F1B1E" w:rsidRDefault="003657C8" w:rsidP="00FB0BC1">
            <w:pPr>
              <w:spacing w:line="276" w:lineRule="auto"/>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                           </w:t>
            </w:r>
          </w:p>
        </w:tc>
        <w:tc>
          <w:tcPr>
            <w:tcW w:w="6237" w:type="dxa"/>
            <w:hideMark/>
          </w:tcPr>
          <w:p w14:paraId="4534FC99" w14:textId="77777777" w:rsidR="003657C8" w:rsidRPr="006F1B1E" w:rsidRDefault="003657C8" w:rsidP="00FB0BC1">
            <w:pPr>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MEDIOS ELECTRÓNICOS ― Contratación estatal ― Régimen jurídico / AUDIENCIA DE ADJUDICACIÓN ― Virtual ― Fundamento normativo / AUDIENCIA DE ADJUDICACIÓN ― </w:t>
            </w:r>
            <w:r w:rsidRPr="00675623">
              <w:rPr>
                <w:rFonts w:ascii="Arial" w:eastAsia="Calibri" w:hAnsi="Arial" w:cs="Arial"/>
                <w:color w:val="000000" w:themeColor="text1"/>
                <w:sz w:val="22"/>
                <w:lang w:val="es-ES_tradnl"/>
              </w:rPr>
              <w:t>Suspensión – Causales – Fuerza mayor – COVID-19</w:t>
            </w:r>
          </w:p>
        </w:tc>
      </w:tr>
      <w:tr w:rsidR="003657C8" w:rsidRPr="006F1B1E" w14:paraId="75B34B45" w14:textId="77777777" w:rsidTr="00FB0BC1">
        <w:tc>
          <w:tcPr>
            <w:tcW w:w="2689" w:type="dxa"/>
          </w:tcPr>
          <w:p w14:paraId="3E54F307" w14:textId="77777777" w:rsidR="003657C8" w:rsidRPr="006F1B1E" w:rsidRDefault="003657C8" w:rsidP="00FB0BC1">
            <w:pPr>
              <w:spacing w:line="276" w:lineRule="auto"/>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Radicación:</w:t>
            </w:r>
            <w:r w:rsidRPr="006F1B1E">
              <w:rPr>
                <w:rFonts w:ascii="Arial" w:eastAsia="Calibri" w:hAnsi="Arial" w:cs="Arial"/>
                <w:color w:val="000000" w:themeColor="text1"/>
                <w:sz w:val="22"/>
                <w:lang w:val="es-ES_tradnl"/>
              </w:rPr>
              <w:t xml:space="preserve">                              </w:t>
            </w:r>
          </w:p>
        </w:tc>
        <w:tc>
          <w:tcPr>
            <w:tcW w:w="6237" w:type="dxa"/>
          </w:tcPr>
          <w:p w14:paraId="5BFC3613" w14:textId="77777777" w:rsidR="003657C8" w:rsidRPr="006F1B1E" w:rsidRDefault="003657C8" w:rsidP="00FB0BC1">
            <w:pPr>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Respuesta a consulta # </w:t>
            </w:r>
            <w:r w:rsidRPr="006F1B1E">
              <w:rPr>
                <w:rFonts w:ascii="Arial" w:hAnsi="Arial" w:cs="Arial"/>
                <w:color w:val="000000" w:themeColor="text1"/>
                <w:sz w:val="22"/>
                <w:lang w:val="es-ES_tradnl"/>
              </w:rPr>
              <w:t>4202013000002033</w:t>
            </w:r>
          </w:p>
        </w:tc>
      </w:tr>
    </w:tbl>
    <w:p w14:paraId="7A5B8422"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23E9061D" w14:textId="77777777" w:rsidR="003657C8" w:rsidRPr="006F1B1E" w:rsidRDefault="003657C8" w:rsidP="003657C8">
      <w:pPr>
        <w:spacing w:line="276" w:lineRule="auto"/>
        <w:rPr>
          <w:rFonts w:ascii="Arial" w:eastAsia="Calibri" w:hAnsi="Arial" w:cs="Arial"/>
          <w:color w:val="000000" w:themeColor="text1"/>
          <w:sz w:val="22"/>
          <w:lang w:val="es-ES_tradnl"/>
        </w:rPr>
      </w:pPr>
    </w:p>
    <w:p w14:paraId="3D9C4075" w14:textId="77777777" w:rsidR="003657C8" w:rsidRPr="006F1B1E" w:rsidRDefault="003657C8" w:rsidP="003657C8">
      <w:pPr>
        <w:spacing w:line="276" w:lineRule="auto"/>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Estimado señor Rodríguez,</w:t>
      </w:r>
    </w:p>
    <w:p w14:paraId="2E618BA4" w14:textId="77777777" w:rsidR="003657C8" w:rsidRPr="006F1B1E" w:rsidRDefault="003657C8" w:rsidP="003657C8">
      <w:pPr>
        <w:spacing w:line="276" w:lineRule="auto"/>
        <w:rPr>
          <w:rFonts w:ascii="Arial" w:eastAsia="Calibri" w:hAnsi="Arial" w:cs="Arial"/>
          <w:color w:val="000000" w:themeColor="text1"/>
          <w:sz w:val="22"/>
          <w:lang w:val="es-ES_tradnl"/>
        </w:rPr>
      </w:pPr>
    </w:p>
    <w:p w14:paraId="6F36E2D3" w14:textId="77777777" w:rsidR="003657C8" w:rsidRPr="006F1B1E" w:rsidRDefault="003657C8" w:rsidP="003657C8">
      <w:pPr>
        <w:tabs>
          <w:tab w:val="left" w:pos="426"/>
        </w:tabs>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Agencia Nacional de Contratación Pública ― Colombia Compra Eficiente responde su consulta del 17 de marzo de 2020, en ejercicio de la competencia otorgada por el numeral 8 del artículo 11 y el numeral 5 del artículo 3 del Decreto Ley 4170 de 2011.</w:t>
      </w:r>
    </w:p>
    <w:p w14:paraId="27A8A719" w14:textId="77777777" w:rsidR="003657C8" w:rsidRPr="006F1B1E" w:rsidRDefault="003657C8" w:rsidP="003657C8">
      <w:pPr>
        <w:pStyle w:val="Prrafodelista"/>
        <w:tabs>
          <w:tab w:val="left" w:pos="284"/>
        </w:tabs>
        <w:spacing w:line="276" w:lineRule="auto"/>
        <w:ind w:left="0"/>
        <w:jc w:val="both"/>
        <w:rPr>
          <w:rFonts w:ascii="Arial" w:eastAsia="Calibri" w:hAnsi="Arial" w:cs="Arial"/>
          <w:color w:val="000000" w:themeColor="text1"/>
          <w:sz w:val="22"/>
          <w:lang w:val="es-ES_tradnl"/>
        </w:rPr>
      </w:pPr>
    </w:p>
    <w:p w14:paraId="0C1F3A09" w14:textId="77777777" w:rsidR="003657C8" w:rsidRPr="006F1B1E" w:rsidRDefault="003657C8" w:rsidP="003657C8">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 xml:space="preserve">1. Problemas planteados </w:t>
      </w:r>
    </w:p>
    <w:p w14:paraId="2502177B" w14:textId="77777777" w:rsidR="003657C8" w:rsidRPr="006F1B1E" w:rsidRDefault="003657C8" w:rsidP="003657C8">
      <w:pPr>
        <w:tabs>
          <w:tab w:val="left" w:pos="426"/>
        </w:tabs>
        <w:spacing w:line="276" w:lineRule="auto"/>
        <w:jc w:val="both"/>
        <w:rPr>
          <w:rFonts w:ascii="Arial" w:eastAsia="Calibri" w:hAnsi="Arial" w:cs="Arial"/>
          <w:b/>
          <w:color w:val="000000" w:themeColor="text1"/>
          <w:sz w:val="22"/>
          <w:lang w:val="es-ES_tradnl"/>
        </w:rPr>
      </w:pPr>
    </w:p>
    <w:p w14:paraId="5C4B839A" w14:textId="77777777" w:rsidR="003657C8" w:rsidRPr="006F1B1E" w:rsidRDefault="003657C8" w:rsidP="003657C8">
      <w:pPr>
        <w:tabs>
          <w:tab w:val="left" w:pos="426"/>
        </w:tabs>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Usted realiza las siguientes preguntas: i) ¿Se puede realizar la audiencia de adjudicación por medios electrónicos?, ii) ¿Si no se tiene la tecnología para efectuarla electrónicamente, se puede suspender la audiencia con fundamento en la emergencia decretada por el gobierno en virtud del COVID-19?</w:t>
      </w:r>
    </w:p>
    <w:p w14:paraId="58049471" w14:textId="77777777" w:rsidR="003657C8" w:rsidRPr="006F1B1E" w:rsidRDefault="003657C8" w:rsidP="003657C8">
      <w:pPr>
        <w:tabs>
          <w:tab w:val="left" w:pos="426"/>
        </w:tabs>
        <w:spacing w:line="276" w:lineRule="auto"/>
        <w:jc w:val="both"/>
        <w:rPr>
          <w:rFonts w:ascii="Arial" w:eastAsia="Calibri" w:hAnsi="Arial" w:cs="Arial"/>
          <w:color w:val="000000" w:themeColor="text1"/>
          <w:sz w:val="22"/>
          <w:lang w:val="es-ES_tradnl"/>
        </w:rPr>
      </w:pPr>
    </w:p>
    <w:p w14:paraId="42BFA9AA" w14:textId="77777777" w:rsidR="003657C8" w:rsidRPr="006F1B1E" w:rsidRDefault="003657C8" w:rsidP="003657C8">
      <w:pPr>
        <w:tabs>
          <w:tab w:val="left" w:pos="426"/>
        </w:tabs>
        <w:spacing w:line="276" w:lineRule="auto"/>
        <w:jc w:val="both"/>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2. Consideraciones</w:t>
      </w:r>
    </w:p>
    <w:bookmarkEnd w:id="0"/>
    <w:bookmarkEnd w:id="1"/>
    <w:p w14:paraId="4DDCA6D7" w14:textId="77777777" w:rsidR="003657C8" w:rsidRPr="006F1B1E" w:rsidRDefault="003657C8" w:rsidP="003657C8">
      <w:pPr>
        <w:spacing w:line="276" w:lineRule="auto"/>
        <w:jc w:val="both"/>
        <w:rPr>
          <w:rFonts w:ascii="Arial" w:hAnsi="Arial" w:cs="Arial"/>
          <w:color w:val="000000" w:themeColor="text1"/>
          <w:sz w:val="22"/>
          <w:lang w:val="es-ES_tradnl"/>
        </w:rPr>
      </w:pPr>
    </w:p>
    <w:p w14:paraId="24F955E8" w14:textId="77777777" w:rsidR="003657C8" w:rsidRPr="006F1B1E" w:rsidRDefault="003657C8" w:rsidP="003657C8">
      <w:pPr>
        <w:spacing w:line="276" w:lineRule="auto"/>
        <w:jc w:val="both"/>
        <w:rPr>
          <w:rFonts w:ascii="Arial" w:hAnsi="Arial" w:cs="Arial"/>
          <w:color w:val="000000" w:themeColor="text1"/>
          <w:sz w:val="22"/>
          <w:lang w:val="es-ES_tradnl"/>
        </w:rPr>
      </w:pPr>
      <w:r w:rsidRPr="006F1B1E">
        <w:rPr>
          <w:rFonts w:ascii="Arial" w:hAnsi="Arial" w:cs="Arial"/>
          <w:color w:val="000000" w:themeColor="text1"/>
          <w:sz w:val="22"/>
          <w:lang w:val="es-ES_tradnl"/>
        </w:rPr>
        <w:t xml:space="preserve">Para resolver esta consulta se hará un análisis de los siguientes temas: i) uso de medios electrónicos en las actuaciones administrativas; especialmente, en la contratación pública, ii) disposiciones normativas expedidas a partir de la pandemia originada por el COVID-19, que permiten la implementación de la virtualidad en el ejercicio de la función pública; iii) </w:t>
      </w:r>
      <w:r w:rsidRPr="006F1B1E">
        <w:rPr>
          <w:rFonts w:ascii="Arial" w:hAnsi="Arial" w:cs="Arial"/>
          <w:color w:val="000000" w:themeColor="text1"/>
          <w:sz w:val="22"/>
          <w:lang w:val="es-ES_tradnl"/>
        </w:rPr>
        <w:lastRenderedPageBreak/>
        <w:t xml:space="preserve">posibilidad de realizar la audiencia de adjudicación por medios electrónicos y iv) suspensión de la audiencia de adjudicación por razones de fuerza mayor. </w:t>
      </w:r>
    </w:p>
    <w:p w14:paraId="0C6169EB" w14:textId="77777777" w:rsidR="003657C8" w:rsidRPr="006F1B1E" w:rsidRDefault="003657C8" w:rsidP="003657C8">
      <w:pPr>
        <w:spacing w:line="276" w:lineRule="auto"/>
        <w:jc w:val="both"/>
        <w:rPr>
          <w:rFonts w:ascii="Arial" w:hAnsi="Arial" w:cs="Arial"/>
          <w:color w:val="000000" w:themeColor="text1"/>
          <w:sz w:val="22"/>
          <w:lang w:val="es-ES_tradnl"/>
        </w:rPr>
      </w:pPr>
    </w:p>
    <w:p w14:paraId="10291E89" w14:textId="77777777" w:rsidR="003657C8" w:rsidRPr="006F1B1E" w:rsidRDefault="003657C8" w:rsidP="003657C8">
      <w:pPr>
        <w:spacing w:line="276" w:lineRule="auto"/>
        <w:jc w:val="both"/>
        <w:rPr>
          <w:rFonts w:ascii="Arial" w:hAnsi="Arial" w:cs="Arial"/>
          <w:color w:val="000000" w:themeColor="text1"/>
          <w:sz w:val="22"/>
          <w:lang w:val="es-ES_tradnl"/>
        </w:rPr>
      </w:pPr>
      <w:r w:rsidRPr="006F1B1E">
        <w:rPr>
          <w:rFonts w:ascii="Arial" w:hAnsi="Arial" w:cs="Arial"/>
          <w:b/>
          <w:color w:val="000000" w:themeColor="text1"/>
          <w:sz w:val="22"/>
          <w:lang w:val="es-ES_tradnl"/>
        </w:rPr>
        <w:t>2.1. Uso de medios electrónicos en las actuaciones administrativas y, en especial, en la contratación pública: la tendencia de simplificación de los trámites y la cultura del cero papel</w:t>
      </w:r>
    </w:p>
    <w:p w14:paraId="14853029"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549545D2"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p>
    <w:p w14:paraId="7DA47A94" w14:textId="77777777" w:rsidR="003657C8" w:rsidRPr="006F1B1E" w:rsidRDefault="003657C8" w:rsidP="003657C8">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Anteriormente 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respecto de la documentación electrónica.</w:t>
      </w:r>
    </w:p>
    <w:p w14:paraId="29FF722F" w14:textId="77777777" w:rsidR="003657C8" w:rsidRPr="006F1B1E" w:rsidRDefault="003657C8" w:rsidP="003657C8">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función que han jugado las normas «antitrámites», para que dicho cambio se produzca, ha sido decisiva. El Decreto 2150 de 1995 constituye un primer antecedente en la materia. Posteriormente, el artículo 6º de la Ley 962 de 2005</w:t>
      </w:r>
      <w:r w:rsidRPr="006F1B1E">
        <w:rPr>
          <w:rStyle w:val="Refdenotaalpie"/>
          <w:rFonts w:ascii="Arial" w:eastAsia="Calibri" w:hAnsi="Arial" w:cs="Arial"/>
          <w:color w:val="000000" w:themeColor="text1"/>
          <w:sz w:val="22"/>
          <w:lang w:val="es-ES_tradnl"/>
        </w:rPr>
        <w:footnoteReference w:id="1"/>
      </w:r>
      <w:r w:rsidRPr="006F1B1E">
        <w:rPr>
          <w:rFonts w:ascii="Arial" w:eastAsia="Calibri" w:hAnsi="Arial" w:cs="Arial"/>
          <w:color w:val="000000" w:themeColor="text1"/>
          <w:sz w:val="22"/>
          <w:lang w:val="es-ES_tradnl"/>
        </w:rPr>
        <w:t xml:space="preserve"> dispuso que las entidades públicas podían servirse de medios electrónicos para el cumplimiento de sus funciones</w:t>
      </w:r>
      <w:r w:rsidRPr="006F1B1E">
        <w:rPr>
          <w:rStyle w:val="Refdenotaalpie"/>
          <w:rFonts w:ascii="Arial" w:eastAsia="Calibri" w:hAnsi="Arial" w:cs="Arial"/>
          <w:color w:val="000000" w:themeColor="text1"/>
          <w:sz w:val="22"/>
          <w:lang w:val="es-ES_tradnl"/>
        </w:rPr>
        <w:footnoteReference w:id="2"/>
      </w:r>
      <w:r w:rsidRPr="006F1B1E">
        <w:rPr>
          <w:rFonts w:ascii="Arial" w:eastAsia="Calibri" w:hAnsi="Arial" w:cs="Arial"/>
          <w:color w:val="000000" w:themeColor="text1"/>
          <w:sz w:val="22"/>
          <w:lang w:val="es-ES_tradnl"/>
        </w:rPr>
        <w:t xml:space="preserve">. El </w:t>
      </w:r>
      <w:r w:rsidRPr="006F1B1E">
        <w:rPr>
          <w:rFonts w:ascii="Arial" w:eastAsia="Calibri" w:hAnsi="Arial" w:cs="Arial"/>
          <w:color w:val="000000" w:themeColor="text1"/>
          <w:sz w:val="22"/>
          <w:lang w:val="es-ES_tradnl"/>
        </w:rPr>
        <w:lastRenderedPageBreak/>
        <w:t>artículo 7º de la misma Ley permite la publicidad electrónica de las normas y actos generales de la Administración pública</w:t>
      </w:r>
      <w:r w:rsidRPr="006F1B1E">
        <w:rPr>
          <w:rStyle w:val="Refdenotaalpie"/>
          <w:rFonts w:ascii="Arial" w:eastAsia="Calibri" w:hAnsi="Arial" w:cs="Arial"/>
          <w:color w:val="000000" w:themeColor="text1"/>
          <w:sz w:val="22"/>
          <w:lang w:val="es-ES_tradnl"/>
        </w:rPr>
        <w:footnoteReference w:id="3"/>
      </w:r>
      <w:r w:rsidRPr="006F1B1E">
        <w:rPr>
          <w:rFonts w:ascii="Arial" w:eastAsia="Calibri" w:hAnsi="Arial" w:cs="Arial"/>
          <w:color w:val="000000" w:themeColor="text1"/>
          <w:sz w:val="22"/>
          <w:lang w:val="es-ES_tradnl"/>
        </w:rPr>
        <w:t xml:space="preserve">, e igualmente, el artículo 10º exige que las entidades estatales tengan un correo electrónico habilitando para la recepción de mensajes </w:t>
      </w:r>
      <w:r w:rsidRPr="006F1B1E">
        <w:rPr>
          <w:rFonts w:ascii="Arial" w:eastAsia="Calibri" w:hAnsi="Arial" w:cs="Arial"/>
          <w:color w:val="000000" w:themeColor="text1"/>
          <w:sz w:val="22"/>
          <w:lang w:val="es-ES_tradnl"/>
        </w:rPr>
        <w:lastRenderedPageBreak/>
        <w:t>enviados por las personas</w:t>
      </w:r>
      <w:r w:rsidRPr="006F1B1E">
        <w:rPr>
          <w:rStyle w:val="Refdenotaalpie"/>
          <w:rFonts w:ascii="Arial" w:eastAsia="Calibri" w:hAnsi="Arial" w:cs="Arial"/>
          <w:color w:val="000000" w:themeColor="text1"/>
          <w:sz w:val="22"/>
          <w:lang w:val="es-ES_tradnl"/>
        </w:rPr>
        <w:footnoteReference w:id="4"/>
      </w:r>
      <w:r w:rsidRPr="006F1B1E">
        <w:rPr>
          <w:rFonts w:ascii="Arial" w:eastAsia="Calibri" w:hAnsi="Arial" w:cs="Arial"/>
          <w:color w:val="000000" w:themeColor="text1"/>
          <w:sz w:val="22"/>
          <w:lang w:val="es-ES_tradnl"/>
        </w:rPr>
        <w:t>. Entretanto, el Decreto 19 de 2012</w:t>
      </w:r>
      <w:r w:rsidRPr="006F1B1E">
        <w:rPr>
          <w:rStyle w:val="Refdenotaalpie"/>
          <w:rFonts w:ascii="Arial" w:eastAsia="Calibri" w:hAnsi="Arial" w:cs="Arial"/>
          <w:color w:val="000000" w:themeColor="text1"/>
          <w:sz w:val="22"/>
          <w:lang w:val="es-ES_tradnl"/>
        </w:rPr>
        <w:footnoteReference w:id="5"/>
      </w:r>
      <w:r w:rsidRPr="006F1B1E">
        <w:rPr>
          <w:rFonts w:ascii="Arial" w:eastAsia="Calibri" w:hAnsi="Arial" w:cs="Arial"/>
          <w:color w:val="000000" w:themeColor="text1"/>
          <w:sz w:val="22"/>
          <w:lang w:val="es-ES_tradnl"/>
        </w:rPr>
        <w:t xml:space="preserve"> continuó la tendencia de poner a disposición de los particulares y de las entidades estatales los medios electrónicos, como instrumentos idóneos para el desarrollo de sus actividades cotidianas. Conviene destacar de este Decreto los artículos: 14 –que permite el uso de medios electrónicos para la realización de peticiones–</w:t>
      </w:r>
      <w:r w:rsidRPr="006F1B1E">
        <w:rPr>
          <w:rStyle w:val="Refdenotaalpie"/>
          <w:rFonts w:ascii="Arial" w:eastAsia="Calibri" w:hAnsi="Arial" w:cs="Arial"/>
          <w:color w:val="000000" w:themeColor="text1"/>
          <w:sz w:val="22"/>
          <w:lang w:val="es-ES_tradnl"/>
        </w:rPr>
        <w:footnoteReference w:id="6"/>
      </w:r>
      <w:r w:rsidRPr="006F1B1E">
        <w:rPr>
          <w:rFonts w:ascii="Arial" w:eastAsia="Calibri" w:hAnsi="Arial" w:cs="Arial"/>
          <w:color w:val="000000" w:themeColor="text1"/>
          <w:sz w:val="22"/>
          <w:lang w:val="es-ES_tradnl"/>
        </w:rPr>
        <w:t xml:space="preserve">, 38 –que establece como función del Departamento Administrativo de la Función Pública, el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contractual exclusivamente </w:t>
      </w:r>
      <w:r w:rsidRPr="006F1B1E">
        <w:rPr>
          <w:rFonts w:ascii="Arial" w:eastAsia="Calibri" w:hAnsi="Arial" w:cs="Arial"/>
          <w:color w:val="000000" w:themeColor="text1"/>
          <w:sz w:val="22"/>
          <w:lang w:val="es-ES_tradnl"/>
        </w:rPr>
        <w:lastRenderedPageBreak/>
        <w:t>en el SECOP–</w:t>
      </w:r>
      <w:r w:rsidRPr="006F1B1E">
        <w:rPr>
          <w:rStyle w:val="Refdenotaalpie"/>
          <w:rFonts w:ascii="Arial" w:eastAsia="Calibri" w:hAnsi="Arial" w:cs="Arial"/>
          <w:color w:val="000000" w:themeColor="text1"/>
          <w:sz w:val="22"/>
          <w:lang w:val="es-ES_tradnl"/>
        </w:rPr>
        <w:footnoteReference w:id="7"/>
      </w:r>
      <w:r w:rsidRPr="006F1B1E">
        <w:rPr>
          <w:rFonts w:ascii="Arial" w:eastAsia="Calibri" w:hAnsi="Arial" w:cs="Arial"/>
          <w:color w:val="000000" w:themeColor="text1"/>
          <w:sz w:val="22"/>
          <w:lang w:val="es-ES_tradnl"/>
        </w:rPr>
        <w:t>, entre otros. De igual manera, el Decreto 2106 de 2019</w:t>
      </w:r>
      <w:r w:rsidRPr="006F1B1E">
        <w:rPr>
          <w:rStyle w:val="Refdenotaalpie"/>
          <w:rFonts w:ascii="Arial" w:eastAsia="Calibri" w:hAnsi="Arial" w:cs="Arial"/>
          <w:color w:val="000000" w:themeColor="text1"/>
          <w:sz w:val="22"/>
          <w:lang w:val="es-ES_tradnl"/>
        </w:rPr>
        <w:footnoteReference w:id="8"/>
      </w:r>
      <w:r w:rsidRPr="006F1B1E">
        <w:rPr>
          <w:rFonts w:ascii="Arial" w:eastAsia="Calibri" w:hAnsi="Arial" w:cs="Arial"/>
          <w:color w:val="000000" w:themeColor="text1"/>
          <w:sz w:val="22"/>
          <w:lang w:val="es-ES_tradnl"/>
        </w:rPr>
        <w:t xml:space="preserve">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6F1B1E">
        <w:rPr>
          <w:rStyle w:val="Refdenotaalpie"/>
          <w:rFonts w:ascii="Arial" w:eastAsia="Calibri" w:hAnsi="Arial" w:cs="Arial"/>
          <w:color w:val="000000" w:themeColor="text1"/>
          <w:sz w:val="22"/>
          <w:lang w:val="es-ES_tradnl"/>
        </w:rPr>
        <w:footnoteReference w:id="9"/>
      </w:r>
      <w:r w:rsidRPr="006F1B1E">
        <w:rPr>
          <w:rFonts w:ascii="Arial" w:eastAsia="Calibri" w:hAnsi="Arial" w:cs="Arial"/>
          <w:color w:val="000000" w:themeColor="text1"/>
          <w:sz w:val="22"/>
          <w:lang w:val="es-ES_tradnl"/>
        </w:rPr>
        <w:t>. Además, reconoce que las personas pueden adelantar sus trámites a través de «todos los portales, sitios web, plataformas, ventanillas únicas, aplicaciones y soluciones existentes»</w:t>
      </w:r>
      <w:r w:rsidRPr="006F1B1E">
        <w:rPr>
          <w:rStyle w:val="Refdenotaalpie"/>
          <w:rFonts w:ascii="Arial" w:eastAsia="Calibri" w:hAnsi="Arial" w:cs="Arial"/>
          <w:color w:val="000000" w:themeColor="text1"/>
          <w:sz w:val="22"/>
          <w:lang w:val="es-ES_tradnl"/>
        </w:rPr>
        <w:footnoteReference w:id="10"/>
      </w:r>
      <w:r w:rsidRPr="006F1B1E">
        <w:rPr>
          <w:rFonts w:ascii="Arial" w:eastAsia="Calibri" w:hAnsi="Arial" w:cs="Arial"/>
          <w:color w:val="000000" w:themeColor="text1"/>
          <w:sz w:val="22"/>
          <w:lang w:val="es-ES_tradnl"/>
        </w:rPr>
        <w:t xml:space="preserve"> y autoriza la gestión documental electrónica</w:t>
      </w:r>
      <w:r w:rsidRPr="006F1B1E">
        <w:rPr>
          <w:rStyle w:val="Refdenotaalpie"/>
          <w:rFonts w:ascii="Arial" w:eastAsia="Calibri" w:hAnsi="Arial" w:cs="Arial"/>
          <w:color w:val="000000" w:themeColor="text1"/>
          <w:sz w:val="22"/>
          <w:lang w:val="es-ES_tradnl"/>
        </w:rPr>
        <w:footnoteReference w:id="11"/>
      </w:r>
      <w:r w:rsidRPr="006F1B1E">
        <w:rPr>
          <w:rFonts w:ascii="Arial" w:eastAsia="Calibri" w:hAnsi="Arial" w:cs="Arial"/>
          <w:color w:val="000000" w:themeColor="text1"/>
          <w:sz w:val="22"/>
          <w:lang w:val="es-ES_tradnl"/>
        </w:rPr>
        <w:t>.</w:t>
      </w:r>
    </w:p>
    <w:p w14:paraId="47CC36A3" w14:textId="77777777" w:rsidR="003657C8" w:rsidRPr="006F1B1E" w:rsidRDefault="003657C8" w:rsidP="003657C8">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Pero no solo las disposiciones que integran lo que comúnmente conocemos como normativa «antitrámites» –y que se acaban de reseñar– han sido las que han permitido o exigido el uso de medios electrónicos en las actuaciones normativas. También lo han hecho: la Ley 527 de 1999, la Ley 1150 de 2007, la Ley 1341 de 2009 y la Ley 1437 de 2011.</w:t>
      </w:r>
    </w:p>
    <w:p w14:paraId="0058E296" w14:textId="77777777" w:rsidR="003657C8" w:rsidRPr="006F1B1E" w:rsidRDefault="003657C8" w:rsidP="003657C8">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En efecto, la Ley 527 de 1999</w:t>
      </w:r>
      <w:r w:rsidRPr="006F1B1E">
        <w:rPr>
          <w:rStyle w:val="Refdenotaalpie"/>
          <w:rFonts w:ascii="Arial" w:eastAsia="Calibri" w:hAnsi="Arial" w:cs="Arial"/>
          <w:color w:val="000000" w:themeColor="text1"/>
          <w:sz w:val="22"/>
          <w:lang w:val="es-ES_tradnl"/>
        </w:rPr>
        <w:footnoteReference w:id="12"/>
      </w:r>
      <w:r w:rsidRPr="006F1B1E">
        <w:rPr>
          <w:rFonts w:ascii="Arial" w:eastAsia="Calibri" w:hAnsi="Arial" w:cs="Arial"/>
          <w:color w:val="000000" w:themeColor="text1"/>
          <w:sz w:val="22"/>
          <w:lang w:val="es-ES_tradnl"/>
        </w:rPr>
        <w:t xml:space="preserve">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6F1B1E">
        <w:rPr>
          <w:rStyle w:val="Refdenotaalpie"/>
          <w:rFonts w:ascii="Arial" w:eastAsia="Calibri" w:hAnsi="Arial" w:cs="Arial"/>
          <w:color w:val="000000" w:themeColor="text1"/>
          <w:sz w:val="22"/>
          <w:lang w:val="es-ES_tradnl"/>
        </w:rPr>
        <w:footnoteReference w:id="13"/>
      </w:r>
      <w:r w:rsidRPr="006F1B1E">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Pr="006F1B1E">
        <w:rPr>
          <w:rStyle w:val="Refdenotaalpie"/>
          <w:rFonts w:ascii="Arial" w:eastAsia="Calibri" w:hAnsi="Arial" w:cs="Arial"/>
          <w:color w:val="000000" w:themeColor="text1"/>
          <w:sz w:val="22"/>
          <w:lang w:val="es-ES_tradnl"/>
        </w:rPr>
        <w:footnoteReference w:id="14"/>
      </w:r>
      <w:r w:rsidRPr="006F1B1E">
        <w:rPr>
          <w:rFonts w:ascii="Arial" w:eastAsia="Calibri" w:hAnsi="Arial" w:cs="Arial"/>
          <w:color w:val="000000" w:themeColor="text1"/>
          <w:sz w:val="22"/>
          <w:lang w:val="es-ES_tradnl"/>
        </w:rPr>
        <w:t xml:space="preserve">. Bajo este entendido, las aplicaciones web, que posibilitan el envío </w:t>
      </w:r>
      <w:r w:rsidRPr="006F1B1E">
        <w:rPr>
          <w:rFonts w:ascii="Arial" w:eastAsia="Calibri" w:hAnsi="Arial" w:cs="Arial"/>
          <w:color w:val="000000" w:themeColor="text1"/>
          <w:sz w:val="22"/>
          <w:lang w:val="es-ES_tradnl"/>
        </w:rPr>
        <w:lastRenderedPageBreak/>
        <w:t xml:space="preserve">de mensajes de datos escritos o audiovisuales, como </w:t>
      </w:r>
      <w:r w:rsidRPr="006F1B1E">
        <w:rPr>
          <w:rFonts w:ascii="Arial" w:eastAsia="Calibri" w:hAnsi="Arial" w:cs="Arial"/>
          <w:i/>
          <w:color w:val="000000" w:themeColor="text1"/>
          <w:sz w:val="22"/>
          <w:lang w:val="es-ES_tradnl"/>
        </w:rPr>
        <w:t>Skype</w:t>
      </w:r>
      <w:r w:rsidRPr="006F1B1E">
        <w:rPr>
          <w:rFonts w:ascii="Arial" w:eastAsia="Calibri" w:hAnsi="Arial" w:cs="Arial"/>
          <w:color w:val="000000" w:themeColor="text1"/>
          <w:sz w:val="22"/>
          <w:lang w:val="es-ES_tradnl"/>
        </w:rPr>
        <w:t xml:space="preserve">, </w:t>
      </w:r>
      <w:r w:rsidRPr="006F1B1E">
        <w:rPr>
          <w:rFonts w:ascii="Arial" w:eastAsia="Calibri" w:hAnsi="Arial" w:cs="Arial"/>
          <w:i/>
          <w:color w:val="000000" w:themeColor="text1"/>
          <w:sz w:val="22"/>
          <w:lang w:val="es-ES_tradnl"/>
        </w:rPr>
        <w:t>Facetime</w:t>
      </w:r>
      <w:r w:rsidRPr="006F1B1E">
        <w:rPr>
          <w:rFonts w:ascii="Arial" w:eastAsia="Calibri" w:hAnsi="Arial" w:cs="Arial"/>
          <w:color w:val="000000" w:themeColor="text1"/>
          <w:sz w:val="22"/>
          <w:lang w:val="es-ES_tradnl"/>
        </w:rPr>
        <w:t xml:space="preserve">, </w:t>
      </w:r>
      <w:r w:rsidRPr="006F1B1E">
        <w:rPr>
          <w:rFonts w:ascii="Arial" w:eastAsia="Calibri" w:hAnsi="Arial" w:cs="Arial"/>
          <w:i/>
          <w:color w:val="000000" w:themeColor="text1"/>
          <w:sz w:val="22"/>
          <w:lang w:val="es-ES_tradnl"/>
        </w:rPr>
        <w:t>Whatsapp</w:t>
      </w:r>
      <w:r w:rsidRPr="006F1B1E">
        <w:rPr>
          <w:rFonts w:ascii="Arial" w:eastAsia="Calibri" w:hAnsi="Arial" w:cs="Arial"/>
          <w:color w:val="000000" w:themeColor="text1"/>
          <w:sz w:val="22"/>
          <w:lang w:val="es-ES_tradnl"/>
        </w:rPr>
        <w:t xml:space="preserve">, </w:t>
      </w:r>
      <w:r w:rsidRPr="006F1B1E">
        <w:rPr>
          <w:rFonts w:ascii="Arial" w:eastAsia="Calibri" w:hAnsi="Arial" w:cs="Arial"/>
          <w:i/>
          <w:color w:val="000000" w:themeColor="text1"/>
          <w:sz w:val="22"/>
          <w:lang w:val="es-ES_tradnl"/>
        </w:rPr>
        <w:t>Teams</w:t>
      </w:r>
      <w:r w:rsidRPr="006F1B1E">
        <w:rPr>
          <w:rFonts w:ascii="Arial" w:eastAsia="Calibri" w:hAnsi="Arial" w:cs="Arial"/>
          <w:color w:val="000000" w:themeColor="text1"/>
          <w:sz w:val="22"/>
          <w:lang w:val="es-ES_tradnl"/>
        </w:rPr>
        <w:t>, entre otras, constituyen sistemas de información, permitidos por el legislador en las actuaciones administrativas.</w:t>
      </w:r>
    </w:p>
    <w:p w14:paraId="6CF94006" w14:textId="77777777" w:rsidR="003657C8" w:rsidRPr="006F1B1E" w:rsidRDefault="003657C8" w:rsidP="003657C8">
      <w:pPr>
        <w:spacing w:before="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Adicionalmente, la Ley 1150 de 2007</w:t>
      </w:r>
      <w:r w:rsidRPr="006F1B1E">
        <w:rPr>
          <w:rStyle w:val="Refdenotaalpie"/>
          <w:rFonts w:ascii="Arial" w:eastAsia="Calibri" w:hAnsi="Arial" w:cs="Arial"/>
          <w:color w:val="000000" w:themeColor="text1"/>
          <w:sz w:val="22"/>
          <w:lang w:val="es-ES_tradnl"/>
        </w:rPr>
        <w:footnoteReference w:id="15"/>
      </w:r>
      <w:r w:rsidRPr="006F1B1E">
        <w:rPr>
          <w:rFonts w:ascii="Arial" w:eastAsia="Calibri" w:hAnsi="Arial" w:cs="Arial"/>
          <w:color w:val="000000" w:themeColor="text1"/>
          <w:sz w:val="22"/>
          <w:lang w:val="es-ES_tradnl"/>
        </w:rPr>
        <w:t xml:space="preserve"> incorporó la posibilidad de utilizar dichos sistemas de información y en general los medios electrónicos en las actuaciones contractuales. Así se infiere del artículo 3, a cuyo tenor:</w:t>
      </w:r>
    </w:p>
    <w:p w14:paraId="311A147A"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50905C91"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D3C151F"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15031610"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32722873"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608685F0"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»Con el fin de materializar los objetivos a que se refiere el inciso anterior, el Gobierno Nacional desarrollará el Sistema Electrónico para la Contratación Pública, Secop, el cual:</w:t>
      </w:r>
    </w:p>
    <w:p w14:paraId="23CD30F0"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11DB3E7B"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22F8BF9D"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3BDBB617"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76E551D7"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56819BDE"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454569BE"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12F66C8D"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12AF1E7D"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63315CE7"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»PARÁGRAFO 1o. En ningún caso la administración del Secop supondrá la creación de una nueva entidad.</w:t>
      </w:r>
    </w:p>
    <w:p w14:paraId="77C5EC4C"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7F070C67"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El Secop será administrado por el organismo que designe el Gobierno Nacional, sin perjuicio de la autonomía que respecto del SICE confiere la Ley 598 de 2000 a la Contraloría General de la República»</w:t>
      </w:r>
      <w:r w:rsidRPr="006F1B1E">
        <w:rPr>
          <w:rStyle w:val="Refdenotaalpie"/>
          <w:rFonts w:ascii="Arial" w:eastAsia="Calibri" w:hAnsi="Arial" w:cs="Arial"/>
          <w:color w:val="000000" w:themeColor="text1"/>
          <w:sz w:val="21"/>
          <w:szCs w:val="21"/>
          <w:lang w:val="es-ES_tradnl"/>
        </w:rPr>
        <w:footnoteReference w:id="16"/>
      </w:r>
      <w:r w:rsidRPr="006F1B1E">
        <w:rPr>
          <w:rFonts w:ascii="Arial" w:eastAsia="Calibri" w:hAnsi="Arial" w:cs="Arial"/>
          <w:color w:val="000000" w:themeColor="text1"/>
          <w:sz w:val="21"/>
          <w:szCs w:val="21"/>
          <w:lang w:val="es-ES_tradnl"/>
        </w:rPr>
        <w:t>.</w:t>
      </w:r>
    </w:p>
    <w:p w14:paraId="4C73C1BB" w14:textId="77777777" w:rsidR="003657C8" w:rsidRPr="006F1B1E" w:rsidRDefault="003657C8" w:rsidP="003657C8">
      <w:pPr>
        <w:spacing w:line="276" w:lineRule="auto"/>
        <w:ind w:firstLine="709"/>
        <w:jc w:val="both"/>
        <w:rPr>
          <w:rFonts w:ascii="Arial" w:eastAsia="Calibri" w:hAnsi="Arial" w:cs="Arial"/>
          <w:color w:val="000000" w:themeColor="text1"/>
          <w:sz w:val="22"/>
          <w:lang w:val="es-ES_tradnl"/>
        </w:rPr>
      </w:pPr>
    </w:p>
    <w:p w14:paraId="0FDBF595" w14:textId="77777777" w:rsidR="003657C8" w:rsidRPr="006F1B1E" w:rsidRDefault="003657C8" w:rsidP="003657C8">
      <w:pPr>
        <w:spacing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04691605" w14:textId="77777777" w:rsidR="003657C8" w:rsidRPr="006F1B1E" w:rsidRDefault="003657C8" w:rsidP="003657C8">
      <w:pPr>
        <w:spacing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Ley 1341 de 2009</w:t>
      </w:r>
      <w:r w:rsidRPr="006F1B1E">
        <w:rPr>
          <w:rStyle w:val="Refdenotaalpie"/>
          <w:rFonts w:ascii="Arial" w:eastAsia="Calibri" w:hAnsi="Arial" w:cs="Arial"/>
          <w:color w:val="000000" w:themeColor="text1"/>
          <w:sz w:val="22"/>
          <w:lang w:val="es-ES_tradnl"/>
        </w:rPr>
        <w:footnoteReference w:id="17"/>
      </w:r>
      <w:r w:rsidRPr="006F1B1E">
        <w:rPr>
          <w:rFonts w:ascii="Arial" w:eastAsia="Calibri" w:hAnsi="Arial" w:cs="Arial"/>
          <w:color w:val="000000" w:themeColor="text1"/>
          <w:sz w:val="22"/>
          <w:lang w:val="es-ES_tradnl"/>
        </w:rPr>
        <w:t xml:space="preserve"> establece la «masificación del gobierno en línea», indicando en el artículo 2, numeral 8, que:</w:t>
      </w:r>
    </w:p>
    <w:p w14:paraId="4E7E7CD5"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6587C800"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251092ED"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07E1494B" w14:textId="77777777" w:rsidR="003657C8" w:rsidRPr="006F1B1E" w:rsidRDefault="003657C8" w:rsidP="003657C8">
      <w:pPr>
        <w:spacing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Ley 1437 de 2011</w:t>
      </w:r>
      <w:r w:rsidRPr="006F1B1E">
        <w:rPr>
          <w:rStyle w:val="Refdenotaalpie"/>
          <w:rFonts w:ascii="Arial" w:eastAsia="Calibri" w:hAnsi="Arial" w:cs="Arial"/>
          <w:color w:val="000000" w:themeColor="text1"/>
          <w:sz w:val="22"/>
          <w:lang w:val="es-ES_tradnl"/>
        </w:rPr>
        <w:footnoteReference w:id="18"/>
      </w:r>
      <w:r w:rsidRPr="006F1B1E">
        <w:rPr>
          <w:rFonts w:ascii="Arial" w:eastAsia="Calibri" w:hAnsi="Arial" w:cs="Arial"/>
          <w:color w:val="000000" w:themeColor="text1"/>
          <w:sz w:val="22"/>
          <w:lang w:val="es-ES_tradnl"/>
        </w:rPr>
        <w:t xml:space="preserve"> continúa la línea explicada, consistente en el reconocimiento de validez a las actuaciones realizadas en sede virtual, y dedica un capítulo completo a la utilización de medios electrónicos en el procedimiento administrativo</w:t>
      </w:r>
      <w:r w:rsidRPr="006F1B1E">
        <w:rPr>
          <w:rStyle w:val="Refdenotaalpie"/>
          <w:rFonts w:ascii="Arial" w:eastAsia="Calibri" w:hAnsi="Arial" w:cs="Arial"/>
          <w:color w:val="000000" w:themeColor="text1"/>
          <w:sz w:val="22"/>
          <w:lang w:val="es-ES_tradnl"/>
        </w:rPr>
        <w:footnoteReference w:id="19"/>
      </w:r>
      <w:r w:rsidRPr="006F1B1E">
        <w:rPr>
          <w:rFonts w:ascii="Arial" w:eastAsia="Calibri" w:hAnsi="Arial" w:cs="Arial"/>
          <w:color w:val="000000" w:themeColor="text1"/>
          <w:sz w:val="22"/>
          <w:lang w:val="es-ES_tradnl"/>
        </w:rPr>
        <w:t xml:space="preserve">. En efecto, el artículo 5º, numeral 1, consagra, como derecho de las personas ante las autoridades, el de </w:t>
      </w:r>
      <w:r w:rsidRPr="006F1B1E">
        <w:rPr>
          <w:rFonts w:ascii="Arial" w:eastAsia="Calibri" w:hAnsi="Arial" w:cs="Arial"/>
          <w:color w:val="000000" w:themeColor="text1"/>
          <w:sz w:val="22"/>
          <w:lang w:val="es-ES_tradnl"/>
        </w:rPr>
        <w:lastRenderedPageBreak/>
        <w:t>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68C588C0" w14:textId="77777777" w:rsidR="003657C8" w:rsidRPr="006F1B1E" w:rsidRDefault="003657C8" w:rsidP="003657C8">
      <w:pPr>
        <w:spacing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utilización de los medios electrónicos regulados en la Ley 1437 de 2011 en la contratación estatal es posible a partir de la remisión efectuada por el artículo 77 de la Ley 80 de 1993 a las normas del CPACA</w:t>
      </w:r>
      <w:r w:rsidRPr="006F1B1E">
        <w:rPr>
          <w:rStyle w:val="Refdenotaalpie"/>
          <w:rFonts w:ascii="Arial" w:eastAsia="Calibri" w:hAnsi="Arial" w:cs="Arial"/>
          <w:color w:val="000000" w:themeColor="text1"/>
          <w:sz w:val="22"/>
          <w:lang w:val="es-ES_tradnl"/>
        </w:rPr>
        <w:footnoteReference w:id="20"/>
      </w:r>
      <w:r w:rsidRPr="006F1B1E">
        <w:rPr>
          <w:rFonts w:ascii="Arial" w:eastAsia="Calibri" w:hAnsi="Arial" w:cs="Arial"/>
          <w:color w:val="000000" w:themeColor="text1"/>
          <w:sz w:val="22"/>
          <w:lang w:val="es-ES_tradnl"/>
        </w:rPr>
        <w:t>, que a su vez, como se indicó, se remite a las disposiciones de la Ley 527 de 1999.</w:t>
      </w:r>
    </w:p>
    <w:p w14:paraId="7D1C2B07" w14:textId="77777777" w:rsidR="003657C8" w:rsidRPr="006F1B1E" w:rsidRDefault="003657C8" w:rsidP="003657C8">
      <w:pPr>
        <w:spacing w:line="276" w:lineRule="auto"/>
        <w:jc w:val="both"/>
        <w:rPr>
          <w:rFonts w:ascii="Arial" w:eastAsia="Calibri" w:hAnsi="Arial" w:cs="Arial"/>
          <w:b/>
          <w:color w:val="000000" w:themeColor="text1"/>
          <w:sz w:val="22"/>
          <w:lang w:val="es-ES_tradnl"/>
        </w:rPr>
      </w:pPr>
    </w:p>
    <w:p w14:paraId="3CABA05B"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r w:rsidRPr="006F1B1E">
        <w:rPr>
          <w:rFonts w:ascii="Arial" w:eastAsia="Calibri" w:hAnsi="Arial" w:cs="Arial"/>
          <w:b/>
          <w:color w:val="000000" w:themeColor="text1"/>
          <w:sz w:val="22"/>
          <w:lang w:val="es-ES_tradnl"/>
        </w:rPr>
        <w:t xml:space="preserve">2.2. </w:t>
      </w:r>
      <w:r w:rsidRPr="006F1B1E">
        <w:rPr>
          <w:rFonts w:ascii="Arial" w:hAnsi="Arial" w:cs="Arial"/>
          <w:b/>
          <w:color w:val="000000" w:themeColor="text1"/>
          <w:sz w:val="22"/>
          <w:lang w:val="es-ES_tradnl"/>
        </w:rPr>
        <w:t>Disposiciones normativas expedidas a partir de la pandemia originada por el COVID-19, que permiten la implementación de la virtualidad en el ejercicio de la función pública</w:t>
      </w:r>
    </w:p>
    <w:p w14:paraId="1F33A3CB" w14:textId="77777777" w:rsidR="003657C8" w:rsidRPr="006F1B1E" w:rsidRDefault="003657C8" w:rsidP="003657C8">
      <w:pPr>
        <w:pStyle w:val="Prrafodelista"/>
        <w:spacing w:line="276" w:lineRule="auto"/>
        <w:ind w:left="0"/>
        <w:jc w:val="both"/>
        <w:rPr>
          <w:rFonts w:ascii="Arial" w:hAnsi="Arial" w:cs="Arial"/>
          <w:color w:val="000000" w:themeColor="text1"/>
          <w:sz w:val="22"/>
          <w:lang w:val="es-ES_tradnl"/>
        </w:rPr>
      </w:pPr>
    </w:p>
    <w:p w14:paraId="1B1F6955" w14:textId="77777777" w:rsidR="003657C8" w:rsidRPr="006F1B1E" w:rsidRDefault="003657C8" w:rsidP="003657C8">
      <w:pPr>
        <w:pStyle w:val="Prrafodelista"/>
        <w:spacing w:after="120" w:line="276" w:lineRule="auto"/>
        <w:ind w:left="0"/>
        <w:jc w:val="both"/>
        <w:rPr>
          <w:rFonts w:ascii="Arial" w:hAnsi="Arial" w:cs="Arial"/>
          <w:color w:val="000000" w:themeColor="text1"/>
          <w:sz w:val="22"/>
          <w:lang w:val="es-ES_tradnl"/>
        </w:rPr>
      </w:pPr>
      <w:r w:rsidRPr="006F1B1E">
        <w:rPr>
          <w:rFonts w:ascii="Arial" w:hAnsi="Arial" w:cs="Arial"/>
          <w:color w:val="000000" w:themeColor="text1"/>
          <w:sz w:val="22"/>
          <w:lang w:val="es-ES_tradnl"/>
        </w:rPr>
        <w:t>Como es por todos sabido, actualmente el mundo –y particularmente Colombia– atraviesa una situación grave en materia de salud, causada por la pandemia del virus COVID-19, declarada así por la Organización Mundial de la Salud (OMS) el 11 de marzo de 2020</w:t>
      </w:r>
      <w:r w:rsidRPr="006F1B1E">
        <w:rPr>
          <w:rStyle w:val="Refdenotaalpie"/>
          <w:rFonts w:ascii="Arial" w:hAnsi="Arial" w:cs="Arial"/>
          <w:color w:val="000000" w:themeColor="text1"/>
          <w:sz w:val="22"/>
          <w:lang w:val="es-ES_tradnl"/>
        </w:rPr>
        <w:footnoteReference w:id="21"/>
      </w:r>
      <w:r w:rsidRPr="006F1B1E">
        <w:rPr>
          <w:rFonts w:ascii="Arial" w:hAnsi="Arial" w:cs="Arial"/>
          <w:color w:val="000000" w:themeColor="text1"/>
          <w:sz w:val="22"/>
          <w:lang w:val="es-ES_tradnl"/>
        </w:rPr>
        <w:t>.</w:t>
      </w:r>
    </w:p>
    <w:p w14:paraId="1F189967" w14:textId="77777777" w:rsidR="003657C8" w:rsidRPr="006F1B1E" w:rsidRDefault="003657C8" w:rsidP="003657C8">
      <w:pPr>
        <w:spacing w:before="120" w:after="120" w:line="276" w:lineRule="auto"/>
        <w:ind w:firstLine="709"/>
        <w:jc w:val="both"/>
        <w:rPr>
          <w:rFonts w:ascii="Arial" w:hAnsi="Arial" w:cs="Arial"/>
          <w:color w:val="000000" w:themeColor="text1"/>
          <w:sz w:val="22"/>
          <w:lang w:val="es-ES_tradnl"/>
        </w:rPr>
      </w:pPr>
      <w:r w:rsidRPr="006F1B1E">
        <w:rPr>
          <w:rFonts w:ascii="Arial" w:eastAsia="Calibri" w:hAnsi="Arial" w:cs="Arial"/>
          <w:color w:val="000000" w:themeColor="text1"/>
          <w:sz w:val="22"/>
          <w:lang w:val="es-ES_tradnl"/>
        </w:rPr>
        <w:t>Desde</w:t>
      </w:r>
      <w:r w:rsidRPr="006F1B1E">
        <w:rPr>
          <w:rFonts w:ascii="Arial" w:hAnsi="Arial" w:cs="Arial"/>
          <w:color w:val="000000" w:themeColor="text1"/>
          <w:sz w:val="22"/>
          <w:lang w:val="es-ES_tradnl"/>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w:t>
      </w:r>
      <w:r w:rsidRPr="006F1B1E">
        <w:rPr>
          <w:rFonts w:ascii="Arial" w:hAnsi="Arial" w:cs="Arial"/>
          <w:color w:val="000000" w:themeColor="text1"/>
          <w:sz w:val="22"/>
          <w:lang w:val="es-ES_tradnl"/>
        </w:rPr>
        <w:lastRenderedPageBreak/>
        <w:t>el territorio nacional</w:t>
      </w:r>
      <w:r w:rsidRPr="006F1B1E">
        <w:rPr>
          <w:rStyle w:val="Refdenotaalpie"/>
          <w:rFonts w:ascii="Arial" w:hAnsi="Arial" w:cs="Arial"/>
          <w:color w:val="000000" w:themeColor="text1"/>
          <w:sz w:val="22"/>
          <w:lang w:val="es-ES_tradnl"/>
        </w:rPr>
        <w:footnoteReference w:id="22"/>
      </w:r>
      <w:r w:rsidRPr="006F1B1E">
        <w:rPr>
          <w:rFonts w:ascii="Arial" w:hAnsi="Arial" w:cs="Arial"/>
          <w:color w:val="000000" w:themeColor="text1"/>
          <w:sz w:val="22"/>
          <w:lang w:val="es-ES_tradnl"/>
        </w:rPr>
        <w:t>.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w:t>
      </w:r>
      <w:r w:rsidRPr="006F1B1E">
        <w:rPr>
          <w:rStyle w:val="Refdenotaalpie"/>
          <w:rFonts w:ascii="Arial" w:hAnsi="Arial" w:cs="Arial"/>
          <w:color w:val="000000" w:themeColor="text1"/>
          <w:sz w:val="22"/>
          <w:lang w:val="es-ES_tradnl"/>
        </w:rPr>
        <w:footnoteReference w:id="23"/>
      </w:r>
      <w:r w:rsidRPr="006F1B1E">
        <w:rPr>
          <w:rFonts w:ascii="Arial" w:hAnsi="Arial" w:cs="Arial"/>
          <w:color w:val="000000" w:themeColor="text1"/>
          <w:sz w:val="22"/>
          <w:lang w:val="es-ES_tradnl"/>
        </w:rPr>
        <w:t>, ordenando, como primera medida, el aislamiento preventivo de los mayores de 70 años desde el viernes 20 de marzo a las 7:00 a.m., hasta el 31 de mayo de 2020</w:t>
      </w:r>
      <w:r w:rsidRPr="006F1B1E">
        <w:rPr>
          <w:rStyle w:val="Refdenotaalpie"/>
          <w:rFonts w:ascii="Arial" w:hAnsi="Arial" w:cs="Arial"/>
          <w:color w:val="000000" w:themeColor="text1"/>
          <w:sz w:val="22"/>
          <w:lang w:val="es-ES_tradnl"/>
        </w:rPr>
        <w:footnoteReference w:id="24"/>
      </w:r>
      <w:r w:rsidRPr="006F1B1E">
        <w:rPr>
          <w:rFonts w:ascii="Arial" w:hAnsi="Arial" w:cs="Arial"/>
          <w:color w:val="000000" w:themeColor="text1"/>
          <w:sz w:val="22"/>
          <w:lang w:val="es-ES_tradnl"/>
        </w:rPr>
        <w:t xml:space="preserve">. </w:t>
      </w:r>
    </w:p>
    <w:p w14:paraId="0DC1CEC0" w14:textId="77777777" w:rsidR="003657C8" w:rsidRPr="006F1B1E" w:rsidRDefault="003657C8" w:rsidP="003657C8">
      <w:pPr>
        <w:spacing w:before="120" w:after="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t>Dentro de los actos expedidos por las autoridades gubernamentales a nivel nacional, esta Subdirección destaca las directrices y recomendaciones que tienen que ver con la implementación de los medios electrónicos o virtuales –no presenciales– en el trámite de las actuaciones administrativas, pues la exhortación al uso de tales medios también es aplicable a las actuaciones contractuales.</w:t>
      </w:r>
    </w:p>
    <w:p w14:paraId="5F25566B" w14:textId="77777777" w:rsidR="003657C8" w:rsidRPr="006F1B1E" w:rsidRDefault="003657C8" w:rsidP="003657C8">
      <w:pPr>
        <w:spacing w:before="120" w:after="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t xml:space="preserve">En efecto, dentro de los actos administrativos que se han expedido, adoptando la metodología del teletrabajo e implementando el uso de las tecnologías de la información y las telecomunicaciones en el ejercicio de la función pública, pueden mencionarse los siguientes: </w:t>
      </w:r>
    </w:p>
    <w:p w14:paraId="36712954" w14:textId="77777777" w:rsidR="003657C8" w:rsidRPr="006F1B1E" w:rsidRDefault="003657C8" w:rsidP="003657C8">
      <w:pPr>
        <w:spacing w:before="120" w:after="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t>a) Circular Externa Nº 0018</w:t>
      </w:r>
      <w:r w:rsidRPr="006F1B1E">
        <w:rPr>
          <w:rStyle w:val="Refdenotaalpie"/>
          <w:rFonts w:ascii="Arial" w:hAnsi="Arial" w:cs="Arial"/>
          <w:color w:val="000000" w:themeColor="text1"/>
          <w:sz w:val="22"/>
          <w:lang w:val="es-ES_tradnl"/>
        </w:rPr>
        <w:footnoteReference w:id="25"/>
      </w:r>
      <w:r w:rsidRPr="006F1B1E">
        <w:rPr>
          <w:rFonts w:ascii="Arial" w:hAnsi="Arial" w:cs="Arial"/>
          <w:color w:val="000000" w:themeColor="text1"/>
          <w:sz w:val="22"/>
          <w:lang w:val="es-ES_tradnl"/>
        </w:rPr>
        <w:t xml:space="preserve"> del 10 de marzo de 2020, del Ministro de Salud y Protección Social, el Ministro de Trabajo y el Director del Departamento Administrativo de la Función Pública, que establece «acciones de contención ante el COVID-19 y la prevención de enfermedades asociadas al primer pico epidemiológico de enfermedades respiratorias», y que prevé, como instrucción, principalmente para los ambientes laborales, la autorización del teletrabajo.</w:t>
      </w:r>
    </w:p>
    <w:p w14:paraId="2E4B48EB" w14:textId="77777777" w:rsidR="003657C8" w:rsidRPr="006F1B1E" w:rsidRDefault="003657C8" w:rsidP="003657C8">
      <w:pPr>
        <w:spacing w:before="120" w:after="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lastRenderedPageBreak/>
        <w:t>b) Resolución Nº 385 del 12 de marzo de 2020</w:t>
      </w:r>
      <w:r w:rsidRPr="006F1B1E">
        <w:rPr>
          <w:rStyle w:val="Refdenotaalpie"/>
          <w:rFonts w:ascii="Arial" w:hAnsi="Arial" w:cs="Arial"/>
          <w:color w:val="000000" w:themeColor="text1"/>
          <w:sz w:val="22"/>
          <w:lang w:val="es-ES_tradnl"/>
        </w:rPr>
        <w:footnoteReference w:id="26"/>
      </w:r>
      <w:r w:rsidRPr="006F1B1E">
        <w:rPr>
          <w:rFonts w:ascii="Arial" w:hAnsi="Arial" w:cs="Arial"/>
          <w:color w:val="000000" w:themeColor="text1"/>
          <w:sz w:val="22"/>
          <w:lang w:val="es-ES_tradnl"/>
        </w:rPr>
        <w:t>, disponiendo, entre otras directrices, la suspensión de eventos con aforo de más de 500 personas</w:t>
      </w:r>
      <w:r w:rsidRPr="006F1B1E">
        <w:rPr>
          <w:rStyle w:val="Refdenotaalpie"/>
          <w:rFonts w:ascii="Arial" w:hAnsi="Arial" w:cs="Arial"/>
          <w:color w:val="000000" w:themeColor="text1"/>
          <w:sz w:val="22"/>
          <w:lang w:val="es-ES_tradnl"/>
        </w:rPr>
        <w:footnoteReference w:id="27"/>
      </w:r>
      <w:r w:rsidRPr="006F1B1E">
        <w:rPr>
          <w:rFonts w:ascii="Arial" w:hAnsi="Arial" w:cs="Arial"/>
          <w:color w:val="000000" w:themeColor="text1"/>
          <w:sz w:val="22"/>
          <w:lang w:val="es-ES_tradnl"/>
        </w:rPr>
        <w:t xml:space="preserve"> y ordenando «a los jefes, representantes legales, administradores o quienes hagan sus veces a adoptar, en los centros laborales públicos y privados, las medidas de prevención y control sanitario para evitar la propagación del COVID-19», indicando al respecto que «Deberá impulsarse al máximo la prestación del servicio a través del teletrabajo»</w:t>
      </w:r>
      <w:r w:rsidRPr="006F1B1E">
        <w:rPr>
          <w:rStyle w:val="Refdenotaalpie"/>
          <w:rFonts w:ascii="Arial" w:hAnsi="Arial" w:cs="Arial"/>
          <w:color w:val="000000" w:themeColor="text1"/>
          <w:sz w:val="22"/>
          <w:lang w:val="es-ES_tradnl"/>
        </w:rPr>
        <w:footnoteReference w:id="28"/>
      </w:r>
      <w:r w:rsidRPr="006F1B1E">
        <w:rPr>
          <w:rFonts w:ascii="Arial" w:hAnsi="Arial" w:cs="Arial"/>
          <w:color w:val="000000" w:themeColor="text1"/>
          <w:sz w:val="22"/>
          <w:lang w:val="es-ES_tradnl"/>
        </w:rPr>
        <w:t>. Conviene destacar además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9392B34" w14:textId="77777777" w:rsidR="003657C8" w:rsidRPr="006F1B1E" w:rsidRDefault="003657C8" w:rsidP="003657C8">
      <w:pPr>
        <w:spacing w:before="120" w:after="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t>c) Directiva Presidencial Nº 02 del 12 de marzo de 2020, que establece «medidas para atender la contingencia generada por el COVID-19, a partir del uso de las tecnologías de la información y las telecomunicaciones –TIC–»</w:t>
      </w:r>
      <w:r w:rsidRPr="006F1B1E">
        <w:rPr>
          <w:rStyle w:val="Refdenotaalpie"/>
          <w:rFonts w:ascii="Arial" w:hAnsi="Arial" w:cs="Arial"/>
          <w:color w:val="000000" w:themeColor="text1"/>
          <w:sz w:val="22"/>
          <w:lang w:val="es-ES_tradnl"/>
        </w:rPr>
        <w:footnoteReference w:id="29"/>
      </w:r>
      <w:r w:rsidRPr="006F1B1E">
        <w:rPr>
          <w:rFonts w:ascii="Arial" w:hAnsi="Arial" w:cs="Arial"/>
          <w:color w:val="000000" w:themeColor="text1"/>
          <w:sz w:val="22"/>
          <w:lang w:val="es-ES_tradnl"/>
        </w:rPr>
        <w:t>, implementando el trabajo en casa por medio del uso de las TIC</w:t>
      </w:r>
      <w:r w:rsidRPr="006F1B1E">
        <w:rPr>
          <w:rStyle w:val="Refdenotaalpie"/>
          <w:rFonts w:ascii="Arial" w:hAnsi="Arial" w:cs="Arial"/>
          <w:color w:val="000000" w:themeColor="text1"/>
          <w:sz w:val="22"/>
          <w:lang w:val="es-ES_tradnl"/>
        </w:rPr>
        <w:footnoteReference w:id="30"/>
      </w:r>
      <w:r w:rsidRPr="006F1B1E">
        <w:rPr>
          <w:rFonts w:ascii="Arial" w:hAnsi="Arial" w:cs="Arial"/>
          <w:color w:val="000000" w:themeColor="text1"/>
          <w:sz w:val="22"/>
          <w:lang w:val="es-ES_tradnl"/>
        </w:rPr>
        <w:t>.</w:t>
      </w:r>
    </w:p>
    <w:p w14:paraId="413B1679" w14:textId="77777777" w:rsidR="003657C8" w:rsidRPr="006F1B1E" w:rsidRDefault="003657C8" w:rsidP="003657C8">
      <w:pPr>
        <w:spacing w:before="120" w:after="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lastRenderedPageBreak/>
        <w:t>d) Circular Interna Nº 0020 del 16 de marzo de 2020, expedida por el Ministerio del Trabajo, estableciendo «directrices transitorias para trabajo en casa por el COVID-19».</w:t>
      </w:r>
    </w:p>
    <w:p w14:paraId="12D9FCB9" w14:textId="77777777" w:rsidR="003657C8" w:rsidRPr="006F1B1E" w:rsidRDefault="003657C8" w:rsidP="003657C8">
      <w:pPr>
        <w:spacing w:before="120" w:after="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t>Estas medidas han sido adoptadas no solo por el Gobierno nacional, sino también por los órganos judiciales y de control. El Fiscal General de la Nación expidió la Circular Nº 005 del 16 de marzo de 2020, dirigida a todos los funcionarios de la Fiscalía General de la Nación, autorizando el trabajo desde la casa para el cumplimiento de las funciones que puedan llevarse a cabo por este medio. Por su parte, la Procuraduría General de la Nación expidió la Directiva Nº 009 del 16 de marzo de 2020, que establece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autoriza la realización de audiencias de conciliación por razones de salud pública, «en la modalidad no presencial a través de comunicación simultánea o sucesiva»</w:t>
      </w:r>
      <w:r w:rsidRPr="006F1B1E">
        <w:rPr>
          <w:rStyle w:val="Refdenotaalpie"/>
          <w:rFonts w:ascii="Arial" w:hAnsi="Arial" w:cs="Arial"/>
          <w:color w:val="000000" w:themeColor="text1"/>
          <w:sz w:val="22"/>
          <w:lang w:val="es-ES_tradnl"/>
        </w:rPr>
        <w:footnoteReference w:id="31"/>
      </w:r>
      <w:r w:rsidRPr="006F1B1E">
        <w:rPr>
          <w:rFonts w:ascii="Arial" w:hAnsi="Arial" w:cs="Arial"/>
          <w:color w:val="000000" w:themeColor="text1"/>
          <w:sz w:val="22"/>
          <w:lang w:val="es-ES_tradnl"/>
        </w:rPr>
        <w:t>. De igual manera, la Contraloría General de la República, mediante Resolución Reglamentaria Ejecutiva Nº 0063 del 16 de marzo de 2020 determinó la suspensión de la atención al público de manera presencial, disponiendo de los canales electrónicos necesarios para la recepción de peticiones de la ciudadanía, en armonía con la Circular Nº 003 de 2020 del Contralor General de la República,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4FC0F3BD" w14:textId="77777777" w:rsidR="003657C8" w:rsidRPr="006F1B1E" w:rsidRDefault="003657C8" w:rsidP="003657C8">
      <w:pPr>
        <w:spacing w:before="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t xml:space="preserve">En conclusión, el estado de emergencia social, derivado de la situación sanitaria ocasionada por la pandemia del COVID-19, ha justificado que se implementen –por parte de las autoridades administrativas, judiciales y de control– medidas tendientes a aminorar el riesgo de contagio en los ambientes laborales, y es por ello que, como se puede notar a partir del recuento normativo efectuado, se ha impartido la directriz de evitar al máximo la presencialidad y de utilizar las tecnologías de la información y las telecomunicaciones, pues tales herramientas electrónicas permiten la reproducción simultánea de los mensajes de datos. Estas directrices también deben aplicarse en la contratación estatal, por ser una actividad que se tramita en espacios laborales al interior de las entidades estatales. Con fundamento en estas ideas, se analizará en el siguiente numeral si la audiencia de adjudicación se puede realizar por medios electrónicos. </w:t>
      </w:r>
    </w:p>
    <w:p w14:paraId="38536BC8" w14:textId="77777777" w:rsidR="003657C8" w:rsidRPr="006F1B1E" w:rsidRDefault="003657C8" w:rsidP="003657C8">
      <w:pPr>
        <w:pStyle w:val="Prrafodelista"/>
        <w:spacing w:line="276" w:lineRule="auto"/>
        <w:ind w:left="0"/>
        <w:jc w:val="both"/>
        <w:rPr>
          <w:rFonts w:ascii="Arial" w:hAnsi="Arial" w:cs="Arial"/>
          <w:b/>
          <w:color w:val="000000" w:themeColor="text1"/>
          <w:sz w:val="22"/>
          <w:lang w:val="es-ES_tradnl"/>
        </w:rPr>
      </w:pPr>
    </w:p>
    <w:p w14:paraId="735AB47D" w14:textId="77777777" w:rsidR="003657C8" w:rsidRPr="006F1B1E" w:rsidRDefault="003657C8" w:rsidP="003657C8">
      <w:pPr>
        <w:pStyle w:val="Prrafodelista"/>
        <w:spacing w:line="276" w:lineRule="auto"/>
        <w:ind w:left="0"/>
        <w:jc w:val="both"/>
        <w:rPr>
          <w:rFonts w:ascii="Arial" w:hAnsi="Arial" w:cs="Arial"/>
          <w:b/>
          <w:color w:val="000000" w:themeColor="text1"/>
          <w:sz w:val="22"/>
          <w:lang w:val="es-ES_tradnl"/>
        </w:rPr>
      </w:pPr>
      <w:r w:rsidRPr="006F1B1E">
        <w:rPr>
          <w:rFonts w:ascii="Arial" w:hAnsi="Arial" w:cs="Arial"/>
          <w:b/>
          <w:color w:val="000000" w:themeColor="text1"/>
          <w:sz w:val="22"/>
          <w:lang w:val="es-ES_tradnl"/>
        </w:rPr>
        <w:t xml:space="preserve">2.3. Posibilidad de realizar la audiencia de adjudicación por medios electrónicos </w:t>
      </w:r>
    </w:p>
    <w:p w14:paraId="79CB21A2" w14:textId="77777777" w:rsidR="003657C8" w:rsidRPr="006F1B1E" w:rsidRDefault="003657C8" w:rsidP="003657C8">
      <w:pPr>
        <w:pStyle w:val="Prrafodelista"/>
        <w:spacing w:line="276" w:lineRule="auto"/>
        <w:ind w:left="0"/>
        <w:jc w:val="both"/>
        <w:rPr>
          <w:rFonts w:ascii="Arial" w:eastAsia="Calibri" w:hAnsi="Arial" w:cs="Arial"/>
          <w:b/>
          <w:color w:val="000000" w:themeColor="text1"/>
          <w:sz w:val="22"/>
          <w:lang w:val="es-ES_tradnl"/>
        </w:rPr>
      </w:pPr>
    </w:p>
    <w:p w14:paraId="00D6385F" w14:textId="77777777" w:rsidR="003657C8" w:rsidRPr="006F1B1E" w:rsidRDefault="003657C8" w:rsidP="003657C8">
      <w:pPr>
        <w:pStyle w:val="Prrafodelista"/>
        <w:spacing w:before="120" w:line="276" w:lineRule="auto"/>
        <w:ind w:left="0"/>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lastRenderedPageBreak/>
        <w:t>Como bien es sabido, la adjudicación es el acto administrativo mediante el cual se escoge la mejor oferta en un procedimiento de contratación plural –de licitación pública, selección abreviada o concurso de méritos</w:t>
      </w:r>
      <w:r w:rsidRPr="006F1B1E">
        <w:rPr>
          <w:rStyle w:val="Refdenotaalpie"/>
          <w:rFonts w:ascii="Arial" w:eastAsia="Calibri" w:hAnsi="Arial" w:cs="Arial"/>
          <w:color w:val="000000" w:themeColor="text1"/>
          <w:sz w:val="22"/>
          <w:lang w:val="es-ES_tradnl"/>
        </w:rPr>
        <w:footnoteReference w:id="32"/>
      </w:r>
      <w:r w:rsidRPr="006F1B1E">
        <w:rPr>
          <w:rFonts w:ascii="Arial" w:eastAsia="Calibri" w:hAnsi="Arial" w:cs="Arial"/>
          <w:color w:val="000000" w:themeColor="text1"/>
          <w:sz w:val="22"/>
          <w:lang w:val="es-ES_tradnl"/>
        </w:rPr>
        <w:t>–, atendiendo al principio de selección objetiva, y el cual genera para el adjudicatario, tanto el derecho, como la obligación, de celebrar el contrato estatal</w:t>
      </w:r>
      <w:r w:rsidRPr="006F1B1E">
        <w:rPr>
          <w:rStyle w:val="Refdenotaalpie"/>
          <w:rFonts w:ascii="Arial" w:eastAsia="Calibri" w:hAnsi="Arial" w:cs="Arial"/>
          <w:color w:val="000000" w:themeColor="text1"/>
          <w:sz w:val="22"/>
          <w:lang w:val="es-ES_tradnl"/>
        </w:rPr>
        <w:footnoteReference w:id="33"/>
      </w:r>
      <w:r w:rsidRPr="006F1B1E">
        <w:rPr>
          <w:rFonts w:ascii="Arial" w:eastAsia="Calibri" w:hAnsi="Arial" w:cs="Arial"/>
          <w:color w:val="000000" w:themeColor="text1"/>
          <w:sz w:val="22"/>
          <w:lang w:val="es-ES_tradnl"/>
        </w:rPr>
        <w:t>.</w:t>
      </w:r>
    </w:p>
    <w:p w14:paraId="353D3302" w14:textId="77777777" w:rsidR="003657C8" w:rsidRPr="006F1B1E" w:rsidRDefault="003657C8" w:rsidP="003657C8">
      <w:pPr>
        <w:spacing w:before="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El artículo 273 de la Constitución exige que la audiencia de adjudicación se desarrolle en audiencia pública, cuando así lo solicite cualquiera de los proponentes, el Contralor General de la República o demás autoridades de control fiscal</w:t>
      </w:r>
      <w:r w:rsidRPr="006F1B1E">
        <w:rPr>
          <w:rStyle w:val="Refdenotaalpie"/>
          <w:rFonts w:ascii="Arial" w:eastAsia="Calibri" w:hAnsi="Arial" w:cs="Arial"/>
          <w:color w:val="000000" w:themeColor="text1"/>
          <w:sz w:val="22"/>
          <w:lang w:val="es-ES_tradnl"/>
        </w:rPr>
        <w:footnoteReference w:id="34"/>
      </w:r>
      <w:r w:rsidRPr="006F1B1E">
        <w:rPr>
          <w:rFonts w:ascii="Arial" w:eastAsia="Calibri" w:hAnsi="Arial" w:cs="Arial"/>
          <w:color w:val="000000" w:themeColor="text1"/>
          <w:sz w:val="22"/>
          <w:lang w:val="es-ES_tradnl"/>
        </w:rPr>
        <w:t xml:space="preserve">. Sin embargo, el artículo 9 de la Ley 1150 de 2007 extendió la obligatoriedad de la audiencia pública de adjudicación a todos los casos en la licitación. Dicho artículo dispone: </w:t>
      </w:r>
    </w:p>
    <w:p w14:paraId="07DAAACC"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6AD715A2"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lastRenderedPageBreak/>
        <w:t>«En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5865CEEA"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54BFCE2F"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5D55BF7B"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3D9FCCCB"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36804BEF" w14:textId="77777777" w:rsidR="003657C8" w:rsidRPr="006F1B1E" w:rsidRDefault="003657C8" w:rsidP="003657C8">
      <w:pPr>
        <w:ind w:left="709" w:right="709"/>
        <w:jc w:val="both"/>
        <w:rPr>
          <w:rFonts w:ascii="Arial" w:eastAsia="Calibri" w:hAnsi="Arial" w:cs="Arial"/>
          <w:color w:val="000000" w:themeColor="text1"/>
          <w:sz w:val="21"/>
          <w:szCs w:val="21"/>
          <w:lang w:val="es-ES_tradnl"/>
        </w:rPr>
      </w:pPr>
    </w:p>
    <w:p w14:paraId="72EDCE89" w14:textId="77777777" w:rsidR="003657C8" w:rsidRPr="006F1B1E" w:rsidRDefault="003657C8" w:rsidP="003657C8">
      <w:pPr>
        <w:ind w:left="709" w:right="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1"/>
          <w:szCs w:val="21"/>
          <w:lang w:val="es-ES_tradnl"/>
        </w:rPr>
        <w:t xml:space="preserve">»Sin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   </w:t>
      </w:r>
    </w:p>
    <w:p w14:paraId="28195F3F" w14:textId="77777777" w:rsidR="003657C8" w:rsidRPr="006F1B1E" w:rsidRDefault="003657C8" w:rsidP="003657C8">
      <w:pPr>
        <w:pStyle w:val="Prrafodelista"/>
        <w:spacing w:line="276" w:lineRule="auto"/>
        <w:ind w:left="0"/>
        <w:jc w:val="both"/>
        <w:rPr>
          <w:rFonts w:ascii="Arial" w:eastAsia="Calibri" w:hAnsi="Arial" w:cs="Arial"/>
          <w:color w:val="000000" w:themeColor="text1"/>
          <w:sz w:val="22"/>
          <w:lang w:val="es-ES_tradnl"/>
        </w:rPr>
      </w:pPr>
    </w:p>
    <w:p w14:paraId="7067C8ED" w14:textId="77777777" w:rsidR="003657C8" w:rsidRPr="006F1B1E" w:rsidRDefault="003657C8" w:rsidP="003657C8">
      <w:pPr>
        <w:spacing w:before="120" w:line="276" w:lineRule="auto"/>
        <w:ind w:firstLine="709"/>
        <w:jc w:val="both"/>
        <w:rPr>
          <w:rFonts w:ascii="Arial" w:hAnsi="Arial" w:cs="Arial"/>
          <w:color w:val="000000" w:themeColor="text1"/>
          <w:sz w:val="22"/>
          <w:lang w:val="es-ES_tradnl"/>
        </w:rPr>
      </w:pPr>
      <w:r w:rsidRPr="006F1B1E">
        <w:rPr>
          <w:rFonts w:ascii="Arial" w:hAnsi="Arial" w:cs="Arial"/>
          <w:color w:val="000000" w:themeColor="text1"/>
          <w:sz w:val="22"/>
          <w:lang w:val="es-ES_tradnl"/>
        </w:rPr>
        <w:t>Pues bien, si se armoniza el artículo 9 con el 3 de la Ley 1150 de 2007, así como con las disposiciones citadas anteriormente, contenidas en las Leyes 527 de 1999, 962 del 2005, 1341 de 2009 y 1437 de 2011, al igual que en los Decretos 019 de 2012 y 2106 de 2019, es viable concluir que la audiencia de adjudicación en la licitación pública se puede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58943285" w14:textId="77777777" w:rsidR="003657C8" w:rsidRPr="006F1B1E" w:rsidRDefault="003657C8" w:rsidP="003657C8">
      <w:pPr>
        <w:spacing w:line="276" w:lineRule="auto"/>
        <w:jc w:val="both"/>
        <w:rPr>
          <w:rFonts w:ascii="Arial" w:hAnsi="Arial" w:cs="Arial"/>
          <w:color w:val="000000" w:themeColor="text1"/>
          <w:sz w:val="22"/>
          <w:lang w:val="es-ES_tradnl"/>
        </w:rPr>
      </w:pPr>
    </w:p>
    <w:p w14:paraId="4862ED0F" w14:textId="77777777" w:rsidR="003657C8" w:rsidRPr="006F1B1E" w:rsidRDefault="003657C8" w:rsidP="003657C8">
      <w:pPr>
        <w:spacing w:line="276" w:lineRule="auto"/>
        <w:jc w:val="both"/>
        <w:rPr>
          <w:rFonts w:ascii="Arial" w:hAnsi="Arial" w:cs="Arial"/>
          <w:color w:val="000000" w:themeColor="text1"/>
          <w:sz w:val="22"/>
          <w:lang w:val="es-ES_tradnl"/>
        </w:rPr>
      </w:pPr>
      <w:r w:rsidRPr="006F1B1E">
        <w:rPr>
          <w:rFonts w:ascii="Arial" w:eastAsia="Calibri" w:hAnsi="Arial" w:cs="Arial"/>
          <w:b/>
          <w:color w:val="000000" w:themeColor="text1"/>
          <w:sz w:val="22"/>
          <w:lang w:val="es-ES_tradnl"/>
        </w:rPr>
        <w:t>2.4. Suspensión de la audiencia de adjudicación por razones de fuerza mayor: COVID-19 e imposibilidad de acceder a medios electrónicos por parte de las entidades estatales</w:t>
      </w:r>
    </w:p>
    <w:p w14:paraId="162D4300" w14:textId="77777777" w:rsidR="003657C8" w:rsidRPr="006F1B1E" w:rsidRDefault="003657C8" w:rsidP="003657C8">
      <w:pPr>
        <w:pStyle w:val="Prrafodelista"/>
        <w:spacing w:line="276" w:lineRule="auto"/>
        <w:ind w:left="0"/>
        <w:jc w:val="both"/>
        <w:rPr>
          <w:rFonts w:ascii="Arial" w:eastAsia="Calibri" w:hAnsi="Arial" w:cs="Arial"/>
          <w:b/>
          <w:color w:val="000000" w:themeColor="text1"/>
          <w:sz w:val="22"/>
          <w:lang w:val="es-ES_tradnl"/>
        </w:rPr>
      </w:pPr>
    </w:p>
    <w:p w14:paraId="617015B7" w14:textId="77777777" w:rsidR="003657C8" w:rsidRPr="006F1B1E" w:rsidRDefault="003657C8" w:rsidP="003657C8">
      <w:pPr>
        <w:pStyle w:val="Prrafodelista"/>
        <w:spacing w:line="276" w:lineRule="auto"/>
        <w:ind w:left="0"/>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Como se indicó, la audiencia de adjudicación en la licitación pública se puede llevar a cabo por medios electrónicos. Sin embargo, ¿qué sucede cuando una entidad estatal, por razones técnicas o presupuestales, se encuentra en imposibilidad fáctica de acceder a las </w:t>
      </w:r>
      <w:r w:rsidRPr="006F1B1E">
        <w:rPr>
          <w:rFonts w:ascii="Arial" w:eastAsia="Calibri" w:hAnsi="Arial" w:cs="Arial"/>
          <w:color w:val="000000" w:themeColor="text1"/>
          <w:sz w:val="22"/>
          <w:lang w:val="es-ES_tradnl"/>
        </w:rPr>
        <w:lastRenderedPageBreak/>
        <w:t>herramientas tecnológicas –computadores, otros aparatos electrónicos o aplicaciones web– para realizar la audiencia en medio virtual? ¿Podría en tal caso suspender la audiencia de adjudicación?</w:t>
      </w:r>
    </w:p>
    <w:p w14:paraId="23FDE898" w14:textId="77777777" w:rsidR="003657C8" w:rsidRPr="006F1B1E" w:rsidRDefault="003657C8" w:rsidP="003657C8">
      <w:pPr>
        <w:spacing w:before="120" w:line="276" w:lineRule="auto"/>
        <w:ind w:firstLine="709"/>
        <w:jc w:val="both"/>
        <w:rPr>
          <w:rFonts w:ascii="Arial" w:hAnsi="Arial" w:cs="Arial"/>
          <w:color w:val="000000" w:themeColor="text1"/>
          <w:sz w:val="22"/>
          <w:lang w:val="es-ES_tradnl"/>
        </w:rPr>
      </w:pPr>
      <w:r w:rsidRPr="006F1B1E">
        <w:rPr>
          <w:rFonts w:ascii="Arial" w:eastAsia="Calibri" w:hAnsi="Arial" w:cs="Arial"/>
          <w:color w:val="000000" w:themeColor="text1"/>
          <w:sz w:val="22"/>
          <w:lang w:val="es-ES_tradnl"/>
        </w:rPr>
        <w:t xml:space="preserve"> En </w:t>
      </w:r>
      <w:r w:rsidRPr="006F1B1E">
        <w:rPr>
          <w:rFonts w:ascii="Arial" w:hAnsi="Arial" w:cs="Arial"/>
          <w:color w:val="000000" w:themeColor="text1"/>
          <w:sz w:val="22"/>
          <w:lang w:val="es-ES_tradnl"/>
        </w:rPr>
        <w:t>principio, la suspensión de la audiencia de adjudicación solo está permitida en el evento previsto en el numeral 1º del artículo 2.2.1.2.1.1.2. del Decreto 1082 de 2015, el cual expresa que:</w:t>
      </w:r>
    </w:p>
    <w:p w14:paraId="5ED0E443" w14:textId="77777777" w:rsidR="003657C8" w:rsidRPr="006F1B1E" w:rsidRDefault="003657C8" w:rsidP="003657C8">
      <w:pPr>
        <w:ind w:left="709" w:right="709"/>
        <w:jc w:val="both"/>
        <w:rPr>
          <w:rFonts w:ascii="Arial" w:hAnsi="Arial" w:cs="Arial"/>
          <w:color w:val="000000" w:themeColor="text1"/>
          <w:sz w:val="21"/>
          <w:szCs w:val="21"/>
          <w:lang w:val="es-ES_tradnl"/>
        </w:rPr>
      </w:pPr>
    </w:p>
    <w:p w14:paraId="0ED1BE67" w14:textId="77777777" w:rsidR="003657C8" w:rsidRPr="006F1B1E" w:rsidRDefault="003657C8" w:rsidP="003657C8">
      <w:pPr>
        <w:ind w:left="709" w:right="709"/>
        <w:jc w:val="both"/>
        <w:rPr>
          <w:rFonts w:ascii="Arial" w:hAnsi="Arial" w:cs="Arial"/>
          <w:color w:val="000000" w:themeColor="text1"/>
          <w:sz w:val="21"/>
          <w:szCs w:val="21"/>
          <w:lang w:val="es-ES_tradnl"/>
        </w:rPr>
      </w:pPr>
      <w:r w:rsidRPr="006F1B1E">
        <w:rPr>
          <w:rFonts w:ascii="Arial" w:hAnsi="Arial" w:cs="Arial"/>
          <w:color w:val="000000" w:themeColor="text1"/>
          <w:sz w:val="21"/>
          <w:szCs w:val="21"/>
          <w:lang w:val="es-ES_tradnl"/>
        </w:rPr>
        <w:t>«En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1F8223A7" w14:textId="77777777" w:rsidR="003657C8" w:rsidRPr="006F1B1E" w:rsidRDefault="003657C8" w:rsidP="003657C8">
      <w:pPr>
        <w:spacing w:line="276" w:lineRule="auto"/>
        <w:ind w:firstLine="709"/>
        <w:jc w:val="both"/>
        <w:rPr>
          <w:rFonts w:ascii="Arial" w:eastAsia="Calibri" w:hAnsi="Arial" w:cs="Arial"/>
          <w:color w:val="000000" w:themeColor="text1"/>
          <w:sz w:val="22"/>
          <w:lang w:val="es-ES_tradnl"/>
        </w:rPr>
      </w:pPr>
    </w:p>
    <w:p w14:paraId="5E9E73EA" w14:textId="77777777" w:rsidR="003657C8" w:rsidRPr="006F1B1E" w:rsidRDefault="003657C8" w:rsidP="003657C8">
      <w:pPr>
        <w:spacing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Sin embargo, como puede leerse, la suspensión permitida en dicho apartado normativo es solo para que la entidad estatal verifique los pronunciamientos de los oferentes durante la audiencia de licitación.</w:t>
      </w:r>
    </w:p>
    <w:p w14:paraId="7FD1C553" w14:textId="77777777" w:rsidR="003657C8" w:rsidRPr="006F1B1E" w:rsidRDefault="003657C8" w:rsidP="003657C8">
      <w:pPr>
        <w:spacing w:before="120" w:after="120" w:line="276" w:lineRule="auto"/>
        <w:ind w:firstLine="709"/>
        <w:jc w:val="both"/>
        <w:rPr>
          <w:rFonts w:ascii="Arial" w:eastAsia="Calibri" w:hAnsi="Arial" w:cs="Arial"/>
          <w:color w:val="000000" w:themeColor="text1"/>
          <w:sz w:val="22"/>
          <w:lang w:val="es-ES_tradnl"/>
        </w:rPr>
      </w:pPr>
      <w:r w:rsidRPr="006F1B1E">
        <w:rPr>
          <w:rFonts w:ascii="Arial" w:hAnsi="Arial" w:cs="Arial"/>
          <w:color w:val="000000" w:themeColor="text1"/>
          <w:sz w:val="22"/>
          <w:lang w:val="es-ES_tradnl"/>
        </w:rPr>
        <w:t>Ahora</w:t>
      </w:r>
      <w:r w:rsidRPr="006F1B1E">
        <w:rPr>
          <w:rFonts w:ascii="Arial" w:eastAsia="Calibri" w:hAnsi="Arial" w:cs="Arial"/>
          <w:color w:val="000000" w:themeColor="text1"/>
          <w:sz w:val="22"/>
          <w:lang w:val="es-ES_tradnl"/>
        </w:rPr>
        <w:t xml:space="preserve"> bien, i) el artículo 63 del Código Civil –que define la fuerza mayor o caso fortuito como «[…] el imprevisto o que no es posible resistir, como un naufragio, un terremoto, el apresamiento de enemigos, los actos de autoridad ejercidos por un funcionario público, etc.»– y ii) el principio general del derecho según el cual «a lo imposible nadie está obligado»</w:t>
      </w:r>
      <w:r w:rsidRPr="006F1B1E">
        <w:rPr>
          <w:rStyle w:val="Refdenotaalpie"/>
          <w:rFonts w:ascii="Arial" w:eastAsia="Calibri" w:hAnsi="Arial" w:cs="Arial"/>
          <w:color w:val="000000" w:themeColor="text1"/>
          <w:sz w:val="22"/>
          <w:lang w:val="es-ES_tradnl"/>
        </w:rPr>
        <w:footnoteReference w:id="35"/>
      </w:r>
      <w:r w:rsidRPr="006F1B1E">
        <w:rPr>
          <w:rFonts w:ascii="Arial" w:eastAsia="Calibri" w:hAnsi="Arial" w:cs="Arial"/>
          <w:color w:val="000000" w:themeColor="text1"/>
          <w:sz w:val="22"/>
          <w:lang w:val="es-ES_tradnl"/>
        </w:rPr>
        <w:t>, permiten deducir que ante una razonable imposibilidad fáctica para realizar la audiencia de adjudicación en medio presencial –en atención a las directrices de salud impartidas por las autoridades en virtud del COVID-19– y llevarla a cabo por medios electrónicos –por la ausencia de herramientas tecnológicas o digitales que lo permitan–, las entidades estatales podrían suspender su realización, aplazándola para el momento en que cese el estado de emergencia sanitario o se tengan los medios logísticos para su desarrollo.</w:t>
      </w:r>
    </w:p>
    <w:p w14:paraId="2D8C01E1" w14:textId="77777777" w:rsidR="003657C8" w:rsidRPr="006F1B1E" w:rsidRDefault="003657C8" w:rsidP="003657C8">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En efecto, el estado de emergencia derivado del COVID-19 y la existencia de actos administrativos que establecen la directriz de adoptar mecanismos de teletrabajo en las entidades estatales para evitar la propagación del virus, son situaciones constitutivas de fuerza mayor, que imposibilitan hacer la audiencia de adjudicación presencialmente. Efectuarla implicaría ir en contra de las mencionadas directivas y poner en riesgo, tanto al </w:t>
      </w:r>
      <w:r w:rsidRPr="006F1B1E">
        <w:rPr>
          <w:rFonts w:ascii="Arial" w:eastAsia="Calibri" w:hAnsi="Arial" w:cs="Arial"/>
          <w:color w:val="000000" w:themeColor="text1"/>
          <w:sz w:val="22"/>
          <w:lang w:val="es-ES_tradnl"/>
        </w:rPr>
        <w:lastRenderedPageBreak/>
        <w:t>personal de la entidad estatal contratante, como a las personas que se relacionen con ellos. De ahí la necesidad de implementar medios electrónicos.</w:t>
      </w:r>
    </w:p>
    <w:p w14:paraId="6F30F0F9" w14:textId="77777777" w:rsidR="003657C8" w:rsidRPr="006F1B1E" w:rsidRDefault="003657C8" w:rsidP="003657C8">
      <w:pPr>
        <w:spacing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No obstante lo anterior, esta Subdirección insiste en que la suspensión de la audiencia debe ser la </w:t>
      </w:r>
      <w:r w:rsidRPr="006F1B1E">
        <w:rPr>
          <w:rFonts w:ascii="Arial" w:eastAsia="Calibri" w:hAnsi="Arial" w:cs="Arial"/>
          <w:i/>
          <w:color w:val="000000" w:themeColor="text1"/>
          <w:sz w:val="22"/>
          <w:lang w:val="es-ES_tradnl"/>
        </w:rPr>
        <w:t>última ratio</w:t>
      </w:r>
      <w:r w:rsidRPr="006F1B1E">
        <w:rPr>
          <w:rFonts w:ascii="Arial" w:eastAsia="Calibri" w:hAnsi="Arial" w:cs="Arial"/>
          <w:color w:val="000000" w:themeColor="text1"/>
          <w:sz w:val="22"/>
          <w:lang w:val="es-ES_tradnl"/>
        </w:rPr>
        <w:t xml:space="preserve">; es decir, una decisión que solo se puede tomar si en el caso concreto, efectivamente, no es posible contar con los medios tecnológicos e informáticos que permitan adelantarla presencialmente o en sede virtual. Si tales herramientas web están a disposición material de las entidades estatales, se debe hacer la audiencia de adjudicación a través de dichos sistemas de información, sin que sea viable suspenderla, salvo por la razón prevista en el numeral </w:t>
      </w:r>
      <w:r w:rsidRPr="006F1B1E">
        <w:rPr>
          <w:rFonts w:ascii="Arial" w:hAnsi="Arial" w:cs="Arial"/>
          <w:color w:val="000000" w:themeColor="text1"/>
          <w:sz w:val="22"/>
          <w:lang w:val="es-ES_tradnl"/>
        </w:rPr>
        <w:t>1º del artículo 2.2.1.2.1.1.2. del Decreto 1082 de 2015.</w:t>
      </w:r>
    </w:p>
    <w:p w14:paraId="4399714D"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709C5FBA"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r w:rsidRPr="006F1B1E">
        <w:rPr>
          <w:rFonts w:ascii="Arial" w:eastAsia="Calibri" w:hAnsi="Arial" w:cs="Arial"/>
          <w:b/>
          <w:color w:val="000000" w:themeColor="text1"/>
          <w:sz w:val="22"/>
          <w:lang w:val="es-ES_tradnl"/>
        </w:rPr>
        <w:t>3. Respuestas</w:t>
      </w:r>
    </w:p>
    <w:p w14:paraId="3A114AB9" w14:textId="77777777" w:rsidR="003657C8" w:rsidRPr="006F1B1E" w:rsidRDefault="003657C8" w:rsidP="003657C8">
      <w:pPr>
        <w:spacing w:line="276" w:lineRule="auto"/>
        <w:ind w:left="709" w:right="709"/>
        <w:jc w:val="both"/>
        <w:rPr>
          <w:rFonts w:ascii="Arial" w:eastAsia="Calibri" w:hAnsi="Arial" w:cs="Arial"/>
          <w:i/>
          <w:color w:val="000000" w:themeColor="text1"/>
          <w:sz w:val="22"/>
          <w:lang w:val="es-ES_tradnl"/>
        </w:rPr>
      </w:pPr>
    </w:p>
    <w:p w14:paraId="446C6144" w14:textId="77777777" w:rsidR="003657C8" w:rsidRPr="006F1B1E" w:rsidRDefault="003657C8" w:rsidP="003657C8">
      <w:pPr>
        <w:spacing w:line="276" w:lineRule="auto"/>
        <w:ind w:left="708" w:right="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i) ¿Se puede realizar la audiencia de adjudicación por medios electrónicos?</w:t>
      </w:r>
    </w:p>
    <w:p w14:paraId="0CDC412D"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78BD1C28" w14:textId="77777777" w:rsidR="003657C8" w:rsidRPr="006F1B1E" w:rsidRDefault="003657C8" w:rsidP="003657C8">
      <w:pPr>
        <w:spacing w:before="120" w:line="276" w:lineRule="auto"/>
        <w:jc w:val="both"/>
        <w:rPr>
          <w:rFonts w:ascii="Arial" w:hAnsi="Arial" w:cs="Arial"/>
          <w:color w:val="000000" w:themeColor="text1"/>
          <w:sz w:val="22"/>
          <w:lang w:val="es-ES_tradnl"/>
        </w:rPr>
      </w:pPr>
      <w:r w:rsidRPr="006F1B1E">
        <w:rPr>
          <w:rFonts w:ascii="Arial" w:hAnsi="Arial" w:cs="Arial"/>
          <w:color w:val="000000" w:themeColor="text1"/>
          <w:sz w:val="22"/>
          <w:lang w:val="es-ES_tradnl"/>
        </w:rPr>
        <w:t>Si se armoniza el artículo 9 con el 3 de la Ley 1150 de 2007, así como con las disposiciones citadas anteriormente, contenidas en las leyes 527 de 1999, 962 del 2005, 1341 de 2009 y 1437 de 2011, así como en los decretos 019 de 2012 y 2106 de 2019, se puede concluir que la audiencia de adjudicación en la licitación pública se puede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garantizándose de este modo la participación, así como la veeduría ciudadana.</w:t>
      </w:r>
    </w:p>
    <w:p w14:paraId="09EE2F4F"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11999815" w14:textId="77777777" w:rsidR="003657C8" w:rsidRPr="006F1B1E" w:rsidRDefault="003657C8" w:rsidP="003657C8">
      <w:pPr>
        <w:spacing w:line="276" w:lineRule="auto"/>
        <w:ind w:left="708" w:right="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ii) ¿Si no se tiene la tecnología para efectuarla electrónicamente, se puede suspender la audiencia con fundamento en la emergencia decretada por el gobierno en virtud del COVID-19?</w:t>
      </w:r>
    </w:p>
    <w:p w14:paraId="4C6C21D0"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6B5A0DA3" w14:textId="77777777" w:rsidR="003657C8" w:rsidRPr="006F1B1E" w:rsidRDefault="003657C8" w:rsidP="003657C8">
      <w:pPr>
        <w:spacing w:before="120" w:after="120" w:line="276" w:lineRule="auto"/>
        <w:jc w:val="both"/>
        <w:rPr>
          <w:rFonts w:ascii="Arial" w:eastAsia="Calibri" w:hAnsi="Arial" w:cs="Arial"/>
          <w:color w:val="000000" w:themeColor="text1"/>
          <w:sz w:val="22"/>
          <w:lang w:val="es-ES_tradnl"/>
        </w:rPr>
      </w:pPr>
      <w:r w:rsidRPr="006F1B1E">
        <w:rPr>
          <w:rFonts w:ascii="Arial" w:hAnsi="Arial" w:cs="Arial"/>
          <w:color w:val="000000" w:themeColor="text1"/>
          <w:sz w:val="22"/>
          <w:lang w:val="es-ES_tradnl"/>
        </w:rPr>
        <w:t xml:space="preserve">Como se indicó, </w:t>
      </w:r>
      <w:r w:rsidRPr="006F1B1E">
        <w:rPr>
          <w:rFonts w:ascii="Arial" w:eastAsia="Calibri" w:hAnsi="Arial" w:cs="Arial"/>
          <w:color w:val="000000" w:themeColor="text1"/>
          <w:sz w:val="22"/>
          <w:lang w:val="es-ES_tradnl"/>
        </w:rPr>
        <w:t>i) el artículo 63 del Código Civil –que define la fuerza mayor o caso fortuito como «[…] el imprevisto o que no es posible resistir, como un naufragio, un terremoto, el apresamiento de enemigos, los actos de autoridad ejercidos por un funcionario público, etc.»– y ii) el principio general del derecho según el cual «a lo imposible nadie está obligado»</w:t>
      </w:r>
      <w:r w:rsidRPr="006F1B1E">
        <w:rPr>
          <w:rStyle w:val="Refdenotaalpie"/>
          <w:rFonts w:ascii="Arial" w:eastAsia="Calibri" w:hAnsi="Arial" w:cs="Arial"/>
          <w:color w:val="000000" w:themeColor="text1"/>
          <w:sz w:val="22"/>
          <w:lang w:val="es-ES_tradnl"/>
        </w:rPr>
        <w:footnoteReference w:id="36"/>
      </w:r>
      <w:r w:rsidRPr="006F1B1E">
        <w:rPr>
          <w:rFonts w:ascii="Arial" w:eastAsia="Calibri" w:hAnsi="Arial" w:cs="Arial"/>
          <w:color w:val="000000" w:themeColor="text1"/>
          <w:sz w:val="22"/>
          <w:lang w:val="es-ES_tradnl"/>
        </w:rPr>
        <w:t xml:space="preserve">, permiten deducir que ante una razonable imposibilidad fáctica para realizar la </w:t>
      </w:r>
      <w:r w:rsidRPr="006F1B1E">
        <w:rPr>
          <w:rFonts w:ascii="Arial" w:eastAsia="Calibri" w:hAnsi="Arial" w:cs="Arial"/>
          <w:color w:val="000000" w:themeColor="text1"/>
          <w:sz w:val="22"/>
          <w:lang w:val="es-ES_tradnl"/>
        </w:rPr>
        <w:lastRenderedPageBreak/>
        <w:t>audiencia de adjudicación en medio presencial –en atención a las directrices de salud impartidas por las autoridades en virtud del COVID-19– y llevarla a cabo por medios electrónicos –por la ausencia de herramientas tecnológicas o digitales que lo permitan–, las entidades estatales podrían suspender su realización, aplazándola para el momento en que cese el estado de emergencia sanitario o se tengan los medios logísticos para su desarrollo.</w:t>
      </w:r>
    </w:p>
    <w:p w14:paraId="78CA27B0" w14:textId="77777777" w:rsidR="003657C8" w:rsidRPr="006F1B1E" w:rsidRDefault="003657C8" w:rsidP="003657C8">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No obstante lo anterior, esta Subdirección insiste en que la suspensión de la audiencia debe ser la </w:t>
      </w:r>
      <w:r w:rsidRPr="006F1B1E">
        <w:rPr>
          <w:rFonts w:ascii="Arial" w:eastAsia="Calibri" w:hAnsi="Arial" w:cs="Arial"/>
          <w:i/>
          <w:color w:val="000000" w:themeColor="text1"/>
          <w:sz w:val="22"/>
          <w:lang w:val="es-ES_tradnl"/>
        </w:rPr>
        <w:t>última ratio</w:t>
      </w:r>
      <w:r w:rsidRPr="006F1B1E">
        <w:rPr>
          <w:rFonts w:ascii="Arial" w:eastAsia="Calibri" w:hAnsi="Arial" w:cs="Arial"/>
          <w:color w:val="000000" w:themeColor="text1"/>
          <w:sz w:val="22"/>
          <w:lang w:val="es-ES_tradnl"/>
        </w:rPr>
        <w:t xml:space="preserve">; es decir, una decisión que solo se puede tomar si en el caso concreto, efectivamente, no es posible contar con los medios tecnológicos e informáticos que permitan adelantarla en sede virtual. Si tales herramientas web están a disposición material de las entidades estatales, se debe hacer la audiencia de adjudicación a través de dichos sistemas de información, sin que sea viable suspenderla, salvo por la razón prevista en el numeral </w:t>
      </w:r>
      <w:r w:rsidRPr="006F1B1E">
        <w:rPr>
          <w:rFonts w:ascii="Arial" w:hAnsi="Arial" w:cs="Arial"/>
          <w:color w:val="000000" w:themeColor="text1"/>
          <w:sz w:val="22"/>
          <w:lang w:val="es-ES_tradnl"/>
        </w:rPr>
        <w:t>1º del artículo 2.2.1.2.1.1.2. del Decreto 1082 de 2015.</w:t>
      </w:r>
      <w:r w:rsidRPr="006F1B1E">
        <w:rPr>
          <w:rFonts w:ascii="Arial" w:eastAsia="Calibri" w:hAnsi="Arial" w:cs="Arial"/>
          <w:color w:val="000000" w:themeColor="text1"/>
          <w:sz w:val="22"/>
          <w:lang w:val="es-ES_tradnl"/>
        </w:rPr>
        <w:t xml:space="preserve">     </w:t>
      </w:r>
    </w:p>
    <w:p w14:paraId="7E618657"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7E6BBE19"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0668C716"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p>
    <w:p w14:paraId="7CAA5029" w14:textId="77777777" w:rsidR="003657C8" w:rsidRPr="006F1B1E" w:rsidRDefault="003657C8" w:rsidP="003657C8">
      <w:pPr>
        <w:spacing w:line="276" w:lineRule="auto"/>
        <w:jc w:val="both"/>
        <w:rPr>
          <w:rFonts w:ascii="Arial" w:eastAsia="Calibri" w:hAnsi="Arial" w:cs="Arial"/>
          <w:color w:val="000000" w:themeColor="text1"/>
          <w:sz w:val="22"/>
          <w:lang w:val="es-ES_tradnl"/>
        </w:rPr>
      </w:pPr>
      <w:r w:rsidRPr="006F1B1E">
        <w:rPr>
          <w:rFonts w:ascii="Arial" w:hAnsi="Arial" w:cs="Arial"/>
          <w:noProof/>
          <w:color w:val="000000" w:themeColor="text1"/>
          <w:lang w:val="en-US" w:eastAsia="en-US"/>
        </w:rPr>
        <mc:AlternateContent>
          <mc:Choice Requires="wps">
            <w:drawing>
              <wp:anchor distT="0" distB="0" distL="114300" distR="114300" simplePos="0" relativeHeight="251659264" behindDoc="0" locked="0" layoutInCell="1" allowOverlap="1" wp14:anchorId="400E6E66" wp14:editId="04AE229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675E05C"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2CD22570" w14:textId="77777777" w:rsidR="003657C8" w:rsidRPr="006F1B1E" w:rsidRDefault="003657C8" w:rsidP="003657C8">
      <w:pPr>
        <w:spacing w:line="276" w:lineRule="auto"/>
        <w:rPr>
          <w:rFonts w:ascii="Arial" w:hAnsi="Arial" w:cs="Arial"/>
          <w:color w:val="000000" w:themeColor="text1"/>
          <w:sz w:val="22"/>
          <w:lang w:val="es-ES_tradnl" w:eastAsia="es-CO"/>
        </w:rPr>
      </w:pPr>
      <w:r w:rsidRPr="006F1B1E">
        <w:rPr>
          <w:rFonts w:ascii="Arial" w:hAnsi="Arial" w:cs="Arial"/>
          <w:color w:val="000000" w:themeColor="text1"/>
          <w:sz w:val="22"/>
          <w:lang w:val="es-ES_tradnl" w:eastAsia="es-CO"/>
        </w:rPr>
        <w:t>Atentamente,</w:t>
      </w:r>
    </w:p>
    <w:p w14:paraId="14F30CF0" w14:textId="77777777" w:rsidR="003657C8" w:rsidRDefault="003657C8" w:rsidP="003657C8">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2770AA2F" wp14:editId="283D8592">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B43FF18" w14:textId="77777777" w:rsidR="003657C8" w:rsidRPr="006F1B1E" w:rsidRDefault="003657C8" w:rsidP="003657C8">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657C8" w:rsidRPr="006F1B1E" w14:paraId="1CB88872" w14:textId="77777777" w:rsidTr="00FB0BC1">
        <w:trPr>
          <w:trHeight w:val="315"/>
        </w:trPr>
        <w:tc>
          <w:tcPr>
            <w:tcW w:w="812" w:type="dxa"/>
            <w:vAlign w:val="center"/>
            <w:hideMark/>
          </w:tcPr>
          <w:p w14:paraId="0A9E267F" w14:textId="77777777" w:rsidR="003657C8" w:rsidRPr="006F1B1E" w:rsidRDefault="003657C8" w:rsidP="00FB0BC1">
            <w:pPr>
              <w:spacing w:line="276" w:lineRule="auto"/>
              <w:rPr>
                <w:rFonts w:ascii="Arial" w:hAnsi="Arial" w:cs="Arial"/>
                <w:color w:val="000000" w:themeColor="text1"/>
                <w:sz w:val="16"/>
                <w:szCs w:val="16"/>
                <w:lang w:val="es-ES_tradnl" w:eastAsia="es-ES"/>
              </w:rPr>
            </w:pPr>
            <w:r w:rsidRPr="006F1B1E">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0378364" w14:textId="77777777" w:rsidR="003657C8" w:rsidRPr="006F1B1E" w:rsidRDefault="003657C8" w:rsidP="00FB0BC1">
            <w:pPr>
              <w:spacing w:line="276" w:lineRule="auto"/>
              <w:rPr>
                <w:rFonts w:ascii="Arial" w:hAnsi="Arial" w:cs="Arial"/>
                <w:color w:val="000000" w:themeColor="text1"/>
                <w:sz w:val="16"/>
                <w:szCs w:val="16"/>
                <w:lang w:val="es-ES_tradnl" w:eastAsia="es-ES"/>
              </w:rPr>
            </w:pPr>
            <w:r w:rsidRPr="006F1B1E">
              <w:rPr>
                <w:rFonts w:ascii="Arial" w:hAnsi="Arial" w:cs="Arial"/>
                <w:color w:val="000000" w:themeColor="text1"/>
                <w:sz w:val="16"/>
                <w:szCs w:val="16"/>
                <w:lang w:val="es-ES_tradnl" w:eastAsia="es-ES"/>
              </w:rPr>
              <w:t>Cristian Andrés Díaz Díez</w:t>
            </w:r>
          </w:p>
        </w:tc>
      </w:tr>
      <w:tr w:rsidR="003657C8" w:rsidRPr="006F1B1E" w14:paraId="79B6060F" w14:textId="77777777" w:rsidTr="00FB0BC1">
        <w:trPr>
          <w:trHeight w:val="330"/>
        </w:trPr>
        <w:tc>
          <w:tcPr>
            <w:tcW w:w="812" w:type="dxa"/>
            <w:vAlign w:val="center"/>
            <w:hideMark/>
          </w:tcPr>
          <w:p w14:paraId="6E572D4A" w14:textId="77777777" w:rsidR="003657C8" w:rsidRPr="006F1B1E" w:rsidRDefault="003657C8" w:rsidP="00FB0BC1">
            <w:pPr>
              <w:spacing w:line="276" w:lineRule="auto"/>
              <w:rPr>
                <w:rFonts w:ascii="Arial" w:hAnsi="Arial" w:cs="Arial"/>
                <w:color w:val="000000" w:themeColor="text1"/>
                <w:sz w:val="16"/>
                <w:szCs w:val="16"/>
                <w:lang w:val="es-ES_tradnl" w:eastAsia="es-ES"/>
              </w:rPr>
            </w:pPr>
            <w:r w:rsidRPr="006F1B1E">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7172B6" w14:textId="77777777" w:rsidR="003657C8" w:rsidRPr="006F1B1E" w:rsidRDefault="003657C8" w:rsidP="00FB0BC1">
            <w:pPr>
              <w:spacing w:line="276" w:lineRule="auto"/>
              <w:rPr>
                <w:rFonts w:ascii="Arial" w:hAnsi="Arial" w:cs="Arial"/>
                <w:color w:val="000000" w:themeColor="text1"/>
                <w:sz w:val="16"/>
                <w:szCs w:val="16"/>
                <w:lang w:val="es-ES_tradnl" w:eastAsia="es-ES"/>
              </w:rPr>
            </w:pPr>
            <w:r w:rsidRPr="006F1B1E">
              <w:rPr>
                <w:rFonts w:ascii="Arial" w:hAnsi="Arial" w:cs="Arial"/>
                <w:color w:val="000000" w:themeColor="text1"/>
                <w:sz w:val="16"/>
                <w:szCs w:val="16"/>
                <w:lang w:val="es-ES_tradnl" w:eastAsia="es-ES"/>
              </w:rPr>
              <w:t>Fabián Gonzalo Marín Cortés</w:t>
            </w:r>
          </w:p>
          <w:p w14:paraId="184A694A" w14:textId="77777777" w:rsidR="003657C8" w:rsidRPr="006F1B1E" w:rsidRDefault="003657C8" w:rsidP="00FB0BC1">
            <w:pPr>
              <w:spacing w:line="276" w:lineRule="auto"/>
              <w:rPr>
                <w:rFonts w:ascii="Arial" w:hAnsi="Arial" w:cs="Arial"/>
                <w:color w:val="000000" w:themeColor="text1"/>
                <w:sz w:val="16"/>
                <w:szCs w:val="16"/>
                <w:lang w:val="es-ES_tradnl" w:eastAsia="es-ES"/>
              </w:rPr>
            </w:pPr>
            <w:r w:rsidRPr="006F1B1E">
              <w:rPr>
                <w:rFonts w:ascii="Arial" w:hAnsi="Arial" w:cs="Arial"/>
                <w:color w:val="000000" w:themeColor="text1"/>
                <w:sz w:val="16"/>
                <w:szCs w:val="16"/>
                <w:lang w:val="es-ES_tradnl" w:eastAsia="es-ES"/>
              </w:rPr>
              <w:t>Subdirector de Gestión Contractual</w:t>
            </w:r>
          </w:p>
        </w:tc>
      </w:tr>
      <w:tr w:rsidR="003657C8" w:rsidRPr="006F1B1E" w14:paraId="31500F81" w14:textId="77777777" w:rsidTr="00FB0BC1">
        <w:trPr>
          <w:trHeight w:val="300"/>
        </w:trPr>
        <w:tc>
          <w:tcPr>
            <w:tcW w:w="812" w:type="dxa"/>
            <w:vAlign w:val="center"/>
            <w:hideMark/>
          </w:tcPr>
          <w:p w14:paraId="571366E8" w14:textId="77777777" w:rsidR="003657C8" w:rsidRPr="006F1B1E" w:rsidRDefault="003657C8" w:rsidP="00FB0BC1">
            <w:pPr>
              <w:spacing w:line="276" w:lineRule="auto"/>
              <w:rPr>
                <w:rFonts w:ascii="Arial" w:hAnsi="Arial" w:cs="Arial"/>
                <w:color w:val="000000" w:themeColor="text1"/>
                <w:sz w:val="16"/>
                <w:szCs w:val="16"/>
                <w:lang w:val="es-ES_tradnl" w:eastAsia="es-ES"/>
              </w:rPr>
            </w:pPr>
            <w:r w:rsidRPr="006F1B1E">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5FBD0E" w14:textId="77777777" w:rsidR="003657C8" w:rsidRPr="006F1B1E" w:rsidRDefault="003657C8" w:rsidP="00FB0BC1">
            <w:pPr>
              <w:spacing w:line="276" w:lineRule="auto"/>
              <w:rPr>
                <w:rFonts w:ascii="Arial" w:hAnsi="Arial" w:cs="Arial"/>
                <w:color w:val="000000" w:themeColor="text1"/>
                <w:sz w:val="16"/>
                <w:szCs w:val="16"/>
                <w:lang w:val="es-ES_tradnl" w:eastAsia="es-ES"/>
              </w:rPr>
            </w:pPr>
            <w:r w:rsidRPr="006F1B1E">
              <w:rPr>
                <w:rFonts w:ascii="Arial" w:hAnsi="Arial" w:cs="Arial"/>
                <w:color w:val="000000" w:themeColor="text1"/>
                <w:sz w:val="16"/>
                <w:szCs w:val="16"/>
                <w:lang w:val="es-ES_tradnl" w:eastAsia="es-ES"/>
              </w:rPr>
              <w:t>Fabián Gonzalo Marín Cortés</w:t>
            </w:r>
          </w:p>
          <w:p w14:paraId="59E495B4" w14:textId="77777777" w:rsidR="003657C8" w:rsidRPr="006F1B1E" w:rsidRDefault="003657C8" w:rsidP="00FB0BC1">
            <w:pPr>
              <w:spacing w:line="276" w:lineRule="auto"/>
              <w:rPr>
                <w:rFonts w:ascii="Arial" w:hAnsi="Arial" w:cs="Arial"/>
                <w:color w:val="000000" w:themeColor="text1"/>
                <w:sz w:val="16"/>
                <w:szCs w:val="16"/>
                <w:lang w:val="es-ES_tradnl" w:eastAsia="es-ES"/>
              </w:rPr>
            </w:pPr>
            <w:r w:rsidRPr="006F1B1E">
              <w:rPr>
                <w:rFonts w:ascii="Arial" w:hAnsi="Arial" w:cs="Arial"/>
                <w:color w:val="000000" w:themeColor="text1"/>
                <w:sz w:val="16"/>
                <w:szCs w:val="16"/>
                <w:lang w:val="es-ES_tradnl" w:eastAsia="es-ES"/>
              </w:rPr>
              <w:t>Subdirector de Gestión Contractual</w:t>
            </w:r>
          </w:p>
        </w:tc>
      </w:tr>
    </w:tbl>
    <w:p w14:paraId="676F9E07" w14:textId="77777777" w:rsidR="003657C8" w:rsidRPr="006F1B1E" w:rsidRDefault="003657C8" w:rsidP="003657C8">
      <w:pPr>
        <w:spacing w:line="276" w:lineRule="auto"/>
        <w:rPr>
          <w:rFonts w:ascii="Arial" w:hAnsi="Arial" w:cs="Arial"/>
          <w:color w:val="000000" w:themeColor="text1"/>
          <w:sz w:val="16"/>
          <w:szCs w:val="16"/>
          <w:lang w:val="es-ES_tradnl" w:eastAsia="es-ES"/>
        </w:rPr>
      </w:pPr>
    </w:p>
    <w:p w14:paraId="35B56F46" w14:textId="77777777" w:rsidR="00746E08" w:rsidRPr="009D4C9A" w:rsidRDefault="00746E08" w:rsidP="009D4C9A"/>
    <w:sectPr w:rsidR="00746E08" w:rsidRPr="009D4C9A"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54EC2" w14:textId="77777777" w:rsidR="007A4B33" w:rsidRDefault="007A4B33">
      <w:r>
        <w:separator/>
      </w:r>
    </w:p>
  </w:endnote>
  <w:endnote w:type="continuationSeparator" w:id="0">
    <w:p w14:paraId="6C2EA7C8" w14:textId="77777777" w:rsidR="007A4B33" w:rsidRDefault="007A4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9F5FAB" w:rsidRDefault="009F5FAB" w:rsidP="00322937">
    <w:pPr>
      <w:pStyle w:val="Sinespaciado"/>
      <w:jc w:val="right"/>
      <w:rPr>
        <w:rFonts w:ascii="Arial" w:hAnsi="Arial" w:cs="Arial"/>
        <w:sz w:val="18"/>
        <w:szCs w:val="18"/>
      </w:rPr>
    </w:pPr>
  </w:p>
  <w:p w14:paraId="7A3785F3" w14:textId="42C98919"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D423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D4231">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5FD1A7C9" w:rsidR="009F5FAB" w:rsidRDefault="38DB2C1E" w:rsidP="00322937">
    <w:pPr>
      <w:pStyle w:val="Piedepgina"/>
      <w:jc w:val="center"/>
      <w:rPr>
        <w:lang w:val="es-ES"/>
      </w:rPr>
    </w:pPr>
    <w:r>
      <w:rPr>
        <w:noProof/>
        <w:lang w:val="en-US" w:eastAsia="en-US"/>
      </w:rPr>
      <w:drawing>
        <wp:inline distT="0" distB="0" distL="0" distR="0" wp14:anchorId="608B196D" wp14:editId="59EA12E5">
          <wp:extent cx="3700130" cy="519139"/>
          <wp:effectExtent l="0" t="0" r="0" b="0"/>
          <wp:docPr id="5347317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Piedepgina"/>
      <w:jc w:val="center"/>
      <w:rPr>
        <w:lang w:val="es-ES"/>
      </w:rPr>
    </w:pPr>
  </w:p>
  <w:p w14:paraId="6C0EFC49" w14:textId="77777777" w:rsidR="009F5FAB" w:rsidRPr="007B0854" w:rsidRDefault="009F5FA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47AC8" w14:textId="77777777" w:rsidR="007A4B33" w:rsidRDefault="007A4B33">
      <w:r>
        <w:separator/>
      </w:r>
    </w:p>
  </w:footnote>
  <w:footnote w:type="continuationSeparator" w:id="0">
    <w:p w14:paraId="1A8BA95C" w14:textId="77777777" w:rsidR="007A4B33" w:rsidRDefault="007A4B33">
      <w:r>
        <w:continuationSeparator/>
      </w:r>
    </w:p>
  </w:footnote>
  <w:footnote w:id="1">
    <w:p w14:paraId="5B3A0A3A" w14:textId="77777777" w:rsidR="003657C8" w:rsidRPr="006F1B1E" w:rsidRDefault="003657C8" w:rsidP="003657C8">
      <w:pPr>
        <w:pStyle w:val="Textonotapie"/>
        <w:ind w:firstLine="709"/>
        <w:jc w:val="both"/>
        <w:rPr>
          <w:rFonts w:ascii="Arial" w:eastAsia="Calibri" w:hAnsi="Arial" w:cs="Arial"/>
          <w:color w:val="000000" w:themeColor="text1"/>
          <w:sz w:val="19"/>
          <w:szCs w:val="19"/>
          <w:lang w:val="es-ES_tradnl"/>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eastAsia="Calibri" w:hAnsi="Arial"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5CA74B41"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2">
    <w:p w14:paraId="18FEE3F1"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057B5A8A"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684D0645"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14:paraId="6DF6705C"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14:paraId="22417DD3"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4584B9A1"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14:paraId="0FD2354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0E5190F9"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6A336730"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510A8842"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C1A346E"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Fonts w:ascii="Arial" w:hAnsi="Arial" w:cs="Arial"/>
          <w:color w:val="000000" w:themeColor="text1"/>
          <w:sz w:val="19"/>
          <w:szCs w:val="19"/>
        </w:rPr>
        <w:t>»Las reproducciones efectuadas se reputarán auténticas para todos los efectos legales, siempre que no se altere el contenido del acto o documento.</w:t>
      </w:r>
    </w:p>
    <w:p w14:paraId="345A1B61"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7FD933A6" w14:textId="77777777" w:rsidR="003657C8" w:rsidRPr="006F1B1E" w:rsidRDefault="003657C8" w:rsidP="003657C8">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4A9F5839" w14:textId="77777777" w:rsidR="003657C8" w:rsidRPr="006F1B1E" w:rsidRDefault="003657C8" w:rsidP="003657C8">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w:t>
      </w:r>
      <w:r w:rsidRPr="006F1B1E">
        <w:rPr>
          <w:rFonts w:ascii="Arial" w:eastAsiaTheme="minorHAnsi" w:hAnsi="Arial" w:cs="Arial"/>
          <w:bCs/>
          <w:color w:val="000000" w:themeColor="text1"/>
          <w:sz w:val="19"/>
          <w:szCs w:val="19"/>
          <w:lang w:val="es-ES_tradnl" w:eastAsia="es-ES_tradnl"/>
        </w:rPr>
        <w:t>Artículo 10. </w:t>
      </w:r>
      <w:r w:rsidRPr="006F1B1E">
        <w:rPr>
          <w:rFonts w:ascii="Arial" w:eastAsiaTheme="minorHAnsi" w:hAnsi="Arial" w:cs="Arial"/>
          <w:color w:val="000000" w:themeColor="text1"/>
          <w:sz w:val="19"/>
          <w:szCs w:val="19"/>
          <w:lang w:val="es-ES_tradnl" w:eastAsia="es-ES_tradnl"/>
        </w:rPr>
        <w:t xml:space="preserve">Utilización del correo para el envío de información. Modifíquese el artículo 25 del Decreto 2150 de 1995, el cual quedará así: </w:t>
      </w:r>
      <w:r w:rsidRPr="006F1B1E">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5E08525B" w14:textId="77777777" w:rsidR="003657C8" w:rsidRPr="006F1B1E" w:rsidRDefault="003657C8" w:rsidP="003657C8">
      <w:pPr>
        <w:shd w:val="clear" w:color="auto" w:fill="FFFFFF"/>
        <w:ind w:firstLine="709"/>
        <w:jc w:val="both"/>
        <w:rPr>
          <w:rFonts w:ascii="Arial" w:eastAsiaTheme="minorHAnsi" w:hAnsi="Arial" w:cs="Arial"/>
          <w:color w:val="000000" w:themeColor="text1"/>
          <w:sz w:val="19"/>
          <w:szCs w:val="19"/>
          <w:lang w:val="es-ES_tradnl"/>
        </w:rPr>
      </w:pPr>
      <w:r w:rsidRPr="006F1B1E">
        <w:rPr>
          <w:rFonts w:ascii="Arial" w:eastAsiaTheme="minorHAnsi" w:hAnsi="Arial" w:cs="Arial"/>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14:paraId="004C4A20" w14:textId="77777777" w:rsidR="003657C8" w:rsidRPr="006F1B1E" w:rsidRDefault="003657C8" w:rsidP="003657C8">
      <w:pPr>
        <w:shd w:val="clear" w:color="auto" w:fill="FFFFFF"/>
        <w:ind w:firstLine="709"/>
        <w:jc w:val="both"/>
        <w:rPr>
          <w:rFonts w:ascii="Arial" w:eastAsiaTheme="minorHAnsi" w:hAnsi="Arial" w:cs="Arial"/>
          <w:color w:val="000000" w:themeColor="text1"/>
          <w:sz w:val="19"/>
          <w:szCs w:val="19"/>
          <w:lang w:val="es-ES_tradnl"/>
        </w:rPr>
      </w:pPr>
      <w:r w:rsidRPr="006F1B1E">
        <w:rPr>
          <w:rFonts w:ascii="Arial" w:eastAsiaTheme="minorHAnsi" w:hAnsi="Arial" w:cs="Arial"/>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09C451AB" w14:textId="77777777" w:rsidR="003657C8" w:rsidRPr="006F1B1E" w:rsidRDefault="003657C8" w:rsidP="003657C8">
      <w:pPr>
        <w:shd w:val="clear" w:color="auto" w:fill="FFFFFF"/>
        <w:ind w:firstLine="709"/>
        <w:jc w:val="both"/>
        <w:rPr>
          <w:rFonts w:ascii="Arial" w:eastAsiaTheme="minorHAnsi" w:hAnsi="Arial" w:cs="Arial"/>
          <w:color w:val="000000" w:themeColor="text1"/>
          <w:sz w:val="19"/>
          <w:szCs w:val="19"/>
          <w:lang w:val="es-ES_tradnl"/>
        </w:rPr>
      </w:pPr>
      <w:r w:rsidRPr="006F1B1E">
        <w:rPr>
          <w:rFonts w:ascii="Arial" w:eastAsiaTheme="minorHAnsi" w:hAnsi="Arial" w:cs="Arial"/>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4B7DCEC2" w14:textId="77777777" w:rsidR="003657C8" w:rsidRPr="006F1B1E" w:rsidRDefault="003657C8" w:rsidP="003657C8">
      <w:pPr>
        <w:shd w:val="clear" w:color="auto" w:fill="FFFFFF"/>
        <w:ind w:firstLine="709"/>
        <w:jc w:val="both"/>
        <w:rPr>
          <w:rFonts w:ascii="Arial" w:eastAsiaTheme="minorHAnsi" w:hAnsi="Arial" w:cs="Arial"/>
          <w:color w:val="000000" w:themeColor="text1"/>
          <w:sz w:val="19"/>
          <w:szCs w:val="19"/>
          <w:lang w:val="es-ES_tradnl"/>
        </w:rPr>
      </w:pPr>
      <w:r w:rsidRPr="006F1B1E">
        <w:rPr>
          <w:rFonts w:ascii="Arial" w:eastAsiaTheme="minorHAnsi" w:hAnsi="Arial" w:cs="Arial"/>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3471D530" w14:textId="77777777" w:rsidR="003657C8" w:rsidRPr="006F1B1E" w:rsidRDefault="003657C8" w:rsidP="003657C8">
      <w:pPr>
        <w:shd w:val="clear" w:color="auto" w:fill="FFFFFF"/>
        <w:ind w:firstLine="709"/>
        <w:jc w:val="both"/>
        <w:rPr>
          <w:rFonts w:ascii="Arial" w:eastAsiaTheme="minorHAnsi" w:hAnsi="Arial" w:cs="Arial"/>
          <w:color w:val="000000" w:themeColor="text1"/>
          <w:sz w:val="19"/>
          <w:szCs w:val="19"/>
          <w:lang w:val="es-ES_tradnl"/>
        </w:rPr>
      </w:pPr>
      <w:r w:rsidRPr="006F1B1E">
        <w:rPr>
          <w:rFonts w:ascii="Arial" w:eastAsiaTheme="minorHAnsi" w:hAnsi="Arial" w:cs="Arial"/>
          <w:bCs/>
          <w:color w:val="000000" w:themeColor="text1"/>
          <w:sz w:val="19"/>
          <w:szCs w:val="19"/>
          <w:lang w:val="es-ES_tradnl"/>
        </w:rPr>
        <w:t>»Parágrafo. </w:t>
      </w:r>
      <w:r w:rsidRPr="006F1B1E">
        <w:rPr>
          <w:rFonts w:ascii="Arial" w:eastAsiaTheme="minorHAnsi" w:hAnsi="Arial" w:cs="Arial"/>
          <w:color w:val="000000" w:themeColor="text1"/>
          <w:sz w:val="19"/>
          <w:szCs w:val="19"/>
          <w:lang w:val="es-ES_tradnl"/>
        </w:rPr>
        <w:t>Para efectos del presente artículo, se entenderá válido el envío por correo certificado, siempre y cuando la dirección esté correcta y claramente diligenciada"».</w:t>
      </w:r>
    </w:p>
    <w:p w14:paraId="0E0C728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5">
    <w:p w14:paraId="0E9146BC"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eastAsia="Calibri" w:hAnsi="Arial" w:cs="Arial"/>
          <w:color w:val="000000" w:themeColor="text1"/>
          <w:sz w:val="19"/>
          <w:szCs w:val="19"/>
          <w:lang w:val="es-ES_tradnl"/>
        </w:rPr>
        <w:t>«Por el cual se dictan normas para suprimir o reformar regulaciones, procedimientos y trámites innecesarios existentes en la Administración Pública».</w:t>
      </w:r>
    </w:p>
  </w:footnote>
  <w:footnote w:id="6">
    <w:p w14:paraId="7653508B"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7545D1D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7">
    <w:p w14:paraId="128F195E"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16CCE7EB"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8">
    <w:p w14:paraId="4DE9E1C3"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eastAsia="Calibri" w:hAnsi="Arial" w:cs="Arial"/>
          <w:color w:val="000000" w:themeColor="text1"/>
          <w:sz w:val="19"/>
          <w:szCs w:val="19"/>
          <w:lang w:val="es-ES_tradnl"/>
        </w:rPr>
        <w:t>«Por el cual se dictan normas para simplificar, suprimir y reformar trámites, procesos y procedimientos innecesarios existentes en la administración pública».</w:t>
      </w:r>
    </w:p>
  </w:footnote>
  <w:footnote w:id="9">
    <w:p w14:paraId="2086C2F1"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9.</w:t>
      </w:r>
    </w:p>
    <w:p w14:paraId="6CF16DDE"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10">
    <w:p w14:paraId="0510C115"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14.</w:t>
      </w:r>
    </w:p>
    <w:p w14:paraId="6ECBF79A"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11">
    <w:p w14:paraId="21E6B8E5"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16.</w:t>
      </w:r>
    </w:p>
    <w:p w14:paraId="2B4FFD0A"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12">
    <w:p w14:paraId="36AB25ED" w14:textId="77777777" w:rsidR="003657C8" w:rsidRPr="006F1B1E" w:rsidRDefault="003657C8" w:rsidP="003657C8">
      <w:pPr>
        <w:pStyle w:val="Textonotapie"/>
        <w:ind w:firstLine="709"/>
        <w:jc w:val="both"/>
        <w:rPr>
          <w:rFonts w:ascii="Arial" w:eastAsia="Calibri" w:hAnsi="Arial" w:cs="Arial"/>
          <w:color w:val="000000" w:themeColor="text1"/>
          <w:sz w:val="19"/>
          <w:szCs w:val="19"/>
          <w:lang w:val="es-ES_tradnl"/>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eastAsia="Calibri" w:hAnsi="Arial"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5EDABEE7"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13">
    <w:p w14:paraId="08DA7A8A"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2, literal a).</w:t>
      </w:r>
    </w:p>
    <w:p w14:paraId="409BB2B6"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14">
    <w:p w14:paraId="3023BAE6"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2, literal f).</w:t>
      </w:r>
    </w:p>
    <w:p w14:paraId="65C5C7AB"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15">
    <w:p w14:paraId="6F89DB36"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eastAsia="Calibri" w:hAnsi="Arial"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16AB9CA2"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Sin embargo, debe recordarse que el artículo 222 del Decreto 019 de 2012 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14:paraId="50A4A9A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580C307F"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17">
    <w:p w14:paraId="66AD5C04"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eastAsia="Calibri" w:hAnsi="Arial"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footnote>
  <w:footnote w:id="18">
    <w:p w14:paraId="23AFE42A" w14:textId="77777777" w:rsidR="003657C8" w:rsidRPr="006F1B1E" w:rsidRDefault="003657C8" w:rsidP="003657C8">
      <w:pPr>
        <w:pStyle w:val="Textonotapie"/>
        <w:ind w:firstLine="709"/>
        <w:jc w:val="both"/>
        <w:rPr>
          <w:rFonts w:ascii="Arial" w:eastAsia="Calibri" w:hAnsi="Arial" w:cs="Arial"/>
          <w:color w:val="000000" w:themeColor="text1"/>
          <w:sz w:val="19"/>
          <w:szCs w:val="19"/>
          <w:lang w:val="es-ES_tradnl"/>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eastAsia="Calibri" w:hAnsi="Arial" w:cs="Arial"/>
          <w:color w:val="000000" w:themeColor="text1"/>
          <w:sz w:val="19"/>
          <w:szCs w:val="19"/>
          <w:lang w:val="es-ES_tradnl"/>
        </w:rPr>
        <w:t>«Por la cual se expide el Código de Procedimiento Administrativo y de lo Contencioso Administrativo».</w:t>
      </w:r>
    </w:p>
    <w:p w14:paraId="2DD0E983"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19">
    <w:p w14:paraId="429B20A7"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Artículos 53 al 64.</w:t>
      </w:r>
    </w:p>
    <w:p w14:paraId="54408D3E"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20">
    <w:p w14:paraId="4B7776EA"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119BE5B"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Fonts w:ascii="Arial" w:hAnsi="Arial" w:cs="Arial"/>
          <w:color w:val="000000" w:themeColor="text1"/>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13A8909D"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Fonts w:ascii="Arial" w:hAnsi="Arial" w:cs="Arial"/>
          <w:color w:val="000000" w:themeColor="text1"/>
          <w:sz w:val="19"/>
          <w:szCs w:val="19"/>
        </w:rPr>
        <w:t>»[…]».</w:t>
      </w:r>
    </w:p>
    <w:p w14:paraId="44C08B8F" w14:textId="77777777" w:rsidR="003657C8" w:rsidRPr="006F1B1E" w:rsidRDefault="003657C8" w:rsidP="003657C8">
      <w:pPr>
        <w:pStyle w:val="Textonotapie"/>
        <w:ind w:firstLine="709"/>
        <w:jc w:val="both"/>
        <w:rPr>
          <w:rFonts w:ascii="Arial" w:hAnsi="Arial" w:cs="Arial"/>
          <w:color w:val="000000" w:themeColor="text1"/>
          <w:sz w:val="19"/>
          <w:szCs w:val="19"/>
        </w:rPr>
      </w:pPr>
    </w:p>
  </w:footnote>
  <w:footnote w:id="21">
    <w:p w14:paraId="29B6D374"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En sitio web: https://www.who.int/es/news-room/detail/16-03-2020-icc-who-joint-statement-an-unprecedented-private-sector-call-to-action-to-tackle-covid-19.</w:t>
      </w:r>
    </w:p>
    <w:p w14:paraId="65DACF32"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22">
    <w:p w14:paraId="164BAB0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En sitio web: https://www.minsalud.gov.co/Paginas/Colombia-confirma-su-primer-caso-de-COVID-19.aspx.</w:t>
      </w:r>
    </w:p>
  </w:footnote>
  <w:footnote w:id="23">
    <w:p w14:paraId="6FEBDFCF"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46F60CF9"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Fonts w:ascii="Arial" w:hAnsi="Arial" w:cs="Arial"/>
          <w:color w:val="000000" w:themeColor="text1"/>
          <w:sz w:val="19"/>
          <w:szCs w:val="19"/>
        </w:rPr>
        <w:t>[…]».</w:t>
      </w:r>
    </w:p>
    <w:p w14:paraId="685C8133"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p>
  </w:footnote>
  <w:footnote w:id="24">
    <w:p w14:paraId="3FD56C13"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En: https://twitter.com/IvanDuque/status/1240114356911734791.</w:t>
      </w:r>
    </w:p>
  </w:footnote>
  <w:footnote w:id="25">
    <w:p w14:paraId="799FF9FA"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En sitio web: https://www.minsalud.gov.co/sites/rid/Lists/BibliotecaDigital/RIDE/DE/DIJ/circular-0018-de-2020.pdf</w:t>
      </w:r>
    </w:p>
  </w:footnote>
  <w:footnote w:id="26">
    <w:p w14:paraId="0945ED4D"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5AAD51A7" w14:textId="77777777" w:rsidR="003657C8" w:rsidRPr="006F1B1E" w:rsidRDefault="003657C8" w:rsidP="003657C8">
      <w:pPr>
        <w:pStyle w:val="Textonotapie"/>
        <w:ind w:firstLine="709"/>
        <w:jc w:val="both"/>
        <w:rPr>
          <w:rFonts w:ascii="Arial" w:hAnsi="Arial" w:cs="Arial"/>
          <w:color w:val="000000" w:themeColor="text1"/>
          <w:sz w:val="19"/>
          <w:szCs w:val="19"/>
          <w:lang w:val="es-ES_tradnl"/>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462253BA"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rPr>
        <w:t>En: https://www.minsalud.gov.co/sites/rid/Lists/BibliotecaDigital/RIDE/DE/DIJ/resolucion-385-de-2020.pdf</w:t>
      </w:r>
    </w:p>
  </w:footnote>
  <w:footnote w:id="27">
    <w:p w14:paraId="2DF2DB2A"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58CEB6DE"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2º.</w:t>
      </w:r>
    </w:p>
  </w:footnote>
  <w:footnote w:id="28">
    <w:p w14:paraId="0D4A4FF9"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76EAB774"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Numeral 2.6. del artículo 2º.</w:t>
      </w:r>
    </w:p>
  </w:footnote>
  <w:footnote w:id="29">
    <w:p w14:paraId="258CDF98"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286A86D6"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En sitio web:</w:t>
      </w:r>
    </w:p>
    <w:p w14:paraId="19C3979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https://dapre.presidencia.gov.co/normativa/normativa/DIRECTIVA%20PRESIDENCIAL%20N%C2%B0%2002%20DEL%2012%20DE%20MARZO%20DE%202020.pdf.</w:t>
      </w:r>
    </w:p>
  </w:footnote>
  <w:footnote w:id="30">
    <w:p w14:paraId="7F9A1E4A"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5688F8D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El numeral 2 de esta Directiva prevé lo siguiente:</w:t>
      </w:r>
    </w:p>
    <w:p w14:paraId="5FBE2E2F"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«2. USO DE HERRAMIENTAS COLABORATIVAS</w:t>
      </w:r>
    </w:p>
    <w:p w14:paraId="1DFEAD2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4E445541"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2E877408"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1D7B3372"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A715C68"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09F2B9E8"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3FD2AEA1"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31">
    <w:p w14:paraId="10823CEB"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6F67C275"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Artículo primero.</w:t>
      </w:r>
    </w:p>
  </w:footnote>
  <w:footnote w:id="32">
    <w:p w14:paraId="7A9C0075"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En el procedimiento de selección de mínima cuantía el acto de escogencia de la mejor oferta no recibe el nombre de adjudicación, sino de «comunicación de aceptación de oferta» (artículo 2, numeral 5, literal c, Ley 1150 de 2007).</w:t>
      </w:r>
    </w:p>
  </w:footnote>
  <w:footnote w:id="33">
    <w:p w14:paraId="4DCA6F61"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6A1FC536"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Como sostiene la Sala de Consulta y Servicio Civil: «La adjudicación del contrato estatal ha sido entendida jurisprudencial y doctrinalmente como el acto (administrativo) mediante el cual una entidad pública manifiesta su aceptación a la propuesta u oferta presentada por alguno de los participantes en un proceso de selección, y se obliga a suscribir con este el contrato proyectado. Tal decisión implica la escogencia o selección definitiva de dicho oferente, con base en el respectivo informe de evaluación y calificación de las propuestas, descartando, por lo tanto, a los demás oferentes y a las demás propuestas. En esa medida, el acto de adjudicación se asemeja a la aceptación de la oferta en los contratos de derecho privado, con la diferencia de que en estos, en virtud de los principios de la autonomía de la voluntad y de la consensualidad, la aceptación oportuna perfecciona el respectivo contrato, como regla general, salvo en los denominados contratos solemnes y reales, y hace surgir los derechos y obligaciones pactados o derivados del mismo, mientras que en los contratos estatales, debido a su carácter solemne definido por la ley (artículo 41 de la Ley 80 de 1993), estos no se perfeccionan con la notificación del acto de adjudicación, sino con la suscripción, por las dos partes, del documento que contenga las respectivas cláusulas o estipulaciones, con algunas pocas excepciones. Consecuencia de lo anterior es que el acto de adjudicación no da lugar, por sí mismo, al nacimiento de las obligaciones y los derechos que genera el contrato, sino a otra clase de obligaciones y derechos recíprocos entre la entidad estatal y el adjudicatario, esto es, a la obligación y al derecho que ambas partes adquieren de suscribir el contrato proyectado, dentro del plazo establecido en el pliego de condiciones y con las previsiones contenidas en dicho documento, en sus modificaciones, adendas, anexos y en la propuesta que haya sido aceptada (siempre que no contradiga aquellos documentos). La jurisprudencia y la doctrina, de tiempo atrás, han distinguido tres notas características del acto de adjudicación del contrato estatal, a saber: (i) es un acto administrativo de carácter definitivo y de alcance particular; (ii) es irrevocable, por regla general, y (iii) es obligatorio, tanto para la entidad contratante como para el adjudicatario» (Consejo de Estado. Sala de Consulta y Servicio Civil. Concepto del 15 de agosto de 2017. Consejero Ponente: Álvaro Namén Vargas. Expediente: 2.346).</w:t>
      </w:r>
    </w:p>
  </w:footnote>
  <w:footnote w:id="34">
    <w:p w14:paraId="5FDD94D0" w14:textId="77777777" w:rsidR="003657C8" w:rsidRPr="006F1B1E" w:rsidRDefault="003657C8" w:rsidP="003657C8">
      <w:pPr>
        <w:pStyle w:val="Textonotapie"/>
        <w:ind w:firstLine="709"/>
        <w:jc w:val="both"/>
        <w:rPr>
          <w:rFonts w:ascii="Arial" w:hAnsi="Arial" w:cs="Arial"/>
          <w:color w:val="000000" w:themeColor="text1"/>
          <w:sz w:val="19"/>
          <w:szCs w:val="19"/>
        </w:rPr>
      </w:pPr>
    </w:p>
    <w:p w14:paraId="52A2D47D" w14:textId="77777777" w:rsidR="003657C8" w:rsidRPr="006F1B1E" w:rsidRDefault="003657C8" w:rsidP="003657C8">
      <w:pPr>
        <w:pStyle w:val="Textonotapie"/>
        <w:ind w:firstLine="709"/>
        <w:jc w:val="both"/>
        <w:rPr>
          <w:rFonts w:ascii="Arial" w:hAnsi="Arial" w:cs="Arial"/>
          <w:color w:val="000000" w:themeColor="text1"/>
          <w:sz w:val="19"/>
          <w:szCs w:val="19"/>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Dispone la norma: «A solicitud de cualquiera de los proponentes, el Contralor General de la República y demás autoridades de control fiscal competentes, ordenarán que el acto de adjudicación de una licitación tenga lugar en audiencia pública.</w:t>
      </w:r>
    </w:p>
    <w:p w14:paraId="4BBEB2F3"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rPr>
        <w:t>»Los casos en que se aplique el mecanismo de audiencia pública, la manera como se efectuará la evaluación de las propuestas y las condiciones bajo las cuales se realizará aquella, serán señalados por la ley».</w:t>
      </w:r>
    </w:p>
  </w:footnote>
  <w:footnote w:id="35">
    <w:p w14:paraId="6DE3F190"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 Si el objeto es un hecho, es necesario que sea física y moralmente posible. Es físicamente imposible el que es contrario a la naturaleza, y moralmente imposible el prohibido por las leyes, o contrario a las buenas costumbres o al orden público» (artículo 1518 del Código Civil). / «La condición positiva debe ser física y moralmente posible.</w:t>
      </w:r>
    </w:p>
    <w:p w14:paraId="5CB7009F"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»Es físicamente imposible la que es contraria a las leyes de la naturaleza física; y moralmente imposible la que consiste en un hecho prohibido por las leyes, o es opuesta a las buenas costumbres o al orden público. Se mirarán también como imposibles las que están concebidas en términos ininteligibles» (artículo 1532 Ibíd.).</w:t>
      </w:r>
    </w:p>
  </w:footnote>
  <w:footnote w:id="36">
    <w:p w14:paraId="739FAF65"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Style w:val="Refdenotaalpie"/>
          <w:rFonts w:ascii="Arial" w:hAnsi="Arial" w:cs="Arial"/>
          <w:color w:val="000000" w:themeColor="text1"/>
          <w:sz w:val="19"/>
          <w:szCs w:val="19"/>
        </w:rPr>
        <w:footnoteRef/>
      </w:r>
      <w:r w:rsidRPr="006F1B1E">
        <w:rPr>
          <w:rFonts w:ascii="Arial" w:hAnsi="Arial" w:cs="Arial"/>
          <w:color w:val="000000" w:themeColor="text1"/>
          <w:sz w:val="19"/>
          <w:szCs w:val="19"/>
        </w:rPr>
        <w:t xml:space="preserve"> </w:t>
      </w:r>
      <w:r w:rsidRPr="006F1B1E">
        <w:rPr>
          <w:rFonts w:ascii="Arial" w:hAnsi="Arial" w:cs="Arial"/>
          <w:color w:val="000000" w:themeColor="text1"/>
          <w:sz w:val="19"/>
          <w:szCs w:val="19"/>
          <w:lang w:val="es-ES"/>
        </w:rPr>
        <w:t>«[…] Si el objeto es un hecho, es necesario que sea física y moralmente posible. Es físicamente imposible el que es contrario a la naturaleza, y moralmente imposible el prohibido por las leyes, o contrario a las buenas costumbres o al orden público» (artículo 1518 del Código Civil). / «La condición positiva debe ser física y moralmente posible.</w:t>
      </w:r>
    </w:p>
    <w:p w14:paraId="5018BB83" w14:textId="77777777" w:rsidR="003657C8" w:rsidRPr="006F1B1E" w:rsidRDefault="003657C8" w:rsidP="003657C8">
      <w:pPr>
        <w:pStyle w:val="Textonotapie"/>
        <w:ind w:firstLine="709"/>
        <w:jc w:val="both"/>
        <w:rPr>
          <w:rFonts w:ascii="Arial" w:hAnsi="Arial" w:cs="Arial"/>
          <w:color w:val="000000" w:themeColor="text1"/>
          <w:sz w:val="19"/>
          <w:szCs w:val="19"/>
          <w:lang w:val="es-ES"/>
        </w:rPr>
      </w:pPr>
      <w:r w:rsidRPr="006F1B1E">
        <w:rPr>
          <w:rFonts w:ascii="Arial" w:hAnsi="Arial" w:cs="Arial"/>
          <w:color w:val="000000" w:themeColor="text1"/>
          <w:sz w:val="19"/>
          <w:szCs w:val="19"/>
          <w:lang w:val="es-ES"/>
        </w:rPr>
        <w:t>»Es físicamente imposible la que es contraria a las leyes de la naturaleza física; y moralmente imposible la que consiste en un hecho prohibido por las leyes, o es opuesta a las buenas costumbres o al orden público. Se mirarán también como imposibles las que están concebidas en términos ininteligibles» (artículo 1532 Ibíd.).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9F5FAB" w:rsidRDefault="009F5FA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C8A"/>
    <w:rsid w:val="0003020A"/>
    <w:rsid w:val="00031EDE"/>
    <w:rsid w:val="00032733"/>
    <w:rsid w:val="000338E3"/>
    <w:rsid w:val="00033FA3"/>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363"/>
    <w:rsid w:val="000643ED"/>
    <w:rsid w:val="00065AC3"/>
    <w:rsid w:val="000665C6"/>
    <w:rsid w:val="00067A04"/>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42EB"/>
    <w:rsid w:val="00095DBF"/>
    <w:rsid w:val="0009618E"/>
    <w:rsid w:val="00096641"/>
    <w:rsid w:val="00096EE0"/>
    <w:rsid w:val="00097B98"/>
    <w:rsid w:val="000A2643"/>
    <w:rsid w:val="000A3350"/>
    <w:rsid w:val="000A3B0F"/>
    <w:rsid w:val="000A4216"/>
    <w:rsid w:val="000A47E4"/>
    <w:rsid w:val="000A58C7"/>
    <w:rsid w:val="000A605F"/>
    <w:rsid w:val="000A64C3"/>
    <w:rsid w:val="000B103F"/>
    <w:rsid w:val="000B173D"/>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781D"/>
    <w:rsid w:val="000C7BF0"/>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5E3"/>
    <w:rsid w:val="00137FFA"/>
    <w:rsid w:val="001404D8"/>
    <w:rsid w:val="00141239"/>
    <w:rsid w:val="00141E19"/>
    <w:rsid w:val="00141EE0"/>
    <w:rsid w:val="0014286B"/>
    <w:rsid w:val="00142CEB"/>
    <w:rsid w:val="0014335D"/>
    <w:rsid w:val="00145551"/>
    <w:rsid w:val="00145D8C"/>
    <w:rsid w:val="0014692F"/>
    <w:rsid w:val="00147F0A"/>
    <w:rsid w:val="0015046E"/>
    <w:rsid w:val="001505BC"/>
    <w:rsid w:val="00150BAE"/>
    <w:rsid w:val="001517EE"/>
    <w:rsid w:val="00155152"/>
    <w:rsid w:val="001554C5"/>
    <w:rsid w:val="00155B70"/>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0B1B"/>
    <w:rsid w:val="001B2A80"/>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59F8"/>
    <w:rsid w:val="001E60CB"/>
    <w:rsid w:val="001E6DAC"/>
    <w:rsid w:val="001F0500"/>
    <w:rsid w:val="001F19DE"/>
    <w:rsid w:val="001F34D4"/>
    <w:rsid w:val="001F39E6"/>
    <w:rsid w:val="001F3BB2"/>
    <w:rsid w:val="001F48ED"/>
    <w:rsid w:val="001F52CF"/>
    <w:rsid w:val="001F659E"/>
    <w:rsid w:val="001F7287"/>
    <w:rsid w:val="001F7B70"/>
    <w:rsid w:val="001F7D57"/>
    <w:rsid w:val="00201EFB"/>
    <w:rsid w:val="0020497C"/>
    <w:rsid w:val="00205839"/>
    <w:rsid w:val="00206278"/>
    <w:rsid w:val="0020632A"/>
    <w:rsid w:val="00207E7A"/>
    <w:rsid w:val="00210AFC"/>
    <w:rsid w:val="00211096"/>
    <w:rsid w:val="002110EB"/>
    <w:rsid w:val="00211338"/>
    <w:rsid w:val="002117E9"/>
    <w:rsid w:val="0021415B"/>
    <w:rsid w:val="00220B18"/>
    <w:rsid w:val="0022163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40130"/>
    <w:rsid w:val="00240A65"/>
    <w:rsid w:val="00240C72"/>
    <w:rsid w:val="00244E26"/>
    <w:rsid w:val="00247AB8"/>
    <w:rsid w:val="00247BB3"/>
    <w:rsid w:val="002507DD"/>
    <w:rsid w:val="00250952"/>
    <w:rsid w:val="00251F5C"/>
    <w:rsid w:val="00253927"/>
    <w:rsid w:val="00254705"/>
    <w:rsid w:val="0025616F"/>
    <w:rsid w:val="00256776"/>
    <w:rsid w:val="002601EB"/>
    <w:rsid w:val="00260F08"/>
    <w:rsid w:val="002613C0"/>
    <w:rsid w:val="00264334"/>
    <w:rsid w:val="00266A04"/>
    <w:rsid w:val="00267498"/>
    <w:rsid w:val="0027022A"/>
    <w:rsid w:val="00270AEA"/>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3B6E"/>
    <w:rsid w:val="002F454C"/>
    <w:rsid w:val="002F45E8"/>
    <w:rsid w:val="002F554C"/>
    <w:rsid w:val="002F6653"/>
    <w:rsid w:val="002F730B"/>
    <w:rsid w:val="002F7B2F"/>
    <w:rsid w:val="003014BB"/>
    <w:rsid w:val="003019BD"/>
    <w:rsid w:val="00302F85"/>
    <w:rsid w:val="003033BA"/>
    <w:rsid w:val="003035E9"/>
    <w:rsid w:val="00305687"/>
    <w:rsid w:val="003065CA"/>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300C4"/>
    <w:rsid w:val="00336972"/>
    <w:rsid w:val="00336C1E"/>
    <w:rsid w:val="00341249"/>
    <w:rsid w:val="0034177C"/>
    <w:rsid w:val="00343D80"/>
    <w:rsid w:val="00345306"/>
    <w:rsid w:val="003462F1"/>
    <w:rsid w:val="0034680A"/>
    <w:rsid w:val="0034699E"/>
    <w:rsid w:val="00353D56"/>
    <w:rsid w:val="00353DD5"/>
    <w:rsid w:val="00354AC7"/>
    <w:rsid w:val="00356546"/>
    <w:rsid w:val="003569CC"/>
    <w:rsid w:val="00356A7C"/>
    <w:rsid w:val="003612F7"/>
    <w:rsid w:val="003617BA"/>
    <w:rsid w:val="00363270"/>
    <w:rsid w:val="003657C8"/>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876F2"/>
    <w:rsid w:val="00390882"/>
    <w:rsid w:val="00395843"/>
    <w:rsid w:val="003958FD"/>
    <w:rsid w:val="003961D8"/>
    <w:rsid w:val="003961EB"/>
    <w:rsid w:val="003962E3"/>
    <w:rsid w:val="00396A5F"/>
    <w:rsid w:val="0039790D"/>
    <w:rsid w:val="003A0725"/>
    <w:rsid w:val="003A0878"/>
    <w:rsid w:val="003A1EEB"/>
    <w:rsid w:val="003A1F77"/>
    <w:rsid w:val="003A2753"/>
    <w:rsid w:val="003A2836"/>
    <w:rsid w:val="003A312F"/>
    <w:rsid w:val="003A32C6"/>
    <w:rsid w:val="003A581E"/>
    <w:rsid w:val="003A5AEB"/>
    <w:rsid w:val="003A61D6"/>
    <w:rsid w:val="003A6281"/>
    <w:rsid w:val="003A715B"/>
    <w:rsid w:val="003A7D0A"/>
    <w:rsid w:val="003B004C"/>
    <w:rsid w:val="003B14EB"/>
    <w:rsid w:val="003B15B1"/>
    <w:rsid w:val="003B1933"/>
    <w:rsid w:val="003B2579"/>
    <w:rsid w:val="003B44AB"/>
    <w:rsid w:val="003B48C5"/>
    <w:rsid w:val="003B5017"/>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231"/>
    <w:rsid w:val="003D44D1"/>
    <w:rsid w:val="003D4BDC"/>
    <w:rsid w:val="003D4F16"/>
    <w:rsid w:val="003D4F83"/>
    <w:rsid w:val="003D5905"/>
    <w:rsid w:val="003D6721"/>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1E0"/>
    <w:rsid w:val="00403D6D"/>
    <w:rsid w:val="00403EF8"/>
    <w:rsid w:val="00404BDF"/>
    <w:rsid w:val="004059C4"/>
    <w:rsid w:val="00405CAB"/>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F9F"/>
    <w:rsid w:val="00424073"/>
    <w:rsid w:val="00425A56"/>
    <w:rsid w:val="00425E09"/>
    <w:rsid w:val="00427331"/>
    <w:rsid w:val="004306AD"/>
    <w:rsid w:val="00431D17"/>
    <w:rsid w:val="004327BB"/>
    <w:rsid w:val="0043301A"/>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3979"/>
    <w:rsid w:val="004744FA"/>
    <w:rsid w:val="00476328"/>
    <w:rsid w:val="00480080"/>
    <w:rsid w:val="004805EA"/>
    <w:rsid w:val="004809B1"/>
    <w:rsid w:val="00480DE6"/>
    <w:rsid w:val="00481E78"/>
    <w:rsid w:val="00484BB0"/>
    <w:rsid w:val="00487B87"/>
    <w:rsid w:val="00487E2E"/>
    <w:rsid w:val="00487F16"/>
    <w:rsid w:val="004908F9"/>
    <w:rsid w:val="0049094E"/>
    <w:rsid w:val="0049241A"/>
    <w:rsid w:val="0049493D"/>
    <w:rsid w:val="00494AF1"/>
    <w:rsid w:val="004961BA"/>
    <w:rsid w:val="0049705F"/>
    <w:rsid w:val="004A059C"/>
    <w:rsid w:val="004A34D2"/>
    <w:rsid w:val="004A43B7"/>
    <w:rsid w:val="004A4D5F"/>
    <w:rsid w:val="004A4E6F"/>
    <w:rsid w:val="004A5EBB"/>
    <w:rsid w:val="004A6242"/>
    <w:rsid w:val="004A7552"/>
    <w:rsid w:val="004B0316"/>
    <w:rsid w:val="004B0BBC"/>
    <w:rsid w:val="004B19A9"/>
    <w:rsid w:val="004B3AEA"/>
    <w:rsid w:val="004B4FDA"/>
    <w:rsid w:val="004B669F"/>
    <w:rsid w:val="004C40AA"/>
    <w:rsid w:val="004C58FF"/>
    <w:rsid w:val="004C6907"/>
    <w:rsid w:val="004C7B57"/>
    <w:rsid w:val="004D6481"/>
    <w:rsid w:val="004D6EC7"/>
    <w:rsid w:val="004D7FD1"/>
    <w:rsid w:val="004E058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146F"/>
    <w:rsid w:val="00502009"/>
    <w:rsid w:val="00502AA3"/>
    <w:rsid w:val="00502BD8"/>
    <w:rsid w:val="00502FCE"/>
    <w:rsid w:val="005031CA"/>
    <w:rsid w:val="00503FF3"/>
    <w:rsid w:val="0050509B"/>
    <w:rsid w:val="005106AD"/>
    <w:rsid w:val="0051074C"/>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7B3"/>
    <w:rsid w:val="00526438"/>
    <w:rsid w:val="00526AA0"/>
    <w:rsid w:val="00527E7B"/>
    <w:rsid w:val="00530375"/>
    <w:rsid w:val="00533486"/>
    <w:rsid w:val="00533DCA"/>
    <w:rsid w:val="005344D6"/>
    <w:rsid w:val="0053556C"/>
    <w:rsid w:val="00536DFC"/>
    <w:rsid w:val="005413A0"/>
    <w:rsid w:val="00541E25"/>
    <w:rsid w:val="00542240"/>
    <w:rsid w:val="0054368F"/>
    <w:rsid w:val="00543803"/>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FEF"/>
    <w:rsid w:val="00566B75"/>
    <w:rsid w:val="00566F22"/>
    <w:rsid w:val="00571F9E"/>
    <w:rsid w:val="005756AA"/>
    <w:rsid w:val="00575D80"/>
    <w:rsid w:val="00581139"/>
    <w:rsid w:val="00581FA7"/>
    <w:rsid w:val="00582643"/>
    <w:rsid w:val="00582F8B"/>
    <w:rsid w:val="00583AE8"/>
    <w:rsid w:val="00590A6D"/>
    <w:rsid w:val="005918B6"/>
    <w:rsid w:val="005941C1"/>
    <w:rsid w:val="00595122"/>
    <w:rsid w:val="0059611C"/>
    <w:rsid w:val="00596243"/>
    <w:rsid w:val="00596405"/>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91B"/>
    <w:rsid w:val="005E11B2"/>
    <w:rsid w:val="005E3050"/>
    <w:rsid w:val="005E3E9F"/>
    <w:rsid w:val="005E495C"/>
    <w:rsid w:val="005E73B2"/>
    <w:rsid w:val="005F088A"/>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A83"/>
    <w:rsid w:val="00611B77"/>
    <w:rsid w:val="00614817"/>
    <w:rsid w:val="00615173"/>
    <w:rsid w:val="006175EE"/>
    <w:rsid w:val="00617FF2"/>
    <w:rsid w:val="006210F3"/>
    <w:rsid w:val="0062131E"/>
    <w:rsid w:val="0062239E"/>
    <w:rsid w:val="006256B5"/>
    <w:rsid w:val="0063078B"/>
    <w:rsid w:val="006315C5"/>
    <w:rsid w:val="006315FD"/>
    <w:rsid w:val="006318C6"/>
    <w:rsid w:val="00631B0C"/>
    <w:rsid w:val="00632769"/>
    <w:rsid w:val="00633DBF"/>
    <w:rsid w:val="006344B7"/>
    <w:rsid w:val="006349E9"/>
    <w:rsid w:val="0063578A"/>
    <w:rsid w:val="006357D5"/>
    <w:rsid w:val="0063671B"/>
    <w:rsid w:val="00637BCB"/>
    <w:rsid w:val="00637E00"/>
    <w:rsid w:val="00640AEF"/>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5623"/>
    <w:rsid w:val="00676695"/>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424C"/>
    <w:rsid w:val="006B5224"/>
    <w:rsid w:val="006B5CD1"/>
    <w:rsid w:val="006B60C8"/>
    <w:rsid w:val="006B62FD"/>
    <w:rsid w:val="006B6709"/>
    <w:rsid w:val="006B7B3F"/>
    <w:rsid w:val="006C0A8A"/>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1B1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7FE7"/>
    <w:rsid w:val="007317F9"/>
    <w:rsid w:val="0073184D"/>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740F"/>
    <w:rsid w:val="007744B6"/>
    <w:rsid w:val="00777BB2"/>
    <w:rsid w:val="0078122E"/>
    <w:rsid w:val="007812C4"/>
    <w:rsid w:val="007823A6"/>
    <w:rsid w:val="00782567"/>
    <w:rsid w:val="00783010"/>
    <w:rsid w:val="00783619"/>
    <w:rsid w:val="00785FD2"/>
    <w:rsid w:val="00786ECE"/>
    <w:rsid w:val="00790122"/>
    <w:rsid w:val="007918B3"/>
    <w:rsid w:val="00791FB4"/>
    <w:rsid w:val="00793898"/>
    <w:rsid w:val="00795647"/>
    <w:rsid w:val="00797B9E"/>
    <w:rsid w:val="007A15D8"/>
    <w:rsid w:val="007A3CC5"/>
    <w:rsid w:val="007A3D77"/>
    <w:rsid w:val="007A3F2F"/>
    <w:rsid w:val="007A4609"/>
    <w:rsid w:val="007A4940"/>
    <w:rsid w:val="007A4A8D"/>
    <w:rsid w:val="007A4B33"/>
    <w:rsid w:val="007A5294"/>
    <w:rsid w:val="007A587B"/>
    <w:rsid w:val="007A6053"/>
    <w:rsid w:val="007A6C15"/>
    <w:rsid w:val="007B0748"/>
    <w:rsid w:val="007B0854"/>
    <w:rsid w:val="007B0EB5"/>
    <w:rsid w:val="007B23B8"/>
    <w:rsid w:val="007B3970"/>
    <w:rsid w:val="007B6014"/>
    <w:rsid w:val="007B6DB7"/>
    <w:rsid w:val="007B6F1D"/>
    <w:rsid w:val="007B79F0"/>
    <w:rsid w:val="007B7B35"/>
    <w:rsid w:val="007C025B"/>
    <w:rsid w:val="007C1E4A"/>
    <w:rsid w:val="007C20AD"/>
    <w:rsid w:val="007C4A00"/>
    <w:rsid w:val="007C546D"/>
    <w:rsid w:val="007C6B93"/>
    <w:rsid w:val="007C74FF"/>
    <w:rsid w:val="007D0341"/>
    <w:rsid w:val="007D0F9A"/>
    <w:rsid w:val="007D19ED"/>
    <w:rsid w:val="007D4D19"/>
    <w:rsid w:val="007D6137"/>
    <w:rsid w:val="007D68C9"/>
    <w:rsid w:val="007D6FBB"/>
    <w:rsid w:val="007D7BD9"/>
    <w:rsid w:val="007E0B05"/>
    <w:rsid w:val="007E2207"/>
    <w:rsid w:val="007E2D1C"/>
    <w:rsid w:val="007E2F8B"/>
    <w:rsid w:val="007E34A9"/>
    <w:rsid w:val="007E3875"/>
    <w:rsid w:val="007E3DF0"/>
    <w:rsid w:val="007E4A8A"/>
    <w:rsid w:val="007E5C68"/>
    <w:rsid w:val="007E77BD"/>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4EE9"/>
    <w:rsid w:val="0083119B"/>
    <w:rsid w:val="00831F66"/>
    <w:rsid w:val="0083338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B1E8D"/>
    <w:rsid w:val="008B56B2"/>
    <w:rsid w:val="008B5B04"/>
    <w:rsid w:val="008C0810"/>
    <w:rsid w:val="008C1B94"/>
    <w:rsid w:val="008C41AA"/>
    <w:rsid w:val="008C44C1"/>
    <w:rsid w:val="008C4FF4"/>
    <w:rsid w:val="008C567E"/>
    <w:rsid w:val="008C6A23"/>
    <w:rsid w:val="008C75CF"/>
    <w:rsid w:val="008D1490"/>
    <w:rsid w:val="008D2781"/>
    <w:rsid w:val="008D3EB3"/>
    <w:rsid w:val="008D538C"/>
    <w:rsid w:val="008D685A"/>
    <w:rsid w:val="008D6DE0"/>
    <w:rsid w:val="008D7242"/>
    <w:rsid w:val="008D7A98"/>
    <w:rsid w:val="008E06CA"/>
    <w:rsid w:val="008E1C15"/>
    <w:rsid w:val="008E22BD"/>
    <w:rsid w:val="008E36A0"/>
    <w:rsid w:val="008E3DF4"/>
    <w:rsid w:val="008E3EC9"/>
    <w:rsid w:val="008E50DA"/>
    <w:rsid w:val="008F0C30"/>
    <w:rsid w:val="008F101D"/>
    <w:rsid w:val="008F148D"/>
    <w:rsid w:val="008F24BA"/>
    <w:rsid w:val="008F436F"/>
    <w:rsid w:val="008F50C4"/>
    <w:rsid w:val="008F538E"/>
    <w:rsid w:val="008F5FB7"/>
    <w:rsid w:val="0090080A"/>
    <w:rsid w:val="009010AA"/>
    <w:rsid w:val="00901850"/>
    <w:rsid w:val="009020C2"/>
    <w:rsid w:val="009032EB"/>
    <w:rsid w:val="009038D7"/>
    <w:rsid w:val="00903C4D"/>
    <w:rsid w:val="009047C5"/>
    <w:rsid w:val="009058E3"/>
    <w:rsid w:val="0091308F"/>
    <w:rsid w:val="0091629D"/>
    <w:rsid w:val="00916B31"/>
    <w:rsid w:val="00916C0F"/>
    <w:rsid w:val="00916DA7"/>
    <w:rsid w:val="00920E0E"/>
    <w:rsid w:val="009210D9"/>
    <w:rsid w:val="009221F8"/>
    <w:rsid w:val="00923F5C"/>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1B1"/>
    <w:rsid w:val="00946957"/>
    <w:rsid w:val="00946DD2"/>
    <w:rsid w:val="00947B7A"/>
    <w:rsid w:val="009502CF"/>
    <w:rsid w:val="00952DF1"/>
    <w:rsid w:val="0095385A"/>
    <w:rsid w:val="00954F87"/>
    <w:rsid w:val="00955483"/>
    <w:rsid w:val="009559D8"/>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4C9A"/>
    <w:rsid w:val="009D61EC"/>
    <w:rsid w:val="009D6529"/>
    <w:rsid w:val="009D658F"/>
    <w:rsid w:val="009E05AB"/>
    <w:rsid w:val="009E1923"/>
    <w:rsid w:val="009E1BE1"/>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59C2"/>
    <w:rsid w:val="009F5D34"/>
    <w:rsid w:val="009F5FAB"/>
    <w:rsid w:val="009F6280"/>
    <w:rsid w:val="009F63BF"/>
    <w:rsid w:val="009F6BFE"/>
    <w:rsid w:val="009F7121"/>
    <w:rsid w:val="009F7715"/>
    <w:rsid w:val="009F7731"/>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63E3"/>
    <w:rsid w:val="00A26F88"/>
    <w:rsid w:val="00A27384"/>
    <w:rsid w:val="00A278BD"/>
    <w:rsid w:val="00A27ACD"/>
    <w:rsid w:val="00A27F23"/>
    <w:rsid w:val="00A3092B"/>
    <w:rsid w:val="00A31686"/>
    <w:rsid w:val="00A32894"/>
    <w:rsid w:val="00A33893"/>
    <w:rsid w:val="00A34538"/>
    <w:rsid w:val="00A346CD"/>
    <w:rsid w:val="00A35692"/>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42D3"/>
    <w:rsid w:val="00AE4E39"/>
    <w:rsid w:val="00AE516F"/>
    <w:rsid w:val="00AE70B1"/>
    <w:rsid w:val="00AE768A"/>
    <w:rsid w:val="00AE778D"/>
    <w:rsid w:val="00AE7C6B"/>
    <w:rsid w:val="00AF0EB0"/>
    <w:rsid w:val="00AF185F"/>
    <w:rsid w:val="00AF22B8"/>
    <w:rsid w:val="00AF252C"/>
    <w:rsid w:val="00AF25B8"/>
    <w:rsid w:val="00AF2C96"/>
    <w:rsid w:val="00AF4B1D"/>
    <w:rsid w:val="00AF6276"/>
    <w:rsid w:val="00AF6A17"/>
    <w:rsid w:val="00AF6DAE"/>
    <w:rsid w:val="00B02235"/>
    <w:rsid w:val="00B02A47"/>
    <w:rsid w:val="00B030B1"/>
    <w:rsid w:val="00B03432"/>
    <w:rsid w:val="00B03EC6"/>
    <w:rsid w:val="00B0510D"/>
    <w:rsid w:val="00B05607"/>
    <w:rsid w:val="00B056A3"/>
    <w:rsid w:val="00B05A55"/>
    <w:rsid w:val="00B073F3"/>
    <w:rsid w:val="00B075F3"/>
    <w:rsid w:val="00B1069D"/>
    <w:rsid w:val="00B11029"/>
    <w:rsid w:val="00B12193"/>
    <w:rsid w:val="00B13233"/>
    <w:rsid w:val="00B13EC0"/>
    <w:rsid w:val="00B14275"/>
    <w:rsid w:val="00B173E1"/>
    <w:rsid w:val="00B205FF"/>
    <w:rsid w:val="00B2139A"/>
    <w:rsid w:val="00B22024"/>
    <w:rsid w:val="00B22DBE"/>
    <w:rsid w:val="00B22E22"/>
    <w:rsid w:val="00B23041"/>
    <w:rsid w:val="00B24685"/>
    <w:rsid w:val="00B25ADA"/>
    <w:rsid w:val="00B27676"/>
    <w:rsid w:val="00B3005F"/>
    <w:rsid w:val="00B3418C"/>
    <w:rsid w:val="00B342CD"/>
    <w:rsid w:val="00B353C1"/>
    <w:rsid w:val="00B362E4"/>
    <w:rsid w:val="00B37166"/>
    <w:rsid w:val="00B40DD7"/>
    <w:rsid w:val="00B42606"/>
    <w:rsid w:val="00B42D45"/>
    <w:rsid w:val="00B43CD6"/>
    <w:rsid w:val="00B448AA"/>
    <w:rsid w:val="00B44975"/>
    <w:rsid w:val="00B45E2A"/>
    <w:rsid w:val="00B460E5"/>
    <w:rsid w:val="00B466B9"/>
    <w:rsid w:val="00B46D74"/>
    <w:rsid w:val="00B51832"/>
    <w:rsid w:val="00B525CB"/>
    <w:rsid w:val="00B525DF"/>
    <w:rsid w:val="00B53EE2"/>
    <w:rsid w:val="00B547D2"/>
    <w:rsid w:val="00B57700"/>
    <w:rsid w:val="00B57E5D"/>
    <w:rsid w:val="00B60417"/>
    <w:rsid w:val="00B617BC"/>
    <w:rsid w:val="00B62917"/>
    <w:rsid w:val="00B63872"/>
    <w:rsid w:val="00B63CB2"/>
    <w:rsid w:val="00B64277"/>
    <w:rsid w:val="00B64EDB"/>
    <w:rsid w:val="00B66921"/>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475B"/>
    <w:rsid w:val="00B86997"/>
    <w:rsid w:val="00B87866"/>
    <w:rsid w:val="00B90E09"/>
    <w:rsid w:val="00B913A7"/>
    <w:rsid w:val="00B91B8E"/>
    <w:rsid w:val="00B9215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2426"/>
    <w:rsid w:val="00BC2A98"/>
    <w:rsid w:val="00BC3394"/>
    <w:rsid w:val="00BC418B"/>
    <w:rsid w:val="00BC451F"/>
    <w:rsid w:val="00BC4E18"/>
    <w:rsid w:val="00BC4EE5"/>
    <w:rsid w:val="00BC5226"/>
    <w:rsid w:val="00BC5511"/>
    <w:rsid w:val="00BC553A"/>
    <w:rsid w:val="00BD038C"/>
    <w:rsid w:val="00BD31D8"/>
    <w:rsid w:val="00BD3D51"/>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56F4"/>
    <w:rsid w:val="00BE7299"/>
    <w:rsid w:val="00BF1021"/>
    <w:rsid w:val="00BF111D"/>
    <w:rsid w:val="00BF568B"/>
    <w:rsid w:val="00BF5C9A"/>
    <w:rsid w:val="00BF5DF7"/>
    <w:rsid w:val="00C00250"/>
    <w:rsid w:val="00C00E68"/>
    <w:rsid w:val="00C03034"/>
    <w:rsid w:val="00C04689"/>
    <w:rsid w:val="00C04D43"/>
    <w:rsid w:val="00C07CEA"/>
    <w:rsid w:val="00C07D92"/>
    <w:rsid w:val="00C10177"/>
    <w:rsid w:val="00C12D2F"/>
    <w:rsid w:val="00C1756E"/>
    <w:rsid w:val="00C23738"/>
    <w:rsid w:val="00C24648"/>
    <w:rsid w:val="00C24851"/>
    <w:rsid w:val="00C25B80"/>
    <w:rsid w:val="00C26C93"/>
    <w:rsid w:val="00C26DA0"/>
    <w:rsid w:val="00C3024A"/>
    <w:rsid w:val="00C357C9"/>
    <w:rsid w:val="00C35C82"/>
    <w:rsid w:val="00C37066"/>
    <w:rsid w:val="00C406B7"/>
    <w:rsid w:val="00C40E3E"/>
    <w:rsid w:val="00C44430"/>
    <w:rsid w:val="00C449F1"/>
    <w:rsid w:val="00C45DE7"/>
    <w:rsid w:val="00C4633D"/>
    <w:rsid w:val="00C47884"/>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9149F"/>
    <w:rsid w:val="00C91FB2"/>
    <w:rsid w:val="00C920BB"/>
    <w:rsid w:val="00C92374"/>
    <w:rsid w:val="00C93443"/>
    <w:rsid w:val="00C94E35"/>
    <w:rsid w:val="00C96C77"/>
    <w:rsid w:val="00C96D43"/>
    <w:rsid w:val="00C97575"/>
    <w:rsid w:val="00CA026B"/>
    <w:rsid w:val="00CA0995"/>
    <w:rsid w:val="00CA0A7E"/>
    <w:rsid w:val="00CA15D4"/>
    <w:rsid w:val="00CA3230"/>
    <w:rsid w:val="00CA5DA9"/>
    <w:rsid w:val="00CA7FCD"/>
    <w:rsid w:val="00CB084D"/>
    <w:rsid w:val="00CB60B1"/>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70C7"/>
    <w:rsid w:val="00CD7CAD"/>
    <w:rsid w:val="00CE0A8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D94"/>
    <w:rsid w:val="00D500DB"/>
    <w:rsid w:val="00D509AE"/>
    <w:rsid w:val="00D51C4D"/>
    <w:rsid w:val="00D51F79"/>
    <w:rsid w:val="00D523AC"/>
    <w:rsid w:val="00D52943"/>
    <w:rsid w:val="00D539C4"/>
    <w:rsid w:val="00D53AAE"/>
    <w:rsid w:val="00D54817"/>
    <w:rsid w:val="00D550E1"/>
    <w:rsid w:val="00D55E06"/>
    <w:rsid w:val="00D56D9D"/>
    <w:rsid w:val="00D57FAA"/>
    <w:rsid w:val="00D60120"/>
    <w:rsid w:val="00D60327"/>
    <w:rsid w:val="00D6044C"/>
    <w:rsid w:val="00D629E0"/>
    <w:rsid w:val="00D63052"/>
    <w:rsid w:val="00D63D15"/>
    <w:rsid w:val="00D652A7"/>
    <w:rsid w:val="00D66CC3"/>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2B8C"/>
    <w:rsid w:val="00DC3614"/>
    <w:rsid w:val="00DC39BB"/>
    <w:rsid w:val="00DC571C"/>
    <w:rsid w:val="00DC5871"/>
    <w:rsid w:val="00DC62E5"/>
    <w:rsid w:val="00DC6929"/>
    <w:rsid w:val="00DC6DB4"/>
    <w:rsid w:val="00DD04F2"/>
    <w:rsid w:val="00DD0567"/>
    <w:rsid w:val="00DD1744"/>
    <w:rsid w:val="00DD1C32"/>
    <w:rsid w:val="00DD32C5"/>
    <w:rsid w:val="00DD4EA3"/>
    <w:rsid w:val="00DD5000"/>
    <w:rsid w:val="00DD6ABE"/>
    <w:rsid w:val="00DD735D"/>
    <w:rsid w:val="00DE1F24"/>
    <w:rsid w:val="00DE21BD"/>
    <w:rsid w:val="00DE3119"/>
    <w:rsid w:val="00DE6E0C"/>
    <w:rsid w:val="00DE74A8"/>
    <w:rsid w:val="00DF236B"/>
    <w:rsid w:val="00DF50C0"/>
    <w:rsid w:val="00DF7651"/>
    <w:rsid w:val="00E00FD4"/>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4010D"/>
    <w:rsid w:val="00E4143A"/>
    <w:rsid w:val="00E41DA5"/>
    <w:rsid w:val="00E42F18"/>
    <w:rsid w:val="00E4341D"/>
    <w:rsid w:val="00E45440"/>
    <w:rsid w:val="00E45B03"/>
    <w:rsid w:val="00E462A2"/>
    <w:rsid w:val="00E471D7"/>
    <w:rsid w:val="00E516F9"/>
    <w:rsid w:val="00E53C0C"/>
    <w:rsid w:val="00E53D8F"/>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12C7"/>
    <w:rsid w:val="00EB203A"/>
    <w:rsid w:val="00EB339C"/>
    <w:rsid w:val="00EB34B0"/>
    <w:rsid w:val="00EB49E9"/>
    <w:rsid w:val="00EB4E04"/>
    <w:rsid w:val="00EB6BC7"/>
    <w:rsid w:val="00EB7BAF"/>
    <w:rsid w:val="00EC02E9"/>
    <w:rsid w:val="00EC07B9"/>
    <w:rsid w:val="00EC1F51"/>
    <w:rsid w:val="00EC5B15"/>
    <w:rsid w:val="00EC5DE4"/>
    <w:rsid w:val="00EC6C6C"/>
    <w:rsid w:val="00ED030F"/>
    <w:rsid w:val="00ED069A"/>
    <w:rsid w:val="00ED137B"/>
    <w:rsid w:val="00ED229D"/>
    <w:rsid w:val="00ED58F6"/>
    <w:rsid w:val="00ED5EFB"/>
    <w:rsid w:val="00ED66AF"/>
    <w:rsid w:val="00ED77CC"/>
    <w:rsid w:val="00EE1B23"/>
    <w:rsid w:val="00EE59B5"/>
    <w:rsid w:val="00EE5DF7"/>
    <w:rsid w:val="00EE6F2B"/>
    <w:rsid w:val="00EF2BA2"/>
    <w:rsid w:val="00EF3228"/>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21247"/>
    <w:rsid w:val="00F23158"/>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291B"/>
    <w:rsid w:val="00F545CE"/>
    <w:rsid w:val="00F54F42"/>
    <w:rsid w:val="00F561C2"/>
    <w:rsid w:val="00F562FB"/>
    <w:rsid w:val="00F603CC"/>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B0FA8"/>
    <w:rsid w:val="00FB1417"/>
    <w:rsid w:val="00FB1E59"/>
    <w:rsid w:val="00FB6A61"/>
    <w:rsid w:val="00FB6B20"/>
    <w:rsid w:val="00FB6BC4"/>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6D4C"/>
    <w:rsid w:val="00FE7555"/>
    <w:rsid w:val="00FF0706"/>
    <w:rsid w:val="00FF208F"/>
    <w:rsid w:val="00FF2F4B"/>
    <w:rsid w:val="00FF5251"/>
    <w:rsid w:val="00FF683C"/>
    <w:rsid w:val="00FF69D5"/>
    <w:rsid w:val="04D1C6D9"/>
    <w:rsid w:val="38DB2C1E"/>
    <w:rsid w:val="3F6AA5EA"/>
    <w:rsid w:val="540242F6"/>
    <w:rsid w:val="6F9E2E3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608AC06-02A7-455E-94D4-6D9B95836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E94179-3739-4939-974A-26D2F434A7F9}">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7567F47-0942-41D0-B155-16B161840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5418</Words>
  <Characters>30884</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2020-08-18T16:47:00Z</dcterms:created>
  <dcterms:modified xsi:type="dcterms:W3CDTF">2020-08-18T16:47:00Z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