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524963" w:rsidR="00524963" w:rsidP="00524963" w:rsidRDefault="00D43222" w14:paraId="5807341A" w14:textId="70F603D6">
      <w:pPr>
        <w:spacing w:line="276" w:lineRule="auto"/>
        <w:jc w:val="right"/>
        <w:rPr>
          <w:rFonts w:ascii="Arial" w:hAnsi="Arial" w:eastAsia="Calibri" w:cs="Arial"/>
          <w:b/>
          <w:bCs/>
          <w:sz w:val="16"/>
          <w:szCs w:val="16"/>
          <w:lang w:eastAsia="en-US"/>
        </w:rPr>
      </w:pPr>
      <w:bookmarkStart w:name="_Hlk29890381" w:id="0"/>
      <w:bookmarkEnd w:id="0"/>
      <w:r>
        <w:rPr>
          <w:rFonts w:ascii="Arial" w:hAnsi="Arial" w:cs="Arial"/>
          <w:b/>
          <w:bCs/>
          <w:sz w:val="16"/>
          <w:szCs w:val="16"/>
          <w:lang w:eastAsia="es-ES"/>
        </w:rPr>
        <w:t xml:space="preserve"> </w:t>
      </w:r>
      <w:r w:rsidRPr="00524963" w:rsidR="00524963">
        <w:rPr>
          <w:rFonts w:ascii="Arial" w:hAnsi="Arial" w:cs="Arial"/>
          <w:b/>
          <w:bCs/>
          <w:sz w:val="16"/>
          <w:szCs w:val="16"/>
          <w:lang w:eastAsia="es-ES"/>
        </w:rPr>
        <w:t>CCE-DES-FM-17</w:t>
      </w:r>
    </w:p>
    <w:p w:rsidRPr="001A1CC0" w:rsidR="001A1CC0" w:rsidP="001A1CC0" w:rsidRDefault="001A1CC0" w14:paraId="00AC5863" w14:textId="77777777">
      <w:pPr>
        <w:spacing w:line="276" w:lineRule="auto"/>
        <w:jc w:val="both"/>
        <w:rPr>
          <w:rFonts w:ascii="Arial" w:hAnsi="Arial" w:cs="Arial"/>
          <w:noProof/>
          <w:color w:val="000000" w:themeColor="text1"/>
          <w:sz w:val="22"/>
          <w:lang w:val="es-ES_tradnl"/>
        </w:rPr>
      </w:pPr>
    </w:p>
    <w:p w:rsidRPr="001A1CC0" w:rsidR="001A1CC0" w:rsidP="001A1CC0" w:rsidRDefault="001A1CC0" w14:paraId="6EC7760D" w14:textId="77777777">
      <w:pPr>
        <w:spacing w:after="120"/>
        <w:contextualSpacing/>
        <w:jc w:val="both"/>
        <w:rPr>
          <w:rFonts w:ascii="Arial" w:hAnsi="Arial" w:eastAsia="Calibri" w:cs="Arial"/>
          <w:b/>
          <w:bCs/>
          <w:color w:val="000000" w:themeColor="text1"/>
          <w:sz w:val="22"/>
          <w:szCs w:val="22"/>
          <w:lang w:val="es-ES_tradnl" w:eastAsia="en-US"/>
        </w:rPr>
      </w:pPr>
      <w:r w:rsidRPr="001A1CC0">
        <w:rPr>
          <w:rFonts w:ascii="Arial" w:hAnsi="Arial" w:eastAsia="Calibri" w:cs="Arial"/>
          <w:b/>
          <w:bCs/>
          <w:color w:val="000000" w:themeColor="text1"/>
          <w:sz w:val="22"/>
          <w:szCs w:val="22"/>
          <w:lang w:val="es-ES_tradnl" w:eastAsia="en-US"/>
        </w:rPr>
        <w:t>LEY DE GARANTÍAS ELECTORALES – Finalidad</w:t>
      </w:r>
    </w:p>
    <w:p w:rsidR="002F5B6B" w:rsidP="002F5B6B" w:rsidRDefault="002F5B6B" w14:paraId="37978675" w14:textId="77777777">
      <w:pPr>
        <w:tabs>
          <w:tab w:val="left" w:pos="426"/>
        </w:tabs>
        <w:jc w:val="both"/>
        <w:rPr>
          <w:rFonts w:ascii="Arial" w:hAnsi="Arial" w:eastAsia="Calibri" w:cs="Arial"/>
          <w:color w:val="000000" w:themeColor="text1"/>
          <w:sz w:val="20"/>
          <w:szCs w:val="20"/>
          <w:lang w:val="es-ES_tradnl" w:eastAsia="en-US"/>
        </w:rPr>
      </w:pPr>
    </w:p>
    <w:p w:rsidR="001A1CC0" w:rsidP="002F5B6B" w:rsidRDefault="002F5B6B" w14:paraId="65C11825" w14:textId="497592D4">
      <w:pPr>
        <w:tabs>
          <w:tab w:val="left" w:pos="426"/>
        </w:tabs>
        <w:spacing w:after="120"/>
        <w:jc w:val="both"/>
        <w:rPr>
          <w:rFonts w:ascii="Arial" w:hAnsi="Arial" w:cs="Arial"/>
          <w:bCs/>
          <w:color w:val="000000" w:themeColor="text1"/>
          <w:sz w:val="20"/>
          <w:szCs w:val="20"/>
          <w:lang w:val="es-ES_tradnl" w:eastAsia="es-CO"/>
        </w:rPr>
      </w:pPr>
      <w:r>
        <w:rPr>
          <w:rFonts w:ascii="Arial" w:hAnsi="Arial" w:eastAsia="Calibri" w:cs="Arial"/>
          <w:color w:val="000000" w:themeColor="text1"/>
          <w:sz w:val="20"/>
          <w:szCs w:val="20"/>
          <w:lang w:val="es-ES_tradnl" w:eastAsia="en-US"/>
        </w:rPr>
        <w:t>L</w:t>
      </w:r>
      <w:r>
        <w:rPr>
          <w:rFonts w:ascii="Arial" w:hAnsi="Arial" w:cs="Arial"/>
          <w:bCs/>
          <w:color w:val="000000" w:themeColor="text1"/>
          <w:sz w:val="20"/>
          <w:szCs w:val="20"/>
          <w:lang w:val="es-MX" w:eastAsia="es-CO"/>
        </w:rPr>
        <w:t>a</w:t>
      </w:r>
      <w:r w:rsidRPr="002F5B6B">
        <w:rPr>
          <w:rFonts w:ascii="Arial" w:hAnsi="Arial" w:cs="Arial"/>
          <w:bCs/>
          <w:color w:val="000000" w:themeColor="text1"/>
          <w:sz w:val="20"/>
          <w:szCs w:val="20"/>
          <w:lang w:val="es-MX" w:eastAsia="es-CO"/>
        </w:rPr>
        <w:t xml:space="preserve">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r w:rsidRPr="002F5B6B">
        <w:rPr>
          <w:rFonts w:ascii="Arial" w:hAnsi="Arial" w:cs="Arial"/>
          <w:bCs/>
          <w:color w:val="000000" w:themeColor="text1"/>
          <w:sz w:val="20"/>
          <w:szCs w:val="20"/>
          <w:lang w:val="es-ES_tradnl" w:eastAsia="es-CO"/>
        </w:rPr>
        <w:t xml:space="preserve"> </w:t>
      </w:r>
      <w:r w:rsidRPr="002F5B6B">
        <w:rPr>
          <w:rFonts w:ascii="Arial" w:hAnsi="Arial" w:cs="Arial"/>
          <w:bCs/>
          <w:color w:val="000000" w:themeColor="text1"/>
          <w:sz w:val="20"/>
          <w:szCs w:val="20"/>
          <w:lang w:val="es-MX" w:eastAsia="es-CO"/>
        </w:rPr>
        <w:t>En armonía con lo anterior, la Corte Constitucional ha abordado la definición de la Ley de Garantías Electorales</w:t>
      </w:r>
      <w:r w:rsidRPr="002F5B6B">
        <w:rPr>
          <w:rFonts w:ascii="Arial" w:hAnsi="Arial" w:cs="Arial"/>
          <w:bCs/>
          <w:color w:val="000000" w:themeColor="text1"/>
          <w:sz w:val="20"/>
          <w:szCs w:val="20"/>
          <w:lang w:val="es-ES_tradnl" w:eastAsia="es-CO"/>
        </w:rPr>
        <w:t xml:space="preserve"> </w:t>
      </w:r>
    </w:p>
    <w:p w:rsidRPr="002F5B6B" w:rsidR="002F5B6B" w:rsidP="002F5B6B" w:rsidRDefault="002F5B6B" w14:paraId="6FB3F015" w14:textId="77777777">
      <w:pPr>
        <w:tabs>
          <w:tab w:val="left" w:pos="426"/>
        </w:tabs>
        <w:spacing w:after="120"/>
        <w:jc w:val="both"/>
        <w:rPr>
          <w:rFonts w:ascii="Arial" w:hAnsi="Arial" w:cs="Arial"/>
          <w:bCs/>
          <w:color w:val="000000" w:themeColor="text1"/>
          <w:sz w:val="20"/>
          <w:szCs w:val="20"/>
          <w:lang w:val="es-ES_tradnl" w:eastAsia="es-CO"/>
        </w:rPr>
      </w:pPr>
    </w:p>
    <w:p w:rsidRPr="001A1CC0" w:rsidR="001A1CC0" w:rsidP="001A1CC0" w:rsidRDefault="001A1CC0" w14:paraId="3BC825E6" w14:textId="77777777">
      <w:pPr>
        <w:tabs>
          <w:tab w:val="left" w:pos="426"/>
        </w:tabs>
        <w:jc w:val="both"/>
        <w:rPr>
          <w:rFonts w:ascii="Arial" w:hAnsi="Arial" w:eastAsia="Calibri" w:cs="Arial"/>
          <w:b/>
          <w:bCs/>
          <w:color w:val="000000" w:themeColor="text1"/>
          <w:sz w:val="22"/>
          <w:szCs w:val="22"/>
          <w:lang w:val="es-ES_tradnl" w:eastAsia="en-US"/>
        </w:rPr>
      </w:pPr>
      <w:bookmarkStart w:name="_Hlk77152637" w:id="1"/>
      <w:bookmarkStart w:name="_Hlk77157066" w:id="2"/>
      <w:r w:rsidRPr="001A1CC0">
        <w:rPr>
          <w:rFonts w:ascii="Arial" w:hAnsi="Arial" w:eastAsia="Calibri" w:cs="Arial"/>
          <w:b/>
          <w:bCs/>
          <w:color w:val="000000" w:themeColor="text1"/>
          <w:sz w:val="22"/>
          <w:szCs w:val="22"/>
          <w:lang w:val="es-ES_tradnl" w:eastAsia="en-US"/>
        </w:rPr>
        <w:t>LEY DE GARANTÍAS ELECTORALES ‒</w:t>
      </w:r>
      <w:bookmarkEnd w:id="1"/>
      <w:r w:rsidRPr="001A1CC0">
        <w:rPr>
          <w:rFonts w:ascii="Arial" w:hAnsi="Arial" w:eastAsia="Calibri" w:cs="Arial"/>
          <w:b/>
          <w:bCs/>
          <w:color w:val="000000" w:themeColor="text1"/>
          <w:sz w:val="22"/>
          <w:szCs w:val="22"/>
          <w:lang w:val="es-ES_tradnl" w:eastAsia="en-US"/>
        </w:rPr>
        <w:t xml:space="preserve"> Restricciones </w:t>
      </w:r>
      <w:bookmarkStart w:name="_Hlk77157034" w:id="3"/>
      <w:r w:rsidRPr="001A1CC0">
        <w:rPr>
          <w:rFonts w:ascii="Arial" w:hAnsi="Arial" w:eastAsia="Calibri" w:cs="Arial"/>
          <w:b/>
          <w:bCs/>
          <w:color w:val="000000" w:themeColor="text1"/>
          <w:sz w:val="22"/>
          <w:szCs w:val="22"/>
          <w:lang w:val="es-ES_tradnl" w:eastAsia="en-US"/>
        </w:rPr>
        <w:t xml:space="preserve">‒ </w:t>
      </w:r>
      <w:bookmarkEnd w:id="3"/>
      <w:r w:rsidRPr="001A1CC0">
        <w:rPr>
          <w:rFonts w:ascii="Arial" w:hAnsi="Arial" w:eastAsia="Calibri" w:cs="Arial"/>
          <w:b/>
          <w:bCs/>
          <w:color w:val="000000" w:themeColor="text1"/>
          <w:sz w:val="22"/>
          <w:szCs w:val="22"/>
          <w:lang w:val="es-ES_tradnl" w:eastAsia="en-US"/>
        </w:rPr>
        <w:t>Contratación</w:t>
      </w:r>
      <w:bookmarkStart w:name="_Hlk77153098" w:id="4"/>
      <w:r w:rsidRPr="001A1CC0">
        <w:rPr>
          <w:rFonts w:ascii="Arial" w:hAnsi="Arial" w:eastAsia="Calibri" w:cs="Arial"/>
          <w:b/>
          <w:bCs/>
          <w:color w:val="000000" w:themeColor="text1"/>
          <w:sz w:val="22"/>
          <w:szCs w:val="22"/>
          <w:lang w:val="es-ES_tradnl" w:eastAsia="en-US"/>
        </w:rPr>
        <w:t xml:space="preserve"> ‒ Tipos de elección</w:t>
      </w:r>
      <w:bookmarkEnd w:id="4"/>
      <w:r w:rsidRPr="001A1CC0">
        <w:rPr>
          <w:rFonts w:ascii="Arial" w:hAnsi="Arial" w:eastAsia="Calibri" w:cs="Arial"/>
          <w:b/>
          <w:bCs/>
          <w:color w:val="000000" w:themeColor="text1"/>
          <w:sz w:val="22"/>
          <w:szCs w:val="22"/>
          <w:lang w:val="es-ES_tradnl" w:eastAsia="en-US"/>
        </w:rPr>
        <w:t xml:space="preserve"> </w:t>
      </w:r>
    </w:p>
    <w:p w:rsidRPr="001A1CC0" w:rsidR="001A1CC0" w:rsidP="001A1CC0" w:rsidRDefault="001A1CC0" w14:paraId="0862B5F6" w14:textId="77777777">
      <w:pPr>
        <w:tabs>
          <w:tab w:val="left" w:pos="426"/>
        </w:tabs>
        <w:jc w:val="both"/>
        <w:rPr>
          <w:rFonts w:ascii="Arial" w:hAnsi="Arial" w:eastAsia="Calibri" w:cs="Arial"/>
          <w:b/>
          <w:bCs/>
          <w:color w:val="000000" w:themeColor="text1"/>
          <w:sz w:val="20"/>
          <w:szCs w:val="20"/>
          <w:lang w:val="es-ES_tradnl" w:eastAsia="en-US"/>
        </w:rPr>
      </w:pPr>
    </w:p>
    <w:p w:rsidRPr="009D2595" w:rsidR="009D2595" w:rsidP="009D2595" w:rsidRDefault="009D2595" w14:paraId="60A7BE5D" w14:textId="3212B5EF">
      <w:pPr>
        <w:spacing w:after="120"/>
        <w:jc w:val="both"/>
        <w:rPr>
          <w:rFonts w:ascii="Arial" w:hAnsi="Arial" w:cs="Arial"/>
          <w:bCs/>
          <w:color w:val="000000" w:themeColor="text1"/>
          <w:sz w:val="20"/>
          <w:szCs w:val="20"/>
          <w:lang w:val="es-ES_tradnl" w:eastAsia="es-CO" w:bidi="es-ES"/>
        </w:rPr>
      </w:pPr>
      <w:r w:rsidRPr="009D2595">
        <w:rPr>
          <w:rFonts w:ascii="Arial" w:hAnsi="Arial" w:cs="Arial"/>
          <w:bCs/>
          <w:color w:val="000000" w:themeColor="text1"/>
          <w:sz w:val="20"/>
          <w:szCs w:val="20"/>
          <w:lang w:val="es-ES_tradnl" w:eastAsia="es-CO" w:bidi="es-ES"/>
        </w:rPr>
        <w:t>la Ley de Garantías Electorales fijó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territorial.</w:t>
      </w:r>
      <w:r>
        <w:rPr>
          <w:rFonts w:ascii="Arial" w:hAnsi="Arial" w:cs="Arial"/>
          <w:bCs/>
          <w:color w:val="000000" w:themeColor="text1"/>
          <w:sz w:val="20"/>
          <w:szCs w:val="20"/>
          <w:lang w:val="es-ES_tradnl" w:eastAsia="es-CO" w:bidi="es-ES"/>
        </w:rPr>
        <w:t xml:space="preserve"> </w:t>
      </w:r>
      <w:r w:rsidRPr="009D2595">
        <w:rPr>
          <w:rFonts w:ascii="Arial" w:hAnsi="Arial" w:cs="Arial"/>
          <w:bCs/>
          <w:color w:val="000000" w:themeColor="text1"/>
          <w:sz w:val="20"/>
          <w:szCs w:val="20"/>
          <w:lang w:eastAsia="es-CO"/>
        </w:rPr>
        <w:t>Por un lado, el artículo 33 de la Ley 996 de 2005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Pr>
          <w:rFonts w:ascii="Arial" w:hAnsi="Arial" w:cs="Arial"/>
          <w:bCs/>
          <w:color w:val="000000" w:themeColor="text1"/>
          <w:sz w:val="20"/>
          <w:szCs w:val="20"/>
          <w:lang w:val="es-ES_tradnl" w:eastAsia="es-CO" w:bidi="es-ES"/>
        </w:rPr>
        <w:t xml:space="preserve"> </w:t>
      </w:r>
      <w:r w:rsidRPr="009D2595">
        <w:rPr>
          <w:rFonts w:ascii="Arial" w:hAnsi="Arial" w:cs="Arial"/>
          <w:bCs/>
          <w:color w:val="000000" w:themeColor="text1"/>
          <w:sz w:val="20"/>
          <w:szCs w:val="20"/>
          <w:lang w:eastAsia="es-CO"/>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9D2595">
        <w:rPr>
          <w:rFonts w:ascii="Arial" w:hAnsi="Arial" w:cs="Arial"/>
          <w:bCs/>
          <w:color w:val="000000" w:themeColor="text1"/>
          <w:sz w:val="20"/>
          <w:szCs w:val="20"/>
          <w:lang w:val="es-MX" w:eastAsia="es-CO"/>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9D2595">
        <w:rPr>
          <w:rFonts w:ascii="Arial" w:hAnsi="Arial" w:cs="Arial"/>
          <w:bCs/>
          <w:color w:val="000000" w:themeColor="text1"/>
          <w:sz w:val="20"/>
          <w:szCs w:val="20"/>
          <w:lang w:eastAsia="es-CO"/>
        </w:rPr>
        <w:t>»</w:t>
      </w:r>
    </w:p>
    <w:p w:rsidRPr="001A1CC0" w:rsidR="001A1CC0" w:rsidP="001A1CC0" w:rsidRDefault="001A1CC0" w14:paraId="55961553" w14:textId="77777777">
      <w:pPr>
        <w:tabs>
          <w:tab w:val="left" w:pos="426"/>
        </w:tabs>
        <w:jc w:val="both"/>
        <w:rPr>
          <w:rFonts w:ascii="Arial" w:hAnsi="Arial" w:eastAsia="Arial" w:cs="Arial"/>
          <w:color w:val="000000" w:themeColor="text1"/>
          <w:sz w:val="20"/>
          <w:szCs w:val="20"/>
          <w:lang w:val="es-ES_tradnl" w:eastAsia="es-ES" w:bidi="es-ES"/>
        </w:rPr>
      </w:pPr>
      <w:bookmarkStart w:name="_Hlk77165666" w:id="5"/>
      <w:bookmarkEnd w:id="2"/>
    </w:p>
    <w:p w:rsidRPr="001A1CC0" w:rsidR="001A1CC0" w:rsidP="001A1CC0" w:rsidRDefault="001A1CC0" w14:paraId="79BCEDE9" w14:textId="77777777">
      <w:pPr>
        <w:tabs>
          <w:tab w:val="left" w:pos="426"/>
        </w:tabs>
        <w:jc w:val="both"/>
        <w:rPr>
          <w:rFonts w:ascii="Arial" w:hAnsi="Arial" w:eastAsia="Calibri" w:cs="Arial"/>
          <w:b/>
          <w:bCs/>
          <w:sz w:val="22"/>
          <w:szCs w:val="22"/>
          <w:lang w:val="es-ES_tradnl" w:eastAsia="en-US"/>
        </w:rPr>
      </w:pPr>
      <w:r w:rsidRPr="001A1CC0">
        <w:rPr>
          <w:rFonts w:ascii="Arial" w:hAnsi="Arial" w:eastAsia="Calibri" w:cs="Arial"/>
          <w:b/>
          <w:bCs/>
          <w:sz w:val="22"/>
          <w:szCs w:val="22"/>
          <w:lang w:val="es-ES_tradnl" w:eastAsia="en-US"/>
        </w:rPr>
        <w:t xml:space="preserve">LEY DE GARANTÍAS ELECTORALES ─ Prohibición artículo 33 ‒ </w:t>
      </w:r>
      <w:bookmarkEnd w:id="5"/>
      <w:r w:rsidRPr="001A1CC0">
        <w:rPr>
          <w:rFonts w:ascii="Arial" w:hAnsi="Arial" w:eastAsia="Calibri" w:cs="Arial"/>
          <w:b/>
          <w:bCs/>
          <w:sz w:val="22"/>
          <w:szCs w:val="22"/>
          <w:lang w:val="es-ES_tradnl" w:eastAsia="en-US"/>
        </w:rPr>
        <w:t xml:space="preserve">Contratación directa ‒ Alcance </w:t>
      </w:r>
    </w:p>
    <w:p w:rsidRPr="001A1CC0" w:rsidR="001A1CC0" w:rsidP="001A1CC0" w:rsidRDefault="001A1CC0" w14:paraId="5FFFFEE6" w14:textId="77777777">
      <w:pPr>
        <w:tabs>
          <w:tab w:val="left" w:pos="426"/>
        </w:tabs>
        <w:jc w:val="both"/>
        <w:rPr>
          <w:rFonts w:ascii="Arial" w:hAnsi="Arial" w:eastAsia="Calibri" w:cs="Arial"/>
          <w:noProof/>
          <w:sz w:val="20"/>
          <w:szCs w:val="20"/>
          <w:lang w:val="es-ES_tradnl" w:eastAsia="en-US"/>
        </w:rPr>
      </w:pPr>
    </w:p>
    <w:p w:rsidRPr="009D2595" w:rsidR="009D2595" w:rsidP="009D2595" w:rsidRDefault="001A1CC0" w14:paraId="7BDEC3DF" w14:textId="774628E2">
      <w:pPr>
        <w:jc w:val="both"/>
        <w:rPr>
          <w:rFonts w:ascii="Arial" w:hAnsi="Arial" w:eastAsia="Calibri" w:cs="Arial"/>
          <w:bCs/>
          <w:noProof/>
          <w:sz w:val="20"/>
          <w:szCs w:val="20"/>
          <w:lang w:val="es-ES_tradnl" w:eastAsia="en-US"/>
        </w:rPr>
      </w:pPr>
      <w:r w:rsidRPr="001A1CC0">
        <w:rPr>
          <w:rFonts w:ascii="Arial" w:hAnsi="Arial" w:eastAsia="Calibri" w:cs="Arial"/>
          <w:noProof/>
          <w:sz w:val="20"/>
          <w:szCs w:val="20"/>
          <w:lang w:val="es-ES_tradnl" w:eastAsia="en-US"/>
        </w:rPr>
        <w:t xml:space="preserve">[…] </w:t>
      </w:r>
      <w:r w:rsidRPr="009D2595" w:rsidR="009D2595">
        <w:rPr>
          <w:rFonts w:ascii="Arial" w:hAnsi="Arial" w:eastAsia="Calibri" w:cs="Arial"/>
          <w:bCs/>
          <w:noProof/>
          <w:sz w:val="20"/>
          <w:szCs w:val="20"/>
          <w:lang w:val="es-ES_tradnl" w:eastAsia="en-US"/>
        </w:rPr>
        <w:t>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9D2595" w:rsidR="009D2595">
        <w:rPr>
          <w:rFonts w:ascii="Arial" w:hAnsi="Arial" w:eastAsia="Calibri" w:cs="Arial"/>
          <w:noProof/>
          <w:sz w:val="20"/>
          <w:szCs w:val="20"/>
          <w:vertAlign w:val="superscript"/>
          <w:lang w:val="es-ES_tradnl" w:eastAsia="en-US"/>
        </w:rPr>
        <w:t xml:space="preserve"> </w:t>
      </w:r>
      <w:r w:rsidRPr="009D2595" w:rsidR="009D2595">
        <w:rPr>
          <w:rFonts w:ascii="Arial" w:hAnsi="Arial" w:eastAsia="Calibri" w:cs="Arial"/>
          <w:bCs/>
          <w:noProof/>
          <w:sz w:val="20"/>
          <w:szCs w:val="20"/>
          <w:lang w:val="es-ES_tradnl" w:eastAsia="en-US"/>
        </w:rPr>
        <w:t>De lo anterior se desprende que la restricción aplica, sin perjuicio de las excepciones establecidas en la misma ley, para celebrar cualquier contrato de forma directa, esto es, sin que exista un proceso abierto y competitivo.</w:t>
      </w:r>
      <w:r w:rsidRPr="009D2595" w:rsidR="009D2595">
        <w:rPr>
          <w:rFonts w:ascii="Arial" w:hAnsi="Arial" w:eastAsia="Calibri" w:cs="Arial"/>
          <w:noProof/>
          <w:sz w:val="20"/>
          <w:szCs w:val="20"/>
          <w:lang w:val="es-ES_tradnl" w:eastAsia="en-US"/>
        </w:rPr>
        <w:t xml:space="preserve"> Por tanto, no son materia de la prohibición las demás modalidades de </w:t>
      </w:r>
      <w:r w:rsidRPr="009D2595" w:rsidR="009D2595">
        <w:rPr>
          <w:rFonts w:ascii="Arial" w:hAnsi="Arial" w:eastAsia="Calibri" w:cs="Arial"/>
          <w:noProof/>
          <w:sz w:val="20"/>
          <w:szCs w:val="20"/>
          <w:lang w:val="es-ES_tradnl" w:eastAsia="en-US"/>
        </w:rPr>
        <w:lastRenderedPageBreak/>
        <w:t>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procedimientos.</w:t>
      </w:r>
    </w:p>
    <w:p w:rsidRPr="001A1CC0" w:rsidR="001A1CC0" w:rsidP="001A1CC0" w:rsidRDefault="001A1CC0" w14:paraId="66715A56" w14:textId="77777777">
      <w:pPr>
        <w:jc w:val="both"/>
        <w:rPr>
          <w:rFonts w:ascii="Arial" w:hAnsi="Arial" w:cs="Arial"/>
          <w:b/>
          <w:bCs/>
          <w:sz w:val="20"/>
          <w:szCs w:val="20"/>
          <w:lang w:val="es-ES_tradnl" w:eastAsia="es-ES"/>
        </w:rPr>
      </w:pPr>
    </w:p>
    <w:p w:rsidRPr="001A1CC0" w:rsidR="001A1CC0" w:rsidP="001A1CC0" w:rsidRDefault="001A1CC0" w14:paraId="25A39359" w14:textId="77777777">
      <w:pPr>
        <w:shd w:val="clear" w:color="auto" w:fill="FFFFFF"/>
        <w:jc w:val="both"/>
        <w:rPr>
          <w:rFonts w:ascii="Arial" w:hAnsi="Arial" w:cs="Arial"/>
          <w:b/>
          <w:bCs/>
          <w:sz w:val="22"/>
          <w:szCs w:val="22"/>
          <w:lang w:val="es-ES_tradnl" w:eastAsia="es-CO"/>
        </w:rPr>
      </w:pPr>
      <w:r w:rsidRPr="001A1CC0">
        <w:rPr>
          <w:rFonts w:ascii="Arial" w:hAnsi="Arial" w:cs="Arial"/>
          <w:b/>
          <w:bCs/>
          <w:sz w:val="22"/>
          <w:szCs w:val="22"/>
          <w:lang w:val="es-ES_tradnl" w:eastAsia="es-CO"/>
        </w:rPr>
        <w:t xml:space="preserve">LEY DE GARANTÍAS ELECTORALES </w:t>
      </w:r>
      <w:bookmarkStart w:name="_Hlk77022358" w:id="6"/>
      <w:r w:rsidRPr="001A1CC0">
        <w:rPr>
          <w:rFonts w:ascii="Arial" w:hAnsi="Arial" w:cs="Arial"/>
          <w:b/>
          <w:bCs/>
          <w:sz w:val="22"/>
          <w:szCs w:val="22"/>
          <w:lang w:val="es-ES_tradnl" w:eastAsia="es-CO"/>
        </w:rPr>
        <w:t>‒</w:t>
      </w:r>
      <w:bookmarkEnd w:id="6"/>
      <w:r w:rsidRPr="001A1CC0">
        <w:rPr>
          <w:rFonts w:ascii="Arial" w:hAnsi="Arial" w:cs="Arial"/>
          <w:b/>
          <w:bCs/>
          <w:sz w:val="22"/>
          <w:szCs w:val="22"/>
          <w:lang w:val="es-ES_tradnl" w:eastAsia="es-CO"/>
        </w:rPr>
        <w:t xml:space="preserve"> Excepciones</w:t>
      </w:r>
      <w:r w:rsidRPr="001A1CC0">
        <w:rPr>
          <w:rFonts w:ascii="Arial" w:hAnsi="Arial" w:cs="Arial"/>
          <w:b/>
          <w:sz w:val="22"/>
          <w:szCs w:val="22"/>
          <w:lang w:val="es-ES_tradnl" w:eastAsia="es-CO"/>
        </w:rPr>
        <w:t xml:space="preserve"> </w:t>
      </w:r>
    </w:p>
    <w:p w:rsidRPr="001A1CC0" w:rsidR="001A1CC0" w:rsidP="001A1CC0" w:rsidRDefault="001A1CC0" w14:paraId="0F588BB6" w14:textId="77777777">
      <w:pPr>
        <w:shd w:val="clear" w:color="auto" w:fill="FFFFFF"/>
        <w:jc w:val="both"/>
        <w:rPr>
          <w:rFonts w:ascii="Arial" w:hAnsi="Arial" w:cs="Arial"/>
          <w:b/>
          <w:sz w:val="22"/>
          <w:szCs w:val="22"/>
          <w:lang w:val="es-ES_tradnl" w:eastAsia="es-CO"/>
        </w:rPr>
      </w:pPr>
    </w:p>
    <w:p w:rsidRPr="001A1CC0" w:rsidR="001A1CC0" w:rsidP="001A1CC0" w:rsidRDefault="001A1CC0" w14:paraId="52F47871" w14:textId="77777777">
      <w:pPr>
        <w:tabs>
          <w:tab w:val="left" w:pos="426"/>
        </w:tabs>
        <w:jc w:val="both"/>
        <w:rPr>
          <w:rFonts w:ascii="Arial" w:hAnsi="Arial" w:eastAsia="Calibri" w:cs="Arial"/>
          <w:sz w:val="20"/>
          <w:szCs w:val="20"/>
          <w:lang w:val="es-ES_tradnl" w:eastAsia="en-US"/>
        </w:rPr>
      </w:pPr>
      <w:r w:rsidRPr="001A1CC0">
        <w:rPr>
          <w:rFonts w:ascii="Arial" w:hAnsi="Arial" w:cs="Arial"/>
          <w:sz w:val="20"/>
          <w:szCs w:val="20"/>
          <w:lang w:val="es-ES_tradnl" w:eastAsia="x-none"/>
        </w:rPr>
        <w:t xml:space="preserve">[…] </w:t>
      </w:r>
      <w:r w:rsidRPr="001A1CC0">
        <w:rPr>
          <w:rFonts w:ascii="Arial" w:hAnsi="Arial" w:cs="Arial"/>
          <w:bCs/>
          <w:sz w:val="20"/>
          <w:szCs w:val="20"/>
          <w:lang w:val="es-ES_tradnl" w:eastAsia="x-none"/>
        </w:rPr>
        <w:t xml:space="preserve">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w:t>
      </w:r>
      <w:proofErr w:type="spellStart"/>
      <w:r w:rsidRPr="001A1CC0">
        <w:rPr>
          <w:rFonts w:ascii="Arial" w:hAnsi="Arial" w:cs="Arial"/>
          <w:bCs/>
          <w:sz w:val="20"/>
          <w:szCs w:val="20"/>
          <w:lang w:val="es-ES_tradnl" w:eastAsia="x-none"/>
        </w:rPr>
        <w:t>ii</w:t>
      </w:r>
      <w:proofErr w:type="spellEnd"/>
      <w:r w:rsidRPr="001A1CC0">
        <w:rPr>
          <w:rFonts w:ascii="Arial" w:hAnsi="Arial" w:cs="Arial"/>
          <w:bCs/>
          <w:sz w:val="20"/>
          <w:szCs w:val="20"/>
          <w:lang w:val="es-ES_tradnl" w:eastAsia="x-none"/>
        </w:rPr>
        <w:t xml:space="preserve">) los contratos de crédito público; </w:t>
      </w:r>
      <w:proofErr w:type="spellStart"/>
      <w:r w:rsidRPr="001A1CC0">
        <w:rPr>
          <w:rFonts w:ascii="Arial" w:hAnsi="Arial" w:cs="Arial"/>
          <w:bCs/>
          <w:sz w:val="20"/>
          <w:szCs w:val="20"/>
          <w:lang w:val="es-ES_tradnl" w:eastAsia="x-none"/>
        </w:rPr>
        <w:t>iii</w:t>
      </w:r>
      <w:proofErr w:type="spellEnd"/>
      <w:r w:rsidRPr="001A1CC0">
        <w:rPr>
          <w:rFonts w:ascii="Arial" w:hAnsi="Arial" w:cs="Arial"/>
          <w:bCs/>
          <w:sz w:val="20"/>
          <w:szCs w:val="20"/>
          <w:lang w:val="es-ES_tradnl" w:eastAsia="x-none"/>
        </w:rPr>
        <w:t xml:space="preserve">) los requeridos para cubrir las emergencias educativas, sanitarias y desastres; </w:t>
      </w:r>
      <w:proofErr w:type="spellStart"/>
      <w:r w:rsidRPr="001A1CC0">
        <w:rPr>
          <w:rFonts w:ascii="Arial" w:hAnsi="Arial" w:cs="Arial"/>
          <w:bCs/>
          <w:sz w:val="20"/>
          <w:szCs w:val="20"/>
          <w:lang w:val="es-ES_tradnl" w:eastAsia="x-none"/>
        </w:rPr>
        <w:t>iv</w:t>
      </w:r>
      <w:proofErr w:type="spellEnd"/>
      <w:r w:rsidRPr="001A1CC0">
        <w:rPr>
          <w:rFonts w:ascii="Arial" w:hAnsi="Arial" w:cs="Arial"/>
          <w:bCs/>
          <w:sz w:val="20"/>
          <w:szCs w:val="20"/>
          <w:lang w:val="es-ES_tradnl"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p>
    <w:p w:rsidRPr="001A1CC0" w:rsidR="001A1CC0" w:rsidP="001A1CC0" w:rsidRDefault="001A1CC0" w14:paraId="07BD7127" w14:textId="77777777">
      <w:pPr>
        <w:tabs>
          <w:tab w:val="left" w:pos="426"/>
        </w:tabs>
        <w:jc w:val="both"/>
        <w:rPr>
          <w:rFonts w:ascii="Arial" w:hAnsi="Arial" w:eastAsia="Calibri" w:cs="Arial"/>
          <w:noProof/>
          <w:sz w:val="20"/>
          <w:szCs w:val="20"/>
          <w:lang w:val="es-ES_tradnl" w:eastAsia="en-US"/>
        </w:rPr>
      </w:pPr>
    </w:p>
    <w:p w:rsidRPr="001A1CC0" w:rsidR="001A1CC0" w:rsidP="001A1CC0" w:rsidRDefault="001A1CC0" w14:paraId="09AAA071" w14:textId="77777777">
      <w:pPr>
        <w:jc w:val="both"/>
        <w:rPr>
          <w:rFonts w:ascii="Arial" w:hAnsi="Arial" w:cs="Arial"/>
          <w:b/>
          <w:sz w:val="22"/>
          <w:szCs w:val="22"/>
          <w:lang w:val="es-ES_tradnl" w:eastAsia="es-CO"/>
        </w:rPr>
      </w:pPr>
      <w:r w:rsidRPr="001A1CC0">
        <w:rPr>
          <w:rFonts w:ascii="Arial" w:hAnsi="Arial" w:cs="Arial"/>
          <w:b/>
          <w:bCs/>
          <w:sz w:val="22"/>
          <w:szCs w:val="22"/>
          <w:lang w:val="es-ES_tradnl" w:eastAsia="es-CO"/>
        </w:rPr>
        <w:t xml:space="preserve">LEY DE GARANTÍAS ELECTORALES </w:t>
      </w:r>
      <w:bookmarkStart w:name="_Hlk77166669" w:id="7"/>
      <w:r w:rsidRPr="001A1CC0">
        <w:rPr>
          <w:rFonts w:ascii="Arial" w:hAnsi="Arial" w:cs="Arial"/>
          <w:b/>
          <w:bCs/>
          <w:sz w:val="22"/>
          <w:szCs w:val="22"/>
          <w:lang w:val="es-ES_tradnl" w:eastAsia="es-CO"/>
        </w:rPr>
        <w:t>‒</w:t>
      </w:r>
      <w:bookmarkEnd w:id="7"/>
      <w:r w:rsidRPr="001A1CC0">
        <w:rPr>
          <w:rFonts w:ascii="Arial" w:hAnsi="Arial" w:cs="Arial"/>
          <w:b/>
          <w:bCs/>
          <w:sz w:val="22"/>
          <w:szCs w:val="22"/>
          <w:lang w:val="es-ES_tradnl" w:eastAsia="es-CO"/>
        </w:rPr>
        <w:t xml:space="preserve"> </w:t>
      </w:r>
      <w:r w:rsidRPr="001A1CC0">
        <w:rPr>
          <w:rFonts w:ascii="Arial" w:hAnsi="Arial" w:cs="Arial"/>
          <w:b/>
          <w:sz w:val="22"/>
          <w:szCs w:val="22"/>
          <w:lang w:val="es-ES_tradnl" w:eastAsia="es-CO"/>
        </w:rPr>
        <w:t xml:space="preserve">Prohibición del artículo 33 </w:t>
      </w:r>
      <w:r w:rsidRPr="001A1CC0">
        <w:rPr>
          <w:rFonts w:ascii="Arial" w:hAnsi="Arial" w:cs="Arial"/>
          <w:b/>
          <w:bCs/>
          <w:sz w:val="22"/>
          <w:szCs w:val="22"/>
          <w:lang w:val="es-ES_tradnl" w:eastAsia="es-CO"/>
        </w:rPr>
        <w:t>‒ Destinatarios</w:t>
      </w:r>
    </w:p>
    <w:p w:rsidRPr="001A1CC0" w:rsidR="001A1CC0" w:rsidP="001A1CC0" w:rsidRDefault="001A1CC0" w14:paraId="71D9B629" w14:textId="77777777">
      <w:pPr>
        <w:tabs>
          <w:tab w:val="left" w:pos="426"/>
        </w:tabs>
        <w:jc w:val="both"/>
        <w:rPr>
          <w:rFonts w:ascii="Arial" w:hAnsi="Arial" w:eastAsia="Calibri" w:cs="Arial"/>
          <w:noProof/>
          <w:sz w:val="22"/>
          <w:szCs w:val="22"/>
          <w:lang w:val="es-ES_tradnl" w:eastAsia="en-US"/>
        </w:rPr>
      </w:pPr>
    </w:p>
    <w:p w:rsidRPr="001A1CC0" w:rsidR="001A1CC0" w:rsidP="001A1CC0" w:rsidRDefault="009D2595" w14:paraId="482E3C0E" w14:textId="47A985F8">
      <w:pPr>
        <w:tabs>
          <w:tab w:val="left" w:pos="426"/>
        </w:tabs>
        <w:jc w:val="both"/>
        <w:rPr>
          <w:rFonts w:ascii="Arial" w:hAnsi="Arial" w:cs="Arial"/>
          <w:bCs/>
          <w:sz w:val="20"/>
          <w:szCs w:val="20"/>
          <w:lang w:val="es-ES_tradnl" w:eastAsia="x-none"/>
        </w:rPr>
      </w:pPr>
      <w:r>
        <w:rPr>
          <w:rFonts w:ascii="Arial" w:hAnsi="Arial" w:cs="Arial"/>
          <w:bCs/>
          <w:sz w:val="20"/>
          <w:szCs w:val="20"/>
          <w:lang w:val="es-ES_tradnl" w:eastAsia="x-none"/>
        </w:rPr>
        <w:t>E</w:t>
      </w:r>
      <w:r w:rsidRPr="009D2595">
        <w:rPr>
          <w:rFonts w:ascii="Arial" w:hAnsi="Arial" w:cs="Arial"/>
          <w:bCs/>
          <w:sz w:val="20"/>
          <w:szCs w:val="20"/>
          <w:lang w:val="es-ES_tradnl" w:eastAsia="x-none"/>
        </w:rPr>
        <w:t xml:space="preserve">l artículo 33 de la Ley 996 de 2005 señala expresamente a los destinatarios de la prohibición, en el sentido de que son «todos los entes del Estado», expresión que contempla a los diferentes organismos o entidades autorizadas por la ley para suscribir contratos. En efecto,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w:t>
      </w:r>
    </w:p>
    <w:p w:rsidRPr="001A1CC0" w:rsidR="001A1CC0" w:rsidP="001A1CC0" w:rsidRDefault="001A1CC0" w14:paraId="30C2B3FD" w14:textId="77777777">
      <w:pPr>
        <w:widowControl w:val="0"/>
        <w:autoSpaceDE w:val="0"/>
        <w:autoSpaceDN w:val="0"/>
        <w:jc w:val="both"/>
        <w:rPr>
          <w:rFonts w:ascii="Arial" w:hAnsi="Arial" w:eastAsia="Arial" w:cs="Arial"/>
          <w:color w:val="000000" w:themeColor="text1"/>
          <w:sz w:val="20"/>
          <w:szCs w:val="20"/>
          <w:lang w:val="es-ES_tradnl" w:eastAsia="es-ES" w:bidi="es-ES"/>
        </w:rPr>
      </w:pPr>
    </w:p>
    <w:p w:rsidRPr="009F030F" w:rsidR="001A1CC0" w:rsidP="009F030F" w:rsidRDefault="001A1CC0" w14:paraId="387FAEA7" w14:textId="3B4965B1">
      <w:pPr>
        <w:tabs>
          <w:tab w:val="left" w:pos="3374"/>
        </w:tabs>
        <w:jc w:val="both"/>
        <w:rPr>
          <w:rFonts w:ascii="Arial" w:hAnsi="Arial" w:eastAsia="Calibri" w:cs="Arial"/>
          <w:b/>
          <w:bCs/>
          <w:sz w:val="22"/>
          <w:szCs w:val="22"/>
          <w:lang w:val="es-MX" w:eastAsia="en-US"/>
        </w:rPr>
      </w:pPr>
      <w:r w:rsidRPr="001A1CC0">
        <w:rPr>
          <w:rFonts w:ascii="Arial" w:hAnsi="Arial" w:eastAsia="Calibri" w:cs="Arial"/>
          <w:b/>
          <w:color w:val="000000" w:themeColor="text1"/>
          <w:sz w:val="22"/>
          <w:szCs w:val="22"/>
        </w:rPr>
        <w:t xml:space="preserve">ORGANISMOS INTERNACIONALES – </w:t>
      </w:r>
      <w:r w:rsidR="009F030F">
        <w:rPr>
          <w:rFonts w:ascii="Arial" w:hAnsi="Arial" w:eastAsia="Calibri" w:cs="Arial"/>
          <w:b/>
          <w:bCs/>
          <w:sz w:val="22"/>
          <w:szCs w:val="22"/>
          <w:lang w:eastAsia="en-US"/>
        </w:rPr>
        <w:t xml:space="preserve">Régimen de contratación </w:t>
      </w:r>
    </w:p>
    <w:p w:rsidRPr="001A1CC0" w:rsidR="001A1CC0" w:rsidP="001A1CC0" w:rsidRDefault="001A1CC0" w14:paraId="155C09EC" w14:textId="77777777">
      <w:pPr>
        <w:jc w:val="both"/>
        <w:rPr>
          <w:rFonts w:ascii="Arial" w:hAnsi="Arial" w:eastAsia="Calibri" w:cs="Arial"/>
          <w:color w:val="000000" w:themeColor="text1"/>
          <w:sz w:val="20"/>
          <w:szCs w:val="20"/>
        </w:rPr>
      </w:pPr>
    </w:p>
    <w:p w:rsidR="000A70BB" w:rsidP="000A70BB" w:rsidRDefault="000A70BB" w14:paraId="7D55B166" w14:textId="52525A4D">
      <w:pPr>
        <w:jc w:val="both"/>
        <w:rPr>
          <w:rFonts w:ascii="Arial" w:hAnsi="Arial" w:cs="Arial"/>
          <w:bCs/>
          <w:sz w:val="20"/>
          <w:szCs w:val="20"/>
          <w:lang w:val="es-MX" w:eastAsia="x-none"/>
        </w:rPr>
      </w:pPr>
      <w:r w:rsidRPr="000A70BB">
        <w:rPr>
          <w:rFonts w:ascii="Arial" w:hAnsi="Arial" w:cs="Arial"/>
          <w:bCs/>
          <w:sz w:val="20"/>
          <w:szCs w:val="20"/>
          <w:lang w:val="es-MX" w:eastAsia="x-none"/>
        </w:rPr>
        <w:t xml:space="preserve">El artículo 13 de la Ley 80 de 1993 regula de forma general el régimen aplicable a los contratos que celebren las entidades referidas en el artículo segundo del estatuto, señalando en el inciso primero, como primer criterio, la aplicabilidad de las disposiciones civiles y comerciales nacionales, sin perjuicio de la aplicación prevalente de las contenidas en el Estatuto General de Contratación de la Administración Pública. Sin embargo, en su segundo inciso, respecto a los contratos celebrados en el exterior, permite que su ejecución se realice de conformidad con las normas del país donde se hayan suscrito, salvo que deban cumplirse en Colombia, caso en el que se aplicaría el esquema señalado respecto al inciso primero. Por último, el inciso tercero permite que los contratos que se celebren en Colombia, pero deban ejecutarse o cumplirse en el extranjero, se sometan a la ley extranjera. </w:t>
      </w:r>
    </w:p>
    <w:p w:rsidRPr="000A70BB" w:rsidR="000A70BB" w:rsidP="000A70BB" w:rsidRDefault="000A70BB" w14:paraId="3C5F180F" w14:textId="77777777">
      <w:pPr>
        <w:jc w:val="both"/>
        <w:rPr>
          <w:rFonts w:ascii="Arial" w:hAnsi="Arial" w:cs="Arial"/>
          <w:bCs/>
          <w:sz w:val="20"/>
          <w:szCs w:val="20"/>
          <w:lang w:val="es-MX" w:eastAsia="x-none"/>
        </w:rPr>
      </w:pPr>
    </w:p>
    <w:p w:rsidRPr="009F030F" w:rsidR="009F030F" w:rsidP="009F030F" w:rsidRDefault="009F030F" w14:paraId="5E8BFFE9" w14:textId="2AEB7019">
      <w:pPr>
        <w:tabs>
          <w:tab w:val="left" w:pos="3374"/>
        </w:tabs>
        <w:jc w:val="both"/>
        <w:rPr>
          <w:rFonts w:ascii="Arial" w:hAnsi="Arial" w:eastAsia="Calibri" w:cs="Arial"/>
          <w:b/>
          <w:bCs/>
          <w:sz w:val="22"/>
          <w:szCs w:val="22"/>
          <w:lang w:val="es-MX" w:eastAsia="en-US"/>
        </w:rPr>
      </w:pPr>
      <w:r w:rsidRPr="009F030F">
        <w:rPr>
          <w:rFonts w:ascii="Arial" w:hAnsi="Arial" w:eastAsia="Calibri" w:cs="Arial"/>
          <w:b/>
          <w:bCs/>
          <w:sz w:val="22"/>
          <w:szCs w:val="22"/>
          <w:lang w:eastAsia="en-US"/>
        </w:rPr>
        <w:t>ORGANISMOS INTERNACIONALES –</w:t>
      </w:r>
      <w:r w:rsidR="000807F4">
        <w:rPr>
          <w:rFonts w:ascii="Arial" w:hAnsi="Arial" w:eastAsia="Calibri" w:cs="Arial"/>
          <w:b/>
          <w:bCs/>
          <w:sz w:val="22"/>
          <w:szCs w:val="22"/>
          <w:lang w:eastAsia="en-US"/>
        </w:rPr>
        <w:t xml:space="preserve"> </w:t>
      </w:r>
      <w:r w:rsidRPr="009F030F">
        <w:rPr>
          <w:rFonts w:ascii="Arial" w:hAnsi="Arial" w:eastAsia="Calibri" w:cs="Arial"/>
          <w:b/>
          <w:bCs/>
          <w:sz w:val="22"/>
          <w:szCs w:val="22"/>
          <w:lang w:val="es-MX" w:eastAsia="en-US"/>
        </w:rPr>
        <w:t xml:space="preserve">Ley de Garantías Electorales – Restricción – Contratación Directa – Artículo 33 – Alcance – </w:t>
      </w:r>
      <w:r w:rsidR="00F136CE">
        <w:rPr>
          <w:rFonts w:ascii="Arial" w:hAnsi="Arial" w:eastAsia="Calibri" w:cs="Arial"/>
          <w:b/>
          <w:bCs/>
          <w:sz w:val="22"/>
          <w:szCs w:val="22"/>
          <w:lang w:val="es-MX" w:eastAsia="en-US"/>
        </w:rPr>
        <w:t>Tesis unificada</w:t>
      </w:r>
    </w:p>
    <w:p w:rsidRPr="009F030F" w:rsidR="009F030F" w:rsidP="009F030F" w:rsidRDefault="009F030F" w14:paraId="3BE5690F" w14:textId="77777777">
      <w:pPr>
        <w:tabs>
          <w:tab w:val="left" w:pos="3374"/>
        </w:tabs>
        <w:jc w:val="both"/>
        <w:rPr>
          <w:rFonts w:ascii="Arial" w:hAnsi="Arial" w:eastAsia="Calibri" w:cs="Arial"/>
          <w:b/>
          <w:bCs/>
          <w:sz w:val="22"/>
          <w:szCs w:val="22"/>
          <w:lang w:val="es-MX" w:eastAsia="en-US"/>
        </w:rPr>
      </w:pPr>
    </w:p>
    <w:p w:rsidR="000A70BB" w:rsidP="000A70BB" w:rsidRDefault="00F136CE" w14:paraId="43BBFC1D" w14:textId="41D122A7">
      <w:pPr>
        <w:jc w:val="both"/>
        <w:rPr>
          <w:rFonts w:ascii="Arial" w:hAnsi="Arial" w:cs="Arial"/>
          <w:bCs/>
          <w:sz w:val="20"/>
          <w:szCs w:val="20"/>
          <w:lang w:val="es-ES" w:eastAsia="x-none"/>
        </w:rPr>
      </w:pPr>
      <w:r>
        <w:rPr>
          <w:rFonts w:ascii="Arial" w:hAnsi="Arial" w:cs="Arial"/>
          <w:bCs/>
          <w:sz w:val="20"/>
          <w:szCs w:val="20"/>
          <w:lang w:eastAsia="x-none"/>
        </w:rPr>
        <w:t xml:space="preserve">[…] </w:t>
      </w:r>
      <w:r w:rsidRPr="000A70BB" w:rsidR="000A70BB">
        <w:rPr>
          <w:rFonts w:ascii="Arial" w:hAnsi="Arial" w:cs="Arial"/>
          <w:bCs/>
          <w:sz w:val="20"/>
          <w:szCs w:val="20"/>
          <w:lang w:eastAsia="x-none"/>
        </w:rPr>
        <w:t>d</w:t>
      </w:r>
      <w:proofErr w:type="spellStart"/>
      <w:r w:rsidRPr="000A70BB" w:rsidR="000A70BB">
        <w:rPr>
          <w:rFonts w:ascii="Arial" w:hAnsi="Arial" w:cs="Arial"/>
          <w:bCs/>
          <w:sz w:val="20"/>
          <w:szCs w:val="20"/>
          <w:lang w:val="es-MX" w:eastAsia="x-none"/>
        </w:rPr>
        <w:t>e</w:t>
      </w:r>
      <w:proofErr w:type="spellEnd"/>
      <w:r w:rsidRPr="000A70BB" w:rsidR="000A70BB">
        <w:rPr>
          <w:rFonts w:ascii="Arial" w:hAnsi="Arial" w:cs="Arial"/>
          <w:bCs/>
          <w:sz w:val="20"/>
          <w:szCs w:val="20"/>
          <w:lang w:val="es-MX" w:eastAsia="x-none"/>
        </w:rPr>
        <w:t xml:space="preserve"> acuerdo con el </w:t>
      </w:r>
      <w:r w:rsidRPr="000A70BB" w:rsidR="000A70BB">
        <w:rPr>
          <w:rFonts w:ascii="Arial" w:hAnsi="Arial" w:cs="Arial"/>
          <w:bCs/>
          <w:sz w:val="20"/>
          <w:szCs w:val="20"/>
          <w:lang w:val="es-ES" w:eastAsia="x-none"/>
        </w:rPr>
        <w:t>Concepto CU-180 del 8 de abril de 2022 de esta Agencia, el artículo 20 de la Ley 1150 de 2007 dispone una excepción a la regla general del artículo 13 de la Ley 80 de 1993, según la cual las normas aplicables tanto a la celebración como ejecución del contrato estatal serán las nacionales, siempre y cuando el respectivo acuerdo sea celebrado o ejecutado en el territorio nacional. Por tanto, sobre el artículo 33 de la Ley de Garantías</w:t>
      </w:r>
      <w:r w:rsidRPr="000A70BB" w:rsidR="000A70BB">
        <w:rPr>
          <w:rFonts w:ascii="Arial" w:hAnsi="Arial" w:cs="Arial"/>
          <w:bCs/>
          <w:sz w:val="20"/>
          <w:szCs w:val="20"/>
          <w:lang w:val="es-MX" w:eastAsia="x-none"/>
        </w:rPr>
        <w:t xml:space="preserve">, </w:t>
      </w:r>
      <w:r w:rsidRPr="000A70BB" w:rsidR="000A70BB">
        <w:rPr>
          <w:rFonts w:ascii="Arial" w:hAnsi="Arial" w:cs="Arial"/>
          <w:bCs/>
          <w:sz w:val="20"/>
          <w:szCs w:val="20"/>
          <w:lang w:val="es-ES" w:eastAsia="x-none"/>
        </w:rPr>
        <w:t xml:space="preserve">la Agencia –al retomar la tesis del Concepto C-559 del 31 de agosto de 2021– consideró lo siguiente: «[…] </w:t>
      </w:r>
      <w:r w:rsidRPr="000A70BB" w:rsidR="000A70BB">
        <w:rPr>
          <w:rFonts w:ascii="Arial" w:hAnsi="Arial" w:cs="Arial"/>
          <w:bCs/>
          <w:i/>
          <w:iCs/>
          <w:sz w:val="20"/>
          <w:szCs w:val="20"/>
          <w:lang w:val="es-ES" w:eastAsia="x-none"/>
        </w:rPr>
        <w:t>dado que</w:t>
      </w:r>
      <w:r w:rsidRPr="000A70BB" w:rsidR="000A70BB">
        <w:rPr>
          <w:rFonts w:ascii="Arial" w:hAnsi="Arial" w:cs="Arial"/>
          <w:bCs/>
          <w:sz w:val="20"/>
          <w:szCs w:val="20"/>
          <w:lang w:val="es-ES" w:eastAsia="x-none"/>
        </w:rPr>
        <w:t xml:space="preserve"> […] </w:t>
      </w:r>
      <w:r w:rsidRPr="000A70BB" w:rsidR="000A70BB">
        <w:rPr>
          <w:rFonts w:ascii="Arial" w:hAnsi="Arial" w:cs="Arial"/>
          <w:bCs/>
          <w:i/>
          <w:iCs/>
          <w:sz w:val="20"/>
          <w:szCs w:val="20"/>
          <w:lang w:val="es-ES" w:eastAsia="x-none"/>
        </w:rPr>
        <w:t xml:space="preserve">existen algunos casos en los cuales el legislador habilitó a las entidades públicas para que suscribieran </w:t>
      </w:r>
      <w:r w:rsidRPr="000A70BB" w:rsidR="000A70BB">
        <w:rPr>
          <w:rFonts w:ascii="Arial" w:hAnsi="Arial" w:cs="Arial"/>
          <w:bCs/>
          <w:i/>
          <w:iCs/>
          <w:sz w:val="20"/>
          <w:szCs w:val="20"/>
          <w:lang w:val="es-ES" w:eastAsia="x-none"/>
        </w:rPr>
        <w:lastRenderedPageBreak/>
        <w:t>contratos cuyo régimen es distinto al derecho nacional,</w:t>
      </w:r>
      <w:r w:rsidRPr="000A70BB" w:rsidR="000A70BB">
        <w:rPr>
          <w:rFonts w:ascii="Arial" w:hAnsi="Arial" w:cs="Arial"/>
          <w:bCs/>
          <w:sz w:val="20"/>
          <w:szCs w:val="20"/>
          <w:lang w:val="es-ES" w:eastAsia="x-none"/>
        </w:rPr>
        <w:t xml:space="preserve"> […] </w:t>
      </w:r>
      <w:r w:rsidRPr="000A70BB" w:rsidR="000A70BB">
        <w:rPr>
          <w:rFonts w:ascii="Arial" w:hAnsi="Arial" w:cs="Arial"/>
          <w:bCs/>
          <w:i/>
          <w:iCs/>
          <w:sz w:val="20"/>
          <w:szCs w:val="20"/>
          <w:lang w:val="es-ES" w:eastAsia="x-none"/>
        </w:rPr>
        <w:t>en estos eventos dicha restricción no sería aplicable</w:t>
      </w:r>
      <w:r w:rsidRPr="000A70BB" w:rsidR="000A70BB">
        <w:rPr>
          <w:rFonts w:ascii="Arial" w:hAnsi="Arial" w:cs="Arial"/>
          <w:bCs/>
          <w:sz w:val="20"/>
          <w:szCs w:val="20"/>
          <w:lang w:val="es-ES" w:eastAsia="x-none"/>
        </w:rPr>
        <w:t xml:space="preserve">» (Énfasis fuera de texto). </w:t>
      </w:r>
    </w:p>
    <w:p w:rsidRPr="000A70BB" w:rsidR="000A70BB" w:rsidP="000A70BB" w:rsidRDefault="000A70BB" w14:paraId="0D404AC3" w14:textId="77777777">
      <w:pPr>
        <w:jc w:val="both"/>
        <w:rPr>
          <w:rFonts w:ascii="Arial" w:hAnsi="Arial" w:cs="Arial"/>
          <w:bCs/>
          <w:sz w:val="20"/>
          <w:szCs w:val="20"/>
          <w:lang w:val="es-ES" w:eastAsia="x-none"/>
        </w:rPr>
      </w:pPr>
    </w:p>
    <w:p w:rsidRPr="00F136CE" w:rsidR="001A1CC0" w:rsidP="000807F4" w:rsidRDefault="000A70BB" w14:paraId="242DCE26" w14:textId="24870F9D">
      <w:pPr>
        <w:jc w:val="both"/>
        <w:rPr>
          <w:rFonts w:ascii="Arial" w:hAnsi="Arial" w:cs="Arial"/>
          <w:bCs/>
          <w:sz w:val="20"/>
          <w:szCs w:val="20"/>
          <w:lang w:val="es-ES" w:eastAsia="x-none"/>
        </w:rPr>
      </w:pPr>
      <w:r w:rsidRPr="000A70BB">
        <w:rPr>
          <w:rFonts w:ascii="Arial" w:hAnsi="Arial" w:cs="Arial"/>
          <w:bCs/>
          <w:sz w:val="20"/>
          <w:szCs w:val="20"/>
          <w:lang w:val="es-ES" w:eastAsia="x-none"/>
        </w:rPr>
        <w:t xml:space="preserve">Para efectos de la tesis unificada, el artículo 20 de la Ley 1150 de 2007 implica un régimen exceptuado distinto a los demás, en la medida que el derecho aplicable a estos contratos no es el derecho nacional, sino disposiciones de carácter internacional, normas que se materializan a través de los reglamentos de los organismos de cooperación, asistencia o ayuda. </w:t>
      </w:r>
      <w:r w:rsidR="00F136CE">
        <w:rPr>
          <w:rFonts w:ascii="Arial" w:hAnsi="Arial" w:cs="Arial"/>
          <w:bCs/>
          <w:sz w:val="20"/>
          <w:szCs w:val="20"/>
          <w:lang w:val="es-ES" w:eastAsia="x-none"/>
        </w:rPr>
        <w:t xml:space="preserve">[…] </w:t>
      </w:r>
      <w:r w:rsidRPr="00F136CE" w:rsidR="00F136CE">
        <w:rPr>
          <w:rFonts w:ascii="Arial" w:hAnsi="Arial" w:cs="Arial"/>
          <w:bCs/>
          <w:sz w:val="20"/>
          <w:szCs w:val="20"/>
          <w:lang w:val="es-ES" w:eastAsia="x-none"/>
        </w:rPr>
        <w:t xml:space="preserve">De acuerdo con la fundamentación del concepto citado, lo anterior no implica una violación de las normas nacionales, puesto que la contratación con los sujetos previstos en el artículo 20 de la Ley 1150 de 2007 se encuentra amparada por tratados, convenios o convenciones ratificados por el Estado e incorporados debidamente al ordenamiento jurídico interno. De esta manera, en dicho concepto también estimó que este régimen de excepcionalidad obedece a </w:t>
      </w:r>
      <w:r w:rsidRPr="00F136CE" w:rsidR="00F136CE">
        <w:rPr>
          <w:rFonts w:ascii="Arial" w:hAnsi="Arial" w:cs="Arial"/>
          <w:bCs/>
          <w:sz w:val="20"/>
          <w:szCs w:val="20"/>
          <w:lang w:val="es-ES_tradnl" w:eastAsia="x-none"/>
        </w:rPr>
        <w:t>razones de política económica exterior y de apertura para obtener la colaboración efectiva de los organismos multilaterales de crédito</w:t>
      </w:r>
    </w:p>
    <w:p w:rsidRPr="000807F4" w:rsidR="001A1CC0" w:rsidP="000807F4" w:rsidRDefault="001A1CC0" w14:paraId="1A438321" w14:textId="2B0A3CD7">
      <w:pPr>
        <w:jc w:val="both"/>
        <w:rPr>
          <w:rFonts w:ascii="Arial" w:hAnsi="Arial" w:cs="Arial"/>
          <w:bCs/>
          <w:sz w:val="20"/>
          <w:szCs w:val="20"/>
          <w:lang w:val="es-MX" w:eastAsia="x-none"/>
        </w:rPr>
      </w:pPr>
    </w:p>
    <w:p w:rsidRPr="000807F4" w:rsidR="001A1CC0" w:rsidP="000807F4" w:rsidRDefault="001A1CC0" w14:paraId="42CCD241" w14:textId="46AAF2C3">
      <w:pPr>
        <w:jc w:val="both"/>
        <w:rPr>
          <w:rFonts w:ascii="Arial" w:hAnsi="Arial" w:cs="Arial"/>
          <w:bCs/>
          <w:sz w:val="20"/>
          <w:szCs w:val="20"/>
          <w:lang w:val="es-MX" w:eastAsia="x-none"/>
        </w:rPr>
      </w:pPr>
    </w:p>
    <w:p w:rsidR="001A1CC0" w:rsidP="00524963" w:rsidRDefault="001A1CC0" w14:paraId="272FF2F1" w14:textId="7587C1B1">
      <w:pPr>
        <w:tabs>
          <w:tab w:val="left" w:pos="3374"/>
        </w:tabs>
        <w:jc w:val="both"/>
        <w:rPr>
          <w:rFonts w:ascii="Arial" w:hAnsi="Arial" w:eastAsia="Calibri" w:cs="Arial"/>
          <w:sz w:val="22"/>
          <w:szCs w:val="22"/>
          <w:lang w:val="es-MX" w:eastAsia="en-US"/>
        </w:rPr>
      </w:pPr>
    </w:p>
    <w:p w:rsidR="001A1CC0" w:rsidP="00524963" w:rsidRDefault="001A1CC0" w14:paraId="741EA1B4" w14:textId="562E60B6">
      <w:pPr>
        <w:tabs>
          <w:tab w:val="left" w:pos="3374"/>
        </w:tabs>
        <w:jc w:val="both"/>
        <w:rPr>
          <w:rFonts w:ascii="Arial" w:hAnsi="Arial" w:eastAsia="Calibri" w:cs="Arial"/>
          <w:sz w:val="22"/>
          <w:szCs w:val="22"/>
          <w:lang w:val="es-MX" w:eastAsia="en-US"/>
        </w:rPr>
      </w:pPr>
    </w:p>
    <w:p w:rsidR="001A1CC0" w:rsidP="00524963" w:rsidRDefault="001A1CC0" w14:paraId="4C411CBA" w14:textId="78F7FA03">
      <w:pPr>
        <w:tabs>
          <w:tab w:val="left" w:pos="3374"/>
        </w:tabs>
        <w:jc w:val="both"/>
        <w:rPr>
          <w:rFonts w:ascii="Arial" w:hAnsi="Arial" w:eastAsia="Calibri" w:cs="Arial"/>
          <w:sz w:val="22"/>
          <w:szCs w:val="22"/>
          <w:lang w:val="es-MX" w:eastAsia="en-US"/>
        </w:rPr>
      </w:pPr>
    </w:p>
    <w:p w:rsidR="001A1CC0" w:rsidP="00524963" w:rsidRDefault="001A1CC0" w14:paraId="5C3F3B40" w14:textId="00D0F154">
      <w:pPr>
        <w:tabs>
          <w:tab w:val="left" w:pos="3374"/>
        </w:tabs>
        <w:jc w:val="both"/>
        <w:rPr>
          <w:rFonts w:ascii="Arial" w:hAnsi="Arial" w:eastAsia="Calibri" w:cs="Arial"/>
          <w:sz w:val="22"/>
          <w:szCs w:val="22"/>
          <w:lang w:val="es-MX" w:eastAsia="en-US"/>
        </w:rPr>
      </w:pPr>
    </w:p>
    <w:p w:rsidR="001A1CC0" w:rsidP="00524963" w:rsidRDefault="001A1CC0" w14:paraId="6AC6C648" w14:textId="66B19CC9">
      <w:pPr>
        <w:tabs>
          <w:tab w:val="left" w:pos="3374"/>
        </w:tabs>
        <w:jc w:val="both"/>
        <w:rPr>
          <w:rFonts w:ascii="Arial" w:hAnsi="Arial" w:eastAsia="Calibri" w:cs="Arial"/>
          <w:sz w:val="22"/>
          <w:szCs w:val="22"/>
          <w:lang w:val="es-MX" w:eastAsia="en-US"/>
        </w:rPr>
      </w:pPr>
    </w:p>
    <w:p w:rsidR="001A1CC0" w:rsidP="00524963" w:rsidRDefault="001A1CC0" w14:paraId="46D8AE4D" w14:textId="01A38D4E">
      <w:pPr>
        <w:tabs>
          <w:tab w:val="left" w:pos="3374"/>
        </w:tabs>
        <w:jc w:val="both"/>
        <w:rPr>
          <w:rFonts w:ascii="Arial" w:hAnsi="Arial" w:eastAsia="Calibri" w:cs="Arial"/>
          <w:sz w:val="22"/>
          <w:szCs w:val="22"/>
          <w:lang w:val="es-MX" w:eastAsia="en-US"/>
        </w:rPr>
      </w:pPr>
    </w:p>
    <w:p w:rsidR="001A1CC0" w:rsidP="00524963" w:rsidRDefault="001A1CC0" w14:paraId="7A7087D4" w14:textId="4A17CD72">
      <w:pPr>
        <w:tabs>
          <w:tab w:val="left" w:pos="3374"/>
        </w:tabs>
        <w:jc w:val="both"/>
        <w:rPr>
          <w:rFonts w:ascii="Arial" w:hAnsi="Arial" w:eastAsia="Calibri" w:cs="Arial"/>
          <w:sz w:val="22"/>
          <w:szCs w:val="22"/>
          <w:lang w:val="es-MX" w:eastAsia="en-US"/>
        </w:rPr>
      </w:pPr>
    </w:p>
    <w:p w:rsidR="001A1CC0" w:rsidP="00524963" w:rsidRDefault="001A1CC0" w14:paraId="0E317658" w14:textId="1A95BEF9">
      <w:pPr>
        <w:tabs>
          <w:tab w:val="left" w:pos="3374"/>
        </w:tabs>
        <w:jc w:val="both"/>
        <w:rPr>
          <w:rFonts w:ascii="Arial" w:hAnsi="Arial" w:eastAsia="Calibri" w:cs="Arial"/>
          <w:sz w:val="22"/>
          <w:szCs w:val="22"/>
          <w:lang w:val="es-MX" w:eastAsia="en-US"/>
        </w:rPr>
      </w:pPr>
    </w:p>
    <w:p w:rsidR="001A1CC0" w:rsidP="00524963" w:rsidRDefault="001A1CC0" w14:paraId="7DCC285A" w14:textId="1C34F2FE">
      <w:pPr>
        <w:tabs>
          <w:tab w:val="left" w:pos="3374"/>
        </w:tabs>
        <w:jc w:val="both"/>
        <w:rPr>
          <w:rFonts w:ascii="Arial" w:hAnsi="Arial" w:eastAsia="Calibri" w:cs="Arial"/>
          <w:sz w:val="22"/>
          <w:szCs w:val="22"/>
          <w:lang w:val="es-MX" w:eastAsia="en-US"/>
        </w:rPr>
      </w:pPr>
    </w:p>
    <w:p w:rsidR="001A1CC0" w:rsidP="00524963" w:rsidRDefault="001A1CC0" w14:paraId="365ABC23" w14:textId="51F05797">
      <w:pPr>
        <w:tabs>
          <w:tab w:val="left" w:pos="3374"/>
        </w:tabs>
        <w:jc w:val="both"/>
        <w:rPr>
          <w:rFonts w:ascii="Arial" w:hAnsi="Arial" w:eastAsia="Calibri" w:cs="Arial"/>
          <w:sz w:val="22"/>
          <w:szCs w:val="22"/>
          <w:lang w:val="es-MX" w:eastAsia="en-US"/>
        </w:rPr>
      </w:pPr>
    </w:p>
    <w:p w:rsidR="001A1CC0" w:rsidP="00524963" w:rsidRDefault="001A1CC0" w14:paraId="0C5D23A2" w14:textId="6C2CC747">
      <w:pPr>
        <w:tabs>
          <w:tab w:val="left" w:pos="3374"/>
        </w:tabs>
        <w:jc w:val="both"/>
        <w:rPr>
          <w:rFonts w:ascii="Arial" w:hAnsi="Arial" w:eastAsia="Calibri" w:cs="Arial"/>
          <w:sz w:val="22"/>
          <w:szCs w:val="22"/>
          <w:lang w:val="es-MX" w:eastAsia="en-US"/>
        </w:rPr>
      </w:pPr>
    </w:p>
    <w:p w:rsidR="001A1CC0" w:rsidP="00524963" w:rsidRDefault="001A1CC0" w14:paraId="0CE5EF4C" w14:textId="6C19FDDD">
      <w:pPr>
        <w:tabs>
          <w:tab w:val="left" w:pos="3374"/>
        </w:tabs>
        <w:jc w:val="both"/>
        <w:rPr>
          <w:rFonts w:ascii="Arial" w:hAnsi="Arial" w:eastAsia="Calibri" w:cs="Arial"/>
          <w:sz w:val="22"/>
          <w:szCs w:val="22"/>
          <w:lang w:val="es-MX" w:eastAsia="en-US"/>
        </w:rPr>
      </w:pPr>
    </w:p>
    <w:p w:rsidR="001A1CC0" w:rsidP="00524963" w:rsidRDefault="001A1CC0" w14:paraId="3C2CFD86" w14:textId="2506C96F">
      <w:pPr>
        <w:tabs>
          <w:tab w:val="left" w:pos="3374"/>
        </w:tabs>
        <w:jc w:val="both"/>
        <w:rPr>
          <w:rFonts w:ascii="Arial" w:hAnsi="Arial" w:eastAsia="Calibri" w:cs="Arial"/>
          <w:sz w:val="22"/>
          <w:szCs w:val="22"/>
          <w:lang w:val="es-MX" w:eastAsia="en-US"/>
        </w:rPr>
      </w:pPr>
    </w:p>
    <w:p w:rsidR="001A1CC0" w:rsidP="00524963" w:rsidRDefault="001A1CC0" w14:paraId="106A734E" w14:textId="5ED631DA">
      <w:pPr>
        <w:tabs>
          <w:tab w:val="left" w:pos="3374"/>
        </w:tabs>
        <w:jc w:val="both"/>
        <w:rPr>
          <w:rFonts w:ascii="Arial" w:hAnsi="Arial" w:eastAsia="Calibri" w:cs="Arial"/>
          <w:sz w:val="22"/>
          <w:szCs w:val="22"/>
          <w:lang w:val="es-MX" w:eastAsia="en-US"/>
        </w:rPr>
      </w:pPr>
    </w:p>
    <w:p w:rsidR="001A1CC0" w:rsidP="00524963" w:rsidRDefault="001A1CC0" w14:paraId="5A437314" w14:textId="68A29BE8">
      <w:pPr>
        <w:tabs>
          <w:tab w:val="left" w:pos="3374"/>
        </w:tabs>
        <w:jc w:val="both"/>
        <w:rPr>
          <w:rFonts w:ascii="Arial" w:hAnsi="Arial" w:eastAsia="Calibri" w:cs="Arial"/>
          <w:sz w:val="22"/>
          <w:szCs w:val="22"/>
          <w:lang w:val="es-MX" w:eastAsia="en-US"/>
        </w:rPr>
      </w:pPr>
    </w:p>
    <w:p w:rsidR="001A1CC0" w:rsidP="00524963" w:rsidRDefault="001A1CC0" w14:paraId="414404B9" w14:textId="69760732">
      <w:pPr>
        <w:tabs>
          <w:tab w:val="left" w:pos="3374"/>
        </w:tabs>
        <w:jc w:val="both"/>
        <w:rPr>
          <w:rFonts w:ascii="Arial" w:hAnsi="Arial" w:eastAsia="Calibri" w:cs="Arial"/>
          <w:sz w:val="22"/>
          <w:szCs w:val="22"/>
          <w:lang w:val="es-MX" w:eastAsia="en-US"/>
        </w:rPr>
      </w:pPr>
    </w:p>
    <w:p w:rsidR="001A1CC0" w:rsidP="00524963" w:rsidRDefault="001A1CC0" w14:paraId="6FFEE8C5" w14:textId="2134C514">
      <w:pPr>
        <w:tabs>
          <w:tab w:val="left" w:pos="3374"/>
        </w:tabs>
        <w:jc w:val="both"/>
        <w:rPr>
          <w:rFonts w:ascii="Arial" w:hAnsi="Arial" w:eastAsia="Calibri" w:cs="Arial"/>
          <w:sz w:val="22"/>
          <w:szCs w:val="22"/>
          <w:lang w:val="es-MX" w:eastAsia="en-US"/>
        </w:rPr>
      </w:pPr>
    </w:p>
    <w:p w:rsidR="001A1CC0" w:rsidP="00524963" w:rsidRDefault="001A1CC0" w14:paraId="00795F52" w14:textId="4B4A721A">
      <w:pPr>
        <w:tabs>
          <w:tab w:val="left" w:pos="3374"/>
        </w:tabs>
        <w:jc w:val="both"/>
        <w:rPr>
          <w:rFonts w:ascii="Arial" w:hAnsi="Arial" w:eastAsia="Calibri" w:cs="Arial"/>
          <w:sz w:val="22"/>
          <w:szCs w:val="22"/>
          <w:lang w:val="es-MX" w:eastAsia="en-US"/>
        </w:rPr>
      </w:pPr>
    </w:p>
    <w:p w:rsidR="000807F4" w:rsidP="00524963" w:rsidRDefault="000807F4" w14:paraId="6927745C" w14:textId="77777777">
      <w:pPr>
        <w:tabs>
          <w:tab w:val="left" w:pos="3374"/>
        </w:tabs>
        <w:rPr>
          <w:rFonts w:ascii="Arial" w:hAnsi="Arial" w:eastAsia="Calibri" w:cs="Arial"/>
          <w:sz w:val="22"/>
          <w:szCs w:val="22"/>
          <w:lang w:val="es-MX" w:eastAsia="en-US"/>
        </w:rPr>
      </w:pPr>
    </w:p>
    <w:p w:rsidR="001A1CC0" w:rsidP="00524963" w:rsidRDefault="001A1CC0" w14:paraId="1E4D5F42" w14:textId="29A7CF21">
      <w:pPr>
        <w:tabs>
          <w:tab w:val="left" w:pos="3374"/>
        </w:tabs>
        <w:rPr>
          <w:rFonts w:ascii="Arial" w:hAnsi="Arial" w:eastAsia="Calibri" w:cs="Arial"/>
          <w:sz w:val="22"/>
          <w:szCs w:val="22"/>
          <w:lang w:val="es-MX" w:eastAsia="en-US"/>
        </w:rPr>
      </w:pPr>
    </w:p>
    <w:p w:rsidR="000807F4" w:rsidP="00524963" w:rsidRDefault="000807F4" w14:paraId="25C1F96F" w14:textId="4300F9EB">
      <w:pPr>
        <w:tabs>
          <w:tab w:val="left" w:pos="3374"/>
        </w:tabs>
        <w:rPr>
          <w:rFonts w:ascii="Arial" w:hAnsi="Arial" w:eastAsia="Calibri" w:cs="Arial"/>
          <w:sz w:val="22"/>
          <w:szCs w:val="22"/>
          <w:lang w:val="es-MX" w:eastAsia="en-US"/>
        </w:rPr>
      </w:pPr>
    </w:p>
    <w:p w:rsidR="00F136CE" w:rsidP="00524963" w:rsidRDefault="00F136CE" w14:paraId="17808FE1" w14:textId="3A1C669B">
      <w:pPr>
        <w:tabs>
          <w:tab w:val="left" w:pos="3374"/>
        </w:tabs>
        <w:rPr>
          <w:rFonts w:ascii="Arial" w:hAnsi="Arial" w:eastAsia="Calibri" w:cs="Arial"/>
          <w:sz w:val="22"/>
          <w:szCs w:val="22"/>
          <w:lang w:val="es-MX" w:eastAsia="en-US"/>
        </w:rPr>
      </w:pPr>
    </w:p>
    <w:p w:rsidR="00F136CE" w:rsidP="00524963" w:rsidRDefault="00F136CE" w14:paraId="6E99272A" w14:textId="048074D1">
      <w:pPr>
        <w:tabs>
          <w:tab w:val="left" w:pos="3374"/>
        </w:tabs>
        <w:rPr>
          <w:rFonts w:ascii="Arial" w:hAnsi="Arial" w:eastAsia="Calibri" w:cs="Arial"/>
          <w:sz w:val="22"/>
          <w:szCs w:val="22"/>
          <w:lang w:val="es-MX" w:eastAsia="en-US"/>
        </w:rPr>
      </w:pPr>
    </w:p>
    <w:p w:rsidR="00F136CE" w:rsidP="00524963" w:rsidRDefault="00F136CE" w14:paraId="4F0E2175" w14:textId="6C2673CC">
      <w:pPr>
        <w:tabs>
          <w:tab w:val="left" w:pos="3374"/>
        </w:tabs>
        <w:rPr>
          <w:rFonts w:ascii="Arial" w:hAnsi="Arial" w:eastAsia="Calibri" w:cs="Arial"/>
          <w:sz w:val="22"/>
          <w:szCs w:val="22"/>
          <w:lang w:val="es-MX" w:eastAsia="en-US"/>
        </w:rPr>
      </w:pPr>
    </w:p>
    <w:p w:rsidR="00F136CE" w:rsidP="00524963" w:rsidRDefault="00F136CE" w14:paraId="1A354156" w14:textId="08184D33">
      <w:pPr>
        <w:tabs>
          <w:tab w:val="left" w:pos="3374"/>
        </w:tabs>
        <w:rPr>
          <w:rFonts w:ascii="Arial" w:hAnsi="Arial" w:eastAsia="Calibri" w:cs="Arial"/>
          <w:sz w:val="22"/>
          <w:szCs w:val="22"/>
          <w:lang w:val="es-MX" w:eastAsia="en-US"/>
        </w:rPr>
      </w:pPr>
    </w:p>
    <w:p w:rsidR="00F136CE" w:rsidP="00524963" w:rsidRDefault="00F136CE" w14:paraId="27563F8C" w14:textId="32D0A32B">
      <w:pPr>
        <w:tabs>
          <w:tab w:val="left" w:pos="3374"/>
        </w:tabs>
        <w:rPr>
          <w:rFonts w:ascii="Arial" w:hAnsi="Arial" w:eastAsia="Calibri" w:cs="Arial"/>
          <w:sz w:val="22"/>
          <w:szCs w:val="22"/>
          <w:lang w:val="es-MX" w:eastAsia="en-US"/>
        </w:rPr>
      </w:pPr>
    </w:p>
    <w:p w:rsidR="00F136CE" w:rsidP="00524963" w:rsidRDefault="00F136CE" w14:paraId="09108323" w14:textId="77777777">
      <w:pPr>
        <w:tabs>
          <w:tab w:val="left" w:pos="3374"/>
        </w:tabs>
        <w:rPr>
          <w:rFonts w:ascii="Arial" w:hAnsi="Arial" w:eastAsia="Calibri" w:cs="Arial"/>
          <w:sz w:val="22"/>
          <w:szCs w:val="22"/>
          <w:lang w:val="es-MX" w:eastAsia="en-US"/>
        </w:rPr>
      </w:pPr>
    </w:p>
    <w:p w:rsidRPr="00524963" w:rsidR="0041286F" w:rsidP="00524963" w:rsidRDefault="0041286F" w14:paraId="0ED1AC47" w14:textId="77777777">
      <w:pPr>
        <w:tabs>
          <w:tab w:val="left" w:pos="3374"/>
        </w:tabs>
        <w:rPr>
          <w:rFonts w:ascii="Arial" w:hAnsi="Arial" w:eastAsia="Calibri" w:cs="Arial"/>
          <w:sz w:val="22"/>
          <w:szCs w:val="22"/>
          <w:lang w:val="es-MX" w:eastAsia="en-US"/>
        </w:rPr>
      </w:pPr>
    </w:p>
    <w:p w:rsidR="002F5B6B" w:rsidP="002F5B6B" w:rsidRDefault="002F5B6B" w14:paraId="3489FF31" w14:textId="0665E7C3">
      <w:pPr>
        <w:spacing w:line="276" w:lineRule="auto"/>
        <w:jc w:val="right"/>
        <w:rPr>
          <w:rFonts w:ascii="Arial" w:hAnsi="Arial" w:cs="Arial"/>
          <w:noProof/>
          <w:color w:val="000000" w:themeColor="text1"/>
          <w:sz w:val="22"/>
        </w:rPr>
      </w:pPr>
      <w:r w:rsidRPr="002F5B6B">
        <w:rPr>
          <w:rFonts w:ascii="Arial" w:hAnsi="Arial" w:cs="Arial"/>
          <w:noProof/>
          <w:color w:val="000000" w:themeColor="text1"/>
          <w:sz w:val="22"/>
        </w:rPr>
        <w:lastRenderedPageBreak/>
        <w:drawing>
          <wp:inline distT="0" distB="0" distL="0" distR="0" wp14:anchorId="25AC80EF" wp14:editId="02C18063">
            <wp:extent cx="2676525" cy="819150"/>
            <wp:effectExtent l="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76525" cy="819150"/>
                    </a:xfrm>
                    <a:prstGeom prst="rect">
                      <a:avLst/>
                    </a:prstGeom>
                    <a:noFill/>
                    <a:ln>
                      <a:noFill/>
                    </a:ln>
                  </pic:spPr>
                </pic:pic>
              </a:graphicData>
            </a:graphic>
          </wp:inline>
        </w:drawing>
      </w:r>
    </w:p>
    <w:p w:rsidR="002F5B6B" w:rsidP="002F5B6B" w:rsidRDefault="002F5B6B" w14:paraId="54321FAE" w14:textId="77777777">
      <w:pPr>
        <w:spacing w:line="276" w:lineRule="auto"/>
        <w:jc w:val="both"/>
        <w:rPr>
          <w:rFonts w:ascii="Arial" w:hAnsi="Arial" w:cs="Arial"/>
          <w:noProof/>
          <w:color w:val="000000" w:themeColor="text1"/>
          <w:sz w:val="22"/>
        </w:rPr>
      </w:pPr>
    </w:p>
    <w:p w:rsidR="002F5B6B" w:rsidP="002F5B6B" w:rsidRDefault="002F5B6B" w14:paraId="7CD7B1CE" w14:textId="77777777">
      <w:pPr>
        <w:spacing w:line="276" w:lineRule="auto"/>
        <w:jc w:val="both"/>
        <w:rPr>
          <w:rFonts w:ascii="Arial" w:hAnsi="Arial" w:cs="Arial"/>
          <w:noProof/>
          <w:color w:val="000000" w:themeColor="text1"/>
          <w:sz w:val="22"/>
        </w:rPr>
      </w:pPr>
    </w:p>
    <w:p w:rsidRPr="002F5B6B" w:rsidR="00524963" w:rsidP="002F5B6B" w:rsidRDefault="008810EB" w14:paraId="7CC2EF28" w14:textId="21F6318D">
      <w:pPr>
        <w:spacing w:line="276" w:lineRule="auto"/>
        <w:jc w:val="both"/>
        <w:rPr>
          <w:rFonts w:ascii="Arial" w:hAnsi="Arial" w:cs="Arial"/>
          <w:b/>
          <w:color w:val="000000" w:themeColor="text1"/>
          <w:sz w:val="22"/>
        </w:rPr>
      </w:pPr>
      <w:r w:rsidRPr="008810EB">
        <w:rPr>
          <w:rFonts w:ascii="Arial" w:hAnsi="Arial" w:cs="Arial"/>
          <w:noProof/>
          <w:color w:val="000000" w:themeColor="text1"/>
          <w:sz w:val="22"/>
        </w:rPr>
        <w:t xml:space="preserve">Bogotá D.C., </w:t>
      </w:r>
      <w:r w:rsidR="002F5B6B">
        <w:rPr>
          <w:rFonts w:ascii="Arial" w:hAnsi="Arial" w:cs="Arial"/>
          <w:b/>
          <w:color w:val="000000" w:themeColor="text1"/>
          <w:sz w:val="22"/>
        </w:rPr>
        <w:t>02/05/2022</w:t>
      </w:r>
    </w:p>
    <w:p w:rsidRPr="00524963" w:rsidR="00524963" w:rsidP="00524963" w:rsidRDefault="00524963" w14:paraId="5D5DCB70" w14:textId="77777777">
      <w:pPr>
        <w:rPr>
          <w:rFonts w:ascii="Arial" w:hAnsi="Arial" w:eastAsia="Calibri" w:cs="Arial"/>
          <w:sz w:val="22"/>
          <w:szCs w:val="22"/>
          <w:lang w:eastAsia="en-US"/>
        </w:rPr>
      </w:pPr>
    </w:p>
    <w:p w:rsidRPr="00524963" w:rsidR="00524963" w:rsidP="00524963" w:rsidRDefault="00524963" w14:paraId="725275E7" w14:textId="526CE856">
      <w:pPr>
        <w:jc w:val="both"/>
        <w:rPr>
          <w:rFonts w:ascii="Arial" w:hAnsi="Arial" w:eastAsia="Calibri" w:cs="Arial"/>
          <w:sz w:val="22"/>
          <w:szCs w:val="22"/>
          <w:lang w:eastAsia="en-US"/>
        </w:rPr>
      </w:pPr>
      <w:bookmarkStart w:name="_Hlk96417464" w:id="8"/>
      <w:r w:rsidRPr="00524963">
        <w:rPr>
          <w:rFonts w:ascii="Arial" w:hAnsi="Arial" w:eastAsia="Calibri" w:cs="Arial"/>
          <w:sz w:val="22"/>
          <w:szCs w:val="22"/>
          <w:lang w:eastAsia="en-US"/>
        </w:rPr>
        <w:t>Doctor</w:t>
      </w:r>
    </w:p>
    <w:p w:rsidRPr="00524963" w:rsidR="00524963" w:rsidP="00524963" w:rsidRDefault="00A057E8" w14:paraId="60822689" w14:textId="41348A4A">
      <w:pPr>
        <w:jc w:val="both"/>
        <w:rPr>
          <w:rFonts w:ascii="Arial" w:hAnsi="Arial" w:eastAsia="Calibri" w:cs="Arial"/>
          <w:b/>
          <w:sz w:val="22"/>
          <w:szCs w:val="22"/>
          <w:lang w:eastAsia="en-US"/>
        </w:rPr>
      </w:pPr>
      <w:r>
        <w:rPr>
          <w:rFonts w:ascii="Arial" w:hAnsi="Arial" w:eastAsia="Calibri" w:cs="Arial"/>
          <w:b/>
          <w:sz w:val="22"/>
          <w:szCs w:val="22"/>
          <w:lang w:eastAsia="en-US"/>
        </w:rPr>
        <w:t>Leónidas</w:t>
      </w:r>
      <w:r w:rsidR="008810EB">
        <w:rPr>
          <w:rFonts w:ascii="Arial" w:hAnsi="Arial" w:eastAsia="Calibri" w:cs="Arial"/>
          <w:b/>
          <w:sz w:val="22"/>
          <w:szCs w:val="22"/>
          <w:lang w:eastAsia="en-US"/>
        </w:rPr>
        <w:t xml:space="preserve"> Lara Anaya</w:t>
      </w:r>
    </w:p>
    <w:p w:rsidR="008810EB" w:rsidP="00524963" w:rsidRDefault="008810EB" w14:paraId="01DF287B" w14:textId="39218AF9">
      <w:pPr>
        <w:jc w:val="both"/>
        <w:rPr>
          <w:rFonts w:ascii="Arial" w:hAnsi="Arial" w:eastAsia="Calibri" w:cs="Arial"/>
          <w:bCs/>
          <w:sz w:val="22"/>
          <w:szCs w:val="22"/>
          <w:lang w:eastAsia="en-US"/>
        </w:rPr>
      </w:pPr>
      <w:r>
        <w:rPr>
          <w:rFonts w:ascii="Arial" w:hAnsi="Arial" w:eastAsia="Calibri" w:cs="Arial"/>
          <w:bCs/>
          <w:sz w:val="22"/>
          <w:szCs w:val="22"/>
          <w:lang w:eastAsia="en-US"/>
        </w:rPr>
        <w:t>Secretario General</w:t>
      </w:r>
    </w:p>
    <w:p w:rsidR="008810EB" w:rsidP="00524963" w:rsidRDefault="008810EB" w14:paraId="56DD53CA" w14:textId="1161DE45">
      <w:pPr>
        <w:jc w:val="both"/>
        <w:rPr>
          <w:rFonts w:ascii="Arial" w:hAnsi="Arial" w:eastAsia="Calibri" w:cs="Arial"/>
          <w:bCs/>
          <w:sz w:val="22"/>
          <w:szCs w:val="22"/>
          <w:lang w:eastAsia="en-US"/>
        </w:rPr>
      </w:pPr>
      <w:r>
        <w:rPr>
          <w:rFonts w:ascii="Arial" w:hAnsi="Arial" w:eastAsia="Calibri" w:cs="Arial"/>
          <w:bCs/>
          <w:sz w:val="22"/>
          <w:szCs w:val="22"/>
          <w:lang w:eastAsia="en-US"/>
        </w:rPr>
        <w:t xml:space="preserve">Ministerio de Vivienda, Ciudad y Territorio </w:t>
      </w:r>
    </w:p>
    <w:p w:rsidRPr="00524963" w:rsidR="00524963" w:rsidP="00524963" w:rsidRDefault="00524963" w14:paraId="255A9222" w14:textId="60358FEC">
      <w:pPr>
        <w:jc w:val="both"/>
        <w:rPr>
          <w:rFonts w:ascii="Arial" w:hAnsi="Arial" w:eastAsia="Calibri" w:cs="Arial"/>
          <w:sz w:val="22"/>
          <w:szCs w:val="22"/>
          <w:lang w:eastAsia="en-US"/>
        </w:rPr>
      </w:pPr>
      <w:r w:rsidRPr="00524963">
        <w:rPr>
          <w:rFonts w:ascii="Arial" w:hAnsi="Arial" w:eastAsia="Calibri" w:cs="Arial"/>
          <w:sz w:val="22"/>
          <w:szCs w:val="22"/>
          <w:lang w:eastAsia="en-US"/>
        </w:rPr>
        <w:t xml:space="preserve">Bogotá D.C </w:t>
      </w:r>
    </w:p>
    <w:p w:rsidRPr="00524963" w:rsidR="00524963" w:rsidP="00524963" w:rsidRDefault="00524963" w14:paraId="1EA4E737" w14:textId="77777777">
      <w:pPr>
        <w:jc w:val="both"/>
        <w:rPr>
          <w:rFonts w:ascii="Arial" w:hAnsi="Arial" w:eastAsia="Calibri" w:cs="Arial"/>
          <w:color w:val="FF0000"/>
          <w:sz w:val="22"/>
          <w:szCs w:val="22"/>
          <w:lang w:eastAsia="en-US"/>
        </w:rPr>
      </w:pPr>
    </w:p>
    <w:p w:rsidRPr="00524963" w:rsidR="00524963" w:rsidP="00524963" w:rsidRDefault="00524963" w14:paraId="3746D9AF" w14:textId="77777777">
      <w:pPr>
        <w:jc w:val="both"/>
        <w:rPr>
          <w:rFonts w:ascii="Arial" w:hAnsi="Arial" w:eastAsia="Calibri" w:cs="Arial"/>
          <w:color w:val="FF0000"/>
          <w:sz w:val="22"/>
          <w:szCs w:val="22"/>
          <w:lang w:eastAsia="en-US"/>
        </w:rPr>
      </w:pPr>
    </w:p>
    <w:p w:rsidRPr="00524963" w:rsidR="00524963" w:rsidP="00524963" w:rsidRDefault="00524963" w14:paraId="3419EAF6" w14:textId="2CF0374F">
      <w:pPr>
        <w:jc w:val="both"/>
        <w:rPr>
          <w:rFonts w:ascii="Arial" w:hAnsi="Arial" w:eastAsia="Calibri" w:cs="Arial"/>
          <w:sz w:val="22"/>
          <w:szCs w:val="22"/>
          <w:lang w:eastAsia="en-US"/>
        </w:rPr>
      </w:pPr>
      <w:r w:rsidRPr="00524963">
        <w:rPr>
          <w:rFonts w:ascii="Arial" w:hAnsi="Arial" w:eastAsia="Calibri" w:cs="Arial"/>
          <w:sz w:val="22"/>
          <w:szCs w:val="22"/>
          <w:lang w:eastAsia="en-US"/>
        </w:rPr>
        <w:t xml:space="preserve">                                            </w:t>
      </w:r>
      <w:r w:rsidRPr="00524963">
        <w:rPr>
          <w:rFonts w:ascii="Arial" w:hAnsi="Arial" w:eastAsia="Calibri" w:cs="Arial"/>
          <w:b/>
          <w:sz w:val="22"/>
          <w:szCs w:val="22"/>
          <w:lang w:eastAsia="en-US"/>
        </w:rPr>
        <w:t xml:space="preserve">Concepto C – </w:t>
      </w:r>
      <w:r w:rsidR="008810EB">
        <w:rPr>
          <w:rFonts w:ascii="Arial" w:hAnsi="Arial" w:eastAsia="Calibri" w:cs="Arial"/>
          <w:b/>
          <w:sz w:val="22"/>
          <w:szCs w:val="22"/>
          <w:lang w:eastAsia="en-US"/>
        </w:rPr>
        <w:t>243</w:t>
      </w:r>
      <w:r w:rsidRPr="00524963">
        <w:rPr>
          <w:rFonts w:ascii="Arial" w:hAnsi="Arial" w:eastAsia="Calibri" w:cs="Arial"/>
          <w:b/>
          <w:sz w:val="22"/>
          <w:szCs w:val="22"/>
          <w:lang w:eastAsia="en-US"/>
        </w:rPr>
        <w:t xml:space="preserve"> de 2022</w:t>
      </w:r>
      <w:r w:rsidRPr="00524963">
        <w:rPr>
          <w:rFonts w:ascii="Arial" w:hAnsi="Arial" w:eastAsia="Calibri" w:cs="Arial"/>
          <w:sz w:val="22"/>
          <w:szCs w:val="22"/>
          <w:lang w:eastAsia="en-US"/>
        </w:rPr>
        <w:t xml:space="preserve"> </w:t>
      </w:r>
    </w:p>
    <w:p w:rsidRPr="00524963" w:rsidR="00524963" w:rsidP="00524963" w:rsidRDefault="00524963" w14:paraId="6157B7C8" w14:textId="77777777">
      <w:pPr>
        <w:jc w:val="both"/>
        <w:rPr>
          <w:rFonts w:ascii="Arial" w:hAnsi="Arial" w:eastAsia="Calibri" w:cs="Arial"/>
          <w:b/>
          <w:sz w:val="22"/>
          <w:szCs w:val="22"/>
          <w:lang w:eastAsia="en-US"/>
        </w:rPr>
      </w:pPr>
    </w:p>
    <w:tbl>
      <w:tblPr>
        <w:tblStyle w:val="Tablaconcuadrcula11"/>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524963" w:rsidR="00524963" w:rsidTr="00266B9D" w14:paraId="3B9133A1" w14:textId="77777777">
        <w:trPr>
          <w:trHeight w:val="485"/>
        </w:trPr>
        <w:tc>
          <w:tcPr>
            <w:tcW w:w="2689" w:type="dxa"/>
            <w:hideMark/>
          </w:tcPr>
          <w:p w:rsidRPr="00524963" w:rsidR="00524963" w:rsidP="00524963" w:rsidRDefault="00524963" w14:paraId="7D325A61" w14:textId="77777777">
            <w:pPr>
              <w:contextualSpacing/>
              <w:rPr>
                <w:rFonts w:ascii="Arial" w:hAnsi="Arial" w:eastAsia="Calibri" w:cs="Arial"/>
                <w:noProof/>
                <w:sz w:val="22"/>
                <w:szCs w:val="22"/>
                <w:lang w:val="es-ES_tradnl" w:eastAsia="en-US"/>
              </w:rPr>
            </w:pPr>
            <w:r w:rsidRPr="00524963">
              <w:rPr>
                <w:rFonts w:ascii="Arial" w:hAnsi="Arial" w:eastAsia="Calibri" w:cs="Arial"/>
                <w:b/>
                <w:noProof/>
                <w:sz w:val="22"/>
                <w:szCs w:val="22"/>
                <w:lang w:val="es-ES_tradnl" w:eastAsia="en-US"/>
              </w:rPr>
              <w:t>Temas:</w:t>
            </w:r>
            <w:r w:rsidRPr="00524963">
              <w:rPr>
                <w:rFonts w:ascii="Arial" w:hAnsi="Arial" w:eastAsia="Calibri" w:cs="Arial"/>
                <w:noProof/>
                <w:sz w:val="22"/>
                <w:szCs w:val="22"/>
                <w:lang w:val="es-ES_tradnl" w:eastAsia="en-US"/>
              </w:rPr>
              <w:t xml:space="preserve">        </w:t>
            </w:r>
          </w:p>
        </w:tc>
        <w:tc>
          <w:tcPr>
            <w:tcW w:w="6237" w:type="dxa"/>
            <w:hideMark/>
          </w:tcPr>
          <w:p w:rsidR="0041286F" w:rsidP="001A1CC0" w:rsidRDefault="001A1CC0" w14:paraId="7CB6205F" w14:textId="5AE5F551">
            <w:pPr>
              <w:spacing w:after="120"/>
              <w:contextualSpacing/>
              <w:jc w:val="both"/>
              <w:rPr>
                <w:rFonts w:ascii="Arial" w:hAnsi="Arial" w:cs="Arial"/>
                <w:bCs/>
                <w:sz w:val="22"/>
                <w:lang w:val="es-ES_tradnl" w:eastAsia="es-CO"/>
              </w:rPr>
            </w:pPr>
            <w:r w:rsidRPr="00711612">
              <w:rPr>
                <w:rFonts w:ascii="Arial" w:hAnsi="Arial" w:eastAsia="Calibri" w:cs="Arial"/>
                <w:bCs/>
                <w:color w:val="000000" w:themeColor="text1"/>
                <w:sz w:val="22"/>
                <w:lang w:val="es-ES_tradnl"/>
              </w:rPr>
              <w:t xml:space="preserve">LEY DE GARANTÍAS ELECTORALES – Finalidad / LEY DE GARANTÍAS ELECTORALES ‒ Restricciones ‒ Contratación ‒ Tipos de elección / </w:t>
            </w:r>
            <w:r w:rsidRPr="00711612">
              <w:rPr>
                <w:rFonts w:ascii="Arial" w:hAnsi="Arial" w:eastAsia="Calibri" w:cs="Arial"/>
                <w:bCs/>
                <w:sz w:val="22"/>
                <w:lang w:val="es-ES_tradnl"/>
              </w:rPr>
              <w:t xml:space="preserve">LEY DE GARANTÍAS ELECTORALES ─ Prohibición artículo 33 ‒ Contratación directa ‒ Alcance / </w:t>
            </w:r>
            <w:r w:rsidRPr="00711612">
              <w:rPr>
                <w:rFonts w:ascii="Arial" w:hAnsi="Arial" w:cs="Arial"/>
                <w:bCs/>
                <w:sz w:val="22"/>
                <w:lang w:val="es-ES_tradnl" w:eastAsia="es-CO"/>
              </w:rPr>
              <w:t>LEY DE GARANTÍAS ELECTORALES ‒ Excepciones</w:t>
            </w:r>
            <w:r w:rsidRPr="00711612">
              <w:rPr>
                <w:rFonts w:ascii="Arial" w:hAnsi="Arial" w:cs="Arial"/>
                <w:sz w:val="22"/>
                <w:lang w:val="es-ES_tradnl" w:eastAsia="es-CO"/>
              </w:rPr>
              <w:t xml:space="preserve"> / </w:t>
            </w:r>
            <w:r w:rsidRPr="00711612">
              <w:rPr>
                <w:rFonts w:ascii="Arial" w:hAnsi="Arial" w:cs="Arial"/>
                <w:bCs/>
                <w:sz w:val="22"/>
                <w:lang w:val="es-ES_tradnl" w:eastAsia="es-CO"/>
              </w:rPr>
              <w:t xml:space="preserve">LEY DE GARANTÍAS ELECTORALES ‒ </w:t>
            </w:r>
            <w:r w:rsidRPr="00711612">
              <w:rPr>
                <w:rFonts w:ascii="Arial" w:hAnsi="Arial" w:cs="Arial"/>
                <w:sz w:val="22"/>
                <w:lang w:val="es-ES_tradnl" w:eastAsia="es-CO"/>
              </w:rPr>
              <w:t xml:space="preserve">Prohibición del artículo 33 </w:t>
            </w:r>
            <w:r w:rsidRPr="00711612">
              <w:rPr>
                <w:rFonts w:ascii="Arial" w:hAnsi="Arial" w:cs="Arial"/>
                <w:bCs/>
                <w:sz w:val="22"/>
                <w:lang w:val="es-ES_tradnl" w:eastAsia="es-CO"/>
              </w:rPr>
              <w:t xml:space="preserve">‒ Destinatarios / </w:t>
            </w:r>
            <w:r w:rsidRPr="00593C7A" w:rsidR="000807F4">
              <w:rPr>
                <w:rFonts w:ascii="Arial" w:hAnsi="Arial" w:cs="Arial"/>
                <w:bCs/>
                <w:sz w:val="22"/>
                <w:lang w:val="es-ES_tradnl" w:eastAsia="es-CO"/>
              </w:rPr>
              <w:t xml:space="preserve">ORGANISMOS INTERNACIONALES – </w:t>
            </w:r>
            <w:r w:rsidR="000807F4">
              <w:rPr>
                <w:rFonts w:ascii="Arial" w:hAnsi="Arial" w:cs="Arial"/>
                <w:bCs/>
                <w:sz w:val="22"/>
                <w:lang w:val="es-ES_tradnl" w:eastAsia="es-CO"/>
              </w:rPr>
              <w:t>Régimen de contratación</w:t>
            </w:r>
            <w:r w:rsidRPr="00593C7A" w:rsidR="000807F4">
              <w:rPr>
                <w:rFonts w:ascii="Arial" w:hAnsi="Arial" w:cs="Arial"/>
                <w:bCs/>
                <w:sz w:val="22"/>
                <w:lang w:val="es-ES_tradnl" w:eastAsia="es-CO"/>
              </w:rPr>
              <w:t xml:space="preserve"> </w:t>
            </w:r>
            <w:r w:rsidRPr="00711612" w:rsidR="000807F4">
              <w:rPr>
                <w:rFonts w:ascii="Arial" w:hAnsi="Arial" w:cs="Arial"/>
                <w:bCs/>
                <w:sz w:val="22"/>
                <w:lang w:val="es-ES_tradnl" w:eastAsia="es-CO"/>
              </w:rPr>
              <w:t>/</w:t>
            </w:r>
            <w:r w:rsidR="000807F4">
              <w:rPr>
                <w:rFonts w:ascii="Arial" w:hAnsi="Arial" w:cs="Arial"/>
                <w:bCs/>
                <w:sz w:val="22"/>
                <w:lang w:val="es-ES_tradnl" w:eastAsia="es-CO"/>
              </w:rPr>
              <w:t xml:space="preserve"> </w:t>
            </w:r>
            <w:r w:rsidRPr="00593C7A">
              <w:rPr>
                <w:rFonts w:ascii="Arial" w:hAnsi="Arial" w:cs="Arial"/>
                <w:bCs/>
                <w:sz w:val="22"/>
                <w:lang w:val="es-ES_tradnl" w:eastAsia="es-CO"/>
              </w:rPr>
              <w:t>ORGANISMOS INTERNACIONALES – Ley de garantías electorales – Restricción – Contratación Directa – Artículo 33 – Alcance</w:t>
            </w:r>
            <w:r w:rsidR="00D260C6">
              <w:rPr>
                <w:rFonts w:ascii="Arial" w:hAnsi="Arial" w:cs="Arial"/>
                <w:bCs/>
                <w:sz w:val="22"/>
                <w:lang w:val="es-ES_tradnl" w:eastAsia="es-CO"/>
              </w:rPr>
              <w:t xml:space="preserve"> </w:t>
            </w:r>
            <w:r w:rsidRPr="00593C7A" w:rsidR="00D260C6">
              <w:rPr>
                <w:rFonts w:ascii="Arial" w:hAnsi="Arial" w:cs="Arial"/>
                <w:bCs/>
                <w:sz w:val="22"/>
                <w:lang w:val="es-ES_tradnl" w:eastAsia="es-CO"/>
              </w:rPr>
              <w:t>–</w:t>
            </w:r>
            <w:r w:rsidR="00D260C6">
              <w:rPr>
                <w:rFonts w:ascii="Arial" w:hAnsi="Arial" w:cs="Arial"/>
                <w:bCs/>
                <w:sz w:val="22"/>
                <w:lang w:val="es-ES_tradnl" w:eastAsia="es-CO"/>
              </w:rPr>
              <w:t xml:space="preserve"> </w:t>
            </w:r>
            <w:r w:rsidR="00F136CE">
              <w:rPr>
                <w:rFonts w:ascii="Arial" w:hAnsi="Arial" w:cs="Arial"/>
                <w:bCs/>
                <w:sz w:val="22"/>
                <w:lang w:val="es-ES_tradnl" w:eastAsia="es-CO"/>
              </w:rPr>
              <w:t>Tesis unificada</w:t>
            </w:r>
          </w:p>
          <w:p w:rsidRPr="00272414" w:rsidR="001A1CC0" w:rsidP="00272414" w:rsidRDefault="001A1CC0" w14:paraId="616ABA7B" w14:textId="77777777">
            <w:pPr>
              <w:spacing w:after="120"/>
              <w:contextualSpacing/>
              <w:jc w:val="both"/>
              <w:rPr>
                <w:rFonts w:ascii="Arial" w:hAnsi="Arial" w:eastAsia="Calibri" w:cs="Arial"/>
                <w:b/>
                <w:sz w:val="12"/>
                <w:szCs w:val="12"/>
                <w:lang w:val="es-MX" w:eastAsia="es-MX"/>
              </w:rPr>
            </w:pPr>
          </w:p>
          <w:p w:rsidRPr="00524963" w:rsidR="00524963" w:rsidP="00524963" w:rsidRDefault="00524963" w14:paraId="1FAC99B3" w14:textId="77777777">
            <w:pPr>
              <w:spacing w:after="120"/>
              <w:rPr>
                <w:rFonts w:ascii="Arial" w:hAnsi="Arial" w:eastAsia="Calibri" w:cs="Arial"/>
                <w:bCs/>
                <w:sz w:val="22"/>
                <w:szCs w:val="22"/>
                <w:lang w:val="es-MX" w:eastAsia="en-US"/>
              </w:rPr>
            </w:pPr>
          </w:p>
        </w:tc>
      </w:tr>
      <w:tr w:rsidRPr="00524963" w:rsidR="00524963" w:rsidTr="00272414" w14:paraId="3ACF6E69" w14:textId="77777777">
        <w:trPr>
          <w:trHeight w:val="437"/>
        </w:trPr>
        <w:tc>
          <w:tcPr>
            <w:tcW w:w="2689" w:type="dxa"/>
          </w:tcPr>
          <w:p w:rsidRPr="00524963" w:rsidR="00524963" w:rsidP="00524963" w:rsidRDefault="00524963" w14:paraId="4C768BE4" w14:textId="77777777">
            <w:pPr>
              <w:contextualSpacing/>
              <w:rPr>
                <w:rFonts w:ascii="Arial" w:hAnsi="Arial" w:eastAsia="Calibri" w:cs="Arial"/>
                <w:b/>
                <w:noProof/>
                <w:sz w:val="22"/>
                <w:szCs w:val="22"/>
                <w:lang w:val="es-ES_tradnl" w:eastAsia="en-US"/>
              </w:rPr>
            </w:pPr>
            <w:r w:rsidRPr="00524963">
              <w:rPr>
                <w:rFonts w:ascii="Arial" w:hAnsi="Arial" w:eastAsia="Calibri" w:cs="Arial"/>
                <w:b/>
                <w:noProof/>
                <w:sz w:val="22"/>
                <w:szCs w:val="22"/>
                <w:lang w:val="es-ES_tradnl" w:eastAsia="en-US"/>
              </w:rPr>
              <w:t>Radicación:</w:t>
            </w:r>
            <w:r w:rsidRPr="00524963">
              <w:rPr>
                <w:rFonts w:ascii="Arial" w:hAnsi="Arial" w:eastAsia="Calibri" w:cs="Arial"/>
                <w:noProof/>
                <w:sz w:val="22"/>
                <w:szCs w:val="22"/>
                <w:lang w:val="es-ES_tradnl" w:eastAsia="en-US"/>
              </w:rPr>
              <w:t xml:space="preserve">                              </w:t>
            </w:r>
          </w:p>
        </w:tc>
        <w:tc>
          <w:tcPr>
            <w:tcW w:w="6237" w:type="dxa"/>
          </w:tcPr>
          <w:p w:rsidRPr="00524963" w:rsidR="00524963" w:rsidP="00272414" w:rsidRDefault="00524963" w14:paraId="7AE192F3" w14:textId="4C7FFFC9">
            <w:pPr>
              <w:jc w:val="both"/>
              <w:rPr>
                <w:rFonts w:ascii="Arial" w:hAnsi="Arial" w:eastAsia="Calibri" w:cs="Arial"/>
                <w:noProof/>
                <w:sz w:val="22"/>
                <w:szCs w:val="22"/>
                <w:lang w:val="es-ES_tradnl" w:eastAsia="en-US"/>
              </w:rPr>
            </w:pPr>
            <w:r w:rsidRPr="00524963">
              <w:rPr>
                <w:rFonts w:ascii="Arial" w:hAnsi="Arial" w:eastAsia="Calibri" w:cs="Arial"/>
                <w:noProof/>
                <w:sz w:val="22"/>
                <w:szCs w:val="22"/>
                <w:lang w:val="es-ES_tradnl" w:eastAsia="en-US"/>
              </w:rPr>
              <w:t xml:space="preserve">Respuesta a </w:t>
            </w:r>
            <w:r w:rsidR="00A057E8">
              <w:rPr>
                <w:rFonts w:ascii="Arial" w:hAnsi="Arial" w:eastAsia="Calibri" w:cs="Arial"/>
                <w:noProof/>
                <w:sz w:val="22"/>
                <w:szCs w:val="22"/>
                <w:lang w:val="es-ES_tradnl" w:eastAsia="en-US"/>
              </w:rPr>
              <w:t xml:space="preserve">las </w:t>
            </w:r>
            <w:r w:rsidRPr="00524963">
              <w:rPr>
                <w:rFonts w:ascii="Arial" w:hAnsi="Arial" w:eastAsia="Calibri" w:cs="Arial"/>
                <w:noProof/>
                <w:sz w:val="22"/>
                <w:szCs w:val="22"/>
                <w:lang w:val="es-ES_tradnl" w:eastAsia="en-US"/>
              </w:rPr>
              <w:t>consulta</w:t>
            </w:r>
            <w:r w:rsidR="008810EB">
              <w:rPr>
                <w:rFonts w:ascii="Arial" w:hAnsi="Arial" w:eastAsia="Calibri" w:cs="Arial"/>
                <w:noProof/>
                <w:sz w:val="22"/>
                <w:szCs w:val="22"/>
                <w:lang w:val="es-ES_tradnl" w:eastAsia="en-US"/>
              </w:rPr>
              <w:t>s</w:t>
            </w:r>
            <w:r w:rsidR="007E213A">
              <w:rPr>
                <w:rFonts w:ascii="Arial" w:hAnsi="Arial" w:eastAsia="Calibri" w:cs="Arial"/>
                <w:noProof/>
                <w:sz w:val="22"/>
                <w:szCs w:val="22"/>
                <w:lang w:val="es-ES_tradnl" w:eastAsia="en-US"/>
              </w:rPr>
              <w:t xml:space="preserve"> </w:t>
            </w:r>
            <w:r w:rsidRPr="007E213A" w:rsidR="008810EB">
              <w:rPr>
                <w:rFonts w:ascii="Arial" w:hAnsi="Arial" w:eastAsia="Calibri" w:cs="Arial"/>
                <w:noProof/>
                <w:sz w:val="22"/>
                <w:szCs w:val="22"/>
                <w:lang w:eastAsia="en-US"/>
              </w:rPr>
              <w:t>P20220316002631 y</w:t>
            </w:r>
            <w:r w:rsidR="008810EB">
              <w:rPr>
                <w:rFonts w:ascii="Arial" w:hAnsi="Arial" w:eastAsia="Calibri" w:cs="Arial"/>
                <w:b/>
                <w:bCs/>
                <w:noProof/>
                <w:sz w:val="22"/>
                <w:szCs w:val="22"/>
                <w:lang w:eastAsia="en-US"/>
              </w:rPr>
              <w:t xml:space="preserve"> </w:t>
            </w:r>
            <w:r w:rsidRPr="007E213A" w:rsidR="007E213A">
              <w:rPr>
                <w:rFonts w:ascii="Arial" w:hAnsi="Arial" w:eastAsia="Calibri" w:cs="Arial"/>
                <w:noProof/>
                <w:sz w:val="22"/>
                <w:szCs w:val="22"/>
                <w:lang w:eastAsia="en-US"/>
              </w:rPr>
              <w:t>P20220317002688</w:t>
            </w:r>
            <w:r w:rsidR="00A057E8">
              <w:rPr>
                <w:rFonts w:ascii="Arial" w:hAnsi="Arial" w:eastAsia="Calibri" w:cs="Arial"/>
                <w:noProof/>
                <w:sz w:val="22"/>
                <w:szCs w:val="22"/>
                <w:lang w:eastAsia="en-US"/>
              </w:rPr>
              <w:t xml:space="preserve"> </w:t>
            </w:r>
            <w:r w:rsidR="0040152A">
              <w:rPr>
                <w:rFonts w:ascii="Arial" w:hAnsi="Arial" w:eastAsia="Calibri" w:cs="Arial"/>
                <w:sz w:val="22"/>
                <w:szCs w:val="22"/>
                <w:lang w:eastAsia="en-US"/>
              </w:rPr>
              <w:t>–</w:t>
            </w:r>
            <w:r w:rsidRPr="00A057E8" w:rsidR="00A057E8">
              <w:rPr>
                <w:rFonts w:ascii="Arial" w:hAnsi="Arial" w:eastAsia="Calibri" w:cs="Arial"/>
                <w:sz w:val="22"/>
              </w:rPr>
              <w:t>Acumuladas</w:t>
            </w:r>
            <w:r w:rsidR="0040152A">
              <w:rPr>
                <w:rFonts w:ascii="Arial" w:hAnsi="Arial" w:eastAsia="Calibri" w:cs="Arial"/>
                <w:noProof/>
                <w:sz w:val="22"/>
                <w:szCs w:val="22"/>
                <w:lang w:val="es-ES_tradnl" w:eastAsia="en-US"/>
              </w:rPr>
              <w:t>–</w:t>
            </w:r>
          </w:p>
        </w:tc>
      </w:tr>
    </w:tbl>
    <w:p w:rsidR="00524963" w:rsidP="00524963" w:rsidRDefault="00524963" w14:paraId="16390F0C" w14:textId="37125357">
      <w:pPr>
        <w:jc w:val="both"/>
        <w:rPr>
          <w:rFonts w:ascii="Arial" w:hAnsi="Arial" w:eastAsia="Calibri" w:cs="Arial"/>
          <w:sz w:val="22"/>
          <w:szCs w:val="22"/>
          <w:lang w:eastAsia="en-US"/>
        </w:rPr>
      </w:pPr>
    </w:p>
    <w:p w:rsidRPr="00524963" w:rsidR="0041286F" w:rsidP="00524963" w:rsidRDefault="0041286F" w14:paraId="55141216" w14:textId="77777777">
      <w:pPr>
        <w:jc w:val="both"/>
        <w:rPr>
          <w:rFonts w:ascii="Arial" w:hAnsi="Arial" w:eastAsia="Calibri" w:cs="Arial"/>
          <w:sz w:val="22"/>
          <w:szCs w:val="22"/>
          <w:lang w:eastAsia="en-US"/>
        </w:rPr>
      </w:pPr>
    </w:p>
    <w:p w:rsidRPr="00524963" w:rsidR="00524963" w:rsidP="00524963" w:rsidRDefault="00524963" w14:paraId="26030D5D" w14:textId="3F8B9AAE">
      <w:pPr>
        <w:spacing w:line="276" w:lineRule="auto"/>
        <w:jc w:val="both"/>
        <w:rPr>
          <w:rFonts w:ascii="Arial" w:hAnsi="Arial" w:eastAsia="Calibri" w:cs="Arial"/>
          <w:sz w:val="22"/>
          <w:szCs w:val="22"/>
          <w:lang w:eastAsia="en-US"/>
        </w:rPr>
      </w:pPr>
      <w:r w:rsidRPr="00524963">
        <w:rPr>
          <w:rFonts w:ascii="Arial" w:hAnsi="Arial" w:eastAsia="Calibri" w:cs="Arial"/>
          <w:sz w:val="22"/>
          <w:szCs w:val="22"/>
          <w:lang w:eastAsia="en-US"/>
        </w:rPr>
        <w:t>Estimad</w:t>
      </w:r>
      <w:r w:rsidR="007E213A">
        <w:rPr>
          <w:rFonts w:ascii="Arial" w:hAnsi="Arial" w:eastAsia="Calibri" w:cs="Arial"/>
          <w:sz w:val="22"/>
          <w:szCs w:val="22"/>
          <w:lang w:eastAsia="en-US"/>
        </w:rPr>
        <w:t>o</w:t>
      </w:r>
      <w:r w:rsidRPr="00524963">
        <w:rPr>
          <w:rFonts w:ascii="Arial" w:hAnsi="Arial" w:eastAsia="Calibri" w:cs="Arial"/>
          <w:sz w:val="22"/>
          <w:szCs w:val="22"/>
          <w:lang w:eastAsia="en-US"/>
        </w:rPr>
        <w:t xml:space="preserve"> </w:t>
      </w:r>
      <w:r w:rsidR="00D260C6">
        <w:rPr>
          <w:rFonts w:ascii="Arial" w:hAnsi="Arial" w:eastAsia="Calibri" w:cs="Arial"/>
          <w:sz w:val="22"/>
          <w:szCs w:val="22"/>
          <w:lang w:eastAsia="en-US"/>
        </w:rPr>
        <w:t>D</w:t>
      </w:r>
      <w:r w:rsidRPr="00524963">
        <w:rPr>
          <w:rFonts w:ascii="Arial" w:hAnsi="Arial" w:eastAsia="Calibri" w:cs="Arial"/>
          <w:sz w:val="22"/>
          <w:szCs w:val="22"/>
          <w:lang w:eastAsia="en-US"/>
        </w:rPr>
        <w:t xml:space="preserve">octor </w:t>
      </w:r>
      <w:r w:rsidR="007E213A">
        <w:rPr>
          <w:rFonts w:ascii="Arial" w:hAnsi="Arial" w:eastAsia="Calibri" w:cs="Arial"/>
          <w:sz w:val="22"/>
          <w:szCs w:val="22"/>
          <w:lang w:eastAsia="en-US"/>
        </w:rPr>
        <w:t>Lara</w:t>
      </w:r>
      <w:r w:rsidRPr="00524963">
        <w:rPr>
          <w:rFonts w:ascii="Arial" w:hAnsi="Arial" w:eastAsia="Calibri" w:cs="Arial"/>
          <w:sz w:val="22"/>
          <w:szCs w:val="22"/>
          <w:lang w:eastAsia="en-US"/>
        </w:rPr>
        <w:t>:</w:t>
      </w:r>
    </w:p>
    <w:p w:rsidRPr="00524963" w:rsidR="00524963" w:rsidP="00524963" w:rsidRDefault="00524963" w14:paraId="5E245FA2" w14:textId="77777777">
      <w:pPr>
        <w:spacing w:line="276" w:lineRule="auto"/>
        <w:ind w:firstLine="709"/>
        <w:jc w:val="both"/>
        <w:rPr>
          <w:rFonts w:ascii="Arial" w:hAnsi="Arial" w:eastAsia="Calibri" w:cs="Arial"/>
          <w:sz w:val="22"/>
          <w:szCs w:val="22"/>
          <w:lang w:eastAsia="en-US"/>
        </w:rPr>
      </w:pPr>
    </w:p>
    <w:p w:rsidRPr="00524963" w:rsidR="00524963" w:rsidP="00524963" w:rsidRDefault="00524963" w14:paraId="3475A231" w14:textId="787561A4">
      <w:pPr>
        <w:spacing w:line="276" w:lineRule="auto"/>
        <w:ind w:right="51"/>
        <w:jc w:val="both"/>
        <w:rPr>
          <w:rFonts w:ascii="Arial" w:hAnsi="Arial" w:eastAsia="Calibri" w:cs="Arial"/>
          <w:sz w:val="22"/>
          <w:szCs w:val="22"/>
          <w:lang w:eastAsia="en-US"/>
        </w:rPr>
      </w:pPr>
      <w:r w:rsidRPr="00524963">
        <w:rPr>
          <w:rFonts w:ascii="Arial" w:hAnsi="Arial" w:eastAsia="Calibri" w:cs="Arial"/>
          <w:sz w:val="22"/>
          <w:szCs w:val="22"/>
          <w:lang w:eastAsia="en-US"/>
        </w:rPr>
        <w:t>En ejercicio de la competencia otorgada por el numeral 8 del artículo 11 y el numeral 5 del artículo 3 del Decreto Ley 4170 de 2011, la Agencia Nacional de Contratación Pública – Colombia Compra Eficiente responde la</w:t>
      </w:r>
      <w:r w:rsidR="00A057E8">
        <w:rPr>
          <w:rFonts w:ascii="Arial" w:hAnsi="Arial" w:eastAsia="Calibri" w:cs="Arial"/>
          <w:sz w:val="22"/>
          <w:szCs w:val="22"/>
          <w:lang w:eastAsia="en-US"/>
        </w:rPr>
        <w:t>s</w:t>
      </w:r>
      <w:r w:rsidRPr="00524963">
        <w:rPr>
          <w:rFonts w:ascii="Arial" w:hAnsi="Arial" w:eastAsia="Calibri" w:cs="Arial"/>
          <w:sz w:val="22"/>
          <w:szCs w:val="22"/>
          <w:lang w:eastAsia="en-US"/>
        </w:rPr>
        <w:t xml:space="preserve"> consulta</w:t>
      </w:r>
      <w:r w:rsidR="007E213A">
        <w:rPr>
          <w:rFonts w:ascii="Arial" w:hAnsi="Arial" w:eastAsia="Calibri" w:cs="Arial"/>
          <w:sz w:val="22"/>
          <w:szCs w:val="22"/>
          <w:lang w:eastAsia="en-US"/>
        </w:rPr>
        <w:t>s</w:t>
      </w:r>
      <w:r w:rsidR="00B52A3C">
        <w:rPr>
          <w:rFonts w:ascii="Arial" w:hAnsi="Arial" w:eastAsia="Calibri" w:cs="Arial"/>
          <w:sz w:val="22"/>
          <w:szCs w:val="22"/>
          <w:lang w:eastAsia="en-US"/>
        </w:rPr>
        <w:t xml:space="preserve"> </w:t>
      </w:r>
      <w:r w:rsidR="00A057E8">
        <w:rPr>
          <w:rFonts w:ascii="Arial" w:hAnsi="Arial" w:eastAsia="Calibri" w:cs="Arial"/>
          <w:sz w:val="22"/>
          <w:szCs w:val="22"/>
          <w:lang w:eastAsia="en-US"/>
        </w:rPr>
        <w:t xml:space="preserve">radicadas </w:t>
      </w:r>
      <w:r w:rsidRPr="00524963">
        <w:rPr>
          <w:rFonts w:ascii="Arial" w:hAnsi="Arial" w:eastAsia="Calibri" w:cs="Arial"/>
          <w:sz w:val="22"/>
          <w:szCs w:val="22"/>
          <w:lang w:eastAsia="en-US"/>
        </w:rPr>
        <w:t xml:space="preserve">el </w:t>
      </w:r>
      <w:r w:rsidR="007E213A">
        <w:rPr>
          <w:rFonts w:ascii="Arial" w:hAnsi="Arial" w:eastAsia="Calibri" w:cs="Arial"/>
          <w:sz w:val="22"/>
          <w:szCs w:val="22"/>
          <w:lang w:eastAsia="en-US"/>
        </w:rPr>
        <w:t xml:space="preserve">16 y 17 </w:t>
      </w:r>
      <w:r w:rsidRPr="00524963">
        <w:rPr>
          <w:rFonts w:ascii="Arial" w:hAnsi="Arial" w:eastAsia="Calibri" w:cs="Arial"/>
          <w:sz w:val="22"/>
          <w:szCs w:val="22"/>
          <w:lang w:eastAsia="en-US"/>
        </w:rPr>
        <w:t xml:space="preserve">de </w:t>
      </w:r>
      <w:r w:rsidR="007E213A">
        <w:rPr>
          <w:rFonts w:ascii="Arial" w:hAnsi="Arial" w:eastAsia="Calibri" w:cs="Arial"/>
          <w:sz w:val="22"/>
          <w:szCs w:val="22"/>
          <w:lang w:eastAsia="en-US"/>
        </w:rPr>
        <w:t>marzo</w:t>
      </w:r>
      <w:r w:rsidRPr="00524963">
        <w:rPr>
          <w:rFonts w:ascii="Arial" w:hAnsi="Arial" w:eastAsia="Calibri" w:cs="Arial"/>
          <w:sz w:val="22"/>
          <w:szCs w:val="22"/>
          <w:lang w:eastAsia="en-US"/>
        </w:rPr>
        <w:t xml:space="preserve"> de 202</w:t>
      </w:r>
      <w:r w:rsidR="007E213A">
        <w:rPr>
          <w:rFonts w:ascii="Arial" w:hAnsi="Arial" w:eastAsia="Calibri" w:cs="Arial"/>
          <w:sz w:val="22"/>
          <w:szCs w:val="22"/>
          <w:lang w:eastAsia="en-US"/>
        </w:rPr>
        <w:t>2</w:t>
      </w:r>
      <w:r w:rsidR="00A057E8">
        <w:rPr>
          <w:rFonts w:ascii="Arial" w:hAnsi="Arial" w:eastAsia="Calibri" w:cs="Arial"/>
          <w:sz w:val="22"/>
          <w:szCs w:val="22"/>
          <w:lang w:eastAsia="en-US"/>
        </w:rPr>
        <w:t>, respectivamente.</w:t>
      </w:r>
      <w:r w:rsidRPr="00524963">
        <w:rPr>
          <w:rFonts w:ascii="Arial" w:hAnsi="Arial" w:eastAsia="Calibri" w:cs="Arial"/>
          <w:sz w:val="22"/>
          <w:szCs w:val="22"/>
          <w:lang w:eastAsia="en-US"/>
        </w:rPr>
        <w:t xml:space="preserve"> </w:t>
      </w:r>
    </w:p>
    <w:p w:rsidRPr="00524963" w:rsidR="00524963" w:rsidP="00524963" w:rsidRDefault="00524963" w14:paraId="1FDC1190" w14:textId="77777777">
      <w:pPr>
        <w:spacing w:line="276" w:lineRule="auto"/>
        <w:jc w:val="both"/>
        <w:rPr>
          <w:rFonts w:ascii="Arial" w:hAnsi="Arial" w:eastAsia="Calibri" w:cs="Arial"/>
          <w:sz w:val="22"/>
          <w:szCs w:val="22"/>
          <w:lang w:eastAsia="en-US"/>
        </w:rPr>
      </w:pPr>
    </w:p>
    <w:p w:rsidRPr="00524963" w:rsidR="00524963" w:rsidP="00524963" w:rsidRDefault="00524963" w14:paraId="589A7A08" w14:textId="77777777">
      <w:pPr>
        <w:tabs>
          <w:tab w:val="left" w:pos="284"/>
        </w:tabs>
        <w:spacing w:line="276" w:lineRule="auto"/>
        <w:jc w:val="both"/>
        <w:rPr>
          <w:rFonts w:ascii="Arial" w:hAnsi="Arial" w:eastAsia="Calibri" w:cs="Arial"/>
          <w:b/>
          <w:sz w:val="22"/>
          <w:szCs w:val="22"/>
          <w:lang w:eastAsia="en-US"/>
        </w:rPr>
      </w:pPr>
      <w:r w:rsidRPr="00524963">
        <w:rPr>
          <w:rFonts w:ascii="Arial" w:hAnsi="Arial" w:eastAsia="Calibri" w:cs="Arial"/>
          <w:b/>
          <w:sz w:val="22"/>
          <w:szCs w:val="22"/>
          <w:lang w:eastAsia="en-US"/>
        </w:rPr>
        <w:t xml:space="preserve">1. Problema planteado </w:t>
      </w:r>
    </w:p>
    <w:p w:rsidRPr="00524963" w:rsidR="00524963" w:rsidP="00524963" w:rsidRDefault="00524963" w14:paraId="39487201" w14:textId="77777777">
      <w:pPr>
        <w:tabs>
          <w:tab w:val="left" w:pos="284"/>
        </w:tabs>
        <w:spacing w:line="276" w:lineRule="auto"/>
        <w:ind w:firstLine="709"/>
        <w:contextualSpacing/>
        <w:jc w:val="both"/>
        <w:rPr>
          <w:rFonts w:ascii="Arial" w:hAnsi="Arial" w:eastAsia="Calibri" w:cs="Arial"/>
          <w:b/>
          <w:sz w:val="22"/>
          <w:szCs w:val="22"/>
          <w:lang w:eastAsia="en-US"/>
        </w:rPr>
      </w:pPr>
    </w:p>
    <w:p w:rsidR="00383878" w:rsidP="00383878" w:rsidRDefault="0040152A" w14:paraId="6177B11C" w14:textId="3B726B6D">
      <w:pPr>
        <w:spacing w:line="276" w:lineRule="auto"/>
        <w:jc w:val="both"/>
        <w:rPr>
          <w:rFonts w:ascii="Arial" w:hAnsi="Arial" w:cs="Arial"/>
          <w:color w:val="000000"/>
          <w:sz w:val="22"/>
          <w:szCs w:val="22"/>
          <w:lang w:val="es-ES_tradnl"/>
        </w:rPr>
      </w:pPr>
      <w:bookmarkStart w:name="_Hlk58917991" w:id="9"/>
      <w:bookmarkStart w:name="_Hlk56103000" w:id="10"/>
      <w:r>
        <w:rPr>
          <w:rFonts w:ascii="Arial" w:hAnsi="Arial" w:cs="Arial"/>
          <w:color w:val="000000"/>
          <w:sz w:val="22"/>
          <w:szCs w:val="22"/>
          <w:lang w:val="es-ES_tradnl"/>
        </w:rPr>
        <w:t>Respecto a la prohibición del artículo 33 de</w:t>
      </w:r>
      <w:r w:rsidRPr="00524963" w:rsidR="00524963">
        <w:rPr>
          <w:rFonts w:ascii="Arial" w:hAnsi="Arial" w:cs="Arial"/>
          <w:color w:val="000000"/>
          <w:sz w:val="22"/>
          <w:szCs w:val="22"/>
          <w:lang w:val="es-ES_tradnl"/>
        </w:rPr>
        <w:t xml:space="preserve"> la Ley de Garantías Electorales, usted </w:t>
      </w:r>
      <w:r>
        <w:rPr>
          <w:rFonts w:ascii="Arial" w:hAnsi="Arial" w:cs="Arial"/>
          <w:color w:val="000000"/>
          <w:sz w:val="22"/>
          <w:szCs w:val="22"/>
          <w:lang w:val="es-ES_tradnl"/>
        </w:rPr>
        <w:t>realiza la siguiente pregunta</w:t>
      </w:r>
      <w:r w:rsidRPr="00524963" w:rsidR="00524963">
        <w:rPr>
          <w:rFonts w:ascii="Arial" w:hAnsi="Arial" w:cs="Arial"/>
          <w:color w:val="000000"/>
          <w:sz w:val="22"/>
          <w:szCs w:val="22"/>
          <w:lang w:val="es-ES_tradnl"/>
        </w:rPr>
        <w:t xml:space="preserve">: </w:t>
      </w:r>
      <w:bookmarkStart w:name="_Hlk98832248" w:id="11"/>
      <w:bookmarkStart w:name="_Hlk94514883" w:id="12"/>
    </w:p>
    <w:p w:rsidRPr="00383878" w:rsidR="00383878" w:rsidP="00383878" w:rsidRDefault="00383878" w14:paraId="4F67254C" w14:textId="77777777">
      <w:pPr>
        <w:spacing w:line="276" w:lineRule="auto"/>
        <w:jc w:val="both"/>
        <w:rPr>
          <w:rFonts w:ascii="Arial" w:hAnsi="Arial" w:cs="Arial"/>
          <w:color w:val="000000"/>
          <w:sz w:val="22"/>
          <w:szCs w:val="22"/>
          <w:lang w:val="es-ES_tradnl"/>
        </w:rPr>
      </w:pPr>
    </w:p>
    <w:p w:rsidRPr="00524963" w:rsidR="00524963" w:rsidP="00383878" w:rsidRDefault="00524963" w14:paraId="2B4A55D3" w14:textId="0DF81A82">
      <w:pPr>
        <w:ind w:left="709" w:right="709"/>
        <w:jc w:val="both"/>
        <w:rPr>
          <w:rFonts w:ascii="Arial" w:hAnsi="Arial" w:eastAsia="Calibri" w:cs="Arial"/>
          <w:sz w:val="21"/>
          <w:szCs w:val="21"/>
          <w:lang w:val="es-ES_tradnl" w:eastAsia="es-CO"/>
        </w:rPr>
      </w:pPr>
      <w:r w:rsidRPr="00524963">
        <w:rPr>
          <w:rFonts w:ascii="Arial" w:hAnsi="Arial" w:eastAsia="Calibri" w:cs="Arial"/>
          <w:sz w:val="21"/>
          <w:szCs w:val="21"/>
          <w:lang w:val="es-ES_tradnl" w:eastAsia="es-CO"/>
        </w:rPr>
        <w:t>«</w:t>
      </w:r>
      <w:r w:rsidR="00F80371">
        <w:rPr>
          <w:rFonts w:ascii="Arial" w:hAnsi="Arial" w:eastAsia="Calibri" w:cs="Arial"/>
          <w:sz w:val="21"/>
          <w:szCs w:val="21"/>
          <w:lang w:val="es-ES_tradnl" w:eastAsia="es-CO"/>
        </w:rPr>
        <w:t>L</w:t>
      </w:r>
      <w:r w:rsidRPr="00383878" w:rsidR="00B52A3C">
        <w:rPr>
          <w:rFonts w:ascii="Arial" w:hAnsi="Arial" w:eastAsia="Calibri" w:cs="Arial"/>
          <w:sz w:val="21"/>
          <w:szCs w:val="21"/>
          <w:lang w:val="es-ES_tradnl" w:eastAsia="es-CO"/>
        </w:rPr>
        <w:t>a consulta se orienta a establecer si la restricción establecida en la Ley 996 de 2005, referente a la prohibición de las Entidades Estatales de celebrar contratos en la modalidad de contratación directa durante los cuatro (4) meses anteriores a la elección presidencial y hasta la fecha en la cual el Presidente de la República sea elegido, cobijaría la celebración de un convenio de cooperación técnica no reembolsable entre una entidad pública del orden nacional y una institución financiera multilateral de derecho internacional público. Bajo el entendido que: a) La naturaleza del convenio no supone concurso o pluralidad de oferentes. b) Son recursos provenientes de fuente exterior, cuya destinación corresponde a la voluntad del cooperante. c) Son recursos no reembolsables y su finalidad es apoyar proyectos de agua potable y saneamiento básico. d) Sólo una de las partes del convenio es una entidad estatal, y la entidad beneficiaria no ejecutaría directamente el recurso; pues el cooperante sería el encargado de contratar, comprometer y ordenar el gasto. e) Los recursos de cooperación técnica no reembolsable, apoyarían la ejecución de un contrato de préstamo suscrito en años anteriores, entre la Nación y el cooperante</w:t>
      </w:r>
      <w:r w:rsidRPr="00524963">
        <w:rPr>
          <w:rFonts w:ascii="Arial" w:hAnsi="Arial" w:eastAsia="Calibri" w:cs="Arial"/>
          <w:sz w:val="21"/>
          <w:szCs w:val="21"/>
          <w:lang w:val="es-ES_tradnl" w:eastAsia="es-CO"/>
        </w:rPr>
        <w:t>»</w:t>
      </w:r>
      <w:bookmarkEnd w:id="11"/>
      <w:r w:rsidRPr="00524963">
        <w:rPr>
          <w:rFonts w:ascii="Arial" w:hAnsi="Arial" w:eastAsia="Calibri" w:cs="Arial"/>
          <w:sz w:val="21"/>
          <w:szCs w:val="21"/>
          <w:lang w:val="es-ES_tradnl" w:eastAsia="es-CO"/>
        </w:rPr>
        <w:t>.</w:t>
      </w:r>
      <w:bookmarkEnd w:id="12"/>
    </w:p>
    <w:p w:rsidRPr="00524963" w:rsidR="00524963" w:rsidP="00524963" w:rsidRDefault="00524963" w14:paraId="5DCB41BD" w14:textId="77777777">
      <w:pPr>
        <w:tabs>
          <w:tab w:val="left" w:pos="426"/>
        </w:tabs>
        <w:spacing w:line="276" w:lineRule="auto"/>
        <w:jc w:val="both"/>
        <w:rPr>
          <w:rFonts w:ascii="Arial" w:hAnsi="Arial" w:eastAsia="Calibri" w:cs="Arial"/>
          <w:sz w:val="22"/>
          <w:szCs w:val="22"/>
          <w:lang w:eastAsia="en-US"/>
        </w:rPr>
      </w:pPr>
    </w:p>
    <w:bookmarkEnd w:id="9"/>
    <w:bookmarkEnd w:id="10"/>
    <w:p w:rsidRPr="00524963" w:rsidR="00524963" w:rsidP="00524963" w:rsidRDefault="00524963" w14:paraId="59A5D171" w14:textId="77777777">
      <w:pPr>
        <w:tabs>
          <w:tab w:val="left" w:pos="284"/>
        </w:tabs>
        <w:spacing w:line="276" w:lineRule="auto"/>
        <w:jc w:val="both"/>
        <w:rPr>
          <w:rFonts w:ascii="Arial" w:hAnsi="Arial" w:eastAsia="Calibri" w:cs="Arial"/>
          <w:b/>
          <w:sz w:val="22"/>
          <w:szCs w:val="22"/>
          <w:lang w:eastAsia="en-US"/>
        </w:rPr>
      </w:pPr>
      <w:r w:rsidRPr="00524963">
        <w:rPr>
          <w:rFonts w:ascii="Arial" w:hAnsi="Arial" w:eastAsia="Calibri" w:cs="Arial"/>
          <w:b/>
          <w:sz w:val="22"/>
          <w:szCs w:val="22"/>
          <w:lang w:eastAsia="en-US"/>
        </w:rPr>
        <w:t>2. Consideraciones</w:t>
      </w:r>
    </w:p>
    <w:p w:rsidRPr="00524963" w:rsidR="00524963" w:rsidP="00524963" w:rsidRDefault="00524963" w14:paraId="4960B777" w14:textId="77777777">
      <w:pPr>
        <w:tabs>
          <w:tab w:val="left" w:pos="426"/>
        </w:tabs>
        <w:spacing w:line="276" w:lineRule="auto"/>
        <w:ind w:firstLine="709"/>
        <w:jc w:val="both"/>
        <w:rPr>
          <w:rFonts w:ascii="Arial" w:hAnsi="Arial" w:eastAsia="Calibri" w:cs="Arial"/>
          <w:bCs/>
          <w:sz w:val="22"/>
          <w:szCs w:val="22"/>
          <w:lang w:eastAsia="en-US"/>
        </w:rPr>
      </w:pPr>
    </w:p>
    <w:p w:rsidRPr="00524963" w:rsidR="00524963" w:rsidP="0051212F" w:rsidRDefault="00524963" w14:paraId="1E6B1AC9" w14:textId="77777777">
      <w:pPr>
        <w:spacing w:line="276" w:lineRule="auto"/>
        <w:jc w:val="both"/>
        <w:rPr>
          <w:rFonts w:ascii="Arial" w:hAnsi="Arial" w:eastAsia="Calibri" w:cs="Arial"/>
          <w:color w:val="000000"/>
          <w:sz w:val="22"/>
        </w:rPr>
      </w:pPr>
      <w:r w:rsidRPr="00524963">
        <w:rPr>
          <w:rFonts w:ascii="Arial" w:hAnsi="Arial" w:eastAsia="Calibri" w:cs="Arial"/>
          <w:color w:val="000000"/>
          <w:sz w:val="22"/>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sidRPr="00524963">
        <w:rPr>
          <w:rFonts w:ascii="Arial" w:hAnsi="Arial" w:eastAsia="Calibri" w:cs="Arial"/>
          <w:color w:val="000000"/>
          <w:sz w:val="22"/>
          <w:vertAlign w:val="superscript"/>
        </w:rPr>
        <w:footnoteReference w:id="2"/>
      </w:r>
      <w:r w:rsidRPr="00524963">
        <w:rPr>
          <w:rFonts w:ascii="Arial" w:hAnsi="Arial" w:eastAsia="Calibri" w:cs="Arial"/>
          <w:color w:val="000000"/>
          <w:sz w:val="22"/>
        </w:rPr>
        <w:t>. Es necesario tener en cuenta que esta entidad solo tiene competencia para responder solicitudes sobre la aplicación de normas de carácter general en materia de compras y contratación pública. En ese sentido, resolver casos concretos desborda las atribuciones asignadas por el legislador extraordinario, que no concibió a Colombia Compra Eficiente como una autoridad para solucionar problemas jurídicos particulares de todos los partícipes de la contratación estatal.</w:t>
      </w:r>
    </w:p>
    <w:p w:rsidR="00524963" w:rsidP="0051212F" w:rsidRDefault="00524963" w14:paraId="0DEF6099" w14:textId="7A402169">
      <w:pPr>
        <w:spacing w:before="120" w:line="276" w:lineRule="auto"/>
        <w:ind w:firstLine="708"/>
        <w:jc w:val="both"/>
        <w:rPr>
          <w:rFonts w:ascii="Arial" w:hAnsi="Arial" w:eastAsia="Calibri" w:cs="Arial"/>
          <w:color w:val="000000"/>
          <w:sz w:val="22"/>
        </w:rPr>
      </w:pPr>
      <w:r w:rsidRPr="00524963">
        <w:rPr>
          <w:rFonts w:ascii="Arial" w:hAnsi="Arial" w:eastAsia="Calibri" w:cs="Arial"/>
          <w:color w:val="000000"/>
          <w:sz w:val="22"/>
        </w:rPr>
        <w:t xml:space="preserve">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w:t>
      </w:r>
      <w:r w:rsidRPr="00524963">
        <w:rPr>
          <w:rFonts w:ascii="Arial" w:hAnsi="Arial" w:eastAsia="Calibri" w:cs="Arial"/>
          <w:color w:val="000000"/>
          <w:sz w:val="22"/>
        </w:rPr>
        <w:lastRenderedPageBreak/>
        <w:t>a la resolución de controversias, ni a brindar asesorías sobre casos puntuales. Por lo anterior, previo concepto de sus órganos asesores, la solución de estos temas corresponde a la entidad que adelanta el procedimiento de selección y, en caso de conflicto, a las autoridades judiciales, fiscales y disciplinarias.</w:t>
      </w:r>
    </w:p>
    <w:p w:rsidRPr="00524963" w:rsidR="00975010" w:rsidP="0051212F" w:rsidRDefault="00975010" w14:paraId="094EC3C5" w14:textId="394C9920">
      <w:pPr>
        <w:spacing w:before="120" w:line="276" w:lineRule="auto"/>
        <w:ind w:firstLine="708"/>
        <w:jc w:val="both"/>
        <w:rPr>
          <w:rFonts w:ascii="Arial" w:hAnsi="Arial" w:eastAsia="Calibri" w:cs="Arial"/>
          <w:color w:val="000000"/>
          <w:sz w:val="22"/>
        </w:rPr>
      </w:pPr>
      <w:r>
        <w:rPr>
          <w:rFonts w:ascii="Arial" w:hAnsi="Arial" w:eastAsia="Calibri" w:cs="Arial"/>
          <w:bCs/>
          <w:color w:val="000000"/>
          <w:sz w:val="22"/>
          <w:szCs w:val="22"/>
          <w:lang w:eastAsia="es-CO"/>
        </w:rPr>
        <w:t xml:space="preserve">Bajo estas consideraciones, corresponde a </w:t>
      </w:r>
      <w:r w:rsidRPr="00524963">
        <w:rPr>
          <w:rFonts w:ascii="Arial" w:hAnsi="Arial" w:eastAsia="Calibri" w:cs="Arial"/>
          <w:bCs/>
          <w:color w:val="000000"/>
          <w:sz w:val="22"/>
          <w:szCs w:val="22"/>
          <w:lang w:eastAsia="es-CO"/>
        </w:rPr>
        <w:t>cada entidad pública, en ejercicio de su competencia y previa valoración de los elementos fácticos y jurídicos, determinar si</w:t>
      </w:r>
      <w:r>
        <w:rPr>
          <w:rFonts w:ascii="Arial" w:hAnsi="Arial" w:eastAsia="Calibri" w:cs="Arial"/>
          <w:bCs/>
          <w:color w:val="000000"/>
          <w:sz w:val="22"/>
          <w:szCs w:val="22"/>
          <w:lang w:eastAsia="es-CO"/>
        </w:rPr>
        <w:t xml:space="preserve"> </w:t>
      </w:r>
      <w:r w:rsidR="00091642">
        <w:rPr>
          <w:rFonts w:ascii="Arial" w:hAnsi="Arial" w:eastAsia="Calibri" w:cs="Arial"/>
          <w:bCs/>
          <w:color w:val="000000"/>
          <w:sz w:val="22"/>
          <w:szCs w:val="22"/>
          <w:lang w:eastAsia="es-CO"/>
        </w:rPr>
        <w:t>es procedente o no la celebración de un determinado contrato en específico</w:t>
      </w:r>
      <w:r>
        <w:rPr>
          <w:rFonts w:ascii="Arial" w:hAnsi="Arial" w:eastAsia="Calibri" w:cs="Arial"/>
          <w:bCs/>
          <w:color w:val="000000"/>
          <w:sz w:val="22"/>
          <w:szCs w:val="22"/>
          <w:lang w:eastAsia="es-CO"/>
        </w:rPr>
        <w:t xml:space="preserve">. </w:t>
      </w:r>
      <w:r w:rsidRPr="00524963">
        <w:rPr>
          <w:rFonts w:ascii="Arial" w:hAnsi="Arial" w:eastAsia="Calibri" w:cs="Arial"/>
          <w:bCs/>
          <w:color w:val="000000"/>
          <w:sz w:val="22"/>
          <w:szCs w:val="22"/>
          <w:lang w:eastAsia="es-CO"/>
        </w:rPr>
        <w:t>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w:t>
      </w:r>
      <w:r>
        <w:rPr>
          <w:rFonts w:ascii="Arial" w:hAnsi="Arial" w:eastAsia="Calibri" w:cs="Arial"/>
          <w:bCs/>
          <w:color w:val="000000"/>
          <w:sz w:val="22"/>
          <w:szCs w:val="22"/>
          <w:lang w:eastAsia="es-CO"/>
        </w:rPr>
        <w:t>.</w:t>
      </w:r>
    </w:p>
    <w:p w:rsidRPr="00524963" w:rsidR="00524963" w:rsidP="00091642" w:rsidRDefault="009B1E40" w14:paraId="33597D50" w14:textId="38F6F053">
      <w:pPr>
        <w:spacing w:before="120" w:line="276" w:lineRule="auto"/>
        <w:ind w:firstLine="708"/>
        <w:jc w:val="both"/>
        <w:rPr>
          <w:rFonts w:ascii="Arial" w:hAnsi="Arial" w:eastAsia="Calibri" w:cs="Arial"/>
          <w:color w:val="000000"/>
          <w:sz w:val="22"/>
        </w:rPr>
      </w:pPr>
      <w:r>
        <w:rPr>
          <w:rFonts w:ascii="Arial" w:hAnsi="Arial" w:eastAsia="Calibri" w:cs="Arial"/>
          <w:color w:val="000000"/>
          <w:sz w:val="22"/>
        </w:rPr>
        <w:t>Sin perjuicio de</w:t>
      </w:r>
      <w:r w:rsidRPr="00524963" w:rsidR="00524963">
        <w:rPr>
          <w:rFonts w:ascii="Arial" w:hAnsi="Arial" w:eastAsia="Calibri" w:cs="Arial"/>
          <w:color w:val="000000"/>
          <w:sz w:val="22"/>
        </w:rPr>
        <w:t xml:space="preserve"> lo anterior, </w:t>
      </w:r>
      <w:r w:rsidRPr="00091642" w:rsidR="00091642">
        <w:rPr>
          <w:rFonts w:ascii="Arial" w:hAnsi="Arial" w:eastAsia="Calibri" w:cs="Arial"/>
          <w:color w:val="000000"/>
          <w:sz w:val="22"/>
          <w:lang w:val="es-ES"/>
        </w:rPr>
        <w:t xml:space="preserve">la </w:t>
      </w:r>
      <w:r w:rsidR="00091642">
        <w:rPr>
          <w:rFonts w:ascii="Arial" w:hAnsi="Arial" w:eastAsia="Calibri" w:cs="Arial"/>
          <w:color w:val="000000"/>
          <w:sz w:val="22"/>
          <w:lang w:val="es-ES"/>
        </w:rPr>
        <w:t>Agencia</w:t>
      </w:r>
      <w:r w:rsidRPr="00091642" w:rsidR="00091642">
        <w:rPr>
          <w:rFonts w:ascii="Arial" w:hAnsi="Arial" w:eastAsia="Calibri" w:cs="Arial"/>
          <w:color w:val="000000"/>
          <w:sz w:val="22"/>
          <w:lang w:val="es-ES"/>
        </w:rPr>
        <w:t xml:space="preserve"> –dentro de los límites de sus atribuciones, esto es, </w:t>
      </w:r>
      <w:bookmarkStart w:name="_Hlk61025408" w:id="13"/>
      <w:r w:rsidRPr="00091642" w:rsidR="00091642">
        <w:rPr>
          <w:rFonts w:ascii="Arial" w:hAnsi="Arial" w:eastAsia="Calibri" w:cs="Arial"/>
          <w:color w:val="000000"/>
          <w:sz w:val="22"/>
          <w:lang w:val="es-ES"/>
        </w:rPr>
        <w:t>haciendo abstracción del caso particular expuesto por el peticionario</w:t>
      </w:r>
      <w:bookmarkEnd w:id="13"/>
      <w:r w:rsidRPr="00091642" w:rsidR="00091642">
        <w:rPr>
          <w:rFonts w:ascii="Arial" w:hAnsi="Arial" w:eastAsia="Calibri" w:cs="Arial"/>
          <w:color w:val="000000"/>
          <w:sz w:val="22"/>
          <w:lang w:val="es-ES"/>
        </w:rPr>
        <w:t>– resolverá la consulta conforme a las normas generales en materia de contratación estatal</w:t>
      </w:r>
      <w:r w:rsidR="00091642">
        <w:rPr>
          <w:rFonts w:ascii="Arial" w:hAnsi="Arial" w:eastAsia="Calibri" w:cs="Arial"/>
          <w:color w:val="000000"/>
          <w:sz w:val="22"/>
          <w:lang w:val="es-ES"/>
        </w:rPr>
        <w:t xml:space="preserve">. </w:t>
      </w:r>
      <w:r w:rsidR="00091642">
        <w:rPr>
          <w:rFonts w:ascii="Arial" w:hAnsi="Arial" w:eastAsia="Calibri" w:cs="Arial"/>
          <w:color w:val="000000" w:themeColor="text1"/>
          <w:sz w:val="22"/>
          <w:lang w:val="es-ES"/>
        </w:rPr>
        <w:t>Con este objetivo se analizarán los siguientes temas</w:t>
      </w:r>
      <w:r w:rsidRPr="00524963" w:rsidR="00524963">
        <w:rPr>
          <w:rFonts w:ascii="Arial" w:hAnsi="Arial" w:eastAsia="Calibri" w:cs="Arial"/>
          <w:color w:val="000000"/>
          <w:sz w:val="22"/>
        </w:rPr>
        <w:t xml:space="preserve">: </w:t>
      </w:r>
      <w:r w:rsidRPr="00524963" w:rsidR="00524963">
        <w:rPr>
          <w:rFonts w:ascii="Arial" w:hAnsi="Arial" w:eastAsia="Calibri" w:cs="Arial"/>
          <w:color w:val="000000"/>
          <w:sz w:val="22"/>
          <w:lang w:val="es-ES_tradnl"/>
        </w:rPr>
        <w:t xml:space="preserve">i) alcance de las restricciones establecidas en la Ley 996 de 2005 –más conocida como «Ley de Garantías Electorales»–, </w:t>
      </w:r>
      <w:proofErr w:type="spellStart"/>
      <w:r w:rsidRPr="00524963" w:rsidR="00524963">
        <w:rPr>
          <w:rFonts w:ascii="Arial" w:hAnsi="Arial" w:eastAsia="Calibri" w:cs="Arial"/>
          <w:color w:val="000000"/>
          <w:sz w:val="22"/>
          <w:lang w:val="es-ES_tradnl"/>
        </w:rPr>
        <w:t>ii</w:t>
      </w:r>
      <w:proofErr w:type="spellEnd"/>
      <w:r w:rsidRPr="00524963" w:rsidR="00524963">
        <w:rPr>
          <w:rFonts w:ascii="Arial" w:hAnsi="Arial" w:eastAsia="Calibri" w:cs="Arial"/>
          <w:color w:val="000000"/>
          <w:sz w:val="22"/>
          <w:lang w:val="es-ES_tradnl"/>
        </w:rPr>
        <w:t xml:space="preserve">) restricciones especiales aplicables de cara a las elecciones presidenciales, </w:t>
      </w:r>
      <w:proofErr w:type="spellStart"/>
      <w:r w:rsidRPr="00524963" w:rsidR="00524963">
        <w:rPr>
          <w:rFonts w:ascii="Arial" w:hAnsi="Arial" w:eastAsia="Calibri" w:cs="Arial"/>
          <w:color w:val="000000"/>
          <w:sz w:val="22"/>
          <w:lang w:val="es-ES_tradnl"/>
        </w:rPr>
        <w:t>iii</w:t>
      </w:r>
      <w:proofErr w:type="spellEnd"/>
      <w:r w:rsidRPr="00524963" w:rsidR="00524963">
        <w:rPr>
          <w:rFonts w:ascii="Arial" w:hAnsi="Arial" w:eastAsia="Calibri" w:cs="Arial"/>
          <w:color w:val="000000"/>
          <w:sz w:val="22"/>
          <w:lang w:val="es-ES_tradnl"/>
        </w:rPr>
        <w:t>) aplicación de la Ley de Garantías Electorales a la contratación directa sometida a los reglamentos de los organismos de cooperación, asistencia o ayuda internacional</w:t>
      </w:r>
      <w:r w:rsidRPr="00524963" w:rsidR="00524963">
        <w:rPr>
          <w:rFonts w:ascii="Arial" w:hAnsi="Arial" w:eastAsia="Calibri" w:cs="Arial"/>
          <w:color w:val="000000"/>
          <w:sz w:val="22"/>
        </w:rPr>
        <w:t>.</w:t>
      </w:r>
    </w:p>
    <w:p w:rsidR="00AA196C" w:rsidP="0051212F" w:rsidRDefault="00524963" w14:paraId="1BECEB7D" w14:textId="4A1A7BAC">
      <w:pPr>
        <w:tabs>
          <w:tab w:val="left" w:pos="426"/>
        </w:tabs>
        <w:spacing w:before="120" w:line="276" w:lineRule="auto"/>
        <w:ind w:firstLine="709"/>
        <w:jc w:val="both"/>
        <w:rPr>
          <w:rFonts w:ascii="Arial" w:hAnsi="Arial" w:cs="Arial"/>
          <w:sz w:val="22"/>
          <w:szCs w:val="22"/>
        </w:rPr>
      </w:pPr>
      <w:r w:rsidRPr="00524963">
        <w:rPr>
          <w:rFonts w:ascii="Arial" w:hAnsi="Arial" w:eastAsia="Calibri" w:cs="Arial"/>
          <w:color w:val="000000"/>
          <w:sz w:val="22"/>
        </w:rPr>
        <w:t xml:space="preserve"> La Agencia Nacional de Contratación Pública – Colombia Compra Eficiente se ha pronunciado en diferentes ocasiones sobre la Ley de Garantías Electorales, entre otros, en los Conceptos 4201913000004536 de 17 de julio de 2019, 4201912000005556 del 12 de septiembre de 2019, 4201913000005175 del 13 de septiembre de 2019, 4201913000006452 del 07 de octubre de 2019, 4201913000005082 del 17 de octubre de 2019, 4201913000006306 del 21 de octubre de 2019, 4201912000006552 del 07 de noviembre de 2019, 4201913000006604 del 17 de diciembre de 2019,  C-227 del 24 de mayo de 2021 y 396 del 13 de agosto de 2021, C-429 del 27 de agosto de 2021, C-456 del 3 de septiembre, C-481 del 9 de septiembre de 2021, C- 528 del 27 de septiembre de 2021, C-550 del 5 de octubre de 2021, C-523 del 10 de octubre de 2021, C-614 del 2 de noviembre de 2021 y C-543 del 11 de noviembre de 2021, C-633 del 11 de noviembre de 2021, 681 del 7 de diciembre de 2021, C-686 del 21 de diciembre de 2021, C-697 del 3 de enero de 2022, C-009 del 15 de febrero de 2022, C-005 del 16 de febrero de  2022, C-014 del 18 de febrero de 2022, C- 022 del 21 de febrero de 2022, C-045 del 3 de marzo de 2022, C-064 del 8 de marzo de 2022, C-072 del 11 de marzo de 2022, C-097 del 18 de febrero de 2022, C-116 del 18 de febrero de 2022 y C-077 del 17 de marzo de 2022, entre otros. </w:t>
      </w:r>
    </w:p>
    <w:p w:rsidRPr="00524963" w:rsidR="00524963" w:rsidRDefault="00AA196C" w14:paraId="0B293497" w14:textId="1FD04655">
      <w:pPr>
        <w:tabs>
          <w:tab w:val="left" w:pos="426"/>
        </w:tabs>
        <w:spacing w:before="120" w:line="276" w:lineRule="auto"/>
        <w:ind w:firstLine="709"/>
        <w:jc w:val="both"/>
        <w:rPr>
          <w:rFonts w:ascii="Arial" w:hAnsi="Arial" w:eastAsia="Calibri" w:cs="Arial"/>
          <w:sz w:val="22"/>
          <w:szCs w:val="22"/>
          <w:lang w:val="es-ES" w:eastAsia="en-US"/>
        </w:rPr>
      </w:pPr>
      <w:r>
        <w:rPr>
          <w:rFonts w:ascii="Arial" w:hAnsi="Arial" w:cs="Arial"/>
          <w:sz w:val="22"/>
          <w:szCs w:val="22"/>
        </w:rPr>
        <w:t>Los</w:t>
      </w:r>
      <w:r w:rsidRPr="00EE4D96">
        <w:rPr>
          <w:rFonts w:ascii="Arial" w:hAnsi="Arial" w:cs="Arial"/>
          <w:sz w:val="22"/>
          <w:szCs w:val="22"/>
        </w:rPr>
        <w:t xml:space="preserve"> </w:t>
      </w:r>
      <w:r w:rsidRPr="00EE4D96" w:rsidR="00827B78">
        <w:rPr>
          <w:rFonts w:ascii="Arial" w:hAnsi="Arial" w:cs="Arial"/>
          <w:sz w:val="22"/>
          <w:szCs w:val="22"/>
        </w:rPr>
        <w:t xml:space="preserve">conceptos </w:t>
      </w:r>
      <w:r>
        <w:rPr>
          <w:rFonts w:ascii="Arial" w:hAnsi="Arial" w:cs="Arial"/>
          <w:sz w:val="22"/>
          <w:szCs w:val="22"/>
        </w:rPr>
        <w:t xml:space="preserve">mencionados en el párrafo precedente </w:t>
      </w:r>
      <w:r w:rsidR="00827B78">
        <w:rPr>
          <w:rFonts w:ascii="Arial" w:hAnsi="Arial" w:cs="Arial"/>
          <w:sz w:val="22"/>
          <w:szCs w:val="22"/>
        </w:rPr>
        <w:t>fueron</w:t>
      </w:r>
      <w:r w:rsidRPr="00EE4D96" w:rsidR="00827B78">
        <w:rPr>
          <w:rFonts w:ascii="Arial" w:hAnsi="Arial" w:cs="Arial"/>
          <w:sz w:val="22"/>
          <w:szCs w:val="22"/>
        </w:rPr>
        <w:t xml:space="preserve"> complementados, en lo pertinente,</w:t>
      </w:r>
      <w:r w:rsidR="00827B78">
        <w:rPr>
          <w:rFonts w:ascii="Arial" w:hAnsi="Arial" w:cs="Arial"/>
          <w:sz w:val="22"/>
          <w:szCs w:val="22"/>
        </w:rPr>
        <w:t xml:space="preserve"> </w:t>
      </w:r>
      <w:r w:rsidR="00715BAE">
        <w:rPr>
          <w:rFonts w:ascii="Arial" w:hAnsi="Arial" w:cs="Arial"/>
          <w:sz w:val="22"/>
          <w:szCs w:val="22"/>
        </w:rPr>
        <w:t>por</w:t>
      </w:r>
      <w:r w:rsidR="00827B78">
        <w:rPr>
          <w:rFonts w:ascii="Arial" w:hAnsi="Arial" w:cs="Arial"/>
          <w:sz w:val="22"/>
          <w:szCs w:val="22"/>
        </w:rPr>
        <w:t xml:space="preserve"> el </w:t>
      </w:r>
      <w:r w:rsidR="00715BAE">
        <w:rPr>
          <w:rFonts w:ascii="Arial" w:hAnsi="Arial" w:cs="Arial"/>
          <w:sz w:val="22"/>
          <w:szCs w:val="22"/>
        </w:rPr>
        <w:t>C</w:t>
      </w:r>
      <w:r w:rsidR="00827B78">
        <w:rPr>
          <w:rFonts w:ascii="Arial" w:hAnsi="Arial" w:cs="Arial"/>
          <w:sz w:val="22"/>
          <w:szCs w:val="22"/>
        </w:rPr>
        <w:t>oncepto CU-180 del 8 de abril de 2022</w:t>
      </w:r>
      <w:r w:rsidR="00D260C6">
        <w:rPr>
          <w:rFonts w:ascii="Arial" w:hAnsi="Arial" w:cs="Arial"/>
          <w:sz w:val="22"/>
          <w:szCs w:val="22"/>
        </w:rPr>
        <w:t xml:space="preserve">, en el que se efectuaron </w:t>
      </w:r>
      <w:r w:rsidRPr="00EE4D96" w:rsidR="00827B78">
        <w:rPr>
          <w:rFonts w:ascii="Arial" w:hAnsi="Arial" w:cs="Arial"/>
          <w:sz w:val="22"/>
          <w:szCs w:val="22"/>
        </w:rPr>
        <w:lastRenderedPageBreak/>
        <w:t xml:space="preserve">algunas precisiones sobre los Conceptos </w:t>
      </w:r>
      <w:r w:rsidRPr="00EE4D96" w:rsidR="00827B78">
        <w:rPr>
          <w:rFonts w:ascii="Arial" w:hAnsi="Arial" w:cs="Arial"/>
          <w:bCs/>
          <w:sz w:val="22"/>
          <w:szCs w:val="22"/>
        </w:rPr>
        <w:t>C-296 del 22 de junio</w:t>
      </w:r>
      <w:r w:rsidRPr="00EE4D96" w:rsidR="00827B78">
        <w:rPr>
          <w:rFonts w:ascii="Arial" w:hAnsi="Arial" w:cs="Arial"/>
          <w:sz w:val="22"/>
          <w:szCs w:val="22"/>
        </w:rPr>
        <w:t xml:space="preserve"> de 2021, C-559 del 31 de </w:t>
      </w:r>
      <w:r w:rsidRPr="00344D3C" w:rsidR="00827B78">
        <w:rPr>
          <w:rFonts w:ascii="Arial" w:hAnsi="Arial" w:cs="Arial"/>
          <w:sz w:val="22"/>
          <w:szCs w:val="22"/>
        </w:rPr>
        <w:t xml:space="preserve">agosto de 2021 y C-100 de 29 de marzo de 2022, relacionados con la aplicación de la Ley de Garantías Electorales frente a la contratación con organismos internacionales. </w:t>
      </w:r>
      <w:bookmarkStart w:name="_Hlk102372764" w:id="14"/>
      <w:r w:rsidRPr="00344D3C" w:rsidR="008B634B">
        <w:rPr>
          <w:rFonts w:ascii="Arial" w:hAnsi="Arial" w:eastAsia="Calibri" w:cs="Arial"/>
          <w:sz w:val="22"/>
          <w:szCs w:val="22"/>
          <w:lang w:val="es-ES" w:eastAsia="en-US"/>
        </w:rPr>
        <w:t>De acuerdo con el artículo 10 de la Ley 1437 de 2011, es necesario tener en cuenta que «</w:t>
      </w:r>
      <w:r w:rsidRPr="00344D3C" w:rsidR="008B634B">
        <w:rPr>
          <w:rFonts w:ascii="Arial" w:hAnsi="Arial" w:eastAsia="Calibri" w:cs="Arial"/>
          <w:sz w:val="22"/>
          <w:szCs w:val="22"/>
          <w:lang w:eastAsia="en-US"/>
        </w:rPr>
        <w:t>Al resolver los asuntos de su competencia, las autoridades aplicarán las disposiciones constitucionales, legales y reglamentarias de manera uniforme a situaciones que tengan los mismos supuestos fácticos y jurídicos». Por tanto,</w:t>
      </w:r>
      <w:r w:rsidRPr="00344D3C" w:rsidR="008B634B">
        <w:rPr>
          <w:rFonts w:ascii="Arial" w:hAnsi="Arial" w:eastAsia="Calibri" w:cs="Arial"/>
          <w:sz w:val="22"/>
          <w:szCs w:val="22"/>
          <w:lang w:val="es-ES" w:eastAsia="en-US"/>
        </w:rPr>
        <w:t xml:space="preserve"> la tesis desarrollada en el Concepto de Unificación CU-180 del 8 de abril de 2022 se reitera a continuación</w:t>
      </w:r>
      <w:bookmarkEnd w:id="14"/>
      <w:r w:rsidRPr="00344D3C" w:rsidR="00524963">
        <w:rPr>
          <w:rFonts w:ascii="Arial" w:hAnsi="Arial" w:eastAsia="Calibri" w:cs="Arial"/>
          <w:sz w:val="22"/>
          <w:szCs w:val="22"/>
          <w:lang w:val="es-ES" w:eastAsia="en-US"/>
        </w:rPr>
        <w:t>:</w:t>
      </w:r>
    </w:p>
    <w:p w:rsidRPr="00524963" w:rsidR="00524963" w:rsidP="00524963" w:rsidRDefault="00524963" w14:paraId="46D3461E" w14:textId="77777777">
      <w:pPr>
        <w:spacing w:line="276" w:lineRule="auto"/>
        <w:contextualSpacing/>
        <w:jc w:val="both"/>
        <w:rPr>
          <w:rFonts w:ascii="Arial" w:hAnsi="Arial" w:eastAsia="Calibri" w:cs="Arial"/>
          <w:color w:val="000000"/>
          <w:sz w:val="22"/>
        </w:rPr>
      </w:pPr>
    </w:p>
    <w:p w:rsidRPr="00524963" w:rsidR="00524963" w:rsidP="00524963" w:rsidRDefault="00524963" w14:paraId="3235CEC2" w14:textId="77777777">
      <w:pPr>
        <w:tabs>
          <w:tab w:val="left" w:pos="426"/>
        </w:tabs>
        <w:spacing w:line="276" w:lineRule="auto"/>
        <w:jc w:val="both"/>
        <w:rPr>
          <w:rFonts w:ascii="Arial" w:hAnsi="Arial" w:eastAsia="Calibri" w:cs="Arial"/>
          <w:b/>
          <w:bCs/>
          <w:sz w:val="22"/>
          <w:szCs w:val="22"/>
          <w:lang w:val="es-ES_tradnl" w:eastAsia="en-US"/>
        </w:rPr>
      </w:pPr>
      <w:r w:rsidRPr="00524963">
        <w:rPr>
          <w:rFonts w:ascii="Arial" w:hAnsi="Arial" w:eastAsia="Calibri" w:cs="Arial"/>
          <w:b/>
          <w:bCs/>
          <w:sz w:val="22"/>
          <w:szCs w:val="22"/>
          <w:lang w:val="es-ES_tradnl" w:eastAsia="en-US"/>
        </w:rPr>
        <w:t>2.1. Definición y finalidad de la Ley de Garantías Electorales: alcance de las restricciones</w:t>
      </w:r>
    </w:p>
    <w:p w:rsidRPr="00524963" w:rsidR="00524963" w:rsidP="00524963" w:rsidRDefault="00524963" w14:paraId="5549A47E" w14:textId="77777777">
      <w:pPr>
        <w:tabs>
          <w:tab w:val="left" w:pos="426"/>
        </w:tabs>
        <w:spacing w:line="276" w:lineRule="auto"/>
        <w:ind w:firstLine="709"/>
        <w:jc w:val="both"/>
        <w:rPr>
          <w:rFonts w:ascii="Arial" w:hAnsi="Arial" w:eastAsia="Calibri" w:cs="Arial"/>
          <w:bCs/>
          <w:sz w:val="22"/>
          <w:szCs w:val="22"/>
          <w:lang w:val="es-ES_tradnl" w:eastAsia="en-US"/>
        </w:rPr>
      </w:pPr>
    </w:p>
    <w:p w:rsidRPr="00963B93" w:rsidR="00963B93" w:rsidP="00963B93" w:rsidRDefault="00963B93" w14:paraId="4BD1B5CA" w14:textId="77777777">
      <w:pPr>
        <w:tabs>
          <w:tab w:val="left" w:pos="426"/>
        </w:tabs>
        <w:spacing w:after="120" w:line="276" w:lineRule="auto"/>
        <w:jc w:val="both"/>
        <w:rPr>
          <w:rFonts w:ascii="Arial" w:hAnsi="Arial" w:cs="Arial"/>
          <w:bCs/>
          <w:sz w:val="22"/>
          <w:szCs w:val="22"/>
          <w:lang w:eastAsia="es-CO"/>
        </w:rPr>
      </w:pPr>
      <w:r w:rsidRPr="00963B93">
        <w:rPr>
          <w:rFonts w:ascii="Arial" w:hAnsi="Arial" w:eastAsia="Calibri" w:cs="Arial"/>
          <w:bCs/>
          <w:sz w:val="22"/>
          <w:szCs w:val="22"/>
        </w:rPr>
        <w:t>El ordenamiento jurídico colombiano contempla previsiones claras para evitar la obtención de beneficios personales en asuntos propios de la administración pública</w:t>
      </w:r>
      <w:r w:rsidRPr="00963B93">
        <w:rPr>
          <w:rFonts w:ascii="Arial" w:hAnsi="Arial" w:eastAsia="Calibri" w:cs="Arial"/>
          <w:bCs/>
          <w:i/>
          <w:iCs/>
          <w:sz w:val="22"/>
          <w:szCs w:val="22"/>
        </w:rPr>
        <w:t xml:space="preserve">. </w:t>
      </w:r>
      <w:r w:rsidRPr="00963B93">
        <w:rPr>
          <w:rFonts w:ascii="Arial" w:hAnsi="Arial" w:eastAsia="Calibri" w:cs="Arial"/>
          <w:bCs/>
          <w:sz w:val="22"/>
          <w:szCs w:val="22"/>
        </w:rPr>
        <w:t>Por ejemplo, el artículo 127 de la Constitución Política establece una prohibición contractual a los servidores públicos y en cuanto a aspectos políticos consagra restricciones a ciertos empleados del Estado, incluso en época no electoral</w:t>
      </w:r>
      <w:r w:rsidRPr="00963B93">
        <w:rPr>
          <w:rFonts w:ascii="Arial" w:hAnsi="Arial" w:eastAsia="Calibri" w:cs="Arial"/>
          <w:bCs/>
          <w:sz w:val="22"/>
          <w:szCs w:val="22"/>
          <w:vertAlign w:val="superscript"/>
        </w:rPr>
        <w:footnoteReference w:id="3"/>
      </w:r>
      <w:r w:rsidRPr="00963B93">
        <w:rPr>
          <w:rFonts w:ascii="Arial" w:hAnsi="Arial" w:eastAsia="Calibri" w:cs="Arial"/>
          <w:bCs/>
          <w:sz w:val="22"/>
          <w:szCs w:val="22"/>
        </w:rPr>
        <w:t xml:space="preserve">. </w:t>
      </w:r>
    </w:p>
    <w:p w:rsidRPr="00963B93" w:rsidR="00963B93" w:rsidP="00963B93" w:rsidRDefault="00963B93" w14:paraId="4737EA0A" w14:textId="77777777">
      <w:pPr>
        <w:tabs>
          <w:tab w:val="left" w:pos="426"/>
        </w:tabs>
        <w:spacing w:line="276" w:lineRule="auto"/>
        <w:ind w:firstLine="709"/>
        <w:jc w:val="both"/>
        <w:rPr>
          <w:rFonts w:ascii="Arial" w:hAnsi="Arial" w:cs="Arial"/>
          <w:bCs/>
          <w:sz w:val="22"/>
          <w:szCs w:val="22"/>
          <w:lang w:val="es-MX" w:eastAsia="es-CO"/>
        </w:rPr>
      </w:pPr>
      <w:r w:rsidRPr="00963B93">
        <w:rPr>
          <w:rFonts w:ascii="Arial" w:hAnsi="Arial" w:cs="Arial"/>
          <w:bCs/>
          <w:sz w:val="22"/>
          <w:szCs w:val="22"/>
          <w:lang w:eastAsia="es-CO"/>
        </w:rPr>
        <w:t>En el mismo sentido</w:t>
      </w:r>
      <w:r w:rsidRPr="00963B93">
        <w:rPr>
          <w:rFonts w:ascii="Arial" w:hAnsi="Arial" w:cs="Arial"/>
          <w:bCs/>
          <w:sz w:val="22"/>
          <w:szCs w:val="22"/>
          <w:lang w:val="es-MX" w:eastAsia="es-CO"/>
        </w:rPr>
        <w:t xml:space="preserve">, </w:t>
      </w:r>
      <w:bookmarkStart w:name="_Hlk99576829" w:id="15"/>
      <w:r w:rsidRPr="00963B93">
        <w:rPr>
          <w:rFonts w:ascii="Arial" w:hAnsi="Arial" w:cs="Arial"/>
          <w:bCs/>
          <w:sz w:val="22"/>
          <w:szCs w:val="22"/>
          <w:lang w:val="es-MX" w:eastAsia="es-CO"/>
        </w:rPr>
        <w:t xml:space="preserve">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w:t>
      </w:r>
      <w:r w:rsidRPr="00963B93">
        <w:rPr>
          <w:rFonts w:ascii="Arial" w:hAnsi="Arial" w:cs="Arial"/>
          <w:bCs/>
          <w:sz w:val="22"/>
          <w:szCs w:val="22"/>
          <w:lang w:val="es-MX" w:eastAsia="es-CO"/>
        </w:rPr>
        <w:t>Estado en las campañas o falta de garantías en la elección presidencial</w:t>
      </w:r>
      <w:r w:rsidRPr="00963B93">
        <w:rPr>
          <w:rFonts w:ascii="Arial" w:hAnsi="Arial" w:cs="Arial"/>
          <w:bCs/>
          <w:sz w:val="22"/>
          <w:szCs w:val="22"/>
          <w:vertAlign w:val="superscript"/>
          <w:lang w:val="es-MX" w:eastAsia="es-CO"/>
        </w:rPr>
        <w:footnoteReference w:id="4"/>
      </w:r>
      <w:r w:rsidRPr="00963B93">
        <w:rPr>
          <w:rFonts w:ascii="Arial" w:hAnsi="Arial" w:cs="Arial"/>
          <w:bCs/>
          <w:sz w:val="22"/>
          <w:szCs w:val="22"/>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963B93">
        <w:rPr>
          <w:rFonts w:ascii="Arial" w:hAnsi="Arial" w:eastAsia="Calibri" w:cs="Arial"/>
          <w:noProof/>
          <w:sz w:val="22"/>
          <w:szCs w:val="22"/>
          <w:lang w:val="es-ES_tradnl"/>
        </w:rPr>
        <w:t xml:space="preserve"> </w:t>
      </w:r>
      <w:bookmarkEnd w:id="15"/>
      <w:r w:rsidRPr="00963B93">
        <w:rPr>
          <w:rFonts w:ascii="Arial" w:hAnsi="Arial" w:cs="Arial"/>
          <w:bCs/>
          <w:sz w:val="22"/>
          <w:szCs w:val="22"/>
          <w:lang w:val="es-MX" w:eastAsia="es-CO"/>
        </w:rPr>
        <w:t>En armonía con lo anterior, la Corte Constitucional ha abordado la definición de la Ley de Garantías Electorales. De esta manera, explica que tiene como propósito:</w:t>
      </w:r>
    </w:p>
    <w:p w:rsidRPr="00963B93" w:rsidR="00963B93" w:rsidP="00963B93" w:rsidRDefault="00963B93" w14:paraId="471A4B70" w14:textId="77777777">
      <w:pPr>
        <w:spacing w:line="276" w:lineRule="auto"/>
        <w:ind w:right="709"/>
        <w:contextualSpacing/>
        <w:jc w:val="both"/>
        <w:rPr>
          <w:rFonts w:ascii="Arial" w:hAnsi="Arial" w:cs="Arial"/>
          <w:sz w:val="22"/>
          <w:szCs w:val="22"/>
          <w:lang w:val="es-ES" w:eastAsia="es-CO"/>
        </w:rPr>
      </w:pPr>
    </w:p>
    <w:p w:rsidRPr="006C314F" w:rsidR="00963B93" w:rsidP="00963B93" w:rsidRDefault="00963B93" w14:paraId="0C792F47" w14:textId="00EFF380">
      <w:pPr>
        <w:ind w:left="709" w:right="709"/>
        <w:contextualSpacing/>
        <w:jc w:val="both"/>
        <w:rPr>
          <w:rFonts w:ascii="Arial" w:hAnsi="Arial" w:cs="Arial"/>
          <w:bCs/>
          <w:sz w:val="21"/>
          <w:szCs w:val="21"/>
          <w:lang w:val="es-MX" w:eastAsia="es-CO"/>
        </w:rPr>
      </w:pPr>
      <w:r w:rsidRPr="006C314F">
        <w:rPr>
          <w:rFonts w:ascii="Arial" w:hAnsi="Arial" w:cs="Arial"/>
          <w:sz w:val="21"/>
          <w:szCs w:val="21"/>
          <w:lang w:val="es-ES" w:eastAsia="es-CO"/>
        </w:rPr>
        <w:t xml:space="preserve">[…] </w:t>
      </w:r>
      <w:r w:rsidRPr="006C314F">
        <w:rPr>
          <w:rFonts w:ascii="Arial" w:hAnsi="Arial" w:cs="Arial"/>
          <w:bCs/>
          <w:sz w:val="21"/>
          <w:szCs w:val="21"/>
          <w:lang w:val="es-MX" w:eastAsia="es-CO"/>
        </w:rPr>
        <w:t>la definición de reglas claras que permitan acceder a los canales de expresión democrática de manera efectiva e igualitaria. El objetivo de una ley de garantías es definir esas reglas.</w:t>
      </w:r>
    </w:p>
    <w:p w:rsidRPr="006C314F" w:rsidR="00963B93" w:rsidP="00963B93" w:rsidRDefault="00963B93" w14:paraId="20178193" w14:textId="77777777">
      <w:pPr>
        <w:ind w:left="709" w:right="709"/>
        <w:contextualSpacing/>
        <w:jc w:val="both"/>
        <w:rPr>
          <w:rFonts w:ascii="Arial" w:hAnsi="Arial" w:cs="Arial"/>
          <w:bCs/>
          <w:sz w:val="21"/>
          <w:szCs w:val="21"/>
          <w:lang w:val="es-MX" w:eastAsia="es-CO"/>
        </w:rPr>
      </w:pPr>
      <w:r w:rsidRPr="006C314F">
        <w:rPr>
          <w:rFonts w:ascii="Arial" w:hAnsi="Arial" w:cs="Arial"/>
          <w:bCs/>
          <w:sz w:val="21"/>
          <w:szCs w:val="21"/>
          <w:lang w:val="es-MX" w:eastAsia="es-CO"/>
        </w:rPr>
        <w:t xml:space="preserve">[…] </w:t>
      </w:r>
    </w:p>
    <w:p w:rsidRPr="006C314F" w:rsidR="00963B93" w:rsidP="00344D3C" w:rsidRDefault="00963B93" w14:paraId="40D2A285" w14:textId="77777777">
      <w:pPr>
        <w:ind w:right="709"/>
        <w:contextualSpacing/>
        <w:jc w:val="both"/>
        <w:rPr>
          <w:rFonts w:ascii="Arial" w:hAnsi="Arial" w:cs="Arial"/>
          <w:bCs/>
          <w:sz w:val="21"/>
          <w:szCs w:val="21"/>
          <w:lang w:val="es-MX" w:eastAsia="es-CO"/>
        </w:rPr>
      </w:pPr>
    </w:p>
    <w:p w:rsidRPr="006C314F" w:rsidR="00963B93" w:rsidP="00963B93" w:rsidRDefault="00963B93" w14:paraId="6BB1920B" w14:textId="77777777">
      <w:pPr>
        <w:ind w:left="709" w:right="709"/>
        <w:contextualSpacing/>
        <w:jc w:val="both"/>
        <w:rPr>
          <w:rFonts w:ascii="Arial" w:hAnsi="Arial" w:cs="Arial"/>
          <w:bCs/>
          <w:sz w:val="21"/>
          <w:szCs w:val="21"/>
          <w:lang w:val="es-MX" w:eastAsia="es-CO"/>
        </w:rPr>
      </w:pPr>
      <w:r w:rsidRPr="006C314F">
        <w:rPr>
          <w:rFonts w:ascii="Arial" w:hAnsi="Arial" w:cs="Arial"/>
          <w:bCs/>
          <w:sz w:val="21"/>
          <w:szCs w:val="21"/>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6C314F">
        <w:rPr>
          <w:rFonts w:ascii="Arial" w:hAnsi="Arial" w:eastAsia="Calibri" w:cs="Arial"/>
          <w:sz w:val="20"/>
          <w:szCs w:val="20"/>
          <w:vertAlign w:val="superscript"/>
          <w:lang w:val="es-MX"/>
        </w:rPr>
        <w:footnoteReference w:id="5"/>
      </w:r>
    </w:p>
    <w:p w:rsidRPr="00963B93" w:rsidR="00963B93" w:rsidP="00963B93" w:rsidRDefault="00963B93" w14:paraId="163CA603" w14:textId="77777777">
      <w:pPr>
        <w:spacing w:line="276" w:lineRule="auto"/>
        <w:ind w:left="709" w:right="709"/>
        <w:contextualSpacing/>
        <w:jc w:val="both"/>
        <w:rPr>
          <w:rFonts w:ascii="Arial" w:hAnsi="Arial" w:cs="Arial"/>
          <w:bCs/>
          <w:sz w:val="22"/>
          <w:szCs w:val="22"/>
          <w:lang w:val="es-MX" w:eastAsia="es-CO"/>
        </w:rPr>
      </w:pPr>
    </w:p>
    <w:p w:rsidRPr="00963B93" w:rsidR="00963B93" w:rsidP="00963B93" w:rsidRDefault="00963B93" w14:paraId="2FB977DD" w14:textId="62332265">
      <w:pPr>
        <w:spacing w:line="276" w:lineRule="auto"/>
        <w:ind w:firstLine="709"/>
        <w:jc w:val="both"/>
        <w:rPr>
          <w:rFonts w:ascii="Arial" w:hAnsi="Arial" w:cs="Arial"/>
          <w:bCs/>
          <w:sz w:val="22"/>
          <w:szCs w:val="22"/>
          <w:lang w:val="es-MX" w:eastAsia="es-CO"/>
        </w:rPr>
      </w:pPr>
      <w:bookmarkStart w:name="_Hlk78818186" w:id="16"/>
      <w:r w:rsidRPr="00963B93">
        <w:rPr>
          <w:rFonts w:ascii="Arial" w:hAnsi="Arial" w:cs="Arial"/>
          <w:bCs/>
          <w:sz w:val="22"/>
          <w:szCs w:val="22"/>
          <w:lang w:val="es-MX" w:eastAsia="es-CO"/>
        </w:rPr>
        <w:t xml:space="preserve">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w:t>
      </w:r>
      <w:r w:rsidRPr="00963B93">
        <w:rPr>
          <w:rFonts w:ascii="Arial" w:hAnsi="Arial" w:cs="Arial"/>
          <w:bCs/>
          <w:sz w:val="22"/>
          <w:szCs w:val="22"/>
          <w:lang w:val="es-MX" w:eastAsia="es-CO"/>
        </w:rPr>
        <w:t xml:space="preserve">contienda electoral, así como la posible desviación de recursos públicos en aspiraciones electorales. </w:t>
      </w:r>
      <w:bookmarkEnd w:id="16"/>
      <w:r w:rsidRPr="00963B93">
        <w:rPr>
          <w:rFonts w:ascii="Arial" w:hAnsi="Arial" w:cs="Arial"/>
          <w:bCs/>
          <w:sz w:val="22"/>
          <w:szCs w:val="22"/>
          <w:lang w:val="es-MX" w:eastAsia="es-CO"/>
        </w:rPr>
        <w:t>Por ello, varias de las disposiciones de la Ley 996 de 2005, al contener normas prohibitivas, no admiten una interpretación amplia, sino que deben interpretarse restrictivamente. En efecto, la Sala de Consulta y Servicio Civil del Consejo de Estado, precisó lo siguiente:</w:t>
      </w:r>
    </w:p>
    <w:p w:rsidRPr="00963B93" w:rsidR="00963B93" w:rsidP="00963B93" w:rsidRDefault="00963B93" w14:paraId="79382AA7" w14:textId="77777777">
      <w:pPr>
        <w:spacing w:line="276" w:lineRule="auto"/>
        <w:ind w:firstLine="709"/>
        <w:contextualSpacing/>
        <w:jc w:val="both"/>
        <w:rPr>
          <w:rFonts w:ascii="Arial" w:hAnsi="Arial" w:cs="Arial"/>
          <w:bCs/>
          <w:sz w:val="22"/>
          <w:szCs w:val="22"/>
          <w:lang w:val="es-MX" w:eastAsia="es-CO"/>
        </w:rPr>
      </w:pPr>
    </w:p>
    <w:p w:rsidRPr="006C314F" w:rsidR="00963B93" w:rsidP="00963B93" w:rsidRDefault="00963B93" w14:paraId="7AC952E8" w14:textId="77777777">
      <w:pPr>
        <w:ind w:left="709" w:right="709"/>
        <w:contextualSpacing/>
        <w:jc w:val="both"/>
        <w:rPr>
          <w:rFonts w:ascii="Arial" w:hAnsi="Arial" w:cs="Arial"/>
          <w:bCs/>
          <w:sz w:val="21"/>
          <w:szCs w:val="21"/>
          <w:lang w:val="es-MX" w:eastAsia="es-CO"/>
        </w:rPr>
      </w:pPr>
      <w:r w:rsidRPr="006C314F">
        <w:rPr>
          <w:rFonts w:ascii="Arial" w:hAnsi="Arial" w:cs="Arial"/>
          <w:bCs/>
          <w:sz w:val="21"/>
          <w:szCs w:val="21"/>
          <w:lang w:val="es-MX" w:eastAsia="es-CO"/>
        </w:rPr>
        <w:t>No está de más recordar que las prohibiciones</w:t>
      </w:r>
      <w:r w:rsidRPr="006C314F">
        <w:rPr>
          <w:rFonts w:ascii="Arial" w:hAnsi="Arial" w:cs="Arial"/>
          <w:bCs/>
          <w:sz w:val="21"/>
          <w:szCs w:val="21"/>
          <w:lang w:val="es-MX" w:eastAsia="es-CO"/>
        </w:rPr>
        <w:t xml:space="preserve">,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6C314F">
        <w:rPr>
          <w:rFonts w:ascii="Arial" w:hAnsi="Arial" w:cs="Arial"/>
          <w:bCs/>
          <w:sz w:val="21"/>
          <w:szCs w:val="21"/>
          <w:lang w:val="es-MX" w:eastAsia="es-CO"/>
        </w:rPr>
        <w:t>legis</w:t>
      </w:r>
      <w:proofErr w:type="spellEnd"/>
      <w:r w:rsidRPr="006C314F">
        <w:rPr>
          <w:rFonts w:ascii="Arial" w:hAnsi="Arial" w:cs="Arial"/>
          <w:bCs/>
          <w:sz w:val="21"/>
          <w:szCs w:val="21"/>
          <w:lang w:val="es-MX"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rsidRPr="006C314F" w:rsidR="00963B93" w:rsidP="00963B93" w:rsidRDefault="00963B93" w14:paraId="187E936E" w14:textId="77777777">
      <w:pPr>
        <w:ind w:left="709" w:right="709"/>
        <w:contextualSpacing/>
        <w:jc w:val="both"/>
        <w:rPr>
          <w:rFonts w:ascii="Arial" w:hAnsi="Arial" w:cs="Arial"/>
          <w:bCs/>
          <w:sz w:val="21"/>
          <w:szCs w:val="21"/>
          <w:lang w:val="es-MX" w:eastAsia="es-CO"/>
        </w:rPr>
      </w:pPr>
    </w:p>
    <w:p w:rsidRPr="006C314F" w:rsidR="00963B93" w:rsidP="00963B93" w:rsidRDefault="00963B93" w14:paraId="4AEAB442" w14:textId="77777777">
      <w:pPr>
        <w:ind w:left="709" w:right="709"/>
        <w:contextualSpacing/>
        <w:jc w:val="both"/>
        <w:rPr>
          <w:rFonts w:ascii="Arial" w:hAnsi="Arial" w:cs="Arial"/>
          <w:bCs/>
          <w:sz w:val="21"/>
          <w:szCs w:val="21"/>
          <w:lang w:val="es-MX" w:eastAsia="es-CO"/>
        </w:rPr>
      </w:pPr>
      <w:r w:rsidRPr="006C314F">
        <w:rPr>
          <w:rFonts w:ascii="Arial" w:hAnsi="Arial" w:cs="Arial"/>
          <w:bCs/>
          <w:sz w:val="21"/>
          <w:szCs w:val="21"/>
          <w:lang w:val="es-MX" w:eastAsia="es-CO"/>
        </w:rPr>
        <w:t>La jurisprudencia de la Corte Constitucional</w:t>
      </w:r>
      <w:r w:rsidRPr="006C314F">
        <w:rPr>
          <w:rFonts w:ascii="Arial" w:hAnsi="Arial" w:cs="Arial"/>
          <w:bCs/>
          <w:sz w:val="21"/>
          <w:szCs w:val="21"/>
          <w:vertAlign w:val="superscript"/>
          <w:lang w:val="es-MX" w:eastAsia="es-CO"/>
        </w:rPr>
        <w:footnoteReference w:id="6"/>
      </w:r>
      <w:r w:rsidRPr="006C314F">
        <w:rPr>
          <w:rFonts w:ascii="Arial" w:hAnsi="Arial" w:cs="Arial"/>
          <w:bCs/>
          <w:sz w:val="21"/>
          <w:szCs w:val="21"/>
          <w:lang w:val="es-MX" w:eastAsia="es-CO"/>
        </w:rPr>
        <w:t> y del Consejo de Estado</w:t>
      </w:r>
      <w:r w:rsidRPr="006C314F">
        <w:rPr>
          <w:rFonts w:ascii="Arial" w:hAnsi="Arial" w:cs="Arial"/>
          <w:bCs/>
          <w:sz w:val="21"/>
          <w:szCs w:val="21"/>
          <w:vertAlign w:val="superscript"/>
          <w:lang w:val="es-MX" w:eastAsia="es-CO"/>
        </w:rPr>
        <w:footnoteReference w:id="7"/>
      </w:r>
      <w:r w:rsidRPr="006C314F">
        <w:rPr>
          <w:rFonts w:ascii="Arial" w:hAnsi="Arial" w:cs="Arial"/>
          <w:bCs/>
          <w:sz w:val="21"/>
          <w:szCs w:val="21"/>
          <w:lang w:val="es-MX" w:eastAsia="es-CO"/>
        </w:rPr>
        <w:t xml:space="preserve">,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w:t>
      </w:r>
      <w:r w:rsidRPr="006C314F">
        <w:rPr>
          <w:rFonts w:ascii="Arial" w:hAnsi="Arial" w:cs="Arial"/>
          <w:bCs/>
          <w:sz w:val="21"/>
          <w:szCs w:val="21"/>
          <w:lang w:val="es-MX" w:eastAsia="es-CO"/>
        </w:rPr>
        <w:lastRenderedPageBreak/>
        <w:t xml:space="preserve">justificada- a la </w:t>
      </w:r>
      <w:r w:rsidRPr="006C314F">
        <w:rPr>
          <w:rFonts w:ascii="Arial" w:hAnsi="Arial" w:cs="Arial"/>
          <w:bCs/>
          <w:sz w:val="21"/>
          <w:szCs w:val="21"/>
          <w:lang w:val="es-MX" w:eastAsia="es-CO"/>
        </w:rPr>
        <w:t>libertad de actuar o capacidad de obrar, sobrepasar sus precisos términos comporta el desconocimiento de la voluntad del legislador</w:t>
      </w:r>
      <w:r w:rsidRPr="006C314F">
        <w:rPr>
          <w:rFonts w:ascii="Arial" w:hAnsi="Arial" w:cs="Arial"/>
          <w:bCs/>
          <w:vertAlign w:val="superscript"/>
          <w:lang w:val="es-MX" w:eastAsia="es-CO"/>
        </w:rPr>
        <w:footnoteReference w:id="8"/>
      </w:r>
      <w:r w:rsidRPr="006C314F">
        <w:rPr>
          <w:rFonts w:ascii="Arial" w:hAnsi="Arial" w:cs="Arial"/>
          <w:bCs/>
          <w:sz w:val="21"/>
          <w:szCs w:val="21"/>
          <w:lang w:val="es-MX" w:eastAsia="es-CO"/>
        </w:rPr>
        <w:t>.</w:t>
      </w:r>
    </w:p>
    <w:p w:rsidRPr="00963B93" w:rsidR="00963B93" w:rsidP="00963B93" w:rsidRDefault="00963B93" w14:paraId="291224E4" w14:textId="77777777">
      <w:pPr>
        <w:spacing w:line="276" w:lineRule="auto"/>
        <w:ind w:right="709"/>
        <w:contextualSpacing/>
        <w:jc w:val="both"/>
        <w:rPr>
          <w:rFonts w:ascii="Arial" w:hAnsi="Arial" w:cs="Arial"/>
          <w:bCs/>
          <w:sz w:val="22"/>
          <w:szCs w:val="22"/>
          <w:lang w:val="es-MX" w:eastAsia="es-CO"/>
        </w:rPr>
      </w:pPr>
    </w:p>
    <w:p w:rsidRPr="00963B93" w:rsidR="00963B93" w:rsidP="00963B93" w:rsidRDefault="00963B93" w14:paraId="381DFB4C" w14:textId="2F9D78C1">
      <w:pPr>
        <w:spacing w:after="120" w:line="276" w:lineRule="auto"/>
        <w:jc w:val="both"/>
        <w:rPr>
          <w:rFonts w:ascii="Arial" w:hAnsi="Arial" w:eastAsia="Arial" w:cs="Arial"/>
          <w:sz w:val="22"/>
          <w:szCs w:val="22"/>
          <w:lang w:val="es-ES" w:eastAsia="es-ES" w:bidi="es-ES"/>
        </w:rPr>
      </w:pPr>
      <w:r w:rsidRPr="00963B93">
        <w:rPr>
          <w:rFonts w:ascii="Arial" w:hAnsi="Arial" w:cs="Arial"/>
          <w:bCs/>
          <w:sz w:val="22"/>
          <w:szCs w:val="22"/>
          <w:lang w:val="es-MX" w:eastAsia="es-CO"/>
        </w:rPr>
        <w:tab/>
      </w:r>
      <w:r w:rsidRPr="00963B93">
        <w:rPr>
          <w:rFonts w:ascii="Arial" w:hAnsi="Arial" w:cs="Arial"/>
          <w:bCs/>
          <w:sz w:val="22"/>
          <w:szCs w:val="22"/>
          <w:lang w:val="es-MX" w:eastAsia="es-CO"/>
        </w:rPr>
        <w:t>De</w:t>
      </w:r>
      <w:r w:rsidRPr="00963B93">
        <w:rPr>
          <w:rFonts w:ascii="Arial" w:hAnsi="Arial" w:eastAsia="Arial" w:cs="Arial"/>
          <w:sz w:val="22"/>
          <w:szCs w:val="22"/>
          <w:lang w:val="es-ES" w:eastAsia="es-ES" w:bidi="es-ES"/>
        </w:rPr>
        <w:t xml:space="preserve"> conformidad con lo anterior, </w:t>
      </w:r>
      <w:bookmarkStart w:name="_Hlk77236098" w:id="17"/>
      <w:r w:rsidRPr="00963B93">
        <w:rPr>
          <w:rFonts w:ascii="Arial" w:hAnsi="Arial" w:eastAsia="Arial" w:cs="Arial"/>
          <w:sz w:val="22"/>
          <w:szCs w:val="22"/>
          <w:lang w:val="es-ES" w:eastAsia="es-ES" w:bidi="es-ES"/>
        </w:rPr>
        <w:t>la Ley de Garantías Electorales fijó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territorial.</w:t>
      </w:r>
      <w:bookmarkEnd w:id="17"/>
    </w:p>
    <w:p w:rsidRPr="00963B93" w:rsidR="00963B93" w:rsidP="00963B93" w:rsidRDefault="00963B93" w14:paraId="713E5C7C" w14:textId="77777777">
      <w:pPr>
        <w:spacing w:after="120" w:line="276" w:lineRule="auto"/>
        <w:ind w:firstLine="708"/>
        <w:jc w:val="both"/>
        <w:rPr>
          <w:rFonts w:ascii="Arial" w:hAnsi="Arial" w:eastAsia="Calibri" w:cs="Arial"/>
          <w:sz w:val="22"/>
          <w:szCs w:val="22"/>
        </w:rPr>
      </w:pPr>
      <w:r w:rsidRPr="00963B93">
        <w:rPr>
          <w:rFonts w:ascii="Arial" w:hAnsi="Arial" w:eastAsia="Calibri" w:cs="Arial"/>
          <w:sz w:val="22"/>
          <w:szCs w:val="22"/>
        </w:rPr>
        <w:t xml:space="preserve">Por un lado, el artículo 33 de la Ley 996 de 2005 prohíbe </w:t>
      </w:r>
      <w:r w:rsidRPr="00963B93">
        <w:rPr>
          <w:rFonts w:ascii="Arial" w:hAnsi="Arial" w:eastAsia="Calibri" w:cs="Arial"/>
          <w:bCs/>
          <w:sz w:val="22"/>
          <w:szCs w:val="22"/>
        </w:rPr>
        <w:t xml:space="preserve">«[…] </w:t>
      </w:r>
      <w:r w:rsidRPr="00963B93">
        <w:rPr>
          <w:rFonts w:ascii="Arial" w:hAnsi="Arial" w:eastAsia="Calibri" w:cs="Arial"/>
          <w:sz w:val="22"/>
          <w:szCs w:val="22"/>
        </w:rPr>
        <w:t>la contratación directa por parte de todos los entes del Estado</w:t>
      </w:r>
      <w:r w:rsidRPr="00963B93">
        <w:rPr>
          <w:rFonts w:ascii="Arial" w:hAnsi="Arial" w:eastAsia="Calibri" w:cs="Arial"/>
          <w:bCs/>
          <w:sz w:val="22"/>
          <w:szCs w:val="22"/>
        </w:rPr>
        <w:t>»</w:t>
      </w:r>
      <w:r w:rsidRPr="00963B93">
        <w:rPr>
          <w:rFonts w:ascii="Arial" w:hAnsi="Arial" w:eastAsia="Calibri" w:cs="Arial"/>
          <w:sz w:val="22"/>
          <w:szCs w:val="22"/>
        </w:rPr>
        <w:t xml:space="preserve"> durante los cuatro (4) meses anteriores a las elecciones presidenciales, salvo </w:t>
      </w:r>
      <w:r w:rsidRPr="00963B93">
        <w:rPr>
          <w:rFonts w:ascii="Arial" w:hAnsi="Arial" w:eastAsia="Calibri" w:cs="Arial"/>
          <w:bCs/>
          <w:sz w:val="22"/>
          <w:szCs w:val="22"/>
        </w:rPr>
        <w:t xml:space="preserve">«[…] </w:t>
      </w:r>
      <w:r w:rsidRPr="00963B93">
        <w:rPr>
          <w:rFonts w:ascii="Arial" w:hAnsi="Arial" w:eastAsia="Calibri" w:cs="Arial"/>
          <w:sz w:val="22"/>
          <w:szCs w:val="22"/>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963B93">
        <w:rPr>
          <w:rFonts w:ascii="Arial" w:hAnsi="Arial" w:eastAsia="Calibri" w:cs="Arial"/>
          <w:bCs/>
          <w:sz w:val="22"/>
          <w:szCs w:val="22"/>
        </w:rPr>
        <w:t>»</w:t>
      </w:r>
      <w:r w:rsidRPr="00963B93">
        <w:rPr>
          <w:rFonts w:ascii="Arial" w:hAnsi="Arial" w:eastAsia="Calibri" w:cs="Arial"/>
          <w:bCs/>
          <w:sz w:val="22"/>
          <w:szCs w:val="22"/>
          <w:vertAlign w:val="superscript"/>
        </w:rPr>
        <w:footnoteReference w:id="9"/>
      </w:r>
      <w:r w:rsidRPr="00963B93">
        <w:rPr>
          <w:rFonts w:ascii="Arial" w:hAnsi="Arial" w:eastAsia="Calibri" w:cs="Arial"/>
          <w:sz w:val="22"/>
          <w:szCs w:val="22"/>
        </w:rPr>
        <w:t>.</w:t>
      </w:r>
    </w:p>
    <w:p w:rsidRPr="00963B93" w:rsidR="00963B93" w:rsidP="00963B93" w:rsidRDefault="00963B93" w14:paraId="006F0500" w14:textId="77777777">
      <w:pPr>
        <w:widowControl w:val="0"/>
        <w:autoSpaceDE w:val="0"/>
        <w:autoSpaceDN w:val="0"/>
        <w:spacing w:line="276" w:lineRule="auto"/>
        <w:ind w:right="113" w:firstLine="708"/>
        <w:contextualSpacing/>
        <w:jc w:val="both"/>
        <w:rPr>
          <w:rFonts w:ascii="Arial" w:hAnsi="Arial" w:eastAsia="Arial" w:cs="Arial"/>
          <w:sz w:val="22"/>
          <w:szCs w:val="22"/>
          <w:lang w:val="es-ES" w:eastAsia="es-ES" w:bidi="es-ES"/>
        </w:rPr>
      </w:pPr>
      <w:r w:rsidRPr="00963B93">
        <w:rPr>
          <w:rFonts w:ascii="Arial" w:hAnsi="Arial" w:eastAsia="Calibri" w:cs="Arial"/>
          <w:sz w:val="22"/>
          <w:szCs w:val="22"/>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963B93">
        <w:rPr>
          <w:rFonts w:ascii="Arial" w:hAnsi="Arial" w:eastAsia="Calibri" w:cs="Arial"/>
          <w:bCs/>
          <w:sz w:val="22"/>
          <w:szCs w:val="22"/>
        </w:rPr>
        <w:t xml:space="preserve">«[…] </w:t>
      </w:r>
      <w:r w:rsidRPr="00963B93">
        <w:rPr>
          <w:rFonts w:ascii="Arial" w:hAnsi="Arial" w:eastAsia="Calibri" w:cs="Arial"/>
          <w:sz w:val="22"/>
          <w:szCs w:val="22"/>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963B93">
        <w:rPr>
          <w:rFonts w:ascii="Arial" w:hAnsi="Arial" w:eastAsia="Calibri" w:cs="Arial"/>
          <w:bCs/>
          <w:sz w:val="22"/>
          <w:szCs w:val="22"/>
        </w:rPr>
        <w:t>»</w:t>
      </w:r>
      <w:r w:rsidRPr="00963B93">
        <w:rPr>
          <w:rFonts w:ascii="Arial" w:hAnsi="Arial" w:eastAsia="Calibri" w:cs="Arial"/>
          <w:bCs/>
          <w:sz w:val="22"/>
          <w:szCs w:val="22"/>
          <w:vertAlign w:val="superscript"/>
        </w:rPr>
        <w:footnoteReference w:id="10"/>
      </w:r>
      <w:r w:rsidRPr="00963B93">
        <w:rPr>
          <w:rFonts w:ascii="Arial" w:hAnsi="Arial" w:eastAsia="Calibri" w:cs="Arial"/>
          <w:sz w:val="22"/>
          <w:szCs w:val="22"/>
          <w:lang w:val="es-MX"/>
        </w:rPr>
        <w:t>.</w:t>
      </w:r>
      <w:r w:rsidRPr="00963B93">
        <w:rPr>
          <w:rFonts w:ascii="Arial" w:hAnsi="Arial" w:eastAsia="Arial" w:cs="Arial"/>
          <w:sz w:val="22"/>
          <w:szCs w:val="22"/>
          <w:lang w:val="es-ES" w:eastAsia="es-ES" w:bidi="es-ES"/>
        </w:rPr>
        <w:t xml:space="preserve"> La Sala de Consulta y Servicio Civil del Consejo de Estado ha aclarado la </w:t>
      </w:r>
      <w:r w:rsidRPr="00963B93">
        <w:rPr>
          <w:rFonts w:ascii="Arial" w:hAnsi="Arial" w:eastAsia="Arial" w:cs="Arial"/>
          <w:sz w:val="22"/>
          <w:szCs w:val="22"/>
          <w:lang w:val="es-ES" w:eastAsia="es-ES" w:bidi="es-ES"/>
        </w:rPr>
        <w:lastRenderedPageBreak/>
        <w:t>distinción en la aplicación de las prohibiciones de la Ley 996 de 2005, dependiendo del tipo de elección que se trate. Al respecto, considera que:</w:t>
      </w:r>
    </w:p>
    <w:p w:rsidRPr="00963B93" w:rsidR="00963B93" w:rsidP="00963B93" w:rsidRDefault="00963B93" w14:paraId="3E1F7F88" w14:textId="77777777">
      <w:pPr>
        <w:widowControl w:val="0"/>
        <w:autoSpaceDE w:val="0"/>
        <w:autoSpaceDN w:val="0"/>
        <w:spacing w:line="276" w:lineRule="auto"/>
        <w:ind w:left="805" w:right="812"/>
        <w:contextualSpacing/>
        <w:jc w:val="both"/>
        <w:rPr>
          <w:rFonts w:ascii="Arial" w:hAnsi="Arial" w:eastAsia="Arial" w:cs="Arial"/>
          <w:sz w:val="22"/>
          <w:szCs w:val="22"/>
          <w:lang w:val="es-ES" w:eastAsia="es-ES" w:bidi="es-ES"/>
        </w:rPr>
      </w:pPr>
    </w:p>
    <w:p w:rsidRPr="006C314F" w:rsidR="00963B93" w:rsidP="00963B93" w:rsidRDefault="00963B93" w14:paraId="596C5687" w14:textId="77777777">
      <w:pPr>
        <w:widowControl w:val="0"/>
        <w:autoSpaceDE w:val="0"/>
        <w:autoSpaceDN w:val="0"/>
        <w:ind w:left="709" w:right="709"/>
        <w:contextualSpacing/>
        <w:jc w:val="both"/>
        <w:rPr>
          <w:rFonts w:ascii="Arial" w:hAnsi="Arial" w:eastAsia="Arial" w:cs="Arial"/>
          <w:sz w:val="21"/>
          <w:szCs w:val="21"/>
          <w:lang w:val="es-ES" w:eastAsia="es-ES" w:bidi="es-ES"/>
        </w:rPr>
      </w:pPr>
      <w:r w:rsidRPr="006C314F">
        <w:rPr>
          <w:rFonts w:ascii="Arial" w:hAnsi="Arial" w:eastAsia="Arial" w:cs="Arial"/>
          <w:sz w:val="21"/>
          <w:szCs w:val="21"/>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name="_Hlk76109421" w:id="20"/>
      <w:r w:rsidRPr="006C314F">
        <w:rPr>
          <w:rFonts w:ascii="Arial" w:hAnsi="Arial" w:eastAsia="Arial" w:cs="Arial"/>
          <w:sz w:val="21"/>
          <w:szCs w:val="21"/>
          <w:lang w:val="es-ES" w:eastAsia="es-ES" w:bidi="es-ES"/>
        </w:rPr>
        <w:t>se integran parcialmente</w:t>
      </w:r>
      <w:bookmarkEnd w:id="20"/>
      <w:r w:rsidRPr="006C314F">
        <w:rPr>
          <w:rFonts w:ascii="Arial" w:hAnsi="Arial" w:eastAsia="Arial" w:cs="Arial"/>
          <w:sz w:val="21"/>
          <w:szCs w:val="21"/>
          <w:lang w:val="es-ES"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6C314F">
        <w:rPr>
          <w:rFonts w:ascii="Arial" w:hAnsi="Arial" w:eastAsia="Arial" w:cs="Arial"/>
          <w:bCs/>
          <w:sz w:val="21"/>
          <w:szCs w:val="21"/>
          <w:lang w:val="es-ES" w:eastAsia="es-ES" w:bidi="es-ES"/>
        </w:rPr>
        <w:t xml:space="preserve">En cambio, para elecciones en general, excluyendo las correspondientes a </w:t>
      </w:r>
      <w:proofErr w:type="gramStart"/>
      <w:r w:rsidRPr="006C314F">
        <w:rPr>
          <w:rFonts w:ascii="Arial" w:hAnsi="Arial" w:eastAsia="Arial" w:cs="Arial"/>
          <w:bCs/>
          <w:sz w:val="21"/>
          <w:szCs w:val="21"/>
          <w:lang w:val="es-ES" w:eastAsia="es-ES" w:bidi="es-ES"/>
        </w:rPr>
        <w:t>Presidente</w:t>
      </w:r>
      <w:proofErr w:type="gramEnd"/>
      <w:r w:rsidRPr="006C314F">
        <w:rPr>
          <w:rFonts w:ascii="Arial" w:hAnsi="Arial" w:eastAsia="Arial" w:cs="Arial"/>
          <w:bCs/>
          <w:sz w:val="21"/>
          <w:szCs w:val="21"/>
          <w:lang w:val="es-ES" w:eastAsia="es-ES" w:bidi="es-ES"/>
        </w:rPr>
        <w:t xml:space="preserve"> de la República, a las autoridades territoriales allí mencionadas sólo se aplican las restricciones contenidas en el parágrafo del artículo 38</w:t>
      </w:r>
      <w:r w:rsidRPr="006C314F">
        <w:rPr>
          <w:rFonts w:ascii="Arial" w:hAnsi="Arial" w:eastAsia="Arial" w:cs="Arial"/>
          <w:sz w:val="21"/>
          <w:szCs w:val="21"/>
          <w:lang w:val="es-ES" w:eastAsia="es-ES" w:bidi="es-ES"/>
        </w:rPr>
        <w:t>.</w:t>
      </w:r>
      <w:r w:rsidRPr="006C314F">
        <w:rPr>
          <w:rFonts w:ascii="Arial" w:hAnsi="Arial" w:eastAsia="Arial" w:cs="Arial"/>
          <w:sz w:val="21"/>
          <w:szCs w:val="21"/>
          <w:vertAlign w:val="superscript"/>
          <w:lang w:val="es-ES" w:eastAsia="es-ES" w:bidi="es-ES"/>
        </w:rPr>
        <w:footnoteReference w:id="11"/>
      </w:r>
    </w:p>
    <w:p w:rsidRPr="00963B93" w:rsidR="00963B93" w:rsidP="00963B93" w:rsidRDefault="00963B93" w14:paraId="2C406158" w14:textId="77777777">
      <w:pPr>
        <w:widowControl w:val="0"/>
        <w:autoSpaceDE w:val="0"/>
        <w:autoSpaceDN w:val="0"/>
        <w:spacing w:line="276" w:lineRule="auto"/>
        <w:contextualSpacing/>
        <w:rPr>
          <w:rFonts w:ascii="Arial" w:hAnsi="Arial" w:eastAsia="Arial" w:cs="Arial"/>
          <w:sz w:val="22"/>
          <w:szCs w:val="22"/>
          <w:lang w:val="es-ES" w:eastAsia="es-ES" w:bidi="es-ES"/>
        </w:rPr>
      </w:pPr>
    </w:p>
    <w:p w:rsidRPr="00963B93" w:rsidR="00963B93" w:rsidP="00963B93" w:rsidRDefault="00963B93" w14:paraId="3CE340D0" w14:textId="77777777">
      <w:pPr>
        <w:spacing w:after="120" w:line="276" w:lineRule="auto"/>
        <w:ind w:firstLine="709"/>
        <w:jc w:val="both"/>
        <w:rPr>
          <w:rFonts w:ascii="Arial" w:hAnsi="Arial" w:eastAsia="Arial" w:cs="Arial"/>
          <w:sz w:val="22"/>
          <w:szCs w:val="22"/>
          <w:lang w:val="es-ES" w:eastAsia="es-ES" w:bidi="es-ES"/>
        </w:rPr>
      </w:pPr>
      <w:r w:rsidRPr="00963B93">
        <w:rPr>
          <w:rFonts w:ascii="Arial" w:hAnsi="Arial" w:eastAsia="Arial" w:cs="Arial"/>
          <w:sz w:val="22"/>
          <w:szCs w:val="22"/>
          <w:lang w:val="es-ES" w:eastAsia="es-ES" w:bidi="es-ES"/>
        </w:rPr>
        <w:t xml:space="preserve">De conformidad con lo anterior, </w:t>
      </w:r>
      <w:bookmarkStart w:name="_Hlk77236420" w:id="21"/>
      <w:bookmarkStart w:name="_Hlk78818435" w:id="22"/>
      <w:bookmarkStart w:name="_Hlk75780333" w:id="23"/>
      <w:r w:rsidRPr="00963B93">
        <w:rPr>
          <w:rFonts w:ascii="Arial" w:hAnsi="Arial" w:eastAsia="Arial" w:cs="Arial"/>
          <w:sz w:val="22"/>
          <w:szCs w:val="22"/>
          <w:lang w:val="es-ES" w:eastAsia="es-ES" w:bidi="es-ES"/>
        </w:rPr>
        <w:t xml:space="preserve">la Ley 996 de 2005 establece dos (2) tipos de restricciones en materia de contratación, las cuales coinciden parcialmente. </w:t>
      </w:r>
      <w:r w:rsidRPr="00963B93">
        <w:rPr>
          <w:rFonts w:ascii="Arial" w:hAnsi="Arial" w:eastAsia="Arial" w:cs="Arial"/>
          <w:i/>
          <w:iCs/>
          <w:sz w:val="22"/>
          <w:szCs w:val="22"/>
          <w:lang w:val="es-ES" w:eastAsia="es-ES" w:bidi="es-ES"/>
        </w:rPr>
        <w:t>En primer lugar</w:t>
      </w:r>
      <w:r w:rsidRPr="00963B93">
        <w:rPr>
          <w:rFonts w:ascii="Arial" w:hAnsi="Arial" w:eastAsia="Arial" w:cs="Arial"/>
          <w:sz w:val="22"/>
          <w:szCs w:val="22"/>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963B93">
        <w:rPr>
          <w:rFonts w:ascii="Arial" w:hAnsi="Arial" w:eastAsia="Arial" w:cs="Arial"/>
          <w:i/>
          <w:iCs/>
          <w:sz w:val="22"/>
          <w:szCs w:val="22"/>
          <w:lang w:val="es-ES" w:eastAsia="es-ES" w:bidi="es-ES"/>
        </w:rPr>
        <w:t>En segundo lugar</w:t>
      </w:r>
      <w:r w:rsidRPr="00963B93">
        <w:rPr>
          <w:rFonts w:ascii="Arial" w:hAnsi="Arial" w:eastAsia="Arial" w:cs="Arial"/>
          <w:sz w:val="22"/>
          <w:szCs w:val="22"/>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21"/>
    </w:p>
    <w:bookmarkEnd w:id="22"/>
    <w:p w:rsidRPr="00963B93" w:rsidR="00963B93" w:rsidP="00963B93" w:rsidRDefault="00963B93" w14:paraId="753A4F37" w14:textId="77777777">
      <w:pPr>
        <w:spacing w:after="120" w:line="276" w:lineRule="auto"/>
        <w:ind w:firstLine="709"/>
        <w:jc w:val="both"/>
        <w:rPr>
          <w:rFonts w:ascii="Arial" w:hAnsi="Arial" w:eastAsia="Arial" w:cs="Arial"/>
          <w:sz w:val="22"/>
          <w:szCs w:val="22"/>
          <w:lang w:val="es-ES" w:eastAsia="es-ES" w:bidi="es-ES"/>
        </w:rPr>
      </w:pPr>
      <w:r w:rsidRPr="00963B93">
        <w:rPr>
          <w:rFonts w:ascii="Arial" w:hAnsi="Arial" w:eastAsia="Arial" w:cs="Arial"/>
          <w:sz w:val="22"/>
          <w:szCs w:val="22"/>
          <w:lang w:val="es-ES" w:eastAsia="es-ES" w:bidi="es-ES"/>
        </w:rPr>
        <w:t xml:space="preserve">Ambas restricciones no son excluyentes, lo que permite concluir que en el período preelectoral para elección de </w:t>
      </w:r>
      <w:proofErr w:type="gramStart"/>
      <w:r w:rsidRPr="00963B93">
        <w:rPr>
          <w:rFonts w:ascii="Arial" w:hAnsi="Arial" w:eastAsia="Arial" w:cs="Arial"/>
          <w:sz w:val="22"/>
          <w:szCs w:val="22"/>
          <w:lang w:val="es-ES" w:eastAsia="es-ES" w:bidi="es-ES"/>
        </w:rPr>
        <w:t>Presidente</w:t>
      </w:r>
      <w:proofErr w:type="gramEnd"/>
      <w:r w:rsidRPr="00963B93">
        <w:rPr>
          <w:rFonts w:ascii="Arial" w:hAnsi="Arial" w:eastAsia="Arial" w:cs="Arial"/>
          <w:sz w:val="22"/>
          <w:szCs w:val="22"/>
          <w:lang w:val="es-ES" w:eastAsia="es-ES" w:bidi="es-ES"/>
        </w:rPr>
        <w:t xml:space="preserve"> de la República, a todos los entes del Estado, </w:t>
      </w:r>
      <w:r w:rsidRPr="00963B93">
        <w:rPr>
          <w:rFonts w:ascii="Arial" w:hAnsi="Arial" w:eastAsia="Arial" w:cs="Arial"/>
          <w:sz w:val="22"/>
          <w:szCs w:val="22"/>
          <w:lang w:val="es-ES" w:eastAsia="es-ES" w:bidi="es-ES"/>
        </w:rPr>
        <w:lastRenderedPageBreak/>
        <w:t xml:space="preserve">incluidos los territoriales, aplican las restricciones del artículo 33 con sus excepciones, así como las del parágrafo del artículo 38. En cambio, tratándose de elecciones en general, excluyendo las correspondientes al </w:t>
      </w:r>
      <w:proofErr w:type="gramStart"/>
      <w:r w:rsidRPr="00963B93">
        <w:rPr>
          <w:rFonts w:ascii="Arial" w:hAnsi="Arial" w:eastAsia="Arial" w:cs="Arial"/>
          <w:sz w:val="22"/>
          <w:szCs w:val="22"/>
          <w:lang w:val="es-ES" w:eastAsia="es-ES" w:bidi="es-ES"/>
        </w:rPr>
        <w:t>Presidente</w:t>
      </w:r>
      <w:proofErr w:type="gramEnd"/>
      <w:r w:rsidRPr="00963B93">
        <w:rPr>
          <w:rFonts w:ascii="Arial" w:hAnsi="Arial" w:eastAsia="Arial" w:cs="Arial"/>
          <w:sz w:val="22"/>
          <w:szCs w:val="22"/>
          <w:lang w:val="es-ES" w:eastAsia="es-ES" w:bidi="es-ES"/>
        </w:rPr>
        <w:t xml:space="preserve"> de la República, las autoridades allí mencionadas sólo deben aplicar las restricciones contenidas en el parágrafo del artículo 38.</w:t>
      </w:r>
    </w:p>
    <w:bookmarkEnd w:id="23"/>
    <w:p w:rsidRPr="00963B93" w:rsidR="00524963" w:rsidP="00963B93" w:rsidRDefault="00963B93" w14:paraId="5121E9E1" w14:textId="58FDE126">
      <w:pPr>
        <w:spacing w:before="120" w:line="276" w:lineRule="auto"/>
        <w:ind w:firstLine="708"/>
        <w:jc w:val="both"/>
        <w:rPr>
          <w:rFonts w:ascii="Arial" w:hAnsi="Arial" w:eastAsia="Arial" w:cs="Arial"/>
          <w:sz w:val="22"/>
          <w:szCs w:val="22"/>
          <w:lang w:val="es-ES_tradnl" w:eastAsia="es-ES" w:bidi="es-ES"/>
        </w:rPr>
      </w:pPr>
      <w:r w:rsidRPr="00963B93">
        <w:rPr>
          <w:rFonts w:ascii="Arial" w:hAnsi="Arial" w:eastAsia="Arial" w:cs="Arial"/>
          <w:sz w:val="22"/>
          <w:szCs w:val="22"/>
          <w:lang w:val="es-ES" w:eastAsia="es-ES" w:bidi="es-ES"/>
        </w:rPr>
        <w:t xml:space="preserve">La Corte Constitucional, en la Sentencia C-1153 del 11 de noviembre de 2005, señaló que, para que la garantía sea plena, era necesario que la prohibición se aplicara para el </w:t>
      </w:r>
      <w:proofErr w:type="gramStart"/>
      <w:r w:rsidRPr="00963B93">
        <w:rPr>
          <w:rFonts w:ascii="Arial" w:hAnsi="Arial" w:eastAsia="Arial" w:cs="Arial"/>
          <w:sz w:val="22"/>
          <w:szCs w:val="22"/>
          <w:lang w:val="es-ES" w:eastAsia="es-ES" w:bidi="es-ES"/>
        </w:rPr>
        <w:t>Presidente</w:t>
      </w:r>
      <w:proofErr w:type="gramEnd"/>
      <w:r w:rsidRPr="00963B93">
        <w:rPr>
          <w:rFonts w:ascii="Arial" w:hAnsi="Arial" w:eastAsia="Arial" w:cs="Arial"/>
          <w:sz w:val="22"/>
          <w:szCs w:val="22"/>
          <w:lang w:val="es-ES" w:eastAsia="es-ES" w:bidi="es-ES"/>
        </w:rPr>
        <w:t xml:space="preserv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p>
    <w:p w:rsidRPr="00963B93" w:rsidR="00524963" w:rsidP="00524963" w:rsidRDefault="00524963" w14:paraId="1D163A2D" w14:textId="77777777">
      <w:pPr>
        <w:spacing w:line="276" w:lineRule="auto"/>
        <w:jc w:val="both"/>
        <w:rPr>
          <w:rFonts w:ascii="Arial" w:hAnsi="Arial" w:eastAsia="Arial" w:cs="Arial"/>
          <w:sz w:val="22"/>
          <w:szCs w:val="22"/>
          <w:lang w:val="es-ES_tradnl" w:eastAsia="es-ES" w:bidi="es-ES"/>
        </w:rPr>
      </w:pPr>
    </w:p>
    <w:p w:rsidRPr="00524963" w:rsidR="00524963" w:rsidP="00524963" w:rsidRDefault="00524963" w14:paraId="78C2973A" w14:textId="77777777">
      <w:pPr>
        <w:spacing w:line="276" w:lineRule="auto"/>
        <w:jc w:val="both"/>
        <w:rPr>
          <w:rFonts w:ascii="Arial" w:hAnsi="Arial" w:eastAsia="Calibri" w:cs="Arial"/>
          <w:b/>
          <w:sz w:val="22"/>
          <w:szCs w:val="22"/>
          <w:lang w:val="es-ES_tradnl" w:eastAsia="es-CO"/>
        </w:rPr>
      </w:pPr>
      <w:r w:rsidRPr="00524963">
        <w:rPr>
          <w:rFonts w:ascii="Arial" w:hAnsi="Arial" w:eastAsia="Calibri" w:cs="Arial"/>
          <w:b/>
          <w:sz w:val="22"/>
          <w:szCs w:val="22"/>
          <w:lang w:val="es-ES_tradnl" w:eastAsia="es-CO"/>
        </w:rPr>
        <w:t xml:space="preserve">2.2. </w:t>
      </w:r>
      <w:r w:rsidRPr="00524963">
        <w:rPr>
          <w:rFonts w:ascii="Arial" w:hAnsi="Arial" w:eastAsia="Calibri" w:cs="Arial"/>
          <w:b/>
          <w:bCs/>
          <w:sz w:val="22"/>
          <w:szCs w:val="22"/>
          <w:lang w:val="es-ES_tradnl" w:eastAsia="es-CO"/>
        </w:rPr>
        <w:t>Restricciones en elecciones presidenciales: prohibición del artículo 33 de la Ley 996 de 2005</w:t>
      </w:r>
    </w:p>
    <w:p w:rsidRPr="00524963" w:rsidR="00524963" w:rsidP="00524963" w:rsidRDefault="00524963" w14:paraId="5C3085D4" w14:textId="77777777">
      <w:pPr>
        <w:spacing w:line="276" w:lineRule="auto"/>
        <w:jc w:val="both"/>
        <w:rPr>
          <w:rFonts w:ascii="Arial" w:hAnsi="Arial" w:eastAsia="Calibri" w:cs="Arial"/>
          <w:bCs/>
          <w:sz w:val="22"/>
          <w:szCs w:val="22"/>
          <w:lang w:val="es-ES_tradnl" w:eastAsia="x-none"/>
        </w:rPr>
      </w:pPr>
    </w:p>
    <w:p w:rsidRPr="00524963" w:rsidR="00524963" w:rsidP="00524963" w:rsidRDefault="00524963" w14:paraId="4C8AF64C" w14:textId="77777777">
      <w:pPr>
        <w:spacing w:line="276" w:lineRule="auto"/>
        <w:jc w:val="both"/>
        <w:rPr>
          <w:rFonts w:ascii="Arial" w:hAnsi="Arial" w:eastAsia="Calibri" w:cs="Arial"/>
          <w:bCs/>
          <w:sz w:val="22"/>
          <w:szCs w:val="22"/>
          <w:lang w:val="es-ES_tradnl" w:eastAsia="es-CO"/>
        </w:rPr>
      </w:pPr>
      <w:r w:rsidRPr="00524963">
        <w:rPr>
          <w:rFonts w:ascii="Arial" w:hAnsi="Arial" w:eastAsia="Calibri" w:cs="Arial"/>
          <w:bCs/>
          <w:sz w:val="22"/>
          <w:szCs w:val="22"/>
          <w:lang w:val="es-ES_tradnl" w:eastAsia="x-none"/>
        </w:rPr>
        <w:t xml:space="preserve">El ámbito material de la prohibición contenida en el artículo 33 de la ley 996 de 2005 está delimitado por la expresión </w:t>
      </w:r>
      <w:r w:rsidRPr="00524963">
        <w:rPr>
          <w:rFonts w:ascii="Arial" w:hAnsi="Arial" w:eastAsia="Calibri" w:cs="Arial"/>
          <w:bCs/>
          <w:sz w:val="20"/>
          <w:szCs w:val="20"/>
          <w:lang w:val="es-ES_tradnl" w:eastAsia="en-US"/>
        </w:rPr>
        <w:t>«</w:t>
      </w:r>
      <w:r w:rsidRPr="00524963">
        <w:rPr>
          <w:rFonts w:ascii="Arial" w:hAnsi="Arial" w:eastAsia="Calibri" w:cs="Arial"/>
          <w:bCs/>
          <w:sz w:val="22"/>
          <w:szCs w:val="22"/>
          <w:lang w:val="es-ES_tradnl" w:eastAsia="x-none"/>
        </w:rPr>
        <w:t>queda prohibida la contratación directa</w:t>
      </w:r>
      <w:r w:rsidRPr="00524963">
        <w:rPr>
          <w:rFonts w:ascii="Arial" w:hAnsi="Arial" w:eastAsia="Calibri" w:cs="Arial"/>
          <w:sz w:val="20"/>
          <w:szCs w:val="20"/>
          <w:lang w:val="es-ES_tradnl" w:eastAsia="en-US"/>
        </w:rPr>
        <w:t>»</w:t>
      </w:r>
      <w:r w:rsidRPr="00524963">
        <w:rPr>
          <w:rFonts w:ascii="Arial" w:hAnsi="Arial" w:eastAsia="Calibri" w:cs="Arial"/>
          <w:bCs/>
          <w:sz w:val="22"/>
          <w:szCs w:val="22"/>
          <w:lang w:val="es-ES_tradnl" w:eastAsia="x-none"/>
        </w:rPr>
        <w:t xml:space="preserve">. </w:t>
      </w:r>
      <w:r w:rsidRPr="00524963">
        <w:rPr>
          <w:rFonts w:ascii="Arial" w:hAnsi="Arial" w:eastAsia="Calibri" w:cs="Arial"/>
          <w:sz w:val="22"/>
          <w:szCs w:val="22"/>
          <w:lang w:val="es-ES_tradnl" w:eastAsia="es-CO"/>
        </w:rPr>
        <w:t xml:space="preserve"> A propósito de esta restricción de la Ley de Garantías Electorales, la Sala de Consulta y Servicio Civil del Consejo de Estado ha considerado que:</w:t>
      </w:r>
    </w:p>
    <w:p w:rsidRPr="00524963" w:rsidR="00524963" w:rsidP="00524963" w:rsidRDefault="00524963" w14:paraId="0A17AB1D" w14:textId="77777777">
      <w:pPr>
        <w:spacing w:line="259" w:lineRule="auto"/>
        <w:ind w:left="708" w:right="709"/>
        <w:jc w:val="both"/>
        <w:rPr>
          <w:rFonts w:ascii="Arial" w:hAnsi="Arial" w:eastAsia="Calibri" w:cs="Arial"/>
          <w:sz w:val="22"/>
          <w:szCs w:val="22"/>
          <w:lang w:val="es-ES_tradnl" w:eastAsia="en-US"/>
        </w:rPr>
      </w:pPr>
    </w:p>
    <w:p w:rsidRPr="00524963" w:rsidR="00524963" w:rsidP="00524963" w:rsidRDefault="00524963" w14:paraId="490C216B" w14:textId="77777777">
      <w:pPr>
        <w:spacing w:after="120"/>
        <w:ind w:left="709" w:right="709"/>
        <w:jc w:val="both"/>
        <w:rPr>
          <w:rFonts w:ascii="Arial" w:hAnsi="Arial" w:eastAsia="Calibri" w:cs="Arial"/>
          <w:sz w:val="21"/>
          <w:szCs w:val="21"/>
          <w:lang w:val="es-ES_tradnl" w:eastAsia="en-US"/>
        </w:rPr>
      </w:pPr>
      <w:r w:rsidRPr="00524963">
        <w:rPr>
          <w:rFonts w:ascii="Arial" w:hAnsi="Arial" w:eastAsia="Calibri" w:cs="Arial"/>
          <w:sz w:val="21"/>
          <w:szCs w:val="21"/>
          <w:lang w:val="es-ES_tradnl" w:eastAsia="en-US"/>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524963">
        <w:rPr>
          <w:rFonts w:ascii="Arial" w:hAnsi="Arial" w:eastAsia="Calibri" w:cs="Arial"/>
          <w:sz w:val="21"/>
          <w:szCs w:val="21"/>
          <w:vertAlign w:val="superscript"/>
          <w:lang w:eastAsia="en-US"/>
        </w:rPr>
        <w:footnoteReference w:id="12"/>
      </w:r>
      <w:r w:rsidRPr="00524963">
        <w:rPr>
          <w:rFonts w:ascii="Arial" w:hAnsi="Arial" w:eastAsia="Calibri" w:cs="Arial"/>
          <w:sz w:val="21"/>
          <w:szCs w:val="21"/>
          <w:lang w:val="es-ES_tradnl" w:eastAsia="en-US"/>
        </w:rPr>
        <w:t>.</w:t>
      </w:r>
    </w:p>
    <w:p w:rsidRPr="00524963" w:rsidR="00524963" w:rsidP="00524963" w:rsidRDefault="00524963" w14:paraId="716AF450" w14:textId="77777777">
      <w:pPr>
        <w:ind w:left="708" w:right="709"/>
        <w:jc w:val="both"/>
        <w:rPr>
          <w:rFonts w:ascii="Arial" w:hAnsi="Arial" w:eastAsia="Calibri" w:cs="Arial"/>
          <w:sz w:val="21"/>
          <w:szCs w:val="21"/>
          <w:lang w:val="es-ES_tradnl" w:eastAsia="en-US"/>
        </w:rPr>
      </w:pPr>
      <w:r w:rsidRPr="00524963">
        <w:rPr>
          <w:rFonts w:ascii="Arial" w:hAnsi="Arial" w:eastAsia="Calibri" w:cs="Arial"/>
          <w:sz w:val="21"/>
          <w:szCs w:val="21"/>
          <w:lang w:val="es-ES_tradnl" w:eastAsia="en-US"/>
        </w:rPr>
        <w:t xml:space="preserve">Esta Sala ha entendido que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w:t>
      </w:r>
      <w:r w:rsidRPr="00524963">
        <w:rPr>
          <w:rFonts w:ascii="Arial" w:hAnsi="Arial" w:eastAsia="Calibri" w:cs="Arial"/>
          <w:sz w:val="21"/>
          <w:szCs w:val="21"/>
          <w:lang w:val="es-ES_tradnl" w:eastAsia="en-US"/>
        </w:rPr>
        <w:lastRenderedPageBreak/>
        <w:t>de un proceso de licitación pública o concurso</w:t>
      </w:r>
      <w:r w:rsidRPr="00524963">
        <w:rPr>
          <w:rFonts w:ascii="Arial" w:hAnsi="Arial" w:eastAsia="Calibri" w:cs="Arial"/>
          <w:sz w:val="21"/>
          <w:szCs w:val="21"/>
          <w:vertAlign w:val="superscript"/>
          <w:lang w:eastAsia="en-US"/>
        </w:rPr>
        <w:footnoteReference w:id="13"/>
      </w:r>
      <w:r w:rsidRPr="00524963">
        <w:rPr>
          <w:rFonts w:ascii="Arial" w:hAnsi="Arial" w:eastAsia="Calibri" w:cs="Arial"/>
          <w:sz w:val="21"/>
          <w:szCs w:val="21"/>
          <w:vertAlign w:val="superscript"/>
          <w:lang w:val="es-ES_tradnl" w:eastAsia="en-US"/>
        </w:rPr>
        <w:t>.</w:t>
      </w:r>
      <w:r w:rsidRPr="00524963">
        <w:rPr>
          <w:rFonts w:ascii="Arial" w:hAnsi="Arial" w:eastAsia="Calibri" w:cs="Arial"/>
          <w:sz w:val="21"/>
          <w:szCs w:val="21"/>
          <w:lang w:val="es-ES_tradnl" w:eastAsia="en-US"/>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524963">
        <w:rPr>
          <w:rFonts w:ascii="Arial" w:hAnsi="Arial" w:eastAsia="Calibri" w:cs="Arial"/>
          <w:sz w:val="21"/>
          <w:szCs w:val="21"/>
          <w:vertAlign w:val="superscript"/>
          <w:lang w:eastAsia="en-US"/>
        </w:rPr>
        <w:footnoteReference w:id="14"/>
      </w:r>
      <w:r w:rsidRPr="00524963">
        <w:rPr>
          <w:rFonts w:ascii="Arial" w:hAnsi="Arial" w:eastAsia="Calibri" w:cs="Arial"/>
          <w:sz w:val="21"/>
          <w:szCs w:val="21"/>
          <w:lang w:val="es-ES_tradnl" w:eastAsia="en-US"/>
        </w:rPr>
        <w:t xml:space="preserve"> .</w:t>
      </w:r>
    </w:p>
    <w:p w:rsidRPr="00524963" w:rsidR="00524963" w:rsidP="00524963" w:rsidRDefault="00524963" w14:paraId="2F2B973A" w14:textId="77777777">
      <w:pPr>
        <w:shd w:val="clear" w:color="auto" w:fill="FFFFFF"/>
        <w:spacing w:line="276" w:lineRule="auto"/>
        <w:ind w:firstLine="709"/>
        <w:jc w:val="both"/>
        <w:rPr>
          <w:rFonts w:ascii="Arial" w:hAnsi="Arial" w:eastAsia="Calibri" w:cs="Arial"/>
          <w:sz w:val="22"/>
          <w:szCs w:val="22"/>
          <w:lang w:val="es-ES_tradnl" w:eastAsia="x-none"/>
        </w:rPr>
      </w:pPr>
    </w:p>
    <w:p w:rsidRPr="00524963" w:rsidR="00524963" w:rsidP="0051212F" w:rsidRDefault="00524963" w14:paraId="365550C8" w14:textId="27C20A82">
      <w:pPr>
        <w:spacing w:line="276" w:lineRule="auto"/>
        <w:ind w:firstLine="708"/>
        <w:jc w:val="both"/>
        <w:rPr>
          <w:rFonts w:ascii="Arial" w:hAnsi="Arial" w:eastAsia="Calibri" w:cs="Arial"/>
          <w:bCs/>
          <w:sz w:val="22"/>
          <w:szCs w:val="22"/>
          <w:lang w:val="es-ES_tradnl" w:eastAsia="x-none"/>
        </w:rPr>
      </w:pPr>
      <w:r w:rsidRPr="00524963">
        <w:rPr>
          <w:rFonts w:ascii="Arial" w:hAnsi="Arial" w:eastAsia="Calibri" w:cs="Arial"/>
          <w:sz w:val="22"/>
          <w:szCs w:val="22"/>
          <w:lang w:val="es-ES_tradnl" w:eastAsia="x-none"/>
        </w:rPr>
        <w:t xml:space="preserve">De acuerdo con el citado concepto, la prohibición del artículo 33 de la Ley de Garantías Electorales se refiere a </w:t>
      </w:r>
      <w:r w:rsidRPr="00524963">
        <w:rPr>
          <w:rFonts w:ascii="Arial" w:hAnsi="Arial" w:eastAsia="Calibri" w:cs="Arial"/>
          <w:sz w:val="19"/>
          <w:szCs w:val="19"/>
          <w:lang w:val="es-ES_tradnl" w:eastAsia="en-GB"/>
        </w:rPr>
        <w:t>«</w:t>
      </w:r>
      <w:r w:rsidRPr="00524963">
        <w:rPr>
          <w:rFonts w:ascii="Arial" w:hAnsi="Arial" w:eastAsia="Calibri" w:cs="Arial"/>
          <w:sz w:val="22"/>
          <w:szCs w:val="22"/>
          <w:lang w:val="es-ES_tradnl" w:eastAsia="x-none"/>
        </w:rPr>
        <w:t>cualquier sistema que no implique convocatoria pública y posibilidad de pluralidad de oferentes</w:t>
      </w:r>
      <w:r w:rsidRPr="00524963">
        <w:rPr>
          <w:rFonts w:ascii="Arial" w:hAnsi="Arial" w:eastAsia="Calibri" w:cs="Arial"/>
          <w:sz w:val="22"/>
          <w:szCs w:val="22"/>
          <w:lang w:val="es-ES_tradnl" w:eastAsia="en-GB"/>
        </w:rPr>
        <w:t>»</w:t>
      </w:r>
      <w:r w:rsidRPr="00524963">
        <w:rPr>
          <w:rFonts w:ascii="Arial" w:hAnsi="Arial" w:eastAsia="Calibri" w:cs="Arial"/>
          <w:sz w:val="22"/>
          <w:szCs w:val="22"/>
          <w:lang w:val="es-ES_tradnl" w:eastAsia="x-none"/>
        </w:rPr>
        <w:t xml:space="preserve">, por lo </w:t>
      </w:r>
      <w:r w:rsidRPr="00524963">
        <w:rPr>
          <w:rFonts w:ascii="Arial" w:hAnsi="Arial" w:eastAsia="Calibri" w:cs="Arial"/>
          <w:sz w:val="22"/>
          <w:szCs w:val="22"/>
          <w:lang w:val="es-ES_tradnl" w:eastAsia="x-none"/>
        </w:rPr>
        <w:t>que excluye las demás modalidades de contratación previstas en la Ley 1150 de 2007, es decir, la licitación pública, la selección abreviada, el concurso de méritos y la mínima cuantía u otros previstos en normas especiales, que contemplen en alguna de sus etapas la posible participación de pluralidad de oferentes. Esta posición es congruente con la expedición de la Ley 1150 de 2007 que, entre otras reformas, introdujo la selección abreviada, rediseñó el concurso de méritos</w:t>
      </w:r>
      <w:r w:rsidRPr="00524963">
        <w:rPr>
          <w:rFonts w:ascii="Arial" w:hAnsi="Arial" w:eastAsia="Calibri" w:cs="Arial"/>
          <w:sz w:val="22"/>
          <w:szCs w:val="22"/>
          <w:vertAlign w:val="superscript"/>
          <w:lang w:eastAsia="en-US"/>
        </w:rPr>
        <w:footnoteReference w:id="15"/>
      </w:r>
      <w:r w:rsidRPr="00524963">
        <w:rPr>
          <w:rFonts w:ascii="Arial" w:hAnsi="Arial" w:eastAsia="Calibri" w:cs="Arial"/>
          <w:sz w:val="22"/>
          <w:szCs w:val="22"/>
          <w:lang w:val="es-ES_tradnl" w:eastAsia="x-none"/>
        </w:rPr>
        <w:t xml:space="preserve"> y sistematizó las causales de contratación directa</w:t>
      </w:r>
      <w:r w:rsidRPr="00524963">
        <w:rPr>
          <w:rFonts w:ascii="Arial" w:hAnsi="Arial" w:eastAsia="Calibri" w:cs="Arial"/>
          <w:sz w:val="22"/>
          <w:szCs w:val="22"/>
          <w:vertAlign w:val="superscript"/>
          <w:lang w:eastAsia="en-US"/>
        </w:rPr>
        <w:footnoteReference w:id="16"/>
      </w:r>
      <w:r w:rsidR="00C54797">
        <w:rPr>
          <w:rFonts w:ascii="Arial" w:hAnsi="Arial" w:eastAsia="Calibri" w:cs="Arial"/>
          <w:sz w:val="22"/>
          <w:szCs w:val="22"/>
          <w:lang w:val="es-ES_tradnl" w:eastAsia="x-none"/>
        </w:rPr>
        <w:t>.</w:t>
      </w:r>
    </w:p>
    <w:p w:rsidRPr="00524963" w:rsidR="00524963" w:rsidP="0051212F" w:rsidRDefault="00524963" w14:paraId="0208D1CA" w14:textId="5A19E2AF">
      <w:pPr>
        <w:spacing w:before="120" w:line="276" w:lineRule="auto"/>
        <w:ind w:firstLine="708"/>
        <w:jc w:val="both"/>
        <w:rPr>
          <w:rFonts w:ascii="Arial" w:hAnsi="Arial" w:eastAsia="Calibri" w:cs="Arial"/>
          <w:sz w:val="22"/>
          <w:szCs w:val="22"/>
          <w:lang w:val="es-ES_tradnl" w:eastAsia="x-none"/>
        </w:rPr>
      </w:pPr>
      <w:r w:rsidRPr="00524963">
        <w:rPr>
          <w:rFonts w:ascii="Arial" w:hAnsi="Arial" w:eastAsia="Calibri" w:cs="Arial"/>
          <w:sz w:val="22"/>
          <w:szCs w:val="22"/>
          <w:lang w:val="es-ES_tradnl" w:eastAsia="x-none"/>
        </w:rPr>
        <w:t xml:space="preserve">De esta forma, se ha depurado la noción de </w:t>
      </w:r>
      <w:r w:rsidRPr="00524963">
        <w:rPr>
          <w:rFonts w:ascii="Arial" w:hAnsi="Arial" w:eastAsia="Calibri" w:cs="Arial"/>
          <w:sz w:val="22"/>
          <w:szCs w:val="22"/>
          <w:lang w:val="es-ES_tradnl" w:eastAsia="en-GB"/>
        </w:rPr>
        <w:t>«</w:t>
      </w:r>
      <w:r w:rsidRPr="00524963">
        <w:rPr>
          <w:rFonts w:ascii="Arial" w:hAnsi="Arial" w:eastAsia="Calibri" w:cs="Arial"/>
          <w:sz w:val="22"/>
          <w:szCs w:val="22"/>
          <w:lang w:val="es-ES_tradnl" w:eastAsia="x-none"/>
        </w:rPr>
        <w:t>contratación directa</w:t>
      </w:r>
      <w:r w:rsidRPr="00524963">
        <w:rPr>
          <w:rFonts w:ascii="Arial" w:hAnsi="Arial" w:eastAsia="Calibri" w:cs="Arial"/>
          <w:sz w:val="22"/>
          <w:szCs w:val="22"/>
          <w:lang w:val="es-ES_tradnl" w:eastAsia="en-GB"/>
        </w:rPr>
        <w:t>»</w:t>
      </w:r>
      <w:r w:rsidRPr="00524963">
        <w:rPr>
          <w:rFonts w:ascii="Arial" w:hAnsi="Arial" w:eastAsia="Calibri" w:cs="Arial"/>
          <w:sz w:val="22"/>
          <w:szCs w:val="22"/>
          <w:lang w:val="es-ES_tradnl" w:eastAsia="x-none"/>
        </w:rPr>
        <w:t xml:space="preserve">, precisando el Consejo de Estado –en el concepto citado– que, «aun cuando no coincide única y exactamente con la regulación que de dicho sistema de selección hace el artículo 2º de la Ley 1150 de 2007, tampoco puede afirmarse </w:t>
      </w:r>
      <w:r w:rsidRPr="00524963">
        <w:rPr>
          <w:rFonts w:ascii="Arial" w:hAnsi="Arial" w:eastAsia="Calibri" w:cs="Arial"/>
          <w:sz w:val="22"/>
          <w:szCs w:val="22"/>
          <w:lang w:val="es-ES_tradnl" w:eastAsia="x-none"/>
        </w:rPr>
        <w:t>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524963">
        <w:rPr>
          <w:rFonts w:ascii="Arial" w:hAnsi="Arial" w:eastAsia="Calibri" w:cs="Arial"/>
          <w:sz w:val="22"/>
          <w:szCs w:val="22"/>
          <w:vertAlign w:val="superscript"/>
          <w:lang w:eastAsia="en-US"/>
        </w:rPr>
        <w:footnoteReference w:id="17"/>
      </w:r>
      <w:r w:rsidRPr="00524963">
        <w:rPr>
          <w:rFonts w:ascii="Arial" w:hAnsi="Arial" w:eastAsia="Calibri" w:cs="Arial"/>
          <w:sz w:val="22"/>
          <w:szCs w:val="22"/>
          <w:lang w:val="es-ES_tradnl" w:eastAsia="x-none"/>
        </w:rPr>
        <w:t>, han establecido sistemas de contratación que implican convocatoria pública y participación de varios oferentes</w:t>
      </w:r>
      <w:r w:rsidRPr="00524963">
        <w:rPr>
          <w:rFonts w:ascii="Arial" w:hAnsi="Arial" w:eastAsia="Calibri" w:cs="Arial"/>
          <w:sz w:val="22"/>
          <w:szCs w:val="22"/>
          <w:lang w:val="es-ES_tradnl" w:eastAsia="en-GB"/>
        </w:rPr>
        <w:t>»</w:t>
      </w:r>
      <w:r w:rsidRPr="00524963">
        <w:rPr>
          <w:rFonts w:ascii="Arial" w:hAnsi="Arial" w:eastAsia="Calibri" w:cs="Arial"/>
          <w:sz w:val="22"/>
          <w:szCs w:val="22"/>
          <w:lang w:val="es-ES_tradnl" w:eastAsia="x-none"/>
        </w:rPr>
        <w:t xml:space="preserve">. </w:t>
      </w:r>
    </w:p>
    <w:p w:rsidRPr="00524963" w:rsidR="00524963" w:rsidP="0051212F" w:rsidRDefault="00524963" w14:paraId="2764F0A6" w14:textId="77777777">
      <w:pPr>
        <w:spacing w:before="120" w:line="276" w:lineRule="auto"/>
        <w:ind w:firstLine="708"/>
        <w:jc w:val="both"/>
        <w:rPr>
          <w:rFonts w:ascii="Arial" w:hAnsi="Arial" w:eastAsia="Calibri" w:cs="Arial"/>
          <w:bCs/>
          <w:sz w:val="22"/>
          <w:szCs w:val="22"/>
          <w:lang w:val="es-ES_tradnl" w:eastAsia="es-CO"/>
        </w:rPr>
      </w:pPr>
      <w:r w:rsidRPr="00524963">
        <w:rPr>
          <w:rFonts w:ascii="Arial" w:hAnsi="Arial" w:eastAsia="Calibri" w:cs="Arial"/>
          <w:bCs/>
          <w:sz w:val="22"/>
          <w:szCs w:val="22"/>
          <w:lang w:val="es-ES_tradnl" w:eastAsia="x-none"/>
        </w:rPr>
        <w:t>E</w:t>
      </w:r>
      <w:r w:rsidRPr="00524963">
        <w:rPr>
          <w:rFonts w:ascii="Arial" w:hAnsi="Arial" w:eastAsia="Calibri" w:cs="Arial"/>
          <w:sz w:val="22"/>
          <w:szCs w:val="22"/>
          <w:lang w:val="es-ES_tradnl" w:eastAsia="x-none"/>
        </w:rPr>
        <w:t xml:space="preserve">n efecto, vale la pena mencionar que, 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w:t>
      </w:r>
      <w:r w:rsidRPr="00524963">
        <w:rPr>
          <w:rFonts w:ascii="Arial" w:hAnsi="Arial" w:eastAsia="Calibri" w:cs="Arial"/>
          <w:sz w:val="22"/>
          <w:szCs w:val="22"/>
          <w:lang w:val="es-ES_tradnl" w:eastAsia="x-none"/>
        </w:rPr>
        <w:lastRenderedPageBreak/>
        <w:t>convocatoria para inscribirse en forma previa se haga de manera pública, y que se permita la participación de una pluralidad de oferentes</w:t>
      </w:r>
      <w:r w:rsidRPr="00524963">
        <w:rPr>
          <w:rFonts w:ascii="Arial" w:hAnsi="Arial" w:eastAsia="Calibri" w:cs="Arial"/>
          <w:sz w:val="22"/>
          <w:szCs w:val="22"/>
          <w:vertAlign w:val="superscript"/>
          <w:lang w:eastAsia="en-US"/>
        </w:rPr>
        <w:footnoteReference w:id="18"/>
      </w:r>
      <w:r w:rsidRPr="00524963">
        <w:rPr>
          <w:rFonts w:ascii="Arial" w:hAnsi="Arial" w:eastAsia="Calibri" w:cs="Arial"/>
          <w:sz w:val="22"/>
          <w:szCs w:val="22"/>
          <w:lang w:val="es-ES_tradnl" w:eastAsia="x-none"/>
        </w:rPr>
        <w:t xml:space="preserve">. </w:t>
      </w:r>
    </w:p>
    <w:p w:rsidRPr="00524963" w:rsidR="00524963" w:rsidP="0051212F" w:rsidRDefault="00524963" w14:paraId="6670E7F9" w14:textId="77777777">
      <w:pPr>
        <w:spacing w:before="120" w:line="276" w:lineRule="auto"/>
        <w:ind w:firstLine="708"/>
        <w:jc w:val="both"/>
        <w:rPr>
          <w:rFonts w:ascii="Arial" w:hAnsi="Arial" w:eastAsia="Calibri" w:cs="Arial"/>
          <w:bCs/>
          <w:sz w:val="22"/>
          <w:szCs w:val="22"/>
          <w:lang w:val="es-ES_tradnl" w:eastAsia="es-CO"/>
        </w:rPr>
      </w:pPr>
      <w:r w:rsidRPr="00524963">
        <w:rPr>
          <w:rFonts w:ascii="Arial" w:hAnsi="Arial" w:eastAsia="Calibri" w:cs="Arial"/>
          <w:bCs/>
          <w:sz w:val="22"/>
          <w:szCs w:val="22"/>
          <w:lang w:val="es-ES_tradnl" w:eastAsia="es-CO"/>
        </w:rPr>
        <w:t>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rsidRPr="00524963" w:rsidR="00524963" w:rsidP="0051212F" w:rsidRDefault="00524963" w14:paraId="148019DF" w14:textId="77777777">
      <w:pPr>
        <w:spacing w:before="120" w:line="276" w:lineRule="auto"/>
        <w:ind w:firstLine="708"/>
        <w:jc w:val="both"/>
        <w:rPr>
          <w:rFonts w:ascii="Arial" w:hAnsi="Arial" w:eastAsia="Calibri" w:cs="Arial"/>
          <w:bCs/>
          <w:sz w:val="22"/>
          <w:szCs w:val="22"/>
          <w:lang w:val="es-ES_tradnl" w:eastAsia="x-none"/>
        </w:rPr>
      </w:pPr>
      <w:r w:rsidRPr="00524963">
        <w:rPr>
          <w:rFonts w:ascii="Arial" w:hAnsi="Arial" w:eastAsia="Calibri" w:cs="Arial"/>
          <w:bCs/>
          <w:sz w:val="22"/>
          <w:szCs w:val="22"/>
          <w:lang w:val="es-ES_tradnl" w:eastAsia="x-none"/>
        </w:rPr>
        <w:t xml:space="preserve"> 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524963">
        <w:rPr>
          <w:rFonts w:ascii="Arial" w:hAnsi="Arial" w:eastAsia="Calibri" w:cs="Arial"/>
          <w:sz w:val="22"/>
          <w:szCs w:val="22"/>
          <w:vertAlign w:val="superscript"/>
          <w:lang w:eastAsia="en-US"/>
        </w:rPr>
        <w:footnoteReference w:id="19"/>
      </w:r>
      <w:r w:rsidRPr="00524963">
        <w:rPr>
          <w:rFonts w:ascii="Arial" w:hAnsi="Arial" w:eastAsia="Calibri" w:cs="Arial"/>
          <w:bCs/>
          <w:sz w:val="22"/>
          <w:szCs w:val="22"/>
          <w:lang w:val="es-ES_tradnl" w:eastAsia="x-none"/>
        </w:rPr>
        <w:t>.</w:t>
      </w:r>
      <w:r w:rsidRPr="00524963">
        <w:rPr>
          <w:rFonts w:ascii="Arial" w:hAnsi="Arial" w:eastAsia="Calibri" w:cs="Arial"/>
          <w:sz w:val="22"/>
          <w:szCs w:val="22"/>
          <w:vertAlign w:val="superscript"/>
          <w:lang w:val="es-ES_tradnl" w:eastAsia="x-none"/>
        </w:rPr>
        <w:t xml:space="preserve"> </w:t>
      </w:r>
    </w:p>
    <w:p w:rsidRPr="00524963" w:rsidR="00524963" w:rsidP="0051212F" w:rsidRDefault="00524963" w14:paraId="116D2E65" w14:textId="77777777">
      <w:pPr>
        <w:spacing w:before="120" w:line="276" w:lineRule="auto"/>
        <w:ind w:firstLine="708"/>
        <w:jc w:val="both"/>
        <w:rPr>
          <w:rFonts w:ascii="Arial" w:hAnsi="Arial" w:eastAsia="Calibri" w:cs="Arial"/>
          <w:sz w:val="22"/>
          <w:szCs w:val="22"/>
          <w:lang w:val="es-ES_tradnl" w:eastAsia="x-none"/>
        </w:rPr>
      </w:pPr>
      <w:r w:rsidRPr="00524963">
        <w:rPr>
          <w:rFonts w:ascii="Arial" w:hAnsi="Arial" w:eastAsia="Calibri" w:cs="Arial"/>
          <w:bCs/>
          <w:sz w:val="22"/>
          <w:szCs w:val="22"/>
          <w:lang w:val="es-ES_tradnl" w:eastAsia="x-none"/>
        </w:rPr>
        <w:t>De lo anterior se desprende que la restricción aplica, sin perjuicio de las excepciones establecidas en la misma ley, para celebrar cualquier contrato de forma directa, esto es, sin que exista un proceso abierto y competitivo.</w:t>
      </w:r>
      <w:r w:rsidRPr="00524963">
        <w:rPr>
          <w:rFonts w:ascii="Arial" w:hAnsi="Arial" w:eastAsia="Calibri" w:cs="Arial"/>
          <w:sz w:val="22"/>
          <w:szCs w:val="22"/>
          <w:lang w:val="es-ES_tradnl" w:eastAsia="x-none"/>
        </w:rPr>
        <w:t xml:space="preserve">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procedimientos.</w:t>
      </w:r>
    </w:p>
    <w:p w:rsidRPr="00524963" w:rsidR="00524963" w:rsidP="0051212F" w:rsidRDefault="00524963" w14:paraId="24999CE1" w14:textId="77777777">
      <w:pPr>
        <w:spacing w:before="120" w:line="276" w:lineRule="auto"/>
        <w:ind w:firstLine="708"/>
        <w:jc w:val="both"/>
        <w:rPr>
          <w:rFonts w:ascii="Arial" w:hAnsi="Arial" w:eastAsia="Calibri" w:cs="Arial"/>
          <w:bCs/>
          <w:sz w:val="22"/>
          <w:szCs w:val="22"/>
          <w:lang w:val="es-ES_tradnl" w:eastAsia="x-none"/>
        </w:rPr>
      </w:pPr>
      <w:r w:rsidRPr="00524963">
        <w:rPr>
          <w:rFonts w:ascii="Arial" w:hAnsi="Arial" w:eastAsia="Calibri" w:cs="Arial"/>
          <w:bCs/>
          <w:sz w:val="22"/>
          <w:szCs w:val="22"/>
          <w:lang w:val="es-ES_tradnl" w:eastAsia="es-CO"/>
        </w:rPr>
        <w:t xml:space="preserve">Como en otras oportunidades lo ha manifestado esta Agencia, las prórrogas, modificaciones o adiciones de los contratos suscritos antes de la </w:t>
      </w:r>
      <w:proofErr w:type="gramStart"/>
      <w:r w:rsidRPr="00524963">
        <w:rPr>
          <w:rFonts w:ascii="Arial" w:hAnsi="Arial" w:eastAsia="Calibri" w:cs="Arial"/>
          <w:bCs/>
          <w:sz w:val="22"/>
          <w:szCs w:val="22"/>
          <w:lang w:val="es-ES_tradnl" w:eastAsia="es-CO"/>
        </w:rPr>
        <w:t>entrada en vigencia</w:t>
      </w:r>
      <w:proofErr w:type="gramEnd"/>
      <w:r w:rsidRPr="00524963">
        <w:rPr>
          <w:rFonts w:ascii="Arial" w:hAnsi="Arial" w:eastAsia="Calibri" w:cs="Arial"/>
          <w:bCs/>
          <w:sz w:val="22"/>
          <w:szCs w:val="22"/>
          <w:lang w:val="es-ES_tradnl" w:eastAsia="es-CO"/>
        </w:rPr>
        <w:t xml:space="preserve"> de las prohibiciones anotadas, así como la cesión de los mismos, pueden tener lugar en el período de aplicación de la Ley de Garantías</w:t>
      </w:r>
      <w:r w:rsidRPr="00524963">
        <w:rPr>
          <w:rFonts w:ascii="Arial" w:hAnsi="Arial" w:eastAsia="Calibri" w:cs="Arial"/>
          <w:sz w:val="22"/>
          <w:szCs w:val="22"/>
          <w:vertAlign w:val="superscript"/>
          <w:lang w:eastAsia="en-US"/>
        </w:rPr>
        <w:footnoteReference w:id="20"/>
      </w:r>
      <w:r w:rsidRPr="00524963">
        <w:rPr>
          <w:rFonts w:ascii="Arial" w:hAnsi="Arial" w:eastAsia="Calibri" w:cs="Arial"/>
          <w:bCs/>
          <w:sz w:val="22"/>
          <w:szCs w:val="22"/>
          <w:lang w:val="es-ES_tradnl" w:eastAsia="es-CO"/>
        </w:rPr>
        <w:t>. Esto sin que ello haga nugatoria la restricción de la contratación directa y siempre que cumplan los principios de planeación, transparencia y responsabilidad.</w:t>
      </w:r>
    </w:p>
    <w:p w:rsidRPr="00524963" w:rsidR="00524963" w:rsidP="0051212F" w:rsidRDefault="00524963" w14:paraId="34242274" w14:textId="77777777">
      <w:pPr>
        <w:spacing w:before="120" w:line="276" w:lineRule="auto"/>
        <w:ind w:firstLine="708"/>
        <w:jc w:val="both"/>
        <w:rPr>
          <w:rFonts w:ascii="Arial" w:hAnsi="Arial" w:eastAsia="Calibri" w:cs="Arial"/>
          <w:bCs/>
          <w:sz w:val="22"/>
          <w:szCs w:val="22"/>
          <w:lang w:val="es-ES_tradnl" w:eastAsia="es-CO"/>
        </w:rPr>
      </w:pPr>
      <w:r w:rsidRPr="00524963">
        <w:rPr>
          <w:rFonts w:ascii="Arial" w:hAnsi="Arial" w:eastAsia="Calibri" w:cs="Arial"/>
          <w:bCs/>
          <w:sz w:val="22"/>
          <w:szCs w:val="22"/>
          <w:lang w:val="es-ES_tradnl" w:eastAsia="x-none"/>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en el inciso final del citado artículo 33 de la Ley 996 de 2005 en lo referente a i) la defensa y seguridad del Estado; </w:t>
      </w:r>
      <w:proofErr w:type="spellStart"/>
      <w:r w:rsidRPr="00524963">
        <w:rPr>
          <w:rFonts w:ascii="Arial" w:hAnsi="Arial" w:eastAsia="Calibri" w:cs="Arial"/>
          <w:bCs/>
          <w:sz w:val="22"/>
          <w:szCs w:val="22"/>
          <w:lang w:val="es-ES_tradnl" w:eastAsia="x-none"/>
        </w:rPr>
        <w:t>ii</w:t>
      </w:r>
      <w:proofErr w:type="spellEnd"/>
      <w:r w:rsidRPr="00524963">
        <w:rPr>
          <w:rFonts w:ascii="Arial" w:hAnsi="Arial" w:eastAsia="Calibri" w:cs="Arial"/>
          <w:bCs/>
          <w:sz w:val="22"/>
          <w:szCs w:val="22"/>
          <w:lang w:val="es-ES_tradnl" w:eastAsia="x-none"/>
        </w:rPr>
        <w:t xml:space="preserve">) los contratos de crédito público; </w:t>
      </w:r>
      <w:proofErr w:type="spellStart"/>
      <w:r w:rsidRPr="00524963">
        <w:rPr>
          <w:rFonts w:ascii="Arial" w:hAnsi="Arial" w:eastAsia="Calibri" w:cs="Arial"/>
          <w:bCs/>
          <w:sz w:val="22"/>
          <w:szCs w:val="22"/>
          <w:lang w:val="es-ES_tradnl" w:eastAsia="x-none"/>
        </w:rPr>
        <w:t>iii</w:t>
      </w:r>
      <w:proofErr w:type="spellEnd"/>
      <w:r w:rsidRPr="00524963">
        <w:rPr>
          <w:rFonts w:ascii="Arial" w:hAnsi="Arial" w:eastAsia="Calibri" w:cs="Arial"/>
          <w:bCs/>
          <w:sz w:val="22"/>
          <w:szCs w:val="22"/>
          <w:lang w:val="es-ES_tradnl" w:eastAsia="x-none"/>
        </w:rPr>
        <w:t xml:space="preserve">) </w:t>
      </w:r>
      <w:r w:rsidRPr="00524963">
        <w:rPr>
          <w:rFonts w:ascii="Arial" w:hAnsi="Arial" w:eastAsia="Calibri" w:cs="Arial"/>
          <w:bCs/>
          <w:sz w:val="22"/>
          <w:szCs w:val="22"/>
          <w:lang w:val="es-ES_tradnl" w:eastAsia="x-none"/>
        </w:rPr>
        <w:lastRenderedPageBreak/>
        <w:t xml:space="preserve">los requeridos para cubrir las emergencias educativas, sanitarias y desastres; </w:t>
      </w:r>
      <w:proofErr w:type="spellStart"/>
      <w:r w:rsidRPr="00524963">
        <w:rPr>
          <w:rFonts w:ascii="Arial" w:hAnsi="Arial" w:eastAsia="Calibri" w:cs="Arial"/>
          <w:bCs/>
          <w:sz w:val="22"/>
          <w:szCs w:val="22"/>
          <w:lang w:val="es-ES_tradnl" w:eastAsia="x-none"/>
        </w:rPr>
        <w:t>iv</w:t>
      </w:r>
      <w:proofErr w:type="spellEnd"/>
      <w:r w:rsidRPr="00524963">
        <w:rPr>
          <w:rFonts w:ascii="Arial" w:hAnsi="Arial" w:eastAsia="Calibri" w:cs="Arial"/>
          <w:bCs/>
          <w:sz w:val="22"/>
          <w:szCs w:val="22"/>
          <w:lang w:val="es-ES_tradnl"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524963">
        <w:rPr>
          <w:rFonts w:ascii="Arial" w:hAnsi="Arial" w:eastAsia="Calibri" w:cs="Arial"/>
          <w:bCs/>
          <w:sz w:val="22"/>
          <w:szCs w:val="22"/>
          <w:lang w:val="es-ES_tradnl"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rsidRPr="00524963" w:rsidR="00524963" w:rsidP="0051212F" w:rsidRDefault="00524963" w14:paraId="694A9740" w14:textId="77777777">
      <w:pPr>
        <w:spacing w:before="120" w:line="276" w:lineRule="auto"/>
        <w:ind w:firstLine="708"/>
        <w:jc w:val="both"/>
        <w:rPr>
          <w:rFonts w:ascii="Arial" w:hAnsi="Arial" w:eastAsia="Calibri" w:cs="Arial"/>
          <w:bCs/>
          <w:sz w:val="22"/>
          <w:szCs w:val="22"/>
          <w:lang w:val="es-ES_tradnl" w:eastAsia="x-none"/>
        </w:rPr>
      </w:pPr>
      <w:r w:rsidRPr="00524963">
        <w:rPr>
          <w:rFonts w:ascii="Arial" w:hAnsi="Arial" w:eastAsia="Calibri" w:cs="Arial"/>
          <w:bCs/>
          <w:sz w:val="22"/>
          <w:szCs w:val="22"/>
          <w:lang w:val="es-ES_tradnl" w:eastAsia="x-none"/>
        </w:rPr>
        <w:t>En esta labor es importante tener en cuenta, como lo anotó la Corte Constitucional, en Sentencia C-1153 de noviembre 11 de 2005 que «si bien la limitación garantiza la igualdad de condiciones, también es necesario que tal limitación que pretende la igualdad no termine yendo en detrimento de intereses públicos, cuya garantía está en cabeza del ejecutivo, como son los inmersos en las excepciones para la prohibición de contratación»</w:t>
      </w:r>
      <w:r w:rsidRPr="00524963">
        <w:rPr>
          <w:rFonts w:ascii="Arial" w:hAnsi="Arial" w:eastAsia="Calibri" w:cs="Arial"/>
          <w:sz w:val="22"/>
          <w:szCs w:val="22"/>
          <w:vertAlign w:val="superscript"/>
          <w:lang w:eastAsia="en-US"/>
        </w:rPr>
        <w:footnoteReference w:id="21"/>
      </w:r>
      <w:r w:rsidRPr="00524963">
        <w:rPr>
          <w:rFonts w:ascii="Arial" w:hAnsi="Arial" w:eastAsia="Calibri" w:cs="Arial"/>
          <w:bCs/>
          <w:sz w:val="22"/>
          <w:szCs w:val="22"/>
          <w:lang w:val="es-ES_tradnl" w:eastAsia="x-none"/>
        </w:rPr>
        <w:t xml:space="preserve">. De ahí que la Corte haya </w:t>
      </w:r>
      <w:r w:rsidRPr="00524963">
        <w:rPr>
          <w:rFonts w:ascii="Arial" w:hAnsi="Arial" w:eastAsia="Calibri" w:cs="Arial"/>
          <w:bCs/>
          <w:sz w:val="22"/>
          <w:szCs w:val="22"/>
          <w:lang w:val="es-ES_tradnl" w:eastAsia="x-none"/>
        </w:rPr>
        <w:t>señalado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rsidRPr="00524963" w:rsidR="00524963" w:rsidP="00524963" w:rsidRDefault="00C54797" w14:paraId="6D996DA8" w14:textId="3F7D93F6">
      <w:pPr>
        <w:spacing w:before="120" w:line="276" w:lineRule="auto"/>
        <w:ind w:firstLine="709"/>
        <w:jc w:val="both"/>
        <w:rPr>
          <w:rFonts w:ascii="Arial" w:hAnsi="Arial" w:eastAsia="Calibri" w:cs="Arial"/>
          <w:bCs/>
          <w:sz w:val="22"/>
          <w:szCs w:val="22"/>
          <w:lang w:val="es-ES_tradnl" w:eastAsia="x-none"/>
        </w:rPr>
      </w:pPr>
      <w:r>
        <w:rPr>
          <w:rFonts w:ascii="Arial" w:hAnsi="Arial" w:eastAsia="Calibri" w:cs="Arial"/>
          <w:bCs/>
          <w:sz w:val="22"/>
          <w:szCs w:val="22"/>
          <w:lang w:val="es-ES_tradnl" w:eastAsia="x-none"/>
        </w:rPr>
        <w:t>Por lo demás, e</w:t>
      </w:r>
      <w:r w:rsidRPr="00524963" w:rsidR="00524963">
        <w:rPr>
          <w:rFonts w:ascii="Arial" w:hAnsi="Arial" w:eastAsia="Calibri" w:cs="Arial"/>
          <w:bCs/>
          <w:sz w:val="22"/>
          <w:szCs w:val="22"/>
          <w:lang w:val="es-ES_tradnl" w:eastAsia="x-none"/>
        </w:rPr>
        <w:t>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524963" w:rsidR="00524963">
        <w:rPr>
          <w:rFonts w:ascii="Arial" w:hAnsi="Arial" w:eastAsia="Calibri" w:cs="Arial"/>
          <w:sz w:val="22"/>
          <w:szCs w:val="22"/>
          <w:lang w:val="es-ES_tradnl" w:eastAsia="en-US"/>
        </w:rPr>
        <w:t xml:space="preserve"> </w:t>
      </w:r>
      <w:r w:rsidRPr="00524963" w:rsidR="00524963">
        <w:rPr>
          <w:rFonts w:ascii="Arial" w:hAnsi="Arial" w:eastAsia="Calibri" w:cs="Arial"/>
          <w:bCs/>
          <w:sz w:val="22"/>
          <w:szCs w:val="22"/>
          <w:lang w:val="es-ES_tradnl" w:eastAsia="x-none"/>
        </w:rPr>
        <w:t>En efecto, como lo ha sostenido el Consejo de Estado, el vocablo «todos» utilizado por el legislador comprende</w:t>
      </w:r>
      <w:r w:rsidRPr="00524963" w:rsidR="00524963">
        <w:rPr>
          <w:rFonts w:ascii="Arial" w:hAnsi="Arial" w:eastAsia="Calibri" w:cs="Arial"/>
          <w:sz w:val="22"/>
          <w:szCs w:val="22"/>
          <w:lang w:val="es-ES_tradnl" w:eastAsia="en-US"/>
        </w:rPr>
        <w:t xml:space="preserve"> </w:t>
      </w:r>
      <w:r w:rsidRPr="00524963" w:rsidR="00524963">
        <w:rPr>
          <w:rFonts w:ascii="Arial" w:hAnsi="Arial" w:eastAsia="Calibri" w:cs="Arial"/>
          <w:bCs/>
          <w:sz w:val="22"/>
          <w:szCs w:val="22"/>
          <w:lang w:val="es-ES_tradnl" w:eastAsia="x-none"/>
        </w:rPr>
        <w:t>a la totalidad de los entes del Estado, sin distinción del régimen jurídico</w:t>
      </w:r>
      <w:r w:rsidRPr="00524963" w:rsidR="00524963">
        <w:rPr>
          <w:rFonts w:ascii="Arial" w:hAnsi="Arial" w:eastAsia="Calibri" w:cs="Arial"/>
          <w:bCs/>
          <w:sz w:val="22"/>
          <w:szCs w:val="22"/>
          <w:lang w:val="es-ES_tradnl" w:eastAsia="x-none"/>
        </w:rPr>
        <w:t xml:space="preserve">,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La Sala de Consulta y Servicio Civil del Consejo de Estado, en Concepto 1727 de fecha 20 de febrero de 2006, consideró que: </w:t>
      </w:r>
    </w:p>
    <w:p w:rsidRPr="00524963" w:rsidR="00524963" w:rsidP="00524963" w:rsidRDefault="00524963" w14:paraId="3210A617" w14:textId="77777777">
      <w:pPr>
        <w:spacing w:line="276" w:lineRule="auto"/>
        <w:ind w:firstLine="708"/>
        <w:jc w:val="both"/>
        <w:rPr>
          <w:rFonts w:ascii="Arial" w:hAnsi="Arial" w:eastAsia="Calibri" w:cs="Arial"/>
          <w:bCs/>
          <w:sz w:val="22"/>
          <w:szCs w:val="22"/>
          <w:lang w:val="es-ES_tradnl" w:eastAsia="x-none"/>
        </w:rPr>
      </w:pPr>
    </w:p>
    <w:p w:rsidRPr="00524963" w:rsidR="00524963" w:rsidP="00524963" w:rsidRDefault="00524963" w14:paraId="43C09519" w14:textId="77777777">
      <w:pPr>
        <w:ind w:left="708" w:right="709"/>
        <w:jc w:val="both"/>
        <w:rPr>
          <w:rFonts w:ascii="Arial" w:hAnsi="Arial" w:eastAsia="Calibri" w:cs="Arial"/>
          <w:bCs/>
          <w:sz w:val="21"/>
          <w:szCs w:val="21"/>
          <w:lang w:val="es-ES_tradnl" w:eastAsia="es-CO"/>
        </w:rPr>
      </w:pPr>
      <w:r w:rsidRPr="00524963">
        <w:rPr>
          <w:rFonts w:ascii="Arial" w:hAnsi="Arial" w:eastAsia="Calibri" w:cs="Arial"/>
          <w:bCs/>
          <w:sz w:val="21"/>
          <w:szCs w:val="21"/>
          <w:lang w:val="es-ES_tradnl" w:eastAsia="x-none"/>
        </w:rPr>
        <w:t xml:space="preserve">El 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w:t>
      </w:r>
      <w:r w:rsidRPr="00524963">
        <w:rPr>
          <w:rFonts w:ascii="Arial" w:hAnsi="Arial" w:eastAsia="Calibri" w:cs="Arial"/>
          <w:bCs/>
          <w:sz w:val="21"/>
          <w:szCs w:val="21"/>
          <w:lang w:val="es-ES_tradnl" w:eastAsia="x-none"/>
        </w:rPr>
        <w:lastRenderedPageBreak/>
        <w:t xml:space="preserve">industriales y comerciales del Estado) y a los municipios prestadores directos, incluyendo las </w:t>
      </w:r>
      <w:r w:rsidRPr="00524963">
        <w:rPr>
          <w:rFonts w:ascii="Arial" w:hAnsi="Arial" w:eastAsia="Calibri" w:cs="Arial"/>
          <w:bCs/>
          <w:sz w:val="21"/>
          <w:szCs w:val="21"/>
          <w:lang w:val="es-ES_tradnl" w:eastAsia="x-none"/>
        </w:rPr>
        <w:t>excepciones contenidas en el segundo inciso de esta norma</w:t>
      </w:r>
      <w:r w:rsidRPr="00524963">
        <w:rPr>
          <w:rFonts w:ascii="Arial" w:hAnsi="Arial" w:eastAsia="Calibri" w:cs="Arial"/>
          <w:sz w:val="21"/>
          <w:szCs w:val="21"/>
          <w:vertAlign w:val="superscript"/>
          <w:lang w:eastAsia="en-US"/>
        </w:rPr>
        <w:footnoteReference w:id="22"/>
      </w:r>
      <w:r w:rsidRPr="00524963">
        <w:rPr>
          <w:rFonts w:ascii="Arial" w:hAnsi="Arial" w:eastAsia="Calibri" w:cs="Arial"/>
          <w:bCs/>
          <w:sz w:val="21"/>
          <w:szCs w:val="21"/>
          <w:lang w:val="es-ES_tradnl" w:eastAsia="x-none"/>
        </w:rPr>
        <w:t>.</w:t>
      </w:r>
      <w:r w:rsidRPr="00524963">
        <w:rPr>
          <w:rFonts w:ascii="Arial" w:hAnsi="Arial" w:eastAsia="Calibri" w:cs="Arial"/>
          <w:bCs/>
          <w:sz w:val="21"/>
          <w:szCs w:val="21"/>
          <w:lang w:val="es-ES_tradnl" w:eastAsia="es-CO"/>
        </w:rPr>
        <w:t xml:space="preserve"> </w:t>
      </w:r>
    </w:p>
    <w:p w:rsidRPr="0040083B" w:rsidR="00524963" w:rsidP="00524963" w:rsidRDefault="00524963" w14:paraId="4E24CAA1" w14:textId="77777777">
      <w:pPr>
        <w:spacing w:line="276" w:lineRule="auto"/>
        <w:ind w:firstLine="708"/>
        <w:jc w:val="both"/>
        <w:rPr>
          <w:rFonts w:ascii="Arial" w:hAnsi="Arial" w:eastAsia="Calibri" w:cs="Arial"/>
          <w:bCs/>
          <w:sz w:val="22"/>
          <w:szCs w:val="22"/>
          <w:lang w:val="es-ES_tradnl" w:eastAsia="es-CO"/>
        </w:rPr>
      </w:pPr>
    </w:p>
    <w:p w:rsidRPr="00344D3C" w:rsidR="0040083B" w:rsidP="0040083B" w:rsidRDefault="0040083B" w14:paraId="2A6D1194" w14:textId="77777777">
      <w:pPr>
        <w:spacing w:line="276" w:lineRule="auto"/>
        <w:ind w:firstLine="708"/>
        <w:contextualSpacing/>
        <w:jc w:val="both"/>
        <w:rPr>
          <w:rFonts w:ascii="Arial" w:hAnsi="Arial" w:eastAsia="Calibri" w:cs="Arial"/>
          <w:sz w:val="22"/>
          <w:szCs w:val="22"/>
          <w:lang w:val="es-MX"/>
        </w:rPr>
      </w:pPr>
      <w:r w:rsidRPr="00344D3C">
        <w:rPr>
          <w:rFonts w:ascii="Arial" w:hAnsi="Arial" w:cs="Arial"/>
          <w:bCs/>
          <w:sz w:val="22"/>
          <w:szCs w:val="22"/>
          <w:lang w:val="es-MX" w:eastAsia="x-none"/>
        </w:rPr>
        <w:t>En Concepto con radicado 1738 de 6 de abril de 2006, esa misma Corporación manifestó que «Las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bookmarkStart w:name="_Hlk75635823" w:id="24"/>
      <w:r w:rsidRPr="00344D3C">
        <w:rPr>
          <w:rFonts w:ascii="Arial" w:hAnsi="Arial" w:cs="Arial"/>
          <w:bCs/>
          <w:sz w:val="22"/>
          <w:szCs w:val="22"/>
          <w:lang w:val="es-MX" w:eastAsia="x-none"/>
        </w:rPr>
        <w:t>»</w:t>
      </w:r>
      <w:bookmarkStart w:name="_Hlk75758868" w:id="25"/>
      <w:bookmarkStart w:name="_Hlk75741220" w:id="26"/>
      <w:bookmarkEnd w:id="24"/>
      <w:r w:rsidRPr="00344D3C">
        <w:rPr>
          <w:rFonts w:ascii="Arial" w:hAnsi="Arial" w:eastAsia="Calibri" w:cs="Arial"/>
          <w:sz w:val="22"/>
          <w:szCs w:val="22"/>
          <w:vertAlign w:val="superscript"/>
          <w:lang w:val="es-MX"/>
        </w:rPr>
        <w:footnoteReference w:id="23"/>
      </w:r>
      <w:bookmarkEnd w:id="25"/>
      <w:bookmarkEnd w:id="26"/>
      <w:r w:rsidRPr="00344D3C">
        <w:rPr>
          <w:rFonts w:ascii="Arial" w:hAnsi="Arial" w:cs="Arial"/>
          <w:bCs/>
          <w:sz w:val="22"/>
          <w:szCs w:val="22"/>
          <w:lang w:val="es-MX" w:eastAsia="x-none"/>
        </w:rPr>
        <w:t>.</w:t>
      </w:r>
      <w:r w:rsidRPr="00344D3C">
        <w:rPr>
          <w:rFonts w:ascii="Arial" w:hAnsi="Arial" w:eastAsia="Calibri" w:cs="Arial"/>
          <w:sz w:val="22"/>
          <w:szCs w:val="22"/>
          <w:lang w:val="es-MX"/>
        </w:rPr>
        <w:t xml:space="preserve"> Sin embargo, debe precisarse el siguiente aspecto que distinguió la Sala de Consulta y Servicio Civil:</w:t>
      </w:r>
    </w:p>
    <w:p w:rsidRPr="00344D3C" w:rsidR="0040083B" w:rsidP="0040083B" w:rsidRDefault="0040083B" w14:paraId="354813F0" w14:textId="77777777">
      <w:pPr>
        <w:spacing w:line="276" w:lineRule="auto"/>
        <w:contextualSpacing/>
        <w:jc w:val="both"/>
        <w:rPr>
          <w:rFonts w:ascii="Arial" w:hAnsi="Arial" w:eastAsia="Calibri" w:cs="Arial"/>
          <w:sz w:val="22"/>
          <w:szCs w:val="22"/>
          <w:lang w:val="es-MX"/>
        </w:rPr>
      </w:pPr>
    </w:p>
    <w:p w:rsidRPr="006C314F" w:rsidR="0040083B" w:rsidP="0040083B" w:rsidRDefault="0040083B" w14:paraId="2931A85E" w14:textId="77777777">
      <w:pPr>
        <w:ind w:left="708" w:right="709"/>
        <w:contextualSpacing/>
        <w:jc w:val="both"/>
        <w:rPr>
          <w:rFonts w:ascii="Arial" w:hAnsi="Arial" w:eastAsia="Calibri" w:cs="Arial"/>
          <w:sz w:val="21"/>
          <w:szCs w:val="21"/>
          <w:lang w:val="es-MX"/>
        </w:rPr>
      </w:pPr>
      <w:bookmarkStart w:name="_Hlk75811446" w:id="28"/>
      <w:r w:rsidRPr="006C314F">
        <w:rPr>
          <w:rFonts w:ascii="Arial" w:hAnsi="Arial" w:eastAsia="Calibri" w:cs="Arial"/>
          <w:sz w:val="21"/>
          <w:szCs w:val="21"/>
          <w:lang w:val="es-MX"/>
        </w:rPr>
        <w:t>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bookmarkEnd w:id="28"/>
      <w:r w:rsidRPr="006C314F">
        <w:rPr>
          <w:rFonts w:ascii="Arial" w:hAnsi="Arial" w:eastAsia="Calibri" w:cs="Arial"/>
          <w:vertAlign w:val="superscript"/>
          <w:lang w:val="es-MX"/>
        </w:rPr>
        <w:footnoteReference w:id="24"/>
      </w:r>
      <w:r w:rsidRPr="006C314F">
        <w:rPr>
          <w:rFonts w:ascii="Arial" w:hAnsi="Arial" w:cs="Arial"/>
          <w:bCs/>
          <w:lang w:val="es-MX" w:eastAsia="x-none"/>
        </w:rPr>
        <w:t>.</w:t>
      </w:r>
    </w:p>
    <w:p w:rsidRPr="00344D3C" w:rsidR="0040083B" w:rsidP="0040083B" w:rsidRDefault="0040083B" w14:paraId="7114F13E" w14:textId="77777777">
      <w:pPr>
        <w:spacing w:line="276" w:lineRule="auto"/>
        <w:contextualSpacing/>
        <w:jc w:val="both"/>
        <w:rPr>
          <w:rFonts w:ascii="Arial" w:hAnsi="Arial" w:eastAsia="Calibri" w:cs="Arial"/>
          <w:sz w:val="22"/>
          <w:szCs w:val="22"/>
          <w:lang w:val="es-MX"/>
        </w:rPr>
      </w:pPr>
    </w:p>
    <w:p w:rsidRPr="00344D3C" w:rsidR="0040083B" w:rsidP="00344D3C" w:rsidRDefault="0040083B" w14:paraId="20BDBFA0" w14:textId="32F80199">
      <w:pPr>
        <w:spacing w:after="120" w:line="276" w:lineRule="auto"/>
        <w:ind w:firstLine="709"/>
        <w:jc w:val="both"/>
        <w:rPr>
          <w:rFonts w:ascii="Arial" w:hAnsi="Arial" w:cs="Arial"/>
          <w:bCs/>
          <w:sz w:val="22"/>
          <w:szCs w:val="22"/>
          <w:lang w:val="es-MX" w:eastAsia="x-none"/>
        </w:rPr>
      </w:pPr>
      <w:r w:rsidRPr="00344D3C">
        <w:rPr>
          <w:rFonts w:ascii="Arial" w:hAnsi="Arial" w:eastAsia="Calibri" w:cs="Arial"/>
          <w:sz w:val="22"/>
          <w:szCs w:val="22"/>
          <w:lang w:val="es-MX"/>
        </w:rPr>
        <w:t>Aplicando este razonamiento,</w:t>
      </w:r>
      <w:bookmarkStart w:name="_Hlk75811096" w:id="29"/>
      <w:r w:rsidRPr="00344D3C">
        <w:rPr>
          <w:rFonts w:ascii="Arial" w:hAnsi="Arial" w:eastAsia="Calibri" w:cs="Arial"/>
          <w:sz w:val="22"/>
          <w:szCs w:val="22"/>
          <w:lang w:val="es-MX"/>
        </w:rPr>
        <w:t xml:space="preserve"> se tiene que las empresas industriales y comerciales del estado y las empresas de servicios públicos oficiales y mixtas no pueden adquirir los suministros de bienes y servicios necesarios para la realización de su actividad por contratación directa sino por mecanismos competitivos que impliquen convocatoria pública </w:t>
      </w:r>
      <w:r w:rsidRPr="00344D3C">
        <w:rPr>
          <w:rFonts w:ascii="Arial" w:hAnsi="Arial" w:eastAsia="Calibri" w:cs="Arial"/>
          <w:sz w:val="22"/>
          <w:szCs w:val="22"/>
          <w:lang w:val="es-MX"/>
        </w:rPr>
        <w:lastRenderedPageBreak/>
        <w:t>y la posibilidad de pluralidad de oferentes, pero, «es obvio que si una de estas entidades va a prestar un servicio a un particular, lo puede hacer, pues estos se ofrecen a toda la comunidad en condiciones de igualdad. Si se supusiera que está prohibida su contratación directa, significaría la parálisis de tal actividad de interés público, lo que de ninguna manera es lo querido por la Ley 996 de 2005</w:t>
      </w:r>
      <w:bookmarkEnd w:id="29"/>
      <w:r w:rsidRPr="00344D3C">
        <w:rPr>
          <w:rFonts w:ascii="Arial" w:hAnsi="Arial" w:eastAsia="Calibri" w:cs="Arial"/>
          <w:sz w:val="22"/>
          <w:szCs w:val="22"/>
          <w:lang w:val="es-MX"/>
        </w:rPr>
        <w:t>»</w:t>
      </w:r>
      <w:r w:rsidRPr="00344D3C">
        <w:rPr>
          <w:rFonts w:ascii="Arial" w:hAnsi="Arial" w:eastAsia="Calibri" w:cs="Arial"/>
          <w:sz w:val="22"/>
          <w:szCs w:val="22"/>
          <w:vertAlign w:val="superscript"/>
          <w:lang w:val="es-MX"/>
        </w:rPr>
        <w:t xml:space="preserve"> </w:t>
      </w:r>
      <w:r w:rsidRPr="00344D3C">
        <w:rPr>
          <w:rFonts w:ascii="Arial" w:hAnsi="Arial" w:eastAsia="Calibri" w:cs="Arial"/>
          <w:sz w:val="22"/>
          <w:szCs w:val="22"/>
          <w:vertAlign w:val="superscript"/>
          <w:lang w:val="es-MX"/>
        </w:rPr>
        <w:footnoteReference w:id="25"/>
      </w:r>
      <w:r w:rsidRPr="00344D3C">
        <w:rPr>
          <w:rFonts w:ascii="Arial" w:hAnsi="Arial" w:eastAsia="Calibri" w:cs="Arial"/>
          <w:sz w:val="22"/>
          <w:szCs w:val="22"/>
          <w:lang w:val="es-MX"/>
        </w:rPr>
        <w:t>.</w:t>
      </w:r>
    </w:p>
    <w:p w:rsidRPr="00524963" w:rsidR="00524963" w:rsidP="00524963" w:rsidRDefault="00524963" w14:paraId="747E6790" w14:textId="064B04B9">
      <w:pPr>
        <w:spacing w:line="276" w:lineRule="auto"/>
        <w:ind w:firstLine="708"/>
        <w:jc w:val="both"/>
        <w:rPr>
          <w:rFonts w:ascii="Arial" w:hAnsi="Arial" w:eastAsia="Calibri" w:cs="Arial"/>
          <w:bCs/>
          <w:sz w:val="22"/>
          <w:szCs w:val="22"/>
          <w:lang w:val="es-ES_tradnl" w:eastAsia="x-none"/>
        </w:rPr>
      </w:pPr>
      <w:r w:rsidRPr="00524963">
        <w:rPr>
          <w:rFonts w:ascii="Arial" w:hAnsi="Arial" w:eastAsia="Calibri" w:cs="Arial"/>
          <w:sz w:val="22"/>
          <w:szCs w:val="22"/>
          <w:lang w:val="es-ES_tradnl" w:eastAsia="en-US"/>
        </w:rPr>
        <w:t xml:space="preserve">Por lo tanto, la </w:t>
      </w:r>
      <w:r w:rsidRPr="00524963">
        <w:rPr>
          <w:rFonts w:ascii="Arial" w:hAnsi="Arial" w:eastAsia="Calibri" w:cs="Arial"/>
          <w:sz w:val="22"/>
          <w:szCs w:val="22"/>
          <w:lang w:val="es-ES_tradnl" w:eastAsia="en-US"/>
        </w:rPr>
        <w:t xml:space="preserve">restricción prevista en la Ley 996 de 2005, </w:t>
      </w:r>
      <w:r w:rsidRPr="00524963">
        <w:rPr>
          <w:rFonts w:ascii="Arial" w:hAnsi="Arial" w:eastAsia="Calibri" w:cs="Arial"/>
          <w:bCs/>
          <w:sz w:val="22"/>
          <w:szCs w:val="22"/>
          <w:lang w:val="es-ES_tradnl" w:eastAsia="x-none"/>
        </w:rPr>
        <w:t xml:space="preserve">teniendo en cuenta la finalidad de la ley de garantías electorales, cobija a cualquier ente público que pueda a través de la contratación directa romper el equilibrio entre los candidatos en desarrollo de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w:t>
      </w:r>
      <w:r w:rsidR="00F850C0">
        <w:rPr>
          <w:rFonts w:ascii="Arial" w:hAnsi="Arial" w:eastAsia="Calibri" w:cs="Arial"/>
          <w:bCs/>
          <w:sz w:val="22"/>
          <w:szCs w:val="22"/>
          <w:lang w:val="es-ES_tradnl" w:eastAsia="x-none"/>
        </w:rPr>
        <w:t>el derecho privado</w:t>
      </w:r>
      <w:r w:rsidRPr="00524963">
        <w:rPr>
          <w:rFonts w:ascii="Arial" w:hAnsi="Arial" w:eastAsia="Calibri" w:cs="Arial"/>
          <w:bCs/>
          <w:sz w:val="22"/>
          <w:szCs w:val="22"/>
          <w:lang w:val="es-ES_tradnl" w:eastAsia="x-none"/>
        </w:rPr>
        <w:t>.</w:t>
      </w:r>
    </w:p>
    <w:p w:rsidRPr="007C421D" w:rsidR="00524963" w:rsidP="00524963" w:rsidRDefault="00524963" w14:paraId="305800CA" w14:textId="77777777">
      <w:pPr>
        <w:tabs>
          <w:tab w:val="left" w:pos="426"/>
        </w:tabs>
        <w:spacing w:line="276" w:lineRule="auto"/>
        <w:jc w:val="both"/>
        <w:rPr>
          <w:rFonts w:ascii="Arial" w:hAnsi="Arial" w:eastAsia="Calibri" w:cs="Arial"/>
          <w:bCs/>
          <w:sz w:val="22"/>
          <w:szCs w:val="22"/>
          <w:lang w:val="es-ES" w:eastAsia="es-CO"/>
        </w:rPr>
      </w:pPr>
    </w:p>
    <w:p w:rsidR="001428C2" w:rsidP="00037198" w:rsidRDefault="00524963" w14:paraId="657F10AF" w14:textId="391FA9D4">
      <w:pPr>
        <w:spacing w:line="276" w:lineRule="auto"/>
        <w:jc w:val="both"/>
        <w:rPr>
          <w:rFonts w:ascii="Arial" w:hAnsi="Arial" w:eastAsia="Calibri" w:cs="Arial"/>
          <w:sz w:val="22"/>
          <w:szCs w:val="22"/>
          <w:lang w:val="es-MX"/>
        </w:rPr>
      </w:pPr>
      <w:r w:rsidRPr="00524963">
        <w:rPr>
          <w:rFonts w:ascii="Arial" w:hAnsi="Arial" w:eastAsia="Calibri" w:cs="Arial"/>
          <w:b/>
          <w:bCs/>
          <w:color w:val="000000"/>
          <w:sz w:val="22"/>
          <w:szCs w:val="22"/>
          <w:lang w:eastAsia="en-US"/>
        </w:rPr>
        <w:t xml:space="preserve">2.3. </w:t>
      </w:r>
      <w:r w:rsidRPr="00037198" w:rsidR="00037198">
        <w:rPr>
          <w:rFonts w:ascii="Arial" w:hAnsi="Arial" w:cs="Arial"/>
          <w:b/>
          <w:bCs/>
          <w:color w:val="000000" w:themeColor="text1"/>
          <w:sz w:val="22"/>
          <w:szCs w:val="22"/>
        </w:rPr>
        <w:t>Contratos con organismos internacionales y restricciones de la Ley de Garantías para la contratación directa</w:t>
      </w:r>
    </w:p>
    <w:p w:rsidR="00037198" w:rsidP="001428C2" w:rsidRDefault="00037198" w14:paraId="2FCF9A58" w14:textId="77777777">
      <w:pPr>
        <w:snapToGrid w:val="0"/>
        <w:spacing w:line="276" w:lineRule="auto"/>
        <w:jc w:val="both"/>
        <w:rPr>
          <w:rFonts w:ascii="Arial" w:hAnsi="Arial" w:eastAsia="Calibri" w:cs="Arial"/>
          <w:bCs/>
          <w:sz w:val="22"/>
          <w:szCs w:val="22"/>
          <w:lang w:val="es-MX"/>
        </w:rPr>
      </w:pPr>
    </w:p>
    <w:p w:rsidRPr="00344D3C" w:rsidR="00037198" w:rsidRDefault="00037198" w14:paraId="08BDBB1B" w14:textId="77777777">
      <w:pPr>
        <w:spacing w:after="120" w:line="276" w:lineRule="auto"/>
        <w:jc w:val="both"/>
        <w:rPr>
          <w:rFonts w:ascii="Arial" w:hAnsi="Arial" w:cs="Arial"/>
          <w:sz w:val="22"/>
          <w:szCs w:val="22"/>
          <w:lang w:val="es-ES"/>
        </w:rPr>
      </w:pPr>
      <w:bookmarkStart w:name="_Hlk99449041" w:id="30"/>
      <w:r w:rsidRPr="00344D3C">
        <w:rPr>
          <w:rFonts w:ascii="Arial" w:hAnsi="Arial" w:cs="Arial"/>
          <w:sz w:val="22"/>
          <w:szCs w:val="22"/>
          <w:lang w:val="es-ES"/>
        </w:rPr>
        <w:t>Por organismo internacional se entiende aquella organización, grupo o asociación que se extiende más allá de las fronteras de un Estado y cuenta con órganos gubernamentales permanentes distintos e independientes de los Estados miembros de la organización que garantizan su vigencia y operatividad</w:t>
      </w:r>
      <w:r w:rsidRPr="00344D3C">
        <w:rPr>
          <w:rStyle w:val="Refdenotaalpie"/>
          <w:rFonts w:ascii="Arial" w:hAnsi="Arial" w:cs="Arial"/>
          <w:sz w:val="22"/>
          <w:szCs w:val="22"/>
        </w:rPr>
        <w:footnoteReference w:id="26"/>
      </w:r>
      <w:r w:rsidRPr="00344D3C">
        <w:rPr>
          <w:rFonts w:ascii="Arial" w:hAnsi="Arial" w:cs="Arial"/>
          <w:sz w:val="22"/>
          <w:szCs w:val="22"/>
          <w:lang w:val="es-ES"/>
        </w:rPr>
        <w:t xml:space="preserve">, con el propósito de cumplir objetivos comunes entre los Estados miembros. Conforme a su naturaleza, los organismos internacionales están facultados para suscribir contratos o convenios con los Estados, lo que supone un incidente frente a la aplicabilidad de los regímenes tanto de los Estados contratantes como de los organismos en su celebración. </w:t>
      </w:r>
    </w:p>
    <w:p w:rsidR="00037198" w:rsidP="00037198" w:rsidRDefault="00037198" w14:paraId="604646EF" w14:textId="36B9A4EE">
      <w:pPr>
        <w:pStyle w:val="Prrafodelista"/>
        <w:snapToGrid w:val="0"/>
        <w:spacing w:before="120" w:after="120" w:line="276" w:lineRule="auto"/>
        <w:ind w:left="0" w:firstLine="709"/>
        <w:jc w:val="both"/>
        <w:rPr>
          <w:rFonts w:ascii="Arial" w:hAnsi="Arial" w:eastAsia="Calibri" w:cs="Arial"/>
          <w:sz w:val="22"/>
        </w:rPr>
      </w:pPr>
      <w:bookmarkStart w:name="_Hlk99449078" w:id="31"/>
      <w:bookmarkStart w:name="_Hlk102401362" w:id="32"/>
      <w:bookmarkEnd w:id="30"/>
      <w:r w:rsidRPr="00037198">
        <w:rPr>
          <w:rFonts w:ascii="Arial" w:hAnsi="Arial" w:eastAsia="Calibri" w:cs="Arial"/>
          <w:sz w:val="22"/>
        </w:rPr>
        <w:t>El artículo 13 de la Ley 80 de 1993 regula de forma general el régimen aplicable a los contratos que celebren las entidades referidas en el artículo segundo del estatuto</w:t>
      </w:r>
      <w:r w:rsidRPr="00037198">
        <w:rPr>
          <w:rStyle w:val="Refdenotaalpie"/>
          <w:rFonts w:ascii="Arial" w:hAnsi="Arial" w:cs="Arial"/>
          <w:sz w:val="22"/>
        </w:rPr>
        <w:footnoteReference w:id="27"/>
      </w:r>
      <w:r w:rsidRPr="00037198">
        <w:rPr>
          <w:rFonts w:ascii="Arial" w:hAnsi="Arial" w:eastAsia="Calibri" w:cs="Arial"/>
          <w:sz w:val="22"/>
        </w:rPr>
        <w:t xml:space="preserve">, señalando en el inciso primero, como primer criterio, la aplicabilidad de las disposiciones civiles y comerciales nacionales, sin perjuicio de la aplicación prevalente de las contenidas </w:t>
      </w:r>
      <w:r w:rsidRPr="00037198">
        <w:rPr>
          <w:rFonts w:ascii="Arial" w:hAnsi="Arial" w:eastAsia="Calibri" w:cs="Arial"/>
          <w:sz w:val="22"/>
        </w:rPr>
        <w:lastRenderedPageBreak/>
        <w:t xml:space="preserve">en el Estatuto General de Contratación de la Administración Pública. Sin embargo, en su segundo inciso, respecto a los contratos celebrados en el exterior, permite que su ejecución se realice de conformidad con las normas del país donde se hayan suscrito, salvo que deban cumplirse en Colombia, caso en el que se aplicaría el esquema señalado respecto al inciso primero. Por último, el inciso tercero permite que los contratos que se celebren en Colombia, pero deban ejecutarse o cumplirse en el extranjero, se sometan a la ley extranjera. </w:t>
      </w:r>
      <w:bookmarkEnd w:id="31"/>
    </w:p>
    <w:bookmarkEnd w:id="32"/>
    <w:p w:rsidRPr="00037198" w:rsidR="00037198" w:rsidP="00344D3C" w:rsidRDefault="00037198" w14:paraId="0AF9026D" w14:textId="77777777">
      <w:pPr>
        <w:pStyle w:val="Prrafodelista"/>
        <w:snapToGrid w:val="0"/>
        <w:spacing w:before="120" w:after="120" w:line="276" w:lineRule="auto"/>
        <w:ind w:left="0" w:firstLine="709"/>
        <w:jc w:val="both"/>
        <w:rPr>
          <w:rFonts w:ascii="Arial" w:hAnsi="Arial" w:eastAsia="Calibri" w:cs="Arial"/>
          <w:sz w:val="12"/>
          <w:szCs w:val="12"/>
        </w:rPr>
      </w:pPr>
    </w:p>
    <w:p w:rsidRPr="00037198" w:rsidR="00037198" w:rsidP="00344D3C" w:rsidRDefault="00037198" w14:paraId="031C21A9" w14:textId="77777777">
      <w:pPr>
        <w:pStyle w:val="Prrafodelista"/>
        <w:snapToGrid w:val="0"/>
        <w:spacing w:line="276" w:lineRule="auto"/>
        <w:ind w:left="0" w:firstLine="709"/>
        <w:jc w:val="both"/>
        <w:rPr>
          <w:rFonts w:ascii="Arial" w:hAnsi="Arial" w:eastAsia="Calibri" w:cs="Arial"/>
          <w:sz w:val="22"/>
        </w:rPr>
      </w:pPr>
      <w:r w:rsidRPr="00037198">
        <w:rPr>
          <w:rFonts w:ascii="Arial" w:hAnsi="Arial" w:eastAsia="Calibri" w:cs="Arial"/>
          <w:sz w:val="22"/>
        </w:rPr>
        <w:t>Nótese cómo el artículo citado permite que las entidades estatales no se rijan siempre por la normativa colombiana, permitiendo, en algunos casos, la aplicación de la ley extranjera. Además de los supuestos anteriores, el Consejo de Estado explica, en general, los siguientes escenarios, en los cuales el régimen jurídico puede ser uno diferente al prescrito en el derecho nacional, pese a tratarse de contratos sometidos, en principio, a la Ley 80 de 1993:</w:t>
      </w:r>
    </w:p>
    <w:p w:rsidRPr="00037198" w:rsidR="00037198" w:rsidP="00344D3C" w:rsidRDefault="00037198" w14:paraId="6943F3E9" w14:textId="77777777">
      <w:pPr>
        <w:pStyle w:val="Prrafodelista"/>
        <w:snapToGrid w:val="0"/>
        <w:spacing w:line="276" w:lineRule="auto"/>
        <w:ind w:left="0" w:firstLine="709"/>
        <w:jc w:val="both"/>
        <w:rPr>
          <w:rFonts w:ascii="Arial" w:hAnsi="Arial" w:eastAsia="Calibri" w:cs="Arial"/>
          <w:sz w:val="22"/>
        </w:rPr>
      </w:pPr>
    </w:p>
    <w:p w:rsidRPr="00F807BA" w:rsidR="00037198" w:rsidP="00344D3C" w:rsidRDefault="00037198" w14:paraId="6EF10F3B" w14:textId="77777777">
      <w:pPr>
        <w:pStyle w:val="Prrafodelista"/>
        <w:ind w:left="709" w:right="709"/>
        <w:jc w:val="both"/>
        <w:rPr>
          <w:rFonts w:ascii="Arial" w:hAnsi="Arial" w:eastAsia="MS Mincho" w:cs="Arial"/>
          <w:sz w:val="21"/>
          <w:szCs w:val="21"/>
          <w:lang w:eastAsia="es-ES"/>
        </w:rPr>
      </w:pPr>
      <w:r w:rsidRPr="00F807BA">
        <w:rPr>
          <w:rFonts w:ascii="Arial" w:hAnsi="Arial" w:eastAsia="MS Mincho" w:cs="Arial"/>
          <w:sz w:val="21"/>
          <w:szCs w:val="21"/>
          <w:lang w:eastAsia="es-ES"/>
        </w:rPr>
        <w:t xml:space="preserve">i) Contratos celebrados en el exterior, los cuales se podrán regir en su ejecución por las reglas del país donde se ha suscrito, salvo cuando su cumplimiento deba hacerse en Colombia, caso en el cual se aplicará la legislación nacional, </w:t>
      </w:r>
      <w:proofErr w:type="spellStart"/>
      <w:r w:rsidRPr="00F807BA">
        <w:rPr>
          <w:rFonts w:ascii="Arial" w:hAnsi="Arial" w:eastAsia="MS Mincho" w:cs="Arial"/>
          <w:sz w:val="21"/>
          <w:szCs w:val="21"/>
          <w:lang w:eastAsia="es-ES"/>
        </w:rPr>
        <w:t>ii</w:t>
      </w:r>
      <w:proofErr w:type="spellEnd"/>
      <w:r w:rsidRPr="00F807BA">
        <w:rPr>
          <w:rFonts w:ascii="Arial" w:hAnsi="Arial" w:eastAsia="MS Mincho" w:cs="Arial"/>
          <w:sz w:val="21"/>
          <w:szCs w:val="21"/>
          <w:lang w:eastAsia="es-ES"/>
        </w:rPr>
        <w:t xml:space="preserve">) Contratos celebrados en territorio colombiano que deben ejecutarse o cumplirse en el extranjero, en tal caso podrá regirse bajo legislación foránea, salvo aquella parte que deba ejecutarse o cumplirse en Colombia, la cual se regirá por el derecho nacional, </w:t>
      </w:r>
      <w:proofErr w:type="spellStart"/>
      <w:r w:rsidRPr="00F807BA">
        <w:rPr>
          <w:rFonts w:ascii="Arial" w:hAnsi="Arial" w:eastAsia="MS Mincho" w:cs="Arial"/>
          <w:sz w:val="21"/>
          <w:szCs w:val="21"/>
          <w:lang w:eastAsia="es-ES"/>
        </w:rPr>
        <w:t>iii</w:t>
      </w:r>
      <w:proofErr w:type="spellEnd"/>
      <w:r w:rsidRPr="00F807BA">
        <w:rPr>
          <w:rFonts w:ascii="Arial" w:hAnsi="Arial" w:eastAsia="MS Mincho" w:cs="Arial"/>
          <w:sz w:val="21"/>
          <w:szCs w:val="21"/>
          <w:lang w:eastAsia="es-ES"/>
        </w:rPr>
        <w:t>) a) los contratos financiados con fondos de organismos multilaterales de crédito y b) aquellos celebrados con personas extranjeras de derecho público u organismos de cooperación, asistencia o ayudas internacionales, los cuales «podrán someterse a los reglamentos de tales entidades en todo lo relacionado con procedimientos de formación y adjudicación y cláusulas especiales de ejecución, cumplimiento, pagos y ajustes»</w:t>
      </w:r>
      <w:r w:rsidRPr="00F807BA">
        <w:rPr>
          <w:rStyle w:val="Refdenotaalpie"/>
          <w:rFonts w:ascii="Arial" w:hAnsi="Arial" w:cs="Arial"/>
          <w:sz w:val="21"/>
          <w:szCs w:val="21"/>
        </w:rPr>
        <w:footnoteReference w:id="28"/>
      </w:r>
      <w:r w:rsidRPr="00F807BA">
        <w:rPr>
          <w:rFonts w:ascii="Arial" w:hAnsi="Arial" w:eastAsia="MS Mincho" w:cs="Arial"/>
          <w:sz w:val="21"/>
          <w:szCs w:val="21"/>
          <w:lang w:eastAsia="es-ES"/>
        </w:rPr>
        <w:t xml:space="preserve">. </w:t>
      </w:r>
    </w:p>
    <w:p w:rsidRPr="00B32790" w:rsidR="00037198" w:rsidP="00037198" w:rsidRDefault="00037198" w14:paraId="30E23642" w14:textId="77777777">
      <w:pPr>
        <w:pStyle w:val="Prrafodelista"/>
        <w:spacing w:before="120"/>
        <w:ind w:left="851" w:right="709"/>
        <w:rPr>
          <w:rFonts w:ascii="Arial" w:hAnsi="Arial" w:eastAsia="Calibri" w:cs="Arial"/>
          <w:sz w:val="22"/>
        </w:rPr>
      </w:pPr>
    </w:p>
    <w:p w:rsidRPr="00344D3C" w:rsidR="00037198" w:rsidP="00037198" w:rsidRDefault="00037198" w14:paraId="71484423" w14:textId="77777777">
      <w:pPr>
        <w:spacing w:line="276" w:lineRule="auto"/>
        <w:ind w:firstLine="709"/>
        <w:jc w:val="both"/>
        <w:rPr>
          <w:rFonts w:ascii="Arial" w:hAnsi="Arial" w:eastAsia="Calibri" w:cs="Arial"/>
          <w:sz w:val="22"/>
          <w:szCs w:val="22"/>
          <w:lang w:val="es-ES"/>
        </w:rPr>
      </w:pPr>
      <w:r w:rsidRPr="00344D3C">
        <w:rPr>
          <w:rFonts w:ascii="Arial" w:hAnsi="Arial" w:eastAsia="Calibri" w:cs="Arial"/>
          <w:sz w:val="22"/>
          <w:szCs w:val="22"/>
          <w:lang w:val="es-ES"/>
        </w:rPr>
        <w:t>La redacción original del artículo 13 de la Ley 80 de 1993 incluía un inciso cuarto en el que se regulaba el régimen aplicable a los contratos suscritos con organismos internacionales, estableciendo otros supuestos donde era posible aplicar un régimen distinto al del Estatuto General de Contratación de la Administración Pública –en adelante EGCAP–</w:t>
      </w:r>
      <w:r w:rsidRPr="00344D3C">
        <w:rPr>
          <w:rStyle w:val="Refdenotaalpie"/>
          <w:rFonts w:ascii="Arial" w:hAnsi="Arial" w:eastAsia="Calibri" w:cs="Arial"/>
          <w:sz w:val="22"/>
          <w:szCs w:val="22"/>
        </w:rPr>
        <w:footnoteReference w:id="29"/>
      </w:r>
      <w:r w:rsidRPr="00344D3C">
        <w:rPr>
          <w:rFonts w:ascii="Arial" w:hAnsi="Arial" w:eastAsia="Calibri" w:cs="Arial"/>
          <w:sz w:val="22"/>
          <w:szCs w:val="22"/>
          <w:lang w:val="es-ES"/>
        </w:rPr>
        <w:t xml:space="preserve">. Sin embargo, el artículo 20 de la Ley 1150 de 2007 modificó el régimen contractual aplicable a los contratos o convenios suscritos con organismos internacionales, estableciendo, para algunos casos, la posible definición del régimen dependiendo del </w:t>
      </w:r>
      <w:r w:rsidRPr="00344D3C">
        <w:rPr>
          <w:rFonts w:ascii="Arial" w:hAnsi="Arial" w:eastAsia="Calibri" w:cs="Arial"/>
          <w:sz w:val="22"/>
          <w:szCs w:val="22"/>
          <w:lang w:val="es-ES"/>
        </w:rPr>
        <w:lastRenderedPageBreak/>
        <w:t xml:space="preserve">porcentaje de participación que el organismo internacional tuviera frente a dichos contratos, a partir del cual establece una potestad discrecional en torno a la elección del régimen contractual aplicable. Así, el artículo 20 de la citada norma señala que «podrán» ser sometidos a los reglamentos de tales entidades, en lo que tiene que ver con el inciso primero de dicho artículo. </w:t>
      </w:r>
    </w:p>
    <w:p w:rsidRPr="00344D3C" w:rsidR="00037198" w:rsidP="00037198" w:rsidRDefault="00037198" w14:paraId="7C6ADB76" w14:textId="77777777">
      <w:pPr>
        <w:spacing w:before="120" w:after="120" w:line="276" w:lineRule="auto"/>
        <w:ind w:firstLine="709"/>
        <w:jc w:val="both"/>
        <w:rPr>
          <w:rFonts w:ascii="Arial" w:hAnsi="Arial" w:eastAsia="Calibri" w:cs="Arial"/>
          <w:sz w:val="22"/>
          <w:szCs w:val="22"/>
          <w:lang w:val="es-ES"/>
        </w:rPr>
      </w:pPr>
      <w:r w:rsidRPr="00344D3C">
        <w:rPr>
          <w:rFonts w:ascii="Arial" w:hAnsi="Arial" w:eastAsia="Calibri" w:cs="Arial"/>
          <w:sz w:val="22"/>
          <w:szCs w:val="22"/>
          <w:lang w:val="es-ES"/>
        </w:rPr>
        <w:t>Para comprender el alcance del régimen aplicable a los contratos o convenios que se suscriban con organismos internacionales, de acuerdo con la financiación de estos, resulta necesario analizar el artículo 20 de la Ley 1150 de 2007</w:t>
      </w:r>
      <w:r w:rsidRPr="00344D3C">
        <w:rPr>
          <w:rStyle w:val="Refdenotaalpie"/>
          <w:rFonts w:ascii="Arial" w:hAnsi="Arial" w:eastAsia="Calibri" w:cs="Arial"/>
          <w:sz w:val="22"/>
          <w:szCs w:val="22"/>
        </w:rPr>
        <w:footnoteReference w:id="30"/>
      </w:r>
      <w:r w:rsidRPr="00344D3C">
        <w:rPr>
          <w:rFonts w:ascii="Arial" w:hAnsi="Arial" w:eastAsia="Calibri" w:cs="Arial"/>
          <w:sz w:val="22"/>
          <w:szCs w:val="22"/>
          <w:lang w:val="es-ES"/>
        </w:rPr>
        <w:t xml:space="preserve">. De conformidad con este artículo, en lo que tiene que ver con el </w:t>
      </w:r>
      <w:r w:rsidRPr="00344D3C">
        <w:rPr>
          <w:rFonts w:ascii="Arial" w:hAnsi="Arial" w:eastAsia="Calibri" w:cs="Arial"/>
          <w:i/>
          <w:iCs/>
          <w:sz w:val="22"/>
          <w:szCs w:val="22"/>
          <w:lang w:val="es-ES"/>
        </w:rPr>
        <w:t>inciso primero</w:t>
      </w:r>
      <w:r w:rsidRPr="00344D3C">
        <w:rPr>
          <w:rFonts w:ascii="Arial" w:hAnsi="Arial" w:eastAsia="Calibri" w:cs="Arial"/>
          <w:sz w:val="22"/>
          <w:szCs w:val="22"/>
          <w:lang w:val="es-ES"/>
        </w:rPr>
        <w:t xml:space="preserve">, resulta que únicamente procederá la aplicación de los reglamentos de estas entidades y, por lo tanto, es facultativo dejar de aplicar el EGCAP cuando los contratos o convenios sean financiados en su totalidad o en sumas iguales o superiores al 50% con fondos del organismo de cooperación, asistencia o ayudas internacionales. Cuando la entidad contratante determine o establezca que los aportes del organismo internacional son inferiores al porcentaje señalado, el contrato o convenio debe someterse al EGCAP. </w:t>
      </w:r>
    </w:p>
    <w:p w:rsidRPr="00344D3C" w:rsidR="00037198" w:rsidP="00037198" w:rsidRDefault="00037198" w14:paraId="2A723BAC" w14:textId="77777777">
      <w:pPr>
        <w:spacing w:before="120" w:line="276" w:lineRule="auto"/>
        <w:ind w:firstLine="709"/>
        <w:jc w:val="both"/>
        <w:rPr>
          <w:rFonts w:ascii="Arial" w:hAnsi="Arial" w:eastAsia="Calibri" w:cs="Arial"/>
          <w:sz w:val="22"/>
          <w:szCs w:val="22"/>
          <w:lang w:val="es-ES"/>
        </w:rPr>
      </w:pPr>
      <w:r w:rsidRPr="00344D3C">
        <w:rPr>
          <w:rFonts w:ascii="Arial" w:hAnsi="Arial" w:eastAsia="Calibri" w:cs="Arial"/>
          <w:sz w:val="22"/>
          <w:szCs w:val="22"/>
          <w:lang w:val="es-ES"/>
        </w:rPr>
        <w:t xml:space="preserve">Por otro lado, la norma establece un segundo criterio, en el </w:t>
      </w:r>
      <w:r w:rsidRPr="00344D3C">
        <w:rPr>
          <w:rFonts w:ascii="Arial" w:hAnsi="Arial" w:eastAsia="Calibri" w:cs="Arial"/>
          <w:i/>
          <w:iCs/>
          <w:sz w:val="22"/>
          <w:szCs w:val="22"/>
          <w:lang w:val="es-ES"/>
        </w:rPr>
        <w:t>inciso segundo,</w:t>
      </w:r>
      <w:r w:rsidRPr="00344D3C">
        <w:rPr>
          <w:rFonts w:ascii="Arial" w:hAnsi="Arial" w:eastAsia="Calibri" w:cs="Arial"/>
          <w:sz w:val="22"/>
          <w:szCs w:val="22"/>
          <w:lang w:val="es-ES"/>
        </w:rPr>
        <w:t xml:space="preserve"> para determinar la posibilidad de aplicar los reglamentos de los organismos internacionales. Este segundo criterio depende del objeto del convenio o contrato a celebrar, de manera que en dichos casos se puede pactar el sometimiento a los reglamentos de estas </w:t>
      </w:r>
      <w:r w:rsidRPr="00344D3C">
        <w:rPr>
          <w:rFonts w:ascii="Arial" w:hAnsi="Arial" w:eastAsia="Calibri" w:cs="Arial"/>
          <w:sz w:val="22"/>
          <w:szCs w:val="22"/>
          <w:lang w:val="es-ES"/>
        </w:rPr>
        <w:lastRenderedPageBreak/>
        <w:t xml:space="preserve">entidades. En tal sentido, los otros supuestos en que es posible someter el régimen contractual a los reglamentos de los organismos internacionales son los siguientes: </w:t>
      </w:r>
    </w:p>
    <w:p w:rsidRPr="00344D3C" w:rsidR="00037198" w:rsidP="00037198" w:rsidRDefault="00037198" w14:paraId="7B680E6C" w14:textId="77777777">
      <w:pPr>
        <w:spacing w:line="276" w:lineRule="auto"/>
        <w:ind w:firstLine="709"/>
        <w:jc w:val="both"/>
        <w:rPr>
          <w:rFonts w:ascii="Arial" w:hAnsi="Arial" w:eastAsia="Calibri" w:cs="Arial"/>
          <w:sz w:val="22"/>
          <w:szCs w:val="22"/>
          <w:lang w:val="es-ES"/>
        </w:rPr>
      </w:pPr>
    </w:p>
    <w:p w:rsidRPr="00F807BA" w:rsidR="00037198" w:rsidP="00037198" w:rsidRDefault="00037198" w14:paraId="61FE3660" w14:textId="77777777">
      <w:pPr>
        <w:pStyle w:val="Prrafodelista"/>
        <w:numPr>
          <w:ilvl w:val="0"/>
          <w:numId w:val="40"/>
        </w:numPr>
        <w:spacing w:after="200" w:line="276" w:lineRule="auto"/>
        <w:ind w:left="1134" w:right="709" w:hanging="141"/>
        <w:jc w:val="both"/>
        <w:rPr>
          <w:rFonts w:ascii="Arial" w:hAnsi="Arial" w:eastAsia="Calibri" w:cs="Arial"/>
          <w:sz w:val="21"/>
          <w:szCs w:val="21"/>
        </w:rPr>
      </w:pPr>
      <w:r w:rsidRPr="00F807BA">
        <w:rPr>
          <w:rFonts w:ascii="Arial" w:hAnsi="Arial" w:eastAsia="Calibri" w:cs="Arial"/>
          <w:sz w:val="21"/>
          <w:szCs w:val="21"/>
        </w:rPr>
        <w:t xml:space="preserve">Desarrollo de programas de promoción, prevención y atención en salud. </w:t>
      </w:r>
    </w:p>
    <w:p w:rsidRPr="00F807BA" w:rsidR="00037198" w:rsidP="00037198" w:rsidRDefault="00037198" w14:paraId="7078E580" w14:textId="77777777">
      <w:pPr>
        <w:pStyle w:val="Prrafodelista"/>
        <w:numPr>
          <w:ilvl w:val="0"/>
          <w:numId w:val="40"/>
        </w:numPr>
        <w:spacing w:line="276" w:lineRule="auto"/>
        <w:ind w:left="1134" w:right="709" w:hanging="141"/>
        <w:jc w:val="both"/>
        <w:rPr>
          <w:rFonts w:ascii="Arial" w:hAnsi="Arial" w:cs="Arial"/>
          <w:sz w:val="21"/>
          <w:szCs w:val="21"/>
        </w:rPr>
      </w:pPr>
      <w:r w:rsidRPr="00F807BA">
        <w:rPr>
          <w:rFonts w:ascii="Arial" w:hAnsi="Arial" w:cs="Arial"/>
          <w:sz w:val="21"/>
          <w:szCs w:val="21"/>
        </w:rPr>
        <w:t>Contratos y convenios necesarios para la operación de la OIT.</w:t>
      </w:r>
    </w:p>
    <w:p w:rsidRPr="00F807BA" w:rsidR="00037198" w:rsidP="00037198" w:rsidRDefault="00037198" w14:paraId="69095D87" w14:textId="77777777">
      <w:pPr>
        <w:pStyle w:val="Prrafodelista"/>
        <w:numPr>
          <w:ilvl w:val="0"/>
          <w:numId w:val="40"/>
        </w:numPr>
        <w:spacing w:line="276" w:lineRule="auto"/>
        <w:ind w:left="1134" w:right="709" w:hanging="141"/>
        <w:jc w:val="both"/>
        <w:rPr>
          <w:rFonts w:ascii="Arial" w:hAnsi="Arial" w:cs="Arial"/>
          <w:sz w:val="21"/>
          <w:szCs w:val="21"/>
        </w:rPr>
      </w:pPr>
      <w:r w:rsidRPr="00F807BA">
        <w:rPr>
          <w:rFonts w:ascii="Arial" w:hAnsi="Arial" w:cs="Arial"/>
          <w:sz w:val="21"/>
          <w:szCs w:val="21"/>
        </w:rPr>
        <w:t>Contratos y convenios que se ejecuten en desarrollo del sistema integrado de monitoreo de cultivos ilícitos.</w:t>
      </w:r>
    </w:p>
    <w:p w:rsidRPr="00F807BA" w:rsidR="00037198" w:rsidP="00037198" w:rsidRDefault="00037198" w14:paraId="2755F1F7" w14:textId="77777777">
      <w:pPr>
        <w:pStyle w:val="Prrafodelista"/>
        <w:numPr>
          <w:ilvl w:val="0"/>
          <w:numId w:val="40"/>
        </w:numPr>
        <w:spacing w:line="276" w:lineRule="auto"/>
        <w:ind w:left="1134" w:right="709" w:hanging="141"/>
        <w:jc w:val="both"/>
        <w:rPr>
          <w:rFonts w:ascii="Arial" w:hAnsi="Arial" w:cs="Arial"/>
          <w:sz w:val="21"/>
          <w:szCs w:val="21"/>
        </w:rPr>
      </w:pPr>
      <w:r w:rsidRPr="00F807BA">
        <w:rPr>
          <w:rFonts w:ascii="Arial" w:hAnsi="Arial" w:cs="Arial"/>
          <w:sz w:val="21"/>
          <w:szCs w:val="21"/>
        </w:rPr>
        <w:t>Contratos y convenios para la operación del programa mundial de alimentos.</w:t>
      </w:r>
    </w:p>
    <w:p w:rsidRPr="00F807BA" w:rsidR="00037198" w:rsidP="00037198" w:rsidRDefault="00037198" w14:paraId="2730561E" w14:textId="77777777">
      <w:pPr>
        <w:pStyle w:val="Prrafodelista"/>
        <w:numPr>
          <w:ilvl w:val="0"/>
          <w:numId w:val="40"/>
        </w:numPr>
        <w:spacing w:line="276" w:lineRule="auto"/>
        <w:ind w:left="1134" w:right="709" w:hanging="141"/>
        <w:jc w:val="both"/>
        <w:rPr>
          <w:rFonts w:ascii="Arial" w:hAnsi="Arial" w:cs="Arial"/>
          <w:sz w:val="21"/>
          <w:szCs w:val="21"/>
        </w:rPr>
      </w:pPr>
      <w:r w:rsidRPr="00F807BA">
        <w:rPr>
          <w:rFonts w:ascii="Arial" w:hAnsi="Arial" w:cs="Arial"/>
          <w:sz w:val="21"/>
          <w:szCs w:val="21"/>
        </w:rPr>
        <w:t>Contratos y convenios para el desarrollo de programas de apoyo educativo a población desplazada y vulnerable adelantados por la Unesco y la OIM.</w:t>
      </w:r>
    </w:p>
    <w:p w:rsidRPr="00F807BA" w:rsidR="00037198" w:rsidP="00037198" w:rsidRDefault="00037198" w14:paraId="04647805" w14:textId="77777777">
      <w:pPr>
        <w:pStyle w:val="Prrafodelista"/>
        <w:numPr>
          <w:ilvl w:val="0"/>
          <w:numId w:val="40"/>
        </w:numPr>
        <w:spacing w:line="276" w:lineRule="auto"/>
        <w:ind w:left="1134" w:right="709" w:hanging="141"/>
        <w:jc w:val="both"/>
        <w:rPr>
          <w:rFonts w:ascii="Arial" w:hAnsi="Arial" w:cs="Arial"/>
          <w:sz w:val="22"/>
        </w:rPr>
      </w:pPr>
      <w:r w:rsidRPr="00F807BA">
        <w:rPr>
          <w:rFonts w:ascii="Arial" w:hAnsi="Arial" w:cs="Arial"/>
          <w:sz w:val="21"/>
          <w:szCs w:val="21"/>
        </w:rPr>
        <w:t>Los contratos o convenios financiados con fondos de los organismos multilaterales de crédito y entes gubernamentales extranjeros.</w:t>
      </w:r>
      <w:r w:rsidRPr="00F807BA">
        <w:rPr>
          <w:rFonts w:ascii="Arial" w:hAnsi="Arial" w:cs="Arial"/>
          <w:sz w:val="22"/>
        </w:rPr>
        <w:t xml:space="preserve"> </w:t>
      </w:r>
    </w:p>
    <w:p w:rsidRPr="00B32790" w:rsidR="00037198" w:rsidP="00037198" w:rsidRDefault="00037198" w14:paraId="1D5D175C" w14:textId="77777777">
      <w:pPr>
        <w:pStyle w:val="Prrafodelista"/>
        <w:ind w:left="1429"/>
        <w:rPr>
          <w:rFonts w:ascii="Arial" w:hAnsi="Arial" w:cs="Arial"/>
          <w:sz w:val="22"/>
        </w:rPr>
      </w:pPr>
    </w:p>
    <w:p w:rsidRPr="00344D3C" w:rsidR="00037198" w:rsidP="00037198" w:rsidRDefault="00037198" w14:paraId="1755D919" w14:textId="77777777">
      <w:pPr>
        <w:spacing w:line="276" w:lineRule="auto"/>
        <w:ind w:firstLine="709"/>
        <w:jc w:val="both"/>
        <w:rPr>
          <w:rFonts w:ascii="Arial" w:hAnsi="Arial" w:eastAsia="Calibri" w:cs="Arial"/>
          <w:sz w:val="22"/>
          <w:szCs w:val="22"/>
          <w:lang w:val="es-ES"/>
        </w:rPr>
      </w:pPr>
      <w:r w:rsidRPr="00344D3C">
        <w:rPr>
          <w:rFonts w:ascii="Arial" w:hAnsi="Arial" w:eastAsia="Calibri" w:cs="Arial"/>
          <w:sz w:val="22"/>
          <w:szCs w:val="22"/>
          <w:lang w:val="es-ES"/>
        </w:rPr>
        <w:t>En los supuestos anteriores, regulados en el inciso segundo del artículo 20, independientemente del monto de los aportes de cada una de las partes, es posible optar por someter el contrato a los reglamentos de dichos organismos o bien someterlos al EGCAP, es decir, configurado alguno de los presupuestos anteriores es posible elegir cualquiera de los dos (2) regímenes indicados. Al respecto, en el concepto C-374 del 27 de julio de 2020, esta Agencia –después de analizar el artículo 20 de la Ley 1150 de 2007– concluyó que:</w:t>
      </w:r>
    </w:p>
    <w:p w:rsidRPr="00344D3C" w:rsidR="00037198" w:rsidP="00037198" w:rsidRDefault="00037198" w14:paraId="53766228" w14:textId="77777777">
      <w:pPr>
        <w:spacing w:line="276" w:lineRule="auto"/>
        <w:ind w:firstLine="709"/>
        <w:jc w:val="both"/>
        <w:rPr>
          <w:rFonts w:ascii="Arial" w:hAnsi="Arial" w:eastAsia="Calibri" w:cs="Arial"/>
          <w:sz w:val="22"/>
          <w:szCs w:val="22"/>
          <w:lang w:val="es-ES"/>
        </w:rPr>
      </w:pPr>
    </w:p>
    <w:p w:rsidRPr="00F807BA" w:rsidR="00037198" w:rsidP="00037198" w:rsidRDefault="00037198" w14:paraId="7FA07CB5" w14:textId="77777777">
      <w:pPr>
        <w:ind w:left="709" w:right="709"/>
        <w:jc w:val="both"/>
        <w:rPr>
          <w:rFonts w:ascii="Arial" w:hAnsi="Arial" w:eastAsia="Calibri" w:cs="Arial"/>
          <w:sz w:val="21"/>
          <w:szCs w:val="21"/>
          <w:lang w:val="es-ES"/>
        </w:rPr>
      </w:pPr>
      <w:r w:rsidRPr="00F807BA">
        <w:rPr>
          <w:rFonts w:ascii="Arial" w:hAnsi="Arial" w:eastAsia="Calibri" w:cs="Arial"/>
          <w:sz w:val="21"/>
          <w:szCs w:val="21"/>
          <w:lang w:val="es-ES"/>
        </w:rPr>
        <w:t>[…] existen dos grupos de supuestos en el artículo 20 de la Ley 1150 de 2007, bajo los cuales es posible someter el régimen contractual aplicable a los reglamentos de los organismos internacionales: el primer grupo, regulado en el inciso primero, donde dicha posibilidad se condiciona a que los contratos o convenios  se financien en el 50% o más con fondos de dichos organismos de cooperación, asistencia o ayudas internacionales y, el segundo grupo, regulado en el inciso segundo, donde dicha posibilidad se condiciona a que se configure alguno de los 6 supuestos enlistados atrás, sin que resulte exigible algún porcentaje de incorporación de recursos. En todo caso, frente a ambos grupos, la aplicación de los reglamentos de tales entidades internacionales es una posibilidad por la que pueden optar o no las partes; es decir, configurados los requisitos indicados, las partes pueden decidir si someten los contratos a los reglamentos de las entidades internacionales o si se rigen por el Estatuto General de Contratación de la Administración Pública.</w:t>
      </w:r>
    </w:p>
    <w:p w:rsidRPr="00344D3C" w:rsidR="00037198" w:rsidP="00037198" w:rsidRDefault="00037198" w14:paraId="4ADD2656" w14:textId="77777777">
      <w:pPr>
        <w:ind w:left="709" w:right="709"/>
        <w:jc w:val="both"/>
        <w:rPr>
          <w:rFonts w:ascii="Arial" w:hAnsi="Arial" w:eastAsia="Calibri" w:cs="Arial"/>
          <w:sz w:val="22"/>
          <w:szCs w:val="22"/>
          <w:lang w:val="es-ES"/>
        </w:rPr>
      </w:pPr>
    </w:p>
    <w:p w:rsidRPr="00B86110" w:rsidR="00037198" w:rsidP="00344D3C" w:rsidRDefault="00037198" w14:paraId="21149161" w14:textId="6AA8E373">
      <w:pPr>
        <w:spacing w:after="120" w:line="276" w:lineRule="auto"/>
        <w:ind w:firstLine="709"/>
        <w:jc w:val="both"/>
        <w:rPr>
          <w:rFonts w:ascii="Arial" w:hAnsi="Arial" w:cs="Arial"/>
          <w:sz w:val="22"/>
          <w:szCs w:val="22"/>
        </w:rPr>
      </w:pPr>
      <w:r w:rsidRPr="00344D3C">
        <w:rPr>
          <w:rFonts w:ascii="Arial" w:hAnsi="Arial" w:eastAsia="Calibri" w:cs="Arial"/>
          <w:sz w:val="22"/>
          <w:szCs w:val="22"/>
          <w:lang w:val="es-ES"/>
        </w:rPr>
        <w:t xml:space="preserve">De otra parte, en relación con los contratos del inciso primero del artículo 20 de la Ley 1150 de 2007, conviene mencionar que dentro de la ejecución del contrato o convenio pueden presentarse situaciones en las que el porcentaje de los aportes sea modificado, en virtud de su adición o no ejecución en los términos pactados, por lo que, previendo este escenario, el artículo 2.2.1.2.4.4.1. del Decreto 1082 de 2015 dispuso que: «se deben modificar los contratos o convenios para efectos de que estos estén sujetos a las normas </w:t>
      </w:r>
      <w:r w:rsidRPr="00344D3C">
        <w:rPr>
          <w:rFonts w:ascii="Arial" w:hAnsi="Arial" w:eastAsia="Calibri" w:cs="Arial"/>
          <w:sz w:val="22"/>
          <w:szCs w:val="22"/>
          <w:lang w:val="es-ES"/>
        </w:rPr>
        <w:lastRenderedPageBreak/>
        <w:t>del sistema de compras y contratación pública, si el aporte de recursos públicos es superior al cincuenta por ciento (50%) del total o de las normas internas de la entidad de cooperación si el aporte es inferior»</w:t>
      </w:r>
      <w:r w:rsidRPr="00344D3C">
        <w:rPr>
          <w:rStyle w:val="Refdenotaalpie"/>
          <w:rFonts w:ascii="Arial" w:hAnsi="Arial" w:eastAsia="Calibri" w:cs="Arial"/>
          <w:sz w:val="22"/>
          <w:szCs w:val="22"/>
        </w:rPr>
        <w:footnoteReference w:id="31"/>
      </w:r>
      <w:r w:rsidRPr="00344D3C">
        <w:rPr>
          <w:rFonts w:ascii="Arial" w:hAnsi="Arial" w:eastAsia="Calibri" w:cs="Arial"/>
          <w:sz w:val="22"/>
          <w:szCs w:val="22"/>
          <w:lang w:val="es-ES"/>
        </w:rPr>
        <w:t xml:space="preserve">. Así las cosas, la entidad contratante debe realizar un constante monitoreo </w:t>
      </w:r>
      <w:r w:rsidRPr="00B86110">
        <w:rPr>
          <w:rFonts w:ascii="Arial" w:hAnsi="Arial" w:eastAsia="Calibri" w:cs="Arial"/>
          <w:sz w:val="22"/>
          <w:szCs w:val="22"/>
          <w:lang w:val="es-ES"/>
        </w:rPr>
        <w:t>respecto de los aportes de cada una de las partes para determinar si se debe realizar un ajuste frente al régimen aplicable, esto es, en relación con los contratos regulados en el inciso primero del artículo 20 de la Ley 1150 de 2007</w:t>
      </w:r>
      <w:r w:rsidRPr="00B86110">
        <w:rPr>
          <w:rFonts w:ascii="Arial" w:hAnsi="Arial" w:cs="Arial"/>
          <w:sz w:val="22"/>
          <w:szCs w:val="22"/>
        </w:rPr>
        <w:t xml:space="preserve">. </w:t>
      </w:r>
    </w:p>
    <w:p w:rsidRPr="00B86110" w:rsidR="00FC728E" w:rsidP="00344D3C" w:rsidRDefault="007A4952" w14:paraId="34D4BB85" w14:textId="4005F06D">
      <w:pPr>
        <w:snapToGrid w:val="0"/>
        <w:spacing w:after="120" w:line="276" w:lineRule="auto"/>
        <w:ind w:firstLine="709"/>
        <w:jc w:val="both"/>
        <w:rPr>
          <w:rFonts w:ascii="Arial" w:hAnsi="Arial" w:eastAsia="Calibri" w:cs="Arial"/>
          <w:sz w:val="22"/>
          <w:szCs w:val="22"/>
          <w:lang w:val="es-ES" w:eastAsia="en-US"/>
        </w:rPr>
      </w:pPr>
      <w:r w:rsidRPr="00B86110">
        <w:rPr>
          <w:rFonts w:ascii="Arial" w:hAnsi="Arial" w:cs="Arial"/>
          <w:sz w:val="22"/>
          <w:szCs w:val="22"/>
        </w:rPr>
        <w:t xml:space="preserve">Ahora bien, </w:t>
      </w:r>
      <w:bookmarkStart w:name="_Hlk102401457" w:id="33"/>
      <w:r w:rsidRPr="00B86110">
        <w:rPr>
          <w:rFonts w:ascii="Arial" w:hAnsi="Arial" w:cs="Arial"/>
          <w:sz w:val="22"/>
          <w:szCs w:val="22"/>
        </w:rPr>
        <w:t>d</w:t>
      </w:r>
      <w:proofErr w:type="spellStart"/>
      <w:r w:rsidRPr="00B86110" w:rsidR="001056C4">
        <w:rPr>
          <w:rFonts w:ascii="Arial" w:hAnsi="Arial" w:cs="Arial"/>
          <w:sz w:val="22"/>
          <w:szCs w:val="22"/>
          <w:lang w:val="es-MX"/>
        </w:rPr>
        <w:t>e</w:t>
      </w:r>
      <w:proofErr w:type="spellEnd"/>
      <w:r w:rsidRPr="00B86110" w:rsidR="001056C4">
        <w:rPr>
          <w:rFonts w:ascii="Arial" w:hAnsi="Arial" w:cs="Arial"/>
          <w:sz w:val="22"/>
          <w:szCs w:val="22"/>
          <w:lang w:val="es-MX"/>
        </w:rPr>
        <w:t xml:space="preserve"> acuerdo con el </w:t>
      </w:r>
      <w:r w:rsidRPr="00B86110" w:rsidR="001056C4">
        <w:rPr>
          <w:rFonts w:ascii="Arial" w:hAnsi="Arial" w:eastAsia="Calibri" w:cs="Arial"/>
          <w:sz w:val="22"/>
          <w:szCs w:val="22"/>
          <w:lang w:val="es-ES" w:eastAsia="en-US"/>
        </w:rPr>
        <w:t>Concepto CU-180 del 8 de abril de 2022</w:t>
      </w:r>
      <w:r w:rsidRPr="00B86110" w:rsidR="00B76577">
        <w:rPr>
          <w:rFonts w:ascii="Arial" w:hAnsi="Arial" w:eastAsia="Calibri" w:cs="Arial"/>
          <w:sz w:val="22"/>
          <w:szCs w:val="22"/>
          <w:lang w:val="es-ES" w:eastAsia="en-US"/>
        </w:rPr>
        <w:t xml:space="preserve"> de esta Agencia</w:t>
      </w:r>
      <w:r w:rsidRPr="00B86110" w:rsidR="001056C4">
        <w:rPr>
          <w:rFonts w:ascii="Arial" w:hAnsi="Arial" w:eastAsia="Calibri" w:cs="Arial"/>
          <w:sz w:val="22"/>
          <w:szCs w:val="22"/>
          <w:lang w:val="es-ES" w:eastAsia="en-US"/>
        </w:rPr>
        <w:t>,</w:t>
      </w:r>
      <w:r w:rsidRPr="00B86110" w:rsidR="0006040A">
        <w:rPr>
          <w:rFonts w:ascii="Arial" w:hAnsi="Arial" w:eastAsia="Calibri" w:cs="Arial"/>
          <w:sz w:val="22"/>
          <w:szCs w:val="22"/>
          <w:lang w:val="es-ES" w:eastAsia="en-US"/>
        </w:rPr>
        <w:t xml:space="preserve"> el artículo 20 de la Ley 1150</w:t>
      </w:r>
      <w:r w:rsidRPr="00B86110" w:rsidR="00B76577">
        <w:rPr>
          <w:rFonts w:ascii="Arial" w:hAnsi="Arial" w:eastAsia="Calibri" w:cs="Arial"/>
          <w:sz w:val="22"/>
          <w:szCs w:val="22"/>
          <w:lang w:val="es-ES" w:eastAsia="en-US"/>
        </w:rPr>
        <w:t xml:space="preserve"> de 2007</w:t>
      </w:r>
      <w:r w:rsidRPr="00B86110" w:rsidR="0006040A">
        <w:rPr>
          <w:rFonts w:ascii="Arial" w:hAnsi="Arial" w:eastAsia="Calibri" w:cs="Arial"/>
          <w:sz w:val="22"/>
          <w:szCs w:val="22"/>
          <w:lang w:val="es-ES" w:eastAsia="en-US"/>
        </w:rPr>
        <w:t xml:space="preserve"> dispone una excepción a la regla general del artículo 13 de la Ley 80 de 1993, según la cual las normas aplicables tanto a la celebración como ejecución del contrato estatal serán las nacionales, siempre y cuando el respectivo acuerdo sea celebrado o ejecutado en el territorio nacional.</w:t>
      </w:r>
      <w:r w:rsidRPr="00B86110" w:rsidR="00C22305">
        <w:rPr>
          <w:rFonts w:ascii="Arial" w:hAnsi="Arial" w:eastAsia="Calibri" w:cs="Arial"/>
          <w:sz w:val="22"/>
          <w:szCs w:val="22"/>
          <w:lang w:val="es-ES" w:eastAsia="en-US"/>
        </w:rPr>
        <w:t xml:space="preserve"> </w:t>
      </w:r>
      <w:r w:rsidRPr="00B86110" w:rsidR="003E0EAD">
        <w:rPr>
          <w:rFonts w:ascii="Arial" w:hAnsi="Arial" w:eastAsia="Calibri" w:cs="Arial"/>
          <w:sz w:val="22"/>
          <w:szCs w:val="22"/>
          <w:lang w:val="es-ES" w:eastAsia="en-US"/>
        </w:rPr>
        <w:t>Por tanto</w:t>
      </w:r>
      <w:r w:rsidRPr="00B86110" w:rsidR="00C22305">
        <w:rPr>
          <w:rFonts w:ascii="Arial" w:hAnsi="Arial" w:eastAsia="Calibri" w:cs="Arial"/>
          <w:sz w:val="22"/>
          <w:szCs w:val="22"/>
          <w:lang w:val="es-ES" w:eastAsia="en-US"/>
        </w:rPr>
        <w:t xml:space="preserve">, </w:t>
      </w:r>
      <w:r w:rsidRPr="00B86110" w:rsidR="00A3512F">
        <w:rPr>
          <w:rFonts w:ascii="Arial" w:hAnsi="Arial" w:eastAsia="Calibri" w:cs="Arial"/>
          <w:sz w:val="22"/>
          <w:szCs w:val="22"/>
          <w:lang w:val="es-ES" w:eastAsia="en-US"/>
        </w:rPr>
        <w:t>sobre</w:t>
      </w:r>
      <w:r w:rsidRPr="00B86110" w:rsidR="00563680">
        <w:rPr>
          <w:rFonts w:ascii="Arial" w:hAnsi="Arial" w:eastAsia="Calibri" w:cs="Arial"/>
          <w:sz w:val="22"/>
          <w:szCs w:val="22"/>
          <w:lang w:val="es-ES" w:eastAsia="en-US"/>
        </w:rPr>
        <w:t xml:space="preserve"> el artículo 33 de la Ley de Garantías</w:t>
      </w:r>
      <w:r w:rsidRPr="00B86110" w:rsidR="00312780">
        <w:rPr>
          <w:rFonts w:ascii="Arial" w:hAnsi="Arial" w:eastAsia="Calibri" w:cs="Arial"/>
          <w:sz w:val="22"/>
          <w:szCs w:val="22"/>
          <w:lang w:val="es-MX" w:eastAsia="en-US"/>
        </w:rPr>
        <w:t xml:space="preserve">, </w:t>
      </w:r>
      <w:r w:rsidRPr="00B86110" w:rsidR="00312780">
        <w:rPr>
          <w:rFonts w:ascii="Arial" w:hAnsi="Arial" w:eastAsia="Calibri" w:cs="Arial"/>
          <w:sz w:val="22"/>
          <w:szCs w:val="22"/>
          <w:lang w:val="es-ES" w:eastAsia="en-US"/>
        </w:rPr>
        <w:t>la Agencia –al retomar la tesis del Concepto C-559 del 31 de agosto de 2021– consider</w:t>
      </w:r>
      <w:r w:rsidRPr="00B86110" w:rsidR="00B76577">
        <w:rPr>
          <w:rFonts w:ascii="Arial" w:hAnsi="Arial" w:eastAsia="Calibri" w:cs="Arial"/>
          <w:sz w:val="22"/>
          <w:szCs w:val="22"/>
          <w:lang w:val="es-ES" w:eastAsia="en-US"/>
        </w:rPr>
        <w:t>ó</w:t>
      </w:r>
      <w:r w:rsidRPr="00B86110" w:rsidR="00312780">
        <w:rPr>
          <w:rFonts w:ascii="Arial" w:hAnsi="Arial" w:eastAsia="Calibri" w:cs="Arial"/>
          <w:sz w:val="22"/>
          <w:szCs w:val="22"/>
          <w:lang w:val="es-ES" w:eastAsia="en-US"/>
        </w:rPr>
        <w:t xml:space="preserve"> </w:t>
      </w:r>
      <w:r w:rsidRPr="00B86110" w:rsidR="00A3512F">
        <w:rPr>
          <w:rFonts w:ascii="Arial" w:hAnsi="Arial" w:eastAsia="Calibri" w:cs="Arial"/>
          <w:sz w:val="22"/>
          <w:szCs w:val="22"/>
          <w:lang w:val="es-ES" w:eastAsia="en-US"/>
        </w:rPr>
        <w:t>lo siguiente:</w:t>
      </w:r>
      <w:r w:rsidRPr="00B86110" w:rsidR="00312780">
        <w:rPr>
          <w:rFonts w:ascii="Arial" w:hAnsi="Arial" w:eastAsia="Calibri" w:cs="Arial"/>
          <w:sz w:val="22"/>
          <w:szCs w:val="22"/>
          <w:lang w:val="es-ES" w:eastAsia="en-US"/>
        </w:rPr>
        <w:t xml:space="preserve"> «[…] </w:t>
      </w:r>
      <w:r w:rsidRPr="00B86110" w:rsidR="00312780">
        <w:rPr>
          <w:rFonts w:ascii="Arial" w:hAnsi="Arial" w:eastAsia="Calibri" w:cs="Arial"/>
          <w:i/>
          <w:iCs/>
          <w:sz w:val="22"/>
          <w:szCs w:val="22"/>
          <w:lang w:val="es-ES" w:eastAsia="en-US"/>
        </w:rPr>
        <w:t>dado que</w:t>
      </w:r>
      <w:r w:rsidRPr="00B86110" w:rsidR="00312780">
        <w:rPr>
          <w:rFonts w:ascii="Arial" w:hAnsi="Arial" w:eastAsia="Calibri" w:cs="Arial"/>
          <w:sz w:val="22"/>
          <w:szCs w:val="22"/>
          <w:lang w:val="es-ES" w:eastAsia="en-US"/>
        </w:rPr>
        <w:t xml:space="preserve"> […] </w:t>
      </w:r>
      <w:r w:rsidRPr="00B86110" w:rsidR="00312780">
        <w:rPr>
          <w:rFonts w:ascii="Arial" w:hAnsi="Arial" w:eastAsia="Calibri" w:cs="Arial"/>
          <w:i/>
          <w:iCs/>
          <w:sz w:val="22"/>
          <w:szCs w:val="22"/>
          <w:lang w:val="es-ES" w:eastAsia="en-US"/>
        </w:rPr>
        <w:t>existen algunos casos en los cuales el legislador habilitó a las entidades públicas para que suscribieran contratos cuyo régimen es distinto al derecho nacional,</w:t>
      </w:r>
      <w:r w:rsidRPr="00B86110" w:rsidR="00312780">
        <w:rPr>
          <w:rFonts w:ascii="Arial" w:hAnsi="Arial" w:eastAsia="Calibri" w:cs="Arial"/>
          <w:sz w:val="22"/>
          <w:szCs w:val="22"/>
          <w:lang w:val="es-ES" w:eastAsia="en-US"/>
        </w:rPr>
        <w:t xml:space="preserve"> […] </w:t>
      </w:r>
      <w:r w:rsidRPr="00B86110" w:rsidR="00312780">
        <w:rPr>
          <w:rFonts w:ascii="Arial" w:hAnsi="Arial" w:eastAsia="Calibri" w:cs="Arial"/>
          <w:i/>
          <w:iCs/>
          <w:sz w:val="22"/>
          <w:szCs w:val="22"/>
          <w:lang w:val="es-ES" w:eastAsia="en-US"/>
        </w:rPr>
        <w:t>en estos eventos dicha restricción no sería aplicable</w:t>
      </w:r>
      <w:r w:rsidRPr="00B86110" w:rsidR="00312780">
        <w:rPr>
          <w:rFonts w:ascii="Arial" w:hAnsi="Arial" w:eastAsia="Calibri" w:cs="Arial"/>
          <w:sz w:val="22"/>
          <w:szCs w:val="22"/>
          <w:lang w:val="es-ES" w:eastAsia="en-US"/>
        </w:rPr>
        <w:t>» (Énfasis fuera de texto)</w:t>
      </w:r>
      <w:r w:rsidRPr="00B86110" w:rsidR="0083788E">
        <w:rPr>
          <w:rFonts w:ascii="Arial" w:hAnsi="Arial" w:eastAsia="Calibri" w:cs="Arial"/>
          <w:sz w:val="22"/>
          <w:szCs w:val="22"/>
          <w:lang w:val="es-ES" w:eastAsia="en-US"/>
        </w:rPr>
        <w:t xml:space="preserve">. </w:t>
      </w:r>
    </w:p>
    <w:p w:rsidRPr="00B86110" w:rsidR="00CD5D94" w:rsidP="00563680" w:rsidRDefault="007A4952" w14:paraId="6102A70C" w14:textId="6B2BF00F">
      <w:pPr>
        <w:snapToGrid w:val="0"/>
        <w:spacing w:line="276" w:lineRule="auto"/>
        <w:ind w:firstLine="708"/>
        <w:jc w:val="both"/>
        <w:rPr>
          <w:rFonts w:ascii="Arial" w:hAnsi="Arial" w:eastAsia="Calibri" w:cs="Arial"/>
          <w:sz w:val="22"/>
          <w:szCs w:val="22"/>
          <w:lang w:val="es-ES" w:eastAsia="en-US"/>
        </w:rPr>
      </w:pPr>
      <w:r w:rsidRPr="00B86110">
        <w:rPr>
          <w:rFonts w:ascii="Arial" w:hAnsi="Arial" w:eastAsia="Calibri" w:cs="Arial"/>
          <w:sz w:val="22"/>
          <w:szCs w:val="22"/>
          <w:lang w:val="es-ES" w:eastAsia="en-US"/>
        </w:rPr>
        <w:lastRenderedPageBreak/>
        <w:t>Para efectos de la tesis unificada,</w:t>
      </w:r>
      <w:r w:rsidRPr="00B86110" w:rsidR="0083788E">
        <w:rPr>
          <w:rFonts w:ascii="Arial" w:hAnsi="Arial" w:eastAsia="Calibri" w:cs="Arial"/>
          <w:sz w:val="22"/>
          <w:szCs w:val="22"/>
          <w:lang w:val="es-ES" w:eastAsia="en-US"/>
        </w:rPr>
        <w:t xml:space="preserve"> el artículo 20 </w:t>
      </w:r>
      <w:r w:rsidRPr="00B86110" w:rsidR="00176F27">
        <w:rPr>
          <w:rFonts w:ascii="Arial" w:hAnsi="Arial" w:eastAsia="Calibri" w:cs="Arial"/>
          <w:sz w:val="22"/>
          <w:szCs w:val="22"/>
          <w:lang w:val="es-ES" w:eastAsia="en-US"/>
        </w:rPr>
        <w:t>de la Ley 1150 de 2007 implica un régimen exceptuado distinto a los demás, en la medida que el derecho aplicable a estos contratos no es el derecho nacional</w:t>
      </w:r>
      <w:r w:rsidRPr="00B86110">
        <w:rPr>
          <w:rFonts w:ascii="Arial" w:hAnsi="Arial" w:eastAsia="Calibri" w:cs="Arial"/>
          <w:sz w:val="22"/>
          <w:szCs w:val="22"/>
          <w:lang w:val="es-ES" w:eastAsia="en-US"/>
        </w:rPr>
        <w:t>,</w:t>
      </w:r>
      <w:r w:rsidRPr="00B86110" w:rsidR="00176F27">
        <w:rPr>
          <w:rFonts w:ascii="Arial" w:hAnsi="Arial" w:eastAsia="Calibri" w:cs="Arial"/>
          <w:sz w:val="22"/>
          <w:szCs w:val="22"/>
          <w:lang w:val="es-ES" w:eastAsia="en-US"/>
        </w:rPr>
        <w:t xml:space="preserve"> sino </w:t>
      </w:r>
      <w:r w:rsidRPr="00B86110" w:rsidR="00E569FA">
        <w:rPr>
          <w:rFonts w:ascii="Arial" w:hAnsi="Arial" w:eastAsia="Calibri" w:cs="Arial"/>
          <w:sz w:val="22"/>
          <w:szCs w:val="22"/>
          <w:lang w:val="es-ES" w:eastAsia="en-US"/>
        </w:rPr>
        <w:t>disposiciones</w:t>
      </w:r>
      <w:r w:rsidRPr="00B86110" w:rsidR="00176F27">
        <w:rPr>
          <w:rFonts w:ascii="Arial" w:hAnsi="Arial" w:eastAsia="Calibri" w:cs="Arial"/>
          <w:sz w:val="22"/>
          <w:szCs w:val="22"/>
          <w:lang w:val="es-ES" w:eastAsia="en-US"/>
        </w:rPr>
        <w:t xml:space="preserve"> de carácter internacional, </w:t>
      </w:r>
      <w:r w:rsidRPr="00B86110">
        <w:rPr>
          <w:rFonts w:ascii="Arial" w:hAnsi="Arial" w:eastAsia="Calibri" w:cs="Arial"/>
          <w:sz w:val="22"/>
          <w:szCs w:val="22"/>
          <w:lang w:val="es-ES" w:eastAsia="en-US"/>
        </w:rPr>
        <w:t>normas que se</w:t>
      </w:r>
      <w:r w:rsidRPr="00B86110" w:rsidR="00176F27">
        <w:rPr>
          <w:rFonts w:ascii="Arial" w:hAnsi="Arial" w:eastAsia="Calibri" w:cs="Arial"/>
          <w:sz w:val="22"/>
          <w:szCs w:val="22"/>
          <w:lang w:val="es-ES" w:eastAsia="en-US"/>
        </w:rPr>
        <w:t xml:space="preserve"> materializan a través de los reglamentos de</w:t>
      </w:r>
      <w:r w:rsidRPr="00B86110" w:rsidR="00E569FA">
        <w:rPr>
          <w:rFonts w:ascii="Arial" w:hAnsi="Arial" w:eastAsia="Calibri" w:cs="Arial"/>
          <w:sz w:val="22"/>
          <w:szCs w:val="22"/>
          <w:lang w:val="es-ES" w:eastAsia="en-US"/>
        </w:rPr>
        <w:t xml:space="preserve"> los organismos de</w:t>
      </w:r>
      <w:r w:rsidRPr="00B86110" w:rsidR="00176F27">
        <w:rPr>
          <w:rFonts w:ascii="Arial" w:hAnsi="Arial" w:eastAsia="Calibri" w:cs="Arial"/>
          <w:sz w:val="22"/>
          <w:szCs w:val="22"/>
          <w:lang w:val="es-ES" w:eastAsia="en-US"/>
        </w:rPr>
        <w:t xml:space="preserve"> cooperación, asistencia o ayuda</w:t>
      </w:r>
      <w:r w:rsidRPr="00B86110">
        <w:rPr>
          <w:rFonts w:ascii="Arial" w:hAnsi="Arial" w:eastAsia="Calibri" w:cs="Arial"/>
          <w:sz w:val="22"/>
          <w:szCs w:val="22"/>
          <w:lang w:val="es-ES" w:eastAsia="en-US"/>
        </w:rPr>
        <w:t xml:space="preserve">. </w:t>
      </w:r>
      <w:bookmarkEnd w:id="33"/>
      <w:r w:rsidRPr="00B86110">
        <w:rPr>
          <w:rFonts w:ascii="Arial" w:hAnsi="Arial" w:eastAsia="Calibri" w:cs="Arial"/>
          <w:sz w:val="22"/>
          <w:szCs w:val="22"/>
          <w:lang w:val="es-ES" w:eastAsia="en-US"/>
        </w:rPr>
        <w:t xml:space="preserve">Así las cosas, </w:t>
      </w:r>
      <w:r w:rsidRPr="00B86110" w:rsidR="001E7B2B">
        <w:rPr>
          <w:rFonts w:ascii="Arial" w:hAnsi="Arial" w:eastAsia="Calibri" w:cs="Arial"/>
          <w:sz w:val="22"/>
          <w:szCs w:val="22"/>
          <w:lang w:val="es-ES" w:eastAsia="en-US"/>
        </w:rPr>
        <w:t xml:space="preserve">en </w:t>
      </w:r>
      <w:r w:rsidRPr="00B86110">
        <w:rPr>
          <w:rFonts w:ascii="Arial" w:hAnsi="Arial" w:eastAsia="Calibri" w:cs="Arial"/>
          <w:sz w:val="22"/>
          <w:szCs w:val="22"/>
          <w:lang w:val="es-ES" w:eastAsia="en-US"/>
        </w:rPr>
        <w:t>el Concepto CU-180 del 8 de abril de 2022</w:t>
      </w:r>
      <w:r w:rsidRPr="00B86110" w:rsidR="001E7B2B">
        <w:rPr>
          <w:rFonts w:ascii="Arial" w:hAnsi="Arial" w:eastAsia="Calibri" w:cs="Arial"/>
          <w:sz w:val="22"/>
          <w:szCs w:val="22"/>
          <w:lang w:val="es-ES" w:eastAsia="en-US"/>
        </w:rPr>
        <w:t>, la Agencia estimó que</w:t>
      </w:r>
      <w:r w:rsidRPr="00B86110" w:rsidR="00CD5D94">
        <w:rPr>
          <w:rFonts w:ascii="Arial" w:hAnsi="Arial" w:eastAsia="Calibri" w:cs="Arial"/>
          <w:sz w:val="22"/>
          <w:szCs w:val="22"/>
          <w:lang w:val="es-ES" w:eastAsia="en-US"/>
        </w:rPr>
        <w:t>:</w:t>
      </w:r>
    </w:p>
    <w:p w:rsidRPr="00B86110" w:rsidR="00455672" w:rsidP="00344D3C" w:rsidRDefault="00455672" w14:paraId="1B4FE483" w14:textId="77777777">
      <w:pPr>
        <w:snapToGrid w:val="0"/>
        <w:spacing w:line="276" w:lineRule="auto"/>
        <w:jc w:val="both"/>
        <w:rPr>
          <w:rFonts w:ascii="Arial" w:hAnsi="Arial" w:eastAsia="Calibri" w:cs="Arial"/>
          <w:sz w:val="22"/>
          <w:szCs w:val="22"/>
          <w:lang w:val="es-ES" w:eastAsia="en-US"/>
        </w:rPr>
      </w:pPr>
    </w:p>
    <w:p w:rsidRPr="00B86110" w:rsidR="00CD5D94" w:rsidP="00344D3C" w:rsidRDefault="00CD5D94" w14:paraId="017F82F6" w14:textId="0D80A53E">
      <w:pPr>
        <w:snapToGrid w:val="0"/>
        <w:spacing w:after="120"/>
        <w:ind w:left="709" w:right="709"/>
        <w:jc w:val="both"/>
        <w:rPr>
          <w:rFonts w:ascii="Arial" w:hAnsi="Arial" w:eastAsia="Calibri" w:cs="Arial"/>
          <w:sz w:val="21"/>
          <w:szCs w:val="21"/>
          <w:lang w:val="es-ES" w:eastAsia="en-US"/>
        </w:rPr>
      </w:pPr>
      <w:r w:rsidRPr="00B86110">
        <w:rPr>
          <w:rFonts w:ascii="Arial" w:hAnsi="Arial" w:eastAsia="Calibri" w:cs="Arial"/>
          <w:sz w:val="21"/>
          <w:szCs w:val="21"/>
          <w:lang w:val="es-ES" w:eastAsia="en-US"/>
        </w:rPr>
        <w:t xml:space="preserve">[…] siempre y cuando se cumplan con los requisitos que el artículo 20 impone, las partes que deseen contratar podrán incorporar las normas contenidas en los reglamentos de los organismos internacionales, de forma completa y absoluta o de manera sectorizada y parcial. En este último caso, entonces, podrán convenir, por ejemplo, que al contrato se apliquen solo ciertas normas extranjeras de su reglamento relacionadas con el procedimiento de selección o la forma de celebrar el contrato, y estipular que la ejecución de este se regirá por el ordenamiento nacional. </w:t>
      </w:r>
    </w:p>
    <w:p w:rsidRPr="00B86110" w:rsidR="00CD5D94" w:rsidP="00344D3C" w:rsidRDefault="00CD5D94" w14:paraId="13CFC8E6" w14:textId="77777777">
      <w:pPr>
        <w:snapToGrid w:val="0"/>
        <w:spacing w:after="120"/>
        <w:ind w:left="709" w:right="709"/>
        <w:jc w:val="both"/>
        <w:rPr>
          <w:rFonts w:ascii="Arial" w:hAnsi="Arial" w:eastAsia="Calibri" w:cs="Arial"/>
          <w:sz w:val="21"/>
          <w:szCs w:val="21"/>
          <w:lang w:val="es-ES" w:eastAsia="en-US"/>
        </w:rPr>
      </w:pPr>
      <w:r w:rsidRPr="00B86110">
        <w:rPr>
          <w:rFonts w:ascii="Arial" w:hAnsi="Arial" w:eastAsia="Calibri" w:cs="Arial"/>
          <w:sz w:val="21"/>
          <w:szCs w:val="21"/>
          <w:lang w:val="es-ES" w:eastAsia="en-US"/>
        </w:rPr>
        <w:t xml:space="preserve">En todo caso, dada la naturaleza potestativa de la variación de régimen normativo que gobierna el contrato, las partes serán las encargadas de establecer el alcance de tal variación, optando por el régimen nacional o por el internacional, o bien por ambos de manera alternada, consecutiva o paralela. </w:t>
      </w:r>
    </w:p>
    <w:p w:rsidRPr="00B86110" w:rsidR="00CD5D94" w:rsidP="00344D3C" w:rsidRDefault="00CD5D94" w14:paraId="255AD582" w14:textId="77777777">
      <w:pPr>
        <w:snapToGrid w:val="0"/>
        <w:spacing w:after="120"/>
        <w:ind w:left="709" w:right="709"/>
        <w:jc w:val="both"/>
        <w:rPr>
          <w:rFonts w:ascii="Arial" w:hAnsi="Arial" w:eastAsia="Calibri" w:cs="Arial"/>
          <w:sz w:val="21"/>
          <w:szCs w:val="21"/>
          <w:lang w:val="es-ES" w:eastAsia="en-US"/>
        </w:rPr>
      </w:pPr>
      <w:r w:rsidRPr="00B86110">
        <w:rPr>
          <w:rFonts w:ascii="Arial" w:hAnsi="Arial" w:eastAsia="Calibri" w:cs="Arial"/>
          <w:sz w:val="21"/>
          <w:szCs w:val="21"/>
          <w:lang w:val="es-ES" w:eastAsia="en-US"/>
        </w:rPr>
        <w:t>La definición del alcance en que operará la variación del régimen normativo en relación con la actividad contractual es determinante para establecer si la restricción consagrada en el artículo 33 de la Ley de Garantías Electorales resulta aplicable o no. Si las partes, habilitadas para hacerlo, optan por aplicar de manera completa y absoluta la normativa contenida en los reglamentos del organismo o sujeto internacional, y si esta normativa consagra disposiciones relacionadas con la oportunidad, tiempos, fases, etapas etc. de los procedimientos de selección, entonces, serán dichas previsiones las que regirán el convenio y la contratación respectiva (bien sean contratos, donaciones, asistencias técnicas y sus derivados) y, por ende, la norma del artículo 33 no será derecho aplicable a la misma.</w:t>
      </w:r>
    </w:p>
    <w:p w:rsidRPr="00B86110" w:rsidR="00CD5D94" w:rsidP="00344D3C" w:rsidRDefault="00CD5D94" w14:paraId="28BD92D0" w14:textId="77777777">
      <w:pPr>
        <w:snapToGrid w:val="0"/>
        <w:spacing w:after="120"/>
        <w:ind w:left="709" w:right="709"/>
        <w:jc w:val="both"/>
        <w:rPr>
          <w:rFonts w:ascii="Arial" w:hAnsi="Arial" w:eastAsia="Calibri" w:cs="Arial"/>
          <w:sz w:val="21"/>
          <w:szCs w:val="21"/>
          <w:lang w:val="es-ES" w:eastAsia="en-US"/>
        </w:rPr>
      </w:pPr>
      <w:r w:rsidRPr="00B86110">
        <w:rPr>
          <w:rFonts w:ascii="Arial" w:hAnsi="Arial" w:eastAsia="Calibri" w:cs="Arial"/>
          <w:sz w:val="21"/>
          <w:szCs w:val="21"/>
          <w:lang w:val="es-ES" w:eastAsia="en-US"/>
        </w:rPr>
        <w:t xml:space="preserve">Por el contrario, si las partes no optan por aplicar el reglamento (normativa extranjera) de tales organismos y sujetos internacionales en aspectos que atañen al acuerdo o convenio y el procedimiento para su desarrollo en la selección de contratistas, el artículo 33 de la Ley de Garantías sí será aplicable a la correspondiente contratación. Lo mismo sucederá cuando, por ejemplo, pese a que las partes convengan una variación normativa absoluta hacia el derecho extranjero, pero las disposiciones del reglamento del organismo internacional dejan al derecho nacional la regulación del acuerdo o convenio y los procedimientos de selección, será aplicable la prohibición contenida en el artículo 33 citado. </w:t>
      </w:r>
    </w:p>
    <w:p w:rsidRPr="00B86110" w:rsidR="00CD5D94" w:rsidP="00344D3C" w:rsidRDefault="00CD5D94" w14:paraId="0BB608B3" w14:textId="2A6C2F5B">
      <w:pPr>
        <w:snapToGrid w:val="0"/>
        <w:ind w:left="709" w:right="709"/>
        <w:jc w:val="both"/>
        <w:rPr>
          <w:rFonts w:ascii="Arial" w:hAnsi="Arial" w:eastAsia="Calibri" w:cs="Arial"/>
          <w:sz w:val="22"/>
          <w:szCs w:val="22"/>
          <w:lang w:val="es-ES" w:eastAsia="en-US"/>
        </w:rPr>
      </w:pPr>
      <w:r w:rsidRPr="00B86110">
        <w:rPr>
          <w:rFonts w:ascii="Arial" w:hAnsi="Arial" w:eastAsia="Calibri" w:cs="Arial"/>
          <w:sz w:val="21"/>
          <w:szCs w:val="21"/>
          <w:lang w:val="es-ES" w:eastAsia="en-US"/>
        </w:rPr>
        <w:t xml:space="preserve">Así las cosas, con el fin de unificar los criterios expresados en los conceptos emitidos por esta Subdirección en pasadas oportunidades, es menester precisar que, si bien la prohibición para la contratación directa contenida en el artículo 33 de la Ley de Garantías Electorales aplica a todos los entes del Estado cualquiera que sea el régimen jurídico de contratación de carácter nacional, no </w:t>
      </w:r>
      <w:r w:rsidRPr="00B86110">
        <w:rPr>
          <w:rFonts w:ascii="Arial" w:hAnsi="Arial" w:eastAsia="Calibri" w:cs="Arial"/>
          <w:sz w:val="21"/>
          <w:szCs w:val="21"/>
          <w:lang w:val="es-ES" w:eastAsia="en-US"/>
        </w:rPr>
        <w:lastRenderedPageBreak/>
        <w:t>puede obviarse que, de conformidad con el artículo 20 de la Ley 1150 de 2007, el legislador ha permitido que en ciertos casos las partes que pretendan celebrar un contrato regulado por esta última disposición pueden optar por aplicar la normativa nacional o la internacional de manera absoluta o parcial</w:t>
      </w:r>
      <w:r w:rsidRPr="00B86110" w:rsidR="00B76577">
        <w:rPr>
          <w:rStyle w:val="Refdenotaalpie"/>
          <w:rFonts w:ascii="Arial" w:hAnsi="Arial" w:eastAsia="Calibri" w:cs="Arial"/>
          <w:sz w:val="21"/>
          <w:szCs w:val="21"/>
          <w:lang w:val="es-ES" w:eastAsia="en-US"/>
        </w:rPr>
        <w:footnoteReference w:id="32"/>
      </w:r>
      <w:r w:rsidRPr="00B86110">
        <w:rPr>
          <w:rFonts w:ascii="Arial" w:hAnsi="Arial" w:eastAsia="Calibri" w:cs="Arial"/>
          <w:sz w:val="21"/>
          <w:szCs w:val="21"/>
          <w:lang w:val="es-ES" w:eastAsia="en-US"/>
        </w:rPr>
        <w:t>.</w:t>
      </w:r>
      <w:r w:rsidRPr="00B86110">
        <w:rPr>
          <w:rFonts w:ascii="Arial" w:hAnsi="Arial" w:eastAsia="Calibri" w:cs="Arial"/>
          <w:sz w:val="22"/>
          <w:szCs w:val="22"/>
          <w:lang w:val="es-ES" w:eastAsia="en-US"/>
        </w:rPr>
        <w:t xml:space="preserve"> </w:t>
      </w:r>
    </w:p>
    <w:p w:rsidRPr="00B86110" w:rsidR="00455672" w:rsidP="00CD5D94" w:rsidRDefault="00455672" w14:paraId="2DB58DFA" w14:textId="291489E3">
      <w:pPr>
        <w:snapToGrid w:val="0"/>
        <w:spacing w:line="276" w:lineRule="auto"/>
        <w:jc w:val="both"/>
        <w:rPr>
          <w:rFonts w:ascii="Arial" w:hAnsi="Arial" w:eastAsia="Calibri" w:cs="Arial"/>
          <w:sz w:val="22"/>
          <w:szCs w:val="22"/>
          <w:lang w:val="es-ES" w:eastAsia="en-US"/>
        </w:rPr>
      </w:pPr>
    </w:p>
    <w:p w:rsidRPr="00954432" w:rsidR="001056C4" w:rsidRDefault="00455672" w14:paraId="69C799FB" w14:textId="707DCCB1">
      <w:pPr>
        <w:snapToGrid w:val="0"/>
        <w:spacing w:line="276" w:lineRule="auto"/>
        <w:jc w:val="both"/>
        <w:rPr>
          <w:rFonts w:ascii="Arial" w:hAnsi="Arial" w:eastAsia="Calibri" w:cs="Arial"/>
          <w:bCs/>
          <w:sz w:val="22"/>
          <w:szCs w:val="22"/>
          <w:lang w:val="es-ES"/>
        </w:rPr>
      </w:pPr>
      <w:r w:rsidRPr="00B86110">
        <w:rPr>
          <w:rFonts w:ascii="Arial" w:hAnsi="Arial" w:eastAsia="Calibri" w:cs="Arial"/>
          <w:sz w:val="22"/>
          <w:szCs w:val="22"/>
          <w:lang w:val="es-ES" w:eastAsia="en-US"/>
        </w:rPr>
        <w:tab/>
      </w:r>
      <w:r w:rsidRPr="00B86110" w:rsidR="009A61EA">
        <w:rPr>
          <w:rFonts w:ascii="Arial" w:hAnsi="Arial" w:eastAsia="Calibri" w:cs="Arial"/>
          <w:sz w:val="22"/>
          <w:szCs w:val="22"/>
          <w:lang w:val="es-ES" w:eastAsia="en-US"/>
        </w:rPr>
        <w:t xml:space="preserve">De acuerdo con la fundamentación del concepto citado, lo anterior no implica una violación de las normas nacionales, puesto que la contratación </w:t>
      </w:r>
      <w:r w:rsidRPr="00B86110" w:rsidR="00635824">
        <w:rPr>
          <w:rFonts w:ascii="Arial" w:hAnsi="Arial" w:eastAsia="Calibri" w:cs="Arial"/>
          <w:sz w:val="22"/>
          <w:szCs w:val="22"/>
          <w:lang w:val="es-ES" w:eastAsia="en-US"/>
        </w:rPr>
        <w:t>con los sujetos previstos en el artículo 20 de la Ley 1150 de 2007 se encuentra amparada por tratados, convenios o convenciones ratificados por el Estado e incorporados debidamente al ordenamiento jurídico interno. De esta manera,</w:t>
      </w:r>
      <w:r w:rsidRPr="00B86110" w:rsidR="00B76577">
        <w:rPr>
          <w:rFonts w:ascii="Arial" w:hAnsi="Arial" w:eastAsia="Calibri" w:cs="Arial"/>
          <w:sz w:val="22"/>
          <w:szCs w:val="22"/>
          <w:lang w:val="es-ES" w:eastAsia="en-US"/>
        </w:rPr>
        <w:t xml:space="preserve"> en dicho concepto</w:t>
      </w:r>
      <w:r w:rsidRPr="00B86110" w:rsidR="00635824">
        <w:rPr>
          <w:rFonts w:ascii="Arial" w:hAnsi="Arial" w:eastAsia="Calibri" w:cs="Arial"/>
          <w:sz w:val="22"/>
          <w:szCs w:val="22"/>
          <w:lang w:val="es-ES" w:eastAsia="en-US"/>
        </w:rPr>
        <w:t xml:space="preserve"> también </w:t>
      </w:r>
      <w:r w:rsidRPr="00B86110" w:rsidR="00A6049A">
        <w:rPr>
          <w:rFonts w:ascii="Arial" w:hAnsi="Arial" w:eastAsia="Calibri" w:cs="Arial"/>
          <w:sz w:val="22"/>
          <w:szCs w:val="22"/>
          <w:lang w:val="es-ES" w:eastAsia="en-US"/>
        </w:rPr>
        <w:t xml:space="preserve">estimó que este régimen de excepcionalidad obedece a </w:t>
      </w:r>
      <w:r w:rsidRPr="00B86110" w:rsidR="00A6049A">
        <w:rPr>
          <w:rFonts w:ascii="Arial" w:hAnsi="Arial" w:eastAsia="Calibri" w:cs="Arial"/>
          <w:sz w:val="22"/>
          <w:szCs w:val="22"/>
          <w:lang w:val="es-ES_tradnl" w:eastAsia="en-US"/>
        </w:rPr>
        <w:t xml:space="preserve">razones de política económica exterior y de apertura para obtener la colaboración efectiva de los organismos multilaterales de crédito. En este contexto, «[…] </w:t>
      </w:r>
      <w:r w:rsidRPr="00B86110" w:rsidR="00A6049A">
        <w:rPr>
          <w:rFonts w:ascii="Arial" w:hAnsi="Arial" w:eastAsia="Calibri" w:cs="Arial"/>
          <w:sz w:val="22"/>
          <w:szCs w:val="22"/>
          <w:lang w:val="es-ES" w:eastAsia="en-US"/>
        </w:rPr>
        <w:t>la finalidad de la prohibición del artículo 33 de la Ley de Garantías Electorales es evitar la utilización de la contratación directa como mecanismo para que, con recursos públicos, una entidad estatal favorezca o impulse a cierto candidato, partido o movimiento político. Vista así, dicha finalidad no parecería acomodarse a la contratación con los sujetos internacionales catalogados en el artículo 20 de la Ley 1150 de 2007, menos aún, cuando se trata de contratos financiados con recursos provenientes de los organismos internacionales o de entidades gubernamentales extranjeras».</w:t>
      </w:r>
    </w:p>
    <w:p w:rsidRPr="00524963" w:rsidR="00362B12" w:rsidP="00E04A32" w:rsidRDefault="00362B12" w14:paraId="6857DAA8" w14:textId="77777777">
      <w:pPr>
        <w:spacing w:before="120" w:line="276" w:lineRule="auto"/>
        <w:ind w:firstLine="709"/>
        <w:contextualSpacing/>
        <w:jc w:val="both"/>
        <w:rPr>
          <w:rFonts w:ascii="Arial" w:hAnsi="Arial" w:eastAsia="Calibri" w:cs="Arial"/>
          <w:bCs/>
          <w:sz w:val="22"/>
          <w:szCs w:val="22"/>
          <w:lang w:eastAsia="es-CO"/>
        </w:rPr>
      </w:pPr>
    </w:p>
    <w:p w:rsidRPr="00524963" w:rsidR="00524963" w:rsidP="00524963" w:rsidRDefault="00524963" w14:paraId="2354B772" w14:textId="77777777">
      <w:pPr>
        <w:spacing w:line="276" w:lineRule="auto"/>
        <w:contextualSpacing/>
        <w:jc w:val="both"/>
        <w:rPr>
          <w:rFonts w:ascii="Arial" w:hAnsi="Arial" w:eastAsia="Calibri" w:cs="Arial"/>
          <w:b/>
          <w:sz w:val="22"/>
          <w:szCs w:val="22"/>
          <w:lang w:eastAsia="en-US"/>
        </w:rPr>
      </w:pPr>
      <w:r w:rsidRPr="00524963">
        <w:rPr>
          <w:rFonts w:ascii="Arial" w:hAnsi="Arial" w:eastAsia="Calibri" w:cs="Arial"/>
          <w:b/>
          <w:sz w:val="22"/>
          <w:szCs w:val="22"/>
          <w:lang w:eastAsia="en-US"/>
        </w:rPr>
        <w:t>3. Respuesta</w:t>
      </w:r>
    </w:p>
    <w:p w:rsidRPr="00524963" w:rsidR="00524963" w:rsidP="00524963" w:rsidRDefault="00524963" w14:paraId="040E4518" w14:textId="77777777">
      <w:pPr>
        <w:spacing w:line="276" w:lineRule="auto"/>
        <w:contextualSpacing/>
        <w:jc w:val="both"/>
        <w:rPr>
          <w:rFonts w:ascii="Arial" w:hAnsi="Arial" w:eastAsia="Calibri" w:cs="Arial"/>
          <w:bCs/>
          <w:color w:val="FF0000"/>
          <w:sz w:val="22"/>
          <w:szCs w:val="22"/>
          <w:lang w:eastAsia="en-US"/>
        </w:rPr>
      </w:pPr>
    </w:p>
    <w:p w:rsidRPr="00B86110" w:rsidR="008C7399" w:rsidP="008C7399" w:rsidRDefault="008C7399" w14:paraId="2C9AD675" w14:textId="7C720DE3">
      <w:pPr>
        <w:ind w:left="709" w:right="709"/>
        <w:jc w:val="both"/>
        <w:rPr>
          <w:rFonts w:ascii="Arial" w:hAnsi="Arial" w:eastAsia="Calibri" w:cs="Arial"/>
          <w:sz w:val="21"/>
          <w:szCs w:val="21"/>
          <w:lang w:val="es-ES_tradnl" w:eastAsia="es-CO"/>
        </w:rPr>
      </w:pPr>
      <w:bookmarkStart w:name="_Hlk57650395" w:id="34"/>
      <w:r w:rsidRPr="00524963">
        <w:rPr>
          <w:rFonts w:ascii="Arial" w:hAnsi="Arial" w:eastAsia="Calibri" w:cs="Arial"/>
          <w:sz w:val="21"/>
          <w:szCs w:val="21"/>
          <w:lang w:val="es-ES_tradnl" w:eastAsia="es-CO"/>
        </w:rPr>
        <w:t>«</w:t>
      </w:r>
      <w:r w:rsidR="00DA72C8">
        <w:rPr>
          <w:rFonts w:ascii="Arial" w:hAnsi="Arial" w:eastAsia="Calibri" w:cs="Arial"/>
          <w:sz w:val="21"/>
          <w:szCs w:val="21"/>
          <w:lang w:val="es-ES_tradnl" w:eastAsia="es-CO"/>
        </w:rPr>
        <w:t>L</w:t>
      </w:r>
      <w:r w:rsidRPr="00383878">
        <w:rPr>
          <w:rFonts w:ascii="Arial" w:hAnsi="Arial" w:eastAsia="Calibri" w:cs="Arial"/>
          <w:sz w:val="21"/>
          <w:szCs w:val="21"/>
          <w:lang w:val="es-ES_tradnl" w:eastAsia="es-CO"/>
        </w:rPr>
        <w:t xml:space="preserve">a consulta se orienta a establecer si la restricción establecida en la Ley 996 de 2005, referente a la prohibición de las Entidades Estatales de celebrar contratos en la modalidad de contratación directa durante los cuatro (4) meses anteriores a la elección presidencial y hasta la fecha en la cual el Presidente de la República sea elegido, cobijaría la celebración de un convenio de cooperación técnica no reembolsable entre una entidad pública del orden nacional y una institución financiera multilateral de derecho internacional público. Bajo el entendido que: a) La naturaleza del convenio no supone concurso o pluralidad </w:t>
      </w:r>
      <w:r w:rsidRPr="00383878">
        <w:rPr>
          <w:rFonts w:ascii="Arial" w:hAnsi="Arial" w:eastAsia="Calibri" w:cs="Arial"/>
          <w:sz w:val="21"/>
          <w:szCs w:val="21"/>
          <w:lang w:val="es-ES_tradnl" w:eastAsia="es-CO"/>
        </w:rPr>
        <w:lastRenderedPageBreak/>
        <w:t xml:space="preserve">de oferentes. b) Son recursos provenientes de fuente exterior, cuya destinación corresponde a la voluntad del cooperante. c) Son recursos no reembolsables y su finalidad es apoyar proyectos de agua potable y saneamiento básico. d) Sólo una de las partes del convenio es una entidad estatal, y la entidad beneficiaria no ejecutaría </w:t>
      </w:r>
      <w:r w:rsidRPr="00B86110">
        <w:rPr>
          <w:rFonts w:ascii="Arial" w:hAnsi="Arial" w:eastAsia="Calibri" w:cs="Arial"/>
          <w:sz w:val="21"/>
          <w:szCs w:val="21"/>
          <w:lang w:val="es-ES_tradnl" w:eastAsia="es-CO"/>
        </w:rPr>
        <w:t>directamente el recurso; pues el cooperante sería el encargado de contratar, comprometer y ordenar el gasto. e) Los recursos de cooperación técnica no reembolsable, apoyarían la ejecución de un contrato de préstamo suscrito en años anteriores, entre la Nación y el cooperante».</w:t>
      </w:r>
    </w:p>
    <w:p w:rsidRPr="00B86110" w:rsidR="00524963" w:rsidP="00977689" w:rsidRDefault="00524963" w14:paraId="0CA9CD25" w14:textId="77777777">
      <w:pPr>
        <w:spacing w:line="276" w:lineRule="auto"/>
        <w:contextualSpacing/>
        <w:jc w:val="both"/>
        <w:rPr>
          <w:rFonts w:ascii="Arial" w:hAnsi="Arial" w:cs="Arial"/>
          <w:bCs/>
          <w:sz w:val="22"/>
          <w:szCs w:val="22"/>
          <w:lang w:val="es-MX" w:eastAsia="es-CO"/>
        </w:rPr>
      </w:pPr>
    </w:p>
    <w:p w:rsidRPr="00B86110" w:rsidR="00A72945" w:rsidP="008B634B" w:rsidRDefault="008B634B" w14:paraId="3D73870C" w14:textId="284236D0">
      <w:pPr>
        <w:snapToGrid w:val="0"/>
        <w:spacing w:after="120" w:line="276" w:lineRule="auto"/>
        <w:jc w:val="both"/>
        <w:rPr>
          <w:rFonts w:ascii="Arial" w:hAnsi="Arial" w:eastAsia="Calibri" w:cs="Arial"/>
          <w:sz w:val="22"/>
          <w:szCs w:val="22"/>
          <w:lang w:val="es-ES" w:eastAsia="en-US"/>
        </w:rPr>
      </w:pPr>
      <w:r w:rsidRPr="00B86110">
        <w:rPr>
          <w:rFonts w:ascii="Arial" w:hAnsi="Arial" w:cs="Arial"/>
          <w:bCs/>
          <w:sz w:val="22"/>
          <w:szCs w:val="22"/>
          <w:lang w:eastAsia="es-CO"/>
        </w:rPr>
        <w:t xml:space="preserve">De acuerdo con la interpretación de las normas generales del sistema de compras y contratación pública, </w:t>
      </w:r>
      <w:r w:rsidRPr="00B86110">
        <w:rPr>
          <w:rFonts w:ascii="Arial" w:hAnsi="Arial" w:cs="Arial"/>
          <w:bCs/>
          <w:sz w:val="22"/>
          <w:szCs w:val="22"/>
          <w:lang w:val="es-ES" w:eastAsia="es-CO"/>
        </w:rPr>
        <w:t>teniendo en cuenta que el artículo 10 de la Ley 1437 de 2011 dispone que «</w:t>
      </w:r>
      <w:r w:rsidRPr="00B86110">
        <w:rPr>
          <w:rFonts w:ascii="Arial" w:hAnsi="Arial" w:cs="Arial"/>
          <w:bCs/>
          <w:sz w:val="22"/>
          <w:szCs w:val="22"/>
          <w:lang w:eastAsia="es-CO"/>
        </w:rPr>
        <w:t xml:space="preserve">Al resolver los asuntos de su competencia, las autoridades aplicarán las disposiciones constitucionales, legales y reglamentarias de manera uniforme a situaciones que tengan los mismos supuestos fácticos y jurídicos», se reitera la tesis del </w:t>
      </w:r>
      <w:r w:rsidRPr="00B86110">
        <w:rPr>
          <w:rFonts w:ascii="Arial" w:hAnsi="Arial" w:cs="Arial"/>
          <w:bCs/>
          <w:sz w:val="22"/>
          <w:szCs w:val="22"/>
          <w:lang w:val="es-ES" w:eastAsia="es-CO"/>
        </w:rPr>
        <w:t>Concepto de Unificación CU-180 del 8 de abril de 2022</w:t>
      </w:r>
      <w:r w:rsidRPr="00B86110" w:rsidR="00715421">
        <w:rPr>
          <w:rFonts w:ascii="Arial" w:hAnsi="Arial" w:cs="Arial"/>
          <w:bCs/>
          <w:sz w:val="22"/>
          <w:szCs w:val="22"/>
          <w:lang w:val="es-ES" w:eastAsia="es-CO"/>
        </w:rPr>
        <w:t xml:space="preserve">. </w:t>
      </w:r>
      <w:r w:rsidRPr="00B86110" w:rsidR="00C71DD8">
        <w:rPr>
          <w:rFonts w:ascii="Arial" w:hAnsi="Arial" w:eastAsia="Calibri" w:cs="Arial"/>
          <w:sz w:val="22"/>
          <w:szCs w:val="22"/>
          <w:lang w:val="es-ES" w:eastAsia="en-US"/>
        </w:rPr>
        <w:t>Por tanto, sobre el artículo 33 de la Ley de Garantías</w:t>
      </w:r>
      <w:r w:rsidRPr="00B86110" w:rsidR="00C71DD8">
        <w:rPr>
          <w:rFonts w:ascii="Arial" w:hAnsi="Arial" w:eastAsia="Calibri" w:cs="Arial"/>
          <w:sz w:val="22"/>
          <w:szCs w:val="22"/>
          <w:lang w:val="es-MX" w:eastAsia="en-US"/>
        </w:rPr>
        <w:t xml:space="preserve">, </w:t>
      </w:r>
      <w:r w:rsidRPr="00B86110" w:rsidR="00C71DD8">
        <w:rPr>
          <w:rFonts w:ascii="Arial" w:hAnsi="Arial" w:eastAsia="Calibri" w:cs="Arial"/>
          <w:sz w:val="22"/>
          <w:szCs w:val="22"/>
          <w:lang w:val="es-ES" w:eastAsia="en-US"/>
        </w:rPr>
        <w:t>la Agencia –al retomar la tesis del Concepto C-559 del 31 de agosto de 2021– consider</w:t>
      </w:r>
      <w:r w:rsidRPr="00B86110" w:rsidR="00D40AE8">
        <w:rPr>
          <w:rFonts w:ascii="Arial" w:hAnsi="Arial" w:eastAsia="Calibri" w:cs="Arial"/>
          <w:sz w:val="22"/>
          <w:szCs w:val="22"/>
          <w:lang w:val="es-ES" w:eastAsia="en-US"/>
        </w:rPr>
        <w:t>ó</w:t>
      </w:r>
      <w:r w:rsidRPr="00B86110" w:rsidR="00C71DD8">
        <w:rPr>
          <w:rFonts w:ascii="Arial" w:hAnsi="Arial" w:eastAsia="Calibri" w:cs="Arial"/>
          <w:sz w:val="22"/>
          <w:szCs w:val="22"/>
          <w:lang w:val="es-ES" w:eastAsia="en-US"/>
        </w:rPr>
        <w:t xml:space="preserve"> lo siguiente: «[…] </w:t>
      </w:r>
      <w:r w:rsidRPr="00B86110" w:rsidR="00C71DD8">
        <w:rPr>
          <w:rFonts w:ascii="Arial" w:hAnsi="Arial" w:eastAsia="Calibri" w:cs="Arial"/>
          <w:i/>
          <w:iCs/>
          <w:sz w:val="22"/>
          <w:szCs w:val="22"/>
          <w:lang w:val="es-ES" w:eastAsia="en-US"/>
        </w:rPr>
        <w:t>dado que</w:t>
      </w:r>
      <w:r w:rsidRPr="00B86110" w:rsidR="00C71DD8">
        <w:rPr>
          <w:rFonts w:ascii="Arial" w:hAnsi="Arial" w:eastAsia="Calibri" w:cs="Arial"/>
          <w:sz w:val="22"/>
          <w:szCs w:val="22"/>
          <w:lang w:val="es-ES" w:eastAsia="en-US"/>
        </w:rPr>
        <w:t xml:space="preserve"> […] </w:t>
      </w:r>
      <w:r w:rsidRPr="00B86110" w:rsidR="00C71DD8">
        <w:rPr>
          <w:rFonts w:ascii="Arial" w:hAnsi="Arial" w:eastAsia="Calibri" w:cs="Arial"/>
          <w:i/>
          <w:iCs/>
          <w:sz w:val="22"/>
          <w:szCs w:val="22"/>
          <w:lang w:val="es-ES" w:eastAsia="en-US"/>
        </w:rPr>
        <w:t>existen algunos casos en los cuales el legislador habilitó a las entidades públicas para que suscribieran contratos cuyo régimen es distinto al derecho nacional,</w:t>
      </w:r>
      <w:r w:rsidRPr="00B86110" w:rsidR="00C71DD8">
        <w:rPr>
          <w:rFonts w:ascii="Arial" w:hAnsi="Arial" w:eastAsia="Calibri" w:cs="Arial"/>
          <w:sz w:val="22"/>
          <w:szCs w:val="22"/>
          <w:lang w:val="es-ES" w:eastAsia="en-US"/>
        </w:rPr>
        <w:t xml:space="preserve"> […] </w:t>
      </w:r>
      <w:r w:rsidRPr="00B86110" w:rsidR="00C71DD8">
        <w:rPr>
          <w:rFonts w:ascii="Arial" w:hAnsi="Arial" w:eastAsia="Calibri" w:cs="Arial"/>
          <w:i/>
          <w:iCs/>
          <w:sz w:val="22"/>
          <w:szCs w:val="22"/>
          <w:lang w:val="es-ES" w:eastAsia="en-US"/>
        </w:rPr>
        <w:t>en estos eventos dicha restricción no sería aplicable</w:t>
      </w:r>
      <w:r w:rsidRPr="00B86110" w:rsidR="00C71DD8">
        <w:rPr>
          <w:rFonts w:ascii="Arial" w:hAnsi="Arial" w:eastAsia="Calibri" w:cs="Arial"/>
          <w:sz w:val="22"/>
          <w:szCs w:val="22"/>
          <w:lang w:val="es-ES" w:eastAsia="en-US"/>
        </w:rPr>
        <w:t>» (Énfasis fuera de texto)</w:t>
      </w:r>
      <w:r w:rsidRPr="00B86110" w:rsidR="00A72945">
        <w:rPr>
          <w:rFonts w:ascii="Arial" w:hAnsi="Arial" w:eastAsia="Calibri" w:cs="Arial"/>
          <w:sz w:val="22"/>
          <w:szCs w:val="22"/>
          <w:lang w:val="es-ES" w:eastAsia="en-US"/>
        </w:rPr>
        <w:t xml:space="preserve">. </w:t>
      </w:r>
    </w:p>
    <w:p w:rsidRPr="00B86110" w:rsidR="00A72945" w:rsidP="00276320" w:rsidRDefault="00A72945" w14:paraId="558E9E0A" w14:textId="2435F971">
      <w:pPr>
        <w:spacing w:before="120" w:line="276" w:lineRule="auto"/>
        <w:ind w:firstLine="851"/>
        <w:jc w:val="both"/>
        <w:rPr>
          <w:rFonts w:ascii="Arial" w:hAnsi="Arial" w:eastAsia="Calibri" w:cs="Arial"/>
          <w:sz w:val="22"/>
          <w:szCs w:val="22"/>
          <w:lang w:val="es-ES" w:eastAsia="en-US"/>
        </w:rPr>
      </w:pPr>
      <w:r w:rsidRPr="00B86110">
        <w:rPr>
          <w:rFonts w:ascii="Arial" w:hAnsi="Arial" w:eastAsia="Calibri" w:cs="Arial"/>
          <w:sz w:val="22"/>
          <w:szCs w:val="22"/>
          <w:lang w:val="es-ES" w:eastAsia="en-US"/>
        </w:rPr>
        <w:t>Para efectos de la tesis unificada, el artículo 20 de la Ley 1150 de 2007 implica un régimen exceptuado distinto a los demás, en la medida que el derecho aplicable a estos contratos no es el derecho nacional, sino disposiciones de carácter internacional, normas que se materializan a través de los reglamentos de los organismos de cooperación, asistencia o ayuda. Así las cosas:</w:t>
      </w:r>
    </w:p>
    <w:p w:rsidRPr="00B86110" w:rsidR="00235FCA" w:rsidP="00B86110" w:rsidRDefault="00235FCA" w14:paraId="45AF22B1" w14:textId="77777777">
      <w:pPr>
        <w:spacing w:line="276" w:lineRule="auto"/>
        <w:ind w:firstLine="851"/>
        <w:jc w:val="both"/>
        <w:rPr>
          <w:rFonts w:ascii="Arial" w:hAnsi="Arial" w:eastAsia="Calibri" w:cs="Arial"/>
          <w:sz w:val="22"/>
          <w:szCs w:val="22"/>
          <w:lang w:val="es-ES" w:eastAsia="en-US"/>
        </w:rPr>
      </w:pPr>
    </w:p>
    <w:p w:rsidRPr="00B86110" w:rsidR="00A72945" w:rsidP="00B86110" w:rsidRDefault="00A72945" w14:paraId="2B04F686" w14:textId="14D098D0">
      <w:pPr>
        <w:spacing w:line="276" w:lineRule="auto"/>
        <w:jc w:val="both"/>
        <w:rPr>
          <w:rFonts w:ascii="Arial" w:hAnsi="Arial" w:eastAsia="Calibri" w:cs="Arial"/>
          <w:sz w:val="22"/>
          <w:szCs w:val="22"/>
          <w:lang w:val="es-ES" w:eastAsia="en-US"/>
        </w:rPr>
      </w:pPr>
      <w:r w:rsidRPr="00B86110">
        <w:rPr>
          <w:rFonts w:ascii="Arial" w:hAnsi="Arial" w:eastAsia="Calibri" w:cs="Arial"/>
          <w:sz w:val="22"/>
          <w:szCs w:val="22"/>
          <w:lang w:val="es-ES" w:eastAsia="en-US"/>
        </w:rPr>
        <w:tab/>
      </w:r>
      <w:r w:rsidRPr="00B86110">
        <w:rPr>
          <w:rFonts w:ascii="Arial" w:hAnsi="Arial" w:eastAsia="Calibri" w:cs="Arial"/>
          <w:sz w:val="22"/>
          <w:szCs w:val="22"/>
          <w:lang w:val="es-ES" w:eastAsia="en-US"/>
        </w:rPr>
        <w:t>[…]</w:t>
      </w:r>
    </w:p>
    <w:p w:rsidRPr="00B86110" w:rsidR="00A72945" w:rsidP="00A72945" w:rsidRDefault="00A72945" w14:paraId="1D2FBD02" w14:textId="77777777">
      <w:pPr>
        <w:snapToGrid w:val="0"/>
        <w:spacing w:after="120"/>
        <w:ind w:left="709" w:right="709"/>
        <w:jc w:val="both"/>
        <w:rPr>
          <w:rFonts w:ascii="Arial" w:hAnsi="Arial" w:eastAsia="Calibri" w:cs="Arial"/>
          <w:sz w:val="21"/>
          <w:szCs w:val="21"/>
          <w:lang w:val="es-ES" w:eastAsia="en-US"/>
        </w:rPr>
      </w:pPr>
      <w:r w:rsidRPr="00B86110">
        <w:rPr>
          <w:rFonts w:ascii="Arial" w:hAnsi="Arial" w:eastAsia="Calibri" w:cs="Arial"/>
          <w:sz w:val="21"/>
          <w:szCs w:val="21"/>
          <w:lang w:val="es-ES" w:eastAsia="en-US"/>
        </w:rPr>
        <w:t>La definición del alcance en que operará la variación del régimen normativo en relación con la actividad contractual es determinante para establecer si la restricción consagrada en el artículo 33 de la Ley de Garantías Electorales resulta aplicable o no. Si las partes, habilitadas para hacerlo, optan por aplicar de manera completa y absoluta la normativa contenida en los reglamentos del organismo o sujeto internacional, y si esta normativa consagra disposiciones relacionadas con la oportunidad, tiempos, fases, etapas etc. de los procedimientos de selección, entonces, serán dichas previsiones las que regirán el convenio y la contratación respectiva (bien sean contratos, donaciones, asistencias técnicas y sus derivados) y, por ende, la norma del artículo 33 no será derecho aplicable a la misma.</w:t>
      </w:r>
    </w:p>
    <w:p w:rsidRPr="00B86110" w:rsidR="00A72945" w:rsidP="00B86110" w:rsidRDefault="00A72945" w14:paraId="3D907DE0" w14:textId="77777777">
      <w:pPr>
        <w:snapToGrid w:val="0"/>
        <w:ind w:left="709" w:right="709"/>
        <w:jc w:val="both"/>
        <w:rPr>
          <w:rFonts w:ascii="Arial" w:hAnsi="Arial" w:eastAsia="Calibri" w:cs="Arial"/>
          <w:sz w:val="21"/>
          <w:szCs w:val="21"/>
          <w:lang w:val="es-ES" w:eastAsia="en-US"/>
        </w:rPr>
      </w:pPr>
      <w:r w:rsidRPr="00B86110">
        <w:rPr>
          <w:rFonts w:ascii="Arial" w:hAnsi="Arial" w:eastAsia="Calibri" w:cs="Arial"/>
          <w:sz w:val="21"/>
          <w:szCs w:val="21"/>
          <w:lang w:val="es-ES" w:eastAsia="en-US"/>
        </w:rPr>
        <w:t xml:space="preserve">Por el contrario, si las partes no optan por aplicar el reglamento (normativa extranjera) de tales organismos y sujetos internacionales en aspectos que atañen al acuerdo o convenio y el procedimiento para su desarrollo en la selección de contratistas, el artículo 33 de la Ley de Garantías sí será aplicable a la correspondiente contratación. Lo mismo sucederá cuando, por ejemplo, pese a que las partes convengan una variación normativa absoluta hacia el </w:t>
      </w:r>
      <w:r w:rsidRPr="00B86110">
        <w:rPr>
          <w:rFonts w:ascii="Arial" w:hAnsi="Arial" w:eastAsia="Calibri" w:cs="Arial"/>
          <w:sz w:val="21"/>
          <w:szCs w:val="21"/>
          <w:lang w:val="es-ES" w:eastAsia="en-US"/>
        </w:rPr>
        <w:lastRenderedPageBreak/>
        <w:t>derecho extranjero, pero las disposiciones del reglamento del organismo internacional dejan al derecho nacional la regulación del acuerdo o convenio y los procedimientos de selección, será aplicable la prohibición contenida en el artículo 33 citado.</w:t>
      </w:r>
    </w:p>
    <w:p w:rsidRPr="00B86110" w:rsidR="00A72945" w:rsidP="00B86110" w:rsidRDefault="00A72945" w14:paraId="4B72B771" w14:textId="7B7C33F2">
      <w:pPr>
        <w:snapToGrid w:val="0"/>
        <w:ind w:left="709" w:right="709"/>
        <w:jc w:val="both"/>
        <w:rPr>
          <w:rFonts w:ascii="Arial" w:hAnsi="Arial" w:eastAsia="Calibri" w:cs="Arial"/>
          <w:sz w:val="21"/>
          <w:szCs w:val="21"/>
          <w:lang w:val="es-ES" w:eastAsia="en-US"/>
        </w:rPr>
      </w:pPr>
      <w:r w:rsidRPr="00B86110">
        <w:rPr>
          <w:rFonts w:ascii="Arial" w:hAnsi="Arial" w:eastAsia="Calibri" w:cs="Arial"/>
          <w:sz w:val="21"/>
          <w:szCs w:val="21"/>
          <w:lang w:val="es-ES" w:eastAsia="en-US"/>
        </w:rPr>
        <w:t xml:space="preserve">[…] </w:t>
      </w:r>
    </w:p>
    <w:p w:rsidRPr="00B86110" w:rsidR="00977689" w:rsidP="00B86110" w:rsidRDefault="00977689" w14:paraId="6F8972B3" w14:textId="01651052">
      <w:pPr>
        <w:spacing w:line="276" w:lineRule="auto"/>
        <w:jc w:val="both"/>
        <w:rPr>
          <w:rFonts w:ascii="Arial" w:hAnsi="Arial" w:cs="Arial"/>
          <w:bCs/>
          <w:sz w:val="22"/>
          <w:szCs w:val="22"/>
          <w:lang w:val="es-ES" w:eastAsia="es-CO"/>
        </w:rPr>
      </w:pPr>
    </w:p>
    <w:p w:rsidRPr="00EA6BEC" w:rsidR="0051212F" w:rsidP="00B86110" w:rsidRDefault="00EA6BEC" w14:paraId="66E0C229" w14:textId="5544784B">
      <w:pPr>
        <w:spacing w:line="276" w:lineRule="auto"/>
        <w:ind w:firstLine="709"/>
        <w:jc w:val="both"/>
        <w:rPr>
          <w:rFonts w:ascii="Arial" w:hAnsi="Arial" w:eastAsia="Calibri" w:cs="Arial"/>
          <w:color w:val="000000"/>
          <w:sz w:val="22"/>
        </w:rPr>
      </w:pPr>
      <w:r w:rsidRPr="00B86110">
        <w:rPr>
          <w:rFonts w:ascii="Arial" w:hAnsi="Arial" w:eastAsia="Calibri" w:cs="Arial"/>
          <w:bCs/>
          <w:color w:val="000000"/>
          <w:sz w:val="22"/>
          <w:szCs w:val="22"/>
          <w:lang w:eastAsia="es-CO"/>
        </w:rPr>
        <w:t>Bajo estas consideraciones, corresponde a cada entidad pública, en ejercicio de su competencia y previa valoración de los elementos fácticos y jurídicos, determinar si es procedente o no la celebración de un determinado contrato en específico. 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w:t>
      </w:r>
      <w:r w:rsidRPr="00B86110" w:rsidR="00524963">
        <w:rPr>
          <w:rFonts w:ascii="Arial" w:hAnsi="Arial" w:cs="Arial"/>
          <w:sz w:val="22"/>
          <w:szCs w:val="22"/>
          <w:lang w:eastAsia="x-none"/>
        </w:rPr>
        <w:t>.</w:t>
      </w:r>
    </w:p>
    <w:p w:rsidRPr="00524963" w:rsidR="00524963" w:rsidP="00B86110" w:rsidRDefault="00524963" w14:paraId="6F8D21A7" w14:textId="2D890C74">
      <w:pPr>
        <w:spacing w:line="259" w:lineRule="auto"/>
        <w:jc w:val="both"/>
      </w:pPr>
    </w:p>
    <w:p w:rsidRPr="0051212F" w:rsidR="0051212F" w:rsidP="0051212F" w:rsidRDefault="0051212F" w14:paraId="7A2C9C60" w14:textId="77777777">
      <w:pPr>
        <w:spacing w:line="276" w:lineRule="auto"/>
        <w:jc w:val="both"/>
        <w:rPr>
          <w:rFonts w:ascii="Arial" w:hAnsi="Arial" w:cs="Arial"/>
          <w:color w:val="000000" w:themeColor="text1"/>
          <w:sz w:val="22"/>
          <w:lang w:val="es-ES_tradnl"/>
        </w:rPr>
      </w:pPr>
      <w:r w:rsidRPr="0051212F">
        <w:rPr>
          <w:rFonts w:ascii="Arial" w:hAnsi="Arial" w:cs="Arial"/>
          <w:color w:val="000000" w:themeColor="text1"/>
          <w:sz w:val="22"/>
          <w:szCs w:val="22"/>
          <w:lang w:val="es-ES_tradnl"/>
        </w:rPr>
        <w:t>Este concepto tiene el alcance previsto en el artículo 28 del</w:t>
      </w:r>
      <w:r w:rsidRPr="0051212F">
        <w:rPr>
          <w:rFonts w:ascii="Arial" w:hAnsi="Arial" w:cs="Arial"/>
          <w:color w:val="000000" w:themeColor="text1"/>
          <w:sz w:val="22"/>
          <w:lang w:val="es-ES_tradnl"/>
        </w:rPr>
        <w:t xml:space="preserve"> Código de Procedimiento Administrativo y de lo Contencioso Administrativo.</w:t>
      </w:r>
    </w:p>
    <w:bookmarkEnd w:id="8"/>
    <w:bookmarkEnd w:id="34"/>
    <w:p w:rsidRPr="00A51520" w:rsidR="00003233" w:rsidP="00D40F8B" w:rsidRDefault="00003233" w14:paraId="6F54E9C9" w14:textId="77777777">
      <w:pPr>
        <w:spacing w:before="120" w:line="276" w:lineRule="auto"/>
        <w:jc w:val="both"/>
        <w:rPr>
          <w:rFonts w:ascii="Arial" w:hAnsi="Arial" w:cs="Arial"/>
          <w:color w:val="000000" w:themeColor="text1"/>
          <w:sz w:val="22"/>
          <w:lang w:val="es-ES_tradnl"/>
        </w:rPr>
      </w:pPr>
    </w:p>
    <w:p w:rsidRPr="00A51520" w:rsidR="00D40F8B" w:rsidP="00DF76A2" w:rsidRDefault="00861F0F" w14:paraId="349855C9" w14:textId="4E2C915B">
      <w:pPr>
        <w:pStyle w:val="NormalWeb"/>
        <w:spacing w:before="0" w:beforeAutospacing="0" w:after="0" w:afterAutospacing="0" w:line="276" w:lineRule="auto"/>
        <w:jc w:val="both"/>
        <w:rPr>
          <w:rFonts w:ascii="Arial" w:hAnsi="Arial" w:cs="Arial"/>
          <w:color w:val="000000" w:themeColor="text1"/>
          <w:sz w:val="22"/>
          <w:szCs w:val="22"/>
          <w:lang w:val="es-ES_tradnl"/>
        </w:rPr>
      </w:pPr>
      <w:r w:rsidRPr="00A51520">
        <w:rPr>
          <w:rFonts w:ascii="Arial" w:hAnsi="Arial" w:cs="Arial"/>
          <w:color w:val="000000" w:themeColor="text1"/>
          <w:sz w:val="22"/>
          <w:szCs w:val="22"/>
          <w:lang w:val="es-ES_tradnl"/>
        </w:rPr>
        <w:t>Atentamente,</w:t>
      </w:r>
    </w:p>
    <w:p w:rsidRPr="00A51520" w:rsidR="00D40F8B" w:rsidP="00003233" w:rsidRDefault="002F5B6B" w14:paraId="10A1E411" w14:textId="6AB6B687">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drawing>
          <wp:inline distT="0" distB="0" distL="0" distR="0" wp14:anchorId="7E853ADC" wp14:editId="58300780">
            <wp:extent cx="2518154" cy="1116000"/>
            <wp:effectExtent l="0" t="0" r="0" b="1905"/>
            <wp:docPr id="1881124724" name="Imagen 188112472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18154" cy="1116000"/>
                    </a:xfrm>
                    <a:prstGeom prst="rect">
                      <a:avLst/>
                    </a:prstGeom>
                  </pic:spPr>
                </pic:pic>
              </a:graphicData>
            </a:graphic>
          </wp:inline>
        </w:drawing>
      </w:r>
    </w:p>
    <w:p w:rsidRPr="00A51520" w:rsidR="00003233" w:rsidP="00003233" w:rsidRDefault="00003233" w14:paraId="1ED13883" w14:textId="77777777">
      <w:pPr>
        <w:pStyle w:val="NormalWeb"/>
        <w:spacing w:before="0" w:beforeAutospacing="0" w:after="0" w:afterAutospacing="0" w:line="276" w:lineRule="auto"/>
        <w:rPr>
          <w:rFonts w:ascii="Arial" w:hAnsi="Arial" w:cs="Arial"/>
          <w:color w:val="000000" w:themeColor="text1"/>
          <w:sz w:val="22"/>
          <w:szCs w:val="22"/>
          <w:lang w:val="es-ES_tradnl"/>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A51520" w:rsidR="00DD5B04" w:rsidTr="05F55887" w14:paraId="0C7DC5F7" w14:textId="77777777">
        <w:trPr>
          <w:trHeight w:val="160"/>
        </w:trPr>
        <w:tc>
          <w:tcPr>
            <w:tcW w:w="812" w:type="dxa"/>
            <w:tcMar/>
            <w:vAlign w:val="center"/>
            <w:hideMark/>
          </w:tcPr>
          <w:p w:rsidRPr="00A51520" w:rsidR="00DD5B04" w:rsidP="00DF76A2" w:rsidRDefault="00DD5B04" w14:paraId="5BDB1AC9" w14:textId="77777777">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Elaboró:</w:t>
            </w:r>
          </w:p>
        </w:tc>
        <w:tc>
          <w:tcPr>
            <w:tcW w:w="4413" w:type="dxa"/>
            <w:tcBorders>
              <w:top w:val="nil"/>
              <w:left w:val="nil"/>
              <w:bottom w:val="dotted" w:color="7F7F7F" w:themeColor="text1" w:themeTint="80" w:sz="4" w:space="0"/>
              <w:right w:val="nil"/>
            </w:tcBorders>
            <w:tcMar/>
            <w:vAlign w:val="center"/>
            <w:hideMark/>
          </w:tcPr>
          <w:p w:rsidRPr="00A51520" w:rsidR="00DD5B04" w:rsidP="00DF76A2" w:rsidRDefault="00F412DF" w14:paraId="7F9F79B1" w14:textId="6E181913">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Tatiana Baquero Iguarán</w:t>
            </w:r>
          </w:p>
          <w:p w:rsidRPr="00A51520" w:rsidR="00DD5B04" w:rsidP="00DF76A2" w:rsidRDefault="00DD5B04" w14:paraId="240C71FD" w14:textId="31312C95">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Contratista</w:t>
            </w:r>
            <w:r w:rsidRPr="00A51520" w:rsidR="00FF0050">
              <w:rPr>
                <w:rFonts w:ascii="Arial" w:hAnsi="Arial" w:cs="Arial"/>
                <w:color w:val="000000" w:themeColor="text1"/>
                <w:sz w:val="16"/>
                <w:szCs w:val="16"/>
                <w:lang w:val="es-ES_tradnl" w:eastAsia="es-ES"/>
              </w:rPr>
              <w:t xml:space="preserve"> de la </w:t>
            </w:r>
            <w:r w:rsidRPr="00A51520">
              <w:rPr>
                <w:rFonts w:ascii="Arial" w:hAnsi="Arial" w:cs="Arial"/>
                <w:color w:val="000000" w:themeColor="text1"/>
                <w:sz w:val="16"/>
                <w:szCs w:val="16"/>
                <w:lang w:val="es-ES_tradnl" w:eastAsia="es-ES"/>
              </w:rPr>
              <w:t>Subdirección de Gestión Contractual</w:t>
            </w:r>
          </w:p>
        </w:tc>
      </w:tr>
      <w:tr w:rsidRPr="00A51520" w:rsidR="00DD5B04" w:rsidTr="05F55887" w14:paraId="2F8FD650" w14:textId="77777777">
        <w:trPr>
          <w:trHeight w:val="330"/>
        </w:trPr>
        <w:tc>
          <w:tcPr>
            <w:tcW w:w="812" w:type="dxa"/>
            <w:tcMar/>
            <w:vAlign w:val="center"/>
            <w:hideMark/>
          </w:tcPr>
          <w:p w:rsidRPr="00A51520" w:rsidR="00DD5B04" w:rsidP="00DF76A2" w:rsidRDefault="00DD5B04" w14:paraId="50203A0B" w14:textId="77777777">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Revisó:</w:t>
            </w:r>
          </w:p>
        </w:tc>
        <w:tc>
          <w:tcPr>
            <w:tcW w:w="4413" w:type="dxa"/>
            <w:tcBorders>
              <w:top w:val="dotted" w:color="7F7F7F" w:themeColor="text1" w:themeTint="80" w:sz="4" w:space="0"/>
              <w:left w:val="nil"/>
              <w:bottom w:val="dotted" w:color="7F7F7F" w:themeColor="text1" w:themeTint="80" w:sz="4" w:space="0"/>
              <w:right w:val="nil"/>
            </w:tcBorders>
            <w:tcMar/>
            <w:vAlign w:val="center"/>
            <w:hideMark/>
          </w:tcPr>
          <w:p w:rsidRPr="00A51520" w:rsidR="00B17563" w:rsidP="00F412DF" w:rsidRDefault="003D1E4F" w14:paraId="1D54785F" w14:textId="50438417">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 xml:space="preserve">Juan David Montoya </w:t>
            </w:r>
            <w:r w:rsidR="001B6EBB">
              <w:rPr>
                <w:rFonts w:ascii="Arial" w:hAnsi="Arial" w:cs="Arial"/>
                <w:color w:val="000000" w:themeColor="text1"/>
                <w:sz w:val="16"/>
                <w:szCs w:val="16"/>
                <w:lang w:val="es-ES_tradnl" w:eastAsia="es-ES"/>
              </w:rPr>
              <w:t xml:space="preserve">Penagos </w:t>
            </w:r>
          </w:p>
          <w:p w:rsidRPr="00A51520" w:rsidR="00DD5B04" w:rsidP="05F55887" w:rsidRDefault="00847744" w14:paraId="130B3228" w14:textId="56DC9CC4">
            <w:pPr>
              <w:jc w:val="both"/>
              <w:rPr>
                <w:rFonts w:ascii="Arial" w:hAnsi="Arial" w:cs="Arial"/>
                <w:color w:val="000000" w:themeColor="text1"/>
                <w:sz w:val="16"/>
                <w:szCs w:val="16"/>
                <w:lang w:val="es-ES" w:eastAsia="es-ES"/>
              </w:rPr>
            </w:pPr>
            <w:r w:rsidRPr="00A51520" w:rsidR="00F412DF">
              <w:rPr>
                <w:rFonts w:ascii="Arial" w:hAnsi="Arial" w:cs="Arial"/>
                <w:color w:val="000000"/>
                <w:sz w:val="16"/>
                <w:szCs w:val="16"/>
                <w:shd w:val="clear" w:color="auto" w:fill="FFFFFF"/>
              </w:rPr>
              <w:t xml:space="preserve">Gestor T1-15 de la </w:t>
            </w:r>
            <w:r w:rsidRPr="00A51520" w:rsidR="00F412DF">
              <w:rPr>
                <w:rFonts w:ascii="Arial" w:hAnsi="Arial" w:cs="Arial"/>
                <w:color w:val="000000" w:themeColor="text1"/>
                <w:sz w:val="16"/>
                <w:szCs w:val="16"/>
                <w:lang w:val="es-ES" w:eastAsia="es-ES"/>
              </w:rPr>
              <w:t>Subdirección de Gestión Contractual</w:t>
            </w:r>
          </w:p>
        </w:tc>
      </w:tr>
      <w:tr w:rsidRPr="00D40F8B" w:rsidR="00DD5B04" w:rsidTr="05F55887" w14:paraId="0FCBCA4A" w14:textId="77777777">
        <w:trPr>
          <w:trHeight w:val="300"/>
        </w:trPr>
        <w:tc>
          <w:tcPr>
            <w:tcW w:w="812" w:type="dxa"/>
            <w:tcMar/>
            <w:vAlign w:val="center"/>
            <w:hideMark/>
          </w:tcPr>
          <w:p w:rsidRPr="00A51520" w:rsidR="00DD5B04" w:rsidP="00DF76A2" w:rsidRDefault="00DD5B04" w14:paraId="3C1D943A" w14:textId="77777777">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Aprobó:</w:t>
            </w:r>
          </w:p>
        </w:tc>
        <w:tc>
          <w:tcPr>
            <w:tcW w:w="4413" w:type="dxa"/>
            <w:tcBorders>
              <w:top w:val="dotted" w:color="7F7F7F" w:themeColor="text1" w:themeTint="80" w:sz="4" w:space="0"/>
              <w:left w:val="nil"/>
              <w:bottom w:val="dotted" w:color="7F7F7F" w:themeColor="text1" w:themeTint="80" w:sz="4" w:space="0"/>
              <w:right w:val="nil"/>
            </w:tcBorders>
            <w:tcMar/>
            <w:vAlign w:val="center"/>
            <w:hideMark/>
          </w:tcPr>
          <w:p w:rsidRPr="00A51520" w:rsidR="006A55EE" w:rsidP="00DF76A2" w:rsidRDefault="00C05A61" w14:paraId="7180A172" w14:textId="7E7E6045">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 xml:space="preserve">Jorge </w:t>
            </w:r>
            <w:r w:rsidRPr="00A51520" w:rsidR="00647A36">
              <w:rPr>
                <w:rFonts w:ascii="Arial" w:hAnsi="Arial" w:cs="Arial"/>
                <w:color w:val="000000" w:themeColor="text1"/>
                <w:sz w:val="16"/>
                <w:szCs w:val="16"/>
                <w:lang w:val="es-ES_tradnl" w:eastAsia="es-ES"/>
              </w:rPr>
              <w:t xml:space="preserve">Augusto </w:t>
            </w:r>
            <w:r w:rsidRPr="00A51520">
              <w:rPr>
                <w:rFonts w:ascii="Arial" w:hAnsi="Arial" w:cs="Arial"/>
                <w:color w:val="000000" w:themeColor="text1"/>
                <w:sz w:val="16"/>
                <w:szCs w:val="16"/>
                <w:lang w:val="es-ES_tradnl" w:eastAsia="es-ES"/>
              </w:rPr>
              <w:t>Tirado Navarro</w:t>
            </w:r>
          </w:p>
          <w:p w:rsidRPr="00D40F8B" w:rsidR="00DD5B04" w:rsidP="00DF76A2" w:rsidRDefault="00DD5B04" w14:paraId="1ADC483B" w14:textId="2EC8CC51">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Subdirector de Gestión Contractual</w:t>
            </w:r>
            <w:r w:rsidRPr="00A51520" w:rsidR="00973AA2">
              <w:rPr>
                <w:rFonts w:ascii="Arial" w:hAnsi="Arial" w:cs="Arial"/>
                <w:color w:val="000000" w:themeColor="text1"/>
                <w:sz w:val="16"/>
                <w:szCs w:val="16"/>
                <w:lang w:val="es-ES_tradnl" w:eastAsia="es-ES"/>
              </w:rPr>
              <w:t xml:space="preserve"> </w:t>
            </w:r>
            <w:r w:rsidRPr="00A51520" w:rsidR="00973AA2">
              <w:rPr>
                <w:rFonts w:ascii="Arial" w:hAnsi="Arial" w:cs="Arial"/>
                <w:color w:val="000000" w:themeColor="text1"/>
                <w:sz w:val="16"/>
                <w:szCs w:val="16"/>
                <w:lang w:eastAsia="es-ES"/>
              </w:rPr>
              <w:t>ANCP – CCE</w:t>
            </w:r>
          </w:p>
        </w:tc>
      </w:tr>
    </w:tbl>
    <w:p w:rsidR="00453A53" w:rsidP="00215B8E" w:rsidRDefault="00453A53" w14:paraId="62A9C657" w14:textId="77777777">
      <w:pPr>
        <w:jc w:val="both"/>
        <w:rPr>
          <w:rFonts w:ascii="Arial" w:hAnsi="Arial" w:cs="Arial"/>
          <w:lang w:val="es-ES_tradnl"/>
        </w:rPr>
      </w:pPr>
    </w:p>
    <w:p w:rsidRPr="009D3964" w:rsidR="00FC710F" w:rsidRDefault="00FC710F" w14:paraId="4D3D318F" w14:textId="77777777">
      <w:pPr>
        <w:jc w:val="both"/>
        <w:rPr>
          <w:rFonts w:ascii="Arial" w:hAnsi="Arial" w:cs="Arial"/>
          <w:lang w:val="es-ES_tradnl"/>
        </w:rPr>
      </w:pPr>
    </w:p>
    <w:sectPr w:rsidRPr="009D3964" w:rsidR="00FC710F" w:rsidSect="00026B36">
      <w:headerReference w:type="default" r:id="rId13"/>
      <w:footerReference w:type="default" r:id="rId14"/>
      <w:pgSz w:w="12240" w:h="15840" w:orient="portrait"/>
      <w:pgMar w:top="2041" w:right="1750"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F67A3" w:rsidRDefault="007F67A3" w14:paraId="2ED3992A" w14:textId="77777777">
      <w:r>
        <w:separator/>
      </w:r>
    </w:p>
  </w:endnote>
  <w:endnote w:type="continuationSeparator" w:id="0">
    <w:p w:rsidR="007F67A3" w:rsidRDefault="007F67A3" w14:paraId="6C5BBA16" w14:textId="77777777">
      <w:r>
        <w:continuationSeparator/>
      </w:r>
    </w:p>
  </w:endnote>
  <w:endnote w:type="continuationNotice" w:id="1">
    <w:p w:rsidR="007F67A3" w:rsidRDefault="007F67A3" w14:paraId="6C6B63AC"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EC6D8D" w:rsidR="00E2520A" w:rsidP="00FE42ED" w:rsidRDefault="00E2520A" w14:paraId="7A3785F3" w14:textId="2EF28465">
    <w:pPr>
      <w:pStyle w:val="Piedepgina"/>
      <w:jc w:val="right"/>
      <w:rPr>
        <w:rFonts w:ascii="Arial" w:hAnsi="Arial" w:cs="Arial"/>
        <w:color w:val="7F7F7F"/>
        <w:sz w:val="16"/>
        <w:szCs w:val="16"/>
      </w:rPr>
    </w:pPr>
    <w:r w:rsidRPr="00EC6D8D">
      <w:rPr>
        <w:rFonts w:ascii="Arial" w:hAnsi="Arial" w:cs="Arial"/>
        <w:bCs/>
        <w:color w:val="7F7F7F"/>
        <w:sz w:val="16"/>
        <w:szCs w:val="16"/>
      </w:rPr>
      <w:t xml:space="preserve">Página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PAGE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r w:rsidRPr="00EC6D8D">
      <w:rPr>
        <w:rFonts w:ascii="Arial" w:hAnsi="Arial" w:cs="Arial"/>
        <w:color w:val="7F7F7F"/>
        <w:sz w:val="16"/>
        <w:szCs w:val="16"/>
      </w:rPr>
      <w:t xml:space="preserve"> de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NUMPAGES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p>
  <w:p w:rsidR="00E2520A" w:rsidP="00322937" w:rsidRDefault="00E2520A" w14:paraId="48FC6A04" w14:textId="5FD1A7C9">
    <w:pPr>
      <w:pStyle w:val="Piedepgina"/>
      <w:jc w:val="center"/>
      <w:rPr>
        <w:lang w:val="es-ES"/>
      </w:rPr>
    </w:pPr>
    <w:r>
      <w:rPr>
        <w:noProof/>
        <w:lang w:val="es-CO" w:eastAsia="es-CO"/>
      </w:rPr>
      <w:drawing>
        <wp:inline distT="0" distB="0" distL="0" distR="0" wp14:anchorId="608B196D" wp14:editId="0DC5B948">
          <wp:extent cx="3700130" cy="519139"/>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rsidR="00E2520A" w:rsidP="007B0854" w:rsidRDefault="00E2520A" w14:paraId="5D0E988C" w14:textId="77777777">
    <w:pPr>
      <w:pStyle w:val="Piedepgina"/>
      <w:jc w:val="center"/>
      <w:rPr>
        <w:lang w:val="es-ES"/>
      </w:rPr>
    </w:pPr>
  </w:p>
  <w:p w:rsidR="00E2520A" w:rsidRDefault="00E2520A" w14:paraId="1963EBF8" w14:textId="77777777"/>
  <w:p w:rsidR="00E2520A" w:rsidRDefault="00E2520A" w14:paraId="2CCD54A3"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F67A3" w:rsidRDefault="007F67A3" w14:paraId="2DCFA8EA" w14:textId="77777777">
      <w:r>
        <w:separator/>
      </w:r>
    </w:p>
  </w:footnote>
  <w:footnote w:type="continuationSeparator" w:id="0">
    <w:p w:rsidR="007F67A3" w:rsidRDefault="007F67A3" w14:paraId="33E368DB" w14:textId="77777777">
      <w:r>
        <w:continuationSeparator/>
      </w:r>
    </w:p>
  </w:footnote>
  <w:footnote w:type="continuationNotice" w:id="1">
    <w:p w:rsidR="007F67A3" w:rsidRDefault="007F67A3" w14:paraId="788FC292" w14:textId="77777777"/>
  </w:footnote>
  <w:footnote w:id="2">
    <w:p w:rsidRPr="00D260C6" w:rsidR="00524963" w:rsidP="00E20A7A" w:rsidRDefault="00524963" w14:paraId="3EAC3DAF" w14:textId="77777777">
      <w:pPr>
        <w:pStyle w:val="Textonotapie"/>
        <w:ind w:firstLine="708"/>
        <w:contextualSpacing/>
        <w:jc w:val="both"/>
        <w:rPr>
          <w:rFonts w:ascii="Arial" w:hAnsi="Arial" w:cs="Arial"/>
          <w:sz w:val="19"/>
          <w:szCs w:val="19"/>
        </w:rPr>
      </w:pPr>
      <w:r w:rsidRPr="00D260C6">
        <w:rPr>
          <w:rStyle w:val="Refdenotaalpie"/>
          <w:rFonts w:ascii="Arial" w:hAnsi="Arial" w:cs="Arial"/>
          <w:sz w:val="19"/>
          <w:szCs w:val="19"/>
        </w:rPr>
        <w:footnoteRef/>
      </w:r>
      <w:r w:rsidRPr="00D260C6">
        <w:rPr>
          <w:rFonts w:ascii="Arial" w:hAnsi="Arial" w:cs="Arial"/>
          <w:sz w:val="19"/>
          <w:szCs w:val="19"/>
        </w:rPr>
        <w:t xml:space="preserve"> «Artículo 3°. Funciones. La Agencia Nacional de Contratación Pública –Colombia Compra Eficiente– ejercerá las siguientes funciones: </w:t>
      </w:r>
    </w:p>
    <w:p w:rsidRPr="00D260C6" w:rsidR="00524963" w:rsidP="00E20A7A" w:rsidRDefault="00524963" w14:paraId="70C73CDC" w14:textId="77777777">
      <w:pPr>
        <w:pStyle w:val="Textonotapie"/>
        <w:ind w:firstLine="709"/>
        <w:contextualSpacing/>
        <w:jc w:val="both"/>
        <w:rPr>
          <w:rFonts w:ascii="Arial" w:hAnsi="Arial" w:cs="Arial"/>
          <w:sz w:val="19"/>
          <w:szCs w:val="19"/>
          <w:lang w:val="es-ES"/>
        </w:rPr>
      </w:pPr>
      <w:r w:rsidRPr="00D260C6">
        <w:rPr>
          <w:rFonts w:ascii="Arial" w:hAnsi="Arial" w:cs="Arial"/>
          <w:sz w:val="19"/>
          <w:szCs w:val="19"/>
          <w:lang w:val="es-ES"/>
        </w:rPr>
        <w:t xml:space="preserve">»[...] </w:t>
      </w:r>
    </w:p>
    <w:p w:rsidRPr="00D260C6" w:rsidR="00524963" w:rsidP="00E20A7A" w:rsidRDefault="00524963" w14:paraId="2676BF68" w14:textId="77777777">
      <w:pPr>
        <w:pStyle w:val="Textonotapie"/>
        <w:ind w:firstLine="709"/>
        <w:contextualSpacing/>
        <w:jc w:val="both"/>
        <w:rPr>
          <w:rFonts w:ascii="Arial" w:hAnsi="Arial" w:cs="Arial"/>
          <w:sz w:val="19"/>
          <w:szCs w:val="19"/>
          <w:lang w:val="es-ES"/>
        </w:rPr>
      </w:pPr>
      <w:r w:rsidRPr="00D260C6">
        <w:rPr>
          <w:rFonts w:ascii="Arial" w:hAnsi="Arial" w:cs="Arial"/>
          <w:sz w:val="19"/>
          <w:szCs w:val="19"/>
          <w:lang w:val="es-ES"/>
        </w:rPr>
        <w:t>»5. Absolver consultas sobre la aplicación de normas de carácter general y expedir circulares externas en materia de compras y contratación pública».</w:t>
      </w:r>
    </w:p>
    <w:p w:rsidRPr="00D260C6" w:rsidR="00524963" w:rsidP="00E20A7A" w:rsidRDefault="00524963" w14:paraId="3499B972" w14:textId="77777777">
      <w:pPr>
        <w:pStyle w:val="Textonotapie"/>
        <w:ind w:firstLine="709"/>
        <w:contextualSpacing/>
        <w:jc w:val="both"/>
        <w:rPr>
          <w:rFonts w:ascii="Arial" w:hAnsi="Arial" w:cs="Arial"/>
          <w:sz w:val="19"/>
          <w:szCs w:val="19"/>
          <w:lang w:val="es-ES"/>
        </w:rPr>
      </w:pPr>
      <w:r w:rsidRPr="00D260C6">
        <w:rPr>
          <w:rFonts w:ascii="Arial" w:hAnsi="Arial" w:eastAsia="Times New Roman" w:cs="Arial"/>
          <w:sz w:val="19"/>
          <w:szCs w:val="19"/>
          <w:lang w:val="es-CO" w:eastAsia="es-ES_tradnl"/>
        </w:rPr>
        <w:t>«</w:t>
      </w:r>
      <w:r w:rsidRPr="00D260C6">
        <w:rPr>
          <w:rFonts w:ascii="Arial" w:hAnsi="Arial" w:cs="Arial"/>
          <w:sz w:val="19"/>
          <w:szCs w:val="19"/>
          <w:lang w:val="es-ES"/>
        </w:rPr>
        <w:t xml:space="preserve">Artículo 11. Subdirección de Gestión Contractual. Son funciones de la Subdirección de Gestión Contractual las siguientes: </w:t>
      </w:r>
    </w:p>
    <w:p w:rsidRPr="00D260C6" w:rsidR="00524963" w:rsidP="00E20A7A" w:rsidRDefault="00524963" w14:paraId="086C1AE4" w14:textId="77777777">
      <w:pPr>
        <w:pStyle w:val="Textonotapie"/>
        <w:ind w:firstLine="709"/>
        <w:contextualSpacing/>
        <w:jc w:val="both"/>
        <w:rPr>
          <w:rFonts w:ascii="Arial" w:hAnsi="Arial" w:cs="Arial"/>
          <w:sz w:val="19"/>
          <w:szCs w:val="19"/>
          <w:lang w:val="es-ES"/>
        </w:rPr>
      </w:pPr>
      <w:r w:rsidRPr="00D260C6">
        <w:rPr>
          <w:rFonts w:ascii="Arial" w:hAnsi="Arial" w:cs="Arial"/>
          <w:sz w:val="19"/>
          <w:szCs w:val="19"/>
          <w:lang w:val="es-ES"/>
        </w:rPr>
        <w:t xml:space="preserve">»[...] </w:t>
      </w:r>
    </w:p>
    <w:p w:rsidRPr="00D260C6" w:rsidR="00524963" w:rsidP="00E20A7A" w:rsidRDefault="00524963" w14:paraId="36505374" w14:textId="77777777">
      <w:pPr>
        <w:pStyle w:val="Textonotapie"/>
        <w:ind w:firstLine="708"/>
        <w:contextualSpacing/>
        <w:jc w:val="both"/>
        <w:rPr>
          <w:rFonts w:ascii="Arial" w:hAnsi="Arial" w:cs="Arial"/>
          <w:sz w:val="19"/>
          <w:szCs w:val="19"/>
        </w:rPr>
      </w:pPr>
      <w:r w:rsidRPr="00D260C6">
        <w:rPr>
          <w:rFonts w:ascii="Arial" w:hAnsi="Arial" w:eastAsia="Times New Roman" w:cs="Arial"/>
          <w:sz w:val="19"/>
          <w:szCs w:val="19"/>
          <w:lang w:val="es-CO" w:eastAsia="es-ES_tradnl"/>
        </w:rPr>
        <w:t>»</w:t>
      </w:r>
      <w:r w:rsidRPr="00D260C6">
        <w:rPr>
          <w:rFonts w:ascii="Arial" w:hAnsi="Arial" w:cs="Arial"/>
          <w:sz w:val="19"/>
          <w:szCs w:val="19"/>
          <w:lang w:val="es-ES"/>
        </w:rPr>
        <w:t>8. Absolver consultas sobre la aplicación de normas de carácter general».</w:t>
      </w:r>
    </w:p>
  </w:footnote>
  <w:footnote w:id="3">
    <w:p w:rsidRPr="00B35679" w:rsidR="00963B93" w:rsidP="00E20A7A" w:rsidRDefault="00963B93" w14:paraId="1EB34580" w14:textId="77777777">
      <w:pPr>
        <w:pStyle w:val="Textonotapie"/>
        <w:ind w:firstLine="709"/>
        <w:contextualSpacing/>
        <w:jc w:val="both"/>
        <w:rPr>
          <w:rFonts w:ascii="Arial" w:hAnsi="Arial" w:cs="Arial"/>
          <w:sz w:val="19"/>
          <w:szCs w:val="19"/>
        </w:rPr>
      </w:pPr>
      <w:r w:rsidRPr="00B35679">
        <w:rPr>
          <w:rStyle w:val="Refdenotaalpie"/>
          <w:rFonts w:ascii="Arial" w:hAnsi="Arial" w:cs="Arial"/>
          <w:sz w:val="19"/>
          <w:szCs w:val="19"/>
        </w:rPr>
        <w:footnoteRef/>
      </w:r>
      <w:r w:rsidRPr="00B35679">
        <w:rPr>
          <w:rFonts w:ascii="Arial" w:hAnsi="Arial" w:cs="Arial"/>
          <w:sz w:val="19"/>
          <w:szCs w:val="19"/>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rsidRPr="00B35679" w:rsidR="00963B93" w:rsidP="00E20A7A" w:rsidRDefault="00963B93" w14:paraId="21C80805" w14:textId="105D3125">
      <w:pPr>
        <w:pStyle w:val="Textonotapie"/>
        <w:ind w:firstLine="709"/>
        <w:contextualSpacing/>
        <w:jc w:val="both"/>
        <w:rPr>
          <w:rFonts w:ascii="Arial" w:hAnsi="Arial" w:cs="Arial"/>
          <w:sz w:val="19"/>
          <w:szCs w:val="19"/>
        </w:rPr>
      </w:pPr>
      <w:proofErr w:type="gramStart"/>
      <w:r w:rsidRPr="00B35679">
        <w:rPr>
          <w:rFonts w:ascii="Arial" w:hAnsi="Arial" w:cs="Arial"/>
          <w:sz w:val="19"/>
          <w:szCs w:val="19"/>
        </w:rPr>
        <w:t>»A</w:t>
      </w:r>
      <w:proofErr w:type="gramEnd"/>
      <w:r w:rsidRPr="00B35679">
        <w:rPr>
          <w:rFonts w:ascii="Arial" w:hAnsi="Arial" w:cs="Arial"/>
          <w:sz w:val="19"/>
          <w:szCs w:val="19"/>
        </w:rPr>
        <w:t xml:space="preserve">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4">
    <w:p w:rsidRPr="00B35679" w:rsidR="00963B93" w:rsidP="00E20A7A" w:rsidRDefault="00963B93" w14:paraId="11E8664F" w14:textId="77777777">
      <w:pPr>
        <w:pStyle w:val="Textonotapie"/>
        <w:ind w:firstLine="709"/>
        <w:contextualSpacing/>
        <w:jc w:val="both"/>
        <w:rPr>
          <w:rFonts w:ascii="Arial" w:hAnsi="Arial" w:cs="Arial"/>
          <w:sz w:val="19"/>
          <w:szCs w:val="19"/>
        </w:rPr>
      </w:pPr>
      <w:r w:rsidRPr="00B35679">
        <w:rPr>
          <w:rStyle w:val="Refdenotaalpie"/>
          <w:rFonts w:ascii="Arial" w:hAnsi="Arial" w:cs="Arial"/>
          <w:sz w:val="19"/>
          <w:szCs w:val="19"/>
        </w:rPr>
        <w:footnoteRef/>
      </w:r>
      <w:r w:rsidRPr="00B35679">
        <w:rPr>
          <w:rFonts w:ascii="Arial" w:hAnsi="Arial" w:cs="Arial"/>
          <w:sz w:val="19"/>
          <w:szCs w:val="19"/>
        </w:rPr>
        <w:t xml:space="preserve"> Gaceta del Congreso de la República No. 71 del 2005.</w:t>
      </w:r>
    </w:p>
  </w:footnote>
  <w:footnote w:id="5">
    <w:p w:rsidRPr="00B35679" w:rsidR="00963B93" w:rsidP="00E20A7A" w:rsidRDefault="00963B93" w14:paraId="1BA9AAE9" w14:textId="77777777">
      <w:pPr>
        <w:pStyle w:val="Textonotapie"/>
        <w:ind w:firstLine="709"/>
        <w:contextualSpacing/>
        <w:jc w:val="both"/>
        <w:rPr>
          <w:rFonts w:ascii="Arial" w:hAnsi="Arial" w:cs="Arial"/>
          <w:sz w:val="19"/>
          <w:szCs w:val="19"/>
        </w:rPr>
      </w:pPr>
      <w:r w:rsidRPr="00B35679">
        <w:rPr>
          <w:rStyle w:val="Refdenotaalpie"/>
          <w:rFonts w:ascii="Arial" w:hAnsi="Arial" w:cs="Arial"/>
          <w:sz w:val="19"/>
          <w:szCs w:val="19"/>
        </w:rPr>
        <w:footnoteRef/>
      </w:r>
      <w:r w:rsidRPr="00B35679">
        <w:rPr>
          <w:rFonts w:ascii="Arial" w:hAnsi="Arial" w:cs="Arial"/>
          <w:sz w:val="19"/>
          <w:szCs w:val="19"/>
        </w:rPr>
        <w:t xml:space="preserve"> Corte Constitucional, Sentencia C- 1153 de 2005, M.P. Marco Gerardo Monroy Cabra.</w:t>
      </w:r>
    </w:p>
  </w:footnote>
  <w:footnote w:id="6">
    <w:p w:rsidRPr="00B35679" w:rsidR="00963B93" w:rsidP="00E20A7A" w:rsidRDefault="00963B93" w14:paraId="570E67B0" w14:textId="77777777">
      <w:pPr>
        <w:pStyle w:val="Textonotapie"/>
        <w:ind w:firstLine="709"/>
        <w:contextualSpacing/>
        <w:jc w:val="both"/>
        <w:rPr>
          <w:rFonts w:ascii="Arial" w:hAnsi="Arial" w:cs="Arial"/>
          <w:sz w:val="19"/>
          <w:szCs w:val="19"/>
        </w:rPr>
      </w:pPr>
      <w:r w:rsidRPr="00B35679">
        <w:rPr>
          <w:rStyle w:val="Refdenotaalpie"/>
          <w:rFonts w:ascii="Arial" w:hAnsi="Arial" w:cs="Arial"/>
          <w:sz w:val="19"/>
          <w:szCs w:val="19"/>
        </w:rPr>
        <w:footnoteRef/>
      </w:r>
      <w:r w:rsidRPr="00B35679">
        <w:rPr>
          <w:rFonts w:ascii="Arial" w:hAnsi="Arial" w:cs="Arial"/>
          <w:sz w:val="19"/>
          <w:szCs w:val="19"/>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7">
    <w:p w:rsidRPr="00B35679" w:rsidR="00963B93" w:rsidP="00E20A7A" w:rsidRDefault="00963B93" w14:paraId="5EACA9DF" w14:textId="77777777">
      <w:pPr>
        <w:pStyle w:val="Textonotapie"/>
        <w:ind w:firstLine="709"/>
        <w:contextualSpacing/>
        <w:jc w:val="both"/>
        <w:rPr>
          <w:rFonts w:ascii="Arial" w:hAnsi="Arial" w:cs="Arial"/>
          <w:sz w:val="19"/>
          <w:szCs w:val="19"/>
          <w:lang w:val="es-CO"/>
        </w:rPr>
      </w:pPr>
      <w:r w:rsidRPr="00B35679">
        <w:rPr>
          <w:rStyle w:val="Refdenotaalpie"/>
          <w:rFonts w:ascii="Arial" w:hAnsi="Arial" w:cs="Arial"/>
          <w:sz w:val="19"/>
          <w:szCs w:val="19"/>
        </w:rPr>
        <w:footnoteRef/>
      </w:r>
      <w:r w:rsidRPr="00B35679">
        <w:rPr>
          <w:rFonts w:ascii="Arial" w:hAnsi="Arial" w:cs="Arial"/>
          <w:sz w:val="19"/>
          <w:szCs w:val="19"/>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8">
    <w:p w:rsidRPr="00B35679" w:rsidR="00963B93" w:rsidP="00E20A7A" w:rsidRDefault="00963B93" w14:paraId="20FDAF2C" w14:textId="77777777">
      <w:pPr>
        <w:pStyle w:val="Textonotapie"/>
        <w:ind w:firstLine="709"/>
        <w:contextualSpacing/>
        <w:jc w:val="both"/>
        <w:rPr>
          <w:rFonts w:ascii="Arial" w:hAnsi="Arial" w:cs="Arial"/>
          <w:sz w:val="19"/>
          <w:szCs w:val="19"/>
        </w:rPr>
      </w:pPr>
      <w:r w:rsidRPr="00B35679">
        <w:rPr>
          <w:rStyle w:val="Refdenotaalpie"/>
          <w:rFonts w:ascii="Arial" w:hAnsi="Arial" w:cs="Arial"/>
          <w:sz w:val="19"/>
          <w:szCs w:val="19"/>
        </w:rPr>
        <w:footnoteRef/>
      </w:r>
      <w:r w:rsidRPr="00B35679">
        <w:rPr>
          <w:rFonts w:ascii="Arial" w:hAnsi="Arial" w:cs="Arial"/>
          <w:sz w:val="19"/>
          <w:szCs w:val="19"/>
        </w:rPr>
        <w:t xml:space="preserve"> Consejo de Estado, Sala de Consulta y Servicio Civil de fecha 24 de julio de 2013, radicado 2166, </w:t>
      </w:r>
      <w:proofErr w:type="gramStart"/>
      <w:r w:rsidRPr="00B35679">
        <w:rPr>
          <w:rFonts w:ascii="Arial" w:hAnsi="Arial" w:cs="Arial"/>
          <w:sz w:val="19"/>
          <w:szCs w:val="19"/>
        </w:rPr>
        <w:t>Consejero</w:t>
      </w:r>
      <w:proofErr w:type="gramEnd"/>
      <w:r w:rsidRPr="00B35679">
        <w:rPr>
          <w:rFonts w:ascii="Arial" w:hAnsi="Arial" w:cs="Arial"/>
          <w:sz w:val="19"/>
          <w:szCs w:val="19"/>
        </w:rPr>
        <w:t xml:space="preserve"> Ponente: Álvaro </w:t>
      </w:r>
      <w:proofErr w:type="spellStart"/>
      <w:r w:rsidRPr="00B35679">
        <w:rPr>
          <w:rFonts w:ascii="Arial" w:hAnsi="Arial" w:cs="Arial"/>
          <w:sz w:val="19"/>
          <w:szCs w:val="19"/>
        </w:rPr>
        <w:t>Namén</w:t>
      </w:r>
      <w:proofErr w:type="spellEnd"/>
      <w:r w:rsidRPr="00B35679">
        <w:rPr>
          <w:rFonts w:ascii="Arial" w:hAnsi="Arial" w:cs="Arial"/>
          <w:sz w:val="19"/>
          <w:szCs w:val="19"/>
        </w:rPr>
        <w:t xml:space="preserve"> Vargas.  </w:t>
      </w:r>
    </w:p>
  </w:footnote>
  <w:footnote w:id="9">
    <w:p w:rsidRPr="00B35679" w:rsidR="00963B93" w:rsidP="00E20A7A" w:rsidRDefault="00963B93" w14:paraId="3F35F8AF" w14:textId="77777777">
      <w:pPr>
        <w:ind w:firstLine="709"/>
        <w:contextualSpacing/>
        <w:jc w:val="both"/>
        <w:rPr>
          <w:rFonts w:ascii="Arial" w:hAnsi="Arial" w:cs="Arial"/>
          <w:sz w:val="19"/>
          <w:szCs w:val="19"/>
        </w:rPr>
      </w:pPr>
      <w:r w:rsidRPr="00B35679">
        <w:rPr>
          <w:rStyle w:val="Refdenotaalpie"/>
          <w:rFonts w:ascii="Arial" w:hAnsi="Arial" w:cs="Arial"/>
          <w:sz w:val="19"/>
          <w:szCs w:val="19"/>
        </w:rPr>
        <w:footnoteRef/>
      </w:r>
      <w:r w:rsidRPr="00B35679">
        <w:rPr>
          <w:rFonts w:ascii="Arial" w:hAnsi="Arial" w:cs="Arial"/>
          <w:sz w:val="19"/>
          <w:szCs w:val="19"/>
        </w:rPr>
        <w:t xml:space="preserve"> </w:t>
      </w:r>
      <w:bookmarkStart w:name="33" w:id="18"/>
      <w:r w:rsidRPr="00B35679">
        <w:rPr>
          <w:rFonts w:ascii="Arial" w:hAnsi="Arial" w:eastAsia="Calibri" w:cs="Arial"/>
          <w:bCs/>
          <w:color w:val="000000"/>
          <w:sz w:val="19"/>
          <w:szCs w:val="19"/>
        </w:rPr>
        <w:t>«</w:t>
      </w:r>
      <w:r w:rsidRPr="00B35679">
        <w:rPr>
          <w:rFonts w:ascii="Arial" w:hAnsi="Arial" w:cs="Arial"/>
          <w:sz w:val="19"/>
          <w:szCs w:val="19"/>
        </w:rPr>
        <w:t>Artículo 33. Restricciones a la contratación pública.</w:t>
      </w:r>
      <w:bookmarkEnd w:id="18"/>
      <w:r w:rsidRPr="00B35679">
        <w:rPr>
          <w:rFonts w:ascii="Arial" w:hAnsi="Arial" w:cs="Arial"/>
          <w:sz w:val="19"/>
          <w:szCs w:val="19"/>
        </w:rPr>
        <w:t> Durante los cuatro (4) meses anteriores a la elección presidencial y hasta la realización de la elección en la segunda vuelta, si fuere el caso, queda prohibida la contratación directa por parte de todos los entes del Estado.</w:t>
      </w:r>
    </w:p>
    <w:p w:rsidRPr="00B35679" w:rsidR="00963B93" w:rsidP="00E20A7A" w:rsidRDefault="00963B93" w14:paraId="14923947" w14:textId="77777777">
      <w:pPr>
        <w:ind w:firstLine="709"/>
        <w:contextualSpacing/>
        <w:jc w:val="both"/>
        <w:rPr>
          <w:rFonts w:ascii="Arial" w:hAnsi="Arial" w:cs="Arial"/>
          <w:sz w:val="19"/>
          <w:szCs w:val="19"/>
        </w:rPr>
      </w:pPr>
      <w:r w:rsidRPr="00B35679">
        <w:rPr>
          <w:rFonts w:ascii="Arial" w:hAnsi="Arial" w:eastAsia="Calibri" w:cs="Arial"/>
          <w:bCs/>
          <w:color w:val="000000"/>
          <w:sz w:val="19"/>
          <w:szCs w:val="19"/>
        </w:rPr>
        <w:t>»</w:t>
      </w:r>
      <w:r w:rsidRPr="00B35679">
        <w:rPr>
          <w:rFonts w:ascii="Arial" w:hAnsi="Arial" w:cs="Arial"/>
          <w:sz w:val="19"/>
          <w:szCs w:val="19"/>
        </w:rPr>
        <w:t xml:space="preserve">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B35679">
        <w:rPr>
          <w:rFonts w:ascii="Arial" w:hAnsi="Arial" w:eastAsia="Calibri" w:cs="Arial"/>
          <w:bCs/>
          <w:color w:val="000000"/>
          <w:sz w:val="19"/>
          <w:szCs w:val="19"/>
        </w:rPr>
        <w:t>»</w:t>
      </w:r>
      <w:r w:rsidRPr="00B35679">
        <w:rPr>
          <w:rFonts w:ascii="Arial" w:hAnsi="Arial" w:cs="Arial"/>
          <w:sz w:val="19"/>
          <w:szCs w:val="19"/>
        </w:rPr>
        <w:t>.</w:t>
      </w:r>
    </w:p>
  </w:footnote>
  <w:footnote w:id="10">
    <w:p w:rsidRPr="00B35679" w:rsidR="00963B93" w:rsidP="00E20A7A" w:rsidRDefault="00963B93" w14:paraId="48AC1B41" w14:textId="77777777">
      <w:pPr>
        <w:pStyle w:val="NormalWeb"/>
        <w:spacing w:before="0" w:beforeAutospacing="0" w:after="0" w:afterAutospacing="0"/>
        <w:ind w:firstLine="709"/>
        <w:contextualSpacing/>
        <w:jc w:val="both"/>
        <w:rPr>
          <w:rFonts w:ascii="Arial" w:hAnsi="Arial" w:cs="Arial"/>
          <w:sz w:val="19"/>
          <w:szCs w:val="19"/>
          <w:lang w:val="es-MX"/>
        </w:rPr>
      </w:pPr>
      <w:r w:rsidRPr="00B35679">
        <w:rPr>
          <w:rStyle w:val="Refdenotaalpie"/>
          <w:rFonts w:ascii="Arial" w:hAnsi="Arial" w:cs="Arial"/>
          <w:sz w:val="19"/>
          <w:szCs w:val="19"/>
        </w:rPr>
        <w:footnoteRef/>
      </w:r>
      <w:r w:rsidRPr="00B35679">
        <w:rPr>
          <w:rFonts w:ascii="Arial" w:hAnsi="Arial" w:cs="Arial"/>
          <w:sz w:val="19"/>
          <w:szCs w:val="19"/>
        </w:rPr>
        <w:t xml:space="preserve"> </w:t>
      </w:r>
      <w:bookmarkStart w:name="38" w:id="19"/>
      <w:r w:rsidRPr="00B35679">
        <w:rPr>
          <w:rFonts w:ascii="Arial" w:hAnsi="Arial" w:eastAsia="Calibri" w:cs="Arial"/>
          <w:bCs/>
          <w:color w:val="000000"/>
          <w:sz w:val="19"/>
          <w:szCs w:val="19"/>
        </w:rPr>
        <w:t>«</w:t>
      </w:r>
      <w:r w:rsidRPr="00B35679">
        <w:rPr>
          <w:rFonts w:ascii="Arial" w:hAnsi="Arial" w:cs="Arial"/>
          <w:sz w:val="19"/>
          <w:szCs w:val="19"/>
          <w:lang w:val="es-MX"/>
        </w:rPr>
        <w:t>Artículo 38. Prohibiciones para los servidores públicos. A los empleados del Estado les está prohibido:</w:t>
      </w:r>
      <w:bookmarkEnd w:id="19"/>
    </w:p>
    <w:p w:rsidRPr="00B35679" w:rsidR="00963B93" w:rsidP="00E20A7A" w:rsidRDefault="00963B93" w14:paraId="0D9E6AE0" w14:textId="77777777">
      <w:pPr>
        <w:pStyle w:val="NormalWeb"/>
        <w:spacing w:before="0" w:beforeAutospacing="0" w:after="0" w:afterAutospacing="0"/>
        <w:ind w:firstLine="709"/>
        <w:contextualSpacing/>
        <w:jc w:val="both"/>
        <w:rPr>
          <w:rFonts w:ascii="Arial" w:hAnsi="Arial" w:cs="Arial"/>
          <w:sz w:val="19"/>
          <w:szCs w:val="19"/>
          <w:lang w:val="es-MX"/>
        </w:rPr>
      </w:pPr>
      <w:r w:rsidRPr="00B35679">
        <w:rPr>
          <w:rFonts w:ascii="Arial" w:hAnsi="Arial" w:eastAsia="Calibri" w:cs="Arial"/>
          <w:bCs/>
          <w:color w:val="000000"/>
          <w:sz w:val="19"/>
          <w:szCs w:val="19"/>
        </w:rPr>
        <w:t>»</w:t>
      </w:r>
      <w:r w:rsidRPr="00B35679">
        <w:rPr>
          <w:rFonts w:ascii="Arial" w:hAnsi="Arial" w:cs="Arial"/>
          <w:sz w:val="19"/>
          <w:szCs w:val="19"/>
          <w:lang w:val="es-MX"/>
        </w:rPr>
        <w:t xml:space="preserve"> […]</w:t>
      </w:r>
    </w:p>
    <w:p w:rsidRPr="00B35679" w:rsidR="00963B93" w:rsidP="00E20A7A" w:rsidRDefault="00963B93" w14:paraId="1176DA2F" w14:textId="77777777">
      <w:pPr>
        <w:pStyle w:val="NormalWeb"/>
        <w:spacing w:before="0" w:beforeAutospacing="0" w:after="0" w:afterAutospacing="0"/>
        <w:ind w:firstLine="709"/>
        <w:contextualSpacing/>
        <w:jc w:val="both"/>
        <w:rPr>
          <w:rFonts w:ascii="Arial" w:hAnsi="Arial" w:cs="Arial"/>
          <w:sz w:val="19"/>
          <w:szCs w:val="19"/>
          <w:lang w:val="es-MX"/>
        </w:rPr>
      </w:pPr>
      <w:r w:rsidRPr="00B35679">
        <w:rPr>
          <w:rFonts w:ascii="Arial" w:hAnsi="Arial" w:eastAsia="Calibri" w:cs="Arial"/>
          <w:bCs/>
          <w:color w:val="000000"/>
          <w:sz w:val="19"/>
          <w:szCs w:val="19"/>
        </w:rPr>
        <w:t>»</w:t>
      </w:r>
      <w:r w:rsidRPr="00B35679">
        <w:rPr>
          <w:rStyle w:val="baj"/>
          <w:rFonts w:ascii="Arial" w:hAnsi="Arial" w:cs="Arial"/>
          <w:sz w:val="19"/>
          <w:szCs w:val="19"/>
          <w:lang w:val="es-MX"/>
        </w:rPr>
        <w:t xml:space="preserve"> Parágrafo.</w:t>
      </w:r>
      <w:r w:rsidRPr="00B35679">
        <w:rPr>
          <w:rFonts w:ascii="Arial" w:hAnsi="Arial" w:cs="Arial"/>
          <w:sz w:val="19"/>
          <w:szCs w:val="19"/>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B35679">
        <w:rPr>
          <w:rFonts w:ascii="Arial" w:hAnsi="Arial" w:eastAsia="Calibri" w:cs="Arial"/>
          <w:bCs/>
          <w:color w:val="000000"/>
          <w:sz w:val="19"/>
          <w:szCs w:val="19"/>
        </w:rPr>
        <w:t>»</w:t>
      </w:r>
      <w:r w:rsidRPr="00B35679">
        <w:rPr>
          <w:rFonts w:ascii="Arial" w:hAnsi="Arial" w:cs="Arial"/>
          <w:sz w:val="19"/>
          <w:szCs w:val="19"/>
          <w:lang w:val="es-MX"/>
        </w:rPr>
        <w:t>.</w:t>
      </w:r>
    </w:p>
  </w:footnote>
  <w:footnote w:id="11">
    <w:p w:rsidRPr="00B35679" w:rsidR="00963B93" w:rsidP="00E20A7A" w:rsidRDefault="00963B93" w14:paraId="179D0981" w14:textId="77777777">
      <w:pPr>
        <w:ind w:left="100" w:right="244" w:firstLine="709"/>
        <w:contextualSpacing/>
        <w:jc w:val="both"/>
        <w:rPr>
          <w:rFonts w:ascii="Arial" w:hAnsi="Arial" w:cs="Arial"/>
          <w:sz w:val="19"/>
          <w:szCs w:val="19"/>
          <w:lang w:val="es-ES"/>
        </w:rPr>
      </w:pPr>
      <w:r w:rsidRPr="00B35679">
        <w:rPr>
          <w:rStyle w:val="Refdenotaalpie"/>
          <w:rFonts w:ascii="Arial" w:hAnsi="Arial" w:cs="Arial"/>
          <w:sz w:val="19"/>
          <w:szCs w:val="19"/>
        </w:rPr>
        <w:footnoteRef/>
      </w:r>
      <w:r w:rsidRPr="00B35679">
        <w:rPr>
          <w:rFonts w:ascii="Arial" w:hAnsi="Arial" w:cs="Arial"/>
          <w:sz w:val="19"/>
          <w:szCs w:val="19"/>
        </w:rPr>
        <w:t xml:space="preserve"> Consejo de Estado. Sala de Consulta y Servicio Civil. Concepto del 17 de febrero de 2015. C.P. William Zambrano Cetina. Radicación No. 11001-03-06-000-2015-00164-00(2269).</w:t>
      </w:r>
    </w:p>
  </w:footnote>
  <w:footnote w:id="12">
    <w:p w:rsidRPr="00D260C6" w:rsidR="00524963" w:rsidP="00E20A7A" w:rsidRDefault="00524963" w14:paraId="2E0912E5" w14:textId="77777777">
      <w:pPr>
        <w:pStyle w:val="Textonotapie"/>
        <w:ind w:firstLine="709"/>
        <w:jc w:val="both"/>
        <w:rPr>
          <w:rFonts w:ascii="Arial" w:hAnsi="Arial" w:cs="Arial"/>
          <w:color w:val="000000"/>
          <w:sz w:val="19"/>
          <w:szCs w:val="19"/>
        </w:rPr>
      </w:pPr>
      <w:r w:rsidRPr="00D260C6">
        <w:rPr>
          <w:rStyle w:val="Refdenotaalpie"/>
          <w:rFonts w:ascii="Arial" w:hAnsi="Arial" w:cs="Arial"/>
          <w:sz w:val="19"/>
          <w:szCs w:val="19"/>
        </w:rPr>
        <w:footnoteRef/>
      </w:r>
      <w:r w:rsidRPr="00D260C6">
        <w:rPr>
          <w:rFonts w:ascii="Arial" w:hAnsi="Arial" w:cs="Arial"/>
          <w:color w:val="000000"/>
          <w:sz w:val="19"/>
          <w:szCs w:val="19"/>
        </w:rPr>
        <w:t xml:space="preserve"> «</w:t>
      </w:r>
      <w:r w:rsidRPr="00D260C6">
        <w:rPr>
          <w:rFonts w:ascii="Arial" w:hAnsi="Arial" w:cs="Arial"/>
          <w:color w:val="000000"/>
          <w:sz w:val="19"/>
          <w:szCs w:val="19"/>
          <w:lang w:val="es-ES"/>
        </w:rPr>
        <w:t xml:space="preserve">[25] </w:t>
      </w:r>
      <w:r w:rsidRPr="00D260C6">
        <w:rPr>
          <w:rFonts w:ascii="Arial" w:hAnsi="Arial" w:cs="Arial"/>
          <w:color w:val="000000"/>
          <w:sz w:val="19"/>
          <w:szCs w:val="19"/>
        </w:rPr>
        <w:t>Cfr. Consejo de Estado. Sección Tercera. Sentencia de 3 de diciembre de 2007. Radicados: 24.715, 25.206, 25.409, 24.524, 27.834, 25.410, 26.105, 28.244, 31.447 -acumulados-».</w:t>
      </w:r>
    </w:p>
  </w:footnote>
  <w:footnote w:id="13">
    <w:p w:rsidRPr="00D260C6" w:rsidR="00524963" w:rsidP="00E20A7A" w:rsidRDefault="00524963" w14:paraId="2D26AD8A" w14:textId="77777777">
      <w:pPr>
        <w:pStyle w:val="Textonotapie"/>
        <w:ind w:firstLine="709"/>
        <w:jc w:val="both"/>
        <w:rPr>
          <w:rFonts w:ascii="Arial" w:hAnsi="Arial" w:cs="Arial"/>
          <w:color w:val="000000"/>
          <w:sz w:val="19"/>
          <w:szCs w:val="19"/>
        </w:rPr>
      </w:pPr>
      <w:r w:rsidRPr="00D260C6">
        <w:rPr>
          <w:rStyle w:val="Refdenotaalpie"/>
          <w:rFonts w:ascii="Arial" w:hAnsi="Arial" w:cs="Arial"/>
          <w:sz w:val="19"/>
          <w:szCs w:val="19"/>
        </w:rPr>
        <w:footnoteRef/>
      </w:r>
      <w:r w:rsidRPr="00D260C6">
        <w:rPr>
          <w:rFonts w:ascii="Arial" w:hAnsi="Arial" w:cs="Arial"/>
          <w:color w:val="000000"/>
          <w:sz w:val="19"/>
          <w:szCs w:val="19"/>
        </w:rPr>
        <w:t xml:space="preserve"> «</w:t>
      </w:r>
      <w:r w:rsidRPr="00D260C6">
        <w:rPr>
          <w:rFonts w:ascii="Arial" w:hAnsi="Arial" w:cs="Arial"/>
          <w:color w:val="000000"/>
          <w:sz w:val="19"/>
          <w:szCs w:val="19"/>
          <w:lang w:val="es-ES"/>
        </w:rPr>
        <w:t xml:space="preserve">[26] </w:t>
      </w:r>
      <w:r w:rsidRPr="00D260C6">
        <w:rPr>
          <w:rFonts w:ascii="Arial" w:hAnsi="Arial" w:cs="Arial"/>
          <w:color w:val="000000"/>
          <w:sz w:val="19"/>
          <w:szCs w:val="19"/>
        </w:rPr>
        <w:t>Al respecto ver el concepto 1712 de 2 de febrero de 2006. Consejo de Estado Sala de Consulta y Servicio Civil».</w:t>
      </w:r>
    </w:p>
  </w:footnote>
  <w:footnote w:id="14">
    <w:p w:rsidRPr="00D260C6" w:rsidR="00524963" w:rsidP="00E20A7A" w:rsidRDefault="00524963" w14:paraId="3FDC5283" w14:textId="77777777">
      <w:pPr>
        <w:pStyle w:val="Textonotapie"/>
        <w:ind w:firstLine="709"/>
        <w:jc w:val="both"/>
        <w:rPr>
          <w:rFonts w:ascii="Arial" w:hAnsi="Arial" w:cs="Arial"/>
          <w:color w:val="000000"/>
          <w:sz w:val="19"/>
          <w:szCs w:val="19"/>
        </w:rPr>
      </w:pPr>
      <w:r w:rsidRPr="00D260C6">
        <w:rPr>
          <w:rStyle w:val="Refdenotaalpie"/>
          <w:rFonts w:ascii="Arial" w:hAnsi="Arial" w:cs="Arial"/>
          <w:sz w:val="19"/>
          <w:szCs w:val="19"/>
        </w:rPr>
        <w:footnoteRef/>
      </w:r>
      <w:r w:rsidRPr="00D260C6">
        <w:rPr>
          <w:rFonts w:ascii="Arial" w:hAnsi="Arial" w:cs="Arial"/>
          <w:color w:val="000000"/>
          <w:sz w:val="19"/>
          <w:szCs w:val="19"/>
        </w:rPr>
        <w:t xml:space="preserve"> Consejo de Estado. Sala de Consulta y Servicio Civil. Concepto del 2 de septiembre de 2013. Radicación número: 11001-03-06-000-2013-00412-00 (2168). Consejero Ponente: Álvaro </w:t>
      </w:r>
      <w:proofErr w:type="spellStart"/>
      <w:r w:rsidRPr="00D260C6">
        <w:rPr>
          <w:rFonts w:ascii="Arial" w:hAnsi="Arial" w:cs="Arial"/>
          <w:color w:val="000000"/>
          <w:sz w:val="19"/>
          <w:szCs w:val="19"/>
        </w:rPr>
        <w:t>Namén</w:t>
      </w:r>
      <w:proofErr w:type="spellEnd"/>
      <w:r w:rsidRPr="00D260C6">
        <w:rPr>
          <w:rFonts w:ascii="Arial" w:hAnsi="Arial" w:cs="Arial"/>
          <w:color w:val="000000"/>
          <w:sz w:val="19"/>
          <w:szCs w:val="19"/>
        </w:rPr>
        <w:t xml:space="preserve"> Vargas.</w:t>
      </w:r>
    </w:p>
  </w:footnote>
  <w:footnote w:id="15">
    <w:p w:rsidRPr="00D260C6" w:rsidR="00524963" w:rsidP="00E20A7A" w:rsidRDefault="00524963" w14:paraId="02563B18" w14:textId="77777777">
      <w:pPr>
        <w:pStyle w:val="Textonotapie"/>
        <w:ind w:firstLine="709"/>
        <w:jc w:val="both"/>
        <w:rPr>
          <w:rFonts w:ascii="Arial" w:hAnsi="Arial" w:cs="Arial"/>
          <w:color w:val="000000"/>
          <w:sz w:val="19"/>
          <w:szCs w:val="19"/>
          <w:lang w:val="es-ES"/>
        </w:rPr>
      </w:pPr>
      <w:r w:rsidRPr="00D260C6">
        <w:rPr>
          <w:rStyle w:val="Refdenotaalpie"/>
          <w:rFonts w:ascii="Arial" w:hAnsi="Arial" w:cs="Arial"/>
          <w:sz w:val="19"/>
          <w:szCs w:val="19"/>
        </w:rPr>
        <w:footnoteRef/>
      </w:r>
      <w:r w:rsidRPr="00D260C6">
        <w:rPr>
          <w:rFonts w:ascii="Arial" w:hAnsi="Arial" w:cs="Arial"/>
          <w:color w:val="000000"/>
          <w:sz w:val="19"/>
          <w:szCs w:val="19"/>
        </w:rPr>
        <w:t xml:space="preserve"> </w:t>
      </w:r>
      <w:r w:rsidRPr="00D260C6">
        <w:rPr>
          <w:rFonts w:ascii="Arial" w:hAnsi="Arial" w:cs="Arial"/>
          <w:color w:val="000000"/>
          <w:sz w:val="19"/>
          <w:szCs w:val="19"/>
          <w:lang w:val="es-ES"/>
        </w:rPr>
        <w:t xml:space="preserve">Artículo 2. </w:t>
      </w:r>
    </w:p>
  </w:footnote>
  <w:footnote w:id="16">
    <w:p w:rsidRPr="00D260C6" w:rsidR="00524963" w:rsidP="00E20A7A" w:rsidRDefault="00524963" w14:paraId="4125B07B" w14:textId="77777777">
      <w:pPr>
        <w:pStyle w:val="Textonotapie"/>
        <w:ind w:firstLine="709"/>
        <w:jc w:val="both"/>
        <w:rPr>
          <w:rFonts w:ascii="Arial" w:hAnsi="Arial" w:cs="Arial"/>
          <w:color w:val="000000"/>
          <w:sz w:val="19"/>
          <w:szCs w:val="19"/>
          <w:lang w:val="es-ES"/>
        </w:rPr>
      </w:pPr>
      <w:r w:rsidRPr="00D260C6">
        <w:rPr>
          <w:rStyle w:val="Refdenotaalpie"/>
          <w:rFonts w:ascii="Arial" w:hAnsi="Arial" w:cs="Arial"/>
          <w:sz w:val="19"/>
          <w:szCs w:val="19"/>
        </w:rPr>
        <w:footnoteRef/>
      </w:r>
      <w:r w:rsidRPr="00D260C6">
        <w:rPr>
          <w:rFonts w:ascii="Arial" w:hAnsi="Arial" w:cs="Arial"/>
          <w:color w:val="000000"/>
          <w:sz w:val="19"/>
          <w:szCs w:val="19"/>
        </w:rPr>
        <w:t xml:space="preserve"> </w:t>
      </w:r>
      <w:r w:rsidRPr="00D260C6">
        <w:rPr>
          <w:rFonts w:ascii="Arial" w:hAnsi="Arial" w:cs="Arial"/>
          <w:i/>
          <w:color w:val="000000"/>
          <w:sz w:val="19"/>
          <w:szCs w:val="19"/>
          <w:lang w:val="es-ES"/>
        </w:rPr>
        <w:t>Ídem</w:t>
      </w:r>
      <w:r w:rsidRPr="00D260C6">
        <w:rPr>
          <w:rFonts w:ascii="Arial" w:hAnsi="Arial" w:cs="Arial"/>
          <w:color w:val="000000"/>
          <w:sz w:val="19"/>
          <w:szCs w:val="19"/>
          <w:lang w:val="es-ES"/>
        </w:rPr>
        <w:t>.</w:t>
      </w:r>
    </w:p>
  </w:footnote>
  <w:footnote w:id="17">
    <w:p w:rsidRPr="00D260C6" w:rsidR="00524963" w:rsidP="00E20A7A" w:rsidRDefault="00524963" w14:paraId="5DF03155" w14:textId="77777777">
      <w:pPr>
        <w:pStyle w:val="Textonotapie"/>
        <w:ind w:firstLine="709"/>
        <w:jc w:val="both"/>
        <w:rPr>
          <w:rFonts w:ascii="Arial" w:hAnsi="Arial" w:cs="Arial"/>
          <w:color w:val="000000"/>
          <w:sz w:val="19"/>
          <w:szCs w:val="19"/>
          <w:lang w:val="es-ES"/>
        </w:rPr>
      </w:pPr>
      <w:r w:rsidRPr="00D260C6">
        <w:rPr>
          <w:rStyle w:val="Refdenotaalpie"/>
          <w:rFonts w:ascii="Arial" w:hAnsi="Arial" w:cs="Arial"/>
          <w:sz w:val="19"/>
          <w:szCs w:val="19"/>
        </w:rPr>
        <w:footnoteRef/>
      </w:r>
      <w:r w:rsidRPr="00D260C6">
        <w:rPr>
          <w:rStyle w:val="Refdenotaalpie"/>
          <w:rFonts w:ascii="Arial" w:hAnsi="Arial" w:cs="Arial"/>
          <w:color w:val="000000"/>
          <w:sz w:val="19"/>
          <w:szCs w:val="19"/>
        </w:rPr>
        <w:t xml:space="preserve"> </w:t>
      </w:r>
      <w:r w:rsidRPr="00D260C6">
        <w:rPr>
          <w:rFonts w:ascii="Arial" w:hAnsi="Arial" w:cs="Arial"/>
          <w:color w:val="000000"/>
          <w:sz w:val="19"/>
          <w:szCs w:val="19"/>
          <w:lang w:val="es-ES"/>
        </w:rPr>
        <w:t xml:space="preserve">«[…] A este respecto, cabe recordar que el artículo 860 del Código de Comercio regula la licitación en el derecho privado». </w:t>
      </w:r>
    </w:p>
  </w:footnote>
  <w:footnote w:id="18">
    <w:p w:rsidRPr="00D260C6" w:rsidR="00524963" w:rsidP="00E20A7A" w:rsidRDefault="00524963" w14:paraId="62A161C5" w14:textId="77777777">
      <w:pPr>
        <w:shd w:val="clear" w:color="auto" w:fill="FFFFFF"/>
        <w:ind w:firstLine="709"/>
        <w:jc w:val="both"/>
        <w:rPr>
          <w:rFonts w:ascii="Arial" w:hAnsi="Arial" w:cs="Arial"/>
          <w:color w:val="000000"/>
          <w:sz w:val="19"/>
          <w:szCs w:val="19"/>
          <w:lang w:val="es-ES"/>
        </w:rPr>
      </w:pPr>
      <w:r w:rsidRPr="00D260C6">
        <w:rPr>
          <w:rStyle w:val="Refdenotaalpie"/>
          <w:rFonts w:ascii="Arial" w:hAnsi="Arial" w:cs="Arial"/>
          <w:sz w:val="19"/>
          <w:szCs w:val="19"/>
        </w:rPr>
        <w:footnoteRef/>
      </w:r>
      <w:r w:rsidRPr="00D260C6">
        <w:rPr>
          <w:rStyle w:val="Refdenotaalpie"/>
          <w:rFonts w:ascii="Arial" w:hAnsi="Arial" w:cs="Arial"/>
          <w:color w:val="000000"/>
          <w:sz w:val="19"/>
          <w:szCs w:val="19"/>
        </w:rPr>
        <w:t xml:space="preserve"> </w:t>
      </w:r>
      <w:r w:rsidRPr="00D260C6">
        <w:rPr>
          <w:rFonts w:ascii="Arial" w:hAnsi="Arial" w:cs="Arial"/>
          <w:color w:val="000000"/>
          <w:sz w:val="19"/>
          <w:szCs w:val="19"/>
          <w:lang w:val="es-ES"/>
        </w:rPr>
        <w:t xml:space="preserve">Consejo de Estado. Sala de Consulta y Servicio Civil, Concepto de 8 de mayo de 2018. Radicación Número: 11001-03-06-000-2018-00095-00(2382). Consejero Ponente: Álvaro </w:t>
      </w:r>
      <w:proofErr w:type="spellStart"/>
      <w:r w:rsidRPr="00D260C6">
        <w:rPr>
          <w:rFonts w:ascii="Arial" w:hAnsi="Arial" w:cs="Arial"/>
          <w:color w:val="000000"/>
          <w:sz w:val="19"/>
          <w:szCs w:val="19"/>
          <w:lang w:val="es-ES"/>
        </w:rPr>
        <w:t>Namén</w:t>
      </w:r>
      <w:proofErr w:type="spellEnd"/>
      <w:r w:rsidRPr="00D260C6">
        <w:rPr>
          <w:rFonts w:ascii="Arial" w:hAnsi="Arial" w:cs="Arial"/>
          <w:color w:val="000000"/>
          <w:sz w:val="19"/>
          <w:szCs w:val="19"/>
          <w:lang w:val="es-ES"/>
        </w:rPr>
        <w:t xml:space="preserve"> Vargas.</w:t>
      </w:r>
    </w:p>
  </w:footnote>
  <w:footnote w:id="19">
    <w:p w:rsidRPr="00D260C6" w:rsidR="00524963" w:rsidP="00E20A7A" w:rsidRDefault="00524963" w14:paraId="64309EE0" w14:textId="77777777">
      <w:pPr>
        <w:pStyle w:val="Textonotapie"/>
        <w:ind w:firstLine="709"/>
        <w:jc w:val="both"/>
        <w:rPr>
          <w:rFonts w:ascii="Arial" w:hAnsi="Arial" w:cs="Arial"/>
          <w:color w:val="000000"/>
          <w:sz w:val="19"/>
          <w:szCs w:val="19"/>
        </w:rPr>
      </w:pPr>
      <w:r w:rsidRPr="00D260C6">
        <w:rPr>
          <w:rStyle w:val="Refdenotaalpie"/>
          <w:rFonts w:ascii="Arial" w:hAnsi="Arial" w:cs="Arial"/>
          <w:sz w:val="19"/>
          <w:szCs w:val="19"/>
        </w:rPr>
        <w:footnoteRef/>
      </w:r>
      <w:r w:rsidRPr="00D260C6">
        <w:rPr>
          <w:rFonts w:ascii="Arial" w:hAnsi="Arial" w:cs="Arial"/>
          <w:color w:val="000000"/>
          <w:sz w:val="19"/>
          <w:szCs w:val="19"/>
        </w:rPr>
        <w:t xml:space="preserve"> Consejo de Estado. Sala de Consulta y Servicio Civil. Concepto del 08 de mayo de 2018. </w:t>
      </w:r>
      <w:proofErr w:type="spellStart"/>
      <w:r w:rsidRPr="00D260C6">
        <w:rPr>
          <w:rFonts w:ascii="Arial" w:hAnsi="Arial" w:cs="Arial"/>
          <w:color w:val="000000"/>
          <w:sz w:val="19"/>
          <w:szCs w:val="19"/>
        </w:rPr>
        <w:t>Exp</w:t>
      </w:r>
      <w:proofErr w:type="spellEnd"/>
      <w:r w:rsidRPr="00D260C6">
        <w:rPr>
          <w:rFonts w:ascii="Arial" w:hAnsi="Arial" w:cs="Arial"/>
          <w:color w:val="000000"/>
          <w:sz w:val="19"/>
          <w:szCs w:val="19"/>
        </w:rPr>
        <w:t xml:space="preserve">. 2.382. C.P. Álvaro </w:t>
      </w:r>
      <w:proofErr w:type="spellStart"/>
      <w:r w:rsidRPr="00D260C6">
        <w:rPr>
          <w:rFonts w:ascii="Arial" w:hAnsi="Arial" w:cs="Arial"/>
          <w:color w:val="000000"/>
          <w:sz w:val="19"/>
          <w:szCs w:val="19"/>
        </w:rPr>
        <w:t>Namén</w:t>
      </w:r>
      <w:proofErr w:type="spellEnd"/>
      <w:r w:rsidRPr="00D260C6">
        <w:rPr>
          <w:rFonts w:ascii="Arial" w:hAnsi="Arial" w:cs="Arial"/>
          <w:color w:val="000000"/>
          <w:sz w:val="19"/>
          <w:szCs w:val="19"/>
        </w:rPr>
        <w:t xml:space="preserve"> Vargas.</w:t>
      </w:r>
    </w:p>
  </w:footnote>
  <w:footnote w:id="20">
    <w:p w:rsidRPr="00D260C6" w:rsidR="00524963" w:rsidP="00E20A7A" w:rsidRDefault="00524963" w14:paraId="384BEF30" w14:textId="77777777">
      <w:pPr>
        <w:pStyle w:val="Textonotapie"/>
        <w:ind w:firstLine="709"/>
        <w:jc w:val="both"/>
        <w:rPr>
          <w:rFonts w:ascii="Arial" w:hAnsi="Arial" w:cs="Arial"/>
          <w:color w:val="000000"/>
          <w:sz w:val="19"/>
          <w:szCs w:val="19"/>
        </w:rPr>
      </w:pPr>
      <w:r w:rsidRPr="00D260C6">
        <w:rPr>
          <w:rStyle w:val="Refdenotaalpie"/>
          <w:rFonts w:ascii="Arial" w:hAnsi="Arial" w:cs="Arial"/>
          <w:sz w:val="19"/>
          <w:szCs w:val="19"/>
        </w:rPr>
        <w:footnoteRef/>
      </w:r>
      <w:r w:rsidRPr="00D260C6">
        <w:rPr>
          <w:rFonts w:ascii="Arial" w:hAnsi="Arial" w:cs="Arial"/>
          <w:color w:val="000000"/>
          <w:sz w:val="19"/>
          <w:szCs w:val="19"/>
        </w:rPr>
        <w:t xml:space="preserve"> Cfr. Concepto C-757 del 30 de diciembre de 2021.</w:t>
      </w:r>
    </w:p>
  </w:footnote>
  <w:footnote w:id="21">
    <w:p w:rsidRPr="00D260C6" w:rsidR="00524963" w:rsidP="00E20A7A" w:rsidRDefault="00524963" w14:paraId="5423C8EC" w14:textId="77777777">
      <w:pPr>
        <w:pStyle w:val="Textonotapie"/>
        <w:ind w:firstLine="709"/>
        <w:jc w:val="both"/>
        <w:rPr>
          <w:rFonts w:ascii="Arial" w:hAnsi="Arial" w:cs="Arial"/>
          <w:color w:val="000000"/>
          <w:sz w:val="19"/>
          <w:szCs w:val="19"/>
        </w:rPr>
      </w:pPr>
      <w:r w:rsidRPr="00D260C6">
        <w:rPr>
          <w:rStyle w:val="Refdenotaalpie"/>
          <w:rFonts w:ascii="Arial" w:hAnsi="Arial" w:cs="Arial"/>
          <w:sz w:val="19"/>
          <w:szCs w:val="19"/>
        </w:rPr>
        <w:footnoteRef/>
      </w:r>
      <w:r w:rsidRPr="00D260C6">
        <w:rPr>
          <w:rFonts w:ascii="Arial" w:hAnsi="Arial" w:cs="Arial"/>
          <w:color w:val="000000"/>
          <w:sz w:val="19"/>
          <w:szCs w:val="19"/>
        </w:rPr>
        <w:t xml:space="preserve"> La Corte Constitucional mediante Sentencia C-1153-05 de 11 de noviembre de 2005, Magistrado Ponente Marco Gerardo Monroy Cabra, efectuó el Control constitucional al Proyecto de Ley Estatutaria </w:t>
      </w:r>
      <w:proofErr w:type="spellStart"/>
      <w:r w:rsidRPr="00D260C6">
        <w:rPr>
          <w:rFonts w:ascii="Arial" w:hAnsi="Arial" w:cs="Arial"/>
          <w:color w:val="000000"/>
          <w:sz w:val="19"/>
          <w:szCs w:val="19"/>
        </w:rPr>
        <w:t>N°</w:t>
      </w:r>
      <w:proofErr w:type="spellEnd"/>
      <w:r w:rsidRPr="00D260C6">
        <w:rPr>
          <w:rFonts w:ascii="Arial" w:hAnsi="Arial" w:cs="Arial"/>
          <w:color w:val="000000"/>
          <w:sz w:val="19"/>
          <w:szCs w:val="19"/>
        </w:rPr>
        <w:t xml:space="preserve"> 216/05 Senado, </w:t>
      </w:r>
      <w:proofErr w:type="spellStart"/>
      <w:r w:rsidRPr="00D260C6">
        <w:rPr>
          <w:rFonts w:ascii="Arial" w:hAnsi="Arial" w:cs="Arial"/>
          <w:color w:val="000000"/>
          <w:sz w:val="19"/>
          <w:szCs w:val="19"/>
        </w:rPr>
        <w:t>N°</w:t>
      </w:r>
      <w:proofErr w:type="spellEnd"/>
      <w:r w:rsidRPr="00D260C6">
        <w:rPr>
          <w:rFonts w:ascii="Arial" w:hAnsi="Arial" w:cs="Arial"/>
          <w:color w:val="000000"/>
          <w:sz w:val="19"/>
          <w:szCs w:val="19"/>
        </w:rPr>
        <w:t xml:space="preserve"> 235-Cámara que dio lugar a la Ley de Garantías Electorales.</w:t>
      </w:r>
    </w:p>
  </w:footnote>
  <w:footnote w:id="22">
    <w:p w:rsidRPr="00D260C6" w:rsidR="00524963" w:rsidP="00E20A7A" w:rsidRDefault="00524963" w14:paraId="7BDFE052" w14:textId="77777777">
      <w:pPr>
        <w:ind w:firstLine="709"/>
        <w:jc w:val="both"/>
        <w:rPr>
          <w:rFonts w:ascii="Arial" w:hAnsi="Arial" w:cs="Arial"/>
          <w:color w:val="000000"/>
          <w:sz w:val="19"/>
          <w:szCs w:val="19"/>
        </w:rPr>
      </w:pPr>
      <w:r w:rsidRPr="00D260C6">
        <w:rPr>
          <w:rStyle w:val="Refdenotaalpie"/>
          <w:rFonts w:ascii="Arial" w:hAnsi="Arial" w:cs="Arial"/>
          <w:sz w:val="19"/>
          <w:szCs w:val="19"/>
        </w:rPr>
        <w:footnoteRef/>
      </w:r>
      <w:r w:rsidRPr="00D260C6">
        <w:rPr>
          <w:rFonts w:ascii="Arial" w:hAnsi="Arial" w:cs="Arial"/>
          <w:color w:val="000000"/>
          <w:sz w:val="19"/>
          <w:szCs w:val="19"/>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3">
    <w:p w:rsidRPr="00B35679" w:rsidR="0040083B" w:rsidP="00E20A7A" w:rsidRDefault="0040083B" w14:paraId="4C62D15C" w14:textId="77777777">
      <w:pPr>
        <w:pStyle w:val="Textonotapie"/>
        <w:ind w:right="51" w:firstLine="709"/>
        <w:contextualSpacing/>
        <w:jc w:val="both"/>
        <w:rPr>
          <w:rFonts w:ascii="Arial" w:hAnsi="Arial" w:cs="Arial"/>
          <w:sz w:val="19"/>
          <w:szCs w:val="19"/>
        </w:rPr>
      </w:pPr>
      <w:r w:rsidRPr="00B35679">
        <w:rPr>
          <w:rStyle w:val="Refdenotaalpie"/>
          <w:rFonts w:ascii="Arial" w:hAnsi="Arial" w:cs="Arial"/>
          <w:sz w:val="19"/>
          <w:szCs w:val="19"/>
        </w:rPr>
        <w:footnoteRef/>
      </w:r>
      <w:r w:rsidRPr="00B35679">
        <w:rPr>
          <w:rFonts w:ascii="Arial" w:hAnsi="Arial" w:cs="Arial"/>
          <w:sz w:val="19"/>
          <w:szCs w:val="19"/>
        </w:rPr>
        <w:t xml:space="preserve"> </w:t>
      </w:r>
      <w:bookmarkStart w:name="_Hlk75633115" w:id="27"/>
      <w:r w:rsidRPr="00B35679">
        <w:rPr>
          <w:rFonts w:ascii="Arial" w:hAnsi="Arial" w:cs="Arial"/>
          <w:sz w:val="19"/>
          <w:szCs w:val="19"/>
        </w:rPr>
        <w:t xml:space="preserve">Consejo de Estado. Sala de Consulta y Servicio Civil. Concepto </w:t>
      </w:r>
      <w:bookmarkEnd w:id="27"/>
      <w:r w:rsidRPr="00B35679">
        <w:rPr>
          <w:rFonts w:ascii="Arial" w:hAnsi="Arial" w:cs="Arial"/>
          <w:sz w:val="19"/>
          <w:szCs w:val="19"/>
        </w:rPr>
        <w:t>de 6 de abril de 2006. Radicación Número: 11001-03-06-000-2006-00038-00(1738). Consejero Ponente: Enrique José Arboleda Perdomo:</w:t>
      </w:r>
      <w:r w:rsidRPr="00B35679">
        <w:rPr>
          <w:rFonts w:ascii="Arial" w:hAnsi="Arial" w:eastAsia="Times New Roman" w:cs="Arial"/>
          <w:bCs/>
          <w:sz w:val="19"/>
          <w:szCs w:val="19"/>
          <w:lang w:eastAsia="x-none"/>
        </w:rPr>
        <w:t xml:space="preserve"> «</w:t>
      </w:r>
      <w:r w:rsidRPr="00B35679">
        <w:rPr>
          <w:rFonts w:ascii="Arial" w:hAnsi="Arial" w:cs="Arial"/>
          <w:sz w:val="19"/>
          <w:szCs w:val="19"/>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B35679">
        <w:rPr>
          <w:rFonts w:ascii="Arial" w:hAnsi="Arial" w:eastAsia="Times New Roman" w:cs="Arial"/>
          <w:bCs/>
          <w:sz w:val="19"/>
          <w:szCs w:val="19"/>
          <w:lang w:eastAsia="x-none"/>
        </w:rPr>
        <w:t>».</w:t>
      </w:r>
    </w:p>
  </w:footnote>
  <w:footnote w:id="24">
    <w:p w:rsidRPr="00B35679" w:rsidR="0040083B" w:rsidP="00E20A7A" w:rsidRDefault="0040083B" w14:paraId="0606894C" w14:textId="77777777">
      <w:pPr>
        <w:pStyle w:val="Textonotapie"/>
        <w:ind w:right="51" w:firstLine="709"/>
        <w:contextualSpacing/>
        <w:jc w:val="both"/>
        <w:rPr>
          <w:rFonts w:ascii="Arial" w:hAnsi="Arial" w:cs="Arial"/>
          <w:sz w:val="19"/>
          <w:szCs w:val="19"/>
        </w:rPr>
      </w:pPr>
      <w:r w:rsidRPr="00B35679">
        <w:rPr>
          <w:rStyle w:val="Refdenotaalpie"/>
          <w:rFonts w:ascii="Arial" w:hAnsi="Arial" w:cs="Arial"/>
          <w:sz w:val="19"/>
          <w:szCs w:val="19"/>
        </w:rPr>
        <w:footnoteRef/>
      </w:r>
      <w:r w:rsidRPr="00B35679">
        <w:rPr>
          <w:rFonts w:ascii="Arial" w:hAnsi="Arial" w:cs="Arial"/>
          <w:sz w:val="19"/>
          <w:szCs w:val="19"/>
        </w:rPr>
        <w:t xml:space="preserve"> Consejo de Estado. Sala de Consulta y Servicio Civil. Concepto de 6 de abril de 2006. Radicación Número: 11001-03-06-000-2006-00038-00(1738). Consejero Ponente: Enrique José Arboleda Perdomo.</w:t>
      </w:r>
    </w:p>
  </w:footnote>
  <w:footnote w:id="25">
    <w:p w:rsidRPr="00B35679" w:rsidR="0040083B" w:rsidP="00E20A7A" w:rsidRDefault="0040083B" w14:paraId="43CDD80A" w14:textId="77777777">
      <w:pPr>
        <w:pStyle w:val="Textonotapie"/>
        <w:ind w:right="51" w:firstLine="709"/>
        <w:contextualSpacing/>
        <w:jc w:val="both"/>
        <w:rPr>
          <w:rFonts w:ascii="Arial" w:hAnsi="Arial" w:cs="Arial"/>
          <w:sz w:val="19"/>
          <w:szCs w:val="19"/>
        </w:rPr>
      </w:pPr>
      <w:r w:rsidRPr="00B35679">
        <w:rPr>
          <w:rStyle w:val="Refdenotaalpie"/>
          <w:rFonts w:ascii="Arial" w:hAnsi="Arial" w:cs="Arial"/>
          <w:sz w:val="19"/>
          <w:szCs w:val="19"/>
        </w:rPr>
        <w:footnoteRef/>
      </w:r>
      <w:r w:rsidRPr="00B35679">
        <w:rPr>
          <w:rFonts w:ascii="Arial" w:hAnsi="Arial" w:cs="Arial"/>
          <w:sz w:val="19"/>
          <w:szCs w:val="19"/>
        </w:rPr>
        <w:t xml:space="preserve"> Consejo de Estado. Sala de Consulta y Servicio Civil, ídem.</w:t>
      </w:r>
    </w:p>
  </w:footnote>
  <w:footnote w:id="26">
    <w:p w:rsidRPr="00F807BA" w:rsidR="00037198" w:rsidP="00E20A7A" w:rsidRDefault="00037198" w14:paraId="2D19EB70" w14:textId="77777777">
      <w:pPr>
        <w:pStyle w:val="Textonotapie"/>
        <w:ind w:firstLine="709"/>
        <w:jc w:val="both"/>
        <w:rPr>
          <w:rFonts w:ascii="Arial" w:hAnsi="Arial" w:cs="Arial"/>
          <w:color w:val="000000" w:themeColor="text1"/>
          <w:sz w:val="19"/>
          <w:szCs w:val="19"/>
          <w:lang w:val="es-CO"/>
        </w:rPr>
      </w:pPr>
      <w:r w:rsidRPr="00F807BA">
        <w:rPr>
          <w:rStyle w:val="Refdenotaalpie"/>
          <w:rFonts w:ascii="Arial" w:hAnsi="Arial" w:cs="Arial"/>
          <w:sz w:val="19"/>
          <w:szCs w:val="19"/>
        </w:rPr>
        <w:footnoteRef/>
      </w:r>
      <w:r w:rsidRPr="00F807BA">
        <w:rPr>
          <w:rFonts w:ascii="Arial" w:hAnsi="Arial" w:cs="Arial"/>
          <w:color w:val="000000" w:themeColor="text1"/>
          <w:sz w:val="19"/>
          <w:szCs w:val="19"/>
          <w:lang w:val="es-CO"/>
        </w:rPr>
        <w:t xml:space="preserve"> FIGUEROA U. Organismos internacionales. 2ª edición. Santiago de Chile: Editorial RIL editores, 2010.</w:t>
      </w:r>
    </w:p>
  </w:footnote>
  <w:footnote w:id="27">
    <w:p w:rsidRPr="00F807BA" w:rsidR="00037198" w:rsidP="00E20A7A" w:rsidRDefault="00037198" w14:paraId="566A002D" w14:textId="77777777">
      <w:pPr>
        <w:pStyle w:val="NormalWeb"/>
        <w:spacing w:before="0" w:beforeAutospacing="0" w:after="0" w:afterAutospacing="0"/>
        <w:ind w:firstLine="709"/>
        <w:jc w:val="both"/>
        <w:rPr>
          <w:rFonts w:ascii="Arial" w:hAnsi="Arial" w:cs="Arial"/>
          <w:color w:val="000000" w:themeColor="text1"/>
          <w:sz w:val="19"/>
          <w:szCs w:val="19"/>
        </w:rPr>
      </w:pPr>
      <w:r w:rsidRPr="00F807BA">
        <w:rPr>
          <w:rStyle w:val="Refdenotaalpie"/>
          <w:rFonts w:ascii="Arial" w:hAnsi="Arial" w:cs="Arial"/>
          <w:sz w:val="19"/>
          <w:szCs w:val="19"/>
        </w:rPr>
        <w:footnoteRef/>
      </w:r>
      <w:r w:rsidRPr="00F807BA">
        <w:rPr>
          <w:rFonts w:ascii="Arial" w:hAnsi="Arial" w:cs="Arial"/>
          <w:color w:val="000000" w:themeColor="text1"/>
          <w:sz w:val="19"/>
          <w:szCs w:val="19"/>
        </w:rPr>
        <w:t xml:space="preserve"> Ley 80 de 1993: «Artículo 13. De la normatividad aplicable a los contratos estatales. Los contratos que celebren las entidades a que se refiere el artículo </w:t>
      </w:r>
      <w:hyperlink w:history="1" w:anchor="2" r:id="rId1">
        <w:r w:rsidRPr="00F807BA">
          <w:rPr>
            <w:rStyle w:val="Hipervnculo"/>
            <w:rFonts w:ascii="Arial" w:hAnsi="Arial" w:cs="Arial"/>
            <w:color w:val="000000" w:themeColor="text1"/>
            <w:sz w:val="19"/>
            <w:szCs w:val="19"/>
          </w:rPr>
          <w:t>2</w:t>
        </w:r>
      </w:hyperlink>
      <w:r w:rsidRPr="00F807BA">
        <w:rPr>
          <w:rFonts w:ascii="Arial" w:hAnsi="Arial" w:cs="Arial"/>
          <w:color w:val="000000" w:themeColor="text1"/>
          <w:sz w:val="19"/>
          <w:szCs w:val="19"/>
        </w:rPr>
        <w:t>o. del presente estatuto se regirán por las disposiciones comerciales y civiles pertinentes, salvo en las materias particularmente reguladas en esta ley.</w:t>
      </w:r>
    </w:p>
    <w:p w:rsidRPr="00F807BA" w:rsidR="00037198" w:rsidP="00E20A7A" w:rsidRDefault="00037198" w14:paraId="3B95AC0B" w14:textId="77777777">
      <w:pPr>
        <w:pStyle w:val="NormalWeb"/>
        <w:spacing w:before="0" w:beforeAutospacing="0" w:after="0" w:afterAutospacing="0"/>
        <w:ind w:firstLine="709"/>
        <w:jc w:val="both"/>
        <w:rPr>
          <w:rFonts w:ascii="Arial" w:hAnsi="Arial" w:cs="Arial"/>
          <w:color w:val="000000" w:themeColor="text1"/>
          <w:sz w:val="19"/>
          <w:szCs w:val="19"/>
        </w:rPr>
      </w:pPr>
      <w:proofErr w:type="gramStart"/>
      <w:r w:rsidRPr="00F807BA">
        <w:rPr>
          <w:rFonts w:ascii="Arial" w:hAnsi="Arial" w:cs="Arial"/>
          <w:color w:val="000000" w:themeColor="text1"/>
          <w:sz w:val="19"/>
          <w:szCs w:val="19"/>
        </w:rPr>
        <w:t>»Los</w:t>
      </w:r>
      <w:proofErr w:type="gramEnd"/>
      <w:r w:rsidRPr="00F807BA">
        <w:rPr>
          <w:rFonts w:ascii="Arial" w:hAnsi="Arial" w:cs="Arial"/>
          <w:color w:val="000000" w:themeColor="text1"/>
          <w:sz w:val="19"/>
          <w:szCs w:val="19"/>
        </w:rPr>
        <w:t xml:space="preserve"> contratos celebrados en el exterior se podrán regir en su ejecución por las reglas del país en donde se hayan suscrito, a menos que deban cumplirse en Colombia»</w:t>
      </w:r>
    </w:p>
    <w:p w:rsidRPr="00F807BA" w:rsidR="00037198" w:rsidP="00E20A7A" w:rsidRDefault="00037198" w14:paraId="77F5F8D6" w14:textId="77777777">
      <w:pPr>
        <w:pStyle w:val="NormalWeb"/>
        <w:spacing w:before="0" w:beforeAutospacing="0" w:after="0" w:afterAutospacing="0"/>
        <w:ind w:firstLine="709"/>
        <w:jc w:val="both"/>
        <w:rPr>
          <w:rFonts w:ascii="Arial" w:hAnsi="Arial" w:cs="Arial"/>
          <w:color w:val="000000" w:themeColor="text1"/>
          <w:sz w:val="19"/>
          <w:szCs w:val="19"/>
        </w:rPr>
      </w:pPr>
      <w:proofErr w:type="gramStart"/>
      <w:r w:rsidRPr="00F807BA">
        <w:rPr>
          <w:rFonts w:ascii="Arial" w:hAnsi="Arial" w:cs="Arial"/>
          <w:color w:val="000000" w:themeColor="text1"/>
          <w:sz w:val="19"/>
          <w:szCs w:val="19"/>
        </w:rPr>
        <w:t>»Los</w:t>
      </w:r>
      <w:proofErr w:type="gramEnd"/>
      <w:r w:rsidRPr="00F807BA">
        <w:rPr>
          <w:rFonts w:ascii="Arial" w:hAnsi="Arial" w:cs="Arial"/>
          <w:color w:val="000000" w:themeColor="text1"/>
          <w:sz w:val="19"/>
          <w:szCs w:val="19"/>
        </w:rPr>
        <w:t xml:space="preserve"> contratos que se celebren en Colombia y deban ejecutarse o cumplirse en el extranjero, podrán someterse a la ley extranjera».</w:t>
      </w:r>
    </w:p>
  </w:footnote>
  <w:footnote w:id="28">
    <w:p w:rsidRPr="00F807BA" w:rsidR="00037198" w:rsidP="00E20A7A" w:rsidRDefault="00037198" w14:paraId="32581797" w14:textId="77777777">
      <w:pPr>
        <w:pStyle w:val="Textonotapie"/>
        <w:ind w:firstLine="709"/>
        <w:jc w:val="both"/>
        <w:rPr>
          <w:rFonts w:ascii="Arial" w:hAnsi="Arial" w:cs="Arial"/>
          <w:color w:val="000000" w:themeColor="text1"/>
          <w:sz w:val="19"/>
          <w:szCs w:val="19"/>
          <w:lang w:val="es-ES_tradnl"/>
        </w:rPr>
      </w:pPr>
      <w:r w:rsidRPr="00F807BA">
        <w:rPr>
          <w:rStyle w:val="Refdenotaalpie"/>
          <w:rFonts w:ascii="Arial" w:hAnsi="Arial" w:cs="Arial"/>
          <w:sz w:val="19"/>
          <w:szCs w:val="19"/>
        </w:rPr>
        <w:footnoteRef/>
      </w:r>
      <w:r w:rsidRPr="00F807BA">
        <w:rPr>
          <w:rFonts w:ascii="Arial" w:hAnsi="Arial" w:cs="Arial"/>
          <w:color w:val="000000" w:themeColor="text1"/>
          <w:sz w:val="19"/>
          <w:szCs w:val="19"/>
        </w:rPr>
        <w:t xml:space="preserve"> Consejo de Estado. Sección Tercera, Subsección C. Sentencia del 26 de noviembre de 2015. </w:t>
      </w:r>
      <w:proofErr w:type="spellStart"/>
      <w:r w:rsidRPr="00F807BA">
        <w:rPr>
          <w:rFonts w:ascii="Arial" w:hAnsi="Arial" w:cs="Arial"/>
          <w:color w:val="000000" w:themeColor="text1"/>
          <w:sz w:val="19"/>
          <w:szCs w:val="19"/>
          <w:lang w:val="es-ES_tradnl"/>
        </w:rPr>
        <w:t>Exp</w:t>
      </w:r>
      <w:proofErr w:type="spellEnd"/>
      <w:r w:rsidRPr="00F807BA">
        <w:rPr>
          <w:rFonts w:ascii="Arial" w:hAnsi="Arial" w:cs="Arial"/>
          <w:color w:val="000000" w:themeColor="text1"/>
          <w:sz w:val="19"/>
          <w:szCs w:val="19"/>
          <w:lang w:val="es-ES_tradnl"/>
        </w:rPr>
        <w:t xml:space="preserve">. </w:t>
      </w:r>
      <w:r w:rsidRPr="00F807BA">
        <w:rPr>
          <w:rFonts w:ascii="Arial" w:hAnsi="Arial" w:cs="Arial"/>
          <w:color w:val="000000" w:themeColor="text1"/>
          <w:sz w:val="19"/>
          <w:szCs w:val="19"/>
          <w:lang w:val="es-CO"/>
        </w:rPr>
        <w:t xml:space="preserve">54.069. C.P Jaime Orlando Santofimio Gamboa. </w:t>
      </w:r>
    </w:p>
  </w:footnote>
  <w:footnote w:id="29">
    <w:p w:rsidRPr="00F807BA" w:rsidR="00037198" w:rsidP="00E20A7A" w:rsidRDefault="00037198" w14:paraId="788DBA6B" w14:textId="77777777">
      <w:pPr>
        <w:pStyle w:val="Textonotapie"/>
        <w:ind w:firstLine="709"/>
        <w:jc w:val="both"/>
        <w:rPr>
          <w:rFonts w:ascii="Arial" w:hAnsi="Arial" w:cs="Arial"/>
          <w:color w:val="000000" w:themeColor="text1"/>
          <w:sz w:val="19"/>
          <w:szCs w:val="19"/>
          <w:lang w:eastAsia="es-CO"/>
        </w:rPr>
      </w:pPr>
      <w:r w:rsidRPr="00F807BA">
        <w:rPr>
          <w:rStyle w:val="Refdenotaalpie"/>
          <w:rFonts w:ascii="Arial" w:hAnsi="Arial" w:cs="Arial"/>
          <w:sz w:val="19"/>
          <w:szCs w:val="19"/>
        </w:rPr>
        <w:footnoteRef/>
      </w:r>
      <w:r w:rsidRPr="00F807BA">
        <w:rPr>
          <w:rFonts w:ascii="Arial" w:hAnsi="Arial" w:cs="Arial"/>
          <w:color w:val="000000" w:themeColor="text1"/>
          <w:sz w:val="19"/>
          <w:szCs w:val="19"/>
        </w:rPr>
        <w:t xml:space="preserve"> </w:t>
      </w:r>
      <w:r w:rsidRPr="00F807BA">
        <w:rPr>
          <w:rFonts w:ascii="Arial" w:hAnsi="Arial" w:cs="Arial"/>
          <w:color w:val="000000" w:themeColor="text1"/>
          <w:sz w:val="19"/>
          <w:szCs w:val="19"/>
          <w:lang w:eastAsia="es-CO"/>
        </w:rPr>
        <w:t>«Los contratos financiados con fondos de los organismos multilaterales de crédito o celebrados con personas extranjeras de derecho público u organismos de cooperación, asistencia o ayuda internacionales, podrán someterse a los reglamentos de tales entidades en todo lo relacionado con procedimientos de formación y adjudicación y cláusulas especiales de ejecución, cumplimiento, pago y ajustes». (Derogado por el artículo 32 de la Ley 1150 de 2007).</w:t>
      </w:r>
    </w:p>
  </w:footnote>
  <w:footnote w:id="30">
    <w:p w:rsidRPr="00F807BA" w:rsidR="00037198" w:rsidP="00E20A7A" w:rsidRDefault="00037198" w14:paraId="70358E68" w14:textId="77777777">
      <w:pPr>
        <w:pStyle w:val="NormalWeb"/>
        <w:spacing w:before="0" w:beforeAutospacing="0" w:after="0" w:afterAutospacing="0"/>
        <w:ind w:firstLine="709"/>
        <w:jc w:val="both"/>
        <w:rPr>
          <w:rFonts w:ascii="Arial" w:hAnsi="Arial" w:cs="Arial"/>
          <w:color w:val="000000" w:themeColor="text1"/>
          <w:sz w:val="19"/>
          <w:szCs w:val="19"/>
        </w:rPr>
      </w:pPr>
      <w:r w:rsidRPr="00F807BA">
        <w:rPr>
          <w:rStyle w:val="Refdenotaalpie"/>
          <w:rFonts w:ascii="Arial" w:hAnsi="Arial" w:cs="Arial"/>
          <w:sz w:val="19"/>
          <w:szCs w:val="19"/>
        </w:rPr>
        <w:footnoteRef/>
      </w:r>
      <w:r w:rsidRPr="00F807BA">
        <w:rPr>
          <w:rFonts w:ascii="Arial" w:hAnsi="Arial" w:cs="Arial"/>
          <w:color w:val="000000" w:themeColor="text1"/>
          <w:sz w:val="19"/>
          <w:szCs w:val="19"/>
        </w:rPr>
        <w:t xml:space="preserve"> Ley 1150 de 2007. «Artículo 20: Los contratos o convenios financiados en su totalidad o en sumas iguales o superiores al cincuenta por ciento (50%) con fondos de los organismos de cooperación, asistencia o ayudas internacionales, podrán someterse a los reglamentos de tales entidades. En caso contrario, se someterán a los procedimientos establecidos en la Ley de 1993. Los recursos de contrapartida vinculados a estas operaciones podrán tener el mismo tratamiento.</w:t>
      </w:r>
    </w:p>
    <w:p w:rsidRPr="00F807BA" w:rsidR="00037198" w:rsidP="00E20A7A" w:rsidRDefault="00037198" w14:paraId="51A52F94" w14:textId="77777777">
      <w:pPr>
        <w:pStyle w:val="NormalWeb"/>
        <w:spacing w:before="0" w:beforeAutospacing="0" w:after="0" w:afterAutospacing="0"/>
        <w:ind w:firstLine="709"/>
        <w:jc w:val="both"/>
        <w:rPr>
          <w:rFonts w:ascii="Arial" w:hAnsi="Arial" w:cs="Arial"/>
          <w:color w:val="000000" w:themeColor="text1"/>
          <w:sz w:val="19"/>
          <w:szCs w:val="19"/>
        </w:rPr>
      </w:pPr>
      <w:r w:rsidRPr="00F807BA">
        <w:rPr>
          <w:rFonts w:ascii="Arial" w:hAnsi="Arial" w:cs="Arial"/>
          <w:color w:val="000000" w:themeColor="text1"/>
          <w:sz w:val="19"/>
          <w:szCs w:val="19"/>
        </w:rPr>
        <w:t>»Los contratos o convenios celebrados con personas extranjeras de derecho público u organismos de derecho internacional cuyo objeto sea el desarrollo de programas de promoción, prevención y atención en salud; contratos y convenios necesarios para la operación de la OIT; contratos y convenios que se ejecuten en desarrollo del sistema integrado de monitoreo de cultivos ilícitos; contratos y convenios para la operación del programa mundial de alimentos; contratos y convenios para el desarrollo de programas de apoyo educativo a población desplazada y vulnerable adelantados por la Unesco y la OIM; los contratos o convenios financiados con fondos de los organismos multilaterales de crédito y entes gubernamentales extranjeros, podrán someterse a los reglamentos de tales entidades.</w:t>
      </w:r>
    </w:p>
    <w:p w:rsidRPr="00F807BA" w:rsidR="00037198" w:rsidP="00E20A7A" w:rsidRDefault="00037198" w14:paraId="491F2E16" w14:textId="77777777">
      <w:pPr>
        <w:pStyle w:val="NormalWeb"/>
        <w:spacing w:before="0" w:beforeAutospacing="0" w:after="0" w:afterAutospacing="0"/>
        <w:ind w:firstLine="709"/>
        <w:jc w:val="both"/>
        <w:rPr>
          <w:rFonts w:ascii="Arial" w:hAnsi="Arial" w:cs="Arial"/>
          <w:color w:val="000000" w:themeColor="text1"/>
          <w:sz w:val="19"/>
          <w:szCs w:val="19"/>
        </w:rPr>
      </w:pPr>
      <w:proofErr w:type="gramStart"/>
      <w:r w:rsidRPr="00F807BA">
        <w:rPr>
          <w:rFonts w:ascii="Arial" w:hAnsi="Arial" w:cs="Arial"/>
          <w:color w:val="000000" w:themeColor="text1"/>
          <w:sz w:val="19"/>
          <w:szCs w:val="19"/>
        </w:rPr>
        <w:t>»Las</w:t>
      </w:r>
      <w:proofErr w:type="gramEnd"/>
      <w:r w:rsidRPr="00F807BA">
        <w:rPr>
          <w:rFonts w:ascii="Arial" w:hAnsi="Arial" w:cs="Arial"/>
          <w:color w:val="000000" w:themeColor="text1"/>
          <w:sz w:val="19"/>
          <w:szCs w:val="19"/>
        </w:rPr>
        <w:t xml:space="preserve"> entidades estatales no podrán celebrar contratos o convenios para la administración o gerencia de sus recursos propios o de aquellos que les asignen los presupuestos públicos, con organismos de cooperación, asistencia o ayuda internacional.</w:t>
      </w:r>
    </w:p>
    <w:p w:rsidRPr="00F807BA" w:rsidR="00037198" w:rsidP="00E20A7A" w:rsidRDefault="00037198" w14:paraId="4C37DC5B" w14:textId="77777777">
      <w:pPr>
        <w:pStyle w:val="NormalWeb"/>
        <w:spacing w:before="0" w:beforeAutospacing="0" w:after="0" w:afterAutospacing="0"/>
        <w:ind w:firstLine="709"/>
        <w:jc w:val="both"/>
        <w:rPr>
          <w:rFonts w:ascii="Arial" w:hAnsi="Arial" w:cs="Arial"/>
          <w:color w:val="000000" w:themeColor="text1"/>
          <w:sz w:val="19"/>
          <w:szCs w:val="19"/>
        </w:rPr>
      </w:pPr>
      <w:proofErr w:type="gramStart"/>
      <w:r w:rsidRPr="00F807BA">
        <w:rPr>
          <w:rFonts w:ascii="Arial" w:hAnsi="Arial" w:cs="Arial"/>
          <w:color w:val="000000" w:themeColor="text1"/>
          <w:sz w:val="19"/>
          <w:szCs w:val="19"/>
        </w:rPr>
        <w:t>»</w:t>
      </w:r>
      <w:r w:rsidRPr="00F807BA">
        <w:rPr>
          <w:rStyle w:val="baj"/>
          <w:rFonts w:ascii="Arial" w:hAnsi="Arial" w:cs="Arial"/>
          <w:color w:val="000000" w:themeColor="text1"/>
          <w:sz w:val="19"/>
          <w:szCs w:val="19"/>
        </w:rPr>
        <w:t>PARÁGRAFO</w:t>
      </w:r>
      <w:proofErr w:type="gramEnd"/>
      <w:r w:rsidRPr="00F807BA">
        <w:rPr>
          <w:rStyle w:val="baj"/>
          <w:rFonts w:ascii="Arial" w:hAnsi="Arial" w:cs="Arial"/>
          <w:color w:val="000000" w:themeColor="text1"/>
          <w:sz w:val="19"/>
          <w:szCs w:val="19"/>
        </w:rPr>
        <w:t xml:space="preserve"> 1o.</w:t>
      </w:r>
      <w:r w:rsidRPr="00F807BA">
        <w:rPr>
          <w:rFonts w:ascii="Arial" w:hAnsi="Arial" w:cs="Arial"/>
          <w:color w:val="000000" w:themeColor="text1"/>
          <w:sz w:val="19"/>
          <w:szCs w:val="19"/>
        </w:rPr>
        <w:t xml:space="preserve"> Los contratos o acuerdos celebrados con personas extranjeras de derecho </w:t>
      </w:r>
      <w:proofErr w:type="gramStart"/>
      <w:r w:rsidRPr="00F807BA">
        <w:rPr>
          <w:rFonts w:ascii="Arial" w:hAnsi="Arial" w:cs="Arial"/>
          <w:color w:val="000000" w:themeColor="text1"/>
          <w:sz w:val="19"/>
          <w:szCs w:val="19"/>
        </w:rPr>
        <w:t>público,</w:t>
      </w:r>
      <w:proofErr w:type="gramEnd"/>
      <w:r w:rsidRPr="00F807BA">
        <w:rPr>
          <w:rFonts w:ascii="Arial" w:hAnsi="Arial" w:cs="Arial"/>
          <w:color w:val="000000" w:themeColor="text1"/>
          <w:sz w:val="19"/>
          <w:szCs w:val="19"/>
        </w:rPr>
        <w:t xml:space="preserve"> podrán someterse a las reglas de tales organismos.</w:t>
      </w:r>
    </w:p>
    <w:p w:rsidRPr="00F807BA" w:rsidR="00037198" w:rsidP="00E20A7A" w:rsidRDefault="00037198" w14:paraId="160D6B26" w14:textId="77777777">
      <w:pPr>
        <w:pStyle w:val="NormalWeb"/>
        <w:spacing w:before="0" w:beforeAutospacing="0" w:after="0" w:afterAutospacing="0"/>
        <w:ind w:firstLine="709"/>
        <w:jc w:val="both"/>
        <w:rPr>
          <w:rFonts w:ascii="Arial" w:hAnsi="Arial" w:cs="Arial"/>
          <w:color w:val="000000" w:themeColor="text1"/>
          <w:sz w:val="19"/>
          <w:szCs w:val="19"/>
        </w:rPr>
      </w:pPr>
      <w:proofErr w:type="gramStart"/>
      <w:r w:rsidRPr="00F807BA">
        <w:rPr>
          <w:rFonts w:ascii="Arial" w:hAnsi="Arial" w:cs="Arial"/>
          <w:color w:val="000000" w:themeColor="text1"/>
          <w:sz w:val="19"/>
          <w:szCs w:val="19"/>
        </w:rPr>
        <w:t>»</w:t>
      </w:r>
      <w:r w:rsidRPr="00F807BA">
        <w:rPr>
          <w:rStyle w:val="baj"/>
          <w:rFonts w:ascii="Arial" w:hAnsi="Arial" w:cs="Arial"/>
          <w:color w:val="000000" w:themeColor="text1"/>
          <w:sz w:val="19"/>
          <w:szCs w:val="19"/>
        </w:rPr>
        <w:t>PARÁGRAFO</w:t>
      </w:r>
      <w:proofErr w:type="gramEnd"/>
      <w:r w:rsidRPr="00F807BA">
        <w:rPr>
          <w:rStyle w:val="baj"/>
          <w:rFonts w:ascii="Arial" w:hAnsi="Arial" w:cs="Arial"/>
          <w:color w:val="000000" w:themeColor="text1"/>
          <w:sz w:val="19"/>
          <w:szCs w:val="19"/>
        </w:rPr>
        <w:t xml:space="preserve"> 2o.</w:t>
      </w:r>
      <w:r w:rsidRPr="00F807BA">
        <w:rPr>
          <w:rFonts w:ascii="Arial" w:hAnsi="Arial" w:cs="Arial"/>
          <w:color w:val="000000" w:themeColor="text1"/>
          <w:sz w:val="19"/>
          <w:szCs w:val="19"/>
        </w:rPr>
        <w:t xml:space="preserve"> Las entidades estatales tendrán la obligación de reportar la información a los organismos de control y al </w:t>
      </w:r>
      <w:proofErr w:type="spellStart"/>
      <w:r w:rsidRPr="00F807BA">
        <w:rPr>
          <w:rFonts w:ascii="Arial" w:hAnsi="Arial" w:cs="Arial"/>
          <w:color w:val="000000" w:themeColor="text1"/>
          <w:sz w:val="19"/>
          <w:szCs w:val="19"/>
        </w:rPr>
        <w:t>Secop</w:t>
      </w:r>
      <w:proofErr w:type="spellEnd"/>
      <w:r w:rsidRPr="00F807BA">
        <w:rPr>
          <w:rFonts w:ascii="Arial" w:hAnsi="Arial" w:cs="Arial"/>
          <w:color w:val="000000" w:themeColor="text1"/>
          <w:sz w:val="19"/>
          <w:szCs w:val="19"/>
        </w:rPr>
        <w:t xml:space="preserve"> relativa a la ejecución de los contratos a los que se refiere el presente artículo.</w:t>
      </w:r>
    </w:p>
    <w:p w:rsidRPr="00F807BA" w:rsidR="00037198" w:rsidP="00E20A7A" w:rsidRDefault="00037198" w14:paraId="1BD44D59" w14:textId="77777777">
      <w:pPr>
        <w:pStyle w:val="NormalWeb"/>
        <w:spacing w:before="0" w:beforeAutospacing="0" w:after="0" w:afterAutospacing="0"/>
        <w:ind w:firstLine="709"/>
        <w:jc w:val="both"/>
        <w:rPr>
          <w:rFonts w:ascii="Arial" w:hAnsi="Arial" w:cs="Arial"/>
          <w:color w:val="000000" w:themeColor="text1"/>
          <w:sz w:val="19"/>
          <w:szCs w:val="19"/>
        </w:rPr>
      </w:pPr>
      <w:proofErr w:type="gramStart"/>
      <w:r w:rsidRPr="00F807BA">
        <w:rPr>
          <w:rFonts w:ascii="Arial" w:hAnsi="Arial" w:cs="Arial"/>
          <w:color w:val="000000" w:themeColor="text1"/>
          <w:sz w:val="19"/>
          <w:szCs w:val="19"/>
        </w:rPr>
        <w:t>»</w:t>
      </w:r>
      <w:r w:rsidRPr="00F807BA">
        <w:rPr>
          <w:rStyle w:val="baj"/>
          <w:rFonts w:ascii="Arial" w:hAnsi="Arial" w:cs="Arial"/>
          <w:color w:val="000000" w:themeColor="text1"/>
          <w:sz w:val="19"/>
          <w:szCs w:val="19"/>
        </w:rPr>
        <w:t>PARÁGRAFO</w:t>
      </w:r>
      <w:proofErr w:type="gramEnd"/>
      <w:r w:rsidRPr="00F807BA">
        <w:rPr>
          <w:rStyle w:val="baj"/>
          <w:rFonts w:ascii="Arial" w:hAnsi="Arial" w:cs="Arial"/>
          <w:color w:val="000000" w:themeColor="text1"/>
          <w:sz w:val="19"/>
          <w:szCs w:val="19"/>
        </w:rPr>
        <w:t xml:space="preserve"> 3o.</w:t>
      </w:r>
      <w:r w:rsidRPr="00F807BA">
        <w:rPr>
          <w:rFonts w:ascii="Arial" w:hAnsi="Arial" w:cs="Arial"/>
          <w:color w:val="000000" w:themeColor="text1"/>
          <w:sz w:val="19"/>
          <w:szCs w:val="19"/>
        </w:rPr>
        <w:t> En todo Proyecto de cooperación que involucre recursos estatales se deberán cuantificar en moneda nacional, los aportes en especie de la entidad, organización o persona cooperante, así como los del ente nacional colombiano. Las contralorías ejercerán el control fiscal sobre los proyectos y contratos celebrados con organismos multilaterales».</w:t>
      </w:r>
    </w:p>
  </w:footnote>
  <w:footnote w:id="31">
    <w:p w:rsidRPr="00F807BA" w:rsidR="00037198" w:rsidP="00E20A7A" w:rsidRDefault="00037198" w14:paraId="3AA8202E" w14:textId="77777777">
      <w:pPr>
        <w:pStyle w:val="NormalWeb"/>
        <w:shd w:val="clear" w:color="auto" w:fill="FFFFFF"/>
        <w:spacing w:before="0" w:beforeAutospacing="0" w:after="0" w:afterAutospacing="0"/>
        <w:ind w:firstLine="709"/>
        <w:jc w:val="both"/>
        <w:rPr>
          <w:rFonts w:ascii="Arial" w:hAnsi="Arial" w:cs="Arial"/>
          <w:color w:val="000000" w:themeColor="text1"/>
          <w:sz w:val="19"/>
          <w:szCs w:val="19"/>
        </w:rPr>
      </w:pPr>
      <w:r w:rsidRPr="00F807BA">
        <w:rPr>
          <w:rStyle w:val="Refdenotaalpie"/>
          <w:rFonts w:ascii="Arial" w:hAnsi="Arial" w:cs="Arial"/>
          <w:sz w:val="19"/>
          <w:szCs w:val="19"/>
        </w:rPr>
        <w:footnoteRef/>
      </w:r>
      <w:r w:rsidRPr="00F807BA">
        <w:rPr>
          <w:rFonts w:ascii="Arial" w:hAnsi="Arial" w:cs="Arial"/>
          <w:color w:val="000000" w:themeColor="text1"/>
          <w:sz w:val="19"/>
          <w:szCs w:val="19"/>
        </w:rPr>
        <w:t xml:space="preserve"> Decreto 1082 de 2015. «Artículo </w:t>
      </w:r>
      <w:r w:rsidRPr="00F807BA">
        <w:rPr>
          <w:rStyle w:val="Textoennegrita"/>
          <w:rFonts w:ascii="Arial" w:hAnsi="Arial" w:cs="Arial"/>
          <w:color w:val="000000" w:themeColor="text1"/>
          <w:sz w:val="19"/>
          <w:szCs w:val="19"/>
        </w:rPr>
        <w:t>2.2.1.2.4.4.1. </w:t>
      </w:r>
      <w:r w:rsidRPr="00F807BA">
        <w:rPr>
          <w:rStyle w:val="nfasis"/>
          <w:rFonts w:ascii="Arial" w:hAnsi="Arial" w:cs="Arial"/>
          <w:color w:val="000000" w:themeColor="text1"/>
          <w:sz w:val="19"/>
          <w:szCs w:val="19"/>
        </w:rPr>
        <w:t>Régimen aplicable a los contratos o convenios de cooperación Internacional. </w:t>
      </w:r>
      <w:r w:rsidRPr="00F807BA">
        <w:rPr>
          <w:rFonts w:ascii="Arial" w:hAnsi="Arial" w:cs="Arial"/>
          <w:color w:val="000000" w:themeColor="text1"/>
          <w:sz w:val="19"/>
          <w:szCs w:val="19"/>
        </w:rPr>
        <w:t>Los contratos o convenios financiados en su totalidad o en sumas iguales o superiores al cincuenta por ciento (50%) con fondos de los organismos de cooperación, asistencia o ayudas internacionales, pueden someterse a los reglamentos de tales entidades incluidos los recursos de aporte de fuente nacional o sus equivalentes vinculados a estas operaciones en los acuerdos celebrados, o sus reglamentos, según el caso. En caso contrario, los contratos o convenios que se celebren en su totalidad o en sumas iguales o superiores al cincuenta por ciento (50%) con recursos de origen nacional se someterán al presente título.</w:t>
      </w:r>
    </w:p>
    <w:p w:rsidRPr="00F807BA" w:rsidR="00037198" w:rsidP="00E20A7A" w:rsidRDefault="00037198" w14:paraId="5EE75E2C" w14:textId="77777777">
      <w:pPr>
        <w:pStyle w:val="NormalWeb"/>
        <w:shd w:val="clear" w:color="auto" w:fill="FFFFFF"/>
        <w:spacing w:before="0" w:beforeAutospacing="0" w:after="0" w:afterAutospacing="0"/>
        <w:ind w:firstLine="709"/>
        <w:jc w:val="both"/>
        <w:rPr>
          <w:rFonts w:ascii="Arial" w:hAnsi="Arial" w:cs="Arial"/>
          <w:color w:val="000000" w:themeColor="text1"/>
          <w:sz w:val="19"/>
          <w:szCs w:val="19"/>
        </w:rPr>
      </w:pPr>
      <w:r w:rsidRPr="00F807BA">
        <w:rPr>
          <w:rFonts w:ascii="Arial" w:hAnsi="Arial" w:cs="Arial"/>
          <w:color w:val="000000" w:themeColor="text1"/>
          <w:sz w:val="19"/>
          <w:szCs w:val="19"/>
        </w:rPr>
        <w:t>»</w:t>
      </w:r>
      <w:r w:rsidRPr="00F807BA">
        <w:rPr>
          <w:rFonts w:ascii="Arial" w:hAnsi="Arial" w:cs="Arial"/>
          <w:i/>
          <w:iCs/>
          <w:color w:val="000000" w:themeColor="text1"/>
          <w:sz w:val="19"/>
          <w:szCs w:val="19"/>
        </w:rPr>
        <w:t>Si el aporte de fuente nacional o internacional de un contrato o convenio de cooperación internacional es modificado o los aportes no se ejecutan en los términos pactados, las Entidades Estatales deben modificar los contratos o convenios para efectos de que estos estén sujetos a las normas del sistema de compras y contratación pública, si el aporte de recursos públicos es superior al cincuenta por ciento (50%) del total o de las normas internas de la entidad de cooperación si el aporte es inferior</w:t>
      </w:r>
      <w:r w:rsidRPr="00F807BA">
        <w:rPr>
          <w:rFonts w:ascii="Arial" w:hAnsi="Arial" w:cs="Arial"/>
          <w:color w:val="000000" w:themeColor="text1"/>
          <w:sz w:val="19"/>
          <w:szCs w:val="19"/>
        </w:rPr>
        <w:t>.</w:t>
      </w:r>
    </w:p>
    <w:p w:rsidRPr="00F807BA" w:rsidR="00037198" w:rsidP="00E20A7A" w:rsidRDefault="00037198" w14:paraId="6D14B98A" w14:textId="77777777">
      <w:pPr>
        <w:pStyle w:val="NormalWeb"/>
        <w:shd w:val="clear" w:color="auto" w:fill="FFFFFF"/>
        <w:spacing w:before="0" w:beforeAutospacing="0" w:after="0" w:afterAutospacing="0"/>
        <w:ind w:firstLine="709"/>
        <w:jc w:val="both"/>
        <w:rPr>
          <w:rFonts w:ascii="Arial" w:hAnsi="Arial" w:cs="Arial"/>
          <w:color w:val="000000" w:themeColor="text1"/>
          <w:sz w:val="19"/>
          <w:szCs w:val="19"/>
        </w:rPr>
      </w:pPr>
      <w:proofErr w:type="gramStart"/>
      <w:r w:rsidRPr="00F807BA">
        <w:rPr>
          <w:rFonts w:ascii="Arial" w:hAnsi="Arial" w:cs="Arial"/>
          <w:color w:val="000000" w:themeColor="text1"/>
          <w:sz w:val="19"/>
          <w:szCs w:val="19"/>
        </w:rPr>
        <w:t>»Cuando</w:t>
      </w:r>
      <w:proofErr w:type="gramEnd"/>
      <w:r w:rsidRPr="00F807BA">
        <w:rPr>
          <w:rFonts w:ascii="Arial" w:hAnsi="Arial" w:cs="Arial"/>
          <w:color w:val="000000" w:themeColor="text1"/>
          <w:sz w:val="19"/>
          <w:szCs w:val="19"/>
        </w:rPr>
        <w:t xml:space="preserve"> la variación de la participación de los aportes de las partes es consecuencia de las fluctuaciones de la tasa de cambio de la moneda pactada en el convenio o contrato de cooperación internacional, este seguirá sometido a las reglas establecidas en el momento de su suscripción.</w:t>
      </w:r>
    </w:p>
    <w:p w:rsidRPr="00F807BA" w:rsidR="00037198" w:rsidP="00E20A7A" w:rsidRDefault="00037198" w14:paraId="4F1ED120" w14:textId="77777777">
      <w:pPr>
        <w:pStyle w:val="NormalWeb"/>
        <w:shd w:val="clear" w:color="auto" w:fill="FFFFFF"/>
        <w:spacing w:before="0" w:beforeAutospacing="0" w:after="0" w:afterAutospacing="0"/>
        <w:ind w:firstLine="709"/>
        <w:jc w:val="both"/>
        <w:rPr>
          <w:rFonts w:ascii="Arial" w:hAnsi="Arial" w:cs="Arial"/>
          <w:color w:val="000000" w:themeColor="text1"/>
          <w:sz w:val="19"/>
          <w:szCs w:val="19"/>
        </w:rPr>
      </w:pPr>
      <w:proofErr w:type="gramStart"/>
      <w:r w:rsidRPr="00F807BA">
        <w:rPr>
          <w:rFonts w:ascii="Arial" w:hAnsi="Arial" w:cs="Arial"/>
          <w:color w:val="000000" w:themeColor="text1"/>
          <w:sz w:val="19"/>
          <w:szCs w:val="19"/>
        </w:rPr>
        <w:t>»Los</w:t>
      </w:r>
      <w:proofErr w:type="gramEnd"/>
      <w:r w:rsidRPr="00F807BA">
        <w:rPr>
          <w:rFonts w:ascii="Arial" w:hAnsi="Arial" w:cs="Arial"/>
          <w:color w:val="000000" w:themeColor="text1"/>
          <w:sz w:val="19"/>
          <w:szCs w:val="19"/>
        </w:rPr>
        <w:t xml:space="preserve"> recursos generados en desarrollo de los contratos o convenios financiados con fondos de los organismos de cooperación, asistencia o ayudas internacionales no deben ser tenidos en cuenta para determinar los porcentajes de los aportes de las partes». (Cursiva fuera del original).</w:t>
      </w:r>
    </w:p>
    <w:p w:rsidRPr="00F807BA" w:rsidR="00037198" w:rsidP="00E20A7A" w:rsidRDefault="00037198" w14:paraId="6C49AB56" w14:textId="77777777">
      <w:pPr>
        <w:pStyle w:val="NormalWeb"/>
        <w:shd w:val="clear" w:color="auto" w:fill="FFFFFF"/>
        <w:spacing w:before="0" w:beforeAutospacing="0" w:after="0" w:afterAutospacing="0"/>
        <w:ind w:firstLine="709"/>
        <w:jc w:val="both"/>
        <w:rPr>
          <w:rFonts w:ascii="Arial" w:hAnsi="Arial" w:cs="Arial"/>
          <w:color w:val="000000" w:themeColor="text1"/>
          <w:sz w:val="19"/>
          <w:szCs w:val="19"/>
        </w:rPr>
      </w:pPr>
      <w:r w:rsidRPr="00F807BA">
        <w:rPr>
          <w:rFonts w:ascii="Arial" w:hAnsi="Arial" w:cs="Arial"/>
          <w:color w:val="000000" w:themeColor="text1"/>
          <w:sz w:val="19"/>
          <w:szCs w:val="19"/>
        </w:rPr>
        <w:t>»Los contratos o convenios financiados con fondos de los organismos multilaterales de crédito, entes gubernamentales extranjeros o personas extranjeras de derecho público, así como aquellos a los que se refiere el inciso 2 del artículo 20 de la </w:t>
      </w:r>
      <w:hyperlink w:history="1" r:id="rId2">
        <w:r w:rsidRPr="00F807BA">
          <w:rPr>
            <w:rStyle w:val="Hipervnculo"/>
            <w:rFonts w:ascii="Arial" w:hAnsi="Arial" w:cs="Arial"/>
            <w:color w:val="000000" w:themeColor="text1"/>
            <w:sz w:val="19"/>
            <w:szCs w:val="19"/>
          </w:rPr>
          <w:t>Ley 1150 de 2007</w:t>
        </w:r>
      </w:hyperlink>
      <w:r w:rsidRPr="00F807BA">
        <w:rPr>
          <w:rFonts w:ascii="Arial" w:hAnsi="Arial" w:cs="Arial"/>
          <w:color w:val="000000" w:themeColor="text1"/>
          <w:sz w:val="19"/>
          <w:szCs w:val="19"/>
        </w:rPr>
        <w:t>, se ejecutarán de conformidad con lo establecido en los tratados internacionales marco y complementarios, y en los convenios celebrados, o sus reglamentos, según sea el caso, incluidos los recursos de aporte de fuente nacional o sus equivalentes vinculados a tales operaciones en dichos documentos, sin que a ellos le sea aplicable el porcentaje señalado en el inciso primero del artículo 20 de la</w:t>
      </w:r>
      <w:hyperlink w:history="1" r:id="rId3">
        <w:r w:rsidRPr="00F807BA">
          <w:rPr>
            <w:rStyle w:val="Hipervnculo"/>
            <w:rFonts w:ascii="Arial" w:hAnsi="Arial" w:cs="Arial"/>
            <w:color w:val="000000" w:themeColor="text1"/>
            <w:sz w:val="19"/>
            <w:szCs w:val="19"/>
          </w:rPr>
          <w:t> Ley 1150 de 2007</w:t>
        </w:r>
      </w:hyperlink>
      <w:r w:rsidRPr="00F807BA">
        <w:rPr>
          <w:rFonts w:ascii="Arial" w:hAnsi="Arial" w:cs="Arial"/>
          <w:color w:val="000000" w:themeColor="text1"/>
          <w:sz w:val="19"/>
          <w:szCs w:val="19"/>
        </w:rPr>
        <w:t>.</w:t>
      </w:r>
    </w:p>
    <w:p w:rsidRPr="00F807BA" w:rsidR="00037198" w:rsidP="00E20A7A" w:rsidRDefault="00037198" w14:paraId="613F05F7" w14:textId="77777777">
      <w:pPr>
        <w:pStyle w:val="NormalWeb"/>
        <w:shd w:val="clear" w:color="auto" w:fill="FFFFFF"/>
        <w:spacing w:before="0" w:beforeAutospacing="0" w:after="0" w:afterAutospacing="0"/>
        <w:ind w:firstLine="709"/>
        <w:jc w:val="both"/>
        <w:rPr>
          <w:rFonts w:ascii="Arial" w:hAnsi="Arial" w:cs="Arial"/>
          <w:color w:val="000000" w:themeColor="text1"/>
          <w:sz w:val="19"/>
          <w:szCs w:val="19"/>
        </w:rPr>
      </w:pPr>
      <w:proofErr w:type="gramStart"/>
      <w:r w:rsidRPr="00F807BA">
        <w:rPr>
          <w:rFonts w:ascii="Arial" w:hAnsi="Arial" w:cs="Arial"/>
          <w:color w:val="000000" w:themeColor="text1"/>
          <w:sz w:val="19"/>
          <w:szCs w:val="19"/>
        </w:rPr>
        <w:t>»Los</w:t>
      </w:r>
      <w:proofErr w:type="gramEnd"/>
      <w:r w:rsidRPr="00F807BA">
        <w:rPr>
          <w:rFonts w:ascii="Arial" w:hAnsi="Arial" w:cs="Arial"/>
          <w:color w:val="000000" w:themeColor="text1"/>
          <w:sz w:val="19"/>
          <w:szCs w:val="19"/>
        </w:rPr>
        <w:t xml:space="preserve"> contratos con personas extranjeras de derecho público se deben celebrar y ejecutar según se acuerde entre las partes».</w:t>
      </w:r>
    </w:p>
  </w:footnote>
  <w:footnote w:id="32">
    <w:p w:rsidRPr="00613065" w:rsidR="00B76577" w:rsidP="00B76577" w:rsidRDefault="00B76577" w14:paraId="13617154" w14:textId="103358DB">
      <w:pPr>
        <w:pStyle w:val="NormalWeb"/>
        <w:shd w:val="clear" w:color="auto" w:fill="FFFFFF"/>
        <w:spacing w:before="0" w:beforeAutospacing="0" w:after="0" w:afterAutospacing="0"/>
        <w:ind w:firstLine="709"/>
        <w:jc w:val="both"/>
        <w:rPr>
          <w:rFonts w:ascii="Arial" w:hAnsi="Arial" w:cs="Arial"/>
          <w:color w:val="000000" w:themeColor="text1"/>
          <w:sz w:val="19"/>
          <w:szCs w:val="19"/>
        </w:rPr>
      </w:pPr>
      <w:r w:rsidRPr="00344D3C">
        <w:rPr>
          <w:rStyle w:val="Refdenotaalpie"/>
          <w:rFonts w:asciiTheme="minorBidi" w:hAnsiTheme="minorBidi" w:cstheme="minorBidi"/>
          <w:sz w:val="19"/>
          <w:szCs w:val="19"/>
        </w:rPr>
        <w:footnoteRef/>
      </w:r>
      <w:r w:rsidRPr="00344D3C">
        <w:rPr>
          <w:rFonts w:asciiTheme="minorBidi" w:hAnsiTheme="minorBidi" w:cstheme="minorBidi"/>
          <w:sz w:val="19"/>
          <w:szCs w:val="19"/>
        </w:rPr>
        <w:t xml:space="preserve"> </w:t>
      </w:r>
      <w:r w:rsidRPr="00613065">
        <w:rPr>
          <w:rFonts w:ascii="Arial" w:hAnsi="Arial" w:cs="Arial"/>
          <w:color w:val="000000" w:themeColor="text1"/>
          <w:sz w:val="19"/>
          <w:szCs w:val="19"/>
        </w:rPr>
        <w:t>En otros apartes del Concepto C</w:t>
      </w:r>
      <w:r>
        <w:rPr>
          <w:rFonts w:ascii="Arial" w:hAnsi="Arial" w:cs="Arial"/>
          <w:color w:val="000000" w:themeColor="text1"/>
          <w:sz w:val="19"/>
          <w:szCs w:val="19"/>
        </w:rPr>
        <w:t>U</w:t>
      </w:r>
      <w:r w:rsidRPr="00613065">
        <w:rPr>
          <w:rFonts w:ascii="Arial" w:hAnsi="Arial" w:cs="Arial"/>
          <w:color w:val="000000" w:themeColor="text1"/>
          <w:sz w:val="19"/>
          <w:szCs w:val="19"/>
        </w:rPr>
        <w:t xml:space="preserve">-180 del 8 de abril de 2022 se sintetizó la postura de unificación en los siguientes términos: </w:t>
      </w:r>
      <w:r>
        <w:rPr>
          <w:rFonts w:ascii="Arial" w:hAnsi="Arial" w:cs="Arial"/>
          <w:color w:val="000000" w:themeColor="text1"/>
          <w:sz w:val="19"/>
          <w:szCs w:val="19"/>
        </w:rPr>
        <w:t>«</w:t>
      </w:r>
      <w:r w:rsidRPr="00613065">
        <w:rPr>
          <w:rFonts w:ascii="Arial" w:hAnsi="Arial" w:cs="Arial"/>
          <w:color w:val="000000" w:themeColor="text1"/>
          <w:sz w:val="19"/>
          <w:szCs w:val="19"/>
        </w:rPr>
        <w:t xml:space="preserve">En este orden de ideas, esta Subdirección unifica su criterio en torno a la aplicación de la prohibición del artículo 33 de la Ley de Garantías Electorales, en el sentido de que, cuando una entidad pública con fundamento en el artículo 20 de la Ley 1150 de 2007 acuerde la aplicación del reglamento del organismo internacional, de la persona pública extranjera o del organismo de asistencia, ayuda o cooperación internacional, se deberá precisar en el respectivo contrato o convenio el alcance de tal variación de régimen y si ello implica acoger la totalidad de las normas del reglamento extranjero o si, por el contrario, solo se aplicarán ciertos aspectos en él regulados. </w:t>
      </w:r>
    </w:p>
    <w:p w:rsidRPr="00613065" w:rsidR="00B76577" w:rsidP="00B76577" w:rsidRDefault="00B76577" w14:paraId="1C4570FE" w14:textId="77777777">
      <w:pPr>
        <w:pStyle w:val="NormalWeb"/>
        <w:shd w:val="clear" w:color="auto" w:fill="FFFFFF"/>
        <w:spacing w:before="0" w:beforeAutospacing="0" w:after="0" w:afterAutospacing="0"/>
        <w:ind w:firstLine="709"/>
        <w:jc w:val="both"/>
        <w:rPr>
          <w:rFonts w:ascii="Arial" w:hAnsi="Arial" w:cs="Arial"/>
          <w:color w:val="000000" w:themeColor="text1"/>
          <w:sz w:val="19"/>
          <w:szCs w:val="19"/>
        </w:rPr>
      </w:pPr>
      <w:proofErr w:type="gramStart"/>
      <w:r>
        <w:rPr>
          <w:rFonts w:ascii="Arial" w:hAnsi="Arial" w:cs="Arial"/>
          <w:color w:val="000000" w:themeColor="text1"/>
          <w:sz w:val="19"/>
          <w:szCs w:val="19"/>
        </w:rPr>
        <w:t>»</w:t>
      </w:r>
      <w:r w:rsidRPr="00613065">
        <w:rPr>
          <w:rFonts w:ascii="Arial" w:hAnsi="Arial" w:cs="Arial"/>
          <w:color w:val="000000" w:themeColor="text1"/>
          <w:sz w:val="19"/>
          <w:szCs w:val="19"/>
        </w:rPr>
        <w:t>En</w:t>
      </w:r>
      <w:proofErr w:type="gramEnd"/>
      <w:r w:rsidRPr="00613065">
        <w:rPr>
          <w:rFonts w:ascii="Arial" w:hAnsi="Arial" w:cs="Arial"/>
          <w:color w:val="000000" w:themeColor="text1"/>
          <w:sz w:val="19"/>
          <w:szCs w:val="19"/>
        </w:rPr>
        <w:t xml:space="preserve"> uno y otro caso, si el reglamento del organismo o sujeto internacional que las partes han convenido en aplicar regula todo lo relacionado con el procedimiento de selección de contratistas y las oportunidades para que sea realizado, la prohibición para contratar directamente establecida en el artículo 33 de la Ley de Garantías Electorales no será derecho aplicable al convenio o contrato y sus derivados. Por el contrario, si el convenio en el que se varíe el régimen normativo toca aspectos o etapas distintas al procedimiento para la selección del contratista, la prohibición del artículo 33 de la Ley de Garantías Electorales sí será derecho aplicable a la actividad contractual</w:t>
      </w:r>
      <w:r>
        <w:rPr>
          <w:rFonts w:ascii="Arial" w:hAnsi="Arial" w:cs="Arial"/>
          <w:color w:val="000000" w:themeColor="text1"/>
          <w:sz w:val="19"/>
          <w:szCs w:val="19"/>
        </w:rPr>
        <w:t>»</w:t>
      </w:r>
      <w:r w:rsidRPr="00613065">
        <w:rPr>
          <w:rFonts w:ascii="Arial" w:hAnsi="Arial" w:cs="Arial"/>
          <w:color w:val="000000" w:themeColor="text1"/>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E2520A" w:rsidRDefault="00E2520A" w14:paraId="6520770B" w14:textId="7847B1C0">
    <w:pPr>
      <w:pStyle w:val="Encabezado"/>
    </w:pPr>
  </w:p>
  <w:p w:rsidR="00E2520A" w:rsidRDefault="0089572F" w14:paraId="2A80E31D" w14:textId="3F4DC003">
    <w:r>
      <w:rPr>
        <w:noProof/>
      </w:rPr>
      <w:drawing>
        <wp:anchor distT="0" distB="0" distL="114300" distR="114300" simplePos="0" relativeHeight="251659264" behindDoc="0" locked="0" layoutInCell="1" allowOverlap="1" wp14:anchorId="161214BD" wp14:editId="2F96D3A4">
          <wp:simplePos x="0" y="0"/>
          <wp:positionH relativeFrom="column">
            <wp:posOffset>2390775</wp:posOffset>
          </wp:positionH>
          <wp:positionV relativeFrom="paragraph">
            <wp:posOffset>117475</wp:posOffset>
          </wp:positionV>
          <wp:extent cx="3157855" cy="713105"/>
          <wp:effectExtent l="0" t="0" r="4445" b="0"/>
          <wp:wrapNone/>
          <wp:docPr id="2" name="Imagen 2"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con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57855" cy="713105"/>
                  </a:xfrm>
                  <a:prstGeom prst="rect">
                    <a:avLst/>
                  </a:prstGeom>
                  <a:noFill/>
                </pic:spPr>
              </pic:pic>
            </a:graphicData>
          </a:graphic>
        </wp:anchor>
      </w:drawing>
    </w:r>
  </w:p>
  <w:p w:rsidR="00E2520A" w:rsidRDefault="00E2520A" w14:paraId="5DBE9C96" w14:textId="3CBD255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51AD"/>
    <w:multiLevelType w:val="hybridMultilevel"/>
    <w:tmpl w:val="BA722234"/>
    <w:lvl w:ilvl="0" w:tplc="1D4060DE">
      <w:start w:val="1"/>
      <w:numFmt w:val="decimal"/>
      <w:pStyle w:val="Capitulo8"/>
      <w:lvlText w:val="8.%1."/>
      <w:lvlJc w:val="left"/>
      <w:pPr>
        <w:ind w:left="1004" w:hanging="360"/>
      </w:pPr>
    </w:lvl>
    <w:lvl w:ilvl="1" w:tplc="240A0019">
      <w:start w:val="1"/>
      <w:numFmt w:val="lowerLetter"/>
      <w:lvlText w:val="%2."/>
      <w:lvlJc w:val="left"/>
      <w:pPr>
        <w:ind w:left="1724" w:hanging="360"/>
      </w:pPr>
    </w:lvl>
    <w:lvl w:ilvl="2" w:tplc="240A001B">
      <w:start w:val="1"/>
      <w:numFmt w:val="lowerRoman"/>
      <w:lvlText w:val="%3."/>
      <w:lvlJc w:val="right"/>
      <w:pPr>
        <w:ind w:left="2444" w:hanging="180"/>
      </w:pPr>
    </w:lvl>
    <w:lvl w:ilvl="3" w:tplc="240A000F">
      <w:start w:val="1"/>
      <w:numFmt w:val="decimal"/>
      <w:lvlText w:val="%4."/>
      <w:lvlJc w:val="left"/>
      <w:pPr>
        <w:ind w:left="3164" w:hanging="360"/>
      </w:pPr>
    </w:lvl>
    <w:lvl w:ilvl="4" w:tplc="240A0019">
      <w:start w:val="1"/>
      <w:numFmt w:val="lowerLetter"/>
      <w:lvlText w:val="%5."/>
      <w:lvlJc w:val="left"/>
      <w:pPr>
        <w:ind w:left="3884" w:hanging="360"/>
      </w:pPr>
    </w:lvl>
    <w:lvl w:ilvl="5" w:tplc="240A001B">
      <w:start w:val="1"/>
      <w:numFmt w:val="lowerRoman"/>
      <w:lvlText w:val="%6."/>
      <w:lvlJc w:val="right"/>
      <w:pPr>
        <w:ind w:left="4604" w:hanging="180"/>
      </w:pPr>
    </w:lvl>
    <w:lvl w:ilvl="6" w:tplc="240A000F">
      <w:start w:val="1"/>
      <w:numFmt w:val="decimal"/>
      <w:lvlText w:val="%7."/>
      <w:lvlJc w:val="left"/>
      <w:pPr>
        <w:ind w:left="5324" w:hanging="360"/>
      </w:pPr>
    </w:lvl>
    <w:lvl w:ilvl="7" w:tplc="240A0019">
      <w:start w:val="1"/>
      <w:numFmt w:val="lowerLetter"/>
      <w:lvlText w:val="%8."/>
      <w:lvlJc w:val="left"/>
      <w:pPr>
        <w:ind w:left="6044" w:hanging="360"/>
      </w:pPr>
    </w:lvl>
    <w:lvl w:ilvl="8" w:tplc="240A001B">
      <w:start w:val="1"/>
      <w:numFmt w:val="lowerRoman"/>
      <w:lvlText w:val="%9."/>
      <w:lvlJc w:val="right"/>
      <w:pPr>
        <w:ind w:left="6764" w:hanging="180"/>
      </w:pPr>
    </w:lvl>
  </w:abstractNum>
  <w:abstractNum w:abstractNumId="1" w15:restartNumberingAfterBreak="0">
    <w:nsid w:val="00BB42F9"/>
    <w:multiLevelType w:val="hybridMultilevel"/>
    <w:tmpl w:val="F52E878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4" w15:restartNumberingAfterBreak="0">
    <w:nsid w:val="09540ACA"/>
    <w:multiLevelType w:val="hybridMultilevel"/>
    <w:tmpl w:val="57327B6C"/>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5" w15:restartNumberingAfterBreak="0">
    <w:nsid w:val="0D827428"/>
    <w:multiLevelType w:val="hybridMultilevel"/>
    <w:tmpl w:val="C5828120"/>
    <w:lvl w:ilvl="0" w:tplc="0C0A0001">
      <w:start w:val="1"/>
      <w:numFmt w:val="bullet"/>
      <w:lvlText w:val=""/>
      <w:lvlJc w:val="left"/>
      <w:pPr>
        <w:ind w:left="720" w:hanging="360"/>
      </w:pPr>
      <w:rPr>
        <w:rFonts w:hint="default" w:ascii="Symbol" w:hAnsi="Symbol"/>
      </w:rPr>
    </w:lvl>
    <w:lvl w:ilvl="1" w:tplc="0C0A0003">
      <w:start w:val="1"/>
      <w:numFmt w:val="bullet"/>
      <w:lvlText w:val="o"/>
      <w:lvlJc w:val="left"/>
      <w:pPr>
        <w:ind w:left="1440" w:hanging="360"/>
      </w:pPr>
      <w:rPr>
        <w:rFonts w:hint="default" w:ascii="Courier New" w:hAnsi="Courier New" w:cs="Courier New"/>
      </w:rPr>
    </w:lvl>
    <w:lvl w:ilvl="2" w:tplc="0C0A0005">
      <w:start w:val="1"/>
      <w:numFmt w:val="bullet"/>
      <w:lvlText w:val=""/>
      <w:lvlJc w:val="left"/>
      <w:pPr>
        <w:ind w:left="2160" w:hanging="360"/>
      </w:pPr>
      <w:rPr>
        <w:rFonts w:hint="default" w:ascii="Wingdings" w:hAnsi="Wingdings"/>
      </w:rPr>
    </w:lvl>
    <w:lvl w:ilvl="3" w:tplc="0C0A0001">
      <w:start w:val="1"/>
      <w:numFmt w:val="bullet"/>
      <w:lvlText w:val=""/>
      <w:lvlJc w:val="left"/>
      <w:pPr>
        <w:ind w:left="2880" w:hanging="360"/>
      </w:pPr>
      <w:rPr>
        <w:rFonts w:hint="default" w:ascii="Symbol" w:hAnsi="Symbol"/>
      </w:rPr>
    </w:lvl>
    <w:lvl w:ilvl="4" w:tplc="0C0A0003">
      <w:start w:val="1"/>
      <w:numFmt w:val="bullet"/>
      <w:lvlText w:val="o"/>
      <w:lvlJc w:val="left"/>
      <w:pPr>
        <w:ind w:left="3600" w:hanging="360"/>
      </w:pPr>
      <w:rPr>
        <w:rFonts w:hint="default" w:ascii="Courier New" w:hAnsi="Courier New" w:cs="Courier New"/>
      </w:rPr>
    </w:lvl>
    <w:lvl w:ilvl="5" w:tplc="0C0A0005">
      <w:start w:val="1"/>
      <w:numFmt w:val="bullet"/>
      <w:lvlText w:val=""/>
      <w:lvlJc w:val="left"/>
      <w:pPr>
        <w:ind w:left="4320" w:hanging="360"/>
      </w:pPr>
      <w:rPr>
        <w:rFonts w:hint="default" w:ascii="Wingdings" w:hAnsi="Wingdings"/>
      </w:rPr>
    </w:lvl>
    <w:lvl w:ilvl="6" w:tplc="0C0A0001">
      <w:start w:val="1"/>
      <w:numFmt w:val="bullet"/>
      <w:lvlText w:val=""/>
      <w:lvlJc w:val="left"/>
      <w:pPr>
        <w:ind w:left="5040" w:hanging="360"/>
      </w:pPr>
      <w:rPr>
        <w:rFonts w:hint="default" w:ascii="Symbol" w:hAnsi="Symbol"/>
      </w:rPr>
    </w:lvl>
    <w:lvl w:ilvl="7" w:tplc="0C0A0003">
      <w:start w:val="1"/>
      <w:numFmt w:val="bullet"/>
      <w:lvlText w:val="o"/>
      <w:lvlJc w:val="left"/>
      <w:pPr>
        <w:ind w:left="5760" w:hanging="360"/>
      </w:pPr>
      <w:rPr>
        <w:rFonts w:hint="default" w:ascii="Courier New" w:hAnsi="Courier New" w:cs="Courier New"/>
      </w:rPr>
    </w:lvl>
    <w:lvl w:ilvl="8" w:tplc="0C0A0005">
      <w:start w:val="1"/>
      <w:numFmt w:val="bullet"/>
      <w:lvlText w:val=""/>
      <w:lvlJc w:val="left"/>
      <w:pPr>
        <w:ind w:left="6480" w:hanging="360"/>
      </w:pPr>
      <w:rPr>
        <w:rFonts w:hint="default" w:ascii="Wingdings" w:hAnsi="Wingdings"/>
      </w:rPr>
    </w:lvl>
  </w:abstractNum>
  <w:abstractNum w:abstractNumId="6"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7"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8"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2A53DDF"/>
    <w:multiLevelType w:val="multilevel"/>
    <w:tmpl w:val="A99C5180"/>
    <w:lvl w:ilvl="0">
      <w:start w:val="1"/>
      <w:numFmt w:val="decimal"/>
      <w:lvlText w:val="%1."/>
      <w:lvlJc w:val="left"/>
      <w:pPr>
        <w:ind w:left="660" w:hanging="360"/>
      </w:pPr>
      <w:rPr>
        <w:rFonts w:hint="default" w:ascii="Arial" w:hAnsi="Arial" w:eastAsia="Arial" w:cs="Arial"/>
        <w:b/>
        <w:bCs/>
        <w:color w:val="auto"/>
        <w:spacing w:val="-8"/>
        <w:w w:val="100"/>
        <w:sz w:val="22"/>
        <w:szCs w:val="22"/>
        <w:lang w:val="es-ES" w:eastAsia="en-US" w:bidi="ar-SA"/>
      </w:rPr>
    </w:lvl>
    <w:lvl w:ilvl="1">
      <w:start w:val="1"/>
      <w:numFmt w:val="decimal"/>
      <w:lvlText w:val="%1.%2"/>
      <w:lvlJc w:val="left"/>
      <w:pPr>
        <w:ind w:left="665" w:hanging="365"/>
      </w:pPr>
      <w:rPr>
        <w:rFonts w:hint="default" w:ascii="Arial" w:hAnsi="Arial" w:eastAsia="Arial" w:cs="Arial"/>
        <w:b/>
        <w:bCs/>
        <w:color w:val="auto"/>
        <w:spacing w:val="-1"/>
        <w:w w:val="100"/>
        <w:sz w:val="22"/>
        <w:szCs w:val="22"/>
        <w:lang w:val="es-ES" w:eastAsia="en-US" w:bidi="ar-SA"/>
      </w:rPr>
    </w:lvl>
    <w:lvl w:ilvl="2">
      <w:start w:val="1"/>
      <w:numFmt w:val="decimal"/>
      <w:lvlText w:val="%3)"/>
      <w:lvlJc w:val="left"/>
      <w:pPr>
        <w:ind w:left="1008" w:hanging="265"/>
      </w:pPr>
      <w:rPr>
        <w:rFonts w:hint="default" w:ascii="Arial" w:hAnsi="Arial" w:eastAsia="Arial" w:cs="Arial"/>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1" w15:restartNumberingAfterBreak="0">
    <w:nsid w:val="2D7C35A2"/>
    <w:multiLevelType w:val="hybridMultilevel"/>
    <w:tmpl w:val="7B68B14E"/>
    <w:lvl w:ilvl="0" w:tplc="7378467C">
      <w:start w:val="1"/>
      <w:numFmt w:val="bullet"/>
      <w:lvlText w:val="•"/>
      <w:lvlJc w:val="left"/>
      <w:pPr>
        <w:ind w:left="7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7AC2FC80">
      <w:start w:val="1"/>
      <w:numFmt w:val="bullet"/>
      <w:lvlText w:val="o"/>
      <w:lvlJc w:val="left"/>
      <w:pPr>
        <w:ind w:left="144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63C62768">
      <w:start w:val="1"/>
      <w:numFmt w:val="bullet"/>
      <w:lvlText w:val="▪"/>
      <w:lvlJc w:val="left"/>
      <w:pPr>
        <w:ind w:left="216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41D630EC">
      <w:start w:val="1"/>
      <w:numFmt w:val="bullet"/>
      <w:lvlText w:val="•"/>
      <w:lvlJc w:val="left"/>
      <w:pPr>
        <w:ind w:left="28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3020B4C8">
      <w:start w:val="1"/>
      <w:numFmt w:val="bullet"/>
      <w:lvlText w:val="o"/>
      <w:lvlJc w:val="left"/>
      <w:pPr>
        <w:ind w:left="360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E438D320">
      <w:start w:val="1"/>
      <w:numFmt w:val="bullet"/>
      <w:lvlText w:val="▪"/>
      <w:lvlJc w:val="left"/>
      <w:pPr>
        <w:ind w:left="432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307EE0A8">
      <w:start w:val="1"/>
      <w:numFmt w:val="bullet"/>
      <w:lvlText w:val="•"/>
      <w:lvlJc w:val="left"/>
      <w:pPr>
        <w:ind w:left="50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247C1F5E">
      <w:start w:val="1"/>
      <w:numFmt w:val="bullet"/>
      <w:lvlText w:val="o"/>
      <w:lvlJc w:val="left"/>
      <w:pPr>
        <w:ind w:left="576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A590EF86">
      <w:start w:val="1"/>
      <w:numFmt w:val="bullet"/>
      <w:lvlText w:val="▪"/>
      <w:lvlJc w:val="left"/>
      <w:pPr>
        <w:ind w:left="648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12"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2EDC5E4E"/>
    <w:multiLevelType w:val="hybridMultilevel"/>
    <w:tmpl w:val="B32A09AC"/>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4"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5"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1B41044"/>
    <w:multiLevelType w:val="hybrid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17" w15:restartNumberingAfterBreak="0">
    <w:nsid w:val="35221FE2"/>
    <w:multiLevelType w:val="hybridMultilevel"/>
    <w:tmpl w:val="D9B8E20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9" w15:restartNumberingAfterBreak="0">
    <w:nsid w:val="38042E47"/>
    <w:multiLevelType w:val="hybridMultilevel"/>
    <w:tmpl w:val="E162306E"/>
    <w:lvl w:ilvl="0" w:tplc="D248C2F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2D93A5B"/>
    <w:multiLevelType w:val="hybridMultilevel"/>
    <w:tmpl w:val="24AADE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24"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4CB8710A"/>
    <w:multiLevelType w:val="hybridMultilevel"/>
    <w:tmpl w:val="8F52BE52"/>
    <w:lvl w:ilvl="0" w:tplc="A172173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6" w15:restartNumberingAfterBreak="0">
    <w:nsid w:val="50324192"/>
    <w:multiLevelType w:val="hybridMultilevel"/>
    <w:tmpl w:val="B3FC81D8"/>
    <w:lvl w:ilvl="0" w:tplc="33FA551E">
      <w:start w:val="3"/>
      <w:numFmt w:val="bullet"/>
      <w:lvlText w:val="-"/>
      <w:lvlJc w:val="left"/>
      <w:pPr>
        <w:ind w:left="3054" w:hanging="360"/>
      </w:pPr>
      <w:rPr>
        <w:rFonts w:hint="default" w:ascii="Arial" w:hAnsi="Arial" w:eastAsia="Calibri" w:cs="Arial"/>
      </w:rPr>
    </w:lvl>
    <w:lvl w:ilvl="1" w:tplc="240A0003" w:tentative="1">
      <w:start w:val="1"/>
      <w:numFmt w:val="bullet"/>
      <w:lvlText w:val="o"/>
      <w:lvlJc w:val="left"/>
      <w:pPr>
        <w:ind w:left="3774" w:hanging="360"/>
      </w:pPr>
      <w:rPr>
        <w:rFonts w:hint="default" w:ascii="Courier New" w:hAnsi="Courier New" w:cs="Courier New"/>
      </w:rPr>
    </w:lvl>
    <w:lvl w:ilvl="2" w:tplc="240A0005" w:tentative="1">
      <w:start w:val="1"/>
      <w:numFmt w:val="bullet"/>
      <w:lvlText w:val=""/>
      <w:lvlJc w:val="left"/>
      <w:pPr>
        <w:ind w:left="4494" w:hanging="360"/>
      </w:pPr>
      <w:rPr>
        <w:rFonts w:hint="default" w:ascii="Wingdings" w:hAnsi="Wingdings"/>
      </w:rPr>
    </w:lvl>
    <w:lvl w:ilvl="3" w:tplc="240A0001" w:tentative="1">
      <w:start w:val="1"/>
      <w:numFmt w:val="bullet"/>
      <w:lvlText w:val=""/>
      <w:lvlJc w:val="left"/>
      <w:pPr>
        <w:ind w:left="5214" w:hanging="360"/>
      </w:pPr>
      <w:rPr>
        <w:rFonts w:hint="default" w:ascii="Symbol" w:hAnsi="Symbol"/>
      </w:rPr>
    </w:lvl>
    <w:lvl w:ilvl="4" w:tplc="240A0003" w:tentative="1">
      <w:start w:val="1"/>
      <w:numFmt w:val="bullet"/>
      <w:lvlText w:val="o"/>
      <w:lvlJc w:val="left"/>
      <w:pPr>
        <w:ind w:left="5934" w:hanging="360"/>
      </w:pPr>
      <w:rPr>
        <w:rFonts w:hint="default" w:ascii="Courier New" w:hAnsi="Courier New" w:cs="Courier New"/>
      </w:rPr>
    </w:lvl>
    <w:lvl w:ilvl="5" w:tplc="240A0005" w:tentative="1">
      <w:start w:val="1"/>
      <w:numFmt w:val="bullet"/>
      <w:lvlText w:val=""/>
      <w:lvlJc w:val="left"/>
      <w:pPr>
        <w:ind w:left="6654" w:hanging="360"/>
      </w:pPr>
      <w:rPr>
        <w:rFonts w:hint="default" w:ascii="Wingdings" w:hAnsi="Wingdings"/>
      </w:rPr>
    </w:lvl>
    <w:lvl w:ilvl="6" w:tplc="240A0001" w:tentative="1">
      <w:start w:val="1"/>
      <w:numFmt w:val="bullet"/>
      <w:lvlText w:val=""/>
      <w:lvlJc w:val="left"/>
      <w:pPr>
        <w:ind w:left="7374" w:hanging="360"/>
      </w:pPr>
      <w:rPr>
        <w:rFonts w:hint="default" w:ascii="Symbol" w:hAnsi="Symbol"/>
      </w:rPr>
    </w:lvl>
    <w:lvl w:ilvl="7" w:tplc="240A0003" w:tentative="1">
      <w:start w:val="1"/>
      <w:numFmt w:val="bullet"/>
      <w:lvlText w:val="o"/>
      <w:lvlJc w:val="left"/>
      <w:pPr>
        <w:ind w:left="8094" w:hanging="360"/>
      </w:pPr>
      <w:rPr>
        <w:rFonts w:hint="default" w:ascii="Courier New" w:hAnsi="Courier New" w:cs="Courier New"/>
      </w:rPr>
    </w:lvl>
    <w:lvl w:ilvl="8" w:tplc="240A0005" w:tentative="1">
      <w:start w:val="1"/>
      <w:numFmt w:val="bullet"/>
      <w:lvlText w:val=""/>
      <w:lvlJc w:val="left"/>
      <w:pPr>
        <w:ind w:left="8814" w:hanging="360"/>
      </w:pPr>
      <w:rPr>
        <w:rFonts w:hint="default" w:ascii="Wingdings" w:hAnsi="Wingdings"/>
      </w:rPr>
    </w:lvl>
  </w:abstractNum>
  <w:abstractNum w:abstractNumId="27"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89102F8"/>
    <w:multiLevelType w:val="hybridMultilevel"/>
    <w:tmpl w:val="13E22D70"/>
    <w:lvl w:ilvl="0" w:tplc="B84854D0">
      <w:start w:val="1"/>
      <w:numFmt w:val="bullet"/>
      <w:lvlText w:val="-"/>
      <w:lvlJc w:val="left"/>
      <w:pPr>
        <w:ind w:left="1069" w:hanging="360"/>
      </w:pPr>
      <w:rPr>
        <w:rFonts w:hint="default" w:ascii="Arial" w:hAnsi="Arial" w:eastAsia="Calibri" w:cs="Arial"/>
      </w:rPr>
    </w:lvl>
    <w:lvl w:ilvl="1" w:tplc="240A0003" w:tentative="1">
      <w:start w:val="1"/>
      <w:numFmt w:val="bullet"/>
      <w:lvlText w:val="o"/>
      <w:lvlJc w:val="left"/>
      <w:pPr>
        <w:ind w:left="1789" w:hanging="360"/>
      </w:pPr>
      <w:rPr>
        <w:rFonts w:hint="default" w:ascii="Courier New" w:hAnsi="Courier New" w:cs="Courier New"/>
      </w:rPr>
    </w:lvl>
    <w:lvl w:ilvl="2" w:tplc="240A0005" w:tentative="1">
      <w:start w:val="1"/>
      <w:numFmt w:val="bullet"/>
      <w:lvlText w:val=""/>
      <w:lvlJc w:val="left"/>
      <w:pPr>
        <w:ind w:left="2509" w:hanging="360"/>
      </w:pPr>
      <w:rPr>
        <w:rFonts w:hint="default" w:ascii="Wingdings" w:hAnsi="Wingdings"/>
      </w:rPr>
    </w:lvl>
    <w:lvl w:ilvl="3" w:tplc="240A0001" w:tentative="1">
      <w:start w:val="1"/>
      <w:numFmt w:val="bullet"/>
      <w:lvlText w:val=""/>
      <w:lvlJc w:val="left"/>
      <w:pPr>
        <w:ind w:left="3229" w:hanging="360"/>
      </w:pPr>
      <w:rPr>
        <w:rFonts w:hint="default" w:ascii="Symbol" w:hAnsi="Symbol"/>
      </w:rPr>
    </w:lvl>
    <w:lvl w:ilvl="4" w:tplc="240A0003" w:tentative="1">
      <w:start w:val="1"/>
      <w:numFmt w:val="bullet"/>
      <w:lvlText w:val="o"/>
      <w:lvlJc w:val="left"/>
      <w:pPr>
        <w:ind w:left="3949" w:hanging="360"/>
      </w:pPr>
      <w:rPr>
        <w:rFonts w:hint="default" w:ascii="Courier New" w:hAnsi="Courier New" w:cs="Courier New"/>
      </w:rPr>
    </w:lvl>
    <w:lvl w:ilvl="5" w:tplc="240A0005" w:tentative="1">
      <w:start w:val="1"/>
      <w:numFmt w:val="bullet"/>
      <w:lvlText w:val=""/>
      <w:lvlJc w:val="left"/>
      <w:pPr>
        <w:ind w:left="4669" w:hanging="360"/>
      </w:pPr>
      <w:rPr>
        <w:rFonts w:hint="default" w:ascii="Wingdings" w:hAnsi="Wingdings"/>
      </w:rPr>
    </w:lvl>
    <w:lvl w:ilvl="6" w:tplc="240A0001" w:tentative="1">
      <w:start w:val="1"/>
      <w:numFmt w:val="bullet"/>
      <w:lvlText w:val=""/>
      <w:lvlJc w:val="left"/>
      <w:pPr>
        <w:ind w:left="5389" w:hanging="360"/>
      </w:pPr>
      <w:rPr>
        <w:rFonts w:hint="default" w:ascii="Symbol" w:hAnsi="Symbol"/>
      </w:rPr>
    </w:lvl>
    <w:lvl w:ilvl="7" w:tplc="240A0003" w:tentative="1">
      <w:start w:val="1"/>
      <w:numFmt w:val="bullet"/>
      <w:lvlText w:val="o"/>
      <w:lvlJc w:val="left"/>
      <w:pPr>
        <w:ind w:left="6109" w:hanging="360"/>
      </w:pPr>
      <w:rPr>
        <w:rFonts w:hint="default" w:ascii="Courier New" w:hAnsi="Courier New" w:cs="Courier New"/>
      </w:rPr>
    </w:lvl>
    <w:lvl w:ilvl="8" w:tplc="240A0005" w:tentative="1">
      <w:start w:val="1"/>
      <w:numFmt w:val="bullet"/>
      <w:lvlText w:val=""/>
      <w:lvlJc w:val="left"/>
      <w:pPr>
        <w:ind w:left="6829" w:hanging="360"/>
      </w:pPr>
      <w:rPr>
        <w:rFonts w:hint="default" w:ascii="Wingdings" w:hAnsi="Wingdings"/>
      </w:rPr>
    </w:lvl>
  </w:abstractNum>
  <w:abstractNum w:abstractNumId="2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1"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3"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4"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15:restartNumberingAfterBreak="0">
    <w:nsid w:val="70C9241D"/>
    <w:multiLevelType w:val="hybridMultilevel"/>
    <w:tmpl w:val="B0B487B8"/>
    <w:lvl w:ilvl="0" w:tplc="AAC4AE08">
      <w:start w:val="1"/>
      <w:numFmt w:val="lowerRoman"/>
      <w:lvlText w:val="%1."/>
      <w:lvlJc w:val="right"/>
      <w:pPr>
        <w:ind w:left="1429" w:hanging="360"/>
      </w:pPr>
      <w:rPr>
        <w:rFonts w:ascii="Arial" w:hAnsi="Arial" w:eastAsia="Calibri"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36" w15:restartNumberingAfterBreak="0">
    <w:nsid w:val="723B1079"/>
    <w:multiLevelType w:val="hybridMultilevel"/>
    <w:tmpl w:val="2E0CD9C4"/>
    <w:lvl w:ilvl="0" w:tplc="E3DC3302">
      <w:start w:val="2"/>
      <w:numFmt w:val="bullet"/>
      <w:lvlText w:val="-"/>
      <w:lvlJc w:val="left"/>
      <w:pPr>
        <w:ind w:left="720" w:hanging="360"/>
      </w:pPr>
      <w:rPr>
        <w:rFonts w:hint="default" w:ascii="Arial" w:hAnsi="Arial" w:eastAsia="Calibri" w:cs="Aria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37" w15:restartNumberingAfterBreak="0">
    <w:nsid w:val="72FA202B"/>
    <w:multiLevelType w:val="hybridMultilevel"/>
    <w:tmpl w:val="510EE350"/>
    <w:lvl w:ilvl="0" w:tplc="EBCEC2A2">
      <w:start w:val="232"/>
      <w:numFmt w:val="bullet"/>
      <w:lvlText w:val="-"/>
      <w:lvlJc w:val="left"/>
      <w:pPr>
        <w:ind w:left="720" w:hanging="360"/>
      </w:pPr>
      <w:rPr>
        <w:rFonts w:hint="default" w:ascii="Arial" w:hAnsi="Arial" w:cs="Arial" w:eastAsiaTheme="minorHAnsi"/>
      </w:rPr>
    </w:lvl>
    <w:lvl w:ilvl="1" w:tplc="240A0003">
      <w:start w:val="1"/>
      <w:numFmt w:val="bullet"/>
      <w:lvlText w:val="o"/>
      <w:lvlJc w:val="left"/>
      <w:pPr>
        <w:ind w:left="1440" w:hanging="360"/>
      </w:pPr>
      <w:rPr>
        <w:rFonts w:hint="default" w:ascii="Courier New" w:hAnsi="Courier New" w:cs="Courier New"/>
      </w:rPr>
    </w:lvl>
    <w:lvl w:ilvl="2" w:tplc="240A0005">
      <w:start w:val="1"/>
      <w:numFmt w:val="bullet"/>
      <w:lvlText w:val=""/>
      <w:lvlJc w:val="left"/>
      <w:pPr>
        <w:ind w:left="2160" w:hanging="360"/>
      </w:pPr>
      <w:rPr>
        <w:rFonts w:hint="default" w:ascii="Wingdings" w:hAnsi="Wingdings"/>
      </w:rPr>
    </w:lvl>
    <w:lvl w:ilvl="3" w:tplc="240A0001">
      <w:start w:val="1"/>
      <w:numFmt w:val="bullet"/>
      <w:lvlText w:val=""/>
      <w:lvlJc w:val="left"/>
      <w:pPr>
        <w:ind w:left="2880" w:hanging="360"/>
      </w:pPr>
      <w:rPr>
        <w:rFonts w:hint="default" w:ascii="Symbol" w:hAnsi="Symbol"/>
      </w:rPr>
    </w:lvl>
    <w:lvl w:ilvl="4" w:tplc="240A0003">
      <w:start w:val="1"/>
      <w:numFmt w:val="bullet"/>
      <w:lvlText w:val="o"/>
      <w:lvlJc w:val="left"/>
      <w:pPr>
        <w:ind w:left="3600" w:hanging="360"/>
      </w:pPr>
      <w:rPr>
        <w:rFonts w:hint="default" w:ascii="Courier New" w:hAnsi="Courier New" w:cs="Courier New"/>
      </w:rPr>
    </w:lvl>
    <w:lvl w:ilvl="5" w:tplc="240A0005">
      <w:start w:val="1"/>
      <w:numFmt w:val="bullet"/>
      <w:lvlText w:val=""/>
      <w:lvlJc w:val="left"/>
      <w:pPr>
        <w:ind w:left="4320" w:hanging="360"/>
      </w:pPr>
      <w:rPr>
        <w:rFonts w:hint="default" w:ascii="Wingdings" w:hAnsi="Wingdings"/>
      </w:rPr>
    </w:lvl>
    <w:lvl w:ilvl="6" w:tplc="240A0001">
      <w:start w:val="1"/>
      <w:numFmt w:val="bullet"/>
      <w:lvlText w:val=""/>
      <w:lvlJc w:val="left"/>
      <w:pPr>
        <w:ind w:left="5040" w:hanging="360"/>
      </w:pPr>
      <w:rPr>
        <w:rFonts w:hint="default" w:ascii="Symbol" w:hAnsi="Symbol"/>
      </w:rPr>
    </w:lvl>
    <w:lvl w:ilvl="7" w:tplc="240A0003">
      <w:start w:val="1"/>
      <w:numFmt w:val="bullet"/>
      <w:lvlText w:val="o"/>
      <w:lvlJc w:val="left"/>
      <w:pPr>
        <w:ind w:left="5760" w:hanging="360"/>
      </w:pPr>
      <w:rPr>
        <w:rFonts w:hint="default" w:ascii="Courier New" w:hAnsi="Courier New" w:cs="Courier New"/>
      </w:rPr>
    </w:lvl>
    <w:lvl w:ilvl="8" w:tplc="240A0005">
      <w:start w:val="1"/>
      <w:numFmt w:val="bullet"/>
      <w:lvlText w:val=""/>
      <w:lvlJc w:val="left"/>
      <w:pPr>
        <w:ind w:left="6480" w:hanging="360"/>
      </w:pPr>
      <w:rPr>
        <w:rFonts w:hint="default" w:ascii="Wingdings" w:hAnsi="Wingdings"/>
      </w:rPr>
    </w:lvl>
  </w:abstractNum>
  <w:abstractNum w:abstractNumId="38" w15:restartNumberingAfterBreak="0">
    <w:nsid w:val="736A0777"/>
    <w:multiLevelType w:val="multilevel"/>
    <w:tmpl w:val="510EE350"/>
    <w:lvl w:ilvl="0">
      <w:start w:val="232"/>
      <w:numFmt w:val="bullet"/>
      <w:lvlText w:val="-"/>
      <w:lvlJc w:val="left"/>
      <w:pPr>
        <w:ind w:left="720" w:hanging="360"/>
      </w:pPr>
      <w:rPr>
        <w:rFonts w:hint="default" w:ascii="Arial" w:hAnsi="Arial" w:cs="Arial" w:eastAsiaTheme="minorHAnsi"/>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39" w15:restartNumberingAfterBreak="0">
    <w:nsid w:val="75434B71"/>
    <w:multiLevelType w:val="hybridMultilevel"/>
    <w:tmpl w:val="5E8A4876"/>
    <w:lvl w:ilvl="0" w:tplc="7C6481C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0" w15:restartNumberingAfterBreak="0">
    <w:nsid w:val="79B72D8C"/>
    <w:multiLevelType w:val="hybridMultilevel"/>
    <w:tmpl w:val="5EA43C4A"/>
    <w:lvl w:ilvl="0" w:tplc="C054F18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1"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041511651">
    <w:abstractNumId w:val="16"/>
  </w:num>
  <w:num w:numId="2" w16cid:durableId="599415786">
    <w:abstractNumId w:val="14"/>
  </w:num>
  <w:num w:numId="3" w16cid:durableId="1298024361">
    <w:abstractNumId w:val="23"/>
  </w:num>
  <w:num w:numId="4" w16cid:durableId="2069567963">
    <w:abstractNumId w:val="29"/>
  </w:num>
  <w:num w:numId="5" w16cid:durableId="2125998958">
    <w:abstractNumId w:val="33"/>
  </w:num>
  <w:num w:numId="6" w16cid:durableId="1967157764">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15760332">
    <w:abstractNumId w:val="30"/>
  </w:num>
  <w:num w:numId="8" w16cid:durableId="1596134620">
    <w:abstractNumId w:val="3"/>
  </w:num>
  <w:num w:numId="9" w16cid:durableId="860624318">
    <w:abstractNumId w:val="8"/>
  </w:num>
  <w:num w:numId="10" w16cid:durableId="138618170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0491690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87727127">
    <w:abstractNumId w:val="15"/>
  </w:num>
  <w:num w:numId="13" w16cid:durableId="1382364735">
    <w:abstractNumId w:val="21"/>
  </w:num>
  <w:num w:numId="14" w16cid:durableId="2006784727">
    <w:abstractNumId w:val="12"/>
  </w:num>
  <w:num w:numId="15" w16cid:durableId="2060320889">
    <w:abstractNumId w:val="3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34834218">
    <w:abstractNumId w:val="4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72596789">
    <w:abstractNumId w:val="37"/>
  </w:num>
  <w:num w:numId="18" w16cid:durableId="98068813">
    <w:abstractNumId w:val="24"/>
  </w:num>
  <w:num w:numId="19" w16cid:durableId="1206794228">
    <w:abstractNumId w:val="7"/>
  </w:num>
  <w:num w:numId="20" w16cid:durableId="744377293">
    <w:abstractNumId w:val="38"/>
  </w:num>
  <w:num w:numId="21" w16cid:durableId="2027632297">
    <w:abstractNumId w:val="27"/>
  </w:num>
  <w:num w:numId="22" w16cid:durableId="829053337">
    <w:abstractNumId w:val="10"/>
  </w:num>
  <w:num w:numId="23" w16cid:durableId="111361378">
    <w:abstractNumId w:val="9"/>
  </w:num>
  <w:num w:numId="24" w16cid:durableId="508760960">
    <w:abstractNumId w:val="31"/>
  </w:num>
  <w:num w:numId="25" w16cid:durableId="379212600">
    <w:abstractNumId w:val="18"/>
  </w:num>
  <w:num w:numId="26" w16cid:durableId="1676954214">
    <w:abstractNumId w:val="34"/>
  </w:num>
  <w:num w:numId="27" w16cid:durableId="1836215344">
    <w:abstractNumId w:val="40"/>
  </w:num>
  <w:num w:numId="28" w16cid:durableId="143281948">
    <w:abstractNumId w:val="22"/>
  </w:num>
  <w:num w:numId="29" w16cid:durableId="1061713901">
    <w:abstractNumId w:val="2"/>
  </w:num>
  <w:num w:numId="30" w16cid:durableId="155541465">
    <w:abstractNumId w:val="25"/>
  </w:num>
  <w:num w:numId="31" w16cid:durableId="1329748672">
    <w:abstractNumId w:val="19"/>
  </w:num>
  <w:num w:numId="32" w16cid:durableId="1158305571">
    <w:abstractNumId w:val="28"/>
  </w:num>
  <w:num w:numId="33" w16cid:durableId="1243029788">
    <w:abstractNumId w:val="39"/>
  </w:num>
  <w:num w:numId="34" w16cid:durableId="1650789726">
    <w:abstractNumId w:val="17"/>
  </w:num>
  <w:num w:numId="35" w16cid:durableId="1723093840">
    <w:abstractNumId w:val="1"/>
  </w:num>
  <w:num w:numId="36" w16cid:durableId="5444089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1459981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45648717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14583813">
    <w:abstractNumId w:val="5"/>
  </w:num>
  <w:num w:numId="40" w16cid:durableId="101996493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639111041">
    <w:abstractNumId w:val="11"/>
  </w:num>
  <w:num w:numId="42" w16cid:durableId="1801804628">
    <w:abstractNumId w:val="36"/>
  </w:num>
  <w:num w:numId="43" w16cid:durableId="1280450805">
    <w:abstractNumId w:val="2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activeWritingStyle w:lang="pt-BR" w:vendorID="64" w:dllVersion="0" w:nlCheck="1" w:checkStyle="0" w:appName="MSWord"/>
  <w:attachedTemplate r:id="rId1"/>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0B1"/>
    <w:rsid w:val="00000559"/>
    <w:rsid w:val="0000162E"/>
    <w:rsid w:val="00001A1C"/>
    <w:rsid w:val="00001FFD"/>
    <w:rsid w:val="00002027"/>
    <w:rsid w:val="000020FE"/>
    <w:rsid w:val="000031A8"/>
    <w:rsid w:val="00003233"/>
    <w:rsid w:val="00003C5C"/>
    <w:rsid w:val="000040D7"/>
    <w:rsid w:val="00004556"/>
    <w:rsid w:val="000051AF"/>
    <w:rsid w:val="00005958"/>
    <w:rsid w:val="000059D3"/>
    <w:rsid w:val="0000600A"/>
    <w:rsid w:val="00006081"/>
    <w:rsid w:val="000060D0"/>
    <w:rsid w:val="00006D78"/>
    <w:rsid w:val="000075EA"/>
    <w:rsid w:val="00007750"/>
    <w:rsid w:val="000077FD"/>
    <w:rsid w:val="00007E37"/>
    <w:rsid w:val="00010408"/>
    <w:rsid w:val="00010C40"/>
    <w:rsid w:val="000112B4"/>
    <w:rsid w:val="00011DCC"/>
    <w:rsid w:val="00012532"/>
    <w:rsid w:val="00012B9E"/>
    <w:rsid w:val="00012FBA"/>
    <w:rsid w:val="00013C6B"/>
    <w:rsid w:val="0001406B"/>
    <w:rsid w:val="000143F8"/>
    <w:rsid w:val="00014624"/>
    <w:rsid w:val="000147ED"/>
    <w:rsid w:val="00015B44"/>
    <w:rsid w:val="00016081"/>
    <w:rsid w:val="000165AC"/>
    <w:rsid w:val="00016651"/>
    <w:rsid w:val="00016881"/>
    <w:rsid w:val="000171A2"/>
    <w:rsid w:val="00017B65"/>
    <w:rsid w:val="00020158"/>
    <w:rsid w:val="000207E0"/>
    <w:rsid w:val="00020D87"/>
    <w:rsid w:val="00020F8F"/>
    <w:rsid w:val="00021A95"/>
    <w:rsid w:val="00021C0A"/>
    <w:rsid w:val="00021F62"/>
    <w:rsid w:val="0002256F"/>
    <w:rsid w:val="0002296A"/>
    <w:rsid w:val="00023DAE"/>
    <w:rsid w:val="00023FA5"/>
    <w:rsid w:val="00024592"/>
    <w:rsid w:val="00024896"/>
    <w:rsid w:val="000258A6"/>
    <w:rsid w:val="00026092"/>
    <w:rsid w:val="000263F0"/>
    <w:rsid w:val="00026407"/>
    <w:rsid w:val="000264F6"/>
    <w:rsid w:val="00026608"/>
    <w:rsid w:val="00026B36"/>
    <w:rsid w:val="0002738B"/>
    <w:rsid w:val="00027545"/>
    <w:rsid w:val="00027787"/>
    <w:rsid w:val="000278D2"/>
    <w:rsid w:val="00031384"/>
    <w:rsid w:val="000315E1"/>
    <w:rsid w:val="0003236E"/>
    <w:rsid w:val="00033295"/>
    <w:rsid w:val="0003339A"/>
    <w:rsid w:val="00034134"/>
    <w:rsid w:val="000341F2"/>
    <w:rsid w:val="00034651"/>
    <w:rsid w:val="000351F2"/>
    <w:rsid w:val="00035224"/>
    <w:rsid w:val="00036E03"/>
    <w:rsid w:val="00037198"/>
    <w:rsid w:val="000406DB"/>
    <w:rsid w:val="0004094D"/>
    <w:rsid w:val="00040A5E"/>
    <w:rsid w:val="00041029"/>
    <w:rsid w:val="0004149B"/>
    <w:rsid w:val="00041717"/>
    <w:rsid w:val="00041CA0"/>
    <w:rsid w:val="000427F7"/>
    <w:rsid w:val="00042961"/>
    <w:rsid w:val="00042C25"/>
    <w:rsid w:val="00042D03"/>
    <w:rsid w:val="00043086"/>
    <w:rsid w:val="000430A0"/>
    <w:rsid w:val="00043A33"/>
    <w:rsid w:val="00043D3B"/>
    <w:rsid w:val="00043D4D"/>
    <w:rsid w:val="00043F5D"/>
    <w:rsid w:val="0004418C"/>
    <w:rsid w:val="00044204"/>
    <w:rsid w:val="000449D4"/>
    <w:rsid w:val="000466E8"/>
    <w:rsid w:val="00046717"/>
    <w:rsid w:val="00046A63"/>
    <w:rsid w:val="00046C09"/>
    <w:rsid w:val="0004716A"/>
    <w:rsid w:val="00047316"/>
    <w:rsid w:val="00047385"/>
    <w:rsid w:val="000473E8"/>
    <w:rsid w:val="000504DE"/>
    <w:rsid w:val="00051074"/>
    <w:rsid w:val="0005211A"/>
    <w:rsid w:val="00052B79"/>
    <w:rsid w:val="00052EA0"/>
    <w:rsid w:val="000536E3"/>
    <w:rsid w:val="00054252"/>
    <w:rsid w:val="0005474D"/>
    <w:rsid w:val="00055CB9"/>
    <w:rsid w:val="00056F22"/>
    <w:rsid w:val="00056F66"/>
    <w:rsid w:val="0005702F"/>
    <w:rsid w:val="00057661"/>
    <w:rsid w:val="0005779C"/>
    <w:rsid w:val="0006040A"/>
    <w:rsid w:val="00061D06"/>
    <w:rsid w:val="0006294B"/>
    <w:rsid w:val="00062CDD"/>
    <w:rsid w:val="00063FA5"/>
    <w:rsid w:val="000640AF"/>
    <w:rsid w:val="00064940"/>
    <w:rsid w:val="00064CAE"/>
    <w:rsid w:val="00064DB7"/>
    <w:rsid w:val="00064FA7"/>
    <w:rsid w:val="00065195"/>
    <w:rsid w:val="00070AF1"/>
    <w:rsid w:val="000714DE"/>
    <w:rsid w:val="0007254F"/>
    <w:rsid w:val="00073756"/>
    <w:rsid w:val="00073C30"/>
    <w:rsid w:val="00074305"/>
    <w:rsid w:val="00074B2A"/>
    <w:rsid w:val="00075108"/>
    <w:rsid w:val="00075B3E"/>
    <w:rsid w:val="00076456"/>
    <w:rsid w:val="00076604"/>
    <w:rsid w:val="0007779B"/>
    <w:rsid w:val="000777E7"/>
    <w:rsid w:val="0007790A"/>
    <w:rsid w:val="0008017B"/>
    <w:rsid w:val="00080287"/>
    <w:rsid w:val="000807F4"/>
    <w:rsid w:val="00080ACD"/>
    <w:rsid w:val="000811ED"/>
    <w:rsid w:val="00081284"/>
    <w:rsid w:val="00081D62"/>
    <w:rsid w:val="00081E36"/>
    <w:rsid w:val="000820A1"/>
    <w:rsid w:val="000820CE"/>
    <w:rsid w:val="00082B74"/>
    <w:rsid w:val="00083099"/>
    <w:rsid w:val="00083EDC"/>
    <w:rsid w:val="00083EE6"/>
    <w:rsid w:val="000847C0"/>
    <w:rsid w:val="00084873"/>
    <w:rsid w:val="00084B97"/>
    <w:rsid w:val="0008510E"/>
    <w:rsid w:val="000856DE"/>
    <w:rsid w:val="00085F17"/>
    <w:rsid w:val="00085FB3"/>
    <w:rsid w:val="0008686B"/>
    <w:rsid w:val="00086B2A"/>
    <w:rsid w:val="00086ED2"/>
    <w:rsid w:val="000914D6"/>
    <w:rsid w:val="00091569"/>
    <w:rsid w:val="00091642"/>
    <w:rsid w:val="00092DCA"/>
    <w:rsid w:val="000935F8"/>
    <w:rsid w:val="00093C51"/>
    <w:rsid w:val="000942EB"/>
    <w:rsid w:val="00095B70"/>
    <w:rsid w:val="00095C0D"/>
    <w:rsid w:val="0009617E"/>
    <w:rsid w:val="00096489"/>
    <w:rsid w:val="000979CF"/>
    <w:rsid w:val="00097A00"/>
    <w:rsid w:val="00097B0C"/>
    <w:rsid w:val="000A03C8"/>
    <w:rsid w:val="000A05F2"/>
    <w:rsid w:val="000A06C4"/>
    <w:rsid w:val="000A0861"/>
    <w:rsid w:val="000A0ED1"/>
    <w:rsid w:val="000A12DB"/>
    <w:rsid w:val="000A17C8"/>
    <w:rsid w:val="000A1AEE"/>
    <w:rsid w:val="000A20D7"/>
    <w:rsid w:val="000A2128"/>
    <w:rsid w:val="000A362F"/>
    <w:rsid w:val="000A3B49"/>
    <w:rsid w:val="000A41BA"/>
    <w:rsid w:val="000A446A"/>
    <w:rsid w:val="000A5AAF"/>
    <w:rsid w:val="000A5F97"/>
    <w:rsid w:val="000A648E"/>
    <w:rsid w:val="000A70BB"/>
    <w:rsid w:val="000A73BB"/>
    <w:rsid w:val="000A7EF4"/>
    <w:rsid w:val="000B09AF"/>
    <w:rsid w:val="000B0A15"/>
    <w:rsid w:val="000B0DF3"/>
    <w:rsid w:val="000B103F"/>
    <w:rsid w:val="000B1437"/>
    <w:rsid w:val="000B1470"/>
    <w:rsid w:val="000B2B86"/>
    <w:rsid w:val="000B3051"/>
    <w:rsid w:val="000B419B"/>
    <w:rsid w:val="000B4364"/>
    <w:rsid w:val="000B4716"/>
    <w:rsid w:val="000B5781"/>
    <w:rsid w:val="000B5891"/>
    <w:rsid w:val="000B6E4B"/>
    <w:rsid w:val="000C0185"/>
    <w:rsid w:val="000C0444"/>
    <w:rsid w:val="000C0960"/>
    <w:rsid w:val="000C0F81"/>
    <w:rsid w:val="000C128D"/>
    <w:rsid w:val="000C17A3"/>
    <w:rsid w:val="000C1D4B"/>
    <w:rsid w:val="000C3260"/>
    <w:rsid w:val="000C3616"/>
    <w:rsid w:val="000C3803"/>
    <w:rsid w:val="000C3B77"/>
    <w:rsid w:val="000C4F49"/>
    <w:rsid w:val="000C5861"/>
    <w:rsid w:val="000C5A63"/>
    <w:rsid w:val="000C639D"/>
    <w:rsid w:val="000C67BB"/>
    <w:rsid w:val="000C6C31"/>
    <w:rsid w:val="000C6DBC"/>
    <w:rsid w:val="000C6F79"/>
    <w:rsid w:val="000C7211"/>
    <w:rsid w:val="000C7476"/>
    <w:rsid w:val="000C7711"/>
    <w:rsid w:val="000C7AA2"/>
    <w:rsid w:val="000D0462"/>
    <w:rsid w:val="000D053D"/>
    <w:rsid w:val="000D0CD9"/>
    <w:rsid w:val="000D0ED2"/>
    <w:rsid w:val="000D1CEB"/>
    <w:rsid w:val="000D2563"/>
    <w:rsid w:val="000D25BF"/>
    <w:rsid w:val="000D3FDC"/>
    <w:rsid w:val="000D4E38"/>
    <w:rsid w:val="000D50DB"/>
    <w:rsid w:val="000D5ABA"/>
    <w:rsid w:val="000D6288"/>
    <w:rsid w:val="000D6CAF"/>
    <w:rsid w:val="000D7541"/>
    <w:rsid w:val="000D75E1"/>
    <w:rsid w:val="000D776B"/>
    <w:rsid w:val="000E0B3C"/>
    <w:rsid w:val="000E2109"/>
    <w:rsid w:val="000E22CF"/>
    <w:rsid w:val="000E2977"/>
    <w:rsid w:val="000E2B36"/>
    <w:rsid w:val="000E30AC"/>
    <w:rsid w:val="000E3B46"/>
    <w:rsid w:val="000E3E11"/>
    <w:rsid w:val="000E4596"/>
    <w:rsid w:val="000E5768"/>
    <w:rsid w:val="000E5843"/>
    <w:rsid w:val="000E6139"/>
    <w:rsid w:val="000E6B73"/>
    <w:rsid w:val="000E6BE1"/>
    <w:rsid w:val="000E7E0B"/>
    <w:rsid w:val="000F078A"/>
    <w:rsid w:val="000F122D"/>
    <w:rsid w:val="000F1450"/>
    <w:rsid w:val="000F14E8"/>
    <w:rsid w:val="000F16F5"/>
    <w:rsid w:val="000F1BBD"/>
    <w:rsid w:val="000F2739"/>
    <w:rsid w:val="000F3138"/>
    <w:rsid w:val="000F3D39"/>
    <w:rsid w:val="000F4403"/>
    <w:rsid w:val="000F4C3F"/>
    <w:rsid w:val="000F4E17"/>
    <w:rsid w:val="000F636A"/>
    <w:rsid w:val="000F6578"/>
    <w:rsid w:val="000F70CD"/>
    <w:rsid w:val="000F79F9"/>
    <w:rsid w:val="000F7ABD"/>
    <w:rsid w:val="000F7E8F"/>
    <w:rsid w:val="000F7FBB"/>
    <w:rsid w:val="001000FB"/>
    <w:rsid w:val="00101134"/>
    <w:rsid w:val="001015D2"/>
    <w:rsid w:val="00102605"/>
    <w:rsid w:val="00102686"/>
    <w:rsid w:val="00102745"/>
    <w:rsid w:val="001032E3"/>
    <w:rsid w:val="00103361"/>
    <w:rsid w:val="00103855"/>
    <w:rsid w:val="00103915"/>
    <w:rsid w:val="00103EA0"/>
    <w:rsid w:val="001046B8"/>
    <w:rsid w:val="00104F1C"/>
    <w:rsid w:val="001051E5"/>
    <w:rsid w:val="001056C4"/>
    <w:rsid w:val="00105A74"/>
    <w:rsid w:val="00105ACB"/>
    <w:rsid w:val="00105AEF"/>
    <w:rsid w:val="00106259"/>
    <w:rsid w:val="001065E4"/>
    <w:rsid w:val="001068EB"/>
    <w:rsid w:val="001078CE"/>
    <w:rsid w:val="00110CEB"/>
    <w:rsid w:val="00110F61"/>
    <w:rsid w:val="001111BD"/>
    <w:rsid w:val="0011165A"/>
    <w:rsid w:val="00111B2B"/>
    <w:rsid w:val="00111DFA"/>
    <w:rsid w:val="00111ED9"/>
    <w:rsid w:val="00112609"/>
    <w:rsid w:val="00112774"/>
    <w:rsid w:val="00112B2E"/>
    <w:rsid w:val="00113003"/>
    <w:rsid w:val="00113062"/>
    <w:rsid w:val="00113705"/>
    <w:rsid w:val="00113975"/>
    <w:rsid w:val="00113CFC"/>
    <w:rsid w:val="00113FEA"/>
    <w:rsid w:val="00114324"/>
    <w:rsid w:val="00114A22"/>
    <w:rsid w:val="00114E9D"/>
    <w:rsid w:val="0011507B"/>
    <w:rsid w:val="00115D13"/>
    <w:rsid w:val="00116328"/>
    <w:rsid w:val="001169FD"/>
    <w:rsid w:val="001174C9"/>
    <w:rsid w:val="00117C82"/>
    <w:rsid w:val="00117E69"/>
    <w:rsid w:val="00121103"/>
    <w:rsid w:val="0012156A"/>
    <w:rsid w:val="00121BAB"/>
    <w:rsid w:val="00121E3C"/>
    <w:rsid w:val="00122B23"/>
    <w:rsid w:val="00122B7E"/>
    <w:rsid w:val="00123D64"/>
    <w:rsid w:val="00123FB5"/>
    <w:rsid w:val="0012400F"/>
    <w:rsid w:val="001246C9"/>
    <w:rsid w:val="001249DC"/>
    <w:rsid w:val="00125340"/>
    <w:rsid w:val="0012572D"/>
    <w:rsid w:val="00125BED"/>
    <w:rsid w:val="00125C59"/>
    <w:rsid w:val="00125D4F"/>
    <w:rsid w:val="00126F9B"/>
    <w:rsid w:val="00127004"/>
    <w:rsid w:val="00127AF2"/>
    <w:rsid w:val="00127EDC"/>
    <w:rsid w:val="00127F6D"/>
    <w:rsid w:val="00130355"/>
    <w:rsid w:val="00131B5A"/>
    <w:rsid w:val="00132C30"/>
    <w:rsid w:val="00132EFD"/>
    <w:rsid w:val="00133AED"/>
    <w:rsid w:val="00134FF9"/>
    <w:rsid w:val="00135E88"/>
    <w:rsid w:val="0013695C"/>
    <w:rsid w:val="00136BF7"/>
    <w:rsid w:val="001378B9"/>
    <w:rsid w:val="00137FD1"/>
    <w:rsid w:val="00137FFA"/>
    <w:rsid w:val="00140109"/>
    <w:rsid w:val="0014029B"/>
    <w:rsid w:val="00140421"/>
    <w:rsid w:val="00140A4F"/>
    <w:rsid w:val="001413AB"/>
    <w:rsid w:val="001428C2"/>
    <w:rsid w:val="001432AF"/>
    <w:rsid w:val="00144335"/>
    <w:rsid w:val="0014502F"/>
    <w:rsid w:val="00145282"/>
    <w:rsid w:val="001453B0"/>
    <w:rsid w:val="001454D9"/>
    <w:rsid w:val="00145D8E"/>
    <w:rsid w:val="00146083"/>
    <w:rsid w:val="001462F7"/>
    <w:rsid w:val="001466F0"/>
    <w:rsid w:val="00146B60"/>
    <w:rsid w:val="00147798"/>
    <w:rsid w:val="00150005"/>
    <w:rsid w:val="00151B99"/>
    <w:rsid w:val="001521B2"/>
    <w:rsid w:val="00152288"/>
    <w:rsid w:val="00152EDD"/>
    <w:rsid w:val="00153491"/>
    <w:rsid w:val="0015361C"/>
    <w:rsid w:val="0015372F"/>
    <w:rsid w:val="00153A05"/>
    <w:rsid w:val="00153A18"/>
    <w:rsid w:val="00153BFB"/>
    <w:rsid w:val="0015407E"/>
    <w:rsid w:val="001542E6"/>
    <w:rsid w:val="0015448E"/>
    <w:rsid w:val="00154A6F"/>
    <w:rsid w:val="00155D08"/>
    <w:rsid w:val="00156BE5"/>
    <w:rsid w:val="00156FDB"/>
    <w:rsid w:val="00157232"/>
    <w:rsid w:val="00160401"/>
    <w:rsid w:val="00160D4E"/>
    <w:rsid w:val="00161721"/>
    <w:rsid w:val="00161E62"/>
    <w:rsid w:val="00161F1C"/>
    <w:rsid w:val="0016200B"/>
    <w:rsid w:val="00163D7A"/>
    <w:rsid w:val="00164281"/>
    <w:rsid w:val="00164AF1"/>
    <w:rsid w:val="001654DF"/>
    <w:rsid w:val="00166476"/>
    <w:rsid w:val="00167503"/>
    <w:rsid w:val="001676A9"/>
    <w:rsid w:val="00167A15"/>
    <w:rsid w:val="00167A50"/>
    <w:rsid w:val="00167D66"/>
    <w:rsid w:val="00167DF5"/>
    <w:rsid w:val="00170001"/>
    <w:rsid w:val="0017145A"/>
    <w:rsid w:val="00172198"/>
    <w:rsid w:val="00172612"/>
    <w:rsid w:val="00172817"/>
    <w:rsid w:val="001734E3"/>
    <w:rsid w:val="0017350E"/>
    <w:rsid w:val="0017391B"/>
    <w:rsid w:val="001742BF"/>
    <w:rsid w:val="001749DF"/>
    <w:rsid w:val="00175E49"/>
    <w:rsid w:val="00176470"/>
    <w:rsid w:val="0017659F"/>
    <w:rsid w:val="00176F27"/>
    <w:rsid w:val="00177076"/>
    <w:rsid w:val="001805C1"/>
    <w:rsid w:val="00180A2E"/>
    <w:rsid w:val="001813AF"/>
    <w:rsid w:val="00182831"/>
    <w:rsid w:val="001829CD"/>
    <w:rsid w:val="00182F01"/>
    <w:rsid w:val="00184F27"/>
    <w:rsid w:val="001850E6"/>
    <w:rsid w:val="0018519B"/>
    <w:rsid w:val="001856BA"/>
    <w:rsid w:val="00185AFE"/>
    <w:rsid w:val="00185E78"/>
    <w:rsid w:val="00187177"/>
    <w:rsid w:val="00187443"/>
    <w:rsid w:val="00187ABD"/>
    <w:rsid w:val="001904E3"/>
    <w:rsid w:val="0019087A"/>
    <w:rsid w:val="00191395"/>
    <w:rsid w:val="00191C5A"/>
    <w:rsid w:val="00191CEB"/>
    <w:rsid w:val="00191E63"/>
    <w:rsid w:val="00192D68"/>
    <w:rsid w:val="0019388B"/>
    <w:rsid w:val="00193B9A"/>
    <w:rsid w:val="001946AE"/>
    <w:rsid w:val="001946D5"/>
    <w:rsid w:val="00194E8C"/>
    <w:rsid w:val="001962EC"/>
    <w:rsid w:val="001963DD"/>
    <w:rsid w:val="001965DB"/>
    <w:rsid w:val="00196DC9"/>
    <w:rsid w:val="001A0236"/>
    <w:rsid w:val="001A0AF8"/>
    <w:rsid w:val="001A18D5"/>
    <w:rsid w:val="001A1CC0"/>
    <w:rsid w:val="001A1D4A"/>
    <w:rsid w:val="001A3011"/>
    <w:rsid w:val="001A325B"/>
    <w:rsid w:val="001A3FC3"/>
    <w:rsid w:val="001A4A08"/>
    <w:rsid w:val="001A4DAF"/>
    <w:rsid w:val="001A66DF"/>
    <w:rsid w:val="001A67D0"/>
    <w:rsid w:val="001A6BF1"/>
    <w:rsid w:val="001A7591"/>
    <w:rsid w:val="001A75B1"/>
    <w:rsid w:val="001B0366"/>
    <w:rsid w:val="001B0444"/>
    <w:rsid w:val="001B096B"/>
    <w:rsid w:val="001B0F9F"/>
    <w:rsid w:val="001B123C"/>
    <w:rsid w:val="001B1A0D"/>
    <w:rsid w:val="001B1BF1"/>
    <w:rsid w:val="001B2456"/>
    <w:rsid w:val="001B40C7"/>
    <w:rsid w:val="001B449C"/>
    <w:rsid w:val="001B4AA2"/>
    <w:rsid w:val="001B4ADE"/>
    <w:rsid w:val="001B5C86"/>
    <w:rsid w:val="001B5EF8"/>
    <w:rsid w:val="001B6BD3"/>
    <w:rsid w:val="001B6EBB"/>
    <w:rsid w:val="001C037A"/>
    <w:rsid w:val="001C07C6"/>
    <w:rsid w:val="001C0838"/>
    <w:rsid w:val="001C08B2"/>
    <w:rsid w:val="001C19CD"/>
    <w:rsid w:val="001C22D5"/>
    <w:rsid w:val="001C2515"/>
    <w:rsid w:val="001C2550"/>
    <w:rsid w:val="001C26FB"/>
    <w:rsid w:val="001C33C1"/>
    <w:rsid w:val="001C3E30"/>
    <w:rsid w:val="001C3E5C"/>
    <w:rsid w:val="001C5072"/>
    <w:rsid w:val="001C5B2A"/>
    <w:rsid w:val="001C600B"/>
    <w:rsid w:val="001C6407"/>
    <w:rsid w:val="001C6898"/>
    <w:rsid w:val="001C6DD8"/>
    <w:rsid w:val="001C7C7B"/>
    <w:rsid w:val="001D068D"/>
    <w:rsid w:val="001D0A71"/>
    <w:rsid w:val="001D12D1"/>
    <w:rsid w:val="001D15DF"/>
    <w:rsid w:val="001D2970"/>
    <w:rsid w:val="001D30F3"/>
    <w:rsid w:val="001D31A0"/>
    <w:rsid w:val="001D338E"/>
    <w:rsid w:val="001D399D"/>
    <w:rsid w:val="001D3D3F"/>
    <w:rsid w:val="001D408D"/>
    <w:rsid w:val="001D4141"/>
    <w:rsid w:val="001D56E9"/>
    <w:rsid w:val="001D5765"/>
    <w:rsid w:val="001D7923"/>
    <w:rsid w:val="001D796A"/>
    <w:rsid w:val="001D7A84"/>
    <w:rsid w:val="001D7C79"/>
    <w:rsid w:val="001E0E15"/>
    <w:rsid w:val="001E15F0"/>
    <w:rsid w:val="001E1CC4"/>
    <w:rsid w:val="001E1D38"/>
    <w:rsid w:val="001E1DEE"/>
    <w:rsid w:val="001E250D"/>
    <w:rsid w:val="001E4258"/>
    <w:rsid w:val="001E442F"/>
    <w:rsid w:val="001E4587"/>
    <w:rsid w:val="001E56FF"/>
    <w:rsid w:val="001E5A69"/>
    <w:rsid w:val="001E5B84"/>
    <w:rsid w:val="001E5D6A"/>
    <w:rsid w:val="001E70FB"/>
    <w:rsid w:val="001E780A"/>
    <w:rsid w:val="001E7B2B"/>
    <w:rsid w:val="001F07D6"/>
    <w:rsid w:val="001F0FA0"/>
    <w:rsid w:val="001F1349"/>
    <w:rsid w:val="001F1863"/>
    <w:rsid w:val="001F232D"/>
    <w:rsid w:val="001F2356"/>
    <w:rsid w:val="001F2A68"/>
    <w:rsid w:val="001F39EA"/>
    <w:rsid w:val="001F4773"/>
    <w:rsid w:val="001F5008"/>
    <w:rsid w:val="001F512D"/>
    <w:rsid w:val="001F56AA"/>
    <w:rsid w:val="001F58AA"/>
    <w:rsid w:val="001F5EF6"/>
    <w:rsid w:val="001F657F"/>
    <w:rsid w:val="001F6FB6"/>
    <w:rsid w:val="001F7978"/>
    <w:rsid w:val="001F7A0E"/>
    <w:rsid w:val="0020022E"/>
    <w:rsid w:val="002004AC"/>
    <w:rsid w:val="0020054E"/>
    <w:rsid w:val="00200B51"/>
    <w:rsid w:val="00201F1E"/>
    <w:rsid w:val="0020299B"/>
    <w:rsid w:val="00202E44"/>
    <w:rsid w:val="002037AA"/>
    <w:rsid w:val="00203FE3"/>
    <w:rsid w:val="002042D8"/>
    <w:rsid w:val="00204515"/>
    <w:rsid w:val="00204BF5"/>
    <w:rsid w:val="00204D91"/>
    <w:rsid w:val="00204E6B"/>
    <w:rsid w:val="002058D4"/>
    <w:rsid w:val="00205BAA"/>
    <w:rsid w:val="0020632A"/>
    <w:rsid w:val="0020697F"/>
    <w:rsid w:val="00210430"/>
    <w:rsid w:val="002110EB"/>
    <w:rsid w:val="00211338"/>
    <w:rsid w:val="00211342"/>
    <w:rsid w:val="00211388"/>
    <w:rsid w:val="0021148C"/>
    <w:rsid w:val="00211694"/>
    <w:rsid w:val="0021201A"/>
    <w:rsid w:val="00213A1F"/>
    <w:rsid w:val="00213C63"/>
    <w:rsid w:val="00214502"/>
    <w:rsid w:val="00214741"/>
    <w:rsid w:val="0021539A"/>
    <w:rsid w:val="00215793"/>
    <w:rsid w:val="00215852"/>
    <w:rsid w:val="00215B8E"/>
    <w:rsid w:val="00216264"/>
    <w:rsid w:val="002168B8"/>
    <w:rsid w:val="002176B6"/>
    <w:rsid w:val="0021792D"/>
    <w:rsid w:val="00217DB8"/>
    <w:rsid w:val="0022032A"/>
    <w:rsid w:val="002221CE"/>
    <w:rsid w:val="00222740"/>
    <w:rsid w:val="00222BE8"/>
    <w:rsid w:val="00223102"/>
    <w:rsid w:val="002232CB"/>
    <w:rsid w:val="00223AA2"/>
    <w:rsid w:val="00224022"/>
    <w:rsid w:val="00226055"/>
    <w:rsid w:val="0022613F"/>
    <w:rsid w:val="00226236"/>
    <w:rsid w:val="00226DF9"/>
    <w:rsid w:val="002270C9"/>
    <w:rsid w:val="00227710"/>
    <w:rsid w:val="00227A8B"/>
    <w:rsid w:val="0023146B"/>
    <w:rsid w:val="002315A0"/>
    <w:rsid w:val="00231CE0"/>
    <w:rsid w:val="00231DBA"/>
    <w:rsid w:val="00231EC7"/>
    <w:rsid w:val="00232A6C"/>
    <w:rsid w:val="00232E15"/>
    <w:rsid w:val="00233079"/>
    <w:rsid w:val="0023382C"/>
    <w:rsid w:val="00233977"/>
    <w:rsid w:val="00233C58"/>
    <w:rsid w:val="00233C71"/>
    <w:rsid w:val="002345B6"/>
    <w:rsid w:val="00234B84"/>
    <w:rsid w:val="00235FCA"/>
    <w:rsid w:val="00236016"/>
    <w:rsid w:val="00237065"/>
    <w:rsid w:val="00237589"/>
    <w:rsid w:val="0023758D"/>
    <w:rsid w:val="002375A7"/>
    <w:rsid w:val="0024019A"/>
    <w:rsid w:val="002411DE"/>
    <w:rsid w:val="0024131D"/>
    <w:rsid w:val="002413B5"/>
    <w:rsid w:val="002415B8"/>
    <w:rsid w:val="00241618"/>
    <w:rsid w:val="00241E21"/>
    <w:rsid w:val="00242D62"/>
    <w:rsid w:val="00243057"/>
    <w:rsid w:val="002431D7"/>
    <w:rsid w:val="00243257"/>
    <w:rsid w:val="00243434"/>
    <w:rsid w:val="00244058"/>
    <w:rsid w:val="00244F9A"/>
    <w:rsid w:val="00245718"/>
    <w:rsid w:val="00245E07"/>
    <w:rsid w:val="0024729C"/>
    <w:rsid w:val="00247712"/>
    <w:rsid w:val="00250EC6"/>
    <w:rsid w:val="00251866"/>
    <w:rsid w:val="00251A9F"/>
    <w:rsid w:val="00252492"/>
    <w:rsid w:val="00252B35"/>
    <w:rsid w:val="0025316D"/>
    <w:rsid w:val="002532F4"/>
    <w:rsid w:val="00253A02"/>
    <w:rsid w:val="00253B81"/>
    <w:rsid w:val="002554DE"/>
    <w:rsid w:val="00255E11"/>
    <w:rsid w:val="00256835"/>
    <w:rsid w:val="002569F0"/>
    <w:rsid w:val="00256ECF"/>
    <w:rsid w:val="00257730"/>
    <w:rsid w:val="00257999"/>
    <w:rsid w:val="00257C83"/>
    <w:rsid w:val="002604AA"/>
    <w:rsid w:val="0026129B"/>
    <w:rsid w:val="00261560"/>
    <w:rsid w:val="00261715"/>
    <w:rsid w:val="00261CF9"/>
    <w:rsid w:val="00261EC0"/>
    <w:rsid w:val="0026231B"/>
    <w:rsid w:val="00263101"/>
    <w:rsid w:val="00263201"/>
    <w:rsid w:val="00263A37"/>
    <w:rsid w:val="002653A6"/>
    <w:rsid w:val="0026608D"/>
    <w:rsid w:val="002661F1"/>
    <w:rsid w:val="002663BA"/>
    <w:rsid w:val="002664B7"/>
    <w:rsid w:val="00266CB5"/>
    <w:rsid w:val="002711A4"/>
    <w:rsid w:val="00271F13"/>
    <w:rsid w:val="002721E2"/>
    <w:rsid w:val="00272414"/>
    <w:rsid w:val="00273D71"/>
    <w:rsid w:val="00274DB5"/>
    <w:rsid w:val="00275BB1"/>
    <w:rsid w:val="00275FBF"/>
    <w:rsid w:val="00276320"/>
    <w:rsid w:val="00276373"/>
    <w:rsid w:val="00277933"/>
    <w:rsid w:val="00277F13"/>
    <w:rsid w:val="00277F8D"/>
    <w:rsid w:val="00277FA7"/>
    <w:rsid w:val="002805E0"/>
    <w:rsid w:val="00280F3D"/>
    <w:rsid w:val="0028106A"/>
    <w:rsid w:val="00281EB4"/>
    <w:rsid w:val="00282C21"/>
    <w:rsid w:val="0028308E"/>
    <w:rsid w:val="002834E9"/>
    <w:rsid w:val="0028396F"/>
    <w:rsid w:val="00283A52"/>
    <w:rsid w:val="00283C5E"/>
    <w:rsid w:val="00283E26"/>
    <w:rsid w:val="0028428F"/>
    <w:rsid w:val="00284CFC"/>
    <w:rsid w:val="0028565E"/>
    <w:rsid w:val="00285832"/>
    <w:rsid w:val="00285969"/>
    <w:rsid w:val="0028663B"/>
    <w:rsid w:val="00286CEC"/>
    <w:rsid w:val="002871A9"/>
    <w:rsid w:val="00287B7E"/>
    <w:rsid w:val="002901FE"/>
    <w:rsid w:val="00290781"/>
    <w:rsid w:val="002912D3"/>
    <w:rsid w:val="00291784"/>
    <w:rsid w:val="002929BB"/>
    <w:rsid w:val="00292E64"/>
    <w:rsid w:val="002932BA"/>
    <w:rsid w:val="00293669"/>
    <w:rsid w:val="00294368"/>
    <w:rsid w:val="00294B78"/>
    <w:rsid w:val="00295646"/>
    <w:rsid w:val="00295949"/>
    <w:rsid w:val="0029624A"/>
    <w:rsid w:val="00296922"/>
    <w:rsid w:val="0029697C"/>
    <w:rsid w:val="00297098"/>
    <w:rsid w:val="00297C41"/>
    <w:rsid w:val="002A05D4"/>
    <w:rsid w:val="002A09FF"/>
    <w:rsid w:val="002A0E60"/>
    <w:rsid w:val="002A1A58"/>
    <w:rsid w:val="002A1B02"/>
    <w:rsid w:val="002A1C53"/>
    <w:rsid w:val="002A28FC"/>
    <w:rsid w:val="002A2B44"/>
    <w:rsid w:val="002A2EA5"/>
    <w:rsid w:val="002A3842"/>
    <w:rsid w:val="002A3D94"/>
    <w:rsid w:val="002A4736"/>
    <w:rsid w:val="002A4B1C"/>
    <w:rsid w:val="002A4BDD"/>
    <w:rsid w:val="002A4CC8"/>
    <w:rsid w:val="002A4DBB"/>
    <w:rsid w:val="002A6AFB"/>
    <w:rsid w:val="002A6B62"/>
    <w:rsid w:val="002A6E3A"/>
    <w:rsid w:val="002A733D"/>
    <w:rsid w:val="002A774A"/>
    <w:rsid w:val="002A7E5C"/>
    <w:rsid w:val="002A7F6D"/>
    <w:rsid w:val="002B020D"/>
    <w:rsid w:val="002B1342"/>
    <w:rsid w:val="002B27C8"/>
    <w:rsid w:val="002B2A7F"/>
    <w:rsid w:val="002B330B"/>
    <w:rsid w:val="002B39BE"/>
    <w:rsid w:val="002B4039"/>
    <w:rsid w:val="002B438C"/>
    <w:rsid w:val="002B48DB"/>
    <w:rsid w:val="002B4B34"/>
    <w:rsid w:val="002B508E"/>
    <w:rsid w:val="002B541A"/>
    <w:rsid w:val="002B6407"/>
    <w:rsid w:val="002B6416"/>
    <w:rsid w:val="002B6459"/>
    <w:rsid w:val="002B64D2"/>
    <w:rsid w:val="002B68FE"/>
    <w:rsid w:val="002B73B0"/>
    <w:rsid w:val="002C1143"/>
    <w:rsid w:val="002C24B4"/>
    <w:rsid w:val="002C2739"/>
    <w:rsid w:val="002C2B3A"/>
    <w:rsid w:val="002C2B87"/>
    <w:rsid w:val="002C3CF4"/>
    <w:rsid w:val="002C441A"/>
    <w:rsid w:val="002C4A73"/>
    <w:rsid w:val="002C4B84"/>
    <w:rsid w:val="002C4C0C"/>
    <w:rsid w:val="002C5016"/>
    <w:rsid w:val="002C5570"/>
    <w:rsid w:val="002C5C2F"/>
    <w:rsid w:val="002C5D0F"/>
    <w:rsid w:val="002C5E87"/>
    <w:rsid w:val="002C60B9"/>
    <w:rsid w:val="002C6A1D"/>
    <w:rsid w:val="002C6F77"/>
    <w:rsid w:val="002C704D"/>
    <w:rsid w:val="002D0845"/>
    <w:rsid w:val="002D0933"/>
    <w:rsid w:val="002D0F58"/>
    <w:rsid w:val="002D19BB"/>
    <w:rsid w:val="002D1A9B"/>
    <w:rsid w:val="002D22C5"/>
    <w:rsid w:val="002D301F"/>
    <w:rsid w:val="002D302A"/>
    <w:rsid w:val="002D36C6"/>
    <w:rsid w:val="002D37C1"/>
    <w:rsid w:val="002D444B"/>
    <w:rsid w:val="002D4A45"/>
    <w:rsid w:val="002D4A73"/>
    <w:rsid w:val="002D4AB1"/>
    <w:rsid w:val="002D4B42"/>
    <w:rsid w:val="002D4DBA"/>
    <w:rsid w:val="002D5A1B"/>
    <w:rsid w:val="002D65BC"/>
    <w:rsid w:val="002D6D7E"/>
    <w:rsid w:val="002D7EDD"/>
    <w:rsid w:val="002E055C"/>
    <w:rsid w:val="002E1050"/>
    <w:rsid w:val="002E18E5"/>
    <w:rsid w:val="002E1953"/>
    <w:rsid w:val="002E2D7D"/>
    <w:rsid w:val="002E3AB5"/>
    <w:rsid w:val="002E3D76"/>
    <w:rsid w:val="002E40A1"/>
    <w:rsid w:val="002E48EC"/>
    <w:rsid w:val="002E4B44"/>
    <w:rsid w:val="002E4ECB"/>
    <w:rsid w:val="002E4F23"/>
    <w:rsid w:val="002E5B53"/>
    <w:rsid w:val="002E74C4"/>
    <w:rsid w:val="002E7847"/>
    <w:rsid w:val="002E7FCF"/>
    <w:rsid w:val="002F0073"/>
    <w:rsid w:val="002F0618"/>
    <w:rsid w:val="002F1D41"/>
    <w:rsid w:val="002F240B"/>
    <w:rsid w:val="002F2F50"/>
    <w:rsid w:val="002F3601"/>
    <w:rsid w:val="002F37DD"/>
    <w:rsid w:val="002F45F6"/>
    <w:rsid w:val="002F5B6B"/>
    <w:rsid w:val="002F692F"/>
    <w:rsid w:val="002F69BE"/>
    <w:rsid w:val="002F7B66"/>
    <w:rsid w:val="00300CB4"/>
    <w:rsid w:val="00300DE7"/>
    <w:rsid w:val="00300E24"/>
    <w:rsid w:val="0030101C"/>
    <w:rsid w:val="003033BA"/>
    <w:rsid w:val="003043A3"/>
    <w:rsid w:val="00304BD4"/>
    <w:rsid w:val="0030500A"/>
    <w:rsid w:val="0030517B"/>
    <w:rsid w:val="003052EB"/>
    <w:rsid w:val="00305FCB"/>
    <w:rsid w:val="0030600C"/>
    <w:rsid w:val="003063C3"/>
    <w:rsid w:val="00306B44"/>
    <w:rsid w:val="00307C44"/>
    <w:rsid w:val="0031088E"/>
    <w:rsid w:val="00310A35"/>
    <w:rsid w:val="00310CAF"/>
    <w:rsid w:val="00310D01"/>
    <w:rsid w:val="00311376"/>
    <w:rsid w:val="00311A1F"/>
    <w:rsid w:val="00311B47"/>
    <w:rsid w:val="00311D52"/>
    <w:rsid w:val="00312190"/>
    <w:rsid w:val="003125E0"/>
    <w:rsid w:val="00312606"/>
    <w:rsid w:val="0031271D"/>
    <w:rsid w:val="00312780"/>
    <w:rsid w:val="0031336A"/>
    <w:rsid w:val="00313447"/>
    <w:rsid w:val="00313748"/>
    <w:rsid w:val="00313EA3"/>
    <w:rsid w:val="00315457"/>
    <w:rsid w:val="003161A4"/>
    <w:rsid w:val="00316955"/>
    <w:rsid w:val="0031720A"/>
    <w:rsid w:val="0031749B"/>
    <w:rsid w:val="003174E5"/>
    <w:rsid w:val="00317C9D"/>
    <w:rsid w:val="00317CD2"/>
    <w:rsid w:val="00317D99"/>
    <w:rsid w:val="0032078D"/>
    <w:rsid w:val="003208F4"/>
    <w:rsid w:val="00320A6E"/>
    <w:rsid w:val="00320F34"/>
    <w:rsid w:val="0032137B"/>
    <w:rsid w:val="003214F7"/>
    <w:rsid w:val="00321BD6"/>
    <w:rsid w:val="00321FA3"/>
    <w:rsid w:val="003227D3"/>
    <w:rsid w:val="00322937"/>
    <w:rsid w:val="00322A46"/>
    <w:rsid w:val="00322A84"/>
    <w:rsid w:val="00323881"/>
    <w:rsid w:val="00323B73"/>
    <w:rsid w:val="003254F5"/>
    <w:rsid w:val="00325D98"/>
    <w:rsid w:val="0032682A"/>
    <w:rsid w:val="00327A5C"/>
    <w:rsid w:val="0033092C"/>
    <w:rsid w:val="0033122A"/>
    <w:rsid w:val="003315AC"/>
    <w:rsid w:val="00331932"/>
    <w:rsid w:val="00333A88"/>
    <w:rsid w:val="00333FFB"/>
    <w:rsid w:val="00335B15"/>
    <w:rsid w:val="00335B21"/>
    <w:rsid w:val="00335D3F"/>
    <w:rsid w:val="00336104"/>
    <w:rsid w:val="00336729"/>
    <w:rsid w:val="00336859"/>
    <w:rsid w:val="00336AB1"/>
    <w:rsid w:val="00337178"/>
    <w:rsid w:val="0033726D"/>
    <w:rsid w:val="00337362"/>
    <w:rsid w:val="00337CA8"/>
    <w:rsid w:val="00337EAD"/>
    <w:rsid w:val="0034125B"/>
    <w:rsid w:val="0034177C"/>
    <w:rsid w:val="00342345"/>
    <w:rsid w:val="00342C27"/>
    <w:rsid w:val="003430C8"/>
    <w:rsid w:val="003432C8"/>
    <w:rsid w:val="003434B3"/>
    <w:rsid w:val="00343536"/>
    <w:rsid w:val="00343EFB"/>
    <w:rsid w:val="003443DF"/>
    <w:rsid w:val="00344760"/>
    <w:rsid w:val="00344A64"/>
    <w:rsid w:val="00344BF8"/>
    <w:rsid w:val="00344D3C"/>
    <w:rsid w:val="0034680A"/>
    <w:rsid w:val="00346C62"/>
    <w:rsid w:val="0034778E"/>
    <w:rsid w:val="00347FEE"/>
    <w:rsid w:val="003501E2"/>
    <w:rsid w:val="00350A59"/>
    <w:rsid w:val="00351E10"/>
    <w:rsid w:val="0035273A"/>
    <w:rsid w:val="00352D59"/>
    <w:rsid w:val="003533F4"/>
    <w:rsid w:val="003536F6"/>
    <w:rsid w:val="00353DD5"/>
    <w:rsid w:val="00355131"/>
    <w:rsid w:val="00355462"/>
    <w:rsid w:val="00356438"/>
    <w:rsid w:val="00356687"/>
    <w:rsid w:val="003609C4"/>
    <w:rsid w:val="003618D9"/>
    <w:rsid w:val="00361A59"/>
    <w:rsid w:val="00362B12"/>
    <w:rsid w:val="003631CC"/>
    <w:rsid w:val="00363348"/>
    <w:rsid w:val="00363857"/>
    <w:rsid w:val="00363D59"/>
    <w:rsid w:val="003640F7"/>
    <w:rsid w:val="00364300"/>
    <w:rsid w:val="00365D3A"/>
    <w:rsid w:val="003661DD"/>
    <w:rsid w:val="003664FF"/>
    <w:rsid w:val="00366B70"/>
    <w:rsid w:val="00366BD2"/>
    <w:rsid w:val="003670B8"/>
    <w:rsid w:val="0036776E"/>
    <w:rsid w:val="003704A3"/>
    <w:rsid w:val="003706F2"/>
    <w:rsid w:val="0037124F"/>
    <w:rsid w:val="00373827"/>
    <w:rsid w:val="00373F04"/>
    <w:rsid w:val="0037401C"/>
    <w:rsid w:val="00374A1E"/>
    <w:rsid w:val="0037507B"/>
    <w:rsid w:val="003759D1"/>
    <w:rsid w:val="00375C7C"/>
    <w:rsid w:val="003762F6"/>
    <w:rsid w:val="00377027"/>
    <w:rsid w:val="00377135"/>
    <w:rsid w:val="00380272"/>
    <w:rsid w:val="00380355"/>
    <w:rsid w:val="00380576"/>
    <w:rsid w:val="003805DB"/>
    <w:rsid w:val="003813F4"/>
    <w:rsid w:val="0038152A"/>
    <w:rsid w:val="00382BAD"/>
    <w:rsid w:val="00383878"/>
    <w:rsid w:val="00383A8D"/>
    <w:rsid w:val="00384CD6"/>
    <w:rsid w:val="00384DF1"/>
    <w:rsid w:val="00384FF3"/>
    <w:rsid w:val="00386456"/>
    <w:rsid w:val="003865A9"/>
    <w:rsid w:val="003867EE"/>
    <w:rsid w:val="00387642"/>
    <w:rsid w:val="003903B6"/>
    <w:rsid w:val="00390F32"/>
    <w:rsid w:val="0039135E"/>
    <w:rsid w:val="0039200F"/>
    <w:rsid w:val="0039319C"/>
    <w:rsid w:val="003938CD"/>
    <w:rsid w:val="00393CAE"/>
    <w:rsid w:val="003945DC"/>
    <w:rsid w:val="003945F4"/>
    <w:rsid w:val="00394EB5"/>
    <w:rsid w:val="003953B4"/>
    <w:rsid w:val="0039615F"/>
    <w:rsid w:val="00396A29"/>
    <w:rsid w:val="00397FF0"/>
    <w:rsid w:val="003A0878"/>
    <w:rsid w:val="003A1561"/>
    <w:rsid w:val="003A1D25"/>
    <w:rsid w:val="003A22A2"/>
    <w:rsid w:val="003A2447"/>
    <w:rsid w:val="003A2AA1"/>
    <w:rsid w:val="003A31A5"/>
    <w:rsid w:val="003A3851"/>
    <w:rsid w:val="003A39DD"/>
    <w:rsid w:val="003A4A8E"/>
    <w:rsid w:val="003A563C"/>
    <w:rsid w:val="003A581E"/>
    <w:rsid w:val="003A6160"/>
    <w:rsid w:val="003A65A5"/>
    <w:rsid w:val="003A72F5"/>
    <w:rsid w:val="003A78E5"/>
    <w:rsid w:val="003B0341"/>
    <w:rsid w:val="003B120F"/>
    <w:rsid w:val="003B1E57"/>
    <w:rsid w:val="003B2885"/>
    <w:rsid w:val="003B2EF3"/>
    <w:rsid w:val="003B3676"/>
    <w:rsid w:val="003B4B1C"/>
    <w:rsid w:val="003B4CB2"/>
    <w:rsid w:val="003B534F"/>
    <w:rsid w:val="003B5391"/>
    <w:rsid w:val="003B5952"/>
    <w:rsid w:val="003B65D7"/>
    <w:rsid w:val="003B65E0"/>
    <w:rsid w:val="003B6BD4"/>
    <w:rsid w:val="003B6F4D"/>
    <w:rsid w:val="003B6FE7"/>
    <w:rsid w:val="003C0791"/>
    <w:rsid w:val="003C0D1F"/>
    <w:rsid w:val="003C116A"/>
    <w:rsid w:val="003C1AF4"/>
    <w:rsid w:val="003C1B63"/>
    <w:rsid w:val="003C1CB8"/>
    <w:rsid w:val="003C2550"/>
    <w:rsid w:val="003C287F"/>
    <w:rsid w:val="003C3339"/>
    <w:rsid w:val="003C375A"/>
    <w:rsid w:val="003C43F6"/>
    <w:rsid w:val="003C4D9F"/>
    <w:rsid w:val="003C5118"/>
    <w:rsid w:val="003C622C"/>
    <w:rsid w:val="003C6D53"/>
    <w:rsid w:val="003C73C7"/>
    <w:rsid w:val="003D03F3"/>
    <w:rsid w:val="003D050B"/>
    <w:rsid w:val="003D0B98"/>
    <w:rsid w:val="003D0C3C"/>
    <w:rsid w:val="003D0DE5"/>
    <w:rsid w:val="003D1351"/>
    <w:rsid w:val="003D1E4F"/>
    <w:rsid w:val="003D21C1"/>
    <w:rsid w:val="003D2924"/>
    <w:rsid w:val="003D3707"/>
    <w:rsid w:val="003D3B15"/>
    <w:rsid w:val="003D3B2E"/>
    <w:rsid w:val="003D484D"/>
    <w:rsid w:val="003D49CB"/>
    <w:rsid w:val="003D4BD6"/>
    <w:rsid w:val="003D6412"/>
    <w:rsid w:val="003D6B8F"/>
    <w:rsid w:val="003D7566"/>
    <w:rsid w:val="003E08B3"/>
    <w:rsid w:val="003E09BB"/>
    <w:rsid w:val="003E0EAD"/>
    <w:rsid w:val="003E159D"/>
    <w:rsid w:val="003E20EA"/>
    <w:rsid w:val="003E210C"/>
    <w:rsid w:val="003E2913"/>
    <w:rsid w:val="003E2F55"/>
    <w:rsid w:val="003E317C"/>
    <w:rsid w:val="003E34DB"/>
    <w:rsid w:val="003E3833"/>
    <w:rsid w:val="003E3902"/>
    <w:rsid w:val="003E3AF9"/>
    <w:rsid w:val="003E4A70"/>
    <w:rsid w:val="003E4C48"/>
    <w:rsid w:val="003E4CD9"/>
    <w:rsid w:val="003E54B3"/>
    <w:rsid w:val="003E5780"/>
    <w:rsid w:val="003E5B9F"/>
    <w:rsid w:val="003E6072"/>
    <w:rsid w:val="003E6AB6"/>
    <w:rsid w:val="003E6E0B"/>
    <w:rsid w:val="003E71CD"/>
    <w:rsid w:val="003E74E5"/>
    <w:rsid w:val="003E76DF"/>
    <w:rsid w:val="003E78DA"/>
    <w:rsid w:val="003E7A8B"/>
    <w:rsid w:val="003F04B0"/>
    <w:rsid w:val="003F0F7F"/>
    <w:rsid w:val="003F300D"/>
    <w:rsid w:val="003F391F"/>
    <w:rsid w:val="003F4599"/>
    <w:rsid w:val="003F45E1"/>
    <w:rsid w:val="003F4F6C"/>
    <w:rsid w:val="003F516A"/>
    <w:rsid w:val="003F559E"/>
    <w:rsid w:val="003F5DB7"/>
    <w:rsid w:val="003F6181"/>
    <w:rsid w:val="003F7343"/>
    <w:rsid w:val="00400002"/>
    <w:rsid w:val="00400054"/>
    <w:rsid w:val="0040083B"/>
    <w:rsid w:val="0040152A"/>
    <w:rsid w:val="004016A3"/>
    <w:rsid w:val="00401B31"/>
    <w:rsid w:val="0040202B"/>
    <w:rsid w:val="00402307"/>
    <w:rsid w:val="00402DE1"/>
    <w:rsid w:val="00402EEB"/>
    <w:rsid w:val="004037C2"/>
    <w:rsid w:val="00404041"/>
    <w:rsid w:val="00404B43"/>
    <w:rsid w:val="00404C61"/>
    <w:rsid w:val="00405487"/>
    <w:rsid w:val="004054B1"/>
    <w:rsid w:val="00405792"/>
    <w:rsid w:val="0040602B"/>
    <w:rsid w:val="00407A7A"/>
    <w:rsid w:val="00407ABC"/>
    <w:rsid w:val="00407F1E"/>
    <w:rsid w:val="00410A88"/>
    <w:rsid w:val="00411317"/>
    <w:rsid w:val="00411A9E"/>
    <w:rsid w:val="00411D88"/>
    <w:rsid w:val="0041214C"/>
    <w:rsid w:val="0041259F"/>
    <w:rsid w:val="0041286F"/>
    <w:rsid w:val="00412B4D"/>
    <w:rsid w:val="00412BBF"/>
    <w:rsid w:val="00412C51"/>
    <w:rsid w:val="00413262"/>
    <w:rsid w:val="0041329C"/>
    <w:rsid w:val="004139F4"/>
    <w:rsid w:val="00413FFA"/>
    <w:rsid w:val="00414246"/>
    <w:rsid w:val="0041475B"/>
    <w:rsid w:val="00414760"/>
    <w:rsid w:val="00414C2F"/>
    <w:rsid w:val="00414D9A"/>
    <w:rsid w:val="00415194"/>
    <w:rsid w:val="00415816"/>
    <w:rsid w:val="00415B88"/>
    <w:rsid w:val="00415D32"/>
    <w:rsid w:val="004160A2"/>
    <w:rsid w:val="004166CB"/>
    <w:rsid w:val="00417089"/>
    <w:rsid w:val="004170D7"/>
    <w:rsid w:val="004177A6"/>
    <w:rsid w:val="00417EFD"/>
    <w:rsid w:val="004200EE"/>
    <w:rsid w:val="004209D2"/>
    <w:rsid w:val="00420D6E"/>
    <w:rsid w:val="00421BD2"/>
    <w:rsid w:val="00421E00"/>
    <w:rsid w:val="00421FCB"/>
    <w:rsid w:val="00421FF6"/>
    <w:rsid w:val="00422DCA"/>
    <w:rsid w:val="00423F9F"/>
    <w:rsid w:val="0042499B"/>
    <w:rsid w:val="00424FEC"/>
    <w:rsid w:val="00425C43"/>
    <w:rsid w:val="00426C69"/>
    <w:rsid w:val="00426D3B"/>
    <w:rsid w:val="004273FA"/>
    <w:rsid w:val="004276C2"/>
    <w:rsid w:val="00430186"/>
    <w:rsid w:val="00430730"/>
    <w:rsid w:val="0043269A"/>
    <w:rsid w:val="00432E14"/>
    <w:rsid w:val="004333C2"/>
    <w:rsid w:val="00433ACB"/>
    <w:rsid w:val="00434787"/>
    <w:rsid w:val="004347DA"/>
    <w:rsid w:val="004349EF"/>
    <w:rsid w:val="00434C13"/>
    <w:rsid w:val="00436323"/>
    <w:rsid w:val="0043683F"/>
    <w:rsid w:val="00436E45"/>
    <w:rsid w:val="00436F40"/>
    <w:rsid w:val="004370FA"/>
    <w:rsid w:val="00437266"/>
    <w:rsid w:val="00440096"/>
    <w:rsid w:val="004403DD"/>
    <w:rsid w:val="00440DB0"/>
    <w:rsid w:val="00440FAD"/>
    <w:rsid w:val="0044105D"/>
    <w:rsid w:val="00441291"/>
    <w:rsid w:val="004420AB"/>
    <w:rsid w:val="004422D6"/>
    <w:rsid w:val="004427AC"/>
    <w:rsid w:val="00442D4D"/>
    <w:rsid w:val="00443613"/>
    <w:rsid w:val="0044374D"/>
    <w:rsid w:val="00443865"/>
    <w:rsid w:val="00443B55"/>
    <w:rsid w:val="00443D27"/>
    <w:rsid w:val="00445AC2"/>
    <w:rsid w:val="00446037"/>
    <w:rsid w:val="0044642F"/>
    <w:rsid w:val="0044772C"/>
    <w:rsid w:val="004502AA"/>
    <w:rsid w:val="004507BD"/>
    <w:rsid w:val="00450846"/>
    <w:rsid w:val="004510BD"/>
    <w:rsid w:val="0045159C"/>
    <w:rsid w:val="00451A52"/>
    <w:rsid w:val="00451FC8"/>
    <w:rsid w:val="0045271D"/>
    <w:rsid w:val="00452755"/>
    <w:rsid w:val="00452803"/>
    <w:rsid w:val="004529C6"/>
    <w:rsid w:val="00452EAD"/>
    <w:rsid w:val="004531D5"/>
    <w:rsid w:val="004533D1"/>
    <w:rsid w:val="004534D1"/>
    <w:rsid w:val="00453A53"/>
    <w:rsid w:val="00454548"/>
    <w:rsid w:val="00454582"/>
    <w:rsid w:val="0045463D"/>
    <w:rsid w:val="00454717"/>
    <w:rsid w:val="00455047"/>
    <w:rsid w:val="00455354"/>
    <w:rsid w:val="0045558D"/>
    <w:rsid w:val="00455672"/>
    <w:rsid w:val="00455811"/>
    <w:rsid w:val="00455DEE"/>
    <w:rsid w:val="00456970"/>
    <w:rsid w:val="00456BB1"/>
    <w:rsid w:val="00456DDB"/>
    <w:rsid w:val="0046080F"/>
    <w:rsid w:val="00460915"/>
    <w:rsid w:val="00460946"/>
    <w:rsid w:val="004613D2"/>
    <w:rsid w:val="004614A9"/>
    <w:rsid w:val="00461B6F"/>
    <w:rsid w:val="00461E97"/>
    <w:rsid w:val="00462452"/>
    <w:rsid w:val="0046268F"/>
    <w:rsid w:val="0046284F"/>
    <w:rsid w:val="00462B10"/>
    <w:rsid w:val="00462C04"/>
    <w:rsid w:val="0046320A"/>
    <w:rsid w:val="0046361D"/>
    <w:rsid w:val="004638E2"/>
    <w:rsid w:val="00464030"/>
    <w:rsid w:val="004647F8"/>
    <w:rsid w:val="004647FB"/>
    <w:rsid w:val="00465456"/>
    <w:rsid w:val="00465677"/>
    <w:rsid w:val="00465AC3"/>
    <w:rsid w:val="00466616"/>
    <w:rsid w:val="00466A0C"/>
    <w:rsid w:val="00470A6A"/>
    <w:rsid w:val="00470D92"/>
    <w:rsid w:val="004712D1"/>
    <w:rsid w:val="00471DF7"/>
    <w:rsid w:val="00471F6B"/>
    <w:rsid w:val="0047295C"/>
    <w:rsid w:val="00472D8E"/>
    <w:rsid w:val="004734CF"/>
    <w:rsid w:val="00474889"/>
    <w:rsid w:val="00475C5A"/>
    <w:rsid w:val="00475C9C"/>
    <w:rsid w:val="0047676B"/>
    <w:rsid w:val="0047773C"/>
    <w:rsid w:val="00477C5F"/>
    <w:rsid w:val="00480050"/>
    <w:rsid w:val="004808DE"/>
    <w:rsid w:val="00481AC4"/>
    <w:rsid w:val="00481DC1"/>
    <w:rsid w:val="00482507"/>
    <w:rsid w:val="0048268A"/>
    <w:rsid w:val="00482BB3"/>
    <w:rsid w:val="00483356"/>
    <w:rsid w:val="004835CA"/>
    <w:rsid w:val="004836F8"/>
    <w:rsid w:val="004836FE"/>
    <w:rsid w:val="00484074"/>
    <w:rsid w:val="004843F9"/>
    <w:rsid w:val="00484F0F"/>
    <w:rsid w:val="00484F40"/>
    <w:rsid w:val="0048540C"/>
    <w:rsid w:val="0048592F"/>
    <w:rsid w:val="0048605E"/>
    <w:rsid w:val="004861B4"/>
    <w:rsid w:val="00486AB4"/>
    <w:rsid w:val="00486BD0"/>
    <w:rsid w:val="00486D00"/>
    <w:rsid w:val="00487263"/>
    <w:rsid w:val="0048734F"/>
    <w:rsid w:val="0049029D"/>
    <w:rsid w:val="0049030C"/>
    <w:rsid w:val="004903C0"/>
    <w:rsid w:val="0049114B"/>
    <w:rsid w:val="004912A8"/>
    <w:rsid w:val="00491577"/>
    <w:rsid w:val="0049196E"/>
    <w:rsid w:val="0049241A"/>
    <w:rsid w:val="00492C1F"/>
    <w:rsid w:val="00492E4C"/>
    <w:rsid w:val="00493B2C"/>
    <w:rsid w:val="00493E04"/>
    <w:rsid w:val="004940E3"/>
    <w:rsid w:val="004942DE"/>
    <w:rsid w:val="0049530F"/>
    <w:rsid w:val="00496664"/>
    <w:rsid w:val="00496786"/>
    <w:rsid w:val="0049695B"/>
    <w:rsid w:val="00496D8F"/>
    <w:rsid w:val="00497463"/>
    <w:rsid w:val="00497B15"/>
    <w:rsid w:val="00497BA8"/>
    <w:rsid w:val="004A054C"/>
    <w:rsid w:val="004A08D1"/>
    <w:rsid w:val="004A16C1"/>
    <w:rsid w:val="004A1CE2"/>
    <w:rsid w:val="004A2069"/>
    <w:rsid w:val="004A2800"/>
    <w:rsid w:val="004A34D2"/>
    <w:rsid w:val="004A41BA"/>
    <w:rsid w:val="004A4301"/>
    <w:rsid w:val="004A4E65"/>
    <w:rsid w:val="004A58EE"/>
    <w:rsid w:val="004A59B7"/>
    <w:rsid w:val="004A623B"/>
    <w:rsid w:val="004A6A04"/>
    <w:rsid w:val="004A6A52"/>
    <w:rsid w:val="004A6C78"/>
    <w:rsid w:val="004B0F0B"/>
    <w:rsid w:val="004B163F"/>
    <w:rsid w:val="004B2197"/>
    <w:rsid w:val="004B298A"/>
    <w:rsid w:val="004B578D"/>
    <w:rsid w:val="004B5BE7"/>
    <w:rsid w:val="004B5E2D"/>
    <w:rsid w:val="004B5ED5"/>
    <w:rsid w:val="004B6793"/>
    <w:rsid w:val="004B6C07"/>
    <w:rsid w:val="004B74D3"/>
    <w:rsid w:val="004B76D3"/>
    <w:rsid w:val="004B788E"/>
    <w:rsid w:val="004B79B3"/>
    <w:rsid w:val="004B7E5D"/>
    <w:rsid w:val="004C0DD8"/>
    <w:rsid w:val="004C22F7"/>
    <w:rsid w:val="004C2B27"/>
    <w:rsid w:val="004C3929"/>
    <w:rsid w:val="004C4DCB"/>
    <w:rsid w:val="004C5212"/>
    <w:rsid w:val="004C5B3B"/>
    <w:rsid w:val="004C5EF0"/>
    <w:rsid w:val="004C7226"/>
    <w:rsid w:val="004C74C9"/>
    <w:rsid w:val="004C7D70"/>
    <w:rsid w:val="004D02F9"/>
    <w:rsid w:val="004D03FE"/>
    <w:rsid w:val="004D0446"/>
    <w:rsid w:val="004D0A4F"/>
    <w:rsid w:val="004D0F95"/>
    <w:rsid w:val="004D106A"/>
    <w:rsid w:val="004D2BAD"/>
    <w:rsid w:val="004D31EE"/>
    <w:rsid w:val="004D36AF"/>
    <w:rsid w:val="004D3BD1"/>
    <w:rsid w:val="004D4BA1"/>
    <w:rsid w:val="004D5451"/>
    <w:rsid w:val="004D584D"/>
    <w:rsid w:val="004D58DE"/>
    <w:rsid w:val="004D61E1"/>
    <w:rsid w:val="004D6826"/>
    <w:rsid w:val="004E023F"/>
    <w:rsid w:val="004E0742"/>
    <w:rsid w:val="004E0C64"/>
    <w:rsid w:val="004E0F6B"/>
    <w:rsid w:val="004E1545"/>
    <w:rsid w:val="004E1F1C"/>
    <w:rsid w:val="004E26E6"/>
    <w:rsid w:val="004E2A35"/>
    <w:rsid w:val="004E40CE"/>
    <w:rsid w:val="004E4465"/>
    <w:rsid w:val="004E518D"/>
    <w:rsid w:val="004E5736"/>
    <w:rsid w:val="004E5B36"/>
    <w:rsid w:val="004E6045"/>
    <w:rsid w:val="004E6F43"/>
    <w:rsid w:val="004E7200"/>
    <w:rsid w:val="004F034D"/>
    <w:rsid w:val="004F091D"/>
    <w:rsid w:val="004F0960"/>
    <w:rsid w:val="004F0A5C"/>
    <w:rsid w:val="004F0CD9"/>
    <w:rsid w:val="004F163F"/>
    <w:rsid w:val="004F18A0"/>
    <w:rsid w:val="004F1A08"/>
    <w:rsid w:val="004F2B64"/>
    <w:rsid w:val="004F3764"/>
    <w:rsid w:val="004F3EEF"/>
    <w:rsid w:val="004F47D0"/>
    <w:rsid w:val="004F4B65"/>
    <w:rsid w:val="004F548C"/>
    <w:rsid w:val="004F5930"/>
    <w:rsid w:val="004F5970"/>
    <w:rsid w:val="004F5F0C"/>
    <w:rsid w:val="004F6121"/>
    <w:rsid w:val="004F6161"/>
    <w:rsid w:val="004F66BC"/>
    <w:rsid w:val="004F67B2"/>
    <w:rsid w:val="004F6C26"/>
    <w:rsid w:val="004F7AC9"/>
    <w:rsid w:val="0050062F"/>
    <w:rsid w:val="005012E2"/>
    <w:rsid w:val="00501481"/>
    <w:rsid w:val="0050160F"/>
    <w:rsid w:val="0050208C"/>
    <w:rsid w:val="0050284E"/>
    <w:rsid w:val="00505DCB"/>
    <w:rsid w:val="005075CA"/>
    <w:rsid w:val="0051074C"/>
    <w:rsid w:val="00510DE9"/>
    <w:rsid w:val="005111E2"/>
    <w:rsid w:val="00511231"/>
    <w:rsid w:val="0051212F"/>
    <w:rsid w:val="00512779"/>
    <w:rsid w:val="00512986"/>
    <w:rsid w:val="00512C4F"/>
    <w:rsid w:val="00513042"/>
    <w:rsid w:val="0051334F"/>
    <w:rsid w:val="00513399"/>
    <w:rsid w:val="00513AA0"/>
    <w:rsid w:val="00513AF2"/>
    <w:rsid w:val="00514575"/>
    <w:rsid w:val="00514C03"/>
    <w:rsid w:val="00514D67"/>
    <w:rsid w:val="00515515"/>
    <w:rsid w:val="00515F54"/>
    <w:rsid w:val="00516338"/>
    <w:rsid w:val="0051635C"/>
    <w:rsid w:val="00516C5B"/>
    <w:rsid w:val="00517612"/>
    <w:rsid w:val="00517CFB"/>
    <w:rsid w:val="00517F85"/>
    <w:rsid w:val="00520899"/>
    <w:rsid w:val="00520922"/>
    <w:rsid w:val="005209FC"/>
    <w:rsid w:val="00520E50"/>
    <w:rsid w:val="005224E5"/>
    <w:rsid w:val="005226BE"/>
    <w:rsid w:val="005235ED"/>
    <w:rsid w:val="00523903"/>
    <w:rsid w:val="005239B6"/>
    <w:rsid w:val="00523C45"/>
    <w:rsid w:val="00524165"/>
    <w:rsid w:val="005242BA"/>
    <w:rsid w:val="005246E7"/>
    <w:rsid w:val="00524963"/>
    <w:rsid w:val="00524FD2"/>
    <w:rsid w:val="00525621"/>
    <w:rsid w:val="00525B2E"/>
    <w:rsid w:val="00526431"/>
    <w:rsid w:val="005265D8"/>
    <w:rsid w:val="00527C6B"/>
    <w:rsid w:val="00527E57"/>
    <w:rsid w:val="00530405"/>
    <w:rsid w:val="00530522"/>
    <w:rsid w:val="005305E5"/>
    <w:rsid w:val="00530F38"/>
    <w:rsid w:val="00531F26"/>
    <w:rsid w:val="0053277C"/>
    <w:rsid w:val="005327C0"/>
    <w:rsid w:val="00532D95"/>
    <w:rsid w:val="00533101"/>
    <w:rsid w:val="00533CA9"/>
    <w:rsid w:val="00533DA7"/>
    <w:rsid w:val="005342A3"/>
    <w:rsid w:val="005346AD"/>
    <w:rsid w:val="00534C25"/>
    <w:rsid w:val="00534EFB"/>
    <w:rsid w:val="00534F60"/>
    <w:rsid w:val="005357F1"/>
    <w:rsid w:val="00536053"/>
    <w:rsid w:val="005369E6"/>
    <w:rsid w:val="00536E62"/>
    <w:rsid w:val="005371AC"/>
    <w:rsid w:val="00537672"/>
    <w:rsid w:val="0053772F"/>
    <w:rsid w:val="00537B77"/>
    <w:rsid w:val="00540C4C"/>
    <w:rsid w:val="00541571"/>
    <w:rsid w:val="0054275A"/>
    <w:rsid w:val="005428B8"/>
    <w:rsid w:val="00542BD7"/>
    <w:rsid w:val="00542E67"/>
    <w:rsid w:val="00543084"/>
    <w:rsid w:val="0054413A"/>
    <w:rsid w:val="00544288"/>
    <w:rsid w:val="005446BB"/>
    <w:rsid w:val="00545E30"/>
    <w:rsid w:val="00545EA3"/>
    <w:rsid w:val="00546293"/>
    <w:rsid w:val="00546C9B"/>
    <w:rsid w:val="00547BF6"/>
    <w:rsid w:val="005502F9"/>
    <w:rsid w:val="00551098"/>
    <w:rsid w:val="00551581"/>
    <w:rsid w:val="00551598"/>
    <w:rsid w:val="00551610"/>
    <w:rsid w:val="0055162B"/>
    <w:rsid w:val="00551BFF"/>
    <w:rsid w:val="00551D68"/>
    <w:rsid w:val="00552B3E"/>
    <w:rsid w:val="00554F3F"/>
    <w:rsid w:val="005551AA"/>
    <w:rsid w:val="005564CA"/>
    <w:rsid w:val="005568EA"/>
    <w:rsid w:val="00557140"/>
    <w:rsid w:val="00557DE4"/>
    <w:rsid w:val="0056058C"/>
    <w:rsid w:val="00560C87"/>
    <w:rsid w:val="00560EF9"/>
    <w:rsid w:val="00560F51"/>
    <w:rsid w:val="00561249"/>
    <w:rsid w:val="0056182B"/>
    <w:rsid w:val="00561AF3"/>
    <w:rsid w:val="00561E0B"/>
    <w:rsid w:val="00562141"/>
    <w:rsid w:val="00562D86"/>
    <w:rsid w:val="00563680"/>
    <w:rsid w:val="005642EC"/>
    <w:rsid w:val="00564704"/>
    <w:rsid w:val="00564712"/>
    <w:rsid w:val="005657A8"/>
    <w:rsid w:val="00565952"/>
    <w:rsid w:val="00566866"/>
    <w:rsid w:val="005670A5"/>
    <w:rsid w:val="00567106"/>
    <w:rsid w:val="00567723"/>
    <w:rsid w:val="00567AB8"/>
    <w:rsid w:val="00567C02"/>
    <w:rsid w:val="0057045E"/>
    <w:rsid w:val="005707F7"/>
    <w:rsid w:val="00570A26"/>
    <w:rsid w:val="0057170B"/>
    <w:rsid w:val="0057221F"/>
    <w:rsid w:val="00572539"/>
    <w:rsid w:val="0057337D"/>
    <w:rsid w:val="00573504"/>
    <w:rsid w:val="00574708"/>
    <w:rsid w:val="00574D81"/>
    <w:rsid w:val="005756AA"/>
    <w:rsid w:val="00575FB1"/>
    <w:rsid w:val="00576233"/>
    <w:rsid w:val="0057696F"/>
    <w:rsid w:val="005771B1"/>
    <w:rsid w:val="005774FE"/>
    <w:rsid w:val="0058040C"/>
    <w:rsid w:val="00580918"/>
    <w:rsid w:val="00580D6D"/>
    <w:rsid w:val="005813DE"/>
    <w:rsid w:val="00581796"/>
    <w:rsid w:val="00581B45"/>
    <w:rsid w:val="00582480"/>
    <w:rsid w:val="00582763"/>
    <w:rsid w:val="0058290E"/>
    <w:rsid w:val="00582CAB"/>
    <w:rsid w:val="00583121"/>
    <w:rsid w:val="0058375E"/>
    <w:rsid w:val="00584233"/>
    <w:rsid w:val="005842D0"/>
    <w:rsid w:val="005855AE"/>
    <w:rsid w:val="00585829"/>
    <w:rsid w:val="00585CA8"/>
    <w:rsid w:val="00586412"/>
    <w:rsid w:val="005864B9"/>
    <w:rsid w:val="005866C4"/>
    <w:rsid w:val="00586BDB"/>
    <w:rsid w:val="00590F1A"/>
    <w:rsid w:val="00591C03"/>
    <w:rsid w:val="00591E2A"/>
    <w:rsid w:val="005923C4"/>
    <w:rsid w:val="0059360E"/>
    <w:rsid w:val="00593F75"/>
    <w:rsid w:val="005940A0"/>
    <w:rsid w:val="0059429A"/>
    <w:rsid w:val="00595FDD"/>
    <w:rsid w:val="00596AF7"/>
    <w:rsid w:val="00596CCE"/>
    <w:rsid w:val="00597E38"/>
    <w:rsid w:val="005A1976"/>
    <w:rsid w:val="005A1D75"/>
    <w:rsid w:val="005A2120"/>
    <w:rsid w:val="005A2501"/>
    <w:rsid w:val="005A2C80"/>
    <w:rsid w:val="005A3066"/>
    <w:rsid w:val="005A3457"/>
    <w:rsid w:val="005A3B35"/>
    <w:rsid w:val="005A3C4B"/>
    <w:rsid w:val="005A3E5A"/>
    <w:rsid w:val="005A43F3"/>
    <w:rsid w:val="005A496F"/>
    <w:rsid w:val="005A4A56"/>
    <w:rsid w:val="005A5A3D"/>
    <w:rsid w:val="005A6035"/>
    <w:rsid w:val="005A6B75"/>
    <w:rsid w:val="005A6E00"/>
    <w:rsid w:val="005A718A"/>
    <w:rsid w:val="005A73C2"/>
    <w:rsid w:val="005B09BE"/>
    <w:rsid w:val="005B12B2"/>
    <w:rsid w:val="005B143B"/>
    <w:rsid w:val="005B1504"/>
    <w:rsid w:val="005B1E45"/>
    <w:rsid w:val="005B21C4"/>
    <w:rsid w:val="005B2A28"/>
    <w:rsid w:val="005B3621"/>
    <w:rsid w:val="005B4948"/>
    <w:rsid w:val="005B501D"/>
    <w:rsid w:val="005B54CC"/>
    <w:rsid w:val="005B6AE8"/>
    <w:rsid w:val="005B74AD"/>
    <w:rsid w:val="005B7E96"/>
    <w:rsid w:val="005C0429"/>
    <w:rsid w:val="005C084F"/>
    <w:rsid w:val="005C0EE9"/>
    <w:rsid w:val="005C1716"/>
    <w:rsid w:val="005C1954"/>
    <w:rsid w:val="005C1C0B"/>
    <w:rsid w:val="005C1D53"/>
    <w:rsid w:val="005C2011"/>
    <w:rsid w:val="005C36CF"/>
    <w:rsid w:val="005C3EA3"/>
    <w:rsid w:val="005C4AC1"/>
    <w:rsid w:val="005C5011"/>
    <w:rsid w:val="005C529E"/>
    <w:rsid w:val="005C57BA"/>
    <w:rsid w:val="005C5C52"/>
    <w:rsid w:val="005C5D3D"/>
    <w:rsid w:val="005C5F05"/>
    <w:rsid w:val="005C7497"/>
    <w:rsid w:val="005C7F3E"/>
    <w:rsid w:val="005D0E1C"/>
    <w:rsid w:val="005D1051"/>
    <w:rsid w:val="005D2044"/>
    <w:rsid w:val="005D27DC"/>
    <w:rsid w:val="005D2917"/>
    <w:rsid w:val="005D2EB2"/>
    <w:rsid w:val="005D2F48"/>
    <w:rsid w:val="005D41F2"/>
    <w:rsid w:val="005D4613"/>
    <w:rsid w:val="005D464B"/>
    <w:rsid w:val="005D466F"/>
    <w:rsid w:val="005D49F0"/>
    <w:rsid w:val="005D51FA"/>
    <w:rsid w:val="005D53E8"/>
    <w:rsid w:val="005D5A26"/>
    <w:rsid w:val="005D5A9D"/>
    <w:rsid w:val="005D6651"/>
    <w:rsid w:val="005D691D"/>
    <w:rsid w:val="005D6A72"/>
    <w:rsid w:val="005D7035"/>
    <w:rsid w:val="005D749F"/>
    <w:rsid w:val="005D791B"/>
    <w:rsid w:val="005D7CF2"/>
    <w:rsid w:val="005D7F92"/>
    <w:rsid w:val="005E0D7B"/>
    <w:rsid w:val="005E1595"/>
    <w:rsid w:val="005E181F"/>
    <w:rsid w:val="005E1F1D"/>
    <w:rsid w:val="005E273D"/>
    <w:rsid w:val="005E3278"/>
    <w:rsid w:val="005E363B"/>
    <w:rsid w:val="005E3760"/>
    <w:rsid w:val="005E3B0D"/>
    <w:rsid w:val="005E6EA5"/>
    <w:rsid w:val="005F041F"/>
    <w:rsid w:val="005F1216"/>
    <w:rsid w:val="005F1819"/>
    <w:rsid w:val="005F1D7D"/>
    <w:rsid w:val="005F1D89"/>
    <w:rsid w:val="005F305B"/>
    <w:rsid w:val="005F3361"/>
    <w:rsid w:val="005F3B47"/>
    <w:rsid w:val="005F4481"/>
    <w:rsid w:val="005F49AF"/>
    <w:rsid w:val="005F4A58"/>
    <w:rsid w:val="005F54DF"/>
    <w:rsid w:val="005F5888"/>
    <w:rsid w:val="005F5984"/>
    <w:rsid w:val="005F5F37"/>
    <w:rsid w:val="005F63B1"/>
    <w:rsid w:val="005F6CE2"/>
    <w:rsid w:val="005F7111"/>
    <w:rsid w:val="005F72E9"/>
    <w:rsid w:val="005F730E"/>
    <w:rsid w:val="005F780B"/>
    <w:rsid w:val="005F7B0D"/>
    <w:rsid w:val="00600195"/>
    <w:rsid w:val="00600473"/>
    <w:rsid w:val="006013C9"/>
    <w:rsid w:val="006016EA"/>
    <w:rsid w:val="00602B45"/>
    <w:rsid w:val="00603499"/>
    <w:rsid w:val="006035F5"/>
    <w:rsid w:val="00603CC2"/>
    <w:rsid w:val="006047D1"/>
    <w:rsid w:val="00604A55"/>
    <w:rsid w:val="00604D3F"/>
    <w:rsid w:val="00605AC3"/>
    <w:rsid w:val="00606908"/>
    <w:rsid w:val="00607996"/>
    <w:rsid w:val="00607A37"/>
    <w:rsid w:val="00607E9F"/>
    <w:rsid w:val="0061085E"/>
    <w:rsid w:val="00611398"/>
    <w:rsid w:val="00612322"/>
    <w:rsid w:val="006123C0"/>
    <w:rsid w:val="00613191"/>
    <w:rsid w:val="006133F9"/>
    <w:rsid w:val="006134B3"/>
    <w:rsid w:val="00613DE1"/>
    <w:rsid w:val="0061401F"/>
    <w:rsid w:val="00614166"/>
    <w:rsid w:val="00614817"/>
    <w:rsid w:val="006149CC"/>
    <w:rsid w:val="00615322"/>
    <w:rsid w:val="006157A9"/>
    <w:rsid w:val="0061591D"/>
    <w:rsid w:val="00615ED0"/>
    <w:rsid w:val="0061604C"/>
    <w:rsid w:val="0061610B"/>
    <w:rsid w:val="006168BD"/>
    <w:rsid w:val="00616C2B"/>
    <w:rsid w:val="006174FA"/>
    <w:rsid w:val="006178D1"/>
    <w:rsid w:val="00620719"/>
    <w:rsid w:val="006212C9"/>
    <w:rsid w:val="00621D0C"/>
    <w:rsid w:val="00622470"/>
    <w:rsid w:val="00622725"/>
    <w:rsid w:val="006231AA"/>
    <w:rsid w:val="00623482"/>
    <w:rsid w:val="00623AC2"/>
    <w:rsid w:val="00623FF7"/>
    <w:rsid w:val="0062471F"/>
    <w:rsid w:val="00625A26"/>
    <w:rsid w:val="00625F38"/>
    <w:rsid w:val="006266D7"/>
    <w:rsid w:val="00626D42"/>
    <w:rsid w:val="00626EE3"/>
    <w:rsid w:val="006274AD"/>
    <w:rsid w:val="00627532"/>
    <w:rsid w:val="006302AA"/>
    <w:rsid w:val="006310C3"/>
    <w:rsid w:val="0063161E"/>
    <w:rsid w:val="0063167C"/>
    <w:rsid w:val="00631A31"/>
    <w:rsid w:val="00631BB5"/>
    <w:rsid w:val="00631DD0"/>
    <w:rsid w:val="0063295C"/>
    <w:rsid w:val="00633367"/>
    <w:rsid w:val="00633DBF"/>
    <w:rsid w:val="00634122"/>
    <w:rsid w:val="00634C03"/>
    <w:rsid w:val="006355B6"/>
    <w:rsid w:val="00635824"/>
    <w:rsid w:val="00635E32"/>
    <w:rsid w:val="006365DE"/>
    <w:rsid w:val="00636BE4"/>
    <w:rsid w:val="0063746C"/>
    <w:rsid w:val="00637802"/>
    <w:rsid w:val="00637836"/>
    <w:rsid w:val="00637C26"/>
    <w:rsid w:val="00637F44"/>
    <w:rsid w:val="00640659"/>
    <w:rsid w:val="00641078"/>
    <w:rsid w:val="00641242"/>
    <w:rsid w:val="00642A32"/>
    <w:rsid w:val="00642D53"/>
    <w:rsid w:val="006433D5"/>
    <w:rsid w:val="00646B20"/>
    <w:rsid w:val="00646D0F"/>
    <w:rsid w:val="0064708F"/>
    <w:rsid w:val="00647936"/>
    <w:rsid w:val="00647A36"/>
    <w:rsid w:val="00647DCC"/>
    <w:rsid w:val="00647EFA"/>
    <w:rsid w:val="00647F14"/>
    <w:rsid w:val="00650027"/>
    <w:rsid w:val="00651B9C"/>
    <w:rsid w:val="00651C47"/>
    <w:rsid w:val="00651D98"/>
    <w:rsid w:val="00652854"/>
    <w:rsid w:val="00652D2C"/>
    <w:rsid w:val="00652E70"/>
    <w:rsid w:val="0065303A"/>
    <w:rsid w:val="00653091"/>
    <w:rsid w:val="0065339A"/>
    <w:rsid w:val="00653469"/>
    <w:rsid w:val="00654A38"/>
    <w:rsid w:val="00654B4B"/>
    <w:rsid w:val="00655301"/>
    <w:rsid w:val="00655371"/>
    <w:rsid w:val="00655876"/>
    <w:rsid w:val="00656C4B"/>
    <w:rsid w:val="006573EA"/>
    <w:rsid w:val="00657659"/>
    <w:rsid w:val="00661029"/>
    <w:rsid w:val="00661042"/>
    <w:rsid w:val="0066135A"/>
    <w:rsid w:val="00661639"/>
    <w:rsid w:val="0066272D"/>
    <w:rsid w:val="00662E58"/>
    <w:rsid w:val="00662F39"/>
    <w:rsid w:val="006635A0"/>
    <w:rsid w:val="00664351"/>
    <w:rsid w:val="00665968"/>
    <w:rsid w:val="00665BF7"/>
    <w:rsid w:val="00666178"/>
    <w:rsid w:val="0066639E"/>
    <w:rsid w:val="00666473"/>
    <w:rsid w:val="00666C72"/>
    <w:rsid w:val="00666E6C"/>
    <w:rsid w:val="0066707F"/>
    <w:rsid w:val="00667ED8"/>
    <w:rsid w:val="0067064C"/>
    <w:rsid w:val="00670B20"/>
    <w:rsid w:val="00670E12"/>
    <w:rsid w:val="00672DE7"/>
    <w:rsid w:val="00672E80"/>
    <w:rsid w:val="006739E4"/>
    <w:rsid w:val="00673ECF"/>
    <w:rsid w:val="0067426B"/>
    <w:rsid w:val="00674A1B"/>
    <w:rsid w:val="006754F8"/>
    <w:rsid w:val="00676127"/>
    <w:rsid w:val="00676AED"/>
    <w:rsid w:val="006776AC"/>
    <w:rsid w:val="00677981"/>
    <w:rsid w:val="00677F26"/>
    <w:rsid w:val="006802A7"/>
    <w:rsid w:val="006811C9"/>
    <w:rsid w:val="006812CE"/>
    <w:rsid w:val="006823DC"/>
    <w:rsid w:val="00682791"/>
    <w:rsid w:val="00682C89"/>
    <w:rsid w:val="006832B8"/>
    <w:rsid w:val="006837B2"/>
    <w:rsid w:val="00683800"/>
    <w:rsid w:val="00684411"/>
    <w:rsid w:val="00684434"/>
    <w:rsid w:val="00684C8A"/>
    <w:rsid w:val="00684CF5"/>
    <w:rsid w:val="006853EA"/>
    <w:rsid w:val="0068553E"/>
    <w:rsid w:val="00685E7B"/>
    <w:rsid w:val="0068628A"/>
    <w:rsid w:val="00686551"/>
    <w:rsid w:val="0068730C"/>
    <w:rsid w:val="00687504"/>
    <w:rsid w:val="00687A14"/>
    <w:rsid w:val="00687A8C"/>
    <w:rsid w:val="006906FA"/>
    <w:rsid w:val="00690839"/>
    <w:rsid w:val="006908DB"/>
    <w:rsid w:val="00690DE9"/>
    <w:rsid w:val="00691DE9"/>
    <w:rsid w:val="00691EAA"/>
    <w:rsid w:val="00692245"/>
    <w:rsid w:val="00692FFA"/>
    <w:rsid w:val="006932E0"/>
    <w:rsid w:val="00693772"/>
    <w:rsid w:val="00694160"/>
    <w:rsid w:val="006959A5"/>
    <w:rsid w:val="00695C0C"/>
    <w:rsid w:val="00696A05"/>
    <w:rsid w:val="00697665"/>
    <w:rsid w:val="00697C9A"/>
    <w:rsid w:val="00697E68"/>
    <w:rsid w:val="006A0274"/>
    <w:rsid w:val="006A24B9"/>
    <w:rsid w:val="006A2A43"/>
    <w:rsid w:val="006A2BF1"/>
    <w:rsid w:val="006A2F9A"/>
    <w:rsid w:val="006A34E4"/>
    <w:rsid w:val="006A3A5A"/>
    <w:rsid w:val="006A44CF"/>
    <w:rsid w:val="006A457D"/>
    <w:rsid w:val="006A4749"/>
    <w:rsid w:val="006A55EE"/>
    <w:rsid w:val="006A575B"/>
    <w:rsid w:val="006A59DE"/>
    <w:rsid w:val="006A63EB"/>
    <w:rsid w:val="006A6655"/>
    <w:rsid w:val="006A6B0B"/>
    <w:rsid w:val="006A6BF9"/>
    <w:rsid w:val="006A6F85"/>
    <w:rsid w:val="006A7CB5"/>
    <w:rsid w:val="006A7FD0"/>
    <w:rsid w:val="006B025C"/>
    <w:rsid w:val="006B16D3"/>
    <w:rsid w:val="006B2534"/>
    <w:rsid w:val="006B2CB2"/>
    <w:rsid w:val="006B347D"/>
    <w:rsid w:val="006B3E19"/>
    <w:rsid w:val="006B4488"/>
    <w:rsid w:val="006B671C"/>
    <w:rsid w:val="006B67AC"/>
    <w:rsid w:val="006B6A25"/>
    <w:rsid w:val="006B7285"/>
    <w:rsid w:val="006B786A"/>
    <w:rsid w:val="006B79B7"/>
    <w:rsid w:val="006B7E4E"/>
    <w:rsid w:val="006C003A"/>
    <w:rsid w:val="006C2454"/>
    <w:rsid w:val="006C2551"/>
    <w:rsid w:val="006C3746"/>
    <w:rsid w:val="006C37CA"/>
    <w:rsid w:val="006C40B7"/>
    <w:rsid w:val="006C40D2"/>
    <w:rsid w:val="006C5B15"/>
    <w:rsid w:val="006C5D32"/>
    <w:rsid w:val="006C5DCB"/>
    <w:rsid w:val="006C70C4"/>
    <w:rsid w:val="006C775C"/>
    <w:rsid w:val="006D04DA"/>
    <w:rsid w:val="006D10F6"/>
    <w:rsid w:val="006D1475"/>
    <w:rsid w:val="006D1544"/>
    <w:rsid w:val="006D1688"/>
    <w:rsid w:val="006D1FF3"/>
    <w:rsid w:val="006D2C65"/>
    <w:rsid w:val="006D32C6"/>
    <w:rsid w:val="006D360E"/>
    <w:rsid w:val="006D3697"/>
    <w:rsid w:val="006D39D2"/>
    <w:rsid w:val="006D3F2A"/>
    <w:rsid w:val="006D4370"/>
    <w:rsid w:val="006D46A3"/>
    <w:rsid w:val="006D6421"/>
    <w:rsid w:val="006D658F"/>
    <w:rsid w:val="006D69FA"/>
    <w:rsid w:val="006D6A12"/>
    <w:rsid w:val="006D712D"/>
    <w:rsid w:val="006D7687"/>
    <w:rsid w:val="006D7D1F"/>
    <w:rsid w:val="006D7D8A"/>
    <w:rsid w:val="006E0572"/>
    <w:rsid w:val="006E05D8"/>
    <w:rsid w:val="006E08EE"/>
    <w:rsid w:val="006E1130"/>
    <w:rsid w:val="006E155A"/>
    <w:rsid w:val="006E3452"/>
    <w:rsid w:val="006E39D1"/>
    <w:rsid w:val="006E4038"/>
    <w:rsid w:val="006E437F"/>
    <w:rsid w:val="006E4D5B"/>
    <w:rsid w:val="006E602F"/>
    <w:rsid w:val="006E6720"/>
    <w:rsid w:val="006E68FA"/>
    <w:rsid w:val="006E7275"/>
    <w:rsid w:val="006E77B8"/>
    <w:rsid w:val="006F15CC"/>
    <w:rsid w:val="006F1EA6"/>
    <w:rsid w:val="006F3BDD"/>
    <w:rsid w:val="006F4147"/>
    <w:rsid w:val="006F4315"/>
    <w:rsid w:val="006F4478"/>
    <w:rsid w:val="006F458D"/>
    <w:rsid w:val="006F4A6D"/>
    <w:rsid w:val="006F4CB0"/>
    <w:rsid w:val="006F4F78"/>
    <w:rsid w:val="006F547E"/>
    <w:rsid w:val="006F5656"/>
    <w:rsid w:val="006F5CA8"/>
    <w:rsid w:val="006F5CCF"/>
    <w:rsid w:val="006F772B"/>
    <w:rsid w:val="006F78DC"/>
    <w:rsid w:val="00700D5F"/>
    <w:rsid w:val="0070138A"/>
    <w:rsid w:val="0070157E"/>
    <w:rsid w:val="007030D4"/>
    <w:rsid w:val="0070317C"/>
    <w:rsid w:val="00703279"/>
    <w:rsid w:val="00703B61"/>
    <w:rsid w:val="00703B97"/>
    <w:rsid w:val="00703E11"/>
    <w:rsid w:val="00704102"/>
    <w:rsid w:val="0070461C"/>
    <w:rsid w:val="00705631"/>
    <w:rsid w:val="00705818"/>
    <w:rsid w:val="00705F62"/>
    <w:rsid w:val="0070773F"/>
    <w:rsid w:val="00707903"/>
    <w:rsid w:val="00707ED3"/>
    <w:rsid w:val="007101B7"/>
    <w:rsid w:val="00710668"/>
    <w:rsid w:val="007110F4"/>
    <w:rsid w:val="007112B1"/>
    <w:rsid w:val="0071130F"/>
    <w:rsid w:val="00712714"/>
    <w:rsid w:val="007128E3"/>
    <w:rsid w:val="007129AB"/>
    <w:rsid w:val="00712B63"/>
    <w:rsid w:val="007130E7"/>
    <w:rsid w:val="00713526"/>
    <w:rsid w:val="00713FC5"/>
    <w:rsid w:val="00715421"/>
    <w:rsid w:val="00715BAE"/>
    <w:rsid w:val="00715BBF"/>
    <w:rsid w:val="00715C29"/>
    <w:rsid w:val="00715CBD"/>
    <w:rsid w:val="00715E86"/>
    <w:rsid w:val="00715EAA"/>
    <w:rsid w:val="00716CAD"/>
    <w:rsid w:val="00716F18"/>
    <w:rsid w:val="0071716D"/>
    <w:rsid w:val="0071718F"/>
    <w:rsid w:val="00717363"/>
    <w:rsid w:val="0071745E"/>
    <w:rsid w:val="00717786"/>
    <w:rsid w:val="00717ACB"/>
    <w:rsid w:val="00721BFF"/>
    <w:rsid w:val="00722FD8"/>
    <w:rsid w:val="007236C4"/>
    <w:rsid w:val="00723B59"/>
    <w:rsid w:val="00724635"/>
    <w:rsid w:val="0072554B"/>
    <w:rsid w:val="00725AFD"/>
    <w:rsid w:val="00725F81"/>
    <w:rsid w:val="00726603"/>
    <w:rsid w:val="00727DDC"/>
    <w:rsid w:val="00730CD6"/>
    <w:rsid w:val="00730F74"/>
    <w:rsid w:val="0073114B"/>
    <w:rsid w:val="00734414"/>
    <w:rsid w:val="00734952"/>
    <w:rsid w:val="00734990"/>
    <w:rsid w:val="00734FF5"/>
    <w:rsid w:val="00735761"/>
    <w:rsid w:val="00735B78"/>
    <w:rsid w:val="00735DA7"/>
    <w:rsid w:val="007368B4"/>
    <w:rsid w:val="007378E0"/>
    <w:rsid w:val="00737C5C"/>
    <w:rsid w:val="0074026F"/>
    <w:rsid w:val="00740529"/>
    <w:rsid w:val="00740A6C"/>
    <w:rsid w:val="00741358"/>
    <w:rsid w:val="00741626"/>
    <w:rsid w:val="00742332"/>
    <w:rsid w:val="00742886"/>
    <w:rsid w:val="00742DD2"/>
    <w:rsid w:val="007437C6"/>
    <w:rsid w:val="007439EE"/>
    <w:rsid w:val="007441A2"/>
    <w:rsid w:val="00744B15"/>
    <w:rsid w:val="00744E80"/>
    <w:rsid w:val="00745035"/>
    <w:rsid w:val="0074531C"/>
    <w:rsid w:val="00745547"/>
    <w:rsid w:val="007459D0"/>
    <w:rsid w:val="0074623A"/>
    <w:rsid w:val="00746420"/>
    <w:rsid w:val="0074664B"/>
    <w:rsid w:val="00746E04"/>
    <w:rsid w:val="00746E08"/>
    <w:rsid w:val="00746E3D"/>
    <w:rsid w:val="007472B2"/>
    <w:rsid w:val="007473B9"/>
    <w:rsid w:val="007474ED"/>
    <w:rsid w:val="00747529"/>
    <w:rsid w:val="007476EE"/>
    <w:rsid w:val="00747C96"/>
    <w:rsid w:val="00750075"/>
    <w:rsid w:val="007502EC"/>
    <w:rsid w:val="00750382"/>
    <w:rsid w:val="0075094E"/>
    <w:rsid w:val="00750FA8"/>
    <w:rsid w:val="00750FB5"/>
    <w:rsid w:val="00751B4C"/>
    <w:rsid w:val="007522E8"/>
    <w:rsid w:val="00753BAC"/>
    <w:rsid w:val="00754A0B"/>
    <w:rsid w:val="007552DB"/>
    <w:rsid w:val="00755B08"/>
    <w:rsid w:val="00755DD0"/>
    <w:rsid w:val="007562EC"/>
    <w:rsid w:val="0075647A"/>
    <w:rsid w:val="007566BE"/>
    <w:rsid w:val="00756A2F"/>
    <w:rsid w:val="007573E1"/>
    <w:rsid w:val="0075749E"/>
    <w:rsid w:val="007577DA"/>
    <w:rsid w:val="00757B2D"/>
    <w:rsid w:val="00757BAD"/>
    <w:rsid w:val="00757D62"/>
    <w:rsid w:val="00760844"/>
    <w:rsid w:val="00760867"/>
    <w:rsid w:val="00760EB6"/>
    <w:rsid w:val="0076105F"/>
    <w:rsid w:val="007616DB"/>
    <w:rsid w:val="0076228A"/>
    <w:rsid w:val="00762440"/>
    <w:rsid w:val="007629B7"/>
    <w:rsid w:val="00762E60"/>
    <w:rsid w:val="007634AD"/>
    <w:rsid w:val="00766ECC"/>
    <w:rsid w:val="007672F3"/>
    <w:rsid w:val="007676A9"/>
    <w:rsid w:val="007677B5"/>
    <w:rsid w:val="007678B1"/>
    <w:rsid w:val="00770317"/>
    <w:rsid w:val="007708A8"/>
    <w:rsid w:val="00772275"/>
    <w:rsid w:val="00772FBA"/>
    <w:rsid w:val="007734E4"/>
    <w:rsid w:val="0077380D"/>
    <w:rsid w:val="0077393F"/>
    <w:rsid w:val="00773BC8"/>
    <w:rsid w:val="0077466F"/>
    <w:rsid w:val="007752B7"/>
    <w:rsid w:val="007759A8"/>
    <w:rsid w:val="00775D98"/>
    <w:rsid w:val="00776FE5"/>
    <w:rsid w:val="00777101"/>
    <w:rsid w:val="00777455"/>
    <w:rsid w:val="007774E7"/>
    <w:rsid w:val="0077768C"/>
    <w:rsid w:val="00777696"/>
    <w:rsid w:val="00777FF4"/>
    <w:rsid w:val="00780251"/>
    <w:rsid w:val="007804FE"/>
    <w:rsid w:val="00780F32"/>
    <w:rsid w:val="0078122E"/>
    <w:rsid w:val="00781939"/>
    <w:rsid w:val="00781D29"/>
    <w:rsid w:val="007825EF"/>
    <w:rsid w:val="007827B0"/>
    <w:rsid w:val="0078286B"/>
    <w:rsid w:val="00782D2C"/>
    <w:rsid w:val="00782FC2"/>
    <w:rsid w:val="00784FC4"/>
    <w:rsid w:val="00785BBB"/>
    <w:rsid w:val="00786FAD"/>
    <w:rsid w:val="007873C9"/>
    <w:rsid w:val="00787D90"/>
    <w:rsid w:val="00787F5E"/>
    <w:rsid w:val="00790164"/>
    <w:rsid w:val="007906E2"/>
    <w:rsid w:val="00790A24"/>
    <w:rsid w:val="00790A37"/>
    <w:rsid w:val="00790A60"/>
    <w:rsid w:val="0079146D"/>
    <w:rsid w:val="00791C32"/>
    <w:rsid w:val="00791E08"/>
    <w:rsid w:val="00791FF0"/>
    <w:rsid w:val="00792292"/>
    <w:rsid w:val="007923D0"/>
    <w:rsid w:val="0079302C"/>
    <w:rsid w:val="007930D3"/>
    <w:rsid w:val="0079381F"/>
    <w:rsid w:val="00793B2E"/>
    <w:rsid w:val="007943FC"/>
    <w:rsid w:val="007948F5"/>
    <w:rsid w:val="00795647"/>
    <w:rsid w:val="00795CB6"/>
    <w:rsid w:val="007963F6"/>
    <w:rsid w:val="00796418"/>
    <w:rsid w:val="00796485"/>
    <w:rsid w:val="00796576"/>
    <w:rsid w:val="00796E80"/>
    <w:rsid w:val="007979AD"/>
    <w:rsid w:val="00797A9C"/>
    <w:rsid w:val="007A0EAB"/>
    <w:rsid w:val="007A2341"/>
    <w:rsid w:val="007A38A1"/>
    <w:rsid w:val="007A38C1"/>
    <w:rsid w:val="007A3967"/>
    <w:rsid w:val="007A3BBE"/>
    <w:rsid w:val="007A4766"/>
    <w:rsid w:val="007A4952"/>
    <w:rsid w:val="007A5816"/>
    <w:rsid w:val="007A5947"/>
    <w:rsid w:val="007B00D8"/>
    <w:rsid w:val="007B0313"/>
    <w:rsid w:val="007B05FB"/>
    <w:rsid w:val="007B0854"/>
    <w:rsid w:val="007B0E48"/>
    <w:rsid w:val="007B18FD"/>
    <w:rsid w:val="007B1D1B"/>
    <w:rsid w:val="007B303E"/>
    <w:rsid w:val="007B32C0"/>
    <w:rsid w:val="007B32F7"/>
    <w:rsid w:val="007B3659"/>
    <w:rsid w:val="007B4558"/>
    <w:rsid w:val="007B4632"/>
    <w:rsid w:val="007B46A2"/>
    <w:rsid w:val="007B4828"/>
    <w:rsid w:val="007B4B2D"/>
    <w:rsid w:val="007B4D4A"/>
    <w:rsid w:val="007B5428"/>
    <w:rsid w:val="007B54FE"/>
    <w:rsid w:val="007B57A5"/>
    <w:rsid w:val="007B699E"/>
    <w:rsid w:val="007B6C64"/>
    <w:rsid w:val="007B6EC8"/>
    <w:rsid w:val="007B6F81"/>
    <w:rsid w:val="007B7992"/>
    <w:rsid w:val="007B7EA2"/>
    <w:rsid w:val="007C025A"/>
    <w:rsid w:val="007C081B"/>
    <w:rsid w:val="007C097D"/>
    <w:rsid w:val="007C13FA"/>
    <w:rsid w:val="007C1672"/>
    <w:rsid w:val="007C312A"/>
    <w:rsid w:val="007C3570"/>
    <w:rsid w:val="007C3F3B"/>
    <w:rsid w:val="007C421D"/>
    <w:rsid w:val="007C4241"/>
    <w:rsid w:val="007C51E2"/>
    <w:rsid w:val="007C55FF"/>
    <w:rsid w:val="007C6339"/>
    <w:rsid w:val="007C6EC5"/>
    <w:rsid w:val="007C7C43"/>
    <w:rsid w:val="007C7F0D"/>
    <w:rsid w:val="007D0D03"/>
    <w:rsid w:val="007D1134"/>
    <w:rsid w:val="007D20CF"/>
    <w:rsid w:val="007D23F7"/>
    <w:rsid w:val="007D2566"/>
    <w:rsid w:val="007D2C18"/>
    <w:rsid w:val="007D2D74"/>
    <w:rsid w:val="007D333D"/>
    <w:rsid w:val="007D3395"/>
    <w:rsid w:val="007D3693"/>
    <w:rsid w:val="007D3C6D"/>
    <w:rsid w:val="007D409B"/>
    <w:rsid w:val="007D481A"/>
    <w:rsid w:val="007D5402"/>
    <w:rsid w:val="007D5648"/>
    <w:rsid w:val="007D58C5"/>
    <w:rsid w:val="007D5DE8"/>
    <w:rsid w:val="007D7503"/>
    <w:rsid w:val="007D7CFC"/>
    <w:rsid w:val="007D7FFC"/>
    <w:rsid w:val="007E0812"/>
    <w:rsid w:val="007E16A4"/>
    <w:rsid w:val="007E18DF"/>
    <w:rsid w:val="007E213A"/>
    <w:rsid w:val="007E2A04"/>
    <w:rsid w:val="007E2C36"/>
    <w:rsid w:val="007E342A"/>
    <w:rsid w:val="007E350D"/>
    <w:rsid w:val="007E5C4A"/>
    <w:rsid w:val="007E64D4"/>
    <w:rsid w:val="007E66E9"/>
    <w:rsid w:val="007E69F2"/>
    <w:rsid w:val="007E7432"/>
    <w:rsid w:val="007E74BF"/>
    <w:rsid w:val="007F14D3"/>
    <w:rsid w:val="007F1C42"/>
    <w:rsid w:val="007F1D9D"/>
    <w:rsid w:val="007F1E28"/>
    <w:rsid w:val="007F1F63"/>
    <w:rsid w:val="007F21D8"/>
    <w:rsid w:val="007F22A0"/>
    <w:rsid w:val="007F2F90"/>
    <w:rsid w:val="007F3320"/>
    <w:rsid w:val="007F392A"/>
    <w:rsid w:val="007F3AC1"/>
    <w:rsid w:val="007F48FA"/>
    <w:rsid w:val="007F4976"/>
    <w:rsid w:val="007F5A56"/>
    <w:rsid w:val="007F5F90"/>
    <w:rsid w:val="007F616E"/>
    <w:rsid w:val="007F665F"/>
    <w:rsid w:val="007F67A3"/>
    <w:rsid w:val="007F6B46"/>
    <w:rsid w:val="007F72CB"/>
    <w:rsid w:val="007F736A"/>
    <w:rsid w:val="007F7635"/>
    <w:rsid w:val="007F785F"/>
    <w:rsid w:val="007F7AF6"/>
    <w:rsid w:val="007F7E36"/>
    <w:rsid w:val="00800681"/>
    <w:rsid w:val="00800E6D"/>
    <w:rsid w:val="008014D9"/>
    <w:rsid w:val="0080150F"/>
    <w:rsid w:val="0080153A"/>
    <w:rsid w:val="00801A2A"/>
    <w:rsid w:val="00802041"/>
    <w:rsid w:val="008022C9"/>
    <w:rsid w:val="00802C0C"/>
    <w:rsid w:val="00802F9E"/>
    <w:rsid w:val="00803700"/>
    <w:rsid w:val="00803D9D"/>
    <w:rsid w:val="008059C6"/>
    <w:rsid w:val="00805AD7"/>
    <w:rsid w:val="00805BD6"/>
    <w:rsid w:val="00805DE3"/>
    <w:rsid w:val="00807666"/>
    <w:rsid w:val="00807C35"/>
    <w:rsid w:val="00807F69"/>
    <w:rsid w:val="008100EC"/>
    <w:rsid w:val="008100F7"/>
    <w:rsid w:val="00810206"/>
    <w:rsid w:val="00811898"/>
    <w:rsid w:val="008120C4"/>
    <w:rsid w:val="008124D8"/>
    <w:rsid w:val="0081323E"/>
    <w:rsid w:val="00813A7B"/>
    <w:rsid w:val="00813F04"/>
    <w:rsid w:val="00814B72"/>
    <w:rsid w:val="00814D88"/>
    <w:rsid w:val="00815A07"/>
    <w:rsid w:val="00815DA5"/>
    <w:rsid w:val="00816221"/>
    <w:rsid w:val="0081766B"/>
    <w:rsid w:val="00820705"/>
    <w:rsid w:val="00820CBF"/>
    <w:rsid w:val="00820FA8"/>
    <w:rsid w:val="008212FD"/>
    <w:rsid w:val="00821489"/>
    <w:rsid w:val="008217B7"/>
    <w:rsid w:val="00821F5E"/>
    <w:rsid w:val="0082239B"/>
    <w:rsid w:val="0082282A"/>
    <w:rsid w:val="0082292E"/>
    <w:rsid w:val="00822D06"/>
    <w:rsid w:val="00822D87"/>
    <w:rsid w:val="0082348D"/>
    <w:rsid w:val="008234E0"/>
    <w:rsid w:val="008236BE"/>
    <w:rsid w:val="00823A46"/>
    <w:rsid w:val="008241CE"/>
    <w:rsid w:val="00825240"/>
    <w:rsid w:val="00825B43"/>
    <w:rsid w:val="0082629D"/>
    <w:rsid w:val="00827203"/>
    <w:rsid w:val="0082767A"/>
    <w:rsid w:val="00827B78"/>
    <w:rsid w:val="00827CC0"/>
    <w:rsid w:val="00831026"/>
    <w:rsid w:val="0083119B"/>
    <w:rsid w:val="00831654"/>
    <w:rsid w:val="00831BAE"/>
    <w:rsid w:val="00832216"/>
    <w:rsid w:val="00832CD0"/>
    <w:rsid w:val="00833430"/>
    <w:rsid w:val="00834128"/>
    <w:rsid w:val="0083417F"/>
    <w:rsid w:val="00835143"/>
    <w:rsid w:val="008351F8"/>
    <w:rsid w:val="00835741"/>
    <w:rsid w:val="00836E74"/>
    <w:rsid w:val="00836EAB"/>
    <w:rsid w:val="00837673"/>
    <w:rsid w:val="0083788E"/>
    <w:rsid w:val="00837937"/>
    <w:rsid w:val="00837D82"/>
    <w:rsid w:val="00840893"/>
    <w:rsid w:val="00840E88"/>
    <w:rsid w:val="0084195A"/>
    <w:rsid w:val="008423EC"/>
    <w:rsid w:val="0084332E"/>
    <w:rsid w:val="00843615"/>
    <w:rsid w:val="00843698"/>
    <w:rsid w:val="00843A4B"/>
    <w:rsid w:val="00843B57"/>
    <w:rsid w:val="00843B60"/>
    <w:rsid w:val="00843D33"/>
    <w:rsid w:val="00844D4F"/>
    <w:rsid w:val="00845AE3"/>
    <w:rsid w:val="008466A0"/>
    <w:rsid w:val="00846D1D"/>
    <w:rsid w:val="00847535"/>
    <w:rsid w:val="00847744"/>
    <w:rsid w:val="00847B6D"/>
    <w:rsid w:val="00847FFA"/>
    <w:rsid w:val="0085092D"/>
    <w:rsid w:val="00850D82"/>
    <w:rsid w:val="00850F79"/>
    <w:rsid w:val="0085100B"/>
    <w:rsid w:val="0085304C"/>
    <w:rsid w:val="00853973"/>
    <w:rsid w:val="00853B5D"/>
    <w:rsid w:val="008548CA"/>
    <w:rsid w:val="00856C06"/>
    <w:rsid w:val="0085790B"/>
    <w:rsid w:val="00857C95"/>
    <w:rsid w:val="00857E78"/>
    <w:rsid w:val="00860AE0"/>
    <w:rsid w:val="00860AEF"/>
    <w:rsid w:val="0086122C"/>
    <w:rsid w:val="00861310"/>
    <w:rsid w:val="00861B7B"/>
    <w:rsid w:val="00861F0F"/>
    <w:rsid w:val="00861F53"/>
    <w:rsid w:val="0086289E"/>
    <w:rsid w:val="00863413"/>
    <w:rsid w:val="0086394E"/>
    <w:rsid w:val="00863F8A"/>
    <w:rsid w:val="00863FE3"/>
    <w:rsid w:val="00864241"/>
    <w:rsid w:val="0086468A"/>
    <w:rsid w:val="00864CD5"/>
    <w:rsid w:val="008650BE"/>
    <w:rsid w:val="0086633B"/>
    <w:rsid w:val="00866495"/>
    <w:rsid w:val="00866931"/>
    <w:rsid w:val="00866FEF"/>
    <w:rsid w:val="00867512"/>
    <w:rsid w:val="0087033C"/>
    <w:rsid w:val="00870B44"/>
    <w:rsid w:val="008712E8"/>
    <w:rsid w:val="008715ED"/>
    <w:rsid w:val="008717D8"/>
    <w:rsid w:val="00871E3C"/>
    <w:rsid w:val="0087213A"/>
    <w:rsid w:val="00872F97"/>
    <w:rsid w:val="00873863"/>
    <w:rsid w:val="0087392A"/>
    <w:rsid w:val="00874607"/>
    <w:rsid w:val="00874915"/>
    <w:rsid w:val="00874B89"/>
    <w:rsid w:val="008752DA"/>
    <w:rsid w:val="00875403"/>
    <w:rsid w:val="00875434"/>
    <w:rsid w:val="00876215"/>
    <w:rsid w:val="0087646C"/>
    <w:rsid w:val="00876815"/>
    <w:rsid w:val="00877932"/>
    <w:rsid w:val="008808C7"/>
    <w:rsid w:val="0088106B"/>
    <w:rsid w:val="0088107D"/>
    <w:rsid w:val="008810EB"/>
    <w:rsid w:val="008812E2"/>
    <w:rsid w:val="0088168A"/>
    <w:rsid w:val="00881E64"/>
    <w:rsid w:val="00882A3F"/>
    <w:rsid w:val="00882E39"/>
    <w:rsid w:val="008850E3"/>
    <w:rsid w:val="008850EB"/>
    <w:rsid w:val="00886DF2"/>
    <w:rsid w:val="00886FB9"/>
    <w:rsid w:val="00887080"/>
    <w:rsid w:val="00887BC5"/>
    <w:rsid w:val="00887C79"/>
    <w:rsid w:val="008907CC"/>
    <w:rsid w:val="0089107B"/>
    <w:rsid w:val="008913CC"/>
    <w:rsid w:val="00891411"/>
    <w:rsid w:val="008914AE"/>
    <w:rsid w:val="00891838"/>
    <w:rsid w:val="008919CF"/>
    <w:rsid w:val="00891F84"/>
    <w:rsid w:val="008928EC"/>
    <w:rsid w:val="00892E5D"/>
    <w:rsid w:val="008935CF"/>
    <w:rsid w:val="00894436"/>
    <w:rsid w:val="00894BB1"/>
    <w:rsid w:val="008950CB"/>
    <w:rsid w:val="008951D0"/>
    <w:rsid w:val="0089572F"/>
    <w:rsid w:val="0089582D"/>
    <w:rsid w:val="008959C6"/>
    <w:rsid w:val="0089606D"/>
    <w:rsid w:val="00896129"/>
    <w:rsid w:val="008965DF"/>
    <w:rsid w:val="0089774F"/>
    <w:rsid w:val="00897875"/>
    <w:rsid w:val="00897B8F"/>
    <w:rsid w:val="008A00D8"/>
    <w:rsid w:val="008A00D9"/>
    <w:rsid w:val="008A059D"/>
    <w:rsid w:val="008A07D5"/>
    <w:rsid w:val="008A2527"/>
    <w:rsid w:val="008A295B"/>
    <w:rsid w:val="008A2A23"/>
    <w:rsid w:val="008A2AF5"/>
    <w:rsid w:val="008A2B5A"/>
    <w:rsid w:val="008A2DD1"/>
    <w:rsid w:val="008A3F9D"/>
    <w:rsid w:val="008A5474"/>
    <w:rsid w:val="008A5C9A"/>
    <w:rsid w:val="008A6A55"/>
    <w:rsid w:val="008A6C5C"/>
    <w:rsid w:val="008A6DF0"/>
    <w:rsid w:val="008A6F6E"/>
    <w:rsid w:val="008A7888"/>
    <w:rsid w:val="008A796E"/>
    <w:rsid w:val="008B03D8"/>
    <w:rsid w:val="008B0862"/>
    <w:rsid w:val="008B088C"/>
    <w:rsid w:val="008B1BF5"/>
    <w:rsid w:val="008B2268"/>
    <w:rsid w:val="008B263F"/>
    <w:rsid w:val="008B47A6"/>
    <w:rsid w:val="008B634B"/>
    <w:rsid w:val="008B6649"/>
    <w:rsid w:val="008B672C"/>
    <w:rsid w:val="008B7611"/>
    <w:rsid w:val="008B7DE4"/>
    <w:rsid w:val="008C036D"/>
    <w:rsid w:val="008C0743"/>
    <w:rsid w:val="008C0B4C"/>
    <w:rsid w:val="008C11F0"/>
    <w:rsid w:val="008C1DBA"/>
    <w:rsid w:val="008C20B8"/>
    <w:rsid w:val="008C24E7"/>
    <w:rsid w:val="008C2500"/>
    <w:rsid w:val="008C2792"/>
    <w:rsid w:val="008C2CAC"/>
    <w:rsid w:val="008C3E2A"/>
    <w:rsid w:val="008C3FFC"/>
    <w:rsid w:val="008C45BD"/>
    <w:rsid w:val="008C4B19"/>
    <w:rsid w:val="008C5295"/>
    <w:rsid w:val="008C568F"/>
    <w:rsid w:val="008C62D4"/>
    <w:rsid w:val="008C6B89"/>
    <w:rsid w:val="008C7399"/>
    <w:rsid w:val="008D18AA"/>
    <w:rsid w:val="008D1A16"/>
    <w:rsid w:val="008D1A2A"/>
    <w:rsid w:val="008D29B1"/>
    <w:rsid w:val="008D2EB5"/>
    <w:rsid w:val="008D35D9"/>
    <w:rsid w:val="008D3B85"/>
    <w:rsid w:val="008D4527"/>
    <w:rsid w:val="008D462D"/>
    <w:rsid w:val="008D51F2"/>
    <w:rsid w:val="008D577B"/>
    <w:rsid w:val="008D66CA"/>
    <w:rsid w:val="008D69B1"/>
    <w:rsid w:val="008D7338"/>
    <w:rsid w:val="008E0012"/>
    <w:rsid w:val="008E0DF7"/>
    <w:rsid w:val="008E0FAD"/>
    <w:rsid w:val="008E1347"/>
    <w:rsid w:val="008E16E0"/>
    <w:rsid w:val="008E1C15"/>
    <w:rsid w:val="008E1C9A"/>
    <w:rsid w:val="008E28BD"/>
    <w:rsid w:val="008E38B4"/>
    <w:rsid w:val="008E3BA4"/>
    <w:rsid w:val="008E41C4"/>
    <w:rsid w:val="008E44AB"/>
    <w:rsid w:val="008E5179"/>
    <w:rsid w:val="008E6598"/>
    <w:rsid w:val="008E6A17"/>
    <w:rsid w:val="008E7214"/>
    <w:rsid w:val="008E7348"/>
    <w:rsid w:val="008E7884"/>
    <w:rsid w:val="008E7D6E"/>
    <w:rsid w:val="008F0737"/>
    <w:rsid w:val="008F1056"/>
    <w:rsid w:val="008F2E8D"/>
    <w:rsid w:val="008F3374"/>
    <w:rsid w:val="008F387B"/>
    <w:rsid w:val="008F3DD9"/>
    <w:rsid w:val="008F4814"/>
    <w:rsid w:val="008F4B91"/>
    <w:rsid w:val="008F4DA6"/>
    <w:rsid w:val="008F538E"/>
    <w:rsid w:val="008F59B4"/>
    <w:rsid w:val="008F5A20"/>
    <w:rsid w:val="008F5ABA"/>
    <w:rsid w:val="008F6CF9"/>
    <w:rsid w:val="008F7905"/>
    <w:rsid w:val="008F7989"/>
    <w:rsid w:val="009026AF"/>
    <w:rsid w:val="009028E8"/>
    <w:rsid w:val="00902E5C"/>
    <w:rsid w:val="0090350D"/>
    <w:rsid w:val="009039EB"/>
    <w:rsid w:val="009046E5"/>
    <w:rsid w:val="0090475D"/>
    <w:rsid w:val="009047C5"/>
    <w:rsid w:val="00910683"/>
    <w:rsid w:val="00910E00"/>
    <w:rsid w:val="009116CE"/>
    <w:rsid w:val="00911714"/>
    <w:rsid w:val="00911A5B"/>
    <w:rsid w:val="009136D4"/>
    <w:rsid w:val="00914B9A"/>
    <w:rsid w:val="00914C3F"/>
    <w:rsid w:val="00914F33"/>
    <w:rsid w:val="009153F6"/>
    <w:rsid w:val="00915FCE"/>
    <w:rsid w:val="00916AFE"/>
    <w:rsid w:val="00916FC8"/>
    <w:rsid w:val="009170D3"/>
    <w:rsid w:val="0091759C"/>
    <w:rsid w:val="00917910"/>
    <w:rsid w:val="00920026"/>
    <w:rsid w:val="0092032F"/>
    <w:rsid w:val="009203E2"/>
    <w:rsid w:val="00921304"/>
    <w:rsid w:val="0092177A"/>
    <w:rsid w:val="00921805"/>
    <w:rsid w:val="00921BA7"/>
    <w:rsid w:val="00923396"/>
    <w:rsid w:val="00923F56"/>
    <w:rsid w:val="00923FA6"/>
    <w:rsid w:val="009246C4"/>
    <w:rsid w:val="00925743"/>
    <w:rsid w:val="0092579F"/>
    <w:rsid w:val="00927E8D"/>
    <w:rsid w:val="00927F23"/>
    <w:rsid w:val="00930698"/>
    <w:rsid w:val="009307CD"/>
    <w:rsid w:val="00931451"/>
    <w:rsid w:val="009314FA"/>
    <w:rsid w:val="0093194F"/>
    <w:rsid w:val="00931BF3"/>
    <w:rsid w:val="00931C55"/>
    <w:rsid w:val="00933333"/>
    <w:rsid w:val="0093349A"/>
    <w:rsid w:val="009337B2"/>
    <w:rsid w:val="00933FCB"/>
    <w:rsid w:val="00934E69"/>
    <w:rsid w:val="009367D5"/>
    <w:rsid w:val="00937401"/>
    <w:rsid w:val="00937561"/>
    <w:rsid w:val="009376FB"/>
    <w:rsid w:val="00937D6B"/>
    <w:rsid w:val="00940477"/>
    <w:rsid w:val="00940876"/>
    <w:rsid w:val="00940A53"/>
    <w:rsid w:val="00940AD7"/>
    <w:rsid w:val="00940F3C"/>
    <w:rsid w:val="00940FC1"/>
    <w:rsid w:val="009410E0"/>
    <w:rsid w:val="009444B4"/>
    <w:rsid w:val="00944644"/>
    <w:rsid w:val="009449F9"/>
    <w:rsid w:val="009451CE"/>
    <w:rsid w:val="009460F9"/>
    <w:rsid w:val="00946A24"/>
    <w:rsid w:val="009470D4"/>
    <w:rsid w:val="00947337"/>
    <w:rsid w:val="009512FA"/>
    <w:rsid w:val="00951E57"/>
    <w:rsid w:val="00953018"/>
    <w:rsid w:val="009533E2"/>
    <w:rsid w:val="00953554"/>
    <w:rsid w:val="0095385A"/>
    <w:rsid w:val="00953928"/>
    <w:rsid w:val="009540F0"/>
    <w:rsid w:val="00954432"/>
    <w:rsid w:val="00955906"/>
    <w:rsid w:val="00955978"/>
    <w:rsid w:val="00957010"/>
    <w:rsid w:val="009574F8"/>
    <w:rsid w:val="0095780A"/>
    <w:rsid w:val="009579E4"/>
    <w:rsid w:val="00957AA4"/>
    <w:rsid w:val="00957ACB"/>
    <w:rsid w:val="00957E21"/>
    <w:rsid w:val="00957F27"/>
    <w:rsid w:val="009609F0"/>
    <w:rsid w:val="00960BDB"/>
    <w:rsid w:val="0096147D"/>
    <w:rsid w:val="00961E5F"/>
    <w:rsid w:val="009625C6"/>
    <w:rsid w:val="009629B5"/>
    <w:rsid w:val="00962A50"/>
    <w:rsid w:val="00962E25"/>
    <w:rsid w:val="00962E33"/>
    <w:rsid w:val="00962F47"/>
    <w:rsid w:val="009631BD"/>
    <w:rsid w:val="00963B93"/>
    <w:rsid w:val="00964138"/>
    <w:rsid w:val="00964B3F"/>
    <w:rsid w:val="00964C98"/>
    <w:rsid w:val="00964E0A"/>
    <w:rsid w:val="00965C11"/>
    <w:rsid w:val="00966214"/>
    <w:rsid w:val="00971441"/>
    <w:rsid w:val="009715D4"/>
    <w:rsid w:val="00972470"/>
    <w:rsid w:val="009739A9"/>
    <w:rsid w:val="00973AA2"/>
    <w:rsid w:val="0097494E"/>
    <w:rsid w:val="00974B58"/>
    <w:rsid w:val="00975010"/>
    <w:rsid w:val="00975DA3"/>
    <w:rsid w:val="009761ED"/>
    <w:rsid w:val="00977689"/>
    <w:rsid w:val="009801E7"/>
    <w:rsid w:val="0098022F"/>
    <w:rsid w:val="009810CC"/>
    <w:rsid w:val="009810DE"/>
    <w:rsid w:val="009816A2"/>
    <w:rsid w:val="00981D3C"/>
    <w:rsid w:val="009822D7"/>
    <w:rsid w:val="009827E6"/>
    <w:rsid w:val="00982E70"/>
    <w:rsid w:val="00982F84"/>
    <w:rsid w:val="0098427D"/>
    <w:rsid w:val="00984567"/>
    <w:rsid w:val="00985102"/>
    <w:rsid w:val="009865D5"/>
    <w:rsid w:val="009876F2"/>
    <w:rsid w:val="00987C77"/>
    <w:rsid w:val="00990345"/>
    <w:rsid w:val="00990701"/>
    <w:rsid w:val="0099090B"/>
    <w:rsid w:val="00990BC7"/>
    <w:rsid w:val="0099119C"/>
    <w:rsid w:val="0099137A"/>
    <w:rsid w:val="00991805"/>
    <w:rsid w:val="0099211C"/>
    <w:rsid w:val="00993B78"/>
    <w:rsid w:val="00993CD6"/>
    <w:rsid w:val="0099483A"/>
    <w:rsid w:val="00995119"/>
    <w:rsid w:val="009953AD"/>
    <w:rsid w:val="0099583D"/>
    <w:rsid w:val="00995B7C"/>
    <w:rsid w:val="00996992"/>
    <w:rsid w:val="00996E1E"/>
    <w:rsid w:val="00997392"/>
    <w:rsid w:val="0099747C"/>
    <w:rsid w:val="0099771C"/>
    <w:rsid w:val="009A01E4"/>
    <w:rsid w:val="009A0917"/>
    <w:rsid w:val="009A0A33"/>
    <w:rsid w:val="009A0A35"/>
    <w:rsid w:val="009A1351"/>
    <w:rsid w:val="009A2435"/>
    <w:rsid w:val="009A3253"/>
    <w:rsid w:val="009A35DC"/>
    <w:rsid w:val="009A38AB"/>
    <w:rsid w:val="009A3CFB"/>
    <w:rsid w:val="009A3D47"/>
    <w:rsid w:val="009A4D63"/>
    <w:rsid w:val="009A5356"/>
    <w:rsid w:val="009A5468"/>
    <w:rsid w:val="009A5D99"/>
    <w:rsid w:val="009A608C"/>
    <w:rsid w:val="009A61EA"/>
    <w:rsid w:val="009A6CA7"/>
    <w:rsid w:val="009A6FDF"/>
    <w:rsid w:val="009A76D6"/>
    <w:rsid w:val="009B199E"/>
    <w:rsid w:val="009B1E40"/>
    <w:rsid w:val="009B2E29"/>
    <w:rsid w:val="009B3163"/>
    <w:rsid w:val="009B422F"/>
    <w:rsid w:val="009B46BC"/>
    <w:rsid w:val="009B4D1A"/>
    <w:rsid w:val="009B558B"/>
    <w:rsid w:val="009B6801"/>
    <w:rsid w:val="009B68DD"/>
    <w:rsid w:val="009B6D21"/>
    <w:rsid w:val="009B7266"/>
    <w:rsid w:val="009B78ED"/>
    <w:rsid w:val="009C181C"/>
    <w:rsid w:val="009C1C7F"/>
    <w:rsid w:val="009C28A2"/>
    <w:rsid w:val="009C3239"/>
    <w:rsid w:val="009C3828"/>
    <w:rsid w:val="009C3D2C"/>
    <w:rsid w:val="009C4987"/>
    <w:rsid w:val="009C523F"/>
    <w:rsid w:val="009C59BF"/>
    <w:rsid w:val="009C5E4F"/>
    <w:rsid w:val="009C5F64"/>
    <w:rsid w:val="009C5F82"/>
    <w:rsid w:val="009C70F8"/>
    <w:rsid w:val="009C756F"/>
    <w:rsid w:val="009C78A3"/>
    <w:rsid w:val="009D0156"/>
    <w:rsid w:val="009D05DA"/>
    <w:rsid w:val="009D0872"/>
    <w:rsid w:val="009D11F6"/>
    <w:rsid w:val="009D13B9"/>
    <w:rsid w:val="009D1A14"/>
    <w:rsid w:val="009D1E2A"/>
    <w:rsid w:val="009D1FA0"/>
    <w:rsid w:val="009D2595"/>
    <w:rsid w:val="009D2BDF"/>
    <w:rsid w:val="009D3736"/>
    <w:rsid w:val="009D3964"/>
    <w:rsid w:val="009D40B8"/>
    <w:rsid w:val="009D4529"/>
    <w:rsid w:val="009D4B03"/>
    <w:rsid w:val="009D604F"/>
    <w:rsid w:val="009D61BB"/>
    <w:rsid w:val="009D6410"/>
    <w:rsid w:val="009D65FF"/>
    <w:rsid w:val="009D66B2"/>
    <w:rsid w:val="009D68BB"/>
    <w:rsid w:val="009D6E3A"/>
    <w:rsid w:val="009D6E67"/>
    <w:rsid w:val="009D70C2"/>
    <w:rsid w:val="009D7278"/>
    <w:rsid w:val="009D773A"/>
    <w:rsid w:val="009D7ADB"/>
    <w:rsid w:val="009D7B33"/>
    <w:rsid w:val="009E0327"/>
    <w:rsid w:val="009E0703"/>
    <w:rsid w:val="009E0E95"/>
    <w:rsid w:val="009E1649"/>
    <w:rsid w:val="009E16DA"/>
    <w:rsid w:val="009E1CD4"/>
    <w:rsid w:val="009E20DC"/>
    <w:rsid w:val="009E2391"/>
    <w:rsid w:val="009E476A"/>
    <w:rsid w:val="009E4E05"/>
    <w:rsid w:val="009E56FF"/>
    <w:rsid w:val="009E5CB1"/>
    <w:rsid w:val="009E5E56"/>
    <w:rsid w:val="009E61EA"/>
    <w:rsid w:val="009E6990"/>
    <w:rsid w:val="009E6FEE"/>
    <w:rsid w:val="009F030F"/>
    <w:rsid w:val="009F060F"/>
    <w:rsid w:val="009F0781"/>
    <w:rsid w:val="009F0850"/>
    <w:rsid w:val="009F11B2"/>
    <w:rsid w:val="009F1BDF"/>
    <w:rsid w:val="009F1EAE"/>
    <w:rsid w:val="009F29A5"/>
    <w:rsid w:val="009F369D"/>
    <w:rsid w:val="009F36FE"/>
    <w:rsid w:val="009F46A9"/>
    <w:rsid w:val="009F4F25"/>
    <w:rsid w:val="009F59C2"/>
    <w:rsid w:val="009F61DE"/>
    <w:rsid w:val="009F7263"/>
    <w:rsid w:val="009F76EA"/>
    <w:rsid w:val="009F78EB"/>
    <w:rsid w:val="009F7F32"/>
    <w:rsid w:val="009F7FEB"/>
    <w:rsid w:val="00A01852"/>
    <w:rsid w:val="00A0188B"/>
    <w:rsid w:val="00A01E73"/>
    <w:rsid w:val="00A023E7"/>
    <w:rsid w:val="00A02B88"/>
    <w:rsid w:val="00A03160"/>
    <w:rsid w:val="00A036AC"/>
    <w:rsid w:val="00A03C54"/>
    <w:rsid w:val="00A041BC"/>
    <w:rsid w:val="00A0447F"/>
    <w:rsid w:val="00A046D2"/>
    <w:rsid w:val="00A04A54"/>
    <w:rsid w:val="00A057E8"/>
    <w:rsid w:val="00A05B4B"/>
    <w:rsid w:val="00A066C3"/>
    <w:rsid w:val="00A06754"/>
    <w:rsid w:val="00A06942"/>
    <w:rsid w:val="00A069E0"/>
    <w:rsid w:val="00A06E4A"/>
    <w:rsid w:val="00A078FB"/>
    <w:rsid w:val="00A1036D"/>
    <w:rsid w:val="00A1069F"/>
    <w:rsid w:val="00A10919"/>
    <w:rsid w:val="00A10ACA"/>
    <w:rsid w:val="00A10D04"/>
    <w:rsid w:val="00A10D08"/>
    <w:rsid w:val="00A12355"/>
    <w:rsid w:val="00A12384"/>
    <w:rsid w:val="00A127A3"/>
    <w:rsid w:val="00A127D2"/>
    <w:rsid w:val="00A12ADA"/>
    <w:rsid w:val="00A143EC"/>
    <w:rsid w:val="00A14A60"/>
    <w:rsid w:val="00A1500F"/>
    <w:rsid w:val="00A15621"/>
    <w:rsid w:val="00A15670"/>
    <w:rsid w:val="00A157A0"/>
    <w:rsid w:val="00A1585B"/>
    <w:rsid w:val="00A15C19"/>
    <w:rsid w:val="00A16809"/>
    <w:rsid w:val="00A17769"/>
    <w:rsid w:val="00A17EA2"/>
    <w:rsid w:val="00A20264"/>
    <w:rsid w:val="00A20997"/>
    <w:rsid w:val="00A21454"/>
    <w:rsid w:val="00A22025"/>
    <w:rsid w:val="00A22498"/>
    <w:rsid w:val="00A22571"/>
    <w:rsid w:val="00A23023"/>
    <w:rsid w:val="00A23A08"/>
    <w:rsid w:val="00A24560"/>
    <w:rsid w:val="00A25B0F"/>
    <w:rsid w:val="00A25BBB"/>
    <w:rsid w:val="00A25F8E"/>
    <w:rsid w:val="00A27F18"/>
    <w:rsid w:val="00A27FB6"/>
    <w:rsid w:val="00A30121"/>
    <w:rsid w:val="00A30368"/>
    <w:rsid w:val="00A3043A"/>
    <w:rsid w:val="00A30E02"/>
    <w:rsid w:val="00A30F6A"/>
    <w:rsid w:val="00A31BA2"/>
    <w:rsid w:val="00A31C3E"/>
    <w:rsid w:val="00A34538"/>
    <w:rsid w:val="00A34677"/>
    <w:rsid w:val="00A34BA0"/>
    <w:rsid w:val="00A3512F"/>
    <w:rsid w:val="00A35304"/>
    <w:rsid w:val="00A3540F"/>
    <w:rsid w:val="00A35630"/>
    <w:rsid w:val="00A35914"/>
    <w:rsid w:val="00A36189"/>
    <w:rsid w:val="00A3622F"/>
    <w:rsid w:val="00A37E73"/>
    <w:rsid w:val="00A37FB6"/>
    <w:rsid w:val="00A4006F"/>
    <w:rsid w:val="00A4104A"/>
    <w:rsid w:val="00A41081"/>
    <w:rsid w:val="00A411CA"/>
    <w:rsid w:val="00A413AD"/>
    <w:rsid w:val="00A4169F"/>
    <w:rsid w:val="00A42096"/>
    <w:rsid w:val="00A421E7"/>
    <w:rsid w:val="00A426F3"/>
    <w:rsid w:val="00A42FDF"/>
    <w:rsid w:val="00A430A9"/>
    <w:rsid w:val="00A431FE"/>
    <w:rsid w:val="00A439E5"/>
    <w:rsid w:val="00A43D1B"/>
    <w:rsid w:val="00A4497A"/>
    <w:rsid w:val="00A44BE8"/>
    <w:rsid w:val="00A44C96"/>
    <w:rsid w:val="00A44F54"/>
    <w:rsid w:val="00A45E0E"/>
    <w:rsid w:val="00A45F9B"/>
    <w:rsid w:val="00A461BF"/>
    <w:rsid w:val="00A46574"/>
    <w:rsid w:val="00A4657A"/>
    <w:rsid w:val="00A467C4"/>
    <w:rsid w:val="00A4777D"/>
    <w:rsid w:val="00A500B1"/>
    <w:rsid w:val="00A51520"/>
    <w:rsid w:val="00A5292D"/>
    <w:rsid w:val="00A52D3F"/>
    <w:rsid w:val="00A52EE5"/>
    <w:rsid w:val="00A53037"/>
    <w:rsid w:val="00A532B9"/>
    <w:rsid w:val="00A5351D"/>
    <w:rsid w:val="00A53D84"/>
    <w:rsid w:val="00A53E79"/>
    <w:rsid w:val="00A54031"/>
    <w:rsid w:val="00A5426D"/>
    <w:rsid w:val="00A54FC2"/>
    <w:rsid w:val="00A55122"/>
    <w:rsid w:val="00A5696C"/>
    <w:rsid w:val="00A56DE7"/>
    <w:rsid w:val="00A57EB2"/>
    <w:rsid w:val="00A6009E"/>
    <w:rsid w:val="00A6049A"/>
    <w:rsid w:val="00A60762"/>
    <w:rsid w:val="00A60B1F"/>
    <w:rsid w:val="00A61C60"/>
    <w:rsid w:val="00A62589"/>
    <w:rsid w:val="00A62C3A"/>
    <w:rsid w:val="00A63812"/>
    <w:rsid w:val="00A63DF7"/>
    <w:rsid w:val="00A64505"/>
    <w:rsid w:val="00A668BA"/>
    <w:rsid w:val="00A66FA7"/>
    <w:rsid w:val="00A677F6"/>
    <w:rsid w:val="00A67E16"/>
    <w:rsid w:val="00A703CC"/>
    <w:rsid w:val="00A70C5C"/>
    <w:rsid w:val="00A71EA7"/>
    <w:rsid w:val="00A72945"/>
    <w:rsid w:val="00A730AD"/>
    <w:rsid w:val="00A733D2"/>
    <w:rsid w:val="00A73855"/>
    <w:rsid w:val="00A73D64"/>
    <w:rsid w:val="00A73FEA"/>
    <w:rsid w:val="00A74216"/>
    <w:rsid w:val="00A744B4"/>
    <w:rsid w:val="00A749D9"/>
    <w:rsid w:val="00A74D61"/>
    <w:rsid w:val="00A751E3"/>
    <w:rsid w:val="00A75504"/>
    <w:rsid w:val="00A75CD9"/>
    <w:rsid w:val="00A76438"/>
    <w:rsid w:val="00A77168"/>
    <w:rsid w:val="00A7723B"/>
    <w:rsid w:val="00A77525"/>
    <w:rsid w:val="00A7793C"/>
    <w:rsid w:val="00A77D21"/>
    <w:rsid w:val="00A80085"/>
    <w:rsid w:val="00A8043B"/>
    <w:rsid w:val="00A81323"/>
    <w:rsid w:val="00A81AC0"/>
    <w:rsid w:val="00A820CB"/>
    <w:rsid w:val="00A82342"/>
    <w:rsid w:val="00A83BEF"/>
    <w:rsid w:val="00A841E1"/>
    <w:rsid w:val="00A84443"/>
    <w:rsid w:val="00A8487F"/>
    <w:rsid w:val="00A848FC"/>
    <w:rsid w:val="00A849A3"/>
    <w:rsid w:val="00A84A0E"/>
    <w:rsid w:val="00A84D7C"/>
    <w:rsid w:val="00A851FD"/>
    <w:rsid w:val="00A86E0B"/>
    <w:rsid w:val="00A9069B"/>
    <w:rsid w:val="00A90F12"/>
    <w:rsid w:val="00A93101"/>
    <w:rsid w:val="00A94293"/>
    <w:rsid w:val="00A94760"/>
    <w:rsid w:val="00A9496E"/>
    <w:rsid w:val="00A949F0"/>
    <w:rsid w:val="00A94BDE"/>
    <w:rsid w:val="00A94FCA"/>
    <w:rsid w:val="00A95E4C"/>
    <w:rsid w:val="00A96C60"/>
    <w:rsid w:val="00A97223"/>
    <w:rsid w:val="00A9740B"/>
    <w:rsid w:val="00A9766C"/>
    <w:rsid w:val="00A977F8"/>
    <w:rsid w:val="00A97C93"/>
    <w:rsid w:val="00AA08E7"/>
    <w:rsid w:val="00AA0A06"/>
    <w:rsid w:val="00AA1351"/>
    <w:rsid w:val="00AA1859"/>
    <w:rsid w:val="00AA196C"/>
    <w:rsid w:val="00AA1C84"/>
    <w:rsid w:val="00AA3D7B"/>
    <w:rsid w:val="00AA42A0"/>
    <w:rsid w:val="00AA442B"/>
    <w:rsid w:val="00AA46A4"/>
    <w:rsid w:val="00AA5687"/>
    <w:rsid w:val="00AA5779"/>
    <w:rsid w:val="00AA58A1"/>
    <w:rsid w:val="00AA61C7"/>
    <w:rsid w:val="00AA669D"/>
    <w:rsid w:val="00AA66ED"/>
    <w:rsid w:val="00AA6BE1"/>
    <w:rsid w:val="00AA7416"/>
    <w:rsid w:val="00AA7A60"/>
    <w:rsid w:val="00AA7B42"/>
    <w:rsid w:val="00AB041C"/>
    <w:rsid w:val="00AB14E8"/>
    <w:rsid w:val="00AB17EC"/>
    <w:rsid w:val="00AB19AF"/>
    <w:rsid w:val="00AB1B1D"/>
    <w:rsid w:val="00AB2080"/>
    <w:rsid w:val="00AB2216"/>
    <w:rsid w:val="00AB2C0A"/>
    <w:rsid w:val="00AB33A8"/>
    <w:rsid w:val="00AB358D"/>
    <w:rsid w:val="00AB37A1"/>
    <w:rsid w:val="00AB3BAD"/>
    <w:rsid w:val="00AB3CFD"/>
    <w:rsid w:val="00AB40C6"/>
    <w:rsid w:val="00AB49BC"/>
    <w:rsid w:val="00AB4DEE"/>
    <w:rsid w:val="00AB4E32"/>
    <w:rsid w:val="00AB579A"/>
    <w:rsid w:val="00AB5DB2"/>
    <w:rsid w:val="00AB724B"/>
    <w:rsid w:val="00AB726C"/>
    <w:rsid w:val="00AB72B4"/>
    <w:rsid w:val="00AC01FD"/>
    <w:rsid w:val="00AC02AA"/>
    <w:rsid w:val="00AC0537"/>
    <w:rsid w:val="00AC0A84"/>
    <w:rsid w:val="00AC2A0B"/>
    <w:rsid w:val="00AC2BEC"/>
    <w:rsid w:val="00AC2BEE"/>
    <w:rsid w:val="00AC2E53"/>
    <w:rsid w:val="00AC484F"/>
    <w:rsid w:val="00AC4A42"/>
    <w:rsid w:val="00AC4B20"/>
    <w:rsid w:val="00AC4D8F"/>
    <w:rsid w:val="00AC56F2"/>
    <w:rsid w:val="00AC5B83"/>
    <w:rsid w:val="00AC6886"/>
    <w:rsid w:val="00AC71C3"/>
    <w:rsid w:val="00AD0DA5"/>
    <w:rsid w:val="00AD1499"/>
    <w:rsid w:val="00AD1C45"/>
    <w:rsid w:val="00AD1EFA"/>
    <w:rsid w:val="00AD2072"/>
    <w:rsid w:val="00AD2165"/>
    <w:rsid w:val="00AD2808"/>
    <w:rsid w:val="00AD2DBD"/>
    <w:rsid w:val="00AD2FBF"/>
    <w:rsid w:val="00AD416B"/>
    <w:rsid w:val="00AD455D"/>
    <w:rsid w:val="00AD463C"/>
    <w:rsid w:val="00AD46A2"/>
    <w:rsid w:val="00AD47E8"/>
    <w:rsid w:val="00AD4F60"/>
    <w:rsid w:val="00AD5044"/>
    <w:rsid w:val="00AD5114"/>
    <w:rsid w:val="00AD6236"/>
    <w:rsid w:val="00AD7619"/>
    <w:rsid w:val="00AD7770"/>
    <w:rsid w:val="00AE0D1C"/>
    <w:rsid w:val="00AE1772"/>
    <w:rsid w:val="00AE1990"/>
    <w:rsid w:val="00AE2523"/>
    <w:rsid w:val="00AE25E8"/>
    <w:rsid w:val="00AE2AD4"/>
    <w:rsid w:val="00AE2CA7"/>
    <w:rsid w:val="00AE2F1D"/>
    <w:rsid w:val="00AE4B2B"/>
    <w:rsid w:val="00AE586F"/>
    <w:rsid w:val="00AE5A78"/>
    <w:rsid w:val="00AE6582"/>
    <w:rsid w:val="00AE6DC5"/>
    <w:rsid w:val="00AE7686"/>
    <w:rsid w:val="00AE799A"/>
    <w:rsid w:val="00AF078E"/>
    <w:rsid w:val="00AF0E81"/>
    <w:rsid w:val="00AF117A"/>
    <w:rsid w:val="00AF186E"/>
    <w:rsid w:val="00AF19DF"/>
    <w:rsid w:val="00AF1F4F"/>
    <w:rsid w:val="00AF26CF"/>
    <w:rsid w:val="00AF4E92"/>
    <w:rsid w:val="00AF554B"/>
    <w:rsid w:val="00AF5C9B"/>
    <w:rsid w:val="00AF5D53"/>
    <w:rsid w:val="00AF5E2D"/>
    <w:rsid w:val="00AF644B"/>
    <w:rsid w:val="00AF6CA6"/>
    <w:rsid w:val="00AF6EB6"/>
    <w:rsid w:val="00AF7796"/>
    <w:rsid w:val="00B011A9"/>
    <w:rsid w:val="00B024ED"/>
    <w:rsid w:val="00B02EB3"/>
    <w:rsid w:val="00B02FCB"/>
    <w:rsid w:val="00B033F8"/>
    <w:rsid w:val="00B03C1E"/>
    <w:rsid w:val="00B04400"/>
    <w:rsid w:val="00B04835"/>
    <w:rsid w:val="00B05A55"/>
    <w:rsid w:val="00B05DE1"/>
    <w:rsid w:val="00B06595"/>
    <w:rsid w:val="00B10109"/>
    <w:rsid w:val="00B1085E"/>
    <w:rsid w:val="00B10FD0"/>
    <w:rsid w:val="00B10FD1"/>
    <w:rsid w:val="00B11896"/>
    <w:rsid w:val="00B11CE3"/>
    <w:rsid w:val="00B12735"/>
    <w:rsid w:val="00B129C6"/>
    <w:rsid w:val="00B131C4"/>
    <w:rsid w:val="00B13386"/>
    <w:rsid w:val="00B13533"/>
    <w:rsid w:val="00B13C48"/>
    <w:rsid w:val="00B13E35"/>
    <w:rsid w:val="00B13EC0"/>
    <w:rsid w:val="00B14102"/>
    <w:rsid w:val="00B14BFB"/>
    <w:rsid w:val="00B14D32"/>
    <w:rsid w:val="00B1557C"/>
    <w:rsid w:val="00B155DC"/>
    <w:rsid w:val="00B15766"/>
    <w:rsid w:val="00B158F6"/>
    <w:rsid w:val="00B159AA"/>
    <w:rsid w:val="00B1666A"/>
    <w:rsid w:val="00B1686D"/>
    <w:rsid w:val="00B17037"/>
    <w:rsid w:val="00B1741D"/>
    <w:rsid w:val="00B17447"/>
    <w:rsid w:val="00B17563"/>
    <w:rsid w:val="00B1771D"/>
    <w:rsid w:val="00B17B91"/>
    <w:rsid w:val="00B20209"/>
    <w:rsid w:val="00B203AF"/>
    <w:rsid w:val="00B203C9"/>
    <w:rsid w:val="00B2088D"/>
    <w:rsid w:val="00B208FF"/>
    <w:rsid w:val="00B228D1"/>
    <w:rsid w:val="00B22C58"/>
    <w:rsid w:val="00B22E22"/>
    <w:rsid w:val="00B22F5F"/>
    <w:rsid w:val="00B23813"/>
    <w:rsid w:val="00B23FD9"/>
    <w:rsid w:val="00B24591"/>
    <w:rsid w:val="00B245D5"/>
    <w:rsid w:val="00B24C36"/>
    <w:rsid w:val="00B24F94"/>
    <w:rsid w:val="00B25126"/>
    <w:rsid w:val="00B25A52"/>
    <w:rsid w:val="00B25B0A"/>
    <w:rsid w:val="00B25FC3"/>
    <w:rsid w:val="00B26CC4"/>
    <w:rsid w:val="00B27026"/>
    <w:rsid w:val="00B27875"/>
    <w:rsid w:val="00B3008D"/>
    <w:rsid w:val="00B309C9"/>
    <w:rsid w:val="00B30E11"/>
    <w:rsid w:val="00B30EEB"/>
    <w:rsid w:val="00B30FD0"/>
    <w:rsid w:val="00B31423"/>
    <w:rsid w:val="00B31710"/>
    <w:rsid w:val="00B323E0"/>
    <w:rsid w:val="00B32790"/>
    <w:rsid w:val="00B32DC0"/>
    <w:rsid w:val="00B3346C"/>
    <w:rsid w:val="00B335E4"/>
    <w:rsid w:val="00B33C23"/>
    <w:rsid w:val="00B345B4"/>
    <w:rsid w:val="00B348B1"/>
    <w:rsid w:val="00B34A28"/>
    <w:rsid w:val="00B34C35"/>
    <w:rsid w:val="00B34EB2"/>
    <w:rsid w:val="00B35046"/>
    <w:rsid w:val="00B35B6A"/>
    <w:rsid w:val="00B36D46"/>
    <w:rsid w:val="00B37657"/>
    <w:rsid w:val="00B37AFD"/>
    <w:rsid w:val="00B37B07"/>
    <w:rsid w:val="00B4046F"/>
    <w:rsid w:val="00B40B47"/>
    <w:rsid w:val="00B41D39"/>
    <w:rsid w:val="00B422C0"/>
    <w:rsid w:val="00B426CA"/>
    <w:rsid w:val="00B426E1"/>
    <w:rsid w:val="00B4298E"/>
    <w:rsid w:val="00B437F8"/>
    <w:rsid w:val="00B4387A"/>
    <w:rsid w:val="00B44260"/>
    <w:rsid w:val="00B44746"/>
    <w:rsid w:val="00B44854"/>
    <w:rsid w:val="00B458D0"/>
    <w:rsid w:val="00B46120"/>
    <w:rsid w:val="00B4792C"/>
    <w:rsid w:val="00B50CAE"/>
    <w:rsid w:val="00B512AD"/>
    <w:rsid w:val="00B5196C"/>
    <w:rsid w:val="00B525CB"/>
    <w:rsid w:val="00B52697"/>
    <w:rsid w:val="00B52A3C"/>
    <w:rsid w:val="00B53E7C"/>
    <w:rsid w:val="00B54D8F"/>
    <w:rsid w:val="00B55857"/>
    <w:rsid w:val="00B55C69"/>
    <w:rsid w:val="00B55EC1"/>
    <w:rsid w:val="00B56851"/>
    <w:rsid w:val="00B56D6E"/>
    <w:rsid w:val="00B572F7"/>
    <w:rsid w:val="00B57B9D"/>
    <w:rsid w:val="00B57DAF"/>
    <w:rsid w:val="00B60094"/>
    <w:rsid w:val="00B6022C"/>
    <w:rsid w:val="00B614F8"/>
    <w:rsid w:val="00B61994"/>
    <w:rsid w:val="00B61FD4"/>
    <w:rsid w:val="00B62880"/>
    <w:rsid w:val="00B63872"/>
    <w:rsid w:val="00B63CB2"/>
    <w:rsid w:val="00B63F51"/>
    <w:rsid w:val="00B6416D"/>
    <w:rsid w:val="00B64246"/>
    <w:rsid w:val="00B64EDB"/>
    <w:rsid w:val="00B65379"/>
    <w:rsid w:val="00B654D3"/>
    <w:rsid w:val="00B65938"/>
    <w:rsid w:val="00B65C8A"/>
    <w:rsid w:val="00B65CE2"/>
    <w:rsid w:val="00B65CED"/>
    <w:rsid w:val="00B660AD"/>
    <w:rsid w:val="00B66109"/>
    <w:rsid w:val="00B66349"/>
    <w:rsid w:val="00B67630"/>
    <w:rsid w:val="00B67FBF"/>
    <w:rsid w:val="00B7024E"/>
    <w:rsid w:val="00B71FA7"/>
    <w:rsid w:val="00B72110"/>
    <w:rsid w:val="00B72B91"/>
    <w:rsid w:val="00B73019"/>
    <w:rsid w:val="00B7315F"/>
    <w:rsid w:val="00B7323A"/>
    <w:rsid w:val="00B73356"/>
    <w:rsid w:val="00B7353B"/>
    <w:rsid w:val="00B7358A"/>
    <w:rsid w:val="00B737FB"/>
    <w:rsid w:val="00B7423D"/>
    <w:rsid w:val="00B74605"/>
    <w:rsid w:val="00B74A8A"/>
    <w:rsid w:val="00B74D05"/>
    <w:rsid w:val="00B76577"/>
    <w:rsid w:val="00B777FA"/>
    <w:rsid w:val="00B77850"/>
    <w:rsid w:val="00B7796B"/>
    <w:rsid w:val="00B77A14"/>
    <w:rsid w:val="00B80C72"/>
    <w:rsid w:val="00B81964"/>
    <w:rsid w:val="00B81E6F"/>
    <w:rsid w:val="00B82123"/>
    <w:rsid w:val="00B8225B"/>
    <w:rsid w:val="00B82BB5"/>
    <w:rsid w:val="00B83182"/>
    <w:rsid w:val="00B84684"/>
    <w:rsid w:val="00B848DF"/>
    <w:rsid w:val="00B851E4"/>
    <w:rsid w:val="00B854CE"/>
    <w:rsid w:val="00B85681"/>
    <w:rsid w:val="00B857EB"/>
    <w:rsid w:val="00B86110"/>
    <w:rsid w:val="00B86162"/>
    <w:rsid w:val="00B86877"/>
    <w:rsid w:val="00B8695D"/>
    <w:rsid w:val="00B86D58"/>
    <w:rsid w:val="00B86E66"/>
    <w:rsid w:val="00B873BA"/>
    <w:rsid w:val="00B8746F"/>
    <w:rsid w:val="00B8760D"/>
    <w:rsid w:val="00B87706"/>
    <w:rsid w:val="00B87F98"/>
    <w:rsid w:val="00B90A49"/>
    <w:rsid w:val="00B90C2B"/>
    <w:rsid w:val="00B90E5C"/>
    <w:rsid w:val="00B910A5"/>
    <w:rsid w:val="00B91B8E"/>
    <w:rsid w:val="00B91E13"/>
    <w:rsid w:val="00B92531"/>
    <w:rsid w:val="00B92618"/>
    <w:rsid w:val="00B92751"/>
    <w:rsid w:val="00B92B69"/>
    <w:rsid w:val="00B92CC6"/>
    <w:rsid w:val="00B935C9"/>
    <w:rsid w:val="00B93E3D"/>
    <w:rsid w:val="00B94033"/>
    <w:rsid w:val="00B95018"/>
    <w:rsid w:val="00B95464"/>
    <w:rsid w:val="00B956DC"/>
    <w:rsid w:val="00B95C30"/>
    <w:rsid w:val="00B95D38"/>
    <w:rsid w:val="00B95E3D"/>
    <w:rsid w:val="00B95F7F"/>
    <w:rsid w:val="00B9691F"/>
    <w:rsid w:val="00B969E0"/>
    <w:rsid w:val="00B96EEC"/>
    <w:rsid w:val="00B97392"/>
    <w:rsid w:val="00B973C6"/>
    <w:rsid w:val="00B97691"/>
    <w:rsid w:val="00B976C7"/>
    <w:rsid w:val="00BA0C54"/>
    <w:rsid w:val="00BA1382"/>
    <w:rsid w:val="00BA1EFD"/>
    <w:rsid w:val="00BA20D8"/>
    <w:rsid w:val="00BA22FC"/>
    <w:rsid w:val="00BA2F30"/>
    <w:rsid w:val="00BA4771"/>
    <w:rsid w:val="00BA4DA4"/>
    <w:rsid w:val="00BA5027"/>
    <w:rsid w:val="00BA665B"/>
    <w:rsid w:val="00BA7370"/>
    <w:rsid w:val="00BA778B"/>
    <w:rsid w:val="00BA79B8"/>
    <w:rsid w:val="00BB0888"/>
    <w:rsid w:val="00BB0DF1"/>
    <w:rsid w:val="00BB0E9B"/>
    <w:rsid w:val="00BB2729"/>
    <w:rsid w:val="00BB2841"/>
    <w:rsid w:val="00BB300F"/>
    <w:rsid w:val="00BB32C9"/>
    <w:rsid w:val="00BB35C5"/>
    <w:rsid w:val="00BB43A7"/>
    <w:rsid w:val="00BB47D0"/>
    <w:rsid w:val="00BB4C8E"/>
    <w:rsid w:val="00BB57ED"/>
    <w:rsid w:val="00BB65C3"/>
    <w:rsid w:val="00BB662E"/>
    <w:rsid w:val="00BB67A9"/>
    <w:rsid w:val="00BB6C01"/>
    <w:rsid w:val="00BB7942"/>
    <w:rsid w:val="00BB7CD1"/>
    <w:rsid w:val="00BC0F33"/>
    <w:rsid w:val="00BC14A7"/>
    <w:rsid w:val="00BC1611"/>
    <w:rsid w:val="00BC1632"/>
    <w:rsid w:val="00BC17CC"/>
    <w:rsid w:val="00BC229E"/>
    <w:rsid w:val="00BC2898"/>
    <w:rsid w:val="00BC2928"/>
    <w:rsid w:val="00BC2AA9"/>
    <w:rsid w:val="00BC2BB1"/>
    <w:rsid w:val="00BC34A3"/>
    <w:rsid w:val="00BC3FF9"/>
    <w:rsid w:val="00BC4834"/>
    <w:rsid w:val="00BC4A97"/>
    <w:rsid w:val="00BC5A25"/>
    <w:rsid w:val="00BC5FDD"/>
    <w:rsid w:val="00BC68B4"/>
    <w:rsid w:val="00BC6C2D"/>
    <w:rsid w:val="00BC7B9A"/>
    <w:rsid w:val="00BD00A9"/>
    <w:rsid w:val="00BD0140"/>
    <w:rsid w:val="00BD02CC"/>
    <w:rsid w:val="00BD09A7"/>
    <w:rsid w:val="00BD1675"/>
    <w:rsid w:val="00BD2063"/>
    <w:rsid w:val="00BD33D9"/>
    <w:rsid w:val="00BD38C5"/>
    <w:rsid w:val="00BD3A59"/>
    <w:rsid w:val="00BD3CF1"/>
    <w:rsid w:val="00BD3DEA"/>
    <w:rsid w:val="00BD3E97"/>
    <w:rsid w:val="00BD40E4"/>
    <w:rsid w:val="00BD4563"/>
    <w:rsid w:val="00BD52FE"/>
    <w:rsid w:val="00BD62CF"/>
    <w:rsid w:val="00BD67B2"/>
    <w:rsid w:val="00BD6A07"/>
    <w:rsid w:val="00BD78AB"/>
    <w:rsid w:val="00BD78FE"/>
    <w:rsid w:val="00BD7A91"/>
    <w:rsid w:val="00BE0149"/>
    <w:rsid w:val="00BE0767"/>
    <w:rsid w:val="00BE12D7"/>
    <w:rsid w:val="00BE1372"/>
    <w:rsid w:val="00BE1775"/>
    <w:rsid w:val="00BE17A2"/>
    <w:rsid w:val="00BE18DA"/>
    <w:rsid w:val="00BE26C0"/>
    <w:rsid w:val="00BE3442"/>
    <w:rsid w:val="00BE39F5"/>
    <w:rsid w:val="00BE45DF"/>
    <w:rsid w:val="00BE47B2"/>
    <w:rsid w:val="00BE48C7"/>
    <w:rsid w:val="00BE4F66"/>
    <w:rsid w:val="00BE4F8C"/>
    <w:rsid w:val="00BE5238"/>
    <w:rsid w:val="00BE5D35"/>
    <w:rsid w:val="00BE6074"/>
    <w:rsid w:val="00BE67A2"/>
    <w:rsid w:val="00BE7257"/>
    <w:rsid w:val="00BF020D"/>
    <w:rsid w:val="00BF1DD2"/>
    <w:rsid w:val="00BF23A3"/>
    <w:rsid w:val="00BF28DB"/>
    <w:rsid w:val="00BF2A7E"/>
    <w:rsid w:val="00BF3331"/>
    <w:rsid w:val="00BF3A45"/>
    <w:rsid w:val="00BF436F"/>
    <w:rsid w:val="00BF4EC5"/>
    <w:rsid w:val="00BF5723"/>
    <w:rsid w:val="00BF5C05"/>
    <w:rsid w:val="00BF60C8"/>
    <w:rsid w:val="00BF6FC6"/>
    <w:rsid w:val="00BF73E1"/>
    <w:rsid w:val="00BF7C52"/>
    <w:rsid w:val="00BF7F99"/>
    <w:rsid w:val="00C00713"/>
    <w:rsid w:val="00C009A0"/>
    <w:rsid w:val="00C01F74"/>
    <w:rsid w:val="00C02558"/>
    <w:rsid w:val="00C0285F"/>
    <w:rsid w:val="00C02F35"/>
    <w:rsid w:val="00C03305"/>
    <w:rsid w:val="00C03515"/>
    <w:rsid w:val="00C03738"/>
    <w:rsid w:val="00C037A6"/>
    <w:rsid w:val="00C043F5"/>
    <w:rsid w:val="00C044E3"/>
    <w:rsid w:val="00C047A8"/>
    <w:rsid w:val="00C04BDB"/>
    <w:rsid w:val="00C052C6"/>
    <w:rsid w:val="00C059D4"/>
    <w:rsid w:val="00C05A61"/>
    <w:rsid w:val="00C06CCF"/>
    <w:rsid w:val="00C108B8"/>
    <w:rsid w:val="00C11503"/>
    <w:rsid w:val="00C1159D"/>
    <w:rsid w:val="00C11683"/>
    <w:rsid w:val="00C11798"/>
    <w:rsid w:val="00C118DB"/>
    <w:rsid w:val="00C1233E"/>
    <w:rsid w:val="00C125C1"/>
    <w:rsid w:val="00C12F05"/>
    <w:rsid w:val="00C12FB3"/>
    <w:rsid w:val="00C138BC"/>
    <w:rsid w:val="00C13D85"/>
    <w:rsid w:val="00C14173"/>
    <w:rsid w:val="00C14639"/>
    <w:rsid w:val="00C14DAD"/>
    <w:rsid w:val="00C14E82"/>
    <w:rsid w:val="00C14FF6"/>
    <w:rsid w:val="00C150A6"/>
    <w:rsid w:val="00C15A85"/>
    <w:rsid w:val="00C1641B"/>
    <w:rsid w:val="00C165FC"/>
    <w:rsid w:val="00C176D5"/>
    <w:rsid w:val="00C2082C"/>
    <w:rsid w:val="00C20832"/>
    <w:rsid w:val="00C20EB0"/>
    <w:rsid w:val="00C21005"/>
    <w:rsid w:val="00C2183B"/>
    <w:rsid w:val="00C220B6"/>
    <w:rsid w:val="00C22305"/>
    <w:rsid w:val="00C22D7C"/>
    <w:rsid w:val="00C22DDE"/>
    <w:rsid w:val="00C2338B"/>
    <w:rsid w:val="00C233CE"/>
    <w:rsid w:val="00C23661"/>
    <w:rsid w:val="00C236AE"/>
    <w:rsid w:val="00C237DD"/>
    <w:rsid w:val="00C238F4"/>
    <w:rsid w:val="00C23A99"/>
    <w:rsid w:val="00C23B96"/>
    <w:rsid w:val="00C245EE"/>
    <w:rsid w:val="00C24AE1"/>
    <w:rsid w:val="00C24B8D"/>
    <w:rsid w:val="00C24BD7"/>
    <w:rsid w:val="00C252CC"/>
    <w:rsid w:val="00C25813"/>
    <w:rsid w:val="00C27143"/>
    <w:rsid w:val="00C27490"/>
    <w:rsid w:val="00C27A55"/>
    <w:rsid w:val="00C27AFC"/>
    <w:rsid w:val="00C27D37"/>
    <w:rsid w:val="00C27FB2"/>
    <w:rsid w:val="00C302E5"/>
    <w:rsid w:val="00C309E8"/>
    <w:rsid w:val="00C30E37"/>
    <w:rsid w:val="00C32017"/>
    <w:rsid w:val="00C325CD"/>
    <w:rsid w:val="00C3322E"/>
    <w:rsid w:val="00C337F5"/>
    <w:rsid w:val="00C33B90"/>
    <w:rsid w:val="00C34350"/>
    <w:rsid w:val="00C34B5F"/>
    <w:rsid w:val="00C3543E"/>
    <w:rsid w:val="00C358D4"/>
    <w:rsid w:val="00C36785"/>
    <w:rsid w:val="00C36845"/>
    <w:rsid w:val="00C3711C"/>
    <w:rsid w:val="00C37256"/>
    <w:rsid w:val="00C37A7B"/>
    <w:rsid w:val="00C37CFF"/>
    <w:rsid w:val="00C37FFE"/>
    <w:rsid w:val="00C40B50"/>
    <w:rsid w:val="00C41457"/>
    <w:rsid w:val="00C41858"/>
    <w:rsid w:val="00C419E3"/>
    <w:rsid w:val="00C419F4"/>
    <w:rsid w:val="00C41E6A"/>
    <w:rsid w:val="00C421A3"/>
    <w:rsid w:val="00C42247"/>
    <w:rsid w:val="00C439BE"/>
    <w:rsid w:val="00C44E61"/>
    <w:rsid w:val="00C4539B"/>
    <w:rsid w:val="00C45466"/>
    <w:rsid w:val="00C455C1"/>
    <w:rsid w:val="00C4581D"/>
    <w:rsid w:val="00C47472"/>
    <w:rsid w:val="00C47EA5"/>
    <w:rsid w:val="00C500F0"/>
    <w:rsid w:val="00C502BB"/>
    <w:rsid w:val="00C504A7"/>
    <w:rsid w:val="00C506C9"/>
    <w:rsid w:val="00C50A16"/>
    <w:rsid w:val="00C5122B"/>
    <w:rsid w:val="00C51C9A"/>
    <w:rsid w:val="00C51E32"/>
    <w:rsid w:val="00C52428"/>
    <w:rsid w:val="00C52C68"/>
    <w:rsid w:val="00C52D98"/>
    <w:rsid w:val="00C5325C"/>
    <w:rsid w:val="00C53D24"/>
    <w:rsid w:val="00C54640"/>
    <w:rsid w:val="00C54797"/>
    <w:rsid w:val="00C547A6"/>
    <w:rsid w:val="00C54A3A"/>
    <w:rsid w:val="00C5503F"/>
    <w:rsid w:val="00C55C32"/>
    <w:rsid w:val="00C56A67"/>
    <w:rsid w:val="00C56CC2"/>
    <w:rsid w:val="00C56EB3"/>
    <w:rsid w:val="00C57498"/>
    <w:rsid w:val="00C5763C"/>
    <w:rsid w:val="00C577CA"/>
    <w:rsid w:val="00C5780C"/>
    <w:rsid w:val="00C5796B"/>
    <w:rsid w:val="00C619A1"/>
    <w:rsid w:val="00C62370"/>
    <w:rsid w:val="00C62545"/>
    <w:rsid w:val="00C62A11"/>
    <w:rsid w:val="00C62BBB"/>
    <w:rsid w:val="00C6305F"/>
    <w:rsid w:val="00C6325B"/>
    <w:rsid w:val="00C63E99"/>
    <w:rsid w:val="00C64161"/>
    <w:rsid w:val="00C641BD"/>
    <w:rsid w:val="00C649B8"/>
    <w:rsid w:val="00C64A64"/>
    <w:rsid w:val="00C65151"/>
    <w:rsid w:val="00C657F4"/>
    <w:rsid w:val="00C66119"/>
    <w:rsid w:val="00C66292"/>
    <w:rsid w:val="00C672A3"/>
    <w:rsid w:val="00C672F1"/>
    <w:rsid w:val="00C673D0"/>
    <w:rsid w:val="00C6742E"/>
    <w:rsid w:val="00C677BE"/>
    <w:rsid w:val="00C70012"/>
    <w:rsid w:val="00C71CBB"/>
    <w:rsid w:val="00C71DD8"/>
    <w:rsid w:val="00C71E2A"/>
    <w:rsid w:val="00C733BA"/>
    <w:rsid w:val="00C74F3F"/>
    <w:rsid w:val="00C760DC"/>
    <w:rsid w:val="00C8082B"/>
    <w:rsid w:val="00C81A88"/>
    <w:rsid w:val="00C81AEC"/>
    <w:rsid w:val="00C81D46"/>
    <w:rsid w:val="00C820AD"/>
    <w:rsid w:val="00C82298"/>
    <w:rsid w:val="00C82F91"/>
    <w:rsid w:val="00C833B4"/>
    <w:rsid w:val="00C84284"/>
    <w:rsid w:val="00C84E33"/>
    <w:rsid w:val="00C853E0"/>
    <w:rsid w:val="00C85FFC"/>
    <w:rsid w:val="00C86123"/>
    <w:rsid w:val="00C861FC"/>
    <w:rsid w:val="00C86C87"/>
    <w:rsid w:val="00C8705B"/>
    <w:rsid w:val="00C87090"/>
    <w:rsid w:val="00C9005E"/>
    <w:rsid w:val="00C90111"/>
    <w:rsid w:val="00C90CA9"/>
    <w:rsid w:val="00C915F2"/>
    <w:rsid w:val="00C917B1"/>
    <w:rsid w:val="00C9193C"/>
    <w:rsid w:val="00C91B77"/>
    <w:rsid w:val="00C920E2"/>
    <w:rsid w:val="00C923AA"/>
    <w:rsid w:val="00C92B77"/>
    <w:rsid w:val="00C93154"/>
    <w:rsid w:val="00C93765"/>
    <w:rsid w:val="00C937BF"/>
    <w:rsid w:val="00C93877"/>
    <w:rsid w:val="00C93D8C"/>
    <w:rsid w:val="00C946CC"/>
    <w:rsid w:val="00C959BD"/>
    <w:rsid w:val="00C95F44"/>
    <w:rsid w:val="00C96D1B"/>
    <w:rsid w:val="00C97106"/>
    <w:rsid w:val="00C97684"/>
    <w:rsid w:val="00CA0031"/>
    <w:rsid w:val="00CA0413"/>
    <w:rsid w:val="00CA043A"/>
    <w:rsid w:val="00CA04F8"/>
    <w:rsid w:val="00CA05B7"/>
    <w:rsid w:val="00CA1691"/>
    <w:rsid w:val="00CA2E65"/>
    <w:rsid w:val="00CA2EA1"/>
    <w:rsid w:val="00CA41E7"/>
    <w:rsid w:val="00CA4B2B"/>
    <w:rsid w:val="00CA5520"/>
    <w:rsid w:val="00CA5812"/>
    <w:rsid w:val="00CA5BD4"/>
    <w:rsid w:val="00CA5C14"/>
    <w:rsid w:val="00CA76FC"/>
    <w:rsid w:val="00CA7E7B"/>
    <w:rsid w:val="00CB0236"/>
    <w:rsid w:val="00CB1324"/>
    <w:rsid w:val="00CB19E3"/>
    <w:rsid w:val="00CB2C3A"/>
    <w:rsid w:val="00CB2D38"/>
    <w:rsid w:val="00CB353F"/>
    <w:rsid w:val="00CB4137"/>
    <w:rsid w:val="00CB52D0"/>
    <w:rsid w:val="00CB5578"/>
    <w:rsid w:val="00CB5671"/>
    <w:rsid w:val="00CB591C"/>
    <w:rsid w:val="00CB5943"/>
    <w:rsid w:val="00CB61B3"/>
    <w:rsid w:val="00CB6F83"/>
    <w:rsid w:val="00CB72AE"/>
    <w:rsid w:val="00CB78AD"/>
    <w:rsid w:val="00CC00CD"/>
    <w:rsid w:val="00CC0579"/>
    <w:rsid w:val="00CC0AF3"/>
    <w:rsid w:val="00CC0BC6"/>
    <w:rsid w:val="00CC0E68"/>
    <w:rsid w:val="00CC21AC"/>
    <w:rsid w:val="00CC2514"/>
    <w:rsid w:val="00CC2756"/>
    <w:rsid w:val="00CC2F69"/>
    <w:rsid w:val="00CC315F"/>
    <w:rsid w:val="00CC3D38"/>
    <w:rsid w:val="00CC404B"/>
    <w:rsid w:val="00CC40C3"/>
    <w:rsid w:val="00CC4E5D"/>
    <w:rsid w:val="00CC50AE"/>
    <w:rsid w:val="00CC5864"/>
    <w:rsid w:val="00CC61B7"/>
    <w:rsid w:val="00CC61CA"/>
    <w:rsid w:val="00CC6668"/>
    <w:rsid w:val="00CC69EC"/>
    <w:rsid w:val="00CC71D3"/>
    <w:rsid w:val="00CC743D"/>
    <w:rsid w:val="00CC7E86"/>
    <w:rsid w:val="00CD050A"/>
    <w:rsid w:val="00CD205D"/>
    <w:rsid w:val="00CD2A22"/>
    <w:rsid w:val="00CD2B50"/>
    <w:rsid w:val="00CD3AD3"/>
    <w:rsid w:val="00CD41FE"/>
    <w:rsid w:val="00CD4506"/>
    <w:rsid w:val="00CD520B"/>
    <w:rsid w:val="00CD592E"/>
    <w:rsid w:val="00CD5982"/>
    <w:rsid w:val="00CD5A1A"/>
    <w:rsid w:val="00CD5D94"/>
    <w:rsid w:val="00CD6054"/>
    <w:rsid w:val="00CD7EFA"/>
    <w:rsid w:val="00CE020E"/>
    <w:rsid w:val="00CE0566"/>
    <w:rsid w:val="00CE16A9"/>
    <w:rsid w:val="00CE1CD4"/>
    <w:rsid w:val="00CE23FE"/>
    <w:rsid w:val="00CE2761"/>
    <w:rsid w:val="00CE2B49"/>
    <w:rsid w:val="00CE314E"/>
    <w:rsid w:val="00CE3D5C"/>
    <w:rsid w:val="00CE3E14"/>
    <w:rsid w:val="00CE44C7"/>
    <w:rsid w:val="00CE53CC"/>
    <w:rsid w:val="00CE65A7"/>
    <w:rsid w:val="00CE68FE"/>
    <w:rsid w:val="00CE69CC"/>
    <w:rsid w:val="00CE6EC4"/>
    <w:rsid w:val="00CE7A77"/>
    <w:rsid w:val="00CE7F26"/>
    <w:rsid w:val="00CE7FBF"/>
    <w:rsid w:val="00CF1226"/>
    <w:rsid w:val="00CF16C0"/>
    <w:rsid w:val="00CF1ABB"/>
    <w:rsid w:val="00CF1E1D"/>
    <w:rsid w:val="00CF24FE"/>
    <w:rsid w:val="00CF35D0"/>
    <w:rsid w:val="00CF3DD5"/>
    <w:rsid w:val="00CF41D5"/>
    <w:rsid w:val="00CF4897"/>
    <w:rsid w:val="00CF4AF7"/>
    <w:rsid w:val="00CF4D20"/>
    <w:rsid w:val="00CF55DF"/>
    <w:rsid w:val="00CF6180"/>
    <w:rsid w:val="00CF64F6"/>
    <w:rsid w:val="00CF73F8"/>
    <w:rsid w:val="00CF7928"/>
    <w:rsid w:val="00CF7CA2"/>
    <w:rsid w:val="00D00A8E"/>
    <w:rsid w:val="00D00DE0"/>
    <w:rsid w:val="00D00F79"/>
    <w:rsid w:val="00D012BF"/>
    <w:rsid w:val="00D01760"/>
    <w:rsid w:val="00D02B73"/>
    <w:rsid w:val="00D0368E"/>
    <w:rsid w:val="00D03D2D"/>
    <w:rsid w:val="00D03E7B"/>
    <w:rsid w:val="00D0401A"/>
    <w:rsid w:val="00D047E0"/>
    <w:rsid w:val="00D04B9F"/>
    <w:rsid w:val="00D04F34"/>
    <w:rsid w:val="00D04FFB"/>
    <w:rsid w:val="00D05153"/>
    <w:rsid w:val="00D058E9"/>
    <w:rsid w:val="00D0612A"/>
    <w:rsid w:val="00D06A0E"/>
    <w:rsid w:val="00D1060D"/>
    <w:rsid w:val="00D10E7C"/>
    <w:rsid w:val="00D11182"/>
    <w:rsid w:val="00D1137B"/>
    <w:rsid w:val="00D11773"/>
    <w:rsid w:val="00D11807"/>
    <w:rsid w:val="00D11DB3"/>
    <w:rsid w:val="00D12D82"/>
    <w:rsid w:val="00D1306E"/>
    <w:rsid w:val="00D134CD"/>
    <w:rsid w:val="00D13CE5"/>
    <w:rsid w:val="00D14B5F"/>
    <w:rsid w:val="00D14E13"/>
    <w:rsid w:val="00D14F23"/>
    <w:rsid w:val="00D15356"/>
    <w:rsid w:val="00D16054"/>
    <w:rsid w:val="00D160AA"/>
    <w:rsid w:val="00D16123"/>
    <w:rsid w:val="00D16740"/>
    <w:rsid w:val="00D16A8B"/>
    <w:rsid w:val="00D16E39"/>
    <w:rsid w:val="00D17951"/>
    <w:rsid w:val="00D17AD8"/>
    <w:rsid w:val="00D17B53"/>
    <w:rsid w:val="00D2104A"/>
    <w:rsid w:val="00D21302"/>
    <w:rsid w:val="00D213F1"/>
    <w:rsid w:val="00D21BB5"/>
    <w:rsid w:val="00D21FFC"/>
    <w:rsid w:val="00D223A3"/>
    <w:rsid w:val="00D223B6"/>
    <w:rsid w:val="00D223E8"/>
    <w:rsid w:val="00D22DC8"/>
    <w:rsid w:val="00D24ECD"/>
    <w:rsid w:val="00D2522A"/>
    <w:rsid w:val="00D2531C"/>
    <w:rsid w:val="00D255F3"/>
    <w:rsid w:val="00D260C6"/>
    <w:rsid w:val="00D26C21"/>
    <w:rsid w:val="00D2742F"/>
    <w:rsid w:val="00D2754F"/>
    <w:rsid w:val="00D27912"/>
    <w:rsid w:val="00D279D9"/>
    <w:rsid w:val="00D27C74"/>
    <w:rsid w:val="00D312DC"/>
    <w:rsid w:val="00D31B84"/>
    <w:rsid w:val="00D31C6A"/>
    <w:rsid w:val="00D31EDF"/>
    <w:rsid w:val="00D31FF9"/>
    <w:rsid w:val="00D32149"/>
    <w:rsid w:val="00D32256"/>
    <w:rsid w:val="00D32A27"/>
    <w:rsid w:val="00D32ABC"/>
    <w:rsid w:val="00D33010"/>
    <w:rsid w:val="00D34B25"/>
    <w:rsid w:val="00D34F4E"/>
    <w:rsid w:val="00D35753"/>
    <w:rsid w:val="00D357F3"/>
    <w:rsid w:val="00D35C0E"/>
    <w:rsid w:val="00D373A8"/>
    <w:rsid w:val="00D375FF"/>
    <w:rsid w:val="00D379A5"/>
    <w:rsid w:val="00D401BE"/>
    <w:rsid w:val="00D40316"/>
    <w:rsid w:val="00D4043A"/>
    <w:rsid w:val="00D40A8E"/>
    <w:rsid w:val="00D40AB0"/>
    <w:rsid w:val="00D40AE8"/>
    <w:rsid w:val="00D40DB0"/>
    <w:rsid w:val="00D40F8B"/>
    <w:rsid w:val="00D41858"/>
    <w:rsid w:val="00D422DB"/>
    <w:rsid w:val="00D42A83"/>
    <w:rsid w:val="00D42AC2"/>
    <w:rsid w:val="00D43222"/>
    <w:rsid w:val="00D4498E"/>
    <w:rsid w:val="00D4515F"/>
    <w:rsid w:val="00D451E8"/>
    <w:rsid w:val="00D4636B"/>
    <w:rsid w:val="00D466C9"/>
    <w:rsid w:val="00D467D8"/>
    <w:rsid w:val="00D47275"/>
    <w:rsid w:val="00D4767B"/>
    <w:rsid w:val="00D50AEF"/>
    <w:rsid w:val="00D50C39"/>
    <w:rsid w:val="00D51E15"/>
    <w:rsid w:val="00D52B7E"/>
    <w:rsid w:val="00D52E2F"/>
    <w:rsid w:val="00D52F59"/>
    <w:rsid w:val="00D53E3E"/>
    <w:rsid w:val="00D55904"/>
    <w:rsid w:val="00D5616F"/>
    <w:rsid w:val="00D57940"/>
    <w:rsid w:val="00D60327"/>
    <w:rsid w:val="00D61526"/>
    <w:rsid w:val="00D61F81"/>
    <w:rsid w:val="00D623A9"/>
    <w:rsid w:val="00D62BE6"/>
    <w:rsid w:val="00D633AC"/>
    <w:rsid w:val="00D63766"/>
    <w:rsid w:val="00D63912"/>
    <w:rsid w:val="00D63923"/>
    <w:rsid w:val="00D6451B"/>
    <w:rsid w:val="00D64B57"/>
    <w:rsid w:val="00D65DEA"/>
    <w:rsid w:val="00D65DFE"/>
    <w:rsid w:val="00D67BC7"/>
    <w:rsid w:val="00D701F1"/>
    <w:rsid w:val="00D705D3"/>
    <w:rsid w:val="00D70E00"/>
    <w:rsid w:val="00D715AC"/>
    <w:rsid w:val="00D71851"/>
    <w:rsid w:val="00D718CF"/>
    <w:rsid w:val="00D728F5"/>
    <w:rsid w:val="00D72E9D"/>
    <w:rsid w:val="00D73249"/>
    <w:rsid w:val="00D73419"/>
    <w:rsid w:val="00D73CA9"/>
    <w:rsid w:val="00D7481A"/>
    <w:rsid w:val="00D751B7"/>
    <w:rsid w:val="00D7524B"/>
    <w:rsid w:val="00D75396"/>
    <w:rsid w:val="00D759C0"/>
    <w:rsid w:val="00D75C05"/>
    <w:rsid w:val="00D75E99"/>
    <w:rsid w:val="00D766C7"/>
    <w:rsid w:val="00D7692B"/>
    <w:rsid w:val="00D76A19"/>
    <w:rsid w:val="00D76CBD"/>
    <w:rsid w:val="00D7734F"/>
    <w:rsid w:val="00D8044C"/>
    <w:rsid w:val="00D805D6"/>
    <w:rsid w:val="00D8075E"/>
    <w:rsid w:val="00D80860"/>
    <w:rsid w:val="00D80D4C"/>
    <w:rsid w:val="00D8166D"/>
    <w:rsid w:val="00D8184D"/>
    <w:rsid w:val="00D81A7B"/>
    <w:rsid w:val="00D8223C"/>
    <w:rsid w:val="00D82B57"/>
    <w:rsid w:val="00D82CE5"/>
    <w:rsid w:val="00D8342C"/>
    <w:rsid w:val="00D85494"/>
    <w:rsid w:val="00D8582C"/>
    <w:rsid w:val="00D85D61"/>
    <w:rsid w:val="00D8616D"/>
    <w:rsid w:val="00D8711B"/>
    <w:rsid w:val="00D87384"/>
    <w:rsid w:val="00D90683"/>
    <w:rsid w:val="00D915C8"/>
    <w:rsid w:val="00D9261C"/>
    <w:rsid w:val="00D9310B"/>
    <w:rsid w:val="00D93299"/>
    <w:rsid w:val="00D93726"/>
    <w:rsid w:val="00D93DD3"/>
    <w:rsid w:val="00D93F3E"/>
    <w:rsid w:val="00D9405B"/>
    <w:rsid w:val="00D94942"/>
    <w:rsid w:val="00D95145"/>
    <w:rsid w:val="00D967CB"/>
    <w:rsid w:val="00D96EE0"/>
    <w:rsid w:val="00D97BD1"/>
    <w:rsid w:val="00DA06B8"/>
    <w:rsid w:val="00DA286D"/>
    <w:rsid w:val="00DA2969"/>
    <w:rsid w:val="00DA29B7"/>
    <w:rsid w:val="00DA4842"/>
    <w:rsid w:val="00DA5989"/>
    <w:rsid w:val="00DA5AB1"/>
    <w:rsid w:val="00DA5F9D"/>
    <w:rsid w:val="00DA69B2"/>
    <w:rsid w:val="00DA6A7B"/>
    <w:rsid w:val="00DA72C8"/>
    <w:rsid w:val="00DA7462"/>
    <w:rsid w:val="00DA777E"/>
    <w:rsid w:val="00DA7AD0"/>
    <w:rsid w:val="00DB02D7"/>
    <w:rsid w:val="00DB03CC"/>
    <w:rsid w:val="00DB12D4"/>
    <w:rsid w:val="00DB14F0"/>
    <w:rsid w:val="00DB1745"/>
    <w:rsid w:val="00DB1AFF"/>
    <w:rsid w:val="00DB219A"/>
    <w:rsid w:val="00DB3165"/>
    <w:rsid w:val="00DB4292"/>
    <w:rsid w:val="00DB5196"/>
    <w:rsid w:val="00DB5C03"/>
    <w:rsid w:val="00DB68BB"/>
    <w:rsid w:val="00DB6E46"/>
    <w:rsid w:val="00DB70E2"/>
    <w:rsid w:val="00DB7117"/>
    <w:rsid w:val="00DB7760"/>
    <w:rsid w:val="00DB7DD4"/>
    <w:rsid w:val="00DB7E44"/>
    <w:rsid w:val="00DC00B4"/>
    <w:rsid w:val="00DC037A"/>
    <w:rsid w:val="00DC0954"/>
    <w:rsid w:val="00DC15BA"/>
    <w:rsid w:val="00DC18CD"/>
    <w:rsid w:val="00DC1A68"/>
    <w:rsid w:val="00DC30B8"/>
    <w:rsid w:val="00DC32C6"/>
    <w:rsid w:val="00DC3720"/>
    <w:rsid w:val="00DC478F"/>
    <w:rsid w:val="00DC62E5"/>
    <w:rsid w:val="00DC6AB9"/>
    <w:rsid w:val="00DC6F33"/>
    <w:rsid w:val="00DC729E"/>
    <w:rsid w:val="00DC7349"/>
    <w:rsid w:val="00DD005B"/>
    <w:rsid w:val="00DD118B"/>
    <w:rsid w:val="00DD14D8"/>
    <w:rsid w:val="00DD1599"/>
    <w:rsid w:val="00DD177F"/>
    <w:rsid w:val="00DD1B03"/>
    <w:rsid w:val="00DD2772"/>
    <w:rsid w:val="00DD2A62"/>
    <w:rsid w:val="00DD2F2F"/>
    <w:rsid w:val="00DD2F7A"/>
    <w:rsid w:val="00DD3885"/>
    <w:rsid w:val="00DD5056"/>
    <w:rsid w:val="00DD5808"/>
    <w:rsid w:val="00DD5946"/>
    <w:rsid w:val="00DD5B04"/>
    <w:rsid w:val="00DD5DAE"/>
    <w:rsid w:val="00DD5EC6"/>
    <w:rsid w:val="00DD605F"/>
    <w:rsid w:val="00DD6657"/>
    <w:rsid w:val="00DD6D71"/>
    <w:rsid w:val="00DD7236"/>
    <w:rsid w:val="00DD72A0"/>
    <w:rsid w:val="00DD735D"/>
    <w:rsid w:val="00DE0159"/>
    <w:rsid w:val="00DE064A"/>
    <w:rsid w:val="00DE0755"/>
    <w:rsid w:val="00DE082D"/>
    <w:rsid w:val="00DE1410"/>
    <w:rsid w:val="00DE1ED0"/>
    <w:rsid w:val="00DE3119"/>
    <w:rsid w:val="00DE3FF0"/>
    <w:rsid w:val="00DE4105"/>
    <w:rsid w:val="00DE5189"/>
    <w:rsid w:val="00DE6230"/>
    <w:rsid w:val="00DE7108"/>
    <w:rsid w:val="00DE78D1"/>
    <w:rsid w:val="00DF0263"/>
    <w:rsid w:val="00DF0EB4"/>
    <w:rsid w:val="00DF1E36"/>
    <w:rsid w:val="00DF1FDB"/>
    <w:rsid w:val="00DF236B"/>
    <w:rsid w:val="00DF2A91"/>
    <w:rsid w:val="00DF2F82"/>
    <w:rsid w:val="00DF3889"/>
    <w:rsid w:val="00DF3CC9"/>
    <w:rsid w:val="00DF4451"/>
    <w:rsid w:val="00DF4750"/>
    <w:rsid w:val="00DF49FF"/>
    <w:rsid w:val="00DF4FFB"/>
    <w:rsid w:val="00DF5236"/>
    <w:rsid w:val="00DF651F"/>
    <w:rsid w:val="00DF6E10"/>
    <w:rsid w:val="00DF6F43"/>
    <w:rsid w:val="00DF752F"/>
    <w:rsid w:val="00DF76A2"/>
    <w:rsid w:val="00DF7B33"/>
    <w:rsid w:val="00E00B7A"/>
    <w:rsid w:val="00E02186"/>
    <w:rsid w:val="00E026BB"/>
    <w:rsid w:val="00E027C5"/>
    <w:rsid w:val="00E03124"/>
    <w:rsid w:val="00E031EB"/>
    <w:rsid w:val="00E03951"/>
    <w:rsid w:val="00E03DB8"/>
    <w:rsid w:val="00E04A32"/>
    <w:rsid w:val="00E057BA"/>
    <w:rsid w:val="00E05E70"/>
    <w:rsid w:val="00E0631A"/>
    <w:rsid w:val="00E064BC"/>
    <w:rsid w:val="00E07225"/>
    <w:rsid w:val="00E07AAA"/>
    <w:rsid w:val="00E1079C"/>
    <w:rsid w:val="00E109DD"/>
    <w:rsid w:val="00E11229"/>
    <w:rsid w:val="00E114CA"/>
    <w:rsid w:val="00E11CF0"/>
    <w:rsid w:val="00E12E62"/>
    <w:rsid w:val="00E132D5"/>
    <w:rsid w:val="00E1397F"/>
    <w:rsid w:val="00E13AB8"/>
    <w:rsid w:val="00E13D8F"/>
    <w:rsid w:val="00E1482E"/>
    <w:rsid w:val="00E155D3"/>
    <w:rsid w:val="00E16382"/>
    <w:rsid w:val="00E16572"/>
    <w:rsid w:val="00E1699C"/>
    <w:rsid w:val="00E16E75"/>
    <w:rsid w:val="00E1746D"/>
    <w:rsid w:val="00E2012A"/>
    <w:rsid w:val="00E205A2"/>
    <w:rsid w:val="00E20A7A"/>
    <w:rsid w:val="00E20BA4"/>
    <w:rsid w:val="00E20C24"/>
    <w:rsid w:val="00E220DE"/>
    <w:rsid w:val="00E23137"/>
    <w:rsid w:val="00E231B0"/>
    <w:rsid w:val="00E23980"/>
    <w:rsid w:val="00E241E9"/>
    <w:rsid w:val="00E2510E"/>
    <w:rsid w:val="00E2520A"/>
    <w:rsid w:val="00E253EB"/>
    <w:rsid w:val="00E257C3"/>
    <w:rsid w:val="00E25CB3"/>
    <w:rsid w:val="00E25DA4"/>
    <w:rsid w:val="00E26CB8"/>
    <w:rsid w:val="00E26FCF"/>
    <w:rsid w:val="00E27165"/>
    <w:rsid w:val="00E27226"/>
    <w:rsid w:val="00E3044A"/>
    <w:rsid w:val="00E31A4A"/>
    <w:rsid w:val="00E31C43"/>
    <w:rsid w:val="00E32206"/>
    <w:rsid w:val="00E32DD5"/>
    <w:rsid w:val="00E32FA8"/>
    <w:rsid w:val="00E3344A"/>
    <w:rsid w:val="00E33B29"/>
    <w:rsid w:val="00E33B62"/>
    <w:rsid w:val="00E3403D"/>
    <w:rsid w:val="00E34E6C"/>
    <w:rsid w:val="00E350D8"/>
    <w:rsid w:val="00E353E2"/>
    <w:rsid w:val="00E36345"/>
    <w:rsid w:val="00E367A6"/>
    <w:rsid w:val="00E36C86"/>
    <w:rsid w:val="00E36CEB"/>
    <w:rsid w:val="00E37A28"/>
    <w:rsid w:val="00E40430"/>
    <w:rsid w:val="00E40690"/>
    <w:rsid w:val="00E40AEB"/>
    <w:rsid w:val="00E4143A"/>
    <w:rsid w:val="00E41A5D"/>
    <w:rsid w:val="00E424C8"/>
    <w:rsid w:val="00E4251D"/>
    <w:rsid w:val="00E42F41"/>
    <w:rsid w:val="00E43D00"/>
    <w:rsid w:val="00E44128"/>
    <w:rsid w:val="00E445E4"/>
    <w:rsid w:val="00E457CB"/>
    <w:rsid w:val="00E45D47"/>
    <w:rsid w:val="00E45DE4"/>
    <w:rsid w:val="00E45E63"/>
    <w:rsid w:val="00E46D10"/>
    <w:rsid w:val="00E50A7B"/>
    <w:rsid w:val="00E50B0B"/>
    <w:rsid w:val="00E510FE"/>
    <w:rsid w:val="00E51E25"/>
    <w:rsid w:val="00E5205B"/>
    <w:rsid w:val="00E521AE"/>
    <w:rsid w:val="00E52C99"/>
    <w:rsid w:val="00E53BCA"/>
    <w:rsid w:val="00E53F02"/>
    <w:rsid w:val="00E54534"/>
    <w:rsid w:val="00E548C3"/>
    <w:rsid w:val="00E54DA0"/>
    <w:rsid w:val="00E54F27"/>
    <w:rsid w:val="00E556F5"/>
    <w:rsid w:val="00E55FF1"/>
    <w:rsid w:val="00E56090"/>
    <w:rsid w:val="00E565B9"/>
    <w:rsid w:val="00E569FA"/>
    <w:rsid w:val="00E5733B"/>
    <w:rsid w:val="00E5756C"/>
    <w:rsid w:val="00E601BE"/>
    <w:rsid w:val="00E60B5F"/>
    <w:rsid w:val="00E613AE"/>
    <w:rsid w:val="00E61429"/>
    <w:rsid w:val="00E61ABB"/>
    <w:rsid w:val="00E61FD7"/>
    <w:rsid w:val="00E623E6"/>
    <w:rsid w:val="00E630C0"/>
    <w:rsid w:val="00E63107"/>
    <w:rsid w:val="00E634E6"/>
    <w:rsid w:val="00E63DCE"/>
    <w:rsid w:val="00E64700"/>
    <w:rsid w:val="00E64E0B"/>
    <w:rsid w:val="00E65074"/>
    <w:rsid w:val="00E65E70"/>
    <w:rsid w:val="00E65EE9"/>
    <w:rsid w:val="00E66087"/>
    <w:rsid w:val="00E66D79"/>
    <w:rsid w:val="00E66FF9"/>
    <w:rsid w:val="00E67856"/>
    <w:rsid w:val="00E679C8"/>
    <w:rsid w:val="00E70314"/>
    <w:rsid w:val="00E70FCD"/>
    <w:rsid w:val="00E724E7"/>
    <w:rsid w:val="00E72B41"/>
    <w:rsid w:val="00E7347B"/>
    <w:rsid w:val="00E73D03"/>
    <w:rsid w:val="00E7471C"/>
    <w:rsid w:val="00E7498A"/>
    <w:rsid w:val="00E7514E"/>
    <w:rsid w:val="00E75B34"/>
    <w:rsid w:val="00E76AC5"/>
    <w:rsid w:val="00E77AF5"/>
    <w:rsid w:val="00E8029A"/>
    <w:rsid w:val="00E803A6"/>
    <w:rsid w:val="00E81653"/>
    <w:rsid w:val="00E818BF"/>
    <w:rsid w:val="00E823F9"/>
    <w:rsid w:val="00E82C1F"/>
    <w:rsid w:val="00E82EEA"/>
    <w:rsid w:val="00E83671"/>
    <w:rsid w:val="00E8414B"/>
    <w:rsid w:val="00E84A71"/>
    <w:rsid w:val="00E8544B"/>
    <w:rsid w:val="00E86556"/>
    <w:rsid w:val="00E86798"/>
    <w:rsid w:val="00E86D35"/>
    <w:rsid w:val="00E86DC2"/>
    <w:rsid w:val="00E86E32"/>
    <w:rsid w:val="00E8732E"/>
    <w:rsid w:val="00E9011F"/>
    <w:rsid w:val="00E906EB"/>
    <w:rsid w:val="00E913F9"/>
    <w:rsid w:val="00E9241E"/>
    <w:rsid w:val="00E92460"/>
    <w:rsid w:val="00E92E62"/>
    <w:rsid w:val="00E92E8B"/>
    <w:rsid w:val="00E93804"/>
    <w:rsid w:val="00E93A86"/>
    <w:rsid w:val="00E941AA"/>
    <w:rsid w:val="00E95434"/>
    <w:rsid w:val="00E96467"/>
    <w:rsid w:val="00E966DA"/>
    <w:rsid w:val="00E96948"/>
    <w:rsid w:val="00E9737B"/>
    <w:rsid w:val="00E97A3F"/>
    <w:rsid w:val="00E97F0A"/>
    <w:rsid w:val="00EA0100"/>
    <w:rsid w:val="00EA010D"/>
    <w:rsid w:val="00EA04DC"/>
    <w:rsid w:val="00EA0886"/>
    <w:rsid w:val="00EA0BCE"/>
    <w:rsid w:val="00EA2726"/>
    <w:rsid w:val="00EA2744"/>
    <w:rsid w:val="00EA2937"/>
    <w:rsid w:val="00EA37B9"/>
    <w:rsid w:val="00EA39F7"/>
    <w:rsid w:val="00EA3B27"/>
    <w:rsid w:val="00EA3DC2"/>
    <w:rsid w:val="00EA434E"/>
    <w:rsid w:val="00EA4757"/>
    <w:rsid w:val="00EA51FF"/>
    <w:rsid w:val="00EA53D3"/>
    <w:rsid w:val="00EA560B"/>
    <w:rsid w:val="00EA5669"/>
    <w:rsid w:val="00EA5C05"/>
    <w:rsid w:val="00EA63EF"/>
    <w:rsid w:val="00EA644F"/>
    <w:rsid w:val="00EA6750"/>
    <w:rsid w:val="00EA6BEC"/>
    <w:rsid w:val="00EB0A89"/>
    <w:rsid w:val="00EB0B22"/>
    <w:rsid w:val="00EB1573"/>
    <w:rsid w:val="00EB1650"/>
    <w:rsid w:val="00EB1910"/>
    <w:rsid w:val="00EB1D24"/>
    <w:rsid w:val="00EB209B"/>
    <w:rsid w:val="00EB2E97"/>
    <w:rsid w:val="00EB3416"/>
    <w:rsid w:val="00EB4AE1"/>
    <w:rsid w:val="00EB52F4"/>
    <w:rsid w:val="00EB5694"/>
    <w:rsid w:val="00EB5779"/>
    <w:rsid w:val="00EB6098"/>
    <w:rsid w:val="00EB65ED"/>
    <w:rsid w:val="00EB67F1"/>
    <w:rsid w:val="00EB72CD"/>
    <w:rsid w:val="00EB749A"/>
    <w:rsid w:val="00EB76B6"/>
    <w:rsid w:val="00EB7D8A"/>
    <w:rsid w:val="00EC05E2"/>
    <w:rsid w:val="00EC08AF"/>
    <w:rsid w:val="00EC0B29"/>
    <w:rsid w:val="00EC0E84"/>
    <w:rsid w:val="00EC16E2"/>
    <w:rsid w:val="00EC1CE7"/>
    <w:rsid w:val="00EC26F1"/>
    <w:rsid w:val="00EC32B4"/>
    <w:rsid w:val="00EC346B"/>
    <w:rsid w:val="00EC36B1"/>
    <w:rsid w:val="00EC3C94"/>
    <w:rsid w:val="00EC44DF"/>
    <w:rsid w:val="00EC4AB1"/>
    <w:rsid w:val="00EC4EFB"/>
    <w:rsid w:val="00EC4FB9"/>
    <w:rsid w:val="00EC5310"/>
    <w:rsid w:val="00EC5393"/>
    <w:rsid w:val="00EC5741"/>
    <w:rsid w:val="00EC5ACE"/>
    <w:rsid w:val="00EC5DA3"/>
    <w:rsid w:val="00EC6014"/>
    <w:rsid w:val="00EC6B3E"/>
    <w:rsid w:val="00EC6D8D"/>
    <w:rsid w:val="00EC71C7"/>
    <w:rsid w:val="00EC73DE"/>
    <w:rsid w:val="00EC7637"/>
    <w:rsid w:val="00EC7B63"/>
    <w:rsid w:val="00EC7CF2"/>
    <w:rsid w:val="00ED046B"/>
    <w:rsid w:val="00ED046C"/>
    <w:rsid w:val="00ED053A"/>
    <w:rsid w:val="00ED1F03"/>
    <w:rsid w:val="00ED2D27"/>
    <w:rsid w:val="00ED3347"/>
    <w:rsid w:val="00ED38FD"/>
    <w:rsid w:val="00ED3954"/>
    <w:rsid w:val="00ED4048"/>
    <w:rsid w:val="00ED43A2"/>
    <w:rsid w:val="00ED4967"/>
    <w:rsid w:val="00ED4EC8"/>
    <w:rsid w:val="00ED510D"/>
    <w:rsid w:val="00ED5140"/>
    <w:rsid w:val="00ED522A"/>
    <w:rsid w:val="00ED538C"/>
    <w:rsid w:val="00ED5771"/>
    <w:rsid w:val="00ED587F"/>
    <w:rsid w:val="00ED5964"/>
    <w:rsid w:val="00ED623F"/>
    <w:rsid w:val="00ED69BA"/>
    <w:rsid w:val="00ED72E9"/>
    <w:rsid w:val="00ED732E"/>
    <w:rsid w:val="00ED77F0"/>
    <w:rsid w:val="00ED7FBC"/>
    <w:rsid w:val="00EE0253"/>
    <w:rsid w:val="00EE0297"/>
    <w:rsid w:val="00EE0789"/>
    <w:rsid w:val="00EE0B63"/>
    <w:rsid w:val="00EE1258"/>
    <w:rsid w:val="00EE13DA"/>
    <w:rsid w:val="00EE162F"/>
    <w:rsid w:val="00EE1668"/>
    <w:rsid w:val="00EE1CE5"/>
    <w:rsid w:val="00EE366D"/>
    <w:rsid w:val="00EE5350"/>
    <w:rsid w:val="00EE5454"/>
    <w:rsid w:val="00EE58B8"/>
    <w:rsid w:val="00EE59B5"/>
    <w:rsid w:val="00EE5CF6"/>
    <w:rsid w:val="00EE5D1D"/>
    <w:rsid w:val="00EE5FB7"/>
    <w:rsid w:val="00EE666A"/>
    <w:rsid w:val="00EE6A1A"/>
    <w:rsid w:val="00EE7B54"/>
    <w:rsid w:val="00EE7C88"/>
    <w:rsid w:val="00EE7C8B"/>
    <w:rsid w:val="00EF0209"/>
    <w:rsid w:val="00EF0EA4"/>
    <w:rsid w:val="00EF1ACA"/>
    <w:rsid w:val="00EF1E97"/>
    <w:rsid w:val="00EF2436"/>
    <w:rsid w:val="00EF2547"/>
    <w:rsid w:val="00EF2B2B"/>
    <w:rsid w:val="00EF2E1C"/>
    <w:rsid w:val="00EF2FD6"/>
    <w:rsid w:val="00EF326A"/>
    <w:rsid w:val="00EF427A"/>
    <w:rsid w:val="00EF45DF"/>
    <w:rsid w:val="00EF4952"/>
    <w:rsid w:val="00EF498F"/>
    <w:rsid w:val="00EF4A42"/>
    <w:rsid w:val="00EF510C"/>
    <w:rsid w:val="00EF54B9"/>
    <w:rsid w:val="00EF55C4"/>
    <w:rsid w:val="00EF57BC"/>
    <w:rsid w:val="00EF5FD2"/>
    <w:rsid w:val="00EF6784"/>
    <w:rsid w:val="00EF688A"/>
    <w:rsid w:val="00EF6A03"/>
    <w:rsid w:val="00EF6DC2"/>
    <w:rsid w:val="00EF7BF4"/>
    <w:rsid w:val="00F0030F"/>
    <w:rsid w:val="00F00674"/>
    <w:rsid w:val="00F00929"/>
    <w:rsid w:val="00F01657"/>
    <w:rsid w:val="00F01E67"/>
    <w:rsid w:val="00F021B7"/>
    <w:rsid w:val="00F02744"/>
    <w:rsid w:val="00F02BFD"/>
    <w:rsid w:val="00F02D25"/>
    <w:rsid w:val="00F03A0F"/>
    <w:rsid w:val="00F0435D"/>
    <w:rsid w:val="00F04580"/>
    <w:rsid w:val="00F04ECA"/>
    <w:rsid w:val="00F05DC2"/>
    <w:rsid w:val="00F06E19"/>
    <w:rsid w:val="00F06F84"/>
    <w:rsid w:val="00F076E7"/>
    <w:rsid w:val="00F07AA1"/>
    <w:rsid w:val="00F105AE"/>
    <w:rsid w:val="00F10618"/>
    <w:rsid w:val="00F107FD"/>
    <w:rsid w:val="00F1108B"/>
    <w:rsid w:val="00F11768"/>
    <w:rsid w:val="00F11951"/>
    <w:rsid w:val="00F11BA8"/>
    <w:rsid w:val="00F12259"/>
    <w:rsid w:val="00F12262"/>
    <w:rsid w:val="00F12AF8"/>
    <w:rsid w:val="00F12C52"/>
    <w:rsid w:val="00F136CE"/>
    <w:rsid w:val="00F14352"/>
    <w:rsid w:val="00F148B7"/>
    <w:rsid w:val="00F14BE9"/>
    <w:rsid w:val="00F14EA9"/>
    <w:rsid w:val="00F15505"/>
    <w:rsid w:val="00F15BFF"/>
    <w:rsid w:val="00F17105"/>
    <w:rsid w:val="00F20A0B"/>
    <w:rsid w:val="00F213A0"/>
    <w:rsid w:val="00F217AB"/>
    <w:rsid w:val="00F21A51"/>
    <w:rsid w:val="00F21D54"/>
    <w:rsid w:val="00F21D6D"/>
    <w:rsid w:val="00F21EF4"/>
    <w:rsid w:val="00F23113"/>
    <w:rsid w:val="00F23255"/>
    <w:rsid w:val="00F23393"/>
    <w:rsid w:val="00F23759"/>
    <w:rsid w:val="00F23CB5"/>
    <w:rsid w:val="00F245A1"/>
    <w:rsid w:val="00F24644"/>
    <w:rsid w:val="00F256FD"/>
    <w:rsid w:val="00F259F1"/>
    <w:rsid w:val="00F26F33"/>
    <w:rsid w:val="00F27E74"/>
    <w:rsid w:val="00F300A8"/>
    <w:rsid w:val="00F30265"/>
    <w:rsid w:val="00F30400"/>
    <w:rsid w:val="00F3079E"/>
    <w:rsid w:val="00F32C50"/>
    <w:rsid w:val="00F33980"/>
    <w:rsid w:val="00F3399B"/>
    <w:rsid w:val="00F33C1A"/>
    <w:rsid w:val="00F3461B"/>
    <w:rsid w:val="00F346ED"/>
    <w:rsid w:val="00F34945"/>
    <w:rsid w:val="00F34E1E"/>
    <w:rsid w:val="00F351E8"/>
    <w:rsid w:val="00F3570C"/>
    <w:rsid w:val="00F368FF"/>
    <w:rsid w:val="00F37068"/>
    <w:rsid w:val="00F37F3F"/>
    <w:rsid w:val="00F40201"/>
    <w:rsid w:val="00F404A9"/>
    <w:rsid w:val="00F40992"/>
    <w:rsid w:val="00F40A99"/>
    <w:rsid w:val="00F40AEC"/>
    <w:rsid w:val="00F412DF"/>
    <w:rsid w:val="00F41596"/>
    <w:rsid w:val="00F41D8B"/>
    <w:rsid w:val="00F42121"/>
    <w:rsid w:val="00F424B3"/>
    <w:rsid w:val="00F428B1"/>
    <w:rsid w:val="00F428B4"/>
    <w:rsid w:val="00F4345D"/>
    <w:rsid w:val="00F4387B"/>
    <w:rsid w:val="00F4518D"/>
    <w:rsid w:val="00F45B91"/>
    <w:rsid w:val="00F46639"/>
    <w:rsid w:val="00F46692"/>
    <w:rsid w:val="00F47AAA"/>
    <w:rsid w:val="00F47B3B"/>
    <w:rsid w:val="00F50183"/>
    <w:rsid w:val="00F50D92"/>
    <w:rsid w:val="00F51765"/>
    <w:rsid w:val="00F51A51"/>
    <w:rsid w:val="00F51CB4"/>
    <w:rsid w:val="00F52324"/>
    <w:rsid w:val="00F52950"/>
    <w:rsid w:val="00F52C9D"/>
    <w:rsid w:val="00F52E39"/>
    <w:rsid w:val="00F533F1"/>
    <w:rsid w:val="00F55679"/>
    <w:rsid w:val="00F561E3"/>
    <w:rsid w:val="00F565E6"/>
    <w:rsid w:val="00F56AFA"/>
    <w:rsid w:val="00F575E2"/>
    <w:rsid w:val="00F57715"/>
    <w:rsid w:val="00F579FF"/>
    <w:rsid w:val="00F600E0"/>
    <w:rsid w:val="00F600FD"/>
    <w:rsid w:val="00F605EC"/>
    <w:rsid w:val="00F60F60"/>
    <w:rsid w:val="00F612CE"/>
    <w:rsid w:val="00F624A7"/>
    <w:rsid w:val="00F62AB6"/>
    <w:rsid w:val="00F63984"/>
    <w:rsid w:val="00F65A3C"/>
    <w:rsid w:val="00F66282"/>
    <w:rsid w:val="00F67D8B"/>
    <w:rsid w:val="00F70961"/>
    <w:rsid w:val="00F70A8F"/>
    <w:rsid w:val="00F70F18"/>
    <w:rsid w:val="00F71397"/>
    <w:rsid w:val="00F72389"/>
    <w:rsid w:val="00F72516"/>
    <w:rsid w:val="00F72FB4"/>
    <w:rsid w:val="00F73317"/>
    <w:rsid w:val="00F735E5"/>
    <w:rsid w:val="00F73DD9"/>
    <w:rsid w:val="00F73E80"/>
    <w:rsid w:val="00F7469C"/>
    <w:rsid w:val="00F747E9"/>
    <w:rsid w:val="00F7492E"/>
    <w:rsid w:val="00F74945"/>
    <w:rsid w:val="00F749A3"/>
    <w:rsid w:val="00F74A04"/>
    <w:rsid w:val="00F74AE8"/>
    <w:rsid w:val="00F75A86"/>
    <w:rsid w:val="00F75FE1"/>
    <w:rsid w:val="00F76C11"/>
    <w:rsid w:val="00F77021"/>
    <w:rsid w:val="00F775CB"/>
    <w:rsid w:val="00F77E61"/>
    <w:rsid w:val="00F80371"/>
    <w:rsid w:val="00F814B2"/>
    <w:rsid w:val="00F815AC"/>
    <w:rsid w:val="00F83200"/>
    <w:rsid w:val="00F83B33"/>
    <w:rsid w:val="00F83CAE"/>
    <w:rsid w:val="00F840BF"/>
    <w:rsid w:val="00F8415D"/>
    <w:rsid w:val="00F8427A"/>
    <w:rsid w:val="00F843DF"/>
    <w:rsid w:val="00F84899"/>
    <w:rsid w:val="00F848AB"/>
    <w:rsid w:val="00F84A0A"/>
    <w:rsid w:val="00F850C0"/>
    <w:rsid w:val="00F853A5"/>
    <w:rsid w:val="00F85585"/>
    <w:rsid w:val="00F859F0"/>
    <w:rsid w:val="00F85CC1"/>
    <w:rsid w:val="00F86A41"/>
    <w:rsid w:val="00F86B5D"/>
    <w:rsid w:val="00F87464"/>
    <w:rsid w:val="00F87634"/>
    <w:rsid w:val="00F87C13"/>
    <w:rsid w:val="00F87C5A"/>
    <w:rsid w:val="00F87E29"/>
    <w:rsid w:val="00F87F18"/>
    <w:rsid w:val="00F87F68"/>
    <w:rsid w:val="00F90C4D"/>
    <w:rsid w:val="00F90F7A"/>
    <w:rsid w:val="00F9167D"/>
    <w:rsid w:val="00F91CB2"/>
    <w:rsid w:val="00F9289C"/>
    <w:rsid w:val="00F93DBC"/>
    <w:rsid w:val="00F93E41"/>
    <w:rsid w:val="00F94644"/>
    <w:rsid w:val="00F95075"/>
    <w:rsid w:val="00F9537B"/>
    <w:rsid w:val="00F95567"/>
    <w:rsid w:val="00F963FC"/>
    <w:rsid w:val="00FA015F"/>
    <w:rsid w:val="00FA0FAC"/>
    <w:rsid w:val="00FA1DA2"/>
    <w:rsid w:val="00FA2CA4"/>
    <w:rsid w:val="00FA3414"/>
    <w:rsid w:val="00FA347A"/>
    <w:rsid w:val="00FA39D7"/>
    <w:rsid w:val="00FA3CDE"/>
    <w:rsid w:val="00FA49B7"/>
    <w:rsid w:val="00FA5043"/>
    <w:rsid w:val="00FA5E75"/>
    <w:rsid w:val="00FA6F8B"/>
    <w:rsid w:val="00FA7A30"/>
    <w:rsid w:val="00FB033F"/>
    <w:rsid w:val="00FB0F29"/>
    <w:rsid w:val="00FB12E3"/>
    <w:rsid w:val="00FB1570"/>
    <w:rsid w:val="00FB193B"/>
    <w:rsid w:val="00FB1FBC"/>
    <w:rsid w:val="00FB27B7"/>
    <w:rsid w:val="00FB2C36"/>
    <w:rsid w:val="00FB3483"/>
    <w:rsid w:val="00FB35E3"/>
    <w:rsid w:val="00FB4D3F"/>
    <w:rsid w:val="00FB583C"/>
    <w:rsid w:val="00FB630E"/>
    <w:rsid w:val="00FB6738"/>
    <w:rsid w:val="00FB691B"/>
    <w:rsid w:val="00FB731C"/>
    <w:rsid w:val="00FB7DF8"/>
    <w:rsid w:val="00FC05A0"/>
    <w:rsid w:val="00FC0811"/>
    <w:rsid w:val="00FC1196"/>
    <w:rsid w:val="00FC15EB"/>
    <w:rsid w:val="00FC18DC"/>
    <w:rsid w:val="00FC2AC4"/>
    <w:rsid w:val="00FC2D6D"/>
    <w:rsid w:val="00FC2F73"/>
    <w:rsid w:val="00FC3A9B"/>
    <w:rsid w:val="00FC3AE1"/>
    <w:rsid w:val="00FC3DFC"/>
    <w:rsid w:val="00FC3EF4"/>
    <w:rsid w:val="00FC431B"/>
    <w:rsid w:val="00FC434C"/>
    <w:rsid w:val="00FC4FDF"/>
    <w:rsid w:val="00FC5CF4"/>
    <w:rsid w:val="00FC6A39"/>
    <w:rsid w:val="00FC6E50"/>
    <w:rsid w:val="00FC710F"/>
    <w:rsid w:val="00FC728E"/>
    <w:rsid w:val="00FC79AB"/>
    <w:rsid w:val="00FC7BE7"/>
    <w:rsid w:val="00FC7DAC"/>
    <w:rsid w:val="00FD04AE"/>
    <w:rsid w:val="00FD086B"/>
    <w:rsid w:val="00FD1890"/>
    <w:rsid w:val="00FD1994"/>
    <w:rsid w:val="00FD21A9"/>
    <w:rsid w:val="00FD2AC8"/>
    <w:rsid w:val="00FD2CA6"/>
    <w:rsid w:val="00FD3508"/>
    <w:rsid w:val="00FD393C"/>
    <w:rsid w:val="00FD43BB"/>
    <w:rsid w:val="00FD4AF3"/>
    <w:rsid w:val="00FD556A"/>
    <w:rsid w:val="00FD5A69"/>
    <w:rsid w:val="00FD6F3C"/>
    <w:rsid w:val="00FD798D"/>
    <w:rsid w:val="00FD7BD8"/>
    <w:rsid w:val="00FD7FB9"/>
    <w:rsid w:val="00FE100E"/>
    <w:rsid w:val="00FE141E"/>
    <w:rsid w:val="00FE144E"/>
    <w:rsid w:val="00FE1689"/>
    <w:rsid w:val="00FE1768"/>
    <w:rsid w:val="00FE24F4"/>
    <w:rsid w:val="00FE2560"/>
    <w:rsid w:val="00FE35D0"/>
    <w:rsid w:val="00FE41AC"/>
    <w:rsid w:val="00FE42ED"/>
    <w:rsid w:val="00FE4C6D"/>
    <w:rsid w:val="00FE55A7"/>
    <w:rsid w:val="00FE55E6"/>
    <w:rsid w:val="00FE56D5"/>
    <w:rsid w:val="00FE5C5A"/>
    <w:rsid w:val="00FE6432"/>
    <w:rsid w:val="00FE6517"/>
    <w:rsid w:val="00FE72A0"/>
    <w:rsid w:val="00FF0050"/>
    <w:rsid w:val="00FF045F"/>
    <w:rsid w:val="00FF0712"/>
    <w:rsid w:val="00FF0976"/>
    <w:rsid w:val="00FF13D4"/>
    <w:rsid w:val="00FF2053"/>
    <w:rsid w:val="00FF2F4E"/>
    <w:rsid w:val="00FF3B37"/>
    <w:rsid w:val="00FF3D6F"/>
    <w:rsid w:val="00FF4BD8"/>
    <w:rsid w:val="00FF4D11"/>
    <w:rsid w:val="00FF5214"/>
    <w:rsid w:val="00FF53A5"/>
    <w:rsid w:val="00FF596E"/>
    <w:rsid w:val="00FF5B59"/>
    <w:rsid w:val="00FF5BFD"/>
    <w:rsid w:val="00FF5C01"/>
    <w:rsid w:val="00FF5F9D"/>
    <w:rsid w:val="00FF6095"/>
    <w:rsid w:val="00FF62FE"/>
    <w:rsid w:val="00FF6553"/>
    <w:rsid w:val="00FF7134"/>
    <w:rsid w:val="00FF7A39"/>
    <w:rsid w:val="05F55887"/>
    <w:rsid w:val="3246DADE"/>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C3746"/>
    <w:pPr>
      <w:spacing w:after="0" w:line="240" w:lineRule="auto"/>
    </w:pPr>
    <w:rPr>
      <w:rFonts w:ascii="Times New Roman" w:hAnsi="Times New Roman" w:eastAsia="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hAnsi="Arial" w:eastAsia="Arial" w:cs="Arial"/>
      <w:b/>
      <w:bCs/>
      <w:sz w:val="22"/>
      <w:szCs w:val="22"/>
      <w:lang w:val="es-ES" w:eastAsia="en-US"/>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hAnsiTheme="minorHAnsi" w:eastAsiaTheme="minorHAnsi" w:cstheme="minorBidi"/>
      <w:szCs w:val="22"/>
      <w:lang w:val="es-MX" w:eastAsia="en-US"/>
    </w:r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eastAsiaTheme="minorHAnsi"/>
      <w:sz w:val="16"/>
      <w:szCs w:val="16"/>
      <w:lang w:val="es-MX" w:eastAsia="en-US"/>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hAnsiTheme="minorHAnsi" w:eastAsiaTheme="minorHAnsi" w:cstheme="minorBidi"/>
      <w:szCs w:val="22"/>
      <w:lang w:val="es-MX" w:eastAsia="en-US"/>
    </w:r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hAnsiTheme="minorHAnsi" w:eastAsia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hAnsiTheme="minorHAnsi" w:eastAsiaTheme="minorHAnsi" w:cstheme="minorBidi"/>
      <w:sz w:val="20"/>
      <w:szCs w:val="20"/>
      <w:lang w:val="es-MX" w:eastAsia="en-US"/>
    </w:rPr>
  </w:style>
  <w:style w:type="character" w:styleId="TextocomentarioCar" w:customStyle="1">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hAnsiTheme="minorHAnsi" w:eastAsiaTheme="minorHAnsi" w:cstheme="minorBidi"/>
      <w:sz w:val="20"/>
      <w:szCs w:val="20"/>
      <w:lang w:val="es-MX" w:eastAsia="en-US"/>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styleId="Tablaconcuadrcula1" w:customStyle="1">
    <w:name w:val="Tabla con cuadrícula1"/>
    <w:basedOn w:val="Tablanormal"/>
    <w:next w:val="Tablaconcuadrcula"/>
    <w:uiPriority w:val="59"/>
    <w:rsid w:val="00795647"/>
    <w:pPr>
      <w:spacing w:after="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hAnsiTheme="minorHAnsi" w:eastAsiaTheme="minorEastAsia" w:cstheme="minorBidi"/>
      <w:sz w:val="22"/>
      <w:szCs w:val="22"/>
      <w:lang w:eastAsia="es-CO"/>
    </w:rPr>
  </w:style>
  <w:style w:type="character" w:styleId="TextoindependienteCar" w:customStyle="1">
    <w:name w:val="Texto independiente Car"/>
    <w:basedOn w:val="Fuentedeprrafopredeter"/>
    <w:link w:val="Textoindependiente"/>
    <w:uiPriority w:val="99"/>
    <w:rsid w:val="00F1108B"/>
    <w:rPr>
      <w:rFonts w:eastAsiaTheme="minorEastAsia"/>
      <w:lang w:eastAsia="es-CO"/>
    </w:rPr>
  </w:style>
  <w:style w:type="character" w:styleId="Mencinsinresolver1" w:customStyle="1">
    <w:name w:val="Mención sin resolver1"/>
    <w:basedOn w:val="Fuentedeprrafopredeter"/>
    <w:uiPriority w:val="99"/>
    <w:semiHidden/>
    <w:unhideWhenUsed/>
    <w:rsid w:val="00247712"/>
    <w:rPr>
      <w:color w:val="605E5C"/>
      <w:shd w:val="clear" w:color="auto" w:fill="E1DFDD"/>
    </w:rPr>
  </w:style>
  <w:style w:type="character" w:styleId="Mencinsinresolver2" w:customStyle="1">
    <w:name w:val="Mención sin resolver2"/>
    <w:basedOn w:val="Fuentedeprrafopredeter"/>
    <w:uiPriority w:val="99"/>
    <w:semiHidden/>
    <w:unhideWhenUsed/>
    <w:rsid w:val="00717ACB"/>
    <w:rPr>
      <w:color w:val="605E5C"/>
      <w:shd w:val="clear" w:color="auto" w:fill="E1DFDD"/>
    </w:rPr>
  </w:style>
  <w:style w:type="character" w:styleId="Mencinsinresolver3" w:customStyle="1">
    <w:name w:val="Mención sin resolver3"/>
    <w:basedOn w:val="Fuentedeprrafopredeter"/>
    <w:uiPriority w:val="99"/>
    <w:rsid w:val="00517CFB"/>
    <w:rPr>
      <w:color w:val="605E5C"/>
      <w:shd w:val="clear" w:color="auto" w:fill="E1DFDD"/>
    </w:rPr>
  </w:style>
  <w:style w:type="paragraph" w:styleId="Default" w:customStyle="1">
    <w:name w:val="Default"/>
    <w:rsid w:val="008919CF"/>
    <w:pPr>
      <w:autoSpaceDE w:val="0"/>
      <w:autoSpaceDN w:val="0"/>
      <w:adjustRightInd w:val="0"/>
      <w:spacing w:after="0" w:line="240" w:lineRule="auto"/>
    </w:pPr>
    <w:rPr>
      <w:rFonts w:ascii="Arial" w:hAnsi="Arial" w:cs="Arial"/>
      <w:color w:val="000000"/>
      <w:sz w:val="24"/>
      <w:szCs w:val="24"/>
    </w:rPr>
  </w:style>
  <w:style w:type="paragraph" w:styleId="paragraph" w:customStyle="1">
    <w:name w:val="paragraph"/>
    <w:basedOn w:val="Normal"/>
    <w:rsid w:val="00DD5B04"/>
    <w:pPr>
      <w:spacing w:before="100" w:beforeAutospacing="1" w:after="100" w:afterAutospacing="1"/>
    </w:pPr>
    <w:rPr>
      <w:lang w:eastAsia="es-CO"/>
    </w:rPr>
  </w:style>
  <w:style w:type="character" w:styleId="textrun" w:customStyle="1">
    <w:name w:val="textrun"/>
    <w:basedOn w:val="Fuentedeprrafopredeter"/>
    <w:rsid w:val="00DD5B04"/>
  </w:style>
  <w:style w:type="character" w:styleId="normaltextrun" w:customStyle="1">
    <w:name w:val="normaltextrun"/>
    <w:basedOn w:val="Fuentedeprrafopredeter"/>
    <w:rsid w:val="00DD5B04"/>
  </w:style>
  <w:style w:type="character" w:styleId="eop" w:customStyle="1">
    <w:name w:val="eop"/>
    <w:basedOn w:val="Fuentedeprrafopredeter"/>
    <w:rsid w:val="00DD5B04"/>
  </w:style>
  <w:style w:type="character" w:styleId="spellingerror" w:customStyle="1">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styleId="Ttulo1Car" w:customStyle="1">
    <w:name w:val="Título 1 Car"/>
    <w:basedOn w:val="Fuentedeprrafopredeter"/>
    <w:link w:val="Ttulo1"/>
    <w:uiPriority w:val="1"/>
    <w:rsid w:val="006D712D"/>
    <w:rPr>
      <w:rFonts w:ascii="Arial" w:hAnsi="Arial" w:eastAsia="Arial" w:cs="Arial"/>
      <w:b/>
      <w:bCs/>
      <w:lang w:val="es-ES"/>
    </w:rPr>
  </w:style>
  <w:style w:type="paragraph" w:styleId="Appelnotedebasde" w:customStyle="1">
    <w:name w:val="Appel note de bas de..."/>
    <w:basedOn w:val="Normal"/>
    <w:link w:val="Refdenotaalpie"/>
    <w:uiPriority w:val="99"/>
    <w:rsid w:val="00477C5F"/>
    <w:pPr>
      <w:spacing w:after="160" w:line="240" w:lineRule="exact"/>
    </w:pPr>
    <w:rPr>
      <w:rFonts w:asciiTheme="minorHAnsi" w:hAnsiTheme="minorHAnsi" w:eastAsia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hAnsiTheme="minorHAnsi" w:eastAsiaTheme="minorHAnsi" w:cstheme="minorBidi"/>
      <w:szCs w:val="22"/>
      <w:lang w:val="es-MX" w:eastAsia="en-US"/>
    </w:rPr>
  </w:style>
  <w:style w:type="character" w:styleId="SangradetextonormalCar" w:customStyle="1">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styleId="NormalWebCar" w:customStyle="1">
    <w:name w:val="Normal (Web) Car"/>
    <w:link w:val="NormalWeb"/>
    <w:uiPriority w:val="99"/>
    <w:rsid w:val="00F3570C"/>
    <w:rPr>
      <w:rFonts w:ascii="Times New Roman" w:hAnsi="Times New Roman" w:eastAsia="Times New Roman" w:cs="Times New Roman"/>
      <w:sz w:val="24"/>
      <w:szCs w:val="24"/>
      <w:lang w:eastAsia="es-CO"/>
    </w:rPr>
  </w:style>
  <w:style w:type="paragraph" w:styleId="InviasNormal" w:customStyle="1">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styleId="InviasNormalCar" w:customStyle="1">
    <w:name w:val="Invias Normal Car"/>
    <w:link w:val="InviasNormal"/>
    <w:locked/>
    <w:rsid w:val="00433ACB"/>
    <w:rPr>
      <w:rFonts w:ascii="Arial Narrow" w:hAnsi="Arial Narrow" w:eastAsia="Times New Roman" w:cs="Times New Roman"/>
      <w:color w:val="3C3C3C" w:themeColor="background2" w:themeShade="40"/>
      <w:sz w:val="24"/>
      <w:szCs w:val="24"/>
      <w:lang w:val="x-none" w:eastAsia="es-ES"/>
    </w:rPr>
  </w:style>
  <w:style w:type="table" w:styleId="Tablaconcuadrcula2" w:customStyle="1">
    <w:name w:val="Tabla con cuadrícula2"/>
    <w:basedOn w:val="Tablanormal"/>
    <w:next w:val="Tablaconcuadrcula"/>
    <w:uiPriority w:val="39"/>
    <w:rsid w:val="001E250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xmsonospacing" w:customStyle="1">
    <w:name w:val="x_msonospacing"/>
    <w:basedOn w:val="Normal"/>
    <w:rsid w:val="00292E64"/>
    <w:pPr>
      <w:spacing w:before="100" w:beforeAutospacing="1" w:after="100" w:afterAutospacing="1"/>
    </w:pPr>
    <w:rPr>
      <w:lang w:eastAsia="es-MX"/>
    </w:rPr>
  </w:style>
  <w:style w:type="paragraph" w:styleId="Capitulo8" w:customStyle="1">
    <w:name w:val="Capitulo 8"/>
    <w:basedOn w:val="Normal"/>
    <w:qFormat/>
    <w:rsid w:val="00DB5196"/>
    <w:pPr>
      <w:numPr>
        <w:numId w:val="36"/>
      </w:numPr>
      <w:spacing w:after="200" w:line="276" w:lineRule="auto"/>
      <w:ind w:left="1020" w:hanging="680"/>
      <w:contextualSpacing/>
      <w:jc w:val="both"/>
    </w:pPr>
    <w:rPr>
      <w:rFonts w:ascii="Arial" w:hAnsi="Arial" w:eastAsia="Calibri" w:cs="Arial"/>
      <w:b/>
      <w:bCs/>
      <w:color w:val="1C1C1C"/>
      <w:sz w:val="20"/>
      <w:szCs w:val="20"/>
      <w:lang w:eastAsia="en-US"/>
    </w:rPr>
  </w:style>
  <w:style w:type="paragraph" w:styleId="Normal11pt" w:customStyle="1">
    <w:name w:val="Normal + 11 pt"/>
    <w:aliases w:val="Negro,Justificado,Izquierda:  -0,95 cm,Derecha:  0,04 cm"/>
    <w:basedOn w:val="Normal"/>
    <w:uiPriority w:val="99"/>
    <w:rsid w:val="008A2527"/>
    <w:pPr>
      <w:ind w:left="-540"/>
      <w:jc w:val="both"/>
    </w:pPr>
    <w:rPr>
      <w:rFonts w:ascii="Arial" w:hAnsi="Arial" w:cs="Arial"/>
      <w:color w:val="000000"/>
      <w:sz w:val="22"/>
      <w:szCs w:val="22"/>
      <w:lang w:val="es-ES_tradnl" w:eastAsia="es-ES"/>
    </w:rPr>
  </w:style>
  <w:style w:type="paragraph" w:styleId="Revisin">
    <w:name w:val="Revision"/>
    <w:hidden/>
    <w:uiPriority w:val="99"/>
    <w:semiHidden/>
    <w:rsid w:val="00FE100E"/>
    <w:pPr>
      <w:spacing w:after="0" w:line="240" w:lineRule="auto"/>
    </w:pPr>
    <w:rPr>
      <w:rFonts w:ascii="Times New Roman" w:hAnsi="Times New Roman" w:eastAsia="Times New Roman" w:cs="Times New Roman"/>
      <w:sz w:val="24"/>
      <w:szCs w:val="24"/>
      <w:lang w:eastAsia="es-ES_tradnl"/>
    </w:rPr>
  </w:style>
  <w:style w:type="character" w:styleId="Mencinsinresolver">
    <w:name w:val="Unresolved Mention"/>
    <w:basedOn w:val="Fuentedeprrafopredeter"/>
    <w:uiPriority w:val="99"/>
    <w:semiHidden/>
    <w:unhideWhenUsed/>
    <w:rsid w:val="002B4039"/>
    <w:rPr>
      <w:color w:val="605E5C"/>
      <w:shd w:val="clear" w:color="auto" w:fill="E1DFDD"/>
    </w:rPr>
  </w:style>
  <w:style w:type="table" w:styleId="Tablaconcuadrcula3" w:customStyle="1">
    <w:name w:val="Tabla con cuadrícula3"/>
    <w:basedOn w:val="Tablanormal"/>
    <w:next w:val="Tablaconcuadrcula"/>
    <w:uiPriority w:val="39"/>
    <w:rsid w:val="00524963"/>
    <w:pPr>
      <w:spacing w:after="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aconcuadrcula11" w:customStyle="1">
    <w:name w:val="Tabla con cuadrícula11"/>
    <w:basedOn w:val="Tablanormal"/>
    <w:next w:val="Tablaconcuadrcula"/>
    <w:uiPriority w:val="39"/>
    <w:rsid w:val="0052496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baj" w:customStyle="1">
    <w:name w:val="b_aj"/>
    <w:basedOn w:val="Fuentedeprrafopredeter"/>
    <w:rsid w:val="00524963"/>
  </w:style>
  <w:style w:type="paragraph" w:styleId="footnotedescription" w:customStyle="1">
    <w:name w:val="footnote description"/>
    <w:next w:val="Normal"/>
    <w:link w:val="footnotedescriptionChar"/>
    <w:hidden/>
    <w:rsid w:val="007A38C1"/>
    <w:pPr>
      <w:spacing w:after="14" w:line="246" w:lineRule="auto"/>
      <w:ind w:right="55" w:firstLine="709"/>
      <w:jc w:val="both"/>
    </w:pPr>
    <w:rPr>
      <w:rFonts w:ascii="Arial" w:hAnsi="Arial" w:eastAsia="Arial" w:cs="Arial"/>
      <w:color w:val="000000"/>
      <w:sz w:val="19"/>
      <w:lang w:eastAsia="es-CO"/>
    </w:rPr>
  </w:style>
  <w:style w:type="character" w:styleId="footnotedescriptionChar" w:customStyle="1">
    <w:name w:val="footnote description Char"/>
    <w:link w:val="footnotedescription"/>
    <w:rsid w:val="007A38C1"/>
    <w:rPr>
      <w:rFonts w:ascii="Arial" w:hAnsi="Arial" w:eastAsia="Arial" w:cs="Arial"/>
      <w:color w:val="000000"/>
      <w:sz w:val="19"/>
      <w:lang w:eastAsia="es-CO"/>
    </w:rPr>
  </w:style>
  <w:style w:type="character" w:styleId="footnotemark" w:customStyle="1">
    <w:name w:val="footnote mark"/>
    <w:hidden/>
    <w:rsid w:val="007A38C1"/>
    <w:rPr>
      <w:rFonts w:ascii="Arial" w:hAnsi="Arial" w:eastAsia="Arial" w:cs="Arial"/>
      <w:color w:val="000000"/>
      <w:sz w:val="19"/>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0150232">
      <w:bodyDiv w:val="1"/>
      <w:marLeft w:val="0"/>
      <w:marRight w:val="0"/>
      <w:marTop w:val="0"/>
      <w:marBottom w:val="0"/>
      <w:divBdr>
        <w:top w:val="none" w:sz="0" w:space="0" w:color="auto"/>
        <w:left w:val="none" w:sz="0" w:space="0" w:color="auto"/>
        <w:bottom w:val="none" w:sz="0" w:space="0" w:color="auto"/>
        <w:right w:val="none" w:sz="0" w:space="0" w:color="auto"/>
      </w:divBdr>
    </w:div>
    <w:div w:id="192500427">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0697073">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368787">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2467761">
      <w:bodyDiv w:val="1"/>
      <w:marLeft w:val="0"/>
      <w:marRight w:val="0"/>
      <w:marTop w:val="0"/>
      <w:marBottom w:val="0"/>
      <w:divBdr>
        <w:top w:val="none" w:sz="0" w:space="0" w:color="auto"/>
        <w:left w:val="none" w:sz="0" w:space="0" w:color="auto"/>
        <w:bottom w:val="none" w:sz="0" w:space="0" w:color="auto"/>
        <w:right w:val="none" w:sz="0" w:space="0" w:color="auto"/>
      </w:divBdr>
    </w:div>
    <w:div w:id="32343807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52458027">
      <w:bodyDiv w:val="1"/>
      <w:marLeft w:val="0"/>
      <w:marRight w:val="0"/>
      <w:marTop w:val="0"/>
      <w:marBottom w:val="0"/>
      <w:divBdr>
        <w:top w:val="none" w:sz="0" w:space="0" w:color="auto"/>
        <w:left w:val="none" w:sz="0" w:space="0" w:color="auto"/>
        <w:bottom w:val="none" w:sz="0" w:space="0" w:color="auto"/>
        <w:right w:val="none" w:sz="0" w:space="0" w:color="auto"/>
      </w:divBdr>
    </w:div>
    <w:div w:id="373847752">
      <w:bodyDiv w:val="1"/>
      <w:marLeft w:val="0"/>
      <w:marRight w:val="0"/>
      <w:marTop w:val="0"/>
      <w:marBottom w:val="0"/>
      <w:divBdr>
        <w:top w:val="none" w:sz="0" w:space="0" w:color="auto"/>
        <w:left w:val="none" w:sz="0" w:space="0" w:color="auto"/>
        <w:bottom w:val="none" w:sz="0" w:space="0" w:color="auto"/>
        <w:right w:val="none" w:sz="0" w:space="0" w:color="auto"/>
      </w:divBdr>
      <w:divsChild>
        <w:div w:id="250747312">
          <w:marLeft w:val="0"/>
          <w:marRight w:val="0"/>
          <w:marTop w:val="0"/>
          <w:marBottom w:val="0"/>
          <w:divBdr>
            <w:top w:val="none" w:sz="0" w:space="0" w:color="auto"/>
            <w:left w:val="none" w:sz="0" w:space="0" w:color="auto"/>
            <w:bottom w:val="none" w:sz="0" w:space="0" w:color="auto"/>
            <w:right w:val="none" w:sz="0" w:space="0" w:color="auto"/>
          </w:divBdr>
        </w:div>
        <w:div w:id="2067101779">
          <w:marLeft w:val="0"/>
          <w:marRight w:val="0"/>
          <w:marTop w:val="0"/>
          <w:marBottom w:val="0"/>
          <w:divBdr>
            <w:top w:val="none" w:sz="0" w:space="0" w:color="auto"/>
            <w:left w:val="none" w:sz="0" w:space="0" w:color="auto"/>
            <w:bottom w:val="none" w:sz="0" w:space="0" w:color="auto"/>
            <w:right w:val="none" w:sz="0" w:space="0" w:color="auto"/>
          </w:divBdr>
        </w:div>
        <w:div w:id="856118546">
          <w:marLeft w:val="0"/>
          <w:marRight w:val="0"/>
          <w:marTop w:val="0"/>
          <w:marBottom w:val="0"/>
          <w:divBdr>
            <w:top w:val="none" w:sz="0" w:space="0" w:color="auto"/>
            <w:left w:val="none" w:sz="0" w:space="0" w:color="auto"/>
            <w:bottom w:val="none" w:sz="0" w:space="0" w:color="auto"/>
            <w:right w:val="none" w:sz="0" w:space="0" w:color="auto"/>
          </w:divBdr>
        </w:div>
        <w:div w:id="701177010">
          <w:marLeft w:val="0"/>
          <w:marRight w:val="0"/>
          <w:marTop w:val="0"/>
          <w:marBottom w:val="0"/>
          <w:divBdr>
            <w:top w:val="none" w:sz="0" w:space="0" w:color="auto"/>
            <w:left w:val="none" w:sz="0" w:space="0" w:color="auto"/>
            <w:bottom w:val="none" w:sz="0" w:space="0" w:color="auto"/>
            <w:right w:val="none" w:sz="0" w:space="0" w:color="auto"/>
          </w:divBdr>
        </w:div>
        <w:div w:id="1979995553">
          <w:marLeft w:val="0"/>
          <w:marRight w:val="0"/>
          <w:marTop w:val="0"/>
          <w:marBottom w:val="0"/>
          <w:divBdr>
            <w:top w:val="none" w:sz="0" w:space="0" w:color="auto"/>
            <w:left w:val="none" w:sz="0" w:space="0" w:color="auto"/>
            <w:bottom w:val="none" w:sz="0" w:space="0" w:color="auto"/>
            <w:right w:val="none" w:sz="0" w:space="0" w:color="auto"/>
          </w:divBdr>
        </w:div>
        <w:div w:id="386532194">
          <w:marLeft w:val="0"/>
          <w:marRight w:val="0"/>
          <w:marTop w:val="0"/>
          <w:marBottom w:val="0"/>
          <w:divBdr>
            <w:top w:val="none" w:sz="0" w:space="0" w:color="auto"/>
            <w:left w:val="none" w:sz="0" w:space="0" w:color="auto"/>
            <w:bottom w:val="none" w:sz="0" w:space="0" w:color="auto"/>
            <w:right w:val="none" w:sz="0" w:space="0" w:color="auto"/>
          </w:divBdr>
        </w:div>
        <w:div w:id="1443916966">
          <w:marLeft w:val="0"/>
          <w:marRight w:val="0"/>
          <w:marTop w:val="0"/>
          <w:marBottom w:val="0"/>
          <w:divBdr>
            <w:top w:val="none" w:sz="0" w:space="0" w:color="auto"/>
            <w:left w:val="none" w:sz="0" w:space="0" w:color="auto"/>
            <w:bottom w:val="none" w:sz="0" w:space="0" w:color="auto"/>
            <w:right w:val="none" w:sz="0" w:space="0" w:color="auto"/>
          </w:divBdr>
        </w:div>
        <w:div w:id="1463428840">
          <w:marLeft w:val="0"/>
          <w:marRight w:val="0"/>
          <w:marTop w:val="0"/>
          <w:marBottom w:val="0"/>
          <w:divBdr>
            <w:top w:val="none" w:sz="0" w:space="0" w:color="auto"/>
            <w:left w:val="none" w:sz="0" w:space="0" w:color="auto"/>
            <w:bottom w:val="none" w:sz="0" w:space="0" w:color="auto"/>
            <w:right w:val="none" w:sz="0" w:space="0" w:color="auto"/>
          </w:divBdr>
        </w:div>
        <w:div w:id="340739953">
          <w:marLeft w:val="0"/>
          <w:marRight w:val="0"/>
          <w:marTop w:val="0"/>
          <w:marBottom w:val="0"/>
          <w:divBdr>
            <w:top w:val="none" w:sz="0" w:space="0" w:color="auto"/>
            <w:left w:val="none" w:sz="0" w:space="0" w:color="auto"/>
            <w:bottom w:val="none" w:sz="0" w:space="0" w:color="auto"/>
            <w:right w:val="none" w:sz="0" w:space="0" w:color="auto"/>
          </w:divBdr>
        </w:div>
        <w:div w:id="1214005837">
          <w:marLeft w:val="0"/>
          <w:marRight w:val="0"/>
          <w:marTop w:val="0"/>
          <w:marBottom w:val="0"/>
          <w:divBdr>
            <w:top w:val="none" w:sz="0" w:space="0" w:color="auto"/>
            <w:left w:val="none" w:sz="0" w:space="0" w:color="auto"/>
            <w:bottom w:val="none" w:sz="0" w:space="0" w:color="auto"/>
            <w:right w:val="none" w:sz="0" w:space="0" w:color="auto"/>
          </w:divBdr>
        </w:div>
        <w:div w:id="689572277">
          <w:marLeft w:val="0"/>
          <w:marRight w:val="0"/>
          <w:marTop w:val="0"/>
          <w:marBottom w:val="0"/>
          <w:divBdr>
            <w:top w:val="none" w:sz="0" w:space="0" w:color="auto"/>
            <w:left w:val="none" w:sz="0" w:space="0" w:color="auto"/>
            <w:bottom w:val="none" w:sz="0" w:space="0" w:color="auto"/>
            <w:right w:val="none" w:sz="0" w:space="0" w:color="auto"/>
          </w:divBdr>
        </w:div>
        <w:div w:id="1848668085">
          <w:marLeft w:val="0"/>
          <w:marRight w:val="0"/>
          <w:marTop w:val="0"/>
          <w:marBottom w:val="0"/>
          <w:divBdr>
            <w:top w:val="none" w:sz="0" w:space="0" w:color="auto"/>
            <w:left w:val="none" w:sz="0" w:space="0" w:color="auto"/>
            <w:bottom w:val="none" w:sz="0" w:space="0" w:color="auto"/>
            <w:right w:val="none" w:sz="0" w:space="0" w:color="auto"/>
          </w:divBdr>
        </w:div>
        <w:div w:id="355351056">
          <w:marLeft w:val="0"/>
          <w:marRight w:val="0"/>
          <w:marTop w:val="0"/>
          <w:marBottom w:val="0"/>
          <w:divBdr>
            <w:top w:val="none" w:sz="0" w:space="0" w:color="auto"/>
            <w:left w:val="none" w:sz="0" w:space="0" w:color="auto"/>
            <w:bottom w:val="none" w:sz="0" w:space="0" w:color="auto"/>
            <w:right w:val="none" w:sz="0" w:space="0" w:color="auto"/>
          </w:divBdr>
        </w:div>
        <w:div w:id="185019911">
          <w:marLeft w:val="0"/>
          <w:marRight w:val="0"/>
          <w:marTop w:val="0"/>
          <w:marBottom w:val="0"/>
          <w:divBdr>
            <w:top w:val="none" w:sz="0" w:space="0" w:color="auto"/>
            <w:left w:val="none" w:sz="0" w:space="0" w:color="auto"/>
            <w:bottom w:val="none" w:sz="0" w:space="0" w:color="auto"/>
            <w:right w:val="none" w:sz="0" w:space="0" w:color="auto"/>
          </w:divBdr>
        </w:div>
        <w:div w:id="1409376571">
          <w:marLeft w:val="0"/>
          <w:marRight w:val="0"/>
          <w:marTop w:val="0"/>
          <w:marBottom w:val="0"/>
          <w:divBdr>
            <w:top w:val="none" w:sz="0" w:space="0" w:color="auto"/>
            <w:left w:val="none" w:sz="0" w:space="0" w:color="auto"/>
            <w:bottom w:val="none" w:sz="0" w:space="0" w:color="auto"/>
            <w:right w:val="none" w:sz="0" w:space="0" w:color="auto"/>
          </w:divBdr>
        </w:div>
        <w:div w:id="1153715860">
          <w:marLeft w:val="0"/>
          <w:marRight w:val="0"/>
          <w:marTop w:val="0"/>
          <w:marBottom w:val="0"/>
          <w:divBdr>
            <w:top w:val="none" w:sz="0" w:space="0" w:color="auto"/>
            <w:left w:val="none" w:sz="0" w:space="0" w:color="auto"/>
            <w:bottom w:val="none" w:sz="0" w:space="0" w:color="auto"/>
            <w:right w:val="none" w:sz="0" w:space="0" w:color="auto"/>
          </w:divBdr>
        </w:div>
        <w:div w:id="878051417">
          <w:marLeft w:val="0"/>
          <w:marRight w:val="0"/>
          <w:marTop w:val="0"/>
          <w:marBottom w:val="0"/>
          <w:divBdr>
            <w:top w:val="none" w:sz="0" w:space="0" w:color="auto"/>
            <w:left w:val="none" w:sz="0" w:space="0" w:color="auto"/>
            <w:bottom w:val="none" w:sz="0" w:space="0" w:color="auto"/>
            <w:right w:val="none" w:sz="0" w:space="0" w:color="auto"/>
          </w:divBdr>
        </w:div>
        <w:div w:id="1340767783">
          <w:marLeft w:val="0"/>
          <w:marRight w:val="0"/>
          <w:marTop w:val="0"/>
          <w:marBottom w:val="0"/>
          <w:divBdr>
            <w:top w:val="none" w:sz="0" w:space="0" w:color="auto"/>
            <w:left w:val="none" w:sz="0" w:space="0" w:color="auto"/>
            <w:bottom w:val="none" w:sz="0" w:space="0" w:color="auto"/>
            <w:right w:val="none" w:sz="0" w:space="0" w:color="auto"/>
          </w:divBdr>
        </w:div>
        <w:div w:id="1389064509">
          <w:marLeft w:val="0"/>
          <w:marRight w:val="0"/>
          <w:marTop w:val="0"/>
          <w:marBottom w:val="0"/>
          <w:divBdr>
            <w:top w:val="none" w:sz="0" w:space="0" w:color="auto"/>
            <w:left w:val="none" w:sz="0" w:space="0" w:color="auto"/>
            <w:bottom w:val="none" w:sz="0" w:space="0" w:color="auto"/>
            <w:right w:val="none" w:sz="0" w:space="0" w:color="auto"/>
          </w:divBdr>
        </w:div>
        <w:div w:id="1237981306">
          <w:marLeft w:val="0"/>
          <w:marRight w:val="0"/>
          <w:marTop w:val="0"/>
          <w:marBottom w:val="0"/>
          <w:divBdr>
            <w:top w:val="none" w:sz="0" w:space="0" w:color="auto"/>
            <w:left w:val="none" w:sz="0" w:space="0" w:color="auto"/>
            <w:bottom w:val="none" w:sz="0" w:space="0" w:color="auto"/>
            <w:right w:val="none" w:sz="0" w:space="0" w:color="auto"/>
          </w:divBdr>
        </w:div>
        <w:div w:id="497230276">
          <w:marLeft w:val="0"/>
          <w:marRight w:val="0"/>
          <w:marTop w:val="0"/>
          <w:marBottom w:val="0"/>
          <w:divBdr>
            <w:top w:val="none" w:sz="0" w:space="0" w:color="auto"/>
            <w:left w:val="none" w:sz="0" w:space="0" w:color="auto"/>
            <w:bottom w:val="none" w:sz="0" w:space="0" w:color="auto"/>
            <w:right w:val="none" w:sz="0" w:space="0" w:color="auto"/>
          </w:divBdr>
        </w:div>
        <w:div w:id="1948077385">
          <w:marLeft w:val="0"/>
          <w:marRight w:val="0"/>
          <w:marTop w:val="0"/>
          <w:marBottom w:val="0"/>
          <w:divBdr>
            <w:top w:val="none" w:sz="0" w:space="0" w:color="auto"/>
            <w:left w:val="none" w:sz="0" w:space="0" w:color="auto"/>
            <w:bottom w:val="none" w:sz="0" w:space="0" w:color="auto"/>
            <w:right w:val="none" w:sz="0" w:space="0" w:color="auto"/>
          </w:divBdr>
        </w:div>
        <w:div w:id="2077436875">
          <w:marLeft w:val="0"/>
          <w:marRight w:val="0"/>
          <w:marTop w:val="0"/>
          <w:marBottom w:val="0"/>
          <w:divBdr>
            <w:top w:val="none" w:sz="0" w:space="0" w:color="auto"/>
            <w:left w:val="none" w:sz="0" w:space="0" w:color="auto"/>
            <w:bottom w:val="none" w:sz="0" w:space="0" w:color="auto"/>
            <w:right w:val="none" w:sz="0" w:space="0" w:color="auto"/>
          </w:divBdr>
        </w:div>
        <w:div w:id="375393709">
          <w:marLeft w:val="0"/>
          <w:marRight w:val="0"/>
          <w:marTop w:val="0"/>
          <w:marBottom w:val="0"/>
          <w:divBdr>
            <w:top w:val="none" w:sz="0" w:space="0" w:color="auto"/>
            <w:left w:val="none" w:sz="0" w:space="0" w:color="auto"/>
            <w:bottom w:val="none" w:sz="0" w:space="0" w:color="auto"/>
            <w:right w:val="none" w:sz="0" w:space="0" w:color="auto"/>
          </w:divBdr>
        </w:div>
        <w:div w:id="1116949506">
          <w:marLeft w:val="0"/>
          <w:marRight w:val="0"/>
          <w:marTop w:val="0"/>
          <w:marBottom w:val="0"/>
          <w:divBdr>
            <w:top w:val="none" w:sz="0" w:space="0" w:color="auto"/>
            <w:left w:val="none" w:sz="0" w:space="0" w:color="auto"/>
            <w:bottom w:val="none" w:sz="0" w:space="0" w:color="auto"/>
            <w:right w:val="none" w:sz="0" w:space="0" w:color="auto"/>
          </w:divBdr>
        </w:div>
        <w:div w:id="2063670069">
          <w:marLeft w:val="0"/>
          <w:marRight w:val="0"/>
          <w:marTop w:val="0"/>
          <w:marBottom w:val="0"/>
          <w:divBdr>
            <w:top w:val="none" w:sz="0" w:space="0" w:color="auto"/>
            <w:left w:val="none" w:sz="0" w:space="0" w:color="auto"/>
            <w:bottom w:val="none" w:sz="0" w:space="0" w:color="auto"/>
            <w:right w:val="none" w:sz="0" w:space="0" w:color="auto"/>
          </w:divBdr>
        </w:div>
        <w:div w:id="1385788235">
          <w:marLeft w:val="0"/>
          <w:marRight w:val="0"/>
          <w:marTop w:val="0"/>
          <w:marBottom w:val="0"/>
          <w:divBdr>
            <w:top w:val="none" w:sz="0" w:space="0" w:color="auto"/>
            <w:left w:val="none" w:sz="0" w:space="0" w:color="auto"/>
            <w:bottom w:val="none" w:sz="0" w:space="0" w:color="auto"/>
            <w:right w:val="none" w:sz="0" w:space="0" w:color="auto"/>
          </w:divBdr>
        </w:div>
        <w:div w:id="774130227">
          <w:marLeft w:val="0"/>
          <w:marRight w:val="0"/>
          <w:marTop w:val="0"/>
          <w:marBottom w:val="0"/>
          <w:divBdr>
            <w:top w:val="none" w:sz="0" w:space="0" w:color="auto"/>
            <w:left w:val="none" w:sz="0" w:space="0" w:color="auto"/>
            <w:bottom w:val="none" w:sz="0" w:space="0" w:color="auto"/>
            <w:right w:val="none" w:sz="0" w:space="0" w:color="auto"/>
          </w:divBdr>
        </w:div>
        <w:div w:id="356153059">
          <w:marLeft w:val="0"/>
          <w:marRight w:val="0"/>
          <w:marTop w:val="0"/>
          <w:marBottom w:val="0"/>
          <w:divBdr>
            <w:top w:val="none" w:sz="0" w:space="0" w:color="auto"/>
            <w:left w:val="none" w:sz="0" w:space="0" w:color="auto"/>
            <w:bottom w:val="none" w:sz="0" w:space="0" w:color="auto"/>
            <w:right w:val="none" w:sz="0" w:space="0" w:color="auto"/>
          </w:divBdr>
        </w:div>
      </w:divsChild>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0754488">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728514">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9846009">
      <w:bodyDiv w:val="1"/>
      <w:marLeft w:val="0"/>
      <w:marRight w:val="0"/>
      <w:marTop w:val="0"/>
      <w:marBottom w:val="0"/>
      <w:divBdr>
        <w:top w:val="none" w:sz="0" w:space="0" w:color="auto"/>
        <w:left w:val="none" w:sz="0" w:space="0" w:color="auto"/>
        <w:bottom w:val="none" w:sz="0" w:space="0" w:color="auto"/>
        <w:right w:val="none" w:sz="0" w:space="0" w:color="auto"/>
      </w:divBdr>
      <w:divsChild>
        <w:div w:id="137571566">
          <w:marLeft w:val="0"/>
          <w:marRight w:val="0"/>
          <w:marTop w:val="0"/>
          <w:marBottom w:val="0"/>
          <w:divBdr>
            <w:top w:val="none" w:sz="0" w:space="0" w:color="auto"/>
            <w:left w:val="none" w:sz="0" w:space="0" w:color="auto"/>
            <w:bottom w:val="none" w:sz="0" w:space="0" w:color="auto"/>
            <w:right w:val="none" w:sz="0" w:space="0" w:color="auto"/>
          </w:divBdr>
        </w:div>
        <w:div w:id="776950387">
          <w:marLeft w:val="0"/>
          <w:marRight w:val="0"/>
          <w:marTop w:val="0"/>
          <w:marBottom w:val="0"/>
          <w:divBdr>
            <w:top w:val="none" w:sz="0" w:space="0" w:color="auto"/>
            <w:left w:val="none" w:sz="0" w:space="0" w:color="auto"/>
            <w:bottom w:val="none" w:sz="0" w:space="0" w:color="auto"/>
            <w:right w:val="none" w:sz="0" w:space="0" w:color="auto"/>
          </w:divBdr>
        </w:div>
        <w:div w:id="910965516">
          <w:marLeft w:val="0"/>
          <w:marRight w:val="0"/>
          <w:marTop w:val="0"/>
          <w:marBottom w:val="0"/>
          <w:divBdr>
            <w:top w:val="none" w:sz="0" w:space="0" w:color="auto"/>
            <w:left w:val="none" w:sz="0" w:space="0" w:color="auto"/>
            <w:bottom w:val="none" w:sz="0" w:space="0" w:color="auto"/>
            <w:right w:val="none" w:sz="0" w:space="0" w:color="auto"/>
          </w:divBdr>
        </w:div>
        <w:div w:id="1321274061">
          <w:marLeft w:val="0"/>
          <w:marRight w:val="0"/>
          <w:marTop w:val="0"/>
          <w:marBottom w:val="0"/>
          <w:divBdr>
            <w:top w:val="none" w:sz="0" w:space="0" w:color="auto"/>
            <w:left w:val="none" w:sz="0" w:space="0" w:color="auto"/>
            <w:bottom w:val="none" w:sz="0" w:space="0" w:color="auto"/>
            <w:right w:val="none" w:sz="0" w:space="0" w:color="auto"/>
          </w:divBdr>
        </w:div>
        <w:div w:id="1897934208">
          <w:marLeft w:val="0"/>
          <w:marRight w:val="0"/>
          <w:marTop w:val="0"/>
          <w:marBottom w:val="0"/>
          <w:divBdr>
            <w:top w:val="none" w:sz="0" w:space="0" w:color="auto"/>
            <w:left w:val="none" w:sz="0" w:space="0" w:color="auto"/>
            <w:bottom w:val="none" w:sz="0" w:space="0" w:color="auto"/>
            <w:right w:val="none" w:sz="0" w:space="0" w:color="auto"/>
          </w:divBdr>
        </w:div>
        <w:div w:id="326787748">
          <w:marLeft w:val="0"/>
          <w:marRight w:val="0"/>
          <w:marTop w:val="0"/>
          <w:marBottom w:val="0"/>
          <w:divBdr>
            <w:top w:val="none" w:sz="0" w:space="0" w:color="auto"/>
            <w:left w:val="none" w:sz="0" w:space="0" w:color="auto"/>
            <w:bottom w:val="none" w:sz="0" w:space="0" w:color="auto"/>
            <w:right w:val="none" w:sz="0" w:space="0" w:color="auto"/>
          </w:divBdr>
        </w:div>
        <w:div w:id="1145732085">
          <w:marLeft w:val="0"/>
          <w:marRight w:val="0"/>
          <w:marTop w:val="0"/>
          <w:marBottom w:val="0"/>
          <w:divBdr>
            <w:top w:val="none" w:sz="0" w:space="0" w:color="auto"/>
            <w:left w:val="none" w:sz="0" w:space="0" w:color="auto"/>
            <w:bottom w:val="none" w:sz="0" w:space="0" w:color="auto"/>
            <w:right w:val="none" w:sz="0" w:space="0" w:color="auto"/>
          </w:divBdr>
        </w:div>
        <w:div w:id="469977109">
          <w:marLeft w:val="0"/>
          <w:marRight w:val="0"/>
          <w:marTop w:val="0"/>
          <w:marBottom w:val="0"/>
          <w:divBdr>
            <w:top w:val="none" w:sz="0" w:space="0" w:color="auto"/>
            <w:left w:val="none" w:sz="0" w:space="0" w:color="auto"/>
            <w:bottom w:val="none" w:sz="0" w:space="0" w:color="auto"/>
            <w:right w:val="none" w:sz="0" w:space="0" w:color="auto"/>
          </w:divBdr>
        </w:div>
        <w:div w:id="1847742798">
          <w:marLeft w:val="0"/>
          <w:marRight w:val="0"/>
          <w:marTop w:val="0"/>
          <w:marBottom w:val="0"/>
          <w:divBdr>
            <w:top w:val="none" w:sz="0" w:space="0" w:color="auto"/>
            <w:left w:val="none" w:sz="0" w:space="0" w:color="auto"/>
            <w:bottom w:val="none" w:sz="0" w:space="0" w:color="auto"/>
            <w:right w:val="none" w:sz="0" w:space="0" w:color="auto"/>
          </w:divBdr>
        </w:div>
        <w:div w:id="754977389">
          <w:marLeft w:val="0"/>
          <w:marRight w:val="0"/>
          <w:marTop w:val="0"/>
          <w:marBottom w:val="0"/>
          <w:divBdr>
            <w:top w:val="none" w:sz="0" w:space="0" w:color="auto"/>
            <w:left w:val="none" w:sz="0" w:space="0" w:color="auto"/>
            <w:bottom w:val="none" w:sz="0" w:space="0" w:color="auto"/>
            <w:right w:val="none" w:sz="0" w:space="0" w:color="auto"/>
          </w:divBdr>
        </w:div>
        <w:div w:id="237255211">
          <w:marLeft w:val="0"/>
          <w:marRight w:val="0"/>
          <w:marTop w:val="0"/>
          <w:marBottom w:val="0"/>
          <w:divBdr>
            <w:top w:val="none" w:sz="0" w:space="0" w:color="auto"/>
            <w:left w:val="none" w:sz="0" w:space="0" w:color="auto"/>
            <w:bottom w:val="none" w:sz="0" w:space="0" w:color="auto"/>
            <w:right w:val="none" w:sz="0" w:space="0" w:color="auto"/>
          </w:divBdr>
        </w:div>
        <w:div w:id="218594642">
          <w:marLeft w:val="0"/>
          <w:marRight w:val="0"/>
          <w:marTop w:val="0"/>
          <w:marBottom w:val="0"/>
          <w:divBdr>
            <w:top w:val="none" w:sz="0" w:space="0" w:color="auto"/>
            <w:left w:val="none" w:sz="0" w:space="0" w:color="auto"/>
            <w:bottom w:val="none" w:sz="0" w:space="0" w:color="auto"/>
            <w:right w:val="none" w:sz="0" w:space="0" w:color="auto"/>
          </w:divBdr>
        </w:div>
        <w:div w:id="1396783654">
          <w:marLeft w:val="0"/>
          <w:marRight w:val="0"/>
          <w:marTop w:val="0"/>
          <w:marBottom w:val="0"/>
          <w:divBdr>
            <w:top w:val="none" w:sz="0" w:space="0" w:color="auto"/>
            <w:left w:val="none" w:sz="0" w:space="0" w:color="auto"/>
            <w:bottom w:val="none" w:sz="0" w:space="0" w:color="auto"/>
            <w:right w:val="none" w:sz="0" w:space="0" w:color="auto"/>
          </w:divBdr>
        </w:div>
        <w:div w:id="1592926720">
          <w:marLeft w:val="0"/>
          <w:marRight w:val="0"/>
          <w:marTop w:val="0"/>
          <w:marBottom w:val="0"/>
          <w:divBdr>
            <w:top w:val="none" w:sz="0" w:space="0" w:color="auto"/>
            <w:left w:val="none" w:sz="0" w:space="0" w:color="auto"/>
            <w:bottom w:val="none" w:sz="0" w:space="0" w:color="auto"/>
            <w:right w:val="none" w:sz="0" w:space="0" w:color="auto"/>
          </w:divBdr>
        </w:div>
        <w:div w:id="1953172906">
          <w:marLeft w:val="0"/>
          <w:marRight w:val="0"/>
          <w:marTop w:val="0"/>
          <w:marBottom w:val="0"/>
          <w:divBdr>
            <w:top w:val="none" w:sz="0" w:space="0" w:color="auto"/>
            <w:left w:val="none" w:sz="0" w:space="0" w:color="auto"/>
            <w:bottom w:val="none" w:sz="0" w:space="0" w:color="auto"/>
            <w:right w:val="none" w:sz="0" w:space="0" w:color="auto"/>
          </w:divBdr>
        </w:div>
        <w:div w:id="797845415">
          <w:marLeft w:val="0"/>
          <w:marRight w:val="0"/>
          <w:marTop w:val="0"/>
          <w:marBottom w:val="0"/>
          <w:divBdr>
            <w:top w:val="none" w:sz="0" w:space="0" w:color="auto"/>
            <w:left w:val="none" w:sz="0" w:space="0" w:color="auto"/>
            <w:bottom w:val="none" w:sz="0" w:space="0" w:color="auto"/>
            <w:right w:val="none" w:sz="0" w:space="0" w:color="auto"/>
          </w:divBdr>
        </w:div>
        <w:div w:id="1252548912">
          <w:marLeft w:val="0"/>
          <w:marRight w:val="0"/>
          <w:marTop w:val="0"/>
          <w:marBottom w:val="0"/>
          <w:divBdr>
            <w:top w:val="none" w:sz="0" w:space="0" w:color="auto"/>
            <w:left w:val="none" w:sz="0" w:space="0" w:color="auto"/>
            <w:bottom w:val="none" w:sz="0" w:space="0" w:color="auto"/>
            <w:right w:val="none" w:sz="0" w:space="0" w:color="auto"/>
          </w:divBdr>
        </w:div>
        <w:div w:id="132909867">
          <w:marLeft w:val="0"/>
          <w:marRight w:val="0"/>
          <w:marTop w:val="0"/>
          <w:marBottom w:val="0"/>
          <w:divBdr>
            <w:top w:val="none" w:sz="0" w:space="0" w:color="auto"/>
            <w:left w:val="none" w:sz="0" w:space="0" w:color="auto"/>
            <w:bottom w:val="none" w:sz="0" w:space="0" w:color="auto"/>
            <w:right w:val="none" w:sz="0" w:space="0" w:color="auto"/>
          </w:divBdr>
        </w:div>
        <w:div w:id="2121073037">
          <w:marLeft w:val="0"/>
          <w:marRight w:val="0"/>
          <w:marTop w:val="0"/>
          <w:marBottom w:val="0"/>
          <w:divBdr>
            <w:top w:val="none" w:sz="0" w:space="0" w:color="auto"/>
            <w:left w:val="none" w:sz="0" w:space="0" w:color="auto"/>
            <w:bottom w:val="none" w:sz="0" w:space="0" w:color="auto"/>
            <w:right w:val="none" w:sz="0" w:space="0" w:color="auto"/>
          </w:divBdr>
        </w:div>
        <w:div w:id="1987784308">
          <w:marLeft w:val="0"/>
          <w:marRight w:val="0"/>
          <w:marTop w:val="0"/>
          <w:marBottom w:val="0"/>
          <w:divBdr>
            <w:top w:val="none" w:sz="0" w:space="0" w:color="auto"/>
            <w:left w:val="none" w:sz="0" w:space="0" w:color="auto"/>
            <w:bottom w:val="none" w:sz="0" w:space="0" w:color="auto"/>
            <w:right w:val="none" w:sz="0" w:space="0" w:color="auto"/>
          </w:divBdr>
        </w:div>
        <w:div w:id="454369506">
          <w:marLeft w:val="0"/>
          <w:marRight w:val="0"/>
          <w:marTop w:val="0"/>
          <w:marBottom w:val="0"/>
          <w:divBdr>
            <w:top w:val="none" w:sz="0" w:space="0" w:color="auto"/>
            <w:left w:val="none" w:sz="0" w:space="0" w:color="auto"/>
            <w:bottom w:val="none" w:sz="0" w:space="0" w:color="auto"/>
            <w:right w:val="none" w:sz="0" w:space="0" w:color="auto"/>
          </w:divBdr>
        </w:div>
        <w:div w:id="217324288">
          <w:marLeft w:val="0"/>
          <w:marRight w:val="0"/>
          <w:marTop w:val="0"/>
          <w:marBottom w:val="0"/>
          <w:divBdr>
            <w:top w:val="none" w:sz="0" w:space="0" w:color="auto"/>
            <w:left w:val="none" w:sz="0" w:space="0" w:color="auto"/>
            <w:bottom w:val="none" w:sz="0" w:space="0" w:color="auto"/>
            <w:right w:val="none" w:sz="0" w:space="0" w:color="auto"/>
          </w:divBdr>
        </w:div>
        <w:div w:id="1636056527">
          <w:marLeft w:val="0"/>
          <w:marRight w:val="0"/>
          <w:marTop w:val="0"/>
          <w:marBottom w:val="0"/>
          <w:divBdr>
            <w:top w:val="none" w:sz="0" w:space="0" w:color="auto"/>
            <w:left w:val="none" w:sz="0" w:space="0" w:color="auto"/>
            <w:bottom w:val="none" w:sz="0" w:space="0" w:color="auto"/>
            <w:right w:val="none" w:sz="0" w:space="0" w:color="auto"/>
          </w:divBdr>
        </w:div>
        <w:div w:id="1275019623">
          <w:marLeft w:val="0"/>
          <w:marRight w:val="0"/>
          <w:marTop w:val="0"/>
          <w:marBottom w:val="0"/>
          <w:divBdr>
            <w:top w:val="none" w:sz="0" w:space="0" w:color="auto"/>
            <w:left w:val="none" w:sz="0" w:space="0" w:color="auto"/>
            <w:bottom w:val="none" w:sz="0" w:space="0" w:color="auto"/>
            <w:right w:val="none" w:sz="0" w:space="0" w:color="auto"/>
          </w:divBdr>
        </w:div>
        <w:div w:id="852885648">
          <w:marLeft w:val="0"/>
          <w:marRight w:val="0"/>
          <w:marTop w:val="0"/>
          <w:marBottom w:val="0"/>
          <w:divBdr>
            <w:top w:val="none" w:sz="0" w:space="0" w:color="auto"/>
            <w:left w:val="none" w:sz="0" w:space="0" w:color="auto"/>
            <w:bottom w:val="none" w:sz="0" w:space="0" w:color="auto"/>
            <w:right w:val="none" w:sz="0" w:space="0" w:color="auto"/>
          </w:divBdr>
        </w:div>
        <w:div w:id="207229013">
          <w:marLeft w:val="0"/>
          <w:marRight w:val="0"/>
          <w:marTop w:val="0"/>
          <w:marBottom w:val="0"/>
          <w:divBdr>
            <w:top w:val="none" w:sz="0" w:space="0" w:color="auto"/>
            <w:left w:val="none" w:sz="0" w:space="0" w:color="auto"/>
            <w:bottom w:val="none" w:sz="0" w:space="0" w:color="auto"/>
            <w:right w:val="none" w:sz="0" w:space="0" w:color="auto"/>
          </w:divBdr>
        </w:div>
        <w:div w:id="137576350">
          <w:marLeft w:val="0"/>
          <w:marRight w:val="0"/>
          <w:marTop w:val="0"/>
          <w:marBottom w:val="0"/>
          <w:divBdr>
            <w:top w:val="none" w:sz="0" w:space="0" w:color="auto"/>
            <w:left w:val="none" w:sz="0" w:space="0" w:color="auto"/>
            <w:bottom w:val="none" w:sz="0" w:space="0" w:color="auto"/>
            <w:right w:val="none" w:sz="0" w:space="0" w:color="auto"/>
          </w:divBdr>
        </w:div>
        <w:div w:id="473987455">
          <w:marLeft w:val="0"/>
          <w:marRight w:val="0"/>
          <w:marTop w:val="0"/>
          <w:marBottom w:val="0"/>
          <w:divBdr>
            <w:top w:val="none" w:sz="0" w:space="0" w:color="auto"/>
            <w:left w:val="none" w:sz="0" w:space="0" w:color="auto"/>
            <w:bottom w:val="none" w:sz="0" w:space="0" w:color="auto"/>
            <w:right w:val="none" w:sz="0" w:space="0" w:color="auto"/>
          </w:divBdr>
        </w:div>
        <w:div w:id="598680142">
          <w:marLeft w:val="0"/>
          <w:marRight w:val="0"/>
          <w:marTop w:val="0"/>
          <w:marBottom w:val="0"/>
          <w:divBdr>
            <w:top w:val="none" w:sz="0" w:space="0" w:color="auto"/>
            <w:left w:val="none" w:sz="0" w:space="0" w:color="auto"/>
            <w:bottom w:val="none" w:sz="0" w:space="0" w:color="auto"/>
            <w:right w:val="none" w:sz="0" w:space="0" w:color="auto"/>
          </w:divBdr>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8723210">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2754698">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901838">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69859655">
      <w:bodyDiv w:val="1"/>
      <w:marLeft w:val="0"/>
      <w:marRight w:val="0"/>
      <w:marTop w:val="0"/>
      <w:marBottom w:val="0"/>
      <w:divBdr>
        <w:top w:val="none" w:sz="0" w:space="0" w:color="auto"/>
        <w:left w:val="none" w:sz="0" w:space="0" w:color="auto"/>
        <w:bottom w:val="none" w:sz="0" w:space="0" w:color="auto"/>
        <w:right w:val="none" w:sz="0" w:space="0" w:color="auto"/>
      </w:divBdr>
    </w:div>
    <w:div w:id="775096108">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2053666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65756435">
      <w:bodyDiv w:val="1"/>
      <w:marLeft w:val="0"/>
      <w:marRight w:val="0"/>
      <w:marTop w:val="0"/>
      <w:marBottom w:val="0"/>
      <w:divBdr>
        <w:top w:val="none" w:sz="0" w:space="0" w:color="auto"/>
        <w:left w:val="none" w:sz="0" w:space="0" w:color="auto"/>
        <w:bottom w:val="none" w:sz="0" w:space="0" w:color="auto"/>
        <w:right w:val="none" w:sz="0" w:space="0" w:color="auto"/>
      </w:divBdr>
    </w:div>
    <w:div w:id="1067269241">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20952126">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55087140">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6833607">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3574512">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2109097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44824306">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1453629">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89364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8027276">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25376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1752339">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414109">
      <w:bodyDiv w:val="1"/>
      <w:marLeft w:val="0"/>
      <w:marRight w:val="0"/>
      <w:marTop w:val="0"/>
      <w:marBottom w:val="0"/>
      <w:divBdr>
        <w:top w:val="none" w:sz="0" w:space="0" w:color="auto"/>
        <w:left w:val="none" w:sz="0" w:space="0" w:color="auto"/>
        <w:bottom w:val="none" w:sz="0" w:space="0" w:color="auto"/>
        <w:right w:val="none" w:sz="0" w:space="0" w:color="auto"/>
      </w:divBdr>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71323304">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74366">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203182">
      <w:bodyDiv w:val="1"/>
      <w:marLeft w:val="0"/>
      <w:marRight w:val="0"/>
      <w:marTop w:val="0"/>
      <w:marBottom w:val="0"/>
      <w:divBdr>
        <w:top w:val="none" w:sz="0" w:space="0" w:color="auto"/>
        <w:left w:val="none" w:sz="0" w:space="0" w:color="auto"/>
        <w:bottom w:val="none" w:sz="0" w:space="0" w:color="auto"/>
        <w:right w:val="none" w:sz="0" w:space="0" w:color="auto"/>
      </w:divBdr>
    </w:div>
    <w:div w:id="2096899811">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emf"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ley_1150_2007.html" TargetMode="External"/><Relationship Id="rId2" Type="http://schemas.openxmlformats.org/officeDocument/2006/relationships/hyperlink" Target="http://www.secretariasenado.gov.co/senado/basedoc/ley_1150_2007.html" TargetMode="External"/><Relationship Id="rId1" Type="http://schemas.openxmlformats.org/officeDocument/2006/relationships/hyperlink" Target="http://www.secretariasenado.gov.co/senado/basedoc/ley_0080_1993.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96E42282-D077-45CA-8B22-FA407503A13B}">
  <ds:schemaRefs>
    <ds:schemaRef ds:uri="http://schemas.openxmlformats.org/officeDocument/2006/bibliography"/>
  </ds:schemaRefs>
</ds:datastoreItem>
</file>

<file path=customXml/itemProps4.xml><?xml version="1.0" encoding="utf-8"?>
<ds:datastoreItem xmlns:ds="http://schemas.openxmlformats.org/officeDocument/2006/customXml" ds:itemID="{657DC4DC-E0F9-48D7-B67E-BDA37C78086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Respuesta a consultas</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Tatiana Baquero Iguaran</lastModifiedBy>
  <revision>4</revision>
  <lastPrinted>2020-01-30T15:05:00.0000000Z</lastPrinted>
  <dcterms:created xsi:type="dcterms:W3CDTF">2022-05-03T14:00:00.0000000Z</dcterms:created>
  <dcterms:modified xsi:type="dcterms:W3CDTF">2022-05-03T14:17:13.5940035Z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