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6D917" w14:textId="77777777" w:rsidR="00915830" w:rsidRPr="00213052" w:rsidRDefault="00915830" w:rsidP="00915830">
      <w:pPr>
        <w:jc w:val="right"/>
        <w:rPr>
          <w:rFonts w:ascii="Arial" w:hAnsi="Arial" w:cs="Arial"/>
          <w:b/>
          <w:sz w:val="16"/>
          <w:szCs w:val="16"/>
          <w:lang w:val="es-ES_tradnl" w:eastAsia="es-ES"/>
        </w:rPr>
      </w:pPr>
      <w:r w:rsidRPr="00213052">
        <w:rPr>
          <w:rFonts w:ascii="Arial" w:hAnsi="Arial" w:cs="Arial"/>
          <w:b/>
          <w:sz w:val="16"/>
          <w:szCs w:val="16"/>
          <w:lang w:val="es-ES_tradnl" w:eastAsia="es-ES"/>
        </w:rPr>
        <w:t>CCE-DES-FM-17</w:t>
      </w:r>
    </w:p>
    <w:p w14:paraId="20B310A3" w14:textId="77777777" w:rsidR="00915830" w:rsidRPr="00213052" w:rsidRDefault="00915830" w:rsidP="00915830">
      <w:pPr>
        <w:spacing w:line="276" w:lineRule="auto"/>
        <w:jc w:val="both"/>
        <w:rPr>
          <w:rFonts w:ascii="Arial" w:eastAsia="Calibri" w:hAnsi="Arial" w:cs="Arial"/>
          <w:b/>
          <w:sz w:val="16"/>
          <w:szCs w:val="16"/>
          <w:lang w:val="es-ES_tradnl"/>
        </w:rPr>
      </w:pPr>
    </w:p>
    <w:p w14:paraId="0131B507" w14:textId="2400AA17" w:rsidR="00915830" w:rsidRPr="00E36D20" w:rsidRDefault="00915830" w:rsidP="00915830">
      <w:pPr>
        <w:jc w:val="both"/>
        <w:rPr>
          <w:rFonts w:ascii="Arial" w:hAnsi="Arial" w:cs="Arial"/>
          <w:b/>
          <w:bCs/>
          <w:noProof/>
          <w:color w:val="000000" w:themeColor="text1"/>
          <w:sz w:val="20"/>
          <w:szCs w:val="20"/>
          <w:lang w:val="es-ES_tradnl"/>
        </w:rPr>
      </w:pPr>
      <w:r w:rsidRPr="00E36D20">
        <w:rPr>
          <w:rFonts w:ascii="Arial" w:eastAsia="Calibri" w:hAnsi="Arial" w:cs="Arial"/>
          <w:b/>
          <w:bCs/>
          <w:color w:val="000000" w:themeColor="text1"/>
          <w:sz w:val="20"/>
          <w:szCs w:val="20"/>
          <w:lang w:val="es-ES_tradnl"/>
        </w:rPr>
        <w:t xml:space="preserve">LEY 2195 DE 2022 – Aplicación de documentos tipo – </w:t>
      </w:r>
      <w:r w:rsidR="001E66F7">
        <w:rPr>
          <w:rFonts w:ascii="Arial" w:eastAsia="Calibri" w:hAnsi="Arial" w:cs="Arial"/>
          <w:b/>
          <w:bCs/>
          <w:color w:val="000000" w:themeColor="text1"/>
          <w:sz w:val="20"/>
          <w:szCs w:val="20"/>
          <w:lang w:val="es-ES_tradnl"/>
        </w:rPr>
        <w:t>E</w:t>
      </w:r>
      <w:r w:rsidRPr="00E36D20">
        <w:rPr>
          <w:rFonts w:ascii="Arial" w:eastAsia="Calibri" w:hAnsi="Arial" w:cs="Arial"/>
          <w:b/>
          <w:bCs/>
          <w:color w:val="000000" w:themeColor="text1"/>
          <w:sz w:val="20"/>
          <w:szCs w:val="20"/>
          <w:lang w:val="es-ES_tradnl"/>
        </w:rPr>
        <w:t xml:space="preserve">ntidades de régimen especial – </w:t>
      </w:r>
      <w:r w:rsidR="001E66F7">
        <w:rPr>
          <w:rFonts w:ascii="Arial" w:eastAsia="Calibri" w:hAnsi="Arial" w:cs="Arial"/>
          <w:b/>
          <w:bCs/>
          <w:color w:val="000000" w:themeColor="text1"/>
          <w:sz w:val="20"/>
          <w:szCs w:val="20"/>
          <w:lang w:val="es-ES_tradnl"/>
        </w:rPr>
        <w:t>A</w:t>
      </w:r>
      <w:r w:rsidRPr="00E36D20">
        <w:rPr>
          <w:rFonts w:ascii="Arial" w:eastAsia="Calibri" w:hAnsi="Arial" w:cs="Arial"/>
          <w:b/>
          <w:bCs/>
          <w:color w:val="000000" w:themeColor="text1"/>
          <w:sz w:val="20"/>
          <w:szCs w:val="20"/>
          <w:lang w:val="es-ES_tradnl"/>
        </w:rPr>
        <w:t>rtículo 56</w:t>
      </w:r>
    </w:p>
    <w:p w14:paraId="6AFA87FC" w14:textId="77777777" w:rsidR="00915830" w:rsidRPr="00E36D20" w:rsidRDefault="00915830" w:rsidP="00ED570E">
      <w:pPr>
        <w:jc w:val="both"/>
        <w:rPr>
          <w:rFonts w:ascii="Arial" w:hAnsi="Arial" w:cs="Arial"/>
          <w:noProof/>
          <w:color w:val="000000" w:themeColor="text1"/>
          <w:sz w:val="20"/>
          <w:szCs w:val="20"/>
          <w:lang w:val="es-ES_tradnl"/>
        </w:rPr>
      </w:pPr>
    </w:p>
    <w:p w14:paraId="670B4E40" w14:textId="77777777" w:rsidR="00ED570E" w:rsidRPr="00E36D20" w:rsidRDefault="00915830" w:rsidP="00ED570E">
      <w:pPr>
        <w:tabs>
          <w:tab w:val="left" w:pos="0"/>
        </w:tabs>
        <w:spacing w:after="120"/>
        <w:jc w:val="both"/>
        <w:rPr>
          <w:rFonts w:ascii="Arial" w:eastAsia="Calibri" w:hAnsi="Arial" w:cs="Arial"/>
          <w:bCs/>
          <w:sz w:val="20"/>
          <w:szCs w:val="20"/>
          <w:lang w:val="es-ES_tradnl"/>
        </w:rPr>
      </w:pPr>
      <w:r w:rsidRPr="00E36D20">
        <w:rPr>
          <w:rFonts w:ascii="Arial" w:eastAsia="Calibri" w:hAnsi="Arial" w:cs="Arial"/>
          <w:bCs/>
          <w:sz w:val="20"/>
          <w:szCs w:val="20"/>
          <w:lang w:val="es-ES_tradnl"/>
        </w:rPr>
        <w:t xml:space="preserve">[…] </w:t>
      </w:r>
      <w:r w:rsidR="00ED570E" w:rsidRPr="00E36D20">
        <w:rPr>
          <w:rFonts w:ascii="Arial" w:eastAsia="Calibri" w:hAnsi="Arial" w:cs="Arial"/>
          <w:bCs/>
          <w:sz w:val="20"/>
          <w:szCs w:val="20"/>
          <w:lang w:val="es-ES_tradnl"/>
        </w:rPr>
        <w:t xml:space="preserve">En ese sentido, el contenido normativo de la Ley 2022 de 2020, y en su momento también la Ley 1882 de 2018, excluía del ámbito de aplicación de los documentos tipo la contratación de entidades estatales de régimen exceptuado, por lo general, sujetas al derecho civil y comercial. </w:t>
      </w:r>
    </w:p>
    <w:p w14:paraId="37C5E5CF" w14:textId="3E08701B" w:rsidR="00ED570E" w:rsidRPr="00E36D20" w:rsidRDefault="00ED570E" w:rsidP="00ED570E">
      <w:pPr>
        <w:tabs>
          <w:tab w:val="left" w:pos="0"/>
        </w:tabs>
        <w:spacing w:after="120"/>
        <w:jc w:val="both"/>
        <w:rPr>
          <w:rFonts w:ascii="Arial" w:eastAsia="Calibri" w:hAnsi="Arial" w:cs="Arial"/>
          <w:bCs/>
          <w:sz w:val="20"/>
          <w:szCs w:val="20"/>
          <w:lang w:val="es-ES_tradnl"/>
        </w:rPr>
      </w:pPr>
      <w:r w:rsidRPr="00E36D20">
        <w:rPr>
          <w:rFonts w:ascii="Arial" w:eastAsia="Calibri" w:hAnsi="Arial" w:cs="Arial"/>
          <w:bCs/>
          <w:sz w:val="20"/>
          <w:szCs w:val="20"/>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5869A229" w14:textId="6FDF06C3" w:rsidR="00915830" w:rsidRPr="00E36D20" w:rsidRDefault="00ED570E" w:rsidP="00ED570E">
      <w:pPr>
        <w:jc w:val="both"/>
        <w:rPr>
          <w:rFonts w:ascii="Arial" w:eastAsia="Calibri" w:hAnsi="Arial" w:cs="Arial"/>
          <w:bCs/>
          <w:sz w:val="20"/>
          <w:szCs w:val="20"/>
          <w:lang w:val="es-ES_tradnl"/>
        </w:rPr>
      </w:pPr>
      <w:r w:rsidRPr="00E36D20">
        <w:rPr>
          <w:rFonts w:ascii="Arial" w:eastAsia="Calibri" w:hAnsi="Arial" w:cs="Arial"/>
          <w:bCs/>
          <w:sz w:val="20"/>
          <w:szCs w:val="20"/>
          <w:lang w:val="es-ES_tradnl"/>
        </w:rPr>
        <w:t>Entre las medidas adoptadas por la Ley mencionada se destaca el artículo 56, disposición que se refiere de manera expresa a los documentos tipo y a su aplicabilidad a sujetos diferentes de las entidades estatales sometidas al Estatuto General de Contratación de la Administración Pública.</w:t>
      </w:r>
    </w:p>
    <w:p w14:paraId="31F701A5" w14:textId="42499679" w:rsidR="00ED570E" w:rsidRPr="00E36D20" w:rsidRDefault="00ED570E" w:rsidP="00ED570E">
      <w:pPr>
        <w:jc w:val="both"/>
        <w:rPr>
          <w:rFonts w:ascii="Arial" w:eastAsia="Calibri" w:hAnsi="Arial" w:cs="Arial"/>
          <w:bCs/>
          <w:sz w:val="20"/>
          <w:szCs w:val="20"/>
          <w:lang w:val="es-ES_tradnl"/>
        </w:rPr>
      </w:pPr>
    </w:p>
    <w:p w14:paraId="1C1E71EE" w14:textId="7AEC20A6" w:rsidR="00B2066F" w:rsidRPr="00E36D20" w:rsidRDefault="00B2066F" w:rsidP="00ED570E">
      <w:pPr>
        <w:jc w:val="both"/>
        <w:rPr>
          <w:rFonts w:ascii="Arial" w:eastAsia="Calibri" w:hAnsi="Arial" w:cs="Arial"/>
          <w:b/>
          <w:sz w:val="20"/>
          <w:szCs w:val="20"/>
          <w:lang w:val="es-ES_tradnl"/>
        </w:rPr>
      </w:pPr>
      <w:r w:rsidRPr="00E36D20">
        <w:rPr>
          <w:rFonts w:ascii="Arial" w:eastAsia="Calibri" w:hAnsi="Arial" w:cs="Arial"/>
          <w:b/>
          <w:sz w:val="20"/>
          <w:szCs w:val="20"/>
          <w:lang w:val="es-ES_tradnl"/>
        </w:rPr>
        <w:t>LEY 2195 DE 2022 – Cambios en la implementación de documentos tipo</w:t>
      </w:r>
    </w:p>
    <w:p w14:paraId="46BCE901" w14:textId="4D87760E" w:rsidR="00B2066F" w:rsidRPr="00E36D20" w:rsidRDefault="00B2066F" w:rsidP="00ED570E">
      <w:pPr>
        <w:jc w:val="both"/>
        <w:rPr>
          <w:rFonts w:ascii="Arial" w:hAnsi="Arial" w:cs="Arial"/>
          <w:noProof/>
          <w:color w:val="000000" w:themeColor="text1"/>
          <w:sz w:val="20"/>
          <w:szCs w:val="20"/>
          <w:lang w:val="es-ES_tradnl"/>
        </w:rPr>
      </w:pPr>
    </w:p>
    <w:p w14:paraId="13826015" w14:textId="1DCA8DE3" w:rsidR="00B2066F" w:rsidRDefault="00B2066F" w:rsidP="00B2066F">
      <w:pPr>
        <w:tabs>
          <w:tab w:val="left" w:pos="0"/>
        </w:tabs>
        <w:spacing w:after="120"/>
        <w:jc w:val="both"/>
        <w:rPr>
          <w:rFonts w:ascii="Arial" w:eastAsia="Calibri" w:hAnsi="Arial" w:cs="Arial"/>
          <w:bCs/>
          <w:sz w:val="20"/>
          <w:szCs w:val="20"/>
          <w:lang w:val="es-ES_tradnl"/>
        </w:rPr>
      </w:pPr>
      <w:r w:rsidRPr="00E36D20">
        <w:rPr>
          <w:rFonts w:ascii="Arial" w:eastAsia="Calibri" w:hAnsi="Arial" w:cs="Arial"/>
          <w:bCs/>
          <w:sz w:val="20"/>
          <w:szCs w:val="20"/>
          <w:lang w:val="es-ES_tradnl"/>
        </w:rPr>
        <w:t xml:space="preserve">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w:t>
      </w:r>
    </w:p>
    <w:p w14:paraId="6B806CD4" w14:textId="4CC6AF05" w:rsidR="00FC3C59" w:rsidRDefault="00FC3C59" w:rsidP="00B2066F">
      <w:pPr>
        <w:tabs>
          <w:tab w:val="left" w:pos="0"/>
        </w:tabs>
        <w:spacing w:after="120"/>
        <w:jc w:val="both"/>
        <w:rPr>
          <w:rFonts w:ascii="Arial" w:eastAsia="Calibri" w:hAnsi="Arial" w:cs="Arial"/>
          <w:b/>
          <w:sz w:val="20"/>
          <w:szCs w:val="20"/>
          <w:lang w:val="es-ES_tradnl"/>
        </w:rPr>
      </w:pPr>
      <w:r w:rsidRPr="00FC3C59">
        <w:rPr>
          <w:rFonts w:ascii="Arial" w:eastAsia="Calibri" w:hAnsi="Arial" w:cs="Arial"/>
          <w:b/>
          <w:sz w:val="20"/>
          <w:szCs w:val="20"/>
          <w:lang w:val="es-ES_tradnl"/>
        </w:rPr>
        <w:t xml:space="preserve">RÉGIMEN CONTRACTUAL </w:t>
      </w:r>
      <w:r>
        <w:rPr>
          <w:rFonts w:ascii="Arial" w:eastAsia="Calibri" w:hAnsi="Arial" w:cs="Arial"/>
          <w:b/>
          <w:sz w:val="20"/>
          <w:szCs w:val="20"/>
          <w:lang w:val="es-ES_tradnl"/>
        </w:rPr>
        <w:t>–</w:t>
      </w:r>
      <w:r w:rsidRPr="00FC3C59">
        <w:rPr>
          <w:rFonts w:ascii="Arial" w:eastAsia="Calibri" w:hAnsi="Arial" w:cs="Arial"/>
          <w:b/>
          <w:sz w:val="20"/>
          <w:szCs w:val="20"/>
          <w:lang w:val="es-ES_tradnl"/>
        </w:rPr>
        <w:t xml:space="preserve"> </w:t>
      </w:r>
      <w:r>
        <w:rPr>
          <w:rFonts w:ascii="Arial" w:eastAsia="Calibri" w:hAnsi="Arial" w:cs="Arial"/>
          <w:b/>
          <w:sz w:val="20"/>
          <w:szCs w:val="20"/>
          <w:lang w:val="es-ES_tradnl"/>
        </w:rPr>
        <w:t>E</w:t>
      </w:r>
      <w:r w:rsidRPr="00FC3C59">
        <w:rPr>
          <w:rFonts w:ascii="Arial" w:eastAsia="Calibri" w:hAnsi="Arial" w:cs="Arial"/>
          <w:b/>
          <w:sz w:val="20"/>
          <w:szCs w:val="20"/>
          <w:lang w:val="es-ES_tradnl"/>
        </w:rPr>
        <w:t xml:space="preserve">mpresas </w:t>
      </w:r>
      <w:r>
        <w:rPr>
          <w:rFonts w:ascii="Arial" w:eastAsia="Calibri" w:hAnsi="Arial" w:cs="Arial"/>
          <w:b/>
          <w:sz w:val="20"/>
          <w:szCs w:val="20"/>
          <w:lang w:val="es-ES_tradnl"/>
        </w:rPr>
        <w:t>P</w:t>
      </w:r>
      <w:r w:rsidRPr="00FC3C59">
        <w:rPr>
          <w:rFonts w:ascii="Arial" w:eastAsia="Calibri" w:hAnsi="Arial" w:cs="Arial"/>
          <w:b/>
          <w:sz w:val="20"/>
          <w:szCs w:val="20"/>
          <w:lang w:val="es-ES_tradnl"/>
        </w:rPr>
        <w:t xml:space="preserve">restadoras de </w:t>
      </w:r>
      <w:r w:rsidR="001E66F7">
        <w:rPr>
          <w:rFonts w:ascii="Arial" w:eastAsia="Calibri" w:hAnsi="Arial" w:cs="Arial"/>
          <w:b/>
          <w:sz w:val="20"/>
          <w:szCs w:val="20"/>
          <w:lang w:val="es-ES_tradnl"/>
        </w:rPr>
        <w:t>s</w:t>
      </w:r>
      <w:r w:rsidRPr="00FC3C59">
        <w:rPr>
          <w:rFonts w:ascii="Arial" w:eastAsia="Calibri" w:hAnsi="Arial" w:cs="Arial"/>
          <w:b/>
          <w:sz w:val="20"/>
          <w:szCs w:val="20"/>
          <w:lang w:val="es-ES_tradnl"/>
        </w:rPr>
        <w:t xml:space="preserve">ervicios </w:t>
      </w:r>
      <w:r w:rsidR="001E66F7">
        <w:rPr>
          <w:rFonts w:ascii="Arial" w:eastAsia="Calibri" w:hAnsi="Arial" w:cs="Arial"/>
          <w:b/>
          <w:sz w:val="20"/>
          <w:szCs w:val="20"/>
          <w:lang w:val="es-ES_tradnl"/>
        </w:rPr>
        <w:t>p</w:t>
      </w:r>
      <w:r w:rsidRPr="00FC3C59">
        <w:rPr>
          <w:rFonts w:ascii="Arial" w:eastAsia="Calibri" w:hAnsi="Arial" w:cs="Arial"/>
          <w:b/>
          <w:sz w:val="20"/>
          <w:szCs w:val="20"/>
          <w:lang w:val="es-ES_tradnl"/>
        </w:rPr>
        <w:t xml:space="preserve">úblicos </w:t>
      </w:r>
      <w:r w:rsidR="001E66F7">
        <w:rPr>
          <w:rFonts w:ascii="Arial" w:eastAsia="Calibri" w:hAnsi="Arial" w:cs="Arial"/>
          <w:b/>
          <w:sz w:val="20"/>
          <w:szCs w:val="20"/>
          <w:lang w:val="es-ES_tradnl"/>
        </w:rPr>
        <w:t>d</w:t>
      </w:r>
      <w:r w:rsidRPr="00FC3C59">
        <w:rPr>
          <w:rFonts w:ascii="Arial" w:eastAsia="Calibri" w:hAnsi="Arial" w:cs="Arial"/>
          <w:b/>
          <w:sz w:val="20"/>
          <w:szCs w:val="20"/>
          <w:lang w:val="es-ES_tradnl"/>
        </w:rPr>
        <w:t xml:space="preserve">omiciliarios </w:t>
      </w:r>
    </w:p>
    <w:p w14:paraId="545E67F0" w14:textId="77777777" w:rsidR="006556A9" w:rsidRPr="006556A9" w:rsidRDefault="006556A9" w:rsidP="006556A9">
      <w:pPr>
        <w:spacing w:before="120"/>
        <w:jc w:val="both"/>
        <w:rPr>
          <w:rFonts w:ascii="Arial" w:eastAsia="Calibri" w:hAnsi="Arial" w:cs="Arial"/>
          <w:color w:val="000000"/>
          <w:sz w:val="20"/>
          <w:szCs w:val="20"/>
          <w:lang w:val="es-ES_tradnl" w:eastAsia="es-ES_tradnl"/>
        </w:rPr>
      </w:pPr>
      <w:r w:rsidRPr="006556A9">
        <w:rPr>
          <w:rFonts w:ascii="Arial" w:eastAsia="Calibri" w:hAnsi="Arial" w:cs="Arial"/>
          <w:color w:val="000000"/>
          <w:sz w:val="20"/>
          <w:szCs w:val="20"/>
          <w:lang w:val="es-ES_tradnl" w:eastAsia="es-ES_tradnl"/>
        </w:rPr>
        <w:t>El artículo 14 de dicha Ley clasificó a las empresas de servicios públicos domiciliarios así: i) oficial –«[…] aquella en cuyo capital la Nación, las entidades territoriales, o las entidades descentralizadas de aquella o estas tienen el 100% de los aportes»–, ii) mixta –«[…] aquella en cuyo capital la Nación, las entidades territoriales, o las entidades descentralizadas de aquella o éstas tienen aportes iguales o superiores al 50%»– y iii) privada –«[…] aquella cuyo capital pertenece mayoritariamente a particulares, o a entidades surgidas de convenios internacionales que deseen someterse íntegramente para estos efectos a las reglas a las que se someten los particulares»–.</w:t>
      </w:r>
    </w:p>
    <w:p w14:paraId="7B7C39FC" w14:textId="5A21D7DD" w:rsidR="00ED6688" w:rsidRPr="006556A9" w:rsidRDefault="006556A9" w:rsidP="006556A9">
      <w:pPr>
        <w:spacing w:before="120"/>
        <w:jc w:val="both"/>
        <w:rPr>
          <w:rFonts w:ascii="Arial" w:eastAsia="Calibri" w:hAnsi="Arial" w:cs="Arial"/>
          <w:color w:val="000000"/>
          <w:sz w:val="20"/>
          <w:szCs w:val="20"/>
          <w:lang w:val="es-ES_tradnl" w:eastAsia="es-ES_tradnl"/>
        </w:rPr>
      </w:pPr>
      <w:r w:rsidRPr="006556A9">
        <w:rPr>
          <w:rFonts w:ascii="Arial" w:eastAsia="Calibri" w:hAnsi="Arial" w:cs="Arial"/>
          <w:color w:val="000000"/>
          <w:sz w:val="20"/>
          <w:szCs w:val="20"/>
          <w:lang w:val="es-ES_tradnl" w:eastAsia="es-ES_tradnl"/>
        </w:rPr>
        <w:t>En lo que atañe específicamente al régimen de contratación, el artículo 31 de la Ley 142 de 1994, modificado por el artículo 3 de la Ley 689 de 2001, dispone que</w:t>
      </w:r>
      <w:r w:rsidRPr="006556A9">
        <w:rPr>
          <w:rFonts w:ascii="Arial" w:eastAsia="Calibri" w:hAnsi="Arial" w:cs="Arial"/>
          <w:color w:val="000000"/>
          <w:sz w:val="20"/>
          <w:szCs w:val="20"/>
          <w:bdr w:val="none" w:sz="0" w:space="0" w:color="auto" w:frame="1"/>
        </w:rPr>
        <w:t xml:space="preserve"> los contratos que celebren las entidades estatales que prestan los servicios públicos domiciliarios «no estarán sujetos a las disposiciones del Estatuto General de Contratación de la Administración Pública, salvo en lo que la presente ley disponga otra cosa»</w:t>
      </w:r>
      <w:r w:rsidRPr="006556A9">
        <w:rPr>
          <w:rFonts w:ascii="Arial" w:eastAsia="Calibri" w:hAnsi="Arial" w:cs="Arial"/>
          <w:color w:val="000000"/>
          <w:sz w:val="20"/>
          <w:szCs w:val="20"/>
          <w:lang w:val="es-ES_tradnl" w:eastAsia="es-ES_tradnl"/>
        </w:rPr>
        <w:t>. Por su parte, el artículo 32 de la Ley 142 consagra el régimen de derecho privado para las empresas de servicios públicos domiciliarios, indicando que sus actos se rigen por las reglas del derecho privado.</w:t>
      </w:r>
    </w:p>
    <w:p w14:paraId="3D7AB311" w14:textId="5D7C4632" w:rsidR="00ED1CB6" w:rsidRPr="00ED1CB6" w:rsidRDefault="00ED1CB6" w:rsidP="00ED1CB6">
      <w:pPr>
        <w:jc w:val="right"/>
        <w:rPr>
          <w:rFonts w:ascii="Times New Roman" w:eastAsia="Times New Roman" w:hAnsi="Times New Roman" w:cs="Times New Roman"/>
          <w:szCs w:val="24"/>
          <w:lang w:val="es-CO" w:eastAsia="es-MX"/>
        </w:rPr>
      </w:pPr>
      <w:r w:rsidRPr="00ED1CB6">
        <w:rPr>
          <w:rFonts w:ascii="Times New Roman" w:eastAsia="Times New Roman" w:hAnsi="Times New Roman" w:cs="Times New Roman"/>
          <w:szCs w:val="24"/>
          <w:lang w:val="es-CO" w:eastAsia="es-MX"/>
        </w:rPr>
        <w:lastRenderedPageBreak/>
        <w:fldChar w:fldCharType="begin"/>
      </w:r>
      <w:r w:rsidRPr="00ED1CB6">
        <w:rPr>
          <w:rFonts w:ascii="Times New Roman" w:eastAsia="Times New Roman" w:hAnsi="Times New Roman" w:cs="Times New Roman"/>
          <w:szCs w:val="24"/>
          <w:lang w:val="es-CO" w:eastAsia="es-MX"/>
        </w:rPr>
        <w:instrText xml:space="preserve"> INCLUDEPICTURE "/var/folders/tb/0fmk9b510f57pz5rwhv8lnpw0000gp/T/com.microsoft.Word/WebArchiveCopyPasteTempFiles/page1image11789664" \* MERGEFORMATINET </w:instrText>
      </w:r>
      <w:r w:rsidRPr="00ED1CB6">
        <w:rPr>
          <w:rFonts w:ascii="Times New Roman" w:eastAsia="Times New Roman" w:hAnsi="Times New Roman" w:cs="Times New Roman"/>
          <w:szCs w:val="24"/>
          <w:lang w:val="es-CO" w:eastAsia="es-MX"/>
        </w:rPr>
        <w:fldChar w:fldCharType="separate"/>
      </w:r>
      <w:r w:rsidRPr="00ED1CB6">
        <w:rPr>
          <w:rFonts w:ascii="Times New Roman" w:eastAsia="Times New Roman" w:hAnsi="Times New Roman" w:cs="Times New Roman"/>
          <w:noProof/>
          <w:szCs w:val="24"/>
          <w:lang w:val="es-CO" w:eastAsia="es-MX"/>
        </w:rPr>
        <w:drawing>
          <wp:inline distT="0" distB="0" distL="0" distR="0" wp14:anchorId="518A30B0" wp14:editId="3D2F5FD5">
            <wp:extent cx="2402205" cy="614045"/>
            <wp:effectExtent l="0" t="0" r="0" b="0"/>
            <wp:docPr id="1" name="Imagen 1" descr="page1image11789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178966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2205" cy="614045"/>
                    </a:xfrm>
                    <a:prstGeom prst="rect">
                      <a:avLst/>
                    </a:prstGeom>
                    <a:noFill/>
                    <a:ln>
                      <a:noFill/>
                    </a:ln>
                  </pic:spPr>
                </pic:pic>
              </a:graphicData>
            </a:graphic>
          </wp:inline>
        </w:drawing>
      </w:r>
      <w:r w:rsidRPr="00ED1CB6">
        <w:rPr>
          <w:rFonts w:ascii="Times New Roman" w:eastAsia="Times New Roman" w:hAnsi="Times New Roman" w:cs="Times New Roman"/>
          <w:szCs w:val="24"/>
          <w:lang w:val="es-CO" w:eastAsia="es-MX"/>
        </w:rPr>
        <w:fldChar w:fldCharType="end"/>
      </w:r>
    </w:p>
    <w:p w14:paraId="08796437" w14:textId="7D3524A2" w:rsidR="00915830" w:rsidRDefault="00915830" w:rsidP="00915830">
      <w:pPr>
        <w:rPr>
          <w:rFonts w:ascii="Arial" w:eastAsia="Calibri" w:hAnsi="Arial" w:cs="Arial"/>
          <w:sz w:val="22"/>
          <w:szCs w:val="20"/>
          <w:lang w:val="es-ES_tradnl"/>
        </w:rPr>
      </w:pPr>
    </w:p>
    <w:p w14:paraId="7ACB688A" w14:textId="392B4F8E" w:rsidR="001E66F7" w:rsidRDefault="001E66F7" w:rsidP="00915830">
      <w:pPr>
        <w:rPr>
          <w:rFonts w:ascii="Arial" w:eastAsia="Calibri" w:hAnsi="Arial" w:cs="Arial"/>
          <w:sz w:val="22"/>
          <w:szCs w:val="20"/>
          <w:lang w:val="es-ES_tradnl"/>
        </w:rPr>
      </w:pPr>
      <w:r>
        <w:rPr>
          <w:rFonts w:ascii="Arial" w:eastAsia="Calibri" w:hAnsi="Arial" w:cs="Arial"/>
          <w:sz w:val="22"/>
          <w:szCs w:val="20"/>
          <w:lang w:val="es-ES_tradnl"/>
        </w:rPr>
        <w:t>Bogotá D.C., 2 de mayo de 2022</w:t>
      </w:r>
    </w:p>
    <w:p w14:paraId="70B47EE3" w14:textId="38C5894B" w:rsidR="00915830" w:rsidRPr="00213052" w:rsidRDefault="00915830" w:rsidP="00915830">
      <w:pPr>
        <w:rPr>
          <w:rFonts w:ascii="Arial" w:eastAsia="Calibri" w:hAnsi="Arial" w:cs="Arial"/>
          <w:sz w:val="22"/>
          <w:szCs w:val="20"/>
          <w:lang w:val="es-ES_tradnl"/>
        </w:rPr>
      </w:pPr>
      <w:r w:rsidRPr="00213052">
        <w:rPr>
          <w:rFonts w:ascii="Arial" w:eastAsia="Calibri" w:hAnsi="Arial" w:cs="Arial"/>
          <w:sz w:val="22"/>
          <w:szCs w:val="20"/>
          <w:lang w:val="es-ES_tradnl"/>
        </w:rPr>
        <w:t>Señor</w:t>
      </w:r>
      <w:r w:rsidR="00686AFF">
        <w:rPr>
          <w:rFonts w:ascii="Arial" w:eastAsia="Calibri" w:hAnsi="Arial" w:cs="Arial"/>
          <w:sz w:val="22"/>
          <w:szCs w:val="20"/>
          <w:lang w:val="es-ES_tradnl"/>
        </w:rPr>
        <w:t>es</w:t>
      </w:r>
    </w:p>
    <w:p w14:paraId="5774C259" w14:textId="604C03B6" w:rsidR="00915830" w:rsidRPr="00213052" w:rsidRDefault="00686AFF" w:rsidP="00915830">
      <w:pPr>
        <w:rPr>
          <w:rFonts w:ascii="Arial" w:eastAsia="Calibri" w:hAnsi="Arial" w:cs="Arial"/>
          <w:b/>
          <w:sz w:val="22"/>
          <w:szCs w:val="20"/>
          <w:lang w:val="es-ES_tradnl"/>
        </w:rPr>
      </w:pPr>
      <w:r>
        <w:rPr>
          <w:rFonts w:ascii="Arial" w:eastAsia="Calibri" w:hAnsi="Arial" w:cs="Arial"/>
          <w:b/>
          <w:sz w:val="22"/>
          <w:szCs w:val="20"/>
          <w:lang w:val="es-ES_tradnl"/>
        </w:rPr>
        <w:t>OM Ingeniería S.A.S</w:t>
      </w:r>
    </w:p>
    <w:p w14:paraId="3550C226" w14:textId="7084F077" w:rsidR="00915830" w:rsidRPr="00213052" w:rsidRDefault="001F4246" w:rsidP="00915830">
      <w:pPr>
        <w:rPr>
          <w:rFonts w:ascii="Arial" w:eastAsia="Calibri" w:hAnsi="Arial" w:cs="Arial"/>
          <w:sz w:val="22"/>
          <w:szCs w:val="20"/>
          <w:lang w:val="es-ES_tradnl"/>
        </w:rPr>
      </w:pPr>
      <w:r>
        <w:rPr>
          <w:rFonts w:ascii="Arial" w:eastAsia="Calibri" w:hAnsi="Arial" w:cs="Arial"/>
          <w:sz w:val="22"/>
          <w:szCs w:val="20"/>
          <w:lang w:val="es-ES_tradnl"/>
        </w:rPr>
        <w:t xml:space="preserve">Pasto, Nariño </w:t>
      </w:r>
    </w:p>
    <w:p w14:paraId="76350245" w14:textId="77777777" w:rsidR="00915830" w:rsidRPr="00213052" w:rsidRDefault="00915830" w:rsidP="00915830">
      <w:pPr>
        <w:rPr>
          <w:rFonts w:ascii="Arial" w:eastAsia="Calibri" w:hAnsi="Arial" w:cs="Arial"/>
          <w:sz w:val="22"/>
          <w:szCs w:val="20"/>
          <w:lang w:val="es-ES_tradnl"/>
        </w:rPr>
      </w:pPr>
    </w:p>
    <w:p w14:paraId="6AA5026E" w14:textId="77777777" w:rsidR="00915830" w:rsidRPr="00213052" w:rsidRDefault="00915830" w:rsidP="00915830">
      <w:pPr>
        <w:rPr>
          <w:rFonts w:ascii="Arial" w:eastAsia="Calibri" w:hAnsi="Arial" w:cs="Arial"/>
          <w:sz w:val="22"/>
          <w:szCs w:val="20"/>
          <w:lang w:val="es-ES_tradnl"/>
        </w:rPr>
      </w:pPr>
    </w:p>
    <w:p w14:paraId="575B2F6B" w14:textId="39976424" w:rsidR="00915830" w:rsidRPr="00213052" w:rsidRDefault="00915830" w:rsidP="00915830">
      <w:pPr>
        <w:rPr>
          <w:rFonts w:ascii="Arial" w:eastAsia="Calibri" w:hAnsi="Arial" w:cs="Arial"/>
          <w:b/>
          <w:sz w:val="22"/>
          <w:lang w:val="es-ES_tradnl"/>
        </w:rPr>
      </w:pPr>
      <w:r w:rsidRPr="00213052">
        <w:rPr>
          <w:rFonts w:ascii="Arial" w:eastAsia="Calibri" w:hAnsi="Arial" w:cs="Arial"/>
          <w:b/>
          <w:sz w:val="22"/>
          <w:lang w:val="es-ES_tradnl"/>
        </w:rPr>
        <w:t xml:space="preserve">                                            Concepto C – </w:t>
      </w:r>
      <w:r w:rsidR="00686AFF">
        <w:rPr>
          <w:rFonts w:ascii="Arial" w:eastAsia="Calibri" w:hAnsi="Arial" w:cs="Arial"/>
          <w:b/>
          <w:sz w:val="22"/>
          <w:lang w:val="es-ES_tradnl"/>
        </w:rPr>
        <w:t>244</w:t>
      </w:r>
      <w:r w:rsidRPr="00213052">
        <w:rPr>
          <w:rFonts w:ascii="Arial" w:eastAsia="Calibri" w:hAnsi="Arial" w:cs="Arial"/>
          <w:b/>
          <w:sz w:val="22"/>
          <w:lang w:val="es-ES_tradnl"/>
        </w:rPr>
        <w:t xml:space="preserve"> de 202</w:t>
      </w:r>
      <w:r>
        <w:rPr>
          <w:rFonts w:ascii="Arial" w:eastAsia="Calibri" w:hAnsi="Arial" w:cs="Arial"/>
          <w:b/>
          <w:sz w:val="22"/>
          <w:lang w:val="es-ES_tradnl"/>
        </w:rPr>
        <w:t>2</w:t>
      </w:r>
    </w:p>
    <w:p w14:paraId="60370691" w14:textId="77777777" w:rsidR="00915830" w:rsidRPr="00213052" w:rsidRDefault="00915830" w:rsidP="00915830">
      <w:pPr>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15830" w:rsidRPr="00213052" w14:paraId="3F2C6C4F" w14:textId="77777777" w:rsidTr="00E54AB5">
        <w:tc>
          <w:tcPr>
            <w:tcW w:w="2689" w:type="dxa"/>
            <w:hideMark/>
          </w:tcPr>
          <w:p w14:paraId="3A03DBB1" w14:textId="77777777" w:rsidR="00915830" w:rsidRPr="00213052" w:rsidRDefault="00915830" w:rsidP="00E54AB5">
            <w:pPr>
              <w:rPr>
                <w:rFonts w:ascii="Arial" w:eastAsia="Calibri" w:hAnsi="Arial" w:cs="Arial"/>
                <w:lang w:val="es-ES_tradnl"/>
              </w:rPr>
            </w:pPr>
            <w:r w:rsidRPr="00213052">
              <w:rPr>
                <w:rFonts w:ascii="Arial" w:eastAsia="Calibri" w:hAnsi="Arial" w:cs="Arial"/>
                <w:b/>
                <w:lang w:val="es-ES_tradnl"/>
              </w:rPr>
              <w:t>Temas:</w:t>
            </w:r>
            <w:r w:rsidRPr="00213052">
              <w:rPr>
                <w:rFonts w:ascii="Arial" w:eastAsia="Calibri" w:hAnsi="Arial" w:cs="Arial"/>
                <w:lang w:val="es-ES_tradnl"/>
              </w:rPr>
              <w:t xml:space="preserve">           </w:t>
            </w:r>
          </w:p>
          <w:p w14:paraId="410FE82C" w14:textId="77777777" w:rsidR="00915830" w:rsidRPr="00213052" w:rsidRDefault="00915830" w:rsidP="00E54AB5">
            <w:pPr>
              <w:rPr>
                <w:rFonts w:ascii="Arial" w:eastAsia="Calibri" w:hAnsi="Arial" w:cs="Arial"/>
                <w:lang w:val="es-ES_tradnl"/>
              </w:rPr>
            </w:pPr>
            <w:r w:rsidRPr="00213052">
              <w:rPr>
                <w:rFonts w:ascii="Arial" w:eastAsia="Calibri" w:hAnsi="Arial" w:cs="Arial"/>
                <w:lang w:val="es-ES_tradnl"/>
              </w:rPr>
              <w:t xml:space="preserve">                           </w:t>
            </w:r>
          </w:p>
        </w:tc>
        <w:tc>
          <w:tcPr>
            <w:tcW w:w="6237" w:type="dxa"/>
            <w:hideMark/>
          </w:tcPr>
          <w:p w14:paraId="58E964C8" w14:textId="77777777" w:rsidR="006556A9" w:rsidRPr="006556A9" w:rsidRDefault="00915830" w:rsidP="006556A9">
            <w:pPr>
              <w:tabs>
                <w:tab w:val="left" w:pos="0"/>
              </w:tabs>
              <w:spacing w:after="120"/>
              <w:jc w:val="both"/>
              <w:rPr>
                <w:rFonts w:ascii="Arial" w:eastAsia="Calibri" w:hAnsi="Arial" w:cs="Arial"/>
                <w:bCs/>
                <w:sz w:val="20"/>
                <w:szCs w:val="20"/>
                <w:lang w:val="es-ES_tradnl"/>
              </w:rPr>
            </w:pPr>
            <w:r>
              <w:rPr>
                <w:rFonts w:ascii="Arial" w:eastAsia="Calibri" w:hAnsi="Arial" w:cs="Arial"/>
                <w:color w:val="000000" w:themeColor="text1"/>
                <w:lang w:val="es-ES_tradnl"/>
              </w:rPr>
              <w:t xml:space="preserve">LEY 2195 DE 2022 – Aplicación de documentos tipo – entidades de régimen especial – artículo 56 / </w:t>
            </w:r>
            <w:r w:rsidR="00B2066F" w:rsidRPr="00B2066F">
              <w:rPr>
                <w:rFonts w:ascii="Arial" w:eastAsia="Calibri" w:hAnsi="Arial" w:cs="Arial"/>
                <w:bCs/>
                <w:lang w:val="es-ES_tradnl"/>
              </w:rPr>
              <w:t>LEY 2195 DE 2022 – Cambios en la implementación de documentos tipo</w:t>
            </w:r>
            <w:r w:rsidR="006556A9">
              <w:rPr>
                <w:rFonts w:ascii="Arial" w:eastAsia="Calibri" w:hAnsi="Arial" w:cs="Arial"/>
                <w:bCs/>
                <w:lang w:val="es-ES_tradnl"/>
              </w:rPr>
              <w:t xml:space="preserve"> / </w:t>
            </w:r>
            <w:r w:rsidR="006556A9" w:rsidRPr="006556A9">
              <w:rPr>
                <w:rFonts w:ascii="Arial" w:eastAsia="Calibri" w:hAnsi="Arial" w:cs="Arial"/>
                <w:bCs/>
                <w:sz w:val="20"/>
                <w:szCs w:val="20"/>
                <w:lang w:val="es-ES_tradnl"/>
              </w:rPr>
              <w:t xml:space="preserve">RÉGIMEN CONTRACTUAL – Empresas Prestadoras de Servicios Públicos Domiciliarios </w:t>
            </w:r>
          </w:p>
          <w:p w14:paraId="2203551E" w14:textId="0CCC41B3" w:rsidR="00B2066F" w:rsidRPr="00B2066F" w:rsidRDefault="00B2066F" w:rsidP="00B2066F">
            <w:pPr>
              <w:jc w:val="both"/>
              <w:rPr>
                <w:rFonts w:ascii="Arial" w:eastAsia="Calibri" w:hAnsi="Arial" w:cs="Arial"/>
                <w:bCs/>
                <w:sz w:val="20"/>
                <w:szCs w:val="20"/>
                <w:lang w:val="es-ES_tradnl"/>
              </w:rPr>
            </w:pPr>
          </w:p>
          <w:p w14:paraId="1A4AB5C8" w14:textId="74E53743" w:rsidR="00915830" w:rsidRPr="00213052" w:rsidRDefault="00915830" w:rsidP="00E54AB5">
            <w:pPr>
              <w:spacing w:after="120"/>
              <w:jc w:val="both"/>
              <w:rPr>
                <w:rFonts w:ascii="Arial" w:eastAsia="Calibri" w:hAnsi="Arial" w:cs="Arial"/>
                <w:highlight w:val="yellow"/>
                <w:lang w:val="es-ES_tradnl"/>
              </w:rPr>
            </w:pPr>
          </w:p>
        </w:tc>
      </w:tr>
      <w:tr w:rsidR="00915830" w:rsidRPr="00213052" w14:paraId="2E0C7B09" w14:textId="77777777" w:rsidTr="00E54AB5">
        <w:tc>
          <w:tcPr>
            <w:tcW w:w="2689" w:type="dxa"/>
          </w:tcPr>
          <w:p w14:paraId="2643E473" w14:textId="77777777" w:rsidR="00915830" w:rsidRPr="00213052" w:rsidRDefault="00915830" w:rsidP="00E54AB5">
            <w:pPr>
              <w:rPr>
                <w:rFonts w:ascii="Arial" w:eastAsia="Calibri" w:hAnsi="Arial" w:cs="Arial"/>
                <w:b/>
                <w:lang w:val="es-ES_tradnl"/>
              </w:rPr>
            </w:pPr>
            <w:r w:rsidRPr="00213052">
              <w:rPr>
                <w:rFonts w:ascii="Arial" w:eastAsia="Calibri" w:hAnsi="Arial" w:cs="Arial"/>
                <w:b/>
                <w:lang w:val="es-ES_tradnl"/>
              </w:rPr>
              <w:t>Radicación:</w:t>
            </w:r>
            <w:r w:rsidRPr="00213052">
              <w:rPr>
                <w:rFonts w:ascii="Arial" w:eastAsia="Calibri" w:hAnsi="Arial" w:cs="Arial"/>
                <w:lang w:val="es-ES_tradnl"/>
              </w:rPr>
              <w:t xml:space="preserve">                              </w:t>
            </w:r>
          </w:p>
        </w:tc>
        <w:tc>
          <w:tcPr>
            <w:tcW w:w="6237" w:type="dxa"/>
          </w:tcPr>
          <w:p w14:paraId="159FC9C6" w14:textId="4E790E29" w:rsidR="00915830" w:rsidRPr="00213052" w:rsidRDefault="00915830" w:rsidP="00E54AB5">
            <w:pPr>
              <w:rPr>
                <w:rFonts w:ascii="Arial" w:eastAsia="Calibri" w:hAnsi="Arial" w:cs="Arial"/>
                <w:lang w:val="es-ES_tradnl"/>
              </w:rPr>
            </w:pPr>
            <w:r w:rsidRPr="00B05FD8">
              <w:rPr>
                <w:rFonts w:ascii="Arial" w:eastAsia="Calibri" w:hAnsi="Arial" w:cs="Arial"/>
                <w:lang w:val="es-ES_tradnl"/>
              </w:rPr>
              <w:t>Respuesta a consulta</w:t>
            </w:r>
            <w:r w:rsidR="00686AFF" w:rsidRPr="00965E87">
              <w:rPr>
                <w:rFonts w:ascii="Arial" w:hAnsi="Arial" w:cs="Arial"/>
              </w:rPr>
              <w:t xml:space="preserve"> P20220316002612</w:t>
            </w:r>
          </w:p>
        </w:tc>
      </w:tr>
    </w:tbl>
    <w:p w14:paraId="2FD8D466" w14:textId="77777777" w:rsidR="00915830" w:rsidRDefault="00915830" w:rsidP="00915830">
      <w:pPr>
        <w:jc w:val="both"/>
        <w:rPr>
          <w:rFonts w:ascii="Arial" w:eastAsia="Calibri" w:hAnsi="Arial" w:cs="Arial"/>
          <w:sz w:val="22"/>
          <w:lang w:val="es-ES_tradnl"/>
        </w:rPr>
      </w:pPr>
    </w:p>
    <w:p w14:paraId="2C591583" w14:textId="77777777" w:rsidR="00915830" w:rsidRPr="00213052" w:rsidRDefault="00915830" w:rsidP="00915830">
      <w:pPr>
        <w:jc w:val="both"/>
        <w:rPr>
          <w:rFonts w:ascii="Arial" w:eastAsia="Calibri" w:hAnsi="Arial" w:cs="Arial"/>
          <w:sz w:val="22"/>
          <w:lang w:val="es-ES_tradnl"/>
        </w:rPr>
      </w:pPr>
    </w:p>
    <w:p w14:paraId="709B0EDD" w14:textId="695708B9" w:rsidR="00915830" w:rsidRPr="00B60BAC" w:rsidRDefault="00915830" w:rsidP="00915830">
      <w:pPr>
        <w:rPr>
          <w:rFonts w:ascii="Arial" w:hAnsi="Arial" w:cs="Arial"/>
          <w:sz w:val="22"/>
          <w:lang w:val="es-ES_tradnl"/>
        </w:rPr>
      </w:pPr>
      <w:r w:rsidRPr="00B60BAC">
        <w:rPr>
          <w:rFonts w:ascii="Arial" w:hAnsi="Arial" w:cs="Arial"/>
          <w:sz w:val="22"/>
          <w:lang w:val="es-ES_tradnl"/>
        </w:rPr>
        <w:t>Estimad</w:t>
      </w:r>
      <w:r w:rsidR="001F4246">
        <w:rPr>
          <w:rFonts w:ascii="Arial" w:hAnsi="Arial" w:cs="Arial"/>
          <w:sz w:val="22"/>
          <w:lang w:val="es-ES_tradnl"/>
        </w:rPr>
        <w:t xml:space="preserve">os señores OM Ingeniería S.A.S: </w:t>
      </w:r>
    </w:p>
    <w:p w14:paraId="0796310B" w14:textId="77777777" w:rsidR="00915830" w:rsidRPr="00213052" w:rsidRDefault="00915830" w:rsidP="00915830">
      <w:pPr>
        <w:rPr>
          <w:rFonts w:ascii="Arial" w:eastAsia="Calibri" w:hAnsi="Arial" w:cs="Arial"/>
          <w:sz w:val="22"/>
          <w:lang w:val="es-ES_tradnl"/>
        </w:rPr>
      </w:pPr>
    </w:p>
    <w:p w14:paraId="27E4371C" w14:textId="23FF5BDA" w:rsidR="00915830" w:rsidRPr="00213052" w:rsidRDefault="00915830" w:rsidP="00915830">
      <w:pPr>
        <w:spacing w:line="276" w:lineRule="auto"/>
        <w:ind w:right="51"/>
        <w:jc w:val="both"/>
        <w:rPr>
          <w:rFonts w:ascii="Arial" w:hAnsi="Arial" w:cs="Arial"/>
          <w:sz w:val="22"/>
          <w:lang w:val="es-ES_tradnl"/>
        </w:rPr>
      </w:pPr>
      <w:r w:rsidRPr="00213052">
        <w:rPr>
          <w:rFonts w:ascii="Arial" w:hAnsi="Arial" w:cs="Arial"/>
          <w:sz w:val="22"/>
          <w:lang w:val="es-ES_tradnl"/>
        </w:rPr>
        <w:t>La Agencia Nacional de Contratación Pública – Colombia Compra Eficiente, en ejercicio de la competencia otorgada por el numeral 8 del artículo 11 y el numeral 5 del artículo 3 del Decreto Ley 4170 de 2011</w:t>
      </w:r>
      <w:r>
        <w:rPr>
          <w:rFonts w:ascii="Arial" w:hAnsi="Arial" w:cs="Arial"/>
          <w:sz w:val="22"/>
          <w:lang w:val="es-ES_tradnl"/>
        </w:rPr>
        <w:t xml:space="preserve">, </w:t>
      </w:r>
      <w:r w:rsidRPr="00213052">
        <w:rPr>
          <w:rFonts w:ascii="Arial" w:hAnsi="Arial" w:cs="Arial"/>
          <w:sz w:val="22"/>
          <w:lang w:val="es-ES_tradnl"/>
        </w:rPr>
        <w:t xml:space="preserve">responde su consulta del </w:t>
      </w:r>
      <w:r>
        <w:rPr>
          <w:rFonts w:ascii="Arial" w:hAnsi="Arial" w:cs="Arial"/>
          <w:sz w:val="22"/>
          <w:lang w:val="es-ES_tradnl"/>
        </w:rPr>
        <w:t>1</w:t>
      </w:r>
      <w:r w:rsidR="00686AFF">
        <w:rPr>
          <w:rFonts w:ascii="Arial" w:hAnsi="Arial" w:cs="Arial"/>
          <w:sz w:val="22"/>
          <w:lang w:val="es-ES_tradnl"/>
        </w:rPr>
        <w:t>6</w:t>
      </w:r>
      <w:r>
        <w:rPr>
          <w:rFonts w:ascii="Arial" w:hAnsi="Arial" w:cs="Arial"/>
          <w:sz w:val="22"/>
          <w:lang w:val="es-ES_tradnl"/>
        </w:rPr>
        <w:t xml:space="preserve"> de </w:t>
      </w:r>
      <w:r w:rsidR="00686AFF">
        <w:rPr>
          <w:rFonts w:ascii="Arial" w:hAnsi="Arial" w:cs="Arial"/>
          <w:sz w:val="22"/>
          <w:lang w:val="es-ES_tradnl"/>
        </w:rPr>
        <w:t xml:space="preserve">marzo </w:t>
      </w:r>
      <w:r>
        <w:rPr>
          <w:rFonts w:ascii="Arial" w:hAnsi="Arial" w:cs="Arial"/>
          <w:sz w:val="22"/>
          <w:lang w:val="es-ES_tradnl"/>
        </w:rPr>
        <w:t>de 2022</w:t>
      </w:r>
      <w:r w:rsidRPr="00213052">
        <w:rPr>
          <w:rFonts w:ascii="Arial" w:hAnsi="Arial" w:cs="Arial"/>
          <w:sz w:val="22"/>
          <w:lang w:val="es-ES_tradnl"/>
        </w:rPr>
        <w:t xml:space="preserve">. </w:t>
      </w:r>
    </w:p>
    <w:p w14:paraId="7922E4EA" w14:textId="77777777" w:rsidR="00915830" w:rsidRPr="00213052" w:rsidRDefault="00915830" w:rsidP="00915830">
      <w:pPr>
        <w:pStyle w:val="Prrafodelista"/>
        <w:tabs>
          <w:tab w:val="left" w:pos="284"/>
        </w:tabs>
        <w:spacing w:line="276" w:lineRule="auto"/>
        <w:ind w:left="0"/>
        <w:jc w:val="both"/>
        <w:rPr>
          <w:rFonts w:ascii="Arial" w:hAnsi="Arial" w:cs="Arial"/>
          <w:sz w:val="22"/>
          <w:lang w:val="es-ES_tradnl"/>
        </w:rPr>
      </w:pPr>
    </w:p>
    <w:p w14:paraId="4AB4EA9B" w14:textId="77777777" w:rsidR="00915830" w:rsidRPr="00213052" w:rsidRDefault="00915830" w:rsidP="00915830">
      <w:pPr>
        <w:pStyle w:val="Prrafodelista"/>
        <w:tabs>
          <w:tab w:val="left" w:pos="284"/>
        </w:tabs>
        <w:spacing w:line="276" w:lineRule="auto"/>
        <w:ind w:left="0"/>
        <w:jc w:val="both"/>
        <w:rPr>
          <w:rFonts w:ascii="Arial" w:eastAsia="Calibri" w:hAnsi="Arial" w:cs="Arial"/>
          <w:b/>
          <w:sz w:val="22"/>
          <w:lang w:val="es-ES_tradnl"/>
        </w:rPr>
      </w:pPr>
      <w:r w:rsidRPr="00213052">
        <w:rPr>
          <w:rFonts w:ascii="Arial" w:eastAsia="Calibri" w:hAnsi="Arial" w:cs="Arial"/>
          <w:b/>
          <w:sz w:val="22"/>
          <w:lang w:val="es-ES_tradnl"/>
        </w:rPr>
        <w:t>1.</w:t>
      </w:r>
      <w:r w:rsidRPr="00213052">
        <w:rPr>
          <w:rFonts w:ascii="Arial" w:eastAsia="Calibri" w:hAnsi="Arial" w:cs="Arial"/>
          <w:sz w:val="22"/>
          <w:lang w:val="es-ES_tradnl"/>
        </w:rPr>
        <w:t xml:space="preserve"> </w:t>
      </w:r>
      <w:r w:rsidRPr="00213052">
        <w:rPr>
          <w:rFonts w:ascii="Arial" w:eastAsia="Calibri" w:hAnsi="Arial" w:cs="Arial"/>
          <w:b/>
          <w:sz w:val="22"/>
          <w:lang w:val="es-ES_tradnl"/>
        </w:rPr>
        <w:t xml:space="preserve">Problema planteado </w:t>
      </w:r>
    </w:p>
    <w:p w14:paraId="1999110E" w14:textId="77777777" w:rsidR="00915830" w:rsidRDefault="00915830" w:rsidP="00915830">
      <w:pPr>
        <w:pStyle w:val="NormalWeb"/>
        <w:spacing w:before="0" w:beforeAutospacing="0" w:line="276" w:lineRule="auto"/>
        <w:contextualSpacing/>
        <w:jc w:val="both"/>
        <w:rPr>
          <w:rFonts w:ascii="Arial" w:hAnsi="Arial" w:cs="Arial"/>
          <w:color w:val="000000" w:themeColor="text1"/>
          <w:sz w:val="22"/>
          <w:lang w:val="es-ES_tradnl"/>
        </w:rPr>
      </w:pPr>
    </w:p>
    <w:p w14:paraId="3BCF2D99" w14:textId="0D46EEF2" w:rsidR="00686AFF" w:rsidRDefault="00915830" w:rsidP="00686AFF">
      <w:pPr>
        <w:pStyle w:val="NormalWeb"/>
        <w:spacing w:before="0" w:beforeAutospacing="0" w:after="0" w:afterAutospacing="0" w:line="276" w:lineRule="auto"/>
        <w:contextualSpacing/>
        <w:jc w:val="both"/>
        <w:rPr>
          <w:rFonts w:ascii="Arial" w:hAnsi="Arial" w:cs="Arial"/>
          <w:color w:val="000000" w:themeColor="text1"/>
          <w:sz w:val="22"/>
          <w:lang w:val="es-ES_tradnl"/>
        </w:rPr>
      </w:pPr>
      <w:r>
        <w:rPr>
          <w:rFonts w:ascii="Arial" w:hAnsi="Arial" w:cs="Arial"/>
          <w:color w:val="000000" w:themeColor="text1"/>
          <w:sz w:val="22"/>
          <w:lang w:val="es-ES_tradnl"/>
        </w:rPr>
        <w:t xml:space="preserve">Usted realiza </w:t>
      </w:r>
      <w:r w:rsidR="00686AFF">
        <w:rPr>
          <w:rFonts w:ascii="Arial" w:hAnsi="Arial" w:cs="Arial"/>
          <w:color w:val="000000" w:themeColor="text1"/>
          <w:sz w:val="22"/>
          <w:lang w:val="es-ES_tradnl"/>
        </w:rPr>
        <w:t xml:space="preserve">el siguiente cuestionamiento: </w:t>
      </w:r>
    </w:p>
    <w:p w14:paraId="7549612C" w14:textId="77777777" w:rsidR="00686AFF" w:rsidRDefault="00686AFF" w:rsidP="00686AFF">
      <w:pPr>
        <w:pStyle w:val="NormalWeb"/>
        <w:spacing w:before="0" w:beforeAutospacing="0" w:after="0" w:afterAutospacing="0" w:line="276" w:lineRule="auto"/>
        <w:contextualSpacing/>
        <w:jc w:val="both"/>
        <w:rPr>
          <w:rFonts w:ascii="Arial" w:hAnsi="Arial" w:cs="Arial"/>
          <w:color w:val="000000" w:themeColor="text1"/>
          <w:sz w:val="22"/>
          <w:lang w:val="es-ES_tradnl"/>
        </w:rPr>
      </w:pPr>
    </w:p>
    <w:p w14:paraId="5EC7FC83" w14:textId="1B21DC15" w:rsidR="00686AFF" w:rsidRDefault="00686AFF" w:rsidP="00686AFF">
      <w:pPr>
        <w:pStyle w:val="NormalWeb"/>
        <w:spacing w:before="0" w:beforeAutospacing="0" w:after="0" w:afterAutospacing="0"/>
        <w:ind w:left="709" w:right="709"/>
        <w:jc w:val="both"/>
        <w:rPr>
          <w:rFonts w:ascii="Arial" w:hAnsi="Arial" w:cs="Arial"/>
          <w:sz w:val="22"/>
          <w:szCs w:val="22"/>
        </w:rPr>
      </w:pPr>
      <w:r w:rsidRPr="002A5F17">
        <w:rPr>
          <w:rFonts w:ascii="Arial" w:hAnsi="Arial" w:cs="Arial"/>
          <w:sz w:val="22"/>
          <w:szCs w:val="22"/>
        </w:rPr>
        <w:t>«¿</w:t>
      </w:r>
      <w:r>
        <w:rPr>
          <w:rFonts w:ascii="Arial" w:hAnsi="Arial" w:cs="Arial"/>
          <w:sz w:val="22"/>
          <w:szCs w:val="22"/>
        </w:rPr>
        <w:t>L</w:t>
      </w:r>
      <w:r w:rsidRPr="002A5F17">
        <w:rPr>
          <w:rFonts w:ascii="Arial" w:hAnsi="Arial" w:cs="Arial"/>
          <w:sz w:val="22"/>
          <w:szCs w:val="22"/>
        </w:rPr>
        <w:t xml:space="preserve">os pliegos tipo de agua y saneamiento, son obligatorios para una empresa de servicios públicos domiciliarios que tiene régimen especial para la contratación, bajo la aplicación del art. 56 de la </w:t>
      </w:r>
      <w:r>
        <w:rPr>
          <w:rFonts w:ascii="Arial" w:hAnsi="Arial" w:cs="Arial"/>
          <w:sz w:val="22"/>
          <w:szCs w:val="22"/>
        </w:rPr>
        <w:t>L</w:t>
      </w:r>
      <w:r w:rsidRPr="002A5F17">
        <w:rPr>
          <w:rFonts w:ascii="Arial" w:hAnsi="Arial" w:cs="Arial"/>
          <w:sz w:val="22"/>
          <w:szCs w:val="22"/>
        </w:rPr>
        <w:t>ey 2195 de 2022?»</w:t>
      </w:r>
    </w:p>
    <w:p w14:paraId="433F78A1" w14:textId="77777777" w:rsidR="00915830" w:rsidRPr="00FB56AC" w:rsidRDefault="00915830" w:rsidP="00686AFF">
      <w:pPr>
        <w:pStyle w:val="NormalWeb"/>
        <w:spacing w:after="0" w:afterAutospacing="0" w:line="276" w:lineRule="auto"/>
        <w:contextualSpacing/>
        <w:jc w:val="both"/>
        <w:rPr>
          <w:rFonts w:ascii="Arial" w:hAnsi="Arial" w:cs="Arial"/>
          <w:sz w:val="21"/>
          <w:szCs w:val="21"/>
        </w:rPr>
      </w:pPr>
    </w:p>
    <w:p w14:paraId="7503988B" w14:textId="77777777" w:rsidR="00915830" w:rsidRPr="00213052" w:rsidRDefault="00915830" w:rsidP="00915830">
      <w:pPr>
        <w:tabs>
          <w:tab w:val="left" w:pos="426"/>
        </w:tabs>
        <w:spacing w:line="276" w:lineRule="auto"/>
        <w:jc w:val="both"/>
        <w:rPr>
          <w:rFonts w:ascii="Arial" w:eastAsia="Calibri" w:hAnsi="Arial" w:cs="Arial"/>
          <w:b/>
          <w:sz w:val="22"/>
          <w:lang w:val="es-ES_tradnl"/>
        </w:rPr>
      </w:pPr>
      <w:r w:rsidRPr="00213052">
        <w:rPr>
          <w:rFonts w:ascii="Arial" w:eastAsia="Calibri" w:hAnsi="Arial" w:cs="Arial"/>
          <w:b/>
          <w:sz w:val="22"/>
          <w:lang w:val="es-ES_tradnl"/>
        </w:rPr>
        <w:t>2.</w:t>
      </w:r>
      <w:r w:rsidRPr="00213052">
        <w:rPr>
          <w:rFonts w:ascii="Arial" w:eastAsia="Calibri" w:hAnsi="Arial" w:cs="Arial"/>
          <w:sz w:val="22"/>
          <w:lang w:val="es-ES_tradnl"/>
        </w:rPr>
        <w:t xml:space="preserve"> </w:t>
      </w:r>
      <w:r w:rsidRPr="00213052">
        <w:rPr>
          <w:rFonts w:ascii="Arial" w:eastAsia="Calibri" w:hAnsi="Arial" w:cs="Arial"/>
          <w:b/>
          <w:sz w:val="22"/>
          <w:lang w:val="es-ES_tradnl"/>
        </w:rPr>
        <w:t>Consideraciones</w:t>
      </w:r>
    </w:p>
    <w:p w14:paraId="26000775" w14:textId="77777777" w:rsidR="00915830" w:rsidRPr="00213052" w:rsidRDefault="00915830" w:rsidP="00915830">
      <w:pPr>
        <w:spacing w:line="276" w:lineRule="auto"/>
        <w:jc w:val="both"/>
        <w:rPr>
          <w:rFonts w:ascii="Arial" w:hAnsi="Arial" w:cs="Arial"/>
          <w:color w:val="000000" w:themeColor="text1"/>
          <w:sz w:val="22"/>
          <w:lang w:val="es-ES_tradnl"/>
        </w:rPr>
      </w:pPr>
    </w:p>
    <w:p w14:paraId="6A2AC9D3" w14:textId="3C6403D3" w:rsidR="00915830" w:rsidRPr="00213052" w:rsidRDefault="00915830" w:rsidP="00915830">
      <w:pPr>
        <w:spacing w:line="276" w:lineRule="auto"/>
        <w:jc w:val="both"/>
        <w:rPr>
          <w:rFonts w:ascii="Arial" w:hAnsi="Arial" w:cs="Arial"/>
          <w:b/>
          <w:color w:val="000000" w:themeColor="text1"/>
          <w:sz w:val="22"/>
          <w:lang w:val="es-ES_tradnl"/>
        </w:rPr>
      </w:pPr>
      <w:r w:rsidRPr="00213052">
        <w:rPr>
          <w:rFonts w:ascii="Arial" w:hAnsi="Arial" w:cs="Arial"/>
          <w:color w:val="000000" w:themeColor="text1"/>
          <w:sz w:val="22"/>
          <w:lang w:val="es-ES_tradnl"/>
        </w:rPr>
        <w:t xml:space="preserve">Para resolver esta consulta se </w:t>
      </w:r>
      <w:r>
        <w:rPr>
          <w:rFonts w:ascii="Arial" w:hAnsi="Arial" w:cs="Arial"/>
          <w:color w:val="000000" w:themeColor="text1"/>
          <w:sz w:val="22"/>
          <w:lang w:val="es-ES_tradnl"/>
        </w:rPr>
        <w:t>analizarán</w:t>
      </w:r>
      <w:r w:rsidRPr="00213052">
        <w:rPr>
          <w:rFonts w:ascii="Arial" w:hAnsi="Arial" w:cs="Arial"/>
          <w:color w:val="000000" w:themeColor="text1"/>
          <w:sz w:val="22"/>
          <w:lang w:val="es-ES_tradnl"/>
        </w:rPr>
        <w:t xml:space="preserve"> los siguientes temas: i)</w:t>
      </w:r>
      <w:r>
        <w:rPr>
          <w:rFonts w:ascii="Arial" w:hAnsi="Arial" w:cs="Arial"/>
          <w:bCs/>
          <w:color w:val="000000" w:themeColor="text1"/>
          <w:sz w:val="22"/>
          <w:lang w:val="es-ES_tradnl"/>
        </w:rPr>
        <w:t xml:space="preserve"> fundamento y ámbito de aplicación de los documentos tipo y ii) incidencia del artículo 56 de la Ley 2195 de 2022 en el régimen contractual y la aplicación de los documentos tipo para las entidades exceptuadas del Estatuto General de Contratación de la Administración Pública. </w:t>
      </w:r>
    </w:p>
    <w:p w14:paraId="06024D37" w14:textId="0B1CEE17" w:rsidR="00915830" w:rsidRDefault="00915830" w:rsidP="00815F33">
      <w:pPr>
        <w:spacing w:before="120" w:line="276" w:lineRule="auto"/>
        <w:ind w:firstLine="709"/>
        <w:jc w:val="both"/>
        <w:rPr>
          <w:rFonts w:ascii="Arial" w:hAnsi="Arial" w:cs="Arial"/>
          <w:bCs/>
          <w:color w:val="000000" w:themeColor="text1"/>
          <w:sz w:val="22"/>
          <w:lang w:val="es-CO"/>
        </w:rPr>
      </w:pPr>
      <w:r w:rsidRPr="000A617B">
        <w:rPr>
          <w:rFonts w:ascii="Arial" w:hAnsi="Arial" w:cs="Arial"/>
          <w:color w:val="000000" w:themeColor="text1"/>
          <w:sz w:val="22"/>
          <w:lang w:val="es-CO"/>
        </w:rPr>
        <w:lastRenderedPageBreak/>
        <w:t>La Agencia Nacional de Contratación Pública – Colombia Compra Eficiente</w:t>
      </w:r>
      <w:r>
        <w:rPr>
          <w:rFonts w:ascii="Arial" w:hAnsi="Arial" w:cs="Arial"/>
          <w:color w:val="000000" w:themeColor="text1"/>
          <w:sz w:val="22"/>
          <w:lang w:val="es-CO"/>
        </w:rPr>
        <w:t>,</w:t>
      </w:r>
      <w:r>
        <w:rPr>
          <w:rFonts w:ascii="Arial" w:hAnsi="Arial" w:cs="Arial"/>
          <w:bCs/>
          <w:color w:val="000000" w:themeColor="text1"/>
          <w:sz w:val="22"/>
          <w:lang w:val="es-ES_tradnl"/>
        </w:rPr>
        <w:t xml:space="preserve"> </w:t>
      </w:r>
      <w:r w:rsidRPr="007201D3">
        <w:rPr>
          <w:rFonts w:ascii="Arial" w:hAnsi="Arial" w:cs="Arial"/>
          <w:bCs/>
          <w:color w:val="000000" w:themeColor="text1"/>
          <w:sz w:val="22"/>
          <w:lang w:val="es-ES_tradnl"/>
        </w:rPr>
        <w:t xml:space="preserve">se ha pronunciado sobre el ámbito de aplicación de los documentos tipo en la contratación estatal, entre otros, en los </w:t>
      </w:r>
      <w:r>
        <w:rPr>
          <w:rFonts w:ascii="Arial" w:hAnsi="Arial" w:cs="Arial"/>
          <w:bCs/>
          <w:color w:val="000000" w:themeColor="text1"/>
          <w:sz w:val="22"/>
          <w:lang w:val="es-ES_tradnl"/>
        </w:rPr>
        <w:t>C</w:t>
      </w:r>
      <w:r w:rsidRPr="007201D3">
        <w:rPr>
          <w:rFonts w:ascii="Arial" w:hAnsi="Arial" w:cs="Arial"/>
          <w:bCs/>
          <w:color w:val="000000" w:themeColor="text1"/>
          <w:sz w:val="22"/>
          <w:lang w:val="es-ES_tradnl"/>
        </w:rPr>
        <w:t xml:space="preserve">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y C-744 del 22 de diciembre de 2020. </w:t>
      </w:r>
      <w:r>
        <w:rPr>
          <w:rFonts w:ascii="Arial" w:hAnsi="Arial" w:cs="Arial"/>
          <w:bCs/>
          <w:color w:val="000000" w:themeColor="text1"/>
          <w:sz w:val="22"/>
          <w:lang w:val="es-ES_tradnl"/>
        </w:rPr>
        <w:t>Por lo demás</w:t>
      </w:r>
      <w:r w:rsidRPr="007201D3">
        <w:rPr>
          <w:rFonts w:ascii="Arial" w:hAnsi="Arial" w:cs="Arial"/>
          <w:bCs/>
          <w:color w:val="000000" w:themeColor="text1"/>
          <w:sz w:val="22"/>
          <w:lang w:val="es-ES_tradnl"/>
        </w:rPr>
        <w:t xml:space="preserve">, en </w:t>
      </w:r>
      <w:r>
        <w:rPr>
          <w:rFonts w:ascii="Arial" w:hAnsi="Arial" w:cs="Arial"/>
          <w:bCs/>
          <w:color w:val="000000" w:themeColor="text1"/>
          <w:sz w:val="22"/>
          <w:lang w:val="es-ES_tradnl"/>
        </w:rPr>
        <w:t>los</w:t>
      </w:r>
      <w:r w:rsidRPr="007201D3">
        <w:rPr>
          <w:rFonts w:ascii="Arial" w:hAnsi="Arial" w:cs="Arial"/>
          <w:bCs/>
          <w:color w:val="000000" w:themeColor="text1"/>
          <w:sz w:val="22"/>
          <w:lang w:val="es-ES_tradnl"/>
        </w:rPr>
        <w:t xml:space="preserve"> </w:t>
      </w:r>
      <w:r>
        <w:rPr>
          <w:rFonts w:ascii="Arial" w:hAnsi="Arial" w:cs="Arial"/>
          <w:bCs/>
          <w:color w:val="000000" w:themeColor="text1"/>
          <w:sz w:val="22"/>
          <w:lang w:val="es-ES_tradnl"/>
        </w:rPr>
        <w:t>C</w:t>
      </w:r>
      <w:r w:rsidRPr="007201D3">
        <w:rPr>
          <w:rFonts w:ascii="Arial" w:hAnsi="Arial" w:cs="Arial"/>
          <w:bCs/>
          <w:color w:val="000000" w:themeColor="text1"/>
          <w:sz w:val="22"/>
          <w:lang w:val="es-ES_tradnl"/>
        </w:rPr>
        <w:t>oncepto</w:t>
      </w:r>
      <w:r>
        <w:rPr>
          <w:rFonts w:ascii="Arial" w:hAnsi="Arial" w:cs="Arial"/>
          <w:bCs/>
          <w:color w:val="000000" w:themeColor="text1"/>
          <w:sz w:val="22"/>
          <w:lang w:val="es-ES_tradnl"/>
        </w:rPr>
        <w:t>s</w:t>
      </w:r>
      <w:r w:rsidRPr="007201D3">
        <w:rPr>
          <w:rFonts w:ascii="Arial" w:hAnsi="Arial" w:cs="Arial"/>
          <w:bCs/>
          <w:color w:val="000000" w:themeColor="text1"/>
          <w:sz w:val="22"/>
          <w:lang w:val="es-ES_tradnl"/>
        </w:rPr>
        <w:t xml:space="preserve"> C-066 del 28 de enero de 2022,</w:t>
      </w:r>
      <w:r>
        <w:rPr>
          <w:rFonts w:ascii="Arial" w:hAnsi="Arial" w:cs="Arial"/>
          <w:bCs/>
          <w:color w:val="000000" w:themeColor="text1"/>
          <w:sz w:val="22"/>
          <w:lang w:val="es-ES_tradnl"/>
        </w:rPr>
        <w:t xml:space="preserve"> C-033 del 4 de marzo de 2022, C-082 del 2 de marzo de 2022 y C-065 del 9 de marzo de 2022,</w:t>
      </w:r>
      <w:r w:rsidRPr="007201D3">
        <w:rPr>
          <w:rFonts w:ascii="Arial" w:hAnsi="Arial" w:cs="Arial"/>
          <w:bCs/>
          <w:color w:val="000000" w:themeColor="text1"/>
          <w:sz w:val="22"/>
          <w:lang w:val="es-ES_tradnl"/>
        </w:rPr>
        <w:t xml:space="preserve"> la Agencia se refirió al alcance de lo dispuesto en el artículo 56 de la Ley 2195 de 2022</w:t>
      </w:r>
      <w:r>
        <w:rPr>
          <w:rFonts w:ascii="Arial" w:hAnsi="Arial" w:cs="Arial"/>
          <w:bCs/>
          <w:color w:val="000000" w:themeColor="text1"/>
          <w:sz w:val="22"/>
          <w:lang w:val="es-ES_tradnl"/>
        </w:rPr>
        <w:t xml:space="preserve">. </w:t>
      </w:r>
      <w:r w:rsidRPr="00CB38DD">
        <w:rPr>
          <w:rFonts w:ascii="Arial" w:hAnsi="Arial" w:cs="Arial"/>
          <w:bCs/>
          <w:color w:val="000000" w:themeColor="text1"/>
          <w:sz w:val="22"/>
          <w:lang w:val="es-CO"/>
        </w:rPr>
        <w:t>La tesis desarrollada en estos conceptos se reitera y complementa a continuación</w:t>
      </w:r>
      <w:r w:rsidR="00815F33">
        <w:rPr>
          <w:rFonts w:ascii="Arial" w:hAnsi="Arial" w:cs="Arial"/>
          <w:bCs/>
          <w:color w:val="000000" w:themeColor="text1"/>
          <w:sz w:val="22"/>
          <w:lang w:val="es-CO"/>
        </w:rPr>
        <w:t>.</w:t>
      </w:r>
    </w:p>
    <w:p w14:paraId="1F9B8E6A" w14:textId="77777777" w:rsidR="00815F33" w:rsidRPr="00815F33" w:rsidRDefault="00815F33" w:rsidP="00815F33">
      <w:pPr>
        <w:spacing w:before="120" w:line="276" w:lineRule="auto"/>
        <w:ind w:firstLine="709"/>
        <w:jc w:val="both"/>
        <w:rPr>
          <w:rFonts w:ascii="Arial" w:hAnsi="Arial" w:cs="Arial"/>
          <w:bCs/>
          <w:color w:val="000000" w:themeColor="text1"/>
          <w:sz w:val="22"/>
          <w:lang w:val="es-ES_tradnl"/>
        </w:rPr>
      </w:pPr>
    </w:p>
    <w:p w14:paraId="2158DCF9" w14:textId="0FB27F05" w:rsidR="00915830" w:rsidRPr="00E858D2" w:rsidRDefault="00915830" w:rsidP="00915830">
      <w:pPr>
        <w:spacing w:line="276" w:lineRule="auto"/>
        <w:jc w:val="both"/>
        <w:rPr>
          <w:rFonts w:ascii="Arial" w:eastAsia="Arial" w:hAnsi="Arial" w:cs="Arial"/>
          <w:b/>
          <w:bCs/>
          <w:sz w:val="22"/>
          <w:lang w:val="es-ES_tradnl"/>
        </w:rPr>
      </w:pPr>
      <w:r w:rsidRPr="00E858D2">
        <w:rPr>
          <w:rFonts w:ascii="Arial" w:eastAsia="Arial" w:hAnsi="Arial" w:cs="Arial"/>
          <w:b/>
          <w:bCs/>
          <w:sz w:val="22"/>
          <w:lang w:val="es-ES_tradnl"/>
        </w:rPr>
        <w:t>2.</w:t>
      </w:r>
      <w:r w:rsidR="001F4246">
        <w:rPr>
          <w:rFonts w:ascii="Arial" w:eastAsia="Arial" w:hAnsi="Arial" w:cs="Arial"/>
          <w:b/>
          <w:bCs/>
          <w:sz w:val="22"/>
          <w:lang w:val="es-ES_tradnl"/>
        </w:rPr>
        <w:t>1</w:t>
      </w:r>
      <w:r w:rsidRPr="00E858D2">
        <w:rPr>
          <w:rFonts w:ascii="Arial" w:eastAsia="Arial" w:hAnsi="Arial" w:cs="Arial"/>
          <w:b/>
          <w:bCs/>
          <w:sz w:val="22"/>
          <w:lang w:val="es-ES_tradnl"/>
        </w:rPr>
        <w:t xml:space="preserve">. Fundamento normativo y ámbito de aplicación de los documentos tipo </w:t>
      </w:r>
    </w:p>
    <w:p w14:paraId="6921F374" w14:textId="77777777" w:rsidR="00915830" w:rsidRPr="00E858D2" w:rsidRDefault="00915830" w:rsidP="00915830">
      <w:pPr>
        <w:spacing w:line="276" w:lineRule="auto"/>
        <w:jc w:val="both"/>
        <w:rPr>
          <w:rFonts w:ascii="Arial" w:eastAsia="Arial" w:hAnsi="Arial" w:cs="Arial"/>
          <w:b/>
          <w:bCs/>
          <w:sz w:val="22"/>
          <w:lang w:val="es-ES_tradnl"/>
        </w:rPr>
      </w:pPr>
    </w:p>
    <w:p w14:paraId="56858F6B" w14:textId="77777777" w:rsidR="00915830" w:rsidRPr="00E858D2" w:rsidRDefault="00915830" w:rsidP="00915830">
      <w:pPr>
        <w:spacing w:after="120" w:line="276" w:lineRule="auto"/>
        <w:jc w:val="both"/>
        <w:rPr>
          <w:rFonts w:ascii="Arial" w:eastAsia="Calibri" w:hAnsi="Arial" w:cs="Arial"/>
          <w:sz w:val="22"/>
          <w:lang w:val="es-ES_tradnl"/>
        </w:rPr>
      </w:pPr>
      <w:r w:rsidRPr="00E858D2">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E858D2">
        <w:rPr>
          <w:rStyle w:val="Refdenotaalpie"/>
          <w:rFonts w:ascii="Arial" w:eastAsia="Calibri" w:hAnsi="Arial" w:cs="Arial"/>
        </w:rPr>
        <w:footnoteReference w:id="1"/>
      </w:r>
      <w:r w:rsidRPr="00E858D2">
        <w:rPr>
          <w:rFonts w:ascii="Arial" w:eastAsia="Calibri" w:hAnsi="Arial" w:cs="Arial"/>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5CDBD363" w14:textId="77777777" w:rsidR="00915830" w:rsidRPr="00E858D2" w:rsidRDefault="00915830" w:rsidP="00915830">
      <w:pPr>
        <w:spacing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 xml:space="preserve">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78495CCC" w14:textId="77777777" w:rsidR="00915830" w:rsidRPr="00E858D2" w:rsidRDefault="00915830" w:rsidP="00915830">
      <w:pPr>
        <w:spacing w:before="120" w:after="120"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El artículo 4 de la Ley 1882 de 2018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Contratación que adelantaran</w:t>
      </w:r>
      <w:r w:rsidRPr="00E858D2">
        <w:rPr>
          <w:rStyle w:val="Refdenotaalpie"/>
          <w:rFonts w:ascii="Arial" w:eastAsia="Calibri" w:hAnsi="Arial" w:cs="Arial"/>
        </w:rPr>
        <w:footnoteReference w:id="2"/>
      </w:r>
      <w:r w:rsidRPr="00E858D2">
        <w:rPr>
          <w:rFonts w:ascii="Arial" w:eastAsia="Calibri" w:hAnsi="Arial" w:cs="Arial"/>
          <w:sz w:val="22"/>
          <w:lang w:val="es-ES_tradnl"/>
        </w:rPr>
        <w:t>.</w:t>
      </w:r>
    </w:p>
    <w:p w14:paraId="3179E42A" w14:textId="77777777" w:rsidR="00915830" w:rsidRPr="00E858D2" w:rsidRDefault="00915830" w:rsidP="00915830">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2C32E205" w14:textId="77777777" w:rsidR="00915830" w:rsidRPr="00E858D2" w:rsidRDefault="00915830" w:rsidP="00915830">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3715AD96" w14:textId="77777777" w:rsidR="00915830" w:rsidRPr="00E858D2" w:rsidRDefault="00915830" w:rsidP="00915830">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0" w:name="_Hlk48665985"/>
      <w:r w:rsidRPr="00E858D2">
        <w:rPr>
          <w:rFonts w:ascii="Arial" w:eastAsia="Calibri" w:hAnsi="Arial" w:cs="Arial"/>
          <w:sz w:val="22"/>
          <w:lang w:val="es-ES_tradnl"/>
        </w:rPr>
        <w:t xml:space="preserve">y los criterios de escogencia, elementos propios del procedimiento de selección del contratista, materia en la que existe reserva de ley y que no se encuentra </w:t>
      </w:r>
      <w:r w:rsidRPr="00E858D2">
        <w:rPr>
          <w:rFonts w:ascii="Arial" w:eastAsia="Calibri" w:hAnsi="Arial" w:cs="Arial"/>
          <w:sz w:val="22"/>
          <w:lang w:val="es-ES_tradnl"/>
        </w:rPr>
        <w:lastRenderedPageBreak/>
        <w:t>atribuida a la regulación de las entidades territoriales</w:t>
      </w:r>
      <w:bookmarkEnd w:id="0"/>
      <w:r w:rsidRPr="00E858D2">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E858D2">
        <w:rPr>
          <w:rStyle w:val="Refdenotaalpie"/>
          <w:rFonts w:ascii="Arial" w:eastAsia="Calibri" w:hAnsi="Arial" w:cs="Arial"/>
        </w:rPr>
        <w:footnoteReference w:id="3"/>
      </w:r>
      <w:r w:rsidRPr="00E858D2">
        <w:rPr>
          <w:rFonts w:ascii="Arial" w:eastAsia="Calibri" w:hAnsi="Arial" w:cs="Arial"/>
          <w:sz w:val="22"/>
          <w:lang w:val="es-ES_tradnl"/>
        </w:rPr>
        <w:t>.</w:t>
      </w:r>
    </w:p>
    <w:p w14:paraId="55B1302D" w14:textId="77777777" w:rsidR="00915830" w:rsidRPr="00E858D2" w:rsidRDefault="00915830" w:rsidP="00915830">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De este modo, los documentos tipo no afectan la autonomía de las entidades territoriales. Lo anterior, debido a que la definición de los requisitos habilitantes y de aspectos técnicos de la escogencia del contratista en los Procesos de Contratación, son aspectos en los que el legislador tiene amplia libertad de configuración normativa y, por tanto, puede atribuir dicha regulación al Gobierno Nacional. Ahora, dicha autonomía se materializa cuando las entidades territoriales deciden iniciar una convocatoria para satisfacer sus necesidades para la adquisición de un bien, obra o servicio, y además se incluyen en la minuta del contrato las condiciones particulares del negocio jurídico a celebrar.</w:t>
      </w:r>
    </w:p>
    <w:p w14:paraId="099222A4" w14:textId="77777777" w:rsidR="00915830" w:rsidRPr="00E858D2" w:rsidRDefault="00915830" w:rsidP="00915830">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de 2019, que permitió el desarrollo de los documentos tipo para los pliegos de condiciones de los procesos de obras públicas de infraestructura de transporte que se adelantaran por la modalidad de selección abreviada de menor cuantía. </w:t>
      </w:r>
    </w:p>
    <w:p w14:paraId="46479D75" w14:textId="77777777" w:rsidR="00915830" w:rsidRPr="00E858D2" w:rsidRDefault="00915830" w:rsidP="00915830">
      <w:pPr>
        <w:spacing w:before="120" w:after="120"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Finalmente, se profirió el Decreto 594 de 2020, frente a los documentos tipo para los contratos de obra pública</w:t>
      </w:r>
      <w:r w:rsidRPr="00E858D2" w:rsidDel="00A434AB">
        <w:rPr>
          <w:rFonts w:ascii="Arial" w:eastAsia="Calibri" w:hAnsi="Arial" w:cs="Arial"/>
          <w:sz w:val="22"/>
          <w:lang w:val="es-ES_tradnl"/>
        </w:rPr>
        <w:t xml:space="preserve"> </w:t>
      </w:r>
      <w:r w:rsidRPr="00E858D2">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1" w:name="_Hlk37841850"/>
      <w:r w:rsidRPr="00E858D2">
        <w:rPr>
          <w:rFonts w:ascii="Arial" w:eastAsia="Calibri" w:hAnsi="Arial" w:cs="Arial"/>
          <w:sz w:val="22"/>
          <w:lang w:val="es-ES_tradnl"/>
        </w:rPr>
        <w:t xml:space="preserve">– Colombia Compra Eficiente, </w:t>
      </w:r>
      <w:bookmarkEnd w:id="1"/>
      <w:r w:rsidRPr="00E858D2">
        <w:rPr>
          <w:rFonts w:ascii="Arial" w:eastAsia="Calibri" w:hAnsi="Arial" w:cs="Arial"/>
          <w:sz w:val="22"/>
          <w:lang w:val="es-ES_tradnl"/>
        </w:rPr>
        <w:t>por medio de la Resolución 1798 de 2019 –derogada por la Resolución 045 de 2020–, la Resolución 044 de 2020 y la Resolución 094 de 2020.</w:t>
      </w:r>
    </w:p>
    <w:p w14:paraId="44706DF7" w14:textId="77777777" w:rsidR="00915830" w:rsidRPr="00E858D2" w:rsidRDefault="00915830" w:rsidP="00915830">
      <w:pPr>
        <w:pStyle w:val="Normal11pt"/>
        <w:spacing w:before="120" w:line="276" w:lineRule="auto"/>
        <w:ind w:left="0" w:firstLine="709"/>
        <w:rPr>
          <w:rFonts w:eastAsia="Calibri"/>
          <w:color w:val="auto"/>
        </w:rPr>
      </w:pPr>
      <w:r w:rsidRPr="00E858D2">
        <w:rPr>
          <w:rFonts w:eastAsia="Calibri"/>
          <w:color w:val="auto"/>
        </w:rPr>
        <w:t xml:space="preserve">Con posterioridad a la adopción de los anteriores documentos tipo, se expidió la Ley 2022 de 2020, norma que modificó el parágrafo 7 del artículo 2 de la Ley 1150 de 2007, </w:t>
      </w:r>
      <w:r w:rsidRPr="00E858D2">
        <w:rPr>
          <w:rFonts w:eastAsia="Calibri"/>
          <w:color w:val="auto"/>
        </w:rPr>
        <w:lastRenderedPageBreak/>
        <w:t>que había sido adicionado por la Ley 1882 de 2018</w:t>
      </w:r>
      <w:r w:rsidRPr="00E858D2">
        <w:rPr>
          <w:rStyle w:val="Refdenotaalpie"/>
          <w:rFonts w:eastAsia="Calibri"/>
        </w:rPr>
        <w:footnoteReference w:id="4"/>
      </w:r>
      <w:r w:rsidRPr="00E858D2">
        <w:rPr>
          <w:rFonts w:eastAsia="Calibri"/>
          <w:color w:val="auto"/>
        </w:rPr>
        <w:t xml:space="preserve">. Con esta modificación, si bien se mantuvo el mandato de aplicación obligatoria de los documentos tipo por parte de las entidades sometidas al Estatuto General de Contratación de la Administración Pública, se atribuyó, específicamente, a la </w:t>
      </w:r>
      <w:r w:rsidRPr="00E858D2">
        <w:rPr>
          <w:rFonts w:eastAsia="Calibri"/>
          <w:color w:val="auto"/>
          <w:lang w:eastAsia="en-US"/>
        </w:rPr>
        <w:t xml:space="preserve">Agencia Nacional de Contratación Pública – Colombia Compra Eficiente la competencia para su adopción. </w:t>
      </w:r>
      <w:r w:rsidRPr="00E858D2">
        <w:rPr>
          <w:rFonts w:eastAsia="Calibri"/>
          <w:color w:val="auto"/>
        </w:rPr>
        <w:t xml:space="preserve">En este marco, con la finalidad de realizar un desarrollo armónico y ajustado a la ley que otorgó esta competencia, esta 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p>
    <w:p w14:paraId="5EC1B4F4" w14:textId="77777777" w:rsidR="00D05947" w:rsidRDefault="00915830" w:rsidP="00915830">
      <w:pPr>
        <w:pStyle w:val="Normal11pt"/>
        <w:spacing w:before="120" w:line="276" w:lineRule="auto"/>
        <w:ind w:left="0" w:firstLine="709"/>
        <w:rPr>
          <w:rFonts w:eastAsia="Calibri"/>
          <w:color w:val="auto"/>
        </w:rPr>
      </w:pPr>
      <w:r w:rsidRPr="00E858D2">
        <w:rPr>
          <w:rFonts w:eastAsia="Calibri"/>
          <w:color w:val="auto"/>
        </w:rPr>
        <w:t xml:space="preserve">De igual manera, se expidió la Resolución 241 de 2020, «Por la cual se actualizan los Documentos Tipo para los procesos de selección abreviada de menor cuantía de obra pública de infraestructura de transporte y se deroga la Resolución 0044 de 2020». Adicionalmente, </w:t>
      </w:r>
      <w:r w:rsidR="00D05947" w:rsidRPr="00E858D2">
        <w:rPr>
          <w:rFonts w:eastAsia="Calibri"/>
          <w:color w:val="auto"/>
        </w:rPr>
        <w:t>entró en vigor</w:t>
      </w:r>
      <w:r w:rsidRPr="00E858D2">
        <w:rPr>
          <w:rFonts w:eastAsia="Calibri"/>
          <w:color w:val="auto"/>
        </w:rPr>
        <w:t xml:space="preserve"> la Resolución 256 de 2020, «Por la cual se adoptan los documentos tipo para los procesos de selección de concursos de méritos, para contratar la interventoría de obras públicas de infraestructura de transporte». </w:t>
      </w:r>
    </w:p>
    <w:p w14:paraId="28377C1E" w14:textId="4E0374E5" w:rsidR="00915830" w:rsidRPr="00E858D2" w:rsidRDefault="00815F33" w:rsidP="00915830">
      <w:pPr>
        <w:pStyle w:val="Normal11pt"/>
        <w:spacing w:before="120" w:line="276" w:lineRule="auto"/>
        <w:ind w:left="0" w:firstLine="709"/>
        <w:rPr>
          <w:rFonts w:eastAsia="Calibri"/>
          <w:color w:val="auto"/>
        </w:rPr>
      </w:pPr>
      <w:r w:rsidRPr="00E858D2">
        <w:rPr>
          <w:rFonts w:eastAsia="Calibri"/>
          <w:color w:val="auto"/>
        </w:rPr>
        <w:lastRenderedPageBreak/>
        <w:t>De igual manera, se expidió la Resolución 241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73A14723" w14:textId="77777777" w:rsidR="00915830" w:rsidRPr="00E858D2" w:rsidRDefault="00915830" w:rsidP="00915830">
      <w:pPr>
        <w:pStyle w:val="Normal11pt"/>
        <w:spacing w:before="120" w:line="276" w:lineRule="auto"/>
        <w:ind w:left="0" w:firstLine="709"/>
        <w:rPr>
          <w:color w:val="auto"/>
        </w:rPr>
      </w:pPr>
      <w:r w:rsidRPr="00E858D2">
        <w:rPr>
          <w:rFonts w:eastAsia="Calibri"/>
          <w:color w:val="auto"/>
        </w:rPr>
        <w:t xml:space="preserve">A los actos administrativos mencionados se suman: i) la Resolución 193 de 2021, </w:t>
      </w:r>
      <w:r w:rsidRPr="00E858D2">
        <w:rPr>
          <w:color w:val="auto"/>
        </w:rPr>
        <w:t>«Por la cual se adoptan los documentos tipo para los procesos de selección de concurso de méritos, para contratar la consultoría de estudios de ingeniería de infraestructura de transporte»,</w:t>
      </w:r>
      <w:r w:rsidRPr="00E858D2">
        <w:rPr>
          <w:rFonts w:eastAsia="Calibri"/>
          <w:color w:val="auto"/>
        </w:rPr>
        <w:t xml:space="preserve"> ii) la Resolución 219 de 2020,</w:t>
      </w:r>
      <w:r w:rsidRPr="00E858D2">
        <w:rPr>
          <w:color w:val="auto"/>
        </w:rPr>
        <w:t xml:space="preserve"> «Por la cual se adoptan los documentos tipo para los procesos de licitación de obra pública de infraestructura social», iii) la Resolución 220 de 2021, «Por la cual se adoptan los documentos tipo complementarios para los procesos de licitación de obra pública de infraestructura social relacionados con el sector educativo», iv) la Resolución 392 de 2021, «Por la cual se adoptan los documentos tipo complementarios para los procesos de licitación de obra pública de infraestructura social relacionados con el sector salud», y v) la Resolución 454 de 2021, «Por la cual se adoptan los documentos tipo complementarios para los procesos de licitación de obra pública de infraestructura social relacionados con el sector cultura, recreación y deporte». </w:t>
      </w:r>
    </w:p>
    <w:p w14:paraId="0D330B6B" w14:textId="77777777" w:rsidR="00915830" w:rsidRPr="00E858D2" w:rsidRDefault="00915830" w:rsidP="00915830">
      <w:pPr>
        <w:pStyle w:val="Normal11pt"/>
        <w:spacing w:before="120" w:after="120" w:line="276" w:lineRule="auto"/>
        <w:ind w:left="0" w:firstLine="709"/>
        <w:rPr>
          <w:color w:val="auto"/>
        </w:rPr>
      </w:pPr>
      <w:r w:rsidRPr="00E858D2">
        <w:rPr>
          <w:color w:val="auto"/>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7A49CB87" w14:textId="77777777" w:rsidR="00915830" w:rsidRPr="00E858D2" w:rsidRDefault="00915830" w:rsidP="00915830">
      <w:pPr>
        <w:spacing w:line="276" w:lineRule="auto"/>
        <w:ind w:firstLine="708"/>
        <w:jc w:val="both"/>
        <w:rPr>
          <w:rFonts w:ascii="Arial" w:hAnsi="Arial" w:cs="Arial"/>
          <w:sz w:val="22"/>
          <w:shd w:val="clear" w:color="auto" w:fill="FFFFFF"/>
          <w:lang w:val="es-ES_tradnl"/>
        </w:rPr>
      </w:pPr>
      <w:r w:rsidRPr="00E858D2">
        <w:rPr>
          <w:rFonts w:ascii="Arial" w:hAnsi="Arial" w:cs="Arial"/>
          <w:sz w:val="22"/>
          <w:shd w:val="clear" w:color="auto" w:fill="FFFFFF"/>
          <w:lang w:val="es-ES_tradnl"/>
        </w:rPr>
        <w:t xml:space="preserve">Es importante advertir que todas las resoluciones mediante las que se han adoptado documentos tipo consagran la regla de la inalterabilidad. Esta prohibición consiste en que las entidades estatales no pueden incluir o modificar en los </w:t>
      </w:r>
      <w:r w:rsidRPr="00E858D2">
        <w:rPr>
          <w:rFonts w:ascii="Arial" w:hAnsi="Arial" w:cs="Arial"/>
          <w:i/>
          <w:iCs/>
          <w:sz w:val="22"/>
          <w:shd w:val="clear" w:color="auto" w:fill="FFFFFF"/>
          <w:lang w:val="es-ES_tradnl"/>
        </w:rPr>
        <w:t>Documentos del Proceso</w:t>
      </w:r>
      <w:r w:rsidRPr="00E858D2">
        <w:rPr>
          <w:rFonts w:ascii="Arial" w:hAnsi="Arial" w:cs="Arial"/>
          <w:sz w:val="22"/>
          <w:shd w:val="clear" w:color="auto" w:fill="FFFFFF"/>
          <w:lang w:val="es-ES_tradnl"/>
        </w:rPr>
        <w:t xml:space="preserve"> los requisitos habilitantes, los factores técnicos y económicos de escogencia y los sistemas de </w:t>
      </w:r>
      <w:r w:rsidRPr="00E858D2">
        <w:rPr>
          <w:rFonts w:ascii="Arial" w:hAnsi="Arial" w:cs="Arial"/>
          <w:sz w:val="22"/>
          <w:shd w:val="clear" w:color="auto" w:fill="FFFFFF"/>
          <w:lang w:val="es-ES_tradnl"/>
        </w:rPr>
        <w:lastRenderedPageBreak/>
        <w:t>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C11FB11" w14:textId="77777777" w:rsidR="00915830" w:rsidRPr="00E858D2" w:rsidRDefault="00915830" w:rsidP="00915830">
      <w:pPr>
        <w:pStyle w:val="Normal11pt"/>
        <w:spacing w:before="120" w:line="276" w:lineRule="auto"/>
        <w:ind w:left="0" w:firstLine="709"/>
        <w:rPr>
          <w:rFonts w:eastAsia="Calibri"/>
          <w:color w:val="auto"/>
          <w:lang w:eastAsia="en-US"/>
        </w:rPr>
      </w:pPr>
      <w:r w:rsidRPr="00E858D2">
        <w:rPr>
          <w:rFonts w:eastAsia="Calibri"/>
          <w:color w:val="auto"/>
        </w:rPr>
        <w:t>Por último, cabe aclarar que la Agencia Nacional de Contratación Pública sigue avanzando en nuevos documentos tipo. Sin embargo, debe tenerse en cuenta que estos exigen un minucioso desarrollo en el cual se consideran las observaciones de las entidades técnicas y especializadas con la finalidad de adoptar documentos tipo que contengan las mejores prácticas contractuales que procuren el adecuado desarrollo de los principios que rigen la contratación pública.</w:t>
      </w:r>
    </w:p>
    <w:p w14:paraId="58D9B349" w14:textId="77777777" w:rsidR="00915830" w:rsidRDefault="00915830" w:rsidP="00915830">
      <w:pPr>
        <w:spacing w:line="276" w:lineRule="auto"/>
        <w:jc w:val="both"/>
        <w:rPr>
          <w:rFonts w:ascii="Arial" w:eastAsia="Calibri" w:hAnsi="Arial" w:cs="Arial"/>
          <w:color w:val="000000" w:themeColor="text1"/>
          <w:sz w:val="22"/>
        </w:rPr>
      </w:pPr>
    </w:p>
    <w:p w14:paraId="32BFD7F4" w14:textId="4C3FF289" w:rsidR="00915830" w:rsidRPr="00E858D2" w:rsidRDefault="00915830" w:rsidP="00915830">
      <w:pPr>
        <w:tabs>
          <w:tab w:val="left" w:pos="0"/>
        </w:tabs>
        <w:spacing w:line="276" w:lineRule="auto"/>
        <w:jc w:val="both"/>
        <w:rPr>
          <w:rFonts w:ascii="Arial" w:eastAsia="Calibri" w:hAnsi="Arial" w:cs="Arial"/>
          <w:b/>
          <w:sz w:val="22"/>
          <w:lang w:val="es-ES_tradnl"/>
        </w:rPr>
      </w:pPr>
      <w:r w:rsidRPr="00E858D2">
        <w:rPr>
          <w:rFonts w:ascii="Arial" w:eastAsia="Calibri" w:hAnsi="Arial" w:cs="Arial"/>
          <w:b/>
          <w:sz w:val="22"/>
          <w:lang w:val="es-ES_tradnl"/>
        </w:rPr>
        <w:t>2.</w:t>
      </w:r>
      <w:r w:rsidR="001F4246">
        <w:rPr>
          <w:rFonts w:ascii="Arial" w:eastAsia="Calibri" w:hAnsi="Arial" w:cs="Arial"/>
          <w:b/>
          <w:sz w:val="22"/>
          <w:lang w:val="es-ES_tradnl"/>
        </w:rPr>
        <w:t>2</w:t>
      </w:r>
      <w:r w:rsidRPr="00E858D2">
        <w:rPr>
          <w:rFonts w:ascii="Arial" w:eastAsia="Calibri" w:hAnsi="Arial" w:cs="Arial"/>
          <w:b/>
          <w:sz w:val="22"/>
          <w:lang w:val="es-ES_tradnl"/>
        </w:rPr>
        <w:t xml:space="preserve">. </w:t>
      </w:r>
      <w:bookmarkStart w:id="2" w:name="_Hlk95322387"/>
      <w:r w:rsidRPr="00E858D2">
        <w:rPr>
          <w:rFonts w:ascii="Arial" w:eastAsia="Calibri" w:hAnsi="Arial" w:cs="Arial"/>
          <w:b/>
          <w:sz w:val="22"/>
          <w:lang w:val="es-ES_tradnl"/>
        </w:rPr>
        <w:t xml:space="preserve">Análisis del artículo 56 de la Ley 2195 de 2022. Aplicación obligatoria del Estatuto General de Contratación de la Administración Pública y de los documentos tipo en la contratación de las entidades estatales exceptuadas y de los particulares </w:t>
      </w:r>
    </w:p>
    <w:bookmarkEnd w:id="2"/>
    <w:p w14:paraId="04CC7CB8" w14:textId="77777777" w:rsidR="00915830" w:rsidRPr="00E858D2" w:rsidRDefault="00915830" w:rsidP="00915830">
      <w:pPr>
        <w:tabs>
          <w:tab w:val="left" w:pos="0"/>
        </w:tabs>
        <w:spacing w:line="276" w:lineRule="auto"/>
        <w:jc w:val="both"/>
        <w:rPr>
          <w:rFonts w:ascii="Arial" w:eastAsia="Calibri" w:hAnsi="Arial" w:cs="Arial"/>
          <w:b/>
          <w:sz w:val="22"/>
          <w:lang w:val="es-ES_tradnl"/>
        </w:rPr>
      </w:pPr>
    </w:p>
    <w:p w14:paraId="33D9407D" w14:textId="68B44F0F" w:rsidR="00915830" w:rsidRPr="00E858D2" w:rsidRDefault="00815F33"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Conforme se explicó en el acápite anterior,</w:t>
      </w:r>
      <w:r w:rsidR="00915830" w:rsidRPr="00E858D2">
        <w:rPr>
          <w:rFonts w:ascii="Arial" w:eastAsia="Calibri" w:hAnsi="Arial" w:cs="Arial"/>
          <w:bCs/>
          <w:sz w:val="22"/>
          <w:lang w:val="es-ES_tradnl"/>
        </w:rPr>
        <w:t xml:space="preserve"> 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w:t>
      </w:r>
      <w:r w:rsidR="00915830">
        <w:rPr>
          <w:rFonts w:ascii="Arial" w:eastAsia="Calibri" w:hAnsi="Arial" w:cs="Arial"/>
          <w:bCs/>
          <w:sz w:val="22"/>
          <w:lang w:val="es-ES_tradnl"/>
        </w:rPr>
        <w:t>,</w:t>
      </w:r>
      <w:r w:rsidR="00915830" w:rsidRPr="00E858D2">
        <w:rPr>
          <w:rFonts w:ascii="Arial" w:eastAsia="Calibri" w:hAnsi="Arial" w:cs="Arial"/>
          <w:bCs/>
          <w:sz w:val="22"/>
          <w:lang w:val="es-ES_tradnl"/>
        </w:rPr>
        <w:t xml:space="preserve"> excluía del ámbito de aplicación de los documentos tipo la contratación de entidades estatales de régimen exceptuado, por lo general, sujetas al derecho </w:t>
      </w:r>
      <w:r w:rsidR="00915830">
        <w:rPr>
          <w:rFonts w:ascii="Arial" w:eastAsia="Calibri" w:hAnsi="Arial" w:cs="Arial"/>
          <w:bCs/>
          <w:sz w:val="22"/>
          <w:lang w:val="es-ES_tradnl"/>
        </w:rPr>
        <w:t>civil y comercial</w:t>
      </w:r>
      <w:r w:rsidR="00915830" w:rsidRPr="00E858D2">
        <w:rPr>
          <w:rFonts w:ascii="Arial" w:eastAsia="Calibri" w:hAnsi="Arial" w:cs="Arial"/>
          <w:bCs/>
          <w:sz w:val="22"/>
          <w:lang w:val="es-ES_tradnl"/>
        </w:rPr>
        <w:t xml:space="preserve">. </w:t>
      </w:r>
    </w:p>
    <w:p w14:paraId="308BC43E"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
          <w:sz w:val="22"/>
          <w:lang w:val="es-ES_tradnl"/>
        </w:rPr>
        <w:tab/>
      </w:r>
      <w:r w:rsidRPr="00E858D2">
        <w:rPr>
          <w:rFonts w:ascii="Arial" w:eastAsia="Calibri" w:hAnsi="Arial" w:cs="Arial"/>
          <w:bCs/>
          <w:sz w:val="22"/>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7CF44747"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Entre las medidas adoptadas por la Ley mencionada se destaca el artículo 56</w:t>
      </w:r>
      <w:r>
        <w:rPr>
          <w:rFonts w:ascii="Arial" w:eastAsia="Calibri" w:hAnsi="Arial" w:cs="Arial"/>
          <w:bCs/>
          <w:sz w:val="22"/>
          <w:lang w:val="es-ES_tradnl"/>
        </w:rPr>
        <w:t>,</w:t>
      </w:r>
      <w:r w:rsidRPr="00E858D2">
        <w:rPr>
          <w:rFonts w:ascii="Arial" w:eastAsia="Calibri" w:hAnsi="Arial" w:cs="Arial"/>
          <w:bCs/>
          <w:sz w:val="22"/>
          <w:lang w:val="es-ES_tradnl"/>
        </w:rPr>
        <w:t xml:space="preserve"> disposición </w:t>
      </w:r>
      <w:r>
        <w:rPr>
          <w:rFonts w:ascii="Arial" w:eastAsia="Calibri" w:hAnsi="Arial" w:cs="Arial"/>
          <w:bCs/>
          <w:sz w:val="22"/>
          <w:lang w:val="es-ES_tradnl"/>
        </w:rPr>
        <w:t xml:space="preserve">que </w:t>
      </w:r>
      <w:r w:rsidRPr="00E858D2">
        <w:rPr>
          <w:rFonts w:ascii="Arial" w:eastAsia="Calibri" w:hAnsi="Arial" w:cs="Arial"/>
          <w:bCs/>
          <w:sz w:val="22"/>
          <w:lang w:val="es-ES_tradnl"/>
        </w:rPr>
        <w:t xml:space="preserve">se refiere de manera expresa a los documentos tipo y a su aplicabilidad a sujetos diferentes de las entidades estatales sometidas al Estatuto General de Contratación de la Administración Pública. El tenor literal de este precepto </w:t>
      </w:r>
      <w:r>
        <w:rPr>
          <w:rFonts w:ascii="Arial" w:eastAsia="Calibri" w:hAnsi="Arial" w:cs="Arial"/>
          <w:bCs/>
          <w:sz w:val="22"/>
          <w:lang w:val="es-ES_tradnl"/>
        </w:rPr>
        <w:t>dispone</w:t>
      </w:r>
      <w:r w:rsidRPr="00E858D2">
        <w:rPr>
          <w:rFonts w:ascii="Arial" w:eastAsia="Calibri" w:hAnsi="Arial" w:cs="Arial"/>
          <w:bCs/>
          <w:sz w:val="22"/>
          <w:lang w:val="es-ES_tradnl"/>
        </w:rPr>
        <w:t xml:space="preserve"> lo siguiente:</w:t>
      </w:r>
    </w:p>
    <w:p w14:paraId="425F56F2"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5E9747F8" w14:textId="77777777" w:rsidR="00915830" w:rsidRPr="00E858D2" w:rsidRDefault="00915830" w:rsidP="00915830">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 xml:space="preserve">Artículo 56. Aplicación de los documentos tipo a entidades de régimen especial. Para la adquisición de bienes, obras o servicios, las entidades estatales </w:t>
      </w:r>
      <w:r w:rsidRPr="00E858D2">
        <w:rPr>
          <w:rFonts w:ascii="Arial" w:hAnsi="Arial" w:cs="Arial"/>
          <w:sz w:val="21"/>
          <w:szCs w:val="21"/>
          <w:lang w:val="es-ES_tradnl"/>
        </w:rPr>
        <w:lastRenderedPageBreak/>
        <w:t xml:space="preserve">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6CB0EEED" w14:textId="77777777" w:rsidR="00915830" w:rsidRPr="00E858D2" w:rsidRDefault="00915830" w:rsidP="00915830">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5ACAE146" w14:textId="6849EA2F" w:rsidR="00915830" w:rsidRPr="00E858D2" w:rsidRDefault="00915830" w:rsidP="00915830">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FC3C59">
        <w:rPr>
          <w:rFonts w:ascii="Arial" w:hAnsi="Arial" w:cs="Arial"/>
          <w:sz w:val="21"/>
          <w:szCs w:val="21"/>
          <w:lang w:val="es-ES_tradnl"/>
        </w:rPr>
        <w:t>giro ordinario</w:t>
      </w:r>
      <w:r w:rsidRPr="004E48D9">
        <w:rPr>
          <w:rFonts w:ascii="Arial" w:hAnsi="Arial" w:cs="Arial"/>
          <w:sz w:val="21"/>
          <w:szCs w:val="21"/>
          <w:lang w:val="es-ES_tradnl"/>
        </w:rPr>
        <w:t xml:space="preserve">. </w:t>
      </w:r>
      <w:r w:rsidRPr="00E858D2">
        <w:rPr>
          <w:rFonts w:ascii="Arial" w:hAnsi="Arial" w:cs="Arial"/>
          <w:sz w:val="21"/>
          <w:szCs w:val="21"/>
          <w:lang w:val="es-ES_tradnl"/>
        </w:rPr>
        <w:t>En estos casos, en los manuales de contratación de estas entidades, se fomentará como buena práctica la aplicación de los pliegos tipo.</w:t>
      </w:r>
    </w:p>
    <w:p w14:paraId="343118EA"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5A95A4B8" w14:textId="68B5896A"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r w:rsidR="00E942F2" w:rsidRPr="00E858D2">
        <w:rPr>
          <w:rFonts w:ascii="Arial" w:eastAsia="Calibri" w:hAnsi="Arial" w:cs="Arial"/>
          <w:bCs/>
          <w:sz w:val="22"/>
          <w:lang w:val="es-ES_tradnl"/>
        </w:rPr>
        <w:t>Las implicaciones de lo establecido en esta norma son variadas y se presentan en múltiples ámbitos de la actividad contractual de las entidades estatales, que como consecuencia de la entrada en vigor de la disposición en cita, ven alterado 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w:t>
      </w:r>
      <w:r w:rsidRPr="00E858D2">
        <w:rPr>
          <w:rFonts w:ascii="Arial" w:eastAsia="Calibri" w:hAnsi="Arial" w:cs="Arial"/>
          <w:bCs/>
          <w:sz w:val="22"/>
          <w:lang w:val="es-ES_tradnl"/>
        </w:rPr>
        <w:t xml:space="preserve">    </w:t>
      </w:r>
    </w:p>
    <w:p w14:paraId="39DD0D45" w14:textId="77777777" w:rsidR="00915830" w:rsidRPr="00E858D2" w:rsidRDefault="00915830" w:rsidP="00915830">
      <w:pPr>
        <w:tabs>
          <w:tab w:val="left" w:pos="0"/>
        </w:tabs>
        <w:spacing w:line="276" w:lineRule="auto"/>
        <w:jc w:val="both"/>
        <w:rPr>
          <w:rFonts w:ascii="Arial" w:eastAsia="Calibri" w:hAnsi="Arial" w:cs="Arial"/>
          <w:b/>
          <w:sz w:val="22"/>
          <w:lang w:val="es-ES_tradnl"/>
        </w:rPr>
      </w:pPr>
    </w:p>
    <w:p w14:paraId="7052F584" w14:textId="77777777" w:rsidR="00915830" w:rsidRDefault="00915830" w:rsidP="00FC3C59">
      <w:pPr>
        <w:tabs>
          <w:tab w:val="left" w:pos="426"/>
        </w:tabs>
        <w:spacing w:line="276" w:lineRule="auto"/>
        <w:jc w:val="both"/>
        <w:rPr>
          <w:rFonts w:ascii="Arial" w:eastAsia="Calibri" w:hAnsi="Arial" w:cs="Arial"/>
          <w:b/>
          <w:sz w:val="22"/>
          <w:lang w:val="es-ES_tradnl"/>
        </w:rPr>
      </w:pPr>
      <w:r w:rsidRPr="00E858D2">
        <w:rPr>
          <w:rFonts w:ascii="Arial" w:eastAsia="Calibri" w:hAnsi="Arial" w:cs="Arial"/>
          <w:b/>
          <w:i/>
          <w:iCs/>
          <w:sz w:val="22"/>
          <w:lang w:val="es-ES_tradnl"/>
        </w:rPr>
        <w:t xml:space="preserve">2.2.1. </w:t>
      </w:r>
      <w:r w:rsidRPr="00E858D2">
        <w:rPr>
          <w:rFonts w:ascii="Arial" w:eastAsia="Calibri" w:hAnsi="Arial" w:cs="Arial"/>
          <w:b/>
          <w:sz w:val="22"/>
          <w:lang w:val="es-ES_tradnl"/>
        </w:rPr>
        <w:t>Ámbito de aplicación y finalidad de la norma</w:t>
      </w:r>
    </w:p>
    <w:p w14:paraId="39A1C6E9" w14:textId="77777777" w:rsidR="00915830" w:rsidRPr="00F0096D" w:rsidRDefault="00915830" w:rsidP="00915830">
      <w:pPr>
        <w:tabs>
          <w:tab w:val="left" w:pos="426"/>
        </w:tabs>
        <w:spacing w:line="276" w:lineRule="auto"/>
        <w:ind w:left="709"/>
        <w:jc w:val="both"/>
        <w:rPr>
          <w:rFonts w:ascii="Arial" w:eastAsia="Calibri" w:hAnsi="Arial" w:cs="Arial"/>
          <w:bCs/>
          <w:sz w:val="22"/>
          <w:lang w:val="es-ES_tradnl"/>
        </w:rPr>
      </w:pPr>
    </w:p>
    <w:p w14:paraId="0E589929"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Como se desprende de la parte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77F87C6E"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w:t>
      </w:r>
      <w:r w:rsidRPr="00E858D2">
        <w:rPr>
          <w:rFonts w:ascii="Arial" w:eastAsia="Calibri" w:hAnsi="Arial" w:cs="Arial"/>
          <w:bCs/>
          <w:sz w:val="22"/>
          <w:lang w:val="es-ES_tradnl"/>
        </w:rPr>
        <w:lastRenderedPageBreak/>
        <w:t xml:space="preserve">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12CA6D31" w14:textId="2DC39A00"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Antes de la expedición del artículo 56 </w:t>
      </w:r>
      <w:r w:rsidRPr="00E858D2">
        <w:rPr>
          <w:rFonts w:ascii="Arial" w:eastAsia="Calibri" w:hAnsi="Arial" w:cs="Arial"/>
          <w:bCs/>
          <w:i/>
          <w:iCs/>
          <w:sz w:val="22"/>
          <w:lang w:val="es-ES_tradnl"/>
        </w:rPr>
        <w:t>ibídem</w:t>
      </w:r>
      <w:r w:rsidR="00E942F2">
        <w:rPr>
          <w:rFonts w:ascii="Arial" w:eastAsia="Calibri" w:hAnsi="Arial" w:cs="Arial"/>
          <w:bCs/>
          <w:i/>
          <w:iCs/>
          <w:sz w:val="22"/>
          <w:lang w:val="es-ES_tradnl"/>
        </w:rPr>
        <w:t>,</w:t>
      </w:r>
      <w:r w:rsidRPr="00E858D2">
        <w:rPr>
          <w:rFonts w:ascii="Arial" w:eastAsia="Calibri" w:hAnsi="Arial" w:cs="Arial"/>
          <w:bCs/>
          <w:sz w:val="22"/>
          <w:lang w:val="es-ES_tradnl"/>
        </w:rPr>
        <w:t xml:space="preserve"> la Ley 2022 de 2020 ya había establecido el mandato de aplicación obligatoria de los documentos tipo, atribuyendo a esta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w:t>
      </w:r>
      <w:r w:rsidR="00E942F2">
        <w:rPr>
          <w:rFonts w:ascii="Arial" w:eastAsia="Calibri" w:hAnsi="Arial" w:cs="Arial"/>
          <w:bCs/>
          <w:sz w:val="22"/>
          <w:lang w:val="es-ES_tradnl"/>
        </w:rPr>
        <w:t>0</w:t>
      </w:r>
      <w:r w:rsidRPr="00E858D2">
        <w:rPr>
          <w:rFonts w:ascii="Arial" w:eastAsia="Calibri" w:hAnsi="Arial" w:cs="Arial"/>
          <w:bCs/>
          <w:sz w:val="22"/>
          <w:lang w:val="es-ES_tradnl"/>
        </w:rPr>
        <w:t xml:space="preserve">, incluso tratándose de obras o servicios para cuya contratación hubieren documentos tipo vigentes, </w:t>
      </w:r>
      <w:r>
        <w:rPr>
          <w:rFonts w:ascii="Arial" w:eastAsia="Calibri" w:hAnsi="Arial" w:cs="Arial"/>
          <w:bCs/>
          <w:sz w:val="22"/>
          <w:lang w:val="es-ES_tradnl"/>
        </w:rPr>
        <w:t>dado</w:t>
      </w:r>
      <w:r w:rsidRPr="00E858D2">
        <w:rPr>
          <w:rFonts w:ascii="Arial" w:eastAsia="Calibri" w:hAnsi="Arial" w:cs="Arial"/>
          <w:bCs/>
          <w:sz w:val="22"/>
          <w:lang w:val="es-ES_tradnl"/>
        </w:rPr>
        <w:t xml:space="preserve"> que la aplicación de estos solo era procedente cuando el régimen de la entidad contratante </w:t>
      </w:r>
      <w:r w:rsidR="00E942F2">
        <w:rPr>
          <w:rFonts w:ascii="Arial" w:eastAsia="Calibri" w:hAnsi="Arial" w:cs="Arial"/>
          <w:bCs/>
          <w:sz w:val="22"/>
          <w:lang w:val="es-ES_tradnl"/>
        </w:rPr>
        <w:t>fuera</w:t>
      </w:r>
      <w:r w:rsidR="00E942F2" w:rsidRPr="00E858D2">
        <w:rPr>
          <w:rFonts w:ascii="Arial" w:eastAsia="Calibri" w:hAnsi="Arial" w:cs="Arial"/>
          <w:bCs/>
          <w:sz w:val="22"/>
          <w:lang w:val="es-ES_tradnl"/>
        </w:rPr>
        <w:t xml:space="preserve"> </w:t>
      </w:r>
      <w:r w:rsidRPr="00E858D2">
        <w:rPr>
          <w:rFonts w:ascii="Arial" w:eastAsia="Calibri" w:hAnsi="Arial" w:cs="Arial"/>
          <w:bCs/>
          <w:sz w:val="22"/>
          <w:lang w:val="es-ES_tradnl"/>
        </w:rPr>
        <w:t xml:space="preserve">el EGCAP, toda vez que el parágrafo 7 del artículo 2 de la Ley 1150 de 2007 solo se refiere a la obligación de aplicar los documentos tipo en los Procesos de Contratación que adelanten las entidades sometidas al EGCAP. </w:t>
      </w:r>
    </w:p>
    <w:p w14:paraId="7ACBB38F"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73B46F14"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w:t>
      </w:r>
      <w:r w:rsidRPr="00E858D2">
        <w:rPr>
          <w:rFonts w:ascii="Arial" w:eastAsia="Calibri" w:hAnsi="Arial" w:cs="Arial"/>
          <w:bCs/>
          <w:sz w:val="22"/>
          <w:lang w:val="es-ES_tradnl"/>
        </w:rPr>
        <w:lastRenderedPageBreak/>
        <w:t xml:space="preserve">dispuesto en el apartado normativo bajo examen, deberán celebrarse mediante documentos tipo.      </w:t>
      </w:r>
    </w:p>
    <w:p w14:paraId="6C165576"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Sin perjuicio de lo anterior, solo es posible comprender los efectos de lo dispuesto en el artículo 56 de la Ley 2195 de 2020 cuando se interpretan en conjunto todos sus componentes. Esto </w:t>
      </w:r>
      <w:r>
        <w:rPr>
          <w:rFonts w:ascii="Arial" w:eastAsia="Calibri" w:hAnsi="Arial" w:cs="Arial"/>
          <w:bCs/>
          <w:sz w:val="22"/>
          <w:lang w:val="es-ES_tradnl"/>
        </w:rPr>
        <w:t>dado</w:t>
      </w:r>
      <w:r w:rsidRPr="00E858D2">
        <w:rPr>
          <w:rFonts w:ascii="Arial" w:eastAsia="Calibri" w:hAnsi="Arial" w:cs="Arial"/>
          <w:bCs/>
          <w:sz w:val="22"/>
          <w:lang w:val="es-ES_tradnl"/>
        </w:rPr>
        <w:t xml:space="preserve"> que, </w:t>
      </w:r>
      <w:r>
        <w:rPr>
          <w:rFonts w:ascii="Arial" w:eastAsia="Calibri" w:hAnsi="Arial" w:cs="Arial"/>
          <w:bCs/>
          <w:sz w:val="22"/>
          <w:lang w:val="es-ES_tradnl"/>
        </w:rPr>
        <w:t>a las ideas precedentes se</w:t>
      </w:r>
      <w:r w:rsidRPr="00E858D2">
        <w:rPr>
          <w:rFonts w:ascii="Arial" w:eastAsia="Calibri" w:hAnsi="Arial" w:cs="Arial"/>
          <w:bCs/>
          <w:sz w:val="22"/>
          <w:lang w:val="es-ES_tradnl"/>
        </w:rPr>
        <w:t xml:space="preserv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2FD9922B" w14:textId="101AF968"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w:t>
      </w:r>
      <w:r w:rsidRPr="00397E5B">
        <w:rPr>
          <w:rFonts w:ascii="Arial" w:eastAsia="Calibri" w:hAnsi="Arial" w:cs="Arial"/>
          <w:bCs/>
          <w:sz w:val="22"/>
          <w:lang w:val="es-ES_tradnl"/>
        </w:rPr>
        <w:t xml:space="preserve">Esto significa que, ya sea una entidad estatal de régimen especial, un patrimonio autónomo o una persona natural o jurídica de derecho privado, en virtud de lo dispuesto en los incisos primero y segundo del artículo 56 </w:t>
      </w:r>
      <w:r w:rsidRPr="00397E5B">
        <w:rPr>
          <w:rFonts w:ascii="Arial" w:eastAsia="Calibri" w:hAnsi="Arial" w:cs="Arial"/>
          <w:bCs/>
          <w:i/>
          <w:iCs/>
          <w:sz w:val="22"/>
          <w:lang w:val="es-ES_tradnl"/>
        </w:rPr>
        <w:t xml:space="preserve">ejusdem, </w:t>
      </w:r>
      <w:r w:rsidRPr="00397E5B">
        <w:rPr>
          <w:rFonts w:ascii="Arial" w:eastAsia="Calibri" w:hAnsi="Arial" w:cs="Arial"/>
          <w:bCs/>
          <w:sz w:val="22"/>
          <w:lang w:val="es-ES_tradnl"/>
        </w:rPr>
        <w:t>si,</w:t>
      </w:r>
      <w:r w:rsidRPr="00397E5B">
        <w:rPr>
          <w:rFonts w:ascii="Arial" w:eastAsia="Calibri" w:hAnsi="Arial" w:cs="Arial"/>
          <w:bCs/>
          <w:i/>
          <w:iCs/>
          <w:sz w:val="22"/>
          <w:lang w:val="es-ES_tradnl"/>
        </w:rPr>
        <w:t xml:space="preserve"> </w:t>
      </w:r>
      <w:r w:rsidRPr="00397E5B">
        <w:rPr>
          <w:rFonts w:ascii="Arial" w:eastAsia="Calibri" w:hAnsi="Arial" w:cs="Arial"/>
          <w:bCs/>
          <w:sz w:val="22"/>
          <w:lang w:val="es-ES_tradnl"/>
        </w:rPr>
        <w:t>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w:t>
      </w:r>
      <w:r w:rsidRPr="00E858D2">
        <w:rPr>
          <w:rFonts w:ascii="Arial" w:eastAsia="Calibri" w:hAnsi="Arial" w:cs="Arial"/>
          <w:bCs/>
          <w:sz w:val="22"/>
          <w:lang w:val="es-ES_tradnl"/>
        </w:rPr>
        <w:t xml:space="preserve"> </w:t>
      </w:r>
    </w:p>
    <w:p w14:paraId="48C950AA" w14:textId="77777777" w:rsidR="00915830"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6E2869D0"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1F704B86" w14:textId="77777777" w:rsidR="00915830" w:rsidRPr="00E858D2" w:rsidRDefault="00915830" w:rsidP="00915830">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w:t>
      </w:r>
      <w:r w:rsidRPr="00E858D2">
        <w:rPr>
          <w:rFonts w:ascii="Arial" w:eastAsia="Calibri" w:hAnsi="Arial" w:cs="Arial"/>
          <w:bCs/>
          <w:sz w:val="21"/>
          <w:szCs w:val="21"/>
          <w:lang w:val="es-ES_tradnl"/>
        </w:rPr>
        <w:lastRenderedPageBreak/>
        <w:t>contratos realizados en dichos negocios jurídicos deben regirse por las normas de contratación pública</w:t>
      </w:r>
      <w:r w:rsidRPr="00E858D2">
        <w:rPr>
          <w:rStyle w:val="Refdenotaalpie"/>
          <w:rFonts w:ascii="Arial" w:eastAsia="Calibri" w:hAnsi="Arial" w:cs="Arial"/>
          <w:sz w:val="21"/>
          <w:szCs w:val="21"/>
        </w:rPr>
        <w:footnoteReference w:id="5"/>
      </w:r>
      <w:r w:rsidRPr="00E858D2">
        <w:rPr>
          <w:rFonts w:ascii="Arial" w:eastAsia="Calibri" w:hAnsi="Arial" w:cs="Arial"/>
          <w:bCs/>
          <w:sz w:val="21"/>
          <w:szCs w:val="21"/>
          <w:lang w:val="es-ES_tradnl"/>
        </w:rPr>
        <w:t xml:space="preserve">. </w:t>
      </w:r>
    </w:p>
    <w:p w14:paraId="320E0A01"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 </w:t>
      </w:r>
    </w:p>
    <w:p w14:paraId="5FA29649"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lo anterior se desprende que el propósito del legislador con la expedición de la norma objeto, como se ha explicado, es que las entidades estatales que tienen como régimen principal 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en el sector en el que se adelanta la contratación.  </w:t>
      </w:r>
    </w:p>
    <w:p w14:paraId="7B6C6B1F"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09568717" w14:textId="75DECCCA"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
          <w:i/>
          <w:iCs/>
          <w:sz w:val="22"/>
          <w:lang w:val="es-ES_tradnl"/>
        </w:rPr>
        <w:t>2.2.2.</w:t>
      </w:r>
      <w:r w:rsidRPr="00E858D2">
        <w:rPr>
          <w:rFonts w:ascii="Arial" w:eastAsia="Calibri" w:hAnsi="Arial" w:cs="Arial"/>
          <w:bCs/>
          <w:sz w:val="22"/>
          <w:lang w:val="es-ES_tradnl"/>
        </w:rPr>
        <w:t xml:space="preserve"> </w:t>
      </w:r>
      <w:r w:rsidRPr="00E858D2">
        <w:rPr>
          <w:rFonts w:ascii="Arial" w:eastAsia="Calibri" w:hAnsi="Arial" w:cs="Arial"/>
          <w:b/>
          <w:sz w:val="22"/>
          <w:lang w:val="es-ES_tradnl"/>
        </w:rPr>
        <w:t>Aplicación prevalente del Estatuto General de Contratación de la Administración Pública por parte entidades exceptuadas. Aparente tensión con el literal c) del artículo 2, numeral 4, de la Ley 1150 de 2007.</w:t>
      </w:r>
    </w:p>
    <w:p w14:paraId="57893686"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45FDA339" w14:textId="5EADA2F6"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En este punto es necesario analizar los efectos del artículo 56 de la Ley 2195 de 2022, respecto de lo dispuesto en el artículo 2, numeral 4, de la Ley 1150 de 2007, particularmente, de lo establecido en el tercer inciso del literal c)</w:t>
      </w:r>
      <w:r w:rsidRPr="00E858D2">
        <w:rPr>
          <w:rStyle w:val="Refdenotaalpie"/>
          <w:rFonts w:ascii="Arial" w:eastAsia="Calibri" w:hAnsi="Arial" w:cs="Arial"/>
        </w:rPr>
        <w:footnoteReference w:id="6"/>
      </w:r>
      <w:r w:rsidRPr="00E858D2">
        <w:rPr>
          <w:rFonts w:ascii="Arial" w:eastAsia="Calibri" w:hAnsi="Arial" w:cs="Arial"/>
          <w:bCs/>
          <w:sz w:val="22"/>
          <w:lang w:val="es-ES_tradnl"/>
        </w:rPr>
        <w:t xml:space="preserve">. Lo anterior por cuanto </w:t>
      </w:r>
      <w:r w:rsidRPr="00E858D2">
        <w:rPr>
          <w:rFonts w:ascii="Arial" w:eastAsia="Calibri" w:hAnsi="Arial" w:cs="Arial"/>
          <w:bCs/>
          <w:sz w:val="22"/>
          <w:lang w:val="es-ES_tradnl"/>
        </w:rPr>
        <w:lastRenderedPageBreak/>
        <w:t xml:space="preserve">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2-4 de la Ley 1150 de 2007, daba pie a la aplicación de normas de derecho privado, lo que evidencia una aparente tensión entre este y el artículo 56 de la Ley 2195 de 2022, en lo que se refiere al régimen aplicable en estas situaciones, </w:t>
      </w:r>
      <w:r>
        <w:rPr>
          <w:rFonts w:ascii="Arial" w:eastAsia="Calibri" w:hAnsi="Arial" w:cs="Arial"/>
          <w:bCs/>
          <w:sz w:val="22"/>
          <w:lang w:val="es-ES_tradnl"/>
        </w:rPr>
        <w:t>dado</w:t>
      </w:r>
      <w:r w:rsidRPr="00E858D2">
        <w:rPr>
          <w:rFonts w:ascii="Arial" w:eastAsia="Calibri" w:hAnsi="Arial" w:cs="Arial"/>
          <w:bCs/>
          <w:sz w:val="22"/>
          <w:lang w:val="es-ES_tradnl"/>
        </w:rPr>
        <w:t xml:space="preserve"> que</w:t>
      </w:r>
      <w:r w:rsidR="00E942F2">
        <w:rPr>
          <w:rFonts w:ascii="Arial" w:eastAsia="Calibri" w:hAnsi="Arial" w:cs="Arial"/>
          <w:bCs/>
          <w:sz w:val="22"/>
          <w:lang w:val="es-ES_tradnl"/>
        </w:rPr>
        <w:t>,</w:t>
      </w:r>
      <w:r w:rsidRPr="00E858D2">
        <w:rPr>
          <w:rFonts w:ascii="Arial" w:eastAsia="Calibri" w:hAnsi="Arial" w:cs="Arial"/>
          <w:bCs/>
          <w:sz w:val="22"/>
          <w:lang w:val="es-ES_tradnl"/>
        </w:rPr>
        <w:t xml:space="preserve"> en estos eventos, al tenor de lo dispuesto en esta última norma, deben aplicarse el EGCAP y los documentos tipo. </w:t>
      </w:r>
    </w:p>
    <w:p w14:paraId="2E6B94CE"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Esto supone una aparente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 debe ser resuelta en favor del artículo 56 de la Ley 2195 de 2022, cuya aplicación debe privilegia</w:t>
      </w:r>
      <w:r>
        <w:rPr>
          <w:rFonts w:ascii="Arial" w:eastAsia="Calibri" w:hAnsi="Arial" w:cs="Arial"/>
          <w:bCs/>
          <w:sz w:val="22"/>
          <w:lang w:val="es-ES_tradnl"/>
        </w:rPr>
        <w:t>rse</w:t>
      </w:r>
      <w:r w:rsidRPr="00E858D2">
        <w:rPr>
          <w:rFonts w:ascii="Arial" w:eastAsia="Calibri" w:hAnsi="Arial" w:cs="Arial"/>
          <w:bCs/>
          <w:sz w:val="22"/>
          <w:lang w:val="es-ES_tradnl"/>
        </w:rPr>
        <w:t xml:space="preserve">, al ser esta la norma expedida más recientemente. </w:t>
      </w:r>
    </w:p>
    <w:p w14:paraId="7038672B"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En efecto, tratándose de disposiciones de igual jerarquía normativa</w:t>
      </w:r>
      <w:r w:rsidRPr="00E858D2">
        <w:rPr>
          <w:rStyle w:val="Refdenotaalpie"/>
          <w:rFonts w:ascii="Arial" w:eastAsia="Calibri" w:hAnsi="Arial" w:cs="Arial"/>
        </w:rPr>
        <w:footnoteReference w:id="7"/>
      </w:r>
      <w:r w:rsidRPr="00E858D2">
        <w:rPr>
          <w:rFonts w:ascii="Arial" w:eastAsia="Calibri" w:hAnsi="Arial" w:cs="Arial"/>
          <w:bCs/>
          <w:sz w:val="22"/>
          <w:lang w:val="es-ES_tradnl"/>
        </w:rPr>
        <w:t xml:space="preserve">–ambas son leyes ordinarias–, que coinciden en su ámbito de aplicación, debe </w:t>
      </w:r>
      <w:r>
        <w:rPr>
          <w:rFonts w:ascii="Arial" w:eastAsia="Calibri" w:hAnsi="Arial" w:cs="Arial"/>
          <w:bCs/>
          <w:sz w:val="22"/>
          <w:lang w:val="es-ES_tradnl"/>
        </w:rPr>
        <w:t>inferir</w:t>
      </w:r>
      <w:r w:rsidRPr="00E858D2">
        <w:rPr>
          <w:rFonts w:ascii="Arial" w:eastAsia="Calibri" w:hAnsi="Arial" w:cs="Arial"/>
          <w:bCs/>
          <w:sz w:val="22"/>
          <w:lang w:val="es-ES_tradnl"/>
        </w:rPr>
        <w:t xml:space="preserve">se que, en lo que </w:t>
      </w:r>
      <w:r w:rsidRPr="00E858D2">
        <w:rPr>
          <w:rFonts w:ascii="Arial" w:eastAsia="Calibri" w:hAnsi="Arial" w:cs="Arial"/>
          <w:bCs/>
          <w:sz w:val="22"/>
          <w:lang w:val="es-ES_tradnl"/>
        </w:rPr>
        <w:lastRenderedPageBreak/>
        <w:t xml:space="preserve">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 </w:t>
      </w:r>
    </w:p>
    <w:p w14:paraId="3EDACFA3" w14:textId="7F63628E"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w:t>
      </w:r>
    </w:p>
    <w:p w14:paraId="6B5C7328" w14:textId="22C8E77C"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relacionados con un contrato o convenio suscrito con una entidad sometida al EGCAP, siempre que exista documento tipo </w:t>
      </w:r>
      <w:r w:rsidR="00122EFA">
        <w:rPr>
          <w:rFonts w:ascii="Arial" w:eastAsia="Calibri" w:hAnsi="Arial" w:cs="Arial"/>
          <w:bCs/>
          <w:sz w:val="22"/>
          <w:lang w:val="es-ES_tradnl"/>
        </w:rPr>
        <w:t xml:space="preserve">aplicable al objeto contractual </w:t>
      </w:r>
      <w:r w:rsidRPr="00E858D2">
        <w:rPr>
          <w:rFonts w:ascii="Arial" w:eastAsia="Calibri" w:hAnsi="Arial" w:cs="Arial"/>
          <w:bCs/>
          <w:sz w:val="22"/>
          <w:lang w:val="es-ES_tradnl"/>
        </w:rPr>
        <w:t xml:space="preserve">que se planea contratar. Esto significa que los contratos no relacionados con los compromisos adquiridos con la entidad sometida al EGCAP no tendrían que aplicar el régimen contractual público ni los documentos tipo, salvo que quieran hacerlo como una buena práctica de contratación. </w:t>
      </w:r>
    </w:p>
    <w:p w14:paraId="54BAC8A8" w14:textId="10654A4E"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lastRenderedPageBreak/>
        <w:tab/>
        <w:t>De acuerdo con esto, respecto de la aplicación del EGCAP por parte de entidades exceptuadas y particulares, es necesario recalcar que, conforme se interpreta de la redacción de la norma, esta solo es obligatoria en los casos en los que el objeto contractual derivado que se pretende contratar esté cobijado y sometido a algún documento tipo. Esto significa que la aplicación del EGCAP solo será forzosa cuando existe un documento tipo que contempla bienes, obras y servicios dentro de las que se subsume la actividad a contratar por parte de la entidad de régimen especial, patrimonio autónomo o particular. Por ejemplo, si en cumplimiento de un convenio con una entidad sometida al EGCAP, un</w:t>
      </w:r>
      <w:r w:rsidR="00122EFA">
        <w:rPr>
          <w:rFonts w:ascii="Arial" w:eastAsia="Calibri" w:hAnsi="Arial" w:cs="Arial"/>
          <w:bCs/>
          <w:sz w:val="22"/>
          <w:lang w:val="es-ES_tradnl"/>
        </w:rPr>
        <w:t>a</w:t>
      </w:r>
      <w:r w:rsidRPr="00E858D2">
        <w:rPr>
          <w:rFonts w:ascii="Arial" w:eastAsia="Calibri" w:hAnsi="Arial" w:cs="Arial"/>
          <w:bCs/>
          <w:sz w:val="22"/>
          <w:lang w:val="es-ES_tradnl"/>
        </w:rPr>
        <w:t xml:space="preserve"> </w:t>
      </w:r>
      <w:r w:rsidR="00122EFA">
        <w:rPr>
          <w:rFonts w:ascii="Arial" w:eastAsia="Calibri" w:hAnsi="Arial" w:cs="Arial"/>
          <w:bCs/>
          <w:sz w:val="22"/>
          <w:lang w:val="es-ES_tradnl"/>
        </w:rPr>
        <w:t>entidad exceptuada</w:t>
      </w:r>
      <w:r w:rsidR="00122EFA" w:rsidRPr="00E858D2">
        <w:rPr>
          <w:rFonts w:ascii="Arial" w:eastAsia="Calibri" w:hAnsi="Arial" w:cs="Arial"/>
          <w:bCs/>
          <w:sz w:val="22"/>
          <w:lang w:val="es-ES_tradnl"/>
        </w:rPr>
        <w:t xml:space="preserve"> </w:t>
      </w:r>
      <w:r w:rsidRPr="00E858D2">
        <w:rPr>
          <w:rFonts w:ascii="Arial" w:eastAsia="Calibri" w:hAnsi="Arial" w:cs="Arial"/>
          <w:bCs/>
          <w:sz w:val="22"/>
          <w:lang w:val="es-ES_tradnl"/>
        </w:rPr>
        <w:t>debe contratar el desarrollo de un software o la compra de unos buses, no estará obligado a seguirse por el EGCAP, al no ser estos objetos cobijados por los documentos tipo vigentes, mientras que si lo que requiere es el mantenimiento o la rehabilitación de una vía secundaría, por el contrario</w:t>
      </w:r>
      <w:r w:rsidR="001028A5">
        <w:rPr>
          <w:rFonts w:ascii="Arial" w:eastAsia="Calibri" w:hAnsi="Arial" w:cs="Arial"/>
          <w:bCs/>
          <w:sz w:val="22"/>
          <w:lang w:val="es-ES_tradnl"/>
        </w:rPr>
        <w:t>,</w:t>
      </w:r>
      <w:r w:rsidRPr="00E858D2">
        <w:rPr>
          <w:rFonts w:ascii="Arial" w:eastAsia="Calibri" w:hAnsi="Arial" w:cs="Arial"/>
          <w:bCs/>
          <w:sz w:val="22"/>
          <w:lang w:val="es-ES_tradnl"/>
        </w:rPr>
        <w:t xml:space="preserve"> sí estará sometido al EGCAP, al estar tales actividades incluidas dentro de los documentos tipo de infraestructura de transporte. Esto por supuesto puede cambiar si la Agencia, en el futuro, adopta más documentos tipo que incluyan los objetos mencionados. </w:t>
      </w:r>
    </w:p>
    <w:p w14:paraId="1CB0AA14"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40797AF6" w14:textId="18E0460A" w:rsidR="00915830" w:rsidRPr="00E858D2" w:rsidRDefault="00915830" w:rsidP="00915830">
      <w:pPr>
        <w:tabs>
          <w:tab w:val="left" w:pos="0"/>
        </w:tabs>
        <w:spacing w:line="276" w:lineRule="auto"/>
        <w:jc w:val="both"/>
        <w:rPr>
          <w:rFonts w:ascii="Arial" w:eastAsia="Calibri" w:hAnsi="Arial" w:cs="Arial"/>
          <w:b/>
          <w:sz w:val="22"/>
          <w:lang w:val="es-ES_tradnl"/>
        </w:rPr>
      </w:pPr>
      <w:r w:rsidRPr="00961964">
        <w:rPr>
          <w:rFonts w:ascii="Arial" w:eastAsia="Calibri" w:hAnsi="Arial" w:cs="Arial"/>
          <w:b/>
          <w:sz w:val="22"/>
          <w:lang w:val="es-ES_tradnl"/>
        </w:rPr>
        <w:t>2.2.3.</w:t>
      </w:r>
      <w:r w:rsidRPr="00E858D2">
        <w:rPr>
          <w:rFonts w:ascii="Arial" w:eastAsia="Calibri" w:hAnsi="Arial" w:cs="Arial"/>
          <w:b/>
          <w:sz w:val="22"/>
          <w:lang w:val="es-ES_tradnl"/>
        </w:rPr>
        <w:t xml:space="preserve"> La noción de </w:t>
      </w:r>
      <w:r w:rsidRPr="00E858D2">
        <w:rPr>
          <w:rFonts w:ascii="Arial" w:eastAsia="Calibri" w:hAnsi="Arial" w:cs="Arial"/>
          <w:b/>
          <w:i/>
          <w:iCs/>
          <w:sz w:val="22"/>
          <w:lang w:val="es-ES_tradnl"/>
        </w:rPr>
        <w:t xml:space="preserve">giro ordinario </w:t>
      </w:r>
      <w:r w:rsidRPr="00E858D2">
        <w:rPr>
          <w:rFonts w:ascii="Arial" w:eastAsia="Calibri" w:hAnsi="Arial" w:cs="Arial"/>
          <w:b/>
          <w:sz w:val="22"/>
          <w:lang w:val="es-ES_tradnl"/>
        </w:rPr>
        <w:t>y su relevancia para la aplicación del artículo 56 de la Ley 2195 de 2022</w:t>
      </w:r>
    </w:p>
    <w:p w14:paraId="0F6F03F7" w14:textId="77777777" w:rsidR="00915830" w:rsidRPr="00E858D2" w:rsidRDefault="00915830" w:rsidP="00915830">
      <w:pPr>
        <w:tabs>
          <w:tab w:val="left" w:pos="0"/>
        </w:tabs>
        <w:spacing w:line="276" w:lineRule="auto"/>
        <w:jc w:val="both"/>
        <w:rPr>
          <w:rFonts w:ascii="Arial" w:eastAsia="Calibri" w:hAnsi="Arial" w:cs="Arial"/>
          <w:b/>
          <w:sz w:val="22"/>
          <w:lang w:val="es-ES_tradnl"/>
        </w:rPr>
      </w:pPr>
    </w:p>
    <w:p w14:paraId="30F7D0FB" w14:textId="5D6E0945" w:rsidR="00915830" w:rsidRPr="00E858D2" w:rsidRDefault="001028A5" w:rsidP="00915830">
      <w:pPr>
        <w:tabs>
          <w:tab w:val="left" w:pos="0"/>
        </w:tabs>
        <w:spacing w:after="120" w:line="276" w:lineRule="auto"/>
        <w:jc w:val="both"/>
        <w:rPr>
          <w:rFonts w:ascii="Arial" w:eastAsia="Calibri" w:hAnsi="Arial" w:cs="Arial"/>
          <w:bCs/>
          <w:sz w:val="22"/>
          <w:lang w:val="es-ES_tradnl"/>
        </w:rPr>
      </w:pPr>
      <w:r>
        <w:rPr>
          <w:rFonts w:ascii="Arial" w:eastAsia="Calibri" w:hAnsi="Arial" w:cs="Arial"/>
          <w:bCs/>
          <w:sz w:val="22"/>
          <w:lang w:val="es-ES_tradnl"/>
        </w:rPr>
        <w:t>Para una adecuada comprensión del artículo 56 de la Ley 2195 de 2022</w:t>
      </w:r>
      <w:r w:rsidR="00915830" w:rsidRPr="00E858D2">
        <w:rPr>
          <w:rFonts w:ascii="Arial" w:eastAsia="Calibri" w:hAnsi="Arial" w:cs="Arial"/>
          <w:bCs/>
          <w:sz w:val="22"/>
          <w:lang w:val="es-ES_tradnl"/>
        </w:rPr>
        <w:t xml:space="preserve">, es necesario precisar el alcance de lo dispuesto en </w:t>
      </w:r>
      <w:r>
        <w:rPr>
          <w:rFonts w:ascii="Arial" w:eastAsia="Calibri" w:hAnsi="Arial" w:cs="Arial"/>
          <w:bCs/>
          <w:sz w:val="22"/>
          <w:lang w:val="es-ES_tradnl"/>
        </w:rPr>
        <w:t>sus</w:t>
      </w:r>
      <w:r w:rsidRPr="00E858D2">
        <w:rPr>
          <w:rFonts w:ascii="Arial" w:eastAsia="Calibri" w:hAnsi="Arial" w:cs="Arial"/>
          <w:bCs/>
          <w:sz w:val="22"/>
          <w:lang w:val="es-ES_tradnl"/>
        </w:rPr>
        <w:t xml:space="preserve"> </w:t>
      </w:r>
      <w:r w:rsidR="00915830" w:rsidRPr="00E858D2">
        <w:rPr>
          <w:rFonts w:ascii="Arial" w:eastAsia="Calibri" w:hAnsi="Arial" w:cs="Arial"/>
          <w:bCs/>
          <w:sz w:val="22"/>
          <w:lang w:val="es-ES_tradnl"/>
        </w:rPr>
        <w:t xml:space="preserve">dos primeros incisos a luz de lo establecido en su parágrafo, el cual excluye de la aplicación de los primeros incisos del artículo 56, a cierto tipo de entidades, en lo relacionado con la contratación de su </w:t>
      </w:r>
      <w:r w:rsidR="00915830" w:rsidRPr="00E858D2">
        <w:rPr>
          <w:rFonts w:ascii="Arial" w:eastAsia="Calibri" w:hAnsi="Arial" w:cs="Arial"/>
          <w:bCs/>
          <w:i/>
          <w:iCs/>
          <w:sz w:val="22"/>
          <w:lang w:val="es-ES_tradnl"/>
        </w:rPr>
        <w:t>giro ordinario</w:t>
      </w:r>
      <w:r w:rsidR="00915830" w:rsidRPr="00E858D2">
        <w:rPr>
          <w:rFonts w:ascii="Arial" w:eastAsia="Calibri" w:hAnsi="Arial" w:cs="Arial"/>
          <w:bCs/>
          <w:sz w:val="22"/>
          <w:lang w:val="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00915830" w:rsidRPr="00E858D2">
        <w:rPr>
          <w:rFonts w:ascii="Arial" w:eastAsia="Calibri" w:hAnsi="Arial" w:cs="Arial"/>
          <w:bCs/>
          <w:i/>
          <w:iCs/>
          <w:sz w:val="22"/>
          <w:lang w:val="es-ES_tradnl"/>
        </w:rPr>
        <w:t>giro ordinario.</w:t>
      </w:r>
      <w:r w:rsidR="00915830" w:rsidRPr="00E858D2">
        <w:rPr>
          <w:rFonts w:ascii="Arial" w:eastAsia="Calibri" w:hAnsi="Arial" w:cs="Arial"/>
          <w:bCs/>
          <w:sz w:val="22"/>
          <w:lang w:val="es-ES_tradnl"/>
        </w:rPr>
        <w:t xml:space="preserve"> Esto significa que en la contratación asociada a su </w:t>
      </w:r>
      <w:r w:rsidR="00915830" w:rsidRPr="00E858D2">
        <w:rPr>
          <w:rFonts w:ascii="Arial" w:eastAsia="Calibri" w:hAnsi="Arial" w:cs="Arial"/>
          <w:bCs/>
          <w:i/>
          <w:iCs/>
          <w:sz w:val="22"/>
          <w:lang w:val="es-ES_tradnl"/>
        </w:rPr>
        <w:t xml:space="preserve">giro ordinario, </w:t>
      </w:r>
      <w:r w:rsidR="00915830" w:rsidRPr="00E858D2">
        <w:rPr>
          <w:rFonts w:ascii="Arial" w:eastAsia="Calibri" w:hAnsi="Arial" w:cs="Arial"/>
          <w:bCs/>
          <w:sz w:val="22"/>
          <w:lang w:val="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2E18F424" w14:textId="77777777" w:rsidR="00915830" w:rsidRPr="00E858D2" w:rsidRDefault="00915830" w:rsidP="00915830">
      <w:pPr>
        <w:tabs>
          <w:tab w:val="left" w:pos="0"/>
        </w:tabs>
        <w:spacing w:after="120" w:line="276" w:lineRule="auto"/>
        <w:jc w:val="both"/>
        <w:rPr>
          <w:rFonts w:ascii="Arial" w:eastAsia="Arial" w:hAnsi="Arial" w:cs="Arial"/>
          <w:color w:val="000000"/>
          <w:sz w:val="22"/>
          <w:lang w:val="es-ES_tradnl"/>
        </w:rPr>
      </w:pPr>
      <w:r w:rsidRPr="00E858D2">
        <w:rPr>
          <w:rFonts w:ascii="Arial" w:eastAsia="Calibri" w:hAnsi="Arial" w:cs="Arial"/>
          <w:bCs/>
          <w:sz w:val="22"/>
          <w:lang w:val="es-ES_tradnl"/>
        </w:rPr>
        <w:tab/>
        <w:t xml:space="preserve">Ahora, es importante tener en cuenta que cuando la norma se refiere a la contratación del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emplea un concepto jurídico indeterminado</w:t>
      </w:r>
      <w:r w:rsidRPr="00E858D2">
        <w:rPr>
          <w:rStyle w:val="Refdenotaalpie"/>
          <w:rFonts w:ascii="Arial" w:eastAsia="Calibri" w:hAnsi="Arial" w:cs="Arial"/>
        </w:rPr>
        <w:footnoteReference w:id="8"/>
      </w:r>
      <w:r w:rsidRPr="00E858D2">
        <w:rPr>
          <w:rFonts w:ascii="Arial" w:eastAsia="Calibri" w:hAnsi="Arial" w:cs="Arial"/>
          <w:bCs/>
          <w:sz w:val="22"/>
          <w:lang w:val="es-ES_tradnl"/>
        </w:rPr>
        <w:t xml:space="preserve">. </w:t>
      </w:r>
      <w:r w:rsidRPr="00E858D2">
        <w:rPr>
          <w:rFonts w:ascii="Arial" w:eastAsia="Arial" w:hAnsi="Arial" w:cs="Arial"/>
          <w:color w:val="000000"/>
          <w:sz w:val="22"/>
          <w:lang w:val="es-ES_tradnl"/>
        </w:rPr>
        <w:t xml:space="preserve">Un concepto </w:t>
      </w:r>
      <w:r w:rsidRPr="00E858D2">
        <w:rPr>
          <w:rFonts w:ascii="Arial" w:eastAsia="Arial" w:hAnsi="Arial" w:cs="Arial"/>
          <w:color w:val="000000"/>
          <w:sz w:val="22"/>
          <w:lang w:val="es-ES_tradnl"/>
        </w:rPr>
        <w:lastRenderedPageBreak/>
        <w:t xml:space="preserve">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grado de discrecionalidad en su aplicación, pero deben respetar los límites previstos en las normas de orden público. Por ejemplo, no podrán considerar que cualquier contrato que celebren hace parte del giro ordinario de sus negocios. </w:t>
      </w:r>
    </w:p>
    <w:p w14:paraId="0E5AE372" w14:textId="77777777" w:rsidR="00915830" w:rsidRPr="00E858D2" w:rsidRDefault="00915830" w:rsidP="00915830">
      <w:pPr>
        <w:tabs>
          <w:tab w:val="left" w:pos="0"/>
        </w:tabs>
        <w:spacing w:line="276" w:lineRule="auto"/>
        <w:ind w:firstLine="709"/>
        <w:jc w:val="both"/>
        <w:rPr>
          <w:rFonts w:ascii="Arial" w:eastAsia="Calibri" w:hAnsi="Arial" w:cs="Arial"/>
          <w:bCs/>
          <w:sz w:val="22"/>
          <w:lang w:val="es-ES_tradnl"/>
        </w:rPr>
      </w:pPr>
      <w:r w:rsidRPr="00E858D2">
        <w:rPr>
          <w:rFonts w:ascii="Arial" w:eastAsia="Arial" w:hAnsi="Arial" w:cs="Arial"/>
          <w:color w:val="000000"/>
          <w:sz w:val="22"/>
          <w:lang w:val="es-ES_tradnl"/>
        </w:rPr>
        <w:t>La Corte Constitucional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E858D2">
        <w:rPr>
          <w:rStyle w:val="Refdenotaalpie"/>
          <w:rFonts w:ascii="Arial" w:eastAsia="Arial" w:hAnsi="Arial" w:cs="Arial"/>
        </w:rPr>
        <w:footnoteReference w:id="9"/>
      </w:r>
      <w:r w:rsidRPr="00E858D2">
        <w:rPr>
          <w:rFonts w:ascii="Arial" w:eastAsia="Arial" w:hAnsi="Arial" w:cs="Arial"/>
          <w:color w:val="000000"/>
          <w:sz w:val="22"/>
          <w:lang w:val="es-ES_tradnl"/>
        </w:rPr>
        <w:t>.</w:t>
      </w:r>
    </w:p>
    <w:p w14:paraId="4FD44223" w14:textId="77777777" w:rsidR="00915830" w:rsidRPr="00E858D2" w:rsidRDefault="00915830" w:rsidP="00915830">
      <w:pPr>
        <w:tabs>
          <w:tab w:val="left" w:pos="0"/>
        </w:tabs>
        <w:spacing w:before="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incluida en la redacción original del parágrafo 1 del artículo 32 de la Ley 80 de 1993</w:t>
      </w:r>
      <w:r w:rsidRPr="00E858D2">
        <w:rPr>
          <w:rStyle w:val="Refdenotaalpie"/>
          <w:rFonts w:ascii="Arial" w:eastAsia="Calibri" w:hAnsi="Arial" w:cs="Arial"/>
        </w:rPr>
        <w:footnoteReference w:id="10"/>
      </w:r>
      <w:r w:rsidRPr="00E858D2">
        <w:rPr>
          <w:rFonts w:ascii="Arial" w:eastAsia="Calibri" w:hAnsi="Arial" w:cs="Arial"/>
          <w:bCs/>
          <w:sz w:val="22"/>
          <w:lang w:val="es-ES_tradnl"/>
        </w:rPr>
        <w:t xml:space="preserve">, la Sección Tercera manifestó lo siguiente: </w:t>
      </w:r>
    </w:p>
    <w:p w14:paraId="1CFA1B9F"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4202739C" w14:textId="77777777" w:rsidR="00915830" w:rsidRPr="00E858D2" w:rsidRDefault="00915830" w:rsidP="00915830">
      <w:pPr>
        <w:ind w:left="709" w:right="709"/>
        <w:jc w:val="both"/>
        <w:rPr>
          <w:rFonts w:ascii="Arial" w:hAnsi="Arial" w:cs="Arial"/>
          <w:sz w:val="21"/>
          <w:szCs w:val="21"/>
          <w:lang w:val="es-ES_tradnl" w:eastAsia="es-CO"/>
        </w:rPr>
      </w:pPr>
      <w:r w:rsidRPr="00E858D2">
        <w:rPr>
          <w:rFonts w:ascii="Arial" w:hAnsi="Arial" w:cs="Arial"/>
          <w:sz w:val="21"/>
          <w:szCs w:val="21"/>
          <w:lang w:val="es-ES_tradnl"/>
        </w:rPr>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Pr>
          <w:rFonts w:ascii="Arial" w:hAnsi="Arial" w:cs="Arial"/>
          <w:sz w:val="21"/>
          <w:szCs w:val="21"/>
          <w:lang w:val="es-ES_tradnl"/>
        </w:rPr>
        <w:t>.</w:t>
      </w:r>
      <w:r w:rsidRPr="00E858D2">
        <w:rPr>
          <w:rStyle w:val="Refdenotaalpie"/>
          <w:rFonts w:ascii="Arial" w:hAnsi="Arial" w:cs="Arial"/>
        </w:rPr>
        <w:footnoteReference w:id="11"/>
      </w:r>
    </w:p>
    <w:p w14:paraId="731A0122" w14:textId="77777777" w:rsidR="00915830" w:rsidRPr="00E858D2" w:rsidRDefault="00915830" w:rsidP="00915830">
      <w:pPr>
        <w:tabs>
          <w:tab w:val="left" w:pos="0"/>
        </w:tabs>
        <w:spacing w:line="276" w:lineRule="auto"/>
        <w:jc w:val="both"/>
        <w:rPr>
          <w:rFonts w:ascii="Arial" w:eastAsia="Calibri" w:hAnsi="Arial" w:cs="Arial"/>
          <w:bCs/>
          <w:i/>
          <w:iCs/>
          <w:sz w:val="22"/>
          <w:lang w:val="es-ES_tradnl"/>
        </w:rPr>
      </w:pPr>
    </w:p>
    <w:p w14:paraId="47AA70E8" w14:textId="77777777" w:rsidR="00915830"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el mismo sentido se pronunció recientemente el Alto Tribunal de lo Contencioso Administrativo, reiterando las anteriores consideraciones, al expresar que: </w:t>
      </w:r>
    </w:p>
    <w:p w14:paraId="70BA6259"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395BEA04" w14:textId="77777777" w:rsidR="00915830" w:rsidRPr="00E858D2" w:rsidRDefault="00915830" w:rsidP="00915830">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162D74B2" w14:textId="77777777" w:rsidR="00915830" w:rsidRPr="00E858D2" w:rsidRDefault="00915830" w:rsidP="00915830">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Así las cosas, es razonable que el concepto de “giro ordinario de los negocios” sea compatible, de cara al sub lite, con el objeto y funciones de las empresas industriales y comerciales del estado –EICE– de carácter financiero, como lo es Fonade,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68E290F3" w14:textId="77777777" w:rsidR="00915830" w:rsidRPr="00E858D2" w:rsidRDefault="00915830" w:rsidP="00915830">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E858D2">
        <w:rPr>
          <w:rStyle w:val="Refdenotaalpie"/>
          <w:rFonts w:ascii="Arial" w:eastAsia="Calibri" w:hAnsi="Arial" w:cs="Arial"/>
        </w:rPr>
        <w:footnoteReference w:id="12"/>
      </w:r>
      <w:r w:rsidRPr="00E858D2">
        <w:rPr>
          <w:rFonts w:ascii="Arial" w:eastAsia="Calibri" w:hAnsi="Arial" w:cs="Arial"/>
          <w:bCs/>
          <w:sz w:val="21"/>
          <w:szCs w:val="21"/>
          <w:lang w:val="es-ES_tradnl"/>
        </w:rPr>
        <w:t xml:space="preserve">. </w:t>
      </w:r>
    </w:p>
    <w:p w14:paraId="56DFB4A2"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p>
    <w:p w14:paraId="5F219C71" w14:textId="4892B6FD" w:rsidR="00915830" w:rsidRDefault="00915830" w:rsidP="005636AC">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Conforme con lo expresado en estas providencias, el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E858D2">
        <w:rPr>
          <w:rFonts w:ascii="Arial" w:hAnsi="Arial" w:cs="Arial"/>
          <w:sz w:val="22"/>
          <w:lang w:val="es-ES_tradnl"/>
        </w:rPr>
        <w:t>S]e</w:t>
      </w:r>
      <w:r w:rsidRPr="00E858D2">
        <w:rPr>
          <w:rFonts w:ascii="Arial" w:eastAsia="Calibri" w:hAnsi="Arial" w:cs="Arial"/>
          <w:bCs/>
          <w:sz w:val="22"/>
          <w:lang w:val="es-ES_tradnl"/>
        </w:rPr>
        <w:t xml:space="preserve"> entenderán incluidos en el objeto social los actos directamente relacionados con </w:t>
      </w:r>
      <w:r w:rsidRPr="00E858D2">
        <w:rPr>
          <w:rFonts w:ascii="Arial" w:eastAsia="Calibri" w:hAnsi="Arial" w:cs="Arial"/>
          <w:bCs/>
          <w:sz w:val="22"/>
          <w:lang w:val="es-ES_tradnl"/>
        </w:rPr>
        <w:lastRenderedPageBreak/>
        <w:t>el mismo y los que tengan como finalidad ejercer los derechos o cumplir las obligaciones, legal o convencionalmente derivados de la existencia y actividad de la sociedad»</w:t>
      </w:r>
      <w:r w:rsidRPr="00E858D2">
        <w:rPr>
          <w:rStyle w:val="Refdenotaalpie"/>
          <w:rFonts w:ascii="Arial" w:eastAsia="Calibri" w:hAnsi="Arial" w:cs="Arial"/>
        </w:rPr>
        <w:footnoteReference w:id="13"/>
      </w:r>
      <w:r w:rsidRPr="00E858D2">
        <w:rPr>
          <w:rFonts w:ascii="Arial" w:eastAsia="Calibri" w:hAnsi="Arial" w:cs="Arial"/>
          <w:bCs/>
          <w:sz w:val="22"/>
          <w:lang w:val="es-ES_tradnl"/>
        </w:rPr>
        <w:t xml:space="preserve">. </w:t>
      </w:r>
    </w:p>
    <w:p w14:paraId="1B325364" w14:textId="77777777" w:rsidR="00E62261" w:rsidRPr="00E62261" w:rsidRDefault="00E62261" w:rsidP="00E62261">
      <w:pPr>
        <w:tabs>
          <w:tab w:val="left" w:pos="0"/>
        </w:tabs>
        <w:spacing w:line="276" w:lineRule="auto"/>
        <w:jc w:val="both"/>
        <w:rPr>
          <w:rFonts w:ascii="Arial" w:eastAsia="Calibri" w:hAnsi="Arial" w:cs="Arial"/>
          <w:bCs/>
          <w:sz w:val="22"/>
          <w:lang w:val="es-ES_tradnl" w:eastAsia="es-ES_tradnl"/>
        </w:rPr>
      </w:pPr>
      <w:r w:rsidRPr="00E62261">
        <w:rPr>
          <w:rFonts w:ascii="Arial" w:eastAsia="Calibri" w:hAnsi="Arial" w:cs="Arial"/>
          <w:bCs/>
          <w:sz w:val="22"/>
          <w:lang w:val="es-ES_tradnl" w:eastAsia="es-ES_tradnl"/>
        </w:rPr>
        <w:t xml:space="preserve">De otra parte, la doctrina societaria también se ha encargado de definir el </w:t>
      </w:r>
      <w:r w:rsidRPr="00E62261">
        <w:rPr>
          <w:rFonts w:ascii="Arial" w:eastAsia="Calibri" w:hAnsi="Arial" w:cs="Arial"/>
          <w:bCs/>
          <w:i/>
          <w:iCs/>
          <w:sz w:val="22"/>
          <w:lang w:val="es-ES_tradnl" w:eastAsia="es-ES_tradnl"/>
        </w:rPr>
        <w:t>objeto social</w:t>
      </w:r>
      <w:r w:rsidRPr="00E62261">
        <w:rPr>
          <w:rFonts w:ascii="Arial" w:eastAsia="Calibri" w:hAnsi="Arial" w:cs="Arial"/>
          <w:bCs/>
          <w:sz w:val="22"/>
          <w:lang w:val="es-ES_tradnl" w:eastAsia="es-ES_tradnl"/>
        </w:rPr>
        <w:t xml:space="preserve">, así como su relación con el concepto de </w:t>
      </w:r>
      <w:r w:rsidRPr="00E62261">
        <w:rPr>
          <w:rFonts w:ascii="Arial" w:eastAsia="Calibri" w:hAnsi="Arial" w:cs="Arial"/>
          <w:bCs/>
          <w:i/>
          <w:iCs/>
          <w:sz w:val="22"/>
          <w:lang w:val="es-ES_tradnl" w:eastAsia="es-ES_tradnl"/>
        </w:rPr>
        <w:t>giro ordinario</w:t>
      </w:r>
      <w:r w:rsidRPr="00E62261">
        <w:rPr>
          <w:rFonts w:ascii="Arial" w:eastAsia="Calibri" w:hAnsi="Arial" w:cs="Arial"/>
          <w:bCs/>
          <w:sz w:val="22"/>
          <w:lang w:val="es-ES_tradnl" w:eastAsia="es-ES_tradnl"/>
        </w:rPr>
        <w:t>. Al respecto, la Superintendencia de Sociedades, citando doctrina autorizada en la materia, ha señalado:</w:t>
      </w:r>
    </w:p>
    <w:p w14:paraId="74B5DBBF" w14:textId="77777777" w:rsidR="00E62261" w:rsidRPr="00E62261" w:rsidRDefault="00E62261" w:rsidP="00E62261">
      <w:pPr>
        <w:tabs>
          <w:tab w:val="left" w:pos="0"/>
        </w:tabs>
        <w:spacing w:line="276" w:lineRule="auto"/>
        <w:jc w:val="both"/>
        <w:rPr>
          <w:rFonts w:ascii="Arial" w:eastAsia="Calibri" w:hAnsi="Arial" w:cs="Arial"/>
          <w:bCs/>
          <w:sz w:val="22"/>
          <w:lang w:val="es-ES_tradnl" w:eastAsia="es-ES_tradnl"/>
        </w:rPr>
      </w:pPr>
    </w:p>
    <w:p w14:paraId="7FBC25F8" w14:textId="77777777" w:rsidR="00E62261" w:rsidRPr="00E62261" w:rsidRDefault="00E62261" w:rsidP="00E62261">
      <w:pPr>
        <w:tabs>
          <w:tab w:val="left" w:pos="0"/>
        </w:tabs>
        <w:spacing w:after="120"/>
        <w:ind w:left="709" w:right="709"/>
        <w:jc w:val="both"/>
        <w:rPr>
          <w:rFonts w:ascii="Arial" w:eastAsia="Times New Roman" w:hAnsi="Arial" w:cs="Arial"/>
          <w:sz w:val="21"/>
          <w:szCs w:val="21"/>
          <w:lang w:val="es-ES_tradnl" w:eastAsia="es-ES_tradnl"/>
        </w:rPr>
      </w:pPr>
      <w:r w:rsidRPr="00E62261">
        <w:rPr>
          <w:rFonts w:ascii="Arial" w:eastAsia="Times New Roman" w:hAnsi="Arial" w:cs="Arial"/>
          <w:sz w:val="21"/>
          <w:szCs w:val="21"/>
          <w:lang w:val="es-ES_tradnl" w:eastAsia="es-ES_tradnl"/>
        </w:rPr>
        <w:t>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70099766" w14:textId="77777777" w:rsidR="00E62261" w:rsidRPr="00E62261" w:rsidRDefault="00E62261" w:rsidP="00E62261">
      <w:pPr>
        <w:tabs>
          <w:tab w:val="left" w:pos="0"/>
        </w:tabs>
        <w:ind w:left="709" w:right="709"/>
        <w:jc w:val="both"/>
        <w:rPr>
          <w:rFonts w:ascii="Arial" w:eastAsia="Calibri" w:hAnsi="Arial" w:cs="Arial"/>
          <w:bCs/>
          <w:sz w:val="21"/>
          <w:szCs w:val="21"/>
          <w:lang w:val="es-ES_tradnl" w:eastAsia="es-ES_tradnl"/>
        </w:rPr>
      </w:pPr>
      <w:r w:rsidRPr="00E62261">
        <w:rPr>
          <w:rFonts w:ascii="Arial" w:eastAsia="Times New Roman" w:hAnsi="Arial" w:cs="Arial"/>
          <w:sz w:val="21"/>
          <w:szCs w:val="21"/>
          <w:lang w:val="es-ES_tradnl" w:eastAsia="es-ES_tradnl"/>
        </w:rPr>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Pr="00E62261">
        <w:rPr>
          <w:rFonts w:ascii="Arial" w:eastAsia="Times New Roman" w:hAnsi="Arial" w:cs="Arial"/>
          <w:szCs w:val="24"/>
          <w:vertAlign w:val="superscript"/>
          <w:lang w:val="es-CO" w:eastAsia="es-ES_tradnl"/>
        </w:rPr>
        <w:footnoteReference w:id="14"/>
      </w:r>
      <w:r w:rsidRPr="00E62261">
        <w:rPr>
          <w:rFonts w:ascii="Arial" w:eastAsia="Times New Roman" w:hAnsi="Arial" w:cs="Arial"/>
          <w:sz w:val="21"/>
          <w:szCs w:val="21"/>
          <w:lang w:val="es-ES_tradnl" w:eastAsia="es-ES_tradnl"/>
        </w:rPr>
        <w:t>.</w:t>
      </w:r>
    </w:p>
    <w:p w14:paraId="3B020B15" w14:textId="77777777" w:rsidR="00E62261" w:rsidRPr="00E62261" w:rsidRDefault="00E62261" w:rsidP="00E62261">
      <w:pPr>
        <w:tabs>
          <w:tab w:val="left" w:pos="0"/>
        </w:tabs>
        <w:spacing w:line="276" w:lineRule="auto"/>
        <w:jc w:val="both"/>
        <w:rPr>
          <w:rFonts w:ascii="Arial" w:eastAsia="Calibri" w:hAnsi="Arial" w:cs="Arial"/>
          <w:bCs/>
          <w:sz w:val="22"/>
          <w:szCs w:val="24"/>
          <w:lang w:val="es-ES_tradnl" w:eastAsia="es-ES_tradnl"/>
        </w:rPr>
      </w:pPr>
    </w:p>
    <w:p w14:paraId="586FF52D" w14:textId="77777777" w:rsidR="00E62261" w:rsidRPr="00E62261" w:rsidRDefault="00E62261" w:rsidP="00E62261">
      <w:pPr>
        <w:tabs>
          <w:tab w:val="left" w:pos="0"/>
        </w:tabs>
        <w:spacing w:after="120" w:line="276" w:lineRule="auto"/>
        <w:jc w:val="both"/>
        <w:rPr>
          <w:rFonts w:ascii="Arial" w:eastAsia="Calibri" w:hAnsi="Arial" w:cs="Arial"/>
          <w:bCs/>
          <w:sz w:val="22"/>
          <w:szCs w:val="24"/>
          <w:lang w:val="es-ES_tradnl" w:eastAsia="es-ES_tradnl"/>
        </w:rPr>
      </w:pPr>
      <w:r w:rsidRPr="00E62261">
        <w:rPr>
          <w:rFonts w:ascii="Arial" w:eastAsia="Calibri" w:hAnsi="Arial" w:cs="Arial"/>
          <w:bCs/>
          <w:sz w:val="22"/>
          <w:szCs w:val="24"/>
          <w:lang w:val="es-ES_tradnl" w:eastAsia="es-ES_tradnl"/>
        </w:rPr>
        <w:tab/>
        <w:t xml:space="preserve">De acuerdo con estas consideraciones, no hay una plena equivalencia entre las </w:t>
      </w:r>
      <w:bookmarkStart w:id="3" w:name="_Hlk95322109"/>
      <w:r w:rsidRPr="00E62261">
        <w:rPr>
          <w:rFonts w:ascii="Arial" w:eastAsia="Calibri" w:hAnsi="Arial" w:cs="Arial"/>
          <w:bCs/>
          <w:sz w:val="22"/>
          <w:szCs w:val="24"/>
          <w:lang w:val="es-ES_tradnl" w:eastAsia="es-ES_tradnl"/>
        </w:rPr>
        <w:t xml:space="preserve">actividades que hacen parte del desarrollo del </w:t>
      </w:r>
      <w:r w:rsidRPr="00E62261">
        <w:rPr>
          <w:rFonts w:ascii="Arial" w:eastAsia="Calibri" w:hAnsi="Arial" w:cs="Arial"/>
          <w:bCs/>
          <w:i/>
          <w:iCs/>
          <w:sz w:val="22"/>
          <w:szCs w:val="24"/>
          <w:lang w:val="es-ES_tradnl" w:eastAsia="es-ES_tradnl"/>
        </w:rPr>
        <w:t>objeto social</w:t>
      </w:r>
      <w:r w:rsidRPr="00E62261">
        <w:rPr>
          <w:rFonts w:ascii="Arial" w:eastAsia="Calibri" w:hAnsi="Arial" w:cs="Arial"/>
          <w:bCs/>
          <w:sz w:val="22"/>
          <w:szCs w:val="24"/>
          <w:lang w:val="es-ES_tradnl" w:eastAsia="es-ES_tradnl"/>
        </w:rPr>
        <w:t xml:space="preserve"> y las que comprende el </w:t>
      </w:r>
      <w:r w:rsidRPr="00E62261">
        <w:rPr>
          <w:rFonts w:ascii="Arial" w:eastAsia="Calibri" w:hAnsi="Arial" w:cs="Arial"/>
          <w:bCs/>
          <w:i/>
          <w:iCs/>
          <w:sz w:val="22"/>
          <w:szCs w:val="24"/>
          <w:lang w:val="es-ES_tradnl" w:eastAsia="es-ES_tradnl"/>
        </w:rPr>
        <w:t xml:space="preserve">giro </w:t>
      </w:r>
      <w:r w:rsidRPr="00E62261">
        <w:rPr>
          <w:rFonts w:ascii="Arial" w:eastAsia="Calibri" w:hAnsi="Arial" w:cs="Arial"/>
          <w:bCs/>
          <w:i/>
          <w:iCs/>
          <w:sz w:val="22"/>
          <w:szCs w:val="24"/>
          <w:lang w:val="es-ES_tradnl" w:eastAsia="es-ES_tradnl"/>
        </w:rPr>
        <w:lastRenderedPageBreak/>
        <w:t>ordinario</w:t>
      </w:r>
      <w:r w:rsidRPr="00E62261">
        <w:rPr>
          <w:rFonts w:ascii="Arial" w:eastAsia="Calibri" w:hAnsi="Arial" w:cs="Arial"/>
          <w:bCs/>
          <w:sz w:val="22"/>
          <w:szCs w:val="24"/>
          <w:lang w:val="es-ES_tradnl" w:eastAsia="es-ES_tradnl"/>
        </w:rPr>
        <w:t xml:space="preserve">, pues, como precisa la Superintendencia de Sociedades, entre lo que designan estas categorías existe una relación de género a especie. </w:t>
      </w:r>
    </w:p>
    <w:p w14:paraId="5A1DA34D" w14:textId="77777777" w:rsidR="00E62261" w:rsidRPr="00E62261" w:rsidRDefault="00E62261" w:rsidP="00E62261">
      <w:pPr>
        <w:tabs>
          <w:tab w:val="left" w:pos="0"/>
        </w:tabs>
        <w:spacing w:after="120" w:line="276" w:lineRule="auto"/>
        <w:jc w:val="both"/>
        <w:rPr>
          <w:rFonts w:ascii="Arial" w:eastAsia="Calibri" w:hAnsi="Arial" w:cs="Arial"/>
          <w:bCs/>
          <w:sz w:val="22"/>
          <w:szCs w:val="24"/>
          <w:lang w:val="es-ES_tradnl" w:eastAsia="es-ES_tradnl"/>
        </w:rPr>
      </w:pPr>
      <w:r w:rsidRPr="00E62261">
        <w:rPr>
          <w:rFonts w:ascii="Arial" w:eastAsia="Calibri" w:hAnsi="Arial" w:cs="Arial"/>
          <w:bCs/>
          <w:sz w:val="22"/>
          <w:szCs w:val="24"/>
          <w:lang w:val="es-ES_tradnl" w:eastAsia="es-ES_tradnl"/>
        </w:rPr>
        <w:tab/>
        <w:t xml:space="preserve">En relación con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 disponga algo diferente, la expresión </w:t>
      </w:r>
      <w:r w:rsidRPr="00E62261">
        <w:rPr>
          <w:rFonts w:ascii="Arial" w:eastAsia="Calibri" w:hAnsi="Arial" w:cs="Arial"/>
          <w:bCs/>
          <w:i/>
          <w:iCs/>
          <w:sz w:val="22"/>
          <w:szCs w:val="24"/>
          <w:lang w:val="es-ES_tradnl" w:eastAsia="es-ES_tradnl"/>
        </w:rPr>
        <w:t xml:space="preserve">giro ordinario </w:t>
      </w:r>
      <w:r w:rsidRPr="00E62261">
        <w:rPr>
          <w:rFonts w:ascii="Arial" w:eastAsia="Calibri" w:hAnsi="Arial" w:cs="Arial"/>
          <w:bCs/>
          <w:sz w:val="22"/>
          <w:szCs w:val="24"/>
          <w:lang w:val="es-ES_tradnl" w:eastAsia="es-ES_tradnl"/>
        </w:rPr>
        <w:t xml:space="preserve">en dicha norma se usa para designar a la contratación directamente relacionada con los asuntos de la gestión habitual u ordinaria de los tipos de entidades mencionadas en el parágrafo. No obstante, la determinación de las actividades que comprenden el </w:t>
      </w:r>
      <w:r w:rsidRPr="00E62261">
        <w:rPr>
          <w:rFonts w:ascii="Arial" w:eastAsia="Calibri" w:hAnsi="Arial" w:cs="Arial"/>
          <w:bCs/>
          <w:i/>
          <w:iCs/>
          <w:sz w:val="22"/>
          <w:szCs w:val="24"/>
          <w:lang w:val="es-ES_tradnl" w:eastAsia="es-ES_tradnl"/>
        </w:rPr>
        <w:t>giro ordinario</w:t>
      </w:r>
      <w:r w:rsidRPr="00E62261">
        <w:rPr>
          <w:rFonts w:ascii="Arial" w:eastAsia="Calibri" w:hAnsi="Arial" w:cs="Arial"/>
          <w:bCs/>
          <w:sz w:val="22"/>
          <w:szCs w:val="24"/>
          <w:lang w:val="es-ES_tradnl" w:eastAsia="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r w:rsidRPr="00E62261">
        <w:rPr>
          <w:rFonts w:ascii="Arial" w:eastAsia="Calibri" w:hAnsi="Arial" w:cs="Arial"/>
          <w:bCs/>
          <w:i/>
          <w:iCs/>
          <w:sz w:val="22"/>
          <w:szCs w:val="24"/>
          <w:lang w:val="es-ES_tradnl" w:eastAsia="es-ES_tradnl"/>
        </w:rPr>
        <w:t>ejusdem</w:t>
      </w:r>
      <w:r w:rsidRPr="00E62261">
        <w:rPr>
          <w:rFonts w:ascii="Arial" w:eastAsia="Calibri" w:hAnsi="Arial" w:cs="Arial"/>
          <w:bCs/>
          <w:sz w:val="22"/>
          <w:szCs w:val="24"/>
          <w:lang w:val="es-ES_tradnl" w:eastAsia="es-ES_tradnl"/>
        </w:rPr>
        <w:t xml:space="preserve"> se limita a enunciar algunos tipos de entidades estatales, las cuales no solo difieren en su naturaleza jurídica, sino también en las actividades que realizan. </w:t>
      </w:r>
    </w:p>
    <w:p w14:paraId="3E0EA6A7" w14:textId="77777777" w:rsidR="00E62261" w:rsidRPr="00E62261" w:rsidRDefault="00E62261" w:rsidP="00E62261">
      <w:pPr>
        <w:tabs>
          <w:tab w:val="left" w:pos="0"/>
        </w:tabs>
        <w:spacing w:after="120" w:line="276" w:lineRule="auto"/>
        <w:ind w:firstLine="709"/>
        <w:jc w:val="both"/>
        <w:rPr>
          <w:rFonts w:ascii="Arial" w:eastAsia="Calibri" w:hAnsi="Arial" w:cs="Arial"/>
          <w:bCs/>
          <w:sz w:val="22"/>
          <w:szCs w:val="24"/>
          <w:lang w:val="es-ES_tradnl" w:eastAsia="es-ES_tradnl"/>
        </w:rPr>
      </w:pPr>
      <w:r w:rsidRPr="00E62261">
        <w:rPr>
          <w:rFonts w:ascii="Arial" w:eastAsia="Calibri" w:hAnsi="Arial" w:cs="Arial"/>
          <w:bCs/>
          <w:sz w:val="22"/>
          <w:szCs w:val="24"/>
          <w:lang w:val="es-ES_tradnl" w:eastAsia="es-ES_tradnl"/>
        </w:rPr>
        <w:t xml:space="preserve">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E62261">
        <w:rPr>
          <w:rFonts w:ascii="Arial" w:eastAsia="Calibri" w:hAnsi="Arial" w:cs="Arial"/>
          <w:bCs/>
          <w:i/>
          <w:iCs/>
          <w:sz w:val="22"/>
          <w:szCs w:val="24"/>
          <w:lang w:val="es-ES_tradnl" w:eastAsia="es-ES_tradnl"/>
        </w:rPr>
        <w:t>giro ordinario</w:t>
      </w:r>
      <w:r w:rsidRPr="00E62261">
        <w:rPr>
          <w:rFonts w:ascii="Arial" w:eastAsia="Calibri" w:hAnsi="Arial" w:cs="Arial"/>
          <w:bCs/>
          <w:sz w:val="22"/>
          <w:szCs w:val="24"/>
          <w:lang w:val="es-ES_tradnl" w:eastAsia="es-ES_tradnl"/>
        </w:rPr>
        <w:t xml:space="preserve">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bookmarkEnd w:id="3"/>
    <w:p w14:paraId="531C1ACD" w14:textId="77777777" w:rsidR="00E62261" w:rsidRPr="00E62261" w:rsidRDefault="00E62261" w:rsidP="00E62261">
      <w:pPr>
        <w:tabs>
          <w:tab w:val="left" w:pos="0"/>
        </w:tabs>
        <w:spacing w:after="120" w:line="276" w:lineRule="auto"/>
        <w:jc w:val="both"/>
        <w:rPr>
          <w:rFonts w:ascii="Arial" w:eastAsia="Calibri" w:hAnsi="Arial" w:cs="Arial"/>
          <w:bCs/>
          <w:sz w:val="22"/>
          <w:szCs w:val="24"/>
          <w:lang w:val="es-ES_tradnl" w:eastAsia="es-ES_tradnl"/>
        </w:rPr>
      </w:pPr>
      <w:r w:rsidRPr="00E62261">
        <w:rPr>
          <w:rFonts w:ascii="Arial" w:eastAsia="Calibri" w:hAnsi="Arial" w:cs="Arial"/>
          <w:bCs/>
          <w:sz w:val="22"/>
          <w:szCs w:val="24"/>
          <w:lang w:val="es-ES_tradnl" w:eastAsia="es-ES_tradnl"/>
        </w:rPr>
        <w:tab/>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los documentos tipo únicamente para la contratación relacionada con el </w:t>
      </w:r>
      <w:r w:rsidRPr="00E62261">
        <w:rPr>
          <w:rFonts w:ascii="Arial" w:eastAsia="Calibri" w:hAnsi="Arial" w:cs="Arial"/>
          <w:bCs/>
          <w:i/>
          <w:iCs/>
          <w:sz w:val="22"/>
          <w:szCs w:val="24"/>
          <w:lang w:val="es-ES_tradnl" w:eastAsia="es-ES_tradnl"/>
        </w:rPr>
        <w:t xml:space="preserve">giro ordinario </w:t>
      </w:r>
      <w:r w:rsidRPr="00E62261">
        <w:rPr>
          <w:rFonts w:ascii="Arial" w:eastAsia="Calibri" w:hAnsi="Arial" w:cs="Arial"/>
          <w:bCs/>
          <w:sz w:val="22"/>
          <w:szCs w:val="24"/>
          <w:lang w:val="es-ES_tradnl" w:eastAsia="es-ES_tradnl"/>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E62261">
        <w:rPr>
          <w:rFonts w:ascii="Arial" w:eastAsia="Calibri" w:hAnsi="Arial" w:cs="Arial"/>
          <w:bCs/>
          <w:i/>
          <w:iCs/>
          <w:sz w:val="22"/>
          <w:szCs w:val="24"/>
          <w:lang w:val="es-ES_tradnl" w:eastAsia="es-ES_tradnl"/>
        </w:rPr>
        <w:t>su giro ordinario</w:t>
      </w:r>
      <w:r w:rsidRPr="00E62261">
        <w:rPr>
          <w:rFonts w:ascii="Arial" w:eastAsia="Calibri" w:hAnsi="Arial" w:cs="Arial"/>
          <w:bCs/>
          <w:sz w:val="22"/>
          <w:szCs w:val="24"/>
          <w:lang w:val="es-ES_tradnl" w:eastAsia="es-ES_tradnl"/>
        </w:rPr>
        <w:t xml:space="preserve">, entendido este conforme a los criterios jurisprudenciales y doctrinarios aquí explicados. En otras palabras, ninguna entidad cuya naturaleza jurídica coincida con las </w:t>
      </w:r>
      <w:r w:rsidRPr="00E62261">
        <w:rPr>
          <w:rFonts w:ascii="Arial" w:eastAsia="Calibri" w:hAnsi="Arial" w:cs="Arial"/>
          <w:bCs/>
          <w:sz w:val="22"/>
          <w:szCs w:val="24"/>
          <w:lang w:val="es-ES_tradnl" w:eastAsia="es-ES_tradnl"/>
        </w:rPr>
        <w:lastRenderedPageBreak/>
        <w:t xml:space="preserve">mencionadas en el parágrafo del artículo 56, tendrá que someterse de manera obligatoria a los documentos tipo o el EGCAP para la contratación de obras o servicios asociadas a su </w:t>
      </w:r>
      <w:r w:rsidRPr="00E62261">
        <w:rPr>
          <w:rFonts w:ascii="Arial" w:eastAsia="Calibri" w:hAnsi="Arial" w:cs="Arial"/>
          <w:bCs/>
          <w:i/>
          <w:iCs/>
          <w:sz w:val="22"/>
          <w:szCs w:val="24"/>
          <w:lang w:val="es-ES_tradnl" w:eastAsia="es-ES_tradnl"/>
        </w:rPr>
        <w:t>giro ordinario</w:t>
      </w:r>
      <w:r w:rsidRPr="00E62261">
        <w:rPr>
          <w:rFonts w:ascii="Arial" w:eastAsia="Calibri" w:hAnsi="Arial" w:cs="Arial"/>
          <w:bCs/>
          <w:sz w:val="22"/>
          <w:szCs w:val="24"/>
          <w:lang w:val="es-ES_tradnl" w:eastAsia="es-ES_tradnl"/>
        </w:rPr>
        <w:t xml:space="preserve">, a menos que su manual de contratación establezca lo contrario. De hacerlo, primará el principio de inderogabilidad singular del reglamento, que obliga a aplicarlo en las actuaciones concretas.  </w:t>
      </w:r>
    </w:p>
    <w:p w14:paraId="783D04E8" w14:textId="77777777" w:rsidR="00E62261" w:rsidRPr="00E62261" w:rsidRDefault="00E62261" w:rsidP="00E62261">
      <w:pPr>
        <w:tabs>
          <w:tab w:val="left" w:pos="0"/>
        </w:tabs>
        <w:spacing w:after="120" w:line="276" w:lineRule="auto"/>
        <w:jc w:val="both"/>
        <w:rPr>
          <w:rFonts w:ascii="Arial" w:eastAsia="Calibri" w:hAnsi="Arial" w:cs="Arial"/>
          <w:bCs/>
          <w:sz w:val="22"/>
          <w:szCs w:val="24"/>
          <w:lang w:val="es-ES_tradnl" w:eastAsia="es-ES_tradnl"/>
        </w:rPr>
      </w:pPr>
      <w:r w:rsidRPr="00E62261">
        <w:rPr>
          <w:rFonts w:ascii="Arial" w:eastAsia="Calibri" w:hAnsi="Arial" w:cs="Arial"/>
          <w:bCs/>
          <w:sz w:val="22"/>
          <w:szCs w:val="24"/>
          <w:lang w:val="es-ES_tradnl" w:eastAsia="es-ES_tradnl"/>
        </w:rPr>
        <w:tab/>
        <w:t>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w:t>
      </w:r>
      <w:r w:rsidRPr="00E62261">
        <w:rPr>
          <w:rFonts w:ascii="Arial" w:eastAsia="Calibri" w:hAnsi="Arial" w:cs="Arial"/>
          <w:szCs w:val="24"/>
          <w:vertAlign w:val="superscript"/>
          <w:lang w:val="es-CO" w:eastAsia="es-ES_tradnl"/>
        </w:rPr>
        <w:footnoteReference w:id="15"/>
      </w:r>
      <w:r w:rsidRPr="00E62261">
        <w:rPr>
          <w:rFonts w:ascii="Arial" w:eastAsia="Calibri" w:hAnsi="Arial" w:cs="Arial"/>
          <w:bCs/>
          <w:sz w:val="22"/>
          <w:szCs w:val="24"/>
          <w:lang w:val="es-ES_tradnl" w:eastAsia="es-ES_tradnl"/>
        </w:rPr>
        <w:t>–, no es menos cierto que el Legislador, en materia de contratación estatal, goza de un amplio margen de configuración normativa, de conformidad con lo dispuesto en el inciso final del artículo 150 de la Constitución Política</w:t>
      </w:r>
      <w:r w:rsidRPr="00E62261">
        <w:rPr>
          <w:rFonts w:ascii="Arial" w:eastAsia="Calibri" w:hAnsi="Arial" w:cs="Arial"/>
          <w:szCs w:val="24"/>
          <w:vertAlign w:val="superscript"/>
          <w:lang w:val="es-CO" w:eastAsia="es-ES_tradnl"/>
        </w:rPr>
        <w:footnoteReference w:id="16"/>
      </w:r>
      <w:r w:rsidRPr="00E62261">
        <w:rPr>
          <w:rFonts w:ascii="Arial" w:eastAsia="Calibri" w:hAnsi="Arial" w:cs="Arial"/>
          <w:bCs/>
          <w:sz w:val="22"/>
          <w:szCs w:val="24"/>
          <w:lang w:val="es-ES_tradnl" w:eastAsia="es-ES_tradnl"/>
        </w:rPr>
        <w:t xml:space="preserve">. En ese sentido, en virtud de esta potestad de configuración </w:t>
      </w:r>
      <w:r w:rsidRPr="00E62261">
        <w:rPr>
          <w:rFonts w:ascii="Arial" w:eastAsia="Calibri" w:hAnsi="Arial" w:cs="Arial"/>
          <w:bCs/>
          <w:sz w:val="22"/>
          <w:szCs w:val="24"/>
          <w:lang w:val="es-ES_tradnl" w:eastAsia="es-ES_tradnl"/>
        </w:rPr>
        <w:lastRenderedPageBreak/>
        <w:t xml:space="preserve">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00E62261">
        <w:rPr>
          <w:rFonts w:ascii="Arial" w:eastAsia="Calibri" w:hAnsi="Arial" w:cs="Arial"/>
          <w:bCs/>
          <w:i/>
          <w:iCs/>
          <w:sz w:val="22"/>
          <w:szCs w:val="24"/>
          <w:lang w:val="es-ES_tradnl" w:eastAsia="es-ES_tradnl"/>
        </w:rPr>
        <w:t>giro ordinario.</w:t>
      </w:r>
      <w:r w:rsidRPr="00E62261">
        <w:rPr>
          <w:rFonts w:ascii="Arial" w:eastAsia="Calibri" w:hAnsi="Arial" w:cs="Arial"/>
          <w:bCs/>
          <w:sz w:val="22"/>
          <w:szCs w:val="24"/>
          <w:lang w:val="es-ES_tradnl" w:eastAsia="es-ES_tradn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E62261">
        <w:rPr>
          <w:rFonts w:ascii="Arial" w:eastAsia="Calibri" w:hAnsi="Arial" w:cs="Arial"/>
          <w:szCs w:val="24"/>
          <w:vertAlign w:val="superscript"/>
          <w:lang w:val="es-CO" w:eastAsia="es-ES_tradnl"/>
        </w:rPr>
        <w:footnoteReference w:id="17"/>
      </w:r>
      <w:r w:rsidRPr="00E62261">
        <w:rPr>
          <w:rFonts w:ascii="Arial" w:eastAsia="Calibri" w:hAnsi="Arial" w:cs="Arial"/>
          <w:bCs/>
          <w:sz w:val="22"/>
          <w:szCs w:val="24"/>
          <w:lang w:val="es-ES_tradnl" w:eastAsia="es-ES_tradnl"/>
        </w:rPr>
        <w:t>.</w:t>
      </w:r>
    </w:p>
    <w:p w14:paraId="57F241B3" w14:textId="77777777" w:rsidR="00E62261" w:rsidRPr="00E62261" w:rsidRDefault="00E62261" w:rsidP="00E62261">
      <w:pPr>
        <w:tabs>
          <w:tab w:val="left" w:pos="0"/>
        </w:tabs>
        <w:spacing w:before="120" w:after="120" w:line="276" w:lineRule="auto"/>
        <w:ind w:firstLine="709"/>
        <w:jc w:val="both"/>
        <w:rPr>
          <w:rFonts w:ascii="Arial" w:eastAsia="Times New Roman" w:hAnsi="Arial" w:cs="Arial"/>
          <w:sz w:val="22"/>
          <w:lang w:val="es-CO" w:eastAsia="es-ES_tradnl"/>
        </w:rPr>
      </w:pPr>
      <w:r w:rsidRPr="00E62261">
        <w:rPr>
          <w:rFonts w:ascii="Arial" w:eastAsia="Calibri" w:hAnsi="Arial" w:cs="Arial"/>
          <w:bCs/>
          <w:sz w:val="22"/>
          <w:lang w:val="es-ES_tradnl" w:eastAsia="es-ES_tradnl"/>
        </w:rPr>
        <w:t>De acuerdo con esta interpretación restrictiva</w:t>
      </w:r>
      <w:r w:rsidRPr="00E62261">
        <w:rPr>
          <w:rFonts w:ascii="Arial" w:eastAsia="Calibri" w:hAnsi="Arial" w:cs="Arial"/>
          <w:szCs w:val="24"/>
          <w:vertAlign w:val="superscript"/>
          <w:lang w:val="es-CO" w:eastAsia="es-ES_tradnl"/>
        </w:rPr>
        <w:footnoteReference w:id="18"/>
      </w:r>
      <w:r w:rsidRPr="00E62261">
        <w:rPr>
          <w:rFonts w:ascii="Arial" w:eastAsia="Calibri" w:hAnsi="Arial" w:cs="Arial"/>
          <w:bCs/>
          <w:sz w:val="22"/>
          <w:lang w:val="es-ES_tradnl" w:eastAsia="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E62261">
        <w:rPr>
          <w:rFonts w:ascii="Arial" w:eastAsia="Calibri" w:hAnsi="Arial" w:cs="Arial"/>
          <w:bCs/>
          <w:i/>
          <w:iCs/>
          <w:sz w:val="22"/>
          <w:lang w:val="es-ES_tradnl" w:eastAsia="es-ES_tradnl"/>
        </w:rPr>
        <w:t xml:space="preserve">giro ordinario, </w:t>
      </w:r>
      <w:r w:rsidRPr="00E62261">
        <w:rPr>
          <w:rFonts w:ascii="Arial" w:eastAsia="Calibri" w:hAnsi="Arial" w:cs="Arial"/>
          <w:bCs/>
          <w:sz w:val="22"/>
          <w:lang w:val="es-ES_tradnl" w:eastAsia="es-ES_tradnl"/>
        </w:rPr>
        <w:t>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w:t>
      </w:r>
      <w:r w:rsidRPr="00E62261">
        <w:rPr>
          <w:rFonts w:ascii="Arial" w:eastAsia="Times New Roman" w:hAnsi="Arial" w:cs="Arial"/>
          <w:szCs w:val="24"/>
          <w:vertAlign w:val="superscript"/>
          <w:lang w:val="es-CO" w:eastAsia="es-ES_tradnl"/>
        </w:rPr>
        <w:footnoteReference w:id="19"/>
      </w:r>
      <w:r w:rsidRPr="00E62261">
        <w:rPr>
          <w:rFonts w:ascii="Arial" w:eastAsia="Calibri" w:hAnsi="Arial" w:cs="Arial"/>
          <w:bCs/>
          <w:sz w:val="22"/>
          <w:lang w:val="es-ES_tradnl" w:eastAsia="es-ES_tradnl"/>
        </w:rPr>
        <w:t>, al igual que la regla según la cual «</w:t>
      </w:r>
      <w:r w:rsidRPr="00E62261">
        <w:rPr>
          <w:rFonts w:ascii="Arial" w:eastAsia="Times New Roman" w:hAnsi="Arial" w:cs="Arial"/>
          <w:sz w:val="22"/>
          <w:lang w:val="es-CO" w:eastAsia="es-ES_tradnl"/>
        </w:rPr>
        <w:t>Lo favorable u odioso de una disposición no se tomará en cuenta para ampliar o restringir su interpretación»</w:t>
      </w:r>
      <w:r w:rsidRPr="00E62261">
        <w:rPr>
          <w:rFonts w:ascii="Arial" w:eastAsia="Times New Roman" w:hAnsi="Arial" w:cs="Arial"/>
          <w:szCs w:val="24"/>
          <w:vertAlign w:val="superscript"/>
          <w:lang w:val="es-CO" w:eastAsia="es-ES_tradnl"/>
        </w:rPr>
        <w:footnoteReference w:id="20"/>
      </w:r>
      <w:r w:rsidRPr="00E62261">
        <w:rPr>
          <w:rFonts w:ascii="Arial" w:eastAsia="Times New Roman" w:hAnsi="Arial" w:cs="Arial"/>
          <w:sz w:val="22"/>
          <w:lang w:val="es-CO" w:eastAsia="es-ES_tradnl"/>
        </w:rPr>
        <w:t xml:space="preserve">. </w:t>
      </w:r>
    </w:p>
    <w:p w14:paraId="03CF4EF7" w14:textId="77777777" w:rsidR="00E62261" w:rsidRPr="00E62261" w:rsidRDefault="00E62261" w:rsidP="00E62261">
      <w:pPr>
        <w:tabs>
          <w:tab w:val="left" w:pos="0"/>
        </w:tabs>
        <w:spacing w:before="120" w:after="120" w:line="276" w:lineRule="auto"/>
        <w:ind w:firstLine="709"/>
        <w:jc w:val="both"/>
        <w:rPr>
          <w:rFonts w:ascii="Arial" w:eastAsia="Calibri" w:hAnsi="Arial" w:cs="Arial"/>
          <w:bCs/>
          <w:sz w:val="22"/>
          <w:szCs w:val="24"/>
          <w:lang w:val="es-ES_tradnl" w:eastAsia="es-ES_tradnl"/>
        </w:rPr>
      </w:pPr>
      <w:r w:rsidRPr="00E62261">
        <w:rPr>
          <w:rFonts w:ascii="Arial" w:eastAsia="Calibri" w:hAnsi="Arial" w:cs="Arial"/>
          <w:bCs/>
          <w:sz w:val="22"/>
          <w:szCs w:val="24"/>
          <w:lang w:val="es-ES_tradnl" w:eastAsia="es-ES_tradnl"/>
        </w:rPr>
        <w:lastRenderedPageBreak/>
        <w:t xml:space="preserve">En conclusión, a juicio de esta Agencia lo dispuesto en el parágrafo del artículo 56 de la Ley 2195 de 2022, es una manifestación de la voluntad del Legislador de relevar a las </w:t>
      </w:r>
      <w:r w:rsidRPr="00E62261">
        <w:rPr>
          <w:rFonts w:ascii="Arial" w:eastAsia="Calibri" w:hAnsi="Arial" w:cs="Arial"/>
          <w:bCs/>
          <w:sz w:val="22"/>
          <w:lang w:val="es-ES_tradnl" w:eastAsia="es-ES_tradnl"/>
        </w:rPr>
        <w:t xml:space="preserve">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Pr="00E62261">
        <w:rPr>
          <w:rFonts w:ascii="Arial" w:eastAsia="Calibri" w:hAnsi="Arial" w:cs="Arial"/>
          <w:bCs/>
          <w:i/>
          <w:iCs/>
          <w:sz w:val="22"/>
          <w:lang w:val="es-ES_tradnl" w:eastAsia="es-ES_tradnl"/>
        </w:rPr>
        <w:t>giro ordinario</w:t>
      </w:r>
      <w:r w:rsidRPr="00E62261">
        <w:rPr>
          <w:rFonts w:ascii="Arial" w:eastAsia="Calibri" w:hAnsi="Arial" w:cs="Arial"/>
          <w:bCs/>
          <w:sz w:val="22"/>
          <w:lang w:val="es-ES_tradnl" w:eastAsia="es-ES_tradnl"/>
        </w:rPr>
        <w:t xml:space="preserve">. Esto significa que tales entidades, </w:t>
      </w:r>
      <w:r w:rsidRPr="00E62261">
        <w:rPr>
          <w:rFonts w:ascii="Arial" w:eastAsia="Calibri" w:hAnsi="Arial" w:cs="Arial"/>
          <w:bCs/>
          <w:sz w:val="22"/>
          <w:szCs w:val="24"/>
          <w:lang w:val="es-ES_tradnl" w:eastAsia="es-ES_tradnl"/>
        </w:rPr>
        <w:t xml:space="preserve">cuando, en desarrollo de un contrato o un convenio con una entidad sometida al EGCAP, requieran contratar un objeto cobijado por algún documento tipo, que no esté comprendido dentro de su </w:t>
      </w:r>
      <w:r w:rsidRPr="00E62261">
        <w:rPr>
          <w:rFonts w:ascii="Arial" w:eastAsia="Calibri" w:hAnsi="Arial" w:cs="Arial"/>
          <w:bCs/>
          <w:i/>
          <w:iCs/>
          <w:sz w:val="22"/>
          <w:szCs w:val="24"/>
          <w:lang w:val="es-ES_tradnl" w:eastAsia="es-ES_tradnl"/>
        </w:rPr>
        <w:t>giro ordinario,</w:t>
      </w:r>
      <w:r w:rsidRPr="00E62261">
        <w:rPr>
          <w:rFonts w:ascii="Arial" w:eastAsia="Calibri" w:hAnsi="Arial" w:cs="Arial"/>
          <w:bCs/>
          <w:sz w:val="22"/>
          <w:szCs w:val="24"/>
          <w:lang w:val="es-ES_tradnl" w:eastAsia="es-ES_tradnl"/>
        </w:rPr>
        <w:t xml:space="preserve"> deberán regirse por lo establecido en los dos incisos del referido artículo. Esta interpretación encuentra sustento en el principio del efecto útil del artículo 56 de la Ley 2195 de 2022, pues refleja el alcance que el Legislador quiso darle a la norma en comento.  </w:t>
      </w:r>
    </w:p>
    <w:p w14:paraId="7F16A9FB" w14:textId="28E7356C" w:rsidR="005636AC" w:rsidRDefault="005636AC" w:rsidP="005636AC">
      <w:pPr>
        <w:tabs>
          <w:tab w:val="left" w:pos="0"/>
        </w:tabs>
        <w:spacing w:line="276" w:lineRule="auto"/>
        <w:jc w:val="both"/>
        <w:rPr>
          <w:rFonts w:ascii="Arial" w:eastAsia="Calibri" w:hAnsi="Arial" w:cs="Arial"/>
          <w:bCs/>
          <w:sz w:val="22"/>
          <w:lang w:val="es-ES_tradnl"/>
        </w:rPr>
      </w:pPr>
    </w:p>
    <w:p w14:paraId="7E5F9ECA" w14:textId="6D799F2A" w:rsidR="00961964" w:rsidRPr="00FC3C59" w:rsidRDefault="00961964" w:rsidP="00961964">
      <w:pPr>
        <w:spacing w:line="276" w:lineRule="auto"/>
        <w:jc w:val="both"/>
        <w:rPr>
          <w:rFonts w:ascii="Arial" w:hAnsi="Arial" w:cs="Arial"/>
          <w:b/>
          <w:bCs/>
          <w:sz w:val="22"/>
        </w:rPr>
      </w:pPr>
      <w:r w:rsidRPr="00FC3C59">
        <w:rPr>
          <w:rFonts w:ascii="Arial" w:eastAsia="Calibri" w:hAnsi="Arial" w:cs="Arial"/>
          <w:b/>
          <w:bCs/>
          <w:color w:val="000000" w:themeColor="text1"/>
          <w:sz w:val="22"/>
        </w:rPr>
        <w:t>2.3.</w:t>
      </w:r>
      <w:r w:rsidRPr="00FC3C59">
        <w:rPr>
          <w:rFonts w:ascii="Arial" w:hAnsi="Arial" w:cs="Arial"/>
          <w:b/>
          <w:bCs/>
          <w:sz w:val="22"/>
        </w:rPr>
        <w:t xml:space="preserve"> Régimen contractual de las empresas prestadoras de servicios públicos domiciliarios</w:t>
      </w:r>
    </w:p>
    <w:p w14:paraId="355BADFC" w14:textId="77777777" w:rsidR="00961964" w:rsidRPr="00FC3C59" w:rsidRDefault="00961964" w:rsidP="00961964">
      <w:pPr>
        <w:spacing w:line="276" w:lineRule="auto"/>
        <w:jc w:val="both"/>
        <w:rPr>
          <w:rFonts w:ascii="Arial" w:hAnsi="Arial" w:cs="Arial"/>
          <w:b/>
          <w:bCs/>
          <w:sz w:val="22"/>
        </w:rPr>
      </w:pPr>
    </w:p>
    <w:p w14:paraId="0AF93CA0" w14:textId="77777777" w:rsidR="00CE321B" w:rsidRPr="00FC3C59" w:rsidRDefault="00CE321B" w:rsidP="00CE321B">
      <w:pPr>
        <w:spacing w:line="276" w:lineRule="auto"/>
        <w:jc w:val="both"/>
        <w:rPr>
          <w:rFonts w:ascii="Arial" w:eastAsia="Calibri" w:hAnsi="Arial" w:cs="Arial"/>
          <w:color w:val="000000"/>
          <w:sz w:val="22"/>
          <w:szCs w:val="24"/>
          <w:lang w:val="es-ES_tradnl" w:eastAsia="es-ES_tradnl"/>
        </w:rPr>
      </w:pPr>
      <w:r w:rsidRPr="00FC3C59">
        <w:rPr>
          <w:rFonts w:ascii="Arial" w:eastAsia="Calibri" w:hAnsi="Arial" w:cs="Arial"/>
          <w:color w:val="000000"/>
          <w:sz w:val="22"/>
          <w:szCs w:val="24"/>
          <w:lang w:val="es-ES_tradnl" w:eastAsia="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w:t>
      </w:r>
      <w:r w:rsidRPr="00FC3C59">
        <w:rPr>
          <w:rFonts w:ascii="Arial" w:eastAsia="Calibri" w:hAnsi="Arial" w:cs="Arial"/>
          <w:color w:val="000000"/>
          <w:sz w:val="22"/>
          <w:szCs w:val="24"/>
          <w:vertAlign w:val="superscript"/>
          <w:lang w:val="es-ES_tradnl" w:eastAsia="es-ES_tradnl"/>
        </w:rPr>
        <w:footnoteReference w:id="21"/>
      </w:r>
      <w:r w:rsidRPr="00FC3C59">
        <w:rPr>
          <w:rFonts w:ascii="Arial" w:eastAsia="Calibri" w:hAnsi="Arial" w:cs="Arial"/>
          <w:color w:val="000000"/>
          <w:sz w:val="22"/>
          <w:szCs w:val="24"/>
          <w:lang w:val="es-ES_tradnl" w:eastAsia="es-ES_tradnl"/>
        </w:rPr>
        <w:t>. En tal sentido, el artículo 365 de la Constitución dispone lo siguiente:</w:t>
      </w:r>
    </w:p>
    <w:p w14:paraId="169774A9" w14:textId="77777777" w:rsidR="00CE321B" w:rsidRPr="00FC3C59" w:rsidRDefault="00CE321B" w:rsidP="00CE321B">
      <w:pPr>
        <w:ind w:left="709" w:right="709"/>
        <w:jc w:val="both"/>
        <w:rPr>
          <w:rFonts w:ascii="Arial" w:eastAsia="Calibri" w:hAnsi="Arial" w:cs="Arial"/>
          <w:color w:val="000000"/>
          <w:sz w:val="21"/>
          <w:szCs w:val="21"/>
          <w:lang w:val="es-ES_tradnl" w:eastAsia="es-ES_tradnl"/>
        </w:rPr>
      </w:pPr>
    </w:p>
    <w:p w14:paraId="4B632327" w14:textId="77777777" w:rsidR="00CE321B" w:rsidRPr="00FC3C59" w:rsidRDefault="00CE321B" w:rsidP="00CE321B">
      <w:pPr>
        <w:spacing w:after="120"/>
        <w:ind w:left="709" w:right="709"/>
        <w:jc w:val="both"/>
        <w:rPr>
          <w:rFonts w:ascii="Arial" w:eastAsia="Calibri" w:hAnsi="Arial" w:cs="Arial"/>
          <w:color w:val="000000"/>
          <w:sz w:val="21"/>
          <w:szCs w:val="21"/>
          <w:lang w:val="es-ES_tradnl" w:eastAsia="es-ES_tradnl"/>
        </w:rPr>
      </w:pPr>
      <w:r w:rsidRPr="00FC3C59">
        <w:rPr>
          <w:rFonts w:ascii="Arial" w:eastAsia="Calibri" w:hAnsi="Arial" w:cs="Arial"/>
          <w:color w:val="000000"/>
          <w:sz w:val="21"/>
          <w:szCs w:val="21"/>
          <w:lang w:val="es-ES_tradnl" w:eastAsia="es-ES_tradnl"/>
        </w:rPr>
        <w:t>Los servicios públicos son inherentes a la finalidad social del Estado. Es deber del Estado asegurar su prestación eficiente a todos los habitantes del territorio nacional.</w:t>
      </w:r>
    </w:p>
    <w:p w14:paraId="35486C01" w14:textId="77777777" w:rsidR="00CE321B" w:rsidRPr="00FC3C59" w:rsidRDefault="00CE321B" w:rsidP="00CE321B">
      <w:pPr>
        <w:ind w:left="709" w:right="709"/>
        <w:jc w:val="both"/>
        <w:rPr>
          <w:rFonts w:ascii="Arial" w:eastAsia="Calibri" w:hAnsi="Arial" w:cs="Arial"/>
          <w:color w:val="000000"/>
          <w:sz w:val="21"/>
          <w:szCs w:val="21"/>
          <w:lang w:val="es-ES_tradnl" w:eastAsia="es-ES_tradnl"/>
        </w:rPr>
      </w:pPr>
      <w:r w:rsidRPr="00FC3C59">
        <w:rPr>
          <w:rFonts w:ascii="Arial" w:eastAsia="Calibri" w:hAnsi="Arial" w:cs="Arial"/>
          <w:color w:val="000000"/>
          <w:sz w:val="21"/>
          <w:szCs w:val="21"/>
          <w:lang w:val="es-ES_tradnl" w:eastAsia="es-ES_tradnl"/>
        </w:rPr>
        <w:lastRenderedPageBreak/>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p>
    <w:p w14:paraId="36643E3A" w14:textId="77777777" w:rsidR="00CE321B" w:rsidRPr="00FC3C59" w:rsidRDefault="00CE321B" w:rsidP="00CE321B">
      <w:pPr>
        <w:spacing w:line="276" w:lineRule="auto"/>
        <w:ind w:firstLine="709"/>
        <w:jc w:val="both"/>
        <w:rPr>
          <w:rFonts w:ascii="Arial" w:eastAsia="Calibri" w:hAnsi="Arial" w:cs="Arial"/>
          <w:color w:val="000000"/>
          <w:sz w:val="22"/>
          <w:szCs w:val="24"/>
          <w:lang w:val="es-ES_tradnl" w:eastAsia="es-ES_tradnl"/>
        </w:rPr>
      </w:pPr>
    </w:p>
    <w:p w14:paraId="3EB40512" w14:textId="77777777" w:rsidR="00CE321B" w:rsidRPr="00FC3C59" w:rsidRDefault="00CE321B" w:rsidP="00CE321B">
      <w:pPr>
        <w:spacing w:line="276" w:lineRule="auto"/>
        <w:ind w:firstLine="709"/>
        <w:jc w:val="both"/>
        <w:rPr>
          <w:rFonts w:ascii="Arial" w:eastAsia="Calibri" w:hAnsi="Arial" w:cs="Arial"/>
          <w:color w:val="000000"/>
          <w:sz w:val="22"/>
          <w:szCs w:val="24"/>
          <w:lang w:val="es-ES_tradnl" w:eastAsia="es-ES_tradnl"/>
        </w:rPr>
      </w:pPr>
      <w:bookmarkStart w:id="4" w:name="_Hlk71791168"/>
      <w:r w:rsidRPr="00FC3C59">
        <w:rPr>
          <w:rFonts w:ascii="Arial" w:eastAsia="Calibri" w:hAnsi="Arial" w:cs="Arial"/>
          <w:color w:val="000000"/>
          <w:sz w:val="22"/>
          <w:bdr w:val="none" w:sz="0" w:space="0" w:color="auto" w:frame="1"/>
        </w:rPr>
        <w:t xml:space="preserve">Con base en este presupuesto constitucional de liberalización de los servicios públicos domiciliarios el legislador expidió la Ley 142 de 1994, mediante la cual se establece el régimen de los servicios públicos domiciliarios. </w:t>
      </w:r>
      <w:r w:rsidRPr="00FC3C59">
        <w:rPr>
          <w:rFonts w:ascii="Arial" w:eastAsia="Calibri" w:hAnsi="Arial" w:cs="Arial"/>
          <w:color w:val="000000"/>
          <w:sz w:val="22"/>
          <w:szCs w:val="24"/>
          <w:lang w:eastAsia="es-ES_tradnl"/>
        </w:rPr>
        <w:t>E</w:t>
      </w:r>
      <w:r w:rsidRPr="00FC3C59">
        <w:rPr>
          <w:rFonts w:ascii="Arial" w:eastAsia="Calibri" w:hAnsi="Arial" w:cs="Arial"/>
          <w:color w:val="000000"/>
          <w:sz w:val="22"/>
          <w:szCs w:val="24"/>
          <w:lang w:val="es-ES_tradnl" w:eastAsia="es-ES_tradnl"/>
        </w:rPr>
        <w:t xml:space="preserve">l </w:t>
      </w:r>
      <w:bookmarkStart w:id="5" w:name="_Hlk71294880"/>
      <w:r w:rsidRPr="00FC3C59">
        <w:rPr>
          <w:rFonts w:ascii="Arial" w:eastAsia="Calibri" w:hAnsi="Arial" w:cs="Arial"/>
          <w:color w:val="000000"/>
          <w:sz w:val="22"/>
          <w:szCs w:val="24"/>
          <w:lang w:val="es-ES_tradnl" w:eastAsia="es-ES_tradnl"/>
        </w:rPr>
        <w:t xml:space="preserve">artículo 15 </w:t>
      </w:r>
      <w:bookmarkStart w:id="6" w:name="_Hlk71296753"/>
      <w:bookmarkEnd w:id="5"/>
      <w:r w:rsidRPr="00FC3C59">
        <w:rPr>
          <w:rFonts w:ascii="Arial" w:eastAsia="Calibri" w:hAnsi="Arial" w:cs="Arial"/>
          <w:i/>
          <w:iCs/>
          <w:color w:val="000000"/>
          <w:sz w:val="22"/>
          <w:szCs w:val="24"/>
          <w:lang w:val="es-ES_tradnl" w:eastAsia="es-ES_tradnl"/>
        </w:rPr>
        <w:t>ibídem</w:t>
      </w:r>
      <w:r w:rsidRPr="00FC3C59">
        <w:rPr>
          <w:rFonts w:ascii="Arial" w:eastAsia="Calibri" w:hAnsi="Arial" w:cs="Arial"/>
          <w:color w:val="000000"/>
          <w:sz w:val="22"/>
          <w:szCs w:val="24"/>
          <w:lang w:val="es-ES_tradnl" w:eastAsia="es-ES_tradnl"/>
        </w:rPr>
        <w:t xml:space="preserve"> enuncia las </w:t>
      </w:r>
      <w:bookmarkStart w:id="7" w:name="_Hlk71294901"/>
      <w:r w:rsidRPr="00FC3C59">
        <w:rPr>
          <w:rFonts w:ascii="Arial" w:eastAsia="Calibri" w:hAnsi="Arial" w:cs="Arial"/>
          <w:color w:val="000000"/>
          <w:sz w:val="22"/>
          <w:szCs w:val="24"/>
          <w:lang w:val="es-ES_tradnl" w:eastAsia="es-ES_tradnl"/>
        </w:rPr>
        <w:t xml:space="preserve">personas autorizadas para prestar los servicios públicos domiciliarios: </w:t>
      </w:r>
      <w:bookmarkEnd w:id="7"/>
      <w:r w:rsidRPr="00FC3C59">
        <w:rPr>
          <w:rFonts w:ascii="Arial" w:eastAsia="Calibri" w:hAnsi="Arial" w:cs="Arial"/>
          <w:color w:val="000000"/>
          <w:sz w:val="22"/>
          <w:szCs w:val="24"/>
          <w:lang w:val="es-ES_tradnl" w:eastAsia="es-ES_tradnl"/>
        </w:rPr>
        <w:t>i) las empresas de servicios públicos, ii) los productores marginales, iii) los municipios, en ciertos casos, iv) las organizaciones autorizadas y v) las entidades descentralizadas que se encontraran prestándolos y cumplan los requisitos establecidos en la le</w:t>
      </w:r>
      <w:bookmarkEnd w:id="6"/>
      <w:r w:rsidRPr="00FC3C59">
        <w:rPr>
          <w:rFonts w:ascii="Arial" w:eastAsia="Calibri" w:hAnsi="Arial" w:cs="Arial"/>
          <w:color w:val="000000"/>
          <w:sz w:val="22"/>
          <w:szCs w:val="24"/>
          <w:lang w:val="es-ES_tradnl" w:eastAsia="es-ES_tradnl"/>
        </w:rPr>
        <w:t>y</w:t>
      </w:r>
      <w:bookmarkEnd w:id="4"/>
      <w:r w:rsidRPr="00FC3C59">
        <w:rPr>
          <w:rFonts w:ascii="Arial" w:eastAsia="Calibri" w:hAnsi="Arial" w:cs="Arial"/>
          <w:color w:val="000000"/>
          <w:sz w:val="22"/>
          <w:szCs w:val="24"/>
          <w:vertAlign w:val="superscript"/>
          <w:lang w:val="es-ES_tradnl" w:eastAsia="es-ES_tradnl"/>
        </w:rPr>
        <w:footnoteReference w:id="22"/>
      </w:r>
      <w:r w:rsidRPr="00FC3C59">
        <w:rPr>
          <w:rFonts w:ascii="Arial" w:eastAsia="Calibri" w:hAnsi="Arial" w:cs="Arial"/>
          <w:color w:val="000000"/>
          <w:sz w:val="22"/>
          <w:szCs w:val="24"/>
          <w:lang w:val="es-ES_tradnl" w:eastAsia="es-ES_tradnl"/>
        </w:rPr>
        <w:t>.</w:t>
      </w:r>
    </w:p>
    <w:p w14:paraId="1B3360C1" w14:textId="5CE48FCC" w:rsidR="00CE321B" w:rsidRPr="00FC3C59" w:rsidRDefault="00CE321B" w:rsidP="00CE321B">
      <w:pPr>
        <w:spacing w:before="120" w:line="276" w:lineRule="auto"/>
        <w:ind w:firstLine="709"/>
        <w:jc w:val="both"/>
        <w:rPr>
          <w:rFonts w:ascii="Arial" w:eastAsia="Calibri" w:hAnsi="Arial" w:cs="Arial"/>
          <w:color w:val="000000"/>
          <w:sz w:val="22"/>
          <w:szCs w:val="24"/>
          <w:lang w:val="es-ES_tradnl" w:eastAsia="es-ES_tradnl"/>
        </w:rPr>
      </w:pPr>
      <w:r w:rsidRPr="00FC3C59">
        <w:rPr>
          <w:rFonts w:ascii="Arial" w:eastAsia="Calibri" w:hAnsi="Arial" w:cs="Arial"/>
          <w:color w:val="000000"/>
          <w:sz w:val="22"/>
          <w:szCs w:val="24"/>
          <w:lang w:val="es-ES_tradnl" w:eastAsia="es-ES_tradnl"/>
        </w:rPr>
        <w:t>El artículo 14 de dicha Ley clasificó a las empresas de servicios públicos domiciliarios así: i) oficial –«[…] aquella en cuyo capital la Nación, las entidades territoriales, o las entidades descentralizadas de aquella o estas tienen el 100% de los aportes»–, ii) mixta –«[…] aquella en cuyo capital la Nación, las entidades territoriales, o las entidades descentralizadas de aquella o éstas tienen aportes iguales o superiores al 50%»– y iii) privada –«[…] aquella cuyo capital pertenece mayoritariamente a particulares, o a entidades surgidas de convenios internacionales que deseen someterse íntegramente para estos efectos a las reglas a las que se someten los particulares»–.</w:t>
      </w:r>
    </w:p>
    <w:p w14:paraId="1D137E18" w14:textId="6C463823" w:rsidR="00CE321B" w:rsidRPr="00FC3C59" w:rsidRDefault="00CE321B" w:rsidP="00CE321B">
      <w:pPr>
        <w:spacing w:before="120" w:line="276" w:lineRule="auto"/>
        <w:ind w:firstLine="709"/>
        <w:jc w:val="both"/>
        <w:rPr>
          <w:rFonts w:ascii="Arial" w:eastAsia="Calibri" w:hAnsi="Arial" w:cs="Arial"/>
          <w:color w:val="000000"/>
          <w:sz w:val="22"/>
          <w:szCs w:val="24"/>
          <w:lang w:val="es-ES_tradnl" w:eastAsia="es-ES_tradnl"/>
        </w:rPr>
      </w:pPr>
      <w:r w:rsidRPr="00FC3C59">
        <w:rPr>
          <w:rFonts w:ascii="Arial" w:eastAsia="Calibri" w:hAnsi="Arial" w:cs="Arial"/>
          <w:color w:val="000000"/>
          <w:sz w:val="22"/>
          <w:szCs w:val="24"/>
          <w:lang w:val="es-ES_tradnl" w:eastAsia="es-ES_tradnl"/>
        </w:rPr>
        <w:t>En lo que atañe específicamente al régimen de contratación, el artículo 31 de la Ley 142 de 1994, modificado por el artículo 3 de la Ley 689 de 2001, dispone que</w:t>
      </w:r>
      <w:r w:rsidRPr="00FC3C59">
        <w:rPr>
          <w:rFonts w:ascii="Arial" w:eastAsia="Calibri" w:hAnsi="Arial" w:cs="Arial"/>
          <w:color w:val="000000"/>
          <w:sz w:val="22"/>
          <w:bdr w:val="none" w:sz="0" w:space="0" w:color="auto" w:frame="1"/>
        </w:rPr>
        <w:t xml:space="preserve"> los contratos </w:t>
      </w:r>
      <w:r w:rsidRPr="00FC3C59">
        <w:rPr>
          <w:rFonts w:ascii="Arial" w:eastAsia="Calibri" w:hAnsi="Arial" w:cs="Arial"/>
          <w:color w:val="000000"/>
          <w:sz w:val="22"/>
          <w:bdr w:val="none" w:sz="0" w:space="0" w:color="auto" w:frame="1"/>
        </w:rPr>
        <w:lastRenderedPageBreak/>
        <w:t>que celebren las entidades estatales que prestan los servicios públicos domiciliarios «no estarán sujetos a las disposiciones del Estatuto General de Contratación de la Administración Pública, salvo en lo que la presente ley disponga otra cosa»</w:t>
      </w:r>
      <w:r w:rsidRPr="00FC3C59">
        <w:rPr>
          <w:rFonts w:ascii="Arial" w:eastAsia="Calibri" w:hAnsi="Arial" w:cs="Arial"/>
          <w:color w:val="000000"/>
          <w:sz w:val="22"/>
          <w:szCs w:val="24"/>
          <w:lang w:val="es-ES_tradnl" w:eastAsia="es-ES_tradnl"/>
        </w:rPr>
        <w:t xml:space="preserve">. Por su parte, el artículo 32 de la Ley 142 consagra el régimen de derecho privado para las empresas de servicios públicos domiciliarios, indicando que sus actos se rigen por </w:t>
      </w:r>
      <w:r w:rsidR="00D0776D" w:rsidRPr="00FC3C59">
        <w:rPr>
          <w:rFonts w:ascii="Arial" w:eastAsia="Calibri" w:hAnsi="Arial" w:cs="Arial"/>
          <w:color w:val="000000"/>
          <w:sz w:val="22"/>
          <w:szCs w:val="24"/>
          <w:lang w:val="es-ES_tradnl" w:eastAsia="es-ES_tradnl"/>
        </w:rPr>
        <w:t>las</w:t>
      </w:r>
      <w:r w:rsidRPr="00FC3C59">
        <w:rPr>
          <w:rFonts w:ascii="Arial" w:eastAsia="Calibri" w:hAnsi="Arial" w:cs="Arial"/>
          <w:color w:val="000000"/>
          <w:sz w:val="22"/>
          <w:szCs w:val="24"/>
          <w:lang w:val="es-ES_tradnl" w:eastAsia="es-ES_tradnl"/>
        </w:rPr>
        <w:t xml:space="preserve"> reglas </w:t>
      </w:r>
      <w:r w:rsidR="00D0776D" w:rsidRPr="00FC3C59">
        <w:rPr>
          <w:rFonts w:ascii="Arial" w:eastAsia="Calibri" w:hAnsi="Arial" w:cs="Arial"/>
          <w:color w:val="000000"/>
          <w:sz w:val="22"/>
          <w:szCs w:val="24"/>
          <w:lang w:val="es-ES_tradnl" w:eastAsia="es-ES_tradnl"/>
        </w:rPr>
        <w:t>del derecho privado</w:t>
      </w:r>
      <w:r w:rsidRPr="00FC3C59">
        <w:rPr>
          <w:rFonts w:ascii="Arial" w:eastAsia="Calibri" w:hAnsi="Arial" w:cs="Arial"/>
          <w:color w:val="000000"/>
          <w:sz w:val="22"/>
          <w:szCs w:val="24"/>
          <w:vertAlign w:val="superscript"/>
          <w:lang w:val="es-ES_tradnl" w:eastAsia="es-ES_tradnl"/>
        </w:rPr>
        <w:footnoteReference w:id="23"/>
      </w:r>
      <w:r w:rsidRPr="00FC3C59">
        <w:rPr>
          <w:rFonts w:ascii="Arial" w:eastAsia="Calibri" w:hAnsi="Arial" w:cs="Arial"/>
          <w:color w:val="000000"/>
          <w:sz w:val="22"/>
          <w:szCs w:val="24"/>
          <w:lang w:val="es-ES_tradnl" w:eastAsia="es-ES_tradnl"/>
        </w:rPr>
        <w:t>.</w:t>
      </w:r>
    </w:p>
    <w:p w14:paraId="0FD9181E" w14:textId="77777777" w:rsidR="00CE321B" w:rsidRPr="00FC3C59" w:rsidRDefault="00CE321B" w:rsidP="00CE321B">
      <w:pPr>
        <w:spacing w:before="120" w:line="276" w:lineRule="auto"/>
        <w:ind w:firstLine="709"/>
        <w:jc w:val="both"/>
        <w:rPr>
          <w:rFonts w:ascii="Arial" w:eastAsia="Calibri" w:hAnsi="Arial" w:cs="Arial"/>
          <w:color w:val="000000"/>
          <w:sz w:val="22"/>
          <w:szCs w:val="24"/>
          <w:lang w:val="es-ES_tradnl" w:eastAsia="es-ES_tradnl"/>
        </w:rPr>
      </w:pPr>
      <w:r w:rsidRPr="00FC3C59">
        <w:rPr>
          <w:rFonts w:ascii="Arial" w:eastAsia="Calibri" w:hAnsi="Arial" w:cs="Arial"/>
          <w:color w:val="000000"/>
          <w:sz w:val="22"/>
          <w:szCs w:val="24"/>
          <w:lang w:val="es-ES_tradnl" w:eastAsia="es-ES_tradnl"/>
        </w:rPr>
        <w:t>En consecuencia, 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w:t>
      </w:r>
      <w:r w:rsidRPr="00FC3C59">
        <w:rPr>
          <w:rFonts w:ascii="Arial" w:eastAsia="Calibri" w:hAnsi="Arial" w:cs="Arial"/>
          <w:color w:val="000000"/>
          <w:sz w:val="21"/>
          <w:szCs w:val="21"/>
          <w:vertAlign w:val="superscript"/>
          <w:lang w:val="es-ES_tradnl" w:eastAsia="es-ES_tradnl"/>
        </w:rPr>
        <w:footnoteReference w:id="24"/>
      </w:r>
      <w:r w:rsidRPr="00FC3C59">
        <w:rPr>
          <w:rFonts w:ascii="Arial" w:eastAsia="Calibri" w:hAnsi="Arial" w:cs="Arial"/>
          <w:color w:val="000000"/>
          <w:sz w:val="21"/>
          <w:szCs w:val="21"/>
          <w:lang w:val="es-ES_tradnl" w:eastAsia="es-ES_tradnl"/>
        </w:rPr>
        <w:t>.</w:t>
      </w:r>
      <w:r w:rsidRPr="00FC3C59">
        <w:rPr>
          <w:rFonts w:ascii="Arial" w:eastAsia="Calibri" w:hAnsi="Arial" w:cs="Arial"/>
          <w:color w:val="000000"/>
          <w:sz w:val="22"/>
          <w:szCs w:val="24"/>
          <w:lang w:val="es-ES_tradnl" w:eastAsia="es-ES_tradnl"/>
        </w:rPr>
        <w:t xml:space="preserve"> En otras palabras, </w:t>
      </w:r>
      <w:bookmarkStart w:id="8" w:name="_Hlk71653647"/>
      <w:r w:rsidRPr="00FC3C59">
        <w:rPr>
          <w:rFonts w:ascii="Arial" w:eastAsia="Calibri" w:hAnsi="Arial" w:cs="Arial"/>
          <w:color w:val="000000"/>
          <w:sz w:val="22"/>
          <w:szCs w:val="24"/>
          <w:lang w:val="es-ES_tradnl" w:eastAsia="es-ES_tradnl"/>
        </w:rPr>
        <w:t xml:space="preserve">las empresas prestadoras de servicios públicos domiciliarios </w:t>
      </w:r>
      <w:bookmarkStart w:id="9" w:name="_Hlk71738505"/>
      <w:r w:rsidRPr="00FC3C59">
        <w:rPr>
          <w:rFonts w:ascii="Arial" w:eastAsia="Calibri" w:hAnsi="Arial" w:cs="Arial"/>
          <w:color w:val="000000"/>
          <w:sz w:val="22"/>
          <w:szCs w:val="24"/>
          <w:lang w:val="es-ES_tradnl" w:eastAsia="es-ES_tradnl"/>
        </w:rPr>
        <w:t xml:space="preserve">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Ley 1150 de 2007 y demás normas complementarias. </w:t>
      </w:r>
    </w:p>
    <w:bookmarkEnd w:id="8"/>
    <w:bookmarkEnd w:id="9"/>
    <w:p w14:paraId="167EEF9F" w14:textId="48B6479C" w:rsidR="00CE321B" w:rsidRPr="00FC3C59" w:rsidRDefault="00CE321B" w:rsidP="00CE321B">
      <w:pPr>
        <w:spacing w:before="120" w:line="276" w:lineRule="auto"/>
        <w:ind w:firstLine="709"/>
        <w:jc w:val="both"/>
        <w:rPr>
          <w:rFonts w:ascii="Arial" w:eastAsia="Calibri" w:hAnsi="Arial" w:cs="Arial"/>
          <w:color w:val="000000"/>
          <w:sz w:val="22"/>
          <w:szCs w:val="24"/>
          <w:lang w:val="es-ES_tradnl" w:eastAsia="es-ES_tradnl"/>
        </w:rPr>
      </w:pPr>
      <w:r w:rsidRPr="00FC3C59">
        <w:rPr>
          <w:rFonts w:ascii="Arial" w:eastAsia="Calibri" w:hAnsi="Arial" w:cs="Arial"/>
          <w:color w:val="000000"/>
          <w:sz w:val="22"/>
          <w:szCs w:val="24"/>
          <w:lang w:val="es-ES_tradnl" w:eastAsia="es-ES_tradnl"/>
        </w:rPr>
        <w:t>Lo anterior no significa que la actividad contractual de las empresas prestadoras de servicios públicos domiciliarios se rija por un «derecho privado puro», pues este se encuentra irrigado por los principios de la función administrativa y de la gestión fiscal, previstos en los artículos 209 y 267 de la Constitución, toda vez que así lo dispone el artículo 13 de la Ley 1150 de 2007</w:t>
      </w:r>
      <w:r w:rsidRPr="00FC3C59">
        <w:rPr>
          <w:rFonts w:ascii="Arial" w:eastAsia="Calibri" w:hAnsi="Arial" w:cs="Arial"/>
          <w:color w:val="000000"/>
          <w:sz w:val="22"/>
          <w:szCs w:val="24"/>
          <w:vertAlign w:val="superscript"/>
          <w:lang w:val="es-ES_tradnl" w:eastAsia="es-ES_tradnl"/>
        </w:rPr>
        <w:footnoteReference w:id="25"/>
      </w:r>
      <w:r w:rsidRPr="00FC3C59">
        <w:rPr>
          <w:rFonts w:ascii="Arial" w:eastAsia="Calibri" w:hAnsi="Arial" w:cs="Arial"/>
          <w:color w:val="000000"/>
          <w:sz w:val="22"/>
          <w:szCs w:val="24"/>
          <w:lang w:val="es-ES_tradnl" w:eastAsia="es-ES_tradnl"/>
        </w:rPr>
        <w:t>.</w:t>
      </w:r>
    </w:p>
    <w:p w14:paraId="13E61A45" w14:textId="55D68D29" w:rsidR="00CE321B" w:rsidRPr="00FC3C59" w:rsidRDefault="00CE321B" w:rsidP="00CE321B">
      <w:pPr>
        <w:spacing w:before="120" w:line="276" w:lineRule="auto"/>
        <w:ind w:firstLine="709"/>
        <w:jc w:val="both"/>
        <w:rPr>
          <w:rFonts w:ascii="Arial" w:eastAsia="Calibri" w:hAnsi="Arial" w:cs="Arial"/>
          <w:color w:val="000000"/>
          <w:sz w:val="22"/>
          <w:szCs w:val="24"/>
          <w:lang w:val="es-ES_tradnl" w:eastAsia="es-ES_tradnl"/>
        </w:rPr>
      </w:pPr>
      <w:r w:rsidRPr="00FC3C59">
        <w:rPr>
          <w:rFonts w:ascii="Arial" w:eastAsia="Calibri" w:hAnsi="Arial" w:cs="Arial"/>
          <w:color w:val="000000"/>
          <w:sz w:val="22"/>
          <w:szCs w:val="24"/>
          <w:lang w:val="es-ES_tradnl" w:eastAsia="es-ES_tradnl"/>
        </w:rPr>
        <w:lastRenderedPageBreak/>
        <w:t xml:space="preserve">En armonía con lo anterior, </w:t>
      </w:r>
      <w:r w:rsidR="001672CE" w:rsidRPr="00FC3C59">
        <w:rPr>
          <w:rFonts w:ascii="Arial" w:eastAsia="Calibri" w:hAnsi="Arial" w:cs="Arial"/>
          <w:color w:val="000000"/>
          <w:sz w:val="22"/>
          <w:szCs w:val="24"/>
          <w:lang w:val="es-ES_tradnl" w:eastAsia="es-ES_tradnl"/>
        </w:rPr>
        <w:t>al contar las empresas de servicios públicos domiciliarios con un régimen contractual distinto al establecido en el Estatuto General de Contratación de la Administración Pública</w:t>
      </w:r>
      <w:r w:rsidR="0083053B" w:rsidRPr="00FC3C59">
        <w:rPr>
          <w:rFonts w:ascii="Arial" w:eastAsia="Calibri" w:hAnsi="Arial" w:cs="Arial"/>
          <w:color w:val="000000"/>
          <w:sz w:val="22"/>
          <w:szCs w:val="24"/>
          <w:lang w:val="es-ES_tradnl" w:eastAsia="es-ES_tradnl"/>
        </w:rPr>
        <w:t xml:space="preserve">, esto es, al regirse por el derecho privado, serán destinatarias de los documentos tipo con fundamento en el artículo 56 de la Ley 2195 de 2022, siempre que se cumplan con los presupuestos para su aplicación, de conformidad con las explicaciones realizadas en este concepto respecto al contenido de dicha disposición. </w:t>
      </w:r>
    </w:p>
    <w:p w14:paraId="58513EA0" w14:textId="77777777" w:rsidR="00961964" w:rsidRPr="00FC3C59" w:rsidRDefault="00961964" w:rsidP="00961964">
      <w:pPr>
        <w:tabs>
          <w:tab w:val="left" w:pos="0"/>
        </w:tabs>
        <w:spacing w:line="276" w:lineRule="auto"/>
        <w:jc w:val="both"/>
        <w:rPr>
          <w:rFonts w:ascii="Arial" w:eastAsia="Calibri" w:hAnsi="Arial" w:cs="Arial"/>
          <w:bCs/>
          <w:sz w:val="22"/>
          <w:lang w:val="es-ES_tradnl"/>
        </w:rPr>
      </w:pPr>
    </w:p>
    <w:p w14:paraId="678E5196" w14:textId="56D10B2A" w:rsidR="00915830" w:rsidRPr="00FC3C59" w:rsidRDefault="00915830" w:rsidP="005636AC">
      <w:pPr>
        <w:tabs>
          <w:tab w:val="left" w:pos="0"/>
        </w:tabs>
        <w:spacing w:line="276" w:lineRule="auto"/>
        <w:jc w:val="both"/>
        <w:rPr>
          <w:rFonts w:ascii="Arial" w:eastAsia="Calibri" w:hAnsi="Arial" w:cs="Arial"/>
          <w:bCs/>
          <w:sz w:val="22"/>
          <w:lang w:val="es-ES_tradnl"/>
        </w:rPr>
      </w:pPr>
      <w:r w:rsidRPr="00FC3C59">
        <w:rPr>
          <w:rFonts w:ascii="Arial" w:eastAsia="Calibri" w:hAnsi="Arial" w:cs="Arial"/>
          <w:b/>
          <w:sz w:val="22"/>
          <w:lang w:val="es-ES_tradnl"/>
        </w:rPr>
        <w:t>3. Respuesta</w:t>
      </w:r>
    </w:p>
    <w:p w14:paraId="59DCD3EA" w14:textId="77777777" w:rsidR="00915830" w:rsidRPr="00FC3C59" w:rsidRDefault="00915830" w:rsidP="00915830">
      <w:pPr>
        <w:tabs>
          <w:tab w:val="left" w:pos="426"/>
        </w:tabs>
        <w:spacing w:line="276" w:lineRule="auto"/>
        <w:ind w:right="709"/>
        <w:jc w:val="both"/>
        <w:rPr>
          <w:rFonts w:ascii="Arial" w:eastAsia="Calibri" w:hAnsi="Arial" w:cs="Arial"/>
          <w:sz w:val="22"/>
          <w:lang w:val="es-ES_tradnl"/>
        </w:rPr>
      </w:pPr>
    </w:p>
    <w:p w14:paraId="38253EA9" w14:textId="77777777" w:rsidR="005636AC" w:rsidRPr="00FC3C59" w:rsidRDefault="005636AC" w:rsidP="005636AC">
      <w:pPr>
        <w:pStyle w:val="NormalWeb"/>
        <w:spacing w:before="0" w:beforeAutospacing="0" w:after="0" w:afterAutospacing="0"/>
        <w:ind w:left="709" w:right="709"/>
        <w:jc w:val="both"/>
        <w:rPr>
          <w:rFonts w:ascii="Arial" w:hAnsi="Arial" w:cs="Arial"/>
          <w:sz w:val="22"/>
          <w:szCs w:val="22"/>
        </w:rPr>
      </w:pPr>
      <w:r w:rsidRPr="00FC3C59">
        <w:rPr>
          <w:rFonts w:ascii="Arial" w:hAnsi="Arial" w:cs="Arial"/>
          <w:sz w:val="22"/>
          <w:szCs w:val="22"/>
        </w:rPr>
        <w:t>«¿Los pliegos tipo de agua y saneamiento, son obligatorios para una empresa de servicios públicos domiciliarios que tiene régimen especial para la contratación, bajo la aplicación del art. 56 de la Ley 2195 de 2022?»</w:t>
      </w:r>
    </w:p>
    <w:p w14:paraId="1A85AE80" w14:textId="77777777" w:rsidR="00915830" w:rsidRPr="00FC3C59" w:rsidRDefault="00915830" w:rsidP="00915830">
      <w:pPr>
        <w:tabs>
          <w:tab w:val="left" w:pos="426"/>
        </w:tabs>
        <w:spacing w:line="276" w:lineRule="auto"/>
        <w:ind w:right="709"/>
        <w:jc w:val="both"/>
        <w:rPr>
          <w:rFonts w:ascii="Arial" w:hAnsi="Arial" w:cs="Arial"/>
          <w:color w:val="000000" w:themeColor="text1"/>
          <w:sz w:val="22"/>
          <w:lang w:val="es-ES_tradnl"/>
        </w:rPr>
      </w:pPr>
    </w:p>
    <w:p w14:paraId="44DE25DD" w14:textId="183859AC" w:rsidR="00374D1B" w:rsidRPr="00FC3C59" w:rsidRDefault="00915830" w:rsidP="005636AC">
      <w:pPr>
        <w:tabs>
          <w:tab w:val="left" w:pos="426"/>
        </w:tabs>
        <w:spacing w:after="120" w:line="276" w:lineRule="auto"/>
        <w:jc w:val="both"/>
        <w:rPr>
          <w:rFonts w:ascii="Arial" w:hAnsi="Arial" w:cs="Arial"/>
          <w:sz w:val="22"/>
          <w:shd w:val="clear" w:color="auto" w:fill="FFFFFF"/>
          <w:lang w:val="es-ES_tradnl"/>
        </w:rPr>
      </w:pPr>
      <w:r w:rsidRPr="00FC3C59">
        <w:rPr>
          <w:rFonts w:ascii="Arial" w:eastAsia="Calibri" w:hAnsi="Arial" w:cs="Arial"/>
          <w:bCs/>
          <w:sz w:val="22"/>
          <w:lang w:val="es-ES_tradnl"/>
        </w:rPr>
        <w:t>De acuerdo con la</w:t>
      </w:r>
      <w:r w:rsidR="00DB67B0" w:rsidRPr="00FC3C59">
        <w:rPr>
          <w:rFonts w:ascii="Arial" w:eastAsia="Calibri" w:hAnsi="Arial" w:cs="Arial"/>
          <w:bCs/>
          <w:sz w:val="22"/>
          <w:lang w:val="es-ES_tradnl"/>
        </w:rPr>
        <w:t>s consideraciones</w:t>
      </w:r>
      <w:r w:rsidRPr="00FC3C59">
        <w:rPr>
          <w:rFonts w:ascii="Arial" w:eastAsia="Calibri" w:hAnsi="Arial" w:cs="Arial"/>
          <w:bCs/>
          <w:sz w:val="22"/>
          <w:lang w:val="es-ES_tradnl"/>
        </w:rPr>
        <w:t xml:space="preserve">, </w:t>
      </w:r>
      <w:r w:rsidR="005636AC" w:rsidRPr="00FC3C59">
        <w:rPr>
          <w:rFonts w:ascii="Arial" w:eastAsia="Calibri" w:hAnsi="Arial" w:cs="Arial"/>
          <w:color w:val="000000" w:themeColor="text1"/>
          <w:sz w:val="22"/>
        </w:rPr>
        <w:t>e</w:t>
      </w:r>
      <w:r w:rsidRPr="00FC3C59">
        <w:rPr>
          <w:rFonts w:ascii="Arial" w:hAnsi="Arial" w:cs="Arial"/>
          <w:sz w:val="22"/>
          <w:shd w:val="clear" w:color="auto" w:fill="FFFFFF"/>
          <w:lang w:val="es-ES_tradnl"/>
        </w:rPr>
        <w:t xml:space="preserve">n virtud de lo establecido en el parágrafo 7 del artículo 2 de la Ley 1150 de 2007, modificado por la Ley 2022 de 2020, las entidades estatales regidas por el Estatuto General de Contratación de la Administración Pública están obligadas a aplicar los documentos tipo en los procedimientos y contratos que adelanten en aplicación de dicha normativa. </w:t>
      </w:r>
    </w:p>
    <w:p w14:paraId="0065CB66" w14:textId="0A1B5E1D" w:rsidR="00DB67B0" w:rsidRPr="00FC3C59" w:rsidRDefault="00374D1B" w:rsidP="005636AC">
      <w:pPr>
        <w:tabs>
          <w:tab w:val="left" w:pos="426"/>
        </w:tabs>
        <w:spacing w:after="120" w:line="276" w:lineRule="auto"/>
        <w:jc w:val="both"/>
        <w:rPr>
          <w:rFonts w:ascii="Arial" w:eastAsia="Calibri" w:hAnsi="Arial" w:cs="Arial"/>
          <w:color w:val="000000" w:themeColor="text1"/>
          <w:sz w:val="22"/>
        </w:rPr>
      </w:pPr>
      <w:r w:rsidRPr="00FC3C59">
        <w:rPr>
          <w:rFonts w:ascii="Arial" w:hAnsi="Arial" w:cs="Arial"/>
          <w:sz w:val="22"/>
          <w:shd w:val="clear" w:color="auto" w:fill="FFFFFF"/>
          <w:lang w:val="es-ES_tradnl"/>
        </w:rPr>
        <w:tab/>
      </w:r>
      <w:r w:rsidRPr="00FC3C59">
        <w:rPr>
          <w:rFonts w:ascii="Arial" w:hAnsi="Arial" w:cs="Arial"/>
          <w:sz w:val="22"/>
          <w:shd w:val="clear" w:color="auto" w:fill="FFFFFF"/>
          <w:lang w:val="es-ES_tradnl"/>
        </w:rPr>
        <w:tab/>
      </w:r>
      <w:r w:rsidR="00DB67B0" w:rsidRPr="00FC3C59">
        <w:rPr>
          <w:rFonts w:ascii="Arial" w:hAnsi="Arial" w:cs="Arial"/>
          <w:sz w:val="22"/>
          <w:shd w:val="clear" w:color="auto" w:fill="FFFFFF"/>
          <w:lang w:val="es-ES_tradnl"/>
        </w:rPr>
        <w:t>Adicionalmente, cuando estas entidades suscriban convenios o contratos de cualquier índole con entidades estatales de régimen especial o exceptuado, patrimonios autónomos, personas naturales o jurídicas de derecho privado, en atención a lo dispuesto en los dos primeros incisos del artículo 56 de la Ley 2195 de 2022, estos últimos también deberán aplicar documentos tipo, y en general, las disposiciones del Estatuto General de Contratación de la Administración Pública en los procedimientos de selección  y  los  contratos  que  realicen  en  desarrollo  de los anteriores negocios jurídicos.</w:t>
      </w:r>
    </w:p>
    <w:p w14:paraId="4C8C2D7E" w14:textId="260EE5F8" w:rsidR="00915830" w:rsidRPr="00FC3C59" w:rsidRDefault="00DB67B0" w:rsidP="00DB67B0">
      <w:pPr>
        <w:tabs>
          <w:tab w:val="left" w:pos="426"/>
        </w:tabs>
        <w:spacing w:after="120" w:line="276" w:lineRule="auto"/>
        <w:jc w:val="both"/>
        <w:rPr>
          <w:rFonts w:ascii="Arial" w:hAnsi="Arial" w:cs="Arial"/>
          <w:sz w:val="22"/>
          <w:shd w:val="clear" w:color="auto" w:fill="FFFFFF"/>
          <w:lang w:val="es-ES_tradnl"/>
        </w:rPr>
      </w:pPr>
      <w:r w:rsidRPr="00FC3C59">
        <w:rPr>
          <w:rFonts w:ascii="Arial" w:hAnsi="Arial" w:cs="Arial"/>
          <w:sz w:val="22"/>
          <w:shd w:val="clear" w:color="auto" w:fill="FFFFFF"/>
          <w:lang w:val="es-ES_tradnl"/>
        </w:rPr>
        <w:tab/>
      </w:r>
      <w:r w:rsidRPr="00FC3C59">
        <w:rPr>
          <w:rFonts w:ascii="Arial" w:hAnsi="Arial" w:cs="Arial"/>
          <w:sz w:val="22"/>
          <w:shd w:val="clear" w:color="auto" w:fill="FFFFFF"/>
          <w:lang w:val="es-ES_tradnl"/>
        </w:rPr>
        <w:tab/>
        <w:t>En este sentido</w:t>
      </w:r>
      <w:r w:rsidR="00915830" w:rsidRPr="00FC3C59">
        <w:rPr>
          <w:rFonts w:ascii="Arial" w:hAnsi="Arial" w:cs="Arial"/>
          <w:sz w:val="22"/>
          <w:shd w:val="clear" w:color="auto" w:fill="FFFFFF"/>
          <w:lang w:val="es-ES_tradnl"/>
        </w:rPr>
        <w:t xml:space="preserve">, la aplicación del régimen contractual público y de los documentos tipo que deviene del cumplimiento del artículo 56 no se agota en la celebración del convenio o contrato propiamente dicho, sino que, por el contrario, se extiende a los compromisos contractuales derivados de este. Esto dado que el segundo inciso de la norma dispone la aplicación del Estatuto General de Contratación de la Administración Pública y de los documentos tipo en todos los procedimientos de selección y los contratos que deban celebrarse para cumplir con los contratos o convenios celebrados entre una entidad sometida a la Ley 80 de 1993 y uno de los sujetos antes mencionados. Esto implica que si una entidad exceptuada, un patrimonio autónomo o una persona natural o jurídica de derecho privado, en cumplimiento de un compromiso asumido en el contrato celebrado con </w:t>
      </w:r>
      <w:r w:rsidR="00915830" w:rsidRPr="00FC3C59">
        <w:rPr>
          <w:rFonts w:ascii="Arial" w:hAnsi="Arial" w:cs="Arial"/>
          <w:sz w:val="22"/>
          <w:shd w:val="clear" w:color="auto" w:fill="FFFFFF"/>
          <w:lang w:val="es-ES_tradnl"/>
        </w:rPr>
        <w:lastRenderedPageBreak/>
        <w:t xml:space="preserve">una entidad sometida al Estatuto General, debe contratar una obra o servicio cobijado por algún documento tipo, </w:t>
      </w:r>
      <w:r w:rsidR="00915830" w:rsidRPr="00FC3C59">
        <w:rPr>
          <w:rFonts w:ascii="Arial" w:hAnsi="Arial" w:cs="Arial"/>
          <w:sz w:val="22"/>
          <w:lang w:val="es-ES_tradnl"/>
        </w:rPr>
        <w:t>estará obligada a</w:t>
      </w:r>
      <w:r w:rsidR="00915830" w:rsidRPr="00FC3C59">
        <w:rPr>
          <w:rFonts w:ascii="Arial" w:hAnsi="Arial" w:cs="Arial"/>
          <w:sz w:val="22"/>
          <w:shd w:val="clear" w:color="auto" w:fill="FFFFFF"/>
          <w:lang w:val="es-ES_tradnl"/>
        </w:rPr>
        <w:t xml:space="preserve"> hacerlo aplicando los mencionados documentos tipo, además de adelantar el </w:t>
      </w:r>
      <w:r w:rsidRPr="00FC3C59">
        <w:rPr>
          <w:rFonts w:ascii="Arial" w:hAnsi="Arial" w:cs="Arial"/>
          <w:sz w:val="22"/>
          <w:shd w:val="clear" w:color="auto" w:fill="FFFFFF"/>
          <w:lang w:val="es-ES_tradnl"/>
        </w:rPr>
        <w:t>p</w:t>
      </w:r>
      <w:r w:rsidR="00915830" w:rsidRPr="00FC3C59">
        <w:rPr>
          <w:rFonts w:ascii="Arial" w:hAnsi="Arial" w:cs="Arial"/>
          <w:sz w:val="22"/>
          <w:shd w:val="clear" w:color="auto" w:fill="FFFFFF"/>
          <w:lang w:val="es-ES_tradnl"/>
        </w:rPr>
        <w:t xml:space="preserve">roceso de </w:t>
      </w:r>
      <w:r w:rsidRPr="00FC3C59">
        <w:rPr>
          <w:rFonts w:ascii="Arial" w:hAnsi="Arial" w:cs="Arial"/>
          <w:sz w:val="22"/>
          <w:shd w:val="clear" w:color="auto" w:fill="FFFFFF"/>
          <w:lang w:val="es-ES_tradnl"/>
        </w:rPr>
        <w:t>c</w:t>
      </w:r>
      <w:r w:rsidR="00915830" w:rsidRPr="00FC3C59">
        <w:rPr>
          <w:rFonts w:ascii="Arial" w:hAnsi="Arial" w:cs="Arial"/>
          <w:sz w:val="22"/>
          <w:shd w:val="clear" w:color="auto" w:fill="FFFFFF"/>
          <w:lang w:val="es-ES_tradnl"/>
        </w:rPr>
        <w:t>ontratación y celebrar el contrato conforme al Estatuto General de Contratación de la Administración Públic</w:t>
      </w:r>
      <w:r w:rsidRPr="00FC3C59">
        <w:rPr>
          <w:rFonts w:ascii="Arial" w:hAnsi="Arial" w:cs="Arial"/>
          <w:sz w:val="22"/>
          <w:shd w:val="clear" w:color="auto" w:fill="FFFFFF"/>
          <w:lang w:val="es-ES_tradnl"/>
        </w:rPr>
        <w:t xml:space="preserve">a, </w:t>
      </w:r>
      <w:r w:rsidRPr="00FC3C59">
        <w:rPr>
          <w:rFonts w:ascii="Arial" w:eastAsia="Calibri" w:hAnsi="Arial" w:cs="Arial"/>
          <w:sz w:val="22"/>
          <w:lang w:val="es-ES" w:eastAsia="es-ES"/>
        </w:rPr>
        <w:t>todo lo anterior, siempre que exista un documento tipo aplicable al objeto a contratar.</w:t>
      </w:r>
      <w:r w:rsidR="00915830" w:rsidRPr="00FC3C59">
        <w:rPr>
          <w:rFonts w:ascii="Arial" w:hAnsi="Arial" w:cs="Arial"/>
          <w:sz w:val="22"/>
          <w:shd w:val="clear" w:color="auto" w:fill="FFFFFF"/>
          <w:lang w:val="es-ES_tradnl"/>
        </w:rPr>
        <w:t xml:space="preserve">  </w:t>
      </w:r>
    </w:p>
    <w:p w14:paraId="38BA1FDA" w14:textId="02F0A353" w:rsidR="00915830" w:rsidRPr="00FC3C59" w:rsidRDefault="00915830" w:rsidP="00DB67B0">
      <w:pPr>
        <w:spacing w:before="120" w:line="276" w:lineRule="auto"/>
        <w:ind w:firstLine="708"/>
        <w:jc w:val="both"/>
        <w:rPr>
          <w:rFonts w:ascii="Arial" w:hAnsi="Arial" w:cs="Arial"/>
          <w:sz w:val="22"/>
          <w:shd w:val="clear" w:color="auto" w:fill="FFFFFF"/>
          <w:lang w:val="es-ES_tradnl"/>
        </w:rPr>
      </w:pPr>
      <w:r w:rsidRPr="00FC3C59">
        <w:rPr>
          <w:rFonts w:ascii="Arial" w:hAnsi="Arial" w:cs="Arial"/>
          <w:sz w:val="22"/>
          <w:shd w:val="clear" w:color="auto" w:fill="FFFFFF"/>
          <w:lang w:val="es-ES_tradnl"/>
        </w:rPr>
        <w:t xml:space="preserve">No obstante, </w:t>
      </w:r>
      <w:r w:rsidR="00DB67B0" w:rsidRPr="00FC3C59">
        <w:rPr>
          <w:rFonts w:ascii="Arial" w:hAnsi="Arial" w:cs="Arial"/>
          <w:sz w:val="22"/>
          <w:shd w:val="clear" w:color="auto" w:fill="FFFFFF"/>
          <w:lang w:val="es-ES_tradnl"/>
        </w:rPr>
        <w:t xml:space="preserve">partiendo del esquema anterior, </w:t>
      </w:r>
      <w:r w:rsidRPr="00FC3C59">
        <w:rPr>
          <w:rFonts w:ascii="Arial" w:hAnsi="Arial" w:cs="Arial"/>
          <w:sz w:val="22"/>
          <w:shd w:val="clear" w:color="auto" w:fill="FFFFFF"/>
          <w:lang w:val="es-ES_tradnl"/>
        </w:rPr>
        <w:t xml:space="preserve">de conformidad con lo establecido en el parágrafo de dicha norma, </w:t>
      </w:r>
      <w:r w:rsidR="00DB67B0" w:rsidRPr="00FC3C59">
        <w:rPr>
          <w:rFonts w:ascii="Arial" w:hAnsi="Arial" w:cs="Arial"/>
          <w:sz w:val="22"/>
          <w:shd w:val="clear" w:color="auto" w:fill="FFFFFF"/>
          <w:lang w:val="es-ES_tradnl"/>
        </w:rPr>
        <w:t>«las Instituciones de Educación Superior públicas, las empresas sociales del Estado, las sociedades de economía mixta y las empresas industriales y comerciales del Estado»</w:t>
      </w:r>
      <w:r w:rsidRPr="00FC3C59">
        <w:rPr>
          <w:rFonts w:ascii="Arial" w:eastAsia="Calibri" w:hAnsi="Arial" w:cs="Arial"/>
          <w:bCs/>
          <w:sz w:val="22"/>
          <w:lang w:val="es-ES_tradnl"/>
        </w:rPr>
        <w:t>, están exceptuadas de la aplicación de lo</w:t>
      </w:r>
      <w:r w:rsidRPr="00FC3C59">
        <w:rPr>
          <w:rFonts w:ascii="Arial" w:hAnsi="Arial" w:cs="Arial"/>
          <w:sz w:val="22"/>
          <w:shd w:val="clear" w:color="auto" w:fill="FFFFFF"/>
          <w:lang w:val="es-ES_tradnl"/>
        </w:rPr>
        <w:t xml:space="preserve">s documentos tipo y del Estatuto General de Contratación de la Administración Pública, en la contratación relacionada con su </w:t>
      </w:r>
      <w:r w:rsidRPr="00FC3C59">
        <w:rPr>
          <w:rFonts w:ascii="Arial" w:hAnsi="Arial" w:cs="Arial"/>
          <w:i/>
          <w:iCs/>
          <w:sz w:val="22"/>
          <w:shd w:val="clear" w:color="auto" w:fill="FFFFFF"/>
          <w:lang w:val="es-ES_tradnl"/>
        </w:rPr>
        <w:t>giro ordinario</w:t>
      </w:r>
      <w:r w:rsidRPr="00FC3C59">
        <w:rPr>
          <w:rFonts w:ascii="Arial" w:hAnsi="Arial" w:cs="Arial"/>
          <w:sz w:val="22"/>
          <w:shd w:val="clear" w:color="auto" w:fill="FFFFFF"/>
          <w:lang w:val="es-ES_tradnl"/>
        </w:rPr>
        <w:t xml:space="preserve">. De acuerdo con lo señalado, en el marco del parágrafo del artículo 56, el </w:t>
      </w:r>
      <w:r w:rsidRPr="00FC3C59">
        <w:rPr>
          <w:rFonts w:ascii="Arial" w:hAnsi="Arial" w:cs="Arial"/>
          <w:i/>
          <w:iCs/>
          <w:sz w:val="22"/>
          <w:shd w:val="clear" w:color="auto" w:fill="FFFFFF"/>
          <w:lang w:val="es-ES_tradnl"/>
        </w:rPr>
        <w:t>giro ordinario</w:t>
      </w:r>
      <w:r w:rsidRPr="00FC3C59">
        <w:rPr>
          <w:rFonts w:ascii="Arial" w:hAnsi="Arial" w:cs="Arial"/>
          <w:sz w:val="22"/>
          <w:shd w:val="clear" w:color="auto" w:fill="FFFFFF"/>
          <w:lang w:val="es-ES_tradnl"/>
        </w:rPr>
        <w:t xml:space="preserve"> es un concepto jurídico indeterminado, </w:t>
      </w:r>
      <w:r w:rsidR="005739D5" w:rsidRPr="00FC3C59">
        <w:rPr>
          <w:rFonts w:ascii="Arial" w:hAnsi="Arial" w:cs="Arial"/>
          <w:sz w:val="22"/>
          <w:shd w:val="clear" w:color="auto" w:fill="FFFFFF"/>
          <w:lang w:val="es-ES_tradnl"/>
        </w:rPr>
        <w:t xml:space="preserve">cuya concreción debe realizarse en cada caso en particular, y </w:t>
      </w:r>
      <w:r w:rsidRPr="00FC3C59">
        <w:rPr>
          <w:rFonts w:ascii="Arial" w:hAnsi="Arial" w:cs="Arial"/>
          <w:sz w:val="22"/>
          <w:shd w:val="clear" w:color="auto" w:fill="FFFFFF"/>
          <w:lang w:val="es-ES_tradnl"/>
        </w:rPr>
        <w:t xml:space="preserve">que, de conformidad con la jurisprudencia contencioso-administrativa y el derecho societario, comprende todas aquellas actividades asociadas a la gestión habitual de una sociedad comercial, una empresa o una entidad pública, que guarden consonancia con su objeto social. </w:t>
      </w:r>
    </w:p>
    <w:p w14:paraId="0E2E8F4C" w14:textId="0AACF703" w:rsidR="005739D5" w:rsidRPr="00FC3C59" w:rsidRDefault="005739D5" w:rsidP="005739D5">
      <w:pPr>
        <w:spacing w:before="120" w:line="276" w:lineRule="auto"/>
        <w:ind w:firstLine="708"/>
        <w:jc w:val="both"/>
        <w:rPr>
          <w:rFonts w:ascii="Arial" w:hAnsi="Arial" w:cs="Arial"/>
          <w:sz w:val="22"/>
          <w:shd w:val="clear" w:color="auto" w:fill="FFFFFF"/>
          <w:lang w:val="es-ES_tradnl"/>
        </w:rPr>
      </w:pPr>
      <w:r w:rsidRPr="00FC3C59">
        <w:rPr>
          <w:rFonts w:ascii="Arial" w:hAnsi="Arial" w:cs="Arial"/>
          <w:sz w:val="22"/>
          <w:shd w:val="clear" w:color="auto" w:fill="FFFFFF"/>
          <w:lang w:val="es-ES_tradnl"/>
        </w:rPr>
        <w:t>De acuerdo con esto, el artículo 56 de la Ley 2195 de 2021, se limita a hacer extensiva la aplicación del Estatuto General de Contratación de la Administración Pública y de los documentos tipo a los contratos celebrados por entidades estatales de régimen especial o exceptuado, los patrimonios autónomos, las personas naturales y jurídicas de derecho privado, con ocasión de compromisos derivados de contratos o convenios con entidades sometidas</w:t>
      </w:r>
      <w:r w:rsidR="001F6B6F" w:rsidRPr="00FC3C59">
        <w:rPr>
          <w:rFonts w:ascii="Arial" w:hAnsi="Arial" w:cs="Arial"/>
          <w:sz w:val="22"/>
          <w:shd w:val="clear" w:color="auto" w:fill="FFFFFF"/>
          <w:lang w:val="es-ES_tradnl"/>
        </w:rPr>
        <w:t xml:space="preserve"> al EGCAP</w:t>
      </w:r>
      <w:r w:rsidRPr="00FC3C59">
        <w:rPr>
          <w:rFonts w:ascii="Arial" w:hAnsi="Arial" w:cs="Arial"/>
          <w:sz w:val="22"/>
          <w:shd w:val="clear" w:color="auto" w:fill="FFFFFF"/>
          <w:lang w:val="es-ES_tradnl"/>
        </w:rPr>
        <w:t>. Esto significa que la norma no modifica todo el régimen jurídico</w:t>
      </w:r>
      <w:r w:rsidR="001F6B6F" w:rsidRPr="00FC3C59">
        <w:rPr>
          <w:rFonts w:ascii="Arial" w:hAnsi="Arial" w:cs="Arial"/>
          <w:sz w:val="22"/>
          <w:shd w:val="clear" w:color="auto" w:fill="FFFFFF"/>
          <w:lang w:val="es-ES_tradnl"/>
        </w:rPr>
        <w:t xml:space="preserve"> contractual</w:t>
      </w:r>
      <w:r w:rsidRPr="00FC3C59">
        <w:rPr>
          <w:rFonts w:ascii="Arial" w:hAnsi="Arial" w:cs="Arial"/>
          <w:sz w:val="22"/>
          <w:shd w:val="clear" w:color="auto" w:fill="FFFFFF"/>
          <w:lang w:val="es-ES_tradnl"/>
        </w:rPr>
        <w:t xml:space="preserve"> de los mencionados tipos de entidades, sino que les aplica el régimen </w:t>
      </w:r>
      <w:r w:rsidR="001F6B6F" w:rsidRPr="00FC3C59">
        <w:rPr>
          <w:rFonts w:ascii="Arial" w:hAnsi="Arial" w:cs="Arial"/>
          <w:sz w:val="22"/>
          <w:shd w:val="clear" w:color="auto" w:fill="FFFFFF"/>
          <w:lang w:val="es-ES_tradnl"/>
        </w:rPr>
        <w:t xml:space="preserve">general </w:t>
      </w:r>
      <w:r w:rsidRPr="00FC3C59">
        <w:rPr>
          <w:rFonts w:ascii="Arial" w:hAnsi="Arial" w:cs="Arial"/>
          <w:sz w:val="22"/>
          <w:shd w:val="clear" w:color="auto" w:fill="FFFFFF"/>
          <w:lang w:val="es-ES_tradnl"/>
        </w:rPr>
        <w:t xml:space="preserve">de contratación estatal bajo las precisas circunstancias analizadas en este concepto.  </w:t>
      </w:r>
    </w:p>
    <w:p w14:paraId="4932289D" w14:textId="23061C62" w:rsidR="001078C5" w:rsidRPr="007A7AB8" w:rsidRDefault="00915830" w:rsidP="00FC3C59">
      <w:pPr>
        <w:tabs>
          <w:tab w:val="left" w:pos="0"/>
        </w:tabs>
        <w:spacing w:before="120" w:line="276" w:lineRule="auto"/>
        <w:jc w:val="both"/>
        <w:rPr>
          <w:rFonts w:ascii="Arial" w:eastAsia="Calibri" w:hAnsi="Arial" w:cs="Arial"/>
          <w:bCs/>
          <w:sz w:val="22"/>
          <w:lang w:val="es-ES_tradnl"/>
        </w:rPr>
      </w:pPr>
      <w:r w:rsidRPr="00FC3C59">
        <w:rPr>
          <w:rFonts w:ascii="Arial" w:eastAsia="Calibri" w:hAnsi="Arial" w:cs="Arial"/>
          <w:bCs/>
          <w:sz w:val="22"/>
          <w:lang w:val="es-ES_tradnl"/>
        </w:rPr>
        <w:tab/>
      </w:r>
      <w:r w:rsidR="005739D5" w:rsidRPr="00FC3C59">
        <w:rPr>
          <w:rFonts w:ascii="Arial" w:eastAsia="Calibri" w:hAnsi="Arial" w:cs="Arial"/>
          <w:bCs/>
          <w:sz w:val="22"/>
          <w:lang w:val="es-ES_tradnl"/>
        </w:rPr>
        <w:t xml:space="preserve">Ahora bien, </w:t>
      </w:r>
      <w:r w:rsidR="005739D5" w:rsidRPr="00FC3C59">
        <w:rPr>
          <w:rFonts w:ascii="Arial" w:eastAsia="Calibri" w:hAnsi="Arial" w:cs="Arial"/>
          <w:color w:val="000000"/>
          <w:sz w:val="22"/>
          <w:szCs w:val="24"/>
          <w:lang w:val="es-ES_tradnl" w:eastAsia="es-ES_tradnl"/>
        </w:rPr>
        <w:t>al contar las empresas de servicios públicos domiciliarios con un régimen contractual distinto al establecido en el Estatuto General de Contratación de la Administración Pública, esto es, al regirse por el derecho privado, serán destinatarias</w:t>
      </w:r>
      <w:r w:rsidR="001F6B6F" w:rsidRPr="00FC3C59">
        <w:rPr>
          <w:rFonts w:ascii="Arial" w:eastAsia="Calibri" w:hAnsi="Arial" w:cs="Arial"/>
          <w:color w:val="000000"/>
          <w:sz w:val="22"/>
          <w:szCs w:val="24"/>
          <w:lang w:val="es-ES_tradnl" w:eastAsia="es-ES_tradnl"/>
        </w:rPr>
        <w:t xml:space="preserve"> eventuales</w:t>
      </w:r>
      <w:r w:rsidR="005739D5" w:rsidRPr="00FC3C59">
        <w:rPr>
          <w:rFonts w:ascii="Arial" w:eastAsia="Calibri" w:hAnsi="Arial" w:cs="Arial"/>
          <w:color w:val="000000"/>
          <w:sz w:val="22"/>
          <w:szCs w:val="24"/>
          <w:lang w:val="es-ES_tradnl" w:eastAsia="es-ES_tradnl"/>
        </w:rPr>
        <w:t xml:space="preserve"> de los documentos tipo con fundamento en el artículo 56 de la Ley 2195 de 2022</w:t>
      </w:r>
      <w:r w:rsidR="00374D1B" w:rsidRPr="00FC3C59">
        <w:rPr>
          <w:rFonts w:ascii="Arial" w:eastAsia="Calibri" w:hAnsi="Arial" w:cs="Arial"/>
          <w:color w:val="000000"/>
          <w:sz w:val="22"/>
          <w:szCs w:val="24"/>
          <w:lang w:val="es-ES_tradnl" w:eastAsia="es-ES_tradnl"/>
        </w:rPr>
        <w:t>. Lo anterior,</w:t>
      </w:r>
      <w:r w:rsidR="005739D5" w:rsidRPr="00FC3C59">
        <w:rPr>
          <w:rFonts w:ascii="Arial" w:eastAsia="Calibri" w:hAnsi="Arial" w:cs="Arial"/>
          <w:color w:val="000000"/>
          <w:sz w:val="22"/>
          <w:szCs w:val="24"/>
          <w:lang w:val="es-ES_tradnl" w:eastAsia="es-ES_tradnl"/>
        </w:rPr>
        <w:t xml:space="preserve"> siempre que se cumplan con los presupuestos para su aplicación, de conformidad con las explicaciones realizadas en este concepto respecto al contenido de dicha disposición.</w:t>
      </w:r>
    </w:p>
    <w:p w14:paraId="4AE87F39" w14:textId="77777777" w:rsidR="00915830" w:rsidRPr="00987861" w:rsidRDefault="00915830" w:rsidP="00915830">
      <w:pPr>
        <w:pStyle w:val="NormalWeb"/>
        <w:spacing w:before="120" w:beforeAutospacing="0" w:after="0" w:afterAutospacing="0" w:line="276" w:lineRule="auto"/>
        <w:jc w:val="both"/>
        <w:rPr>
          <w:rFonts w:ascii="Arial" w:eastAsia="Calibri" w:hAnsi="Arial" w:cs="Arial"/>
          <w:sz w:val="22"/>
          <w:szCs w:val="22"/>
          <w:lang w:val="es-ES"/>
        </w:rPr>
      </w:pPr>
      <w:r w:rsidRPr="00987861">
        <w:rPr>
          <w:rFonts w:ascii="Arial" w:eastAsia="Calibri" w:hAnsi="Arial" w:cs="Arial"/>
          <w:sz w:val="22"/>
          <w:szCs w:val="22"/>
          <w:lang w:val="es-ES"/>
        </w:rPr>
        <w:t>Este concepto tiene el alcance previsto en el artículo 28 del Código de Procedimiento Administrativo y de lo Contencioso Administrativo.</w:t>
      </w:r>
    </w:p>
    <w:p w14:paraId="54658A51" w14:textId="77777777" w:rsidR="00915830" w:rsidRPr="00987861" w:rsidRDefault="00915830" w:rsidP="00915830">
      <w:pPr>
        <w:jc w:val="both"/>
        <w:rPr>
          <w:rFonts w:ascii="Arial" w:eastAsia="Calibri" w:hAnsi="Arial" w:cs="Arial"/>
          <w:sz w:val="22"/>
          <w:lang w:val="es-ES"/>
        </w:rPr>
      </w:pPr>
    </w:p>
    <w:p w14:paraId="567832BF" w14:textId="77777777" w:rsidR="00915830" w:rsidRDefault="00915830" w:rsidP="00915830">
      <w:pPr>
        <w:jc w:val="both"/>
        <w:rPr>
          <w:rFonts w:ascii="Arial" w:hAnsi="Arial" w:cs="Arial"/>
          <w:sz w:val="22"/>
          <w:lang w:val="es-ES" w:eastAsia="es-CO"/>
        </w:rPr>
      </w:pPr>
      <w:r w:rsidRPr="00987861">
        <w:rPr>
          <w:rFonts w:ascii="Arial" w:hAnsi="Arial" w:cs="Arial"/>
          <w:sz w:val="22"/>
          <w:lang w:val="es-ES" w:eastAsia="es-CO"/>
        </w:rPr>
        <w:t>Atentamente,</w:t>
      </w:r>
    </w:p>
    <w:p w14:paraId="5B689340" w14:textId="26B2DEA1" w:rsidR="00E55C5D" w:rsidRPr="007A7AB8" w:rsidRDefault="007A7AB8" w:rsidP="007A7AB8">
      <w:pPr>
        <w:jc w:val="center"/>
        <w:rPr>
          <w:rFonts w:ascii="Arial" w:hAnsi="Arial" w:cs="Arial"/>
          <w:sz w:val="22"/>
          <w:lang w:val="es-ES" w:eastAsia="es-CO"/>
        </w:rPr>
      </w:pPr>
      <w:r w:rsidRPr="009000E4">
        <w:rPr>
          <w:rFonts w:ascii="Arial" w:hAnsi="Arial" w:cs="Arial"/>
          <w:noProof/>
          <w:lang w:val="es-ES_tradnl" w:eastAsia="es-CO"/>
        </w:rPr>
        <w:lastRenderedPageBreak/>
        <w:drawing>
          <wp:inline distT="0" distB="0" distL="0" distR="0" wp14:anchorId="2222CD01" wp14:editId="74DEE98E">
            <wp:extent cx="2087251" cy="925032"/>
            <wp:effectExtent l="0" t="0" r="0" b="254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00060" cy="930709"/>
                    </a:xfrm>
                    <a:prstGeom prst="rect">
                      <a:avLst/>
                    </a:prstGeom>
                    <a:noFill/>
                    <a:ln>
                      <a:noFill/>
                    </a:ln>
                  </pic:spPr>
                </pic:pic>
              </a:graphicData>
            </a:graphic>
          </wp:inline>
        </w:drawing>
      </w:r>
    </w:p>
    <w:p w14:paraId="489A2526" w14:textId="5C900196" w:rsidR="00E55C5D" w:rsidRDefault="00E55C5D" w:rsidP="00915830">
      <w:pPr>
        <w:rPr>
          <w:rFonts w:ascii="Arial" w:hAnsi="Arial" w:cs="Arial"/>
          <w:sz w:val="18"/>
          <w:szCs w:val="20"/>
          <w:lang w:val="es-ES" w:eastAsia="es-CO"/>
        </w:rPr>
      </w:pPr>
    </w:p>
    <w:p w14:paraId="1B99CF15" w14:textId="76AA0835" w:rsidR="00E55C5D" w:rsidRDefault="00E55C5D" w:rsidP="00915830">
      <w:pPr>
        <w:rPr>
          <w:rFonts w:ascii="Arial" w:hAnsi="Arial" w:cs="Arial"/>
          <w:sz w:val="18"/>
          <w:szCs w:val="20"/>
          <w:lang w:val="es-ES" w:eastAsia="es-CO"/>
        </w:rPr>
      </w:pPr>
    </w:p>
    <w:p w14:paraId="7409C034" w14:textId="77777777" w:rsidR="00E55C5D" w:rsidRDefault="00E55C5D" w:rsidP="00915830">
      <w:pP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15830" w:rsidRPr="009F5860" w14:paraId="455C59FE" w14:textId="77777777" w:rsidTr="00E54AB5">
        <w:trPr>
          <w:trHeight w:val="315"/>
        </w:trPr>
        <w:tc>
          <w:tcPr>
            <w:tcW w:w="812" w:type="dxa"/>
            <w:vAlign w:val="center"/>
            <w:hideMark/>
          </w:tcPr>
          <w:p w14:paraId="32D4ED27" w14:textId="77777777" w:rsidR="00915830" w:rsidRPr="009F5860" w:rsidRDefault="00915830" w:rsidP="00E54AB5">
            <w:pPr>
              <w:rPr>
                <w:rFonts w:ascii="Arial" w:hAnsi="Arial" w:cs="Arial"/>
                <w:sz w:val="16"/>
                <w:szCs w:val="16"/>
                <w:lang w:val="es-ES" w:eastAsia="es-ES"/>
              </w:rPr>
            </w:pPr>
            <w:r w:rsidRPr="009F5860">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D9ACAA2" w14:textId="77777777" w:rsidR="00915830" w:rsidRPr="009F5860" w:rsidRDefault="00915830" w:rsidP="00E54AB5">
            <w:pPr>
              <w:rPr>
                <w:rFonts w:ascii="Arial" w:hAnsi="Arial" w:cs="Arial"/>
                <w:sz w:val="16"/>
                <w:szCs w:val="16"/>
                <w:lang w:val="es-ES" w:eastAsia="es-ES"/>
              </w:rPr>
            </w:pPr>
            <w:r w:rsidRPr="009F5860">
              <w:rPr>
                <w:rFonts w:ascii="Arial" w:hAnsi="Arial" w:cs="Arial"/>
                <w:sz w:val="16"/>
                <w:szCs w:val="16"/>
                <w:lang w:val="es-ES" w:eastAsia="es-ES"/>
              </w:rPr>
              <w:t xml:space="preserve">Camilo Perdomo Villamil </w:t>
            </w:r>
          </w:p>
          <w:p w14:paraId="265C7E0C" w14:textId="77777777" w:rsidR="00915830" w:rsidRPr="009F5860" w:rsidRDefault="00915830" w:rsidP="00E54AB5">
            <w:pPr>
              <w:rPr>
                <w:rFonts w:ascii="Arial" w:hAnsi="Arial" w:cs="Arial"/>
                <w:sz w:val="16"/>
                <w:szCs w:val="16"/>
                <w:lang w:val="es-ES" w:eastAsia="es-ES"/>
              </w:rPr>
            </w:pPr>
            <w:r w:rsidRPr="009F5860">
              <w:rPr>
                <w:rFonts w:ascii="Arial" w:hAnsi="Arial" w:cs="Arial"/>
                <w:sz w:val="16"/>
                <w:szCs w:val="16"/>
                <w:lang w:val="es-ES" w:eastAsia="es-ES"/>
              </w:rPr>
              <w:t>Contratista de la Subdirección de Gestión Contractual</w:t>
            </w:r>
          </w:p>
        </w:tc>
      </w:tr>
      <w:tr w:rsidR="00915830" w:rsidRPr="009F5860" w14:paraId="0D84D1AD" w14:textId="77777777" w:rsidTr="00E54AB5">
        <w:trPr>
          <w:trHeight w:val="330"/>
        </w:trPr>
        <w:tc>
          <w:tcPr>
            <w:tcW w:w="812" w:type="dxa"/>
            <w:vAlign w:val="center"/>
            <w:hideMark/>
          </w:tcPr>
          <w:p w14:paraId="02F531A1" w14:textId="77777777" w:rsidR="00915830" w:rsidRPr="009F5860" w:rsidRDefault="00915830" w:rsidP="00E54AB5">
            <w:pPr>
              <w:rPr>
                <w:rFonts w:ascii="Arial" w:hAnsi="Arial" w:cs="Arial"/>
                <w:sz w:val="16"/>
                <w:szCs w:val="16"/>
                <w:lang w:val="es-ES" w:eastAsia="es-ES"/>
              </w:rPr>
            </w:pPr>
            <w:r w:rsidRPr="009F5860">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92209BF" w14:textId="6A8F7FED" w:rsidR="00915830" w:rsidRDefault="00C86A54" w:rsidP="00E54AB5">
            <w:pPr>
              <w:rPr>
                <w:rFonts w:ascii="Arial" w:hAnsi="Arial" w:cs="Arial"/>
                <w:sz w:val="16"/>
                <w:szCs w:val="16"/>
                <w:lang w:val="es-ES" w:eastAsia="es-ES"/>
              </w:rPr>
            </w:pPr>
            <w:r>
              <w:rPr>
                <w:rFonts w:ascii="Arial" w:hAnsi="Arial" w:cs="Arial"/>
                <w:sz w:val="16"/>
                <w:szCs w:val="16"/>
                <w:lang w:val="es-ES" w:eastAsia="es-ES"/>
              </w:rPr>
              <w:t>Sebastián Ramírez Grisales</w:t>
            </w:r>
          </w:p>
          <w:p w14:paraId="561C0F53" w14:textId="7D6A593D" w:rsidR="00C86A54" w:rsidRPr="009F5860" w:rsidRDefault="00C86A54" w:rsidP="00E54AB5">
            <w:pPr>
              <w:rPr>
                <w:rFonts w:ascii="Arial" w:hAnsi="Arial" w:cs="Arial"/>
                <w:sz w:val="16"/>
                <w:szCs w:val="16"/>
                <w:lang w:val="es-ES" w:eastAsia="es-ES"/>
              </w:rPr>
            </w:pPr>
            <w:r>
              <w:rPr>
                <w:rFonts w:ascii="Arial" w:hAnsi="Arial" w:cs="Arial"/>
                <w:sz w:val="16"/>
                <w:szCs w:val="16"/>
                <w:lang w:val="es-ES" w:eastAsia="es-ES"/>
              </w:rPr>
              <w:t xml:space="preserve">Contratista de la Subdirección de Gestión Contractual </w:t>
            </w:r>
          </w:p>
        </w:tc>
      </w:tr>
      <w:tr w:rsidR="00915830" w:rsidRPr="0008465D" w14:paraId="25E4FDE9" w14:textId="77777777" w:rsidTr="00E54AB5">
        <w:trPr>
          <w:trHeight w:val="300"/>
        </w:trPr>
        <w:tc>
          <w:tcPr>
            <w:tcW w:w="812" w:type="dxa"/>
            <w:vAlign w:val="center"/>
            <w:hideMark/>
          </w:tcPr>
          <w:p w14:paraId="3B6C8A40" w14:textId="77777777" w:rsidR="00915830" w:rsidRPr="009F5860" w:rsidRDefault="00915830" w:rsidP="00E54AB5">
            <w:pPr>
              <w:rPr>
                <w:rFonts w:ascii="Arial" w:hAnsi="Arial" w:cs="Arial"/>
                <w:sz w:val="16"/>
                <w:szCs w:val="16"/>
                <w:lang w:val="es-ES" w:eastAsia="es-ES"/>
              </w:rPr>
            </w:pPr>
            <w:r w:rsidRPr="009F5860">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4313C30" w14:textId="77777777" w:rsidR="00E55C5D" w:rsidRPr="00C01BE9" w:rsidRDefault="00E55C5D" w:rsidP="00E55C5D">
            <w:pPr>
              <w:rPr>
                <w:rFonts w:ascii="Arial" w:hAnsi="Arial" w:cs="Arial"/>
                <w:sz w:val="16"/>
                <w:szCs w:val="16"/>
                <w:lang w:eastAsia="es-ES"/>
              </w:rPr>
            </w:pPr>
            <w:r w:rsidRPr="00C01BE9">
              <w:rPr>
                <w:rFonts w:ascii="Arial" w:hAnsi="Arial" w:cs="Arial"/>
                <w:sz w:val="16"/>
                <w:szCs w:val="16"/>
                <w:lang w:eastAsia="es-ES"/>
              </w:rPr>
              <w:t>Jorge Augusto Tirado Navarro</w:t>
            </w:r>
          </w:p>
          <w:p w14:paraId="090BD487" w14:textId="490D222D" w:rsidR="00915830" w:rsidRPr="0008465D" w:rsidRDefault="00E55C5D" w:rsidP="00E54AB5">
            <w:pPr>
              <w:rPr>
                <w:rFonts w:ascii="Arial" w:hAnsi="Arial" w:cs="Arial"/>
                <w:sz w:val="16"/>
                <w:szCs w:val="16"/>
                <w:lang w:val="es-ES" w:eastAsia="es-ES"/>
              </w:rPr>
            </w:pPr>
            <w:r w:rsidRPr="00C01BE9">
              <w:rPr>
                <w:rFonts w:ascii="Arial" w:hAnsi="Arial" w:cs="Arial"/>
                <w:sz w:val="16"/>
                <w:szCs w:val="16"/>
                <w:lang w:eastAsia="es-ES"/>
              </w:rPr>
              <w:t>Subdirector de Gestión Contractual ANCP – CCE</w:t>
            </w:r>
          </w:p>
        </w:tc>
      </w:tr>
    </w:tbl>
    <w:p w14:paraId="6D3A2DFB" w14:textId="77777777" w:rsidR="00915830" w:rsidRDefault="00915830"/>
    <w:sectPr w:rsidR="00915830"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6DAF6" w14:textId="77777777" w:rsidR="0030640E" w:rsidRDefault="0030640E" w:rsidP="00915830">
      <w:r>
        <w:separator/>
      </w:r>
    </w:p>
  </w:endnote>
  <w:endnote w:type="continuationSeparator" w:id="0">
    <w:p w14:paraId="6A153626" w14:textId="77777777" w:rsidR="0030640E" w:rsidRDefault="0030640E" w:rsidP="00915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AFF95" w14:textId="77777777" w:rsidR="000A47AF" w:rsidRDefault="0030640E" w:rsidP="00322937">
    <w:pPr>
      <w:pStyle w:val="Sinespaciado"/>
      <w:jc w:val="right"/>
      <w:rPr>
        <w:rFonts w:ascii="Arial" w:hAnsi="Arial" w:cs="Arial"/>
        <w:sz w:val="18"/>
        <w:szCs w:val="18"/>
      </w:rPr>
    </w:pPr>
  </w:p>
  <w:p w14:paraId="397BE640" w14:textId="77777777" w:rsidR="000A47AF" w:rsidRPr="008217B7" w:rsidRDefault="00BB65E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613CE709" w14:textId="77777777" w:rsidR="000A47AF" w:rsidRDefault="00BB65EC" w:rsidP="00322937">
    <w:pPr>
      <w:pStyle w:val="Piedepgina"/>
      <w:jc w:val="center"/>
      <w:rPr>
        <w:lang w:val="es-ES"/>
      </w:rPr>
    </w:pPr>
    <w:r>
      <w:rPr>
        <w:noProof/>
      </w:rPr>
      <w:drawing>
        <wp:inline distT="0" distB="0" distL="0" distR="0" wp14:anchorId="4FFE264D" wp14:editId="6410255F">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878308A" w14:textId="77777777" w:rsidR="000A47AF" w:rsidRDefault="0030640E" w:rsidP="007B0854">
    <w:pPr>
      <w:pStyle w:val="Piedepgina"/>
      <w:jc w:val="center"/>
      <w:rPr>
        <w:lang w:val="es-ES"/>
      </w:rPr>
    </w:pPr>
  </w:p>
  <w:p w14:paraId="35EB0A08" w14:textId="77777777" w:rsidR="000A47AF" w:rsidRPr="007B0854" w:rsidRDefault="0030640E" w:rsidP="007B0854">
    <w:pPr>
      <w:pStyle w:val="Piedepgina"/>
      <w:jc w:val="center"/>
      <w:rPr>
        <w:lang w:val="es-ES"/>
      </w:rPr>
    </w:pPr>
  </w:p>
  <w:p w14:paraId="1E911C55" w14:textId="77777777" w:rsidR="00183D77" w:rsidRDefault="003064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D0838" w14:textId="77777777" w:rsidR="0030640E" w:rsidRDefault="0030640E" w:rsidP="00915830">
      <w:r>
        <w:separator/>
      </w:r>
    </w:p>
  </w:footnote>
  <w:footnote w:type="continuationSeparator" w:id="0">
    <w:p w14:paraId="582F0E2E" w14:textId="77777777" w:rsidR="0030640E" w:rsidRDefault="0030640E" w:rsidP="00915830">
      <w:r>
        <w:continuationSeparator/>
      </w:r>
    </w:p>
  </w:footnote>
  <w:footnote w:id="1">
    <w:p w14:paraId="35CD7879" w14:textId="77777777" w:rsidR="00915830" w:rsidRPr="00D05947" w:rsidRDefault="00915830" w:rsidP="00915830">
      <w:pPr>
        <w:pStyle w:val="Textonotapie"/>
        <w:ind w:firstLine="709"/>
        <w:jc w:val="both"/>
        <w:rPr>
          <w:rFonts w:ascii="Arial" w:hAnsi="Arial" w:cs="Arial"/>
          <w:color w:val="000000" w:themeColor="text1"/>
          <w:sz w:val="19"/>
          <w:szCs w:val="19"/>
          <w:lang w:val="es-CO"/>
        </w:rPr>
      </w:pPr>
      <w:r w:rsidRPr="00D05947">
        <w:rPr>
          <w:rStyle w:val="Refdenotaalpie"/>
          <w:rFonts w:ascii="Arial" w:hAnsi="Arial" w:cs="Arial"/>
          <w:sz w:val="19"/>
          <w:szCs w:val="19"/>
        </w:rPr>
        <w:footnoteRef/>
      </w:r>
      <w:r w:rsidRPr="00D05947">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2">
    <w:p w14:paraId="0A47BBC3" w14:textId="77777777" w:rsidR="00D05947" w:rsidRPr="00D05947" w:rsidRDefault="00D05947" w:rsidP="00915830">
      <w:pPr>
        <w:pStyle w:val="Textonotapie"/>
        <w:ind w:firstLine="709"/>
        <w:jc w:val="both"/>
        <w:rPr>
          <w:rFonts w:ascii="Arial" w:hAnsi="Arial" w:cs="Arial"/>
          <w:color w:val="000000" w:themeColor="text1"/>
          <w:sz w:val="19"/>
          <w:szCs w:val="19"/>
        </w:rPr>
      </w:pPr>
    </w:p>
    <w:p w14:paraId="26937E85" w14:textId="330CB9FC" w:rsidR="00915830" w:rsidRPr="00D05947" w:rsidRDefault="00915830" w:rsidP="00915830">
      <w:pPr>
        <w:pStyle w:val="Textonotapie"/>
        <w:ind w:firstLine="709"/>
        <w:jc w:val="both"/>
        <w:rPr>
          <w:rFonts w:ascii="Arial" w:hAnsi="Arial" w:cs="Arial"/>
          <w:color w:val="000000" w:themeColor="text1"/>
          <w:sz w:val="19"/>
          <w:szCs w:val="19"/>
        </w:rPr>
      </w:pPr>
      <w:r w:rsidRPr="00D05947">
        <w:rPr>
          <w:rStyle w:val="Refdenotaalpie"/>
          <w:rFonts w:ascii="Arial" w:hAnsi="Arial" w:cs="Arial"/>
          <w:sz w:val="19"/>
          <w:szCs w:val="19"/>
        </w:rPr>
        <w:footnoteRef/>
      </w:r>
      <w:r w:rsidRPr="00D05947">
        <w:rPr>
          <w:rFonts w:ascii="Arial" w:hAnsi="Arial" w:cs="Arial"/>
          <w:color w:val="000000" w:themeColor="text1"/>
          <w:sz w:val="19"/>
          <w:szCs w:val="19"/>
        </w:rPr>
        <w:t xml:space="preserve"> </w:t>
      </w:r>
      <w:r w:rsidRPr="00D05947">
        <w:rPr>
          <w:rFonts w:ascii="Arial" w:hAnsi="Arial" w:cs="Arial"/>
          <w:color w:val="000000" w:themeColor="text1"/>
          <w:sz w:val="19"/>
          <w:szCs w:val="19"/>
          <w:lang w:val="es-CO"/>
        </w:rPr>
        <w:t xml:space="preserve">Ley 1882 de 2018: «Artículo 4. </w:t>
      </w:r>
      <w:r w:rsidRPr="00D05947">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03696F84" w14:textId="77777777" w:rsidR="00915830" w:rsidRPr="00D05947" w:rsidRDefault="00915830" w:rsidP="00915830">
      <w:pPr>
        <w:pStyle w:val="Textonotapie"/>
        <w:ind w:firstLine="709"/>
        <w:jc w:val="both"/>
        <w:rPr>
          <w:rFonts w:ascii="Arial" w:hAnsi="Arial" w:cs="Arial"/>
          <w:color w:val="000000" w:themeColor="text1"/>
          <w:sz w:val="19"/>
          <w:szCs w:val="19"/>
          <w:lang w:val="es-CO"/>
        </w:rPr>
      </w:pPr>
      <w:r w:rsidRPr="00D05947">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7EE7BB18" w14:textId="77777777" w:rsidR="00915830" w:rsidRPr="00D05947" w:rsidRDefault="00915830" w:rsidP="00915830">
      <w:pPr>
        <w:pStyle w:val="Textonotapie"/>
        <w:ind w:firstLine="709"/>
        <w:jc w:val="both"/>
        <w:rPr>
          <w:rFonts w:ascii="Arial" w:hAnsi="Arial" w:cs="Arial"/>
          <w:color w:val="000000" w:themeColor="text1"/>
          <w:sz w:val="19"/>
          <w:szCs w:val="19"/>
          <w:lang w:val="es-CO"/>
        </w:rPr>
      </w:pPr>
      <w:r w:rsidRPr="00D05947">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3">
    <w:p w14:paraId="1B018500" w14:textId="77777777" w:rsidR="00915830" w:rsidRPr="00D05947" w:rsidRDefault="00915830" w:rsidP="00915830">
      <w:pPr>
        <w:pStyle w:val="Textonotapie"/>
        <w:ind w:firstLine="709"/>
        <w:jc w:val="both"/>
        <w:rPr>
          <w:rFonts w:ascii="Arial" w:hAnsi="Arial" w:cs="Arial"/>
          <w:color w:val="000000" w:themeColor="text1"/>
          <w:sz w:val="19"/>
          <w:szCs w:val="19"/>
        </w:rPr>
      </w:pPr>
      <w:r w:rsidRPr="00D05947">
        <w:rPr>
          <w:rStyle w:val="Refdenotaalpie"/>
          <w:rFonts w:ascii="Arial" w:hAnsi="Arial" w:cs="Arial"/>
          <w:sz w:val="19"/>
          <w:szCs w:val="19"/>
        </w:rPr>
        <w:footnoteRef/>
      </w:r>
      <w:r w:rsidRPr="00D05947">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4">
    <w:p w14:paraId="24581F74" w14:textId="77777777" w:rsidR="00915830" w:rsidRPr="00D05947"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D05947">
        <w:rPr>
          <w:rStyle w:val="Refdenotaalpie"/>
          <w:rFonts w:ascii="Arial" w:hAnsi="Arial" w:cs="Arial"/>
          <w:sz w:val="19"/>
          <w:szCs w:val="19"/>
        </w:rPr>
        <w:footnoteRef/>
      </w:r>
      <w:r w:rsidRPr="00D05947">
        <w:rPr>
          <w:rFonts w:ascii="Arial" w:hAnsi="Arial" w:cs="Arial"/>
          <w:color w:val="000000" w:themeColor="text1"/>
          <w:sz w:val="19"/>
          <w:szCs w:val="19"/>
        </w:rPr>
        <w:t xml:space="preserve"> Ley 2022 de 2020: «</w:t>
      </w:r>
      <w:r w:rsidRPr="00D05947">
        <w:rPr>
          <w:rStyle w:val="Textoennegrita"/>
          <w:rFonts w:ascii="Arial" w:hAnsi="Arial" w:cs="Arial"/>
          <w:b w:val="0"/>
          <w:bCs w:val="0"/>
          <w:color w:val="000000" w:themeColor="text1"/>
          <w:sz w:val="19"/>
          <w:szCs w:val="19"/>
        </w:rPr>
        <w:t>Artículo 1º.</w:t>
      </w:r>
      <w:r w:rsidRPr="00D05947">
        <w:rPr>
          <w:rFonts w:ascii="Arial" w:hAnsi="Arial" w:cs="Arial"/>
          <w:color w:val="000000" w:themeColor="text1"/>
          <w:sz w:val="19"/>
          <w:szCs w:val="19"/>
        </w:rPr>
        <w:t> Modifíquese el artículo 4º de la Ley 1882 de 2018, el cual quedará así: </w:t>
      </w:r>
    </w:p>
    <w:p w14:paraId="63BB5F6F" w14:textId="77777777" w:rsidR="00915830" w:rsidRPr="00D05947"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D05947">
        <w:rPr>
          <w:rStyle w:val="Textoennegrita"/>
          <w:rFonts w:ascii="Arial" w:hAnsi="Arial" w:cs="Arial"/>
          <w:b w:val="0"/>
          <w:bCs w:val="0"/>
          <w:color w:val="000000" w:themeColor="text1"/>
          <w:sz w:val="19"/>
          <w:szCs w:val="19"/>
        </w:rPr>
        <w:t>»Artículo 4º.</w:t>
      </w:r>
      <w:r w:rsidRPr="00D05947">
        <w:rPr>
          <w:rFonts w:ascii="Arial" w:hAnsi="Arial" w:cs="Arial"/>
          <w:color w:val="000000" w:themeColor="text1"/>
          <w:sz w:val="19"/>
          <w:szCs w:val="19"/>
        </w:rPr>
        <w:t> Adiciónese el siguiente parágrafo al artículo 2º de la Ley 1150 de 2007. </w:t>
      </w:r>
    </w:p>
    <w:p w14:paraId="26490B4E" w14:textId="77777777" w:rsidR="00915830" w:rsidRPr="00D05947"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D05947">
        <w:rPr>
          <w:rStyle w:val="Textoennegrita"/>
          <w:rFonts w:ascii="Arial" w:hAnsi="Arial" w:cs="Arial"/>
          <w:b w:val="0"/>
          <w:bCs w:val="0"/>
          <w:color w:val="000000" w:themeColor="text1"/>
          <w:sz w:val="19"/>
          <w:szCs w:val="19"/>
        </w:rPr>
        <w:t>»Parágrafo 7º.</w:t>
      </w:r>
      <w:r w:rsidRPr="00D05947">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5B436AFA" w14:textId="77777777" w:rsidR="00915830" w:rsidRPr="00D05947"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D05947">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46BE923" w14:textId="77777777" w:rsidR="00915830" w:rsidRPr="00D05947"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D05947">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7ADBC844" w14:textId="77777777" w:rsidR="00915830" w:rsidRPr="00D05947"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D05947">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C9ECFC3" w14:textId="77777777" w:rsidR="00915830" w:rsidRPr="00D05947"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D05947">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53955DCE" w14:textId="77777777" w:rsidR="00915830" w:rsidRPr="00D05947" w:rsidRDefault="00915830" w:rsidP="00915830">
      <w:pPr>
        <w:pStyle w:val="Textonotapie"/>
        <w:ind w:firstLine="709"/>
        <w:jc w:val="both"/>
        <w:rPr>
          <w:rFonts w:ascii="Arial" w:hAnsi="Arial" w:cs="Arial"/>
          <w:color w:val="000000" w:themeColor="text1"/>
          <w:sz w:val="19"/>
          <w:szCs w:val="19"/>
        </w:rPr>
      </w:pPr>
      <w:r w:rsidRPr="00D05947">
        <w:rPr>
          <w:rStyle w:val="Refdenotaalpie"/>
          <w:rFonts w:ascii="Arial" w:hAnsi="Arial" w:cs="Arial"/>
          <w:sz w:val="19"/>
          <w:szCs w:val="19"/>
        </w:rPr>
        <w:footnoteRef/>
      </w:r>
      <w:r w:rsidRPr="00D05947">
        <w:rPr>
          <w:rFonts w:ascii="Arial" w:hAnsi="Arial" w:cs="Arial"/>
          <w:color w:val="000000" w:themeColor="text1"/>
          <w:sz w:val="19"/>
          <w:szCs w:val="19"/>
        </w:rPr>
        <w:t xml:space="preserve"> ». CONGRESO DE LA REPÚBLICA. Gaceta Nº 1677 del 23 de noviembre de 2021. Justificación jurídica del Proyecto de Ley No. 226 de 2021 Cámara. p. 15.</w:t>
      </w:r>
      <w:r w:rsidRPr="00D05947">
        <w:rPr>
          <w:rFonts w:ascii="Arial" w:hAnsi="Arial" w:cs="Arial"/>
          <w:color w:val="000000" w:themeColor="text1"/>
          <w:sz w:val="19"/>
          <w:szCs w:val="19"/>
        </w:rPr>
        <w:cr/>
      </w:r>
    </w:p>
  </w:footnote>
  <w:footnote w:id="6">
    <w:p w14:paraId="243C8C3E" w14:textId="77777777" w:rsidR="00915830" w:rsidRPr="00D05947" w:rsidRDefault="00915830" w:rsidP="00915830">
      <w:pPr>
        <w:pStyle w:val="NormalWeb"/>
        <w:spacing w:before="0" w:beforeAutospacing="0" w:after="0" w:afterAutospacing="0"/>
        <w:ind w:firstLine="708"/>
        <w:jc w:val="both"/>
        <w:rPr>
          <w:rFonts w:ascii="Arial" w:hAnsi="Arial" w:cs="Arial"/>
          <w:color w:val="000000"/>
          <w:sz w:val="19"/>
          <w:szCs w:val="19"/>
        </w:rPr>
      </w:pPr>
      <w:r w:rsidRPr="00D05947">
        <w:rPr>
          <w:rStyle w:val="Refdenotaalpie"/>
          <w:rFonts w:ascii="Arial" w:hAnsi="Arial" w:cs="Arial"/>
          <w:sz w:val="19"/>
          <w:szCs w:val="19"/>
        </w:rPr>
        <w:footnoteRef/>
      </w:r>
      <w:r w:rsidRPr="00D05947">
        <w:rPr>
          <w:rFonts w:ascii="Arial" w:hAnsi="Arial" w:cs="Arial"/>
          <w:sz w:val="19"/>
          <w:szCs w:val="19"/>
        </w:rPr>
        <w:t xml:space="preserve"> «</w:t>
      </w:r>
      <w:r w:rsidRPr="00D05947">
        <w:rPr>
          <w:rStyle w:val="Textoennegrita"/>
          <w:rFonts w:ascii="Arial" w:hAnsi="Arial" w:cs="Arial"/>
          <w:b w:val="0"/>
          <w:bCs w:val="0"/>
          <w:color w:val="000000"/>
          <w:sz w:val="19"/>
          <w:szCs w:val="19"/>
        </w:rPr>
        <w:t>Artículo 2°.</w:t>
      </w:r>
      <w:r w:rsidRPr="00D05947">
        <w:rPr>
          <w:rStyle w:val="nfasis"/>
          <w:rFonts w:ascii="Arial" w:hAnsi="Arial" w:cs="Arial"/>
          <w:color w:val="000000"/>
          <w:sz w:val="19"/>
          <w:szCs w:val="19"/>
        </w:rPr>
        <w:t>De las modalidades de selección. </w:t>
      </w:r>
      <w:r w:rsidRPr="00D05947">
        <w:rPr>
          <w:rFonts w:ascii="Arial" w:hAnsi="Arial" w:cs="Arial"/>
          <w:color w:val="000000"/>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41DCE949" w14:textId="77777777" w:rsidR="00915830" w:rsidRPr="00D05947" w:rsidRDefault="00915830" w:rsidP="00915830">
      <w:pPr>
        <w:pStyle w:val="NormalWeb"/>
        <w:spacing w:before="0" w:beforeAutospacing="0" w:after="0" w:afterAutospacing="0"/>
        <w:ind w:firstLine="708"/>
        <w:jc w:val="both"/>
        <w:rPr>
          <w:rFonts w:ascii="Arial" w:hAnsi="Arial" w:cs="Arial"/>
          <w:color w:val="000000"/>
          <w:sz w:val="19"/>
          <w:szCs w:val="19"/>
        </w:rPr>
      </w:pPr>
      <w:r w:rsidRPr="00D05947">
        <w:rPr>
          <w:rFonts w:ascii="Arial" w:hAnsi="Arial" w:cs="Arial"/>
          <w:color w:val="000000"/>
          <w:sz w:val="19"/>
          <w:szCs w:val="19"/>
        </w:rPr>
        <w:t>[…]</w:t>
      </w:r>
    </w:p>
    <w:p w14:paraId="52EE694A" w14:textId="77777777" w:rsidR="00915830" w:rsidRPr="00D05947" w:rsidRDefault="00915830" w:rsidP="00915830">
      <w:pPr>
        <w:pStyle w:val="NormalWeb"/>
        <w:spacing w:before="0" w:beforeAutospacing="0" w:after="0" w:afterAutospacing="0"/>
        <w:ind w:firstLine="708"/>
        <w:jc w:val="both"/>
        <w:rPr>
          <w:rFonts w:ascii="Arial" w:hAnsi="Arial" w:cs="Arial"/>
          <w:color w:val="000000"/>
          <w:sz w:val="19"/>
          <w:szCs w:val="19"/>
        </w:rPr>
      </w:pPr>
      <w:r w:rsidRPr="00D05947">
        <w:rPr>
          <w:rFonts w:ascii="Arial" w:hAnsi="Arial" w:cs="Arial"/>
          <w:color w:val="000000"/>
          <w:sz w:val="19"/>
          <w:szCs w:val="19"/>
        </w:rPr>
        <w:t>»4. Contratación directa. La modalidad de selección de contratación directa, solamente procederá en los siguientes casos: </w:t>
      </w:r>
    </w:p>
    <w:p w14:paraId="1F4A1892" w14:textId="77777777" w:rsidR="00915830" w:rsidRPr="00D05947" w:rsidRDefault="00915830" w:rsidP="00915830">
      <w:pPr>
        <w:jc w:val="both"/>
        <w:rPr>
          <w:rFonts w:ascii="Arial" w:hAnsi="Arial" w:cs="Arial"/>
          <w:color w:val="000000"/>
          <w:sz w:val="19"/>
          <w:szCs w:val="19"/>
          <w:lang w:eastAsia="es-CO"/>
        </w:rPr>
      </w:pPr>
      <w:r w:rsidRPr="00D05947">
        <w:rPr>
          <w:rFonts w:ascii="Arial" w:hAnsi="Arial" w:cs="Arial"/>
          <w:color w:val="000000"/>
          <w:sz w:val="19"/>
          <w:szCs w:val="19"/>
          <w:lang w:eastAsia="es-CO"/>
        </w:rPr>
        <w:t>  […]  </w:t>
      </w:r>
    </w:p>
    <w:p w14:paraId="789D66F6" w14:textId="77777777" w:rsidR="00915830" w:rsidRPr="00D05947" w:rsidRDefault="00915830" w:rsidP="00915830">
      <w:pPr>
        <w:ind w:firstLine="708"/>
        <w:jc w:val="both"/>
        <w:rPr>
          <w:rFonts w:ascii="Arial" w:hAnsi="Arial" w:cs="Arial"/>
          <w:color w:val="000000"/>
          <w:sz w:val="19"/>
          <w:szCs w:val="19"/>
          <w:lang w:eastAsia="es-CO"/>
        </w:rPr>
      </w:pPr>
      <w:r w:rsidRPr="00D05947">
        <w:rPr>
          <w:rFonts w:ascii="Arial" w:hAnsi="Arial" w:cs="Arial"/>
          <w:color w:val="000000"/>
          <w:sz w:val="19"/>
          <w:szCs w:val="19"/>
          <w:lang w:eastAsia="es-CO"/>
        </w:rPr>
        <w:t>»c) Contratos interadministrativos, siempre que las obligaciones derivadas del mismo tengan relación directa con el objeto de la entidad ejecutora señalado en la ley o en sus reglamentos.  </w:t>
      </w:r>
    </w:p>
    <w:p w14:paraId="4983E7F9" w14:textId="77777777" w:rsidR="00915830" w:rsidRPr="00D05947" w:rsidRDefault="00915830" w:rsidP="00915830">
      <w:pPr>
        <w:jc w:val="both"/>
        <w:rPr>
          <w:rFonts w:ascii="Arial" w:hAnsi="Arial" w:cs="Arial"/>
          <w:color w:val="000000"/>
          <w:sz w:val="19"/>
          <w:szCs w:val="19"/>
          <w:lang w:eastAsia="es-CO"/>
        </w:rPr>
      </w:pPr>
      <w:r w:rsidRPr="00D05947">
        <w:rPr>
          <w:rFonts w:ascii="Arial" w:hAnsi="Arial" w:cs="Arial"/>
          <w:color w:val="000000"/>
          <w:sz w:val="19"/>
          <w:szCs w:val="19"/>
          <w:lang w:eastAsia="es-CO"/>
        </w:rPr>
        <w:t>  </w:t>
      </w:r>
      <w:r w:rsidRPr="00D05947">
        <w:rPr>
          <w:rFonts w:ascii="Arial" w:hAnsi="Arial" w:cs="Arial"/>
          <w:color w:val="000000"/>
          <w:sz w:val="19"/>
          <w:szCs w:val="19"/>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646717FE" w14:textId="77777777" w:rsidR="00915830" w:rsidRPr="00D05947" w:rsidRDefault="00915830" w:rsidP="00915830">
      <w:pPr>
        <w:jc w:val="both"/>
        <w:rPr>
          <w:rFonts w:ascii="Arial" w:hAnsi="Arial" w:cs="Arial"/>
          <w:color w:val="000000"/>
          <w:sz w:val="19"/>
          <w:szCs w:val="19"/>
          <w:lang w:eastAsia="es-CO"/>
        </w:rPr>
      </w:pPr>
      <w:r w:rsidRPr="00D05947">
        <w:rPr>
          <w:rFonts w:ascii="Arial" w:hAnsi="Arial" w:cs="Arial"/>
          <w:color w:val="000000"/>
          <w:sz w:val="19"/>
          <w:szCs w:val="19"/>
          <w:lang w:eastAsia="es-CO"/>
        </w:rPr>
        <w:t>  </w:t>
      </w:r>
      <w:r w:rsidRPr="00D05947">
        <w:rPr>
          <w:rFonts w:ascii="Arial" w:hAnsi="Arial" w:cs="Arial"/>
          <w:color w:val="000000"/>
          <w:sz w:val="19"/>
          <w:szCs w:val="19"/>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621051A0" w14:textId="77777777" w:rsidR="00915830" w:rsidRPr="00D05947" w:rsidRDefault="00915830" w:rsidP="00915830">
      <w:pPr>
        <w:jc w:val="both"/>
        <w:rPr>
          <w:rFonts w:ascii="Arial" w:hAnsi="Arial" w:cs="Arial"/>
          <w:color w:val="000000"/>
          <w:sz w:val="19"/>
          <w:szCs w:val="19"/>
          <w:lang w:eastAsia="es-CO"/>
        </w:rPr>
      </w:pPr>
      <w:r w:rsidRPr="00D05947">
        <w:rPr>
          <w:rFonts w:ascii="Arial" w:hAnsi="Arial" w:cs="Arial"/>
          <w:color w:val="000000"/>
          <w:sz w:val="19"/>
          <w:szCs w:val="19"/>
          <w:lang w:eastAsia="es-CO"/>
        </w:rPr>
        <w:t>  </w:t>
      </w:r>
      <w:r w:rsidRPr="00D05947">
        <w:rPr>
          <w:rFonts w:ascii="Arial" w:hAnsi="Arial" w:cs="Arial"/>
          <w:color w:val="000000"/>
          <w:sz w:val="19"/>
          <w:szCs w:val="19"/>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2718459D" w14:textId="77777777" w:rsidR="00915830" w:rsidRPr="00D05947" w:rsidRDefault="00915830" w:rsidP="00915830">
      <w:pPr>
        <w:jc w:val="both"/>
        <w:rPr>
          <w:rFonts w:ascii="Arial" w:hAnsi="Arial" w:cs="Arial"/>
          <w:sz w:val="19"/>
          <w:szCs w:val="19"/>
        </w:rPr>
      </w:pPr>
      <w:r w:rsidRPr="00D05947">
        <w:rPr>
          <w:rFonts w:ascii="Arial" w:hAnsi="Arial" w:cs="Arial"/>
          <w:color w:val="000000"/>
          <w:sz w:val="19"/>
          <w:szCs w:val="19"/>
          <w:lang w:eastAsia="es-CO"/>
        </w:rPr>
        <w:t>  </w:t>
      </w:r>
      <w:r w:rsidRPr="00D05947">
        <w:rPr>
          <w:rFonts w:ascii="Arial" w:hAnsi="Arial" w:cs="Arial"/>
          <w:color w:val="000000"/>
          <w:sz w:val="19"/>
          <w:szCs w:val="19"/>
          <w:lang w:eastAsia="es-CO"/>
        </w:rPr>
        <w:tab/>
        <w:t>»Estarán exceptuados de la figura del contrato interadministrativo, los contratos de seguro de las entidades estatales[…]». </w:t>
      </w:r>
      <w:r w:rsidRPr="00D05947">
        <w:rPr>
          <w:rFonts w:ascii="Arial" w:hAnsi="Arial" w:cs="Arial"/>
          <w:sz w:val="19"/>
          <w:szCs w:val="19"/>
        </w:rPr>
        <w:t xml:space="preserve"> </w:t>
      </w:r>
    </w:p>
  </w:footnote>
  <w:footnote w:id="7">
    <w:p w14:paraId="69334D62" w14:textId="77777777" w:rsidR="00915830" w:rsidRPr="00D05947" w:rsidRDefault="00915830" w:rsidP="00915830">
      <w:pPr>
        <w:pStyle w:val="Textonotapie"/>
        <w:ind w:firstLine="708"/>
        <w:jc w:val="both"/>
        <w:rPr>
          <w:rFonts w:ascii="Arial" w:hAnsi="Arial" w:cs="Arial"/>
          <w:sz w:val="19"/>
          <w:szCs w:val="19"/>
          <w:lang w:val="es-CO"/>
        </w:rPr>
      </w:pPr>
      <w:r w:rsidRPr="00D05947">
        <w:rPr>
          <w:rStyle w:val="Refdenotaalpie"/>
          <w:rFonts w:ascii="Arial" w:hAnsi="Arial" w:cs="Arial"/>
          <w:sz w:val="19"/>
          <w:szCs w:val="19"/>
        </w:rPr>
        <w:footnoteRef/>
      </w:r>
      <w:r w:rsidRPr="00D05947">
        <w:rPr>
          <w:rFonts w:ascii="Arial" w:hAnsi="Arial" w:cs="Arial"/>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D05947">
        <w:rPr>
          <w:rFonts w:ascii="Arial" w:hAnsi="Arial" w:cs="Arial"/>
          <w:i/>
          <w:iCs/>
          <w:sz w:val="19"/>
          <w:szCs w:val="19"/>
        </w:rPr>
        <w:t>lex posterior derogat legi priori</w:t>
      </w:r>
      <w:r w:rsidRPr="00D05947">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 w:id="8">
    <w:p w14:paraId="702C8F07" w14:textId="77777777" w:rsidR="00915830" w:rsidRPr="00D05947" w:rsidRDefault="00915830" w:rsidP="00915830">
      <w:pPr>
        <w:pStyle w:val="Textonotapie"/>
        <w:ind w:firstLine="709"/>
        <w:jc w:val="both"/>
        <w:rPr>
          <w:rFonts w:ascii="Arial" w:hAnsi="Arial" w:cs="Arial"/>
          <w:sz w:val="19"/>
          <w:szCs w:val="19"/>
        </w:rPr>
      </w:pPr>
      <w:r w:rsidRPr="00D05947">
        <w:rPr>
          <w:rStyle w:val="Refdenotaalpie"/>
          <w:rFonts w:ascii="Arial" w:hAnsi="Arial" w:cs="Arial"/>
          <w:sz w:val="19"/>
          <w:szCs w:val="19"/>
        </w:rPr>
        <w:footnoteRef/>
      </w:r>
      <w:r w:rsidRPr="00D05947">
        <w:rPr>
          <w:rFonts w:ascii="Arial" w:hAnsi="Arial" w:cs="Arial"/>
          <w:sz w:val="19"/>
          <w:szCs w:val="19"/>
        </w:rPr>
        <w:t xml:space="preserve"> </w:t>
      </w:r>
      <w:r w:rsidRPr="00D05947">
        <w:rPr>
          <w:rFonts w:ascii="Arial" w:hAnsi="Arial" w:cs="Arial"/>
          <w:color w:val="000000" w:themeColor="text1"/>
          <w:sz w:val="19"/>
          <w:szCs w:val="19"/>
          <w:lang w:val="es-ES"/>
        </w:rPr>
        <w:t>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9">
    <w:p w14:paraId="7877E4FE" w14:textId="77777777" w:rsidR="00915830" w:rsidRPr="00D05947" w:rsidRDefault="00915830" w:rsidP="00915830">
      <w:pPr>
        <w:pStyle w:val="Textonotapie"/>
        <w:ind w:firstLine="709"/>
        <w:rPr>
          <w:rFonts w:ascii="Arial" w:hAnsi="Arial" w:cs="Arial"/>
          <w:sz w:val="19"/>
          <w:szCs w:val="19"/>
        </w:rPr>
      </w:pPr>
      <w:r w:rsidRPr="00D05947">
        <w:rPr>
          <w:rStyle w:val="Refdenotaalpie"/>
          <w:rFonts w:ascii="Arial" w:hAnsi="Arial" w:cs="Arial"/>
          <w:sz w:val="19"/>
          <w:szCs w:val="19"/>
        </w:rPr>
        <w:footnoteRef/>
      </w:r>
      <w:r w:rsidRPr="00D05947">
        <w:rPr>
          <w:rFonts w:ascii="Arial" w:hAnsi="Arial" w:cs="Arial"/>
          <w:sz w:val="19"/>
          <w:szCs w:val="19"/>
        </w:rPr>
        <w:t xml:space="preserve"> Sentencia C-382 de 2019, M.P. Alejandro Linares Cantillo.</w:t>
      </w:r>
    </w:p>
  </w:footnote>
  <w:footnote w:id="10">
    <w:p w14:paraId="2A98E261" w14:textId="77777777" w:rsidR="00915830" w:rsidRPr="00D05947" w:rsidRDefault="00915830" w:rsidP="00915830">
      <w:pPr>
        <w:pStyle w:val="Textonotapie"/>
        <w:ind w:firstLine="709"/>
        <w:jc w:val="both"/>
        <w:rPr>
          <w:rFonts w:ascii="Arial" w:hAnsi="Arial" w:cs="Arial"/>
          <w:color w:val="000000" w:themeColor="text1"/>
          <w:sz w:val="19"/>
          <w:szCs w:val="19"/>
        </w:rPr>
      </w:pPr>
      <w:r w:rsidRPr="00D05947">
        <w:rPr>
          <w:rStyle w:val="Refdenotaalpie"/>
          <w:rFonts w:ascii="Arial" w:hAnsi="Arial" w:cs="Arial"/>
          <w:sz w:val="19"/>
          <w:szCs w:val="19"/>
        </w:rPr>
        <w:footnoteRef/>
      </w:r>
      <w:r w:rsidRPr="00D05947">
        <w:rPr>
          <w:rFonts w:ascii="Arial" w:hAnsi="Arial" w:cs="Arial"/>
          <w:color w:val="000000" w:themeColor="text1"/>
          <w:sz w:val="19"/>
          <w:szCs w:val="19"/>
        </w:rPr>
        <w:t xml:space="preserve"> La redacción original del parágrafo primero del artículo 32 de la Ley 80 de 1993, incluía la expresión </w:t>
      </w:r>
      <w:r w:rsidRPr="00D05947">
        <w:rPr>
          <w:rFonts w:ascii="Arial" w:hAnsi="Arial" w:cs="Arial"/>
          <w:i/>
          <w:iCs/>
          <w:color w:val="000000" w:themeColor="text1"/>
          <w:sz w:val="19"/>
          <w:szCs w:val="19"/>
        </w:rPr>
        <w:t>giro ordinario</w:t>
      </w:r>
      <w:r w:rsidRPr="00D05947">
        <w:rPr>
          <w:rFonts w:ascii="Arial" w:hAnsi="Arial" w:cs="Arial"/>
          <w:color w:val="000000" w:themeColor="text1"/>
          <w:sz w:val="19"/>
          <w:szCs w:val="19"/>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D05947">
        <w:rPr>
          <w:rFonts w:ascii="Arial" w:hAnsi="Arial" w:cs="Arial"/>
          <w:i/>
          <w:iCs/>
          <w:color w:val="000000" w:themeColor="text1"/>
          <w:sz w:val="19"/>
          <w:szCs w:val="19"/>
        </w:rPr>
        <w:t>al giro ordinario de las actividades propias de su objeto social,</w:t>
      </w:r>
      <w:r w:rsidRPr="00D05947">
        <w:rPr>
          <w:rFonts w:ascii="Arial" w:hAnsi="Arial" w:cs="Arial"/>
          <w:color w:val="000000" w:themeColor="text1"/>
          <w:sz w:val="19"/>
          <w:szCs w:val="19"/>
        </w:rPr>
        <w:t xml:space="preserve"> no estarán sujetos a las disposiciones del presente estatuto y se regirán por las disposiciones legales y reglamentarias aplicables a dichas actividades» [Énfasis fuera de texto].</w:t>
      </w:r>
    </w:p>
  </w:footnote>
  <w:footnote w:id="11">
    <w:p w14:paraId="463171B0" w14:textId="77777777" w:rsidR="00915830" w:rsidRPr="00D05947" w:rsidRDefault="00915830" w:rsidP="00915830">
      <w:pPr>
        <w:pStyle w:val="Textonotapie"/>
        <w:ind w:firstLine="709"/>
        <w:jc w:val="both"/>
        <w:rPr>
          <w:rFonts w:ascii="Arial" w:hAnsi="Arial" w:cs="Arial"/>
          <w:color w:val="000000" w:themeColor="text1"/>
          <w:sz w:val="19"/>
          <w:szCs w:val="19"/>
        </w:rPr>
      </w:pPr>
      <w:r w:rsidRPr="00D05947">
        <w:rPr>
          <w:rStyle w:val="Refdenotaalpie"/>
          <w:rFonts w:ascii="Arial" w:hAnsi="Arial" w:cs="Arial"/>
          <w:sz w:val="19"/>
          <w:szCs w:val="19"/>
        </w:rPr>
        <w:footnoteRef/>
      </w:r>
      <w:r w:rsidRPr="00D05947">
        <w:rPr>
          <w:rFonts w:ascii="Arial" w:hAnsi="Arial" w:cs="Arial"/>
          <w:color w:val="000000" w:themeColor="text1"/>
          <w:sz w:val="19"/>
          <w:szCs w:val="19"/>
        </w:rPr>
        <w:t xml:space="preserve"> Consejo de Estado. Sección Tercera. Subsección B. Sentencia del 12 de octubre de 2011. Exp. No. 20070. C.P. Danilo Rojas Betancourt.</w:t>
      </w:r>
    </w:p>
  </w:footnote>
  <w:footnote w:id="12">
    <w:p w14:paraId="71E34D98" w14:textId="77777777" w:rsidR="00915830" w:rsidRPr="00D05947" w:rsidRDefault="00915830" w:rsidP="00915830">
      <w:pPr>
        <w:ind w:firstLine="709"/>
        <w:jc w:val="both"/>
        <w:rPr>
          <w:rFonts w:ascii="Arial" w:hAnsi="Arial" w:cs="Arial"/>
          <w:color w:val="000000" w:themeColor="text1"/>
          <w:sz w:val="19"/>
          <w:szCs w:val="19"/>
        </w:rPr>
      </w:pPr>
      <w:r w:rsidRPr="00D05947">
        <w:rPr>
          <w:rStyle w:val="Refdenotaalpie"/>
          <w:rFonts w:ascii="Arial" w:hAnsi="Arial" w:cs="Arial"/>
          <w:sz w:val="19"/>
          <w:szCs w:val="19"/>
        </w:rPr>
        <w:footnoteRef/>
      </w:r>
      <w:r w:rsidRPr="00D05947">
        <w:rPr>
          <w:rFonts w:ascii="Arial" w:hAnsi="Arial" w:cs="Arial"/>
          <w:color w:val="000000" w:themeColor="text1"/>
          <w:sz w:val="19"/>
          <w:szCs w:val="19"/>
        </w:rPr>
        <w:t xml:space="preserve"> Consejo de Estado. Sección Tercera. Subsección A. Sentencia del 3 de marzo de 2021. Exp. No. 51373. C.P. José Roberto Sáchica Méndez.</w:t>
      </w:r>
    </w:p>
    <w:p w14:paraId="3824A632" w14:textId="77777777" w:rsidR="00915830" w:rsidRPr="00D05947" w:rsidRDefault="00915830" w:rsidP="00915830">
      <w:pPr>
        <w:ind w:firstLine="709"/>
        <w:jc w:val="both"/>
        <w:rPr>
          <w:rFonts w:ascii="Arial" w:hAnsi="Arial" w:cs="Arial"/>
          <w:color w:val="000000" w:themeColor="text1"/>
          <w:sz w:val="19"/>
          <w:szCs w:val="19"/>
        </w:rPr>
      </w:pPr>
      <w:r w:rsidRPr="00D05947">
        <w:rPr>
          <w:rFonts w:ascii="Arial" w:hAnsi="Arial" w:cs="Arial"/>
          <w:color w:val="000000" w:themeColor="text1"/>
          <w:sz w:val="19"/>
          <w:szCs w:val="19"/>
        </w:rPr>
        <w:t xml:space="preserve"> </w:t>
      </w:r>
    </w:p>
  </w:footnote>
  <w:footnote w:id="13">
    <w:p w14:paraId="7108AE3E" w14:textId="77777777" w:rsidR="00915830" w:rsidRPr="00D05947" w:rsidRDefault="00915830" w:rsidP="00915830">
      <w:pPr>
        <w:pStyle w:val="Textonotapie"/>
        <w:ind w:firstLine="709"/>
        <w:jc w:val="both"/>
        <w:rPr>
          <w:rFonts w:ascii="Arial" w:hAnsi="Arial" w:cs="Arial"/>
          <w:color w:val="000000" w:themeColor="text1"/>
          <w:sz w:val="19"/>
          <w:szCs w:val="19"/>
        </w:rPr>
      </w:pPr>
      <w:r w:rsidRPr="00D05947">
        <w:rPr>
          <w:rStyle w:val="Refdenotaalpie"/>
          <w:rFonts w:ascii="Arial" w:hAnsi="Arial" w:cs="Arial"/>
          <w:sz w:val="19"/>
          <w:szCs w:val="19"/>
        </w:rPr>
        <w:footnoteRef/>
      </w:r>
      <w:r w:rsidRPr="00D05947">
        <w:rPr>
          <w:rFonts w:ascii="Arial" w:hAnsi="Arial" w:cs="Arial"/>
          <w:color w:val="000000" w:themeColor="text1"/>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751177CE" w14:textId="77777777" w:rsidR="00915830" w:rsidRPr="00D05947" w:rsidRDefault="00915830" w:rsidP="00915830">
      <w:pPr>
        <w:pStyle w:val="Textonotapie"/>
        <w:ind w:firstLine="709"/>
        <w:jc w:val="both"/>
        <w:rPr>
          <w:rFonts w:ascii="Arial" w:hAnsi="Arial" w:cs="Arial"/>
          <w:color w:val="000000" w:themeColor="text1"/>
          <w:sz w:val="19"/>
          <w:szCs w:val="19"/>
        </w:rPr>
      </w:pPr>
      <w:r w:rsidRPr="00D05947">
        <w:rPr>
          <w:rFonts w:ascii="Arial" w:hAnsi="Arial" w:cs="Arial"/>
          <w:color w:val="000000" w:themeColor="text1"/>
          <w:sz w:val="19"/>
          <w:szCs w:val="19"/>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14">
    <w:p w14:paraId="43151287" w14:textId="77777777" w:rsidR="00E62261" w:rsidRPr="00E62261" w:rsidRDefault="00E62261" w:rsidP="00E62261">
      <w:pPr>
        <w:pStyle w:val="Textonotapie"/>
        <w:ind w:firstLine="709"/>
        <w:jc w:val="both"/>
        <w:rPr>
          <w:rFonts w:ascii="Arial" w:hAnsi="Arial" w:cs="Arial"/>
          <w:color w:val="000000"/>
          <w:sz w:val="19"/>
          <w:szCs w:val="19"/>
        </w:rPr>
      </w:pPr>
    </w:p>
    <w:p w14:paraId="1A7492BF" w14:textId="77777777" w:rsidR="00E62261" w:rsidRPr="00E62261" w:rsidRDefault="00E62261" w:rsidP="00E62261">
      <w:pPr>
        <w:pStyle w:val="Textonotapie"/>
        <w:ind w:firstLine="709"/>
        <w:jc w:val="both"/>
        <w:rPr>
          <w:rFonts w:ascii="Arial" w:hAnsi="Arial" w:cs="Arial"/>
          <w:color w:val="000000"/>
          <w:sz w:val="19"/>
          <w:szCs w:val="19"/>
        </w:rPr>
      </w:pPr>
      <w:r w:rsidRPr="00A966E6">
        <w:rPr>
          <w:rStyle w:val="Refdenotaalpie"/>
          <w:rFonts w:ascii="Arial" w:hAnsi="Arial" w:cs="Arial"/>
          <w:sz w:val="19"/>
          <w:szCs w:val="19"/>
        </w:rPr>
        <w:footnoteRef/>
      </w:r>
      <w:r w:rsidRPr="00E62261">
        <w:rPr>
          <w:rFonts w:ascii="Arial" w:hAnsi="Arial" w:cs="Arial"/>
          <w:color w:val="000000"/>
          <w:sz w:val="19"/>
          <w:szCs w:val="19"/>
        </w:rPr>
        <w:t xml:space="preserve"> Superintendencia de Sociedades. Oficio 220-014111 del 18 de febrero de 2015. Consultado el 9 de febrero de 2022 en: </w:t>
      </w:r>
      <w:hyperlink r:id="rId1" w:history="1">
        <w:r w:rsidRPr="00E62261">
          <w:rPr>
            <w:rStyle w:val="Hipervnculo"/>
            <w:rFonts w:ascii="Arial" w:hAnsi="Arial" w:cs="Arial"/>
            <w:color w:val="000000"/>
            <w:sz w:val="19"/>
            <w:szCs w:val="19"/>
          </w:rPr>
          <w:t>https://www.supersociedades.gov.co/nuestra_entidad/normatividad/normatividad_conceptos_juridicos/OFICIO_220-014111_DE_2015.pdf</w:t>
        </w:r>
      </w:hyperlink>
    </w:p>
  </w:footnote>
  <w:footnote w:id="15">
    <w:p w14:paraId="052E6ABA" w14:textId="77777777" w:rsidR="00E62261" w:rsidRPr="00E62261" w:rsidRDefault="00E62261" w:rsidP="00E62261">
      <w:pPr>
        <w:pStyle w:val="Textonotapie"/>
        <w:ind w:firstLine="709"/>
        <w:jc w:val="both"/>
        <w:rPr>
          <w:rFonts w:ascii="Arial" w:hAnsi="Arial" w:cs="Arial"/>
          <w:color w:val="000000"/>
          <w:sz w:val="19"/>
          <w:szCs w:val="19"/>
        </w:rPr>
      </w:pPr>
      <w:r w:rsidRPr="00A966E6">
        <w:rPr>
          <w:rStyle w:val="Refdenotaalpie"/>
          <w:rFonts w:ascii="Arial" w:hAnsi="Arial" w:cs="Arial"/>
          <w:sz w:val="19"/>
          <w:szCs w:val="19"/>
        </w:rPr>
        <w:footnoteRef/>
      </w:r>
      <w:r w:rsidRPr="00E62261">
        <w:rPr>
          <w:rFonts w:ascii="Arial" w:hAnsi="Arial" w:cs="Arial"/>
          <w:color w:val="000000"/>
          <w:sz w:val="19"/>
          <w:szCs w:val="19"/>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r w:rsidRPr="00E62261">
        <w:rPr>
          <w:rFonts w:ascii="Arial" w:hAnsi="Arial" w:cs="Arial"/>
          <w:color w:val="000000"/>
          <w:sz w:val="19"/>
          <w:szCs w:val="19"/>
        </w:rPr>
        <w:cr/>
      </w:r>
    </w:p>
  </w:footnote>
  <w:footnote w:id="16">
    <w:p w14:paraId="60C12408" w14:textId="77777777" w:rsidR="00E62261" w:rsidRPr="00E62261" w:rsidRDefault="00E62261" w:rsidP="00E62261">
      <w:pPr>
        <w:pStyle w:val="Textonotapie"/>
        <w:ind w:firstLine="709"/>
        <w:jc w:val="both"/>
        <w:rPr>
          <w:rFonts w:ascii="Arial" w:hAnsi="Arial" w:cs="Arial"/>
          <w:color w:val="000000"/>
          <w:sz w:val="19"/>
          <w:szCs w:val="19"/>
        </w:rPr>
      </w:pPr>
      <w:r w:rsidRPr="00A966E6">
        <w:rPr>
          <w:rStyle w:val="Refdenotaalpie"/>
          <w:rFonts w:ascii="Arial" w:hAnsi="Arial" w:cs="Arial"/>
          <w:sz w:val="19"/>
          <w:szCs w:val="19"/>
        </w:rPr>
        <w:footnoteRef/>
      </w:r>
      <w:r w:rsidRPr="00E62261">
        <w:rPr>
          <w:rFonts w:ascii="Arial" w:hAnsi="Arial" w:cs="Arial"/>
          <w:color w:val="000000"/>
          <w:sz w:val="19"/>
          <w:szCs w:val="19"/>
        </w:rPr>
        <w:t xml:space="preserve"> Al respecto ha señalado la Corte Constitucional: «En relación con el ámbito de configuración del legislador en materia contractual la jurisprudencia constitucional ha señalado los siguientes criterios:</w:t>
      </w:r>
    </w:p>
    <w:p w14:paraId="6C90252A" w14:textId="77777777" w:rsidR="00E62261" w:rsidRPr="00E62261" w:rsidRDefault="00E62261" w:rsidP="00E62261">
      <w:pPr>
        <w:pStyle w:val="Textonotapie"/>
        <w:ind w:firstLine="709"/>
        <w:jc w:val="both"/>
        <w:rPr>
          <w:rFonts w:ascii="Arial" w:hAnsi="Arial" w:cs="Arial"/>
          <w:color w:val="000000"/>
          <w:sz w:val="19"/>
          <w:szCs w:val="19"/>
        </w:rPr>
      </w:pPr>
      <w:r w:rsidRPr="00E62261">
        <w:rPr>
          <w:rFonts w:ascii="Arial" w:hAnsi="Arial" w:cs="Arial"/>
          <w:color w:val="000000"/>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70EEA96D" w14:textId="77777777" w:rsidR="00E62261" w:rsidRPr="00E62261" w:rsidRDefault="00E62261" w:rsidP="00E62261">
      <w:pPr>
        <w:pStyle w:val="Textonotapie"/>
        <w:ind w:firstLine="709"/>
        <w:jc w:val="both"/>
        <w:rPr>
          <w:rFonts w:ascii="Arial" w:hAnsi="Arial" w:cs="Arial"/>
          <w:color w:val="000000"/>
          <w:sz w:val="19"/>
          <w:szCs w:val="19"/>
        </w:rPr>
      </w:pPr>
      <w:r w:rsidRPr="00E62261">
        <w:rPr>
          <w:rFonts w:ascii="Arial" w:hAnsi="Arial" w:cs="Arial"/>
          <w:color w:val="000000"/>
          <w:sz w:val="19"/>
          <w:szCs w:val="19"/>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0EE6AD77" w14:textId="77777777" w:rsidR="00E62261" w:rsidRPr="00E62261" w:rsidRDefault="00E62261" w:rsidP="00E62261">
      <w:pPr>
        <w:pStyle w:val="Textonotapie"/>
        <w:ind w:firstLine="709"/>
        <w:jc w:val="both"/>
        <w:rPr>
          <w:rFonts w:ascii="Arial" w:hAnsi="Arial" w:cs="Arial"/>
          <w:color w:val="000000"/>
          <w:sz w:val="19"/>
          <w:szCs w:val="19"/>
        </w:rPr>
      </w:pPr>
      <w:r w:rsidRPr="00E62261">
        <w:rPr>
          <w:rFonts w:ascii="Arial" w:hAnsi="Arial" w:cs="Arial"/>
          <w:color w:val="000000"/>
          <w:sz w:val="19"/>
          <w:szCs w:val="19"/>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4299733D" w14:textId="77777777" w:rsidR="00E62261" w:rsidRPr="00E62261" w:rsidRDefault="00E62261" w:rsidP="00E62261">
      <w:pPr>
        <w:pStyle w:val="Textonotapie"/>
        <w:ind w:firstLine="709"/>
        <w:jc w:val="both"/>
        <w:rPr>
          <w:rFonts w:ascii="Arial" w:hAnsi="Arial" w:cs="Arial"/>
          <w:color w:val="000000"/>
          <w:sz w:val="19"/>
          <w:szCs w:val="19"/>
        </w:rPr>
      </w:pPr>
      <w:r w:rsidRPr="00E62261">
        <w:rPr>
          <w:rFonts w:ascii="Arial" w:hAnsi="Arial" w:cs="Arial"/>
          <w:color w:val="000000"/>
          <w:sz w:val="19"/>
          <w:szCs w:val="19"/>
        </w:rPr>
        <w:t xml:space="preserve"> </w:t>
      </w:r>
    </w:p>
  </w:footnote>
  <w:footnote w:id="17">
    <w:p w14:paraId="13E6D02B" w14:textId="77777777" w:rsidR="00E62261" w:rsidRPr="00E62261" w:rsidRDefault="00E62261" w:rsidP="00E62261">
      <w:pPr>
        <w:pStyle w:val="Textonotapie"/>
        <w:ind w:firstLine="709"/>
        <w:jc w:val="both"/>
        <w:rPr>
          <w:rFonts w:ascii="Arial" w:hAnsi="Arial" w:cs="Arial"/>
          <w:color w:val="000000"/>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E62261">
        <w:rPr>
          <w:rFonts w:ascii="Arial" w:hAnsi="Arial" w:cs="Arial"/>
          <w:color w:val="000000"/>
          <w:sz w:val="19"/>
          <w:szCs w:val="19"/>
        </w:rPr>
        <w:t>Consejo de Estado. Sección Tercera. Subsección A. Sentencia del 24 de junio de 2015. Exp. 40.635. Consejero Ponente: Hernán Andrade Rincón (E).</w:t>
      </w:r>
    </w:p>
    <w:p w14:paraId="18CCAF68" w14:textId="77777777" w:rsidR="00E62261" w:rsidRPr="00A966E6" w:rsidRDefault="00E62261" w:rsidP="00E62261">
      <w:pPr>
        <w:pStyle w:val="Textonotapie"/>
        <w:ind w:firstLine="709"/>
        <w:jc w:val="both"/>
        <w:rPr>
          <w:rFonts w:ascii="Arial" w:hAnsi="Arial" w:cs="Arial"/>
          <w:sz w:val="19"/>
          <w:szCs w:val="19"/>
          <w:lang w:val="es-ES"/>
        </w:rPr>
      </w:pPr>
    </w:p>
  </w:footnote>
  <w:footnote w:id="18">
    <w:p w14:paraId="7F71DB94" w14:textId="77777777" w:rsidR="00E62261" w:rsidRPr="00E62261" w:rsidRDefault="00E62261" w:rsidP="00E62261">
      <w:pPr>
        <w:pStyle w:val="Textonotapie"/>
        <w:ind w:firstLine="709"/>
        <w:jc w:val="both"/>
        <w:rPr>
          <w:rFonts w:ascii="Arial" w:hAnsi="Arial" w:cs="Arial"/>
          <w:color w:val="000000"/>
          <w:sz w:val="19"/>
          <w:szCs w:val="19"/>
          <w:lang w:val="es-ES"/>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E62261">
        <w:rPr>
          <w:rFonts w:ascii="Arial" w:hAnsi="Arial" w:cs="Arial"/>
          <w:color w:val="000000"/>
          <w:sz w:val="19"/>
          <w:szCs w:val="19"/>
          <w:lang w:val="es-ES"/>
        </w:rPr>
        <w:t>Consejo de Estado. Sala de Consulta y Servicio Civil. Concepto del 30 de abril de 2015. Expediente: 2251. Consejero Ponente: Álvaro Namén Vargas.</w:t>
      </w:r>
    </w:p>
    <w:p w14:paraId="4E01C2D0" w14:textId="77777777" w:rsidR="00E62261" w:rsidRPr="00A966E6" w:rsidRDefault="00E62261" w:rsidP="00E62261">
      <w:pPr>
        <w:pStyle w:val="Textonotapie"/>
        <w:ind w:firstLine="709"/>
        <w:jc w:val="both"/>
        <w:rPr>
          <w:rFonts w:ascii="Arial" w:hAnsi="Arial" w:cs="Arial"/>
          <w:sz w:val="19"/>
          <w:szCs w:val="19"/>
          <w:lang w:val="es-ES"/>
        </w:rPr>
      </w:pPr>
    </w:p>
  </w:footnote>
  <w:footnote w:id="19">
    <w:p w14:paraId="349B7DC1" w14:textId="77777777" w:rsidR="00E62261" w:rsidRPr="00E62261" w:rsidRDefault="00E62261" w:rsidP="00E62261">
      <w:pPr>
        <w:pStyle w:val="Textonotapie"/>
        <w:ind w:firstLine="709"/>
        <w:jc w:val="both"/>
        <w:rPr>
          <w:rFonts w:ascii="Arial" w:hAnsi="Arial" w:cs="Arial"/>
          <w:color w:val="000000"/>
          <w:sz w:val="19"/>
          <w:szCs w:val="19"/>
        </w:rPr>
      </w:pPr>
      <w:r w:rsidRPr="00A966E6">
        <w:rPr>
          <w:rStyle w:val="Refdenotaalpie"/>
          <w:rFonts w:ascii="Arial" w:hAnsi="Arial" w:cs="Arial"/>
          <w:sz w:val="19"/>
          <w:szCs w:val="19"/>
        </w:rPr>
        <w:footnoteRef/>
      </w:r>
      <w:r w:rsidRPr="00E62261">
        <w:rPr>
          <w:rFonts w:ascii="Arial" w:hAnsi="Arial" w:cs="Arial"/>
          <w:color w:val="000000"/>
          <w:sz w:val="19"/>
          <w:szCs w:val="19"/>
        </w:rPr>
        <w:t xml:space="preserve"> Código Civil: «Artículo 27. Interpretación Gramatical. Cuando el sentido de la ley sea claro, no se desatenderá su tenor literal a pretexto de consultar su espíritu.</w:t>
      </w:r>
    </w:p>
    <w:p w14:paraId="4C3426EF" w14:textId="77777777" w:rsidR="00E62261" w:rsidRPr="00E62261" w:rsidRDefault="00E62261" w:rsidP="00E62261">
      <w:pPr>
        <w:pStyle w:val="Textonotapie"/>
        <w:ind w:firstLine="709"/>
        <w:jc w:val="both"/>
        <w:rPr>
          <w:rFonts w:ascii="Arial" w:hAnsi="Arial" w:cs="Arial"/>
          <w:color w:val="000000"/>
          <w:sz w:val="19"/>
          <w:szCs w:val="19"/>
        </w:rPr>
      </w:pPr>
      <w:r w:rsidRPr="00E62261">
        <w:rPr>
          <w:rFonts w:ascii="Arial" w:hAnsi="Arial" w:cs="Arial"/>
          <w:color w:val="000000"/>
          <w:sz w:val="19"/>
          <w:szCs w:val="19"/>
        </w:rPr>
        <w:t>»Pero bien se puede, para interpretar una expresión oscura de la ley, recurrir a su intención o espíritu, claramente manifestados en ella misma o en la historia fidedigna de su establecimiento».</w:t>
      </w:r>
    </w:p>
  </w:footnote>
  <w:footnote w:id="20">
    <w:p w14:paraId="07C68627" w14:textId="77777777" w:rsidR="00E62261" w:rsidRPr="00A966E6" w:rsidRDefault="00E62261" w:rsidP="00E62261">
      <w:pPr>
        <w:pStyle w:val="Textonotapie"/>
        <w:ind w:firstLine="708"/>
        <w:jc w:val="both"/>
        <w:rPr>
          <w:rFonts w:ascii="Arial" w:hAnsi="Arial" w:cs="Arial"/>
          <w:sz w:val="19"/>
          <w:szCs w:val="19"/>
        </w:rPr>
      </w:pPr>
    </w:p>
    <w:p w14:paraId="66154C26" w14:textId="77777777" w:rsidR="00E62261" w:rsidRPr="00A966E6" w:rsidRDefault="00E62261" w:rsidP="00E62261">
      <w:pPr>
        <w:ind w:firstLine="708"/>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Código Civil: «Artículo 31. Interpretación sobre la extensión de una ley. Lo favorable u odioso de una disposición no se tomará en cuenta para ampliar o restringir su interpretación. La extensión que deba darse a toda ley se determinará por su genuino sentido, y según las reglas de interpretación precedentes».</w:t>
      </w:r>
    </w:p>
    <w:p w14:paraId="5A1740AB" w14:textId="77777777" w:rsidR="00E62261" w:rsidRPr="00A966E6" w:rsidRDefault="00E62261" w:rsidP="00E62261">
      <w:pPr>
        <w:pStyle w:val="Textonotapie"/>
        <w:ind w:firstLine="708"/>
        <w:jc w:val="both"/>
        <w:rPr>
          <w:rFonts w:ascii="Arial" w:hAnsi="Arial" w:cs="Arial"/>
          <w:sz w:val="19"/>
          <w:szCs w:val="19"/>
          <w:lang w:val="es-CO"/>
        </w:rPr>
      </w:pPr>
      <w:r w:rsidRPr="00A966E6">
        <w:rPr>
          <w:rFonts w:ascii="Arial" w:hAnsi="Arial" w:cs="Arial"/>
          <w:sz w:val="19"/>
          <w:szCs w:val="19"/>
        </w:rPr>
        <w:t xml:space="preserve"> </w:t>
      </w:r>
    </w:p>
  </w:footnote>
  <w:footnote w:id="21">
    <w:p w14:paraId="1EBB6D7F" w14:textId="77777777" w:rsidR="00CE321B" w:rsidRPr="00CE321B" w:rsidRDefault="00CE321B" w:rsidP="00CE321B">
      <w:pPr>
        <w:pStyle w:val="Textonotapie"/>
        <w:ind w:firstLine="709"/>
        <w:jc w:val="both"/>
        <w:rPr>
          <w:rFonts w:ascii="Arial" w:hAnsi="Arial" w:cs="Arial"/>
          <w:color w:val="000000"/>
          <w:sz w:val="19"/>
          <w:szCs w:val="19"/>
          <w:lang w:val="es-ES_tradnl"/>
        </w:rPr>
      </w:pPr>
      <w:r w:rsidRPr="00CE321B">
        <w:rPr>
          <w:rStyle w:val="Refdenotaalpie"/>
          <w:rFonts w:ascii="Arial" w:hAnsi="Arial" w:cs="Arial"/>
          <w:color w:val="000000"/>
          <w:sz w:val="19"/>
          <w:szCs w:val="19"/>
          <w:lang w:val="es-ES_tradnl"/>
        </w:rPr>
        <w:footnoteRef/>
      </w:r>
      <w:r w:rsidRPr="00CE321B">
        <w:rPr>
          <w:rFonts w:ascii="Arial" w:hAnsi="Arial" w:cs="Arial"/>
          <w:color w:val="000000"/>
          <w:sz w:val="19"/>
          <w:szCs w:val="19"/>
          <w:lang w:val="es-ES_tradn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17646699" w14:textId="77777777" w:rsidR="00CE321B" w:rsidRPr="00CE321B" w:rsidRDefault="00CE321B" w:rsidP="00CE321B">
      <w:pPr>
        <w:pStyle w:val="Textonotapie"/>
        <w:ind w:firstLine="709"/>
        <w:jc w:val="both"/>
        <w:rPr>
          <w:rFonts w:ascii="Arial" w:hAnsi="Arial" w:cs="Arial"/>
          <w:color w:val="000000"/>
          <w:sz w:val="19"/>
          <w:szCs w:val="19"/>
          <w:lang w:val="es-ES_tradnl"/>
        </w:rPr>
      </w:pPr>
      <w:r w:rsidRPr="00CE321B">
        <w:rPr>
          <w:rFonts w:ascii="Arial" w:hAnsi="Arial" w:cs="Arial"/>
          <w:color w:val="000000"/>
          <w:sz w:val="19"/>
          <w:szCs w:val="19"/>
          <w:lang w:val="es-ES_tradnl"/>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01C0BDAC" w14:textId="77777777" w:rsidR="00CE321B" w:rsidRPr="00CE321B" w:rsidRDefault="00CE321B" w:rsidP="00CE321B">
      <w:pPr>
        <w:pStyle w:val="Textonotapie"/>
        <w:ind w:firstLine="709"/>
        <w:jc w:val="both"/>
        <w:rPr>
          <w:rFonts w:ascii="Arial" w:hAnsi="Arial" w:cs="Arial"/>
          <w:color w:val="000000"/>
          <w:sz w:val="19"/>
          <w:szCs w:val="19"/>
          <w:lang w:val="es-ES_tradnl"/>
        </w:rPr>
      </w:pPr>
      <w:r w:rsidRPr="00CE321B">
        <w:rPr>
          <w:rFonts w:ascii="Arial" w:hAnsi="Arial" w:cs="Arial"/>
          <w:color w:val="000000"/>
          <w:sz w:val="19"/>
          <w:szCs w:val="19"/>
          <w:lang w:val="es-ES_tradnl"/>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5A392AE7" w14:textId="77777777" w:rsidR="00CE321B" w:rsidRPr="00CE321B" w:rsidRDefault="00CE321B" w:rsidP="00CE321B">
      <w:pPr>
        <w:pStyle w:val="Textonotapie"/>
        <w:ind w:firstLine="709"/>
        <w:jc w:val="both"/>
        <w:rPr>
          <w:rFonts w:ascii="Arial" w:hAnsi="Arial" w:cs="Arial"/>
          <w:color w:val="000000"/>
          <w:sz w:val="19"/>
          <w:szCs w:val="19"/>
          <w:lang w:val="es-ES_tradnl"/>
        </w:rPr>
      </w:pPr>
    </w:p>
  </w:footnote>
  <w:footnote w:id="22">
    <w:p w14:paraId="5E2FBB55" w14:textId="77777777" w:rsidR="00CE321B" w:rsidRPr="00CE321B" w:rsidRDefault="00CE321B" w:rsidP="00CE321B">
      <w:pPr>
        <w:pStyle w:val="Textonotapie"/>
        <w:ind w:firstLine="709"/>
        <w:jc w:val="both"/>
        <w:rPr>
          <w:rFonts w:ascii="Arial" w:hAnsi="Arial" w:cs="Arial"/>
          <w:color w:val="000000"/>
          <w:sz w:val="19"/>
          <w:szCs w:val="19"/>
        </w:rPr>
      </w:pPr>
      <w:r w:rsidRPr="00CE321B">
        <w:rPr>
          <w:rStyle w:val="Refdenotaalpie"/>
          <w:rFonts w:ascii="Arial" w:hAnsi="Arial" w:cs="Arial"/>
          <w:color w:val="000000"/>
          <w:sz w:val="19"/>
          <w:szCs w:val="19"/>
        </w:rPr>
        <w:footnoteRef/>
      </w:r>
      <w:r w:rsidRPr="00CE321B">
        <w:rPr>
          <w:rFonts w:ascii="Arial" w:hAnsi="Arial" w:cs="Arial"/>
          <w:color w:val="000000"/>
          <w:sz w:val="19"/>
          <w:szCs w:val="19"/>
        </w:rPr>
        <w:t xml:space="preserve"> En efecto, dicho artículo establece: «Pueden prestar los servicios públicos:</w:t>
      </w:r>
    </w:p>
    <w:p w14:paraId="68328D6F" w14:textId="77777777" w:rsidR="00CE321B" w:rsidRPr="00CE321B" w:rsidRDefault="00CE321B" w:rsidP="00CE321B">
      <w:pPr>
        <w:pStyle w:val="Textonotapie"/>
        <w:ind w:firstLine="709"/>
        <w:jc w:val="both"/>
        <w:rPr>
          <w:rFonts w:ascii="Arial" w:hAnsi="Arial" w:cs="Arial"/>
          <w:color w:val="000000"/>
          <w:sz w:val="19"/>
          <w:szCs w:val="19"/>
        </w:rPr>
      </w:pPr>
      <w:r w:rsidRPr="00CE321B">
        <w:rPr>
          <w:rFonts w:ascii="Arial" w:hAnsi="Arial" w:cs="Arial"/>
          <w:color w:val="000000"/>
          <w:sz w:val="19"/>
          <w:szCs w:val="19"/>
        </w:rPr>
        <w:t>»15.1. Las empresas de servicios públicos.</w:t>
      </w:r>
    </w:p>
    <w:p w14:paraId="7668C831" w14:textId="77777777" w:rsidR="00CE321B" w:rsidRPr="00CE321B" w:rsidRDefault="00CE321B" w:rsidP="00CE321B">
      <w:pPr>
        <w:pStyle w:val="Textonotapie"/>
        <w:ind w:firstLine="709"/>
        <w:jc w:val="both"/>
        <w:rPr>
          <w:rFonts w:ascii="Arial" w:hAnsi="Arial" w:cs="Arial"/>
          <w:color w:val="000000"/>
          <w:sz w:val="19"/>
          <w:szCs w:val="19"/>
        </w:rPr>
      </w:pPr>
      <w:r w:rsidRPr="00CE321B">
        <w:rPr>
          <w:rFonts w:ascii="Arial" w:hAnsi="Arial" w:cs="Arial"/>
          <w:color w:val="000000"/>
          <w:sz w:val="19"/>
          <w:szCs w:val="19"/>
        </w:rPr>
        <w:t>»15.2. Las personas naturales o jurídicas que produzcan para ellas mismas, o como consecuencia o complemento de su actividad principal, los bienes y servicios propios del objeto de las empresas de servicios públicos.</w:t>
      </w:r>
    </w:p>
    <w:p w14:paraId="2CD4FD15" w14:textId="77777777" w:rsidR="00CE321B" w:rsidRPr="00CE321B" w:rsidRDefault="00CE321B" w:rsidP="00CE321B">
      <w:pPr>
        <w:pStyle w:val="Textonotapie"/>
        <w:ind w:firstLine="709"/>
        <w:jc w:val="both"/>
        <w:rPr>
          <w:rFonts w:ascii="Arial" w:hAnsi="Arial" w:cs="Arial"/>
          <w:color w:val="000000"/>
          <w:sz w:val="19"/>
          <w:szCs w:val="19"/>
        </w:rPr>
      </w:pPr>
      <w:r w:rsidRPr="00CE321B">
        <w:rPr>
          <w:rFonts w:ascii="Arial" w:hAnsi="Arial" w:cs="Arial"/>
          <w:color w:val="000000"/>
          <w:sz w:val="19"/>
          <w:szCs w:val="19"/>
        </w:rPr>
        <w:t>»15.3. Los municipios cuando asuman en forma directa, a través de su administración central, la prestación de los servicios públicos, conforme a lo dispuesto en esta Ley.</w:t>
      </w:r>
    </w:p>
    <w:p w14:paraId="01FDDD15" w14:textId="77777777" w:rsidR="00CE321B" w:rsidRPr="00CE321B" w:rsidRDefault="00CE321B" w:rsidP="00CE321B">
      <w:pPr>
        <w:pStyle w:val="Textonotapie"/>
        <w:ind w:firstLine="709"/>
        <w:jc w:val="both"/>
        <w:rPr>
          <w:rFonts w:ascii="Arial" w:hAnsi="Arial" w:cs="Arial"/>
          <w:color w:val="000000"/>
          <w:sz w:val="19"/>
          <w:szCs w:val="19"/>
        </w:rPr>
      </w:pPr>
      <w:r w:rsidRPr="00CE321B">
        <w:rPr>
          <w:rFonts w:ascii="Arial" w:hAnsi="Arial" w:cs="Arial"/>
          <w:color w:val="000000"/>
          <w:sz w:val="19"/>
          <w:szCs w:val="19"/>
        </w:rPr>
        <w:t>»15.4. Las organizaciones autorizadas conforme a esta Ley para prestar servicios públicos en municipios menores en zonas rurales y en áreas o zonas urbanas específicas.</w:t>
      </w:r>
    </w:p>
    <w:p w14:paraId="031728ED" w14:textId="77777777" w:rsidR="00CE321B" w:rsidRPr="00CE321B" w:rsidRDefault="00CE321B" w:rsidP="00CE321B">
      <w:pPr>
        <w:pStyle w:val="Textonotapie"/>
        <w:ind w:firstLine="709"/>
        <w:jc w:val="both"/>
        <w:rPr>
          <w:rFonts w:ascii="Arial" w:hAnsi="Arial" w:cs="Arial"/>
          <w:color w:val="000000"/>
          <w:sz w:val="19"/>
          <w:szCs w:val="19"/>
        </w:rPr>
      </w:pPr>
      <w:r w:rsidRPr="00CE321B">
        <w:rPr>
          <w:rFonts w:ascii="Arial" w:hAnsi="Arial" w:cs="Arial"/>
          <w:color w:val="000000"/>
          <w:sz w:val="19"/>
          <w:szCs w:val="19"/>
        </w:rPr>
        <w:t>»15.5. Las entidades autorizadas para prestar servicios públicos durante los períodos de transición previstos en esta Ley.</w:t>
      </w:r>
    </w:p>
    <w:p w14:paraId="2A89CBB7" w14:textId="77777777" w:rsidR="00CE321B" w:rsidRPr="00CE321B" w:rsidRDefault="00CE321B" w:rsidP="00CE321B">
      <w:pPr>
        <w:pStyle w:val="Textonotapie"/>
        <w:ind w:firstLine="709"/>
        <w:jc w:val="both"/>
        <w:rPr>
          <w:rFonts w:ascii="Arial" w:hAnsi="Arial" w:cs="Arial"/>
          <w:color w:val="000000"/>
          <w:sz w:val="19"/>
          <w:szCs w:val="19"/>
        </w:rPr>
      </w:pPr>
      <w:r w:rsidRPr="00CE321B">
        <w:rPr>
          <w:rFonts w:ascii="Arial" w:hAnsi="Arial" w:cs="Arial"/>
          <w:color w:val="000000"/>
          <w:sz w:val="19"/>
          <w:szCs w:val="19"/>
        </w:rPr>
        <w:t>»15.6. Las entidades descentralizadas de cualquier orden territorial o nacional que al momento de expedirse esta Ley estén prestando cualquiera de los servicios públicos y se ajusten a lo establecido en el parágrafo del artículo 17».</w:t>
      </w:r>
    </w:p>
    <w:p w14:paraId="0358FE20" w14:textId="77777777" w:rsidR="00CE321B" w:rsidRPr="00CE321B" w:rsidRDefault="00CE321B" w:rsidP="00CE321B">
      <w:pPr>
        <w:pStyle w:val="Textonotapie"/>
        <w:ind w:firstLine="709"/>
        <w:jc w:val="both"/>
        <w:rPr>
          <w:rFonts w:ascii="Arial" w:hAnsi="Arial" w:cs="Arial"/>
          <w:color w:val="000000"/>
          <w:sz w:val="19"/>
          <w:szCs w:val="19"/>
          <w:lang w:val="es-ES"/>
        </w:rPr>
      </w:pPr>
    </w:p>
  </w:footnote>
  <w:footnote w:id="23">
    <w:p w14:paraId="0819CAE0" w14:textId="77777777" w:rsidR="00CE321B" w:rsidRPr="00CE321B" w:rsidRDefault="00CE321B" w:rsidP="00CE321B">
      <w:pPr>
        <w:pStyle w:val="Textonotapie"/>
        <w:ind w:firstLine="709"/>
        <w:jc w:val="both"/>
        <w:rPr>
          <w:rFonts w:ascii="Arial" w:hAnsi="Arial" w:cs="Arial"/>
          <w:color w:val="000000"/>
          <w:sz w:val="19"/>
          <w:szCs w:val="19"/>
        </w:rPr>
      </w:pPr>
      <w:r w:rsidRPr="00CE321B">
        <w:rPr>
          <w:rStyle w:val="Refdenotaalpie"/>
          <w:rFonts w:ascii="Arial" w:hAnsi="Arial" w:cs="Arial"/>
          <w:color w:val="000000"/>
          <w:sz w:val="19"/>
          <w:szCs w:val="19"/>
        </w:rPr>
        <w:footnoteRef/>
      </w:r>
      <w:r w:rsidRPr="00CE321B">
        <w:rPr>
          <w:rFonts w:ascii="Arial" w:hAnsi="Arial" w:cs="Arial"/>
          <w:color w:val="000000"/>
          <w:sz w:val="19"/>
          <w:szCs w:val="19"/>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60889E28" w14:textId="77777777" w:rsidR="00CE321B" w:rsidRPr="00CE321B" w:rsidRDefault="00CE321B" w:rsidP="00CE321B">
      <w:pPr>
        <w:pStyle w:val="Textonotapie"/>
        <w:ind w:firstLine="709"/>
        <w:jc w:val="both"/>
        <w:rPr>
          <w:rFonts w:ascii="Arial" w:hAnsi="Arial" w:cs="Arial"/>
          <w:color w:val="000000"/>
          <w:sz w:val="19"/>
          <w:szCs w:val="19"/>
        </w:rPr>
      </w:pPr>
      <w:r w:rsidRPr="00CE321B">
        <w:rPr>
          <w:rFonts w:ascii="Arial" w:hAnsi="Arial" w:cs="Arial"/>
          <w:color w:val="000000"/>
          <w:sz w:val="19"/>
          <w:szCs w:val="19"/>
        </w:rPr>
        <w:t>»La regla precedente se aplicará, inclusive, a las sociedades en las que las entidades públicas sean parte, sin atender al porcentaje que sus aportes representen dentro del capital social, ni a la naturaleza del acto o del derecho que se ejerce.</w:t>
      </w:r>
    </w:p>
    <w:p w14:paraId="742859DE" w14:textId="77777777" w:rsidR="00CE321B" w:rsidRPr="00CE321B" w:rsidRDefault="00CE321B" w:rsidP="00CE321B">
      <w:pPr>
        <w:pStyle w:val="Textonotapie"/>
        <w:ind w:firstLine="709"/>
        <w:jc w:val="both"/>
        <w:rPr>
          <w:rFonts w:ascii="Arial" w:hAnsi="Arial" w:cs="Arial"/>
          <w:color w:val="000000"/>
          <w:sz w:val="19"/>
          <w:szCs w:val="19"/>
        </w:rPr>
      </w:pPr>
      <w:r w:rsidRPr="00CE321B">
        <w:rPr>
          <w:rFonts w:ascii="Arial" w:hAnsi="Arial" w:cs="Arial"/>
          <w:color w:val="000000"/>
          <w:sz w:val="19"/>
          <w:szCs w:val="19"/>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4B0C84B8" w14:textId="77777777" w:rsidR="00CE321B" w:rsidRPr="00CE321B" w:rsidRDefault="00CE321B" w:rsidP="00CE321B">
      <w:pPr>
        <w:pStyle w:val="Textonotapie"/>
        <w:ind w:firstLine="709"/>
        <w:jc w:val="both"/>
        <w:rPr>
          <w:rFonts w:ascii="Arial" w:hAnsi="Arial" w:cs="Arial"/>
          <w:color w:val="000000"/>
          <w:sz w:val="19"/>
          <w:szCs w:val="19"/>
        </w:rPr>
      </w:pPr>
    </w:p>
  </w:footnote>
  <w:footnote w:id="24">
    <w:p w14:paraId="3A4C766A" w14:textId="77777777" w:rsidR="00CE321B" w:rsidRPr="00CE321B" w:rsidRDefault="00CE321B" w:rsidP="00CE321B">
      <w:pPr>
        <w:ind w:firstLine="709"/>
        <w:jc w:val="both"/>
        <w:rPr>
          <w:rFonts w:ascii="Arial" w:hAnsi="Arial" w:cs="Arial"/>
          <w:color w:val="000000"/>
          <w:sz w:val="19"/>
          <w:szCs w:val="19"/>
          <w:lang w:val="es-ES_tradnl"/>
        </w:rPr>
      </w:pPr>
      <w:r w:rsidRPr="00CE321B">
        <w:rPr>
          <w:rStyle w:val="Refdenotaalpie"/>
          <w:rFonts w:ascii="Arial" w:hAnsi="Arial" w:cs="Arial"/>
          <w:color w:val="000000"/>
          <w:sz w:val="19"/>
          <w:szCs w:val="19"/>
          <w:lang w:val="es-ES_tradnl"/>
        </w:rPr>
        <w:footnoteRef/>
      </w:r>
      <w:r w:rsidRPr="00CE321B">
        <w:rPr>
          <w:rFonts w:ascii="Arial" w:hAnsi="Arial" w:cs="Arial"/>
          <w:color w:val="000000"/>
          <w:sz w:val="19"/>
          <w:szCs w:val="19"/>
          <w:lang w:val="es-ES_tradnl"/>
        </w:rPr>
        <w:t xml:space="preserve"> Consejo de Estado. Sección Tercera, Subsección C. Sentencia del 13 de abril de 2011. Exp. 37423. Consejero Ponente: Jaime Orlando Santofimio Gamboa. En similar sentido, puede verse la Sentencia del Consejo de Estado. Sección Tercera. Subsección B, del 15 de noviembre de 2011. Exp. 21178. Consejera ponente: Ruth Stella Correa Palacio.</w:t>
      </w:r>
    </w:p>
    <w:p w14:paraId="226785BE" w14:textId="77777777" w:rsidR="00CE321B" w:rsidRPr="00CE321B" w:rsidRDefault="00CE321B" w:rsidP="00CE321B">
      <w:pPr>
        <w:ind w:firstLine="709"/>
        <w:jc w:val="both"/>
        <w:rPr>
          <w:rFonts w:ascii="Arial" w:hAnsi="Arial" w:cs="Arial"/>
          <w:color w:val="000000"/>
          <w:sz w:val="19"/>
          <w:szCs w:val="19"/>
          <w:lang w:val="es-ES_tradnl"/>
        </w:rPr>
      </w:pPr>
    </w:p>
  </w:footnote>
  <w:footnote w:id="25">
    <w:p w14:paraId="78829D91" w14:textId="77777777" w:rsidR="00CE321B" w:rsidRPr="00CE321B" w:rsidRDefault="00CE321B" w:rsidP="00CE321B">
      <w:pPr>
        <w:ind w:firstLine="709"/>
        <w:jc w:val="both"/>
        <w:rPr>
          <w:rFonts w:ascii="Arial" w:eastAsia="Calibri" w:hAnsi="Arial" w:cs="Arial"/>
          <w:color w:val="000000"/>
          <w:sz w:val="19"/>
          <w:szCs w:val="19"/>
          <w:lang w:val="es-ES_tradnl"/>
        </w:rPr>
      </w:pPr>
      <w:r w:rsidRPr="00CE321B">
        <w:rPr>
          <w:rStyle w:val="Refdenotaalpie"/>
          <w:rFonts w:ascii="Arial" w:hAnsi="Arial" w:cs="Arial"/>
          <w:color w:val="000000"/>
          <w:sz w:val="19"/>
          <w:szCs w:val="19"/>
        </w:rPr>
        <w:footnoteRef/>
      </w:r>
      <w:r w:rsidRPr="00CE321B">
        <w:rPr>
          <w:rFonts w:ascii="Arial" w:hAnsi="Arial" w:cs="Arial"/>
          <w:color w:val="000000"/>
          <w:sz w:val="19"/>
          <w:szCs w:val="19"/>
        </w:rPr>
        <w:t xml:space="preserve"> </w:t>
      </w:r>
      <w:r w:rsidRPr="00CE321B">
        <w:rPr>
          <w:rFonts w:ascii="Arial" w:hAnsi="Arial" w:cs="Arial"/>
          <w:color w:val="000000"/>
          <w:sz w:val="19"/>
          <w:szCs w:val="19"/>
          <w:lang w:val="es-ES"/>
        </w:rPr>
        <w:t>Esta norma dispone: «</w:t>
      </w:r>
      <w:r w:rsidRPr="00CE321B">
        <w:rPr>
          <w:rFonts w:ascii="Arial" w:eastAsia="Calibri" w:hAnsi="Arial" w:cs="Arial"/>
          <w:color w:val="000000"/>
          <w:sz w:val="19"/>
          <w:szCs w:val="19"/>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5E3B1D2" w14:textId="77777777" w:rsidR="00CE321B" w:rsidRPr="00CE321B" w:rsidRDefault="00CE321B" w:rsidP="00CE321B">
      <w:pPr>
        <w:ind w:firstLine="709"/>
        <w:jc w:val="both"/>
        <w:rPr>
          <w:rFonts w:ascii="Arial" w:eastAsia="Calibri" w:hAnsi="Arial" w:cs="Arial"/>
          <w:color w:val="000000"/>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01B9" w14:textId="77777777" w:rsidR="000A47AF" w:rsidRDefault="00BB65EC">
    <w:pPr>
      <w:pStyle w:val="Encabezado"/>
    </w:pPr>
    <w:r>
      <w:rPr>
        <w:noProof/>
        <w:lang w:val="en-US"/>
      </w:rPr>
      <w:drawing>
        <wp:anchor distT="0" distB="0" distL="114300" distR="114300" simplePos="0" relativeHeight="251659264" behindDoc="1" locked="0" layoutInCell="1" allowOverlap="1" wp14:anchorId="42815EFA" wp14:editId="782574C8">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82E722" w14:textId="77777777" w:rsidR="00183D77" w:rsidRDefault="0030640E"/>
  <w:p w14:paraId="06E9BD6D" w14:textId="77777777" w:rsidR="00183D77" w:rsidRDefault="0030640E"/>
  <w:p w14:paraId="5014A94E" w14:textId="77777777" w:rsidR="00183D77" w:rsidRDefault="0030640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830"/>
    <w:rsid w:val="00051866"/>
    <w:rsid w:val="001028A5"/>
    <w:rsid w:val="001078C5"/>
    <w:rsid w:val="00122EFA"/>
    <w:rsid w:val="001672CE"/>
    <w:rsid w:val="001B308A"/>
    <w:rsid w:val="001E66F7"/>
    <w:rsid w:val="001E7B75"/>
    <w:rsid w:val="001F4246"/>
    <w:rsid w:val="001F6B6F"/>
    <w:rsid w:val="0030640E"/>
    <w:rsid w:val="00374D1B"/>
    <w:rsid w:val="004E48D9"/>
    <w:rsid w:val="004E5364"/>
    <w:rsid w:val="004F6FDA"/>
    <w:rsid w:val="005636AC"/>
    <w:rsid w:val="005739D5"/>
    <w:rsid w:val="005A1CF6"/>
    <w:rsid w:val="006556A9"/>
    <w:rsid w:val="00686AFF"/>
    <w:rsid w:val="007A7AB8"/>
    <w:rsid w:val="007B6B91"/>
    <w:rsid w:val="007F55E4"/>
    <w:rsid w:val="00807D91"/>
    <w:rsid w:val="00815F33"/>
    <w:rsid w:val="0083053B"/>
    <w:rsid w:val="00915830"/>
    <w:rsid w:val="00961964"/>
    <w:rsid w:val="00B2066F"/>
    <w:rsid w:val="00B87EEA"/>
    <w:rsid w:val="00BB65EC"/>
    <w:rsid w:val="00C86A54"/>
    <w:rsid w:val="00CE321B"/>
    <w:rsid w:val="00D05947"/>
    <w:rsid w:val="00D0776D"/>
    <w:rsid w:val="00DB67B0"/>
    <w:rsid w:val="00E34151"/>
    <w:rsid w:val="00E36D20"/>
    <w:rsid w:val="00E55C5D"/>
    <w:rsid w:val="00E62261"/>
    <w:rsid w:val="00E942F2"/>
    <w:rsid w:val="00ED1CB6"/>
    <w:rsid w:val="00ED570E"/>
    <w:rsid w:val="00ED6688"/>
    <w:rsid w:val="00F2031C"/>
    <w:rsid w:val="00F30577"/>
    <w:rsid w:val="00FC3C5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7C25E"/>
  <w15:chartTrackingRefBased/>
  <w15:docId w15:val="{9EA9BB93-8959-E44D-9E15-74B48888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830"/>
    <w:rPr>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15830"/>
    <w:pPr>
      <w:tabs>
        <w:tab w:val="center" w:pos="4419"/>
        <w:tab w:val="right" w:pos="8838"/>
      </w:tabs>
    </w:pPr>
  </w:style>
  <w:style w:type="character" w:customStyle="1" w:styleId="PiedepginaCar">
    <w:name w:val="Pie de página Car"/>
    <w:basedOn w:val="Fuentedeprrafopredeter"/>
    <w:link w:val="Piedepgina"/>
    <w:uiPriority w:val="99"/>
    <w:rsid w:val="00915830"/>
    <w:rPr>
      <w:szCs w:val="22"/>
      <w:lang w:val="es-MX"/>
    </w:rPr>
  </w:style>
  <w:style w:type="paragraph" w:styleId="Encabezado">
    <w:name w:val="header"/>
    <w:basedOn w:val="Normal"/>
    <w:link w:val="EncabezadoCar"/>
    <w:uiPriority w:val="99"/>
    <w:unhideWhenUsed/>
    <w:rsid w:val="00915830"/>
    <w:pPr>
      <w:tabs>
        <w:tab w:val="center" w:pos="4252"/>
        <w:tab w:val="right" w:pos="8504"/>
      </w:tabs>
    </w:pPr>
  </w:style>
  <w:style w:type="character" w:customStyle="1" w:styleId="EncabezadoCar">
    <w:name w:val="Encabezado Car"/>
    <w:basedOn w:val="Fuentedeprrafopredeter"/>
    <w:link w:val="Encabezado"/>
    <w:uiPriority w:val="99"/>
    <w:rsid w:val="00915830"/>
    <w:rPr>
      <w:szCs w:val="22"/>
      <w:lang w:val="es-MX"/>
    </w:rPr>
  </w:style>
  <w:style w:type="table" w:styleId="Tablaconcuadrcula">
    <w:name w:val="Table Grid"/>
    <w:basedOn w:val="Tablanormal"/>
    <w:uiPriority w:val="59"/>
    <w:qFormat/>
    <w:rsid w:val="009158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15830"/>
    <w:pPr>
      <w:ind w:left="720"/>
      <w:contextualSpacing/>
    </w:pPr>
  </w:style>
  <w:style w:type="character" w:styleId="Hipervnculo">
    <w:name w:val="Hyperlink"/>
    <w:basedOn w:val="Fuentedeprrafopredeter"/>
    <w:uiPriority w:val="99"/>
    <w:unhideWhenUsed/>
    <w:rsid w:val="00915830"/>
    <w:rPr>
      <w:color w:val="0563C1" w:themeColor="hyperlink"/>
      <w:u w:val="single"/>
    </w:rPr>
  </w:style>
  <w:style w:type="paragraph" w:styleId="NormalWeb">
    <w:name w:val="Normal (Web)"/>
    <w:basedOn w:val="Normal"/>
    <w:link w:val="NormalWebCar"/>
    <w:uiPriority w:val="99"/>
    <w:unhideWhenUsed/>
    <w:rsid w:val="00915830"/>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915830"/>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1583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915830"/>
    <w:rPr>
      <w:sz w:val="20"/>
      <w:szCs w:val="20"/>
    </w:rPr>
  </w:style>
  <w:style w:type="character" w:customStyle="1" w:styleId="TextonotapieCar1">
    <w:name w:val="Texto nota pie Car1"/>
    <w:basedOn w:val="Fuentedeprrafopredeter"/>
    <w:uiPriority w:val="99"/>
    <w:semiHidden/>
    <w:rsid w:val="00915830"/>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15830"/>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15830"/>
    <w:rPr>
      <w:vertAlign w:val="superscript"/>
    </w:rPr>
  </w:style>
  <w:style w:type="paragraph" w:styleId="Textoindependiente">
    <w:name w:val="Body Text"/>
    <w:basedOn w:val="Normal"/>
    <w:link w:val="TextoindependienteCar"/>
    <w:uiPriority w:val="99"/>
    <w:unhideWhenUsed/>
    <w:rsid w:val="00915830"/>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915830"/>
    <w:rPr>
      <w:rFonts w:eastAsiaTheme="minorEastAsia"/>
      <w:sz w:val="22"/>
      <w:szCs w:val="22"/>
      <w:lang w:eastAsia="es-CO"/>
    </w:rPr>
  </w:style>
  <w:style w:type="character" w:styleId="Textoennegrita">
    <w:name w:val="Strong"/>
    <w:basedOn w:val="Fuentedeprrafopredeter"/>
    <w:uiPriority w:val="22"/>
    <w:qFormat/>
    <w:rsid w:val="00915830"/>
    <w:rPr>
      <w:b/>
      <w:bCs/>
    </w:rPr>
  </w:style>
  <w:style w:type="character" w:styleId="nfasis">
    <w:name w:val="Emphasis"/>
    <w:basedOn w:val="Fuentedeprrafopredeter"/>
    <w:uiPriority w:val="20"/>
    <w:qFormat/>
    <w:rsid w:val="00915830"/>
    <w:rPr>
      <w:i/>
      <w:iCs/>
    </w:rPr>
  </w:style>
  <w:style w:type="character" w:customStyle="1" w:styleId="NormalWebCar">
    <w:name w:val="Normal (Web) Car"/>
    <w:link w:val="NormalWeb"/>
    <w:uiPriority w:val="99"/>
    <w:rsid w:val="00915830"/>
    <w:rPr>
      <w:rFonts w:ascii="Times New Roman" w:eastAsia="Times New Roman" w:hAnsi="Times New Roman" w:cs="Times New Roman"/>
      <w:lang w:eastAsia="es-CO"/>
    </w:rPr>
  </w:style>
  <w:style w:type="paragraph" w:customStyle="1" w:styleId="Appelnotedebasde">
    <w:name w:val="Appel note de bas de..."/>
    <w:basedOn w:val="Normal"/>
    <w:link w:val="Refdenotaalpie"/>
    <w:uiPriority w:val="99"/>
    <w:rsid w:val="00915830"/>
    <w:pPr>
      <w:spacing w:after="160" w:line="240" w:lineRule="exact"/>
    </w:pPr>
    <w:rPr>
      <w:szCs w:val="24"/>
      <w:vertAlign w:val="superscript"/>
      <w:lang w:val="es-CO"/>
    </w:rPr>
  </w:style>
  <w:style w:type="paragraph" w:customStyle="1" w:styleId="Normal11pt">
    <w:name w:val="Normal + 11 pt"/>
    <w:aliases w:val="Negro,Justificado,Izquierda:  -0,95 cm,Derecha:  0,04 cm"/>
    <w:basedOn w:val="Normal"/>
    <w:uiPriority w:val="99"/>
    <w:rsid w:val="00915830"/>
    <w:pPr>
      <w:ind w:left="-540"/>
      <w:jc w:val="both"/>
    </w:pPr>
    <w:rPr>
      <w:rFonts w:ascii="Arial" w:eastAsia="Times New Roman" w:hAnsi="Arial" w:cs="Arial"/>
      <w:color w:val="000000"/>
      <w:sz w:val="22"/>
      <w:lang w:val="es-ES_tradnl" w:eastAsia="es-ES"/>
    </w:rPr>
  </w:style>
  <w:style w:type="character" w:styleId="Refdecomentario">
    <w:name w:val="annotation reference"/>
    <w:basedOn w:val="Fuentedeprrafopredeter"/>
    <w:uiPriority w:val="99"/>
    <w:semiHidden/>
    <w:unhideWhenUsed/>
    <w:rsid w:val="00ED6688"/>
    <w:rPr>
      <w:sz w:val="16"/>
      <w:szCs w:val="16"/>
    </w:rPr>
  </w:style>
  <w:style w:type="paragraph" w:styleId="Textocomentario">
    <w:name w:val="annotation text"/>
    <w:basedOn w:val="Normal"/>
    <w:link w:val="TextocomentarioCar"/>
    <w:uiPriority w:val="99"/>
    <w:semiHidden/>
    <w:unhideWhenUsed/>
    <w:rsid w:val="00ED6688"/>
    <w:rPr>
      <w:sz w:val="20"/>
      <w:szCs w:val="20"/>
    </w:rPr>
  </w:style>
  <w:style w:type="character" w:customStyle="1" w:styleId="TextocomentarioCar">
    <w:name w:val="Texto comentario Car"/>
    <w:basedOn w:val="Fuentedeprrafopredeter"/>
    <w:link w:val="Textocomentario"/>
    <w:uiPriority w:val="99"/>
    <w:semiHidden/>
    <w:rsid w:val="00ED6688"/>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ED6688"/>
    <w:rPr>
      <w:b/>
      <w:bCs/>
    </w:rPr>
  </w:style>
  <w:style w:type="character" w:customStyle="1" w:styleId="AsuntodelcomentarioCar">
    <w:name w:val="Asunto del comentario Car"/>
    <w:basedOn w:val="TextocomentarioCar"/>
    <w:link w:val="Asuntodelcomentario"/>
    <w:uiPriority w:val="99"/>
    <w:semiHidden/>
    <w:rsid w:val="00ED6688"/>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625644">
      <w:bodyDiv w:val="1"/>
      <w:marLeft w:val="0"/>
      <w:marRight w:val="0"/>
      <w:marTop w:val="0"/>
      <w:marBottom w:val="0"/>
      <w:divBdr>
        <w:top w:val="none" w:sz="0" w:space="0" w:color="auto"/>
        <w:left w:val="none" w:sz="0" w:space="0" w:color="auto"/>
        <w:bottom w:val="none" w:sz="0" w:space="0" w:color="auto"/>
        <w:right w:val="none" w:sz="0" w:space="0" w:color="auto"/>
      </w:divBdr>
      <w:divsChild>
        <w:div w:id="1613632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supersociedades.gov.co/nuestra_entidad/normatividad/normatividad_conceptos_juridicos/OFICIO_220-014111_DE_201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E2B0C53-81DD-4100-914E-3FA7A6CEB91D}">
  <ds:schemaRefs>
    <ds:schemaRef ds:uri="http://schemas.microsoft.com/sharepoint/v3/contenttype/forms"/>
  </ds:schemaRefs>
</ds:datastoreItem>
</file>

<file path=customXml/itemProps2.xml><?xml version="1.0" encoding="utf-8"?>
<ds:datastoreItem xmlns:ds="http://schemas.openxmlformats.org/officeDocument/2006/customXml" ds:itemID="{A0D96443-8049-48D8-BC7B-8313686FD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F810C2-BD63-4520-AA85-D01ECB75B46E}">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9564</Words>
  <Characters>52607</Characters>
  <Application>Microsoft Office Word</Application>
  <DocSecurity>0</DocSecurity>
  <Lines>438</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5</cp:revision>
  <dcterms:created xsi:type="dcterms:W3CDTF">2022-05-02T23:59:00Z</dcterms:created>
  <dcterms:modified xsi:type="dcterms:W3CDTF">2022-05-25T18:53:00Z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