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75DD73" w14:textId="7AFBE85F" w:rsidR="0039727B" w:rsidRPr="002E12CB" w:rsidRDefault="0039727B" w:rsidP="0039727B">
      <w:pPr>
        <w:spacing w:after="0"/>
        <w:jc w:val="both"/>
        <w:rPr>
          <w:rFonts w:ascii="Verdana" w:hAnsi="Verdana"/>
        </w:rPr>
      </w:pPr>
      <w:r w:rsidRPr="002E12CB">
        <w:rPr>
          <w:rFonts w:ascii="Verdana" w:eastAsia="Aptos" w:hAnsi="Verdana" w:cs="Arial"/>
          <w:b/>
          <w:color w:val="000000"/>
          <w:kern w:val="2"/>
          <w:lang w:val="es-ES_tradnl"/>
          <w14:ligatures w14:val="standardContextual"/>
        </w:rPr>
        <w:t>CAUSALES DE RECHAZO – Principio de legalidad – Configuración – Documentos Tipo</w:t>
      </w:r>
    </w:p>
    <w:p w14:paraId="09BD28AC" w14:textId="77777777" w:rsidR="0039727B" w:rsidRPr="0039727B" w:rsidRDefault="0039727B" w:rsidP="0039727B">
      <w:pPr>
        <w:spacing w:after="0" w:line="276" w:lineRule="auto"/>
        <w:jc w:val="both"/>
        <w:rPr>
          <w:rFonts w:ascii="Verdana" w:eastAsia="Aptos" w:hAnsi="Verdana" w:cs="Arial"/>
          <w:bCs/>
          <w:color w:val="000000"/>
          <w:kern w:val="2"/>
          <w:lang w:val="es-ES_tradnl"/>
          <w14:ligatures w14:val="standardContextual"/>
        </w:rPr>
      </w:pPr>
    </w:p>
    <w:p w14:paraId="38CE0230" w14:textId="07F1F55D" w:rsidR="0039727B" w:rsidRPr="0039727B" w:rsidRDefault="008810B3" w:rsidP="0039727B">
      <w:pPr>
        <w:spacing w:after="0" w:line="240" w:lineRule="auto"/>
        <w:jc w:val="both"/>
        <w:rPr>
          <w:rFonts w:ascii="Verdana" w:eastAsia="Aptos" w:hAnsi="Verdana" w:cs="Arial"/>
          <w:bCs/>
          <w:color w:val="000000"/>
          <w:kern w:val="2"/>
          <w:sz w:val="20"/>
          <w:szCs w:val="20"/>
          <w:lang w:val="es-ES_tradnl"/>
          <w14:ligatures w14:val="standardContextual"/>
        </w:rPr>
      </w:pPr>
      <w:r w:rsidRPr="008810B3">
        <w:rPr>
          <w:rFonts w:ascii="Verdana" w:eastAsia="Aptos" w:hAnsi="Verdana" w:cs="Arial"/>
          <w:bCs/>
          <w:color w:val="000000"/>
          <w:kern w:val="2"/>
          <w:sz w:val="20"/>
          <w:szCs w:val="20"/>
          <w:lang w:val="es-ES_tradnl"/>
          <w14:ligatures w14:val="standardContextu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 señal</w:t>
      </w:r>
      <w:r w:rsidR="00CF465F">
        <w:rPr>
          <w:rFonts w:ascii="Verdana" w:eastAsia="Aptos" w:hAnsi="Verdana" w:cs="Arial"/>
          <w:bCs/>
          <w:color w:val="000000"/>
          <w:kern w:val="2"/>
          <w:sz w:val="20"/>
          <w:szCs w:val="20"/>
          <w:lang w:val="es-ES_tradnl"/>
          <w14:ligatures w14:val="standardContextual"/>
        </w:rPr>
        <w:t>a</w:t>
      </w:r>
      <w:r w:rsidR="0039727B" w:rsidRPr="0039727B">
        <w:rPr>
          <w:rFonts w:ascii="Verdana" w:eastAsia="Aptos" w:hAnsi="Verdana" w:cs="Arial"/>
          <w:bCs/>
          <w:color w:val="000000"/>
          <w:kern w:val="2"/>
          <w:sz w:val="20"/>
          <w:szCs w:val="20"/>
          <w:lang w:val="es-ES_tradnl"/>
          <w14:ligatures w14:val="standardContextual"/>
        </w:rPr>
        <w:t>: […]</w:t>
      </w:r>
    </w:p>
    <w:p w14:paraId="5236ABA6" w14:textId="77777777" w:rsidR="0039727B" w:rsidRPr="0039727B" w:rsidRDefault="0039727B" w:rsidP="0039727B">
      <w:pPr>
        <w:spacing w:after="0" w:line="276" w:lineRule="auto"/>
        <w:jc w:val="both"/>
        <w:rPr>
          <w:rFonts w:ascii="Verdana" w:eastAsia="Aptos" w:hAnsi="Verdana" w:cs="Arial"/>
          <w:bCs/>
          <w:color w:val="000000"/>
          <w:kern w:val="2"/>
          <w:lang w:val="es-ES_tradnl"/>
          <w14:ligatures w14:val="standardContextual"/>
        </w:rPr>
      </w:pPr>
    </w:p>
    <w:p w14:paraId="1663F2B2" w14:textId="77777777" w:rsidR="0039727B" w:rsidRPr="0039727B" w:rsidRDefault="0039727B" w:rsidP="0039727B">
      <w:pPr>
        <w:spacing w:after="0" w:line="276" w:lineRule="auto"/>
        <w:jc w:val="both"/>
        <w:rPr>
          <w:rFonts w:ascii="Verdana" w:eastAsia="Aptos" w:hAnsi="Verdana" w:cs="Arial"/>
          <w:b/>
          <w:color w:val="000000"/>
          <w:kern w:val="2"/>
          <w:lang w:val="es-ES_tradnl"/>
          <w14:ligatures w14:val="standardContextual"/>
        </w:rPr>
      </w:pPr>
      <w:r w:rsidRPr="0039727B">
        <w:rPr>
          <w:rFonts w:ascii="Verdana" w:eastAsia="Aptos" w:hAnsi="Verdana" w:cs="Arial"/>
          <w:b/>
          <w:color w:val="000000"/>
          <w:kern w:val="2"/>
          <w:lang w:val="es-ES_tradnl"/>
          <w14:ligatures w14:val="standardContextual"/>
        </w:rPr>
        <w:t>GUÍA PARA DETERMINAR Y VERIFICAR LA CAPACIDAD RESIDUAL DEL PROPONENTE EN LOS PROCESOS DE CONTRATACIÓN DE OBRA PÚBLICA – Cálculo de la Capacidad Residual del Proponente – Anexo 1 – Certificación de contratos para acreditación de Experiencia (E) – Obligatoriedad</w:t>
      </w:r>
    </w:p>
    <w:p w14:paraId="13626604" w14:textId="77777777" w:rsidR="0039727B" w:rsidRPr="0039727B" w:rsidRDefault="0039727B" w:rsidP="0039727B">
      <w:pPr>
        <w:spacing w:after="0" w:line="276" w:lineRule="auto"/>
        <w:jc w:val="both"/>
        <w:rPr>
          <w:rFonts w:ascii="Verdana" w:eastAsia="Aptos" w:hAnsi="Verdana" w:cs="Arial"/>
          <w:b/>
          <w:color w:val="000000"/>
          <w:kern w:val="2"/>
          <w:lang w:val="es-ES_tradnl"/>
          <w14:ligatures w14:val="standardContextual"/>
        </w:rPr>
      </w:pPr>
    </w:p>
    <w:p w14:paraId="3D53437D" w14:textId="6D375836" w:rsidR="00CF465F" w:rsidRPr="00CF465F" w:rsidRDefault="00CF465F" w:rsidP="00CF465F">
      <w:pPr>
        <w:spacing w:after="0" w:line="240" w:lineRule="auto"/>
        <w:jc w:val="both"/>
        <w:rPr>
          <w:rFonts w:ascii="Verdana" w:eastAsia="Calibri" w:hAnsi="Verdana" w:cs="Calibri"/>
          <w:sz w:val="20"/>
          <w:szCs w:val="20"/>
        </w:rPr>
      </w:pPr>
      <w:r w:rsidRPr="00CF465F">
        <w:rPr>
          <w:rFonts w:ascii="Verdana" w:eastAsia="Calibri" w:hAnsi="Verdana" w:cs="Calibri"/>
          <w:sz w:val="20"/>
          <w:szCs w:val="20"/>
        </w:rPr>
        <w:t>Es necesario indicar que el documento “GUÍA PARA DETERMINAR Y VERIFICAR LA CAPACIDAD RESIDUAL DEL PROPONENTE EN LOS PROCESOS DE CONTRATACIÓN DE OBRA PÚBLICA” de Colombia Compra Eficiente, que se indica en el numeral 3.10.2. CÁLCULO DE LA CAPACIDAD RESIDUAL DEL PROPONENTE (CRP) del documento base de los documentos tipo de infraestructura de transporte, es la Guía que se recomienda para establecer la capacidad residual, disponible en la página web: https://www.colombiacompra.gov.co/manuales-guias-y-pliegos-tipo/manuales-y-guias/, así como el aplicativo para tal fin por Colombia Compra Eficiente.</w:t>
      </w:r>
    </w:p>
    <w:p w14:paraId="0259225E" w14:textId="77777777" w:rsidR="00CF465F" w:rsidRDefault="00CF465F" w:rsidP="00CF465F">
      <w:pPr>
        <w:spacing w:after="0" w:line="240" w:lineRule="auto"/>
        <w:jc w:val="both"/>
        <w:rPr>
          <w:rFonts w:ascii="Verdana" w:eastAsia="Calibri" w:hAnsi="Verdana" w:cs="Calibri"/>
          <w:sz w:val="20"/>
          <w:szCs w:val="20"/>
        </w:rPr>
      </w:pPr>
    </w:p>
    <w:p w14:paraId="0BB8F149" w14:textId="77777777" w:rsidR="00CF465F" w:rsidRDefault="00CF465F" w:rsidP="0039727B">
      <w:pPr>
        <w:spacing w:after="0" w:line="240" w:lineRule="auto"/>
        <w:jc w:val="both"/>
        <w:rPr>
          <w:rFonts w:ascii="Verdana" w:eastAsia="Calibri" w:hAnsi="Verdana" w:cs="Calibri"/>
          <w:sz w:val="20"/>
          <w:szCs w:val="20"/>
        </w:rPr>
      </w:pPr>
      <w:r w:rsidRPr="00CF465F">
        <w:rPr>
          <w:rFonts w:ascii="Verdana" w:eastAsia="Calibri" w:hAnsi="Verdana" w:cs="Calibri"/>
          <w:sz w:val="20"/>
          <w:szCs w:val="20"/>
        </w:rPr>
        <w:t>Es importante señalar que el Documento Base –de los documentos tipo de licitación de obra pública de infraestructura de transporte, los cuales se tendrán en cuenta para el desarrollo de esta consulta–, en el numeral 3.5., establece las consideraciones para que los proponentes acrediten su experiencia, así:</w:t>
      </w:r>
    </w:p>
    <w:p w14:paraId="179559BC" w14:textId="1158837C" w:rsidR="0039727B" w:rsidRPr="0039727B" w:rsidRDefault="0039727B" w:rsidP="0039727B">
      <w:pPr>
        <w:spacing w:after="0" w:line="240" w:lineRule="auto"/>
        <w:jc w:val="both"/>
        <w:rPr>
          <w:rFonts w:ascii="Verdana" w:eastAsia="Calibri" w:hAnsi="Verdana" w:cs="Calibri"/>
          <w:sz w:val="20"/>
          <w:szCs w:val="20"/>
        </w:rPr>
      </w:pPr>
      <w:r w:rsidRPr="0039727B">
        <w:rPr>
          <w:rFonts w:ascii="Verdana" w:eastAsia="Calibri" w:hAnsi="Verdana" w:cs="Calibri"/>
          <w:sz w:val="20"/>
          <w:szCs w:val="20"/>
        </w:rPr>
        <w:t>[…]</w:t>
      </w:r>
    </w:p>
    <w:p w14:paraId="57A0475B" w14:textId="77777777" w:rsidR="0039727B" w:rsidRPr="0039727B" w:rsidRDefault="0039727B" w:rsidP="0039727B">
      <w:pPr>
        <w:spacing w:after="0" w:line="240" w:lineRule="auto"/>
        <w:rPr>
          <w:rFonts w:ascii="Verdana" w:eastAsia="Geomanist Light" w:hAnsi="Verdana" w:cs="Arial"/>
          <w:sz w:val="20"/>
          <w:szCs w:val="20"/>
          <w:lang w:val="es-MX"/>
        </w:rPr>
      </w:pPr>
    </w:p>
    <w:p w14:paraId="3ADE4188" w14:textId="77777777" w:rsidR="0039727B" w:rsidRPr="0039727B" w:rsidRDefault="0039727B" w:rsidP="0039727B">
      <w:pPr>
        <w:spacing w:after="0" w:line="276" w:lineRule="auto"/>
        <w:jc w:val="both"/>
        <w:rPr>
          <w:rFonts w:ascii="Verdana" w:eastAsia="Geomanist Light" w:hAnsi="Verdana" w:cs="Arial"/>
          <w:lang w:val="es-MX"/>
        </w:rPr>
      </w:pPr>
    </w:p>
    <w:p w14:paraId="7B84BF37" w14:textId="77777777" w:rsidR="0039727B" w:rsidRPr="0039727B" w:rsidRDefault="0039727B" w:rsidP="0039727B">
      <w:pPr>
        <w:spacing w:after="0" w:line="276" w:lineRule="auto"/>
        <w:jc w:val="both"/>
        <w:rPr>
          <w:rFonts w:ascii="Verdana" w:eastAsia="Calibri" w:hAnsi="Verdana" w:cs="Times New Roman"/>
        </w:rPr>
      </w:pPr>
    </w:p>
    <w:p w14:paraId="2EA8A5C1" w14:textId="77777777" w:rsidR="0039727B" w:rsidRPr="0039727B" w:rsidRDefault="0039727B" w:rsidP="0039727B">
      <w:pPr>
        <w:spacing w:after="0" w:line="240" w:lineRule="auto"/>
        <w:jc w:val="both"/>
        <w:rPr>
          <w:rFonts w:ascii="Verdana" w:eastAsia="Calibri" w:hAnsi="Verdana" w:cs="Times New Roman"/>
        </w:rPr>
      </w:pPr>
    </w:p>
    <w:p w14:paraId="16EBB1DC" w14:textId="77777777" w:rsidR="0039727B" w:rsidRPr="0039727B" w:rsidRDefault="0039727B" w:rsidP="0039727B">
      <w:pPr>
        <w:spacing w:after="0" w:line="240" w:lineRule="auto"/>
        <w:jc w:val="both"/>
        <w:rPr>
          <w:rFonts w:ascii="Verdana" w:eastAsia="Calibri" w:hAnsi="Verdana" w:cs="Times New Roman"/>
        </w:rPr>
      </w:pPr>
    </w:p>
    <w:p w14:paraId="6B13091B" w14:textId="77777777" w:rsidR="0039727B" w:rsidRPr="0039727B" w:rsidRDefault="0039727B" w:rsidP="0039727B">
      <w:pPr>
        <w:spacing w:after="0" w:line="240" w:lineRule="auto"/>
        <w:jc w:val="both"/>
        <w:rPr>
          <w:rFonts w:ascii="Verdana" w:eastAsia="Calibri" w:hAnsi="Verdana" w:cs="Times New Roman"/>
        </w:rPr>
      </w:pPr>
    </w:p>
    <w:p w14:paraId="545135E3" w14:textId="77777777" w:rsidR="0039727B" w:rsidRPr="0039727B" w:rsidRDefault="0039727B" w:rsidP="0039727B">
      <w:pPr>
        <w:spacing w:after="0" w:line="240" w:lineRule="auto"/>
        <w:jc w:val="both"/>
        <w:rPr>
          <w:rFonts w:ascii="Verdana" w:eastAsia="Calibri" w:hAnsi="Verdana" w:cs="Times New Roman"/>
        </w:rPr>
      </w:pPr>
    </w:p>
    <w:p w14:paraId="4A8D20A7" w14:textId="77777777" w:rsidR="0039727B" w:rsidRPr="0039727B" w:rsidRDefault="0039727B" w:rsidP="0039727B">
      <w:pPr>
        <w:spacing w:after="0" w:line="240" w:lineRule="auto"/>
        <w:jc w:val="both"/>
        <w:rPr>
          <w:rFonts w:ascii="Verdana" w:eastAsia="Calibri" w:hAnsi="Verdana" w:cs="Times New Roman"/>
        </w:rPr>
      </w:pPr>
    </w:p>
    <w:p w14:paraId="232A82AF" w14:textId="77777777" w:rsidR="0039727B" w:rsidRPr="0039727B" w:rsidRDefault="0039727B" w:rsidP="0039727B">
      <w:pPr>
        <w:spacing w:after="0" w:line="240" w:lineRule="auto"/>
        <w:jc w:val="both"/>
        <w:rPr>
          <w:rFonts w:ascii="Verdana" w:eastAsia="Calibri" w:hAnsi="Verdana" w:cs="Times New Roman"/>
        </w:rPr>
      </w:pPr>
    </w:p>
    <w:p w14:paraId="30E42926" w14:textId="77777777" w:rsidR="0039727B" w:rsidRPr="0039727B" w:rsidRDefault="0039727B" w:rsidP="0039727B">
      <w:pPr>
        <w:spacing w:after="0" w:line="240" w:lineRule="auto"/>
        <w:jc w:val="both"/>
        <w:rPr>
          <w:rFonts w:ascii="Verdana" w:eastAsia="Calibri" w:hAnsi="Verdana" w:cs="Times New Roman"/>
        </w:rPr>
      </w:pPr>
    </w:p>
    <w:p w14:paraId="3C0B6BC6" w14:textId="77777777" w:rsidR="0039727B" w:rsidRPr="0039727B" w:rsidRDefault="0039727B" w:rsidP="0039727B">
      <w:pPr>
        <w:spacing w:after="0" w:line="240" w:lineRule="auto"/>
        <w:jc w:val="both"/>
        <w:rPr>
          <w:rFonts w:ascii="Verdana" w:eastAsia="Calibri" w:hAnsi="Verdana" w:cs="Times New Roman"/>
        </w:rPr>
      </w:pPr>
    </w:p>
    <w:p w14:paraId="1D326406" w14:textId="77777777" w:rsidR="0039727B" w:rsidRPr="0039727B" w:rsidRDefault="0039727B" w:rsidP="0039727B">
      <w:pPr>
        <w:spacing w:after="0" w:line="240" w:lineRule="auto"/>
        <w:jc w:val="both"/>
        <w:rPr>
          <w:rFonts w:ascii="Verdana" w:eastAsia="Calibri" w:hAnsi="Verdana" w:cs="Times New Roman"/>
        </w:rPr>
      </w:pPr>
    </w:p>
    <w:p w14:paraId="3133EC88" w14:textId="77777777" w:rsidR="0039727B" w:rsidRPr="0039727B" w:rsidRDefault="0039727B" w:rsidP="0039727B">
      <w:pPr>
        <w:spacing w:after="0" w:line="240" w:lineRule="auto"/>
        <w:jc w:val="both"/>
        <w:rPr>
          <w:rFonts w:ascii="Verdana" w:eastAsia="Calibri" w:hAnsi="Verdana" w:cs="Times New Roman"/>
        </w:rPr>
      </w:pPr>
    </w:p>
    <w:p w14:paraId="3005F9A5" w14:textId="77777777" w:rsidR="0039727B" w:rsidRPr="0039727B" w:rsidRDefault="0039727B" w:rsidP="0039727B">
      <w:pPr>
        <w:spacing w:after="0" w:line="240" w:lineRule="auto"/>
        <w:jc w:val="both"/>
        <w:rPr>
          <w:rFonts w:ascii="Verdana" w:eastAsia="Calibri" w:hAnsi="Verdana" w:cs="Times New Roman"/>
        </w:rPr>
      </w:pPr>
    </w:p>
    <w:p w14:paraId="7046F96B" w14:textId="77777777" w:rsidR="0039727B" w:rsidRDefault="0039727B" w:rsidP="0039727B">
      <w:pPr>
        <w:spacing w:after="0" w:line="240" w:lineRule="auto"/>
        <w:jc w:val="both"/>
        <w:rPr>
          <w:rFonts w:ascii="Verdana" w:eastAsia="Calibri" w:hAnsi="Verdana" w:cs="Times New Roman"/>
        </w:rPr>
      </w:pPr>
    </w:p>
    <w:p w14:paraId="62D16CAE" w14:textId="77777777" w:rsidR="0039727B" w:rsidRPr="0039727B" w:rsidRDefault="0039727B" w:rsidP="0039727B">
      <w:pPr>
        <w:spacing w:after="0" w:line="240" w:lineRule="auto"/>
        <w:jc w:val="both"/>
        <w:rPr>
          <w:rFonts w:ascii="Verdana" w:eastAsia="Calibri" w:hAnsi="Verdana" w:cs="Times New Roman"/>
        </w:rPr>
      </w:pPr>
    </w:p>
    <w:p w14:paraId="6DDB6CD6" w14:textId="77777777" w:rsidR="0039727B" w:rsidRPr="0039727B" w:rsidRDefault="0039727B" w:rsidP="0039727B">
      <w:pPr>
        <w:spacing w:after="0" w:line="240" w:lineRule="auto"/>
        <w:jc w:val="both"/>
        <w:rPr>
          <w:rFonts w:ascii="Verdana" w:eastAsia="Calibri" w:hAnsi="Verdana" w:cs="Arial"/>
          <w:lang w:val="es-ES"/>
        </w:rPr>
      </w:pPr>
    </w:p>
    <w:p w14:paraId="7F2B4DE2" w14:textId="10D406D7" w:rsidR="0039727B" w:rsidRDefault="0039727B" w:rsidP="0039727B">
      <w:pPr>
        <w:spacing w:after="0" w:line="240" w:lineRule="auto"/>
        <w:jc w:val="both"/>
        <w:rPr>
          <w:rFonts w:ascii="Verdana" w:hAnsi="Verdana"/>
        </w:rPr>
      </w:pPr>
      <w:r w:rsidRPr="0044528D">
        <w:rPr>
          <w:rFonts w:ascii="Verdana" w:hAnsi="Verdana"/>
        </w:rPr>
        <w:t>Bogotá D.C.</w:t>
      </w:r>
    </w:p>
    <w:p w14:paraId="620E8ED4" w14:textId="77777777" w:rsidR="001F78F2" w:rsidRDefault="001F78F2" w:rsidP="0039727B">
      <w:pPr>
        <w:spacing w:after="0" w:line="240" w:lineRule="auto"/>
        <w:jc w:val="both"/>
        <w:rPr>
          <w:rFonts w:ascii="Verdana" w:hAnsi="Verdana"/>
        </w:rPr>
      </w:pPr>
    </w:p>
    <w:p w14:paraId="4AC6A873" w14:textId="269EEC23" w:rsidR="001F78F2" w:rsidRPr="0039727B" w:rsidRDefault="001F78F2" w:rsidP="001F78F2">
      <w:pPr>
        <w:spacing w:after="0" w:line="240" w:lineRule="auto"/>
        <w:jc w:val="right"/>
        <w:rPr>
          <w:rFonts w:ascii="Verdana" w:eastAsia="Calibri" w:hAnsi="Verdana" w:cs="Times New Roman"/>
        </w:rPr>
      </w:pPr>
      <w:r>
        <w:rPr>
          <w:rFonts w:ascii="Verdana" w:eastAsia="Calibri" w:hAnsi="Verdana" w:cs="Times New Roman"/>
          <w:noProof/>
        </w:rPr>
        <w:drawing>
          <wp:inline distT="0" distB="0" distL="0" distR="0" wp14:anchorId="39D5CC50" wp14:editId="6C5A9D5E">
            <wp:extent cx="3384907" cy="998426"/>
            <wp:effectExtent l="0" t="0" r="0" b="5080"/>
            <wp:docPr id="19417117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11730" name="Imagen 194171173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00977" cy="1003166"/>
                    </a:xfrm>
                    <a:prstGeom prst="rect">
                      <a:avLst/>
                    </a:prstGeom>
                  </pic:spPr>
                </pic:pic>
              </a:graphicData>
            </a:graphic>
          </wp:inline>
        </w:drawing>
      </w:r>
    </w:p>
    <w:p w14:paraId="0B2AF41E" w14:textId="77777777" w:rsidR="0039727B" w:rsidRPr="0039727B" w:rsidRDefault="0039727B" w:rsidP="0039727B">
      <w:pPr>
        <w:spacing w:after="0" w:line="240" w:lineRule="auto"/>
        <w:jc w:val="both"/>
        <w:rPr>
          <w:rFonts w:ascii="Verdana" w:eastAsia="Calibri" w:hAnsi="Verdana" w:cs="Arial"/>
          <w:lang w:val="es-ES"/>
        </w:rPr>
      </w:pPr>
    </w:p>
    <w:p w14:paraId="31311C6F" w14:textId="77777777" w:rsidR="0039727B" w:rsidRPr="0039727B" w:rsidRDefault="0039727B" w:rsidP="0039727B">
      <w:pPr>
        <w:spacing w:after="0" w:line="240" w:lineRule="auto"/>
        <w:jc w:val="both"/>
        <w:rPr>
          <w:rFonts w:ascii="Verdana" w:eastAsia="Calibri" w:hAnsi="Verdana" w:cs="Arial"/>
          <w:lang w:val="es-ES" w:eastAsia="es-ES"/>
        </w:rPr>
      </w:pPr>
      <w:r w:rsidRPr="0039727B">
        <w:rPr>
          <w:rFonts w:ascii="Verdana" w:eastAsia="Calibri" w:hAnsi="Verdana" w:cs="Arial"/>
          <w:lang w:val="es-ES" w:eastAsia="es-ES"/>
        </w:rPr>
        <w:t>Señor</w:t>
      </w:r>
    </w:p>
    <w:p w14:paraId="441CABAF" w14:textId="77777777" w:rsidR="0039727B" w:rsidRPr="0039727B" w:rsidRDefault="0039727B" w:rsidP="7F75D126">
      <w:pPr>
        <w:spacing w:after="0" w:line="240" w:lineRule="auto"/>
        <w:rPr>
          <w:rFonts w:ascii="Verdana" w:eastAsia="Calibri" w:hAnsi="Verdana" w:cs="Arial"/>
          <w:b/>
          <w:bCs/>
          <w:lang w:val="es-ES" w:eastAsia="es-ES"/>
        </w:rPr>
      </w:pPr>
      <w:r w:rsidRPr="7F75D126">
        <w:rPr>
          <w:rFonts w:ascii="Verdana" w:eastAsia="Calibri" w:hAnsi="Verdana" w:cs="Arial"/>
          <w:b/>
          <w:bCs/>
          <w:lang w:val="es-ES" w:eastAsia="es-ES"/>
        </w:rPr>
        <w:t>Jhoan Oswaldo Ramírez Roa</w:t>
      </w:r>
    </w:p>
    <w:p w14:paraId="1AF33EDB" w14:textId="77777777" w:rsidR="0039727B" w:rsidRPr="0039727B" w:rsidRDefault="0039727B" w:rsidP="0039727B">
      <w:pPr>
        <w:spacing w:after="0" w:line="240" w:lineRule="auto"/>
        <w:rPr>
          <w:rFonts w:ascii="Verdana" w:eastAsia="Calibri" w:hAnsi="Verdana" w:cs="Arial"/>
          <w:b/>
          <w:bCs/>
          <w:lang w:val="es-ES_tradnl" w:eastAsia="es-ES_tradnl"/>
        </w:rPr>
      </w:pPr>
      <w:r w:rsidRPr="0039727B">
        <w:rPr>
          <w:rFonts w:ascii="Verdana" w:eastAsia="Calibri" w:hAnsi="Verdana" w:cs="Arial"/>
          <w:lang w:val="es-ES" w:eastAsia="es-ES"/>
        </w:rPr>
        <w:t>Arauca, Arauca</w:t>
      </w:r>
    </w:p>
    <w:p w14:paraId="00BF08B7" w14:textId="77777777" w:rsidR="0039727B" w:rsidRPr="0039727B" w:rsidRDefault="0039727B" w:rsidP="0039727B">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9727B" w:rsidRPr="0039727B" w14:paraId="38B4CFF4" w14:textId="77777777" w:rsidTr="00615578">
        <w:trPr>
          <w:trHeight w:val="884"/>
        </w:trPr>
        <w:tc>
          <w:tcPr>
            <w:tcW w:w="2689" w:type="dxa"/>
          </w:tcPr>
          <w:p w14:paraId="3BBE0DF3" w14:textId="77777777" w:rsidR="0039727B" w:rsidRPr="0039727B" w:rsidRDefault="0039727B" w:rsidP="0039727B">
            <w:pPr>
              <w:jc w:val="both"/>
              <w:rPr>
                <w:rFonts w:ascii="Verdana" w:eastAsia="Calibri" w:hAnsi="Verdana" w:cs="Arial"/>
                <w:b/>
                <w:bCs/>
                <w:lang w:val="es-ES_tradnl" w:eastAsia="es-ES_tradnl"/>
              </w:rPr>
            </w:pPr>
          </w:p>
        </w:tc>
        <w:tc>
          <w:tcPr>
            <w:tcW w:w="6100" w:type="dxa"/>
          </w:tcPr>
          <w:p w14:paraId="052A0956" w14:textId="77777777" w:rsidR="0039727B" w:rsidRPr="0039727B" w:rsidRDefault="0039727B" w:rsidP="0039727B">
            <w:pPr>
              <w:jc w:val="both"/>
              <w:rPr>
                <w:rFonts w:ascii="Verdana" w:eastAsia="Calibri" w:hAnsi="Verdana" w:cs="Arial"/>
                <w:b/>
                <w:bCs/>
                <w:lang w:val="es-ES" w:eastAsia="es-ES"/>
              </w:rPr>
            </w:pPr>
            <w:r w:rsidRPr="0039727B">
              <w:rPr>
                <w:rFonts w:ascii="Verdana" w:eastAsia="Calibri" w:hAnsi="Verdana" w:cs="Arial"/>
                <w:b/>
                <w:bCs/>
                <w:lang w:val="es-ES" w:eastAsia="es-ES"/>
              </w:rPr>
              <w:t>Concepto C – 244 de 2024</w:t>
            </w:r>
          </w:p>
        </w:tc>
      </w:tr>
      <w:tr w:rsidR="0039727B" w:rsidRPr="0039727B" w14:paraId="32BEA2FC" w14:textId="77777777" w:rsidTr="00615578">
        <w:trPr>
          <w:trHeight w:val="884"/>
        </w:trPr>
        <w:tc>
          <w:tcPr>
            <w:tcW w:w="2689" w:type="dxa"/>
          </w:tcPr>
          <w:p w14:paraId="0B9AA7D3" w14:textId="77777777" w:rsidR="0039727B" w:rsidRPr="0039727B" w:rsidRDefault="0039727B" w:rsidP="0039727B">
            <w:pPr>
              <w:jc w:val="both"/>
              <w:rPr>
                <w:rFonts w:ascii="Verdana" w:eastAsia="Calibri" w:hAnsi="Verdana" w:cs="Arial"/>
                <w:lang w:val="es-ES_tradnl" w:eastAsia="es-ES_tradnl"/>
              </w:rPr>
            </w:pPr>
            <w:r w:rsidRPr="0039727B">
              <w:rPr>
                <w:rFonts w:ascii="Verdana" w:eastAsia="Calibri" w:hAnsi="Verdana" w:cs="Arial"/>
                <w:b/>
                <w:lang w:val="es-ES_tradnl" w:eastAsia="es-ES_tradnl"/>
              </w:rPr>
              <w:t>Temas:</w:t>
            </w:r>
            <w:r w:rsidRPr="0039727B">
              <w:rPr>
                <w:rFonts w:ascii="Verdana" w:eastAsia="Calibri" w:hAnsi="Verdana" w:cs="Arial"/>
                <w:lang w:val="es-ES_tradnl" w:eastAsia="es-ES_tradnl"/>
              </w:rPr>
              <w:t xml:space="preserve">                   </w:t>
            </w:r>
          </w:p>
        </w:tc>
        <w:tc>
          <w:tcPr>
            <w:tcW w:w="6100" w:type="dxa"/>
          </w:tcPr>
          <w:p w14:paraId="4724F782" w14:textId="77777777" w:rsidR="0039727B" w:rsidRPr="0039727B" w:rsidRDefault="0039727B" w:rsidP="0039727B">
            <w:pPr>
              <w:spacing w:line="276" w:lineRule="auto"/>
              <w:jc w:val="both"/>
              <w:rPr>
                <w:rFonts w:ascii="Verdana" w:eastAsia="Aptos" w:hAnsi="Verdana" w:cs="Arial"/>
                <w:bCs/>
                <w:color w:val="000000"/>
                <w:lang w:val="es-ES_tradnl"/>
              </w:rPr>
            </w:pPr>
            <w:r w:rsidRPr="0039727B">
              <w:rPr>
                <w:rFonts w:ascii="Verdana" w:eastAsia="Aptos" w:hAnsi="Verdana" w:cs="Arial"/>
                <w:bCs/>
                <w:color w:val="000000"/>
                <w:lang w:val="es-ES_tradnl"/>
              </w:rPr>
              <w:t>CAUSALES DE RECHAZO – Principio de legalidad – Configuración – Documentos Tipo / GUÍA PARA DETERMINAR Y VERIFICAR LA CAPACIDAD RESIDUAL DEL PROPONENTE EN LOS PROCESOS DE CONTRATACIÓN DE OBRA PÚBLICA – Cálculo de la Capacidad Residual del Proponente – Anexo 1 – Certificación de contratos para acreditación de Experiencia (E) – Obligatoriedad</w:t>
            </w:r>
          </w:p>
          <w:p w14:paraId="7038165B" w14:textId="77777777" w:rsidR="0039727B" w:rsidRPr="0039727B" w:rsidRDefault="0039727B" w:rsidP="0039727B">
            <w:pPr>
              <w:tabs>
                <w:tab w:val="left" w:pos="0"/>
              </w:tabs>
              <w:spacing w:line="276" w:lineRule="auto"/>
              <w:jc w:val="both"/>
              <w:rPr>
                <w:rFonts w:ascii="Verdana" w:eastAsia="Calibri" w:hAnsi="Verdana" w:cs="Arial"/>
                <w:bCs/>
                <w:lang w:val="es-ES" w:eastAsia="es-ES"/>
              </w:rPr>
            </w:pPr>
          </w:p>
        </w:tc>
      </w:tr>
      <w:tr w:rsidR="0039727B" w:rsidRPr="0039727B" w14:paraId="7883C25A" w14:textId="77777777" w:rsidTr="00615578">
        <w:tc>
          <w:tcPr>
            <w:tcW w:w="2689" w:type="dxa"/>
          </w:tcPr>
          <w:p w14:paraId="567F7630" w14:textId="77777777" w:rsidR="0039727B" w:rsidRPr="0039727B" w:rsidRDefault="0039727B" w:rsidP="0039727B">
            <w:pPr>
              <w:jc w:val="both"/>
              <w:rPr>
                <w:rFonts w:ascii="Verdana" w:eastAsia="Calibri" w:hAnsi="Verdana" w:cs="Arial"/>
                <w:b/>
                <w:lang w:val="es-ES_tradnl" w:eastAsia="es-ES_tradnl"/>
              </w:rPr>
            </w:pPr>
            <w:r w:rsidRPr="0039727B">
              <w:rPr>
                <w:rFonts w:ascii="Verdana" w:eastAsia="Calibri" w:hAnsi="Verdana" w:cs="Arial"/>
                <w:b/>
                <w:lang w:val="es-ES_tradnl" w:eastAsia="es-ES_tradnl"/>
              </w:rPr>
              <w:t>Radicación:</w:t>
            </w:r>
            <w:r w:rsidRPr="0039727B">
              <w:rPr>
                <w:rFonts w:ascii="Verdana" w:eastAsia="Calibri" w:hAnsi="Verdana" w:cs="Arial"/>
                <w:lang w:val="es-ES_tradnl" w:eastAsia="es-ES_tradnl"/>
              </w:rPr>
              <w:t xml:space="preserve">               </w:t>
            </w:r>
          </w:p>
        </w:tc>
        <w:tc>
          <w:tcPr>
            <w:tcW w:w="6100" w:type="dxa"/>
          </w:tcPr>
          <w:p w14:paraId="72E5E4B4" w14:textId="77777777" w:rsidR="0039727B" w:rsidRPr="0039727B" w:rsidRDefault="0039727B" w:rsidP="0039727B">
            <w:pPr>
              <w:jc w:val="both"/>
              <w:rPr>
                <w:rFonts w:ascii="Verdana" w:eastAsia="Calibri" w:hAnsi="Verdana" w:cs="Arial"/>
                <w:lang w:val="es-ES_tradnl" w:eastAsia="es-ES_tradnl"/>
              </w:rPr>
            </w:pPr>
            <w:r w:rsidRPr="0039727B">
              <w:rPr>
                <w:rFonts w:ascii="Verdana" w:eastAsia="Calibri" w:hAnsi="Verdana" w:cs="Arial"/>
                <w:lang w:val="es-ES_tradnl" w:eastAsia="es-ES_tradnl"/>
              </w:rPr>
              <w:t>Respuesta a consulta con radicado No. P20240628006631</w:t>
            </w:r>
          </w:p>
        </w:tc>
      </w:tr>
    </w:tbl>
    <w:p w14:paraId="71C3E55D" w14:textId="77777777" w:rsidR="0039727B" w:rsidRPr="0039727B" w:rsidRDefault="0039727B" w:rsidP="0039727B">
      <w:pPr>
        <w:spacing w:after="0" w:line="240" w:lineRule="auto"/>
        <w:jc w:val="both"/>
        <w:rPr>
          <w:rFonts w:ascii="Verdana" w:eastAsia="Calibri" w:hAnsi="Verdana" w:cs="Arial"/>
          <w:lang w:val="es-ES_tradnl" w:eastAsia="es-ES_tradnl"/>
        </w:rPr>
      </w:pPr>
    </w:p>
    <w:p w14:paraId="03430591" w14:textId="77777777" w:rsidR="0039727B" w:rsidRPr="0039727B" w:rsidRDefault="0039727B" w:rsidP="0039727B">
      <w:pPr>
        <w:spacing w:after="0" w:line="240" w:lineRule="auto"/>
        <w:jc w:val="both"/>
        <w:rPr>
          <w:rFonts w:ascii="Verdana" w:eastAsia="Calibri" w:hAnsi="Verdana" w:cs="Arial"/>
          <w:lang w:val="es-ES_tradnl" w:eastAsia="es-ES_tradnl"/>
        </w:rPr>
      </w:pPr>
    </w:p>
    <w:p w14:paraId="3D394AFE" w14:textId="77777777" w:rsidR="0039727B" w:rsidRPr="0039727B" w:rsidRDefault="0039727B" w:rsidP="0039727B">
      <w:pPr>
        <w:spacing w:after="0" w:line="276" w:lineRule="auto"/>
        <w:jc w:val="both"/>
        <w:rPr>
          <w:rFonts w:ascii="Verdana" w:eastAsia="Calibri" w:hAnsi="Verdana" w:cs="Arial"/>
          <w:lang w:val="es-ES" w:eastAsia="es-ES"/>
        </w:rPr>
      </w:pPr>
      <w:r w:rsidRPr="0039727B">
        <w:rPr>
          <w:rFonts w:ascii="Verdana" w:eastAsia="Calibri" w:hAnsi="Verdana" w:cs="Arial"/>
          <w:lang w:val="es-ES" w:eastAsia="es-ES"/>
        </w:rPr>
        <w:t xml:space="preserve">Estimado señor Ramírez Roa: </w:t>
      </w:r>
    </w:p>
    <w:p w14:paraId="59FEB868" w14:textId="77777777" w:rsidR="0039727B" w:rsidRPr="0039727B" w:rsidRDefault="0039727B" w:rsidP="0039727B">
      <w:pPr>
        <w:tabs>
          <w:tab w:val="left" w:pos="3768"/>
        </w:tabs>
        <w:spacing w:after="0" w:line="276" w:lineRule="auto"/>
        <w:jc w:val="both"/>
        <w:rPr>
          <w:rFonts w:ascii="Verdana" w:eastAsia="Calibri" w:hAnsi="Verdana" w:cs="Arial"/>
          <w:lang w:val="es-ES" w:eastAsia="es-ES"/>
        </w:rPr>
      </w:pPr>
      <w:r w:rsidRPr="0039727B">
        <w:rPr>
          <w:rFonts w:ascii="Verdana" w:eastAsia="Calibri" w:hAnsi="Verdana" w:cs="Arial"/>
          <w:lang w:val="es-ES" w:eastAsia="es-ES"/>
        </w:rPr>
        <w:tab/>
      </w:r>
    </w:p>
    <w:p w14:paraId="1BF55F3A" w14:textId="77777777" w:rsidR="0039727B" w:rsidRPr="0039727B" w:rsidRDefault="0039727B" w:rsidP="0039727B">
      <w:pPr>
        <w:spacing w:after="0" w:line="276" w:lineRule="auto"/>
        <w:jc w:val="both"/>
        <w:rPr>
          <w:rFonts w:ascii="Verdana" w:eastAsia="Calibri" w:hAnsi="Verdana" w:cs="Arial"/>
          <w:lang w:val="es-ES" w:eastAsia="es-ES"/>
        </w:rPr>
      </w:pPr>
      <w:r w:rsidRPr="0039727B">
        <w:rPr>
          <w:rFonts w:ascii="Verdana" w:eastAsia="Calibri" w:hAnsi="Verdana" w:cs="Arial"/>
          <w:lang w:val="es-ES" w:eastAsia="es-ES"/>
        </w:rPr>
        <w:t>En ejercicio de la competencia otorgada por los artículos 3, numeral 5º, y 11, numeral 8º, del Decreto Ley 4170 de 2011,</w:t>
      </w:r>
      <w:r w:rsidRPr="0039727B">
        <w:rPr>
          <w:rFonts w:ascii="Verdana" w:eastAsia="Arial MT" w:hAnsi="Verdana" w:cs="Arial MT"/>
          <w:lang w:val="es-ES" w:eastAsia="es-ES"/>
        </w:rPr>
        <w:t xml:space="preserve"> </w:t>
      </w:r>
      <w:r w:rsidRPr="0039727B">
        <w:rPr>
          <w:rFonts w:ascii="Verdana" w:eastAsia="Calibri" w:hAnsi="Verdana" w:cs="Arial"/>
        </w:rPr>
        <w:t xml:space="preserve">así como lo establecido en el artículo 4 de la Resolución 1707 de 2018 expedida por esta Entidad, </w:t>
      </w:r>
      <w:r w:rsidRPr="0039727B">
        <w:rPr>
          <w:rFonts w:ascii="Verdana" w:eastAsia="Calibri" w:hAnsi="Verdana" w:cs="Arial"/>
          <w:lang w:val="es-ES" w:eastAsia="es-ES"/>
        </w:rPr>
        <w:t>la Agencia Nacional de Contratación Pública – Colombia Compra Eficiente– responde su solicitud de consulta de fecha 28 de junio de 2024, en la que manifiesta lo siguiente:</w:t>
      </w:r>
    </w:p>
    <w:p w14:paraId="2F52E7B2" w14:textId="77777777" w:rsidR="0039727B" w:rsidRPr="0039727B" w:rsidRDefault="0039727B" w:rsidP="0039727B">
      <w:pPr>
        <w:tabs>
          <w:tab w:val="left" w:pos="142"/>
          <w:tab w:val="left" w:pos="284"/>
        </w:tabs>
        <w:spacing w:line="276" w:lineRule="auto"/>
        <w:contextualSpacing/>
        <w:jc w:val="both"/>
        <w:rPr>
          <w:rFonts w:ascii="Verdana" w:eastAsia="Century Gothic" w:hAnsi="Verdana" w:cs="Century Gothic"/>
          <w:b/>
          <w:bCs/>
          <w:lang w:val="es-ES"/>
        </w:rPr>
      </w:pPr>
    </w:p>
    <w:p w14:paraId="1A8F7746" w14:textId="77777777" w:rsidR="0039727B" w:rsidRPr="0039727B" w:rsidRDefault="0039727B" w:rsidP="0039727B">
      <w:pPr>
        <w:spacing w:after="0" w:line="240" w:lineRule="auto"/>
        <w:ind w:left="709" w:right="709"/>
        <w:jc w:val="both"/>
        <w:rPr>
          <w:rFonts w:ascii="Verdana" w:eastAsia="Century Gothic" w:hAnsi="Verdana" w:cs="Century Gothic"/>
          <w:sz w:val="20"/>
          <w:szCs w:val="20"/>
          <w:lang w:val="es-ES"/>
        </w:rPr>
      </w:pPr>
      <w:r w:rsidRPr="0039727B">
        <w:rPr>
          <w:rFonts w:ascii="Verdana" w:eastAsia="Century Gothic" w:hAnsi="Verdana" w:cs="Century Gothic"/>
          <w:sz w:val="20"/>
          <w:szCs w:val="20"/>
          <w:lang w:val="es-ES"/>
        </w:rPr>
        <w:t xml:space="preserve">“1. ¿Es de obligatorio cumplimiento la presentación del Anexo 1 Certificación de contratos para acreditación de Experiencia (E) en los procesos de contratación de obra pública? </w:t>
      </w:r>
    </w:p>
    <w:p w14:paraId="0CDF8995" w14:textId="77777777" w:rsidR="0039727B" w:rsidRPr="0039727B" w:rsidRDefault="0039727B" w:rsidP="0039727B">
      <w:pPr>
        <w:spacing w:after="0" w:line="240" w:lineRule="auto"/>
        <w:ind w:left="709" w:right="709"/>
        <w:jc w:val="both"/>
        <w:rPr>
          <w:rFonts w:ascii="Verdana" w:eastAsia="Century Gothic" w:hAnsi="Verdana" w:cs="Century Gothic"/>
          <w:sz w:val="20"/>
          <w:szCs w:val="20"/>
          <w:lang w:val="es-ES"/>
        </w:rPr>
      </w:pPr>
    </w:p>
    <w:p w14:paraId="76ADC1BD" w14:textId="77777777" w:rsidR="0039727B" w:rsidRPr="0039727B" w:rsidRDefault="0039727B" w:rsidP="0039727B">
      <w:pPr>
        <w:spacing w:after="0" w:line="240" w:lineRule="auto"/>
        <w:ind w:left="709" w:right="709"/>
        <w:jc w:val="both"/>
        <w:rPr>
          <w:rFonts w:ascii="Verdana" w:eastAsia="Century Gothic" w:hAnsi="Verdana" w:cs="Century Gothic"/>
          <w:sz w:val="20"/>
          <w:szCs w:val="20"/>
          <w:lang w:val="es-ES"/>
        </w:rPr>
      </w:pPr>
      <w:r w:rsidRPr="0039727B">
        <w:rPr>
          <w:rFonts w:ascii="Verdana" w:eastAsia="Century Gothic" w:hAnsi="Verdana" w:cs="Century Gothic"/>
          <w:sz w:val="20"/>
          <w:szCs w:val="20"/>
          <w:lang w:val="es-ES"/>
        </w:rPr>
        <w:t>2. ¿El proponente puede presentar el Anexo 1 Certificación de contratos para acreditación de Experiencia (E) diferente al adoptado por la Entidad Estatal, siempre y cuando cumpla con las especificaciones contenidas en la GUÍA PARA DETERMINAR Y VERIFICAR LA CAPACIDAD RESIDUAL DEL PROPONENTE EN LOS PROCESOS DE CONTRATACIÓN DE OBRA PÚBLICA?</w:t>
      </w:r>
    </w:p>
    <w:p w14:paraId="02EE5ABD" w14:textId="77777777" w:rsidR="0039727B" w:rsidRPr="0039727B" w:rsidRDefault="0039727B" w:rsidP="0039727B">
      <w:pPr>
        <w:spacing w:after="0" w:line="240" w:lineRule="auto"/>
        <w:ind w:left="709" w:right="709"/>
        <w:jc w:val="both"/>
        <w:rPr>
          <w:rFonts w:ascii="Verdana" w:eastAsia="Century Gothic" w:hAnsi="Verdana" w:cs="Century Gothic"/>
          <w:sz w:val="20"/>
          <w:szCs w:val="20"/>
          <w:lang w:val="es-ES"/>
        </w:rPr>
      </w:pPr>
    </w:p>
    <w:p w14:paraId="0D1BA781" w14:textId="77777777" w:rsidR="0039727B" w:rsidRPr="0039727B" w:rsidRDefault="0039727B" w:rsidP="0039727B">
      <w:pPr>
        <w:spacing w:after="0" w:line="240" w:lineRule="auto"/>
        <w:ind w:left="709" w:right="709"/>
        <w:jc w:val="both"/>
        <w:rPr>
          <w:rFonts w:ascii="Verdana" w:eastAsia="Century Gothic" w:hAnsi="Verdana" w:cs="Century Gothic"/>
          <w:sz w:val="20"/>
          <w:szCs w:val="20"/>
          <w:lang w:val="es-ES"/>
        </w:rPr>
      </w:pPr>
      <w:r w:rsidRPr="0039727B">
        <w:rPr>
          <w:rFonts w:ascii="Verdana" w:eastAsia="Century Gothic" w:hAnsi="Verdana" w:cs="Century Gothic"/>
          <w:sz w:val="20"/>
          <w:szCs w:val="20"/>
          <w:lang w:val="es-ES"/>
        </w:rPr>
        <w:t>3. ¿Puede la entidad estatal exigir al proponente la presentación del Anexo 1 Certificación de contratos para acreditación de Experiencia (E) adoptado por la entidad en los procesos de contratación de obra pública?</w:t>
      </w:r>
    </w:p>
    <w:p w14:paraId="78F5C519" w14:textId="77777777" w:rsidR="0039727B" w:rsidRPr="0039727B" w:rsidRDefault="0039727B" w:rsidP="0039727B">
      <w:pPr>
        <w:spacing w:after="0" w:line="240" w:lineRule="auto"/>
        <w:ind w:left="709" w:right="709"/>
        <w:jc w:val="both"/>
        <w:rPr>
          <w:rFonts w:ascii="Verdana" w:eastAsia="Century Gothic" w:hAnsi="Verdana" w:cs="Century Gothic"/>
          <w:sz w:val="20"/>
          <w:szCs w:val="20"/>
          <w:lang w:val="es-ES"/>
        </w:rPr>
      </w:pPr>
    </w:p>
    <w:p w14:paraId="07973AA0" w14:textId="77777777" w:rsidR="0039727B" w:rsidRPr="0039727B" w:rsidRDefault="0039727B" w:rsidP="0039727B">
      <w:pPr>
        <w:spacing w:after="0" w:line="240" w:lineRule="auto"/>
        <w:ind w:left="709" w:right="709"/>
        <w:jc w:val="both"/>
        <w:rPr>
          <w:rFonts w:ascii="Verdana" w:eastAsia="Century Gothic" w:hAnsi="Verdana" w:cs="Century Gothic"/>
          <w:sz w:val="20"/>
          <w:szCs w:val="20"/>
          <w:lang w:val="es-ES"/>
        </w:rPr>
      </w:pPr>
      <w:r w:rsidRPr="0039727B">
        <w:rPr>
          <w:rFonts w:ascii="Verdana" w:eastAsia="Century Gothic" w:hAnsi="Verdana" w:cs="Century Gothic"/>
          <w:sz w:val="20"/>
          <w:szCs w:val="20"/>
          <w:lang w:val="es-ES"/>
        </w:rPr>
        <w:t>4. En el caso que la información contenida en el Anexo 1 Certificación de contratos para acreditación de Experiencia (E), presente inconsistencias en la verificación del Registro Único de Proponentes frente a lo diligenciado en el Anexo 1.</w:t>
      </w:r>
    </w:p>
    <w:p w14:paraId="4FB0BBB4" w14:textId="77777777" w:rsidR="0039727B" w:rsidRPr="0039727B" w:rsidRDefault="0039727B" w:rsidP="0039727B">
      <w:pPr>
        <w:spacing w:after="0" w:line="240" w:lineRule="auto"/>
        <w:ind w:left="709" w:right="709"/>
        <w:jc w:val="both"/>
        <w:rPr>
          <w:rFonts w:ascii="Verdana" w:eastAsia="Century Gothic" w:hAnsi="Verdana" w:cs="Century Gothic"/>
          <w:sz w:val="20"/>
          <w:szCs w:val="20"/>
          <w:lang w:val="es-ES"/>
        </w:rPr>
      </w:pPr>
    </w:p>
    <w:p w14:paraId="4A1DCF58" w14:textId="77777777" w:rsidR="0039727B" w:rsidRPr="0039727B" w:rsidRDefault="0039727B" w:rsidP="0039727B">
      <w:pPr>
        <w:spacing w:after="0" w:line="240" w:lineRule="auto"/>
        <w:ind w:left="709" w:right="709"/>
        <w:jc w:val="both"/>
        <w:rPr>
          <w:rFonts w:ascii="Verdana" w:eastAsia="Century Gothic" w:hAnsi="Verdana" w:cs="Century Gothic"/>
          <w:sz w:val="20"/>
          <w:szCs w:val="20"/>
          <w:lang w:val="es-ES"/>
        </w:rPr>
      </w:pPr>
      <w:r w:rsidRPr="0039727B">
        <w:rPr>
          <w:rFonts w:ascii="Verdana" w:eastAsia="Century Gothic" w:hAnsi="Verdana" w:cs="Century Gothic"/>
          <w:sz w:val="20"/>
          <w:szCs w:val="20"/>
          <w:lang w:val="es-ES"/>
        </w:rPr>
        <w:t>¿Es esta una causal de rechazo al proponente?</w:t>
      </w:r>
    </w:p>
    <w:p w14:paraId="74A82C78" w14:textId="77777777" w:rsidR="0039727B" w:rsidRPr="0039727B" w:rsidRDefault="0039727B" w:rsidP="0039727B">
      <w:pPr>
        <w:spacing w:after="0" w:line="240" w:lineRule="auto"/>
        <w:ind w:left="709" w:right="709"/>
        <w:jc w:val="both"/>
        <w:rPr>
          <w:rFonts w:ascii="Verdana" w:eastAsia="Century Gothic" w:hAnsi="Verdana" w:cs="Century Gothic"/>
          <w:sz w:val="20"/>
          <w:szCs w:val="20"/>
          <w:lang w:val="es-ES"/>
        </w:rPr>
      </w:pPr>
      <w:r w:rsidRPr="0039727B">
        <w:rPr>
          <w:rFonts w:ascii="Verdana" w:eastAsia="Century Gothic" w:hAnsi="Verdana" w:cs="Century Gothic"/>
          <w:sz w:val="20"/>
          <w:szCs w:val="20"/>
          <w:lang w:val="es-ES"/>
        </w:rPr>
        <w:t>¿Cuál debe ser posición que debe adoptar la Entidad Estatal al evidenciar las inconsistencias?</w:t>
      </w:r>
    </w:p>
    <w:p w14:paraId="72BEFF10" w14:textId="77777777" w:rsidR="0039727B" w:rsidRPr="0039727B" w:rsidRDefault="0039727B" w:rsidP="0039727B">
      <w:pPr>
        <w:spacing w:after="0" w:line="240" w:lineRule="auto"/>
        <w:ind w:left="709" w:right="709"/>
        <w:jc w:val="both"/>
        <w:rPr>
          <w:rFonts w:ascii="Verdana" w:eastAsia="Century Gothic" w:hAnsi="Verdana" w:cs="Century Gothic"/>
          <w:sz w:val="20"/>
          <w:szCs w:val="20"/>
          <w:lang w:val="es-ES"/>
        </w:rPr>
      </w:pPr>
      <w:r w:rsidRPr="0039727B">
        <w:rPr>
          <w:rFonts w:ascii="Verdana" w:eastAsia="Century Gothic" w:hAnsi="Verdana" w:cs="Century Gothic"/>
          <w:sz w:val="20"/>
          <w:szCs w:val="20"/>
          <w:lang w:val="es-ES"/>
        </w:rPr>
        <w:t>¿La Entidad Estatal debe requerir al proponente y exigirle subsanar las inconsistencias en el Anexo1 y estas sean corregidas de acuerdo a la información contenida en el Registro Único de Proponentes?”</w:t>
      </w:r>
    </w:p>
    <w:p w14:paraId="244BF23D" w14:textId="77777777" w:rsidR="0039727B" w:rsidRPr="0039727B" w:rsidRDefault="0039727B" w:rsidP="0039727B">
      <w:pPr>
        <w:spacing w:after="0" w:line="240" w:lineRule="auto"/>
        <w:ind w:right="709"/>
        <w:jc w:val="both"/>
        <w:rPr>
          <w:rFonts w:ascii="Verdana" w:eastAsia="Century Gothic" w:hAnsi="Verdana" w:cs="Century Gothic"/>
          <w:lang w:val="es-ES"/>
        </w:rPr>
      </w:pPr>
    </w:p>
    <w:p w14:paraId="1098D785" w14:textId="77777777" w:rsidR="0039727B" w:rsidRPr="0039727B" w:rsidRDefault="0039727B" w:rsidP="0039727B">
      <w:pPr>
        <w:spacing w:after="120" w:line="276" w:lineRule="auto"/>
        <w:ind w:firstLine="709"/>
        <w:jc w:val="both"/>
        <w:rPr>
          <w:rFonts w:ascii="Verdana" w:eastAsia="Calibri" w:hAnsi="Verdana" w:cs="Arial"/>
          <w:szCs w:val="24"/>
          <w:lang w:val="es-ES_tradnl" w:eastAsia="es-ES_tradnl"/>
        </w:rPr>
      </w:pPr>
      <w:r w:rsidRPr="0039727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9727B">
        <w:rPr>
          <w:rFonts w:ascii="Verdana" w:eastAsia="Calibri" w:hAnsi="Verdana" w:cs="Arial"/>
          <w:szCs w:val="24"/>
          <w:lang w:val="es-ES_tradnl" w:eastAsia="es-ES_tradnl"/>
        </w:rPr>
        <w:tab/>
      </w:r>
    </w:p>
    <w:p w14:paraId="5290B61F" w14:textId="77777777" w:rsidR="0039727B" w:rsidRPr="0039727B" w:rsidRDefault="0039727B" w:rsidP="0039727B">
      <w:pPr>
        <w:spacing w:after="0" w:line="276" w:lineRule="auto"/>
        <w:ind w:firstLine="709"/>
        <w:jc w:val="both"/>
        <w:rPr>
          <w:rFonts w:ascii="Verdana" w:eastAsia="Calibri" w:hAnsi="Verdana" w:cs="Arial"/>
          <w:lang w:val="es-ES" w:eastAsia="es-ES"/>
        </w:rPr>
      </w:pPr>
      <w:r w:rsidRPr="0039727B">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Además, le informamos que su pregunta 3 será remitida a la Junta Central de </w:t>
      </w:r>
      <w:r w:rsidRPr="0039727B">
        <w:rPr>
          <w:rFonts w:ascii="Verdana" w:eastAsia="Calibri" w:hAnsi="Verdana" w:cs="Arial"/>
          <w:lang w:val="es-ES" w:eastAsia="es-ES"/>
        </w:rPr>
        <w:lastRenderedPageBreak/>
        <w:t xml:space="preserve">Contadores, para que sea esta la institución que, de considerarlo procedente y dentro de sus competencias, resuelva su inquietud. </w:t>
      </w:r>
    </w:p>
    <w:p w14:paraId="14A7B4EE" w14:textId="77777777" w:rsidR="0039727B" w:rsidRPr="0039727B" w:rsidRDefault="0039727B" w:rsidP="0039727B">
      <w:pPr>
        <w:spacing w:after="0" w:line="276" w:lineRule="auto"/>
        <w:ind w:firstLine="709"/>
        <w:jc w:val="both"/>
        <w:rPr>
          <w:rFonts w:ascii="Verdana" w:eastAsia="Calibri" w:hAnsi="Verdana" w:cs="Arial"/>
          <w:lang w:val="es-ES" w:eastAsia="es-ES"/>
        </w:rPr>
      </w:pPr>
    </w:p>
    <w:p w14:paraId="00D4D6FF" w14:textId="77777777" w:rsidR="0039727B" w:rsidRPr="0039727B" w:rsidRDefault="0039727B" w:rsidP="0039727B">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39727B">
        <w:rPr>
          <w:rFonts w:ascii="Verdana" w:eastAsia="Century Gothic" w:hAnsi="Verdana" w:cs="Century Gothic"/>
          <w:b/>
          <w:bCs/>
          <w:lang w:val="es-ES"/>
        </w:rPr>
        <w:t>Problema planteado:</w:t>
      </w:r>
    </w:p>
    <w:p w14:paraId="0048A186" w14:textId="77777777" w:rsidR="0039727B" w:rsidRPr="0039727B" w:rsidRDefault="0039727B" w:rsidP="0039727B">
      <w:pPr>
        <w:tabs>
          <w:tab w:val="left" w:pos="426"/>
        </w:tabs>
        <w:spacing w:after="0" w:line="276" w:lineRule="auto"/>
        <w:jc w:val="both"/>
        <w:rPr>
          <w:rFonts w:ascii="Verdana" w:eastAsia="Century Gothic" w:hAnsi="Verdana" w:cs="Century Gothic"/>
          <w:lang w:val="es-ES"/>
        </w:rPr>
      </w:pPr>
    </w:p>
    <w:p w14:paraId="7D693D96" w14:textId="06D95A25" w:rsidR="0039727B" w:rsidRPr="0039727B" w:rsidRDefault="0039727B" w:rsidP="0039727B">
      <w:pPr>
        <w:snapToGrid w:val="0"/>
        <w:spacing w:after="0" w:line="276" w:lineRule="auto"/>
        <w:jc w:val="both"/>
        <w:rPr>
          <w:rFonts w:ascii="Verdana" w:eastAsia="Century Gothic" w:hAnsi="Verdana" w:cs="Century Gothic"/>
        </w:rPr>
      </w:pPr>
      <w:r w:rsidRPr="0039727B">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39727B">
        <w:rPr>
          <w:rFonts w:ascii="Verdana" w:eastAsia="Century Gothic" w:hAnsi="Verdana" w:cs="Century Gothic"/>
        </w:rPr>
        <w:t xml:space="preserve"> siguiente problema jurídico: ¿es obligatoria la presentación del Anexo 1 – Certificación de contratos para acreditación de Experiencia (E) de la Guía para Determinar y verificar la Capacidad Residual en los Procesos de Contratación de Obra Pública, y las inconsistencias en el mismo pueden dar lugar al rechazo de la oferta?</w:t>
      </w:r>
    </w:p>
    <w:p w14:paraId="496C99C4" w14:textId="77777777" w:rsidR="0039727B" w:rsidRPr="0039727B" w:rsidRDefault="0039727B" w:rsidP="0039727B">
      <w:pPr>
        <w:snapToGrid w:val="0"/>
        <w:spacing w:after="0" w:line="276" w:lineRule="auto"/>
        <w:jc w:val="both"/>
        <w:rPr>
          <w:rFonts w:ascii="Verdana" w:eastAsia="Century Gothic" w:hAnsi="Verdana" w:cs="Century Gothic"/>
        </w:rPr>
      </w:pPr>
    </w:p>
    <w:p w14:paraId="6653C25A" w14:textId="77777777" w:rsidR="0039727B" w:rsidRPr="0039727B" w:rsidRDefault="0039727B" w:rsidP="0039727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39727B">
        <w:rPr>
          <w:rFonts w:ascii="Verdana" w:eastAsia="Century Gothic" w:hAnsi="Verdana" w:cs="Century Gothic"/>
          <w:b/>
          <w:bCs/>
          <w:lang w:val="es-ES"/>
        </w:rPr>
        <w:t>Respuesta:</w:t>
      </w:r>
    </w:p>
    <w:p w14:paraId="3653E1D8" w14:textId="77777777" w:rsidR="0039727B" w:rsidRPr="0039727B" w:rsidRDefault="0039727B" w:rsidP="0039727B">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9727B" w:rsidRPr="0039727B" w14:paraId="31D50164" w14:textId="77777777" w:rsidTr="00615578">
        <w:tc>
          <w:tcPr>
            <w:tcW w:w="8828" w:type="dxa"/>
            <w:shd w:val="clear" w:color="auto" w:fill="auto"/>
          </w:tcPr>
          <w:p w14:paraId="4B0BEB91" w14:textId="77777777" w:rsidR="0039727B" w:rsidRPr="0039727B" w:rsidRDefault="0039727B" w:rsidP="0039727B">
            <w:pPr>
              <w:spacing w:line="276" w:lineRule="auto"/>
              <w:jc w:val="both"/>
              <w:rPr>
                <w:rFonts w:ascii="Verdana" w:eastAsia="Calibri" w:hAnsi="Verdana" w:cs="Arial"/>
                <w:lang w:val="es-ES_tradnl"/>
              </w:rPr>
            </w:pPr>
            <w:r w:rsidRPr="0039727B">
              <w:rPr>
                <w:rFonts w:ascii="Verdana" w:eastAsia="Calibri" w:hAnsi="Verdana" w:cs="Arial"/>
                <w:lang w:val="es-ES_tradnl"/>
              </w:rPr>
              <w:t xml:space="preserve">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Algo similar ocurre con las causales de rechazo establecidas en los documentos tipo, </w:t>
            </w:r>
            <w:r w:rsidRPr="0039727B">
              <w:rPr>
                <w:rFonts w:ascii="Verdana" w:eastAsia="Calibri" w:hAnsi="Verdana" w:cs="Arial"/>
                <w:lang w:val="es-MX" w:eastAsia="es-MX"/>
              </w:rPr>
              <w:t>las cuales son taxativas, descartándose que la entidad introduzca nuevas, salvo las contempladas directamente en la ley.</w:t>
            </w:r>
          </w:p>
          <w:p w14:paraId="2358FA2F" w14:textId="77777777" w:rsidR="0039727B" w:rsidRPr="0039727B" w:rsidRDefault="0039727B" w:rsidP="0039727B">
            <w:pPr>
              <w:spacing w:line="276" w:lineRule="auto"/>
              <w:jc w:val="both"/>
              <w:rPr>
                <w:rFonts w:ascii="Verdana" w:eastAsia="Calibri" w:hAnsi="Verdana" w:cs="Arial"/>
                <w:b/>
                <w:bCs/>
                <w:lang w:val="es-ES"/>
              </w:rPr>
            </w:pPr>
          </w:p>
          <w:p w14:paraId="2782B51E" w14:textId="77777777" w:rsidR="0039727B" w:rsidRPr="0039727B" w:rsidRDefault="0039727B" w:rsidP="0039727B">
            <w:pPr>
              <w:spacing w:line="276" w:lineRule="auto"/>
              <w:jc w:val="both"/>
              <w:rPr>
                <w:rFonts w:ascii="Verdana" w:eastAsia="Calibri" w:hAnsi="Verdana" w:cs="Calibri"/>
                <w:lang w:val="es-MX"/>
              </w:rPr>
            </w:pPr>
            <w:r w:rsidRPr="0039727B">
              <w:rPr>
                <w:rFonts w:ascii="Verdana" w:eastAsia="Calibri" w:hAnsi="Verdana" w:cs="Calibri"/>
                <w:lang w:val="es-MX"/>
              </w:rPr>
              <w:t>La presentación de Anexo 1 – Certificación de contratos de la Guía para Determinar y Verificar la Capacidad Residual del Proponente en los Procesos de Contratación de Obra Pública, se debe realizar en los eventos en que la información contenida en el RUP no sea suficiente, o cuando se incluya en los formatos de experiencia, contratos o información no relacionada en el RUP, que deba ser objeto de verificación por parte de las entidades en el proceso de selección que se adelante.</w:t>
            </w:r>
          </w:p>
          <w:p w14:paraId="5C6B03C8" w14:textId="77777777" w:rsidR="0039727B" w:rsidRPr="0039727B" w:rsidRDefault="0039727B" w:rsidP="0039727B">
            <w:pPr>
              <w:spacing w:line="276" w:lineRule="auto"/>
              <w:jc w:val="both"/>
              <w:rPr>
                <w:rFonts w:ascii="Verdana" w:eastAsia="Calibri" w:hAnsi="Verdana" w:cs="Arial"/>
                <w:lang w:val="es-ES_tradnl"/>
              </w:rPr>
            </w:pPr>
          </w:p>
          <w:p w14:paraId="107CFF3A" w14:textId="77777777" w:rsidR="0039727B" w:rsidRPr="0039727B" w:rsidRDefault="0039727B" w:rsidP="0039727B">
            <w:pPr>
              <w:spacing w:line="276" w:lineRule="auto"/>
              <w:jc w:val="both"/>
              <w:rPr>
                <w:rFonts w:ascii="Verdana" w:eastAsia="Calibri" w:hAnsi="Verdana" w:cs="Calibri"/>
                <w:lang w:val="es-MX"/>
              </w:rPr>
            </w:pPr>
            <w:r w:rsidRPr="0039727B">
              <w:rPr>
                <w:rFonts w:ascii="Verdana" w:eastAsia="Calibri" w:hAnsi="Verdana" w:cs="Calibri"/>
                <w:lang w:val="es-MX"/>
              </w:rPr>
              <w:t>En todo caso, las entidades estatales, en los eventos en que lo requieran, podrán optar por utilizar los anexos incluidos en la Guía para el cálculo de la capacidad residual, como el caso del Anexo 1, o incluir los formatos que la entidad considere y que incluyan la información necesaria para el cálculo respectivo.</w:t>
            </w:r>
          </w:p>
          <w:p w14:paraId="2658194E" w14:textId="77777777" w:rsidR="0039727B" w:rsidRPr="0039727B" w:rsidRDefault="0039727B" w:rsidP="0039727B">
            <w:pPr>
              <w:spacing w:line="276" w:lineRule="auto"/>
              <w:jc w:val="both"/>
              <w:rPr>
                <w:rFonts w:ascii="Verdana" w:eastAsia="Calibri" w:hAnsi="Verdana" w:cs="Arial"/>
                <w:lang w:val="es-ES_tradnl"/>
              </w:rPr>
            </w:pPr>
          </w:p>
          <w:p w14:paraId="1CCF98E2" w14:textId="77777777" w:rsidR="0039727B" w:rsidRPr="0039727B" w:rsidRDefault="0039727B" w:rsidP="0039727B">
            <w:pPr>
              <w:spacing w:line="276" w:lineRule="auto"/>
              <w:jc w:val="both"/>
              <w:rPr>
                <w:rFonts w:ascii="Verdana" w:eastAsia="Calibri" w:hAnsi="Verdana" w:cs="Arial"/>
                <w:lang w:val="es-ES_tradnl"/>
              </w:rPr>
            </w:pPr>
            <w:r w:rsidRPr="0039727B">
              <w:rPr>
                <w:rFonts w:ascii="Verdana" w:eastAsia="Calibri" w:hAnsi="Verdana" w:cs="Calibri"/>
                <w:lang w:val="es-MX"/>
              </w:rPr>
              <w:t xml:space="preserve">Finalmente, las entidades podrán solicitar aclaraciones respecto de la información contenida en el Anexo 1 y la consignada en el RUP. Sin embargo, si los proponentes no presentan las aclaraciones respectivas, podrán ser </w:t>
            </w:r>
            <w:r w:rsidRPr="0039727B">
              <w:rPr>
                <w:rFonts w:ascii="Verdana" w:eastAsia="Calibri" w:hAnsi="Verdana" w:cs="Calibri"/>
                <w:lang w:val="es-MX"/>
              </w:rPr>
              <w:lastRenderedPageBreak/>
              <w:t xml:space="preserve">rechazados, de acuerdo con las causales de rechazo contenidas en los documentos tipo de infraestructura de transporte. </w:t>
            </w:r>
          </w:p>
          <w:p w14:paraId="6328DDE2" w14:textId="77777777" w:rsidR="0039727B" w:rsidRPr="0039727B" w:rsidRDefault="0039727B" w:rsidP="0039727B">
            <w:pPr>
              <w:spacing w:line="276" w:lineRule="auto"/>
              <w:jc w:val="both"/>
              <w:rPr>
                <w:rFonts w:ascii="Verdana" w:eastAsia="Calibri" w:hAnsi="Verdana" w:cs="Arial"/>
                <w:lang w:val="es-ES_tradnl"/>
              </w:rPr>
            </w:pPr>
          </w:p>
        </w:tc>
      </w:tr>
    </w:tbl>
    <w:p w14:paraId="53A32E72" w14:textId="77777777" w:rsidR="0039727B" w:rsidRPr="0039727B" w:rsidRDefault="0039727B" w:rsidP="0039727B">
      <w:pPr>
        <w:tabs>
          <w:tab w:val="left" w:pos="142"/>
          <w:tab w:val="left" w:pos="284"/>
        </w:tabs>
        <w:snapToGrid w:val="0"/>
        <w:spacing w:after="0" w:line="276" w:lineRule="auto"/>
        <w:jc w:val="both"/>
        <w:rPr>
          <w:rFonts w:ascii="Verdana" w:eastAsia="Century Gothic" w:hAnsi="Verdana" w:cs="Century Gothic"/>
          <w:b/>
          <w:bCs/>
          <w:lang w:val="es-ES"/>
        </w:rPr>
      </w:pPr>
    </w:p>
    <w:p w14:paraId="3639B271" w14:textId="77777777" w:rsidR="0039727B" w:rsidRPr="0039727B" w:rsidRDefault="0039727B" w:rsidP="0039727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39727B">
        <w:rPr>
          <w:rFonts w:ascii="Verdana" w:eastAsia="Century Gothic" w:hAnsi="Verdana" w:cs="Century Gothic"/>
          <w:b/>
          <w:bCs/>
          <w:lang w:val="es-ES"/>
        </w:rPr>
        <w:t>Razones de la respuesta:</w:t>
      </w:r>
    </w:p>
    <w:p w14:paraId="5E7F6986" w14:textId="77777777" w:rsidR="0039727B" w:rsidRPr="0039727B" w:rsidRDefault="0039727B" w:rsidP="0039727B">
      <w:pPr>
        <w:tabs>
          <w:tab w:val="left" w:pos="142"/>
          <w:tab w:val="left" w:pos="284"/>
        </w:tabs>
        <w:snapToGrid w:val="0"/>
        <w:spacing w:after="0" w:line="276" w:lineRule="auto"/>
        <w:ind w:left="357"/>
        <w:jc w:val="both"/>
        <w:rPr>
          <w:rFonts w:ascii="Verdana" w:eastAsia="Century Gothic" w:hAnsi="Verdana" w:cs="Century Gothic"/>
          <w:b/>
          <w:bCs/>
          <w:lang w:val="es-ES"/>
        </w:rPr>
      </w:pPr>
    </w:p>
    <w:p w14:paraId="590016AA" w14:textId="77777777" w:rsidR="0039727B" w:rsidRPr="0039727B" w:rsidRDefault="0039727B" w:rsidP="0039727B">
      <w:pPr>
        <w:snapToGrid w:val="0"/>
        <w:spacing w:after="0" w:line="276" w:lineRule="auto"/>
        <w:jc w:val="both"/>
        <w:rPr>
          <w:rFonts w:ascii="Verdana" w:eastAsia="Calibri" w:hAnsi="Verdana" w:cs="Arial"/>
          <w:lang w:val="es-ES"/>
        </w:rPr>
      </w:pPr>
      <w:r w:rsidRPr="0039727B">
        <w:rPr>
          <w:rFonts w:ascii="Verdana" w:eastAsia="Calibri" w:hAnsi="Verdana" w:cs="Arial"/>
          <w:lang w:val="es-ES"/>
        </w:rPr>
        <w:t>Lo anterior se sustenta en las siguientes consideraciones:</w:t>
      </w:r>
    </w:p>
    <w:p w14:paraId="7372618E" w14:textId="77777777" w:rsidR="0039727B" w:rsidRPr="0039727B" w:rsidRDefault="0039727B" w:rsidP="0039727B">
      <w:pPr>
        <w:snapToGrid w:val="0"/>
        <w:spacing w:after="0" w:line="276" w:lineRule="auto"/>
        <w:jc w:val="both"/>
        <w:rPr>
          <w:rFonts w:ascii="Verdana" w:eastAsia="Calibri" w:hAnsi="Verdana" w:cs="Arial"/>
          <w:lang w:val="es-ES"/>
        </w:rPr>
      </w:pPr>
      <w:r w:rsidRPr="0039727B">
        <w:rPr>
          <w:rFonts w:ascii="Verdana" w:eastAsia="Calibri" w:hAnsi="Verdana" w:cs="Arial"/>
          <w:lang w:val="es-ES"/>
        </w:rPr>
        <w:t xml:space="preserve"> </w:t>
      </w:r>
    </w:p>
    <w:p w14:paraId="061570B6" w14:textId="77777777" w:rsidR="0039727B" w:rsidRPr="0039727B" w:rsidRDefault="0039727B" w:rsidP="0039727B">
      <w:pPr>
        <w:numPr>
          <w:ilvl w:val="0"/>
          <w:numId w:val="18"/>
        </w:numPr>
        <w:snapToGrid w:val="0"/>
        <w:spacing w:after="0" w:line="276" w:lineRule="auto"/>
        <w:jc w:val="both"/>
        <w:rPr>
          <w:rFonts w:ascii="Verdana" w:eastAsia="Calibri" w:hAnsi="Verdana" w:cs="Arial"/>
          <w:kern w:val="2"/>
          <w:lang w:val="es-ES"/>
          <w14:ligatures w14:val="standardContextual"/>
        </w:rPr>
      </w:pPr>
      <w:r w:rsidRPr="0039727B">
        <w:rPr>
          <w:rFonts w:ascii="Verdana" w:eastAsia="Calibri" w:hAnsi="Verdana" w:cs="Arial"/>
          <w:kern w:val="2"/>
          <w:lang w:val="es-ES"/>
          <w14:ligatures w14:val="standardContextua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7F91ADC9" w14:textId="77777777" w:rsidR="0039727B" w:rsidRPr="0039727B" w:rsidRDefault="0039727B" w:rsidP="0039727B">
      <w:pPr>
        <w:snapToGrid w:val="0"/>
        <w:spacing w:after="0" w:line="276" w:lineRule="auto"/>
        <w:ind w:left="720"/>
        <w:jc w:val="both"/>
        <w:rPr>
          <w:rFonts w:ascii="Verdana" w:eastAsia="Calibri" w:hAnsi="Verdana" w:cs="Arial"/>
          <w:kern w:val="2"/>
          <w:lang w:val="es-ES"/>
          <w14:ligatures w14:val="standardContextual"/>
        </w:rPr>
      </w:pPr>
    </w:p>
    <w:p w14:paraId="12C4F6A7" w14:textId="77777777" w:rsidR="0039727B" w:rsidRPr="0039727B" w:rsidRDefault="0039727B" w:rsidP="0039727B">
      <w:pPr>
        <w:numPr>
          <w:ilvl w:val="0"/>
          <w:numId w:val="18"/>
        </w:numPr>
        <w:snapToGrid w:val="0"/>
        <w:spacing w:after="0" w:line="276" w:lineRule="auto"/>
        <w:jc w:val="both"/>
        <w:rPr>
          <w:rFonts w:ascii="Verdana" w:eastAsia="Calibri" w:hAnsi="Verdana" w:cs="Arial"/>
          <w:kern w:val="2"/>
          <w:lang w:val="es-ES"/>
          <w14:ligatures w14:val="standardContextual"/>
        </w:rPr>
      </w:pPr>
      <w:r w:rsidRPr="0039727B">
        <w:rPr>
          <w:rFonts w:ascii="Verdana" w:eastAsia="Calibri" w:hAnsi="Verdana" w:cs="Arial"/>
          <w:kern w:val="2"/>
          <w:lang w:val="es-ES_tradnl"/>
          <w14:ligatures w14:val="standardContextu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w:t>
      </w:r>
      <w:r w:rsidRPr="0039727B">
        <w:rPr>
          <w:rFonts w:ascii="Verdana" w:eastAsia="Calibri" w:hAnsi="Verdana" w:cs="Arial"/>
          <w:i/>
          <w:iCs/>
          <w:kern w:val="2"/>
          <w:vertAlign w:val="superscript"/>
          <w:lang w:val="es-ES_tradnl"/>
          <w14:ligatures w14:val="standardContextual"/>
        </w:rPr>
        <w:footnoteReference w:id="1"/>
      </w:r>
      <w:r w:rsidRPr="0039727B">
        <w:rPr>
          <w:rFonts w:ascii="Verdana" w:eastAsia="Calibri" w:hAnsi="Verdana" w:cs="Arial"/>
          <w:kern w:val="2"/>
          <w:lang w:val="es-ES_tradnl"/>
          <w14:ligatures w14:val="standardContextual"/>
        </w:rPr>
        <w:t xml:space="preserve"> señala:</w:t>
      </w:r>
    </w:p>
    <w:p w14:paraId="2937173F" w14:textId="77777777" w:rsidR="0039727B" w:rsidRPr="0039727B" w:rsidRDefault="0039727B" w:rsidP="0039727B">
      <w:pPr>
        <w:tabs>
          <w:tab w:val="left" w:pos="709"/>
        </w:tabs>
        <w:spacing w:after="0" w:line="276" w:lineRule="auto"/>
        <w:jc w:val="both"/>
        <w:rPr>
          <w:rFonts w:ascii="Verdana" w:eastAsia="Calibri" w:hAnsi="Verdana" w:cs="Arial"/>
          <w:kern w:val="2"/>
          <w:lang w:val="es-ES_tradnl"/>
          <w14:ligatures w14:val="standardContextual"/>
        </w:rPr>
      </w:pPr>
    </w:p>
    <w:p w14:paraId="418396AA" w14:textId="77777777" w:rsidR="0039727B" w:rsidRPr="0039727B" w:rsidRDefault="0039727B" w:rsidP="0039727B">
      <w:pPr>
        <w:tabs>
          <w:tab w:val="left" w:pos="709"/>
        </w:tabs>
        <w:spacing w:after="0" w:line="240" w:lineRule="auto"/>
        <w:ind w:left="709" w:right="709"/>
        <w:jc w:val="both"/>
        <w:rPr>
          <w:rFonts w:ascii="Verdana" w:eastAsia="Calibri" w:hAnsi="Verdana" w:cs="Arial"/>
          <w:kern w:val="2"/>
          <w:sz w:val="21"/>
          <w:szCs w:val="21"/>
          <w:lang w:val="es-ES"/>
          <w14:ligatures w14:val="standardContextual"/>
        </w:rPr>
      </w:pPr>
      <w:r w:rsidRPr="0039727B">
        <w:rPr>
          <w:rFonts w:ascii="Verdana" w:eastAsia="Calibri" w:hAnsi="Verdana" w:cs="Arial"/>
          <w:kern w:val="2"/>
          <w:sz w:val="21"/>
          <w:szCs w:val="21"/>
          <w:lang w:val="es-ES"/>
          <w14:ligatures w14:val="standardContextual"/>
        </w:rPr>
        <w:t xml:space="preserve">“Quiere con esto destacar la Sala que las causales de rechazo de las propuestas pueden ser legales y por lo mismo generan el efecto del descarte o exclusión de la oferta </w:t>
      </w:r>
      <w:proofErr w:type="spellStart"/>
      <w:r w:rsidRPr="0039727B">
        <w:rPr>
          <w:rFonts w:ascii="Verdana" w:eastAsia="Calibri" w:hAnsi="Verdana" w:cs="Arial"/>
          <w:kern w:val="2"/>
          <w:sz w:val="21"/>
          <w:szCs w:val="21"/>
          <w:lang w:val="es-ES"/>
          <w14:ligatures w14:val="standardContextual"/>
        </w:rPr>
        <w:t>ope</w:t>
      </w:r>
      <w:proofErr w:type="spellEnd"/>
      <w:r w:rsidRPr="0039727B">
        <w:rPr>
          <w:rFonts w:ascii="Verdana" w:eastAsia="Calibri" w:hAnsi="Verdana" w:cs="Arial"/>
          <w:kern w:val="2"/>
          <w:sz w:val="21"/>
          <w:szCs w:val="21"/>
          <w:lang w:val="es-ES"/>
          <w14:ligatures w14:val="standardContextual"/>
        </w:rPr>
        <w:t xml:space="preserve"> </w:t>
      </w:r>
      <w:proofErr w:type="spellStart"/>
      <w:r w:rsidRPr="0039727B">
        <w:rPr>
          <w:rFonts w:ascii="Verdana" w:eastAsia="Calibri" w:hAnsi="Verdana" w:cs="Arial"/>
          <w:kern w:val="2"/>
          <w:sz w:val="21"/>
          <w:szCs w:val="21"/>
          <w:lang w:val="es-ES"/>
          <w14:ligatures w14:val="standardContextual"/>
        </w:rPr>
        <w:t>legis</w:t>
      </w:r>
      <w:proofErr w:type="spellEnd"/>
      <w:r w:rsidRPr="0039727B">
        <w:rPr>
          <w:rFonts w:ascii="Verdana" w:eastAsia="Calibri" w:hAnsi="Verdana" w:cs="Arial"/>
          <w:kern w:val="2"/>
          <w:sz w:val="21"/>
          <w:szCs w:val="21"/>
          <w:lang w:val="es-ES"/>
          <w14:ligatures w14:val="standardContextual"/>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7037DC3C" w14:textId="77777777" w:rsidR="0039727B" w:rsidRPr="0039727B" w:rsidRDefault="0039727B" w:rsidP="0039727B">
      <w:pPr>
        <w:spacing w:after="0" w:line="276" w:lineRule="auto"/>
        <w:ind w:firstLine="708"/>
        <w:jc w:val="both"/>
        <w:rPr>
          <w:rFonts w:ascii="Verdana" w:eastAsia="Calibri" w:hAnsi="Verdana" w:cs="Arial"/>
          <w:kern w:val="2"/>
          <w:lang w:val="es-ES_tradnl"/>
          <w14:ligatures w14:val="standardContextual"/>
        </w:rPr>
      </w:pPr>
    </w:p>
    <w:p w14:paraId="2A08D9E4" w14:textId="77777777" w:rsidR="0039727B" w:rsidRPr="0039727B" w:rsidRDefault="0039727B" w:rsidP="0039727B">
      <w:pPr>
        <w:numPr>
          <w:ilvl w:val="0"/>
          <w:numId w:val="19"/>
        </w:numPr>
        <w:spacing w:after="0" w:line="276" w:lineRule="auto"/>
        <w:jc w:val="both"/>
        <w:rPr>
          <w:rFonts w:ascii="Verdana" w:eastAsia="Calibri" w:hAnsi="Verdana" w:cs="Arial"/>
          <w:kern w:val="2"/>
          <w:lang w:val="es-ES_tradnl"/>
          <w14:ligatures w14:val="standardContextual"/>
        </w:rPr>
      </w:pPr>
      <w:r w:rsidRPr="0039727B">
        <w:rPr>
          <w:rFonts w:ascii="Verdana" w:eastAsia="Calibri" w:hAnsi="Verdana" w:cs="Arial"/>
          <w:kern w:val="2"/>
          <w:lang w:val="es-ES_tradnl"/>
          <w14:ligatures w14:val="standardContextual"/>
        </w:rPr>
        <w:lastRenderedPageBreak/>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039727B">
        <w:rPr>
          <w:rFonts w:ascii="Aptos" w:eastAsia="Aptos" w:hAnsi="Aptos" w:cs="Times New Roman"/>
          <w:i/>
          <w:kern w:val="2"/>
          <w:sz w:val="24"/>
          <w:szCs w:val="24"/>
          <w:vertAlign w:val="superscript"/>
          <w:lang w:val="es-ES_tradnl"/>
          <w14:ligatures w14:val="standardContextual"/>
        </w:rPr>
        <w:footnoteReference w:id="2"/>
      </w:r>
      <w:r w:rsidRPr="0039727B">
        <w:rPr>
          <w:rFonts w:ascii="Verdana" w:eastAsia="Calibri" w:hAnsi="Verdana" w:cs="Arial"/>
          <w:kern w:val="2"/>
          <w:lang w:val="es-ES_tradnl"/>
          <w14:ligatures w14:val="standardContextual"/>
        </w:rPr>
        <w:t xml:space="preserve"> sostuvo: </w:t>
      </w:r>
    </w:p>
    <w:p w14:paraId="309BCF7A" w14:textId="77777777" w:rsidR="0039727B" w:rsidRPr="0039727B" w:rsidRDefault="0039727B" w:rsidP="0039727B">
      <w:pPr>
        <w:spacing w:after="0" w:line="276" w:lineRule="auto"/>
        <w:ind w:left="709" w:right="709"/>
        <w:jc w:val="both"/>
        <w:rPr>
          <w:rFonts w:ascii="Verdana" w:eastAsia="Times New Roman" w:hAnsi="Verdana" w:cs="Arial"/>
          <w:bCs/>
          <w:iCs/>
          <w:kern w:val="2"/>
          <w:lang w:val="es-ES_tradnl" w:eastAsia="es-MX"/>
          <w14:ligatures w14:val="standardContextual"/>
        </w:rPr>
      </w:pPr>
    </w:p>
    <w:p w14:paraId="64735861" w14:textId="77777777" w:rsidR="0039727B" w:rsidRPr="0039727B" w:rsidRDefault="0039727B" w:rsidP="0039727B">
      <w:pPr>
        <w:spacing w:after="0" w:line="240" w:lineRule="auto"/>
        <w:ind w:left="709" w:right="709"/>
        <w:jc w:val="both"/>
        <w:rPr>
          <w:rFonts w:ascii="Verdana" w:eastAsia="Times New Roman" w:hAnsi="Verdana" w:cs="Arial"/>
          <w:bCs/>
          <w:iCs/>
          <w:kern w:val="2"/>
          <w:sz w:val="21"/>
          <w:szCs w:val="21"/>
          <w:lang w:val="es-ES_tradnl" w:eastAsia="es-MX"/>
          <w14:ligatures w14:val="standardContextual"/>
        </w:rPr>
      </w:pPr>
      <w:r w:rsidRPr="0039727B">
        <w:rPr>
          <w:rFonts w:ascii="Verdana" w:eastAsia="Times New Roman" w:hAnsi="Verdana" w:cs="Arial"/>
          <w:bCs/>
          <w:iCs/>
          <w:kern w:val="2"/>
          <w:sz w:val="21"/>
          <w:szCs w:val="21"/>
          <w:lang w:val="es-ES_tradnl" w:eastAsia="es-MX"/>
          <w14:ligatures w14:val="standardContextual"/>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38127202" w14:textId="77777777" w:rsidR="0039727B" w:rsidRPr="0039727B" w:rsidRDefault="0039727B" w:rsidP="0039727B">
      <w:pPr>
        <w:spacing w:after="0" w:line="276" w:lineRule="auto"/>
        <w:ind w:left="709" w:right="709"/>
        <w:jc w:val="both"/>
        <w:rPr>
          <w:rFonts w:ascii="Verdana" w:eastAsia="Times New Roman" w:hAnsi="Verdana" w:cs="Arial"/>
          <w:bCs/>
          <w:iCs/>
          <w:kern w:val="2"/>
          <w:lang w:val="es-ES_tradnl" w:eastAsia="es-MX"/>
          <w14:ligatures w14:val="standardContextual"/>
        </w:rPr>
      </w:pPr>
    </w:p>
    <w:p w14:paraId="36AC785D" w14:textId="77777777" w:rsidR="0039727B" w:rsidRPr="0039727B" w:rsidRDefault="0039727B" w:rsidP="0039727B">
      <w:pPr>
        <w:numPr>
          <w:ilvl w:val="0"/>
          <w:numId w:val="19"/>
        </w:numPr>
        <w:spacing w:after="0" w:line="276" w:lineRule="auto"/>
        <w:contextualSpacing/>
        <w:jc w:val="both"/>
        <w:rPr>
          <w:rFonts w:ascii="Verdana" w:eastAsia="Calibri" w:hAnsi="Verdana" w:cs="Arial"/>
          <w:kern w:val="2"/>
          <w:lang w:val="es-ES"/>
          <w14:ligatures w14:val="standardContextual"/>
        </w:rPr>
      </w:pPr>
      <w:r w:rsidRPr="0039727B">
        <w:rPr>
          <w:rFonts w:ascii="Verdana" w:eastAsia="Calibri" w:hAnsi="Verdana" w:cs="Arial"/>
          <w:kern w:val="2"/>
          <w:lang w:val="es-ES"/>
          <w14:ligatures w14:val="standardContextual"/>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1192661F" w14:textId="77777777" w:rsidR="0039727B" w:rsidRPr="0039727B" w:rsidRDefault="0039727B" w:rsidP="0039727B">
      <w:pPr>
        <w:spacing w:after="0" w:line="276" w:lineRule="auto"/>
        <w:ind w:left="720"/>
        <w:contextualSpacing/>
        <w:jc w:val="both"/>
        <w:rPr>
          <w:rFonts w:ascii="Verdana" w:eastAsia="Calibri" w:hAnsi="Verdana" w:cs="Arial"/>
          <w:kern w:val="2"/>
          <w:lang w:val="es-ES_tradnl"/>
          <w14:ligatures w14:val="standardContextual"/>
        </w:rPr>
      </w:pPr>
    </w:p>
    <w:p w14:paraId="3864810A" w14:textId="77777777" w:rsidR="0039727B" w:rsidRPr="0039727B" w:rsidRDefault="0039727B" w:rsidP="0039727B">
      <w:pPr>
        <w:numPr>
          <w:ilvl w:val="0"/>
          <w:numId w:val="19"/>
        </w:numPr>
        <w:spacing w:after="0" w:line="276" w:lineRule="auto"/>
        <w:contextualSpacing/>
        <w:jc w:val="both"/>
        <w:rPr>
          <w:rFonts w:ascii="Verdana" w:eastAsia="Calibri" w:hAnsi="Verdana" w:cs="Arial"/>
          <w:kern w:val="2"/>
          <w:lang w:val="es-ES_tradnl"/>
          <w14:ligatures w14:val="standardContextual"/>
        </w:rPr>
      </w:pPr>
      <w:r w:rsidRPr="0039727B">
        <w:rPr>
          <w:rFonts w:ascii="Verdana" w:eastAsia="Calibri" w:hAnsi="Verdana" w:cs="Arial"/>
          <w:lang w:val="es-MX" w:eastAsia="es-MX"/>
        </w:rPr>
        <w:t xml:space="preserve">Adicionalmente, la Agencia Nacional de Contratación Pública – Colombia Compra Eficiente, mediante los conceptos con radicados Nos. 2201913000007117 del 25 de septiembre de 2019, 2201913000009538 del 23 de diciembre de 2019 y C- 716 del 30 de octubre de 2020, entre otros, ha señalado que las causales de rechazo de las ofertas establecidas en los documentos tipo son taxativas, descartándose que la entidad </w:t>
      </w:r>
      <w:r w:rsidRPr="0039727B">
        <w:rPr>
          <w:rFonts w:ascii="Verdana" w:eastAsia="Calibri" w:hAnsi="Verdana" w:cs="Arial"/>
          <w:lang w:val="es-MX" w:eastAsia="es-MX"/>
        </w:rPr>
        <w:lastRenderedPageBreak/>
        <w:t>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02B724F1" w14:textId="77777777" w:rsidR="0039727B" w:rsidRPr="0039727B" w:rsidRDefault="0039727B" w:rsidP="0039727B">
      <w:pPr>
        <w:spacing w:after="0" w:line="276" w:lineRule="auto"/>
        <w:jc w:val="both"/>
        <w:rPr>
          <w:rFonts w:ascii="Verdana" w:eastAsia="Calibri" w:hAnsi="Verdana" w:cs="Arial"/>
          <w:kern w:val="2"/>
          <w:lang w:val="es-ES_tradnl"/>
          <w14:ligatures w14:val="standardContextual"/>
        </w:rPr>
      </w:pPr>
    </w:p>
    <w:p w14:paraId="4710EFE4" w14:textId="77777777" w:rsidR="0039727B" w:rsidRPr="0039727B" w:rsidRDefault="0039727B" w:rsidP="0039727B">
      <w:pPr>
        <w:numPr>
          <w:ilvl w:val="0"/>
          <w:numId w:val="20"/>
        </w:numPr>
        <w:spacing w:after="0" w:line="276" w:lineRule="auto"/>
        <w:contextualSpacing/>
        <w:jc w:val="both"/>
        <w:rPr>
          <w:rFonts w:ascii="Verdana" w:eastAsia="Arial" w:hAnsi="Verdana" w:cs="Arial"/>
          <w:color w:val="000000"/>
          <w:kern w:val="2"/>
          <w14:ligatures w14:val="standardContextual"/>
        </w:rPr>
      </w:pPr>
      <w:r w:rsidRPr="0039727B">
        <w:rPr>
          <w:rFonts w:ascii="Verdana" w:eastAsia="Arial" w:hAnsi="Verdana" w:cs="Arial"/>
          <w:color w:val="000000"/>
          <w:kern w:val="2"/>
          <w14:ligatures w14:val="standardContextual"/>
        </w:rPr>
        <w:t>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6FCFDC76" w14:textId="77777777" w:rsidR="0039727B" w:rsidRPr="0039727B" w:rsidRDefault="0039727B" w:rsidP="0039727B">
      <w:pPr>
        <w:spacing w:after="0" w:line="276" w:lineRule="auto"/>
        <w:contextualSpacing/>
        <w:jc w:val="both"/>
        <w:rPr>
          <w:rFonts w:ascii="Verdana" w:eastAsia="Arial" w:hAnsi="Verdana" w:cs="Arial"/>
          <w:color w:val="000000"/>
          <w:kern w:val="2"/>
          <w14:ligatures w14:val="standardContextual"/>
        </w:rPr>
      </w:pPr>
    </w:p>
    <w:p w14:paraId="14499B86" w14:textId="77777777" w:rsidR="0039727B" w:rsidRPr="0039727B" w:rsidRDefault="0039727B" w:rsidP="0039727B">
      <w:pPr>
        <w:numPr>
          <w:ilvl w:val="0"/>
          <w:numId w:val="20"/>
        </w:numPr>
        <w:spacing w:after="0" w:line="276" w:lineRule="auto"/>
        <w:contextualSpacing/>
        <w:jc w:val="both"/>
        <w:rPr>
          <w:rFonts w:ascii="Verdana" w:eastAsia="Calibri" w:hAnsi="Verdana" w:cs="Calibri"/>
        </w:rPr>
      </w:pPr>
      <w:r w:rsidRPr="0039727B">
        <w:rPr>
          <w:rFonts w:ascii="Verdana" w:eastAsia="Calibri" w:hAnsi="Verdana" w:cs="Calibri"/>
        </w:rPr>
        <w:t xml:space="preserve">Es necesario indicar que el documento “GUÍA PARA DETERMINAR Y VERIFICAR LA CAPACIDAD RESIDUAL DEL PROPONENTE EN LOS PROCESOS DE CONTRATACIÓN DE OBRA PÚBLICA” de Colombia Compra Eficiente, que se indica en el numeral </w:t>
      </w:r>
      <w:bookmarkStart w:id="0" w:name="_Toc107994844"/>
      <w:r w:rsidRPr="0039727B">
        <w:rPr>
          <w:rFonts w:ascii="Verdana" w:eastAsia="Calibri" w:hAnsi="Verdana" w:cs="Calibri"/>
        </w:rPr>
        <w:t>3.10.2. CÁLCULO DE LA CAPACIDAD RESIDUAL DEL PROPONENTE (CRP)</w:t>
      </w:r>
      <w:bookmarkEnd w:id="0"/>
      <w:r w:rsidRPr="0039727B">
        <w:rPr>
          <w:rFonts w:ascii="Verdana" w:eastAsia="Calibri" w:hAnsi="Verdana" w:cs="Calibri"/>
        </w:rPr>
        <w:t xml:space="preserve"> del documento base de los documentos tipo de infraestructura de transporte, es la Guía que se recomienda para establecer la capacidad residual, disponible en la página web: </w:t>
      </w:r>
      <w:hyperlink r:id="rId11" w:history="1">
        <w:r w:rsidRPr="0039727B">
          <w:rPr>
            <w:rFonts w:ascii="Verdana" w:eastAsia="Calibri" w:hAnsi="Verdana" w:cs="Calibri"/>
          </w:rPr>
          <w:t>https://www.colombiacompra.gov.co/manuales-guias-y-pliegos-tipo/manuales-y-guias/</w:t>
        </w:r>
      </w:hyperlink>
      <w:r w:rsidRPr="0039727B">
        <w:rPr>
          <w:rFonts w:ascii="Verdana" w:eastAsia="Calibri" w:hAnsi="Verdana" w:cs="Calibri"/>
        </w:rPr>
        <w:t>, así como el aplicativo para tal fin por Colombia Compra Eficiente.</w:t>
      </w:r>
    </w:p>
    <w:p w14:paraId="66E01282" w14:textId="77777777" w:rsidR="0039727B" w:rsidRPr="0039727B" w:rsidRDefault="0039727B" w:rsidP="0039727B">
      <w:pPr>
        <w:spacing w:after="0" w:line="276" w:lineRule="auto"/>
        <w:jc w:val="both"/>
        <w:rPr>
          <w:rFonts w:ascii="Verdana" w:eastAsia="Calibri" w:hAnsi="Verdana" w:cs="Calibri"/>
        </w:rPr>
      </w:pPr>
    </w:p>
    <w:p w14:paraId="3D32F339" w14:textId="77777777" w:rsidR="0039727B" w:rsidRPr="0039727B" w:rsidRDefault="0039727B" w:rsidP="0039727B">
      <w:pPr>
        <w:numPr>
          <w:ilvl w:val="0"/>
          <w:numId w:val="20"/>
        </w:numPr>
        <w:spacing w:after="0" w:line="276" w:lineRule="auto"/>
        <w:contextualSpacing/>
        <w:jc w:val="both"/>
        <w:rPr>
          <w:rFonts w:ascii="Verdana" w:eastAsia="Calibri" w:hAnsi="Verdana" w:cs="Calibri"/>
        </w:rPr>
      </w:pPr>
      <w:r w:rsidRPr="0039727B">
        <w:rPr>
          <w:rFonts w:ascii="Verdana" w:eastAsia="Calibri" w:hAnsi="Verdana" w:cs="Calibri"/>
        </w:rPr>
        <w:t>Es importante señalar que el Documento Base –de los documentos tipo de licitación de obra pública de infraestructura de transporte, los cuales se tendrán en cuenta para el desarrollo de esta consulta–, en el numeral 3.5., establece las consideraciones para que los proponentes acrediten su experiencia, así:</w:t>
      </w:r>
    </w:p>
    <w:p w14:paraId="66A99E0F" w14:textId="77777777" w:rsidR="0039727B" w:rsidRPr="0039727B" w:rsidRDefault="0039727B" w:rsidP="0039727B">
      <w:pPr>
        <w:spacing w:after="0" w:line="276" w:lineRule="auto"/>
        <w:jc w:val="both"/>
        <w:rPr>
          <w:rFonts w:ascii="Verdana" w:eastAsia="Calibri" w:hAnsi="Verdana" w:cs="Calibri"/>
        </w:rPr>
      </w:pPr>
    </w:p>
    <w:p w14:paraId="142182D0"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r w:rsidRPr="0039727B">
        <w:rPr>
          <w:rFonts w:ascii="Verdana" w:eastAsia="Calibri" w:hAnsi="Verdana" w:cs="Calibri"/>
          <w:sz w:val="21"/>
          <w:szCs w:val="21"/>
          <w:lang w:val="es-MX"/>
        </w:rPr>
        <w:t xml:space="preserve">“Los proponentes deben acreditar su experiencia a través de: i) la información consignada en el RUP para aquellos que estén obligados a tenerlo, ii) la presentación el Formato 3 – Experiencia para todos los proponentes y (iii) alguno de los documentos válidos para la acreditación de la experiencia señalados en el numeral 3.5.6 cuando </w:t>
      </w:r>
      <w:r w:rsidRPr="0039727B">
        <w:rPr>
          <w:rFonts w:ascii="Verdana" w:eastAsia="Calibri" w:hAnsi="Verdana" w:cs="Calibri"/>
          <w:sz w:val="21"/>
          <w:szCs w:val="21"/>
          <w:lang w:val="es-MX"/>
        </w:rPr>
        <w:lastRenderedPageBreak/>
        <w:t>se requiera la verificación de información del proponente adicional a la contenida en el RUP.”</w:t>
      </w:r>
    </w:p>
    <w:p w14:paraId="64A42579" w14:textId="77777777" w:rsidR="0039727B" w:rsidRPr="0039727B" w:rsidRDefault="0039727B" w:rsidP="0039727B">
      <w:pPr>
        <w:spacing w:after="0" w:line="276" w:lineRule="auto"/>
        <w:jc w:val="both"/>
        <w:rPr>
          <w:rFonts w:ascii="Verdana" w:eastAsia="Calibri" w:hAnsi="Verdana" w:cs="Calibri"/>
          <w:lang w:val="es-MX"/>
        </w:rPr>
      </w:pPr>
    </w:p>
    <w:p w14:paraId="083E90D7" w14:textId="77777777" w:rsidR="0039727B" w:rsidRPr="0039727B" w:rsidRDefault="0039727B" w:rsidP="0039727B">
      <w:pPr>
        <w:numPr>
          <w:ilvl w:val="0"/>
          <w:numId w:val="21"/>
        </w:numPr>
        <w:spacing w:after="0" w:line="276" w:lineRule="auto"/>
        <w:contextualSpacing/>
        <w:jc w:val="both"/>
        <w:rPr>
          <w:rFonts w:ascii="Verdana" w:eastAsia="Calibri" w:hAnsi="Verdana" w:cs="Calibri"/>
          <w:bCs/>
          <w:lang w:val="es-MX"/>
        </w:rPr>
      </w:pPr>
      <w:r w:rsidRPr="0039727B">
        <w:rPr>
          <w:rFonts w:ascii="Verdana" w:eastAsia="Calibri" w:hAnsi="Verdana" w:cs="Calibri"/>
          <w:lang w:val="es-MX"/>
        </w:rPr>
        <w:t xml:space="preserve">En igual sentido, el literal B, del numeral </w:t>
      </w:r>
      <w:bookmarkStart w:id="1" w:name="_Toc107994829"/>
      <w:r w:rsidRPr="0039727B">
        <w:rPr>
          <w:rFonts w:ascii="Verdana" w:eastAsia="Calibri" w:hAnsi="Verdana" w:cs="Calibri"/>
          <w:lang w:val="es-MX"/>
        </w:rPr>
        <w:t xml:space="preserve">3.5.2. </w:t>
      </w:r>
      <w:r w:rsidRPr="0039727B">
        <w:rPr>
          <w:rFonts w:ascii="Verdana" w:eastAsia="Calibri" w:hAnsi="Verdana" w:cs="Calibri"/>
          <w:bCs/>
          <w:lang w:val="es-MX"/>
        </w:rPr>
        <w:t>CARACTERÍSTICAS DE LOS CONTRATOS PRESENTADOS PARA ACREDITAR LA EXPERIENCIA EXIGIDA</w:t>
      </w:r>
      <w:bookmarkEnd w:id="1"/>
      <w:r w:rsidRPr="0039727B">
        <w:rPr>
          <w:rFonts w:ascii="Verdana" w:eastAsia="Calibri" w:hAnsi="Verdana" w:cs="Calibri"/>
          <w:b/>
          <w:lang w:val="es-MX"/>
        </w:rPr>
        <w:t xml:space="preserve"> </w:t>
      </w:r>
      <w:r w:rsidRPr="0039727B">
        <w:rPr>
          <w:rFonts w:ascii="Verdana" w:eastAsia="Calibri" w:hAnsi="Verdana" w:cs="Calibri"/>
          <w:bCs/>
          <w:lang w:val="es-MX"/>
        </w:rPr>
        <w:t>del Documento Base indica, sobre los contratos que relacione el proponente para efectos de acreditar su experiencia en el proceso de selección respectivo:</w:t>
      </w:r>
    </w:p>
    <w:p w14:paraId="63474193" w14:textId="77777777" w:rsidR="0039727B" w:rsidRPr="0039727B" w:rsidRDefault="0039727B" w:rsidP="0039727B">
      <w:pPr>
        <w:spacing w:after="0" w:line="276" w:lineRule="auto"/>
        <w:jc w:val="both"/>
        <w:rPr>
          <w:rFonts w:ascii="Verdana" w:eastAsia="Calibri" w:hAnsi="Verdana" w:cs="Calibri"/>
          <w:bCs/>
          <w:lang w:val="es-MX"/>
        </w:rPr>
      </w:pPr>
    </w:p>
    <w:p w14:paraId="3FAB8A74"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r w:rsidRPr="0039727B">
        <w:rPr>
          <w:rFonts w:ascii="Verdana" w:eastAsia="Calibri" w:hAnsi="Verdana" w:cs="Calibri"/>
          <w:sz w:val="21"/>
          <w:szCs w:val="21"/>
          <w:lang w:val="es-MX"/>
        </w:rPr>
        <w:t>“B. Estar relacionados en el Formato 3 – Experiencia con el número consecutivo del contrato en el RUP. Los Proponentes Plurales deben indicar qué integrante aporta cada uno de los contratos señalados en el Formato 3 – Experiencia. Este documento debe presentarlo el Proponente Plural y no sus integrantes.</w:t>
      </w:r>
    </w:p>
    <w:p w14:paraId="32EB6D1E"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p>
    <w:p w14:paraId="0CC5DDBC"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r w:rsidRPr="0039727B">
        <w:rPr>
          <w:rFonts w:ascii="Verdana" w:eastAsia="Calibri" w:hAnsi="Verdana" w:cs="Calibri"/>
          <w:sz w:val="21"/>
          <w:szCs w:val="21"/>
          <w:lang w:val="es-MX"/>
        </w:rPr>
        <w:t>Si el Proponente no diligencia el Formato 3 – Experiencia, la Entidad pedirá su subsanación en los términos del numeral 1.6. En caso de que el oferente no subsane se tendrán en cuenta para la evaluación los cinco (5) contratos de mayor valor aportados. Con estos la Entidad verificará la acreditación de los requisitos de experiencia general y específica solicitados para la actividad principal, al igual que los requeridos para la actividad secundaria en atención a las combinaciones de experiencia aplicables y la experiencia exigida respecto de los bienes o servicios adicionales a la obra pública de infraestructura de transporte, en caso de que aplique.</w:t>
      </w:r>
    </w:p>
    <w:p w14:paraId="1DD833DD"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p>
    <w:p w14:paraId="0A4A7277"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r w:rsidRPr="0039727B">
        <w:rPr>
          <w:rFonts w:ascii="Verdana" w:eastAsia="Calibri" w:hAnsi="Verdana" w:cs="Calibri"/>
          <w:sz w:val="21"/>
          <w:szCs w:val="21"/>
          <w:lang w:val="es-MX"/>
        </w:rPr>
        <w:t>[…]</w:t>
      </w:r>
    </w:p>
    <w:p w14:paraId="6515F627"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p>
    <w:p w14:paraId="1691157B"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r w:rsidRPr="0039727B">
        <w:rPr>
          <w:rFonts w:ascii="Verdana" w:eastAsia="Calibri" w:hAnsi="Verdana" w:cs="Calibri"/>
          <w:sz w:val="21"/>
          <w:szCs w:val="21"/>
          <w:lang w:val="es-MX"/>
        </w:rPr>
        <w:t>El Formato 3 – Experiencia deberá aportarse diligenciado en formato Excel.”</w:t>
      </w:r>
    </w:p>
    <w:p w14:paraId="56F1C4F5" w14:textId="77777777" w:rsidR="0039727B" w:rsidRPr="0039727B" w:rsidRDefault="0039727B" w:rsidP="0039727B">
      <w:pPr>
        <w:spacing w:after="0" w:line="276" w:lineRule="auto"/>
        <w:jc w:val="both"/>
        <w:rPr>
          <w:rFonts w:ascii="Verdana" w:eastAsia="Calibri" w:hAnsi="Verdana" w:cs="Calibri"/>
          <w:bCs/>
          <w:lang w:val="es-MX"/>
        </w:rPr>
      </w:pPr>
    </w:p>
    <w:p w14:paraId="141DCA77" w14:textId="77777777" w:rsidR="0039727B" w:rsidRPr="0039727B" w:rsidRDefault="0039727B" w:rsidP="0039727B">
      <w:pPr>
        <w:keepNext/>
        <w:keepLines/>
        <w:numPr>
          <w:ilvl w:val="0"/>
          <w:numId w:val="21"/>
        </w:numPr>
        <w:spacing w:before="40" w:after="0" w:line="276" w:lineRule="auto"/>
        <w:contextualSpacing/>
        <w:jc w:val="both"/>
        <w:outlineLvl w:val="2"/>
        <w:rPr>
          <w:rFonts w:ascii="Verdana" w:eastAsia="Calibri" w:hAnsi="Verdana" w:cs="Calibri"/>
          <w:bCs/>
          <w:lang w:val="es-MX"/>
        </w:rPr>
      </w:pPr>
      <w:r w:rsidRPr="0039727B">
        <w:rPr>
          <w:rFonts w:ascii="Verdana" w:eastAsia="Calibri" w:hAnsi="Verdana" w:cs="Calibri"/>
          <w:bCs/>
          <w:lang w:val="es-MX"/>
        </w:rPr>
        <w:t>De otro lado, es importante resaltar que el numeral</w:t>
      </w:r>
      <w:r w:rsidRPr="0039727B">
        <w:rPr>
          <w:rFonts w:ascii="Verdana" w:eastAsia="Calibri" w:hAnsi="Verdana" w:cs="Calibri"/>
          <w:b/>
          <w:lang w:val="es-MX"/>
        </w:rPr>
        <w:t xml:space="preserve"> </w:t>
      </w:r>
      <w:r w:rsidRPr="0039727B">
        <w:rPr>
          <w:rFonts w:ascii="Verdana" w:eastAsia="Calibri" w:hAnsi="Verdana" w:cs="Calibri"/>
          <w:bCs/>
          <w:lang w:val="es-MX"/>
        </w:rPr>
        <w:t xml:space="preserve">3.5.6. </w:t>
      </w:r>
      <w:bookmarkStart w:id="2" w:name="_Toc107994833"/>
      <w:r w:rsidRPr="0039727B">
        <w:rPr>
          <w:rFonts w:ascii="Verdana" w:eastAsia="Calibri" w:hAnsi="Verdana" w:cs="Calibri"/>
          <w:bCs/>
          <w:lang w:val="es-MX"/>
        </w:rPr>
        <w:t>DOCUMENTOS VÁLIDOS PARA LA ACREDITACIÓN DE LA EXPERIENCIA REQUERIDA</w:t>
      </w:r>
      <w:bookmarkEnd w:id="2"/>
      <w:r w:rsidRPr="0039727B">
        <w:rPr>
          <w:rFonts w:ascii="Verdana" w:eastAsia="Calibri" w:hAnsi="Verdana" w:cs="Calibri"/>
          <w:bCs/>
          <w:lang w:val="es-MX"/>
        </w:rPr>
        <w:t xml:space="preserve"> del Documento Base, señala que:</w:t>
      </w:r>
    </w:p>
    <w:p w14:paraId="55ECFA71" w14:textId="77777777" w:rsidR="0039727B" w:rsidRPr="0039727B" w:rsidRDefault="0039727B" w:rsidP="0039727B">
      <w:pPr>
        <w:spacing w:after="0" w:line="276" w:lineRule="auto"/>
        <w:rPr>
          <w:rFonts w:ascii="Verdana" w:eastAsia="Calibri" w:hAnsi="Verdana" w:cs="Times New Roman"/>
          <w:lang w:val="es-MX"/>
        </w:rPr>
      </w:pPr>
    </w:p>
    <w:p w14:paraId="7F509844"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r w:rsidRPr="0039727B">
        <w:rPr>
          <w:rFonts w:ascii="Verdana" w:eastAsia="Calibri" w:hAnsi="Verdana" w:cs="Calibri"/>
          <w:sz w:val="21"/>
          <w:szCs w:val="21"/>
          <w:lang w:val="es-MX"/>
        </w:rPr>
        <w:t>“En aquellos casos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w:t>
      </w:r>
    </w:p>
    <w:p w14:paraId="51EE5307" w14:textId="77777777" w:rsidR="0039727B" w:rsidRPr="0039727B" w:rsidRDefault="0039727B" w:rsidP="0039727B">
      <w:pPr>
        <w:spacing w:after="0" w:line="276" w:lineRule="auto"/>
        <w:rPr>
          <w:rFonts w:ascii="Verdana" w:eastAsia="Times New Roman" w:hAnsi="Verdana" w:cs="Times New Roman"/>
          <w:lang w:val="es-MX"/>
        </w:rPr>
      </w:pPr>
    </w:p>
    <w:p w14:paraId="3EF403CB" w14:textId="77777777" w:rsidR="0039727B" w:rsidRPr="0039727B" w:rsidRDefault="0039727B" w:rsidP="0039727B">
      <w:pPr>
        <w:numPr>
          <w:ilvl w:val="0"/>
          <w:numId w:val="21"/>
        </w:numPr>
        <w:spacing w:after="0" w:line="276" w:lineRule="auto"/>
        <w:contextualSpacing/>
        <w:jc w:val="both"/>
        <w:rPr>
          <w:rFonts w:ascii="Verdana" w:eastAsia="Calibri" w:hAnsi="Verdana" w:cs="Calibri"/>
          <w:lang w:val="es-MX"/>
        </w:rPr>
      </w:pPr>
      <w:r w:rsidRPr="0039727B">
        <w:rPr>
          <w:rFonts w:ascii="Verdana" w:eastAsia="Calibri" w:hAnsi="Verdana" w:cs="Calibri"/>
          <w:lang w:val="es-MX"/>
        </w:rPr>
        <w:lastRenderedPageBreak/>
        <w:t>De los anteriores apartes del Documento Base, se puede inferir que la presentación de Anexo 1 – Certificación de contratos de la Guía, se debe presentar en los eventos en que la información contenida en el RUP no sea suficiente, o cuando se incluya en los formatos de experiencia, contratos o información no relacionada en el RUP, que deba ser objeto de verificación por parte de las entidades en el proceso de selección que se adelante.</w:t>
      </w:r>
    </w:p>
    <w:p w14:paraId="32424AD4" w14:textId="77777777" w:rsidR="0039727B" w:rsidRPr="0039727B" w:rsidRDefault="0039727B" w:rsidP="0039727B">
      <w:pPr>
        <w:spacing w:after="0" w:line="276" w:lineRule="auto"/>
        <w:jc w:val="both"/>
        <w:rPr>
          <w:rFonts w:ascii="Verdana" w:eastAsia="Calibri" w:hAnsi="Verdana" w:cs="Calibri"/>
          <w:lang w:val="es-MX"/>
        </w:rPr>
      </w:pPr>
    </w:p>
    <w:p w14:paraId="343D76D1" w14:textId="77777777" w:rsidR="0039727B" w:rsidRPr="0039727B" w:rsidRDefault="0039727B" w:rsidP="0039727B">
      <w:pPr>
        <w:numPr>
          <w:ilvl w:val="0"/>
          <w:numId w:val="21"/>
        </w:numPr>
        <w:spacing w:after="0" w:line="276" w:lineRule="auto"/>
        <w:contextualSpacing/>
        <w:jc w:val="both"/>
        <w:rPr>
          <w:rFonts w:ascii="Verdana" w:eastAsia="Calibri" w:hAnsi="Verdana" w:cs="Calibri"/>
          <w:lang w:val="es-MX"/>
        </w:rPr>
      </w:pPr>
      <w:r w:rsidRPr="0039727B">
        <w:rPr>
          <w:rFonts w:ascii="Verdana" w:eastAsia="Calibri" w:hAnsi="Verdana" w:cs="Calibri"/>
          <w:lang w:val="es-MX"/>
        </w:rPr>
        <w:t xml:space="preserve">Con respecto a los contratos que se pretendan acreditar para efectos de calcular la Capacidad Residual de contratación en el factor Experiencia, el Documento Base establece lo siguiente, </w:t>
      </w:r>
      <w:r w:rsidRPr="0039727B">
        <w:rPr>
          <w:rFonts w:ascii="Verdana" w:eastAsia="Calibri" w:hAnsi="Verdana" w:cs="Calibri"/>
        </w:rPr>
        <w:t xml:space="preserve">de acuerdo con el literal B – Experiencia del numeral 3.10.2.: </w:t>
      </w:r>
    </w:p>
    <w:p w14:paraId="3503F490" w14:textId="77777777" w:rsidR="0039727B" w:rsidRPr="0039727B" w:rsidRDefault="0039727B" w:rsidP="0039727B">
      <w:pPr>
        <w:spacing w:after="0" w:line="276" w:lineRule="auto"/>
        <w:ind w:left="709" w:right="709"/>
        <w:jc w:val="both"/>
        <w:rPr>
          <w:rFonts w:ascii="Verdana" w:eastAsia="Calibri" w:hAnsi="Verdana" w:cs="Calibri"/>
        </w:rPr>
      </w:pPr>
    </w:p>
    <w:p w14:paraId="73C9FA79"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r w:rsidRPr="0039727B">
        <w:rPr>
          <w:rFonts w:ascii="Verdana" w:eastAsia="Calibri" w:hAnsi="Verdana" w:cs="Calibri"/>
          <w:sz w:val="21"/>
          <w:szCs w:val="21"/>
        </w:rPr>
        <w:t xml:space="preserve">“[…] para propósitos de la capacidad residual es acreditado por medio de la relación entre: i) el valor total en pesos de los contratos relacionados con la actividad de la construcción inscritos por el Proponente en el RUP, o Formato 5 – Capacidad residual en el segmento 72 “Servicios de Edificación, Construcción de Instalaciones y Mantenimiento” del Clasificador de Bienes y Servicios; y ii) el presupuesto oficial estimado del proceso de contratación.” </w:t>
      </w:r>
    </w:p>
    <w:p w14:paraId="269ADCB5" w14:textId="77777777" w:rsidR="0039727B" w:rsidRPr="0039727B" w:rsidRDefault="0039727B" w:rsidP="0039727B">
      <w:pPr>
        <w:spacing w:after="0" w:line="276" w:lineRule="auto"/>
        <w:jc w:val="both"/>
        <w:rPr>
          <w:rFonts w:ascii="Verdana" w:eastAsia="Calibri" w:hAnsi="Verdana" w:cs="Calibri"/>
        </w:rPr>
      </w:pPr>
    </w:p>
    <w:p w14:paraId="1E11E333" w14:textId="77777777" w:rsidR="0039727B" w:rsidRPr="0039727B" w:rsidRDefault="0039727B" w:rsidP="0039727B">
      <w:pPr>
        <w:numPr>
          <w:ilvl w:val="0"/>
          <w:numId w:val="22"/>
        </w:numPr>
        <w:spacing w:after="0" w:line="276" w:lineRule="auto"/>
        <w:contextualSpacing/>
        <w:jc w:val="both"/>
        <w:rPr>
          <w:rFonts w:ascii="Verdana" w:eastAsia="Calibri" w:hAnsi="Verdana" w:cs="Calibri"/>
        </w:rPr>
      </w:pPr>
      <w:r w:rsidRPr="0039727B">
        <w:rPr>
          <w:rFonts w:ascii="Verdana" w:eastAsia="Calibri" w:hAnsi="Verdana" w:cs="Calibri"/>
        </w:rPr>
        <w:t>En este sentido, los contratos que se pretendan acreditar para efectos de su cálculo deben estar inscritos en el RUP o descritos en el Formato 5 de Capacidad Residual, tal como lo señala el Documento Base:</w:t>
      </w:r>
    </w:p>
    <w:p w14:paraId="2F45CE08" w14:textId="77777777" w:rsidR="0039727B" w:rsidRPr="0039727B" w:rsidRDefault="0039727B" w:rsidP="0039727B">
      <w:pPr>
        <w:spacing w:after="0" w:line="276" w:lineRule="auto"/>
        <w:jc w:val="both"/>
        <w:rPr>
          <w:rFonts w:ascii="Verdana" w:eastAsia="Calibri" w:hAnsi="Verdana" w:cs="Calibri"/>
          <w:lang w:val="es-MX"/>
        </w:rPr>
      </w:pPr>
    </w:p>
    <w:p w14:paraId="23FDCCB8"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r w:rsidRPr="0039727B">
        <w:rPr>
          <w:rFonts w:ascii="Verdana" w:eastAsia="Calibri" w:hAnsi="Verdana" w:cs="Calibri"/>
          <w:sz w:val="21"/>
          <w:szCs w:val="21"/>
          <w:lang w:val="es-MX"/>
        </w:rPr>
        <w:t>“Para acreditar el factor (E), el proponente debe diligenciar el Formato 5 – Capacidad residual el cual contiene los contratos inscritos en el segmento 72 y su valor total en pesos colombianos liquidados con el SMMLV. Así mismo, el presupuesto oficial estimado debe ser liquidado con el SMMLV para el año de publicación del pliego de condiciones definitivo del proceso de contratación.”</w:t>
      </w:r>
    </w:p>
    <w:p w14:paraId="5AA37114" w14:textId="77777777" w:rsidR="0039727B" w:rsidRPr="0039727B" w:rsidRDefault="0039727B" w:rsidP="0039727B">
      <w:pPr>
        <w:spacing w:after="0" w:line="276" w:lineRule="auto"/>
        <w:jc w:val="both"/>
        <w:rPr>
          <w:rFonts w:ascii="Verdana" w:eastAsia="Calibri" w:hAnsi="Verdana" w:cs="Calibri"/>
          <w:lang w:val="es-MX"/>
        </w:rPr>
      </w:pPr>
    </w:p>
    <w:p w14:paraId="4B35FBFC" w14:textId="77777777" w:rsidR="0039727B" w:rsidRPr="0039727B" w:rsidRDefault="0039727B" w:rsidP="0039727B">
      <w:pPr>
        <w:numPr>
          <w:ilvl w:val="0"/>
          <w:numId w:val="22"/>
        </w:numPr>
        <w:spacing w:after="0" w:line="276" w:lineRule="auto"/>
        <w:contextualSpacing/>
        <w:jc w:val="both"/>
        <w:rPr>
          <w:rFonts w:ascii="Verdana" w:eastAsia="Calibri" w:hAnsi="Verdana" w:cs="Calibri"/>
          <w:lang w:val="es-MX"/>
        </w:rPr>
      </w:pPr>
      <w:r w:rsidRPr="0039727B">
        <w:rPr>
          <w:rFonts w:ascii="Verdana" w:eastAsia="Calibri" w:hAnsi="Verdana" w:cs="Calibri"/>
          <w:lang w:val="es-MX"/>
        </w:rPr>
        <w:t>Este Anexo incluye los siguientes aspectos necesarios para calcular la capacidad residual del oferente: a) contratos inscritos en el segmento 72; b) Porcentaje de participación en el evento de proponente plural, y c) Valor de los contratos ejecutados.</w:t>
      </w:r>
    </w:p>
    <w:p w14:paraId="7110C5B7" w14:textId="77777777" w:rsidR="0039727B" w:rsidRPr="0039727B" w:rsidRDefault="0039727B" w:rsidP="0039727B">
      <w:pPr>
        <w:spacing w:after="0" w:line="276" w:lineRule="auto"/>
        <w:jc w:val="both"/>
        <w:rPr>
          <w:rFonts w:ascii="Verdana" w:eastAsia="Calibri" w:hAnsi="Verdana" w:cs="Calibri"/>
          <w:lang w:val="es-MX"/>
        </w:rPr>
      </w:pPr>
    </w:p>
    <w:p w14:paraId="2B7DEF26" w14:textId="77777777" w:rsidR="0039727B" w:rsidRPr="0039727B" w:rsidRDefault="0039727B" w:rsidP="0039727B">
      <w:pPr>
        <w:spacing w:after="0" w:line="276" w:lineRule="auto"/>
        <w:jc w:val="center"/>
        <w:rPr>
          <w:rFonts w:ascii="Verdana" w:eastAsia="Calibri" w:hAnsi="Verdana" w:cs="Calibri"/>
          <w:lang w:val="es-MX"/>
        </w:rPr>
      </w:pPr>
      <w:r w:rsidRPr="0039727B">
        <w:rPr>
          <w:rFonts w:ascii="Verdana" w:eastAsia="Calibri" w:hAnsi="Verdana" w:cs="Calibri"/>
          <w:noProof/>
          <w:lang w:val="es-MX"/>
        </w:rPr>
        <w:lastRenderedPageBreak/>
        <w:drawing>
          <wp:inline distT="0" distB="0" distL="0" distR="0" wp14:anchorId="5BFB8E3F" wp14:editId="5C8CE2D3">
            <wp:extent cx="4114859" cy="1928495"/>
            <wp:effectExtent l="0" t="0" r="0" b="1905"/>
            <wp:docPr id="204335099"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5099" name="Imagen 2" descr="Tabla&#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4133369" cy="1937170"/>
                    </a:xfrm>
                    <a:prstGeom prst="rect">
                      <a:avLst/>
                    </a:prstGeom>
                  </pic:spPr>
                </pic:pic>
              </a:graphicData>
            </a:graphic>
          </wp:inline>
        </w:drawing>
      </w:r>
    </w:p>
    <w:p w14:paraId="194C4D6A" w14:textId="77777777" w:rsidR="0039727B" w:rsidRPr="0039727B" w:rsidRDefault="0039727B" w:rsidP="0039727B">
      <w:pPr>
        <w:spacing w:after="0" w:line="276" w:lineRule="auto"/>
        <w:contextualSpacing/>
        <w:jc w:val="both"/>
        <w:rPr>
          <w:rFonts w:ascii="Verdana" w:eastAsia="Calibri" w:hAnsi="Verdana" w:cs="Calibri"/>
          <w:lang w:val="es-MX"/>
        </w:rPr>
      </w:pPr>
    </w:p>
    <w:p w14:paraId="1F428F5C" w14:textId="77777777" w:rsidR="0039727B" w:rsidRPr="0039727B" w:rsidRDefault="0039727B" w:rsidP="0039727B">
      <w:pPr>
        <w:numPr>
          <w:ilvl w:val="0"/>
          <w:numId w:val="22"/>
        </w:numPr>
        <w:spacing w:after="0" w:line="276" w:lineRule="auto"/>
        <w:contextualSpacing/>
        <w:jc w:val="both"/>
        <w:rPr>
          <w:rFonts w:ascii="Verdana" w:eastAsia="Calibri" w:hAnsi="Verdana" w:cs="Calibri"/>
          <w:lang w:val="es-MX"/>
        </w:rPr>
      </w:pPr>
      <w:r w:rsidRPr="0039727B">
        <w:rPr>
          <w:rFonts w:ascii="Verdana" w:eastAsia="Calibri" w:hAnsi="Verdana" w:cs="Calibri"/>
          <w:lang w:val="es-MX"/>
        </w:rPr>
        <w:t xml:space="preserve">Por otra parte, en el Formato 5 de Capacidad Residual que se incluye en los documentos tipo, particularmente los del sector transporte, se establece lo siguiente: </w:t>
      </w:r>
    </w:p>
    <w:p w14:paraId="57828A92" w14:textId="77777777" w:rsidR="0039727B" w:rsidRPr="0039727B" w:rsidRDefault="0039727B" w:rsidP="0039727B">
      <w:pPr>
        <w:spacing w:after="0" w:line="276" w:lineRule="auto"/>
        <w:jc w:val="both"/>
        <w:rPr>
          <w:rFonts w:ascii="Verdana" w:eastAsia="Calibri" w:hAnsi="Verdana" w:cs="Calibri"/>
          <w:lang w:val="es-MX"/>
        </w:rPr>
      </w:pPr>
    </w:p>
    <w:p w14:paraId="460AEE30"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r w:rsidRPr="0039727B">
        <w:rPr>
          <w:rFonts w:ascii="Verdana" w:eastAsia="Calibri" w:hAnsi="Verdana" w:cs="Calibri"/>
          <w:sz w:val="21"/>
          <w:szCs w:val="21"/>
          <w:lang w:val="es-MX"/>
        </w:rPr>
        <w:t>“[La entidad estatal deberá estructurar los formatos para la verificación de la capacidad residual utlizando los formatos y la metodología señalada en la "Guía para Determinar y Verificar la Capacidad Residual del Proponente en los Procesos de Contratación de Obra Pública" de la Agencia Nacional de Contratación Pública - Colombia Compra Eficiente]”</w:t>
      </w:r>
    </w:p>
    <w:p w14:paraId="2C60778A" w14:textId="77777777" w:rsidR="0039727B" w:rsidRPr="0039727B" w:rsidRDefault="0039727B" w:rsidP="0039727B">
      <w:pPr>
        <w:spacing w:after="0" w:line="276" w:lineRule="auto"/>
        <w:jc w:val="both"/>
        <w:rPr>
          <w:rFonts w:ascii="Verdana" w:eastAsia="Calibri" w:hAnsi="Verdana" w:cs="Calibri"/>
          <w:lang w:val="es-MX"/>
        </w:rPr>
      </w:pPr>
    </w:p>
    <w:p w14:paraId="0BD6A348" w14:textId="77777777" w:rsidR="0039727B" w:rsidRPr="0039727B" w:rsidRDefault="0039727B" w:rsidP="0039727B">
      <w:pPr>
        <w:numPr>
          <w:ilvl w:val="0"/>
          <w:numId w:val="22"/>
        </w:numPr>
        <w:spacing w:after="0" w:line="276" w:lineRule="auto"/>
        <w:contextualSpacing/>
        <w:jc w:val="both"/>
        <w:rPr>
          <w:rFonts w:ascii="Verdana" w:eastAsia="Calibri" w:hAnsi="Verdana" w:cs="Calibri"/>
          <w:lang w:val="es-MX"/>
        </w:rPr>
      </w:pPr>
      <w:r w:rsidRPr="0039727B">
        <w:rPr>
          <w:rFonts w:ascii="Verdana" w:eastAsia="Calibri" w:hAnsi="Verdana" w:cs="Calibri"/>
          <w:lang w:val="es-MX"/>
        </w:rPr>
        <w:t>En consecuencia, las entidades, en los eventos en que lo requieran, podrán optar por utilizar los anexos incluidos en la Guía para el cálculo de la capacidad residual, como el caso del Anexo 1, o incluir los formatos que la entidad considere y que incluyan la información necesaria para el cálculo respectivo.</w:t>
      </w:r>
    </w:p>
    <w:p w14:paraId="4442B2D5" w14:textId="77777777" w:rsidR="0039727B" w:rsidRPr="0039727B" w:rsidRDefault="0039727B" w:rsidP="0039727B">
      <w:pPr>
        <w:spacing w:after="0" w:line="276" w:lineRule="auto"/>
        <w:jc w:val="both"/>
        <w:rPr>
          <w:rFonts w:ascii="Verdana" w:eastAsia="Calibri" w:hAnsi="Verdana" w:cs="Calibri"/>
          <w:lang w:val="es-MX"/>
        </w:rPr>
      </w:pPr>
    </w:p>
    <w:p w14:paraId="4DD37FA0" w14:textId="77777777" w:rsidR="0039727B" w:rsidRPr="0039727B" w:rsidRDefault="0039727B" w:rsidP="0039727B">
      <w:pPr>
        <w:numPr>
          <w:ilvl w:val="0"/>
          <w:numId w:val="22"/>
        </w:numPr>
        <w:spacing w:after="0" w:line="276" w:lineRule="auto"/>
        <w:contextualSpacing/>
        <w:jc w:val="both"/>
        <w:rPr>
          <w:rFonts w:ascii="Verdana" w:eastAsia="Calibri" w:hAnsi="Verdana" w:cs="Calibri"/>
          <w:lang w:val="es-MX"/>
        </w:rPr>
      </w:pPr>
      <w:r w:rsidRPr="0039727B">
        <w:rPr>
          <w:rFonts w:ascii="Verdana" w:eastAsia="Calibri" w:hAnsi="Verdana" w:cs="Calibri"/>
          <w:lang w:val="es-MX"/>
        </w:rPr>
        <w:t>Adicionalmente, la Guía de Capacidad Residual establece:</w:t>
      </w:r>
    </w:p>
    <w:p w14:paraId="45D40CB1" w14:textId="77777777" w:rsidR="0039727B" w:rsidRPr="0039727B" w:rsidRDefault="0039727B" w:rsidP="0039727B">
      <w:pPr>
        <w:spacing w:after="0" w:line="276" w:lineRule="auto"/>
        <w:jc w:val="both"/>
        <w:rPr>
          <w:rFonts w:ascii="Verdana" w:eastAsia="Calibri" w:hAnsi="Verdana" w:cs="Calibri"/>
          <w:lang w:val="es-MX"/>
        </w:rPr>
      </w:pPr>
    </w:p>
    <w:p w14:paraId="72F7CDE5"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r w:rsidRPr="0039727B">
        <w:rPr>
          <w:rFonts w:ascii="Verdana" w:eastAsia="Calibri" w:hAnsi="Verdana" w:cs="Calibri"/>
          <w:sz w:val="21"/>
          <w:szCs w:val="21"/>
          <w:lang w:val="es-MX"/>
        </w:rPr>
        <w:t>“Para acreditar el factor de Experiencia (E), el proponente debe diligenciar su información en el formato establecido por la Entidad Estatal para tal fin. No obstante, en el Anexo 1 de esta guía se sugiere un modelo para ser tenido en cuenta. Dicho Anexo contiene los contratos inscritos en el segmento 72 y su valor total en pesos colombianos liquidados con el SMMLV. Asimismo, el presupuesto oficial estimado debe liquidarse con el SMMLV para el año de publicación del pliego de condiciones definitivo del Proceso de Contratación.”</w:t>
      </w:r>
    </w:p>
    <w:p w14:paraId="27A2C41A" w14:textId="77777777" w:rsidR="0039727B" w:rsidRPr="0039727B" w:rsidRDefault="0039727B" w:rsidP="0039727B">
      <w:pPr>
        <w:spacing w:after="0" w:line="276" w:lineRule="auto"/>
        <w:ind w:left="720"/>
        <w:contextualSpacing/>
        <w:jc w:val="both"/>
        <w:rPr>
          <w:rFonts w:ascii="Verdana" w:eastAsia="Calibri" w:hAnsi="Verdana" w:cs="Calibri"/>
          <w:lang w:val="es-MX"/>
        </w:rPr>
      </w:pPr>
    </w:p>
    <w:p w14:paraId="2A49E14E" w14:textId="77777777" w:rsidR="0039727B" w:rsidRPr="0039727B" w:rsidRDefault="0039727B" w:rsidP="0039727B">
      <w:pPr>
        <w:numPr>
          <w:ilvl w:val="0"/>
          <w:numId w:val="23"/>
        </w:numPr>
        <w:spacing w:after="0" w:line="276" w:lineRule="auto"/>
        <w:contextualSpacing/>
        <w:jc w:val="both"/>
        <w:rPr>
          <w:rFonts w:ascii="Verdana" w:eastAsia="Calibri" w:hAnsi="Verdana" w:cs="Calibri"/>
          <w:lang w:val="es-MX"/>
        </w:rPr>
      </w:pPr>
      <w:r w:rsidRPr="0039727B">
        <w:rPr>
          <w:rFonts w:ascii="Verdana" w:eastAsia="Calibri" w:hAnsi="Verdana" w:cs="Calibri"/>
          <w:lang w:val="es-MX"/>
        </w:rPr>
        <w:lastRenderedPageBreak/>
        <w:t xml:space="preserve">Como ya se indicó, el Anexo 1 es una sugerencia que se brinda en la Guía, para efectos de incluir la experiencia de los proponentes en el cálculo de la capacidad residual. Esto significa que las entidades podrán optar o no por los formatos incluidos en la Guía. </w:t>
      </w:r>
    </w:p>
    <w:p w14:paraId="6F55283A" w14:textId="77777777" w:rsidR="0039727B" w:rsidRPr="0039727B" w:rsidRDefault="0039727B" w:rsidP="0039727B">
      <w:pPr>
        <w:spacing w:after="0" w:line="276" w:lineRule="auto"/>
        <w:jc w:val="both"/>
        <w:rPr>
          <w:rFonts w:ascii="Verdana" w:eastAsia="Calibri" w:hAnsi="Verdana" w:cs="Calibri"/>
          <w:lang w:val="es-MX" w:eastAsia="es-ES_tradnl"/>
        </w:rPr>
      </w:pPr>
    </w:p>
    <w:p w14:paraId="30F5306F" w14:textId="77777777" w:rsidR="0039727B" w:rsidRPr="0039727B" w:rsidRDefault="0039727B" w:rsidP="0039727B">
      <w:pPr>
        <w:numPr>
          <w:ilvl w:val="0"/>
          <w:numId w:val="23"/>
        </w:numPr>
        <w:spacing w:after="0" w:line="276" w:lineRule="auto"/>
        <w:contextualSpacing/>
        <w:jc w:val="both"/>
        <w:rPr>
          <w:rFonts w:ascii="Verdana" w:eastAsia="Calibri" w:hAnsi="Verdana" w:cs="Calibri"/>
          <w:bCs/>
          <w:lang w:val="es-MX"/>
        </w:rPr>
      </w:pPr>
      <w:r w:rsidRPr="0039727B">
        <w:rPr>
          <w:rFonts w:ascii="Verdana" w:eastAsia="Times New Roman" w:hAnsi="Verdana" w:cs="Calibri"/>
          <w:lang w:val="es-MX" w:eastAsia="es-ES_tradnl"/>
        </w:rPr>
        <w:t>Finalmente, d</w:t>
      </w:r>
      <w:r w:rsidRPr="0039727B">
        <w:rPr>
          <w:rFonts w:ascii="Verdana" w:eastAsia="Calibri" w:hAnsi="Verdana" w:cs="Calibri"/>
          <w:lang w:val="es-MX"/>
        </w:rPr>
        <w:t xml:space="preserve">e acuerdo con lo consignado en el numeral </w:t>
      </w:r>
      <w:bookmarkStart w:id="3" w:name="_Toc107994784"/>
      <w:r w:rsidRPr="0039727B">
        <w:rPr>
          <w:rFonts w:ascii="Verdana" w:eastAsia="Calibri" w:hAnsi="Verdana" w:cs="Calibri"/>
          <w:lang w:val="es-MX"/>
        </w:rPr>
        <w:t xml:space="preserve">1.6. </w:t>
      </w:r>
      <w:r w:rsidRPr="0039727B">
        <w:rPr>
          <w:rFonts w:ascii="Verdana" w:eastAsia="Calibri" w:hAnsi="Verdana" w:cs="Calibri"/>
          <w:bCs/>
          <w:lang w:val="es-MX"/>
        </w:rPr>
        <w:t>REGLAS DE SUBSANABILIDAD, EXPLICACIONES Y ACLARACIONES</w:t>
      </w:r>
      <w:bookmarkEnd w:id="3"/>
      <w:r w:rsidRPr="0039727B">
        <w:rPr>
          <w:rFonts w:ascii="Verdana" w:eastAsia="Calibri" w:hAnsi="Verdana" w:cs="Calibri"/>
          <w:bCs/>
          <w:lang w:val="es-MX"/>
        </w:rPr>
        <w:t>:</w:t>
      </w:r>
    </w:p>
    <w:p w14:paraId="494FD370" w14:textId="77777777" w:rsidR="0039727B" w:rsidRPr="0039727B" w:rsidRDefault="0039727B" w:rsidP="0039727B">
      <w:pPr>
        <w:spacing w:after="0" w:line="276" w:lineRule="auto"/>
        <w:ind w:left="720"/>
        <w:contextualSpacing/>
        <w:jc w:val="both"/>
        <w:rPr>
          <w:rFonts w:ascii="Verdana" w:eastAsia="Calibri" w:hAnsi="Verdana" w:cs="Calibri"/>
          <w:b/>
          <w:lang w:val="es-MX"/>
        </w:rPr>
      </w:pPr>
    </w:p>
    <w:p w14:paraId="166F439C"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r w:rsidRPr="0039727B">
        <w:rPr>
          <w:rFonts w:ascii="Verdana" w:eastAsia="Calibri" w:hAnsi="Verdana" w:cs="Calibri"/>
          <w:sz w:val="21"/>
          <w:szCs w:val="21"/>
          <w:lang w:val="es-MX"/>
        </w:rPr>
        <w:t>“[…]</w:t>
      </w:r>
    </w:p>
    <w:p w14:paraId="45817BEE"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r w:rsidRPr="0039727B">
        <w:rPr>
          <w:rFonts w:ascii="Verdana" w:eastAsia="Calibri" w:hAnsi="Verdana" w:cs="Calibri"/>
          <w:sz w:val="21"/>
          <w:szCs w:val="21"/>
          <w:lang w:val="es-MX"/>
        </w:rPr>
        <w:t xml:space="preserve">En caso de ser necesario, la entidad debe solicitar a los proponentes durante el proceso de evaluación, y a más tardar en el informe de evaluación, las aclaraciones, precisiones o solicitud </w:t>
      </w:r>
      <w:r w:rsidRPr="0039727B">
        <w:rPr>
          <w:rFonts w:ascii="Verdana" w:eastAsia="Calibri" w:hAnsi="Verdana" w:cs="Calibri"/>
          <w:sz w:val="21"/>
          <w:szCs w:val="21"/>
          <w:u w:val="single"/>
          <w:lang w:val="es-MX"/>
        </w:rPr>
        <w:t>de documentos que puedan ser subsanables</w:t>
      </w:r>
      <w:r w:rsidRPr="0039727B">
        <w:rPr>
          <w:rFonts w:ascii="Verdana" w:eastAsia="Calibri" w:hAnsi="Verdana" w:cs="Calibri"/>
          <w:sz w:val="21"/>
          <w:szCs w:val="21"/>
          <w:lang w:val="es-MX"/>
        </w:rPr>
        <w:t>.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(Subrayado fuera de texto).</w:t>
      </w:r>
    </w:p>
    <w:p w14:paraId="137C4583"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r w:rsidRPr="0039727B">
        <w:rPr>
          <w:rFonts w:ascii="Verdana" w:eastAsia="Calibri" w:hAnsi="Verdana" w:cs="Calibri"/>
          <w:sz w:val="21"/>
          <w:szCs w:val="21"/>
          <w:lang w:val="es-MX"/>
        </w:rPr>
        <w:t>[…]</w:t>
      </w:r>
    </w:p>
    <w:p w14:paraId="21836338" w14:textId="77777777" w:rsidR="0039727B" w:rsidRPr="0039727B" w:rsidRDefault="0039727B" w:rsidP="0039727B">
      <w:pPr>
        <w:spacing w:after="0" w:line="240" w:lineRule="auto"/>
        <w:ind w:left="709" w:right="709"/>
        <w:jc w:val="both"/>
        <w:rPr>
          <w:rFonts w:ascii="Verdana" w:eastAsia="Calibri" w:hAnsi="Verdana" w:cs="Calibri"/>
          <w:sz w:val="21"/>
          <w:szCs w:val="21"/>
          <w:lang w:val="es-MX"/>
        </w:rPr>
      </w:pPr>
      <w:r w:rsidRPr="0039727B">
        <w:rPr>
          <w:rFonts w:ascii="Verdana" w:eastAsia="Calibri" w:hAnsi="Verdana" w:cs="Calibri"/>
          <w:sz w:val="21"/>
          <w:szCs w:val="21"/>
          <w:lang w:val="es-MX"/>
        </w:rPr>
        <w:t>Todos aquellos requisitos de la oferta que afecten la asignación de puntaje, incluyendo los necesarios para acreditar requisitos de desempate, no son subsanables, por lo que los mismos deben ser aportados por los proponentes desde la presentación de la oferta. No obstante, pueden ser aclarados o ser objeto de explicación.”</w:t>
      </w:r>
    </w:p>
    <w:p w14:paraId="488230C3" w14:textId="77777777" w:rsidR="0039727B" w:rsidRPr="0039727B" w:rsidRDefault="0039727B" w:rsidP="0039727B">
      <w:pPr>
        <w:spacing w:after="0" w:line="276" w:lineRule="auto"/>
        <w:ind w:left="720"/>
        <w:contextualSpacing/>
        <w:jc w:val="both"/>
        <w:rPr>
          <w:rFonts w:ascii="Verdana" w:eastAsia="Calibri" w:hAnsi="Verdana" w:cs="Calibri"/>
          <w:lang w:val="es-MX"/>
        </w:rPr>
      </w:pPr>
    </w:p>
    <w:p w14:paraId="45958560" w14:textId="77777777" w:rsidR="0039727B" w:rsidRPr="0039727B" w:rsidRDefault="0039727B" w:rsidP="0039727B">
      <w:pPr>
        <w:numPr>
          <w:ilvl w:val="0"/>
          <w:numId w:val="24"/>
        </w:numPr>
        <w:spacing w:after="0" w:line="276" w:lineRule="auto"/>
        <w:contextualSpacing/>
        <w:jc w:val="both"/>
        <w:rPr>
          <w:rFonts w:ascii="Verdana" w:eastAsia="Calibri" w:hAnsi="Verdana" w:cs="Calibri"/>
          <w:lang w:val="es-MX"/>
        </w:rPr>
      </w:pPr>
      <w:r w:rsidRPr="0039727B">
        <w:rPr>
          <w:rFonts w:ascii="Verdana" w:eastAsia="Calibri" w:hAnsi="Verdana" w:cs="Calibri"/>
          <w:lang w:val="es-MX"/>
        </w:rPr>
        <w:t xml:space="preserve">En tal sentido, las entidades podrán solicitar aclaraciones respecto de la información contenida en el Anexo 1 y la consignada en el RUP. Sin embargo, si los proponentes no presentan las aclaraciones respectivas, según lo consignado en el numeral </w:t>
      </w:r>
      <w:bookmarkStart w:id="4" w:name="_Toc107994793"/>
      <w:r w:rsidRPr="0039727B">
        <w:rPr>
          <w:rFonts w:ascii="Verdana" w:eastAsia="Calibri" w:hAnsi="Verdana" w:cs="Calibri"/>
          <w:lang w:val="es-MX"/>
        </w:rPr>
        <w:t>1.15 CAUSALES DE RECHAZ</w:t>
      </w:r>
      <w:bookmarkEnd w:id="4"/>
      <w:r w:rsidRPr="0039727B">
        <w:rPr>
          <w:rFonts w:ascii="Verdana" w:eastAsia="Calibri" w:hAnsi="Verdana" w:cs="Calibri"/>
          <w:lang w:val="es-MX"/>
        </w:rPr>
        <w:t>O del Documento Base, se establece en sus literales E y Z, como causales de rechazo de las ofertas, que:</w:t>
      </w:r>
    </w:p>
    <w:p w14:paraId="142A9A3B" w14:textId="77777777" w:rsidR="0039727B" w:rsidRPr="0039727B" w:rsidRDefault="0039727B" w:rsidP="0039727B">
      <w:pPr>
        <w:spacing w:after="0" w:line="276" w:lineRule="auto"/>
        <w:ind w:left="720"/>
        <w:contextualSpacing/>
        <w:jc w:val="both"/>
        <w:rPr>
          <w:rFonts w:ascii="Verdana" w:eastAsia="Calibri" w:hAnsi="Verdana" w:cs="Calibri"/>
          <w:lang w:val="es-MX"/>
        </w:rPr>
      </w:pPr>
    </w:p>
    <w:p w14:paraId="416B818E" w14:textId="51239462" w:rsidR="0039727B" w:rsidRPr="0039727B" w:rsidRDefault="0039727B" w:rsidP="0039727B">
      <w:pPr>
        <w:spacing w:after="0" w:line="240" w:lineRule="auto"/>
        <w:ind w:left="709" w:right="709"/>
        <w:jc w:val="both"/>
        <w:rPr>
          <w:rFonts w:ascii="Verdana" w:eastAsia="Calibri" w:hAnsi="Verdana" w:cs="Calibri"/>
          <w:bCs/>
          <w:sz w:val="21"/>
          <w:szCs w:val="21"/>
          <w:lang w:val="es-MX"/>
        </w:rPr>
      </w:pPr>
      <w:r w:rsidRPr="0039727B">
        <w:rPr>
          <w:rFonts w:ascii="Verdana" w:eastAsia="Calibri" w:hAnsi="Verdana" w:cs="Calibri"/>
          <w:bCs/>
          <w:sz w:val="21"/>
          <w:szCs w:val="21"/>
          <w:lang w:val="es-MX"/>
        </w:rPr>
        <w:t>“E. Que el proponente no aclare, subsane o aporte documentos necesarios para cumplir un requisito habilitante o aportándolos no lo haga de forma correcta, en los términos establecidos en la sección 1.6.</w:t>
      </w:r>
    </w:p>
    <w:p w14:paraId="5456004C" w14:textId="77777777" w:rsidR="0039727B" w:rsidRPr="0039727B" w:rsidRDefault="0039727B" w:rsidP="0039727B">
      <w:pPr>
        <w:spacing w:after="0" w:line="240" w:lineRule="auto"/>
        <w:ind w:left="709" w:right="709"/>
        <w:jc w:val="both"/>
        <w:rPr>
          <w:rFonts w:ascii="Verdana" w:eastAsia="Calibri" w:hAnsi="Verdana" w:cs="Calibri"/>
          <w:bCs/>
          <w:sz w:val="21"/>
          <w:szCs w:val="21"/>
          <w:lang w:val="es-MX"/>
        </w:rPr>
      </w:pPr>
      <w:r w:rsidRPr="0039727B">
        <w:rPr>
          <w:rFonts w:ascii="Verdana" w:eastAsia="Calibri" w:hAnsi="Verdana" w:cs="Calibri"/>
          <w:bCs/>
          <w:sz w:val="21"/>
          <w:szCs w:val="21"/>
          <w:lang w:val="es-MX"/>
        </w:rPr>
        <w:t>[…]</w:t>
      </w:r>
    </w:p>
    <w:p w14:paraId="02564A0A" w14:textId="5D005109" w:rsidR="0039727B" w:rsidRPr="0039727B" w:rsidRDefault="0039727B" w:rsidP="0039727B">
      <w:pPr>
        <w:spacing w:after="0" w:line="240" w:lineRule="auto"/>
        <w:ind w:left="709" w:right="709"/>
        <w:jc w:val="both"/>
        <w:rPr>
          <w:rFonts w:ascii="Verdana" w:eastAsia="Calibri" w:hAnsi="Verdana" w:cs="Calibri"/>
          <w:bCs/>
          <w:sz w:val="21"/>
          <w:szCs w:val="21"/>
          <w:lang w:val="es-MX"/>
        </w:rPr>
      </w:pPr>
      <w:r w:rsidRPr="0039727B">
        <w:rPr>
          <w:rFonts w:ascii="Verdana" w:eastAsia="Calibri" w:hAnsi="Verdana" w:cs="Calibri"/>
          <w:bCs/>
          <w:sz w:val="21"/>
          <w:szCs w:val="21"/>
          <w:lang w:val="es-MX"/>
        </w:rPr>
        <w:t>Z. No informar todos los contratos que el proponente tenga en ejecución antes del cierre, necesarios para acreditar su capacidad residual conforme a la sección 3.10.”</w:t>
      </w:r>
    </w:p>
    <w:p w14:paraId="436320B9" w14:textId="77777777" w:rsidR="0039727B" w:rsidRPr="0039727B" w:rsidRDefault="0039727B" w:rsidP="0039727B">
      <w:pPr>
        <w:spacing w:after="0" w:line="276" w:lineRule="auto"/>
        <w:contextualSpacing/>
        <w:jc w:val="both"/>
        <w:rPr>
          <w:rFonts w:ascii="Verdana" w:eastAsia="Calibri" w:hAnsi="Verdana" w:cs="Arial"/>
          <w:b/>
          <w:kern w:val="2"/>
          <w:lang w:val="es-ES_tradnl" w:eastAsia="es-CO"/>
          <w14:ligatures w14:val="standardContextual"/>
        </w:rPr>
      </w:pPr>
    </w:p>
    <w:p w14:paraId="4CEB30CD" w14:textId="77777777" w:rsidR="0039727B" w:rsidRPr="0039727B" w:rsidRDefault="0039727B" w:rsidP="0039727B">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39727B">
        <w:rPr>
          <w:rFonts w:ascii="Verdana" w:eastAsia="Century Gothic" w:hAnsi="Verdana" w:cs="Century Gothic"/>
          <w:b/>
          <w:bCs/>
          <w:lang w:val="es-ES"/>
        </w:rPr>
        <w:t>Referencias normativas, jurisprudenciales y otras fuentes:</w:t>
      </w:r>
    </w:p>
    <w:p w14:paraId="75BBFFE9" w14:textId="77777777" w:rsidR="0039727B" w:rsidRPr="0039727B" w:rsidRDefault="0039727B" w:rsidP="0039727B">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39727B" w:rsidRPr="0039727B" w14:paraId="4A4D1C77" w14:textId="77777777" w:rsidTr="00615578">
        <w:trPr>
          <w:trHeight w:val="870"/>
        </w:trPr>
        <w:tc>
          <w:tcPr>
            <w:tcW w:w="8647" w:type="dxa"/>
          </w:tcPr>
          <w:p w14:paraId="48558CDF" w14:textId="77777777" w:rsidR="0039727B" w:rsidRPr="0039727B" w:rsidRDefault="0039727B" w:rsidP="0039727B">
            <w:pPr>
              <w:widowControl w:val="0"/>
              <w:numPr>
                <w:ilvl w:val="0"/>
                <w:numId w:val="17"/>
              </w:numPr>
              <w:autoSpaceDE w:val="0"/>
              <w:autoSpaceDN w:val="0"/>
              <w:spacing w:after="120" w:line="276" w:lineRule="auto"/>
              <w:jc w:val="both"/>
              <w:rPr>
                <w:rFonts w:ascii="Verdana" w:eastAsia="Calibri" w:hAnsi="Verdana" w:cs="Arial"/>
              </w:rPr>
            </w:pPr>
            <w:r w:rsidRPr="0039727B">
              <w:rPr>
                <w:rFonts w:ascii="Verdana" w:eastAsia="Calibri" w:hAnsi="Verdana" w:cs="Arial"/>
              </w:rPr>
              <w:t>Ley 2022 de 2020, artículo 1.</w:t>
            </w:r>
          </w:p>
          <w:p w14:paraId="150A3157" w14:textId="77777777" w:rsidR="0039727B" w:rsidRPr="0039727B" w:rsidRDefault="0039727B" w:rsidP="0039727B">
            <w:pPr>
              <w:widowControl w:val="0"/>
              <w:numPr>
                <w:ilvl w:val="0"/>
                <w:numId w:val="17"/>
              </w:numPr>
              <w:autoSpaceDE w:val="0"/>
              <w:autoSpaceDN w:val="0"/>
              <w:spacing w:after="120" w:line="276" w:lineRule="auto"/>
              <w:jc w:val="both"/>
              <w:rPr>
                <w:rFonts w:ascii="Verdana" w:eastAsia="Calibri" w:hAnsi="Verdana" w:cs="Arial"/>
              </w:rPr>
            </w:pPr>
            <w:r w:rsidRPr="0039727B">
              <w:rPr>
                <w:rFonts w:ascii="Verdana" w:eastAsia="Aptos" w:hAnsi="Verdana" w:cs="Arial"/>
                <w:color w:val="000000"/>
                <w:lang w:val="es-ES_tradnl"/>
              </w:rPr>
              <w:t>Ley 1150 de 2007, artículo 5.</w:t>
            </w:r>
          </w:p>
          <w:p w14:paraId="4313806A" w14:textId="77777777" w:rsidR="0039727B" w:rsidRPr="0039727B" w:rsidRDefault="0039727B" w:rsidP="0039727B">
            <w:pPr>
              <w:widowControl w:val="0"/>
              <w:numPr>
                <w:ilvl w:val="0"/>
                <w:numId w:val="17"/>
              </w:numPr>
              <w:autoSpaceDE w:val="0"/>
              <w:autoSpaceDN w:val="0"/>
              <w:spacing w:after="120" w:line="276" w:lineRule="auto"/>
              <w:jc w:val="both"/>
              <w:rPr>
                <w:rFonts w:ascii="Verdana" w:eastAsia="Calibri" w:hAnsi="Verdana" w:cs="Arial"/>
              </w:rPr>
            </w:pPr>
            <w:r w:rsidRPr="0039727B">
              <w:rPr>
                <w:rFonts w:ascii="Verdana" w:eastAsia="Calibri" w:hAnsi="Verdana" w:cs="Arial"/>
              </w:rPr>
              <w:t>Documentos tipo de licitación de obra pública de infraestructura de transporte –versión 3–. Resolución 240 de 2020 de la Agencia Nacional de Contratación Pública – Colombia Compra Eficiente. Disponible en:</w:t>
            </w:r>
            <w:r w:rsidRPr="0039727B">
              <w:rPr>
                <w:rFonts w:ascii="Aptos" w:eastAsia="Aptos" w:hAnsi="Aptos" w:cs="Times New Roman"/>
                <w:lang w:val="es-ES_tradnl"/>
              </w:rPr>
              <w:t xml:space="preserve"> </w:t>
            </w:r>
            <w:hyperlink r:id="rId13" w:history="1">
              <w:r w:rsidRPr="0039727B">
                <w:rPr>
                  <w:rFonts w:ascii="Verdana" w:eastAsia="Calibri" w:hAnsi="Verdana" w:cs="Arial"/>
                  <w:color w:val="0000FF"/>
                  <w:u w:val="single"/>
                </w:rPr>
                <w:t>https://www.colombiacompra.gov.co/content/04-documentos-tipo-para-licitacion-de-obra-publica-de-infraestructura-de-transporte-version</w:t>
              </w:r>
            </w:hyperlink>
            <w:r w:rsidRPr="0039727B">
              <w:rPr>
                <w:rFonts w:ascii="Verdana" w:eastAsia="Calibri" w:hAnsi="Verdana" w:cs="Arial"/>
              </w:rPr>
              <w:t xml:space="preserve"> </w:t>
            </w:r>
          </w:p>
          <w:p w14:paraId="5E3249FB" w14:textId="77777777" w:rsidR="0039727B" w:rsidRPr="0039727B" w:rsidRDefault="0039727B" w:rsidP="0039727B">
            <w:pPr>
              <w:widowControl w:val="0"/>
              <w:numPr>
                <w:ilvl w:val="0"/>
                <w:numId w:val="17"/>
              </w:numPr>
              <w:autoSpaceDE w:val="0"/>
              <w:autoSpaceDN w:val="0"/>
              <w:spacing w:after="120" w:line="276" w:lineRule="auto"/>
              <w:jc w:val="both"/>
              <w:rPr>
                <w:rFonts w:ascii="Verdana" w:eastAsia="Calibri" w:hAnsi="Verdana" w:cs="Arial"/>
              </w:rPr>
            </w:pPr>
            <w:r w:rsidRPr="0039727B">
              <w:rPr>
                <w:rFonts w:ascii="Verdana" w:eastAsia="Century Gothic" w:hAnsi="Verdana" w:cs="Century Gothic"/>
              </w:rPr>
              <w:t xml:space="preserve">Guía para Determinar y Verificar la Capacidad Residual del Proponente en los Procesos de Contratación de Obra Pública. Disponible en: </w:t>
            </w:r>
            <w:hyperlink r:id="rId14" w:history="1">
              <w:r w:rsidRPr="0039727B">
                <w:rPr>
                  <w:rFonts w:ascii="Verdana" w:eastAsia="Century Gothic" w:hAnsi="Verdana" w:cs="Century Gothic"/>
                  <w:color w:val="467886"/>
                  <w:u w:val="single"/>
                </w:rPr>
                <w:t>https://www.colombiacompra.gov.co/manuales-guias-y-pliegos-tipo/manuales-y-guias</w:t>
              </w:r>
            </w:hyperlink>
            <w:r w:rsidRPr="0039727B">
              <w:rPr>
                <w:rFonts w:ascii="Verdana" w:eastAsia="Century Gothic" w:hAnsi="Verdana" w:cs="Century Gothic"/>
              </w:rPr>
              <w:t xml:space="preserve"> </w:t>
            </w:r>
          </w:p>
        </w:tc>
      </w:tr>
    </w:tbl>
    <w:p w14:paraId="0B49EBDB" w14:textId="77777777" w:rsidR="0039727B" w:rsidRPr="0039727B" w:rsidRDefault="0039727B" w:rsidP="0039727B">
      <w:pPr>
        <w:widowControl w:val="0"/>
        <w:autoSpaceDE w:val="0"/>
        <w:autoSpaceDN w:val="0"/>
        <w:spacing w:after="0" w:line="276" w:lineRule="auto"/>
        <w:jc w:val="both"/>
        <w:rPr>
          <w:rFonts w:ascii="Verdana" w:eastAsia="Calibri" w:hAnsi="Verdana" w:cs="Arial"/>
        </w:rPr>
      </w:pPr>
    </w:p>
    <w:p w14:paraId="2DE9F63E" w14:textId="77777777" w:rsidR="0039727B" w:rsidRPr="0039727B" w:rsidRDefault="0039727B" w:rsidP="0039727B">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39727B">
        <w:rPr>
          <w:rFonts w:ascii="Verdana" w:eastAsia="Century Gothic" w:hAnsi="Verdana" w:cs="Century Gothic"/>
          <w:b/>
          <w:bCs/>
          <w:lang w:val="es-ES"/>
        </w:rPr>
        <w:t>Doctrina de la Agencia Nacional de Contratación Pública:</w:t>
      </w:r>
    </w:p>
    <w:p w14:paraId="03987F85" w14:textId="77777777" w:rsidR="0039727B" w:rsidRPr="0039727B" w:rsidRDefault="0039727B" w:rsidP="0039727B">
      <w:pPr>
        <w:widowControl w:val="0"/>
        <w:autoSpaceDE w:val="0"/>
        <w:autoSpaceDN w:val="0"/>
        <w:spacing w:after="0" w:line="276" w:lineRule="auto"/>
        <w:jc w:val="both"/>
        <w:rPr>
          <w:rFonts w:ascii="Verdana" w:eastAsia="Calibri" w:hAnsi="Verdana" w:cs="Arial"/>
        </w:rPr>
      </w:pPr>
    </w:p>
    <w:p w14:paraId="0C60C060" w14:textId="77777777" w:rsidR="0039727B" w:rsidRPr="0039727B" w:rsidRDefault="0039727B" w:rsidP="0039727B">
      <w:pPr>
        <w:widowControl w:val="0"/>
        <w:autoSpaceDE w:val="0"/>
        <w:autoSpaceDN w:val="0"/>
        <w:spacing w:after="0" w:line="276" w:lineRule="auto"/>
        <w:jc w:val="both"/>
        <w:rPr>
          <w:rFonts w:ascii="Verdana" w:eastAsia="Calibri" w:hAnsi="Verdana" w:cs="Arial"/>
          <w:shd w:val="clear" w:color="auto" w:fill="FFFFFF"/>
          <w:lang w:val="es-ES"/>
        </w:rPr>
      </w:pPr>
      <w:r w:rsidRPr="0039727B">
        <w:rPr>
          <w:rFonts w:ascii="Verdana" w:eastAsia="Calibri" w:hAnsi="Verdana" w:cs="Arial"/>
          <w:shd w:val="clear" w:color="auto" w:fill="FFFFFF"/>
          <w:lang w:val="es-ES"/>
        </w:rPr>
        <w:t>La Agencia Nacional de Contratación Pública − Colombia Compra Eficiente se pronunció sobre las causales de rechazo incorporadas en los pliegos de condiciones, en los conceptos 2201913000007117 del 25 de septiembre de 2019, 2201913000009538 del 23 de diciembre de 2019, C- 716 del 30 de octubre de 2020, C-096 del 24 de marzo de 2021, C-056 del 20 de abril de 2021, C-078 del 15 de marzo de 2022, C-321 del 17 de mayo de 2022, C-113 del 22 de marzo de 2022, C-178, C-186 del 12 de abril de 2022, C-406 del 2 de octubre de 2023, entre otros. Es</w:t>
      </w:r>
      <w:r w:rsidRPr="0039727B">
        <w:rPr>
          <w:rFonts w:ascii="Verdana" w:eastAsia="Calibri" w:hAnsi="Verdana" w:cs="Times New Roman"/>
        </w:rPr>
        <w:t>tos y otros conceptos se encuentran disponibles para consulta en el sistema de relatoría de la Agencia, al cual se puede acceder a través del siguiente enlace:</w:t>
      </w:r>
      <w:r w:rsidRPr="0039727B">
        <w:rPr>
          <w:rFonts w:ascii="Verdana" w:eastAsia="Calibri" w:hAnsi="Verdana" w:cs="Arial"/>
          <w:shd w:val="clear" w:color="auto" w:fill="FFFFFF"/>
          <w:lang w:val="es-ES"/>
        </w:rPr>
        <w:t xml:space="preserve"> </w:t>
      </w:r>
      <w:hyperlink r:id="rId15" w:history="1">
        <w:r w:rsidRPr="0039727B">
          <w:rPr>
            <w:rFonts w:ascii="Verdana" w:eastAsia="Calibri" w:hAnsi="Verdana" w:cs="Arial"/>
            <w:u w:val="single"/>
            <w:shd w:val="clear" w:color="auto" w:fill="FFFFFF"/>
            <w:lang w:val="es-ES"/>
          </w:rPr>
          <w:t>https://relatoria.colombiacompra.gov.co/busqueda/conceptos</w:t>
        </w:r>
      </w:hyperlink>
      <w:r w:rsidRPr="0039727B">
        <w:rPr>
          <w:rFonts w:ascii="Verdana" w:eastAsia="Calibri" w:hAnsi="Verdana" w:cs="Arial"/>
          <w:shd w:val="clear" w:color="auto" w:fill="FFFFFF"/>
          <w:lang w:val="es-ES"/>
        </w:rPr>
        <w:t xml:space="preserve">. </w:t>
      </w:r>
    </w:p>
    <w:p w14:paraId="76C0D90C" w14:textId="77777777" w:rsidR="0039727B" w:rsidRPr="0039727B" w:rsidRDefault="0039727B" w:rsidP="0039727B">
      <w:pPr>
        <w:widowControl w:val="0"/>
        <w:autoSpaceDE w:val="0"/>
        <w:autoSpaceDN w:val="0"/>
        <w:spacing w:after="0" w:line="276" w:lineRule="auto"/>
        <w:jc w:val="both"/>
        <w:rPr>
          <w:rFonts w:ascii="Verdana" w:eastAsia="Calibri" w:hAnsi="Verdana" w:cs="Arial"/>
          <w:shd w:val="clear" w:color="auto" w:fill="FFFFFF"/>
          <w:lang w:val="es-ES"/>
        </w:rPr>
      </w:pPr>
    </w:p>
    <w:p w14:paraId="5F5387B6" w14:textId="77777777" w:rsidR="0039727B" w:rsidRPr="0039727B" w:rsidRDefault="0039727B" w:rsidP="0039727B">
      <w:pPr>
        <w:widowControl w:val="0"/>
        <w:autoSpaceDE w:val="0"/>
        <w:autoSpaceDN w:val="0"/>
        <w:spacing w:after="0" w:line="276" w:lineRule="auto"/>
        <w:jc w:val="both"/>
        <w:rPr>
          <w:rFonts w:ascii="Verdana" w:eastAsia="Calibri" w:hAnsi="Verdana" w:cs="Arial"/>
          <w:shd w:val="clear" w:color="auto" w:fill="FFFFFF"/>
          <w:lang w:val="es-ES"/>
        </w:rPr>
      </w:pPr>
      <w:r w:rsidRPr="0039727B">
        <w:rPr>
          <w:rFonts w:ascii="Verdana" w:eastAsia="Calibri"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r:id="rId16" w:history="1">
        <w:r w:rsidRPr="0039727B">
          <w:rPr>
            <w:rFonts w:ascii="Verdana" w:eastAsia="Calibri" w:hAnsi="Verdana" w:cs="Arial"/>
            <w:u w:val="single"/>
            <w:shd w:val="clear" w:color="auto" w:fill="FFFFFF"/>
            <w:lang w:val="es-ES"/>
          </w:rPr>
          <w:t>https://www.colombiacompra.gov.co/sala-de-prensa/boletin-digital</w:t>
        </w:r>
      </w:hyperlink>
      <w:r w:rsidRPr="0039727B">
        <w:rPr>
          <w:rFonts w:ascii="Verdana" w:eastAsia="Calibri" w:hAnsi="Verdana" w:cs="Arial"/>
          <w:shd w:val="clear" w:color="auto" w:fill="FFFFFF"/>
          <w:lang w:val="es-ES"/>
        </w:rPr>
        <w:t xml:space="preserve">   </w:t>
      </w:r>
    </w:p>
    <w:p w14:paraId="228A2FC1" w14:textId="77777777" w:rsidR="0039727B" w:rsidRPr="0039727B" w:rsidRDefault="0039727B" w:rsidP="0039727B">
      <w:pPr>
        <w:widowControl w:val="0"/>
        <w:autoSpaceDE w:val="0"/>
        <w:autoSpaceDN w:val="0"/>
        <w:spacing w:after="0" w:line="276" w:lineRule="auto"/>
        <w:jc w:val="both"/>
        <w:rPr>
          <w:rFonts w:ascii="Verdana" w:eastAsia="Calibri" w:hAnsi="Verdana" w:cs="Arial"/>
          <w:shd w:val="clear" w:color="auto" w:fill="FFFFFF"/>
          <w:lang w:val="es-ES"/>
        </w:rPr>
      </w:pPr>
    </w:p>
    <w:p w14:paraId="2A56C267" w14:textId="77777777" w:rsidR="0039727B" w:rsidRPr="0039727B" w:rsidRDefault="0039727B" w:rsidP="0039727B">
      <w:pPr>
        <w:spacing w:after="0" w:line="240" w:lineRule="auto"/>
        <w:jc w:val="both"/>
        <w:rPr>
          <w:rFonts w:ascii="Verdana" w:eastAsia="Calibri" w:hAnsi="Verdana" w:cs="Times New Roman"/>
        </w:rPr>
      </w:pPr>
      <w:r w:rsidRPr="0039727B">
        <w:rPr>
          <w:rFonts w:ascii="Verdana" w:eastAsia="Calibri" w:hAnsi="Verdana" w:cs="Times New Roman"/>
        </w:rPr>
        <w:t xml:space="preserve">Por último, los invitamos a seguirnos en las redes sociales, en las cuales se difunde información institucional: </w:t>
      </w:r>
    </w:p>
    <w:p w14:paraId="5D6CA13D" w14:textId="77777777" w:rsidR="0039727B" w:rsidRPr="0039727B" w:rsidRDefault="0039727B" w:rsidP="0039727B">
      <w:pPr>
        <w:spacing w:after="0" w:line="240" w:lineRule="auto"/>
        <w:jc w:val="both"/>
        <w:rPr>
          <w:rFonts w:ascii="Verdana" w:eastAsia="Calibri" w:hAnsi="Verdana" w:cs="Times New Roman"/>
        </w:rPr>
      </w:pPr>
    </w:p>
    <w:p w14:paraId="2B72875D" w14:textId="77777777" w:rsidR="0039727B" w:rsidRPr="0039727B" w:rsidRDefault="0039727B" w:rsidP="0039727B">
      <w:pPr>
        <w:spacing w:after="0" w:line="240" w:lineRule="auto"/>
        <w:jc w:val="both"/>
        <w:rPr>
          <w:rFonts w:ascii="Verdana" w:eastAsia="Calibri" w:hAnsi="Verdana" w:cs="Times New Roman"/>
        </w:rPr>
      </w:pPr>
      <w:r w:rsidRPr="0039727B">
        <w:rPr>
          <w:rFonts w:ascii="Verdana" w:eastAsia="Calibri" w:hAnsi="Verdana" w:cs="Times New Roman"/>
        </w:rPr>
        <w:t xml:space="preserve">Twitter: </w:t>
      </w:r>
      <w:r w:rsidRPr="0039727B">
        <w:rPr>
          <w:rFonts w:ascii="Verdana" w:eastAsia="Calibri" w:hAnsi="Verdana" w:cs="Times New Roman"/>
          <w:u w:val="single"/>
        </w:rPr>
        <w:t>@colombiacompra</w:t>
      </w:r>
      <w:r w:rsidRPr="0039727B">
        <w:rPr>
          <w:rFonts w:ascii="Verdana" w:eastAsia="Calibri" w:hAnsi="Verdana" w:cs="Times New Roman"/>
        </w:rPr>
        <w:t xml:space="preserve"> </w:t>
      </w:r>
    </w:p>
    <w:p w14:paraId="63BFCB55" w14:textId="77777777" w:rsidR="0039727B" w:rsidRPr="0039727B" w:rsidRDefault="0039727B" w:rsidP="0039727B">
      <w:pPr>
        <w:spacing w:after="0" w:line="240" w:lineRule="auto"/>
        <w:jc w:val="both"/>
        <w:rPr>
          <w:rFonts w:ascii="Verdana" w:eastAsia="Calibri" w:hAnsi="Verdana" w:cs="Times New Roman"/>
        </w:rPr>
      </w:pPr>
      <w:r w:rsidRPr="0039727B">
        <w:rPr>
          <w:rFonts w:ascii="Verdana" w:eastAsia="Calibri" w:hAnsi="Verdana" w:cs="Times New Roman"/>
        </w:rPr>
        <w:t xml:space="preserve">Facebook: </w:t>
      </w:r>
      <w:r w:rsidRPr="0039727B">
        <w:rPr>
          <w:rFonts w:ascii="Verdana" w:eastAsia="Calibri" w:hAnsi="Verdana" w:cs="Times New Roman"/>
          <w:u w:val="single"/>
        </w:rPr>
        <w:t>ColombiaCompraEficiente</w:t>
      </w:r>
    </w:p>
    <w:p w14:paraId="4FE85FD5" w14:textId="77777777" w:rsidR="0039727B" w:rsidRPr="0039727B" w:rsidRDefault="0039727B" w:rsidP="0039727B">
      <w:pPr>
        <w:spacing w:after="0" w:line="240" w:lineRule="auto"/>
        <w:jc w:val="both"/>
        <w:rPr>
          <w:rFonts w:ascii="Verdana" w:eastAsia="Calibri" w:hAnsi="Verdana" w:cs="Times New Roman"/>
        </w:rPr>
      </w:pPr>
      <w:r w:rsidRPr="0039727B">
        <w:rPr>
          <w:rFonts w:ascii="Verdana" w:eastAsia="Calibri" w:hAnsi="Verdana" w:cs="Times New Roman"/>
        </w:rPr>
        <w:t xml:space="preserve">LinkedIn: </w:t>
      </w:r>
      <w:r w:rsidRPr="0039727B">
        <w:rPr>
          <w:rFonts w:ascii="Verdana" w:eastAsia="Calibri" w:hAnsi="Verdana" w:cs="Times New Roman"/>
          <w:u w:val="single"/>
        </w:rPr>
        <w:t>Agencia Nacional de Contratación Pública - Colombia Compra Eficiente</w:t>
      </w:r>
      <w:r w:rsidRPr="0039727B">
        <w:rPr>
          <w:rFonts w:ascii="Verdana" w:eastAsia="Calibri" w:hAnsi="Verdana" w:cs="Times New Roman"/>
        </w:rPr>
        <w:t xml:space="preserve"> Instagram: </w:t>
      </w:r>
      <w:r w:rsidRPr="0039727B">
        <w:rPr>
          <w:rFonts w:ascii="Verdana" w:eastAsia="Calibri" w:hAnsi="Verdana" w:cs="Times New Roman"/>
          <w:u w:val="single"/>
        </w:rPr>
        <w:t>@colombiacompraeficiente_cce</w:t>
      </w:r>
    </w:p>
    <w:p w14:paraId="20B1540F" w14:textId="77777777" w:rsidR="0039727B" w:rsidRPr="0039727B" w:rsidRDefault="0039727B" w:rsidP="0039727B">
      <w:pPr>
        <w:widowControl w:val="0"/>
        <w:autoSpaceDE w:val="0"/>
        <w:autoSpaceDN w:val="0"/>
        <w:spacing w:after="0" w:line="276" w:lineRule="auto"/>
        <w:jc w:val="both"/>
        <w:rPr>
          <w:rFonts w:ascii="Verdana" w:eastAsia="Calibri" w:hAnsi="Verdana" w:cs="Arial"/>
        </w:rPr>
      </w:pPr>
    </w:p>
    <w:p w14:paraId="4DF28995" w14:textId="77777777" w:rsidR="0039727B" w:rsidRPr="0039727B" w:rsidRDefault="0039727B" w:rsidP="0039727B">
      <w:pPr>
        <w:widowControl w:val="0"/>
        <w:autoSpaceDE w:val="0"/>
        <w:autoSpaceDN w:val="0"/>
        <w:spacing w:after="0" w:line="276" w:lineRule="auto"/>
        <w:jc w:val="both"/>
        <w:rPr>
          <w:rFonts w:ascii="Verdana" w:eastAsia="Calibri" w:hAnsi="Verdana" w:cs="Arial"/>
        </w:rPr>
      </w:pPr>
      <w:r w:rsidRPr="0039727B">
        <w:rPr>
          <w:rFonts w:ascii="Verdana" w:eastAsia="Calibri" w:hAnsi="Verdana" w:cs="Arial"/>
        </w:rPr>
        <w:t xml:space="preserve">Anexo al presente concepto encontrará la respuesta emitida por parte de la Subdirección de Información y Desarrollo Tecnológico de </w:t>
      </w:r>
      <w:r w:rsidRPr="0039727B">
        <w:rPr>
          <w:rFonts w:ascii="Verdana" w:eastAsia="Calibri" w:hAnsi="Verdana" w:cs="Arial"/>
        </w:rPr>
        <w:tab/>
        <w:t>esta Agencia, que complementa las presentes consideraciones, con el fin de responder su solicitud.</w:t>
      </w:r>
    </w:p>
    <w:p w14:paraId="6C94F391" w14:textId="77777777" w:rsidR="0039727B" w:rsidRPr="0039727B" w:rsidRDefault="0039727B" w:rsidP="0039727B">
      <w:pPr>
        <w:widowControl w:val="0"/>
        <w:autoSpaceDE w:val="0"/>
        <w:autoSpaceDN w:val="0"/>
        <w:spacing w:after="0" w:line="276" w:lineRule="auto"/>
        <w:jc w:val="both"/>
        <w:rPr>
          <w:rFonts w:ascii="Verdana" w:eastAsia="Calibri" w:hAnsi="Verdana" w:cs="Arial"/>
        </w:rPr>
      </w:pPr>
    </w:p>
    <w:p w14:paraId="2950E4BC" w14:textId="77777777" w:rsidR="0039727B" w:rsidRPr="0039727B" w:rsidRDefault="0039727B" w:rsidP="0039727B">
      <w:pPr>
        <w:widowControl w:val="0"/>
        <w:autoSpaceDE w:val="0"/>
        <w:autoSpaceDN w:val="0"/>
        <w:spacing w:after="0" w:line="276" w:lineRule="auto"/>
        <w:jc w:val="both"/>
        <w:rPr>
          <w:rFonts w:ascii="Verdana" w:eastAsia="Calibri" w:hAnsi="Verdana" w:cs="Arial"/>
          <w:lang w:val="es-ES_tradnl"/>
        </w:rPr>
      </w:pPr>
      <w:r w:rsidRPr="0039727B">
        <w:rPr>
          <w:rFonts w:ascii="Verdana" w:eastAsia="Calibri" w:hAnsi="Verdana" w:cs="Arial"/>
        </w:rPr>
        <w:t xml:space="preserve">Este concepto tiene el alcance previsto en el artículo 28 del Código de Procedimiento Administrativo y de lo Contencioso Administrativo </w:t>
      </w:r>
      <w:r w:rsidRPr="0039727B">
        <w:rPr>
          <w:rFonts w:ascii="Verdana" w:eastAsia="Calibri" w:hAnsi="Verdana" w:cs="Arial"/>
          <w:lang w:val="es-ES_tradnl"/>
        </w:rPr>
        <w:t>y las expresiones aquí utilizadas con mayúscula inicial deben ser entendidas con el significado que les otorga el artículo 2.2.1.1.1.3.1. del Decreto 1082 de 2015.</w:t>
      </w:r>
    </w:p>
    <w:p w14:paraId="1F63B8DF" w14:textId="77777777" w:rsidR="0039727B" w:rsidRPr="0039727B" w:rsidRDefault="0039727B" w:rsidP="0039727B">
      <w:pPr>
        <w:widowControl w:val="0"/>
        <w:autoSpaceDE w:val="0"/>
        <w:autoSpaceDN w:val="0"/>
        <w:spacing w:after="0" w:line="276" w:lineRule="auto"/>
        <w:jc w:val="both"/>
        <w:rPr>
          <w:rFonts w:ascii="Verdana" w:eastAsia="Calibri" w:hAnsi="Verdana" w:cs="Arial"/>
        </w:rPr>
      </w:pPr>
    </w:p>
    <w:p w14:paraId="4FB7FBCF" w14:textId="77777777" w:rsidR="0039727B" w:rsidRPr="0039727B" w:rsidRDefault="0039727B" w:rsidP="0039727B">
      <w:pPr>
        <w:spacing w:after="0" w:line="240" w:lineRule="auto"/>
        <w:rPr>
          <w:rFonts w:ascii="Verdana" w:eastAsia="Calibri" w:hAnsi="Verdana" w:cs="Arial"/>
          <w:lang w:eastAsia="es-CO"/>
        </w:rPr>
      </w:pPr>
      <w:r w:rsidRPr="0039727B">
        <w:rPr>
          <w:rFonts w:ascii="Verdana" w:eastAsia="Times New Roman" w:hAnsi="Verdana" w:cs="Arial"/>
          <w:lang w:eastAsia="es-CO"/>
        </w:rPr>
        <w:t>Atentamente,</w:t>
      </w:r>
      <w:r w:rsidRPr="0039727B">
        <w:rPr>
          <w:rFonts w:ascii="Verdana" w:eastAsia="Calibri" w:hAnsi="Verdana" w:cs="Arial"/>
          <w:lang w:eastAsia="es-CO"/>
        </w:rPr>
        <w:t xml:space="preserve"> </w:t>
      </w:r>
    </w:p>
    <w:p w14:paraId="604401E6" w14:textId="5F0D4717" w:rsidR="0039727B" w:rsidRPr="0039727B" w:rsidRDefault="001353FF" w:rsidP="0039727B">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1B6D2C2D" wp14:editId="464486A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9727B" w:rsidRPr="0039727B" w14:paraId="3DF0EE33" w14:textId="77777777" w:rsidTr="00615578">
        <w:trPr>
          <w:trHeight w:val="315"/>
        </w:trPr>
        <w:tc>
          <w:tcPr>
            <w:tcW w:w="893" w:type="dxa"/>
            <w:vAlign w:val="center"/>
            <w:hideMark/>
          </w:tcPr>
          <w:p w14:paraId="2C09BC42" w14:textId="77777777" w:rsidR="0039727B" w:rsidRPr="0039727B" w:rsidRDefault="0039727B" w:rsidP="0039727B">
            <w:pPr>
              <w:rPr>
                <w:rFonts w:ascii="Verdana" w:eastAsia="Calibri" w:hAnsi="Verdana" w:cs="Arial"/>
                <w:sz w:val="16"/>
                <w:szCs w:val="16"/>
                <w:lang w:val="es-ES" w:eastAsia="es-ES"/>
              </w:rPr>
            </w:pPr>
            <w:r w:rsidRPr="0039727B">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0C87F271" w14:textId="77777777" w:rsidR="0039727B" w:rsidRPr="0039727B" w:rsidRDefault="0039727B" w:rsidP="0039727B">
            <w:pPr>
              <w:rPr>
                <w:rFonts w:ascii="Verdana" w:eastAsia="Arial" w:hAnsi="Verdana" w:cs="Arial"/>
                <w:sz w:val="16"/>
                <w:szCs w:val="16"/>
              </w:rPr>
            </w:pPr>
            <w:r w:rsidRPr="0039727B">
              <w:rPr>
                <w:rFonts w:ascii="Verdana" w:eastAsia="Arial" w:hAnsi="Verdana" w:cs="Arial"/>
                <w:sz w:val="16"/>
                <w:szCs w:val="16"/>
              </w:rPr>
              <w:t>Kevin Arlid Herrera Santa</w:t>
            </w:r>
          </w:p>
          <w:p w14:paraId="566C90F2" w14:textId="77777777" w:rsidR="0039727B" w:rsidRPr="0039727B" w:rsidRDefault="0039727B" w:rsidP="0039727B">
            <w:pPr>
              <w:rPr>
                <w:rFonts w:ascii="Verdana" w:eastAsia="Arial" w:hAnsi="Verdana" w:cs="Arial"/>
                <w:sz w:val="16"/>
                <w:szCs w:val="16"/>
              </w:rPr>
            </w:pPr>
            <w:r w:rsidRPr="0039727B">
              <w:rPr>
                <w:rFonts w:ascii="Verdana" w:eastAsia="Arial" w:hAnsi="Verdana" w:cs="Arial"/>
                <w:sz w:val="16"/>
                <w:szCs w:val="16"/>
              </w:rPr>
              <w:t>Contratista de la Subdirección de Gestión Contractual</w:t>
            </w:r>
          </w:p>
          <w:p w14:paraId="1E018116" w14:textId="77777777" w:rsidR="0039727B" w:rsidRPr="0039727B" w:rsidRDefault="0039727B" w:rsidP="0039727B">
            <w:pPr>
              <w:rPr>
                <w:rFonts w:ascii="Verdana" w:eastAsia="Arial" w:hAnsi="Verdana" w:cs="Arial"/>
                <w:sz w:val="16"/>
                <w:szCs w:val="16"/>
              </w:rPr>
            </w:pPr>
            <w:r w:rsidRPr="0039727B">
              <w:rPr>
                <w:rFonts w:ascii="Verdana" w:eastAsia="Arial" w:hAnsi="Verdana" w:cs="Arial"/>
                <w:sz w:val="16"/>
                <w:szCs w:val="16"/>
              </w:rPr>
              <w:t xml:space="preserve">Lida Milena </w:t>
            </w:r>
            <w:proofErr w:type="spellStart"/>
            <w:r w:rsidRPr="0039727B">
              <w:rPr>
                <w:rFonts w:ascii="Verdana" w:eastAsia="Arial" w:hAnsi="Verdana" w:cs="Arial"/>
                <w:sz w:val="16"/>
                <w:szCs w:val="16"/>
              </w:rPr>
              <w:t>Guanumen</w:t>
            </w:r>
            <w:proofErr w:type="spellEnd"/>
            <w:r w:rsidRPr="0039727B">
              <w:rPr>
                <w:rFonts w:ascii="Verdana" w:eastAsia="Arial" w:hAnsi="Verdana" w:cs="Arial"/>
                <w:sz w:val="16"/>
                <w:szCs w:val="16"/>
              </w:rPr>
              <w:t xml:space="preserve"> Pacheco</w:t>
            </w:r>
          </w:p>
          <w:p w14:paraId="3AC1F56B" w14:textId="77777777" w:rsidR="0039727B" w:rsidRPr="0039727B" w:rsidRDefault="0039727B" w:rsidP="0039727B">
            <w:pPr>
              <w:rPr>
                <w:rFonts w:ascii="Verdana" w:eastAsia="Arial" w:hAnsi="Verdana" w:cs="Arial"/>
                <w:sz w:val="16"/>
                <w:szCs w:val="16"/>
              </w:rPr>
            </w:pPr>
            <w:r w:rsidRPr="0039727B">
              <w:rPr>
                <w:rFonts w:ascii="Verdana" w:eastAsia="Arial" w:hAnsi="Verdana" w:cs="Arial"/>
                <w:sz w:val="16"/>
                <w:szCs w:val="16"/>
              </w:rPr>
              <w:t>Contratista de la Subdirección de Gestión Contractual</w:t>
            </w:r>
          </w:p>
        </w:tc>
      </w:tr>
      <w:tr w:rsidR="0039727B" w:rsidRPr="0039727B" w14:paraId="1F5237F2" w14:textId="77777777" w:rsidTr="00615578">
        <w:trPr>
          <w:trHeight w:val="330"/>
        </w:trPr>
        <w:tc>
          <w:tcPr>
            <w:tcW w:w="893" w:type="dxa"/>
            <w:vAlign w:val="center"/>
            <w:hideMark/>
          </w:tcPr>
          <w:p w14:paraId="5EEEFCAF" w14:textId="77777777" w:rsidR="0039727B" w:rsidRPr="0039727B" w:rsidRDefault="0039727B" w:rsidP="0039727B">
            <w:pPr>
              <w:rPr>
                <w:rFonts w:ascii="Verdana" w:eastAsia="Calibri" w:hAnsi="Verdana" w:cs="Arial"/>
                <w:sz w:val="16"/>
                <w:szCs w:val="16"/>
                <w:lang w:val="es-ES" w:eastAsia="es-ES"/>
              </w:rPr>
            </w:pPr>
            <w:r w:rsidRPr="0039727B">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11609D78" w14:textId="77777777" w:rsidR="0039727B" w:rsidRPr="0039727B" w:rsidRDefault="0039727B" w:rsidP="0039727B">
            <w:pPr>
              <w:textAlignment w:val="baseline"/>
              <w:rPr>
                <w:rFonts w:ascii="Verdana" w:eastAsia="Times New Roman" w:hAnsi="Verdana" w:cs="Segoe UI"/>
                <w:sz w:val="16"/>
                <w:szCs w:val="16"/>
                <w:lang w:eastAsia="es-ES_tradnl"/>
              </w:rPr>
            </w:pPr>
            <w:r w:rsidRPr="0039727B">
              <w:rPr>
                <w:rFonts w:ascii="Verdana" w:eastAsia="Times New Roman" w:hAnsi="Verdana" w:cs="Segoe UI"/>
                <w:sz w:val="16"/>
                <w:szCs w:val="16"/>
                <w:lang w:eastAsia="es-ES_tradnl"/>
              </w:rPr>
              <w:t>Juan David Cárdenas Cabeza</w:t>
            </w:r>
          </w:p>
          <w:p w14:paraId="4285BA8B" w14:textId="77777777" w:rsidR="0039727B" w:rsidRPr="0039727B" w:rsidRDefault="0039727B" w:rsidP="0039727B">
            <w:pPr>
              <w:textAlignment w:val="baseline"/>
              <w:rPr>
                <w:rFonts w:ascii="Verdana" w:eastAsia="Times New Roman" w:hAnsi="Verdana" w:cs="Segoe UI"/>
                <w:sz w:val="16"/>
                <w:szCs w:val="16"/>
                <w:lang w:eastAsia="es-ES_tradnl"/>
              </w:rPr>
            </w:pPr>
            <w:r w:rsidRPr="0039727B">
              <w:rPr>
                <w:rFonts w:ascii="Verdana" w:eastAsia="Times New Roman" w:hAnsi="Verdana" w:cs="Arial"/>
                <w:sz w:val="16"/>
                <w:szCs w:val="16"/>
                <w:lang w:val="es-ES" w:eastAsia="es-ES_tradnl"/>
              </w:rPr>
              <w:t>Contratista de la Subdirección de Gestión Contractual</w:t>
            </w:r>
            <w:r w:rsidRPr="0039727B">
              <w:rPr>
                <w:rFonts w:ascii="Verdana" w:eastAsia="Times New Roman" w:hAnsi="Verdana" w:cs="Arial"/>
                <w:sz w:val="16"/>
                <w:szCs w:val="16"/>
                <w:lang w:eastAsia="es-ES_tradnl"/>
              </w:rPr>
              <w:t> </w:t>
            </w:r>
          </w:p>
        </w:tc>
      </w:tr>
      <w:tr w:rsidR="0039727B" w:rsidRPr="0039727B" w14:paraId="29BF3595" w14:textId="77777777" w:rsidTr="00615578">
        <w:trPr>
          <w:trHeight w:val="300"/>
        </w:trPr>
        <w:tc>
          <w:tcPr>
            <w:tcW w:w="893" w:type="dxa"/>
            <w:vAlign w:val="center"/>
          </w:tcPr>
          <w:p w14:paraId="30390366" w14:textId="77777777" w:rsidR="0039727B" w:rsidRPr="0039727B" w:rsidRDefault="0039727B" w:rsidP="0039727B">
            <w:pPr>
              <w:rPr>
                <w:rFonts w:ascii="Verdana" w:eastAsia="Calibri" w:hAnsi="Verdana" w:cs="Arial"/>
                <w:sz w:val="16"/>
                <w:szCs w:val="16"/>
                <w:lang w:val="es-ES" w:eastAsia="es-ES"/>
              </w:rPr>
            </w:pPr>
            <w:r w:rsidRPr="0039727B">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16443AA5" w14:textId="77777777" w:rsidR="0039727B" w:rsidRPr="0039727B" w:rsidRDefault="0039727B" w:rsidP="0039727B">
            <w:pPr>
              <w:rPr>
                <w:rFonts w:ascii="Verdana" w:eastAsia="Calibri" w:hAnsi="Verdana" w:cs="Arial"/>
                <w:sz w:val="16"/>
                <w:szCs w:val="16"/>
                <w:lang w:val="pt-BR" w:eastAsia="es-ES"/>
              </w:rPr>
            </w:pPr>
            <w:r w:rsidRPr="0039727B">
              <w:rPr>
                <w:rFonts w:ascii="Verdana" w:eastAsia="Calibri" w:hAnsi="Verdana" w:cs="Arial"/>
                <w:sz w:val="16"/>
                <w:szCs w:val="16"/>
                <w:lang w:val="pt-BR" w:eastAsia="es-ES"/>
              </w:rPr>
              <w:t>Carolina Quintero Gacharná</w:t>
            </w:r>
          </w:p>
          <w:p w14:paraId="528A9692" w14:textId="77777777" w:rsidR="0039727B" w:rsidRPr="0039727B" w:rsidRDefault="0039727B" w:rsidP="0039727B">
            <w:pPr>
              <w:rPr>
                <w:rFonts w:ascii="Verdana" w:eastAsia="Calibri" w:hAnsi="Verdana" w:cs="Arial"/>
                <w:sz w:val="16"/>
                <w:szCs w:val="16"/>
                <w:lang w:val="pt-BR" w:eastAsia="es-ES"/>
              </w:rPr>
            </w:pPr>
            <w:r w:rsidRPr="0039727B">
              <w:rPr>
                <w:rFonts w:ascii="Verdana" w:eastAsia="Calibri" w:hAnsi="Verdana" w:cs="Arial"/>
                <w:sz w:val="16"/>
                <w:szCs w:val="16"/>
                <w:lang w:eastAsia="es-ES"/>
              </w:rPr>
              <w:t>Subdirectora</w:t>
            </w:r>
            <w:r w:rsidRPr="0039727B">
              <w:rPr>
                <w:rFonts w:ascii="Verdana" w:eastAsia="Calibri" w:hAnsi="Verdana" w:cs="Arial"/>
                <w:sz w:val="16"/>
                <w:szCs w:val="16"/>
                <w:lang w:val="pt-BR" w:eastAsia="es-ES"/>
              </w:rPr>
              <w:t xml:space="preserve"> de Gestión Contratual ANCP – CCE</w:t>
            </w:r>
          </w:p>
        </w:tc>
      </w:tr>
    </w:tbl>
    <w:p w14:paraId="2777671A" w14:textId="77777777" w:rsidR="0039727B" w:rsidRPr="0039727B" w:rsidRDefault="0039727B" w:rsidP="0039727B">
      <w:pPr>
        <w:spacing w:after="0"/>
        <w:rPr>
          <w:rFonts w:ascii="Verdana" w:eastAsia="Calibri" w:hAnsi="Verdana" w:cs="Arial"/>
          <w:sz w:val="16"/>
          <w:szCs w:val="16"/>
        </w:rPr>
      </w:pPr>
      <w:r w:rsidRPr="0039727B">
        <w:rPr>
          <w:rFonts w:ascii="Verdana" w:eastAsia="Calibri" w:hAnsi="Verdana" w:cs="Arial"/>
          <w:sz w:val="16"/>
          <w:szCs w:val="16"/>
        </w:rPr>
        <w:t xml:space="preserve">  </w:t>
      </w:r>
    </w:p>
    <w:p w14:paraId="2ABB1F59" w14:textId="77777777" w:rsidR="0039727B" w:rsidRPr="0039727B" w:rsidRDefault="0039727B" w:rsidP="0039727B">
      <w:pPr>
        <w:spacing w:line="278" w:lineRule="auto"/>
        <w:rPr>
          <w:rFonts w:ascii="Aptos" w:eastAsia="Aptos" w:hAnsi="Aptos" w:cs="Times New Roman"/>
          <w:kern w:val="2"/>
          <w:sz w:val="24"/>
          <w:szCs w:val="24"/>
          <w14:ligatures w14:val="standardContextual"/>
        </w:rPr>
      </w:pPr>
    </w:p>
    <w:p w14:paraId="67AE5712" w14:textId="77777777" w:rsidR="0039727B" w:rsidRPr="0039727B" w:rsidRDefault="0039727B" w:rsidP="0039727B">
      <w:pPr>
        <w:spacing w:line="278" w:lineRule="auto"/>
        <w:rPr>
          <w:rFonts w:ascii="Aptos" w:eastAsia="Aptos" w:hAnsi="Aptos" w:cs="Times New Roman"/>
          <w:kern w:val="2"/>
          <w:sz w:val="24"/>
          <w:szCs w:val="24"/>
          <w14:ligatures w14:val="standardContextual"/>
        </w:rPr>
      </w:pPr>
    </w:p>
    <w:p w14:paraId="264F4128" w14:textId="77777777" w:rsidR="0039727B" w:rsidRPr="0039727B" w:rsidRDefault="0039727B" w:rsidP="0039727B">
      <w:pPr>
        <w:spacing w:after="0"/>
        <w:rPr>
          <w:rFonts w:ascii="Verdana" w:eastAsia="Calibri" w:hAnsi="Verdana" w:cs="Times New Roman"/>
        </w:rPr>
      </w:pPr>
    </w:p>
    <w:p w14:paraId="4983596C" w14:textId="77777777" w:rsidR="0039727B" w:rsidRPr="0039727B" w:rsidRDefault="0039727B" w:rsidP="0039727B">
      <w:pPr>
        <w:spacing w:line="278" w:lineRule="auto"/>
        <w:rPr>
          <w:rFonts w:ascii="Aptos" w:eastAsia="Aptos" w:hAnsi="Aptos" w:cs="Times New Roman"/>
          <w:kern w:val="2"/>
          <w:sz w:val="24"/>
          <w:szCs w:val="24"/>
          <w14:ligatures w14:val="standardContextual"/>
        </w:rPr>
      </w:pPr>
    </w:p>
    <w:p w14:paraId="78053B45" w14:textId="4F0A5F6C" w:rsidR="00322A85" w:rsidRPr="0044528D" w:rsidRDefault="00322A85" w:rsidP="00322A85">
      <w:pPr>
        <w:spacing w:after="0" w:line="240" w:lineRule="auto"/>
        <w:jc w:val="both"/>
        <w:textAlignment w:val="baseline"/>
        <w:rPr>
          <w:rFonts w:ascii="Verdana" w:eastAsia="Times New Roman" w:hAnsi="Verdana" w:cs="Segoe UI"/>
          <w:sz w:val="18"/>
          <w:szCs w:val="18"/>
          <w:lang w:eastAsia="es-CO"/>
        </w:rPr>
      </w:pPr>
    </w:p>
    <w:p w14:paraId="0F293BF4" w14:textId="7BBFAB11" w:rsidR="00127233" w:rsidRPr="0044528D" w:rsidRDefault="00127233" w:rsidP="00665D70">
      <w:pPr>
        <w:spacing w:after="0"/>
        <w:jc w:val="both"/>
        <w:rPr>
          <w:rFonts w:ascii="Verdana" w:hAnsi="Verdana"/>
        </w:rPr>
      </w:pPr>
    </w:p>
    <w:sectPr w:rsidR="00127233"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43FB9C" w14:textId="77777777" w:rsidR="00491669" w:rsidRDefault="00491669" w:rsidP="004A1847">
      <w:pPr>
        <w:spacing w:after="0" w:line="240" w:lineRule="auto"/>
      </w:pPr>
      <w:r>
        <w:separator/>
      </w:r>
    </w:p>
  </w:endnote>
  <w:endnote w:type="continuationSeparator" w:id="0">
    <w:p w14:paraId="0E94EF49" w14:textId="77777777" w:rsidR="00491669" w:rsidRDefault="0049166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6955AC" w14:textId="77777777" w:rsidR="00491669" w:rsidRDefault="00491669" w:rsidP="004A1847">
      <w:pPr>
        <w:spacing w:after="0" w:line="240" w:lineRule="auto"/>
      </w:pPr>
      <w:r>
        <w:separator/>
      </w:r>
    </w:p>
  </w:footnote>
  <w:footnote w:type="continuationSeparator" w:id="0">
    <w:p w14:paraId="28E6F13D" w14:textId="77777777" w:rsidR="00491669" w:rsidRDefault="00491669" w:rsidP="004A1847">
      <w:pPr>
        <w:spacing w:after="0" w:line="240" w:lineRule="auto"/>
      </w:pPr>
      <w:r>
        <w:continuationSeparator/>
      </w:r>
    </w:p>
  </w:footnote>
  <w:footnote w:id="1">
    <w:p w14:paraId="0225B4EA" w14:textId="77777777" w:rsidR="0039727B" w:rsidRPr="0034663B" w:rsidRDefault="0039727B" w:rsidP="0039727B">
      <w:pPr>
        <w:pStyle w:val="Textonotapie"/>
        <w:ind w:firstLine="709"/>
        <w:jc w:val="both"/>
        <w:rPr>
          <w:rFonts w:ascii="Verdana" w:eastAsia="Times New Roman" w:hAnsi="Verdana" w:cs="Arial"/>
          <w:sz w:val="14"/>
          <w:szCs w:val="14"/>
          <w:lang w:val="es-CO" w:eastAsia="es-CO"/>
        </w:rPr>
      </w:pPr>
      <w:r w:rsidRPr="0034663B">
        <w:rPr>
          <w:rStyle w:val="Refdenotaalpie"/>
          <w:rFonts w:ascii="Verdana" w:hAnsi="Verdana" w:cs="Arial"/>
          <w:sz w:val="14"/>
          <w:szCs w:val="14"/>
        </w:rPr>
        <w:footnoteRef/>
      </w:r>
      <w:r w:rsidRPr="0034663B">
        <w:rPr>
          <w:rFonts w:ascii="Verdana" w:hAnsi="Verdana" w:cs="Arial"/>
          <w:sz w:val="14"/>
          <w:szCs w:val="14"/>
        </w:rPr>
        <w:t xml:space="preserve"> </w:t>
      </w:r>
      <w:r w:rsidRPr="0034663B">
        <w:rPr>
          <w:rFonts w:ascii="Verdana" w:eastAsia="Times New Roman" w:hAnsi="Verdana" w:cs="Arial"/>
          <w:sz w:val="14"/>
          <w:szCs w:val="14"/>
          <w:lang w:val="es-CO" w:eastAsia="es-CO"/>
        </w:rPr>
        <w:t>Consejo de Estado. Sección Tercera. Sentencia del 27 de abril de 2011. Exp. 18.293. C.P. Ruth Stella Correa Palacio.</w:t>
      </w:r>
    </w:p>
  </w:footnote>
  <w:footnote w:id="2">
    <w:p w14:paraId="7B9A2AE1" w14:textId="77777777" w:rsidR="0039727B" w:rsidRPr="0034663B" w:rsidRDefault="0039727B" w:rsidP="0039727B">
      <w:pPr>
        <w:pStyle w:val="Textonotapie"/>
        <w:ind w:firstLine="709"/>
        <w:jc w:val="both"/>
        <w:rPr>
          <w:rFonts w:ascii="Verdana" w:eastAsia="Times New Roman" w:hAnsi="Verdana" w:cs="Arial"/>
          <w:sz w:val="14"/>
          <w:szCs w:val="14"/>
          <w:lang w:val="es-CO" w:eastAsia="es-CO"/>
        </w:rPr>
      </w:pPr>
      <w:r w:rsidRPr="0034663B">
        <w:rPr>
          <w:rStyle w:val="Refdenotaalpie"/>
          <w:rFonts w:ascii="Verdana" w:hAnsi="Verdana" w:cs="Arial"/>
          <w:sz w:val="14"/>
          <w:szCs w:val="14"/>
        </w:rPr>
        <w:footnoteRef/>
      </w:r>
      <w:r w:rsidRPr="0034663B">
        <w:rPr>
          <w:rFonts w:ascii="Verdana" w:hAnsi="Verdana" w:cs="Arial"/>
          <w:sz w:val="14"/>
          <w:szCs w:val="14"/>
        </w:rPr>
        <w:t xml:space="preserve"> </w:t>
      </w:r>
      <w:r w:rsidRPr="0034663B">
        <w:rPr>
          <w:rFonts w:ascii="Verdana" w:eastAsia="Times New Roman" w:hAnsi="Verdana" w:cs="Arial"/>
          <w:sz w:val="14"/>
          <w:szCs w:val="14"/>
          <w:lang w:val="es-CO" w:eastAsia="es-CO"/>
        </w:rPr>
        <w:t>Consejo de Estado. Sección Tercera. Sentencia del 21 de noviembre de 2013  Exp. 25397. C.P. Carlos Alberto Zambrano Barrera.</w:t>
      </w:r>
    </w:p>
    <w:p w14:paraId="646BEA95" w14:textId="77777777" w:rsidR="0039727B" w:rsidRPr="0034663B" w:rsidRDefault="0039727B" w:rsidP="0039727B">
      <w:pPr>
        <w:pStyle w:val="Textonotapie"/>
        <w:ind w:firstLine="709"/>
        <w:jc w:val="both"/>
        <w:rPr>
          <w:rFonts w:ascii="Verdana" w:eastAsia="Calibri" w:hAnsi="Verdana" w:cs="Arial"/>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6E9DE83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95440931" o:spid="_x0000_i1025" type="#_x0000_t75" style="width:11.5pt;height:11.5pt;visibility:visible;mso-wrap-style:square">
            <v:imagedata r:id="rId1" o:title=""/>
          </v:shape>
        </w:pict>
      </mc:Choice>
      <mc:Fallback>
        <w:drawing>
          <wp:inline distT="0" distB="0" distL="0" distR="0" wp14:anchorId="79C9E909">
            <wp:extent cx="146050" cy="146050"/>
            <wp:effectExtent l="0" t="0" r="0" b="0"/>
            <wp:docPr id="1895440931" name="Imagen 1895440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170E0D"/>
    <w:multiLevelType w:val="hybridMultilevel"/>
    <w:tmpl w:val="7ADE2F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960B20"/>
    <w:multiLevelType w:val="hybridMultilevel"/>
    <w:tmpl w:val="929E1B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A9E6EFB"/>
    <w:multiLevelType w:val="hybridMultilevel"/>
    <w:tmpl w:val="9430A2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7D9353E"/>
    <w:multiLevelType w:val="hybridMultilevel"/>
    <w:tmpl w:val="CC0458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AB867CB"/>
    <w:multiLevelType w:val="hybridMultilevel"/>
    <w:tmpl w:val="5E321C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B4A5586"/>
    <w:multiLevelType w:val="hybridMultilevel"/>
    <w:tmpl w:val="7EBC6E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0"/>
  </w:num>
  <w:num w:numId="7" w16cid:durableId="1946422806">
    <w:abstractNumId w:val="7"/>
  </w:num>
  <w:num w:numId="8" w16cid:durableId="152644682">
    <w:abstractNumId w:val="19"/>
  </w:num>
  <w:num w:numId="9" w16cid:durableId="1317221377">
    <w:abstractNumId w:val="9"/>
  </w:num>
  <w:num w:numId="10" w16cid:durableId="1471245386">
    <w:abstractNumId w:val="18"/>
  </w:num>
  <w:num w:numId="11" w16cid:durableId="289172385">
    <w:abstractNumId w:val="10"/>
  </w:num>
  <w:num w:numId="12" w16cid:durableId="1470781324">
    <w:abstractNumId w:val="1"/>
  </w:num>
  <w:num w:numId="13" w16cid:durableId="1512908409">
    <w:abstractNumId w:val="3"/>
  </w:num>
  <w:num w:numId="14" w16cid:durableId="895897244">
    <w:abstractNumId w:val="21"/>
  </w:num>
  <w:num w:numId="15" w16cid:durableId="390349800">
    <w:abstractNumId w:val="14"/>
  </w:num>
  <w:num w:numId="16" w16cid:durableId="341274352">
    <w:abstractNumId w:val="0"/>
  </w:num>
  <w:num w:numId="17" w16cid:durableId="679089576">
    <w:abstractNumId w:val="12"/>
  </w:num>
  <w:num w:numId="18" w16cid:durableId="1492209491">
    <w:abstractNumId w:val="6"/>
  </w:num>
  <w:num w:numId="19" w16cid:durableId="588075328">
    <w:abstractNumId w:val="11"/>
  </w:num>
  <w:num w:numId="20" w16cid:durableId="1726873722">
    <w:abstractNumId w:val="15"/>
  </w:num>
  <w:num w:numId="21" w16cid:durableId="91750524">
    <w:abstractNumId w:val="13"/>
  </w:num>
  <w:num w:numId="22" w16cid:durableId="890338646">
    <w:abstractNumId w:val="4"/>
  </w:num>
  <w:num w:numId="23" w16cid:durableId="1782337420">
    <w:abstractNumId w:val="17"/>
  </w:num>
  <w:num w:numId="24" w16cid:durableId="11083521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6486"/>
    <w:rsid w:val="00125105"/>
    <w:rsid w:val="00127233"/>
    <w:rsid w:val="001353FF"/>
    <w:rsid w:val="001E4177"/>
    <w:rsid w:val="001F78F2"/>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9727B"/>
    <w:rsid w:val="003A26D1"/>
    <w:rsid w:val="003A779E"/>
    <w:rsid w:val="003B5813"/>
    <w:rsid w:val="003D0F4D"/>
    <w:rsid w:val="003D5B0D"/>
    <w:rsid w:val="003D6A24"/>
    <w:rsid w:val="003E0499"/>
    <w:rsid w:val="003F3941"/>
    <w:rsid w:val="00406575"/>
    <w:rsid w:val="0042722E"/>
    <w:rsid w:val="0044528D"/>
    <w:rsid w:val="00491669"/>
    <w:rsid w:val="004A1847"/>
    <w:rsid w:val="004A305D"/>
    <w:rsid w:val="004E0074"/>
    <w:rsid w:val="004F21C4"/>
    <w:rsid w:val="004F685F"/>
    <w:rsid w:val="005566E8"/>
    <w:rsid w:val="00574867"/>
    <w:rsid w:val="00591460"/>
    <w:rsid w:val="00592628"/>
    <w:rsid w:val="005C3777"/>
    <w:rsid w:val="005C5CDC"/>
    <w:rsid w:val="005D476C"/>
    <w:rsid w:val="00610812"/>
    <w:rsid w:val="006219F8"/>
    <w:rsid w:val="00650FF7"/>
    <w:rsid w:val="00665D70"/>
    <w:rsid w:val="006719F8"/>
    <w:rsid w:val="00671DAC"/>
    <w:rsid w:val="006900D9"/>
    <w:rsid w:val="006D12F8"/>
    <w:rsid w:val="006D3090"/>
    <w:rsid w:val="00706C16"/>
    <w:rsid w:val="00756841"/>
    <w:rsid w:val="007649AB"/>
    <w:rsid w:val="00771D0C"/>
    <w:rsid w:val="007833AC"/>
    <w:rsid w:val="007B268C"/>
    <w:rsid w:val="007B7171"/>
    <w:rsid w:val="007C0C0F"/>
    <w:rsid w:val="007C3DC2"/>
    <w:rsid w:val="007E5497"/>
    <w:rsid w:val="00806F5F"/>
    <w:rsid w:val="00820278"/>
    <w:rsid w:val="008810B3"/>
    <w:rsid w:val="008843B6"/>
    <w:rsid w:val="00891928"/>
    <w:rsid w:val="008A446D"/>
    <w:rsid w:val="008C666A"/>
    <w:rsid w:val="008D180B"/>
    <w:rsid w:val="008F0EA7"/>
    <w:rsid w:val="009042C9"/>
    <w:rsid w:val="00923EEF"/>
    <w:rsid w:val="009419F9"/>
    <w:rsid w:val="0095685E"/>
    <w:rsid w:val="00961B09"/>
    <w:rsid w:val="00965334"/>
    <w:rsid w:val="0097093E"/>
    <w:rsid w:val="009A0DFA"/>
    <w:rsid w:val="009B2D26"/>
    <w:rsid w:val="009C71FA"/>
    <w:rsid w:val="009C72E7"/>
    <w:rsid w:val="009D3058"/>
    <w:rsid w:val="009F3A13"/>
    <w:rsid w:val="00A03597"/>
    <w:rsid w:val="00A122D3"/>
    <w:rsid w:val="00A17F13"/>
    <w:rsid w:val="00A20739"/>
    <w:rsid w:val="00A33C78"/>
    <w:rsid w:val="00AB0ADB"/>
    <w:rsid w:val="00B01B1A"/>
    <w:rsid w:val="00B72CD3"/>
    <w:rsid w:val="00B72FFF"/>
    <w:rsid w:val="00BC3D36"/>
    <w:rsid w:val="00BD7F72"/>
    <w:rsid w:val="00C04FB3"/>
    <w:rsid w:val="00C330EB"/>
    <w:rsid w:val="00C754BE"/>
    <w:rsid w:val="00C76B1C"/>
    <w:rsid w:val="00CB6357"/>
    <w:rsid w:val="00CC1B26"/>
    <w:rsid w:val="00CF465F"/>
    <w:rsid w:val="00D423A2"/>
    <w:rsid w:val="00D520D8"/>
    <w:rsid w:val="00D63AC2"/>
    <w:rsid w:val="00D7383B"/>
    <w:rsid w:val="00DA231B"/>
    <w:rsid w:val="00DA23A0"/>
    <w:rsid w:val="00DC39FC"/>
    <w:rsid w:val="00DE3B4E"/>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11877"/>
    <w:rsid w:val="00F31EDC"/>
    <w:rsid w:val="00F32EDD"/>
    <w:rsid w:val="00F462B3"/>
    <w:rsid w:val="00F5664F"/>
    <w:rsid w:val="00F666C4"/>
    <w:rsid w:val="00F76AFC"/>
    <w:rsid w:val="00FA47C0"/>
    <w:rsid w:val="00FB5DD1"/>
    <w:rsid w:val="00FC2B5D"/>
    <w:rsid w:val="00FF1449"/>
    <w:rsid w:val="00FF5800"/>
    <w:rsid w:val="5CEADB7B"/>
    <w:rsid w:val="7F75D12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9727B"/>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ontent/04-documentos-tipo-para-licitacion-de-obra-publica-de-infraestructura-de-transporte-versio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manuales-guias-y-pliegos-tipo/manuales-y-guias/"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BD54F6C-6EA0-46F4-ADD1-1B2ACAD80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dcmitype/"/>
    <ds:schemaRef ds:uri="http://schemas.microsoft.com/office/2006/documentManagement/types"/>
    <ds:schemaRef ds:uri="http://www.w3.org/XML/1998/namespace"/>
    <ds:schemaRef ds:uri="http://purl.org/dc/terms/"/>
    <ds:schemaRef ds:uri="http://schemas.microsoft.com/office/2006/metadata/properties"/>
    <ds:schemaRef ds:uri="http://schemas.openxmlformats.org/package/2006/metadata/core-properties"/>
    <ds:schemaRef ds:uri="http://schemas.microsoft.com/office/infopath/2007/PartnerControls"/>
    <ds:schemaRef ds:uri="a6cb9e4b-f1d1-4245-83ec-6cad768d538a"/>
    <ds:schemaRef ds:uri="http://purl.org/dc/elements/1.1/"/>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3839</Words>
  <Characters>21118</Characters>
  <Application>Microsoft Office Word</Application>
  <DocSecurity>0</DocSecurity>
  <Lines>175</Lines>
  <Paragraphs>49</Paragraphs>
  <ScaleCrop>false</ScaleCrop>
  <Company/>
  <LinksUpToDate>false</LinksUpToDate>
  <CharactersWithSpaces>24908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2024-09-02T20:37:00Z</dcterms:created>
  <dcterms:modified xsi:type="dcterms:W3CDTF">2024-09-02T20:37:00Z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