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F3A2" w14:textId="77777777" w:rsidR="00404998" w:rsidRPr="004B07F9" w:rsidRDefault="00404998" w:rsidP="00404998">
      <w:pPr>
        <w:spacing w:after="0" w:line="240" w:lineRule="auto"/>
        <w:jc w:val="both"/>
        <w:rPr>
          <w:rFonts w:ascii="Verdana" w:eastAsia="Arial" w:hAnsi="Verdana" w:cs="Arial"/>
          <w:color w:val="000000"/>
        </w:rPr>
      </w:pPr>
      <w:bookmarkStart w:id="0" w:name="_Hlk143780582"/>
      <w:r w:rsidRPr="004B07F9">
        <w:rPr>
          <w:rFonts w:ascii="Verdana" w:eastAsia="Arial" w:hAnsi="Verdana" w:cs="Arial"/>
          <w:b/>
          <w:bCs/>
          <w:color w:val="000000" w:themeColor="text1"/>
        </w:rPr>
        <w:t>PRINCIPIO DE SELECCIÓN OBJETIVA – Fundamento – Alcance – reglas aplicables</w:t>
      </w:r>
    </w:p>
    <w:p w14:paraId="779954F5" w14:textId="77777777" w:rsidR="00404998" w:rsidRPr="004B07F9" w:rsidRDefault="00404998" w:rsidP="00404998">
      <w:pPr>
        <w:spacing w:after="0" w:line="240" w:lineRule="auto"/>
        <w:jc w:val="both"/>
        <w:rPr>
          <w:rFonts w:ascii="Verdana" w:eastAsia="Arial" w:hAnsi="Verdana" w:cs="Arial"/>
          <w:color w:val="000000"/>
        </w:rPr>
      </w:pPr>
    </w:p>
    <w:p w14:paraId="505D234E" w14:textId="3C4F4F40" w:rsidR="00404998" w:rsidRPr="004B07F9" w:rsidRDefault="00CE534B" w:rsidP="00404998">
      <w:pPr>
        <w:spacing w:after="0" w:line="240" w:lineRule="auto"/>
        <w:jc w:val="both"/>
        <w:rPr>
          <w:rFonts w:ascii="Verdana" w:eastAsia="Arial" w:hAnsi="Verdana" w:cs="Arial"/>
          <w:color w:val="000000"/>
          <w:sz w:val="20"/>
          <w:szCs w:val="20"/>
        </w:rPr>
      </w:pPr>
      <w:r w:rsidRPr="004B07F9">
        <w:rPr>
          <w:rFonts w:ascii="Verdana" w:eastAsia="Calibri" w:hAnsi="Verdana" w:cs="Arial"/>
          <w:sz w:val="20"/>
          <w:szCs w:val="20"/>
          <w:lang w:val="es-ES"/>
        </w:rPr>
        <w:t xml:space="preserve">[…] </w:t>
      </w:r>
      <w:r w:rsidR="00404998" w:rsidRPr="004B07F9">
        <w:rPr>
          <w:rFonts w:ascii="Verdana" w:eastAsia="Arial" w:hAnsi="Verdana" w:cs="Arial"/>
          <w:color w:val="000000"/>
          <w:sz w:val="20"/>
          <w:szCs w:val="20"/>
        </w:rPr>
        <w:t>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 importancia para la transparencia, en disposiciones como el artículo 24, numeral 5º, literal a) de la Ley 80 de 1993, que regula el principio de transparencia, y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w:t>
      </w:r>
    </w:p>
    <w:p w14:paraId="20203B2F" w14:textId="77777777" w:rsidR="00404998" w:rsidRPr="004B07F9" w:rsidRDefault="00404998" w:rsidP="00404998">
      <w:pPr>
        <w:spacing w:after="0" w:line="240" w:lineRule="auto"/>
        <w:jc w:val="both"/>
        <w:rPr>
          <w:rFonts w:ascii="Verdana" w:eastAsia="Arial" w:hAnsi="Verdana" w:cs="Arial"/>
          <w:color w:val="000000"/>
          <w:sz w:val="20"/>
          <w:szCs w:val="20"/>
        </w:rPr>
      </w:pPr>
    </w:p>
    <w:p w14:paraId="181AA08C" w14:textId="77777777" w:rsidR="00F279E2" w:rsidRPr="004B07F9" w:rsidRDefault="00F279E2" w:rsidP="00F279E2">
      <w:pPr>
        <w:spacing w:after="0"/>
        <w:jc w:val="both"/>
        <w:rPr>
          <w:rFonts w:ascii="Verdana" w:eastAsia="Times New Roman" w:hAnsi="Verdana" w:cs="Arial"/>
          <w:b/>
          <w:bCs/>
          <w:color w:val="000000" w:themeColor="text1"/>
          <w:lang w:val="es-ES"/>
        </w:rPr>
      </w:pPr>
      <w:r w:rsidRPr="004B07F9">
        <w:rPr>
          <w:rFonts w:ascii="Verdana" w:eastAsia="Times New Roman" w:hAnsi="Verdana" w:cs="Arial"/>
          <w:b/>
          <w:bCs/>
          <w:color w:val="000000" w:themeColor="text1"/>
          <w:lang w:val="es-ES"/>
        </w:rPr>
        <w:t>SELECCIÓN OBJETIVA – Requisitos de ponderación – Asignación de puntaje – Comparación de ofertas</w:t>
      </w:r>
    </w:p>
    <w:p w14:paraId="508DDC59" w14:textId="77777777" w:rsidR="00F279E2" w:rsidRPr="004B07F9" w:rsidRDefault="00F279E2" w:rsidP="00F279E2">
      <w:pPr>
        <w:spacing w:after="120" w:line="240" w:lineRule="auto"/>
        <w:jc w:val="both"/>
        <w:rPr>
          <w:rFonts w:ascii="Verdana" w:eastAsia="Times New Roman" w:hAnsi="Verdana" w:cs="Arial"/>
          <w:sz w:val="20"/>
          <w:szCs w:val="20"/>
        </w:rPr>
      </w:pPr>
    </w:p>
    <w:p w14:paraId="6D4B12BA" w14:textId="77777777" w:rsidR="00F279E2" w:rsidRPr="004B07F9" w:rsidRDefault="00F279E2" w:rsidP="00F279E2">
      <w:pPr>
        <w:spacing w:after="120" w:line="240" w:lineRule="auto"/>
        <w:jc w:val="both"/>
        <w:rPr>
          <w:rFonts w:ascii="Verdana" w:eastAsia="Times New Roman" w:hAnsi="Verdana" w:cs="Arial"/>
          <w:color w:val="000000" w:themeColor="text1"/>
          <w:sz w:val="20"/>
          <w:szCs w:val="20"/>
          <w:lang w:val="es-ES"/>
        </w:rPr>
      </w:pPr>
      <w:r w:rsidRPr="004B07F9">
        <w:rPr>
          <w:rFonts w:ascii="Verdana" w:eastAsia="Times New Roman" w:hAnsi="Verdana" w:cs="Arial"/>
          <w:color w:val="000000" w:themeColor="text1"/>
          <w:sz w:val="20"/>
          <w:szCs w:val="20"/>
          <w:lang w:val="es-ES"/>
        </w:rPr>
        <w:t>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w:t>
      </w:r>
    </w:p>
    <w:p w14:paraId="741A65F3" w14:textId="77777777" w:rsidR="00F279E2" w:rsidRPr="004B07F9" w:rsidRDefault="00F279E2" w:rsidP="00F279E2">
      <w:pPr>
        <w:spacing w:after="120" w:line="240" w:lineRule="auto"/>
        <w:jc w:val="both"/>
        <w:rPr>
          <w:rFonts w:ascii="Verdana" w:eastAsia="Times New Roman" w:hAnsi="Verdana" w:cs="Arial"/>
          <w:color w:val="000000" w:themeColor="text1"/>
          <w:sz w:val="20"/>
          <w:szCs w:val="20"/>
          <w:lang w:val="es-ES_tradnl"/>
        </w:rPr>
      </w:pPr>
      <w:r w:rsidRPr="004B07F9">
        <w:rPr>
          <w:rFonts w:ascii="Verdana" w:eastAsia="Times New Roman" w:hAnsi="Verdana" w:cs="Arial"/>
          <w:color w:val="000000" w:themeColor="text1"/>
          <w:sz w:val="20"/>
          <w:szCs w:val="20"/>
          <w:lang w:val="es-ES_tradnl"/>
        </w:rPr>
        <w:t xml:space="preserve">[…]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w:t>
      </w:r>
      <w:r w:rsidRPr="004B07F9">
        <w:rPr>
          <w:rFonts w:ascii="Verdana" w:eastAsia="Times New Roman" w:hAnsi="Verdana" w:cs="Arial"/>
          <w:i/>
          <w:iCs/>
          <w:color w:val="000000" w:themeColor="text1"/>
          <w:sz w:val="20"/>
          <w:szCs w:val="20"/>
          <w:lang w:val="es-ES_tradnl"/>
        </w:rPr>
        <w:t>como “[…] aquellas condiciones de la oferta y no de quien la presenta, que sí entrarán a ser evaluadas por la Administración y que, en consecuencia, darán lugar a la escogencia objetiva de la mejor propuesta para la entidad”.</w:t>
      </w:r>
      <w:r w:rsidRPr="004B07F9">
        <w:rPr>
          <w:rFonts w:ascii="Verdana" w:eastAsia="Times New Roman" w:hAnsi="Verdana" w:cs="Arial"/>
          <w:color w:val="000000" w:themeColor="text1"/>
          <w:sz w:val="20"/>
          <w:szCs w:val="20"/>
          <w:lang w:val="es-ES_tradnl"/>
        </w:rPr>
        <w:t xml:space="preserve"> Todas estas categorías designan los </w:t>
      </w:r>
      <w:r w:rsidRPr="004B07F9">
        <w:rPr>
          <w:rFonts w:ascii="Verdana" w:eastAsia="Times New Roman" w:hAnsi="Verdana" w:cs="Arial"/>
          <w:i/>
          <w:iCs/>
          <w:color w:val="000000" w:themeColor="text1"/>
          <w:sz w:val="20"/>
          <w:szCs w:val="20"/>
          <w:lang w:val="es-ES_tradnl"/>
        </w:rPr>
        <w:t xml:space="preserve">“[…] factores a los cuales cabe otorgarles puntajes o que pueden </w:t>
      </w:r>
      <w:r w:rsidRPr="004B07F9">
        <w:rPr>
          <w:rFonts w:ascii="Verdana" w:eastAsia="Times New Roman" w:hAnsi="Verdana" w:cs="Arial"/>
          <w:i/>
          <w:iCs/>
          <w:color w:val="000000" w:themeColor="text1"/>
          <w:sz w:val="20"/>
          <w:szCs w:val="20"/>
          <w:lang w:val="es-ES_tradnl"/>
        </w:rPr>
        <w:lastRenderedPageBreak/>
        <w:t>ser ponderados, precisamente, pues estos son los factores que en últimas permiten una comparación de ofertas y una diferenciación entre ellas”</w:t>
      </w:r>
      <w:r w:rsidRPr="004B07F9">
        <w:rPr>
          <w:rFonts w:ascii="Verdana" w:eastAsia="Times New Roman" w:hAnsi="Verdana" w:cs="Arial"/>
          <w:color w:val="000000" w:themeColor="text1"/>
          <w:sz w:val="20"/>
          <w:szCs w:val="20"/>
          <w:lang w:val="es-ES_tradnl"/>
        </w:rPr>
        <w:t xml:space="preserve"> […].</w:t>
      </w:r>
    </w:p>
    <w:p w14:paraId="33C60933" w14:textId="77777777" w:rsidR="00F279E2" w:rsidRPr="004B07F9" w:rsidRDefault="00F279E2" w:rsidP="00F279E2">
      <w:pPr>
        <w:spacing w:after="120" w:line="240" w:lineRule="auto"/>
        <w:jc w:val="both"/>
        <w:rPr>
          <w:rFonts w:ascii="Verdana" w:eastAsia="Times New Roman" w:hAnsi="Verdana" w:cs="Arial"/>
          <w:color w:val="000000" w:themeColor="text1"/>
          <w:sz w:val="20"/>
          <w:szCs w:val="20"/>
          <w:lang w:val="es-ES_tradnl"/>
        </w:rPr>
      </w:pPr>
      <w:r w:rsidRPr="004B07F9">
        <w:rPr>
          <w:rFonts w:ascii="Verdana" w:eastAsia="Times New Roman" w:hAnsi="Verdana" w:cs="Arial"/>
          <w:color w:val="000000" w:themeColor="text1"/>
          <w:sz w:val="20"/>
          <w:szCs w:val="20"/>
          <w:lang w:val="es-ES_tradnl"/>
        </w:rPr>
        <w:t>[…] De acuerdo con lo anterior, es posible asimilar las diferentes categorías a las que hace referencia el artículo 5 de la Ley 1150 de 2007, cuando alude a los factores ponderables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w:t>
      </w:r>
      <w:r w:rsidRPr="004B07F9">
        <w:rPr>
          <w:rFonts w:ascii="Verdana" w:eastAsia="Times New Roman" w:hAnsi="Verdana" w:cs="Arial"/>
          <w:bCs/>
          <w:sz w:val="20"/>
          <w:szCs w:val="20"/>
        </w:rPr>
        <w:t xml:space="preserve"> para ello las reglas establecidas en el pliego o documento equivalente para la ponderación de las ofertas.</w:t>
      </w:r>
    </w:p>
    <w:p w14:paraId="4F5BAEFC" w14:textId="77777777" w:rsidR="00F279E2" w:rsidRPr="004B07F9" w:rsidRDefault="00F279E2" w:rsidP="00F279E2">
      <w:pPr>
        <w:shd w:val="clear" w:color="auto" w:fill="FFFFFF"/>
        <w:spacing w:after="0" w:line="240" w:lineRule="auto"/>
        <w:jc w:val="both"/>
        <w:rPr>
          <w:rFonts w:ascii="Verdana" w:eastAsia="Times New Roman" w:hAnsi="Verdana" w:cs="Arial"/>
          <w:sz w:val="20"/>
          <w:szCs w:val="20"/>
        </w:rPr>
      </w:pPr>
      <w:r w:rsidRPr="004B07F9">
        <w:rPr>
          <w:rFonts w:ascii="Verdana" w:eastAsia="Times New Roman" w:hAnsi="Verdana" w:cs="Arial"/>
          <w:bCs/>
          <w:sz w:val="20"/>
          <w:szCs w:val="20"/>
        </w:rPr>
        <w:t xml:space="preserve">En ese sentido, la asignación de puntaje es un mecanismo mediante el cual las entidades ponderan los factores de calificación </w:t>
      </w:r>
      <w:r w:rsidRPr="004B07F9">
        <w:rPr>
          <w:rFonts w:ascii="Arial" w:eastAsia="Times New Roman" w:hAnsi="Arial" w:cs="Arial"/>
          <w:bCs/>
          <w:sz w:val="20"/>
          <w:szCs w:val="20"/>
        </w:rPr>
        <w:t>ꟷ</w:t>
      </w:r>
      <w:r w:rsidRPr="004B07F9">
        <w:rPr>
          <w:rFonts w:ascii="Verdana" w:eastAsia="Times New Roman" w:hAnsi="Verdana" w:cs="Arial"/>
          <w:bCs/>
          <w:i/>
          <w:iCs/>
          <w:sz w:val="20"/>
          <w:szCs w:val="20"/>
        </w:rPr>
        <w:t>v.g.</w:t>
      </w:r>
      <w:r w:rsidRPr="004B07F9">
        <w:rPr>
          <w:rFonts w:ascii="Verdana" w:eastAsia="Times New Roman" w:hAnsi="Verdana" w:cs="Arial"/>
          <w:bCs/>
          <w:sz w:val="20"/>
          <w:szCs w:val="20"/>
        </w:rPr>
        <w:t xml:space="preserve"> técnicos y económicos, de calidad y precio</w:t>
      </w:r>
      <w:r w:rsidRPr="004B07F9">
        <w:rPr>
          <w:rFonts w:ascii="Verdana" w:eastAsia="Times New Roman" w:hAnsi="Verdana" w:cs="Arial"/>
          <w:bCs/>
          <w:sz w:val="20"/>
          <w:szCs w:val="20"/>
        </w:rPr>
        <w:softHyphen/>
        <w:t>, etc.</w:t>
      </w:r>
      <w:r w:rsidRPr="004B07F9">
        <w:rPr>
          <w:rFonts w:ascii="Arial" w:eastAsia="Times New Roman" w:hAnsi="Arial" w:cs="Arial"/>
          <w:bCs/>
          <w:sz w:val="20"/>
          <w:szCs w:val="20"/>
        </w:rPr>
        <w:t>ꟷ</w:t>
      </w:r>
      <w:r w:rsidRPr="004B07F9">
        <w:rPr>
          <w:rFonts w:ascii="Verdana" w:eastAsia="Times New Roman" w:hAnsi="Verdana" w:cs="Arial"/>
          <w:bCs/>
          <w:sz w:val="20"/>
          <w:szCs w:val="20"/>
        </w:rPr>
        <w:t xml:space="preserve"> en un determinado proceso de selecci</w:t>
      </w:r>
      <w:r w:rsidRPr="004B07F9">
        <w:rPr>
          <w:rFonts w:ascii="Verdana" w:eastAsia="Times New Roman" w:hAnsi="Verdana" w:cs="Verdana"/>
          <w:bCs/>
          <w:sz w:val="20"/>
          <w:szCs w:val="20"/>
        </w:rPr>
        <w:t>ó</w:t>
      </w:r>
      <w:r w:rsidRPr="004B07F9">
        <w:rPr>
          <w:rFonts w:ascii="Verdana" w:eastAsia="Times New Roman" w:hAnsi="Verdana" w:cs="Arial"/>
          <w:bCs/>
          <w:sz w:val="20"/>
          <w:szCs w:val="20"/>
        </w:rPr>
        <w:t>n, como se desprende del literal a) del numeral 2 del art</w:t>
      </w:r>
      <w:r w:rsidRPr="004B07F9">
        <w:rPr>
          <w:rFonts w:ascii="Verdana" w:eastAsia="Times New Roman" w:hAnsi="Verdana" w:cs="Verdana"/>
          <w:bCs/>
          <w:sz w:val="20"/>
          <w:szCs w:val="20"/>
        </w:rPr>
        <w:t>í</w:t>
      </w:r>
      <w:r w:rsidRPr="004B07F9">
        <w:rPr>
          <w:rFonts w:ascii="Verdana" w:eastAsia="Times New Roman" w:hAnsi="Verdana" w:cs="Arial"/>
          <w:bCs/>
          <w:sz w:val="20"/>
          <w:szCs w:val="20"/>
        </w:rPr>
        <w:t xml:space="preserve">culo 5 de la Ley 1150 de 2007, en el que expresamente se alude al puntaje. Sin embargo, no es este el </w:t>
      </w:r>
      <w:r w:rsidRPr="004B07F9">
        <w:rPr>
          <w:rFonts w:ascii="Verdana" w:eastAsia="Times New Roman" w:hAnsi="Verdana" w:cs="Verdana"/>
          <w:bCs/>
          <w:sz w:val="20"/>
          <w:szCs w:val="20"/>
        </w:rPr>
        <w:t>ú</w:t>
      </w:r>
      <w:r w:rsidRPr="004B07F9">
        <w:rPr>
          <w:rFonts w:ascii="Verdana" w:eastAsia="Times New Roman" w:hAnsi="Verdana" w:cs="Arial"/>
          <w:bCs/>
          <w:sz w:val="20"/>
          <w:szCs w:val="20"/>
        </w:rPr>
        <w:t>nico mecanismo de ponderaci</w:t>
      </w:r>
      <w:r w:rsidRPr="004B07F9">
        <w:rPr>
          <w:rFonts w:ascii="Verdana" w:eastAsia="Times New Roman" w:hAnsi="Verdana" w:cs="Verdana"/>
          <w:bCs/>
          <w:sz w:val="20"/>
          <w:szCs w:val="20"/>
        </w:rPr>
        <w:t>ó</w:t>
      </w:r>
      <w:r w:rsidRPr="004B07F9">
        <w:rPr>
          <w:rFonts w:ascii="Verdana" w:eastAsia="Times New Roman" w:hAnsi="Verdana" w:cs="Arial"/>
          <w:bCs/>
          <w:sz w:val="20"/>
          <w:szCs w:val="20"/>
        </w:rPr>
        <w:t>n que tienen a su alcance la Entidad Estatal para determinar el ofrecimiento m</w:t>
      </w:r>
      <w:r w:rsidRPr="004B07F9">
        <w:rPr>
          <w:rFonts w:ascii="Verdana" w:eastAsia="Times New Roman" w:hAnsi="Verdana" w:cs="Verdana"/>
          <w:bCs/>
          <w:sz w:val="20"/>
          <w:szCs w:val="20"/>
        </w:rPr>
        <w:t>á</w:t>
      </w:r>
      <w:r w:rsidRPr="004B07F9">
        <w:rPr>
          <w:rFonts w:ascii="Verdana" w:eastAsia="Times New Roman" w:hAnsi="Verdana" w:cs="Arial"/>
          <w:bCs/>
          <w:sz w:val="20"/>
          <w:szCs w:val="20"/>
        </w:rPr>
        <w:t>s favorable, ya que el propio literal b) del art</w:t>
      </w:r>
      <w:r w:rsidRPr="004B07F9">
        <w:rPr>
          <w:rFonts w:ascii="Verdana" w:eastAsia="Times New Roman" w:hAnsi="Verdana" w:cs="Verdana"/>
          <w:bCs/>
          <w:sz w:val="20"/>
          <w:szCs w:val="20"/>
        </w:rPr>
        <w:t>í</w:t>
      </w:r>
      <w:r w:rsidRPr="004B07F9">
        <w:rPr>
          <w:rFonts w:ascii="Verdana" w:eastAsia="Times New Roman" w:hAnsi="Verdana" w:cs="Arial"/>
          <w:bCs/>
          <w:sz w:val="20"/>
          <w:szCs w:val="20"/>
        </w:rPr>
        <w:t>culo 5.2 posibilita que el ofrecimiento m</w:t>
      </w:r>
      <w:r w:rsidRPr="004B07F9">
        <w:rPr>
          <w:rFonts w:ascii="Verdana" w:eastAsia="Times New Roman" w:hAnsi="Verdana" w:cs="Verdana"/>
          <w:bCs/>
          <w:sz w:val="20"/>
          <w:szCs w:val="20"/>
        </w:rPr>
        <w:t>á</w:t>
      </w:r>
      <w:r w:rsidRPr="004B07F9">
        <w:rPr>
          <w:rFonts w:ascii="Verdana" w:eastAsia="Times New Roman" w:hAnsi="Verdana" w:cs="Arial"/>
          <w:bCs/>
          <w:sz w:val="20"/>
          <w:szCs w:val="20"/>
        </w:rPr>
        <w:t>s favorable se determine con un an</w:t>
      </w:r>
      <w:r w:rsidRPr="004B07F9">
        <w:rPr>
          <w:rFonts w:ascii="Verdana" w:eastAsia="Times New Roman" w:hAnsi="Verdana" w:cs="Verdana"/>
          <w:bCs/>
          <w:sz w:val="20"/>
          <w:szCs w:val="20"/>
        </w:rPr>
        <w:t>á</w:t>
      </w:r>
      <w:r w:rsidRPr="004B07F9">
        <w:rPr>
          <w:rFonts w:ascii="Verdana" w:eastAsia="Times New Roman" w:hAnsi="Verdana" w:cs="Arial"/>
          <w:bCs/>
          <w:sz w:val="20"/>
          <w:szCs w:val="20"/>
        </w:rPr>
        <w:t>lisis de la relaci</w:t>
      </w:r>
      <w:r w:rsidRPr="004B07F9">
        <w:rPr>
          <w:rFonts w:ascii="Verdana" w:eastAsia="Times New Roman" w:hAnsi="Verdana" w:cs="Verdana"/>
          <w:bCs/>
          <w:sz w:val="20"/>
          <w:szCs w:val="20"/>
        </w:rPr>
        <w:t>ó</w:t>
      </w:r>
      <w:r w:rsidRPr="004B07F9">
        <w:rPr>
          <w:rFonts w:ascii="Verdana" w:eastAsia="Times New Roman" w:hAnsi="Verdana" w:cs="Arial"/>
          <w:bCs/>
          <w:sz w:val="20"/>
          <w:szCs w:val="20"/>
        </w:rPr>
        <w:t xml:space="preserve">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 </w:t>
      </w:r>
    </w:p>
    <w:p w14:paraId="21B975E3" w14:textId="77777777" w:rsidR="00404998" w:rsidRPr="004B07F9" w:rsidRDefault="00404998" w:rsidP="007D5968">
      <w:pPr>
        <w:spacing w:after="0" w:line="240" w:lineRule="auto"/>
        <w:rPr>
          <w:rFonts w:ascii="Verdana" w:eastAsia="Verdana" w:hAnsi="Verdana" w:cs="Verdana"/>
        </w:rPr>
      </w:pPr>
    </w:p>
    <w:p w14:paraId="1C6AFA8D" w14:textId="77777777" w:rsidR="00404998" w:rsidRPr="004B07F9" w:rsidRDefault="00404998" w:rsidP="007D5968">
      <w:pPr>
        <w:spacing w:after="0" w:line="240" w:lineRule="auto"/>
        <w:rPr>
          <w:rFonts w:ascii="Verdana" w:eastAsia="Verdana" w:hAnsi="Verdana" w:cs="Verdana"/>
        </w:rPr>
      </w:pPr>
    </w:p>
    <w:p w14:paraId="4F20542D" w14:textId="77777777" w:rsidR="00404998" w:rsidRPr="004B07F9" w:rsidRDefault="00404998" w:rsidP="30821638">
      <w:pPr>
        <w:spacing w:after="0"/>
        <w:rPr>
          <w:rFonts w:ascii="Verdana" w:eastAsia="Verdana" w:hAnsi="Verdana" w:cs="Verdana"/>
        </w:rPr>
      </w:pPr>
    </w:p>
    <w:p w14:paraId="07D144F4" w14:textId="77777777" w:rsidR="00404998" w:rsidRPr="004B07F9" w:rsidRDefault="00404998" w:rsidP="30821638">
      <w:pPr>
        <w:spacing w:after="0"/>
        <w:rPr>
          <w:rFonts w:ascii="Verdana" w:eastAsia="Verdana" w:hAnsi="Verdana" w:cs="Verdana"/>
        </w:rPr>
      </w:pPr>
    </w:p>
    <w:p w14:paraId="2A636AA4" w14:textId="77777777" w:rsidR="00404998" w:rsidRPr="004B07F9" w:rsidRDefault="00404998" w:rsidP="30821638">
      <w:pPr>
        <w:spacing w:after="0"/>
        <w:rPr>
          <w:rFonts w:ascii="Verdana" w:eastAsia="Verdana" w:hAnsi="Verdana" w:cs="Verdana"/>
        </w:rPr>
      </w:pPr>
    </w:p>
    <w:p w14:paraId="478497F2" w14:textId="77777777" w:rsidR="00404998" w:rsidRPr="004B07F9" w:rsidRDefault="00404998" w:rsidP="30821638">
      <w:pPr>
        <w:spacing w:after="0"/>
        <w:rPr>
          <w:rFonts w:ascii="Verdana" w:eastAsia="Verdana" w:hAnsi="Verdana" w:cs="Verdana"/>
        </w:rPr>
      </w:pPr>
    </w:p>
    <w:p w14:paraId="791E7EB5" w14:textId="77777777" w:rsidR="00404998" w:rsidRPr="004B07F9" w:rsidRDefault="00404998" w:rsidP="30821638">
      <w:pPr>
        <w:spacing w:after="0"/>
        <w:rPr>
          <w:rFonts w:ascii="Verdana" w:eastAsia="Verdana" w:hAnsi="Verdana" w:cs="Verdana"/>
        </w:rPr>
      </w:pPr>
    </w:p>
    <w:p w14:paraId="07E34162" w14:textId="77777777" w:rsidR="00404998" w:rsidRPr="004B07F9" w:rsidRDefault="00404998" w:rsidP="30821638">
      <w:pPr>
        <w:spacing w:after="0"/>
        <w:rPr>
          <w:rFonts w:ascii="Verdana" w:eastAsia="Verdana" w:hAnsi="Verdana" w:cs="Verdana"/>
        </w:rPr>
      </w:pPr>
    </w:p>
    <w:p w14:paraId="7BEEF322" w14:textId="77777777" w:rsidR="00404998" w:rsidRPr="004B07F9" w:rsidRDefault="00404998" w:rsidP="30821638">
      <w:pPr>
        <w:spacing w:after="0"/>
        <w:rPr>
          <w:rFonts w:ascii="Verdana" w:eastAsia="Verdana" w:hAnsi="Verdana" w:cs="Verdana"/>
        </w:rPr>
      </w:pPr>
    </w:p>
    <w:p w14:paraId="2437888C" w14:textId="77777777" w:rsidR="00404998" w:rsidRPr="004B07F9" w:rsidRDefault="00404998" w:rsidP="30821638">
      <w:pPr>
        <w:spacing w:after="0"/>
        <w:rPr>
          <w:rFonts w:ascii="Verdana" w:eastAsia="Verdana" w:hAnsi="Verdana" w:cs="Verdana"/>
        </w:rPr>
      </w:pPr>
    </w:p>
    <w:p w14:paraId="5E48461C" w14:textId="77777777" w:rsidR="00404998" w:rsidRPr="004B07F9" w:rsidRDefault="00404998" w:rsidP="30821638">
      <w:pPr>
        <w:spacing w:after="0"/>
        <w:rPr>
          <w:rFonts w:ascii="Verdana" w:eastAsia="Verdana" w:hAnsi="Verdana" w:cs="Verdana"/>
        </w:rPr>
      </w:pPr>
    </w:p>
    <w:p w14:paraId="167BEAD2" w14:textId="77777777" w:rsidR="00404998" w:rsidRPr="004B07F9" w:rsidRDefault="00404998" w:rsidP="30821638">
      <w:pPr>
        <w:spacing w:after="0"/>
        <w:rPr>
          <w:rFonts w:ascii="Verdana" w:eastAsia="Verdana" w:hAnsi="Verdana" w:cs="Verdana"/>
        </w:rPr>
      </w:pPr>
    </w:p>
    <w:p w14:paraId="7AFD0F1D" w14:textId="77777777" w:rsidR="00CE534B" w:rsidRPr="004B07F9" w:rsidRDefault="00CE534B" w:rsidP="30821638">
      <w:pPr>
        <w:spacing w:after="0"/>
        <w:rPr>
          <w:rFonts w:ascii="Verdana" w:eastAsia="Verdana" w:hAnsi="Verdana" w:cs="Verdana"/>
        </w:rPr>
      </w:pPr>
    </w:p>
    <w:p w14:paraId="170AFD46" w14:textId="77777777" w:rsidR="00CE534B" w:rsidRPr="004B07F9" w:rsidRDefault="00CE534B" w:rsidP="30821638">
      <w:pPr>
        <w:spacing w:after="0"/>
        <w:rPr>
          <w:rFonts w:ascii="Verdana" w:eastAsia="Verdana" w:hAnsi="Verdana" w:cs="Verdana"/>
        </w:rPr>
      </w:pPr>
    </w:p>
    <w:p w14:paraId="5EE89FA1" w14:textId="77777777" w:rsidR="00CE534B" w:rsidRPr="004B07F9" w:rsidRDefault="00CE534B" w:rsidP="30821638">
      <w:pPr>
        <w:spacing w:after="0"/>
        <w:rPr>
          <w:rFonts w:ascii="Verdana" w:eastAsia="Verdana" w:hAnsi="Verdana" w:cs="Verdana"/>
        </w:rPr>
      </w:pPr>
    </w:p>
    <w:p w14:paraId="48D60E9F" w14:textId="77777777" w:rsidR="00CE534B" w:rsidRPr="004B07F9" w:rsidRDefault="00CE534B" w:rsidP="30821638">
      <w:pPr>
        <w:spacing w:after="0"/>
        <w:rPr>
          <w:rFonts w:ascii="Verdana" w:eastAsia="Verdana" w:hAnsi="Verdana" w:cs="Verdana"/>
        </w:rPr>
      </w:pPr>
    </w:p>
    <w:p w14:paraId="3B782AE3" w14:textId="77777777" w:rsidR="00CE534B" w:rsidRPr="004B07F9" w:rsidRDefault="00CE534B" w:rsidP="30821638">
      <w:pPr>
        <w:spacing w:after="0"/>
        <w:rPr>
          <w:rFonts w:ascii="Verdana" w:eastAsia="Verdana" w:hAnsi="Verdana" w:cs="Verdana"/>
        </w:rPr>
      </w:pPr>
    </w:p>
    <w:p w14:paraId="07EC4A7D" w14:textId="77777777" w:rsidR="003548BD" w:rsidRDefault="00C15139" w:rsidP="30821638">
      <w:pPr>
        <w:spacing w:after="0"/>
        <w:rPr>
          <w:rFonts w:ascii="Verdana" w:eastAsia="Verdana" w:hAnsi="Verdana" w:cs="Verdana"/>
        </w:rPr>
      </w:pPr>
      <w:r w:rsidRPr="004B07F9">
        <w:rPr>
          <w:rFonts w:ascii="Verdana" w:eastAsia="Verdana" w:hAnsi="Verdana" w:cs="Verdana"/>
        </w:rPr>
        <w:lastRenderedPageBreak/>
        <w:t xml:space="preserve">Bogotá D.C., </w:t>
      </w:r>
      <w:r w:rsidR="003548BD">
        <w:rPr>
          <w:rFonts w:ascii="Verdana" w:eastAsia="Verdana" w:hAnsi="Verdana" w:cs="Verdana"/>
        </w:rPr>
        <w:t>27 de marzo del 2026</w:t>
      </w:r>
    </w:p>
    <w:p w14:paraId="1468C46D" w14:textId="37D1D52F" w:rsidR="00C15139" w:rsidRPr="004B07F9" w:rsidRDefault="00C15139" w:rsidP="003548BD">
      <w:pPr>
        <w:spacing w:after="0"/>
        <w:jc w:val="right"/>
        <w:rPr>
          <w:rFonts w:ascii="Verdana" w:eastAsia="Verdana" w:hAnsi="Verdana" w:cs="Verdana"/>
        </w:rPr>
      </w:pPr>
      <w:r w:rsidRPr="004B07F9">
        <w:rPr>
          <w:rFonts w:ascii="Verdana" w:hAnsi="Verdana"/>
        </w:rPr>
        <w:br/>
      </w:r>
      <w:r w:rsidR="003548BD" w:rsidRPr="003548BD">
        <w:rPr>
          <w:rFonts w:ascii="Verdana" w:eastAsia="Verdana" w:hAnsi="Verdana" w:cs="Verdana"/>
        </w:rPr>
        <w:drawing>
          <wp:inline distT="0" distB="0" distL="0" distR="0" wp14:anchorId="4EC88DC6" wp14:editId="773D0A2F">
            <wp:extent cx="2876550" cy="847725"/>
            <wp:effectExtent l="0" t="0" r="0" b="9525"/>
            <wp:docPr id="14785093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509331" name=""/>
                    <pic:cNvPicPr/>
                  </pic:nvPicPr>
                  <pic:blipFill>
                    <a:blip r:embed="rId11"/>
                    <a:stretch>
                      <a:fillRect/>
                    </a:stretch>
                  </pic:blipFill>
                  <pic:spPr>
                    <a:xfrm>
                      <a:off x="0" y="0"/>
                      <a:ext cx="2876954" cy="847844"/>
                    </a:xfrm>
                    <a:prstGeom prst="rect">
                      <a:avLst/>
                    </a:prstGeom>
                  </pic:spPr>
                </pic:pic>
              </a:graphicData>
            </a:graphic>
          </wp:inline>
        </w:drawing>
      </w:r>
    </w:p>
    <w:p w14:paraId="5E74B1A9" w14:textId="77777777" w:rsidR="00B13B4C" w:rsidRPr="004B07F9" w:rsidRDefault="00B13B4C" w:rsidP="00B13B4C">
      <w:pPr>
        <w:spacing w:after="0" w:line="240" w:lineRule="auto"/>
        <w:rPr>
          <w:rFonts w:ascii="Verdana" w:hAnsi="Verdana"/>
        </w:rPr>
      </w:pPr>
      <w:r w:rsidRPr="004B07F9">
        <w:rPr>
          <w:rFonts w:ascii="Verdana" w:eastAsia="Calibri" w:hAnsi="Verdana" w:cs="Arial"/>
          <w:color w:val="000000" w:themeColor="text1"/>
          <w:lang w:val="es-ES" w:eastAsia="es-ES"/>
        </w:rPr>
        <w:t>Señor:</w:t>
      </w:r>
    </w:p>
    <w:p w14:paraId="3DD09522" w14:textId="77777777" w:rsidR="00B13B4C" w:rsidRPr="004B07F9" w:rsidRDefault="00B13B4C" w:rsidP="00B13B4C">
      <w:pPr>
        <w:spacing w:after="0" w:line="240" w:lineRule="auto"/>
        <w:jc w:val="both"/>
        <w:rPr>
          <w:rFonts w:ascii="Verdana" w:eastAsia="Calibri" w:hAnsi="Verdana" w:cs="Arial"/>
          <w:b/>
          <w:bCs/>
          <w:color w:val="000000" w:themeColor="text1"/>
          <w:lang w:eastAsia="es-ES"/>
        </w:rPr>
      </w:pPr>
      <w:r w:rsidRPr="004B07F9">
        <w:rPr>
          <w:rFonts w:ascii="Verdana" w:eastAsia="Calibri" w:hAnsi="Verdana" w:cs="Arial"/>
          <w:b/>
          <w:bCs/>
          <w:color w:val="000000" w:themeColor="text1"/>
          <w:lang w:eastAsia="es-ES"/>
        </w:rPr>
        <w:t>Anónimo</w:t>
      </w:r>
    </w:p>
    <w:p w14:paraId="05F6130B" w14:textId="77777777" w:rsidR="00B13B4C" w:rsidRPr="004B07F9" w:rsidRDefault="00B13B4C" w:rsidP="00B13B4C">
      <w:pPr>
        <w:spacing w:after="0" w:line="240" w:lineRule="auto"/>
        <w:rPr>
          <w:rFonts w:ascii="Verdana" w:hAnsi="Verdana"/>
        </w:rPr>
      </w:pPr>
      <w:hyperlink r:id="rId12" w:history="1">
        <w:r w:rsidRPr="004B07F9">
          <w:rPr>
            <w:rStyle w:val="Hipervnculo"/>
            <w:rFonts w:ascii="Verdana" w:hAnsi="Verdana"/>
          </w:rPr>
          <w:t>valentiina2345678@gmail.com</w:t>
        </w:r>
      </w:hyperlink>
    </w:p>
    <w:p w14:paraId="4C4550BB" w14:textId="77777777" w:rsidR="00B13B4C" w:rsidRPr="004B07F9" w:rsidRDefault="00B13B4C" w:rsidP="00B13B4C">
      <w:pPr>
        <w:spacing w:after="0" w:line="240" w:lineRule="auto"/>
        <w:rPr>
          <w:rFonts w:ascii="Verdana" w:eastAsia="Calibri" w:hAnsi="Verdana" w:cs="Arial"/>
          <w:b/>
          <w:bCs/>
          <w:color w:val="000000" w:themeColor="text1"/>
          <w:lang w:val="es-ES_tradnl" w:eastAsia="es-ES"/>
        </w:rPr>
      </w:pPr>
      <w:r w:rsidRPr="004B07F9">
        <w:rPr>
          <w:rFonts w:ascii="Verdana" w:eastAsia="Calibri" w:hAnsi="Verdana" w:cs="Arial"/>
          <w:color w:val="000000" w:themeColor="text1"/>
          <w:lang w:val="es-ES_tradnl" w:eastAsia="es-ES"/>
        </w:rPr>
        <w:t>Ciudad</w:t>
      </w:r>
    </w:p>
    <w:p w14:paraId="1A36F791" w14:textId="77777777" w:rsidR="00B13B4C" w:rsidRPr="004B07F9" w:rsidRDefault="00B13B4C" w:rsidP="00B13B4C">
      <w:pPr>
        <w:spacing w:after="0" w:line="240" w:lineRule="auto"/>
        <w:rPr>
          <w:rFonts w:ascii="Verdana" w:eastAsia="Calibri" w:hAnsi="Verdana" w:cs="Arial"/>
          <w:b/>
          <w:bCs/>
          <w:color w:val="000000" w:themeColor="text1"/>
          <w:highlight w:val="cyan"/>
          <w:lang w:val="es-ES_tradnl" w:eastAsia="es-ES_tradnl"/>
        </w:rPr>
      </w:pPr>
    </w:p>
    <w:p w14:paraId="49C44327" w14:textId="77777777" w:rsidR="00B13B4C" w:rsidRPr="004B07F9" w:rsidRDefault="00B13B4C" w:rsidP="00B13B4C">
      <w:pPr>
        <w:spacing w:after="0" w:line="240" w:lineRule="auto"/>
        <w:rPr>
          <w:rFonts w:ascii="Verdana" w:eastAsia="Calibri" w:hAnsi="Verdana" w:cs="Arial"/>
          <w:b/>
          <w:bCs/>
          <w:color w:val="000000" w:themeColor="text1"/>
          <w:highlight w:val="cyan"/>
          <w:lang w:val="es-ES_tradnl" w:eastAsia="es-ES_tradnl"/>
        </w:rPr>
      </w:pPr>
    </w:p>
    <w:p w14:paraId="095101F8" w14:textId="77777777" w:rsidR="00B13B4C" w:rsidRPr="004B07F9" w:rsidRDefault="00B13B4C" w:rsidP="00B13B4C">
      <w:pPr>
        <w:spacing w:after="0" w:line="240" w:lineRule="auto"/>
        <w:rPr>
          <w:rFonts w:ascii="Verdana" w:eastAsia="Calibri" w:hAnsi="Verdana" w:cs="Arial"/>
          <w:b/>
          <w:bCs/>
          <w:color w:val="000000" w:themeColor="text1"/>
          <w:lang w:val="es-ES_tradnl" w:eastAsia="es-ES_tradnl"/>
        </w:rPr>
      </w:pPr>
      <w:r w:rsidRPr="004B07F9">
        <w:rPr>
          <w:rFonts w:ascii="Verdana" w:eastAsia="Calibri" w:hAnsi="Verdana" w:cs="Arial"/>
          <w:b/>
          <w:bCs/>
          <w:color w:val="000000" w:themeColor="text1"/>
          <w:lang w:val="es-ES_tradnl" w:eastAsia="es-ES_tradnl"/>
        </w:rPr>
        <w:t xml:space="preserve">                                   Concepto C-245 del 2026</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13B4C" w:rsidRPr="004B07F9" w14:paraId="226C8595" w14:textId="77777777" w:rsidTr="00FB770A">
        <w:trPr>
          <w:gridAfter w:val="1"/>
          <w:wAfter w:w="6100" w:type="dxa"/>
          <w:trHeight w:val="133"/>
        </w:trPr>
        <w:tc>
          <w:tcPr>
            <w:tcW w:w="2689" w:type="dxa"/>
          </w:tcPr>
          <w:p w14:paraId="03C52F8F" w14:textId="77777777" w:rsidR="00B13B4C" w:rsidRPr="004B07F9" w:rsidRDefault="00B13B4C" w:rsidP="00FB770A">
            <w:pPr>
              <w:jc w:val="both"/>
              <w:rPr>
                <w:rFonts w:ascii="Verdana" w:eastAsia="Calibri" w:hAnsi="Verdana" w:cs="Arial"/>
                <w:b/>
                <w:bCs/>
                <w:color w:val="000000" w:themeColor="text1"/>
                <w:highlight w:val="cyan"/>
                <w:lang w:val="es-ES_tradnl" w:eastAsia="es-ES_tradnl"/>
              </w:rPr>
            </w:pPr>
          </w:p>
          <w:p w14:paraId="3EBE37B9" w14:textId="77777777" w:rsidR="00B13B4C" w:rsidRPr="004B07F9" w:rsidRDefault="00B13B4C" w:rsidP="00FB770A">
            <w:pPr>
              <w:jc w:val="both"/>
              <w:rPr>
                <w:rFonts w:ascii="Verdana" w:eastAsia="Calibri" w:hAnsi="Verdana" w:cs="Arial"/>
                <w:b/>
                <w:bCs/>
                <w:color w:val="000000" w:themeColor="text1"/>
                <w:highlight w:val="cyan"/>
                <w:lang w:val="es-ES_tradnl" w:eastAsia="es-ES_tradnl"/>
              </w:rPr>
            </w:pPr>
          </w:p>
        </w:tc>
      </w:tr>
      <w:tr w:rsidR="00B13B4C" w:rsidRPr="004B07F9" w14:paraId="629C09CC" w14:textId="77777777" w:rsidTr="00FB770A">
        <w:trPr>
          <w:trHeight w:val="884"/>
        </w:trPr>
        <w:tc>
          <w:tcPr>
            <w:tcW w:w="2689" w:type="dxa"/>
          </w:tcPr>
          <w:p w14:paraId="384D62A5" w14:textId="77777777" w:rsidR="00B13B4C" w:rsidRPr="004B07F9" w:rsidRDefault="00B13B4C" w:rsidP="00FB770A">
            <w:pPr>
              <w:jc w:val="both"/>
              <w:rPr>
                <w:rFonts w:ascii="Verdana" w:eastAsia="Calibri" w:hAnsi="Verdana" w:cs="Arial"/>
                <w:color w:val="000000" w:themeColor="text1"/>
                <w:lang w:val="es-ES_tradnl" w:eastAsia="es-ES_tradnl"/>
              </w:rPr>
            </w:pPr>
            <w:r w:rsidRPr="004B07F9">
              <w:rPr>
                <w:rFonts w:ascii="Verdana" w:eastAsia="Calibri" w:hAnsi="Verdana" w:cs="Arial"/>
                <w:b/>
                <w:color w:val="000000" w:themeColor="text1"/>
                <w:lang w:val="es-ES_tradnl" w:eastAsia="es-ES_tradnl"/>
              </w:rPr>
              <w:t>Temas:</w:t>
            </w:r>
            <w:r w:rsidRPr="004B07F9">
              <w:rPr>
                <w:rFonts w:ascii="Verdana" w:eastAsia="Calibri" w:hAnsi="Verdana" w:cs="Arial"/>
                <w:color w:val="000000" w:themeColor="text1"/>
                <w:lang w:val="es-ES_tradnl" w:eastAsia="es-ES_tradnl"/>
              </w:rPr>
              <w:t xml:space="preserve">                   </w:t>
            </w:r>
          </w:p>
        </w:tc>
        <w:tc>
          <w:tcPr>
            <w:tcW w:w="6100" w:type="dxa"/>
          </w:tcPr>
          <w:p w14:paraId="6BA90BC5" w14:textId="77777777" w:rsidR="000F1C4C" w:rsidRPr="004B07F9" w:rsidRDefault="000F1C4C" w:rsidP="00FB770A">
            <w:pPr>
              <w:jc w:val="both"/>
              <w:rPr>
                <w:rFonts w:ascii="Verdana" w:hAnsi="Verdana" w:cs="Arial"/>
                <w:bCs/>
                <w:color w:val="000000" w:themeColor="text1"/>
                <w:lang w:val="es-ES_tradnl"/>
              </w:rPr>
            </w:pPr>
            <w:r w:rsidRPr="004B07F9">
              <w:rPr>
                <w:rFonts w:ascii="Verdana" w:hAnsi="Verdana" w:cs="Arial"/>
                <w:bCs/>
                <w:color w:val="000000" w:themeColor="text1"/>
                <w:lang w:val="es-ES_tradnl"/>
              </w:rPr>
              <w:t>PRINCIPIO DE SELECCIÓN OBJETIVA – Fundamento – Alcance – Reglas aplicables</w:t>
            </w:r>
            <w:r w:rsidRPr="004B07F9" w:rsidDel="0010099D">
              <w:rPr>
                <w:rFonts w:ascii="Verdana" w:hAnsi="Verdana" w:cs="Arial"/>
                <w:bCs/>
                <w:color w:val="000000" w:themeColor="text1"/>
                <w:lang w:val="es-ES_tradnl"/>
              </w:rPr>
              <w:t xml:space="preserve"> </w:t>
            </w:r>
            <w:r w:rsidRPr="004B07F9">
              <w:rPr>
                <w:rFonts w:ascii="Verdana" w:hAnsi="Verdana" w:cs="Arial"/>
                <w:bCs/>
                <w:color w:val="000000" w:themeColor="text1"/>
                <w:lang w:val="es-ES_tradnl"/>
              </w:rPr>
              <w:t xml:space="preserve">/ </w:t>
            </w:r>
            <w:r w:rsidR="008B3C52" w:rsidRPr="004B07F9">
              <w:rPr>
                <w:rFonts w:ascii="Verdana" w:hAnsi="Verdana" w:cs="Arial"/>
                <w:bCs/>
                <w:color w:val="000000" w:themeColor="text1"/>
                <w:lang w:val="es-ES_tradnl"/>
              </w:rPr>
              <w:t>SELECCIÓN OBJETIVA – Requisitos de ponderación – Asignación de puntaje – Comparación de ofertas</w:t>
            </w:r>
          </w:p>
          <w:p w14:paraId="0079FAED" w14:textId="6E86EFC4" w:rsidR="008B3C52" w:rsidRPr="004B07F9" w:rsidRDefault="008B3C52" w:rsidP="00FB770A">
            <w:pPr>
              <w:jc w:val="both"/>
              <w:rPr>
                <w:rFonts w:ascii="Verdana" w:hAnsi="Verdana" w:cs="Arial"/>
                <w:bCs/>
                <w:color w:val="000000" w:themeColor="text1"/>
                <w:lang w:val="es-ES"/>
              </w:rPr>
            </w:pPr>
          </w:p>
        </w:tc>
      </w:tr>
      <w:tr w:rsidR="00B13B4C" w:rsidRPr="004B07F9" w14:paraId="65917DE9" w14:textId="77777777" w:rsidTr="00FB770A">
        <w:tc>
          <w:tcPr>
            <w:tcW w:w="2689" w:type="dxa"/>
          </w:tcPr>
          <w:p w14:paraId="1730BDB1" w14:textId="77777777" w:rsidR="00B13B4C" w:rsidRPr="004B07F9" w:rsidRDefault="00B13B4C" w:rsidP="00FB770A">
            <w:pPr>
              <w:jc w:val="both"/>
              <w:rPr>
                <w:rFonts w:ascii="Verdana" w:eastAsia="Calibri" w:hAnsi="Verdana" w:cs="Arial"/>
                <w:b/>
                <w:color w:val="000000" w:themeColor="text1"/>
                <w:lang w:val="es-ES_tradnl" w:eastAsia="es-ES_tradnl"/>
              </w:rPr>
            </w:pPr>
            <w:r w:rsidRPr="004B07F9">
              <w:rPr>
                <w:rFonts w:ascii="Verdana" w:eastAsia="Calibri" w:hAnsi="Verdana" w:cs="Arial"/>
                <w:b/>
                <w:color w:val="000000" w:themeColor="text1"/>
                <w:lang w:val="es-ES_tradnl" w:eastAsia="es-ES_tradnl"/>
              </w:rPr>
              <w:t>Radicación:</w:t>
            </w:r>
            <w:r w:rsidRPr="004B07F9">
              <w:rPr>
                <w:rFonts w:ascii="Verdana" w:eastAsia="Calibri" w:hAnsi="Verdana" w:cs="Arial"/>
                <w:color w:val="000000" w:themeColor="text1"/>
                <w:lang w:val="es-ES_tradnl" w:eastAsia="es-ES_tradnl"/>
              </w:rPr>
              <w:t xml:space="preserve">               </w:t>
            </w:r>
          </w:p>
        </w:tc>
        <w:tc>
          <w:tcPr>
            <w:tcW w:w="6100" w:type="dxa"/>
          </w:tcPr>
          <w:p w14:paraId="43E9E16E" w14:textId="77777777" w:rsidR="00B13B4C" w:rsidRPr="004B07F9" w:rsidRDefault="00B13B4C" w:rsidP="00FB770A">
            <w:pPr>
              <w:jc w:val="both"/>
              <w:rPr>
                <w:rFonts w:ascii="Verdana" w:eastAsia="Calibri" w:hAnsi="Verdana" w:cs="Arial"/>
                <w:color w:val="000000" w:themeColor="text1"/>
                <w:lang w:eastAsia="es-ES_tradnl"/>
              </w:rPr>
            </w:pPr>
            <w:r w:rsidRPr="004B07F9">
              <w:rPr>
                <w:rFonts w:ascii="Verdana" w:eastAsia="Calibri" w:hAnsi="Verdana" w:cs="Arial"/>
                <w:color w:val="000000" w:themeColor="text1"/>
                <w:lang w:val="es-ES_tradnl" w:eastAsia="es-ES_tradnl"/>
              </w:rPr>
              <w:t>Respuesta a consulta con radicado No.</w:t>
            </w:r>
            <w:r w:rsidRPr="004B07F9">
              <w:rPr>
                <w:rFonts w:ascii="Verdana" w:hAnsi="Verdana"/>
              </w:rPr>
              <w:t xml:space="preserve"> </w:t>
            </w:r>
            <w:r w:rsidRPr="004B07F9">
              <w:rPr>
                <w:rFonts w:ascii="Verdana" w:eastAsia="Calibri" w:hAnsi="Verdana" w:cs="Arial"/>
                <w:color w:val="000000" w:themeColor="text1"/>
                <w:lang w:eastAsia="es-ES_tradnl"/>
              </w:rPr>
              <w:t>1_2026_02_17_002096</w:t>
            </w:r>
          </w:p>
          <w:p w14:paraId="7E7A004A" w14:textId="77777777" w:rsidR="00B13B4C" w:rsidRPr="004B07F9" w:rsidRDefault="00B13B4C" w:rsidP="00FB770A">
            <w:pPr>
              <w:jc w:val="both"/>
              <w:rPr>
                <w:rFonts w:ascii="Verdana" w:hAnsi="Verdana" w:cs="Arial"/>
              </w:rPr>
            </w:pPr>
          </w:p>
          <w:p w14:paraId="296A1417" w14:textId="77777777" w:rsidR="00B13B4C" w:rsidRPr="004B07F9" w:rsidRDefault="00B13B4C" w:rsidP="00FB770A">
            <w:pPr>
              <w:jc w:val="both"/>
              <w:rPr>
                <w:rFonts w:ascii="Verdana" w:hAnsi="Verdana"/>
                <w:color w:val="000000"/>
              </w:rPr>
            </w:pPr>
          </w:p>
        </w:tc>
      </w:tr>
    </w:tbl>
    <w:p w14:paraId="19983F65" w14:textId="77777777" w:rsidR="00B13B4C" w:rsidRPr="004B07F9" w:rsidRDefault="00B13B4C" w:rsidP="00B13B4C">
      <w:pPr>
        <w:spacing w:after="0" w:line="276" w:lineRule="auto"/>
        <w:jc w:val="both"/>
        <w:rPr>
          <w:rFonts w:ascii="Verdana" w:eastAsia="Calibri" w:hAnsi="Verdana" w:cs="Arial"/>
          <w:color w:val="000000" w:themeColor="text1"/>
          <w:lang w:val="es-ES" w:eastAsia="es-ES"/>
        </w:rPr>
      </w:pPr>
      <w:r w:rsidRPr="004B07F9">
        <w:rPr>
          <w:rFonts w:ascii="Verdana" w:eastAsia="Calibri" w:hAnsi="Verdana" w:cs="Arial"/>
          <w:color w:val="000000" w:themeColor="text1"/>
          <w:lang w:val="es-ES" w:eastAsia="es-ES"/>
        </w:rPr>
        <w:t xml:space="preserve">Estimado Anónimo: </w:t>
      </w:r>
    </w:p>
    <w:p w14:paraId="00C4C0D0" w14:textId="77777777" w:rsidR="00B13B4C" w:rsidRPr="004B07F9" w:rsidRDefault="00B13B4C" w:rsidP="00B13B4C">
      <w:pPr>
        <w:spacing w:after="0" w:line="276" w:lineRule="auto"/>
        <w:rPr>
          <w:rFonts w:ascii="Verdana" w:eastAsia="Times New Roman" w:hAnsi="Verdana" w:cs="Segoe UI"/>
          <w:highlight w:val="cyan"/>
          <w:lang w:eastAsia="es-CO"/>
        </w:rPr>
      </w:pPr>
    </w:p>
    <w:p w14:paraId="1725AB1B" w14:textId="42DF2A51" w:rsidR="00B13B4C" w:rsidRPr="004B07F9" w:rsidRDefault="00B13B4C" w:rsidP="00B13B4C">
      <w:pPr>
        <w:spacing w:after="0" w:line="276" w:lineRule="auto"/>
        <w:jc w:val="both"/>
        <w:rPr>
          <w:rFonts w:ascii="Verdana" w:eastAsia="Calibri" w:hAnsi="Verdana" w:cs="Arial"/>
          <w:lang w:val="es-ES" w:eastAsia="es-ES"/>
        </w:rPr>
      </w:pPr>
      <w:r w:rsidRPr="004B07F9">
        <w:rPr>
          <w:rFonts w:ascii="Verdana" w:eastAsia="Calibri" w:hAnsi="Verdana" w:cs="Arial"/>
          <w:lang w:val="es-ES" w:eastAsia="es-ES"/>
        </w:rPr>
        <w:t>En ejercicio de la competencia otorgada por los artículos 3, numeral 5º, y 11, numeral 8º, del Decreto Ley 4170 de 2011,</w:t>
      </w:r>
      <w:r w:rsidRPr="004B07F9">
        <w:rPr>
          <w:rFonts w:ascii="Verdana" w:eastAsia="Arial MT" w:hAnsi="Verdana" w:cs="Arial"/>
          <w:lang w:val="es-ES" w:eastAsia="es-ES"/>
        </w:rPr>
        <w:t xml:space="preserve"> </w:t>
      </w:r>
      <w:r w:rsidRPr="004B07F9">
        <w:rPr>
          <w:rFonts w:ascii="Verdana" w:hAnsi="Verdana" w:cs="Arial"/>
        </w:rPr>
        <w:t xml:space="preserve">así como lo establecido en el artículo 4 de la Resolución 1707 de 2018 expedida por esta Entidad, </w:t>
      </w:r>
      <w:r w:rsidRPr="004B07F9">
        <w:rPr>
          <w:rFonts w:ascii="Verdana" w:eastAsia="Calibri" w:hAnsi="Verdana" w:cs="Arial"/>
          <w:lang w:val="es-ES" w:eastAsia="es-ES"/>
        </w:rPr>
        <w:t xml:space="preserve">la Agencia Nacional de Contratación Pública – Colombia Compra Eficiente– responde su solicitud del </w:t>
      </w:r>
      <w:r w:rsidR="00AE2E2D" w:rsidRPr="004B07F9">
        <w:rPr>
          <w:rFonts w:ascii="Verdana" w:eastAsia="Calibri" w:hAnsi="Verdana" w:cs="Arial"/>
          <w:lang w:val="es-ES" w:eastAsia="es-ES"/>
        </w:rPr>
        <w:t>17 de febrero del 2026</w:t>
      </w:r>
      <w:r w:rsidRPr="004B07F9">
        <w:rPr>
          <w:rFonts w:ascii="Verdana" w:eastAsia="Calibri" w:hAnsi="Verdana" w:cs="Arial"/>
          <w:lang w:val="es-ES" w:eastAsia="es-ES"/>
        </w:rPr>
        <w:t xml:space="preserve">, en la cual manifiesta lo siguiente: </w:t>
      </w:r>
    </w:p>
    <w:p w14:paraId="1B21DF7D" w14:textId="77777777" w:rsidR="00B13B4C" w:rsidRPr="004B07F9" w:rsidRDefault="00B13B4C" w:rsidP="00B13B4C">
      <w:pPr>
        <w:spacing w:after="0" w:line="276" w:lineRule="auto"/>
        <w:jc w:val="both"/>
        <w:rPr>
          <w:rFonts w:ascii="Verdana" w:eastAsia="Calibri" w:hAnsi="Verdana" w:cs="Arial"/>
          <w:highlight w:val="cyan"/>
          <w:lang w:val="es-ES" w:eastAsia="es-ES"/>
        </w:rPr>
      </w:pPr>
    </w:p>
    <w:p w14:paraId="64AD39ED" w14:textId="476AE3BE" w:rsidR="00B13B4C" w:rsidRPr="004B07F9" w:rsidRDefault="00B13B4C" w:rsidP="00AE2E2D">
      <w:pPr>
        <w:spacing w:after="0" w:line="240" w:lineRule="auto"/>
        <w:ind w:left="709" w:right="709"/>
        <w:jc w:val="both"/>
        <w:rPr>
          <w:rFonts w:ascii="Verdana" w:eastAsia="Century Gothic" w:hAnsi="Verdana" w:cs="Arial"/>
          <w:sz w:val="20"/>
          <w:szCs w:val="20"/>
        </w:rPr>
      </w:pPr>
      <w:r w:rsidRPr="004B07F9">
        <w:rPr>
          <w:rFonts w:ascii="Verdana" w:eastAsia="Century Gothic" w:hAnsi="Verdana" w:cs="Arial"/>
          <w:sz w:val="20"/>
          <w:szCs w:val="20"/>
          <w:lang w:val="es-ES"/>
        </w:rPr>
        <w:t xml:space="preserve">“[…] </w:t>
      </w:r>
      <w:r w:rsidR="00AE2E2D" w:rsidRPr="004B07F9">
        <w:rPr>
          <w:rFonts w:ascii="Verdana" w:eastAsia="Century Gothic" w:hAnsi="Verdana" w:cs="Arial"/>
          <w:sz w:val="20"/>
          <w:szCs w:val="20"/>
        </w:rPr>
        <w:t xml:space="preserve">Si el método de evaluación definido en el pliego de condiciones consiste en la aplicación de una fórmula matemática que depende exclusivamente de los valores efectivamente ofertados por los proponentes, ¿la inclusión de valores no ofertados podría afectar el principio de selección objetiva previsto en el artículo 5 de la Ley 1150 de 2007. </w:t>
      </w:r>
      <w:r w:rsidR="00AE2E2D" w:rsidRPr="004B07F9">
        <w:rPr>
          <w:rFonts w:ascii="Verdana" w:eastAsia="Century Gothic" w:hAnsi="Verdana" w:cs="Arial"/>
          <w:sz w:val="20"/>
          <w:szCs w:val="20"/>
          <w:lang w:val="es-ES"/>
        </w:rPr>
        <w:t>[…]”</w:t>
      </w:r>
    </w:p>
    <w:p w14:paraId="64941927" w14:textId="77777777" w:rsidR="00B13B4C" w:rsidRPr="004B07F9" w:rsidRDefault="00B13B4C" w:rsidP="00B13B4C">
      <w:pPr>
        <w:spacing w:after="0"/>
        <w:jc w:val="both"/>
        <w:rPr>
          <w:rFonts w:ascii="Verdana" w:hAnsi="Verdana" w:cs="Arial"/>
          <w:highlight w:val="cyan"/>
          <w:lang w:val="es-ES"/>
        </w:rPr>
      </w:pPr>
    </w:p>
    <w:p w14:paraId="2095E821" w14:textId="77777777" w:rsidR="00B13B4C" w:rsidRPr="004B07F9" w:rsidRDefault="00B13B4C" w:rsidP="00B13B4C">
      <w:pPr>
        <w:spacing w:after="120" w:line="276" w:lineRule="auto"/>
        <w:ind w:firstLine="709"/>
        <w:jc w:val="both"/>
        <w:rPr>
          <w:rFonts w:ascii="Verdana" w:eastAsia="Calibri" w:hAnsi="Verdana" w:cs="Arial"/>
          <w:color w:val="000000"/>
          <w:lang w:val="es-ES_tradnl" w:eastAsia="es-ES_tradnl"/>
        </w:rPr>
      </w:pPr>
      <w:r w:rsidRPr="004B07F9">
        <w:rPr>
          <w:rFonts w:ascii="Verdana" w:eastAsia="Calibri" w:hAnsi="Verdana" w:cs="Arial"/>
          <w:color w:val="000000"/>
          <w:lang w:val="es-ES" w:eastAsia="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31F6F03D" w14:textId="77777777" w:rsidR="00B13B4C" w:rsidRPr="004B07F9" w:rsidRDefault="00B13B4C" w:rsidP="00B13B4C">
      <w:pPr>
        <w:spacing w:after="0" w:line="276" w:lineRule="auto"/>
        <w:ind w:firstLine="709"/>
        <w:jc w:val="both"/>
        <w:rPr>
          <w:rFonts w:ascii="Verdana" w:eastAsia="Calibri" w:hAnsi="Verdana" w:cs="Arial"/>
          <w:color w:val="000000"/>
          <w:lang w:val="es-ES" w:eastAsia="es-ES"/>
        </w:rPr>
      </w:pPr>
      <w:r w:rsidRPr="004B07F9">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el(os) problema(s) jurídico(s) de su consulta.  </w:t>
      </w:r>
    </w:p>
    <w:p w14:paraId="696B1B1D" w14:textId="77777777" w:rsidR="00B13B4C" w:rsidRPr="004B07F9" w:rsidRDefault="00B13B4C" w:rsidP="00B13B4C">
      <w:pPr>
        <w:spacing w:after="0" w:line="276" w:lineRule="auto"/>
        <w:jc w:val="both"/>
        <w:rPr>
          <w:rStyle w:val="Hipervnculo"/>
          <w:rFonts w:ascii="Verdana" w:hAnsi="Verdana"/>
          <w:highlight w:val="cyan"/>
          <w:lang w:val="es-ES"/>
        </w:rPr>
      </w:pPr>
    </w:p>
    <w:p w14:paraId="4CFC2843" w14:textId="77777777" w:rsidR="00B13B4C" w:rsidRPr="004B07F9" w:rsidRDefault="00B13B4C" w:rsidP="00B13B4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4B07F9">
        <w:rPr>
          <w:rFonts w:ascii="Verdana" w:eastAsia="Century Gothic" w:hAnsi="Verdana" w:cs="Arial"/>
          <w:b/>
          <w:bCs/>
        </w:rPr>
        <w:t>Problema planteado:</w:t>
      </w:r>
    </w:p>
    <w:p w14:paraId="00A16E6E" w14:textId="77777777" w:rsidR="00B13B4C" w:rsidRPr="004B07F9" w:rsidRDefault="00B13B4C" w:rsidP="00B13B4C">
      <w:pPr>
        <w:spacing w:after="0" w:line="276" w:lineRule="auto"/>
        <w:jc w:val="both"/>
        <w:rPr>
          <w:rStyle w:val="Hipervnculo"/>
          <w:rFonts w:ascii="Verdana" w:hAnsi="Verdana" w:cs="Arial"/>
          <w:highlight w:val="cyan"/>
        </w:rPr>
      </w:pPr>
    </w:p>
    <w:p w14:paraId="66F91400" w14:textId="0E1611B6" w:rsidR="00417AFD" w:rsidRPr="004B07F9" w:rsidRDefault="00B13B4C" w:rsidP="00417AFD">
      <w:pPr>
        <w:spacing w:after="0" w:line="276" w:lineRule="auto"/>
        <w:jc w:val="both"/>
        <w:rPr>
          <w:rFonts w:ascii="Verdana" w:eastAsia="Century Gothic" w:hAnsi="Verdana" w:cs="Arial"/>
        </w:rPr>
      </w:pPr>
      <w:r w:rsidRPr="004B07F9">
        <w:rPr>
          <w:rFonts w:ascii="Verdana" w:eastAsia="Century Gothic" w:hAnsi="Verdana" w:cs="Arial"/>
        </w:rPr>
        <w:t xml:space="preserve">De acuerdo con el contenido de su solicitud, esta Agencia resolverá los siguientes problemas jurídicos: </w:t>
      </w:r>
      <w:r w:rsidR="00417AFD" w:rsidRPr="004B07F9">
        <w:rPr>
          <w:rFonts w:ascii="Verdana" w:eastAsia="Century Gothic" w:hAnsi="Verdana" w:cs="Arial"/>
        </w:rPr>
        <w:t>¿</w:t>
      </w:r>
      <w:r w:rsidR="0071033D" w:rsidRPr="004B07F9">
        <w:rPr>
          <w:rFonts w:ascii="Verdana" w:eastAsia="Century Gothic" w:hAnsi="Verdana" w:cs="Arial"/>
        </w:rPr>
        <w:t>L</w:t>
      </w:r>
      <w:r w:rsidR="00417AFD" w:rsidRPr="004B07F9">
        <w:rPr>
          <w:rFonts w:ascii="Verdana" w:eastAsia="Century Gothic" w:hAnsi="Verdana" w:cs="Arial"/>
        </w:rPr>
        <w:t>a incorporación de valores distintos a los ofertados —es decir, ajenos a las propuestas presentadas— podría vulnerar el principio de selección objetiva consagrado en el artículo 5 de la Ley 1150 de 2007?</w:t>
      </w:r>
    </w:p>
    <w:p w14:paraId="0A02DBB7" w14:textId="77777777" w:rsidR="00B13B4C" w:rsidRPr="004B07F9" w:rsidRDefault="00B13B4C" w:rsidP="00B13B4C">
      <w:pPr>
        <w:spacing w:after="0" w:line="276" w:lineRule="auto"/>
        <w:jc w:val="both"/>
        <w:rPr>
          <w:rStyle w:val="Hipervnculo"/>
          <w:rFonts w:ascii="Verdana" w:hAnsi="Verdana" w:cs="Arial"/>
          <w:highlight w:val="cyan"/>
          <w:lang w:val="es-ES"/>
        </w:rPr>
      </w:pPr>
    </w:p>
    <w:p w14:paraId="2AB3BA0C" w14:textId="77777777" w:rsidR="00B13B4C" w:rsidRPr="004B07F9" w:rsidRDefault="00B13B4C" w:rsidP="00B13B4C">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4B07F9">
        <w:rPr>
          <w:rFonts w:ascii="Verdana" w:eastAsia="Arial" w:hAnsi="Verdana" w:cs="Arial"/>
          <w:b/>
          <w:bCs/>
        </w:rPr>
        <w:t>Respuesta:</w:t>
      </w:r>
    </w:p>
    <w:p w14:paraId="4BF52B89" w14:textId="77777777" w:rsidR="00B13B4C" w:rsidRPr="004B07F9" w:rsidRDefault="00B13B4C" w:rsidP="00B13B4C">
      <w:pPr>
        <w:spacing w:after="0" w:line="276" w:lineRule="auto"/>
        <w:rPr>
          <w:rFonts w:ascii="Verdana" w:eastAsia="Aptos" w:hAnsi="Verdana" w:cs="Arial"/>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13B4C" w:rsidRPr="004B07F9" w14:paraId="6A40DADD" w14:textId="77777777" w:rsidTr="00FB770A">
        <w:tc>
          <w:tcPr>
            <w:tcW w:w="8828" w:type="dxa"/>
          </w:tcPr>
          <w:p w14:paraId="1794040F" w14:textId="00EF37E6" w:rsidR="00B13B4C" w:rsidRPr="004B07F9" w:rsidRDefault="00B13B4C" w:rsidP="00FB770A">
            <w:pPr>
              <w:spacing w:after="120" w:line="276" w:lineRule="auto"/>
              <w:jc w:val="both"/>
              <w:rPr>
                <w:rFonts w:ascii="Verdana" w:hAnsi="Verdana" w:cs="Arial"/>
                <w:color w:val="000000" w:themeColor="text1"/>
              </w:rPr>
            </w:pPr>
            <w:bookmarkStart w:id="1" w:name="_Hlk171067516"/>
            <w:r w:rsidRPr="004B07F9">
              <w:rPr>
                <w:rFonts w:ascii="Verdana" w:hAnsi="Verdana" w:cs="Arial"/>
                <w:color w:val="000000" w:themeColor="text1"/>
              </w:rPr>
              <w:t>En respuesta a</w:t>
            </w:r>
            <w:r w:rsidR="00B17C84" w:rsidRPr="004B07F9">
              <w:rPr>
                <w:rFonts w:ascii="Verdana" w:hAnsi="Verdana" w:cs="Arial"/>
                <w:color w:val="000000" w:themeColor="text1"/>
              </w:rPr>
              <w:t>l</w:t>
            </w:r>
            <w:r w:rsidRPr="004B07F9">
              <w:rPr>
                <w:rFonts w:ascii="Verdana" w:hAnsi="Verdana" w:cs="Arial"/>
                <w:color w:val="000000" w:themeColor="text1"/>
              </w:rPr>
              <w:t xml:space="preserve"> problema ante planteado, esta Subdirección manifiesta lo siguiente:</w:t>
            </w:r>
          </w:p>
          <w:p w14:paraId="246C6C66" w14:textId="77B4EA69" w:rsidR="00B13B4C" w:rsidRPr="004B07F9" w:rsidRDefault="00B13B4C" w:rsidP="00FB770A">
            <w:pPr>
              <w:spacing w:before="120" w:after="120" w:line="276" w:lineRule="auto"/>
              <w:ind w:firstLine="709"/>
              <w:jc w:val="both"/>
              <w:rPr>
                <w:rFonts w:ascii="Verdana" w:hAnsi="Verdana" w:cs="Arial"/>
                <w:lang w:val="es-ES"/>
              </w:rPr>
            </w:pPr>
            <w:r w:rsidRPr="004B07F9">
              <w:rPr>
                <w:rFonts w:ascii="Verdana" w:eastAsia="Calibri" w:hAnsi="Verdana" w:cs="Arial"/>
                <w:i/>
                <w:color w:val="000000" w:themeColor="text1"/>
              </w:rPr>
              <w:t>En primer lugar</w:t>
            </w:r>
            <w:r w:rsidRPr="004B07F9">
              <w:rPr>
                <w:rFonts w:ascii="Verdana" w:hAnsi="Verdana" w:cs="Arial"/>
              </w:rPr>
              <w:t xml:space="preserve">, </w:t>
            </w:r>
            <w:r w:rsidRPr="004B07F9">
              <w:rPr>
                <w:rFonts w:ascii="Verdana" w:hAnsi="Verdana" w:cs="Arial"/>
                <w:lang w:val="es-ES"/>
              </w:rPr>
              <w:t xml:space="preserve">debe indicarse </w:t>
            </w:r>
            <w:r w:rsidR="0052106B" w:rsidRPr="004B07F9">
              <w:rPr>
                <w:rFonts w:ascii="Verdana" w:eastAsia="Calibri" w:hAnsi="Verdana" w:cs="Arial"/>
                <w:iCs/>
                <w:color w:val="000000" w:themeColor="text1"/>
              </w:rPr>
              <w:t xml:space="preserve">que es el pliego de condiciones el instrumento llamado a determinar, en cada caso concreto, los factores que permiten realizar la comparación entre las ofertas presentadas y, con base en ello, establecer cuál resulta más favorable para la Administración Pública. En ese sentido, la incorporación de valores distintos a los efectivamente ofertados </w:t>
            </w:r>
            <w:r w:rsidR="0052106B" w:rsidRPr="004B07F9">
              <w:rPr>
                <w:rFonts w:ascii="Verdana" w:eastAsia="Calibri" w:hAnsi="Verdana" w:cs="Arial"/>
                <w:iCs/>
                <w:color w:val="000000" w:themeColor="text1"/>
              </w:rPr>
              <w:lastRenderedPageBreak/>
              <w:t>—esto es, ajenos a las propuestas presentadas por los oferentes— podría configurar una vulneración del principio de selección objetiva consagrado en el artículo 5 de la Ley 1150 de 2007. Dicho principio impone que la escogencia del contratista se fundamente en reglas claras, previamente definidas en los pliegos, y en criterios verificables que aseguren una comparación imparcial y en condiciones de igualdad entre los participantes.</w:t>
            </w:r>
          </w:p>
          <w:p w14:paraId="79DD2E66" w14:textId="01D0E84A" w:rsidR="00D866B2" w:rsidRPr="004B07F9" w:rsidRDefault="00D866B2" w:rsidP="00FB770A">
            <w:pPr>
              <w:spacing w:before="120" w:after="120" w:line="276" w:lineRule="auto"/>
              <w:ind w:firstLine="709"/>
              <w:jc w:val="both"/>
              <w:rPr>
                <w:rFonts w:ascii="Verdana" w:hAnsi="Verdana" w:cs="Arial"/>
              </w:rPr>
            </w:pPr>
            <w:r w:rsidRPr="004B07F9">
              <w:rPr>
                <w:rFonts w:ascii="Verdana" w:hAnsi="Verdana" w:cs="Arial"/>
              </w:rPr>
              <w:t>En efecto, la selección objetiva se traduce en que la administración debe adjudicar el contrato a la propuesta más favorable, conforme a los parámetros definidos en el proceso de contratación. Si se introducen valores o condiciones no previstos en las ofertas, se altera el marco de comparación y se rompe la transparencia del procedimiento, pues se estaría evaluando sobre bases distintas a las que los proponentes conocieron y aceptaron. Ello no solo afecta la igualdad de trato, sino que también puede dar lugar a decisiones discrecionales o arbitrarias, contrarias al mandato de objetividad.</w:t>
            </w:r>
          </w:p>
          <w:p w14:paraId="7635E4DA" w14:textId="4D0957FE" w:rsidR="00BF4592" w:rsidRPr="004B07F9" w:rsidRDefault="00B135DB" w:rsidP="00390271">
            <w:pPr>
              <w:spacing w:before="120" w:after="120" w:line="276" w:lineRule="auto"/>
              <w:ind w:firstLine="709"/>
              <w:jc w:val="both"/>
              <w:rPr>
                <w:rFonts w:ascii="Verdana" w:hAnsi="Verdana" w:cs="Arial"/>
              </w:rPr>
            </w:pPr>
            <w:r w:rsidRPr="004B07F9">
              <w:rPr>
                <w:rFonts w:ascii="Verdana" w:hAnsi="Verdana" w:cs="Arial"/>
              </w:rPr>
              <w:t>Así las cosas, resulta a bien precisar que la administración no puede modificar unilateralmente los elementos esenciales de las ofertas ni incorporar factores externos que desnaturalicen la competencia. De hacerlo, se desconocen los principios de transparencia, economía y responsabilidad que rigen la contratación estatal.</w:t>
            </w:r>
            <w:r w:rsidR="00390271" w:rsidRPr="004B07F9">
              <w:rPr>
                <w:rFonts w:ascii="Verdana" w:hAnsi="Verdana" w:cs="Arial"/>
              </w:rPr>
              <w:t xml:space="preserve"> </w:t>
            </w:r>
            <w:r w:rsidR="00BF4592" w:rsidRPr="004B07F9">
              <w:rPr>
                <w:rFonts w:ascii="Verdana" w:hAnsi="Verdana" w:cs="Arial"/>
              </w:rPr>
              <w:t>En conclusión, la incorporación de valores ajenos a las propuestas vulnera el principio de selección objetiva, pues desvirtúa la comparación imparcial entre oferentes y afecta la confianza legítima en el procedimiento de contratación. La administración debe ceñirse estrictamente a los criterios definidos en los pliegos y a los valores efectivamente ofertados, garantizando así la igualdad y la transparencia en la adjudicación.</w:t>
            </w:r>
          </w:p>
          <w:p w14:paraId="1ECE452F" w14:textId="6EE58540" w:rsidR="00B13B4C" w:rsidRPr="004B07F9" w:rsidRDefault="00B13B4C" w:rsidP="00BF4592">
            <w:pPr>
              <w:spacing w:before="120" w:after="120" w:line="276" w:lineRule="auto"/>
              <w:ind w:firstLine="709"/>
              <w:jc w:val="both"/>
              <w:rPr>
                <w:rFonts w:ascii="Verdana" w:hAnsi="Verdana" w:cs="Arial"/>
              </w:rPr>
            </w:pPr>
            <w:r w:rsidRPr="004B07F9">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1"/>
    </w:tbl>
    <w:p w14:paraId="5519325E" w14:textId="77777777" w:rsidR="00B13B4C" w:rsidRPr="004B07F9" w:rsidRDefault="00B13B4C" w:rsidP="00B456F5">
      <w:pPr>
        <w:widowControl w:val="0"/>
        <w:autoSpaceDE w:val="0"/>
        <w:autoSpaceDN w:val="0"/>
        <w:spacing w:after="0" w:line="276" w:lineRule="auto"/>
        <w:ind w:left="360" w:hanging="360"/>
        <w:outlineLvl w:val="0"/>
        <w:rPr>
          <w:rFonts w:ascii="Verdana" w:eastAsia="Arial" w:hAnsi="Verdana" w:cs="Arial"/>
          <w:b/>
          <w:bCs/>
          <w:highlight w:val="cyan"/>
          <w:lang w:val="es-ES"/>
        </w:rPr>
      </w:pPr>
    </w:p>
    <w:p w14:paraId="42AE1112" w14:textId="77777777" w:rsidR="00B13B4C" w:rsidRPr="004B07F9" w:rsidRDefault="00B13B4C" w:rsidP="00B456F5">
      <w:pPr>
        <w:widowControl w:val="0"/>
        <w:autoSpaceDE w:val="0"/>
        <w:autoSpaceDN w:val="0"/>
        <w:spacing w:after="0" w:line="276" w:lineRule="auto"/>
        <w:ind w:left="360" w:hanging="360"/>
        <w:outlineLvl w:val="0"/>
        <w:rPr>
          <w:rFonts w:ascii="Verdana" w:eastAsia="Arial" w:hAnsi="Verdana" w:cs="Arial"/>
          <w:b/>
          <w:bCs/>
          <w:lang w:val="es-ES"/>
        </w:rPr>
      </w:pPr>
      <w:r w:rsidRPr="004B07F9">
        <w:rPr>
          <w:rFonts w:ascii="Verdana" w:eastAsia="Arial" w:hAnsi="Verdana" w:cs="Arial"/>
          <w:b/>
          <w:bCs/>
          <w:lang w:val="es-ES"/>
        </w:rPr>
        <w:t>3. Razones de la respuesta:</w:t>
      </w:r>
    </w:p>
    <w:p w14:paraId="2AD1BFF9" w14:textId="77777777" w:rsidR="00B13B4C" w:rsidRPr="004B07F9" w:rsidRDefault="00B13B4C" w:rsidP="005D44D9">
      <w:pPr>
        <w:spacing w:after="0" w:line="276" w:lineRule="auto"/>
        <w:jc w:val="both"/>
        <w:rPr>
          <w:rFonts w:ascii="Verdana" w:eastAsia="Calibri" w:hAnsi="Verdana" w:cs="Arial"/>
          <w:lang w:val="es-ES"/>
        </w:rPr>
      </w:pPr>
    </w:p>
    <w:p w14:paraId="2898DA53" w14:textId="4BBE8487" w:rsidR="00885DB1" w:rsidRPr="004B07F9" w:rsidRDefault="00B13B4C" w:rsidP="005D44D9">
      <w:pPr>
        <w:spacing w:after="0" w:line="240" w:lineRule="auto"/>
        <w:jc w:val="both"/>
        <w:rPr>
          <w:rFonts w:ascii="Verdana" w:eastAsia="Verdana" w:hAnsi="Verdana" w:cs="Verdana"/>
          <w:lang w:val="es-MX"/>
        </w:rPr>
      </w:pPr>
      <w:r w:rsidRPr="004B07F9">
        <w:rPr>
          <w:rFonts w:ascii="Verdana" w:eastAsia="Calibri" w:hAnsi="Verdana" w:cs="Arial"/>
          <w:lang w:val="es-ES"/>
        </w:rPr>
        <w:t>La respuesta anterior se sustenta en las siguientes consideraciones:</w:t>
      </w:r>
    </w:p>
    <w:p w14:paraId="1A983B2D" w14:textId="77777777" w:rsidR="00885DB1" w:rsidRPr="004B07F9" w:rsidRDefault="00885DB1" w:rsidP="005D44D9">
      <w:pPr>
        <w:spacing w:after="0" w:line="240" w:lineRule="auto"/>
        <w:jc w:val="both"/>
        <w:rPr>
          <w:rFonts w:ascii="Verdana" w:eastAsia="Verdana" w:hAnsi="Verdana" w:cs="Verdana"/>
          <w:lang w:val="es-MX"/>
        </w:rPr>
      </w:pPr>
    </w:p>
    <w:p w14:paraId="7BBCD72D" w14:textId="77777777" w:rsidR="00521CD6" w:rsidRDefault="00521CD6" w:rsidP="005D44D9">
      <w:pPr>
        <w:spacing w:after="0" w:line="276" w:lineRule="auto"/>
        <w:jc w:val="both"/>
        <w:rPr>
          <w:rFonts w:ascii="Verdana" w:eastAsia="Arial" w:hAnsi="Verdana" w:cs="Arial"/>
          <w:color w:val="000000"/>
          <w:lang w:val="es-ES"/>
        </w:rPr>
      </w:pPr>
      <w:r w:rsidRPr="004B07F9">
        <w:rPr>
          <w:rFonts w:ascii="Verdana" w:hAnsi="Verdana" w:cs="Arial"/>
          <w:lang w:val="es-ES"/>
        </w:rPr>
        <w:t xml:space="preserve">i) </w:t>
      </w:r>
      <w:r w:rsidRPr="004B07F9">
        <w:rPr>
          <w:rFonts w:ascii="Verdana" w:eastAsia="Arial" w:hAnsi="Verdana" w:cs="Arial"/>
          <w:color w:val="000000"/>
          <w:lang w:val="es-ES"/>
        </w:rPr>
        <w:t xml:space="preserve">Uno de los principios transversales de los procedimientos de selección es el de </w:t>
      </w:r>
      <w:r w:rsidRPr="004B07F9">
        <w:rPr>
          <w:rFonts w:ascii="Verdana" w:eastAsia="Arial" w:hAnsi="Verdana" w:cs="Arial"/>
          <w:i/>
          <w:color w:val="000000"/>
          <w:lang w:val="es-ES"/>
        </w:rPr>
        <w:t>selección objetiva</w:t>
      </w:r>
      <w:r w:rsidRPr="004B07F9">
        <w:rPr>
          <w:rFonts w:ascii="Verdana" w:eastAsia="Arial" w:hAnsi="Verdana" w:cs="Arial"/>
          <w:color w:val="000000"/>
          <w:lang w:val="es-ES"/>
        </w:rPr>
        <w:t>.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4B07F9">
        <w:rPr>
          <w:rFonts w:ascii="Verdana" w:eastAsia="Arial" w:hAnsi="Verdana" w:cs="Arial"/>
          <w:color w:val="000000"/>
          <w:vertAlign w:val="superscript"/>
          <w:lang w:val="es-ES"/>
        </w:rPr>
        <w:footnoteReference w:id="1"/>
      </w:r>
      <w:r w:rsidRPr="004B07F9">
        <w:rPr>
          <w:rFonts w:ascii="Verdana" w:eastAsia="Arial" w:hAnsi="Verdana" w:cs="Arial"/>
          <w:color w:val="000000"/>
          <w:lang w:val="es-ES"/>
        </w:rPr>
        <w:t xml:space="preserve">, en la actualidad la disposición legal que lo prevé es el artículo 5 de la Ley 1150 de 2007, modificado por el artículo 88 de la Ley 1474 de 2011 y por el artículo 5 de la Ley 1882 de 2018. Esta norma prescribe lo siguiente: </w:t>
      </w:r>
    </w:p>
    <w:p w14:paraId="523E5547" w14:textId="77777777" w:rsidR="000B6B29" w:rsidRPr="004B07F9" w:rsidRDefault="000B6B29" w:rsidP="00B456F5">
      <w:pPr>
        <w:spacing w:after="0" w:line="276" w:lineRule="auto"/>
        <w:jc w:val="both"/>
        <w:rPr>
          <w:rFonts w:ascii="Verdana" w:eastAsia="Arial" w:hAnsi="Verdana" w:cs="Arial"/>
          <w:color w:val="000000"/>
          <w:lang w:val="es-ES"/>
        </w:rPr>
      </w:pPr>
    </w:p>
    <w:p w14:paraId="1697C745" w14:textId="022074AD" w:rsidR="00521CD6" w:rsidRDefault="00521CD6" w:rsidP="005D44D9">
      <w:pPr>
        <w:spacing w:after="0" w:line="240" w:lineRule="auto"/>
        <w:ind w:left="709" w:right="709"/>
        <w:jc w:val="both"/>
        <w:rPr>
          <w:rFonts w:ascii="Verdana" w:eastAsia="Arial" w:hAnsi="Verdana" w:cs="Arial"/>
          <w:color w:val="000000"/>
          <w:sz w:val="20"/>
          <w:szCs w:val="20"/>
          <w:lang w:val="es-ES"/>
        </w:rPr>
      </w:pPr>
      <w:r w:rsidRPr="004B07F9">
        <w:rPr>
          <w:rFonts w:ascii="Verdana" w:eastAsia="Arial" w:hAnsi="Verdana" w:cs="Arial"/>
          <w:color w:val="000000"/>
          <w:sz w:val="20"/>
          <w:szCs w:val="20"/>
          <w:lang w:val="es-ES"/>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r w:rsidR="000F541C" w:rsidRPr="004B07F9">
        <w:rPr>
          <w:rFonts w:ascii="Verdana" w:eastAsia="Arial" w:hAnsi="Verdana" w:cs="Arial"/>
          <w:color w:val="000000"/>
          <w:sz w:val="20"/>
          <w:szCs w:val="20"/>
          <w:lang w:val="es-ES"/>
        </w:rPr>
        <w:t>equivalentes</w:t>
      </w:r>
      <w:r w:rsidRPr="004B07F9">
        <w:rPr>
          <w:rFonts w:ascii="Verdana" w:eastAsia="Arial" w:hAnsi="Verdana" w:cs="Arial"/>
          <w:color w:val="000000"/>
          <w:sz w:val="20"/>
          <w:szCs w:val="20"/>
          <w:lang w:val="es-ES"/>
        </w:rPr>
        <w:t xml:space="preserve"> tendrán en cuenta los siguientes criterios:</w:t>
      </w:r>
    </w:p>
    <w:p w14:paraId="770A101C" w14:textId="77777777" w:rsidR="005D44D9" w:rsidRPr="004B07F9" w:rsidRDefault="005D44D9" w:rsidP="00B456F5">
      <w:pPr>
        <w:spacing w:after="0" w:line="240" w:lineRule="auto"/>
        <w:ind w:left="709" w:right="709"/>
        <w:jc w:val="both"/>
        <w:rPr>
          <w:rFonts w:ascii="Verdana" w:eastAsia="Arial" w:hAnsi="Verdana" w:cs="Arial"/>
          <w:color w:val="000000"/>
          <w:sz w:val="20"/>
          <w:szCs w:val="20"/>
          <w:lang w:val="es-ES"/>
        </w:rPr>
      </w:pPr>
    </w:p>
    <w:p w14:paraId="57C46786" w14:textId="77777777" w:rsidR="00521CD6" w:rsidRDefault="00521CD6" w:rsidP="005D44D9">
      <w:pPr>
        <w:spacing w:after="0" w:line="240" w:lineRule="auto"/>
        <w:ind w:left="709" w:right="709"/>
        <w:jc w:val="both"/>
        <w:rPr>
          <w:rFonts w:ascii="Verdana" w:eastAsia="Arial" w:hAnsi="Verdana" w:cs="Arial"/>
          <w:color w:val="000000"/>
          <w:sz w:val="20"/>
          <w:szCs w:val="20"/>
          <w:lang w:val="es-ES"/>
        </w:rPr>
      </w:pPr>
      <w:r w:rsidRPr="004B07F9">
        <w:rPr>
          <w:rFonts w:ascii="Verdana" w:eastAsia="Arial" w:hAnsi="Verdana" w:cs="Arial"/>
          <w:color w:val="000000"/>
          <w:sz w:val="20"/>
          <w:szCs w:val="20"/>
          <w:lang w:val="es-ES"/>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w:t>
      </w:r>
      <w:r w:rsidRPr="004B07F9">
        <w:rPr>
          <w:rFonts w:ascii="Verdana" w:eastAsia="Arial" w:hAnsi="Verdana" w:cs="Arial"/>
          <w:color w:val="000000"/>
          <w:sz w:val="20"/>
          <w:szCs w:val="20"/>
          <w:lang w:val="es-ES"/>
        </w:rPr>
        <w:lastRenderedPageBreak/>
        <w:t>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831C392" w14:textId="77777777" w:rsidR="005D44D9" w:rsidRPr="004B07F9" w:rsidRDefault="005D44D9" w:rsidP="00B456F5">
      <w:pPr>
        <w:spacing w:after="0" w:line="240" w:lineRule="auto"/>
        <w:ind w:left="709" w:right="709"/>
        <w:jc w:val="both"/>
        <w:rPr>
          <w:rFonts w:ascii="Verdana" w:eastAsia="Arial" w:hAnsi="Verdana" w:cs="Arial"/>
          <w:color w:val="000000"/>
          <w:sz w:val="20"/>
          <w:szCs w:val="20"/>
          <w:lang w:val="es-ES"/>
        </w:rPr>
      </w:pPr>
    </w:p>
    <w:p w14:paraId="24C46822" w14:textId="218B05DC" w:rsidR="00521CD6" w:rsidRDefault="00521CD6" w:rsidP="005D44D9">
      <w:pPr>
        <w:spacing w:after="0" w:line="240" w:lineRule="auto"/>
        <w:ind w:left="709" w:right="709"/>
        <w:jc w:val="both"/>
        <w:rPr>
          <w:rFonts w:ascii="Verdana" w:eastAsia="Arial" w:hAnsi="Verdana" w:cs="Arial"/>
          <w:color w:val="000000"/>
          <w:sz w:val="20"/>
          <w:szCs w:val="20"/>
          <w:lang w:val="es-ES"/>
        </w:rPr>
      </w:pPr>
      <w:r w:rsidRPr="004B07F9">
        <w:rPr>
          <w:rFonts w:ascii="Verdana" w:eastAsia="Arial" w:hAnsi="Verdana" w:cs="Arial"/>
          <w:color w:val="000000"/>
          <w:sz w:val="20"/>
          <w:szCs w:val="20"/>
          <w:lang w:val="es-ES"/>
        </w:rPr>
        <w:t>2. 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03589DEE" w14:textId="77777777" w:rsidR="005D44D9" w:rsidRPr="004B07F9" w:rsidRDefault="005D44D9" w:rsidP="00B456F5">
      <w:pPr>
        <w:spacing w:after="0" w:line="240" w:lineRule="auto"/>
        <w:ind w:left="709" w:right="709"/>
        <w:jc w:val="both"/>
        <w:rPr>
          <w:rFonts w:ascii="Verdana" w:eastAsia="Arial" w:hAnsi="Verdana" w:cs="Arial"/>
          <w:color w:val="000000"/>
          <w:sz w:val="20"/>
          <w:szCs w:val="20"/>
          <w:lang w:val="es-ES"/>
        </w:rPr>
      </w:pPr>
    </w:p>
    <w:p w14:paraId="1DDB9BC6" w14:textId="77777777" w:rsidR="00521CD6" w:rsidRPr="004B07F9" w:rsidRDefault="00521CD6" w:rsidP="00B456F5">
      <w:pPr>
        <w:spacing w:after="0" w:line="240" w:lineRule="auto"/>
        <w:ind w:left="709" w:right="709"/>
        <w:jc w:val="both"/>
        <w:rPr>
          <w:rFonts w:ascii="Verdana" w:eastAsia="Arial" w:hAnsi="Verdana" w:cs="Arial"/>
          <w:color w:val="000000"/>
          <w:sz w:val="20"/>
          <w:szCs w:val="20"/>
          <w:lang w:val="es-ES"/>
        </w:rPr>
      </w:pPr>
      <w:r w:rsidRPr="004B07F9">
        <w:rPr>
          <w:rFonts w:ascii="Verdana" w:eastAsia="Arial"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p>
    <w:p w14:paraId="0CF3AFFB" w14:textId="77777777" w:rsidR="00521CD6" w:rsidRPr="004B07F9" w:rsidRDefault="00521CD6" w:rsidP="00B456F5">
      <w:pPr>
        <w:spacing w:after="0" w:line="240" w:lineRule="auto"/>
        <w:ind w:left="709" w:right="709"/>
        <w:jc w:val="both"/>
        <w:rPr>
          <w:rFonts w:ascii="Verdana" w:eastAsia="Arial" w:hAnsi="Verdana" w:cs="Arial"/>
          <w:color w:val="000000"/>
          <w:sz w:val="20"/>
          <w:szCs w:val="20"/>
          <w:lang w:val="es-ES"/>
        </w:rPr>
      </w:pPr>
      <w:r w:rsidRPr="004B07F9">
        <w:rPr>
          <w:rFonts w:ascii="Verdana" w:eastAsia="Arial" w:hAnsi="Verdana" w:cs="Arial"/>
          <w:color w:val="000000"/>
          <w:sz w:val="20"/>
          <w:szCs w:val="20"/>
          <w:lang w:val="es-ES"/>
        </w:rPr>
        <w:t>a) La ponderación de los elementos de calidad y precio soportados en puntajes o fórmulas señaladas en el pliego de condiciones; o</w:t>
      </w:r>
    </w:p>
    <w:p w14:paraId="7BB2FABC" w14:textId="77777777" w:rsidR="00521CD6" w:rsidRPr="004B07F9" w:rsidRDefault="00521CD6" w:rsidP="00B456F5">
      <w:pPr>
        <w:spacing w:after="0" w:line="240" w:lineRule="auto"/>
        <w:ind w:left="709" w:right="709"/>
        <w:jc w:val="both"/>
        <w:rPr>
          <w:rFonts w:ascii="Verdana" w:eastAsia="Arial" w:hAnsi="Verdana" w:cs="Arial"/>
          <w:color w:val="000000"/>
          <w:sz w:val="20"/>
          <w:szCs w:val="20"/>
          <w:lang w:val="es-ES"/>
        </w:rPr>
      </w:pPr>
      <w:r w:rsidRPr="004B07F9">
        <w:rPr>
          <w:rFonts w:ascii="Verdana" w:eastAsia="Arial" w:hAnsi="Verdana" w:cs="Arial"/>
          <w:color w:val="000000"/>
          <w:sz w:val="20"/>
          <w:szCs w:val="20"/>
          <w:lang w:val="es-ES"/>
        </w:rPr>
        <w:t>b) La ponderación de los elementos de calidad y precio que representen la mejor relación de costo-beneficio para la entidad.</w:t>
      </w:r>
    </w:p>
    <w:p w14:paraId="1C49F43D" w14:textId="77777777" w:rsidR="00521CD6" w:rsidRPr="004B07F9" w:rsidRDefault="00521CD6" w:rsidP="005D44D9">
      <w:pPr>
        <w:spacing w:after="0" w:line="240" w:lineRule="auto"/>
        <w:ind w:left="709" w:right="709"/>
        <w:jc w:val="both"/>
        <w:rPr>
          <w:rFonts w:ascii="Verdana" w:eastAsia="Arial" w:hAnsi="Verdana" w:cs="Arial"/>
          <w:color w:val="000000"/>
          <w:sz w:val="20"/>
          <w:szCs w:val="20"/>
          <w:lang w:val="es-ES"/>
        </w:rPr>
      </w:pPr>
      <w:r w:rsidRPr="004B07F9">
        <w:rPr>
          <w:rFonts w:ascii="Verdana" w:eastAsia="Arial" w:hAnsi="Verdana" w:cs="Arial"/>
          <w:color w:val="000000"/>
          <w:sz w:val="20"/>
          <w:szCs w:val="20"/>
          <w:lang w:val="es-ES"/>
        </w:rPr>
        <w:t>[…]”</w:t>
      </w:r>
    </w:p>
    <w:p w14:paraId="5C2B780A" w14:textId="77777777" w:rsidR="00521CD6" w:rsidRPr="004B07F9" w:rsidRDefault="00521CD6" w:rsidP="005D44D9">
      <w:pPr>
        <w:spacing w:after="0" w:line="240" w:lineRule="auto"/>
        <w:ind w:left="709" w:right="709"/>
        <w:jc w:val="both"/>
        <w:rPr>
          <w:rFonts w:ascii="Verdana" w:eastAsia="Arial" w:hAnsi="Verdana" w:cs="Arial"/>
          <w:color w:val="000000"/>
          <w:sz w:val="20"/>
          <w:szCs w:val="20"/>
          <w:lang w:val="es-ES"/>
        </w:rPr>
      </w:pPr>
    </w:p>
    <w:p w14:paraId="0AA8F419" w14:textId="77777777" w:rsidR="00521CD6" w:rsidRPr="004B07F9" w:rsidRDefault="00521CD6" w:rsidP="00521CD6">
      <w:pPr>
        <w:tabs>
          <w:tab w:val="left" w:pos="0"/>
        </w:tabs>
        <w:spacing w:after="120" w:line="276" w:lineRule="auto"/>
        <w:jc w:val="both"/>
        <w:rPr>
          <w:rFonts w:ascii="Verdana" w:eastAsia="Arial" w:hAnsi="Verdana" w:cs="Arial"/>
          <w:color w:val="000000"/>
          <w:lang w:val="es-ES"/>
        </w:rPr>
      </w:pPr>
      <w:r w:rsidRPr="004B07F9">
        <w:rPr>
          <w:rFonts w:ascii="Verdana" w:eastAsia="Arial" w:hAnsi="Verdana" w:cs="Arial"/>
          <w:color w:val="000000"/>
          <w:lang w:val="es-ES"/>
        </w:rPr>
        <w:tab/>
        <w:t xml:space="preserve">De acuerdo con el artículo 5 de la Ley 1150 de 2007,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0EA91C1B" w14:textId="29368EB1" w:rsidR="00521CD6" w:rsidRPr="004B07F9" w:rsidRDefault="00521CD6" w:rsidP="00521CD6">
      <w:pPr>
        <w:tabs>
          <w:tab w:val="left" w:pos="0"/>
        </w:tabs>
        <w:spacing w:after="120" w:line="276" w:lineRule="auto"/>
        <w:jc w:val="both"/>
        <w:rPr>
          <w:rFonts w:ascii="Verdana" w:hAnsi="Verdana"/>
          <w:lang w:val="es-ES"/>
        </w:rPr>
      </w:pPr>
      <w:bookmarkStart w:id="2" w:name="_1fob9te"/>
      <w:bookmarkEnd w:id="2"/>
      <w:r w:rsidRPr="004B07F9">
        <w:rPr>
          <w:rFonts w:ascii="Verdana" w:eastAsia="Arial" w:hAnsi="Verdana" w:cs="Arial"/>
          <w:color w:val="000000"/>
          <w:lang w:val="es-ES"/>
        </w:rPr>
        <w:tab/>
        <w:t xml:space="preserve">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w:t>
      </w:r>
      <w:r w:rsidRPr="004B07F9">
        <w:rPr>
          <w:rFonts w:ascii="Verdana" w:eastAsia="Arial" w:hAnsi="Verdana" w:cs="Arial"/>
          <w:color w:val="000000"/>
          <w:lang w:val="es-ES"/>
        </w:rPr>
        <w:lastRenderedPageBreak/>
        <w:t>adecuadamente la ejecución del contrato</w:t>
      </w:r>
      <w:r w:rsidRPr="004B07F9">
        <w:rPr>
          <w:rFonts w:ascii="Verdana" w:eastAsia="Arial" w:hAnsi="Verdana" w:cs="Arial"/>
          <w:color w:val="000000"/>
          <w:vertAlign w:val="superscript"/>
          <w:lang w:val="es-ES"/>
        </w:rPr>
        <w:footnoteReference w:id="2"/>
      </w:r>
      <w:r w:rsidRPr="004B07F9">
        <w:rPr>
          <w:rFonts w:ascii="Verdana" w:eastAsia="Arial" w:hAnsi="Verdana" w:cs="Arial"/>
          <w:color w:val="000000"/>
          <w:lang w:val="es-ES"/>
        </w:rPr>
        <w:t xml:space="preserve">. Como lo ha señalado esta Agencia en diferentes conceptos, los </w:t>
      </w:r>
      <w:r w:rsidRPr="004B07F9">
        <w:rPr>
          <w:rFonts w:ascii="Verdana" w:hAnsi="Verdana"/>
          <w:lang w:val="es-ES"/>
        </w:rPr>
        <w:t xml:space="preserve">requisitos habilitantes son de carácter enunciativo y no taxativo, por lo que las entidades podrían establecer otras condiciones, </w:t>
      </w:r>
      <w:r w:rsidR="00C6260A" w:rsidRPr="004B07F9">
        <w:rPr>
          <w:rFonts w:ascii="Verdana" w:hAnsi="Verdana"/>
          <w:lang w:val="es-ES"/>
        </w:rPr>
        <w:t>de acuerdo con</w:t>
      </w:r>
      <w:r w:rsidRPr="004B07F9">
        <w:rPr>
          <w:rFonts w:ascii="Verdana" w:hAnsi="Verdana"/>
          <w:lang w:val="es-ES"/>
        </w:rPr>
        <w:t xml:space="preserve"> la autonomía de la voluntad, y teniendo en cuenta el objeto del contrato, los riesgos detectados en los estudios previos y el presupuesto oficial, entre otros factores.</w:t>
      </w:r>
    </w:p>
    <w:p w14:paraId="08A7F40E" w14:textId="77777777" w:rsidR="00521CD6" w:rsidRPr="004B07F9" w:rsidRDefault="00521CD6" w:rsidP="00521CD6">
      <w:pPr>
        <w:tabs>
          <w:tab w:val="left" w:pos="0"/>
        </w:tabs>
        <w:spacing w:after="120" w:line="276" w:lineRule="auto"/>
        <w:ind w:firstLine="709"/>
        <w:jc w:val="both"/>
        <w:rPr>
          <w:rFonts w:ascii="Verdana" w:hAnsi="Verdana"/>
          <w:lang w:val="es-ES"/>
        </w:rPr>
      </w:pPr>
      <w:r w:rsidRPr="004B07F9">
        <w:rPr>
          <w:rFonts w:ascii="Verdana" w:eastAsia="Arial" w:hAnsi="Verdana" w:cs="Arial"/>
          <w:color w:val="000000"/>
          <w:lang w:val="es-ES"/>
        </w:rPr>
        <w:t xml:space="preserve">Los oferentes que cumplan los requisitos habilitantes son considerados idóneos para ejecutar el objeto contractual, de manera que sus ofertas pueden ser evaluadas para determinar cuál es la más favorable para la entidad y los fines de la contratación. En este sentido, los requisitos </w:t>
      </w:r>
      <w:r w:rsidRPr="004B07F9">
        <w:rPr>
          <w:rFonts w:ascii="Verdana" w:eastAsia="Arial" w:hAnsi="Verdana" w:cs="Arial"/>
          <w:i/>
          <w:color w:val="000000"/>
          <w:lang w:val="es-ES"/>
        </w:rPr>
        <w:t xml:space="preserve">habilitantes </w:t>
      </w:r>
      <w:r w:rsidRPr="004B07F9">
        <w:rPr>
          <w:rFonts w:ascii="Verdana" w:eastAsia="Arial" w:hAnsi="Verdana" w:cs="Arial"/>
          <w:color w:val="000000"/>
          <w:lang w:val="es-ES"/>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2E4A7210" w14:textId="77777777" w:rsidR="00521CD6" w:rsidRPr="004B07F9" w:rsidRDefault="00521CD6" w:rsidP="00521CD6">
      <w:pPr>
        <w:tabs>
          <w:tab w:val="left" w:pos="0"/>
        </w:tabs>
        <w:spacing w:after="120" w:line="276" w:lineRule="auto"/>
        <w:jc w:val="both"/>
        <w:rPr>
          <w:rFonts w:ascii="Verdana" w:eastAsia="Arial" w:hAnsi="Verdana" w:cs="Arial"/>
          <w:color w:val="000000"/>
          <w:lang w:val="es-ES"/>
        </w:rPr>
      </w:pPr>
      <w:r w:rsidRPr="004B07F9">
        <w:rPr>
          <w:rFonts w:ascii="Verdana" w:eastAsia="Arial" w:hAnsi="Verdana" w:cs="Arial"/>
          <w:color w:val="000000"/>
          <w:lang w:val="es-ES"/>
        </w:rPr>
        <w:tab/>
        <w:t xml:space="preserve">En contraposición a los requisitos habilitantes, el artículo 5 de la Ley 1150 de 2007 regula los factores dirigidos a determinar cuál es la propuesta comparativamente más favorable. En ese sentido,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79069365" w14:textId="0DBD339C" w:rsidR="00521CD6" w:rsidRDefault="00521CD6" w:rsidP="00DE6D46">
      <w:pPr>
        <w:tabs>
          <w:tab w:val="left" w:pos="0"/>
        </w:tabs>
        <w:spacing w:after="0" w:line="276" w:lineRule="auto"/>
        <w:jc w:val="both"/>
        <w:rPr>
          <w:rFonts w:ascii="Verdana" w:eastAsia="Arial" w:hAnsi="Verdana" w:cs="Arial"/>
          <w:color w:val="000000"/>
        </w:rPr>
      </w:pPr>
      <w:r w:rsidRPr="004B07F9">
        <w:rPr>
          <w:rFonts w:ascii="Verdana" w:eastAsia="Arial" w:hAnsi="Verdana" w:cs="Arial"/>
          <w:color w:val="000000"/>
          <w:lang w:val="es-ES"/>
        </w:rPr>
        <w:tab/>
        <w:t xml:space="preserve">Conforme a lo anterior, el artículo 5 de la Ley 1150 de 2007, alude a diferentes conceptos como factores de escogencia, de calificación, técnicos y económicos, de evaluación y calificación. Además, el artículo se refiere a unos factores que no otorgan puntaje y de otros que inciden en la comparación de ofertas. Por ello, la doctrina define los requisitos o factores ponderables como “(…) aquellas condiciones de la oferta y no de quien la presenta, que sí entrarán </w:t>
      </w:r>
      <w:r w:rsidRPr="004B07F9">
        <w:rPr>
          <w:rFonts w:ascii="Verdana" w:eastAsia="Arial" w:hAnsi="Verdana" w:cs="Arial"/>
          <w:color w:val="000000"/>
          <w:lang w:val="es-ES"/>
        </w:rPr>
        <w:lastRenderedPageBreak/>
        <w:t>a ser evaluadas por la Administración y que en consecuencia, darán lugar a la escogencia objetiva de la mejor propuesta para la entidad”</w:t>
      </w:r>
      <w:r w:rsidRPr="004B07F9">
        <w:rPr>
          <w:rFonts w:ascii="Verdana" w:eastAsia="Arial" w:hAnsi="Verdana" w:cs="Arial"/>
          <w:color w:val="000000"/>
          <w:vertAlign w:val="superscript"/>
          <w:lang w:val="es-ES"/>
        </w:rPr>
        <w:footnoteReference w:id="3"/>
      </w:r>
      <w:r w:rsidRPr="004B07F9">
        <w:rPr>
          <w:rFonts w:ascii="Verdana" w:eastAsia="Arial" w:hAnsi="Verdana" w:cs="Arial"/>
          <w:color w:val="000000"/>
          <w:lang w:val="es-ES"/>
        </w:rPr>
        <w:t>. Todas estas categorías designan los “(…) factores a los cuales cabe otorgarles puntajes o que pueden ser ponderados, precisamente, pues estos son los factores que en últimas permiten una comparación de ofertas y una diferenciación entre ellas”</w:t>
      </w:r>
      <w:r w:rsidRPr="004B07F9">
        <w:rPr>
          <w:rFonts w:ascii="Verdana" w:eastAsia="Arial" w:hAnsi="Verdana" w:cs="Arial"/>
          <w:color w:val="000000"/>
          <w:vertAlign w:val="superscript"/>
          <w:lang w:val="es-ES"/>
        </w:rPr>
        <w:footnoteReference w:id="4"/>
      </w:r>
      <w:r w:rsidRPr="004B07F9">
        <w:rPr>
          <w:rFonts w:ascii="Verdana" w:eastAsia="Arial" w:hAnsi="Verdana" w:cs="Arial"/>
          <w:color w:val="000000"/>
          <w:lang w:val="es-ES"/>
        </w:rPr>
        <w:t>.</w:t>
      </w:r>
      <w:r w:rsidR="00864774" w:rsidRPr="004B07F9">
        <w:rPr>
          <w:rFonts w:ascii="Verdana" w:eastAsia="Arial" w:hAnsi="Verdana" w:cs="Arial"/>
          <w:color w:val="000000"/>
        </w:rPr>
        <w:t xml:space="preserve"> Conforme a esto, la doctrina explica que:</w:t>
      </w:r>
    </w:p>
    <w:p w14:paraId="6C75710D" w14:textId="77777777" w:rsidR="00DE6D46" w:rsidRPr="004B07F9" w:rsidRDefault="00DE6D46" w:rsidP="00B456F5">
      <w:pPr>
        <w:tabs>
          <w:tab w:val="left" w:pos="0"/>
        </w:tabs>
        <w:spacing w:after="0" w:line="276" w:lineRule="auto"/>
        <w:jc w:val="both"/>
        <w:rPr>
          <w:rFonts w:ascii="Verdana" w:eastAsia="Arial" w:hAnsi="Verdana" w:cs="Arial"/>
          <w:color w:val="000000"/>
        </w:rPr>
      </w:pPr>
    </w:p>
    <w:p w14:paraId="1D352C5E" w14:textId="77777777" w:rsidR="000E0AC7" w:rsidRDefault="000E0AC7" w:rsidP="0023728C">
      <w:pPr>
        <w:tabs>
          <w:tab w:val="left" w:pos="0"/>
        </w:tabs>
        <w:spacing w:after="0" w:line="240" w:lineRule="auto"/>
        <w:ind w:left="709" w:right="709"/>
        <w:jc w:val="both"/>
        <w:rPr>
          <w:rFonts w:ascii="Verdana" w:eastAsia="Arial" w:hAnsi="Verdana" w:cs="Arial"/>
          <w:color w:val="000000"/>
          <w:sz w:val="20"/>
          <w:szCs w:val="20"/>
        </w:rPr>
      </w:pPr>
      <w:r w:rsidRPr="004B07F9">
        <w:rPr>
          <w:rFonts w:ascii="Verdana" w:eastAsia="Arial" w:hAnsi="Verdana" w:cs="Arial"/>
          <w:color w:val="000000"/>
          <w:sz w:val="20"/>
          <w:szCs w:val="20"/>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5F923D9E" w14:textId="77777777" w:rsidR="0023728C" w:rsidRPr="004B07F9" w:rsidRDefault="0023728C" w:rsidP="00B456F5">
      <w:pPr>
        <w:tabs>
          <w:tab w:val="left" w:pos="0"/>
        </w:tabs>
        <w:spacing w:after="0" w:line="240" w:lineRule="auto"/>
        <w:ind w:left="709" w:right="709"/>
        <w:jc w:val="both"/>
        <w:rPr>
          <w:rFonts w:ascii="Verdana" w:eastAsia="Arial" w:hAnsi="Verdana" w:cs="Arial"/>
          <w:color w:val="000000"/>
          <w:sz w:val="20"/>
          <w:szCs w:val="20"/>
        </w:rPr>
      </w:pPr>
    </w:p>
    <w:p w14:paraId="1BF3C1A8" w14:textId="77777777" w:rsidR="000E0AC7" w:rsidRPr="004B07F9" w:rsidRDefault="000E0AC7" w:rsidP="0023728C">
      <w:pPr>
        <w:tabs>
          <w:tab w:val="left" w:pos="0"/>
        </w:tabs>
        <w:spacing w:after="0" w:line="240" w:lineRule="auto"/>
        <w:ind w:left="709" w:right="709"/>
        <w:jc w:val="both"/>
        <w:rPr>
          <w:rFonts w:ascii="Verdana" w:eastAsia="Arial" w:hAnsi="Verdana" w:cs="Arial"/>
          <w:color w:val="000000"/>
          <w:sz w:val="20"/>
          <w:szCs w:val="20"/>
        </w:rPr>
      </w:pPr>
      <w:r w:rsidRPr="004B07F9">
        <w:rPr>
          <w:rFonts w:ascii="Verdana" w:eastAsia="Arial" w:hAnsi="Verdana" w:cs="Arial"/>
          <w:color w:val="000000"/>
          <w:sz w:val="20"/>
          <w:szCs w:val="20"/>
        </w:rPr>
        <w:t xml:space="preserve">De nuevo, aquí es preciso señalar </w:t>
      </w:r>
      <w:r w:rsidRPr="004B07F9">
        <w:rPr>
          <w:rFonts w:ascii="Verdana" w:eastAsia="Arial" w:hAnsi="Verdana" w:cs="Arial"/>
          <w:b/>
          <w:bCs/>
          <w:color w:val="000000"/>
          <w:sz w:val="20"/>
          <w:szCs w:val="20"/>
        </w:rPr>
        <w:t>que es el pliego de condiciones el que debe determinar cuáles son esos factores que en cada caso concreto permiten hacer una comparación entre las ofertas presentadas y, con base en ello, determinar cuál es la más favorable para la Administración Pública.</w:t>
      </w:r>
      <w:r w:rsidRPr="004B07F9">
        <w:rPr>
          <w:rFonts w:ascii="Verdana" w:eastAsia="Arial" w:hAnsi="Verdana" w:cs="Arial"/>
          <w:color w:val="000000"/>
          <w:sz w:val="20"/>
          <w:szCs w:val="20"/>
        </w:rPr>
        <w:t xml:space="preserve"> </w:t>
      </w:r>
    </w:p>
    <w:p w14:paraId="715903A6" w14:textId="77777777" w:rsidR="000E0AC7" w:rsidRPr="004B07F9" w:rsidRDefault="000E0AC7" w:rsidP="00B456F5">
      <w:pPr>
        <w:tabs>
          <w:tab w:val="left" w:pos="0"/>
        </w:tabs>
        <w:spacing w:after="0" w:line="240" w:lineRule="auto"/>
        <w:ind w:left="709" w:right="709"/>
        <w:jc w:val="both"/>
        <w:rPr>
          <w:rFonts w:ascii="Verdana" w:eastAsia="Arial" w:hAnsi="Verdana" w:cs="Arial"/>
          <w:color w:val="000000"/>
          <w:sz w:val="20"/>
          <w:szCs w:val="20"/>
        </w:rPr>
      </w:pPr>
      <w:r w:rsidRPr="004B07F9">
        <w:rPr>
          <w:rFonts w:ascii="Verdana" w:eastAsia="Arial" w:hAnsi="Verdana" w:cs="Arial"/>
          <w:color w:val="000000"/>
          <w:sz w:val="20"/>
          <w:szCs w:val="20"/>
        </w:rPr>
        <w:t>[…]</w:t>
      </w:r>
    </w:p>
    <w:p w14:paraId="6E1329D3" w14:textId="77777777" w:rsidR="0023728C" w:rsidRDefault="0023728C" w:rsidP="0023728C">
      <w:pPr>
        <w:tabs>
          <w:tab w:val="left" w:pos="0"/>
        </w:tabs>
        <w:spacing w:after="0" w:line="240" w:lineRule="auto"/>
        <w:ind w:left="709" w:right="709"/>
        <w:jc w:val="both"/>
        <w:rPr>
          <w:rFonts w:ascii="Verdana" w:eastAsia="Arial" w:hAnsi="Verdana" w:cs="Arial"/>
          <w:color w:val="000000"/>
          <w:sz w:val="20"/>
          <w:szCs w:val="20"/>
        </w:rPr>
      </w:pPr>
    </w:p>
    <w:p w14:paraId="71D465DF" w14:textId="1551616C" w:rsidR="00864774" w:rsidRPr="004B07F9" w:rsidRDefault="000E0AC7" w:rsidP="0023728C">
      <w:pPr>
        <w:tabs>
          <w:tab w:val="left" w:pos="0"/>
        </w:tabs>
        <w:spacing w:after="0" w:line="240" w:lineRule="auto"/>
        <w:ind w:left="709" w:right="709"/>
        <w:jc w:val="both"/>
        <w:rPr>
          <w:rFonts w:ascii="Verdana" w:eastAsia="Arial" w:hAnsi="Verdana" w:cs="Arial"/>
          <w:color w:val="000000"/>
          <w:sz w:val="20"/>
          <w:szCs w:val="20"/>
        </w:rPr>
      </w:pPr>
      <w:r w:rsidRPr="004B07F9">
        <w:rPr>
          <w:rFonts w:ascii="Verdana" w:eastAsia="Arial" w:hAnsi="Verdana" w:cs="Arial"/>
          <w:color w:val="000000"/>
          <w:sz w:val="20"/>
          <w:szCs w:val="20"/>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4B07F9">
        <w:rPr>
          <w:rFonts w:ascii="Verdana" w:eastAsia="Arial" w:hAnsi="Verdana" w:cs="Arial"/>
          <w:color w:val="000000"/>
          <w:sz w:val="20"/>
          <w:szCs w:val="20"/>
          <w:vertAlign w:val="superscript"/>
        </w:rPr>
        <w:footnoteReference w:id="5"/>
      </w:r>
      <w:r w:rsidRPr="004B07F9">
        <w:rPr>
          <w:rFonts w:ascii="Verdana" w:eastAsia="Arial" w:hAnsi="Verdana" w:cs="Arial"/>
          <w:color w:val="000000"/>
          <w:sz w:val="20"/>
          <w:szCs w:val="20"/>
        </w:rPr>
        <w:t>.</w:t>
      </w:r>
    </w:p>
    <w:p w14:paraId="4D95F732" w14:textId="77777777" w:rsidR="000E0AC7" w:rsidRPr="004B07F9" w:rsidRDefault="000E0AC7" w:rsidP="000E0AC7">
      <w:pPr>
        <w:tabs>
          <w:tab w:val="left" w:pos="0"/>
        </w:tabs>
        <w:spacing w:after="0" w:line="240" w:lineRule="auto"/>
        <w:ind w:left="709" w:right="709"/>
        <w:jc w:val="both"/>
        <w:rPr>
          <w:rFonts w:ascii="Verdana" w:eastAsia="Arial" w:hAnsi="Verdana" w:cs="Arial"/>
          <w:color w:val="000000"/>
          <w:sz w:val="20"/>
          <w:szCs w:val="20"/>
        </w:rPr>
      </w:pPr>
    </w:p>
    <w:p w14:paraId="0CC867C7" w14:textId="77777777" w:rsidR="00421292" w:rsidRPr="004B07F9" w:rsidRDefault="00521CD6" w:rsidP="00B456F5">
      <w:pPr>
        <w:tabs>
          <w:tab w:val="left" w:pos="0"/>
        </w:tabs>
        <w:spacing w:after="120" w:line="276" w:lineRule="auto"/>
        <w:ind w:firstLine="709"/>
        <w:jc w:val="both"/>
        <w:rPr>
          <w:rFonts w:ascii="Verdana" w:eastAsia="Arial" w:hAnsi="Verdana" w:cs="Arial"/>
          <w:color w:val="000000"/>
          <w:lang w:val="es-ES"/>
        </w:rPr>
      </w:pPr>
      <w:r w:rsidRPr="004B07F9">
        <w:rPr>
          <w:rFonts w:ascii="Verdana" w:eastAsia="Arial" w:hAnsi="Verdana" w:cs="Arial"/>
          <w:color w:val="000000"/>
          <w:lang w:val="es-ES"/>
        </w:rPr>
        <w:lastRenderedPageBreak/>
        <w:t xml:space="preserve">De esta forma, </w:t>
      </w:r>
      <w:bookmarkStart w:id="3" w:name="_Hlk169791737"/>
      <w:r w:rsidRPr="004B07F9">
        <w:rPr>
          <w:rFonts w:ascii="Verdana" w:eastAsia="Arial" w:hAnsi="Verdana" w:cs="Arial"/>
          <w:color w:val="000000"/>
          <w:lang w:val="es-ES"/>
        </w:rPr>
        <w:t>el deber de selección objetiva está ligado a la determinación del ofrecimiento más favorable, cuyo contenido debe ser precisado a partir de las diferentes alternativas del artículo 5 de la Ley 1150 de 2007, reglamentado por el artículo 2.2.1.1.2.2.2 del Decreto 1082 de 2015</w:t>
      </w:r>
      <w:bookmarkEnd w:id="3"/>
      <w:r w:rsidRPr="004B07F9">
        <w:rPr>
          <w:rFonts w:ascii="Verdana" w:eastAsia="Arial" w:hAnsi="Verdana" w:cs="Arial"/>
          <w:color w:val="000000"/>
          <w:lang w:val="es-ES"/>
        </w:rPr>
        <w:t>, que en todo caso deben reflejarse en el pliego de condiciones o documento equivalente para el respectivo proceso de selección. Estas disposiciones establecen que en los procesos de selección deben evaluarse, fuera de los requisitos habilitantes, los factores de calificación. Son estos últimos los que determinan la oferta más favorable para la entidad y la que, en consecuencia, debe elegirse.</w:t>
      </w:r>
    </w:p>
    <w:p w14:paraId="562BFE10" w14:textId="77777777" w:rsidR="008C4F84" w:rsidRPr="004B07F9" w:rsidRDefault="00521CD6" w:rsidP="00B456F5">
      <w:pPr>
        <w:tabs>
          <w:tab w:val="left" w:pos="0"/>
        </w:tabs>
        <w:spacing w:after="120" w:line="276" w:lineRule="auto"/>
        <w:ind w:firstLine="709"/>
        <w:jc w:val="both"/>
        <w:rPr>
          <w:rFonts w:ascii="Verdana" w:eastAsia="Arial" w:hAnsi="Verdana" w:cs="Arial"/>
          <w:color w:val="000000"/>
          <w:lang w:val="es-ES"/>
        </w:rPr>
      </w:pPr>
      <w:r w:rsidRPr="004B07F9">
        <w:rPr>
          <w:rFonts w:ascii="Verdana" w:eastAsia="Arial" w:hAnsi="Verdana" w:cs="Arial"/>
          <w:color w:val="000000"/>
          <w:lang w:val="es-ES"/>
        </w:rPr>
        <w:t xml:space="preserve">Con base en lo anterior, las Entidades Estatales tienen discrecionalidad, como estructuradoras de sus procesos, para determinar los criterios que serán objeto de calificación o puntuación en </w:t>
      </w:r>
      <w:r w:rsidR="00DF1C8A" w:rsidRPr="004B07F9">
        <w:rPr>
          <w:rFonts w:ascii="Verdana" w:eastAsia="Arial" w:hAnsi="Verdana" w:cs="Arial"/>
          <w:color w:val="000000"/>
          <w:lang w:val="es-ES"/>
        </w:rPr>
        <w:t>los procedimientos</w:t>
      </w:r>
      <w:r w:rsidRPr="004B07F9">
        <w:rPr>
          <w:rFonts w:ascii="Verdana" w:eastAsia="Arial" w:hAnsi="Verdana" w:cs="Arial"/>
          <w:color w:val="000000"/>
          <w:lang w:val="es-ES"/>
        </w:rPr>
        <w:t xml:space="preserve"> de selección que adelanten. Sin embargo, esta facultad no es ilimitada, pues deben ser acordes a la ponderación de factores técnicos y económicos que permitan elegir la oferta más ventajosa para satisfacer su necesidad, en cumplimiento de los criterios establecidos en el numeral segundo del artículo 5 de la Ley 1150 de 2007, y el artículo 2.2.1.1.2.2.2. del Decreto 1082 de 2015</w:t>
      </w:r>
      <w:r w:rsidRPr="004B07F9">
        <w:rPr>
          <w:rStyle w:val="Refdenotaalpie"/>
          <w:rFonts w:ascii="Verdana" w:eastAsia="Arial" w:hAnsi="Verdana" w:cs="Arial"/>
          <w:color w:val="000000"/>
          <w:lang w:val="es-ES"/>
        </w:rPr>
        <w:footnoteReference w:id="6"/>
      </w:r>
      <w:r w:rsidRPr="004B07F9">
        <w:rPr>
          <w:rFonts w:ascii="Verdana" w:eastAsia="Arial" w:hAnsi="Verdana" w:cs="Arial"/>
          <w:color w:val="000000"/>
          <w:lang w:val="es-ES"/>
        </w:rPr>
        <w:t xml:space="preserve">. </w:t>
      </w:r>
    </w:p>
    <w:p w14:paraId="393BDD24" w14:textId="655DAFBE" w:rsidR="00885DB1" w:rsidRPr="004B07F9" w:rsidRDefault="008C4F84" w:rsidP="00B456F5">
      <w:pPr>
        <w:tabs>
          <w:tab w:val="left" w:pos="0"/>
        </w:tabs>
        <w:spacing w:after="120" w:line="276" w:lineRule="auto"/>
        <w:ind w:firstLine="709"/>
        <w:jc w:val="both"/>
        <w:rPr>
          <w:rFonts w:ascii="Verdana" w:eastAsia="Calibri" w:hAnsi="Verdana" w:cs="Arial"/>
          <w:iCs/>
          <w:color w:val="000000" w:themeColor="text1"/>
        </w:rPr>
      </w:pPr>
      <w:r w:rsidRPr="004B07F9">
        <w:rPr>
          <w:rFonts w:ascii="Verdana" w:eastAsia="Calibri" w:hAnsi="Verdana" w:cs="Arial"/>
          <w:iCs/>
          <w:color w:val="000000" w:themeColor="text1"/>
        </w:rPr>
        <w:lastRenderedPageBreak/>
        <w:t>De lo expuesto, y en atención a la consulta formulada, resulta pertinente precisar que es el pliego de condiciones el instrumento llamado a determinar, en cada caso concreto, los factores que permiten realizar la comparación entre las ofertas presentadas y, con base en ello, establecer cuál resulta más favorable para la Administración Pública. En ese sentido, la incorporación de valores distintos a los efectivamente ofertados —esto es, ajenos a las propuestas presentadas por los oferentes— podría configurar una vulneración del principio de selección objetiva consagrado en el artículo 5 de la Ley 1150 de 2007. Dicho principio impone que la escogencia del contratista se fundamente en reglas claras, previamente definidas en los pliegos, y en criterios verificables que aseguren una comparación imparcial y en condiciones de igualdad entre los participantes.</w:t>
      </w:r>
    </w:p>
    <w:p w14:paraId="2A76E69E" w14:textId="77777777" w:rsidR="0052106B" w:rsidRPr="004B07F9" w:rsidRDefault="0052106B" w:rsidP="00B456F5">
      <w:pPr>
        <w:spacing w:after="120" w:line="276" w:lineRule="auto"/>
        <w:ind w:firstLine="709"/>
        <w:jc w:val="both"/>
        <w:rPr>
          <w:rFonts w:ascii="Verdana" w:hAnsi="Verdana" w:cs="Arial"/>
        </w:rPr>
      </w:pPr>
      <w:r w:rsidRPr="004B07F9">
        <w:rPr>
          <w:rFonts w:ascii="Verdana" w:hAnsi="Verdana" w:cs="Arial"/>
        </w:rPr>
        <w:t>En efecto, la selección objetiva se traduce en que la administración debe adjudicar el contrato a la propuesta más favorable, conforme a los parámetros definidos en el proceso de contratación. Si se introducen valores o condiciones no previstos en las ofertas, se altera el marco de comparación y se rompe la transparencia del procedimiento, pues se estaría evaluando sobre bases distintas a las que los proponentes conocieron y aceptaron. Ello no solo afecta la igualdad de trato, sino que también puede dar lugar a decisiones discrecionales o arbitrarias, contrarias al mandato de objetividad.</w:t>
      </w:r>
    </w:p>
    <w:p w14:paraId="1CCCD3FD" w14:textId="6BF466C5" w:rsidR="0052106B" w:rsidRPr="004B07F9" w:rsidRDefault="0052106B" w:rsidP="00B456F5">
      <w:pPr>
        <w:spacing w:after="120" w:line="276" w:lineRule="auto"/>
        <w:ind w:firstLine="709"/>
        <w:jc w:val="both"/>
        <w:rPr>
          <w:rFonts w:ascii="Verdana" w:hAnsi="Verdana" w:cs="Arial"/>
        </w:rPr>
      </w:pPr>
      <w:r w:rsidRPr="004B07F9">
        <w:rPr>
          <w:rFonts w:ascii="Verdana" w:hAnsi="Verdana" w:cs="Arial"/>
        </w:rPr>
        <w:t>Así las cosas, resulta a bien precisar que la administración no puede modificar unilateralmente los elementos esenciales de las ofertas ni incorporar factores externos que desnaturalicen la competencia. De hacerlo, se desconocen los principios de transparencia, economía y responsabilidad que rigen la contratación estatal.</w:t>
      </w:r>
      <w:r w:rsidR="003B3CF6" w:rsidRPr="004B07F9">
        <w:rPr>
          <w:rFonts w:ascii="Verdana" w:hAnsi="Verdana" w:cs="Arial"/>
        </w:rPr>
        <w:t xml:space="preserve"> </w:t>
      </w:r>
      <w:r w:rsidRPr="004B07F9">
        <w:rPr>
          <w:rFonts w:ascii="Verdana" w:hAnsi="Verdana" w:cs="Arial"/>
        </w:rPr>
        <w:t>En conclusión, la incorporación de valores ajenos a las propuestas vulnera el principio de selección objetiva, pues desvirtúa la comparación imparcial entre oferentes y afecta la confianza legítima en el procedimiento de contratación. La administración debe ceñirse estrictamente a los criterios definidos en los pliegos y a los valores efectivamente ofertados, garantizando así la igualdad y la transparencia en la adjudicación.</w:t>
      </w:r>
    </w:p>
    <w:p w14:paraId="1F339B0F" w14:textId="77777777" w:rsidR="006B3020" w:rsidRPr="004B07F9" w:rsidRDefault="006B3020" w:rsidP="00B456F5">
      <w:pPr>
        <w:spacing w:after="120" w:line="276" w:lineRule="auto"/>
        <w:ind w:firstLine="709"/>
        <w:jc w:val="both"/>
        <w:rPr>
          <w:rFonts w:ascii="Verdana" w:hAnsi="Verdana" w:cs="Arial"/>
          <w:lang w:val="es-ES"/>
        </w:rPr>
      </w:pPr>
      <w:r w:rsidRPr="004B07F9">
        <w:rPr>
          <w:rFonts w:ascii="Verdana" w:eastAsia="Arial" w:hAnsi="Verdana" w:cs="Arial"/>
          <w:lang w:val="es-ES"/>
        </w:rPr>
        <w:t xml:space="preserve">Finalmente debe advertirse, que el análisis para resolver problemas específicos en torno a los procesos de contratación debe ser realizado por </w:t>
      </w:r>
      <w:r w:rsidRPr="004B07F9">
        <w:rPr>
          <w:rFonts w:ascii="Verdana" w:eastAsia="Arial" w:hAnsi="Verdana" w:cs="Arial"/>
          <w:lang w:val="es-ES"/>
        </w:rPr>
        <w:lastRenderedPageBreak/>
        <w:t>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19D04B4B" w14:textId="77777777" w:rsidR="006B3020" w:rsidRPr="004B07F9" w:rsidRDefault="006B3020" w:rsidP="006B3020">
      <w:pPr>
        <w:spacing w:before="120" w:after="0" w:line="276" w:lineRule="auto"/>
        <w:ind w:firstLine="709"/>
        <w:jc w:val="both"/>
        <w:rPr>
          <w:rFonts w:ascii="Verdana" w:eastAsia="Arial" w:hAnsi="Verdana" w:cs="Arial"/>
          <w:lang w:val="es-ES"/>
        </w:rPr>
      </w:pPr>
      <w:r w:rsidRPr="004B07F9">
        <w:rPr>
          <w:rFonts w:ascii="Verdana" w:eastAsia="Arial" w:hAnsi="Verdana" w:cs="Arial"/>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7C458BF7" w14:textId="77777777" w:rsidR="00CE5601" w:rsidRPr="004B07F9" w:rsidRDefault="00CE5601" w:rsidP="00C14025">
      <w:pPr>
        <w:pBdr>
          <w:top w:val="nil"/>
          <w:left w:val="nil"/>
          <w:bottom w:val="nil"/>
          <w:right w:val="nil"/>
          <w:between w:val="nil"/>
        </w:pBdr>
        <w:spacing w:after="0" w:line="276" w:lineRule="auto"/>
        <w:jc w:val="both"/>
        <w:rPr>
          <w:rFonts w:ascii="Verdana" w:eastAsia="Calibri" w:hAnsi="Verdana" w:cs="Arial"/>
          <w:bCs/>
          <w:color w:val="000000" w:themeColor="text1"/>
          <w:lang w:val="es-ES_tradnl"/>
        </w:rPr>
      </w:pPr>
    </w:p>
    <w:p w14:paraId="13176AA9" w14:textId="77777777" w:rsidR="00CE5601" w:rsidRPr="004B07F9" w:rsidRDefault="00CE5601" w:rsidP="00C14025">
      <w:pPr>
        <w:pStyle w:val="Prrafodelista"/>
        <w:numPr>
          <w:ilvl w:val="0"/>
          <w:numId w:val="19"/>
        </w:numPr>
        <w:tabs>
          <w:tab w:val="left" w:pos="142"/>
          <w:tab w:val="left" w:pos="284"/>
        </w:tabs>
        <w:spacing w:after="0" w:line="276" w:lineRule="auto"/>
        <w:contextualSpacing w:val="0"/>
        <w:jc w:val="both"/>
        <w:rPr>
          <w:rFonts w:ascii="Verdana" w:eastAsia="Century Gothic" w:hAnsi="Verdana" w:cs="Century Gothic"/>
          <w:b/>
          <w:bCs/>
        </w:rPr>
      </w:pPr>
      <w:r w:rsidRPr="004B07F9">
        <w:rPr>
          <w:rFonts w:ascii="Verdana" w:eastAsia="Century Gothic" w:hAnsi="Verdana" w:cs="Century Gothic"/>
          <w:b/>
          <w:bCs/>
        </w:rPr>
        <w:t>Referencias normativas, jurisprudenciales y otras fuentes:</w:t>
      </w:r>
    </w:p>
    <w:p w14:paraId="0463867A" w14:textId="77777777" w:rsidR="00CE5601" w:rsidRPr="004B07F9" w:rsidRDefault="00CE5601" w:rsidP="00C1402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E5601" w:rsidRPr="004B07F9" w14:paraId="52983C56" w14:textId="77777777" w:rsidTr="00FF7BB5">
        <w:trPr>
          <w:trHeight w:val="870"/>
        </w:trPr>
        <w:tc>
          <w:tcPr>
            <w:tcW w:w="8647" w:type="dxa"/>
          </w:tcPr>
          <w:p w14:paraId="792AA8D2" w14:textId="1A33BEB7" w:rsidR="00CE5601" w:rsidRPr="004B07F9" w:rsidRDefault="0014702F" w:rsidP="00B456F5">
            <w:pPr>
              <w:widowControl w:val="0"/>
              <w:numPr>
                <w:ilvl w:val="0"/>
                <w:numId w:val="18"/>
              </w:numPr>
              <w:autoSpaceDE w:val="0"/>
              <w:autoSpaceDN w:val="0"/>
              <w:spacing w:line="276" w:lineRule="auto"/>
              <w:jc w:val="both"/>
              <w:rPr>
                <w:rFonts w:ascii="Verdana" w:eastAsia="Arial MT" w:hAnsi="Verdana" w:cs="Arial"/>
                <w:lang w:val="es-ES" w:eastAsia="es-ES" w:bidi="es-ES"/>
              </w:rPr>
            </w:pPr>
            <w:r w:rsidRPr="004B07F9">
              <w:rPr>
                <w:rFonts w:ascii="Verdana" w:eastAsia="Arial" w:hAnsi="Verdana" w:cs="Arial"/>
                <w:color w:val="000000"/>
              </w:rPr>
              <w:t xml:space="preserve">Ley 1150 del 2007, </w:t>
            </w:r>
            <w:r w:rsidR="00F030C2" w:rsidRPr="004B07F9">
              <w:rPr>
                <w:rFonts w:ascii="Verdana" w:eastAsia="Arial" w:hAnsi="Verdana" w:cs="Arial"/>
                <w:color w:val="000000"/>
              </w:rPr>
              <w:t>a</w:t>
            </w:r>
            <w:r w:rsidRPr="004B07F9">
              <w:rPr>
                <w:rFonts w:ascii="Verdana" w:eastAsia="Arial" w:hAnsi="Verdana" w:cs="Arial"/>
                <w:color w:val="000000"/>
              </w:rPr>
              <w:t>rtículo 5</w:t>
            </w:r>
          </w:p>
          <w:p w14:paraId="791864E4" w14:textId="56B001AF" w:rsidR="00F030C2" w:rsidRPr="004B07F9" w:rsidRDefault="00F030C2" w:rsidP="00B456F5">
            <w:pPr>
              <w:widowControl w:val="0"/>
              <w:numPr>
                <w:ilvl w:val="0"/>
                <w:numId w:val="18"/>
              </w:numPr>
              <w:autoSpaceDE w:val="0"/>
              <w:autoSpaceDN w:val="0"/>
              <w:spacing w:line="276" w:lineRule="auto"/>
              <w:jc w:val="both"/>
              <w:rPr>
                <w:rFonts w:ascii="Verdana" w:eastAsia="Arial MT" w:hAnsi="Verdana" w:cs="Arial"/>
                <w:lang w:val="es-ES" w:eastAsia="es-ES" w:bidi="es-ES"/>
              </w:rPr>
            </w:pPr>
            <w:r w:rsidRPr="004B07F9">
              <w:rPr>
                <w:rFonts w:ascii="Verdana" w:eastAsia="Arial" w:hAnsi="Verdana" w:cs="Arial"/>
                <w:color w:val="000000"/>
                <w:lang w:val="es-ES"/>
              </w:rPr>
              <w:t xml:space="preserve">Decreto 1082 de 2015, artículo </w:t>
            </w:r>
            <w:r w:rsidR="007B4ECD" w:rsidRPr="004B07F9">
              <w:rPr>
                <w:rFonts w:ascii="Verdana" w:eastAsia="Arial" w:hAnsi="Verdana" w:cs="Arial"/>
                <w:color w:val="000000"/>
                <w:lang w:val="es-ES"/>
              </w:rPr>
              <w:t xml:space="preserve">2.2.1.1.2.2.2 </w:t>
            </w:r>
            <w:r w:rsidRPr="004B07F9">
              <w:rPr>
                <w:rFonts w:ascii="Verdana" w:eastAsia="Arial" w:hAnsi="Verdana" w:cs="Arial"/>
                <w:color w:val="000000"/>
                <w:lang w:val="es-ES"/>
              </w:rPr>
              <w:t xml:space="preserve"> </w:t>
            </w:r>
          </w:p>
          <w:p w14:paraId="60F0B9E4" w14:textId="48CA7A06" w:rsidR="00CE5601" w:rsidRPr="004B07F9" w:rsidRDefault="00C9537A" w:rsidP="00B456F5">
            <w:pPr>
              <w:widowControl w:val="0"/>
              <w:numPr>
                <w:ilvl w:val="0"/>
                <w:numId w:val="18"/>
              </w:numPr>
              <w:autoSpaceDE w:val="0"/>
              <w:autoSpaceDN w:val="0"/>
              <w:spacing w:line="276" w:lineRule="auto"/>
              <w:jc w:val="both"/>
              <w:rPr>
                <w:rFonts w:ascii="Verdana" w:eastAsia="Arial MT" w:hAnsi="Verdana" w:cs="Arial"/>
                <w:lang w:val="es-ES" w:eastAsia="es-ES" w:bidi="es-ES"/>
              </w:rPr>
            </w:pPr>
            <w:r w:rsidRPr="004B07F9">
              <w:rPr>
                <w:rFonts w:ascii="Verdana" w:eastAsia="Arial" w:hAnsi="Verdana" w:cs="Arial"/>
                <w:color w:val="000000"/>
              </w:rPr>
              <w:t>DÁVILA VINUEZA, Luis Guillermo. Régimen jurídico de la contratación estatal. Tercera edición, Bogotá: Legis, 2016. p. 355.</w:t>
            </w:r>
            <w:r w:rsidR="00CE5601" w:rsidRPr="004B07F9">
              <w:rPr>
                <w:rFonts w:ascii="Verdana" w:eastAsia="Arial" w:hAnsi="Verdana" w:cs="Arial"/>
                <w:color w:val="000000" w:themeColor="text1"/>
              </w:rPr>
              <w:t xml:space="preserve"> </w:t>
            </w:r>
          </w:p>
          <w:p w14:paraId="03690119" w14:textId="77777777" w:rsidR="00CE5601" w:rsidRPr="004B07F9" w:rsidRDefault="008F13E5" w:rsidP="00B456F5">
            <w:pPr>
              <w:widowControl w:val="0"/>
              <w:numPr>
                <w:ilvl w:val="0"/>
                <w:numId w:val="18"/>
              </w:numPr>
              <w:autoSpaceDE w:val="0"/>
              <w:autoSpaceDN w:val="0"/>
              <w:spacing w:line="276" w:lineRule="auto"/>
              <w:jc w:val="both"/>
              <w:rPr>
                <w:rFonts w:ascii="Verdana" w:hAnsi="Verdana" w:cs="Arial"/>
              </w:rPr>
            </w:pPr>
            <w:r w:rsidRPr="004B07F9">
              <w:rPr>
                <w:rFonts w:ascii="Verdana" w:hAnsi="Verdana" w:cs="Arial"/>
              </w:rPr>
              <w:t>RODRÍGUEZ TAMAYO, Mauricio F. Evaluación y rechazo de ofertas en la Ley 80 de 1993. Primera edición. Medellín: Librería Jurídica Sánchez, 2016. pp. 110-111.</w:t>
            </w:r>
          </w:p>
          <w:p w14:paraId="5CAC21C4" w14:textId="40B8DFF9" w:rsidR="00AB0BEB" w:rsidRPr="004B07F9" w:rsidRDefault="00AB0BEB" w:rsidP="00B456F5">
            <w:pPr>
              <w:widowControl w:val="0"/>
              <w:numPr>
                <w:ilvl w:val="0"/>
                <w:numId w:val="18"/>
              </w:numPr>
              <w:autoSpaceDE w:val="0"/>
              <w:autoSpaceDN w:val="0"/>
              <w:spacing w:line="276" w:lineRule="auto"/>
              <w:jc w:val="both"/>
              <w:rPr>
                <w:rFonts w:ascii="Verdana" w:hAnsi="Verdana" w:cs="Arial"/>
              </w:rPr>
            </w:pPr>
            <w:r w:rsidRPr="004B07F9">
              <w:rPr>
                <w:rFonts w:ascii="Verdana" w:hAnsi="Verdana" w:cs="Arial"/>
              </w:rPr>
              <w:t>EXPÓSITO VELEZ, Juan C., El deber de selección objetiva, en: Del contrato estatal a los sistemas de compras públicas, por COVILLA MARTINEZ Juan C. y LOZANO VILLEGAS Germán (Eds.). Universidad Externado de Colombia, Bogotá, 2019. págs. 118-184.</w:t>
            </w:r>
          </w:p>
        </w:tc>
      </w:tr>
    </w:tbl>
    <w:p w14:paraId="354F8ACE" w14:textId="77777777" w:rsidR="00CE5601" w:rsidRPr="004B07F9" w:rsidRDefault="00CE5601" w:rsidP="00C14025">
      <w:pPr>
        <w:widowControl w:val="0"/>
        <w:autoSpaceDE w:val="0"/>
        <w:autoSpaceDN w:val="0"/>
        <w:spacing w:after="0" w:line="276" w:lineRule="auto"/>
        <w:jc w:val="both"/>
        <w:rPr>
          <w:rFonts w:ascii="Verdana" w:hAnsi="Verdana" w:cs="Arial"/>
        </w:rPr>
      </w:pPr>
    </w:p>
    <w:p w14:paraId="478CD953" w14:textId="77777777" w:rsidR="00CE5601" w:rsidRPr="004B07F9" w:rsidRDefault="00CE5601" w:rsidP="00C14025">
      <w:pPr>
        <w:pStyle w:val="Prrafodelista"/>
        <w:numPr>
          <w:ilvl w:val="0"/>
          <w:numId w:val="19"/>
        </w:numPr>
        <w:tabs>
          <w:tab w:val="left" w:pos="142"/>
          <w:tab w:val="left" w:pos="284"/>
        </w:tabs>
        <w:spacing w:after="0" w:line="276" w:lineRule="auto"/>
        <w:ind w:left="0" w:firstLine="0"/>
        <w:contextualSpacing w:val="0"/>
        <w:jc w:val="both"/>
        <w:rPr>
          <w:rFonts w:ascii="Verdana" w:eastAsia="Century Gothic" w:hAnsi="Verdana" w:cs="Arial"/>
          <w:b/>
          <w:bCs/>
        </w:rPr>
      </w:pPr>
      <w:r w:rsidRPr="004B07F9">
        <w:rPr>
          <w:rFonts w:ascii="Verdana" w:eastAsia="Century Gothic" w:hAnsi="Verdana" w:cs="Arial"/>
          <w:b/>
          <w:bCs/>
        </w:rPr>
        <w:t>Doctrina de la Agencia Nacional de Contratación Pública:</w:t>
      </w:r>
    </w:p>
    <w:p w14:paraId="017A32DA" w14:textId="77777777" w:rsidR="00CE5601" w:rsidRPr="004B07F9" w:rsidRDefault="00CE5601" w:rsidP="00C14025">
      <w:pPr>
        <w:widowControl w:val="0"/>
        <w:autoSpaceDE w:val="0"/>
        <w:autoSpaceDN w:val="0"/>
        <w:spacing w:after="0" w:line="276" w:lineRule="auto"/>
        <w:jc w:val="both"/>
        <w:rPr>
          <w:rFonts w:ascii="Verdana" w:hAnsi="Verdana" w:cs="Arial"/>
        </w:rPr>
      </w:pPr>
    </w:p>
    <w:p w14:paraId="231F57C3" w14:textId="2C534BFB" w:rsidR="00CE5601" w:rsidRPr="004B07F9" w:rsidRDefault="0035133F" w:rsidP="00C14025">
      <w:pPr>
        <w:widowControl w:val="0"/>
        <w:autoSpaceDE w:val="0"/>
        <w:autoSpaceDN w:val="0"/>
        <w:spacing w:after="0" w:line="276" w:lineRule="auto"/>
        <w:jc w:val="both"/>
        <w:rPr>
          <w:rFonts w:ascii="Verdana" w:hAnsi="Verdana" w:cs="Arial"/>
          <w:shd w:val="clear" w:color="auto" w:fill="FFFFFF"/>
        </w:rPr>
      </w:pPr>
      <w:r w:rsidRPr="004B07F9">
        <w:rPr>
          <w:rFonts w:ascii="Verdana" w:hAnsi="Verdana" w:cs="Arial"/>
          <w:shd w:val="clear" w:color="auto" w:fill="FFFFFF"/>
        </w:rPr>
        <w:t xml:space="preserve">La Subdirección de gestión contractual de la Agencia Nacional de Contratación Pública – Colombia Compra Eficiente </w:t>
      </w:r>
      <w:r w:rsidRPr="004B07F9">
        <w:rPr>
          <w:rFonts w:ascii="Verdana" w:hAnsi="Verdana" w:cs="Arial"/>
          <w:shd w:val="clear" w:color="auto" w:fill="FFFFFF"/>
          <w:lang w:val="es-MX"/>
        </w:rPr>
        <w:t xml:space="preserve">se ha referido </w:t>
      </w:r>
      <w:r w:rsidRPr="004B07F9">
        <w:rPr>
          <w:rFonts w:ascii="Verdana" w:hAnsi="Verdana" w:cs="Arial"/>
          <w:shd w:val="clear" w:color="auto" w:fill="FFFFFF"/>
          <w:lang w:val="es-ES"/>
        </w:rPr>
        <w:t>a</w:t>
      </w:r>
      <w:r w:rsidRPr="004B07F9">
        <w:rPr>
          <w:rFonts w:ascii="Verdana" w:hAnsi="Verdana" w:cs="Arial"/>
          <w:shd w:val="clear" w:color="auto" w:fill="FFFFFF"/>
        </w:rPr>
        <w:t xml:space="preserve"> principio de selección objetiva en los conceptos C-218 del 2 de abril</w:t>
      </w:r>
      <w:r w:rsidRPr="004B07F9">
        <w:rPr>
          <w:rFonts w:ascii="Verdana" w:hAnsi="Verdana" w:cs="Arial"/>
          <w:bCs/>
          <w:shd w:val="clear" w:color="auto" w:fill="FFFFFF"/>
          <w:lang w:val="es-ES_tradnl"/>
        </w:rPr>
        <w:t xml:space="preserve"> de 2020, C-083 del 18 de marzo de 2021, C-691 del 28 de diciembre de 2021, C-431 del 7 de julio de 2022, </w:t>
      </w:r>
      <w:r w:rsidRPr="004B07F9">
        <w:rPr>
          <w:rFonts w:ascii="Verdana" w:hAnsi="Verdana" w:cs="Arial"/>
          <w:shd w:val="clear" w:color="auto" w:fill="FFFFFF"/>
          <w:lang w:val="es-ES"/>
        </w:rPr>
        <w:t>C-102 del 08 de julio de 2024,</w:t>
      </w:r>
      <w:r w:rsidRPr="004B07F9">
        <w:rPr>
          <w:rFonts w:ascii="Verdana" w:hAnsi="Verdana" w:cs="Arial"/>
          <w:b/>
          <w:bCs/>
          <w:shd w:val="clear" w:color="auto" w:fill="FFFFFF"/>
          <w:lang w:val="es-ES"/>
        </w:rPr>
        <w:t xml:space="preserve"> </w:t>
      </w:r>
      <w:r w:rsidRPr="004B07F9">
        <w:rPr>
          <w:rFonts w:ascii="Verdana" w:hAnsi="Verdana" w:cs="Arial"/>
          <w:bCs/>
          <w:shd w:val="clear" w:color="auto" w:fill="FFFFFF"/>
          <w:lang w:val="es-ES_tradnl"/>
        </w:rPr>
        <w:t xml:space="preserve">C-457 del 24 de septiembre de 2024, C-597 del 8 </w:t>
      </w:r>
      <w:r w:rsidRPr="004B07F9">
        <w:rPr>
          <w:rFonts w:ascii="Verdana" w:hAnsi="Verdana" w:cs="Arial"/>
          <w:bCs/>
          <w:shd w:val="clear" w:color="auto" w:fill="FFFFFF"/>
          <w:lang w:val="es-ES_tradnl"/>
        </w:rPr>
        <w:lastRenderedPageBreak/>
        <w:t xml:space="preserve">de noviembre de 2024, C-625 del 29 de noviembre de 2024, C-232 del 1 de abril de 2025, C-442 del 21 de mayo de 2025, C-722 del 7 de julio de 2025, </w:t>
      </w:r>
      <w:r w:rsidRPr="004B07F9">
        <w:rPr>
          <w:rFonts w:ascii="Verdana" w:hAnsi="Verdana" w:cs="Arial"/>
          <w:shd w:val="clear" w:color="auto" w:fill="FFFFFF"/>
        </w:rPr>
        <w:t xml:space="preserve">C-719 del 15 de julio de 2025, </w:t>
      </w:r>
      <w:r w:rsidRPr="004B07F9">
        <w:rPr>
          <w:rFonts w:ascii="Verdana" w:hAnsi="Verdana" w:cs="Arial"/>
          <w:bCs/>
          <w:shd w:val="clear" w:color="auto" w:fill="FFFFFF"/>
          <w:lang w:val="es-ES_tradnl"/>
        </w:rPr>
        <w:t xml:space="preserve">C-768 del 18 de julio de 2025, </w:t>
      </w:r>
      <w:r w:rsidRPr="004B07F9">
        <w:rPr>
          <w:rFonts w:ascii="Verdana" w:hAnsi="Verdana" w:cs="Arial"/>
          <w:shd w:val="clear" w:color="auto" w:fill="FFFFFF"/>
        </w:rPr>
        <w:t>C-790 del 25 de julio de 2025, C-736 del 18 de noviembre de 2025, C-919 del 22 de agosto de 2025, C-</w:t>
      </w:r>
      <w:r w:rsidR="006F0224" w:rsidRPr="004B07F9">
        <w:rPr>
          <w:rFonts w:ascii="Verdana" w:hAnsi="Verdana"/>
        </w:rPr>
        <w:t xml:space="preserve"> </w:t>
      </w:r>
      <w:r w:rsidR="006F0224" w:rsidRPr="004B07F9">
        <w:rPr>
          <w:rFonts w:ascii="Verdana" w:hAnsi="Verdana" w:cs="Arial"/>
          <w:shd w:val="clear" w:color="auto" w:fill="FFFFFF"/>
        </w:rPr>
        <w:t xml:space="preserve">1020  del 02 de septiembre del 2025, </w:t>
      </w:r>
      <w:r w:rsidR="00141E77" w:rsidRPr="004B07F9">
        <w:rPr>
          <w:rFonts w:ascii="Verdana" w:hAnsi="Verdana" w:cs="Arial"/>
          <w:shd w:val="clear" w:color="auto" w:fill="FFFFFF"/>
        </w:rPr>
        <w:t>C-006</w:t>
      </w:r>
      <w:r w:rsidR="004122FD" w:rsidRPr="004B07F9">
        <w:rPr>
          <w:rFonts w:ascii="Verdana" w:hAnsi="Verdana" w:cs="Arial"/>
          <w:shd w:val="clear" w:color="auto" w:fill="FFFFFF"/>
        </w:rPr>
        <w:t xml:space="preserve"> del 13 de febrero del 2026 y </w:t>
      </w:r>
      <w:r w:rsidR="00B65852" w:rsidRPr="004B07F9">
        <w:rPr>
          <w:rFonts w:ascii="Verdana" w:hAnsi="Verdana" w:cs="Arial"/>
          <w:shd w:val="clear" w:color="auto" w:fill="FFFFFF"/>
        </w:rPr>
        <w:t>C-135 del 19 de febrero del 2026</w:t>
      </w:r>
      <w:r w:rsidR="004122FD" w:rsidRPr="004B07F9">
        <w:rPr>
          <w:rFonts w:ascii="Verdana" w:hAnsi="Verdana" w:cs="Arial"/>
          <w:shd w:val="clear" w:color="auto" w:fill="FFFFFF"/>
        </w:rPr>
        <w:t xml:space="preserve">, </w:t>
      </w:r>
      <w:r w:rsidRPr="004B07F9">
        <w:rPr>
          <w:rFonts w:ascii="Verdana" w:hAnsi="Verdana" w:cs="Arial"/>
          <w:shd w:val="clear" w:color="auto" w:fill="FFFFFF"/>
        </w:rPr>
        <w:t>entre otros</w:t>
      </w:r>
      <w:r w:rsidR="004122FD" w:rsidRPr="004B07F9">
        <w:rPr>
          <w:rFonts w:ascii="Verdana" w:hAnsi="Verdana" w:cs="Arial"/>
          <w:shd w:val="clear" w:color="auto" w:fill="FFFFFF"/>
        </w:rPr>
        <w:t xml:space="preserve">. </w:t>
      </w:r>
      <w:r w:rsidR="00CE5601" w:rsidRPr="004B07F9">
        <w:rPr>
          <w:rFonts w:ascii="Verdana" w:hAnsi="Verdana" w:cs="Arial"/>
        </w:rPr>
        <w:t>Estos y otros conceptos se encuentran disponibles para consulta en el Sistema de relatoría de la Agencia, al cual se puede acceder a través del siguiente enlace:</w:t>
      </w:r>
      <w:r w:rsidR="00CE5601" w:rsidRPr="004B07F9">
        <w:rPr>
          <w:rFonts w:ascii="Verdana" w:hAnsi="Verdana" w:cs="Arial"/>
          <w:shd w:val="clear" w:color="auto" w:fill="FFFFFF"/>
        </w:rPr>
        <w:t xml:space="preserve"> </w:t>
      </w:r>
      <w:hyperlink r:id="rId13" w:history="1">
        <w:r w:rsidR="00CE5601" w:rsidRPr="004B07F9">
          <w:rPr>
            <w:rStyle w:val="Hipervnculo"/>
            <w:rFonts w:ascii="Verdana" w:hAnsi="Verdana" w:cs="Arial"/>
            <w:shd w:val="clear" w:color="auto" w:fill="FFFFFF"/>
          </w:rPr>
          <w:t>https://relatoria.colombiacompra.gov.co/busqueda/conceptos</w:t>
        </w:r>
      </w:hyperlink>
      <w:r w:rsidR="00CE5601" w:rsidRPr="004B07F9">
        <w:rPr>
          <w:rFonts w:ascii="Verdana" w:hAnsi="Verdana" w:cs="Arial"/>
          <w:shd w:val="clear" w:color="auto" w:fill="FFFFFF"/>
        </w:rPr>
        <w:t>.</w:t>
      </w:r>
      <w:r w:rsidR="00CE5601" w:rsidRPr="004B07F9">
        <w:rPr>
          <w:rFonts w:ascii="Verdana" w:hAnsi="Verdana" w:cs="Arial"/>
          <w:color w:val="FF0000"/>
          <w:shd w:val="clear" w:color="auto" w:fill="FFFFFF"/>
        </w:rPr>
        <w:t xml:space="preserve"> </w:t>
      </w:r>
      <w:r w:rsidR="00CE5601" w:rsidRPr="004B07F9">
        <w:rPr>
          <w:rFonts w:ascii="Verdana" w:hAnsi="Verdana" w:cs="Arial"/>
          <w:color w:val="000000" w:themeColor="text1"/>
          <w:shd w:val="clear" w:color="auto" w:fill="FFFFFF"/>
        </w:rPr>
        <w:t>  </w:t>
      </w:r>
    </w:p>
    <w:p w14:paraId="04768B11" w14:textId="77777777" w:rsidR="00CE5601" w:rsidRPr="004B07F9" w:rsidRDefault="00CE5601" w:rsidP="00C14025">
      <w:pPr>
        <w:spacing w:after="0" w:line="276" w:lineRule="auto"/>
        <w:jc w:val="both"/>
        <w:rPr>
          <w:rFonts w:ascii="Verdana" w:hAnsi="Verdana" w:cs="Arial"/>
        </w:rPr>
      </w:pPr>
    </w:p>
    <w:p w14:paraId="52C1B9A1" w14:textId="77777777" w:rsidR="00CE5601" w:rsidRPr="004B07F9" w:rsidRDefault="00CE5601" w:rsidP="00C14025">
      <w:pPr>
        <w:spacing w:after="0" w:line="276" w:lineRule="auto"/>
        <w:jc w:val="both"/>
        <w:rPr>
          <w:rFonts w:ascii="Verdana" w:hAnsi="Verdana" w:cs="Arial"/>
        </w:rPr>
      </w:pPr>
      <w:r w:rsidRPr="004B07F9">
        <w:rPr>
          <w:rFonts w:ascii="Verdana" w:hAnsi="Verdana" w:cs="Arial"/>
        </w:rPr>
        <w:t xml:space="preserve">La sostenibilidad no es una opción, es una obligación. Por ello, la Agencia Nacional de Contratación Pública –Colombia Compra Eficiente– te invita a realizar el </w:t>
      </w:r>
      <w:r w:rsidRPr="004B07F9">
        <w:rPr>
          <w:rFonts w:ascii="Verdana" w:hAnsi="Verdana" w:cs="Arial"/>
          <w:b/>
          <w:bCs/>
        </w:rPr>
        <w:t>Curso de Contratación Pública Sostenible y Socialmente Responsable</w:t>
      </w:r>
      <w:r w:rsidRPr="004B07F9">
        <w:rPr>
          <w:rFonts w:ascii="Verdana"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4B07F9">
        <w:rPr>
          <w:rFonts w:ascii="Verdana" w:hAnsi="Verdana" w:cs="Arial"/>
        </w:rPr>
        <w:br/>
      </w:r>
      <w:hyperlink r:id="rId14" w:tgtFrame="_new" w:history="1">
        <w:r w:rsidRPr="004B07F9">
          <w:rPr>
            <w:rStyle w:val="Hipervnculo"/>
            <w:rFonts w:ascii="Verdana" w:hAnsi="Verdana" w:cs="Arial"/>
          </w:rPr>
          <w:t>https://formacionvirtual.colombiacompra.gov.co/mod/page/view.php?id=3718</w:t>
        </w:r>
      </w:hyperlink>
    </w:p>
    <w:p w14:paraId="6CFB4701" w14:textId="77777777" w:rsidR="00CE5601" w:rsidRPr="004B07F9" w:rsidRDefault="00CE5601" w:rsidP="00C14025">
      <w:pPr>
        <w:spacing w:after="0" w:line="276" w:lineRule="auto"/>
        <w:jc w:val="both"/>
        <w:rPr>
          <w:rFonts w:ascii="Verdana" w:hAnsi="Verdana" w:cs="Arial"/>
        </w:rPr>
      </w:pPr>
    </w:p>
    <w:p w14:paraId="7EDFD251" w14:textId="77777777" w:rsidR="00CE5601" w:rsidRPr="004B07F9" w:rsidRDefault="00CE5601" w:rsidP="00C14025">
      <w:pPr>
        <w:spacing w:after="0" w:line="276" w:lineRule="auto"/>
        <w:jc w:val="both"/>
        <w:rPr>
          <w:rFonts w:ascii="Verdana" w:hAnsi="Verdana" w:cs="Arial"/>
        </w:rPr>
      </w:pPr>
      <w:r w:rsidRPr="004B07F9">
        <w:rPr>
          <w:rFonts w:ascii="Verdana" w:hAnsi="Verdana" w:cs="Arial"/>
        </w:rPr>
        <w:t xml:space="preserve">De otro lado, te contamos que esta Agencia ha da un paso decisivo en la estandarización y modernización del </w:t>
      </w:r>
      <w:r w:rsidRPr="004B07F9">
        <w:rPr>
          <w:rFonts w:ascii="Verdana" w:hAnsi="Verdana" w:cs="Arial"/>
          <w:b/>
          <w:bCs/>
        </w:rPr>
        <w:t>sector  social</w:t>
      </w:r>
      <w:r w:rsidRPr="004B07F9">
        <w:rPr>
          <w:rFonts w:ascii="Verdana" w:hAnsi="Verdana" w:cs="Arial"/>
        </w:rPr>
        <w:t xml:space="preserve"> con la expedición de las </w:t>
      </w:r>
      <w:r w:rsidRPr="004B07F9">
        <w:rPr>
          <w:rFonts w:ascii="Verdana" w:hAnsi="Verdana" w:cs="Arial"/>
          <w:b/>
          <w:bCs/>
        </w:rPr>
        <w:t>Resoluciones 539, 540, 541, 952 y 953 de 2025</w:t>
      </w:r>
      <w:r w:rsidRPr="004B07F9">
        <w:rPr>
          <w:rFonts w:ascii="Verdana" w:hAnsi="Verdana" w:cs="Arial"/>
        </w:rPr>
        <w:t xml:space="preserve">, </w:t>
      </w:r>
      <w:r w:rsidRPr="004B07F9">
        <w:rPr>
          <w:rFonts w:ascii="Verdana" w:hAnsi="Verdana" w:cs="Arial"/>
          <w:b/>
          <w:bCs/>
        </w:rPr>
        <w:t>mediante las cuales adoptó Documentos Tipo</w:t>
      </w:r>
      <w:r w:rsidRPr="004B07F9">
        <w:rPr>
          <w:rFonts w:ascii="Verdana" w:hAnsi="Verdana" w:cs="Arial"/>
        </w:rPr>
        <w:t xml:space="preserve"> para las modalidades de selección de</w:t>
      </w:r>
      <w:r w:rsidRPr="004B07F9">
        <w:rPr>
          <w:rFonts w:ascii="Verdana" w:hAnsi="Verdana" w:cs="Arial"/>
          <w:b/>
          <w:bCs/>
        </w:rPr>
        <w:t xml:space="preserve"> licitación pública (versión 2), selección abreviada de menor cuantía, mínima cuantía, consultoría e interventoría</w:t>
      </w:r>
      <w:r w:rsidRPr="004B07F9">
        <w:rPr>
          <w:rFonts w:ascii="Verdana"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4B07F9">
          <w:rPr>
            <w:rStyle w:val="Hipervnculo"/>
            <w:rFonts w:ascii="Verdana" w:hAnsi="Verdana" w:cs="Arial"/>
          </w:rPr>
          <w:t>https://www.colombiacompra.gov.co/normativa-y-relatoria/documentos-tipo</w:t>
        </w:r>
      </w:hyperlink>
    </w:p>
    <w:p w14:paraId="6B946F6D" w14:textId="77777777" w:rsidR="00CE5601" w:rsidRPr="004B07F9" w:rsidRDefault="00CE5601" w:rsidP="00C14025">
      <w:pPr>
        <w:spacing w:after="0" w:line="276" w:lineRule="auto"/>
        <w:jc w:val="both"/>
        <w:rPr>
          <w:rFonts w:ascii="Verdana" w:hAnsi="Verdana" w:cs="Arial"/>
        </w:rPr>
      </w:pPr>
    </w:p>
    <w:p w14:paraId="38838822" w14:textId="77777777" w:rsidR="00CE5601" w:rsidRPr="004B07F9" w:rsidRDefault="00CE5601" w:rsidP="00C14025">
      <w:pPr>
        <w:spacing w:after="0" w:line="276" w:lineRule="auto"/>
        <w:jc w:val="both"/>
        <w:rPr>
          <w:rFonts w:ascii="Verdana" w:hAnsi="Verdana" w:cs="Arial"/>
        </w:rPr>
      </w:pPr>
      <w:r w:rsidRPr="004B07F9">
        <w:rPr>
          <w:rFonts w:ascii="Verdana" w:hAnsi="Verdana" w:cs="Arial"/>
        </w:rPr>
        <w:t xml:space="preserve">Si quieres conocer más sobre la aplicación de Documentos Tipo puedes consultar la última versión de la </w:t>
      </w:r>
      <w:r w:rsidRPr="004B07F9">
        <w:rPr>
          <w:rFonts w:ascii="Verdana" w:hAnsi="Verdana" w:cs="Arial"/>
          <w:b/>
          <w:bCs/>
        </w:rPr>
        <w:t>Guía para la comprensión e implementación de los Documentos Tipo de obra pública de infraestructura de transporte</w:t>
      </w:r>
      <w:r w:rsidRPr="004B07F9">
        <w:rPr>
          <w:rFonts w:ascii="Verdana" w:hAnsi="Verdana" w:cs="Arial"/>
        </w:rPr>
        <w:t xml:space="preserve">. En esta actualización se incorporaron orientaciones prácticas dirigidas a entidades públicas, proveedores, organismos de control y demás interesados, con el propósito de facilitar la adecuada implementación de estos instrumentos en los </w:t>
      </w:r>
      <w:r w:rsidRPr="004B07F9">
        <w:rPr>
          <w:rFonts w:ascii="Verdana" w:hAnsi="Verdana" w:cs="Arial"/>
        </w:rPr>
        <w:lastRenderedPageBreak/>
        <w:t>procesos contractuales. Además se incluyeron lineamientos que orientan la implementación de los criterios ambientales y sociales incluidos en los documentos tipo: Consulta la guía aquí:</w:t>
      </w:r>
      <w:r w:rsidRPr="004B07F9">
        <w:rPr>
          <w:rFonts w:ascii="Verdana" w:hAnsi="Verdana" w:cs="Arial"/>
        </w:rPr>
        <w:br/>
      </w:r>
      <w:hyperlink r:id="rId16" w:tgtFrame="_new" w:history="1">
        <w:r w:rsidRPr="004B07F9">
          <w:rPr>
            <w:rStyle w:val="Hipervnculo"/>
            <w:rFonts w:ascii="Verdana" w:hAnsi="Verdana" w:cs="Arial"/>
          </w:rPr>
          <w:t>https://www.colombiacompra.gov.co/archivos/manual/guia-para-la-comprension-e-implementacion-de-los-documentos-tipo-de-obra-publica-de-infraestructura-de-transporte-bajo-las-diferentes-modalidades-de-contratacion-vigentes</w:t>
        </w:r>
      </w:hyperlink>
    </w:p>
    <w:p w14:paraId="290A4A9B" w14:textId="77777777" w:rsidR="00CE5601" w:rsidRPr="004B07F9" w:rsidRDefault="00CE5601" w:rsidP="00C14025">
      <w:pPr>
        <w:spacing w:after="0" w:line="276" w:lineRule="auto"/>
        <w:jc w:val="both"/>
        <w:rPr>
          <w:rFonts w:ascii="Verdana" w:hAnsi="Verdana" w:cs="Arial"/>
        </w:rPr>
      </w:pPr>
    </w:p>
    <w:p w14:paraId="0ADCF660" w14:textId="77777777" w:rsidR="00CE5601" w:rsidRPr="004B07F9" w:rsidRDefault="00CE5601" w:rsidP="00C14025">
      <w:pPr>
        <w:spacing w:after="0" w:line="276" w:lineRule="auto"/>
        <w:jc w:val="both"/>
        <w:rPr>
          <w:rFonts w:ascii="Verdana" w:hAnsi="Verdana" w:cs="Arial"/>
        </w:rPr>
      </w:pPr>
      <w:r w:rsidRPr="004B07F9">
        <w:rPr>
          <w:rFonts w:ascii="Verdana" w:hAnsi="Verdana" w:cs="Arial"/>
        </w:rPr>
        <w:t xml:space="preserve">Por último, lo invitamos a seguirnos en las redes sociales en las cuales se difunde información institucional: </w:t>
      </w:r>
    </w:p>
    <w:p w14:paraId="59E48116" w14:textId="77777777" w:rsidR="00CE5601" w:rsidRPr="004B07F9" w:rsidRDefault="00CE5601" w:rsidP="00C14025">
      <w:pPr>
        <w:spacing w:after="0" w:line="276" w:lineRule="auto"/>
        <w:jc w:val="both"/>
        <w:rPr>
          <w:rFonts w:ascii="Verdana" w:hAnsi="Verdana" w:cs="Arial"/>
        </w:rPr>
      </w:pPr>
    </w:p>
    <w:p w14:paraId="2E391C62" w14:textId="77777777" w:rsidR="00CE5601" w:rsidRPr="004B07F9" w:rsidRDefault="00CE5601" w:rsidP="00C14025">
      <w:pPr>
        <w:spacing w:after="0" w:line="276" w:lineRule="auto"/>
        <w:jc w:val="both"/>
        <w:rPr>
          <w:rFonts w:ascii="Verdana" w:hAnsi="Verdana" w:cs="Arial"/>
        </w:rPr>
      </w:pPr>
      <w:r w:rsidRPr="004B07F9">
        <w:rPr>
          <w:rFonts w:ascii="Verdana" w:hAnsi="Verdana" w:cs="Arial"/>
        </w:rPr>
        <w:t xml:space="preserve">Twitter: </w:t>
      </w:r>
      <w:r w:rsidRPr="004B07F9">
        <w:rPr>
          <w:rStyle w:val="Hipervnculo"/>
          <w:rFonts w:ascii="Verdana" w:hAnsi="Verdana" w:cs="Arial"/>
          <w:color w:val="4472C4" w:themeColor="accent1"/>
        </w:rPr>
        <w:t>@colombiacompra</w:t>
      </w:r>
      <w:r w:rsidRPr="004B07F9">
        <w:rPr>
          <w:rFonts w:ascii="Verdana" w:hAnsi="Verdana" w:cs="Arial"/>
          <w:color w:val="4472C4" w:themeColor="accent1"/>
        </w:rPr>
        <w:t xml:space="preserve"> </w:t>
      </w:r>
    </w:p>
    <w:p w14:paraId="6002AAF3" w14:textId="77777777" w:rsidR="00CE5601" w:rsidRPr="004B07F9" w:rsidRDefault="00CE5601" w:rsidP="00C14025">
      <w:pPr>
        <w:spacing w:after="0" w:line="276" w:lineRule="auto"/>
        <w:jc w:val="both"/>
        <w:rPr>
          <w:rFonts w:ascii="Verdana" w:hAnsi="Verdana" w:cs="Arial"/>
        </w:rPr>
      </w:pPr>
      <w:r w:rsidRPr="004B07F9">
        <w:rPr>
          <w:rFonts w:ascii="Verdana" w:hAnsi="Verdana" w:cs="Arial"/>
        </w:rPr>
        <w:t xml:space="preserve">Facebook: </w:t>
      </w:r>
      <w:r w:rsidRPr="004B07F9">
        <w:rPr>
          <w:rStyle w:val="Hipervnculo"/>
          <w:rFonts w:ascii="Verdana" w:hAnsi="Verdana" w:cs="Arial"/>
          <w:color w:val="4472C4" w:themeColor="accent1"/>
        </w:rPr>
        <w:t>ColombiaCompraEficiente</w:t>
      </w:r>
    </w:p>
    <w:p w14:paraId="616513D4" w14:textId="77777777" w:rsidR="00CE5601" w:rsidRPr="004B07F9" w:rsidRDefault="00CE5601" w:rsidP="00C14025">
      <w:pPr>
        <w:spacing w:after="0" w:line="276" w:lineRule="auto"/>
        <w:jc w:val="both"/>
        <w:rPr>
          <w:rStyle w:val="Hipervnculo"/>
          <w:rFonts w:ascii="Verdana" w:hAnsi="Verdana" w:cs="Arial"/>
          <w:color w:val="4472C4" w:themeColor="accent1"/>
        </w:rPr>
      </w:pPr>
      <w:r w:rsidRPr="004B07F9">
        <w:rPr>
          <w:rFonts w:ascii="Verdana" w:hAnsi="Verdana" w:cs="Arial"/>
        </w:rPr>
        <w:t xml:space="preserve">LinkedIn: </w:t>
      </w:r>
      <w:r w:rsidRPr="004B07F9">
        <w:rPr>
          <w:rStyle w:val="Hipervnculo"/>
          <w:rFonts w:ascii="Verdana" w:hAnsi="Verdana" w:cs="Arial"/>
          <w:color w:val="4472C4" w:themeColor="accent1"/>
        </w:rPr>
        <w:t>Agencia Nacional de Contratación Pública - Colombia Compra Eficiente</w:t>
      </w:r>
      <w:r w:rsidRPr="004B07F9">
        <w:rPr>
          <w:rFonts w:ascii="Verdana" w:hAnsi="Verdana" w:cs="Arial"/>
          <w:color w:val="4472C4" w:themeColor="accent1"/>
        </w:rPr>
        <w:t xml:space="preserve"> </w:t>
      </w:r>
      <w:r w:rsidRPr="004B07F9">
        <w:rPr>
          <w:rFonts w:ascii="Verdana" w:hAnsi="Verdana" w:cs="Arial"/>
        </w:rPr>
        <w:t xml:space="preserve">Instagram: </w:t>
      </w:r>
      <w:r w:rsidRPr="004B07F9">
        <w:rPr>
          <w:rStyle w:val="Hipervnculo"/>
          <w:rFonts w:ascii="Verdana" w:hAnsi="Verdana" w:cs="Arial"/>
          <w:color w:val="4472C4" w:themeColor="accent1"/>
        </w:rPr>
        <w:t>@colombiacompraeficiente_cce</w:t>
      </w:r>
    </w:p>
    <w:p w14:paraId="7DB686E6" w14:textId="77777777" w:rsidR="00CE5601" w:rsidRPr="004B07F9" w:rsidRDefault="00CE5601" w:rsidP="00C14025">
      <w:pPr>
        <w:spacing w:after="0" w:line="276" w:lineRule="auto"/>
        <w:jc w:val="both"/>
        <w:rPr>
          <w:rStyle w:val="Hipervnculo"/>
          <w:rFonts w:ascii="Verdana" w:hAnsi="Verdana" w:cs="Arial"/>
          <w:color w:val="4472C4" w:themeColor="accent1"/>
        </w:rPr>
      </w:pPr>
    </w:p>
    <w:p w14:paraId="5E62326B" w14:textId="77777777" w:rsidR="00CE5601" w:rsidRPr="004B07F9" w:rsidRDefault="00CE5601" w:rsidP="00C14025">
      <w:pPr>
        <w:widowControl w:val="0"/>
        <w:autoSpaceDE w:val="0"/>
        <w:autoSpaceDN w:val="0"/>
        <w:spacing w:after="0" w:line="276" w:lineRule="auto"/>
        <w:jc w:val="both"/>
        <w:rPr>
          <w:rFonts w:ascii="Verdana" w:hAnsi="Verdana" w:cs="Arial"/>
          <w:lang w:val="es-ES_tradnl"/>
        </w:rPr>
      </w:pPr>
      <w:r w:rsidRPr="004B07F9">
        <w:rPr>
          <w:rFonts w:ascii="Verdana" w:hAnsi="Verdana" w:cs="Arial"/>
        </w:rPr>
        <w:t xml:space="preserve">Este concepto tiene el alcance previsto en el artículo 28 del Código de Procedimiento Administrativo y de lo Contencioso Administrativo </w:t>
      </w:r>
      <w:r w:rsidRPr="004B07F9">
        <w:rPr>
          <w:rFonts w:ascii="Verdana" w:hAnsi="Verdana" w:cs="Arial"/>
          <w:lang w:val="es-ES_tradnl"/>
        </w:rPr>
        <w:t>y las expresiones aquí utilizadas con mayúscula inicial deben ser entendidas con el significado que les otorga el artículo 2.2.1.1.1.3.1. del Decreto 1082 de 2015.</w:t>
      </w:r>
    </w:p>
    <w:p w14:paraId="78351F4A" w14:textId="77777777" w:rsidR="00CE5601" w:rsidRPr="004B07F9" w:rsidRDefault="00CE5601" w:rsidP="00C14025">
      <w:pPr>
        <w:widowControl w:val="0"/>
        <w:autoSpaceDE w:val="0"/>
        <w:autoSpaceDN w:val="0"/>
        <w:spacing w:after="0" w:line="276" w:lineRule="auto"/>
        <w:jc w:val="both"/>
        <w:rPr>
          <w:rFonts w:ascii="Verdana" w:hAnsi="Verdana" w:cs="Arial"/>
        </w:rPr>
      </w:pPr>
    </w:p>
    <w:p w14:paraId="28FE53B8" w14:textId="77777777" w:rsidR="00CE5601" w:rsidRPr="004B07F9" w:rsidRDefault="00CE5601" w:rsidP="00C14025">
      <w:pPr>
        <w:spacing w:after="0" w:line="276" w:lineRule="auto"/>
        <w:jc w:val="both"/>
        <w:rPr>
          <w:rFonts w:ascii="Verdana" w:hAnsi="Verdana" w:cs="Arial"/>
          <w:lang w:eastAsia="es-CO"/>
        </w:rPr>
      </w:pPr>
      <w:r w:rsidRPr="004B07F9">
        <w:rPr>
          <w:rFonts w:ascii="Verdana" w:eastAsia="Times New Roman" w:hAnsi="Verdana" w:cs="Arial"/>
          <w:lang w:eastAsia="es-CO"/>
        </w:rPr>
        <w:t>Atentamente,</w:t>
      </w:r>
      <w:r w:rsidRPr="004B07F9">
        <w:rPr>
          <w:rFonts w:ascii="Verdana" w:hAnsi="Verdana" w:cs="Arial"/>
          <w:lang w:eastAsia="es-CO"/>
        </w:rPr>
        <w:t xml:space="preserve"> </w:t>
      </w:r>
    </w:p>
    <w:p w14:paraId="3FDE7ACF" w14:textId="0998E031" w:rsidR="00CE5601" w:rsidRPr="004B07F9" w:rsidRDefault="007F1F9A" w:rsidP="00CE5601">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drawing>
          <wp:inline distT="0" distB="0" distL="0" distR="0" wp14:anchorId="48DD5D1D" wp14:editId="6F4A0CE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E5601" w:rsidRPr="004B07F9" w14:paraId="6F3EFB0F" w14:textId="77777777" w:rsidTr="00FF7BB5">
        <w:trPr>
          <w:trHeight w:val="315"/>
        </w:trPr>
        <w:tc>
          <w:tcPr>
            <w:tcW w:w="893" w:type="dxa"/>
            <w:vAlign w:val="center"/>
            <w:hideMark/>
          </w:tcPr>
          <w:p w14:paraId="551A1D2E" w14:textId="77777777" w:rsidR="00CE5601" w:rsidRPr="004B07F9" w:rsidRDefault="00CE5601" w:rsidP="00FF7BB5">
            <w:pPr>
              <w:contextualSpacing/>
              <w:rPr>
                <w:rFonts w:ascii="Verdana" w:hAnsi="Verdana" w:cs="Arial"/>
                <w:sz w:val="16"/>
                <w:szCs w:val="16"/>
                <w:lang w:val="es-ES" w:eastAsia="es-ES"/>
              </w:rPr>
            </w:pPr>
            <w:r w:rsidRPr="004B07F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5DE6093" w14:textId="77777777" w:rsidR="00CE5601" w:rsidRPr="004B07F9" w:rsidRDefault="00CE5601" w:rsidP="00FF7BB5">
            <w:pPr>
              <w:contextualSpacing/>
              <w:rPr>
                <w:rFonts w:ascii="Verdana" w:eastAsia="Arial" w:hAnsi="Verdana" w:cs="Arial"/>
                <w:sz w:val="16"/>
                <w:szCs w:val="16"/>
              </w:rPr>
            </w:pPr>
            <w:r w:rsidRPr="004B07F9">
              <w:rPr>
                <w:rFonts w:ascii="Verdana" w:eastAsia="Arial" w:hAnsi="Verdana" w:cs="Arial"/>
                <w:sz w:val="16"/>
                <w:szCs w:val="16"/>
              </w:rPr>
              <w:t>Ana María Ortiz Ballesteros</w:t>
            </w:r>
          </w:p>
          <w:p w14:paraId="1F2BD2B4" w14:textId="77777777" w:rsidR="00CE5601" w:rsidRPr="004B07F9" w:rsidRDefault="00CE5601" w:rsidP="00FF7BB5">
            <w:pPr>
              <w:contextualSpacing/>
              <w:rPr>
                <w:rFonts w:ascii="Verdana" w:eastAsia="Arial" w:hAnsi="Verdana" w:cs="Arial"/>
                <w:sz w:val="16"/>
                <w:szCs w:val="16"/>
              </w:rPr>
            </w:pPr>
            <w:r w:rsidRPr="004B07F9">
              <w:rPr>
                <w:rStyle w:val="normaltextrun"/>
                <w:rFonts w:ascii="Verdana" w:eastAsia="Arial" w:hAnsi="Verdana" w:cs="Arial"/>
                <w:sz w:val="16"/>
                <w:szCs w:val="16"/>
              </w:rPr>
              <w:t>C</w:t>
            </w:r>
            <w:r w:rsidRPr="004B07F9">
              <w:rPr>
                <w:rStyle w:val="normaltextrun"/>
                <w:rFonts w:ascii="Verdana" w:hAnsi="Verdana"/>
                <w:sz w:val="16"/>
                <w:szCs w:val="16"/>
              </w:rPr>
              <w:t>ontratista</w:t>
            </w:r>
            <w:r w:rsidRPr="004B07F9">
              <w:rPr>
                <w:rStyle w:val="normaltextrun"/>
                <w:rFonts w:ascii="Verdana" w:eastAsia="Arial" w:hAnsi="Verdana" w:cs="Arial"/>
                <w:sz w:val="16"/>
                <w:szCs w:val="16"/>
              </w:rPr>
              <w:t xml:space="preserve"> de la Subdirección de Gestión Contractual</w:t>
            </w:r>
          </w:p>
        </w:tc>
      </w:tr>
      <w:tr w:rsidR="00CE5601" w:rsidRPr="004B07F9" w14:paraId="328B1C63" w14:textId="77777777" w:rsidTr="00FF7BB5">
        <w:trPr>
          <w:trHeight w:val="330"/>
        </w:trPr>
        <w:tc>
          <w:tcPr>
            <w:tcW w:w="893" w:type="dxa"/>
            <w:vAlign w:val="center"/>
            <w:hideMark/>
          </w:tcPr>
          <w:p w14:paraId="5E326D14" w14:textId="77777777" w:rsidR="00CE5601" w:rsidRPr="004B07F9" w:rsidRDefault="00CE5601" w:rsidP="00FF7BB5">
            <w:pPr>
              <w:contextualSpacing/>
              <w:rPr>
                <w:rFonts w:ascii="Verdana" w:hAnsi="Verdana" w:cs="Arial"/>
                <w:sz w:val="16"/>
                <w:szCs w:val="16"/>
                <w:lang w:val="es-ES" w:eastAsia="es-ES"/>
              </w:rPr>
            </w:pPr>
            <w:r w:rsidRPr="004B07F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8F7134" w14:textId="77777777" w:rsidR="00CE5601" w:rsidRPr="004B07F9" w:rsidRDefault="00CE5601" w:rsidP="00FF7BB5">
            <w:pPr>
              <w:pStyle w:val="paragraph"/>
              <w:spacing w:before="0" w:beforeAutospacing="0" w:after="0" w:afterAutospacing="0"/>
              <w:contextualSpacing/>
              <w:textAlignment w:val="baseline"/>
              <w:rPr>
                <w:rFonts w:ascii="Verdana" w:hAnsi="Verdana" w:cs="Arial"/>
                <w:sz w:val="16"/>
                <w:szCs w:val="16"/>
              </w:rPr>
            </w:pPr>
            <w:r w:rsidRPr="004B07F9">
              <w:rPr>
                <w:rFonts w:ascii="Verdana" w:hAnsi="Verdana" w:cs="Arial"/>
                <w:sz w:val="16"/>
                <w:szCs w:val="16"/>
              </w:rPr>
              <w:t>Diana Lucia Saavedra Castañeda</w:t>
            </w:r>
          </w:p>
          <w:p w14:paraId="4CF6C908" w14:textId="77777777" w:rsidR="00CE5601" w:rsidRPr="004B07F9" w:rsidRDefault="00CE5601" w:rsidP="00FF7BB5">
            <w:pPr>
              <w:pStyle w:val="paragraph"/>
              <w:spacing w:before="0" w:beforeAutospacing="0" w:after="0" w:afterAutospacing="0"/>
              <w:contextualSpacing/>
              <w:textAlignment w:val="baseline"/>
              <w:rPr>
                <w:rFonts w:ascii="Verdana" w:hAnsi="Verdana" w:cs="Arial"/>
                <w:sz w:val="16"/>
                <w:szCs w:val="16"/>
              </w:rPr>
            </w:pPr>
            <w:r w:rsidRPr="004B07F9">
              <w:rPr>
                <w:rStyle w:val="normaltextrun"/>
                <w:rFonts w:ascii="Verdana" w:eastAsia="Arial" w:hAnsi="Verdana" w:cs="Arial"/>
                <w:sz w:val="16"/>
                <w:szCs w:val="16"/>
              </w:rPr>
              <w:t>C</w:t>
            </w:r>
            <w:r w:rsidRPr="004B07F9">
              <w:rPr>
                <w:rStyle w:val="normaltextrun"/>
                <w:rFonts w:ascii="Verdana" w:hAnsi="Verdana"/>
                <w:sz w:val="16"/>
                <w:szCs w:val="16"/>
              </w:rPr>
              <w:t>ontratista</w:t>
            </w:r>
            <w:r w:rsidRPr="004B07F9">
              <w:rPr>
                <w:rStyle w:val="normaltextrun"/>
                <w:rFonts w:ascii="Verdana" w:eastAsia="Arial" w:hAnsi="Verdana" w:cs="Arial"/>
                <w:sz w:val="16"/>
                <w:szCs w:val="16"/>
              </w:rPr>
              <w:t xml:space="preserve"> de la Subdirección de Gestión Contractual</w:t>
            </w:r>
          </w:p>
        </w:tc>
      </w:tr>
      <w:tr w:rsidR="00CE5601" w:rsidRPr="004B07F9" w14:paraId="04991B08" w14:textId="77777777" w:rsidTr="00FF7BB5">
        <w:trPr>
          <w:trHeight w:val="300"/>
        </w:trPr>
        <w:tc>
          <w:tcPr>
            <w:tcW w:w="893" w:type="dxa"/>
            <w:vAlign w:val="center"/>
          </w:tcPr>
          <w:p w14:paraId="1DCCCBB2" w14:textId="77777777" w:rsidR="00CE5601" w:rsidRPr="004B07F9" w:rsidRDefault="00CE5601" w:rsidP="00FF7BB5">
            <w:pPr>
              <w:contextualSpacing/>
              <w:rPr>
                <w:rFonts w:ascii="Verdana" w:hAnsi="Verdana" w:cs="Arial"/>
                <w:sz w:val="16"/>
                <w:szCs w:val="16"/>
                <w:lang w:val="es-ES" w:eastAsia="es-ES"/>
              </w:rPr>
            </w:pPr>
            <w:r w:rsidRPr="004B07F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4AF3B50" w14:textId="77777777" w:rsidR="00CE5601" w:rsidRPr="004B07F9" w:rsidRDefault="00CE5601" w:rsidP="00FF7BB5">
            <w:pPr>
              <w:contextualSpacing/>
              <w:rPr>
                <w:rFonts w:ascii="Verdana" w:eastAsia="Calibri" w:hAnsi="Verdana" w:cs="Arial"/>
                <w:sz w:val="16"/>
                <w:szCs w:val="16"/>
                <w:lang w:val="pt-BR" w:eastAsia="es-ES"/>
              </w:rPr>
            </w:pPr>
            <w:r w:rsidRPr="004B07F9">
              <w:rPr>
                <w:rFonts w:ascii="Verdana" w:eastAsia="Calibri" w:hAnsi="Verdana" w:cs="Arial"/>
                <w:sz w:val="16"/>
                <w:szCs w:val="16"/>
                <w:lang w:val="pt-BR" w:eastAsia="es-ES"/>
              </w:rPr>
              <w:t>Carolina Quintero Gacharná</w:t>
            </w:r>
          </w:p>
          <w:p w14:paraId="6183491F" w14:textId="77777777" w:rsidR="00CE5601" w:rsidRPr="004B07F9" w:rsidRDefault="00CE5601" w:rsidP="00FF7BB5">
            <w:pPr>
              <w:contextualSpacing/>
              <w:rPr>
                <w:rFonts w:ascii="Verdana" w:eastAsia="Calibri" w:hAnsi="Verdana" w:cs="Arial"/>
                <w:sz w:val="16"/>
                <w:szCs w:val="16"/>
                <w:lang w:val="pt-BR" w:eastAsia="es-ES"/>
              </w:rPr>
            </w:pPr>
            <w:r w:rsidRPr="004B07F9">
              <w:rPr>
                <w:rFonts w:ascii="Verdana" w:eastAsia="Calibri" w:hAnsi="Verdana" w:cs="Arial"/>
                <w:sz w:val="16"/>
                <w:szCs w:val="16"/>
                <w:lang w:eastAsia="es-ES"/>
              </w:rPr>
              <w:t>Subdirectora</w:t>
            </w:r>
            <w:r w:rsidRPr="004B07F9">
              <w:rPr>
                <w:rFonts w:ascii="Verdana" w:eastAsia="Calibri" w:hAnsi="Verdana" w:cs="Arial"/>
                <w:sz w:val="16"/>
                <w:szCs w:val="16"/>
                <w:lang w:val="pt-BR" w:eastAsia="es-ES"/>
              </w:rPr>
              <w:t xml:space="preserve"> de Gestión Contractual ANCP – CCE</w:t>
            </w:r>
          </w:p>
        </w:tc>
      </w:tr>
    </w:tbl>
    <w:p w14:paraId="69BC4D14" w14:textId="58555CDF" w:rsidR="00C15139" w:rsidRPr="004B07F9" w:rsidRDefault="00C15139" w:rsidP="30821638">
      <w:pPr>
        <w:spacing w:after="0" w:line="240" w:lineRule="auto"/>
        <w:textAlignment w:val="baseline"/>
        <w:rPr>
          <w:rFonts w:ascii="Verdana" w:eastAsia="Verdana" w:hAnsi="Verdana" w:cs="Verdana"/>
          <w:lang w:eastAsia="es-CO"/>
        </w:rPr>
      </w:pPr>
      <w:r w:rsidRPr="004B07F9">
        <w:rPr>
          <w:rFonts w:ascii="Verdana" w:eastAsia="Verdana" w:hAnsi="Verdana" w:cs="Verdana"/>
          <w:lang w:eastAsia="es-CO"/>
        </w:rPr>
        <w:t> </w:t>
      </w:r>
      <w:bookmarkEnd w:id="0"/>
    </w:p>
    <w:sectPr w:rsidR="00C15139" w:rsidRPr="004B07F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94878" w14:textId="77777777" w:rsidR="006C0554" w:rsidRDefault="006C0554" w:rsidP="004A1847">
      <w:pPr>
        <w:spacing w:after="0" w:line="240" w:lineRule="auto"/>
      </w:pPr>
      <w:r>
        <w:separator/>
      </w:r>
    </w:p>
  </w:endnote>
  <w:endnote w:type="continuationSeparator" w:id="0">
    <w:p w14:paraId="2FF5BA8E" w14:textId="77777777" w:rsidR="006C0554" w:rsidRDefault="006C055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B1DC8" w14:textId="77777777" w:rsidR="006C0554" w:rsidRDefault="006C0554" w:rsidP="004A1847">
      <w:pPr>
        <w:spacing w:after="0" w:line="240" w:lineRule="auto"/>
      </w:pPr>
      <w:r>
        <w:separator/>
      </w:r>
    </w:p>
  </w:footnote>
  <w:footnote w:type="continuationSeparator" w:id="0">
    <w:p w14:paraId="76B7B5FF" w14:textId="77777777" w:rsidR="006C0554" w:rsidRDefault="006C0554" w:rsidP="004A1847">
      <w:pPr>
        <w:spacing w:after="0" w:line="240" w:lineRule="auto"/>
      </w:pPr>
      <w:r>
        <w:continuationSeparator/>
      </w:r>
    </w:p>
  </w:footnote>
  <w:footnote w:id="1">
    <w:p w14:paraId="5E587825" w14:textId="77777777" w:rsidR="00521CD6" w:rsidRPr="00B456F5" w:rsidRDefault="00521CD6" w:rsidP="00B456F5">
      <w:pPr>
        <w:snapToGrid w:val="0"/>
        <w:spacing w:after="0" w:line="240" w:lineRule="auto"/>
        <w:ind w:firstLine="709"/>
        <w:jc w:val="both"/>
        <w:rPr>
          <w:rFonts w:ascii="Verdana" w:eastAsia="Arial" w:hAnsi="Verdana" w:cs="Arial"/>
          <w:color w:val="000000"/>
          <w:sz w:val="16"/>
          <w:szCs w:val="16"/>
        </w:rPr>
      </w:pPr>
      <w:r w:rsidRPr="00B456F5">
        <w:rPr>
          <w:rFonts w:ascii="Verdana" w:hAnsi="Verdana" w:cs="Arial"/>
          <w:sz w:val="16"/>
          <w:szCs w:val="16"/>
          <w:vertAlign w:val="superscript"/>
        </w:rPr>
        <w:footnoteRef/>
      </w:r>
      <w:r w:rsidRPr="00B456F5">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0306047A" w14:textId="77777777" w:rsidR="00521CD6" w:rsidRPr="00B456F5" w:rsidRDefault="00521CD6" w:rsidP="00B456F5">
      <w:pPr>
        <w:snapToGrid w:val="0"/>
        <w:spacing w:after="0" w:line="240" w:lineRule="auto"/>
        <w:ind w:firstLine="709"/>
        <w:jc w:val="both"/>
        <w:rPr>
          <w:rFonts w:ascii="Verdana" w:eastAsia="Arial" w:hAnsi="Verdana" w:cs="Arial"/>
          <w:color w:val="000000"/>
          <w:sz w:val="16"/>
          <w:szCs w:val="16"/>
        </w:rPr>
      </w:pPr>
      <w:r w:rsidRPr="00B456F5">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18E6786A" w14:textId="5DCDEF65" w:rsidR="00521CD6" w:rsidRPr="00B456F5" w:rsidRDefault="00521CD6" w:rsidP="00B456F5">
      <w:pPr>
        <w:snapToGrid w:val="0"/>
        <w:spacing w:after="0" w:line="240" w:lineRule="auto"/>
        <w:ind w:firstLine="709"/>
        <w:jc w:val="both"/>
        <w:rPr>
          <w:rFonts w:ascii="Verdana" w:eastAsia="Arial" w:hAnsi="Verdana" w:cs="Arial"/>
          <w:color w:val="000000"/>
          <w:sz w:val="16"/>
          <w:szCs w:val="16"/>
        </w:rPr>
      </w:pPr>
      <w:r w:rsidRPr="00B456F5">
        <w:rPr>
          <w:rFonts w:ascii="Verdana" w:eastAsia="Arial" w:hAnsi="Verdana" w:cs="Arial"/>
          <w:color w:val="000000"/>
          <w:sz w:val="16"/>
          <w:szCs w:val="16"/>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r w:rsidR="00ED469C" w:rsidRPr="00B456F5">
        <w:rPr>
          <w:rFonts w:ascii="Verdana" w:eastAsia="Arial" w:hAnsi="Verdana" w:cs="Arial"/>
          <w:color w:val="000000"/>
          <w:sz w:val="16"/>
          <w:szCs w:val="16"/>
        </w:rPr>
        <w:t>pliegos</w:t>
      </w:r>
      <w:r w:rsidRPr="00B456F5">
        <w:rPr>
          <w:rFonts w:ascii="Verdana" w:eastAsia="Arial" w:hAnsi="Verdana" w:cs="Arial"/>
          <w:color w:val="000000"/>
          <w:sz w:val="16"/>
          <w:szCs w:val="16"/>
        </w:rPr>
        <w:t xml:space="preserve"> no será objeto de evaluación”.</w:t>
      </w:r>
    </w:p>
    <w:p w14:paraId="5CA647E9" w14:textId="77777777" w:rsidR="00521CD6" w:rsidRPr="00B456F5" w:rsidRDefault="00521CD6" w:rsidP="00B456F5">
      <w:pPr>
        <w:snapToGrid w:val="0"/>
        <w:spacing w:after="0" w:line="240" w:lineRule="auto"/>
        <w:ind w:firstLine="709"/>
        <w:jc w:val="both"/>
        <w:rPr>
          <w:rFonts w:ascii="Verdana" w:eastAsia="Arial" w:hAnsi="Verdana" w:cs="Arial"/>
          <w:color w:val="000000"/>
          <w:sz w:val="16"/>
          <w:szCs w:val="16"/>
        </w:rPr>
      </w:pPr>
      <w:r w:rsidRPr="00B456F5">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72219879" w14:textId="77777777" w:rsidR="00521CD6" w:rsidRPr="00B456F5" w:rsidRDefault="00521CD6" w:rsidP="00B456F5">
      <w:pPr>
        <w:snapToGrid w:val="0"/>
        <w:spacing w:after="0" w:line="240" w:lineRule="auto"/>
        <w:ind w:firstLine="709"/>
        <w:jc w:val="both"/>
        <w:rPr>
          <w:rFonts w:ascii="Verdana" w:eastAsia="Arial" w:hAnsi="Verdana" w:cs="Arial"/>
          <w:color w:val="000000"/>
          <w:sz w:val="16"/>
          <w:szCs w:val="16"/>
        </w:rPr>
      </w:pPr>
      <w:r w:rsidRPr="00B456F5">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2">
    <w:p w14:paraId="0DE34A34" w14:textId="77777777" w:rsidR="00521CD6" w:rsidRPr="00B456F5" w:rsidRDefault="00521CD6" w:rsidP="00B456F5">
      <w:pPr>
        <w:snapToGrid w:val="0"/>
        <w:spacing w:after="0" w:line="240" w:lineRule="auto"/>
        <w:ind w:firstLine="708"/>
        <w:jc w:val="both"/>
        <w:rPr>
          <w:rFonts w:ascii="Verdana" w:eastAsia="Arial" w:hAnsi="Verdana" w:cs="Arial"/>
          <w:color w:val="000000"/>
          <w:sz w:val="16"/>
          <w:szCs w:val="16"/>
        </w:rPr>
      </w:pPr>
      <w:r w:rsidRPr="00B456F5">
        <w:rPr>
          <w:rFonts w:ascii="Verdana" w:hAnsi="Verdana" w:cs="Arial"/>
          <w:sz w:val="16"/>
          <w:szCs w:val="16"/>
          <w:vertAlign w:val="superscript"/>
        </w:rPr>
        <w:footnoteRef/>
      </w:r>
      <w:r w:rsidRPr="00B456F5">
        <w:rPr>
          <w:rFonts w:ascii="Verdana" w:eastAsia="Arial" w:hAnsi="Verdana" w:cs="Arial"/>
          <w:color w:val="000000"/>
          <w:sz w:val="16"/>
          <w:szCs w:val="16"/>
        </w:rPr>
        <w:t xml:space="preserve"> DÁVILA VINUEZA, Luis Guillermo. Régimen jurídico de la contratación estatal. Tercera edición, Bogotá: Legis, 2016. p. 355.</w:t>
      </w:r>
    </w:p>
  </w:footnote>
  <w:footnote w:id="3">
    <w:p w14:paraId="63A26443" w14:textId="77777777" w:rsidR="00521CD6" w:rsidRPr="00B456F5" w:rsidRDefault="00521CD6" w:rsidP="00B456F5">
      <w:pPr>
        <w:snapToGrid w:val="0"/>
        <w:spacing w:after="0" w:line="240" w:lineRule="auto"/>
        <w:ind w:firstLine="708"/>
        <w:jc w:val="both"/>
        <w:rPr>
          <w:rFonts w:ascii="Verdana" w:eastAsia="Arial" w:hAnsi="Verdana" w:cs="Arial"/>
          <w:color w:val="000000"/>
          <w:sz w:val="16"/>
          <w:szCs w:val="16"/>
        </w:rPr>
      </w:pPr>
      <w:r w:rsidRPr="00B456F5">
        <w:rPr>
          <w:rFonts w:ascii="Verdana" w:hAnsi="Verdana" w:cs="Arial"/>
          <w:sz w:val="16"/>
          <w:szCs w:val="16"/>
          <w:vertAlign w:val="superscript"/>
        </w:rPr>
        <w:footnoteRef/>
      </w:r>
      <w:r w:rsidRPr="00B456F5">
        <w:rPr>
          <w:rFonts w:ascii="Verdana" w:eastAsia="Arial" w:hAnsi="Verdana" w:cs="Arial"/>
          <w:color w:val="000000"/>
          <w:sz w:val="16"/>
          <w:szCs w:val="16"/>
        </w:rPr>
        <w:t xml:space="preserve"> RODRÍGUEZ TAMAYO, Mauricio F. Evaluación y rechazo de ofertas en la Ley 80 de 1993. Primera edición. Medellín: Librería Jurídica Sánchez, 2016. pp. 110-111.</w:t>
      </w:r>
    </w:p>
  </w:footnote>
  <w:footnote w:id="4">
    <w:p w14:paraId="67ED4118" w14:textId="77777777" w:rsidR="00521CD6" w:rsidRPr="00B456F5" w:rsidRDefault="00521CD6" w:rsidP="00B456F5">
      <w:pPr>
        <w:snapToGrid w:val="0"/>
        <w:spacing w:after="0" w:line="240" w:lineRule="auto"/>
        <w:ind w:firstLine="708"/>
        <w:jc w:val="both"/>
        <w:rPr>
          <w:rFonts w:ascii="Verdana" w:eastAsia="Arial" w:hAnsi="Verdana" w:cs="Arial"/>
          <w:color w:val="000000"/>
          <w:sz w:val="16"/>
          <w:szCs w:val="16"/>
        </w:rPr>
      </w:pPr>
      <w:r w:rsidRPr="00B456F5">
        <w:rPr>
          <w:rFonts w:ascii="Verdana" w:hAnsi="Verdana" w:cs="Arial"/>
          <w:sz w:val="16"/>
          <w:szCs w:val="16"/>
          <w:vertAlign w:val="superscript"/>
        </w:rPr>
        <w:footnoteRef/>
      </w:r>
      <w:r w:rsidRPr="00B456F5">
        <w:rPr>
          <w:rFonts w:ascii="Verdana" w:eastAsia="Arial" w:hAnsi="Verdana" w:cs="Arial"/>
          <w:color w:val="000000"/>
          <w:sz w:val="16"/>
          <w:szCs w:val="16"/>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5">
    <w:p w14:paraId="08687CFB" w14:textId="77777777" w:rsidR="000E0AC7" w:rsidRPr="00B456F5" w:rsidRDefault="000E0AC7" w:rsidP="00B456F5">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B456F5">
        <w:rPr>
          <w:rFonts w:ascii="Verdana" w:hAnsi="Verdana" w:cs="Arial"/>
          <w:sz w:val="16"/>
          <w:szCs w:val="16"/>
          <w:vertAlign w:val="superscript"/>
        </w:rPr>
        <w:footnoteRef/>
      </w:r>
      <w:r w:rsidRPr="00B456F5">
        <w:rPr>
          <w:rFonts w:ascii="Verdana" w:eastAsia="Arial" w:hAnsi="Verdana" w:cs="Arial"/>
          <w:i/>
          <w:color w:val="000000"/>
          <w:sz w:val="16"/>
          <w:szCs w:val="16"/>
        </w:rPr>
        <w:t xml:space="preserve"> Ibid.</w:t>
      </w:r>
    </w:p>
  </w:footnote>
  <w:footnote w:id="6">
    <w:p w14:paraId="13E71EFF" w14:textId="77777777" w:rsidR="00521CD6" w:rsidRPr="00B456F5" w:rsidRDefault="00521CD6" w:rsidP="00B456F5">
      <w:pPr>
        <w:pStyle w:val="Textonotapie"/>
        <w:snapToGrid w:val="0"/>
        <w:ind w:firstLine="708"/>
        <w:jc w:val="both"/>
        <w:rPr>
          <w:rFonts w:ascii="Verdana" w:hAnsi="Verdana"/>
          <w:sz w:val="16"/>
          <w:szCs w:val="16"/>
        </w:rPr>
      </w:pPr>
      <w:r w:rsidRPr="00B456F5">
        <w:rPr>
          <w:rStyle w:val="Refdenotaalpie"/>
          <w:rFonts w:ascii="Verdana" w:hAnsi="Verdana"/>
          <w:sz w:val="16"/>
          <w:szCs w:val="16"/>
        </w:rPr>
        <w:footnoteRef/>
      </w:r>
      <w:r w:rsidRPr="00B456F5">
        <w:rPr>
          <w:rFonts w:ascii="Verdana" w:hAnsi="Verdana"/>
          <w:sz w:val="16"/>
          <w:szCs w:val="16"/>
        </w:rPr>
        <w:t xml:space="preserve"> </w:t>
      </w:r>
      <w:r w:rsidRPr="00B456F5">
        <w:rPr>
          <w:rFonts w:ascii="Verdana" w:hAnsi="Verdana"/>
          <w:sz w:val="16"/>
          <w:szCs w:val="16"/>
          <w:lang w:val="es-ES"/>
        </w:rPr>
        <w:t>Decreto 1082 de 2015. “</w:t>
      </w:r>
      <w:r w:rsidRPr="00B456F5">
        <w:rPr>
          <w:rFonts w:ascii="Verdana" w:hAnsi="Verdana"/>
          <w:sz w:val="16"/>
          <w:szCs w:val="16"/>
        </w:rPr>
        <w:t>Artículo </w:t>
      </w:r>
      <w:bookmarkStart w:id="4" w:name="2.2.1.1.2.2.2"/>
      <w:bookmarkEnd w:id="4"/>
      <w:r w:rsidRPr="00B456F5">
        <w:rPr>
          <w:rFonts w:ascii="Verdana" w:hAnsi="Verdana"/>
          <w:sz w:val="16"/>
          <w:szCs w:val="16"/>
        </w:rPr>
        <w:t>2.2.1.1.2.2.2. Ofrecimiento más favorable</w:t>
      </w:r>
      <w:r w:rsidRPr="00B456F5">
        <w:rPr>
          <w:rFonts w:ascii="Verdana" w:hAnsi="Verdana"/>
          <w:b/>
          <w:sz w:val="16"/>
          <w:szCs w:val="16"/>
        </w:rPr>
        <w:t>. </w:t>
      </w:r>
      <w:r w:rsidRPr="00B456F5">
        <w:rPr>
          <w:rFonts w:ascii="Verdana" w:hAnsi="Verdana"/>
          <w:sz w:val="16"/>
          <w:szCs w:val="16"/>
        </w:rPr>
        <w:t>La Entidad Estatal debe determinar la oferta más favorable teniendo en cuenta las normas aplicables a cada modalidad de selección del contratista.</w:t>
      </w:r>
    </w:p>
    <w:p w14:paraId="249CD7FB" w14:textId="77777777" w:rsidR="00521CD6" w:rsidRPr="00B456F5" w:rsidRDefault="00521CD6" w:rsidP="00B456F5">
      <w:pPr>
        <w:pStyle w:val="Textonotapie"/>
        <w:snapToGrid w:val="0"/>
        <w:jc w:val="both"/>
        <w:rPr>
          <w:rFonts w:ascii="Verdana" w:hAnsi="Verdana"/>
          <w:sz w:val="16"/>
          <w:szCs w:val="16"/>
        </w:rPr>
      </w:pPr>
      <w:r w:rsidRPr="00B456F5">
        <w:rPr>
          <w:rFonts w:ascii="Verdana" w:hAnsi="Verdana"/>
          <w:sz w:val="16"/>
          <w:szCs w:val="16"/>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w:t>
      </w:r>
    </w:p>
    <w:p w14:paraId="30168CA1" w14:textId="77777777" w:rsidR="00521CD6" w:rsidRPr="00B456F5" w:rsidRDefault="00521CD6" w:rsidP="00B456F5">
      <w:pPr>
        <w:pStyle w:val="Textonotapie"/>
        <w:snapToGrid w:val="0"/>
        <w:jc w:val="both"/>
        <w:rPr>
          <w:rFonts w:ascii="Verdana" w:hAnsi="Verdana"/>
          <w:sz w:val="16"/>
          <w:szCs w:val="16"/>
        </w:rPr>
      </w:pPr>
      <w:r w:rsidRPr="00B456F5">
        <w:rPr>
          <w:rFonts w:ascii="Verdana" w:hAnsi="Verdana"/>
          <w:sz w:val="16"/>
          <w:szCs w:val="16"/>
        </w:rPr>
        <w:t>Si la Entidad Estatal decide determinar la oferta de acuerdo con el literal (b) anterior debe señalar en los pliegos de condiciones:</w:t>
      </w:r>
    </w:p>
    <w:p w14:paraId="6C1DCB29" w14:textId="77777777" w:rsidR="00521CD6" w:rsidRPr="00B456F5" w:rsidRDefault="00521CD6" w:rsidP="00B456F5">
      <w:pPr>
        <w:pStyle w:val="Textonotapie"/>
        <w:snapToGrid w:val="0"/>
        <w:ind w:firstLine="708"/>
        <w:jc w:val="both"/>
        <w:rPr>
          <w:rFonts w:ascii="Verdana" w:hAnsi="Verdana"/>
          <w:sz w:val="16"/>
          <w:szCs w:val="16"/>
        </w:rPr>
      </w:pPr>
      <w:bookmarkStart w:id="5" w:name="2.2.1.1.2.2.2.1"/>
      <w:bookmarkEnd w:id="5"/>
      <w:r w:rsidRPr="00B456F5">
        <w:rPr>
          <w:rFonts w:ascii="Verdana" w:hAnsi="Verdana"/>
          <w:sz w:val="16"/>
          <w:szCs w:val="16"/>
        </w:rPr>
        <w:t>1. Las condiciones técnicas y económicas mínimas de la oferta.</w:t>
      </w:r>
    </w:p>
    <w:p w14:paraId="4E07D975" w14:textId="77777777" w:rsidR="00521CD6" w:rsidRPr="00B456F5" w:rsidRDefault="00521CD6" w:rsidP="00B456F5">
      <w:pPr>
        <w:pStyle w:val="Textonotapie"/>
        <w:snapToGrid w:val="0"/>
        <w:ind w:firstLine="708"/>
        <w:jc w:val="both"/>
        <w:rPr>
          <w:rFonts w:ascii="Verdana" w:hAnsi="Verdana"/>
          <w:sz w:val="16"/>
          <w:szCs w:val="16"/>
        </w:rPr>
      </w:pPr>
      <w:bookmarkStart w:id="6" w:name="2.2.1.1.2.2.2.2"/>
      <w:bookmarkEnd w:id="6"/>
      <w:r w:rsidRPr="00B456F5">
        <w:rPr>
          <w:rFonts w:ascii="Verdana" w:hAnsi="Verdana"/>
          <w:sz w:val="16"/>
          <w:szCs w:val="16"/>
        </w:rPr>
        <w:t>2. Las condiciones técnicas adicionales que representan ventajas de calidad o de funcionamiento, tales como el uso de tecnología o materiales que generen mayor eficiencia, rendimiento o duración del bien, obra o servicio.</w:t>
      </w:r>
    </w:p>
    <w:p w14:paraId="1E2E3732" w14:textId="77777777" w:rsidR="00521CD6" w:rsidRPr="00B456F5" w:rsidRDefault="00521CD6" w:rsidP="00B456F5">
      <w:pPr>
        <w:pStyle w:val="Textonotapie"/>
        <w:snapToGrid w:val="0"/>
        <w:ind w:firstLine="708"/>
        <w:jc w:val="both"/>
        <w:rPr>
          <w:rFonts w:ascii="Verdana" w:hAnsi="Verdana"/>
          <w:sz w:val="16"/>
          <w:szCs w:val="16"/>
        </w:rPr>
      </w:pPr>
      <w:bookmarkStart w:id="7" w:name="2.2.1.1.2.2.2.3"/>
      <w:bookmarkEnd w:id="7"/>
      <w:r w:rsidRPr="00B456F5">
        <w:rPr>
          <w:rFonts w:ascii="Verdana" w:hAnsi="Verdana"/>
          <w:sz w:val="16"/>
          <w:szCs w:val="16"/>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14:paraId="6E083CE6" w14:textId="77777777" w:rsidR="00521CD6" w:rsidRPr="00B456F5" w:rsidRDefault="00521CD6" w:rsidP="00B456F5">
      <w:pPr>
        <w:pStyle w:val="Textonotapie"/>
        <w:snapToGrid w:val="0"/>
        <w:ind w:firstLine="708"/>
        <w:jc w:val="both"/>
        <w:rPr>
          <w:rFonts w:ascii="Verdana" w:hAnsi="Verdana"/>
          <w:sz w:val="16"/>
          <w:szCs w:val="16"/>
        </w:rPr>
      </w:pPr>
      <w:bookmarkStart w:id="8" w:name="2.2.1.1.2.2.2.4"/>
      <w:bookmarkEnd w:id="8"/>
      <w:r w:rsidRPr="00B456F5">
        <w:rPr>
          <w:rFonts w:ascii="Verdana" w:hAnsi="Verdana"/>
          <w:sz w:val="16"/>
          <w:szCs w:val="16"/>
        </w:rPr>
        <w:t>4. El valor en dinero que la Entidad Estatal asigna a cada ofrecimiento técnico o económico adicional, para permitir la ponderación de las ofertas presentadas.</w:t>
      </w:r>
    </w:p>
    <w:p w14:paraId="4D152530" w14:textId="77777777" w:rsidR="00521CD6" w:rsidRPr="00B456F5" w:rsidRDefault="00521CD6" w:rsidP="00B456F5">
      <w:pPr>
        <w:pStyle w:val="Textonotapie"/>
        <w:snapToGrid w:val="0"/>
        <w:ind w:firstLine="708"/>
        <w:jc w:val="both"/>
        <w:rPr>
          <w:rFonts w:ascii="Verdana" w:hAnsi="Verdana"/>
          <w:sz w:val="16"/>
          <w:szCs w:val="16"/>
        </w:rPr>
      </w:pPr>
      <w:r w:rsidRPr="00B456F5">
        <w:rPr>
          <w:rFonts w:ascii="Verdana" w:hAnsi="Verdana"/>
          <w:sz w:val="16"/>
          <w:szCs w:val="16"/>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14:paraId="3F406FFD" w14:textId="77777777" w:rsidR="00521CD6" w:rsidRPr="00B456F5" w:rsidRDefault="00521CD6" w:rsidP="00B456F5">
      <w:pPr>
        <w:pStyle w:val="Textonotapie"/>
        <w:snapToGrid w:val="0"/>
        <w:ind w:firstLine="708"/>
        <w:jc w:val="both"/>
        <w:rPr>
          <w:rFonts w:ascii="Verdana" w:hAnsi="Verdana"/>
          <w:sz w:val="16"/>
          <w:szCs w:val="16"/>
        </w:rPr>
      </w:pPr>
      <w:r w:rsidRPr="00B456F5">
        <w:rPr>
          <w:rFonts w:ascii="Verdana" w:hAnsi="Verdana"/>
          <w:sz w:val="16"/>
          <w:szCs w:val="16"/>
        </w:rPr>
        <w:t>La Entidad Estatal debe adjudicar al oferente que presentó la oferta con la mejor relación costo-beneficio y suscribir el contrato por el precio total ofrecido […]”.</w:t>
      </w:r>
    </w:p>
    <w:p w14:paraId="261516AD" w14:textId="77777777" w:rsidR="00521CD6" w:rsidRPr="00C14025" w:rsidRDefault="00521CD6" w:rsidP="00B456F5">
      <w:pPr>
        <w:pStyle w:val="Textonotapie"/>
        <w:snapToGrid w:val="0"/>
        <w:jc w:val="both"/>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3E26ED5"/>
    <w:multiLevelType w:val="hybridMultilevel"/>
    <w:tmpl w:val="34D8BCCC"/>
    <w:lvl w:ilvl="0" w:tplc="1CDEDC7C">
      <w:start w:val="12"/>
      <w:numFmt w:val="bullet"/>
      <w:lvlText w:val="-"/>
      <w:lvlJc w:val="left"/>
      <w:pPr>
        <w:ind w:left="1069" w:hanging="360"/>
      </w:pPr>
      <w:rPr>
        <w:rFonts w:ascii="Verdana" w:eastAsia="Century Gothic"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1"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489201040">
    <w:abstractNumId w:val="0"/>
  </w:num>
  <w:num w:numId="17" w16cid:durableId="222445883">
    <w:abstractNumId w:val="10"/>
  </w:num>
  <w:num w:numId="18" w16cid:durableId="1542086715">
    <w:abstractNumId w:val="9"/>
  </w:num>
  <w:num w:numId="19" w16cid:durableId="17234823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408"/>
    <w:rsid w:val="00046945"/>
    <w:rsid w:val="00061B2A"/>
    <w:rsid w:val="00082362"/>
    <w:rsid w:val="000A683E"/>
    <w:rsid w:val="000B19B9"/>
    <w:rsid w:val="000B6B29"/>
    <w:rsid w:val="000D0334"/>
    <w:rsid w:val="000D1739"/>
    <w:rsid w:val="000D5DA7"/>
    <w:rsid w:val="000E0AC7"/>
    <w:rsid w:val="000F1C4C"/>
    <w:rsid w:val="000F541C"/>
    <w:rsid w:val="000F6486"/>
    <w:rsid w:val="00116940"/>
    <w:rsid w:val="00125105"/>
    <w:rsid w:val="00127233"/>
    <w:rsid w:val="00141E77"/>
    <w:rsid w:val="0014702F"/>
    <w:rsid w:val="0015699B"/>
    <w:rsid w:val="001A33BF"/>
    <w:rsid w:val="001E4177"/>
    <w:rsid w:val="001F0B24"/>
    <w:rsid w:val="001F7DC6"/>
    <w:rsid w:val="0022400B"/>
    <w:rsid w:val="002257C9"/>
    <w:rsid w:val="0023728C"/>
    <w:rsid w:val="002421BB"/>
    <w:rsid w:val="0025796E"/>
    <w:rsid w:val="00261557"/>
    <w:rsid w:val="002707A2"/>
    <w:rsid w:val="002951A0"/>
    <w:rsid w:val="002962BC"/>
    <w:rsid w:val="002A093D"/>
    <w:rsid w:val="002A0DD0"/>
    <w:rsid w:val="002A49AC"/>
    <w:rsid w:val="002A64FD"/>
    <w:rsid w:val="002C7A84"/>
    <w:rsid w:val="002E2BF8"/>
    <w:rsid w:val="002E4FD9"/>
    <w:rsid w:val="002F2B25"/>
    <w:rsid w:val="0030657A"/>
    <w:rsid w:val="00322A85"/>
    <w:rsid w:val="00324168"/>
    <w:rsid w:val="00330834"/>
    <w:rsid w:val="003448F4"/>
    <w:rsid w:val="0035133F"/>
    <w:rsid w:val="003548BD"/>
    <w:rsid w:val="00374F5E"/>
    <w:rsid w:val="00377E3E"/>
    <w:rsid w:val="00390271"/>
    <w:rsid w:val="0039763B"/>
    <w:rsid w:val="003A6540"/>
    <w:rsid w:val="003A779E"/>
    <w:rsid w:val="003B3CF6"/>
    <w:rsid w:val="003D0F4D"/>
    <w:rsid w:val="003D5B0D"/>
    <w:rsid w:val="003E0499"/>
    <w:rsid w:val="003E4F80"/>
    <w:rsid w:val="003E6439"/>
    <w:rsid w:val="003F3941"/>
    <w:rsid w:val="00404998"/>
    <w:rsid w:val="00406575"/>
    <w:rsid w:val="004122FD"/>
    <w:rsid w:val="00414C74"/>
    <w:rsid w:val="00417AFD"/>
    <w:rsid w:val="00421292"/>
    <w:rsid w:val="0042722E"/>
    <w:rsid w:val="00427F38"/>
    <w:rsid w:val="0044528D"/>
    <w:rsid w:val="00466E39"/>
    <w:rsid w:val="004A1847"/>
    <w:rsid w:val="004A305D"/>
    <w:rsid w:val="004B07F9"/>
    <w:rsid w:val="004B70F0"/>
    <w:rsid w:val="004F21C4"/>
    <w:rsid w:val="004F685F"/>
    <w:rsid w:val="0052106B"/>
    <w:rsid w:val="00521CD6"/>
    <w:rsid w:val="0053786F"/>
    <w:rsid w:val="00543667"/>
    <w:rsid w:val="005566E8"/>
    <w:rsid w:val="00574867"/>
    <w:rsid w:val="00591460"/>
    <w:rsid w:val="005A454E"/>
    <w:rsid w:val="005A65E0"/>
    <w:rsid w:val="005C3777"/>
    <w:rsid w:val="005C5CDC"/>
    <w:rsid w:val="005D44D9"/>
    <w:rsid w:val="005D476C"/>
    <w:rsid w:val="005F6DF8"/>
    <w:rsid w:val="00606539"/>
    <w:rsid w:val="006200BF"/>
    <w:rsid w:val="006219F8"/>
    <w:rsid w:val="006302F7"/>
    <w:rsid w:val="00646B9F"/>
    <w:rsid w:val="006474F2"/>
    <w:rsid w:val="00665D70"/>
    <w:rsid w:val="006900D9"/>
    <w:rsid w:val="006B3020"/>
    <w:rsid w:val="006C0554"/>
    <w:rsid w:val="006F0224"/>
    <w:rsid w:val="00706C16"/>
    <w:rsid w:val="0071033D"/>
    <w:rsid w:val="00726214"/>
    <w:rsid w:val="007340C3"/>
    <w:rsid w:val="0075235A"/>
    <w:rsid w:val="00756841"/>
    <w:rsid w:val="007649AB"/>
    <w:rsid w:val="00771D0C"/>
    <w:rsid w:val="007759DA"/>
    <w:rsid w:val="007833AC"/>
    <w:rsid w:val="007B268C"/>
    <w:rsid w:val="007B4ECD"/>
    <w:rsid w:val="007B7171"/>
    <w:rsid w:val="007C0C0F"/>
    <w:rsid w:val="007C3DC2"/>
    <w:rsid w:val="007D5968"/>
    <w:rsid w:val="007E5497"/>
    <w:rsid w:val="007F1F9A"/>
    <w:rsid w:val="007F3BBD"/>
    <w:rsid w:val="007F5FC6"/>
    <w:rsid w:val="00806F5F"/>
    <w:rsid w:val="00820278"/>
    <w:rsid w:val="008258C9"/>
    <w:rsid w:val="00840187"/>
    <w:rsid w:val="00844AE9"/>
    <w:rsid w:val="00864774"/>
    <w:rsid w:val="00867F95"/>
    <w:rsid w:val="008843B6"/>
    <w:rsid w:val="00885DB1"/>
    <w:rsid w:val="00891928"/>
    <w:rsid w:val="00893D53"/>
    <w:rsid w:val="008A446D"/>
    <w:rsid w:val="008B25F1"/>
    <w:rsid w:val="008B3C52"/>
    <w:rsid w:val="008C4F84"/>
    <w:rsid w:val="008D180B"/>
    <w:rsid w:val="008F0EA7"/>
    <w:rsid w:val="008F13E5"/>
    <w:rsid w:val="00923EEF"/>
    <w:rsid w:val="009419F9"/>
    <w:rsid w:val="0095685E"/>
    <w:rsid w:val="00961B09"/>
    <w:rsid w:val="00965334"/>
    <w:rsid w:val="0097093E"/>
    <w:rsid w:val="00996D75"/>
    <w:rsid w:val="009A0DFA"/>
    <w:rsid w:val="009A1C6F"/>
    <w:rsid w:val="009A5CBE"/>
    <w:rsid w:val="009B2D26"/>
    <w:rsid w:val="009B42C9"/>
    <w:rsid w:val="009C71FA"/>
    <w:rsid w:val="009C72E7"/>
    <w:rsid w:val="009C7F7E"/>
    <w:rsid w:val="009D3058"/>
    <w:rsid w:val="009F3A13"/>
    <w:rsid w:val="00A122D3"/>
    <w:rsid w:val="00A12FB9"/>
    <w:rsid w:val="00A14468"/>
    <w:rsid w:val="00A17F13"/>
    <w:rsid w:val="00A20739"/>
    <w:rsid w:val="00A23AF9"/>
    <w:rsid w:val="00A33C78"/>
    <w:rsid w:val="00AB0ADB"/>
    <w:rsid w:val="00AB0BEB"/>
    <w:rsid w:val="00AE2E2D"/>
    <w:rsid w:val="00B00C0E"/>
    <w:rsid w:val="00B01B1A"/>
    <w:rsid w:val="00B0381D"/>
    <w:rsid w:val="00B135DB"/>
    <w:rsid w:val="00B13B4C"/>
    <w:rsid w:val="00B17C84"/>
    <w:rsid w:val="00B44A47"/>
    <w:rsid w:val="00B45398"/>
    <w:rsid w:val="00B456F5"/>
    <w:rsid w:val="00B65852"/>
    <w:rsid w:val="00B72CD3"/>
    <w:rsid w:val="00B72FFF"/>
    <w:rsid w:val="00BC3D36"/>
    <w:rsid w:val="00BD54A6"/>
    <w:rsid w:val="00BD7F72"/>
    <w:rsid w:val="00BF4592"/>
    <w:rsid w:val="00BF7425"/>
    <w:rsid w:val="00C024F0"/>
    <w:rsid w:val="00C04FB3"/>
    <w:rsid w:val="00C11D8B"/>
    <w:rsid w:val="00C14025"/>
    <w:rsid w:val="00C15139"/>
    <w:rsid w:val="00C330EB"/>
    <w:rsid w:val="00C423D5"/>
    <w:rsid w:val="00C50D69"/>
    <w:rsid w:val="00C5365C"/>
    <w:rsid w:val="00C6260A"/>
    <w:rsid w:val="00C754BE"/>
    <w:rsid w:val="00C7633E"/>
    <w:rsid w:val="00C76B1C"/>
    <w:rsid w:val="00C925AC"/>
    <w:rsid w:val="00C9537A"/>
    <w:rsid w:val="00CB6357"/>
    <w:rsid w:val="00CB72E9"/>
    <w:rsid w:val="00CC1B26"/>
    <w:rsid w:val="00CE534B"/>
    <w:rsid w:val="00CE5601"/>
    <w:rsid w:val="00D361FD"/>
    <w:rsid w:val="00D423A2"/>
    <w:rsid w:val="00D44E26"/>
    <w:rsid w:val="00D520D8"/>
    <w:rsid w:val="00D56998"/>
    <w:rsid w:val="00D63AC2"/>
    <w:rsid w:val="00D7383B"/>
    <w:rsid w:val="00D7788A"/>
    <w:rsid w:val="00D866B2"/>
    <w:rsid w:val="00D873C8"/>
    <w:rsid w:val="00DA231B"/>
    <w:rsid w:val="00DB0555"/>
    <w:rsid w:val="00DC39FC"/>
    <w:rsid w:val="00DE1911"/>
    <w:rsid w:val="00DE6D46"/>
    <w:rsid w:val="00DF1C8A"/>
    <w:rsid w:val="00DF5254"/>
    <w:rsid w:val="00E02524"/>
    <w:rsid w:val="00E16408"/>
    <w:rsid w:val="00E20894"/>
    <w:rsid w:val="00E245AB"/>
    <w:rsid w:val="00E2764C"/>
    <w:rsid w:val="00E27F2E"/>
    <w:rsid w:val="00E47C6E"/>
    <w:rsid w:val="00E50AFE"/>
    <w:rsid w:val="00E75C92"/>
    <w:rsid w:val="00E771DC"/>
    <w:rsid w:val="00E8772A"/>
    <w:rsid w:val="00E90F6B"/>
    <w:rsid w:val="00E92C27"/>
    <w:rsid w:val="00EA0E3D"/>
    <w:rsid w:val="00EC38A7"/>
    <w:rsid w:val="00ED1AC3"/>
    <w:rsid w:val="00ED469C"/>
    <w:rsid w:val="00EE1AA8"/>
    <w:rsid w:val="00F030C2"/>
    <w:rsid w:val="00F23FEA"/>
    <w:rsid w:val="00F279E2"/>
    <w:rsid w:val="00F31EDC"/>
    <w:rsid w:val="00F41B42"/>
    <w:rsid w:val="00F462B3"/>
    <w:rsid w:val="00F5664F"/>
    <w:rsid w:val="00F666C4"/>
    <w:rsid w:val="00F76AFC"/>
    <w:rsid w:val="00FA47C0"/>
    <w:rsid w:val="00FB0480"/>
    <w:rsid w:val="00FB5DD1"/>
    <w:rsid w:val="00FC2B5D"/>
    <w:rsid w:val="00FF0024"/>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13B4C"/>
    <w:rPr>
      <w:rFonts w:ascii="Geomanist Light" w:hAnsi="Geomanist Light"/>
      <w:lang w:val="es-ES"/>
    </w:rPr>
  </w:style>
  <w:style w:type="character" w:customStyle="1" w:styleId="s15">
    <w:name w:val="s15"/>
    <w:basedOn w:val="Fuentedeprrafopredeter"/>
    <w:rsid w:val="00B13B4C"/>
  </w:style>
  <w:style w:type="paragraph" w:customStyle="1" w:styleId="Appelnotedebasde">
    <w:name w:val="Appel note de bas de..."/>
    <w:basedOn w:val="Normal"/>
    <w:link w:val="Refdenotaalpie"/>
    <w:uiPriority w:val="99"/>
    <w:rsid w:val="0040499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829442264">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valentiina2345678@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532136-B238-4991-A793-9AD1B70DBD7B}"/>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FE95FC7-FBBE-4991-809F-E1370B31BEBA}">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4620</Words>
  <Characters>25412</Characters>
  <Application>Microsoft Office Word</Application>
  <DocSecurity>0</DocSecurity>
  <Lines>211</Lines>
  <Paragraphs>59</Paragraphs>
  <ScaleCrop>false</ScaleCrop>
  <Company/>
  <LinksUpToDate>false</LinksUpToDate>
  <CharactersWithSpaces>29973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23</cp:revision>
  <cp:lastPrinted>2023-01-10T21:18:00Z</cp:lastPrinted>
  <dcterms:created xsi:type="dcterms:W3CDTF">2026-03-27T17:08:00Z</dcterms:created>
  <dcterms:modified xsi:type="dcterms:W3CDTF">2026-03-27T18:27:00Z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