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FE75D2" w:rsidR="0034177C" w:rsidP="00D66CC3" w:rsidRDefault="009F59C2" w14:paraId="182E957B" w14:textId="768D39FC">
      <w:pPr>
        <w:jc w:val="right"/>
        <w:rPr>
          <w:rFonts w:ascii="Arial" w:hAnsi="Arial" w:cs="Arial"/>
          <w:b/>
          <w:color w:val="000000" w:themeColor="text1"/>
          <w:sz w:val="16"/>
          <w:szCs w:val="16"/>
          <w:lang w:eastAsia="es-ES"/>
        </w:rPr>
      </w:pPr>
      <w:bookmarkStart w:name="_Hlk28946138" w:id="0"/>
      <w:bookmarkStart w:name="_Hlk29548183" w:id="1"/>
      <w:r w:rsidRPr="00FE75D2">
        <w:rPr>
          <w:rFonts w:ascii="Arial" w:hAnsi="Arial" w:cs="Arial"/>
          <w:b/>
          <w:color w:val="000000" w:themeColor="text1"/>
          <w:sz w:val="21"/>
          <w:szCs w:val="21"/>
          <w:lang w:eastAsia="es-ES"/>
        </w:rPr>
        <w:tab/>
      </w:r>
      <w:r w:rsidRPr="00FE75D2" w:rsidR="0034177C">
        <w:rPr>
          <w:rFonts w:ascii="Arial" w:hAnsi="Arial" w:cs="Arial"/>
          <w:b/>
          <w:color w:val="000000" w:themeColor="text1"/>
          <w:sz w:val="16"/>
          <w:szCs w:val="16"/>
          <w:lang w:eastAsia="es-ES"/>
        </w:rPr>
        <w:t>CCE-DES-FM-17</w:t>
      </w:r>
    </w:p>
    <w:p w:rsidRPr="00FE75D2" w:rsidR="0034177C" w:rsidP="00D66CC3" w:rsidRDefault="0034177C" w14:paraId="33FF83A2" w14:textId="77777777">
      <w:pPr>
        <w:jc w:val="both"/>
        <w:rPr>
          <w:rFonts w:ascii="Arial" w:hAnsi="Arial" w:eastAsia="Calibri" w:cs="Arial"/>
          <w:b/>
          <w:color w:val="000000" w:themeColor="text1"/>
          <w:sz w:val="16"/>
          <w:szCs w:val="16"/>
        </w:rPr>
      </w:pPr>
    </w:p>
    <w:p w:rsidRPr="005816CA" w:rsidR="00B05A55" w:rsidP="3C747608" w:rsidRDefault="00FC0512" w14:paraId="70723DAC" w14:textId="74D5CC07">
      <w:pPr>
        <w:jc w:val="both"/>
        <w:rPr>
          <w:rFonts w:ascii="Arial" w:hAnsi="Arial" w:eastAsia="Calibri" w:cs="Arial"/>
          <w:b w:val="1"/>
          <w:bCs w:val="1"/>
          <w:color w:val="000000" w:themeColor="text1"/>
          <w:sz w:val="22"/>
          <w:szCs w:val="22"/>
          <w:lang w:val="es-ES"/>
        </w:rPr>
      </w:pPr>
      <w:r w:rsidRPr="3C747608" w:rsidR="00FC0512">
        <w:rPr>
          <w:rFonts w:ascii="Arial" w:hAnsi="Arial" w:eastAsia="Calibri" w:cs="Arial"/>
          <w:b w:val="1"/>
          <w:bCs w:val="1"/>
          <w:color w:val="000000" w:themeColor="text1" w:themeTint="FF" w:themeShade="FF"/>
          <w:sz w:val="22"/>
          <w:szCs w:val="22"/>
          <w:lang w:val="es-ES"/>
        </w:rPr>
        <w:t>R</w:t>
      </w:r>
      <w:r w:rsidRPr="3C747608" w:rsidR="4CC2B8DC">
        <w:rPr>
          <w:rFonts w:ascii="Arial" w:hAnsi="Arial" w:eastAsia="Calibri" w:cs="Arial"/>
          <w:b w:val="1"/>
          <w:bCs w:val="1"/>
          <w:color w:val="000000" w:themeColor="text1" w:themeTint="FF" w:themeShade="FF"/>
          <w:sz w:val="22"/>
          <w:szCs w:val="22"/>
          <w:lang w:val="es-ES"/>
        </w:rPr>
        <w:t>É</w:t>
      </w:r>
      <w:r w:rsidRPr="3C747608" w:rsidR="00FC0512">
        <w:rPr>
          <w:rFonts w:ascii="Arial" w:hAnsi="Arial" w:eastAsia="Calibri" w:cs="Arial"/>
          <w:b w:val="1"/>
          <w:bCs w:val="1"/>
          <w:color w:val="000000" w:themeColor="text1" w:themeTint="FF" w:themeShade="FF"/>
          <w:sz w:val="22"/>
          <w:szCs w:val="22"/>
          <w:lang w:val="es-ES"/>
        </w:rPr>
        <w:t xml:space="preserve">GIMEN DE </w:t>
      </w:r>
      <w:r w:rsidRPr="3C747608" w:rsidR="00B05A55">
        <w:rPr>
          <w:rFonts w:ascii="Arial" w:hAnsi="Arial" w:eastAsia="Calibri" w:cs="Arial"/>
          <w:b w:val="1"/>
          <w:bCs w:val="1"/>
          <w:color w:val="000000" w:themeColor="text1" w:themeTint="FF" w:themeShade="FF"/>
          <w:sz w:val="22"/>
          <w:szCs w:val="22"/>
          <w:lang w:val="es-ES"/>
        </w:rPr>
        <w:t xml:space="preserve">INHABILIDADES E INCOMPATIBILIDADES </w:t>
      </w:r>
      <w:bookmarkStart w:name="_Hlk39666823" w:id="2"/>
      <w:r w:rsidRPr="3C747608" w:rsidR="005816CA">
        <w:rPr>
          <w:rFonts w:ascii="Arial" w:hAnsi="Arial" w:eastAsia="Calibri" w:cs="Arial"/>
          <w:b w:val="1"/>
          <w:bCs w:val="1"/>
          <w:color w:val="000000" w:themeColor="text1" w:themeTint="FF" w:themeShade="FF"/>
          <w:sz w:val="22"/>
          <w:szCs w:val="22"/>
        </w:rPr>
        <w:t>–</w:t>
      </w:r>
      <w:bookmarkEnd w:id="2"/>
      <w:r w:rsidRPr="3C747608" w:rsidR="00B05A55">
        <w:rPr>
          <w:rFonts w:ascii="Arial" w:hAnsi="Arial" w:eastAsia="Calibri" w:cs="Arial"/>
          <w:b w:val="1"/>
          <w:bCs w:val="1"/>
          <w:color w:val="000000" w:themeColor="text1" w:themeTint="FF" w:themeShade="FF"/>
          <w:sz w:val="22"/>
          <w:szCs w:val="22"/>
          <w:lang w:val="es-ES"/>
        </w:rPr>
        <w:t xml:space="preserve"> Concepto </w:t>
      </w:r>
      <w:r w:rsidRPr="3C747608" w:rsidR="005816CA">
        <w:rPr>
          <w:rFonts w:ascii="Arial" w:hAnsi="Arial" w:eastAsia="Calibri" w:cs="Arial"/>
          <w:b w:val="1"/>
          <w:bCs w:val="1"/>
          <w:color w:val="000000" w:themeColor="text1" w:themeTint="FF" w:themeShade="FF"/>
          <w:sz w:val="22"/>
          <w:szCs w:val="22"/>
        </w:rPr>
        <w:t>–</w:t>
      </w:r>
      <w:r w:rsidRPr="3C747608" w:rsidR="00B05A55">
        <w:rPr>
          <w:rFonts w:ascii="Arial" w:hAnsi="Arial" w:eastAsia="Calibri" w:cs="Arial"/>
          <w:b w:val="1"/>
          <w:bCs w:val="1"/>
          <w:color w:val="000000" w:themeColor="text1" w:themeTint="FF" w:themeShade="FF"/>
          <w:sz w:val="22"/>
          <w:szCs w:val="22"/>
          <w:lang w:val="es-ES"/>
        </w:rPr>
        <w:t xml:space="preserve"> Principio de legalidad </w:t>
      </w:r>
      <w:r w:rsidRPr="3C747608" w:rsidR="005816CA">
        <w:rPr>
          <w:rFonts w:ascii="Arial" w:hAnsi="Arial" w:eastAsia="Calibri" w:cs="Arial"/>
          <w:b w:val="1"/>
          <w:bCs w:val="1"/>
          <w:color w:val="000000" w:themeColor="text1" w:themeTint="FF" w:themeShade="FF"/>
          <w:sz w:val="22"/>
          <w:szCs w:val="22"/>
        </w:rPr>
        <w:t>–</w:t>
      </w:r>
      <w:r w:rsidRPr="3C747608" w:rsidR="00B05A55">
        <w:rPr>
          <w:rFonts w:ascii="Arial" w:hAnsi="Arial" w:eastAsia="Calibri" w:cs="Arial"/>
          <w:b w:val="1"/>
          <w:bCs w:val="1"/>
          <w:color w:val="000000" w:themeColor="text1" w:themeTint="FF" w:themeShade="FF"/>
          <w:sz w:val="22"/>
          <w:szCs w:val="22"/>
          <w:lang w:val="es-ES"/>
        </w:rPr>
        <w:t xml:space="preserve"> Interpretación restrictiva</w:t>
      </w:r>
    </w:p>
    <w:p w:rsidRPr="00FE75D2" w:rsidR="00B05A55" w:rsidP="00D66CC3" w:rsidRDefault="00B05A55" w14:paraId="69B4F3B1" w14:textId="77777777">
      <w:pPr>
        <w:jc w:val="both"/>
        <w:rPr>
          <w:rFonts w:ascii="Arial" w:hAnsi="Arial" w:eastAsia="Calibri" w:cs="Arial"/>
          <w:b/>
          <w:bCs/>
          <w:color w:val="000000" w:themeColor="text1"/>
          <w:sz w:val="20"/>
          <w:szCs w:val="20"/>
          <w:lang w:val="es-ES_tradnl"/>
        </w:rPr>
      </w:pPr>
    </w:p>
    <w:p w:rsidR="00A543B9" w:rsidP="00A543B9" w:rsidRDefault="00B05A55" w14:paraId="57CB318C" w14:textId="77777777">
      <w:pPr>
        <w:spacing w:after="120"/>
        <w:jc w:val="both"/>
        <w:rPr>
          <w:rFonts w:ascii="Arial" w:hAnsi="Arial" w:eastAsia="Calibri" w:cs="Arial"/>
          <w:color w:val="000000" w:themeColor="text1"/>
          <w:sz w:val="20"/>
          <w:szCs w:val="20"/>
          <w:lang w:val="es-ES_tradnl"/>
        </w:rPr>
      </w:pPr>
      <w:r w:rsidRPr="00FE75D2">
        <w:rPr>
          <w:rFonts w:ascii="Arial" w:hAnsi="Arial" w:eastAsia="Calibri" w:cs="Arial"/>
          <w:color w:val="000000" w:themeColor="text1"/>
          <w:sz w:val="20"/>
          <w:szCs w:val="20"/>
          <w:lang w:val="es-ES_tradnl"/>
        </w:rPr>
        <w:t>El régimen de inhabilidades e incompatibilidades opera como un límite o restricción a la capacidad para presentar ofertas en los procedimientos de selección y para celebrar contratos estatales, que busca salvaguardar principios como la probidad y la transparencia en la actividad de adquisición de bienes y servicios por parte de las entidades públicas.</w:t>
      </w:r>
    </w:p>
    <w:p w:rsidR="00A543B9" w:rsidP="00A543B9" w:rsidRDefault="00A543B9" w14:paraId="2BB01B65" w14:textId="346B5D1E">
      <w:pPr>
        <w:spacing w:after="120"/>
        <w:jc w:val="both"/>
        <w:rPr>
          <w:rFonts w:ascii="Arial" w:hAnsi="Arial" w:eastAsia="Calibri" w:cs="Arial"/>
          <w:color w:val="000000" w:themeColor="text1"/>
          <w:sz w:val="20"/>
          <w:szCs w:val="20"/>
          <w:lang w:val="es-ES_tradnl"/>
        </w:rPr>
      </w:pPr>
      <w:r w:rsidRPr="00FE75D2">
        <w:rPr>
          <w:rFonts w:ascii="Arial" w:hAnsi="Arial" w:eastAsia="Calibri" w:cs="Arial"/>
          <w:color w:val="000000" w:themeColor="text1"/>
          <w:sz w:val="20"/>
          <w:szCs w:val="20"/>
          <w:lang w:val="es-ES_tradnl"/>
        </w:rPr>
        <w:t xml:space="preserve">Las </w:t>
      </w:r>
      <w:r w:rsidRPr="00FE75D2">
        <w:rPr>
          <w:rFonts w:ascii="Arial" w:hAnsi="Arial" w:eastAsia="Calibri" w:cs="Arial"/>
          <w:i/>
          <w:iCs/>
          <w:color w:val="000000" w:themeColor="text1"/>
          <w:sz w:val="20"/>
          <w:szCs w:val="20"/>
          <w:lang w:val="es-ES_tradnl"/>
        </w:rPr>
        <w:t>inhabilidades</w:t>
      </w:r>
      <w:r w:rsidRPr="00FE75D2">
        <w:rPr>
          <w:rFonts w:ascii="Arial" w:hAnsi="Arial" w:eastAsia="Calibri" w:cs="Arial"/>
          <w:color w:val="000000" w:themeColor="text1"/>
          <w:sz w:val="20"/>
          <w:szCs w:val="20"/>
          <w:lang w:val="es-ES_tradnl"/>
        </w:rPr>
        <w:t xml:space="preserve"> son prohibiciones para concurrir </w:t>
      </w:r>
      <w:r w:rsidRPr="00FE75D2" w:rsidR="00B05A55">
        <w:rPr>
          <w:rFonts w:ascii="Arial" w:hAnsi="Arial" w:eastAsia="Calibri" w:cs="Arial"/>
          <w:color w:val="000000" w:themeColor="text1"/>
          <w:sz w:val="20"/>
          <w:szCs w:val="20"/>
          <w:lang w:val="es-ES_tradnl"/>
        </w:rPr>
        <w:t xml:space="preserve">a los procedimientos de selección y para contratar con el Estado, que se derivan i) de la existencia de comportamientos reprochables o de sanciones anteriormente impuestas, ii) de vínculos personales relativos al parentesco o al estado civil o iii) de una actividad u oficio que se desempeñó en el pasado. De otro lado, las </w:t>
      </w:r>
      <w:r w:rsidRPr="00FE75D2" w:rsidR="00B05A55">
        <w:rPr>
          <w:rFonts w:ascii="Arial" w:hAnsi="Arial" w:eastAsia="Calibri" w:cs="Arial"/>
          <w:i/>
          <w:iCs/>
          <w:color w:val="000000" w:themeColor="text1"/>
          <w:sz w:val="20"/>
          <w:szCs w:val="20"/>
          <w:lang w:val="es-ES_tradnl"/>
        </w:rPr>
        <w:t>incompatibilidades</w:t>
      </w:r>
      <w:r w:rsidRPr="00FE75D2" w:rsidR="00B05A55">
        <w:rPr>
          <w:rFonts w:ascii="Arial" w:hAnsi="Arial" w:eastAsia="Calibri" w:cs="Arial"/>
          <w:color w:val="000000" w:themeColor="text1"/>
          <w:sz w:val="20"/>
          <w:szCs w:val="20"/>
          <w:lang w:val="es-ES_tradn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p>
    <w:p w:rsidR="00C21159" w:rsidP="00A543B9" w:rsidRDefault="00C21159" w14:paraId="15E02723" w14:textId="7229D936">
      <w:pPr>
        <w:spacing w:after="120"/>
        <w:jc w:val="both"/>
        <w:rPr>
          <w:rFonts w:ascii="Arial" w:hAnsi="Arial" w:eastAsia="Calibri" w:cs="Arial"/>
          <w:color w:val="000000" w:themeColor="text1"/>
          <w:sz w:val="20"/>
          <w:szCs w:val="20"/>
          <w:lang w:val="es-ES_tradnl"/>
        </w:rPr>
      </w:pPr>
      <w:r>
        <w:rPr>
          <w:rFonts w:ascii="Arial" w:hAnsi="Arial" w:eastAsia="Calibri" w:cs="Arial"/>
          <w:color w:val="000000" w:themeColor="text1"/>
          <w:sz w:val="20"/>
          <w:szCs w:val="20"/>
          <w:lang w:val="es-ES_tradnl"/>
        </w:rPr>
        <w:t>[…]</w:t>
      </w:r>
    </w:p>
    <w:p w:rsidRPr="00FE75D2" w:rsidR="00B05A55" w:rsidP="005D365E" w:rsidRDefault="00B05A55" w14:paraId="5DF5CDCD" w14:textId="1E17CC6F">
      <w:pPr>
        <w:jc w:val="both"/>
        <w:rPr>
          <w:rFonts w:ascii="Arial" w:hAnsi="Arial" w:eastAsia="Calibri" w:cs="Arial"/>
          <w:color w:val="000000" w:themeColor="text1"/>
          <w:sz w:val="20"/>
          <w:szCs w:val="20"/>
          <w:lang w:val="es-ES_tradnl"/>
        </w:rPr>
      </w:pPr>
      <w:r w:rsidRPr="00FE75D2">
        <w:rPr>
          <w:rFonts w:ascii="Arial" w:hAnsi="Arial" w:eastAsia="Calibri" w:cs="Arial"/>
          <w:color w:val="000000" w:themeColor="text1"/>
          <w:sz w:val="20"/>
          <w:szCs w:val="20"/>
          <w:lang w:val="es-ES_tradnl"/>
        </w:rPr>
        <w:t>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rsidRPr="00FE75D2" w:rsidR="00FA039C" w:rsidP="00D66CC3" w:rsidRDefault="00FA039C" w14:paraId="20DE6A2B" w14:textId="0F9BADD8">
      <w:pPr>
        <w:jc w:val="both"/>
        <w:rPr>
          <w:rFonts w:ascii="Arial" w:hAnsi="Arial" w:eastAsia="Calibri" w:cs="Arial"/>
          <w:color w:val="000000" w:themeColor="text1"/>
          <w:sz w:val="20"/>
          <w:szCs w:val="20"/>
          <w:lang w:val="es-ES_tradnl"/>
        </w:rPr>
      </w:pPr>
    </w:p>
    <w:p w:rsidRPr="00F12ABB" w:rsidR="00FF0706" w:rsidP="00F23E3A" w:rsidRDefault="00FF0706" w14:paraId="7D28FC2D" w14:textId="77777777">
      <w:pPr>
        <w:spacing w:line="276" w:lineRule="auto"/>
        <w:jc w:val="both"/>
        <w:rPr>
          <w:rFonts w:ascii="Arial" w:hAnsi="Arial" w:cs="Arial"/>
          <w:color w:val="000000" w:themeColor="text1"/>
          <w:sz w:val="20"/>
          <w:szCs w:val="20"/>
          <w:lang w:val="es-ES_tradnl"/>
        </w:rPr>
      </w:pPr>
    </w:p>
    <w:p w:rsidRPr="00FE75D2" w:rsidR="00A37FB6" w:rsidP="00996662" w:rsidRDefault="00A37FB6" w14:paraId="38BF7184" w14:textId="0DE00BA3">
      <w:pPr>
        <w:pStyle w:val="Default"/>
        <w:rPr>
          <w:rFonts w:eastAsia="Calibri"/>
          <w:color w:val="000000" w:themeColor="text1"/>
          <w:sz w:val="20"/>
        </w:rPr>
      </w:pPr>
      <w:r w:rsidRPr="00FE75D2">
        <w:rPr>
          <w:color w:val="000000" w:themeColor="text1"/>
          <w:sz w:val="22"/>
        </w:rPr>
        <w:t xml:space="preserve">Bogotá D.C., </w:t>
      </w:r>
      <w:r w:rsidRPr="00996662" w:rsidR="005078D7">
        <w:rPr>
          <w:b/>
          <w:bCs/>
          <w:color w:val="000000" w:themeColor="text1"/>
          <w:sz w:val="22"/>
        </w:rPr>
        <w:t>3/04/2020</w:t>
      </w:r>
      <w:r w:rsidRPr="00996662" w:rsidR="00996662">
        <w:rPr>
          <w:b/>
          <w:bCs/>
          <w:color w:val="000000" w:themeColor="text1"/>
          <w:sz w:val="22"/>
        </w:rPr>
        <w:t xml:space="preserve"> </w:t>
      </w:r>
      <w:r w:rsidRPr="00996662" w:rsidR="00996662">
        <w:rPr>
          <w:b/>
          <w:bCs/>
        </w:rPr>
        <w:t>H</w:t>
      </w:r>
      <w:r w:rsidRPr="00996662" w:rsidR="00996662">
        <w:rPr>
          <w:b/>
          <w:bCs/>
          <w:sz w:val="22"/>
          <w:szCs w:val="22"/>
        </w:rPr>
        <w:t>ora 10:0:14s</w:t>
      </w:r>
    </w:p>
    <w:p w:rsidRPr="00FE75D2" w:rsidR="00A37FB6" w:rsidP="00F23E3A" w:rsidRDefault="00A37FB6" w14:paraId="237299BD" w14:textId="31C1F146">
      <w:pPr>
        <w:spacing w:line="276" w:lineRule="auto"/>
        <w:jc w:val="right"/>
        <w:rPr>
          <w:rFonts w:ascii="Arial" w:hAnsi="Arial" w:cs="Arial"/>
          <w:b/>
          <w:color w:val="000000" w:themeColor="text1"/>
          <w:sz w:val="22"/>
        </w:rPr>
      </w:pPr>
      <w:r w:rsidRPr="00FE75D2">
        <w:rPr>
          <w:rFonts w:ascii="Arial" w:hAnsi="Arial" w:cs="Arial"/>
          <w:b/>
          <w:color w:val="000000" w:themeColor="text1"/>
          <w:sz w:val="22"/>
        </w:rPr>
        <w:t xml:space="preserve">N° Radicado: </w:t>
      </w:r>
      <w:r w:rsidRPr="00FE75D2" w:rsidR="00FE75D2">
        <w:rPr>
          <w:rFonts w:ascii="Arial" w:hAnsi="Arial" w:cs="Arial"/>
          <w:b/>
          <w:color w:val="000000" w:themeColor="text1"/>
          <w:sz w:val="22"/>
        </w:rPr>
        <w:t>2202013000002417</w:t>
      </w:r>
    </w:p>
    <w:p w:rsidRPr="00FE75D2" w:rsidR="00A37FB6" w:rsidP="00F23E3A" w:rsidRDefault="00A37FB6" w14:paraId="7E80B7C1" w14:textId="77777777">
      <w:pPr>
        <w:tabs>
          <w:tab w:val="left" w:pos="3374"/>
        </w:tabs>
        <w:spacing w:line="276" w:lineRule="auto"/>
        <w:rPr>
          <w:rFonts w:ascii="Arial" w:hAnsi="Arial" w:eastAsia="Calibri" w:cs="Arial"/>
          <w:color w:val="000000" w:themeColor="text1"/>
          <w:sz w:val="22"/>
        </w:rPr>
      </w:pPr>
      <w:r w:rsidRPr="00FE75D2">
        <w:rPr>
          <w:rFonts w:ascii="Arial" w:hAnsi="Arial" w:eastAsia="Calibri" w:cs="Arial"/>
          <w:color w:val="000000" w:themeColor="text1"/>
          <w:sz w:val="22"/>
        </w:rPr>
        <w:tab/>
      </w:r>
    </w:p>
    <w:p w:rsidRPr="00FE75D2" w:rsidR="00D1044A" w:rsidP="00D1044A" w:rsidRDefault="00D1044A" w14:paraId="69990749" w14:textId="2BD63262">
      <w:pPr>
        <w:rPr>
          <w:rFonts w:ascii="Arial" w:hAnsi="Arial" w:eastAsia="Calibri" w:cs="Arial"/>
          <w:color w:val="000000" w:themeColor="text1"/>
          <w:sz w:val="22"/>
          <w:szCs w:val="20"/>
          <w:lang w:val="es-ES_tradnl"/>
        </w:rPr>
      </w:pPr>
      <w:r w:rsidRPr="00FE75D2">
        <w:rPr>
          <w:rFonts w:ascii="Arial" w:hAnsi="Arial" w:eastAsia="Calibri" w:cs="Arial"/>
          <w:color w:val="000000" w:themeColor="text1"/>
          <w:sz w:val="22"/>
          <w:szCs w:val="20"/>
          <w:lang w:val="es-ES_tradnl"/>
        </w:rPr>
        <w:t>Señor</w:t>
      </w:r>
    </w:p>
    <w:p w:rsidRPr="00FE75D2" w:rsidR="00D1044A" w:rsidP="00D1044A" w:rsidRDefault="009B2EE5" w14:paraId="2EB97DBF" w14:textId="19D18E4C">
      <w:pPr>
        <w:rPr>
          <w:rFonts w:ascii="Arial" w:hAnsi="Arial" w:eastAsia="Calibri" w:cs="Arial"/>
          <w:b/>
          <w:color w:val="000000" w:themeColor="text1"/>
          <w:sz w:val="22"/>
          <w:szCs w:val="20"/>
          <w:lang w:val="es-ES_tradnl"/>
        </w:rPr>
      </w:pPr>
      <w:r w:rsidRPr="00FE75D2">
        <w:rPr>
          <w:rFonts w:ascii="Arial" w:hAnsi="Arial" w:eastAsia="Calibri" w:cs="Arial"/>
          <w:b/>
          <w:color w:val="000000" w:themeColor="text1"/>
          <w:sz w:val="22"/>
          <w:szCs w:val="20"/>
          <w:lang w:val="es-ES_tradnl"/>
        </w:rPr>
        <w:t>Jorge Eliecer Espinoza</w:t>
      </w:r>
    </w:p>
    <w:p w:rsidRPr="00FE75D2" w:rsidR="00D1044A" w:rsidP="00D1044A" w:rsidRDefault="00D1044A" w14:paraId="1D19D664" w14:textId="77777777">
      <w:pPr>
        <w:rPr>
          <w:rFonts w:ascii="Arial" w:hAnsi="Arial" w:eastAsia="Calibri" w:cs="Arial"/>
          <w:b/>
          <w:color w:val="000000" w:themeColor="text1"/>
          <w:sz w:val="22"/>
          <w:szCs w:val="20"/>
          <w:lang w:val="es-ES_tradnl"/>
        </w:rPr>
      </w:pPr>
      <w:r w:rsidRPr="00FE75D2">
        <w:rPr>
          <w:rFonts w:ascii="Arial" w:hAnsi="Arial" w:eastAsia="Calibri" w:cs="Arial"/>
          <w:color w:val="000000" w:themeColor="text1"/>
          <w:sz w:val="22"/>
          <w:szCs w:val="20"/>
          <w:lang w:val="es-ES_tradnl"/>
        </w:rPr>
        <w:t>Ciudad</w:t>
      </w:r>
    </w:p>
    <w:p w:rsidRPr="00FE75D2" w:rsidR="00D1044A" w:rsidP="00D1044A" w:rsidRDefault="00D1044A" w14:paraId="0342712E" w14:textId="77777777">
      <w:pPr>
        <w:jc w:val="center"/>
        <w:rPr>
          <w:rFonts w:ascii="Arial" w:hAnsi="Arial" w:eastAsia="Calibri" w:cs="Arial"/>
          <w:b/>
          <w:color w:val="000000" w:themeColor="text1"/>
          <w:sz w:val="22"/>
          <w:lang w:val="es-ES_tradnl"/>
        </w:rPr>
      </w:pPr>
    </w:p>
    <w:p w:rsidRPr="00FE75D2" w:rsidR="00D1044A" w:rsidP="00D1044A" w:rsidRDefault="00D1044A" w14:paraId="26FCA3B1" w14:textId="37FC81E2">
      <w:pPr>
        <w:jc w:val="center"/>
        <w:rPr>
          <w:rFonts w:ascii="Arial" w:hAnsi="Arial" w:eastAsia="Calibri" w:cs="Arial"/>
          <w:b/>
          <w:color w:val="000000" w:themeColor="text1"/>
          <w:sz w:val="22"/>
          <w:lang w:val="es-ES_tradnl"/>
        </w:rPr>
      </w:pPr>
      <w:r w:rsidRPr="00FE75D2">
        <w:rPr>
          <w:rFonts w:ascii="Arial" w:hAnsi="Arial" w:eastAsia="Calibri" w:cs="Arial"/>
          <w:b/>
          <w:color w:val="000000" w:themeColor="text1"/>
          <w:sz w:val="22"/>
          <w:lang w:val="es-ES_tradnl"/>
        </w:rPr>
        <w:t xml:space="preserve">Concepto C ─ </w:t>
      </w:r>
      <w:r w:rsidRPr="00FE75D2" w:rsidR="009B2EE5">
        <w:rPr>
          <w:rFonts w:ascii="Arial" w:hAnsi="Arial" w:eastAsia="Calibri" w:cs="Arial"/>
          <w:b/>
          <w:color w:val="000000" w:themeColor="text1"/>
          <w:sz w:val="22"/>
          <w:lang w:val="es-ES_tradnl"/>
        </w:rPr>
        <w:t>246</w:t>
      </w:r>
      <w:r w:rsidRPr="00FE75D2">
        <w:rPr>
          <w:rFonts w:ascii="Arial" w:hAnsi="Arial" w:eastAsia="Calibri" w:cs="Arial"/>
          <w:b/>
          <w:color w:val="000000" w:themeColor="text1"/>
          <w:sz w:val="22"/>
          <w:lang w:val="es-ES_tradnl"/>
        </w:rPr>
        <w:t xml:space="preserve"> de 2020</w:t>
      </w:r>
    </w:p>
    <w:p w:rsidRPr="00FE75D2" w:rsidR="00D1044A" w:rsidP="00D1044A" w:rsidRDefault="00D1044A" w14:paraId="452076B3" w14:textId="77777777">
      <w:pPr>
        <w:rPr>
          <w:rFonts w:ascii="Arial" w:hAnsi="Arial" w:eastAsia="Calibri" w:cs="Arial"/>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FE75D2" w:rsidR="00FE75D2" w:rsidTr="00671924" w14:paraId="27E96D21" w14:textId="77777777">
        <w:tc>
          <w:tcPr>
            <w:tcW w:w="2689" w:type="dxa"/>
            <w:hideMark/>
          </w:tcPr>
          <w:p w:rsidRPr="00FE75D2" w:rsidR="00D1044A" w:rsidP="00671924" w:rsidRDefault="00D1044A" w14:paraId="097680C1" w14:textId="77777777">
            <w:pPr>
              <w:rPr>
                <w:rFonts w:ascii="Arial" w:hAnsi="Arial" w:eastAsia="Calibri" w:cs="Arial"/>
                <w:color w:val="000000" w:themeColor="text1"/>
                <w:sz w:val="22"/>
                <w:lang w:val="es-ES_tradnl"/>
              </w:rPr>
            </w:pPr>
            <w:r w:rsidRPr="00FE75D2">
              <w:rPr>
                <w:rFonts w:ascii="Arial" w:hAnsi="Arial" w:eastAsia="Calibri" w:cs="Arial"/>
                <w:b/>
                <w:color w:val="000000" w:themeColor="text1"/>
                <w:sz w:val="22"/>
                <w:lang w:val="es-ES_tradnl"/>
              </w:rPr>
              <w:t>Temas:</w:t>
            </w:r>
            <w:r w:rsidRPr="00FE75D2">
              <w:rPr>
                <w:rFonts w:ascii="Arial" w:hAnsi="Arial" w:eastAsia="Calibri" w:cs="Arial"/>
                <w:color w:val="000000" w:themeColor="text1"/>
                <w:sz w:val="22"/>
                <w:lang w:val="es-ES_tradnl"/>
              </w:rPr>
              <w:t xml:space="preserve">           </w:t>
            </w:r>
          </w:p>
          <w:p w:rsidRPr="00FE75D2" w:rsidR="00D1044A" w:rsidP="00671924" w:rsidRDefault="00D1044A" w14:paraId="223629C8" w14:textId="77777777">
            <w:pPr>
              <w:rPr>
                <w:rFonts w:ascii="Arial" w:hAnsi="Arial" w:eastAsia="Calibri" w:cs="Arial"/>
                <w:color w:val="000000" w:themeColor="text1"/>
                <w:sz w:val="22"/>
                <w:lang w:val="es-ES_tradnl"/>
              </w:rPr>
            </w:pPr>
            <w:r w:rsidRPr="00FE75D2">
              <w:rPr>
                <w:rFonts w:ascii="Arial" w:hAnsi="Arial" w:eastAsia="Calibri" w:cs="Arial"/>
                <w:color w:val="000000" w:themeColor="text1"/>
                <w:sz w:val="22"/>
                <w:lang w:val="es-ES_tradnl"/>
              </w:rPr>
              <w:t xml:space="preserve">                           </w:t>
            </w:r>
          </w:p>
        </w:tc>
        <w:tc>
          <w:tcPr>
            <w:tcW w:w="6237" w:type="dxa"/>
            <w:hideMark/>
          </w:tcPr>
          <w:p w:rsidRPr="00FE75D2" w:rsidR="00D1044A" w:rsidP="007E0383" w:rsidRDefault="00FC0512" w14:paraId="41B71690" w14:textId="23652089">
            <w:pPr>
              <w:jc w:val="both"/>
              <w:rPr>
                <w:rFonts w:ascii="Arial" w:hAnsi="Arial" w:eastAsia="Calibri" w:cs="Arial"/>
                <w:color w:val="000000" w:themeColor="text1"/>
                <w:sz w:val="22"/>
                <w:lang w:val="es-ES_tradnl"/>
              </w:rPr>
            </w:pPr>
            <w:r>
              <w:rPr>
                <w:rFonts w:ascii="Arial" w:hAnsi="Arial" w:cs="Arial"/>
                <w:color w:val="000000" w:themeColor="text1"/>
                <w:sz w:val="22"/>
                <w:lang w:val="es-ES_tradnl"/>
              </w:rPr>
              <w:t xml:space="preserve">REGIMEN DE </w:t>
            </w:r>
            <w:r w:rsidRPr="00FE75D2" w:rsidR="00AE6036">
              <w:rPr>
                <w:rFonts w:ascii="Arial" w:hAnsi="Arial" w:cs="Arial"/>
                <w:color w:val="000000" w:themeColor="text1"/>
                <w:sz w:val="22"/>
                <w:lang w:val="es-ES_tradnl"/>
              </w:rPr>
              <w:t>INHABILIDADES E INCOMPATIBILIDADES ― Concepto ― Principio de legalidad ― Interpretación restrictiva</w:t>
            </w:r>
            <w:r w:rsidRPr="00FE75D2" w:rsidR="00D1044A">
              <w:rPr>
                <w:rFonts w:ascii="Arial" w:hAnsi="Arial" w:cs="Arial"/>
                <w:color w:val="000000" w:themeColor="text1"/>
                <w:sz w:val="22"/>
                <w:lang w:val="es-ES_tradnl"/>
              </w:rPr>
              <w:t xml:space="preserve"> </w:t>
            </w:r>
          </w:p>
        </w:tc>
      </w:tr>
      <w:tr w:rsidRPr="00FE75D2" w:rsidR="00DE5B33" w:rsidTr="009B2EE5" w14:paraId="1D3FE300" w14:textId="77777777">
        <w:trPr>
          <w:trHeight w:val="578"/>
        </w:trPr>
        <w:tc>
          <w:tcPr>
            <w:tcW w:w="2689" w:type="dxa"/>
          </w:tcPr>
          <w:p w:rsidRPr="00FE75D2" w:rsidR="00D1044A" w:rsidP="00671924" w:rsidRDefault="00D1044A" w14:paraId="410C4429" w14:textId="77777777">
            <w:pPr>
              <w:rPr>
                <w:rFonts w:ascii="Arial" w:hAnsi="Arial" w:eastAsia="Calibri" w:cs="Arial"/>
                <w:b/>
                <w:color w:val="000000" w:themeColor="text1"/>
                <w:sz w:val="22"/>
                <w:lang w:val="es-ES_tradnl"/>
              </w:rPr>
            </w:pPr>
            <w:r w:rsidRPr="00FE75D2">
              <w:rPr>
                <w:rFonts w:ascii="Arial" w:hAnsi="Arial" w:eastAsia="Calibri" w:cs="Arial"/>
                <w:b/>
                <w:color w:val="000000" w:themeColor="text1"/>
                <w:sz w:val="22"/>
                <w:lang w:val="es-ES_tradnl"/>
              </w:rPr>
              <w:t>Radicación:</w:t>
            </w:r>
            <w:r w:rsidRPr="00FE75D2">
              <w:rPr>
                <w:rFonts w:ascii="Arial" w:hAnsi="Arial" w:eastAsia="Calibri" w:cs="Arial"/>
                <w:color w:val="000000" w:themeColor="text1"/>
                <w:sz w:val="22"/>
                <w:lang w:val="es-ES_tradnl"/>
              </w:rPr>
              <w:t xml:space="preserve">                              </w:t>
            </w:r>
          </w:p>
        </w:tc>
        <w:tc>
          <w:tcPr>
            <w:tcW w:w="6237" w:type="dxa"/>
          </w:tcPr>
          <w:p w:rsidRPr="00FE75D2" w:rsidR="00D1044A" w:rsidP="00671924" w:rsidRDefault="00D1044A" w14:paraId="0E9FA314" w14:textId="2647EA9D">
            <w:pPr>
              <w:jc w:val="both"/>
              <w:rPr>
                <w:rFonts w:ascii="Arial" w:hAnsi="Arial" w:eastAsia="Calibri" w:cs="Arial"/>
                <w:color w:val="000000" w:themeColor="text1"/>
                <w:sz w:val="22"/>
                <w:lang w:val="es-ES_tradnl"/>
              </w:rPr>
            </w:pPr>
            <w:r w:rsidRPr="00FE75D2">
              <w:rPr>
                <w:rFonts w:ascii="Arial" w:hAnsi="Arial" w:eastAsia="Calibri" w:cs="Arial"/>
                <w:color w:val="000000" w:themeColor="text1"/>
                <w:sz w:val="22"/>
                <w:lang w:val="es-ES_tradnl"/>
              </w:rPr>
              <w:t>Respuesta a consulta # 420201</w:t>
            </w:r>
            <w:r w:rsidRPr="00FE75D2" w:rsidR="009B2EE5">
              <w:rPr>
                <w:rFonts w:ascii="Arial" w:hAnsi="Arial" w:eastAsia="Calibri" w:cs="Arial"/>
                <w:color w:val="000000" w:themeColor="text1"/>
                <w:sz w:val="22"/>
                <w:lang w:val="es-ES_tradnl"/>
              </w:rPr>
              <w:t>3</w:t>
            </w:r>
            <w:r w:rsidRPr="00FE75D2">
              <w:rPr>
                <w:rFonts w:ascii="Arial" w:hAnsi="Arial" w:eastAsia="Calibri" w:cs="Arial"/>
                <w:color w:val="000000" w:themeColor="text1"/>
                <w:sz w:val="22"/>
                <w:lang w:val="es-ES_tradnl"/>
              </w:rPr>
              <w:t>00000</w:t>
            </w:r>
            <w:r w:rsidRPr="00FE75D2" w:rsidR="009B2EE5">
              <w:rPr>
                <w:rFonts w:ascii="Arial" w:hAnsi="Arial" w:eastAsia="Calibri" w:cs="Arial"/>
                <w:color w:val="000000" w:themeColor="text1"/>
                <w:sz w:val="22"/>
                <w:lang w:val="es-ES_tradnl"/>
              </w:rPr>
              <w:t>1987</w:t>
            </w:r>
          </w:p>
        </w:tc>
      </w:tr>
    </w:tbl>
    <w:p w:rsidRPr="00FE75D2" w:rsidR="00D1044A" w:rsidP="00D1044A" w:rsidRDefault="00D1044A" w14:paraId="3DCF0A10" w14:textId="675EB38C">
      <w:pPr>
        <w:rPr>
          <w:rFonts w:ascii="Arial" w:hAnsi="Arial" w:eastAsia="Calibri" w:cs="Arial"/>
          <w:color w:val="000000" w:themeColor="text1"/>
          <w:sz w:val="22"/>
          <w:lang w:val="es-ES_tradnl"/>
        </w:rPr>
      </w:pPr>
      <w:r w:rsidRPr="00FE75D2">
        <w:rPr>
          <w:rFonts w:ascii="Arial" w:hAnsi="Arial" w:eastAsia="Calibri" w:cs="Arial"/>
          <w:color w:val="000000" w:themeColor="text1"/>
          <w:sz w:val="22"/>
          <w:lang w:val="es-ES_tradnl"/>
        </w:rPr>
        <w:t>Estimad</w:t>
      </w:r>
      <w:r w:rsidRPr="00FE75D2" w:rsidR="009B2EE5">
        <w:rPr>
          <w:rFonts w:ascii="Arial" w:hAnsi="Arial" w:eastAsia="Calibri" w:cs="Arial"/>
          <w:color w:val="000000" w:themeColor="text1"/>
          <w:sz w:val="22"/>
          <w:lang w:val="es-ES_tradnl"/>
        </w:rPr>
        <w:t>o</w:t>
      </w:r>
      <w:r w:rsidRPr="00FE75D2">
        <w:rPr>
          <w:rFonts w:ascii="Arial" w:hAnsi="Arial" w:eastAsia="Calibri" w:cs="Arial"/>
          <w:color w:val="000000" w:themeColor="text1"/>
          <w:sz w:val="22"/>
          <w:lang w:val="es-ES_tradnl"/>
        </w:rPr>
        <w:t xml:space="preserve"> señor </w:t>
      </w:r>
      <w:r w:rsidRPr="00FE75D2" w:rsidR="009B2EE5">
        <w:rPr>
          <w:rFonts w:ascii="Arial" w:hAnsi="Arial" w:eastAsia="Calibri" w:cs="Arial"/>
          <w:color w:val="000000" w:themeColor="text1"/>
          <w:sz w:val="22"/>
          <w:lang w:val="es-ES_tradnl"/>
        </w:rPr>
        <w:t>Espinoza</w:t>
      </w:r>
      <w:r w:rsidRPr="00FE75D2">
        <w:rPr>
          <w:rFonts w:ascii="Arial" w:hAnsi="Arial" w:eastAsia="Calibri" w:cs="Arial"/>
          <w:color w:val="000000" w:themeColor="text1"/>
          <w:sz w:val="22"/>
          <w:lang w:val="es-ES_tradnl"/>
        </w:rPr>
        <w:t>,</w:t>
      </w:r>
    </w:p>
    <w:p w:rsidRPr="00FE75D2" w:rsidR="00D1044A" w:rsidP="00D1044A" w:rsidRDefault="00D1044A" w14:paraId="4AC1DD9B" w14:textId="77777777">
      <w:pPr>
        <w:rPr>
          <w:rFonts w:ascii="Arial" w:hAnsi="Arial" w:eastAsia="Calibri" w:cs="Arial"/>
          <w:color w:val="000000" w:themeColor="text1"/>
          <w:sz w:val="22"/>
          <w:lang w:val="es-ES_tradnl"/>
        </w:rPr>
      </w:pPr>
    </w:p>
    <w:p w:rsidRPr="00FE75D2" w:rsidR="00D1044A" w:rsidP="00D1044A" w:rsidRDefault="00D1044A" w14:paraId="0A5F5C54" w14:textId="071429A3">
      <w:pPr>
        <w:spacing w:line="276" w:lineRule="auto"/>
        <w:ind w:right="49"/>
        <w:jc w:val="both"/>
        <w:rPr>
          <w:rFonts w:ascii="Arial" w:hAnsi="Arial" w:eastAsia="Calibri" w:cs="Arial"/>
          <w:color w:val="000000" w:themeColor="text1"/>
          <w:sz w:val="22"/>
          <w:lang w:val="es-ES_tradnl"/>
        </w:rPr>
      </w:pPr>
      <w:r w:rsidRPr="00FE75D2">
        <w:rPr>
          <w:rFonts w:ascii="Arial" w:hAnsi="Arial" w:eastAsia="Calibri" w:cs="Arial"/>
          <w:color w:val="000000" w:themeColor="text1"/>
          <w:sz w:val="22"/>
          <w:lang w:val="es-ES_tradnl"/>
        </w:rPr>
        <w:t>La Agencia Nacional de Contratación Pública ―</w:t>
      </w:r>
      <w:r w:rsidRPr="00FE75D2" w:rsidR="00D16FA8">
        <w:rPr>
          <w:rFonts w:ascii="Arial" w:hAnsi="Arial" w:eastAsia="Calibri" w:cs="Arial"/>
          <w:color w:val="000000" w:themeColor="text1"/>
          <w:sz w:val="22"/>
          <w:lang w:val="es-ES_tradnl"/>
        </w:rPr>
        <w:t xml:space="preserve"> </w:t>
      </w:r>
      <w:r w:rsidRPr="00FE75D2">
        <w:rPr>
          <w:rFonts w:ascii="Arial" w:hAnsi="Arial" w:eastAsia="Calibri" w:cs="Arial"/>
          <w:color w:val="000000" w:themeColor="text1"/>
          <w:sz w:val="22"/>
          <w:lang w:val="es-ES_tradnl"/>
        </w:rPr>
        <w:t>Colombia Compra Eficiente en ejercicio de la competencia otorgada por el numeral 8 del artículo 11 y el numeral 5 del artículo 3 del Decreto Ley 4170 de 2011</w:t>
      </w:r>
      <w:r w:rsidRPr="00FE75D2" w:rsidR="009B2EE5">
        <w:rPr>
          <w:rFonts w:ascii="Arial" w:hAnsi="Arial" w:eastAsia="Calibri" w:cs="Arial"/>
          <w:color w:val="000000" w:themeColor="text1"/>
          <w:sz w:val="22"/>
          <w:lang w:val="es-ES_tradnl"/>
        </w:rPr>
        <w:t>, responde a su consulta remitida el 17 de marzo de 2020</w:t>
      </w:r>
      <w:r w:rsidRPr="00FE75D2">
        <w:rPr>
          <w:rFonts w:ascii="Arial" w:hAnsi="Arial" w:eastAsia="Calibri" w:cs="Arial"/>
          <w:color w:val="000000" w:themeColor="text1"/>
          <w:sz w:val="22"/>
          <w:lang w:val="es-ES_tradnl"/>
        </w:rPr>
        <w:t xml:space="preserve"> </w:t>
      </w:r>
      <w:r w:rsidRPr="00FE75D2" w:rsidR="009B2EE5">
        <w:rPr>
          <w:rFonts w:ascii="Arial" w:hAnsi="Arial" w:eastAsia="Calibri" w:cs="Arial"/>
          <w:color w:val="000000" w:themeColor="text1"/>
          <w:sz w:val="22"/>
          <w:lang w:val="es-ES_tradnl"/>
        </w:rPr>
        <w:t>por el Jefe de Asesoría Jurídica Registral de la Cámara de Comercio de Bogotá.</w:t>
      </w:r>
    </w:p>
    <w:p w:rsidRPr="00FE75D2" w:rsidR="006C1C9E" w:rsidP="00F23E3A" w:rsidRDefault="006C1C9E" w14:paraId="3F99F54D" w14:textId="77777777">
      <w:pPr>
        <w:spacing w:line="276" w:lineRule="auto"/>
        <w:jc w:val="both"/>
        <w:rPr>
          <w:rFonts w:ascii="Arial" w:hAnsi="Arial" w:eastAsia="Calibri" w:cs="Arial"/>
          <w:color w:val="000000" w:themeColor="text1"/>
          <w:sz w:val="22"/>
          <w:lang w:val="es-ES_tradnl"/>
        </w:rPr>
      </w:pPr>
    </w:p>
    <w:p w:rsidRPr="00FE75D2" w:rsidR="00A37FB6" w:rsidP="00F23E3A" w:rsidRDefault="00A37FB6" w14:paraId="737E2623" w14:textId="77777777">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rPr>
      </w:pPr>
      <w:r w:rsidRPr="00FE75D2">
        <w:rPr>
          <w:rFonts w:ascii="Arial" w:hAnsi="Arial" w:eastAsia="Calibri" w:cs="Arial"/>
          <w:b/>
          <w:color w:val="000000" w:themeColor="text1"/>
          <w:sz w:val="22"/>
        </w:rPr>
        <w:lastRenderedPageBreak/>
        <w:t xml:space="preserve">Problemas planteados </w:t>
      </w:r>
    </w:p>
    <w:p w:rsidRPr="00FE75D2" w:rsidR="00A37FB6" w:rsidP="00F23E3A" w:rsidRDefault="00A37FB6" w14:paraId="498A026D" w14:textId="77777777">
      <w:pPr>
        <w:tabs>
          <w:tab w:val="left" w:pos="426"/>
        </w:tabs>
        <w:spacing w:line="276" w:lineRule="auto"/>
        <w:jc w:val="both"/>
        <w:rPr>
          <w:rFonts w:ascii="Arial" w:hAnsi="Arial" w:eastAsia="Calibri" w:cs="Arial"/>
          <w:b/>
          <w:color w:val="000000" w:themeColor="text1"/>
          <w:sz w:val="22"/>
        </w:rPr>
      </w:pPr>
    </w:p>
    <w:p w:rsidRPr="00FE75D2" w:rsidR="00A37FB6" w:rsidP="00F23E3A" w:rsidRDefault="00A37FB6" w14:paraId="4E8BF739" w14:textId="7AEA5166">
      <w:pPr>
        <w:tabs>
          <w:tab w:val="left" w:pos="426"/>
        </w:tabs>
        <w:spacing w:line="276" w:lineRule="auto"/>
        <w:jc w:val="both"/>
        <w:rPr>
          <w:rFonts w:ascii="Arial" w:hAnsi="Arial" w:eastAsia="Calibri" w:cs="Arial"/>
          <w:color w:val="000000" w:themeColor="text1"/>
          <w:sz w:val="22"/>
        </w:rPr>
      </w:pPr>
      <w:r w:rsidRPr="00FE75D2">
        <w:rPr>
          <w:rFonts w:ascii="Arial" w:hAnsi="Arial" w:eastAsia="Calibri" w:cs="Arial"/>
          <w:color w:val="000000" w:themeColor="text1"/>
          <w:sz w:val="22"/>
        </w:rPr>
        <w:t xml:space="preserve">Usted realiza la siguiente </w:t>
      </w:r>
      <w:r w:rsidRPr="00FE75D2" w:rsidR="006D10B1">
        <w:rPr>
          <w:rFonts w:ascii="Arial" w:hAnsi="Arial" w:eastAsia="Calibri" w:cs="Arial"/>
          <w:color w:val="000000" w:themeColor="text1"/>
          <w:sz w:val="22"/>
        </w:rPr>
        <w:t>solicitud</w:t>
      </w:r>
      <w:r w:rsidRPr="00FE75D2">
        <w:rPr>
          <w:rFonts w:ascii="Arial" w:hAnsi="Arial" w:eastAsia="Calibri" w:cs="Arial"/>
          <w:color w:val="000000" w:themeColor="text1"/>
          <w:sz w:val="22"/>
        </w:rPr>
        <w:t xml:space="preserve">: </w:t>
      </w:r>
      <w:r w:rsidRPr="00FE75D2" w:rsidR="009B2EE5">
        <w:rPr>
          <w:rFonts w:ascii="Arial" w:hAnsi="Arial" w:eastAsia="Calibri" w:cs="Arial"/>
          <w:color w:val="000000" w:themeColor="text1"/>
          <w:sz w:val="22"/>
        </w:rPr>
        <w:t>«</w:t>
      </w:r>
      <w:r w:rsidRPr="00FE75D2" w:rsidR="006D10B1">
        <w:rPr>
          <w:rFonts w:ascii="Arial" w:hAnsi="Arial" w:eastAsia="Calibri" w:cs="Arial"/>
          <w:color w:val="000000" w:themeColor="text1"/>
          <w:sz w:val="22"/>
        </w:rPr>
        <w:t>Sírvase informar si una empresa estando inhabilitada puede suscribir algún tipo de contrato con alguna entidad estatal</w:t>
      </w:r>
      <w:r w:rsidRPr="00FE75D2" w:rsidR="00DC06A6">
        <w:rPr>
          <w:rFonts w:ascii="Arial" w:hAnsi="Arial" w:eastAsia="Calibri" w:cs="Arial"/>
          <w:color w:val="000000" w:themeColor="text1"/>
          <w:sz w:val="22"/>
        </w:rPr>
        <w:t>».</w:t>
      </w:r>
      <w:r w:rsidRPr="00FE75D2" w:rsidR="00BE194E">
        <w:rPr>
          <w:rFonts w:ascii="Arial" w:hAnsi="Arial" w:eastAsia="Calibri" w:cs="Arial"/>
          <w:color w:val="000000" w:themeColor="text1"/>
          <w:sz w:val="22"/>
        </w:rPr>
        <w:t xml:space="preserve">  </w:t>
      </w:r>
    </w:p>
    <w:p w:rsidRPr="00FE75D2" w:rsidR="00A37FB6" w:rsidP="00F23E3A" w:rsidRDefault="00A37FB6" w14:paraId="6A982790" w14:textId="77777777">
      <w:pPr>
        <w:tabs>
          <w:tab w:val="left" w:pos="426"/>
        </w:tabs>
        <w:spacing w:line="276" w:lineRule="auto"/>
        <w:jc w:val="both"/>
        <w:rPr>
          <w:rFonts w:ascii="Arial" w:hAnsi="Arial" w:eastAsia="Calibri" w:cs="Arial"/>
          <w:color w:val="000000" w:themeColor="text1"/>
          <w:sz w:val="22"/>
        </w:rPr>
      </w:pPr>
    </w:p>
    <w:p w:rsidRPr="00FE75D2" w:rsidR="00A37FB6" w:rsidP="00F23E3A" w:rsidRDefault="00A37FB6" w14:paraId="6A32A1B1" w14:textId="77777777">
      <w:pPr>
        <w:pStyle w:val="Prrafodelista"/>
        <w:numPr>
          <w:ilvl w:val="0"/>
          <w:numId w:val="6"/>
        </w:numPr>
        <w:tabs>
          <w:tab w:val="left" w:pos="426"/>
        </w:tabs>
        <w:spacing w:line="276" w:lineRule="auto"/>
        <w:ind w:left="284" w:hanging="284"/>
        <w:jc w:val="both"/>
        <w:rPr>
          <w:rFonts w:ascii="Arial" w:hAnsi="Arial" w:eastAsia="Calibri" w:cs="Arial"/>
          <w:b/>
          <w:color w:val="000000" w:themeColor="text1"/>
          <w:sz w:val="22"/>
        </w:rPr>
      </w:pPr>
      <w:r w:rsidRPr="00FE75D2">
        <w:rPr>
          <w:rFonts w:ascii="Arial" w:hAnsi="Arial" w:eastAsia="Calibri" w:cs="Arial"/>
          <w:b/>
          <w:color w:val="000000" w:themeColor="text1"/>
          <w:sz w:val="22"/>
        </w:rPr>
        <w:t>Consideraciones</w:t>
      </w:r>
    </w:p>
    <w:bookmarkEnd w:id="0"/>
    <w:bookmarkEnd w:id="1"/>
    <w:p w:rsidRPr="00FE75D2" w:rsidR="00D94962" w:rsidP="00F23E3A" w:rsidRDefault="00D94962" w14:paraId="5D8BAB86" w14:textId="77777777">
      <w:pPr>
        <w:spacing w:line="276" w:lineRule="auto"/>
        <w:jc w:val="both"/>
        <w:rPr>
          <w:rFonts w:ascii="Arial" w:hAnsi="Arial" w:cs="Arial"/>
          <w:color w:val="000000" w:themeColor="text1"/>
          <w:sz w:val="22"/>
          <w:lang w:val="es-ES_tradnl"/>
        </w:rPr>
      </w:pPr>
    </w:p>
    <w:p w:rsidRPr="00FE75D2" w:rsidR="00503206" w:rsidP="007A5F3E" w:rsidRDefault="006D10B1" w14:paraId="5C186F40" w14:textId="3D95BD08">
      <w:pPr>
        <w:spacing w:after="120" w:line="276" w:lineRule="auto"/>
        <w:jc w:val="both"/>
        <w:rPr>
          <w:rFonts w:ascii="Arial" w:hAnsi="Arial" w:cs="Arial"/>
          <w:color w:val="000000" w:themeColor="text1"/>
          <w:sz w:val="22"/>
        </w:rPr>
      </w:pPr>
      <w:r w:rsidRPr="00FE75D2">
        <w:rPr>
          <w:rFonts w:ascii="Arial" w:hAnsi="Arial" w:cs="Arial"/>
          <w:color w:val="000000" w:themeColor="text1"/>
          <w:sz w:val="22"/>
        </w:rPr>
        <w:t xml:space="preserve">La </w:t>
      </w:r>
      <w:r w:rsidRPr="00FE75D2">
        <w:rPr>
          <w:rFonts w:ascii="Arial" w:hAnsi="Arial" w:eastAsia="Calibri" w:cs="Arial"/>
          <w:color w:val="000000" w:themeColor="text1"/>
          <w:sz w:val="22"/>
        </w:rPr>
        <w:t>Agencia Nacional de Contratación Pública ― Colombia Compra Eficiente se ha pronunciado</w:t>
      </w:r>
      <w:r w:rsidRPr="00FE75D2" w:rsidR="00070501">
        <w:rPr>
          <w:rFonts w:ascii="Arial" w:hAnsi="Arial" w:eastAsia="Calibri" w:cs="Arial"/>
          <w:color w:val="000000" w:themeColor="text1"/>
          <w:sz w:val="22"/>
        </w:rPr>
        <w:t xml:space="preserve"> sobre</w:t>
      </w:r>
      <w:r w:rsidRPr="00FE75D2">
        <w:rPr>
          <w:rFonts w:ascii="Arial" w:hAnsi="Arial" w:eastAsia="Calibri" w:cs="Arial"/>
          <w:color w:val="000000" w:themeColor="text1"/>
          <w:sz w:val="22"/>
        </w:rPr>
        <w:t xml:space="preserve"> </w:t>
      </w:r>
      <w:r w:rsidRPr="00FE75D2" w:rsidR="00503206">
        <w:rPr>
          <w:rFonts w:ascii="Arial" w:hAnsi="Arial" w:eastAsia="Calibri" w:cs="Arial"/>
          <w:color w:val="000000" w:themeColor="text1"/>
          <w:sz w:val="22"/>
        </w:rPr>
        <w:t>el régimen de inhabilidades e incompatibilidades</w:t>
      </w:r>
      <w:r w:rsidRPr="00FE75D2">
        <w:rPr>
          <w:rFonts w:ascii="Arial" w:hAnsi="Arial" w:eastAsia="Calibri" w:cs="Arial"/>
          <w:color w:val="000000" w:themeColor="text1"/>
          <w:sz w:val="22"/>
        </w:rPr>
        <w:t xml:space="preserve"> </w:t>
      </w:r>
      <w:r w:rsidRPr="00FE75D2" w:rsidR="00503206">
        <w:rPr>
          <w:rFonts w:ascii="Arial" w:hAnsi="Arial" w:eastAsia="Calibri" w:cs="Arial"/>
          <w:color w:val="000000" w:themeColor="text1"/>
          <w:sz w:val="22"/>
        </w:rPr>
        <w:t>en</w:t>
      </w:r>
      <w:r w:rsidRPr="00FE75D2">
        <w:rPr>
          <w:rFonts w:ascii="Arial" w:hAnsi="Arial" w:eastAsia="Calibri" w:cs="Arial"/>
          <w:color w:val="000000" w:themeColor="text1"/>
          <w:sz w:val="22"/>
        </w:rPr>
        <w:t xml:space="preserve"> los contratos estatales, en los conceptos </w:t>
      </w:r>
      <w:r w:rsidRPr="00FE75D2" w:rsidR="00503206">
        <w:rPr>
          <w:rFonts w:ascii="Arial" w:hAnsi="Arial" w:eastAsia="Calibri" w:cs="Arial"/>
          <w:color w:val="000000" w:themeColor="text1"/>
          <w:sz w:val="22"/>
        </w:rPr>
        <w:t>con radicados Nos.</w:t>
      </w:r>
      <w:r w:rsidRPr="00FE75D2" w:rsidR="00070501">
        <w:rPr>
          <w:rFonts w:ascii="Arial" w:hAnsi="Arial" w:eastAsia="Calibri" w:cs="Arial"/>
          <w:color w:val="000000" w:themeColor="text1"/>
          <w:sz w:val="22"/>
        </w:rPr>
        <w:t xml:space="preserve"> 4201912000003368 del 21 de mayo de 2019,</w:t>
      </w:r>
      <w:r w:rsidRPr="00FE75D2" w:rsidR="00503206">
        <w:rPr>
          <w:rFonts w:ascii="Arial" w:hAnsi="Arial" w:cs="Arial"/>
          <w:color w:val="000000" w:themeColor="text1"/>
          <w:sz w:val="22"/>
        </w:rPr>
        <w:t xml:space="preserve"> 4201912000003592 del 28 de agosto de 2019, </w:t>
      </w:r>
      <w:r w:rsidRPr="00FE75D2" w:rsidR="00503206">
        <w:rPr>
          <w:rFonts w:ascii="Arial" w:hAnsi="Arial" w:eastAsia="Calibri" w:cs="Arial"/>
          <w:color w:val="000000" w:themeColor="text1"/>
          <w:sz w:val="22"/>
        </w:rPr>
        <w:t>4201913000005649 del 17 de septiembre de 2019,</w:t>
      </w:r>
      <w:r w:rsidRPr="00FE75D2" w:rsidR="00070501">
        <w:rPr>
          <w:rFonts w:ascii="Arial" w:hAnsi="Arial" w:eastAsia="Calibri" w:cs="Arial"/>
          <w:color w:val="000000" w:themeColor="text1"/>
          <w:sz w:val="22"/>
        </w:rPr>
        <w:t xml:space="preserve"> 4201913000006917 del 7 de octubre de 2019, </w:t>
      </w:r>
      <w:r w:rsidRPr="00FE75D2" w:rsidR="00503206">
        <w:rPr>
          <w:rFonts w:ascii="Arial" w:hAnsi="Arial" w:eastAsia="Calibri" w:cs="Arial"/>
          <w:color w:val="000000" w:themeColor="text1"/>
          <w:sz w:val="22"/>
        </w:rPr>
        <w:t>4201912000006692 del 12 de noviembre de 2019,</w:t>
      </w:r>
      <w:r w:rsidRPr="00FE75D2" w:rsidR="00070501">
        <w:rPr>
          <w:rFonts w:ascii="Arial" w:hAnsi="Arial" w:eastAsia="Calibri" w:cs="Arial"/>
          <w:color w:val="000000" w:themeColor="text1"/>
          <w:sz w:val="22"/>
        </w:rPr>
        <w:t xml:space="preserve"> así como en los conceptos C - 001 de 2020, C - 007 de 2020, C -011 de 2020, C - 085 de 2020,  C - 90 de 2020 y C -125 de 2020. La tesis sostenida es la siguiente:</w:t>
      </w:r>
    </w:p>
    <w:p w:rsidRPr="00FE75D2" w:rsidR="0096318D" w:rsidP="007A5F3E" w:rsidRDefault="0096318D" w14:paraId="1A8179DD" w14:textId="77D9E1B5">
      <w:pPr>
        <w:spacing w:before="120" w:after="120" w:line="276" w:lineRule="auto"/>
        <w:ind w:firstLine="709"/>
        <w:jc w:val="both"/>
        <w:rPr>
          <w:rFonts w:ascii="Arial" w:hAnsi="Arial" w:eastAsia="Calibri" w:cs="Arial"/>
          <w:color w:val="000000" w:themeColor="text1"/>
          <w:sz w:val="22"/>
          <w:lang w:val="es-ES_tradnl"/>
        </w:rPr>
      </w:pPr>
      <w:r w:rsidRPr="00FE75D2">
        <w:rPr>
          <w:rFonts w:ascii="Arial" w:hAnsi="Arial" w:eastAsia="Calibri" w:cs="Arial"/>
          <w:color w:val="000000" w:themeColor="text1"/>
          <w:sz w:val="22"/>
          <w:lang w:val="es-ES_tradnl"/>
        </w:rPr>
        <w:t xml:space="preserve">En la contratación estatal, la </w:t>
      </w:r>
      <w:r w:rsidRPr="00FE75D2">
        <w:rPr>
          <w:rFonts w:ascii="Arial" w:hAnsi="Arial" w:eastAsia="Calibri" w:cs="Arial"/>
          <w:i/>
          <w:iCs/>
          <w:color w:val="000000" w:themeColor="text1"/>
          <w:sz w:val="22"/>
          <w:lang w:val="es-ES_tradnl"/>
        </w:rPr>
        <w:t>capacidad</w:t>
      </w:r>
      <w:r w:rsidRPr="00FE75D2">
        <w:rPr>
          <w:rFonts w:ascii="Arial" w:hAnsi="Arial" w:eastAsia="Calibri" w:cs="Arial"/>
          <w:color w:val="000000" w:themeColor="text1"/>
          <w:sz w:val="22"/>
          <w:lang w:val="es-ES_tradnl"/>
        </w:rPr>
        <w:t xml:space="preserve"> también es un requisito de validez de los contratos, tanto en el régimen de las entidades sujetas al Estatuto General de Contratación de la Administración Pública</w:t>
      </w:r>
      <w:r w:rsidRPr="00FE75D2">
        <w:rPr>
          <w:rFonts w:ascii="Arial" w:hAnsi="Arial" w:eastAsia="Calibri" w:cs="Arial"/>
          <w:color w:val="000000" w:themeColor="text1"/>
          <w:sz w:val="22"/>
          <w:vertAlign w:val="superscript"/>
          <w:lang w:val="es-ES_tradnl"/>
        </w:rPr>
        <w:footnoteReference w:id="1"/>
      </w:r>
      <w:r w:rsidRPr="00FE75D2">
        <w:rPr>
          <w:rFonts w:ascii="Arial" w:hAnsi="Arial" w:eastAsia="Calibri" w:cs="Arial"/>
          <w:color w:val="000000" w:themeColor="text1"/>
          <w:sz w:val="22"/>
          <w:lang w:val="es-ES_tradnl"/>
        </w:rPr>
        <w:t xml:space="preserve"> como en el de las entidades exceptuadas de aquel</w:t>
      </w:r>
      <w:r w:rsidRPr="00FE75D2">
        <w:rPr>
          <w:rFonts w:ascii="Arial" w:hAnsi="Arial" w:eastAsia="Calibri" w:cs="Arial"/>
          <w:color w:val="000000" w:themeColor="text1"/>
          <w:sz w:val="22"/>
          <w:vertAlign w:val="superscript"/>
          <w:lang w:val="es-ES_tradnl"/>
        </w:rPr>
        <w:footnoteReference w:id="2"/>
      </w:r>
      <w:r w:rsidRPr="00FE75D2">
        <w:rPr>
          <w:rFonts w:ascii="Arial" w:hAnsi="Arial" w:eastAsia="Calibri" w:cs="Arial"/>
          <w:color w:val="000000" w:themeColor="text1"/>
          <w:sz w:val="22"/>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FE75D2">
        <w:rPr>
          <w:rFonts w:ascii="Arial" w:hAnsi="Arial" w:eastAsia="Calibri" w:cs="Arial"/>
          <w:color w:val="000000" w:themeColor="text1"/>
          <w:sz w:val="22"/>
          <w:vertAlign w:val="superscript"/>
          <w:lang w:val="es-ES_tradnl"/>
        </w:rPr>
        <w:footnoteReference w:id="3"/>
      </w:r>
      <w:r w:rsidRPr="00FE75D2">
        <w:rPr>
          <w:rFonts w:ascii="Arial" w:hAnsi="Arial" w:eastAsia="Calibri" w:cs="Arial"/>
          <w:color w:val="000000" w:themeColor="text1"/>
          <w:sz w:val="22"/>
          <w:lang w:val="es-ES_tradnl"/>
        </w:rPr>
        <w:t xml:space="preserve">–, se destaca el régimen de inhabilidades e incompatibilidades </w:t>
      </w:r>
      <w:r w:rsidRPr="00FE75D2">
        <w:rPr>
          <w:rFonts w:ascii="Arial" w:hAnsi="Arial" w:eastAsia="Calibri" w:cs="Arial"/>
          <w:color w:val="000000" w:themeColor="text1"/>
          <w:sz w:val="22"/>
          <w:lang w:val="es-ES_tradnl"/>
        </w:rPr>
        <w:lastRenderedPageBreak/>
        <w:t>como un conjunto de enunciados normativos que imponen restricciones para los sujetos que, eventualmente, pretendan participar en los procedimientos de selección o celebrar contratos con las entidades estatales</w:t>
      </w:r>
      <w:r w:rsidRPr="00FE75D2">
        <w:rPr>
          <w:rFonts w:ascii="Arial" w:hAnsi="Arial" w:eastAsia="Calibri" w:cs="Arial"/>
          <w:color w:val="000000" w:themeColor="text1"/>
          <w:sz w:val="22"/>
          <w:vertAlign w:val="superscript"/>
          <w:lang w:val="es-ES_tradnl"/>
        </w:rPr>
        <w:footnoteReference w:id="4"/>
      </w:r>
      <w:r w:rsidRPr="00FE75D2">
        <w:rPr>
          <w:rFonts w:ascii="Arial" w:hAnsi="Arial" w:eastAsia="Calibri" w:cs="Arial"/>
          <w:color w:val="000000" w:themeColor="text1"/>
          <w:sz w:val="22"/>
          <w:lang w:val="es-ES_tradnl"/>
        </w:rPr>
        <w:t>.</w:t>
      </w:r>
    </w:p>
    <w:p w:rsidRPr="00FE75D2" w:rsidR="0096318D" w:rsidP="00B75B2B" w:rsidRDefault="0096318D" w14:paraId="742CCFE6" w14:textId="77777777">
      <w:pPr>
        <w:spacing w:before="120" w:after="120" w:line="276" w:lineRule="auto"/>
        <w:ind w:firstLine="709"/>
        <w:jc w:val="both"/>
        <w:rPr>
          <w:rFonts w:ascii="Arial" w:hAnsi="Arial" w:eastAsia="Calibri" w:cs="Arial"/>
          <w:color w:val="000000" w:themeColor="text1"/>
          <w:sz w:val="22"/>
          <w:lang w:val="es-ES_tradnl"/>
        </w:rPr>
      </w:pPr>
      <w:r w:rsidRPr="00FE75D2">
        <w:rPr>
          <w:rFonts w:ascii="Arial" w:hAnsi="Arial" w:eastAsia="Calibri" w:cs="Arial"/>
          <w:color w:val="000000" w:themeColor="text1"/>
          <w:sz w:val="22"/>
          <w:lang w:val="es-ES_tradnl"/>
        </w:rPr>
        <w:t>Las inhabilidades son prohibiciones para concurrir a los procedimientos de selección y para contratar con el Estado, que se derivan i) de la existencia de comportamientos reprochables o de sanciones anteriormente impuestas</w:t>
      </w:r>
      <w:r w:rsidRPr="00FE75D2">
        <w:rPr>
          <w:rFonts w:ascii="Arial" w:hAnsi="Arial" w:eastAsia="Calibri" w:cs="Arial"/>
          <w:color w:val="000000" w:themeColor="text1"/>
          <w:sz w:val="22"/>
          <w:vertAlign w:val="superscript"/>
          <w:lang w:val="es-ES_tradnl"/>
        </w:rPr>
        <w:footnoteReference w:id="5"/>
      </w:r>
      <w:r w:rsidRPr="00FE75D2">
        <w:rPr>
          <w:rFonts w:ascii="Arial" w:hAnsi="Arial" w:eastAsia="Calibri" w:cs="Arial"/>
          <w:color w:val="000000" w:themeColor="text1"/>
          <w:sz w:val="22"/>
          <w:lang w:val="es-ES_tradnl"/>
        </w:rPr>
        <w:t>, ii) de vínculos personales relativos al parentesco o al estado civil</w:t>
      </w:r>
      <w:r w:rsidRPr="00FE75D2">
        <w:rPr>
          <w:rFonts w:ascii="Arial" w:hAnsi="Arial" w:eastAsia="Calibri" w:cs="Arial"/>
          <w:color w:val="000000" w:themeColor="text1"/>
          <w:sz w:val="22"/>
          <w:vertAlign w:val="superscript"/>
          <w:lang w:val="es-ES_tradnl"/>
        </w:rPr>
        <w:footnoteReference w:id="6"/>
      </w:r>
      <w:r w:rsidRPr="00FE75D2">
        <w:rPr>
          <w:rFonts w:ascii="Arial" w:hAnsi="Arial" w:eastAsia="Calibri" w:cs="Arial"/>
          <w:color w:val="000000" w:themeColor="text1"/>
          <w:sz w:val="22"/>
          <w:lang w:val="es-ES_tradnl"/>
        </w:rPr>
        <w:t xml:space="preserve"> o iii) de una actividad u oficio que se desempeñó en el </w:t>
      </w:r>
      <w:r w:rsidRPr="00FE75D2">
        <w:rPr>
          <w:rFonts w:ascii="Arial" w:hAnsi="Arial" w:eastAsia="Calibri" w:cs="Arial"/>
          <w:color w:val="000000" w:themeColor="text1"/>
          <w:sz w:val="22"/>
          <w:lang w:val="es-ES_tradnl"/>
        </w:rPr>
        <w:lastRenderedPageBreak/>
        <w:t>pasado</w:t>
      </w:r>
      <w:r w:rsidRPr="00FE75D2">
        <w:rPr>
          <w:rFonts w:ascii="Arial" w:hAnsi="Arial" w:eastAsia="Calibri" w:cs="Arial"/>
          <w:color w:val="000000" w:themeColor="text1"/>
          <w:sz w:val="22"/>
          <w:vertAlign w:val="superscript"/>
          <w:lang w:val="es-ES_tradnl"/>
        </w:rPr>
        <w:footnoteReference w:id="7"/>
      </w:r>
      <w:r w:rsidRPr="00FE75D2">
        <w:rPr>
          <w:rFonts w:ascii="Arial" w:hAnsi="Arial" w:eastAsia="Calibri" w:cs="Arial"/>
          <w:color w:val="000000" w:themeColor="text1"/>
          <w:sz w:val="22"/>
          <w:lang w:val="es-ES_tradnl"/>
        </w:rPr>
        <w:t>.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FE75D2">
        <w:rPr>
          <w:rFonts w:ascii="Arial" w:hAnsi="Arial" w:eastAsia="Calibri" w:cs="Arial"/>
          <w:color w:val="000000" w:themeColor="text1"/>
          <w:sz w:val="22"/>
          <w:vertAlign w:val="superscript"/>
          <w:lang w:val="es-ES_tradnl"/>
        </w:rPr>
        <w:footnoteReference w:id="8"/>
      </w:r>
      <w:r w:rsidRPr="00FE75D2">
        <w:rPr>
          <w:rFonts w:ascii="Arial" w:hAnsi="Arial" w:eastAsia="Calibri" w:cs="Arial"/>
          <w:color w:val="000000" w:themeColor="text1"/>
          <w:sz w:val="22"/>
          <w:lang w:val="es-ES_tradnl"/>
        </w:rPr>
        <w:t xml:space="preserve">. </w:t>
      </w:r>
    </w:p>
    <w:p w:rsidRPr="00FE75D2" w:rsidR="0096318D" w:rsidP="00B75B2B" w:rsidRDefault="0096318D" w14:paraId="7630A8BB" w14:textId="77777777">
      <w:pPr>
        <w:spacing w:before="120" w:after="120" w:line="276" w:lineRule="auto"/>
        <w:ind w:firstLine="709"/>
        <w:jc w:val="both"/>
        <w:rPr>
          <w:rFonts w:ascii="Arial" w:hAnsi="Arial" w:eastAsia="Calibri" w:cs="Arial"/>
          <w:color w:val="000000" w:themeColor="text1"/>
          <w:sz w:val="22"/>
          <w:lang w:val="es-ES_tradnl"/>
        </w:rPr>
      </w:pPr>
      <w:r w:rsidRPr="00FE75D2">
        <w:rPr>
          <w:rFonts w:ascii="Arial" w:hAnsi="Arial" w:eastAsia="Calibri" w:cs="Arial"/>
          <w:color w:val="000000" w:themeColor="text1"/>
          <w:sz w:val="22"/>
          <w:lang w:val="es-ES_tradnl"/>
        </w:rPr>
        <w:lastRenderedPageBreak/>
        <w:t>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Es por ello que, como lo ha destacado la doctrina, las inhabilidades e incompatibilidades se han convertido en herramientas en la lucha contra la corrupción, adoptando paulatinamente un cariz sancionatorio o «</w:t>
      </w:r>
      <w:proofErr w:type="spellStart"/>
      <w:r w:rsidRPr="00FE75D2">
        <w:rPr>
          <w:rFonts w:ascii="Arial" w:hAnsi="Arial" w:eastAsia="Calibri" w:cs="Arial"/>
          <w:color w:val="000000" w:themeColor="text1"/>
          <w:sz w:val="22"/>
          <w:lang w:val="es-ES_tradnl"/>
        </w:rPr>
        <w:t>neopunitivo</w:t>
      </w:r>
      <w:proofErr w:type="spellEnd"/>
      <w:r w:rsidRPr="00FE75D2">
        <w:rPr>
          <w:rFonts w:ascii="Arial" w:hAnsi="Arial" w:eastAsia="Calibri" w:cs="Arial"/>
          <w:color w:val="000000" w:themeColor="text1"/>
          <w:sz w:val="22"/>
          <w:lang w:val="es-ES_tradnl"/>
        </w:rPr>
        <w:t>»</w:t>
      </w:r>
      <w:r w:rsidRPr="00FE75D2">
        <w:rPr>
          <w:rFonts w:ascii="Arial" w:hAnsi="Arial" w:eastAsia="Calibri" w:cs="Arial"/>
          <w:color w:val="000000" w:themeColor="text1"/>
          <w:sz w:val="22"/>
          <w:vertAlign w:val="superscript"/>
          <w:lang w:val="es-ES_tradnl"/>
        </w:rPr>
        <w:footnoteReference w:id="9"/>
      </w:r>
      <w:r w:rsidRPr="00FE75D2">
        <w:rPr>
          <w:rFonts w:ascii="Arial" w:hAnsi="Arial" w:eastAsia="Calibri" w:cs="Arial"/>
          <w:color w:val="000000" w:themeColor="text1"/>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rsidRPr="00FE75D2" w:rsidR="0096318D" w:rsidP="00B75B2B" w:rsidRDefault="0096318D" w14:paraId="43C609A4" w14:textId="77777777">
      <w:pPr>
        <w:spacing w:before="120" w:after="120" w:line="276" w:lineRule="auto"/>
        <w:ind w:firstLine="709"/>
        <w:jc w:val="both"/>
        <w:rPr>
          <w:rFonts w:ascii="Arial" w:hAnsi="Arial" w:eastAsia="Calibri" w:cs="Arial"/>
          <w:color w:val="000000" w:themeColor="text1"/>
          <w:sz w:val="22"/>
          <w:lang w:val="es-ES_tradnl"/>
        </w:rPr>
      </w:pPr>
      <w:r w:rsidRPr="00FE75D2">
        <w:rPr>
          <w:rFonts w:ascii="Arial" w:hAnsi="Arial" w:eastAsia="Calibri" w:cs="Arial"/>
          <w:color w:val="000000" w:themeColor="text1"/>
          <w:sz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FE75D2">
        <w:rPr>
          <w:rFonts w:ascii="Arial" w:hAnsi="Arial" w:eastAsia="Calibri" w:cs="Arial"/>
          <w:i/>
          <w:iCs/>
          <w:color w:val="000000" w:themeColor="text1"/>
          <w:sz w:val="22"/>
          <w:lang w:val="es-ES_tradnl"/>
        </w:rPr>
        <w:t>restrictiva</w:t>
      </w:r>
      <w:r w:rsidRPr="00FE75D2">
        <w:rPr>
          <w:rFonts w:ascii="Arial" w:hAnsi="Arial" w:eastAsia="Calibri" w:cs="Arial"/>
          <w:color w:val="000000" w:themeColor="text1"/>
          <w:sz w:val="22"/>
          <w:vertAlign w:val="superscript"/>
          <w:lang w:val="es-ES_tradnl"/>
        </w:rPr>
        <w:footnoteReference w:id="10"/>
      </w:r>
      <w:r w:rsidRPr="00FE75D2">
        <w:rPr>
          <w:rFonts w:ascii="Arial" w:hAnsi="Arial" w:eastAsia="Calibri" w:cs="Arial"/>
          <w:color w:val="000000" w:themeColor="text1"/>
          <w:sz w:val="22"/>
          <w:lang w:val="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rsidRPr="00FE75D2" w:rsidR="0096318D" w:rsidP="00B75B2B" w:rsidRDefault="0096318D" w14:paraId="1F6CAE39" w14:textId="77777777">
      <w:pPr>
        <w:spacing w:before="120" w:line="276" w:lineRule="auto"/>
        <w:ind w:firstLine="709"/>
        <w:jc w:val="both"/>
        <w:rPr>
          <w:rFonts w:ascii="Arial" w:hAnsi="Arial" w:eastAsia="Calibri" w:cs="Arial"/>
          <w:color w:val="000000" w:themeColor="text1"/>
          <w:sz w:val="22"/>
          <w:lang w:val="es-ES_tradnl"/>
        </w:rPr>
      </w:pPr>
      <w:r w:rsidRPr="00FE75D2">
        <w:rPr>
          <w:rFonts w:ascii="Arial" w:hAnsi="Arial" w:eastAsia="Calibri" w:cs="Arial"/>
          <w:color w:val="000000" w:themeColor="text1"/>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FE75D2">
        <w:rPr>
          <w:rFonts w:ascii="Arial" w:hAnsi="Arial" w:eastAsia="Calibri" w:cs="Arial"/>
          <w:color w:val="000000" w:themeColor="text1"/>
          <w:sz w:val="22"/>
          <w:vertAlign w:val="superscript"/>
          <w:lang w:val="es-ES_tradnl"/>
        </w:rPr>
        <w:footnoteReference w:id="11"/>
      </w:r>
      <w:r w:rsidRPr="00FE75D2">
        <w:rPr>
          <w:rFonts w:ascii="Arial" w:hAnsi="Arial" w:eastAsia="Calibri" w:cs="Arial"/>
          <w:color w:val="000000" w:themeColor="text1"/>
          <w:sz w:val="22"/>
          <w:lang w:val="es-ES_tradnl"/>
        </w:rPr>
        <w:t xml:space="preserve">. Por su parte, el Consejo de Estado ha acogido también este criterio, considerando –como expresa la Sala de Consulta y Servicio Civil–, que «La interpretación restrictiva de las normas que establecen inhabilidades constituye una aplicación del </w:t>
      </w:r>
      <w:r w:rsidRPr="00FE75D2">
        <w:rPr>
          <w:rFonts w:ascii="Arial" w:hAnsi="Arial" w:eastAsia="Calibri" w:cs="Arial"/>
          <w:color w:val="000000" w:themeColor="text1"/>
          <w:sz w:val="22"/>
          <w:lang w:val="es-ES_tradnl"/>
        </w:rPr>
        <w:lastRenderedPageBreak/>
        <w:t>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FE75D2">
        <w:rPr>
          <w:rFonts w:ascii="Arial" w:hAnsi="Arial" w:eastAsia="Calibri" w:cs="Arial"/>
          <w:color w:val="000000" w:themeColor="text1"/>
          <w:sz w:val="22"/>
          <w:vertAlign w:val="superscript"/>
          <w:lang w:val="es-ES_tradnl"/>
        </w:rPr>
        <w:footnoteReference w:id="12"/>
      </w:r>
      <w:r w:rsidRPr="00FE75D2">
        <w:rPr>
          <w:rFonts w:ascii="Arial" w:hAnsi="Arial" w:eastAsia="Calibri" w:cs="Arial"/>
          <w:color w:val="000000" w:themeColor="text1"/>
          <w:sz w:val="22"/>
          <w:lang w:val="es-ES_tradnl"/>
        </w:rPr>
        <w:t>. En tal sentido, la Sección Tercera ha señalado que:</w:t>
      </w:r>
    </w:p>
    <w:p w:rsidRPr="00FE75D2" w:rsidR="0096318D" w:rsidP="00F23E3A" w:rsidRDefault="0096318D" w14:paraId="27648BC9" w14:textId="77777777">
      <w:pPr>
        <w:spacing w:line="276" w:lineRule="auto"/>
        <w:ind w:firstLine="709"/>
        <w:jc w:val="both"/>
        <w:rPr>
          <w:rFonts w:ascii="Arial" w:hAnsi="Arial" w:eastAsia="Calibri" w:cs="Arial"/>
          <w:color w:val="000000" w:themeColor="text1"/>
          <w:sz w:val="22"/>
          <w:lang w:val="es-ES_tradnl"/>
        </w:rPr>
      </w:pPr>
    </w:p>
    <w:p w:rsidRPr="00FE75D2" w:rsidR="0096318D" w:rsidP="00150BAE" w:rsidRDefault="0096318D" w14:paraId="382FC456" w14:textId="3FEE3D83">
      <w:pPr>
        <w:ind w:left="709" w:right="709"/>
        <w:jc w:val="both"/>
        <w:rPr>
          <w:rFonts w:ascii="Arial" w:hAnsi="Arial" w:cs="Arial"/>
          <w:color w:val="000000" w:themeColor="text1"/>
          <w:sz w:val="21"/>
          <w:szCs w:val="21"/>
          <w:lang w:val="es-ES_tradnl"/>
        </w:rPr>
      </w:pPr>
      <w:r w:rsidRPr="00FE75D2">
        <w:rPr>
          <w:rFonts w:ascii="Arial" w:hAnsi="Arial" w:cs="Arial"/>
          <w:color w:val="000000" w:themeColor="text1"/>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FE75D2">
        <w:rPr>
          <w:rFonts w:ascii="Arial" w:hAnsi="Arial" w:cs="Arial"/>
          <w:color w:val="000000" w:themeColor="text1"/>
          <w:sz w:val="21"/>
          <w:szCs w:val="21"/>
          <w:vertAlign w:val="superscript"/>
          <w:lang w:val="es-ES_tradnl"/>
        </w:rPr>
        <w:footnoteReference w:id="13"/>
      </w:r>
      <w:r w:rsidRPr="00FE75D2">
        <w:rPr>
          <w:rFonts w:ascii="Arial" w:hAnsi="Arial" w:cs="Arial"/>
          <w:color w:val="000000" w:themeColor="text1"/>
          <w:sz w:val="21"/>
          <w:szCs w:val="21"/>
          <w:lang w:val="es-ES_tradnl"/>
        </w:rPr>
        <w:t>.</w:t>
      </w:r>
    </w:p>
    <w:p w:rsidRPr="00FE75D2" w:rsidR="00F23E3A" w:rsidP="00150BAE" w:rsidRDefault="00F23E3A" w14:paraId="31BAA1A8" w14:textId="77777777">
      <w:pPr>
        <w:ind w:left="709" w:right="709"/>
        <w:jc w:val="both"/>
        <w:rPr>
          <w:rFonts w:ascii="Arial" w:hAnsi="Arial" w:cs="Arial"/>
          <w:bCs/>
          <w:color w:val="000000" w:themeColor="text1"/>
          <w:sz w:val="21"/>
          <w:szCs w:val="21"/>
          <w:lang w:val="es-ES_tradnl"/>
        </w:rPr>
      </w:pPr>
    </w:p>
    <w:p w:rsidRPr="00FE75D2" w:rsidR="0096318D" w:rsidP="00150BAE" w:rsidRDefault="0096318D" w14:paraId="615F134D" w14:textId="5FD8866B">
      <w:pPr>
        <w:spacing w:line="276" w:lineRule="auto"/>
        <w:ind w:firstLine="709"/>
        <w:jc w:val="both"/>
        <w:rPr>
          <w:rFonts w:ascii="Arial" w:hAnsi="Arial" w:eastAsia="Calibri" w:cs="Arial"/>
          <w:color w:val="000000" w:themeColor="text1"/>
          <w:sz w:val="22"/>
          <w:lang w:val="es-ES_tradnl"/>
        </w:rPr>
      </w:pPr>
      <w:r w:rsidRPr="00FE75D2">
        <w:rPr>
          <w:rFonts w:ascii="Arial" w:hAnsi="Arial" w:eastAsia="Calibri" w:cs="Arial"/>
          <w:color w:val="000000" w:themeColor="text1"/>
          <w:sz w:val="22"/>
          <w:lang w:val="es-ES_tradnl"/>
        </w:rPr>
        <w:t>También ha dicho que:</w:t>
      </w:r>
    </w:p>
    <w:p w:rsidRPr="00FE75D2" w:rsidR="00F23E3A" w:rsidP="00150BAE" w:rsidRDefault="00F23E3A" w14:paraId="10A98F4A" w14:textId="77777777">
      <w:pPr>
        <w:ind w:firstLine="709"/>
        <w:jc w:val="both"/>
        <w:rPr>
          <w:rFonts w:ascii="Arial" w:hAnsi="Arial" w:eastAsia="Calibri" w:cs="Arial"/>
          <w:color w:val="000000" w:themeColor="text1"/>
          <w:sz w:val="21"/>
          <w:szCs w:val="21"/>
          <w:lang w:val="es-ES_tradnl"/>
        </w:rPr>
      </w:pPr>
    </w:p>
    <w:p w:rsidRPr="00FE75D2" w:rsidR="0096318D" w:rsidP="00150BAE" w:rsidRDefault="0096318D" w14:paraId="65FC017D" w14:textId="53EACA3F">
      <w:pPr>
        <w:ind w:left="709" w:right="709"/>
        <w:jc w:val="both"/>
        <w:rPr>
          <w:rFonts w:ascii="Arial" w:hAnsi="Arial" w:cs="Arial"/>
          <w:color w:val="000000" w:themeColor="text1"/>
          <w:sz w:val="21"/>
          <w:szCs w:val="21"/>
          <w:lang w:val="es-ES_tradnl"/>
        </w:rPr>
      </w:pPr>
      <w:r w:rsidRPr="00FE75D2">
        <w:rPr>
          <w:rFonts w:ascii="Arial" w:hAnsi="Arial" w:cs="Arial"/>
          <w:color w:val="000000" w:themeColor="text1"/>
          <w:sz w:val="21"/>
          <w:szCs w:val="21"/>
          <w:lang w:val="es-ES_tradnl"/>
        </w:rPr>
        <w:t xml:space="preserve">[…] la aplicación de estos preceptos exige una interpretación restrictiva, dado que según el principio </w:t>
      </w:r>
      <w:bookmarkStart w:name="_Hlk36113778" w:id="3"/>
      <w:r w:rsidRPr="00FE75D2">
        <w:rPr>
          <w:rFonts w:ascii="Arial" w:hAnsi="Arial" w:cs="Arial"/>
          <w:color w:val="000000" w:themeColor="text1"/>
          <w:sz w:val="21"/>
          <w:szCs w:val="21"/>
          <w:lang w:val="es-ES_tradnl"/>
        </w:rPr>
        <w:t xml:space="preserve">hermenéutico </w:t>
      </w:r>
      <w:r w:rsidRPr="00FE75D2">
        <w:rPr>
          <w:rFonts w:ascii="Arial" w:hAnsi="Arial" w:cs="Arial"/>
          <w:i/>
          <w:iCs/>
          <w:color w:val="000000" w:themeColor="text1"/>
          <w:sz w:val="21"/>
          <w:szCs w:val="21"/>
          <w:lang w:val="es-ES_tradnl"/>
        </w:rPr>
        <w:t xml:space="preserve">pro </w:t>
      </w:r>
      <w:proofErr w:type="spellStart"/>
      <w:r w:rsidRPr="00FE75D2">
        <w:rPr>
          <w:rFonts w:ascii="Arial" w:hAnsi="Arial" w:cs="Arial"/>
          <w:i/>
          <w:iCs/>
          <w:color w:val="000000" w:themeColor="text1"/>
          <w:sz w:val="21"/>
          <w:szCs w:val="21"/>
          <w:lang w:val="es-ES_tradnl"/>
        </w:rPr>
        <w:t>libertate</w:t>
      </w:r>
      <w:proofErr w:type="spellEnd"/>
      <w:r w:rsidRPr="00FE75D2">
        <w:rPr>
          <w:rFonts w:ascii="Arial" w:hAnsi="Arial" w:cs="Arial"/>
          <w:color w:val="000000" w:themeColor="text1"/>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w:t>
      </w:r>
      <w:bookmarkEnd w:id="3"/>
      <w:r w:rsidRPr="00FE75D2">
        <w:rPr>
          <w:rFonts w:ascii="Arial" w:hAnsi="Arial" w:cs="Arial"/>
          <w:color w:val="000000" w:themeColor="text1"/>
          <w:sz w:val="21"/>
          <w:szCs w:val="21"/>
          <w:lang w:val="es-ES_tradnl"/>
        </w:rPr>
        <w:t>, toda vez que las palabras de la ley son la frontera que no se puede traspasar en el ejercicio hermenéutico de las mismas, pues de hacerlo se vulnerarían los derechos fundamentales al debido proceso (art. 29 CN) y a la igualdad (art. 13 Ibid.); […]</w:t>
      </w:r>
      <w:r w:rsidRPr="00FE75D2">
        <w:rPr>
          <w:rFonts w:ascii="Arial" w:hAnsi="Arial" w:cs="Arial"/>
          <w:color w:val="000000" w:themeColor="text1"/>
          <w:sz w:val="21"/>
          <w:szCs w:val="21"/>
          <w:vertAlign w:val="superscript"/>
          <w:lang w:val="es-ES_tradnl"/>
        </w:rPr>
        <w:footnoteReference w:id="14"/>
      </w:r>
      <w:r w:rsidRPr="00FE75D2">
        <w:rPr>
          <w:rFonts w:ascii="Arial" w:hAnsi="Arial" w:cs="Arial"/>
          <w:color w:val="000000" w:themeColor="text1"/>
          <w:sz w:val="21"/>
          <w:szCs w:val="21"/>
          <w:lang w:val="es-ES_tradnl"/>
        </w:rPr>
        <w:t>.</w:t>
      </w:r>
    </w:p>
    <w:p w:rsidRPr="00FE75D2" w:rsidR="00F23E3A" w:rsidP="00F23E3A" w:rsidRDefault="00F23E3A" w14:paraId="715DADD9" w14:textId="77777777">
      <w:pPr>
        <w:spacing w:line="276" w:lineRule="auto"/>
        <w:ind w:left="709" w:right="709"/>
        <w:jc w:val="both"/>
        <w:rPr>
          <w:rFonts w:ascii="Arial" w:hAnsi="Arial" w:cs="Arial"/>
          <w:color w:val="000000" w:themeColor="text1"/>
          <w:sz w:val="21"/>
          <w:szCs w:val="21"/>
          <w:lang w:val="es-ES_tradnl"/>
        </w:rPr>
      </w:pPr>
    </w:p>
    <w:p w:rsidRPr="00FE75D2" w:rsidR="0096318D" w:rsidP="00B75B2B" w:rsidRDefault="0096318D" w14:paraId="0FD1FD0B" w14:textId="77777777">
      <w:pPr>
        <w:spacing w:after="120" w:line="276" w:lineRule="auto"/>
        <w:ind w:firstLine="709"/>
        <w:jc w:val="both"/>
        <w:rPr>
          <w:rFonts w:ascii="Arial" w:hAnsi="Arial" w:eastAsia="Calibri" w:cs="Arial"/>
          <w:color w:val="000000" w:themeColor="text1"/>
          <w:sz w:val="22"/>
          <w:lang w:val="es-ES_tradnl"/>
        </w:rPr>
      </w:pPr>
      <w:r w:rsidRPr="00FE75D2">
        <w:rPr>
          <w:rFonts w:ascii="Arial" w:hAnsi="Arial" w:eastAsia="Calibri" w:cs="Arial"/>
          <w:color w:val="000000" w:themeColor="text1"/>
          <w:sz w:val="22"/>
          <w:lang w:val="es-ES_tradnl"/>
        </w:rPr>
        <w:t xml:space="preserve">Como se aprecia, el principio </w:t>
      </w:r>
      <w:r w:rsidRPr="00FE75D2">
        <w:rPr>
          <w:rFonts w:ascii="Arial" w:hAnsi="Arial" w:eastAsia="Calibri" w:cs="Arial"/>
          <w:i/>
          <w:iCs/>
          <w:color w:val="000000" w:themeColor="text1"/>
          <w:sz w:val="22"/>
          <w:lang w:val="es-ES_tradnl"/>
        </w:rPr>
        <w:t xml:space="preserve">pro </w:t>
      </w:r>
      <w:proofErr w:type="spellStart"/>
      <w:r w:rsidRPr="00FE75D2">
        <w:rPr>
          <w:rFonts w:ascii="Arial" w:hAnsi="Arial" w:eastAsia="Calibri" w:cs="Arial"/>
          <w:i/>
          <w:iCs/>
          <w:color w:val="000000" w:themeColor="text1"/>
          <w:sz w:val="22"/>
          <w:lang w:val="es-ES_tradnl"/>
        </w:rPr>
        <w:t>libertate</w:t>
      </w:r>
      <w:proofErr w:type="spellEnd"/>
      <w:r w:rsidRPr="00FE75D2">
        <w:rPr>
          <w:rFonts w:ascii="Arial" w:hAnsi="Arial" w:eastAsia="Calibri" w:cs="Arial"/>
          <w:color w:val="000000" w:themeColor="text1"/>
          <w:sz w:val="22"/>
          <w:lang w:val="es-ES_tradnl"/>
        </w:rPr>
        <w:t xml:space="preserve"> es el que debe dirigir la interpretación de las disposiciones normativas que consagran restricciones de derechos, como sucede con las causales de inhabilidad e incompatibilidad en la contratación estatal.</w:t>
      </w:r>
    </w:p>
    <w:p w:rsidRPr="00FE75D2" w:rsidR="00F72043" w:rsidP="00B75B2B" w:rsidRDefault="00F72043" w14:paraId="76B45479" w14:textId="25EE90E2">
      <w:pPr>
        <w:spacing w:before="120" w:line="276" w:lineRule="auto"/>
        <w:jc w:val="both"/>
        <w:rPr>
          <w:rFonts w:ascii="Arial" w:hAnsi="Arial" w:eastAsia="Calibri" w:cs="Arial"/>
          <w:color w:val="000000" w:themeColor="text1"/>
          <w:sz w:val="22"/>
          <w:lang w:val="es-ES_tradnl"/>
        </w:rPr>
      </w:pPr>
      <w:r w:rsidRPr="00FE75D2">
        <w:rPr>
          <w:rFonts w:ascii="Arial" w:hAnsi="Arial" w:eastAsia="Calibri" w:cs="Arial"/>
          <w:color w:val="000000" w:themeColor="text1"/>
          <w:sz w:val="22"/>
          <w:lang w:val="es-ES_tradnl"/>
        </w:rPr>
        <w:t xml:space="preserve"> </w:t>
      </w:r>
      <w:r w:rsidRPr="00FE75D2" w:rsidR="00172581">
        <w:rPr>
          <w:rFonts w:ascii="Arial" w:hAnsi="Arial" w:eastAsia="Calibri" w:cs="Arial"/>
          <w:color w:val="000000" w:themeColor="text1"/>
          <w:sz w:val="22"/>
          <w:lang w:val="es-ES_tradnl"/>
        </w:rPr>
        <w:tab/>
      </w:r>
      <w:r w:rsidRPr="00FE75D2" w:rsidR="00172581">
        <w:rPr>
          <w:rFonts w:ascii="Arial" w:hAnsi="Arial" w:eastAsia="Calibri" w:cs="Arial"/>
          <w:color w:val="000000" w:themeColor="text1"/>
          <w:sz w:val="22"/>
          <w:lang w:val="es-ES_tradnl"/>
        </w:rPr>
        <w:t xml:space="preserve">En </w:t>
      </w:r>
      <w:r w:rsidRPr="00FE75D2" w:rsidR="007E0383">
        <w:rPr>
          <w:rFonts w:ascii="Arial" w:hAnsi="Arial" w:eastAsia="Calibri" w:cs="Arial"/>
          <w:color w:val="000000" w:themeColor="text1"/>
          <w:sz w:val="22"/>
          <w:lang w:val="es-ES_tradnl"/>
        </w:rPr>
        <w:t>conclusión</w:t>
      </w:r>
      <w:r w:rsidRPr="00FE75D2" w:rsidR="00172581">
        <w:rPr>
          <w:rFonts w:ascii="Arial" w:hAnsi="Arial" w:eastAsia="Calibri" w:cs="Arial"/>
          <w:color w:val="000000" w:themeColor="text1"/>
          <w:sz w:val="22"/>
          <w:lang w:val="es-ES_tradnl"/>
        </w:rPr>
        <w:t xml:space="preserve">, el régimen de inhabilidades e incompatibilidades está concebido como un conjunto de restricciones a la capacidad para presentar ofertas y contratar con el Estado, por lo que ninguna persona natural o jurídica que se encuentre incurso en alguna causal </w:t>
      </w:r>
      <w:r w:rsidRPr="00FE75D2" w:rsidR="007E0383">
        <w:rPr>
          <w:rFonts w:ascii="Arial" w:hAnsi="Arial" w:eastAsia="Calibri" w:cs="Arial"/>
          <w:color w:val="000000" w:themeColor="text1"/>
          <w:sz w:val="22"/>
          <w:lang w:val="es-ES_tradnl"/>
        </w:rPr>
        <w:t>estará en la posibilidad de suscribir contratos con alguna entidad estatal. No obstante, al estar estas causales sometidas a interpretación y aplicación restrictiva, deberá analizarse en el caso concreto si efectivamente la respectiva persona se encuentra incursa en el supuesto de hecho que da lugar a la configuración de la inhabilidad o incompatibilidad, en virtud de la que opera la restricción a la capacidad para contratar.</w:t>
      </w:r>
    </w:p>
    <w:p w:rsidRPr="00FE75D2" w:rsidR="00B75B2B" w:rsidP="00B75B2B" w:rsidRDefault="00B75B2B" w14:paraId="4C38EB51" w14:textId="77777777">
      <w:pPr>
        <w:spacing w:line="276" w:lineRule="auto"/>
        <w:jc w:val="both"/>
        <w:rPr>
          <w:rFonts w:ascii="Arial" w:hAnsi="Arial" w:eastAsia="Calibri" w:cs="Arial"/>
          <w:color w:val="000000" w:themeColor="text1"/>
          <w:sz w:val="22"/>
          <w:lang w:val="es-ES_tradnl"/>
        </w:rPr>
      </w:pPr>
    </w:p>
    <w:p w:rsidRPr="00FE75D2" w:rsidR="00A37FB6" w:rsidP="00F23E3A" w:rsidRDefault="00A37FB6" w14:paraId="687CB649" w14:textId="77777777">
      <w:pPr>
        <w:pStyle w:val="Prrafodelista"/>
        <w:numPr>
          <w:ilvl w:val="0"/>
          <w:numId w:val="6"/>
        </w:numPr>
        <w:tabs>
          <w:tab w:val="left" w:pos="284"/>
        </w:tabs>
        <w:spacing w:line="276" w:lineRule="auto"/>
        <w:ind w:left="0" w:hanging="142"/>
        <w:jc w:val="both"/>
        <w:rPr>
          <w:rFonts w:ascii="Arial" w:hAnsi="Arial" w:eastAsia="Calibri" w:cs="Arial"/>
          <w:color w:val="000000" w:themeColor="text1"/>
          <w:sz w:val="22"/>
        </w:rPr>
      </w:pPr>
      <w:r w:rsidRPr="00FE75D2">
        <w:rPr>
          <w:rFonts w:ascii="Arial" w:hAnsi="Arial" w:eastAsia="Calibri" w:cs="Arial"/>
          <w:b/>
          <w:color w:val="000000" w:themeColor="text1"/>
          <w:sz w:val="22"/>
        </w:rPr>
        <w:t>Respuestas</w:t>
      </w:r>
    </w:p>
    <w:p w:rsidRPr="00FE75D2" w:rsidR="00A37FB6" w:rsidP="00F23E3A" w:rsidRDefault="00A37FB6" w14:paraId="1369FD7E" w14:textId="77777777">
      <w:pPr>
        <w:spacing w:line="276" w:lineRule="auto"/>
        <w:ind w:left="709" w:right="709"/>
        <w:jc w:val="both"/>
        <w:rPr>
          <w:rFonts w:ascii="Arial" w:hAnsi="Arial" w:eastAsia="Calibri" w:cs="Arial"/>
          <w:i/>
          <w:color w:val="000000" w:themeColor="text1"/>
          <w:sz w:val="22"/>
        </w:rPr>
      </w:pPr>
    </w:p>
    <w:p w:rsidRPr="00FE75D2" w:rsidR="007E0383" w:rsidP="007E0383" w:rsidRDefault="007E0383" w14:paraId="085488B8" w14:textId="77777777">
      <w:pPr>
        <w:spacing w:line="276" w:lineRule="auto"/>
        <w:ind w:left="709" w:right="709"/>
        <w:jc w:val="both"/>
        <w:rPr>
          <w:rFonts w:ascii="Arial" w:hAnsi="Arial" w:eastAsia="Calibri" w:cs="Arial"/>
          <w:color w:val="000000" w:themeColor="text1"/>
          <w:sz w:val="22"/>
        </w:rPr>
      </w:pPr>
      <w:r w:rsidRPr="00FE75D2">
        <w:rPr>
          <w:rFonts w:ascii="Arial" w:hAnsi="Arial" w:eastAsia="Calibri" w:cs="Arial"/>
          <w:color w:val="000000" w:themeColor="text1"/>
          <w:sz w:val="22"/>
        </w:rPr>
        <w:t>«Sírvase informar si una empresa estando inhabilitada puede suscribir algún tipo de contrato con alguna entidad estatal»</w:t>
      </w:r>
    </w:p>
    <w:p w:rsidRPr="00FE75D2" w:rsidR="00FA19FB" w:rsidP="007E0383" w:rsidRDefault="007E0383" w14:paraId="1D8EC610" w14:textId="354A8EC9">
      <w:pPr>
        <w:spacing w:line="276" w:lineRule="auto"/>
        <w:ind w:left="709" w:right="709"/>
        <w:jc w:val="both"/>
        <w:rPr>
          <w:rFonts w:ascii="Arial" w:hAnsi="Arial" w:eastAsia="Calibri" w:cs="Arial"/>
          <w:color w:val="000000" w:themeColor="text1"/>
          <w:sz w:val="22"/>
          <w:lang w:val="es-ES_tradnl"/>
        </w:rPr>
      </w:pPr>
      <w:r w:rsidRPr="00FE75D2">
        <w:rPr>
          <w:rFonts w:ascii="Arial" w:hAnsi="Arial" w:eastAsia="Calibri" w:cs="Arial"/>
          <w:color w:val="000000" w:themeColor="text1"/>
          <w:sz w:val="22"/>
        </w:rPr>
        <w:t xml:space="preserve">  </w:t>
      </w:r>
    </w:p>
    <w:p w:rsidRPr="00FE75D2" w:rsidR="00B75B2B" w:rsidP="00B75B2B" w:rsidRDefault="007E0383" w14:paraId="500E5925" w14:textId="36DD44D2">
      <w:pPr>
        <w:spacing w:line="276" w:lineRule="auto"/>
        <w:jc w:val="both"/>
        <w:rPr>
          <w:rFonts w:ascii="Arial" w:hAnsi="Arial" w:eastAsia="Calibri" w:cs="Arial"/>
          <w:color w:val="000000" w:themeColor="text1"/>
          <w:sz w:val="22"/>
          <w:lang w:val="es-ES_tradnl"/>
        </w:rPr>
      </w:pPr>
      <w:r w:rsidRPr="00FE75D2">
        <w:rPr>
          <w:rFonts w:ascii="Arial" w:hAnsi="Arial" w:eastAsia="Calibri" w:cs="Arial"/>
          <w:color w:val="000000" w:themeColor="text1"/>
          <w:sz w:val="22"/>
          <w:lang w:val="es-ES_tradnl"/>
        </w:rPr>
        <w:t xml:space="preserve">Las personas </w:t>
      </w:r>
      <w:r w:rsidRPr="00FE75D2" w:rsidR="0067348A">
        <w:rPr>
          <w:rFonts w:ascii="Arial" w:hAnsi="Arial" w:eastAsia="Calibri" w:cs="Arial"/>
          <w:color w:val="000000" w:themeColor="text1"/>
          <w:sz w:val="22"/>
          <w:lang w:val="es-ES_tradnl"/>
        </w:rPr>
        <w:t xml:space="preserve">naturales o </w:t>
      </w:r>
      <w:r w:rsidRPr="00FE75D2">
        <w:rPr>
          <w:rFonts w:ascii="Arial" w:hAnsi="Arial" w:eastAsia="Calibri" w:cs="Arial"/>
          <w:color w:val="000000" w:themeColor="text1"/>
          <w:sz w:val="22"/>
          <w:lang w:val="es-ES_tradnl"/>
        </w:rPr>
        <w:t>jurídicas que se encuentren incursas en alguna causal de inhabilidad o i</w:t>
      </w:r>
      <w:r w:rsidRPr="00FE75D2" w:rsidR="00B75B2B">
        <w:rPr>
          <w:rFonts w:ascii="Arial" w:hAnsi="Arial" w:eastAsia="Calibri" w:cs="Arial"/>
          <w:color w:val="000000" w:themeColor="text1"/>
          <w:sz w:val="22"/>
          <w:lang w:val="es-ES_tradnl"/>
        </w:rPr>
        <w:t>n</w:t>
      </w:r>
      <w:r w:rsidRPr="00FE75D2">
        <w:rPr>
          <w:rFonts w:ascii="Arial" w:hAnsi="Arial" w:eastAsia="Calibri" w:cs="Arial"/>
          <w:color w:val="000000" w:themeColor="text1"/>
          <w:sz w:val="22"/>
          <w:lang w:val="es-ES_tradnl"/>
        </w:rPr>
        <w:t>compatibilidad</w:t>
      </w:r>
      <w:r w:rsidRPr="00FE75D2" w:rsidR="00B75B2B">
        <w:rPr>
          <w:rFonts w:ascii="Arial" w:hAnsi="Arial" w:eastAsia="Calibri" w:cs="Arial"/>
          <w:color w:val="000000" w:themeColor="text1"/>
          <w:sz w:val="22"/>
          <w:lang w:val="es-ES_tradnl"/>
        </w:rPr>
        <w:t xml:space="preserve"> no pueden suscribir contrato</w:t>
      </w:r>
      <w:r w:rsidRPr="00FE75D2" w:rsidR="004E0E0D">
        <w:rPr>
          <w:rFonts w:ascii="Arial" w:hAnsi="Arial" w:eastAsia="Calibri" w:cs="Arial"/>
          <w:color w:val="000000" w:themeColor="text1"/>
          <w:sz w:val="22"/>
          <w:lang w:val="es-ES_tradnl"/>
        </w:rPr>
        <w:t>s</w:t>
      </w:r>
      <w:r w:rsidRPr="00FE75D2" w:rsidR="00B75B2B">
        <w:rPr>
          <w:rFonts w:ascii="Arial" w:hAnsi="Arial" w:eastAsia="Calibri" w:cs="Arial"/>
          <w:color w:val="000000" w:themeColor="text1"/>
          <w:sz w:val="22"/>
          <w:lang w:val="es-ES_tradnl"/>
        </w:rPr>
        <w:t xml:space="preserve"> con </w:t>
      </w:r>
      <w:r w:rsidRPr="00FE75D2" w:rsidR="004E0E0D">
        <w:rPr>
          <w:rFonts w:ascii="Arial" w:hAnsi="Arial" w:eastAsia="Calibri" w:cs="Arial"/>
          <w:color w:val="000000" w:themeColor="text1"/>
          <w:sz w:val="22"/>
          <w:lang w:val="es-ES_tradnl"/>
        </w:rPr>
        <w:t xml:space="preserve">las </w:t>
      </w:r>
      <w:r w:rsidRPr="00FE75D2" w:rsidR="00B75B2B">
        <w:rPr>
          <w:rFonts w:ascii="Arial" w:hAnsi="Arial" w:eastAsia="Calibri" w:cs="Arial"/>
          <w:color w:val="000000" w:themeColor="text1"/>
          <w:sz w:val="22"/>
          <w:lang w:val="es-ES_tradnl"/>
        </w:rPr>
        <w:t>entidad</w:t>
      </w:r>
      <w:r w:rsidRPr="00FE75D2" w:rsidR="004E0E0D">
        <w:rPr>
          <w:rFonts w:ascii="Arial" w:hAnsi="Arial" w:eastAsia="Calibri" w:cs="Arial"/>
          <w:color w:val="000000" w:themeColor="text1"/>
          <w:sz w:val="22"/>
          <w:lang w:val="es-ES_tradnl"/>
        </w:rPr>
        <w:t>es</w:t>
      </w:r>
      <w:r w:rsidRPr="00FE75D2" w:rsidR="00B75B2B">
        <w:rPr>
          <w:rFonts w:ascii="Arial" w:hAnsi="Arial" w:eastAsia="Calibri" w:cs="Arial"/>
          <w:color w:val="000000" w:themeColor="text1"/>
          <w:sz w:val="22"/>
          <w:lang w:val="es-ES_tradnl"/>
        </w:rPr>
        <w:t xml:space="preserve"> estatal</w:t>
      </w:r>
      <w:r w:rsidRPr="00FE75D2" w:rsidR="004E0E0D">
        <w:rPr>
          <w:rFonts w:ascii="Arial" w:hAnsi="Arial" w:eastAsia="Calibri" w:cs="Arial"/>
          <w:color w:val="000000" w:themeColor="text1"/>
          <w:sz w:val="22"/>
          <w:lang w:val="es-ES_tradnl"/>
        </w:rPr>
        <w:t>es</w:t>
      </w:r>
      <w:r w:rsidRPr="00FE75D2" w:rsidR="00B75B2B">
        <w:rPr>
          <w:rFonts w:ascii="Arial" w:hAnsi="Arial" w:eastAsia="Calibri" w:cs="Arial"/>
          <w:color w:val="000000" w:themeColor="text1"/>
          <w:sz w:val="22"/>
          <w:lang w:val="es-ES_tradnl"/>
        </w:rPr>
        <w:t xml:space="preserve">, esto comoquiera que su capacidad para contratar se encuentra </w:t>
      </w:r>
      <w:r w:rsidRPr="00FE75D2" w:rsidR="002C6274">
        <w:rPr>
          <w:rFonts w:ascii="Arial" w:hAnsi="Arial" w:eastAsia="Calibri" w:cs="Arial"/>
          <w:color w:val="000000" w:themeColor="text1"/>
          <w:sz w:val="22"/>
          <w:lang w:val="es-ES_tradnl"/>
        </w:rPr>
        <w:t xml:space="preserve">afectada </w:t>
      </w:r>
      <w:r w:rsidRPr="00FE75D2" w:rsidR="00B75B2B">
        <w:rPr>
          <w:rFonts w:ascii="Arial" w:hAnsi="Arial" w:eastAsia="Calibri" w:cs="Arial"/>
          <w:color w:val="000000" w:themeColor="text1"/>
          <w:sz w:val="22"/>
          <w:lang w:val="es-ES_tradnl"/>
        </w:rPr>
        <w:t xml:space="preserve">como consecuencia de la respectiva causal. No obstante, la configuración de estas causales debe analizarse a luz del principio </w:t>
      </w:r>
      <w:r w:rsidRPr="00FE75D2" w:rsidR="00B75B2B">
        <w:rPr>
          <w:rFonts w:ascii="Arial" w:hAnsi="Arial" w:cs="Arial"/>
          <w:color w:val="000000" w:themeColor="text1"/>
          <w:sz w:val="22"/>
          <w:lang w:val="es-ES_tradnl"/>
        </w:rPr>
        <w:t xml:space="preserve">hermenéutico </w:t>
      </w:r>
      <w:r w:rsidRPr="00FE75D2" w:rsidR="00B75B2B">
        <w:rPr>
          <w:rFonts w:ascii="Arial" w:hAnsi="Arial" w:cs="Arial"/>
          <w:i/>
          <w:iCs/>
          <w:color w:val="000000" w:themeColor="text1"/>
          <w:sz w:val="22"/>
          <w:lang w:val="es-ES_tradnl"/>
        </w:rPr>
        <w:t xml:space="preserve">pro </w:t>
      </w:r>
      <w:proofErr w:type="spellStart"/>
      <w:r w:rsidRPr="00FE75D2" w:rsidR="00B75B2B">
        <w:rPr>
          <w:rFonts w:ascii="Arial" w:hAnsi="Arial" w:cs="Arial"/>
          <w:i/>
          <w:iCs/>
          <w:color w:val="000000" w:themeColor="text1"/>
          <w:sz w:val="22"/>
          <w:lang w:val="es-ES_tradnl"/>
        </w:rPr>
        <w:t>libertate</w:t>
      </w:r>
      <w:proofErr w:type="spellEnd"/>
      <w:r w:rsidRPr="00FE75D2" w:rsidR="00B75B2B">
        <w:rPr>
          <w:rFonts w:ascii="Arial" w:hAnsi="Arial" w:cs="Arial"/>
          <w:color w:val="000000" w:themeColor="text1"/>
          <w:sz w:val="22"/>
          <w:lang w:val="es-ES_tradnl"/>
        </w:rPr>
        <w:t>, según el cual</w:t>
      </w:r>
      <w:r w:rsidRPr="00FE75D2" w:rsidR="002C6274">
        <w:rPr>
          <w:rFonts w:ascii="Arial" w:hAnsi="Arial" w:cs="Arial"/>
          <w:color w:val="000000" w:themeColor="text1"/>
          <w:sz w:val="22"/>
          <w:lang w:val="es-ES_tradnl"/>
        </w:rPr>
        <w:t>,</w:t>
      </w:r>
      <w:r w:rsidRPr="00FE75D2" w:rsidR="00B75B2B">
        <w:rPr>
          <w:rFonts w:ascii="Arial" w:hAnsi="Arial" w:cs="Arial"/>
          <w:color w:val="000000" w:themeColor="text1"/>
          <w:sz w:val="22"/>
          <w:lang w:val="es-ES_tradnl"/>
        </w:rPr>
        <w:t xml:space="preserve"> entre varias interpretaciones posibles de una norma que regula una inhabilidad</w:t>
      </w:r>
      <w:r w:rsidRPr="00FE75D2" w:rsidR="004042CB">
        <w:rPr>
          <w:rFonts w:ascii="Arial" w:hAnsi="Arial" w:cs="Arial"/>
          <w:color w:val="000000" w:themeColor="text1"/>
          <w:sz w:val="22"/>
          <w:lang w:val="es-ES_tradnl"/>
        </w:rPr>
        <w:t xml:space="preserve"> o incompatibilidad</w:t>
      </w:r>
      <w:r w:rsidRPr="00FE75D2" w:rsidR="00B75B2B">
        <w:rPr>
          <w:rFonts w:ascii="Arial" w:hAnsi="Arial" w:cs="Arial"/>
          <w:color w:val="000000" w:themeColor="text1"/>
          <w:sz w:val="22"/>
          <w:lang w:val="es-ES_tradnl"/>
        </w:rPr>
        <w:t>, debe preferirse aquella que menos limit</w:t>
      </w:r>
      <w:r w:rsidRPr="00FE75D2" w:rsidR="002C6274">
        <w:rPr>
          <w:rFonts w:ascii="Arial" w:hAnsi="Arial" w:cs="Arial"/>
          <w:color w:val="000000" w:themeColor="text1"/>
          <w:sz w:val="22"/>
          <w:lang w:val="es-ES_tradnl"/>
        </w:rPr>
        <w:t>e</w:t>
      </w:r>
      <w:r w:rsidRPr="00FE75D2" w:rsidR="00B75B2B">
        <w:rPr>
          <w:rFonts w:ascii="Arial" w:hAnsi="Arial" w:cs="Arial"/>
          <w:color w:val="000000" w:themeColor="text1"/>
          <w:sz w:val="22"/>
          <w:lang w:val="es-ES_tradnl"/>
        </w:rPr>
        <w:t xml:space="preserve"> el derecho de las personas</w:t>
      </w:r>
      <w:r w:rsidRPr="00FE75D2" w:rsidR="002C6274">
        <w:rPr>
          <w:rFonts w:ascii="Arial" w:hAnsi="Arial" w:cs="Arial"/>
          <w:color w:val="000000" w:themeColor="text1"/>
          <w:sz w:val="22"/>
          <w:lang w:val="es-ES_tradnl"/>
        </w:rPr>
        <w:t>; y en tal sentido, no se admite una interpretación amplia, analógica o finalista de la causal</w:t>
      </w:r>
      <w:r w:rsidRPr="00FE75D2" w:rsidR="00B75B2B">
        <w:rPr>
          <w:rFonts w:ascii="Arial" w:hAnsi="Arial" w:cs="Arial"/>
          <w:color w:val="000000" w:themeColor="text1"/>
          <w:sz w:val="22"/>
          <w:lang w:val="es-ES_tradnl"/>
        </w:rPr>
        <w:t>.</w:t>
      </w:r>
    </w:p>
    <w:p w:rsidRPr="00FE75D2" w:rsidR="00B75B2B" w:rsidP="000E3936" w:rsidRDefault="00B75B2B" w14:paraId="06DF80C5" w14:textId="77777777">
      <w:pPr>
        <w:spacing w:line="276" w:lineRule="auto"/>
        <w:jc w:val="both"/>
        <w:rPr>
          <w:rFonts w:ascii="Arial" w:hAnsi="Arial" w:eastAsia="Calibri" w:cs="Arial"/>
          <w:color w:val="000000" w:themeColor="text1"/>
          <w:sz w:val="22"/>
          <w:lang w:val="es-ES_tradnl"/>
        </w:rPr>
      </w:pPr>
    </w:p>
    <w:p w:rsidRPr="00FE75D2" w:rsidR="00A37FB6" w:rsidP="000E3936" w:rsidRDefault="00A37FB6" w14:paraId="47DEA7AA" w14:textId="7498602E">
      <w:pPr>
        <w:spacing w:line="276" w:lineRule="auto"/>
        <w:jc w:val="both"/>
        <w:rPr>
          <w:rFonts w:ascii="Arial" w:hAnsi="Arial" w:eastAsia="Calibri" w:cs="Arial"/>
          <w:color w:val="000000" w:themeColor="text1"/>
          <w:sz w:val="22"/>
        </w:rPr>
      </w:pPr>
      <w:r w:rsidRPr="00FE75D2">
        <w:rPr>
          <w:rFonts w:ascii="Arial" w:hAnsi="Arial" w:eastAsia="Calibri" w:cs="Arial"/>
          <w:color w:val="000000" w:themeColor="text1"/>
          <w:sz w:val="22"/>
        </w:rPr>
        <w:t>Este concepto tiene el alcance previsto en el artículo 28 del Código de Procedimiento Administrativo y de lo Contencioso Administrativo.</w:t>
      </w:r>
    </w:p>
    <w:p w:rsidRPr="00FE75D2" w:rsidR="00A37FB6" w:rsidP="00F23E3A" w:rsidRDefault="00A37FB6" w14:paraId="43D2F84E" w14:textId="77777777">
      <w:pPr>
        <w:spacing w:line="276" w:lineRule="auto"/>
        <w:jc w:val="both"/>
        <w:rPr>
          <w:rFonts w:ascii="Arial" w:hAnsi="Arial" w:eastAsia="Calibri" w:cs="Arial"/>
          <w:color w:val="000000" w:themeColor="text1"/>
          <w:sz w:val="22"/>
        </w:rPr>
      </w:pPr>
    </w:p>
    <w:p w:rsidRPr="00FE75D2" w:rsidR="00A37FB6" w:rsidP="00F23E3A" w:rsidRDefault="00A37FB6" w14:paraId="0F8C901F" w14:textId="77777777">
      <w:pPr>
        <w:spacing w:line="276" w:lineRule="auto"/>
        <w:jc w:val="both"/>
        <w:rPr>
          <w:rFonts w:ascii="Arial" w:hAnsi="Arial" w:eastAsia="Calibri" w:cs="Arial"/>
          <w:color w:val="000000" w:themeColor="text1"/>
          <w:sz w:val="22"/>
        </w:rPr>
      </w:pPr>
      <w:r w:rsidRPr="00FE75D2">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w14:anchorId="7823BFEE">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rsidRPr="00FE75D2" w:rsidR="00A37FB6" w:rsidP="00F23E3A" w:rsidRDefault="00A37FB6" w14:paraId="1E81A930" w14:textId="77777777">
      <w:pPr>
        <w:spacing w:line="276" w:lineRule="auto"/>
        <w:rPr>
          <w:rFonts w:ascii="Arial" w:hAnsi="Arial" w:eastAsia="Times New Roman" w:cs="Arial"/>
          <w:color w:val="000000" w:themeColor="text1"/>
          <w:sz w:val="22"/>
          <w:lang w:eastAsia="es-CO"/>
        </w:rPr>
      </w:pPr>
      <w:r w:rsidRPr="00FE75D2">
        <w:rPr>
          <w:rFonts w:ascii="Arial" w:hAnsi="Arial" w:eastAsia="Times New Roman" w:cs="Arial"/>
          <w:color w:val="000000" w:themeColor="text1"/>
          <w:sz w:val="22"/>
          <w:lang w:eastAsia="es-CO"/>
        </w:rPr>
        <w:t>Atentamente,</w:t>
      </w:r>
    </w:p>
    <w:p w:rsidR="00746E08" w:rsidP="00F23E3A" w:rsidRDefault="003B123B" w14:paraId="57DD1EBD" w14:textId="279BBCD4">
      <w:pPr>
        <w:spacing w:line="276" w:lineRule="auto"/>
        <w:jc w:val="center"/>
        <w:rPr>
          <w:rFonts w:ascii="Arial" w:hAnsi="Arial" w:eastAsia="Times New Roman" w:cs="Arial"/>
          <w:color w:val="000000" w:themeColor="text1"/>
          <w:sz w:val="18"/>
          <w:szCs w:val="20"/>
          <w:lang w:eastAsia="es-CO"/>
        </w:rPr>
      </w:pPr>
      <w:r w:rsidR="003B123B">
        <w:drawing>
          <wp:inline wp14:editId="638899D3" wp14:anchorId="3819043D">
            <wp:extent cx="2773045" cy="988695"/>
            <wp:effectExtent l="0" t="0" r="0" b="0"/>
            <wp:docPr id="517301796" name="Imagen 5" title=""/>
            <wp:cNvGraphicFramePr>
              <a:graphicFrameLocks/>
            </wp:cNvGraphicFramePr>
            <a:graphic>
              <a:graphicData uri="http://schemas.openxmlformats.org/drawingml/2006/picture">
                <pic:pic>
                  <pic:nvPicPr>
                    <pic:cNvPr id="0" name="Imagen 5"/>
                    <pic:cNvPicPr/>
                  </pic:nvPicPr>
                  <pic:blipFill>
                    <a:blip r:embed="Re322d6b1535e419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FE75D2" w:rsidR="003B123B" w:rsidP="00F23E3A" w:rsidRDefault="003B123B" w14:paraId="1CA7D162" w14:textId="77777777">
      <w:pPr>
        <w:spacing w:line="276" w:lineRule="auto"/>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FE75D2" w:rsidR="00FE75D2" w:rsidTr="009E1BE1" w14:paraId="469202AF" w14:textId="77777777">
        <w:trPr>
          <w:trHeight w:val="315"/>
        </w:trPr>
        <w:tc>
          <w:tcPr>
            <w:tcW w:w="812" w:type="dxa"/>
            <w:vAlign w:val="center"/>
            <w:hideMark/>
          </w:tcPr>
          <w:p w:rsidRPr="00FE75D2" w:rsidR="00746E08" w:rsidP="00F23E3A" w:rsidRDefault="00746E08" w14:paraId="3F62A0B3" w14:textId="77777777">
            <w:pPr>
              <w:spacing w:line="276" w:lineRule="auto"/>
              <w:rPr>
                <w:rFonts w:ascii="Arial" w:hAnsi="Arial" w:eastAsia="Times New Roman" w:cs="Arial"/>
                <w:color w:val="000000" w:themeColor="text1"/>
                <w:sz w:val="16"/>
                <w:szCs w:val="16"/>
                <w:lang w:eastAsia="es-ES"/>
              </w:rPr>
            </w:pPr>
            <w:r w:rsidRPr="00FE75D2">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FE75D2" w:rsidR="00746E08" w:rsidP="00F23E3A" w:rsidRDefault="00B75B2B" w14:paraId="45BBD40F" w14:textId="2BDC1EDE">
            <w:pPr>
              <w:spacing w:line="276" w:lineRule="auto"/>
              <w:rPr>
                <w:rFonts w:ascii="Arial" w:hAnsi="Arial" w:eastAsia="Times New Roman" w:cs="Arial"/>
                <w:color w:val="000000" w:themeColor="text1"/>
                <w:sz w:val="16"/>
                <w:szCs w:val="16"/>
                <w:lang w:eastAsia="es-ES"/>
              </w:rPr>
            </w:pPr>
            <w:r w:rsidRPr="00FE75D2">
              <w:rPr>
                <w:rFonts w:ascii="Arial" w:hAnsi="Arial" w:eastAsia="Times New Roman" w:cs="Arial"/>
                <w:color w:val="000000" w:themeColor="text1"/>
                <w:sz w:val="16"/>
                <w:szCs w:val="16"/>
                <w:lang w:eastAsia="es-ES"/>
              </w:rPr>
              <w:t>Alejandro Sarmiento Cantillo</w:t>
            </w:r>
          </w:p>
          <w:p w:rsidRPr="00FE75D2" w:rsidR="00746E08" w:rsidP="00F23E3A" w:rsidRDefault="00644C0A" w14:paraId="51C325E7" w14:textId="60CAB374">
            <w:pPr>
              <w:spacing w:line="276" w:lineRule="auto"/>
              <w:rPr>
                <w:rFonts w:ascii="Arial" w:hAnsi="Arial" w:eastAsia="Times New Roman" w:cs="Arial"/>
                <w:color w:val="000000" w:themeColor="text1"/>
                <w:sz w:val="16"/>
                <w:szCs w:val="16"/>
                <w:lang w:eastAsia="es-ES"/>
              </w:rPr>
            </w:pPr>
            <w:r w:rsidRPr="00FE75D2">
              <w:rPr>
                <w:rFonts w:ascii="Arial" w:hAnsi="Arial" w:eastAsia="Times New Roman" w:cs="Arial"/>
                <w:color w:val="000000" w:themeColor="text1"/>
                <w:sz w:val="16"/>
                <w:szCs w:val="16"/>
                <w:lang w:eastAsia="es-ES"/>
              </w:rPr>
              <w:t>Contratista</w:t>
            </w:r>
          </w:p>
        </w:tc>
      </w:tr>
      <w:tr w:rsidRPr="00FE75D2" w:rsidR="00FE75D2" w:rsidTr="009E1BE1" w14:paraId="10BC78E8" w14:textId="77777777">
        <w:trPr>
          <w:trHeight w:val="330"/>
        </w:trPr>
        <w:tc>
          <w:tcPr>
            <w:tcW w:w="812" w:type="dxa"/>
            <w:vAlign w:val="center"/>
            <w:hideMark/>
          </w:tcPr>
          <w:p w:rsidRPr="00FE75D2" w:rsidR="00746E08" w:rsidP="00F23E3A" w:rsidRDefault="00746E08" w14:paraId="6A7DBF66" w14:textId="77777777">
            <w:pPr>
              <w:spacing w:line="276" w:lineRule="auto"/>
              <w:rPr>
                <w:rFonts w:ascii="Arial" w:hAnsi="Arial" w:eastAsia="Times New Roman" w:cs="Arial"/>
                <w:color w:val="000000" w:themeColor="text1"/>
                <w:sz w:val="16"/>
                <w:szCs w:val="16"/>
                <w:lang w:eastAsia="es-ES"/>
              </w:rPr>
            </w:pPr>
            <w:r w:rsidRPr="00FE75D2">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E75D2" w:rsidR="00746E08" w:rsidP="00F23E3A" w:rsidRDefault="00E605C4" w14:paraId="644949D7" w14:textId="61A60959">
            <w:pPr>
              <w:spacing w:line="276" w:lineRule="auto"/>
              <w:rPr>
                <w:rFonts w:ascii="Arial" w:hAnsi="Arial" w:eastAsia="Times New Roman" w:cs="Arial"/>
                <w:color w:val="000000" w:themeColor="text1"/>
                <w:sz w:val="16"/>
                <w:szCs w:val="16"/>
                <w:lang w:eastAsia="es-ES"/>
              </w:rPr>
            </w:pPr>
            <w:r w:rsidRPr="00FE75D2">
              <w:rPr>
                <w:rFonts w:ascii="Arial" w:hAnsi="Arial" w:eastAsia="Times New Roman" w:cs="Arial"/>
                <w:color w:val="000000" w:themeColor="text1"/>
                <w:sz w:val="16"/>
                <w:szCs w:val="16"/>
                <w:lang w:eastAsia="es-ES"/>
              </w:rPr>
              <w:t>Cristian Andrés Díaz Díez</w:t>
            </w:r>
          </w:p>
          <w:p w:rsidRPr="00FE75D2" w:rsidR="00746E08" w:rsidP="00F23E3A" w:rsidRDefault="00E605C4" w14:paraId="19E8BD8D" w14:textId="39C18C1A">
            <w:pPr>
              <w:spacing w:line="276" w:lineRule="auto"/>
              <w:rPr>
                <w:rFonts w:ascii="Arial" w:hAnsi="Arial" w:eastAsia="Times New Roman" w:cs="Arial"/>
                <w:color w:val="000000" w:themeColor="text1"/>
                <w:sz w:val="16"/>
                <w:szCs w:val="16"/>
                <w:lang w:eastAsia="es-ES"/>
              </w:rPr>
            </w:pPr>
            <w:r w:rsidRPr="00FE75D2">
              <w:rPr>
                <w:rFonts w:ascii="Arial" w:hAnsi="Arial" w:eastAsia="Times New Roman" w:cs="Arial"/>
                <w:color w:val="000000" w:themeColor="text1"/>
                <w:sz w:val="16"/>
                <w:szCs w:val="16"/>
                <w:lang w:eastAsia="es-ES"/>
              </w:rPr>
              <w:t xml:space="preserve">Contratista Subdirección </w:t>
            </w:r>
            <w:r w:rsidRPr="00FE75D2" w:rsidR="00746E08">
              <w:rPr>
                <w:rFonts w:ascii="Arial" w:hAnsi="Arial" w:eastAsia="Times New Roman" w:cs="Arial"/>
                <w:color w:val="000000" w:themeColor="text1"/>
                <w:sz w:val="16"/>
                <w:szCs w:val="16"/>
                <w:lang w:eastAsia="es-ES"/>
              </w:rPr>
              <w:t>de Gestión Contractual</w:t>
            </w:r>
          </w:p>
        </w:tc>
      </w:tr>
      <w:tr w:rsidRPr="00FE75D2" w:rsidR="00DE5B33" w:rsidTr="009E1BE1" w14:paraId="50741B38" w14:textId="77777777">
        <w:trPr>
          <w:trHeight w:val="300"/>
        </w:trPr>
        <w:tc>
          <w:tcPr>
            <w:tcW w:w="812" w:type="dxa"/>
            <w:vAlign w:val="center"/>
            <w:hideMark/>
          </w:tcPr>
          <w:p w:rsidRPr="00FE75D2" w:rsidR="00746E08" w:rsidP="00F23E3A" w:rsidRDefault="00746E08" w14:paraId="297715FA" w14:textId="77777777">
            <w:pPr>
              <w:spacing w:line="276" w:lineRule="auto"/>
              <w:rPr>
                <w:rFonts w:ascii="Arial" w:hAnsi="Arial" w:eastAsia="Times New Roman" w:cs="Arial"/>
                <w:color w:val="000000" w:themeColor="text1"/>
                <w:sz w:val="16"/>
                <w:szCs w:val="16"/>
                <w:lang w:eastAsia="es-ES"/>
              </w:rPr>
            </w:pPr>
            <w:r w:rsidRPr="00FE75D2">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FE75D2" w:rsidR="00746E08" w:rsidP="00F23E3A" w:rsidRDefault="00746E08" w14:paraId="036F6A2F" w14:textId="77777777">
            <w:pPr>
              <w:spacing w:line="276" w:lineRule="auto"/>
              <w:rPr>
                <w:rFonts w:ascii="Arial" w:hAnsi="Arial" w:eastAsia="Times New Roman" w:cs="Arial"/>
                <w:color w:val="000000" w:themeColor="text1"/>
                <w:sz w:val="16"/>
                <w:szCs w:val="16"/>
                <w:lang w:eastAsia="es-ES"/>
              </w:rPr>
            </w:pPr>
            <w:r w:rsidRPr="00FE75D2">
              <w:rPr>
                <w:rFonts w:ascii="Arial" w:hAnsi="Arial" w:eastAsia="Times New Roman" w:cs="Arial"/>
                <w:color w:val="000000" w:themeColor="text1"/>
                <w:sz w:val="16"/>
                <w:szCs w:val="16"/>
                <w:lang w:eastAsia="es-ES"/>
              </w:rPr>
              <w:t>Fabián Gonzalo Marín Cortés</w:t>
            </w:r>
          </w:p>
          <w:p w:rsidRPr="00FE75D2" w:rsidR="00746E08" w:rsidP="00F23E3A" w:rsidRDefault="00746E08" w14:paraId="17847B1F" w14:textId="71EB0D70">
            <w:pPr>
              <w:spacing w:line="276" w:lineRule="auto"/>
              <w:rPr>
                <w:rFonts w:ascii="Arial" w:hAnsi="Arial" w:eastAsia="Times New Roman" w:cs="Arial"/>
                <w:color w:val="000000" w:themeColor="text1"/>
                <w:sz w:val="16"/>
                <w:szCs w:val="16"/>
                <w:lang w:eastAsia="es-ES"/>
              </w:rPr>
            </w:pPr>
            <w:r w:rsidRPr="00FE75D2">
              <w:rPr>
                <w:rFonts w:ascii="Arial" w:hAnsi="Arial" w:eastAsia="Times New Roman" w:cs="Arial"/>
                <w:color w:val="000000" w:themeColor="text1"/>
                <w:sz w:val="16"/>
                <w:szCs w:val="16"/>
                <w:lang w:eastAsia="es-ES"/>
              </w:rPr>
              <w:t>Subdirector de Gestión Contractual</w:t>
            </w:r>
          </w:p>
        </w:tc>
      </w:tr>
    </w:tbl>
    <w:p w:rsidRPr="00FE75D2" w:rsidR="00746E08" w:rsidP="00F23E3A" w:rsidRDefault="00746E08" w14:paraId="35B56F46" w14:textId="77777777">
      <w:pPr>
        <w:spacing w:line="276" w:lineRule="auto"/>
        <w:rPr>
          <w:rFonts w:ascii="Arial" w:hAnsi="Arial" w:eastAsia="Times New Roman" w:cs="Arial"/>
          <w:color w:val="000000" w:themeColor="text1"/>
          <w:sz w:val="16"/>
          <w:szCs w:val="16"/>
          <w:lang w:eastAsia="es-ES"/>
        </w:rPr>
      </w:pPr>
    </w:p>
    <w:sectPr w:rsidRPr="00FE75D2" w:rsidR="00746E08"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34461" w:rsidRDefault="00134461" w14:paraId="5669FE70" w14:textId="77777777">
      <w:r>
        <w:separator/>
      </w:r>
    </w:p>
  </w:endnote>
  <w:endnote w:type="continuationSeparator" w:id="0">
    <w:p w:rsidR="00134461" w:rsidRDefault="00134461" w14:paraId="7692960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217B7" w:rsidP="00322937" w:rsidRDefault="008217B7" w14:paraId="62F02A34" w14:textId="77777777">
    <w:pPr>
      <w:pStyle w:val="Sinespaciado"/>
      <w:jc w:val="right"/>
      <w:rPr>
        <w:rFonts w:ascii="Arial" w:hAnsi="Arial" w:cs="Arial"/>
        <w:sz w:val="18"/>
        <w:szCs w:val="18"/>
      </w:rPr>
    </w:pPr>
  </w:p>
  <w:p w:rsidRPr="008217B7" w:rsidR="00FE42ED" w:rsidP="00FE42ED" w:rsidRDefault="008F538E" w14:paraId="7A3785F3" w14:textId="6D83052B">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PAGE  \* Arabic  \* MERGEFORMAT</w:instrText>
    </w:r>
    <w:r w:rsidRPr="00084B97" w:rsidR="00FE42ED">
      <w:rPr>
        <w:rFonts w:ascii="Arial" w:hAnsi="Arial" w:cs="Arial"/>
        <w:b/>
        <w:bCs/>
        <w:color w:val="7F7F7F" w:themeColor="text1" w:themeTint="80"/>
        <w:sz w:val="16"/>
        <w:szCs w:val="16"/>
      </w:rPr>
      <w:fldChar w:fldCharType="separate"/>
    </w:r>
    <w:r w:rsidR="00FC0512">
      <w:rPr>
        <w:rFonts w:ascii="Arial" w:hAnsi="Arial" w:cs="Arial"/>
        <w:b/>
        <w:bCs/>
        <w:noProof/>
        <w:color w:val="7F7F7F" w:themeColor="text1" w:themeTint="80"/>
        <w:sz w:val="16"/>
        <w:szCs w:val="16"/>
      </w:rPr>
      <w:t>2</w:t>
    </w:r>
    <w:r w:rsidRPr="00084B97" w:rsidR="00FE42ED">
      <w:rPr>
        <w:rFonts w:ascii="Arial" w:hAnsi="Arial" w:cs="Arial"/>
        <w:b/>
        <w:bCs/>
        <w:color w:val="7F7F7F" w:themeColor="text1" w:themeTint="80"/>
        <w:sz w:val="16"/>
        <w:szCs w:val="16"/>
      </w:rPr>
      <w:fldChar w:fldCharType="end"/>
    </w:r>
    <w:r w:rsidRPr="008217B7" w:rsidR="00FE42ED">
      <w:rPr>
        <w:rFonts w:ascii="Arial" w:hAnsi="Arial" w:cs="Arial"/>
        <w:color w:val="7F7F7F" w:themeColor="text1" w:themeTint="80"/>
        <w:sz w:val="16"/>
        <w:szCs w:val="16"/>
      </w:rPr>
      <w:t xml:space="preserve"> de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NUMPAGES  \* Arabic  \* MERGEFORMAT</w:instrText>
    </w:r>
    <w:r w:rsidRPr="00084B97" w:rsidR="00FE42ED">
      <w:rPr>
        <w:rFonts w:ascii="Arial" w:hAnsi="Arial" w:cs="Arial"/>
        <w:b/>
        <w:bCs/>
        <w:color w:val="7F7F7F" w:themeColor="text1" w:themeTint="80"/>
        <w:sz w:val="16"/>
        <w:szCs w:val="16"/>
      </w:rPr>
      <w:fldChar w:fldCharType="separate"/>
    </w:r>
    <w:r w:rsidR="00FC0512">
      <w:rPr>
        <w:rFonts w:ascii="Arial" w:hAnsi="Arial" w:cs="Arial"/>
        <w:b/>
        <w:bCs/>
        <w:noProof/>
        <w:color w:val="7F7F7F" w:themeColor="text1" w:themeTint="80"/>
        <w:sz w:val="16"/>
        <w:szCs w:val="16"/>
      </w:rPr>
      <w:t>7</w:t>
    </w:r>
    <w:r w:rsidRPr="00084B97" w:rsidR="00FE42ED">
      <w:rPr>
        <w:rFonts w:ascii="Arial" w:hAnsi="Arial" w:cs="Arial"/>
        <w:b/>
        <w:bCs/>
        <w:color w:val="7F7F7F" w:themeColor="text1" w:themeTint="80"/>
        <w:sz w:val="16"/>
        <w:szCs w:val="16"/>
      </w:rPr>
      <w:fldChar w:fldCharType="end"/>
    </w:r>
  </w:p>
  <w:p w:rsidR="009047C5" w:rsidP="00322937" w:rsidRDefault="007B0854" w14:paraId="48FC6A04" w14:textId="5FD1A7C9">
    <w:pPr>
      <w:pStyle w:val="Piedepgina"/>
      <w:jc w:val="center"/>
      <w:rPr>
        <w:lang w:val="es-ES"/>
      </w:rPr>
    </w:pPr>
    <w:r w:rsidR="3C747608">
      <w:drawing>
        <wp:inline wp14:editId="34832778" wp14:anchorId="608B196D">
          <wp:extent cx="3700130" cy="519139"/>
          <wp:effectExtent l="0" t="0" r="0" b="0"/>
          <wp:docPr id="1622124792" name="Imagen 3" title=""/>
          <wp:cNvGraphicFramePr>
            <a:graphicFrameLocks noChangeAspect="1"/>
          </wp:cNvGraphicFramePr>
          <a:graphic>
            <a:graphicData uri="http://schemas.openxmlformats.org/drawingml/2006/picture">
              <pic:pic>
                <pic:nvPicPr>
                  <pic:cNvPr id="0" name="Imagen 3"/>
                  <pic:cNvPicPr/>
                </pic:nvPicPr>
                <pic:blipFill>
                  <a:blip r:embed="Redd1396f546f4f4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322937" w:rsidP="007B0854" w:rsidRDefault="00322937" w14:paraId="5D0E988C" w14:textId="77777777">
    <w:pPr>
      <w:pStyle w:val="Piedepgina"/>
      <w:jc w:val="center"/>
      <w:rPr>
        <w:lang w:val="es-ES"/>
      </w:rPr>
    </w:pPr>
  </w:p>
  <w:p w:rsidRPr="007B0854" w:rsidR="004A34D2" w:rsidP="007B0854" w:rsidRDefault="004A34D2"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34461" w:rsidRDefault="00134461" w14:paraId="7BFCAEE6" w14:textId="77777777">
      <w:r>
        <w:separator/>
      </w:r>
    </w:p>
  </w:footnote>
  <w:footnote w:type="continuationSeparator" w:id="0">
    <w:p w:rsidR="00134461" w:rsidRDefault="00134461" w14:paraId="3BF2FF92" w14:textId="77777777">
      <w:r>
        <w:continuationSeparator/>
      </w:r>
    </w:p>
  </w:footnote>
  <w:footnote w:id="1">
    <w:p w:rsidRPr="00F12ABB" w:rsidR="0096318D" w:rsidP="006636B5" w:rsidRDefault="0096318D" w14:paraId="05E5404E" w14:textId="77777777">
      <w:pPr>
        <w:pStyle w:val="Textonotapie"/>
        <w:ind w:firstLine="709"/>
        <w:jc w:val="both"/>
        <w:rPr>
          <w:rFonts w:ascii="Arial" w:hAnsi="Arial" w:cs="Arial"/>
          <w:sz w:val="19"/>
          <w:szCs w:val="19"/>
        </w:rPr>
      </w:pPr>
      <w:r w:rsidRPr="00F12ABB">
        <w:rPr>
          <w:rStyle w:val="Refdenotaalpie"/>
          <w:rFonts w:ascii="Arial" w:hAnsi="Arial" w:cs="Arial"/>
          <w:sz w:val="19"/>
          <w:szCs w:val="19"/>
        </w:rPr>
        <w:footnoteRef/>
      </w:r>
      <w:r w:rsidRPr="00F12ABB">
        <w:rPr>
          <w:rFonts w:ascii="Arial" w:hAnsi="Arial" w:cs="Arial"/>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rsidRPr="00F12ABB" w:rsidR="0096318D" w:rsidP="006636B5" w:rsidRDefault="0096318D" w14:paraId="46E09161" w14:textId="77777777">
      <w:pPr>
        <w:pStyle w:val="Textonotapie"/>
        <w:ind w:firstLine="709"/>
        <w:jc w:val="both"/>
        <w:rPr>
          <w:rFonts w:ascii="Arial" w:hAnsi="Arial" w:cs="Arial"/>
          <w:sz w:val="19"/>
          <w:szCs w:val="19"/>
        </w:rPr>
      </w:pPr>
      <w:r w:rsidRPr="00F12ABB">
        <w:rPr>
          <w:rFonts w:ascii="Arial" w:hAnsi="Arial" w:cs="Arial"/>
          <w:sz w:val="19"/>
          <w:szCs w:val="19"/>
        </w:rPr>
        <w:t>»Las personas jurídicas nacionales y extranjeras deberán acreditar que su duración no será inferior a la del plazo del contrato y un año más».</w:t>
      </w:r>
    </w:p>
    <w:p w:rsidRPr="00F12ABB" w:rsidR="0096318D" w:rsidP="006636B5" w:rsidRDefault="0096318D" w14:paraId="3036140D" w14:textId="77777777">
      <w:pPr>
        <w:pStyle w:val="Textonotapie"/>
        <w:ind w:firstLine="709"/>
        <w:jc w:val="both"/>
        <w:rPr>
          <w:rFonts w:ascii="Arial" w:hAnsi="Arial" w:cs="Arial"/>
          <w:sz w:val="19"/>
          <w:szCs w:val="19"/>
        </w:rPr>
      </w:pPr>
    </w:p>
  </w:footnote>
  <w:footnote w:id="2">
    <w:p w:rsidRPr="00F12ABB" w:rsidR="0096318D" w:rsidP="006636B5" w:rsidRDefault="0096318D" w14:paraId="25ABFA16" w14:textId="77777777">
      <w:pPr>
        <w:pStyle w:val="Textonotapie"/>
        <w:ind w:firstLine="709"/>
        <w:jc w:val="both"/>
        <w:rPr>
          <w:rFonts w:ascii="Arial" w:hAnsi="Arial" w:cs="Arial"/>
          <w:sz w:val="19"/>
          <w:szCs w:val="19"/>
        </w:rPr>
      </w:pPr>
      <w:r w:rsidRPr="00F12ABB">
        <w:rPr>
          <w:rStyle w:val="Refdenotaalpie"/>
          <w:rFonts w:ascii="Arial" w:hAnsi="Arial" w:cs="Arial"/>
          <w:sz w:val="19"/>
          <w:szCs w:val="19"/>
        </w:rPr>
        <w:footnoteRef/>
      </w:r>
      <w:r w:rsidRPr="00F12ABB">
        <w:rPr>
          <w:rFonts w:ascii="Arial" w:hAnsi="Arial" w:cs="Arial"/>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rsidRPr="00F12ABB" w:rsidR="0096318D" w:rsidP="006636B5" w:rsidRDefault="0096318D" w14:paraId="51A5DCC8" w14:textId="77777777">
      <w:pPr>
        <w:pStyle w:val="Textonotapie"/>
        <w:ind w:firstLine="709"/>
        <w:jc w:val="both"/>
        <w:rPr>
          <w:rFonts w:ascii="Arial" w:hAnsi="Arial" w:cs="Arial"/>
          <w:sz w:val="19"/>
          <w:szCs w:val="19"/>
        </w:rPr>
      </w:pPr>
      <w:r w:rsidRPr="00F12ABB">
        <w:rPr>
          <w:rFonts w:ascii="Arial" w:hAnsi="Arial" w:cs="Arial"/>
          <w:sz w:val="19"/>
          <w:szCs w:val="19"/>
        </w:rPr>
        <w:t>»1o.) que sea legalmente capaz.</w:t>
      </w:r>
    </w:p>
    <w:p w:rsidRPr="00F12ABB" w:rsidR="0096318D" w:rsidP="006636B5" w:rsidRDefault="0096318D" w14:paraId="6313C6BC" w14:textId="77777777">
      <w:pPr>
        <w:pStyle w:val="Textonotapie"/>
        <w:ind w:firstLine="709"/>
        <w:jc w:val="both"/>
        <w:rPr>
          <w:rFonts w:ascii="Arial" w:hAnsi="Arial" w:cs="Arial"/>
          <w:sz w:val="19"/>
          <w:szCs w:val="19"/>
        </w:rPr>
      </w:pPr>
      <w:r w:rsidRPr="00F12ABB">
        <w:rPr>
          <w:rFonts w:ascii="Arial" w:hAnsi="Arial" w:cs="Arial"/>
          <w:sz w:val="19"/>
          <w:szCs w:val="19"/>
        </w:rPr>
        <w:t>[…]</w:t>
      </w:r>
    </w:p>
    <w:p w:rsidRPr="00F12ABB" w:rsidR="0096318D" w:rsidP="006636B5" w:rsidRDefault="0096318D" w14:paraId="08BC1196" w14:textId="77777777">
      <w:pPr>
        <w:pStyle w:val="Textonotapie"/>
        <w:ind w:firstLine="709"/>
        <w:jc w:val="both"/>
        <w:rPr>
          <w:rFonts w:ascii="Arial" w:hAnsi="Arial" w:cs="Arial"/>
          <w:sz w:val="19"/>
          <w:szCs w:val="19"/>
        </w:rPr>
      </w:pPr>
      <w:r w:rsidRPr="00F12ABB">
        <w:rPr>
          <w:rFonts w:ascii="Arial" w:hAnsi="Arial" w:cs="Arial"/>
          <w:sz w:val="19"/>
          <w:szCs w:val="19"/>
        </w:rPr>
        <w:t>»La capacidad legal de una persona consiste en poderse obligar por sí misma, sin el ministerio o la autorización de otra».</w:t>
      </w:r>
    </w:p>
    <w:p w:rsidRPr="00F12ABB" w:rsidR="0096318D" w:rsidP="006636B5" w:rsidRDefault="0096318D" w14:paraId="31FB6190" w14:textId="77777777">
      <w:pPr>
        <w:pStyle w:val="Textonotapie"/>
        <w:ind w:firstLine="709"/>
        <w:jc w:val="both"/>
        <w:rPr>
          <w:rFonts w:ascii="Arial" w:hAnsi="Arial" w:cs="Arial"/>
          <w:sz w:val="19"/>
          <w:szCs w:val="19"/>
          <w:lang w:val="es-CO"/>
        </w:rPr>
      </w:pPr>
    </w:p>
  </w:footnote>
  <w:footnote w:id="3">
    <w:p w:rsidRPr="00F12ABB" w:rsidR="0096318D" w:rsidP="006636B5" w:rsidRDefault="0096318D" w14:paraId="13DAA263" w14:textId="77777777">
      <w:pPr>
        <w:pStyle w:val="Textonotapie"/>
        <w:ind w:firstLine="709"/>
        <w:jc w:val="both"/>
        <w:rPr>
          <w:rFonts w:ascii="Arial" w:hAnsi="Arial" w:cs="Arial"/>
          <w:sz w:val="19"/>
          <w:szCs w:val="19"/>
          <w:lang w:val="es-ES"/>
        </w:rPr>
      </w:pPr>
      <w:r w:rsidRPr="00F12ABB">
        <w:rPr>
          <w:rStyle w:val="Refdenotaalpie"/>
          <w:rFonts w:ascii="Arial" w:hAnsi="Arial" w:cs="Arial"/>
          <w:sz w:val="19"/>
          <w:szCs w:val="19"/>
        </w:rPr>
        <w:footnoteRef/>
      </w:r>
      <w:r w:rsidRPr="00F12ABB">
        <w:rPr>
          <w:rFonts w:ascii="Arial" w:hAnsi="Arial" w:cs="Arial"/>
          <w:sz w:val="19"/>
          <w:szCs w:val="19"/>
        </w:rPr>
        <w:t xml:space="preserve"> Los incisos 1 y 2 de dicho artículo disponen: </w:t>
      </w:r>
      <w:r w:rsidRPr="00F12ABB">
        <w:rPr>
          <w:rFonts w:ascii="Arial" w:hAnsi="Arial" w:cs="Arial"/>
          <w:sz w:val="19"/>
          <w:szCs w:val="19"/>
          <w:lang w:val="es-ES"/>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F12ABB" w:rsidR="0096318D" w:rsidP="006636B5" w:rsidRDefault="0096318D" w14:paraId="459477F9" w14:textId="77777777">
      <w:pPr>
        <w:pStyle w:val="Textonotapie"/>
        <w:ind w:firstLine="709"/>
        <w:jc w:val="both"/>
        <w:rPr>
          <w:rFonts w:ascii="Arial" w:hAnsi="Arial" w:cs="Arial"/>
          <w:sz w:val="19"/>
          <w:szCs w:val="19"/>
          <w:lang w:val="es-ES"/>
        </w:rPr>
      </w:pPr>
      <w:r w:rsidRPr="00F12ABB">
        <w:rPr>
          <w:rFonts w:ascii="Arial" w:hAnsi="Arial" w:cs="Arial"/>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F12ABB" w:rsidR="0096318D" w:rsidP="006636B5" w:rsidRDefault="0096318D" w14:paraId="6BCB5449" w14:textId="77777777">
      <w:pPr>
        <w:pStyle w:val="Textonotapie"/>
        <w:ind w:firstLine="709"/>
        <w:jc w:val="both"/>
        <w:rPr>
          <w:rFonts w:ascii="Arial" w:hAnsi="Arial" w:cs="Arial"/>
          <w:sz w:val="19"/>
          <w:szCs w:val="19"/>
          <w:lang w:val="es-CO"/>
        </w:rPr>
      </w:pPr>
    </w:p>
  </w:footnote>
  <w:footnote w:id="4">
    <w:p w:rsidRPr="00F12ABB" w:rsidR="0096318D" w:rsidP="006636B5" w:rsidRDefault="0096318D" w14:paraId="726D63A3" w14:textId="77777777">
      <w:pPr>
        <w:pStyle w:val="Textonotapie"/>
        <w:ind w:firstLine="709"/>
        <w:jc w:val="both"/>
        <w:rPr>
          <w:rFonts w:ascii="Arial" w:hAnsi="Arial" w:cs="Arial"/>
          <w:sz w:val="19"/>
          <w:szCs w:val="19"/>
          <w:lang w:val="es-ES"/>
        </w:rPr>
      </w:pPr>
      <w:r w:rsidRPr="00F12ABB">
        <w:rPr>
          <w:rStyle w:val="Refdenotaalpie"/>
          <w:rFonts w:ascii="Arial" w:hAnsi="Arial" w:cs="Arial"/>
          <w:sz w:val="19"/>
          <w:szCs w:val="19"/>
        </w:rPr>
        <w:footnoteRef/>
      </w:r>
      <w:r w:rsidRPr="00F12ABB">
        <w:rPr>
          <w:rFonts w:ascii="Arial" w:hAnsi="Arial" w:cs="Arial"/>
          <w:sz w:val="19"/>
          <w:szCs w:val="19"/>
        </w:rPr>
        <w:t xml:space="preserve"> </w:t>
      </w:r>
      <w:r w:rsidRPr="00F12ABB">
        <w:rPr>
          <w:rFonts w:ascii="Arial" w:hAnsi="Arial" w:cs="Arial"/>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F12ABB">
        <w:rPr>
          <w:rFonts w:ascii="Arial" w:hAnsi="Arial" w:cs="Arial"/>
          <w:i/>
          <w:iCs/>
          <w:sz w:val="19"/>
          <w:szCs w:val="19"/>
          <w:lang w:val="es-ES"/>
        </w:rPr>
        <w:t>el régimen de inhabilidades e incompatibilidades</w:t>
      </w:r>
      <w:r w:rsidRPr="00F12ABB">
        <w:rPr>
          <w:rFonts w:ascii="Arial" w:hAnsi="Arial" w:cs="Arial"/>
          <w:sz w:val="19"/>
          <w:szCs w:val="19"/>
          <w:lang w:val="es-ES"/>
        </w:rPr>
        <w:t xml:space="preserve"> (1) y la obligación de ciertos proponentes de inscribirse en el </w:t>
      </w:r>
      <w:r w:rsidRPr="00F12ABB">
        <w:rPr>
          <w:rFonts w:ascii="Arial" w:hAnsi="Arial" w:cs="Arial"/>
          <w:i/>
          <w:iCs/>
          <w:sz w:val="19"/>
          <w:szCs w:val="19"/>
          <w:lang w:val="es-ES"/>
        </w:rPr>
        <w:t>registro único</w:t>
      </w:r>
      <w:r w:rsidRPr="00F12ABB">
        <w:rPr>
          <w:rFonts w:ascii="Arial" w:hAnsi="Arial" w:cs="Arial"/>
          <w:sz w:val="19"/>
          <w:szCs w:val="19"/>
          <w:lang w:val="es-ES"/>
        </w:rPr>
        <w:t xml:space="preserve"> (2)» (BENAVIDES, José Luis. El contrato estatal. Entre el Derecho público y el Derecho privado. 2ª ed. Bogotá: Universidad Externado de Colombia, 2004. p. 278). </w:t>
      </w:r>
    </w:p>
    <w:p w:rsidRPr="00F12ABB" w:rsidR="0096318D" w:rsidP="006636B5" w:rsidRDefault="0096318D" w14:paraId="69944C70" w14:textId="77777777">
      <w:pPr>
        <w:pStyle w:val="Textonotapie"/>
        <w:ind w:firstLine="709"/>
        <w:jc w:val="both"/>
        <w:rPr>
          <w:rFonts w:ascii="Arial" w:hAnsi="Arial" w:cs="Arial"/>
          <w:sz w:val="19"/>
          <w:szCs w:val="19"/>
          <w:lang w:val="es-ES"/>
        </w:rPr>
      </w:pPr>
    </w:p>
  </w:footnote>
  <w:footnote w:id="5">
    <w:p w:rsidRPr="00F12ABB" w:rsidR="0096318D" w:rsidP="006636B5" w:rsidRDefault="0096318D" w14:paraId="79455800" w14:textId="77777777">
      <w:pPr>
        <w:ind w:firstLine="709"/>
        <w:jc w:val="both"/>
        <w:rPr>
          <w:rFonts w:ascii="Arial" w:hAnsi="Arial" w:cs="Arial"/>
          <w:sz w:val="19"/>
          <w:szCs w:val="19"/>
          <w:lang w:val="es-ES"/>
        </w:rPr>
      </w:pPr>
      <w:r w:rsidRPr="00F12ABB">
        <w:rPr>
          <w:rStyle w:val="Refdenotaalpie"/>
          <w:rFonts w:ascii="Arial" w:hAnsi="Arial" w:cs="Arial"/>
          <w:sz w:val="19"/>
          <w:szCs w:val="19"/>
        </w:rPr>
        <w:footnoteRef/>
      </w:r>
      <w:r w:rsidRPr="00F12ABB">
        <w:rPr>
          <w:rFonts w:ascii="Arial" w:hAnsi="Arial" w:cs="Arial"/>
          <w:sz w:val="19"/>
          <w:szCs w:val="19"/>
        </w:rPr>
        <w:t xml:space="preserve"> </w:t>
      </w:r>
      <w:r w:rsidRPr="00F12ABB">
        <w:rPr>
          <w:rFonts w:ascii="Arial" w:hAnsi="Arial" w:cs="Arial"/>
          <w:sz w:val="19"/>
          <w:szCs w:val="19"/>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1º,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b, Ley 80/93); «Quienes dieron lugar a la declaratoria de caducidad»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1º,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1º,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d), Ley 80/93); «Quienes sin justa causa se abstengan de suscribir el contrato estatal adjudicado»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1º,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1º,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1º,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1º,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a), b) y c), Ley 1474/11, modificado por el art. 43, Ley 1955/19).</w:t>
      </w:r>
    </w:p>
    <w:p w:rsidRPr="00F12ABB" w:rsidR="0096318D" w:rsidP="006636B5" w:rsidRDefault="0096318D" w14:paraId="744DE6BE" w14:textId="77777777">
      <w:pPr>
        <w:ind w:firstLine="709"/>
        <w:jc w:val="both"/>
        <w:rPr>
          <w:rFonts w:ascii="Arial" w:hAnsi="Arial" w:cs="Arial"/>
          <w:sz w:val="19"/>
          <w:szCs w:val="19"/>
          <w:lang w:val="es-ES"/>
        </w:rPr>
      </w:pPr>
    </w:p>
  </w:footnote>
  <w:footnote w:id="6">
    <w:p w:rsidRPr="00F12ABB" w:rsidR="0096318D" w:rsidP="006636B5" w:rsidRDefault="0096318D" w14:paraId="6B99F2D8" w14:textId="77777777">
      <w:pPr>
        <w:pStyle w:val="Textonotapie"/>
        <w:ind w:firstLine="709"/>
        <w:jc w:val="both"/>
        <w:rPr>
          <w:rFonts w:ascii="Arial" w:hAnsi="Arial" w:cs="Arial"/>
          <w:sz w:val="19"/>
          <w:szCs w:val="19"/>
          <w:lang w:val="es-ES"/>
        </w:rPr>
      </w:pPr>
      <w:r w:rsidRPr="00F12ABB">
        <w:rPr>
          <w:rStyle w:val="Refdenotaalpie"/>
          <w:rFonts w:ascii="Arial" w:hAnsi="Arial" w:cs="Arial"/>
          <w:sz w:val="19"/>
          <w:szCs w:val="19"/>
        </w:rPr>
        <w:footnoteRef/>
      </w:r>
      <w:r w:rsidRPr="00F12ABB">
        <w:rPr>
          <w:rFonts w:ascii="Arial" w:hAnsi="Arial" w:cs="Arial"/>
          <w:sz w:val="19"/>
          <w:szCs w:val="19"/>
        </w:rPr>
        <w:t xml:space="preserve"> </w:t>
      </w:r>
      <w:r w:rsidRPr="00F12ABB">
        <w:rPr>
          <w:rFonts w:ascii="Arial" w:hAnsi="Arial" w:cs="Arial"/>
          <w:sz w:val="19"/>
          <w:szCs w:val="19"/>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1º,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1º,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2º,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b), Ley 80/93); «El cónyuge, compañero o compañera permanente del servidor público en los niveles directivo, asesor, ejecutivo, o de un miembro de la junta o consejo directivo, o de quien ejerza funciones de control interno o de control fiscal»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2º,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2º,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d), Ley 80/93).</w:t>
      </w:r>
    </w:p>
    <w:p w:rsidRPr="00F12ABB" w:rsidR="0096318D" w:rsidP="006636B5" w:rsidRDefault="0096318D" w14:paraId="0C0630FF" w14:textId="77777777">
      <w:pPr>
        <w:pStyle w:val="Textonotapie"/>
        <w:ind w:firstLine="709"/>
        <w:jc w:val="both"/>
        <w:rPr>
          <w:rFonts w:ascii="Arial" w:hAnsi="Arial" w:cs="Arial"/>
          <w:sz w:val="19"/>
          <w:szCs w:val="19"/>
          <w:lang w:val="es-CO"/>
        </w:rPr>
      </w:pPr>
    </w:p>
  </w:footnote>
  <w:footnote w:id="7">
    <w:p w:rsidRPr="00F12ABB" w:rsidR="0096318D" w:rsidP="006636B5" w:rsidRDefault="0096318D" w14:paraId="64926919" w14:textId="77777777">
      <w:pPr>
        <w:pStyle w:val="Textonotapie"/>
        <w:ind w:firstLine="709"/>
        <w:jc w:val="both"/>
        <w:rPr>
          <w:rFonts w:ascii="Arial" w:hAnsi="Arial" w:cs="Arial"/>
          <w:sz w:val="19"/>
          <w:szCs w:val="19"/>
          <w:lang w:val="es-ES"/>
        </w:rPr>
      </w:pPr>
      <w:r w:rsidRPr="00F12ABB">
        <w:rPr>
          <w:rStyle w:val="Refdenotaalpie"/>
          <w:rFonts w:ascii="Arial" w:hAnsi="Arial" w:cs="Arial"/>
          <w:sz w:val="19"/>
          <w:szCs w:val="19"/>
        </w:rPr>
        <w:footnoteRef/>
      </w:r>
      <w:r w:rsidRPr="00F12ABB">
        <w:rPr>
          <w:rFonts w:ascii="Arial" w:hAnsi="Arial" w:cs="Arial"/>
          <w:sz w:val="19"/>
          <w:szCs w:val="19"/>
        </w:rPr>
        <w:t xml:space="preserve"> </w:t>
      </w:r>
      <w:r w:rsidRPr="00F12ABB">
        <w:rPr>
          <w:rFonts w:ascii="Arial" w:hAnsi="Arial" w:cs="Arial"/>
          <w:sz w:val="19"/>
          <w:szCs w:val="19"/>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1º,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k), Ley 80/93, modificado por el art. 33, Ley 1778/16); «Quienes fueron miembros de la junta o consejo directivo o servidores públicos de la entidad contratante»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2º,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2º,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f), Ley 80/93, adicionado por el art. 4º, Ley 1474/2011) [a pesar de que la norma la califica como una incompatibilidad, en realidad se trata de una inhabilidad, ya que en dicha causal no existe concurrencia de calidades en un sujeto]. </w:t>
      </w:r>
    </w:p>
    <w:p w:rsidRPr="00F12ABB" w:rsidR="0096318D" w:rsidP="006636B5" w:rsidRDefault="0096318D" w14:paraId="5FD6C257" w14:textId="77777777">
      <w:pPr>
        <w:pStyle w:val="Textonotapie"/>
        <w:ind w:firstLine="709"/>
        <w:jc w:val="both"/>
        <w:rPr>
          <w:rFonts w:ascii="Arial" w:hAnsi="Arial" w:cs="Arial"/>
          <w:sz w:val="19"/>
          <w:szCs w:val="19"/>
          <w:lang w:val="es-CO"/>
        </w:rPr>
      </w:pPr>
      <w:r w:rsidRPr="00F12ABB">
        <w:rPr>
          <w:rFonts w:ascii="Arial" w:hAnsi="Arial" w:cs="Arial"/>
          <w:sz w:val="19"/>
          <w:szCs w:val="19"/>
          <w:lang w:val="es-ES"/>
        </w:rPr>
        <w:t xml:space="preserve">  </w:t>
      </w:r>
    </w:p>
  </w:footnote>
  <w:footnote w:id="8">
    <w:p w:rsidRPr="00F12ABB" w:rsidR="0096318D" w:rsidP="006636B5" w:rsidRDefault="0096318D" w14:paraId="58F54EB8" w14:textId="652B1A88">
      <w:pPr>
        <w:ind w:firstLine="709"/>
        <w:jc w:val="both"/>
        <w:rPr>
          <w:rFonts w:ascii="Arial" w:hAnsi="Arial" w:cs="Arial"/>
          <w:sz w:val="19"/>
          <w:szCs w:val="19"/>
          <w:lang w:val="es-ES"/>
        </w:rPr>
      </w:pPr>
      <w:r w:rsidRPr="00F12ABB">
        <w:rPr>
          <w:rStyle w:val="Refdenotaalpie"/>
          <w:rFonts w:ascii="Arial" w:hAnsi="Arial" w:cs="Arial"/>
          <w:sz w:val="19"/>
          <w:szCs w:val="19"/>
        </w:rPr>
        <w:footnoteRef/>
      </w:r>
      <w:r w:rsidRPr="00F12ABB">
        <w:rPr>
          <w:rFonts w:ascii="Arial" w:hAnsi="Arial" w:cs="Arial"/>
          <w:sz w:val="19"/>
          <w:szCs w:val="19"/>
        </w:rPr>
        <w:t xml:space="preserve"> </w:t>
      </w:r>
      <w:r w:rsidRPr="00F12ABB">
        <w:rPr>
          <w:rFonts w:ascii="Arial" w:hAnsi="Arial" w:cs="Arial"/>
          <w:sz w:val="19"/>
          <w:szCs w:val="19"/>
          <w:lang w:val="es-ES"/>
        </w:rPr>
        <w:t xml:space="preserve">Como las señaladas a continuación: «Los servidores públicos»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1º,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2º,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d), Ley 80/93); «Los miembros de las juntas o consejos directivos. Esta incompatibilidad sólo se predica respecto de la entidad a la cual prestan sus servicios y de las del sector administrativo al que la misma esté adscrita o vinculada» (art. 8, </w:t>
      </w:r>
      <w:proofErr w:type="spellStart"/>
      <w:r w:rsidRPr="00F12ABB">
        <w:rPr>
          <w:rFonts w:ascii="Arial" w:hAnsi="Arial" w:cs="Arial"/>
          <w:sz w:val="19"/>
          <w:szCs w:val="19"/>
          <w:lang w:val="es-ES"/>
        </w:rPr>
        <w:t>num</w:t>
      </w:r>
      <w:proofErr w:type="spellEnd"/>
      <w:r w:rsidRPr="00F12ABB">
        <w:rPr>
          <w:rFonts w:ascii="Arial" w:hAnsi="Arial" w:cs="Arial"/>
          <w:sz w:val="19"/>
          <w:szCs w:val="19"/>
          <w:lang w:val="es-ES"/>
        </w:rPr>
        <w:t xml:space="preserve">. 2º, </w:t>
      </w:r>
      <w:proofErr w:type="spellStart"/>
      <w:r w:rsidRPr="00F12ABB">
        <w:rPr>
          <w:rFonts w:ascii="Arial" w:hAnsi="Arial" w:cs="Arial"/>
          <w:sz w:val="19"/>
          <w:szCs w:val="19"/>
          <w:lang w:val="es-ES"/>
        </w:rPr>
        <w:t>lit.</w:t>
      </w:r>
      <w:proofErr w:type="spellEnd"/>
      <w:r w:rsidRPr="00F12ABB">
        <w:rPr>
          <w:rFonts w:ascii="Arial" w:hAnsi="Arial" w:cs="Arial"/>
          <w:sz w:val="19"/>
          <w:szCs w:val="19"/>
          <w:lang w:val="es-ES"/>
        </w:rPr>
        <w:t xml:space="preserve"> e), Ley 80/93); «Quien haya celebrado un contrato estatal de obra pública, de concesión, suministro de medicamentos y de alimentos o su cónyuge, compañero o compañera permanente, pariente hasta el segundo grado de </w:t>
      </w:r>
      <w:proofErr w:type="spellStart"/>
      <w:r w:rsidRPr="00F12ABB">
        <w:rPr>
          <w:rFonts w:ascii="Arial" w:hAnsi="Arial" w:cs="Arial"/>
          <w:sz w:val="19"/>
          <w:szCs w:val="19"/>
          <w:lang w:val="es-ES"/>
        </w:rPr>
        <w:t>consaguinidad</w:t>
      </w:r>
      <w:proofErr w:type="spellEnd"/>
      <w:r w:rsidRPr="00F12ABB">
        <w:rPr>
          <w:rFonts w:ascii="Arial" w:hAnsi="Arial" w:cs="Arial"/>
          <w:sz w:val="19"/>
          <w:szCs w:val="19"/>
          <w:lang w:val="es-ES"/>
        </w:rPr>
        <w:t xml:space="preserve">,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footnote>
  <w:footnote w:id="9">
    <w:p w:rsidRPr="00F12ABB" w:rsidR="0096318D" w:rsidP="006636B5" w:rsidRDefault="0096318D" w14:paraId="55D9CD2C" w14:textId="77777777">
      <w:pPr>
        <w:pStyle w:val="Textonotapie"/>
        <w:ind w:firstLine="709"/>
        <w:jc w:val="both"/>
        <w:rPr>
          <w:rFonts w:ascii="Arial" w:hAnsi="Arial" w:cs="Arial"/>
          <w:sz w:val="19"/>
          <w:szCs w:val="19"/>
          <w:lang w:val="es-ES"/>
        </w:rPr>
      </w:pPr>
      <w:r w:rsidRPr="00F12ABB">
        <w:rPr>
          <w:rStyle w:val="Refdenotaalpie"/>
          <w:rFonts w:ascii="Arial" w:hAnsi="Arial" w:cs="Arial"/>
          <w:sz w:val="19"/>
          <w:szCs w:val="19"/>
        </w:rPr>
        <w:footnoteRef/>
      </w:r>
      <w:r w:rsidRPr="00F12ABB">
        <w:rPr>
          <w:rFonts w:ascii="Arial" w:hAnsi="Arial" w:cs="Arial"/>
          <w:sz w:val="19"/>
          <w:szCs w:val="19"/>
        </w:rPr>
        <w:t xml:space="preserve"> </w:t>
      </w:r>
      <w:r w:rsidRPr="00F12ABB">
        <w:rPr>
          <w:rFonts w:ascii="Arial" w:hAnsi="Arial" w:cs="Arial"/>
          <w:sz w:val="19"/>
          <w:szCs w:val="19"/>
          <w:lang w:val="es-ES"/>
        </w:rPr>
        <w:t xml:space="preserve">BARRETO ROZO, Antonio Alejandro. Inhabilidades de la contratación estatal, efectos y </w:t>
      </w:r>
      <w:proofErr w:type="spellStart"/>
      <w:r w:rsidRPr="00F12ABB">
        <w:rPr>
          <w:rFonts w:ascii="Arial" w:hAnsi="Arial" w:cs="Arial"/>
          <w:sz w:val="19"/>
          <w:szCs w:val="19"/>
          <w:lang w:val="es-ES"/>
        </w:rPr>
        <w:t>neopunitivismo</w:t>
      </w:r>
      <w:proofErr w:type="spellEnd"/>
      <w:r w:rsidRPr="00F12ABB">
        <w:rPr>
          <w:rFonts w:ascii="Arial" w:hAnsi="Arial" w:cs="Arial"/>
          <w:sz w:val="19"/>
          <w:szCs w:val="19"/>
          <w:lang w:val="es-ES"/>
        </w:rPr>
        <w:t xml:space="preserve"> en el Estatuto Anticorrupción. En: ALVIAR GARCÍA, Helena (Coordinadora). Nuevas tendencias del Derecho administrativo. Bogotá: Universidad de los Andes; Temis, 2016. pp. 63-99.</w:t>
      </w:r>
    </w:p>
    <w:p w:rsidRPr="00F12ABB" w:rsidR="0096318D" w:rsidP="006636B5" w:rsidRDefault="0096318D" w14:paraId="1FA0F325" w14:textId="77777777">
      <w:pPr>
        <w:pStyle w:val="Textonotapie"/>
        <w:ind w:firstLine="709"/>
        <w:jc w:val="both"/>
        <w:rPr>
          <w:rFonts w:ascii="Arial" w:hAnsi="Arial" w:cs="Arial"/>
          <w:sz w:val="19"/>
          <w:szCs w:val="19"/>
          <w:lang w:val="es-ES"/>
        </w:rPr>
      </w:pPr>
    </w:p>
  </w:footnote>
  <w:footnote w:id="10">
    <w:p w:rsidRPr="00F12ABB" w:rsidR="0096318D" w:rsidP="006636B5" w:rsidRDefault="0096318D" w14:paraId="7C9C83F7" w14:textId="77777777">
      <w:pPr>
        <w:pStyle w:val="Textonotapie"/>
        <w:ind w:firstLine="709"/>
        <w:jc w:val="both"/>
        <w:rPr>
          <w:rFonts w:ascii="Arial" w:hAnsi="Arial" w:cs="Arial"/>
          <w:sz w:val="19"/>
          <w:szCs w:val="19"/>
          <w:lang w:val="es-ES"/>
        </w:rPr>
      </w:pPr>
      <w:r w:rsidRPr="00F12ABB">
        <w:rPr>
          <w:rStyle w:val="Refdenotaalpie"/>
          <w:rFonts w:ascii="Arial" w:hAnsi="Arial" w:cs="Arial"/>
          <w:sz w:val="19"/>
          <w:szCs w:val="19"/>
        </w:rPr>
        <w:footnoteRef/>
      </w:r>
      <w:r w:rsidRPr="00F12ABB">
        <w:rPr>
          <w:rFonts w:ascii="Arial" w:hAnsi="Arial" w:cs="Arial"/>
          <w:sz w:val="19"/>
          <w:szCs w:val="19"/>
        </w:rPr>
        <w:t xml:space="preserve"> </w:t>
      </w:r>
      <w:r w:rsidRPr="00F12ABB">
        <w:rPr>
          <w:rFonts w:ascii="Arial" w:hAnsi="Arial" w:cs="Arial"/>
          <w:sz w:val="19"/>
          <w:szCs w:val="19"/>
          <w:lang w:val="es-ES"/>
        </w:rPr>
        <w:t>Ibíd., p. 69.</w:t>
      </w:r>
    </w:p>
    <w:p w:rsidRPr="00F12ABB" w:rsidR="0096318D" w:rsidP="006636B5" w:rsidRDefault="0096318D" w14:paraId="1B7F9D68" w14:textId="77777777">
      <w:pPr>
        <w:pStyle w:val="Textonotapie"/>
        <w:ind w:firstLine="709"/>
        <w:jc w:val="both"/>
        <w:rPr>
          <w:rFonts w:ascii="Arial" w:hAnsi="Arial" w:cs="Arial"/>
          <w:sz w:val="19"/>
          <w:szCs w:val="19"/>
          <w:lang w:val="es-ES"/>
        </w:rPr>
      </w:pPr>
    </w:p>
  </w:footnote>
  <w:footnote w:id="11">
    <w:p w:rsidRPr="00F12ABB" w:rsidR="0096318D" w:rsidP="006636B5" w:rsidRDefault="0096318D" w14:paraId="09C6703B" w14:textId="77777777">
      <w:pPr>
        <w:pStyle w:val="Textonotapie"/>
        <w:ind w:firstLine="709"/>
        <w:jc w:val="both"/>
        <w:rPr>
          <w:rFonts w:ascii="Arial" w:hAnsi="Arial" w:cs="Arial"/>
          <w:sz w:val="19"/>
          <w:szCs w:val="19"/>
          <w:lang w:val="es-ES"/>
        </w:rPr>
      </w:pPr>
      <w:r w:rsidRPr="00F12ABB">
        <w:rPr>
          <w:rStyle w:val="Refdenotaalpie"/>
          <w:rFonts w:ascii="Arial" w:hAnsi="Arial" w:cs="Arial"/>
          <w:sz w:val="19"/>
          <w:szCs w:val="19"/>
        </w:rPr>
        <w:footnoteRef/>
      </w:r>
      <w:r w:rsidRPr="00F12ABB">
        <w:rPr>
          <w:rFonts w:ascii="Arial" w:hAnsi="Arial" w:cs="Arial"/>
          <w:sz w:val="19"/>
          <w:szCs w:val="19"/>
        </w:rPr>
        <w:t xml:space="preserve"> </w:t>
      </w:r>
      <w:r w:rsidRPr="00F12ABB">
        <w:rPr>
          <w:rFonts w:ascii="Arial" w:hAnsi="Arial" w:cs="Arial"/>
          <w:sz w:val="19"/>
          <w:szCs w:val="19"/>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rsidRPr="00F12ABB" w:rsidR="0096318D" w:rsidP="006636B5" w:rsidRDefault="0096318D" w14:paraId="1CCC4BEC" w14:textId="77777777">
      <w:pPr>
        <w:pStyle w:val="Textonotapie"/>
        <w:ind w:firstLine="709"/>
        <w:jc w:val="both"/>
        <w:rPr>
          <w:rFonts w:ascii="Arial" w:hAnsi="Arial" w:cs="Arial"/>
          <w:sz w:val="19"/>
          <w:szCs w:val="19"/>
          <w:lang w:val="es-ES"/>
        </w:rPr>
      </w:pPr>
    </w:p>
  </w:footnote>
  <w:footnote w:id="12">
    <w:p w:rsidRPr="00F12ABB" w:rsidR="0096318D" w:rsidP="006636B5" w:rsidRDefault="0096318D" w14:paraId="648950F5" w14:textId="77777777">
      <w:pPr>
        <w:pStyle w:val="Textonotapie"/>
        <w:ind w:firstLine="709"/>
        <w:jc w:val="both"/>
        <w:rPr>
          <w:rFonts w:ascii="Arial" w:hAnsi="Arial" w:cs="Arial"/>
          <w:sz w:val="19"/>
          <w:szCs w:val="19"/>
          <w:lang w:val="es-ES"/>
        </w:rPr>
      </w:pPr>
      <w:r w:rsidRPr="00F12ABB">
        <w:rPr>
          <w:rStyle w:val="Refdenotaalpie"/>
          <w:rFonts w:ascii="Arial" w:hAnsi="Arial" w:cs="Arial"/>
          <w:sz w:val="19"/>
          <w:szCs w:val="19"/>
        </w:rPr>
        <w:footnoteRef/>
      </w:r>
      <w:r w:rsidRPr="00F12ABB">
        <w:rPr>
          <w:rFonts w:ascii="Arial" w:hAnsi="Arial" w:cs="Arial"/>
          <w:sz w:val="19"/>
          <w:szCs w:val="19"/>
        </w:rPr>
        <w:t xml:space="preserve"> </w:t>
      </w:r>
      <w:r w:rsidRPr="00F12ABB">
        <w:rPr>
          <w:rFonts w:ascii="Arial" w:hAnsi="Arial" w:cs="Arial"/>
          <w:sz w:val="19"/>
          <w:szCs w:val="19"/>
          <w:lang w:val="es-ES"/>
        </w:rPr>
        <w:t xml:space="preserve">Consejo de Estado. Sala de Consulta y Servicio Civil. Concepto del 30 de abril de 2015. Expediente: 2251. Consejero Ponente: Álvaro </w:t>
      </w:r>
      <w:proofErr w:type="spellStart"/>
      <w:r w:rsidRPr="00F12ABB">
        <w:rPr>
          <w:rFonts w:ascii="Arial" w:hAnsi="Arial" w:cs="Arial"/>
          <w:sz w:val="19"/>
          <w:szCs w:val="19"/>
          <w:lang w:val="es-ES"/>
        </w:rPr>
        <w:t>Namén</w:t>
      </w:r>
      <w:proofErr w:type="spellEnd"/>
      <w:r w:rsidRPr="00F12ABB">
        <w:rPr>
          <w:rFonts w:ascii="Arial" w:hAnsi="Arial" w:cs="Arial"/>
          <w:sz w:val="19"/>
          <w:szCs w:val="19"/>
          <w:lang w:val="es-ES"/>
        </w:rPr>
        <w:t xml:space="preserve"> Vargas.</w:t>
      </w:r>
    </w:p>
    <w:p w:rsidRPr="00F12ABB" w:rsidR="0096318D" w:rsidP="006636B5" w:rsidRDefault="0096318D" w14:paraId="02F3B800" w14:textId="77777777">
      <w:pPr>
        <w:pStyle w:val="Textonotapie"/>
        <w:ind w:firstLine="709"/>
        <w:jc w:val="both"/>
        <w:rPr>
          <w:rFonts w:ascii="Arial" w:hAnsi="Arial" w:cs="Arial"/>
          <w:sz w:val="19"/>
          <w:szCs w:val="19"/>
          <w:lang w:val="es-ES"/>
        </w:rPr>
      </w:pPr>
    </w:p>
  </w:footnote>
  <w:footnote w:id="13">
    <w:p w:rsidRPr="00F12ABB" w:rsidR="0096318D" w:rsidP="006636B5" w:rsidRDefault="0096318D" w14:paraId="5AE6882D" w14:textId="77777777">
      <w:pPr>
        <w:pStyle w:val="Textonotapie"/>
        <w:ind w:firstLine="709"/>
        <w:jc w:val="both"/>
        <w:rPr>
          <w:rFonts w:ascii="Arial" w:hAnsi="Arial" w:cs="Arial"/>
          <w:sz w:val="19"/>
          <w:szCs w:val="19"/>
        </w:rPr>
      </w:pPr>
      <w:r w:rsidRPr="00F12ABB">
        <w:rPr>
          <w:rStyle w:val="Refdenotaalpie"/>
          <w:rFonts w:ascii="Arial" w:hAnsi="Arial" w:cs="Arial"/>
          <w:sz w:val="19"/>
          <w:szCs w:val="19"/>
        </w:rPr>
        <w:footnoteRef/>
      </w:r>
      <w:r w:rsidRPr="00F12ABB">
        <w:rPr>
          <w:rFonts w:ascii="Arial" w:hAnsi="Arial" w:cs="Arial"/>
          <w:sz w:val="19"/>
          <w:szCs w:val="19"/>
        </w:rPr>
        <w:t xml:space="preserve"> Consejo de Estado. Sección Tercera. Subsección A. Sentencia del 24 de junio de 2015. Exp. 40.635. Consejero Ponente: Hernán Andrade Rincón (E).</w:t>
      </w:r>
    </w:p>
    <w:p w:rsidRPr="00F12ABB" w:rsidR="0096318D" w:rsidP="006636B5" w:rsidRDefault="0096318D" w14:paraId="59031EAF" w14:textId="77777777">
      <w:pPr>
        <w:pStyle w:val="Textonotapie"/>
        <w:ind w:firstLine="709"/>
        <w:jc w:val="both"/>
        <w:rPr>
          <w:rFonts w:ascii="Arial" w:hAnsi="Arial" w:cs="Arial"/>
          <w:sz w:val="19"/>
          <w:szCs w:val="19"/>
          <w:lang w:val="es-ES"/>
        </w:rPr>
      </w:pPr>
    </w:p>
  </w:footnote>
  <w:footnote w:id="14">
    <w:p w:rsidRPr="00F12ABB" w:rsidR="0096318D" w:rsidP="006636B5" w:rsidRDefault="0096318D" w14:paraId="67BD0579" w14:textId="122290E0">
      <w:pPr>
        <w:pStyle w:val="Textonotapie"/>
        <w:ind w:firstLine="709"/>
        <w:jc w:val="both"/>
        <w:rPr>
          <w:rFonts w:ascii="Arial" w:hAnsi="Arial" w:cs="Arial"/>
          <w:sz w:val="19"/>
          <w:szCs w:val="19"/>
        </w:rPr>
      </w:pPr>
      <w:r w:rsidRPr="00F12ABB">
        <w:rPr>
          <w:rStyle w:val="Refdenotaalpie"/>
          <w:rFonts w:ascii="Arial" w:hAnsi="Arial" w:cs="Arial"/>
          <w:sz w:val="19"/>
          <w:szCs w:val="19"/>
        </w:rPr>
        <w:footnoteRef/>
      </w:r>
      <w:r w:rsidRPr="00F12ABB">
        <w:rPr>
          <w:rFonts w:ascii="Arial" w:hAnsi="Arial" w:cs="Arial"/>
          <w:sz w:val="19"/>
          <w:szCs w:val="19"/>
        </w:rPr>
        <w:t xml:space="preserve"> Consejo de Estado. Sección Tercera. Subsección C. Sentencia del 22 de mayo de 2013. Exp. 24.057. Consejera Ponente: Olga Melida Valle De De La Hoz.</w:t>
      </w:r>
    </w:p>
    <w:p w:rsidRPr="00F12ABB" w:rsidR="0096318D" w:rsidP="006636B5" w:rsidRDefault="0096318D" w14:paraId="5987F45B" w14:textId="77777777">
      <w:pPr>
        <w:pStyle w:val="Textonotapie"/>
        <w:ind w:firstLine="709"/>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3C747608">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70804A58"/>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30"/>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6AF8"/>
    <w:rsid w:val="00027C8A"/>
    <w:rsid w:val="00052E6D"/>
    <w:rsid w:val="00062363"/>
    <w:rsid w:val="00070501"/>
    <w:rsid w:val="00083BF8"/>
    <w:rsid w:val="00084AA0"/>
    <w:rsid w:val="00084B97"/>
    <w:rsid w:val="00085147"/>
    <w:rsid w:val="000921C6"/>
    <w:rsid w:val="000942EB"/>
    <w:rsid w:val="00096EE0"/>
    <w:rsid w:val="000B103F"/>
    <w:rsid w:val="000B6F0F"/>
    <w:rsid w:val="000B71E4"/>
    <w:rsid w:val="000C0D40"/>
    <w:rsid w:val="000E3936"/>
    <w:rsid w:val="000F14E8"/>
    <w:rsid w:val="00103915"/>
    <w:rsid w:val="00122B23"/>
    <w:rsid w:val="00134461"/>
    <w:rsid w:val="00137FFA"/>
    <w:rsid w:val="00150BAE"/>
    <w:rsid w:val="00155152"/>
    <w:rsid w:val="00157A04"/>
    <w:rsid w:val="001659D9"/>
    <w:rsid w:val="001704FF"/>
    <w:rsid w:val="00170956"/>
    <w:rsid w:val="00172581"/>
    <w:rsid w:val="00172D04"/>
    <w:rsid w:val="00181317"/>
    <w:rsid w:val="001858BE"/>
    <w:rsid w:val="00191592"/>
    <w:rsid w:val="001A7081"/>
    <w:rsid w:val="001B0444"/>
    <w:rsid w:val="001E60CB"/>
    <w:rsid w:val="001F34D4"/>
    <w:rsid w:val="001F7D57"/>
    <w:rsid w:val="0020632A"/>
    <w:rsid w:val="002110EB"/>
    <w:rsid w:val="00211338"/>
    <w:rsid w:val="002233B1"/>
    <w:rsid w:val="00234B84"/>
    <w:rsid w:val="00260F08"/>
    <w:rsid w:val="002A11F2"/>
    <w:rsid w:val="002C4C0C"/>
    <w:rsid w:val="002C6274"/>
    <w:rsid w:val="002C7F9C"/>
    <w:rsid w:val="002D6C6B"/>
    <w:rsid w:val="002F1A14"/>
    <w:rsid w:val="002F454C"/>
    <w:rsid w:val="00301184"/>
    <w:rsid w:val="003033BA"/>
    <w:rsid w:val="003074AE"/>
    <w:rsid w:val="00322937"/>
    <w:rsid w:val="00325E6F"/>
    <w:rsid w:val="00336972"/>
    <w:rsid w:val="0034177C"/>
    <w:rsid w:val="0034677C"/>
    <w:rsid w:val="0034680A"/>
    <w:rsid w:val="00353DD5"/>
    <w:rsid w:val="00386456"/>
    <w:rsid w:val="00396FE0"/>
    <w:rsid w:val="003A0878"/>
    <w:rsid w:val="003A2753"/>
    <w:rsid w:val="003A581E"/>
    <w:rsid w:val="003B123B"/>
    <w:rsid w:val="003C63A9"/>
    <w:rsid w:val="003D000D"/>
    <w:rsid w:val="003D2E2C"/>
    <w:rsid w:val="004042CB"/>
    <w:rsid w:val="00412C63"/>
    <w:rsid w:val="00423F9F"/>
    <w:rsid w:val="00427331"/>
    <w:rsid w:val="004422D6"/>
    <w:rsid w:val="004569DB"/>
    <w:rsid w:val="004644A2"/>
    <w:rsid w:val="00473979"/>
    <w:rsid w:val="0048136F"/>
    <w:rsid w:val="0049094E"/>
    <w:rsid w:val="0049241A"/>
    <w:rsid w:val="004A34D2"/>
    <w:rsid w:val="004E0E0D"/>
    <w:rsid w:val="004E5EAC"/>
    <w:rsid w:val="00503206"/>
    <w:rsid w:val="005078D7"/>
    <w:rsid w:val="0051074C"/>
    <w:rsid w:val="00513AF2"/>
    <w:rsid w:val="005178B0"/>
    <w:rsid w:val="0054413A"/>
    <w:rsid w:val="005564CA"/>
    <w:rsid w:val="0056182B"/>
    <w:rsid w:val="005756AA"/>
    <w:rsid w:val="005816CA"/>
    <w:rsid w:val="00596405"/>
    <w:rsid w:val="005C0573"/>
    <w:rsid w:val="005D0F03"/>
    <w:rsid w:val="005D3341"/>
    <w:rsid w:val="005D365E"/>
    <w:rsid w:val="005D51FA"/>
    <w:rsid w:val="005D791B"/>
    <w:rsid w:val="005F2818"/>
    <w:rsid w:val="006010F7"/>
    <w:rsid w:val="00611B77"/>
    <w:rsid w:val="00614817"/>
    <w:rsid w:val="00617FF2"/>
    <w:rsid w:val="00633DBF"/>
    <w:rsid w:val="006344B7"/>
    <w:rsid w:val="00640AEF"/>
    <w:rsid w:val="006426BC"/>
    <w:rsid w:val="00644C0A"/>
    <w:rsid w:val="00655371"/>
    <w:rsid w:val="00660B1A"/>
    <w:rsid w:val="006636B5"/>
    <w:rsid w:val="00665AA7"/>
    <w:rsid w:val="0067348A"/>
    <w:rsid w:val="006911AD"/>
    <w:rsid w:val="006967F3"/>
    <w:rsid w:val="00697665"/>
    <w:rsid w:val="006A7CB5"/>
    <w:rsid w:val="006A7FD0"/>
    <w:rsid w:val="006B60C8"/>
    <w:rsid w:val="006C1C9E"/>
    <w:rsid w:val="006D10B1"/>
    <w:rsid w:val="006D687F"/>
    <w:rsid w:val="006D7687"/>
    <w:rsid w:val="006E0572"/>
    <w:rsid w:val="006F2A69"/>
    <w:rsid w:val="00705631"/>
    <w:rsid w:val="00715EAA"/>
    <w:rsid w:val="0072288F"/>
    <w:rsid w:val="00742DD2"/>
    <w:rsid w:val="00746E08"/>
    <w:rsid w:val="00747C96"/>
    <w:rsid w:val="0075094E"/>
    <w:rsid w:val="00751504"/>
    <w:rsid w:val="007522E8"/>
    <w:rsid w:val="0075647A"/>
    <w:rsid w:val="007634AD"/>
    <w:rsid w:val="0078122E"/>
    <w:rsid w:val="00790122"/>
    <w:rsid w:val="00795647"/>
    <w:rsid w:val="007A4609"/>
    <w:rsid w:val="007A5F3E"/>
    <w:rsid w:val="007B0854"/>
    <w:rsid w:val="007B6F1D"/>
    <w:rsid w:val="007D7BD9"/>
    <w:rsid w:val="007E0383"/>
    <w:rsid w:val="007F4562"/>
    <w:rsid w:val="007F6B46"/>
    <w:rsid w:val="007F72CB"/>
    <w:rsid w:val="00811CB5"/>
    <w:rsid w:val="0081537B"/>
    <w:rsid w:val="008217B7"/>
    <w:rsid w:val="0083119B"/>
    <w:rsid w:val="00836EAB"/>
    <w:rsid w:val="0085092D"/>
    <w:rsid w:val="00850F79"/>
    <w:rsid w:val="00854CFC"/>
    <w:rsid w:val="00870F20"/>
    <w:rsid w:val="00871FD2"/>
    <w:rsid w:val="0089774F"/>
    <w:rsid w:val="008A55BC"/>
    <w:rsid w:val="008B5B04"/>
    <w:rsid w:val="008C6F27"/>
    <w:rsid w:val="008D6DE0"/>
    <w:rsid w:val="008E1C15"/>
    <w:rsid w:val="008F538E"/>
    <w:rsid w:val="008F6999"/>
    <w:rsid w:val="009047C5"/>
    <w:rsid w:val="009058E3"/>
    <w:rsid w:val="00923BCA"/>
    <w:rsid w:val="009256D5"/>
    <w:rsid w:val="0094362D"/>
    <w:rsid w:val="0095385A"/>
    <w:rsid w:val="00953E0F"/>
    <w:rsid w:val="00960D5C"/>
    <w:rsid w:val="00962E23"/>
    <w:rsid w:val="0096318D"/>
    <w:rsid w:val="00985EFB"/>
    <w:rsid w:val="0099575F"/>
    <w:rsid w:val="00996662"/>
    <w:rsid w:val="009A7824"/>
    <w:rsid w:val="009B2EE5"/>
    <w:rsid w:val="009D0BBF"/>
    <w:rsid w:val="009E1BE1"/>
    <w:rsid w:val="009F0BB6"/>
    <w:rsid w:val="009F59C2"/>
    <w:rsid w:val="009F5D34"/>
    <w:rsid w:val="00A114A5"/>
    <w:rsid w:val="00A114CB"/>
    <w:rsid w:val="00A24560"/>
    <w:rsid w:val="00A278BD"/>
    <w:rsid w:val="00A34004"/>
    <w:rsid w:val="00A34538"/>
    <w:rsid w:val="00A346CD"/>
    <w:rsid w:val="00A37FB6"/>
    <w:rsid w:val="00A543B9"/>
    <w:rsid w:val="00A754E3"/>
    <w:rsid w:val="00A910CB"/>
    <w:rsid w:val="00A97D21"/>
    <w:rsid w:val="00AA08E7"/>
    <w:rsid w:val="00AA442B"/>
    <w:rsid w:val="00AA669D"/>
    <w:rsid w:val="00AC7720"/>
    <w:rsid w:val="00AE6036"/>
    <w:rsid w:val="00AE70B1"/>
    <w:rsid w:val="00AF6DAE"/>
    <w:rsid w:val="00B030B1"/>
    <w:rsid w:val="00B05A55"/>
    <w:rsid w:val="00B073F3"/>
    <w:rsid w:val="00B13EC0"/>
    <w:rsid w:val="00B22024"/>
    <w:rsid w:val="00B22E22"/>
    <w:rsid w:val="00B23041"/>
    <w:rsid w:val="00B25ADA"/>
    <w:rsid w:val="00B460E5"/>
    <w:rsid w:val="00B525CB"/>
    <w:rsid w:val="00B6189A"/>
    <w:rsid w:val="00B63872"/>
    <w:rsid w:val="00B63CB2"/>
    <w:rsid w:val="00B64EDB"/>
    <w:rsid w:val="00B7315F"/>
    <w:rsid w:val="00B75A9B"/>
    <w:rsid w:val="00B75B2B"/>
    <w:rsid w:val="00B91B8E"/>
    <w:rsid w:val="00B92156"/>
    <w:rsid w:val="00BA1266"/>
    <w:rsid w:val="00BD2DDD"/>
    <w:rsid w:val="00BD3394"/>
    <w:rsid w:val="00BD3D51"/>
    <w:rsid w:val="00BD78FE"/>
    <w:rsid w:val="00BD7ABD"/>
    <w:rsid w:val="00BE194E"/>
    <w:rsid w:val="00BE33E3"/>
    <w:rsid w:val="00BE5842"/>
    <w:rsid w:val="00BF4D87"/>
    <w:rsid w:val="00C16250"/>
    <w:rsid w:val="00C21159"/>
    <w:rsid w:val="00C40E3E"/>
    <w:rsid w:val="00C60414"/>
    <w:rsid w:val="00C61D16"/>
    <w:rsid w:val="00C634EA"/>
    <w:rsid w:val="00C653AC"/>
    <w:rsid w:val="00C707CB"/>
    <w:rsid w:val="00C91FB2"/>
    <w:rsid w:val="00C93443"/>
    <w:rsid w:val="00CA3543"/>
    <w:rsid w:val="00CC00CD"/>
    <w:rsid w:val="00CD078A"/>
    <w:rsid w:val="00D01760"/>
    <w:rsid w:val="00D1044A"/>
    <w:rsid w:val="00D16E39"/>
    <w:rsid w:val="00D16FA8"/>
    <w:rsid w:val="00D20AD0"/>
    <w:rsid w:val="00D223B6"/>
    <w:rsid w:val="00D26A74"/>
    <w:rsid w:val="00D361BF"/>
    <w:rsid w:val="00D4557E"/>
    <w:rsid w:val="00D60327"/>
    <w:rsid w:val="00D622AF"/>
    <w:rsid w:val="00D66CC3"/>
    <w:rsid w:val="00D72E9D"/>
    <w:rsid w:val="00D746FD"/>
    <w:rsid w:val="00D82CE5"/>
    <w:rsid w:val="00D91951"/>
    <w:rsid w:val="00D94962"/>
    <w:rsid w:val="00DA5AB1"/>
    <w:rsid w:val="00DB04D4"/>
    <w:rsid w:val="00DB6633"/>
    <w:rsid w:val="00DC06A6"/>
    <w:rsid w:val="00DC62E5"/>
    <w:rsid w:val="00DC6DF2"/>
    <w:rsid w:val="00DD6ABE"/>
    <w:rsid w:val="00DD735D"/>
    <w:rsid w:val="00DE3119"/>
    <w:rsid w:val="00DE5B33"/>
    <w:rsid w:val="00DE6E0C"/>
    <w:rsid w:val="00DE74A8"/>
    <w:rsid w:val="00DF236B"/>
    <w:rsid w:val="00E04179"/>
    <w:rsid w:val="00E10A7E"/>
    <w:rsid w:val="00E11C35"/>
    <w:rsid w:val="00E13AB8"/>
    <w:rsid w:val="00E22816"/>
    <w:rsid w:val="00E25CB3"/>
    <w:rsid w:val="00E33B62"/>
    <w:rsid w:val="00E4143A"/>
    <w:rsid w:val="00E6039E"/>
    <w:rsid w:val="00E605C4"/>
    <w:rsid w:val="00E61AEE"/>
    <w:rsid w:val="00EA0B3F"/>
    <w:rsid w:val="00EC6C6C"/>
    <w:rsid w:val="00ED069A"/>
    <w:rsid w:val="00EE59B5"/>
    <w:rsid w:val="00F12ABB"/>
    <w:rsid w:val="00F132C2"/>
    <w:rsid w:val="00F16A2E"/>
    <w:rsid w:val="00F23E3A"/>
    <w:rsid w:val="00F31A6E"/>
    <w:rsid w:val="00F431BE"/>
    <w:rsid w:val="00F5291B"/>
    <w:rsid w:val="00F603CC"/>
    <w:rsid w:val="00F61F88"/>
    <w:rsid w:val="00F72043"/>
    <w:rsid w:val="00F84899"/>
    <w:rsid w:val="00F859F0"/>
    <w:rsid w:val="00FA039C"/>
    <w:rsid w:val="00FA19FB"/>
    <w:rsid w:val="00FB1417"/>
    <w:rsid w:val="00FB7FA5"/>
    <w:rsid w:val="00FC0512"/>
    <w:rsid w:val="00FC1D2E"/>
    <w:rsid w:val="00FC53F2"/>
    <w:rsid w:val="00FE141E"/>
    <w:rsid w:val="00FE180D"/>
    <w:rsid w:val="00FE36B6"/>
    <w:rsid w:val="00FE42ED"/>
    <w:rsid w:val="00FE5201"/>
    <w:rsid w:val="00FE75D2"/>
    <w:rsid w:val="00FF0706"/>
    <w:rsid w:val="3C747608"/>
    <w:rsid w:val="4CC2B8D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F72043"/>
  </w:style>
  <w:style w:type="character" w:styleId="iaj" w:customStyle="1">
    <w:name w:val="i_aj"/>
    <w:basedOn w:val="Fuentedeprrafopredeter"/>
    <w:rsid w:val="00F72043"/>
  </w:style>
  <w:style w:type="paragraph" w:styleId="Default" w:customStyle="1">
    <w:name w:val="Default"/>
    <w:rsid w:val="0099666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e322d6b1535e4199" /></Relationships>
</file>

<file path=word/_rels/footer1.xml.rels>&#65279;<?xml version="1.0" encoding="utf-8"?><Relationships xmlns="http://schemas.openxmlformats.org/package/2006/relationships"><Relationship Type="http://schemas.openxmlformats.org/officeDocument/2006/relationships/image" Target="/media/image5.png" Id="Redd1396f546f4f45"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78C4824-E484-4CAE-B0B9-8487BF3E975E}">
  <ds:schemaRefs>
    <ds:schemaRef ds:uri="http://schemas.openxmlformats.org/officeDocument/2006/bibliography"/>
  </ds:schemaRefs>
</ds:datastoreItem>
</file>

<file path=customXml/itemProps2.xml><?xml version="1.0" encoding="utf-8"?>
<ds:datastoreItem xmlns:ds="http://schemas.openxmlformats.org/officeDocument/2006/customXml" ds:itemID="{A96F5A05-F546-42BC-AE25-3D2E9DFB5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8B655760-4F8F-46AA-94C3-A2CC0F8B2198}">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a6cb9e4b-f1d1-4245-83ec-6cad768d538a"/>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13</revision>
  <lastPrinted>2020-01-30T15:05:00.0000000Z</lastPrinted>
  <dcterms:created xsi:type="dcterms:W3CDTF">2020-04-03T15:03:00.0000000Z</dcterms:created>
  <dcterms:modified xsi:type="dcterms:W3CDTF">2020-07-24T00:32:26.7596005Z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