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863234" w14:textId="77777777" w:rsidR="00D83CE1" w:rsidRPr="00D83CE1" w:rsidRDefault="00D83CE1" w:rsidP="00D83CE1">
      <w:pPr>
        <w:spacing w:after="0" w:line="240" w:lineRule="auto"/>
        <w:jc w:val="both"/>
        <w:rPr>
          <w:rFonts w:ascii="Arial" w:hAnsi="Arial" w:cs="Arial"/>
          <w:b/>
          <w:lang w:val="es-MX"/>
        </w:rPr>
      </w:pPr>
    </w:p>
    <w:p w14:paraId="6440B9BF" w14:textId="77777777" w:rsidR="00D83CE1" w:rsidRPr="00D83CE1" w:rsidRDefault="00D83CE1" w:rsidP="00D83CE1">
      <w:pPr>
        <w:spacing w:after="0" w:line="240" w:lineRule="auto"/>
        <w:jc w:val="right"/>
        <w:rPr>
          <w:rFonts w:ascii="Arial" w:hAnsi="Arial" w:cs="Arial"/>
          <w:b/>
          <w:sz w:val="16"/>
          <w:szCs w:val="16"/>
          <w:lang w:val="es-ES" w:eastAsia="es-ES"/>
        </w:rPr>
      </w:pPr>
      <w:r w:rsidRPr="00D83CE1">
        <w:rPr>
          <w:rFonts w:ascii="Arial" w:hAnsi="Arial" w:cs="Arial"/>
          <w:b/>
          <w:sz w:val="16"/>
          <w:szCs w:val="16"/>
          <w:lang w:val="es-ES" w:eastAsia="es-ES"/>
        </w:rPr>
        <w:t xml:space="preserve">  CCE-DES-FM-17</w:t>
      </w:r>
    </w:p>
    <w:p w14:paraId="0AEE88D8" w14:textId="420B7A99" w:rsidR="00D83CE1" w:rsidRDefault="00D83CE1" w:rsidP="00D83CE1">
      <w:pPr>
        <w:spacing w:after="0" w:line="240" w:lineRule="auto"/>
        <w:jc w:val="both"/>
        <w:rPr>
          <w:rFonts w:ascii="Arial" w:hAnsi="Arial" w:cs="Arial"/>
          <w:b/>
          <w:lang w:val="es-MX"/>
        </w:rPr>
      </w:pPr>
    </w:p>
    <w:p w14:paraId="4D6B22F0" w14:textId="77777777" w:rsidR="00FB10C9" w:rsidRPr="00D83CE1" w:rsidRDefault="00FB10C9" w:rsidP="00D83CE1">
      <w:pPr>
        <w:spacing w:after="0" w:line="240" w:lineRule="auto"/>
        <w:jc w:val="both"/>
        <w:rPr>
          <w:rFonts w:ascii="Arial" w:eastAsia="Calibri" w:hAnsi="Arial" w:cs="Arial"/>
          <w:b/>
          <w:lang w:val="es-MX"/>
        </w:rPr>
      </w:pPr>
    </w:p>
    <w:p w14:paraId="7C04803C" w14:textId="77777777" w:rsidR="00D83CE1" w:rsidRPr="00D83CE1" w:rsidRDefault="00D83CE1" w:rsidP="00CA200B">
      <w:pPr>
        <w:spacing w:after="0" w:line="240" w:lineRule="auto"/>
        <w:jc w:val="both"/>
        <w:rPr>
          <w:rFonts w:ascii="Arial" w:eastAsia="Calibri" w:hAnsi="Arial" w:cs="Arial"/>
          <w:b/>
          <w:lang w:val="es-MX"/>
        </w:rPr>
      </w:pPr>
      <w:r w:rsidRPr="00D83CE1">
        <w:rPr>
          <w:rFonts w:ascii="Arial" w:eastAsia="Calibri" w:hAnsi="Arial" w:cs="Arial"/>
          <w:b/>
          <w:lang w:val="es-MX"/>
        </w:rPr>
        <w:t>SOCIEDADES NUEVAS ‒ Experiencia ‒ Inferior a tres años ‒ Requisitos habilitantes ‒ Desarrollo de la empresa</w:t>
      </w:r>
    </w:p>
    <w:p w14:paraId="53B87FB9" w14:textId="77777777" w:rsidR="00D83CE1" w:rsidRPr="00D83CE1" w:rsidRDefault="00D83CE1" w:rsidP="00CA200B">
      <w:pPr>
        <w:spacing w:after="0" w:line="240" w:lineRule="auto"/>
        <w:jc w:val="both"/>
        <w:rPr>
          <w:rFonts w:ascii="Arial" w:eastAsia="Calibri" w:hAnsi="Arial" w:cs="Arial"/>
          <w:sz w:val="20"/>
          <w:szCs w:val="20"/>
          <w:lang w:val="es-MX"/>
        </w:rPr>
      </w:pPr>
    </w:p>
    <w:p w14:paraId="0EBE7C6E" w14:textId="07919752" w:rsidR="00FB10C9" w:rsidRPr="00FB10C9" w:rsidRDefault="00FB10C9" w:rsidP="00BA01D3">
      <w:pPr>
        <w:spacing w:before="120" w:after="120" w:line="240" w:lineRule="auto"/>
        <w:jc w:val="both"/>
        <w:rPr>
          <w:rFonts w:ascii="Arial" w:hAnsi="Arial" w:cs="Arial"/>
          <w:sz w:val="20"/>
          <w:szCs w:val="20"/>
          <w:lang w:val="es-MX"/>
        </w:rPr>
      </w:pPr>
      <w:r w:rsidRPr="00FB10C9">
        <w:rPr>
          <w:rFonts w:ascii="Arial" w:hAnsi="Arial" w:cs="Arial"/>
          <w:sz w:val="20"/>
          <w:szCs w:val="20"/>
          <w:lang w:val="es-MX"/>
        </w:rPr>
        <w:t>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w:t>
      </w:r>
      <w:r w:rsidRPr="00FB10C9">
        <w:rPr>
          <w:rFonts w:ascii="Arial" w:hAnsi="Arial" w:cs="Arial"/>
          <w:sz w:val="20"/>
          <w:szCs w:val="20"/>
          <w:lang w:val="es-MX"/>
        </w:rPr>
        <w:t>[…]</w:t>
      </w:r>
      <w:r w:rsidRPr="00FB10C9">
        <w:rPr>
          <w:rFonts w:ascii="Arial" w:hAnsi="Arial" w:cs="Arial"/>
          <w:sz w:val="20"/>
          <w:szCs w:val="20"/>
          <w:lang w:val="es-MX"/>
        </w:rPr>
        <w:t xml:space="preserve"> </w:t>
      </w:r>
    </w:p>
    <w:p w14:paraId="3CB82E66" w14:textId="77777777" w:rsidR="00FB10C9" w:rsidRPr="00FB10C9" w:rsidRDefault="00FB10C9" w:rsidP="00BA01D3">
      <w:pPr>
        <w:spacing w:before="120" w:after="120" w:line="240" w:lineRule="auto"/>
        <w:jc w:val="both"/>
        <w:rPr>
          <w:rFonts w:ascii="Arial" w:hAnsi="Arial" w:cs="Arial"/>
          <w:sz w:val="20"/>
          <w:szCs w:val="20"/>
          <w:lang w:val="es-MX"/>
        </w:rPr>
      </w:pPr>
      <w:r w:rsidRPr="00FB10C9">
        <w:rPr>
          <w:rFonts w:ascii="Arial" w:hAnsi="Arial" w:cs="Arial"/>
          <w:sz w:val="20"/>
          <w:szCs w:val="20"/>
          <w:lang w:val="es-MX"/>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13B12698" w14:textId="77777777" w:rsidR="00D83CE1" w:rsidRPr="00D83CE1" w:rsidRDefault="00D83CE1" w:rsidP="00BA01D3">
      <w:pPr>
        <w:spacing w:after="0" w:line="240" w:lineRule="auto"/>
        <w:jc w:val="both"/>
        <w:rPr>
          <w:rFonts w:ascii="Arial" w:hAnsi="Arial" w:cs="Arial"/>
          <w:b/>
          <w:lang w:val="es-MX"/>
        </w:rPr>
      </w:pPr>
    </w:p>
    <w:p w14:paraId="0E224C98" w14:textId="77777777" w:rsidR="00D83CE1" w:rsidRPr="00D83CE1" w:rsidRDefault="00D83CE1" w:rsidP="00CA200B">
      <w:pPr>
        <w:spacing w:after="0" w:line="240" w:lineRule="auto"/>
        <w:jc w:val="both"/>
        <w:rPr>
          <w:rFonts w:ascii="Arial" w:hAnsi="Arial" w:cs="Arial"/>
          <w:b/>
          <w:bCs/>
          <w:lang w:val="es-MX"/>
        </w:rPr>
      </w:pPr>
      <w:r w:rsidRPr="00D83CE1">
        <w:rPr>
          <w:rFonts w:ascii="Arial" w:hAnsi="Arial" w:cs="Arial"/>
          <w:b/>
          <w:bCs/>
          <w:lang w:val="es-MX"/>
        </w:rPr>
        <w:t>EXPERIENCIA ‒ Conservación ‒ Renovación RUP ‒ Cesación efectos RUP</w:t>
      </w:r>
    </w:p>
    <w:p w14:paraId="54E11F9C" w14:textId="77777777" w:rsidR="00D83CE1" w:rsidRPr="00D83CE1" w:rsidRDefault="00D83CE1" w:rsidP="00CA200B">
      <w:pPr>
        <w:spacing w:after="0" w:line="240" w:lineRule="auto"/>
        <w:jc w:val="both"/>
        <w:rPr>
          <w:rFonts w:ascii="Arial" w:hAnsi="Arial" w:cs="Arial"/>
          <w:sz w:val="20"/>
          <w:szCs w:val="20"/>
          <w:lang w:val="es-MX"/>
        </w:rPr>
      </w:pPr>
    </w:p>
    <w:p w14:paraId="5B868CF2" w14:textId="2D619DD2" w:rsidR="00D83CE1" w:rsidRPr="00DD4729" w:rsidRDefault="00D83CE1" w:rsidP="00DD4729">
      <w:pPr>
        <w:spacing w:after="0" w:line="240" w:lineRule="auto"/>
        <w:jc w:val="both"/>
        <w:rPr>
          <w:rFonts w:ascii="Arial" w:hAnsi="Arial" w:cs="Arial"/>
          <w:sz w:val="20"/>
          <w:szCs w:val="20"/>
          <w:lang w:val="es-MX"/>
        </w:rPr>
      </w:pPr>
      <w:r w:rsidRPr="00DD4729">
        <w:rPr>
          <w:rFonts w:ascii="Arial" w:hAnsi="Arial" w:cs="Arial"/>
          <w:sz w:val="20"/>
          <w:szCs w:val="20"/>
          <w:lang w:val="es-MX"/>
        </w:rPr>
        <w:t xml:space="preserve">[…] </w:t>
      </w:r>
      <w:r w:rsidR="00DD4729" w:rsidRPr="00DD4729">
        <w:rPr>
          <w:rFonts w:ascii="Arial" w:hAnsi="Arial" w:cs="Arial"/>
          <w:sz w:val="20"/>
          <w:szCs w:val="20"/>
          <w:lang w:val="es-MX"/>
        </w:rPr>
        <w:t xml:space="preserve">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53DA019F" w14:textId="77777777" w:rsidR="00D83CE1" w:rsidRPr="00D83CE1" w:rsidRDefault="00D83CE1" w:rsidP="00D83CE1">
      <w:pPr>
        <w:spacing w:after="0" w:line="240" w:lineRule="auto"/>
        <w:jc w:val="both"/>
        <w:rPr>
          <w:rFonts w:ascii="Arial" w:hAnsi="Arial" w:cs="Arial"/>
          <w:b/>
          <w:lang w:val="es-MX"/>
        </w:rPr>
      </w:pPr>
    </w:p>
    <w:p w14:paraId="6D7D0534" w14:textId="77777777" w:rsidR="00D83CE1" w:rsidRPr="00D83CE1" w:rsidRDefault="00D83CE1" w:rsidP="00D83CE1">
      <w:pPr>
        <w:spacing w:after="0" w:line="240" w:lineRule="auto"/>
        <w:jc w:val="both"/>
        <w:rPr>
          <w:rFonts w:ascii="Arial" w:hAnsi="Arial" w:cs="Arial"/>
          <w:lang w:val="es-MX"/>
        </w:rPr>
      </w:pPr>
      <w:r w:rsidRPr="00D83CE1">
        <w:rPr>
          <w:rFonts w:ascii="Arial" w:hAnsi="Arial" w:cs="Arial"/>
          <w:b/>
          <w:lang w:val="es-MX"/>
        </w:rPr>
        <w:t xml:space="preserve">EXPERIENCIA </w:t>
      </w:r>
      <w:r w:rsidRPr="00D83CE1">
        <w:rPr>
          <w:rFonts w:ascii="Arial" w:eastAsia="Calibri" w:hAnsi="Arial" w:cs="Arial"/>
          <w:b/>
          <w:lang w:val="es-MX"/>
        </w:rPr>
        <w:t>–</w:t>
      </w:r>
      <w:r w:rsidRPr="00D83CE1">
        <w:rPr>
          <w:rFonts w:ascii="Arial" w:hAnsi="Arial" w:cs="Arial"/>
          <w:b/>
          <w:lang w:val="es-MX"/>
        </w:rPr>
        <w:t xml:space="preserve"> Conservación </w:t>
      </w:r>
      <w:r w:rsidRPr="00D83CE1">
        <w:rPr>
          <w:rFonts w:ascii="Arial" w:eastAsia="Calibri" w:hAnsi="Arial" w:cs="Arial"/>
          <w:b/>
          <w:lang w:val="es-MX"/>
        </w:rPr>
        <w:t xml:space="preserve">– </w:t>
      </w:r>
      <w:r w:rsidRPr="00D83CE1">
        <w:rPr>
          <w:rFonts w:ascii="Arial" w:hAnsi="Arial" w:cs="Arial"/>
          <w:b/>
          <w:lang w:val="es-MX"/>
        </w:rPr>
        <w:t xml:space="preserve">Sociedades </w:t>
      </w:r>
      <w:r w:rsidRPr="00D83CE1">
        <w:rPr>
          <w:rFonts w:ascii="Arial" w:eastAsia="Calibri" w:hAnsi="Arial" w:cs="Arial"/>
          <w:b/>
          <w:lang w:val="es-MX"/>
        </w:rPr>
        <w:t>– M</w:t>
      </w:r>
      <w:r w:rsidRPr="00D83CE1">
        <w:rPr>
          <w:rFonts w:ascii="Arial" w:hAnsi="Arial" w:cs="Arial"/>
          <w:b/>
          <w:lang w:val="es-MX"/>
        </w:rPr>
        <w:t>enor a 3 años de constitución</w:t>
      </w:r>
      <w:r w:rsidRPr="00D83CE1">
        <w:rPr>
          <w:rFonts w:ascii="Arial" w:hAnsi="Arial" w:cs="Arial"/>
          <w:sz w:val="21"/>
          <w:szCs w:val="21"/>
          <w:lang w:val="es-MX"/>
        </w:rPr>
        <w:t xml:space="preserve"> </w:t>
      </w:r>
    </w:p>
    <w:p w14:paraId="703D90ED" w14:textId="77777777" w:rsidR="00D83CE1" w:rsidRPr="00D83CE1" w:rsidRDefault="00D83CE1" w:rsidP="00D83CE1">
      <w:pPr>
        <w:spacing w:after="0" w:line="240" w:lineRule="auto"/>
        <w:jc w:val="both"/>
        <w:rPr>
          <w:rFonts w:ascii="Arial" w:hAnsi="Arial" w:cs="Arial"/>
          <w:sz w:val="20"/>
          <w:szCs w:val="20"/>
          <w:lang w:val="es-MX"/>
        </w:rPr>
      </w:pPr>
    </w:p>
    <w:p w14:paraId="647ABFC4" w14:textId="77777777" w:rsidR="00DD4729" w:rsidRPr="00DD4729" w:rsidRDefault="00D83CE1" w:rsidP="00DD4729">
      <w:pPr>
        <w:spacing w:after="0" w:line="240" w:lineRule="auto"/>
        <w:jc w:val="both"/>
        <w:rPr>
          <w:rFonts w:ascii="Arial" w:hAnsi="Arial" w:cs="Arial"/>
          <w:sz w:val="20"/>
          <w:szCs w:val="20"/>
          <w:lang w:val="es-MX"/>
        </w:rPr>
      </w:pPr>
      <w:r w:rsidRPr="00DD4729">
        <w:rPr>
          <w:rFonts w:ascii="Arial" w:hAnsi="Arial" w:cs="Arial"/>
          <w:sz w:val="20"/>
          <w:szCs w:val="20"/>
          <w:lang w:val="es-MX"/>
        </w:rPr>
        <w:t xml:space="preserve">[…] </w:t>
      </w:r>
      <w:r w:rsidR="00DD4729" w:rsidRPr="00DD4729">
        <w:rPr>
          <w:rFonts w:ascii="Arial" w:hAnsi="Arial" w:cs="Arial"/>
          <w:sz w:val="20"/>
          <w:szCs w:val="20"/>
          <w:lang w:val="es-MX"/>
        </w:rPr>
        <w:t>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3163F1D4" w14:textId="77777777" w:rsidR="00D83CE1" w:rsidRPr="00D83CE1" w:rsidRDefault="00D83CE1" w:rsidP="00DD4729">
      <w:pPr>
        <w:spacing w:after="0" w:line="240" w:lineRule="auto"/>
        <w:jc w:val="both"/>
        <w:rPr>
          <w:rFonts w:ascii="Arial" w:hAnsi="Arial" w:cs="Arial"/>
          <w:sz w:val="20"/>
          <w:szCs w:val="20"/>
          <w:lang w:val="es-MX"/>
        </w:rPr>
      </w:pPr>
    </w:p>
    <w:p w14:paraId="3BA96203" w14:textId="77777777" w:rsidR="002F63D6" w:rsidRDefault="002F63D6" w:rsidP="00D83CE1">
      <w:pPr>
        <w:spacing w:after="0" w:line="240" w:lineRule="auto"/>
        <w:rPr>
          <w:rFonts w:ascii="Arial" w:hAnsi="Arial" w:cs="Arial"/>
          <w:b/>
          <w:sz w:val="16"/>
          <w:szCs w:val="16"/>
          <w:lang w:val="es-ES" w:eastAsia="es-ES"/>
        </w:rPr>
      </w:pPr>
    </w:p>
    <w:p w14:paraId="5188F12A" w14:textId="77777777" w:rsidR="002F63D6" w:rsidRPr="00D83CE1" w:rsidRDefault="002F63D6" w:rsidP="00D83CE1">
      <w:pPr>
        <w:spacing w:after="0" w:line="240" w:lineRule="auto"/>
        <w:rPr>
          <w:rFonts w:ascii="Arial" w:hAnsi="Arial" w:cs="Arial"/>
          <w:b/>
          <w:sz w:val="16"/>
          <w:szCs w:val="16"/>
          <w:lang w:val="es-ES" w:eastAsia="es-ES"/>
        </w:rPr>
      </w:pPr>
    </w:p>
    <w:p w14:paraId="0499810D" w14:textId="77777777" w:rsidR="00D83CE1" w:rsidRPr="00D83CE1" w:rsidRDefault="00D83CE1" w:rsidP="00D83CE1">
      <w:pPr>
        <w:spacing w:after="0" w:line="240" w:lineRule="auto"/>
        <w:rPr>
          <w:rFonts w:ascii="Arial" w:hAnsi="Arial" w:cs="Arial"/>
          <w:b/>
          <w:sz w:val="16"/>
          <w:szCs w:val="16"/>
          <w:lang w:val="es-ES" w:eastAsia="es-ES"/>
        </w:rPr>
      </w:pPr>
    </w:p>
    <w:p w14:paraId="0FF889A5" w14:textId="77777777" w:rsidR="00D83CE1" w:rsidRPr="00D83CE1" w:rsidRDefault="00D83CE1" w:rsidP="00D83CE1">
      <w:pPr>
        <w:spacing w:after="0" w:line="240" w:lineRule="auto"/>
        <w:rPr>
          <w:rFonts w:ascii="Arial" w:hAnsi="Arial" w:cs="Arial"/>
          <w:b/>
          <w:sz w:val="16"/>
          <w:szCs w:val="16"/>
          <w:lang w:val="es-ES" w:eastAsia="es-ES"/>
        </w:rPr>
      </w:pPr>
    </w:p>
    <w:p w14:paraId="4CC54214" w14:textId="77777777" w:rsidR="00D83CE1" w:rsidRPr="00D83CE1" w:rsidRDefault="00D83CE1" w:rsidP="00D83CE1">
      <w:pPr>
        <w:spacing w:after="0" w:line="240" w:lineRule="auto"/>
        <w:rPr>
          <w:rFonts w:ascii="Arial" w:hAnsi="Arial" w:cs="Arial"/>
          <w:b/>
          <w:sz w:val="16"/>
          <w:szCs w:val="16"/>
          <w:lang w:val="es-ES" w:eastAsia="es-ES"/>
        </w:rPr>
      </w:pPr>
    </w:p>
    <w:p w14:paraId="4684C984" w14:textId="77777777" w:rsidR="00D83CE1" w:rsidRPr="00D83CE1" w:rsidRDefault="00D83CE1" w:rsidP="00D83CE1">
      <w:pPr>
        <w:spacing w:after="0" w:line="240" w:lineRule="auto"/>
        <w:rPr>
          <w:rFonts w:ascii="Arial" w:hAnsi="Arial" w:cs="Arial"/>
          <w:b/>
          <w:sz w:val="16"/>
          <w:szCs w:val="16"/>
          <w:lang w:val="es-ES" w:eastAsia="es-ES"/>
        </w:rPr>
      </w:pPr>
    </w:p>
    <w:p w14:paraId="6F339508" w14:textId="77777777" w:rsidR="00D83CE1" w:rsidRPr="00D83CE1" w:rsidRDefault="00D83CE1" w:rsidP="00D83CE1">
      <w:pPr>
        <w:spacing w:after="0" w:line="240" w:lineRule="auto"/>
        <w:rPr>
          <w:rFonts w:ascii="Arial" w:hAnsi="Arial" w:cs="Arial"/>
          <w:b/>
          <w:sz w:val="16"/>
          <w:szCs w:val="16"/>
          <w:lang w:val="es-ES" w:eastAsia="es-ES"/>
        </w:rPr>
      </w:pPr>
    </w:p>
    <w:p w14:paraId="28E94A12" w14:textId="77777777" w:rsidR="00D83CE1" w:rsidRPr="00D83CE1" w:rsidRDefault="00D83CE1" w:rsidP="00D83CE1">
      <w:pPr>
        <w:spacing w:after="0" w:line="240" w:lineRule="auto"/>
        <w:rPr>
          <w:rFonts w:ascii="Arial" w:hAnsi="Arial" w:cs="Arial"/>
          <w:b/>
          <w:sz w:val="16"/>
          <w:szCs w:val="16"/>
          <w:lang w:val="es-ES" w:eastAsia="es-ES"/>
        </w:rPr>
      </w:pPr>
    </w:p>
    <w:p w14:paraId="18CB5940" w14:textId="77777777" w:rsidR="00D83CE1" w:rsidRPr="00D83CE1" w:rsidRDefault="00D83CE1" w:rsidP="00D83CE1">
      <w:pPr>
        <w:spacing w:after="0" w:line="240" w:lineRule="auto"/>
        <w:rPr>
          <w:rFonts w:ascii="Arial" w:hAnsi="Arial" w:cs="Arial"/>
          <w:b/>
          <w:sz w:val="16"/>
          <w:szCs w:val="16"/>
          <w:lang w:val="es-ES" w:eastAsia="es-ES"/>
        </w:rPr>
      </w:pPr>
    </w:p>
    <w:p w14:paraId="4C2BB561" w14:textId="77777777" w:rsidR="00D83CE1" w:rsidRPr="00D83CE1" w:rsidRDefault="00D83CE1" w:rsidP="00D83CE1">
      <w:pPr>
        <w:spacing w:after="0" w:line="240" w:lineRule="auto"/>
        <w:rPr>
          <w:rFonts w:ascii="Arial" w:hAnsi="Arial" w:cs="Arial"/>
          <w:b/>
          <w:sz w:val="16"/>
          <w:szCs w:val="16"/>
          <w:lang w:val="es-ES" w:eastAsia="es-ES"/>
        </w:rPr>
      </w:pPr>
    </w:p>
    <w:p w14:paraId="4C409322" w14:textId="77777777" w:rsidR="00BA01D3" w:rsidRDefault="00BA01D3" w:rsidP="00BA01D3">
      <w:pPr>
        <w:spacing w:after="0" w:line="240" w:lineRule="auto"/>
        <w:rPr>
          <w:rFonts w:ascii="Arial" w:hAnsi="Arial" w:cs="Arial"/>
          <w:b/>
          <w:sz w:val="16"/>
          <w:szCs w:val="16"/>
          <w:lang w:val="es-ES" w:eastAsia="es-ES"/>
        </w:rPr>
      </w:pPr>
      <w:bookmarkStart w:id="0" w:name="_Hlk67496023"/>
    </w:p>
    <w:p w14:paraId="536636F9" w14:textId="77777777" w:rsidR="00BA01D3" w:rsidRDefault="00BA01D3" w:rsidP="00BA01D3">
      <w:pPr>
        <w:spacing w:after="0" w:line="240" w:lineRule="auto"/>
        <w:rPr>
          <w:rFonts w:ascii="Arial" w:hAnsi="Arial" w:cs="Arial"/>
          <w:b/>
          <w:sz w:val="16"/>
          <w:szCs w:val="16"/>
          <w:lang w:val="es-ES" w:eastAsia="es-ES"/>
        </w:rPr>
      </w:pPr>
    </w:p>
    <w:p w14:paraId="0B516E1F" w14:textId="7F1E5A02" w:rsidR="00587BAD" w:rsidRDefault="00587BAD" w:rsidP="00CD52BD">
      <w:pPr>
        <w:spacing w:after="0" w:line="240" w:lineRule="auto"/>
        <w:rPr>
          <w:rFonts w:ascii="Arial" w:eastAsia="Calibri" w:hAnsi="Arial" w:cs="Arial"/>
          <w:lang w:val="es-MX"/>
        </w:rPr>
      </w:pPr>
      <w:r>
        <w:rPr>
          <w:rFonts w:ascii="Arial" w:eastAsia="Calibri" w:hAnsi="Arial" w:cs="Arial"/>
          <w:lang w:val="es-MX"/>
        </w:rPr>
        <w:lastRenderedPageBreak/>
        <w:t xml:space="preserve">Bogotá, </w:t>
      </w:r>
      <w:r w:rsidR="00CD52BD" w:rsidRPr="00CD52BD">
        <w:rPr>
          <w:rFonts w:ascii="Arial" w:eastAsia="Calibri" w:hAnsi="Arial" w:cs="Arial"/>
          <w:lang w:val="es-MX"/>
        </w:rPr>
        <w:t>01 Junio 2021</w:t>
      </w:r>
      <w:r w:rsidR="00CD52BD">
        <w:rPr>
          <w:rFonts w:ascii="Arial" w:eastAsia="Calibri" w:hAnsi="Arial" w:cs="Arial"/>
          <w:lang w:val="es-MX"/>
        </w:rPr>
        <w:t xml:space="preserve">                                     </w:t>
      </w:r>
      <w:r w:rsidR="00CD52BD" w:rsidRPr="00CD52BD">
        <w:rPr>
          <w:rFonts w:ascii="Arial" w:eastAsia="Calibri" w:hAnsi="Arial" w:cs="Arial"/>
          <w:lang w:val="es-MX"/>
        </w:rPr>
        <w:drawing>
          <wp:inline distT="0" distB="0" distL="0" distR="0" wp14:anchorId="4422598F" wp14:editId="74D29452">
            <wp:extent cx="2768600" cy="749300"/>
            <wp:effectExtent l="0" t="0" r="0" b="0"/>
            <wp:docPr id="6" name="Imagen 6"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nterfaz de usuario gráfica, Texto&#10;&#10;Descripción generada automáticamente"/>
                    <pic:cNvPicPr/>
                  </pic:nvPicPr>
                  <pic:blipFill>
                    <a:blip r:embed="rId11"/>
                    <a:stretch>
                      <a:fillRect/>
                    </a:stretch>
                  </pic:blipFill>
                  <pic:spPr>
                    <a:xfrm>
                      <a:off x="0" y="0"/>
                      <a:ext cx="2768600" cy="749300"/>
                    </a:xfrm>
                    <a:prstGeom prst="rect">
                      <a:avLst/>
                    </a:prstGeom>
                  </pic:spPr>
                </pic:pic>
              </a:graphicData>
            </a:graphic>
          </wp:inline>
        </w:drawing>
      </w:r>
    </w:p>
    <w:p w14:paraId="14CB6FEF" w14:textId="77777777" w:rsidR="00587BAD" w:rsidRDefault="00587BAD" w:rsidP="00BA01D3">
      <w:pPr>
        <w:spacing w:after="0" w:line="240" w:lineRule="auto"/>
        <w:rPr>
          <w:rFonts w:ascii="Arial" w:eastAsia="Calibri" w:hAnsi="Arial" w:cs="Arial"/>
          <w:lang w:val="es-MX"/>
        </w:rPr>
      </w:pPr>
    </w:p>
    <w:p w14:paraId="00485FA3" w14:textId="4DFA4239" w:rsidR="00D83CE1" w:rsidRPr="00D83CE1" w:rsidRDefault="00D83CE1" w:rsidP="00BA01D3">
      <w:pPr>
        <w:spacing w:after="0" w:line="240" w:lineRule="auto"/>
        <w:rPr>
          <w:rFonts w:ascii="Arial" w:eastAsia="Calibri" w:hAnsi="Arial" w:cs="Arial"/>
          <w:lang w:val="es-MX"/>
        </w:rPr>
      </w:pPr>
      <w:r w:rsidRPr="00D83CE1">
        <w:rPr>
          <w:rFonts w:ascii="Arial" w:eastAsia="Calibri" w:hAnsi="Arial" w:cs="Arial"/>
          <w:lang w:val="es-MX"/>
        </w:rPr>
        <w:t>Señor</w:t>
      </w:r>
    </w:p>
    <w:p w14:paraId="3DCC68D0" w14:textId="4B24A3D4" w:rsidR="00D83CE1" w:rsidRPr="00D83CE1" w:rsidRDefault="00521543" w:rsidP="00D83CE1">
      <w:pPr>
        <w:spacing w:after="0" w:line="240" w:lineRule="auto"/>
        <w:rPr>
          <w:rFonts w:ascii="Arial" w:hAnsi="Arial" w:cs="Arial"/>
          <w:b/>
          <w:bCs/>
        </w:rPr>
      </w:pPr>
      <w:r>
        <w:rPr>
          <w:rFonts w:ascii="Arial" w:hAnsi="Arial" w:cs="Arial"/>
          <w:b/>
          <w:bCs/>
        </w:rPr>
        <w:t>Javier Enrique Redondo Rueda</w:t>
      </w:r>
    </w:p>
    <w:p w14:paraId="73899467" w14:textId="565415B6" w:rsidR="00D83CE1" w:rsidRPr="00D83CE1" w:rsidRDefault="00D83CE1" w:rsidP="00D83CE1">
      <w:pPr>
        <w:spacing w:after="0" w:line="240" w:lineRule="auto"/>
        <w:rPr>
          <w:rFonts w:ascii="Arial" w:eastAsia="Calibri" w:hAnsi="Arial" w:cs="Arial"/>
          <w:lang w:val="es-MX"/>
        </w:rPr>
      </w:pPr>
      <w:r w:rsidRPr="00D83CE1">
        <w:rPr>
          <w:rFonts w:ascii="Arial" w:hAnsi="Arial" w:cs="Arial"/>
        </w:rPr>
        <w:t>Bogotá D.C</w:t>
      </w:r>
      <w:r w:rsidRPr="00D83CE1">
        <w:rPr>
          <w:rFonts w:ascii="Arial" w:eastAsia="Calibri" w:hAnsi="Arial" w:cs="Arial"/>
          <w:lang w:val="es-MX"/>
        </w:rPr>
        <w:tab/>
      </w:r>
      <w:r w:rsidRPr="00D83CE1">
        <w:rPr>
          <w:rFonts w:ascii="Arial" w:eastAsia="Calibri" w:hAnsi="Arial" w:cs="Arial"/>
          <w:lang w:val="es-MX"/>
        </w:rPr>
        <w:tab/>
      </w:r>
      <w:r w:rsidRPr="00D83CE1">
        <w:rPr>
          <w:rFonts w:ascii="Arial" w:eastAsia="Calibri" w:hAnsi="Arial" w:cs="Arial"/>
          <w:lang w:val="es-MX"/>
        </w:rPr>
        <w:tab/>
      </w:r>
    </w:p>
    <w:p w14:paraId="60B26C89" w14:textId="235C1226" w:rsidR="00D83CE1" w:rsidRDefault="00D83CE1" w:rsidP="00D83CE1">
      <w:pPr>
        <w:spacing w:after="0" w:line="240" w:lineRule="auto"/>
        <w:rPr>
          <w:rFonts w:ascii="Arial" w:eastAsia="Calibri" w:hAnsi="Arial" w:cs="Arial"/>
          <w:lang w:val="es-MX"/>
        </w:rPr>
      </w:pPr>
    </w:p>
    <w:p w14:paraId="37FAB3DD" w14:textId="77777777" w:rsidR="00D83CE1" w:rsidRPr="00D83CE1" w:rsidRDefault="00D83CE1" w:rsidP="00D83CE1">
      <w:pPr>
        <w:spacing w:after="0" w:line="240" w:lineRule="auto"/>
        <w:rPr>
          <w:rFonts w:ascii="Arial" w:eastAsia="Calibri" w:hAnsi="Arial" w:cs="Arial"/>
          <w:lang w:val="es-MX"/>
        </w:rPr>
      </w:pPr>
    </w:p>
    <w:p w14:paraId="27D30293" w14:textId="0DA93096" w:rsidR="00D83CE1" w:rsidRDefault="00D83CE1" w:rsidP="00D83CE1">
      <w:pPr>
        <w:spacing w:after="0" w:line="240" w:lineRule="auto"/>
        <w:rPr>
          <w:rFonts w:ascii="Arial" w:eastAsia="Calibri" w:hAnsi="Arial" w:cs="Arial"/>
          <w:b/>
          <w:lang w:val="es-MX"/>
        </w:rPr>
      </w:pPr>
      <w:r w:rsidRPr="00D83CE1">
        <w:rPr>
          <w:rFonts w:ascii="Arial" w:eastAsia="Calibri" w:hAnsi="Arial" w:cs="Arial"/>
          <w:b/>
          <w:lang w:val="es-MX"/>
        </w:rPr>
        <w:t xml:space="preserve">                                            Concepto C – </w:t>
      </w:r>
      <w:r w:rsidR="00E41BD7">
        <w:rPr>
          <w:rFonts w:ascii="Arial" w:eastAsia="Calibri" w:hAnsi="Arial" w:cs="Arial"/>
          <w:b/>
          <w:lang w:val="es-MX"/>
        </w:rPr>
        <w:t>249</w:t>
      </w:r>
      <w:r w:rsidRPr="00D83CE1">
        <w:rPr>
          <w:rFonts w:ascii="Arial" w:eastAsia="Calibri" w:hAnsi="Arial" w:cs="Arial"/>
          <w:b/>
          <w:lang w:val="es-MX"/>
        </w:rPr>
        <w:t xml:space="preserve"> de 2021</w:t>
      </w:r>
    </w:p>
    <w:p w14:paraId="65167A59" w14:textId="77777777" w:rsidR="00D83CE1" w:rsidRPr="00D83CE1" w:rsidRDefault="00D83CE1" w:rsidP="00D83CE1">
      <w:pPr>
        <w:spacing w:after="0" w:line="240" w:lineRule="auto"/>
        <w:rPr>
          <w:rFonts w:ascii="Arial" w:eastAsia="Calibri" w:hAnsi="Arial" w:cs="Arial"/>
          <w:lang w:val="es-MX"/>
        </w:rPr>
      </w:pPr>
    </w:p>
    <w:tbl>
      <w:tblPr>
        <w:tblStyle w:val="Tablaconcuadrcula1"/>
        <w:tblW w:w="9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9"/>
        <w:gridCol w:w="6331"/>
      </w:tblGrid>
      <w:tr w:rsidR="00D83CE1" w:rsidRPr="00D83CE1" w14:paraId="392DAB54" w14:textId="77777777" w:rsidTr="00007501">
        <w:trPr>
          <w:trHeight w:val="1845"/>
        </w:trPr>
        <w:tc>
          <w:tcPr>
            <w:tcW w:w="2729" w:type="dxa"/>
          </w:tcPr>
          <w:p w14:paraId="2A6083F9" w14:textId="77777777" w:rsidR="00D83CE1" w:rsidRPr="00D83CE1" w:rsidRDefault="00D83CE1" w:rsidP="00D83CE1">
            <w:pPr>
              <w:rPr>
                <w:rFonts w:ascii="Arial" w:eastAsia="Calibri" w:hAnsi="Arial" w:cs="Arial"/>
                <w:lang w:val="es-MX"/>
              </w:rPr>
            </w:pPr>
            <w:r w:rsidRPr="00D83CE1">
              <w:rPr>
                <w:rFonts w:ascii="Arial" w:eastAsia="Calibri" w:hAnsi="Arial" w:cs="Arial"/>
                <w:b/>
                <w:lang w:val="es-MX"/>
              </w:rPr>
              <w:t>Temas:</w:t>
            </w:r>
            <w:r w:rsidRPr="00D83CE1">
              <w:rPr>
                <w:rFonts w:ascii="Arial" w:eastAsia="Calibri" w:hAnsi="Arial" w:cs="Arial"/>
                <w:lang w:val="es-MX"/>
              </w:rPr>
              <w:t xml:space="preserve">           </w:t>
            </w:r>
          </w:p>
          <w:p w14:paraId="53B3A08D" w14:textId="77777777" w:rsidR="00D83CE1" w:rsidRPr="00D83CE1" w:rsidRDefault="00D83CE1" w:rsidP="00D83CE1">
            <w:pPr>
              <w:rPr>
                <w:rFonts w:ascii="Arial" w:eastAsia="Calibri" w:hAnsi="Arial" w:cs="Arial"/>
                <w:lang w:val="es-MX"/>
              </w:rPr>
            </w:pPr>
            <w:r w:rsidRPr="00D83CE1">
              <w:rPr>
                <w:rFonts w:ascii="Arial" w:eastAsia="Calibri" w:hAnsi="Arial" w:cs="Arial"/>
                <w:lang w:val="es-MX"/>
              </w:rPr>
              <w:t xml:space="preserve">                           </w:t>
            </w:r>
          </w:p>
        </w:tc>
        <w:tc>
          <w:tcPr>
            <w:tcW w:w="6331" w:type="dxa"/>
          </w:tcPr>
          <w:p w14:paraId="2D232ACC" w14:textId="554CFCC3" w:rsidR="00D83CE1" w:rsidRPr="00D83CE1" w:rsidRDefault="00D83CE1" w:rsidP="00D83CE1">
            <w:pPr>
              <w:spacing w:after="120"/>
              <w:jc w:val="both"/>
              <w:rPr>
                <w:rFonts w:ascii="Arial" w:eastAsia="Calibri" w:hAnsi="Arial" w:cs="Arial"/>
                <w:bCs/>
                <w:lang w:val="es-MX"/>
              </w:rPr>
            </w:pPr>
            <w:r w:rsidRPr="00D83CE1">
              <w:rPr>
                <w:rFonts w:ascii="Arial" w:eastAsia="Calibri" w:hAnsi="Arial" w:cs="Arial"/>
                <w:bCs/>
                <w:lang w:val="es-MX"/>
              </w:rPr>
              <w:t xml:space="preserve">SOCIEDADES NUEVAS ‒ Experiencia ‒ Inferior a tres años ‒ Requisitos habilitantes ‒ Desarrollo de la empresa/ </w:t>
            </w:r>
            <w:r w:rsidRPr="00D83CE1">
              <w:rPr>
                <w:rFonts w:ascii="Arial" w:hAnsi="Arial" w:cs="Arial"/>
                <w:bCs/>
                <w:lang w:val="es-MX"/>
              </w:rPr>
              <w:t xml:space="preserve">EXPERIENCIA ‒ Conservación ‒ Renovación RUP ‒ Cesación efectos RUP / EXPERIENCIA </w:t>
            </w:r>
            <w:r w:rsidRPr="00D83CE1">
              <w:rPr>
                <w:rFonts w:ascii="Arial" w:eastAsia="Calibri" w:hAnsi="Arial" w:cs="Arial"/>
                <w:bCs/>
                <w:lang w:val="es-MX"/>
              </w:rPr>
              <w:t>–</w:t>
            </w:r>
            <w:r w:rsidRPr="00D83CE1">
              <w:rPr>
                <w:rFonts w:ascii="Arial" w:hAnsi="Arial" w:cs="Arial"/>
                <w:bCs/>
                <w:lang w:val="es-MX"/>
              </w:rPr>
              <w:t xml:space="preserve"> Conservación </w:t>
            </w:r>
            <w:r w:rsidRPr="00D83CE1">
              <w:rPr>
                <w:rFonts w:ascii="Arial" w:eastAsia="Calibri" w:hAnsi="Arial" w:cs="Arial"/>
                <w:bCs/>
                <w:lang w:val="es-MX"/>
              </w:rPr>
              <w:t xml:space="preserve">– </w:t>
            </w:r>
            <w:r w:rsidRPr="00D83CE1">
              <w:rPr>
                <w:rFonts w:ascii="Arial" w:hAnsi="Arial" w:cs="Arial"/>
                <w:bCs/>
                <w:lang w:val="es-MX"/>
              </w:rPr>
              <w:t xml:space="preserve">Sociedades </w:t>
            </w:r>
            <w:r w:rsidRPr="00D83CE1">
              <w:rPr>
                <w:rFonts w:ascii="Arial" w:eastAsia="Calibri" w:hAnsi="Arial" w:cs="Arial"/>
                <w:bCs/>
                <w:lang w:val="es-MX"/>
              </w:rPr>
              <w:t>– M</w:t>
            </w:r>
            <w:r w:rsidRPr="00D83CE1">
              <w:rPr>
                <w:rFonts w:ascii="Arial" w:hAnsi="Arial" w:cs="Arial"/>
                <w:bCs/>
                <w:lang w:val="es-MX"/>
              </w:rPr>
              <w:t>enor a 3 años de constitución</w:t>
            </w:r>
          </w:p>
        </w:tc>
      </w:tr>
      <w:tr w:rsidR="00D83CE1" w:rsidRPr="00D83CE1" w14:paraId="60934D3E" w14:textId="77777777" w:rsidTr="00007501">
        <w:trPr>
          <w:trHeight w:val="296"/>
        </w:trPr>
        <w:tc>
          <w:tcPr>
            <w:tcW w:w="2729" w:type="dxa"/>
          </w:tcPr>
          <w:p w14:paraId="2812797A" w14:textId="440D9B13" w:rsidR="00870720" w:rsidRPr="00870720" w:rsidRDefault="00D83CE1" w:rsidP="00870720">
            <w:pPr>
              <w:rPr>
                <w:rFonts w:ascii="Arial" w:eastAsia="Calibri" w:hAnsi="Arial" w:cs="Arial"/>
                <w:lang w:val="es-MX"/>
              </w:rPr>
            </w:pPr>
            <w:r w:rsidRPr="00D83CE1">
              <w:rPr>
                <w:rFonts w:ascii="Arial" w:eastAsia="Calibri" w:hAnsi="Arial" w:cs="Arial"/>
                <w:b/>
                <w:lang w:val="es-MX"/>
              </w:rPr>
              <w:t>Radicación:</w:t>
            </w:r>
            <w:r w:rsidRPr="00D83CE1">
              <w:rPr>
                <w:rFonts w:ascii="Arial" w:eastAsia="Calibri" w:hAnsi="Arial" w:cs="Arial"/>
                <w:lang w:val="es-MX"/>
              </w:rPr>
              <w:t xml:space="preserve">                          </w:t>
            </w:r>
          </w:p>
        </w:tc>
        <w:tc>
          <w:tcPr>
            <w:tcW w:w="6331" w:type="dxa"/>
          </w:tcPr>
          <w:p w14:paraId="477EA52B" w14:textId="7050F081" w:rsidR="00D83CE1" w:rsidRPr="00D83CE1" w:rsidRDefault="00D83CE1" w:rsidP="00007501">
            <w:pPr>
              <w:rPr>
                <w:rFonts w:ascii="Arial" w:eastAsia="Calibri" w:hAnsi="Arial" w:cs="Arial"/>
                <w:lang w:val="es-MX"/>
              </w:rPr>
            </w:pPr>
            <w:r w:rsidRPr="00D83CE1">
              <w:rPr>
                <w:rFonts w:ascii="Arial" w:eastAsia="Calibri" w:hAnsi="Arial" w:cs="Arial"/>
                <w:lang w:val="es-MX"/>
              </w:rPr>
              <w:t xml:space="preserve">Respuesta a consulta # </w:t>
            </w:r>
            <w:r w:rsidR="00521543" w:rsidRPr="00521543">
              <w:rPr>
                <w:rFonts w:ascii="Arial" w:eastAsia="Calibri" w:hAnsi="Arial" w:cs="Arial"/>
                <w:lang w:val="es-MX"/>
              </w:rPr>
              <w:t>P20210420003220</w:t>
            </w:r>
          </w:p>
        </w:tc>
      </w:tr>
    </w:tbl>
    <w:p w14:paraId="7492E3D5" w14:textId="77777777" w:rsidR="00F12073" w:rsidRDefault="00F12073" w:rsidP="00870720">
      <w:pPr>
        <w:spacing w:after="0" w:line="240" w:lineRule="auto"/>
        <w:rPr>
          <w:rFonts w:ascii="Arial" w:eastAsia="Calibri" w:hAnsi="Arial" w:cs="Arial"/>
          <w:lang w:val="es-MX"/>
        </w:rPr>
      </w:pPr>
    </w:p>
    <w:p w14:paraId="7B222138" w14:textId="77777777" w:rsidR="00F12073" w:rsidRDefault="00F12073" w:rsidP="00870720">
      <w:pPr>
        <w:spacing w:after="0" w:line="240" w:lineRule="auto"/>
        <w:rPr>
          <w:rFonts w:ascii="Arial" w:eastAsia="Calibri" w:hAnsi="Arial" w:cs="Arial"/>
          <w:lang w:val="es-MX"/>
        </w:rPr>
      </w:pPr>
    </w:p>
    <w:p w14:paraId="0E072F93" w14:textId="6781633C" w:rsidR="00D83CE1" w:rsidRPr="00D83CE1" w:rsidRDefault="00D83CE1" w:rsidP="00870720">
      <w:pPr>
        <w:spacing w:after="0" w:line="240" w:lineRule="auto"/>
        <w:rPr>
          <w:rFonts w:ascii="Arial" w:eastAsia="Calibri" w:hAnsi="Arial" w:cs="Arial"/>
          <w:lang w:val="es-MX"/>
        </w:rPr>
      </w:pPr>
      <w:r w:rsidRPr="00D83CE1">
        <w:rPr>
          <w:rFonts w:ascii="Arial" w:eastAsia="Calibri" w:hAnsi="Arial" w:cs="Arial"/>
          <w:lang w:val="es-MX"/>
        </w:rPr>
        <w:t>Estimad</w:t>
      </w:r>
      <w:r w:rsidR="00521543">
        <w:rPr>
          <w:rFonts w:ascii="Arial" w:eastAsia="Calibri" w:hAnsi="Arial" w:cs="Arial"/>
          <w:lang w:val="es-MX"/>
        </w:rPr>
        <w:t>o</w:t>
      </w:r>
      <w:r w:rsidRPr="00D83CE1">
        <w:rPr>
          <w:rFonts w:ascii="Arial" w:eastAsia="Calibri" w:hAnsi="Arial" w:cs="Arial"/>
          <w:lang w:val="es-MX"/>
        </w:rPr>
        <w:t xml:space="preserve"> señor </w:t>
      </w:r>
      <w:r w:rsidR="00521543">
        <w:rPr>
          <w:rFonts w:ascii="Arial" w:hAnsi="Arial" w:cs="Arial"/>
        </w:rPr>
        <w:t>Redondo</w:t>
      </w:r>
      <w:r w:rsidRPr="00D83CE1">
        <w:rPr>
          <w:rFonts w:ascii="Arial" w:eastAsia="Calibri" w:hAnsi="Arial" w:cs="Arial"/>
          <w:lang w:val="es-MX"/>
        </w:rPr>
        <w:t>,</w:t>
      </w:r>
    </w:p>
    <w:p w14:paraId="44B8CB08" w14:textId="77777777" w:rsidR="00D83CE1" w:rsidRPr="00D83CE1" w:rsidRDefault="00D83CE1" w:rsidP="00D83CE1">
      <w:pPr>
        <w:spacing w:after="0" w:line="276" w:lineRule="auto"/>
        <w:rPr>
          <w:rFonts w:ascii="Arial" w:eastAsia="Calibri" w:hAnsi="Arial" w:cs="Arial"/>
          <w:lang w:val="es-MX"/>
        </w:rPr>
      </w:pPr>
    </w:p>
    <w:p w14:paraId="0051C754" w14:textId="6901C82C" w:rsidR="00D83CE1" w:rsidRPr="00D83CE1" w:rsidRDefault="00D83CE1" w:rsidP="00F830D4">
      <w:pPr>
        <w:spacing w:after="0" w:line="276" w:lineRule="auto"/>
        <w:ind w:right="49"/>
        <w:jc w:val="both"/>
        <w:rPr>
          <w:rFonts w:ascii="Arial" w:eastAsia="Calibri" w:hAnsi="Arial" w:cs="Arial"/>
          <w:lang w:val="es-MX"/>
        </w:rPr>
      </w:pPr>
      <w:bookmarkStart w:id="1" w:name="_Hlk44427398"/>
      <w:r w:rsidRPr="00D83CE1">
        <w:rPr>
          <w:rFonts w:ascii="Arial" w:eastAsia="Calibri" w:hAnsi="Arial" w:cs="Arial"/>
          <w:lang w:val="es-MX"/>
        </w:rPr>
        <w:t>La Agencia Nacional de Contratación Pública – Colombia Compra Eficiente responde su consulta del</w:t>
      </w:r>
      <w:r>
        <w:rPr>
          <w:rFonts w:ascii="Arial" w:eastAsia="Calibri" w:hAnsi="Arial" w:cs="Arial"/>
          <w:lang w:val="es-MX"/>
        </w:rPr>
        <w:t xml:space="preserve"> 1</w:t>
      </w:r>
      <w:r w:rsidR="00521543">
        <w:rPr>
          <w:rFonts w:ascii="Arial" w:eastAsia="Calibri" w:hAnsi="Arial" w:cs="Arial"/>
          <w:lang w:val="es-MX"/>
        </w:rPr>
        <w:t>9</w:t>
      </w:r>
      <w:r w:rsidRPr="00D83CE1">
        <w:rPr>
          <w:rFonts w:ascii="Arial" w:eastAsia="Calibri" w:hAnsi="Arial" w:cs="Arial"/>
          <w:lang w:val="es-MX"/>
        </w:rPr>
        <w:t xml:space="preserve"> de </w:t>
      </w:r>
      <w:r w:rsidR="00521543">
        <w:rPr>
          <w:rFonts w:ascii="Arial" w:eastAsia="Calibri" w:hAnsi="Arial" w:cs="Arial"/>
          <w:lang w:val="es-MX"/>
        </w:rPr>
        <w:t>abril</w:t>
      </w:r>
      <w:r w:rsidRPr="00D83CE1">
        <w:rPr>
          <w:rFonts w:ascii="Arial" w:eastAsia="Calibri" w:hAnsi="Arial" w:cs="Arial"/>
          <w:lang w:val="es-MX"/>
        </w:rPr>
        <w:t xml:space="preserve"> de 2021, en ejercicio de la competencia otorgada por el numeral 8 del artículo 11 y el numeral 5 del artículo 3 del Decreto Ley 4170 de 2011. </w:t>
      </w:r>
    </w:p>
    <w:p w14:paraId="5C5897B0" w14:textId="77777777" w:rsidR="00D83CE1" w:rsidRPr="00D83CE1" w:rsidRDefault="00D83CE1" w:rsidP="00D83CE1">
      <w:pPr>
        <w:tabs>
          <w:tab w:val="left" w:pos="284"/>
        </w:tabs>
        <w:spacing w:after="0" w:line="276" w:lineRule="auto"/>
        <w:jc w:val="both"/>
        <w:rPr>
          <w:rFonts w:ascii="Arial" w:eastAsia="Calibri" w:hAnsi="Arial" w:cs="Arial"/>
          <w:b/>
          <w:lang w:val="es-MX"/>
        </w:rPr>
      </w:pPr>
    </w:p>
    <w:bookmarkEnd w:id="1"/>
    <w:p w14:paraId="4DC0214A" w14:textId="68FC9AF4" w:rsidR="00D83CE1" w:rsidRPr="00D83CE1" w:rsidRDefault="00D83CE1" w:rsidP="00D83CE1">
      <w:pPr>
        <w:numPr>
          <w:ilvl w:val="0"/>
          <w:numId w:val="1"/>
        </w:numPr>
        <w:tabs>
          <w:tab w:val="left" w:pos="284"/>
        </w:tabs>
        <w:spacing w:after="0" w:line="276" w:lineRule="auto"/>
        <w:ind w:left="0" w:firstLine="0"/>
        <w:jc w:val="both"/>
        <w:rPr>
          <w:rFonts w:ascii="Arial" w:eastAsia="Calibri" w:hAnsi="Arial" w:cs="Arial"/>
          <w:b/>
          <w:lang w:val="es-MX"/>
        </w:rPr>
      </w:pPr>
      <w:r w:rsidRPr="00D83CE1">
        <w:rPr>
          <w:rFonts w:ascii="Arial" w:eastAsia="Calibri" w:hAnsi="Arial" w:cs="Arial"/>
          <w:b/>
          <w:lang w:val="es-MX"/>
        </w:rPr>
        <w:t xml:space="preserve">Problema planteado </w:t>
      </w:r>
    </w:p>
    <w:p w14:paraId="5ECA00C1" w14:textId="77777777" w:rsidR="00D83CE1" w:rsidRPr="00D83CE1" w:rsidRDefault="00D83CE1" w:rsidP="00D83CE1">
      <w:pPr>
        <w:tabs>
          <w:tab w:val="left" w:pos="426"/>
        </w:tabs>
        <w:spacing w:after="0" w:line="276" w:lineRule="auto"/>
        <w:jc w:val="both"/>
        <w:rPr>
          <w:rFonts w:ascii="Arial" w:eastAsia="Calibri" w:hAnsi="Arial" w:cs="Arial"/>
          <w:b/>
          <w:lang w:val="es-MX"/>
        </w:rPr>
      </w:pPr>
    </w:p>
    <w:p w14:paraId="068BC309" w14:textId="089CC089" w:rsidR="00D83CE1" w:rsidRPr="00521543" w:rsidRDefault="00D83CE1" w:rsidP="003525B8">
      <w:pPr>
        <w:pStyle w:val="Default"/>
        <w:spacing w:line="276" w:lineRule="auto"/>
        <w:jc w:val="both"/>
        <w:rPr>
          <w:sz w:val="22"/>
          <w:szCs w:val="22"/>
        </w:rPr>
      </w:pPr>
      <w:r w:rsidRPr="00521543">
        <w:rPr>
          <w:sz w:val="22"/>
          <w:szCs w:val="22"/>
        </w:rPr>
        <w:t>Usted realiza la siguiente pregunta: «</w:t>
      </w:r>
      <w:r w:rsidR="00521543" w:rsidRPr="00521543">
        <w:rPr>
          <w:sz w:val="22"/>
          <w:szCs w:val="22"/>
        </w:rPr>
        <w:t>¿Es posible que una sociedad o persona jurídica siga acreditando la experiencia de sus socios, accionistas y constituyentes en la contratación estatal</w:t>
      </w:r>
      <w:r w:rsidR="00521543">
        <w:rPr>
          <w:sz w:val="22"/>
          <w:szCs w:val="22"/>
        </w:rPr>
        <w:t>,</w:t>
      </w:r>
      <w:r w:rsidR="00521543" w:rsidRPr="00521543">
        <w:rPr>
          <w:sz w:val="22"/>
          <w:szCs w:val="22"/>
        </w:rPr>
        <w:t xml:space="preserve"> en uso de la prerrogativa establecida en el numeral 2</w:t>
      </w:r>
      <w:r w:rsidR="00521543">
        <w:rPr>
          <w:sz w:val="22"/>
          <w:szCs w:val="22"/>
        </w:rPr>
        <w:t>.</w:t>
      </w:r>
      <w:r w:rsidR="00521543" w:rsidRPr="00521543">
        <w:rPr>
          <w:sz w:val="22"/>
          <w:szCs w:val="22"/>
        </w:rPr>
        <w:t>5 del 2.2.1.1.1.5.2. del Decreto 1082 de 2015, aun después de transcurridos 3 (tres) años desde su constitución, siempre que no hayan cesado los efectos del RUP por el incumplimiento del deber de renovación</w:t>
      </w:r>
      <w:r w:rsidRPr="00521543">
        <w:rPr>
          <w:sz w:val="22"/>
          <w:szCs w:val="22"/>
        </w:rPr>
        <w:t>?».</w:t>
      </w:r>
    </w:p>
    <w:p w14:paraId="3AC5D85B" w14:textId="77777777" w:rsidR="00D83CE1" w:rsidRPr="00521543" w:rsidRDefault="00D83CE1" w:rsidP="00521543">
      <w:pPr>
        <w:tabs>
          <w:tab w:val="left" w:pos="284"/>
        </w:tabs>
        <w:spacing w:after="0" w:line="276" w:lineRule="auto"/>
        <w:jc w:val="both"/>
        <w:rPr>
          <w:rFonts w:ascii="Arial" w:eastAsia="Calibri" w:hAnsi="Arial" w:cs="Arial"/>
          <w:b/>
          <w:lang w:val="es-MX"/>
        </w:rPr>
      </w:pPr>
    </w:p>
    <w:p w14:paraId="5309FBB7" w14:textId="77777777" w:rsidR="00D83CE1" w:rsidRPr="00D83CE1" w:rsidRDefault="00D83CE1" w:rsidP="00D83CE1">
      <w:pPr>
        <w:numPr>
          <w:ilvl w:val="0"/>
          <w:numId w:val="1"/>
        </w:numPr>
        <w:tabs>
          <w:tab w:val="left" w:pos="284"/>
        </w:tabs>
        <w:spacing w:after="0" w:line="276" w:lineRule="auto"/>
        <w:ind w:left="0" w:firstLine="0"/>
        <w:jc w:val="both"/>
        <w:rPr>
          <w:rFonts w:ascii="Arial" w:eastAsia="Calibri" w:hAnsi="Arial" w:cs="Arial"/>
          <w:b/>
          <w:lang w:val="es-MX"/>
        </w:rPr>
      </w:pPr>
      <w:r w:rsidRPr="00D83CE1">
        <w:rPr>
          <w:rFonts w:ascii="Arial" w:eastAsia="Calibri" w:hAnsi="Arial" w:cs="Arial"/>
          <w:b/>
          <w:lang w:val="es-MX"/>
        </w:rPr>
        <w:t>Consideraciones</w:t>
      </w:r>
    </w:p>
    <w:p w14:paraId="410A8175" w14:textId="77777777" w:rsidR="00D83CE1" w:rsidRPr="00D83CE1" w:rsidRDefault="00D83CE1" w:rsidP="00D83CE1">
      <w:pPr>
        <w:tabs>
          <w:tab w:val="left" w:pos="426"/>
        </w:tabs>
        <w:spacing w:after="0" w:line="276" w:lineRule="auto"/>
        <w:jc w:val="both"/>
        <w:rPr>
          <w:rFonts w:ascii="Arial" w:eastAsia="Calibri" w:hAnsi="Arial" w:cs="Arial"/>
          <w:b/>
          <w:lang w:val="es-MX"/>
        </w:rPr>
      </w:pPr>
    </w:p>
    <w:p w14:paraId="0A65368C" w14:textId="59D9506A" w:rsidR="00D83CE1" w:rsidRPr="00D83CE1" w:rsidRDefault="00D83CE1" w:rsidP="003525B8">
      <w:pPr>
        <w:spacing w:after="120" w:line="276" w:lineRule="auto"/>
        <w:jc w:val="both"/>
        <w:rPr>
          <w:rFonts w:ascii="Arial" w:hAnsi="Arial" w:cs="Arial"/>
          <w:lang w:val="es-MX"/>
        </w:rPr>
      </w:pPr>
      <w:r w:rsidRPr="00D83CE1">
        <w:rPr>
          <w:rFonts w:ascii="Arial" w:eastAsia="Calibri" w:hAnsi="Arial" w:cs="Arial"/>
          <w:lang w:val="es-MX"/>
        </w:rPr>
        <w:t xml:space="preserve">La Agencia Nacional de Contratación Pública ‒ Colombia Compra Eficiente, en los conceptos </w:t>
      </w:r>
      <w:r w:rsidR="00521543">
        <w:rPr>
          <w:rFonts w:ascii="Arial" w:eastAsia="Calibri" w:hAnsi="Arial" w:cs="Arial"/>
          <w:lang w:val="es-MX"/>
        </w:rPr>
        <w:t xml:space="preserve">C-103 de 2021 de 24 de marzo de 2021, </w:t>
      </w:r>
      <w:r w:rsidRPr="00D83CE1">
        <w:rPr>
          <w:rFonts w:ascii="Arial" w:eastAsia="Calibri" w:hAnsi="Arial" w:cs="Arial"/>
          <w:lang w:val="es-MX"/>
        </w:rPr>
        <w:t>C-025 del 16 de marzo de 2020, C-051 del 2 de marzo de 2020, C-165 del 1 de abril de 2020, C-233 del 16 de abril de 2020, C-407 de 12 de junio de 2020, C-398 de 30 de junio de 2020, C-470 del 14 de julio de 2020</w:t>
      </w:r>
      <w:r w:rsidR="005D0389">
        <w:rPr>
          <w:rFonts w:ascii="Arial" w:eastAsia="Calibri" w:hAnsi="Arial" w:cs="Arial"/>
          <w:lang w:val="es-MX"/>
        </w:rPr>
        <w:t>,</w:t>
      </w:r>
      <w:r w:rsidR="00B874E7">
        <w:rPr>
          <w:rFonts w:ascii="Arial" w:eastAsia="Calibri" w:hAnsi="Arial" w:cs="Arial"/>
          <w:lang w:val="es-MX"/>
        </w:rPr>
        <w:t xml:space="preserve"> </w:t>
      </w:r>
      <w:r w:rsidR="005D0389">
        <w:rPr>
          <w:rFonts w:ascii="Arial" w:eastAsia="Calibri" w:hAnsi="Arial" w:cs="Arial"/>
          <w:lang w:val="es-MX"/>
        </w:rPr>
        <w:t>C-</w:t>
      </w:r>
      <w:r w:rsidR="005D0389">
        <w:rPr>
          <w:rFonts w:ascii="Arial" w:eastAsia="Calibri" w:hAnsi="Arial" w:cs="Arial"/>
          <w:lang w:val="es-MX"/>
        </w:rPr>
        <w:lastRenderedPageBreak/>
        <w:t>511</w:t>
      </w:r>
      <w:r w:rsidR="00AD1FA2">
        <w:rPr>
          <w:rFonts w:ascii="Arial" w:eastAsia="Calibri" w:hAnsi="Arial" w:cs="Arial"/>
          <w:lang w:val="es-MX"/>
        </w:rPr>
        <w:t xml:space="preserve"> del 18 de </w:t>
      </w:r>
      <w:r w:rsidR="00FC7487">
        <w:rPr>
          <w:rFonts w:ascii="Arial" w:eastAsia="Calibri" w:hAnsi="Arial" w:cs="Arial"/>
          <w:lang w:val="es-MX"/>
        </w:rPr>
        <w:t>agosto de 2020,</w:t>
      </w:r>
      <w:r w:rsidRPr="00D83CE1">
        <w:rPr>
          <w:rFonts w:ascii="Arial" w:eastAsia="Calibri" w:hAnsi="Arial" w:cs="Arial"/>
          <w:lang w:val="es-MX"/>
        </w:rPr>
        <w:t xml:space="preserve"> C-584 de 31 de agosto 2020, C-619 de 21 de septiembre 2020, C-710 del 9 de diciembre de 2020, </w:t>
      </w:r>
      <w:r w:rsidRPr="00D83CE1">
        <w:rPr>
          <w:rFonts w:ascii="Arial" w:hAnsi="Arial" w:cs="Arial"/>
          <w:lang w:val="es-MX"/>
        </w:rPr>
        <w:t xml:space="preserve">C-717 del 10 de diciembre de 2020 y C-729 del del 11 de diciembre de 2020 estudió </w:t>
      </w:r>
      <w:r w:rsidRPr="00D83CE1">
        <w:rPr>
          <w:rFonts w:ascii="Arial" w:eastAsia="Calibri" w:hAnsi="Arial" w:cs="Arial"/>
          <w:lang w:val="es-MX"/>
        </w:rPr>
        <w:t>la acreditación de la experiencia de los socios por una sociedad nueva con menos de 3 años de constitución</w:t>
      </w:r>
      <w:r w:rsidRPr="00D83CE1">
        <w:rPr>
          <w:rFonts w:ascii="Arial" w:eastAsia="Calibri" w:hAnsi="Arial" w:cs="Arial"/>
          <w:vertAlign w:val="superscript"/>
          <w:lang w:val="es-MX"/>
        </w:rPr>
        <w:footnoteReference w:id="1"/>
      </w:r>
      <w:r w:rsidRPr="00D83CE1">
        <w:rPr>
          <w:rFonts w:ascii="Arial" w:eastAsia="Calibri" w:hAnsi="Arial" w:cs="Arial"/>
          <w:lang w:val="es-MX"/>
        </w:rPr>
        <w:t>. La tesis desarrollada en estos conceptos se reitera a continuación:</w:t>
      </w:r>
    </w:p>
    <w:p w14:paraId="198464AC" w14:textId="77777777" w:rsidR="00D83CE1" w:rsidRPr="00D83CE1" w:rsidRDefault="00D83CE1" w:rsidP="003525B8">
      <w:pPr>
        <w:spacing w:after="0" w:line="276" w:lineRule="auto"/>
        <w:ind w:firstLine="708"/>
        <w:jc w:val="both"/>
        <w:rPr>
          <w:rFonts w:ascii="Arial" w:hAnsi="Arial" w:cs="Arial"/>
          <w:lang w:val="es-MX"/>
        </w:rPr>
      </w:pPr>
      <w:r w:rsidRPr="00D83CE1">
        <w:rPr>
          <w:rFonts w:ascii="Arial" w:hAnsi="Arial" w:cs="Arial"/>
          <w:lang w:val="es-MX"/>
        </w:rPr>
        <w:t xml:space="preserve">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 </w:t>
      </w:r>
    </w:p>
    <w:p w14:paraId="0716D7DB"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En relación con el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126396F9"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D83CE1">
        <w:rPr>
          <w:rFonts w:ascii="Arial" w:hAnsi="Arial" w:cs="Arial"/>
          <w:vertAlign w:val="superscript"/>
          <w:lang w:val="es-MX"/>
        </w:rPr>
        <w:footnoteReference w:id="2"/>
      </w:r>
      <w:r w:rsidRPr="00D83CE1">
        <w:rPr>
          <w:rFonts w:ascii="Arial" w:hAnsi="Arial" w:cs="Arial"/>
          <w:lang w:val="es-MX"/>
        </w:rPr>
        <w:t xml:space="preserve">.  </w:t>
      </w:r>
    </w:p>
    <w:p w14:paraId="11A37A98"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lastRenderedPageBreak/>
        <w:t>El numeral 2.5</w:t>
      </w:r>
      <w:r w:rsidRPr="00D83CE1">
        <w:rPr>
          <w:rFonts w:ascii="Arial" w:hAnsi="Arial" w:cs="Arial"/>
          <w:vertAlign w:val="superscript"/>
          <w:lang w:val="es-MX"/>
        </w:rPr>
        <w:footnoteReference w:id="3"/>
      </w:r>
      <w:r w:rsidRPr="00D83CE1">
        <w:rPr>
          <w:rFonts w:ascii="Arial" w:hAnsi="Arial" w:cs="Arial"/>
          <w:lang w:val="es-MX"/>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47A2CC2B"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74A7C965" w14:textId="0988BEA3" w:rsidR="00D83CE1" w:rsidRPr="00D83CE1" w:rsidRDefault="00D83CE1">
      <w:pPr>
        <w:spacing w:before="120" w:after="120" w:line="276" w:lineRule="auto"/>
        <w:ind w:firstLine="708"/>
        <w:jc w:val="both"/>
        <w:rPr>
          <w:rFonts w:ascii="Arial" w:hAnsi="Arial" w:cs="Arial"/>
          <w:lang w:val="es-MX"/>
        </w:rPr>
      </w:pPr>
      <w:bookmarkStart w:id="2" w:name="_Hlk67496603"/>
      <w:r w:rsidRPr="00D83CE1">
        <w:rPr>
          <w:rFonts w:ascii="Arial" w:hAnsi="Arial" w:cs="Arial"/>
          <w:lang w:val="es-MX"/>
        </w:rPr>
        <w:t xml:space="preserve">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w:t>
      </w:r>
      <w:r w:rsidRPr="00D83CE1">
        <w:rPr>
          <w:rFonts w:ascii="Arial" w:eastAsia="Calibri" w:hAnsi="Arial" w:cs="Arial"/>
          <w:lang w:val="es-MX"/>
        </w:rPr>
        <w:t>─</w:t>
      </w:r>
      <w:r w:rsidRPr="00D83CE1">
        <w:rPr>
          <w:rFonts w:ascii="Arial" w:hAnsi="Arial" w:cs="Arial"/>
          <w:lang w:val="es-MX"/>
        </w:rPr>
        <w:t>con menos de 3 años de constitución</w:t>
      </w:r>
      <w:r w:rsidRPr="00D83CE1">
        <w:rPr>
          <w:rFonts w:ascii="Arial" w:eastAsia="Calibri" w:hAnsi="Arial" w:cs="Arial"/>
          <w:lang w:val="es-MX"/>
        </w:rPr>
        <w:t>─</w:t>
      </w:r>
      <w:r w:rsidRPr="00D83CE1">
        <w:rPr>
          <w:rFonts w:ascii="Arial" w:hAnsi="Arial" w:cs="Arial"/>
          <w:lang w:val="es-MX"/>
        </w:rPr>
        <w:t xml:space="preserve"> puedan acreditar como experiencia en el RUP la de sus accionistas, socios o constituyentes.</w:t>
      </w:r>
      <w:r w:rsidR="00F9783A">
        <w:rPr>
          <w:rFonts w:ascii="Arial" w:hAnsi="Arial" w:cs="Arial"/>
          <w:lang w:val="es-MX"/>
        </w:rPr>
        <w:t xml:space="preserve"> </w:t>
      </w:r>
      <w:r w:rsidRPr="00D83CE1">
        <w:rPr>
          <w:rFonts w:ascii="Arial" w:hAnsi="Arial" w:cs="Arial"/>
          <w:lang w:val="es-MX"/>
        </w:rPr>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63E619A8"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bookmarkEnd w:id="2"/>
    <w:p w14:paraId="0D732683"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 xml:space="preserve">Este aspecto ofrece meridiana claridad en cuanto a su aplicación, pero el interrogante que ha generado la norma es el siguiente: ¿qué pasa después de que la </w:t>
      </w:r>
      <w:r w:rsidRPr="00D83CE1">
        <w:rPr>
          <w:rFonts w:ascii="Arial" w:hAnsi="Arial" w:cs="Arial"/>
          <w:lang w:val="es-MX"/>
        </w:rPr>
        <w:lastRenderedPageBreak/>
        <w:t xml:space="preserve">sociedad a la que le ha sido permitido certificar la experiencia de sus socios, accionistas o constituyentes cumple 3 años de su constitución? ¿puede seguir siendo beneficiaria de la prerrogativa del numeral 2.5 del artículo 2.2.1.1.1.5.2 del Decreto 1082 de 2015? Estos interrogantes han sido planteados a la Subdirección de Gestión Contractual y se han desarrollado, en torno a dos posiciones, que se plantean a continuación: </w:t>
      </w:r>
    </w:p>
    <w:p w14:paraId="15993952"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 xml:space="preserve">En el concepto identificado con radicado No. 4201814000001418 del 3 de abril de 2018,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lo siguiente: </w:t>
      </w:r>
    </w:p>
    <w:p w14:paraId="3238CE70"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 xml:space="preserve">i) La posición de Colombia Compra Eficiente respecto a la validez de la experiencia de los accionistas, socios o constituyentes, acreditada en el RUP por una sociedad nueva, cuando está ya superó los 3 años de constituida, ha variado. </w:t>
      </w:r>
    </w:p>
    <w:p w14:paraId="48547BC0"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 xml:space="preserve">ii) El Decreto 1082 de 2015 establece que para la inscripción en el RUP de una persona jurídica, si su constitución es menor a 3 años, puede acreditar la experiencia de sus accionistas, socios o constituyentes. </w:t>
      </w:r>
    </w:p>
    <w:p w14:paraId="6C1C3F27"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 xml:space="preserve">iii)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12AFA32C"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 xml:space="preserve">iv)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771386F4"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w:t>
      </w:r>
      <w:r w:rsidRPr="00D83CE1">
        <w:rPr>
          <w:rFonts w:ascii="Arial" w:eastAsia="Calibri" w:hAnsi="Arial" w:cs="Arial"/>
          <w:lang w:val="es-MX"/>
        </w:rPr>
        <w:t>―</w:t>
      </w:r>
      <w:r w:rsidRPr="00D83CE1">
        <w:rPr>
          <w:rFonts w:ascii="Arial" w:hAnsi="Arial" w:cs="Arial"/>
          <w:lang w:val="es-MX"/>
        </w:rPr>
        <w:t>únicamente para la capacidad jurídica y experiencia</w:t>
      </w:r>
      <w:r w:rsidRPr="00D83CE1">
        <w:rPr>
          <w:rFonts w:ascii="Arial" w:eastAsia="Calibri" w:hAnsi="Arial" w:cs="Arial"/>
          <w:lang w:val="es-MX"/>
        </w:rPr>
        <w:t>―</w:t>
      </w:r>
      <w:r w:rsidRPr="00D83CE1">
        <w:rPr>
          <w:rFonts w:ascii="Arial" w:hAnsi="Arial" w:cs="Arial"/>
          <w:lang w:val="es-MX"/>
        </w:rPr>
        <w:t xml:space="preserve"> y debe ser verificada junto con sus soportes por la Cámara de Comercio correspondiente. </w:t>
      </w:r>
    </w:p>
    <w:p w14:paraId="432D32C8"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La posición anterior, en relación con la posibilidad de que las sociedades nuevas puedan seguir acreditando la experiencia de sus socios, accionistas o constituyentes, incluso después de cumplidos 3 años de constitución de la persona jurídica, fue superada y se ratificó por esta Subdirección la tesis que ya había sido desarrollada en el concepto del 7 de febrero de 2018</w:t>
      </w:r>
      <w:r w:rsidRPr="00D83CE1">
        <w:rPr>
          <w:rFonts w:ascii="Arial" w:hAnsi="Arial" w:cs="Arial"/>
          <w:vertAlign w:val="superscript"/>
          <w:lang w:val="es-MX"/>
        </w:rPr>
        <w:footnoteReference w:id="4"/>
      </w:r>
      <w:r w:rsidRPr="00D83CE1">
        <w:rPr>
          <w:rFonts w:ascii="Arial" w:hAnsi="Arial" w:cs="Arial"/>
          <w:lang w:val="es-MX"/>
        </w:rPr>
        <w:t xml:space="preserve">, recogida y unificada en el concepto con radicado No. </w:t>
      </w:r>
      <w:r w:rsidRPr="00D83CE1">
        <w:rPr>
          <w:rFonts w:ascii="Arial" w:hAnsi="Arial" w:cs="Arial"/>
          <w:lang w:val="es-MX"/>
        </w:rPr>
        <w:lastRenderedPageBreak/>
        <w:t xml:space="preserve">4201913000006797 del 19 de noviembre de 2019 en el que se sostuvo que las personas jurídicas que hubieran sido beneficiarias de la norma podían seguir acreditando la experiencia de sus socios o accionistas, inclusive después de transcurridos 3 años desde la constitución de la sociedad, siempre que se renovara constantemente el RUP.  </w:t>
      </w:r>
    </w:p>
    <w:p w14:paraId="3801EB1D" w14:textId="2DAAFE9A"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 xml:space="preserve">Teniendo en cuenta lo anterior, aunque la persona jurídica tenga más de tres años de constituida y haya registrado inicialmente la experiencia de sus socios en el RUP </w:t>
      </w:r>
      <w:r w:rsidR="00F9783A">
        <w:rPr>
          <w:rFonts w:ascii="Arial" w:eastAsia="Calibri" w:hAnsi="Arial" w:cs="Arial"/>
          <w:lang w:val="es-MX"/>
        </w:rPr>
        <w:t>–</w:t>
      </w:r>
      <w:r w:rsidRPr="00D83CE1">
        <w:rPr>
          <w:rFonts w:ascii="Arial" w:hAnsi="Arial" w:cs="Arial"/>
          <w:lang w:val="es-MX"/>
        </w:rPr>
        <w:t>pues su constitución era inferior a tres años</w:t>
      </w:r>
      <w:r w:rsidR="00F9783A">
        <w:rPr>
          <w:rFonts w:ascii="Arial" w:eastAsia="Calibri" w:hAnsi="Arial" w:cs="Arial"/>
          <w:lang w:val="es-MX"/>
        </w:rPr>
        <w:t>–</w:t>
      </w:r>
      <w:r w:rsidRPr="00D83CE1">
        <w:rPr>
          <w:rFonts w:ascii="Arial" w:eastAsia="Calibri" w:hAnsi="Arial" w:cs="Arial"/>
          <w:lang w:val="es-MX"/>
        </w:rPr>
        <w:t>, cuando</w:t>
      </w:r>
      <w:r w:rsidRPr="00D83CE1">
        <w:rPr>
          <w:rFonts w:ascii="Arial" w:hAnsi="Arial" w:cs="Arial"/>
          <w:lang w:val="es-MX"/>
        </w:rPr>
        <w:t xml:space="preserve"> este sea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3CA583D0"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D83CE1">
        <w:rPr>
          <w:rFonts w:ascii="Arial" w:hAnsi="Arial" w:cs="Arial"/>
          <w:vertAlign w:val="superscript"/>
          <w:lang w:val="es-MX"/>
        </w:rPr>
        <w:footnoteReference w:id="5"/>
      </w:r>
      <w:r w:rsidRPr="00D83CE1">
        <w:rPr>
          <w:rFonts w:ascii="Arial" w:hAnsi="Arial" w:cs="Arial"/>
          <w:lang w:val="es-MX"/>
        </w:rPr>
        <w:t xml:space="preserve">. En la actualidad, las cámaras de comercio solo pueden eliminar la experiencia registrada en el RUP a solicitud del proponente. Por tanto, les corresponde a las personas jurídicas mantener su RUP actualizado y a las entidades estatales verificar este registro para efectos de evaluar la experiencia. </w:t>
      </w:r>
    </w:p>
    <w:p w14:paraId="34BE98F5" w14:textId="6667209D" w:rsidR="00D83CE1" w:rsidRPr="00D83CE1" w:rsidRDefault="00D83CE1" w:rsidP="00727766">
      <w:pPr>
        <w:spacing w:after="0" w:line="276" w:lineRule="auto"/>
        <w:ind w:firstLine="708"/>
        <w:jc w:val="both"/>
        <w:rPr>
          <w:rFonts w:ascii="Arial" w:hAnsi="Arial" w:cs="Arial"/>
          <w:lang w:val="es-MX"/>
        </w:rPr>
      </w:pPr>
      <w:r w:rsidRPr="00D83CE1">
        <w:rPr>
          <w:rFonts w:ascii="Arial" w:hAnsi="Arial" w:cs="Arial"/>
          <w:lang w:val="es-MX"/>
        </w:rPr>
        <w:t xml:space="preserve">En otras palabras, </w:t>
      </w:r>
      <w:bookmarkStart w:id="3" w:name="_Hlk67498604"/>
      <w:r w:rsidRPr="00D83CE1">
        <w:rPr>
          <w:rFonts w:ascii="Arial" w:hAnsi="Arial" w:cs="Arial"/>
          <w:lang w:val="es-MX"/>
        </w:rPr>
        <w:t xml:space="preserve">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bookmarkEnd w:id="3"/>
      <w:r w:rsidRPr="00D83CE1">
        <w:rPr>
          <w:rFonts w:ascii="Arial" w:hAnsi="Arial" w:cs="Arial"/>
          <w:lang w:val="es-MX"/>
        </w:rPr>
        <w:t xml:space="preserve">Lo anterior, tiene fundamento en la Circular Única de la Superintendencia de Industria y Comercio, cuyo </w:t>
      </w:r>
      <w:r w:rsidRPr="00D83CE1">
        <w:rPr>
          <w:rFonts w:ascii="Arial" w:hAnsi="Arial" w:cs="Arial"/>
          <w:lang w:val="es-MX"/>
        </w:rPr>
        <w:lastRenderedPageBreak/>
        <w:t xml:space="preserve">numeral 4.2, sobre el procedimiento para llevar el registro único de proponentes, </w:t>
      </w:r>
      <w:r w:rsidR="00C0631D">
        <w:rPr>
          <w:rFonts w:ascii="Arial" w:hAnsi="Arial" w:cs="Arial"/>
          <w:lang w:val="es-MX"/>
        </w:rPr>
        <w:t>dispone lo siguiente</w:t>
      </w:r>
      <w:r w:rsidRPr="00D83CE1">
        <w:rPr>
          <w:rFonts w:ascii="Arial" w:hAnsi="Arial" w:cs="Arial"/>
          <w:lang w:val="es-MX"/>
        </w:rPr>
        <w:t xml:space="preserve">:  </w:t>
      </w:r>
    </w:p>
    <w:p w14:paraId="0EFEB30B" w14:textId="77777777" w:rsidR="00D83CE1" w:rsidRPr="00D83CE1" w:rsidRDefault="00D83CE1" w:rsidP="00727766">
      <w:pPr>
        <w:spacing w:after="0" w:line="240" w:lineRule="auto"/>
        <w:ind w:firstLine="708"/>
        <w:jc w:val="both"/>
        <w:rPr>
          <w:rFonts w:ascii="Arial" w:hAnsi="Arial" w:cs="Arial"/>
          <w:lang w:val="es-MX"/>
        </w:rPr>
      </w:pPr>
    </w:p>
    <w:p w14:paraId="5C275DC6" w14:textId="77777777" w:rsidR="00D83CE1" w:rsidRPr="00D83CE1" w:rsidRDefault="00D83CE1" w:rsidP="00727766">
      <w:pPr>
        <w:spacing w:after="0" w:line="240" w:lineRule="auto"/>
        <w:ind w:left="709" w:right="709"/>
        <w:jc w:val="both"/>
        <w:rPr>
          <w:rFonts w:ascii="Arial" w:hAnsi="Arial" w:cs="Arial"/>
          <w:sz w:val="21"/>
          <w:szCs w:val="21"/>
          <w:lang w:val="es-MX"/>
        </w:rPr>
      </w:pPr>
      <w:r w:rsidRPr="00D83CE1">
        <w:rPr>
          <w:rFonts w:ascii="Arial" w:hAnsi="Arial" w:cs="Arial"/>
          <w:sz w:val="21"/>
          <w:szCs w:val="21"/>
          <w:lang w:val="es-MX"/>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6D455848" w14:textId="77777777" w:rsidR="00D83CE1" w:rsidRPr="00727766" w:rsidRDefault="00D83CE1" w:rsidP="00D83CE1">
      <w:pPr>
        <w:spacing w:after="0" w:line="240" w:lineRule="auto"/>
        <w:ind w:left="709" w:right="709"/>
        <w:jc w:val="both"/>
        <w:rPr>
          <w:rFonts w:ascii="Arial" w:hAnsi="Arial" w:cs="Arial"/>
          <w:lang w:val="es-MX"/>
        </w:rPr>
      </w:pPr>
    </w:p>
    <w:p w14:paraId="1F505EBE" w14:textId="498AA889" w:rsidR="00D83CE1" w:rsidRPr="00D83CE1" w:rsidRDefault="00D83CE1" w:rsidP="00007501">
      <w:pPr>
        <w:spacing w:after="0" w:line="276" w:lineRule="auto"/>
        <w:ind w:firstLine="708"/>
        <w:jc w:val="both"/>
        <w:rPr>
          <w:rFonts w:ascii="Arial" w:hAnsi="Arial" w:cs="Arial"/>
          <w:lang w:val="es-MX"/>
        </w:rPr>
      </w:pPr>
      <w:r w:rsidRPr="00D83CE1">
        <w:rPr>
          <w:rFonts w:ascii="Arial" w:hAnsi="Arial" w:cs="Arial"/>
          <w:lang w:val="es-MX"/>
        </w:rPr>
        <w:t>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w:t>
      </w:r>
      <w:r w:rsidR="00C0631D">
        <w:rPr>
          <w:rFonts w:ascii="Arial" w:hAnsi="Arial" w:cs="Arial"/>
          <w:lang w:val="es-MX"/>
        </w:rPr>
        <w:t xml:space="preserve"> </w:t>
      </w:r>
      <w:r w:rsidRPr="00D83CE1">
        <w:rPr>
          <w:rFonts w:ascii="Arial" w:hAnsi="Arial" w:cs="Arial"/>
          <w:lang w:val="es-MX"/>
        </w:rPr>
        <w:t xml:space="preserve">En este sentido, si bien la norma no dispone qué sucede con la experiencia aportada por los socios, accionistas o constituyentes, después de los 3 años de constituida la persona jurídica, para esta Subdirección sigue siendo válida, por lo que la entidad la debe tener en cuenta. De esta forma se garantiza la pluralidad de oferentes en los procesos de contratación. </w:t>
      </w:r>
    </w:p>
    <w:p w14:paraId="694F5711" w14:textId="77777777" w:rsidR="00D83CE1" w:rsidRPr="00D83CE1" w:rsidRDefault="00D83CE1" w:rsidP="00D83CE1">
      <w:pPr>
        <w:spacing w:before="120" w:after="120" w:line="276" w:lineRule="auto"/>
        <w:ind w:firstLine="708"/>
        <w:jc w:val="both"/>
        <w:rPr>
          <w:rFonts w:ascii="Arial" w:hAnsi="Arial" w:cs="Arial"/>
          <w:lang w:val="es-MX"/>
        </w:rPr>
      </w:pPr>
      <w:r w:rsidRPr="00D83CE1">
        <w:rPr>
          <w:rFonts w:ascii="Arial" w:hAnsi="Arial" w:cs="Arial"/>
          <w:lang w:val="es-MX"/>
        </w:rPr>
        <w:t xml:space="preserve">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23CC2249" w14:textId="77777777" w:rsidR="00D83CE1" w:rsidRPr="00D83CE1" w:rsidRDefault="00D83CE1" w:rsidP="003525B8">
      <w:pPr>
        <w:spacing w:before="120" w:after="0" w:line="276" w:lineRule="auto"/>
        <w:ind w:firstLine="709"/>
        <w:jc w:val="both"/>
        <w:rPr>
          <w:rFonts w:ascii="Arial" w:hAnsi="Arial" w:cs="Arial"/>
          <w:lang w:val="es-MX"/>
        </w:rPr>
      </w:pPr>
      <w:r w:rsidRPr="00D83CE1">
        <w:rPr>
          <w:rFonts w:ascii="Arial" w:hAnsi="Arial" w:cs="Arial"/>
          <w:lang w:val="es-MX"/>
        </w:rPr>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6FBF46CC" w14:textId="77777777" w:rsidR="00D83CE1" w:rsidRPr="00D83CE1" w:rsidRDefault="00D83CE1" w:rsidP="00D83CE1">
      <w:pPr>
        <w:spacing w:after="0" w:line="276" w:lineRule="auto"/>
        <w:ind w:firstLine="709"/>
        <w:jc w:val="both"/>
        <w:rPr>
          <w:rFonts w:ascii="Arial" w:hAnsi="Arial" w:cs="Arial"/>
          <w:lang w:val="es-MX"/>
        </w:rPr>
      </w:pPr>
    </w:p>
    <w:p w14:paraId="180BE02C" w14:textId="782D6B26" w:rsidR="00D83CE1" w:rsidRPr="00D83CE1" w:rsidRDefault="00D83CE1" w:rsidP="00D83CE1">
      <w:pPr>
        <w:spacing w:after="0" w:line="276" w:lineRule="auto"/>
        <w:jc w:val="both"/>
        <w:rPr>
          <w:rFonts w:ascii="Arial" w:hAnsi="Arial" w:cs="Arial"/>
          <w:b/>
          <w:lang w:val="es-MX"/>
        </w:rPr>
      </w:pPr>
      <w:r w:rsidRPr="00D83CE1">
        <w:rPr>
          <w:rFonts w:ascii="Arial" w:hAnsi="Arial" w:cs="Arial"/>
          <w:b/>
          <w:lang w:val="es-MX"/>
        </w:rPr>
        <w:t>3. Respuesta</w:t>
      </w:r>
    </w:p>
    <w:p w14:paraId="0AABE1D4" w14:textId="77777777" w:rsidR="00DB331D" w:rsidRDefault="00DB331D" w:rsidP="00D83CE1">
      <w:pPr>
        <w:tabs>
          <w:tab w:val="left" w:pos="284"/>
        </w:tabs>
        <w:spacing w:after="0" w:line="240" w:lineRule="auto"/>
        <w:ind w:left="709" w:right="709"/>
        <w:jc w:val="both"/>
        <w:rPr>
          <w:rFonts w:ascii="Arial" w:hAnsi="Arial" w:cs="Arial"/>
          <w:sz w:val="21"/>
          <w:szCs w:val="21"/>
        </w:rPr>
      </w:pPr>
    </w:p>
    <w:p w14:paraId="6AD7C367" w14:textId="2F3E78C5" w:rsidR="00D83CE1" w:rsidRPr="00122E0E" w:rsidRDefault="00D83CE1" w:rsidP="00D83CE1">
      <w:pPr>
        <w:tabs>
          <w:tab w:val="left" w:pos="284"/>
        </w:tabs>
        <w:spacing w:after="0" w:line="240" w:lineRule="auto"/>
        <w:ind w:left="709" w:right="709"/>
        <w:jc w:val="both"/>
        <w:rPr>
          <w:rFonts w:ascii="Arial" w:eastAsia="Calibri" w:hAnsi="Arial" w:cs="Arial"/>
          <w:bCs/>
          <w:sz w:val="21"/>
          <w:szCs w:val="21"/>
          <w:lang w:val="es-MX"/>
        </w:rPr>
      </w:pPr>
      <w:r w:rsidRPr="00122E0E">
        <w:rPr>
          <w:rFonts w:ascii="Arial" w:hAnsi="Arial" w:cs="Arial"/>
          <w:sz w:val="21"/>
          <w:szCs w:val="21"/>
        </w:rPr>
        <w:t>«</w:t>
      </w:r>
      <w:r w:rsidR="00122E0E" w:rsidRPr="00122E0E">
        <w:rPr>
          <w:rFonts w:ascii="Arial" w:hAnsi="Arial" w:cs="Arial"/>
          <w:sz w:val="21"/>
          <w:szCs w:val="21"/>
        </w:rPr>
        <w:t>¿Es posible que una sociedad o persona jurídica siga acreditando la experiencia de sus socios, accionistas y constituyentes en la contratación estatal, en uso de la prerrogativa establecida en el numeral 2.</w:t>
      </w:r>
      <w:r w:rsidR="00122E0E" w:rsidRPr="00122E0E">
        <w:rPr>
          <w:rFonts w:ascii="Arial" w:hAnsi="Arial" w:cs="Arial"/>
          <w:color w:val="000000"/>
          <w:sz w:val="21"/>
          <w:szCs w:val="21"/>
          <w:lang w:val="es-ES_tradnl"/>
        </w:rPr>
        <w:t>5 del 2.2.1.1.1.5.2. del Decreto 1082 de 2015, aun después de transcurridos 3 (tres) años desde su constitución, siempre que no hayan cesado los efectos del RUP por el incumplimiento del deber de renovación</w:t>
      </w:r>
      <w:r w:rsidRPr="00122E0E">
        <w:rPr>
          <w:rFonts w:ascii="Arial" w:eastAsia="Calibri" w:hAnsi="Arial" w:cs="Arial"/>
          <w:bCs/>
          <w:sz w:val="21"/>
          <w:szCs w:val="21"/>
          <w:lang w:val="es-MX"/>
        </w:rPr>
        <w:t>?».</w:t>
      </w:r>
    </w:p>
    <w:p w14:paraId="064229F6" w14:textId="77777777" w:rsidR="00D83CE1" w:rsidRPr="00D83CE1" w:rsidRDefault="00D83CE1" w:rsidP="00D83CE1">
      <w:pPr>
        <w:spacing w:after="0" w:line="276" w:lineRule="auto"/>
        <w:jc w:val="both"/>
        <w:rPr>
          <w:rFonts w:ascii="Arial" w:hAnsi="Arial" w:cs="Arial"/>
          <w:lang w:val="es-MX"/>
        </w:rPr>
      </w:pPr>
    </w:p>
    <w:p w14:paraId="5BD5355F" w14:textId="0FC1075E" w:rsidR="003351C0" w:rsidRDefault="00EC7EC9" w:rsidP="003525B8">
      <w:pPr>
        <w:spacing w:after="0" w:line="276" w:lineRule="auto"/>
        <w:jc w:val="both"/>
        <w:rPr>
          <w:rFonts w:ascii="Arial" w:hAnsi="Arial" w:cs="Arial"/>
          <w:lang w:val="es-MX"/>
        </w:rPr>
      </w:pPr>
      <w:r>
        <w:rPr>
          <w:rFonts w:ascii="Arial" w:eastAsia="Calibri" w:hAnsi="Arial" w:cs="Arial"/>
          <w:lang w:val="es-MX"/>
        </w:rPr>
        <w:lastRenderedPageBreak/>
        <w:t>Conforme a las consideraciones expuestas, se tiene que e</w:t>
      </w:r>
      <w:r w:rsidR="00D83CE1" w:rsidRPr="00D83CE1">
        <w:rPr>
          <w:rFonts w:ascii="Arial" w:eastAsia="Calibri" w:hAnsi="Arial" w:cs="Arial"/>
          <w:lang w:val="es-MX"/>
        </w:rPr>
        <w:t>l numeral 2.5 del artículo 2.2.1.1.1.5.2 del Decreto 1082 de 2015</w:t>
      </w:r>
      <w:r w:rsidR="00D83CE1" w:rsidRPr="00D83CE1">
        <w:rPr>
          <w:rFonts w:ascii="Arial" w:hAnsi="Arial" w:cs="Arial"/>
          <w:lang w:val="es-MX"/>
        </w:rPr>
        <w:t xml:space="preserve">, indica de forma clara que una sociedad con menos de tres años de constituida puede aportar la experiencia de sus accionistas, socios o constituyentes. </w:t>
      </w:r>
      <w:r>
        <w:rPr>
          <w:rFonts w:ascii="Arial" w:hAnsi="Arial" w:cs="Arial"/>
          <w:lang w:val="es-MX"/>
        </w:rPr>
        <w:t>S</w:t>
      </w:r>
      <w:r w:rsidR="00E41BD7" w:rsidRPr="00D83CE1">
        <w:rPr>
          <w:rFonts w:ascii="Arial" w:hAnsi="Arial" w:cs="Arial"/>
          <w:lang w:val="es-MX"/>
        </w:rPr>
        <w:t xml:space="preserve">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63B5C0C8" w14:textId="77777777" w:rsidR="00143C5C" w:rsidRPr="00D83CE1" w:rsidRDefault="00143C5C" w:rsidP="003525B8">
      <w:pPr>
        <w:spacing w:after="0" w:line="276" w:lineRule="auto"/>
        <w:ind w:firstLine="708"/>
        <w:jc w:val="both"/>
        <w:rPr>
          <w:rFonts w:ascii="Arial" w:hAnsi="Arial" w:cs="Arial"/>
          <w:lang w:val="es-MX"/>
        </w:rPr>
      </w:pPr>
    </w:p>
    <w:p w14:paraId="2BE99C44" w14:textId="77777777" w:rsidR="00D83CE1" w:rsidRPr="00D83CE1" w:rsidRDefault="00D83CE1" w:rsidP="00D83CE1">
      <w:pPr>
        <w:spacing w:after="120" w:line="276" w:lineRule="auto"/>
        <w:jc w:val="both"/>
        <w:rPr>
          <w:rFonts w:ascii="Arial" w:eastAsia="Calibri" w:hAnsi="Arial" w:cs="Arial"/>
          <w:lang w:val="es-MX"/>
        </w:rPr>
      </w:pPr>
      <w:r w:rsidRPr="00D83CE1">
        <w:rPr>
          <w:rFonts w:ascii="Arial" w:hAnsi="Arial" w:cs="Arial"/>
          <w:lang w:val="es-MX"/>
        </w:rPr>
        <w:t>Este concepto tiene el alcance previsto en el artículo 28 del Código de Procedimiento Administrativo y de lo Contencioso Administrativo.</w:t>
      </w:r>
    </w:p>
    <w:p w14:paraId="3C1CB964" w14:textId="59B09F92" w:rsidR="00D83CE1" w:rsidRPr="00D83CE1" w:rsidRDefault="00D83CE1" w:rsidP="00D83CE1">
      <w:pPr>
        <w:spacing w:before="120" w:after="120" w:line="276" w:lineRule="auto"/>
        <w:jc w:val="both"/>
        <w:rPr>
          <w:rFonts w:ascii="Arial" w:eastAsia="Calibri" w:hAnsi="Arial" w:cs="Arial"/>
          <w:lang w:val="es-MX"/>
        </w:rPr>
      </w:pPr>
      <w:r w:rsidRPr="00D83CE1">
        <w:rPr>
          <w:rFonts w:ascii="Arial" w:hAnsi="Arial" w:cs="Arial"/>
          <w:noProof/>
          <w:lang w:val="en-US"/>
        </w:rPr>
        <mc:AlternateContent>
          <mc:Choice Requires="wps">
            <w:drawing>
              <wp:anchor distT="0" distB="0" distL="114300" distR="114300" simplePos="0" relativeHeight="251656704" behindDoc="0" locked="0" layoutInCell="1" allowOverlap="1" wp14:anchorId="4FDDBE5C" wp14:editId="67E6842C">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43959B6" id="Conector recto 1"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" strokecolor="#dbdbdb">
                <w10:wrap anchorx="page"/>
              </v:line>
            </w:pict>
          </mc:Fallback>
        </mc:AlternateContent>
      </w:r>
    </w:p>
    <w:p w14:paraId="3500FF41" w14:textId="1169678D" w:rsidR="00D83CE1" w:rsidRDefault="00D83CE1" w:rsidP="00D83CE1">
      <w:pPr>
        <w:spacing w:before="120" w:after="120" w:line="276" w:lineRule="auto"/>
        <w:rPr>
          <w:rFonts w:ascii="Arial" w:eastAsia="Times New Roman" w:hAnsi="Arial" w:cs="Arial"/>
          <w:lang w:val="es-MX" w:eastAsia="es-CO"/>
        </w:rPr>
      </w:pPr>
      <w:r w:rsidRPr="00D83CE1">
        <w:rPr>
          <w:rFonts w:ascii="Arial" w:eastAsia="Times New Roman" w:hAnsi="Arial" w:cs="Arial"/>
          <w:lang w:val="es-MX" w:eastAsia="es-CO"/>
        </w:rPr>
        <w:t>Atentamente,</w:t>
      </w:r>
    </w:p>
    <w:p w14:paraId="13B63E5A" w14:textId="43ABAE72" w:rsidR="00CD52BD" w:rsidRDefault="00CD52BD" w:rsidP="00D83CE1">
      <w:pPr>
        <w:spacing w:before="120" w:after="120" w:line="276" w:lineRule="auto"/>
        <w:rPr>
          <w:rFonts w:ascii="Arial" w:eastAsia="Times New Roman" w:hAnsi="Arial" w:cs="Arial"/>
          <w:lang w:val="es-MX" w:eastAsia="es-CO"/>
        </w:rPr>
      </w:pPr>
    </w:p>
    <w:p w14:paraId="2C503032" w14:textId="7EB95366" w:rsidR="00CD52BD" w:rsidRDefault="00CD52BD" w:rsidP="00CD52BD">
      <w:pPr>
        <w:spacing w:before="120" w:after="120" w:line="276" w:lineRule="auto"/>
        <w:jc w:val="center"/>
        <w:rPr>
          <w:rFonts w:ascii="Arial" w:eastAsia="Times New Roman" w:hAnsi="Arial" w:cs="Arial"/>
          <w:lang w:val="es-MX" w:eastAsia="es-CO"/>
        </w:rPr>
      </w:pPr>
      <w:r w:rsidRPr="00B25B3D">
        <w:rPr>
          <w:rFonts w:ascii="Arial" w:hAnsi="Arial" w:cs="Arial"/>
          <w:noProof/>
          <w:sz w:val="18"/>
          <w:szCs w:val="20"/>
          <w:lang w:eastAsia="es-CO"/>
        </w:rPr>
        <w:drawing>
          <wp:inline distT="0" distB="0" distL="0" distR="0" wp14:anchorId="26C16911" wp14:editId="64E87223">
            <wp:extent cx="1673225" cy="739140"/>
            <wp:effectExtent l="0" t="0" r="3175" b="0"/>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3225" cy="739140"/>
                    </a:xfrm>
                    <a:prstGeom prst="rect">
                      <a:avLst/>
                    </a:prstGeom>
                    <a:noFill/>
                    <a:ln>
                      <a:noFill/>
                    </a:ln>
                  </pic:spPr>
                </pic:pic>
              </a:graphicData>
            </a:graphic>
          </wp:inline>
        </w:drawing>
      </w:r>
    </w:p>
    <w:p w14:paraId="024D36DC" w14:textId="0A4B2E95" w:rsidR="00D83CE1" w:rsidRPr="00D83CE1" w:rsidRDefault="00D83CE1" w:rsidP="00CD52BD">
      <w:pPr>
        <w:spacing w:after="0" w:line="276" w:lineRule="auto"/>
        <w:rPr>
          <w:sz w:val="24"/>
          <w:lang w:val="es-MX"/>
        </w:rPr>
      </w:pPr>
    </w:p>
    <w:p w14:paraId="673E4C05" w14:textId="77777777" w:rsidR="00D83CE1" w:rsidRPr="00D83CE1" w:rsidRDefault="00D83CE1" w:rsidP="00D83CE1">
      <w:pPr>
        <w:spacing w:after="0" w:line="276" w:lineRule="auto"/>
        <w:jc w:val="center"/>
        <w:rPr>
          <w:sz w:val="16"/>
          <w:szCs w:val="16"/>
          <w:lang w:val="es-MX"/>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83CE1" w:rsidRPr="00D83CE1" w14:paraId="0FE4B353" w14:textId="77777777" w:rsidTr="00096449">
        <w:trPr>
          <w:trHeight w:val="315"/>
        </w:trPr>
        <w:tc>
          <w:tcPr>
            <w:tcW w:w="812" w:type="dxa"/>
            <w:vAlign w:val="center"/>
            <w:hideMark/>
          </w:tcPr>
          <w:p w14:paraId="5BF73B33" w14:textId="77777777" w:rsidR="00D83CE1" w:rsidRPr="00D83CE1" w:rsidRDefault="00D83CE1" w:rsidP="00D83CE1">
            <w:pPr>
              <w:rPr>
                <w:rFonts w:ascii="Arial" w:eastAsia="Times New Roman" w:hAnsi="Arial" w:cs="Arial"/>
                <w:sz w:val="16"/>
                <w:szCs w:val="16"/>
                <w:lang w:val="es-MX" w:eastAsia="es-ES"/>
              </w:rPr>
            </w:pPr>
            <w:r w:rsidRPr="00D83CE1">
              <w:rPr>
                <w:rFonts w:ascii="Arial" w:eastAsia="Times New Roman" w:hAnsi="Arial" w:cs="Arial"/>
                <w:sz w:val="16"/>
                <w:szCs w:val="16"/>
                <w:lang w:val="es-MX" w:eastAsia="es-ES"/>
              </w:rPr>
              <w:t>Elaboró:</w:t>
            </w:r>
          </w:p>
        </w:tc>
        <w:tc>
          <w:tcPr>
            <w:tcW w:w="4413" w:type="dxa"/>
            <w:tcBorders>
              <w:top w:val="nil"/>
              <w:left w:val="nil"/>
              <w:bottom w:val="dotted" w:sz="4" w:space="0" w:color="7F7F7F" w:themeColor="text1" w:themeTint="80"/>
              <w:right w:val="nil"/>
            </w:tcBorders>
            <w:vAlign w:val="center"/>
            <w:hideMark/>
          </w:tcPr>
          <w:p w14:paraId="36A70D23" w14:textId="10467504" w:rsidR="00D83CE1" w:rsidRPr="00D83CE1" w:rsidRDefault="009D7834" w:rsidP="00D83CE1">
            <w:pPr>
              <w:rPr>
                <w:rFonts w:ascii="Arial" w:eastAsia="Times New Roman" w:hAnsi="Arial" w:cs="Arial"/>
                <w:sz w:val="16"/>
                <w:szCs w:val="16"/>
                <w:lang w:val="es-MX" w:eastAsia="es-ES"/>
              </w:rPr>
            </w:pPr>
            <w:r>
              <w:rPr>
                <w:rFonts w:ascii="Arial" w:eastAsia="Times New Roman" w:hAnsi="Arial" w:cs="Arial"/>
                <w:sz w:val="16"/>
                <w:szCs w:val="16"/>
                <w:lang w:val="es-MX" w:eastAsia="es-ES"/>
              </w:rPr>
              <w:t>Felipe Bastidas Paredes</w:t>
            </w:r>
          </w:p>
          <w:p w14:paraId="41AFC9FD" w14:textId="77777777" w:rsidR="00D83CE1" w:rsidRPr="00D83CE1" w:rsidRDefault="00D83CE1" w:rsidP="00D83CE1">
            <w:pPr>
              <w:rPr>
                <w:rFonts w:ascii="Arial" w:eastAsia="Times New Roman" w:hAnsi="Arial" w:cs="Arial"/>
                <w:sz w:val="16"/>
                <w:szCs w:val="16"/>
                <w:lang w:val="es-MX" w:eastAsia="es-ES"/>
              </w:rPr>
            </w:pPr>
            <w:r w:rsidRPr="00D83CE1">
              <w:rPr>
                <w:rFonts w:ascii="Arial" w:eastAsia="Times New Roman" w:hAnsi="Arial" w:cs="Arial"/>
                <w:sz w:val="16"/>
                <w:szCs w:val="16"/>
                <w:lang w:val="es-MX" w:eastAsia="es-ES"/>
              </w:rPr>
              <w:t>Contratista de la Subdirección de Gestión Contractual</w:t>
            </w:r>
          </w:p>
        </w:tc>
      </w:tr>
      <w:tr w:rsidR="00D83CE1" w:rsidRPr="00D83CE1" w14:paraId="3730D7EA" w14:textId="77777777" w:rsidTr="00096449">
        <w:trPr>
          <w:trHeight w:val="330"/>
        </w:trPr>
        <w:tc>
          <w:tcPr>
            <w:tcW w:w="812" w:type="dxa"/>
            <w:vAlign w:val="center"/>
            <w:hideMark/>
          </w:tcPr>
          <w:p w14:paraId="53C02468" w14:textId="77777777" w:rsidR="00D83CE1" w:rsidRPr="00D83CE1" w:rsidRDefault="00D83CE1" w:rsidP="00D83CE1">
            <w:pPr>
              <w:rPr>
                <w:rFonts w:ascii="Arial" w:eastAsia="Times New Roman" w:hAnsi="Arial" w:cs="Arial"/>
                <w:sz w:val="16"/>
                <w:szCs w:val="16"/>
                <w:lang w:val="es-MX" w:eastAsia="es-ES"/>
              </w:rPr>
            </w:pPr>
            <w:r w:rsidRPr="00D83CE1">
              <w:rPr>
                <w:rFonts w:ascii="Arial" w:eastAsia="Times New Roman" w:hAnsi="Arial" w:cs="Arial"/>
                <w:sz w:val="16"/>
                <w:szCs w:val="16"/>
                <w:lang w:val="es-MX"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AA6A99" w14:textId="4E3FC119" w:rsidR="00D83CE1" w:rsidRDefault="00EC7EC9" w:rsidP="00D83CE1">
            <w:pPr>
              <w:rPr>
                <w:rFonts w:ascii="Arial" w:hAnsi="Arial" w:cs="Arial"/>
                <w:sz w:val="16"/>
                <w:szCs w:val="16"/>
                <w:lang w:val="es-ES_tradnl" w:eastAsia="es-ES"/>
              </w:rPr>
            </w:pPr>
            <w:r>
              <w:rPr>
                <w:rFonts w:ascii="Arial" w:hAnsi="Arial" w:cs="Arial"/>
                <w:sz w:val="16"/>
                <w:szCs w:val="16"/>
                <w:lang w:val="es-ES_tradnl" w:eastAsia="es-ES"/>
              </w:rPr>
              <w:t>Alejandro Sarmiento</w:t>
            </w:r>
            <w:r w:rsidR="00143C5C">
              <w:rPr>
                <w:rFonts w:ascii="Arial" w:hAnsi="Arial" w:cs="Arial"/>
                <w:sz w:val="16"/>
                <w:szCs w:val="16"/>
                <w:lang w:val="es-ES_tradnl" w:eastAsia="es-ES"/>
              </w:rPr>
              <w:t xml:space="preserve"> Cantillo</w:t>
            </w:r>
          </w:p>
          <w:p w14:paraId="29798D5C" w14:textId="5E23EB72" w:rsidR="00D83CE1" w:rsidRPr="00D83CE1" w:rsidRDefault="00D83CE1" w:rsidP="00D83CE1">
            <w:pPr>
              <w:rPr>
                <w:rFonts w:ascii="Arial" w:eastAsia="Times New Roman" w:hAnsi="Arial" w:cs="Arial"/>
                <w:sz w:val="16"/>
                <w:szCs w:val="16"/>
                <w:lang w:val="es-MX" w:eastAsia="es-ES"/>
              </w:rPr>
            </w:pPr>
            <w:r w:rsidRPr="00D83CE1">
              <w:rPr>
                <w:rFonts w:ascii="Arial" w:hAnsi="Arial" w:cs="Arial"/>
                <w:sz w:val="16"/>
                <w:szCs w:val="16"/>
                <w:lang w:val="es-ES_tradnl" w:eastAsia="es-ES"/>
              </w:rPr>
              <w:t>Gestor T1-</w:t>
            </w:r>
            <w:r w:rsidR="00EC7EC9">
              <w:rPr>
                <w:rFonts w:ascii="Arial" w:hAnsi="Arial" w:cs="Arial"/>
                <w:sz w:val="16"/>
                <w:szCs w:val="16"/>
                <w:lang w:val="es-ES_tradnl" w:eastAsia="es-ES"/>
              </w:rPr>
              <w:t>11</w:t>
            </w:r>
            <w:r w:rsidRPr="00D83CE1">
              <w:rPr>
                <w:rFonts w:ascii="Arial" w:hAnsi="Arial" w:cs="Arial"/>
                <w:sz w:val="16"/>
                <w:szCs w:val="16"/>
                <w:lang w:val="es-ES_tradnl" w:eastAsia="es-ES"/>
              </w:rPr>
              <w:t xml:space="preserve"> </w:t>
            </w:r>
            <w:r w:rsidRPr="00D83CE1">
              <w:rPr>
                <w:rFonts w:ascii="Arial" w:eastAsia="Times New Roman" w:hAnsi="Arial" w:cs="Arial"/>
                <w:sz w:val="16"/>
                <w:szCs w:val="16"/>
                <w:lang w:val="es-MX" w:eastAsia="es-ES"/>
              </w:rPr>
              <w:t>Subdirección de Gestión Contractual</w:t>
            </w:r>
          </w:p>
        </w:tc>
      </w:tr>
      <w:tr w:rsidR="00D83CE1" w:rsidRPr="00D83CE1" w14:paraId="49464AFF" w14:textId="77777777" w:rsidTr="00096449">
        <w:trPr>
          <w:trHeight w:val="300"/>
        </w:trPr>
        <w:tc>
          <w:tcPr>
            <w:tcW w:w="812" w:type="dxa"/>
            <w:vAlign w:val="center"/>
            <w:hideMark/>
          </w:tcPr>
          <w:p w14:paraId="67D80F83" w14:textId="77777777" w:rsidR="00D83CE1" w:rsidRPr="00D83CE1" w:rsidRDefault="00D83CE1" w:rsidP="00D83CE1">
            <w:pPr>
              <w:rPr>
                <w:rFonts w:ascii="Arial" w:eastAsia="Times New Roman" w:hAnsi="Arial" w:cs="Arial"/>
                <w:sz w:val="16"/>
                <w:szCs w:val="16"/>
                <w:lang w:val="es-MX" w:eastAsia="es-ES"/>
              </w:rPr>
            </w:pPr>
            <w:r w:rsidRPr="00D83CE1">
              <w:rPr>
                <w:rFonts w:ascii="Arial" w:eastAsia="Times New Roman" w:hAnsi="Arial" w:cs="Arial"/>
                <w:sz w:val="16"/>
                <w:szCs w:val="16"/>
                <w:lang w:val="es-MX"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6D7F6D2" w14:textId="77777777" w:rsidR="00D83CE1" w:rsidRPr="00D83CE1" w:rsidRDefault="00D83CE1" w:rsidP="00D83CE1">
            <w:pPr>
              <w:rPr>
                <w:rFonts w:ascii="Arial" w:eastAsia="Times New Roman" w:hAnsi="Arial" w:cs="Arial"/>
                <w:sz w:val="16"/>
                <w:szCs w:val="16"/>
                <w:lang w:val="es-MX" w:eastAsia="es-ES"/>
              </w:rPr>
            </w:pPr>
            <w:r w:rsidRPr="00D83CE1">
              <w:rPr>
                <w:rFonts w:ascii="Arial" w:eastAsia="Times New Roman" w:hAnsi="Arial" w:cs="Arial"/>
                <w:sz w:val="16"/>
                <w:szCs w:val="16"/>
                <w:lang w:val="es-MX" w:eastAsia="es-ES"/>
              </w:rPr>
              <w:t>Jorge Augusto Tirado Navarro</w:t>
            </w:r>
          </w:p>
          <w:p w14:paraId="0624B527" w14:textId="545AA64E" w:rsidR="00D83CE1" w:rsidRPr="00D83CE1" w:rsidRDefault="00D83CE1" w:rsidP="00D83CE1">
            <w:pPr>
              <w:rPr>
                <w:rFonts w:ascii="Arial" w:eastAsia="Times New Roman" w:hAnsi="Arial" w:cs="Arial"/>
                <w:sz w:val="16"/>
                <w:szCs w:val="16"/>
                <w:lang w:val="es-MX" w:eastAsia="es-ES"/>
              </w:rPr>
            </w:pPr>
            <w:r w:rsidRPr="00D83CE1">
              <w:rPr>
                <w:rFonts w:ascii="Arial" w:eastAsia="Times New Roman" w:hAnsi="Arial" w:cs="Arial"/>
                <w:sz w:val="16"/>
                <w:szCs w:val="16"/>
                <w:lang w:val="es-MX" w:eastAsia="es-ES"/>
              </w:rPr>
              <w:t>Subdirector de Gestión Contractual</w:t>
            </w:r>
            <w:r w:rsidR="00C0631D">
              <w:rPr>
                <w:rFonts w:ascii="Arial" w:eastAsia="Times New Roman" w:hAnsi="Arial" w:cs="Arial"/>
                <w:sz w:val="16"/>
                <w:szCs w:val="16"/>
                <w:lang w:val="es-MX" w:eastAsia="es-ES"/>
              </w:rPr>
              <w:t xml:space="preserve"> ACPN – CCE</w:t>
            </w:r>
          </w:p>
        </w:tc>
      </w:tr>
    </w:tbl>
    <w:p w14:paraId="28B7EA76" w14:textId="77777777" w:rsidR="00D83CE1" w:rsidRPr="00D83CE1" w:rsidRDefault="00D83CE1" w:rsidP="00D83CE1">
      <w:pPr>
        <w:spacing w:after="0" w:line="240" w:lineRule="auto"/>
        <w:rPr>
          <w:rFonts w:ascii="Arial" w:eastAsia="Times New Roman" w:hAnsi="Arial" w:cs="Arial"/>
          <w:sz w:val="16"/>
          <w:szCs w:val="16"/>
          <w:lang w:val="es-MX" w:eastAsia="es-ES"/>
        </w:rPr>
      </w:pPr>
    </w:p>
    <w:p w14:paraId="32AA71D5" w14:textId="77777777" w:rsidR="00D83CE1" w:rsidRPr="00D83CE1" w:rsidRDefault="00D83CE1" w:rsidP="00D83CE1">
      <w:pPr>
        <w:spacing w:after="0" w:line="240" w:lineRule="auto"/>
        <w:rPr>
          <w:sz w:val="24"/>
          <w:lang w:val="es-MX"/>
        </w:rPr>
      </w:pPr>
    </w:p>
    <w:bookmarkEnd w:id="0"/>
    <w:p w14:paraId="37DF4035" w14:textId="77777777" w:rsidR="007E5880" w:rsidRPr="00D83CE1" w:rsidRDefault="007E5880" w:rsidP="00D83CE1"/>
    <w:sectPr w:rsidR="007E5880" w:rsidRPr="00D83CE1">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649BD1" w14:textId="77777777" w:rsidR="00DB54CB" w:rsidRDefault="00DB54CB" w:rsidP="00D83CE1">
      <w:pPr>
        <w:spacing w:after="0" w:line="240" w:lineRule="auto"/>
      </w:pPr>
      <w:r>
        <w:separator/>
      </w:r>
    </w:p>
  </w:endnote>
  <w:endnote w:type="continuationSeparator" w:id="0">
    <w:p w14:paraId="5FBDD6AD" w14:textId="77777777" w:rsidR="00DB54CB" w:rsidRDefault="00DB54CB" w:rsidP="00D83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9BB588" w14:textId="3DF7F71C" w:rsidR="00876845" w:rsidRDefault="00DB54CB" w:rsidP="00876845">
    <w:pPr>
      <w:pStyle w:val="Sinespaciado"/>
      <w:jc w:val="right"/>
      <w:rPr>
        <w:rFonts w:ascii="Arial" w:hAnsi="Arial" w:cs="Arial"/>
        <w:szCs w:val="24"/>
      </w:rPr>
    </w:pPr>
  </w:p>
  <w:p w14:paraId="6CCFBE9E" w14:textId="77777777" w:rsidR="009513C3" w:rsidRPr="008D25E0" w:rsidRDefault="009513C3" w:rsidP="00876845">
    <w:pPr>
      <w:pStyle w:val="Sinespaciado"/>
      <w:jc w:val="right"/>
      <w:rPr>
        <w:rFonts w:ascii="Arial" w:hAnsi="Arial" w:cs="Arial"/>
        <w:szCs w:val="24"/>
      </w:rPr>
    </w:pPr>
  </w:p>
  <w:p w14:paraId="228FF7FA" w14:textId="77777777" w:rsidR="00DE311F" w:rsidRPr="008217B7" w:rsidRDefault="004E68B2" w:rsidP="0087684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0828F5EF" w14:textId="77777777" w:rsidR="00DE311F" w:rsidRDefault="004E68B2" w:rsidP="00876845">
    <w:pPr>
      <w:pStyle w:val="Piedepgina"/>
      <w:jc w:val="center"/>
      <w:rPr>
        <w:lang w:val="es-ES"/>
      </w:rPr>
    </w:pPr>
    <w:r>
      <w:rPr>
        <w:noProof/>
      </w:rPr>
      <w:drawing>
        <wp:inline distT="0" distB="0" distL="0" distR="0" wp14:anchorId="6CF3D9A9" wp14:editId="61F21198">
          <wp:extent cx="3700130" cy="519139"/>
          <wp:effectExtent l="0" t="0" r="0" b="0"/>
          <wp:docPr id="87953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F43F2A" w14:textId="77777777" w:rsidR="00DB54CB" w:rsidRDefault="00DB54CB" w:rsidP="00D83CE1">
      <w:pPr>
        <w:spacing w:after="0" w:line="240" w:lineRule="auto"/>
      </w:pPr>
      <w:r>
        <w:separator/>
      </w:r>
    </w:p>
  </w:footnote>
  <w:footnote w:type="continuationSeparator" w:id="0">
    <w:p w14:paraId="1B3C41C1" w14:textId="77777777" w:rsidR="00DB54CB" w:rsidRDefault="00DB54CB" w:rsidP="00D83CE1">
      <w:pPr>
        <w:spacing w:after="0" w:line="240" w:lineRule="auto"/>
      </w:pPr>
      <w:r>
        <w:continuationSeparator/>
      </w:r>
    </w:p>
  </w:footnote>
  <w:footnote w:id="1">
    <w:p w14:paraId="5A8285A2" w14:textId="77777777" w:rsidR="00D83CE1" w:rsidRPr="006600D3" w:rsidRDefault="00D83CE1" w:rsidP="00D83CE1">
      <w:pPr>
        <w:pStyle w:val="Textonotapie"/>
        <w:ind w:firstLine="708"/>
        <w:jc w:val="both"/>
        <w:rPr>
          <w:rFonts w:ascii="Arial" w:hAnsi="Arial" w:cs="Arial"/>
          <w:sz w:val="19"/>
          <w:szCs w:val="19"/>
          <w:lang w:val="es-CO"/>
        </w:rPr>
      </w:pPr>
      <w:r>
        <w:rPr>
          <w:rStyle w:val="Refdenotaalpie"/>
        </w:rPr>
        <w:footnoteRef/>
      </w:r>
      <w:r w:rsidRPr="006600D3">
        <w:rPr>
          <w:rFonts w:ascii="Arial" w:hAnsi="Arial" w:cs="Arial"/>
          <w:sz w:val="19"/>
          <w:szCs w:val="19"/>
        </w:rPr>
        <w:t xml:space="preserve"> De igual forma la Agencia de Nacional de Contratación Pública -Colombia Compra Eficiente- trato el tema objeto de estudio en conceptos del año 2019, identificados con los radicados </w:t>
      </w:r>
      <w:r w:rsidRPr="006600D3">
        <w:rPr>
          <w:rFonts w:ascii="Arial" w:eastAsia="Calibri" w:hAnsi="Arial" w:cs="Arial"/>
          <w:sz w:val="19"/>
          <w:szCs w:val="19"/>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6600D3">
        <w:rPr>
          <w:rFonts w:ascii="Arial" w:hAnsi="Arial" w:cs="Arial"/>
          <w:sz w:val="19"/>
          <w:szCs w:val="19"/>
        </w:rPr>
        <w:t xml:space="preserve">4201913000006797 del 19 de noviembre de 2019, </w:t>
      </w:r>
      <w:r w:rsidRPr="006600D3">
        <w:rPr>
          <w:rFonts w:ascii="Arial" w:eastAsia="Calibri" w:hAnsi="Arial" w:cs="Arial"/>
          <w:sz w:val="19"/>
          <w:szCs w:val="19"/>
        </w:rPr>
        <w:t xml:space="preserve">4201912000007182 del 3 de diciembre de 2019, 4201912000007512 del 16 de diciembre de 2019, 4201912000007607 del 9 de diciembre de 2019. </w:t>
      </w:r>
    </w:p>
    <w:p w14:paraId="5C4D70A4" w14:textId="77777777" w:rsidR="00D83CE1" w:rsidRPr="00B62C62" w:rsidRDefault="00D83CE1" w:rsidP="00D83CE1">
      <w:pPr>
        <w:pStyle w:val="Textonotapie"/>
        <w:rPr>
          <w:lang w:val="es-CO"/>
        </w:rPr>
      </w:pPr>
    </w:p>
  </w:footnote>
  <w:footnote w:id="2">
    <w:p w14:paraId="77711112" w14:textId="77777777" w:rsidR="00D83CE1" w:rsidRPr="004F3C32" w:rsidRDefault="00D83CE1" w:rsidP="00D83CE1">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w:t>
      </w:r>
      <w:r w:rsidRPr="004F3C32">
        <w:rPr>
          <w:rFonts w:ascii="Arial" w:hAnsi="Arial" w:cs="Arial"/>
          <w:sz w:val="19"/>
          <w:szCs w:val="19"/>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7A8DD7E" w14:textId="77777777" w:rsidR="00D83CE1" w:rsidRPr="004F3C32" w:rsidRDefault="00D83CE1" w:rsidP="00D83CE1">
      <w:pPr>
        <w:pStyle w:val="Textonotapie"/>
        <w:ind w:firstLine="708"/>
        <w:jc w:val="both"/>
        <w:rPr>
          <w:rFonts w:ascii="Arial" w:hAnsi="Arial" w:cs="Arial"/>
          <w:sz w:val="19"/>
          <w:szCs w:val="19"/>
        </w:rPr>
      </w:pPr>
      <w:r w:rsidRPr="004F3C32">
        <w:rPr>
          <w:rFonts w:ascii="Arial" w:hAnsi="Arial" w:cs="Arial"/>
          <w:sz w:val="19"/>
          <w:szCs w:val="19"/>
        </w:rPr>
        <w:t>[…]</w:t>
      </w:r>
    </w:p>
    <w:p w14:paraId="344611A7" w14:textId="77777777" w:rsidR="00D83CE1" w:rsidRPr="001E7492" w:rsidRDefault="00D83CE1" w:rsidP="00D83CE1">
      <w:pPr>
        <w:pStyle w:val="Textonotapie"/>
        <w:ind w:firstLine="708"/>
        <w:jc w:val="both"/>
        <w:rPr>
          <w:rFonts w:ascii="Arial" w:hAnsi="Arial" w:cs="Arial"/>
          <w:sz w:val="19"/>
          <w:szCs w:val="19"/>
        </w:rPr>
      </w:pPr>
      <w:r w:rsidRPr="00A222AD">
        <w:rPr>
          <w:rFonts w:ascii="Arial" w:hAnsi="Arial" w:cs="Arial"/>
          <w:sz w:val="19"/>
          <w:szCs w:val="19"/>
          <w:shd w:val="clear" w:color="auto" w:fill="FFFFFF"/>
        </w:rPr>
        <w:t>»2.1.   Bienes, obras y servicios que ofrecerá a las Entidades Estatales, identificados con el Clasificador de Bienes y Servicios en el tercer nivel</w:t>
      </w:r>
      <w:r w:rsidRPr="001E7492">
        <w:rPr>
          <w:rFonts w:ascii="Arial" w:hAnsi="Arial" w:cs="Arial"/>
          <w:sz w:val="19"/>
          <w:szCs w:val="19"/>
        </w:rPr>
        <w:t>»</w:t>
      </w:r>
      <w:r w:rsidRPr="00A222AD">
        <w:rPr>
          <w:rFonts w:ascii="Arial" w:hAnsi="Arial" w:cs="Arial"/>
          <w:sz w:val="19"/>
          <w:szCs w:val="19"/>
          <w:shd w:val="clear" w:color="auto" w:fill="FFFFFF"/>
        </w:rPr>
        <w:t>.</w:t>
      </w:r>
    </w:p>
    <w:p w14:paraId="7F1FF633" w14:textId="77777777" w:rsidR="00D83CE1" w:rsidRPr="004F3C32" w:rsidRDefault="00D83CE1" w:rsidP="00D83CE1">
      <w:pPr>
        <w:pStyle w:val="Textonotapie"/>
        <w:ind w:firstLine="708"/>
        <w:jc w:val="both"/>
        <w:rPr>
          <w:rFonts w:ascii="Arial" w:hAnsi="Arial" w:cs="Arial"/>
          <w:sz w:val="19"/>
          <w:szCs w:val="19"/>
          <w:lang w:val="es-CO"/>
        </w:rPr>
      </w:pPr>
    </w:p>
  </w:footnote>
  <w:footnote w:id="3">
    <w:p w14:paraId="08350E1F" w14:textId="77777777" w:rsidR="00D83CE1" w:rsidRPr="004F3C32" w:rsidRDefault="00D83CE1" w:rsidP="00D83CE1">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w:t>
      </w:r>
      <w:r w:rsidRPr="004F3C32">
        <w:rPr>
          <w:rFonts w:ascii="Arial" w:hAnsi="Arial" w:cs="Arial"/>
          <w:sz w:val="19"/>
          <w:szCs w:val="19"/>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66B7E05" w14:textId="77777777" w:rsidR="00D83CE1" w:rsidRPr="004F3C32" w:rsidRDefault="00D83CE1" w:rsidP="00D83CE1">
      <w:pPr>
        <w:pStyle w:val="Textonotapie"/>
        <w:ind w:firstLine="708"/>
        <w:jc w:val="both"/>
        <w:rPr>
          <w:rFonts w:ascii="Arial" w:hAnsi="Arial" w:cs="Arial"/>
          <w:sz w:val="19"/>
          <w:szCs w:val="19"/>
        </w:rPr>
      </w:pPr>
      <w:r w:rsidRPr="004F3C32">
        <w:rPr>
          <w:rFonts w:ascii="Arial" w:hAnsi="Arial" w:cs="Arial"/>
          <w:sz w:val="19"/>
          <w:szCs w:val="19"/>
        </w:rPr>
        <w:t>[…]</w:t>
      </w:r>
    </w:p>
    <w:p w14:paraId="14CE7FF4" w14:textId="77777777" w:rsidR="00D83CE1" w:rsidRPr="004F3C32" w:rsidRDefault="00D83CE1" w:rsidP="00D83CE1">
      <w:pPr>
        <w:pStyle w:val="Textonotapie"/>
        <w:ind w:firstLine="708"/>
        <w:jc w:val="both"/>
        <w:rPr>
          <w:rFonts w:ascii="Arial" w:hAnsi="Arial" w:cs="Arial"/>
          <w:sz w:val="19"/>
          <w:szCs w:val="19"/>
          <w:lang w:val="es-CO"/>
        </w:rPr>
      </w:pPr>
      <w:r w:rsidRPr="00A222AD">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222AD">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sidRPr="001E7492">
        <w:rPr>
          <w:rFonts w:ascii="Arial" w:hAnsi="Arial" w:cs="Arial"/>
          <w:sz w:val="19"/>
          <w:szCs w:val="19"/>
        </w:rPr>
        <w:t>».</w:t>
      </w:r>
    </w:p>
  </w:footnote>
  <w:footnote w:id="4">
    <w:p w14:paraId="510F6A1D" w14:textId="77777777" w:rsidR="00D83CE1" w:rsidRDefault="00D83CE1" w:rsidP="00D83CE1">
      <w:pPr>
        <w:pStyle w:val="Textonotapie"/>
        <w:ind w:left="708" w:firstLine="1"/>
        <w:rPr>
          <w:rFonts w:ascii="Arial" w:hAnsi="Arial" w:cs="Arial"/>
          <w:sz w:val="19"/>
          <w:szCs w:val="19"/>
        </w:rPr>
      </w:pPr>
      <w:r>
        <w:rPr>
          <w:rStyle w:val="Refdenotaalpie"/>
        </w:rPr>
        <w:footnoteRef/>
      </w:r>
      <w:r>
        <w:t xml:space="preserve"> </w:t>
      </w:r>
      <w:r w:rsidRPr="005B3541">
        <w:rPr>
          <w:rFonts w:ascii="Arial" w:hAnsi="Arial" w:cs="Arial"/>
          <w:sz w:val="19"/>
          <w:szCs w:val="19"/>
        </w:rPr>
        <w:t>Colombia Compra Eficiente. Concepto del 7 de febrero de 2018, Rad. 2201813000000954</w:t>
      </w:r>
      <w:r>
        <w:rPr>
          <w:rFonts w:ascii="Arial" w:hAnsi="Arial" w:cs="Arial"/>
          <w:sz w:val="19"/>
          <w:szCs w:val="19"/>
        </w:rPr>
        <w:t>.</w:t>
      </w:r>
    </w:p>
    <w:p w14:paraId="5766B665" w14:textId="77777777" w:rsidR="00D83CE1" w:rsidRPr="005B3541" w:rsidRDefault="00D83CE1" w:rsidP="00D83CE1">
      <w:pPr>
        <w:pStyle w:val="Textonotapie"/>
        <w:ind w:left="708" w:firstLine="1"/>
      </w:pPr>
    </w:p>
  </w:footnote>
  <w:footnote w:id="5">
    <w:p w14:paraId="1A70350F" w14:textId="77777777" w:rsidR="00D83CE1" w:rsidRPr="00A222AD" w:rsidRDefault="00D83CE1" w:rsidP="00D83CE1">
      <w:pPr>
        <w:pStyle w:val="Textocomentario"/>
        <w:ind w:firstLine="708"/>
        <w:jc w:val="both"/>
        <w:rPr>
          <w:rFonts w:ascii="Arial" w:hAnsi="Arial" w:cs="Arial"/>
          <w:sz w:val="19"/>
          <w:szCs w:val="19"/>
          <w:lang w:val="es-CO"/>
        </w:rPr>
      </w:pPr>
      <w:r w:rsidRPr="00A222AD">
        <w:rPr>
          <w:rStyle w:val="Refdenotaalpie"/>
          <w:rFonts w:ascii="Arial" w:hAnsi="Arial" w:cs="Arial"/>
          <w:sz w:val="19"/>
          <w:szCs w:val="19"/>
        </w:rPr>
        <w:footnoteRef/>
      </w:r>
      <w:r w:rsidRPr="00A222AD">
        <w:rPr>
          <w:rFonts w:ascii="Arial" w:hAnsi="Arial" w:cs="Arial"/>
          <w:sz w:val="19"/>
          <w:szCs w:val="19"/>
        </w:rPr>
        <w:t xml:space="preserve"> </w:t>
      </w:r>
      <w:r w:rsidRPr="00A222AD">
        <w:rPr>
          <w:rFonts w:ascii="Arial" w:hAnsi="Arial" w:cs="Arial"/>
          <w:sz w:val="19"/>
          <w:szCs w:val="19"/>
        </w:rPr>
        <w:t>En el marco del Estado de emergencia económica, social y ecológica declarado por el Gobierno Nacional a través del Decreto 417 de 2020, a causa de la pandemia mundial desatada por el virus del Covid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F3E812" w14:textId="77777777" w:rsidR="00876845" w:rsidRPr="00876845" w:rsidRDefault="00DB54CB" w:rsidP="00DE311F">
    <w:pPr>
      <w:pStyle w:val="Encabezado"/>
      <w:rPr>
        <w:sz w:val="32"/>
        <w:szCs w:val="32"/>
      </w:rPr>
    </w:pPr>
  </w:p>
  <w:p w14:paraId="101AAF71" w14:textId="77777777" w:rsidR="00DE311F" w:rsidRDefault="004E68B2" w:rsidP="00DE311F">
    <w:pPr>
      <w:pStyle w:val="Encabezado"/>
    </w:pPr>
    <w:r>
      <w:rPr>
        <w:noProof/>
        <w:lang w:val="en-US"/>
      </w:rPr>
      <w:drawing>
        <wp:anchor distT="0" distB="0" distL="114300" distR="114300" simplePos="0" relativeHeight="251659264" behindDoc="1" locked="0" layoutInCell="1" allowOverlap="1" wp14:anchorId="1FFD8546" wp14:editId="5BEEA319">
          <wp:simplePos x="0" y="0"/>
          <wp:positionH relativeFrom="margin">
            <wp:align>right</wp:align>
          </wp:positionH>
          <wp:positionV relativeFrom="paragraph">
            <wp:posOffset>-155575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C93EAA" w14:textId="77777777" w:rsidR="00DE311F" w:rsidRDefault="00DB54C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884D610"/>
    <w:lvl w:ilvl="0">
      <w:start w:val="1"/>
      <w:numFmt w:val="decimal"/>
      <w:lvlText w:val="%1."/>
      <w:lvlJc w:val="left"/>
      <w:pPr>
        <w:ind w:left="1070" w:hanging="360"/>
      </w:pPr>
      <w:rPr>
        <w:b/>
        <w:color w:val="auto"/>
      </w:rPr>
    </w:lvl>
    <w:lvl w:ilvl="1">
      <w:start w:val="2"/>
      <w:numFmt w:val="decimal"/>
      <w:isLgl/>
      <w:lvlText w:val="%1.%2"/>
      <w:lvlJc w:val="left"/>
      <w:pPr>
        <w:ind w:left="710" w:hanging="360"/>
      </w:pPr>
    </w:lvl>
    <w:lvl w:ilvl="2">
      <w:start w:val="1"/>
      <w:numFmt w:val="decimal"/>
      <w:isLgl/>
      <w:lvlText w:val="%1.%2.%3"/>
      <w:lvlJc w:val="left"/>
      <w:pPr>
        <w:ind w:left="1430" w:hanging="720"/>
      </w:pPr>
    </w:lvl>
    <w:lvl w:ilvl="3">
      <w:start w:val="1"/>
      <w:numFmt w:val="decimal"/>
      <w:isLgl/>
      <w:lvlText w:val="%1.%2.%3.%4"/>
      <w:lvlJc w:val="left"/>
      <w:pPr>
        <w:ind w:left="1430" w:hanging="720"/>
      </w:pPr>
    </w:lvl>
    <w:lvl w:ilvl="4">
      <w:start w:val="1"/>
      <w:numFmt w:val="decimal"/>
      <w:isLgl/>
      <w:lvlText w:val="%1.%2.%3.%4.%5"/>
      <w:lvlJc w:val="left"/>
      <w:pPr>
        <w:ind w:left="1790" w:hanging="1080"/>
      </w:pPr>
    </w:lvl>
    <w:lvl w:ilvl="5">
      <w:start w:val="1"/>
      <w:numFmt w:val="decimal"/>
      <w:isLgl/>
      <w:lvlText w:val="%1.%2.%3.%4.%5.%6"/>
      <w:lvlJc w:val="left"/>
      <w:pPr>
        <w:ind w:left="1790" w:hanging="1080"/>
      </w:pPr>
    </w:lvl>
    <w:lvl w:ilvl="6">
      <w:start w:val="1"/>
      <w:numFmt w:val="decimal"/>
      <w:isLgl/>
      <w:lvlText w:val="%1.%2.%3.%4.%5.%6.%7"/>
      <w:lvlJc w:val="left"/>
      <w:pPr>
        <w:ind w:left="2150" w:hanging="1440"/>
      </w:pPr>
    </w:lvl>
    <w:lvl w:ilvl="7">
      <w:start w:val="1"/>
      <w:numFmt w:val="decimal"/>
      <w:isLgl/>
      <w:lvlText w:val="%1.%2.%3.%4.%5.%6.%7.%8"/>
      <w:lvlJc w:val="left"/>
      <w:pPr>
        <w:ind w:left="2150" w:hanging="1440"/>
      </w:pPr>
    </w:lvl>
    <w:lvl w:ilvl="8">
      <w:start w:val="1"/>
      <w:numFmt w:val="decimal"/>
      <w:isLgl/>
      <w:lvlText w:val="%1.%2.%3.%4.%5.%6.%7.%8.%9"/>
      <w:lvlJc w:val="left"/>
      <w:pPr>
        <w:ind w:left="2510"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CE1"/>
    <w:rsid w:val="00007501"/>
    <w:rsid w:val="000323F9"/>
    <w:rsid w:val="00122E0E"/>
    <w:rsid w:val="00130CAA"/>
    <w:rsid w:val="00143C5C"/>
    <w:rsid w:val="00163141"/>
    <w:rsid w:val="00180D00"/>
    <w:rsid w:val="001A43B8"/>
    <w:rsid w:val="001C64DE"/>
    <w:rsid w:val="00200C5D"/>
    <w:rsid w:val="00202576"/>
    <w:rsid w:val="00223914"/>
    <w:rsid w:val="0024012E"/>
    <w:rsid w:val="00287CD7"/>
    <w:rsid w:val="002A555E"/>
    <w:rsid w:val="002B2AD9"/>
    <w:rsid w:val="002C2AE9"/>
    <w:rsid w:val="002E1EC9"/>
    <w:rsid w:val="002F63D6"/>
    <w:rsid w:val="00313E59"/>
    <w:rsid w:val="003351C0"/>
    <w:rsid w:val="003525B8"/>
    <w:rsid w:val="003D12E5"/>
    <w:rsid w:val="003E186A"/>
    <w:rsid w:val="003E58AC"/>
    <w:rsid w:val="00436E50"/>
    <w:rsid w:val="004A193B"/>
    <w:rsid w:val="004A46E0"/>
    <w:rsid w:val="004E68B2"/>
    <w:rsid w:val="005033DA"/>
    <w:rsid w:val="00520199"/>
    <w:rsid w:val="00521543"/>
    <w:rsid w:val="005735D5"/>
    <w:rsid w:val="00587BAD"/>
    <w:rsid w:val="005D0389"/>
    <w:rsid w:val="005E3DDA"/>
    <w:rsid w:val="00604FEC"/>
    <w:rsid w:val="00605FCC"/>
    <w:rsid w:val="00610F48"/>
    <w:rsid w:val="00641376"/>
    <w:rsid w:val="0064194C"/>
    <w:rsid w:val="006B5D54"/>
    <w:rsid w:val="006D5C19"/>
    <w:rsid w:val="00725B26"/>
    <w:rsid w:val="00727766"/>
    <w:rsid w:val="00781599"/>
    <w:rsid w:val="007954A1"/>
    <w:rsid w:val="007A2DE2"/>
    <w:rsid w:val="007A5DAC"/>
    <w:rsid w:val="007A734A"/>
    <w:rsid w:val="007C3072"/>
    <w:rsid w:val="007C4766"/>
    <w:rsid w:val="007E5880"/>
    <w:rsid w:val="00805704"/>
    <w:rsid w:val="0081662D"/>
    <w:rsid w:val="00843931"/>
    <w:rsid w:val="00870720"/>
    <w:rsid w:val="008C227F"/>
    <w:rsid w:val="008D1C3C"/>
    <w:rsid w:val="008D25E0"/>
    <w:rsid w:val="008F34BB"/>
    <w:rsid w:val="008F5E02"/>
    <w:rsid w:val="008F7AA6"/>
    <w:rsid w:val="00907D2F"/>
    <w:rsid w:val="00927380"/>
    <w:rsid w:val="009456E9"/>
    <w:rsid w:val="00950A7E"/>
    <w:rsid w:val="009513C3"/>
    <w:rsid w:val="009D7834"/>
    <w:rsid w:val="009F0EF7"/>
    <w:rsid w:val="00A16779"/>
    <w:rsid w:val="00A45926"/>
    <w:rsid w:val="00A53B65"/>
    <w:rsid w:val="00AD1FA2"/>
    <w:rsid w:val="00B102AC"/>
    <w:rsid w:val="00B67667"/>
    <w:rsid w:val="00B874E7"/>
    <w:rsid w:val="00BA01D3"/>
    <w:rsid w:val="00BE16B0"/>
    <w:rsid w:val="00C04E6F"/>
    <w:rsid w:val="00C0631D"/>
    <w:rsid w:val="00C96294"/>
    <w:rsid w:val="00CA200B"/>
    <w:rsid w:val="00CC7A45"/>
    <w:rsid w:val="00CD52BD"/>
    <w:rsid w:val="00CE1A3A"/>
    <w:rsid w:val="00D00365"/>
    <w:rsid w:val="00D02CC0"/>
    <w:rsid w:val="00D65352"/>
    <w:rsid w:val="00D83CE1"/>
    <w:rsid w:val="00DB331D"/>
    <w:rsid w:val="00DB54CB"/>
    <w:rsid w:val="00DD4729"/>
    <w:rsid w:val="00DE3ED1"/>
    <w:rsid w:val="00E00FA2"/>
    <w:rsid w:val="00E41BD7"/>
    <w:rsid w:val="00E70212"/>
    <w:rsid w:val="00EA04E6"/>
    <w:rsid w:val="00EC7EC9"/>
    <w:rsid w:val="00EE7A57"/>
    <w:rsid w:val="00F07F12"/>
    <w:rsid w:val="00F12073"/>
    <w:rsid w:val="00F13D7B"/>
    <w:rsid w:val="00F421D1"/>
    <w:rsid w:val="00F774E8"/>
    <w:rsid w:val="00F830D4"/>
    <w:rsid w:val="00F9783A"/>
    <w:rsid w:val="00FA6A8F"/>
    <w:rsid w:val="00FB10C9"/>
    <w:rsid w:val="00FC7487"/>
    <w:rsid w:val="00FE289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A176D"/>
  <w15:chartTrackingRefBased/>
  <w15:docId w15:val="{35F68F85-045A-4954-92C0-8179336EC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D83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unhideWhenUsed/>
    <w:rsid w:val="00D83CE1"/>
    <w:pPr>
      <w:spacing w:after="0" w:line="240" w:lineRule="auto"/>
    </w:pPr>
    <w:rPr>
      <w:sz w:val="20"/>
      <w:szCs w:val="20"/>
      <w:lang w:val="es-MX"/>
    </w:rPr>
  </w:style>
  <w:style w:type="character" w:customStyle="1" w:styleId="TextocomentarioCar">
    <w:name w:val="Texto comentario Car"/>
    <w:basedOn w:val="Fuentedeprrafopredeter"/>
    <w:link w:val="Textocomentario"/>
    <w:uiPriority w:val="99"/>
    <w:rsid w:val="00D83CE1"/>
    <w:rPr>
      <w:sz w:val="20"/>
      <w:szCs w:val="20"/>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D83CE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D83CE1"/>
    <w:pPr>
      <w:spacing w:after="0" w:line="240" w:lineRule="auto"/>
    </w:pPr>
    <w:rPr>
      <w:sz w:val="20"/>
      <w:szCs w:val="20"/>
      <w:lang w:val="es-MX"/>
    </w:rPr>
  </w:style>
  <w:style w:type="character" w:customStyle="1" w:styleId="TextonotapieCar1">
    <w:name w:val="Texto nota pie Car1"/>
    <w:basedOn w:val="Fuentedeprrafopredeter"/>
    <w:uiPriority w:val="99"/>
    <w:semiHidden/>
    <w:rsid w:val="00D83CE1"/>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D83CE1"/>
    <w:rPr>
      <w:vertAlign w:val="superscript"/>
    </w:rPr>
  </w:style>
  <w:style w:type="paragraph" w:styleId="Encabezado">
    <w:name w:val="header"/>
    <w:basedOn w:val="Normal"/>
    <w:link w:val="EncabezadoCar"/>
    <w:uiPriority w:val="99"/>
    <w:unhideWhenUsed/>
    <w:rsid w:val="00D83CE1"/>
    <w:pPr>
      <w:tabs>
        <w:tab w:val="center" w:pos="4419"/>
        <w:tab w:val="right" w:pos="8838"/>
      </w:tabs>
      <w:spacing w:after="0" w:line="240" w:lineRule="auto"/>
    </w:pPr>
    <w:rPr>
      <w:sz w:val="24"/>
      <w:lang w:val="es-MX"/>
    </w:rPr>
  </w:style>
  <w:style w:type="character" w:customStyle="1" w:styleId="EncabezadoCar">
    <w:name w:val="Encabezado Car"/>
    <w:basedOn w:val="Fuentedeprrafopredeter"/>
    <w:link w:val="Encabezado"/>
    <w:uiPriority w:val="99"/>
    <w:rsid w:val="00D83CE1"/>
    <w:rPr>
      <w:sz w:val="24"/>
      <w:lang w:val="es-MX"/>
    </w:rPr>
  </w:style>
  <w:style w:type="paragraph" w:styleId="Piedepgina">
    <w:name w:val="footer"/>
    <w:basedOn w:val="Normal"/>
    <w:link w:val="PiedepginaCar"/>
    <w:uiPriority w:val="99"/>
    <w:unhideWhenUsed/>
    <w:rsid w:val="00D83CE1"/>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D83CE1"/>
    <w:rPr>
      <w:sz w:val="24"/>
      <w:lang w:val="es-MX"/>
    </w:rPr>
  </w:style>
  <w:style w:type="paragraph" w:styleId="Sinespaciado">
    <w:name w:val="No Spacing"/>
    <w:uiPriority w:val="1"/>
    <w:qFormat/>
    <w:rsid w:val="00D83CE1"/>
    <w:pPr>
      <w:spacing w:after="0" w:line="240" w:lineRule="auto"/>
    </w:pPr>
    <w:rPr>
      <w:sz w:val="24"/>
      <w:lang w:val="es-MX"/>
    </w:rPr>
  </w:style>
  <w:style w:type="table" w:customStyle="1" w:styleId="Tablaconcuadrcula1">
    <w:name w:val="Tabla con cuadrícula1"/>
    <w:basedOn w:val="Tablanormal"/>
    <w:next w:val="Tablaconcuadrcula"/>
    <w:uiPriority w:val="39"/>
    <w:qFormat/>
    <w:rsid w:val="00D83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4A193B"/>
    <w:rPr>
      <w:sz w:val="16"/>
      <w:szCs w:val="16"/>
    </w:rPr>
  </w:style>
  <w:style w:type="paragraph" w:styleId="Asuntodelcomentario">
    <w:name w:val="annotation subject"/>
    <w:basedOn w:val="Textocomentario"/>
    <w:next w:val="Textocomentario"/>
    <w:link w:val="AsuntodelcomentarioCar"/>
    <w:uiPriority w:val="99"/>
    <w:semiHidden/>
    <w:unhideWhenUsed/>
    <w:rsid w:val="004A193B"/>
    <w:pPr>
      <w:spacing w:after="160"/>
    </w:pPr>
    <w:rPr>
      <w:b/>
      <w:bCs/>
      <w:lang w:val="es-CO"/>
    </w:rPr>
  </w:style>
  <w:style w:type="character" w:customStyle="1" w:styleId="AsuntodelcomentarioCar">
    <w:name w:val="Asunto del comentario Car"/>
    <w:basedOn w:val="TextocomentarioCar"/>
    <w:link w:val="Asuntodelcomentario"/>
    <w:uiPriority w:val="99"/>
    <w:semiHidden/>
    <w:rsid w:val="004A193B"/>
    <w:rPr>
      <w:b/>
      <w:bCs/>
      <w:sz w:val="20"/>
      <w:szCs w:val="20"/>
      <w:lang w:val="es-MX"/>
    </w:rPr>
  </w:style>
  <w:style w:type="paragraph" w:customStyle="1" w:styleId="Default">
    <w:name w:val="Default"/>
    <w:rsid w:val="00521543"/>
    <w:pPr>
      <w:autoSpaceDE w:val="0"/>
      <w:autoSpaceDN w:val="0"/>
      <w:adjustRightInd w:val="0"/>
      <w:spacing w:after="0" w:line="240" w:lineRule="auto"/>
    </w:pPr>
    <w:rPr>
      <w:rFonts w:ascii="Arial" w:hAnsi="Arial" w:cs="Arial"/>
      <w:color w:val="000000"/>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36EDA0-25FB-4612-89F4-4E09AAD7D576}">
  <ds:schemaRefs>
    <ds:schemaRef ds:uri="http://schemas.openxmlformats.org/officeDocument/2006/bibliography"/>
  </ds:schemaRefs>
</ds:datastoreItem>
</file>

<file path=customXml/itemProps2.xml><?xml version="1.0" encoding="utf-8"?>
<ds:datastoreItem xmlns:ds="http://schemas.openxmlformats.org/officeDocument/2006/customXml" ds:itemID="{1E2559A8-306D-48AF-81FC-75A974A83533}">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4EA10BD9-91A2-41CF-94A4-096214E22BF3}"/>
</file>

<file path=customXml/itemProps4.xml><?xml version="1.0" encoding="utf-8"?>
<ds:datastoreItem xmlns:ds="http://schemas.openxmlformats.org/officeDocument/2006/customXml" ds:itemID="{6A736D8A-BA84-42BE-A5EA-6C8D7C10B9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8</Pages>
  <Words>2796</Words>
  <Characters>15383</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Manuel Castillo López</dc:creator>
  <cp:keywords/>
  <dc:description/>
  <cp:lastModifiedBy>Felipe Bastidas Paredes</cp:lastModifiedBy>
  <cp:revision>5</cp:revision>
  <dcterms:created xsi:type="dcterms:W3CDTF">2021-06-01T19:57:00Z</dcterms:created>
  <dcterms:modified xsi:type="dcterms:W3CDTF">2021-06-01T22:19:00Z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