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4CE85" w14:textId="77777777" w:rsidR="00714833" w:rsidRPr="00F176B9" w:rsidRDefault="00714833" w:rsidP="006219B0">
      <w:pPr>
        <w:tabs>
          <w:tab w:val="left" w:pos="426"/>
        </w:tabs>
        <w:spacing w:after="0" w:line="240" w:lineRule="auto"/>
        <w:jc w:val="left"/>
        <w:rPr>
          <w:rFonts w:ascii="Arial" w:eastAsia="Calibri" w:hAnsi="Arial" w:cs="Arial"/>
          <w:b/>
          <w:bCs/>
          <w:sz w:val="22"/>
        </w:rPr>
      </w:pPr>
      <w:bookmarkStart w:id="0" w:name="_Hlk77152637"/>
      <w:bookmarkStart w:id="1" w:name="_Hlk77157066"/>
      <w:bookmarkStart w:id="2" w:name="_Hlk78821436"/>
      <w:r w:rsidRPr="00F176B9">
        <w:rPr>
          <w:rFonts w:ascii="Arial" w:eastAsia="Calibri" w:hAnsi="Arial" w:cs="Arial"/>
          <w:b/>
          <w:bCs/>
          <w:sz w:val="22"/>
        </w:rPr>
        <w:t>LEY DE GARANTÍAS ELECTORALES ‒</w:t>
      </w:r>
      <w:bookmarkEnd w:id="0"/>
      <w:r w:rsidRPr="00F176B9">
        <w:rPr>
          <w:rFonts w:ascii="Arial" w:eastAsia="Calibri" w:hAnsi="Arial" w:cs="Arial"/>
          <w:b/>
          <w:bCs/>
          <w:sz w:val="22"/>
        </w:rPr>
        <w:t xml:space="preserve"> Tipos de restricciones </w:t>
      </w:r>
      <w:bookmarkStart w:id="3" w:name="_Hlk77157034"/>
      <w:r w:rsidRPr="00F176B9">
        <w:rPr>
          <w:rFonts w:ascii="Arial" w:eastAsia="Calibri" w:hAnsi="Arial" w:cs="Arial"/>
          <w:b/>
          <w:bCs/>
          <w:sz w:val="22"/>
        </w:rPr>
        <w:t xml:space="preserve">‒ </w:t>
      </w:r>
      <w:bookmarkStart w:id="4" w:name="_Hlk77153098"/>
      <w:bookmarkEnd w:id="3"/>
      <w:r w:rsidRPr="00F176B9">
        <w:rPr>
          <w:rFonts w:ascii="Arial" w:eastAsia="Calibri" w:hAnsi="Arial" w:cs="Arial"/>
          <w:b/>
          <w:bCs/>
          <w:sz w:val="22"/>
        </w:rPr>
        <w:t xml:space="preserve">Ámbito temporal </w:t>
      </w:r>
      <w:bookmarkEnd w:id="4"/>
    </w:p>
    <w:p w14:paraId="7413A20D" w14:textId="77777777" w:rsidR="00714833" w:rsidRPr="00F176B9" w:rsidRDefault="00714833" w:rsidP="00F176B9">
      <w:pPr>
        <w:tabs>
          <w:tab w:val="left" w:pos="426"/>
        </w:tabs>
        <w:spacing w:after="0" w:line="240" w:lineRule="auto"/>
        <w:rPr>
          <w:rFonts w:ascii="Arial" w:eastAsia="Calibri" w:hAnsi="Arial" w:cs="Arial"/>
          <w:b/>
          <w:bCs/>
          <w:sz w:val="20"/>
          <w:szCs w:val="20"/>
        </w:rPr>
      </w:pPr>
    </w:p>
    <w:bookmarkEnd w:id="1"/>
    <w:p w14:paraId="303CAF7B" w14:textId="77777777" w:rsidR="00714833" w:rsidRPr="00F176B9" w:rsidRDefault="00714833" w:rsidP="00F176B9">
      <w:pPr>
        <w:tabs>
          <w:tab w:val="left" w:pos="426"/>
        </w:tabs>
        <w:spacing w:after="0" w:line="240" w:lineRule="auto"/>
        <w:rPr>
          <w:rFonts w:ascii="Arial" w:eastAsia="Calibri" w:hAnsi="Arial" w:cs="Arial"/>
          <w:noProof/>
          <w:sz w:val="20"/>
          <w:szCs w:val="20"/>
          <w:lang w:val="es-ES_tradnl"/>
        </w:rPr>
      </w:pPr>
      <w:r w:rsidRPr="00F176B9">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2324C4BF" w14:textId="77777777" w:rsidR="00714833" w:rsidRPr="00F176B9" w:rsidRDefault="00714833" w:rsidP="00F176B9">
      <w:pPr>
        <w:tabs>
          <w:tab w:val="left" w:pos="426"/>
        </w:tabs>
        <w:spacing w:after="0" w:line="240" w:lineRule="auto"/>
        <w:rPr>
          <w:rFonts w:ascii="Arial" w:eastAsia="Calibri" w:hAnsi="Arial" w:cs="Arial"/>
          <w:noProof/>
          <w:sz w:val="20"/>
          <w:szCs w:val="20"/>
          <w:lang w:val="es-ES_tradnl"/>
        </w:rPr>
      </w:pPr>
    </w:p>
    <w:p w14:paraId="549C9CAA" w14:textId="085C3DFC" w:rsidR="00714833" w:rsidRPr="00F176B9" w:rsidRDefault="00714833" w:rsidP="00F176B9">
      <w:pPr>
        <w:tabs>
          <w:tab w:val="left" w:pos="426"/>
        </w:tabs>
        <w:spacing w:after="0" w:line="240" w:lineRule="auto"/>
        <w:rPr>
          <w:rFonts w:ascii="Arial" w:eastAsia="Calibri" w:hAnsi="Arial" w:cs="Arial"/>
          <w:b/>
          <w:bCs/>
          <w:sz w:val="22"/>
        </w:rPr>
      </w:pPr>
      <w:bookmarkStart w:id="5" w:name="_Hlk77165666"/>
      <w:r w:rsidRPr="00F176B9">
        <w:rPr>
          <w:rFonts w:ascii="Arial" w:eastAsia="Calibri" w:hAnsi="Arial" w:cs="Arial"/>
          <w:b/>
          <w:bCs/>
          <w:sz w:val="22"/>
        </w:rPr>
        <w:t xml:space="preserve">LEY DE GARANTÍAS ELECTORALES ─ Prohibición ‒ </w:t>
      </w:r>
      <w:bookmarkEnd w:id="5"/>
      <w:r w:rsidRPr="00F176B9">
        <w:rPr>
          <w:rFonts w:ascii="Arial" w:eastAsia="Calibri" w:hAnsi="Arial" w:cs="Arial"/>
          <w:b/>
          <w:bCs/>
          <w:sz w:val="22"/>
        </w:rPr>
        <w:t>Contratación directa ‒ Alcance</w:t>
      </w:r>
      <w:r w:rsidR="00AC1839" w:rsidRPr="00F176B9">
        <w:rPr>
          <w:rFonts w:ascii="Arial" w:eastAsia="Calibri" w:hAnsi="Arial" w:cs="Arial"/>
          <w:b/>
          <w:bCs/>
          <w:sz w:val="22"/>
        </w:rPr>
        <w:t xml:space="preserve"> – </w:t>
      </w:r>
      <w:r w:rsidR="00AC1839" w:rsidRPr="00F176B9">
        <w:rPr>
          <w:rFonts w:ascii="Arial" w:eastAsia="Times New Roman" w:hAnsi="Arial" w:cs="Arial"/>
          <w:b/>
          <w:bCs/>
          <w:sz w:val="22"/>
          <w:lang w:val="es-CO" w:eastAsia="es-CO"/>
        </w:rPr>
        <w:t>Excepciones</w:t>
      </w:r>
      <w:r w:rsidRPr="00F176B9">
        <w:rPr>
          <w:rFonts w:ascii="Arial" w:eastAsia="Calibri" w:hAnsi="Arial" w:cs="Arial"/>
          <w:b/>
          <w:bCs/>
          <w:sz w:val="22"/>
        </w:rPr>
        <w:t xml:space="preserve"> </w:t>
      </w:r>
    </w:p>
    <w:p w14:paraId="17331853" w14:textId="77777777" w:rsidR="00714833" w:rsidRPr="00F176B9" w:rsidRDefault="00714833" w:rsidP="00F176B9">
      <w:pPr>
        <w:tabs>
          <w:tab w:val="left" w:pos="426"/>
        </w:tabs>
        <w:spacing w:after="0" w:line="240" w:lineRule="auto"/>
        <w:rPr>
          <w:rFonts w:ascii="Arial" w:eastAsia="Calibri" w:hAnsi="Arial" w:cs="Arial"/>
          <w:noProof/>
          <w:sz w:val="20"/>
          <w:szCs w:val="20"/>
        </w:rPr>
      </w:pPr>
    </w:p>
    <w:p w14:paraId="39562481" w14:textId="7978810D" w:rsidR="00714833" w:rsidRPr="00F176B9" w:rsidRDefault="00714833" w:rsidP="00F176B9">
      <w:pPr>
        <w:tabs>
          <w:tab w:val="left" w:pos="426"/>
        </w:tabs>
        <w:spacing w:after="0" w:line="240" w:lineRule="auto"/>
        <w:rPr>
          <w:rFonts w:ascii="Arial" w:eastAsia="Times New Roman" w:hAnsi="Arial" w:cs="Arial"/>
          <w:sz w:val="20"/>
          <w:szCs w:val="20"/>
          <w:lang w:eastAsia="es-ES"/>
        </w:rPr>
      </w:pPr>
      <w:r w:rsidRPr="00F176B9">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16C63032" w14:textId="77777777" w:rsidR="00856468" w:rsidRPr="00F176B9" w:rsidRDefault="00856468" w:rsidP="00F176B9">
      <w:pPr>
        <w:spacing w:after="0" w:line="240" w:lineRule="auto"/>
        <w:rPr>
          <w:rFonts w:ascii="Arial" w:eastAsia="Times New Roman" w:hAnsi="Arial" w:cs="Arial"/>
          <w:sz w:val="20"/>
          <w:szCs w:val="20"/>
          <w:lang w:val="es-CO" w:eastAsia="es-CO"/>
        </w:rPr>
      </w:pPr>
    </w:p>
    <w:p w14:paraId="38C32961" w14:textId="77777777" w:rsidR="00714833" w:rsidRPr="00F176B9" w:rsidRDefault="00714833" w:rsidP="00F176B9">
      <w:pPr>
        <w:tabs>
          <w:tab w:val="left" w:pos="426"/>
        </w:tabs>
        <w:spacing w:after="0" w:line="240" w:lineRule="auto"/>
        <w:rPr>
          <w:rFonts w:ascii="Arial" w:hAnsi="Arial" w:cs="Arial"/>
          <w:sz w:val="20"/>
          <w:szCs w:val="20"/>
        </w:rPr>
      </w:pPr>
      <w:r w:rsidRPr="00F176B9">
        <w:rPr>
          <w:rFonts w:ascii="Arial" w:eastAsia="Times New Roman" w:hAnsi="Arial" w:cs="Arial"/>
          <w:sz w:val="20"/>
          <w:szCs w:val="20"/>
          <w:lang w:val="es-CO" w:eastAsia="x-none"/>
        </w:rPr>
        <w:t xml:space="preserve">[…] </w:t>
      </w:r>
      <w:r w:rsidRPr="00F176B9">
        <w:rPr>
          <w:rFonts w:ascii="Arial" w:hAnsi="Arial" w:cs="Arial"/>
          <w:sz w:val="20"/>
          <w:szCs w:val="20"/>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21730C7" w14:textId="77777777" w:rsidR="00714833" w:rsidRPr="00F176B9" w:rsidRDefault="00714833" w:rsidP="00F176B9">
      <w:pPr>
        <w:tabs>
          <w:tab w:val="left" w:pos="426"/>
        </w:tabs>
        <w:spacing w:after="0" w:line="240" w:lineRule="auto"/>
        <w:rPr>
          <w:rFonts w:ascii="Arial" w:eastAsia="Calibri" w:hAnsi="Arial" w:cs="Arial"/>
          <w:noProof/>
          <w:sz w:val="20"/>
          <w:szCs w:val="20"/>
          <w:lang w:val="es-CO"/>
        </w:rPr>
      </w:pPr>
    </w:p>
    <w:p w14:paraId="3EB70129" w14:textId="47A06798" w:rsidR="00714833" w:rsidRPr="00F176B9" w:rsidRDefault="00714833" w:rsidP="00F176B9">
      <w:pPr>
        <w:spacing w:after="0" w:line="240" w:lineRule="auto"/>
        <w:rPr>
          <w:rFonts w:ascii="Arial" w:eastAsia="Times New Roman" w:hAnsi="Arial" w:cs="Arial"/>
          <w:b/>
          <w:sz w:val="22"/>
          <w:lang w:val="es-ES" w:eastAsia="es-CO"/>
        </w:rPr>
      </w:pPr>
      <w:r w:rsidRPr="00F176B9">
        <w:rPr>
          <w:rFonts w:ascii="Arial" w:eastAsia="Times New Roman" w:hAnsi="Arial" w:cs="Arial"/>
          <w:b/>
          <w:bCs/>
          <w:sz w:val="22"/>
          <w:lang w:val="es-CO" w:eastAsia="es-CO"/>
        </w:rPr>
        <w:t xml:space="preserve">LEY DE GARANTÍAS ELECTORALES </w:t>
      </w:r>
      <w:bookmarkStart w:id="6" w:name="_Hlk77166669"/>
      <w:r w:rsidRPr="00F176B9">
        <w:rPr>
          <w:rFonts w:ascii="Arial" w:eastAsia="Times New Roman" w:hAnsi="Arial" w:cs="Arial"/>
          <w:b/>
          <w:bCs/>
          <w:sz w:val="22"/>
          <w:lang w:val="es-CO" w:eastAsia="es-CO"/>
        </w:rPr>
        <w:t>‒</w:t>
      </w:r>
      <w:bookmarkEnd w:id="6"/>
      <w:r w:rsidRPr="00F176B9">
        <w:rPr>
          <w:rFonts w:ascii="Arial" w:eastAsia="Times New Roman" w:hAnsi="Arial" w:cs="Arial"/>
          <w:b/>
          <w:bCs/>
          <w:sz w:val="22"/>
          <w:lang w:val="es-CO" w:eastAsia="es-CO"/>
        </w:rPr>
        <w:t xml:space="preserve"> </w:t>
      </w:r>
      <w:r w:rsidRPr="00F176B9">
        <w:rPr>
          <w:rFonts w:ascii="Arial" w:eastAsia="Times New Roman" w:hAnsi="Arial" w:cs="Arial"/>
          <w:b/>
          <w:sz w:val="22"/>
          <w:lang w:val="es-ES" w:eastAsia="es-CO"/>
        </w:rPr>
        <w:t xml:space="preserve">Prohibición del artículo 33 </w:t>
      </w:r>
      <w:r w:rsidRPr="00F176B9">
        <w:rPr>
          <w:rFonts w:ascii="Arial" w:eastAsia="Times New Roman" w:hAnsi="Arial" w:cs="Arial"/>
          <w:b/>
          <w:bCs/>
          <w:sz w:val="22"/>
          <w:lang w:val="es-CO" w:eastAsia="es-CO"/>
        </w:rPr>
        <w:t>‒ Destinatarios</w:t>
      </w:r>
    </w:p>
    <w:p w14:paraId="0DB44496" w14:textId="77777777" w:rsidR="00714833" w:rsidRPr="00F176B9" w:rsidRDefault="00714833" w:rsidP="00F176B9">
      <w:pPr>
        <w:tabs>
          <w:tab w:val="left" w:pos="426"/>
        </w:tabs>
        <w:spacing w:after="0" w:line="240" w:lineRule="auto"/>
        <w:rPr>
          <w:rFonts w:ascii="Arial" w:eastAsia="Calibri" w:hAnsi="Arial" w:cs="Arial"/>
          <w:noProof/>
          <w:sz w:val="20"/>
          <w:szCs w:val="20"/>
          <w:lang w:val="es-ES"/>
        </w:rPr>
      </w:pPr>
    </w:p>
    <w:p w14:paraId="57B7D4EE" w14:textId="77777777" w:rsidR="00714833" w:rsidRPr="00F176B9" w:rsidRDefault="00714833" w:rsidP="00F176B9">
      <w:pPr>
        <w:tabs>
          <w:tab w:val="left" w:pos="426"/>
        </w:tabs>
        <w:spacing w:after="0" w:line="240" w:lineRule="auto"/>
        <w:rPr>
          <w:rFonts w:ascii="Arial" w:eastAsia="Calibri" w:hAnsi="Arial" w:cs="Arial"/>
          <w:noProof/>
          <w:sz w:val="20"/>
          <w:szCs w:val="20"/>
          <w:lang w:val="es-CO"/>
        </w:rPr>
      </w:pPr>
      <w:r w:rsidRPr="00F176B9">
        <w:rPr>
          <w:rFonts w:ascii="Arial" w:eastAsia="Calibri" w:hAnsi="Arial" w:cs="Arial"/>
          <w:noProof/>
          <w:sz w:val="20"/>
          <w:szCs w:val="20"/>
          <w:lang w:val="es-CO"/>
        </w:rPr>
        <w:t xml:space="preserve">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w:t>
      </w:r>
      <w:r w:rsidRPr="00F176B9">
        <w:rPr>
          <w:rFonts w:ascii="Arial" w:eastAsia="Calibri" w:hAnsi="Arial" w:cs="Arial"/>
          <w:noProof/>
          <w:sz w:val="20"/>
          <w:szCs w:val="20"/>
          <w:lang w:val="es-CO"/>
        </w:rPr>
        <w:lastRenderedPageBreak/>
        <w:t>exceptuadas del ámbito de aplicación del Estatuto General de Contratación de la Administración Pública.</w:t>
      </w:r>
    </w:p>
    <w:p w14:paraId="42708F45" w14:textId="77777777" w:rsidR="00714833" w:rsidRPr="00F176B9" w:rsidRDefault="00714833" w:rsidP="00F176B9">
      <w:pPr>
        <w:tabs>
          <w:tab w:val="left" w:pos="426"/>
        </w:tabs>
        <w:spacing w:after="0" w:line="240" w:lineRule="auto"/>
        <w:rPr>
          <w:rFonts w:ascii="Arial" w:eastAsia="Calibri" w:hAnsi="Arial" w:cs="Arial"/>
          <w:noProof/>
          <w:sz w:val="20"/>
          <w:szCs w:val="20"/>
          <w:lang w:val="es-ES"/>
        </w:rPr>
      </w:pPr>
    </w:p>
    <w:p w14:paraId="6A5BEBFA" w14:textId="77777777" w:rsidR="00714833" w:rsidRPr="00F176B9" w:rsidRDefault="00714833" w:rsidP="00F176B9">
      <w:pPr>
        <w:spacing w:after="0" w:line="240" w:lineRule="auto"/>
        <w:rPr>
          <w:rFonts w:ascii="Arial" w:eastAsia="Calibri" w:hAnsi="Arial" w:cs="Arial"/>
          <w:b/>
          <w:sz w:val="20"/>
          <w:szCs w:val="20"/>
          <w:lang w:val="es-ES"/>
        </w:rPr>
      </w:pPr>
    </w:p>
    <w:bookmarkEnd w:id="2"/>
    <w:p w14:paraId="3A3C1803" w14:textId="77777777" w:rsidR="0020033D" w:rsidRPr="00F176B9" w:rsidRDefault="0020033D" w:rsidP="00F176B9">
      <w:pPr>
        <w:spacing w:after="120" w:line="240" w:lineRule="auto"/>
        <w:contextualSpacing/>
        <w:rPr>
          <w:rFonts w:ascii="Arial" w:eastAsia="Times New Roman" w:hAnsi="Arial" w:cs="Arial"/>
          <w:bCs/>
          <w:sz w:val="20"/>
          <w:szCs w:val="20"/>
          <w:lang w:eastAsia="es-CO"/>
        </w:rPr>
      </w:pPr>
    </w:p>
    <w:p w14:paraId="7A6857FA" w14:textId="35A10511" w:rsidR="0020033D" w:rsidRPr="00F176B9" w:rsidRDefault="0020033D" w:rsidP="00F176B9">
      <w:pPr>
        <w:spacing w:after="120"/>
        <w:rPr>
          <w:rFonts w:ascii="Arial" w:eastAsia="Calibri" w:hAnsi="Arial" w:cs="Arial"/>
          <w:sz w:val="22"/>
        </w:rPr>
      </w:pPr>
      <w:r w:rsidRPr="00F176B9">
        <w:rPr>
          <w:rFonts w:ascii="Arial" w:eastAsia="Calibri" w:hAnsi="Arial" w:cs="Arial"/>
          <w:b/>
          <w:bCs/>
          <w:sz w:val="22"/>
        </w:rPr>
        <w:t>LEY DE GARANTÍAS ELECTORALES ‒ Restricciones – Artículos 33 y 38</w:t>
      </w:r>
      <w:r w:rsidR="00171D50">
        <w:rPr>
          <w:rFonts w:ascii="Arial" w:eastAsia="Calibri" w:hAnsi="Arial" w:cs="Arial"/>
          <w:b/>
          <w:bCs/>
          <w:sz w:val="22"/>
        </w:rPr>
        <w:t xml:space="preserve"> </w:t>
      </w:r>
      <w:r w:rsidRPr="00F176B9">
        <w:rPr>
          <w:rFonts w:ascii="Arial" w:eastAsia="Calibri" w:hAnsi="Arial" w:cs="Arial"/>
          <w:b/>
          <w:bCs/>
          <w:sz w:val="22"/>
        </w:rPr>
        <w:t>– Convenios de asociación</w:t>
      </w:r>
    </w:p>
    <w:p w14:paraId="30EDA426" w14:textId="77777777" w:rsidR="0020033D" w:rsidRPr="00F176B9" w:rsidRDefault="0020033D" w:rsidP="00F176B9">
      <w:pPr>
        <w:spacing w:after="120" w:line="240" w:lineRule="auto"/>
        <w:rPr>
          <w:rFonts w:ascii="Arial" w:eastAsia="Calibri" w:hAnsi="Arial" w:cs="Arial"/>
          <w:sz w:val="20"/>
          <w:szCs w:val="20"/>
          <w:lang w:val="es-CO"/>
        </w:rPr>
      </w:pPr>
      <w:r w:rsidRPr="00F176B9">
        <w:rPr>
          <w:rFonts w:ascii="Arial" w:eastAsia="Calibri" w:hAnsi="Arial" w:cs="Arial"/>
          <w:sz w:val="20"/>
          <w:szCs w:val="20"/>
        </w:rPr>
        <w:t xml:space="preserve">En cuanto a los </w:t>
      </w:r>
      <w:r w:rsidRPr="00F176B9">
        <w:rPr>
          <w:rFonts w:ascii="Arial" w:eastAsia="Calibri" w:hAnsi="Arial" w:cs="Arial"/>
          <w:i/>
          <w:iCs/>
          <w:sz w:val="20"/>
          <w:szCs w:val="20"/>
        </w:rPr>
        <w:t>convenios de asociación</w:t>
      </w:r>
      <w:r w:rsidRPr="00F176B9">
        <w:rPr>
          <w:rFonts w:ascii="Arial" w:eastAsia="Calibri" w:hAnsi="Arial" w:cs="Arial"/>
          <w:sz w:val="20"/>
          <w:szCs w:val="20"/>
        </w:rPr>
        <w:t xml:space="preserve">, 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 En contraste, la restricción citada no aplicaría a los </w:t>
      </w:r>
      <w:r w:rsidRPr="00F176B9">
        <w:rPr>
          <w:rFonts w:ascii="Arial" w:eastAsia="Calibri" w:hAnsi="Arial" w:cs="Arial"/>
          <w:i/>
          <w:iCs/>
          <w:sz w:val="20"/>
          <w:szCs w:val="20"/>
        </w:rPr>
        <w:t>convenios de asociación</w:t>
      </w:r>
      <w:r w:rsidRPr="00F176B9">
        <w:rPr>
          <w:rFonts w:ascii="Arial" w:eastAsia="Calibri" w:hAnsi="Arial" w:cs="Arial"/>
          <w:sz w:val="20"/>
          <w:szCs w:val="20"/>
        </w:rPr>
        <w:t xml:space="preserve"> que celebren las Entidades Estatales y entidades privadas sin ánimo de lucro bajo el procedimiento competitivo, pues este supone la pluralidad de oferentes y la selección objetiva del contratista</w:t>
      </w:r>
      <w:r w:rsidRPr="00F176B9">
        <w:rPr>
          <w:rFonts w:ascii="Arial" w:eastAsia="Calibri" w:hAnsi="Arial" w:cs="Arial"/>
          <w:sz w:val="20"/>
          <w:szCs w:val="20"/>
          <w:lang w:val="es-CO"/>
        </w:rPr>
        <w:t xml:space="preserve">. </w:t>
      </w:r>
    </w:p>
    <w:p w14:paraId="14152CFE" w14:textId="43C62338" w:rsidR="00A31AAB" w:rsidRPr="00F176B9" w:rsidRDefault="0020033D" w:rsidP="00F176B9">
      <w:pPr>
        <w:spacing w:after="120" w:line="240" w:lineRule="auto"/>
        <w:rPr>
          <w:rFonts w:ascii="Arial" w:eastAsia="Calibri" w:hAnsi="Arial" w:cs="Arial"/>
          <w:b/>
          <w:bCs/>
          <w:sz w:val="22"/>
        </w:rPr>
      </w:pPr>
      <w:r w:rsidRPr="00F176B9">
        <w:rPr>
          <w:rFonts w:ascii="Arial" w:eastAsia="Calibri" w:hAnsi="Arial" w:cs="Arial"/>
          <w:sz w:val="20"/>
          <w:szCs w:val="20"/>
          <w:lang w:val="es-CO"/>
        </w:rPr>
        <w:t xml:space="preserve">[…] </w:t>
      </w:r>
      <w:r w:rsidR="00F17613" w:rsidRPr="00F176B9">
        <w:rPr>
          <w:rFonts w:ascii="Arial" w:eastAsia="Calibri" w:hAnsi="Arial" w:cs="Arial"/>
          <w:sz w:val="20"/>
          <w:szCs w:val="20"/>
          <w:lang w:val="es-CO"/>
        </w:rPr>
        <w:t xml:space="preserve">Es preciso advertir que los convenios de asociación no entran dentro del ámbito de aplicación de la restricción del parágrafo del artículo 38 de la Ley 996 de 2021, ya que esta norma se refiere exclusivamente a convenios interadministrativos. Esto comoquiera que, los convenios de asociación son celebrados por Entidades Estatales con entidades privadas sin ánimo de lucro, correspondiendo a una naturaleza jurídica distinta de los convenios interadministrativos, los cuales son determinados por un criterio orgánico que exige que ambos extremos de la relación contractual sean entidades estatales. </w:t>
      </w:r>
      <w:r w:rsidR="00592AC9" w:rsidRPr="00F176B9">
        <w:rPr>
          <w:rFonts w:ascii="Arial" w:eastAsia="Times New Roman" w:hAnsi="Arial" w:cs="Arial"/>
          <w:bCs/>
          <w:sz w:val="20"/>
          <w:szCs w:val="20"/>
          <w:lang w:eastAsia="es-CO"/>
        </w:rPr>
        <w:t xml:space="preserve">   </w:t>
      </w:r>
    </w:p>
    <w:p w14:paraId="5207C4F0" w14:textId="627684CD" w:rsidR="00C8577F" w:rsidRPr="00F176B9" w:rsidRDefault="00CC4A96" w:rsidP="374C1BEF">
      <w:pPr>
        <w:rPr>
          <w:szCs w:val="24"/>
        </w:rPr>
      </w:pPr>
      <w:r w:rsidRPr="374C1BEF">
        <w:rPr>
          <w:rFonts w:ascii="Arial" w:eastAsia="Calibri" w:hAnsi="Arial" w:cs="Arial"/>
          <w:b/>
          <w:bCs/>
          <w:sz w:val="22"/>
        </w:rPr>
        <w:br w:type="page"/>
      </w:r>
    </w:p>
    <w:p w14:paraId="4E17CCE0" w14:textId="3562C8BE" w:rsidR="00303D47" w:rsidRPr="00F176B9" w:rsidRDefault="00892810" w:rsidP="00892810">
      <w:pPr>
        <w:spacing w:after="0" w:line="240" w:lineRule="auto"/>
        <w:jc w:val="right"/>
        <w:rPr>
          <w:rFonts w:ascii="Arial" w:eastAsia="Calibri" w:hAnsi="Arial" w:cs="Arial"/>
          <w:noProof/>
          <w:sz w:val="22"/>
          <w:lang w:val="es-ES_tradnl"/>
        </w:rPr>
      </w:pPr>
      <w:r w:rsidRPr="00892810">
        <w:rPr>
          <w:rFonts w:ascii="Arial" w:eastAsia="Calibri" w:hAnsi="Arial" w:cs="Arial"/>
          <w:noProof/>
          <w:sz w:val="22"/>
          <w:lang w:val="es-ES_tradnl"/>
        </w:rPr>
        <w:lastRenderedPageBreak/>
        <w:drawing>
          <wp:inline distT="0" distB="0" distL="0" distR="0" wp14:anchorId="1EF46004" wp14:editId="28FA785D">
            <wp:extent cx="2471420" cy="832339"/>
            <wp:effectExtent l="0" t="0" r="508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8764" cy="834812"/>
                    </a:xfrm>
                    <a:prstGeom prst="rect">
                      <a:avLst/>
                    </a:prstGeom>
                    <a:noFill/>
                    <a:ln>
                      <a:noFill/>
                    </a:ln>
                  </pic:spPr>
                </pic:pic>
              </a:graphicData>
            </a:graphic>
          </wp:inline>
        </w:drawing>
      </w:r>
    </w:p>
    <w:p w14:paraId="74B23B5B" w14:textId="77777777" w:rsidR="00D228A3" w:rsidRDefault="00D228A3" w:rsidP="00F176B9">
      <w:pPr>
        <w:spacing w:after="0" w:line="240" w:lineRule="auto"/>
        <w:rPr>
          <w:rFonts w:ascii="Arial" w:eastAsia="Calibri" w:hAnsi="Arial" w:cs="Arial"/>
          <w:sz w:val="22"/>
          <w:lang w:val="es-CO"/>
        </w:rPr>
      </w:pPr>
    </w:p>
    <w:p w14:paraId="202820AD" w14:textId="77777777" w:rsidR="00D228A3" w:rsidRDefault="00D228A3" w:rsidP="00F176B9">
      <w:pPr>
        <w:spacing w:after="0" w:line="240" w:lineRule="auto"/>
        <w:rPr>
          <w:rFonts w:ascii="Arial" w:eastAsia="Calibri" w:hAnsi="Arial" w:cs="Arial"/>
          <w:sz w:val="22"/>
          <w:lang w:val="es-CO"/>
        </w:rPr>
      </w:pPr>
    </w:p>
    <w:p w14:paraId="6A81B1B9" w14:textId="749C02E6" w:rsidR="00303D47" w:rsidRPr="00F176B9" w:rsidRDefault="004653E7" w:rsidP="00F176B9">
      <w:pPr>
        <w:spacing w:after="0" w:line="240" w:lineRule="auto"/>
        <w:rPr>
          <w:rFonts w:ascii="Arial" w:eastAsia="Calibri" w:hAnsi="Arial" w:cs="Arial"/>
          <w:sz w:val="22"/>
          <w:lang w:val="es-CO"/>
        </w:rPr>
      </w:pPr>
      <w:r w:rsidRPr="00F176B9">
        <w:rPr>
          <w:rFonts w:ascii="Arial" w:eastAsia="Calibri" w:hAnsi="Arial" w:cs="Arial"/>
          <w:sz w:val="22"/>
          <w:lang w:val="es-CO"/>
        </w:rPr>
        <w:t>Señor</w:t>
      </w:r>
      <w:r w:rsidR="001260C4">
        <w:rPr>
          <w:rFonts w:ascii="Arial" w:eastAsia="Calibri" w:hAnsi="Arial" w:cs="Arial"/>
          <w:sz w:val="22"/>
          <w:lang w:val="es-CO"/>
        </w:rPr>
        <w:t>es</w:t>
      </w:r>
    </w:p>
    <w:p w14:paraId="38F5C0DE" w14:textId="602FA561" w:rsidR="004653E7" w:rsidRPr="00F176B9" w:rsidRDefault="001260C4" w:rsidP="00F176B9">
      <w:pPr>
        <w:spacing w:after="0" w:line="240" w:lineRule="auto"/>
        <w:rPr>
          <w:rFonts w:ascii="Arial" w:eastAsia="Calibri" w:hAnsi="Arial" w:cs="Arial"/>
          <w:b/>
          <w:sz w:val="22"/>
          <w:lang w:val="es-CO"/>
        </w:rPr>
      </w:pPr>
      <w:r>
        <w:rPr>
          <w:rFonts w:ascii="Arial" w:eastAsia="Calibri" w:hAnsi="Arial" w:cs="Arial"/>
          <w:b/>
          <w:sz w:val="22"/>
          <w:lang w:val="es-CO"/>
        </w:rPr>
        <w:t xml:space="preserve">Veedores Huila </w:t>
      </w:r>
    </w:p>
    <w:p w14:paraId="72352372" w14:textId="1332C90F" w:rsidR="00303D47" w:rsidRPr="00F176B9" w:rsidRDefault="001260C4" w:rsidP="00F176B9">
      <w:pPr>
        <w:spacing w:after="0" w:line="240" w:lineRule="auto"/>
        <w:rPr>
          <w:rFonts w:ascii="Arial" w:eastAsia="Calibri" w:hAnsi="Arial" w:cs="Arial"/>
          <w:sz w:val="22"/>
          <w:lang w:val="es-CO"/>
        </w:rPr>
      </w:pPr>
      <w:r>
        <w:rPr>
          <w:rFonts w:ascii="Arial" w:eastAsia="Calibri" w:hAnsi="Arial" w:cs="Arial"/>
          <w:sz w:val="22"/>
          <w:lang w:val="es-CO"/>
        </w:rPr>
        <w:t>Huila, Neiva</w:t>
      </w:r>
    </w:p>
    <w:p w14:paraId="20C73A65" w14:textId="77777777" w:rsidR="002B72C0" w:rsidRPr="00F176B9" w:rsidRDefault="002B72C0" w:rsidP="00F176B9">
      <w:pPr>
        <w:spacing w:after="0" w:line="240" w:lineRule="auto"/>
        <w:rPr>
          <w:rFonts w:ascii="Arial" w:eastAsia="Calibri" w:hAnsi="Arial" w:cs="Arial"/>
          <w:sz w:val="22"/>
          <w:lang w:val="es-CO"/>
        </w:rPr>
      </w:pPr>
    </w:p>
    <w:p w14:paraId="6316E3D6" w14:textId="6FFD8B85" w:rsidR="00FE0395" w:rsidRPr="00F176B9" w:rsidRDefault="00904CD9" w:rsidP="00F176B9">
      <w:pPr>
        <w:spacing w:after="0" w:line="240" w:lineRule="auto"/>
        <w:rPr>
          <w:rFonts w:ascii="Arial" w:hAnsi="Arial" w:cs="Arial"/>
          <w:sz w:val="22"/>
          <w:lang w:val="es-CO"/>
        </w:rPr>
      </w:pPr>
      <w:r w:rsidRPr="00F176B9">
        <w:rPr>
          <w:rFonts w:ascii="Arial" w:eastAsia="Calibri" w:hAnsi="Arial" w:cs="Arial"/>
          <w:sz w:val="22"/>
          <w:lang w:val="es-CO"/>
        </w:rPr>
        <w:t xml:space="preserve">                                            </w:t>
      </w:r>
      <w:r w:rsidRPr="00F176B9">
        <w:rPr>
          <w:rFonts w:ascii="Arial" w:eastAsia="Calibri" w:hAnsi="Arial" w:cs="Arial"/>
          <w:b/>
          <w:sz w:val="22"/>
          <w:lang w:val="es-CO"/>
        </w:rPr>
        <w:t>Concepto C –</w:t>
      </w:r>
      <w:r w:rsidR="000E190F" w:rsidRPr="00F176B9">
        <w:rPr>
          <w:rFonts w:ascii="Arial" w:eastAsia="Calibri" w:hAnsi="Arial" w:cs="Arial"/>
          <w:b/>
          <w:sz w:val="22"/>
          <w:lang w:val="es-CO"/>
        </w:rPr>
        <w:t xml:space="preserve"> </w:t>
      </w:r>
      <w:r w:rsidR="00BE62F9">
        <w:rPr>
          <w:rFonts w:ascii="Arial" w:eastAsia="Calibri" w:hAnsi="Arial" w:cs="Arial"/>
          <w:b/>
          <w:sz w:val="22"/>
          <w:lang w:val="es-CO"/>
        </w:rPr>
        <w:t>251</w:t>
      </w:r>
      <w:r w:rsidR="00DA4FD9" w:rsidRPr="00F176B9">
        <w:rPr>
          <w:rFonts w:ascii="Arial" w:eastAsia="Calibri" w:hAnsi="Arial" w:cs="Arial"/>
          <w:b/>
          <w:sz w:val="22"/>
          <w:lang w:val="es-CO"/>
        </w:rPr>
        <w:t xml:space="preserve"> </w:t>
      </w:r>
      <w:r w:rsidR="00285D82" w:rsidRPr="00F176B9">
        <w:rPr>
          <w:rFonts w:ascii="Arial" w:eastAsia="Calibri" w:hAnsi="Arial" w:cs="Arial"/>
          <w:b/>
          <w:sz w:val="22"/>
          <w:lang w:val="es-CO"/>
        </w:rPr>
        <w:t>de 202</w:t>
      </w:r>
      <w:r w:rsidR="001640BC" w:rsidRPr="00F176B9">
        <w:rPr>
          <w:rFonts w:ascii="Arial" w:eastAsia="Calibri" w:hAnsi="Arial" w:cs="Arial"/>
          <w:b/>
          <w:sz w:val="22"/>
          <w:lang w:val="es-CO"/>
        </w:rPr>
        <w:t>2</w:t>
      </w:r>
      <w:r w:rsidR="00B346CC" w:rsidRPr="00F176B9">
        <w:rPr>
          <w:rFonts w:ascii="Arial" w:hAnsi="Arial" w:cs="Arial"/>
          <w:sz w:val="22"/>
          <w:lang w:val="es-CO"/>
        </w:rPr>
        <w:t xml:space="preserve"> </w:t>
      </w:r>
    </w:p>
    <w:p w14:paraId="4736A594" w14:textId="77777777" w:rsidR="00303D47" w:rsidRPr="00F176B9" w:rsidRDefault="00303D47" w:rsidP="00F176B9">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F176B9" w:rsidRPr="00F176B9" w14:paraId="1701BC3D" w14:textId="77777777" w:rsidTr="000641BE">
        <w:trPr>
          <w:trHeight w:val="485"/>
        </w:trPr>
        <w:tc>
          <w:tcPr>
            <w:tcW w:w="2689" w:type="dxa"/>
            <w:hideMark/>
          </w:tcPr>
          <w:p w14:paraId="69F7D7B9" w14:textId="77777777" w:rsidR="00714833" w:rsidRPr="00F176B9" w:rsidRDefault="00714833" w:rsidP="00F176B9">
            <w:pPr>
              <w:contextualSpacing/>
              <w:rPr>
                <w:rFonts w:ascii="Arial" w:eastAsia="Calibri" w:hAnsi="Arial" w:cs="Arial"/>
                <w:noProof/>
                <w:sz w:val="22"/>
                <w:lang w:val="es-ES_tradnl"/>
              </w:rPr>
            </w:pPr>
            <w:r w:rsidRPr="00F176B9">
              <w:rPr>
                <w:rFonts w:ascii="Arial" w:eastAsia="Calibri" w:hAnsi="Arial" w:cs="Arial"/>
                <w:b/>
                <w:noProof/>
                <w:sz w:val="22"/>
                <w:lang w:val="es-ES_tradnl"/>
              </w:rPr>
              <w:t>Temas:</w:t>
            </w:r>
            <w:r w:rsidRPr="00F176B9">
              <w:rPr>
                <w:rFonts w:ascii="Arial" w:eastAsia="Calibri" w:hAnsi="Arial" w:cs="Arial"/>
                <w:noProof/>
                <w:sz w:val="22"/>
                <w:lang w:val="es-ES_tradnl"/>
              </w:rPr>
              <w:t xml:space="preserve">        </w:t>
            </w:r>
          </w:p>
        </w:tc>
        <w:tc>
          <w:tcPr>
            <w:tcW w:w="6237" w:type="dxa"/>
            <w:hideMark/>
          </w:tcPr>
          <w:p w14:paraId="6A77440D" w14:textId="77392D9A" w:rsidR="00AC1839" w:rsidRPr="00F176B9" w:rsidRDefault="00AC1839" w:rsidP="00F176B9">
            <w:pPr>
              <w:spacing w:after="120"/>
              <w:ind w:right="703"/>
              <w:jc w:val="both"/>
              <w:rPr>
                <w:rFonts w:ascii="Arial" w:eastAsia="Calibri" w:hAnsi="Arial" w:cs="Arial"/>
                <w:bCs/>
                <w:sz w:val="22"/>
              </w:rPr>
            </w:pPr>
            <w:r w:rsidRPr="00F176B9">
              <w:rPr>
                <w:rFonts w:ascii="Arial" w:eastAsia="Calibri" w:hAnsi="Arial" w:cs="Arial"/>
                <w:bCs/>
                <w:sz w:val="22"/>
              </w:rPr>
              <w:t xml:space="preserve">LEY DE GARANTÍAS ELECTORALES ‒ Tipos de restricciones ‒ Ámbito temporal / LEY DE GARANTÍAS ELECTORALES ─ Prohibición ‒ Contratación directa ‒ Alcance – Excepciones / LEY DE GARANTÍAS ELECTORALES ‒ Prohibición del artículo 33 ‒ Destinatarios </w:t>
            </w:r>
            <w:r w:rsidR="0053557D" w:rsidRPr="00F176B9">
              <w:rPr>
                <w:rFonts w:ascii="Arial" w:eastAsia="Calibri" w:hAnsi="Arial" w:cs="Arial"/>
                <w:bCs/>
                <w:sz w:val="22"/>
              </w:rPr>
              <w:t>/ LEY DE GARANTÍAS ELECTORALES ‒ Restricciones – Artículos 33 y 38 de la Ley de Garantías – Convenios de asociación</w:t>
            </w:r>
          </w:p>
          <w:p w14:paraId="641BBBD5" w14:textId="7C7AA2BA" w:rsidR="00714833" w:rsidRPr="00F176B9" w:rsidRDefault="00714833" w:rsidP="00F176B9">
            <w:pPr>
              <w:spacing w:after="120"/>
              <w:rPr>
                <w:rFonts w:ascii="Arial" w:eastAsia="Calibri" w:hAnsi="Arial" w:cs="Arial"/>
                <w:bCs/>
                <w:sz w:val="22"/>
              </w:rPr>
            </w:pPr>
          </w:p>
        </w:tc>
      </w:tr>
      <w:tr w:rsidR="00B66D78" w:rsidRPr="00F176B9" w14:paraId="4074FCE6" w14:textId="77777777" w:rsidTr="000641BE">
        <w:tc>
          <w:tcPr>
            <w:tcW w:w="2689" w:type="dxa"/>
          </w:tcPr>
          <w:p w14:paraId="389F2C2E" w14:textId="77777777" w:rsidR="00FE0395" w:rsidRPr="00F176B9" w:rsidRDefault="00FE0395" w:rsidP="00F176B9">
            <w:pPr>
              <w:contextualSpacing/>
              <w:rPr>
                <w:rFonts w:ascii="Arial" w:eastAsia="Calibri" w:hAnsi="Arial" w:cs="Arial"/>
                <w:b/>
                <w:noProof/>
                <w:sz w:val="22"/>
                <w:lang w:val="es-ES_tradnl"/>
              </w:rPr>
            </w:pPr>
            <w:r w:rsidRPr="00F176B9">
              <w:rPr>
                <w:rFonts w:ascii="Arial" w:eastAsia="Calibri" w:hAnsi="Arial" w:cs="Arial"/>
                <w:b/>
                <w:noProof/>
                <w:sz w:val="22"/>
                <w:lang w:val="es-ES_tradnl"/>
              </w:rPr>
              <w:t>Radicación:</w:t>
            </w:r>
            <w:r w:rsidRPr="00F176B9">
              <w:rPr>
                <w:rFonts w:ascii="Arial" w:eastAsia="Calibri" w:hAnsi="Arial" w:cs="Arial"/>
                <w:noProof/>
                <w:sz w:val="22"/>
                <w:lang w:val="es-ES_tradnl"/>
              </w:rPr>
              <w:t xml:space="preserve">                              </w:t>
            </w:r>
          </w:p>
        </w:tc>
        <w:tc>
          <w:tcPr>
            <w:tcW w:w="6237" w:type="dxa"/>
          </w:tcPr>
          <w:p w14:paraId="290F0664" w14:textId="1610CF90" w:rsidR="00FE0395" w:rsidRPr="00F176B9" w:rsidRDefault="00FE0395" w:rsidP="00F176B9">
            <w:pPr>
              <w:contextualSpacing/>
              <w:jc w:val="both"/>
              <w:rPr>
                <w:rFonts w:ascii="Arial" w:eastAsia="Calibri" w:hAnsi="Arial" w:cs="Arial"/>
                <w:noProof/>
                <w:sz w:val="22"/>
                <w:lang w:val="es-ES_tradnl"/>
              </w:rPr>
            </w:pPr>
            <w:r w:rsidRPr="00F176B9">
              <w:rPr>
                <w:rFonts w:ascii="Arial" w:eastAsia="Calibri" w:hAnsi="Arial" w:cs="Arial"/>
                <w:noProof/>
                <w:sz w:val="22"/>
                <w:lang w:val="es-ES_tradnl"/>
              </w:rPr>
              <w:t xml:space="preserve">Respuesta a consulta </w:t>
            </w:r>
            <w:r w:rsidR="004653E7" w:rsidRPr="00F176B9">
              <w:rPr>
                <w:rFonts w:ascii="Arial" w:eastAsia="Calibri" w:hAnsi="Arial" w:cs="Arial"/>
                <w:noProof/>
                <w:sz w:val="22"/>
                <w:lang w:val="es-ES_tradnl"/>
              </w:rPr>
              <w:t>P2022</w:t>
            </w:r>
            <w:r w:rsidR="00E91203">
              <w:rPr>
                <w:rFonts w:ascii="Arial" w:eastAsia="Calibri" w:hAnsi="Arial" w:cs="Arial"/>
                <w:noProof/>
                <w:sz w:val="22"/>
                <w:lang w:val="es-ES_tradnl"/>
              </w:rPr>
              <w:t>0317002696</w:t>
            </w:r>
          </w:p>
        </w:tc>
      </w:tr>
    </w:tbl>
    <w:p w14:paraId="0CB3D4D0" w14:textId="77777777" w:rsidR="00FE0395" w:rsidRPr="00F176B9" w:rsidRDefault="00FE0395" w:rsidP="00F176B9">
      <w:pPr>
        <w:spacing w:after="0" w:line="240" w:lineRule="auto"/>
        <w:rPr>
          <w:rFonts w:ascii="Arial" w:eastAsia="Calibri" w:hAnsi="Arial" w:cs="Arial"/>
          <w:sz w:val="22"/>
          <w:lang w:val="es-CO"/>
        </w:rPr>
      </w:pPr>
    </w:p>
    <w:p w14:paraId="3C6248D2" w14:textId="77777777" w:rsidR="00F246FE" w:rsidRPr="00F176B9" w:rsidRDefault="00F246FE" w:rsidP="00F176B9">
      <w:pPr>
        <w:spacing w:after="0" w:line="240" w:lineRule="auto"/>
        <w:rPr>
          <w:rFonts w:ascii="Arial" w:eastAsia="Calibri" w:hAnsi="Arial" w:cs="Arial"/>
          <w:sz w:val="22"/>
          <w:lang w:val="es-CO"/>
        </w:rPr>
      </w:pPr>
    </w:p>
    <w:p w14:paraId="0ADE9D41" w14:textId="6DC2EC37" w:rsidR="00990612" w:rsidRPr="00F176B9" w:rsidRDefault="00990612" w:rsidP="00F176B9">
      <w:pPr>
        <w:spacing w:after="0"/>
        <w:rPr>
          <w:rFonts w:ascii="Arial" w:eastAsia="Calibri" w:hAnsi="Arial" w:cs="Arial"/>
          <w:sz w:val="22"/>
          <w:lang w:val="es-CO"/>
        </w:rPr>
      </w:pPr>
      <w:r w:rsidRPr="00F176B9">
        <w:rPr>
          <w:rFonts w:ascii="Arial" w:eastAsia="Calibri" w:hAnsi="Arial" w:cs="Arial"/>
          <w:sz w:val="22"/>
          <w:lang w:val="es-CO"/>
        </w:rPr>
        <w:t>Estimad</w:t>
      </w:r>
      <w:r w:rsidR="001260C4">
        <w:rPr>
          <w:rFonts w:ascii="Arial" w:eastAsia="Calibri" w:hAnsi="Arial" w:cs="Arial"/>
          <w:sz w:val="22"/>
          <w:lang w:val="es-CO"/>
        </w:rPr>
        <w:t>os</w:t>
      </w:r>
      <w:r w:rsidR="009D7290" w:rsidRPr="00F176B9">
        <w:rPr>
          <w:rFonts w:ascii="Arial" w:eastAsia="Calibri" w:hAnsi="Arial" w:cs="Arial"/>
          <w:sz w:val="22"/>
          <w:lang w:val="es-CO"/>
        </w:rPr>
        <w:t xml:space="preserve"> </w:t>
      </w:r>
      <w:r w:rsidR="004653E7" w:rsidRPr="00F176B9">
        <w:rPr>
          <w:rFonts w:ascii="Arial" w:eastAsia="Calibri" w:hAnsi="Arial" w:cs="Arial"/>
          <w:sz w:val="22"/>
          <w:lang w:val="es-CO"/>
        </w:rPr>
        <w:t>señor</w:t>
      </w:r>
      <w:r w:rsidR="001260C4">
        <w:rPr>
          <w:rFonts w:ascii="Arial" w:eastAsia="Calibri" w:hAnsi="Arial" w:cs="Arial"/>
          <w:sz w:val="22"/>
          <w:lang w:val="es-CO"/>
        </w:rPr>
        <w:t>es</w:t>
      </w:r>
      <w:r w:rsidR="001640BC" w:rsidRPr="00F176B9">
        <w:rPr>
          <w:rFonts w:ascii="Arial" w:eastAsia="Calibri" w:hAnsi="Arial" w:cs="Arial"/>
          <w:sz w:val="22"/>
          <w:lang w:val="es-CO"/>
        </w:rPr>
        <w:t xml:space="preserve"> </w:t>
      </w:r>
      <w:r w:rsidR="001260C4">
        <w:rPr>
          <w:rFonts w:ascii="Arial" w:eastAsia="Calibri" w:hAnsi="Arial" w:cs="Arial"/>
          <w:sz w:val="22"/>
          <w:lang w:val="es-CO"/>
        </w:rPr>
        <w:t>Veedores Huila</w:t>
      </w:r>
    </w:p>
    <w:p w14:paraId="19436ABB" w14:textId="77777777" w:rsidR="00990612" w:rsidRPr="00F176B9" w:rsidRDefault="00990612" w:rsidP="00F176B9">
      <w:pPr>
        <w:spacing w:after="0"/>
        <w:ind w:firstLine="709"/>
        <w:rPr>
          <w:rFonts w:ascii="Arial" w:eastAsia="Calibri" w:hAnsi="Arial" w:cs="Arial"/>
          <w:sz w:val="22"/>
          <w:lang w:val="es-CO"/>
        </w:rPr>
      </w:pPr>
    </w:p>
    <w:p w14:paraId="4A62508A" w14:textId="42B55542" w:rsidR="00990612" w:rsidRPr="00F176B9" w:rsidRDefault="00990612" w:rsidP="00F176B9">
      <w:pPr>
        <w:spacing w:after="0"/>
        <w:ind w:right="51"/>
        <w:rPr>
          <w:rFonts w:ascii="Arial" w:eastAsia="Calibri" w:hAnsi="Arial" w:cs="Arial"/>
          <w:sz w:val="22"/>
          <w:lang w:val="es-CO"/>
        </w:rPr>
      </w:pPr>
      <w:r w:rsidRPr="00F176B9">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F176B9">
        <w:rPr>
          <w:rFonts w:ascii="Arial" w:eastAsia="Calibri" w:hAnsi="Arial" w:cs="Arial"/>
          <w:sz w:val="22"/>
          <w:lang w:val="es-CO"/>
        </w:rPr>
        <w:t xml:space="preserve"> responde</w:t>
      </w:r>
      <w:r w:rsidRPr="00F176B9">
        <w:rPr>
          <w:rFonts w:ascii="Arial" w:eastAsia="Calibri" w:hAnsi="Arial" w:cs="Arial"/>
          <w:sz w:val="22"/>
          <w:lang w:val="es-CO"/>
        </w:rPr>
        <w:t xml:space="preserve"> la consulta </w:t>
      </w:r>
      <w:r w:rsidR="00FE65B4" w:rsidRPr="00F176B9">
        <w:rPr>
          <w:rFonts w:ascii="Arial" w:eastAsia="Calibri" w:hAnsi="Arial" w:cs="Arial"/>
          <w:sz w:val="22"/>
          <w:lang w:val="es-CO"/>
        </w:rPr>
        <w:t xml:space="preserve">radicada </w:t>
      </w:r>
      <w:r w:rsidRPr="00F176B9">
        <w:rPr>
          <w:rFonts w:ascii="Arial" w:eastAsia="Calibri" w:hAnsi="Arial" w:cs="Arial"/>
          <w:sz w:val="22"/>
          <w:lang w:val="es-CO"/>
        </w:rPr>
        <w:t xml:space="preserve">el </w:t>
      </w:r>
      <w:r w:rsidR="004653E7" w:rsidRPr="00F176B9">
        <w:rPr>
          <w:rFonts w:ascii="Arial" w:eastAsia="Calibri" w:hAnsi="Arial" w:cs="Arial"/>
          <w:sz w:val="22"/>
          <w:lang w:val="es-CO"/>
        </w:rPr>
        <w:t>1</w:t>
      </w:r>
      <w:r w:rsidR="00817DDD">
        <w:rPr>
          <w:rFonts w:ascii="Arial" w:eastAsia="Calibri" w:hAnsi="Arial" w:cs="Arial"/>
          <w:sz w:val="22"/>
          <w:lang w:val="es-CO"/>
        </w:rPr>
        <w:t>6</w:t>
      </w:r>
      <w:r w:rsidR="00975490" w:rsidRPr="00F176B9">
        <w:rPr>
          <w:rFonts w:ascii="Arial" w:eastAsia="Calibri" w:hAnsi="Arial" w:cs="Arial"/>
          <w:sz w:val="22"/>
          <w:lang w:val="es-CO"/>
        </w:rPr>
        <w:t xml:space="preserve"> de </w:t>
      </w:r>
      <w:r w:rsidR="00384041">
        <w:rPr>
          <w:rFonts w:ascii="Arial" w:eastAsia="Calibri" w:hAnsi="Arial" w:cs="Arial"/>
          <w:sz w:val="22"/>
          <w:lang w:val="es-CO"/>
        </w:rPr>
        <w:t>marzo</w:t>
      </w:r>
      <w:r w:rsidR="00E3568A" w:rsidRPr="00F176B9">
        <w:rPr>
          <w:rFonts w:ascii="Arial" w:eastAsia="Calibri" w:hAnsi="Arial" w:cs="Arial"/>
          <w:sz w:val="22"/>
          <w:lang w:val="es-CO"/>
        </w:rPr>
        <w:t xml:space="preserve"> </w:t>
      </w:r>
      <w:r w:rsidRPr="00F176B9">
        <w:rPr>
          <w:rFonts w:ascii="Arial" w:eastAsia="Calibri" w:hAnsi="Arial" w:cs="Arial"/>
          <w:sz w:val="22"/>
          <w:lang w:val="es-CO"/>
        </w:rPr>
        <w:t>de 202</w:t>
      </w:r>
      <w:r w:rsidR="004653E7" w:rsidRPr="00F176B9">
        <w:rPr>
          <w:rFonts w:ascii="Arial" w:eastAsia="Calibri" w:hAnsi="Arial" w:cs="Arial"/>
          <w:sz w:val="22"/>
          <w:lang w:val="es-CO"/>
        </w:rPr>
        <w:t>2</w:t>
      </w:r>
      <w:r w:rsidRPr="00F176B9">
        <w:rPr>
          <w:rFonts w:ascii="Arial" w:eastAsia="Calibri" w:hAnsi="Arial" w:cs="Arial"/>
          <w:sz w:val="22"/>
          <w:lang w:val="es-CO"/>
        </w:rPr>
        <w:t xml:space="preserve">. </w:t>
      </w:r>
    </w:p>
    <w:p w14:paraId="6512D341" w14:textId="77777777" w:rsidR="00303D47" w:rsidRPr="00F176B9" w:rsidRDefault="00303D47" w:rsidP="00F176B9">
      <w:pPr>
        <w:spacing w:after="0"/>
        <w:rPr>
          <w:rFonts w:ascii="Arial" w:eastAsia="Calibri" w:hAnsi="Arial" w:cs="Arial"/>
          <w:sz w:val="22"/>
          <w:lang w:val="es-CO"/>
        </w:rPr>
      </w:pPr>
    </w:p>
    <w:p w14:paraId="3B0D1063" w14:textId="4937E09D" w:rsidR="005A114C" w:rsidRPr="00F176B9"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t xml:space="preserve">1. </w:t>
      </w:r>
      <w:r w:rsidR="00990612" w:rsidRPr="00F176B9">
        <w:rPr>
          <w:rFonts w:ascii="Arial" w:eastAsia="Calibri" w:hAnsi="Arial" w:cs="Arial"/>
          <w:b/>
          <w:sz w:val="22"/>
          <w:lang w:val="es-CO"/>
        </w:rPr>
        <w:t>Problema</w:t>
      </w:r>
      <w:r w:rsidR="004652E5" w:rsidRPr="00F176B9">
        <w:rPr>
          <w:rFonts w:ascii="Arial" w:eastAsia="Calibri" w:hAnsi="Arial" w:cs="Arial"/>
          <w:b/>
          <w:sz w:val="22"/>
          <w:lang w:val="es-CO"/>
        </w:rPr>
        <w:t>s</w:t>
      </w:r>
      <w:r w:rsidR="00990612" w:rsidRPr="00F176B9">
        <w:rPr>
          <w:rFonts w:ascii="Arial" w:eastAsia="Calibri" w:hAnsi="Arial" w:cs="Arial"/>
          <w:b/>
          <w:sz w:val="22"/>
          <w:lang w:val="es-CO"/>
        </w:rPr>
        <w:t xml:space="preserve"> planteado</w:t>
      </w:r>
      <w:r w:rsidR="004652E5" w:rsidRPr="00F176B9">
        <w:rPr>
          <w:rFonts w:ascii="Arial" w:eastAsia="Calibri" w:hAnsi="Arial" w:cs="Arial"/>
          <w:b/>
          <w:sz w:val="22"/>
          <w:lang w:val="es-CO"/>
        </w:rPr>
        <w:t>s</w:t>
      </w:r>
      <w:r w:rsidR="00990612" w:rsidRPr="00F176B9">
        <w:rPr>
          <w:rFonts w:ascii="Arial" w:eastAsia="Calibri" w:hAnsi="Arial" w:cs="Arial"/>
          <w:b/>
          <w:sz w:val="22"/>
          <w:lang w:val="es-CO"/>
        </w:rPr>
        <w:t xml:space="preserve"> </w:t>
      </w:r>
    </w:p>
    <w:p w14:paraId="2FBDB7F6" w14:textId="77777777" w:rsidR="005A114C" w:rsidRPr="007B78B9" w:rsidRDefault="005A114C" w:rsidP="00F176B9">
      <w:pPr>
        <w:pStyle w:val="Prrafodelista"/>
        <w:tabs>
          <w:tab w:val="left" w:pos="284"/>
        </w:tabs>
        <w:spacing w:after="0"/>
        <w:ind w:left="0" w:firstLine="709"/>
        <w:rPr>
          <w:rFonts w:ascii="Arial" w:eastAsia="Calibri" w:hAnsi="Arial" w:cs="Arial"/>
          <w:b/>
          <w:sz w:val="18"/>
          <w:szCs w:val="18"/>
          <w:lang w:val="es-CO"/>
        </w:rPr>
      </w:pPr>
    </w:p>
    <w:p w14:paraId="6639328B" w14:textId="260BA123" w:rsidR="00714833" w:rsidRPr="007D1FD8" w:rsidRDefault="004653E7" w:rsidP="00F176B9">
      <w:pPr>
        <w:autoSpaceDE w:val="0"/>
        <w:autoSpaceDN w:val="0"/>
        <w:adjustRightInd w:val="0"/>
        <w:spacing w:after="0"/>
        <w:rPr>
          <w:rFonts w:ascii="Arial" w:hAnsi="Arial" w:cs="Arial"/>
          <w:sz w:val="21"/>
          <w:szCs w:val="21"/>
          <w:lang w:val="es-CO"/>
        </w:rPr>
      </w:pPr>
      <w:bookmarkStart w:id="7" w:name="_Hlk58917991"/>
      <w:bookmarkStart w:id="8" w:name="_Hlk56103000"/>
      <w:r w:rsidRPr="00F176B9">
        <w:rPr>
          <w:rFonts w:ascii="Arial" w:hAnsi="Arial" w:cs="Arial"/>
          <w:sz w:val="22"/>
        </w:rPr>
        <w:t xml:space="preserve">Usted realiza </w:t>
      </w:r>
      <w:r w:rsidR="00C67716">
        <w:rPr>
          <w:rFonts w:ascii="Arial" w:hAnsi="Arial" w:cs="Arial"/>
          <w:sz w:val="22"/>
        </w:rPr>
        <w:t xml:space="preserve">la siguiente </w:t>
      </w:r>
      <w:r w:rsidRPr="00F176B9">
        <w:rPr>
          <w:rFonts w:ascii="Arial" w:hAnsi="Arial" w:cs="Arial"/>
          <w:sz w:val="22"/>
        </w:rPr>
        <w:t xml:space="preserve">consulta </w:t>
      </w:r>
      <w:r w:rsidR="0067388D" w:rsidRPr="00F176B9">
        <w:rPr>
          <w:rFonts w:ascii="Arial" w:hAnsi="Arial" w:cs="Arial"/>
          <w:sz w:val="22"/>
        </w:rPr>
        <w:t>sobre el alcance</w:t>
      </w:r>
      <w:r w:rsidR="007D1FD8">
        <w:rPr>
          <w:rFonts w:ascii="Arial" w:hAnsi="Arial" w:cs="Arial"/>
          <w:sz w:val="22"/>
        </w:rPr>
        <w:t xml:space="preserve"> de</w:t>
      </w:r>
      <w:r w:rsidR="0067388D" w:rsidRPr="00F176B9">
        <w:rPr>
          <w:rFonts w:ascii="Arial" w:hAnsi="Arial" w:cs="Arial"/>
          <w:sz w:val="22"/>
        </w:rPr>
        <w:t xml:space="preserve"> las restricciones que en materia contractual contempla la Ley de Garantías Electorales. Al respecto </w:t>
      </w:r>
      <w:r w:rsidR="008C710C" w:rsidRPr="00F176B9">
        <w:rPr>
          <w:rFonts w:ascii="Arial" w:hAnsi="Arial" w:cs="Arial"/>
          <w:sz w:val="22"/>
        </w:rPr>
        <w:t>indaga</w:t>
      </w:r>
      <w:r w:rsidR="008C710C" w:rsidRPr="00F176B9">
        <w:rPr>
          <w:rFonts w:ascii="Arial" w:hAnsi="Arial" w:cs="Arial"/>
          <w:sz w:val="22"/>
          <w:shd w:val="clear" w:color="auto" w:fill="FFFFFF"/>
        </w:rPr>
        <w:t xml:space="preserve">: </w:t>
      </w:r>
      <w:r w:rsidR="008C710C" w:rsidRPr="007D1FD8">
        <w:rPr>
          <w:rFonts w:ascii="Arial" w:hAnsi="Arial" w:cs="Arial"/>
          <w:sz w:val="21"/>
          <w:szCs w:val="21"/>
          <w:shd w:val="clear" w:color="auto" w:fill="FFFFFF"/>
        </w:rPr>
        <w:t>«</w:t>
      </w:r>
      <w:bookmarkStart w:id="9" w:name="_Hlk101815807"/>
      <w:r w:rsidR="007D1FD8" w:rsidRPr="007D1FD8">
        <w:rPr>
          <w:rFonts w:ascii="Arial" w:hAnsi="Arial" w:cs="Arial"/>
          <w:sz w:val="21"/>
          <w:szCs w:val="21"/>
          <w:shd w:val="clear" w:color="auto" w:fill="FFFFFF"/>
        </w:rPr>
        <w:t>Quisiera que me dieron un concepto en término general, en el sentido si en tiempo o ley de garantías se puede suscribir un convenio para hacer el acompañamiento del concurso de Personero, partiendo que dicho convenio se suscribirá bajo cero costos</w:t>
      </w:r>
      <w:r w:rsidR="00265F6D">
        <w:rPr>
          <w:rFonts w:ascii="Arial" w:hAnsi="Arial" w:cs="Arial"/>
          <w:sz w:val="21"/>
          <w:szCs w:val="21"/>
          <w:shd w:val="clear" w:color="auto" w:fill="FFFFFF"/>
        </w:rPr>
        <w:t xml:space="preserve"> (sic)</w:t>
      </w:r>
      <w:r w:rsidR="007D1FD8" w:rsidRPr="007D1FD8">
        <w:rPr>
          <w:rFonts w:ascii="Arial" w:hAnsi="Arial" w:cs="Arial"/>
          <w:sz w:val="21"/>
          <w:szCs w:val="21"/>
          <w:shd w:val="clear" w:color="auto" w:fill="FFFFFF"/>
        </w:rPr>
        <w:t>, por lo tanto no hay recursos públicos</w:t>
      </w:r>
      <w:bookmarkEnd w:id="9"/>
      <w:r w:rsidRPr="007D1FD8">
        <w:rPr>
          <w:rFonts w:ascii="Arial" w:hAnsi="Arial" w:cs="Arial"/>
          <w:sz w:val="21"/>
          <w:szCs w:val="21"/>
        </w:rPr>
        <w:t>»</w:t>
      </w:r>
      <w:r w:rsidR="0067388D" w:rsidRPr="007D1FD8">
        <w:rPr>
          <w:rFonts w:ascii="Arial" w:hAnsi="Arial" w:cs="Arial"/>
          <w:sz w:val="21"/>
          <w:szCs w:val="21"/>
        </w:rPr>
        <w:t>.</w:t>
      </w:r>
    </w:p>
    <w:p w14:paraId="0340A3A7" w14:textId="77777777" w:rsidR="009F3C99" w:rsidRPr="00F176B9" w:rsidRDefault="009F3C99" w:rsidP="00F176B9">
      <w:pPr>
        <w:tabs>
          <w:tab w:val="left" w:pos="426"/>
        </w:tabs>
        <w:spacing w:after="0"/>
        <w:rPr>
          <w:rFonts w:ascii="Arial" w:eastAsia="Calibri" w:hAnsi="Arial" w:cs="Arial"/>
          <w:sz w:val="22"/>
          <w:lang w:val="es-CO"/>
        </w:rPr>
      </w:pPr>
    </w:p>
    <w:bookmarkEnd w:id="7"/>
    <w:bookmarkEnd w:id="8"/>
    <w:p w14:paraId="509ED1DE" w14:textId="5430079E" w:rsidR="005027F0" w:rsidRPr="00F176B9" w:rsidRDefault="002B72C0" w:rsidP="00F176B9">
      <w:pPr>
        <w:tabs>
          <w:tab w:val="left" w:pos="284"/>
        </w:tabs>
        <w:spacing w:after="0"/>
        <w:rPr>
          <w:rFonts w:ascii="Arial" w:eastAsia="Calibri" w:hAnsi="Arial" w:cs="Arial"/>
          <w:b/>
          <w:sz w:val="22"/>
          <w:lang w:val="es-CO"/>
        </w:rPr>
      </w:pPr>
      <w:r w:rsidRPr="00F176B9">
        <w:rPr>
          <w:rFonts w:ascii="Arial" w:eastAsia="Calibri" w:hAnsi="Arial" w:cs="Arial"/>
          <w:b/>
          <w:sz w:val="22"/>
          <w:lang w:val="es-CO"/>
        </w:rPr>
        <w:lastRenderedPageBreak/>
        <w:t xml:space="preserve">2. </w:t>
      </w:r>
      <w:r w:rsidR="00990612" w:rsidRPr="00F176B9">
        <w:rPr>
          <w:rFonts w:ascii="Arial" w:eastAsia="Calibri" w:hAnsi="Arial" w:cs="Arial"/>
          <w:b/>
          <w:sz w:val="22"/>
          <w:lang w:val="es-CO"/>
        </w:rPr>
        <w:t>Consideraciones</w:t>
      </w:r>
    </w:p>
    <w:p w14:paraId="0555C230" w14:textId="77777777" w:rsidR="00C33584" w:rsidRPr="00F176B9" w:rsidRDefault="00C33584" w:rsidP="007B78B9">
      <w:pPr>
        <w:tabs>
          <w:tab w:val="left" w:pos="426"/>
        </w:tabs>
        <w:spacing w:after="0" w:line="240" w:lineRule="auto"/>
        <w:ind w:firstLine="709"/>
        <w:rPr>
          <w:rFonts w:ascii="Arial" w:eastAsia="Calibri" w:hAnsi="Arial" w:cs="Arial"/>
          <w:bCs/>
          <w:sz w:val="22"/>
          <w:lang w:val="es-CO"/>
        </w:rPr>
      </w:pPr>
    </w:p>
    <w:p w14:paraId="0176A018" w14:textId="14D8F761" w:rsidR="00E23B36" w:rsidRPr="00F176B9" w:rsidRDefault="00C33584" w:rsidP="007B78B9">
      <w:pPr>
        <w:spacing w:after="120"/>
        <w:rPr>
          <w:rFonts w:ascii="Arial" w:hAnsi="Arial" w:cs="Arial"/>
          <w:sz w:val="22"/>
          <w:lang w:val="es-ES"/>
        </w:rPr>
      </w:pPr>
      <w:r>
        <w:rPr>
          <w:rFonts w:ascii="Arial" w:hAnsi="Arial" w:cs="Arial"/>
          <w:bCs/>
          <w:sz w:val="22"/>
        </w:rPr>
        <w:t>De conformidad</w:t>
      </w:r>
      <w:r w:rsidR="00E23B36" w:rsidRPr="00F176B9">
        <w:rPr>
          <w:rFonts w:ascii="Arial" w:hAnsi="Arial" w:cs="Arial"/>
          <w:bCs/>
          <w:sz w:val="22"/>
        </w:rPr>
        <w:t xml:space="preserve"> </w:t>
      </w:r>
      <w:r>
        <w:rPr>
          <w:rFonts w:ascii="Arial" w:hAnsi="Arial" w:cs="Arial"/>
          <w:bCs/>
          <w:sz w:val="22"/>
        </w:rPr>
        <w:t>con</w:t>
      </w:r>
      <w:r w:rsidR="00E23B36" w:rsidRPr="00F176B9">
        <w:rPr>
          <w:rFonts w:ascii="Arial" w:hAnsi="Arial" w:cs="Arial"/>
          <w:bCs/>
          <w:sz w:val="22"/>
        </w:rPr>
        <w:t xml:space="preserv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10" w:name="_Hlk61701014"/>
      <w:bookmarkStart w:id="11" w:name="_Hlk62136649"/>
      <w:r>
        <w:rPr>
          <w:rFonts w:ascii="Arial" w:hAnsi="Arial" w:cs="Arial"/>
          <w:sz w:val="22"/>
          <w:lang w:val="es-ES"/>
        </w:rPr>
        <w:t xml:space="preserve"> </w:t>
      </w:r>
      <w:r w:rsidR="00E23B36" w:rsidRPr="00F176B9">
        <w:rPr>
          <w:rFonts w:ascii="Arial" w:hAnsi="Arial" w:cs="Arial"/>
          <w:sz w:val="22"/>
          <w:lang w:val="es-ES"/>
        </w:rPr>
        <w:t xml:space="preserve">Es necesario tener en cuenta que </w:t>
      </w:r>
      <w:bookmarkStart w:id="12" w:name="_Hlk61026958"/>
      <w:r w:rsidR="00E23B36" w:rsidRPr="00F176B9">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00E23B36" w:rsidRPr="00F176B9">
        <w:rPr>
          <w:rFonts w:ascii="Arial" w:hAnsi="Arial" w:cs="Arial"/>
          <w:bCs/>
          <w:sz w:val="22"/>
        </w:rPr>
        <w:t xml:space="preserve"> de todos los partícipes de la contratación estatal.</w:t>
      </w:r>
    </w:p>
    <w:p w14:paraId="3EE87A82" w14:textId="7A7F529B" w:rsidR="00E23B36" w:rsidRPr="00F176B9" w:rsidRDefault="00E23B36" w:rsidP="00F176B9">
      <w:pPr>
        <w:spacing w:after="120"/>
        <w:ind w:firstLine="708"/>
        <w:rPr>
          <w:rFonts w:ascii="Arial" w:hAnsi="Arial" w:cs="Arial"/>
          <w:sz w:val="22"/>
          <w:lang w:val="es-ES"/>
        </w:rPr>
      </w:pPr>
      <w:r w:rsidRPr="00F176B9">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F176B9">
        <w:rPr>
          <w:rFonts w:ascii="Arial" w:hAnsi="Arial" w:cs="Arial"/>
          <w:sz w:val="22"/>
          <w:vertAlign w:val="superscript"/>
          <w:lang w:val="es-ES"/>
        </w:rPr>
        <w:footnoteReference w:id="1"/>
      </w:r>
      <w:r w:rsidRPr="00F176B9">
        <w:rPr>
          <w:rFonts w:ascii="Arial" w:hAnsi="Arial" w:cs="Arial"/>
          <w:sz w:val="22"/>
          <w:lang w:val="es-ES"/>
        </w:rPr>
        <w:t>. Esta competencia de interpretación de normas generales, por definición, no puede extenderse a la resolución de controversias, ni a brindar asesorías sobre casos puntuales</w:t>
      </w:r>
      <w:bookmarkEnd w:id="12"/>
      <w:r w:rsidRPr="00F176B9">
        <w:rPr>
          <w:rFonts w:ascii="Arial" w:hAnsi="Arial" w:cs="Arial"/>
          <w:sz w:val="22"/>
          <w:lang w:val="es-ES"/>
        </w:rPr>
        <w:t>. Por lo anterior, previo concepto de sus órganos asesores, la solución de estos temas corresponde a la entidad que adelanta el procedimiento de selección y, en caso de conflicto, a las autoridades judiciales, fiscales y disciplinarias</w:t>
      </w:r>
      <w:r w:rsidR="006C0B38" w:rsidRPr="00F176B9">
        <w:rPr>
          <w:rFonts w:ascii="Arial" w:hAnsi="Arial" w:cs="Arial"/>
          <w:sz w:val="22"/>
          <w:lang w:val="es-ES"/>
        </w:rPr>
        <w:t>; razón por la cual, corresponde cada entidad estatal definir la viabilidad técnica, jurídica y financiera de celebrar determinado negocio jurídico en específico</w:t>
      </w:r>
      <w:r w:rsidRPr="00F176B9">
        <w:rPr>
          <w:rFonts w:ascii="Arial" w:hAnsi="Arial" w:cs="Arial"/>
          <w:sz w:val="22"/>
          <w:lang w:val="es-ES"/>
        </w:rPr>
        <w:t xml:space="preserve">. </w:t>
      </w:r>
      <w:bookmarkEnd w:id="10"/>
    </w:p>
    <w:bookmarkEnd w:id="11"/>
    <w:p w14:paraId="311C76CA" w14:textId="37AFB47B" w:rsidR="0090765B" w:rsidRPr="00F176B9" w:rsidRDefault="00E23B36" w:rsidP="00F176B9">
      <w:pPr>
        <w:tabs>
          <w:tab w:val="left" w:pos="426"/>
        </w:tabs>
        <w:spacing w:after="120"/>
        <w:rPr>
          <w:rFonts w:ascii="Arial" w:hAnsi="Arial" w:cs="Arial"/>
          <w:bCs/>
          <w:sz w:val="22"/>
        </w:rPr>
      </w:pPr>
      <w:r w:rsidRPr="00F176B9">
        <w:rPr>
          <w:rFonts w:ascii="Arial" w:eastAsia="Calibri" w:hAnsi="Arial" w:cs="Arial"/>
          <w:sz w:val="22"/>
        </w:rPr>
        <w:tab/>
      </w:r>
      <w:r w:rsidRPr="00F176B9">
        <w:rPr>
          <w:rFonts w:ascii="Arial" w:eastAsia="Calibri" w:hAnsi="Arial" w:cs="Arial"/>
          <w:sz w:val="22"/>
        </w:rPr>
        <w:tab/>
        <w:t xml:space="preserve">Sin perjuicio de lo anterior, </w:t>
      </w:r>
      <w:r w:rsidRPr="00F176B9">
        <w:rPr>
          <w:rFonts w:ascii="Arial" w:eastAsia="Calibri" w:hAnsi="Arial" w:cs="Arial"/>
          <w:sz w:val="22"/>
          <w:lang w:val="es-ES"/>
        </w:rPr>
        <w:t>la Agencia –dentro de los límites de sus atribuciones</w:t>
      </w:r>
      <w:r w:rsidR="006C0B38" w:rsidRPr="00F176B9">
        <w:rPr>
          <w:rFonts w:ascii="Arial" w:eastAsia="Calibri" w:hAnsi="Arial" w:cs="Arial"/>
          <w:sz w:val="22"/>
          <w:lang w:val="es-ES"/>
        </w:rPr>
        <w:t>–</w:t>
      </w:r>
      <w:r w:rsidRPr="00F176B9">
        <w:rPr>
          <w:rFonts w:ascii="Arial" w:eastAsia="Calibri" w:hAnsi="Arial" w:cs="Arial"/>
          <w:sz w:val="22"/>
          <w:lang w:val="es-ES"/>
        </w:rPr>
        <w:t xml:space="preserve"> resolverá la consulta conforme a las normas generales en materia de contratación estatal. Con este objetivo se analizarán los siguientes temas</w:t>
      </w:r>
      <w:r w:rsidRPr="000C5BA1">
        <w:rPr>
          <w:rFonts w:ascii="Arial" w:eastAsia="Calibri" w:hAnsi="Arial" w:cs="Arial"/>
          <w:sz w:val="22"/>
          <w:lang w:val="es-ES"/>
        </w:rPr>
        <w:t>:</w:t>
      </w:r>
      <w:r w:rsidR="006C0B38" w:rsidRPr="000C5BA1">
        <w:rPr>
          <w:rFonts w:ascii="Arial" w:hAnsi="Arial" w:cs="Arial"/>
          <w:bCs/>
          <w:sz w:val="22"/>
        </w:rPr>
        <w:t xml:space="preserve"> </w:t>
      </w:r>
      <w:r w:rsidR="00990612" w:rsidRPr="000C5BA1">
        <w:rPr>
          <w:rFonts w:ascii="Arial" w:eastAsia="Calibri" w:hAnsi="Arial" w:cs="Arial"/>
          <w:bCs/>
          <w:sz w:val="22"/>
          <w:lang w:val="es-CO"/>
        </w:rPr>
        <w:t xml:space="preserve">i) </w:t>
      </w:r>
      <w:r w:rsidR="006D4EC2" w:rsidRPr="000C5BA1">
        <w:rPr>
          <w:rFonts w:ascii="Arial" w:eastAsia="Calibri" w:hAnsi="Arial" w:cs="Arial"/>
          <w:bCs/>
          <w:sz w:val="22"/>
          <w:lang w:val="es-CO"/>
        </w:rPr>
        <w:t xml:space="preserve">definición </w:t>
      </w:r>
      <w:r w:rsidR="006D4EC2" w:rsidRPr="000C5BA1">
        <w:rPr>
          <w:rFonts w:ascii="Arial" w:eastAsia="Calibri" w:hAnsi="Arial" w:cs="Arial"/>
          <w:bCs/>
          <w:sz w:val="22"/>
          <w:lang w:val="es-CO"/>
        </w:rPr>
        <w:lastRenderedPageBreak/>
        <w:t>y finalidad de la Ley de Garantías Electorales</w:t>
      </w:r>
      <w:r w:rsidR="0016262F" w:rsidRPr="000C5BA1">
        <w:rPr>
          <w:rFonts w:ascii="Arial" w:eastAsia="Calibri" w:hAnsi="Arial" w:cs="Arial"/>
          <w:bCs/>
          <w:sz w:val="22"/>
          <w:lang w:val="es-CO"/>
        </w:rPr>
        <w:t>,</w:t>
      </w:r>
      <w:r w:rsidR="006D4EC2" w:rsidRPr="000C5BA1">
        <w:rPr>
          <w:rFonts w:ascii="Arial" w:eastAsia="Calibri" w:hAnsi="Arial" w:cs="Arial"/>
          <w:bCs/>
          <w:sz w:val="22"/>
          <w:lang w:val="es-CO"/>
        </w:rPr>
        <w:t xml:space="preserve"> </w:t>
      </w:r>
      <w:proofErr w:type="spellStart"/>
      <w:r w:rsidR="006D4EC2" w:rsidRPr="000C5BA1">
        <w:rPr>
          <w:rFonts w:ascii="Arial" w:eastAsia="Calibri" w:hAnsi="Arial" w:cs="Arial"/>
          <w:bCs/>
          <w:sz w:val="22"/>
          <w:lang w:val="es-CO"/>
        </w:rPr>
        <w:t>ii</w:t>
      </w:r>
      <w:proofErr w:type="spellEnd"/>
      <w:r w:rsidR="006D4EC2" w:rsidRPr="000C5BA1">
        <w:rPr>
          <w:rFonts w:ascii="Arial" w:eastAsia="Calibri" w:hAnsi="Arial" w:cs="Arial"/>
          <w:bCs/>
          <w:sz w:val="22"/>
          <w:lang w:val="es-CO"/>
        </w:rPr>
        <w:t>)</w:t>
      </w:r>
      <w:r w:rsidR="00EB7836" w:rsidRPr="000C5BA1">
        <w:rPr>
          <w:rFonts w:ascii="Arial" w:eastAsia="Calibri" w:hAnsi="Arial" w:cs="Arial"/>
          <w:bCs/>
          <w:sz w:val="22"/>
          <w:lang w:val="es-CO"/>
        </w:rPr>
        <w:t xml:space="preserve"> </w:t>
      </w:r>
      <w:r w:rsidR="008C2BFB" w:rsidRPr="000C5BA1">
        <w:rPr>
          <w:rFonts w:ascii="Arial" w:eastAsia="Calibri" w:hAnsi="Arial" w:cs="Arial"/>
          <w:bCs/>
          <w:sz w:val="22"/>
          <w:lang w:val="es-CO"/>
        </w:rPr>
        <w:t xml:space="preserve">restricciones </w:t>
      </w:r>
      <w:r w:rsidR="008C2BFB" w:rsidRPr="000C5BA1">
        <w:rPr>
          <w:rFonts w:ascii="Arial" w:eastAsia="Calibri" w:hAnsi="Arial" w:cs="Arial"/>
          <w:bCs/>
          <w:sz w:val="22"/>
        </w:rPr>
        <w:t xml:space="preserve">para elecciones </w:t>
      </w:r>
      <w:r w:rsidR="0016262F" w:rsidRPr="000C5BA1">
        <w:rPr>
          <w:rFonts w:ascii="Arial" w:eastAsia="Calibri" w:hAnsi="Arial" w:cs="Arial"/>
          <w:bCs/>
          <w:sz w:val="22"/>
        </w:rPr>
        <w:t>p</w:t>
      </w:r>
      <w:r w:rsidR="008C2BFB" w:rsidRPr="000C5BA1">
        <w:rPr>
          <w:rFonts w:ascii="Arial" w:eastAsia="Calibri" w:hAnsi="Arial" w:cs="Arial"/>
          <w:bCs/>
          <w:sz w:val="22"/>
        </w:rPr>
        <w:t>residenciales</w:t>
      </w:r>
      <w:r w:rsidR="0016262F" w:rsidRPr="000C5BA1">
        <w:rPr>
          <w:rFonts w:ascii="Arial" w:eastAsia="Calibri" w:hAnsi="Arial" w:cs="Arial"/>
          <w:bCs/>
          <w:sz w:val="22"/>
        </w:rPr>
        <w:t>,</w:t>
      </w:r>
      <w:r w:rsidR="008C2BFB" w:rsidRPr="000C5BA1">
        <w:rPr>
          <w:rFonts w:ascii="Arial" w:eastAsia="Calibri" w:hAnsi="Arial" w:cs="Arial"/>
          <w:bCs/>
          <w:sz w:val="22"/>
        </w:rPr>
        <w:t xml:space="preserve"> </w:t>
      </w:r>
      <w:r w:rsidR="007173EA" w:rsidRPr="000C5BA1">
        <w:rPr>
          <w:rFonts w:ascii="Arial" w:eastAsia="Calibri" w:hAnsi="Arial" w:cs="Arial"/>
          <w:bCs/>
          <w:sz w:val="22"/>
        </w:rPr>
        <w:t>i</w:t>
      </w:r>
      <w:r w:rsidR="0016262F" w:rsidRPr="000C5BA1">
        <w:rPr>
          <w:rFonts w:ascii="Arial" w:eastAsia="Calibri" w:hAnsi="Arial" w:cs="Arial"/>
          <w:bCs/>
          <w:sz w:val="22"/>
        </w:rPr>
        <w:t>ii</w:t>
      </w:r>
      <w:r w:rsidR="007173EA" w:rsidRPr="000C5BA1">
        <w:rPr>
          <w:rFonts w:ascii="Arial" w:eastAsia="Calibri" w:hAnsi="Arial" w:cs="Arial"/>
          <w:bCs/>
          <w:sz w:val="22"/>
        </w:rPr>
        <w:t>) destinatarios de la prohibición del artículo 33 de la Ley 996 de 2005</w:t>
      </w:r>
      <w:r w:rsidR="00AF7FCE" w:rsidRPr="000C5BA1">
        <w:rPr>
          <w:rFonts w:ascii="Arial" w:eastAsia="Calibri" w:hAnsi="Arial" w:cs="Arial"/>
          <w:bCs/>
          <w:sz w:val="22"/>
        </w:rPr>
        <w:t>,</w:t>
      </w:r>
      <w:r w:rsidR="007173EA" w:rsidRPr="000C5BA1">
        <w:rPr>
          <w:rFonts w:ascii="Arial" w:eastAsia="Calibri" w:hAnsi="Arial" w:cs="Arial"/>
          <w:bCs/>
          <w:sz w:val="22"/>
        </w:rPr>
        <w:t xml:space="preserve"> </w:t>
      </w:r>
      <w:r w:rsidR="0016262F" w:rsidRPr="000C5BA1">
        <w:rPr>
          <w:rFonts w:ascii="Arial" w:eastAsia="Calibri" w:hAnsi="Arial" w:cs="Arial"/>
          <w:bCs/>
          <w:sz w:val="22"/>
        </w:rPr>
        <w:t>i</w:t>
      </w:r>
      <w:r w:rsidR="007173EA" w:rsidRPr="000C5BA1">
        <w:rPr>
          <w:rFonts w:ascii="Arial" w:eastAsia="Calibri" w:hAnsi="Arial" w:cs="Arial"/>
          <w:bCs/>
          <w:sz w:val="22"/>
        </w:rPr>
        <w:t>v)</w:t>
      </w:r>
      <w:r w:rsidR="004A5B41" w:rsidRPr="000C5BA1">
        <w:rPr>
          <w:rFonts w:ascii="Arial" w:eastAsia="Calibri" w:hAnsi="Arial" w:cs="Arial"/>
          <w:bCs/>
          <w:sz w:val="22"/>
        </w:rPr>
        <w:t xml:space="preserve"> </w:t>
      </w:r>
      <w:r w:rsidR="007173EA" w:rsidRPr="000C5BA1">
        <w:rPr>
          <w:rFonts w:ascii="Arial" w:eastAsia="Calibri" w:hAnsi="Arial" w:cs="Arial"/>
          <w:sz w:val="22"/>
        </w:rPr>
        <w:t xml:space="preserve">restricciones en los comicios </w:t>
      </w:r>
      <w:r w:rsidR="002C09B8" w:rsidRPr="000C5BA1">
        <w:rPr>
          <w:rFonts w:ascii="Arial" w:eastAsia="Calibri" w:hAnsi="Arial" w:cs="Arial"/>
          <w:sz w:val="22"/>
        </w:rPr>
        <w:t>para</w:t>
      </w:r>
      <w:r w:rsidR="007173EA" w:rsidRPr="000C5BA1">
        <w:rPr>
          <w:rFonts w:ascii="Arial" w:eastAsia="Calibri" w:hAnsi="Arial" w:cs="Arial"/>
          <w:sz w:val="22"/>
        </w:rPr>
        <w:t xml:space="preserve"> cargos de elección popular</w:t>
      </w:r>
      <w:bookmarkStart w:id="13" w:name="_Hlk76110351"/>
      <w:r w:rsidR="00480940" w:rsidRPr="000C5BA1">
        <w:rPr>
          <w:rFonts w:ascii="Arial" w:eastAsia="Calibri" w:hAnsi="Arial" w:cs="Arial"/>
          <w:sz w:val="22"/>
        </w:rPr>
        <w:t>,</w:t>
      </w:r>
      <w:r w:rsidR="00265F6D" w:rsidRPr="000C5BA1">
        <w:rPr>
          <w:rFonts w:ascii="Arial" w:eastAsia="Calibri" w:hAnsi="Arial" w:cs="Arial"/>
          <w:sz w:val="22"/>
        </w:rPr>
        <w:t xml:space="preserve"> </w:t>
      </w:r>
      <w:r w:rsidR="00C33584">
        <w:rPr>
          <w:rFonts w:ascii="Arial" w:eastAsia="Calibri" w:hAnsi="Arial" w:cs="Arial"/>
          <w:sz w:val="22"/>
        </w:rPr>
        <w:t>y</w:t>
      </w:r>
      <w:r w:rsidR="00B33C57" w:rsidRPr="000C5BA1">
        <w:rPr>
          <w:rFonts w:ascii="Arial" w:eastAsia="Calibri" w:hAnsi="Arial" w:cs="Arial"/>
          <w:sz w:val="22"/>
        </w:rPr>
        <w:t xml:space="preserve"> </w:t>
      </w:r>
      <w:r w:rsidR="00480940" w:rsidRPr="000C5BA1">
        <w:rPr>
          <w:rFonts w:ascii="Arial" w:eastAsia="Calibri" w:hAnsi="Arial" w:cs="Arial"/>
          <w:sz w:val="22"/>
        </w:rPr>
        <w:t xml:space="preserve">v) </w:t>
      </w:r>
      <w:r w:rsidR="00107244" w:rsidRPr="000C5BA1">
        <w:rPr>
          <w:rFonts w:ascii="Arial" w:eastAsia="Calibri" w:hAnsi="Arial" w:cs="Arial"/>
          <w:sz w:val="22"/>
          <w:lang w:bidi="es-ES"/>
        </w:rPr>
        <w:t>restricciones de la Ley de Garantías en</w:t>
      </w:r>
      <w:r w:rsidR="00107244" w:rsidRPr="00F176B9">
        <w:rPr>
          <w:rFonts w:ascii="Arial" w:eastAsia="Calibri" w:hAnsi="Arial" w:cs="Arial"/>
          <w:sz w:val="22"/>
          <w:lang w:bidi="es-ES"/>
        </w:rPr>
        <w:t xml:space="preserve"> los contratos de colaboración y convenios de asociación con entidades privadas sin ánimo de lucro</w:t>
      </w:r>
      <w:r w:rsidR="00C33584">
        <w:rPr>
          <w:rFonts w:ascii="Arial" w:eastAsia="Calibri" w:hAnsi="Arial" w:cs="Arial"/>
          <w:sz w:val="22"/>
          <w:lang w:bidi="es-ES"/>
        </w:rPr>
        <w:t>.</w:t>
      </w:r>
      <w:r w:rsidR="00B33C57">
        <w:rPr>
          <w:rFonts w:ascii="Arial" w:eastAsia="Calibri" w:hAnsi="Arial" w:cs="Arial"/>
          <w:sz w:val="22"/>
          <w:lang w:bidi="es-ES"/>
        </w:rPr>
        <w:t xml:space="preserve"> </w:t>
      </w:r>
      <w:bookmarkEnd w:id="13"/>
    </w:p>
    <w:p w14:paraId="1B0A4F73" w14:textId="74FD2AF2" w:rsidR="008F39BD" w:rsidRPr="00F176B9" w:rsidRDefault="008F39BD" w:rsidP="00F176B9">
      <w:pPr>
        <w:tabs>
          <w:tab w:val="left" w:pos="426"/>
        </w:tabs>
        <w:spacing w:after="0"/>
        <w:ind w:firstLine="709"/>
        <w:rPr>
          <w:rFonts w:ascii="Arial" w:eastAsia="Calibri" w:hAnsi="Arial" w:cs="Arial"/>
          <w:bCs/>
          <w:sz w:val="22"/>
          <w:lang w:val="es-CO"/>
        </w:rPr>
      </w:pPr>
      <w:r w:rsidRPr="00F176B9">
        <w:rPr>
          <w:rFonts w:ascii="Arial" w:eastAsia="Calibri" w:hAnsi="Arial" w:cs="Arial"/>
          <w:bCs/>
          <w:sz w:val="22"/>
          <w:lang w:val="es-CO"/>
        </w:rPr>
        <w:t xml:space="preserve">La Agencia Nacional de Contratación Pública </w:t>
      </w:r>
      <w:r w:rsidR="00F91CA6" w:rsidRPr="00F176B9">
        <w:rPr>
          <w:rFonts w:ascii="Arial" w:eastAsia="Calibri" w:hAnsi="Arial" w:cs="Arial"/>
          <w:bCs/>
          <w:sz w:val="22"/>
          <w:lang w:val="es-CO"/>
        </w:rPr>
        <w:t>–</w:t>
      </w:r>
      <w:r w:rsidRPr="00F176B9">
        <w:rPr>
          <w:rFonts w:ascii="Arial" w:eastAsia="Calibri" w:hAnsi="Arial" w:cs="Arial"/>
          <w:bCs/>
          <w:sz w:val="22"/>
          <w:lang w:val="es-CO"/>
        </w:rPr>
        <w:t xml:space="preserve"> Colombia Compra Eficiente </w:t>
      </w:r>
      <w:r w:rsidR="00A56A79" w:rsidRPr="00F176B9">
        <w:rPr>
          <w:rFonts w:ascii="Arial" w:eastAsia="Calibri" w:hAnsi="Arial" w:cs="Arial"/>
          <w:bCs/>
          <w:sz w:val="22"/>
          <w:lang w:val="es-CO"/>
        </w:rPr>
        <w:t>ha impartido lineamientos sobre la</w:t>
      </w:r>
      <w:r w:rsidRPr="00F176B9">
        <w:rPr>
          <w:rFonts w:ascii="Arial" w:eastAsia="Calibri" w:hAnsi="Arial" w:cs="Arial"/>
          <w:bCs/>
          <w:sz w:val="22"/>
          <w:lang w:val="es-CO"/>
        </w:rPr>
        <w:t xml:space="preserve"> </w:t>
      </w:r>
      <w:r w:rsidR="00D05E28" w:rsidRPr="00F176B9">
        <w:rPr>
          <w:rFonts w:ascii="Arial" w:eastAsia="Calibri" w:hAnsi="Arial" w:cs="Arial"/>
          <w:bCs/>
          <w:sz w:val="22"/>
          <w:lang w:val="es-CO"/>
        </w:rPr>
        <w:t>aplicación de la Ley 996 de 2005</w:t>
      </w:r>
      <w:r w:rsidR="00A56A79" w:rsidRPr="00F176B9">
        <w:rPr>
          <w:rFonts w:ascii="Arial" w:eastAsia="Calibri" w:hAnsi="Arial" w:cs="Arial"/>
          <w:bCs/>
          <w:sz w:val="22"/>
          <w:lang w:val="es-CO"/>
        </w:rPr>
        <w:t xml:space="preserve"> y también se ha pronunciado</w:t>
      </w:r>
      <w:r w:rsidRPr="00F176B9">
        <w:rPr>
          <w:rFonts w:ascii="Arial" w:eastAsia="Calibri" w:hAnsi="Arial" w:cs="Arial"/>
          <w:bCs/>
          <w:sz w:val="22"/>
          <w:lang w:val="es-CO"/>
        </w:rPr>
        <w:t xml:space="preserve"> </w:t>
      </w:r>
      <w:r w:rsidR="00735A39" w:rsidRPr="00F176B9">
        <w:rPr>
          <w:rFonts w:ascii="Arial" w:eastAsia="Calibri" w:hAnsi="Arial" w:cs="Arial"/>
          <w:bCs/>
          <w:sz w:val="22"/>
          <w:lang w:val="es-CO"/>
        </w:rPr>
        <w:t>al respecto</w:t>
      </w:r>
      <w:r w:rsidR="004755D2" w:rsidRPr="00F176B9">
        <w:rPr>
          <w:rFonts w:ascii="Arial" w:eastAsia="Calibri" w:hAnsi="Arial" w:cs="Arial"/>
          <w:bCs/>
          <w:sz w:val="22"/>
          <w:lang w:val="es-CO"/>
        </w:rPr>
        <w:t>, entre otros,</w:t>
      </w:r>
      <w:r w:rsidR="00735A39" w:rsidRPr="00F176B9">
        <w:rPr>
          <w:rFonts w:ascii="Arial" w:eastAsia="Calibri" w:hAnsi="Arial" w:cs="Arial"/>
          <w:bCs/>
          <w:sz w:val="22"/>
          <w:lang w:val="es-CO"/>
        </w:rPr>
        <w:t xml:space="preserve"> </w:t>
      </w:r>
      <w:r w:rsidRPr="00F176B9">
        <w:rPr>
          <w:rFonts w:ascii="Arial" w:eastAsia="Calibri" w:hAnsi="Arial" w:cs="Arial"/>
          <w:bCs/>
          <w:sz w:val="22"/>
          <w:lang w:val="es-CO"/>
        </w:rPr>
        <w:t xml:space="preserve">en los </w:t>
      </w:r>
      <w:r w:rsidR="00F91CA6" w:rsidRPr="00F176B9">
        <w:rPr>
          <w:rFonts w:ascii="Arial" w:eastAsia="Calibri" w:hAnsi="Arial" w:cs="Arial"/>
          <w:bCs/>
          <w:sz w:val="22"/>
          <w:lang w:val="es-CO"/>
        </w:rPr>
        <w:t>C</w:t>
      </w:r>
      <w:r w:rsidRPr="00F176B9">
        <w:rPr>
          <w:rFonts w:ascii="Arial" w:eastAsia="Calibri" w:hAnsi="Arial" w:cs="Arial"/>
          <w:bCs/>
          <w:sz w:val="22"/>
          <w:lang w:val="es-CO"/>
        </w:rPr>
        <w:t xml:space="preserve">onceptos </w:t>
      </w:r>
      <w:r w:rsidR="004D1653" w:rsidRPr="00F176B9">
        <w:rPr>
          <w:rFonts w:ascii="Arial" w:eastAsia="Calibri" w:hAnsi="Arial" w:cs="Arial"/>
          <w:bCs/>
          <w:sz w:val="22"/>
          <w:lang w:val="es-CO"/>
        </w:rPr>
        <w:t xml:space="preserve">4201912000004632 del 6 de agosto de 2019, </w:t>
      </w:r>
      <w:r w:rsidR="00A56A79" w:rsidRPr="00F176B9">
        <w:rPr>
          <w:rFonts w:ascii="Arial" w:eastAsia="Calibri" w:hAnsi="Arial" w:cs="Arial"/>
          <w:bCs/>
          <w:sz w:val="22"/>
          <w:lang w:val="es-CO"/>
        </w:rPr>
        <w:t>2201913000005655 del 8 de agosto de 2019,</w:t>
      </w:r>
      <w:r w:rsidR="00735A39" w:rsidRPr="00F176B9">
        <w:rPr>
          <w:rFonts w:ascii="Arial" w:eastAsia="Calibri" w:hAnsi="Arial" w:cs="Arial"/>
          <w:bCs/>
          <w:sz w:val="22"/>
          <w:lang w:val="es-CO"/>
        </w:rPr>
        <w:t xml:space="preserve"> </w:t>
      </w:r>
      <w:r w:rsidR="003767EE" w:rsidRPr="00F176B9">
        <w:rPr>
          <w:rFonts w:ascii="Arial" w:eastAsia="Calibri" w:hAnsi="Arial" w:cs="Arial"/>
          <w:bCs/>
          <w:sz w:val="22"/>
          <w:lang w:val="es-CO"/>
        </w:rPr>
        <w:t>2201913000006283 del 27 de agosto de 2019</w:t>
      </w:r>
      <w:r w:rsidR="00D047D3" w:rsidRPr="00F176B9">
        <w:rPr>
          <w:rFonts w:ascii="Arial" w:eastAsia="Calibri" w:hAnsi="Arial" w:cs="Arial"/>
          <w:bCs/>
          <w:sz w:val="22"/>
          <w:lang w:val="es-CO"/>
        </w:rPr>
        <w:t>, 2201913000006521 del 3 de septiembre de 2019,</w:t>
      </w:r>
      <w:r w:rsidR="00AD2E44" w:rsidRPr="00F176B9">
        <w:rPr>
          <w:rFonts w:ascii="Arial" w:eastAsia="Calibri" w:hAnsi="Arial" w:cs="Arial"/>
          <w:bCs/>
          <w:sz w:val="22"/>
          <w:lang w:val="es-CO"/>
        </w:rPr>
        <w:t xml:space="preserve"> 2201913000006634 del 6 de septiembre de 2019, </w:t>
      </w:r>
      <w:r w:rsidR="004F5F6A" w:rsidRPr="00F176B9">
        <w:rPr>
          <w:rFonts w:ascii="Arial" w:eastAsia="Calibri" w:hAnsi="Arial" w:cs="Arial"/>
          <w:bCs/>
          <w:sz w:val="22"/>
          <w:lang w:val="es-CO"/>
        </w:rPr>
        <w:t xml:space="preserve">2201913000006639 del 9 de septiembre de 2019, </w:t>
      </w:r>
      <w:r w:rsidR="003528F0" w:rsidRPr="00F176B9">
        <w:rPr>
          <w:rFonts w:ascii="Arial" w:eastAsia="Calibri" w:hAnsi="Arial" w:cs="Arial"/>
          <w:bCs/>
          <w:sz w:val="22"/>
          <w:lang w:val="es-CO"/>
        </w:rPr>
        <w:t xml:space="preserve">2201913000007430 del 7 de octubre de 2019, </w:t>
      </w:r>
      <w:r w:rsidR="00C8219B" w:rsidRPr="00F176B9">
        <w:rPr>
          <w:rFonts w:ascii="Arial" w:eastAsia="Calibri" w:hAnsi="Arial" w:cs="Arial"/>
          <w:bCs/>
          <w:sz w:val="22"/>
          <w:lang w:val="es-CO"/>
        </w:rPr>
        <w:t xml:space="preserve">2201913000007565 del 10 de octubre de 2019, </w:t>
      </w:r>
      <w:r w:rsidR="00D63081" w:rsidRPr="00F176B9">
        <w:rPr>
          <w:rFonts w:ascii="Arial" w:eastAsia="Calibri" w:hAnsi="Arial" w:cs="Arial"/>
          <w:bCs/>
          <w:sz w:val="22"/>
          <w:lang w:val="es-CO"/>
        </w:rPr>
        <w:t>2201913000008259 del 6 de noviembre de 2019</w:t>
      </w:r>
      <w:r w:rsidR="00F83810" w:rsidRPr="00F176B9">
        <w:rPr>
          <w:rFonts w:ascii="Arial" w:eastAsia="Calibri" w:hAnsi="Arial" w:cs="Arial"/>
          <w:bCs/>
          <w:sz w:val="22"/>
          <w:lang w:val="es-CO"/>
        </w:rPr>
        <w:t xml:space="preserve">, </w:t>
      </w:r>
      <w:r w:rsidR="00F11CF5" w:rsidRPr="00F176B9">
        <w:rPr>
          <w:rFonts w:ascii="Arial" w:eastAsia="Calibri" w:hAnsi="Arial" w:cs="Arial"/>
          <w:bCs/>
          <w:sz w:val="22"/>
          <w:lang w:val="es-CO"/>
        </w:rPr>
        <w:t>C-</w:t>
      </w:r>
      <w:r w:rsidR="006E6202" w:rsidRPr="00F176B9">
        <w:rPr>
          <w:rFonts w:ascii="Arial" w:eastAsia="Calibri" w:hAnsi="Arial" w:cs="Arial"/>
          <w:bCs/>
          <w:sz w:val="22"/>
          <w:lang w:val="es-CO"/>
        </w:rPr>
        <w:t xml:space="preserve">074 del 17 de marzo de 2021, C-075 del 16 de marzo de 2021, </w:t>
      </w:r>
      <w:r w:rsidR="00F83810" w:rsidRPr="00F176B9">
        <w:rPr>
          <w:rFonts w:ascii="Arial" w:eastAsia="Calibri" w:hAnsi="Arial" w:cs="Arial"/>
          <w:bCs/>
          <w:sz w:val="22"/>
          <w:lang w:val="es-CO"/>
        </w:rPr>
        <w:t>C-227 de 2021</w:t>
      </w:r>
      <w:r w:rsidR="00815027" w:rsidRPr="00F176B9">
        <w:rPr>
          <w:rFonts w:ascii="Arial" w:eastAsia="Calibri" w:hAnsi="Arial" w:cs="Arial"/>
          <w:bCs/>
          <w:sz w:val="22"/>
          <w:lang w:val="es-CO"/>
        </w:rPr>
        <w:t xml:space="preserve"> </w:t>
      </w:r>
      <w:r w:rsidR="00F83810" w:rsidRPr="00F176B9">
        <w:rPr>
          <w:rFonts w:ascii="Arial" w:eastAsia="Calibri" w:hAnsi="Arial" w:cs="Arial"/>
          <w:bCs/>
          <w:sz w:val="22"/>
          <w:lang w:val="es-CO"/>
        </w:rPr>
        <w:t>del 5 de mayo de 2021</w:t>
      </w:r>
      <w:r w:rsidR="00A21624" w:rsidRPr="00F176B9">
        <w:rPr>
          <w:rFonts w:ascii="Arial" w:eastAsia="Calibri" w:hAnsi="Arial" w:cs="Arial"/>
          <w:bCs/>
          <w:sz w:val="22"/>
          <w:lang w:val="es-CO"/>
        </w:rPr>
        <w:t>, C-259 del 2 de junio de 2021,</w:t>
      </w:r>
      <w:r w:rsidR="00AC004D" w:rsidRPr="00F176B9">
        <w:rPr>
          <w:rFonts w:ascii="Arial" w:eastAsia="Calibri" w:hAnsi="Arial" w:cs="Arial"/>
          <w:bCs/>
          <w:sz w:val="22"/>
          <w:lang w:val="es-CO"/>
        </w:rPr>
        <w:t xml:space="preserve"> C-296 del 22 de junio de 2021, C-337 del 13 de julio de 2021, </w:t>
      </w:r>
      <w:r w:rsidR="006D5415" w:rsidRPr="00F176B9">
        <w:rPr>
          <w:rFonts w:ascii="Arial" w:eastAsia="Calibri" w:hAnsi="Arial" w:cs="Arial"/>
          <w:bCs/>
          <w:sz w:val="22"/>
          <w:lang w:val="es-CO"/>
        </w:rPr>
        <w:t xml:space="preserve">C-350 del 16 de julio de 2021, </w:t>
      </w:r>
      <w:r w:rsidR="004832C7" w:rsidRPr="00F176B9">
        <w:rPr>
          <w:rFonts w:ascii="Arial" w:eastAsia="Calibri" w:hAnsi="Arial" w:cs="Arial"/>
          <w:bCs/>
          <w:sz w:val="22"/>
          <w:lang w:val="es-CO"/>
        </w:rPr>
        <w:t xml:space="preserve">C-352 del 27 de julio de 2021, C-374 del </w:t>
      </w:r>
      <w:r w:rsidR="00907E9D" w:rsidRPr="00F176B9">
        <w:rPr>
          <w:rFonts w:ascii="Arial" w:eastAsia="Calibri" w:hAnsi="Arial" w:cs="Arial"/>
          <w:bCs/>
          <w:sz w:val="22"/>
          <w:lang w:val="es-CO"/>
        </w:rPr>
        <w:t>16 de septiembre de 2021, C-381</w:t>
      </w:r>
      <w:r w:rsidR="00C355B4" w:rsidRPr="00F176B9">
        <w:rPr>
          <w:rFonts w:ascii="Arial" w:eastAsia="Calibri" w:hAnsi="Arial" w:cs="Arial"/>
          <w:bCs/>
          <w:sz w:val="22"/>
          <w:lang w:val="es-CO"/>
        </w:rPr>
        <w:t xml:space="preserve"> del 2 de agosto de 2021, C-391 del 11 de agosto de 2021, </w:t>
      </w:r>
      <w:r w:rsidR="00B91CF1" w:rsidRPr="00F176B9">
        <w:rPr>
          <w:rFonts w:ascii="Arial" w:eastAsia="Calibri" w:hAnsi="Arial" w:cs="Arial"/>
          <w:bCs/>
          <w:sz w:val="22"/>
          <w:lang w:val="es-CO"/>
        </w:rPr>
        <w:t xml:space="preserve">C-396 del 13 de agosto de 2021, C-401 del </w:t>
      </w:r>
      <w:r w:rsidR="00B95717" w:rsidRPr="00F176B9">
        <w:rPr>
          <w:rFonts w:ascii="Arial" w:eastAsia="Calibri" w:hAnsi="Arial" w:cs="Arial"/>
          <w:bCs/>
          <w:sz w:val="22"/>
          <w:lang w:val="es-CO"/>
        </w:rPr>
        <w:t>10 de agosto de 2021, C-413 del 17 de agosto de 2021,</w:t>
      </w:r>
      <w:r w:rsidR="00482A4E" w:rsidRPr="00F176B9">
        <w:rPr>
          <w:rFonts w:ascii="Arial" w:eastAsia="Calibri" w:hAnsi="Arial" w:cs="Arial"/>
          <w:bCs/>
          <w:sz w:val="22"/>
          <w:lang w:val="es-CO"/>
        </w:rPr>
        <w:t xml:space="preserve"> C-439 </w:t>
      </w:r>
      <w:r w:rsidR="00937362" w:rsidRPr="00F176B9">
        <w:rPr>
          <w:rFonts w:ascii="Arial" w:eastAsia="Calibri" w:hAnsi="Arial" w:cs="Arial"/>
          <w:bCs/>
          <w:sz w:val="22"/>
          <w:lang w:val="es-CO"/>
        </w:rPr>
        <w:t xml:space="preserve"> del 27 de agosto de 2021, C-456 del </w:t>
      </w:r>
      <w:r w:rsidR="00895AA2" w:rsidRPr="00F176B9">
        <w:rPr>
          <w:rFonts w:ascii="Arial" w:eastAsia="Calibri" w:hAnsi="Arial" w:cs="Arial"/>
          <w:bCs/>
          <w:sz w:val="22"/>
          <w:lang w:val="es-CO"/>
        </w:rPr>
        <w:t xml:space="preserve">3 de septiembre de 2021, C-481 del 98 de septiembre de 2021, </w:t>
      </w:r>
      <w:r w:rsidR="00A23088" w:rsidRPr="00F176B9">
        <w:rPr>
          <w:rFonts w:ascii="Arial" w:eastAsia="Calibri" w:hAnsi="Arial" w:cs="Arial"/>
          <w:bCs/>
          <w:sz w:val="22"/>
          <w:lang w:val="es-CO"/>
        </w:rPr>
        <w:t xml:space="preserve">C-495 del 15 de septiembre de 2021, C-497 del </w:t>
      </w:r>
      <w:r w:rsidR="00D92C46" w:rsidRPr="00F176B9">
        <w:rPr>
          <w:rFonts w:ascii="Arial" w:eastAsia="Calibri" w:hAnsi="Arial" w:cs="Arial"/>
          <w:bCs/>
          <w:sz w:val="22"/>
          <w:lang w:val="es-CO"/>
        </w:rPr>
        <w:t xml:space="preserve">15 de septiembre de 2021, C-499 </w:t>
      </w:r>
      <w:r w:rsidR="00D1440B" w:rsidRPr="00F176B9">
        <w:rPr>
          <w:rFonts w:ascii="Arial" w:eastAsia="Calibri" w:hAnsi="Arial" w:cs="Arial"/>
          <w:bCs/>
          <w:sz w:val="22"/>
          <w:lang w:val="es-CO"/>
        </w:rPr>
        <w:t xml:space="preserve">del 15 de septiembre de 2021, C-523 del 10 de octubre de 2021, </w:t>
      </w:r>
      <w:r w:rsidR="006F0E22" w:rsidRPr="00F176B9">
        <w:rPr>
          <w:rFonts w:ascii="Arial" w:eastAsia="Calibri" w:hAnsi="Arial" w:cs="Arial"/>
          <w:bCs/>
          <w:sz w:val="22"/>
          <w:lang w:val="es-CO"/>
        </w:rPr>
        <w:t xml:space="preserve">C-528 del 27 de septiembre de 2021, C-543 del </w:t>
      </w:r>
      <w:r w:rsidR="002B1BDA" w:rsidRPr="00F176B9">
        <w:rPr>
          <w:rFonts w:ascii="Arial" w:eastAsia="Calibri" w:hAnsi="Arial" w:cs="Arial"/>
          <w:bCs/>
          <w:sz w:val="22"/>
          <w:lang w:val="es-CO"/>
        </w:rPr>
        <w:t xml:space="preserve">9 de </w:t>
      </w:r>
      <w:r w:rsidR="005B373F" w:rsidRPr="00F176B9">
        <w:rPr>
          <w:rFonts w:ascii="Arial" w:eastAsia="Calibri" w:hAnsi="Arial" w:cs="Arial"/>
          <w:bCs/>
          <w:sz w:val="22"/>
          <w:lang w:val="es-CO"/>
        </w:rPr>
        <w:t>noviembre</w:t>
      </w:r>
      <w:r w:rsidR="002B1BDA" w:rsidRPr="00F176B9">
        <w:rPr>
          <w:rFonts w:ascii="Arial" w:eastAsia="Calibri" w:hAnsi="Arial" w:cs="Arial"/>
          <w:bCs/>
          <w:sz w:val="22"/>
          <w:lang w:val="es-CO"/>
        </w:rPr>
        <w:t xml:space="preserve"> de 2021, C-550 del</w:t>
      </w:r>
      <w:r w:rsidR="005B373F" w:rsidRPr="00F176B9">
        <w:rPr>
          <w:rFonts w:ascii="Arial" w:eastAsia="Calibri" w:hAnsi="Arial" w:cs="Arial"/>
          <w:bCs/>
          <w:sz w:val="22"/>
          <w:lang w:val="es-CO"/>
        </w:rPr>
        <w:t xml:space="preserve"> 5 de octubre de 2021, </w:t>
      </w:r>
      <w:r w:rsidR="0059058A" w:rsidRPr="00F176B9">
        <w:rPr>
          <w:rFonts w:ascii="Arial" w:eastAsia="Calibri" w:hAnsi="Arial" w:cs="Arial"/>
          <w:bCs/>
          <w:sz w:val="22"/>
          <w:lang w:val="es-CO"/>
        </w:rPr>
        <w:t xml:space="preserve">C-557 del 7 de octubre de 2021, C-563 del 8 de octubre de 2021, </w:t>
      </w:r>
      <w:r w:rsidR="008E197B" w:rsidRPr="00F176B9">
        <w:rPr>
          <w:rFonts w:ascii="Arial" w:eastAsia="Calibri" w:hAnsi="Arial" w:cs="Arial"/>
          <w:bCs/>
          <w:sz w:val="22"/>
          <w:lang w:val="es-CO"/>
        </w:rPr>
        <w:t>C-606 del 3 de noviembre de 2021, C-614 del 2 de noviembre de 2021, C-</w:t>
      </w:r>
      <w:r w:rsidR="005C4C81" w:rsidRPr="00F176B9">
        <w:rPr>
          <w:rFonts w:ascii="Arial" w:eastAsia="Calibri" w:hAnsi="Arial" w:cs="Arial"/>
          <w:bCs/>
          <w:sz w:val="22"/>
          <w:lang w:val="es-CO"/>
        </w:rPr>
        <w:t>633 del 11 de noviembre de 2021, C-634 del 11 de noviembre de 2021</w:t>
      </w:r>
      <w:r w:rsidR="003630B0" w:rsidRPr="00F176B9">
        <w:rPr>
          <w:rFonts w:ascii="Arial" w:eastAsia="Calibri" w:hAnsi="Arial" w:cs="Arial"/>
          <w:bCs/>
          <w:sz w:val="22"/>
          <w:lang w:val="es-CO"/>
        </w:rPr>
        <w:t>,</w:t>
      </w:r>
      <w:r w:rsidR="005C4C81" w:rsidRPr="00F176B9">
        <w:rPr>
          <w:rFonts w:ascii="Arial" w:eastAsia="Calibri" w:hAnsi="Arial" w:cs="Arial"/>
          <w:bCs/>
          <w:sz w:val="22"/>
          <w:lang w:val="es-CO"/>
        </w:rPr>
        <w:t xml:space="preserve"> C-636 del 16 de noviembre de 2021</w:t>
      </w:r>
      <w:r w:rsidR="003630B0" w:rsidRPr="00F176B9">
        <w:rPr>
          <w:rFonts w:ascii="Arial" w:eastAsia="Calibri" w:hAnsi="Arial" w:cs="Arial"/>
          <w:bCs/>
          <w:sz w:val="22"/>
          <w:lang w:val="es-CO"/>
        </w:rPr>
        <w:t>, C-</w:t>
      </w:r>
      <w:r w:rsidR="00975490" w:rsidRPr="00F176B9">
        <w:rPr>
          <w:rFonts w:ascii="Arial" w:eastAsia="Calibri" w:hAnsi="Arial" w:cs="Arial"/>
          <w:bCs/>
          <w:sz w:val="22"/>
          <w:lang w:val="es-CO"/>
        </w:rPr>
        <w:t>677 del 4 de diciembre de 2021</w:t>
      </w:r>
      <w:r w:rsidR="0067388D" w:rsidRPr="00F176B9">
        <w:rPr>
          <w:rFonts w:ascii="Arial" w:eastAsia="Calibri" w:hAnsi="Arial" w:cs="Arial"/>
          <w:bCs/>
          <w:sz w:val="22"/>
          <w:lang w:val="es-CO"/>
        </w:rPr>
        <w:t>, C-693 del 9 de diciembre de 2021</w:t>
      </w:r>
      <w:r w:rsidR="00AF5644">
        <w:rPr>
          <w:rFonts w:ascii="Arial" w:eastAsia="Calibri" w:hAnsi="Arial" w:cs="Arial"/>
          <w:bCs/>
          <w:sz w:val="22"/>
          <w:lang w:val="es-CO"/>
        </w:rPr>
        <w:t xml:space="preserve">, </w:t>
      </w:r>
      <w:r w:rsidR="00975490" w:rsidRPr="00F176B9">
        <w:rPr>
          <w:rFonts w:ascii="Arial" w:eastAsia="Calibri" w:hAnsi="Arial" w:cs="Arial"/>
          <w:bCs/>
          <w:sz w:val="22"/>
          <w:lang w:val="es-CO"/>
        </w:rPr>
        <w:t>C-695 del 22 de diciembre de 2021</w:t>
      </w:r>
      <w:r w:rsidR="00AF5644">
        <w:rPr>
          <w:rFonts w:ascii="Arial" w:eastAsia="Calibri" w:hAnsi="Arial" w:cs="Arial"/>
          <w:bCs/>
          <w:sz w:val="22"/>
          <w:lang w:val="es-CO"/>
        </w:rPr>
        <w:t xml:space="preserve">, </w:t>
      </w:r>
      <w:r w:rsidR="00AF5644" w:rsidRPr="00AF5644">
        <w:rPr>
          <w:rFonts w:ascii="Arial" w:eastAsia="Calibri" w:hAnsi="Arial" w:cs="Arial"/>
          <w:bCs/>
          <w:sz w:val="22"/>
          <w:lang w:val="es-CO"/>
        </w:rPr>
        <w:t>C-726 del 24 de enero de 2022</w:t>
      </w:r>
      <w:r w:rsidR="00AF5644">
        <w:rPr>
          <w:rFonts w:ascii="Arial" w:eastAsia="Calibri" w:hAnsi="Arial" w:cs="Arial"/>
          <w:bCs/>
          <w:sz w:val="22"/>
          <w:lang w:val="es-CO"/>
        </w:rPr>
        <w:t xml:space="preserve">, </w:t>
      </w:r>
      <w:r w:rsidR="00AF5644" w:rsidRPr="00AF5644">
        <w:rPr>
          <w:rFonts w:ascii="Arial" w:eastAsia="Calibri" w:hAnsi="Arial" w:cs="Arial"/>
          <w:bCs/>
          <w:sz w:val="22"/>
          <w:lang w:val="es-CO"/>
        </w:rPr>
        <w:t>C-736 del 31 de enero de 2022</w:t>
      </w:r>
      <w:r w:rsidR="00C05889">
        <w:rPr>
          <w:rFonts w:ascii="Arial" w:eastAsia="Calibri" w:hAnsi="Arial" w:cs="Arial"/>
          <w:bCs/>
          <w:sz w:val="22"/>
          <w:lang w:val="es-CO"/>
        </w:rPr>
        <w:t>, C-116 del 18 de febrero de 2022, C-115 del 22 de marzo de 2022</w:t>
      </w:r>
      <w:r w:rsidR="00E970AD">
        <w:rPr>
          <w:rFonts w:ascii="Arial" w:eastAsia="Calibri" w:hAnsi="Arial" w:cs="Arial"/>
          <w:bCs/>
          <w:sz w:val="22"/>
          <w:lang w:val="es-CO"/>
        </w:rPr>
        <w:t>, C-145 del 28 de marzo de 2022, C-147 del 4 de abril de 2022</w:t>
      </w:r>
      <w:r w:rsidR="00AA59F5">
        <w:rPr>
          <w:rFonts w:ascii="Arial" w:eastAsia="Calibri" w:hAnsi="Arial" w:cs="Arial"/>
          <w:bCs/>
          <w:sz w:val="22"/>
          <w:lang w:val="es-CO"/>
        </w:rPr>
        <w:t>, C-151 del 5 de abril de 2022</w:t>
      </w:r>
      <w:r w:rsidR="00CF7778">
        <w:rPr>
          <w:rFonts w:ascii="Arial" w:eastAsia="Calibri" w:hAnsi="Arial" w:cs="Arial"/>
          <w:bCs/>
          <w:sz w:val="22"/>
          <w:lang w:val="es-CO"/>
        </w:rPr>
        <w:t xml:space="preserve"> y C-157 del 11 de abril de 2022</w:t>
      </w:r>
      <w:r w:rsidR="00F83810" w:rsidRPr="00F176B9">
        <w:rPr>
          <w:rFonts w:ascii="Arial" w:eastAsia="Calibri" w:hAnsi="Arial" w:cs="Arial"/>
          <w:bCs/>
          <w:sz w:val="22"/>
          <w:lang w:val="es-CO"/>
        </w:rPr>
        <w:t xml:space="preserve">. </w:t>
      </w:r>
      <w:r w:rsidR="00D05E28" w:rsidRPr="00F176B9">
        <w:rPr>
          <w:rFonts w:ascii="Arial" w:eastAsia="Calibri" w:hAnsi="Arial" w:cs="Arial"/>
          <w:bCs/>
          <w:sz w:val="22"/>
          <w:lang w:val="es-CO"/>
        </w:rPr>
        <w:t>La</w:t>
      </w:r>
      <w:r w:rsidRPr="00F176B9">
        <w:rPr>
          <w:rFonts w:ascii="Arial" w:eastAsia="Calibri" w:hAnsi="Arial" w:cs="Arial"/>
          <w:bCs/>
          <w:sz w:val="22"/>
          <w:lang w:val="es-CO"/>
        </w:rPr>
        <w:t xml:space="preserve"> tesis desarrollada en estos conceptos </w:t>
      </w:r>
      <w:r w:rsidR="00D05E28" w:rsidRPr="00F176B9">
        <w:rPr>
          <w:rFonts w:ascii="Arial" w:eastAsia="Calibri" w:hAnsi="Arial" w:cs="Arial"/>
          <w:bCs/>
          <w:sz w:val="22"/>
          <w:lang w:val="es-CO"/>
        </w:rPr>
        <w:t>se</w:t>
      </w:r>
      <w:r w:rsidR="009E16CE" w:rsidRPr="00F176B9">
        <w:rPr>
          <w:rFonts w:ascii="Arial" w:eastAsia="Calibri" w:hAnsi="Arial" w:cs="Arial"/>
          <w:bCs/>
          <w:sz w:val="22"/>
          <w:lang w:val="es-CO"/>
        </w:rPr>
        <w:t xml:space="preserve"> reitera y</w:t>
      </w:r>
      <w:r w:rsidR="00D05E28" w:rsidRPr="00F176B9">
        <w:rPr>
          <w:rFonts w:ascii="Arial" w:eastAsia="Calibri" w:hAnsi="Arial" w:cs="Arial"/>
          <w:bCs/>
          <w:sz w:val="22"/>
          <w:lang w:val="es-CO"/>
        </w:rPr>
        <w:t xml:space="preserve"> complementa</w:t>
      </w:r>
      <w:r w:rsidRPr="00F176B9">
        <w:rPr>
          <w:rFonts w:ascii="Arial" w:eastAsia="Calibri" w:hAnsi="Arial" w:cs="Arial"/>
          <w:bCs/>
          <w:sz w:val="22"/>
          <w:lang w:val="es-CO"/>
        </w:rPr>
        <w:t xml:space="preserve"> </w:t>
      </w:r>
      <w:r w:rsidR="00815027" w:rsidRPr="00F176B9">
        <w:rPr>
          <w:rFonts w:ascii="Arial" w:eastAsia="Calibri" w:hAnsi="Arial" w:cs="Arial"/>
          <w:bCs/>
          <w:sz w:val="22"/>
          <w:lang w:val="es-CO"/>
        </w:rPr>
        <w:t>a continuación</w:t>
      </w:r>
      <w:r w:rsidR="002B72C0" w:rsidRPr="00F176B9">
        <w:rPr>
          <w:rFonts w:ascii="Arial" w:eastAsia="Calibri" w:hAnsi="Arial" w:cs="Arial"/>
          <w:bCs/>
          <w:sz w:val="22"/>
          <w:lang w:val="es-CO"/>
        </w:rPr>
        <w:t>:</w:t>
      </w:r>
    </w:p>
    <w:p w14:paraId="1AB4C719" w14:textId="77777777" w:rsidR="005027F0" w:rsidRPr="00F176B9" w:rsidRDefault="005027F0" w:rsidP="00F176B9">
      <w:pPr>
        <w:tabs>
          <w:tab w:val="left" w:pos="426"/>
        </w:tabs>
        <w:spacing w:after="0"/>
        <w:ind w:firstLine="709"/>
        <w:rPr>
          <w:rFonts w:ascii="Arial" w:eastAsia="Calibri" w:hAnsi="Arial" w:cs="Arial"/>
          <w:b/>
          <w:bCs/>
          <w:sz w:val="22"/>
          <w:lang w:val="es-CO"/>
        </w:rPr>
      </w:pPr>
    </w:p>
    <w:p w14:paraId="3F6AE1E9" w14:textId="0D176E96" w:rsidR="00A8268C" w:rsidRPr="00F176B9" w:rsidRDefault="00577EF5" w:rsidP="00F176B9">
      <w:pPr>
        <w:tabs>
          <w:tab w:val="left" w:pos="426"/>
        </w:tabs>
        <w:spacing w:after="0"/>
        <w:rPr>
          <w:rFonts w:ascii="Arial" w:eastAsia="Calibri" w:hAnsi="Arial" w:cs="Arial"/>
          <w:b/>
          <w:bCs/>
          <w:sz w:val="22"/>
          <w:lang w:val="es-CO"/>
        </w:rPr>
      </w:pPr>
      <w:r w:rsidRPr="00F176B9">
        <w:rPr>
          <w:rFonts w:ascii="Arial" w:eastAsia="Calibri" w:hAnsi="Arial" w:cs="Arial"/>
          <w:b/>
          <w:bCs/>
          <w:sz w:val="22"/>
          <w:lang w:val="es-CO"/>
        </w:rPr>
        <w:t>2.1</w:t>
      </w:r>
      <w:r w:rsidR="00053991" w:rsidRPr="00F176B9">
        <w:rPr>
          <w:rFonts w:ascii="Arial" w:eastAsia="Calibri" w:hAnsi="Arial" w:cs="Arial"/>
          <w:b/>
          <w:bCs/>
          <w:sz w:val="22"/>
          <w:lang w:val="es-CO"/>
        </w:rPr>
        <w:t>.</w:t>
      </w:r>
      <w:r w:rsidRPr="00F176B9">
        <w:rPr>
          <w:rFonts w:ascii="Arial" w:eastAsia="Calibri" w:hAnsi="Arial" w:cs="Arial"/>
          <w:b/>
          <w:bCs/>
          <w:sz w:val="22"/>
          <w:lang w:val="es-CO"/>
        </w:rPr>
        <w:t xml:space="preserve"> D</w:t>
      </w:r>
      <w:r w:rsidR="00EB7836" w:rsidRPr="00F176B9">
        <w:rPr>
          <w:rFonts w:ascii="Arial" w:eastAsia="Calibri" w:hAnsi="Arial" w:cs="Arial"/>
          <w:b/>
          <w:bCs/>
          <w:sz w:val="22"/>
          <w:lang w:val="es-CO"/>
        </w:rPr>
        <w:t>efinición y finalidad de la Ley de Garantías Electorales</w:t>
      </w:r>
      <w:r w:rsidR="005617FA" w:rsidRPr="00F176B9">
        <w:rPr>
          <w:rFonts w:ascii="Arial" w:eastAsia="Calibri" w:hAnsi="Arial" w:cs="Arial"/>
          <w:b/>
          <w:bCs/>
          <w:sz w:val="22"/>
          <w:lang w:val="es-CO"/>
        </w:rPr>
        <w:t>: alcance de las restricciones</w:t>
      </w:r>
    </w:p>
    <w:p w14:paraId="56993992" w14:textId="77777777" w:rsidR="005027F0" w:rsidRPr="00F176B9" w:rsidRDefault="005027F0" w:rsidP="00F176B9">
      <w:pPr>
        <w:tabs>
          <w:tab w:val="left" w:pos="426"/>
        </w:tabs>
        <w:spacing w:after="0"/>
        <w:ind w:firstLine="709"/>
        <w:rPr>
          <w:rFonts w:ascii="Arial" w:eastAsia="Calibri" w:hAnsi="Arial" w:cs="Arial"/>
          <w:bCs/>
          <w:sz w:val="22"/>
          <w:lang w:val="es-CO"/>
        </w:rPr>
      </w:pPr>
    </w:p>
    <w:p w14:paraId="1DD449BA" w14:textId="3C991284" w:rsidR="005027F0" w:rsidRPr="00F176B9" w:rsidRDefault="00A8268C" w:rsidP="00F176B9">
      <w:pPr>
        <w:tabs>
          <w:tab w:val="left" w:pos="426"/>
        </w:tabs>
        <w:spacing w:after="120"/>
        <w:rPr>
          <w:rFonts w:ascii="Arial" w:eastAsia="Times New Roman" w:hAnsi="Arial" w:cs="Arial"/>
          <w:bCs/>
          <w:sz w:val="22"/>
          <w:lang w:val="es-CO" w:eastAsia="es-CO"/>
        </w:rPr>
      </w:pPr>
      <w:r w:rsidRPr="00F176B9">
        <w:rPr>
          <w:rFonts w:ascii="Arial" w:eastAsia="Calibri" w:hAnsi="Arial" w:cs="Arial"/>
          <w:bCs/>
          <w:sz w:val="22"/>
          <w:lang w:val="es-CO"/>
        </w:rPr>
        <w:lastRenderedPageBreak/>
        <w:t>El ordenamiento jurídico colombiano</w:t>
      </w:r>
      <w:r w:rsidR="009604AE" w:rsidRPr="00F176B9">
        <w:rPr>
          <w:rFonts w:ascii="Arial" w:eastAsia="Calibri" w:hAnsi="Arial" w:cs="Arial"/>
          <w:bCs/>
          <w:sz w:val="22"/>
          <w:lang w:val="es-CO"/>
        </w:rPr>
        <w:t xml:space="preserve"> </w:t>
      </w:r>
      <w:r w:rsidR="00B51689" w:rsidRPr="00F176B9">
        <w:rPr>
          <w:rFonts w:ascii="Arial" w:eastAsia="Calibri" w:hAnsi="Arial" w:cs="Arial"/>
          <w:bCs/>
          <w:sz w:val="22"/>
          <w:lang w:val="es-CO"/>
        </w:rPr>
        <w:t xml:space="preserve">contempla previsiones claras para evitar </w:t>
      </w:r>
      <w:r w:rsidR="00E008F1" w:rsidRPr="00F176B9">
        <w:rPr>
          <w:rFonts w:ascii="Arial" w:eastAsia="Calibri" w:hAnsi="Arial" w:cs="Arial"/>
          <w:bCs/>
          <w:sz w:val="22"/>
          <w:lang w:val="es-CO"/>
        </w:rPr>
        <w:t>la obtención de</w:t>
      </w:r>
      <w:r w:rsidR="00B51689" w:rsidRPr="00F176B9">
        <w:rPr>
          <w:rFonts w:ascii="Arial" w:eastAsia="Calibri" w:hAnsi="Arial" w:cs="Arial"/>
          <w:bCs/>
          <w:sz w:val="22"/>
          <w:lang w:val="es-CO"/>
        </w:rPr>
        <w:t xml:space="preserve"> </w:t>
      </w:r>
      <w:r w:rsidR="00E008F1" w:rsidRPr="00F176B9">
        <w:rPr>
          <w:rFonts w:ascii="Arial" w:eastAsia="Calibri" w:hAnsi="Arial" w:cs="Arial"/>
          <w:bCs/>
          <w:sz w:val="22"/>
          <w:lang w:val="es-CO"/>
        </w:rPr>
        <w:t>beneficios</w:t>
      </w:r>
      <w:r w:rsidR="00B51689" w:rsidRPr="00F176B9">
        <w:rPr>
          <w:rFonts w:ascii="Arial" w:eastAsia="Calibri" w:hAnsi="Arial" w:cs="Arial"/>
          <w:bCs/>
          <w:sz w:val="22"/>
          <w:lang w:val="es-CO"/>
        </w:rPr>
        <w:t xml:space="preserve"> </w:t>
      </w:r>
      <w:r w:rsidR="00E008F1" w:rsidRPr="00F176B9">
        <w:rPr>
          <w:rFonts w:ascii="Arial" w:eastAsia="Calibri" w:hAnsi="Arial" w:cs="Arial"/>
          <w:bCs/>
          <w:sz w:val="22"/>
          <w:lang w:val="es-CO"/>
        </w:rPr>
        <w:t>personales</w:t>
      </w:r>
      <w:r w:rsidR="00B51689" w:rsidRPr="00F176B9">
        <w:rPr>
          <w:rFonts w:ascii="Arial" w:eastAsia="Calibri" w:hAnsi="Arial" w:cs="Arial"/>
          <w:bCs/>
          <w:sz w:val="22"/>
          <w:lang w:val="es-CO"/>
        </w:rPr>
        <w:t xml:space="preserve"> en asuntos propios de la administración pública</w:t>
      </w:r>
      <w:r w:rsidR="00F91CA6" w:rsidRPr="00F176B9">
        <w:rPr>
          <w:rFonts w:ascii="Arial" w:eastAsia="Calibri" w:hAnsi="Arial" w:cs="Arial"/>
          <w:bCs/>
          <w:i/>
          <w:iCs/>
          <w:sz w:val="22"/>
          <w:lang w:val="es-CO"/>
        </w:rPr>
        <w:t xml:space="preserve">. </w:t>
      </w:r>
      <w:r w:rsidR="00F91CA6" w:rsidRPr="00F176B9">
        <w:rPr>
          <w:rFonts w:ascii="Arial" w:eastAsia="Calibri" w:hAnsi="Arial" w:cs="Arial"/>
          <w:bCs/>
          <w:sz w:val="22"/>
          <w:lang w:val="es-CO"/>
        </w:rPr>
        <w:t>Por ejemplo</w:t>
      </w:r>
      <w:r w:rsidR="00B51689" w:rsidRPr="00F176B9">
        <w:rPr>
          <w:rFonts w:ascii="Arial" w:eastAsia="Calibri" w:hAnsi="Arial" w:cs="Arial"/>
          <w:bCs/>
          <w:sz w:val="22"/>
          <w:lang w:val="es-CO"/>
        </w:rPr>
        <w:t xml:space="preserve">, el artículo 127 de la Constitución Política </w:t>
      </w:r>
      <w:r w:rsidR="00E008F1" w:rsidRPr="00F176B9">
        <w:rPr>
          <w:rFonts w:ascii="Arial" w:eastAsia="Calibri" w:hAnsi="Arial" w:cs="Arial"/>
          <w:bCs/>
          <w:sz w:val="22"/>
          <w:lang w:val="es-CO"/>
        </w:rPr>
        <w:t>establece una prohibición contractual a los servidores</w:t>
      </w:r>
      <w:r w:rsidR="00B51689" w:rsidRPr="00F176B9">
        <w:rPr>
          <w:rFonts w:ascii="Arial" w:eastAsia="Calibri" w:hAnsi="Arial" w:cs="Arial"/>
          <w:bCs/>
          <w:sz w:val="22"/>
          <w:lang w:val="es-CO"/>
        </w:rPr>
        <w:t xml:space="preserve"> públicos y en cuanto a aspectos políticos establece restricciones a ciertos empleados del Estado, incluso en época no electoral</w:t>
      </w:r>
      <w:r w:rsidR="00E008F1" w:rsidRPr="00F176B9">
        <w:rPr>
          <w:rStyle w:val="Refdenotaalpie"/>
          <w:rFonts w:ascii="Arial" w:eastAsia="Calibri" w:hAnsi="Arial" w:cs="Arial"/>
          <w:bCs/>
          <w:sz w:val="22"/>
          <w:lang w:val="es-CO"/>
        </w:rPr>
        <w:footnoteReference w:id="2"/>
      </w:r>
      <w:r w:rsidR="00B51689" w:rsidRPr="00F176B9">
        <w:rPr>
          <w:rFonts w:ascii="Arial" w:eastAsia="Calibri" w:hAnsi="Arial" w:cs="Arial"/>
          <w:bCs/>
          <w:sz w:val="22"/>
          <w:lang w:val="es-CO"/>
        </w:rPr>
        <w:t xml:space="preserve">. </w:t>
      </w:r>
    </w:p>
    <w:p w14:paraId="2A229386" w14:textId="02130E25" w:rsidR="00930831" w:rsidRPr="00F176B9" w:rsidRDefault="00847B6B" w:rsidP="00F176B9">
      <w:pPr>
        <w:tabs>
          <w:tab w:val="left" w:pos="426"/>
        </w:tabs>
        <w:spacing w:after="0"/>
        <w:ind w:firstLine="709"/>
        <w:rPr>
          <w:rFonts w:ascii="Arial" w:eastAsia="Times New Roman" w:hAnsi="Arial" w:cs="Arial"/>
          <w:bCs/>
          <w:sz w:val="22"/>
          <w:lang w:eastAsia="es-CO"/>
        </w:rPr>
      </w:pPr>
      <w:r w:rsidRPr="00F176B9">
        <w:rPr>
          <w:rFonts w:ascii="Arial" w:eastAsia="Times New Roman" w:hAnsi="Arial" w:cs="Arial"/>
          <w:bCs/>
          <w:sz w:val="22"/>
          <w:lang w:val="es-CO" w:eastAsia="es-CO"/>
        </w:rPr>
        <w:t>En el mismo sentido</w:t>
      </w:r>
      <w:r w:rsidR="003833D7" w:rsidRPr="00F176B9">
        <w:rPr>
          <w:rFonts w:ascii="Arial" w:eastAsia="Times New Roman" w:hAnsi="Arial" w:cs="Arial"/>
          <w:bCs/>
          <w:sz w:val="22"/>
          <w:lang w:eastAsia="es-CO"/>
        </w:rPr>
        <w:t xml:space="preserve">, </w:t>
      </w:r>
      <w:r w:rsidR="00097ABD" w:rsidRPr="00F176B9">
        <w:rPr>
          <w:rFonts w:ascii="Arial" w:eastAsia="Times New Roman" w:hAnsi="Arial" w:cs="Arial"/>
          <w:bCs/>
          <w:sz w:val="22"/>
          <w:lang w:eastAsia="es-CO"/>
        </w:rPr>
        <w:t>l</w:t>
      </w:r>
      <w:r w:rsidR="00A46384" w:rsidRPr="00F176B9">
        <w:rPr>
          <w:rFonts w:ascii="Arial" w:eastAsia="Times New Roman" w:hAnsi="Arial" w:cs="Arial"/>
          <w:bCs/>
          <w:sz w:val="22"/>
          <w:lang w:eastAsia="es-CO"/>
        </w:rPr>
        <w:t xml:space="preserve">a Ley 996 de 2005, conocida como </w:t>
      </w:r>
      <w:r w:rsidR="00F91CA6" w:rsidRPr="00F176B9">
        <w:rPr>
          <w:rFonts w:ascii="Arial" w:eastAsia="Times New Roman" w:hAnsi="Arial" w:cs="Arial"/>
          <w:bCs/>
          <w:sz w:val="22"/>
          <w:lang w:eastAsia="es-CO"/>
        </w:rPr>
        <w:t>«</w:t>
      </w:r>
      <w:r w:rsidR="00A46384" w:rsidRPr="00F176B9">
        <w:rPr>
          <w:rFonts w:ascii="Arial" w:eastAsia="Times New Roman" w:hAnsi="Arial" w:cs="Arial"/>
          <w:bCs/>
          <w:sz w:val="22"/>
          <w:lang w:eastAsia="es-CO"/>
        </w:rPr>
        <w:t>Ley de Garantías Electorales</w:t>
      </w:r>
      <w:r w:rsidR="00F91CA6" w:rsidRPr="00F176B9">
        <w:rPr>
          <w:rFonts w:ascii="Arial" w:eastAsia="Times New Roman" w:hAnsi="Arial" w:cs="Arial"/>
          <w:bCs/>
          <w:sz w:val="22"/>
          <w:lang w:eastAsia="es-CO"/>
        </w:rPr>
        <w:t>»</w:t>
      </w:r>
      <w:r w:rsidR="00A46384" w:rsidRPr="00F176B9">
        <w:rPr>
          <w:rFonts w:ascii="Arial" w:eastAsia="Times New Roman" w:hAnsi="Arial" w:cs="Arial"/>
          <w:bCs/>
          <w:sz w:val="22"/>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007A1418" w:rsidRPr="00F176B9">
        <w:rPr>
          <w:rStyle w:val="Refdenotaalpie"/>
          <w:rFonts w:ascii="Arial" w:eastAsia="Times New Roman" w:hAnsi="Arial" w:cs="Arial"/>
          <w:bCs/>
          <w:sz w:val="22"/>
          <w:lang w:eastAsia="es-CO"/>
        </w:rPr>
        <w:footnoteReference w:id="3"/>
      </w:r>
      <w:r w:rsidR="009F7D1F" w:rsidRPr="00F176B9">
        <w:rPr>
          <w:rFonts w:ascii="Arial" w:eastAsia="Times New Roman" w:hAnsi="Arial" w:cs="Arial"/>
          <w:bCs/>
          <w:sz w:val="22"/>
          <w:lang w:eastAsia="es-CO"/>
        </w:rPr>
        <w:t>. En esta medida,</w:t>
      </w:r>
      <w:r w:rsidR="00A46384" w:rsidRPr="00F176B9">
        <w:rPr>
          <w:rFonts w:ascii="Arial" w:eastAsia="Times New Roman" w:hAnsi="Arial" w:cs="Arial"/>
          <w:bCs/>
          <w:sz w:val="22"/>
          <w:lang w:eastAsia="es-CO"/>
        </w:rPr>
        <w:t xml:space="preserve"> introduce limitaciones para realizar nombramientos, postulaciones, contrataciones o cualquier otro tipo de actividad que implique destinación de recursos públicos bajo el devenir propio de las entidades estatales.</w:t>
      </w:r>
      <w:r w:rsidR="009F7D1F" w:rsidRPr="00F176B9">
        <w:rPr>
          <w:rFonts w:ascii="Arial" w:eastAsia="Calibri" w:hAnsi="Arial" w:cs="Arial"/>
          <w:noProof/>
          <w:sz w:val="22"/>
          <w:lang w:val="es-ES_tradnl"/>
        </w:rPr>
        <w:t xml:space="preserve"> </w:t>
      </w:r>
      <w:r w:rsidRPr="00F176B9">
        <w:rPr>
          <w:rFonts w:ascii="Arial" w:eastAsia="Times New Roman" w:hAnsi="Arial" w:cs="Arial"/>
          <w:bCs/>
          <w:sz w:val="22"/>
          <w:lang w:eastAsia="es-CO"/>
        </w:rPr>
        <w:t xml:space="preserve">En </w:t>
      </w:r>
      <w:r w:rsidR="00EB7836" w:rsidRPr="00F176B9">
        <w:rPr>
          <w:rFonts w:ascii="Arial" w:eastAsia="Times New Roman" w:hAnsi="Arial" w:cs="Arial"/>
          <w:bCs/>
          <w:sz w:val="22"/>
          <w:lang w:eastAsia="es-CO"/>
        </w:rPr>
        <w:t xml:space="preserve">armonía con lo anterior, </w:t>
      </w:r>
      <w:r w:rsidRPr="00F176B9">
        <w:rPr>
          <w:rFonts w:ascii="Arial" w:eastAsia="Times New Roman" w:hAnsi="Arial" w:cs="Arial"/>
          <w:bCs/>
          <w:sz w:val="22"/>
          <w:lang w:eastAsia="es-CO"/>
        </w:rPr>
        <w:t>l</w:t>
      </w:r>
      <w:r w:rsidR="00930831" w:rsidRPr="00F176B9">
        <w:rPr>
          <w:rFonts w:ascii="Arial" w:eastAsia="Times New Roman" w:hAnsi="Arial" w:cs="Arial"/>
          <w:bCs/>
          <w:sz w:val="22"/>
          <w:lang w:eastAsia="es-CO"/>
        </w:rPr>
        <w:t xml:space="preserve">a Corte Constitucional ha abordado la definición de </w:t>
      </w:r>
      <w:r w:rsidR="00252AEC" w:rsidRPr="00F176B9">
        <w:rPr>
          <w:rFonts w:ascii="Arial" w:eastAsia="Times New Roman" w:hAnsi="Arial" w:cs="Arial"/>
          <w:bCs/>
          <w:sz w:val="22"/>
          <w:lang w:eastAsia="es-CO"/>
        </w:rPr>
        <w:t>la</w:t>
      </w:r>
      <w:r w:rsidR="00930831" w:rsidRPr="00F176B9">
        <w:rPr>
          <w:rFonts w:ascii="Arial" w:eastAsia="Times New Roman" w:hAnsi="Arial" w:cs="Arial"/>
          <w:bCs/>
          <w:sz w:val="22"/>
          <w:lang w:eastAsia="es-CO"/>
        </w:rPr>
        <w:t xml:space="preserve"> </w:t>
      </w:r>
      <w:r w:rsidR="00252AEC" w:rsidRPr="00F176B9">
        <w:rPr>
          <w:rFonts w:ascii="Arial" w:eastAsia="Times New Roman" w:hAnsi="Arial" w:cs="Arial"/>
          <w:bCs/>
          <w:sz w:val="22"/>
          <w:lang w:eastAsia="es-CO"/>
        </w:rPr>
        <w:t>L</w:t>
      </w:r>
      <w:r w:rsidR="00930831" w:rsidRPr="00F176B9">
        <w:rPr>
          <w:rFonts w:ascii="Arial" w:eastAsia="Times New Roman" w:hAnsi="Arial" w:cs="Arial"/>
          <w:bCs/>
          <w:sz w:val="22"/>
          <w:lang w:eastAsia="es-CO"/>
        </w:rPr>
        <w:t xml:space="preserve">ey de </w:t>
      </w:r>
      <w:r w:rsidR="00252AEC" w:rsidRPr="00F176B9">
        <w:rPr>
          <w:rFonts w:ascii="Arial" w:eastAsia="Times New Roman" w:hAnsi="Arial" w:cs="Arial"/>
          <w:bCs/>
          <w:sz w:val="22"/>
          <w:lang w:eastAsia="es-CO"/>
        </w:rPr>
        <w:t>G</w:t>
      </w:r>
      <w:r w:rsidR="00930831" w:rsidRPr="00F176B9">
        <w:rPr>
          <w:rFonts w:ascii="Arial" w:eastAsia="Times New Roman" w:hAnsi="Arial" w:cs="Arial"/>
          <w:bCs/>
          <w:sz w:val="22"/>
          <w:lang w:eastAsia="es-CO"/>
        </w:rPr>
        <w:t>arantías</w:t>
      </w:r>
      <w:r w:rsidR="00252AEC" w:rsidRPr="00F176B9">
        <w:rPr>
          <w:rFonts w:ascii="Arial" w:eastAsia="Times New Roman" w:hAnsi="Arial" w:cs="Arial"/>
          <w:bCs/>
          <w:sz w:val="22"/>
          <w:lang w:eastAsia="es-CO"/>
        </w:rPr>
        <w:t xml:space="preserve"> Electorales</w:t>
      </w:r>
      <w:r w:rsidR="00F91CA6" w:rsidRPr="00F176B9">
        <w:rPr>
          <w:rFonts w:ascii="Arial" w:eastAsia="Times New Roman" w:hAnsi="Arial" w:cs="Arial"/>
          <w:bCs/>
          <w:sz w:val="22"/>
          <w:lang w:eastAsia="es-CO"/>
        </w:rPr>
        <w:t>. De esta manera, explica que tiene como propósito</w:t>
      </w:r>
      <w:r w:rsidR="00930831" w:rsidRPr="00F176B9">
        <w:rPr>
          <w:rFonts w:ascii="Arial" w:eastAsia="Times New Roman" w:hAnsi="Arial" w:cs="Arial"/>
          <w:bCs/>
          <w:sz w:val="22"/>
          <w:lang w:eastAsia="es-CO"/>
        </w:rPr>
        <w:t>:</w:t>
      </w:r>
    </w:p>
    <w:p w14:paraId="2AE4C60A" w14:textId="77777777" w:rsidR="000B680C" w:rsidRPr="00F176B9" w:rsidRDefault="000B680C" w:rsidP="00F176B9">
      <w:pPr>
        <w:spacing w:after="0"/>
        <w:ind w:right="709"/>
        <w:rPr>
          <w:rFonts w:ascii="Arial" w:eastAsia="Times New Roman" w:hAnsi="Arial" w:cs="Arial"/>
          <w:sz w:val="21"/>
          <w:szCs w:val="21"/>
          <w:lang w:val="es-ES" w:eastAsia="es-CO"/>
        </w:rPr>
      </w:pPr>
    </w:p>
    <w:p w14:paraId="1EC4C745" w14:textId="734BA5A0" w:rsidR="00930831" w:rsidRPr="00F176B9" w:rsidRDefault="000B680C" w:rsidP="00F176B9">
      <w:pPr>
        <w:spacing w:after="0" w:line="240" w:lineRule="auto"/>
        <w:ind w:left="709" w:right="709"/>
        <w:rPr>
          <w:rFonts w:ascii="Arial" w:eastAsia="Times New Roman" w:hAnsi="Arial" w:cs="Arial"/>
          <w:bCs/>
          <w:sz w:val="21"/>
          <w:szCs w:val="21"/>
          <w:lang w:eastAsia="es-CO"/>
        </w:rPr>
      </w:pPr>
      <w:r w:rsidRPr="00F176B9">
        <w:rPr>
          <w:rFonts w:ascii="Arial" w:eastAsia="Times New Roman" w:hAnsi="Arial" w:cs="Arial"/>
          <w:sz w:val="21"/>
          <w:szCs w:val="21"/>
          <w:lang w:val="es-ES" w:eastAsia="es-CO"/>
        </w:rPr>
        <w:t>[…]</w:t>
      </w:r>
      <w:r w:rsidR="006D5176" w:rsidRPr="00F176B9">
        <w:rPr>
          <w:rFonts w:ascii="Arial" w:eastAsia="Times New Roman" w:hAnsi="Arial" w:cs="Arial"/>
          <w:sz w:val="21"/>
          <w:szCs w:val="21"/>
          <w:lang w:val="es-ES" w:eastAsia="es-CO"/>
        </w:rPr>
        <w:t xml:space="preserve"> </w:t>
      </w:r>
      <w:r w:rsidR="00930831" w:rsidRPr="00F176B9">
        <w:rPr>
          <w:rFonts w:ascii="Arial" w:eastAsia="Times New Roman"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7E1D73A9" w14:textId="77777777" w:rsidR="00930831" w:rsidRPr="00F176B9" w:rsidRDefault="00930831" w:rsidP="00F176B9">
      <w:pPr>
        <w:spacing w:after="120" w:line="240" w:lineRule="auto"/>
        <w:ind w:left="709" w:right="709"/>
        <w:rPr>
          <w:rFonts w:ascii="Arial" w:eastAsia="Times New Roman" w:hAnsi="Arial" w:cs="Arial"/>
          <w:bCs/>
          <w:sz w:val="21"/>
          <w:szCs w:val="21"/>
          <w:lang w:eastAsia="es-CO"/>
        </w:rPr>
      </w:pPr>
      <w:r w:rsidRPr="00F176B9">
        <w:rPr>
          <w:rFonts w:ascii="Arial" w:eastAsia="Times New Roman" w:hAnsi="Arial" w:cs="Arial"/>
          <w:bCs/>
          <w:sz w:val="21"/>
          <w:szCs w:val="21"/>
          <w:lang w:eastAsia="es-CO"/>
        </w:rPr>
        <w:t xml:space="preserve">[…] </w:t>
      </w:r>
    </w:p>
    <w:p w14:paraId="4AEB132E" w14:textId="5D836BC4" w:rsidR="00930831" w:rsidRPr="00F176B9" w:rsidRDefault="00930831" w:rsidP="00F176B9">
      <w:pPr>
        <w:spacing w:after="0" w:line="240" w:lineRule="auto"/>
        <w:ind w:left="709" w:right="709"/>
        <w:rPr>
          <w:rFonts w:ascii="Arial" w:eastAsia="Times New Roman" w:hAnsi="Arial" w:cs="Arial"/>
          <w:bCs/>
          <w:sz w:val="21"/>
          <w:szCs w:val="21"/>
          <w:lang w:eastAsia="es-CO"/>
        </w:rPr>
      </w:pPr>
      <w:r w:rsidRPr="00F176B9">
        <w:rPr>
          <w:rFonts w:ascii="Arial" w:eastAsia="Times New Roman" w:hAnsi="Arial" w:cs="Arial"/>
          <w:bCs/>
          <w:sz w:val="21"/>
          <w:szCs w:val="21"/>
          <w:lang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w:t>
      </w:r>
      <w:r w:rsidRPr="00F176B9">
        <w:rPr>
          <w:rFonts w:ascii="Arial" w:eastAsia="Times New Roman" w:hAnsi="Arial" w:cs="Arial"/>
          <w:bCs/>
          <w:sz w:val="21"/>
          <w:szCs w:val="21"/>
          <w:lang w:eastAsia="es-CO"/>
        </w:rPr>
        <w:lastRenderedPageBreak/>
        <w:t>igualitario a los canales de comunicación de los candidatos. Igualmente, una ley de garantías debe permitir que, en el debate democrático, sean las ideas y las propuestas las que definan el ascenso al poder, y no el músculo econ</w:t>
      </w:r>
      <w:r w:rsidR="00EB7836" w:rsidRPr="00F176B9">
        <w:rPr>
          <w:rFonts w:ascii="Arial" w:eastAsia="Times New Roman" w:hAnsi="Arial" w:cs="Arial"/>
          <w:bCs/>
          <w:sz w:val="21"/>
          <w:szCs w:val="21"/>
          <w:lang w:eastAsia="es-CO"/>
        </w:rPr>
        <w:t>ómico de los que se lo disputan</w:t>
      </w:r>
      <w:r w:rsidRPr="00F176B9">
        <w:rPr>
          <w:rFonts w:ascii="Arial" w:eastAsia="Times New Roman" w:hAnsi="Arial" w:cs="Arial"/>
          <w:bCs/>
          <w:sz w:val="21"/>
          <w:szCs w:val="21"/>
          <w:lang w:eastAsia="es-CO"/>
        </w:rPr>
        <w:t>.</w:t>
      </w:r>
      <w:r w:rsidR="009F3083" w:rsidRPr="00F176B9">
        <w:rPr>
          <w:rStyle w:val="Refdenotaalpie"/>
          <w:rFonts w:ascii="Arial" w:hAnsi="Arial" w:cs="Arial"/>
          <w:sz w:val="20"/>
          <w:szCs w:val="20"/>
        </w:rPr>
        <w:footnoteReference w:id="4"/>
      </w:r>
    </w:p>
    <w:p w14:paraId="0512AD18" w14:textId="77777777" w:rsidR="00535A7F" w:rsidRPr="00F176B9" w:rsidRDefault="00535A7F" w:rsidP="00F176B9">
      <w:pPr>
        <w:spacing w:after="0"/>
        <w:ind w:left="709" w:right="709"/>
        <w:rPr>
          <w:rFonts w:ascii="Arial" w:eastAsia="Times New Roman" w:hAnsi="Arial" w:cs="Arial"/>
          <w:bCs/>
          <w:sz w:val="21"/>
          <w:szCs w:val="21"/>
          <w:lang w:eastAsia="es-CO"/>
        </w:rPr>
      </w:pPr>
    </w:p>
    <w:p w14:paraId="7592456D" w14:textId="6ACD31BA" w:rsidR="000D457E" w:rsidRPr="00F176B9" w:rsidRDefault="00A46384" w:rsidP="00F176B9">
      <w:pPr>
        <w:spacing w:after="0"/>
        <w:ind w:firstLine="709"/>
        <w:rPr>
          <w:rFonts w:ascii="Arial" w:eastAsia="Times New Roman" w:hAnsi="Arial" w:cs="Arial"/>
          <w:bCs/>
          <w:sz w:val="22"/>
          <w:lang w:eastAsia="es-CO"/>
        </w:rPr>
      </w:pPr>
      <w:bookmarkStart w:id="18" w:name="_Hlk78818186"/>
      <w:r w:rsidRPr="00F176B9">
        <w:rPr>
          <w:rFonts w:ascii="Arial" w:eastAsia="Times New Roman" w:hAnsi="Arial" w:cs="Arial"/>
          <w:bCs/>
          <w:sz w:val="22"/>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r w:rsidR="0062127B" w:rsidRPr="00F176B9">
        <w:rPr>
          <w:rFonts w:ascii="Arial" w:eastAsia="Times New Roman" w:hAnsi="Arial" w:cs="Arial"/>
          <w:bCs/>
          <w:sz w:val="22"/>
          <w:lang w:eastAsia="es-CO"/>
        </w:rPr>
        <w:t xml:space="preserve"> </w:t>
      </w:r>
      <w:bookmarkEnd w:id="18"/>
      <w:r w:rsidR="0062127B" w:rsidRPr="00F176B9">
        <w:rPr>
          <w:rFonts w:ascii="Arial" w:eastAsia="Times New Roman" w:hAnsi="Arial" w:cs="Arial"/>
          <w:bCs/>
          <w:sz w:val="22"/>
          <w:lang w:eastAsia="es-CO"/>
        </w:rPr>
        <w:t>Por ello</w:t>
      </w:r>
      <w:r w:rsidR="00883662" w:rsidRPr="00F176B9">
        <w:rPr>
          <w:rFonts w:ascii="Arial" w:eastAsia="Times New Roman" w:hAnsi="Arial" w:cs="Arial"/>
          <w:bCs/>
          <w:sz w:val="22"/>
          <w:lang w:eastAsia="es-CO"/>
        </w:rPr>
        <w:t xml:space="preserve">, </w:t>
      </w:r>
      <w:r w:rsidR="00D626A3" w:rsidRPr="00F176B9">
        <w:rPr>
          <w:rFonts w:ascii="Arial" w:eastAsia="Times New Roman" w:hAnsi="Arial" w:cs="Arial"/>
          <w:bCs/>
          <w:sz w:val="22"/>
          <w:lang w:eastAsia="es-CO"/>
        </w:rPr>
        <w:t xml:space="preserve">varias de las disposiciones de la </w:t>
      </w:r>
      <w:r w:rsidR="00883662" w:rsidRPr="00F176B9">
        <w:rPr>
          <w:rFonts w:ascii="Arial" w:eastAsia="Times New Roman" w:hAnsi="Arial" w:cs="Arial"/>
          <w:bCs/>
          <w:sz w:val="22"/>
          <w:lang w:eastAsia="es-CO"/>
        </w:rPr>
        <w:t>Ley 996 de 2005</w:t>
      </w:r>
      <w:r w:rsidR="00D626A3" w:rsidRPr="00F176B9">
        <w:rPr>
          <w:rFonts w:ascii="Arial" w:eastAsia="Times New Roman" w:hAnsi="Arial" w:cs="Arial"/>
          <w:bCs/>
          <w:sz w:val="22"/>
          <w:lang w:eastAsia="es-CO"/>
        </w:rPr>
        <w:t>,</w:t>
      </w:r>
      <w:r w:rsidR="00883662" w:rsidRPr="00F176B9">
        <w:rPr>
          <w:rFonts w:ascii="Arial" w:eastAsia="Times New Roman" w:hAnsi="Arial" w:cs="Arial"/>
          <w:bCs/>
          <w:sz w:val="22"/>
          <w:lang w:eastAsia="es-CO"/>
        </w:rPr>
        <w:t xml:space="preserve"> al contener normas</w:t>
      </w:r>
      <w:r w:rsidR="000D457E" w:rsidRPr="00F176B9">
        <w:rPr>
          <w:rFonts w:ascii="Arial" w:eastAsia="Times New Roman" w:hAnsi="Arial" w:cs="Arial"/>
          <w:bCs/>
          <w:sz w:val="22"/>
          <w:lang w:eastAsia="es-CO"/>
        </w:rPr>
        <w:t xml:space="preserve"> </w:t>
      </w:r>
      <w:r w:rsidR="00883662" w:rsidRPr="00F176B9">
        <w:rPr>
          <w:rFonts w:ascii="Arial" w:eastAsia="Times New Roman" w:hAnsi="Arial" w:cs="Arial"/>
          <w:bCs/>
          <w:sz w:val="22"/>
          <w:lang w:eastAsia="es-CO"/>
        </w:rPr>
        <w:t>prohibitivas</w:t>
      </w:r>
      <w:r w:rsidR="00D626A3" w:rsidRPr="00F176B9">
        <w:rPr>
          <w:rFonts w:ascii="Arial" w:eastAsia="Times New Roman" w:hAnsi="Arial" w:cs="Arial"/>
          <w:bCs/>
          <w:sz w:val="22"/>
          <w:lang w:eastAsia="es-CO"/>
        </w:rPr>
        <w:t>,</w:t>
      </w:r>
      <w:r w:rsidR="00883662" w:rsidRPr="00F176B9">
        <w:rPr>
          <w:rFonts w:ascii="Arial" w:eastAsia="Times New Roman" w:hAnsi="Arial" w:cs="Arial"/>
          <w:bCs/>
          <w:sz w:val="22"/>
          <w:lang w:eastAsia="es-CO"/>
        </w:rPr>
        <w:t xml:space="preserve"> </w:t>
      </w:r>
      <w:r w:rsidR="000D457E" w:rsidRPr="00F176B9">
        <w:rPr>
          <w:rFonts w:ascii="Arial" w:eastAsia="Times New Roman" w:hAnsi="Arial" w:cs="Arial"/>
          <w:bCs/>
          <w:sz w:val="22"/>
          <w:lang w:eastAsia="es-CO"/>
        </w:rPr>
        <w:t>no admite</w:t>
      </w:r>
      <w:r w:rsidR="00D626A3" w:rsidRPr="00F176B9">
        <w:rPr>
          <w:rFonts w:ascii="Arial" w:eastAsia="Times New Roman" w:hAnsi="Arial" w:cs="Arial"/>
          <w:bCs/>
          <w:sz w:val="22"/>
          <w:lang w:eastAsia="es-CO"/>
        </w:rPr>
        <w:t>n</w:t>
      </w:r>
      <w:r w:rsidR="000D457E" w:rsidRPr="00F176B9">
        <w:rPr>
          <w:rFonts w:ascii="Arial" w:eastAsia="Times New Roman" w:hAnsi="Arial" w:cs="Arial"/>
          <w:bCs/>
          <w:sz w:val="22"/>
          <w:lang w:eastAsia="es-CO"/>
        </w:rPr>
        <w:t xml:space="preserve"> una interpretación amplia</w:t>
      </w:r>
      <w:r w:rsidR="00D626A3" w:rsidRPr="00F176B9">
        <w:rPr>
          <w:rFonts w:ascii="Arial" w:eastAsia="Times New Roman" w:hAnsi="Arial" w:cs="Arial"/>
          <w:bCs/>
          <w:sz w:val="22"/>
          <w:lang w:eastAsia="es-CO"/>
        </w:rPr>
        <w:t xml:space="preserve">, sino que deben interpretarse restrictivamente. En efecto, la Sala de Consulta y Servicio Civil del Consejo de Estado al analizar </w:t>
      </w:r>
      <w:r w:rsidR="000D457E" w:rsidRPr="00F176B9">
        <w:rPr>
          <w:rFonts w:ascii="Arial" w:eastAsia="Times New Roman" w:hAnsi="Arial" w:cs="Arial"/>
          <w:bCs/>
          <w:sz w:val="22"/>
          <w:lang w:eastAsia="es-CO"/>
        </w:rPr>
        <w:t>la referida ley</w:t>
      </w:r>
      <w:r w:rsidR="00883662" w:rsidRPr="00F176B9">
        <w:rPr>
          <w:rFonts w:ascii="Arial" w:eastAsia="Times New Roman" w:hAnsi="Arial" w:cs="Arial"/>
          <w:bCs/>
          <w:sz w:val="22"/>
          <w:lang w:eastAsia="es-CO"/>
        </w:rPr>
        <w:t>,</w:t>
      </w:r>
      <w:r w:rsidR="000D457E" w:rsidRPr="00F176B9">
        <w:rPr>
          <w:rFonts w:ascii="Arial" w:eastAsia="Times New Roman" w:hAnsi="Arial" w:cs="Arial"/>
          <w:bCs/>
          <w:sz w:val="22"/>
          <w:lang w:eastAsia="es-CO"/>
        </w:rPr>
        <w:t xml:space="preserve"> precis</w:t>
      </w:r>
      <w:r w:rsidR="0094059F" w:rsidRPr="00F176B9">
        <w:rPr>
          <w:rFonts w:ascii="Arial" w:eastAsia="Times New Roman" w:hAnsi="Arial" w:cs="Arial"/>
          <w:bCs/>
          <w:sz w:val="22"/>
          <w:lang w:eastAsia="es-CO"/>
        </w:rPr>
        <w:t>ó</w:t>
      </w:r>
      <w:r w:rsidR="000D457E" w:rsidRPr="00F176B9">
        <w:rPr>
          <w:rFonts w:ascii="Arial" w:eastAsia="Times New Roman" w:hAnsi="Arial" w:cs="Arial"/>
          <w:bCs/>
          <w:sz w:val="22"/>
          <w:lang w:eastAsia="es-CO"/>
        </w:rPr>
        <w:t xml:space="preserve"> lo siguiente:</w:t>
      </w:r>
    </w:p>
    <w:p w14:paraId="45AFCCC5" w14:textId="77777777" w:rsidR="00D626A3" w:rsidRPr="00F176B9" w:rsidRDefault="00D626A3" w:rsidP="00F176B9">
      <w:pPr>
        <w:spacing w:after="0"/>
        <w:ind w:firstLine="709"/>
        <w:rPr>
          <w:rFonts w:ascii="Arial" w:eastAsia="Times New Roman" w:hAnsi="Arial" w:cs="Arial"/>
          <w:bCs/>
          <w:sz w:val="22"/>
          <w:lang w:eastAsia="es-CO"/>
        </w:rPr>
      </w:pPr>
    </w:p>
    <w:p w14:paraId="5F802D56" w14:textId="5CF9A162" w:rsidR="000D457E" w:rsidRPr="00F176B9" w:rsidRDefault="000D457E" w:rsidP="00F176B9">
      <w:pPr>
        <w:spacing w:after="120" w:line="240" w:lineRule="auto"/>
        <w:ind w:left="709" w:right="709"/>
        <w:rPr>
          <w:rFonts w:ascii="Arial" w:eastAsia="Times New Roman" w:hAnsi="Arial" w:cs="Arial"/>
          <w:bCs/>
          <w:sz w:val="21"/>
          <w:szCs w:val="21"/>
          <w:lang w:eastAsia="es-CO"/>
        </w:rPr>
      </w:pPr>
      <w:r w:rsidRPr="00F176B9">
        <w:rPr>
          <w:rFonts w:ascii="Arial" w:eastAsia="Times New Roman"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BC36AE9" w14:textId="619FD879" w:rsidR="00883662" w:rsidRPr="00F176B9" w:rsidRDefault="000D457E" w:rsidP="00F176B9">
      <w:pPr>
        <w:spacing w:after="0" w:line="240" w:lineRule="auto"/>
        <w:ind w:left="709" w:right="709"/>
        <w:rPr>
          <w:rFonts w:ascii="Arial" w:eastAsia="Times New Roman" w:hAnsi="Arial" w:cs="Arial"/>
          <w:bCs/>
          <w:sz w:val="21"/>
          <w:szCs w:val="21"/>
          <w:lang w:eastAsia="es-CO"/>
        </w:rPr>
      </w:pPr>
      <w:r w:rsidRPr="00F176B9">
        <w:rPr>
          <w:rFonts w:ascii="Arial" w:eastAsia="Times New Roman" w:hAnsi="Arial" w:cs="Arial"/>
          <w:bCs/>
          <w:sz w:val="21"/>
          <w:szCs w:val="21"/>
          <w:lang w:eastAsia="es-CO"/>
        </w:rPr>
        <w:t>La jurisprudencia de la Corte Constitucional</w:t>
      </w:r>
      <w:r w:rsidR="001F55B5" w:rsidRPr="00F176B9">
        <w:rPr>
          <w:rStyle w:val="Refdenotaalpie"/>
          <w:rFonts w:ascii="Arial" w:eastAsia="Times New Roman" w:hAnsi="Arial" w:cs="Arial"/>
          <w:bCs/>
          <w:sz w:val="21"/>
          <w:szCs w:val="21"/>
          <w:lang w:eastAsia="es-CO"/>
        </w:rPr>
        <w:footnoteReference w:id="5"/>
      </w:r>
      <w:r w:rsidRPr="00F176B9">
        <w:rPr>
          <w:rFonts w:ascii="Arial" w:eastAsia="Times New Roman" w:hAnsi="Arial" w:cs="Arial"/>
          <w:bCs/>
          <w:sz w:val="21"/>
          <w:szCs w:val="21"/>
          <w:lang w:eastAsia="es-CO"/>
        </w:rPr>
        <w:t> y del Consejo de Estado</w:t>
      </w:r>
      <w:r w:rsidR="001F55B5" w:rsidRPr="00F176B9">
        <w:rPr>
          <w:rStyle w:val="Refdenotaalpie"/>
          <w:rFonts w:ascii="Arial" w:eastAsia="Times New Roman" w:hAnsi="Arial" w:cs="Arial"/>
          <w:bCs/>
          <w:sz w:val="21"/>
          <w:szCs w:val="21"/>
          <w:lang w:eastAsia="es-CO"/>
        </w:rPr>
        <w:footnoteReference w:id="6"/>
      </w:r>
      <w:r w:rsidRPr="00F176B9">
        <w:rPr>
          <w:rFonts w:ascii="Arial" w:eastAsia="Times New Roman" w:hAnsi="Arial" w:cs="Arial"/>
          <w:bCs/>
          <w:sz w:val="21"/>
          <w:szCs w:val="21"/>
          <w:lang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w:t>
      </w:r>
      <w:r w:rsidR="00296D38" w:rsidRPr="00F176B9">
        <w:rPr>
          <w:rFonts w:ascii="Arial" w:eastAsia="Times New Roman" w:hAnsi="Arial" w:cs="Arial"/>
          <w:bCs/>
          <w:sz w:val="21"/>
          <w:szCs w:val="21"/>
          <w:lang w:eastAsia="es-CO"/>
        </w:rPr>
        <w:t>intérprete</w:t>
      </w:r>
      <w:r w:rsidRPr="00F176B9">
        <w:rPr>
          <w:rFonts w:ascii="Arial" w:eastAsia="Times New Roman" w:hAnsi="Arial" w:cs="Arial"/>
          <w:bCs/>
          <w:sz w:val="21"/>
          <w:szCs w:val="21"/>
          <w:lang w:eastAsia="es-CO"/>
        </w:rPr>
        <w:t xml:space="preserve"> solamente habrá de </w:t>
      </w:r>
      <w:r w:rsidRPr="00F176B9">
        <w:rPr>
          <w:rFonts w:ascii="Arial" w:eastAsia="Times New Roman" w:hAnsi="Arial" w:cs="Arial"/>
          <w:bCs/>
          <w:sz w:val="21"/>
          <w:szCs w:val="21"/>
          <w:lang w:eastAsia="es-CO"/>
        </w:rPr>
        <w:lastRenderedPageBreak/>
        <w:t>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00883662" w:rsidRPr="00F176B9">
        <w:rPr>
          <w:rStyle w:val="Refdenotaalpie"/>
          <w:rFonts w:ascii="Arial" w:eastAsia="Times New Roman" w:hAnsi="Arial" w:cs="Arial"/>
          <w:bCs/>
          <w:sz w:val="22"/>
          <w:lang w:eastAsia="es-CO"/>
        </w:rPr>
        <w:footnoteReference w:id="7"/>
      </w:r>
      <w:r w:rsidR="00D626A3" w:rsidRPr="00F176B9">
        <w:rPr>
          <w:rFonts w:ascii="Arial" w:eastAsia="Times New Roman" w:hAnsi="Arial" w:cs="Arial"/>
          <w:bCs/>
          <w:sz w:val="21"/>
          <w:szCs w:val="21"/>
          <w:lang w:eastAsia="es-CO"/>
        </w:rPr>
        <w:t>.</w:t>
      </w:r>
    </w:p>
    <w:p w14:paraId="12707F41" w14:textId="1652A0E8" w:rsidR="00281ED6" w:rsidRPr="00F176B9" w:rsidRDefault="00281ED6" w:rsidP="00F176B9">
      <w:pPr>
        <w:spacing w:after="0"/>
        <w:ind w:right="709"/>
        <w:rPr>
          <w:rFonts w:ascii="Arial" w:eastAsia="Times New Roman" w:hAnsi="Arial" w:cs="Arial"/>
          <w:bCs/>
          <w:sz w:val="21"/>
          <w:szCs w:val="21"/>
          <w:lang w:eastAsia="es-CO"/>
        </w:rPr>
      </w:pPr>
    </w:p>
    <w:p w14:paraId="0FDECA41" w14:textId="115BAA3B" w:rsidR="005D064A" w:rsidRPr="00F176B9" w:rsidRDefault="005617FA" w:rsidP="00F176B9">
      <w:pPr>
        <w:spacing w:after="120"/>
        <w:rPr>
          <w:rFonts w:ascii="Arial" w:eastAsia="Arial" w:hAnsi="Arial" w:cs="Arial"/>
          <w:sz w:val="22"/>
          <w:lang w:val="es-ES" w:eastAsia="es-ES" w:bidi="es-ES"/>
        </w:rPr>
      </w:pPr>
      <w:r w:rsidRPr="00F176B9">
        <w:rPr>
          <w:rFonts w:ascii="Arial" w:eastAsia="Times New Roman" w:hAnsi="Arial" w:cs="Arial"/>
          <w:bCs/>
          <w:sz w:val="22"/>
          <w:lang w:eastAsia="es-CO"/>
        </w:rPr>
        <w:tab/>
      </w:r>
      <w:r w:rsidR="0022085C" w:rsidRPr="00F176B9">
        <w:rPr>
          <w:rFonts w:ascii="Arial" w:eastAsia="Times New Roman" w:hAnsi="Arial" w:cs="Arial"/>
          <w:bCs/>
          <w:sz w:val="22"/>
          <w:lang w:eastAsia="es-CO"/>
        </w:rPr>
        <w:t>De</w:t>
      </w:r>
      <w:r w:rsidR="0022085C" w:rsidRPr="00F176B9">
        <w:rPr>
          <w:rFonts w:ascii="Arial" w:eastAsia="Arial" w:hAnsi="Arial" w:cs="Arial"/>
          <w:sz w:val="22"/>
          <w:lang w:val="es-ES" w:eastAsia="es-ES" w:bidi="es-ES"/>
        </w:rPr>
        <w:t xml:space="preserve"> conformidad con lo anterior, </w:t>
      </w:r>
      <w:bookmarkStart w:id="22" w:name="_Hlk77236098"/>
      <w:r w:rsidR="0022085C" w:rsidRPr="00F176B9">
        <w:rPr>
          <w:rFonts w:ascii="Arial" w:eastAsia="Arial" w:hAnsi="Arial" w:cs="Arial"/>
          <w:sz w:val="22"/>
          <w:lang w:val="es-ES" w:eastAsia="es-ES" w:bidi="es-ES"/>
        </w:rPr>
        <w:t xml:space="preserve">la Ley de Garantías Electorales fijó una serie de regulaciones y prohibiciones dirigidas a los servidores públicos. </w:t>
      </w:r>
      <w:r w:rsidR="005E1F70" w:rsidRPr="00F176B9">
        <w:rPr>
          <w:rFonts w:ascii="Arial" w:eastAsia="Arial" w:hAnsi="Arial" w:cs="Arial"/>
          <w:sz w:val="22"/>
          <w:lang w:val="es-ES" w:eastAsia="es-ES" w:bidi="es-ES"/>
        </w:rPr>
        <w:t>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w:t>
      </w:r>
      <w:r w:rsidRPr="00F176B9">
        <w:rPr>
          <w:rFonts w:ascii="Arial" w:eastAsia="Arial" w:hAnsi="Arial" w:cs="Arial"/>
          <w:sz w:val="22"/>
          <w:lang w:val="es-ES" w:eastAsia="es-ES" w:bidi="es-ES"/>
        </w:rPr>
        <w:t xml:space="preserve"> Específicamente, </w:t>
      </w:r>
      <w:r w:rsidR="005E1F70" w:rsidRPr="00F176B9">
        <w:rPr>
          <w:rFonts w:ascii="Arial" w:eastAsia="Arial" w:hAnsi="Arial" w:cs="Arial"/>
          <w:sz w:val="22"/>
          <w:lang w:val="es-ES" w:eastAsia="es-ES" w:bidi="es-ES"/>
        </w:rPr>
        <w:t>las restricciones consagradas en la citada ley</w:t>
      </w:r>
      <w:r w:rsidR="0022085C" w:rsidRPr="00F176B9">
        <w:rPr>
          <w:rFonts w:ascii="Arial" w:eastAsia="Arial" w:hAnsi="Arial" w:cs="Arial"/>
          <w:sz w:val="22"/>
          <w:lang w:val="es-ES" w:eastAsia="es-ES" w:bidi="es-ES"/>
        </w:rPr>
        <w:t xml:space="preserve"> se dirigen a dos</w:t>
      </w:r>
      <w:r w:rsidRPr="00F176B9">
        <w:rPr>
          <w:rFonts w:ascii="Arial" w:eastAsia="Arial" w:hAnsi="Arial" w:cs="Arial"/>
          <w:sz w:val="22"/>
          <w:lang w:val="es-ES" w:eastAsia="es-ES" w:bidi="es-ES"/>
        </w:rPr>
        <w:t xml:space="preserve"> (2)</w:t>
      </w:r>
      <w:r w:rsidR="0022085C" w:rsidRPr="00F176B9">
        <w:rPr>
          <w:rFonts w:ascii="Arial" w:eastAsia="Arial" w:hAnsi="Arial" w:cs="Arial"/>
          <w:sz w:val="22"/>
          <w:lang w:val="es-ES" w:eastAsia="es-ES" w:bidi="es-ES"/>
        </w:rPr>
        <w:t xml:space="preserve"> tipos de campañas electorales claramente diferenciadas: las presidenciales y las demás que se adelanten para la elección de los demás cargos de elección popular, tanto a nivel nacional como a nivel territorial.</w:t>
      </w:r>
      <w:bookmarkEnd w:id="22"/>
    </w:p>
    <w:p w14:paraId="2A8ACE46" w14:textId="5804C507" w:rsidR="005D064A" w:rsidRPr="00F176B9" w:rsidRDefault="005D064A" w:rsidP="00F176B9">
      <w:pPr>
        <w:spacing w:after="120"/>
        <w:ind w:firstLine="708"/>
        <w:rPr>
          <w:rFonts w:ascii="Arial" w:eastAsia="Calibri" w:hAnsi="Arial" w:cs="Arial"/>
          <w:sz w:val="22"/>
          <w:lang w:val="es-CO"/>
        </w:rPr>
      </w:pPr>
      <w:r w:rsidRPr="00F176B9">
        <w:rPr>
          <w:rFonts w:ascii="Arial" w:eastAsia="Calibri" w:hAnsi="Arial" w:cs="Arial"/>
          <w:sz w:val="22"/>
          <w:lang w:val="es-CO"/>
        </w:rPr>
        <w:t>Por un</w:t>
      </w:r>
      <w:r w:rsidR="00427BD7" w:rsidRPr="00F176B9">
        <w:rPr>
          <w:rFonts w:ascii="Arial" w:eastAsia="Calibri" w:hAnsi="Arial" w:cs="Arial"/>
          <w:sz w:val="22"/>
          <w:lang w:val="es-CO"/>
        </w:rPr>
        <w:t xml:space="preserve"> </w:t>
      </w:r>
      <w:r w:rsidR="005617FA" w:rsidRPr="00F176B9">
        <w:rPr>
          <w:rFonts w:ascii="Arial" w:eastAsia="Calibri" w:hAnsi="Arial" w:cs="Arial"/>
          <w:sz w:val="22"/>
          <w:lang w:val="es-CO"/>
        </w:rPr>
        <w:t>lado</w:t>
      </w:r>
      <w:r w:rsidR="0022085C" w:rsidRPr="00F176B9">
        <w:rPr>
          <w:rFonts w:ascii="Arial" w:eastAsia="Calibri" w:hAnsi="Arial" w:cs="Arial"/>
          <w:sz w:val="22"/>
          <w:lang w:val="es-CO"/>
        </w:rPr>
        <w:t xml:space="preserve">, el artículo 33 de la Ley 996 de 2005 </w:t>
      </w:r>
      <w:r w:rsidR="005617FA" w:rsidRPr="00F176B9">
        <w:rPr>
          <w:rFonts w:ascii="Arial" w:eastAsia="Calibri" w:hAnsi="Arial" w:cs="Arial"/>
          <w:sz w:val="22"/>
          <w:lang w:val="es-CO"/>
        </w:rPr>
        <w:t>prohíbe</w:t>
      </w:r>
      <w:r w:rsidR="0022085C" w:rsidRPr="00F176B9">
        <w:rPr>
          <w:rFonts w:ascii="Arial" w:eastAsia="Calibri" w:hAnsi="Arial" w:cs="Arial"/>
          <w:sz w:val="22"/>
          <w:lang w:val="es-CO"/>
        </w:rPr>
        <w:t xml:space="preserve"> </w:t>
      </w:r>
      <w:r w:rsidR="0022085C" w:rsidRPr="00F176B9">
        <w:rPr>
          <w:rFonts w:ascii="Arial" w:eastAsia="Calibri" w:hAnsi="Arial" w:cs="Arial"/>
          <w:bCs/>
          <w:sz w:val="22"/>
          <w:lang w:val="es-CO"/>
        </w:rPr>
        <w:t xml:space="preserve">«[…] </w:t>
      </w:r>
      <w:r w:rsidR="0022085C" w:rsidRPr="00F176B9">
        <w:rPr>
          <w:rFonts w:ascii="Arial" w:eastAsia="Calibri" w:hAnsi="Arial" w:cs="Arial"/>
          <w:sz w:val="22"/>
          <w:lang w:val="es-CO"/>
        </w:rPr>
        <w:t>la contratación directa por parte de todos los entes del Estado</w:t>
      </w:r>
      <w:r w:rsidR="0022085C" w:rsidRPr="00F176B9">
        <w:rPr>
          <w:rFonts w:ascii="Arial" w:eastAsia="Calibri" w:hAnsi="Arial" w:cs="Arial"/>
          <w:bCs/>
          <w:sz w:val="22"/>
          <w:lang w:val="es-CO"/>
        </w:rPr>
        <w:t>»</w:t>
      </w:r>
      <w:r w:rsidR="0022085C" w:rsidRPr="00F176B9">
        <w:rPr>
          <w:rFonts w:ascii="Arial" w:eastAsia="Calibri" w:hAnsi="Arial" w:cs="Arial"/>
          <w:sz w:val="22"/>
          <w:lang w:val="es-CO"/>
        </w:rPr>
        <w:t xml:space="preserve"> durante los cuatro (4) meses anteriores a las elecciones presidenciales, salvo </w:t>
      </w:r>
      <w:r w:rsidR="0022085C" w:rsidRPr="00F176B9">
        <w:rPr>
          <w:rFonts w:ascii="Arial" w:eastAsia="Calibri" w:hAnsi="Arial" w:cs="Arial"/>
          <w:bCs/>
          <w:sz w:val="22"/>
          <w:lang w:val="es-CO"/>
        </w:rPr>
        <w:t xml:space="preserve">«[…] </w:t>
      </w:r>
      <w:r w:rsidR="0022085C" w:rsidRPr="00F176B9">
        <w:rPr>
          <w:rFonts w:ascii="Arial" w:eastAsia="Calibri" w:hAnsi="Arial" w:cs="Arial"/>
          <w:sz w:val="22"/>
          <w:lang w:val="es-CO"/>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F176B9">
        <w:rPr>
          <w:rFonts w:ascii="Arial" w:eastAsia="Calibri" w:hAnsi="Arial" w:cs="Arial"/>
          <w:bCs/>
          <w:sz w:val="22"/>
          <w:lang w:val="es-CO"/>
        </w:rPr>
        <w:t>»</w:t>
      </w:r>
      <w:r w:rsidR="0022085C" w:rsidRPr="00F176B9">
        <w:rPr>
          <w:rFonts w:ascii="Arial" w:eastAsia="Calibri" w:hAnsi="Arial" w:cs="Arial"/>
          <w:bCs/>
          <w:sz w:val="22"/>
          <w:vertAlign w:val="superscript"/>
          <w:lang w:val="es-CO"/>
        </w:rPr>
        <w:footnoteReference w:id="8"/>
      </w:r>
      <w:r w:rsidR="0022085C" w:rsidRPr="00F176B9">
        <w:rPr>
          <w:rFonts w:ascii="Arial" w:eastAsia="Calibri" w:hAnsi="Arial" w:cs="Arial"/>
          <w:sz w:val="22"/>
          <w:lang w:val="es-CO"/>
        </w:rPr>
        <w:t>.</w:t>
      </w:r>
    </w:p>
    <w:p w14:paraId="279AEBA3" w14:textId="30015405" w:rsidR="0022085C" w:rsidRPr="00F176B9" w:rsidRDefault="0022085C" w:rsidP="00F176B9">
      <w:pPr>
        <w:widowControl w:val="0"/>
        <w:autoSpaceDE w:val="0"/>
        <w:autoSpaceDN w:val="0"/>
        <w:spacing w:after="0"/>
        <w:ind w:right="113" w:firstLine="708"/>
        <w:rPr>
          <w:rFonts w:ascii="Arial" w:eastAsia="Arial" w:hAnsi="Arial" w:cs="Arial"/>
          <w:sz w:val="22"/>
          <w:lang w:val="es-ES" w:eastAsia="es-ES" w:bidi="es-ES"/>
        </w:rPr>
      </w:pPr>
      <w:r w:rsidRPr="00F176B9">
        <w:rPr>
          <w:rFonts w:ascii="Arial" w:eastAsia="Calibri" w:hAnsi="Arial" w:cs="Arial"/>
          <w:sz w:val="22"/>
          <w:lang w:val="es-CO"/>
        </w:rPr>
        <w:t xml:space="preserve">Por </w:t>
      </w:r>
      <w:r w:rsidR="00BD484B" w:rsidRPr="00F176B9">
        <w:rPr>
          <w:rFonts w:ascii="Arial" w:eastAsia="Calibri" w:hAnsi="Arial" w:cs="Arial"/>
          <w:sz w:val="22"/>
          <w:lang w:val="es-CO"/>
        </w:rPr>
        <w:t>otr</w:t>
      </w:r>
      <w:r w:rsidR="0050246B" w:rsidRPr="00F176B9">
        <w:rPr>
          <w:rFonts w:ascii="Arial" w:eastAsia="Calibri" w:hAnsi="Arial" w:cs="Arial"/>
          <w:sz w:val="22"/>
          <w:lang w:val="es-CO"/>
        </w:rPr>
        <w:t>o lado</w:t>
      </w:r>
      <w:r w:rsidRPr="00F176B9">
        <w:rPr>
          <w:rFonts w:ascii="Arial" w:eastAsia="Calibri" w:hAnsi="Arial" w:cs="Arial"/>
          <w:sz w:val="22"/>
          <w:lang w:val="es-CO"/>
        </w:rPr>
        <w:t xml:space="preserve">, el parágrafo del artículo 38 de la Ley 996 de 2005 prevé una </w:t>
      </w:r>
      <w:r w:rsidRPr="00F176B9">
        <w:rPr>
          <w:rFonts w:ascii="Arial" w:eastAsia="Calibri" w:hAnsi="Arial" w:cs="Arial"/>
          <w:sz w:val="22"/>
          <w:lang w:val="es-CO"/>
        </w:rPr>
        <w:lastRenderedPageBreak/>
        <w:t xml:space="preserve">restricción, aplicable respecto de cualquier tipo de </w:t>
      </w:r>
      <w:r w:rsidR="005617FA" w:rsidRPr="00F176B9">
        <w:rPr>
          <w:rFonts w:ascii="Arial" w:eastAsia="Calibri" w:hAnsi="Arial" w:cs="Arial"/>
          <w:sz w:val="22"/>
          <w:lang w:val="es-CO"/>
        </w:rPr>
        <w:t>contienda electoral</w:t>
      </w:r>
      <w:r w:rsidRPr="00F176B9">
        <w:rPr>
          <w:rFonts w:ascii="Arial" w:eastAsia="Calibri" w:hAnsi="Arial" w:cs="Arial"/>
          <w:sz w:val="22"/>
          <w:lang w:val="es-CO"/>
        </w:rPr>
        <w:t xml:space="preserve">, que prohíbe a los gobernadores, alcaldes municipales o distritales, secretarios, gerentes y directores de entidades descentralizadas del orden municipal, departamental o distrital </w:t>
      </w:r>
      <w:r w:rsidRPr="00F176B9">
        <w:rPr>
          <w:rFonts w:ascii="Arial" w:eastAsia="Calibri" w:hAnsi="Arial" w:cs="Arial"/>
          <w:bCs/>
          <w:sz w:val="22"/>
          <w:lang w:val="es-CO"/>
        </w:rPr>
        <w:t xml:space="preserve">«[…] </w:t>
      </w:r>
      <w:r w:rsidRPr="00F176B9">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176B9">
        <w:rPr>
          <w:rFonts w:ascii="Arial" w:eastAsia="Calibri" w:hAnsi="Arial" w:cs="Arial"/>
          <w:bCs/>
          <w:sz w:val="19"/>
          <w:szCs w:val="19"/>
          <w:lang w:val="es-CO"/>
        </w:rPr>
        <w:t>»</w:t>
      </w:r>
      <w:r w:rsidRPr="00F176B9">
        <w:rPr>
          <w:rFonts w:ascii="Arial" w:eastAsia="Calibri" w:hAnsi="Arial" w:cs="Arial"/>
          <w:bCs/>
          <w:sz w:val="19"/>
          <w:szCs w:val="19"/>
          <w:vertAlign w:val="superscript"/>
          <w:lang w:val="es-CO"/>
        </w:rPr>
        <w:footnoteReference w:id="9"/>
      </w:r>
      <w:r w:rsidRPr="00F176B9">
        <w:rPr>
          <w:rFonts w:ascii="Arial" w:eastAsia="Calibri" w:hAnsi="Arial" w:cs="Arial"/>
          <w:sz w:val="22"/>
        </w:rPr>
        <w:t>.</w:t>
      </w:r>
      <w:r w:rsidR="005617FA" w:rsidRPr="00F176B9">
        <w:rPr>
          <w:rFonts w:ascii="Arial" w:eastAsia="Arial" w:hAnsi="Arial" w:cs="Arial"/>
          <w:sz w:val="22"/>
          <w:lang w:val="es-ES" w:eastAsia="es-ES" w:bidi="es-ES"/>
        </w:rPr>
        <w:t xml:space="preserve"> </w:t>
      </w:r>
      <w:r w:rsidRPr="00F176B9">
        <w:rPr>
          <w:rFonts w:ascii="Arial" w:eastAsia="Arial" w:hAnsi="Arial" w:cs="Arial"/>
          <w:sz w:val="22"/>
          <w:lang w:val="es-ES" w:eastAsia="es-ES" w:bidi="es-ES"/>
        </w:rPr>
        <w:t>La Sala de Consulta y Servicio Civil del Consejo de Estado ha aclarado la distinción en la aplicación de las prohibiciones de la Ley 996 de 2005, dependiendo del tipo de elección que se trate</w:t>
      </w:r>
      <w:r w:rsidR="005617FA" w:rsidRPr="00F176B9">
        <w:rPr>
          <w:rFonts w:ascii="Arial" w:eastAsia="Arial" w:hAnsi="Arial" w:cs="Arial"/>
          <w:sz w:val="22"/>
          <w:lang w:val="es-ES" w:eastAsia="es-ES" w:bidi="es-ES"/>
        </w:rPr>
        <w:t>. Al respecto, considera que</w:t>
      </w:r>
      <w:r w:rsidRPr="00F176B9">
        <w:rPr>
          <w:rFonts w:ascii="Arial" w:eastAsia="Arial" w:hAnsi="Arial" w:cs="Arial"/>
          <w:sz w:val="22"/>
          <w:lang w:val="es-ES" w:eastAsia="es-ES" w:bidi="es-ES"/>
        </w:rPr>
        <w:t>:</w:t>
      </w:r>
    </w:p>
    <w:p w14:paraId="7D4E9CFC" w14:textId="77777777" w:rsidR="0022085C" w:rsidRPr="00F176B9" w:rsidRDefault="0022085C" w:rsidP="007B78B9">
      <w:pPr>
        <w:widowControl w:val="0"/>
        <w:autoSpaceDE w:val="0"/>
        <w:autoSpaceDN w:val="0"/>
        <w:spacing w:after="0" w:line="240" w:lineRule="auto"/>
        <w:ind w:left="805" w:right="812"/>
        <w:rPr>
          <w:rFonts w:ascii="Arial" w:eastAsia="Arial" w:hAnsi="Arial" w:cs="Arial"/>
          <w:sz w:val="22"/>
          <w:lang w:val="es-ES" w:eastAsia="es-ES" w:bidi="es-ES"/>
        </w:rPr>
      </w:pPr>
    </w:p>
    <w:p w14:paraId="4BE96868" w14:textId="3391572F" w:rsidR="0022085C" w:rsidRPr="00F176B9" w:rsidRDefault="0022085C" w:rsidP="00F176B9">
      <w:pPr>
        <w:widowControl w:val="0"/>
        <w:autoSpaceDE w:val="0"/>
        <w:autoSpaceDN w:val="0"/>
        <w:spacing w:after="0" w:line="240" w:lineRule="auto"/>
        <w:ind w:left="709" w:right="709"/>
        <w:rPr>
          <w:rFonts w:ascii="Arial" w:eastAsia="Arial" w:hAnsi="Arial" w:cs="Arial"/>
          <w:sz w:val="21"/>
          <w:szCs w:val="21"/>
          <w:lang w:val="es-ES" w:eastAsia="es-ES" w:bidi="es-ES"/>
        </w:rPr>
      </w:pPr>
      <w:r w:rsidRPr="00F176B9">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25" w:name="_Hlk76109421"/>
      <w:r w:rsidRPr="00F176B9">
        <w:rPr>
          <w:rFonts w:ascii="Arial" w:eastAsia="Arial" w:hAnsi="Arial" w:cs="Arial"/>
          <w:sz w:val="21"/>
          <w:szCs w:val="21"/>
          <w:lang w:val="es-ES" w:eastAsia="es-ES" w:bidi="es-ES"/>
        </w:rPr>
        <w:t>se integran parcialmente</w:t>
      </w:r>
      <w:bookmarkEnd w:id="25"/>
      <w:r w:rsidRPr="00F176B9">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F176B9">
        <w:rPr>
          <w:rFonts w:ascii="Arial" w:eastAsia="Arial" w:hAnsi="Arial" w:cs="Arial"/>
          <w:bCs/>
          <w:sz w:val="21"/>
          <w:szCs w:val="21"/>
          <w:lang w:val="es-ES" w:eastAsia="es-ES" w:bidi="es-ES"/>
        </w:rPr>
        <w:t xml:space="preserve">En cambio, para elecciones en general, excluyendo las correspondientes a </w:t>
      </w:r>
      <w:proofErr w:type="gramStart"/>
      <w:r w:rsidRPr="00F176B9">
        <w:rPr>
          <w:rFonts w:ascii="Arial" w:eastAsia="Arial" w:hAnsi="Arial" w:cs="Arial"/>
          <w:bCs/>
          <w:sz w:val="21"/>
          <w:szCs w:val="21"/>
          <w:lang w:val="es-ES" w:eastAsia="es-ES" w:bidi="es-ES"/>
        </w:rPr>
        <w:t>Presidente</w:t>
      </w:r>
      <w:proofErr w:type="gramEnd"/>
      <w:r w:rsidRPr="00F176B9">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F176B9">
        <w:rPr>
          <w:rFonts w:ascii="Arial" w:eastAsia="Arial" w:hAnsi="Arial" w:cs="Arial"/>
          <w:sz w:val="21"/>
          <w:szCs w:val="21"/>
          <w:lang w:val="es-ES" w:eastAsia="es-ES" w:bidi="es-ES"/>
        </w:rPr>
        <w:t>.</w:t>
      </w:r>
      <w:r w:rsidRPr="00F176B9">
        <w:rPr>
          <w:rFonts w:ascii="Arial" w:eastAsia="Arial" w:hAnsi="Arial" w:cs="Arial"/>
          <w:sz w:val="21"/>
          <w:szCs w:val="21"/>
          <w:vertAlign w:val="superscript"/>
          <w:lang w:val="es-ES" w:eastAsia="es-ES" w:bidi="es-ES"/>
        </w:rPr>
        <w:footnoteReference w:id="10"/>
      </w:r>
    </w:p>
    <w:p w14:paraId="5457372B" w14:textId="77777777" w:rsidR="0022085C" w:rsidRPr="00F176B9" w:rsidRDefault="0022085C" w:rsidP="007B78B9">
      <w:pPr>
        <w:widowControl w:val="0"/>
        <w:autoSpaceDE w:val="0"/>
        <w:autoSpaceDN w:val="0"/>
        <w:spacing w:before="8" w:after="0" w:line="240" w:lineRule="auto"/>
        <w:jc w:val="left"/>
        <w:rPr>
          <w:rFonts w:ascii="Arial" w:eastAsia="Arial" w:hAnsi="Arial" w:cs="Arial"/>
          <w:sz w:val="22"/>
          <w:lang w:val="es-ES" w:eastAsia="es-ES" w:bidi="es-ES"/>
        </w:rPr>
      </w:pPr>
    </w:p>
    <w:p w14:paraId="73F45566" w14:textId="44ACF7CC" w:rsidR="000932C2" w:rsidRPr="00F176B9" w:rsidRDefault="0022085C" w:rsidP="00F176B9">
      <w:pPr>
        <w:spacing w:after="120"/>
        <w:ind w:firstLine="709"/>
        <w:rPr>
          <w:rFonts w:ascii="Arial" w:eastAsia="Arial" w:hAnsi="Arial" w:cs="Arial"/>
          <w:sz w:val="22"/>
          <w:lang w:val="es-ES" w:eastAsia="es-ES" w:bidi="es-ES"/>
        </w:rPr>
      </w:pPr>
      <w:r w:rsidRPr="00F176B9">
        <w:rPr>
          <w:rFonts w:ascii="Arial" w:eastAsia="Arial" w:hAnsi="Arial" w:cs="Arial"/>
          <w:sz w:val="22"/>
          <w:lang w:val="es-ES" w:eastAsia="es-ES" w:bidi="es-ES"/>
        </w:rPr>
        <w:lastRenderedPageBreak/>
        <w:t xml:space="preserve">De conformidad con lo anterior, </w:t>
      </w:r>
      <w:bookmarkStart w:id="26" w:name="_Hlk77236420"/>
      <w:bookmarkStart w:id="27" w:name="_Hlk78818435"/>
      <w:bookmarkStart w:id="28" w:name="_Hlk75780333"/>
      <w:r w:rsidRPr="00F176B9">
        <w:rPr>
          <w:rFonts w:ascii="Arial" w:eastAsia="Arial" w:hAnsi="Arial" w:cs="Arial"/>
          <w:sz w:val="22"/>
          <w:lang w:val="es-ES" w:eastAsia="es-ES" w:bidi="es-ES"/>
        </w:rPr>
        <w:t>la Ley 996 de 2005 establece dos</w:t>
      </w:r>
      <w:r w:rsidR="00F10F67" w:rsidRPr="00F176B9">
        <w:rPr>
          <w:rFonts w:ascii="Arial" w:eastAsia="Arial" w:hAnsi="Arial" w:cs="Arial"/>
          <w:sz w:val="22"/>
          <w:lang w:val="es-ES" w:eastAsia="es-ES" w:bidi="es-ES"/>
        </w:rPr>
        <w:t xml:space="preserve"> (2)</w:t>
      </w:r>
      <w:r w:rsidRPr="00F176B9">
        <w:rPr>
          <w:rFonts w:ascii="Arial" w:eastAsia="Arial" w:hAnsi="Arial" w:cs="Arial"/>
          <w:sz w:val="22"/>
          <w:lang w:val="es-ES" w:eastAsia="es-ES" w:bidi="es-ES"/>
        </w:rPr>
        <w:t xml:space="preserve"> tipos de restricciones en materia de contratación, las cuales coinciden parcialmente</w:t>
      </w:r>
      <w:r w:rsidR="00DF3E38" w:rsidRPr="00F176B9">
        <w:rPr>
          <w:rFonts w:ascii="Arial" w:eastAsia="Arial" w:hAnsi="Arial" w:cs="Arial"/>
          <w:sz w:val="22"/>
          <w:lang w:val="es-ES" w:eastAsia="es-ES" w:bidi="es-ES"/>
        </w:rPr>
        <w:t xml:space="preserve">. </w:t>
      </w:r>
      <w:r w:rsidR="00DF3E38" w:rsidRPr="00F176B9">
        <w:rPr>
          <w:rFonts w:ascii="Arial" w:eastAsia="Arial" w:hAnsi="Arial" w:cs="Arial"/>
          <w:i/>
          <w:iCs/>
          <w:sz w:val="22"/>
          <w:lang w:val="es-ES" w:eastAsia="es-ES" w:bidi="es-ES"/>
        </w:rPr>
        <w:t>En primer lugar</w:t>
      </w:r>
      <w:r w:rsidR="00DF3E38" w:rsidRPr="00F176B9">
        <w:rPr>
          <w:rFonts w:ascii="Arial" w:eastAsia="Arial" w:hAnsi="Arial" w:cs="Arial"/>
          <w:sz w:val="22"/>
          <w:lang w:val="es-ES" w:eastAsia="es-ES" w:bidi="es-ES"/>
        </w:rPr>
        <w:t>,</w:t>
      </w:r>
      <w:r w:rsidRPr="00F176B9">
        <w:rPr>
          <w:rFonts w:ascii="Arial" w:eastAsia="Arial" w:hAnsi="Arial" w:cs="Arial"/>
          <w:sz w:val="22"/>
          <w:lang w:val="es-ES" w:eastAsia="es-ES" w:bidi="es-ES"/>
        </w:rPr>
        <w:t xml:space="preserve"> </w:t>
      </w:r>
      <w:r w:rsidR="00F10F67" w:rsidRPr="00F176B9">
        <w:rPr>
          <w:rFonts w:ascii="Arial" w:eastAsia="Arial" w:hAnsi="Arial" w:cs="Arial"/>
          <w:sz w:val="22"/>
          <w:lang w:val="es-ES" w:eastAsia="es-ES" w:bidi="es-ES"/>
        </w:rPr>
        <w:t>l</w:t>
      </w:r>
      <w:r w:rsidRPr="00F176B9">
        <w:rPr>
          <w:rFonts w:ascii="Arial" w:eastAsia="Arial" w:hAnsi="Arial" w:cs="Arial"/>
          <w:sz w:val="22"/>
          <w:lang w:val="es-ES" w:eastAsia="es-ES" w:bidi="es-ES"/>
        </w:rPr>
        <w:t xml:space="preserve">a del </w:t>
      </w:r>
      <w:r w:rsidRPr="00F04511">
        <w:rPr>
          <w:rFonts w:ascii="Arial" w:eastAsia="Arial" w:hAnsi="Arial" w:cs="Arial"/>
          <w:sz w:val="22"/>
          <w:lang w:val="es-ES" w:eastAsia="es-ES" w:bidi="es-ES"/>
        </w:rPr>
        <w:t>artículo 33</w:t>
      </w:r>
      <w:r w:rsidRPr="00F176B9">
        <w:rPr>
          <w:rFonts w:ascii="Arial" w:eastAsia="Arial" w:hAnsi="Arial" w:cs="Arial"/>
          <w:sz w:val="22"/>
          <w:lang w:val="es-ES" w:eastAsia="es-ES" w:bidi="es-ES"/>
        </w:rPr>
        <w:t xml:space="preserve"> que opera solo respecto de las elecciones presidenciales, en virtud de la cual queda proscrita la contratación directa dentro de los cuatro (4) meses anteriores a la celebración de los comicios, salvo las </w:t>
      </w:r>
      <w:r w:rsidR="00F10F67" w:rsidRPr="00F176B9">
        <w:rPr>
          <w:rFonts w:ascii="Arial" w:eastAsia="Arial" w:hAnsi="Arial" w:cs="Arial"/>
          <w:sz w:val="22"/>
          <w:lang w:val="es-ES" w:eastAsia="es-ES" w:bidi="es-ES"/>
        </w:rPr>
        <w:t xml:space="preserve">citadas </w:t>
      </w:r>
      <w:r w:rsidRPr="00F176B9">
        <w:rPr>
          <w:rFonts w:ascii="Arial" w:eastAsia="Arial" w:hAnsi="Arial" w:cs="Arial"/>
          <w:sz w:val="22"/>
          <w:lang w:val="es-ES" w:eastAsia="es-ES" w:bidi="es-ES"/>
        </w:rPr>
        <w:t>excepciones</w:t>
      </w:r>
      <w:r w:rsidR="00B36547" w:rsidRPr="00F176B9">
        <w:rPr>
          <w:rFonts w:ascii="Arial" w:eastAsia="Arial" w:hAnsi="Arial" w:cs="Arial"/>
          <w:sz w:val="22"/>
          <w:lang w:val="es-ES" w:eastAsia="es-ES" w:bidi="es-ES"/>
        </w:rPr>
        <w:t>.</w:t>
      </w:r>
      <w:r w:rsidR="00C14D9E" w:rsidRPr="00F176B9">
        <w:rPr>
          <w:rFonts w:ascii="Arial" w:eastAsia="Arial" w:hAnsi="Arial" w:cs="Arial"/>
          <w:sz w:val="22"/>
          <w:lang w:val="es-ES" w:eastAsia="es-ES" w:bidi="es-ES"/>
        </w:rPr>
        <w:t xml:space="preserve"> </w:t>
      </w:r>
      <w:r w:rsidR="003A0603" w:rsidRPr="00F176B9">
        <w:rPr>
          <w:rFonts w:ascii="Arial" w:eastAsia="Arial" w:hAnsi="Arial" w:cs="Arial"/>
          <w:sz w:val="22"/>
          <w:lang w:val="es-ES" w:eastAsia="es-ES" w:bidi="es-ES"/>
        </w:rPr>
        <w:t>Sin embargo, s</w:t>
      </w:r>
      <w:r w:rsidR="00C14D9E" w:rsidRPr="00F176B9">
        <w:rPr>
          <w:rFonts w:ascii="Arial" w:eastAsia="Arial" w:hAnsi="Arial" w:cs="Arial"/>
          <w:sz w:val="22"/>
          <w:lang w:val="es-ES" w:eastAsia="es-ES" w:bidi="es-ES"/>
        </w:rPr>
        <w:t>i ningún candidato obtiene la mitad más uno de los votos que, de manera secreta y directa, depositen los ciudadanos, se celebrará una nueva votación que tendrá lugar tres semanas más tarde, en la que sólo participarán los dos candidatos que hubieren obtenido las votaciones</w:t>
      </w:r>
      <w:r w:rsidR="00F10F67" w:rsidRPr="00F176B9">
        <w:rPr>
          <w:rFonts w:ascii="Arial" w:eastAsia="Arial" w:hAnsi="Arial" w:cs="Arial"/>
          <w:sz w:val="22"/>
          <w:lang w:val="es-ES" w:eastAsia="es-ES" w:bidi="es-ES"/>
        </w:rPr>
        <w:t xml:space="preserve"> más altas</w:t>
      </w:r>
      <w:r w:rsidR="00C14D9E" w:rsidRPr="00F176B9">
        <w:rPr>
          <w:rFonts w:ascii="Arial" w:eastAsia="Arial" w:hAnsi="Arial" w:cs="Arial"/>
          <w:sz w:val="22"/>
          <w:lang w:val="es-ES" w:eastAsia="es-ES" w:bidi="es-ES"/>
        </w:rPr>
        <w:t>, de conformidad con el artículo 190 de la Constitución Política</w:t>
      </w:r>
      <w:r w:rsidR="00F10F67" w:rsidRPr="00F176B9">
        <w:rPr>
          <w:rFonts w:ascii="Arial" w:eastAsia="Arial" w:hAnsi="Arial" w:cs="Arial"/>
          <w:sz w:val="22"/>
          <w:lang w:val="es-ES" w:eastAsia="es-ES" w:bidi="es-ES"/>
        </w:rPr>
        <w:t xml:space="preserve">. </w:t>
      </w:r>
      <w:r w:rsidR="00DF3E38" w:rsidRPr="00F176B9">
        <w:rPr>
          <w:rFonts w:ascii="Arial" w:eastAsia="Arial" w:hAnsi="Arial" w:cs="Arial"/>
          <w:sz w:val="22"/>
          <w:lang w:val="es-ES" w:eastAsia="es-ES" w:bidi="es-ES"/>
        </w:rPr>
        <w:t>Para estos efectos</w:t>
      </w:r>
      <w:r w:rsidR="00F10F67" w:rsidRPr="00F176B9">
        <w:rPr>
          <w:rFonts w:ascii="Arial" w:eastAsia="Arial" w:hAnsi="Arial" w:cs="Arial"/>
          <w:sz w:val="22"/>
          <w:lang w:val="es-ES" w:eastAsia="es-ES" w:bidi="es-ES"/>
        </w:rPr>
        <w:t xml:space="preserve">, </w:t>
      </w:r>
      <w:r w:rsidR="00C14D9E" w:rsidRPr="00F176B9">
        <w:rPr>
          <w:rFonts w:ascii="Arial" w:eastAsia="Arial" w:hAnsi="Arial" w:cs="Arial"/>
          <w:sz w:val="22"/>
          <w:lang w:val="es-ES" w:eastAsia="es-ES" w:bidi="es-ES"/>
        </w:rPr>
        <w:t>la restricción se extenderá hasta la fecha en la que se reali</w:t>
      </w:r>
      <w:r w:rsidR="00F10F67" w:rsidRPr="00F176B9">
        <w:rPr>
          <w:rFonts w:ascii="Arial" w:eastAsia="Arial" w:hAnsi="Arial" w:cs="Arial"/>
          <w:sz w:val="22"/>
          <w:lang w:val="es-ES" w:eastAsia="es-ES" w:bidi="es-ES"/>
        </w:rPr>
        <w:t>ce</w:t>
      </w:r>
      <w:r w:rsidR="00C14D9E" w:rsidRPr="00F176B9">
        <w:rPr>
          <w:rFonts w:ascii="Arial" w:eastAsia="Arial" w:hAnsi="Arial" w:cs="Arial"/>
          <w:sz w:val="22"/>
          <w:lang w:val="es-ES" w:eastAsia="es-ES" w:bidi="es-ES"/>
        </w:rPr>
        <w:t xml:space="preserve"> </w:t>
      </w:r>
      <w:r w:rsidR="00F10F67" w:rsidRPr="00F176B9">
        <w:rPr>
          <w:rFonts w:ascii="Arial" w:eastAsia="Arial" w:hAnsi="Arial" w:cs="Arial"/>
          <w:sz w:val="22"/>
          <w:lang w:val="es-ES" w:eastAsia="es-ES" w:bidi="es-ES"/>
        </w:rPr>
        <w:t>l</w:t>
      </w:r>
      <w:r w:rsidR="00C14D9E" w:rsidRPr="00F176B9">
        <w:rPr>
          <w:rFonts w:ascii="Arial" w:eastAsia="Arial" w:hAnsi="Arial" w:cs="Arial"/>
          <w:sz w:val="22"/>
          <w:lang w:val="es-ES" w:eastAsia="es-ES" w:bidi="es-ES"/>
        </w:rPr>
        <w:t xml:space="preserve">a segunda vuelta. </w:t>
      </w:r>
      <w:r w:rsidR="00F10F67" w:rsidRPr="00F176B9">
        <w:rPr>
          <w:rFonts w:ascii="Arial" w:eastAsia="Arial" w:hAnsi="Arial" w:cs="Arial"/>
          <w:i/>
          <w:iCs/>
          <w:sz w:val="22"/>
          <w:lang w:val="es-ES" w:eastAsia="es-ES" w:bidi="es-ES"/>
        </w:rPr>
        <w:t>E</w:t>
      </w:r>
      <w:r w:rsidR="00DF3E38" w:rsidRPr="00F176B9">
        <w:rPr>
          <w:rFonts w:ascii="Arial" w:eastAsia="Arial" w:hAnsi="Arial" w:cs="Arial"/>
          <w:i/>
          <w:iCs/>
          <w:sz w:val="22"/>
          <w:lang w:val="es-ES" w:eastAsia="es-ES" w:bidi="es-ES"/>
        </w:rPr>
        <w:t>n segundo lugar</w:t>
      </w:r>
      <w:r w:rsidR="00DF3E38" w:rsidRPr="00F176B9">
        <w:rPr>
          <w:rFonts w:ascii="Arial" w:eastAsia="Arial" w:hAnsi="Arial" w:cs="Arial"/>
          <w:sz w:val="22"/>
          <w:lang w:val="es-ES" w:eastAsia="es-ES" w:bidi="es-ES"/>
        </w:rPr>
        <w:t xml:space="preserve">, también se encuentra </w:t>
      </w:r>
      <w:r w:rsidR="00F10F67" w:rsidRPr="00F176B9">
        <w:rPr>
          <w:rFonts w:ascii="Arial" w:eastAsia="Arial" w:hAnsi="Arial" w:cs="Arial"/>
          <w:sz w:val="22"/>
          <w:lang w:val="es-ES" w:eastAsia="es-ES" w:bidi="es-ES"/>
        </w:rPr>
        <w:t>la prohibición</w:t>
      </w:r>
      <w:r w:rsidRPr="00F176B9">
        <w:rPr>
          <w:rFonts w:ascii="Arial" w:eastAsia="Arial" w:hAnsi="Arial" w:cs="Arial"/>
          <w:sz w:val="22"/>
          <w:lang w:val="es-ES" w:eastAsia="es-ES" w:bidi="es-ES"/>
        </w:rPr>
        <w:t xml:space="preserve"> del</w:t>
      </w:r>
      <w:r w:rsidR="00F10F67" w:rsidRPr="00F176B9">
        <w:rPr>
          <w:rFonts w:ascii="Arial" w:eastAsia="Arial" w:hAnsi="Arial" w:cs="Arial"/>
          <w:sz w:val="22"/>
          <w:lang w:val="es-ES" w:eastAsia="es-ES" w:bidi="es-ES"/>
        </w:rPr>
        <w:t xml:space="preserve"> parágrafo del</w:t>
      </w:r>
      <w:r w:rsidRPr="00F176B9">
        <w:rPr>
          <w:rFonts w:ascii="Arial" w:eastAsia="Arial" w:hAnsi="Arial" w:cs="Arial"/>
          <w:sz w:val="22"/>
          <w:lang w:val="es-ES" w:eastAsia="es-ES" w:bidi="es-ES"/>
        </w:rPr>
        <w:t xml:space="preserve"> artículo 38, </w:t>
      </w:r>
      <w:r w:rsidR="00F10F67" w:rsidRPr="00F176B9">
        <w:rPr>
          <w:rFonts w:ascii="Arial" w:eastAsia="Arial" w:hAnsi="Arial" w:cs="Arial"/>
          <w:sz w:val="22"/>
          <w:lang w:val="es-ES" w:eastAsia="es-ES" w:bidi="es-ES"/>
        </w:rPr>
        <w:t>el cual</w:t>
      </w:r>
      <w:r w:rsidRPr="00F176B9">
        <w:rPr>
          <w:rFonts w:ascii="Arial" w:eastAsia="Arial" w:hAnsi="Arial" w:cs="Arial"/>
          <w:sz w:val="22"/>
          <w:lang w:val="es-ES" w:eastAsia="es-ES" w:bidi="es-ES"/>
        </w:rPr>
        <w:t xml:space="preserve"> debe aplicarse respecto de cualquier tipo de </w:t>
      </w:r>
      <w:r w:rsidR="00F10F67" w:rsidRPr="00F176B9">
        <w:rPr>
          <w:rFonts w:ascii="Arial" w:eastAsia="Arial" w:hAnsi="Arial" w:cs="Arial"/>
          <w:sz w:val="22"/>
          <w:lang w:val="es-ES" w:eastAsia="es-ES" w:bidi="es-ES"/>
        </w:rPr>
        <w:t>contienda electoral</w:t>
      </w:r>
      <w:r w:rsidRPr="00F176B9">
        <w:rPr>
          <w:rFonts w:ascii="Arial" w:eastAsia="Arial" w:hAnsi="Arial" w:cs="Arial"/>
          <w:sz w:val="22"/>
          <w:lang w:val="es-ES" w:eastAsia="es-ES" w:bidi="es-ES"/>
        </w:rPr>
        <w:t>, y que prohíbe la celebración de convenios interadministrativos que impliquen la ejecución de recursos públicos</w:t>
      </w:r>
      <w:r w:rsidR="0019626E" w:rsidRPr="00F176B9">
        <w:rPr>
          <w:rFonts w:ascii="Arial" w:eastAsia="Arial" w:hAnsi="Arial" w:cs="Arial"/>
          <w:sz w:val="22"/>
          <w:lang w:val="es-ES" w:eastAsia="es-ES" w:bidi="es-ES"/>
        </w:rPr>
        <w:t xml:space="preserve"> dentro de los cuatro (4) meses anteriores a la respectiva jornada </w:t>
      </w:r>
      <w:r w:rsidR="00F10F67" w:rsidRPr="00F176B9">
        <w:rPr>
          <w:rFonts w:ascii="Arial" w:eastAsia="Arial" w:hAnsi="Arial" w:cs="Arial"/>
          <w:sz w:val="22"/>
          <w:lang w:val="es-ES" w:eastAsia="es-ES" w:bidi="es-ES"/>
        </w:rPr>
        <w:t>de votaciones</w:t>
      </w:r>
      <w:r w:rsidR="0019626E" w:rsidRPr="00F176B9">
        <w:rPr>
          <w:rFonts w:ascii="Arial" w:eastAsia="Arial" w:hAnsi="Arial" w:cs="Arial"/>
          <w:sz w:val="22"/>
          <w:lang w:val="es-ES" w:eastAsia="es-ES" w:bidi="es-ES"/>
        </w:rPr>
        <w:t>.</w:t>
      </w:r>
      <w:bookmarkEnd w:id="26"/>
    </w:p>
    <w:bookmarkEnd w:id="27"/>
    <w:p w14:paraId="0DC33A5F" w14:textId="2764EE7D" w:rsidR="00A95D9F" w:rsidRPr="00F176B9" w:rsidRDefault="00F10F67" w:rsidP="00F176B9">
      <w:pPr>
        <w:spacing w:after="120"/>
        <w:ind w:firstLine="709"/>
        <w:rPr>
          <w:rFonts w:ascii="Arial" w:eastAsia="Arial" w:hAnsi="Arial" w:cs="Arial"/>
          <w:sz w:val="22"/>
          <w:lang w:val="es-ES" w:eastAsia="es-ES" w:bidi="es-ES"/>
        </w:rPr>
      </w:pPr>
      <w:r w:rsidRPr="00F176B9">
        <w:rPr>
          <w:rFonts w:ascii="Arial" w:eastAsia="Arial" w:hAnsi="Arial" w:cs="Arial"/>
          <w:sz w:val="22"/>
          <w:lang w:val="es-ES" w:eastAsia="es-ES" w:bidi="es-ES"/>
        </w:rPr>
        <w:t>Ambas</w:t>
      </w:r>
      <w:r w:rsidR="000932C2" w:rsidRPr="00F176B9">
        <w:rPr>
          <w:rFonts w:ascii="Arial" w:eastAsia="Arial" w:hAnsi="Arial" w:cs="Arial"/>
          <w:sz w:val="22"/>
          <w:lang w:val="es-ES" w:eastAsia="es-ES" w:bidi="es-ES"/>
        </w:rPr>
        <w:t xml:space="preserve"> restricciones no </w:t>
      </w:r>
      <w:r w:rsidRPr="00F176B9">
        <w:rPr>
          <w:rFonts w:ascii="Arial" w:eastAsia="Arial" w:hAnsi="Arial" w:cs="Arial"/>
          <w:sz w:val="22"/>
          <w:lang w:val="es-ES" w:eastAsia="es-ES" w:bidi="es-ES"/>
        </w:rPr>
        <w:t xml:space="preserve">son </w:t>
      </w:r>
      <w:r w:rsidR="000932C2" w:rsidRPr="00F176B9">
        <w:rPr>
          <w:rFonts w:ascii="Arial" w:eastAsia="Arial" w:hAnsi="Arial" w:cs="Arial"/>
          <w:sz w:val="22"/>
          <w:lang w:val="es-ES" w:eastAsia="es-ES" w:bidi="es-ES"/>
        </w:rPr>
        <w:t>excluyen</w:t>
      </w:r>
      <w:r w:rsidRPr="00F176B9">
        <w:rPr>
          <w:rFonts w:ascii="Arial" w:eastAsia="Arial" w:hAnsi="Arial" w:cs="Arial"/>
          <w:sz w:val="22"/>
          <w:lang w:val="es-ES" w:eastAsia="es-ES" w:bidi="es-ES"/>
        </w:rPr>
        <w:t>tes</w:t>
      </w:r>
      <w:r w:rsidR="000932C2" w:rsidRPr="00F176B9">
        <w:rPr>
          <w:rFonts w:ascii="Arial" w:eastAsia="Arial" w:hAnsi="Arial" w:cs="Arial"/>
          <w:sz w:val="22"/>
          <w:lang w:val="es-ES" w:eastAsia="es-ES" w:bidi="es-ES"/>
        </w:rPr>
        <w:t>, lo que permite concluir que en el per</w:t>
      </w:r>
      <w:r w:rsidR="00751EE7" w:rsidRPr="00F176B9">
        <w:rPr>
          <w:rFonts w:ascii="Arial" w:eastAsia="Arial" w:hAnsi="Arial" w:cs="Arial"/>
          <w:sz w:val="22"/>
          <w:lang w:val="es-ES" w:eastAsia="es-ES" w:bidi="es-ES"/>
        </w:rPr>
        <w:t>í</w:t>
      </w:r>
      <w:r w:rsidR="000932C2" w:rsidRPr="00F176B9">
        <w:rPr>
          <w:rFonts w:ascii="Arial" w:eastAsia="Arial" w:hAnsi="Arial" w:cs="Arial"/>
          <w:sz w:val="22"/>
          <w:lang w:val="es-ES" w:eastAsia="es-ES" w:bidi="es-ES"/>
        </w:rPr>
        <w:t xml:space="preserve">odo preelectoral para elección de </w:t>
      </w:r>
      <w:proofErr w:type="gramStart"/>
      <w:r w:rsidR="000932C2" w:rsidRPr="00F176B9">
        <w:rPr>
          <w:rFonts w:ascii="Arial" w:eastAsia="Arial" w:hAnsi="Arial" w:cs="Arial"/>
          <w:sz w:val="22"/>
          <w:lang w:val="es-ES" w:eastAsia="es-ES" w:bidi="es-ES"/>
        </w:rPr>
        <w:t>Presidente</w:t>
      </w:r>
      <w:proofErr w:type="gramEnd"/>
      <w:r w:rsidR="000932C2" w:rsidRPr="00F176B9">
        <w:rPr>
          <w:rFonts w:ascii="Arial" w:eastAsia="Arial" w:hAnsi="Arial" w:cs="Arial"/>
          <w:sz w:val="22"/>
          <w:lang w:val="es-ES" w:eastAsia="es-ES" w:bidi="es-ES"/>
        </w:rPr>
        <w:t xml:space="preserve"> de la República, a todos los entes del Estado, incluidos los territoriales, aplican las restricciones del artículo 33 con sus excepciones, así como las del parágrafo del artículo 38. En cambio, </w:t>
      </w:r>
      <w:r w:rsidR="008C4353" w:rsidRPr="00F176B9">
        <w:rPr>
          <w:rFonts w:ascii="Arial" w:eastAsia="Arial" w:hAnsi="Arial" w:cs="Arial"/>
          <w:sz w:val="22"/>
          <w:lang w:val="es-ES" w:eastAsia="es-ES" w:bidi="es-ES"/>
        </w:rPr>
        <w:t xml:space="preserve">tratándose de </w:t>
      </w:r>
      <w:r w:rsidR="000932C2" w:rsidRPr="00F176B9">
        <w:rPr>
          <w:rFonts w:ascii="Arial" w:eastAsia="Arial" w:hAnsi="Arial" w:cs="Arial"/>
          <w:sz w:val="22"/>
          <w:lang w:val="es-ES" w:eastAsia="es-ES" w:bidi="es-ES"/>
        </w:rPr>
        <w:t>elecciones en general, excluyendo las correspondientes a</w:t>
      </w:r>
      <w:r w:rsidR="008C4353" w:rsidRPr="00F176B9">
        <w:rPr>
          <w:rFonts w:ascii="Arial" w:eastAsia="Arial" w:hAnsi="Arial" w:cs="Arial"/>
          <w:sz w:val="22"/>
          <w:lang w:val="es-ES" w:eastAsia="es-ES" w:bidi="es-ES"/>
        </w:rPr>
        <w:t>l</w:t>
      </w:r>
      <w:r w:rsidR="000932C2" w:rsidRPr="00F176B9">
        <w:rPr>
          <w:rFonts w:ascii="Arial" w:eastAsia="Arial" w:hAnsi="Arial" w:cs="Arial"/>
          <w:sz w:val="22"/>
          <w:lang w:val="es-ES" w:eastAsia="es-ES" w:bidi="es-ES"/>
        </w:rPr>
        <w:t xml:space="preserve"> </w:t>
      </w:r>
      <w:proofErr w:type="gramStart"/>
      <w:r w:rsidR="000932C2" w:rsidRPr="00F176B9">
        <w:rPr>
          <w:rFonts w:ascii="Arial" w:eastAsia="Arial" w:hAnsi="Arial" w:cs="Arial"/>
          <w:sz w:val="22"/>
          <w:lang w:val="es-ES" w:eastAsia="es-ES" w:bidi="es-ES"/>
        </w:rPr>
        <w:t>Presidente</w:t>
      </w:r>
      <w:proofErr w:type="gramEnd"/>
      <w:r w:rsidR="000932C2" w:rsidRPr="00F176B9">
        <w:rPr>
          <w:rFonts w:ascii="Arial" w:eastAsia="Arial" w:hAnsi="Arial" w:cs="Arial"/>
          <w:sz w:val="22"/>
          <w:lang w:val="es-ES" w:eastAsia="es-ES" w:bidi="es-ES"/>
        </w:rPr>
        <w:t xml:space="preserve"> de la República, las autoridades allí mencionadas sólo </w:t>
      </w:r>
      <w:r w:rsidR="008C4353" w:rsidRPr="00F176B9">
        <w:rPr>
          <w:rFonts w:ascii="Arial" w:eastAsia="Arial" w:hAnsi="Arial" w:cs="Arial"/>
          <w:sz w:val="22"/>
          <w:lang w:val="es-ES" w:eastAsia="es-ES" w:bidi="es-ES"/>
        </w:rPr>
        <w:t xml:space="preserve">deben </w:t>
      </w:r>
      <w:r w:rsidR="000932C2" w:rsidRPr="00F176B9">
        <w:rPr>
          <w:rFonts w:ascii="Arial" w:eastAsia="Arial" w:hAnsi="Arial" w:cs="Arial"/>
          <w:sz w:val="22"/>
          <w:lang w:val="es-ES" w:eastAsia="es-ES" w:bidi="es-ES"/>
        </w:rPr>
        <w:t>aplica</w:t>
      </w:r>
      <w:r w:rsidR="008C4353" w:rsidRPr="00F176B9">
        <w:rPr>
          <w:rFonts w:ascii="Arial" w:eastAsia="Arial" w:hAnsi="Arial" w:cs="Arial"/>
          <w:sz w:val="22"/>
          <w:lang w:val="es-ES" w:eastAsia="es-ES" w:bidi="es-ES"/>
        </w:rPr>
        <w:t>r</w:t>
      </w:r>
      <w:r w:rsidR="000932C2" w:rsidRPr="00F176B9">
        <w:rPr>
          <w:rFonts w:ascii="Arial" w:eastAsia="Arial" w:hAnsi="Arial" w:cs="Arial"/>
          <w:sz w:val="22"/>
          <w:lang w:val="es-ES" w:eastAsia="es-ES" w:bidi="es-ES"/>
        </w:rPr>
        <w:t xml:space="preserve"> las restricciones contenidas en el parágrafo del artículo 38.</w:t>
      </w:r>
    </w:p>
    <w:bookmarkEnd w:id="28"/>
    <w:p w14:paraId="33F3BC21" w14:textId="0AC817A3" w:rsidR="00A95D9F" w:rsidRPr="00F176B9" w:rsidRDefault="00F37460" w:rsidP="00F176B9">
      <w:pPr>
        <w:spacing w:after="0"/>
        <w:ind w:firstLine="708"/>
        <w:rPr>
          <w:rFonts w:ascii="Arial" w:eastAsia="Arial" w:hAnsi="Arial" w:cs="Arial"/>
          <w:sz w:val="22"/>
          <w:lang w:val="es-ES" w:eastAsia="es-ES" w:bidi="es-ES"/>
        </w:rPr>
      </w:pPr>
      <w:r w:rsidRPr="00F176B9">
        <w:rPr>
          <w:rFonts w:ascii="Arial" w:eastAsia="Arial" w:hAnsi="Arial" w:cs="Arial"/>
          <w:sz w:val="22"/>
          <w:lang w:val="es-ES" w:eastAsia="es-ES" w:bidi="es-ES"/>
        </w:rPr>
        <w:t>L</w:t>
      </w:r>
      <w:r w:rsidR="00A95D9F" w:rsidRPr="00F176B9">
        <w:rPr>
          <w:rFonts w:ascii="Arial" w:eastAsia="Arial" w:hAnsi="Arial" w:cs="Arial"/>
          <w:sz w:val="22"/>
          <w:lang w:val="es-ES" w:eastAsia="es-ES" w:bidi="es-ES"/>
        </w:rPr>
        <w:t xml:space="preserve">a Corte Constitucional, en la Sentencia C-1153 del 11 de noviembre de 2005, señaló que, para que la garantía sea plena, era necesario que la prohibición se aplicara para el </w:t>
      </w:r>
      <w:proofErr w:type="gramStart"/>
      <w:r w:rsidR="00A95D9F" w:rsidRPr="00F176B9">
        <w:rPr>
          <w:rFonts w:ascii="Arial" w:eastAsia="Arial" w:hAnsi="Arial" w:cs="Arial"/>
          <w:sz w:val="22"/>
          <w:lang w:val="es-ES" w:eastAsia="es-ES" w:bidi="es-ES"/>
        </w:rPr>
        <w:t>Presidente</w:t>
      </w:r>
      <w:proofErr w:type="gramEnd"/>
      <w:r w:rsidR="00A95D9F" w:rsidRPr="00F176B9">
        <w:rPr>
          <w:rFonts w:ascii="Arial" w:eastAsia="Arial" w:hAnsi="Arial" w:cs="Arial"/>
          <w:sz w:val="22"/>
          <w:lang w:val="es-ES" w:eastAsia="es-ES" w:bidi="es-ES"/>
        </w:rPr>
        <w:t xml:space="preserve"> o el Vicepresidente desde que éstos </w:t>
      </w:r>
      <w:r w:rsidR="00C44882" w:rsidRPr="00F176B9">
        <w:rPr>
          <w:rFonts w:ascii="Arial" w:eastAsia="Arial" w:hAnsi="Arial" w:cs="Arial"/>
          <w:sz w:val="22"/>
          <w:lang w:val="es-ES" w:eastAsia="es-ES" w:bidi="es-ES"/>
        </w:rPr>
        <w:t>–</w:t>
      </w:r>
      <w:r w:rsidR="00A95D9F" w:rsidRPr="00F176B9">
        <w:rPr>
          <w:rFonts w:ascii="Arial" w:eastAsia="Arial" w:hAnsi="Arial" w:cs="Arial"/>
          <w:sz w:val="22"/>
          <w:lang w:val="es-ES" w:eastAsia="es-ES" w:bidi="es-ES"/>
        </w:rPr>
        <w:t>estando en ejercicio de su cargo</w:t>
      </w:r>
      <w:r w:rsidR="00C44882" w:rsidRPr="00F176B9">
        <w:rPr>
          <w:rFonts w:ascii="Arial" w:eastAsia="Arial" w:hAnsi="Arial" w:cs="Arial"/>
          <w:sz w:val="22"/>
          <w:lang w:val="es-ES" w:eastAsia="es-ES" w:bidi="es-ES"/>
        </w:rPr>
        <w:t>–</w:t>
      </w:r>
      <w:r w:rsidR="00A95D9F" w:rsidRPr="00F176B9">
        <w:rPr>
          <w:rFonts w:ascii="Arial" w:eastAsia="Arial" w:hAnsi="Arial" w:cs="Arial"/>
          <w:sz w:val="22"/>
          <w:lang w:val="es-ES" w:eastAsia="es-ES" w:bidi="es-ES"/>
        </w:rPr>
        <w:t xml:space="preserve">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w:t>
      </w:r>
      <w:r w:rsidR="00591F4C" w:rsidRPr="00F176B9">
        <w:rPr>
          <w:rFonts w:ascii="Arial" w:eastAsia="Arial" w:hAnsi="Arial" w:cs="Arial"/>
          <w:sz w:val="22"/>
          <w:lang w:val="es-ES" w:eastAsia="es-ES" w:bidi="es-ES"/>
        </w:rPr>
        <w:t>, conforme</w:t>
      </w:r>
      <w:r w:rsidR="00A95D9F" w:rsidRPr="00F176B9">
        <w:rPr>
          <w:rFonts w:ascii="Arial" w:eastAsia="Arial" w:hAnsi="Arial" w:cs="Arial"/>
          <w:sz w:val="22"/>
          <w:lang w:val="es-ES" w:eastAsia="es-ES" w:bidi="es-ES"/>
        </w:rPr>
        <w:t xml:space="preserve"> </w:t>
      </w:r>
      <w:r w:rsidR="00591F4C" w:rsidRPr="00F176B9">
        <w:rPr>
          <w:rFonts w:ascii="Arial" w:eastAsia="Arial" w:hAnsi="Arial" w:cs="Arial"/>
          <w:sz w:val="22"/>
          <w:lang w:val="es-ES" w:eastAsia="es-ES" w:bidi="es-ES"/>
        </w:rPr>
        <w:t xml:space="preserve">al </w:t>
      </w:r>
      <w:r w:rsidR="00A95D9F" w:rsidRPr="00F176B9">
        <w:rPr>
          <w:rFonts w:ascii="Arial" w:eastAsia="Arial" w:hAnsi="Arial" w:cs="Arial"/>
          <w:sz w:val="22"/>
          <w:lang w:val="es-ES" w:eastAsia="es-ES" w:bidi="es-ES"/>
        </w:rPr>
        <w:t xml:space="preserve">artículo 197 de la </w:t>
      </w:r>
      <w:r w:rsidR="00591F4C" w:rsidRPr="00F176B9">
        <w:rPr>
          <w:rFonts w:ascii="Arial" w:eastAsia="Arial" w:hAnsi="Arial" w:cs="Arial"/>
          <w:sz w:val="22"/>
          <w:lang w:val="es-ES" w:eastAsia="es-ES" w:bidi="es-ES"/>
        </w:rPr>
        <w:t>Constitución</w:t>
      </w:r>
      <w:r w:rsidR="00A95D9F" w:rsidRPr="00F176B9">
        <w:rPr>
          <w:rFonts w:ascii="Arial" w:eastAsia="Arial" w:hAnsi="Arial" w:cs="Arial"/>
          <w:sz w:val="22"/>
          <w:lang w:val="es-ES" w:eastAsia="es-ES" w:bidi="es-ES"/>
        </w:rPr>
        <w:t xml:space="preserve"> Política.  </w:t>
      </w:r>
    </w:p>
    <w:p w14:paraId="2F369577" w14:textId="77777777" w:rsidR="00533C01" w:rsidRPr="00F176B9" w:rsidRDefault="00533C01" w:rsidP="007B78B9">
      <w:pPr>
        <w:spacing w:after="0" w:line="240" w:lineRule="auto"/>
        <w:rPr>
          <w:rFonts w:ascii="Arial" w:eastAsia="Times New Roman" w:hAnsi="Arial" w:cs="Arial"/>
          <w:bCs/>
          <w:sz w:val="22"/>
          <w:lang w:val="es-ES" w:eastAsia="es-CO"/>
        </w:rPr>
      </w:pPr>
    </w:p>
    <w:p w14:paraId="0B5B69F1" w14:textId="393F6EBB" w:rsidR="008A1966" w:rsidRPr="00F176B9" w:rsidRDefault="007853BD" w:rsidP="00F176B9">
      <w:pPr>
        <w:spacing w:after="0"/>
        <w:rPr>
          <w:rFonts w:ascii="Arial" w:eastAsia="Times New Roman" w:hAnsi="Arial" w:cs="Arial"/>
          <w:b/>
          <w:sz w:val="22"/>
          <w:lang w:val="es-ES" w:eastAsia="es-CO"/>
        </w:rPr>
      </w:pPr>
      <w:r w:rsidRPr="00F176B9">
        <w:rPr>
          <w:rFonts w:ascii="Arial" w:eastAsia="Times New Roman" w:hAnsi="Arial" w:cs="Arial"/>
          <w:b/>
          <w:sz w:val="22"/>
          <w:lang w:val="es-ES" w:eastAsia="es-CO"/>
        </w:rPr>
        <w:t>2.</w:t>
      </w:r>
      <w:r w:rsidR="004E638B" w:rsidRPr="00F176B9">
        <w:rPr>
          <w:rFonts w:ascii="Arial" w:eastAsia="Times New Roman" w:hAnsi="Arial" w:cs="Arial"/>
          <w:b/>
          <w:sz w:val="22"/>
          <w:lang w:val="es-ES" w:eastAsia="es-CO"/>
        </w:rPr>
        <w:t>2</w:t>
      </w:r>
      <w:r w:rsidRPr="00F176B9">
        <w:rPr>
          <w:rFonts w:ascii="Arial" w:eastAsia="Times New Roman" w:hAnsi="Arial" w:cs="Arial"/>
          <w:b/>
          <w:sz w:val="22"/>
          <w:lang w:val="es-ES" w:eastAsia="es-CO"/>
        </w:rPr>
        <w:t xml:space="preserve">. </w:t>
      </w:r>
      <w:r w:rsidR="008A1966" w:rsidRPr="00F176B9">
        <w:rPr>
          <w:rFonts w:ascii="Arial" w:eastAsia="Times New Roman" w:hAnsi="Arial" w:cs="Arial"/>
          <w:b/>
          <w:bCs/>
          <w:sz w:val="22"/>
          <w:lang w:eastAsia="es-CO"/>
        </w:rPr>
        <w:t xml:space="preserve">Restricciones en elecciones presidenciales </w:t>
      </w:r>
    </w:p>
    <w:p w14:paraId="7D9199F2" w14:textId="77777777" w:rsidR="00F61159" w:rsidRPr="00F176B9" w:rsidRDefault="00F61159" w:rsidP="007B78B9">
      <w:pPr>
        <w:spacing w:after="0" w:line="240" w:lineRule="auto"/>
        <w:rPr>
          <w:rFonts w:ascii="Arial" w:eastAsia="Times New Roman" w:hAnsi="Arial" w:cs="Arial"/>
          <w:bCs/>
          <w:sz w:val="22"/>
          <w:lang w:eastAsia="x-none"/>
        </w:rPr>
      </w:pPr>
    </w:p>
    <w:p w14:paraId="7E852C96" w14:textId="53DAF65D" w:rsidR="00DB61B2" w:rsidRPr="00F176B9" w:rsidRDefault="00DB61B2" w:rsidP="00F176B9">
      <w:pPr>
        <w:spacing w:after="0"/>
        <w:rPr>
          <w:rFonts w:ascii="Arial" w:eastAsia="Times New Roman" w:hAnsi="Arial" w:cs="Arial"/>
          <w:bCs/>
          <w:sz w:val="22"/>
          <w:lang w:eastAsia="es-CO"/>
        </w:rPr>
      </w:pPr>
      <w:r w:rsidRPr="00F176B9">
        <w:rPr>
          <w:rFonts w:ascii="Arial" w:eastAsia="Times New Roman" w:hAnsi="Arial" w:cs="Arial"/>
          <w:bCs/>
          <w:sz w:val="22"/>
          <w:lang w:eastAsia="x-none"/>
        </w:rPr>
        <w:lastRenderedPageBreak/>
        <w:t xml:space="preserve">El ámbito material de la prohibición contenida </w:t>
      </w:r>
      <w:bookmarkStart w:id="29" w:name="_Hlk75628761"/>
      <w:r w:rsidRPr="00F176B9">
        <w:rPr>
          <w:rFonts w:ascii="Arial" w:eastAsia="Times New Roman" w:hAnsi="Arial" w:cs="Arial"/>
          <w:bCs/>
          <w:sz w:val="22"/>
          <w:lang w:eastAsia="x-none"/>
        </w:rPr>
        <w:t xml:space="preserve">en el artículo 33 de la ley 996 de 2005 </w:t>
      </w:r>
      <w:bookmarkEnd w:id="29"/>
      <w:r w:rsidRPr="00F176B9">
        <w:rPr>
          <w:rFonts w:ascii="Arial" w:eastAsia="Times New Roman" w:hAnsi="Arial" w:cs="Arial"/>
          <w:bCs/>
          <w:sz w:val="22"/>
          <w:lang w:eastAsia="x-none"/>
        </w:rPr>
        <w:t xml:space="preserve">está delimitado por la expresión </w:t>
      </w:r>
      <w:r w:rsidR="00174FBC" w:rsidRPr="00F176B9">
        <w:rPr>
          <w:rFonts w:ascii="Arial" w:eastAsia="Calibri" w:hAnsi="Arial" w:cs="Arial"/>
          <w:bCs/>
          <w:sz w:val="20"/>
          <w:szCs w:val="20"/>
        </w:rPr>
        <w:t>«</w:t>
      </w:r>
      <w:r w:rsidRPr="00F176B9">
        <w:rPr>
          <w:rFonts w:ascii="Arial" w:eastAsia="Times New Roman" w:hAnsi="Arial" w:cs="Arial"/>
          <w:bCs/>
          <w:sz w:val="22"/>
          <w:lang w:eastAsia="x-none"/>
        </w:rPr>
        <w:t>queda prohibida la contratación directa</w:t>
      </w:r>
      <w:r w:rsidR="00174FBC" w:rsidRPr="00F176B9">
        <w:rPr>
          <w:rFonts w:ascii="Arial" w:hAnsi="Arial" w:cs="Arial"/>
          <w:sz w:val="20"/>
          <w:szCs w:val="20"/>
        </w:rPr>
        <w:t>»</w:t>
      </w:r>
      <w:r w:rsidRPr="00F176B9">
        <w:rPr>
          <w:rFonts w:ascii="Arial" w:eastAsia="Times New Roman" w:hAnsi="Arial" w:cs="Arial"/>
          <w:bCs/>
          <w:sz w:val="22"/>
          <w:lang w:eastAsia="x-none"/>
        </w:rPr>
        <w:t xml:space="preserve">. </w:t>
      </w:r>
      <w:r w:rsidRPr="00F176B9">
        <w:rPr>
          <w:rFonts w:ascii="Arial" w:eastAsia="Times New Roman" w:hAnsi="Arial" w:cs="Arial"/>
          <w:sz w:val="22"/>
          <w:lang w:eastAsia="es-CO"/>
        </w:rPr>
        <w:t xml:space="preserve"> A propósito de </w:t>
      </w:r>
      <w:r w:rsidRPr="00F176B9">
        <w:rPr>
          <w:rFonts w:ascii="Arial" w:eastAsia="Times New Roman" w:hAnsi="Arial" w:cs="Arial"/>
          <w:sz w:val="22"/>
          <w:lang w:val="es-CO" w:eastAsia="es-CO"/>
        </w:rPr>
        <w:t xml:space="preserve">esta restricción de la </w:t>
      </w:r>
      <w:r w:rsidR="007701D9" w:rsidRPr="00F176B9">
        <w:rPr>
          <w:rFonts w:ascii="Arial" w:eastAsia="Times New Roman" w:hAnsi="Arial" w:cs="Arial"/>
          <w:sz w:val="22"/>
          <w:lang w:val="es-CO" w:eastAsia="es-CO"/>
        </w:rPr>
        <w:t>Ley de Garantías Electorales</w:t>
      </w:r>
      <w:r w:rsidRPr="00F176B9">
        <w:rPr>
          <w:rFonts w:ascii="Arial" w:eastAsia="Times New Roman" w:hAnsi="Arial" w:cs="Arial"/>
          <w:sz w:val="22"/>
          <w:lang w:val="es-CO" w:eastAsia="es-CO"/>
        </w:rPr>
        <w:t>, la Sala de Consulta y Servicio Civil del Consejo de Estado</w:t>
      </w:r>
      <w:r w:rsidR="007701D9" w:rsidRPr="00F176B9">
        <w:rPr>
          <w:rFonts w:ascii="Arial" w:eastAsia="Times New Roman" w:hAnsi="Arial" w:cs="Arial"/>
          <w:sz w:val="22"/>
          <w:lang w:val="es-CO" w:eastAsia="es-CO"/>
        </w:rPr>
        <w:t xml:space="preserve"> </w:t>
      </w:r>
      <w:r w:rsidR="00E4777A" w:rsidRPr="00F176B9">
        <w:rPr>
          <w:rFonts w:ascii="Arial" w:eastAsia="Times New Roman" w:hAnsi="Arial" w:cs="Arial"/>
          <w:sz w:val="22"/>
          <w:lang w:val="es-CO" w:eastAsia="es-CO"/>
        </w:rPr>
        <w:t xml:space="preserve">ha </w:t>
      </w:r>
      <w:r w:rsidR="007701D9" w:rsidRPr="00F176B9">
        <w:rPr>
          <w:rFonts w:ascii="Arial" w:eastAsia="Times New Roman" w:hAnsi="Arial" w:cs="Arial"/>
          <w:sz w:val="22"/>
          <w:lang w:val="es-CO" w:eastAsia="es-CO"/>
        </w:rPr>
        <w:t>considera</w:t>
      </w:r>
      <w:r w:rsidR="00E4777A" w:rsidRPr="00F176B9">
        <w:rPr>
          <w:rFonts w:ascii="Arial" w:eastAsia="Times New Roman" w:hAnsi="Arial" w:cs="Arial"/>
          <w:sz w:val="22"/>
          <w:lang w:val="es-CO" w:eastAsia="es-CO"/>
        </w:rPr>
        <w:t>do</w:t>
      </w:r>
      <w:r w:rsidR="007701D9" w:rsidRPr="00F176B9">
        <w:rPr>
          <w:rFonts w:ascii="Arial" w:eastAsia="Times New Roman" w:hAnsi="Arial" w:cs="Arial"/>
          <w:sz w:val="22"/>
          <w:lang w:val="es-CO" w:eastAsia="es-CO"/>
        </w:rPr>
        <w:t xml:space="preserve"> que</w:t>
      </w:r>
      <w:r w:rsidRPr="00F176B9">
        <w:rPr>
          <w:rFonts w:ascii="Arial" w:eastAsia="Times New Roman" w:hAnsi="Arial" w:cs="Arial"/>
          <w:sz w:val="22"/>
          <w:lang w:val="es-CO" w:eastAsia="es-CO"/>
        </w:rPr>
        <w:t>:</w:t>
      </w:r>
    </w:p>
    <w:p w14:paraId="0A466F33" w14:textId="77777777" w:rsidR="00F61159" w:rsidRPr="007B78B9" w:rsidRDefault="00F61159" w:rsidP="00F176B9">
      <w:pPr>
        <w:spacing w:after="0"/>
        <w:ind w:left="708" w:right="709"/>
        <w:rPr>
          <w:rFonts w:ascii="Arial" w:hAnsi="Arial" w:cs="Arial"/>
          <w:sz w:val="16"/>
          <w:szCs w:val="16"/>
        </w:rPr>
      </w:pPr>
    </w:p>
    <w:p w14:paraId="33D9C2F3" w14:textId="122A3D0F" w:rsidR="00DB61B2" w:rsidRPr="00F176B9" w:rsidRDefault="00DB61B2" w:rsidP="00F176B9">
      <w:pPr>
        <w:spacing w:after="120" w:line="240" w:lineRule="auto"/>
        <w:ind w:left="709" w:right="709"/>
        <w:rPr>
          <w:rFonts w:ascii="Arial" w:hAnsi="Arial" w:cs="Arial"/>
          <w:sz w:val="21"/>
          <w:szCs w:val="21"/>
        </w:rPr>
      </w:pPr>
      <w:r w:rsidRPr="00F176B9">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F176B9">
        <w:rPr>
          <w:rFonts w:ascii="Arial" w:eastAsia="Times New Roman" w:hAnsi="Arial" w:cs="Arial"/>
          <w:sz w:val="22"/>
          <w:vertAlign w:val="superscript"/>
          <w:lang w:val="es-CO" w:eastAsia="es-CO"/>
        </w:rPr>
        <w:footnoteReference w:id="11"/>
      </w:r>
      <w:r w:rsidRPr="00F176B9">
        <w:rPr>
          <w:rFonts w:ascii="Arial" w:hAnsi="Arial" w:cs="Arial"/>
          <w:sz w:val="21"/>
          <w:szCs w:val="21"/>
        </w:rPr>
        <w:t>.</w:t>
      </w:r>
    </w:p>
    <w:p w14:paraId="054DAA8C" w14:textId="14BE792C" w:rsidR="00DB61B2" w:rsidRPr="00F176B9" w:rsidRDefault="00DB61B2" w:rsidP="00F176B9">
      <w:pPr>
        <w:spacing w:after="0" w:line="240" w:lineRule="auto"/>
        <w:ind w:left="708" w:right="709"/>
        <w:rPr>
          <w:rFonts w:ascii="Arial" w:hAnsi="Arial" w:cs="Arial"/>
          <w:sz w:val="21"/>
          <w:szCs w:val="21"/>
        </w:rPr>
      </w:pPr>
      <w:r w:rsidRPr="00F176B9">
        <w:rPr>
          <w:rFonts w:ascii="Arial" w:hAnsi="Arial" w:cs="Arial"/>
          <w:sz w:val="21"/>
          <w:szCs w:val="21"/>
        </w:rPr>
        <w:t xml:space="preserve">Esta Sala ha entendido que para los efectos de la ley de garantías, y dada su finalidad, el enunciado ´contratación directa´ es sinónimo </w:t>
      </w:r>
      <w:bookmarkStart w:id="32" w:name="_Hlk75741738"/>
      <w:r w:rsidRPr="00F176B9">
        <w:rPr>
          <w:rFonts w:ascii="Arial" w:hAnsi="Arial" w:cs="Arial"/>
          <w:sz w:val="21"/>
          <w:szCs w:val="21"/>
        </w:rPr>
        <w:t xml:space="preserve">de cualquier sistema que no implique convocatoria pública y posibilidad de pluralidad de oferentes, </w:t>
      </w:r>
      <w:bookmarkEnd w:id="32"/>
      <w:r w:rsidRPr="00F176B9">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F176B9">
        <w:rPr>
          <w:rFonts w:ascii="Arial" w:eastAsia="Times New Roman" w:hAnsi="Arial" w:cs="Arial"/>
          <w:sz w:val="21"/>
          <w:szCs w:val="21"/>
          <w:vertAlign w:val="superscript"/>
        </w:rPr>
        <w:footnoteReference w:id="12"/>
      </w:r>
      <w:r w:rsidRPr="00F176B9">
        <w:rPr>
          <w:rFonts w:ascii="Arial" w:eastAsia="Times New Roman" w:hAnsi="Arial" w:cs="Arial"/>
          <w:sz w:val="21"/>
          <w:szCs w:val="21"/>
          <w:vertAlign w:val="superscript"/>
        </w:rPr>
        <w:t>.</w:t>
      </w:r>
      <w:r w:rsidRPr="00F176B9">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7701D9" w:rsidRPr="00F176B9">
        <w:rPr>
          <w:rFonts w:ascii="Arial" w:eastAsia="Times New Roman" w:hAnsi="Arial" w:cs="Arial"/>
          <w:sz w:val="22"/>
          <w:vertAlign w:val="superscript"/>
          <w:lang w:val="es-CO" w:eastAsia="es-CO"/>
        </w:rPr>
        <w:footnoteReference w:id="13"/>
      </w:r>
      <w:r w:rsidRPr="00F176B9">
        <w:rPr>
          <w:rFonts w:ascii="Arial" w:hAnsi="Arial" w:cs="Arial"/>
          <w:sz w:val="21"/>
          <w:szCs w:val="21"/>
        </w:rPr>
        <w:t xml:space="preserve"> .</w:t>
      </w:r>
    </w:p>
    <w:p w14:paraId="2D8D2D07" w14:textId="77777777" w:rsidR="00F61159" w:rsidRPr="007B78B9" w:rsidRDefault="00F61159" w:rsidP="00F176B9">
      <w:pPr>
        <w:spacing w:after="0"/>
        <w:ind w:firstLine="709"/>
        <w:rPr>
          <w:rFonts w:ascii="Arial" w:eastAsia="Times New Roman" w:hAnsi="Arial" w:cs="Arial"/>
          <w:sz w:val="16"/>
          <w:szCs w:val="16"/>
          <w:lang w:val="es-CO" w:eastAsia="x-none"/>
        </w:rPr>
      </w:pPr>
    </w:p>
    <w:p w14:paraId="4F36D7D2" w14:textId="1FE4AE8F" w:rsidR="00F61159" w:rsidRPr="00F176B9" w:rsidRDefault="00DB61B2" w:rsidP="00F176B9">
      <w:pPr>
        <w:spacing w:after="120"/>
        <w:ind w:firstLine="708"/>
        <w:rPr>
          <w:rFonts w:ascii="Arial" w:eastAsia="Times New Roman" w:hAnsi="Arial" w:cs="Arial"/>
          <w:bCs/>
          <w:sz w:val="22"/>
          <w:lang w:val="es-CO" w:eastAsia="x-none"/>
        </w:rPr>
      </w:pPr>
      <w:r w:rsidRPr="00F176B9">
        <w:rPr>
          <w:rFonts w:ascii="Arial" w:eastAsia="Times New Roman" w:hAnsi="Arial" w:cs="Arial"/>
          <w:sz w:val="22"/>
          <w:lang w:val="es-CO" w:eastAsia="x-none"/>
        </w:rPr>
        <w:t>De conformidad con el citado concepto</w:t>
      </w:r>
      <w:r w:rsidR="00856B57" w:rsidRPr="00F176B9">
        <w:rPr>
          <w:rFonts w:ascii="Arial" w:eastAsia="Times New Roman" w:hAnsi="Arial" w:cs="Arial"/>
          <w:sz w:val="22"/>
          <w:lang w:val="es-CO" w:eastAsia="x-none"/>
        </w:rPr>
        <w:t>,</w:t>
      </w:r>
      <w:r w:rsidRPr="00F176B9">
        <w:rPr>
          <w:rFonts w:ascii="Arial" w:eastAsia="Times New Roman" w:hAnsi="Arial" w:cs="Arial"/>
          <w:sz w:val="22"/>
          <w:lang w:val="es-CO" w:eastAsia="x-none"/>
        </w:rPr>
        <w:t xml:space="preserve"> </w:t>
      </w:r>
      <w:bookmarkStart w:id="34" w:name="_Hlk78818702"/>
      <w:r w:rsidRPr="00F176B9">
        <w:rPr>
          <w:rFonts w:ascii="Arial" w:eastAsia="Times New Roman" w:hAnsi="Arial" w:cs="Arial"/>
          <w:sz w:val="22"/>
          <w:lang w:val="es-CO" w:eastAsia="x-none"/>
        </w:rPr>
        <w:t xml:space="preserve">la prohibición </w:t>
      </w:r>
      <w:r w:rsidR="00856B57" w:rsidRPr="00F176B9">
        <w:rPr>
          <w:rFonts w:ascii="Arial" w:eastAsia="Times New Roman" w:hAnsi="Arial" w:cs="Arial"/>
          <w:sz w:val="22"/>
          <w:lang w:val="es-CO" w:eastAsia="x-none"/>
        </w:rPr>
        <w:t>d</w:t>
      </w:r>
      <w:r w:rsidRPr="00F176B9">
        <w:rPr>
          <w:rFonts w:ascii="Arial" w:eastAsia="Times New Roman" w:hAnsi="Arial" w:cs="Arial"/>
          <w:sz w:val="22"/>
          <w:lang w:val="es-CO" w:eastAsia="x-none"/>
        </w:rPr>
        <w:t xml:space="preserve">el artículo 33 de la Ley de Garantías Electorales se refiere a </w:t>
      </w:r>
      <w:bookmarkStart w:id="35" w:name="_Hlk74294635"/>
      <w:r w:rsidRPr="00F176B9">
        <w:rPr>
          <w:rFonts w:ascii="Arial" w:eastAsia="Times New Roman" w:hAnsi="Arial" w:cs="Arial"/>
          <w:sz w:val="19"/>
          <w:szCs w:val="19"/>
          <w:lang w:val="es-CO" w:eastAsia="en-GB"/>
        </w:rPr>
        <w:t>«</w:t>
      </w:r>
      <w:bookmarkEnd w:id="35"/>
      <w:r w:rsidRPr="00F176B9">
        <w:rPr>
          <w:rFonts w:ascii="Arial" w:eastAsia="Times New Roman" w:hAnsi="Arial" w:cs="Arial"/>
          <w:sz w:val="22"/>
          <w:lang w:val="es-CO" w:eastAsia="x-none"/>
        </w:rPr>
        <w:t>cualquier sistema que no implique convocatoria pública y posibilidad de pluralidad de oferentes</w:t>
      </w:r>
      <w:bookmarkStart w:id="36" w:name="_Hlk74404754"/>
      <w:r w:rsidRPr="00F176B9">
        <w:rPr>
          <w:rFonts w:ascii="Arial" w:eastAsia="Times New Roman" w:hAnsi="Arial" w:cs="Arial"/>
          <w:sz w:val="22"/>
          <w:lang w:val="es-CO" w:eastAsia="en-GB"/>
        </w:rPr>
        <w:t>»</w:t>
      </w:r>
      <w:bookmarkEnd w:id="36"/>
      <w:r w:rsidRPr="00F176B9">
        <w:rPr>
          <w:rFonts w:ascii="Arial" w:eastAsia="Times New Roman" w:hAnsi="Arial" w:cs="Arial"/>
          <w:sz w:val="22"/>
          <w:lang w:val="es-CO" w:eastAsia="x-none"/>
        </w:rPr>
        <w:t>, por lo que excluye l</w:t>
      </w:r>
      <w:r w:rsidR="00856B57" w:rsidRPr="00F176B9">
        <w:rPr>
          <w:rFonts w:ascii="Arial" w:eastAsia="Times New Roman" w:hAnsi="Arial" w:cs="Arial"/>
          <w:sz w:val="22"/>
          <w:lang w:val="es-CO" w:eastAsia="x-none"/>
        </w:rPr>
        <w:t>a</w:t>
      </w:r>
      <w:r w:rsidRPr="00F176B9">
        <w:rPr>
          <w:rFonts w:ascii="Arial" w:eastAsia="Times New Roman" w:hAnsi="Arial" w:cs="Arial"/>
          <w:sz w:val="22"/>
          <w:lang w:val="es-CO" w:eastAsia="x-none"/>
        </w:rPr>
        <w:t xml:space="preserve">s demás </w:t>
      </w:r>
      <w:r w:rsidR="00856B57" w:rsidRPr="00F176B9">
        <w:rPr>
          <w:rFonts w:ascii="Arial" w:eastAsia="Times New Roman" w:hAnsi="Arial" w:cs="Arial"/>
          <w:sz w:val="22"/>
          <w:lang w:val="es-CO" w:eastAsia="x-none"/>
        </w:rPr>
        <w:t>modalidades</w:t>
      </w:r>
      <w:r w:rsidRPr="00F176B9">
        <w:rPr>
          <w:rFonts w:ascii="Arial" w:eastAsia="Times New Roman" w:hAnsi="Arial" w:cs="Arial"/>
          <w:sz w:val="22"/>
          <w:lang w:val="es-CO" w:eastAsia="x-none"/>
        </w:rPr>
        <w:t xml:space="preserve"> de contratación previst</w:t>
      </w:r>
      <w:r w:rsidR="00856B57" w:rsidRPr="00F176B9">
        <w:rPr>
          <w:rFonts w:ascii="Arial" w:eastAsia="Times New Roman" w:hAnsi="Arial" w:cs="Arial"/>
          <w:sz w:val="22"/>
          <w:lang w:val="es-CO" w:eastAsia="x-none"/>
        </w:rPr>
        <w:t>a</w:t>
      </w:r>
      <w:r w:rsidRPr="00F176B9">
        <w:rPr>
          <w:rFonts w:ascii="Arial" w:eastAsia="Times New Roman" w:hAnsi="Arial" w:cs="Arial"/>
          <w:sz w:val="22"/>
          <w:lang w:val="es-CO" w:eastAsia="x-none"/>
        </w:rPr>
        <w:t xml:space="preserve">s en la Ley 1150 de 2007, es decir, la licitación pública, la selección abreviada y el concurso de méritos u otros previstos en normas especiales. </w:t>
      </w:r>
      <w:bookmarkEnd w:id="34"/>
      <w:r w:rsidRPr="00F176B9">
        <w:rPr>
          <w:rFonts w:ascii="Arial" w:eastAsia="Times New Roman" w:hAnsi="Arial" w:cs="Arial"/>
          <w:sz w:val="22"/>
          <w:lang w:val="es-CO" w:eastAsia="x-none"/>
        </w:rPr>
        <w:t xml:space="preserve">Esta posición es congruente con la expedición de la Ley 1150 de 2007 </w:t>
      </w:r>
      <w:r w:rsidRPr="00F176B9">
        <w:rPr>
          <w:rFonts w:ascii="Arial" w:eastAsia="Times New Roman" w:hAnsi="Arial" w:cs="Arial"/>
          <w:sz w:val="22"/>
          <w:lang w:val="es-CO" w:eastAsia="x-none"/>
        </w:rPr>
        <w:lastRenderedPageBreak/>
        <w:t xml:space="preserve">que, entre otras reformas, introdujo </w:t>
      </w:r>
      <w:r w:rsidR="00856B57" w:rsidRPr="00F176B9">
        <w:rPr>
          <w:rFonts w:ascii="Arial" w:eastAsia="Times New Roman" w:hAnsi="Arial" w:cs="Arial"/>
          <w:sz w:val="22"/>
          <w:lang w:val="es-CO" w:eastAsia="x-none"/>
        </w:rPr>
        <w:t>la</w:t>
      </w:r>
      <w:r w:rsidRPr="00F176B9">
        <w:rPr>
          <w:rFonts w:ascii="Arial" w:eastAsia="Times New Roman" w:hAnsi="Arial" w:cs="Arial"/>
          <w:sz w:val="22"/>
          <w:lang w:val="es-CO" w:eastAsia="x-none"/>
        </w:rPr>
        <w:t xml:space="preserve"> selección abreviada, rediseñó el concurso de méritos</w:t>
      </w:r>
      <w:r w:rsidRPr="00F176B9">
        <w:rPr>
          <w:rFonts w:ascii="Arial" w:eastAsia="Times New Roman" w:hAnsi="Arial" w:cs="Arial"/>
          <w:sz w:val="22"/>
          <w:vertAlign w:val="superscript"/>
          <w:lang w:val="en-GB" w:eastAsia="x-none"/>
        </w:rPr>
        <w:footnoteReference w:id="14"/>
      </w:r>
      <w:r w:rsidRPr="00F176B9">
        <w:rPr>
          <w:rFonts w:ascii="Arial" w:eastAsia="Times New Roman" w:hAnsi="Arial" w:cs="Arial"/>
          <w:sz w:val="22"/>
          <w:lang w:val="es-CO" w:eastAsia="x-none"/>
        </w:rPr>
        <w:t xml:space="preserve"> y sistematizó las causales de contratación directa</w:t>
      </w:r>
      <w:r w:rsidRPr="00F176B9">
        <w:rPr>
          <w:rFonts w:ascii="Arial" w:eastAsia="Times New Roman" w:hAnsi="Arial" w:cs="Arial"/>
          <w:sz w:val="22"/>
          <w:vertAlign w:val="superscript"/>
          <w:lang w:val="en-GB" w:eastAsia="x-none"/>
        </w:rPr>
        <w:footnoteReference w:id="15"/>
      </w:r>
      <w:r w:rsidRPr="00F176B9">
        <w:rPr>
          <w:rFonts w:ascii="Arial" w:eastAsia="Times New Roman" w:hAnsi="Arial" w:cs="Arial"/>
          <w:sz w:val="22"/>
          <w:lang w:val="es-CO" w:eastAsia="x-none"/>
        </w:rPr>
        <w:t xml:space="preserve">. </w:t>
      </w:r>
    </w:p>
    <w:p w14:paraId="2F4008CF" w14:textId="712F7FA4" w:rsidR="00F61159" w:rsidRPr="00F176B9" w:rsidRDefault="00DB61B2" w:rsidP="00F176B9">
      <w:pPr>
        <w:spacing w:after="120"/>
        <w:ind w:firstLine="708"/>
        <w:rPr>
          <w:rFonts w:ascii="Arial" w:eastAsia="Times New Roman" w:hAnsi="Arial" w:cs="Arial"/>
          <w:sz w:val="22"/>
          <w:lang w:eastAsia="x-none"/>
        </w:rPr>
      </w:pPr>
      <w:r w:rsidRPr="00F176B9">
        <w:rPr>
          <w:rFonts w:ascii="Arial" w:eastAsia="Times New Roman" w:hAnsi="Arial" w:cs="Arial"/>
          <w:sz w:val="22"/>
          <w:lang w:val="es-CO" w:eastAsia="x-none"/>
        </w:rPr>
        <w:t xml:space="preserve">De esta forma, con fundamento en la evolución de la normativa sobre la contratación pública, se ha depurado la noción de </w:t>
      </w:r>
      <w:r w:rsidRPr="00F176B9">
        <w:rPr>
          <w:rFonts w:ascii="Arial" w:eastAsia="Times New Roman" w:hAnsi="Arial" w:cs="Arial"/>
          <w:sz w:val="19"/>
          <w:szCs w:val="19"/>
          <w:lang w:val="es-CO" w:eastAsia="en-GB"/>
        </w:rPr>
        <w:t>«</w:t>
      </w:r>
      <w:r w:rsidRPr="00F176B9">
        <w:rPr>
          <w:rFonts w:ascii="Arial" w:eastAsia="Times New Roman" w:hAnsi="Arial" w:cs="Arial"/>
          <w:sz w:val="22"/>
          <w:lang w:val="es-CO" w:eastAsia="x-none"/>
        </w:rPr>
        <w:t>contratación directa</w:t>
      </w:r>
      <w:r w:rsidRPr="00F176B9">
        <w:rPr>
          <w:rFonts w:ascii="Arial" w:eastAsia="Times New Roman" w:hAnsi="Arial" w:cs="Arial"/>
          <w:sz w:val="22"/>
          <w:lang w:val="es-CO" w:eastAsia="en-GB"/>
        </w:rPr>
        <w:t>»</w:t>
      </w:r>
      <w:r w:rsidRPr="00F176B9">
        <w:rPr>
          <w:rFonts w:ascii="Arial" w:eastAsia="Times New Roman" w:hAnsi="Arial" w:cs="Arial"/>
          <w:sz w:val="22"/>
          <w:lang w:val="es-CO" w:eastAsia="x-none"/>
        </w:rPr>
        <w:t xml:space="preserve">, precisando el Consejo de Estado </w:t>
      </w:r>
      <w:r w:rsidR="00856B57" w:rsidRPr="00F176B9">
        <w:rPr>
          <w:rFonts w:ascii="Arial" w:eastAsia="Times New Roman" w:hAnsi="Arial" w:cs="Arial"/>
          <w:sz w:val="22"/>
          <w:lang w:val="es-CO" w:eastAsia="x-none"/>
        </w:rPr>
        <w:t>–</w:t>
      </w:r>
      <w:r w:rsidRPr="00F176B9">
        <w:rPr>
          <w:rFonts w:ascii="Arial" w:eastAsia="Times New Roman" w:hAnsi="Arial" w:cs="Arial"/>
          <w:sz w:val="22"/>
          <w:lang w:val="es-CO" w:eastAsia="x-none"/>
        </w:rPr>
        <w:t>en el concepto citado</w:t>
      </w:r>
      <w:r w:rsidR="00856B57" w:rsidRPr="00F176B9">
        <w:rPr>
          <w:rFonts w:ascii="Arial" w:eastAsia="Times New Roman" w:hAnsi="Arial" w:cs="Arial"/>
          <w:sz w:val="22"/>
          <w:lang w:val="es-CO" w:eastAsia="x-none"/>
        </w:rPr>
        <w:t>–</w:t>
      </w:r>
      <w:r w:rsidRPr="00F176B9">
        <w:rPr>
          <w:rFonts w:ascii="Arial" w:eastAsia="Times New Roman" w:hAnsi="Arial" w:cs="Arial"/>
          <w:sz w:val="22"/>
          <w:lang w:val="es-CO" w:eastAsia="x-none"/>
        </w:rPr>
        <w:t xml:space="preserve">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F176B9">
        <w:rPr>
          <w:rFonts w:ascii="Arial" w:eastAsia="Times New Roman" w:hAnsi="Arial" w:cs="Arial"/>
          <w:sz w:val="22"/>
          <w:vertAlign w:val="superscript"/>
          <w:lang w:val="en-GB" w:eastAsia="x-none"/>
        </w:rPr>
        <w:footnoteReference w:id="16"/>
      </w:r>
      <w:r w:rsidRPr="00F176B9">
        <w:rPr>
          <w:rFonts w:ascii="Arial" w:eastAsia="Times New Roman" w:hAnsi="Arial" w:cs="Arial"/>
          <w:sz w:val="22"/>
          <w:lang w:val="es-CO" w:eastAsia="x-none"/>
        </w:rPr>
        <w:t>, han establecido sistemas de contratación que implican convocatoria pública y participación de varios oferentes</w:t>
      </w:r>
      <w:r w:rsidRPr="00F176B9">
        <w:rPr>
          <w:rFonts w:ascii="Arial" w:eastAsia="Times New Roman" w:hAnsi="Arial" w:cs="Arial"/>
          <w:sz w:val="22"/>
          <w:lang w:val="es-CO" w:eastAsia="en-GB"/>
        </w:rPr>
        <w:t>»</w:t>
      </w:r>
      <w:r w:rsidRPr="00F176B9">
        <w:rPr>
          <w:rFonts w:ascii="Arial" w:eastAsia="Times New Roman" w:hAnsi="Arial" w:cs="Arial"/>
          <w:sz w:val="22"/>
          <w:lang w:val="es-CO" w:eastAsia="x-none"/>
        </w:rPr>
        <w:t xml:space="preserve">. </w:t>
      </w:r>
    </w:p>
    <w:p w14:paraId="53C28641" w14:textId="46409A62" w:rsidR="006C6A3B" w:rsidRPr="00F176B9" w:rsidRDefault="00F61159" w:rsidP="00F176B9">
      <w:pPr>
        <w:spacing w:after="120"/>
        <w:ind w:firstLine="708"/>
        <w:rPr>
          <w:rFonts w:ascii="Arial" w:eastAsia="Times New Roman" w:hAnsi="Arial" w:cs="Arial"/>
          <w:bCs/>
          <w:sz w:val="22"/>
          <w:lang w:eastAsia="es-CO"/>
        </w:rPr>
      </w:pPr>
      <w:r w:rsidRPr="00F176B9">
        <w:rPr>
          <w:rFonts w:ascii="Arial" w:eastAsia="Times New Roman" w:hAnsi="Arial" w:cs="Arial"/>
          <w:bCs/>
          <w:sz w:val="22"/>
          <w:lang w:eastAsia="x-none"/>
        </w:rPr>
        <w:t>E</w:t>
      </w:r>
      <w:r w:rsidR="008C6B51" w:rsidRPr="00F176B9">
        <w:rPr>
          <w:rFonts w:ascii="Arial" w:eastAsia="Times New Roman" w:hAnsi="Arial" w:cs="Arial"/>
          <w:sz w:val="22"/>
          <w:lang w:val="es-CO" w:eastAsia="x-none"/>
        </w:rPr>
        <w:t xml:space="preserve">n efecto, vale la pena mencionar que, </w:t>
      </w:r>
      <w:bookmarkStart w:id="38" w:name="_Hlk75636073"/>
      <w:r w:rsidR="008C6B51" w:rsidRPr="00F176B9">
        <w:rPr>
          <w:rFonts w:ascii="Arial" w:eastAsia="Times New Roman" w:hAnsi="Arial" w:cs="Arial"/>
          <w:sz w:val="22"/>
          <w:lang w:val="es-CO"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8"/>
      <w:r w:rsidR="008C6B51" w:rsidRPr="00F176B9">
        <w:rPr>
          <w:rFonts w:ascii="Arial" w:eastAsia="Times New Roman" w:hAnsi="Arial" w:cs="Arial"/>
          <w:sz w:val="22"/>
          <w:vertAlign w:val="superscript"/>
          <w:lang w:val="es-CO" w:eastAsia="x-none"/>
        </w:rPr>
        <w:footnoteReference w:id="17"/>
      </w:r>
      <w:r w:rsidR="008C6B51" w:rsidRPr="00F176B9">
        <w:rPr>
          <w:rFonts w:ascii="Arial" w:eastAsia="Times New Roman" w:hAnsi="Arial" w:cs="Arial"/>
          <w:sz w:val="22"/>
          <w:lang w:val="es-CO" w:eastAsia="x-none"/>
        </w:rPr>
        <w:t xml:space="preserve">. </w:t>
      </w:r>
    </w:p>
    <w:p w14:paraId="260E30ED" w14:textId="7E3BBE15" w:rsidR="006C6A3B" w:rsidRPr="00F176B9" w:rsidRDefault="006C6A3B" w:rsidP="00F176B9">
      <w:pPr>
        <w:spacing w:after="120"/>
        <w:ind w:firstLine="708"/>
        <w:rPr>
          <w:rFonts w:ascii="Arial" w:eastAsia="Times New Roman" w:hAnsi="Arial" w:cs="Arial"/>
          <w:bCs/>
          <w:sz w:val="22"/>
          <w:lang w:eastAsia="es-CO"/>
        </w:rPr>
      </w:pPr>
      <w:r w:rsidRPr="00F176B9">
        <w:rPr>
          <w:rFonts w:ascii="Arial" w:eastAsia="Times New Roman" w:hAnsi="Arial" w:cs="Arial"/>
          <w:bCs/>
          <w:sz w:val="22"/>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w:t>
      </w:r>
      <w:r w:rsidRPr="00F176B9">
        <w:rPr>
          <w:rFonts w:ascii="Arial" w:eastAsia="Times New Roman" w:hAnsi="Arial" w:cs="Arial"/>
          <w:bCs/>
          <w:sz w:val="22"/>
          <w:lang w:eastAsia="es-CO"/>
        </w:rPr>
        <w:lastRenderedPageBreak/>
        <w:t>contratación. No obstante, también se observa que luego de la expedición de Ley 1150 de 2007, el Consejo de Estado comenzó a delimitar con mayor precisión el término de «contratación directa»</w:t>
      </w:r>
      <w:r w:rsidR="00326A5D" w:rsidRPr="00F176B9">
        <w:rPr>
          <w:rFonts w:ascii="Arial" w:eastAsia="Times New Roman" w:hAnsi="Arial" w:cs="Arial"/>
          <w:bCs/>
          <w:sz w:val="22"/>
          <w:lang w:eastAsia="es-CO"/>
        </w:rPr>
        <w:t>.</w:t>
      </w:r>
    </w:p>
    <w:p w14:paraId="0C03ED6F" w14:textId="4A8EF358" w:rsidR="006C6A3B" w:rsidRPr="00F176B9" w:rsidRDefault="00856B57" w:rsidP="00F176B9">
      <w:pPr>
        <w:spacing w:after="120"/>
        <w:ind w:firstLine="708"/>
        <w:rPr>
          <w:rFonts w:ascii="Arial" w:eastAsia="Times New Roman" w:hAnsi="Arial" w:cs="Arial"/>
          <w:bCs/>
          <w:sz w:val="22"/>
          <w:lang w:eastAsia="x-none"/>
        </w:rPr>
      </w:pPr>
      <w:bookmarkStart w:id="39" w:name="_Hlk78818796"/>
      <w:r w:rsidRPr="00F176B9">
        <w:rPr>
          <w:rFonts w:ascii="Arial" w:eastAsia="Times New Roman" w:hAnsi="Arial" w:cs="Arial"/>
          <w:bCs/>
          <w:sz w:val="22"/>
          <w:lang w:eastAsia="x-none"/>
        </w:rPr>
        <w:t xml:space="preserve"> </w:t>
      </w:r>
      <w:r w:rsidR="00DB61B2" w:rsidRPr="007B78B9">
        <w:rPr>
          <w:rFonts w:ascii="Arial" w:eastAsia="Times New Roman" w:hAnsi="Arial" w:cs="Arial"/>
          <w:bCs/>
          <w:sz w:val="22"/>
          <w:lang w:eastAsia="x-none"/>
        </w:rPr>
        <w:t>Así</w:t>
      </w:r>
      <w:r w:rsidR="00DB61B2" w:rsidRPr="00533C01">
        <w:rPr>
          <w:rFonts w:ascii="Arial" w:eastAsia="Times New Roman" w:hAnsi="Arial" w:cs="Arial"/>
          <w:bCs/>
          <w:sz w:val="22"/>
          <w:lang w:eastAsia="x-none"/>
        </w:rPr>
        <w:t xml:space="preserve"> las</w:t>
      </w:r>
      <w:r w:rsidR="00DB61B2" w:rsidRPr="00F176B9">
        <w:rPr>
          <w:rFonts w:ascii="Arial" w:eastAsia="Times New Roman" w:hAnsi="Arial" w:cs="Arial"/>
          <w:bCs/>
          <w:sz w:val="22"/>
          <w:lang w:eastAsia="x-none"/>
        </w:rPr>
        <w:t xml:space="preserve"> cosas, ha de entenderse que, para los efectos de la Ley de Garantías Electorales y, en particular, para la prohibición o restricción temporal contenida en su artículo 33, «contratación directa» </w:t>
      </w:r>
      <w:r w:rsidR="008700C1" w:rsidRPr="00F176B9">
        <w:rPr>
          <w:rFonts w:ascii="Arial" w:eastAsia="Times New Roman" w:hAnsi="Arial" w:cs="Arial"/>
          <w:bCs/>
          <w:sz w:val="22"/>
          <w:lang w:eastAsia="x-none"/>
        </w:rPr>
        <w:t xml:space="preserve">es </w:t>
      </w:r>
      <w:r w:rsidR="00DB61B2" w:rsidRPr="00F176B9">
        <w:rPr>
          <w:rFonts w:ascii="Arial" w:eastAsia="Times New Roman" w:hAnsi="Arial" w:cs="Arial"/>
          <w:bCs/>
          <w:sz w:val="22"/>
          <w:lang w:eastAsia="x-none"/>
        </w:rPr>
        <w:t>cualquier sistema de selección o procedimiento de contratación</w:t>
      </w:r>
      <w:r w:rsidR="006C6A3B" w:rsidRPr="00F176B9">
        <w:rPr>
          <w:rFonts w:ascii="Arial" w:eastAsia="Times New Roman" w:hAnsi="Arial" w:cs="Arial"/>
          <w:bCs/>
          <w:sz w:val="22"/>
          <w:lang w:eastAsia="x-none"/>
        </w:rPr>
        <w:t xml:space="preserve"> </w:t>
      </w:r>
      <w:r w:rsidR="00DB61B2" w:rsidRPr="00F176B9">
        <w:rPr>
          <w:rFonts w:ascii="Arial" w:eastAsia="Times New Roman" w:hAnsi="Arial" w:cs="Arial"/>
          <w:bCs/>
          <w:sz w:val="22"/>
          <w:lang w:eastAsia="x-none"/>
        </w:rPr>
        <w:t>utilizado por las entidades estatales que no incluya la convocatoria pública en alguna de sus etapas, ni permita la participación de una pluralidad de oferentes</w:t>
      </w:r>
      <w:r w:rsidR="00F61159" w:rsidRPr="00F176B9">
        <w:rPr>
          <w:rFonts w:ascii="Arial" w:eastAsia="Times New Roman" w:hAnsi="Arial" w:cs="Arial"/>
          <w:sz w:val="22"/>
          <w:vertAlign w:val="superscript"/>
          <w:lang w:val="es-CO" w:eastAsia="x-none"/>
        </w:rPr>
        <w:footnoteReference w:id="18"/>
      </w:r>
      <w:r w:rsidR="0052446F" w:rsidRPr="00F176B9">
        <w:rPr>
          <w:rFonts w:ascii="Arial" w:eastAsia="Times New Roman" w:hAnsi="Arial" w:cs="Arial"/>
          <w:bCs/>
          <w:sz w:val="22"/>
          <w:lang w:eastAsia="x-none"/>
        </w:rPr>
        <w:t>.</w:t>
      </w:r>
      <w:r w:rsidR="00F61159" w:rsidRPr="00F176B9">
        <w:rPr>
          <w:rFonts w:ascii="Arial" w:eastAsia="Times New Roman" w:hAnsi="Arial" w:cs="Arial"/>
          <w:sz w:val="22"/>
          <w:vertAlign w:val="superscript"/>
          <w:lang w:val="es-CO" w:eastAsia="x-none"/>
        </w:rPr>
        <w:t xml:space="preserve"> </w:t>
      </w:r>
    </w:p>
    <w:bookmarkEnd w:id="39"/>
    <w:p w14:paraId="0B41E164" w14:textId="31952722" w:rsidR="00843F7A" w:rsidRPr="00F176B9" w:rsidRDefault="00F61159" w:rsidP="00F176B9">
      <w:pPr>
        <w:spacing w:after="120"/>
        <w:ind w:firstLine="708"/>
        <w:rPr>
          <w:rFonts w:ascii="Arial" w:eastAsia="Times New Roman" w:hAnsi="Arial" w:cs="Arial"/>
          <w:sz w:val="22"/>
          <w:lang w:val="es-CO" w:eastAsia="x-none"/>
        </w:rPr>
      </w:pPr>
      <w:r w:rsidRPr="00F176B9">
        <w:rPr>
          <w:rFonts w:ascii="Arial" w:eastAsia="Times New Roman" w:hAnsi="Arial" w:cs="Arial"/>
          <w:bCs/>
          <w:sz w:val="22"/>
          <w:lang w:eastAsia="x-none"/>
        </w:rPr>
        <w:t>De lo anterior se desp</w:t>
      </w:r>
      <w:r w:rsidR="0011730D" w:rsidRPr="00F176B9">
        <w:rPr>
          <w:rFonts w:ascii="Arial" w:eastAsia="Times New Roman" w:hAnsi="Arial" w:cs="Arial"/>
          <w:bCs/>
          <w:sz w:val="22"/>
          <w:lang w:eastAsia="x-none"/>
        </w:rPr>
        <w:t>r</w:t>
      </w:r>
      <w:r w:rsidRPr="00F176B9">
        <w:rPr>
          <w:rFonts w:ascii="Arial" w:eastAsia="Times New Roman" w:hAnsi="Arial" w:cs="Arial"/>
          <w:bCs/>
          <w:sz w:val="22"/>
          <w:lang w:eastAsia="x-none"/>
        </w:rPr>
        <w:t>ende que la restricción aplica, sin perjuicio de las excepciones establecidas en la misma ley, para celebrar cualquier contrato de forma directa, esto es, sin que exista un proceso abierto y competitivo.</w:t>
      </w:r>
      <w:r w:rsidR="006C6A3B" w:rsidRPr="00F176B9">
        <w:rPr>
          <w:rFonts w:ascii="Arial" w:eastAsia="Times New Roman" w:hAnsi="Arial" w:cs="Arial"/>
          <w:sz w:val="22"/>
          <w:lang w:val="es-CO" w:eastAsia="x-none"/>
        </w:rPr>
        <w:t xml:space="preserve"> Por tanto, no son materia de la prohibición las demás modalidades de selección previstas en la Ley 1150 de 2007, es decir, la licitación pública, el concurso de méritos y la selección abreviada, razón por la cual en ese per</w:t>
      </w:r>
      <w:r w:rsidR="00326A5D" w:rsidRPr="00F176B9">
        <w:rPr>
          <w:rFonts w:ascii="Arial" w:eastAsia="Times New Roman" w:hAnsi="Arial" w:cs="Arial"/>
          <w:sz w:val="22"/>
          <w:lang w:val="es-CO" w:eastAsia="x-none"/>
        </w:rPr>
        <w:t>í</w:t>
      </w:r>
      <w:r w:rsidR="006C6A3B" w:rsidRPr="00F176B9">
        <w:rPr>
          <w:rFonts w:ascii="Arial" w:eastAsia="Times New Roman" w:hAnsi="Arial" w:cs="Arial"/>
          <w:sz w:val="22"/>
          <w:lang w:val="es-CO" w:eastAsia="x-none"/>
        </w:rPr>
        <w:t>odo preelectoral de que trata la disposición pueden las entidades públicas seguir contratando bajo estos sistemas.</w:t>
      </w:r>
    </w:p>
    <w:p w14:paraId="13CCFE79" w14:textId="27EAFD29" w:rsidR="00F61159" w:rsidRPr="00F176B9" w:rsidRDefault="00843F7A" w:rsidP="00F176B9">
      <w:pPr>
        <w:spacing w:after="120"/>
        <w:ind w:firstLine="708"/>
        <w:rPr>
          <w:rFonts w:ascii="Arial" w:eastAsia="Times New Roman" w:hAnsi="Arial" w:cs="Arial"/>
          <w:bCs/>
          <w:sz w:val="22"/>
          <w:lang w:eastAsia="x-none"/>
        </w:rPr>
      </w:pPr>
      <w:bookmarkStart w:id="40" w:name="_Hlk77237094"/>
      <w:r w:rsidRPr="00F176B9">
        <w:rPr>
          <w:rFonts w:ascii="Arial" w:eastAsia="Times New Roman" w:hAnsi="Arial" w:cs="Arial"/>
          <w:bCs/>
          <w:sz w:val="22"/>
          <w:lang w:eastAsia="es-CO"/>
        </w:rPr>
        <w:t>Como en otras oportunidades lo ha manifestado esta Agencia</w:t>
      </w:r>
      <w:r w:rsidR="00856B57" w:rsidRPr="00F176B9">
        <w:rPr>
          <w:rFonts w:ascii="Arial" w:eastAsia="Times New Roman" w:hAnsi="Arial" w:cs="Arial"/>
          <w:bCs/>
          <w:sz w:val="22"/>
          <w:lang w:eastAsia="es-CO"/>
        </w:rPr>
        <w:t>,</w:t>
      </w:r>
      <w:r w:rsidRPr="00F176B9">
        <w:rPr>
          <w:rFonts w:ascii="Arial" w:eastAsia="Times New Roman" w:hAnsi="Arial" w:cs="Arial"/>
          <w:bCs/>
          <w:sz w:val="22"/>
          <w:lang w:eastAsia="es-CO"/>
        </w:rPr>
        <w:t xml:space="preserve">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bookmarkEnd w:id="40"/>
    </w:p>
    <w:p w14:paraId="07FCD97F" w14:textId="1217BFF4" w:rsidR="00452BCB" w:rsidRPr="00F176B9" w:rsidRDefault="00402FD5" w:rsidP="00F176B9">
      <w:pPr>
        <w:spacing w:after="120"/>
        <w:ind w:firstLine="708"/>
        <w:rPr>
          <w:rFonts w:ascii="Arial" w:eastAsia="Times New Roman" w:hAnsi="Arial" w:cs="Arial"/>
          <w:bCs/>
          <w:sz w:val="22"/>
          <w:lang w:eastAsia="es-CO"/>
        </w:rPr>
      </w:pPr>
      <w:r w:rsidRPr="00F176B9">
        <w:rPr>
          <w:rFonts w:ascii="Arial" w:eastAsia="Times New Roman" w:hAnsi="Arial" w:cs="Arial"/>
          <w:bCs/>
          <w:sz w:val="22"/>
          <w:lang w:eastAsia="x-none"/>
        </w:rPr>
        <w:t>De otro lado, las excepciones a la restricción prevista en la Ley de Garantías, con fundamento en las cuales podrán las entidades públicas adelantar procedimientos de selección directa en per</w:t>
      </w:r>
      <w:r w:rsidR="00326A5D" w:rsidRPr="00F176B9">
        <w:rPr>
          <w:rFonts w:ascii="Arial" w:eastAsia="Times New Roman" w:hAnsi="Arial" w:cs="Arial"/>
          <w:bCs/>
          <w:sz w:val="22"/>
          <w:lang w:eastAsia="x-none"/>
        </w:rPr>
        <w:t>í</w:t>
      </w:r>
      <w:r w:rsidRPr="00F176B9">
        <w:rPr>
          <w:rFonts w:ascii="Arial" w:eastAsia="Times New Roman" w:hAnsi="Arial" w:cs="Arial"/>
          <w:bCs/>
          <w:sz w:val="22"/>
          <w:lang w:eastAsia="x-none"/>
        </w:rPr>
        <w:t xml:space="preserve">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w:t>
      </w:r>
      <w:r w:rsidRPr="00F176B9">
        <w:rPr>
          <w:rFonts w:ascii="Arial" w:eastAsia="Times New Roman" w:hAnsi="Arial" w:cs="Arial"/>
          <w:bCs/>
          <w:sz w:val="22"/>
          <w:lang w:eastAsia="x-none"/>
        </w:rPr>
        <w:lastRenderedPageBreak/>
        <w:t>las entidades sanitarias y hospitalarias.</w:t>
      </w:r>
      <w:r w:rsidR="00856B57" w:rsidRPr="00F176B9">
        <w:rPr>
          <w:rFonts w:ascii="Arial" w:eastAsia="Times New Roman" w:hAnsi="Arial" w:cs="Arial"/>
          <w:bCs/>
          <w:sz w:val="22"/>
          <w:lang w:eastAsia="es-CO"/>
        </w:rPr>
        <w:t xml:space="preserve"> </w:t>
      </w:r>
      <w:r w:rsidR="00452BCB" w:rsidRPr="00F176B9">
        <w:rPr>
          <w:rFonts w:ascii="Arial" w:eastAsia="Times New Roman" w:hAnsi="Arial" w:cs="Arial"/>
          <w:bCs/>
          <w:sz w:val="22"/>
          <w:lang w:eastAsia="es-CO"/>
        </w:rPr>
        <w:t xml:space="preserve">Es responsabilidad del respectivo ente del Estado, examinar en cada caso la naturaleza de las actividades que adelanta y determinar si las mismas se enmarcan en alguna de las </w:t>
      </w:r>
      <w:r w:rsidR="006C6A3B" w:rsidRPr="00F176B9">
        <w:rPr>
          <w:rFonts w:ascii="Arial" w:eastAsia="Times New Roman" w:hAnsi="Arial" w:cs="Arial"/>
          <w:bCs/>
          <w:sz w:val="22"/>
          <w:lang w:eastAsia="es-CO"/>
        </w:rPr>
        <w:t xml:space="preserve">mencionadas </w:t>
      </w:r>
      <w:r w:rsidR="00452BCB" w:rsidRPr="00F176B9">
        <w:rPr>
          <w:rFonts w:ascii="Arial" w:eastAsia="Times New Roman" w:hAnsi="Arial" w:cs="Arial"/>
          <w:bCs/>
          <w:sz w:val="22"/>
          <w:lang w:eastAsia="es-CO"/>
        </w:rPr>
        <w:t xml:space="preserve">excepciones, de manera que se le permita realizar </w:t>
      </w:r>
      <w:r w:rsidR="00F23A10" w:rsidRPr="00F176B9">
        <w:rPr>
          <w:rFonts w:ascii="Arial" w:eastAsia="Times New Roman" w:hAnsi="Arial" w:cs="Arial"/>
          <w:bCs/>
          <w:sz w:val="22"/>
          <w:lang w:eastAsia="es-CO"/>
        </w:rPr>
        <w:t>la contratación</w:t>
      </w:r>
      <w:r w:rsidR="00452BCB" w:rsidRPr="00F176B9">
        <w:rPr>
          <w:rFonts w:ascii="Arial" w:eastAsia="Times New Roman" w:hAnsi="Arial" w:cs="Arial"/>
          <w:bCs/>
          <w:sz w:val="22"/>
          <w:lang w:eastAsia="es-CO"/>
        </w:rPr>
        <w:t xml:space="preserve"> que necesite en forma directa.</w:t>
      </w:r>
    </w:p>
    <w:p w14:paraId="1244CE42" w14:textId="3381626D" w:rsidR="00D37454" w:rsidRPr="00F176B9" w:rsidRDefault="001F1781" w:rsidP="00F176B9">
      <w:pPr>
        <w:spacing w:after="0"/>
        <w:ind w:firstLine="708"/>
        <w:rPr>
          <w:rFonts w:ascii="Arial" w:eastAsia="Times New Roman" w:hAnsi="Arial" w:cs="Arial"/>
          <w:bCs/>
          <w:sz w:val="22"/>
          <w:lang w:eastAsia="x-none"/>
        </w:rPr>
      </w:pPr>
      <w:r w:rsidRPr="00F176B9">
        <w:rPr>
          <w:rFonts w:ascii="Arial" w:eastAsia="Times New Roman" w:hAnsi="Arial" w:cs="Arial"/>
          <w:bCs/>
          <w:sz w:val="22"/>
          <w:lang w:eastAsia="x-none"/>
        </w:rPr>
        <w:t>En esta labor es importante tener en cuenta, como lo anotó l</w:t>
      </w:r>
      <w:r w:rsidR="00402FD5" w:rsidRPr="00F176B9">
        <w:rPr>
          <w:rFonts w:ascii="Arial" w:eastAsia="Times New Roman" w:hAnsi="Arial" w:cs="Arial"/>
          <w:bCs/>
          <w:sz w:val="22"/>
          <w:lang w:eastAsia="x-none"/>
        </w:rPr>
        <w:t xml:space="preserve">a Corte Constitucional, en </w:t>
      </w:r>
      <w:r w:rsidR="00856B57" w:rsidRPr="00F176B9">
        <w:rPr>
          <w:rFonts w:ascii="Arial" w:eastAsia="Times New Roman" w:hAnsi="Arial" w:cs="Arial"/>
          <w:bCs/>
          <w:sz w:val="22"/>
          <w:lang w:eastAsia="x-none"/>
        </w:rPr>
        <w:t>S</w:t>
      </w:r>
      <w:r w:rsidR="00402FD5" w:rsidRPr="00F176B9">
        <w:rPr>
          <w:rFonts w:ascii="Arial" w:eastAsia="Times New Roman" w:hAnsi="Arial" w:cs="Arial"/>
          <w:bCs/>
          <w:sz w:val="22"/>
          <w:lang w:eastAsia="x-none"/>
        </w:rPr>
        <w:t>entencia C-1153 de noviembre 11 de 2005</w:t>
      </w:r>
      <w:r w:rsidR="00402FD5" w:rsidRPr="00F176B9">
        <w:rPr>
          <w:rStyle w:val="Refdenotaalpie"/>
        </w:rPr>
        <w:t>,</w:t>
      </w:r>
      <w:r w:rsidR="00402FD5" w:rsidRPr="00F176B9">
        <w:rPr>
          <w:rFonts w:ascii="Arial" w:eastAsia="Times New Roman" w:hAnsi="Arial" w:cs="Arial"/>
          <w:bCs/>
          <w:sz w:val="22"/>
          <w:lang w:eastAsia="x-none"/>
        </w:rPr>
        <w:t xml:space="preserve"> </w:t>
      </w:r>
      <w:bookmarkStart w:id="41" w:name="_Hlk74309042"/>
      <w:r w:rsidRPr="00F176B9">
        <w:rPr>
          <w:rFonts w:ascii="Arial" w:eastAsia="Times New Roman" w:hAnsi="Arial" w:cs="Arial"/>
          <w:bCs/>
          <w:sz w:val="22"/>
          <w:lang w:eastAsia="x-none"/>
        </w:rPr>
        <w:t xml:space="preserve">que </w:t>
      </w:r>
      <w:r w:rsidR="00402FD5" w:rsidRPr="00F176B9">
        <w:rPr>
          <w:rFonts w:ascii="Arial" w:eastAsia="Times New Roman" w:hAnsi="Arial" w:cs="Arial"/>
          <w:bCs/>
          <w:sz w:val="22"/>
          <w:lang w:eastAsia="x-none"/>
        </w:rPr>
        <w:t>«</w:t>
      </w:r>
      <w:bookmarkEnd w:id="41"/>
      <w:r w:rsidR="00402FD5" w:rsidRPr="00F176B9">
        <w:rPr>
          <w:rFonts w:ascii="Arial" w:eastAsia="Times New Roman" w:hAnsi="Arial" w:cs="Arial"/>
          <w:bCs/>
          <w:sz w:val="22"/>
          <w:lang w:eastAsia="x-none"/>
        </w:rPr>
        <w:t xml:space="preserve">si bien la limitación garantiza la igualdad de condiciones, también es necesario que tal limitación que pretende la igualdad </w:t>
      </w:r>
      <w:bookmarkStart w:id="42" w:name="_Hlk75768308"/>
      <w:r w:rsidR="00402FD5" w:rsidRPr="00F176B9">
        <w:rPr>
          <w:rFonts w:ascii="Arial" w:eastAsia="Times New Roman" w:hAnsi="Arial" w:cs="Arial"/>
          <w:bCs/>
          <w:sz w:val="22"/>
          <w:lang w:eastAsia="x-none"/>
        </w:rPr>
        <w:t>no termine yendo en detrimento de intereses públicos</w:t>
      </w:r>
      <w:r w:rsidR="00195EDB" w:rsidRPr="00F176B9">
        <w:rPr>
          <w:rFonts w:ascii="Arial" w:eastAsia="Times New Roman" w:hAnsi="Arial" w:cs="Arial"/>
          <w:bCs/>
          <w:sz w:val="22"/>
          <w:lang w:eastAsia="x-none"/>
        </w:rPr>
        <w:t>,</w:t>
      </w:r>
      <w:r w:rsidR="00402FD5" w:rsidRPr="00F176B9">
        <w:rPr>
          <w:rFonts w:ascii="Arial" w:eastAsia="Times New Roman" w:hAnsi="Arial" w:cs="Arial"/>
          <w:bCs/>
          <w:sz w:val="22"/>
          <w:lang w:eastAsia="x-none"/>
        </w:rPr>
        <w:t xml:space="preserve"> cuya garantía está en cabeza del ejecutivo, como son los inmersos en las excepciones para la prohibición de contratación</w:t>
      </w:r>
      <w:bookmarkStart w:id="43" w:name="_Hlk74309060"/>
      <w:r w:rsidR="00402FD5" w:rsidRPr="00F176B9">
        <w:rPr>
          <w:rFonts w:ascii="Arial" w:eastAsia="Times New Roman" w:hAnsi="Arial" w:cs="Arial"/>
          <w:bCs/>
          <w:sz w:val="22"/>
          <w:lang w:eastAsia="x-none"/>
        </w:rPr>
        <w:t>»</w:t>
      </w:r>
      <w:bookmarkEnd w:id="43"/>
      <w:r w:rsidR="00856B57" w:rsidRPr="00F176B9">
        <w:rPr>
          <w:rStyle w:val="Refdenotaalpie"/>
          <w:rFonts w:ascii="Arial" w:hAnsi="Arial" w:cs="Arial"/>
          <w:sz w:val="22"/>
        </w:rPr>
        <w:footnoteReference w:id="19"/>
      </w:r>
      <w:r w:rsidR="00856B57" w:rsidRPr="00F176B9">
        <w:rPr>
          <w:rFonts w:ascii="Arial" w:eastAsia="Times New Roman" w:hAnsi="Arial" w:cs="Arial"/>
          <w:bCs/>
          <w:sz w:val="22"/>
          <w:lang w:eastAsia="x-none"/>
        </w:rPr>
        <w:t>.</w:t>
      </w:r>
      <w:r w:rsidR="00402FD5" w:rsidRPr="00F176B9">
        <w:rPr>
          <w:rFonts w:ascii="Arial" w:eastAsia="Times New Roman" w:hAnsi="Arial" w:cs="Arial"/>
          <w:bCs/>
          <w:sz w:val="22"/>
          <w:lang w:eastAsia="x-none"/>
        </w:rPr>
        <w:t xml:space="preserve"> De ahí que la Corte </w:t>
      </w:r>
      <w:r w:rsidR="00C611EF" w:rsidRPr="00F176B9">
        <w:rPr>
          <w:rFonts w:ascii="Arial" w:eastAsia="Times New Roman" w:hAnsi="Arial" w:cs="Arial"/>
          <w:bCs/>
          <w:sz w:val="22"/>
          <w:lang w:eastAsia="x-none"/>
        </w:rPr>
        <w:t>haya hecho particular énfasis</w:t>
      </w:r>
      <w:r w:rsidR="00402FD5" w:rsidRPr="00F176B9">
        <w:rPr>
          <w:rFonts w:ascii="Arial" w:eastAsia="Times New Roman" w:hAnsi="Arial" w:cs="Arial"/>
          <w:bCs/>
          <w:sz w:val="22"/>
          <w:lang w:eastAsia="x-none"/>
        </w:rPr>
        <w:t xml:space="preserve">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4" w:name="_Hlk75783800"/>
      <w:bookmarkEnd w:id="42"/>
    </w:p>
    <w:p w14:paraId="23F83FE2" w14:textId="77777777" w:rsidR="00D37454" w:rsidRPr="00F176B9" w:rsidRDefault="00D37454" w:rsidP="00F176B9">
      <w:pPr>
        <w:spacing w:after="0"/>
        <w:ind w:firstLine="708"/>
        <w:rPr>
          <w:rFonts w:ascii="Arial" w:eastAsia="Times New Roman" w:hAnsi="Arial" w:cs="Arial"/>
          <w:bCs/>
          <w:sz w:val="22"/>
          <w:lang w:eastAsia="x-none"/>
        </w:rPr>
      </w:pPr>
    </w:p>
    <w:p w14:paraId="7AC8E0B3" w14:textId="0CDF3E90" w:rsidR="00767455" w:rsidRPr="00F176B9" w:rsidRDefault="00767455" w:rsidP="00F176B9">
      <w:pPr>
        <w:spacing w:after="0"/>
        <w:rPr>
          <w:rFonts w:ascii="Arial" w:eastAsia="Times New Roman" w:hAnsi="Arial" w:cs="Arial"/>
          <w:b/>
          <w:sz w:val="22"/>
          <w:lang w:eastAsia="x-none"/>
        </w:rPr>
      </w:pPr>
      <w:r w:rsidRPr="00F176B9">
        <w:rPr>
          <w:rFonts w:ascii="Arial" w:eastAsia="Times New Roman" w:hAnsi="Arial" w:cs="Arial"/>
          <w:b/>
          <w:sz w:val="22"/>
          <w:lang w:eastAsia="x-none"/>
        </w:rPr>
        <w:t>2.</w:t>
      </w:r>
      <w:r w:rsidR="004E638B" w:rsidRPr="00F176B9">
        <w:rPr>
          <w:rFonts w:ascii="Arial" w:eastAsia="Times New Roman" w:hAnsi="Arial" w:cs="Arial"/>
          <w:b/>
          <w:sz w:val="22"/>
          <w:lang w:eastAsia="x-none"/>
        </w:rPr>
        <w:t>3</w:t>
      </w:r>
      <w:r w:rsidRPr="00F176B9">
        <w:rPr>
          <w:rFonts w:ascii="Arial" w:eastAsia="Times New Roman" w:hAnsi="Arial" w:cs="Arial"/>
          <w:b/>
          <w:sz w:val="22"/>
          <w:lang w:eastAsia="x-none"/>
        </w:rPr>
        <w:t>.  Destinatarios de la restricción del art</w:t>
      </w:r>
      <w:r w:rsidR="006F514F" w:rsidRPr="00F176B9">
        <w:rPr>
          <w:rFonts w:ascii="Arial" w:eastAsia="Times New Roman" w:hAnsi="Arial" w:cs="Arial"/>
          <w:b/>
          <w:sz w:val="22"/>
          <w:lang w:eastAsia="x-none"/>
        </w:rPr>
        <w:t>í</w:t>
      </w:r>
      <w:r w:rsidRPr="00F176B9">
        <w:rPr>
          <w:rFonts w:ascii="Arial" w:eastAsia="Times New Roman" w:hAnsi="Arial" w:cs="Arial"/>
          <w:b/>
          <w:sz w:val="22"/>
          <w:lang w:eastAsia="x-none"/>
        </w:rPr>
        <w:t>culo 33 de la Ley 996 de 2005</w:t>
      </w:r>
    </w:p>
    <w:p w14:paraId="34C3C987" w14:textId="77777777" w:rsidR="00767455" w:rsidRPr="00F176B9" w:rsidRDefault="00767455" w:rsidP="00F176B9">
      <w:pPr>
        <w:spacing w:after="0"/>
        <w:rPr>
          <w:rFonts w:ascii="Arial" w:eastAsia="Times New Roman" w:hAnsi="Arial" w:cs="Arial"/>
          <w:bCs/>
          <w:sz w:val="22"/>
          <w:lang w:eastAsia="x-none"/>
        </w:rPr>
      </w:pPr>
    </w:p>
    <w:p w14:paraId="49BC6754" w14:textId="7645B39C" w:rsidR="001F1781" w:rsidRPr="00F176B9" w:rsidRDefault="00756E36" w:rsidP="00F176B9">
      <w:pPr>
        <w:spacing w:after="0"/>
        <w:rPr>
          <w:rFonts w:ascii="Arial" w:eastAsia="Times New Roman" w:hAnsi="Arial" w:cs="Arial"/>
          <w:bCs/>
          <w:sz w:val="22"/>
          <w:lang w:eastAsia="x-none"/>
        </w:rPr>
      </w:pPr>
      <w:r w:rsidRPr="00F176B9">
        <w:rPr>
          <w:rFonts w:ascii="Arial" w:eastAsia="Times New Roman" w:hAnsi="Arial" w:cs="Arial"/>
          <w:bCs/>
          <w:sz w:val="22"/>
          <w:lang w:eastAsia="x-none"/>
        </w:rPr>
        <w:t>E</w:t>
      </w:r>
      <w:r w:rsidR="00940714" w:rsidRPr="00F176B9">
        <w:rPr>
          <w:rFonts w:ascii="Arial" w:eastAsia="Times New Roman" w:hAnsi="Arial" w:cs="Arial"/>
          <w:bCs/>
          <w:sz w:val="22"/>
          <w:lang w:eastAsia="x-none"/>
        </w:rPr>
        <w:t xml:space="preserve">l artículo 33 de la Ley 996 </w:t>
      </w:r>
      <w:r w:rsidR="0017528B" w:rsidRPr="00F176B9">
        <w:rPr>
          <w:rFonts w:ascii="Arial" w:eastAsia="Times New Roman" w:hAnsi="Arial" w:cs="Arial"/>
          <w:bCs/>
          <w:sz w:val="22"/>
          <w:lang w:eastAsia="x-none"/>
        </w:rPr>
        <w:t>de 2005 señala</w:t>
      </w:r>
      <w:r w:rsidR="00940714" w:rsidRPr="00F176B9">
        <w:rPr>
          <w:rFonts w:ascii="Arial" w:eastAsia="Times New Roman" w:hAnsi="Arial" w:cs="Arial"/>
          <w:bCs/>
          <w:sz w:val="22"/>
          <w:lang w:eastAsia="x-none"/>
        </w:rPr>
        <w:t xml:space="preserve"> expresa</w:t>
      </w:r>
      <w:r w:rsidR="0017528B" w:rsidRPr="00F176B9">
        <w:rPr>
          <w:rFonts w:ascii="Arial" w:eastAsia="Times New Roman" w:hAnsi="Arial" w:cs="Arial"/>
          <w:bCs/>
          <w:sz w:val="22"/>
          <w:lang w:eastAsia="x-none"/>
        </w:rPr>
        <w:t>mente</w:t>
      </w:r>
      <w:r w:rsidR="00940714" w:rsidRPr="00F176B9">
        <w:rPr>
          <w:rFonts w:ascii="Arial" w:eastAsia="Times New Roman" w:hAnsi="Arial" w:cs="Arial"/>
          <w:bCs/>
          <w:sz w:val="22"/>
          <w:lang w:eastAsia="x-none"/>
        </w:rPr>
        <w:t xml:space="preserve"> a los destinatarios de la prohibición, </w:t>
      </w:r>
      <w:r w:rsidR="0017528B" w:rsidRPr="00F176B9">
        <w:rPr>
          <w:rFonts w:ascii="Arial" w:eastAsia="Times New Roman" w:hAnsi="Arial" w:cs="Arial"/>
          <w:bCs/>
          <w:sz w:val="22"/>
          <w:lang w:eastAsia="x-none"/>
        </w:rPr>
        <w:t xml:space="preserve">en el sentido de </w:t>
      </w:r>
      <w:r w:rsidR="00940714" w:rsidRPr="00F176B9">
        <w:rPr>
          <w:rFonts w:ascii="Arial" w:eastAsia="Times New Roman" w:hAnsi="Arial" w:cs="Arial"/>
          <w:bCs/>
          <w:sz w:val="22"/>
          <w:lang w:eastAsia="x-none"/>
        </w:rPr>
        <w:t xml:space="preserve">que son </w:t>
      </w:r>
      <w:r w:rsidR="005E06A4" w:rsidRPr="00F176B9">
        <w:rPr>
          <w:rFonts w:ascii="Arial" w:eastAsia="Times New Roman" w:hAnsi="Arial" w:cs="Arial"/>
          <w:bCs/>
          <w:sz w:val="22"/>
          <w:lang w:eastAsia="x-none"/>
        </w:rPr>
        <w:t>«</w:t>
      </w:r>
      <w:r w:rsidR="00940714" w:rsidRPr="00F176B9">
        <w:rPr>
          <w:rFonts w:ascii="Arial" w:eastAsia="Times New Roman" w:hAnsi="Arial" w:cs="Arial"/>
          <w:bCs/>
          <w:sz w:val="22"/>
          <w:lang w:eastAsia="x-none"/>
        </w:rPr>
        <w:t>todos los entes del Estado</w:t>
      </w:r>
      <w:r w:rsidR="005E06A4" w:rsidRPr="00F176B9">
        <w:rPr>
          <w:rFonts w:ascii="Arial" w:eastAsia="Times New Roman" w:hAnsi="Arial" w:cs="Arial"/>
          <w:bCs/>
          <w:sz w:val="22"/>
          <w:lang w:eastAsia="x-none"/>
        </w:rPr>
        <w:t>»</w:t>
      </w:r>
      <w:r w:rsidR="0017528B" w:rsidRPr="00F176B9">
        <w:rPr>
          <w:rFonts w:ascii="Arial" w:eastAsia="Times New Roman" w:hAnsi="Arial" w:cs="Arial"/>
          <w:bCs/>
          <w:sz w:val="22"/>
          <w:lang w:eastAsia="x-none"/>
        </w:rPr>
        <w:t>,</w:t>
      </w:r>
      <w:r w:rsidR="00940714" w:rsidRPr="00F176B9">
        <w:rPr>
          <w:rFonts w:ascii="Arial" w:eastAsia="Times New Roman" w:hAnsi="Arial" w:cs="Arial"/>
          <w:bCs/>
          <w:sz w:val="22"/>
          <w:lang w:eastAsia="x-none"/>
        </w:rPr>
        <w:t xml:space="preserve"> expresión que </w:t>
      </w:r>
      <w:r w:rsidR="00182C6C" w:rsidRPr="00F176B9">
        <w:rPr>
          <w:rFonts w:ascii="Arial" w:eastAsia="Times New Roman" w:hAnsi="Arial" w:cs="Arial"/>
          <w:bCs/>
          <w:sz w:val="22"/>
          <w:lang w:eastAsia="x-none"/>
        </w:rPr>
        <w:t xml:space="preserve">contempla </w:t>
      </w:r>
      <w:r w:rsidR="00940714" w:rsidRPr="00F176B9">
        <w:rPr>
          <w:rFonts w:ascii="Arial" w:eastAsia="Times New Roman" w:hAnsi="Arial" w:cs="Arial"/>
          <w:bCs/>
          <w:sz w:val="22"/>
          <w:lang w:eastAsia="x-none"/>
        </w:rPr>
        <w:t>a los diferentes organismos o entidades autorizadas por la ley para suscribir contratos.</w:t>
      </w:r>
      <w:r w:rsidR="00195EDB" w:rsidRPr="00F176B9">
        <w:t xml:space="preserve"> </w:t>
      </w:r>
      <w:r w:rsidR="0011730D" w:rsidRPr="00F176B9">
        <w:rPr>
          <w:rFonts w:ascii="Arial" w:eastAsia="Times New Roman" w:hAnsi="Arial" w:cs="Arial"/>
          <w:bCs/>
          <w:sz w:val="22"/>
          <w:lang w:eastAsia="x-none"/>
        </w:rPr>
        <w:t>E</w:t>
      </w:r>
      <w:r w:rsidR="001F1781" w:rsidRPr="00F176B9">
        <w:rPr>
          <w:rFonts w:ascii="Arial" w:eastAsia="Times New Roman" w:hAnsi="Arial" w:cs="Arial"/>
          <w:bCs/>
          <w:sz w:val="22"/>
          <w:lang w:eastAsia="x-none"/>
        </w:rPr>
        <w:t>n efecto, tal como</w:t>
      </w:r>
      <w:r w:rsidR="00195EDB" w:rsidRPr="00F176B9">
        <w:rPr>
          <w:rFonts w:ascii="Arial" w:eastAsia="Times New Roman" w:hAnsi="Arial" w:cs="Arial"/>
          <w:bCs/>
          <w:sz w:val="22"/>
          <w:lang w:eastAsia="x-none"/>
        </w:rPr>
        <w:t xml:space="preserve"> </w:t>
      </w:r>
      <w:r w:rsidR="006A0BF9" w:rsidRPr="00F176B9">
        <w:rPr>
          <w:rFonts w:ascii="Arial" w:eastAsia="Times New Roman" w:hAnsi="Arial" w:cs="Arial"/>
          <w:bCs/>
          <w:sz w:val="22"/>
          <w:lang w:eastAsia="x-none"/>
        </w:rPr>
        <w:t>lo ha</w:t>
      </w:r>
      <w:r w:rsidR="001F1781" w:rsidRPr="00F176B9">
        <w:rPr>
          <w:rFonts w:ascii="Arial" w:eastAsia="Times New Roman" w:hAnsi="Arial" w:cs="Arial"/>
          <w:bCs/>
          <w:sz w:val="22"/>
          <w:lang w:eastAsia="x-none"/>
        </w:rPr>
        <w:t xml:space="preserve"> </w:t>
      </w:r>
      <w:r w:rsidR="006A0BF9" w:rsidRPr="00F176B9">
        <w:rPr>
          <w:rFonts w:ascii="Arial" w:eastAsia="Times New Roman" w:hAnsi="Arial" w:cs="Arial"/>
          <w:bCs/>
          <w:sz w:val="22"/>
          <w:lang w:eastAsia="x-none"/>
        </w:rPr>
        <w:t xml:space="preserve">sostenido el </w:t>
      </w:r>
      <w:r w:rsidR="00195EDB" w:rsidRPr="00F176B9">
        <w:rPr>
          <w:rFonts w:ascii="Arial" w:eastAsia="Times New Roman" w:hAnsi="Arial" w:cs="Arial"/>
          <w:bCs/>
          <w:sz w:val="22"/>
          <w:lang w:eastAsia="x-none"/>
        </w:rPr>
        <w:t>Consejo de Estado</w:t>
      </w:r>
      <w:r w:rsidR="001F1781" w:rsidRPr="00F176B9">
        <w:rPr>
          <w:rFonts w:ascii="Arial" w:eastAsia="Times New Roman" w:hAnsi="Arial" w:cs="Arial"/>
          <w:bCs/>
          <w:sz w:val="22"/>
          <w:lang w:eastAsia="x-none"/>
        </w:rPr>
        <w:t xml:space="preserve">, </w:t>
      </w:r>
      <w:r w:rsidR="00195EDB" w:rsidRPr="00F176B9">
        <w:rPr>
          <w:rFonts w:ascii="Arial" w:eastAsia="Times New Roman" w:hAnsi="Arial" w:cs="Arial"/>
          <w:bCs/>
          <w:sz w:val="22"/>
          <w:lang w:eastAsia="x-none"/>
        </w:rPr>
        <w:t>e</w:t>
      </w:r>
      <w:r w:rsidR="0062792C" w:rsidRPr="00F176B9">
        <w:rPr>
          <w:rFonts w:ascii="Arial" w:eastAsia="Times New Roman" w:hAnsi="Arial" w:cs="Arial"/>
          <w:bCs/>
          <w:sz w:val="22"/>
          <w:lang w:eastAsia="x-none"/>
        </w:rPr>
        <w:t>l vocablo</w:t>
      </w:r>
      <w:r w:rsidR="00940714" w:rsidRPr="00F176B9">
        <w:rPr>
          <w:rFonts w:ascii="Arial" w:eastAsia="Times New Roman" w:hAnsi="Arial" w:cs="Arial"/>
          <w:bCs/>
          <w:sz w:val="22"/>
          <w:lang w:eastAsia="x-none"/>
        </w:rPr>
        <w:t xml:space="preserve"> </w:t>
      </w:r>
      <w:bookmarkStart w:id="45" w:name="_Hlk75632581"/>
      <w:r w:rsidR="005E06A4" w:rsidRPr="00F176B9">
        <w:rPr>
          <w:rFonts w:ascii="Arial" w:eastAsia="Times New Roman" w:hAnsi="Arial" w:cs="Arial"/>
          <w:bCs/>
          <w:sz w:val="22"/>
          <w:lang w:eastAsia="x-none"/>
        </w:rPr>
        <w:t>«</w:t>
      </w:r>
      <w:bookmarkEnd w:id="45"/>
      <w:r w:rsidR="00940714" w:rsidRPr="00F176B9">
        <w:rPr>
          <w:rFonts w:ascii="Arial" w:eastAsia="Times New Roman" w:hAnsi="Arial" w:cs="Arial"/>
          <w:bCs/>
          <w:sz w:val="22"/>
          <w:lang w:eastAsia="x-none"/>
        </w:rPr>
        <w:t>todos</w:t>
      </w:r>
      <w:r w:rsidR="005E06A4" w:rsidRPr="00F176B9">
        <w:rPr>
          <w:rFonts w:ascii="Arial" w:eastAsia="Times New Roman" w:hAnsi="Arial" w:cs="Arial"/>
          <w:bCs/>
          <w:sz w:val="22"/>
          <w:lang w:eastAsia="x-none"/>
        </w:rPr>
        <w:t>»</w:t>
      </w:r>
      <w:r w:rsidR="0011730D" w:rsidRPr="00F176B9">
        <w:rPr>
          <w:rFonts w:ascii="Arial" w:eastAsia="Times New Roman" w:hAnsi="Arial" w:cs="Arial"/>
          <w:bCs/>
          <w:sz w:val="22"/>
          <w:lang w:eastAsia="x-none"/>
        </w:rPr>
        <w:t xml:space="preserve"> </w:t>
      </w:r>
      <w:r w:rsidR="00940714" w:rsidRPr="00F176B9">
        <w:rPr>
          <w:rFonts w:ascii="Arial" w:eastAsia="Times New Roman" w:hAnsi="Arial" w:cs="Arial"/>
          <w:bCs/>
          <w:sz w:val="22"/>
          <w:lang w:eastAsia="x-none"/>
        </w:rPr>
        <w:t>utiliz</w:t>
      </w:r>
      <w:r w:rsidR="0011730D" w:rsidRPr="00F176B9">
        <w:rPr>
          <w:rFonts w:ascii="Arial" w:eastAsia="Times New Roman" w:hAnsi="Arial" w:cs="Arial"/>
          <w:bCs/>
          <w:sz w:val="22"/>
          <w:lang w:eastAsia="x-none"/>
        </w:rPr>
        <w:t>ado por</w:t>
      </w:r>
      <w:r w:rsidR="00940714" w:rsidRPr="00F176B9">
        <w:rPr>
          <w:rFonts w:ascii="Arial" w:eastAsia="Times New Roman" w:hAnsi="Arial" w:cs="Arial"/>
          <w:bCs/>
          <w:sz w:val="22"/>
          <w:lang w:eastAsia="x-none"/>
        </w:rPr>
        <w:t xml:space="preserve"> el legislador</w:t>
      </w:r>
      <w:r w:rsidR="001F1781" w:rsidRPr="00F176B9">
        <w:rPr>
          <w:rFonts w:ascii="Arial" w:eastAsia="Times New Roman" w:hAnsi="Arial" w:cs="Arial"/>
          <w:bCs/>
          <w:sz w:val="22"/>
          <w:lang w:eastAsia="x-none"/>
        </w:rPr>
        <w:t xml:space="preserve"> </w:t>
      </w:r>
      <w:r w:rsidR="00940714" w:rsidRPr="00F176B9">
        <w:rPr>
          <w:rFonts w:ascii="Arial" w:eastAsia="Times New Roman" w:hAnsi="Arial" w:cs="Arial"/>
          <w:bCs/>
          <w:sz w:val="22"/>
          <w:lang w:eastAsia="x-none"/>
        </w:rPr>
        <w:t>comprende</w:t>
      </w:r>
      <w:r w:rsidR="00195EDB" w:rsidRPr="00F176B9">
        <w:t xml:space="preserve"> </w:t>
      </w:r>
      <w:r w:rsidR="00195EDB" w:rsidRPr="00F176B9">
        <w:rPr>
          <w:rFonts w:ascii="Arial" w:eastAsia="Times New Roman" w:hAnsi="Arial" w:cs="Arial"/>
          <w:bCs/>
          <w:sz w:val="22"/>
          <w:lang w:eastAsia="x-none"/>
        </w:rPr>
        <w:t>a la totalidad de los entes del Estado</w:t>
      </w:r>
      <w:r w:rsidR="00940714" w:rsidRPr="00F176B9">
        <w:rPr>
          <w:rFonts w:ascii="Arial" w:eastAsia="Times New Roman" w:hAnsi="Arial" w:cs="Arial"/>
          <w:bCs/>
          <w:sz w:val="22"/>
          <w:lang w:eastAsia="x-none"/>
        </w:rPr>
        <w:t>, sin distinción del régimen jurídico, forma de organización o naturaleza, su pertenencia a una u otra rama del poder público o su autonomía</w:t>
      </w:r>
      <w:bookmarkEnd w:id="44"/>
      <w:r w:rsidR="007B0F2D" w:rsidRPr="00F176B9">
        <w:rPr>
          <w:rFonts w:ascii="Arial" w:eastAsia="Times New Roman" w:hAnsi="Arial" w:cs="Arial"/>
          <w:bCs/>
          <w:sz w:val="22"/>
          <w:lang w:eastAsia="x-none"/>
        </w:rPr>
        <w:t>, e incluso si las entidades estatales tienen régimen especial de contratación y están exceptuadas del ámbito de aplicación del Estatuto General de Contratación de la Administración Pública.</w:t>
      </w:r>
      <w:r w:rsidR="00856B57" w:rsidRPr="00F176B9">
        <w:rPr>
          <w:rFonts w:ascii="Arial" w:eastAsia="Times New Roman" w:hAnsi="Arial" w:cs="Arial"/>
          <w:bCs/>
          <w:sz w:val="22"/>
          <w:lang w:eastAsia="x-none"/>
        </w:rPr>
        <w:t xml:space="preserve"> </w:t>
      </w:r>
      <w:r w:rsidR="005E06A4" w:rsidRPr="00F176B9">
        <w:rPr>
          <w:rFonts w:ascii="Arial" w:eastAsia="Times New Roman" w:hAnsi="Arial" w:cs="Arial"/>
          <w:bCs/>
          <w:sz w:val="22"/>
          <w:lang w:eastAsia="x-none"/>
        </w:rPr>
        <w:t>El Consejo de Estado</w:t>
      </w:r>
      <w:r w:rsidR="00E45D1C" w:rsidRPr="00F176B9">
        <w:rPr>
          <w:rFonts w:ascii="Arial" w:eastAsia="Times New Roman" w:hAnsi="Arial" w:cs="Arial"/>
          <w:bCs/>
          <w:sz w:val="22"/>
          <w:lang w:eastAsia="x-none"/>
        </w:rPr>
        <w:t xml:space="preserve">, </w:t>
      </w:r>
      <w:r w:rsidR="005E06A4" w:rsidRPr="00F176B9">
        <w:rPr>
          <w:rFonts w:ascii="Arial" w:eastAsia="Times New Roman" w:hAnsi="Arial" w:cs="Arial"/>
          <w:bCs/>
          <w:sz w:val="22"/>
          <w:lang w:eastAsia="x-none"/>
        </w:rPr>
        <w:t>en</w:t>
      </w:r>
      <w:r w:rsidR="007853BD" w:rsidRPr="00F176B9">
        <w:rPr>
          <w:rFonts w:ascii="Arial" w:eastAsia="Times New Roman" w:hAnsi="Arial" w:cs="Arial"/>
          <w:bCs/>
          <w:sz w:val="22"/>
          <w:lang w:eastAsia="x-none"/>
        </w:rPr>
        <w:t xml:space="preserve"> </w:t>
      </w:r>
      <w:r w:rsidR="00856B57" w:rsidRPr="00F176B9">
        <w:rPr>
          <w:rFonts w:ascii="Arial" w:eastAsia="Times New Roman" w:hAnsi="Arial" w:cs="Arial"/>
          <w:bCs/>
          <w:sz w:val="22"/>
          <w:lang w:eastAsia="x-none"/>
        </w:rPr>
        <w:t>C</w:t>
      </w:r>
      <w:r w:rsidR="007853BD" w:rsidRPr="00F176B9">
        <w:rPr>
          <w:rFonts w:ascii="Arial" w:eastAsia="Times New Roman" w:hAnsi="Arial" w:cs="Arial"/>
          <w:bCs/>
          <w:sz w:val="22"/>
          <w:lang w:eastAsia="x-none"/>
        </w:rPr>
        <w:t xml:space="preserve">oncepto </w:t>
      </w:r>
      <w:r w:rsidR="005E06A4" w:rsidRPr="00F176B9">
        <w:rPr>
          <w:rFonts w:ascii="Arial" w:eastAsia="Times New Roman" w:hAnsi="Arial" w:cs="Arial"/>
          <w:bCs/>
          <w:sz w:val="22"/>
          <w:lang w:eastAsia="x-none"/>
        </w:rPr>
        <w:t xml:space="preserve">con radicado </w:t>
      </w:r>
      <w:r w:rsidR="007853BD" w:rsidRPr="00F176B9">
        <w:rPr>
          <w:rFonts w:ascii="Arial" w:eastAsia="Times New Roman" w:hAnsi="Arial" w:cs="Arial"/>
          <w:bCs/>
          <w:sz w:val="22"/>
          <w:lang w:eastAsia="x-none"/>
        </w:rPr>
        <w:t>1727 de fecha 20 de febrero de 2006</w:t>
      </w:r>
      <w:r w:rsidR="00E45D1C" w:rsidRPr="00F176B9">
        <w:rPr>
          <w:rFonts w:ascii="Arial" w:eastAsia="Times New Roman" w:hAnsi="Arial" w:cs="Arial"/>
          <w:bCs/>
          <w:sz w:val="22"/>
          <w:lang w:eastAsia="x-none"/>
        </w:rPr>
        <w:t xml:space="preserve">, </w:t>
      </w:r>
      <w:r w:rsidR="00856B57" w:rsidRPr="00F176B9">
        <w:rPr>
          <w:rFonts w:ascii="Arial" w:eastAsia="Times New Roman" w:hAnsi="Arial" w:cs="Arial"/>
          <w:bCs/>
          <w:sz w:val="22"/>
          <w:lang w:eastAsia="x-none"/>
        </w:rPr>
        <w:t xml:space="preserve">consideró </w:t>
      </w:r>
      <w:r w:rsidR="00182C6C" w:rsidRPr="00F176B9">
        <w:rPr>
          <w:rFonts w:ascii="Arial" w:eastAsia="Times New Roman" w:hAnsi="Arial" w:cs="Arial"/>
          <w:bCs/>
          <w:sz w:val="22"/>
          <w:lang w:eastAsia="x-none"/>
        </w:rPr>
        <w:t>q</w:t>
      </w:r>
      <w:r w:rsidR="00BD3ADF" w:rsidRPr="00F176B9">
        <w:rPr>
          <w:rFonts w:ascii="Arial" w:eastAsia="Times New Roman" w:hAnsi="Arial" w:cs="Arial"/>
          <w:bCs/>
          <w:sz w:val="22"/>
          <w:lang w:eastAsia="x-none"/>
        </w:rPr>
        <w:t>ue</w:t>
      </w:r>
      <w:r w:rsidR="009C3D5F" w:rsidRPr="00F176B9">
        <w:rPr>
          <w:rFonts w:ascii="Arial" w:eastAsia="Times New Roman" w:hAnsi="Arial" w:cs="Arial"/>
          <w:bCs/>
          <w:sz w:val="22"/>
          <w:lang w:eastAsia="x-none"/>
        </w:rPr>
        <w:t>:</w:t>
      </w:r>
      <w:r w:rsidR="00BD3ADF" w:rsidRPr="00F176B9">
        <w:rPr>
          <w:rFonts w:ascii="Arial" w:eastAsia="Times New Roman" w:hAnsi="Arial" w:cs="Arial"/>
          <w:bCs/>
          <w:sz w:val="22"/>
          <w:lang w:eastAsia="x-none"/>
        </w:rPr>
        <w:t xml:space="preserve"> </w:t>
      </w:r>
    </w:p>
    <w:p w14:paraId="0F3DCBC0" w14:textId="77777777" w:rsidR="001F1781" w:rsidRPr="00F176B9" w:rsidRDefault="001F1781" w:rsidP="00F176B9">
      <w:pPr>
        <w:spacing w:after="0"/>
        <w:ind w:firstLine="708"/>
        <w:rPr>
          <w:rFonts w:ascii="Arial" w:eastAsia="Times New Roman" w:hAnsi="Arial" w:cs="Arial"/>
          <w:bCs/>
          <w:sz w:val="22"/>
          <w:lang w:eastAsia="x-none"/>
        </w:rPr>
      </w:pPr>
    </w:p>
    <w:p w14:paraId="22D48D64" w14:textId="3DBC4028" w:rsidR="008C6B51" w:rsidRPr="00F176B9" w:rsidRDefault="00BD3ADF" w:rsidP="00F176B9">
      <w:pPr>
        <w:spacing w:after="0" w:line="240" w:lineRule="auto"/>
        <w:ind w:left="708" w:right="709"/>
        <w:rPr>
          <w:rFonts w:ascii="Arial" w:eastAsia="Times New Roman" w:hAnsi="Arial" w:cs="Arial"/>
          <w:bCs/>
          <w:sz w:val="21"/>
          <w:szCs w:val="21"/>
          <w:lang w:eastAsia="es-CO"/>
        </w:rPr>
      </w:pPr>
      <w:r w:rsidRPr="00F176B9">
        <w:rPr>
          <w:rFonts w:ascii="Arial" w:eastAsia="Times New Roman" w:hAnsi="Arial" w:cs="Arial"/>
          <w:bCs/>
          <w:sz w:val="21"/>
          <w:szCs w:val="21"/>
          <w:lang w:eastAsia="x-none"/>
        </w:rPr>
        <w:t xml:space="preserve">El artículo 33 de la ley 996 de 2005, </w:t>
      </w:r>
      <w:bookmarkStart w:id="46" w:name="_Hlk75787147"/>
      <w:r w:rsidRPr="00F176B9">
        <w:rPr>
          <w:rFonts w:ascii="Arial" w:eastAsia="Times New Roman" w:hAnsi="Arial" w:cs="Arial"/>
          <w:bCs/>
          <w:sz w:val="21"/>
          <w:szCs w:val="21"/>
          <w:lang w:eastAsia="x-none"/>
        </w:rPr>
        <w:t>efectivamente se aplica</w:t>
      </w:r>
      <w:r w:rsidR="00E240CB" w:rsidRPr="00F176B9">
        <w:rPr>
          <w:rFonts w:ascii="Arial" w:eastAsia="Times New Roman" w:hAnsi="Arial" w:cs="Arial"/>
          <w:bCs/>
          <w:sz w:val="21"/>
          <w:szCs w:val="21"/>
          <w:lang w:eastAsia="x-none"/>
        </w:rPr>
        <w:t xml:space="preserve"> </w:t>
      </w:r>
      <w:bookmarkStart w:id="47" w:name="_Hlk76074089"/>
      <w:r w:rsidR="00E240CB" w:rsidRPr="00F176B9">
        <w:rPr>
          <w:rFonts w:ascii="Arial" w:eastAsia="Times New Roman" w:hAnsi="Arial" w:cs="Arial"/>
          <w:bCs/>
          <w:sz w:val="21"/>
          <w:szCs w:val="21"/>
          <w:lang w:eastAsia="x-none"/>
        </w:rPr>
        <w:t xml:space="preserve">incluso a las entidades estatales con régimen especial de contratación y que están </w:t>
      </w:r>
      <w:r w:rsidR="00E240CB" w:rsidRPr="00F176B9">
        <w:rPr>
          <w:rFonts w:ascii="Arial" w:eastAsia="Times New Roman" w:hAnsi="Arial" w:cs="Arial"/>
          <w:bCs/>
          <w:sz w:val="21"/>
          <w:szCs w:val="21"/>
          <w:lang w:eastAsia="x-none"/>
        </w:rPr>
        <w:lastRenderedPageBreak/>
        <w:t>exceptuadas del ámbito de aplicación del Estatuto General de Contratación de la Administración Pública</w:t>
      </w:r>
      <w:bookmarkEnd w:id="47"/>
      <w:r w:rsidR="00E240CB" w:rsidRPr="00F176B9">
        <w:rPr>
          <w:rFonts w:ascii="Arial" w:eastAsia="Times New Roman" w:hAnsi="Arial" w:cs="Arial"/>
          <w:bCs/>
          <w:sz w:val="21"/>
          <w:szCs w:val="21"/>
          <w:lang w:eastAsia="x-none"/>
        </w:rPr>
        <w:t>, como por ejemplo</w:t>
      </w:r>
      <w:r w:rsidRPr="00F176B9">
        <w:rPr>
          <w:rFonts w:ascii="Arial" w:eastAsia="Times New Roman" w:hAnsi="Arial" w:cs="Arial"/>
          <w:bCs/>
          <w:sz w:val="21"/>
          <w:szCs w:val="21"/>
          <w:lang w:eastAsia="x-none"/>
        </w:rPr>
        <w:t xml:space="preserve"> los prestadores de servicios públicos domiciliarios (empresas de servicios públicos oficiales y empresas industriales y comerciales del Estado) y a los municipios prestadores directos, incluyendo las excepciones contenidas en el segundo inciso de esta norma</w:t>
      </w:r>
      <w:r w:rsidR="00856B57" w:rsidRPr="00F176B9">
        <w:rPr>
          <w:rStyle w:val="Refdenotaalpie"/>
          <w:rFonts w:ascii="Arial" w:eastAsia="Times New Roman" w:hAnsi="Arial" w:cs="Arial"/>
          <w:bCs/>
          <w:sz w:val="21"/>
          <w:szCs w:val="21"/>
          <w:lang w:eastAsia="x-none"/>
        </w:rPr>
        <w:footnoteReference w:id="20"/>
      </w:r>
      <w:r w:rsidRPr="00F176B9">
        <w:rPr>
          <w:rFonts w:ascii="Arial" w:eastAsia="Times New Roman" w:hAnsi="Arial" w:cs="Arial"/>
          <w:bCs/>
          <w:sz w:val="21"/>
          <w:szCs w:val="21"/>
          <w:lang w:eastAsia="x-none"/>
        </w:rPr>
        <w:t>.</w:t>
      </w:r>
      <w:r w:rsidR="008C6B51" w:rsidRPr="00F176B9">
        <w:rPr>
          <w:rFonts w:ascii="Arial" w:eastAsia="Times New Roman" w:hAnsi="Arial" w:cs="Arial"/>
          <w:bCs/>
          <w:sz w:val="21"/>
          <w:szCs w:val="21"/>
          <w:lang w:eastAsia="es-CO"/>
        </w:rPr>
        <w:t xml:space="preserve"> </w:t>
      </w:r>
    </w:p>
    <w:p w14:paraId="0B4674F2" w14:textId="77777777" w:rsidR="008C6B51" w:rsidRPr="00F176B9" w:rsidRDefault="008C6B51" w:rsidP="00F176B9">
      <w:pPr>
        <w:spacing w:after="0"/>
        <w:ind w:firstLine="708"/>
        <w:rPr>
          <w:rFonts w:ascii="Arial" w:eastAsia="Times New Roman" w:hAnsi="Arial" w:cs="Arial"/>
          <w:bCs/>
          <w:sz w:val="22"/>
          <w:lang w:eastAsia="es-CO"/>
        </w:rPr>
      </w:pPr>
    </w:p>
    <w:p w14:paraId="2098877D" w14:textId="0F2187DE" w:rsidR="003D73F1" w:rsidRPr="00F176B9" w:rsidRDefault="00856B57" w:rsidP="00F176B9">
      <w:pPr>
        <w:spacing w:after="0"/>
        <w:ind w:firstLine="708"/>
        <w:rPr>
          <w:rFonts w:ascii="Arial" w:hAnsi="Arial" w:cs="Arial"/>
          <w:sz w:val="22"/>
        </w:rPr>
      </w:pPr>
      <w:r w:rsidRPr="00F176B9">
        <w:rPr>
          <w:rFonts w:ascii="Arial" w:eastAsia="Times New Roman" w:hAnsi="Arial" w:cs="Arial"/>
          <w:bCs/>
          <w:sz w:val="22"/>
          <w:lang w:eastAsia="x-none"/>
        </w:rPr>
        <w:t>E</w:t>
      </w:r>
      <w:r w:rsidR="00BD3ADF" w:rsidRPr="00F176B9">
        <w:rPr>
          <w:rFonts w:ascii="Arial" w:eastAsia="Times New Roman" w:hAnsi="Arial" w:cs="Arial"/>
          <w:bCs/>
          <w:sz w:val="22"/>
          <w:lang w:eastAsia="x-none"/>
        </w:rPr>
        <w:t xml:space="preserve">n </w:t>
      </w:r>
      <w:r w:rsidRPr="00F176B9">
        <w:rPr>
          <w:rFonts w:ascii="Arial" w:eastAsia="Times New Roman" w:hAnsi="Arial" w:cs="Arial"/>
          <w:bCs/>
          <w:sz w:val="22"/>
          <w:lang w:eastAsia="x-none"/>
        </w:rPr>
        <w:t>C</w:t>
      </w:r>
      <w:r w:rsidR="00BD3ADF" w:rsidRPr="00F176B9">
        <w:rPr>
          <w:rFonts w:ascii="Arial" w:eastAsia="Times New Roman" w:hAnsi="Arial" w:cs="Arial"/>
          <w:bCs/>
          <w:sz w:val="22"/>
          <w:lang w:eastAsia="x-none"/>
        </w:rPr>
        <w:t>oncepto con radicado 1738 de 6 de abril de 2006, esa misma Corporación manifestó que</w:t>
      </w:r>
      <w:r w:rsidR="00204F6E" w:rsidRPr="00F176B9">
        <w:rPr>
          <w:rFonts w:ascii="Arial" w:eastAsia="Times New Roman" w:hAnsi="Arial" w:cs="Arial"/>
          <w:bCs/>
          <w:sz w:val="22"/>
          <w:lang w:eastAsia="x-none"/>
        </w:rPr>
        <w:t xml:space="preserve"> </w:t>
      </w:r>
      <w:r w:rsidR="00182C6C" w:rsidRPr="00F176B9">
        <w:rPr>
          <w:rFonts w:ascii="Arial" w:eastAsia="Times New Roman" w:hAnsi="Arial" w:cs="Arial"/>
          <w:bCs/>
          <w:sz w:val="22"/>
          <w:lang w:eastAsia="x-none"/>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8" w:name="_Hlk75635823"/>
      <w:r w:rsidR="00182C6C" w:rsidRPr="00F176B9">
        <w:rPr>
          <w:rFonts w:ascii="Arial" w:eastAsia="Times New Roman" w:hAnsi="Arial" w:cs="Arial"/>
          <w:bCs/>
          <w:sz w:val="22"/>
          <w:lang w:eastAsia="x-none"/>
        </w:rPr>
        <w:t>»</w:t>
      </w:r>
      <w:bookmarkStart w:id="49" w:name="_Hlk75758868"/>
      <w:bookmarkStart w:id="50" w:name="_Hlk75741220"/>
      <w:bookmarkEnd w:id="48"/>
      <w:r w:rsidR="00182C6C" w:rsidRPr="00F176B9">
        <w:rPr>
          <w:rStyle w:val="Refdenotaalpie"/>
          <w:rFonts w:ascii="Arial" w:hAnsi="Arial" w:cs="Arial"/>
        </w:rPr>
        <w:footnoteReference w:id="21"/>
      </w:r>
      <w:bookmarkEnd w:id="49"/>
      <w:bookmarkEnd w:id="50"/>
      <w:r w:rsidR="00B16C38" w:rsidRPr="00F176B9">
        <w:rPr>
          <w:rFonts w:ascii="Arial" w:eastAsia="Times New Roman" w:hAnsi="Arial" w:cs="Arial"/>
          <w:bCs/>
          <w:sz w:val="22"/>
          <w:lang w:eastAsia="x-none"/>
        </w:rPr>
        <w:t>.</w:t>
      </w:r>
      <w:r w:rsidR="004E638B" w:rsidRPr="00F176B9">
        <w:rPr>
          <w:rFonts w:ascii="Arial" w:hAnsi="Arial" w:cs="Arial"/>
          <w:sz w:val="22"/>
        </w:rPr>
        <w:t xml:space="preserve"> </w:t>
      </w:r>
      <w:r w:rsidR="003D73F1" w:rsidRPr="00F176B9">
        <w:rPr>
          <w:rFonts w:ascii="Arial" w:hAnsi="Arial" w:cs="Arial"/>
          <w:sz w:val="22"/>
        </w:rPr>
        <w:t>Sin embargo, debe precisar</w:t>
      </w:r>
      <w:r w:rsidR="004E638B" w:rsidRPr="00F176B9">
        <w:rPr>
          <w:rFonts w:ascii="Arial" w:hAnsi="Arial" w:cs="Arial"/>
          <w:sz w:val="22"/>
        </w:rPr>
        <w:t>se</w:t>
      </w:r>
      <w:r w:rsidR="003D73F1" w:rsidRPr="00F176B9">
        <w:rPr>
          <w:rFonts w:ascii="Arial" w:hAnsi="Arial" w:cs="Arial"/>
          <w:sz w:val="22"/>
        </w:rPr>
        <w:t xml:space="preserve"> el siguiente aspecto que distinguió</w:t>
      </w:r>
      <w:r w:rsidR="006A0BF9" w:rsidRPr="00F176B9">
        <w:rPr>
          <w:rFonts w:ascii="Arial" w:hAnsi="Arial" w:cs="Arial"/>
          <w:sz w:val="22"/>
        </w:rPr>
        <w:t xml:space="preserve"> la </w:t>
      </w:r>
      <w:r w:rsidR="003D73F1" w:rsidRPr="00F176B9">
        <w:rPr>
          <w:rFonts w:ascii="Arial" w:hAnsi="Arial" w:cs="Arial"/>
          <w:sz w:val="22"/>
        </w:rPr>
        <w:t>Sala de Consulta y Servicio Civil:</w:t>
      </w:r>
    </w:p>
    <w:p w14:paraId="16928B1F" w14:textId="77777777" w:rsidR="003D73F1" w:rsidRPr="00F176B9" w:rsidRDefault="003D73F1" w:rsidP="00F176B9">
      <w:pPr>
        <w:spacing w:after="0"/>
        <w:rPr>
          <w:rFonts w:ascii="Arial" w:hAnsi="Arial" w:cs="Arial"/>
          <w:sz w:val="22"/>
        </w:rPr>
      </w:pPr>
    </w:p>
    <w:p w14:paraId="0EEFED65" w14:textId="77777777" w:rsidR="003D73F1" w:rsidRPr="00F176B9" w:rsidRDefault="003D73F1" w:rsidP="00F176B9">
      <w:pPr>
        <w:spacing w:after="0" w:line="240" w:lineRule="auto"/>
        <w:ind w:left="708" w:right="709"/>
        <w:rPr>
          <w:rFonts w:ascii="Arial" w:hAnsi="Arial" w:cs="Arial"/>
          <w:sz w:val="21"/>
          <w:szCs w:val="21"/>
        </w:rPr>
      </w:pPr>
      <w:bookmarkStart w:id="52" w:name="_Hlk75811446"/>
      <w:r w:rsidRPr="00F176B9">
        <w:rPr>
          <w:rFonts w:ascii="Arial" w:hAnsi="Arial" w:cs="Arial"/>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w:t>
      </w:r>
      <w:r w:rsidRPr="00F176B9">
        <w:rPr>
          <w:rFonts w:ascii="Arial" w:hAnsi="Arial" w:cs="Arial"/>
          <w:sz w:val="21"/>
          <w:szCs w:val="21"/>
        </w:rPr>
        <w:lastRenderedPageBreak/>
        <w:t>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52"/>
      <w:r w:rsidRPr="00F176B9">
        <w:rPr>
          <w:rStyle w:val="Refdenotaalpie"/>
          <w:rFonts w:ascii="Arial" w:hAnsi="Arial" w:cs="Arial"/>
        </w:rPr>
        <w:footnoteReference w:id="22"/>
      </w:r>
      <w:r w:rsidRPr="00F176B9">
        <w:rPr>
          <w:rFonts w:ascii="Arial" w:eastAsia="Times New Roman" w:hAnsi="Arial" w:cs="Arial"/>
          <w:bCs/>
          <w:sz w:val="22"/>
          <w:lang w:eastAsia="x-none"/>
        </w:rPr>
        <w:t>.</w:t>
      </w:r>
    </w:p>
    <w:p w14:paraId="2572F9F5" w14:textId="77777777" w:rsidR="003D73F1" w:rsidRPr="00F176B9" w:rsidRDefault="003D73F1" w:rsidP="00F176B9">
      <w:pPr>
        <w:spacing w:after="0"/>
        <w:rPr>
          <w:rFonts w:ascii="Arial" w:hAnsi="Arial" w:cs="Arial"/>
          <w:sz w:val="22"/>
        </w:rPr>
      </w:pPr>
    </w:p>
    <w:p w14:paraId="5B4A5CC2" w14:textId="0565183A" w:rsidR="003D73F1" w:rsidRPr="00F176B9" w:rsidRDefault="003D73F1" w:rsidP="00F176B9">
      <w:pPr>
        <w:spacing w:after="120"/>
        <w:ind w:firstLine="709"/>
        <w:rPr>
          <w:rFonts w:ascii="Arial" w:eastAsia="Times New Roman" w:hAnsi="Arial" w:cs="Arial"/>
          <w:bCs/>
          <w:sz w:val="22"/>
          <w:lang w:eastAsia="x-none"/>
        </w:rPr>
      </w:pPr>
      <w:r w:rsidRPr="00F176B9">
        <w:rPr>
          <w:rFonts w:ascii="Arial" w:hAnsi="Arial" w:cs="Arial"/>
          <w:sz w:val="22"/>
        </w:rPr>
        <w:t>Aplicando este razonamiento,</w:t>
      </w:r>
      <w:bookmarkStart w:id="53" w:name="_Hlk75811096"/>
      <w:r w:rsidRPr="00F176B9">
        <w:rPr>
          <w:rFonts w:ascii="Arial" w:hAnsi="Arial" w:cs="Arial"/>
          <w:sz w:val="22"/>
        </w:rPr>
        <w:t xml:space="preserve"> </w:t>
      </w:r>
      <w:r w:rsidR="00D37454" w:rsidRPr="00F176B9">
        <w:rPr>
          <w:rFonts w:ascii="Arial" w:hAnsi="Arial" w:cs="Arial"/>
          <w:sz w:val="22"/>
        </w:rPr>
        <w:t xml:space="preserve">se tiene que </w:t>
      </w:r>
      <w:r w:rsidRPr="00F176B9">
        <w:rPr>
          <w:rFonts w:ascii="Arial" w:hAnsi="Arial" w:cs="Arial"/>
          <w:sz w:val="22"/>
        </w:rPr>
        <w:t xml:space="preserve">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w:t>
      </w:r>
      <w:r w:rsidR="007A7F82" w:rsidRPr="00F176B9">
        <w:rPr>
          <w:rFonts w:ascii="Arial" w:hAnsi="Arial" w:cs="Arial"/>
          <w:sz w:val="22"/>
        </w:rPr>
        <w:t xml:space="preserve">a </w:t>
      </w:r>
      <w:r w:rsidRPr="00F176B9">
        <w:rPr>
          <w:rFonts w:ascii="Arial" w:hAnsi="Arial" w:cs="Arial"/>
          <w:sz w:val="22"/>
        </w:rPr>
        <w:t>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53"/>
      <w:r w:rsidRPr="00F176B9">
        <w:rPr>
          <w:rFonts w:ascii="Arial" w:hAnsi="Arial" w:cs="Arial"/>
          <w:sz w:val="22"/>
        </w:rPr>
        <w:t>»</w:t>
      </w:r>
      <w:r w:rsidRPr="00F176B9">
        <w:rPr>
          <w:rStyle w:val="Refdenotaalpie"/>
          <w:rFonts w:ascii="Arial" w:hAnsi="Arial" w:cs="Arial"/>
        </w:rPr>
        <w:t xml:space="preserve"> </w:t>
      </w:r>
      <w:r w:rsidRPr="00F176B9">
        <w:rPr>
          <w:rStyle w:val="Refdenotaalpie"/>
          <w:rFonts w:ascii="Arial" w:hAnsi="Arial" w:cs="Arial"/>
          <w:sz w:val="22"/>
        </w:rPr>
        <w:footnoteReference w:id="23"/>
      </w:r>
      <w:r w:rsidR="004E638B" w:rsidRPr="00F176B9">
        <w:rPr>
          <w:rFonts w:ascii="Arial" w:hAnsi="Arial" w:cs="Arial"/>
          <w:sz w:val="22"/>
        </w:rPr>
        <w:t>.</w:t>
      </w:r>
    </w:p>
    <w:p w14:paraId="3511C4DF" w14:textId="017DEF61" w:rsidR="00A50F5C" w:rsidRPr="00F176B9" w:rsidRDefault="004E638B" w:rsidP="00F176B9">
      <w:pPr>
        <w:spacing w:after="0"/>
        <w:ind w:firstLine="708"/>
        <w:rPr>
          <w:rFonts w:ascii="Arial" w:eastAsia="Times New Roman" w:hAnsi="Arial" w:cs="Arial"/>
          <w:bCs/>
          <w:sz w:val="22"/>
          <w:lang w:eastAsia="x-none"/>
        </w:rPr>
      </w:pPr>
      <w:bookmarkStart w:id="54" w:name="_Hlk77237229"/>
      <w:bookmarkEnd w:id="46"/>
      <w:r w:rsidRPr="00F176B9">
        <w:rPr>
          <w:rFonts w:ascii="Arial" w:hAnsi="Arial" w:cs="Arial"/>
          <w:sz w:val="22"/>
        </w:rPr>
        <w:t>P</w:t>
      </w:r>
      <w:r w:rsidR="007B0F2D" w:rsidRPr="00F176B9">
        <w:rPr>
          <w:rFonts w:ascii="Arial" w:hAnsi="Arial" w:cs="Arial"/>
          <w:sz w:val="22"/>
        </w:rPr>
        <w:t>or lo tanto, la restricción prevista en la Ley 996 de 200</w:t>
      </w:r>
      <w:bookmarkStart w:id="55" w:name="_Hlk75741539"/>
      <w:r w:rsidR="007B0F2D" w:rsidRPr="00F176B9">
        <w:rPr>
          <w:rFonts w:ascii="Arial" w:hAnsi="Arial" w:cs="Arial"/>
          <w:sz w:val="22"/>
        </w:rPr>
        <w:t xml:space="preserve">5, </w:t>
      </w:r>
      <w:r w:rsidR="007B0F2D" w:rsidRPr="00F176B9">
        <w:rPr>
          <w:rFonts w:ascii="Arial" w:eastAsia="Times New Roman"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w:t>
      </w:r>
      <w:r w:rsidR="00A50F5C" w:rsidRPr="00F176B9">
        <w:rPr>
          <w:rFonts w:ascii="Arial" w:eastAsia="Times New Roman" w:hAnsi="Arial" w:cs="Arial"/>
          <w:bCs/>
          <w:sz w:val="22"/>
          <w:lang w:eastAsia="x-none"/>
        </w:rPr>
        <w:t xml:space="preserve">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w:t>
      </w:r>
      <w:r w:rsidRPr="00F176B9">
        <w:rPr>
          <w:rFonts w:ascii="Arial" w:eastAsia="Times New Roman" w:hAnsi="Arial" w:cs="Arial"/>
          <w:bCs/>
          <w:sz w:val="22"/>
          <w:lang w:eastAsia="x-none"/>
        </w:rPr>
        <w:t>regulada por</w:t>
      </w:r>
      <w:r w:rsidR="00A50F5C" w:rsidRPr="00F176B9">
        <w:rPr>
          <w:rFonts w:ascii="Arial" w:eastAsia="Times New Roman" w:hAnsi="Arial" w:cs="Arial"/>
          <w:bCs/>
          <w:sz w:val="22"/>
          <w:lang w:eastAsia="x-none"/>
        </w:rPr>
        <w:t xml:space="preserve"> la Ley 80 de 1993 como</w:t>
      </w:r>
      <w:r w:rsidRPr="00F176B9">
        <w:rPr>
          <w:rFonts w:ascii="Arial" w:eastAsia="Times New Roman" w:hAnsi="Arial" w:cs="Arial"/>
          <w:bCs/>
          <w:sz w:val="22"/>
          <w:lang w:eastAsia="x-none"/>
        </w:rPr>
        <w:t xml:space="preserve"> en la regida por</w:t>
      </w:r>
      <w:r w:rsidR="00A50F5C" w:rsidRPr="00F176B9">
        <w:rPr>
          <w:rFonts w:ascii="Arial" w:eastAsia="Times New Roman" w:hAnsi="Arial" w:cs="Arial"/>
          <w:bCs/>
          <w:sz w:val="22"/>
          <w:lang w:eastAsia="x-none"/>
        </w:rPr>
        <w:t xml:space="preserve"> el Derecho Privado.</w:t>
      </w:r>
    </w:p>
    <w:bookmarkEnd w:id="54"/>
    <w:bookmarkEnd w:id="55"/>
    <w:p w14:paraId="47620361" w14:textId="16286B9E" w:rsidR="006537D0" w:rsidRPr="00F176B9" w:rsidRDefault="006537D0" w:rsidP="00F176B9">
      <w:pPr>
        <w:spacing w:after="0"/>
        <w:rPr>
          <w:rFonts w:ascii="Arial" w:eastAsia="Times New Roman" w:hAnsi="Arial" w:cs="Arial"/>
          <w:bCs/>
          <w:sz w:val="22"/>
          <w:lang w:eastAsia="es-CO"/>
        </w:rPr>
      </w:pPr>
    </w:p>
    <w:p w14:paraId="2B3DD80A" w14:textId="0C43FBEE" w:rsidR="006537D0" w:rsidRPr="00F176B9" w:rsidRDefault="006537D0" w:rsidP="00F176B9">
      <w:pPr>
        <w:spacing w:after="0"/>
        <w:rPr>
          <w:rFonts w:ascii="Arial" w:eastAsia="Arial" w:hAnsi="Arial" w:cs="Arial"/>
          <w:b/>
          <w:bCs/>
          <w:sz w:val="22"/>
          <w:lang w:val="es-ES" w:eastAsia="es-ES" w:bidi="es-ES"/>
        </w:rPr>
      </w:pPr>
      <w:r w:rsidRPr="00F176B9">
        <w:rPr>
          <w:rFonts w:ascii="Arial" w:eastAsia="Arial" w:hAnsi="Arial" w:cs="Arial"/>
          <w:b/>
          <w:bCs/>
          <w:sz w:val="22"/>
          <w:lang w:val="es-ES" w:eastAsia="es-ES" w:bidi="es-ES"/>
        </w:rPr>
        <w:t>2.</w:t>
      </w:r>
      <w:r w:rsidR="007E044F">
        <w:rPr>
          <w:rFonts w:ascii="Arial" w:eastAsia="Arial" w:hAnsi="Arial" w:cs="Arial"/>
          <w:b/>
          <w:bCs/>
          <w:sz w:val="22"/>
          <w:lang w:val="es-ES" w:eastAsia="es-ES" w:bidi="es-ES"/>
        </w:rPr>
        <w:t>4</w:t>
      </w:r>
      <w:r w:rsidRPr="00F176B9">
        <w:rPr>
          <w:rFonts w:ascii="Arial" w:eastAsia="Arial" w:hAnsi="Arial" w:cs="Arial"/>
          <w:b/>
          <w:bCs/>
          <w:sz w:val="22"/>
          <w:lang w:val="es-ES" w:eastAsia="es-ES" w:bidi="es-ES"/>
        </w:rPr>
        <w:t xml:space="preserve">. </w:t>
      </w:r>
      <w:bookmarkStart w:id="56" w:name="_Hlk93328413"/>
      <w:r w:rsidR="00107244" w:rsidRPr="00F176B9">
        <w:rPr>
          <w:rFonts w:ascii="Arial" w:eastAsia="Arial" w:hAnsi="Arial" w:cs="Arial"/>
          <w:b/>
          <w:bCs/>
          <w:sz w:val="22"/>
          <w:lang w:val="es-ES" w:eastAsia="es-ES" w:bidi="es-ES"/>
        </w:rPr>
        <w:t>Restricciones de la Ley de Garantías en los contratos de colaboración y c</w:t>
      </w:r>
      <w:r w:rsidRPr="00F176B9">
        <w:rPr>
          <w:rFonts w:ascii="Arial" w:eastAsia="Arial" w:hAnsi="Arial" w:cs="Arial"/>
          <w:b/>
          <w:bCs/>
          <w:sz w:val="22"/>
          <w:lang w:val="es-ES" w:eastAsia="es-ES" w:bidi="es-ES"/>
        </w:rPr>
        <w:t>onvenios de asociación</w:t>
      </w:r>
      <w:r w:rsidR="001F3276" w:rsidRPr="00F176B9">
        <w:rPr>
          <w:rFonts w:ascii="Arial" w:eastAsia="Arial" w:hAnsi="Arial" w:cs="Arial"/>
          <w:b/>
          <w:bCs/>
          <w:sz w:val="22"/>
          <w:lang w:val="es-ES" w:eastAsia="es-ES" w:bidi="es-ES"/>
        </w:rPr>
        <w:t xml:space="preserve"> con entidades </w:t>
      </w:r>
      <w:r w:rsidR="00BA0FA8" w:rsidRPr="00F176B9">
        <w:rPr>
          <w:rFonts w:ascii="Arial" w:eastAsia="Arial" w:hAnsi="Arial" w:cs="Arial"/>
          <w:b/>
          <w:bCs/>
          <w:sz w:val="22"/>
          <w:lang w:val="es-ES" w:eastAsia="es-ES" w:bidi="es-ES"/>
        </w:rPr>
        <w:t xml:space="preserve">privadas </w:t>
      </w:r>
      <w:r w:rsidR="001F3276" w:rsidRPr="00F176B9">
        <w:rPr>
          <w:rFonts w:ascii="Arial" w:eastAsia="Arial" w:hAnsi="Arial" w:cs="Arial"/>
          <w:b/>
          <w:bCs/>
          <w:sz w:val="22"/>
          <w:lang w:val="es-ES" w:eastAsia="es-ES" w:bidi="es-ES"/>
        </w:rPr>
        <w:t>sin ánimo de lucro</w:t>
      </w:r>
      <w:bookmarkEnd w:id="56"/>
    </w:p>
    <w:p w14:paraId="37F366CA" w14:textId="55D71ADB" w:rsidR="006537D0" w:rsidRPr="00F176B9" w:rsidRDefault="006537D0" w:rsidP="00F176B9">
      <w:pPr>
        <w:pStyle w:val="Sinespaciado"/>
        <w:spacing w:line="276" w:lineRule="auto"/>
        <w:rPr>
          <w:rFonts w:ascii="Arial" w:hAnsi="Arial" w:cs="Arial"/>
          <w:sz w:val="22"/>
        </w:rPr>
      </w:pPr>
    </w:p>
    <w:p w14:paraId="1D94E4E5" w14:textId="1A005B88" w:rsidR="0026775B" w:rsidRPr="00F176B9" w:rsidRDefault="0026775B" w:rsidP="00F176B9">
      <w:pPr>
        <w:pStyle w:val="Sinespaciado"/>
        <w:spacing w:after="120" w:line="276" w:lineRule="auto"/>
        <w:rPr>
          <w:rFonts w:ascii="Arial" w:hAnsi="Arial" w:cs="Arial"/>
          <w:sz w:val="22"/>
        </w:rPr>
      </w:pPr>
      <w:r w:rsidRPr="00F176B9">
        <w:rPr>
          <w:rFonts w:ascii="Arial" w:hAnsi="Arial" w:cs="Arial"/>
          <w:sz w:val="22"/>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w:t>
      </w:r>
      <w:r w:rsidRPr="00F176B9">
        <w:rPr>
          <w:rFonts w:ascii="Arial" w:hAnsi="Arial" w:cs="Arial"/>
          <w:sz w:val="22"/>
        </w:rPr>
        <w:lastRenderedPageBreak/>
        <w:t>y municipal podrán, con sus propios recursos, contratar con entidades privadas sin ánimo de lucro –ESAL– con el fin de impulsar programas y actividades de interés público acordes con el plan nacional y los planes seccionales de desarrollo</w:t>
      </w:r>
      <w:r w:rsidRPr="00F176B9">
        <w:rPr>
          <w:rStyle w:val="Refdenotaalpie"/>
          <w:rFonts w:ascii="Arial" w:hAnsi="Arial" w:cs="Arial"/>
          <w:sz w:val="22"/>
        </w:rPr>
        <w:footnoteReference w:id="24"/>
      </w:r>
      <w:r w:rsidRPr="00F176B9">
        <w:rPr>
          <w:rFonts w:ascii="Arial" w:hAnsi="Arial" w:cs="Arial"/>
          <w:sz w:val="22"/>
        </w:rPr>
        <w:t xml:space="preserve">. </w:t>
      </w:r>
      <w:r w:rsidRPr="00F176B9">
        <w:rPr>
          <w:rFonts w:ascii="Arial" w:eastAsia="Calibri" w:hAnsi="Arial" w:cs="Arial"/>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F176B9">
        <w:rPr>
          <w:rStyle w:val="Refdenotaalpie"/>
          <w:rFonts w:ascii="Arial" w:eastAsia="Calibri" w:hAnsi="Arial" w:cs="Arial"/>
          <w:sz w:val="22"/>
        </w:rPr>
        <w:footnoteReference w:id="25"/>
      </w:r>
      <w:r w:rsidRPr="00F176B9">
        <w:rPr>
          <w:rFonts w:ascii="Arial" w:eastAsia="Calibri" w:hAnsi="Arial" w:cs="Arial"/>
          <w:sz w:val="22"/>
        </w:rPr>
        <w:t>. Ambas figuras tienen como fin desarrollar conjuntamente actividades relacionadas con los cometidos y funciones legales asignadas a la entidad.</w:t>
      </w:r>
    </w:p>
    <w:p w14:paraId="0BE7C3B1" w14:textId="30F0A200" w:rsidR="009B6258" w:rsidRPr="00F176B9" w:rsidRDefault="009B6258" w:rsidP="00F176B9">
      <w:pPr>
        <w:spacing w:after="120"/>
        <w:ind w:firstLine="708"/>
        <w:rPr>
          <w:rFonts w:ascii="Arial" w:eastAsia="Calibri" w:hAnsi="Arial" w:cs="Arial"/>
          <w:sz w:val="22"/>
        </w:rPr>
      </w:pPr>
      <w:r w:rsidRPr="00F176B9">
        <w:rPr>
          <w:rFonts w:ascii="Arial" w:hAnsi="Arial" w:cs="Arial"/>
          <w:sz w:val="22"/>
        </w:rPr>
        <w:t>En desarrollo del artículo 355 de la Constitución, el Gobierno Nacional expidió el Decreto 92 de 2017, q</w:t>
      </w:r>
      <w:r w:rsidRPr="00F176B9">
        <w:rPr>
          <w:rFonts w:ascii="Arial" w:eastAsia="Calibri" w:hAnsi="Arial" w:cs="Arial"/>
          <w:sz w:val="22"/>
        </w:rPr>
        <w:t xml:space="preserve">ue dispone las reglas para las contrataciones que realicen las entidades estatales con las ESAL. El Decreto regula dos eventos: i) los </w:t>
      </w:r>
      <w:r w:rsidRPr="00F176B9">
        <w:rPr>
          <w:rFonts w:ascii="Arial" w:eastAsia="Calibri" w:hAnsi="Arial" w:cs="Arial"/>
          <w:i/>
          <w:iCs/>
          <w:sz w:val="22"/>
        </w:rPr>
        <w:t>contratos de colaboración</w:t>
      </w:r>
      <w:r w:rsidRPr="00F176B9">
        <w:rPr>
          <w:rFonts w:ascii="Arial" w:eastAsia="Calibri" w:hAnsi="Arial" w:cs="Arial"/>
          <w:sz w:val="22"/>
        </w:rPr>
        <w:t xml:space="preserve"> o de interés público con el fin impulsar programas y actividades de interés público de acuerdo con el Plan Nacional o los planes seccionales de desarrollo, en los términos del artículo 355 de la Constitución Política; y ii) los </w:t>
      </w:r>
      <w:r w:rsidRPr="00F176B9">
        <w:rPr>
          <w:rFonts w:ascii="Arial" w:eastAsia="Calibri" w:hAnsi="Arial" w:cs="Arial"/>
          <w:i/>
          <w:iCs/>
          <w:sz w:val="22"/>
        </w:rPr>
        <w:t>convenios de asociación</w:t>
      </w:r>
      <w:r w:rsidRPr="00F176B9">
        <w:rPr>
          <w:rFonts w:ascii="Arial" w:eastAsia="Calibri" w:hAnsi="Arial" w:cs="Arial"/>
          <w:sz w:val="22"/>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F176B9">
        <w:rPr>
          <w:rFonts w:ascii="Arial" w:eastAsia="Calibri" w:hAnsi="Arial" w:cs="Arial"/>
          <w:i/>
          <w:iCs/>
          <w:sz w:val="22"/>
        </w:rPr>
        <w:t>ibidem</w:t>
      </w:r>
      <w:r w:rsidRPr="00F176B9">
        <w:rPr>
          <w:rFonts w:ascii="Arial" w:eastAsia="Calibri" w:hAnsi="Arial" w:cs="Arial"/>
          <w:sz w:val="22"/>
        </w:rPr>
        <w:t xml:space="preserve">. Es posible diferenciar, pues, los </w:t>
      </w:r>
      <w:r w:rsidRPr="00F176B9">
        <w:rPr>
          <w:rFonts w:ascii="Arial" w:eastAsia="Calibri" w:hAnsi="Arial" w:cs="Arial"/>
          <w:i/>
          <w:iCs/>
          <w:sz w:val="22"/>
        </w:rPr>
        <w:t>convenios de asociación</w:t>
      </w:r>
      <w:r w:rsidRPr="00F176B9">
        <w:rPr>
          <w:rFonts w:ascii="Arial" w:eastAsia="Calibri" w:hAnsi="Arial" w:cs="Arial"/>
          <w:sz w:val="22"/>
        </w:rPr>
        <w:t xml:space="preserve">, regulados en el artículo 5, de los </w:t>
      </w:r>
      <w:r w:rsidRPr="00F176B9">
        <w:rPr>
          <w:rFonts w:ascii="Arial" w:eastAsia="Calibri" w:hAnsi="Arial" w:cs="Arial"/>
          <w:i/>
          <w:iCs/>
          <w:sz w:val="22"/>
        </w:rPr>
        <w:t>contratos de colaboración</w:t>
      </w:r>
      <w:r w:rsidRPr="00F176B9">
        <w:rPr>
          <w:rFonts w:ascii="Arial" w:eastAsia="Calibri" w:hAnsi="Arial" w:cs="Arial"/>
          <w:sz w:val="22"/>
        </w:rPr>
        <w:t>, establecidos en el artículo 2 del Decreto 92 de 2017</w:t>
      </w:r>
      <w:r w:rsidRPr="00F176B9">
        <w:rPr>
          <w:rStyle w:val="Refdenotaalpie"/>
          <w:rFonts w:ascii="Arial" w:eastAsia="Calibri" w:hAnsi="Arial" w:cs="Arial"/>
          <w:sz w:val="22"/>
        </w:rPr>
        <w:footnoteReference w:id="26"/>
      </w:r>
      <w:r w:rsidRPr="00F176B9">
        <w:rPr>
          <w:rFonts w:ascii="Arial" w:eastAsia="Calibri" w:hAnsi="Arial" w:cs="Arial"/>
          <w:sz w:val="22"/>
        </w:rPr>
        <w:t xml:space="preserve">. </w:t>
      </w:r>
    </w:p>
    <w:p w14:paraId="554B0B9B" w14:textId="77777777" w:rsidR="009B6258" w:rsidRPr="00F176B9" w:rsidRDefault="009B6258" w:rsidP="00F176B9">
      <w:pPr>
        <w:spacing w:after="120"/>
        <w:ind w:firstLine="708"/>
        <w:rPr>
          <w:rFonts w:ascii="Arial" w:eastAsia="Calibri" w:hAnsi="Arial" w:cs="Arial"/>
          <w:sz w:val="22"/>
        </w:rPr>
      </w:pPr>
      <w:r w:rsidRPr="00F176B9">
        <w:rPr>
          <w:rFonts w:ascii="Arial" w:eastAsia="Calibri" w:hAnsi="Arial" w:cs="Arial"/>
          <w:sz w:val="22"/>
        </w:rPr>
        <w:lastRenderedPageBreak/>
        <w:t xml:space="preserve">Los </w:t>
      </w:r>
      <w:r w:rsidRPr="00F176B9">
        <w:rPr>
          <w:rFonts w:ascii="Arial" w:eastAsia="Calibri" w:hAnsi="Arial" w:cs="Arial"/>
          <w:i/>
          <w:iCs/>
          <w:sz w:val="22"/>
        </w:rPr>
        <w:t xml:space="preserve">contratos de colaboración </w:t>
      </w:r>
      <w:r w:rsidRPr="00F176B9">
        <w:rPr>
          <w:rFonts w:ascii="Arial" w:eastAsia="Calibri" w:hAnsi="Arial" w:cs="Arial"/>
          <w:sz w:val="22"/>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3B091CE4" w14:textId="77777777" w:rsidR="009B6258" w:rsidRPr="00F176B9" w:rsidRDefault="009B6258" w:rsidP="00F176B9">
      <w:pPr>
        <w:pStyle w:val="Sinespaciado"/>
        <w:spacing w:after="120" w:line="276" w:lineRule="auto"/>
        <w:ind w:firstLine="708"/>
        <w:rPr>
          <w:rFonts w:ascii="Arial" w:hAnsi="Arial" w:cs="Arial"/>
          <w:sz w:val="22"/>
        </w:rPr>
      </w:pPr>
      <w:r w:rsidRPr="00F176B9">
        <w:rPr>
          <w:rFonts w:ascii="Arial" w:hAnsi="Arial" w:cs="Arial"/>
          <w:sz w:val="22"/>
        </w:rPr>
        <w:t xml:space="preserve">De otro lado, los </w:t>
      </w:r>
      <w:r w:rsidRPr="00F176B9">
        <w:rPr>
          <w:rFonts w:ascii="Arial" w:hAnsi="Arial" w:cs="Arial"/>
          <w:i/>
          <w:iCs/>
          <w:sz w:val="22"/>
        </w:rPr>
        <w:t>convenios de asociación</w:t>
      </w:r>
      <w:r w:rsidRPr="00F176B9">
        <w:rPr>
          <w:rFonts w:ascii="Arial" w:hAnsi="Arial" w:cs="Arial"/>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176B9">
        <w:rPr>
          <w:rStyle w:val="Refdenotaalpie"/>
          <w:rFonts w:ascii="Arial" w:hAnsi="Arial" w:cs="Arial"/>
          <w:sz w:val="22"/>
        </w:rPr>
        <w:footnoteReference w:id="27"/>
      </w:r>
      <w:r w:rsidRPr="00F176B9">
        <w:rPr>
          <w:rFonts w:ascii="Arial" w:hAnsi="Arial" w:cs="Arial"/>
          <w:sz w:val="22"/>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67A619A9" w14:textId="77777777" w:rsidR="009B6258" w:rsidRPr="00F176B9" w:rsidRDefault="009B6258" w:rsidP="00F176B9">
      <w:pPr>
        <w:pStyle w:val="Sinespaciado"/>
        <w:spacing w:after="120" w:line="276" w:lineRule="auto"/>
        <w:ind w:firstLine="708"/>
        <w:rPr>
          <w:rFonts w:ascii="Arial" w:hAnsi="Arial" w:cs="Arial"/>
          <w:sz w:val="22"/>
        </w:rPr>
      </w:pPr>
      <w:r w:rsidRPr="00F176B9">
        <w:rPr>
          <w:rFonts w:ascii="Arial" w:hAnsi="Arial" w:cs="Arial"/>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w:t>
      </w:r>
      <w:r w:rsidRPr="00F176B9">
        <w:rPr>
          <w:rFonts w:ascii="Arial" w:hAnsi="Arial" w:cs="Arial"/>
          <w:sz w:val="22"/>
        </w:rPr>
        <w:lastRenderedPageBreak/>
        <w:t xml:space="preserve">convenios que suscriban, los cuales pueden ser en dinero, en porcentajes inferiores o superiores al 30%, o en especie, los cuales deben servir al desarrollo de los objetivos comunes de la asociación. </w:t>
      </w:r>
    </w:p>
    <w:p w14:paraId="6A33697E" w14:textId="4A169EE7" w:rsidR="009B6258" w:rsidRPr="000D75DD" w:rsidRDefault="009B6258" w:rsidP="00F176B9">
      <w:pPr>
        <w:pStyle w:val="Sinespaciado"/>
        <w:spacing w:after="120" w:line="276" w:lineRule="auto"/>
        <w:ind w:firstLine="708"/>
        <w:rPr>
          <w:rFonts w:ascii="Arial" w:eastAsia="Calibri" w:hAnsi="Arial" w:cs="Arial"/>
          <w:sz w:val="22"/>
        </w:rPr>
      </w:pPr>
      <w:r w:rsidRPr="00F176B9">
        <w:rPr>
          <w:rFonts w:ascii="Arial" w:hAnsi="Arial" w:cs="Arial"/>
          <w:sz w:val="22"/>
        </w:rPr>
        <w:t>L</w:t>
      </w:r>
      <w:r w:rsidRPr="00F176B9">
        <w:rPr>
          <w:rFonts w:ascii="Arial" w:eastAsia="Calibri" w:hAnsi="Arial" w:cs="Arial"/>
          <w:sz w:val="22"/>
        </w:rPr>
        <w:t xml:space="preserve">a </w:t>
      </w:r>
      <w:r w:rsidRPr="000D75DD">
        <w:rPr>
          <w:rFonts w:ascii="Arial" w:eastAsia="Calibri" w:hAnsi="Arial" w:cs="Arial"/>
          <w:sz w:val="22"/>
        </w:rPr>
        <w:t>normativa vigente no impide que varias entidades suscriban conjuntamente el convenio de asociación ni tampoco que dos o más ESAL pueden hacerlo a través de las figuras asociativas autorizadas por la ley, por ejemplo, la unión temporal o el consorcio</w:t>
      </w:r>
      <w:r w:rsidRPr="000D75DD">
        <w:rPr>
          <w:rStyle w:val="Refdenotaalpie"/>
          <w:rFonts w:ascii="Arial" w:eastAsia="Calibri" w:hAnsi="Arial" w:cs="Arial"/>
          <w:sz w:val="22"/>
        </w:rPr>
        <w:footnoteReference w:id="28"/>
      </w:r>
      <w:r w:rsidRPr="000D75DD">
        <w:rPr>
          <w:rFonts w:ascii="Arial" w:eastAsia="Calibri" w:hAnsi="Arial" w:cs="Arial"/>
          <w:sz w:val="22"/>
        </w:rPr>
        <w:t>. Sin embargo, como</w:t>
      </w:r>
      <w:r w:rsidR="00DA4FD9" w:rsidRPr="000D75DD">
        <w:rPr>
          <w:rFonts w:ascii="Arial" w:eastAsia="Calibri" w:hAnsi="Arial" w:cs="Arial"/>
          <w:sz w:val="22"/>
        </w:rPr>
        <w:t>quiera que</w:t>
      </w:r>
      <w:r w:rsidRPr="000D75DD">
        <w:rPr>
          <w:rFonts w:ascii="Arial" w:eastAsia="Calibri" w:hAnsi="Arial" w:cs="Arial"/>
          <w:sz w:val="22"/>
        </w:rPr>
        <w:t xml:space="preserve"> el artículo 96 de la Ley 489 de 1998 determina que el convenio</w:t>
      </w:r>
      <w:r w:rsidR="00DA4FD9" w:rsidRPr="000D75DD">
        <w:rPr>
          <w:rFonts w:ascii="Arial" w:eastAsia="Calibri" w:hAnsi="Arial" w:cs="Arial"/>
          <w:sz w:val="22"/>
        </w:rPr>
        <w:t xml:space="preserve"> debe buscar</w:t>
      </w:r>
      <w:r w:rsidRPr="000D75DD">
        <w:rPr>
          <w:rFonts w:ascii="Arial" w:eastAsia="Calibri" w:hAnsi="Arial" w:cs="Arial"/>
          <w:sz w:val="22"/>
        </w:rPr>
        <w:t xml:space="preserve"> el desarrollo conjunto de actividades</w:t>
      </w:r>
      <w:r w:rsidR="00DA4FD9" w:rsidRPr="000D75DD">
        <w:rPr>
          <w:rFonts w:ascii="Arial" w:eastAsia="Calibri" w:hAnsi="Arial" w:cs="Arial"/>
          <w:sz w:val="22"/>
        </w:rPr>
        <w:t xml:space="preserve"> relacionadas</w:t>
      </w:r>
      <w:r w:rsidRPr="000D75DD">
        <w:rPr>
          <w:rFonts w:ascii="Arial" w:eastAsia="Calibri" w:hAnsi="Arial" w:cs="Arial"/>
          <w:sz w:val="22"/>
        </w:rPr>
        <w:t xml:space="preserve"> con los cometidos y funciones que la ley les asigna a las entidades estatales</w:t>
      </w:r>
      <w:r w:rsidR="00DA4FD9" w:rsidRPr="000D75DD">
        <w:rPr>
          <w:rFonts w:ascii="Arial" w:eastAsia="Calibri" w:hAnsi="Arial" w:cs="Arial"/>
          <w:sz w:val="22"/>
        </w:rPr>
        <w:t xml:space="preserve"> involucradas</w:t>
      </w:r>
      <w:r w:rsidRPr="000D75DD">
        <w:rPr>
          <w:rFonts w:ascii="Arial" w:eastAsia="Calibri" w:hAnsi="Arial" w:cs="Arial"/>
          <w:sz w:val="22"/>
        </w:rPr>
        <w:t xml:space="preserve">, </w:t>
      </w:r>
      <w:r w:rsidR="00DA4FD9" w:rsidRPr="000D75DD">
        <w:rPr>
          <w:rFonts w:ascii="Arial" w:eastAsia="Calibri" w:hAnsi="Arial" w:cs="Arial"/>
          <w:sz w:val="22"/>
        </w:rPr>
        <w:t>es necesario</w:t>
      </w:r>
      <w:r w:rsidRPr="000D75DD">
        <w:rPr>
          <w:rFonts w:ascii="Arial" w:eastAsia="Calibri" w:hAnsi="Arial" w:cs="Arial"/>
          <w:sz w:val="22"/>
        </w:rPr>
        <w:t xml:space="preserve"> que las funciones legales de las entidades estatales que suscriben conjuntamente el convenio coincid</w:t>
      </w:r>
      <w:r w:rsidR="00DA4FD9" w:rsidRPr="000D75DD">
        <w:rPr>
          <w:rFonts w:ascii="Arial" w:eastAsia="Calibri" w:hAnsi="Arial" w:cs="Arial"/>
          <w:sz w:val="22"/>
        </w:rPr>
        <w:t xml:space="preserve">an de alguna de tal manera que, los cometidos funcionales de una y otra entidad se relacionen con el objeto del convenio. </w:t>
      </w:r>
      <w:r w:rsidRPr="000D75DD">
        <w:rPr>
          <w:rFonts w:ascii="Arial" w:eastAsia="Calibri" w:hAnsi="Arial" w:cs="Arial"/>
          <w:sz w:val="22"/>
        </w:rPr>
        <w:t xml:space="preserve">. </w:t>
      </w:r>
    </w:p>
    <w:p w14:paraId="516305B4" w14:textId="60DAD451" w:rsidR="009B6258" w:rsidRPr="000D75DD" w:rsidRDefault="009B6258" w:rsidP="00F176B9">
      <w:pPr>
        <w:pStyle w:val="Sinespaciado"/>
        <w:spacing w:after="120" w:line="276" w:lineRule="auto"/>
        <w:ind w:firstLine="708"/>
        <w:rPr>
          <w:rFonts w:ascii="Arial" w:eastAsia="Calibri" w:hAnsi="Arial" w:cs="Arial"/>
          <w:sz w:val="22"/>
        </w:rPr>
      </w:pPr>
      <w:r w:rsidRPr="000D75DD">
        <w:rPr>
          <w:rFonts w:ascii="Arial" w:eastAsia="Calibri" w:hAnsi="Arial" w:cs="Arial"/>
          <w:sz w:val="22"/>
        </w:rPr>
        <w:t xml:space="preserve">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w:t>
      </w:r>
      <w:r w:rsidR="008E7D23" w:rsidRPr="000D75DD">
        <w:rPr>
          <w:rFonts w:ascii="Arial" w:eastAsia="Calibri" w:hAnsi="Arial" w:cs="Arial"/>
          <w:sz w:val="22"/>
        </w:rPr>
        <w:t>pues</w:t>
      </w:r>
      <w:r w:rsidRPr="000D75DD">
        <w:rPr>
          <w:rFonts w:ascii="Arial" w:eastAsia="Calibri" w:hAnsi="Arial" w:cs="Arial"/>
          <w:sz w:val="22"/>
        </w:rPr>
        <w:t xml:space="preserve"> de lo contrario deberá adelantarse un proceso competitivo. Además, en atención al inciso 2 del artículo 5 del Decreto </w:t>
      </w:r>
      <w:r w:rsidR="00DA4FD9" w:rsidRPr="000D75DD">
        <w:rPr>
          <w:rFonts w:ascii="Arial" w:eastAsia="Calibri" w:hAnsi="Arial" w:cs="Arial"/>
          <w:sz w:val="22"/>
        </w:rPr>
        <w:t>0</w:t>
      </w:r>
      <w:r w:rsidRPr="000D75DD">
        <w:rPr>
          <w:rFonts w:ascii="Arial" w:eastAsia="Calibri" w:hAnsi="Arial" w:cs="Arial"/>
          <w:sz w:val="22"/>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0D75DD">
        <w:rPr>
          <w:rStyle w:val="Refdenotaalpie"/>
          <w:rFonts w:ascii="Arial" w:eastAsia="Calibri" w:hAnsi="Arial" w:cs="Arial"/>
          <w:sz w:val="22"/>
        </w:rPr>
        <w:footnoteReference w:id="29"/>
      </w:r>
      <w:r w:rsidRPr="000D75DD">
        <w:rPr>
          <w:rFonts w:ascii="Arial" w:eastAsia="Calibri" w:hAnsi="Arial" w:cs="Arial"/>
          <w:sz w:val="22"/>
        </w:rPr>
        <w:t>.</w:t>
      </w:r>
    </w:p>
    <w:p w14:paraId="5EDE98B0" w14:textId="77777777" w:rsidR="009B6258" w:rsidRPr="000D75DD" w:rsidRDefault="009B6258" w:rsidP="00F176B9">
      <w:pPr>
        <w:spacing w:after="120"/>
        <w:ind w:firstLine="708"/>
        <w:rPr>
          <w:rFonts w:ascii="Arial" w:hAnsi="Arial" w:cs="Arial"/>
          <w:sz w:val="22"/>
        </w:rPr>
      </w:pPr>
      <w:r w:rsidRPr="000D75DD">
        <w:rPr>
          <w:rFonts w:ascii="Arial" w:hAnsi="Arial" w:cs="Arial"/>
          <w:sz w:val="22"/>
        </w:rPr>
        <w:lastRenderedPageBreak/>
        <w:t xml:space="preserve">La noción «seleccionar de forma objetiva», contenida en la disposición </w:t>
      </w:r>
      <w:r w:rsidRPr="000D75DD">
        <w:rPr>
          <w:rFonts w:ascii="Arial" w:hAnsi="Arial" w:cs="Arial"/>
          <w:i/>
          <w:iCs/>
          <w:sz w:val="22"/>
        </w:rPr>
        <w:t xml:space="preserve">sub examine </w:t>
      </w:r>
      <w:r w:rsidRPr="000D75DD">
        <w:rPr>
          <w:rFonts w:ascii="Arial" w:hAnsi="Arial" w:cs="Arial"/>
          <w:sz w:val="22"/>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1C949106" w14:textId="77777777" w:rsidR="009B6258" w:rsidRPr="000D75DD" w:rsidRDefault="009B6258" w:rsidP="00F176B9">
      <w:pPr>
        <w:spacing w:after="120"/>
        <w:ind w:firstLine="708"/>
        <w:textAlignment w:val="baseline"/>
        <w:rPr>
          <w:rFonts w:ascii="Arial" w:hAnsi="Arial" w:cs="Arial"/>
          <w:sz w:val="22"/>
        </w:rPr>
      </w:pPr>
      <w:r w:rsidRPr="000D75DD">
        <w:rPr>
          <w:rFonts w:ascii="Arial" w:eastAsia="Arial" w:hAnsi="Arial" w:cs="Arial"/>
          <w:sz w:val="22"/>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0D75DD">
        <w:rPr>
          <w:rFonts w:ascii="Arial" w:hAnsi="Arial" w:cs="Arial"/>
          <w:sz w:val="22"/>
        </w:rPr>
        <w:t>. </w:t>
      </w:r>
    </w:p>
    <w:p w14:paraId="0A8C5B0A" w14:textId="23D91FEC" w:rsidR="009B6258" w:rsidRPr="000D75DD" w:rsidRDefault="009B6258" w:rsidP="00F176B9">
      <w:pPr>
        <w:spacing w:after="120"/>
        <w:ind w:firstLine="709"/>
        <w:rPr>
          <w:rFonts w:ascii="Arial" w:eastAsia="Calibri" w:hAnsi="Arial" w:cs="Arial"/>
          <w:sz w:val="22"/>
        </w:rPr>
      </w:pPr>
      <w:r w:rsidRPr="000D75DD">
        <w:rPr>
          <w:rFonts w:ascii="Arial" w:hAnsi="Arial" w:cs="Arial"/>
          <w:sz w:val="22"/>
        </w:rPr>
        <w:t>Ahora bien, e</w:t>
      </w:r>
      <w:r w:rsidRPr="000D75DD">
        <w:rPr>
          <w:rFonts w:ascii="Arial" w:eastAsia="Calibri" w:hAnsi="Arial" w:cs="Arial"/>
          <w:sz w:val="22"/>
        </w:rPr>
        <w:t>l Consejo de Estado, en el Auto del 6 de agosto de 2019 de la Sección Tercera, Subsección A –Exp. 62.003–, estudió la solicitud de suspensión provisional</w:t>
      </w:r>
      <w:r w:rsidRPr="000D75DD">
        <w:rPr>
          <w:rStyle w:val="Refdenotaalpie"/>
          <w:rFonts w:ascii="Arial" w:eastAsia="Calibri" w:hAnsi="Arial" w:cs="Arial"/>
          <w:sz w:val="22"/>
        </w:rPr>
        <w:footnoteReference w:id="30"/>
      </w:r>
      <w:r w:rsidRPr="000D75DD">
        <w:rPr>
          <w:rFonts w:ascii="Arial" w:eastAsia="Calibri" w:hAnsi="Arial" w:cs="Arial"/>
          <w:sz w:val="22"/>
        </w:rPr>
        <w:t xml:space="preserve"> del inciso 2 del artículo 1, literales a y c del artículo 2, inciso 5 del artículo 2, inciso 2 del artículo 3, inciso final del artículo 4 y artículo 5 del Decreto </w:t>
      </w:r>
      <w:r w:rsidR="00DA4FD9" w:rsidRPr="000D75DD">
        <w:rPr>
          <w:rFonts w:ascii="Arial" w:eastAsia="Calibri" w:hAnsi="Arial" w:cs="Arial"/>
          <w:sz w:val="22"/>
        </w:rPr>
        <w:t>0</w:t>
      </w:r>
      <w:r w:rsidRPr="000D75DD">
        <w:rPr>
          <w:rFonts w:ascii="Arial" w:eastAsia="Calibri" w:hAnsi="Arial" w:cs="Arial"/>
          <w:sz w:val="22"/>
        </w:rPr>
        <w:t xml:space="preserve">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0D75DD">
        <w:rPr>
          <w:rFonts w:ascii="Arial" w:eastAsia="Calibri" w:hAnsi="Arial" w:cs="Arial"/>
          <w:i/>
          <w:iCs/>
          <w:sz w:val="22"/>
        </w:rPr>
        <w:t>convenio de asociación</w:t>
      </w:r>
      <w:r w:rsidRPr="000D75DD">
        <w:rPr>
          <w:rFonts w:ascii="Arial" w:eastAsia="Calibri" w:hAnsi="Arial" w:cs="Arial"/>
          <w:sz w:val="22"/>
        </w:rPr>
        <w:t xml:space="preserve"> con ESAL de reconocida idoneidad para el cumplimiento de las funciones que la ley les asigna a las entidades públicas, debe aplicarse lo dispuesto en el artículo 5 del Decreto 092 de 2017. </w:t>
      </w:r>
    </w:p>
    <w:p w14:paraId="20AB2C7B" w14:textId="15AB18DA" w:rsidR="00810CB8" w:rsidRPr="000D75DD" w:rsidRDefault="009B6258" w:rsidP="00F176B9">
      <w:pPr>
        <w:spacing w:after="120"/>
        <w:ind w:firstLine="708"/>
        <w:rPr>
          <w:rFonts w:ascii="Arial" w:eastAsia="Calibri" w:hAnsi="Arial" w:cs="Arial"/>
          <w:sz w:val="22"/>
        </w:rPr>
      </w:pPr>
      <w:r w:rsidRPr="000D75DD">
        <w:rPr>
          <w:rFonts w:ascii="Arial" w:eastAsia="Calibri" w:hAnsi="Arial" w:cs="Arial"/>
          <w:sz w:val="22"/>
        </w:rPr>
        <w:lastRenderedPageBreak/>
        <w:t>Para los convenios de asociación,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0D75DD">
        <w:rPr>
          <w:rStyle w:val="Refdenotaalpie"/>
          <w:rFonts w:ascii="Arial" w:hAnsi="Arial" w:cs="Arial"/>
          <w:sz w:val="22"/>
        </w:rPr>
        <w:footnoteReference w:id="31"/>
      </w:r>
      <w:r w:rsidRPr="000D75DD">
        <w:rPr>
          <w:rFonts w:ascii="Arial" w:eastAsia="Calibri" w:hAnsi="Arial" w:cs="Arial"/>
          <w:sz w:val="22"/>
        </w:rPr>
        <w:t>,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w:t>
      </w:r>
      <w:r w:rsidR="00810CB8" w:rsidRPr="000D75DD">
        <w:rPr>
          <w:rFonts w:ascii="Arial" w:eastAsia="Calibri" w:hAnsi="Arial" w:cs="Arial"/>
          <w:sz w:val="22"/>
        </w:rPr>
        <w:t xml:space="preserve"> </w:t>
      </w:r>
      <w:r w:rsidRPr="000D75DD">
        <w:rPr>
          <w:rFonts w:ascii="Arial" w:eastAsia="Calibri" w:hAnsi="Arial" w:cs="Arial"/>
          <w:sz w:val="22"/>
        </w:rPr>
        <w:t xml:space="preserve"> </w:t>
      </w:r>
    </w:p>
    <w:p w14:paraId="07615612" w14:textId="17055B57" w:rsidR="00B67C3D" w:rsidRPr="000D75DD" w:rsidRDefault="00B67C3D" w:rsidP="00F176B9">
      <w:pPr>
        <w:spacing w:before="120" w:after="0"/>
        <w:ind w:firstLine="708"/>
        <w:rPr>
          <w:rFonts w:ascii="Arial" w:eastAsia="Calibri" w:hAnsi="Arial" w:cs="Arial"/>
          <w:sz w:val="22"/>
        </w:rPr>
      </w:pPr>
      <w:r w:rsidRPr="000D75DD">
        <w:rPr>
          <w:rFonts w:ascii="Arial" w:eastAsia="Calibri" w:hAnsi="Arial" w:cs="Arial"/>
          <w:sz w:val="22"/>
          <w:szCs w:val="24"/>
          <w:lang w:val="es-CO" w:eastAsia="es-ES_tradnl"/>
        </w:rPr>
        <w:t xml:space="preserve">Teniendo en estas consideraciones sobre la celebración de convenios de asociación, </w:t>
      </w:r>
      <w:r w:rsidR="00FC7F10" w:rsidRPr="000D75DD">
        <w:rPr>
          <w:rFonts w:ascii="Arial" w:eastAsia="Calibri" w:hAnsi="Arial" w:cs="Arial"/>
          <w:sz w:val="22"/>
          <w:szCs w:val="24"/>
          <w:lang w:val="es-CO" w:eastAsia="es-ES_tradnl"/>
        </w:rPr>
        <w:t>así como las</w:t>
      </w:r>
      <w:r w:rsidRPr="000D75DD">
        <w:rPr>
          <w:rFonts w:ascii="Arial" w:eastAsia="Calibri" w:hAnsi="Arial" w:cs="Arial"/>
          <w:sz w:val="22"/>
          <w:szCs w:val="24"/>
          <w:lang w:val="es-CO" w:eastAsia="es-ES_tradnl"/>
        </w:rPr>
        <w:t xml:space="preserve"> consideraciones realizadas en los acápites previos,</w:t>
      </w:r>
      <w:r w:rsidR="00FC7F10" w:rsidRPr="000D75DD">
        <w:rPr>
          <w:rFonts w:ascii="Arial" w:eastAsia="Calibri" w:hAnsi="Arial" w:cs="Arial"/>
          <w:sz w:val="22"/>
          <w:szCs w:val="24"/>
          <w:lang w:val="es-CO" w:eastAsia="es-ES_tradnl"/>
        </w:rPr>
        <w:t xml:space="preserve"> es posible concluir que</w:t>
      </w:r>
      <w:r w:rsidRPr="000D75DD">
        <w:rPr>
          <w:rFonts w:ascii="Arial" w:eastAsia="Calibri" w:hAnsi="Arial" w:cs="Arial"/>
          <w:sz w:val="22"/>
          <w:szCs w:val="24"/>
          <w:lang w:val="es-CO" w:eastAsia="es-ES_tradnl"/>
        </w:rPr>
        <w:t xml:space="preserve"> la prohibición de contratación directa del artículo 33 de la Ley de Garantías Electorales únicamente aplica frente a los procedimientos </w:t>
      </w:r>
      <w:r w:rsidRPr="000D75DD">
        <w:rPr>
          <w:rFonts w:ascii="Arial" w:eastAsia="Calibri" w:hAnsi="Arial" w:cs="Arial"/>
          <w:i/>
          <w:iCs/>
          <w:sz w:val="22"/>
          <w:szCs w:val="24"/>
          <w:lang w:val="es-CO" w:eastAsia="es-ES_tradnl"/>
        </w:rPr>
        <w:t>no competitivos</w:t>
      </w:r>
      <w:r w:rsidRPr="000D75DD">
        <w:rPr>
          <w:rFonts w:ascii="Arial" w:eastAsia="Calibri" w:hAnsi="Arial" w:cs="Arial"/>
          <w:sz w:val="22"/>
          <w:szCs w:val="24"/>
          <w:lang w:val="es-CO" w:eastAsia="es-ES_tradnl"/>
        </w:rPr>
        <w:t>, que son los que implican una contratación directa. Como explica la Sala de Consulta y Servicio Civil del Consejo de Estado:</w:t>
      </w:r>
    </w:p>
    <w:p w14:paraId="3C2F9C73" w14:textId="77777777" w:rsidR="00B67C3D" w:rsidRPr="000D75DD" w:rsidRDefault="00B67C3D" w:rsidP="00F176B9">
      <w:pPr>
        <w:spacing w:after="0"/>
        <w:ind w:firstLine="708"/>
        <w:rPr>
          <w:rFonts w:ascii="Arial" w:eastAsia="Calibri" w:hAnsi="Arial" w:cs="Arial"/>
          <w:sz w:val="22"/>
          <w:szCs w:val="24"/>
          <w:lang w:val="es-CO" w:eastAsia="es-ES_tradnl"/>
        </w:rPr>
      </w:pPr>
    </w:p>
    <w:p w14:paraId="0991AC31" w14:textId="77777777" w:rsidR="00B67C3D" w:rsidRPr="000D75DD" w:rsidRDefault="00B67C3D" w:rsidP="00F176B9">
      <w:pPr>
        <w:spacing w:after="0" w:line="240" w:lineRule="auto"/>
        <w:ind w:left="709" w:right="709"/>
        <w:rPr>
          <w:rFonts w:ascii="Arial" w:eastAsia="Calibri" w:hAnsi="Arial" w:cs="Arial"/>
          <w:sz w:val="21"/>
          <w:szCs w:val="21"/>
          <w:lang w:val="es-CO" w:eastAsia="es-ES_tradnl"/>
        </w:rPr>
      </w:pPr>
      <w:r w:rsidRPr="000D75DD">
        <w:rPr>
          <w:rFonts w:ascii="Arial" w:eastAsia="Calibri" w:hAnsi="Arial" w:cs="Arial"/>
          <w:sz w:val="21"/>
          <w:szCs w:val="21"/>
          <w:lang w:val="es-CO" w:eastAsia="es-ES_tradnl"/>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0D75DD">
        <w:rPr>
          <w:rFonts w:ascii="Arial" w:eastAsia="Calibri" w:hAnsi="Arial" w:cs="Arial"/>
          <w:sz w:val="21"/>
          <w:szCs w:val="21"/>
          <w:vertAlign w:val="superscript"/>
          <w:lang w:val="es-CO" w:eastAsia="es-ES_tradnl"/>
        </w:rPr>
        <w:footnoteReference w:id="32"/>
      </w:r>
      <w:r w:rsidRPr="000D75DD">
        <w:rPr>
          <w:rFonts w:ascii="Arial" w:eastAsia="Calibri" w:hAnsi="Arial" w:cs="Arial"/>
          <w:sz w:val="21"/>
          <w:szCs w:val="21"/>
          <w:lang w:val="es-CO" w:eastAsia="es-ES_tradnl"/>
        </w:rPr>
        <w:t xml:space="preserve">. </w:t>
      </w:r>
    </w:p>
    <w:p w14:paraId="3487810F" w14:textId="77777777" w:rsidR="00B67C3D" w:rsidRPr="000D75DD" w:rsidRDefault="00B67C3D" w:rsidP="00C5178F">
      <w:pPr>
        <w:spacing w:after="0"/>
        <w:ind w:left="709" w:right="709"/>
        <w:rPr>
          <w:rFonts w:ascii="Arial" w:eastAsia="Calibri" w:hAnsi="Arial" w:cs="Arial"/>
          <w:sz w:val="22"/>
          <w:szCs w:val="24"/>
          <w:lang w:val="es-CO" w:eastAsia="es-ES_tradnl"/>
        </w:rPr>
      </w:pPr>
    </w:p>
    <w:p w14:paraId="4D6EEB33" w14:textId="06687DCF" w:rsidR="00B67C3D" w:rsidRPr="000D75DD" w:rsidRDefault="00B67C3D" w:rsidP="00F176B9">
      <w:pPr>
        <w:spacing w:after="120"/>
        <w:rPr>
          <w:rFonts w:ascii="Arial" w:eastAsia="Calibri" w:hAnsi="Arial" w:cs="Arial"/>
          <w:sz w:val="22"/>
          <w:szCs w:val="24"/>
          <w:lang w:val="es-CO" w:eastAsia="es-ES_tradnl"/>
        </w:rPr>
      </w:pPr>
      <w:r w:rsidRPr="000D75DD">
        <w:rPr>
          <w:rFonts w:ascii="Arial" w:eastAsia="Calibri" w:hAnsi="Arial" w:cs="Arial"/>
          <w:sz w:val="22"/>
          <w:szCs w:val="24"/>
          <w:lang w:val="es-CO" w:eastAsia="es-ES_tradnl"/>
        </w:rPr>
        <w:tab/>
        <w:t xml:space="preserve">En contraste, la restricción </w:t>
      </w:r>
      <w:r w:rsidR="008C710C" w:rsidRPr="000D75DD">
        <w:rPr>
          <w:rFonts w:ascii="Arial" w:eastAsia="Calibri" w:hAnsi="Arial" w:cs="Arial"/>
          <w:sz w:val="22"/>
          <w:szCs w:val="24"/>
          <w:lang w:val="es-CO" w:eastAsia="es-ES_tradnl"/>
        </w:rPr>
        <w:t>del artículo 33</w:t>
      </w:r>
      <w:r w:rsidRPr="000D75DD">
        <w:rPr>
          <w:rFonts w:ascii="Arial" w:eastAsia="Calibri" w:hAnsi="Arial" w:cs="Arial"/>
          <w:sz w:val="22"/>
          <w:szCs w:val="24"/>
          <w:lang w:val="es-CO" w:eastAsia="es-ES_tradnl"/>
        </w:rPr>
        <w:t xml:space="preserve"> no aplicaría a los convenios de asociación que celebren las entidades estatales y las ESAL bajo el procedimiento </w:t>
      </w:r>
      <w:r w:rsidRPr="000D75DD">
        <w:rPr>
          <w:rFonts w:ascii="Arial" w:eastAsia="Calibri" w:hAnsi="Arial" w:cs="Arial"/>
          <w:i/>
          <w:iCs/>
          <w:sz w:val="22"/>
          <w:szCs w:val="24"/>
          <w:lang w:val="es-CO" w:eastAsia="es-ES_tradnl"/>
        </w:rPr>
        <w:t>competitivo</w:t>
      </w:r>
      <w:r w:rsidRPr="000D75DD">
        <w:rPr>
          <w:rFonts w:ascii="Arial" w:eastAsia="Calibri" w:hAnsi="Arial" w:cs="Arial"/>
          <w:sz w:val="22"/>
          <w:szCs w:val="24"/>
          <w:lang w:val="es-CO" w:eastAsia="es-ES_tradnl"/>
        </w:rPr>
        <w:t xml:space="preserve">, pues este supone la pluralidad de oferentes y la selección objetiva del contratista. Conforme al artículo 5 del Decreto 092 de 2017, esta es la regla general, salvo en aquellos casos en que una ESAL comprometa recursos en dinero por un valor igual o superior al 30% del valor total del convenio, siempre que la entidad </w:t>
      </w:r>
      <w:r w:rsidRPr="000D75DD">
        <w:rPr>
          <w:rFonts w:ascii="Arial" w:eastAsia="Calibri" w:hAnsi="Arial" w:cs="Arial"/>
          <w:sz w:val="22"/>
          <w:szCs w:val="24"/>
          <w:lang w:val="es-CO" w:eastAsia="es-ES_tradnl"/>
        </w:rPr>
        <w:lastRenderedPageBreak/>
        <w:t xml:space="preserve">estatal verifique previamente que no existe ninguna otra ESAL que ofrezca aportes iguales o superiores a dicho porcentaje, supuesto excepcional en que procede la selección directa. </w:t>
      </w:r>
    </w:p>
    <w:p w14:paraId="1B434565" w14:textId="21EC5C87" w:rsidR="009C375E" w:rsidRPr="000D75DD" w:rsidRDefault="00FC7F10" w:rsidP="00F176B9">
      <w:pPr>
        <w:spacing w:after="120"/>
        <w:ind w:firstLine="709"/>
        <w:rPr>
          <w:rFonts w:ascii="Arial" w:eastAsia="Calibri" w:hAnsi="Arial" w:cs="Arial"/>
          <w:sz w:val="22"/>
          <w:lang w:val="es-ES_tradnl"/>
        </w:rPr>
      </w:pPr>
      <w:r w:rsidRPr="000D75DD">
        <w:rPr>
          <w:rFonts w:ascii="Arial" w:eastAsia="Calibri" w:hAnsi="Arial" w:cs="Arial"/>
          <w:sz w:val="22"/>
        </w:rPr>
        <w:t xml:space="preserve">De otra parte, </w:t>
      </w:r>
      <w:r w:rsidR="00591C90" w:rsidRPr="000D75DD">
        <w:rPr>
          <w:rFonts w:ascii="Arial" w:eastAsia="Calibri" w:hAnsi="Arial" w:cs="Arial"/>
          <w:sz w:val="22"/>
        </w:rPr>
        <w:t>en cuanto a la restricción del parágrafo del artículo 38 de la Ley de 996 de 2005, conforme se explicó</w:t>
      </w:r>
      <w:r w:rsidR="00591C90" w:rsidRPr="000D75DD">
        <w:rPr>
          <w:rFonts w:ascii="Arial" w:eastAsia="Calibri" w:hAnsi="Arial" w:cs="Arial"/>
          <w:i/>
          <w:iCs/>
          <w:sz w:val="22"/>
        </w:rPr>
        <w:t xml:space="preserve"> ut supra,</w:t>
      </w:r>
      <w:r w:rsidR="00591C90" w:rsidRPr="000D75DD">
        <w:rPr>
          <w:rFonts w:ascii="Arial" w:eastAsia="Calibri" w:hAnsi="Arial" w:cs="Arial"/>
          <w:sz w:val="22"/>
        </w:rPr>
        <w:t xml:space="preserve"> se </w:t>
      </w:r>
      <w:r w:rsidR="00B72871" w:rsidRPr="000D75DD">
        <w:rPr>
          <w:rFonts w:ascii="Arial" w:eastAsia="Calibri" w:hAnsi="Arial" w:cs="Arial"/>
          <w:sz w:val="22"/>
        </w:rPr>
        <w:t>re</w:t>
      </w:r>
      <w:r w:rsidR="00591C90" w:rsidRPr="000D75DD">
        <w:rPr>
          <w:rFonts w:ascii="Arial" w:eastAsia="Calibri" w:hAnsi="Arial" w:cs="Arial"/>
          <w:sz w:val="22"/>
        </w:rPr>
        <w:t xml:space="preserve">itera, la misma solo aplica a convenios interadministrativos, es decir, a aquellos en los que ambos extremos de la relación contractual están conformados por entidades estatales. Esto significa que esta restricción no es aplicable a la celebración de </w:t>
      </w:r>
      <w:r w:rsidR="00591C90" w:rsidRPr="000D75DD">
        <w:rPr>
          <w:rFonts w:ascii="Arial" w:eastAsia="Calibri" w:hAnsi="Arial" w:cs="Arial"/>
          <w:i/>
          <w:iCs/>
          <w:sz w:val="22"/>
        </w:rPr>
        <w:t>convenios de asociación</w:t>
      </w:r>
      <w:r w:rsidR="00591C90" w:rsidRPr="000D75DD">
        <w:rPr>
          <w:rFonts w:ascii="Arial" w:eastAsia="Calibri" w:hAnsi="Arial" w:cs="Arial"/>
          <w:sz w:val="22"/>
        </w:rPr>
        <w:t xml:space="preserve">, ya que este tipo de acuerdos son celebrados entre entidades estatales </w:t>
      </w:r>
      <w:r w:rsidR="004A606D" w:rsidRPr="000D75DD">
        <w:rPr>
          <w:rFonts w:ascii="Arial" w:eastAsia="Calibri" w:hAnsi="Arial" w:cs="Arial"/>
          <w:sz w:val="22"/>
        </w:rPr>
        <w:t xml:space="preserve">y </w:t>
      </w:r>
      <w:r w:rsidR="008C710C" w:rsidRPr="000D75DD">
        <w:rPr>
          <w:rFonts w:ascii="Arial" w:eastAsia="Calibri" w:hAnsi="Arial" w:cs="Arial"/>
          <w:sz w:val="22"/>
        </w:rPr>
        <w:t>ESALES</w:t>
      </w:r>
      <w:r w:rsidR="004A606D" w:rsidRPr="000D75DD">
        <w:rPr>
          <w:rFonts w:ascii="Arial" w:eastAsia="Calibri" w:hAnsi="Arial" w:cs="Arial"/>
          <w:sz w:val="22"/>
        </w:rPr>
        <w:t xml:space="preserve">, es decir, que no cumplen con el criterio orgánico que determina la calidad de interadministrativo. </w:t>
      </w:r>
    </w:p>
    <w:p w14:paraId="04E00E15" w14:textId="272491E2" w:rsidR="008C710C" w:rsidRDefault="004F4394" w:rsidP="00F176B9">
      <w:pPr>
        <w:spacing w:before="120" w:after="0"/>
        <w:ind w:firstLine="709"/>
        <w:rPr>
          <w:rFonts w:ascii="Arial" w:eastAsia="Calibri" w:hAnsi="Arial" w:cs="Arial"/>
          <w:sz w:val="22"/>
          <w:lang w:val="es-ES_tradnl"/>
        </w:rPr>
      </w:pPr>
      <w:r w:rsidRPr="000D75DD">
        <w:rPr>
          <w:rFonts w:ascii="Arial" w:eastAsia="Calibri" w:hAnsi="Arial" w:cs="Arial"/>
          <w:sz w:val="22"/>
          <w:lang w:val="es-ES_tradnl"/>
        </w:rPr>
        <w:t>De esta manera</w:t>
      </w:r>
      <w:r w:rsidR="009C375E" w:rsidRPr="000D75DD">
        <w:rPr>
          <w:rFonts w:ascii="Arial" w:eastAsia="Calibri" w:hAnsi="Arial" w:cs="Arial"/>
          <w:sz w:val="22"/>
          <w:lang w:val="es-ES_tradnl"/>
        </w:rPr>
        <w:t>,</w:t>
      </w:r>
      <w:r w:rsidR="008C710C" w:rsidRPr="000D75DD">
        <w:rPr>
          <w:rFonts w:ascii="Arial" w:eastAsia="Calibri" w:hAnsi="Arial" w:cs="Arial"/>
          <w:sz w:val="22"/>
          <w:lang w:val="es-ES_tradnl"/>
        </w:rPr>
        <w:t xml:space="preserve"> </w:t>
      </w:r>
      <w:r w:rsidR="00EA38C4" w:rsidRPr="000D75DD">
        <w:rPr>
          <w:rFonts w:ascii="Arial" w:eastAsia="Calibri" w:hAnsi="Arial" w:cs="Arial"/>
          <w:sz w:val="22"/>
          <w:lang w:val="es-ES_tradnl"/>
        </w:rPr>
        <w:t>en lo relativo a la celebración</w:t>
      </w:r>
      <w:r w:rsidR="008C710C" w:rsidRPr="000D75DD">
        <w:rPr>
          <w:rFonts w:ascii="Arial" w:eastAsia="Calibri" w:hAnsi="Arial" w:cs="Arial"/>
          <w:sz w:val="22"/>
          <w:lang w:val="es-ES_tradnl"/>
        </w:rPr>
        <w:t xml:space="preserve"> </w:t>
      </w:r>
      <w:r w:rsidR="00EA38C4" w:rsidRPr="000D75DD">
        <w:rPr>
          <w:rFonts w:ascii="Arial" w:eastAsia="Calibri" w:hAnsi="Arial" w:cs="Arial"/>
          <w:sz w:val="22"/>
          <w:lang w:val="es-ES_tradnl"/>
        </w:rPr>
        <w:t>de</w:t>
      </w:r>
      <w:r w:rsidR="008C710C" w:rsidRPr="000D75DD">
        <w:rPr>
          <w:rFonts w:ascii="Arial" w:eastAsia="Calibri" w:hAnsi="Arial" w:cs="Arial"/>
          <w:sz w:val="22"/>
          <w:lang w:val="es-ES_tradnl"/>
        </w:rPr>
        <w:t xml:space="preserve"> convenios de asociación en vigencia de la restricción del artículo 33 de la Ley </w:t>
      </w:r>
      <w:r w:rsidR="00EA38C4" w:rsidRPr="000D75DD">
        <w:rPr>
          <w:rFonts w:ascii="Arial" w:eastAsia="Calibri" w:hAnsi="Arial" w:cs="Arial"/>
          <w:sz w:val="22"/>
          <w:lang w:val="es-ES_tradnl"/>
        </w:rPr>
        <w:t xml:space="preserve">de Garantías, se concluye que, esto solo será posible cuando dicho tipo de acuerdos se realicen a través de la modalidad </w:t>
      </w:r>
      <w:r w:rsidR="00EA38C4" w:rsidRPr="000D75DD">
        <w:rPr>
          <w:rFonts w:ascii="Arial" w:eastAsia="Calibri" w:hAnsi="Arial" w:cs="Arial"/>
          <w:i/>
          <w:iCs/>
          <w:sz w:val="22"/>
          <w:lang w:val="es-ES_tradnl"/>
        </w:rPr>
        <w:t>competitiva</w:t>
      </w:r>
      <w:r w:rsidR="00EA38C4" w:rsidRPr="000D75DD">
        <w:rPr>
          <w:rFonts w:ascii="Arial" w:eastAsia="Calibri" w:hAnsi="Arial" w:cs="Arial"/>
          <w:sz w:val="22"/>
          <w:lang w:val="es-ES_tradnl"/>
        </w:rPr>
        <w:t xml:space="preserve">, mientras que la celebración de este tipo de convenios en la modalidad </w:t>
      </w:r>
      <w:r w:rsidR="00EA38C4" w:rsidRPr="000D75DD">
        <w:rPr>
          <w:rFonts w:ascii="Arial" w:eastAsia="Calibri" w:hAnsi="Arial" w:cs="Arial"/>
          <w:i/>
          <w:iCs/>
          <w:sz w:val="22"/>
          <w:lang w:val="es-ES_tradnl"/>
        </w:rPr>
        <w:t>no competitiva</w:t>
      </w:r>
      <w:r w:rsidR="00EA38C4" w:rsidRPr="000D75DD">
        <w:rPr>
          <w:rFonts w:ascii="Arial" w:eastAsia="Calibri" w:hAnsi="Arial" w:cs="Arial"/>
          <w:sz w:val="22"/>
          <w:lang w:val="es-ES_tradnl"/>
        </w:rPr>
        <w:t xml:space="preserve"> s</w:t>
      </w:r>
      <w:r w:rsidR="000D5150" w:rsidRPr="000D75DD">
        <w:rPr>
          <w:rFonts w:ascii="Arial" w:eastAsia="Calibri" w:hAnsi="Arial" w:cs="Arial"/>
          <w:sz w:val="22"/>
          <w:lang w:val="es-ES_tradnl"/>
        </w:rPr>
        <w:t>í</w:t>
      </w:r>
      <w:r w:rsidR="00EA38C4" w:rsidRPr="000D75DD">
        <w:rPr>
          <w:rFonts w:ascii="Arial" w:eastAsia="Calibri" w:hAnsi="Arial" w:cs="Arial"/>
          <w:sz w:val="22"/>
          <w:lang w:val="es-ES_tradnl"/>
        </w:rPr>
        <w:t xml:space="preserve"> estaría prohibida</w:t>
      </w:r>
      <w:r w:rsidR="00083B1B" w:rsidRPr="000D75DD">
        <w:rPr>
          <w:rFonts w:ascii="Arial" w:eastAsia="Calibri" w:hAnsi="Arial" w:cs="Arial"/>
          <w:sz w:val="22"/>
          <w:lang w:val="es-ES_tradnl"/>
        </w:rPr>
        <w:t xml:space="preserve"> durante el periodo de aplicación de esta restricción.</w:t>
      </w:r>
      <w:r w:rsidR="00B81A41" w:rsidRPr="000D75DD">
        <w:rPr>
          <w:rFonts w:ascii="Arial" w:eastAsia="Calibri" w:hAnsi="Arial" w:cs="Arial"/>
          <w:sz w:val="22"/>
          <w:lang w:val="es-ES_tradnl"/>
        </w:rPr>
        <w:t xml:space="preserve"> </w:t>
      </w:r>
      <w:r w:rsidR="007831EF" w:rsidRPr="000D75DD">
        <w:rPr>
          <w:rFonts w:ascii="Arial" w:eastAsia="Calibri" w:hAnsi="Arial" w:cs="Arial"/>
          <w:sz w:val="22"/>
          <w:lang w:val="es-ES_tradnl"/>
        </w:rPr>
        <w:t xml:space="preserve">De igual forma, </w:t>
      </w:r>
      <w:r w:rsidR="00B81A41" w:rsidRPr="000D75DD">
        <w:rPr>
          <w:rFonts w:ascii="Arial" w:eastAsia="Calibri" w:hAnsi="Arial" w:cs="Arial"/>
          <w:sz w:val="22"/>
          <w:lang w:val="es-ES_tradnl"/>
        </w:rPr>
        <w:t xml:space="preserve">es posible concluir que, la celebración de </w:t>
      </w:r>
      <w:r w:rsidR="00B81A41" w:rsidRPr="000D75DD">
        <w:rPr>
          <w:rFonts w:ascii="Arial" w:eastAsia="Calibri" w:hAnsi="Arial" w:cs="Arial"/>
          <w:i/>
          <w:iCs/>
          <w:sz w:val="22"/>
          <w:lang w:val="es-ES_tradnl"/>
        </w:rPr>
        <w:t>convenios de asociación</w:t>
      </w:r>
      <w:r w:rsidR="00B81A41" w:rsidRPr="000D75DD">
        <w:rPr>
          <w:rFonts w:ascii="Arial" w:eastAsia="Calibri" w:hAnsi="Arial" w:cs="Arial"/>
          <w:sz w:val="22"/>
          <w:lang w:val="es-ES_tradnl"/>
        </w:rPr>
        <w:t xml:space="preserve">, </w:t>
      </w:r>
      <w:r w:rsidR="00B81A41" w:rsidRPr="000D75DD">
        <w:rPr>
          <w:rFonts w:ascii="Arial" w:eastAsia="Calibri" w:hAnsi="Arial" w:cs="Arial"/>
          <w:i/>
          <w:iCs/>
          <w:sz w:val="22"/>
          <w:lang w:val="es-ES_tradnl"/>
        </w:rPr>
        <w:t xml:space="preserve">per se, </w:t>
      </w:r>
      <w:r w:rsidR="00B81A41" w:rsidRPr="000D75DD">
        <w:rPr>
          <w:rFonts w:ascii="Arial" w:eastAsia="Calibri" w:hAnsi="Arial" w:cs="Arial"/>
          <w:sz w:val="22"/>
          <w:lang w:val="es-ES_tradnl"/>
        </w:rPr>
        <w:t>no está prohibida por la restricción del parágrafo del artículo 38 de la Ley 2069 de 2020, la cual solo es aplicable a convenios interadministrativos.</w:t>
      </w:r>
    </w:p>
    <w:p w14:paraId="0384BA85" w14:textId="77777777" w:rsidR="00B0312C" w:rsidRPr="000D75DD" w:rsidRDefault="00B0312C" w:rsidP="00F176B9">
      <w:pPr>
        <w:spacing w:after="0"/>
        <w:ind w:firstLine="709"/>
        <w:rPr>
          <w:rFonts w:ascii="Arial" w:eastAsia="Calibri" w:hAnsi="Arial" w:cs="Arial"/>
          <w:sz w:val="22"/>
        </w:rPr>
      </w:pPr>
    </w:p>
    <w:p w14:paraId="52ACB68C" w14:textId="65210C65" w:rsidR="001C1A26" w:rsidRPr="000D75DD" w:rsidRDefault="00231E50" w:rsidP="00F176B9">
      <w:pPr>
        <w:spacing w:after="0"/>
        <w:rPr>
          <w:rFonts w:ascii="Arial" w:eastAsia="Calibri" w:hAnsi="Arial" w:cs="Arial"/>
          <w:b/>
          <w:sz w:val="22"/>
          <w:lang w:val="es-CO"/>
        </w:rPr>
      </w:pPr>
      <w:r w:rsidRPr="000D75DD">
        <w:rPr>
          <w:rFonts w:ascii="Arial" w:eastAsia="Calibri" w:hAnsi="Arial" w:cs="Arial"/>
          <w:b/>
          <w:sz w:val="22"/>
          <w:lang w:val="es-CO"/>
        </w:rPr>
        <w:t>3</w:t>
      </w:r>
      <w:r w:rsidR="00CF2AA3" w:rsidRPr="000D75DD">
        <w:rPr>
          <w:rFonts w:ascii="Arial" w:eastAsia="Calibri" w:hAnsi="Arial" w:cs="Arial"/>
          <w:b/>
          <w:sz w:val="22"/>
          <w:lang w:val="es-CO"/>
        </w:rPr>
        <w:t>. Respuest</w:t>
      </w:r>
      <w:r w:rsidR="001C1A26" w:rsidRPr="000D75DD">
        <w:rPr>
          <w:rFonts w:ascii="Arial" w:eastAsia="Calibri" w:hAnsi="Arial" w:cs="Arial"/>
          <w:b/>
          <w:sz w:val="22"/>
          <w:lang w:val="es-CO"/>
        </w:rPr>
        <w:t>a</w:t>
      </w:r>
    </w:p>
    <w:p w14:paraId="79A8F50A" w14:textId="77777777" w:rsidR="00264924" w:rsidRPr="000D75DD" w:rsidRDefault="00264924" w:rsidP="00F176B9">
      <w:pPr>
        <w:spacing w:after="0" w:line="240" w:lineRule="auto"/>
        <w:rPr>
          <w:rFonts w:ascii="Arial" w:eastAsia="Calibri" w:hAnsi="Arial" w:cs="Arial"/>
          <w:bCs/>
          <w:sz w:val="22"/>
          <w:lang w:val="es-CO"/>
        </w:rPr>
      </w:pPr>
    </w:p>
    <w:p w14:paraId="6C647347" w14:textId="12B1EB5B" w:rsidR="00C7127A" w:rsidRPr="000D75DD" w:rsidRDefault="008C710C" w:rsidP="00F176B9">
      <w:pPr>
        <w:spacing w:after="0" w:line="240" w:lineRule="auto"/>
        <w:ind w:left="709" w:right="709"/>
        <w:rPr>
          <w:rFonts w:ascii="Arial" w:eastAsia="Times New Roman" w:hAnsi="Arial" w:cs="Arial"/>
          <w:sz w:val="21"/>
          <w:szCs w:val="21"/>
          <w:shd w:val="clear" w:color="auto" w:fill="FFFFFF"/>
          <w:lang w:val="es-CO" w:eastAsia="es-CO"/>
        </w:rPr>
      </w:pPr>
      <w:bookmarkStart w:id="57" w:name="_Hlk101816169"/>
      <w:bookmarkStart w:id="58" w:name="_Hlk57650395"/>
      <w:r w:rsidRPr="000D75DD">
        <w:rPr>
          <w:rFonts w:ascii="Arial" w:eastAsia="Times New Roman" w:hAnsi="Arial" w:cs="Arial"/>
          <w:sz w:val="21"/>
          <w:szCs w:val="21"/>
          <w:shd w:val="clear" w:color="auto" w:fill="FFFFFF"/>
          <w:lang w:val="es-CO" w:eastAsia="es-CO"/>
        </w:rPr>
        <w:t>«</w:t>
      </w:r>
      <w:bookmarkEnd w:id="57"/>
      <w:r w:rsidR="00072274" w:rsidRPr="007D1FD8">
        <w:rPr>
          <w:rFonts w:ascii="Arial" w:hAnsi="Arial" w:cs="Arial"/>
          <w:sz w:val="21"/>
          <w:szCs w:val="21"/>
          <w:shd w:val="clear" w:color="auto" w:fill="FFFFFF"/>
        </w:rPr>
        <w:t xml:space="preserve">Quisiera que me dieron un concepto en término general, en el sentido si en tiempo o ley de garantías se puede suscribir un convenio para hacer el acompañamiento del concurso de Personero, partiendo que </w:t>
      </w:r>
      <w:bookmarkStart w:id="59" w:name="_Hlk101816210"/>
      <w:r w:rsidR="00072274" w:rsidRPr="007D1FD8">
        <w:rPr>
          <w:rFonts w:ascii="Arial" w:hAnsi="Arial" w:cs="Arial"/>
          <w:sz w:val="21"/>
          <w:szCs w:val="21"/>
          <w:shd w:val="clear" w:color="auto" w:fill="FFFFFF"/>
        </w:rPr>
        <w:t>dicho convenio se suscribirá bajo cero costos</w:t>
      </w:r>
      <w:r w:rsidR="00072274">
        <w:rPr>
          <w:rFonts w:ascii="Arial" w:hAnsi="Arial" w:cs="Arial"/>
          <w:sz w:val="21"/>
          <w:szCs w:val="21"/>
          <w:shd w:val="clear" w:color="auto" w:fill="FFFFFF"/>
        </w:rPr>
        <w:t xml:space="preserve"> (sic)</w:t>
      </w:r>
      <w:r w:rsidR="00072274" w:rsidRPr="007D1FD8">
        <w:rPr>
          <w:rFonts w:ascii="Arial" w:hAnsi="Arial" w:cs="Arial"/>
          <w:sz w:val="21"/>
          <w:szCs w:val="21"/>
          <w:shd w:val="clear" w:color="auto" w:fill="FFFFFF"/>
        </w:rPr>
        <w:t>, por lo tanto no hay recursos públicos</w:t>
      </w:r>
      <w:r w:rsidRPr="000D75DD">
        <w:rPr>
          <w:rFonts w:ascii="Arial" w:eastAsia="Times New Roman" w:hAnsi="Arial" w:cs="Arial"/>
          <w:sz w:val="21"/>
          <w:szCs w:val="21"/>
          <w:shd w:val="clear" w:color="auto" w:fill="FFFFFF"/>
          <w:lang w:val="es-CO" w:eastAsia="es-CO"/>
        </w:rPr>
        <w:t>»</w:t>
      </w:r>
    </w:p>
    <w:bookmarkEnd w:id="59"/>
    <w:p w14:paraId="040A4938" w14:textId="77777777" w:rsidR="008C710C" w:rsidRPr="000D75DD" w:rsidRDefault="008C710C" w:rsidP="00F176B9">
      <w:pPr>
        <w:spacing w:after="0" w:line="240" w:lineRule="auto"/>
        <w:ind w:left="709" w:right="709"/>
        <w:rPr>
          <w:rFonts w:ascii="Arial" w:eastAsia="Times New Roman" w:hAnsi="Arial" w:cs="Arial"/>
          <w:sz w:val="22"/>
          <w:lang w:val="es-CO" w:eastAsia="es-ES_tradnl"/>
        </w:rPr>
      </w:pPr>
    </w:p>
    <w:p w14:paraId="7A173762" w14:textId="674F20E4" w:rsidR="00DF1287" w:rsidRPr="000D75DD" w:rsidRDefault="00B87B9E" w:rsidP="00F176B9">
      <w:pPr>
        <w:spacing w:after="120"/>
        <w:rPr>
          <w:rFonts w:ascii="Arial" w:eastAsia="Calibri" w:hAnsi="Arial" w:cs="Arial"/>
          <w:sz w:val="22"/>
        </w:rPr>
      </w:pPr>
      <w:r w:rsidRPr="000D75DD">
        <w:rPr>
          <w:rFonts w:ascii="Arial" w:eastAsia="Calibri" w:hAnsi="Arial" w:cs="Arial"/>
          <w:sz w:val="22"/>
        </w:rPr>
        <w:t xml:space="preserve">Conforme a </w:t>
      </w:r>
      <w:r w:rsidR="00DF1287" w:rsidRPr="000D75DD">
        <w:rPr>
          <w:rFonts w:ascii="Arial" w:eastAsia="Calibri" w:hAnsi="Arial" w:cs="Arial"/>
          <w:sz w:val="22"/>
        </w:rPr>
        <w:t>lo expuesto, el artículo 33 de la Ley 996 de 2005 establece una restricción en atención a la cual,</w:t>
      </w:r>
      <w:r w:rsidR="00DF1287" w:rsidRPr="000D75DD">
        <w:rPr>
          <w:rFonts w:ascii="Arial" w:hAnsi="Arial" w:cs="Arial"/>
          <w:sz w:val="25"/>
          <w:szCs w:val="25"/>
          <w:shd w:val="clear" w:color="auto" w:fill="FFFFFF"/>
        </w:rPr>
        <w:t xml:space="preserve"> </w:t>
      </w:r>
      <w:r w:rsidR="00DF1287" w:rsidRPr="000D75DD">
        <w:rPr>
          <w:rFonts w:ascii="Arial" w:eastAsia="Calibri" w:hAnsi="Arial" w:cs="Arial"/>
          <w:sz w:val="22"/>
        </w:rPr>
        <w:t xml:space="preserve">durante los cuatro meses anteriores a la elección presidencial y hasta la realización de la elección en la segunda vuelta, si fuere el caso, está prohibida la contratación </w:t>
      </w:r>
      <w:r w:rsidR="00701D9E" w:rsidRPr="000D75DD">
        <w:rPr>
          <w:rFonts w:ascii="Arial" w:eastAsia="Calibri" w:hAnsi="Arial" w:cs="Arial"/>
          <w:sz w:val="22"/>
        </w:rPr>
        <w:t>directa</w:t>
      </w:r>
      <w:r w:rsidR="00701D9E">
        <w:rPr>
          <w:rFonts w:ascii="Arial" w:eastAsia="Calibri" w:hAnsi="Arial" w:cs="Arial"/>
          <w:sz w:val="22"/>
        </w:rPr>
        <w:t xml:space="preserve">, independientemente de que se ejecuten </w:t>
      </w:r>
      <w:r w:rsidR="003C71EE">
        <w:rPr>
          <w:rFonts w:ascii="Arial" w:eastAsia="Calibri" w:hAnsi="Arial" w:cs="Arial"/>
          <w:sz w:val="22"/>
        </w:rPr>
        <w:t>recursos públicos</w:t>
      </w:r>
      <w:r w:rsidR="00701D9E">
        <w:rPr>
          <w:rFonts w:ascii="Arial" w:eastAsia="Calibri" w:hAnsi="Arial" w:cs="Arial"/>
          <w:sz w:val="22"/>
        </w:rPr>
        <w:t xml:space="preserve"> o </w:t>
      </w:r>
      <w:r w:rsidR="008349A7">
        <w:rPr>
          <w:rFonts w:ascii="Arial" w:eastAsia="Calibri" w:hAnsi="Arial" w:cs="Arial"/>
          <w:sz w:val="22"/>
        </w:rPr>
        <w:t xml:space="preserve">no, </w:t>
      </w:r>
      <w:r w:rsidR="008349A7" w:rsidRPr="000D75DD">
        <w:rPr>
          <w:rFonts w:ascii="Arial" w:eastAsia="Calibri" w:hAnsi="Arial" w:cs="Arial"/>
          <w:sz w:val="22"/>
        </w:rPr>
        <w:t>por</w:t>
      </w:r>
      <w:r w:rsidR="00DF1287" w:rsidRPr="000D75DD">
        <w:rPr>
          <w:rFonts w:ascii="Arial" w:eastAsia="Calibri" w:hAnsi="Arial" w:cs="Arial"/>
          <w:sz w:val="22"/>
        </w:rPr>
        <w:t xml:space="preserve"> parte de todos las Entidades Estatales. Esto implica que, la celebración de contratos o convenios interadministrativos, cuya </w:t>
      </w:r>
      <w:r w:rsidR="00C5178F" w:rsidRPr="000D75DD">
        <w:rPr>
          <w:rFonts w:ascii="Arial" w:eastAsia="Calibri" w:hAnsi="Arial" w:cs="Arial"/>
          <w:sz w:val="22"/>
        </w:rPr>
        <w:t>selección se adelante a través de</w:t>
      </w:r>
      <w:r w:rsidR="00DF1287" w:rsidRPr="000D75DD">
        <w:rPr>
          <w:rFonts w:ascii="Arial" w:eastAsia="Calibri" w:hAnsi="Arial" w:cs="Arial"/>
          <w:sz w:val="22"/>
        </w:rPr>
        <w:t xml:space="preserve"> contratación directa, está prohibida durante el per</w:t>
      </w:r>
      <w:r w:rsidR="00546A34" w:rsidRPr="000D75DD">
        <w:rPr>
          <w:rFonts w:ascii="Arial" w:eastAsia="Calibri" w:hAnsi="Arial" w:cs="Arial"/>
          <w:sz w:val="22"/>
        </w:rPr>
        <w:t>í</w:t>
      </w:r>
      <w:r w:rsidR="00DF1287" w:rsidRPr="000D75DD">
        <w:rPr>
          <w:rFonts w:ascii="Arial" w:eastAsia="Calibri" w:hAnsi="Arial" w:cs="Arial"/>
          <w:sz w:val="22"/>
        </w:rPr>
        <w:t>odo</w:t>
      </w:r>
      <w:r w:rsidRPr="000D75DD">
        <w:rPr>
          <w:rFonts w:ascii="Arial" w:eastAsia="Calibri" w:hAnsi="Arial" w:cs="Arial"/>
          <w:sz w:val="22"/>
        </w:rPr>
        <w:t xml:space="preserve"> de aplicación de esta restricción.</w:t>
      </w:r>
    </w:p>
    <w:p w14:paraId="7EB9D2B4" w14:textId="52CCA42D" w:rsidR="001C1A26" w:rsidRDefault="00B87B9E" w:rsidP="00D228A3">
      <w:pPr>
        <w:spacing w:after="0"/>
        <w:ind w:firstLine="709"/>
        <w:rPr>
          <w:rFonts w:ascii="Arial" w:eastAsia="Calibri" w:hAnsi="Arial" w:cs="Arial"/>
          <w:sz w:val="22"/>
          <w:lang w:val="es-CO"/>
        </w:rPr>
      </w:pPr>
      <w:r w:rsidRPr="000D75DD">
        <w:rPr>
          <w:rFonts w:ascii="Arial" w:eastAsia="Calibri" w:hAnsi="Arial" w:cs="Arial"/>
          <w:sz w:val="22"/>
        </w:rPr>
        <w:lastRenderedPageBreak/>
        <w:t xml:space="preserve">Por su parte, en cuanto a los </w:t>
      </w:r>
      <w:r w:rsidRPr="000D75DD">
        <w:rPr>
          <w:rFonts w:ascii="Arial" w:eastAsia="Calibri" w:hAnsi="Arial" w:cs="Arial"/>
          <w:i/>
          <w:iCs/>
          <w:sz w:val="22"/>
        </w:rPr>
        <w:t>convenios de asociación</w:t>
      </w:r>
      <w:r w:rsidRPr="000D75DD">
        <w:rPr>
          <w:rFonts w:ascii="Arial" w:eastAsia="Calibri" w:hAnsi="Arial" w:cs="Arial"/>
          <w:sz w:val="22"/>
        </w:rPr>
        <w:t xml:space="preserve">, </w:t>
      </w:r>
      <w:r w:rsidR="003B6EE4" w:rsidRPr="000D75DD">
        <w:rPr>
          <w:rFonts w:ascii="Arial" w:eastAsia="Calibri" w:hAnsi="Arial" w:cs="Arial"/>
          <w:sz w:val="22"/>
        </w:rPr>
        <w:t>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003B6EE4" w:rsidRPr="000D75DD">
        <w:rPr>
          <w:rFonts w:ascii="Arial" w:eastAsia="Calibri" w:hAnsi="Arial" w:cs="Arial"/>
          <w:sz w:val="21"/>
          <w:szCs w:val="21"/>
        </w:rPr>
        <w:t xml:space="preserve"> </w:t>
      </w:r>
      <w:r w:rsidR="003B6EE4" w:rsidRPr="000D75DD">
        <w:rPr>
          <w:rFonts w:ascii="Arial" w:eastAsia="Calibri" w:hAnsi="Arial" w:cs="Arial"/>
          <w:sz w:val="22"/>
        </w:rPr>
        <w:t xml:space="preserve">En contraste, la restricción citada no aplicaría a los </w:t>
      </w:r>
      <w:r w:rsidR="003B6EE4" w:rsidRPr="000D75DD">
        <w:rPr>
          <w:rFonts w:ascii="Arial" w:eastAsia="Calibri" w:hAnsi="Arial" w:cs="Arial"/>
          <w:i/>
          <w:iCs/>
          <w:sz w:val="22"/>
        </w:rPr>
        <w:t>convenios de asociación</w:t>
      </w:r>
      <w:r w:rsidR="003B6EE4" w:rsidRPr="000D75DD">
        <w:rPr>
          <w:rFonts w:ascii="Arial" w:eastAsia="Calibri" w:hAnsi="Arial" w:cs="Arial"/>
          <w:sz w:val="22"/>
        </w:rPr>
        <w:t xml:space="preserve"> que celebren las </w:t>
      </w:r>
      <w:r w:rsidRPr="000D75DD">
        <w:rPr>
          <w:rFonts w:ascii="Arial" w:eastAsia="Calibri" w:hAnsi="Arial" w:cs="Arial"/>
          <w:sz w:val="22"/>
        </w:rPr>
        <w:t>E</w:t>
      </w:r>
      <w:r w:rsidR="003B6EE4" w:rsidRPr="000D75DD">
        <w:rPr>
          <w:rFonts w:ascii="Arial" w:eastAsia="Calibri" w:hAnsi="Arial" w:cs="Arial"/>
          <w:sz w:val="22"/>
        </w:rPr>
        <w:t xml:space="preserve">ntidades </w:t>
      </w:r>
      <w:r w:rsidRPr="000D75DD">
        <w:rPr>
          <w:rFonts w:ascii="Arial" w:eastAsia="Calibri" w:hAnsi="Arial" w:cs="Arial"/>
          <w:sz w:val="22"/>
        </w:rPr>
        <w:t>Estatales</w:t>
      </w:r>
      <w:r w:rsidR="003B6EE4" w:rsidRPr="000D75DD">
        <w:rPr>
          <w:rFonts w:ascii="Arial" w:eastAsia="Calibri" w:hAnsi="Arial" w:cs="Arial"/>
          <w:sz w:val="22"/>
        </w:rPr>
        <w:t xml:space="preserve"> y entidades privadas sin ánimo de lucro bajo el procedimiento competitivo, pues este supone la pluralidad de oferentes y la selección objetiva del contratista</w:t>
      </w:r>
      <w:r w:rsidR="00824D50" w:rsidRPr="000D75DD">
        <w:rPr>
          <w:rFonts w:ascii="Arial" w:eastAsia="Calibri" w:hAnsi="Arial" w:cs="Arial"/>
          <w:sz w:val="22"/>
          <w:lang w:val="es-CO"/>
        </w:rPr>
        <w:t xml:space="preserve">. </w:t>
      </w:r>
    </w:p>
    <w:p w14:paraId="0FC32752" w14:textId="77777777" w:rsidR="00D228A3" w:rsidRPr="000D75DD" w:rsidRDefault="00D228A3" w:rsidP="007B78B9">
      <w:pPr>
        <w:spacing w:after="0"/>
        <w:ind w:firstLine="709"/>
        <w:rPr>
          <w:rFonts w:ascii="Arial" w:eastAsia="Calibri" w:hAnsi="Arial" w:cs="Arial"/>
          <w:sz w:val="22"/>
          <w:lang w:val="es-CO"/>
        </w:rPr>
      </w:pPr>
    </w:p>
    <w:p w14:paraId="06025F48" w14:textId="1C6BD03F" w:rsidR="00506085" w:rsidRPr="000D75DD" w:rsidRDefault="00506085" w:rsidP="00F176B9">
      <w:pPr>
        <w:spacing w:after="0"/>
        <w:rPr>
          <w:rFonts w:ascii="Times New Roman" w:eastAsia="Times New Roman" w:hAnsi="Times New Roman" w:cs="Times New Roman"/>
          <w:szCs w:val="24"/>
          <w:lang w:val="es-CO" w:eastAsia="es-ES_tradnl"/>
        </w:rPr>
      </w:pPr>
      <w:r w:rsidRPr="000D75DD">
        <w:rPr>
          <w:rFonts w:ascii="Arial" w:eastAsia="Calibri" w:hAnsi="Arial" w:cs="Arial"/>
          <w:sz w:val="22"/>
          <w:lang w:val="es-CO"/>
        </w:rPr>
        <w:t>Este concepto tiene el alcance previsto en el artículo 28 del Código de Procedimiento Administrativo y de lo Contencioso Administrativo.</w:t>
      </w:r>
      <w:r w:rsidRPr="000D75DD">
        <w:rPr>
          <w:rFonts w:ascii="Arial" w:hAnsi="Arial" w:cs="Arial"/>
          <w:noProof/>
          <w:lang w:val="es-CO" w:eastAsia="es-CO"/>
        </w:rPr>
        <mc:AlternateContent>
          <mc:Choice Requires="wps">
            <w:drawing>
              <wp:anchor distT="0" distB="0" distL="114300" distR="114300" simplePos="0" relativeHeight="251659264" behindDoc="0" locked="0" layoutInCell="1" allowOverlap="1" wp14:anchorId="6B9241D6" wp14:editId="64F49FC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B309B28"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0827501E" w14:textId="77777777" w:rsidR="00717A45" w:rsidRPr="000D75DD" w:rsidRDefault="00717A45" w:rsidP="00F176B9">
      <w:pPr>
        <w:spacing w:after="0"/>
        <w:rPr>
          <w:noProof/>
        </w:rPr>
      </w:pPr>
    </w:p>
    <w:p w14:paraId="240E0475" w14:textId="55B126B8" w:rsidR="00506085" w:rsidRPr="000D75DD" w:rsidRDefault="00506085" w:rsidP="00F176B9">
      <w:pPr>
        <w:rPr>
          <w:rFonts w:ascii="Arial" w:eastAsia="Times New Roman" w:hAnsi="Arial" w:cs="Arial"/>
          <w:sz w:val="22"/>
          <w:lang w:val="es-CO" w:eastAsia="es-CO"/>
        </w:rPr>
      </w:pPr>
      <w:r w:rsidRPr="000D75DD">
        <w:rPr>
          <w:rFonts w:ascii="Arial" w:eastAsia="Times New Roman" w:hAnsi="Arial" w:cs="Arial"/>
          <w:sz w:val="22"/>
          <w:lang w:val="es-CO" w:eastAsia="es-CO"/>
        </w:rPr>
        <w:t>Atentamente,</w:t>
      </w:r>
    </w:p>
    <w:p w14:paraId="300BE44C" w14:textId="6C281944" w:rsidR="00843449" w:rsidRPr="000D75DD" w:rsidRDefault="00892810" w:rsidP="00F176B9">
      <w:pPr>
        <w:jc w:val="center"/>
        <w:rPr>
          <w:rFonts w:ascii="Arial" w:eastAsia="Times New Roman" w:hAnsi="Arial" w:cs="Arial"/>
          <w:sz w:val="18"/>
          <w:szCs w:val="20"/>
          <w:lang w:eastAsia="es-CO"/>
        </w:rPr>
      </w:pPr>
      <w:r w:rsidRPr="00570FD2">
        <w:rPr>
          <w:rFonts w:ascii="Arial" w:hAnsi="Arial" w:cs="Arial"/>
          <w:noProof/>
          <w:color w:val="000000" w:themeColor="text1"/>
          <w:sz w:val="22"/>
        </w:rPr>
        <w:drawing>
          <wp:inline distT="0" distB="0" distL="0" distR="0" wp14:anchorId="704FFADA" wp14:editId="47576319">
            <wp:extent cx="2714625" cy="1152525"/>
            <wp:effectExtent l="0" t="0" r="9525"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299FA360" w14:textId="2C6292E6" w:rsidR="009F596F" w:rsidRPr="000D75DD" w:rsidRDefault="009F596F" w:rsidP="00F176B9">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F176B9" w:rsidRPr="000D75DD" w14:paraId="59E26AD8" w14:textId="77777777" w:rsidTr="00DE279B">
        <w:trPr>
          <w:trHeight w:val="315"/>
        </w:trPr>
        <w:tc>
          <w:tcPr>
            <w:tcW w:w="812" w:type="dxa"/>
            <w:vAlign w:val="center"/>
            <w:hideMark/>
          </w:tcPr>
          <w:p w14:paraId="53421173"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Elaboró:</w:t>
            </w:r>
          </w:p>
        </w:tc>
        <w:tc>
          <w:tcPr>
            <w:tcW w:w="4291" w:type="dxa"/>
            <w:tcBorders>
              <w:top w:val="nil"/>
              <w:left w:val="nil"/>
              <w:bottom w:val="dotted" w:sz="4" w:space="0" w:color="7F7F7F" w:themeColor="text1" w:themeTint="80"/>
              <w:right w:val="nil"/>
            </w:tcBorders>
            <w:vAlign w:val="center"/>
            <w:hideMark/>
          </w:tcPr>
          <w:p w14:paraId="6E5507FB" w14:textId="77777777" w:rsidR="00F354B5" w:rsidRPr="00F354B5" w:rsidRDefault="00F354B5" w:rsidP="00F354B5">
            <w:pPr>
              <w:rPr>
                <w:rFonts w:ascii="Arial" w:eastAsia="Times New Roman" w:hAnsi="Arial" w:cs="Arial"/>
                <w:color w:val="000000" w:themeColor="text1"/>
                <w:sz w:val="16"/>
                <w:szCs w:val="16"/>
                <w:lang w:val="es-ES_tradnl" w:eastAsia="es-ES"/>
              </w:rPr>
            </w:pPr>
            <w:r w:rsidRPr="00F354B5">
              <w:rPr>
                <w:rFonts w:ascii="Arial" w:eastAsia="Times New Roman" w:hAnsi="Arial" w:cs="Arial"/>
                <w:color w:val="000000" w:themeColor="text1"/>
                <w:sz w:val="16"/>
                <w:szCs w:val="16"/>
                <w:lang w:val="es-ES_tradnl" w:eastAsia="es-ES"/>
              </w:rPr>
              <w:t>Gabriel Alejandro Murcia Taboada</w:t>
            </w:r>
          </w:p>
          <w:p w14:paraId="3F63272B" w14:textId="4F20144E" w:rsidR="00843449" w:rsidRPr="000D75DD" w:rsidRDefault="00F354B5" w:rsidP="00F354B5">
            <w:pPr>
              <w:rPr>
                <w:rFonts w:ascii="Arial" w:eastAsia="Times New Roman" w:hAnsi="Arial" w:cs="Arial"/>
                <w:sz w:val="16"/>
                <w:szCs w:val="16"/>
                <w:lang w:val="es-CO" w:eastAsia="es-ES"/>
              </w:rPr>
            </w:pPr>
            <w:r w:rsidRPr="00F354B5">
              <w:rPr>
                <w:rFonts w:ascii="Arial" w:eastAsia="Times New Roman" w:hAnsi="Arial" w:cs="Arial"/>
                <w:color w:val="000000" w:themeColor="text1"/>
                <w:sz w:val="16"/>
                <w:szCs w:val="16"/>
                <w:lang w:val="es-ES_tradnl" w:eastAsia="es-ES"/>
              </w:rPr>
              <w:t>Contratista de la Subdirección de Gestión Contractual</w:t>
            </w:r>
          </w:p>
        </w:tc>
      </w:tr>
      <w:tr w:rsidR="00F176B9" w:rsidRPr="000D75DD" w14:paraId="363E18D7" w14:textId="77777777" w:rsidTr="00DE279B">
        <w:trPr>
          <w:trHeight w:val="330"/>
        </w:trPr>
        <w:tc>
          <w:tcPr>
            <w:tcW w:w="812" w:type="dxa"/>
            <w:vAlign w:val="center"/>
            <w:hideMark/>
          </w:tcPr>
          <w:p w14:paraId="5E29D29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5809079" w14:textId="52250CF4" w:rsidR="00843449" w:rsidRPr="000D75DD" w:rsidRDefault="00F354B5"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Alejandro Sarmiento Cantillo</w:t>
            </w:r>
          </w:p>
          <w:p w14:paraId="30332C7A"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Gestor T1-15 de la Subdirección de Gestión Contractual</w:t>
            </w:r>
          </w:p>
        </w:tc>
      </w:tr>
      <w:tr w:rsidR="00F176B9" w:rsidRPr="00F176B9" w14:paraId="4231B1F9" w14:textId="77777777" w:rsidTr="00DE279B">
        <w:trPr>
          <w:trHeight w:val="300"/>
        </w:trPr>
        <w:tc>
          <w:tcPr>
            <w:tcW w:w="812" w:type="dxa"/>
            <w:vAlign w:val="center"/>
            <w:hideMark/>
          </w:tcPr>
          <w:p w14:paraId="074BC5C1"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00EE21D5" w14:textId="77777777" w:rsidR="00843449" w:rsidRPr="000D75DD"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Jorge Augusto Tirado Navarro</w:t>
            </w:r>
          </w:p>
          <w:p w14:paraId="4A949C01" w14:textId="77777777" w:rsidR="00843449" w:rsidRPr="00F176B9" w:rsidRDefault="00843449" w:rsidP="00F176B9">
            <w:pPr>
              <w:rPr>
                <w:rFonts w:ascii="Arial" w:eastAsia="Times New Roman" w:hAnsi="Arial" w:cs="Arial"/>
                <w:sz w:val="16"/>
                <w:szCs w:val="16"/>
                <w:lang w:val="es-CO" w:eastAsia="es-ES"/>
              </w:rPr>
            </w:pPr>
            <w:r w:rsidRPr="000D75DD">
              <w:rPr>
                <w:rFonts w:ascii="Arial" w:eastAsia="Times New Roman" w:hAnsi="Arial" w:cs="Arial"/>
                <w:sz w:val="16"/>
                <w:szCs w:val="16"/>
                <w:lang w:val="es-CO" w:eastAsia="es-ES"/>
              </w:rPr>
              <w:t>Subdirector de Gestión Contractual ANCP – CCE</w:t>
            </w:r>
          </w:p>
        </w:tc>
      </w:tr>
      <w:bookmarkEnd w:id="58"/>
    </w:tbl>
    <w:p w14:paraId="20333B98" w14:textId="77777777" w:rsidR="006674C1" w:rsidRPr="00F176B9" w:rsidRDefault="006674C1" w:rsidP="00F176B9">
      <w:pPr>
        <w:spacing w:after="120"/>
        <w:contextualSpacing/>
        <w:rPr>
          <w:rFonts w:ascii="Arial" w:eastAsia="Calibri" w:hAnsi="Arial" w:cs="Arial"/>
          <w:b/>
          <w:bCs/>
          <w:sz w:val="20"/>
          <w:szCs w:val="20"/>
        </w:rPr>
      </w:pPr>
    </w:p>
    <w:sectPr w:rsidR="006674C1" w:rsidRPr="00F176B9" w:rsidSect="003D603B">
      <w:headerReference w:type="default" r:id="rId13"/>
      <w:footerReference w:type="default" r:id="rId14"/>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197A7" w14:textId="77777777" w:rsidR="00241AB9" w:rsidRDefault="00241AB9">
      <w:r>
        <w:separator/>
      </w:r>
    </w:p>
  </w:endnote>
  <w:endnote w:type="continuationSeparator" w:id="0">
    <w:p w14:paraId="6E55A158" w14:textId="77777777" w:rsidR="00241AB9" w:rsidRDefault="00241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53DF6B5B" w14:textId="77777777"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25744B2D" w14:textId="77777777" w:rsidR="00412132" w:rsidRDefault="00412132" w:rsidP="007B0854">
    <w:pPr>
      <w:pStyle w:val="Piedepgina"/>
      <w:jc w:val="center"/>
      <w:rPr>
        <w:lang w:val="es-ES"/>
      </w:rPr>
    </w:pP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BC200" w14:textId="77777777" w:rsidR="00241AB9" w:rsidRDefault="00241AB9">
      <w:r>
        <w:separator/>
      </w:r>
    </w:p>
  </w:footnote>
  <w:footnote w:type="continuationSeparator" w:id="0">
    <w:p w14:paraId="753884B1" w14:textId="77777777" w:rsidR="00241AB9" w:rsidRDefault="00241AB9">
      <w:r>
        <w:continuationSeparator/>
      </w:r>
    </w:p>
  </w:footnote>
  <w:footnote w:id="1">
    <w:p w14:paraId="4C0976B6" w14:textId="77777777" w:rsidR="00E23B36" w:rsidRPr="0053557D" w:rsidRDefault="00E23B36"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3557D">
        <w:rPr>
          <w:rFonts w:ascii="Arial" w:hAnsi="Arial" w:cs="Arial"/>
          <w:i/>
          <w:iCs/>
          <w:sz w:val="19"/>
          <w:szCs w:val="19"/>
        </w:rPr>
        <w:t xml:space="preserve">ibidem </w:t>
      </w:r>
      <w:r w:rsidRPr="0053557D">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DEAC599" w14:textId="5881580C" w:rsidR="00E008F1" w:rsidRPr="0053557D" w:rsidRDefault="00E008F1"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El artículo 127 de la Consti</w:t>
      </w:r>
      <w:r w:rsidR="00296D38" w:rsidRPr="0053557D">
        <w:rPr>
          <w:rFonts w:ascii="Arial" w:hAnsi="Arial" w:cs="Arial"/>
          <w:sz w:val="19"/>
          <w:szCs w:val="19"/>
        </w:rPr>
        <w:t>tu</w:t>
      </w:r>
      <w:r w:rsidRPr="0053557D">
        <w:rPr>
          <w:rFonts w:ascii="Arial" w:hAnsi="Arial" w:cs="Arial"/>
          <w:sz w:val="19"/>
          <w:szCs w:val="19"/>
        </w:rPr>
        <w:t>ción Política señala:</w:t>
      </w:r>
      <w:r w:rsidR="00F555DB" w:rsidRPr="0053557D">
        <w:rPr>
          <w:rFonts w:ascii="Arial" w:hAnsi="Arial" w:cs="Arial"/>
          <w:sz w:val="19"/>
          <w:szCs w:val="19"/>
        </w:rPr>
        <w:t xml:space="preserve"> </w:t>
      </w:r>
      <w:r w:rsidRPr="0053557D">
        <w:rPr>
          <w:rFonts w:ascii="Arial" w:hAnsi="Arial" w:cs="Arial"/>
          <w:sz w:val="19"/>
          <w:szCs w:val="19"/>
        </w:rPr>
        <w:t xml:space="preserve">«Los servidores públicos no podrán celebrar, por si o por interpuesta persona, o en representación de otro, contrato alguno con entidades </w:t>
      </w:r>
      <w:r w:rsidR="00F27A52" w:rsidRPr="0053557D">
        <w:rPr>
          <w:rFonts w:ascii="Arial" w:hAnsi="Arial" w:cs="Arial"/>
          <w:sz w:val="19"/>
          <w:szCs w:val="19"/>
        </w:rPr>
        <w:t>públicas</w:t>
      </w:r>
      <w:r w:rsidRPr="0053557D">
        <w:rPr>
          <w:rFonts w:ascii="Arial" w:hAnsi="Arial" w:cs="Arial"/>
          <w:sz w:val="19"/>
          <w:szCs w:val="19"/>
        </w:rPr>
        <w:t xml:space="preserve"> o con personas privadas que manejen o administren recursos públicos, salvo las excepciones legales. </w:t>
      </w:r>
    </w:p>
    <w:p w14:paraId="4525A19C" w14:textId="41209B97" w:rsidR="00E008F1" w:rsidRPr="0053557D" w:rsidRDefault="00A923B7" w:rsidP="002C0DF9">
      <w:pPr>
        <w:pStyle w:val="Textonotapie"/>
        <w:spacing w:after="0" w:line="240" w:lineRule="auto"/>
        <w:ind w:firstLine="709"/>
        <w:rPr>
          <w:rFonts w:ascii="Arial" w:hAnsi="Arial" w:cs="Arial"/>
          <w:sz w:val="19"/>
          <w:szCs w:val="19"/>
        </w:rPr>
      </w:pPr>
      <w:r w:rsidRPr="0053557D">
        <w:rPr>
          <w:rFonts w:ascii="Arial" w:hAnsi="Arial" w:cs="Arial"/>
          <w:sz w:val="19"/>
          <w:szCs w:val="19"/>
        </w:rPr>
        <w:t>»A</w:t>
      </w:r>
      <w:r w:rsidR="00E008F1" w:rsidRPr="0053557D">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w:t>
      </w:r>
      <w:r w:rsidRPr="0053557D">
        <w:rPr>
          <w:rFonts w:ascii="Arial" w:hAnsi="Arial" w:cs="Arial"/>
          <w:sz w:val="19"/>
          <w:szCs w:val="19"/>
        </w:rPr>
        <w:t>Constitución.</w:t>
      </w:r>
      <w:r w:rsidR="00F91CA6" w:rsidRPr="0053557D">
        <w:rPr>
          <w:rFonts w:ascii="Arial" w:hAnsi="Arial" w:cs="Arial"/>
          <w:sz w:val="19"/>
          <w:szCs w:val="19"/>
        </w:rPr>
        <w:t xml:space="preserve"> </w:t>
      </w:r>
      <w:r w:rsidRPr="0053557D">
        <w:rPr>
          <w:rFonts w:ascii="Arial" w:hAnsi="Arial" w:cs="Arial"/>
          <w:sz w:val="19"/>
          <w:szCs w:val="19"/>
        </w:rPr>
        <w:t>Los</w:t>
      </w:r>
      <w:r w:rsidR="00E008F1" w:rsidRPr="0053557D">
        <w:rPr>
          <w:rFonts w:ascii="Arial" w:hAnsi="Arial" w:cs="Arial"/>
          <w:sz w:val="19"/>
          <w:szCs w:val="19"/>
        </w:rPr>
        <w:t xml:space="preserve"> empleados no contemplados en esta prohibición solo podrán participar en dichas actividades y controversias en las condicione</w:t>
      </w:r>
      <w:r w:rsidR="00296D38" w:rsidRPr="0053557D">
        <w:rPr>
          <w:rFonts w:ascii="Arial" w:hAnsi="Arial" w:cs="Arial"/>
          <w:sz w:val="19"/>
          <w:szCs w:val="19"/>
        </w:rPr>
        <w:t>s que señale la Ley Estatutaria</w:t>
      </w:r>
      <w:r w:rsidR="00E008F1" w:rsidRPr="0053557D">
        <w:rPr>
          <w:rFonts w:ascii="Arial" w:hAnsi="Arial" w:cs="Arial"/>
          <w:sz w:val="19"/>
          <w:szCs w:val="19"/>
        </w:rPr>
        <w:t>».</w:t>
      </w:r>
    </w:p>
    <w:p w14:paraId="1AFDC93F" w14:textId="77777777" w:rsidR="006A049D" w:rsidRPr="0053557D" w:rsidRDefault="006A049D" w:rsidP="002C0DF9">
      <w:pPr>
        <w:pStyle w:val="Textonotapie"/>
        <w:spacing w:after="0" w:line="240" w:lineRule="auto"/>
        <w:ind w:firstLine="709"/>
        <w:rPr>
          <w:rFonts w:ascii="Arial" w:hAnsi="Arial" w:cs="Arial"/>
          <w:sz w:val="19"/>
          <w:szCs w:val="19"/>
        </w:rPr>
      </w:pPr>
    </w:p>
  </w:footnote>
  <w:footnote w:id="3">
    <w:p w14:paraId="5CECD26A" w14:textId="07594946" w:rsidR="006A049D" w:rsidRPr="0053557D" w:rsidRDefault="007A1418"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Gaceta del Congreso de la República No. 71 del 2005.</w:t>
      </w:r>
    </w:p>
  </w:footnote>
  <w:footnote w:id="4">
    <w:p w14:paraId="2D822DE1" w14:textId="0E5F69FA" w:rsidR="009F3083" w:rsidRPr="00A50995" w:rsidRDefault="009F3083" w:rsidP="002C0DF9">
      <w:pPr>
        <w:pStyle w:val="Textonotapie"/>
        <w:spacing w:after="0" w:line="240" w:lineRule="auto"/>
        <w:ind w:firstLine="709"/>
        <w:rPr>
          <w:rFonts w:ascii="Arial" w:hAnsi="Arial" w:cs="Arial"/>
          <w:sz w:val="19"/>
          <w:szCs w:val="19"/>
          <w:lang w:val="pt-BR"/>
          <w:rPrChange w:id="14" w:author="María Claudia de la Ossa Bobadilla" w:date="2022-05-24T11:36:00Z">
            <w:rPr>
              <w:rFonts w:ascii="Arial" w:hAnsi="Arial" w:cs="Arial"/>
              <w:sz w:val="19"/>
              <w:szCs w:val="19"/>
            </w:rPr>
          </w:rPrChange>
        </w:rPr>
      </w:pPr>
      <w:r w:rsidRPr="0053557D">
        <w:rPr>
          <w:rStyle w:val="Refdenotaalpie"/>
          <w:rFonts w:ascii="Arial" w:hAnsi="Arial" w:cs="Arial"/>
          <w:sz w:val="19"/>
          <w:szCs w:val="19"/>
        </w:rPr>
        <w:footnoteRef/>
      </w:r>
      <w:r w:rsidRPr="00A50995">
        <w:rPr>
          <w:rFonts w:ascii="Arial" w:hAnsi="Arial" w:cs="Arial"/>
          <w:sz w:val="19"/>
          <w:szCs w:val="19"/>
          <w:lang w:val="pt-BR"/>
          <w:rPrChange w:id="15" w:author="María Claudia de la Ossa Bobadilla" w:date="2022-05-24T11:36:00Z">
            <w:rPr>
              <w:rFonts w:ascii="Arial" w:hAnsi="Arial" w:cs="Arial"/>
              <w:sz w:val="19"/>
              <w:szCs w:val="19"/>
            </w:rPr>
          </w:rPrChange>
        </w:rPr>
        <w:t xml:space="preserve"> </w:t>
      </w:r>
      <w:r w:rsidRPr="00A50995">
        <w:rPr>
          <w:rFonts w:ascii="Arial" w:hAnsi="Arial" w:cs="Arial"/>
          <w:sz w:val="19"/>
          <w:szCs w:val="19"/>
          <w:lang w:val="pt-BR"/>
          <w:rPrChange w:id="16" w:author="María Claudia de la Ossa Bobadilla" w:date="2022-05-24T11:36:00Z">
            <w:rPr>
              <w:rFonts w:ascii="Arial" w:hAnsi="Arial" w:cs="Arial"/>
              <w:sz w:val="19"/>
              <w:szCs w:val="19"/>
            </w:rPr>
          </w:rPrChange>
        </w:rPr>
        <w:t>Corte Constitucional, Sentencia C- 1153 de 2005, M.P. Marco Gerardo Monroy Cabra.</w:t>
      </w:r>
    </w:p>
    <w:p w14:paraId="7D716552" w14:textId="77777777" w:rsidR="008F7353" w:rsidRPr="00A50995" w:rsidRDefault="008F7353" w:rsidP="002C0DF9">
      <w:pPr>
        <w:pStyle w:val="Textonotapie"/>
        <w:spacing w:after="0" w:line="240" w:lineRule="auto"/>
        <w:ind w:firstLine="709"/>
        <w:rPr>
          <w:rFonts w:ascii="Arial" w:hAnsi="Arial" w:cs="Arial"/>
          <w:sz w:val="19"/>
          <w:szCs w:val="19"/>
          <w:lang w:val="pt-BR"/>
          <w:rPrChange w:id="17" w:author="María Claudia de la Ossa Bobadilla" w:date="2022-05-24T11:36:00Z">
            <w:rPr>
              <w:rFonts w:ascii="Arial" w:hAnsi="Arial" w:cs="Arial"/>
              <w:sz w:val="19"/>
              <w:szCs w:val="19"/>
            </w:rPr>
          </w:rPrChange>
        </w:rPr>
      </w:pPr>
    </w:p>
  </w:footnote>
  <w:footnote w:id="5">
    <w:p w14:paraId="16C8143B" w14:textId="679AA930" w:rsidR="0062127B" w:rsidRPr="00A50995" w:rsidRDefault="001F55B5" w:rsidP="002C0DF9">
      <w:pPr>
        <w:pStyle w:val="Textonotapie"/>
        <w:spacing w:after="0" w:line="240" w:lineRule="auto"/>
        <w:ind w:firstLine="709"/>
        <w:rPr>
          <w:rFonts w:ascii="Arial" w:hAnsi="Arial" w:cs="Arial"/>
          <w:sz w:val="19"/>
          <w:szCs w:val="19"/>
          <w:lang w:val="pt-BR"/>
          <w:rPrChange w:id="19" w:author="María Claudia de la Ossa Bobadilla" w:date="2022-05-24T11:36:00Z">
            <w:rPr>
              <w:rFonts w:ascii="Arial" w:hAnsi="Arial" w:cs="Arial"/>
              <w:sz w:val="19"/>
              <w:szCs w:val="19"/>
            </w:rPr>
          </w:rPrChange>
        </w:rPr>
      </w:pPr>
      <w:r w:rsidRPr="0053557D">
        <w:rPr>
          <w:rStyle w:val="Refdenotaalpie"/>
          <w:rFonts w:ascii="Arial" w:hAnsi="Arial" w:cs="Arial"/>
          <w:sz w:val="19"/>
          <w:szCs w:val="19"/>
        </w:rPr>
        <w:footnoteRef/>
      </w:r>
      <w:r w:rsidRPr="00A50995">
        <w:rPr>
          <w:rFonts w:ascii="Arial" w:hAnsi="Arial" w:cs="Arial"/>
          <w:sz w:val="19"/>
          <w:szCs w:val="19"/>
          <w:lang w:val="pt-BR"/>
          <w:rPrChange w:id="20" w:author="María Claudia de la Ossa Bobadilla" w:date="2022-05-24T11:36:00Z">
            <w:rPr>
              <w:rFonts w:ascii="Arial" w:hAnsi="Arial" w:cs="Arial"/>
              <w:sz w:val="19"/>
              <w:szCs w:val="19"/>
            </w:rPr>
          </w:rPrChange>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335992BF" w14:textId="77777777" w:rsidR="008F7353" w:rsidRPr="00A50995" w:rsidRDefault="008F7353" w:rsidP="002C0DF9">
      <w:pPr>
        <w:pStyle w:val="Textonotapie"/>
        <w:spacing w:after="0" w:line="240" w:lineRule="auto"/>
        <w:ind w:firstLine="709"/>
        <w:rPr>
          <w:rFonts w:ascii="Arial" w:hAnsi="Arial" w:cs="Arial"/>
          <w:sz w:val="19"/>
          <w:szCs w:val="19"/>
          <w:lang w:val="pt-BR"/>
          <w:rPrChange w:id="21" w:author="María Claudia de la Ossa Bobadilla" w:date="2022-05-24T11:36:00Z">
            <w:rPr>
              <w:rFonts w:ascii="Arial" w:hAnsi="Arial" w:cs="Arial"/>
              <w:sz w:val="19"/>
              <w:szCs w:val="19"/>
            </w:rPr>
          </w:rPrChange>
        </w:rPr>
      </w:pPr>
    </w:p>
  </w:footnote>
  <w:footnote w:id="6">
    <w:p w14:paraId="2D123305" w14:textId="4B9F4DBA" w:rsidR="0062127B" w:rsidRPr="0053557D" w:rsidRDefault="001F55B5" w:rsidP="007B78B9">
      <w:pPr>
        <w:pStyle w:val="Textonotapie"/>
        <w:spacing w:after="0" w:line="240" w:lineRule="auto"/>
        <w:ind w:firstLine="708"/>
        <w:rPr>
          <w:rFonts w:ascii="Arial" w:hAnsi="Arial" w:cs="Arial"/>
          <w:sz w:val="19"/>
          <w:szCs w:val="19"/>
          <w:lang w:val="es-CO"/>
        </w:rPr>
      </w:pPr>
      <w:r w:rsidRPr="0053557D">
        <w:rPr>
          <w:rStyle w:val="Refdenotaalpie"/>
          <w:rFonts w:ascii="Arial" w:hAnsi="Arial" w:cs="Arial"/>
          <w:sz w:val="19"/>
          <w:szCs w:val="19"/>
        </w:rPr>
        <w:footnoteRef/>
      </w:r>
      <w:r w:rsidRPr="0053557D">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2614DC70" w14:textId="02490243" w:rsidR="00D626A3" w:rsidRDefault="00883662"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 xml:space="preserve">Consejo de Estado, Sala de Consulta y Servicio Civil de </w:t>
      </w:r>
      <w:r w:rsidR="00A923B7" w:rsidRPr="0053557D">
        <w:rPr>
          <w:rFonts w:ascii="Arial" w:hAnsi="Arial" w:cs="Arial"/>
          <w:sz w:val="19"/>
          <w:szCs w:val="19"/>
        </w:rPr>
        <w:t>fecha 24</w:t>
      </w:r>
      <w:r w:rsidRPr="0053557D">
        <w:rPr>
          <w:rFonts w:ascii="Arial" w:hAnsi="Arial" w:cs="Arial"/>
          <w:sz w:val="19"/>
          <w:szCs w:val="19"/>
        </w:rPr>
        <w:t xml:space="preserve"> de julio de 2013, radicado 2166, Consejero Ponente</w:t>
      </w:r>
      <w:r w:rsidR="00C579C6" w:rsidRPr="0053557D">
        <w:rPr>
          <w:rFonts w:ascii="Arial" w:hAnsi="Arial" w:cs="Arial"/>
          <w:sz w:val="19"/>
          <w:szCs w:val="19"/>
        </w:rPr>
        <w:t>:</w:t>
      </w:r>
      <w:r w:rsidRPr="0053557D">
        <w:rPr>
          <w:rFonts w:ascii="Arial" w:hAnsi="Arial" w:cs="Arial"/>
          <w:sz w:val="19"/>
          <w:szCs w:val="19"/>
        </w:rPr>
        <w:t xml:space="preserve"> Álvaro Namén Vargas.  </w:t>
      </w:r>
    </w:p>
    <w:p w14:paraId="45E88767" w14:textId="77777777" w:rsidR="008F7353" w:rsidRPr="0053557D" w:rsidRDefault="008F7353" w:rsidP="002C0DF9">
      <w:pPr>
        <w:pStyle w:val="Textonotapie"/>
        <w:spacing w:after="0" w:line="240" w:lineRule="auto"/>
        <w:ind w:firstLine="709"/>
        <w:rPr>
          <w:rFonts w:ascii="Arial" w:hAnsi="Arial" w:cs="Arial"/>
          <w:sz w:val="19"/>
          <w:szCs w:val="19"/>
        </w:rPr>
      </w:pPr>
    </w:p>
  </w:footnote>
  <w:footnote w:id="8">
    <w:p w14:paraId="775A205E" w14:textId="77777777" w:rsidR="0022085C" w:rsidRPr="0053557D" w:rsidRDefault="0022085C" w:rsidP="002C0DF9">
      <w:pPr>
        <w:spacing w:after="0" w:line="240" w:lineRule="auto"/>
        <w:ind w:firstLine="709"/>
        <w:rPr>
          <w:rFonts w:ascii="Arial" w:eastAsia="Times New Roman"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23" w:name="33"/>
      <w:r w:rsidRPr="0053557D">
        <w:rPr>
          <w:rFonts w:ascii="Arial" w:eastAsia="Calibri" w:hAnsi="Arial" w:cs="Arial"/>
          <w:bCs/>
          <w:color w:val="000000"/>
          <w:sz w:val="19"/>
          <w:szCs w:val="19"/>
        </w:rPr>
        <w:t>«</w:t>
      </w:r>
      <w:r w:rsidRPr="0053557D">
        <w:rPr>
          <w:rFonts w:ascii="Arial" w:eastAsia="Times New Roman" w:hAnsi="Arial" w:cs="Arial"/>
          <w:sz w:val="19"/>
          <w:szCs w:val="19"/>
        </w:rPr>
        <w:t>Artículo 33. Restricciones a la contratación pública.</w:t>
      </w:r>
      <w:bookmarkEnd w:id="23"/>
      <w:r w:rsidRPr="0053557D">
        <w:rPr>
          <w:rFonts w:ascii="Arial" w:eastAsia="Times New Roman"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1684A472" w14:textId="7B3DD877" w:rsidR="0022085C" w:rsidRPr="0053557D" w:rsidRDefault="00A923B7" w:rsidP="002C0DF9">
      <w:pPr>
        <w:spacing w:after="0" w:line="240" w:lineRule="auto"/>
        <w:ind w:firstLine="709"/>
        <w:rPr>
          <w:rFonts w:ascii="Arial" w:eastAsia="Times New Roman" w:hAnsi="Arial" w:cs="Arial"/>
          <w:sz w:val="19"/>
          <w:szCs w:val="19"/>
        </w:rPr>
      </w:pPr>
      <w:r w:rsidRPr="0053557D">
        <w:rPr>
          <w:rFonts w:ascii="Arial" w:eastAsia="Calibri" w:hAnsi="Arial" w:cs="Arial"/>
          <w:bCs/>
          <w:color w:val="000000"/>
          <w:sz w:val="19"/>
          <w:szCs w:val="19"/>
        </w:rPr>
        <w:t>»</w:t>
      </w:r>
      <w:r w:rsidRPr="0053557D">
        <w:rPr>
          <w:rFonts w:ascii="Arial" w:eastAsia="Times New Roman" w:hAnsi="Arial" w:cs="Arial"/>
          <w:sz w:val="19"/>
          <w:szCs w:val="19"/>
        </w:rPr>
        <w:t xml:space="preserve"> Queda</w:t>
      </w:r>
      <w:r w:rsidR="0022085C" w:rsidRPr="0053557D">
        <w:rPr>
          <w:rFonts w:ascii="Arial" w:eastAsia="Times New Roman" w:hAnsi="Arial" w:cs="Arial"/>
          <w:sz w:val="19"/>
          <w:szCs w:val="19"/>
        </w:rPr>
        <w:t xml:space="preserve">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085C" w:rsidRPr="0053557D">
        <w:rPr>
          <w:rFonts w:ascii="Arial" w:eastAsia="Calibri" w:hAnsi="Arial" w:cs="Arial"/>
          <w:bCs/>
          <w:color w:val="000000"/>
          <w:sz w:val="19"/>
          <w:szCs w:val="19"/>
        </w:rPr>
        <w:t>»</w:t>
      </w:r>
      <w:r w:rsidR="0022085C" w:rsidRPr="0053557D">
        <w:rPr>
          <w:rFonts w:ascii="Arial" w:eastAsia="Times New Roman" w:hAnsi="Arial" w:cs="Arial"/>
          <w:sz w:val="19"/>
          <w:szCs w:val="19"/>
        </w:rPr>
        <w:t>.</w:t>
      </w:r>
    </w:p>
  </w:footnote>
  <w:footnote w:id="9">
    <w:p w14:paraId="79A56581" w14:textId="77777777" w:rsidR="0022085C" w:rsidRPr="0053557D" w:rsidRDefault="0022085C" w:rsidP="002C0DF9">
      <w:pPr>
        <w:pStyle w:val="NormalWeb"/>
        <w:spacing w:before="0" w:beforeAutospacing="0" w:after="0" w:afterAutospacing="0" w:line="240" w:lineRule="auto"/>
        <w:ind w:firstLine="709"/>
        <w:rPr>
          <w:rFonts w:ascii="Arial" w:hAnsi="Arial" w:cs="Arial"/>
          <w:sz w:val="19"/>
          <w:szCs w:val="19"/>
          <w:lang w:val="es-MX"/>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24" w:name="38"/>
      <w:r w:rsidRPr="0053557D">
        <w:rPr>
          <w:rFonts w:ascii="Arial" w:eastAsia="Calibri" w:hAnsi="Arial" w:cs="Arial"/>
          <w:bCs/>
          <w:color w:val="000000"/>
          <w:sz w:val="19"/>
          <w:szCs w:val="19"/>
        </w:rPr>
        <w:t>«</w:t>
      </w:r>
      <w:r w:rsidRPr="0053557D">
        <w:rPr>
          <w:rFonts w:ascii="Arial" w:hAnsi="Arial" w:cs="Arial"/>
          <w:sz w:val="19"/>
          <w:szCs w:val="19"/>
          <w:lang w:val="es-MX"/>
        </w:rPr>
        <w:t>Artículo 38. Prohibiciones para los servidores públicos. A los empleados del Estado les está prohibido:</w:t>
      </w:r>
      <w:bookmarkEnd w:id="24"/>
    </w:p>
    <w:p w14:paraId="5933F9A0" w14:textId="77777777" w:rsidR="0022085C" w:rsidRPr="0053557D" w:rsidRDefault="0022085C" w:rsidP="002C0DF9">
      <w:pPr>
        <w:pStyle w:val="NormalWeb"/>
        <w:spacing w:before="0" w:beforeAutospacing="0" w:after="0" w:afterAutospacing="0" w:line="240" w:lineRule="auto"/>
        <w:ind w:firstLine="709"/>
        <w:rPr>
          <w:rFonts w:ascii="Arial" w:hAnsi="Arial" w:cs="Arial"/>
          <w:sz w:val="19"/>
          <w:szCs w:val="19"/>
          <w:lang w:val="es-MX"/>
        </w:rPr>
      </w:pPr>
      <w:r w:rsidRPr="0053557D">
        <w:rPr>
          <w:rFonts w:ascii="Arial" w:eastAsia="Calibri" w:hAnsi="Arial" w:cs="Arial"/>
          <w:bCs/>
          <w:color w:val="000000"/>
          <w:sz w:val="19"/>
          <w:szCs w:val="19"/>
        </w:rPr>
        <w:t>»</w:t>
      </w:r>
      <w:r w:rsidRPr="0053557D">
        <w:rPr>
          <w:rFonts w:ascii="Arial" w:hAnsi="Arial" w:cs="Arial"/>
          <w:sz w:val="19"/>
          <w:szCs w:val="19"/>
          <w:lang w:val="es-MX"/>
        </w:rPr>
        <w:t xml:space="preserve"> […]</w:t>
      </w:r>
    </w:p>
    <w:p w14:paraId="2231133F" w14:textId="61E1831F" w:rsidR="0022085C" w:rsidRDefault="00A923B7" w:rsidP="002C0DF9">
      <w:pPr>
        <w:pStyle w:val="NormalWeb"/>
        <w:spacing w:before="0" w:beforeAutospacing="0" w:after="0" w:afterAutospacing="0" w:line="240" w:lineRule="auto"/>
        <w:ind w:firstLine="709"/>
        <w:rPr>
          <w:rFonts w:ascii="Arial" w:hAnsi="Arial" w:cs="Arial"/>
          <w:sz w:val="19"/>
          <w:szCs w:val="19"/>
          <w:lang w:val="es-MX"/>
        </w:rPr>
      </w:pPr>
      <w:r w:rsidRPr="0053557D">
        <w:rPr>
          <w:rFonts w:ascii="Arial" w:eastAsia="Calibri" w:hAnsi="Arial" w:cs="Arial"/>
          <w:bCs/>
          <w:color w:val="000000"/>
          <w:sz w:val="19"/>
          <w:szCs w:val="19"/>
        </w:rPr>
        <w:t>»</w:t>
      </w:r>
      <w:r w:rsidRPr="0053557D">
        <w:rPr>
          <w:rStyle w:val="baj"/>
          <w:rFonts w:ascii="Arial" w:hAnsi="Arial" w:cs="Arial"/>
          <w:sz w:val="19"/>
          <w:szCs w:val="19"/>
          <w:lang w:val="es-MX"/>
        </w:rPr>
        <w:t xml:space="preserve"> Parágrafo</w:t>
      </w:r>
      <w:r w:rsidR="0022085C" w:rsidRPr="0053557D">
        <w:rPr>
          <w:rStyle w:val="baj"/>
          <w:rFonts w:ascii="Arial" w:hAnsi="Arial" w:cs="Arial"/>
          <w:sz w:val="19"/>
          <w:szCs w:val="19"/>
          <w:lang w:val="es-MX"/>
        </w:rPr>
        <w:t>.</w:t>
      </w:r>
      <w:r w:rsidR="0022085C" w:rsidRPr="0053557D">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0022085C" w:rsidRPr="0053557D">
        <w:rPr>
          <w:rFonts w:ascii="Arial" w:eastAsia="Calibri" w:hAnsi="Arial" w:cs="Arial"/>
          <w:bCs/>
          <w:color w:val="000000"/>
          <w:sz w:val="19"/>
          <w:szCs w:val="19"/>
        </w:rPr>
        <w:t>»</w:t>
      </w:r>
      <w:r w:rsidR="0022085C" w:rsidRPr="0053557D">
        <w:rPr>
          <w:rFonts w:ascii="Arial" w:hAnsi="Arial" w:cs="Arial"/>
          <w:sz w:val="19"/>
          <w:szCs w:val="19"/>
          <w:lang w:val="es-MX"/>
        </w:rPr>
        <w:t>.</w:t>
      </w:r>
    </w:p>
    <w:p w14:paraId="23702550" w14:textId="77777777" w:rsidR="008F7353" w:rsidRPr="0053557D" w:rsidRDefault="008F7353" w:rsidP="002C0DF9">
      <w:pPr>
        <w:pStyle w:val="NormalWeb"/>
        <w:spacing w:before="0" w:beforeAutospacing="0" w:after="0" w:afterAutospacing="0" w:line="240" w:lineRule="auto"/>
        <w:ind w:firstLine="709"/>
        <w:rPr>
          <w:rFonts w:ascii="Arial" w:hAnsi="Arial" w:cs="Arial"/>
          <w:sz w:val="19"/>
          <w:szCs w:val="19"/>
          <w:lang w:val="es-MX"/>
        </w:rPr>
      </w:pPr>
    </w:p>
  </w:footnote>
  <w:footnote w:id="10">
    <w:p w14:paraId="7BDEC286" w14:textId="0D4AB978" w:rsidR="0022085C" w:rsidRPr="0053557D" w:rsidRDefault="0022085C" w:rsidP="002C0DF9">
      <w:pPr>
        <w:spacing w:after="0" w:line="240" w:lineRule="auto"/>
        <w:ind w:left="100" w:right="244"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Consejo de Estado. Sala de Consulta y Servicio Civil. Concepto del 17 de febrero de 2015. C.P. William Zambrano Cetina. Radicación No. 11001-03-06-000-2015-00164-00(2269).</w:t>
      </w:r>
    </w:p>
  </w:footnote>
  <w:footnote w:id="11">
    <w:p w14:paraId="413E2E84" w14:textId="2749775D" w:rsidR="000E33BC" w:rsidRPr="0053557D" w:rsidRDefault="00DB61B2"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30" w:name="_Hlk74272731"/>
      <w:r w:rsidRPr="0053557D">
        <w:rPr>
          <w:rFonts w:ascii="Arial" w:hAnsi="Arial" w:cs="Arial"/>
          <w:sz w:val="19"/>
          <w:szCs w:val="19"/>
        </w:rPr>
        <w:t>«</w:t>
      </w:r>
      <w:bookmarkEnd w:id="30"/>
      <w:r w:rsidRPr="0053557D">
        <w:rPr>
          <w:rFonts w:ascii="Arial" w:hAnsi="Arial" w:cs="Arial"/>
          <w:sz w:val="19"/>
          <w:szCs w:val="19"/>
          <w:lang w:val="es-ES"/>
        </w:rPr>
        <w:t xml:space="preserve">[25] </w:t>
      </w:r>
      <w:r w:rsidRPr="0053557D">
        <w:rPr>
          <w:rFonts w:ascii="Arial" w:hAnsi="Arial" w:cs="Arial"/>
          <w:sz w:val="19"/>
          <w:szCs w:val="19"/>
        </w:rPr>
        <w:t>Cfr. Consejo de Estado. Sección Tercera. Sentencia de 3 de diciembre de 2007. Radicados: 24.715, 25.206, 25.409, 24.524, 27.834, 25.410, 26.105, 28.244, 31.447 -acumulados-</w:t>
      </w:r>
      <w:bookmarkStart w:id="31" w:name="_Hlk74271358"/>
      <w:r w:rsidRPr="0053557D">
        <w:rPr>
          <w:rFonts w:ascii="Arial" w:hAnsi="Arial" w:cs="Arial"/>
          <w:sz w:val="19"/>
          <w:szCs w:val="19"/>
        </w:rPr>
        <w:t>»</w:t>
      </w:r>
      <w:bookmarkEnd w:id="31"/>
      <w:r w:rsidRPr="0053557D">
        <w:rPr>
          <w:rFonts w:ascii="Arial" w:hAnsi="Arial" w:cs="Arial"/>
          <w:sz w:val="19"/>
          <w:szCs w:val="19"/>
        </w:rPr>
        <w:t>.</w:t>
      </w:r>
    </w:p>
  </w:footnote>
  <w:footnote w:id="12">
    <w:p w14:paraId="4285AEFA" w14:textId="11ACFA40" w:rsidR="000E33BC" w:rsidRDefault="00DB61B2"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33" w:name="_Hlk74294506"/>
      <w:r w:rsidRPr="0053557D">
        <w:rPr>
          <w:rFonts w:ascii="Arial" w:hAnsi="Arial" w:cs="Arial"/>
          <w:sz w:val="19"/>
          <w:szCs w:val="19"/>
        </w:rPr>
        <w:t>«</w:t>
      </w:r>
      <w:r w:rsidRPr="0053557D">
        <w:rPr>
          <w:rFonts w:ascii="Arial" w:hAnsi="Arial" w:cs="Arial"/>
          <w:sz w:val="19"/>
          <w:szCs w:val="19"/>
          <w:lang w:val="es-ES"/>
        </w:rPr>
        <w:t xml:space="preserve">[26] </w:t>
      </w:r>
      <w:bookmarkEnd w:id="33"/>
      <w:r w:rsidRPr="0053557D">
        <w:rPr>
          <w:rFonts w:ascii="Arial" w:hAnsi="Arial" w:cs="Arial"/>
          <w:sz w:val="19"/>
          <w:szCs w:val="19"/>
        </w:rPr>
        <w:t>Al respecto ver el concepto 1712 de 2 de febrero de 2006. Consejo de Estado Sala de Consulta y Servicio Civil».</w:t>
      </w:r>
    </w:p>
    <w:p w14:paraId="3409165C" w14:textId="77777777" w:rsidR="008F7353" w:rsidRPr="0053557D" w:rsidRDefault="008F7353" w:rsidP="002C0DF9">
      <w:pPr>
        <w:pStyle w:val="Textonotapie"/>
        <w:spacing w:after="0" w:line="240" w:lineRule="auto"/>
        <w:ind w:right="51" w:firstLine="709"/>
        <w:rPr>
          <w:rFonts w:ascii="Arial" w:hAnsi="Arial" w:cs="Arial"/>
          <w:sz w:val="19"/>
          <w:szCs w:val="19"/>
        </w:rPr>
      </w:pPr>
    </w:p>
  </w:footnote>
  <w:footnote w:id="13">
    <w:p w14:paraId="38B6337A" w14:textId="77777777" w:rsidR="007701D9" w:rsidRPr="0053557D" w:rsidRDefault="007701D9"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Consejo de Estado. Sala de Consulta y Servicio Civil. Concepto del 2 de septiembre de 2013. Radicación número: 11001-03-06-000-2013-00412-00 (2168). Consejero Ponente: Álvaro Namén Vargas.</w:t>
      </w:r>
    </w:p>
  </w:footnote>
  <w:footnote w:id="14">
    <w:p w14:paraId="363D7EE6" w14:textId="77777777" w:rsidR="008F7353" w:rsidRDefault="008F7353" w:rsidP="002C0DF9">
      <w:pPr>
        <w:pStyle w:val="Textonotapie"/>
        <w:spacing w:after="0" w:line="240" w:lineRule="auto"/>
        <w:ind w:firstLine="709"/>
        <w:rPr>
          <w:rFonts w:ascii="Arial" w:hAnsi="Arial" w:cs="Arial"/>
          <w:sz w:val="19"/>
          <w:szCs w:val="19"/>
        </w:rPr>
      </w:pPr>
    </w:p>
    <w:p w14:paraId="3390695E" w14:textId="5B17AC65" w:rsidR="000E33BC" w:rsidRPr="0053557D" w:rsidRDefault="00DB61B2"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lang w:val="es-ES"/>
        </w:rPr>
        <w:t xml:space="preserve">Artículo 2. </w:t>
      </w:r>
    </w:p>
  </w:footnote>
  <w:footnote w:id="15">
    <w:p w14:paraId="772C162F" w14:textId="77777777" w:rsidR="008F7353" w:rsidRDefault="008F7353" w:rsidP="002C0DF9">
      <w:pPr>
        <w:pStyle w:val="Textonotapie"/>
        <w:spacing w:after="0" w:line="240" w:lineRule="auto"/>
        <w:ind w:firstLine="709"/>
        <w:rPr>
          <w:rFonts w:ascii="Arial" w:hAnsi="Arial" w:cs="Arial"/>
          <w:sz w:val="19"/>
          <w:szCs w:val="19"/>
        </w:rPr>
      </w:pPr>
    </w:p>
    <w:p w14:paraId="63F8641B" w14:textId="45C379FF" w:rsidR="000E33BC" w:rsidRPr="0053557D" w:rsidRDefault="00DB61B2"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i/>
          <w:sz w:val="19"/>
          <w:szCs w:val="19"/>
          <w:lang w:val="es-ES"/>
        </w:rPr>
        <w:t>Ídem</w:t>
      </w:r>
      <w:r w:rsidRPr="0053557D">
        <w:rPr>
          <w:rFonts w:ascii="Arial" w:hAnsi="Arial" w:cs="Arial"/>
          <w:sz w:val="19"/>
          <w:szCs w:val="19"/>
          <w:lang w:val="es-ES"/>
        </w:rPr>
        <w:t>.</w:t>
      </w:r>
    </w:p>
  </w:footnote>
  <w:footnote w:id="16">
    <w:p w14:paraId="6ECC295A" w14:textId="77777777" w:rsidR="008F7353" w:rsidRDefault="008F7353" w:rsidP="002C0DF9">
      <w:pPr>
        <w:pStyle w:val="Textonotapie"/>
        <w:spacing w:after="0" w:line="240" w:lineRule="auto"/>
        <w:ind w:firstLine="709"/>
        <w:rPr>
          <w:rFonts w:ascii="Arial" w:hAnsi="Arial" w:cs="Arial"/>
          <w:sz w:val="19"/>
          <w:szCs w:val="19"/>
        </w:rPr>
      </w:pPr>
    </w:p>
    <w:p w14:paraId="726E5571" w14:textId="715BEE26" w:rsidR="000E33BC" w:rsidRPr="0053557D" w:rsidRDefault="00DB61B2" w:rsidP="002C0DF9">
      <w:pPr>
        <w:pStyle w:val="Textonotapie"/>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Style w:val="Refdenotaalpie"/>
          <w:rFonts w:ascii="Arial" w:hAnsi="Arial" w:cs="Arial"/>
          <w:sz w:val="19"/>
          <w:szCs w:val="19"/>
        </w:rPr>
        <w:t xml:space="preserve"> </w:t>
      </w:r>
      <w:bookmarkStart w:id="37" w:name="_Hlk74297130"/>
      <w:r w:rsidRPr="0053557D">
        <w:rPr>
          <w:rFonts w:ascii="Arial" w:hAnsi="Arial" w:cs="Arial"/>
          <w:sz w:val="19"/>
          <w:szCs w:val="19"/>
          <w:lang w:val="es-ES"/>
        </w:rPr>
        <w:t>«</w:t>
      </w:r>
      <w:bookmarkEnd w:id="37"/>
      <w:r w:rsidRPr="0053557D">
        <w:rPr>
          <w:rFonts w:ascii="Arial" w:hAnsi="Arial" w:cs="Arial"/>
          <w:sz w:val="19"/>
          <w:szCs w:val="19"/>
          <w:lang w:val="es-ES"/>
        </w:rPr>
        <w:t>[…] A este respecto, cabe recordar que el artículo 860 del Código de Comercio regula la licitación en el derecho privado»</w:t>
      </w:r>
      <w:r w:rsidR="000E33BC" w:rsidRPr="0053557D">
        <w:rPr>
          <w:rFonts w:ascii="Arial" w:hAnsi="Arial" w:cs="Arial"/>
          <w:sz w:val="19"/>
          <w:szCs w:val="19"/>
          <w:lang w:val="es-ES"/>
        </w:rPr>
        <w:t>.</w:t>
      </w:r>
      <w:r w:rsidRPr="0053557D">
        <w:rPr>
          <w:rFonts w:ascii="Arial" w:hAnsi="Arial" w:cs="Arial"/>
          <w:sz w:val="19"/>
          <w:szCs w:val="19"/>
          <w:lang w:val="es-ES"/>
        </w:rPr>
        <w:t xml:space="preserve"> </w:t>
      </w:r>
    </w:p>
  </w:footnote>
  <w:footnote w:id="17">
    <w:p w14:paraId="321DC26C" w14:textId="77777777" w:rsidR="008F7353" w:rsidRDefault="008F7353" w:rsidP="002C0DF9">
      <w:pPr>
        <w:shd w:val="clear" w:color="auto" w:fill="FFFFFF"/>
        <w:spacing w:after="0" w:line="240" w:lineRule="auto"/>
        <w:ind w:firstLine="709"/>
        <w:rPr>
          <w:rFonts w:ascii="Arial" w:hAnsi="Arial" w:cs="Arial"/>
          <w:sz w:val="19"/>
          <w:szCs w:val="19"/>
        </w:rPr>
      </w:pPr>
    </w:p>
    <w:p w14:paraId="3DE7C088" w14:textId="295B6426" w:rsidR="00856B57" w:rsidRPr="0053557D" w:rsidRDefault="008C6B51" w:rsidP="002C0DF9">
      <w:pPr>
        <w:shd w:val="clear" w:color="auto" w:fill="FFFFFF"/>
        <w:spacing w:after="0" w:line="240" w:lineRule="auto"/>
        <w:ind w:firstLine="709"/>
        <w:rPr>
          <w:rFonts w:ascii="Arial" w:hAnsi="Arial" w:cs="Arial"/>
          <w:sz w:val="19"/>
          <w:szCs w:val="19"/>
          <w:lang w:val="es-ES"/>
        </w:rPr>
      </w:pPr>
      <w:r w:rsidRPr="0053557D">
        <w:rPr>
          <w:rStyle w:val="Refdenotaalpie"/>
          <w:rFonts w:ascii="Arial" w:hAnsi="Arial" w:cs="Arial"/>
          <w:sz w:val="19"/>
          <w:szCs w:val="19"/>
        </w:rPr>
        <w:footnoteRef/>
      </w:r>
      <w:r w:rsidRPr="0053557D">
        <w:rPr>
          <w:rStyle w:val="Refdenotaalpie"/>
          <w:rFonts w:ascii="Arial" w:hAnsi="Arial" w:cs="Arial"/>
          <w:sz w:val="19"/>
          <w:szCs w:val="19"/>
        </w:rPr>
        <w:t xml:space="preserve"> </w:t>
      </w:r>
      <w:r w:rsidRPr="0053557D">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53557D">
        <w:rPr>
          <w:rFonts w:ascii="Arial" w:hAnsi="Arial" w:cs="Arial"/>
          <w:sz w:val="19"/>
          <w:szCs w:val="19"/>
          <w:lang w:val="es-ES"/>
        </w:rPr>
        <w:t>Namén</w:t>
      </w:r>
      <w:proofErr w:type="spellEnd"/>
      <w:r w:rsidRPr="0053557D">
        <w:rPr>
          <w:rFonts w:ascii="Arial" w:hAnsi="Arial" w:cs="Arial"/>
          <w:sz w:val="19"/>
          <w:szCs w:val="19"/>
          <w:lang w:val="es-ES"/>
        </w:rPr>
        <w:t xml:space="preserve"> Vargas.</w:t>
      </w:r>
    </w:p>
  </w:footnote>
  <w:footnote w:id="18">
    <w:p w14:paraId="49A02CDD" w14:textId="70865DBB" w:rsidR="00F61159" w:rsidRPr="0053557D" w:rsidRDefault="00F61159"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Consejo de Estado. Sala de Consulta y Servicio Civil. Concepto del 08 de mayo de 2018. Exp. 2.382. C.P. Álvaro Namén Vargas.</w:t>
      </w:r>
    </w:p>
  </w:footnote>
  <w:footnote w:id="19">
    <w:p w14:paraId="14F5FB64" w14:textId="77777777" w:rsidR="00856B57" w:rsidRPr="0053557D" w:rsidRDefault="00856B57" w:rsidP="002C0DF9">
      <w:pPr>
        <w:pStyle w:val="Textonotapie"/>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2C561595" w14:textId="02AD2F38" w:rsidR="004E638B" w:rsidRDefault="00856B57" w:rsidP="002C0DF9">
      <w:pPr>
        <w:spacing w:after="0" w:line="240" w:lineRule="auto"/>
        <w:ind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8F92C9E" w14:textId="77777777" w:rsidR="007E044F" w:rsidRPr="0053557D" w:rsidRDefault="007E044F" w:rsidP="002C0DF9">
      <w:pPr>
        <w:spacing w:after="0" w:line="240" w:lineRule="auto"/>
        <w:ind w:firstLine="709"/>
        <w:rPr>
          <w:rFonts w:ascii="Arial" w:hAnsi="Arial" w:cs="Arial"/>
          <w:sz w:val="19"/>
          <w:szCs w:val="19"/>
        </w:rPr>
      </w:pPr>
    </w:p>
  </w:footnote>
  <w:footnote w:id="21">
    <w:p w14:paraId="7B9940D9" w14:textId="66FDACAF" w:rsidR="00182C6C" w:rsidRPr="0053557D" w:rsidRDefault="00182C6C"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bookmarkStart w:id="51" w:name="_Hlk75633115"/>
      <w:r w:rsidR="00204F6E" w:rsidRPr="0053557D">
        <w:rPr>
          <w:rFonts w:ascii="Arial" w:hAnsi="Arial" w:cs="Arial"/>
          <w:sz w:val="19"/>
          <w:szCs w:val="19"/>
        </w:rPr>
        <w:t xml:space="preserve">Consejo de Estado. Sala de Consulta y Servicio Civil. Concepto </w:t>
      </w:r>
      <w:bookmarkEnd w:id="51"/>
      <w:r w:rsidR="00204F6E" w:rsidRPr="0053557D">
        <w:rPr>
          <w:rFonts w:ascii="Arial" w:hAnsi="Arial" w:cs="Arial"/>
          <w:sz w:val="19"/>
          <w:szCs w:val="19"/>
        </w:rPr>
        <w:t>de 6 de abril de 2006. Radicación Número:</w:t>
      </w:r>
      <w:r w:rsidR="00D07F68" w:rsidRPr="0053557D">
        <w:rPr>
          <w:rFonts w:ascii="Arial" w:hAnsi="Arial" w:cs="Arial"/>
          <w:sz w:val="19"/>
          <w:szCs w:val="19"/>
        </w:rPr>
        <w:t xml:space="preserve"> </w:t>
      </w:r>
      <w:r w:rsidR="00204F6E" w:rsidRPr="0053557D">
        <w:rPr>
          <w:rFonts w:ascii="Arial" w:hAnsi="Arial" w:cs="Arial"/>
          <w:sz w:val="19"/>
          <w:szCs w:val="19"/>
        </w:rPr>
        <w:t>11001-03-06-000-2006-00038-00(1738). Consejero Ponente: Enrique José Arboleda Perdomo</w:t>
      </w:r>
      <w:r w:rsidR="00D07F68" w:rsidRPr="0053557D">
        <w:rPr>
          <w:rFonts w:ascii="Arial" w:hAnsi="Arial" w:cs="Arial"/>
          <w:sz w:val="19"/>
          <w:szCs w:val="19"/>
        </w:rPr>
        <w:t>:</w:t>
      </w:r>
      <w:r w:rsidR="00D07F68" w:rsidRPr="0053557D">
        <w:rPr>
          <w:rFonts w:ascii="Arial" w:eastAsia="Times New Roman" w:hAnsi="Arial" w:cs="Arial"/>
          <w:bCs/>
          <w:sz w:val="19"/>
          <w:szCs w:val="19"/>
          <w:lang w:eastAsia="x-none"/>
        </w:rPr>
        <w:t xml:space="preserve"> «</w:t>
      </w:r>
      <w:r w:rsidR="00D07F68" w:rsidRPr="0053557D">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00D07F68" w:rsidRPr="0053557D">
        <w:rPr>
          <w:rFonts w:ascii="Arial" w:eastAsia="Times New Roman" w:hAnsi="Arial" w:cs="Arial"/>
          <w:bCs/>
          <w:sz w:val="19"/>
          <w:szCs w:val="19"/>
          <w:lang w:eastAsia="x-none"/>
        </w:rPr>
        <w:t>»</w:t>
      </w:r>
      <w:r w:rsidR="004E638B" w:rsidRPr="0053557D">
        <w:rPr>
          <w:rFonts w:ascii="Arial" w:eastAsia="Times New Roman" w:hAnsi="Arial" w:cs="Arial"/>
          <w:bCs/>
          <w:sz w:val="19"/>
          <w:szCs w:val="19"/>
          <w:lang w:eastAsia="x-none"/>
        </w:rPr>
        <w:t>.</w:t>
      </w:r>
    </w:p>
  </w:footnote>
  <w:footnote w:id="22">
    <w:p w14:paraId="004661B1" w14:textId="4E9E876C" w:rsidR="004E638B" w:rsidRDefault="003D73F1"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Consejo de Estado. Sala de Consulta y Servicio Civil. Concepto de 6 de abril de 2006. Radicación Número: 11001-03-06-000-2006-00038-00(1738). Consejero Ponente: Enrique José Arboleda Perdomo</w:t>
      </w:r>
      <w:r w:rsidR="004E638B" w:rsidRPr="0053557D">
        <w:rPr>
          <w:rFonts w:ascii="Arial" w:hAnsi="Arial" w:cs="Arial"/>
          <w:sz w:val="19"/>
          <w:szCs w:val="19"/>
        </w:rPr>
        <w:t>.</w:t>
      </w:r>
    </w:p>
    <w:p w14:paraId="32BE2AC7" w14:textId="77777777" w:rsidR="008F7353" w:rsidRPr="0053557D" w:rsidRDefault="008F7353" w:rsidP="002C0DF9">
      <w:pPr>
        <w:pStyle w:val="Textonotapie"/>
        <w:spacing w:after="0" w:line="240" w:lineRule="auto"/>
        <w:ind w:right="51" w:firstLine="709"/>
        <w:rPr>
          <w:rFonts w:ascii="Arial" w:hAnsi="Arial" w:cs="Arial"/>
          <w:sz w:val="19"/>
          <w:szCs w:val="19"/>
        </w:rPr>
      </w:pPr>
    </w:p>
  </w:footnote>
  <w:footnote w:id="23">
    <w:p w14:paraId="5BA39CA3" w14:textId="77777777" w:rsidR="003D73F1" w:rsidRPr="0053557D" w:rsidRDefault="003D73F1" w:rsidP="002C0DF9">
      <w:pPr>
        <w:pStyle w:val="Textonotapie"/>
        <w:spacing w:after="0" w:line="240" w:lineRule="auto"/>
        <w:ind w:right="51" w:firstLine="709"/>
        <w:rPr>
          <w:rFonts w:ascii="Arial" w:hAnsi="Arial" w:cs="Arial"/>
          <w:sz w:val="19"/>
          <w:szCs w:val="19"/>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rPr>
        <w:t>Consejo de Estado. Sala de Consulta y Servicio Civil, ídem.</w:t>
      </w:r>
    </w:p>
  </w:footnote>
  <w:footnote w:id="24">
    <w:p w14:paraId="3B46E4AD" w14:textId="4BA85726" w:rsidR="0026775B" w:rsidRDefault="0026775B"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w:t>
      </w:r>
      <w:r w:rsidRPr="0053557D">
        <w:rPr>
          <w:rFonts w:ascii="Arial" w:hAnsi="Arial" w:cs="Arial"/>
          <w:color w:val="000000" w:themeColor="text1"/>
          <w:sz w:val="19"/>
          <w:szCs w:val="19"/>
        </w:rPr>
        <w:t>Sobre esta norma consultar los conceptos del 8 de octubre de 2019, con radicado 2201913000007532, y del 20 de diciembre de 2019, cuyo radicado es el No. 4201913000008240.</w:t>
      </w:r>
    </w:p>
    <w:p w14:paraId="14241929" w14:textId="77777777" w:rsidR="002E7874" w:rsidRPr="002C0DF9" w:rsidRDefault="002E7874" w:rsidP="002C0DF9">
      <w:pPr>
        <w:pStyle w:val="Textonotapie"/>
        <w:spacing w:after="0" w:line="240" w:lineRule="auto"/>
        <w:ind w:firstLine="708"/>
        <w:rPr>
          <w:rFonts w:ascii="Arial" w:hAnsi="Arial" w:cs="Arial"/>
          <w:color w:val="000000" w:themeColor="text1"/>
          <w:sz w:val="19"/>
          <w:szCs w:val="19"/>
        </w:rPr>
      </w:pPr>
    </w:p>
  </w:footnote>
  <w:footnote w:id="25">
    <w:p w14:paraId="29BFA0D5" w14:textId="77777777" w:rsidR="0026775B" w:rsidRPr="0053557D" w:rsidRDefault="0026775B"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w:t>
      </w:r>
      <w:r w:rsidRPr="0053557D">
        <w:rPr>
          <w:rFonts w:ascii="Arial" w:hAnsi="Arial" w:cs="Arial"/>
          <w:color w:val="000000" w:themeColor="text1"/>
          <w:sz w:val="19"/>
          <w:szCs w:val="19"/>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E56DC19" w14:textId="7619734C" w:rsidR="0026775B" w:rsidRPr="002C0DF9" w:rsidRDefault="0026775B" w:rsidP="002C0DF9">
      <w:pPr>
        <w:pStyle w:val="Textonotapie"/>
        <w:spacing w:after="0" w:line="240" w:lineRule="auto"/>
        <w:ind w:firstLine="708"/>
        <w:rPr>
          <w:rFonts w:ascii="Arial" w:hAnsi="Arial" w:cs="Arial"/>
          <w:color w:val="000000" w:themeColor="text1"/>
          <w:sz w:val="19"/>
          <w:szCs w:val="19"/>
        </w:rPr>
      </w:pPr>
      <w:r w:rsidRPr="0053557D">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26">
    <w:p w14:paraId="5B57411B" w14:textId="77777777" w:rsidR="002E7874" w:rsidRDefault="002E7874" w:rsidP="002C0DF9">
      <w:pPr>
        <w:pStyle w:val="Textonotapie"/>
        <w:spacing w:after="0" w:line="240" w:lineRule="auto"/>
        <w:ind w:firstLine="708"/>
        <w:rPr>
          <w:rFonts w:ascii="Arial" w:hAnsi="Arial" w:cs="Arial"/>
          <w:color w:val="000000" w:themeColor="text1"/>
          <w:sz w:val="19"/>
          <w:szCs w:val="19"/>
        </w:rPr>
      </w:pPr>
    </w:p>
    <w:p w14:paraId="36FD1D17" w14:textId="47E5F0E4"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w:t>
      </w:r>
      <w:r w:rsidRPr="0053557D">
        <w:rPr>
          <w:rFonts w:ascii="Arial" w:hAnsi="Arial" w:cs="Arial"/>
          <w:color w:val="000000" w:themeColor="text1"/>
          <w:sz w:val="19"/>
          <w:szCs w:val="19"/>
        </w:rPr>
        <w:t>En el concepto emitido el 5 de febrero de 2019, dentro del radicado No. 2201913000000663, se dijo: «[l]os convenios de asociación del artículo 5 son distintos a los contratos de colaboración del artículo 2 del Decreto 092 de 2017».</w:t>
      </w:r>
    </w:p>
  </w:footnote>
  <w:footnote w:id="27">
    <w:p w14:paraId="098F2F4A" w14:textId="14FB74D7"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w:t>
      </w:r>
      <w:r w:rsidRPr="0053557D">
        <w:rPr>
          <w:rFonts w:ascii="Arial" w:hAnsi="Arial" w:cs="Arial"/>
          <w:color w:val="000000" w:themeColor="text1"/>
          <w:sz w:val="19"/>
          <w:szCs w:val="19"/>
        </w:rPr>
        <w:t>Concepto del 3 de septiembre de 2019, emitido en el radicado No. 2201913000006512.</w:t>
      </w:r>
    </w:p>
  </w:footnote>
  <w:footnote w:id="28">
    <w:p w14:paraId="5515D1D2" w14:textId="77777777"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w:t>
      </w:r>
      <w:r w:rsidRPr="0053557D">
        <w:rPr>
          <w:rFonts w:ascii="Arial" w:hAnsi="Arial" w:cs="Arial"/>
          <w:color w:val="000000" w:themeColor="text1"/>
          <w:sz w:val="19"/>
          <w:szCs w:val="19"/>
        </w:rPr>
        <w:t>El numeral 16.9 de la Circular Externa Única de Colombia Compra Eficiente determina:</w:t>
      </w:r>
    </w:p>
    <w:p w14:paraId="411F3803" w14:textId="77777777"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Fonts w:ascii="Arial" w:hAnsi="Arial" w:cs="Arial"/>
          <w:color w:val="000000" w:themeColor="text1"/>
          <w:sz w:val="19"/>
          <w:szCs w:val="19"/>
        </w:rPr>
        <w:t>«16.9 Uniones temporales y consorcios conformados por entidades sin ánimo de lucro.</w:t>
      </w:r>
    </w:p>
    <w:p w14:paraId="5B762F2B" w14:textId="0F19B1EF" w:rsidR="009B6258" w:rsidRDefault="009B6258" w:rsidP="002C0DF9">
      <w:pPr>
        <w:pStyle w:val="Textonotapie"/>
        <w:spacing w:after="0" w:line="240" w:lineRule="auto"/>
        <w:ind w:firstLine="708"/>
        <w:rPr>
          <w:rFonts w:ascii="Arial" w:hAnsi="Arial" w:cs="Arial"/>
          <w:color w:val="000000" w:themeColor="text1"/>
          <w:sz w:val="19"/>
          <w:szCs w:val="19"/>
        </w:rPr>
      </w:pPr>
      <w:r w:rsidRPr="0053557D">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67CBC8AE" w14:textId="77777777" w:rsidR="002C0DF9" w:rsidRPr="0053557D" w:rsidRDefault="002C0DF9" w:rsidP="002C0DF9">
      <w:pPr>
        <w:pStyle w:val="Textonotapie"/>
        <w:spacing w:after="0" w:line="240" w:lineRule="auto"/>
        <w:ind w:firstLine="708"/>
        <w:rPr>
          <w:rFonts w:ascii="Arial" w:hAnsi="Arial" w:cs="Arial"/>
          <w:color w:val="000000" w:themeColor="text1"/>
          <w:sz w:val="19"/>
          <w:szCs w:val="19"/>
        </w:rPr>
      </w:pPr>
    </w:p>
  </w:footnote>
  <w:footnote w:id="29">
    <w:p w14:paraId="5FFC7BFB" w14:textId="77777777" w:rsidR="009B6258" w:rsidRPr="0053557D" w:rsidRDefault="009B6258" w:rsidP="002C0DF9">
      <w:pPr>
        <w:pStyle w:val="Textonotapie"/>
        <w:spacing w:after="0" w:line="240" w:lineRule="auto"/>
        <w:ind w:firstLine="708"/>
        <w:rPr>
          <w:rFonts w:ascii="Arial" w:hAnsi="Arial" w:cs="Arial"/>
          <w:color w:val="000000" w:themeColor="text1"/>
          <w:sz w:val="19"/>
          <w:szCs w:val="19"/>
          <w:lang w:val="es-ES"/>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w:t>
      </w:r>
      <w:r w:rsidRPr="0053557D">
        <w:rPr>
          <w:rFonts w:ascii="Arial" w:hAnsi="Arial" w:cs="Arial"/>
          <w:color w:val="000000" w:themeColor="text1"/>
          <w:sz w:val="19"/>
          <w:szCs w:val="19"/>
        </w:rPr>
        <w:t>Concepto del 19 de noviembre de 2019, emitido en el radicado No. 2201913000008611.</w:t>
      </w:r>
    </w:p>
  </w:footnote>
  <w:footnote w:id="30">
    <w:p w14:paraId="0520CE73" w14:textId="520C1A69" w:rsidR="009B6258" w:rsidRPr="0053557D"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w:t>
      </w:r>
      <w:r w:rsidRPr="0053557D">
        <w:rPr>
          <w:rFonts w:ascii="Arial" w:hAnsi="Arial" w:cs="Arial"/>
          <w:color w:val="000000" w:themeColor="text1"/>
          <w:sz w:val="19"/>
          <w:szCs w:val="19"/>
        </w:rPr>
        <w:t>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31">
    <w:p w14:paraId="54AD3E4A" w14:textId="3D698053" w:rsidR="009B6258" w:rsidRDefault="009B6258" w:rsidP="002C0DF9">
      <w:pPr>
        <w:pStyle w:val="Textonotapie"/>
        <w:spacing w:after="0" w:line="240" w:lineRule="auto"/>
        <w:ind w:firstLine="708"/>
        <w:rPr>
          <w:rFonts w:ascii="Arial" w:hAnsi="Arial" w:cs="Arial"/>
          <w:color w:val="000000" w:themeColor="text1"/>
          <w:sz w:val="19"/>
          <w:szCs w:val="19"/>
        </w:rPr>
      </w:pPr>
      <w:r w:rsidRPr="0053557D">
        <w:rPr>
          <w:rStyle w:val="Refdenotaalpie"/>
          <w:rFonts w:ascii="Arial" w:hAnsi="Arial" w:cs="Arial"/>
          <w:color w:val="000000" w:themeColor="text1"/>
          <w:sz w:val="19"/>
          <w:szCs w:val="19"/>
        </w:rPr>
        <w:footnoteRef/>
      </w:r>
      <w:r w:rsidRPr="0053557D">
        <w:rPr>
          <w:rFonts w:ascii="Arial" w:hAnsi="Arial" w:cs="Arial"/>
          <w:color w:val="000000" w:themeColor="text1"/>
          <w:sz w:val="19"/>
          <w:szCs w:val="19"/>
        </w:rPr>
        <w:t xml:space="preserve"> </w:t>
      </w:r>
      <w:r w:rsidRPr="0053557D">
        <w:rPr>
          <w:rFonts w:ascii="Arial" w:hAnsi="Arial" w:cs="Arial"/>
          <w:color w:val="000000" w:themeColor="text1"/>
          <w:sz w:val="19"/>
          <w:szCs w:val="19"/>
        </w:rPr>
        <w:t>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136CCFFD" w14:textId="77777777" w:rsidR="002E7874" w:rsidRPr="0053557D" w:rsidRDefault="002E7874" w:rsidP="002C0DF9">
      <w:pPr>
        <w:pStyle w:val="Textonotapie"/>
        <w:spacing w:after="0" w:line="240" w:lineRule="auto"/>
        <w:ind w:firstLine="708"/>
        <w:rPr>
          <w:rFonts w:ascii="Arial" w:hAnsi="Arial" w:cs="Arial"/>
          <w:color w:val="000000" w:themeColor="text1"/>
          <w:sz w:val="19"/>
          <w:szCs w:val="19"/>
        </w:rPr>
      </w:pPr>
    </w:p>
  </w:footnote>
  <w:footnote w:id="32">
    <w:p w14:paraId="00495729" w14:textId="2ABB08CA" w:rsidR="00B67C3D" w:rsidRPr="0053557D" w:rsidRDefault="00B67C3D" w:rsidP="002C0DF9">
      <w:pPr>
        <w:pStyle w:val="Textonotapie"/>
        <w:spacing w:after="0" w:line="240" w:lineRule="auto"/>
        <w:ind w:firstLine="708"/>
        <w:rPr>
          <w:rFonts w:ascii="Arial" w:hAnsi="Arial" w:cs="Arial"/>
          <w:sz w:val="19"/>
          <w:szCs w:val="19"/>
          <w:lang w:val="es-ES"/>
        </w:rPr>
      </w:pPr>
      <w:r w:rsidRPr="0053557D">
        <w:rPr>
          <w:rStyle w:val="Refdenotaalpie"/>
          <w:rFonts w:ascii="Arial" w:hAnsi="Arial" w:cs="Arial"/>
          <w:sz w:val="19"/>
          <w:szCs w:val="19"/>
        </w:rPr>
        <w:footnoteRef/>
      </w:r>
      <w:r w:rsidRPr="0053557D">
        <w:rPr>
          <w:rFonts w:ascii="Arial" w:hAnsi="Arial" w:cs="Arial"/>
          <w:sz w:val="19"/>
          <w:szCs w:val="19"/>
        </w:rPr>
        <w:t xml:space="preserve"> </w:t>
      </w:r>
      <w:r w:rsidRPr="0053557D">
        <w:rPr>
          <w:rFonts w:ascii="Arial" w:hAnsi="Arial" w:cs="Arial"/>
          <w:sz w:val="19"/>
          <w:szCs w:val="19"/>
          <w:lang w:val="es-CO"/>
        </w:rPr>
        <w:t xml:space="preserve">CONSEJO DE ESTADO. Sala de Consulta y Servicio Civil. Concepto del 8 de mayo de 2018. Rad. 2382. C.P. Álvaro </w:t>
      </w:r>
      <w:proofErr w:type="spellStart"/>
      <w:r w:rsidRPr="0053557D">
        <w:rPr>
          <w:rFonts w:ascii="Arial" w:hAnsi="Arial" w:cs="Arial"/>
          <w:sz w:val="19"/>
          <w:szCs w:val="19"/>
          <w:lang w:val="es-CO"/>
        </w:rPr>
        <w:t>Namén</w:t>
      </w:r>
      <w:proofErr w:type="spellEnd"/>
      <w:r w:rsidRPr="0053557D">
        <w:rPr>
          <w:rFonts w:ascii="Arial" w:hAnsi="Arial" w:cs="Arial"/>
          <w:sz w:val="19"/>
          <w:szCs w:val="19"/>
          <w:lang w:val="es-CO"/>
        </w:rPr>
        <w:t xml:space="preserve">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06723387">
    <w:abstractNumId w:val="11"/>
  </w:num>
  <w:num w:numId="2" w16cid:durableId="1958440169">
    <w:abstractNumId w:val="9"/>
  </w:num>
  <w:num w:numId="3" w16cid:durableId="316155424">
    <w:abstractNumId w:val="15"/>
  </w:num>
  <w:num w:numId="4" w16cid:durableId="1768383740">
    <w:abstractNumId w:val="21"/>
  </w:num>
  <w:num w:numId="5" w16cid:durableId="1484350696">
    <w:abstractNumId w:val="23"/>
  </w:num>
  <w:num w:numId="6" w16cid:durableId="158911959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0550102">
    <w:abstractNumId w:val="6"/>
  </w:num>
  <w:num w:numId="8" w16cid:durableId="1737043428">
    <w:abstractNumId w:val="24"/>
  </w:num>
  <w:num w:numId="9" w16cid:durableId="1268270013">
    <w:abstractNumId w:val="6"/>
    <w:lvlOverride w:ilvl="0">
      <w:startOverride w:val="1"/>
    </w:lvlOverride>
  </w:num>
  <w:num w:numId="10" w16cid:durableId="706569284">
    <w:abstractNumId w:val="25"/>
  </w:num>
  <w:num w:numId="11" w16cid:durableId="1309550324">
    <w:abstractNumId w:val="7"/>
  </w:num>
  <w:num w:numId="12" w16cid:durableId="2042898743">
    <w:abstractNumId w:val="2"/>
  </w:num>
  <w:num w:numId="13" w16cid:durableId="290479431">
    <w:abstractNumId w:val="4"/>
  </w:num>
  <w:num w:numId="14" w16cid:durableId="1064569126">
    <w:abstractNumId w:val="20"/>
  </w:num>
  <w:num w:numId="15" w16cid:durableId="1195926361">
    <w:abstractNumId w:val="13"/>
  </w:num>
  <w:num w:numId="16" w16cid:durableId="1651592925">
    <w:abstractNumId w:val="10"/>
  </w:num>
  <w:num w:numId="17" w16cid:durableId="646201754">
    <w:abstractNumId w:val="14"/>
  </w:num>
  <w:num w:numId="18" w16cid:durableId="209729287">
    <w:abstractNumId w:val="16"/>
  </w:num>
  <w:num w:numId="19" w16cid:durableId="506094081">
    <w:abstractNumId w:val="5"/>
  </w:num>
  <w:num w:numId="20" w16cid:durableId="728847338">
    <w:abstractNumId w:val="27"/>
  </w:num>
  <w:num w:numId="21" w16cid:durableId="2070036288">
    <w:abstractNumId w:val="22"/>
  </w:num>
  <w:num w:numId="22" w16cid:durableId="1975478088">
    <w:abstractNumId w:val="18"/>
  </w:num>
  <w:num w:numId="23" w16cid:durableId="1406099759">
    <w:abstractNumId w:val="17"/>
  </w:num>
  <w:num w:numId="24" w16cid:durableId="1081949993">
    <w:abstractNumId w:val="8"/>
  </w:num>
  <w:num w:numId="25" w16cid:durableId="2041709872">
    <w:abstractNumId w:val="19"/>
  </w:num>
  <w:num w:numId="26" w16cid:durableId="1114787580">
    <w:abstractNumId w:val="1"/>
  </w:num>
  <w:num w:numId="27" w16cid:durableId="2065519921">
    <w:abstractNumId w:val="12"/>
  </w:num>
  <w:num w:numId="28" w16cid:durableId="869076342">
    <w:abstractNumId w:val="26"/>
  </w:num>
  <w:num w:numId="29" w16cid:durableId="12369791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ía Claudia de la Ossa Bobadilla">
    <w15:presenceInfo w15:providerId="AD" w15:userId="S::maria.delaossa@colombiacompra.gov.co::c2aef83c-8ad9-4d47-b1d6-301ab25017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10D"/>
    <w:rsid w:val="0000268F"/>
    <w:rsid w:val="000029BC"/>
    <w:rsid w:val="000031A6"/>
    <w:rsid w:val="00003AEE"/>
    <w:rsid w:val="0000404B"/>
    <w:rsid w:val="00004F5E"/>
    <w:rsid w:val="0000645E"/>
    <w:rsid w:val="0000682D"/>
    <w:rsid w:val="00006906"/>
    <w:rsid w:val="000105E2"/>
    <w:rsid w:val="00010981"/>
    <w:rsid w:val="00011726"/>
    <w:rsid w:val="000123BA"/>
    <w:rsid w:val="000126BB"/>
    <w:rsid w:val="00012A1B"/>
    <w:rsid w:val="000136DC"/>
    <w:rsid w:val="0001574B"/>
    <w:rsid w:val="000165EE"/>
    <w:rsid w:val="00016F33"/>
    <w:rsid w:val="00016FAC"/>
    <w:rsid w:val="0001726A"/>
    <w:rsid w:val="0001794A"/>
    <w:rsid w:val="0001795B"/>
    <w:rsid w:val="00020801"/>
    <w:rsid w:val="000208AF"/>
    <w:rsid w:val="00020D8D"/>
    <w:rsid w:val="000236CF"/>
    <w:rsid w:val="00024BE5"/>
    <w:rsid w:val="00025A4D"/>
    <w:rsid w:val="00026AD9"/>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37F22"/>
    <w:rsid w:val="000465F7"/>
    <w:rsid w:val="00046F46"/>
    <w:rsid w:val="000471AA"/>
    <w:rsid w:val="0004770A"/>
    <w:rsid w:val="000503A1"/>
    <w:rsid w:val="00050E2C"/>
    <w:rsid w:val="00051590"/>
    <w:rsid w:val="000522B1"/>
    <w:rsid w:val="0005275D"/>
    <w:rsid w:val="000527A5"/>
    <w:rsid w:val="00052CE1"/>
    <w:rsid w:val="00053983"/>
    <w:rsid w:val="00053991"/>
    <w:rsid w:val="00054C6E"/>
    <w:rsid w:val="00054E46"/>
    <w:rsid w:val="00055141"/>
    <w:rsid w:val="00055B28"/>
    <w:rsid w:val="00056024"/>
    <w:rsid w:val="00056809"/>
    <w:rsid w:val="000568C7"/>
    <w:rsid w:val="00057953"/>
    <w:rsid w:val="00057D35"/>
    <w:rsid w:val="00061727"/>
    <w:rsid w:val="00061C7B"/>
    <w:rsid w:val="0006235E"/>
    <w:rsid w:val="0006293E"/>
    <w:rsid w:val="0006331A"/>
    <w:rsid w:val="00063E52"/>
    <w:rsid w:val="000641BE"/>
    <w:rsid w:val="00064542"/>
    <w:rsid w:val="0006625D"/>
    <w:rsid w:val="00067665"/>
    <w:rsid w:val="00070770"/>
    <w:rsid w:val="00070A22"/>
    <w:rsid w:val="00071D6E"/>
    <w:rsid w:val="00072274"/>
    <w:rsid w:val="000743C2"/>
    <w:rsid w:val="0007460B"/>
    <w:rsid w:val="000751BB"/>
    <w:rsid w:val="0007590A"/>
    <w:rsid w:val="0007639B"/>
    <w:rsid w:val="00077C34"/>
    <w:rsid w:val="00077D20"/>
    <w:rsid w:val="00077E04"/>
    <w:rsid w:val="00077E1C"/>
    <w:rsid w:val="00080D35"/>
    <w:rsid w:val="00081AF3"/>
    <w:rsid w:val="00081B2F"/>
    <w:rsid w:val="00081E50"/>
    <w:rsid w:val="0008260E"/>
    <w:rsid w:val="000828E9"/>
    <w:rsid w:val="00083B1B"/>
    <w:rsid w:val="00083BE4"/>
    <w:rsid w:val="00084DC0"/>
    <w:rsid w:val="0008592F"/>
    <w:rsid w:val="00085CC3"/>
    <w:rsid w:val="0008644C"/>
    <w:rsid w:val="00086C08"/>
    <w:rsid w:val="000873C1"/>
    <w:rsid w:val="00087888"/>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97B95"/>
    <w:rsid w:val="000A15CB"/>
    <w:rsid w:val="000A1B81"/>
    <w:rsid w:val="000A1DA7"/>
    <w:rsid w:val="000A2C01"/>
    <w:rsid w:val="000A4D0D"/>
    <w:rsid w:val="000A5189"/>
    <w:rsid w:val="000A668C"/>
    <w:rsid w:val="000A66CF"/>
    <w:rsid w:val="000A7E46"/>
    <w:rsid w:val="000B0A9A"/>
    <w:rsid w:val="000B103F"/>
    <w:rsid w:val="000B1C28"/>
    <w:rsid w:val="000B2DA6"/>
    <w:rsid w:val="000B3893"/>
    <w:rsid w:val="000B3F99"/>
    <w:rsid w:val="000B41CF"/>
    <w:rsid w:val="000B4AA9"/>
    <w:rsid w:val="000B4FC6"/>
    <w:rsid w:val="000B53D0"/>
    <w:rsid w:val="000B680C"/>
    <w:rsid w:val="000B707E"/>
    <w:rsid w:val="000C00B6"/>
    <w:rsid w:val="000C0B7C"/>
    <w:rsid w:val="000C21BA"/>
    <w:rsid w:val="000C2DD2"/>
    <w:rsid w:val="000C5BA1"/>
    <w:rsid w:val="000C6347"/>
    <w:rsid w:val="000C7235"/>
    <w:rsid w:val="000C73E5"/>
    <w:rsid w:val="000C755D"/>
    <w:rsid w:val="000C7BB6"/>
    <w:rsid w:val="000D0148"/>
    <w:rsid w:val="000D05AD"/>
    <w:rsid w:val="000D0AFA"/>
    <w:rsid w:val="000D17D2"/>
    <w:rsid w:val="000D28E0"/>
    <w:rsid w:val="000D2ADD"/>
    <w:rsid w:val="000D457E"/>
    <w:rsid w:val="000D5150"/>
    <w:rsid w:val="000D58C2"/>
    <w:rsid w:val="000D75DD"/>
    <w:rsid w:val="000E1761"/>
    <w:rsid w:val="000E182B"/>
    <w:rsid w:val="000E190F"/>
    <w:rsid w:val="000E1F13"/>
    <w:rsid w:val="000E24E1"/>
    <w:rsid w:val="000E32F8"/>
    <w:rsid w:val="000E331F"/>
    <w:rsid w:val="000E33BC"/>
    <w:rsid w:val="000E4B6B"/>
    <w:rsid w:val="000E5299"/>
    <w:rsid w:val="000E576C"/>
    <w:rsid w:val="000E59C2"/>
    <w:rsid w:val="000E68FA"/>
    <w:rsid w:val="000E6962"/>
    <w:rsid w:val="000E6D84"/>
    <w:rsid w:val="000F14E8"/>
    <w:rsid w:val="000F17FC"/>
    <w:rsid w:val="000F1D24"/>
    <w:rsid w:val="000F354B"/>
    <w:rsid w:val="000F3B04"/>
    <w:rsid w:val="000F3C44"/>
    <w:rsid w:val="000F3D91"/>
    <w:rsid w:val="000F6869"/>
    <w:rsid w:val="000F7AE4"/>
    <w:rsid w:val="001000EC"/>
    <w:rsid w:val="001015E9"/>
    <w:rsid w:val="001017F1"/>
    <w:rsid w:val="001024CE"/>
    <w:rsid w:val="00102AA1"/>
    <w:rsid w:val="00103915"/>
    <w:rsid w:val="00103D3D"/>
    <w:rsid w:val="00104423"/>
    <w:rsid w:val="00104CDA"/>
    <w:rsid w:val="00105B6D"/>
    <w:rsid w:val="001065D1"/>
    <w:rsid w:val="00106AC5"/>
    <w:rsid w:val="00106B75"/>
    <w:rsid w:val="00107244"/>
    <w:rsid w:val="001100DE"/>
    <w:rsid w:val="001112CF"/>
    <w:rsid w:val="00111438"/>
    <w:rsid w:val="00111636"/>
    <w:rsid w:val="00112192"/>
    <w:rsid w:val="00112D2F"/>
    <w:rsid w:val="00112D6B"/>
    <w:rsid w:val="001139AE"/>
    <w:rsid w:val="00114236"/>
    <w:rsid w:val="00114E2B"/>
    <w:rsid w:val="001152BA"/>
    <w:rsid w:val="0011561C"/>
    <w:rsid w:val="0011730D"/>
    <w:rsid w:val="00121409"/>
    <w:rsid w:val="001214FF"/>
    <w:rsid w:val="001229C6"/>
    <w:rsid w:val="00122B23"/>
    <w:rsid w:val="00123C67"/>
    <w:rsid w:val="00124E73"/>
    <w:rsid w:val="00124EC3"/>
    <w:rsid w:val="00124EE5"/>
    <w:rsid w:val="00125291"/>
    <w:rsid w:val="00125D4C"/>
    <w:rsid w:val="00126087"/>
    <w:rsid w:val="001260C4"/>
    <w:rsid w:val="0012687C"/>
    <w:rsid w:val="0012754A"/>
    <w:rsid w:val="00127BA6"/>
    <w:rsid w:val="0013045B"/>
    <w:rsid w:val="001310A5"/>
    <w:rsid w:val="001316AB"/>
    <w:rsid w:val="0013236F"/>
    <w:rsid w:val="001332D0"/>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509CD"/>
    <w:rsid w:val="00151D31"/>
    <w:rsid w:val="001520A3"/>
    <w:rsid w:val="00152609"/>
    <w:rsid w:val="00152C65"/>
    <w:rsid w:val="00152CA8"/>
    <w:rsid w:val="0015382E"/>
    <w:rsid w:val="00154879"/>
    <w:rsid w:val="00154A20"/>
    <w:rsid w:val="001550CF"/>
    <w:rsid w:val="001554A4"/>
    <w:rsid w:val="001568EE"/>
    <w:rsid w:val="00156DAF"/>
    <w:rsid w:val="0015784C"/>
    <w:rsid w:val="00160F84"/>
    <w:rsid w:val="0016135A"/>
    <w:rsid w:val="0016149E"/>
    <w:rsid w:val="00161D78"/>
    <w:rsid w:val="0016262F"/>
    <w:rsid w:val="0016397F"/>
    <w:rsid w:val="001640BC"/>
    <w:rsid w:val="001650A0"/>
    <w:rsid w:val="00165EA8"/>
    <w:rsid w:val="0016680A"/>
    <w:rsid w:val="00167B9D"/>
    <w:rsid w:val="00167F0C"/>
    <w:rsid w:val="00170733"/>
    <w:rsid w:val="00170813"/>
    <w:rsid w:val="00170C89"/>
    <w:rsid w:val="00170E51"/>
    <w:rsid w:val="00171D50"/>
    <w:rsid w:val="00172B2A"/>
    <w:rsid w:val="00172E0A"/>
    <w:rsid w:val="00173980"/>
    <w:rsid w:val="00173D30"/>
    <w:rsid w:val="00174107"/>
    <w:rsid w:val="00174FBC"/>
    <w:rsid w:val="0017528B"/>
    <w:rsid w:val="001755EC"/>
    <w:rsid w:val="00175795"/>
    <w:rsid w:val="001765FA"/>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64A"/>
    <w:rsid w:val="001B4A46"/>
    <w:rsid w:val="001B4CC5"/>
    <w:rsid w:val="001B4D86"/>
    <w:rsid w:val="001B528A"/>
    <w:rsid w:val="001B53B4"/>
    <w:rsid w:val="001B59D6"/>
    <w:rsid w:val="001B6044"/>
    <w:rsid w:val="001B686F"/>
    <w:rsid w:val="001B7618"/>
    <w:rsid w:val="001B7DEA"/>
    <w:rsid w:val="001C1A26"/>
    <w:rsid w:val="001C219D"/>
    <w:rsid w:val="001C33CB"/>
    <w:rsid w:val="001C398F"/>
    <w:rsid w:val="001C5292"/>
    <w:rsid w:val="001C722C"/>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B90"/>
    <w:rsid w:val="001E3E0C"/>
    <w:rsid w:val="001E453C"/>
    <w:rsid w:val="001E4A2B"/>
    <w:rsid w:val="001E4FA3"/>
    <w:rsid w:val="001E505B"/>
    <w:rsid w:val="001E610D"/>
    <w:rsid w:val="001E75AD"/>
    <w:rsid w:val="001F0524"/>
    <w:rsid w:val="001F0570"/>
    <w:rsid w:val="001F13B9"/>
    <w:rsid w:val="001F140A"/>
    <w:rsid w:val="001F1781"/>
    <w:rsid w:val="001F1AFA"/>
    <w:rsid w:val="001F267A"/>
    <w:rsid w:val="001F2AD0"/>
    <w:rsid w:val="001F2FC2"/>
    <w:rsid w:val="001F3276"/>
    <w:rsid w:val="001F3D53"/>
    <w:rsid w:val="001F416A"/>
    <w:rsid w:val="001F4316"/>
    <w:rsid w:val="001F4F3C"/>
    <w:rsid w:val="001F55B5"/>
    <w:rsid w:val="001F59AB"/>
    <w:rsid w:val="001F5E0A"/>
    <w:rsid w:val="001F62DC"/>
    <w:rsid w:val="001F63E1"/>
    <w:rsid w:val="001F6AAC"/>
    <w:rsid w:val="001F790E"/>
    <w:rsid w:val="0020033D"/>
    <w:rsid w:val="002005CC"/>
    <w:rsid w:val="002007D2"/>
    <w:rsid w:val="00200F34"/>
    <w:rsid w:val="00203F1A"/>
    <w:rsid w:val="00204114"/>
    <w:rsid w:val="00204C65"/>
    <w:rsid w:val="00204F6E"/>
    <w:rsid w:val="00204FCD"/>
    <w:rsid w:val="0020536A"/>
    <w:rsid w:val="002059AF"/>
    <w:rsid w:val="0020646E"/>
    <w:rsid w:val="00206BC8"/>
    <w:rsid w:val="00211909"/>
    <w:rsid w:val="002135F3"/>
    <w:rsid w:val="002146C0"/>
    <w:rsid w:val="00214A72"/>
    <w:rsid w:val="00215A2F"/>
    <w:rsid w:val="00215BB7"/>
    <w:rsid w:val="00215CA0"/>
    <w:rsid w:val="00216F1A"/>
    <w:rsid w:val="00217155"/>
    <w:rsid w:val="0021759E"/>
    <w:rsid w:val="00217662"/>
    <w:rsid w:val="0022085C"/>
    <w:rsid w:val="002208DC"/>
    <w:rsid w:val="00220CE5"/>
    <w:rsid w:val="002215FF"/>
    <w:rsid w:val="002216AA"/>
    <w:rsid w:val="0022173B"/>
    <w:rsid w:val="002217B4"/>
    <w:rsid w:val="002226D4"/>
    <w:rsid w:val="002229F4"/>
    <w:rsid w:val="002236DB"/>
    <w:rsid w:val="00224570"/>
    <w:rsid w:val="00225A48"/>
    <w:rsid w:val="002261EB"/>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740"/>
    <w:rsid w:val="00237253"/>
    <w:rsid w:val="00237329"/>
    <w:rsid w:val="002400B3"/>
    <w:rsid w:val="00240225"/>
    <w:rsid w:val="00240A06"/>
    <w:rsid w:val="002416BA"/>
    <w:rsid w:val="00241AB9"/>
    <w:rsid w:val="002427B1"/>
    <w:rsid w:val="0024280B"/>
    <w:rsid w:val="00244181"/>
    <w:rsid w:val="002446B8"/>
    <w:rsid w:val="00244C00"/>
    <w:rsid w:val="0024535C"/>
    <w:rsid w:val="002457FD"/>
    <w:rsid w:val="00245C7E"/>
    <w:rsid w:val="00250718"/>
    <w:rsid w:val="00251445"/>
    <w:rsid w:val="0025237E"/>
    <w:rsid w:val="002523D6"/>
    <w:rsid w:val="00252AEC"/>
    <w:rsid w:val="00253276"/>
    <w:rsid w:val="002536AE"/>
    <w:rsid w:val="00253C1D"/>
    <w:rsid w:val="00254319"/>
    <w:rsid w:val="00254D37"/>
    <w:rsid w:val="002553F1"/>
    <w:rsid w:val="002563B9"/>
    <w:rsid w:val="0025685E"/>
    <w:rsid w:val="0025768C"/>
    <w:rsid w:val="00257BC1"/>
    <w:rsid w:val="00257C73"/>
    <w:rsid w:val="00257F4E"/>
    <w:rsid w:val="00261631"/>
    <w:rsid w:val="00264666"/>
    <w:rsid w:val="00264924"/>
    <w:rsid w:val="00264AE6"/>
    <w:rsid w:val="00265C96"/>
    <w:rsid w:val="00265CEB"/>
    <w:rsid w:val="00265ED0"/>
    <w:rsid w:val="00265F6D"/>
    <w:rsid w:val="00266E0C"/>
    <w:rsid w:val="0026775B"/>
    <w:rsid w:val="00270234"/>
    <w:rsid w:val="0027071C"/>
    <w:rsid w:val="0027122E"/>
    <w:rsid w:val="00272C62"/>
    <w:rsid w:val="002755B8"/>
    <w:rsid w:val="00275701"/>
    <w:rsid w:val="00276521"/>
    <w:rsid w:val="00276D7E"/>
    <w:rsid w:val="00277428"/>
    <w:rsid w:val="002806C6"/>
    <w:rsid w:val="002812E1"/>
    <w:rsid w:val="00281E62"/>
    <w:rsid w:val="00281ED6"/>
    <w:rsid w:val="00282493"/>
    <w:rsid w:val="0028312F"/>
    <w:rsid w:val="00283380"/>
    <w:rsid w:val="00284F66"/>
    <w:rsid w:val="00285D7E"/>
    <w:rsid w:val="00285D82"/>
    <w:rsid w:val="00285FED"/>
    <w:rsid w:val="0028630C"/>
    <w:rsid w:val="00286660"/>
    <w:rsid w:val="00286A53"/>
    <w:rsid w:val="00287542"/>
    <w:rsid w:val="002877E9"/>
    <w:rsid w:val="0029159E"/>
    <w:rsid w:val="002933BF"/>
    <w:rsid w:val="002937F6"/>
    <w:rsid w:val="00293B18"/>
    <w:rsid w:val="00293EA5"/>
    <w:rsid w:val="00294801"/>
    <w:rsid w:val="00294EFD"/>
    <w:rsid w:val="0029562E"/>
    <w:rsid w:val="002956E0"/>
    <w:rsid w:val="00296D38"/>
    <w:rsid w:val="00296FA3"/>
    <w:rsid w:val="0029772C"/>
    <w:rsid w:val="002A1031"/>
    <w:rsid w:val="002A1308"/>
    <w:rsid w:val="002A3472"/>
    <w:rsid w:val="002A34C5"/>
    <w:rsid w:val="002A3C58"/>
    <w:rsid w:val="002A4F10"/>
    <w:rsid w:val="002A632D"/>
    <w:rsid w:val="002A63F4"/>
    <w:rsid w:val="002B03FF"/>
    <w:rsid w:val="002B0B61"/>
    <w:rsid w:val="002B0CA6"/>
    <w:rsid w:val="002B1AAF"/>
    <w:rsid w:val="002B1BDA"/>
    <w:rsid w:val="002B287D"/>
    <w:rsid w:val="002B36EB"/>
    <w:rsid w:val="002B3BD7"/>
    <w:rsid w:val="002B3DA6"/>
    <w:rsid w:val="002B3F20"/>
    <w:rsid w:val="002B484D"/>
    <w:rsid w:val="002B4907"/>
    <w:rsid w:val="002B5092"/>
    <w:rsid w:val="002B50DA"/>
    <w:rsid w:val="002B5AD8"/>
    <w:rsid w:val="002B5ED5"/>
    <w:rsid w:val="002B72C0"/>
    <w:rsid w:val="002B7DD1"/>
    <w:rsid w:val="002C05A7"/>
    <w:rsid w:val="002C087E"/>
    <w:rsid w:val="002C09B8"/>
    <w:rsid w:val="002C0DF9"/>
    <w:rsid w:val="002C27C5"/>
    <w:rsid w:val="002C2BF2"/>
    <w:rsid w:val="002C4BB5"/>
    <w:rsid w:val="002C6D5B"/>
    <w:rsid w:val="002C7E7F"/>
    <w:rsid w:val="002D0C96"/>
    <w:rsid w:val="002D2D19"/>
    <w:rsid w:val="002D3456"/>
    <w:rsid w:val="002D4BB3"/>
    <w:rsid w:val="002D5D70"/>
    <w:rsid w:val="002D6942"/>
    <w:rsid w:val="002D7A44"/>
    <w:rsid w:val="002D7E62"/>
    <w:rsid w:val="002D7F92"/>
    <w:rsid w:val="002E0633"/>
    <w:rsid w:val="002E0A18"/>
    <w:rsid w:val="002E1888"/>
    <w:rsid w:val="002E1964"/>
    <w:rsid w:val="002E19A5"/>
    <w:rsid w:val="002E1E7E"/>
    <w:rsid w:val="002E27E0"/>
    <w:rsid w:val="002E39A3"/>
    <w:rsid w:val="002E5EB7"/>
    <w:rsid w:val="002E6150"/>
    <w:rsid w:val="002E631C"/>
    <w:rsid w:val="002E6B6F"/>
    <w:rsid w:val="002E74C9"/>
    <w:rsid w:val="002E7874"/>
    <w:rsid w:val="002F0800"/>
    <w:rsid w:val="002F3451"/>
    <w:rsid w:val="002F3606"/>
    <w:rsid w:val="002F3CF5"/>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629D"/>
    <w:rsid w:val="00307855"/>
    <w:rsid w:val="00310422"/>
    <w:rsid w:val="0031068B"/>
    <w:rsid w:val="00311152"/>
    <w:rsid w:val="003112B5"/>
    <w:rsid w:val="0031293C"/>
    <w:rsid w:val="00312DEB"/>
    <w:rsid w:val="00312F3D"/>
    <w:rsid w:val="00313BBA"/>
    <w:rsid w:val="00313CB3"/>
    <w:rsid w:val="00313D9F"/>
    <w:rsid w:val="00314352"/>
    <w:rsid w:val="00314899"/>
    <w:rsid w:val="00315623"/>
    <w:rsid w:val="00316182"/>
    <w:rsid w:val="003203D9"/>
    <w:rsid w:val="0032072B"/>
    <w:rsid w:val="00320DFD"/>
    <w:rsid w:val="003210F8"/>
    <w:rsid w:val="00321947"/>
    <w:rsid w:val="00323ECD"/>
    <w:rsid w:val="00326A5D"/>
    <w:rsid w:val="00326F22"/>
    <w:rsid w:val="00327032"/>
    <w:rsid w:val="003276A0"/>
    <w:rsid w:val="003278FA"/>
    <w:rsid w:val="0033002D"/>
    <w:rsid w:val="00330686"/>
    <w:rsid w:val="00332906"/>
    <w:rsid w:val="00332B6F"/>
    <w:rsid w:val="00332C3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AE9"/>
    <w:rsid w:val="00343C28"/>
    <w:rsid w:val="00344889"/>
    <w:rsid w:val="00345462"/>
    <w:rsid w:val="00345FC4"/>
    <w:rsid w:val="0034680A"/>
    <w:rsid w:val="00347661"/>
    <w:rsid w:val="003478E7"/>
    <w:rsid w:val="00350095"/>
    <w:rsid w:val="00350DC7"/>
    <w:rsid w:val="00350DCD"/>
    <w:rsid w:val="00351383"/>
    <w:rsid w:val="003528F0"/>
    <w:rsid w:val="00352927"/>
    <w:rsid w:val="00352FE4"/>
    <w:rsid w:val="00353FDF"/>
    <w:rsid w:val="00354545"/>
    <w:rsid w:val="00354FD8"/>
    <w:rsid w:val="003551A5"/>
    <w:rsid w:val="003555B4"/>
    <w:rsid w:val="00356A4C"/>
    <w:rsid w:val="00360753"/>
    <w:rsid w:val="00360A53"/>
    <w:rsid w:val="00362486"/>
    <w:rsid w:val="00362CEC"/>
    <w:rsid w:val="00362F73"/>
    <w:rsid w:val="003630B0"/>
    <w:rsid w:val="00363A73"/>
    <w:rsid w:val="0036497E"/>
    <w:rsid w:val="00364F1A"/>
    <w:rsid w:val="00366B93"/>
    <w:rsid w:val="00366C32"/>
    <w:rsid w:val="00367ACD"/>
    <w:rsid w:val="0037099D"/>
    <w:rsid w:val="00372A55"/>
    <w:rsid w:val="003735C0"/>
    <w:rsid w:val="0037401A"/>
    <w:rsid w:val="00374753"/>
    <w:rsid w:val="0037676F"/>
    <w:rsid w:val="003767EE"/>
    <w:rsid w:val="00377AD6"/>
    <w:rsid w:val="00377BF5"/>
    <w:rsid w:val="00381B41"/>
    <w:rsid w:val="00382349"/>
    <w:rsid w:val="003833D7"/>
    <w:rsid w:val="003839DC"/>
    <w:rsid w:val="00383C5B"/>
    <w:rsid w:val="00383DDA"/>
    <w:rsid w:val="00384041"/>
    <w:rsid w:val="00384B44"/>
    <w:rsid w:val="00384F42"/>
    <w:rsid w:val="00385EC9"/>
    <w:rsid w:val="00386456"/>
    <w:rsid w:val="00387241"/>
    <w:rsid w:val="00387E1C"/>
    <w:rsid w:val="0039010E"/>
    <w:rsid w:val="003901D8"/>
    <w:rsid w:val="00390732"/>
    <w:rsid w:val="00390B41"/>
    <w:rsid w:val="0039100A"/>
    <w:rsid w:val="00391D93"/>
    <w:rsid w:val="00392714"/>
    <w:rsid w:val="00392E7E"/>
    <w:rsid w:val="00392F63"/>
    <w:rsid w:val="00393184"/>
    <w:rsid w:val="0039340C"/>
    <w:rsid w:val="003934DD"/>
    <w:rsid w:val="00394337"/>
    <w:rsid w:val="00395BF9"/>
    <w:rsid w:val="00396D23"/>
    <w:rsid w:val="003978D0"/>
    <w:rsid w:val="003A0468"/>
    <w:rsid w:val="003A046A"/>
    <w:rsid w:val="003A0603"/>
    <w:rsid w:val="003A1031"/>
    <w:rsid w:val="003A1157"/>
    <w:rsid w:val="003A25E4"/>
    <w:rsid w:val="003A2A86"/>
    <w:rsid w:val="003A2C66"/>
    <w:rsid w:val="003A2D28"/>
    <w:rsid w:val="003A433D"/>
    <w:rsid w:val="003A4F71"/>
    <w:rsid w:val="003A581E"/>
    <w:rsid w:val="003A5E28"/>
    <w:rsid w:val="003A651C"/>
    <w:rsid w:val="003A6DA8"/>
    <w:rsid w:val="003B0136"/>
    <w:rsid w:val="003B0B16"/>
    <w:rsid w:val="003B3D8A"/>
    <w:rsid w:val="003B4162"/>
    <w:rsid w:val="003B5540"/>
    <w:rsid w:val="003B6EE4"/>
    <w:rsid w:val="003B79A5"/>
    <w:rsid w:val="003C1943"/>
    <w:rsid w:val="003C347B"/>
    <w:rsid w:val="003C3D13"/>
    <w:rsid w:val="003C40DD"/>
    <w:rsid w:val="003C4141"/>
    <w:rsid w:val="003C432C"/>
    <w:rsid w:val="003C50C9"/>
    <w:rsid w:val="003C62BD"/>
    <w:rsid w:val="003C71EE"/>
    <w:rsid w:val="003C7DC2"/>
    <w:rsid w:val="003D2137"/>
    <w:rsid w:val="003D284B"/>
    <w:rsid w:val="003D40F4"/>
    <w:rsid w:val="003D4187"/>
    <w:rsid w:val="003D43F8"/>
    <w:rsid w:val="003D4F72"/>
    <w:rsid w:val="003D603B"/>
    <w:rsid w:val="003D6CF0"/>
    <w:rsid w:val="003D70AA"/>
    <w:rsid w:val="003D73F1"/>
    <w:rsid w:val="003E07B4"/>
    <w:rsid w:val="003E11A8"/>
    <w:rsid w:val="003E14B0"/>
    <w:rsid w:val="003E15E5"/>
    <w:rsid w:val="003E1ABD"/>
    <w:rsid w:val="003E1F12"/>
    <w:rsid w:val="003E443D"/>
    <w:rsid w:val="003E5505"/>
    <w:rsid w:val="003E55AE"/>
    <w:rsid w:val="003E5C80"/>
    <w:rsid w:val="003E5ED1"/>
    <w:rsid w:val="003E6682"/>
    <w:rsid w:val="003E7261"/>
    <w:rsid w:val="003E7A20"/>
    <w:rsid w:val="003E7AAD"/>
    <w:rsid w:val="003F088B"/>
    <w:rsid w:val="003F0FBE"/>
    <w:rsid w:val="003F165C"/>
    <w:rsid w:val="003F28CF"/>
    <w:rsid w:val="003F2AD2"/>
    <w:rsid w:val="003F30B1"/>
    <w:rsid w:val="003F328D"/>
    <w:rsid w:val="003F47E5"/>
    <w:rsid w:val="003F5439"/>
    <w:rsid w:val="003F5CDD"/>
    <w:rsid w:val="003F5D5D"/>
    <w:rsid w:val="003F60D3"/>
    <w:rsid w:val="003F6F65"/>
    <w:rsid w:val="003F7E6A"/>
    <w:rsid w:val="00400083"/>
    <w:rsid w:val="0040059A"/>
    <w:rsid w:val="00402FD5"/>
    <w:rsid w:val="00403A30"/>
    <w:rsid w:val="00404797"/>
    <w:rsid w:val="00405524"/>
    <w:rsid w:val="00406868"/>
    <w:rsid w:val="00406898"/>
    <w:rsid w:val="00407BD2"/>
    <w:rsid w:val="0041043C"/>
    <w:rsid w:val="004106B4"/>
    <w:rsid w:val="00411B85"/>
    <w:rsid w:val="00412132"/>
    <w:rsid w:val="00412214"/>
    <w:rsid w:val="0041266E"/>
    <w:rsid w:val="00413E71"/>
    <w:rsid w:val="004140EB"/>
    <w:rsid w:val="00414B54"/>
    <w:rsid w:val="0041612C"/>
    <w:rsid w:val="00416511"/>
    <w:rsid w:val="00416C2E"/>
    <w:rsid w:val="00417C69"/>
    <w:rsid w:val="004207E3"/>
    <w:rsid w:val="00420A13"/>
    <w:rsid w:val="00420B44"/>
    <w:rsid w:val="00420D01"/>
    <w:rsid w:val="00421774"/>
    <w:rsid w:val="00421906"/>
    <w:rsid w:val="0042321C"/>
    <w:rsid w:val="00423267"/>
    <w:rsid w:val="004252E8"/>
    <w:rsid w:val="00425B6B"/>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54D"/>
    <w:rsid w:val="00437BF5"/>
    <w:rsid w:val="00437BF8"/>
    <w:rsid w:val="00440E0E"/>
    <w:rsid w:val="004422D6"/>
    <w:rsid w:val="00442BFD"/>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97"/>
    <w:rsid w:val="004648D2"/>
    <w:rsid w:val="004652E5"/>
    <w:rsid w:val="004653E7"/>
    <w:rsid w:val="0046604D"/>
    <w:rsid w:val="00471F7A"/>
    <w:rsid w:val="0047250D"/>
    <w:rsid w:val="0047358F"/>
    <w:rsid w:val="0047429E"/>
    <w:rsid w:val="00474434"/>
    <w:rsid w:val="0047444E"/>
    <w:rsid w:val="00474614"/>
    <w:rsid w:val="00474880"/>
    <w:rsid w:val="004750AA"/>
    <w:rsid w:val="004755D2"/>
    <w:rsid w:val="004768C9"/>
    <w:rsid w:val="00476A0B"/>
    <w:rsid w:val="00477A49"/>
    <w:rsid w:val="00477BFF"/>
    <w:rsid w:val="00480940"/>
    <w:rsid w:val="00481FA4"/>
    <w:rsid w:val="004821AB"/>
    <w:rsid w:val="00482A4E"/>
    <w:rsid w:val="004832C7"/>
    <w:rsid w:val="00485197"/>
    <w:rsid w:val="00485AD7"/>
    <w:rsid w:val="00485ED3"/>
    <w:rsid w:val="004866CB"/>
    <w:rsid w:val="00487569"/>
    <w:rsid w:val="004878C1"/>
    <w:rsid w:val="00487986"/>
    <w:rsid w:val="004928C4"/>
    <w:rsid w:val="00492EB5"/>
    <w:rsid w:val="00493E48"/>
    <w:rsid w:val="0049475A"/>
    <w:rsid w:val="0049505C"/>
    <w:rsid w:val="00496626"/>
    <w:rsid w:val="0049684A"/>
    <w:rsid w:val="00496DBC"/>
    <w:rsid w:val="00497B27"/>
    <w:rsid w:val="00497F48"/>
    <w:rsid w:val="004A0A76"/>
    <w:rsid w:val="004A34D2"/>
    <w:rsid w:val="004A36C3"/>
    <w:rsid w:val="004A3CCB"/>
    <w:rsid w:val="004A411B"/>
    <w:rsid w:val="004A486C"/>
    <w:rsid w:val="004A488B"/>
    <w:rsid w:val="004A5218"/>
    <w:rsid w:val="004A5B0B"/>
    <w:rsid w:val="004A5B41"/>
    <w:rsid w:val="004A606D"/>
    <w:rsid w:val="004A6356"/>
    <w:rsid w:val="004A7E8A"/>
    <w:rsid w:val="004B159B"/>
    <w:rsid w:val="004B1F7C"/>
    <w:rsid w:val="004B219E"/>
    <w:rsid w:val="004B2774"/>
    <w:rsid w:val="004B28F8"/>
    <w:rsid w:val="004B411E"/>
    <w:rsid w:val="004B4A0E"/>
    <w:rsid w:val="004B4CAD"/>
    <w:rsid w:val="004B567B"/>
    <w:rsid w:val="004B5CAA"/>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544E"/>
    <w:rsid w:val="004C6C01"/>
    <w:rsid w:val="004C7677"/>
    <w:rsid w:val="004D1653"/>
    <w:rsid w:val="004D1B75"/>
    <w:rsid w:val="004D1CE5"/>
    <w:rsid w:val="004D2B08"/>
    <w:rsid w:val="004D2C64"/>
    <w:rsid w:val="004D3473"/>
    <w:rsid w:val="004D3521"/>
    <w:rsid w:val="004D4556"/>
    <w:rsid w:val="004D47D0"/>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4142"/>
    <w:rsid w:val="004E4900"/>
    <w:rsid w:val="004E4A6B"/>
    <w:rsid w:val="004E4AB3"/>
    <w:rsid w:val="004E5102"/>
    <w:rsid w:val="004E5B78"/>
    <w:rsid w:val="004E5BC5"/>
    <w:rsid w:val="004E6147"/>
    <w:rsid w:val="004E638B"/>
    <w:rsid w:val="004E6C63"/>
    <w:rsid w:val="004F00FF"/>
    <w:rsid w:val="004F0B50"/>
    <w:rsid w:val="004F1050"/>
    <w:rsid w:val="004F1065"/>
    <w:rsid w:val="004F32CC"/>
    <w:rsid w:val="004F38A9"/>
    <w:rsid w:val="004F4394"/>
    <w:rsid w:val="004F46FC"/>
    <w:rsid w:val="004F4EB9"/>
    <w:rsid w:val="004F5711"/>
    <w:rsid w:val="004F5F6A"/>
    <w:rsid w:val="004F71C2"/>
    <w:rsid w:val="0050188C"/>
    <w:rsid w:val="00501BC4"/>
    <w:rsid w:val="00501D8A"/>
    <w:rsid w:val="00501FA2"/>
    <w:rsid w:val="0050246B"/>
    <w:rsid w:val="005027F0"/>
    <w:rsid w:val="00502929"/>
    <w:rsid w:val="00502F06"/>
    <w:rsid w:val="005037BC"/>
    <w:rsid w:val="005037CD"/>
    <w:rsid w:val="00503872"/>
    <w:rsid w:val="00503C1E"/>
    <w:rsid w:val="005046C0"/>
    <w:rsid w:val="005053B0"/>
    <w:rsid w:val="00506085"/>
    <w:rsid w:val="005064F9"/>
    <w:rsid w:val="0051074C"/>
    <w:rsid w:val="0051089A"/>
    <w:rsid w:val="00510BB6"/>
    <w:rsid w:val="0051288D"/>
    <w:rsid w:val="00513A69"/>
    <w:rsid w:val="00513AF2"/>
    <w:rsid w:val="005144E0"/>
    <w:rsid w:val="005152C2"/>
    <w:rsid w:val="005153B7"/>
    <w:rsid w:val="00516462"/>
    <w:rsid w:val="0051690C"/>
    <w:rsid w:val="005200B5"/>
    <w:rsid w:val="00521B54"/>
    <w:rsid w:val="005222B7"/>
    <w:rsid w:val="00522983"/>
    <w:rsid w:val="0052307C"/>
    <w:rsid w:val="0052446F"/>
    <w:rsid w:val="00524F8D"/>
    <w:rsid w:val="00525D6C"/>
    <w:rsid w:val="005268C9"/>
    <w:rsid w:val="0052715F"/>
    <w:rsid w:val="00527CC7"/>
    <w:rsid w:val="00527D39"/>
    <w:rsid w:val="005305AF"/>
    <w:rsid w:val="00531545"/>
    <w:rsid w:val="00533367"/>
    <w:rsid w:val="00533C01"/>
    <w:rsid w:val="00535161"/>
    <w:rsid w:val="0053557D"/>
    <w:rsid w:val="00535A7F"/>
    <w:rsid w:val="0053606E"/>
    <w:rsid w:val="005369C0"/>
    <w:rsid w:val="00536C0D"/>
    <w:rsid w:val="0053771E"/>
    <w:rsid w:val="00537D21"/>
    <w:rsid w:val="005403D5"/>
    <w:rsid w:val="005418FA"/>
    <w:rsid w:val="00542FF3"/>
    <w:rsid w:val="0054323F"/>
    <w:rsid w:val="00543D6E"/>
    <w:rsid w:val="0054413A"/>
    <w:rsid w:val="005443C9"/>
    <w:rsid w:val="00545144"/>
    <w:rsid w:val="00545326"/>
    <w:rsid w:val="005457A0"/>
    <w:rsid w:val="005465E5"/>
    <w:rsid w:val="00546A34"/>
    <w:rsid w:val="00550551"/>
    <w:rsid w:val="00551DC1"/>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3DEE"/>
    <w:rsid w:val="00564281"/>
    <w:rsid w:val="00566EEE"/>
    <w:rsid w:val="00567CF6"/>
    <w:rsid w:val="00570BD6"/>
    <w:rsid w:val="00571897"/>
    <w:rsid w:val="005722C5"/>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58A"/>
    <w:rsid w:val="00590963"/>
    <w:rsid w:val="00590DD9"/>
    <w:rsid w:val="00590E6F"/>
    <w:rsid w:val="00591C90"/>
    <w:rsid w:val="00591F4C"/>
    <w:rsid w:val="0059266D"/>
    <w:rsid w:val="00592AC9"/>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54CB"/>
    <w:rsid w:val="005A6DCD"/>
    <w:rsid w:val="005A79FE"/>
    <w:rsid w:val="005B0132"/>
    <w:rsid w:val="005B2AF3"/>
    <w:rsid w:val="005B2F60"/>
    <w:rsid w:val="005B373F"/>
    <w:rsid w:val="005B4049"/>
    <w:rsid w:val="005B41D2"/>
    <w:rsid w:val="005B43FE"/>
    <w:rsid w:val="005B4AA6"/>
    <w:rsid w:val="005B5336"/>
    <w:rsid w:val="005B6F12"/>
    <w:rsid w:val="005B7215"/>
    <w:rsid w:val="005B7515"/>
    <w:rsid w:val="005B7A2F"/>
    <w:rsid w:val="005C0D43"/>
    <w:rsid w:val="005C1E33"/>
    <w:rsid w:val="005C1FFD"/>
    <w:rsid w:val="005C266E"/>
    <w:rsid w:val="005C39A3"/>
    <w:rsid w:val="005C3C95"/>
    <w:rsid w:val="005C3CCE"/>
    <w:rsid w:val="005C4308"/>
    <w:rsid w:val="005C4C81"/>
    <w:rsid w:val="005C5026"/>
    <w:rsid w:val="005C51A7"/>
    <w:rsid w:val="005C5A22"/>
    <w:rsid w:val="005C5B5C"/>
    <w:rsid w:val="005C6D84"/>
    <w:rsid w:val="005D064A"/>
    <w:rsid w:val="005D1CE8"/>
    <w:rsid w:val="005D29B5"/>
    <w:rsid w:val="005D3445"/>
    <w:rsid w:val="005D37F7"/>
    <w:rsid w:val="005D3807"/>
    <w:rsid w:val="005D3A4B"/>
    <w:rsid w:val="005D474D"/>
    <w:rsid w:val="005D552E"/>
    <w:rsid w:val="005D5C5D"/>
    <w:rsid w:val="005D7F00"/>
    <w:rsid w:val="005E0385"/>
    <w:rsid w:val="005E06A4"/>
    <w:rsid w:val="005E1BC6"/>
    <w:rsid w:val="005E1CF3"/>
    <w:rsid w:val="005E1F70"/>
    <w:rsid w:val="005E23E2"/>
    <w:rsid w:val="005E2E0F"/>
    <w:rsid w:val="005E2F44"/>
    <w:rsid w:val="005E3788"/>
    <w:rsid w:val="005E4F20"/>
    <w:rsid w:val="005E605B"/>
    <w:rsid w:val="005E67FC"/>
    <w:rsid w:val="005E72D5"/>
    <w:rsid w:val="005E7572"/>
    <w:rsid w:val="005E7A0B"/>
    <w:rsid w:val="005F0348"/>
    <w:rsid w:val="005F0C78"/>
    <w:rsid w:val="005F1050"/>
    <w:rsid w:val="005F137C"/>
    <w:rsid w:val="005F3431"/>
    <w:rsid w:val="005F4AB3"/>
    <w:rsid w:val="005F4BF5"/>
    <w:rsid w:val="005F5C6D"/>
    <w:rsid w:val="006007CC"/>
    <w:rsid w:val="00600FA4"/>
    <w:rsid w:val="00601496"/>
    <w:rsid w:val="0060197B"/>
    <w:rsid w:val="00601E1F"/>
    <w:rsid w:val="00601FCA"/>
    <w:rsid w:val="006028B1"/>
    <w:rsid w:val="00602A32"/>
    <w:rsid w:val="006030AA"/>
    <w:rsid w:val="00603999"/>
    <w:rsid w:val="00603BDE"/>
    <w:rsid w:val="006044E9"/>
    <w:rsid w:val="00604737"/>
    <w:rsid w:val="00610C94"/>
    <w:rsid w:val="00611379"/>
    <w:rsid w:val="00611D58"/>
    <w:rsid w:val="00612142"/>
    <w:rsid w:val="00612BDB"/>
    <w:rsid w:val="00612ED3"/>
    <w:rsid w:val="00613073"/>
    <w:rsid w:val="006133BD"/>
    <w:rsid w:val="006134DB"/>
    <w:rsid w:val="006135E8"/>
    <w:rsid w:val="00613F45"/>
    <w:rsid w:val="0061564E"/>
    <w:rsid w:val="00616C91"/>
    <w:rsid w:val="00616F60"/>
    <w:rsid w:val="00617024"/>
    <w:rsid w:val="00617066"/>
    <w:rsid w:val="006178DB"/>
    <w:rsid w:val="00620CBF"/>
    <w:rsid w:val="00620E47"/>
    <w:rsid w:val="0062127B"/>
    <w:rsid w:val="006219B0"/>
    <w:rsid w:val="00622002"/>
    <w:rsid w:val="006231D1"/>
    <w:rsid w:val="00623F97"/>
    <w:rsid w:val="00624730"/>
    <w:rsid w:val="00624D8F"/>
    <w:rsid w:val="0062567A"/>
    <w:rsid w:val="0062792C"/>
    <w:rsid w:val="00632406"/>
    <w:rsid w:val="006334A8"/>
    <w:rsid w:val="00633633"/>
    <w:rsid w:val="00633AB3"/>
    <w:rsid w:val="006360B1"/>
    <w:rsid w:val="006362A0"/>
    <w:rsid w:val="0063656E"/>
    <w:rsid w:val="006367B1"/>
    <w:rsid w:val="0063788B"/>
    <w:rsid w:val="006404C9"/>
    <w:rsid w:val="0064055D"/>
    <w:rsid w:val="00640B75"/>
    <w:rsid w:val="006426C6"/>
    <w:rsid w:val="00642D57"/>
    <w:rsid w:val="0064395A"/>
    <w:rsid w:val="00646512"/>
    <w:rsid w:val="00646829"/>
    <w:rsid w:val="00647622"/>
    <w:rsid w:val="0065089D"/>
    <w:rsid w:val="00650BA6"/>
    <w:rsid w:val="00651C73"/>
    <w:rsid w:val="00651D31"/>
    <w:rsid w:val="00652478"/>
    <w:rsid w:val="006524A2"/>
    <w:rsid w:val="006524BE"/>
    <w:rsid w:val="00652A5C"/>
    <w:rsid w:val="006533F8"/>
    <w:rsid w:val="006537D0"/>
    <w:rsid w:val="0065455F"/>
    <w:rsid w:val="00655360"/>
    <w:rsid w:val="00655371"/>
    <w:rsid w:val="00655569"/>
    <w:rsid w:val="00656388"/>
    <w:rsid w:val="006563C3"/>
    <w:rsid w:val="00661024"/>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16ED"/>
    <w:rsid w:val="006729E6"/>
    <w:rsid w:val="00672A0B"/>
    <w:rsid w:val="00672B53"/>
    <w:rsid w:val="00672EEC"/>
    <w:rsid w:val="0067317F"/>
    <w:rsid w:val="00673789"/>
    <w:rsid w:val="0067388D"/>
    <w:rsid w:val="00673AB7"/>
    <w:rsid w:val="00673AB9"/>
    <w:rsid w:val="00674512"/>
    <w:rsid w:val="00675933"/>
    <w:rsid w:val="00676340"/>
    <w:rsid w:val="00681A07"/>
    <w:rsid w:val="00682D0A"/>
    <w:rsid w:val="00683085"/>
    <w:rsid w:val="0068338B"/>
    <w:rsid w:val="00683404"/>
    <w:rsid w:val="00683D48"/>
    <w:rsid w:val="00686E92"/>
    <w:rsid w:val="006914D0"/>
    <w:rsid w:val="0069158F"/>
    <w:rsid w:val="006916C0"/>
    <w:rsid w:val="00691C58"/>
    <w:rsid w:val="00692BB0"/>
    <w:rsid w:val="00693CC2"/>
    <w:rsid w:val="00694B76"/>
    <w:rsid w:val="00695E74"/>
    <w:rsid w:val="0069678A"/>
    <w:rsid w:val="00697665"/>
    <w:rsid w:val="00697D73"/>
    <w:rsid w:val="006A00B7"/>
    <w:rsid w:val="006A049D"/>
    <w:rsid w:val="006A0BF9"/>
    <w:rsid w:val="006A12F4"/>
    <w:rsid w:val="006A1A12"/>
    <w:rsid w:val="006A2013"/>
    <w:rsid w:val="006A2F2D"/>
    <w:rsid w:val="006A3206"/>
    <w:rsid w:val="006A3CD1"/>
    <w:rsid w:val="006A3CF2"/>
    <w:rsid w:val="006A454C"/>
    <w:rsid w:val="006A5273"/>
    <w:rsid w:val="006A58B8"/>
    <w:rsid w:val="006A64A9"/>
    <w:rsid w:val="006A7FD0"/>
    <w:rsid w:val="006B161A"/>
    <w:rsid w:val="006B2195"/>
    <w:rsid w:val="006B34D7"/>
    <w:rsid w:val="006B4C1B"/>
    <w:rsid w:val="006B5004"/>
    <w:rsid w:val="006B5571"/>
    <w:rsid w:val="006B55C5"/>
    <w:rsid w:val="006B7576"/>
    <w:rsid w:val="006C0662"/>
    <w:rsid w:val="006C084F"/>
    <w:rsid w:val="006C0B38"/>
    <w:rsid w:val="006C14D1"/>
    <w:rsid w:val="006C2EB8"/>
    <w:rsid w:val="006C41CF"/>
    <w:rsid w:val="006C453C"/>
    <w:rsid w:val="006C4F96"/>
    <w:rsid w:val="006C5A51"/>
    <w:rsid w:val="006C627E"/>
    <w:rsid w:val="006C68E5"/>
    <w:rsid w:val="006C6A3B"/>
    <w:rsid w:val="006C6E36"/>
    <w:rsid w:val="006C7E2B"/>
    <w:rsid w:val="006D09F8"/>
    <w:rsid w:val="006D18A5"/>
    <w:rsid w:val="006D23BA"/>
    <w:rsid w:val="006D2CB8"/>
    <w:rsid w:val="006D2CF6"/>
    <w:rsid w:val="006D40DC"/>
    <w:rsid w:val="006D4498"/>
    <w:rsid w:val="006D4EC2"/>
    <w:rsid w:val="006D4F07"/>
    <w:rsid w:val="006D5176"/>
    <w:rsid w:val="006D5415"/>
    <w:rsid w:val="006D5EA2"/>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70A0"/>
    <w:rsid w:val="00700377"/>
    <w:rsid w:val="007008A4"/>
    <w:rsid w:val="00700E8E"/>
    <w:rsid w:val="007018AF"/>
    <w:rsid w:val="00701D9E"/>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30EA"/>
    <w:rsid w:val="00713DE5"/>
    <w:rsid w:val="00713FA0"/>
    <w:rsid w:val="00714254"/>
    <w:rsid w:val="00714718"/>
    <w:rsid w:val="00714833"/>
    <w:rsid w:val="00714C43"/>
    <w:rsid w:val="00715929"/>
    <w:rsid w:val="0071654A"/>
    <w:rsid w:val="007173EA"/>
    <w:rsid w:val="00717A45"/>
    <w:rsid w:val="00717D15"/>
    <w:rsid w:val="0072005B"/>
    <w:rsid w:val="00720966"/>
    <w:rsid w:val="007210EC"/>
    <w:rsid w:val="0072127D"/>
    <w:rsid w:val="007229B0"/>
    <w:rsid w:val="00723351"/>
    <w:rsid w:val="00724809"/>
    <w:rsid w:val="007252B4"/>
    <w:rsid w:val="00725AC2"/>
    <w:rsid w:val="00726DBE"/>
    <w:rsid w:val="00727EAE"/>
    <w:rsid w:val="00727FB6"/>
    <w:rsid w:val="007300F3"/>
    <w:rsid w:val="007303E0"/>
    <w:rsid w:val="00730AB8"/>
    <w:rsid w:val="00734D43"/>
    <w:rsid w:val="007357B0"/>
    <w:rsid w:val="00735A39"/>
    <w:rsid w:val="00736FC1"/>
    <w:rsid w:val="007372C3"/>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06F2"/>
    <w:rsid w:val="00751EE7"/>
    <w:rsid w:val="00752568"/>
    <w:rsid w:val="00752CB1"/>
    <w:rsid w:val="0075455D"/>
    <w:rsid w:val="00754621"/>
    <w:rsid w:val="0075582E"/>
    <w:rsid w:val="0075647A"/>
    <w:rsid w:val="00756E36"/>
    <w:rsid w:val="007573C1"/>
    <w:rsid w:val="007574E5"/>
    <w:rsid w:val="007605B5"/>
    <w:rsid w:val="007611DB"/>
    <w:rsid w:val="007634AD"/>
    <w:rsid w:val="00764CD2"/>
    <w:rsid w:val="0076566F"/>
    <w:rsid w:val="007656E6"/>
    <w:rsid w:val="00765BE2"/>
    <w:rsid w:val="007673F0"/>
    <w:rsid w:val="0076744F"/>
    <w:rsid w:val="00767455"/>
    <w:rsid w:val="007679AF"/>
    <w:rsid w:val="007701D9"/>
    <w:rsid w:val="00772C6C"/>
    <w:rsid w:val="007741D9"/>
    <w:rsid w:val="007743B6"/>
    <w:rsid w:val="007748F6"/>
    <w:rsid w:val="00774A8C"/>
    <w:rsid w:val="007750BB"/>
    <w:rsid w:val="00775779"/>
    <w:rsid w:val="00776ED5"/>
    <w:rsid w:val="007809E9"/>
    <w:rsid w:val="00780D84"/>
    <w:rsid w:val="0078122E"/>
    <w:rsid w:val="0078165F"/>
    <w:rsid w:val="00782024"/>
    <w:rsid w:val="00782DC1"/>
    <w:rsid w:val="007831EF"/>
    <w:rsid w:val="00783506"/>
    <w:rsid w:val="0078442B"/>
    <w:rsid w:val="007853BD"/>
    <w:rsid w:val="00785A12"/>
    <w:rsid w:val="00785E18"/>
    <w:rsid w:val="0078614D"/>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B6351"/>
    <w:rsid w:val="007B78B9"/>
    <w:rsid w:val="007C0326"/>
    <w:rsid w:val="007C0A36"/>
    <w:rsid w:val="007C2221"/>
    <w:rsid w:val="007C36EC"/>
    <w:rsid w:val="007C3946"/>
    <w:rsid w:val="007C60A9"/>
    <w:rsid w:val="007C6117"/>
    <w:rsid w:val="007C6410"/>
    <w:rsid w:val="007C672F"/>
    <w:rsid w:val="007C7077"/>
    <w:rsid w:val="007C7370"/>
    <w:rsid w:val="007C7638"/>
    <w:rsid w:val="007C7F04"/>
    <w:rsid w:val="007D0305"/>
    <w:rsid w:val="007D0F47"/>
    <w:rsid w:val="007D1727"/>
    <w:rsid w:val="007D1AD1"/>
    <w:rsid w:val="007D1FD8"/>
    <w:rsid w:val="007D28C9"/>
    <w:rsid w:val="007D40E2"/>
    <w:rsid w:val="007D58E1"/>
    <w:rsid w:val="007D5E0B"/>
    <w:rsid w:val="007D65D4"/>
    <w:rsid w:val="007D71A4"/>
    <w:rsid w:val="007E01FC"/>
    <w:rsid w:val="007E03C8"/>
    <w:rsid w:val="007E044F"/>
    <w:rsid w:val="007E1384"/>
    <w:rsid w:val="007E4585"/>
    <w:rsid w:val="007E56BA"/>
    <w:rsid w:val="007E5B03"/>
    <w:rsid w:val="007E6035"/>
    <w:rsid w:val="007E750C"/>
    <w:rsid w:val="007F047F"/>
    <w:rsid w:val="007F0D40"/>
    <w:rsid w:val="007F168F"/>
    <w:rsid w:val="007F25AB"/>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101D2"/>
    <w:rsid w:val="00810C11"/>
    <w:rsid w:val="00810CB8"/>
    <w:rsid w:val="008111B0"/>
    <w:rsid w:val="00811ED3"/>
    <w:rsid w:val="008125CD"/>
    <w:rsid w:val="0081348A"/>
    <w:rsid w:val="00813504"/>
    <w:rsid w:val="00815027"/>
    <w:rsid w:val="008159D3"/>
    <w:rsid w:val="00816191"/>
    <w:rsid w:val="00816302"/>
    <w:rsid w:val="0081643A"/>
    <w:rsid w:val="00816A51"/>
    <w:rsid w:val="00817A26"/>
    <w:rsid w:val="00817CA8"/>
    <w:rsid w:val="00817DDD"/>
    <w:rsid w:val="0082251D"/>
    <w:rsid w:val="00822D58"/>
    <w:rsid w:val="00822F0F"/>
    <w:rsid w:val="008232F1"/>
    <w:rsid w:val="00824AA3"/>
    <w:rsid w:val="00824D50"/>
    <w:rsid w:val="008259B9"/>
    <w:rsid w:val="00826A9D"/>
    <w:rsid w:val="008303BC"/>
    <w:rsid w:val="0083119B"/>
    <w:rsid w:val="00831238"/>
    <w:rsid w:val="0083133A"/>
    <w:rsid w:val="008313DB"/>
    <w:rsid w:val="008334FC"/>
    <w:rsid w:val="008339C5"/>
    <w:rsid w:val="008344BC"/>
    <w:rsid w:val="00834864"/>
    <w:rsid w:val="008349A7"/>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4E9"/>
    <w:rsid w:val="00853776"/>
    <w:rsid w:val="008541AC"/>
    <w:rsid w:val="00854DBB"/>
    <w:rsid w:val="00856468"/>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65EEA"/>
    <w:rsid w:val="008700C1"/>
    <w:rsid w:val="008705DE"/>
    <w:rsid w:val="00871295"/>
    <w:rsid w:val="0087249D"/>
    <w:rsid w:val="00873BCF"/>
    <w:rsid w:val="00874A6C"/>
    <w:rsid w:val="00877366"/>
    <w:rsid w:val="0087745C"/>
    <w:rsid w:val="00877FC5"/>
    <w:rsid w:val="00880626"/>
    <w:rsid w:val="00881690"/>
    <w:rsid w:val="00881742"/>
    <w:rsid w:val="008817ED"/>
    <w:rsid w:val="0088243F"/>
    <w:rsid w:val="00882EA0"/>
    <w:rsid w:val="00883662"/>
    <w:rsid w:val="00883715"/>
    <w:rsid w:val="0088457C"/>
    <w:rsid w:val="00885287"/>
    <w:rsid w:val="00885AA7"/>
    <w:rsid w:val="00886201"/>
    <w:rsid w:val="00886A5B"/>
    <w:rsid w:val="008871CF"/>
    <w:rsid w:val="00887B15"/>
    <w:rsid w:val="00890549"/>
    <w:rsid w:val="00890882"/>
    <w:rsid w:val="00890A8B"/>
    <w:rsid w:val="008927A8"/>
    <w:rsid w:val="00892810"/>
    <w:rsid w:val="00893165"/>
    <w:rsid w:val="00893180"/>
    <w:rsid w:val="00893C06"/>
    <w:rsid w:val="00894D34"/>
    <w:rsid w:val="00895AA2"/>
    <w:rsid w:val="00896174"/>
    <w:rsid w:val="008967AF"/>
    <w:rsid w:val="00896A1B"/>
    <w:rsid w:val="00897ED9"/>
    <w:rsid w:val="008A0425"/>
    <w:rsid w:val="008A0A11"/>
    <w:rsid w:val="008A0B2C"/>
    <w:rsid w:val="008A1966"/>
    <w:rsid w:val="008A257A"/>
    <w:rsid w:val="008A2F81"/>
    <w:rsid w:val="008A3228"/>
    <w:rsid w:val="008A41E2"/>
    <w:rsid w:val="008A46C3"/>
    <w:rsid w:val="008A53F7"/>
    <w:rsid w:val="008A54C1"/>
    <w:rsid w:val="008A575E"/>
    <w:rsid w:val="008A6443"/>
    <w:rsid w:val="008A69BA"/>
    <w:rsid w:val="008A7AAC"/>
    <w:rsid w:val="008A7DFA"/>
    <w:rsid w:val="008B1A31"/>
    <w:rsid w:val="008B250F"/>
    <w:rsid w:val="008B3299"/>
    <w:rsid w:val="008B3EAF"/>
    <w:rsid w:val="008B4490"/>
    <w:rsid w:val="008C0AF6"/>
    <w:rsid w:val="008C0ED3"/>
    <w:rsid w:val="008C26E3"/>
    <w:rsid w:val="008C2BFB"/>
    <w:rsid w:val="008C41C5"/>
    <w:rsid w:val="008C4353"/>
    <w:rsid w:val="008C596E"/>
    <w:rsid w:val="008C6600"/>
    <w:rsid w:val="008C6B51"/>
    <w:rsid w:val="008C710C"/>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425D"/>
    <w:rsid w:val="008E5380"/>
    <w:rsid w:val="008E55D9"/>
    <w:rsid w:val="008E5EBF"/>
    <w:rsid w:val="008E6F70"/>
    <w:rsid w:val="008E7D23"/>
    <w:rsid w:val="008F0394"/>
    <w:rsid w:val="008F14CC"/>
    <w:rsid w:val="008F1D84"/>
    <w:rsid w:val="008F1E25"/>
    <w:rsid w:val="008F2734"/>
    <w:rsid w:val="008F30C9"/>
    <w:rsid w:val="008F39BD"/>
    <w:rsid w:val="008F4123"/>
    <w:rsid w:val="008F489B"/>
    <w:rsid w:val="008F5C25"/>
    <w:rsid w:val="008F646E"/>
    <w:rsid w:val="008F6E4A"/>
    <w:rsid w:val="008F71EB"/>
    <w:rsid w:val="008F7353"/>
    <w:rsid w:val="008F7ABD"/>
    <w:rsid w:val="00900239"/>
    <w:rsid w:val="00900DDB"/>
    <w:rsid w:val="0090136A"/>
    <w:rsid w:val="00901CD9"/>
    <w:rsid w:val="00902199"/>
    <w:rsid w:val="009030CB"/>
    <w:rsid w:val="00903CAD"/>
    <w:rsid w:val="009047C5"/>
    <w:rsid w:val="00904CD9"/>
    <w:rsid w:val="00905603"/>
    <w:rsid w:val="00906322"/>
    <w:rsid w:val="009063A9"/>
    <w:rsid w:val="009064C4"/>
    <w:rsid w:val="009066C0"/>
    <w:rsid w:val="009071F2"/>
    <w:rsid w:val="0090765B"/>
    <w:rsid w:val="00907A73"/>
    <w:rsid w:val="00907E9D"/>
    <w:rsid w:val="009106BD"/>
    <w:rsid w:val="0091085E"/>
    <w:rsid w:val="00910B86"/>
    <w:rsid w:val="009110E3"/>
    <w:rsid w:val="0091237C"/>
    <w:rsid w:val="00914F02"/>
    <w:rsid w:val="00915E71"/>
    <w:rsid w:val="0091678A"/>
    <w:rsid w:val="00916A72"/>
    <w:rsid w:val="00916C89"/>
    <w:rsid w:val="0091746C"/>
    <w:rsid w:val="00917585"/>
    <w:rsid w:val="009176F3"/>
    <w:rsid w:val="00917700"/>
    <w:rsid w:val="0092110B"/>
    <w:rsid w:val="009213FA"/>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C4F"/>
    <w:rsid w:val="00937E01"/>
    <w:rsid w:val="00937E58"/>
    <w:rsid w:val="00940531"/>
    <w:rsid w:val="0094059F"/>
    <w:rsid w:val="00940714"/>
    <w:rsid w:val="009409CA"/>
    <w:rsid w:val="009424CF"/>
    <w:rsid w:val="00942B12"/>
    <w:rsid w:val="00944342"/>
    <w:rsid w:val="00944EA4"/>
    <w:rsid w:val="00945AD3"/>
    <w:rsid w:val="009465F7"/>
    <w:rsid w:val="00946737"/>
    <w:rsid w:val="00946C75"/>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604AE"/>
    <w:rsid w:val="00961FA1"/>
    <w:rsid w:val="00962034"/>
    <w:rsid w:val="00962A37"/>
    <w:rsid w:val="00964C6F"/>
    <w:rsid w:val="00965849"/>
    <w:rsid w:val="00967FE3"/>
    <w:rsid w:val="00970217"/>
    <w:rsid w:val="00971941"/>
    <w:rsid w:val="00971A67"/>
    <w:rsid w:val="009738F8"/>
    <w:rsid w:val="00973D6C"/>
    <w:rsid w:val="00973F55"/>
    <w:rsid w:val="00975490"/>
    <w:rsid w:val="00975D1B"/>
    <w:rsid w:val="00976CC3"/>
    <w:rsid w:val="00977088"/>
    <w:rsid w:val="0098054E"/>
    <w:rsid w:val="00981B5D"/>
    <w:rsid w:val="00982489"/>
    <w:rsid w:val="00984DFB"/>
    <w:rsid w:val="009859D0"/>
    <w:rsid w:val="009866C8"/>
    <w:rsid w:val="009874B4"/>
    <w:rsid w:val="00987DBA"/>
    <w:rsid w:val="00987F32"/>
    <w:rsid w:val="00990612"/>
    <w:rsid w:val="00990A26"/>
    <w:rsid w:val="00990A2F"/>
    <w:rsid w:val="0099113C"/>
    <w:rsid w:val="0099165C"/>
    <w:rsid w:val="0099549D"/>
    <w:rsid w:val="00995CA3"/>
    <w:rsid w:val="009966E7"/>
    <w:rsid w:val="00996D56"/>
    <w:rsid w:val="009A0B76"/>
    <w:rsid w:val="009A1A89"/>
    <w:rsid w:val="009A1A94"/>
    <w:rsid w:val="009A1B74"/>
    <w:rsid w:val="009A1C15"/>
    <w:rsid w:val="009A353C"/>
    <w:rsid w:val="009A3AEB"/>
    <w:rsid w:val="009A4864"/>
    <w:rsid w:val="009B053C"/>
    <w:rsid w:val="009B0BF6"/>
    <w:rsid w:val="009B0CB9"/>
    <w:rsid w:val="009B17C2"/>
    <w:rsid w:val="009B19D2"/>
    <w:rsid w:val="009B1BF2"/>
    <w:rsid w:val="009B2695"/>
    <w:rsid w:val="009B29F8"/>
    <w:rsid w:val="009B5EA5"/>
    <w:rsid w:val="009B6258"/>
    <w:rsid w:val="009B63F0"/>
    <w:rsid w:val="009B7EC0"/>
    <w:rsid w:val="009C02BD"/>
    <w:rsid w:val="009C0EC1"/>
    <w:rsid w:val="009C17B9"/>
    <w:rsid w:val="009C1933"/>
    <w:rsid w:val="009C1FFB"/>
    <w:rsid w:val="009C24BD"/>
    <w:rsid w:val="009C28F4"/>
    <w:rsid w:val="009C2A57"/>
    <w:rsid w:val="009C375E"/>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D1B"/>
    <w:rsid w:val="009E16CE"/>
    <w:rsid w:val="009E1F5A"/>
    <w:rsid w:val="009E245B"/>
    <w:rsid w:val="009E2882"/>
    <w:rsid w:val="009E3217"/>
    <w:rsid w:val="009E411D"/>
    <w:rsid w:val="009E4454"/>
    <w:rsid w:val="009E48B1"/>
    <w:rsid w:val="009E50F2"/>
    <w:rsid w:val="009E5DF3"/>
    <w:rsid w:val="009E6915"/>
    <w:rsid w:val="009E70F0"/>
    <w:rsid w:val="009F0BCE"/>
    <w:rsid w:val="009F1817"/>
    <w:rsid w:val="009F1BD6"/>
    <w:rsid w:val="009F2418"/>
    <w:rsid w:val="009F3083"/>
    <w:rsid w:val="009F3C99"/>
    <w:rsid w:val="009F48F0"/>
    <w:rsid w:val="009F57D1"/>
    <w:rsid w:val="009F596F"/>
    <w:rsid w:val="009F6369"/>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7446"/>
    <w:rsid w:val="00A10135"/>
    <w:rsid w:val="00A10706"/>
    <w:rsid w:val="00A1089F"/>
    <w:rsid w:val="00A11267"/>
    <w:rsid w:val="00A113C9"/>
    <w:rsid w:val="00A118A0"/>
    <w:rsid w:val="00A136ED"/>
    <w:rsid w:val="00A14F3C"/>
    <w:rsid w:val="00A17B91"/>
    <w:rsid w:val="00A206C9"/>
    <w:rsid w:val="00A20C68"/>
    <w:rsid w:val="00A21624"/>
    <w:rsid w:val="00A23088"/>
    <w:rsid w:val="00A23E37"/>
    <w:rsid w:val="00A24560"/>
    <w:rsid w:val="00A24CAF"/>
    <w:rsid w:val="00A25834"/>
    <w:rsid w:val="00A25EC5"/>
    <w:rsid w:val="00A26731"/>
    <w:rsid w:val="00A26D28"/>
    <w:rsid w:val="00A2734F"/>
    <w:rsid w:val="00A27EFE"/>
    <w:rsid w:val="00A30501"/>
    <w:rsid w:val="00A305CD"/>
    <w:rsid w:val="00A308D1"/>
    <w:rsid w:val="00A3167C"/>
    <w:rsid w:val="00A316F7"/>
    <w:rsid w:val="00A31770"/>
    <w:rsid w:val="00A31AAB"/>
    <w:rsid w:val="00A3216E"/>
    <w:rsid w:val="00A32529"/>
    <w:rsid w:val="00A32559"/>
    <w:rsid w:val="00A338FC"/>
    <w:rsid w:val="00A33A2C"/>
    <w:rsid w:val="00A34538"/>
    <w:rsid w:val="00A35156"/>
    <w:rsid w:val="00A36062"/>
    <w:rsid w:val="00A37529"/>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995"/>
    <w:rsid w:val="00A50AD2"/>
    <w:rsid w:val="00A50F5C"/>
    <w:rsid w:val="00A51D51"/>
    <w:rsid w:val="00A5228B"/>
    <w:rsid w:val="00A5235A"/>
    <w:rsid w:val="00A53B56"/>
    <w:rsid w:val="00A53E7C"/>
    <w:rsid w:val="00A546CA"/>
    <w:rsid w:val="00A54A2B"/>
    <w:rsid w:val="00A54AB9"/>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80248"/>
    <w:rsid w:val="00A80CF4"/>
    <w:rsid w:val="00A814D6"/>
    <w:rsid w:val="00A8268C"/>
    <w:rsid w:val="00A8275B"/>
    <w:rsid w:val="00A82E32"/>
    <w:rsid w:val="00A84361"/>
    <w:rsid w:val="00A84904"/>
    <w:rsid w:val="00A852F0"/>
    <w:rsid w:val="00A853DD"/>
    <w:rsid w:val="00A85C05"/>
    <w:rsid w:val="00A87177"/>
    <w:rsid w:val="00A87B23"/>
    <w:rsid w:val="00A923B7"/>
    <w:rsid w:val="00A95B45"/>
    <w:rsid w:val="00A95D9F"/>
    <w:rsid w:val="00A97342"/>
    <w:rsid w:val="00AA03C4"/>
    <w:rsid w:val="00AA077E"/>
    <w:rsid w:val="00AA18DB"/>
    <w:rsid w:val="00AA195D"/>
    <w:rsid w:val="00AA1C27"/>
    <w:rsid w:val="00AA33BA"/>
    <w:rsid w:val="00AA3DEF"/>
    <w:rsid w:val="00AA442B"/>
    <w:rsid w:val="00AA59F5"/>
    <w:rsid w:val="00AA671A"/>
    <w:rsid w:val="00AA686E"/>
    <w:rsid w:val="00AA6CC1"/>
    <w:rsid w:val="00AB00BD"/>
    <w:rsid w:val="00AB0D4D"/>
    <w:rsid w:val="00AB14CE"/>
    <w:rsid w:val="00AB1580"/>
    <w:rsid w:val="00AB1690"/>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D0B1D"/>
    <w:rsid w:val="00AD0F7C"/>
    <w:rsid w:val="00AD22FC"/>
    <w:rsid w:val="00AD2E44"/>
    <w:rsid w:val="00AD2F7B"/>
    <w:rsid w:val="00AD47FB"/>
    <w:rsid w:val="00AD48B1"/>
    <w:rsid w:val="00AD493D"/>
    <w:rsid w:val="00AD4EBB"/>
    <w:rsid w:val="00AD5E7A"/>
    <w:rsid w:val="00AD6135"/>
    <w:rsid w:val="00AD73E8"/>
    <w:rsid w:val="00AD7A11"/>
    <w:rsid w:val="00AD7C52"/>
    <w:rsid w:val="00AE0AC7"/>
    <w:rsid w:val="00AE1289"/>
    <w:rsid w:val="00AE19FC"/>
    <w:rsid w:val="00AE1FAC"/>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644"/>
    <w:rsid w:val="00AF5CE1"/>
    <w:rsid w:val="00AF6D47"/>
    <w:rsid w:val="00AF713D"/>
    <w:rsid w:val="00AF7FCE"/>
    <w:rsid w:val="00B00F9B"/>
    <w:rsid w:val="00B01850"/>
    <w:rsid w:val="00B02601"/>
    <w:rsid w:val="00B029E3"/>
    <w:rsid w:val="00B0312C"/>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C57"/>
    <w:rsid w:val="00B33D08"/>
    <w:rsid w:val="00B340FE"/>
    <w:rsid w:val="00B346CC"/>
    <w:rsid w:val="00B351B5"/>
    <w:rsid w:val="00B35587"/>
    <w:rsid w:val="00B360BE"/>
    <w:rsid w:val="00B36547"/>
    <w:rsid w:val="00B36E67"/>
    <w:rsid w:val="00B371E9"/>
    <w:rsid w:val="00B401D0"/>
    <w:rsid w:val="00B403DE"/>
    <w:rsid w:val="00B40A2A"/>
    <w:rsid w:val="00B42A55"/>
    <w:rsid w:val="00B439B4"/>
    <w:rsid w:val="00B43AA5"/>
    <w:rsid w:val="00B43C9B"/>
    <w:rsid w:val="00B442B7"/>
    <w:rsid w:val="00B45DA9"/>
    <w:rsid w:val="00B46798"/>
    <w:rsid w:val="00B46BC7"/>
    <w:rsid w:val="00B50315"/>
    <w:rsid w:val="00B512C3"/>
    <w:rsid w:val="00B513FE"/>
    <w:rsid w:val="00B51451"/>
    <w:rsid w:val="00B5146F"/>
    <w:rsid w:val="00B515CA"/>
    <w:rsid w:val="00B51689"/>
    <w:rsid w:val="00B5178D"/>
    <w:rsid w:val="00B525CB"/>
    <w:rsid w:val="00B531D7"/>
    <w:rsid w:val="00B53F68"/>
    <w:rsid w:val="00B54F70"/>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C3D"/>
    <w:rsid w:val="00B70169"/>
    <w:rsid w:val="00B70283"/>
    <w:rsid w:val="00B7078C"/>
    <w:rsid w:val="00B710C4"/>
    <w:rsid w:val="00B71561"/>
    <w:rsid w:val="00B7287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41"/>
    <w:rsid w:val="00B81ACB"/>
    <w:rsid w:val="00B81F14"/>
    <w:rsid w:val="00B8385C"/>
    <w:rsid w:val="00B83F84"/>
    <w:rsid w:val="00B84B3E"/>
    <w:rsid w:val="00B85623"/>
    <w:rsid w:val="00B87B9E"/>
    <w:rsid w:val="00B90205"/>
    <w:rsid w:val="00B90B22"/>
    <w:rsid w:val="00B90B34"/>
    <w:rsid w:val="00B91CF1"/>
    <w:rsid w:val="00B91EAD"/>
    <w:rsid w:val="00B92CB6"/>
    <w:rsid w:val="00B93287"/>
    <w:rsid w:val="00B94B1F"/>
    <w:rsid w:val="00B9556D"/>
    <w:rsid w:val="00B95717"/>
    <w:rsid w:val="00B979C2"/>
    <w:rsid w:val="00BA0FA8"/>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370"/>
    <w:rsid w:val="00BD16E4"/>
    <w:rsid w:val="00BD3ADF"/>
    <w:rsid w:val="00BD404B"/>
    <w:rsid w:val="00BD4104"/>
    <w:rsid w:val="00BD418A"/>
    <w:rsid w:val="00BD484B"/>
    <w:rsid w:val="00BD5979"/>
    <w:rsid w:val="00BD5F18"/>
    <w:rsid w:val="00BD5F91"/>
    <w:rsid w:val="00BD78FE"/>
    <w:rsid w:val="00BE1B2E"/>
    <w:rsid w:val="00BE1EB7"/>
    <w:rsid w:val="00BE3C30"/>
    <w:rsid w:val="00BE43C0"/>
    <w:rsid w:val="00BE4C31"/>
    <w:rsid w:val="00BE5743"/>
    <w:rsid w:val="00BE60C5"/>
    <w:rsid w:val="00BE62F9"/>
    <w:rsid w:val="00BE646C"/>
    <w:rsid w:val="00BE68A7"/>
    <w:rsid w:val="00BE7972"/>
    <w:rsid w:val="00BF0438"/>
    <w:rsid w:val="00BF0945"/>
    <w:rsid w:val="00BF0F80"/>
    <w:rsid w:val="00BF2195"/>
    <w:rsid w:val="00BF239F"/>
    <w:rsid w:val="00BF26EF"/>
    <w:rsid w:val="00BF2870"/>
    <w:rsid w:val="00BF2E6F"/>
    <w:rsid w:val="00BF38C7"/>
    <w:rsid w:val="00BF3E3E"/>
    <w:rsid w:val="00BF3E9C"/>
    <w:rsid w:val="00BF46EB"/>
    <w:rsid w:val="00BF52BB"/>
    <w:rsid w:val="00BF5655"/>
    <w:rsid w:val="00BF59DD"/>
    <w:rsid w:val="00BF6F68"/>
    <w:rsid w:val="00BF7FBC"/>
    <w:rsid w:val="00C01713"/>
    <w:rsid w:val="00C01888"/>
    <w:rsid w:val="00C0300E"/>
    <w:rsid w:val="00C03968"/>
    <w:rsid w:val="00C03D7A"/>
    <w:rsid w:val="00C04038"/>
    <w:rsid w:val="00C05889"/>
    <w:rsid w:val="00C06AA8"/>
    <w:rsid w:val="00C06C24"/>
    <w:rsid w:val="00C06D8D"/>
    <w:rsid w:val="00C06F4E"/>
    <w:rsid w:val="00C074ED"/>
    <w:rsid w:val="00C07969"/>
    <w:rsid w:val="00C07BA3"/>
    <w:rsid w:val="00C07EFC"/>
    <w:rsid w:val="00C1063D"/>
    <w:rsid w:val="00C108FF"/>
    <w:rsid w:val="00C128D8"/>
    <w:rsid w:val="00C13117"/>
    <w:rsid w:val="00C13B27"/>
    <w:rsid w:val="00C140C5"/>
    <w:rsid w:val="00C14392"/>
    <w:rsid w:val="00C14CDE"/>
    <w:rsid w:val="00C14D9E"/>
    <w:rsid w:val="00C15F8E"/>
    <w:rsid w:val="00C16340"/>
    <w:rsid w:val="00C1755A"/>
    <w:rsid w:val="00C20311"/>
    <w:rsid w:val="00C20858"/>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3584"/>
    <w:rsid w:val="00C355B4"/>
    <w:rsid w:val="00C358C6"/>
    <w:rsid w:val="00C35C94"/>
    <w:rsid w:val="00C35CCA"/>
    <w:rsid w:val="00C36B79"/>
    <w:rsid w:val="00C3789F"/>
    <w:rsid w:val="00C37E77"/>
    <w:rsid w:val="00C40376"/>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178F"/>
    <w:rsid w:val="00C52AA0"/>
    <w:rsid w:val="00C52E69"/>
    <w:rsid w:val="00C53904"/>
    <w:rsid w:val="00C539FA"/>
    <w:rsid w:val="00C53C40"/>
    <w:rsid w:val="00C54A9A"/>
    <w:rsid w:val="00C54E31"/>
    <w:rsid w:val="00C54E4E"/>
    <w:rsid w:val="00C5659C"/>
    <w:rsid w:val="00C579C6"/>
    <w:rsid w:val="00C606C0"/>
    <w:rsid w:val="00C60A58"/>
    <w:rsid w:val="00C611EF"/>
    <w:rsid w:val="00C61389"/>
    <w:rsid w:val="00C63537"/>
    <w:rsid w:val="00C63B97"/>
    <w:rsid w:val="00C63E4C"/>
    <w:rsid w:val="00C64C51"/>
    <w:rsid w:val="00C6585A"/>
    <w:rsid w:val="00C67675"/>
    <w:rsid w:val="00C67716"/>
    <w:rsid w:val="00C70C9A"/>
    <w:rsid w:val="00C7127A"/>
    <w:rsid w:val="00C713D7"/>
    <w:rsid w:val="00C71798"/>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D45"/>
    <w:rsid w:val="00C845E6"/>
    <w:rsid w:val="00C847FA"/>
    <w:rsid w:val="00C84D6B"/>
    <w:rsid w:val="00C8577F"/>
    <w:rsid w:val="00C859B3"/>
    <w:rsid w:val="00C85EAF"/>
    <w:rsid w:val="00C878E8"/>
    <w:rsid w:val="00C87A79"/>
    <w:rsid w:val="00C87FB1"/>
    <w:rsid w:val="00C90A72"/>
    <w:rsid w:val="00C91D94"/>
    <w:rsid w:val="00C91E02"/>
    <w:rsid w:val="00C92306"/>
    <w:rsid w:val="00C92639"/>
    <w:rsid w:val="00C94383"/>
    <w:rsid w:val="00C949D9"/>
    <w:rsid w:val="00C95026"/>
    <w:rsid w:val="00C9670A"/>
    <w:rsid w:val="00C969DD"/>
    <w:rsid w:val="00C9707B"/>
    <w:rsid w:val="00C974E8"/>
    <w:rsid w:val="00C97546"/>
    <w:rsid w:val="00CA0AB5"/>
    <w:rsid w:val="00CA0C3E"/>
    <w:rsid w:val="00CA1177"/>
    <w:rsid w:val="00CA131B"/>
    <w:rsid w:val="00CA1540"/>
    <w:rsid w:val="00CA287E"/>
    <w:rsid w:val="00CA2B13"/>
    <w:rsid w:val="00CA3F40"/>
    <w:rsid w:val="00CA44C0"/>
    <w:rsid w:val="00CA44E6"/>
    <w:rsid w:val="00CA4B84"/>
    <w:rsid w:val="00CA5926"/>
    <w:rsid w:val="00CA5AD8"/>
    <w:rsid w:val="00CA5FFD"/>
    <w:rsid w:val="00CA6B80"/>
    <w:rsid w:val="00CA7139"/>
    <w:rsid w:val="00CA73A8"/>
    <w:rsid w:val="00CB084F"/>
    <w:rsid w:val="00CB127A"/>
    <w:rsid w:val="00CB1B38"/>
    <w:rsid w:val="00CB1D4D"/>
    <w:rsid w:val="00CB21C6"/>
    <w:rsid w:val="00CB22AF"/>
    <w:rsid w:val="00CB2894"/>
    <w:rsid w:val="00CB3DAB"/>
    <w:rsid w:val="00CB4B63"/>
    <w:rsid w:val="00CB4C30"/>
    <w:rsid w:val="00CB532E"/>
    <w:rsid w:val="00CB5663"/>
    <w:rsid w:val="00CB58CF"/>
    <w:rsid w:val="00CB61ED"/>
    <w:rsid w:val="00CB6518"/>
    <w:rsid w:val="00CB7FCB"/>
    <w:rsid w:val="00CC00CD"/>
    <w:rsid w:val="00CC0E2F"/>
    <w:rsid w:val="00CC14C5"/>
    <w:rsid w:val="00CC1A35"/>
    <w:rsid w:val="00CC2C34"/>
    <w:rsid w:val="00CC2D5F"/>
    <w:rsid w:val="00CC4A96"/>
    <w:rsid w:val="00CC5BE0"/>
    <w:rsid w:val="00CC5E3E"/>
    <w:rsid w:val="00CC670C"/>
    <w:rsid w:val="00CC786F"/>
    <w:rsid w:val="00CD080F"/>
    <w:rsid w:val="00CD1434"/>
    <w:rsid w:val="00CD1A2C"/>
    <w:rsid w:val="00CD2200"/>
    <w:rsid w:val="00CD22B2"/>
    <w:rsid w:val="00CD2709"/>
    <w:rsid w:val="00CD2B02"/>
    <w:rsid w:val="00CD39D4"/>
    <w:rsid w:val="00CD47FC"/>
    <w:rsid w:val="00CD4833"/>
    <w:rsid w:val="00CD4CEE"/>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2AA3"/>
    <w:rsid w:val="00CF2CA1"/>
    <w:rsid w:val="00CF2EF6"/>
    <w:rsid w:val="00CF38A3"/>
    <w:rsid w:val="00CF397F"/>
    <w:rsid w:val="00CF404E"/>
    <w:rsid w:val="00CF4690"/>
    <w:rsid w:val="00CF4DAF"/>
    <w:rsid w:val="00CF532E"/>
    <w:rsid w:val="00CF5675"/>
    <w:rsid w:val="00CF6B14"/>
    <w:rsid w:val="00CF7778"/>
    <w:rsid w:val="00CF7DE3"/>
    <w:rsid w:val="00D004A0"/>
    <w:rsid w:val="00D03273"/>
    <w:rsid w:val="00D04268"/>
    <w:rsid w:val="00D047D3"/>
    <w:rsid w:val="00D0488F"/>
    <w:rsid w:val="00D04F45"/>
    <w:rsid w:val="00D054BD"/>
    <w:rsid w:val="00D05E28"/>
    <w:rsid w:val="00D063D2"/>
    <w:rsid w:val="00D06D43"/>
    <w:rsid w:val="00D07E72"/>
    <w:rsid w:val="00D07F68"/>
    <w:rsid w:val="00D1038E"/>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8A3"/>
    <w:rsid w:val="00D23B7C"/>
    <w:rsid w:val="00D24CC2"/>
    <w:rsid w:val="00D24E22"/>
    <w:rsid w:val="00D250D0"/>
    <w:rsid w:val="00D25B15"/>
    <w:rsid w:val="00D30416"/>
    <w:rsid w:val="00D31F4A"/>
    <w:rsid w:val="00D32C9D"/>
    <w:rsid w:val="00D3549C"/>
    <w:rsid w:val="00D356F9"/>
    <w:rsid w:val="00D35D5C"/>
    <w:rsid w:val="00D361D0"/>
    <w:rsid w:val="00D37454"/>
    <w:rsid w:val="00D376C1"/>
    <w:rsid w:val="00D40159"/>
    <w:rsid w:val="00D40DDB"/>
    <w:rsid w:val="00D429EC"/>
    <w:rsid w:val="00D43978"/>
    <w:rsid w:val="00D44121"/>
    <w:rsid w:val="00D44846"/>
    <w:rsid w:val="00D454B6"/>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4F1E"/>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4FD9"/>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160B"/>
    <w:rsid w:val="00DD1C18"/>
    <w:rsid w:val="00DD2116"/>
    <w:rsid w:val="00DD21A2"/>
    <w:rsid w:val="00DD2D30"/>
    <w:rsid w:val="00DD31A9"/>
    <w:rsid w:val="00DD3432"/>
    <w:rsid w:val="00DD5E33"/>
    <w:rsid w:val="00DD6339"/>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83C"/>
    <w:rsid w:val="00DE6B11"/>
    <w:rsid w:val="00DE6E79"/>
    <w:rsid w:val="00DE6FE1"/>
    <w:rsid w:val="00DE70DC"/>
    <w:rsid w:val="00DF0AB4"/>
    <w:rsid w:val="00DF0AE3"/>
    <w:rsid w:val="00DF1287"/>
    <w:rsid w:val="00DF16DA"/>
    <w:rsid w:val="00DF1DAA"/>
    <w:rsid w:val="00DF236B"/>
    <w:rsid w:val="00DF29D3"/>
    <w:rsid w:val="00DF3E38"/>
    <w:rsid w:val="00DF5090"/>
    <w:rsid w:val="00DF6ACD"/>
    <w:rsid w:val="00DF78DE"/>
    <w:rsid w:val="00DF79C3"/>
    <w:rsid w:val="00E000C8"/>
    <w:rsid w:val="00E008F1"/>
    <w:rsid w:val="00E01453"/>
    <w:rsid w:val="00E017C4"/>
    <w:rsid w:val="00E048EE"/>
    <w:rsid w:val="00E04A00"/>
    <w:rsid w:val="00E04C9B"/>
    <w:rsid w:val="00E056B2"/>
    <w:rsid w:val="00E06F42"/>
    <w:rsid w:val="00E0740A"/>
    <w:rsid w:val="00E07843"/>
    <w:rsid w:val="00E10A6D"/>
    <w:rsid w:val="00E113F7"/>
    <w:rsid w:val="00E116A9"/>
    <w:rsid w:val="00E11FC1"/>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3B36"/>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5E7"/>
    <w:rsid w:val="00E42CEA"/>
    <w:rsid w:val="00E42F9D"/>
    <w:rsid w:val="00E432B4"/>
    <w:rsid w:val="00E43A2C"/>
    <w:rsid w:val="00E43A34"/>
    <w:rsid w:val="00E449E0"/>
    <w:rsid w:val="00E44D4E"/>
    <w:rsid w:val="00E45104"/>
    <w:rsid w:val="00E453B7"/>
    <w:rsid w:val="00E45D1C"/>
    <w:rsid w:val="00E46467"/>
    <w:rsid w:val="00E467FE"/>
    <w:rsid w:val="00E4777A"/>
    <w:rsid w:val="00E50019"/>
    <w:rsid w:val="00E52D01"/>
    <w:rsid w:val="00E54AE8"/>
    <w:rsid w:val="00E5557F"/>
    <w:rsid w:val="00E5588F"/>
    <w:rsid w:val="00E60196"/>
    <w:rsid w:val="00E60756"/>
    <w:rsid w:val="00E618EA"/>
    <w:rsid w:val="00E61E09"/>
    <w:rsid w:val="00E62ACD"/>
    <w:rsid w:val="00E62C5F"/>
    <w:rsid w:val="00E63108"/>
    <w:rsid w:val="00E6402F"/>
    <w:rsid w:val="00E6457F"/>
    <w:rsid w:val="00E64B60"/>
    <w:rsid w:val="00E66E98"/>
    <w:rsid w:val="00E6724C"/>
    <w:rsid w:val="00E67E83"/>
    <w:rsid w:val="00E7057D"/>
    <w:rsid w:val="00E71AEB"/>
    <w:rsid w:val="00E72E97"/>
    <w:rsid w:val="00E737A7"/>
    <w:rsid w:val="00E7503A"/>
    <w:rsid w:val="00E768B7"/>
    <w:rsid w:val="00E76D76"/>
    <w:rsid w:val="00E76F51"/>
    <w:rsid w:val="00E76F61"/>
    <w:rsid w:val="00E7700C"/>
    <w:rsid w:val="00E776ED"/>
    <w:rsid w:val="00E80C3F"/>
    <w:rsid w:val="00E8112D"/>
    <w:rsid w:val="00E81AFD"/>
    <w:rsid w:val="00E832F8"/>
    <w:rsid w:val="00E8330E"/>
    <w:rsid w:val="00E83789"/>
    <w:rsid w:val="00E854A0"/>
    <w:rsid w:val="00E86E90"/>
    <w:rsid w:val="00E87315"/>
    <w:rsid w:val="00E90810"/>
    <w:rsid w:val="00E91203"/>
    <w:rsid w:val="00E91477"/>
    <w:rsid w:val="00E91585"/>
    <w:rsid w:val="00E915AC"/>
    <w:rsid w:val="00E9178F"/>
    <w:rsid w:val="00E917AE"/>
    <w:rsid w:val="00E91DA5"/>
    <w:rsid w:val="00E92488"/>
    <w:rsid w:val="00E94DA3"/>
    <w:rsid w:val="00E970AD"/>
    <w:rsid w:val="00E97548"/>
    <w:rsid w:val="00E9754A"/>
    <w:rsid w:val="00E9760B"/>
    <w:rsid w:val="00E97CC7"/>
    <w:rsid w:val="00E97E46"/>
    <w:rsid w:val="00EA04EF"/>
    <w:rsid w:val="00EA1131"/>
    <w:rsid w:val="00EA3483"/>
    <w:rsid w:val="00EA38C4"/>
    <w:rsid w:val="00EA6BEE"/>
    <w:rsid w:val="00EA704D"/>
    <w:rsid w:val="00EA79EB"/>
    <w:rsid w:val="00EB0DF1"/>
    <w:rsid w:val="00EB3AB3"/>
    <w:rsid w:val="00EB5145"/>
    <w:rsid w:val="00EB7836"/>
    <w:rsid w:val="00EB7E20"/>
    <w:rsid w:val="00EC08B0"/>
    <w:rsid w:val="00EC2A8B"/>
    <w:rsid w:val="00EC3B81"/>
    <w:rsid w:val="00EC443D"/>
    <w:rsid w:val="00EC4988"/>
    <w:rsid w:val="00EC4A47"/>
    <w:rsid w:val="00EC58BE"/>
    <w:rsid w:val="00EC5A9E"/>
    <w:rsid w:val="00EC5E1B"/>
    <w:rsid w:val="00EC5F41"/>
    <w:rsid w:val="00EC60CB"/>
    <w:rsid w:val="00EC7091"/>
    <w:rsid w:val="00EC7470"/>
    <w:rsid w:val="00EC7B4C"/>
    <w:rsid w:val="00ED009B"/>
    <w:rsid w:val="00ED0667"/>
    <w:rsid w:val="00ED0F19"/>
    <w:rsid w:val="00ED2EB1"/>
    <w:rsid w:val="00ED2EFF"/>
    <w:rsid w:val="00ED3700"/>
    <w:rsid w:val="00ED3AC7"/>
    <w:rsid w:val="00ED3BF4"/>
    <w:rsid w:val="00ED4234"/>
    <w:rsid w:val="00ED42A5"/>
    <w:rsid w:val="00ED7F90"/>
    <w:rsid w:val="00EE094E"/>
    <w:rsid w:val="00EE1CCD"/>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EB1"/>
    <w:rsid w:val="00F01322"/>
    <w:rsid w:val="00F02183"/>
    <w:rsid w:val="00F038E5"/>
    <w:rsid w:val="00F03B2B"/>
    <w:rsid w:val="00F04511"/>
    <w:rsid w:val="00F04CC2"/>
    <w:rsid w:val="00F058FE"/>
    <w:rsid w:val="00F05D63"/>
    <w:rsid w:val="00F05F75"/>
    <w:rsid w:val="00F06B15"/>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17613"/>
    <w:rsid w:val="00F176B9"/>
    <w:rsid w:val="00F20348"/>
    <w:rsid w:val="00F20F65"/>
    <w:rsid w:val="00F23A10"/>
    <w:rsid w:val="00F24361"/>
    <w:rsid w:val="00F246FE"/>
    <w:rsid w:val="00F26EF6"/>
    <w:rsid w:val="00F277D0"/>
    <w:rsid w:val="00F27A52"/>
    <w:rsid w:val="00F30A5C"/>
    <w:rsid w:val="00F3240B"/>
    <w:rsid w:val="00F354B5"/>
    <w:rsid w:val="00F355D3"/>
    <w:rsid w:val="00F368C1"/>
    <w:rsid w:val="00F36B58"/>
    <w:rsid w:val="00F36E11"/>
    <w:rsid w:val="00F37460"/>
    <w:rsid w:val="00F379A3"/>
    <w:rsid w:val="00F37C6E"/>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4899"/>
    <w:rsid w:val="00F8492C"/>
    <w:rsid w:val="00F85499"/>
    <w:rsid w:val="00F859F0"/>
    <w:rsid w:val="00F86883"/>
    <w:rsid w:val="00F8789E"/>
    <w:rsid w:val="00F91CA6"/>
    <w:rsid w:val="00F92E29"/>
    <w:rsid w:val="00F93448"/>
    <w:rsid w:val="00F94AEF"/>
    <w:rsid w:val="00FA06A3"/>
    <w:rsid w:val="00FA0AD1"/>
    <w:rsid w:val="00FA0E3E"/>
    <w:rsid w:val="00FA2ACB"/>
    <w:rsid w:val="00FA310C"/>
    <w:rsid w:val="00FA3B5A"/>
    <w:rsid w:val="00FA40C0"/>
    <w:rsid w:val="00FA4A30"/>
    <w:rsid w:val="00FA4B7C"/>
    <w:rsid w:val="00FA4CDC"/>
    <w:rsid w:val="00FA540E"/>
    <w:rsid w:val="00FA6587"/>
    <w:rsid w:val="00FA6DE2"/>
    <w:rsid w:val="00FA723D"/>
    <w:rsid w:val="00FB0D40"/>
    <w:rsid w:val="00FB301D"/>
    <w:rsid w:val="00FB42FF"/>
    <w:rsid w:val="00FB47F3"/>
    <w:rsid w:val="00FB516F"/>
    <w:rsid w:val="00FB5564"/>
    <w:rsid w:val="00FB58AF"/>
    <w:rsid w:val="00FB5BF9"/>
    <w:rsid w:val="00FC0B6A"/>
    <w:rsid w:val="00FC0F82"/>
    <w:rsid w:val="00FC3D45"/>
    <w:rsid w:val="00FC4647"/>
    <w:rsid w:val="00FC6EB3"/>
    <w:rsid w:val="00FC711A"/>
    <w:rsid w:val="00FC7299"/>
    <w:rsid w:val="00FC7C2E"/>
    <w:rsid w:val="00FC7F10"/>
    <w:rsid w:val="00FD019A"/>
    <w:rsid w:val="00FD140C"/>
    <w:rsid w:val="00FD2533"/>
    <w:rsid w:val="00FD3213"/>
    <w:rsid w:val="00FD3A2E"/>
    <w:rsid w:val="00FD4AFF"/>
    <w:rsid w:val="00FD50F2"/>
    <w:rsid w:val="00FD674C"/>
    <w:rsid w:val="00FD7A75"/>
    <w:rsid w:val="00FD7C2D"/>
    <w:rsid w:val="00FD7C89"/>
    <w:rsid w:val="00FE0395"/>
    <w:rsid w:val="00FE0DC4"/>
    <w:rsid w:val="00FE0E9C"/>
    <w:rsid w:val="00FE0EBA"/>
    <w:rsid w:val="00FE125A"/>
    <w:rsid w:val="00FE141E"/>
    <w:rsid w:val="00FE1AF1"/>
    <w:rsid w:val="00FE24F4"/>
    <w:rsid w:val="00FE2A33"/>
    <w:rsid w:val="00FE46AA"/>
    <w:rsid w:val="00FE5ECC"/>
    <w:rsid w:val="00FE65B4"/>
    <w:rsid w:val="00FE674D"/>
    <w:rsid w:val="00FF10B9"/>
    <w:rsid w:val="00FF2832"/>
    <w:rsid w:val="00FF3657"/>
    <w:rsid w:val="00FF417D"/>
    <w:rsid w:val="00FF49BD"/>
    <w:rsid w:val="00FF4A64"/>
    <w:rsid w:val="00FF521D"/>
    <w:rsid w:val="00FF5C43"/>
    <w:rsid w:val="00FF60FB"/>
    <w:rsid w:val="00FF66DD"/>
    <w:rsid w:val="00FF6C03"/>
    <w:rsid w:val="00FF6F65"/>
    <w:rsid w:val="00FF7737"/>
    <w:rsid w:val="00FF773A"/>
    <w:rsid w:val="00FF7E87"/>
    <w:rsid w:val="03C30222"/>
    <w:rsid w:val="127BF070"/>
    <w:rsid w:val="1756A024"/>
    <w:rsid w:val="374C1BEF"/>
    <w:rsid w:val="4AD19253"/>
    <w:rsid w:val="73FCB41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 w:type="character" w:styleId="Mencinsinresolver">
    <w:name w:val="Unresolved Mention"/>
    <w:basedOn w:val="Fuentedeprrafopredeter"/>
    <w:uiPriority w:val="99"/>
    <w:semiHidden/>
    <w:unhideWhenUsed/>
    <w:rsid w:val="00946C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896840">
      <w:bodyDiv w:val="1"/>
      <w:marLeft w:val="0"/>
      <w:marRight w:val="0"/>
      <w:marTop w:val="0"/>
      <w:marBottom w:val="0"/>
      <w:divBdr>
        <w:top w:val="none" w:sz="0" w:space="0" w:color="auto"/>
        <w:left w:val="none" w:sz="0" w:space="0" w:color="auto"/>
        <w:bottom w:val="none" w:sz="0" w:space="0" w:color="auto"/>
        <w:right w:val="none" w:sz="0" w:space="0" w:color="auto"/>
      </w:divBdr>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9FE9F6-B92F-4F28-AB1B-1778E8CA0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3.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TotalTime>
  <Pages>23</Pages>
  <Words>7414</Words>
  <Characters>40780</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anv</dc:creator>
  <cp:lastModifiedBy>MARIA CLAUDIA DE LA OSSA BOBADILLA</cp:lastModifiedBy>
  <cp:revision>2</cp:revision>
  <dcterms:created xsi:type="dcterms:W3CDTF">2022-05-24T16:36:00Z</dcterms:created>
  <dcterms:modified xsi:type="dcterms:W3CDTF">2022-05-24T16:36:00Z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