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B1DADC" w14:textId="77777777" w:rsidR="007B0C58" w:rsidRPr="00E60E0C" w:rsidRDefault="007B0C58" w:rsidP="00D07AEC">
      <w:pPr>
        <w:jc w:val="both"/>
        <w:rPr>
          <w:rFonts w:ascii="Verdana" w:eastAsia="Calibri" w:hAnsi="Verdana" w:cs="Arial"/>
          <w:b/>
          <w:bCs/>
          <w:lang w:eastAsia="es-ES"/>
        </w:rPr>
      </w:pPr>
      <w:bookmarkStart w:id="0" w:name="_Hlk186494164"/>
      <w:r w:rsidRPr="00E60E0C">
        <w:rPr>
          <w:rFonts w:ascii="Verdana" w:eastAsia="Calibri" w:hAnsi="Verdana" w:cs="Arial"/>
          <w:b/>
          <w:bCs/>
          <w:lang w:val="es-MX" w:eastAsia="es-ES"/>
        </w:rPr>
        <w:t xml:space="preserve">INEFICACIA DE PLENO DERECHO – Características – Régimen jurídico en materia de contratación estatal </w:t>
      </w:r>
      <w:r w:rsidRPr="00E60E0C">
        <w:rPr>
          <w:rFonts w:ascii="Verdana" w:eastAsia="Calibri" w:hAnsi="Verdana" w:cs="Arial"/>
          <w:b/>
          <w:bCs/>
          <w:lang w:eastAsia="es-ES"/>
        </w:rPr>
        <w:t xml:space="preserve">– Materialización </w:t>
      </w:r>
    </w:p>
    <w:p w14:paraId="216B5011" w14:textId="08EA1FF0" w:rsidR="004B48B7" w:rsidRPr="00D07AEC" w:rsidRDefault="004B48B7" w:rsidP="00D07AEC">
      <w:pPr>
        <w:spacing w:after="0" w:line="240" w:lineRule="auto"/>
        <w:jc w:val="both"/>
        <w:rPr>
          <w:rFonts w:ascii="Verdana" w:eastAsia="Calibri" w:hAnsi="Verdana" w:cs="Arial"/>
          <w:bCs/>
          <w:color w:val="000000" w:themeColor="text1"/>
          <w:sz w:val="20"/>
          <w:szCs w:val="20"/>
        </w:rPr>
      </w:pPr>
      <w:r w:rsidRPr="00D07AEC">
        <w:rPr>
          <w:rFonts w:ascii="Verdana" w:eastAsia="Calibri" w:hAnsi="Verdana" w:cs="Arial"/>
          <w:bCs/>
          <w:color w:val="000000" w:themeColor="text1"/>
          <w:sz w:val="20"/>
          <w:szCs w:val="20"/>
        </w:rPr>
        <w:t xml:space="preserve">La ineficacia de pleno derecho ha sido definida como “una figura en virtud de la cual un acto no produce efectos porque se configuran determinadas circunstancias tan lesivas para el ordenamiento jurídico que, según la norma positiva expresamente, ello traerá como consecuencia que el negocio jurídico no cobre vigencia”.  </w:t>
      </w:r>
    </w:p>
    <w:p w14:paraId="6522A717" w14:textId="74E10DAC" w:rsidR="004B48B7" w:rsidRPr="00D07AEC" w:rsidRDefault="004B48B7" w:rsidP="00D07AEC">
      <w:pPr>
        <w:spacing w:after="0" w:line="240" w:lineRule="auto"/>
        <w:jc w:val="both"/>
        <w:rPr>
          <w:rFonts w:ascii="Verdana" w:eastAsia="Calibri" w:hAnsi="Verdana" w:cs="Arial"/>
          <w:bCs/>
          <w:color w:val="000000" w:themeColor="text1"/>
          <w:sz w:val="20"/>
          <w:szCs w:val="20"/>
        </w:rPr>
      </w:pPr>
      <w:r w:rsidRPr="00D07AEC">
        <w:rPr>
          <w:rFonts w:ascii="Verdana" w:eastAsia="Geomanist Light" w:hAnsi="Verdana" w:cs="Arial"/>
          <w:color w:val="201F1E"/>
          <w:sz w:val="20"/>
          <w:szCs w:val="20"/>
        </w:rPr>
        <w:t>[</w:t>
      </w:r>
      <w:r w:rsidR="0085113B" w:rsidRPr="00D07AEC">
        <w:rPr>
          <w:rFonts w:ascii="Verdana" w:eastAsia="Geomanist Light" w:hAnsi="Verdana" w:cs="Arial"/>
          <w:color w:val="201F1E"/>
          <w:sz w:val="20"/>
          <w:szCs w:val="20"/>
        </w:rPr>
        <w:t>…</w:t>
      </w:r>
      <w:r w:rsidRPr="00D07AEC">
        <w:rPr>
          <w:rFonts w:ascii="Verdana" w:eastAsia="Geomanist Light" w:hAnsi="Verdana" w:cs="Arial"/>
          <w:color w:val="201F1E"/>
          <w:sz w:val="20"/>
          <w:szCs w:val="20"/>
        </w:rPr>
        <w:t>]</w:t>
      </w:r>
    </w:p>
    <w:p w14:paraId="33EDB7F4" w14:textId="77777777" w:rsidR="00D07AEC" w:rsidRDefault="00D07AEC" w:rsidP="00D07AEC">
      <w:pPr>
        <w:spacing w:after="0" w:line="240" w:lineRule="auto"/>
        <w:jc w:val="both"/>
        <w:rPr>
          <w:rFonts w:ascii="Verdana" w:eastAsia="Calibri" w:hAnsi="Verdana" w:cs="Arial"/>
          <w:bCs/>
          <w:color w:val="000000" w:themeColor="text1"/>
          <w:sz w:val="20"/>
          <w:szCs w:val="20"/>
          <w:lang w:val="es-ES_tradnl"/>
        </w:rPr>
      </w:pPr>
    </w:p>
    <w:p w14:paraId="02B9269D" w14:textId="5280D810" w:rsidR="004B48B7" w:rsidRPr="00D07AEC" w:rsidRDefault="004B48B7" w:rsidP="00D07AEC">
      <w:pPr>
        <w:spacing w:after="0" w:line="240" w:lineRule="auto"/>
        <w:jc w:val="both"/>
        <w:rPr>
          <w:rFonts w:ascii="Verdana" w:eastAsia="Calibri" w:hAnsi="Verdana" w:cs="Arial"/>
          <w:bCs/>
          <w:color w:val="000000" w:themeColor="text1"/>
          <w:sz w:val="20"/>
          <w:szCs w:val="20"/>
          <w:lang w:val="es-ES_tradnl"/>
        </w:rPr>
      </w:pPr>
      <w:r w:rsidRPr="00D07AEC">
        <w:rPr>
          <w:rFonts w:ascii="Verdana" w:eastAsia="Calibri" w:hAnsi="Verdana" w:cs="Arial"/>
          <w:bCs/>
          <w:color w:val="000000" w:themeColor="text1"/>
          <w:sz w:val="20"/>
          <w:szCs w:val="20"/>
          <w:lang w:val="es-ES_tradnl"/>
        </w:rPr>
        <w:t xml:space="preserve">Con fundamento en lo anterior, se identifican como rasgos característicos de la ineficacia de pleno derecho: (i) </w:t>
      </w:r>
      <w:r w:rsidRPr="00D07AEC">
        <w:rPr>
          <w:rFonts w:ascii="Verdana" w:eastAsia="Calibri" w:hAnsi="Verdana" w:cs="Arial"/>
          <w:bCs/>
          <w:color w:val="000000" w:themeColor="text1"/>
          <w:sz w:val="20"/>
          <w:szCs w:val="20"/>
        </w:rPr>
        <w:t>procede cuando se pacta una cláusula que transgrede de manera excesiva normas imperativas y, por ende, deben sancionarse con su inoperancia</w:t>
      </w:r>
      <w:r w:rsidRPr="00D07AEC">
        <w:rPr>
          <w:rFonts w:ascii="Verdana" w:eastAsia="Calibri" w:hAnsi="Verdana" w:cs="Arial"/>
          <w:bCs/>
          <w:color w:val="000000" w:themeColor="text1"/>
          <w:sz w:val="20"/>
          <w:szCs w:val="20"/>
          <w:lang w:val="es-ES_tradnl"/>
        </w:rPr>
        <w:t>; (</w:t>
      </w:r>
      <w:proofErr w:type="spellStart"/>
      <w:r w:rsidRPr="00D07AEC">
        <w:rPr>
          <w:rFonts w:ascii="Verdana" w:eastAsia="Calibri" w:hAnsi="Verdana" w:cs="Arial"/>
          <w:bCs/>
          <w:color w:val="000000" w:themeColor="text1"/>
          <w:sz w:val="20"/>
          <w:szCs w:val="20"/>
          <w:lang w:val="es-ES_tradnl"/>
        </w:rPr>
        <w:t>ii</w:t>
      </w:r>
      <w:proofErr w:type="spellEnd"/>
      <w:r w:rsidRPr="00D07AEC">
        <w:rPr>
          <w:rFonts w:ascii="Verdana" w:eastAsia="Calibri" w:hAnsi="Verdana" w:cs="Arial"/>
          <w:bCs/>
          <w:color w:val="000000" w:themeColor="text1"/>
          <w:sz w:val="20"/>
          <w:szCs w:val="20"/>
          <w:lang w:val="es-ES_tradnl"/>
        </w:rPr>
        <w:t xml:space="preserve">) </w:t>
      </w:r>
      <w:r w:rsidRPr="00D07AEC">
        <w:rPr>
          <w:rFonts w:ascii="Verdana" w:eastAsia="Calibri" w:hAnsi="Verdana" w:cs="Arial"/>
          <w:bCs/>
          <w:color w:val="000000" w:themeColor="text1"/>
          <w:sz w:val="20"/>
          <w:szCs w:val="20"/>
        </w:rPr>
        <w:t xml:space="preserve">se requiere </w:t>
      </w:r>
      <w:r w:rsidRPr="00D07AEC">
        <w:rPr>
          <w:rFonts w:ascii="Verdana" w:eastAsia="Calibri" w:hAnsi="Verdana" w:cs="Arial"/>
          <w:bCs/>
          <w:color w:val="000000" w:themeColor="text1"/>
          <w:sz w:val="20"/>
          <w:szCs w:val="20"/>
          <w:lang w:val="es-ES_tradnl"/>
        </w:rPr>
        <w:t>una consagración legal expresa de</w:t>
      </w:r>
      <w:r w:rsidRPr="00D07AEC">
        <w:rPr>
          <w:rFonts w:ascii="Verdana" w:eastAsia="Calibri" w:hAnsi="Verdana" w:cs="Arial"/>
          <w:bCs/>
          <w:color w:val="000000" w:themeColor="text1"/>
          <w:sz w:val="20"/>
          <w:szCs w:val="20"/>
        </w:rPr>
        <w:t xml:space="preserve"> esta consecuencia o sanción legal</w:t>
      </w:r>
      <w:r w:rsidRPr="00D07AEC">
        <w:rPr>
          <w:rFonts w:ascii="Verdana" w:eastAsia="Calibri" w:hAnsi="Verdana" w:cs="Arial"/>
          <w:bCs/>
          <w:color w:val="000000" w:themeColor="text1"/>
          <w:sz w:val="20"/>
          <w:szCs w:val="20"/>
          <w:lang w:val="es-ES_tradnl"/>
        </w:rPr>
        <w:t>; (</w:t>
      </w:r>
      <w:proofErr w:type="spellStart"/>
      <w:r w:rsidRPr="00D07AEC">
        <w:rPr>
          <w:rFonts w:ascii="Verdana" w:eastAsia="Calibri" w:hAnsi="Verdana" w:cs="Arial"/>
          <w:bCs/>
          <w:color w:val="000000" w:themeColor="text1"/>
          <w:sz w:val="20"/>
          <w:szCs w:val="20"/>
          <w:lang w:val="es-ES_tradnl"/>
        </w:rPr>
        <w:t>iii</w:t>
      </w:r>
      <w:proofErr w:type="spellEnd"/>
      <w:r w:rsidRPr="00D07AEC">
        <w:rPr>
          <w:rFonts w:ascii="Verdana" w:eastAsia="Calibri" w:hAnsi="Verdana" w:cs="Arial"/>
          <w:bCs/>
          <w:color w:val="000000" w:themeColor="text1"/>
          <w:sz w:val="20"/>
          <w:szCs w:val="20"/>
          <w:lang w:val="es-ES_tradnl"/>
        </w:rPr>
        <w:t>) al operar de pleno derecho, no requiere de la declaratoria judicial sino que la consecuencia será pura y simplemente la inaplicación de la regla contractual; y (</w:t>
      </w:r>
      <w:proofErr w:type="spellStart"/>
      <w:r w:rsidRPr="00D07AEC">
        <w:rPr>
          <w:rFonts w:ascii="Verdana" w:eastAsia="Calibri" w:hAnsi="Verdana" w:cs="Arial"/>
          <w:bCs/>
          <w:color w:val="000000" w:themeColor="text1"/>
          <w:sz w:val="20"/>
          <w:szCs w:val="20"/>
          <w:lang w:val="es-ES_tradnl"/>
        </w:rPr>
        <w:t>iv</w:t>
      </w:r>
      <w:proofErr w:type="spellEnd"/>
      <w:r w:rsidRPr="00D07AEC">
        <w:rPr>
          <w:rFonts w:ascii="Verdana" w:eastAsia="Calibri" w:hAnsi="Verdana" w:cs="Arial"/>
          <w:bCs/>
          <w:color w:val="000000" w:themeColor="text1"/>
          <w:sz w:val="20"/>
          <w:szCs w:val="20"/>
          <w:lang w:val="es-ES_tradnl"/>
        </w:rPr>
        <w:t xml:space="preserve">) la ineficacia solo se predica de la cláusula o pacto que contraviene el ordenamiento jurídico, y no del negocio jurídico en su totalidad. </w:t>
      </w:r>
    </w:p>
    <w:p w14:paraId="070E7DD5" w14:textId="77777777" w:rsidR="0085113B" w:rsidRPr="00D07AEC" w:rsidRDefault="0085113B" w:rsidP="00D07AEC">
      <w:pPr>
        <w:spacing w:after="0" w:line="240" w:lineRule="auto"/>
        <w:jc w:val="both"/>
        <w:rPr>
          <w:rFonts w:ascii="Verdana" w:eastAsia="Geomanist Light" w:hAnsi="Verdana" w:cs="Arial"/>
          <w:color w:val="201F1E"/>
          <w:sz w:val="20"/>
          <w:szCs w:val="20"/>
        </w:rPr>
      </w:pPr>
    </w:p>
    <w:p w14:paraId="169B4D13" w14:textId="18015B0B" w:rsidR="0085113B" w:rsidRPr="00D07AEC" w:rsidRDefault="0085113B" w:rsidP="00D07AEC">
      <w:pPr>
        <w:spacing w:after="0" w:line="240" w:lineRule="auto"/>
        <w:jc w:val="both"/>
        <w:rPr>
          <w:rFonts w:ascii="Verdana" w:eastAsia="Calibri" w:hAnsi="Verdana" w:cs="Arial"/>
          <w:bCs/>
          <w:color w:val="000000" w:themeColor="text1"/>
          <w:sz w:val="20"/>
          <w:szCs w:val="20"/>
        </w:rPr>
      </w:pPr>
      <w:r w:rsidRPr="00D07AEC">
        <w:rPr>
          <w:rFonts w:ascii="Verdana" w:eastAsia="Geomanist Light" w:hAnsi="Verdana" w:cs="Arial"/>
          <w:color w:val="201F1E"/>
          <w:sz w:val="20"/>
          <w:szCs w:val="20"/>
        </w:rPr>
        <w:t>[…]</w:t>
      </w:r>
    </w:p>
    <w:p w14:paraId="16106134" w14:textId="77777777" w:rsidR="0085113B" w:rsidRPr="00D07AEC" w:rsidRDefault="0085113B" w:rsidP="00D07AEC">
      <w:pPr>
        <w:spacing w:after="0" w:line="240" w:lineRule="auto"/>
        <w:ind w:firstLine="708"/>
        <w:jc w:val="both"/>
        <w:rPr>
          <w:rFonts w:ascii="Verdana" w:eastAsia="Calibri" w:hAnsi="Verdana" w:cs="Arial"/>
          <w:bCs/>
          <w:color w:val="000000" w:themeColor="text1"/>
          <w:sz w:val="20"/>
          <w:szCs w:val="20"/>
          <w:lang w:val="es-ES_tradnl"/>
        </w:rPr>
      </w:pPr>
    </w:p>
    <w:p w14:paraId="5A06FBE2" w14:textId="3264CB16" w:rsidR="0085113B" w:rsidRPr="00D07AEC" w:rsidRDefault="0085113B" w:rsidP="00D07AEC">
      <w:pPr>
        <w:spacing w:after="0" w:line="240" w:lineRule="auto"/>
        <w:jc w:val="both"/>
        <w:rPr>
          <w:rFonts w:ascii="Verdana" w:eastAsia="Calibri" w:hAnsi="Verdana" w:cs="Arial"/>
          <w:bCs/>
          <w:color w:val="000000" w:themeColor="text1"/>
          <w:sz w:val="20"/>
          <w:szCs w:val="20"/>
          <w:lang w:val="es-ES_tradnl"/>
        </w:rPr>
      </w:pPr>
      <w:r w:rsidRPr="00D07AEC">
        <w:rPr>
          <w:rFonts w:ascii="Verdana" w:eastAsia="Calibri" w:hAnsi="Verdana" w:cs="Arial"/>
          <w:bCs/>
          <w:color w:val="000000" w:themeColor="text1"/>
          <w:sz w:val="20"/>
          <w:szCs w:val="20"/>
          <w:lang w:val="es-ES_tradnl"/>
        </w:rPr>
        <w:t xml:space="preserve">De esta forma, encontramos unas causales específicas determinadas por el legislador para la ineficacia de pleno de derecho contempladas en el artículo 24.5 de la Ley 80 de 1993, con el matiz que señala la jurisprudencia, las cuales tienen plenos efectos en los pliegos de condiciones y los contratos y “su consecuencia </w:t>
      </w:r>
      <w:r w:rsidRPr="00D07AEC">
        <w:rPr>
          <w:rFonts w:ascii="Verdana" w:hAnsi="Verdana"/>
          <w:sz w:val="20"/>
          <w:szCs w:val="20"/>
        </w:rPr>
        <w:t xml:space="preserve">es que las cláusulas que adolecen de tal situación se entienden por no escritas”. En otras palabras, si en un pliego de condiciones o en el contrato se establecen estipulaciones que contravenga lo dispuesto en el artículo 24.5 del EGCAP o </w:t>
      </w:r>
      <w:r w:rsidRPr="00D07AEC">
        <w:rPr>
          <w:rFonts w:ascii="Verdana" w:eastAsia="Calibri" w:hAnsi="Verdana" w:cs="Arial"/>
          <w:bCs/>
          <w:color w:val="000000" w:themeColor="text1"/>
          <w:sz w:val="20"/>
          <w:szCs w:val="20"/>
          <w:lang w:val="es-ES_tradnl"/>
        </w:rPr>
        <w:t xml:space="preserve">sean abiertamente contrarias al ordenamiento jurídico y el orden público, el efecto práctico es que la ineficacia de estas cláusulas opera </w:t>
      </w:r>
      <w:r w:rsidRPr="00D07AEC">
        <w:rPr>
          <w:rFonts w:ascii="Verdana" w:eastAsia="Calibri" w:hAnsi="Verdana" w:cs="Arial"/>
          <w:bCs/>
          <w:i/>
          <w:iCs/>
          <w:color w:val="000000" w:themeColor="text1"/>
          <w:sz w:val="20"/>
          <w:szCs w:val="20"/>
          <w:lang w:val="es-ES_tradnl"/>
        </w:rPr>
        <w:t>ipso iure</w:t>
      </w:r>
      <w:r w:rsidRPr="00D07AEC">
        <w:rPr>
          <w:rFonts w:ascii="Verdana" w:eastAsia="Calibri" w:hAnsi="Verdana" w:cs="Arial"/>
          <w:bCs/>
          <w:color w:val="000000" w:themeColor="text1"/>
          <w:sz w:val="20"/>
          <w:szCs w:val="20"/>
          <w:lang w:val="es-ES_tradnl"/>
        </w:rPr>
        <w:t>, esto es, por ministerio de la ley, de manera inmediata y sin requerir pronunciamiento judicial.</w:t>
      </w:r>
    </w:p>
    <w:p w14:paraId="2EC417C1" w14:textId="77777777" w:rsidR="0085113B" w:rsidRPr="00D07AEC" w:rsidRDefault="0085113B" w:rsidP="00D07AEC">
      <w:pPr>
        <w:spacing w:after="0" w:line="240" w:lineRule="auto"/>
        <w:jc w:val="both"/>
        <w:rPr>
          <w:rFonts w:ascii="Verdana" w:eastAsia="Calibri" w:hAnsi="Verdana" w:cs="Arial"/>
          <w:bCs/>
          <w:color w:val="000000" w:themeColor="text1"/>
          <w:sz w:val="20"/>
          <w:szCs w:val="20"/>
        </w:rPr>
      </w:pPr>
      <w:r w:rsidRPr="00D07AEC">
        <w:rPr>
          <w:rFonts w:ascii="Verdana" w:eastAsia="Geomanist Light" w:hAnsi="Verdana" w:cs="Arial"/>
          <w:color w:val="201F1E"/>
          <w:sz w:val="20"/>
          <w:szCs w:val="20"/>
        </w:rPr>
        <w:t>[…]</w:t>
      </w:r>
    </w:p>
    <w:p w14:paraId="4D57A82C" w14:textId="77777777" w:rsidR="00D07AEC" w:rsidRDefault="00D07AEC" w:rsidP="00D07AEC">
      <w:pPr>
        <w:spacing w:after="0" w:line="240" w:lineRule="auto"/>
        <w:jc w:val="both"/>
        <w:rPr>
          <w:rFonts w:ascii="Verdana" w:eastAsia="Calibri" w:hAnsi="Verdana" w:cs="Arial"/>
          <w:color w:val="000000" w:themeColor="text1"/>
          <w:sz w:val="20"/>
          <w:szCs w:val="20"/>
          <w:lang w:val="es-ES"/>
        </w:rPr>
      </w:pPr>
    </w:p>
    <w:p w14:paraId="16F0CBB8" w14:textId="576C875B" w:rsidR="0085113B" w:rsidRPr="00D07AEC" w:rsidRDefault="00D07AEC" w:rsidP="00D07AEC">
      <w:pPr>
        <w:spacing w:after="0" w:line="240" w:lineRule="auto"/>
        <w:jc w:val="both"/>
        <w:rPr>
          <w:rFonts w:ascii="Verdana" w:eastAsia="Calibri" w:hAnsi="Verdana" w:cs="Arial"/>
          <w:bCs/>
          <w:color w:val="000000" w:themeColor="text1"/>
          <w:sz w:val="20"/>
          <w:szCs w:val="20"/>
          <w:lang w:val="es-ES_tradnl"/>
        </w:rPr>
      </w:pPr>
      <w:r>
        <w:rPr>
          <w:rFonts w:ascii="Verdana" w:eastAsia="Calibri" w:hAnsi="Verdana" w:cs="Arial"/>
          <w:color w:val="000000" w:themeColor="text1"/>
          <w:sz w:val="20"/>
          <w:szCs w:val="20"/>
          <w:lang w:val="es-ES"/>
        </w:rPr>
        <w:t>S</w:t>
      </w:r>
      <w:r w:rsidRPr="00D07AEC">
        <w:rPr>
          <w:rFonts w:ascii="Verdana" w:eastAsia="Calibri" w:hAnsi="Verdana" w:cs="Arial"/>
          <w:color w:val="000000" w:themeColor="text1"/>
          <w:sz w:val="20"/>
          <w:szCs w:val="20"/>
          <w:lang w:val="es-ES"/>
        </w:rPr>
        <w:t xml:space="preserve">i bien la ineficacia de pleno derecho deviene del poder mismo de la norma, su materialización práctica deviene de la valoración negativa </w:t>
      </w:r>
      <w:r w:rsidRPr="00D07AEC">
        <w:rPr>
          <w:rFonts w:ascii="Verdana" w:eastAsia="Arial" w:hAnsi="Verdana" w:cs="Arial"/>
          <w:sz w:val="20"/>
          <w:szCs w:val="20"/>
          <w:lang w:val="es-ES"/>
        </w:rPr>
        <w:t xml:space="preserve">de las partes del contrato o del pliego de condiciones </w:t>
      </w:r>
      <w:r w:rsidRPr="00D07AEC">
        <w:rPr>
          <w:rFonts w:ascii="Verdana" w:eastAsia="Calibri" w:hAnsi="Verdana" w:cs="Arial"/>
          <w:color w:val="000000" w:themeColor="text1"/>
          <w:sz w:val="20"/>
          <w:szCs w:val="20"/>
          <w:lang w:val="es-ES"/>
        </w:rPr>
        <w:t>de la entidad contratante a través de su declaración de voluntad</w:t>
      </w:r>
    </w:p>
    <w:p w14:paraId="46522FF7" w14:textId="77777777" w:rsidR="0085113B" w:rsidRPr="00166173" w:rsidRDefault="0085113B" w:rsidP="004B48B7">
      <w:pPr>
        <w:spacing w:after="0" w:line="276" w:lineRule="auto"/>
        <w:ind w:firstLine="708"/>
        <w:jc w:val="both"/>
        <w:rPr>
          <w:rFonts w:ascii="Verdana" w:eastAsia="Calibri" w:hAnsi="Verdana" w:cs="Arial"/>
          <w:bCs/>
          <w:color w:val="000000" w:themeColor="text1"/>
          <w:lang w:val="es-ES_tradnl"/>
        </w:rPr>
      </w:pPr>
    </w:p>
    <w:p w14:paraId="53D5EE48" w14:textId="77777777" w:rsidR="007B0C58" w:rsidRDefault="007B0C58" w:rsidP="003225AD">
      <w:pPr>
        <w:spacing w:after="0" w:line="240" w:lineRule="auto"/>
        <w:rPr>
          <w:rFonts w:ascii="Verdana" w:eastAsia="Geomanist Light" w:hAnsi="Verdana" w:cs="Arial"/>
          <w:color w:val="000000" w:themeColor="text1"/>
        </w:rPr>
      </w:pPr>
    </w:p>
    <w:p w14:paraId="4ECAEDB7" w14:textId="77777777" w:rsidR="007B0C58" w:rsidRDefault="007B0C58" w:rsidP="003225AD">
      <w:pPr>
        <w:spacing w:after="0" w:line="240" w:lineRule="auto"/>
        <w:rPr>
          <w:rFonts w:ascii="Verdana" w:eastAsia="Geomanist Light" w:hAnsi="Verdana" w:cs="Arial"/>
          <w:color w:val="000000" w:themeColor="text1"/>
        </w:rPr>
      </w:pPr>
    </w:p>
    <w:p w14:paraId="770C4032" w14:textId="77777777" w:rsidR="007B0C58" w:rsidRDefault="007B0C58" w:rsidP="003225AD">
      <w:pPr>
        <w:spacing w:after="0" w:line="240" w:lineRule="auto"/>
        <w:rPr>
          <w:rFonts w:ascii="Verdana" w:eastAsia="Geomanist Light" w:hAnsi="Verdana" w:cs="Arial"/>
          <w:color w:val="000000" w:themeColor="text1"/>
        </w:rPr>
      </w:pPr>
    </w:p>
    <w:p w14:paraId="3F4477B9" w14:textId="77777777" w:rsidR="007B0C58" w:rsidRDefault="007B0C58" w:rsidP="003225AD">
      <w:pPr>
        <w:spacing w:after="0" w:line="240" w:lineRule="auto"/>
        <w:rPr>
          <w:rFonts w:ascii="Verdana" w:eastAsia="Geomanist Light" w:hAnsi="Verdana" w:cs="Arial"/>
          <w:color w:val="000000" w:themeColor="text1"/>
        </w:rPr>
      </w:pPr>
    </w:p>
    <w:p w14:paraId="45FD8BE1" w14:textId="77777777" w:rsidR="00D07AEC" w:rsidRDefault="00D07AEC" w:rsidP="003225AD">
      <w:pPr>
        <w:spacing w:after="0" w:line="240" w:lineRule="auto"/>
        <w:rPr>
          <w:rFonts w:ascii="Verdana" w:eastAsia="Geomanist Light" w:hAnsi="Verdana" w:cs="Arial"/>
          <w:color w:val="000000" w:themeColor="text1"/>
        </w:rPr>
      </w:pPr>
    </w:p>
    <w:p w14:paraId="3B7EA3DF" w14:textId="77777777" w:rsidR="00D07AEC" w:rsidRDefault="00D07AEC" w:rsidP="003225AD">
      <w:pPr>
        <w:spacing w:after="0" w:line="240" w:lineRule="auto"/>
        <w:rPr>
          <w:rFonts w:ascii="Verdana" w:eastAsia="Geomanist Light" w:hAnsi="Verdana" w:cs="Arial"/>
          <w:color w:val="000000" w:themeColor="text1"/>
        </w:rPr>
      </w:pPr>
    </w:p>
    <w:p w14:paraId="2A9FAE75" w14:textId="77777777" w:rsidR="00D07AEC" w:rsidRDefault="00D07AEC" w:rsidP="003225AD">
      <w:pPr>
        <w:spacing w:after="0" w:line="240" w:lineRule="auto"/>
        <w:rPr>
          <w:rFonts w:ascii="Verdana" w:eastAsia="Geomanist Light" w:hAnsi="Verdana" w:cs="Arial"/>
          <w:color w:val="000000" w:themeColor="text1"/>
        </w:rPr>
      </w:pPr>
    </w:p>
    <w:p w14:paraId="1F8EB2CE" w14:textId="77777777" w:rsidR="00D07AEC" w:rsidRDefault="00D07AEC" w:rsidP="003225AD">
      <w:pPr>
        <w:spacing w:after="0" w:line="240" w:lineRule="auto"/>
        <w:rPr>
          <w:rFonts w:ascii="Verdana" w:eastAsia="Geomanist Light" w:hAnsi="Verdana" w:cs="Arial"/>
          <w:color w:val="000000" w:themeColor="text1"/>
        </w:rPr>
      </w:pPr>
    </w:p>
    <w:p w14:paraId="283FB5CD" w14:textId="766929F4" w:rsidR="003225AD" w:rsidRPr="00166173" w:rsidRDefault="003225AD" w:rsidP="003225AD">
      <w:pPr>
        <w:spacing w:after="0" w:line="240" w:lineRule="auto"/>
        <w:rPr>
          <w:rFonts w:ascii="Verdana" w:eastAsia="Geomanist Light" w:hAnsi="Verdana" w:cs="Arial"/>
          <w:color w:val="201F1E"/>
        </w:rPr>
      </w:pPr>
      <w:r w:rsidRPr="00166173">
        <w:rPr>
          <w:rFonts w:ascii="Verdana" w:eastAsia="Geomanist Light" w:hAnsi="Verdana" w:cs="Arial"/>
          <w:color w:val="000000" w:themeColor="text1"/>
        </w:rPr>
        <w:lastRenderedPageBreak/>
        <w:t>Bogotá D.C., </w:t>
      </w:r>
      <w:r w:rsidR="00BD44D4">
        <w:rPr>
          <w:rFonts w:ascii="Verdana" w:eastAsia="Geomanist Light" w:hAnsi="Verdana" w:cs="Arial"/>
          <w:color w:val="201F1E"/>
        </w:rPr>
        <w:t>2 de abril de 2025</w:t>
      </w:r>
    </w:p>
    <w:p w14:paraId="2F2E41A1" w14:textId="77777777" w:rsidR="003225AD" w:rsidRPr="00166173" w:rsidRDefault="003225AD" w:rsidP="003225AD">
      <w:pPr>
        <w:spacing w:after="0" w:line="240" w:lineRule="auto"/>
        <w:jc w:val="both"/>
        <w:rPr>
          <w:rFonts w:ascii="Verdana" w:eastAsia="Calibri" w:hAnsi="Verdana" w:cs="Arial"/>
          <w:color w:val="000000"/>
        </w:rPr>
      </w:pPr>
    </w:p>
    <w:p w14:paraId="1C989442" w14:textId="5B45A2AB" w:rsidR="003225AD" w:rsidRPr="00166173" w:rsidRDefault="00BD44D4" w:rsidP="00BD44D4">
      <w:pPr>
        <w:spacing w:after="0" w:line="240" w:lineRule="auto"/>
        <w:jc w:val="right"/>
        <w:rPr>
          <w:rFonts w:ascii="Verdana" w:eastAsia="Calibri" w:hAnsi="Verdana" w:cs="Arial"/>
          <w:color w:val="000000"/>
        </w:rPr>
      </w:pPr>
      <w:r w:rsidRPr="00BD44D4">
        <w:rPr>
          <w:rFonts w:ascii="Verdana" w:eastAsia="Calibri" w:hAnsi="Verdana" w:cs="Arial"/>
          <w:noProof/>
          <w:color w:val="000000"/>
        </w:rPr>
        <w:drawing>
          <wp:inline distT="0" distB="0" distL="0" distR="0" wp14:anchorId="5E799E00" wp14:editId="63A7D585">
            <wp:extent cx="2788920" cy="952500"/>
            <wp:effectExtent l="0" t="0" r="0" b="0"/>
            <wp:docPr id="69693631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88920" cy="952500"/>
                    </a:xfrm>
                    <a:prstGeom prst="rect">
                      <a:avLst/>
                    </a:prstGeom>
                    <a:noFill/>
                    <a:ln>
                      <a:noFill/>
                    </a:ln>
                  </pic:spPr>
                </pic:pic>
              </a:graphicData>
            </a:graphic>
          </wp:inline>
        </w:drawing>
      </w:r>
    </w:p>
    <w:p w14:paraId="247C687E" w14:textId="77777777" w:rsidR="003225AD" w:rsidRPr="00166173" w:rsidRDefault="003225AD" w:rsidP="003225AD">
      <w:pPr>
        <w:spacing w:after="0" w:line="240" w:lineRule="auto"/>
        <w:jc w:val="both"/>
        <w:rPr>
          <w:rFonts w:ascii="Verdana" w:eastAsia="Calibri" w:hAnsi="Verdana" w:cs="Arial"/>
          <w:lang w:eastAsia="es-ES"/>
        </w:rPr>
      </w:pPr>
      <w:r w:rsidRPr="00166173">
        <w:rPr>
          <w:rFonts w:ascii="Verdana" w:eastAsia="Calibri" w:hAnsi="Verdana" w:cs="Arial"/>
          <w:lang w:eastAsia="es-ES"/>
        </w:rPr>
        <w:t>Señor</w:t>
      </w:r>
    </w:p>
    <w:p w14:paraId="53C16C4F" w14:textId="77777777" w:rsidR="003225AD" w:rsidRPr="00166173" w:rsidRDefault="003225AD" w:rsidP="003225AD">
      <w:pPr>
        <w:spacing w:after="0" w:line="240" w:lineRule="auto"/>
        <w:rPr>
          <w:rFonts w:ascii="Verdana" w:eastAsia="Calibri" w:hAnsi="Verdana" w:cs="Arial"/>
          <w:b/>
          <w:lang w:eastAsia="es-ES"/>
        </w:rPr>
      </w:pPr>
      <w:r w:rsidRPr="00166173">
        <w:rPr>
          <w:rFonts w:ascii="Verdana" w:eastAsia="Calibri" w:hAnsi="Verdana" w:cs="Arial"/>
          <w:b/>
          <w:lang w:eastAsia="es-ES"/>
        </w:rPr>
        <w:t xml:space="preserve">José Manuel Ramírez rincón </w:t>
      </w:r>
    </w:p>
    <w:p w14:paraId="3E64F7EE" w14:textId="77777777" w:rsidR="003225AD" w:rsidRPr="00166173" w:rsidRDefault="003225AD" w:rsidP="003225AD">
      <w:pPr>
        <w:spacing w:after="0" w:line="240" w:lineRule="auto"/>
        <w:rPr>
          <w:rFonts w:ascii="Verdana" w:hAnsi="Verdana"/>
        </w:rPr>
      </w:pPr>
      <w:hyperlink r:id="rId12" w:history="1">
        <w:r w:rsidRPr="00166173">
          <w:rPr>
            <w:rFonts w:ascii="Verdana" w:hAnsi="Verdana"/>
            <w:color w:val="0563C1" w:themeColor="hyperlink"/>
            <w:u w:val="single"/>
          </w:rPr>
          <w:t>joserami144@gmail.com</w:t>
        </w:r>
      </w:hyperlink>
      <w:r w:rsidRPr="00166173">
        <w:rPr>
          <w:rFonts w:ascii="Verdana" w:hAnsi="Verdana"/>
        </w:rPr>
        <w:t xml:space="preserve"> </w:t>
      </w:r>
    </w:p>
    <w:p w14:paraId="42882826" w14:textId="77777777" w:rsidR="003225AD" w:rsidRPr="00166173" w:rsidRDefault="003225AD" w:rsidP="003225AD">
      <w:pPr>
        <w:spacing w:after="0" w:line="240" w:lineRule="auto"/>
        <w:rPr>
          <w:rFonts w:ascii="Verdana" w:eastAsia="Calibri" w:hAnsi="Verdana" w:cs="Arial"/>
          <w:lang w:eastAsia="es-ES"/>
        </w:rPr>
      </w:pPr>
      <w:r w:rsidRPr="00166173">
        <w:rPr>
          <w:rFonts w:ascii="Verdana" w:hAnsi="Verdana"/>
        </w:rPr>
        <w:t xml:space="preserve">Cravo norte, Arauca  </w:t>
      </w:r>
    </w:p>
    <w:p w14:paraId="7C79069A" w14:textId="77777777" w:rsidR="003225AD" w:rsidRDefault="003225AD" w:rsidP="003225AD">
      <w:pPr>
        <w:spacing w:after="0" w:line="240" w:lineRule="auto"/>
        <w:rPr>
          <w:rFonts w:ascii="Verdana" w:eastAsia="Calibri" w:hAnsi="Verdana" w:cs="Arial"/>
          <w:b/>
          <w:bCs/>
          <w:color w:val="000000"/>
          <w:lang w:eastAsia="es-ES_tradnl"/>
        </w:rPr>
      </w:pPr>
    </w:p>
    <w:p w14:paraId="77649C9F" w14:textId="77777777" w:rsidR="00744F42" w:rsidRPr="00166173" w:rsidRDefault="00744F42" w:rsidP="003225AD">
      <w:pPr>
        <w:spacing w:after="0" w:line="240" w:lineRule="auto"/>
        <w:rPr>
          <w:rFonts w:ascii="Verdana" w:eastAsia="Calibri" w:hAnsi="Verdana" w:cs="Arial"/>
          <w:b/>
          <w:bCs/>
          <w:color w:val="000000"/>
          <w:lang w:eastAsia="es-ES_tradnl"/>
        </w:rPr>
      </w:pPr>
    </w:p>
    <w:p w14:paraId="49FF491E" w14:textId="427FD627" w:rsidR="003225AD" w:rsidRPr="00744F42" w:rsidRDefault="00744F42" w:rsidP="00744F42">
      <w:pPr>
        <w:jc w:val="center"/>
        <w:rPr>
          <w:rFonts w:ascii="Verdana" w:eastAsia="Calibri" w:hAnsi="Verdana" w:cs="Arial"/>
          <w:b/>
          <w:bCs/>
          <w:lang w:eastAsia="es-ES"/>
        </w:rPr>
      </w:pPr>
      <w:r w:rsidRPr="00166173">
        <w:rPr>
          <w:rFonts w:ascii="Verdana" w:eastAsia="Calibri" w:hAnsi="Verdana" w:cs="Arial"/>
          <w:b/>
          <w:bCs/>
          <w:lang w:eastAsia="es-ES"/>
        </w:rPr>
        <w:t>Concepto C – 251 de 2025</w:t>
      </w:r>
    </w:p>
    <w:p w14:paraId="1045EEA0" w14:textId="77777777" w:rsidR="003225AD" w:rsidRPr="00310F9A" w:rsidRDefault="003225AD" w:rsidP="003225AD">
      <w:pPr>
        <w:spacing w:after="0" w:line="240" w:lineRule="auto"/>
        <w:rPr>
          <w:rFonts w:ascii="Verdana" w:eastAsia="Calibri" w:hAnsi="Verdana" w:cs="Arial"/>
          <w:b/>
          <w:bCs/>
          <w:color w:val="000000"/>
          <w:lang w:eastAsia="es-ES_tradnl"/>
        </w:rPr>
      </w:pPr>
    </w:p>
    <w:tbl>
      <w:tblPr>
        <w:tblStyle w:val="Tablaconcuadrcula"/>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3225AD" w:rsidRPr="00166173" w14:paraId="4A58E985" w14:textId="77777777" w:rsidTr="003225AD">
        <w:trPr>
          <w:trHeight w:val="884"/>
        </w:trPr>
        <w:tc>
          <w:tcPr>
            <w:tcW w:w="2689" w:type="dxa"/>
          </w:tcPr>
          <w:p w14:paraId="3C3A687C" w14:textId="77777777" w:rsidR="003225AD" w:rsidRPr="00166173" w:rsidRDefault="003225AD" w:rsidP="006D74B2">
            <w:pPr>
              <w:jc w:val="both"/>
              <w:rPr>
                <w:rFonts w:ascii="Verdana" w:eastAsia="Calibri" w:hAnsi="Verdana" w:cs="Arial"/>
                <w:color w:val="000000"/>
                <w:lang w:eastAsia="es-ES_tradnl"/>
              </w:rPr>
            </w:pPr>
            <w:r w:rsidRPr="00166173">
              <w:rPr>
                <w:rFonts w:ascii="Verdana" w:eastAsia="Calibri" w:hAnsi="Verdana" w:cs="Arial"/>
                <w:b/>
                <w:color w:val="000000"/>
                <w:lang w:eastAsia="es-ES_tradnl"/>
              </w:rPr>
              <w:t>Temas:</w:t>
            </w:r>
            <w:r w:rsidRPr="00166173">
              <w:rPr>
                <w:rFonts w:ascii="Verdana" w:eastAsia="Calibri" w:hAnsi="Verdana" w:cs="Arial"/>
                <w:color w:val="000000"/>
                <w:lang w:eastAsia="es-ES_tradnl"/>
              </w:rPr>
              <w:t xml:space="preserve">                   </w:t>
            </w:r>
          </w:p>
        </w:tc>
        <w:tc>
          <w:tcPr>
            <w:tcW w:w="6100" w:type="dxa"/>
          </w:tcPr>
          <w:p w14:paraId="27C72C53" w14:textId="77777777" w:rsidR="003225AD" w:rsidRPr="00166173" w:rsidRDefault="003225AD" w:rsidP="006D74B2">
            <w:pPr>
              <w:jc w:val="both"/>
              <w:rPr>
                <w:rFonts w:ascii="Verdana" w:eastAsia="Calibri" w:hAnsi="Verdana" w:cs="Arial"/>
                <w:lang w:val="es-ES_tradnl" w:eastAsia="es-ES"/>
              </w:rPr>
            </w:pPr>
            <w:r w:rsidRPr="00166173">
              <w:rPr>
                <w:rFonts w:ascii="Verdana" w:eastAsia="Calibri" w:hAnsi="Verdana" w:cs="Arial"/>
                <w:lang w:val="es-MX" w:eastAsia="es-ES"/>
              </w:rPr>
              <w:t xml:space="preserve">INEFICACIA DE PLENO DERECHO – Características – Régimen jurídico en materia de contratación estatal </w:t>
            </w:r>
            <w:r w:rsidRPr="00166173">
              <w:rPr>
                <w:rFonts w:ascii="Verdana" w:eastAsia="Calibri" w:hAnsi="Verdana" w:cs="Arial"/>
                <w:lang w:eastAsia="es-ES"/>
              </w:rPr>
              <w:t xml:space="preserve">– Materialización </w:t>
            </w:r>
          </w:p>
          <w:p w14:paraId="1EFC2660" w14:textId="77777777" w:rsidR="003225AD" w:rsidRPr="00166173" w:rsidRDefault="003225AD" w:rsidP="006D74B2">
            <w:pPr>
              <w:jc w:val="both"/>
              <w:rPr>
                <w:rFonts w:ascii="Verdana" w:eastAsia="Calibri" w:hAnsi="Verdana" w:cs="Arial"/>
                <w:lang w:eastAsia="es-ES"/>
              </w:rPr>
            </w:pPr>
          </w:p>
        </w:tc>
      </w:tr>
      <w:tr w:rsidR="003225AD" w:rsidRPr="00166173" w14:paraId="0E0F9F5A" w14:textId="77777777" w:rsidTr="003225AD">
        <w:tc>
          <w:tcPr>
            <w:tcW w:w="2689" w:type="dxa"/>
          </w:tcPr>
          <w:p w14:paraId="50037971" w14:textId="77777777" w:rsidR="003225AD" w:rsidRPr="00166173" w:rsidRDefault="003225AD" w:rsidP="006D74B2">
            <w:pPr>
              <w:jc w:val="both"/>
              <w:rPr>
                <w:rFonts w:ascii="Verdana" w:eastAsia="Calibri" w:hAnsi="Verdana" w:cs="Arial"/>
                <w:b/>
                <w:lang w:eastAsia="es-ES_tradnl"/>
              </w:rPr>
            </w:pPr>
            <w:r w:rsidRPr="00166173">
              <w:rPr>
                <w:rFonts w:ascii="Verdana" w:eastAsia="Calibri" w:hAnsi="Verdana" w:cs="Arial"/>
                <w:b/>
                <w:lang w:eastAsia="es-ES_tradnl"/>
              </w:rPr>
              <w:t>Radicación:</w:t>
            </w:r>
            <w:r w:rsidRPr="00166173">
              <w:rPr>
                <w:rFonts w:ascii="Verdana" w:eastAsia="Calibri" w:hAnsi="Verdana" w:cs="Arial"/>
                <w:lang w:eastAsia="es-ES_tradnl"/>
              </w:rPr>
              <w:t xml:space="preserve">               </w:t>
            </w:r>
          </w:p>
        </w:tc>
        <w:tc>
          <w:tcPr>
            <w:tcW w:w="6100" w:type="dxa"/>
          </w:tcPr>
          <w:p w14:paraId="3056D3FF" w14:textId="77777777" w:rsidR="003225AD" w:rsidRPr="00166173" w:rsidRDefault="003225AD" w:rsidP="006D74B2">
            <w:pPr>
              <w:jc w:val="both"/>
              <w:rPr>
                <w:rFonts w:ascii="Verdana" w:eastAsia="Calibri" w:hAnsi="Verdana" w:cs="Arial"/>
                <w:lang w:eastAsia="es-ES_tradnl"/>
              </w:rPr>
            </w:pPr>
            <w:r w:rsidRPr="00166173">
              <w:rPr>
                <w:rFonts w:ascii="Verdana" w:eastAsia="Calibri" w:hAnsi="Verdana" w:cs="Arial"/>
                <w:lang w:eastAsia="es-ES_tradnl"/>
              </w:rPr>
              <w:t xml:space="preserve">Respuesta a la consulta con radicado No.  P20250226001916                                </w:t>
            </w:r>
          </w:p>
        </w:tc>
      </w:tr>
    </w:tbl>
    <w:p w14:paraId="0860FEA4" w14:textId="77777777" w:rsidR="003225AD" w:rsidRPr="00166173" w:rsidRDefault="003225AD" w:rsidP="003225AD">
      <w:pPr>
        <w:spacing w:after="0" w:line="240" w:lineRule="auto"/>
        <w:jc w:val="both"/>
        <w:rPr>
          <w:rFonts w:ascii="Verdana" w:eastAsia="Calibri" w:hAnsi="Verdana" w:cs="Arial"/>
          <w:color w:val="000000"/>
          <w:lang w:eastAsia="es-ES_tradnl"/>
        </w:rPr>
      </w:pPr>
    </w:p>
    <w:p w14:paraId="0C157CDF" w14:textId="77777777" w:rsidR="003225AD" w:rsidRPr="00166173" w:rsidRDefault="003225AD" w:rsidP="003225AD">
      <w:pPr>
        <w:spacing w:after="0" w:line="240" w:lineRule="auto"/>
        <w:jc w:val="both"/>
        <w:rPr>
          <w:rFonts w:ascii="Verdana" w:eastAsia="Calibri" w:hAnsi="Verdana" w:cs="Arial"/>
          <w:color w:val="000000"/>
          <w:lang w:eastAsia="es-ES_tradnl"/>
        </w:rPr>
      </w:pPr>
    </w:p>
    <w:p w14:paraId="2F643FB2" w14:textId="77777777" w:rsidR="003225AD" w:rsidRPr="00166173" w:rsidRDefault="003225AD" w:rsidP="003225AD">
      <w:pPr>
        <w:spacing w:after="0" w:line="276" w:lineRule="auto"/>
        <w:jc w:val="both"/>
        <w:rPr>
          <w:rFonts w:ascii="Verdana" w:eastAsia="Calibri" w:hAnsi="Verdana" w:cs="Arial"/>
          <w:lang w:eastAsia="es-ES"/>
        </w:rPr>
      </w:pPr>
      <w:r w:rsidRPr="00166173">
        <w:rPr>
          <w:rFonts w:ascii="Verdana" w:eastAsia="Calibri" w:hAnsi="Verdana" w:cs="Arial"/>
          <w:lang w:eastAsia="es-ES"/>
        </w:rPr>
        <w:t xml:space="preserve">Estimado señor Ramírez Rincón: </w:t>
      </w:r>
    </w:p>
    <w:p w14:paraId="33EC4A7C" w14:textId="77777777" w:rsidR="003225AD" w:rsidRPr="00166173" w:rsidRDefault="003225AD" w:rsidP="003225AD">
      <w:pPr>
        <w:tabs>
          <w:tab w:val="left" w:pos="3768"/>
        </w:tabs>
        <w:spacing w:after="0" w:line="276" w:lineRule="auto"/>
        <w:jc w:val="both"/>
        <w:rPr>
          <w:rFonts w:ascii="Verdana" w:eastAsia="Calibri" w:hAnsi="Verdana" w:cs="Arial"/>
          <w:color w:val="000000" w:themeColor="text1"/>
          <w:lang w:eastAsia="es-ES"/>
        </w:rPr>
      </w:pPr>
      <w:r w:rsidRPr="00166173">
        <w:rPr>
          <w:rFonts w:ascii="Verdana" w:eastAsia="Calibri" w:hAnsi="Verdana" w:cs="Arial"/>
          <w:color w:val="000000" w:themeColor="text1"/>
          <w:lang w:eastAsia="es-ES"/>
        </w:rPr>
        <w:tab/>
      </w:r>
    </w:p>
    <w:p w14:paraId="0AF24114" w14:textId="77777777" w:rsidR="003225AD" w:rsidRPr="00166173" w:rsidRDefault="003225AD" w:rsidP="003225AD">
      <w:pPr>
        <w:spacing w:after="120" w:line="276" w:lineRule="auto"/>
        <w:jc w:val="both"/>
        <w:rPr>
          <w:rFonts w:ascii="Verdana" w:eastAsia="Calibri" w:hAnsi="Verdana" w:cs="Arial"/>
          <w:i/>
          <w:iCs/>
          <w:lang w:eastAsia="es-ES"/>
        </w:rPr>
      </w:pPr>
      <w:r w:rsidRPr="00166173">
        <w:rPr>
          <w:rFonts w:ascii="Verdana" w:eastAsia="Calibri" w:hAnsi="Verdana" w:cs="Arial"/>
          <w:color w:val="000000" w:themeColor="text1"/>
          <w:lang w:eastAsia="es-ES"/>
        </w:rPr>
        <w:t>En ejercicio de la competencia otorgada por los artículos 3, numeral 5º, y 11, numeral 8º, del Decreto Ley 4170 de 2011,</w:t>
      </w:r>
      <w:r w:rsidRPr="00166173">
        <w:rPr>
          <w:rFonts w:ascii="Verdana" w:eastAsia="Arial MT" w:hAnsi="Verdana" w:cs="Arial MT"/>
          <w:lang w:eastAsia="es-ES"/>
        </w:rPr>
        <w:t xml:space="preserve"> </w:t>
      </w:r>
      <w:r w:rsidRPr="00166173">
        <w:rPr>
          <w:rFonts w:ascii="Verdana" w:hAnsi="Verdana" w:cs="Arial"/>
        </w:rPr>
        <w:t xml:space="preserve">así como lo establecido en el artículo 4 de la Resolución 1707 de 2018 expedida por esta Entidad, </w:t>
      </w:r>
      <w:r w:rsidRPr="00166173">
        <w:rPr>
          <w:rFonts w:ascii="Verdana" w:eastAsia="Calibri" w:hAnsi="Verdana" w:cs="Arial"/>
          <w:color w:val="000000" w:themeColor="text1"/>
          <w:lang w:eastAsia="es-ES"/>
        </w:rPr>
        <w:t>la Agencia Nacional de Contratación Pública – Colombia Compra Eficiente responde su solicitud de concepto del 26</w:t>
      </w:r>
      <w:r w:rsidRPr="00166173">
        <w:rPr>
          <w:rFonts w:ascii="Verdana" w:eastAsia="Calibri" w:hAnsi="Verdana" w:cs="Arial"/>
          <w:lang w:eastAsia="es-ES"/>
        </w:rPr>
        <w:t xml:space="preserve"> de febrero de 2025, en la cual consulta sobre lo siguiente:</w:t>
      </w:r>
      <w:r w:rsidRPr="00166173">
        <w:rPr>
          <w:rFonts w:ascii="Verdana" w:eastAsia="Calibri" w:hAnsi="Verdana" w:cs="Arial"/>
          <w:i/>
          <w:iCs/>
          <w:lang w:eastAsia="es-ES"/>
        </w:rPr>
        <w:t xml:space="preserve"> </w:t>
      </w:r>
      <w:bookmarkStart w:id="1" w:name="_Hlk95313578"/>
    </w:p>
    <w:p w14:paraId="0AB7616E" w14:textId="77777777" w:rsidR="003225AD" w:rsidRPr="00166173" w:rsidRDefault="003225AD" w:rsidP="003225AD">
      <w:pPr>
        <w:spacing w:after="0" w:line="276" w:lineRule="auto"/>
        <w:jc w:val="both"/>
        <w:rPr>
          <w:rFonts w:ascii="Verdana" w:eastAsia="Calibri" w:hAnsi="Verdana" w:cs="Arial"/>
          <w:i/>
          <w:iCs/>
          <w:lang w:eastAsia="es-ES"/>
        </w:rPr>
      </w:pPr>
    </w:p>
    <w:p w14:paraId="38215F2D" w14:textId="77777777" w:rsidR="003225AD" w:rsidRPr="00112EF4" w:rsidRDefault="003225AD" w:rsidP="003225AD">
      <w:pPr>
        <w:spacing w:after="0" w:line="240" w:lineRule="auto"/>
        <w:ind w:left="709" w:right="709"/>
        <w:jc w:val="both"/>
        <w:rPr>
          <w:rFonts w:ascii="Verdana" w:eastAsia="Arial" w:hAnsi="Verdana" w:cs="Arial"/>
          <w:i/>
          <w:color w:val="000000"/>
          <w:sz w:val="20"/>
          <w:szCs w:val="20"/>
        </w:rPr>
      </w:pPr>
      <w:r w:rsidRPr="00112EF4">
        <w:rPr>
          <w:rFonts w:ascii="Verdana" w:eastAsia="Arial" w:hAnsi="Verdana" w:cs="Arial"/>
          <w:i/>
          <w:color w:val="000000"/>
          <w:sz w:val="20"/>
          <w:szCs w:val="20"/>
        </w:rPr>
        <w:t>“</w:t>
      </w:r>
      <w:bookmarkEnd w:id="1"/>
      <w:r w:rsidRPr="00112EF4">
        <w:rPr>
          <w:rFonts w:ascii="Verdana" w:eastAsia="Arial" w:hAnsi="Verdana" w:cs="Arial"/>
          <w:i/>
          <w:color w:val="000000"/>
          <w:sz w:val="20"/>
          <w:szCs w:val="20"/>
        </w:rPr>
        <w:t xml:space="preserve">Que se puede interpretar de lo contenido en el artículo 25 de la ley 80 de 1993 que expresa que "Serán ineficaces de pleno derecho las estipulaciones de los pliegos o términos de referencia y de los contratos que contravengan lo dispuesto en este numeral, o dispongan renuncias a reclamaciones por la ocurrencia de los hechos aquí enunciados". </w:t>
      </w:r>
    </w:p>
    <w:p w14:paraId="734D0D3F" w14:textId="77777777" w:rsidR="003225AD" w:rsidRPr="00112EF4" w:rsidRDefault="003225AD" w:rsidP="003225AD">
      <w:pPr>
        <w:spacing w:after="0" w:line="240" w:lineRule="auto"/>
        <w:ind w:left="709" w:right="709"/>
        <w:jc w:val="both"/>
        <w:rPr>
          <w:rFonts w:ascii="Verdana" w:eastAsia="Arial" w:hAnsi="Verdana" w:cs="Arial"/>
          <w:i/>
          <w:color w:val="000000"/>
          <w:sz w:val="20"/>
          <w:szCs w:val="20"/>
        </w:rPr>
      </w:pPr>
    </w:p>
    <w:p w14:paraId="6E022A29" w14:textId="77777777" w:rsidR="003225AD" w:rsidRPr="00112EF4" w:rsidRDefault="003225AD" w:rsidP="003225AD">
      <w:pPr>
        <w:spacing w:after="0" w:line="240" w:lineRule="auto"/>
        <w:ind w:left="709" w:right="709"/>
        <w:jc w:val="both"/>
        <w:rPr>
          <w:rFonts w:ascii="Verdana" w:eastAsia="Arial" w:hAnsi="Verdana" w:cs="Arial"/>
          <w:i/>
          <w:color w:val="000000"/>
          <w:sz w:val="20"/>
          <w:szCs w:val="20"/>
        </w:rPr>
      </w:pPr>
      <w:r w:rsidRPr="00112EF4">
        <w:rPr>
          <w:rFonts w:ascii="Verdana" w:eastAsia="Arial" w:hAnsi="Verdana" w:cs="Arial"/>
          <w:i/>
          <w:color w:val="000000"/>
          <w:sz w:val="20"/>
          <w:szCs w:val="20"/>
        </w:rPr>
        <w:t xml:space="preserve">¿Qué consecuencia tiene la de reconocer por una entidad pública la ineficacia de pleno derecho de una estipulación en sus pliegos de </w:t>
      </w:r>
      <w:r w:rsidRPr="00112EF4">
        <w:rPr>
          <w:rFonts w:ascii="Verdana" w:eastAsia="Arial" w:hAnsi="Verdana" w:cs="Arial"/>
          <w:i/>
          <w:color w:val="000000"/>
          <w:sz w:val="20"/>
          <w:szCs w:val="20"/>
        </w:rPr>
        <w:lastRenderedPageBreak/>
        <w:t>condiciones por no ser clara y completa? ¿La entidad aplicando este artículo puede en el informe de evaluación no tener en cuenta la estipulación que reconoce es ineficaz de pleno derecho por no haber sido clara y completa?”.</w:t>
      </w:r>
    </w:p>
    <w:p w14:paraId="641865E5" w14:textId="77777777" w:rsidR="003225AD" w:rsidRPr="00166173" w:rsidRDefault="003225AD" w:rsidP="003225AD">
      <w:pPr>
        <w:spacing w:after="0" w:line="276" w:lineRule="auto"/>
        <w:ind w:left="709" w:right="476"/>
        <w:jc w:val="both"/>
        <w:rPr>
          <w:rFonts w:ascii="Verdana" w:eastAsia="Arial" w:hAnsi="Verdana" w:cs="Arial"/>
          <w:i/>
          <w:iCs/>
          <w:color w:val="000000"/>
        </w:rPr>
      </w:pPr>
    </w:p>
    <w:p w14:paraId="1709FDE7" w14:textId="77777777" w:rsidR="003225AD" w:rsidRPr="00166173" w:rsidRDefault="003225AD" w:rsidP="003225AD">
      <w:pPr>
        <w:spacing w:after="120" w:line="276" w:lineRule="auto"/>
        <w:ind w:firstLine="709"/>
        <w:jc w:val="both"/>
        <w:rPr>
          <w:rFonts w:ascii="Verdana" w:eastAsia="Calibri" w:hAnsi="Verdana" w:cs="Arial"/>
          <w:color w:val="000000"/>
          <w:lang w:eastAsia="es-ES"/>
        </w:rPr>
      </w:pPr>
      <w:r w:rsidRPr="00166173">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166173">
        <w:rPr>
          <w:rFonts w:ascii="Verdana" w:eastAsia="Calibri" w:hAnsi="Verdana" w:cs="Arial"/>
          <w:color w:val="000000"/>
          <w:szCs w:val="24"/>
          <w:lang w:eastAsia="es-ES_tradnl"/>
        </w:rPr>
        <w:tab/>
      </w:r>
    </w:p>
    <w:p w14:paraId="755E361F" w14:textId="77777777" w:rsidR="003225AD" w:rsidRPr="00166173" w:rsidRDefault="003225AD" w:rsidP="003225AD">
      <w:pPr>
        <w:spacing w:after="0" w:line="276" w:lineRule="auto"/>
        <w:ind w:firstLine="709"/>
        <w:jc w:val="both"/>
        <w:rPr>
          <w:rFonts w:ascii="Verdana" w:eastAsia="Calibri" w:hAnsi="Verdana" w:cs="Arial"/>
          <w:color w:val="000000"/>
          <w:lang w:eastAsia="es-ES"/>
        </w:rPr>
      </w:pPr>
      <w:r w:rsidRPr="00166173">
        <w:rPr>
          <w:rFonts w:ascii="Verdana" w:eastAsia="Calibri" w:hAnsi="Verdana" w:cs="Arial"/>
          <w:color w:val="000000"/>
          <w:lang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el</w:t>
      </w:r>
      <w:r w:rsidRPr="00166173">
        <w:rPr>
          <w:rFonts w:ascii="Verdana" w:eastAsia="Calibri" w:hAnsi="Verdana" w:cs="Arial"/>
          <w:color w:val="7030A0"/>
          <w:lang w:eastAsia="es-ES"/>
        </w:rPr>
        <w:t xml:space="preserve"> </w:t>
      </w:r>
      <w:r w:rsidRPr="00166173">
        <w:rPr>
          <w:rFonts w:ascii="Verdana" w:eastAsia="Calibri" w:hAnsi="Verdana" w:cs="Arial"/>
          <w:color w:val="000000"/>
          <w:lang w:eastAsia="es-ES"/>
        </w:rPr>
        <w:t>problema</w:t>
      </w:r>
      <w:r w:rsidRPr="00166173">
        <w:rPr>
          <w:rFonts w:ascii="Verdana" w:eastAsia="Calibri" w:hAnsi="Verdana" w:cs="Arial"/>
          <w:color w:val="7030A0"/>
          <w:lang w:eastAsia="es-ES"/>
        </w:rPr>
        <w:t xml:space="preserve"> </w:t>
      </w:r>
      <w:r w:rsidRPr="00166173">
        <w:rPr>
          <w:rFonts w:ascii="Verdana" w:eastAsia="Calibri" w:hAnsi="Verdana" w:cs="Arial"/>
          <w:color w:val="000000"/>
          <w:lang w:eastAsia="es-ES"/>
        </w:rPr>
        <w:t>jurídico</w:t>
      </w:r>
      <w:r w:rsidRPr="00166173">
        <w:rPr>
          <w:rFonts w:ascii="Verdana" w:eastAsia="Calibri" w:hAnsi="Verdana" w:cs="Arial"/>
          <w:color w:val="7030A0"/>
          <w:lang w:eastAsia="es-ES"/>
        </w:rPr>
        <w:t xml:space="preserve"> </w:t>
      </w:r>
      <w:r w:rsidRPr="00166173">
        <w:rPr>
          <w:rFonts w:ascii="Verdana" w:eastAsia="Calibri" w:hAnsi="Verdana" w:cs="Arial"/>
          <w:color w:val="000000"/>
          <w:lang w:eastAsia="es-ES"/>
        </w:rPr>
        <w:t xml:space="preserve">de su consulta. </w:t>
      </w:r>
    </w:p>
    <w:p w14:paraId="3A4F2DBC" w14:textId="77777777" w:rsidR="003225AD" w:rsidRPr="00166173" w:rsidRDefault="003225AD" w:rsidP="003225AD">
      <w:pPr>
        <w:spacing w:after="0" w:line="276" w:lineRule="auto"/>
        <w:ind w:firstLine="709"/>
        <w:jc w:val="both"/>
        <w:rPr>
          <w:rFonts w:ascii="Verdana" w:eastAsia="Calibri" w:hAnsi="Verdana" w:cs="Arial"/>
          <w:color w:val="000000"/>
          <w:lang w:eastAsia="es-ES"/>
        </w:rPr>
      </w:pPr>
    </w:p>
    <w:p w14:paraId="0A9A637C" w14:textId="77777777" w:rsidR="003225AD" w:rsidRPr="00166173" w:rsidRDefault="003225AD" w:rsidP="003225AD">
      <w:pPr>
        <w:numPr>
          <w:ilvl w:val="0"/>
          <w:numId w:val="1"/>
        </w:numPr>
        <w:tabs>
          <w:tab w:val="left" w:pos="142"/>
          <w:tab w:val="left" w:pos="284"/>
        </w:tabs>
        <w:spacing w:after="0" w:line="276" w:lineRule="auto"/>
        <w:jc w:val="both"/>
        <w:rPr>
          <w:rFonts w:ascii="Verdana" w:eastAsia="Century Gothic" w:hAnsi="Verdana" w:cs="Century Gothic"/>
          <w:b/>
          <w:bCs/>
        </w:rPr>
      </w:pPr>
      <w:r w:rsidRPr="00166173">
        <w:rPr>
          <w:rFonts w:ascii="Verdana" w:eastAsia="Century Gothic" w:hAnsi="Verdana" w:cs="Century Gothic"/>
          <w:b/>
          <w:bCs/>
        </w:rPr>
        <w:t>Problemas planteados:</w:t>
      </w:r>
    </w:p>
    <w:p w14:paraId="5FE74BE2" w14:textId="77777777" w:rsidR="003225AD" w:rsidRPr="00166173" w:rsidRDefault="003225AD" w:rsidP="003225AD">
      <w:pPr>
        <w:tabs>
          <w:tab w:val="left" w:pos="426"/>
        </w:tabs>
        <w:spacing w:after="0" w:line="276" w:lineRule="auto"/>
        <w:jc w:val="both"/>
        <w:rPr>
          <w:rFonts w:ascii="Verdana" w:eastAsia="Century Gothic" w:hAnsi="Verdana" w:cs="Century Gothic"/>
        </w:rPr>
      </w:pPr>
    </w:p>
    <w:p w14:paraId="47571403" w14:textId="77777777" w:rsidR="003225AD" w:rsidRPr="00166173" w:rsidRDefault="003225AD" w:rsidP="003225AD">
      <w:pPr>
        <w:spacing w:after="0" w:line="276" w:lineRule="auto"/>
        <w:jc w:val="both"/>
        <w:rPr>
          <w:rFonts w:ascii="Verdana" w:eastAsia="Century Gothic" w:hAnsi="Verdana" w:cs="Arial"/>
        </w:rPr>
      </w:pPr>
      <w:r w:rsidRPr="00166173">
        <w:rPr>
          <w:rFonts w:ascii="Verdana" w:eastAsia="Century Gothic" w:hAnsi="Verdana" w:cs="Century Gothic"/>
        </w:rPr>
        <w:t>De acuerdo con el contenido de su solicitud, esta Agencia resolverá el siguiente problema jurídico: “¿Cuál es el alcance de la ineficacia de pleno derecho de las estipulaciones de los pliegos de condiciones</w:t>
      </w:r>
      <w:r w:rsidRPr="00166173">
        <w:rPr>
          <w:rFonts w:ascii="Geomanist Light" w:eastAsia="Calibri" w:hAnsi="Geomanist Light" w:cs="Arial"/>
          <w:b/>
          <w:bCs/>
          <w:color w:val="000000" w:themeColor="text1"/>
        </w:rPr>
        <w:t xml:space="preserve"> </w:t>
      </w:r>
      <w:r w:rsidRPr="00166173">
        <w:rPr>
          <w:rFonts w:ascii="Verdana" w:eastAsia="Century Gothic" w:hAnsi="Verdana" w:cs="Century Gothic"/>
        </w:rPr>
        <w:t>conforme el numeral 5 del artículo 24 de la ley 80 de 1993?</w:t>
      </w:r>
    </w:p>
    <w:p w14:paraId="72A79B0B" w14:textId="77777777" w:rsidR="003225AD" w:rsidRPr="00166173" w:rsidRDefault="003225AD" w:rsidP="003225AD">
      <w:pPr>
        <w:spacing w:after="0" w:line="276" w:lineRule="auto"/>
        <w:jc w:val="both"/>
        <w:rPr>
          <w:rFonts w:ascii="Verdana" w:eastAsia="Calibri" w:hAnsi="Verdana" w:cs="Arial"/>
          <w:color w:val="7030A0"/>
        </w:rPr>
      </w:pPr>
    </w:p>
    <w:p w14:paraId="22F3DAAD" w14:textId="77777777" w:rsidR="003225AD" w:rsidRPr="00166173" w:rsidRDefault="003225AD" w:rsidP="003225AD">
      <w:pPr>
        <w:numPr>
          <w:ilvl w:val="0"/>
          <w:numId w:val="1"/>
        </w:numPr>
        <w:tabs>
          <w:tab w:val="left" w:pos="142"/>
          <w:tab w:val="left" w:pos="284"/>
        </w:tabs>
        <w:spacing w:after="0" w:line="276" w:lineRule="auto"/>
        <w:jc w:val="both"/>
        <w:rPr>
          <w:rFonts w:ascii="Verdana" w:eastAsia="Century Gothic" w:hAnsi="Verdana" w:cs="Century Gothic"/>
          <w:b/>
          <w:bCs/>
        </w:rPr>
      </w:pPr>
      <w:r w:rsidRPr="00166173">
        <w:rPr>
          <w:rFonts w:ascii="Verdana" w:eastAsia="Century Gothic" w:hAnsi="Verdana" w:cs="Century Gothic"/>
          <w:b/>
          <w:bCs/>
        </w:rPr>
        <w:t>Respuestas:</w:t>
      </w:r>
    </w:p>
    <w:p w14:paraId="0018E50F" w14:textId="77777777" w:rsidR="003225AD" w:rsidRPr="00166173" w:rsidRDefault="003225AD" w:rsidP="003225AD">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225AD" w:rsidRPr="00166173" w14:paraId="4CC6ADDE" w14:textId="77777777" w:rsidTr="006D74B2">
        <w:trPr>
          <w:jc w:val="center"/>
        </w:trPr>
        <w:tc>
          <w:tcPr>
            <w:tcW w:w="8828" w:type="dxa"/>
            <w:shd w:val="clear" w:color="auto" w:fill="auto"/>
          </w:tcPr>
          <w:p w14:paraId="56182B7E" w14:textId="77777777" w:rsidR="003225AD" w:rsidRPr="00166173" w:rsidRDefault="003225AD" w:rsidP="006D74B2">
            <w:pPr>
              <w:spacing w:after="120" w:line="276" w:lineRule="auto"/>
              <w:jc w:val="both"/>
              <w:rPr>
                <w:rFonts w:ascii="Verdana" w:eastAsia="Calibri" w:hAnsi="Verdana" w:cs="Arial"/>
                <w:bCs/>
                <w:color w:val="000000" w:themeColor="text1"/>
              </w:rPr>
            </w:pPr>
            <w:bookmarkStart w:id="2" w:name="_Hlk171694685"/>
            <w:r w:rsidRPr="00166173">
              <w:rPr>
                <w:rFonts w:ascii="Verdana" w:eastAsia="Calibri" w:hAnsi="Verdana" w:cs="Arial"/>
                <w:bCs/>
                <w:color w:val="000000" w:themeColor="text1"/>
              </w:rPr>
              <w:t xml:space="preserve">La ineficacia de pleno derecho, o también denominada </w:t>
            </w:r>
            <w:r w:rsidRPr="00166173">
              <w:rPr>
                <w:rFonts w:ascii="Verdana" w:eastAsia="Calibri" w:hAnsi="Verdana" w:cs="Arial"/>
                <w:bCs/>
                <w:i/>
                <w:iCs/>
                <w:color w:val="000000" w:themeColor="text1"/>
              </w:rPr>
              <w:t>ineficacia</w:t>
            </w:r>
            <w:r w:rsidRPr="00166173">
              <w:rPr>
                <w:rFonts w:ascii="Verdana" w:eastAsia="Calibri" w:hAnsi="Verdana" w:cs="Arial"/>
                <w:bCs/>
                <w:color w:val="000000" w:themeColor="text1"/>
              </w:rPr>
              <w:t xml:space="preserve"> </w:t>
            </w:r>
            <w:r w:rsidRPr="00166173">
              <w:rPr>
                <w:rFonts w:ascii="Verdana" w:eastAsia="Calibri" w:hAnsi="Verdana" w:cs="Arial"/>
                <w:bCs/>
                <w:i/>
                <w:iCs/>
                <w:color w:val="000000" w:themeColor="text1"/>
              </w:rPr>
              <w:t>in limine</w:t>
            </w:r>
            <w:r w:rsidRPr="00166173">
              <w:rPr>
                <w:rFonts w:ascii="Verdana" w:eastAsia="Calibri" w:hAnsi="Verdana" w:cs="Arial"/>
                <w:bCs/>
                <w:color w:val="000000" w:themeColor="text1"/>
              </w:rPr>
              <w:t xml:space="preserve">, constituye una consecuencia o sanción del ordenamiento jurídico, de tal suerte que todo acto ineficaz se entiende por no escrito, inoperante, sin efecto </w:t>
            </w:r>
            <w:r w:rsidRPr="00166173">
              <w:rPr>
                <w:rFonts w:ascii="Verdana" w:eastAsia="Calibri" w:hAnsi="Verdana" w:cs="Arial"/>
                <w:bCs/>
                <w:color w:val="000000" w:themeColor="text1"/>
              </w:rPr>
              <w:lastRenderedPageBreak/>
              <w:t xml:space="preserve">jurídico alguno a la luz de su interprete </w:t>
            </w:r>
            <w:r w:rsidRPr="00166173">
              <w:rPr>
                <w:rFonts w:ascii="Verdana" w:eastAsia="Calibri" w:hAnsi="Verdana" w:cs="Arial"/>
                <w:color w:val="000000"/>
              </w:rPr>
              <w:t>–</w:t>
            </w:r>
            <w:r w:rsidRPr="00166173">
              <w:rPr>
                <w:rFonts w:ascii="Verdana" w:eastAsia="Calibri" w:hAnsi="Verdana" w:cs="Arial"/>
                <w:bCs/>
                <w:color w:val="000000" w:themeColor="text1"/>
              </w:rPr>
              <w:t>cualquiera que sea</w:t>
            </w:r>
            <w:r w:rsidRPr="00166173">
              <w:rPr>
                <w:rFonts w:ascii="Verdana" w:eastAsia="Calibri" w:hAnsi="Verdana" w:cs="Arial"/>
                <w:color w:val="000000"/>
              </w:rPr>
              <w:t>–</w:t>
            </w:r>
            <w:r w:rsidRPr="00166173">
              <w:rPr>
                <w:rFonts w:ascii="Verdana" w:eastAsia="Calibri" w:hAnsi="Verdana" w:cs="Arial"/>
                <w:bCs/>
                <w:color w:val="000000" w:themeColor="text1"/>
              </w:rPr>
              <w:t>, aún sin necesidad de declaración judicial.</w:t>
            </w:r>
          </w:p>
          <w:p w14:paraId="78495FB5" w14:textId="77777777" w:rsidR="003225AD" w:rsidRPr="00166173" w:rsidRDefault="003225AD" w:rsidP="006D74B2">
            <w:pPr>
              <w:spacing w:after="120" w:line="276" w:lineRule="auto"/>
              <w:ind w:firstLine="743"/>
              <w:jc w:val="both"/>
              <w:rPr>
                <w:rFonts w:ascii="Verdana" w:eastAsia="Calibri" w:hAnsi="Verdana" w:cs="Arial"/>
                <w:bCs/>
                <w:color w:val="000000" w:themeColor="text1"/>
              </w:rPr>
            </w:pPr>
            <w:r w:rsidRPr="00166173">
              <w:rPr>
                <w:rFonts w:ascii="Verdana" w:eastAsia="Calibri" w:hAnsi="Verdana" w:cs="Arial"/>
                <w:bCs/>
                <w:color w:val="000000" w:themeColor="text1"/>
                <w:lang w:val="es-ES_tradnl"/>
              </w:rPr>
              <w:t xml:space="preserve">En materia de contratación estatal, encontramos unas causales específicas determinadas por el legislador para la ineficacia de pleno de derecho contempladas en el </w:t>
            </w:r>
            <w:r>
              <w:rPr>
                <w:rFonts w:ascii="Verdana" w:eastAsia="Calibri" w:hAnsi="Verdana" w:cs="Arial"/>
                <w:bCs/>
                <w:color w:val="000000" w:themeColor="text1"/>
                <w:lang w:val="es-ES_tradnl"/>
              </w:rPr>
              <w:t>numeral 5 del</w:t>
            </w:r>
            <w:r w:rsidRPr="00166173">
              <w:rPr>
                <w:rFonts w:ascii="Verdana" w:eastAsia="Calibri" w:hAnsi="Verdana" w:cs="Arial"/>
                <w:bCs/>
                <w:color w:val="000000" w:themeColor="text1"/>
                <w:lang w:val="es-ES_tradnl"/>
              </w:rPr>
              <w:t xml:space="preserve"> artículo 24 de la Ley 80 de 1993, con el matiz que señala la jurisprudencia, las cuales tienen plenos efectos en los pliegos de condiciones </w:t>
            </w:r>
            <w:r>
              <w:rPr>
                <w:rFonts w:ascii="Verdana" w:eastAsia="Calibri" w:hAnsi="Verdana" w:cs="Arial"/>
                <w:bCs/>
                <w:color w:val="000000" w:themeColor="text1"/>
                <w:lang w:val="es-ES_tradnl"/>
              </w:rPr>
              <w:t xml:space="preserve">– o documentos equivalentes – </w:t>
            </w:r>
            <w:r w:rsidRPr="00166173">
              <w:rPr>
                <w:rFonts w:ascii="Verdana" w:eastAsia="Calibri" w:hAnsi="Verdana" w:cs="Arial"/>
                <w:bCs/>
                <w:color w:val="000000" w:themeColor="text1"/>
                <w:lang w:val="es-ES_tradnl"/>
              </w:rPr>
              <w:t>y</w:t>
            </w:r>
            <w:r>
              <w:rPr>
                <w:rFonts w:ascii="Verdana" w:eastAsia="Calibri" w:hAnsi="Verdana" w:cs="Arial"/>
                <w:bCs/>
                <w:color w:val="000000" w:themeColor="text1"/>
                <w:lang w:val="es-ES_tradnl"/>
              </w:rPr>
              <w:t xml:space="preserve"> </w:t>
            </w:r>
            <w:r w:rsidRPr="00166173">
              <w:rPr>
                <w:rFonts w:ascii="Verdana" w:eastAsia="Calibri" w:hAnsi="Verdana" w:cs="Arial"/>
                <w:bCs/>
                <w:color w:val="000000" w:themeColor="text1"/>
                <w:lang w:val="es-ES_tradnl"/>
              </w:rPr>
              <w:t xml:space="preserve">los contratos y “su consecuencia </w:t>
            </w:r>
            <w:r w:rsidRPr="00166173">
              <w:rPr>
                <w:rFonts w:ascii="Verdana" w:hAnsi="Verdana"/>
              </w:rPr>
              <w:t xml:space="preserve">es que las cláusulas que adolecen de tal situación se entienden por no escritas”. En otras palabras, si en un pliego de condiciones o en el contrato se establecen estipulaciones que contravenga lo dispuesto en el artículo 24.5 del EGCAP o </w:t>
            </w:r>
            <w:r w:rsidRPr="00166173">
              <w:rPr>
                <w:rFonts w:ascii="Verdana" w:eastAsia="Calibri" w:hAnsi="Verdana" w:cs="Arial"/>
                <w:bCs/>
                <w:color w:val="000000" w:themeColor="text1"/>
                <w:lang w:val="es-ES_tradnl"/>
              </w:rPr>
              <w:t xml:space="preserve">sean abiertamente contrarias al ordenamiento jurídico y el orden público, el efecto es que la ineficacia de estas cláusulas opera </w:t>
            </w:r>
            <w:r w:rsidRPr="00166173">
              <w:rPr>
                <w:rFonts w:ascii="Verdana" w:eastAsia="Calibri" w:hAnsi="Verdana" w:cs="Arial"/>
                <w:bCs/>
                <w:i/>
                <w:iCs/>
                <w:color w:val="000000" w:themeColor="text1"/>
                <w:lang w:val="es-ES_tradnl"/>
              </w:rPr>
              <w:t>ipso iure</w:t>
            </w:r>
            <w:r w:rsidRPr="00166173">
              <w:rPr>
                <w:rFonts w:ascii="Verdana" w:eastAsia="Calibri" w:hAnsi="Verdana" w:cs="Arial"/>
                <w:bCs/>
                <w:color w:val="000000" w:themeColor="text1"/>
                <w:lang w:val="es-ES_tradnl"/>
              </w:rPr>
              <w:t>, esto es, por ministerio de la ley, de manera inmediata y sin requerir pronunciamiento judicial.</w:t>
            </w:r>
          </w:p>
          <w:p w14:paraId="31E98F8D" w14:textId="77777777" w:rsidR="003225AD" w:rsidRPr="00166173" w:rsidRDefault="003225AD" w:rsidP="006D74B2">
            <w:pPr>
              <w:spacing w:after="120" w:line="276" w:lineRule="auto"/>
              <w:ind w:firstLine="743"/>
              <w:jc w:val="both"/>
              <w:rPr>
                <w:rFonts w:ascii="Verdana" w:eastAsia="Calibri" w:hAnsi="Verdana" w:cs="Arial"/>
                <w:bCs/>
                <w:color w:val="000000" w:themeColor="text1"/>
              </w:rPr>
            </w:pPr>
            <w:r w:rsidRPr="00166173">
              <w:rPr>
                <w:rFonts w:ascii="Verdana" w:eastAsia="Arial" w:hAnsi="Verdana" w:cs="Arial"/>
                <w:bCs/>
                <w:lang w:val="es-ES_tradnl"/>
              </w:rPr>
              <w:t xml:space="preserve"> No obstante, de cara a su reconocimiento y aplicación práctica </w:t>
            </w:r>
            <w:r w:rsidRPr="00166173">
              <w:rPr>
                <w:rFonts w:ascii="Verdana" w:eastAsia="Arial" w:hAnsi="Verdana" w:cs="Arial"/>
              </w:rPr>
              <w:t>–</w:t>
            </w:r>
            <w:r w:rsidRPr="00166173">
              <w:rPr>
                <w:rFonts w:ascii="Verdana" w:eastAsia="Arial" w:hAnsi="Verdana" w:cs="Arial"/>
                <w:bCs/>
                <w:lang w:val="es-ES_tradnl"/>
              </w:rPr>
              <w:t>más que a su validez</w:t>
            </w:r>
            <w:r w:rsidRPr="00166173">
              <w:rPr>
                <w:rFonts w:ascii="Verdana" w:eastAsia="Arial" w:hAnsi="Verdana" w:cs="Arial"/>
              </w:rPr>
              <w:t>–</w:t>
            </w:r>
            <w:r w:rsidRPr="00166173">
              <w:rPr>
                <w:rFonts w:ascii="Verdana" w:eastAsia="Arial" w:hAnsi="Verdana" w:cs="Arial"/>
                <w:bCs/>
                <w:lang w:val="es-ES_tradnl"/>
              </w:rPr>
              <w:t xml:space="preserve"> requiere de un pronunciamiento concreto que la materialice y le de </w:t>
            </w:r>
            <w:proofErr w:type="spellStart"/>
            <w:r w:rsidRPr="00166173">
              <w:rPr>
                <w:rFonts w:ascii="Verdana" w:eastAsia="Arial" w:hAnsi="Verdana" w:cs="Arial"/>
                <w:bCs/>
                <w:lang w:val="es-ES_tradnl"/>
              </w:rPr>
              <w:t>operancia</w:t>
            </w:r>
            <w:proofErr w:type="spellEnd"/>
            <w:r w:rsidRPr="00166173">
              <w:rPr>
                <w:rFonts w:ascii="Verdana" w:eastAsia="Arial" w:hAnsi="Verdana" w:cs="Arial"/>
                <w:bCs/>
                <w:lang w:val="es-ES_tradnl"/>
              </w:rPr>
              <w:t xml:space="preserve"> frente a los sujetos interesados. </w:t>
            </w:r>
            <w:r>
              <w:rPr>
                <w:rFonts w:ascii="Verdana" w:eastAsia="Arial" w:hAnsi="Verdana" w:cs="Arial"/>
                <w:bCs/>
                <w:lang w:val="es-ES_tradnl"/>
              </w:rPr>
              <w:t>Respecto</w:t>
            </w:r>
            <w:r w:rsidRPr="00166173">
              <w:rPr>
                <w:rFonts w:ascii="Verdana" w:eastAsia="Arial" w:hAnsi="Verdana" w:cs="Arial"/>
                <w:bCs/>
                <w:lang w:val="es-ES_tradnl"/>
              </w:rPr>
              <w:t xml:space="preserve"> a esto, habría dos posibilidades: i) ineficacia de una cláusula contractual e </w:t>
            </w:r>
            <w:proofErr w:type="spellStart"/>
            <w:r w:rsidRPr="00166173">
              <w:rPr>
                <w:rFonts w:ascii="Verdana" w:eastAsia="Arial" w:hAnsi="Verdana" w:cs="Arial"/>
                <w:bCs/>
                <w:lang w:val="es-ES_tradnl"/>
              </w:rPr>
              <w:t>ii</w:t>
            </w:r>
            <w:proofErr w:type="spellEnd"/>
            <w:r w:rsidRPr="00166173">
              <w:rPr>
                <w:rFonts w:ascii="Verdana" w:eastAsia="Arial" w:hAnsi="Verdana" w:cs="Arial"/>
                <w:bCs/>
                <w:lang w:val="es-ES_tradnl"/>
              </w:rPr>
              <w:t xml:space="preserve">) ineficacia de una regla del pliego de condiciones. Cuando se trata de un pliego de condiciones, la manifestación deberá provenir de la entidad estatal que lo expida, lo cual se llevará a cabo mediante una declaración pública. </w:t>
            </w:r>
          </w:p>
          <w:p w14:paraId="6834E42B" w14:textId="77777777" w:rsidR="003225AD" w:rsidRPr="00166173" w:rsidRDefault="003225AD" w:rsidP="006D74B2">
            <w:pPr>
              <w:spacing w:after="120" w:line="276" w:lineRule="auto"/>
              <w:ind w:firstLine="709"/>
              <w:jc w:val="both"/>
              <w:rPr>
                <w:rFonts w:ascii="Verdana" w:eastAsia="Calibri" w:hAnsi="Verdana" w:cs="Arial"/>
                <w:bCs/>
                <w:color w:val="000000" w:themeColor="text1"/>
                <w:lang w:val="es-ES_tradnl"/>
              </w:rPr>
            </w:pPr>
            <w:r w:rsidRPr="00166173">
              <w:rPr>
                <w:rFonts w:ascii="Verdana" w:eastAsia="Arial" w:hAnsi="Verdana" w:cs="Arial"/>
                <w:bCs/>
                <w:lang w:val="es-ES_tradnl"/>
              </w:rPr>
              <w:t xml:space="preserve">Si bien la ineficacia de pleno derecho deviene del poder mismo de la norma, su materialización práctica deviene de la valoración negativa de las partes del contrato o del pliego de condiciones a través de su declaración de voluntad. En materia de contratación estatal, el instrumento pertinente para materializar tal declaración de voluntad podrá ser un documento o declaración que así lo disponga, </w:t>
            </w:r>
            <w:r w:rsidRPr="00166173">
              <w:rPr>
                <w:rFonts w:ascii="Verdana" w:eastAsia="Calibri" w:hAnsi="Verdana" w:cs="Arial"/>
                <w:bCs/>
                <w:color w:val="000000" w:themeColor="text1"/>
                <w:lang w:val="es-ES_tradnl"/>
              </w:rPr>
              <w:t xml:space="preserve">que busca comunicar un aspecto relativo al carácter contrario al orden público de la regla contenida en el pliego de condiciones de tal manera que ambas partes de este sean conocedoras y partícipes de sus efectos, ya vigentes y reconocidos por el orden jurídico. </w:t>
            </w:r>
          </w:p>
          <w:p w14:paraId="50223E8E" w14:textId="77777777" w:rsidR="003225AD" w:rsidRPr="00166173" w:rsidRDefault="003225AD" w:rsidP="006D74B2">
            <w:pPr>
              <w:spacing w:after="120" w:line="276" w:lineRule="auto"/>
              <w:ind w:firstLine="709"/>
              <w:jc w:val="both"/>
              <w:rPr>
                <w:rFonts w:ascii="Verdana" w:eastAsia="Arial" w:hAnsi="Verdana" w:cs="Arial"/>
                <w:lang w:val="es-ES"/>
              </w:rPr>
            </w:pPr>
            <w:r w:rsidRPr="070EDF17">
              <w:rPr>
                <w:rFonts w:ascii="Verdana" w:eastAsia="Calibri" w:hAnsi="Verdana" w:cs="Arial"/>
                <w:color w:val="000000" w:themeColor="text1"/>
                <w:lang w:val="es-ES"/>
              </w:rPr>
              <w:t xml:space="preserve">Se considera que dicha declaración deberá provenir de la entidad estatal en cabeza del ordenador del gasto, quien ostenta la facultad legal para ordenar y dirigirla celebración de los procesos de contratación, conforme lo dispone el artículo 11.1 de la Ley 80 de 1993. De esta forma, una vez efectuada la </w:t>
            </w:r>
            <w:r w:rsidRPr="070EDF17">
              <w:rPr>
                <w:rFonts w:ascii="Verdana" w:eastAsia="Calibri" w:hAnsi="Verdana" w:cs="Arial"/>
                <w:color w:val="000000" w:themeColor="text1"/>
                <w:lang w:val="es-ES"/>
              </w:rPr>
              <w:lastRenderedPageBreak/>
              <w:t>declaración por el ordenador del gasto, le corresponderá al comité evaluador realizar la evaluación de las ofertas sin tener en cuenta la regla del pliego de condiciones que ha sido previamente declarada ineficaz por la administración, pues precisamente, la consecuencia de dicha ineficacia implica que no ha nacido a la vida jurídica y se tiene como inexistente. Por el contrario, si aún no se ha materializado la declaración, el comité evaluador no podrá omitir lo reglado en el pliego de condiciones, así como tampoco podrá realizar la declaración ya que no tiene tales atribuciones.</w:t>
            </w:r>
          </w:p>
        </w:tc>
      </w:tr>
    </w:tbl>
    <w:p w14:paraId="7D090725" w14:textId="77777777" w:rsidR="003225AD" w:rsidRPr="00166173" w:rsidRDefault="003225AD" w:rsidP="003225AD">
      <w:pPr>
        <w:tabs>
          <w:tab w:val="left" w:pos="142"/>
          <w:tab w:val="left" w:pos="284"/>
        </w:tabs>
        <w:spacing w:after="0" w:line="276" w:lineRule="auto"/>
        <w:jc w:val="both"/>
        <w:rPr>
          <w:rFonts w:ascii="Verdana" w:eastAsia="Century Gothic" w:hAnsi="Verdana" w:cs="Century Gothic"/>
          <w:b/>
          <w:bCs/>
        </w:rPr>
      </w:pPr>
    </w:p>
    <w:bookmarkEnd w:id="2"/>
    <w:p w14:paraId="5E640D0D" w14:textId="77777777" w:rsidR="003225AD" w:rsidRPr="00166173" w:rsidRDefault="003225AD" w:rsidP="003225AD">
      <w:pPr>
        <w:numPr>
          <w:ilvl w:val="0"/>
          <w:numId w:val="1"/>
        </w:numPr>
        <w:tabs>
          <w:tab w:val="left" w:pos="142"/>
          <w:tab w:val="left" w:pos="284"/>
        </w:tabs>
        <w:spacing w:after="0" w:line="276" w:lineRule="auto"/>
        <w:jc w:val="both"/>
        <w:rPr>
          <w:rFonts w:ascii="Verdana" w:eastAsia="Century Gothic" w:hAnsi="Verdana" w:cs="Century Gothic"/>
          <w:b/>
          <w:bCs/>
        </w:rPr>
      </w:pPr>
      <w:r w:rsidRPr="00166173">
        <w:rPr>
          <w:rFonts w:ascii="Verdana" w:eastAsia="Century Gothic" w:hAnsi="Verdana" w:cs="Century Gothic"/>
          <w:b/>
          <w:bCs/>
        </w:rPr>
        <w:t>Razones de las respuestas:</w:t>
      </w:r>
    </w:p>
    <w:p w14:paraId="3F559A3E" w14:textId="77777777" w:rsidR="003225AD" w:rsidRPr="00166173" w:rsidRDefault="003225AD" w:rsidP="003225AD">
      <w:pPr>
        <w:spacing w:after="0" w:line="276" w:lineRule="auto"/>
        <w:jc w:val="both"/>
        <w:rPr>
          <w:rFonts w:ascii="Verdana" w:eastAsia="Calibri" w:hAnsi="Verdana" w:cs="Arial"/>
          <w:color w:val="7030A0"/>
        </w:rPr>
      </w:pPr>
    </w:p>
    <w:p w14:paraId="520B134A" w14:textId="77777777" w:rsidR="003225AD" w:rsidRPr="00166173" w:rsidRDefault="003225AD" w:rsidP="003225AD">
      <w:pPr>
        <w:spacing w:after="0" w:line="276" w:lineRule="auto"/>
        <w:jc w:val="both"/>
        <w:rPr>
          <w:rFonts w:ascii="Verdana" w:eastAsia="Calibri" w:hAnsi="Verdana" w:cs="Arial"/>
        </w:rPr>
      </w:pPr>
      <w:r w:rsidRPr="00166173">
        <w:rPr>
          <w:rFonts w:ascii="Verdana" w:eastAsia="Calibri" w:hAnsi="Verdana" w:cs="Arial"/>
        </w:rPr>
        <w:t>Lo anterior se sustenta en las siguientes consideraciones:</w:t>
      </w:r>
    </w:p>
    <w:p w14:paraId="0DEFE4C3" w14:textId="77777777" w:rsidR="003225AD" w:rsidRPr="00166173" w:rsidRDefault="003225AD" w:rsidP="003225AD">
      <w:pPr>
        <w:spacing w:after="0" w:line="276" w:lineRule="auto"/>
        <w:jc w:val="both"/>
        <w:rPr>
          <w:rFonts w:ascii="Verdana" w:eastAsia="Calibri" w:hAnsi="Verdana" w:cs="Arial"/>
          <w:color w:val="000000" w:themeColor="text1"/>
        </w:rPr>
      </w:pPr>
    </w:p>
    <w:p w14:paraId="4727CF60" w14:textId="77777777" w:rsidR="003225AD" w:rsidRPr="00166173" w:rsidRDefault="003225AD" w:rsidP="003225AD">
      <w:pPr>
        <w:spacing w:after="120" w:line="276" w:lineRule="auto"/>
        <w:jc w:val="both"/>
        <w:rPr>
          <w:rFonts w:ascii="Verdana" w:eastAsia="Calibri" w:hAnsi="Verdana" w:cs="Arial"/>
          <w:bCs/>
          <w:color w:val="000000" w:themeColor="text1"/>
        </w:rPr>
      </w:pPr>
      <w:r>
        <w:rPr>
          <w:rFonts w:ascii="Verdana" w:eastAsia="Calibri" w:hAnsi="Verdana" w:cs="Arial"/>
          <w:bCs/>
          <w:color w:val="000000" w:themeColor="text1"/>
        </w:rPr>
        <w:t xml:space="preserve">1) </w:t>
      </w:r>
      <w:r w:rsidRPr="00166173">
        <w:rPr>
          <w:rFonts w:ascii="Verdana" w:eastAsia="Calibri" w:hAnsi="Verdana" w:cs="Arial"/>
          <w:bCs/>
          <w:color w:val="000000" w:themeColor="text1"/>
        </w:rPr>
        <w:t xml:space="preserve">Uno de los principios transversales a todo procedimiento de selección es el de </w:t>
      </w:r>
      <w:r w:rsidRPr="00166173">
        <w:rPr>
          <w:rFonts w:ascii="Verdana" w:eastAsia="Calibri" w:hAnsi="Verdana" w:cs="Arial"/>
          <w:bCs/>
          <w:i/>
          <w:color w:val="000000" w:themeColor="text1"/>
        </w:rPr>
        <w:t>selección objetiva</w:t>
      </w:r>
      <w:r w:rsidRPr="00166173">
        <w:rPr>
          <w:rFonts w:ascii="Verdana" w:eastAsia="Calibri" w:hAnsi="Verdana" w:cs="Arial"/>
          <w:bCs/>
          <w:color w:val="000000" w:themeColor="text1"/>
        </w:rPr>
        <w:t xml:space="preserve">. Este consiste en el deber en cabeza de la administración de escoger la oferta ganadora con base en factores objetivos de carácter técnico, jurídico y financiero, y no en criterios subjetivos como el afecto, la amistad, el ánimo de ayuda, el interés personal, etc. De tal suerte que este deber constituye el fundamento jurídico de varios de los apartados de la Ley 80 de 1993: </w:t>
      </w:r>
    </w:p>
    <w:p w14:paraId="5D4B7B1A" w14:textId="77777777" w:rsidR="003225AD" w:rsidRPr="00166173" w:rsidRDefault="003225AD" w:rsidP="003225AD">
      <w:pPr>
        <w:spacing w:after="120" w:line="276" w:lineRule="auto"/>
        <w:ind w:firstLine="709"/>
        <w:jc w:val="both"/>
        <w:rPr>
          <w:rFonts w:ascii="Verdana" w:eastAsia="Calibri" w:hAnsi="Verdana" w:cs="Arial"/>
          <w:bCs/>
          <w:color w:val="000000" w:themeColor="text1"/>
        </w:rPr>
      </w:pPr>
      <w:r w:rsidRPr="00166173">
        <w:rPr>
          <w:rFonts w:ascii="Verdana" w:eastAsia="Calibri" w:hAnsi="Verdana" w:cs="Arial"/>
          <w:bCs/>
          <w:color w:val="000000" w:themeColor="text1"/>
        </w:rPr>
        <w:t>i)</w:t>
      </w:r>
      <w:r w:rsidRPr="00166173">
        <w:rPr>
          <w:rFonts w:ascii="Verdana" w:eastAsia="Calibri" w:hAnsi="Verdana" w:cs="Arial"/>
          <w:bCs/>
          <w:i/>
          <w:iCs/>
          <w:color w:val="000000" w:themeColor="text1"/>
        </w:rPr>
        <w:t xml:space="preserve"> </w:t>
      </w:r>
      <w:r w:rsidRPr="00166173">
        <w:rPr>
          <w:rFonts w:ascii="Verdana" w:eastAsia="Calibri" w:hAnsi="Verdana" w:cs="Arial"/>
          <w:bCs/>
          <w:color w:val="000000" w:themeColor="text1"/>
        </w:rPr>
        <w:t xml:space="preserve">El primer inciso del artículo 21, obliga a las entidades estatales </w:t>
      </w:r>
      <w:proofErr w:type="gramStart"/>
      <w:r w:rsidRPr="00166173">
        <w:rPr>
          <w:rFonts w:ascii="Verdana" w:eastAsia="Calibri" w:hAnsi="Verdana" w:cs="Arial"/>
          <w:bCs/>
          <w:color w:val="000000" w:themeColor="text1"/>
        </w:rPr>
        <w:t>a</w:t>
      </w:r>
      <w:proofErr w:type="gramEnd"/>
      <w:r w:rsidRPr="00166173">
        <w:rPr>
          <w:rFonts w:ascii="Verdana" w:eastAsia="Calibri" w:hAnsi="Verdana" w:cs="Arial"/>
          <w:bCs/>
          <w:color w:val="000000" w:themeColor="text1"/>
        </w:rPr>
        <w:t xml:space="preserve"> tener en cuenta la selección objetiva, al garantizar la participación de los oferentes de bienes y servicios de origen nacional;</w:t>
      </w:r>
    </w:p>
    <w:p w14:paraId="33BE7D7F" w14:textId="77777777" w:rsidR="003225AD" w:rsidRPr="00166173" w:rsidRDefault="003225AD" w:rsidP="003225AD">
      <w:pPr>
        <w:spacing w:after="120" w:line="276" w:lineRule="auto"/>
        <w:ind w:firstLine="709"/>
        <w:jc w:val="both"/>
        <w:rPr>
          <w:rFonts w:ascii="Verdana" w:eastAsia="Calibri" w:hAnsi="Verdana" w:cs="Arial"/>
          <w:bCs/>
          <w:color w:val="000000" w:themeColor="text1"/>
        </w:rPr>
      </w:pPr>
      <w:proofErr w:type="spellStart"/>
      <w:r w:rsidRPr="00166173">
        <w:rPr>
          <w:rFonts w:ascii="Verdana" w:eastAsia="Calibri" w:hAnsi="Verdana" w:cs="Arial"/>
          <w:bCs/>
          <w:color w:val="000000" w:themeColor="text1"/>
        </w:rPr>
        <w:t>ii</w:t>
      </w:r>
      <w:proofErr w:type="spellEnd"/>
      <w:r w:rsidRPr="00166173">
        <w:rPr>
          <w:rFonts w:ascii="Verdana" w:eastAsia="Calibri" w:hAnsi="Verdana" w:cs="Arial"/>
          <w:bCs/>
          <w:color w:val="000000" w:themeColor="text1"/>
        </w:rPr>
        <w:t xml:space="preserve">) </w:t>
      </w:r>
      <w:r w:rsidRPr="00166173">
        <w:rPr>
          <w:rFonts w:ascii="Verdana" w:eastAsia="Calibri" w:hAnsi="Verdana" w:cs="Arial"/>
          <w:bCs/>
          <w:color w:val="000000" w:themeColor="text1"/>
          <w:lang w:val="es-MX"/>
        </w:rPr>
        <w:t xml:space="preserve">El artículo 24, numeral 5º, establece que serán ineficaces de pleno derecho aquellas cláusulas </w:t>
      </w:r>
      <w:r>
        <w:rPr>
          <w:rFonts w:ascii="Verdana" w:eastAsia="Calibri" w:hAnsi="Verdana" w:cs="Arial"/>
          <w:bCs/>
          <w:color w:val="000000" w:themeColor="text1"/>
          <w:lang w:val="es-MX"/>
        </w:rPr>
        <w:t xml:space="preserve">contenidas </w:t>
      </w:r>
      <w:r w:rsidRPr="00166173">
        <w:rPr>
          <w:rFonts w:ascii="Verdana" w:eastAsia="Calibri" w:hAnsi="Verdana" w:cs="Arial"/>
          <w:bCs/>
          <w:color w:val="000000" w:themeColor="text1"/>
          <w:lang w:val="es-MX"/>
        </w:rPr>
        <w:t>e</w:t>
      </w:r>
      <w:r>
        <w:rPr>
          <w:rFonts w:ascii="Verdana" w:eastAsia="Calibri" w:hAnsi="Verdana" w:cs="Arial"/>
          <w:bCs/>
          <w:color w:val="000000" w:themeColor="text1"/>
          <w:lang w:val="es-MX"/>
        </w:rPr>
        <w:t>n</w:t>
      </w:r>
      <w:r w:rsidRPr="00166173">
        <w:rPr>
          <w:rFonts w:ascii="Verdana" w:eastAsia="Calibri" w:hAnsi="Verdana" w:cs="Arial"/>
          <w:bCs/>
          <w:color w:val="000000" w:themeColor="text1"/>
          <w:lang w:val="es-MX"/>
        </w:rPr>
        <w:t xml:space="preserve"> los pliegos de condiciones que contravengan lo dispuesto en </w:t>
      </w:r>
      <w:r>
        <w:rPr>
          <w:rFonts w:ascii="Verdana" w:eastAsia="Calibri" w:hAnsi="Verdana" w:cs="Arial"/>
          <w:bCs/>
          <w:color w:val="000000" w:themeColor="text1"/>
          <w:lang w:val="es-MX"/>
        </w:rPr>
        <w:t>dicho</w:t>
      </w:r>
      <w:r w:rsidRPr="00166173">
        <w:rPr>
          <w:rFonts w:ascii="Verdana" w:eastAsia="Calibri" w:hAnsi="Verdana" w:cs="Arial"/>
          <w:bCs/>
          <w:color w:val="000000" w:themeColor="text1"/>
          <w:lang w:val="es-MX"/>
        </w:rPr>
        <w:t xml:space="preserve"> numeral, como garantías al principio de transparencia y selección objetiva;</w:t>
      </w:r>
    </w:p>
    <w:p w14:paraId="2DE13DF1" w14:textId="77777777" w:rsidR="003225AD" w:rsidRPr="00166173" w:rsidRDefault="003225AD" w:rsidP="003225AD">
      <w:pPr>
        <w:spacing w:after="120" w:line="276" w:lineRule="auto"/>
        <w:ind w:firstLine="709"/>
        <w:jc w:val="both"/>
        <w:rPr>
          <w:rFonts w:ascii="Verdana" w:eastAsia="Calibri" w:hAnsi="Verdana" w:cs="Arial"/>
          <w:bCs/>
          <w:color w:val="000000" w:themeColor="text1"/>
        </w:rPr>
      </w:pPr>
      <w:proofErr w:type="spellStart"/>
      <w:r w:rsidRPr="00166173">
        <w:rPr>
          <w:rFonts w:ascii="Verdana" w:eastAsia="Calibri" w:hAnsi="Verdana" w:cs="Arial"/>
          <w:bCs/>
          <w:color w:val="000000" w:themeColor="text1"/>
        </w:rPr>
        <w:t>iii</w:t>
      </w:r>
      <w:proofErr w:type="spellEnd"/>
      <w:r w:rsidRPr="00166173">
        <w:rPr>
          <w:rFonts w:ascii="Verdana" w:eastAsia="Calibri" w:hAnsi="Verdana" w:cs="Arial"/>
          <w:bCs/>
          <w:color w:val="000000" w:themeColor="text1"/>
        </w:rPr>
        <w:t xml:space="preserve">) </w:t>
      </w:r>
      <w:r w:rsidRPr="00166173">
        <w:rPr>
          <w:rFonts w:ascii="Verdana" w:eastAsia="Calibri" w:hAnsi="Verdana" w:cs="Arial"/>
          <w:bCs/>
          <w:color w:val="000000" w:themeColor="text1"/>
          <w:lang w:val="es-MX"/>
        </w:rPr>
        <w:t>El artículo 24, numeral 8º, según el cual “Las autoridades no actuarán con desviación o abuso de poder y ejercerán sus competencias exclusivamente para los fines previstos en la ley. Igualmente, les será prohibido eludir los procedimientos de selección objetiva y los demás requisitos previstos en el presente estatuto”;</w:t>
      </w:r>
    </w:p>
    <w:p w14:paraId="351200FF" w14:textId="77777777" w:rsidR="003225AD" w:rsidRPr="00166173" w:rsidRDefault="003225AD" w:rsidP="003225AD">
      <w:pPr>
        <w:spacing w:after="120" w:line="276" w:lineRule="auto"/>
        <w:ind w:firstLine="709"/>
        <w:jc w:val="both"/>
        <w:rPr>
          <w:rFonts w:ascii="Verdana" w:eastAsia="Calibri" w:hAnsi="Verdana" w:cs="Arial"/>
          <w:bCs/>
          <w:color w:val="000000" w:themeColor="text1"/>
        </w:rPr>
      </w:pPr>
      <w:proofErr w:type="spellStart"/>
      <w:r w:rsidRPr="00166173">
        <w:rPr>
          <w:rFonts w:ascii="Verdana" w:eastAsia="Calibri" w:hAnsi="Verdana" w:cs="Arial"/>
          <w:bCs/>
          <w:color w:val="000000" w:themeColor="text1"/>
        </w:rPr>
        <w:t>iv</w:t>
      </w:r>
      <w:proofErr w:type="spellEnd"/>
      <w:r w:rsidRPr="00166173">
        <w:rPr>
          <w:rFonts w:ascii="Verdana" w:eastAsia="Calibri" w:hAnsi="Verdana" w:cs="Arial"/>
          <w:bCs/>
          <w:color w:val="000000" w:themeColor="text1"/>
        </w:rPr>
        <w:t xml:space="preserve">) </w:t>
      </w:r>
      <w:r w:rsidRPr="00166173">
        <w:rPr>
          <w:rFonts w:ascii="Verdana" w:eastAsia="Calibri" w:hAnsi="Verdana" w:cs="Arial"/>
          <w:bCs/>
          <w:color w:val="000000" w:themeColor="text1"/>
          <w:lang w:val="es-MX"/>
        </w:rPr>
        <w:t xml:space="preserve">El segundo inciso del parágrafo 3º del artículo 24, exige tener en cuenta la selección objetiva de la entidad veedora para el procedimiento de venta de bienes de las entidades estatales por el sistema de martillo; </w:t>
      </w:r>
    </w:p>
    <w:p w14:paraId="0EBD0431" w14:textId="77777777" w:rsidR="003225AD" w:rsidRPr="00166173" w:rsidRDefault="003225AD" w:rsidP="003225AD">
      <w:pPr>
        <w:spacing w:after="120" w:line="276" w:lineRule="auto"/>
        <w:ind w:firstLine="709"/>
        <w:jc w:val="both"/>
        <w:rPr>
          <w:rFonts w:ascii="Verdana" w:eastAsia="Calibri" w:hAnsi="Verdana" w:cs="Arial"/>
          <w:bCs/>
          <w:color w:val="000000" w:themeColor="text1"/>
        </w:rPr>
      </w:pPr>
      <w:r w:rsidRPr="00166173">
        <w:rPr>
          <w:rFonts w:ascii="Verdana" w:eastAsia="Calibri" w:hAnsi="Verdana" w:cs="Arial"/>
          <w:bCs/>
          <w:color w:val="000000" w:themeColor="text1"/>
        </w:rPr>
        <w:lastRenderedPageBreak/>
        <w:t xml:space="preserve">v) </w:t>
      </w:r>
      <w:r w:rsidRPr="00166173">
        <w:rPr>
          <w:rFonts w:ascii="Verdana" w:eastAsia="Calibri" w:hAnsi="Verdana" w:cs="Arial"/>
          <w:bCs/>
          <w:color w:val="000000" w:themeColor="text1"/>
          <w:lang w:val="es-MX"/>
        </w:rPr>
        <w:t>El numeral 18 del artículo 25 señala que “La declaratoria de desierta de la licitación únicamente procederá por motivos o causas que impidan la escogencia objetiva”;</w:t>
      </w:r>
    </w:p>
    <w:p w14:paraId="04567F35" w14:textId="77777777" w:rsidR="003225AD" w:rsidRPr="00166173" w:rsidRDefault="003225AD" w:rsidP="003225AD">
      <w:pPr>
        <w:spacing w:after="120" w:line="276" w:lineRule="auto"/>
        <w:ind w:firstLine="709"/>
        <w:jc w:val="both"/>
        <w:rPr>
          <w:rFonts w:ascii="Verdana" w:eastAsia="Calibri" w:hAnsi="Verdana" w:cs="Arial"/>
          <w:bCs/>
          <w:color w:val="000000" w:themeColor="text1"/>
        </w:rPr>
      </w:pPr>
      <w:r w:rsidRPr="00166173">
        <w:rPr>
          <w:rFonts w:ascii="Verdana" w:eastAsia="Calibri" w:hAnsi="Verdana" w:cs="Arial"/>
          <w:bCs/>
          <w:color w:val="000000" w:themeColor="text1"/>
        </w:rPr>
        <w:t xml:space="preserve">vi) </w:t>
      </w:r>
      <w:r w:rsidRPr="00166173">
        <w:rPr>
          <w:rFonts w:ascii="Verdana" w:eastAsia="Calibri" w:hAnsi="Verdana" w:cs="Arial"/>
          <w:bCs/>
          <w:color w:val="000000" w:themeColor="text1"/>
          <w:lang w:val="es-MX"/>
        </w:rPr>
        <w:t>El numeral 2 del artículo 30 dispone que “La entidad interesada elaborará los correspondientes pliegos de condiciones, […], en los cuales se detallarán especialmente los aspectos relativos al objeto del contrato, su regulación jurídica, los derechos y obligaciones de las partes, la determinación y ponderación de los factores objetivos de selección y todas las demás circunstancias de tiempo, modo y lugar que se consideren necesarias para garantizar reglas objetivas, claras y completas”;</w:t>
      </w:r>
    </w:p>
    <w:p w14:paraId="055AB899" w14:textId="77777777" w:rsidR="003225AD" w:rsidRPr="00166173" w:rsidRDefault="003225AD" w:rsidP="003225AD">
      <w:pPr>
        <w:spacing w:after="120" w:line="276" w:lineRule="auto"/>
        <w:ind w:firstLine="709"/>
        <w:jc w:val="both"/>
        <w:rPr>
          <w:rFonts w:ascii="Verdana" w:eastAsia="Calibri" w:hAnsi="Verdana" w:cs="Arial"/>
          <w:bCs/>
          <w:color w:val="000000" w:themeColor="text1"/>
        </w:rPr>
      </w:pPr>
      <w:proofErr w:type="spellStart"/>
      <w:r w:rsidRPr="00166173">
        <w:rPr>
          <w:rFonts w:ascii="Verdana" w:eastAsia="Calibri" w:hAnsi="Verdana" w:cs="Arial"/>
          <w:bCs/>
          <w:color w:val="000000" w:themeColor="text1"/>
        </w:rPr>
        <w:t>vii</w:t>
      </w:r>
      <w:proofErr w:type="spellEnd"/>
      <w:r w:rsidRPr="00166173">
        <w:rPr>
          <w:rFonts w:ascii="Verdana" w:eastAsia="Calibri" w:hAnsi="Verdana" w:cs="Arial"/>
          <w:bCs/>
          <w:color w:val="000000" w:themeColor="text1"/>
        </w:rPr>
        <w:t xml:space="preserve">) </w:t>
      </w:r>
      <w:r w:rsidRPr="00166173">
        <w:rPr>
          <w:rFonts w:ascii="Verdana" w:eastAsia="Calibri" w:hAnsi="Verdana" w:cs="Arial"/>
          <w:bCs/>
          <w:color w:val="000000" w:themeColor="text1"/>
          <w:lang w:val="es-MX"/>
        </w:rPr>
        <w:t xml:space="preserve">El segundo inciso del artículo 76 ordena cumplir también con dicho principio a las entidades que tengan por objeto la exploración, explotación y comercialización de recursos naturales renovables y no renovables. </w:t>
      </w:r>
    </w:p>
    <w:p w14:paraId="04687CBC" w14:textId="77777777" w:rsidR="003225AD" w:rsidRPr="00166173" w:rsidRDefault="003225AD" w:rsidP="003225AD">
      <w:pPr>
        <w:spacing w:after="120" w:line="276" w:lineRule="auto"/>
        <w:ind w:firstLine="708"/>
        <w:jc w:val="both"/>
        <w:rPr>
          <w:rFonts w:ascii="Verdana" w:eastAsia="Calibri" w:hAnsi="Verdana" w:cs="Arial"/>
          <w:bCs/>
          <w:color w:val="000000" w:themeColor="text1"/>
        </w:rPr>
      </w:pPr>
      <w:r w:rsidRPr="00166173">
        <w:rPr>
          <w:rFonts w:ascii="Verdana" w:eastAsia="Calibri" w:hAnsi="Verdana" w:cs="Arial"/>
          <w:bCs/>
          <w:color w:val="000000" w:themeColor="text1"/>
        </w:rPr>
        <w:t xml:space="preserve">A la luz del apartado número </w:t>
      </w:r>
      <w:proofErr w:type="spellStart"/>
      <w:r w:rsidRPr="00166173">
        <w:rPr>
          <w:rFonts w:ascii="Verdana" w:eastAsia="Calibri" w:hAnsi="Verdana" w:cs="Arial"/>
          <w:bCs/>
          <w:i/>
          <w:iCs/>
          <w:color w:val="000000" w:themeColor="text1"/>
        </w:rPr>
        <w:t>ii</w:t>
      </w:r>
      <w:proofErr w:type="spellEnd"/>
      <w:r w:rsidRPr="00166173">
        <w:rPr>
          <w:rFonts w:ascii="Verdana" w:eastAsia="Calibri" w:hAnsi="Verdana" w:cs="Arial"/>
          <w:bCs/>
          <w:i/>
          <w:iCs/>
          <w:color w:val="000000" w:themeColor="text1"/>
        </w:rPr>
        <w:t xml:space="preserve">) </w:t>
      </w:r>
      <w:r w:rsidRPr="00166173">
        <w:rPr>
          <w:rFonts w:ascii="Verdana" w:eastAsia="Calibri" w:hAnsi="Verdana" w:cs="Arial"/>
          <w:bCs/>
          <w:color w:val="000000" w:themeColor="text1"/>
        </w:rPr>
        <w:t xml:space="preserve">se prohíbe que los pliegos de condiciones estipulen cláusulas contrarias a los principios de transparencia y selección objetiva, so pena de entenderse ineficaces de pleno derecho conforme lo establece el numeral 5 del artículo 24 de la Ley 80 de 1993. </w:t>
      </w:r>
    </w:p>
    <w:p w14:paraId="3785DFC9" w14:textId="77777777" w:rsidR="003225AD" w:rsidRPr="00166173" w:rsidRDefault="003225AD" w:rsidP="003225AD">
      <w:pPr>
        <w:spacing w:after="120" w:line="276" w:lineRule="auto"/>
        <w:ind w:firstLine="708"/>
        <w:jc w:val="both"/>
        <w:rPr>
          <w:rFonts w:ascii="Verdana" w:eastAsia="Calibri" w:hAnsi="Verdana" w:cs="Arial"/>
          <w:bCs/>
          <w:color w:val="000000" w:themeColor="text1"/>
        </w:rPr>
      </w:pPr>
      <w:r w:rsidRPr="00166173">
        <w:rPr>
          <w:rFonts w:ascii="Verdana" w:eastAsia="Calibri" w:hAnsi="Verdana" w:cs="Arial"/>
          <w:bCs/>
          <w:color w:val="000000" w:themeColor="text1"/>
        </w:rPr>
        <w:t>La ineficacia de pleno derecho ha sido definida como “una figura en virtud de la cual un acto no produce efectos porque se configuran determinadas circunstancias tan lesivas para el ordenamiento jurídico que, según la norma positiva expresamente, ello traerá como consecuencia que el negocio jurídico no cobre vigencia”</w:t>
      </w:r>
      <w:r w:rsidRPr="00166173">
        <w:rPr>
          <w:rFonts w:ascii="Verdana" w:eastAsia="Calibri" w:hAnsi="Verdana" w:cs="Arial"/>
          <w:bCs/>
          <w:color w:val="000000" w:themeColor="text1"/>
          <w:vertAlign w:val="superscript"/>
        </w:rPr>
        <w:footnoteReference w:id="2"/>
      </w:r>
      <w:r w:rsidRPr="00166173">
        <w:rPr>
          <w:rFonts w:ascii="Verdana" w:eastAsia="Calibri" w:hAnsi="Verdana" w:cs="Arial"/>
          <w:bCs/>
          <w:color w:val="000000" w:themeColor="text1"/>
        </w:rPr>
        <w:t xml:space="preserve">.  </w:t>
      </w:r>
    </w:p>
    <w:p w14:paraId="25E6F14C" w14:textId="77777777" w:rsidR="003225AD" w:rsidRPr="00166173" w:rsidRDefault="003225AD" w:rsidP="003225AD">
      <w:pPr>
        <w:spacing w:after="120" w:line="276" w:lineRule="auto"/>
        <w:ind w:firstLine="708"/>
        <w:jc w:val="both"/>
        <w:rPr>
          <w:rFonts w:ascii="Verdana" w:eastAsia="Calibri" w:hAnsi="Verdana" w:cs="Arial"/>
          <w:bCs/>
          <w:color w:val="000000" w:themeColor="text1"/>
        </w:rPr>
      </w:pPr>
      <w:r w:rsidRPr="00166173">
        <w:rPr>
          <w:rFonts w:ascii="Verdana" w:eastAsia="Calibri" w:hAnsi="Verdana" w:cs="Arial"/>
          <w:bCs/>
          <w:color w:val="000000" w:themeColor="text1"/>
        </w:rPr>
        <w:t xml:space="preserve">Sobre el particular, el </w:t>
      </w:r>
      <w:r>
        <w:rPr>
          <w:rFonts w:ascii="Verdana" w:eastAsia="Calibri" w:hAnsi="Verdana" w:cs="Arial"/>
          <w:bCs/>
          <w:color w:val="000000" w:themeColor="text1"/>
        </w:rPr>
        <w:t xml:space="preserve">artículo 897 del </w:t>
      </w:r>
      <w:r w:rsidRPr="00166173">
        <w:rPr>
          <w:rFonts w:ascii="Verdana" w:eastAsia="Calibri" w:hAnsi="Verdana" w:cs="Arial"/>
          <w:bCs/>
          <w:color w:val="000000" w:themeColor="text1"/>
        </w:rPr>
        <w:t>Código de Comercio, aplicable a la normativa de contratación pública</w:t>
      </w:r>
      <w:r>
        <w:rPr>
          <w:rFonts w:ascii="Verdana" w:eastAsia="Calibri" w:hAnsi="Verdana" w:cs="Arial"/>
          <w:bCs/>
          <w:color w:val="000000" w:themeColor="text1"/>
        </w:rPr>
        <w:t xml:space="preserve">, por remisión </w:t>
      </w:r>
      <w:r w:rsidRPr="00166173">
        <w:rPr>
          <w:rFonts w:ascii="Verdana" w:eastAsia="Calibri" w:hAnsi="Verdana" w:cs="Arial"/>
          <w:bCs/>
          <w:color w:val="000000" w:themeColor="text1"/>
        </w:rPr>
        <w:t>del artículo 13 de la Ley 80 de 1993, ha establecido la siguiente definición de ineficacia</w:t>
      </w:r>
      <w:r>
        <w:rPr>
          <w:rFonts w:ascii="Verdana" w:eastAsia="Calibri" w:hAnsi="Verdana" w:cs="Arial"/>
          <w:bCs/>
          <w:color w:val="000000" w:themeColor="text1"/>
        </w:rPr>
        <w:t xml:space="preserve"> de pleno derecho</w:t>
      </w:r>
      <w:r w:rsidRPr="00166173">
        <w:rPr>
          <w:rFonts w:ascii="Verdana" w:eastAsia="Calibri" w:hAnsi="Verdana" w:cs="Arial"/>
          <w:bCs/>
          <w:color w:val="000000" w:themeColor="text1"/>
        </w:rPr>
        <w:t>: “Cuando en este Código se exprese que un acto no produce efectos, se entenderá que es ineficaz de pleno derecho, sin necesidad de declaración judicial”.</w:t>
      </w:r>
    </w:p>
    <w:p w14:paraId="27C3AAD5" w14:textId="77777777" w:rsidR="003225AD" w:rsidRPr="00166173" w:rsidRDefault="003225AD" w:rsidP="003225AD">
      <w:pPr>
        <w:spacing w:after="120" w:line="276" w:lineRule="auto"/>
        <w:ind w:firstLine="708"/>
        <w:jc w:val="both"/>
        <w:rPr>
          <w:rFonts w:ascii="Verdana" w:eastAsia="Calibri" w:hAnsi="Verdana" w:cs="Arial"/>
          <w:bCs/>
          <w:color w:val="000000" w:themeColor="text1"/>
        </w:rPr>
      </w:pPr>
      <w:r w:rsidRPr="00166173">
        <w:rPr>
          <w:rFonts w:ascii="Verdana" w:eastAsia="Calibri" w:hAnsi="Verdana" w:cs="Arial"/>
          <w:bCs/>
          <w:color w:val="000000" w:themeColor="text1"/>
        </w:rPr>
        <w:t xml:space="preserve">En consecuencia, la ineficacia de pleno derecho, o también denominada </w:t>
      </w:r>
      <w:r w:rsidRPr="00166173">
        <w:rPr>
          <w:rFonts w:ascii="Verdana" w:eastAsia="Calibri" w:hAnsi="Verdana" w:cs="Arial"/>
          <w:bCs/>
          <w:i/>
          <w:iCs/>
          <w:color w:val="000000" w:themeColor="text1"/>
        </w:rPr>
        <w:t>ineficacia</w:t>
      </w:r>
      <w:r w:rsidRPr="00166173">
        <w:rPr>
          <w:rFonts w:ascii="Verdana" w:eastAsia="Calibri" w:hAnsi="Verdana" w:cs="Arial"/>
          <w:bCs/>
          <w:color w:val="000000" w:themeColor="text1"/>
        </w:rPr>
        <w:t xml:space="preserve"> </w:t>
      </w:r>
      <w:r w:rsidRPr="00166173">
        <w:rPr>
          <w:rFonts w:ascii="Verdana" w:eastAsia="Calibri" w:hAnsi="Verdana" w:cs="Arial"/>
          <w:bCs/>
          <w:i/>
          <w:iCs/>
          <w:color w:val="000000" w:themeColor="text1"/>
        </w:rPr>
        <w:t>in limine</w:t>
      </w:r>
      <w:r w:rsidRPr="00166173">
        <w:rPr>
          <w:rFonts w:ascii="Verdana" w:eastAsia="Calibri" w:hAnsi="Verdana" w:cs="Arial"/>
          <w:bCs/>
          <w:color w:val="000000" w:themeColor="text1"/>
        </w:rPr>
        <w:t xml:space="preserve">, constituye una consecuencia o sanción del ordenamiento jurídico, de tal suerte que todo acto ineficaz se entiende por no escrito, inoperante, sin efecto jurídico alguno a la luz de su interprete </w:t>
      </w:r>
      <w:r w:rsidRPr="00166173">
        <w:rPr>
          <w:rFonts w:ascii="Verdana" w:eastAsia="Calibri" w:hAnsi="Verdana" w:cs="Arial"/>
          <w:color w:val="000000"/>
        </w:rPr>
        <w:t>–</w:t>
      </w:r>
      <w:r w:rsidRPr="00166173">
        <w:rPr>
          <w:rFonts w:ascii="Verdana" w:eastAsia="Calibri" w:hAnsi="Verdana" w:cs="Arial"/>
          <w:bCs/>
          <w:color w:val="000000" w:themeColor="text1"/>
        </w:rPr>
        <w:t xml:space="preserve">cualquiera que </w:t>
      </w:r>
      <w:r w:rsidRPr="00166173">
        <w:rPr>
          <w:rFonts w:ascii="Verdana" w:eastAsia="Calibri" w:hAnsi="Verdana" w:cs="Arial"/>
          <w:bCs/>
          <w:color w:val="000000" w:themeColor="text1"/>
        </w:rPr>
        <w:lastRenderedPageBreak/>
        <w:t>sea</w:t>
      </w:r>
      <w:r w:rsidRPr="00166173">
        <w:rPr>
          <w:rFonts w:ascii="Verdana" w:eastAsia="Calibri" w:hAnsi="Verdana" w:cs="Arial"/>
          <w:color w:val="000000"/>
        </w:rPr>
        <w:t>–</w:t>
      </w:r>
      <w:r w:rsidRPr="00166173">
        <w:rPr>
          <w:rFonts w:ascii="Verdana" w:eastAsia="Calibri" w:hAnsi="Verdana" w:cs="Arial"/>
          <w:bCs/>
          <w:color w:val="000000" w:themeColor="text1"/>
        </w:rPr>
        <w:t xml:space="preserve">, aún sin necesidad de declaración judicial. Fenómeno jurídico que, bajo la lectura del Código de Comercio, solo opera cuando la misma ley establece que transgredir </w:t>
      </w:r>
      <w:r>
        <w:rPr>
          <w:rFonts w:ascii="Verdana" w:eastAsia="Calibri" w:hAnsi="Verdana" w:cs="Arial"/>
          <w:bCs/>
          <w:color w:val="000000" w:themeColor="text1"/>
        </w:rPr>
        <w:t xml:space="preserve">un </w:t>
      </w:r>
      <w:r w:rsidRPr="00166173">
        <w:rPr>
          <w:rFonts w:ascii="Verdana" w:eastAsia="Calibri" w:hAnsi="Verdana" w:cs="Arial"/>
          <w:bCs/>
          <w:color w:val="000000" w:themeColor="text1"/>
        </w:rPr>
        <w:t>determinado precepto debe sancionarse con la inoperancia del acto.</w:t>
      </w:r>
    </w:p>
    <w:p w14:paraId="187D6607" w14:textId="77777777" w:rsidR="003225AD" w:rsidRPr="00166173" w:rsidRDefault="003225AD" w:rsidP="003225AD">
      <w:pPr>
        <w:spacing w:after="120" w:line="276" w:lineRule="auto"/>
        <w:ind w:firstLine="708"/>
        <w:jc w:val="both"/>
        <w:rPr>
          <w:rFonts w:ascii="Verdana" w:eastAsia="Calibri" w:hAnsi="Verdana" w:cs="Arial"/>
          <w:bCs/>
          <w:color w:val="000000" w:themeColor="text1"/>
        </w:rPr>
      </w:pPr>
      <w:r w:rsidRPr="00166173">
        <w:rPr>
          <w:rFonts w:ascii="Verdana" w:eastAsia="Calibri" w:hAnsi="Verdana" w:cs="Arial"/>
          <w:bCs/>
          <w:color w:val="000000" w:themeColor="text1"/>
        </w:rPr>
        <w:t>La ineficacia de pleno derecho, cuyo propósito es extinguir los efectos de un pacto o negocio jurídico, es propia de áreas del derecho en las que se pretende garantizar la intervención estatal frente a la protección del interés público o de un sector de la sociedad. Así sucede</w:t>
      </w:r>
      <w:r>
        <w:rPr>
          <w:rFonts w:ascii="Verdana" w:eastAsia="Calibri" w:hAnsi="Verdana" w:cs="Arial"/>
          <w:bCs/>
          <w:color w:val="000000" w:themeColor="text1"/>
        </w:rPr>
        <w:t>, por ejemplo,</w:t>
      </w:r>
      <w:r w:rsidRPr="00166173">
        <w:rPr>
          <w:rFonts w:ascii="Verdana" w:eastAsia="Calibri" w:hAnsi="Verdana" w:cs="Arial"/>
          <w:bCs/>
          <w:color w:val="000000" w:themeColor="text1"/>
        </w:rPr>
        <w:t xml:space="preserve"> con los contratos masivos en materia de derecho del consumo, en donde la empresa goza de la facultad unilateral de definir las condiciones del contrato y los consumidores simplemente aceptan comprar un producto o servicio. Frente a la asimetría de las partes a la hora de plasmar su voluntad en el contrato, el ordenamiento jurídico interviene limitando la facultad negocial de la parte dominante cuando sea que resulte desmedida, abusiva y transgresora de derechos irrenunciables de la parte débil.</w:t>
      </w:r>
      <w:r w:rsidRPr="00166173">
        <w:rPr>
          <w:rFonts w:ascii="Verdana" w:eastAsia="Calibri" w:hAnsi="Verdana" w:cs="Arial"/>
          <w:bCs/>
          <w:color w:val="000000" w:themeColor="text1"/>
          <w:vertAlign w:val="superscript"/>
        </w:rPr>
        <w:footnoteReference w:id="3"/>
      </w:r>
      <w:r w:rsidRPr="00166173">
        <w:rPr>
          <w:rFonts w:ascii="Verdana" w:eastAsia="Calibri" w:hAnsi="Verdana" w:cs="Arial"/>
          <w:bCs/>
          <w:color w:val="000000" w:themeColor="text1"/>
        </w:rPr>
        <w:t xml:space="preserve"> </w:t>
      </w:r>
    </w:p>
    <w:p w14:paraId="1DBFDA4F" w14:textId="77777777" w:rsidR="003225AD" w:rsidRPr="00166173" w:rsidRDefault="003225AD" w:rsidP="003225AD">
      <w:pPr>
        <w:spacing w:after="120" w:line="276" w:lineRule="auto"/>
        <w:ind w:firstLine="708"/>
        <w:jc w:val="both"/>
        <w:rPr>
          <w:rFonts w:ascii="Verdana" w:eastAsia="Calibri" w:hAnsi="Verdana" w:cs="Arial"/>
          <w:bCs/>
          <w:color w:val="000000" w:themeColor="text1"/>
        </w:rPr>
      </w:pPr>
      <w:r w:rsidRPr="00166173">
        <w:rPr>
          <w:rFonts w:ascii="Verdana" w:eastAsia="Calibri" w:hAnsi="Verdana" w:cs="Arial"/>
          <w:bCs/>
          <w:color w:val="000000" w:themeColor="text1"/>
        </w:rPr>
        <w:t xml:space="preserve">Tal situación se presenta de manera similar en la contratación pública. La entidad estatal define el pliego de condiciones de manera unilateral y el oferente simplemente decide participar en el proceso de selección. </w:t>
      </w:r>
      <w:r>
        <w:rPr>
          <w:rFonts w:ascii="Verdana" w:eastAsia="Calibri" w:hAnsi="Verdana" w:cs="Arial"/>
          <w:bCs/>
          <w:color w:val="000000" w:themeColor="text1"/>
        </w:rPr>
        <w:t>En ese contexto, e</w:t>
      </w:r>
      <w:r w:rsidRPr="00166173">
        <w:rPr>
          <w:rFonts w:ascii="Verdana" w:eastAsia="Calibri" w:hAnsi="Verdana" w:cs="Arial"/>
          <w:bCs/>
          <w:color w:val="000000" w:themeColor="text1"/>
        </w:rPr>
        <w:t>l ordenamiento jurídico le garantiza al oferente que será evaluado a través de reglas o criterios que permitan demostrar el mérito, el valor y las calidades objetivas de la propuesta frente a las necesidades específicas de la administración. De lo contrario, tales estipulaciones contractuales no tendrán valor, se entenderán por no escritas frente a todos sus potenciales efectos</w:t>
      </w:r>
      <w:r w:rsidRPr="00166173">
        <w:rPr>
          <w:rFonts w:ascii="Verdana" w:eastAsia="Calibri" w:hAnsi="Verdana" w:cs="Arial"/>
          <w:bCs/>
          <w:color w:val="000000" w:themeColor="text1"/>
          <w:vertAlign w:val="superscript"/>
          <w:lang w:val="es-ES_tradnl"/>
        </w:rPr>
        <w:footnoteReference w:id="4"/>
      </w:r>
      <w:r w:rsidRPr="00166173">
        <w:rPr>
          <w:rFonts w:ascii="Verdana" w:eastAsia="Calibri" w:hAnsi="Verdana" w:cs="Arial"/>
          <w:bCs/>
          <w:color w:val="000000" w:themeColor="text1"/>
        </w:rPr>
        <w:t>.</w:t>
      </w:r>
    </w:p>
    <w:p w14:paraId="6426D247" w14:textId="77777777" w:rsidR="003225AD" w:rsidRPr="00166173" w:rsidRDefault="003225AD" w:rsidP="003225AD">
      <w:pPr>
        <w:spacing w:after="120" w:line="276" w:lineRule="auto"/>
        <w:ind w:firstLine="709"/>
        <w:jc w:val="both"/>
        <w:rPr>
          <w:rFonts w:ascii="Verdana" w:eastAsia="Calibri" w:hAnsi="Verdana" w:cs="Arial"/>
          <w:bCs/>
          <w:color w:val="000000" w:themeColor="text1"/>
        </w:rPr>
      </w:pPr>
      <w:r w:rsidRPr="00166173">
        <w:rPr>
          <w:rFonts w:ascii="Verdana" w:eastAsia="Calibri" w:hAnsi="Verdana" w:cs="Arial"/>
          <w:bCs/>
          <w:color w:val="000000" w:themeColor="text1"/>
        </w:rPr>
        <w:t xml:space="preserve">De aquí la primera característica de la ineficacia </w:t>
      </w:r>
      <w:r w:rsidRPr="00166173">
        <w:rPr>
          <w:rFonts w:ascii="Verdana" w:eastAsia="Calibri" w:hAnsi="Verdana" w:cs="Arial"/>
          <w:bCs/>
          <w:i/>
          <w:iCs/>
          <w:color w:val="000000" w:themeColor="text1"/>
        </w:rPr>
        <w:t>in limine</w:t>
      </w:r>
      <w:r w:rsidRPr="00166173">
        <w:rPr>
          <w:rFonts w:ascii="Verdana" w:eastAsia="Calibri" w:hAnsi="Verdana" w:cs="Arial"/>
          <w:bCs/>
          <w:color w:val="000000" w:themeColor="text1"/>
        </w:rPr>
        <w:t xml:space="preserve">: funge como mecanismo de prevención del ordenamiento jurídico ante cláusulas contractuales que contengan transgresiones abusivas a normas jurídicas imperativas. Tanto así, que se le denomina </w:t>
      </w:r>
      <w:r w:rsidRPr="00166173">
        <w:rPr>
          <w:rFonts w:ascii="Verdana" w:eastAsia="Calibri" w:hAnsi="Verdana" w:cs="Arial"/>
          <w:bCs/>
          <w:i/>
          <w:iCs/>
          <w:color w:val="000000" w:themeColor="text1"/>
        </w:rPr>
        <w:t>liminar</w:t>
      </w:r>
      <w:r w:rsidRPr="00166173">
        <w:rPr>
          <w:rFonts w:ascii="Verdana" w:eastAsia="Calibri" w:hAnsi="Verdana" w:cs="Arial"/>
          <w:bCs/>
          <w:color w:val="000000" w:themeColor="text1"/>
        </w:rPr>
        <w:t xml:space="preserve"> en la medida en que denota cuáles son las líneas rojas del ordenamiento jurídico frente a la facultad negocial de la parte que confecciona el contrato, al punto que excederlas amerita una respuesta “severa, pronta y eficiente” del orden jurídico.</w:t>
      </w:r>
      <w:r w:rsidRPr="00166173">
        <w:rPr>
          <w:rFonts w:ascii="Verdana" w:eastAsia="Calibri" w:hAnsi="Verdana" w:cs="Arial"/>
          <w:bCs/>
          <w:color w:val="000000" w:themeColor="text1"/>
          <w:vertAlign w:val="superscript"/>
        </w:rPr>
        <w:footnoteReference w:id="5"/>
      </w:r>
    </w:p>
    <w:p w14:paraId="405DD5DE" w14:textId="77777777" w:rsidR="003225AD" w:rsidRPr="00166173" w:rsidRDefault="003225AD" w:rsidP="003225AD">
      <w:pPr>
        <w:spacing w:before="120" w:after="0" w:line="276" w:lineRule="auto"/>
        <w:ind w:firstLine="708"/>
        <w:jc w:val="both"/>
        <w:rPr>
          <w:rFonts w:ascii="Verdana" w:eastAsia="Calibri" w:hAnsi="Verdana" w:cs="Arial"/>
          <w:bCs/>
          <w:color w:val="000000" w:themeColor="text1"/>
        </w:rPr>
      </w:pPr>
      <w:r w:rsidRPr="00166173">
        <w:rPr>
          <w:rFonts w:ascii="Verdana" w:eastAsia="Calibri" w:hAnsi="Verdana" w:cs="Arial"/>
          <w:bCs/>
          <w:color w:val="000000" w:themeColor="text1"/>
        </w:rPr>
        <w:lastRenderedPageBreak/>
        <w:t>Sobre la ineficacia de pleno derecho aplicable al ámbito de la contratación pública, el Consejo de Estado ha interpretado lo siguiente:</w:t>
      </w:r>
    </w:p>
    <w:p w14:paraId="6AE28AF3" w14:textId="77777777" w:rsidR="003225AD" w:rsidRPr="00166173" w:rsidRDefault="003225AD" w:rsidP="003225AD">
      <w:pPr>
        <w:spacing w:after="0" w:line="276" w:lineRule="auto"/>
        <w:ind w:firstLine="709"/>
        <w:jc w:val="both"/>
        <w:rPr>
          <w:rFonts w:ascii="Verdana" w:eastAsia="Calibri" w:hAnsi="Verdana" w:cs="Arial"/>
          <w:bCs/>
          <w:color w:val="000000" w:themeColor="text1"/>
        </w:rPr>
      </w:pPr>
    </w:p>
    <w:p w14:paraId="0FF97C4C" w14:textId="77777777" w:rsidR="003225AD" w:rsidRPr="00166173" w:rsidRDefault="003225AD" w:rsidP="003225AD">
      <w:pPr>
        <w:spacing w:after="0" w:line="240" w:lineRule="auto"/>
        <w:ind w:left="709" w:right="709"/>
        <w:jc w:val="both"/>
        <w:rPr>
          <w:rFonts w:ascii="Verdana" w:eastAsia="Calibri" w:hAnsi="Verdana" w:cs="Arial"/>
          <w:color w:val="000000" w:themeColor="text1"/>
          <w:sz w:val="20"/>
          <w:szCs w:val="20"/>
          <w:lang w:val="es-ES"/>
        </w:rPr>
      </w:pPr>
      <w:r w:rsidRPr="070EDF17">
        <w:rPr>
          <w:rFonts w:ascii="Verdana" w:eastAsia="Calibri" w:hAnsi="Verdana" w:cs="Arial"/>
          <w:color w:val="000000" w:themeColor="text1"/>
          <w:sz w:val="20"/>
          <w:szCs w:val="20"/>
          <w:lang w:val="es-ES"/>
        </w:rPr>
        <w:t xml:space="preserve">“La ineficacia de pleno derecho o la fórmula "pro non </w:t>
      </w:r>
      <w:proofErr w:type="spellStart"/>
      <w:r w:rsidRPr="070EDF17">
        <w:rPr>
          <w:rFonts w:ascii="Verdana" w:eastAsia="Calibri" w:hAnsi="Verdana" w:cs="Arial"/>
          <w:color w:val="000000" w:themeColor="text1"/>
          <w:sz w:val="20"/>
          <w:szCs w:val="20"/>
          <w:lang w:val="es-ES"/>
        </w:rPr>
        <w:t>scripta</w:t>
      </w:r>
      <w:proofErr w:type="spellEnd"/>
      <w:r w:rsidRPr="070EDF17">
        <w:rPr>
          <w:rFonts w:ascii="Verdana" w:eastAsia="Calibri" w:hAnsi="Verdana" w:cs="Arial"/>
          <w:color w:val="000000" w:themeColor="text1"/>
          <w:sz w:val="20"/>
          <w:szCs w:val="20"/>
          <w:lang w:val="es-ES"/>
        </w:rPr>
        <w:t>" es la sanción que impone el ordenamiento jurídico a las cláusulas o pactos que contravienen las normas imperativas, el orden público o las buenas costumbres, consistente en que éstas no produzcan los efectos inmediatos ni los efectos finales que estaban llamados a producir eliminándolos automáticamente de la realidad jurídica como si éstos nunca se hubieran realizado.</w:t>
      </w:r>
    </w:p>
    <w:p w14:paraId="7122385D" w14:textId="77777777" w:rsidR="003225AD" w:rsidRPr="00166173" w:rsidRDefault="003225AD" w:rsidP="003225AD">
      <w:pPr>
        <w:spacing w:after="0" w:line="240" w:lineRule="auto"/>
        <w:ind w:left="709" w:right="709"/>
        <w:jc w:val="both"/>
        <w:rPr>
          <w:rFonts w:ascii="Verdana" w:eastAsia="Calibri" w:hAnsi="Verdana" w:cs="Arial"/>
          <w:bCs/>
          <w:color w:val="000000" w:themeColor="text1"/>
          <w:sz w:val="20"/>
          <w:szCs w:val="20"/>
          <w:lang w:val="es-ES_tradnl"/>
        </w:rPr>
      </w:pPr>
    </w:p>
    <w:p w14:paraId="48D92FEF" w14:textId="77777777" w:rsidR="003225AD" w:rsidRPr="00166173" w:rsidRDefault="003225AD" w:rsidP="003225AD">
      <w:pPr>
        <w:spacing w:after="0" w:line="240" w:lineRule="auto"/>
        <w:ind w:left="709" w:right="709"/>
        <w:jc w:val="both"/>
        <w:rPr>
          <w:rFonts w:ascii="Verdana" w:eastAsia="Calibri" w:hAnsi="Verdana" w:cs="Arial"/>
          <w:bCs/>
          <w:color w:val="000000" w:themeColor="text1"/>
          <w:lang w:val="es-ES_tradnl"/>
        </w:rPr>
      </w:pPr>
      <w:r w:rsidRPr="00166173">
        <w:rPr>
          <w:rFonts w:ascii="Verdana" w:eastAsia="Calibri" w:hAnsi="Verdana" w:cs="Arial"/>
          <w:bCs/>
          <w:color w:val="000000" w:themeColor="text1"/>
          <w:sz w:val="20"/>
          <w:szCs w:val="20"/>
          <w:lang w:val="es-ES_tradnl"/>
        </w:rPr>
        <w:t>Con otras palabras, la ineficacia de pleno derecho es la "calificación jurídica de contenido negativo" que se realiza frente a ciertas cláusulas o pactos que contravienen normas imperativas, de orden público o las buenas costumbres, eliminándolas ipso iure de la realidad jurídica en los casos que la ley previo expresamente dicha consecuencia.”</w:t>
      </w:r>
      <w:r w:rsidRPr="00166173">
        <w:rPr>
          <w:rFonts w:ascii="Verdana" w:eastAsia="Calibri" w:hAnsi="Verdana" w:cs="Arial"/>
          <w:bCs/>
          <w:color w:val="000000" w:themeColor="text1"/>
          <w:vertAlign w:val="superscript"/>
          <w:lang w:val="es-ES_tradnl"/>
        </w:rPr>
        <w:footnoteReference w:id="6"/>
      </w:r>
    </w:p>
    <w:p w14:paraId="4F10D03F" w14:textId="77777777" w:rsidR="003225AD" w:rsidRPr="00166173" w:rsidRDefault="003225AD" w:rsidP="003225AD">
      <w:pPr>
        <w:spacing w:after="0" w:line="276" w:lineRule="auto"/>
        <w:ind w:left="709" w:right="709"/>
        <w:jc w:val="both"/>
        <w:rPr>
          <w:rFonts w:ascii="Verdana" w:eastAsia="Calibri" w:hAnsi="Verdana" w:cs="Arial"/>
          <w:bCs/>
          <w:color w:val="000000" w:themeColor="text1"/>
          <w:lang w:val="es-ES_tradnl"/>
        </w:rPr>
      </w:pPr>
    </w:p>
    <w:p w14:paraId="5311D45B" w14:textId="77777777" w:rsidR="003225AD" w:rsidRPr="00166173" w:rsidRDefault="003225AD" w:rsidP="003225AD">
      <w:pPr>
        <w:spacing w:after="0" w:line="276" w:lineRule="auto"/>
        <w:ind w:firstLine="708"/>
        <w:jc w:val="both"/>
        <w:rPr>
          <w:rFonts w:ascii="Verdana" w:eastAsia="Calibri" w:hAnsi="Verdana" w:cs="Arial"/>
          <w:bCs/>
          <w:color w:val="000000" w:themeColor="text1"/>
          <w:lang w:val="es-ES_tradnl"/>
        </w:rPr>
      </w:pPr>
      <w:r>
        <w:rPr>
          <w:rFonts w:ascii="Verdana" w:eastAsia="Calibri" w:hAnsi="Verdana" w:cs="Arial"/>
          <w:bCs/>
          <w:color w:val="000000" w:themeColor="text1"/>
        </w:rPr>
        <w:t>U</w:t>
      </w:r>
      <w:r w:rsidRPr="00166173">
        <w:rPr>
          <w:rFonts w:ascii="Verdana" w:eastAsia="Calibri" w:hAnsi="Verdana" w:cs="Arial"/>
          <w:bCs/>
          <w:color w:val="000000" w:themeColor="text1"/>
        </w:rPr>
        <w:t>na segunda característica</w:t>
      </w:r>
      <w:r>
        <w:rPr>
          <w:rFonts w:ascii="Verdana" w:eastAsia="Calibri" w:hAnsi="Verdana" w:cs="Arial"/>
          <w:bCs/>
          <w:color w:val="000000" w:themeColor="text1"/>
        </w:rPr>
        <w:t xml:space="preserve"> de la ineficacia de plena derecho es que</w:t>
      </w:r>
      <w:r w:rsidRPr="00166173">
        <w:rPr>
          <w:rFonts w:ascii="Verdana" w:eastAsia="Calibri" w:hAnsi="Verdana" w:cs="Arial"/>
          <w:bCs/>
          <w:color w:val="000000" w:themeColor="text1"/>
        </w:rPr>
        <w:t xml:space="preserve"> se requiere </w:t>
      </w:r>
      <w:r w:rsidRPr="00166173">
        <w:rPr>
          <w:rFonts w:ascii="Verdana" w:eastAsia="Calibri" w:hAnsi="Verdana" w:cs="Arial"/>
          <w:color w:val="000000"/>
        </w:rPr>
        <w:t>–</w:t>
      </w:r>
      <w:r w:rsidRPr="00166173">
        <w:rPr>
          <w:rFonts w:ascii="Verdana" w:eastAsia="Calibri" w:hAnsi="Verdana" w:cs="Arial"/>
          <w:bCs/>
          <w:color w:val="000000" w:themeColor="text1"/>
        </w:rPr>
        <w:t>en principio</w:t>
      </w:r>
      <w:r w:rsidRPr="00166173">
        <w:rPr>
          <w:rFonts w:ascii="Verdana" w:eastAsia="Calibri" w:hAnsi="Verdana" w:cs="Arial"/>
          <w:color w:val="000000"/>
        </w:rPr>
        <w:t>–</w:t>
      </w:r>
      <w:r w:rsidRPr="00166173">
        <w:rPr>
          <w:rFonts w:ascii="Verdana" w:eastAsia="Calibri" w:hAnsi="Verdana" w:cs="Arial"/>
          <w:bCs/>
          <w:color w:val="000000" w:themeColor="text1"/>
        </w:rPr>
        <w:t xml:space="preserve"> que el ordenamiento prevea expresamente esta consecuencia o sanción legal. La ineficacia entonces por regla general “</w:t>
      </w:r>
      <w:r w:rsidRPr="00166173">
        <w:rPr>
          <w:rFonts w:ascii="Verdana" w:eastAsia="Calibri" w:hAnsi="Verdana" w:cs="Arial"/>
          <w:bCs/>
          <w:color w:val="000000" w:themeColor="text1"/>
          <w:lang w:val="es-ES_tradnl"/>
        </w:rPr>
        <w:t>solo es aplicable a las hipótesis fácticas expresamente establecidas por el legislador, sin admitir generalización ni extensión a casos distintos</w:t>
      </w:r>
      <w:r w:rsidRPr="00166173">
        <w:rPr>
          <w:rFonts w:ascii="Verdana" w:eastAsia="Calibri" w:hAnsi="Verdana" w:cs="Arial"/>
          <w:bCs/>
          <w:color w:val="000000" w:themeColor="text1"/>
        </w:rPr>
        <w:t>”</w:t>
      </w:r>
      <w:r w:rsidRPr="00166173">
        <w:rPr>
          <w:rFonts w:ascii="Verdana" w:eastAsia="Calibri" w:hAnsi="Verdana" w:cs="Arial"/>
          <w:bCs/>
          <w:color w:val="000000" w:themeColor="text1"/>
          <w:vertAlign w:val="superscript"/>
          <w:lang w:val="es-ES_tradnl"/>
        </w:rPr>
        <w:footnoteReference w:id="7"/>
      </w:r>
      <w:r w:rsidRPr="00166173">
        <w:rPr>
          <w:rFonts w:ascii="Verdana" w:eastAsia="Calibri" w:hAnsi="Verdana" w:cs="Arial"/>
          <w:bCs/>
          <w:color w:val="000000" w:themeColor="text1"/>
          <w:lang w:val="es-ES_tradnl"/>
        </w:rPr>
        <w:t xml:space="preserve">. Eso sí, la prohibición opera </w:t>
      </w:r>
      <w:r w:rsidRPr="00166173">
        <w:rPr>
          <w:rFonts w:ascii="Verdana" w:eastAsia="Calibri" w:hAnsi="Verdana" w:cs="Arial"/>
          <w:bCs/>
          <w:i/>
          <w:iCs/>
          <w:color w:val="000000" w:themeColor="text1"/>
          <w:lang w:val="es-ES_tradnl"/>
        </w:rPr>
        <w:t xml:space="preserve">ipso iure </w:t>
      </w:r>
      <w:r w:rsidRPr="00166173">
        <w:rPr>
          <w:rFonts w:ascii="Verdana" w:eastAsia="Calibri" w:hAnsi="Verdana" w:cs="Arial"/>
          <w:bCs/>
          <w:color w:val="000000" w:themeColor="text1"/>
          <w:lang w:val="es-ES_tradnl"/>
        </w:rPr>
        <w:t xml:space="preserve">una vez se configura el supuesto de hecho de la norma, es decir, sin requerir declaración judicial. </w:t>
      </w:r>
    </w:p>
    <w:p w14:paraId="6E0C8E3B" w14:textId="77777777" w:rsidR="003225AD" w:rsidRPr="00166173" w:rsidRDefault="003225AD" w:rsidP="003225AD">
      <w:pPr>
        <w:spacing w:before="120" w:after="0" w:line="276" w:lineRule="auto"/>
        <w:ind w:firstLine="708"/>
        <w:jc w:val="both"/>
        <w:rPr>
          <w:rFonts w:ascii="Verdana" w:eastAsia="Calibri" w:hAnsi="Verdana" w:cs="Arial"/>
          <w:bCs/>
          <w:color w:val="000000" w:themeColor="text1"/>
          <w:lang w:val="es-ES_tradnl"/>
        </w:rPr>
      </w:pPr>
      <w:r w:rsidRPr="00166173">
        <w:rPr>
          <w:rFonts w:ascii="Verdana" w:eastAsia="Calibri" w:hAnsi="Verdana" w:cs="Arial"/>
          <w:bCs/>
          <w:color w:val="000000" w:themeColor="text1"/>
          <w:lang w:val="es-ES_tradnl"/>
        </w:rPr>
        <w:t xml:space="preserve">Una tercera característica consiste entonces en que la ineficacia de pleno derecho no requiere ser declarada judicialmente. La valoración negativa que el ordenamiento jurídico impone a estos actos se materializa con el simple hecho de ser transgredida la norma, de manera automática y sin necesidad de pronunciamiento de la autoridad judicial. De aquí que se le asigne la calificación jurídica </w:t>
      </w:r>
      <w:r w:rsidRPr="00166173">
        <w:rPr>
          <w:rFonts w:ascii="Verdana" w:eastAsia="Calibri" w:hAnsi="Verdana" w:cs="Arial"/>
          <w:bCs/>
          <w:color w:val="000000" w:themeColor="text1"/>
        </w:rPr>
        <w:t>“</w:t>
      </w:r>
      <w:r w:rsidRPr="00166173">
        <w:rPr>
          <w:rFonts w:ascii="Verdana" w:eastAsia="Calibri" w:hAnsi="Verdana" w:cs="Arial"/>
          <w:bCs/>
          <w:color w:val="000000" w:themeColor="text1"/>
          <w:lang w:val="es-ES_tradnl"/>
        </w:rPr>
        <w:t>de pleno derecho</w:t>
      </w:r>
      <w:r w:rsidRPr="00166173">
        <w:rPr>
          <w:rFonts w:ascii="Verdana" w:eastAsia="Calibri" w:hAnsi="Verdana" w:cs="Arial"/>
          <w:bCs/>
          <w:color w:val="000000" w:themeColor="text1"/>
        </w:rPr>
        <w:t>”</w:t>
      </w:r>
      <w:r w:rsidRPr="00166173">
        <w:rPr>
          <w:rFonts w:ascii="Verdana" w:eastAsia="Calibri" w:hAnsi="Verdana" w:cs="Arial"/>
          <w:bCs/>
          <w:color w:val="000000" w:themeColor="text1"/>
          <w:lang w:val="es-ES_tradnl"/>
        </w:rPr>
        <w:t>.</w:t>
      </w:r>
      <w:r w:rsidRPr="00166173">
        <w:rPr>
          <w:rFonts w:ascii="Verdana" w:eastAsia="Calibri" w:hAnsi="Verdana" w:cs="Arial"/>
          <w:bCs/>
          <w:color w:val="000000" w:themeColor="text1"/>
          <w:vertAlign w:val="superscript"/>
          <w:lang w:val="es-ES_tradnl"/>
        </w:rPr>
        <w:t xml:space="preserve"> </w:t>
      </w:r>
      <w:r w:rsidRPr="00166173">
        <w:rPr>
          <w:rFonts w:ascii="Verdana" w:eastAsia="Calibri" w:hAnsi="Verdana" w:cs="Arial"/>
          <w:bCs/>
          <w:color w:val="000000" w:themeColor="text1"/>
          <w:vertAlign w:val="superscript"/>
          <w:lang w:val="es-ES_tradnl"/>
        </w:rPr>
        <w:footnoteReference w:id="8"/>
      </w:r>
    </w:p>
    <w:p w14:paraId="72B97234" w14:textId="77777777" w:rsidR="003225AD" w:rsidRPr="00166173" w:rsidRDefault="003225AD" w:rsidP="003225AD">
      <w:pPr>
        <w:spacing w:before="120" w:after="0" w:line="276" w:lineRule="auto"/>
        <w:ind w:firstLine="708"/>
        <w:jc w:val="both"/>
        <w:rPr>
          <w:rFonts w:ascii="Verdana" w:eastAsia="Calibri" w:hAnsi="Verdana" w:cs="Arial"/>
          <w:bCs/>
          <w:color w:val="000000" w:themeColor="text1"/>
          <w:lang w:val="es-ES_tradnl"/>
        </w:rPr>
      </w:pPr>
      <w:r w:rsidRPr="00166173">
        <w:rPr>
          <w:rFonts w:ascii="Verdana" w:eastAsia="Calibri" w:hAnsi="Verdana" w:cs="Arial"/>
          <w:bCs/>
          <w:color w:val="000000" w:themeColor="text1"/>
          <w:lang w:val="es-ES_tradnl"/>
        </w:rPr>
        <w:t xml:space="preserve">Una cuarta característica consiste en que la ineficacia no se predica necesariamente del negocio jurídico en su totalidad, sino únicamente de la cláusula o pacto que contraviene el ordenamiento jurídico, de tal suerte que </w:t>
      </w:r>
      <w:r w:rsidRPr="00166173">
        <w:rPr>
          <w:rFonts w:ascii="Verdana" w:eastAsia="Calibri" w:hAnsi="Verdana" w:cs="Arial"/>
          <w:bCs/>
          <w:color w:val="000000" w:themeColor="text1"/>
          <w:lang w:val="es-ES_tradnl"/>
        </w:rPr>
        <w:lastRenderedPageBreak/>
        <w:t>propugna por el principio de conservación del negocio jurídico en general. Así lo ha establecido en Consejo de Estado al señalar lo siguiente:</w:t>
      </w:r>
    </w:p>
    <w:p w14:paraId="4F5F2FFF" w14:textId="77777777" w:rsidR="003225AD" w:rsidRPr="00166173" w:rsidRDefault="003225AD" w:rsidP="003225AD">
      <w:pPr>
        <w:spacing w:after="0" w:line="276" w:lineRule="auto"/>
        <w:ind w:firstLine="709"/>
        <w:jc w:val="both"/>
        <w:rPr>
          <w:rFonts w:ascii="Verdana" w:eastAsia="Calibri" w:hAnsi="Verdana" w:cs="Arial"/>
          <w:bCs/>
          <w:color w:val="000000" w:themeColor="text1"/>
          <w:lang w:val="es-ES_tradnl"/>
        </w:rPr>
      </w:pPr>
      <w:r w:rsidRPr="00166173">
        <w:rPr>
          <w:rFonts w:ascii="Verdana" w:eastAsia="Calibri" w:hAnsi="Verdana" w:cs="Arial"/>
          <w:bCs/>
          <w:color w:val="000000" w:themeColor="text1"/>
          <w:lang w:val="es-ES_tradnl"/>
        </w:rPr>
        <w:t xml:space="preserve"> </w:t>
      </w:r>
    </w:p>
    <w:p w14:paraId="11C13443" w14:textId="77777777" w:rsidR="003225AD" w:rsidRPr="00166173" w:rsidRDefault="003225AD" w:rsidP="003225AD">
      <w:pPr>
        <w:spacing w:after="0" w:line="240" w:lineRule="auto"/>
        <w:ind w:left="708" w:right="709"/>
        <w:jc w:val="both"/>
        <w:rPr>
          <w:rFonts w:ascii="Verdana" w:eastAsia="Calibri" w:hAnsi="Verdana" w:cs="Arial"/>
          <w:color w:val="000000" w:themeColor="text1"/>
          <w:sz w:val="20"/>
          <w:szCs w:val="20"/>
          <w:lang w:val="es-ES"/>
        </w:rPr>
      </w:pPr>
      <w:r>
        <w:rPr>
          <w:rFonts w:ascii="Verdana" w:eastAsia="Calibri" w:hAnsi="Verdana" w:cs="Arial"/>
          <w:color w:val="000000" w:themeColor="text1"/>
          <w:sz w:val="20"/>
          <w:szCs w:val="20"/>
          <w:lang w:val="es-ES"/>
        </w:rPr>
        <w:t>“</w:t>
      </w:r>
      <w:r w:rsidRPr="070EDF17">
        <w:rPr>
          <w:rFonts w:ascii="Verdana" w:eastAsia="Calibri" w:hAnsi="Verdana" w:cs="Arial"/>
          <w:color w:val="000000" w:themeColor="text1"/>
          <w:sz w:val="20"/>
          <w:szCs w:val="20"/>
          <w:lang w:val="es-ES"/>
        </w:rPr>
        <w:t xml:space="preserve">Así, a diferencia de otras figuras la ineficacia de pleno derecho opera de forma inmediata en los casos expresamente previstos en la Ley y no requiere ser declarada judicialmente, pues a través de </w:t>
      </w:r>
      <w:proofErr w:type="gramStart"/>
      <w:r w:rsidRPr="070EDF17">
        <w:rPr>
          <w:rFonts w:ascii="Verdana" w:eastAsia="Calibri" w:hAnsi="Verdana" w:cs="Arial"/>
          <w:color w:val="000000" w:themeColor="text1"/>
          <w:sz w:val="20"/>
          <w:szCs w:val="20"/>
          <w:lang w:val="es-ES"/>
        </w:rPr>
        <w:t>la misma</w:t>
      </w:r>
      <w:proofErr w:type="gramEnd"/>
      <w:r w:rsidRPr="070EDF17">
        <w:rPr>
          <w:rFonts w:ascii="Verdana" w:eastAsia="Calibri" w:hAnsi="Verdana" w:cs="Arial"/>
          <w:color w:val="000000" w:themeColor="text1"/>
          <w:sz w:val="20"/>
          <w:szCs w:val="20"/>
          <w:lang w:val="es-ES"/>
        </w:rPr>
        <w:t xml:space="preserve"> lo que se persigue fundamentalmente es la conservación del negocio jurídico eliminando de la realidad jurídica únicamente aquella cláusula o pacto del acto dispositivo que contraviene el ordenamiento jurídico sin destruir o eliminar sus demás partes</w:t>
      </w:r>
      <w:r>
        <w:rPr>
          <w:rFonts w:ascii="Verdana" w:eastAsia="Calibri" w:hAnsi="Verdana" w:cs="Arial"/>
          <w:color w:val="000000" w:themeColor="text1"/>
          <w:sz w:val="20"/>
          <w:szCs w:val="20"/>
          <w:lang w:val="es-ES"/>
        </w:rPr>
        <w:t>”</w:t>
      </w:r>
      <w:r w:rsidRPr="070EDF17">
        <w:rPr>
          <w:rFonts w:ascii="Verdana" w:eastAsia="Calibri" w:hAnsi="Verdana" w:cs="Arial"/>
          <w:color w:val="000000" w:themeColor="text1"/>
          <w:sz w:val="20"/>
          <w:szCs w:val="20"/>
          <w:vertAlign w:val="superscript"/>
          <w:lang w:val="es-ES"/>
        </w:rPr>
        <w:footnoteReference w:id="9"/>
      </w:r>
      <w:r w:rsidRPr="070EDF17">
        <w:rPr>
          <w:rFonts w:ascii="Verdana" w:eastAsia="Calibri" w:hAnsi="Verdana" w:cs="Arial"/>
          <w:color w:val="000000" w:themeColor="text1"/>
          <w:sz w:val="20"/>
          <w:szCs w:val="20"/>
          <w:lang w:val="es-ES"/>
        </w:rPr>
        <w:t>.</w:t>
      </w:r>
    </w:p>
    <w:p w14:paraId="3BFEB406" w14:textId="77777777" w:rsidR="003225AD" w:rsidRPr="00112EF4" w:rsidRDefault="003225AD" w:rsidP="003225AD">
      <w:pPr>
        <w:spacing w:after="0" w:line="276" w:lineRule="auto"/>
        <w:ind w:left="709" w:right="709"/>
        <w:jc w:val="both"/>
        <w:rPr>
          <w:rFonts w:ascii="Verdana" w:eastAsia="Calibri" w:hAnsi="Verdana" w:cs="Arial"/>
          <w:color w:val="000000" w:themeColor="text1"/>
          <w:sz w:val="20"/>
          <w:szCs w:val="20"/>
          <w:lang w:val="es-ES"/>
        </w:rPr>
      </w:pPr>
    </w:p>
    <w:p w14:paraId="354D212C" w14:textId="77777777" w:rsidR="003225AD" w:rsidRPr="00166173" w:rsidRDefault="003225AD" w:rsidP="003225AD">
      <w:pPr>
        <w:spacing w:after="0" w:line="276" w:lineRule="auto"/>
        <w:ind w:firstLine="708"/>
        <w:jc w:val="both"/>
        <w:rPr>
          <w:rFonts w:ascii="Verdana" w:eastAsia="Calibri" w:hAnsi="Verdana" w:cs="Arial"/>
          <w:bCs/>
          <w:color w:val="000000" w:themeColor="text1"/>
          <w:lang w:val="es-ES_tradnl"/>
        </w:rPr>
      </w:pPr>
      <w:r w:rsidRPr="00166173">
        <w:rPr>
          <w:rFonts w:ascii="Verdana" w:eastAsia="Calibri" w:hAnsi="Verdana" w:cs="Arial"/>
          <w:bCs/>
          <w:color w:val="000000" w:themeColor="text1"/>
          <w:lang w:val="es-ES_tradnl"/>
        </w:rPr>
        <w:t xml:space="preserve">Con fundamento en lo anterior, se identifican como rasgos característicos de la ineficacia de pleno derecho: (i) </w:t>
      </w:r>
      <w:r w:rsidRPr="00166173">
        <w:rPr>
          <w:rFonts w:ascii="Verdana" w:eastAsia="Calibri" w:hAnsi="Verdana" w:cs="Arial"/>
          <w:bCs/>
          <w:color w:val="000000" w:themeColor="text1"/>
        </w:rPr>
        <w:t>procede cuando se pacta una cláusula que transgrede de manera excesiva normas imperativas y, por ende, deben sancionarse con su inoperancia</w:t>
      </w:r>
      <w:r w:rsidRPr="00166173">
        <w:rPr>
          <w:rFonts w:ascii="Verdana" w:eastAsia="Calibri" w:hAnsi="Verdana" w:cs="Arial"/>
          <w:bCs/>
          <w:color w:val="000000" w:themeColor="text1"/>
          <w:lang w:val="es-ES_tradnl"/>
        </w:rPr>
        <w:t>; (</w:t>
      </w:r>
      <w:proofErr w:type="spellStart"/>
      <w:r w:rsidRPr="00166173">
        <w:rPr>
          <w:rFonts w:ascii="Verdana" w:eastAsia="Calibri" w:hAnsi="Verdana" w:cs="Arial"/>
          <w:bCs/>
          <w:color w:val="000000" w:themeColor="text1"/>
          <w:lang w:val="es-ES_tradnl"/>
        </w:rPr>
        <w:t>ii</w:t>
      </w:r>
      <w:proofErr w:type="spellEnd"/>
      <w:r w:rsidRPr="00166173">
        <w:rPr>
          <w:rFonts w:ascii="Verdana" w:eastAsia="Calibri" w:hAnsi="Verdana" w:cs="Arial"/>
          <w:bCs/>
          <w:color w:val="000000" w:themeColor="text1"/>
          <w:lang w:val="es-ES_tradnl"/>
        </w:rPr>
        <w:t xml:space="preserve">) </w:t>
      </w:r>
      <w:r w:rsidRPr="00166173">
        <w:rPr>
          <w:rFonts w:ascii="Verdana" w:eastAsia="Calibri" w:hAnsi="Verdana" w:cs="Arial"/>
          <w:bCs/>
          <w:color w:val="000000" w:themeColor="text1"/>
        </w:rPr>
        <w:t xml:space="preserve">se requiere </w:t>
      </w:r>
      <w:r w:rsidRPr="00166173">
        <w:rPr>
          <w:rFonts w:ascii="Verdana" w:eastAsia="Calibri" w:hAnsi="Verdana" w:cs="Arial"/>
          <w:bCs/>
          <w:color w:val="000000" w:themeColor="text1"/>
          <w:lang w:val="es-ES_tradnl"/>
        </w:rPr>
        <w:t>una consagración legal expresa de</w:t>
      </w:r>
      <w:r w:rsidRPr="00166173">
        <w:rPr>
          <w:rFonts w:ascii="Verdana" w:eastAsia="Calibri" w:hAnsi="Verdana" w:cs="Arial"/>
          <w:bCs/>
          <w:color w:val="000000" w:themeColor="text1"/>
        </w:rPr>
        <w:t xml:space="preserve"> esta consecuencia o sanción legal</w:t>
      </w:r>
      <w:r w:rsidRPr="00166173">
        <w:rPr>
          <w:rFonts w:ascii="Verdana" w:eastAsia="Calibri" w:hAnsi="Verdana" w:cs="Arial"/>
          <w:bCs/>
          <w:color w:val="000000" w:themeColor="text1"/>
          <w:lang w:val="es-ES_tradnl"/>
        </w:rPr>
        <w:t>; (</w:t>
      </w:r>
      <w:proofErr w:type="spellStart"/>
      <w:r w:rsidRPr="00166173">
        <w:rPr>
          <w:rFonts w:ascii="Verdana" w:eastAsia="Calibri" w:hAnsi="Verdana" w:cs="Arial"/>
          <w:bCs/>
          <w:color w:val="000000" w:themeColor="text1"/>
          <w:lang w:val="es-ES_tradnl"/>
        </w:rPr>
        <w:t>iii</w:t>
      </w:r>
      <w:proofErr w:type="spellEnd"/>
      <w:r w:rsidRPr="00166173">
        <w:rPr>
          <w:rFonts w:ascii="Verdana" w:eastAsia="Calibri" w:hAnsi="Verdana" w:cs="Arial"/>
          <w:bCs/>
          <w:color w:val="000000" w:themeColor="text1"/>
          <w:lang w:val="es-ES_tradnl"/>
        </w:rPr>
        <w:t>) al operar de pleno derecho, no requiere de la declaratoria judicial sino que la consecuencia será pura y simplemente la inaplicación de la regla contractual; y (</w:t>
      </w:r>
      <w:proofErr w:type="spellStart"/>
      <w:r w:rsidRPr="00166173">
        <w:rPr>
          <w:rFonts w:ascii="Verdana" w:eastAsia="Calibri" w:hAnsi="Verdana" w:cs="Arial"/>
          <w:bCs/>
          <w:color w:val="000000" w:themeColor="text1"/>
          <w:lang w:val="es-ES_tradnl"/>
        </w:rPr>
        <w:t>iv</w:t>
      </w:r>
      <w:proofErr w:type="spellEnd"/>
      <w:r w:rsidRPr="00166173">
        <w:rPr>
          <w:rFonts w:ascii="Verdana" w:eastAsia="Calibri" w:hAnsi="Verdana" w:cs="Arial"/>
          <w:bCs/>
          <w:color w:val="000000" w:themeColor="text1"/>
          <w:lang w:val="es-ES_tradnl"/>
        </w:rPr>
        <w:t xml:space="preserve">) la ineficacia solo se predica de la cláusula o pacto que contraviene el ordenamiento jurídico, y no del negocio jurídico en su totalidad. </w:t>
      </w:r>
    </w:p>
    <w:p w14:paraId="6AFE6A66" w14:textId="77777777" w:rsidR="003225AD" w:rsidRPr="00166173" w:rsidRDefault="003225AD" w:rsidP="003225AD">
      <w:pPr>
        <w:spacing w:after="0" w:line="276" w:lineRule="auto"/>
        <w:ind w:firstLine="708"/>
        <w:jc w:val="both"/>
        <w:rPr>
          <w:rFonts w:ascii="Verdana" w:eastAsia="Calibri" w:hAnsi="Verdana" w:cs="Arial"/>
          <w:bCs/>
          <w:color w:val="000000" w:themeColor="text1"/>
          <w:lang w:val="es-ES_tradnl"/>
        </w:rPr>
      </w:pPr>
    </w:p>
    <w:p w14:paraId="3D44CDF4" w14:textId="77777777" w:rsidR="003225AD" w:rsidRPr="00166173" w:rsidRDefault="003225AD" w:rsidP="003225AD">
      <w:pPr>
        <w:spacing w:after="0" w:line="276" w:lineRule="auto"/>
        <w:jc w:val="both"/>
        <w:rPr>
          <w:rFonts w:ascii="Verdana" w:eastAsia="Calibri" w:hAnsi="Verdana" w:cs="Arial"/>
          <w:color w:val="000000" w:themeColor="text1"/>
          <w:lang w:val="es-ES"/>
        </w:rPr>
      </w:pPr>
      <w:r>
        <w:rPr>
          <w:rFonts w:ascii="Verdana" w:eastAsia="Calibri" w:hAnsi="Verdana" w:cs="Arial"/>
          <w:color w:val="000000" w:themeColor="text1"/>
          <w:lang w:val="es-ES"/>
        </w:rPr>
        <w:t>2)</w:t>
      </w:r>
      <w:r w:rsidRPr="070EDF17">
        <w:rPr>
          <w:rFonts w:ascii="Verdana" w:eastAsia="Calibri" w:hAnsi="Verdana" w:cs="Arial"/>
          <w:color w:val="000000" w:themeColor="text1"/>
          <w:lang w:val="es-ES"/>
        </w:rPr>
        <w:t xml:space="preserve"> Ahora bien, en relación con los casos o hipótesis fácticas determinadas por el legislador para la ineficacia de pleno derecho en materia de contratación estatal, encontramos el artículo 24 numeral 5 de la Ley 80 de 1993: </w:t>
      </w:r>
    </w:p>
    <w:p w14:paraId="139DF012" w14:textId="77777777" w:rsidR="003225AD" w:rsidRPr="00166173" w:rsidRDefault="003225AD" w:rsidP="003225AD">
      <w:pPr>
        <w:spacing w:after="0" w:line="276" w:lineRule="auto"/>
        <w:ind w:firstLine="709"/>
        <w:jc w:val="both"/>
        <w:rPr>
          <w:rFonts w:ascii="Verdana" w:eastAsia="Calibri" w:hAnsi="Verdana" w:cs="Arial"/>
          <w:bCs/>
          <w:color w:val="000000" w:themeColor="text1"/>
          <w:lang w:val="es-ES_tradnl"/>
        </w:rPr>
      </w:pPr>
    </w:p>
    <w:p w14:paraId="2D0FA1A1" w14:textId="77777777" w:rsidR="003225AD" w:rsidRPr="00166173" w:rsidRDefault="003225AD" w:rsidP="003225AD">
      <w:pPr>
        <w:spacing w:after="0" w:line="240" w:lineRule="auto"/>
        <w:ind w:left="709" w:right="709"/>
        <w:jc w:val="both"/>
        <w:rPr>
          <w:rFonts w:ascii="Verdana" w:eastAsia="Calibri" w:hAnsi="Verdana" w:cs="Arial"/>
          <w:bCs/>
          <w:color w:val="000000" w:themeColor="text1"/>
          <w:sz w:val="20"/>
          <w:szCs w:val="20"/>
          <w:lang w:val="es-ES_tradnl"/>
        </w:rPr>
      </w:pPr>
      <w:r>
        <w:rPr>
          <w:rFonts w:ascii="Verdana" w:eastAsia="Calibri" w:hAnsi="Verdana" w:cs="Arial"/>
          <w:bCs/>
          <w:color w:val="000000" w:themeColor="text1"/>
          <w:sz w:val="20"/>
          <w:szCs w:val="20"/>
          <w:lang w:val="es-ES_tradnl"/>
        </w:rPr>
        <w:t>“</w:t>
      </w:r>
      <w:r w:rsidRPr="00166173">
        <w:rPr>
          <w:rFonts w:ascii="Verdana" w:eastAsia="Calibri" w:hAnsi="Verdana" w:cs="Arial"/>
          <w:bCs/>
          <w:color w:val="000000" w:themeColor="text1"/>
          <w:sz w:val="20"/>
          <w:szCs w:val="20"/>
          <w:lang w:val="es-ES_tradnl"/>
        </w:rPr>
        <w:t>Artículo </w:t>
      </w:r>
      <w:bookmarkStart w:id="3" w:name="BM24"/>
      <w:r w:rsidRPr="00166173">
        <w:rPr>
          <w:rFonts w:ascii="Verdana" w:eastAsia="Calibri" w:hAnsi="Verdana" w:cs="Arial"/>
          <w:bCs/>
          <w:color w:val="000000" w:themeColor="text1"/>
          <w:sz w:val="20"/>
          <w:szCs w:val="20"/>
          <w:lang w:val="es-ES_tradnl"/>
        </w:rPr>
        <w:t> </w:t>
      </w:r>
      <w:bookmarkStart w:id="4" w:name="24"/>
      <w:bookmarkEnd w:id="3"/>
      <w:r w:rsidRPr="00166173">
        <w:rPr>
          <w:rFonts w:ascii="Verdana" w:eastAsia="Calibri" w:hAnsi="Verdana" w:cs="Arial"/>
          <w:bCs/>
          <w:color w:val="000000" w:themeColor="text1"/>
          <w:sz w:val="20"/>
          <w:szCs w:val="20"/>
          <w:lang w:val="es-ES_tradnl"/>
        </w:rPr>
        <w:t> </w:t>
      </w:r>
      <w:bookmarkEnd w:id="4"/>
      <w:r w:rsidRPr="00166173">
        <w:rPr>
          <w:rFonts w:ascii="Verdana" w:eastAsia="Calibri" w:hAnsi="Verdana" w:cs="Arial"/>
          <w:bCs/>
          <w:color w:val="000000" w:themeColor="text1"/>
          <w:sz w:val="20"/>
          <w:szCs w:val="20"/>
          <w:lang w:val="es-ES_tradnl"/>
        </w:rPr>
        <w:t>24º. Del principio de Transparencia. En virtud de este principio: (…)</w:t>
      </w:r>
    </w:p>
    <w:p w14:paraId="4BB87514" w14:textId="77777777" w:rsidR="003225AD" w:rsidRDefault="003225AD" w:rsidP="003225AD">
      <w:pPr>
        <w:spacing w:after="0" w:line="240" w:lineRule="auto"/>
        <w:ind w:left="709" w:right="709"/>
        <w:jc w:val="both"/>
        <w:rPr>
          <w:rFonts w:ascii="Verdana" w:eastAsia="Calibri" w:hAnsi="Verdana" w:cs="Arial"/>
          <w:bCs/>
          <w:color w:val="000000" w:themeColor="text1"/>
          <w:sz w:val="20"/>
          <w:szCs w:val="20"/>
          <w:lang w:val="es-ES_tradnl"/>
        </w:rPr>
      </w:pPr>
    </w:p>
    <w:p w14:paraId="7E706710" w14:textId="77777777" w:rsidR="003225AD" w:rsidRPr="00166173" w:rsidRDefault="003225AD" w:rsidP="003225AD">
      <w:pPr>
        <w:spacing w:after="0" w:line="240" w:lineRule="auto"/>
        <w:ind w:left="709" w:right="709"/>
        <w:jc w:val="both"/>
        <w:rPr>
          <w:rFonts w:ascii="Verdana" w:eastAsia="Calibri" w:hAnsi="Verdana" w:cs="Arial"/>
          <w:bCs/>
          <w:color w:val="000000" w:themeColor="text1"/>
          <w:sz w:val="20"/>
          <w:szCs w:val="20"/>
          <w:lang w:val="es-ES_tradnl"/>
        </w:rPr>
      </w:pPr>
      <w:r w:rsidRPr="00166173">
        <w:rPr>
          <w:rFonts w:ascii="Verdana" w:eastAsia="Calibri" w:hAnsi="Verdana" w:cs="Arial"/>
          <w:bCs/>
          <w:color w:val="000000" w:themeColor="text1"/>
          <w:sz w:val="20"/>
          <w:szCs w:val="20"/>
          <w:lang w:val="es-ES_tradnl"/>
        </w:rPr>
        <w:t>5o.  </w:t>
      </w:r>
      <w:bookmarkStart w:id="5" w:name="24.5"/>
      <w:r w:rsidRPr="00166173">
        <w:rPr>
          <w:rFonts w:ascii="Verdana" w:eastAsia="Calibri" w:hAnsi="Verdana" w:cs="Arial"/>
          <w:bCs/>
          <w:color w:val="000000" w:themeColor="text1"/>
          <w:sz w:val="20"/>
          <w:szCs w:val="20"/>
          <w:lang w:val="es-ES_tradnl"/>
        </w:rPr>
        <w:t> </w:t>
      </w:r>
      <w:bookmarkEnd w:id="5"/>
      <w:r w:rsidRPr="00166173">
        <w:rPr>
          <w:rFonts w:ascii="Verdana" w:eastAsia="Calibri" w:hAnsi="Verdana" w:cs="Arial"/>
          <w:bCs/>
          <w:color w:val="000000" w:themeColor="text1"/>
          <w:sz w:val="20"/>
          <w:szCs w:val="20"/>
          <w:lang w:val="es-ES_tradnl"/>
        </w:rPr>
        <w:t>En los pliegos de condiciones:</w:t>
      </w:r>
    </w:p>
    <w:p w14:paraId="392ED91C" w14:textId="77777777" w:rsidR="003225AD" w:rsidRDefault="003225AD" w:rsidP="003225AD">
      <w:pPr>
        <w:spacing w:after="0" w:line="240" w:lineRule="auto"/>
        <w:ind w:left="709" w:right="709"/>
        <w:jc w:val="both"/>
        <w:rPr>
          <w:rFonts w:ascii="Verdana" w:eastAsia="Calibri" w:hAnsi="Verdana" w:cs="Arial"/>
          <w:bCs/>
          <w:color w:val="000000" w:themeColor="text1"/>
          <w:sz w:val="20"/>
          <w:szCs w:val="20"/>
          <w:lang w:val="es-ES_tradnl"/>
        </w:rPr>
      </w:pPr>
    </w:p>
    <w:p w14:paraId="554BCA3B" w14:textId="77777777" w:rsidR="003225AD" w:rsidRPr="00166173" w:rsidRDefault="003225AD" w:rsidP="003225AD">
      <w:pPr>
        <w:spacing w:after="0" w:line="240" w:lineRule="auto"/>
        <w:ind w:left="709" w:right="709"/>
        <w:jc w:val="both"/>
        <w:rPr>
          <w:rFonts w:ascii="Verdana" w:eastAsia="Calibri" w:hAnsi="Verdana" w:cs="Arial"/>
          <w:bCs/>
          <w:color w:val="000000" w:themeColor="text1"/>
          <w:sz w:val="20"/>
          <w:szCs w:val="20"/>
          <w:lang w:val="es-ES_tradnl"/>
        </w:rPr>
      </w:pPr>
      <w:r w:rsidRPr="00166173">
        <w:rPr>
          <w:rFonts w:ascii="Verdana" w:eastAsia="Calibri" w:hAnsi="Verdana" w:cs="Arial"/>
          <w:bCs/>
          <w:color w:val="000000" w:themeColor="text1"/>
          <w:sz w:val="20"/>
          <w:szCs w:val="20"/>
          <w:lang w:val="es-ES_tradnl"/>
        </w:rPr>
        <w:t>a) Se indicarán los requisitos objetivos necesarios para participar en el correspondiente proceso de selección.</w:t>
      </w:r>
    </w:p>
    <w:p w14:paraId="579A2913" w14:textId="77777777" w:rsidR="003225AD" w:rsidRDefault="003225AD" w:rsidP="003225AD">
      <w:pPr>
        <w:spacing w:after="0" w:line="240" w:lineRule="auto"/>
        <w:ind w:left="709" w:right="709"/>
        <w:jc w:val="both"/>
        <w:rPr>
          <w:rFonts w:ascii="Verdana" w:eastAsia="Calibri" w:hAnsi="Verdana" w:cs="Arial"/>
          <w:bCs/>
          <w:color w:val="000000" w:themeColor="text1"/>
          <w:sz w:val="20"/>
          <w:szCs w:val="20"/>
          <w:lang w:val="es-ES_tradnl"/>
        </w:rPr>
      </w:pPr>
    </w:p>
    <w:p w14:paraId="5026B078" w14:textId="77777777" w:rsidR="003225AD" w:rsidRPr="00166173" w:rsidRDefault="003225AD" w:rsidP="003225AD">
      <w:pPr>
        <w:spacing w:after="0" w:line="240" w:lineRule="auto"/>
        <w:ind w:left="709" w:right="709"/>
        <w:jc w:val="both"/>
        <w:rPr>
          <w:rFonts w:ascii="Verdana" w:eastAsia="Calibri" w:hAnsi="Verdana" w:cs="Arial"/>
          <w:bCs/>
          <w:color w:val="000000" w:themeColor="text1"/>
          <w:sz w:val="20"/>
          <w:szCs w:val="20"/>
          <w:lang w:val="es-ES_tradnl"/>
        </w:rPr>
      </w:pPr>
      <w:r w:rsidRPr="00166173">
        <w:rPr>
          <w:rFonts w:ascii="Verdana" w:eastAsia="Calibri" w:hAnsi="Verdana" w:cs="Arial"/>
          <w:bCs/>
          <w:color w:val="000000" w:themeColor="text1"/>
          <w:sz w:val="20"/>
          <w:szCs w:val="20"/>
          <w:lang w:val="es-ES_tradnl"/>
        </w:rPr>
        <w:t>b) Se definirán reglas objetivas, justas, claras y completas que permitan la confección de ofrecimientos de la misma índole, aseguren una escogencia objetiva y eviten las declaratorias de desierta de la licitación.</w:t>
      </w:r>
    </w:p>
    <w:p w14:paraId="774CBB04" w14:textId="77777777" w:rsidR="003225AD" w:rsidRDefault="003225AD" w:rsidP="003225AD">
      <w:pPr>
        <w:spacing w:after="0" w:line="240" w:lineRule="auto"/>
        <w:ind w:left="709" w:right="709"/>
        <w:jc w:val="both"/>
        <w:rPr>
          <w:rFonts w:ascii="Verdana" w:eastAsia="Calibri" w:hAnsi="Verdana" w:cs="Arial"/>
          <w:bCs/>
          <w:color w:val="000000" w:themeColor="text1"/>
          <w:sz w:val="20"/>
          <w:szCs w:val="20"/>
          <w:lang w:val="es-ES_tradnl"/>
        </w:rPr>
      </w:pPr>
    </w:p>
    <w:p w14:paraId="55AF76F9" w14:textId="77777777" w:rsidR="003225AD" w:rsidRPr="00166173" w:rsidRDefault="003225AD" w:rsidP="003225AD">
      <w:pPr>
        <w:spacing w:after="0" w:line="240" w:lineRule="auto"/>
        <w:ind w:left="709" w:right="709"/>
        <w:jc w:val="both"/>
        <w:rPr>
          <w:rFonts w:ascii="Verdana" w:eastAsia="Calibri" w:hAnsi="Verdana" w:cs="Arial"/>
          <w:bCs/>
          <w:color w:val="000000" w:themeColor="text1"/>
          <w:sz w:val="20"/>
          <w:szCs w:val="20"/>
          <w:lang w:val="es-ES_tradnl"/>
        </w:rPr>
      </w:pPr>
      <w:r w:rsidRPr="00166173">
        <w:rPr>
          <w:rFonts w:ascii="Verdana" w:eastAsia="Calibri" w:hAnsi="Verdana" w:cs="Arial"/>
          <w:bCs/>
          <w:color w:val="000000" w:themeColor="text1"/>
          <w:sz w:val="20"/>
          <w:szCs w:val="20"/>
          <w:lang w:val="es-ES_tradnl"/>
        </w:rPr>
        <w:lastRenderedPageBreak/>
        <w:t>c) Se definirán con precisión las condiciones de costo y calidad de los bienes, obras o servicios necesarios para la ejecución del objeto del contrato.</w:t>
      </w:r>
    </w:p>
    <w:p w14:paraId="4774054C" w14:textId="77777777" w:rsidR="003225AD" w:rsidRDefault="003225AD" w:rsidP="003225AD">
      <w:pPr>
        <w:spacing w:after="0" w:line="240" w:lineRule="auto"/>
        <w:ind w:left="709" w:right="709"/>
        <w:jc w:val="both"/>
        <w:rPr>
          <w:rFonts w:ascii="Verdana" w:eastAsia="Calibri" w:hAnsi="Verdana" w:cs="Arial"/>
          <w:bCs/>
          <w:color w:val="000000" w:themeColor="text1"/>
          <w:sz w:val="20"/>
          <w:szCs w:val="20"/>
          <w:lang w:val="es-ES_tradnl"/>
        </w:rPr>
      </w:pPr>
    </w:p>
    <w:p w14:paraId="48FC2274" w14:textId="77777777" w:rsidR="003225AD" w:rsidRPr="00166173" w:rsidRDefault="003225AD" w:rsidP="003225AD">
      <w:pPr>
        <w:spacing w:after="0" w:line="240" w:lineRule="auto"/>
        <w:ind w:left="709" w:right="709"/>
        <w:jc w:val="both"/>
        <w:rPr>
          <w:rFonts w:ascii="Verdana" w:eastAsia="Calibri" w:hAnsi="Verdana" w:cs="Arial"/>
          <w:bCs/>
          <w:color w:val="000000" w:themeColor="text1"/>
          <w:sz w:val="20"/>
          <w:szCs w:val="20"/>
          <w:lang w:val="es-ES_tradnl"/>
        </w:rPr>
      </w:pPr>
      <w:r w:rsidRPr="00166173">
        <w:rPr>
          <w:rFonts w:ascii="Verdana" w:eastAsia="Calibri" w:hAnsi="Verdana" w:cs="Arial"/>
          <w:bCs/>
          <w:color w:val="000000" w:themeColor="text1"/>
          <w:sz w:val="20"/>
          <w:szCs w:val="20"/>
          <w:lang w:val="es-ES_tradnl"/>
        </w:rPr>
        <w:t>d) No se incluirán condiciones y exigencias de imposible cumplimiento, ni exenciones de la responsabilidad derivada de los datos, informes y documentos que se suministren.</w:t>
      </w:r>
    </w:p>
    <w:p w14:paraId="0BC2A0EC" w14:textId="77777777" w:rsidR="003225AD" w:rsidRDefault="003225AD" w:rsidP="003225AD">
      <w:pPr>
        <w:spacing w:after="0" w:line="240" w:lineRule="auto"/>
        <w:ind w:left="709" w:right="709"/>
        <w:jc w:val="both"/>
        <w:rPr>
          <w:rFonts w:ascii="Verdana" w:eastAsia="Calibri" w:hAnsi="Verdana" w:cs="Arial"/>
          <w:bCs/>
          <w:color w:val="000000" w:themeColor="text1"/>
          <w:sz w:val="20"/>
          <w:szCs w:val="20"/>
          <w:lang w:val="es-ES_tradnl"/>
        </w:rPr>
      </w:pPr>
    </w:p>
    <w:p w14:paraId="44A43CF9" w14:textId="77777777" w:rsidR="003225AD" w:rsidRPr="00166173" w:rsidRDefault="003225AD" w:rsidP="003225AD">
      <w:pPr>
        <w:spacing w:after="0" w:line="240" w:lineRule="auto"/>
        <w:ind w:left="709" w:right="709"/>
        <w:jc w:val="both"/>
        <w:rPr>
          <w:rFonts w:ascii="Verdana" w:eastAsia="Calibri" w:hAnsi="Verdana" w:cs="Arial"/>
          <w:bCs/>
          <w:color w:val="000000" w:themeColor="text1"/>
          <w:sz w:val="20"/>
          <w:szCs w:val="20"/>
          <w:lang w:val="es-ES_tradnl"/>
        </w:rPr>
      </w:pPr>
      <w:r w:rsidRPr="00166173">
        <w:rPr>
          <w:rFonts w:ascii="Verdana" w:eastAsia="Calibri" w:hAnsi="Verdana" w:cs="Arial"/>
          <w:bCs/>
          <w:color w:val="000000" w:themeColor="text1"/>
          <w:sz w:val="20"/>
          <w:szCs w:val="20"/>
          <w:lang w:val="es-ES_tradnl"/>
        </w:rPr>
        <w:t>e) Se definirán reglas que no induzcan a error a los proponentes y contratistas y que impidan la Formulación de ofrecimientos de extensión ilimitada o que dependan de la voluntad exclusiva de la entidad.</w:t>
      </w:r>
    </w:p>
    <w:p w14:paraId="6BC401FC" w14:textId="77777777" w:rsidR="003225AD" w:rsidRDefault="003225AD" w:rsidP="003225AD">
      <w:pPr>
        <w:spacing w:after="0" w:line="240" w:lineRule="auto"/>
        <w:ind w:left="709" w:right="709"/>
        <w:jc w:val="both"/>
        <w:rPr>
          <w:rFonts w:ascii="Verdana" w:eastAsia="Calibri" w:hAnsi="Verdana" w:cs="Arial"/>
          <w:bCs/>
          <w:color w:val="000000" w:themeColor="text1"/>
          <w:sz w:val="20"/>
          <w:szCs w:val="20"/>
          <w:lang w:val="es-ES_tradnl"/>
        </w:rPr>
      </w:pPr>
    </w:p>
    <w:p w14:paraId="598CFF1B" w14:textId="77777777" w:rsidR="003225AD" w:rsidRPr="00166173" w:rsidRDefault="003225AD" w:rsidP="003225AD">
      <w:pPr>
        <w:spacing w:after="0" w:line="240" w:lineRule="auto"/>
        <w:ind w:left="709" w:right="709"/>
        <w:jc w:val="both"/>
        <w:rPr>
          <w:rFonts w:ascii="Verdana" w:eastAsia="Calibri" w:hAnsi="Verdana" w:cs="Arial"/>
          <w:bCs/>
          <w:color w:val="000000" w:themeColor="text1"/>
          <w:sz w:val="20"/>
          <w:szCs w:val="20"/>
          <w:lang w:val="es-ES_tradnl"/>
        </w:rPr>
      </w:pPr>
      <w:r w:rsidRPr="00166173">
        <w:rPr>
          <w:rFonts w:ascii="Verdana" w:eastAsia="Calibri" w:hAnsi="Verdana" w:cs="Arial"/>
          <w:bCs/>
          <w:color w:val="000000" w:themeColor="text1"/>
          <w:sz w:val="20"/>
          <w:szCs w:val="20"/>
          <w:lang w:val="es-ES_tradnl"/>
        </w:rPr>
        <w:t>f) Se definirá el plazo para la liquidación del contrato, cuando a ello hubiere lugar, teniendo en cuenta su objeto, naturaleza y cuantía.</w:t>
      </w:r>
    </w:p>
    <w:p w14:paraId="112391A4" w14:textId="77777777" w:rsidR="003225AD" w:rsidRPr="00166173" w:rsidRDefault="003225AD" w:rsidP="003225AD">
      <w:pPr>
        <w:spacing w:after="0" w:line="240" w:lineRule="auto"/>
        <w:ind w:left="709" w:right="709"/>
        <w:jc w:val="both"/>
        <w:rPr>
          <w:rFonts w:ascii="Verdana" w:eastAsia="Calibri" w:hAnsi="Verdana" w:cs="Arial"/>
          <w:b/>
          <w:bCs/>
          <w:color w:val="000000" w:themeColor="text1"/>
          <w:sz w:val="20"/>
          <w:szCs w:val="20"/>
          <w:u w:val="single"/>
          <w:lang w:val="es-ES_tradnl"/>
        </w:rPr>
      </w:pPr>
      <w:r w:rsidRPr="00166173">
        <w:rPr>
          <w:rFonts w:ascii="Verdana" w:eastAsia="Calibri" w:hAnsi="Verdana" w:cs="Arial"/>
          <w:bCs/>
          <w:i/>
          <w:iCs/>
          <w:color w:val="000000" w:themeColor="text1"/>
          <w:sz w:val="20"/>
          <w:szCs w:val="20"/>
          <w:lang w:val="es-ES_tradnl"/>
        </w:rPr>
        <w:t>Serán ineficaces de pleno derecho las estipulaciones de los pliegos y de los contratos que contravengan lo dispuesto en este numeral, o dispongan renuncias a reclamaciones por la ocurrencia de los hechos aquí enunciados</w:t>
      </w:r>
      <w:r>
        <w:rPr>
          <w:rFonts w:ascii="Verdana" w:eastAsia="Calibri" w:hAnsi="Verdana" w:cs="Arial"/>
          <w:bCs/>
          <w:i/>
          <w:iCs/>
          <w:color w:val="000000" w:themeColor="text1"/>
          <w:sz w:val="20"/>
          <w:szCs w:val="20"/>
          <w:lang w:val="es-ES_tradnl"/>
        </w:rPr>
        <w:t>”</w:t>
      </w:r>
      <w:r w:rsidRPr="00166173">
        <w:rPr>
          <w:rFonts w:ascii="Verdana" w:eastAsia="Calibri" w:hAnsi="Verdana" w:cs="Arial"/>
          <w:bCs/>
          <w:i/>
          <w:iCs/>
          <w:color w:val="000000" w:themeColor="text1"/>
          <w:sz w:val="20"/>
          <w:szCs w:val="20"/>
          <w:lang w:val="es-ES_tradnl"/>
        </w:rPr>
        <w:t>.</w:t>
      </w:r>
      <w:r w:rsidRPr="00166173">
        <w:rPr>
          <w:rFonts w:ascii="Verdana" w:eastAsia="Calibri" w:hAnsi="Verdana" w:cs="Arial"/>
          <w:bCs/>
          <w:color w:val="000000" w:themeColor="text1"/>
          <w:sz w:val="20"/>
          <w:szCs w:val="20"/>
          <w:lang w:val="es-ES_tradnl"/>
        </w:rPr>
        <w:t xml:space="preserve"> (Énfasis fuera del texto original)</w:t>
      </w:r>
    </w:p>
    <w:p w14:paraId="1C970A76" w14:textId="77777777" w:rsidR="003225AD" w:rsidRPr="00166173" w:rsidRDefault="003225AD" w:rsidP="003225AD">
      <w:pPr>
        <w:spacing w:after="0" w:line="276" w:lineRule="auto"/>
        <w:ind w:firstLine="709"/>
        <w:jc w:val="both"/>
        <w:rPr>
          <w:rFonts w:ascii="Verdana" w:eastAsia="Calibri" w:hAnsi="Verdana" w:cs="Arial"/>
          <w:bCs/>
          <w:color w:val="000000" w:themeColor="text1"/>
          <w:lang w:val="es-ES_tradnl"/>
        </w:rPr>
      </w:pPr>
    </w:p>
    <w:p w14:paraId="69790816" w14:textId="77777777" w:rsidR="003225AD" w:rsidRPr="00166173" w:rsidRDefault="003225AD" w:rsidP="74F7FF26">
      <w:pPr>
        <w:spacing w:before="120" w:after="0" w:line="276" w:lineRule="auto"/>
        <w:ind w:firstLine="708"/>
        <w:jc w:val="both"/>
        <w:rPr>
          <w:rFonts w:ascii="Verdana" w:eastAsia="Calibri" w:hAnsi="Verdana" w:cs="Arial"/>
          <w:color w:val="000000" w:themeColor="text1"/>
          <w:lang w:val="es-ES"/>
        </w:rPr>
      </w:pPr>
      <w:r w:rsidRPr="74F7FF26">
        <w:rPr>
          <w:rFonts w:ascii="Verdana" w:eastAsia="Calibri" w:hAnsi="Verdana" w:cs="Arial"/>
          <w:color w:val="000000" w:themeColor="text1"/>
          <w:lang w:val="es-ES"/>
        </w:rPr>
        <w:t>A la luz de esta disposición se entenderán como ineficaces de pleno derecho todas aquellas estipulaciones contenidas en el pliego de condiciones – o documento equivalente – o en el contrato que sean contrarias a cualquiera de los literales de esta norma. En ese sentido, en principio aplican las características de la ineficacia de pleno derecho antes vistas, es decir, la figura aplica a los casos señalados en el artículo 24 numeral 5 y sus efectos no requieren declaración judicial.</w:t>
      </w:r>
    </w:p>
    <w:p w14:paraId="63382F2C" w14:textId="77777777" w:rsidR="003225AD" w:rsidRPr="00166173" w:rsidRDefault="003225AD" w:rsidP="003225AD">
      <w:pPr>
        <w:spacing w:before="120" w:after="0" w:line="276" w:lineRule="auto"/>
        <w:ind w:firstLine="708"/>
        <w:jc w:val="both"/>
        <w:rPr>
          <w:rFonts w:ascii="Verdana" w:eastAsia="Calibri" w:hAnsi="Verdana" w:cs="Arial"/>
          <w:bCs/>
          <w:color w:val="000000" w:themeColor="text1"/>
          <w:lang w:val="es-ES_tradnl"/>
        </w:rPr>
      </w:pPr>
      <w:r w:rsidRPr="00166173">
        <w:rPr>
          <w:rFonts w:ascii="Verdana" w:eastAsia="Calibri" w:hAnsi="Verdana" w:cs="Arial"/>
          <w:bCs/>
          <w:color w:val="000000" w:themeColor="text1"/>
          <w:lang w:val="es-ES_tradnl"/>
        </w:rPr>
        <w:t xml:space="preserve">No obstante, la jurisprudencia administrativa ha planteado un matiz importante frente a las hipótesis que dan lugar a la ineficacia de pleno derecho. </w:t>
      </w:r>
      <w:r>
        <w:rPr>
          <w:rFonts w:ascii="Verdana" w:eastAsia="Calibri" w:hAnsi="Verdana" w:cs="Arial"/>
          <w:bCs/>
          <w:color w:val="000000" w:themeColor="text1"/>
          <w:lang w:val="es-ES_tradnl"/>
        </w:rPr>
        <w:t>Al respecto, h</w:t>
      </w:r>
      <w:r w:rsidRPr="00166173">
        <w:rPr>
          <w:rFonts w:ascii="Verdana" w:eastAsia="Calibri" w:hAnsi="Verdana" w:cs="Arial"/>
          <w:bCs/>
          <w:color w:val="000000" w:themeColor="text1"/>
          <w:lang w:val="es-ES_tradnl"/>
        </w:rPr>
        <w:t>a sostenido que este fenómeno jurídico no solo aplica frente a los supuestos del artículo 24 numeral 5 de la Ley 80 de 1993, sino también a aquellos casos en que el juez del contrato determine que ciertas cláusulas son abiertamente contrarias al orden público o jurídico:</w:t>
      </w:r>
    </w:p>
    <w:p w14:paraId="7D769C7F" w14:textId="77777777" w:rsidR="003225AD" w:rsidRPr="00166173" w:rsidRDefault="003225AD" w:rsidP="003225AD">
      <w:pPr>
        <w:spacing w:after="0" w:line="276" w:lineRule="auto"/>
        <w:ind w:firstLine="708"/>
        <w:jc w:val="both"/>
        <w:rPr>
          <w:rFonts w:ascii="Verdana" w:eastAsia="Calibri" w:hAnsi="Verdana" w:cs="Arial"/>
          <w:bCs/>
          <w:color w:val="000000" w:themeColor="text1"/>
          <w:lang w:val="es-ES_tradnl"/>
        </w:rPr>
      </w:pPr>
    </w:p>
    <w:p w14:paraId="4A5EBB75" w14:textId="77777777" w:rsidR="003225AD" w:rsidRPr="002938E2" w:rsidRDefault="003225AD" w:rsidP="003225AD">
      <w:pPr>
        <w:spacing w:after="0" w:line="240" w:lineRule="auto"/>
        <w:ind w:left="709" w:right="709"/>
        <w:jc w:val="both"/>
        <w:rPr>
          <w:rFonts w:ascii="Verdana" w:eastAsia="Calibri" w:hAnsi="Verdana" w:cs="Arial"/>
          <w:color w:val="000000" w:themeColor="text1"/>
          <w:sz w:val="20"/>
          <w:szCs w:val="20"/>
          <w:lang w:val="es-ES"/>
        </w:rPr>
      </w:pPr>
      <w:r w:rsidRPr="002938E2">
        <w:rPr>
          <w:rFonts w:ascii="Verdana" w:eastAsia="Calibri" w:hAnsi="Verdana" w:cs="Arial"/>
          <w:color w:val="000000" w:themeColor="text1"/>
          <w:sz w:val="20"/>
          <w:szCs w:val="20"/>
          <w:lang w:val="es-ES"/>
        </w:rPr>
        <w:t xml:space="preserve">“Es principio fundamental informador de la etapa de selección del contratista, el de garantizar la igualdad de los oferentes y por lo mismo bajo dicha óptica todas aquellas cláusulas que puedan comportar la vulneración de tal </w:t>
      </w:r>
      <w:proofErr w:type="gramStart"/>
      <w:r w:rsidRPr="002938E2">
        <w:rPr>
          <w:rFonts w:ascii="Verdana" w:eastAsia="Calibri" w:hAnsi="Verdana" w:cs="Arial"/>
          <w:color w:val="000000" w:themeColor="text1"/>
          <w:sz w:val="20"/>
          <w:szCs w:val="20"/>
          <w:lang w:val="es-ES"/>
        </w:rPr>
        <w:t>principio,</w:t>
      </w:r>
      <w:proofErr w:type="gramEnd"/>
      <w:r w:rsidRPr="002938E2">
        <w:rPr>
          <w:rFonts w:ascii="Verdana" w:eastAsia="Calibri" w:hAnsi="Verdana" w:cs="Arial"/>
          <w:color w:val="000000" w:themeColor="text1"/>
          <w:sz w:val="20"/>
          <w:szCs w:val="20"/>
          <w:lang w:val="es-ES"/>
        </w:rPr>
        <w:t xml:space="preserve"> son susceptibles de depuración, por parte del juez del contrato, como que la aplicación indiscriminada de aquellas, puede constituir la fuente de daños y perjuicios para cualquiera de los partícipes dentro del proceso de selección objetiva.  </w:t>
      </w:r>
    </w:p>
    <w:p w14:paraId="2F4A5324" w14:textId="77777777" w:rsidR="003225AD" w:rsidRPr="00166173" w:rsidRDefault="003225AD" w:rsidP="003225AD">
      <w:pPr>
        <w:spacing w:after="0" w:line="240" w:lineRule="auto"/>
        <w:ind w:left="709" w:right="709"/>
        <w:jc w:val="both"/>
        <w:rPr>
          <w:rFonts w:ascii="Verdana" w:eastAsia="Calibri" w:hAnsi="Verdana" w:cs="Arial"/>
          <w:bCs/>
          <w:color w:val="000000" w:themeColor="text1"/>
          <w:sz w:val="20"/>
          <w:szCs w:val="20"/>
          <w:lang w:val="es-ES_tradnl"/>
        </w:rPr>
      </w:pPr>
    </w:p>
    <w:p w14:paraId="51646B89" w14:textId="77777777" w:rsidR="003225AD" w:rsidRPr="00112EF4" w:rsidRDefault="003225AD" w:rsidP="003225AD">
      <w:pPr>
        <w:spacing w:after="0" w:line="240" w:lineRule="auto"/>
        <w:ind w:left="709" w:right="709"/>
        <w:jc w:val="both"/>
        <w:rPr>
          <w:rFonts w:ascii="Verdana" w:eastAsia="Calibri" w:hAnsi="Verdana" w:cs="Arial"/>
          <w:color w:val="000000" w:themeColor="text1"/>
          <w:sz w:val="20"/>
          <w:szCs w:val="20"/>
          <w:lang w:val="es-ES_tradnl"/>
        </w:rPr>
      </w:pPr>
      <w:r w:rsidRPr="00166173">
        <w:rPr>
          <w:rFonts w:ascii="Verdana" w:eastAsia="Calibri" w:hAnsi="Verdana" w:cs="Arial"/>
          <w:bCs/>
          <w:color w:val="000000" w:themeColor="text1"/>
          <w:sz w:val="20"/>
          <w:szCs w:val="20"/>
          <w:lang w:val="es-ES_tradnl"/>
        </w:rPr>
        <w:lastRenderedPageBreak/>
        <w:t>La administración no puede establecer criterios irrazonables que no consulten el interés general presente tanto en el proceso de selección como en la ejecución del contrato estatal, so pena de ineficacia de dichas cláusulas predispuestas ante casos de violación mayúscula del ordenamiento jurídico contravención de norma de orden público o, de exponerse a un control riguroso de contenido por parte del juez del contrato, quien por vía de la cláusula general de buena fe o, bajo la óptica del principio de objetividad o de igualdad, puede corregir o ajustar el contenido de la cláusula, con el propósito de preservar la eficacia vinculante de la que ha sido predispuesta, garantizando así, en todo caso, la aplicación cabal de los principios informadores de la contratación estatal.</w:t>
      </w:r>
      <w:r w:rsidRPr="00112EF4">
        <w:rPr>
          <w:rFonts w:ascii="Verdana" w:eastAsia="Calibri" w:hAnsi="Verdana" w:cs="Arial"/>
          <w:color w:val="000000" w:themeColor="text1"/>
          <w:sz w:val="20"/>
          <w:szCs w:val="20"/>
          <w:lang w:val="es-ES_tradnl"/>
        </w:rPr>
        <w:t>”</w:t>
      </w:r>
      <w:r w:rsidRPr="00112EF4">
        <w:rPr>
          <w:rFonts w:ascii="Verdana" w:eastAsia="Calibri" w:hAnsi="Verdana" w:cs="Arial"/>
          <w:color w:val="000000" w:themeColor="text1"/>
          <w:sz w:val="20"/>
          <w:szCs w:val="20"/>
          <w:vertAlign w:val="superscript"/>
          <w:lang w:val="es-ES_tradnl"/>
        </w:rPr>
        <w:footnoteReference w:id="10"/>
      </w:r>
      <w:r w:rsidRPr="00112EF4">
        <w:rPr>
          <w:rFonts w:ascii="Verdana" w:eastAsia="Calibri" w:hAnsi="Verdana" w:cs="Arial"/>
          <w:color w:val="000000" w:themeColor="text1"/>
          <w:sz w:val="20"/>
          <w:szCs w:val="20"/>
          <w:lang w:val="es-ES_tradnl"/>
        </w:rPr>
        <w:t xml:space="preserve"> </w:t>
      </w:r>
    </w:p>
    <w:p w14:paraId="147E5059" w14:textId="77777777" w:rsidR="003225AD" w:rsidRPr="00166173" w:rsidRDefault="003225AD" w:rsidP="003225AD">
      <w:pPr>
        <w:spacing w:after="0" w:line="276" w:lineRule="auto"/>
        <w:ind w:firstLine="709"/>
        <w:jc w:val="both"/>
        <w:rPr>
          <w:rFonts w:ascii="Verdana" w:eastAsia="Calibri" w:hAnsi="Verdana" w:cs="Arial"/>
          <w:bCs/>
          <w:color w:val="000000" w:themeColor="text1"/>
          <w:lang w:val="es-ES_tradnl"/>
        </w:rPr>
      </w:pPr>
    </w:p>
    <w:p w14:paraId="4CDD172F" w14:textId="77777777" w:rsidR="003225AD" w:rsidRPr="00166173" w:rsidRDefault="003225AD" w:rsidP="003225AD">
      <w:pPr>
        <w:spacing w:after="120" w:line="276" w:lineRule="auto"/>
        <w:ind w:firstLine="708"/>
        <w:jc w:val="both"/>
        <w:rPr>
          <w:rFonts w:ascii="Verdana" w:eastAsia="Calibri" w:hAnsi="Verdana" w:cs="Arial"/>
          <w:bCs/>
          <w:color w:val="000000" w:themeColor="text1"/>
          <w:lang w:val="es-ES_tradnl"/>
        </w:rPr>
      </w:pPr>
      <w:r w:rsidRPr="00166173">
        <w:rPr>
          <w:rFonts w:ascii="Verdana" w:eastAsia="Calibri" w:hAnsi="Verdana" w:cs="Arial"/>
          <w:bCs/>
          <w:color w:val="000000" w:themeColor="text1"/>
          <w:lang w:val="es-ES_tradnl"/>
        </w:rPr>
        <w:t xml:space="preserve">Así, como garantía a los principios de buena fe, objetividad e igualdad, el juez del contrato tiene competencia para dar por no escritas o ineficaces de pleno derecho </w:t>
      </w:r>
      <w:r w:rsidRPr="00166173">
        <w:rPr>
          <w:rFonts w:ascii="Verdana" w:eastAsia="Calibri" w:hAnsi="Verdana" w:cs="Arial"/>
          <w:bCs/>
          <w:color w:val="000000" w:themeColor="text1"/>
        </w:rPr>
        <w:t>“</w:t>
      </w:r>
      <w:r w:rsidRPr="00166173">
        <w:rPr>
          <w:rFonts w:ascii="Verdana" w:eastAsia="Calibri" w:hAnsi="Verdana" w:cs="Arial"/>
          <w:bCs/>
          <w:color w:val="000000" w:themeColor="text1"/>
          <w:lang w:val="es-ES_tradnl"/>
        </w:rPr>
        <w:t>todas aquellas estipulaciones pactadas en el contrato, o que hagan parte del pliego de condiciones, que sean abiertamente contrarias al ordenamiento jurídico y el orden público, además de lo dispuesto en el artículo 24-5 de la Ley 80 de 1993 y los casos previstos en el derecho común</w:t>
      </w:r>
      <w:r w:rsidRPr="00166173">
        <w:rPr>
          <w:rFonts w:ascii="Verdana" w:eastAsia="Calibri" w:hAnsi="Verdana" w:cs="Arial"/>
          <w:bCs/>
          <w:color w:val="000000" w:themeColor="text1"/>
        </w:rPr>
        <w:t>”</w:t>
      </w:r>
      <w:r w:rsidRPr="00166173">
        <w:rPr>
          <w:rFonts w:ascii="Verdana" w:eastAsia="Calibri" w:hAnsi="Verdana" w:cs="Arial"/>
          <w:bCs/>
          <w:color w:val="000000" w:themeColor="text1"/>
          <w:vertAlign w:val="superscript"/>
          <w:lang w:val="es-ES_tradnl"/>
        </w:rPr>
        <w:footnoteReference w:id="11"/>
      </w:r>
      <w:r w:rsidRPr="00166173">
        <w:rPr>
          <w:rFonts w:ascii="Verdana" w:eastAsia="Calibri" w:hAnsi="Verdana" w:cs="Arial"/>
          <w:bCs/>
          <w:color w:val="000000" w:themeColor="text1"/>
          <w:lang w:val="es-ES_tradnl"/>
        </w:rPr>
        <w:t xml:space="preserve">. </w:t>
      </w:r>
    </w:p>
    <w:p w14:paraId="58CF5065" w14:textId="77777777" w:rsidR="003225AD" w:rsidRPr="00166173" w:rsidRDefault="003225AD" w:rsidP="003225AD">
      <w:pPr>
        <w:spacing w:after="120" w:line="276" w:lineRule="auto"/>
        <w:ind w:firstLine="709"/>
        <w:jc w:val="both"/>
        <w:rPr>
          <w:rFonts w:ascii="Verdana" w:eastAsia="Calibri" w:hAnsi="Verdana" w:cs="Arial"/>
          <w:color w:val="000000" w:themeColor="text1"/>
          <w:lang w:val="es-ES"/>
        </w:rPr>
      </w:pPr>
      <w:r w:rsidRPr="070EDF17">
        <w:rPr>
          <w:rFonts w:ascii="Verdana" w:eastAsia="Calibri" w:hAnsi="Verdana" w:cs="Arial"/>
          <w:color w:val="000000" w:themeColor="text1"/>
          <w:lang w:val="es-ES"/>
        </w:rPr>
        <w:t xml:space="preserve">Lo anterior encuentra fundamento en que, conforme lo dispone el artículo 40 de la </w:t>
      </w:r>
      <w:r>
        <w:rPr>
          <w:rFonts w:ascii="Verdana" w:eastAsia="Calibri" w:hAnsi="Verdana" w:cs="Arial"/>
          <w:color w:val="000000" w:themeColor="text1"/>
          <w:lang w:val="es-ES"/>
        </w:rPr>
        <w:t>L</w:t>
      </w:r>
      <w:r w:rsidRPr="070EDF17">
        <w:rPr>
          <w:rFonts w:ascii="Verdana" w:eastAsia="Calibri" w:hAnsi="Verdana" w:cs="Arial"/>
          <w:color w:val="000000" w:themeColor="text1"/>
          <w:lang w:val="es-ES"/>
        </w:rPr>
        <w:t>ey 80 de 1993, las entidades públicas solo podrán celebrar los contratos y acuerdos que permitan la autonomía de la voluntad y se requieran para el cumplimiento de los fines estatales junto con todas las cláusulas o estipulaciones que las partes consideren necesarias y convenientes, siempre que no sean contrarias a la Constitución, la ley, el orden público, las buenas costumbres, las finalidades de la Ley 80 y la buena administración.</w:t>
      </w:r>
    </w:p>
    <w:p w14:paraId="244C293B" w14:textId="77777777" w:rsidR="003225AD" w:rsidRPr="00166173" w:rsidRDefault="003225AD" w:rsidP="003225AD">
      <w:pPr>
        <w:spacing w:after="120" w:line="276" w:lineRule="auto"/>
        <w:ind w:firstLine="709"/>
        <w:jc w:val="both"/>
        <w:rPr>
          <w:rFonts w:ascii="Verdana" w:eastAsia="Calibri" w:hAnsi="Verdana" w:cs="Arial"/>
          <w:bCs/>
          <w:color w:val="000000" w:themeColor="text1"/>
          <w:lang w:val="es-ES_tradnl"/>
        </w:rPr>
      </w:pPr>
      <w:r w:rsidRPr="00166173">
        <w:rPr>
          <w:rFonts w:ascii="Verdana" w:eastAsia="Calibri" w:hAnsi="Verdana" w:cs="Arial"/>
          <w:bCs/>
          <w:color w:val="000000" w:themeColor="text1"/>
          <w:lang w:val="es-ES_tradnl"/>
        </w:rPr>
        <w:t xml:space="preserve">De esta forma, encontramos unas causales específicas determinadas por el legislador para la ineficacia de pleno de derecho contempladas en el artículo 24.5 de la Ley 80 de 1993, con el matiz que señala la jurisprudencia, las cuales tienen plenos efectos en los pliegos de condiciones y los contratos y “su consecuencia </w:t>
      </w:r>
      <w:r w:rsidRPr="00166173">
        <w:rPr>
          <w:rFonts w:ascii="Verdana" w:hAnsi="Verdana"/>
        </w:rPr>
        <w:t>es que las cláusulas que adolecen de tal situación se entienden por no escritas”</w:t>
      </w:r>
      <w:r w:rsidRPr="00166173">
        <w:rPr>
          <w:rFonts w:ascii="Verdana" w:hAnsi="Verdana"/>
          <w:vertAlign w:val="superscript"/>
        </w:rPr>
        <w:footnoteReference w:id="12"/>
      </w:r>
      <w:r w:rsidRPr="00166173">
        <w:rPr>
          <w:rFonts w:ascii="Verdana" w:hAnsi="Verdana"/>
        </w:rPr>
        <w:t xml:space="preserve">. En otras palabras, si en un pliego de condiciones o en el contrato se establecen estipulaciones que contravenga lo dispuesto en el artículo 24.5 del </w:t>
      </w:r>
      <w:r w:rsidRPr="00166173">
        <w:rPr>
          <w:rFonts w:ascii="Verdana" w:hAnsi="Verdana"/>
        </w:rPr>
        <w:lastRenderedPageBreak/>
        <w:t xml:space="preserve">EGCAP o </w:t>
      </w:r>
      <w:r w:rsidRPr="00166173">
        <w:rPr>
          <w:rFonts w:ascii="Verdana" w:eastAsia="Calibri" w:hAnsi="Verdana" w:cs="Arial"/>
          <w:bCs/>
          <w:color w:val="000000" w:themeColor="text1"/>
          <w:lang w:val="es-ES_tradnl"/>
        </w:rPr>
        <w:t xml:space="preserve">sean abiertamente contrarias al ordenamiento jurídico y el orden público, el efecto práctico es que la ineficacia de estas cláusulas opera </w:t>
      </w:r>
      <w:r w:rsidRPr="00166173">
        <w:rPr>
          <w:rFonts w:ascii="Verdana" w:eastAsia="Calibri" w:hAnsi="Verdana" w:cs="Arial"/>
          <w:bCs/>
          <w:i/>
          <w:iCs/>
          <w:color w:val="000000" w:themeColor="text1"/>
          <w:lang w:val="es-ES_tradnl"/>
        </w:rPr>
        <w:t>ipso iure</w:t>
      </w:r>
      <w:r w:rsidRPr="00166173">
        <w:rPr>
          <w:rFonts w:ascii="Verdana" w:eastAsia="Calibri" w:hAnsi="Verdana" w:cs="Arial"/>
          <w:bCs/>
          <w:color w:val="000000" w:themeColor="text1"/>
          <w:lang w:val="es-ES_tradnl"/>
        </w:rPr>
        <w:t>, esto es, por ministerio de la ley, de manera inmediata y sin requerir pronunciamiento judicial.</w:t>
      </w:r>
    </w:p>
    <w:p w14:paraId="18D67D8D" w14:textId="77777777" w:rsidR="003225AD" w:rsidRPr="00166173" w:rsidRDefault="003225AD" w:rsidP="003225AD">
      <w:pPr>
        <w:spacing w:after="120" w:line="276" w:lineRule="auto"/>
        <w:ind w:firstLine="709"/>
        <w:jc w:val="both"/>
        <w:rPr>
          <w:rFonts w:ascii="Verdana" w:hAnsi="Verdana"/>
        </w:rPr>
      </w:pPr>
      <w:r w:rsidRPr="00166173">
        <w:rPr>
          <w:rFonts w:ascii="Verdana" w:eastAsia="Calibri" w:hAnsi="Verdana" w:cs="Arial"/>
          <w:bCs/>
          <w:color w:val="000000" w:themeColor="text1"/>
          <w:lang w:val="es-ES_tradnl"/>
        </w:rPr>
        <w:t>Al respecto, el Consejo de Estado señaló que “</w:t>
      </w:r>
      <w:r w:rsidRPr="00166173">
        <w:rPr>
          <w:rFonts w:ascii="Verdana" w:hAnsi="Verdana"/>
        </w:rPr>
        <w:t xml:space="preserve">Una vez se constata la ocurrencia de una ineficacia, el acto jurídico o la disposición contractual que adolezca de ésta operará de pleno derecho, lo que descarta que, en principio, exista la necesidad de declaratoria judicial para que emerja el resultado que su ocurrencia produce. Con todo, a pesar de que de la ineficacia se desprenda el efecto de una sanción </w:t>
      </w:r>
      <w:r w:rsidRPr="00166173">
        <w:rPr>
          <w:rFonts w:ascii="Verdana" w:hAnsi="Verdana"/>
          <w:i/>
          <w:iCs/>
        </w:rPr>
        <w:t>in limine</w:t>
      </w:r>
      <w:r w:rsidRPr="00166173">
        <w:rPr>
          <w:rFonts w:ascii="Verdana" w:hAnsi="Verdana"/>
        </w:rPr>
        <w:t>, puede ocurrir que se presente una controversia entre los cocontratantes acerca del efectivo y real surgimiento y configuración del referido remedio, evento en el que necesariamente el debate sobre su concreción deberá ser decidido por el juez competente”</w:t>
      </w:r>
      <w:r w:rsidRPr="00166173">
        <w:rPr>
          <w:rFonts w:ascii="Verdana" w:hAnsi="Verdana"/>
          <w:vertAlign w:val="superscript"/>
        </w:rPr>
        <w:footnoteReference w:id="13"/>
      </w:r>
      <w:r w:rsidRPr="00166173">
        <w:rPr>
          <w:rFonts w:ascii="Verdana" w:hAnsi="Verdana"/>
        </w:rPr>
        <w:t xml:space="preserve">. </w:t>
      </w:r>
    </w:p>
    <w:p w14:paraId="779B37C7" w14:textId="77777777" w:rsidR="003225AD" w:rsidRPr="00166173" w:rsidRDefault="003225AD" w:rsidP="003225AD">
      <w:pPr>
        <w:spacing w:after="120" w:line="276" w:lineRule="auto"/>
        <w:ind w:firstLine="709"/>
        <w:jc w:val="both"/>
        <w:rPr>
          <w:rFonts w:ascii="Verdana" w:eastAsia="Calibri" w:hAnsi="Verdana" w:cs="Arial"/>
          <w:bCs/>
          <w:color w:val="000000" w:themeColor="text1"/>
          <w:lang w:val="es-ES_tradnl"/>
        </w:rPr>
      </w:pPr>
      <w:r w:rsidRPr="00166173">
        <w:rPr>
          <w:rFonts w:ascii="Verdana" w:eastAsia="Calibri" w:hAnsi="Verdana" w:cs="Arial"/>
          <w:bCs/>
          <w:color w:val="000000" w:themeColor="text1"/>
          <w:lang w:val="es-ES_tradnl"/>
        </w:rPr>
        <w:t xml:space="preserve">En este contexto, para el reconocimiento y la aplicación de la ineficacia de pleno derecho en el marco de un procedimiento de selección, esta puede llevarse a cabo por dos vías: i) una declaración de la entidad que adelanta el procedimiento de selección exteriorizando la ocurrencia de un supuesto de ineficacia; y </w:t>
      </w:r>
      <w:proofErr w:type="spellStart"/>
      <w:r w:rsidRPr="00166173">
        <w:rPr>
          <w:rFonts w:ascii="Verdana" w:eastAsia="Calibri" w:hAnsi="Verdana" w:cs="Arial"/>
          <w:bCs/>
          <w:color w:val="000000" w:themeColor="text1"/>
          <w:lang w:val="es-ES_tradnl"/>
        </w:rPr>
        <w:t>ii</w:t>
      </w:r>
      <w:proofErr w:type="spellEnd"/>
      <w:r w:rsidRPr="00166173">
        <w:rPr>
          <w:rFonts w:ascii="Verdana" w:eastAsia="Calibri" w:hAnsi="Verdana" w:cs="Arial"/>
          <w:bCs/>
          <w:color w:val="000000" w:themeColor="text1"/>
          <w:lang w:val="es-ES_tradnl"/>
        </w:rPr>
        <w:t xml:space="preserve">) el pronunciamiento del juez del contrato que, a petición o de oficio, conoce de una acción o excepción de ilegalidad o ‘ineficacia de pleno derecho’ dentro del medio de control correspondiente. Si la entidad contratante es quien advierte la ineficacia, se adopta la primera vía. De lo contrario, se acude al juez del contrato ante la </w:t>
      </w:r>
      <w:r w:rsidRPr="00166173">
        <w:rPr>
          <w:rFonts w:ascii="Verdana" w:hAnsi="Verdana"/>
        </w:rPr>
        <w:t>existencia de una controversia judicial.</w:t>
      </w:r>
    </w:p>
    <w:p w14:paraId="18B7B7EB" w14:textId="77777777" w:rsidR="003225AD" w:rsidRPr="00166173" w:rsidRDefault="003225AD" w:rsidP="003225AD">
      <w:pPr>
        <w:spacing w:after="120" w:line="276" w:lineRule="auto"/>
        <w:ind w:firstLine="709"/>
        <w:jc w:val="both"/>
        <w:rPr>
          <w:rFonts w:ascii="Verdana" w:eastAsia="Calibri" w:hAnsi="Verdana" w:cs="Arial"/>
          <w:bCs/>
          <w:color w:val="000000" w:themeColor="text1"/>
          <w:lang w:val="es-ES_tradnl"/>
        </w:rPr>
      </w:pPr>
      <w:r w:rsidRPr="00166173">
        <w:rPr>
          <w:rFonts w:ascii="Verdana" w:eastAsia="Calibri" w:hAnsi="Verdana" w:cs="Arial"/>
          <w:bCs/>
          <w:color w:val="000000" w:themeColor="text1"/>
          <w:lang w:val="es-ES_tradnl"/>
        </w:rPr>
        <w:t xml:space="preserve">En relación con la primera vía, de cara a su reconocimiento y aplicación práctica </w:t>
      </w:r>
      <w:r w:rsidRPr="00166173">
        <w:rPr>
          <w:rFonts w:ascii="Verdana" w:eastAsia="Calibri" w:hAnsi="Verdana" w:cs="Arial"/>
          <w:color w:val="000000"/>
          <w:sz w:val="24"/>
        </w:rPr>
        <w:t>–</w:t>
      </w:r>
      <w:r w:rsidRPr="00166173">
        <w:rPr>
          <w:rFonts w:ascii="Verdana" w:eastAsia="Calibri" w:hAnsi="Verdana" w:cs="Arial"/>
          <w:bCs/>
          <w:color w:val="000000" w:themeColor="text1"/>
          <w:lang w:val="es-ES_tradnl"/>
        </w:rPr>
        <w:t>más que a su validez</w:t>
      </w:r>
      <w:r w:rsidRPr="00166173">
        <w:rPr>
          <w:rFonts w:ascii="Verdana" w:eastAsia="Calibri" w:hAnsi="Verdana" w:cs="Arial"/>
          <w:color w:val="000000"/>
          <w:sz w:val="24"/>
        </w:rPr>
        <w:t>–,</w:t>
      </w:r>
      <w:r w:rsidRPr="00166173">
        <w:rPr>
          <w:rFonts w:ascii="Verdana" w:eastAsia="Calibri" w:hAnsi="Verdana" w:cs="Arial"/>
          <w:bCs/>
          <w:color w:val="000000" w:themeColor="text1"/>
          <w:lang w:val="es-ES_tradnl"/>
        </w:rPr>
        <w:t xml:space="preserve"> la ineficacia de pleno derecho requiere de un pronunciamiento concreto que la materialice y le de </w:t>
      </w:r>
      <w:proofErr w:type="spellStart"/>
      <w:r w:rsidRPr="00166173">
        <w:rPr>
          <w:rFonts w:ascii="Verdana" w:eastAsia="Calibri" w:hAnsi="Verdana" w:cs="Arial"/>
          <w:bCs/>
          <w:color w:val="000000" w:themeColor="text1"/>
          <w:lang w:val="es-ES_tradnl"/>
        </w:rPr>
        <w:t>operancia</w:t>
      </w:r>
      <w:proofErr w:type="spellEnd"/>
      <w:r w:rsidRPr="00166173">
        <w:rPr>
          <w:rFonts w:ascii="Verdana" w:eastAsia="Calibri" w:hAnsi="Verdana" w:cs="Arial"/>
          <w:bCs/>
          <w:color w:val="000000" w:themeColor="text1"/>
          <w:lang w:val="es-ES_tradnl"/>
        </w:rPr>
        <w:t xml:space="preserve"> frente a los sujetos interesados. Este pronunciamiento o declaración entra a jugar un rol importante frente al deber de transparencia en el marco de los procedimientos de selección de la contratación estatal en la medida en que permitirá a los interesados y proponentes de la selección identificar que una de las reglas establecidas en el pliego de condiciones no será tomada en cuenta para la evaluación.</w:t>
      </w:r>
    </w:p>
    <w:p w14:paraId="5B177821" w14:textId="77777777" w:rsidR="003225AD" w:rsidRPr="00166173" w:rsidRDefault="003225AD" w:rsidP="003225AD">
      <w:pPr>
        <w:spacing w:after="120" w:line="276" w:lineRule="auto"/>
        <w:ind w:firstLine="709"/>
        <w:jc w:val="both"/>
        <w:rPr>
          <w:rFonts w:ascii="Verdana" w:eastAsia="Calibri" w:hAnsi="Verdana" w:cs="Arial"/>
          <w:bCs/>
          <w:color w:val="000000" w:themeColor="text1"/>
          <w:lang w:val="es-ES_tradnl"/>
        </w:rPr>
      </w:pPr>
      <w:r w:rsidRPr="00166173">
        <w:rPr>
          <w:rFonts w:ascii="Verdana" w:eastAsia="Calibri" w:hAnsi="Verdana" w:cs="Arial"/>
          <w:bCs/>
          <w:color w:val="000000" w:themeColor="text1"/>
          <w:lang w:val="es-ES_tradnl"/>
        </w:rPr>
        <w:lastRenderedPageBreak/>
        <w:t>En el derecho civil se utiliza como instrumento la declaración pública o privada de las partes exteriorizando de manera tácita o expresa la ocurrencia del supuesto de ineficacia de pleno derecho.</w:t>
      </w:r>
      <w:r w:rsidRPr="00166173">
        <w:rPr>
          <w:rFonts w:ascii="Verdana" w:eastAsia="Calibri" w:hAnsi="Verdana" w:cs="Arial"/>
          <w:bCs/>
          <w:color w:val="000000" w:themeColor="text1"/>
          <w:vertAlign w:val="superscript"/>
          <w:lang w:val="es-ES_tradnl"/>
        </w:rPr>
        <w:footnoteReference w:id="14"/>
      </w:r>
      <w:r w:rsidRPr="00166173">
        <w:rPr>
          <w:rFonts w:ascii="Verdana" w:eastAsia="Calibri" w:hAnsi="Verdana" w:cs="Arial"/>
          <w:bCs/>
          <w:color w:val="000000" w:themeColor="text1"/>
          <w:lang w:val="es-ES_tradnl"/>
        </w:rPr>
        <w:t xml:space="preserve"> Acto que, por las razones ya expuestas, no debe entenderse como constitutivo de derechos (de aquellos que crean, modifican, extinguen relaciones jurídicas), sino como declarativo (de aquellos que meramente acreditan un hecho o una situación jurídica preexistente sin incidir sobre su contenido)</w:t>
      </w:r>
      <w:r w:rsidRPr="00166173">
        <w:rPr>
          <w:rFonts w:ascii="Verdana" w:eastAsia="Calibri" w:hAnsi="Verdana" w:cs="Arial"/>
          <w:bCs/>
          <w:color w:val="000000" w:themeColor="text1"/>
          <w:vertAlign w:val="superscript"/>
          <w:lang w:val="es-ES_tradnl"/>
        </w:rPr>
        <w:footnoteReference w:id="15"/>
      </w:r>
      <w:r w:rsidRPr="00166173">
        <w:rPr>
          <w:rFonts w:ascii="Verdana" w:eastAsia="Calibri" w:hAnsi="Verdana" w:cs="Arial"/>
          <w:bCs/>
          <w:color w:val="000000" w:themeColor="text1"/>
          <w:lang w:val="es-ES_tradnl"/>
        </w:rPr>
        <w:t xml:space="preserve">. </w:t>
      </w:r>
    </w:p>
    <w:p w14:paraId="2E6867F3" w14:textId="77777777" w:rsidR="003225AD" w:rsidRPr="00166173" w:rsidRDefault="003225AD" w:rsidP="003225AD">
      <w:pPr>
        <w:spacing w:after="120" w:line="276" w:lineRule="auto"/>
        <w:ind w:firstLine="709"/>
        <w:jc w:val="both"/>
        <w:rPr>
          <w:rFonts w:ascii="Verdana" w:eastAsia="Calibri" w:hAnsi="Verdana" w:cs="Arial"/>
          <w:color w:val="000000" w:themeColor="text1"/>
          <w:lang w:val="es-ES"/>
        </w:rPr>
      </w:pPr>
      <w:r w:rsidRPr="070EDF17">
        <w:rPr>
          <w:rFonts w:ascii="Verdana" w:eastAsia="Calibri" w:hAnsi="Verdana" w:cs="Arial"/>
          <w:color w:val="000000" w:themeColor="text1"/>
          <w:lang w:val="es-ES"/>
        </w:rPr>
        <w:t xml:space="preserve">En estos términos, si bien la ineficacia de pleno derecho deviene del poder mismo de la norma, su materialización práctica deviene de la valoración negativa </w:t>
      </w:r>
      <w:r w:rsidRPr="070EDF17">
        <w:rPr>
          <w:rFonts w:ascii="Verdana" w:eastAsia="Arial" w:hAnsi="Verdana" w:cs="Arial"/>
          <w:lang w:val="es-ES"/>
        </w:rPr>
        <w:t xml:space="preserve">de las partes del contrato o del pliego de condiciones </w:t>
      </w:r>
      <w:r w:rsidRPr="070EDF17">
        <w:rPr>
          <w:rFonts w:ascii="Verdana" w:eastAsia="Calibri" w:hAnsi="Verdana" w:cs="Arial"/>
          <w:color w:val="000000" w:themeColor="text1"/>
          <w:lang w:val="es-ES"/>
        </w:rPr>
        <w:t xml:space="preserve">de la entidad contratante a través de su declaración de voluntad. En materia de contratación estatal, el instrumento pertinente para materializar tal declaración de voluntad podrá ser un documento o declaración que así lo disponga, que busca comunicar un aspecto relativo al carácter contrario al orden público de la regla contenida en el pliego de condiciones de tal manera que ambas partes de este sean conocedoras y partícipes de sus efectos, ya vigentes y reconocidos por el orden jurídico. </w:t>
      </w:r>
    </w:p>
    <w:p w14:paraId="7668A692" w14:textId="77777777" w:rsidR="003225AD" w:rsidRPr="00166173" w:rsidRDefault="003225AD" w:rsidP="003225AD">
      <w:pPr>
        <w:spacing w:after="120" w:line="276" w:lineRule="auto"/>
        <w:ind w:firstLine="709"/>
        <w:jc w:val="both"/>
        <w:rPr>
          <w:rFonts w:ascii="Verdana" w:eastAsia="Calibri" w:hAnsi="Verdana" w:cs="Arial"/>
          <w:color w:val="000000" w:themeColor="text1"/>
          <w:lang w:val="es-ES"/>
        </w:rPr>
      </w:pPr>
      <w:r w:rsidRPr="070EDF17">
        <w:rPr>
          <w:rFonts w:ascii="Verdana" w:eastAsia="Calibri" w:hAnsi="Verdana" w:cs="Arial"/>
          <w:color w:val="000000" w:themeColor="text1"/>
          <w:lang w:val="es-ES"/>
        </w:rPr>
        <w:t xml:space="preserve">Se considera que dicha declaración deberá provenir de la entidad estatal en cabeza del ordenador del gasto, quien ostenta la facultad legal para ordenar y dirigirla celebración de los procesos de contratación, conforme lo dispone el artículo 11.1 de la Ley 80 de 1993. De esta forma, una vez declarada por el ordenador del gasto la ineficacia de pleno derecho de una estipulación del pliego de </w:t>
      </w:r>
      <w:proofErr w:type="gramStart"/>
      <w:r w:rsidRPr="070EDF17">
        <w:rPr>
          <w:rFonts w:ascii="Verdana" w:eastAsia="Calibri" w:hAnsi="Verdana" w:cs="Arial"/>
          <w:color w:val="000000" w:themeColor="text1"/>
          <w:lang w:val="es-ES"/>
        </w:rPr>
        <w:t>condiciones,</w:t>
      </w:r>
      <w:proofErr w:type="gramEnd"/>
      <w:r w:rsidRPr="070EDF17">
        <w:rPr>
          <w:rFonts w:ascii="Verdana" w:eastAsia="Calibri" w:hAnsi="Verdana" w:cs="Arial"/>
          <w:color w:val="000000" w:themeColor="text1"/>
          <w:lang w:val="es-ES"/>
        </w:rPr>
        <w:t xml:space="preserve"> le corresponderá al comité evaluador realizar la evaluación de las ofertas sin tener en cuenta la regla del pliego de condiciones que ha sido previamente declarada ineficaz por la administración, pues precisamente, la consecuencia de dicha ineficacia implica que no ha nacido a la vida jurídica y se tiene como inexistente. </w:t>
      </w:r>
    </w:p>
    <w:p w14:paraId="27CB3251" w14:textId="77777777" w:rsidR="003225AD" w:rsidRPr="00166173" w:rsidRDefault="003225AD" w:rsidP="003225AD">
      <w:pPr>
        <w:spacing w:after="120" w:line="276" w:lineRule="auto"/>
        <w:ind w:firstLine="709"/>
        <w:jc w:val="both"/>
        <w:rPr>
          <w:rFonts w:ascii="Verdana" w:eastAsia="Calibri" w:hAnsi="Verdana" w:cs="Arial"/>
          <w:color w:val="000000" w:themeColor="text1"/>
          <w:lang w:val="es-ES_tradnl"/>
        </w:rPr>
      </w:pPr>
      <w:r w:rsidRPr="00166173">
        <w:rPr>
          <w:rFonts w:ascii="Verdana" w:eastAsia="Calibri" w:hAnsi="Verdana" w:cs="Arial"/>
          <w:bCs/>
          <w:color w:val="000000" w:themeColor="text1"/>
          <w:lang w:val="es-ES_tradnl"/>
        </w:rPr>
        <w:t xml:space="preserve">Por el contrario, si aún no se ha materializado la declaración, el comité evaluador no podrá omitir lo reglado en el pliego de condiciones, así como tampoco podrá realizar la declaración ya que no tiene tales atribuciones. En efecto, </w:t>
      </w:r>
      <w:r w:rsidRPr="00166173">
        <w:rPr>
          <w:rFonts w:ascii="Verdana" w:hAnsi="Verdana"/>
        </w:rPr>
        <w:t>de conformidad con lo señalado por el artículo </w:t>
      </w:r>
      <w:bookmarkStart w:id="6" w:name="2.2.1.1.2.2.3"/>
      <w:bookmarkEnd w:id="6"/>
      <w:r w:rsidRPr="00166173">
        <w:rPr>
          <w:rFonts w:ascii="Verdana" w:hAnsi="Verdana"/>
        </w:rPr>
        <w:t xml:space="preserve">2.2.1.1.2.2.3 del Decreto 1082 de 2015, el comité evaluador tiene carácter de asesor, por lo tanto, </w:t>
      </w:r>
      <w:r w:rsidRPr="00166173">
        <w:rPr>
          <w:rFonts w:ascii="Verdana" w:hAnsi="Verdana"/>
          <w:lang w:val="es-ES_tradnl"/>
        </w:rPr>
        <w:t xml:space="preserve">el </w:t>
      </w:r>
      <w:r w:rsidRPr="00166173">
        <w:rPr>
          <w:rFonts w:ascii="Verdana" w:hAnsi="Verdana"/>
          <w:lang w:val="es-ES_tradnl"/>
        </w:rPr>
        <w:lastRenderedPageBreak/>
        <w:t>informe de evaluación tan solo recomienda, pero no decide ni adjudica, toda vez que estas facultades la ley las reserva al jefe o representante legal de la entidad y ordenador del gasto.</w:t>
      </w:r>
      <w:r w:rsidRPr="00166173">
        <w:rPr>
          <w:rFonts w:ascii="Verdana" w:eastAsia="Calibri" w:hAnsi="Verdana" w:cs="Arial"/>
          <w:bCs/>
          <w:color w:val="000000" w:themeColor="text1"/>
          <w:lang w:val="es-ES_tradnl"/>
        </w:rPr>
        <w:t xml:space="preserve"> En este sentido, el comité evaluador podrá realizar la recomendación al ordenador del gasto cuando se advierta de una cláusula o estipulación en el pliego de condiciones que sea ineficaz en los términos del artículo 24.5 de la Ley 80 de 1993, con la finalidad de que este adopte la decisión que corresponda. </w:t>
      </w:r>
    </w:p>
    <w:p w14:paraId="395609E5" w14:textId="77777777" w:rsidR="003225AD" w:rsidRPr="00166173" w:rsidRDefault="003225AD" w:rsidP="003225AD">
      <w:pPr>
        <w:spacing w:after="120" w:line="276" w:lineRule="auto"/>
        <w:ind w:firstLine="709"/>
        <w:jc w:val="both"/>
        <w:rPr>
          <w:rFonts w:ascii="Verdana" w:eastAsia="Calibri" w:hAnsi="Verdana" w:cs="Arial"/>
          <w:bCs/>
          <w:color w:val="000000" w:themeColor="text1"/>
          <w:lang w:val="es-ES_tradnl"/>
        </w:rPr>
      </w:pPr>
      <w:r w:rsidRPr="00166173">
        <w:rPr>
          <w:rFonts w:ascii="Verdana" w:eastAsia="Calibri" w:hAnsi="Verdana" w:cs="Arial"/>
          <w:bCs/>
          <w:color w:val="000000" w:themeColor="text1"/>
          <w:lang w:val="es-ES_tradnl"/>
        </w:rPr>
        <w:t>Sobre el particular, la doctrina ha manifestado que “se puede recomendar al ordenador del gasto que elimine la regla aplicando lo señalado en el numeral 5 del artículo 24 de la Ley 80 de 1993 sobre ineficacia de pleno derecho, que no requiere declaración judicial. Esta atribución no puede ser asumida por el comité evaluador, quien solo debe aplicar al momento de evaluar el contenido de los pliegos de condiciones”</w:t>
      </w:r>
      <w:r w:rsidRPr="00166173">
        <w:rPr>
          <w:rFonts w:ascii="Verdana" w:eastAsia="Calibri" w:hAnsi="Verdana" w:cs="Arial"/>
          <w:bCs/>
          <w:color w:val="000000" w:themeColor="text1"/>
          <w:vertAlign w:val="superscript"/>
          <w:lang w:val="es-ES_tradnl"/>
        </w:rPr>
        <w:footnoteReference w:id="16"/>
      </w:r>
      <w:r w:rsidRPr="00166173">
        <w:rPr>
          <w:rFonts w:ascii="Verdana" w:eastAsia="Calibri" w:hAnsi="Verdana" w:cs="Arial"/>
          <w:bCs/>
          <w:color w:val="000000" w:themeColor="text1"/>
          <w:lang w:val="es-ES_tradnl"/>
        </w:rPr>
        <w:t xml:space="preserve">. </w:t>
      </w:r>
    </w:p>
    <w:p w14:paraId="34C66012" w14:textId="77777777" w:rsidR="003225AD" w:rsidRPr="00166173" w:rsidRDefault="003225AD" w:rsidP="003225AD">
      <w:pPr>
        <w:spacing w:after="0" w:line="276" w:lineRule="auto"/>
        <w:ind w:firstLine="709"/>
        <w:jc w:val="both"/>
        <w:rPr>
          <w:rFonts w:ascii="Verdana" w:eastAsia="Calibri" w:hAnsi="Verdana" w:cs="Arial"/>
          <w:bCs/>
          <w:color w:val="000000" w:themeColor="text1"/>
        </w:rPr>
      </w:pPr>
      <w:r w:rsidRPr="00166173">
        <w:rPr>
          <w:rFonts w:ascii="Verdana" w:eastAsia="Calibri" w:hAnsi="Verdana" w:cs="Arial"/>
          <w:bCs/>
          <w:color w:val="000000" w:themeColor="text1"/>
          <w:lang w:val="es-ES_tradnl"/>
        </w:rPr>
        <w:t xml:space="preserve">Así las cosas, la ineficacia de pleno derecho tiene por efecto que </w:t>
      </w:r>
      <w:r w:rsidRPr="00166173">
        <w:rPr>
          <w:rFonts w:ascii="Verdana" w:eastAsia="Calibri" w:hAnsi="Verdana" w:cs="Arial"/>
          <w:bCs/>
          <w:color w:val="000000" w:themeColor="text1"/>
        </w:rPr>
        <w:t xml:space="preserve">el acto jurídico o la disposición contractual que adolezca de ésta se considera inexistente y aunque opera por ministerio de la ley, es decir que no requiere de una declaratoria judicial para que emerja el resultado que su ocurrencia produce, se considera necesaria para su reconocimiento y aplicación práctica la declaración de voluntad de la administración. </w:t>
      </w:r>
    </w:p>
    <w:p w14:paraId="39607020" w14:textId="77777777" w:rsidR="003225AD" w:rsidRPr="00166173" w:rsidRDefault="003225AD" w:rsidP="003225AD">
      <w:pPr>
        <w:widowControl w:val="0"/>
        <w:autoSpaceDE w:val="0"/>
        <w:autoSpaceDN w:val="0"/>
        <w:spacing w:after="0" w:line="276" w:lineRule="auto"/>
        <w:ind w:firstLine="709"/>
        <w:jc w:val="both"/>
        <w:rPr>
          <w:rFonts w:ascii="Verdana" w:eastAsia="Arial" w:hAnsi="Verdana" w:cs="Arial"/>
          <w:lang w:val="es-ES"/>
        </w:rPr>
      </w:pPr>
    </w:p>
    <w:p w14:paraId="43BA5072" w14:textId="77777777" w:rsidR="003225AD" w:rsidRPr="00166173" w:rsidRDefault="003225AD" w:rsidP="003225AD">
      <w:pPr>
        <w:numPr>
          <w:ilvl w:val="0"/>
          <w:numId w:val="1"/>
        </w:numPr>
        <w:tabs>
          <w:tab w:val="left" w:pos="142"/>
          <w:tab w:val="left" w:pos="284"/>
        </w:tabs>
        <w:spacing w:after="0" w:line="276" w:lineRule="auto"/>
        <w:jc w:val="both"/>
        <w:rPr>
          <w:rFonts w:ascii="Verdana" w:eastAsia="Century Gothic" w:hAnsi="Verdana" w:cs="Century Gothic"/>
          <w:b/>
          <w:bCs/>
        </w:rPr>
      </w:pPr>
      <w:r w:rsidRPr="00166173">
        <w:rPr>
          <w:rFonts w:ascii="Verdana" w:eastAsia="Century Gothic" w:hAnsi="Verdana" w:cs="Century Gothic"/>
          <w:b/>
          <w:bCs/>
        </w:rPr>
        <w:t>Referencias normativas y jurisprudenciales:</w:t>
      </w:r>
    </w:p>
    <w:p w14:paraId="5DACF091" w14:textId="77777777" w:rsidR="003225AD" w:rsidRPr="00166173" w:rsidRDefault="003225AD" w:rsidP="003225AD">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225AD" w:rsidRPr="00166173" w14:paraId="464EA274" w14:textId="77777777" w:rsidTr="006D74B2">
        <w:trPr>
          <w:trHeight w:val="856"/>
          <w:jc w:val="center"/>
        </w:trPr>
        <w:tc>
          <w:tcPr>
            <w:tcW w:w="8647" w:type="dxa"/>
          </w:tcPr>
          <w:p w14:paraId="4E95CBA2" w14:textId="77777777" w:rsidR="003225AD" w:rsidRPr="00166173" w:rsidRDefault="003225AD" w:rsidP="003225AD">
            <w:pPr>
              <w:widowControl w:val="0"/>
              <w:numPr>
                <w:ilvl w:val="0"/>
                <w:numId w:val="3"/>
              </w:numPr>
              <w:autoSpaceDE w:val="0"/>
              <w:autoSpaceDN w:val="0"/>
              <w:spacing w:line="276" w:lineRule="auto"/>
              <w:ind w:left="318" w:hanging="284"/>
              <w:contextualSpacing/>
              <w:jc w:val="both"/>
              <w:rPr>
                <w:rFonts w:ascii="Verdana" w:eastAsia="Calibri" w:hAnsi="Verdana" w:cs="Arial"/>
                <w:lang w:val="es-ES"/>
              </w:rPr>
            </w:pPr>
            <w:r w:rsidRPr="00166173">
              <w:rPr>
                <w:rFonts w:ascii="Verdana" w:eastAsia="Calibri" w:hAnsi="Verdana" w:cs="Arial"/>
                <w:lang w:val="es-ES"/>
              </w:rPr>
              <w:t xml:space="preserve">Ley 80 de 1993. Artículos 13, </w:t>
            </w:r>
            <w:r w:rsidRPr="00166173">
              <w:rPr>
                <w:rFonts w:ascii="Verdana" w:eastAsia="Arial" w:hAnsi="Verdana" w:cs="Arial"/>
                <w:lang w:val="es-ES"/>
              </w:rPr>
              <w:t>21, 24.5, 25, 30 y 76</w:t>
            </w:r>
          </w:p>
          <w:p w14:paraId="63B1E156" w14:textId="77777777" w:rsidR="003225AD" w:rsidRPr="00166173" w:rsidRDefault="003225AD" w:rsidP="003225AD">
            <w:pPr>
              <w:widowControl w:val="0"/>
              <w:numPr>
                <w:ilvl w:val="0"/>
                <w:numId w:val="3"/>
              </w:numPr>
              <w:autoSpaceDE w:val="0"/>
              <w:autoSpaceDN w:val="0"/>
              <w:spacing w:line="276" w:lineRule="auto"/>
              <w:ind w:left="318" w:hanging="284"/>
              <w:contextualSpacing/>
              <w:jc w:val="both"/>
              <w:rPr>
                <w:rFonts w:ascii="Verdana" w:eastAsia="Calibri" w:hAnsi="Verdana" w:cs="Arial"/>
                <w:lang w:val="es-ES"/>
              </w:rPr>
            </w:pPr>
            <w:r w:rsidRPr="00166173">
              <w:rPr>
                <w:rFonts w:ascii="Verdana" w:eastAsia="Arial" w:hAnsi="Verdana" w:cs="Arial"/>
                <w:lang w:val="es-ES"/>
              </w:rPr>
              <w:t>Código de Comercio. Artículo 897</w:t>
            </w:r>
          </w:p>
          <w:p w14:paraId="3A1E9821" w14:textId="77777777" w:rsidR="003225AD" w:rsidRPr="00166173" w:rsidRDefault="003225AD" w:rsidP="003225AD">
            <w:pPr>
              <w:widowControl w:val="0"/>
              <w:numPr>
                <w:ilvl w:val="0"/>
                <w:numId w:val="3"/>
              </w:numPr>
              <w:autoSpaceDE w:val="0"/>
              <w:autoSpaceDN w:val="0"/>
              <w:spacing w:line="276" w:lineRule="auto"/>
              <w:ind w:left="318" w:hanging="284"/>
              <w:contextualSpacing/>
              <w:jc w:val="both"/>
              <w:rPr>
                <w:rFonts w:ascii="Verdana" w:eastAsia="Calibri" w:hAnsi="Verdana" w:cs="Arial"/>
                <w:lang w:val="es-ES"/>
              </w:rPr>
            </w:pPr>
            <w:r w:rsidRPr="00166173">
              <w:rPr>
                <w:rFonts w:ascii="Verdana" w:eastAsia="Calibri" w:hAnsi="Verdana" w:cs="Arial"/>
                <w:lang w:val="es-ES"/>
              </w:rPr>
              <w:t>Consejo de Estado. Sección Tercera. Sentencia del 24 de Julio de 2024. Radicado No. 48833. CP: Nicolas Yepes Corrales.</w:t>
            </w:r>
          </w:p>
          <w:p w14:paraId="42BEF571" w14:textId="77777777" w:rsidR="003225AD" w:rsidRPr="00166173" w:rsidRDefault="003225AD" w:rsidP="003225AD">
            <w:pPr>
              <w:widowControl w:val="0"/>
              <w:numPr>
                <w:ilvl w:val="0"/>
                <w:numId w:val="3"/>
              </w:numPr>
              <w:autoSpaceDE w:val="0"/>
              <w:autoSpaceDN w:val="0"/>
              <w:spacing w:line="276" w:lineRule="auto"/>
              <w:ind w:left="318" w:hanging="284"/>
              <w:contextualSpacing/>
              <w:jc w:val="both"/>
              <w:rPr>
                <w:rFonts w:ascii="Verdana" w:eastAsia="Calibri" w:hAnsi="Verdana" w:cs="Arial"/>
                <w:lang w:val="es-ES"/>
              </w:rPr>
            </w:pPr>
            <w:r w:rsidRPr="00166173">
              <w:rPr>
                <w:rFonts w:ascii="Verdana" w:eastAsia="Calibri" w:hAnsi="Verdana" w:cs="Arial"/>
                <w:lang w:val="es-ES"/>
              </w:rPr>
              <w:t>Consejo de Estado, Sala de lo Contencioso Administrativo, Sección Tercera, sentencia de 3 de diciembre de 2007, expediente 16.503.</w:t>
            </w:r>
          </w:p>
          <w:p w14:paraId="32DAC685" w14:textId="77777777" w:rsidR="003225AD" w:rsidRPr="00166173" w:rsidRDefault="003225AD" w:rsidP="003225AD">
            <w:pPr>
              <w:widowControl w:val="0"/>
              <w:numPr>
                <w:ilvl w:val="0"/>
                <w:numId w:val="3"/>
              </w:numPr>
              <w:autoSpaceDE w:val="0"/>
              <w:autoSpaceDN w:val="0"/>
              <w:spacing w:line="276" w:lineRule="auto"/>
              <w:ind w:left="318" w:hanging="284"/>
              <w:contextualSpacing/>
              <w:jc w:val="both"/>
              <w:rPr>
                <w:rFonts w:ascii="Verdana" w:eastAsia="Calibri" w:hAnsi="Verdana" w:cs="Arial"/>
                <w:lang w:val="es-ES"/>
              </w:rPr>
            </w:pPr>
            <w:r w:rsidRPr="00166173">
              <w:rPr>
                <w:rFonts w:ascii="Verdana" w:eastAsia="Calibri" w:hAnsi="Verdana" w:cs="Arial"/>
                <w:lang w:val="es-ES"/>
              </w:rPr>
              <w:t>Consejo de Estado, Sala de lo Contencioso Administrativo, Sección Tercera, Subsección C, sentencia de 1º de abril de 2016, expediente 51.138.</w:t>
            </w:r>
          </w:p>
          <w:p w14:paraId="0DFEA753" w14:textId="77777777" w:rsidR="003225AD" w:rsidRPr="00166173" w:rsidRDefault="003225AD" w:rsidP="003225AD">
            <w:pPr>
              <w:widowControl w:val="0"/>
              <w:numPr>
                <w:ilvl w:val="0"/>
                <w:numId w:val="3"/>
              </w:numPr>
              <w:autoSpaceDE w:val="0"/>
              <w:autoSpaceDN w:val="0"/>
              <w:spacing w:line="276" w:lineRule="auto"/>
              <w:ind w:left="318" w:hanging="284"/>
              <w:contextualSpacing/>
              <w:jc w:val="both"/>
              <w:rPr>
                <w:rFonts w:ascii="Verdana" w:eastAsia="Calibri" w:hAnsi="Verdana" w:cs="Arial"/>
                <w:lang w:val="es-ES"/>
              </w:rPr>
            </w:pPr>
            <w:r w:rsidRPr="00166173">
              <w:rPr>
                <w:rFonts w:ascii="Verdana" w:eastAsia="Calibri" w:hAnsi="Verdana" w:cs="Arial"/>
                <w:lang w:val="es-ES"/>
              </w:rPr>
              <w:t xml:space="preserve">Consejo de Estado, Sala de lo Contencioso Administrativo, Sección Tercera, Subsección C, sentencia de 1º de abril de 2016, expediente </w:t>
            </w:r>
            <w:r w:rsidRPr="00166173">
              <w:rPr>
                <w:rFonts w:ascii="Verdana" w:eastAsia="Calibri" w:hAnsi="Verdana" w:cs="Arial"/>
                <w:lang w:val="es-ES"/>
              </w:rPr>
              <w:lastRenderedPageBreak/>
              <w:t>51.138.</w:t>
            </w:r>
          </w:p>
          <w:p w14:paraId="7D65C7CE" w14:textId="77777777" w:rsidR="003225AD" w:rsidRPr="00166173" w:rsidRDefault="003225AD" w:rsidP="003225AD">
            <w:pPr>
              <w:widowControl w:val="0"/>
              <w:numPr>
                <w:ilvl w:val="0"/>
                <w:numId w:val="3"/>
              </w:numPr>
              <w:autoSpaceDE w:val="0"/>
              <w:autoSpaceDN w:val="0"/>
              <w:spacing w:line="276" w:lineRule="auto"/>
              <w:ind w:left="318" w:hanging="284"/>
              <w:contextualSpacing/>
              <w:jc w:val="both"/>
              <w:rPr>
                <w:rFonts w:ascii="Verdana" w:eastAsia="Calibri" w:hAnsi="Verdana" w:cs="Arial"/>
                <w:lang w:val="es-ES"/>
              </w:rPr>
            </w:pPr>
            <w:r w:rsidRPr="00166173">
              <w:rPr>
                <w:rFonts w:ascii="Verdana" w:eastAsia="Calibri" w:hAnsi="Verdana" w:cs="Arial"/>
                <w:lang w:val="es-ES"/>
              </w:rPr>
              <w:t>Consejo de Estado, Sala de lo Contencioso Administrativo, Sección Tercera, sentencia del 21 de mayo de 2008, Expediente: 15963.</w:t>
            </w:r>
          </w:p>
          <w:p w14:paraId="44AF33EE" w14:textId="77777777" w:rsidR="003225AD" w:rsidRPr="00166173" w:rsidRDefault="003225AD" w:rsidP="003225AD">
            <w:pPr>
              <w:widowControl w:val="0"/>
              <w:numPr>
                <w:ilvl w:val="0"/>
                <w:numId w:val="3"/>
              </w:numPr>
              <w:autoSpaceDE w:val="0"/>
              <w:autoSpaceDN w:val="0"/>
              <w:spacing w:line="276" w:lineRule="auto"/>
              <w:ind w:left="318" w:hanging="284"/>
              <w:contextualSpacing/>
              <w:jc w:val="both"/>
              <w:rPr>
                <w:rFonts w:ascii="Verdana" w:eastAsia="Calibri" w:hAnsi="Verdana" w:cs="Arial"/>
                <w:lang w:val="es-ES"/>
              </w:rPr>
            </w:pPr>
            <w:r w:rsidRPr="00166173">
              <w:rPr>
                <w:rFonts w:ascii="Verdana" w:eastAsia="Calibri" w:hAnsi="Verdana" w:cs="Arial"/>
                <w:lang w:val="es-ES"/>
              </w:rPr>
              <w:t xml:space="preserve">Tribunal de Arbitraje de </w:t>
            </w:r>
            <w:proofErr w:type="spellStart"/>
            <w:r w:rsidRPr="00166173">
              <w:rPr>
                <w:rFonts w:ascii="Verdana" w:eastAsia="Calibri" w:hAnsi="Verdana" w:cs="Arial"/>
                <w:lang w:val="es-ES"/>
              </w:rPr>
              <w:t>Transmasivo</w:t>
            </w:r>
            <w:proofErr w:type="spellEnd"/>
            <w:r w:rsidRPr="00166173">
              <w:rPr>
                <w:rFonts w:ascii="Verdana" w:eastAsia="Calibri" w:hAnsi="Verdana" w:cs="Arial"/>
                <w:lang w:val="es-ES"/>
              </w:rPr>
              <w:t xml:space="preserve"> S.A. – Sistemas Operativos Móviles S.A. – Somos K S.A.  contra Empresa de Transporte del Tercer Milenio Transmilenio S.A. Laudo Arbitral de 21 de diciembre de 2016.</w:t>
            </w:r>
          </w:p>
          <w:p w14:paraId="10680250" w14:textId="77777777" w:rsidR="003225AD" w:rsidRPr="00166173" w:rsidRDefault="003225AD" w:rsidP="003225AD">
            <w:pPr>
              <w:widowControl w:val="0"/>
              <w:numPr>
                <w:ilvl w:val="0"/>
                <w:numId w:val="3"/>
              </w:numPr>
              <w:autoSpaceDE w:val="0"/>
              <w:autoSpaceDN w:val="0"/>
              <w:spacing w:line="276" w:lineRule="auto"/>
              <w:ind w:left="318" w:hanging="284"/>
              <w:contextualSpacing/>
              <w:jc w:val="both"/>
              <w:rPr>
                <w:rFonts w:ascii="Verdana" w:eastAsia="Calibri" w:hAnsi="Verdana" w:cs="Arial"/>
                <w:lang w:val="es-ES"/>
              </w:rPr>
            </w:pPr>
            <w:r w:rsidRPr="00166173">
              <w:rPr>
                <w:rFonts w:ascii="Verdana" w:eastAsia="Calibri" w:hAnsi="Verdana" w:cs="Arial"/>
                <w:lang w:val="es-ES"/>
              </w:rPr>
              <w:t xml:space="preserve">Consejo de Estado. Sección Tercera. Sentencia del 17 de octubre de 2023. Radicado No. 69492. CP: Marta Nubia Velásquez Rico. </w:t>
            </w:r>
          </w:p>
          <w:p w14:paraId="012D6A2B" w14:textId="77777777" w:rsidR="003225AD" w:rsidRPr="00166173" w:rsidRDefault="003225AD" w:rsidP="003225AD">
            <w:pPr>
              <w:widowControl w:val="0"/>
              <w:numPr>
                <w:ilvl w:val="0"/>
                <w:numId w:val="3"/>
              </w:numPr>
              <w:autoSpaceDE w:val="0"/>
              <w:autoSpaceDN w:val="0"/>
              <w:spacing w:line="276" w:lineRule="auto"/>
              <w:ind w:left="318" w:hanging="284"/>
              <w:contextualSpacing/>
              <w:jc w:val="both"/>
              <w:rPr>
                <w:rFonts w:ascii="Verdana" w:eastAsia="Calibri" w:hAnsi="Verdana" w:cs="Arial"/>
                <w:lang w:val="es-ES"/>
              </w:rPr>
            </w:pPr>
            <w:r w:rsidRPr="00166173">
              <w:rPr>
                <w:rFonts w:ascii="Verdana" w:eastAsia="Calibri" w:hAnsi="Verdana" w:cs="Arial"/>
                <w:lang w:val="es-ES"/>
              </w:rPr>
              <w:t xml:space="preserve">Consejo de Estado. Concepto del 7 de febrero de 1975, reiterado en el concepto de </w:t>
            </w:r>
            <w:proofErr w:type="gramStart"/>
            <w:r w:rsidRPr="00166173">
              <w:rPr>
                <w:rFonts w:ascii="Verdana" w:eastAsia="Calibri" w:hAnsi="Verdana" w:cs="Arial"/>
                <w:lang w:val="es-ES"/>
              </w:rPr>
              <w:t>Septiembre</w:t>
            </w:r>
            <w:proofErr w:type="gramEnd"/>
            <w:r w:rsidRPr="00166173">
              <w:rPr>
                <w:rFonts w:ascii="Verdana" w:eastAsia="Calibri" w:hAnsi="Verdana" w:cs="Arial"/>
                <w:lang w:val="es-ES"/>
              </w:rPr>
              <w:t xml:space="preserve"> 7 de 2000, Radicación No. 1294, C.P: Dr. Flavio Augusto Rodríguez Arce.</w:t>
            </w:r>
          </w:p>
        </w:tc>
      </w:tr>
    </w:tbl>
    <w:p w14:paraId="51BB03C6" w14:textId="77777777" w:rsidR="003225AD" w:rsidRPr="00166173" w:rsidRDefault="003225AD" w:rsidP="003225AD">
      <w:pPr>
        <w:widowControl w:val="0"/>
        <w:autoSpaceDE w:val="0"/>
        <w:autoSpaceDN w:val="0"/>
        <w:spacing w:after="0" w:line="276" w:lineRule="auto"/>
        <w:jc w:val="both"/>
        <w:rPr>
          <w:rFonts w:ascii="Verdana" w:hAnsi="Verdana" w:cs="Arial"/>
        </w:rPr>
      </w:pPr>
    </w:p>
    <w:p w14:paraId="0E8C9AC0" w14:textId="77777777" w:rsidR="003225AD" w:rsidRPr="00166173" w:rsidRDefault="003225AD" w:rsidP="003225AD">
      <w:pPr>
        <w:numPr>
          <w:ilvl w:val="0"/>
          <w:numId w:val="1"/>
        </w:numPr>
        <w:tabs>
          <w:tab w:val="left" w:pos="142"/>
          <w:tab w:val="left" w:pos="284"/>
        </w:tabs>
        <w:spacing w:after="0" w:line="276" w:lineRule="auto"/>
        <w:jc w:val="both"/>
        <w:rPr>
          <w:rFonts w:ascii="Verdana" w:eastAsia="Century Gothic" w:hAnsi="Verdana" w:cs="Century Gothic"/>
          <w:b/>
          <w:bCs/>
        </w:rPr>
      </w:pPr>
      <w:r w:rsidRPr="00166173">
        <w:rPr>
          <w:rFonts w:ascii="Verdana" w:eastAsia="Century Gothic" w:hAnsi="Verdana" w:cs="Century Gothic"/>
          <w:b/>
          <w:bCs/>
        </w:rPr>
        <w:t>Doctrina de la Agencia Nacional de Contratación Pública:</w:t>
      </w:r>
    </w:p>
    <w:p w14:paraId="431966BB" w14:textId="77777777" w:rsidR="003225AD" w:rsidRPr="00166173" w:rsidRDefault="003225AD" w:rsidP="003225AD">
      <w:pPr>
        <w:widowControl w:val="0"/>
        <w:autoSpaceDE w:val="0"/>
        <w:autoSpaceDN w:val="0"/>
        <w:spacing w:after="0" w:line="276" w:lineRule="auto"/>
        <w:jc w:val="both"/>
        <w:rPr>
          <w:rFonts w:ascii="Verdana" w:hAnsi="Verdana" w:cs="Arial"/>
        </w:rPr>
      </w:pPr>
    </w:p>
    <w:p w14:paraId="4086E981" w14:textId="77777777" w:rsidR="003225AD" w:rsidRPr="00166173" w:rsidRDefault="003225AD" w:rsidP="003225AD">
      <w:pPr>
        <w:widowControl w:val="0"/>
        <w:autoSpaceDE w:val="0"/>
        <w:autoSpaceDN w:val="0"/>
        <w:spacing w:after="120" w:line="276" w:lineRule="auto"/>
        <w:jc w:val="both"/>
        <w:rPr>
          <w:rFonts w:ascii="Verdana" w:eastAsia="Calibri" w:hAnsi="Verdana" w:cs="Arial"/>
          <w:color w:val="000000" w:themeColor="text1"/>
          <w:lang w:val="es-ES_tradnl" w:eastAsia="es-ES_tradnl"/>
        </w:rPr>
      </w:pPr>
      <w:r w:rsidRPr="00166173">
        <w:rPr>
          <w:rFonts w:ascii="Verdana" w:eastAsia="Aptos" w:hAnsi="Verdana" w:cs="Arial"/>
          <w:shd w:val="clear" w:color="auto" w:fill="FFFFFF"/>
          <w:lang w:val="es-ES"/>
        </w:rPr>
        <w:t xml:space="preserve">Sobre el alcance de la ineficacia de pleno derecho </w:t>
      </w:r>
      <w:r w:rsidRPr="00166173">
        <w:rPr>
          <w:rFonts w:ascii="Verdana" w:eastAsia="Aptos" w:hAnsi="Verdana" w:cs="Arial"/>
          <w:shd w:val="clear" w:color="auto" w:fill="FFFFFF"/>
        </w:rPr>
        <w:t xml:space="preserve">esta entidad se pronunció en el concepto C-788 del 22 de noviembre de 2022. </w:t>
      </w:r>
      <w:r w:rsidRPr="00166173">
        <w:rPr>
          <w:rFonts w:ascii="Verdana" w:hAnsi="Verdana" w:cs="Arial"/>
          <w:shd w:val="clear" w:color="auto" w:fill="FFFFFF"/>
        </w:rPr>
        <w:t>Es</w:t>
      </w:r>
      <w:r w:rsidRPr="00166173">
        <w:rPr>
          <w:rFonts w:ascii="Verdana" w:hAnsi="Verdana"/>
        </w:rPr>
        <w:t>te y otros conceptos se encuentran disponibles para consulta en el Sistema de relatoría de la Agencia, al cual se puede acceder a través del siguiente enlace:</w:t>
      </w:r>
      <w:r w:rsidRPr="00166173">
        <w:rPr>
          <w:rFonts w:ascii="Verdana" w:hAnsi="Verdana" w:cs="Arial"/>
          <w:shd w:val="clear" w:color="auto" w:fill="FFFFFF"/>
        </w:rPr>
        <w:t xml:space="preserve"> </w:t>
      </w:r>
      <w:hyperlink r:id="rId13" w:history="1">
        <w:r w:rsidRPr="00166173">
          <w:rPr>
            <w:rFonts w:ascii="Verdana" w:hAnsi="Verdana" w:cs="Arial"/>
            <w:color w:val="0563C1" w:themeColor="hyperlink"/>
            <w:u w:val="single"/>
            <w:shd w:val="clear" w:color="auto" w:fill="FFFFFF"/>
          </w:rPr>
          <w:t>https://relatoria.colombiacompra.gov.co/busqueda/conceptos</w:t>
        </w:r>
      </w:hyperlink>
      <w:r w:rsidRPr="00166173">
        <w:rPr>
          <w:rFonts w:ascii="Verdana" w:hAnsi="Verdana" w:cs="Arial"/>
          <w:shd w:val="clear" w:color="auto" w:fill="FFFFFF"/>
        </w:rPr>
        <w:t>.</w:t>
      </w:r>
      <w:r w:rsidRPr="00166173">
        <w:rPr>
          <w:rFonts w:ascii="Verdana" w:hAnsi="Verdana" w:cs="Arial"/>
          <w:color w:val="FF0000"/>
          <w:shd w:val="clear" w:color="auto" w:fill="FFFFFF"/>
        </w:rPr>
        <w:t xml:space="preserve"> </w:t>
      </w:r>
      <w:r w:rsidRPr="00166173">
        <w:rPr>
          <w:rFonts w:ascii="Verdana" w:hAnsi="Verdana" w:cs="Arial"/>
          <w:color w:val="000000" w:themeColor="text1"/>
          <w:shd w:val="clear" w:color="auto" w:fill="FFFFFF"/>
        </w:rPr>
        <w:t>  </w:t>
      </w:r>
    </w:p>
    <w:p w14:paraId="12B8BDFA" w14:textId="77777777" w:rsidR="003225AD" w:rsidRPr="00166173" w:rsidRDefault="003225AD" w:rsidP="003225AD">
      <w:pPr>
        <w:shd w:val="clear" w:color="auto" w:fill="FFFFFF"/>
        <w:spacing w:after="120" w:line="276" w:lineRule="auto"/>
        <w:ind w:firstLine="709"/>
        <w:jc w:val="both"/>
        <w:textAlignment w:val="baseline"/>
        <w:rPr>
          <w:rFonts w:ascii="Verdana" w:eastAsia="Times New Roman" w:hAnsi="Verdana" w:cs="Times New Roman"/>
          <w:lang w:eastAsia="es-CO"/>
        </w:rPr>
      </w:pPr>
      <w:r w:rsidRPr="00166173">
        <w:rPr>
          <w:rFonts w:ascii="Verdana" w:eastAsia="Times New Roman" w:hAnsi="Verdana" w:cs="Times New Roman"/>
          <w:color w:val="000000"/>
          <w:bdr w:val="none" w:sz="0" w:space="0" w:color="auto" w:frame="1"/>
          <w:lang w:eastAsia="es-CO"/>
        </w:rPr>
        <w:t>Te informamos que ya se encuentra disponible la </w:t>
      </w:r>
      <w:r w:rsidRPr="00166173">
        <w:rPr>
          <w:rFonts w:ascii="Verdana" w:eastAsia="Times New Roman" w:hAnsi="Verdana" w:cs="Times New Roman"/>
          <w:b/>
          <w:bCs/>
          <w:color w:val="000000"/>
          <w:bdr w:val="none" w:sz="0" w:space="0" w:color="auto" w:frame="1"/>
          <w:lang w:eastAsia="es-CO"/>
        </w:rPr>
        <w:t>Cartilla para incentivar y fortalecer el acceso a las compras y contratación pública de los pueblos y comunidades étnicas en Colombia.</w:t>
      </w:r>
      <w:r w:rsidRPr="00166173">
        <w:rPr>
          <w:rFonts w:ascii="Verdana" w:eastAsia="Times New Roman" w:hAnsi="Verdana" w:cs="Times New Roman"/>
          <w:color w:val="000000"/>
          <w:bdr w:val="none" w:sz="0" w:space="0" w:color="auto" w:frame="1"/>
          <w:lang w:eastAsia="es-CO"/>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4" w:tgtFrame="_blank" w:tooltip="Dirección URL original: https://www.colombiacompra.gov.co/manuales-guias-y-pliegos-tipo/manuales-y-guias/cartilla-para-incentivar-y-fortalecer-el-acceso-las. Haga clic o pulse si confía en este vínculo." w:history="1">
        <w:r w:rsidRPr="00166173">
          <w:rPr>
            <w:rFonts w:ascii="Verdana" w:eastAsia="Times New Roman" w:hAnsi="Verdana" w:cs="Times New Roman"/>
            <w:color w:val="467886"/>
            <w:u w:val="single"/>
            <w:bdr w:val="none" w:sz="0" w:space="0" w:color="auto" w:frame="1"/>
            <w:lang w:eastAsia="es-CO"/>
          </w:rPr>
          <w:t>Cartilla para incentivar y fortalecer el acceso a las compras y contratación pública de los pueblos y comunidades étnicas en Colombia | Colombia Compra Eficiente | Agencia Nacional de Contratación Pública</w:t>
        </w:r>
      </w:hyperlink>
    </w:p>
    <w:p w14:paraId="545CD791" w14:textId="77777777" w:rsidR="003225AD" w:rsidRPr="00166173" w:rsidRDefault="003225AD" w:rsidP="003225AD">
      <w:pPr>
        <w:spacing w:after="120" w:line="276" w:lineRule="auto"/>
        <w:ind w:firstLine="709"/>
        <w:jc w:val="both"/>
        <w:textAlignment w:val="baseline"/>
        <w:rPr>
          <w:rFonts w:ascii="Verdana" w:eastAsia="Times New Roman" w:hAnsi="Verdana" w:cs="Times New Roman"/>
          <w:lang w:eastAsia="es-CO"/>
        </w:rPr>
      </w:pPr>
      <w:r w:rsidRPr="00166173">
        <w:rPr>
          <w:rFonts w:ascii="Verdana" w:eastAsia="Times New Roman" w:hAnsi="Verdana" w:cs="Times New Roman"/>
          <w:color w:val="000000"/>
          <w:bdr w:val="none" w:sz="0" w:space="0" w:color="auto" w:frame="1"/>
          <w:lang w:eastAsia="es-CO"/>
        </w:rPr>
        <w:t>De otra parte, te informamos que, con el objetivo de garantizar un conocimiento adecuado de las </w:t>
      </w:r>
      <w:r w:rsidRPr="00166173">
        <w:rPr>
          <w:rFonts w:ascii="Verdana" w:eastAsia="Times New Roman" w:hAnsi="Verdana" w:cs="Times New Roman"/>
          <w:b/>
          <w:bCs/>
          <w:color w:val="000000"/>
          <w:bdr w:val="none" w:sz="0" w:space="0" w:color="auto" w:frame="1"/>
          <w:lang w:eastAsia="es-CO"/>
        </w:rPr>
        <w:t>modificaciones y/o actualizaciones realizadas a los Documentos Tipo</w:t>
      </w:r>
      <w:r w:rsidRPr="00166173">
        <w:rPr>
          <w:rFonts w:ascii="Verdana" w:eastAsia="Times New Roman" w:hAnsi="Verdana" w:cs="Times New Roman"/>
          <w:color w:val="000000"/>
          <w:bdr w:val="none" w:sz="0" w:space="0" w:color="auto" w:frame="1"/>
          <w:lang w:eastAsia="es-CO"/>
        </w:rPr>
        <w:t>, hemos programado una serie de </w:t>
      </w:r>
      <w:r w:rsidRPr="00166173">
        <w:rPr>
          <w:rFonts w:ascii="Verdana" w:eastAsia="Times New Roman" w:hAnsi="Verdana" w:cs="Times New Roman"/>
          <w:b/>
          <w:bCs/>
          <w:color w:val="000000"/>
          <w:bdr w:val="none" w:sz="0" w:space="0" w:color="auto" w:frame="1"/>
          <w:lang w:eastAsia="es-CO"/>
        </w:rPr>
        <w:t>capacitaciones </w:t>
      </w:r>
      <w:r w:rsidRPr="00166173">
        <w:rPr>
          <w:rFonts w:ascii="Verdana" w:eastAsia="Times New Roman" w:hAnsi="Verdana" w:cs="Times New Roman"/>
          <w:color w:val="000000"/>
          <w:bdr w:val="none" w:sz="0" w:space="0" w:color="auto" w:frame="1"/>
          <w:lang w:eastAsia="es-CO"/>
        </w:rPr>
        <w:t xml:space="preserve">dirigidas a todos los actores involucrados en los procesos de selección. Podrás conocer la programación y realizar tu inscripción a estas </w:t>
      </w:r>
      <w:r w:rsidRPr="00166173">
        <w:rPr>
          <w:rFonts w:ascii="Verdana" w:eastAsia="Times New Roman" w:hAnsi="Verdana" w:cs="Times New Roman"/>
          <w:color w:val="000000"/>
          <w:bdr w:val="none" w:sz="0" w:space="0" w:color="auto" w:frame="1"/>
          <w:lang w:eastAsia="es-CO"/>
        </w:rPr>
        <w:lastRenderedPageBreak/>
        <w:t>capacitaciones a través del siguiente enlace: </w:t>
      </w:r>
      <w:hyperlink r:id="rId15" w:tgtFrame="_blank" w:tooltip="Dirección URL original: https://www.colombiacompra.gov.co/ciudadanos/calendario. Haga clic o pulse si confía en este vínculo." w:history="1">
        <w:r w:rsidRPr="00166173">
          <w:rPr>
            <w:rFonts w:ascii="Verdana" w:eastAsia="Times New Roman" w:hAnsi="Verdana" w:cs="Times New Roman"/>
            <w:color w:val="467886"/>
            <w:u w:val="single"/>
            <w:bdr w:val="none" w:sz="0" w:space="0" w:color="auto" w:frame="1"/>
            <w:lang w:eastAsia="es-CO"/>
          </w:rPr>
          <w:t>Calendario | Colombia Compra Eficiente | Agencia Nacional de Contratación Pública</w:t>
        </w:r>
      </w:hyperlink>
    </w:p>
    <w:p w14:paraId="08C6B4EA" w14:textId="77777777" w:rsidR="003225AD" w:rsidRPr="00166173" w:rsidRDefault="003225AD" w:rsidP="003225AD">
      <w:pPr>
        <w:spacing w:after="0" w:line="276" w:lineRule="auto"/>
        <w:ind w:firstLine="709"/>
        <w:jc w:val="both"/>
        <w:textAlignment w:val="baseline"/>
        <w:rPr>
          <w:rFonts w:ascii="Verdana" w:eastAsia="Times New Roman" w:hAnsi="Verdana" w:cs="Times New Roman"/>
          <w:lang w:eastAsia="es-CO"/>
        </w:rPr>
      </w:pPr>
      <w:r w:rsidRPr="00166173">
        <w:rPr>
          <w:rFonts w:ascii="Verdana" w:eastAsia="Times New Roman" w:hAnsi="Verdana" w:cs="Times New Roman"/>
          <w:color w:val="000000"/>
          <w:bdr w:val="none" w:sz="0" w:space="0" w:color="auto" w:frame="1"/>
          <w:lang w:eastAsia="es-CO"/>
        </w:rPr>
        <w:t>También, te contamos que ya publicamos </w:t>
      </w:r>
      <w:r w:rsidRPr="00166173">
        <w:rPr>
          <w:rFonts w:ascii="Verdana" w:eastAsia="Times New Roman" w:hAnsi="Verdana" w:cs="Times New Roman"/>
          <w:b/>
          <w:bCs/>
          <w:color w:val="000000"/>
          <w:bdr w:val="none" w:sz="0" w:space="0" w:color="auto" w:frame="1"/>
          <w:lang w:eastAsia="es-CO"/>
        </w:rPr>
        <w:t>la nueva Guía de Contratación Pública Sostenible y Socialmente Responsable</w:t>
      </w:r>
      <w:r w:rsidRPr="00166173">
        <w:rPr>
          <w:rFonts w:ascii="Verdana" w:eastAsia="Times New Roman" w:hAnsi="Verdana" w:cs="Times New Roman"/>
          <w:color w:val="000000"/>
          <w:bdr w:val="none" w:sz="0" w:space="0" w:color="auto" w:frame="1"/>
          <w:lang w:eastAsia="es-CO"/>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6" w:tgtFrame="_blank" w:tooltip="Dirección URL original: https://www.colombiacompra.gov.co/manuales-guias-y-pliegos-tipo/manuales-y-guias/guia-de-contratacion-publica-sostenible-y-socialmente. Haga clic o pulse si confía en este vínculo." w:history="1">
        <w:r w:rsidRPr="00166173">
          <w:rPr>
            <w:rFonts w:ascii="Verdana" w:eastAsia="Times New Roman" w:hAnsi="Verdana" w:cs="Times New Roman"/>
            <w:color w:val="467886"/>
            <w:u w:val="single"/>
            <w:bdr w:val="none" w:sz="0" w:space="0" w:color="auto" w:frame="1"/>
            <w:lang w:eastAsia="es-CO"/>
          </w:rPr>
          <w:t>Guía de Contratación Pública Sostenible y Socialmente Responsable | Colombia Compra Eficiente | Agencia Nacional de Contratación Pública</w:t>
        </w:r>
      </w:hyperlink>
    </w:p>
    <w:p w14:paraId="4A172350" w14:textId="77777777" w:rsidR="003225AD" w:rsidRPr="00166173" w:rsidRDefault="003225AD" w:rsidP="003225AD">
      <w:pPr>
        <w:widowControl w:val="0"/>
        <w:autoSpaceDE w:val="0"/>
        <w:autoSpaceDN w:val="0"/>
        <w:spacing w:after="0" w:line="276" w:lineRule="auto"/>
        <w:jc w:val="both"/>
        <w:rPr>
          <w:rFonts w:ascii="Verdana" w:eastAsia="Calibri" w:hAnsi="Verdana" w:cs="Arial"/>
          <w:color w:val="000000" w:themeColor="text1"/>
        </w:rPr>
      </w:pPr>
    </w:p>
    <w:p w14:paraId="74B297A4" w14:textId="77777777" w:rsidR="003225AD" w:rsidRPr="00166173" w:rsidRDefault="003225AD" w:rsidP="003225AD">
      <w:pPr>
        <w:widowControl w:val="0"/>
        <w:autoSpaceDE w:val="0"/>
        <w:autoSpaceDN w:val="0"/>
        <w:spacing w:after="0" w:line="276" w:lineRule="auto"/>
        <w:jc w:val="both"/>
        <w:rPr>
          <w:rFonts w:ascii="Verdana" w:hAnsi="Verdana" w:cs="Arial"/>
        </w:rPr>
      </w:pPr>
      <w:r w:rsidRPr="00166173">
        <w:rPr>
          <w:rFonts w:ascii="Verdana"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027057C8" w14:textId="77777777" w:rsidR="003225AD" w:rsidRPr="00166173" w:rsidRDefault="003225AD" w:rsidP="003225AD">
      <w:pPr>
        <w:widowControl w:val="0"/>
        <w:autoSpaceDE w:val="0"/>
        <w:autoSpaceDN w:val="0"/>
        <w:spacing w:after="0" w:line="276" w:lineRule="auto"/>
        <w:jc w:val="both"/>
        <w:rPr>
          <w:rFonts w:ascii="Verdana" w:hAnsi="Verdana" w:cs="Arial"/>
        </w:rPr>
      </w:pPr>
    </w:p>
    <w:p w14:paraId="2AE44808" w14:textId="77777777" w:rsidR="003225AD" w:rsidRPr="00166173" w:rsidRDefault="003225AD" w:rsidP="003225AD">
      <w:pPr>
        <w:spacing w:after="0" w:line="240" w:lineRule="auto"/>
        <w:rPr>
          <w:rFonts w:ascii="Verdana" w:hAnsi="Verdana" w:cs="Arial"/>
          <w:lang w:eastAsia="es-CO"/>
        </w:rPr>
      </w:pPr>
      <w:r w:rsidRPr="00166173">
        <w:rPr>
          <w:rFonts w:ascii="Verdana" w:eastAsia="Times New Roman" w:hAnsi="Verdana" w:cs="Arial"/>
          <w:lang w:eastAsia="es-CO"/>
        </w:rPr>
        <w:t>Atentamente,</w:t>
      </w:r>
      <w:r w:rsidRPr="00166173">
        <w:rPr>
          <w:rFonts w:ascii="Verdana" w:hAnsi="Verdana" w:cs="Arial"/>
          <w:lang w:eastAsia="es-CO"/>
        </w:rPr>
        <w:t xml:space="preserve"> </w:t>
      </w:r>
    </w:p>
    <w:p w14:paraId="12AC337A" w14:textId="0F528514" w:rsidR="003225AD" w:rsidRPr="00166173" w:rsidRDefault="00C367BE" w:rsidP="003225AD">
      <w:pPr>
        <w:spacing w:line="276" w:lineRule="auto"/>
        <w:jc w:val="center"/>
        <w:rPr>
          <w:rFonts w:ascii="Verdana" w:hAnsi="Verdana" w:cs="Arial"/>
          <w:color w:val="000000"/>
          <w:lang w:eastAsia="es-CO"/>
        </w:rPr>
      </w:pPr>
      <w:r>
        <w:rPr>
          <w:noProof/>
        </w:rPr>
        <w:drawing>
          <wp:inline distT="0" distB="0" distL="0" distR="0" wp14:anchorId="6BC816FF" wp14:editId="76272075">
            <wp:extent cx="3360420" cy="1135380"/>
            <wp:effectExtent l="0" t="0" r="0" b="762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7"/>
                    <a:stretch>
                      <a:fillRect/>
                    </a:stretch>
                  </pic:blipFill>
                  <pic:spPr>
                    <a:xfrm>
                      <a:off x="0" y="0"/>
                      <a:ext cx="3360420" cy="113538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3225AD" w:rsidRPr="00166173" w14:paraId="0B5CF87B" w14:textId="77777777" w:rsidTr="006D74B2">
        <w:trPr>
          <w:trHeight w:val="315"/>
        </w:trPr>
        <w:tc>
          <w:tcPr>
            <w:tcW w:w="893" w:type="dxa"/>
            <w:vAlign w:val="center"/>
            <w:hideMark/>
          </w:tcPr>
          <w:p w14:paraId="733F8E42" w14:textId="77777777" w:rsidR="003225AD" w:rsidRPr="00166173" w:rsidRDefault="003225AD" w:rsidP="006D74B2">
            <w:pPr>
              <w:contextualSpacing/>
              <w:rPr>
                <w:rFonts w:ascii="Verdana" w:hAnsi="Verdana" w:cs="Arial"/>
                <w:sz w:val="16"/>
                <w:szCs w:val="16"/>
                <w:lang w:eastAsia="es-ES"/>
              </w:rPr>
            </w:pPr>
            <w:r w:rsidRPr="00166173">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684169FE" w14:textId="77777777" w:rsidR="003225AD" w:rsidRPr="00166173" w:rsidRDefault="003225AD" w:rsidP="006D74B2">
            <w:pPr>
              <w:contextualSpacing/>
              <w:rPr>
                <w:rFonts w:ascii="Verdana" w:hAnsi="Verdana"/>
                <w:sz w:val="16"/>
                <w:szCs w:val="16"/>
              </w:rPr>
            </w:pPr>
            <w:r w:rsidRPr="00166173">
              <w:rPr>
                <w:rFonts w:ascii="Verdana" w:hAnsi="Verdana"/>
                <w:sz w:val="16"/>
                <w:szCs w:val="16"/>
              </w:rPr>
              <w:t>Tatiana Baquero Iguarán</w:t>
            </w:r>
          </w:p>
          <w:p w14:paraId="308C2465" w14:textId="77777777" w:rsidR="003225AD" w:rsidRPr="00166173" w:rsidRDefault="003225AD" w:rsidP="006D74B2">
            <w:pPr>
              <w:contextualSpacing/>
              <w:rPr>
                <w:rFonts w:ascii="Verdana" w:eastAsia="Arial" w:hAnsi="Verdana" w:cs="Arial"/>
                <w:sz w:val="16"/>
                <w:szCs w:val="16"/>
              </w:rPr>
            </w:pPr>
            <w:r w:rsidRPr="00166173">
              <w:rPr>
                <w:rFonts w:ascii="Verdana" w:hAnsi="Verdana"/>
                <w:sz w:val="16"/>
                <w:szCs w:val="16"/>
              </w:rPr>
              <w:t>Contratista de la Subdirección de Gestión Contractual</w:t>
            </w:r>
          </w:p>
        </w:tc>
      </w:tr>
      <w:tr w:rsidR="003225AD" w:rsidRPr="00166173" w14:paraId="1E477849" w14:textId="77777777" w:rsidTr="006D74B2">
        <w:trPr>
          <w:trHeight w:val="330"/>
        </w:trPr>
        <w:tc>
          <w:tcPr>
            <w:tcW w:w="893" w:type="dxa"/>
            <w:vAlign w:val="center"/>
            <w:hideMark/>
          </w:tcPr>
          <w:p w14:paraId="08B54C98" w14:textId="77777777" w:rsidR="003225AD" w:rsidRPr="00166173" w:rsidRDefault="003225AD" w:rsidP="006D74B2">
            <w:pPr>
              <w:contextualSpacing/>
              <w:rPr>
                <w:rFonts w:ascii="Verdana" w:hAnsi="Verdana" w:cs="Arial"/>
                <w:sz w:val="16"/>
                <w:szCs w:val="16"/>
                <w:lang w:eastAsia="es-ES"/>
              </w:rPr>
            </w:pPr>
            <w:r w:rsidRPr="00166173">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E4828C1" w14:textId="77777777" w:rsidR="003225AD" w:rsidRPr="00166173" w:rsidRDefault="003225AD" w:rsidP="006D74B2">
            <w:pPr>
              <w:spacing w:before="100" w:beforeAutospacing="1" w:after="100" w:afterAutospacing="1"/>
              <w:contextualSpacing/>
              <w:textAlignment w:val="baseline"/>
              <w:rPr>
                <w:rFonts w:ascii="Verdana" w:eastAsia="Times New Roman" w:hAnsi="Verdana" w:cs="Arial"/>
                <w:sz w:val="16"/>
                <w:szCs w:val="16"/>
                <w:lang w:eastAsia="es-ES_tradnl"/>
              </w:rPr>
            </w:pPr>
            <w:r w:rsidRPr="00166173">
              <w:rPr>
                <w:rFonts w:ascii="Verdana" w:eastAsia="Times New Roman" w:hAnsi="Verdana" w:cs="Arial"/>
                <w:sz w:val="16"/>
                <w:szCs w:val="16"/>
                <w:lang w:eastAsia="es-ES_tradnl"/>
              </w:rPr>
              <w:t>Diana Lucía Saavedra Castañeda</w:t>
            </w:r>
          </w:p>
          <w:p w14:paraId="21503D2C" w14:textId="77777777" w:rsidR="003225AD" w:rsidRPr="00166173" w:rsidRDefault="003225AD" w:rsidP="006D74B2">
            <w:pPr>
              <w:contextualSpacing/>
              <w:textAlignment w:val="baseline"/>
              <w:rPr>
                <w:rFonts w:ascii="Verdana" w:eastAsia="Times New Roman" w:hAnsi="Verdana" w:cs="Segoe UI"/>
                <w:sz w:val="16"/>
                <w:szCs w:val="16"/>
                <w:lang w:eastAsia="es-ES_tradnl"/>
              </w:rPr>
            </w:pPr>
            <w:r w:rsidRPr="00166173">
              <w:rPr>
                <w:rFonts w:ascii="Verdana" w:hAnsi="Verdana"/>
                <w:sz w:val="16"/>
                <w:szCs w:val="16"/>
              </w:rPr>
              <w:t>Contratista de la Subdirección de Gestión Contractual</w:t>
            </w:r>
          </w:p>
        </w:tc>
      </w:tr>
      <w:tr w:rsidR="003225AD" w:rsidRPr="00166173" w14:paraId="4450C4DA" w14:textId="77777777" w:rsidTr="006D74B2">
        <w:trPr>
          <w:trHeight w:val="300"/>
        </w:trPr>
        <w:tc>
          <w:tcPr>
            <w:tcW w:w="893" w:type="dxa"/>
            <w:vAlign w:val="center"/>
          </w:tcPr>
          <w:p w14:paraId="36DE3DF2" w14:textId="77777777" w:rsidR="003225AD" w:rsidRPr="00166173" w:rsidRDefault="003225AD" w:rsidP="006D74B2">
            <w:pPr>
              <w:contextualSpacing/>
              <w:rPr>
                <w:rFonts w:ascii="Verdana" w:hAnsi="Verdana" w:cs="Arial"/>
                <w:sz w:val="16"/>
                <w:szCs w:val="16"/>
                <w:lang w:eastAsia="es-ES"/>
              </w:rPr>
            </w:pPr>
            <w:r w:rsidRPr="00166173">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6FB33F3" w14:textId="77777777" w:rsidR="003225AD" w:rsidRPr="00166173" w:rsidRDefault="003225AD" w:rsidP="006D74B2">
            <w:pPr>
              <w:contextualSpacing/>
              <w:rPr>
                <w:rFonts w:ascii="Verdana" w:eastAsia="Calibri" w:hAnsi="Verdana" w:cs="Arial"/>
                <w:sz w:val="16"/>
                <w:szCs w:val="16"/>
                <w:lang w:eastAsia="es-ES"/>
              </w:rPr>
            </w:pPr>
            <w:r w:rsidRPr="00166173">
              <w:rPr>
                <w:rFonts w:ascii="Verdana" w:eastAsia="Calibri" w:hAnsi="Verdana" w:cs="Arial"/>
                <w:sz w:val="16"/>
                <w:szCs w:val="16"/>
                <w:lang w:eastAsia="es-ES"/>
              </w:rPr>
              <w:t xml:space="preserve">Carolina Quintero </w:t>
            </w:r>
            <w:proofErr w:type="spellStart"/>
            <w:r w:rsidRPr="00166173">
              <w:rPr>
                <w:rFonts w:ascii="Verdana" w:eastAsia="Calibri" w:hAnsi="Verdana" w:cs="Arial"/>
                <w:sz w:val="16"/>
                <w:szCs w:val="16"/>
                <w:lang w:eastAsia="es-ES"/>
              </w:rPr>
              <w:t>Gacharná</w:t>
            </w:r>
            <w:proofErr w:type="spellEnd"/>
          </w:p>
          <w:p w14:paraId="6E04AC3E" w14:textId="77777777" w:rsidR="003225AD" w:rsidRPr="00166173" w:rsidRDefault="003225AD" w:rsidP="006D74B2">
            <w:pPr>
              <w:contextualSpacing/>
              <w:rPr>
                <w:rFonts w:ascii="Verdana" w:eastAsia="Calibri" w:hAnsi="Verdana" w:cs="Arial"/>
                <w:sz w:val="16"/>
                <w:szCs w:val="16"/>
                <w:lang w:eastAsia="es-ES"/>
              </w:rPr>
            </w:pPr>
            <w:r w:rsidRPr="00166173">
              <w:rPr>
                <w:rFonts w:ascii="Verdana" w:eastAsia="Calibri" w:hAnsi="Verdana" w:cs="Arial"/>
                <w:sz w:val="16"/>
                <w:szCs w:val="16"/>
                <w:lang w:eastAsia="es-ES"/>
              </w:rPr>
              <w:t>Subdirectora de Gestión Contractual ANCP – CCE</w:t>
            </w:r>
          </w:p>
        </w:tc>
      </w:tr>
      <w:bookmarkEnd w:id="0"/>
    </w:tbl>
    <w:p w14:paraId="699CC29F" w14:textId="77777777" w:rsidR="003225AD" w:rsidRPr="00166173" w:rsidRDefault="003225AD" w:rsidP="003225AD"/>
    <w:p w14:paraId="3DE34F63" w14:textId="77777777" w:rsidR="003225AD" w:rsidRPr="00166173" w:rsidRDefault="003225AD" w:rsidP="003225AD"/>
    <w:p w14:paraId="7A3FD2DA" w14:textId="77777777" w:rsidR="00027CA9" w:rsidRPr="003225AD" w:rsidRDefault="00027CA9" w:rsidP="003225AD"/>
    <w:sectPr w:rsidR="00027CA9" w:rsidRPr="003225AD" w:rsidSect="00C44B4C">
      <w:headerReference w:type="default" r:id="rId18"/>
      <w:footerReference w:type="default" r:id="rId19"/>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C5AD5B" w14:textId="77777777" w:rsidR="00CC78B7" w:rsidRPr="009B7987" w:rsidRDefault="00CC78B7" w:rsidP="00B30448">
      <w:pPr>
        <w:spacing w:after="0" w:line="240" w:lineRule="auto"/>
      </w:pPr>
      <w:r w:rsidRPr="009B7987">
        <w:separator/>
      </w:r>
    </w:p>
  </w:endnote>
  <w:endnote w:type="continuationSeparator" w:id="0">
    <w:p w14:paraId="632F272D" w14:textId="77777777" w:rsidR="00CC78B7" w:rsidRPr="009B7987" w:rsidRDefault="00CC78B7" w:rsidP="00B30448">
      <w:pPr>
        <w:spacing w:after="0" w:line="240" w:lineRule="auto"/>
      </w:pPr>
      <w:r w:rsidRPr="009B7987">
        <w:continuationSeparator/>
      </w:r>
    </w:p>
  </w:endnote>
  <w:endnote w:type="continuationNotice" w:id="1">
    <w:p w14:paraId="279D800B" w14:textId="77777777" w:rsidR="00CC78B7" w:rsidRPr="009B7987" w:rsidRDefault="00CC78B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9C0E4" w14:textId="77777777" w:rsidR="00A81E50" w:rsidRPr="009B7987" w:rsidRDefault="00A81E50" w:rsidP="00A81E50">
    <w:pPr>
      <w:pBdr>
        <w:top w:val="single" w:sz="4" w:space="1" w:color="auto"/>
      </w:pBdr>
      <w:spacing w:after="0"/>
      <w:rPr>
        <w:rFonts w:ascii="Verdana" w:hAnsi="Verdana"/>
        <w:b/>
        <w:bCs/>
        <w:sz w:val="20"/>
        <w:szCs w:val="20"/>
      </w:rPr>
    </w:pPr>
    <w:r w:rsidRPr="009B7987">
      <w:rPr>
        <w:rFonts w:ascii="Verdana" w:hAnsi="Verdana"/>
        <w:b/>
        <w:bCs/>
        <w:sz w:val="20"/>
        <w:szCs w:val="20"/>
      </w:rPr>
      <w:t xml:space="preserve">Agencia Nacional de Contratación Pública                                              </w:t>
    </w:r>
    <w:r w:rsidRPr="009B7987">
      <w:rPr>
        <w:rFonts w:ascii="Verdana" w:eastAsiaTheme="majorEastAsia" w:hAnsi="Verdana" w:cstheme="majorBidi"/>
        <w:b/>
        <w:bCs/>
        <w:sz w:val="16"/>
        <w:szCs w:val="16"/>
      </w:rPr>
      <w:t xml:space="preserve">pág. </w:t>
    </w:r>
    <w:r w:rsidRPr="009B7987">
      <w:rPr>
        <w:rFonts w:ascii="Verdana" w:eastAsiaTheme="minorEastAsia" w:hAnsi="Verdana"/>
        <w:b/>
        <w:bCs/>
        <w:sz w:val="16"/>
        <w:szCs w:val="16"/>
      </w:rPr>
      <w:fldChar w:fldCharType="begin"/>
    </w:r>
    <w:r w:rsidRPr="009B7987">
      <w:rPr>
        <w:rFonts w:ascii="Verdana" w:hAnsi="Verdana"/>
        <w:b/>
        <w:bCs/>
        <w:sz w:val="16"/>
        <w:szCs w:val="16"/>
      </w:rPr>
      <w:instrText>PAGE    \* MERGEFORMAT</w:instrText>
    </w:r>
    <w:r w:rsidRPr="009B7987">
      <w:rPr>
        <w:rFonts w:ascii="Verdana" w:eastAsiaTheme="minorEastAsia" w:hAnsi="Verdana"/>
        <w:b/>
        <w:bCs/>
        <w:sz w:val="16"/>
        <w:szCs w:val="16"/>
      </w:rPr>
      <w:fldChar w:fldCharType="separate"/>
    </w:r>
    <w:r w:rsidRPr="009B7987">
      <w:rPr>
        <w:rFonts w:ascii="Verdana" w:eastAsiaTheme="minorEastAsia" w:hAnsi="Verdana"/>
        <w:b/>
        <w:bCs/>
        <w:sz w:val="16"/>
        <w:szCs w:val="16"/>
      </w:rPr>
      <w:t>1</w:t>
    </w:r>
    <w:r w:rsidRPr="009B7987">
      <w:rPr>
        <w:rFonts w:ascii="Verdana" w:eastAsiaTheme="majorEastAsia" w:hAnsi="Verdana" w:cstheme="majorBidi"/>
        <w:b/>
        <w:bCs/>
        <w:sz w:val="16"/>
        <w:szCs w:val="16"/>
      </w:rPr>
      <w:fldChar w:fldCharType="end"/>
    </w:r>
    <w:r w:rsidRPr="009B7987">
      <w:rPr>
        <w:rFonts w:ascii="Verdana" w:hAnsi="Verdana"/>
        <w:b/>
        <w:bCs/>
        <w:sz w:val="20"/>
        <w:szCs w:val="20"/>
      </w:rPr>
      <w:t xml:space="preserve">              Colombia Compra Eficiente                                                            </w:t>
    </w:r>
  </w:p>
  <w:p w14:paraId="4FC9CAA9" w14:textId="77777777" w:rsidR="00A81E50" w:rsidRPr="009B7987" w:rsidRDefault="00A81E50" w:rsidP="00A81E50">
    <w:pPr>
      <w:spacing w:after="0"/>
      <w:jc w:val="both"/>
      <w:rPr>
        <w:rFonts w:ascii="Verdana" w:hAnsi="Verdana"/>
        <w:sz w:val="18"/>
        <w:szCs w:val="18"/>
      </w:rPr>
    </w:pPr>
    <w:r w:rsidRPr="009B7987">
      <w:rPr>
        <w:rFonts w:ascii="Verdana" w:hAnsi="Verdana"/>
        <w:sz w:val="18"/>
        <w:szCs w:val="18"/>
      </w:rPr>
      <w:t>Dirección: Carrera 7 # 26 – 20 - Bogotá, Colombia</w:t>
    </w:r>
  </w:p>
  <w:p w14:paraId="0B709B73" w14:textId="77777777" w:rsidR="00A81E50" w:rsidRPr="009B7987" w:rsidRDefault="00A81E50" w:rsidP="00A81E50">
    <w:pPr>
      <w:spacing w:after="0"/>
      <w:jc w:val="both"/>
      <w:rPr>
        <w:rFonts w:ascii="Verdana" w:hAnsi="Verdana"/>
        <w:sz w:val="18"/>
        <w:szCs w:val="18"/>
      </w:rPr>
    </w:pPr>
    <w:r w:rsidRPr="009B7987">
      <w:rPr>
        <w:rFonts w:ascii="Verdana" w:hAnsi="Verdana"/>
        <w:sz w:val="18"/>
        <w:szCs w:val="18"/>
      </w:rPr>
      <w:t>Mesa de servicio: (+57) 601 7456788</w:t>
    </w:r>
  </w:p>
  <w:p w14:paraId="224AB27F" w14:textId="77777777" w:rsidR="00DD7A2C" w:rsidRPr="009B7987" w:rsidRDefault="00A81E50" w:rsidP="00C00976">
    <w:pPr>
      <w:pBdr>
        <w:top w:val="nil"/>
        <w:left w:val="nil"/>
        <w:bottom w:val="nil"/>
        <w:right w:val="nil"/>
        <w:between w:val="nil"/>
      </w:pBdr>
      <w:tabs>
        <w:tab w:val="center" w:pos="4419"/>
        <w:tab w:val="right" w:pos="8838"/>
        <w:tab w:val="center" w:pos="5400"/>
      </w:tabs>
      <w:spacing w:after="0"/>
      <w:rPr>
        <w:rFonts w:ascii="Verdana" w:hAnsi="Verdana"/>
        <w:sz w:val="20"/>
        <w:szCs w:val="20"/>
      </w:rPr>
    </w:pPr>
    <w:r w:rsidRPr="009B7987">
      <w:rPr>
        <w:rFonts w:ascii="Verdana" w:hAnsi="Verdana"/>
        <w:sz w:val="18"/>
        <w:szCs w:val="18"/>
      </w:rPr>
      <w:t>Atención al ciudadano: (+57) 601 7956600</w:t>
    </w:r>
    <w:r w:rsidRPr="009B7987">
      <w:rPr>
        <w:rFonts w:ascii="Verdana" w:hAnsi="Verdana"/>
        <w:sz w:val="20"/>
        <w:szCs w:val="20"/>
      </w:rPr>
      <w:t xml:space="preserve">         </w:t>
    </w:r>
  </w:p>
  <w:p w14:paraId="2B8DBB2A" w14:textId="26AE77D2" w:rsidR="00A81E50" w:rsidRPr="009B7987" w:rsidRDefault="00A81E50" w:rsidP="00DD7A2C">
    <w:pPr>
      <w:pBdr>
        <w:top w:val="nil"/>
        <w:left w:val="nil"/>
        <w:bottom w:val="nil"/>
        <w:right w:val="nil"/>
        <w:between w:val="nil"/>
      </w:pBdr>
      <w:tabs>
        <w:tab w:val="center" w:pos="4419"/>
        <w:tab w:val="right" w:pos="8838"/>
        <w:tab w:val="center" w:pos="5400"/>
      </w:tabs>
      <w:spacing w:after="0"/>
      <w:jc w:val="right"/>
    </w:pPr>
    <w:r w:rsidRPr="009B7987">
      <w:rPr>
        <w:rFonts w:ascii="Verdana" w:hAnsi="Verdana"/>
        <w:sz w:val="20"/>
        <w:szCs w:val="20"/>
      </w:rPr>
      <w:t xml:space="preserve"> </w:t>
    </w:r>
    <w:r w:rsidRPr="009B7987">
      <w:rPr>
        <w:rFonts w:ascii="Verdana" w:eastAsia="Geo" w:hAnsi="Verdana" w:cs="Geo"/>
        <w:bCs/>
        <w:color w:val="000000"/>
        <w:sz w:val="16"/>
        <w:szCs w:val="16"/>
        <w:lang w:eastAsia="es-CO"/>
      </w:rPr>
      <w:t>Código: CCE-REC-FM-13 Versión</w:t>
    </w:r>
    <w:r w:rsidRPr="009B7987">
      <w:rPr>
        <w:rFonts w:ascii="Verdana" w:eastAsia="Arial Nova" w:hAnsi="Verdana" w:cs="Arial Nova"/>
        <w:bCs/>
        <w:color w:val="000000"/>
        <w:sz w:val="16"/>
        <w:szCs w:val="16"/>
        <w:lang w:eastAsia="es-CO"/>
      </w:rPr>
      <w:t>:</w:t>
    </w:r>
    <w:r w:rsidRPr="009B7987">
      <w:rPr>
        <w:rFonts w:ascii="Verdana" w:eastAsia="Arial Nova" w:hAnsi="Verdana" w:cs="Arial Nova"/>
        <w:b/>
        <w:color w:val="000000"/>
        <w:sz w:val="16"/>
        <w:szCs w:val="16"/>
        <w:lang w:eastAsia="es-CO"/>
      </w:rPr>
      <w:t xml:space="preserve"> </w:t>
    </w:r>
    <w:r w:rsidRPr="009B7987">
      <w:rPr>
        <w:rFonts w:ascii="Verdana" w:eastAsia="Geo" w:hAnsi="Verdana" w:cs="Geo"/>
        <w:sz w:val="16"/>
        <w:szCs w:val="16"/>
        <w:lang w:eastAsia="es-CO"/>
      </w:rPr>
      <w:t>01 Fecha:15-06-2023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826D58" w14:textId="77777777" w:rsidR="00CC78B7" w:rsidRPr="009B7987" w:rsidRDefault="00CC78B7" w:rsidP="00B30448">
      <w:pPr>
        <w:spacing w:after="0" w:line="240" w:lineRule="auto"/>
      </w:pPr>
      <w:r w:rsidRPr="009B7987">
        <w:separator/>
      </w:r>
    </w:p>
  </w:footnote>
  <w:footnote w:type="continuationSeparator" w:id="0">
    <w:p w14:paraId="0105AECE" w14:textId="77777777" w:rsidR="00CC78B7" w:rsidRPr="009B7987" w:rsidRDefault="00CC78B7" w:rsidP="00B30448">
      <w:pPr>
        <w:spacing w:after="0" w:line="240" w:lineRule="auto"/>
      </w:pPr>
      <w:r w:rsidRPr="009B7987">
        <w:continuationSeparator/>
      </w:r>
    </w:p>
  </w:footnote>
  <w:footnote w:type="continuationNotice" w:id="1">
    <w:p w14:paraId="441124E3" w14:textId="77777777" w:rsidR="00CC78B7" w:rsidRPr="009B7987" w:rsidRDefault="00CC78B7">
      <w:pPr>
        <w:spacing w:after="0" w:line="240" w:lineRule="auto"/>
      </w:pPr>
    </w:p>
  </w:footnote>
  <w:footnote w:id="2">
    <w:p w14:paraId="35C5AD47" w14:textId="77777777" w:rsidR="003225AD" w:rsidRPr="00BB7668" w:rsidRDefault="003225AD" w:rsidP="003225AD">
      <w:pPr>
        <w:pStyle w:val="Textonotapie"/>
        <w:ind w:firstLine="709"/>
        <w:jc w:val="both"/>
        <w:rPr>
          <w:rFonts w:ascii="Verdana" w:hAnsi="Verdana"/>
          <w:color w:val="000000" w:themeColor="text1"/>
          <w:sz w:val="16"/>
          <w:szCs w:val="16"/>
          <w:lang w:val="es-CO"/>
        </w:rPr>
      </w:pPr>
      <w:r w:rsidRPr="00BB7668">
        <w:rPr>
          <w:rStyle w:val="Refdenotaalpie"/>
          <w:rFonts w:ascii="Verdana" w:hAnsi="Verdana"/>
          <w:color w:val="000000" w:themeColor="text1"/>
          <w:sz w:val="16"/>
          <w:szCs w:val="16"/>
        </w:rPr>
        <w:footnoteRef/>
      </w:r>
      <w:r w:rsidRPr="00BB7668">
        <w:rPr>
          <w:rFonts w:ascii="Verdana" w:hAnsi="Verdana"/>
          <w:color w:val="000000" w:themeColor="text1"/>
          <w:sz w:val="16"/>
          <w:szCs w:val="16"/>
        </w:rPr>
        <w:t xml:space="preserve"> Consejo de Estado. Sección Tercera. Sentencia del 24 de Julio de 2024. Radicado No. 48833. CP: Nicolas Yepes Corrales. </w:t>
      </w:r>
    </w:p>
  </w:footnote>
  <w:footnote w:id="3">
    <w:p w14:paraId="7B95526F" w14:textId="77777777" w:rsidR="003225AD" w:rsidRPr="00BB7668" w:rsidRDefault="003225AD" w:rsidP="003225AD">
      <w:pPr>
        <w:pStyle w:val="Textonotapie"/>
        <w:ind w:firstLine="709"/>
        <w:jc w:val="both"/>
        <w:rPr>
          <w:rFonts w:ascii="Verdana" w:hAnsi="Verdana"/>
          <w:sz w:val="16"/>
          <w:szCs w:val="16"/>
        </w:rPr>
      </w:pPr>
      <w:r w:rsidRPr="00BB7668">
        <w:rPr>
          <w:rStyle w:val="Refdenotaalpie"/>
          <w:rFonts w:ascii="Verdana" w:hAnsi="Verdana"/>
          <w:sz w:val="16"/>
          <w:szCs w:val="16"/>
        </w:rPr>
        <w:footnoteRef/>
      </w:r>
      <w:r w:rsidRPr="00BB7668">
        <w:rPr>
          <w:rFonts w:ascii="Verdana" w:hAnsi="Verdana"/>
          <w:sz w:val="16"/>
          <w:szCs w:val="16"/>
        </w:rPr>
        <w:t xml:space="preserve"> </w:t>
      </w:r>
      <w:r w:rsidRPr="00BB7668">
        <w:rPr>
          <w:rFonts w:ascii="Verdana" w:hAnsi="Verdana"/>
          <w:sz w:val="16"/>
          <w:szCs w:val="16"/>
        </w:rPr>
        <w:t>Hinestrosa. Fernando</w:t>
      </w:r>
      <w:r>
        <w:rPr>
          <w:rFonts w:ascii="Verdana" w:hAnsi="Verdana"/>
          <w:sz w:val="16"/>
          <w:szCs w:val="16"/>
        </w:rPr>
        <w:t xml:space="preserve">. </w:t>
      </w:r>
      <w:r w:rsidRPr="00BB7668">
        <w:rPr>
          <w:rFonts w:ascii="Verdana" w:hAnsi="Verdana"/>
          <w:sz w:val="16"/>
          <w:szCs w:val="16"/>
        </w:rPr>
        <w:t>"Eficacia e ineficacia del contrato." Revista de Derecho de la Pontificia Universidad Católica de Valparaíso.</w:t>
      </w:r>
      <w:r w:rsidRPr="001A5458">
        <w:rPr>
          <w:rFonts w:ascii="Verdana" w:hAnsi="Verdana"/>
          <w:sz w:val="16"/>
          <w:szCs w:val="16"/>
        </w:rPr>
        <w:t xml:space="preserve"> </w:t>
      </w:r>
      <w:r w:rsidRPr="00BB7668">
        <w:rPr>
          <w:rFonts w:ascii="Verdana" w:hAnsi="Verdana"/>
          <w:sz w:val="16"/>
          <w:szCs w:val="16"/>
        </w:rPr>
        <w:t>2010.</w:t>
      </w:r>
    </w:p>
  </w:footnote>
  <w:footnote w:id="4">
    <w:p w14:paraId="2A885DC4" w14:textId="77777777" w:rsidR="003225AD" w:rsidRPr="00BB7668" w:rsidRDefault="003225AD" w:rsidP="003225AD">
      <w:pPr>
        <w:pStyle w:val="Textonotapie"/>
        <w:shd w:val="clear" w:color="auto" w:fill="FFFFFF"/>
        <w:ind w:firstLine="709"/>
        <w:jc w:val="both"/>
        <w:rPr>
          <w:rFonts w:ascii="Verdana" w:hAnsi="Verdana"/>
          <w:color w:val="000000" w:themeColor="text1"/>
          <w:sz w:val="16"/>
          <w:szCs w:val="16"/>
        </w:rPr>
      </w:pPr>
      <w:r w:rsidRPr="00BB7668">
        <w:rPr>
          <w:rStyle w:val="Refdenotaalpie"/>
          <w:rFonts w:ascii="Verdana" w:hAnsi="Verdana"/>
          <w:color w:val="000000" w:themeColor="text1"/>
          <w:sz w:val="16"/>
          <w:szCs w:val="16"/>
        </w:rPr>
        <w:footnoteRef/>
      </w:r>
      <w:r w:rsidRPr="00BB7668">
        <w:rPr>
          <w:rFonts w:ascii="Verdana" w:hAnsi="Verdana"/>
          <w:color w:val="000000" w:themeColor="text1"/>
          <w:sz w:val="16"/>
          <w:szCs w:val="16"/>
        </w:rPr>
        <w:t xml:space="preserve"> Consejo de Estado, Sala de lo Contencioso Administrativo, Sección Tercera, sentencia de 3 de diciembre de 2007, expediente 16.503.</w:t>
      </w:r>
    </w:p>
  </w:footnote>
  <w:footnote w:id="5">
    <w:p w14:paraId="4C820257" w14:textId="77777777" w:rsidR="003225AD" w:rsidRPr="00BB7668" w:rsidRDefault="003225AD" w:rsidP="003225AD">
      <w:pPr>
        <w:pStyle w:val="Textonotapie"/>
        <w:ind w:firstLine="709"/>
        <w:jc w:val="both"/>
        <w:rPr>
          <w:rFonts w:ascii="Verdana" w:hAnsi="Verdana"/>
          <w:sz w:val="16"/>
          <w:szCs w:val="16"/>
        </w:rPr>
      </w:pPr>
      <w:r w:rsidRPr="00BB7668">
        <w:rPr>
          <w:rStyle w:val="Refdenotaalpie"/>
          <w:rFonts w:ascii="Verdana" w:hAnsi="Verdana"/>
          <w:sz w:val="16"/>
          <w:szCs w:val="16"/>
        </w:rPr>
        <w:footnoteRef/>
      </w:r>
      <w:r w:rsidRPr="00BB7668">
        <w:rPr>
          <w:rFonts w:ascii="Verdana" w:hAnsi="Verdana"/>
          <w:sz w:val="16"/>
          <w:szCs w:val="16"/>
        </w:rPr>
        <w:t xml:space="preserve"> </w:t>
      </w:r>
      <w:r w:rsidRPr="00BB7668">
        <w:rPr>
          <w:rFonts w:ascii="Verdana" w:hAnsi="Verdana"/>
          <w:sz w:val="16"/>
          <w:szCs w:val="16"/>
        </w:rPr>
        <w:t>Hinestrosa.</w:t>
      </w:r>
      <w:r w:rsidRPr="009F0086">
        <w:rPr>
          <w:rFonts w:ascii="Verdana" w:hAnsi="Verdana"/>
          <w:sz w:val="16"/>
          <w:szCs w:val="16"/>
        </w:rPr>
        <w:t xml:space="preserve"> </w:t>
      </w:r>
      <w:r w:rsidRPr="00BB7668">
        <w:rPr>
          <w:rFonts w:ascii="Verdana" w:hAnsi="Verdana"/>
          <w:sz w:val="16"/>
          <w:szCs w:val="16"/>
        </w:rPr>
        <w:t>Fernando. "Eficacia e ineficacia del contrato." Ibid.</w:t>
      </w:r>
      <w:r w:rsidRPr="009F0086">
        <w:rPr>
          <w:rFonts w:ascii="Verdana" w:hAnsi="Verdana"/>
          <w:sz w:val="16"/>
          <w:szCs w:val="16"/>
        </w:rPr>
        <w:t xml:space="preserve"> </w:t>
      </w:r>
      <w:r w:rsidRPr="00BB7668">
        <w:rPr>
          <w:rFonts w:ascii="Verdana" w:hAnsi="Verdana"/>
          <w:sz w:val="16"/>
          <w:szCs w:val="16"/>
        </w:rPr>
        <w:t>2010</w:t>
      </w:r>
    </w:p>
  </w:footnote>
  <w:footnote w:id="6">
    <w:p w14:paraId="32A0B127" w14:textId="77777777" w:rsidR="003225AD" w:rsidRPr="00BB7668" w:rsidRDefault="003225AD" w:rsidP="003225AD">
      <w:pPr>
        <w:pStyle w:val="Textonotapie"/>
        <w:shd w:val="clear" w:color="auto" w:fill="FFFFFF"/>
        <w:ind w:firstLine="709"/>
        <w:jc w:val="both"/>
        <w:rPr>
          <w:rFonts w:ascii="Verdana" w:hAnsi="Verdana"/>
          <w:color w:val="000000" w:themeColor="text1"/>
          <w:sz w:val="16"/>
          <w:szCs w:val="16"/>
        </w:rPr>
      </w:pPr>
      <w:r w:rsidRPr="00BB7668">
        <w:rPr>
          <w:rStyle w:val="Refdenotaalpie"/>
          <w:rFonts w:ascii="Verdana" w:hAnsi="Verdana"/>
          <w:color w:val="000000" w:themeColor="text1"/>
          <w:sz w:val="16"/>
          <w:szCs w:val="16"/>
        </w:rPr>
        <w:footnoteRef/>
      </w:r>
      <w:r w:rsidRPr="00BB7668">
        <w:rPr>
          <w:rFonts w:ascii="Verdana" w:hAnsi="Verdana"/>
          <w:color w:val="000000" w:themeColor="text1"/>
          <w:sz w:val="16"/>
          <w:szCs w:val="16"/>
        </w:rPr>
        <w:t xml:space="preserve"> Consejo de Estado, Sala de lo Contencioso Administrativo, Sección Tercera, Subsección C, sentencia de 1º de abril de 2016, expediente 51.138.</w:t>
      </w:r>
    </w:p>
  </w:footnote>
  <w:footnote w:id="7">
    <w:p w14:paraId="59B8EE12" w14:textId="77777777" w:rsidR="003225AD" w:rsidRPr="00BB7668" w:rsidRDefault="003225AD" w:rsidP="003225AD">
      <w:pPr>
        <w:pStyle w:val="Textonotapie"/>
        <w:shd w:val="clear" w:color="auto" w:fill="FFFFFF"/>
        <w:ind w:firstLine="709"/>
        <w:jc w:val="both"/>
        <w:rPr>
          <w:rFonts w:ascii="Verdana" w:hAnsi="Verdana"/>
          <w:color w:val="000000" w:themeColor="text1"/>
          <w:sz w:val="16"/>
          <w:szCs w:val="16"/>
        </w:rPr>
      </w:pPr>
      <w:r w:rsidRPr="00BB7668">
        <w:rPr>
          <w:rStyle w:val="Refdenotaalpie"/>
          <w:rFonts w:ascii="Verdana" w:hAnsi="Verdana"/>
          <w:color w:val="000000" w:themeColor="text1"/>
          <w:sz w:val="16"/>
          <w:szCs w:val="16"/>
        </w:rPr>
        <w:footnoteRef/>
      </w:r>
      <w:r w:rsidRPr="00BB7668">
        <w:rPr>
          <w:rFonts w:ascii="Verdana" w:hAnsi="Verdana"/>
          <w:color w:val="000000" w:themeColor="text1"/>
          <w:sz w:val="16"/>
          <w:szCs w:val="16"/>
        </w:rPr>
        <w:t xml:space="preserve"> </w:t>
      </w:r>
      <w:r w:rsidRPr="00BB7668">
        <w:rPr>
          <w:rFonts w:ascii="Verdana" w:hAnsi="Verdana"/>
          <w:color w:val="000000" w:themeColor="text1"/>
          <w:sz w:val="16"/>
          <w:szCs w:val="16"/>
        </w:rPr>
        <w:t>Namén Vargas</w:t>
      </w:r>
      <w:r>
        <w:rPr>
          <w:rFonts w:ascii="Verdana" w:hAnsi="Verdana"/>
          <w:color w:val="000000" w:themeColor="text1"/>
          <w:sz w:val="16"/>
          <w:szCs w:val="16"/>
        </w:rPr>
        <w:t xml:space="preserve">, </w:t>
      </w:r>
      <w:r w:rsidRPr="00BB7668">
        <w:rPr>
          <w:rFonts w:ascii="Verdana" w:hAnsi="Verdana"/>
          <w:color w:val="000000" w:themeColor="text1"/>
          <w:sz w:val="16"/>
          <w:szCs w:val="16"/>
        </w:rPr>
        <w:t>William</w:t>
      </w:r>
      <w:r>
        <w:rPr>
          <w:rFonts w:ascii="Verdana" w:hAnsi="Verdana"/>
          <w:color w:val="000000" w:themeColor="text1"/>
          <w:sz w:val="16"/>
          <w:szCs w:val="16"/>
        </w:rPr>
        <w:t xml:space="preserve">. </w:t>
      </w:r>
      <w:r w:rsidRPr="00BB7668">
        <w:rPr>
          <w:rFonts w:ascii="Verdana" w:hAnsi="Verdana"/>
          <w:color w:val="000000" w:themeColor="text1"/>
          <w:sz w:val="16"/>
          <w:szCs w:val="16"/>
        </w:rPr>
        <w:t xml:space="preserve">“La ineficacia del negocio jurídico”, en </w:t>
      </w:r>
      <w:r w:rsidRPr="00BB7668">
        <w:rPr>
          <w:rFonts w:ascii="Verdana" w:hAnsi="Verdana"/>
          <w:i/>
          <w:color w:val="000000" w:themeColor="text1"/>
          <w:sz w:val="16"/>
          <w:szCs w:val="16"/>
        </w:rPr>
        <w:t>Estudios de derecho privado. Líber amicorum en homenaje a César Gómez Estrada</w:t>
      </w:r>
      <w:r w:rsidRPr="00BB7668">
        <w:rPr>
          <w:rFonts w:ascii="Verdana" w:hAnsi="Verdana"/>
          <w:color w:val="000000" w:themeColor="text1"/>
          <w:sz w:val="16"/>
          <w:szCs w:val="16"/>
        </w:rPr>
        <w:t>, T. II, Bogotá,</w:t>
      </w:r>
      <w:r w:rsidRPr="009F0086">
        <w:rPr>
          <w:rFonts w:ascii="Verdana" w:hAnsi="Verdana"/>
          <w:color w:val="000000" w:themeColor="text1"/>
          <w:sz w:val="16"/>
          <w:szCs w:val="16"/>
        </w:rPr>
        <w:t xml:space="preserve"> </w:t>
      </w:r>
      <w:r w:rsidRPr="00BB7668">
        <w:rPr>
          <w:rFonts w:ascii="Verdana" w:hAnsi="Verdana"/>
          <w:color w:val="000000" w:themeColor="text1"/>
          <w:sz w:val="16"/>
          <w:szCs w:val="16"/>
        </w:rPr>
        <w:t>2009</w:t>
      </w:r>
      <w:r>
        <w:rPr>
          <w:rFonts w:ascii="Verdana" w:hAnsi="Verdana"/>
          <w:color w:val="000000" w:themeColor="text1"/>
          <w:sz w:val="16"/>
          <w:szCs w:val="16"/>
        </w:rPr>
        <w:t>,</w:t>
      </w:r>
      <w:r w:rsidRPr="00BB7668">
        <w:rPr>
          <w:rFonts w:ascii="Verdana" w:hAnsi="Verdana"/>
          <w:color w:val="000000" w:themeColor="text1"/>
          <w:sz w:val="16"/>
          <w:szCs w:val="16"/>
        </w:rPr>
        <w:t xml:space="preserve"> Universidad del Rosario.</w:t>
      </w:r>
    </w:p>
  </w:footnote>
  <w:footnote w:id="8">
    <w:p w14:paraId="26921EA1" w14:textId="77777777" w:rsidR="003225AD" w:rsidRPr="00BB7668" w:rsidRDefault="003225AD" w:rsidP="003225AD">
      <w:pPr>
        <w:pStyle w:val="Textonotapie"/>
        <w:ind w:firstLine="709"/>
        <w:jc w:val="both"/>
        <w:rPr>
          <w:rFonts w:ascii="Verdana" w:hAnsi="Verdana"/>
          <w:sz w:val="16"/>
          <w:szCs w:val="16"/>
        </w:rPr>
      </w:pPr>
      <w:r w:rsidRPr="00BB7668">
        <w:rPr>
          <w:rStyle w:val="Refdenotaalpie"/>
          <w:rFonts w:ascii="Verdana" w:hAnsi="Verdana"/>
          <w:sz w:val="16"/>
          <w:szCs w:val="16"/>
        </w:rPr>
        <w:footnoteRef/>
      </w:r>
      <w:r w:rsidRPr="00BB7668">
        <w:rPr>
          <w:rFonts w:ascii="Verdana" w:hAnsi="Verdana"/>
          <w:sz w:val="16"/>
          <w:szCs w:val="16"/>
        </w:rPr>
        <w:t xml:space="preserve"> Ramírez Baquero</w:t>
      </w:r>
      <w:r>
        <w:rPr>
          <w:rFonts w:ascii="Verdana" w:hAnsi="Verdana"/>
          <w:sz w:val="16"/>
          <w:szCs w:val="16"/>
        </w:rPr>
        <w:t>,</w:t>
      </w:r>
      <w:r w:rsidRPr="009F0086">
        <w:rPr>
          <w:rFonts w:ascii="Verdana" w:hAnsi="Verdana"/>
          <w:sz w:val="16"/>
          <w:szCs w:val="16"/>
        </w:rPr>
        <w:t xml:space="preserve"> </w:t>
      </w:r>
      <w:r w:rsidRPr="00BB7668">
        <w:rPr>
          <w:rFonts w:ascii="Verdana" w:hAnsi="Verdana"/>
          <w:sz w:val="16"/>
          <w:szCs w:val="16"/>
        </w:rPr>
        <w:t xml:space="preserve">Edgar. “La ineficacia en el negocio jurídico”, en </w:t>
      </w:r>
      <w:r w:rsidRPr="00BB7668">
        <w:rPr>
          <w:rFonts w:ascii="Verdana" w:hAnsi="Verdana"/>
          <w:i/>
          <w:iCs/>
          <w:sz w:val="16"/>
          <w:szCs w:val="16"/>
        </w:rPr>
        <w:t>Colección textos de jurisprudencia. Bogotá,</w:t>
      </w:r>
      <w:r w:rsidRPr="009F0086">
        <w:rPr>
          <w:rFonts w:ascii="Verdana" w:hAnsi="Verdana"/>
          <w:sz w:val="16"/>
          <w:szCs w:val="16"/>
        </w:rPr>
        <w:t xml:space="preserve"> </w:t>
      </w:r>
      <w:r w:rsidRPr="00BB7668">
        <w:rPr>
          <w:rFonts w:ascii="Verdana" w:hAnsi="Verdana"/>
          <w:sz w:val="16"/>
          <w:szCs w:val="16"/>
        </w:rPr>
        <w:t>2008</w:t>
      </w:r>
      <w:r>
        <w:rPr>
          <w:rFonts w:ascii="Verdana" w:hAnsi="Verdana"/>
          <w:sz w:val="16"/>
          <w:szCs w:val="16"/>
        </w:rPr>
        <w:t>.</w:t>
      </w:r>
      <w:r w:rsidRPr="00BB7668">
        <w:rPr>
          <w:rFonts w:ascii="Verdana" w:hAnsi="Verdana"/>
          <w:i/>
          <w:iCs/>
          <w:sz w:val="16"/>
          <w:szCs w:val="16"/>
        </w:rPr>
        <w:t xml:space="preserve"> </w:t>
      </w:r>
      <w:r w:rsidRPr="00BB7668">
        <w:rPr>
          <w:rFonts w:ascii="Verdana" w:hAnsi="Verdana"/>
          <w:sz w:val="16"/>
          <w:szCs w:val="16"/>
        </w:rPr>
        <w:t>Universidad del Rosario.</w:t>
      </w:r>
    </w:p>
  </w:footnote>
  <w:footnote w:id="9">
    <w:p w14:paraId="4EADC427" w14:textId="77777777" w:rsidR="003225AD" w:rsidRPr="00BB7668" w:rsidRDefault="003225AD" w:rsidP="003225AD">
      <w:pPr>
        <w:pStyle w:val="Textonotapie"/>
        <w:shd w:val="clear" w:color="auto" w:fill="FFFFFF"/>
        <w:ind w:firstLine="709"/>
        <w:jc w:val="both"/>
        <w:rPr>
          <w:rFonts w:ascii="Verdana" w:hAnsi="Verdana"/>
          <w:color w:val="000000" w:themeColor="text1"/>
          <w:sz w:val="16"/>
          <w:szCs w:val="16"/>
        </w:rPr>
      </w:pPr>
      <w:r w:rsidRPr="00BB7668">
        <w:rPr>
          <w:rStyle w:val="Refdenotaalpie"/>
          <w:rFonts w:ascii="Verdana" w:hAnsi="Verdana"/>
          <w:color w:val="000000" w:themeColor="text1"/>
          <w:sz w:val="16"/>
          <w:szCs w:val="16"/>
        </w:rPr>
        <w:footnoteRef/>
      </w:r>
      <w:r w:rsidRPr="00BB7668">
        <w:rPr>
          <w:rFonts w:ascii="Verdana" w:hAnsi="Verdana"/>
          <w:color w:val="000000" w:themeColor="text1"/>
          <w:sz w:val="16"/>
          <w:szCs w:val="16"/>
        </w:rPr>
        <w:t xml:space="preserve"> Consejo de Estado, Sala de lo Contencioso Administrativo, Sección Tercera, Subsección C, sentencia de 1º de abril de 2016, expediente 51.138.</w:t>
      </w:r>
    </w:p>
  </w:footnote>
  <w:footnote w:id="10">
    <w:p w14:paraId="7B4AF8D0" w14:textId="77777777" w:rsidR="003225AD" w:rsidRPr="00BB7668" w:rsidRDefault="003225AD" w:rsidP="003225AD">
      <w:pPr>
        <w:pStyle w:val="Textonotapie"/>
        <w:shd w:val="clear" w:color="auto" w:fill="FFFFFF"/>
        <w:ind w:firstLine="709"/>
        <w:jc w:val="both"/>
        <w:rPr>
          <w:rFonts w:ascii="Verdana" w:hAnsi="Verdana"/>
          <w:color w:val="000000" w:themeColor="text1"/>
          <w:sz w:val="16"/>
          <w:szCs w:val="16"/>
        </w:rPr>
      </w:pPr>
      <w:r w:rsidRPr="00BB7668">
        <w:rPr>
          <w:rStyle w:val="Refdenotaalpie"/>
          <w:rFonts w:ascii="Verdana" w:hAnsi="Verdana"/>
          <w:color w:val="000000" w:themeColor="text1"/>
          <w:sz w:val="16"/>
          <w:szCs w:val="16"/>
        </w:rPr>
        <w:footnoteRef/>
      </w:r>
      <w:r w:rsidRPr="00BB7668">
        <w:rPr>
          <w:rFonts w:ascii="Verdana" w:hAnsi="Verdana"/>
          <w:color w:val="000000" w:themeColor="text1"/>
          <w:sz w:val="16"/>
          <w:szCs w:val="16"/>
        </w:rPr>
        <w:t xml:space="preserve"> Consejo de Estado, Sala de lo Contencioso Administrativo, Sección Tercera, sentencia del 21 de mayo de 2008, Expediente: 15963.</w:t>
      </w:r>
    </w:p>
  </w:footnote>
  <w:footnote w:id="11">
    <w:p w14:paraId="06382BF1" w14:textId="77777777" w:rsidR="003225AD" w:rsidRPr="00BB7668" w:rsidRDefault="003225AD" w:rsidP="003225AD">
      <w:pPr>
        <w:pStyle w:val="Textonotapie"/>
        <w:ind w:firstLine="709"/>
        <w:jc w:val="both"/>
        <w:rPr>
          <w:rFonts w:ascii="Verdana" w:hAnsi="Verdana"/>
          <w:color w:val="000000" w:themeColor="text1"/>
          <w:sz w:val="16"/>
          <w:szCs w:val="16"/>
          <w:lang w:val="es-CO"/>
        </w:rPr>
      </w:pPr>
      <w:r w:rsidRPr="00BB7668">
        <w:rPr>
          <w:rStyle w:val="Refdenotaalpie"/>
          <w:rFonts w:ascii="Verdana" w:hAnsi="Verdana"/>
          <w:color w:val="000000" w:themeColor="text1"/>
          <w:sz w:val="16"/>
          <w:szCs w:val="16"/>
        </w:rPr>
        <w:footnoteRef/>
      </w:r>
      <w:r w:rsidRPr="00BB7668">
        <w:rPr>
          <w:rFonts w:ascii="Verdana" w:hAnsi="Verdana"/>
          <w:color w:val="000000" w:themeColor="text1"/>
          <w:sz w:val="16"/>
          <w:szCs w:val="16"/>
        </w:rPr>
        <w:t xml:space="preserve"> Tribunal de Arbitraje de </w:t>
      </w:r>
      <w:r w:rsidRPr="00BB7668">
        <w:rPr>
          <w:rFonts w:ascii="Verdana" w:hAnsi="Verdana"/>
          <w:color w:val="000000" w:themeColor="text1"/>
          <w:sz w:val="16"/>
          <w:szCs w:val="16"/>
        </w:rPr>
        <w:t>Transmasivo S.A. – Sistemas Operativos Móviles S.A. – Somos K S.A.  contra Empresa de Transporte del Tercer Milenio Transmilenio S.A. Laudo Arbitral de 21 de diciembre de 2016.</w:t>
      </w:r>
    </w:p>
  </w:footnote>
  <w:footnote w:id="12">
    <w:p w14:paraId="33FA7114" w14:textId="77777777" w:rsidR="003225AD" w:rsidRPr="00BB7668" w:rsidRDefault="003225AD" w:rsidP="003225AD">
      <w:pPr>
        <w:pStyle w:val="Textonotapie"/>
        <w:ind w:firstLine="709"/>
        <w:rPr>
          <w:rFonts w:ascii="Verdana" w:hAnsi="Verdana"/>
          <w:sz w:val="16"/>
          <w:szCs w:val="16"/>
          <w:lang w:val="es-CO"/>
        </w:rPr>
      </w:pPr>
      <w:r w:rsidRPr="00BB7668">
        <w:rPr>
          <w:rStyle w:val="Refdenotaalpie"/>
          <w:rFonts w:ascii="Verdana" w:hAnsi="Verdana"/>
          <w:sz w:val="16"/>
          <w:szCs w:val="16"/>
        </w:rPr>
        <w:footnoteRef/>
      </w:r>
      <w:r w:rsidRPr="00BB7668">
        <w:rPr>
          <w:rFonts w:ascii="Verdana" w:hAnsi="Verdana"/>
          <w:sz w:val="16"/>
          <w:szCs w:val="16"/>
        </w:rPr>
        <w:t xml:space="preserve"> </w:t>
      </w:r>
      <w:r w:rsidRPr="00BB7668">
        <w:rPr>
          <w:rFonts w:ascii="Verdana" w:hAnsi="Verdana"/>
          <w:color w:val="000000" w:themeColor="text1"/>
          <w:sz w:val="16"/>
          <w:szCs w:val="16"/>
        </w:rPr>
        <w:t>Consejo de Estado. Sección Tercera. Sentencia del 24 de Julio de 2024. Radicado No. 48833. CP: Nicolas Yepes Corrales.</w:t>
      </w:r>
    </w:p>
  </w:footnote>
  <w:footnote w:id="13">
    <w:p w14:paraId="29D0CC68" w14:textId="77777777" w:rsidR="003225AD" w:rsidRPr="00BB7668" w:rsidRDefault="003225AD" w:rsidP="003225AD">
      <w:pPr>
        <w:pStyle w:val="Textonotapie"/>
        <w:ind w:firstLine="709"/>
        <w:rPr>
          <w:rFonts w:ascii="Verdana" w:hAnsi="Verdana"/>
          <w:sz w:val="16"/>
          <w:szCs w:val="16"/>
          <w:lang w:val="es-CO"/>
        </w:rPr>
      </w:pPr>
      <w:r w:rsidRPr="00BB7668">
        <w:rPr>
          <w:rStyle w:val="Refdenotaalpie"/>
          <w:rFonts w:ascii="Verdana" w:hAnsi="Verdana"/>
          <w:sz w:val="16"/>
          <w:szCs w:val="16"/>
        </w:rPr>
        <w:footnoteRef/>
      </w:r>
      <w:r w:rsidRPr="00BB7668">
        <w:rPr>
          <w:rFonts w:ascii="Verdana" w:hAnsi="Verdana"/>
          <w:sz w:val="16"/>
          <w:szCs w:val="16"/>
        </w:rPr>
        <w:t xml:space="preserve"> </w:t>
      </w:r>
      <w:r w:rsidRPr="00BB7668">
        <w:rPr>
          <w:rFonts w:ascii="Verdana" w:hAnsi="Verdana"/>
          <w:color w:val="000000" w:themeColor="text1"/>
          <w:sz w:val="16"/>
          <w:szCs w:val="16"/>
        </w:rPr>
        <w:t xml:space="preserve">Consejo de Estado. Sección Tercera. Sentencia del 17 de octubre de 2023. Radicado No. 69492. CP: Marta Nubia Velásquez Rico. </w:t>
      </w:r>
    </w:p>
  </w:footnote>
  <w:footnote w:id="14">
    <w:p w14:paraId="4A3E77D7" w14:textId="77777777" w:rsidR="003225AD" w:rsidRPr="00BB7668" w:rsidRDefault="003225AD" w:rsidP="003225AD">
      <w:pPr>
        <w:pStyle w:val="Textonotapie"/>
        <w:ind w:firstLine="709"/>
        <w:jc w:val="both"/>
        <w:rPr>
          <w:rFonts w:ascii="Verdana" w:hAnsi="Verdana"/>
          <w:color w:val="000000" w:themeColor="text1"/>
          <w:sz w:val="16"/>
          <w:szCs w:val="16"/>
          <w:lang w:val="es-CO"/>
        </w:rPr>
      </w:pPr>
      <w:r w:rsidRPr="00BB7668">
        <w:rPr>
          <w:rStyle w:val="Refdenotaalpie"/>
          <w:rFonts w:ascii="Verdana" w:hAnsi="Verdana"/>
          <w:color w:val="000000" w:themeColor="text1"/>
          <w:sz w:val="16"/>
          <w:szCs w:val="16"/>
        </w:rPr>
        <w:footnoteRef/>
      </w:r>
      <w:r w:rsidRPr="00BB7668">
        <w:rPr>
          <w:rFonts w:ascii="Verdana" w:hAnsi="Verdana"/>
          <w:color w:val="000000" w:themeColor="text1"/>
          <w:sz w:val="16"/>
          <w:szCs w:val="16"/>
        </w:rPr>
        <w:t xml:space="preserve"> Ibid. Cfr. Navarrete Basto</w:t>
      </w:r>
      <w:r>
        <w:rPr>
          <w:rFonts w:ascii="Verdana" w:hAnsi="Verdana"/>
          <w:color w:val="000000" w:themeColor="text1"/>
          <w:sz w:val="16"/>
          <w:szCs w:val="16"/>
        </w:rPr>
        <w:t>,</w:t>
      </w:r>
      <w:r w:rsidRPr="00BB7668">
        <w:rPr>
          <w:rFonts w:ascii="Verdana" w:hAnsi="Verdana"/>
          <w:color w:val="000000" w:themeColor="text1"/>
          <w:sz w:val="16"/>
          <w:szCs w:val="16"/>
        </w:rPr>
        <w:t xml:space="preserve"> Andrés Felipe. "La aplicación de la ineficacia negocial en Colombia: Entre pragmatismo e Idealismo". Bogotá,</w:t>
      </w:r>
      <w:r w:rsidRPr="009F0086">
        <w:rPr>
          <w:rFonts w:ascii="Verdana" w:hAnsi="Verdana"/>
          <w:color w:val="000000" w:themeColor="text1"/>
          <w:sz w:val="16"/>
          <w:szCs w:val="16"/>
        </w:rPr>
        <w:t xml:space="preserve"> </w:t>
      </w:r>
      <w:r w:rsidRPr="00BB7668">
        <w:rPr>
          <w:rFonts w:ascii="Verdana" w:hAnsi="Verdana"/>
          <w:color w:val="000000" w:themeColor="text1"/>
          <w:sz w:val="16"/>
          <w:szCs w:val="16"/>
        </w:rPr>
        <w:t>2018</w:t>
      </w:r>
      <w:r>
        <w:rPr>
          <w:rFonts w:ascii="Verdana" w:hAnsi="Verdana"/>
          <w:color w:val="000000" w:themeColor="text1"/>
          <w:sz w:val="16"/>
          <w:szCs w:val="16"/>
        </w:rPr>
        <w:t>.</w:t>
      </w:r>
      <w:r w:rsidRPr="00BB7668">
        <w:rPr>
          <w:rFonts w:ascii="Verdana" w:hAnsi="Verdana"/>
          <w:color w:val="000000" w:themeColor="text1"/>
          <w:sz w:val="16"/>
          <w:szCs w:val="16"/>
        </w:rPr>
        <w:t xml:space="preserve"> Universidad Externado de Colombia.</w:t>
      </w:r>
    </w:p>
  </w:footnote>
  <w:footnote w:id="15">
    <w:p w14:paraId="59884693" w14:textId="77777777" w:rsidR="003225AD" w:rsidRPr="00BB7668" w:rsidRDefault="003225AD" w:rsidP="003225AD">
      <w:pPr>
        <w:pStyle w:val="Textonotapie"/>
        <w:ind w:firstLine="709"/>
        <w:jc w:val="both"/>
        <w:rPr>
          <w:rFonts w:ascii="Verdana" w:hAnsi="Verdana"/>
          <w:color w:val="000000" w:themeColor="text1"/>
          <w:sz w:val="16"/>
          <w:szCs w:val="16"/>
          <w:lang w:val="es-CO"/>
        </w:rPr>
      </w:pPr>
      <w:r w:rsidRPr="00BB7668">
        <w:rPr>
          <w:rStyle w:val="Refdenotaalpie"/>
          <w:rFonts w:ascii="Verdana" w:hAnsi="Verdana"/>
          <w:color w:val="000000" w:themeColor="text1"/>
          <w:sz w:val="16"/>
          <w:szCs w:val="16"/>
        </w:rPr>
        <w:footnoteRef/>
      </w:r>
      <w:r w:rsidRPr="00BB7668">
        <w:rPr>
          <w:rFonts w:ascii="Verdana" w:hAnsi="Verdana"/>
          <w:color w:val="000000" w:themeColor="text1"/>
          <w:sz w:val="16"/>
          <w:szCs w:val="16"/>
        </w:rPr>
        <w:t xml:space="preserve"> Consejo de Estado. Concepto del 7 de febrero de 1975, reiterado en el concepto de </w:t>
      </w:r>
      <w:r w:rsidRPr="00BB7668">
        <w:rPr>
          <w:rFonts w:ascii="Verdana" w:hAnsi="Verdana"/>
          <w:color w:val="000000" w:themeColor="text1"/>
          <w:sz w:val="16"/>
          <w:szCs w:val="16"/>
        </w:rPr>
        <w:t xml:space="preserve">Septiembre 7 de 2000, Radicación No. 1294, Consejero Ponente: Dr. Flavio Augusto Rodríguez Arce. Cfr. Adolfo Merkl. 1980. “Teoría General del Derecho Administrativo”. México, Editora Nacional. </w:t>
      </w:r>
    </w:p>
  </w:footnote>
  <w:footnote w:id="16">
    <w:p w14:paraId="5C085C94" w14:textId="77777777" w:rsidR="003225AD" w:rsidRPr="00BB7668" w:rsidRDefault="003225AD" w:rsidP="003225AD">
      <w:pPr>
        <w:pStyle w:val="Textonotapie"/>
        <w:ind w:firstLine="709"/>
        <w:jc w:val="both"/>
        <w:rPr>
          <w:rFonts w:ascii="Verdana" w:hAnsi="Verdana"/>
          <w:sz w:val="16"/>
          <w:szCs w:val="16"/>
          <w:lang w:val="es-CO"/>
        </w:rPr>
      </w:pPr>
      <w:r w:rsidRPr="00BB7668">
        <w:rPr>
          <w:rStyle w:val="Refdenotaalpie"/>
          <w:rFonts w:ascii="Verdana" w:hAnsi="Verdana"/>
          <w:sz w:val="16"/>
          <w:szCs w:val="16"/>
        </w:rPr>
        <w:footnoteRef/>
      </w:r>
      <w:r w:rsidRPr="00BB7668">
        <w:rPr>
          <w:rFonts w:ascii="Verdana" w:hAnsi="Verdana"/>
          <w:sz w:val="16"/>
          <w:szCs w:val="16"/>
        </w:rPr>
        <w:t xml:space="preserve"> </w:t>
      </w:r>
      <w:r w:rsidRPr="00BB7668">
        <w:rPr>
          <w:rFonts w:ascii="Verdana" w:hAnsi="Verdana" w:cs="Arial"/>
          <w:sz w:val="16"/>
          <w:szCs w:val="16"/>
          <w:lang w:val="es-ES"/>
        </w:rPr>
        <w:t>Matallana Camacho, Ernesto. Manual de contratación de la administración pública: reforma de la Ley 80 de 1993. 4ª edición. Bogotá: Universidad Externado de Colombia, 2015. p. 294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49BFF" w14:textId="77777777" w:rsidR="00006F59" w:rsidRPr="009B7987" w:rsidRDefault="00006F59" w:rsidP="00006F59">
    <w:pPr>
      <w:pStyle w:val="Encabezado"/>
    </w:pPr>
    <w:r w:rsidRPr="009B7987">
      <w:rPr>
        <w:rFonts w:ascii="Geomanist Bold" w:hAnsi="Geomanist Bold"/>
        <w:b/>
        <w:bCs/>
        <w:noProof/>
        <w:color w:val="002060"/>
        <w:sz w:val="24"/>
        <w:szCs w:val="24"/>
      </w:rPr>
      <w:drawing>
        <wp:anchor distT="0" distB="0" distL="114300" distR="114300" simplePos="0" relativeHeight="251658241" behindDoc="1" locked="0" layoutInCell="1" allowOverlap="1" wp14:anchorId="4812B632" wp14:editId="2E35C64A">
          <wp:simplePos x="0" y="0"/>
          <wp:positionH relativeFrom="margin">
            <wp:align>center</wp:align>
          </wp:positionH>
          <wp:positionV relativeFrom="paragraph">
            <wp:posOffset>-250190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Pr="009B7987">
      <w:rPr>
        <w:rFonts w:ascii="Geomanist Bold" w:hAnsi="Geomanist Bold"/>
        <w:b/>
        <w:bCs/>
        <w:noProof/>
        <w:color w:val="002060"/>
        <w:sz w:val="24"/>
        <w:szCs w:val="24"/>
      </w:rPr>
      <w:drawing>
        <wp:anchor distT="0" distB="0" distL="114300" distR="114300" simplePos="0" relativeHeight="251658240" behindDoc="0" locked="0" layoutInCell="1" allowOverlap="1" wp14:anchorId="292DC36A" wp14:editId="6004C65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4B171C2" w14:textId="77777777" w:rsidR="00006F59" w:rsidRPr="009B7987" w:rsidRDefault="00006F59" w:rsidP="00006F59">
    <w:pPr>
      <w:pStyle w:val="Encabezado"/>
      <w:jc w:val="center"/>
    </w:pPr>
  </w:p>
  <w:p w14:paraId="1665FD71" w14:textId="77777777" w:rsidR="00006F59" w:rsidRPr="009B7987" w:rsidRDefault="00006F59" w:rsidP="00006F59">
    <w:pPr>
      <w:pStyle w:val="Encabezado"/>
    </w:pPr>
  </w:p>
  <w:p w14:paraId="61B882FC" w14:textId="77777777" w:rsidR="00006F59" w:rsidRPr="009B7987" w:rsidRDefault="00006F59" w:rsidP="00006F59">
    <w:pPr>
      <w:spacing w:after="0"/>
      <w:rPr>
        <w:rFonts w:ascii="Verdana" w:hAnsi="Verdana"/>
        <w:b/>
        <w:bCs/>
        <w:sz w:val="24"/>
        <w:szCs w:val="24"/>
      </w:rPr>
    </w:pPr>
  </w:p>
  <w:p w14:paraId="701A9D55" w14:textId="29EB49FC" w:rsidR="00006F59" w:rsidRPr="009B7987" w:rsidRDefault="00006F59" w:rsidP="001918F1">
    <w:pPr>
      <w:tabs>
        <w:tab w:val="left" w:pos="6217"/>
      </w:tabs>
      <w:spacing w:after="0"/>
      <w:rPr>
        <w:rFonts w:ascii="Verdana" w:hAnsi="Verdana"/>
        <w:b/>
        <w:bCs/>
        <w:sz w:val="24"/>
        <w:szCs w:val="24"/>
      </w:rPr>
    </w:pPr>
    <w:r w:rsidRPr="009B7987">
      <w:rPr>
        <w:rFonts w:ascii="Verdana" w:hAnsi="Verdana"/>
        <w:b/>
        <w:bCs/>
        <w:sz w:val="24"/>
        <w:szCs w:val="24"/>
      </w:rPr>
      <w:t>FORMATO PQRSD</w:t>
    </w:r>
  </w:p>
  <w:p w14:paraId="68E0C024" w14:textId="62811F13" w:rsidR="00B30448" w:rsidRPr="009B7987" w:rsidRDefault="00B30448" w:rsidP="00006F5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5E83FFA"/>
    <w:multiLevelType w:val="hybridMultilevel"/>
    <w:tmpl w:val="8EF612C4"/>
    <w:lvl w:ilvl="0" w:tplc="DCA0A69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 w15:restartNumberingAfterBreak="0">
    <w:nsid w:val="239D63F5"/>
    <w:multiLevelType w:val="hybridMultilevel"/>
    <w:tmpl w:val="F538EEB4"/>
    <w:lvl w:ilvl="0" w:tplc="DB68C6FA">
      <w:numFmt w:val="bullet"/>
      <w:lvlText w:val="-"/>
      <w:lvlJc w:val="left"/>
      <w:pPr>
        <w:ind w:left="1069" w:hanging="360"/>
      </w:pPr>
      <w:rPr>
        <w:rFonts w:ascii="Verdana" w:eastAsia="Calibri" w:hAnsi="Verdana"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3" w15:restartNumberingAfterBreak="0">
    <w:nsid w:val="2F2143A1"/>
    <w:multiLevelType w:val="hybridMultilevel"/>
    <w:tmpl w:val="4EB84EEC"/>
    <w:lvl w:ilvl="0" w:tplc="5E185100">
      <w:start w:val="1"/>
      <w:numFmt w:val="lowerRoman"/>
      <w:lvlText w:val="%1)"/>
      <w:lvlJc w:val="left"/>
      <w:pPr>
        <w:ind w:left="2136" w:hanging="720"/>
      </w:pPr>
      <w:rPr>
        <w:rFonts w:hint="default"/>
      </w:rPr>
    </w:lvl>
    <w:lvl w:ilvl="1" w:tplc="240A0019" w:tentative="1">
      <w:start w:val="1"/>
      <w:numFmt w:val="lowerLetter"/>
      <w:lvlText w:val="%2."/>
      <w:lvlJc w:val="left"/>
      <w:pPr>
        <w:ind w:left="2496" w:hanging="360"/>
      </w:pPr>
    </w:lvl>
    <w:lvl w:ilvl="2" w:tplc="240A001B" w:tentative="1">
      <w:start w:val="1"/>
      <w:numFmt w:val="lowerRoman"/>
      <w:lvlText w:val="%3."/>
      <w:lvlJc w:val="right"/>
      <w:pPr>
        <w:ind w:left="3216" w:hanging="180"/>
      </w:pPr>
    </w:lvl>
    <w:lvl w:ilvl="3" w:tplc="240A000F" w:tentative="1">
      <w:start w:val="1"/>
      <w:numFmt w:val="decimal"/>
      <w:lvlText w:val="%4."/>
      <w:lvlJc w:val="left"/>
      <w:pPr>
        <w:ind w:left="3936" w:hanging="360"/>
      </w:pPr>
    </w:lvl>
    <w:lvl w:ilvl="4" w:tplc="240A0019" w:tentative="1">
      <w:start w:val="1"/>
      <w:numFmt w:val="lowerLetter"/>
      <w:lvlText w:val="%5."/>
      <w:lvlJc w:val="left"/>
      <w:pPr>
        <w:ind w:left="4656" w:hanging="360"/>
      </w:pPr>
    </w:lvl>
    <w:lvl w:ilvl="5" w:tplc="240A001B" w:tentative="1">
      <w:start w:val="1"/>
      <w:numFmt w:val="lowerRoman"/>
      <w:lvlText w:val="%6."/>
      <w:lvlJc w:val="right"/>
      <w:pPr>
        <w:ind w:left="5376" w:hanging="180"/>
      </w:pPr>
    </w:lvl>
    <w:lvl w:ilvl="6" w:tplc="240A000F" w:tentative="1">
      <w:start w:val="1"/>
      <w:numFmt w:val="decimal"/>
      <w:lvlText w:val="%7."/>
      <w:lvlJc w:val="left"/>
      <w:pPr>
        <w:ind w:left="6096" w:hanging="360"/>
      </w:pPr>
    </w:lvl>
    <w:lvl w:ilvl="7" w:tplc="240A0019" w:tentative="1">
      <w:start w:val="1"/>
      <w:numFmt w:val="lowerLetter"/>
      <w:lvlText w:val="%8."/>
      <w:lvlJc w:val="left"/>
      <w:pPr>
        <w:ind w:left="6816" w:hanging="360"/>
      </w:pPr>
    </w:lvl>
    <w:lvl w:ilvl="8" w:tplc="240A001B" w:tentative="1">
      <w:start w:val="1"/>
      <w:numFmt w:val="lowerRoman"/>
      <w:lvlText w:val="%9."/>
      <w:lvlJc w:val="right"/>
      <w:pPr>
        <w:ind w:left="7536" w:hanging="180"/>
      </w:pPr>
    </w:lvl>
  </w:abstractNum>
  <w:abstractNum w:abstractNumId="4" w15:restartNumberingAfterBreak="0">
    <w:nsid w:val="2F2F4AAF"/>
    <w:multiLevelType w:val="hybridMultilevel"/>
    <w:tmpl w:val="8780C6F4"/>
    <w:lvl w:ilvl="0" w:tplc="5594678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5"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388E5AE1"/>
    <w:multiLevelType w:val="hybridMultilevel"/>
    <w:tmpl w:val="1B62FAF4"/>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39CD3660"/>
    <w:multiLevelType w:val="hybridMultilevel"/>
    <w:tmpl w:val="DCEE24D0"/>
    <w:lvl w:ilvl="0" w:tplc="7D9E7E62">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3D5D596E"/>
    <w:multiLevelType w:val="hybridMultilevel"/>
    <w:tmpl w:val="88DE2ABC"/>
    <w:lvl w:ilvl="0" w:tplc="ECF04718">
      <w:start w:val="1"/>
      <w:numFmt w:val="lowerRoman"/>
      <w:lvlText w:val="%1)"/>
      <w:lvlJc w:val="left"/>
      <w:pPr>
        <w:ind w:left="1429" w:hanging="720"/>
      </w:pPr>
      <w:rPr>
        <w:rFonts w:ascii="Verdana" w:eastAsia="Calibri" w:hAnsi="Verdana" w:cs="Arial"/>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0" w15:restartNumberingAfterBreak="0">
    <w:nsid w:val="418679D0"/>
    <w:multiLevelType w:val="hybridMultilevel"/>
    <w:tmpl w:val="F2F430A2"/>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1" w15:restartNumberingAfterBreak="0">
    <w:nsid w:val="475C5A77"/>
    <w:multiLevelType w:val="hybridMultilevel"/>
    <w:tmpl w:val="F5321E2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522C350D"/>
    <w:multiLevelType w:val="hybridMultilevel"/>
    <w:tmpl w:val="89B6917E"/>
    <w:lvl w:ilvl="0" w:tplc="A7B2FCBE">
      <w:start w:val="1"/>
      <w:numFmt w:val="decimal"/>
      <w:lvlText w:val="%1."/>
      <w:lvlJc w:val="left"/>
      <w:pPr>
        <w:ind w:left="1494" w:hanging="360"/>
      </w:pPr>
      <w:rPr>
        <w:rFonts w:hint="default"/>
      </w:rPr>
    </w:lvl>
    <w:lvl w:ilvl="1" w:tplc="240A0019" w:tentative="1">
      <w:start w:val="1"/>
      <w:numFmt w:val="lowerLetter"/>
      <w:lvlText w:val="%2."/>
      <w:lvlJc w:val="left"/>
      <w:pPr>
        <w:ind w:left="2214" w:hanging="360"/>
      </w:pPr>
    </w:lvl>
    <w:lvl w:ilvl="2" w:tplc="240A001B" w:tentative="1">
      <w:start w:val="1"/>
      <w:numFmt w:val="lowerRoman"/>
      <w:lvlText w:val="%3."/>
      <w:lvlJc w:val="right"/>
      <w:pPr>
        <w:ind w:left="2934" w:hanging="180"/>
      </w:pPr>
    </w:lvl>
    <w:lvl w:ilvl="3" w:tplc="240A000F" w:tentative="1">
      <w:start w:val="1"/>
      <w:numFmt w:val="decimal"/>
      <w:lvlText w:val="%4."/>
      <w:lvlJc w:val="left"/>
      <w:pPr>
        <w:ind w:left="3654" w:hanging="360"/>
      </w:pPr>
    </w:lvl>
    <w:lvl w:ilvl="4" w:tplc="240A0019" w:tentative="1">
      <w:start w:val="1"/>
      <w:numFmt w:val="lowerLetter"/>
      <w:lvlText w:val="%5."/>
      <w:lvlJc w:val="left"/>
      <w:pPr>
        <w:ind w:left="4374" w:hanging="360"/>
      </w:pPr>
    </w:lvl>
    <w:lvl w:ilvl="5" w:tplc="240A001B" w:tentative="1">
      <w:start w:val="1"/>
      <w:numFmt w:val="lowerRoman"/>
      <w:lvlText w:val="%6."/>
      <w:lvlJc w:val="right"/>
      <w:pPr>
        <w:ind w:left="5094" w:hanging="180"/>
      </w:pPr>
    </w:lvl>
    <w:lvl w:ilvl="6" w:tplc="240A000F" w:tentative="1">
      <w:start w:val="1"/>
      <w:numFmt w:val="decimal"/>
      <w:lvlText w:val="%7."/>
      <w:lvlJc w:val="left"/>
      <w:pPr>
        <w:ind w:left="5814" w:hanging="360"/>
      </w:pPr>
    </w:lvl>
    <w:lvl w:ilvl="7" w:tplc="240A0019" w:tentative="1">
      <w:start w:val="1"/>
      <w:numFmt w:val="lowerLetter"/>
      <w:lvlText w:val="%8."/>
      <w:lvlJc w:val="left"/>
      <w:pPr>
        <w:ind w:left="6534" w:hanging="360"/>
      </w:pPr>
    </w:lvl>
    <w:lvl w:ilvl="8" w:tplc="240A001B" w:tentative="1">
      <w:start w:val="1"/>
      <w:numFmt w:val="lowerRoman"/>
      <w:lvlText w:val="%9."/>
      <w:lvlJc w:val="right"/>
      <w:pPr>
        <w:ind w:left="7254" w:hanging="180"/>
      </w:pPr>
    </w:lvl>
  </w:abstractNum>
  <w:abstractNum w:abstractNumId="13" w15:restartNumberingAfterBreak="0">
    <w:nsid w:val="540506B6"/>
    <w:multiLevelType w:val="hybridMultilevel"/>
    <w:tmpl w:val="974E04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604178A9"/>
    <w:multiLevelType w:val="hybridMultilevel"/>
    <w:tmpl w:val="7486A3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620101A4"/>
    <w:multiLevelType w:val="hybridMultilevel"/>
    <w:tmpl w:val="717C38BE"/>
    <w:lvl w:ilvl="0" w:tplc="FFFFFFFF">
      <w:start w:val="1"/>
      <w:numFmt w:val="lowerRoman"/>
      <w:lvlText w:val="%1)"/>
      <w:lvlJc w:val="left"/>
      <w:pPr>
        <w:ind w:left="1429" w:hanging="720"/>
      </w:pPr>
      <w:rPr>
        <w:rFonts w:ascii="Verdana" w:eastAsia="Calibri" w:hAnsi="Verdana" w:cs="Arial"/>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6" w15:restartNumberingAfterBreak="0">
    <w:nsid w:val="77681820"/>
    <w:multiLevelType w:val="hybridMultilevel"/>
    <w:tmpl w:val="978A04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7DD23916"/>
    <w:multiLevelType w:val="multilevel"/>
    <w:tmpl w:val="89F2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30140246">
    <w:abstractNumId w:val="0"/>
  </w:num>
  <w:num w:numId="2" w16cid:durableId="1492209491">
    <w:abstractNumId w:val="5"/>
  </w:num>
  <w:num w:numId="3" w16cid:durableId="679089576">
    <w:abstractNumId w:val="8"/>
  </w:num>
  <w:num w:numId="4" w16cid:durableId="893472101">
    <w:abstractNumId w:val="2"/>
  </w:num>
  <w:num w:numId="5" w16cid:durableId="1982299905">
    <w:abstractNumId w:val="17"/>
  </w:num>
  <w:num w:numId="6" w16cid:durableId="130758360">
    <w:abstractNumId w:val="11"/>
  </w:num>
  <w:num w:numId="7" w16cid:durableId="262541512">
    <w:abstractNumId w:val="16"/>
  </w:num>
  <w:num w:numId="8" w16cid:durableId="1947226218">
    <w:abstractNumId w:val="7"/>
  </w:num>
  <w:num w:numId="9" w16cid:durableId="1180706126">
    <w:abstractNumId w:val="10"/>
  </w:num>
  <w:num w:numId="10" w16cid:durableId="2097506960">
    <w:abstractNumId w:val="14"/>
  </w:num>
  <w:num w:numId="11" w16cid:durableId="1977490869">
    <w:abstractNumId w:val="13"/>
  </w:num>
  <w:num w:numId="12" w16cid:durableId="158663248">
    <w:abstractNumId w:val="12"/>
  </w:num>
  <w:num w:numId="13" w16cid:durableId="2024085788">
    <w:abstractNumId w:val="1"/>
  </w:num>
  <w:num w:numId="14" w16cid:durableId="1885099950">
    <w:abstractNumId w:val="6"/>
  </w:num>
  <w:num w:numId="15" w16cid:durableId="32047459">
    <w:abstractNumId w:val="3"/>
  </w:num>
  <w:num w:numId="16" w16cid:durableId="1192261824">
    <w:abstractNumId w:val="4"/>
  </w:num>
  <w:num w:numId="17" w16cid:durableId="375933272">
    <w:abstractNumId w:val="9"/>
  </w:num>
  <w:num w:numId="18" w16cid:durableId="61093999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B12"/>
    <w:rsid w:val="00001B99"/>
    <w:rsid w:val="00001E39"/>
    <w:rsid w:val="00002920"/>
    <w:rsid w:val="00002D55"/>
    <w:rsid w:val="0000399A"/>
    <w:rsid w:val="00005225"/>
    <w:rsid w:val="000054DB"/>
    <w:rsid w:val="0000587D"/>
    <w:rsid w:val="000059AE"/>
    <w:rsid w:val="00005BB0"/>
    <w:rsid w:val="00006F59"/>
    <w:rsid w:val="00007382"/>
    <w:rsid w:val="0001025F"/>
    <w:rsid w:val="0001155E"/>
    <w:rsid w:val="00011613"/>
    <w:rsid w:val="00011D3C"/>
    <w:rsid w:val="0001222D"/>
    <w:rsid w:val="00012679"/>
    <w:rsid w:val="00012EDA"/>
    <w:rsid w:val="00013B3F"/>
    <w:rsid w:val="00014981"/>
    <w:rsid w:val="00014B0D"/>
    <w:rsid w:val="00016280"/>
    <w:rsid w:val="0001672C"/>
    <w:rsid w:val="00016F04"/>
    <w:rsid w:val="00017870"/>
    <w:rsid w:val="00021068"/>
    <w:rsid w:val="00021595"/>
    <w:rsid w:val="000219D1"/>
    <w:rsid w:val="00021C3A"/>
    <w:rsid w:val="0002202D"/>
    <w:rsid w:val="00022C23"/>
    <w:rsid w:val="00023DF7"/>
    <w:rsid w:val="000267DD"/>
    <w:rsid w:val="000273EA"/>
    <w:rsid w:val="00027B63"/>
    <w:rsid w:val="00027CA9"/>
    <w:rsid w:val="00030B3D"/>
    <w:rsid w:val="00030BC5"/>
    <w:rsid w:val="00030BFB"/>
    <w:rsid w:val="00031DA1"/>
    <w:rsid w:val="00031EAF"/>
    <w:rsid w:val="00033390"/>
    <w:rsid w:val="000361EA"/>
    <w:rsid w:val="000369C0"/>
    <w:rsid w:val="0003731A"/>
    <w:rsid w:val="00037A8B"/>
    <w:rsid w:val="00040372"/>
    <w:rsid w:val="000408AD"/>
    <w:rsid w:val="00041469"/>
    <w:rsid w:val="0004180C"/>
    <w:rsid w:val="000419D7"/>
    <w:rsid w:val="00042DD7"/>
    <w:rsid w:val="000442CC"/>
    <w:rsid w:val="000442DE"/>
    <w:rsid w:val="00044B24"/>
    <w:rsid w:val="0004508D"/>
    <w:rsid w:val="0004709D"/>
    <w:rsid w:val="000504AA"/>
    <w:rsid w:val="0005086B"/>
    <w:rsid w:val="00050C95"/>
    <w:rsid w:val="00050CAD"/>
    <w:rsid w:val="0005142D"/>
    <w:rsid w:val="00051A3C"/>
    <w:rsid w:val="00051BE4"/>
    <w:rsid w:val="00051E96"/>
    <w:rsid w:val="000526A8"/>
    <w:rsid w:val="00052EF1"/>
    <w:rsid w:val="0005420B"/>
    <w:rsid w:val="000551CB"/>
    <w:rsid w:val="0005620B"/>
    <w:rsid w:val="00057392"/>
    <w:rsid w:val="000577A2"/>
    <w:rsid w:val="000577D3"/>
    <w:rsid w:val="00057963"/>
    <w:rsid w:val="000579AB"/>
    <w:rsid w:val="00060AE4"/>
    <w:rsid w:val="000622B9"/>
    <w:rsid w:val="00063B4B"/>
    <w:rsid w:val="00064721"/>
    <w:rsid w:val="00064D60"/>
    <w:rsid w:val="00065973"/>
    <w:rsid w:val="00065C6D"/>
    <w:rsid w:val="000665D3"/>
    <w:rsid w:val="00066646"/>
    <w:rsid w:val="00066C7A"/>
    <w:rsid w:val="00066CF1"/>
    <w:rsid w:val="0007144A"/>
    <w:rsid w:val="000716AB"/>
    <w:rsid w:val="00071AB8"/>
    <w:rsid w:val="0007243A"/>
    <w:rsid w:val="000762C0"/>
    <w:rsid w:val="00076737"/>
    <w:rsid w:val="00076C2B"/>
    <w:rsid w:val="00076C73"/>
    <w:rsid w:val="00076F81"/>
    <w:rsid w:val="000779DE"/>
    <w:rsid w:val="000800B6"/>
    <w:rsid w:val="00081B03"/>
    <w:rsid w:val="000847A0"/>
    <w:rsid w:val="00084BFD"/>
    <w:rsid w:val="00087073"/>
    <w:rsid w:val="0008739A"/>
    <w:rsid w:val="000875BD"/>
    <w:rsid w:val="000878E7"/>
    <w:rsid w:val="00087A3B"/>
    <w:rsid w:val="00087C01"/>
    <w:rsid w:val="000903E4"/>
    <w:rsid w:val="000906E3"/>
    <w:rsid w:val="00091D73"/>
    <w:rsid w:val="000933B5"/>
    <w:rsid w:val="000933BC"/>
    <w:rsid w:val="00093544"/>
    <w:rsid w:val="00093D95"/>
    <w:rsid w:val="00094663"/>
    <w:rsid w:val="00095410"/>
    <w:rsid w:val="00095E48"/>
    <w:rsid w:val="00096637"/>
    <w:rsid w:val="0009726B"/>
    <w:rsid w:val="00097285"/>
    <w:rsid w:val="000975EA"/>
    <w:rsid w:val="000A021A"/>
    <w:rsid w:val="000A1828"/>
    <w:rsid w:val="000A1D06"/>
    <w:rsid w:val="000A1F38"/>
    <w:rsid w:val="000A2030"/>
    <w:rsid w:val="000A37F5"/>
    <w:rsid w:val="000A413A"/>
    <w:rsid w:val="000A4F1E"/>
    <w:rsid w:val="000A5881"/>
    <w:rsid w:val="000A66A1"/>
    <w:rsid w:val="000A69FB"/>
    <w:rsid w:val="000B1087"/>
    <w:rsid w:val="000B199A"/>
    <w:rsid w:val="000B1FF7"/>
    <w:rsid w:val="000B2529"/>
    <w:rsid w:val="000B2B7C"/>
    <w:rsid w:val="000B377E"/>
    <w:rsid w:val="000B381D"/>
    <w:rsid w:val="000B3DD4"/>
    <w:rsid w:val="000B4024"/>
    <w:rsid w:val="000B44BA"/>
    <w:rsid w:val="000B5311"/>
    <w:rsid w:val="000B5313"/>
    <w:rsid w:val="000B5C65"/>
    <w:rsid w:val="000B6BE9"/>
    <w:rsid w:val="000C02AD"/>
    <w:rsid w:val="000C060A"/>
    <w:rsid w:val="000C07B0"/>
    <w:rsid w:val="000C09DF"/>
    <w:rsid w:val="000C0AA8"/>
    <w:rsid w:val="000C18BD"/>
    <w:rsid w:val="000C1FC8"/>
    <w:rsid w:val="000C36E1"/>
    <w:rsid w:val="000C42A9"/>
    <w:rsid w:val="000C42C6"/>
    <w:rsid w:val="000C50D6"/>
    <w:rsid w:val="000C557B"/>
    <w:rsid w:val="000C5A85"/>
    <w:rsid w:val="000C5F29"/>
    <w:rsid w:val="000C5F48"/>
    <w:rsid w:val="000C66BF"/>
    <w:rsid w:val="000D0372"/>
    <w:rsid w:val="000D0ADE"/>
    <w:rsid w:val="000D1A8F"/>
    <w:rsid w:val="000D2914"/>
    <w:rsid w:val="000D2E60"/>
    <w:rsid w:val="000D2F50"/>
    <w:rsid w:val="000D3275"/>
    <w:rsid w:val="000D3A1B"/>
    <w:rsid w:val="000D3B86"/>
    <w:rsid w:val="000D5008"/>
    <w:rsid w:val="000D570C"/>
    <w:rsid w:val="000D5A0F"/>
    <w:rsid w:val="000D5B1E"/>
    <w:rsid w:val="000D5D9B"/>
    <w:rsid w:val="000D5E3F"/>
    <w:rsid w:val="000D6532"/>
    <w:rsid w:val="000D6E33"/>
    <w:rsid w:val="000E0622"/>
    <w:rsid w:val="000E07AA"/>
    <w:rsid w:val="000E1D6F"/>
    <w:rsid w:val="000E2D0D"/>
    <w:rsid w:val="000E3381"/>
    <w:rsid w:val="000E3744"/>
    <w:rsid w:val="000E3CD9"/>
    <w:rsid w:val="000E481D"/>
    <w:rsid w:val="000E4DBF"/>
    <w:rsid w:val="000E4DF2"/>
    <w:rsid w:val="000E77CC"/>
    <w:rsid w:val="000F0144"/>
    <w:rsid w:val="000F0807"/>
    <w:rsid w:val="000F080D"/>
    <w:rsid w:val="000F0B3C"/>
    <w:rsid w:val="000F13D5"/>
    <w:rsid w:val="000F1AD8"/>
    <w:rsid w:val="000F2F4C"/>
    <w:rsid w:val="000F38D9"/>
    <w:rsid w:val="000F3CED"/>
    <w:rsid w:val="000F414C"/>
    <w:rsid w:val="000F64FC"/>
    <w:rsid w:val="000F696E"/>
    <w:rsid w:val="000F6C10"/>
    <w:rsid w:val="000F718E"/>
    <w:rsid w:val="001001F2"/>
    <w:rsid w:val="00100207"/>
    <w:rsid w:val="001003C6"/>
    <w:rsid w:val="00100682"/>
    <w:rsid w:val="001010D3"/>
    <w:rsid w:val="0010144A"/>
    <w:rsid w:val="00101C11"/>
    <w:rsid w:val="00102F4F"/>
    <w:rsid w:val="001034DD"/>
    <w:rsid w:val="00104425"/>
    <w:rsid w:val="00104B4C"/>
    <w:rsid w:val="001055A2"/>
    <w:rsid w:val="0010682A"/>
    <w:rsid w:val="00106C4C"/>
    <w:rsid w:val="00107DEF"/>
    <w:rsid w:val="0011037E"/>
    <w:rsid w:val="00110404"/>
    <w:rsid w:val="001109E8"/>
    <w:rsid w:val="00110F73"/>
    <w:rsid w:val="00111E35"/>
    <w:rsid w:val="001128B4"/>
    <w:rsid w:val="00112EBD"/>
    <w:rsid w:val="001132C2"/>
    <w:rsid w:val="0011382D"/>
    <w:rsid w:val="00113AF2"/>
    <w:rsid w:val="00113C17"/>
    <w:rsid w:val="00114051"/>
    <w:rsid w:val="00114973"/>
    <w:rsid w:val="00114CFF"/>
    <w:rsid w:val="00114FDF"/>
    <w:rsid w:val="0011650B"/>
    <w:rsid w:val="00116616"/>
    <w:rsid w:val="00116FC5"/>
    <w:rsid w:val="00117163"/>
    <w:rsid w:val="00117BBD"/>
    <w:rsid w:val="001202DF"/>
    <w:rsid w:val="00120F1B"/>
    <w:rsid w:val="001213E7"/>
    <w:rsid w:val="001224BA"/>
    <w:rsid w:val="001238BC"/>
    <w:rsid w:val="00124518"/>
    <w:rsid w:val="001248AB"/>
    <w:rsid w:val="00124981"/>
    <w:rsid w:val="00124B2E"/>
    <w:rsid w:val="001256A1"/>
    <w:rsid w:val="00125D81"/>
    <w:rsid w:val="00126301"/>
    <w:rsid w:val="0012661F"/>
    <w:rsid w:val="00126966"/>
    <w:rsid w:val="001269B0"/>
    <w:rsid w:val="00126B24"/>
    <w:rsid w:val="00127234"/>
    <w:rsid w:val="001276C4"/>
    <w:rsid w:val="00127C68"/>
    <w:rsid w:val="00127D5B"/>
    <w:rsid w:val="00131373"/>
    <w:rsid w:val="001314A0"/>
    <w:rsid w:val="00131A1F"/>
    <w:rsid w:val="00131A66"/>
    <w:rsid w:val="00131F9C"/>
    <w:rsid w:val="00132336"/>
    <w:rsid w:val="00132425"/>
    <w:rsid w:val="0013280A"/>
    <w:rsid w:val="0013343F"/>
    <w:rsid w:val="001344F9"/>
    <w:rsid w:val="00134F37"/>
    <w:rsid w:val="00135F76"/>
    <w:rsid w:val="001360E9"/>
    <w:rsid w:val="001360F4"/>
    <w:rsid w:val="001363C7"/>
    <w:rsid w:val="00136E87"/>
    <w:rsid w:val="00140793"/>
    <w:rsid w:val="001422BD"/>
    <w:rsid w:val="0014286D"/>
    <w:rsid w:val="00143B8E"/>
    <w:rsid w:val="00143F21"/>
    <w:rsid w:val="0014420C"/>
    <w:rsid w:val="001446C3"/>
    <w:rsid w:val="001461A7"/>
    <w:rsid w:val="00146946"/>
    <w:rsid w:val="00146E7C"/>
    <w:rsid w:val="00150492"/>
    <w:rsid w:val="001513CE"/>
    <w:rsid w:val="00151465"/>
    <w:rsid w:val="00151AD8"/>
    <w:rsid w:val="00151E77"/>
    <w:rsid w:val="00153287"/>
    <w:rsid w:val="001533E6"/>
    <w:rsid w:val="001538BE"/>
    <w:rsid w:val="00153C33"/>
    <w:rsid w:val="00155198"/>
    <w:rsid w:val="00155EF1"/>
    <w:rsid w:val="00156192"/>
    <w:rsid w:val="00156E57"/>
    <w:rsid w:val="0015710D"/>
    <w:rsid w:val="00157338"/>
    <w:rsid w:val="00157CE5"/>
    <w:rsid w:val="00157DEB"/>
    <w:rsid w:val="001610BC"/>
    <w:rsid w:val="00161847"/>
    <w:rsid w:val="00161E13"/>
    <w:rsid w:val="001629D8"/>
    <w:rsid w:val="00162B2A"/>
    <w:rsid w:val="00162B8D"/>
    <w:rsid w:val="00162F9F"/>
    <w:rsid w:val="00164803"/>
    <w:rsid w:val="00164AE0"/>
    <w:rsid w:val="00165BF5"/>
    <w:rsid w:val="0016646A"/>
    <w:rsid w:val="00167C43"/>
    <w:rsid w:val="001706C9"/>
    <w:rsid w:val="0017120C"/>
    <w:rsid w:val="0017150D"/>
    <w:rsid w:val="001727D7"/>
    <w:rsid w:val="00172C96"/>
    <w:rsid w:val="00172DDC"/>
    <w:rsid w:val="00172F3A"/>
    <w:rsid w:val="00173477"/>
    <w:rsid w:val="0017414F"/>
    <w:rsid w:val="0017432C"/>
    <w:rsid w:val="00174636"/>
    <w:rsid w:val="00174735"/>
    <w:rsid w:val="0017481D"/>
    <w:rsid w:val="00174B1B"/>
    <w:rsid w:val="00174BD8"/>
    <w:rsid w:val="00174D51"/>
    <w:rsid w:val="001750BC"/>
    <w:rsid w:val="001765BB"/>
    <w:rsid w:val="0017667E"/>
    <w:rsid w:val="001766D3"/>
    <w:rsid w:val="00176AE8"/>
    <w:rsid w:val="00176E76"/>
    <w:rsid w:val="00177570"/>
    <w:rsid w:val="00177E95"/>
    <w:rsid w:val="0018007F"/>
    <w:rsid w:val="001811FC"/>
    <w:rsid w:val="00182338"/>
    <w:rsid w:val="00182348"/>
    <w:rsid w:val="00183F50"/>
    <w:rsid w:val="00184BD9"/>
    <w:rsid w:val="00184ED6"/>
    <w:rsid w:val="00184F13"/>
    <w:rsid w:val="00184FD9"/>
    <w:rsid w:val="00186037"/>
    <w:rsid w:val="00186AE4"/>
    <w:rsid w:val="00186D14"/>
    <w:rsid w:val="001876D8"/>
    <w:rsid w:val="00190325"/>
    <w:rsid w:val="00190391"/>
    <w:rsid w:val="0019151E"/>
    <w:rsid w:val="00191593"/>
    <w:rsid w:val="001918F1"/>
    <w:rsid w:val="0019196E"/>
    <w:rsid w:val="00191FF5"/>
    <w:rsid w:val="001926D7"/>
    <w:rsid w:val="00192CCE"/>
    <w:rsid w:val="0019385B"/>
    <w:rsid w:val="00193F1C"/>
    <w:rsid w:val="001948F5"/>
    <w:rsid w:val="00194958"/>
    <w:rsid w:val="00196359"/>
    <w:rsid w:val="00197205"/>
    <w:rsid w:val="00197632"/>
    <w:rsid w:val="0019793F"/>
    <w:rsid w:val="00197A9D"/>
    <w:rsid w:val="001A08E7"/>
    <w:rsid w:val="001A17D7"/>
    <w:rsid w:val="001A1FDD"/>
    <w:rsid w:val="001A2D8F"/>
    <w:rsid w:val="001A3D89"/>
    <w:rsid w:val="001A5458"/>
    <w:rsid w:val="001A545B"/>
    <w:rsid w:val="001A54DA"/>
    <w:rsid w:val="001A5E69"/>
    <w:rsid w:val="001A6861"/>
    <w:rsid w:val="001A6FEC"/>
    <w:rsid w:val="001A78AA"/>
    <w:rsid w:val="001B08B5"/>
    <w:rsid w:val="001B143B"/>
    <w:rsid w:val="001B1532"/>
    <w:rsid w:val="001B1777"/>
    <w:rsid w:val="001B19C5"/>
    <w:rsid w:val="001B1B6D"/>
    <w:rsid w:val="001B1C93"/>
    <w:rsid w:val="001B21CA"/>
    <w:rsid w:val="001B28D5"/>
    <w:rsid w:val="001B28E4"/>
    <w:rsid w:val="001B35D4"/>
    <w:rsid w:val="001B4446"/>
    <w:rsid w:val="001B5A00"/>
    <w:rsid w:val="001B5F59"/>
    <w:rsid w:val="001B63A7"/>
    <w:rsid w:val="001B6810"/>
    <w:rsid w:val="001B6E89"/>
    <w:rsid w:val="001C0125"/>
    <w:rsid w:val="001C1074"/>
    <w:rsid w:val="001C21C8"/>
    <w:rsid w:val="001C25F5"/>
    <w:rsid w:val="001C34D0"/>
    <w:rsid w:val="001C4249"/>
    <w:rsid w:val="001C46E3"/>
    <w:rsid w:val="001C4F27"/>
    <w:rsid w:val="001C6573"/>
    <w:rsid w:val="001C7D03"/>
    <w:rsid w:val="001D00BE"/>
    <w:rsid w:val="001D079B"/>
    <w:rsid w:val="001D0D32"/>
    <w:rsid w:val="001D17C9"/>
    <w:rsid w:val="001D1AB9"/>
    <w:rsid w:val="001D1F20"/>
    <w:rsid w:val="001D3795"/>
    <w:rsid w:val="001D4006"/>
    <w:rsid w:val="001D54BD"/>
    <w:rsid w:val="001D5C72"/>
    <w:rsid w:val="001D626E"/>
    <w:rsid w:val="001D733B"/>
    <w:rsid w:val="001E0902"/>
    <w:rsid w:val="001E1801"/>
    <w:rsid w:val="001E1C73"/>
    <w:rsid w:val="001E1E05"/>
    <w:rsid w:val="001E22D2"/>
    <w:rsid w:val="001E2343"/>
    <w:rsid w:val="001E3A17"/>
    <w:rsid w:val="001E3FCB"/>
    <w:rsid w:val="001E52DF"/>
    <w:rsid w:val="001E6BCB"/>
    <w:rsid w:val="001E783B"/>
    <w:rsid w:val="001E7FBC"/>
    <w:rsid w:val="001F0822"/>
    <w:rsid w:val="001F08CB"/>
    <w:rsid w:val="001F15F6"/>
    <w:rsid w:val="001F179C"/>
    <w:rsid w:val="001F24B7"/>
    <w:rsid w:val="001F2649"/>
    <w:rsid w:val="001F3496"/>
    <w:rsid w:val="001F41CA"/>
    <w:rsid w:val="001F4355"/>
    <w:rsid w:val="001F4819"/>
    <w:rsid w:val="001F5034"/>
    <w:rsid w:val="001F61DE"/>
    <w:rsid w:val="001F7054"/>
    <w:rsid w:val="001F7DB7"/>
    <w:rsid w:val="002000AA"/>
    <w:rsid w:val="00201502"/>
    <w:rsid w:val="0020302A"/>
    <w:rsid w:val="002032A0"/>
    <w:rsid w:val="00203532"/>
    <w:rsid w:val="00203AE0"/>
    <w:rsid w:val="00204106"/>
    <w:rsid w:val="00204109"/>
    <w:rsid w:val="00205041"/>
    <w:rsid w:val="0020524C"/>
    <w:rsid w:val="002059E3"/>
    <w:rsid w:val="002100FF"/>
    <w:rsid w:val="00210B9B"/>
    <w:rsid w:val="002118D1"/>
    <w:rsid w:val="00211DCE"/>
    <w:rsid w:val="00212390"/>
    <w:rsid w:val="00212897"/>
    <w:rsid w:val="0021386A"/>
    <w:rsid w:val="00213C44"/>
    <w:rsid w:val="002147EE"/>
    <w:rsid w:val="00215516"/>
    <w:rsid w:val="002159D5"/>
    <w:rsid w:val="00215B64"/>
    <w:rsid w:val="00215C05"/>
    <w:rsid w:val="002161E3"/>
    <w:rsid w:val="00216DF5"/>
    <w:rsid w:val="00216EFA"/>
    <w:rsid w:val="0021798E"/>
    <w:rsid w:val="00217CA1"/>
    <w:rsid w:val="00217DEE"/>
    <w:rsid w:val="002203BF"/>
    <w:rsid w:val="00220C4C"/>
    <w:rsid w:val="00220E95"/>
    <w:rsid w:val="002217FE"/>
    <w:rsid w:val="0022180C"/>
    <w:rsid w:val="00221C72"/>
    <w:rsid w:val="002223E1"/>
    <w:rsid w:val="002225AB"/>
    <w:rsid w:val="002231B0"/>
    <w:rsid w:val="002250D1"/>
    <w:rsid w:val="002267D2"/>
    <w:rsid w:val="00230839"/>
    <w:rsid w:val="00230EE8"/>
    <w:rsid w:val="00231ADB"/>
    <w:rsid w:val="00232178"/>
    <w:rsid w:val="00232248"/>
    <w:rsid w:val="00232D12"/>
    <w:rsid w:val="00233616"/>
    <w:rsid w:val="00233975"/>
    <w:rsid w:val="00233B8C"/>
    <w:rsid w:val="002353E3"/>
    <w:rsid w:val="00235CC0"/>
    <w:rsid w:val="00235F30"/>
    <w:rsid w:val="00236287"/>
    <w:rsid w:val="002363FF"/>
    <w:rsid w:val="00236D10"/>
    <w:rsid w:val="002407CE"/>
    <w:rsid w:val="00242325"/>
    <w:rsid w:val="00243A38"/>
    <w:rsid w:val="0024474F"/>
    <w:rsid w:val="00244761"/>
    <w:rsid w:val="002450F2"/>
    <w:rsid w:val="00245B7F"/>
    <w:rsid w:val="002469C2"/>
    <w:rsid w:val="00247BDE"/>
    <w:rsid w:val="00247DE2"/>
    <w:rsid w:val="002505DE"/>
    <w:rsid w:val="002514FA"/>
    <w:rsid w:val="00251DAF"/>
    <w:rsid w:val="00252503"/>
    <w:rsid w:val="00252ED7"/>
    <w:rsid w:val="0025393C"/>
    <w:rsid w:val="002549E7"/>
    <w:rsid w:val="00254A7A"/>
    <w:rsid w:val="00254EA4"/>
    <w:rsid w:val="0025509C"/>
    <w:rsid w:val="002552F8"/>
    <w:rsid w:val="0025575F"/>
    <w:rsid w:val="002571E3"/>
    <w:rsid w:val="00260496"/>
    <w:rsid w:val="00260542"/>
    <w:rsid w:val="00260BAD"/>
    <w:rsid w:val="0026224C"/>
    <w:rsid w:val="00264C7C"/>
    <w:rsid w:val="0026650F"/>
    <w:rsid w:val="00266DC3"/>
    <w:rsid w:val="0027029D"/>
    <w:rsid w:val="00270443"/>
    <w:rsid w:val="00270EE2"/>
    <w:rsid w:val="0027138C"/>
    <w:rsid w:val="0027165A"/>
    <w:rsid w:val="00272787"/>
    <w:rsid w:val="00272826"/>
    <w:rsid w:val="00272A7B"/>
    <w:rsid w:val="00272C44"/>
    <w:rsid w:val="00272F05"/>
    <w:rsid w:val="00273527"/>
    <w:rsid w:val="00273F6B"/>
    <w:rsid w:val="002747EF"/>
    <w:rsid w:val="00274B06"/>
    <w:rsid w:val="002751D6"/>
    <w:rsid w:val="002754D3"/>
    <w:rsid w:val="00276944"/>
    <w:rsid w:val="00276964"/>
    <w:rsid w:val="002769AE"/>
    <w:rsid w:val="002817A6"/>
    <w:rsid w:val="002821E8"/>
    <w:rsid w:val="00282F1D"/>
    <w:rsid w:val="00283215"/>
    <w:rsid w:val="002833F3"/>
    <w:rsid w:val="00284203"/>
    <w:rsid w:val="00285237"/>
    <w:rsid w:val="00285E3F"/>
    <w:rsid w:val="0028610D"/>
    <w:rsid w:val="002862CC"/>
    <w:rsid w:val="00286BFE"/>
    <w:rsid w:val="00286C81"/>
    <w:rsid w:val="0028703E"/>
    <w:rsid w:val="0028709F"/>
    <w:rsid w:val="0028717B"/>
    <w:rsid w:val="00287524"/>
    <w:rsid w:val="00290119"/>
    <w:rsid w:val="0029040D"/>
    <w:rsid w:val="002908F8"/>
    <w:rsid w:val="00290A53"/>
    <w:rsid w:val="00290B64"/>
    <w:rsid w:val="00291CB7"/>
    <w:rsid w:val="00292E91"/>
    <w:rsid w:val="002930AD"/>
    <w:rsid w:val="00293254"/>
    <w:rsid w:val="00295002"/>
    <w:rsid w:val="0029568E"/>
    <w:rsid w:val="00295E8C"/>
    <w:rsid w:val="002971C7"/>
    <w:rsid w:val="002971F2"/>
    <w:rsid w:val="00297785"/>
    <w:rsid w:val="00297E05"/>
    <w:rsid w:val="002A0444"/>
    <w:rsid w:val="002A0F8D"/>
    <w:rsid w:val="002A1311"/>
    <w:rsid w:val="002A1377"/>
    <w:rsid w:val="002A211A"/>
    <w:rsid w:val="002A264B"/>
    <w:rsid w:val="002A4A82"/>
    <w:rsid w:val="002A4B33"/>
    <w:rsid w:val="002A4C00"/>
    <w:rsid w:val="002A5311"/>
    <w:rsid w:val="002A5863"/>
    <w:rsid w:val="002A6E9B"/>
    <w:rsid w:val="002A6FBB"/>
    <w:rsid w:val="002B05D1"/>
    <w:rsid w:val="002B1933"/>
    <w:rsid w:val="002B20BD"/>
    <w:rsid w:val="002B2611"/>
    <w:rsid w:val="002B27D8"/>
    <w:rsid w:val="002B38D2"/>
    <w:rsid w:val="002B3A46"/>
    <w:rsid w:val="002B3F1C"/>
    <w:rsid w:val="002B401B"/>
    <w:rsid w:val="002B4ED9"/>
    <w:rsid w:val="002B4EF4"/>
    <w:rsid w:val="002B58C5"/>
    <w:rsid w:val="002B6CA2"/>
    <w:rsid w:val="002B6E44"/>
    <w:rsid w:val="002B6E8A"/>
    <w:rsid w:val="002B726F"/>
    <w:rsid w:val="002B744E"/>
    <w:rsid w:val="002B7909"/>
    <w:rsid w:val="002C000B"/>
    <w:rsid w:val="002C016F"/>
    <w:rsid w:val="002C09A8"/>
    <w:rsid w:val="002C103C"/>
    <w:rsid w:val="002C1109"/>
    <w:rsid w:val="002C12C7"/>
    <w:rsid w:val="002C1E93"/>
    <w:rsid w:val="002C29EB"/>
    <w:rsid w:val="002C30F0"/>
    <w:rsid w:val="002C401A"/>
    <w:rsid w:val="002C479B"/>
    <w:rsid w:val="002C532B"/>
    <w:rsid w:val="002C6D15"/>
    <w:rsid w:val="002C72F4"/>
    <w:rsid w:val="002C7E5B"/>
    <w:rsid w:val="002D0907"/>
    <w:rsid w:val="002D0E9E"/>
    <w:rsid w:val="002D1381"/>
    <w:rsid w:val="002D2D68"/>
    <w:rsid w:val="002D2F69"/>
    <w:rsid w:val="002D3067"/>
    <w:rsid w:val="002D38D9"/>
    <w:rsid w:val="002D3CE3"/>
    <w:rsid w:val="002D4298"/>
    <w:rsid w:val="002D47E8"/>
    <w:rsid w:val="002D4FCC"/>
    <w:rsid w:val="002D5FD5"/>
    <w:rsid w:val="002D68F4"/>
    <w:rsid w:val="002D7417"/>
    <w:rsid w:val="002D782B"/>
    <w:rsid w:val="002E0D9C"/>
    <w:rsid w:val="002E1247"/>
    <w:rsid w:val="002E26E8"/>
    <w:rsid w:val="002E3DD8"/>
    <w:rsid w:val="002E3ED8"/>
    <w:rsid w:val="002E5A01"/>
    <w:rsid w:val="002E5EA3"/>
    <w:rsid w:val="002E717C"/>
    <w:rsid w:val="002E7533"/>
    <w:rsid w:val="002E7A61"/>
    <w:rsid w:val="002F00B8"/>
    <w:rsid w:val="002F0106"/>
    <w:rsid w:val="002F03C8"/>
    <w:rsid w:val="002F188D"/>
    <w:rsid w:val="002F18A5"/>
    <w:rsid w:val="002F26F3"/>
    <w:rsid w:val="002F317F"/>
    <w:rsid w:val="002F51A2"/>
    <w:rsid w:val="002F5BA8"/>
    <w:rsid w:val="002F5E95"/>
    <w:rsid w:val="002F63CA"/>
    <w:rsid w:val="002F67B4"/>
    <w:rsid w:val="002F6F73"/>
    <w:rsid w:val="002F7AA9"/>
    <w:rsid w:val="003004E3"/>
    <w:rsid w:val="00301C0D"/>
    <w:rsid w:val="00301D7B"/>
    <w:rsid w:val="00301E19"/>
    <w:rsid w:val="003023DE"/>
    <w:rsid w:val="00303DC4"/>
    <w:rsid w:val="00304676"/>
    <w:rsid w:val="00306BE7"/>
    <w:rsid w:val="003110A2"/>
    <w:rsid w:val="00311B66"/>
    <w:rsid w:val="00311F29"/>
    <w:rsid w:val="00314036"/>
    <w:rsid w:val="00314347"/>
    <w:rsid w:val="00314C4F"/>
    <w:rsid w:val="00314FAF"/>
    <w:rsid w:val="003162A5"/>
    <w:rsid w:val="00316591"/>
    <w:rsid w:val="00320C6D"/>
    <w:rsid w:val="003213A8"/>
    <w:rsid w:val="00321FA8"/>
    <w:rsid w:val="00321FFD"/>
    <w:rsid w:val="003225AD"/>
    <w:rsid w:val="00322E18"/>
    <w:rsid w:val="00323C3D"/>
    <w:rsid w:val="00323D1D"/>
    <w:rsid w:val="00323F8A"/>
    <w:rsid w:val="00324D73"/>
    <w:rsid w:val="00326011"/>
    <w:rsid w:val="0032643D"/>
    <w:rsid w:val="00326D02"/>
    <w:rsid w:val="00327069"/>
    <w:rsid w:val="00327812"/>
    <w:rsid w:val="00327AFB"/>
    <w:rsid w:val="00327BAF"/>
    <w:rsid w:val="00327D10"/>
    <w:rsid w:val="00331894"/>
    <w:rsid w:val="00332CB8"/>
    <w:rsid w:val="00333428"/>
    <w:rsid w:val="003350B6"/>
    <w:rsid w:val="0033595E"/>
    <w:rsid w:val="0033601B"/>
    <w:rsid w:val="003364B6"/>
    <w:rsid w:val="0033764C"/>
    <w:rsid w:val="00337DF3"/>
    <w:rsid w:val="00340039"/>
    <w:rsid w:val="003400D3"/>
    <w:rsid w:val="0034024F"/>
    <w:rsid w:val="00340A77"/>
    <w:rsid w:val="00340D39"/>
    <w:rsid w:val="00340DFB"/>
    <w:rsid w:val="00341941"/>
    <w:rsid w:val="0034207A"/>
    <w:rsid w:val="0034278F"/>
    <w:rsid w:val="00342968"/>
    <w:rsid w:val="00343B47"/>
    <w:rsid w:val="0034404F"/>
    <w:rsid w:val="00344ACC"/>
    <w:rsid w:val="00345F01"/>
    <w:rsid w:val="0034654F"/>
    <w:rsid w:val="00346B28"/>
    <w:rsid w:val="00347685"/>
    <w:rsid w:val="003509A5"/>
    <w:rsid w:val="003515FD"/>
    <w:rsid w:val="003518A4"/>
    <w:rsid w:val="00351E21"/>
    <w:rsid w:val="00352327"/>
    <w:rsid w:val="00354062"/>
    <w:rsid w:val="00354405"/>
    <w:rsid w:val="00355A76"/>
    <w:rsid w:val="00355DEC"/>
    <w:rsid w:val="0035635F"/>
    <w:rsid w:val="00356E0F"/>
    <w:rsid w:val="0035700C"/>
    <w:rsid w:val="003607EE"/>
    <w:rsid w:val="00360BC8"/>
    <w:rsid w:val="00360E35"/>
    <w:rsid w:val="003617AE"/>
    <w:rsid w:val="0036215C"/>
    <w:rsid w:val="003630F7"/>
    <w:rsid w:val="0036332B"/>
    <w:rsid w:val="00363589"/>
    <w:rsid w:val="00363636"/>
    <w:rsid w:val="003651AC"/>
    <w:rsid w:val="003653AA"/>
    <w:rsid w:val="00366120"/>
    <w:rsid w:val="003661FF"/>
    <w:rsid w:val="003665A5"/>
    <w:rsid w:val="00366A0C"/>
    <w:rsid w:val="00367238"/>
    <w:rsid w:val="00367462"/>
    <w:rsid w:val="003677D5"/>
    <w:rsid w:val="0037034B"/>
    <w:rsid w:val="00370507"/>
    <w:rsid w:val="00370682"/>
    <w:rsid w:val="00370F0B"/>
    <w:rsid w:val="003718D8"/>
    <w:rsid w:val="00372A01"/>
    <w:rsid w:val="003733DF"/>
    <w:rsid w:val="00373865"/>
    <w:rsid w:val="003739DA"/>
    <w:rsid w:val="00373CE8"/>
    <w:rsid w:val="00374DB0"/>
    <w:rsid w:val="003751C7"/>
    <w:rsid w:val="00375C84"/>
    <w:rsid w:val="00376524"/>
    <w:rsid w:val="00376E3B"/>
    <w:rsid w:val="003776FE"/>
    <w:rsid w:val="00380424"/>
    <w:rsid w:val="00380868"/>
    <w:rsid w:val="00380B9B"/>
    <w:rsid w:val="003818B3"/>
    <w:rsid w:val="003819F5"/>
    <w:rsid w:val="00381A52"/>
    <w:rsid w:val="00381B57"/>
    <w:rsid w:val="00381D47"/>
    <w:rsid w:val="003821CC"/>
    <w:rsid w:val="003835F0"/>
    <w:rsid w:val="003853B1"/>
    <w:rsid w:val="003853ED"/>
    <w:rsid w:val="0038628F"/>
    <w:rsid w:val="00386421"/>
    <w:rsid w:val="0038704C"/>
    <w:rsid w:val="00387AA1"/>
    <w:rsid w:val="0039082A"/>
    <w:rsid w:val="0039101F"/>
    <w:rsid w:val="00392EDB"/>
    <w:rsid w:val="00392FAE"/>
    <w:rsid w:val="003931AA"/>
    <w:rsid w:val="00393EEE"/>
    <w:rsid w:val="00394D45"/>
    <w:rsid w:val="00395132"/>
    <w:rsid w:val="00395D99"/>
    <w:rsid w:val="003968DF"/>
    <w:rsid w:val="003976C3"/>
    <w:rsid w:val="00397A03"/>
    <w:rsid w:val="00397A64"/>
    <w:rsid w:val="003A099A"/>
    <w:rsid w:val="003A1372"/>
    <w:rsid w:val="003A1D46"/>
    <w:rsid w:val="003A2447"/>
    <w:rsid w:val="003A2B82"/>
    <w:rsid w:val="003A3927"/>
    <w:rsid w:val="003A3D2E"/>
    <w:rsid w:val="003A3FF7"/>
    <w:rsid w:val="003A43D1"/>
    <w:rsid w:val="003A6A51"/>
    <w:rsid w:val="003A6E29"/>
    <w:rsid w:val="003A7FEA"/>
    <w:rsid w:val="003B0BDB"/>
    <w:rsid w:val="003B0E88"/>
    <w:rsid w:val="003B106E"/>
    <w:rsid w:val="003B153F"/>
    <w:rsid w:val="003B17B0"/>
    <w:rsid w:val="003B1844"/>
    <w:rsid w:val="003B1A5C"/>
    <w:rsid w:val="003B211E"/>
    <w:rsid w:val="003B24EA"/>
    <w:rsid w:val="003B2DA7"/>
    <w:rsid w:val="003B3AB7"/>
    <w:rsid w:val="003B3ABC"/>
    <w:rsid w:val="003B3CDD"/>
    <w:rsid w:val="003B3D8E"/>
    <w:rsid w:val="003B3FED"/>
    <w:rsid w:val="003B3FF1"/>
    <w:rsid w:val="003B4217"/>
    <w:rsid w:val="003B59A1"/>
    <w:rsid w:val="003B6D11"/>
    <w:rsid w:val="003B74F1"/>
    <w:rsid w:val="003B7541"/>
    <w:rsid w:val="003B7966"/>
    <w:rsid w:val="003B7F07"/>
    <w:rsid w:val="003B7FCE"/>
    <w:rsid w:val="003C0F87"/>
    <w:rsid w:val="003C141E"/>
    <w:rsid w:val="003C1B83"/>
    <w:rsid w:val="003C210E"/>
    <w:rsid w:val="003C21B3"/>
    <w:rsid w:val="003C30AD"/>
    <w:rsid w:val="003C3503"/>
    <w:rsid w:val="003C40DE"/>
    <w:rsid w:val="003C4851"/>
    <w:rsid w:val="003C4C96"/>
    <w:rsid w:val="003C55E0"/>
    <w:rsid w:val="003C5E39"/>
    <w:rsid w:val="003C683A"/>
    <w:rsid w:val="003D0079"/>
    <w:rsid w:val="003D017D"/>
    <w:rsid w:val="003D04D6"/>
    <w:rsid w:val="003D10EC"/>
    <w:rsid w:val="003D28DE"/>
    <w:rsid w:val="003D29B9"/>
    <w:rsid w:val="003D3500"/>
    <w:rsid w:val="003D37B6"/>
    <w:rsid w:val="003D3C68"/>
    <w:rsid w:val="003D450D"/>
    <w:rsid w:val="003D503A"/>
    <w:rsid w:val="003D6505"/>
    <w:rsid w:val="003D71A6"/>
    <w:rsid w:val="003D7709"/>
    <w:rsid w:val="003E004C"/>
    <w:rsid w:val="003E0BAF"/>
    <w:rsid w:val="003E0E25"/>
    <w:rsid w:val="003E1409"/>
    <w:rsid w:val="003E16F2"/>
    <w:rsid w:val="003E4A52"/>
    <w:rsid w:val="003E78A9"/>
    <w:rsid w:val="003E7912"/>
    <w:rsid w:val="003F04E6"/>
    <w:rsid w:val="003F2CDD"/>
    <w:rsid w:val="003F45D7"/>
    <w:rsid w:val="003F5660"/>
    <w:rsid w:val="003F5717"/>
    <w:rsid w:val="003F5A39"/>
    <w:rsid w:val="003F5B56"/>
    <w:rsid w:val="003F5B9F"/>
    <w:rsid w:val="003F5C1A"/>
    <w:rsid w:val="003F6A6A"/>
    <w:rsid w:val="003F738D"/>
    <w:rsid w:val="003F7554"/>
    <w:rsid w:val="003F7FA1"/>
    <w:rsid w:val="004006EA"/>
    <w:rsid w:val="004008DE"/>
    <w:rsid w:val="00400B4E"/>
    <w:rsid w:val="0040130D"/>
    <w:rsid w:val="00402E56"/>
    <w:rsid w:val="00403634"/>
    <w:rsid w:val="00404592"/>
    <w:rsid w:val="00404B58"/>
    <w:rsid w:val="0040544F"/>
    <w:rsid w:val="00405537"/>
    <w:rsid w:val="0040625C"/>
    <w:rsid w:val="004069D2"/>
    <w:rsid w:val="004076FF"/>
    <w:rsid w:val="00411B17"/>
    <w:rsid w:val="0041222D"/>
    <w:rsid w:val="004124F2"/>
    <w:rsid w:val="00412E6F"/>
    <w:rsid w:val="00413C5C"/>
    <w:rsid w:val="0041413F"/>
    <w:rsid w:val="0041567A"/>
    <w:rsid w:val="00415BAB"/>
    <w:rsid w:val="00415BCF"/>
    <w:rsid w:val="00416297"/>
    <w:rsid w:val="00417083"/>
    <w:rsid w:val="0042057C"/>
    <w:rsid w:val="00420BDF"/>
    <w:rsid w:val="00421608"/>
    <w:rsid w:val="00421C23"/>
    <w:rsid w:val="0042261E"/>
    <w:rsid w:val="00422749"/>
    <w:rsid w:val="004228F2"/>
    <w:rsid w:val="004233DC"/>
    <w:rsid w:val="00424888"/>
    <w:rsid w:val="004255D9"/>
    <w:rsid w:val="00425763"/>
    <w:rsid w:val="00425C3C"/>
    <w:rsid w:val="00427D1B"/>
    <w:rsid w:val="00427E40"/>
    <w:rsid w:val="004306AB"/>
    <w:rsid w:val="0043159D"/>
    <w:rsid w:val="0043171D"/>
    <w:rsid w:val="00432F78"/>
    <w:rsid w:val="004334A2"/>
    <w:rsid w:val="004335BC"/>
    <w:rsid w:val="004339E6"/>
    <w:rsid w:val="00434723"/>
    <w:rsid w:val="00434729"/>
    <w:rsid w:val="0043617B"/>
    <w:rsid w:val="00437D17"/>
    <w:rsid w:val="00437D2F"/>
    <w:rsid w:val="0044046D"/>
    <w:rsid w:val="004410D3"/>
    <w:rsid w:val="00441A5B"/>
    <w:rsid w:val="00441DAF"/>
    <w:rsid w:val="0044270D"/>
    <w:rsid w:val="00442E8C"/>
    <w:rsid w:val="0044312A"/>
    <w:rsid w:val="00443310"/>
    <w:rsid w:val="004435D5"/>
    <w:rsid w:val="00443A34"/>
    <w:rsid w:val="00443D38"/>
    <w:rsid w:val="00444140"/>
    <w:rsid w:val="00444BF5"/>
    <w:rsid w:val="00444F43"/>
    <w:rsid w:val="00447C23"/>
    <w:rsid w:val="00450744"/>
    <w:rsid w:val="00450BE7"/>
    <w:rsid w:val="00450FE8"/>
    <w:rsid w:val="0045213A"/>
    <w:rsid w:val="0045230E"/>
    <w:rsid w:val="004528FA"/>
    <w:rsid w:val="00452D67"/>
    <w:rsid w:val="00452E53"/>
    <w:rsid w:val="004542C6"/>
    <w:rsid w:val="00454EDC"/>
    <w:rsid w:val="00455B00"/>
    <w:rsid w:val="00455B97"/>
    <w:rsid w:val="00456635"/>
    <w:rsid w:val="00456BFD"/>
    <w:rsid w:val="004575D5"/>
    <w:rsid w:val="00457657"/>
    <w:rsid w:val="004600BF"/>
    <w:rsid w:val="004607D0"/>
    <w:rsid w:val="00460CE3"/>
    <w:rsid w:val="004612A4"/>
    <w:rsid w:val="0046153C"/>
    <w:rsid w:val="004624D2"/>
    <w:rsid w:val="004625C8"/>
    <w:rsid w:val="00462DCE"/>
    <w:rsid w:val="0046442A"/>
    <w:rsid w:val="00464BF1"/>
    <w:rsid w:val="00466078"/>
    <w:rsid w:val="0046626B"/>
    <w:rsid w:val="004676E4"/>
    <w:rsid w:val="00467AFF"/>
    <w:rsid w:val="00470183"/>
    <w:rsid w:val="004708C9"/>
    <w:rsid w:val="00470C48"/>
    <w:rsid w:val="0047139F"/>
    <w:rsid w:val="00471429"/>
    <w:rsid w:val="004722B1"/>
    <w:rsid w:val="00473A47"/>
    <w:rsid w:val="00473A4F"/>
    <w:rsid w:val="00473C0A"/>
    <w:rsid w:val="00473EEF"/>
    <w:rsid w:val="00474415"/>
    <w:rsid w:val="00474BC1"/>
    <w:rsid w:val="0047722F"/>
    <w:rsid w:val="00477459"/>
    <w:rsid w:val="00477CC9"/>
    <w:rsid w:val="0048026E"/>
    <w:rsid w:val="00480303"/>
    <w:rsid w:val="004807A9"/>
    <w:rsid w:val="00480A8A"/>
    <w:rsid w:val="00480F76"/>
    <w:rsid w:val="004810A5"/>
    <w:rsid w:val="004810E0"/>
    <w:rsid w:val="00481318"/>
    <w:rsid w:val="00481363"/>
    <w:rsid w:val="004813EE"/>
    <w:rsid w:val="00481835"/>
    <w:rsid w:val="00482CDC"/>
    <w:rsid w:val="00482FB0"/>
    <w:rsid w:val="00483B03"/>
    <w:rsid w:val="0048444C"/>
    <w:rsid w:val="00485058"/>
    <w:rsid w:val="00485702"/>
    <w:rsid w:val="004867EC"/>
    <w:rsid w:val="00486A37"/>
    <w:rsid w:val="00487662"/>
    <w:rsid w:val="004876C6"/>
    <w:rsid w:val="00487D7B"/>
    <w:rsid w:val="00490F7A"/>
    <w:rsid w:val="00490FD5"/>
    <w:rsid w:val="00491241"/>
    <w:rsid w:val="00491813"/>
    <w:rsid w:val="00493278"/>
    <w:rsid w:val="00493855"/>
    <w:rsid w:val="004951D8"/>
    <w:rsid w:val="004952C1"/>
    <w:rsid w:val="00497575"/>
    <w:rsid w:val="004A078B"/>
    <w:rsid w:val="004A12C0"/>
    <w:rsid w:val="004A169A"/>
    <w:rsid w:val="004A18C9"/>
    <w:rsid w:val="004A191A"/>
    <w:rsid w:val="004A1A70"/>
    <w:rsid w:val="004A4027"/>
    <w:rsid w:val="004A419E"/>
    <w:rsid w:val="004A4688"/>
    <w:rsid w:val="004A6463"/>
    <w:rsid w:val="004A6B58"/>
    <w:rsid w:val="004B06C3"/>
    <w:rsid w:val="004B0917"/>
    <w:rsid w:val="004B0B09"/>
    <w:rsid w:val="004B140F"/>
    <w:rsid w:val="004B14EB"/>
    <w:rsid w:val="004B21CF"/>
    <w:rsid w:val="004B2DE3"/>
    <w:rsid w:val="004B3FEA"/>
    <w:rsid w:val="004B48B7"/>
    <w:rsid w:val="004B53F1"/>
    <w:rsid w:val="004B5D6E"/>
    <w:rsid w:val="004B60BA"/>
    <w:rsid w:val="004B6946"/>
    <w:rsid w:val="004B6D89"/>
    <w:rsid w:val="004B6E81"/>
    <w:rsid w:val="004C0FFE"/>
    <w:rsid w:val="004C136D"/>
    <w:rsid w:val="004C1619"/>
    <w:rsid w:val="004C177F"/>
    <w:rsid w:val="004C1B59"/>
    <w:rsid w:val="004C3C25"/>
    <w:rsid w:val="004C3EEA"/>
    <w:rsid w:val="004C4EA2"/>
    <w:rsid w:val="004C596B"/>
    <w:rsid w:val="004C5E41"/>
    <w:rsid w:val="004C60E7"/>
    <w:rsid w:val="004C7BDE"/>
    <w:rsid w:val="004D0090"/>
    <w:rsid w:val="004D020F"/>
    <w:rsid w:val="004D03D1"/>
    <w:rsid w:val="004D11AF"/>
    <w:rsid w:val="004D2E58"/>
    <w:rsid w:val="004D37D9"/>
    <w:rsid w:val="004D41A2"/>
    <w:rsid w:val="004D502C"/>
    <w:rsid w:val="004D60A3"/>
    <w:rsid w:val="004D71CA"/>
    <w:rsid w:val="004E016A"/>
    <w:rsid w:val="004E0461"/>
    <w:rsid w:val="004E29B1"/>
    <w:rsid w:val="004E3F87"/>
    <w:rsid w:val="004E461B"/>
    <w:rsid w:val="004E477D"/>
    <w:rsid w:val="004E5890"/>
    <w:rsid w:val="004E79EF"/>
    <w:rsid w:val="004E7B33"/>
    <w:rsid w:val="004F0368"/>
    <w:rsid w:val="004F0D19"/>
    <w:rsid w:val="004F121B"/>
    <w:rsid w:val="004F140F"/>
    <w:rsid w:val="004F185F"/>
    <w:rsid w:val="004F2811"/>
    <w:rsid w:val="004F3326"/>
    <w:rsid w:val="004F590E"/>
    <w:rsid w:val="004F5966"/>
    <w:rsid w:val="004F6026"/>
    <w:rsid w:val="004F60F4"/>
    <w:rsid w:val="004F62E8"/>
    <w:rsid w:val="004F67C3"/>
    <w:rsid w:val="004F6C17"/>
    <w:rsid w:val="004F7390"/>
    <w:rsid w:val="004F78F8"/>
    <w:rsid w:val="005001A5"/>
    <w:rsid w:val="00500CCD"/>
    <w:rsid w:val="005019AA"/>
    <w:rsid w:val="005032E9"/>
    <w:rsid w:val="00503C3B"/>
    <w:rsid w:val="00503CE7"/>
    <w:rsid w:val="005040C9"/>
    <w:rsid w:val="005042DB"/>
    <w:rsid w:val="0050458E"/>
    <w:rsid w:val="00505928"/>
    <w:rsid w:val="00505CD6"/>
    <w:rsid w:val="005069B2"/>
    <w:rsid w:val="0050741A"/>
    <w:rsid w:val="00510452"/>
    <w:rsid w:val="005108EC"/>
    <w:rsid w:val="00511F8F"/>
    <w:rsid w:val="00513291"/>
    <w:rsid w:val="00513EA4"/>
    <w:rsid w:val="005147DA"/>
    <w:rsid w:val="00514FBF"/>
    <w:rsid w:val="005153AC"/>
    <w:rsid w:val="005153C3"/>
    <w:rsid w:val="00515745"/>
    <w:rsid w:val="00515862"/>
    <w:rsid w:val="005165FE"/>
    <w:rsid w:val="00516942"/>
    <w:rsid w:val="00516DC0"/>
    <w:rsid w:val="00516DC5"/>
    <w:rsid w:val="00520BBA"/>
    <w:rsid w:val="005225AC"/>
    <w:rsid w:val="005226FA"/>
    <w:rsid w:val="005233F3"/>
    <w:rsid w:val="0052365C"/>
    <w:rsid w:val="005245D2"/>
    <w:rsid w:val="0052488B"/>
    <w:rsid w:val="00524C98"/>
    <w:rsid w:val="00524C9C"/>
    <w:rsid w:val="00524EDD"/>
    <w:rsid w:val="00525B59"/>
    <w:rsid w:val="005269C4"/>
    <w:rsid w:val="00526A20"/>
    <w:rsid w:val="00531966"/>
    <w:rsid w:val="005329DA"/>
    <w:rsid w:val="0053322F"/>
    <w:rsid w:val="00533BC1"/>
    <w:rsid w:val="00533DBF"/>
    <w:rsid w:val="00534940"/>
    <w:rsid w:val="00535673"/>
    <w:rsid w:val="00535784"/>
    <w:rsid w:val="00535D6B"/>
    <w:rsid w:val="00536442"/>
    <w:rsid w:val="005374FE"/>
    <w:rsid w:val="0054053D"/>
    <w:rsid w:val="0054126C"/>
    <w:rsid w:val="00541368"/>
    <w:rsid w:val="005415DD"/>
    <w:rsid w:val="005423F3"/>
    <w:rsid w:val="005426DB"/>
    <w:rsid w:val="005442F1"/>
    <w:rsid w:val="00544A24"/>
    <w:rsid w:val="0054583C"/>
    <w:rsid w:val="00546227"/>
    <w:rsid w:val="005468E2"/>
    <w:rsid w:val="00546D83"/>
    <w:rsid w:val="00550113"/>
    <w:rsid w:val="0055019B"/>
    <w:rsid w:val="005504BE"/>
    <w:rsid w:val="0055082B"/>
    <w:rsid w:val="0055093A"/>
    <w:rsid w:val="00550F00"/>
    <w:rsid w:val="00551BDF"/>
    <w:rsid w:val="00551ED7"/>
    <w:rsid w:val="0055211C"/>
    <w:rsid w:val="0055263A"/>
    <w:rsid w:val="005526EE"/>
    <w:rsid w:val="00552B57"/>
    <w:rsid w:val="00552E53"/>
    <w:rsid w:val="00553E34"/>
    <w:rsid w:val="005547B7"/>
    <w:rsid w:val="005551E9"/>
    <w:rsid w:val="0055680D"/>
    <w:rsid w:val="00560094"/>
    <w:rsid w:val="00560C62"/>
    <w:rsid w:val="00562A61"/>
    <w:rsid w:val="00562E78"/>
    <w:rsid w:val="00564E45"/>
    <w:rsid w:val="005652D5"/>
    <w:rsid w:val="00565E52"/>
    <w:rsid w:val="00567227"/>
    <w:rsid w:val="00567CD0"/>
    <w:rsid w:val="00570C7B"/>
    <w:rsid w:val="00571C77"/>
    <w:rsid w:val="00572D5B"/>
    <w:rsid w:val="00574614"/>
    <w:rsid w:val="00574A70"/>
    <w:rsid w:val="00574D35"/>
    <w:rsid w:val="00575C75"/>
    <w:rsid w:val="005770CF"/>
    <w:rsid w:val="00577904"/>
    <w:rsid w:val="00577922"/>
    <w:rsid w:val="00577AC3"/>
    <w:rsid w:val="00580577"/>
    <w:rsid w:val="005815A8"/>
    <w:rsid w:val="00581915"/>
    <w:rsid w:val="00583431"/>
    <w:rsid w:val="005846C0"/>
    <w:rsid w:val="00584D04"/>
    <w:rsid w:val="0058567E"/>
    <w:rsid w:val="00585DE1"/>
    <w:rsid w:val="0058659E"/>
    <w:rsid w:val="005869EE"/>
    <w:rsid w:val="005872DD"/>
    <w:rsid w:val="00587CF2"/>
    <w:rsid w:val="00587D3A"/>
    <w:rsid w:val="00590346"/>
    <w:rsid w:val="00590BA2"/>
    <w:rsid w:val="00590CA7"/>
    <w:rsid w:val="00590E93"/>
    <w:rsid w:val="005915E1"/>
    <w:rsid w:val="00591C75"/>
    <w:rsid w:val="00592D10"/>
    <w:rsid w:val="0059388B"/>
    <w:rsid w:val="00593A5F"/>
    <w:rsid w:val="0059404E"/>
    <w:rsid w:val="00594269"/>
    <w:rsid w:val="00595539"/>
    <w:rsid w:val="00597108"/>
    <w:rsid w:val="005976DB"/>
    <w:rsid w:val="005A3E82"/>
    <w:rsid w:val="005A4DB0"/>
    <w:rsid w:val="005A5597"/>
    <w:rsid w:val="005A57BF"/>
    <w:rsid w:val="005A6AC2"/>
    <w:rsid w:val="005A7A65"/>
    <w:rsid w:val="005A7B26"/>
    <w:rsid w:val="005A7B8E"/>
    <w:rsid w:val="005B012B"/>
    <w:rsid w:val="005B0C87"/>
    <w:rsid w:val="005B0FE9"/>
    <w:rsid w:val="005B2195"/>
    <w:rsid w:val="005B26C7"/>
    <w:rsid w:val="005B2D65"/>
    <w:rsid w:val="005B3877"/>
    <w:rsid w:val="005B3AC8"/>
    <w:rsid w:val="005B3CC1"/>
    <w:rsid w:val="005B4002"/>
    <w:rsid w:val="005B45AB"/>
    <w:rsid w:val="005B4D8F"/>
    <w:rsid w:val="005B6551"/>
    <w:rsid w:val="005B71A8"/>
    <w:rsid w:val="005B744B"/>
    <w:rsid w:val="005C0A6F"/>
    <w:rsid w:val="005C0FA7"/>
    <w:rsid w:val="005C155F"/>
    <w:rsid w:val="005C1C0E"/>
    <w:rsid w:val="005C36E2"/>
    <w:rsid w:val="005C3E9E"/>
    <w:rsid w:val="005C400C"/>
    <w:rsid w:val="005C410C"/>
    <w:rsid w:val="005C4BF1"/>
    <w:rsid w:val="005C4BF2"/>
    <w:rsid w:val="005C52D4"/>
    <w:rsid w:val="005C5BED"/>
    <w:rsid w:val="005C5D86"/>
    <w:rsid w:val="005C6167"/>
    <w:rsid w:val="005C6ADB"/>
    <w:rsid w:val="005C6EE2"/>
    <w:rsid w:val="005C7A07"/>
    <w:rsid w:val="005C7DDC"/>
    <w:rsid w:val="005C7F7C"/>
    <w:rsid w:val="005D107D"/>
    <w:rsid w:val="005D123A"/>
    <w:rsid w:val="005D2506"/>
    <w:rsid w:val="005D3677"/>
    <w:rsid w:val="005D4E4C"/>
    <w:rsid w:val="005D5B5E"/>
    <w:rsid w:val="005D5C85"/>
    <w:rsid w:val="005D5CA0"/>
    <w:rsid w:val="005D69AB"/>
    <w:rsid w:val="005D72FC"/>
    <w:rsid w:val="005D7DFC"/>
    <w:rsid w:val="005E035A"/>
    <w:rsid w:val="005E0464"/>
    <w:rsid w:val="005E0681"/>
    <w:rsid w:val="005E1218"/>
    <w:rsid w:val="005E18EC"/>
    <w:rsid w:val="005E1B6B"/>
    <w:rsid w:val="005E1F61"/>
    <w:rsid w:val="005E2281"/>
    <w:rsid w:val="005E236C"/>
    <w:rsid w:val="005E351B"/>
    <w:rsid w:val="005E38A8"/>
    <w:rsid w:val="005E39F9"/>
    <w:rsid w:val="005E4828"/>
    <w:rsid w:val="005E5016"/>
    <w:rsid w:val="005E5231"/>
    <w:rsid w:val="005E55BB"/>
    <w:rsid w:val="005E5D11"/>
    <w:rsid w:val="005E667C"/>
    <w:rsid w:val="005E6A1D"/>
    <w:rsid w:val="005E6F12"/>
    <w:rsid w:val="005E733E"/>
    <w:rsid w:val="005E7428"/>
    <w:rsid w:val="005F0694"/>
    <w:rsid w:val="005F06E1"/>
    <w:rsid w:val="005F077C"/>
    <w:rsid w:val="005F0B88"/>
    <w:rsid w:val="005F1735"/>
    <w:rsid w:val="005F187E"/>
    <w:rsid w:val="005F252A"/>
    <w:rsid w:val="005F3CE8"/>
    <w:rsid w:val="005F4F41"/>
    <w:rsid w:val="005F566D"/>
    <w:rsid w:val="005F648F"/>
    <w:rsid w:val="005F68C3"/>
    <w:rsid w:val="005F7D87"/>
    <w:rsid w:val="00601794"/>
    <w:rsid w:val="00601E94"/>
    <w:rsid w:val="006021B1"/>
    <w:rsid w:val="006037C5"/>
    <w:rsid w:val="006040CE"/>
    <w:rsid w:val="0060467D"/>
    <w:rsid w:val="0060585E"/>
    <w:rsid w:val="00605B9D"/>
    <w:rsid w:val="00606213"/>
    <w:rsid w:val="00606B57"/>
    <w:rsid w:val="00606B85"/>
    <w:rsid w:val="00607390"/>
    <w:rsid w:val="006076D8"/>
    <w:rsid w:val="00607E6D"/>
    <w:rsid w:val="0061061D"/>
    <w:rsid w:val="00611816"/>
    <w:rsid w:val="00611A3B"/>
    <w:rsid w:val="006120CA"/>
    <w:rsid w:val="00612389"/>
    <w:rsid w:val="00612570"/>
    <w:rsid w:val="006127BD"/>
    <w:rsid w:val="00612871"/>
    <w:rsid w:val="00612929"/>
    <w:rsid w:val="00612A44"/>
    <w:rsid w:val="00612A8E"/>
    <w:rsid w:val="00613098"/>
    <w:rsid w:val="006134D9"/>
    <w:rsid w:val="006135DA"/>
    <w:rsid w:val="00613BDC"/>
    <w:rsid w:val="00615564"/>
    <w:rsid w:val="006155E2"/>
    <w:rsid w:val="00615F26"/>
    <w:rsid w:val="00616CCC"/>
    <w:rsid w:val="00617A81"/>
    <w:rsid w:val="00617DEC"/>
    <w:rsid w:val="00620579"/>
    <w:rsid w:val="006208AA"/>
    <w:rsid w:val="0062128D"/>
    <w:rsid w:val="0062258F"/>
    <w:rsid w:val="00622732"/>
    <w:rsid w:val="00622E6D"/>
    <w:rsid w:val="00623BC7"/>
    <w:rsid w:val="00623E70"/>
    <w:rsid w:val="006241D0"/>
    <w:rsid w:val="00624425"/>
    <w:rsid w:val="00624665"/>
    <w:rsid w:val="00625434"/>
    <w:rsid w:val="0062576B"/>
    <w:rsid w:val="00625C5F"/>
    <w:rsid w:val="00626032"/>
    <w:rsid w:val="00627643"/>
    <w:rsid w:val="00627788"/>
    <w:rsid w:val="006300CD"/>
    <w:rsid w:val="0063017E"/>
    <w:rsid w:val="00630723"/>
    <w:rsid w:val="00630EAE"/>
    <w:rsid w:val="006312D0"/>
    <w:rsid w:val="006318A4"/>
    <w:rsid w:val="00631A11"/>
    <w:rsid w:val="00631D4F"/>
    <w:rsid w:val="006321B6"/>
    <w:rsid w:val="006327C6"/>
    <w:rsid w:val="00633496"/>
    <w:rsid w:val="006338D2"/>
    <w:rsid w:val="00633F92"/>
    <w:rsid w:val="0063435E"/>
    <w:rsid w:val="00634CB2"/>
    <w:rsid w:val="006357E2"/>
    <w:rsid w:val="00635FD8"/>
    <w:rsid w:val="00636651"/>
    <w:rsid w:val="006368E4"/>
    <w:rsid w:val="00636F7B"/>
    <w:rsid w:val="0064019C"/>
    <w:rsid w:val="00640288"/>
    <w:rsid w:val="006405AC"/>
    <w:rsid w:val="0064099D"/>
    <w:rsid w:val="006412CD"/>
    <w:rsid w:val="006413D8"/>
    <w:rsid w:val="00641610"/>
    <w:rsid w:val="00641B7B"/>
    <w:rsid w:val="00641C55"/>
    <w:rsid w:val="00642405"/>
    <w:rsid w:val="00642645"/>
    <w:rsid w:val="006437E8"/>
    <w:rsid w:val="006438E0"/>
    <w:rsid w:val="00644BED"/>
    <w:rsid w:val="006455CB"/>
    <w:rsid w:val="00646FD5"/>
    <w:rsid w:val="006472F8"/>
    <w:rsid w:val="00647680"/>
    <w:rsid w:val="00647743"/>
    <w:rsid w:val="006510C0"/>
    <w:rsid w:val="00652092"/>
    <w:rsid w:val="00652472"/>
    <w:rsid w:val="00652F31"/>
    <w:rsid w:val="0065394E"/>
    <w:rsid w:val="00653B38"/>
    <w:rsid w:val="00656385"/>
    <w:rsid w:val="00656F19"/>
    <w:rsid w:val="00657BB7"/>
    <w:rsid w:val="00660552"/>
    <w:rsid w:val="00660DBE"/>
    <w:rsid w:val="00661113"/>
    <w:rsid w:val="0066127D"/>
    <w:rsid w:val="00661AB0"/>
    <w:rsid w:val="006623A4"/>
    <w:rsid w:val="0066351C"/>
    <w:rsid w:val="006635BF"/>
    <w:rsid w:val="00664498"/>
    <w:rsid w:val="00664693"/>
    <w:rsid w:val="00664DC0"/>
    <w:rsid w:val="006651CC"/>
    <w:rsid w:val="0066582B"/>
    <w:rsid w:val="006658DA"/>
    <w:rsid w:val="00665CA1"/>
    <w:rsid w:val="00667421"/>
    <w:rsid w:val="0066780E"/>
    <w:rsid w:val="00667A31"/>
    <w:rsid w:val="00670702"/>
    <w:rsid w:val="006708EB"/>
    <w:rsid w:val="0067147C"/>
    <w:rsid w:val="00672A8A"/>
    <w:rsid w:val="00673F50"/>
    <w:rsid w:val="00674EEA"/>
    <w:rsid w:val="0067549D"/>
    <w:rsid w:val="006759B0"/>
    <w:rsid w:val="00677012"/>
    <w:rsid w:val="006771EA"/>
    <w:rsid w:val="00680D0E"/>
    <w:rsid w:val="00680F00"/>
    <w:rsid w:val="006825A6"/>
    <w:rsid w:val="006825B4"/>
    <w:rsid w:val="006829BA"/>
    <w:rsid w:val="00682AF2"/>
    <w:rsid w:val="00682E8A"/>
    <w:rsid w:val="00682FB7"/>
    <w:rsid w:val="006837DE"/>
    <w:rsid w:val="00683CE0"/>
    <w:rsid w:val="0068537F"/>
    <w:rsid w:val="00686104"/>
    <w:rsid w:val="00686334"/>
    <w:rsid w:val="00686C3A"/>
    <w:rsid w:val="00686EEB"/>
    <w:rsid w:val="00687628"/>
    <w:rsid w:val="00687CFE"/>
    <w:rsid w:val="0069035A"/>
    <w:rsid w:val="00690EB8"/>
    <w:rsid w:val="0069109D"/>
    <w:rsid w:val="006915E5"/>
    <w:rsid w:val="00692401"/>
    <w:rsid w:val="00693B7A"/>
    <w:rsid w:val="006941CC"/>
    <w:rsid w:val="006942BA"/>
    <w:rsid w:val="006945D4"/>
    <w:rsid w:val="00694EC0"/>
    <w:rsid w:val="00695852"/>
    <w:rsid w:val="00695F56"/>
    <w:rsid w:val="0069758B"/>
    <w:rsid w:val="00697F88"/>
    <w:rsid w:val="006A0A70"/>
    <w:rsid w:val="006A0B6C"/>
    <w:rsid w:val="006A1692"/>
    <w:rsid w:val="006A16E1"/>
    <w:rsid w:val="006A188D"/>
    <w:rsid w:val="006A3293"/>
    <w:rsid w:val="006A36DF"/>
    <w:rsid w:val="006A3C8A"/>
    <w:rsid w:val="006A3E61"/>
    <w:rsid w:val="006A5213"/>
    <w:rsid w:val="006A6003"/>
    <w:rsid w:val="006A6737"/>
    <w:rsid w:val="006B0AE6"/>
    <w:rsid w:val="006B1E08"/>
    <w:rsid w:val="006B2099"/>
    <w:rsid w:val="006B26B1"/>
    <w:rsid w:val="006B2E45"/>
    <w:rsid w:val="006B341B"/>
    <w:rsid w:val="006B3875"/>
    <w:rsid w:val="006B425B"/>
    <w:rsid w:val="006B545C"/>
    <w:rsid w:val="006B5AC8"/>
    <w:rsid w:val="006B5D32"/>
    <w:rsid w:val="006B758B"/>
    <w:rsid w:val="006B7BF8"/>
    <w:rsid w:val="006C0F11"/>
    <w:rsid w:val="006C23E1"/>
    <w:rsid w:val="006C25D5"/>
    <w:rsid w:val="006C25F9"/>
    <w:rsid w:val="006C262B"/>
    <w:rsid w:val="006C31C6"/>
    <w:rsid w:val="006C3A2D"/>
    <w:rsid w:val="006C4666"/>
    <w:rsid w:val="006C49BF"/>
    <w:rsid w:val="006C63D7"/>
    <w:rsid w:val="006C6894"/>
    <w:rsid w:val="006C69D9"/>
    <w:rsid w:val="006C7535"/>
    <w:rsid w:val="006C76A6"/>
    <w:rsid w:val="006C796D"/>
    <w:rsid w:val="006D0525"/>
    <w:rsid w:val="006D08DC"/>
    <w:rsid w:val="006D2F09"/>
    <w:rsid w:val="006D2FD2"/>
    <w:rsid w:val="006D33E6"/>
    <w:rsid w:val="006D3DC0"/>
    <w:rsid w:val="006D40C4"/>
    <w:rsid w:val="006D4162"/>
    <w:rsid w:val="006D453E"/>
    <w:rsid w:val="006D5303"/>
    <w:rsid w:val="006D5E84"/>
    <w:rsid w:val="006D7A4C"/>
    <w:rsid w:val="006D7C99"/>
    <w:rsid w:val="006E0443"/>
    <w:rsid w:val="006E0C50"/>
    <w:rsid w:val="006E0DCF"/>
    <w:rsid w:val="006E14D6"/>
    <w:rsid w:val="006E1647"/>
    <w:rsid w:val="006E2298"/>
    <w:rsid w:val="006E2F3A"/>
    <w:rsid w:val="006E310A"/>
    <w:rsid w:val="006E3C3E"/>
    <w:rsid w:val="006E3FBD"/>
    <w:rsid w:val="006E40C7"/>
    <w:rsid w:val="006E429F"/>
    <w:rsid w:val="006E47E0"/>
    <w:rsid w:val="006E50E4"/>
    <w:rsid w:val="006E6F30"/>
    <w:rsid w:val="006E6FE9"/>
    <w:rsid w:val="006E7082"/>
    <w:rsid w:val="006E709F"/>
    <w:rsid w:val="006E7F73"/>
    <w:rsid w:val="006F030F"/>
    <w:rsid w:val="006F193C"/>
    <w:rsid w:val="006F1B58"/>
    <w:rsid w:val="006F27DC"/>
    <w:rsid w:val="006F2B89"/>
    <w:rsid w:val="006F36F1"/>
    <w:rsid w:val="006F3B81"/>
    <w:rsid w:val="006F4D59"/>
    <w:rsid w:val="006F4F79"/>
    <w:rsid w:val="006F4F80"/>
    <w:rsid w:val="006F5532"/>
    <w:rsid w:val="006F5ADA"/>
    <w:rsid w:val="006F62CC"/>
    <w:rsid w:val="006F644B"/>
    <w:rsid w:val="006F66C1"/>
    <w:rsid w:val="006F681D"/>
    <w:rsid w:val="006F731E"/>
    <w:rsid w:val="006F78E9"/>
    <w:rsid w:val="0070235F"/>
    <w:rsid w:val="00702BC3"/>
    <w:rsid w:val="00702FF3"/>
    <w:rsid w:val="007032AC"/>
    <w:rsid w:val="00703496"/>
    <w:rsid w:val="007036FE"/>
    <w:rsid w:val="00703AB1"/>
    <w:rsid w:val="00704614"/>
    <w:rsid w:val="00705B37"/>
    <w:rsid w:val="0070658A"/>
    <w:rsid w:val="00706B65"/>
    <w:rsid w:val="007071AF"/>
    <w:rsid w:val="00707C1A"/>
    <w:rsid w:val="00710023"/>
    <w:rsid w:val="00710207"/>
    <w:rsid w:val="0071023D"/>
    <w:rsid w:val="007104CB"/>
    <w:rsid w:val="00710530"/>
    <w:rsid w:val="007107BD"/>
    <w:rsid w:val="00711C3A"/>
    <w:rsid w:val="00711E77"/>
    <w:rsid w:val="00712912"/>
    <w:rsid w:val="00713AAC"/>
    <w:rsid w:val="007141DC"/>
    <w:rsid w:val="00714B04"/>
    <w:rsid w:val="00714F75"/>
    <w:rsid w:val="007155CE"/>
    <w:rsid w:val="007168A0"/>
    <w:rsid w:val="00716BC6"/>
    <w:rsid w:val="00716C95"/>
    <w:rsid w:val="00717762"/>
    <w:rsid w:val="00717F1A"/>
    <w:rsid w:val="007204DA"/>
    <w:rsid w:val="00721A63"/>
    <w:rsid w:val="00721DED"/>
    <w:rsid w:val="00721FF9"/>
    <w:rsid w:val="0072229E"/>
    <w:rsid w:val="00722F53"/>
    <w:rsid w:val="0072337E"/>
    <w:rsid w:val="00723696"/>
    <w:rsid w:val="0072442F"/>
    <w:rsid w:val="00725189"/>
    <w:rsid w:val="0072541E"/>
    <w:rsid w:val="00725735"/>
    <w:rsid w:val="0072630D"/>
    <w:rsid w:val="00726A2A"/>
    <w:rsid w:val="007271E9"/>
    <w:rsid w:val="007273BC"/>
    <w:rsid w:val="007275FD"/>
    <w:rsid w:val="007276E5"/>
    <w:rsid w:val="00730943"/>
    <w:rsid w:val="00731D5E"/>
    <w:rsid w:val="00732492"/>
    <w:rsid w:val="00733E5A"/>
    <w:rsid w:val="00733F25"/>
    <w:rsid w:val="00736395"/>
    <w:rsid w:val="00736459"/>
    <w:rsid w:val="0073685F"/>
    <w:rsid w:val="00737821"/>
    <w:rsid w:val="0074058F"/>
    <w:rsid w:val="00740E86"/>
    <w:rsid w:val="00741175"/>
    <w:rsid w:val="007419FB"/>
    <w:rsid w:val="00742606"/>
    <w:rsid w:val="007441FF"/>
    <w:rsid w:val="00744EE8"/>
    <w:rsid w:val="00744F42"/>
    <w:rsid w:val="007459F5"/>
    <w:rsid w:val="00746713"/>
    <w:rsid w:val="007467E4"/>
    <w:rsid w:val="00747569"/>
    <w:rsid w:val="00750238"/>
    <w:rsid w:val="0075023C"/>
    <w:rsid w:val="007518E3"/>
    <w:rsid w:val="007518E9"/>
    <w:rsid w:val="00752247"/>
    <w:rsid w:val="007523E7"/>
    <w:rsid w:val="007531CA"/>
    <w:rsid w:val="00754252"/>
    <w:rsid w:val="007577B1"/>
    <w:rsid w:val="00757CB3"/>
    <w:rsid w:val="00757D87"/>
    <w:rsid w:val="00760EED"/>
    <w:rsid w:val="0076109F"/>
    <w:rsid w:val="00761399"/>
    <w:rsid w:val="00761615"/>
    <w:rsid w:val="007616DA"/>
    <w:rsid w:val="007619CE"/>
    <w:rsid w:val="00761F4F"/>
    <w:rsid w:val="007620DC"/>
    <w:rsid w:val="00762102"/>
    <w:rsid w:val="0076255D"/>
    <w:rsid w:val="007625F6"/>
    <w:rsid w:val="00762B8B"/>
    <w:rsid w:val="0076325B"/>
    <w:rsid w:val="00764AF9"/>
    <w:rsid w:val="007650AD"/>
    <w:rsid w:val="00765D18"/>
    <w:rsid w:val="0076640B"/>
    <w:rsid w:val="00770C54"/>
    <w:rsid w:val="00771344"/>
    <w:rsid w:val="00772613"/>
    <w:rsid w:val="00772B41"/>
    <w:rsid w:val="00772CED"/>
    <w:rsid w:val="00773EA1"/>
    <w:rsid w:val="00775215"/>
    <w:rsid w:val="00775748"/>
    <w:rsid w:val="00776ACC"/>
    <w:rsid w:val="00777AE2"/>
    <w:rsid w:val="00777C71"/>
    <w:rsid w:val="00777D6B"/>
    <w:rsid w:val="00777F20"/>
    <w:rsid w:val="0078080B"/>
    <w:rsid w:val="00781148"/>
    <w:rsid w:val="0078120F"/>
    <w:rsid w:val="00781F98"/>
    <w:rsid w:val="0078265B"/>
    <w:rsid w:val="00782AFE"/>
    <w:rsid w:val="00782E10"/>
    <w:rsid w:val="00784926"/>
    <w:rsid w:val="00784DB8"/>
    <w:rsid w:val="00784FDD"/>
    <w:rsid w:val="0078508F"/>
    <w:rsid w:val="00786448"/>
    <w:rsid w:val="007875D7"/>
    <w:rsid w:val="007906B2"/>
    <w:rsid w:val="0079134E"/>
    <w:rsid w:val="007925F0"/>
    <w:rsid w:val="0079278E"/>
    <w:rsid w:val="00792DCA"/>
    <w:rsid w:val="00792E3C"/>
    <w:rsid w:val="007930C1"/>
    <w:rsid w:val="0079315D"/>
    <w:rsid w:val="00793B45"/>
    <w:rsid w:val="00795706"/>
    <w:rsid w:val="007960E3"/>
    <w:rsid w:val="00796F7C"/>
    <w:rsid w:val="00797131"/>
    <w:rsid w:val="00797254"/>
    <w:rsid w:val="00797430"/>
    <w:rsid w:val="007A0F8D"/>
    <w:rsid w:val="007A1078"/>
    <w:rsid w:val="007A180A"/>
    <w:rsid w:val="007A257D"/>
    <w:rsid w:val="007A2CB0"/>
    <w:rsid w:val="007A343D"/>
    <w:rsid w:val="007A38CE"/>
    <w:rsid w:val="007A3F1C"/>
    <w:rsid w:val="007A48D8"/>
    <w:rsid w:val="007A5ACE"/>
    <w:rsid w:val="007A5C5C"/>
    <w:rsid w:val="007A6528"/>
    <w:rsid w:val="007A7B48"/>
    <w:rsid w:val="007B0C58"/>
    <w:rsid w:val="007B18C6"/>
    <w:rsid w:val="007B20C2"/>
    <w:rsid w:val="007B25D5"/>
    <w:rsid w:val="007B27E4"/>
    <w:rsid w:val="007B2910"/>
    <w:rsid w:val="007B301D"/>
    <w:rsid w:val="007B3264"/>
    <w:rsid w:val="007B35F6"/>
    <w:rsid w:val="007B3F87"/>
    <w:rsid w:val="007B404F"/>
    <w:rsid w:val="007B44A6"/>
    <w:rsid w:val="007B494E"/>
    <w:rsid w:val="007B4C5E"/>
    <w:rsid w:val="007B7462"/>
    <w:rsid w:val="007B7B52"/>
    <w:rsid w:val="007C02A3"/>
    <w:rsid w:val="007C0C55"/>
    <w:rsid w:val="007C1507"/>
    <w:rsid w:val="007C2F60"/>
    <w:rsid w:val="007C4D8D"/>
    <w:rsid w:val="007C5144"/>
    <w:rsid w:val="007C5613"/>
    <w:rsid w:val="007C6138"/>
    <w:rsid w:val="007C6153"/>
    <w:rsid w:val="007C6849"/>
    <w:rsid w:val="007C6BC6"/>
    <w:rsid w:val="007C6C12"/>
    <w:rsid w:val="007C73B2"/>
    <w:rsid w:val="007D0435"/>
    <w:rsid w:val="007D116E"/>
    <w:rsid w:val="007D1B24"/>
    <w:rsid w:val="007D267F"/>
    <w:rsid w:val="007D3341"/>
    <w:rsid w:val="007D3A3E"/>
    <w:rsid w:val="007D400A"/>
    <w:rsid w:val="007D4B0E"/>
    <w:rsid w:val="007D4DD2"/>
    <w:rsid w:val="007D5D0F"/>
    <w:rsid w:val="007D6EA8"/>
    <w:rsid w:val="007E1247"/>
    <w:rsid w:val="007E1A44"/>
    <w:rsid w:val="007E2419"/>
    <w:rsid w:val="007E3FF5"/>
    <w:rsid w:val="007E4219"/>
    <w:rsid w:val="007E577E"/>
    <w:rsid w:val="007E635E"/>
    <w:rsid w:val="007E6A9C"/>
    <w:rsid w:val="007E6C0C"/>
    <w:rsid w:val="007E7300"/>
    <w:rsid w:val="007E767B"/>
    <w:rsid w:val="007F038C"/>
    <w:rsid w:val="007F0428"/>
    <w:rsid w:val="007F0F24"/>
    <w:rsid w:val="007F1755"/>
    <w:rsid w:val="007F222B"/>
    <w:rsid w:val="007F2CBC"/>
    <w:rsid w:val="007F3092"/>
    <w:rsid w:val="007F30F9"/>
    <w:rsid w:val="007F39B8"/>
    <w:rsid w:val="007F3C03"/>
    <w:rsid w:val="007F3E3F"/>
    <w:rsid w:val="007F45DF"/>
    <w:rsid w:val="007F4A6F"/>
    <w:rsid w:val="007F4FBC"/>
    <w:rsid w:val="007F5975"/>
    <w:rsid w:val="007F5AB9"/>
    <w:rsid w:val="007F6497"/>
    <w:rsid w:val="007F6836"/>
    <w:rsid w:val="007F7DF2"/>
    <w:rsid w:val="008005E6"/>
    <w:rsid w:val="00800A35"/>
    <w:rsid w:val="00800D91"/>
    <w:rsid w:val="008015F2"/>
    <w:rsid w:val="00801A0E"/>
    <w:rsid w:val="00803C65"/>
    <w:rsid w:val="00804BC0"/>
    <w:rsid w:val="00804E3C"/>
    <w:rsid w:val="00804E4C"/>
    <w:rsid w:val="0080662C"/>
    <w:rsid w:val="008070B2"/>
    <w:rsid w:val="00807D79"/>
    <w:rsid w:val="00810102"/>
    <w:rsid w:val="008102BC"/>
    <w:rsid w:val="008116F3"/>
    <w:rsid w:val="008117C4"/>
    <w:rsid w:val="0081222E"/>
    <w:rsid w:val="00812461"/>
    <w:rsid w:val="008127E0"/>
    <w:rsid w:val="00812810"/>
    <w:rsid w:val="0081398E"/>
    <w:rsid w:val="008149D8"/>
    <w:rsid w:val="00815714"/>
    <w:rsid w:val="00815A2A"/>
    <w:rsid w:val="0081788A"/>
    <w:rsid w:val="00817927"/>
    <w:rsid w:val="00817CFC"/>
    <w:rsid w:val="00817E82"/>
    <w:rsid w:val="00821D81"/>
    <w:rsid w:val="00822A52"/>
    <w:rsid w:val="00823654"/>
    <w:rsid w:val="00823A90"/>
    <w:rsid w:val="00825C68"/>
    <w:rsid w:val="0082757E"/>
    <w:rsid w:val="0082769C"/>
    <w:rsid w:val="00827B6C"/>
    <w:rsid w:val="00827D77"/>
    <w:rsid w:val="00830561"/>
    <w:rsid w:val="00831115"/>
    <w:rsid w:val="0083249C"/>
    <w:rsid w:val="00832D42"/>
    <w:rsid w:val="008333A9"/>
    <w:rsid w:val="00833419"/>
    <w:rsid w:val="008342A5"/>
    <w:rsid w:val="00834B7C"/>
    <w:rsid w:val="00834BE2"/>
    <w:rsid w:val="00834EA4"/>
    <w:rsid w:val="00835049"/>
    <w:rsid w:val="008354B9"/>
    <w:rsid w:val="00835DCB"/>
    <w:rsid w:val="00836090"/>
    <w:rsid w:val="00836921"/>
    <w:rsid w:val="00837237"/>
    <w:rsid w:val="008376C0"/>
    <w:rsid w:val="0084035D"/>
    <w:rsid w:val="008405F9"/>
    <w:rsid w:val="0084060B"/>
    <w:rsid w:val="0084139B"/>
    <w:rsid w:val="0084143B"/>
    <w:rsid w:val="008417D4"/>
    <w:rsid w:val="00842547"/>
    <w:rsid w:val="008427D3"/>
    <w:rsid w:val="008429CF"/>
    <w:rsid w:val="0084324C"/>
    <w:rsid w:val="008451F8"/>
    <w:rsid w:val="008457D2"/>
    <w:rsid w:val="00846212"/>
    <w:rsid w:val="008468E0"/>
    <w:rsid w:val="0084767E"/>
    <w:rsid w:val="0084790F"/>
    <w:rsid w:val="00847BE7"/>
    <w:rsid w:val="00850EAB"/>
    <w:rsid w:val="0085113B"/>
    <w:rsid w:val="00851C80"/>
    <w:rsid w:val="00851D70"/>
    <w:rsid w:val="008529B3"/>
    <w:rsid w:val="00852ADD"/>
    <w:rsid w:val="00853883"/>
    <w:rsid w:val="00853EB9"/>
    <w:rsid w:val="00854CF7"/>
    <w:rsid w:val="00854DA7"/>
    <w:rsid w:val="008557A0"/>
    <w:rsid w:val="00856607"/>
    <w:rsid w:val="00860ADD"/>
    <w:rsid w:val="008616A2"/>
    <w:rsid w:val="00861C6C"/>
    <w:rsid w:val="00863862"/>
    <w:rsid w:val="00863AAD"/>
    <w:rsid w:val="00864644"/>
    <w:rsid w:val="00866296"/>
    <w:rsid w:val="008665C7"/>
    <w:rsid w:val="008707A3"/>
    <w:rsid w:val="00870A36"/>
    <w:rsid w:val="008711AE"/>
    <w:rsid w:val="00871A36"/>
    <w:rsid w:val="00872F21"/>
    <w:rsid w:val="00873736"/>
    <w:rsid w:val="0087378E"/>
    <w:rsid w:val="008737DF"/>
    <w:rsid w:val="008755E7"/>
    <w:rsid w:val="00875E16"/>
    <w:rsid w:val="00877D03"/>
    <w:rsid w:val="00877E96"/>
    <w:rsid w:val="0088023D"/>
    <w:rsid w:val="008803CE"/>
    <w:rsid w:val="00882077"/>
    <w:rsid w:val="008820D9"/>
    <w:rsid w:val="00883613"/>
    <w:rsid w:val="0088557F"/>
    <w:rsid w:val="00886393"/>
    <w:rsid w:val="00886579"/>
    <w:rsid w:val="00886F19"/>
    <w:rsid w:val="00887865"/>
    <w:rsid w:val="00887B37"/>
    <w:rsid w:val="00890598"/>
    <w:rsid w:val="0089065A"/>
    <w:rsid w:val="00890DEB"/>
    <w:rsid w:val="0089177A"/>
    <w:rsid w:val="00891D7A"/>
    <w:rsid w:val="00891DFC"/>
    <w:rsid w:val="00892B98"/>
    <w:rsid w:val="008945D2"/>
    <w:rsid w:val="008949A3"/>
    <w:rsid w:val="008959FC"/>
    <w:rsid w:val="0089605E"/>
    <w:rsid w:val="00896668"/>
    <w:rsid w:val="00896E9A"/>
    <w:rsid w:val="008A1D0E"/>
    <w:rsid w:val="008A25EA"/>
    <w:rsid w:val="008A276E"/>
    <w:rsid w:val="008A31C7"/>
    <w:rsid w:val="008A3215"/>
    <w:rsid w:val="008A3630"/>
    <w:rsid w:val="008A3E8B"/>
    <w:rsid w:val="008A47BE"/>
    <w:rsid w:val="008A4AEC"/>
    <w:rsid w:val="008A5609"/>
    <w:rsid w:val="008A5697"/>
    <w:rsid w:val="008A6DD5"/>
    <w:rsid w:val="008A6DF0"/>
    <w:rsid w:val="008A6FA0"/>
    <w:rsid w:val="008B105C"/>
    <w:rsid w:val="008B15CE"/>
    <w:rsid w:val="008B1C8F"/>
    <w:rsid w:val="008B2570"/>
    <w:rsid w:val="008B2B19"/>
    <w:rsid w:val="008B2F40"/>
    <w:rsid w:val="008B2FCD"/>
    <w:rsid w:val="008B3627"/>
    <w:rsid w:val="008B3EAD"/>
    <w:rsid w:val="008B49B6"/>
    <w:rsid w:val="008B56A0"/>
    <w:rsid w:val="008B5AA1"/>
    <w:rsid w:val="008B5E61"/>
    <w:rsid w:val="008B64CE"/>
    <w:rsid w:val="008B68B4"/>
    <w:rsid w:val="008B7914"/>
    <w:rsid w:val="008C0D0C"/>
    <w:rsid w:val="008C127A"/>
    <w:rsid w:val="008C18BD"/>
    <w:rsid w:val="008C1932"/>
    <w:rsid w:val="008C2C7F"/>
    <w:rsid w:val="008C2F0D"/>
    <w:rsid w:val="008C364D"/>
    <w:rsid w:val="008C500C"/>
    <w:rsid w:val="008C5D2A"/>
    <w:rsid w:val="008C6754"/>
    <w:rsid w:val="008C6C16"/>
    <w:rsid w:val="008C74FB"/>
    <w:rsid w:val="008C7AF4"/>
    <w:rsid w:val="008C7DA4"/>
    <w:rsid w:val="008C7F6E"/>
    <w:rsid w:val="008D0210"/>
    <w:rsid w:val="008D033E"/>
    <w:rsid w:val="008D0851"/>
    <w:rsid w:val="008D0DEF"/>
    <w:rsid w:val="008D0FCD"/>
    <w:rsid w:val="008D1074"/>
    <w:rsid w:val="008D1079"/>
    <w:rsid w:val="008D2643"/>
    <w:rsid w:val="008D280F"/>
    <w:rsid w:val="008D318B"/>
    <w:rsid w:val="008D3994"/>
    <w:rsid w:val="008D3C3D"/>
    <w:rsid w:val="008D478E"/>
    <w:rsid w:val="008D534E"/>
    <w:rsid w:val="008D6E81"/>
    <w:rsid w:val="008D7739"/>
    <w:rsid w:val="008D7A64"/>
    <w:rsid w:val="008D7A92"/>
    <w:rsid w:val="008E0302"/>
    <w:rsid w:val="008E1267"/>
    <w:rsid w:val="008E19FD"/>
    <w:rsid w:val="008E22F8"/>
    <w:rsid w:val="008E39D8"/>
    <w:rsid w:val="008E5D73"/>
    <w:rsid w:val="008E606F"/>
    <w:rsid w:val="008E6AD9"/>
    <w:rsid w:val="008F022A"/>
    <w:rsid w:val="008F06FD"/>
    <w:rsid w:val="008F1172"/>
    <w:rsid w:val="008F27E3"/>
    <w:rsid w:val="008F3485"/>
    <w:rsid w:val="008F3AC3"/>
    <w:rsid w:val="008F51FF"/>
    <w:rsid w:val="008F52FC"/>
    <w:rsid w:val="008F5DEF"/>
    <w:rsid w:val="008F61F2"/>
    <w:rsid w:val="008F7C0A"/>
    <w:rsid w:val="00901DBB"/>
    <w:rsid w:val="009026CB"/>
    <w:rsid w:val="00902876"/>
    <w:rsid w:val="00903FB2"/>
    <w:rsid w:val="00904038"/>
    <w:rsid w:val="009041AF"/>
    <w:rsid w:val="009042AA"/>
    <w:rsid w:val="009049AB"/>
    <w:rsid w:val="009050B7"/>
    <w:rsid w:val="00905130"/>
    <w:rsid w:val="009053BD"/>
    <w:rsid w:val="00905728"/>
    <w:rsid w:val="009061B8"/>
    <w:rsid w:val="009064BF"/>
    <w:rsid w:val="009069B8"/>
    <w:rsid w:val="009130CC"/>
    <w:rsid w:val="00913AF7"/>
    <w:rsid w:val="00913B37"/>
    <w:rsid w:val="00914683"/>
    <w:rsid w:val="00914861"/>
    <w:rsid w:val="009148D8"/>
    <w:rsid w:val="00914B5F"/>
    <w:rsid w:val="00914E71"/>
    <w:rsid w:val="0091504C"/>
    <w:rsid w:val="00915897"/>
    <w:rsid w:val="00915B44"/>
    <w:rsid w:val="00915CD5"/>
    <w:rsid w:val="00916093"/>
    <w:rsid w:val="009160E3"/>
    <w:rsid w:val="0091639C"/>
    <w:rsid w:val="00916E99"/>
    <w:rsid w:val="0092002E"/>
    <w:rsid w:val="0092050A"/>
    <w:rsid w:val="00920EC6"/>
    <w:rsid w:val="0092101E"/>
    <w:rsid w:val="0092383B"/>
    <w:rsid w:val="00923DCE"/>
    <w:rsid w:val="00924119"/>
    <w:rsid w:val="00925120"/>
    <w:rsid w:val="009255FA"/>
    <w:rsid w:val="009262E4"/>
    <w:rsid w:val="009266D2"/>
    <w:rsid w:val="00927D4E"/>
    <w:rsid w:val="00930AC2"/>
    <w:rsid w:val="00930D2A"/>
    <w:rsid w:val="009312BF"/>
    <w:rsid w:val="00931680"/>
    <w:rsid w:val="00931B84"/>
    <w:rsid w:val="009322B2"/>
    <w:rsid w:val="009328DA"/>
    <w:rsid w:val="00932E7E"/>
    <w:rsid w:val="0093442D"/>
    <w:rsid w:val="00934CD2"/>
    <w:rsid w:val="00935A35"/>
    <w:rsid w:val="009375E5"/>
    <w:rsid w:val="00937BC5"/>
    <w:rsid w:val="00937D30"/>
    <w:rsid w:val="00941848"/>
    <w:rsid w:val="0094337A"/>
    <w:rsid w:val="009437F2"/>
    <w:rsid w:val="009442E8"/>
    <w:rsid w:val="00944BA7"/>
    <w:rsid w:val="0094636D"/>
    <w:rsid w:val="00947222"/>
    <w:rsid w:val="0094759C"/>
    <w:rsid w:val="009503FE"/>
    <w:rsid w:val="00950448"/>
    <w:rsid w:val="009507D4"/>
    <w:rsid w:val="00950ACD"/>
    <w:rsid w:val="00950E37"/>
    <w:rsid w:val="00951666"/>
    <w:rsid w:val="0095182F"/>
    <w:rsid w:val="00952524"/>
    <w:rsid w:val="0095278F"/>
    <w:rsid w:val="00953D2D"/>
    <w:rsid w:val="00953EAF"/>
    <w:rsid w:val="0095426C"/>
    <w:rsid w:val="00955EE9"/>
    <w:rsid w:val="00956BF5"/>
    <w:rsid w:val="009570CF"/>
    <w:rsid w:val="009571C2"/>
    <w:rsid w:val="009575C3"/>
    <w:rsid w:val="0095770C"/>
    <w:rsid w:val="009579AF"/>
    <w:rsid w:val="00957CC8"/>
    <w:rsid w:val="00957EE7"/>
    <w:rsid w:val="0096086A"/>
    <w:rsid w:val="00961453"/>
    <w:rsid w:val="009616D4"/>
    <w:rsid w:val="00962150"/>
    <w:rsid w:val="00964166"/>
    <w:rsid w:val="009645AD"/>
    <w:rsid w:val="0096475C"/>
    <w:rsid w:val="0096546E"/>
    <w:rsid w:val="0096562A"/>
    <w:rsid w:val="00965865"/>
    <w:rsid w:val="00966096"/>
    <w:rsid w:val="00966A13"/>
    <w:rsid w:val="00967473"/>
    <w:rsid w:val="00967730"/>
    <w:rsid w:val="00970D56"/>
    <w:rsid w:val="00970E50"/>
    <w:rsid w:val="00971074"/>
    <w:rsid w:val="009725B2"/>
    <w:rsid w:val="009747AA"/>
    <w:rsid w:val="00974B99"/>
    <w:rsid w:val="00974BCB"/>
    <w:rsid w:val="0097529C"/>
    <w:rsid w:val="00975361"/>
    <w:rsid w:val="009758CD"/>
    <w:rsid w:val="00975AEF"/>
    <w:rsid w:val="00975BF2"/>
    <w:rsid w:val="0097616C"/>
    <w:rsid w:val="009763E4"/>
    <w:rsid w:val="0097649D"/>
    <w:rsid w:val="0097654D"/>
    <w:rsid w:val="009766B7"/>
    <w:rsid w:val="00977C23"/>
    <w:rsid w:val="00980A22"/>
    <w:rsid w:val="00980D85"/>
    <w:rsid w:val="00981E09"/>
    <w:rsid w:val="00983094"/>
    <w:rsid w:val="00983599"/>
    <w:rsid w:val="009843DE"/>
    <w:rsid w:val="0098544F"/>
    <w:rsid w:val="00985B04"/>
    <w:rsid w:val="00986A6D"/>
    <w:rsid w:val="00986BEF"/>
    <w:rsid w:val="00987298"/>
    <w:rsid w:val="00987B34"/>
    <w:rsid w:val="00991DF8"/>
    <w:rsid w:val="00992499"/>
    <w:rsid w:val="00992986"/>
    <w:rsid w:val="009936E2"/>
    <w:rsid w:val="00994B55"/>
    <w:rsid w:val="00995D86"/>
    <w:rsid w:val="00995FB2"/>
    <w:rsid w:val="0099781E"/>
    <w:rsid w:val="00997A68"/>
    <w:rsid w:val="009A00EA"/>
    <w:rsid w:val="009A0587"/>
    <w:rsid w:val="009A0DA2"/>
    <w:rsid w:val="009A1F6B"/>
    <w:rsid w:val="009A2C4C"/>
    <w:rsid w:val="009A2DD8"/>
    <w:rsid w:val="009A30DE"/>
    <w:rsid w:val="009A3D29"/>
    <w:rsid w:val="009A509F"/>
    <w:rsid w:val="009A5453"/>
    <w:rsid w:val="009A6A7B"/>
    <w:rsid w:val="009A7532"/>
    <w:rsid w:val="009A7883"/>
    <w:rsid w:val="009B0596"/>
    <w:rsid w:val="009B1D50"/>
    <w:rsid w:val="009B237F"/>
    <w:rsid w:val="009B2760"/>
    <w:rsid w:val="009B308D"/>
    <w:rsid w:val="009B38D5"/>
    <w:rsid w:val="009B3B62"/>
    <w:rsid w:val="009B3C8D"/>
    <w:rsid w:val="009B4FFB"/>
    <w:rsid w:val="009B53C7"/>
    <w:rsid w:val="009B7489"/>
    <w:rsid w:val="009B7987"/>
    <w:rsid w:val="009B7B0A"/>
    <w:rsid w:val="009C07C9"/>
    <w:rsid w:val="009C08D7"/>
    <w:rsid w:val="009C1866"/>
    <w:rsid w:val="009C1FDE"/>
    <w:rsid w:val="009C23FE"/>
    <w:rsid w:val="009C375C"/>
    <w:rsid w:val="009C4E0D"/>
    <w:rsid w:val="009C4F1B"/>
    <w:rsid w:val="009C503B"/>
    <w:rsid w:val="009C5793"/>
    <w:rsid w:val="009C5816"/>
    <w:rsid w:val="009C61EA"/>
    <w:rsid w:val="009C63EC"/>
    <w:rsid w:val="009C7DAC"/>
    <w:rsid w:val="009D077D"/>
    <w:rsid w:val="009D08A6"/>
    <w:rsid w:val="009D1915"/>
    <w:rsid w:val="009D1B69"/>
    <w:rsid w:val="009D1EB3"/>
    <w:rsid w:val="009D2ABF"/>
    <w:rsid w:val="009D3AD2"/>
    <w:rsid w:val="009D3E06"/>
    <w:rsid w:val="009D5843"/>
    <w:rsid w:val="009D638D"/>
    <w:rsid w:val="009D6393"/>
    <w:rsid w:val="009E0885"/>
    <w:rsid w:val="009E1CC8"/>
    <w:rsid w:val="009E2827"/>
    <w:rsid w:val="009E30D2"/>
    <w:rsid w:val="009E4885"/>
    <w:rsid w:val="009E508B"/>
    <w:rsid w:val="009E6A00"/>
    <w:rsid w:val="009F0086"/>
    <w:rsid w:val="009F03AB"/>
    <w:rsid w:val="009F0619"/>
    <w:rsid w:val="009F068A"/>
    <w:rsid w:val="009F08C5"/>
    <w:rsid w:val="009F0A85"/>
    <w:rsid w:val="009F1260"/>
    <w:rsid w:val="009F15CA"/>
    <w:rsid w:val="009F1B71"/>
    <w:rsid w:val="009F220A"/>
    <w:rsid w:val="009F36D6"/>
    <w:rsid w:val="009F6575"/>
    <w:rsid w:val="009F7ADC"/>
    <w:rsid w:val="00A0002A"/>
    <w:rsid w:val="00A0236D"/>
    <w:rsid w:val="00A02985"/>
    <w:rsid w:val="00A02B2B"/>
    <w:rsid w:val="00A02FA8"/>
    <w:rsid w:val="00A03F1A"/>
    <w:rsid w:val="00A03F74"/>
    <w:rsid w:val="00A03F88"/>
    <w:rsid w:val="00A046BF"/>
    <w:rsid w:val="00A05B25"/>
    <w:rsid w:val="00A05C04"/>
    <w:rsid w:val="00A05EC0"/>
    <w:rsid w:val="00A06254"/>
    <w:rsid w:val="00A06842"/>
    <w:rsid w:val="00A07459"/>
    <w:rsid w:val="00A07D78"/>
    <w:rsid w:val="00A07DB6"/>
    <w:rsid w:val="00A10972"/>
    <w:rsid w:val="00A11406"/>
    <w:rsid w:val="00A13205"/>
    <w:rsid w:val="00A132A1"/>
    <w:rsid w:val="00A13422"/>
    <w:rsid w:val="00A15132"/>
    <w:rsid w:val="00A1554D"/>
    <w:rsid w:val="00A15792"/>
    <w:rsid w:val="00A158E3"/>
    <w:rsid w:val="00A1591A"/>
    <w:rsid w:val="00A172E0"/>
    <w:rsid w:val="00A17527"/>
    <w:rsid w:val="00A211C5"/>
    <w:rsid w:val="00A221A3"/>
    <w:rsid w:val="00A223D5"/>
    <w:rsid w:val="00A235E4"/>
    <w:rsid w:val="00A23F41"/>
    <w:rsid w:val="00A25547"/>
    <w:rsid w:val="00A25F76"/>
    <w:rsid w:val="00A3003E"/>
    <w:rsid w:val="00A31E14"/>
    <w:rsid w:val="00A3325E"/>
    <w:rsid w:val="00A34276"/>
    <w:rsid w:val="00A34524"/>
    <w:rsid w:val="00A345B6"/>
    <w:rsid w:val="00A357A4"/>
    <w:rsid w:val="00A35CDF"/>
    <w:rsid w:val="00A36453"/>
    <w:rsid w:val="00A37970"/>
    <w:rsid w:val="00A37A68"/>
    <w:rsid w:val="00A37B0C"/>
    <w:rsid w:val="00A37CE6"/>
    <w:rsid w:val="00A37D1C"/>
    <w:rsid w:val="00A37FFE"/>
    <w:rsid w:val="00A404BE"/>
    <w:rsid w:val="00A40ECF"/>
    <w:rsid w:val="00A411C9"/>
    <w:rsid w:val="00A41FEF"/>
    <w:rsid w:val="00A42476"/>
    <w:rsid w:val="00A433CA"/>
    <w:rsid w:val="00A43A1A"/>
    <w:rsid w:val="00A43D48"/>
    <w:rsid w:val="00A43F3C"/>
    <w:rsid w:val="00A447A5"/>
    <w:rsid w:val="00A45B83"/>
    <w:rsid w:val="00A4646E"/>
    <w:rsid w:val="00A468FD"/>
    <w:rsid w:val="00A46921"/>
    <w:rsid w:val="00A47249"/>
    <w:rsid w:val="00A47E3B"/>
    <w:rsid w:val="00A501C7"/>
    <w:rsid w:val="00A5058A"/>
    <w:rsid w:val="00A50905"/>
    <w:rsid w:val="00A513FD"/>
    <w:rsid w:val="00A5254B"/>
    <w:rsid w:val="00A52BC1"/>
    <w:rsid w:val="00A5347F"/>
    <w:rsid w:val="00A534A0"/>
    <w:rsid w:val="00A537EA"/>
    <w:rsid w:val="00A539AD"/>
    <w:rsid w:val="00A53E3E"/>
    <w:rsid w:val="00A540B2"/>
    <w:rsid w:val="00A5414D"/>
    <w:rsid w:val="00A54A3E"/>
    <w:rsid w:val="00A556B7"/>
    <w:rsid w:val="00A564A6"/>
    <w:rsid w:val="00A56819"/>
    <w:rsid w:val="00A568AC"/>
    <w:rsid w:val="00A6025F"/>
    <w:rsid w:val="00A60E9C"/>
    <w:rsid w:val="00A61196"/>
    <w:rsid w:val="00A6131E"/>
    <w:rsid w:val="00A616AF"/>
    <w:rsid w:val="00A61879"/>
    <w:rsid w:val="00A628B4"/>
    <w:rsid w:val="00A62E6A"/>
    <w:rsid w:val="00A63E4E"/>
    <w:rsid w:val="00A6444F"/>
    <w:rsid w:val="00A652FF"/>
    <w:rsid w:val="00A65A0D"/>
    <w:rsid w:val="00A65C27"/>
    <w:rsid w:val="00A65F3C"/>
    <w:rsid w:val="00A661FD"/>
    <w:rsid w:val="00A66FB3"/>
    <w:rsid w:val="00A709A3"/>
    <w:rsid w:val="00A71216"/>
    <w:rsid w:val="00A714A3"/>
    <w:rsid w:val="00A71B8B"/>
    <w:rsid w:val="00A75089"/>
    <w:rsid w:val="00A75EDC"/>
    <w:rsid w:val="00A80404"/>
    <w:rsid w:val="00A80548"/>
    <w:rsid w:val="00A8085F"/>
    <w:rsid w:val="00A80A3D"/>
    <w:rsid w:val="00A817A8"/>
    <w:rsid w:val="00A81E50"/>
    <w:rsid w:val="00A81F1C"/>
    <w:rsid w:val="00A82602"/>
    <w:rsid w:val="00A82DA0"/>
    <w:rsid w:val="00A83E49"/>
    <w:rsid w:val="00A8401C"/>
    <w:rsid w:val="00A8415A"/>
    <w:rsid w:val="00A841A6"/>
    <w:rsid w:val="00A84221"/>
    <w:rsid w:val="00A843CA"/>
    <w:rsid w:val="00A84B7A"/>
    <w:rsid w:val="00A85063"/>
    <w:rsid w:val="00A86359"/>
    <w:rsid w:val="00A86FBC"/>
    <w:rsid w:val="00A879C5"/>
    <w:rsid w:val="00A902AD"/>
    <w:rsid w:val="00A90302"/>
    <w:rsid w:val="00A9099E"/>
    <w:rsid w:val="00A91FB7"/>
    <w:rsid w:val="00A9298F"/>
    <w:rsid w:val="00A9301E"/>
    <w:rsid w:val="00A93E3A"/>
    <w:rsid w:val="00A95186"/>
    <w:rsid w:val="00A951AD"/>
    <w:rsid w:val="00A961BD"/>
    <w:rsid w:val="00A973B1"/>
    <w:rsid w:val="00AA027E"/>
    <w:rsid w:val="00AA1224"/>
    <w:rsid w:val="00AA14F2"/>
    <w:rsid w:val="00AA180B"/>
    <w:rsid w:val="00AA1D43"/>
    <w:rsid w:val="00AA2358"/>
    <w:rsid w:val="00AA2469"/>
    <w:rsid w:val="00AA2CD7"/>
    <w:rsid w:val="00AA2FA4"/>
    <w:rsid w:val="00AA3301"/>
    <w:rsid w:val="00AA3360"/>
    <w:rsid w:val="00AA386B"/>
    <w:rsid w:val="00AA6384"/>
    <w:rsid w:val="00AA6B93"/>
    <w:rsid w:val="00AA7A06"/>
    <w:rsid w:val="00AA7A7F"/>
    <w:rsid w:val="00AB1984"/>
    <w:rsid w:val="00AB1CBB"/>
    <w:rsid w:val="00AB215B"/>
    <w:rsid w:val="00AB3146"/>
    <w:rsid w:val="00AB333E"/>
    <w:rsid w:val="00AB37DB"/>
    <w:rsid w:val="00AB3ECC"/>
    <w:rsid w:val="00AB54B5"/>
    <w:rsid w:val="00AB5A73"/>
    <w:rsid w:val="00AB5F48"/>
    <w:rsid w:val="00AB7156"/>
    <w:rsid w:val="00AB716D"/>
    <w:rsid w:val="00AB72BB"/>
    <w:rsid w:val="00AB7472"/>
    <w:rsid w:val="00AB7BF3"/>
    <w:rsid w:val="00AC09D5"/>
    <w:rsid w:val="00AC0D8E"/>
    <w:rsid w:val="00AC175B"/>
    <w:rsid w:val="00AC1AA3"/>
    <w:rsid w:val="00AC1F8E"/>
    <w:rsid w:val="00AC22C1"/>
    <w:rsid w:val="00AC374B"/>
    <w:rsid w:val="00AC3798"/>
    <w:rsid w:val="00AC3ED5"/>
    <w:rsid w:val="00AC4CB3"/>
    <w:rsid w:val="00AC4D7C"/>
    <w:rsid w:val="00AC53B0"/>
    <w:rsid w:val="00AC6EF2"/>
    <w:rsid w:val="00AC71A6"/>
    <w:rsid w:val="00AC742F"/>
    <w:rsid w:val="00AC7664"/>
    <w:rsid w:val="00AC774F"/>
    <w:rsid w:val="00AC780D"/>
    <w:rsid w:val="00AC787B"/>
    <w:rsid w:val="00AC78A0"/>
    <w:rsid w:val="00AC7956"/>
    <w:rsid w:val="00AC7E18"/>
    <w:rsid w:val="00AD1B79"/>
    <w:rsid w:val="00AD3208"/>
    <w:rsid w:val="00AD3C00"/>
    <w:rsid w:val="00AD50F8"/>
    <w:rsid w:val="00AD719F"/>
    <w:rsid w:val="00AD7447"/>
    <w:rsid w:val="00AD7D36"/>
    <w:rsid w:val="00AE0A0E"/>
    <w:rsid w:val="00AE0DED"/>
    <w:rsid w:val="00AE2780"/>
    <w:rsid w:val="00AE284A"/>
    <w:rsid w:val="00AE307E"/>
    <w:rsid w:val="00AE3450"/>
    <w:rsid w:val="00AE392E"/>
    <w:rsid w:val="00AE3E11"/>
    <w:rsid w:val="00AE40B3"/>
    <w:rsid w:val="00AE4BDC"/>
    <w:rsid w:val="00AE4CFD"/>
    <w:rsid w:val="00AE4EA6"/>
    <w:rsid w:val="00AE51FF"/>
    <w:rsid w:val="00AE55AD"/>
    <w:rsid w:val="00AE5D8F"/>
    <w:rsid w:val="00AE67D5"/>
    <w:rsid w:val="00AE78ED"/>
    <w:rsid w:val="00AE7AC2"/>
    <w:rsid w:val="00AE7EC9"/>
    <w:rsid w:val="00AF1117"/>
    <w:rsid w:val="00AF1555"/>
    <w:rsid w:val="00AF174E"/>
    <w:rsid w:val="00AF18BA"/>
    <w:rsid w:val="00AF1CA5"/>
    <w:rsid w:val="00AF228C"/>
    <w:rsid w:val="00AF2DB9"/>
    <w:rsid w:val="00AF3928"/>
    <w:rsid w:val="00AF3B55"/>
    <w:rsid w:val="00AF3D62"/>
    <w:rsid w:val="00AF4146"/>
    <w:rsid w:val="00AF56FE"/>
    <w:rsid w:val="00AF6AC5"/>
    <w:rsid w:val="00AF7809"/>
    <w:rsid w:val="00AF7CA7"/>
    <w:rsid w:val="00AF7F7B"/>
    <w:rsid w:val="00B00BDE"/>
    <w:rsid w:val="00B0104B"/>
    <w:rsid w:val="00B021E0"/>
    <w:rsid w:val="00B03A30"/>
    <w:rsid w:val="00B03A35"/>
    <w:rsid w:val="00B04F99"/>
    <w:rsid w:val="00B057B6"/>
    <w:rsid w:val="00B05A7C"/>
    <w:rsid w:val="00B06361"/>
    <w:rsid w:val="00B0651D"/>
    <w:rsid w:val="00B06955"/>
    <w:rsid w:val="00B07BEA"/>
    <w:rsid w:val="00B07F41"/>
    <w:rsid w:val="00B102F9"/>
    <w:rsid w:val="00B11C80"/>
    <w:rsid w:val="00B12152"/>
    <w:rsid w:val="00B12DCA"/>
    <w:rsid w:val="00B13ECB"/>
    <w:rsid w:val="00B1524F"/>
    <w:rsid w:val="00B15A54"/>
    <w:rsid w:val="00B15ECF"/>
    <w:rsid w:val="00B169CD"/>
    <w:rsid w:val="00B16C0A"/>
    <w:rsid w:val="00B17F60"/>
    <w:rsid w:val="00B2039A"/>
    <w:rsid w:val="00B20AC8"/>
    <w:rsid w:val="00B215D5"/>
    <w:rsid w:val="00B21D55"/>
    <w:rsid w:val="00B225CB"/>
    <w:rsid w:val="00B22870"/>
    <w:rsid w:val="00B22A22"/>
    <w:rsid w:val="00B22AA6"/>
    <w:rsid w:val="00B23F4C"/>
    <w:rsid w:val="00B24233"/>
    <w:rsid w:val="00B246DD"/>
    <w:rsid w:val="00B248D8"/>
    <w:rsid w:val="00B24BA7"/>
    <w:rsid w:val="00B25A6F"/>
    <w:rsid w:val="00B25CD9"/>
    <w:rsid w:val="00B268D0"/>
    <w:rsid w:val="00B269D3"/>
    <w:rsid w:val="00B27F44"/>
    <w:rsid w:val="00B301ED"/>
    <w:rsid w:val="00B30448"/>
    <w:rsid w:val="00B3048B"/>
    <w:rsid w:val="00B30C49"/>
    <w:rsid w:val="00B30D75"/>
    <w:rsid w:val="00B30DAD"/>
    <w:rsid w:val="00B31315"/>
    <w:rsid w:val="00B3260E"/>
    <w:rsid w:val="00B32C4B"/>
    <w:rsid w:val="00B3407E"/>
    <w:rsid w:val="00B34C84"/>
    <w:rsid w:val="00B34D6A"/>
    <w:rsid w:val="00B35021"/>
    <w:rsid w:val="00B35749"/>
    <w:rsid w:val="00B35EF5"/>
    <w:rsid w:val="00B3677F"/>
    <w:rsid w:val="00B36872"/>
    <w:rsid w:val="00B3704D"/>
    <w:rsid w:val="00B37071"/>
    <w:rsid w:val="00B40162"/>
    <w:rsid w:val="00B4054D"/>
    <w:rsid w:val="00B40FDB"/>
    <w:rsid w:val="00B41C6D"/>
    <w:rsid w:val="00B420B2"/>
    <w:rsid w:val="00B42800"/>
    <w:rsid w:val="00B42832"/>
    <w:rsid w:val="00B42863"/>
    <w:rsid w:val="00B430F6"/>
    <w:rsid w:val="00B43511"/>
    <w:rsid w:val="00B43CE6"/>
    <w:rsid w:val="00B45528"/>
    <w:rsid w:val="00B46B6E"/>
    <w:rsid w:val="00B478FA"/>
    <w:rsid w:val="00B50156"/>
    <w:rsid w:val="00B501E8"/>
    <w:rsid w:val="00B502A3"/>
    <w:rsid w:val="00B506D4"/>
    <w:rsid w:val="00B507AA"/>
    <w:rsid w:val="00B50953"/>
    <w:rsid w:val="00B509AE"/>
    <w:rsid w:val="00B50E13"/>
    <w:rsid w:val="00B51581"/>
    <w:rsid w:val="00B518AD"/>
    <w:rsid w:val="00B51BB6"/>
    <w:rsid w:val="00B52056"/>
    <w:rsid w:val="00B52B0E"/>
    <w:rsid w:val="00B52D81"/>
    <w:rsid w:val="00B5355B"/>
    <w:rsid w:val="00B5402E"/>
    <w:rsid w:val="00B540E8"/>
    <w:rsid w:val="00B54681"/>
    <w:rsid w:val="00B55852"/>
    <w:rsid w:val="00B560A9"/>
    <w:rsid w:val="00B56866"/>
    <w:rsid w:val="00B56CC4"/>
    <w:rsid w:val="00B604BB"/>
    <w:rsid w:val="00B6062A"/>
    <w:rsid w:val="00B60A96"/>
    <w:rsid w:val="00B60DD7"/>
    <w:rsid w:val="00B60EB6"/>
    <w:rsid w:val="00B60EE5"/>
    <w:rsid w:val="00B616A5"/>
    <w:rsid w:val="00B628BE"/>
    <w:rsid w:val="00B637FB"/>
    <w:rsid w:val="00B6386F"/>
    <w:rsid w:val="00B65D9B"/>
    <w:rsid w:val="00B66E51"/>
    <w:rsid w:val="00B67346"/>
    <w:rsid w:val="00B6793A"/>
    <w:rsid w:val="00B67AC3"/>
    <w:rsid w:val="00B70880"/>
    <w:rsid w:val="00B71422"/>
    <w:rsid w:val="00B71486"/>
    <w:rsid w:val="00B71607"/>
    <w:rsid w:val="00B71EF7"/>
    <w:rsid w:val="00B72361"/>
    <w:rsid w:val="00B74AB0"/>
    <w:rsid w:val="00B75345"/>
    <w:rsid w:val="00B76327"/>
    <w:rsid w:val="00B76400"/>
    <w:rsid w:val="00B76C94"/>
    <w:rsid w:val="00B76D4E"/>
    <w:rsid w:val="00B76D6E"/>
    <w:rsid w:val="00B771AA"/>
    <w:rsid w:val="00B772D0"/>
    <w:rsid w:val="00B80A99"/>
    <w:rsid w:val="00B80F4E"/>
    <w:rsid w:val="00B814CF"/>
    <w:rsid w:val="00B81A33"/>
    <w:rsid w:val="00B82B2D"/>
    <w:rsid w:val="00B83117"/>
    <w:rsid w:val="00B8319C"/>
    <w:rsid w:val="00B90351"/>
    <w:rsid w:val="00B906F2"/>
    <w:rsid w:val="00B90D9B"/>
    <w:rsid w:val="00B91259"/>
    <w:rsid w:val="00B91B81"/>
    <w:rsid w:val="00B91FF0"/>
    <w:rsid w:val="00B926A8"/>
    <w:rsid w:val="00B92FFF"/>
    <w:rsid w:val="00B936F8"/>
    <w:rsid w:val="00B9492E"/>
    <w:rsid w:val="00B96799"/>
    <w:rsid w:val="00B96DE5"/>
    <w:rsid w:val="00B97A76"/>
    <w:rsid w:val="00BA0166"/>
    <w:rsid w:val="00BA0584"/>
    <w:rsid w:val="00BA0755"/>
    <w:rsid w:val="00BA1E9D"/>
    <w:rsid w:val="00BA249D"/>
    <w:rsid w:val="00BA3C66"/>
    <w:rsid w:val="00BA4D00"/>
    <w:rsid w:val="00BA4F9B"/>
    <w:rsid w:val="00BA5665"/>
    <w:rsid w:val="00BA72D9"/>
    <w:rsid w:val="00BB0AB5"/>
    <w:rsid w:val="00BB195B"/>
    <w:rsid w:val="00BB1BBA"/>
    <w:rsid w:val="00BB204A"/>
    <w:rsid w:val="00BB31DF"/>
    <w:rsid w:val="00BB33E9"/>
    <w:rsid w:val="00BB34B7"/>
    <w:rsid w:val="00BB3BE4"/>
    <w:rsid w:val="00BB44DB"/>
    <w:rsid w:val="00BB57D3"/>
    <w:rsid w:val="00BB58EE"/>
    <w:rsid w:val="00BB64EC"/>
    <w:rsid w:val="00BB7589"/>
    <w:rsid w:val="00BB7668"/>
    <w:rsid w:val="00BB7E42"/>
    <w:rsid w:val="00BC077E"/>
    <w:rsid w:val="00BC0E57"/>
    <w:rsid w:val="00BC1F5F"/>
    <w:rsid w:val="00BC21BE"/>
    <w:rsid w:val="00BC2465"/>
    <w:rsid w:val="00BC3E36"/>
    <w:rsid w:val="00BC4B2D"/>
    <w:rsid w:val="00BC4CE8"/>
    <w:rsid w:val="00BC4D54"/>
    <w:rsid w:val="00BC6E2F"/>
    <w:rsid w:val="00BC728A"/>
    <w:rsid w:val="00BC7632"/>
    <w:rsid w:val="00BC77A4"/>
    <w:rsid w:val="00BC7C9E"/>
    <w:rsid w:val="00BD1E79"/>
    <w:rsid w:val="00BD23A5"/>
    <w:rsid w:val="00BD2937"/>
    <w:rsid w:val="00BD2AFC"/>
    <w:rsid w:val="00BD2CD4"/>
    <w:rsid w:val="00BD3143"/>
    <w:rsid w:val="00BD330C"/>
    <w:rsid w:val="00BD359B"/>
    <w:rsid w:val="00BD3663"/>
    <w:rsid w:val="00BD367F"/>
    <w:rsid w:val="00BD44D4"/>
    <w:rsid w:val="00BD4871"/>
    <w:rsid w:val="00BD48A9"/>
    <w:rsid w:val="00BD4B47"/>
    <w:rsid w:val="00BD5712"/>
    <w:rsid w:val="00BD581A"/>
    <w:rsid w:val="00BD5C02"/>
    <w:rsid w:val="00BD658C"/>
    <w:rsid w:val="00BD678A"/>
    <w:rsid w:val="00BD6819"/>
    <w:rsid w:val="00BD7EC6"/>
    <w:rsid w:val="00BE063A"/>
    <w:rsid w:val="00BE0FF2"/>
    <w:rsid w:val="00BE1345"/>
    <w:rsid w:val="00BE18BC"/>
    <w:rsid w:val="00BE2147"/>
    <w:rsid w:val="00BE239E"/>
    <w:rsid w:val="00BE3B83"/>
    <w:rsid w:val="00BE3C67"/>
    <w:rsid w:val="00BE3CF7"/>
    <w:rsid w:val="00BE42FC"/>
    <w:rsid w:val="00BE6085"/>
    <w:rsid w:val="00BE66FC"/>
    <w:rsid w:val="00BE73FA"/>
    <w:rsid w:val="00BF00D1"/>
    <w:rsid w:val="00BF0353"/>
    <w:rsid w:val="00BF090A"/>
    <w:rsid w:val="00BF0918"/>
    <w:rsid w:val="00BF2001"/>
    <w:rsid w:val="00BF2575"/>
    <w:rsid w:val="00BF31A0"/>
    <w:rsid w:val="00BF323A"/>
    <w:rsid w:val="00BF36C0"/>
    <w:rsid w:val="00BF3F0A"/>
    <w:rsid w:val="00BF4E35"/>
    <w:rsid w:val="00BF5FB3"/>
    <w:rsid w:val="00BF6F82"/>
    <w:rsid w:val="00BF7B9B"/>
    <w:rsid w:val="00C0083F"/>
    <w:rsid w:val="00C00976"/>
    <w:rsid w:val="00C020CD"/>
    <w:rsid w:val="00C02DDE"/>
    <w:rsid w:val="00C0362D"/>
    <w:rsid w:val="00C0367B"/>
    <w:rsid w:val="00C04E51"/>
    <w:rsid w:val="00C05074"/>
    <w:rsid w:val="00C05AF9"/>
    <w:rsid w:val="00C060A3"/>
    <w:rsid w:val="00C060B0"/>
    <w:rsid w:val="00C06D2C"/>
    <w:rsid w:val="00C072F0"/>
    <w:rsid w:val="00C07344"/>
    <w:rsid w:val="00C079A3"/>
    <w:rsid w:val="00C07C1F"/>
    <w:rsid w:val="00C07C79"/>
    <w:rsid w:val="00C11A79"/>
    <w:rsid w:val="00C1211E"/>
    <w:rsid w:val="00C13607"/>
    <w:rsid w:val="00C137B1"/>
    <w:rsid w:val="00C13B43"/>
    <w:rsid w:val="00C15E81"/>
    <w:rsid w:val="00C174C9"/>
    <w:rsid w:val="00C17B6E"/>
    <w:rsid w:val="00C200BA"/>
    <w:rsid w:val="00C20748"/>
    <w:rsid w:val="00C20754"/>
    <w:rsid w:val="00C21378"/>
    <w:rsid w:val="00C220A5"/>
    <w:rsid w:val="00C22307"/>
    <w:rsid w:val="00C22BB2"/>
    <w:rsid w:val="00C22EAF"/>
    <w:rsid w:val="00C23150"/>
    <w:rsid w:val="00C24580"/>
    <w:rsid w:val="00C24908"/>
    <w:rsid w:val="00C250E8"/>
    <w:rsid w:val="00C2515F"/>
    <w:rsid w:val="00C25B30"/>
    <w:rsid w:val="00C25DCF"/>
    <w:rsid w:val="00C26AEA"/>
    <w:rsid w:val="00C276EC"/>
    <w:rsid w:val="00C27C0A"/>
    <w:rsid w:val="00C31AD4"/>
    <w:rsid w:val="00C31C63"/>
    <w:rsid w:val="00C31CD9"/>
    <w:rsid w:val="00C32481"/>
    <w:rsid w:val="00C3394C"/>
    <w:rsid w:val="00C34581"/>
    <w:rsid w:val="00C34AD7"/>
    <w:rsid w:val="00C3516D"/>
    <w:rsid w:val="00C351E4"/>
    <w:rsid w:val="00C361A6"/>
    <w:rsid w:val="00C365C5"/>
    <w:rsid w:val="00C3670F"/>
    <w:rsid w:val="00C367BE"/>
    <w:rsid w:val="00C36E1A"/>
    <w:rsid w:val="00C371DF"/>
    <w:rsid w:val="00C37818"/>
    <w:rsid w:val="00C37EFC"/>
    <w:rsid w:val="00C37FF9"/>
    <w:rsid w:val="00C40126"/>
    <w:rsid w:val="00C41099"/>
    <w:rsid w:val="00C41425"/>
    <w:rsid w:val="00C41B4A"/>
    <w:rsid w:val="00C4213A"/>
    <w:rsid w:val="00C42C11"/>
    <w:rsid w:val="00C43ADB"/>
    <w:rsid w:val="00C44949"/>
    <w:rsid w:val="00C44B4C"/>
    <w:rsid w:val="00C450E3"/>
    <w:rsid w:val="00C45830"/>
    <w:rsid w:val="00C45C56"/>
    <w:rsid w:val="00C45CCD"/>
    <w:rsid w:val="00C46734"/>
    <w:rsid w:val="00C50112"/>
    <w:rsid w:val="00C5105D"/>
    <w:rsid w:val="00C511F0"/>
    <w:rsid w:val="00C513C7"/>
    <w:rsid w:val="00C51639"/>
    <w:rsid w:val="00C53220"/>
    <w:rsid w:val="00C533A0"/>
    <w:rsid w:val="00C537E7"/>
    <w:rsid w:val="00C53AFE"/>
    <w:rsid w:val="00C53E9D"/>
    <w:rsid w:val="00C5426B"/>
    <w:rsid w:val="00C54C18"/>
    <w:rsid w:val="00C573DA"/>
    <w:rsid w:val="00C5772E"/>
    <w:rsid w:val="00C5781B"/>
    <w:rsid w:val="00C61117"/>
    <w:rsid w:val="00C616B4"/>
    <w:rsid w:val="00C621A7"/>
    <w:rsid w:val="00C62AA0"/>
    <w:rsid w:val="00C62BF2"/>
    <w:rsid w:val="00C62D1B"/>
    <w:rsid w:val="00C638A6"/>
    <w:rsid w:val="00C63FB9"/>
    <w:rsid w:val="00C64266"/>
    <w:rsid w:val="00C647DF"/>
    <w:rsid w:val="00C66306"/>
    <w:rsid w:val="00C66CE8"/>
    <w:rsid w:val="00C70074"/>
    <w:rsid w:val="00C70DF4"/>
    <w:rsid w:val="00C71252"/>
    <w:rsid w:val="00C7277F"/>
    <w:rsid w:val="00C73C07"/>
    <w:rsid w:val="00C74930"/>
    <w:rsid w:val="00C74B47"/>
    <w:rsid w:val="00C74D80"/>
    <w:rsid w:val="00C754BD"/>
    <w:rsid w:val="00C75D3A"/>
    <w:rsid w:val="00C769A9"/>
    <w:rsid w:val="00C774C9"/>
    <w:rsid w:val="00C77F1B"/>
    <w:rsid w:val="00C80987"/>
    <w:rsid w:val="00C80A3F"/>
    <w:rsid w:val="00C8180E"/>
    <w:rsid w:val="00C818A9"/>
    <w:rsid w:val="00C82436"/>
    <w:rsid w:val="00C82933"/>
    <w:rsid w:val="00C82BE2"/>
    <w:rsid w:val="00C84BBF"/>
    <w:rsid w:val="00C84BE9"/>
    <w:rsid w:val="00C85DEF"/>
    <w:rsid w:val="00C85E40"/>
    <w:rsid w:val="00C86D76"/>
    <w:rsid w:val="00C910F8"/>
    <w:rsid w:val="00C91106"/>
    <w:rsid w:val="00C9117B"/>
    <w:rsid w:val="00C91D19"/>
    <w:rsid w:val="00C93B58"/>
    <w:rsid w:val="00C93C2F"/>
    <w:rsid w:val="00C9437C"/>
    <w:rsid w:val="00C946E4"/>
    <w:rsid w:val="00C946FF"/>
    <w:rsid w:val="00C94A14"/>
    <w:rsid w:val="00C94CDA"/>
    <w:rsid w:val="00C95BED"/>
    <w:rsid w:val="00C96725"/>
    <w:rsid w:val="00C97A66"/>
    <w:rsid w:val="00CA007B"/>
    <w:rsid w:val="00CA0AA4"/>
    <w:rsid w:val="00CA15B0"/>
    <w:rsid w:val="00CA1C71"/>
    <w:rsid w:val="00CA1D4C"/>
    <w:rsid w:val="00CA1D50"/>
    <w:rsid w:val="00CA1DAB"/>
    <w:rsid w:val="00CA20E0"/>
    <w:rsid w:val="00CA2598"/>
    <w:rsid w:val="00CA3347"/>
    <w:rsid w:val="00CA523D"/>
    <w:rsid w:val="00CA6FDA"/>
    <w:rsid w:val="00CA77CF"/>
    <w:rsid w:val="00CA7B58"/>
    <w:rsid w:val="00CB0836"/>
    <w:rsid w:val="00CB0CB9"/>
    <w:rsid w:val="00CB1413"/>
    <w:rsid w:val="00CB2518"/>
    <w:rsid w:val="00CB3920"/>
    <w:rsid w:val="00CB4C4C"/>
    <w:rsid w:val="00CB6413"/>
    <w:rsid w:val="00CB696F"/>
    <w:rsid w:val="00CB6A00"/>
    <w:rsid w:val="00CB7097"/>
    <w:rsid w:val="00CB77F4"/>
    <w:rsid w:val="00CC0F1C"/>
    <w:rsid w:val="00CC299A"/>
    <w:rsid w:val="00CC3039"/>
    <w:rsid w:val="00CC32B7"/>
    <w:rsid w:val="00CC36DE"/>
    <w:rsid w:val="00CC4F99"/>
    <w:rsid w:val="00CC5CDC"/>
    <w:rsid w:val="00CC5FC3"/>
    <w:rsid w:val="00CC6369"/>
    <w:rsid w:val="00CC65D6"/>
    <w:rsid w:val="00CC73F3"/>
    <w:rsid w:val="00CC78B7"/>
    <w:rsid w:val="00CC7B85"/>
    <w:rsid w:val="00CD081C"/>
    <w:rsid w:val="00CD14DA"/>
    <w:rsid w:val="00CD1B5A"/>
    <w:rsid w:val="00CD1E9C"/>
    <w:rsid w:val="00CD27DB"/>
    <w:rsid w:val="00CD2E70"/>
    <w:rsid w:val="00CD386B"/>
    <w:rsid w:val="00CD3D06"/>
    <w:rsid w:val="00CD4A09"/>
    <w:rsid w:val="00CD4C67"/>
    <w:rsid w:val="00CD4C7B"/>
    <w:rsid w:val="00CD5397"/>
    <w:rsid w:val="00CD5E93"/>
    <w:rsid w:val="00CE15AE"/>
    <w:rsid w:val="00CE1CFC"/>
    <w:rsid w:val="00CE235A"/>
    <w:rsid w:val="00CE37A3"/>
    <w:rsid w:val="00CE3814"/>
    <w:rsid w:val="00CE56B7"/>
    <w:rsid w:val="00CE6660"/>
    <w:rsid w:val="00CE6855"/>
    <w:rsid w:val="00CE6B6F"/>
    <w:rsid w:val="00CE7033"/>
    <w:rsid w:val="00CE7075"/>
    <w:rsid w:val="00CE770A"/>
    <w:rsid w:val="00CF02A6"/>
    <w:rsid w:val="00CF05A6"/>
    <w:rsid w:val="00CF06CF"/>
    <w:rsid w:val="00CF101C"/>
    <w:rsid w:val="00CF15C5"/>
    <w:rsid w:val="00CF2DC1"/>
    <w:rsid w:val="00CF2EE2"/>
    <w:rsid w:val="00CF3948"/>
    <w:rsid w:val="00CF3ACF"/>
    <w:rsid w:val="00CF441D"/>
    <w:rsid w:val="00CF4FCF"/>
    <w:rsid w:val="00CF4FDC"/>
    <w:rsid w:val="00CF56AF"/>
    <w:rsid w:val="00CF5BE0"/>
    <w:rsid w:val="00CF5BF1"/>
    <w:rsid w:val="00CF61CB"/>
    <w:rsid w:val="00CF666F"/>
    <w:rsid w:val="00CF686F"/>
    <w:rsid w:val="00CF6CA7"/>
    <w:rsid w:val="00CF6E7D"/>
    <w:rsid w:val="00D00175"/>
    <w:rsid w:val="00D00223"/>
    <w:rsid w:val="00D008D8"/>
    <w:rsid w:val="00D00DBF"/>
    <w:rsid w:val="00D0149B"/>
    <w:rsid w:val="00D01F5D"/>
    <w:rsid w:val="00D01FA9"/>
    <w:rsid w:val="00D03DBE"/>
    <w:rsid w:val="00D03EED"/>
    <w:rsid w:val="00D0597D"/>
    <w:rsid w:val="00D06274"/>
    <w:rsid w:val="00D066D8"/>
    <w:rsid w:val="00D07AEC"/>
    <w:rsid w:val="00D07FB9"/>
    <w:rsid w:val="00D11949"/>
    <w:rsid w:val="00D11A69"/>
    <w:rsid w:val="00D12C98"/>
    <w:rsid w:val="00D12FFC"/>
    <w:rsid w:val="00D13CA3"/>
    <w:rsid w:val="00D1484F"/>
    <w:rsid w:val="00D14BA0"/>
    <w:rsid w:val="00D14D7B"/>
    <w:rsid w:val="00D1516D"/>
    <w:rsid w:val="00D158B0"/>
    <w:rsid w:val="00D1707A"/>
    <w:rsid w:val="00D17CC2"/>
    <w:rsid w:val="00D21435"/>
    <w:rsid w:val="00D2242C"/>
    <w:rsid w:val="00D224FA"/>
    <w:rsid w:val="00D23033"/>
    <w:rsid w:val="00D2402F"/>
    <w:rsid w:val="00D245C2"/>
    <w:rsid w:val="00D25660"/>
    <w:rsid w:val="00D258EB"/>
    <w:rsid w:val="00D25AEB"/>
    <w:rsid w:val="00D271CD"/>
    <w:rsid w:val="00D3064E"/>
    <w:rsid w:val="00D315CC"/>
    <w:rsid w:val="00D32067"/>
    <w:rsid w:val="00D327A3"/>
    <w:rsid w:val="00D34C82"/>
    <w:rsid w:val="00D36550"/>
    <w:rsid w:val="00D379EC"/>
    <w:rsid w:val="00D37C94"/>
    <w:rsid w:val="00D41E42"/>
    <w:rsid w:val="00D41F6B"/>
    <w:rsid w:val="00D42380"/>
    <w:rsid w:val="00D42C9B"/>
    <w:rsid w:val="00D4348D"/>
    <w:rsid w:val="00D436D7"/>
    <w:rsid w:val="00D44E42"/>
    <w:rsid w:val="00D44FC3"/>
    <w:rsid w:val="00D450E2"/>
    <w:rsid w:val="00D453D7"/>
    <w:rsid w:val="00D4552D"/>
    <w:rsid w:val="00D462D6"/>
    <w:rsid w:val="00D474AB"/>
    <w:rsid w:val="00D4754E"/>
    <w:rsid w:val="00D50961"/>
    <w:rsid w:val="00D50A02"/>
    <w:rsid w:val="00D512A1"/>
    <w:rsid w:val="00D52AB4"/>
    <w:rsid w:val="00D52F26"/>
    <w:rsid w:val="00D531F5"/>
    <w:rsid w:val="00D538C1"/>
    <w:rsid w:val="00D538D5"/>
    <w:rsid w:val="00D53B5C"/>
    <w:rsid w:val="00D54640"/>
    <w:rsid w:val="00D55455"/>
    <w:rsid w:val="00D559B5"/>
    <w:rsid w:val="00D56420"/>
    <w:rsid w:val="00D5658A"/>
    <w:rsid w:val="00D56A94"/>
    <w:rsid w:val="00D56C0C"/>
    <w:rsid w:val="00D5798B"/>
    <w:rsid w:val="00D60736"/>
    <w:rsid w:val="00D6170E"/>
    <w:rsid w:val="00D61B58"/>
    <w:rsid w:val="00D6307D"/>
    <w:rsid w:val="00D63632"/>
    <w:rsid w:val="00D63732"/>
    <w:rsid w:val="00D6405D"/>
    <w:rsid w:val="00D6568E"/>
    <w:rsid w:val="00D65893"/>
    <w:rsid w:val="00D658EC"/>
    <w:rsid w:val="00D6684E"/>
    <w:rsid w:val="00D6742A"/>
    <w:rsid w:val="00D67B9B"/>
    <w:rsid w:val="00D71733"/>
    <w:rsid w:val="00D718AC"/>
    <w:rsid w:val="00D719A3"/>
    <w:rsid w:val="00D71E7A"/>
    <w:rsid w:val="00D72DE7"/>
    <w:rsid w:val="00D7302F"/>
    <w:rsid w:val="00D73BB2"/>
    <w:rsid w:val="00D74D14"/>
    <w:rsid w:val="00D74F3B"/>
    <w:rsid w:val="00D752E7"/>
    <w:rsid w:val="00D7574B"/>
    <w:rsid w:val="00D75E82"/>
    <w:rsid w:val="00D76270"/>
    <w:rsid w:val="00D769C5"/>
    <w:rsid w:val="00D76E76"/>
    <w:rsid w:val="00D80631"/>
    <w:rsid w:val="00D818EC"/>
    <w:rsid w:val="00D81A20"/>
    <w:rsid w:val="00D81F55"/>
    <w:rsid w:val="00D8321A"/>
    <w:rsid w:val="00D84A86"/>
    <w:rsid w:val="00D85152"/>
    <w:rsid w:val="00D85F2C"/>
    <w:rsid w:val="00D861BD"/>
    <w:rsid w:val="00D86D55"/>
    <w:rsid w:val="00D8789C"/>
    <w:rsid w:val="00D87B3F"/>
    <w:rsid w:val="00D9003D"/>
    <w:rsid w:val="00D90558"/>
    <w:rsid w:val="00D9082F"/>
    <w:rsid w:val="00D90C79"/>
    <w:rsid w:val="00D914EB"/>
    <w:rsid w:val="00D91B36"/>
    <w:rsid w:val="00D9305B"/>
    <w:rsid w:val="00D94085"/>
    <w:rsid w:val="00D96D4F"/>
    <w:rsid w:val="00DA1806"/>
    <w:rsid w:val="00DA1BD1"/>
    <w:rsid w:val="00DA212B"/>
    <w:rsid w:val="00DA3A76"/>
    <w:rsid w:val="00DA6D6D"/>
    <w:rsid w:val="00DA73C1"/>
    <w:rsid w:val="00DA7457"/>
    <w:rsid w:val="00DA770D"/>
    <w:rsid w:val="00DA7851"/>
    <w:rsid w:val="00DA7DC1"/>
    <w:rsid w:val="00DB00EE"/>
    <w:rsid w:val="00DB0132"/>
    <w:rsid w:val="00DB2754"/>
    <w:rsid w:val="00DB2D88"/>
    <w:rsid w:val="00DB3687"/>
    <w:rsid w:val="00DB38D1"/>
    <w:rsid w:val="00DB41CB"/>
    <w:rsid w:val="00DB681B"/>
    <w:rsid w:val="00DB7E24"/>
    <w:rsid w:val="00DC0445"/>
    <w:rsid w:val="00DC115F"/>
    <w:rsid w:val="00DC2082"/>
    <w:rsid w:val="00DC225F"/>
    <w:rsid w:val="00DC2883"/>
    <w:rsid w:val="00DC2C48"/>
    <w:rsid w:val="00DC46B5"/>
    <w:rsid w:val="00DC4B28"/>
    <w:rsid w:val="00DC4B5D"/>
    <w:rsid w:val="00DC525E"/>
    <w:rsid w:val="00DC535C"/>
    <w:rsid w:val="00DC5DCB"/>
    <w:rsid w:val="00DC6C0D"/>
    <w:rsid w:val="00DD074A"/>
    <w:rsid w:val="00DD0D70"/>
    <w:rsid w:val="00DD1941"/>
    <w:rsid w:val="00DD26A5"/>
    <w:rsid w:val="00DD2812"/>
    <w:rsid w:val="00DD34F2"/>
    <w:rsid w:val="00DD3C6B"/>
    <w:rsid w:val="00DD54ED"/>
    <w:rsid w:val="00DD697F"/>
    <w:rsid w:val="00DD699C"/>
    <w:rsid w:val="00DD739F"/>
    <w:rsid w:val="00DD7631"/>
    <w:rsid w:val="00DD7762"/>
    <w:rsid w:val="00DD781E"/>
    <w:rsid w:val="00DD7A2C"/>
    <w:rsid w:val="00DD7F63"/>
    <w:rsid w:val="00DE0A1B"/>
    <w:rsid w:val="00DE1238"/>
    <w:rsid w:val="00DE1FFE"/>
    <w:rsid w:val="00DE2F9E"/>
    <w:rsid w:val="00DE31B1"/>
    <w:rsid w:val="00DE32E7"/>
    <w:rsid w:val="00DE3BB8"/>
    <w:rsid w:val="00DE40EB"/>
    <w:rsid w:val="00DE5117"/>
    <w:rsid w:val="00DE51F6"/>
    <w:rsid w:val="00DE5648"/>
    <w:rsid w:val="00DE568A"/>
    <w:rsid w:val="00DE595E"/>
    <w:rsid w:val="00DE5CD9"/>
    <w:rsid w:val="00DE6A70"/>
    <w:rsid w:val="00DE70B5"/>
    <w:rsid w:val="00DE7113"/>
    <w:rsid w:val="00DF00F9"/>
    <w:rsid w:val="00DF0576"/>
    <w:rsid w:val="00DF1981"/>
    <w:rsid w:val="00DF1D07"/>
    <w:rsid w:val="00DF1E89"/>
    <w:rsid w:val="00DF2144"/>
    <w:rsid w:val="00DF24D9"/>
    <w:rsid w:val="00DF2EA5"/>
    <w:rsid w:val="00DF310B"/>
    <w:rsid w:val="00DF3E47"/>
    <w:rsid w:val="00DF56E8"/>
    <w:rsid w:val="00DF6655"/>
    <w:rsid w:val="00DF6EB6"/>
    <w:rsid w:val="00DF7133"/>
    <w:rsid w:val="00DF722A"/>
    <w:rsid w:val="00DF764C"/>
    <w:rsid w:val="00DF7FBF"/>
    <w:rsid w:val="00E00BB4"/>
    <w:rsid w:val="00E00CAA"/>
    <w:rsid w:val="00E01441"/>
    <w:rsid w:val="00E01682"/>
    <w:rsid w:val="00E01D4A"/>
    <w:rsid w:val="00E02F4B"/>
    <w:rsid w:val="00E03D04"/>
    <w:rsid w:val="00E04332"/>
    <w:rsid w:val="00E043BB"/>
    <w:rsid w:val="00E04ECF"/>
    <w:rsid w:val="00E0502A"/>
    <w:rsid w:val="00E05902"/>
    <w:rsid w:val="00E067C4"/>
    <w:rsid w:val="00E06A36"/>
    <w:rsid w:val="00E1198B"/>
    <w:rsid w:val="00E126B2"/>
    <w:rsid w:val="00E127E3"/>
    <w:rsid w:val="00E13E8F"/>
    <w:rsid w:val="00E14818"/>
    <w:rsid w:val="00E148E8"/>
    <w:rsid w:val="00E1610C"/>
    <w:rsid w:val="00E162BD"/>
    <w:rsid w:val="00E16660"/>
    <w:rsid w:val="00E16C78"/>
    <w:rsid w:val="00E16D73"/>
    <w:rsid w:val="00E17296"/>
    <w:rsid w:val="00E17833"/>
    <w:rsid w:val="00E17981"/>
    <w:rsid w:val="00E17CD2"/>
    <w:rsid w:val="00E17E36"/>
    <w:rsid w:val="00E201F2"/>
    <w:rsid w:val="00E206D8"/>
    <w:rsid w:val="00E20A87"/>
    <w:rsid w:val="00E2113A"/>
    <w:rsid w:val="00E21C65"/>
    <w:rsid w:val="00E2307E"/>
    <w:rsid w:val="00E2352B"/>
    <w:rsid w:val="00E23E84"/>
    <w:rsid w:val="00E23F9B"/>
    <w:rsid w:val="00E24D23"/>
    <w:rsid w:val="00E26285"/>
    <w:rsid w:val="00E26649"/>
    <w:rsid w:val="00E2703D"/>
    <w:rsid w:val="00E271F9"/>
    <w:rsid w:val="00E27F0A"/>
    <w:rsid w:val="00E30712"/>
    <w:rsid w:val="00E309B0"/>
    <w:rsid w:val="00E32143"/>
    <w:rsid w:val="00E326E9"/>
    <w:rsid w:val="00E33106"/>
    <w:rsid w:val="00E345C2"/>
    <w:rsid w:val="00E34D99"/>
    <w:rsid w:val="00E352C3"/>
    <w:rsid w:val="00E35476"/>
    <w:rsid w:val="00E355C0"/>
    <w:rsid w:val="00E359A5"/>
    <w:rsid w:val="00E35C28"/>
    <w:rsid w:val="00E372F7"/>
    <w:rsid w:val="00E37DC0"/>
    <w:rsid w:val="00E37EC6"/>
    <w:rsid w:val="00E40432"/>
    <w:rsid w:val="00E40850"/>
    <w:rsid w:val="00E40D52"/>
    <w:rsid w:val="00E41187"/>
    <w:rsid w:val="00E411B3"/>
    <w:rsid w:val="00E41585"/>
    <w:rsid w:val="00E41F94"/>
    <w:rsid w:val="00E421ED"/>
    <w:rsid w:val="00E4220D"/>
    <w:rsid w:val="00E4231E"/>
    <w:rsid w:val="00E4279A"/>
    <w:rsid w:val="00E44AC7"/>
    <w:rsid w:val="00E45B2D"/>
    <w:rsid w:val="00E468F2"/>
    <w:rsid w:val="00E47A20"/>
    <w:rsid w:val="00E5084C"/>
    <w:rsid w:val="00E50871"/>
    <w:rsid w:val="00E50AD9"/>
    <w:rsid w:val="00E50B4C"/>
    <w:rsid w:val="00E52063"/>
    <w:rsid w:val="00E53533"/>
    <w:rsid w:val="00E537ED"/>
    <w:rsid w:val="00E5384D"/>
    <w:rsid w:val="00E53F2E"/>
    <w:rsid w:val="00E54004"/>
    <w:rsid w:val="00E546C9"/>
    <w:rsid w:val="00E54BB9"/>
    <w:rsid w:val="00E54D3F"/>
    <w:rsid w:val="00E55F1F"/>
    <w:rsid w:val="00E56735"/>
    <w:rsid w:val="00E56866"/>
    <w:rsid w:val="00E56904"/>
    <w:rsid w:val="00E57DFD"/>
    <w:rsid w:val="00E60423"/>
    <w:rsid w:val="00E607E5"/>
    <w:rsid w:val="00E60A16"/>
    <w:rsid w:val="00E60E0C"/>
    <w:rsid w:val="00E610CB"/>
    <w:rsid w:val="00E6125B"/>
    <w:rsid w:val="00E6170A"/>
    <w:rsid w:val="00E62ADF"/>
    <w:rsid w:val="00E62FA7"/>
    <w:rsid w:val="00E637A3"/>
    <w:rsid w:val="00E659FD"/>
    <w:rsid w:val="00E65B0C"/>
    <w:rsid w:val="00E66B16"/>
    <w:rsid w:val="00E66BA2"/>
    <w:rsid w:val="00E677DB"/>
    <w:rsid w:val="00E700F8"/>
    <w:rsid w:val="00E71C2D"/>
    <w:rsid w:val="00E7266C"/>
    <w:rsid w:val="00E72BB6"/>
    <w:rsid w:val="00E72CD0"/>
    <w:rsid w:val="00E730AC"/>
    <w:rsid w:val="00E7310C"/>
    <w:rsid w:val="00E734CE"/>
    <w:rsid w:val="00E73D33"/>
    <w:rsid w:val="00E778DC"/>
    <w:rsid w:val="00E80336"/>
    <w:rsid w:val="00E80D00"/>
    <w:rsid w:val="00E815CE"/>
    <w:rsid w:val="00E81611"/>
    <w:rsid w:val="00E81800"/>
    <w:rsid w:val="00E81863"/>
    <w:rsid w:val="00E81C42"/>
    <w:rsid w:val="00E81C5C"/>
    <w:rsid w:val="00E81FDB"/>
    <w:rsid w:val="00E82064"/>
    <w:rsid w:val="00E82B6E"/>
    <w:rsid w:val="00E82DC6"/>
    <w:rsid w:val="00E8347E"/>
    <w:rsid w:val="00E835C5"/>
    <w:rsid w:val="00E83ACD"/>
    <w:rsid w:val="00E848F0"/>
    <w:rsid w:val="00E84D1C"/>
    <w:rsid w:val="00E84D9C"/>
    <w:rsid w:val="00E8628F"/>
    <w:rsid w:val="00E86888"/>
    <w:rsid w:val="00E92C96"/>
    <w:rsid w:val="00E942B8"/>
    <w:rsid w:val="00E944ED"/>
    <w:rsid w:val="00E945AF"/>
    <w:rsid w:val="00E94A0B"/>
    <w:rsid w:val="00E94A2C"/>
    <w:rsid w:val="00E9544C"/>
    <w:rsid w:val="00E95799"/>
    <w:rsid w:val="00E95D93"/>
    <w:rsid w:val="00E9683D"/>
    <w:rsid w:val="00E970B7"/>
    <w:rsid w:val="00E97D95"/>
    <w:rsid w:val="00EA010D"/>
    <w:rsid w:val="00EA04C5"/>
    <w:rsid w:val="00EA0507"/>
    <w:rsid w:val="00EA0BB5"/>
    <w:rsid w:val="00EA1A8A"/>
    <w:rsid w:val="00EA21FA"/>
    <w:rsid w:val="00EA25EB"/>
    <w:rsid w:val="00EA26D5"/>
    <w:rsid w:val="00EA2775"/>
    <w:rsid w:val="00EA305D"/>
    <w:rsid w:val="00EA3106"/>
    <w:rsid w:val="00EA3874"/>
    <w:rsid w:val="00EA5AB6"/>
    <w:rsid w:val="00EA5FB0"/>
    <w:rsid w:val="00EA612E"/>
    <w:rsid w:val="00EA761C"/>
    <w:rsid w:val="00EA7D7F"/>
    <w:rsid w:val="00EB0810"/>
    <w:rsid w:val="00EB0B5F"/>
    <w:rsid w:val="00EB1CF7"/>
    <w:rsid w:val="00EB25C2"/>
    <w:rsid w:val="00EB2B6F"/>
    <w:rsid w:val="00EB2CAD"/>
    <w:rsid w:val="00EB2FA2"/>
    <w:rsid w:val="00EB3272"/>
    <w:rsid w:val="00EB37B2"/>
    <w:rsid w:val="00EB3FF9"/>
    <w:rsid w:val="00EB5F0B"/>
    <w:rsid w:val="00EB7352"/>
    <w:rsid w:val="00EB769A"/>
    <w:rsid w:val="00EC11E4"/>
    <w:rsid w:val="00EC14E1"/>
    <w:rsid w:val="00EC2A3F"/>
    <w:rsid w:val="00EC2E64"/>
    <w:rsid w:val="00EC3A35"/>
    <w:rsid w:val="00EC3C52"/>
    <w:rsid w:val="00EC3E69"/>
    <w:rsid w:val="00EC41A7"/>
    <w:rsid w:val="00EC5554"/>
    <w:rsid w:val="00EC572B"/>
    <w:rsid w:val="00EC5B8E"/>
    <w:rsid w:val="00EC7356"/>
    <w:rsid w:val="00EC75F6"/>
    <w:rsid w:val="00ED0065"/>
    <w:rsid w:val="00ED17B5"/>
    <w:rsid w:val="00ED1BA0"/>
    <w:rsid w:val="00ED1D2D"/>
    <w:rsid w:val="00ED353D"/>
    <w:rsid w:val="00ED588C"/>
    <w:rsid w:val="00ED6E7A"/>
    <w:rsid w:val="00ED6EA1"/>
    <w:rsid w:val="00ED7A7F"/>
    <w:rsid w:val="00EE060B"/>
    <w:rsid w:val="00EE07AC"/>
    <w:rsid w:val="00EE0891"/>
    <w:rsid w:val="00EE1062"/>
    <w:rsid w:val="00EE17F2"/>
    <w:rsid w:val="00EE188A"/>
    <w:rsid w:val="00EE1B01"/>
    <w:rsid w:val="00EE1DB8"/>
    <w:rsid w:val="00EE2746"/>
    <w:rsid w:val="00EE4759"/>
    <w:rsid w:val="00EE4C20"/>
    <w:rsid w:val="00EE4F2D"/>
    <w:rsid w:val="00EE524C"/>
    <w:rsid w:val="00EE6755"/>
    <w:rsid w:val="00EE78D6"/>
    <w:rsid w:val="00EF03DC"/>
    <w:rsid w:val="00EF0437"/>
    <w:rsid w:val="00EF0BFE"/>
    <w:rsid w:val="00EF1DE8"/>
    <w:rsid w:val="00EF2AC7"/>
    <w:rsid w:val="00EF3397"/>
    <w:rsid w:val="00EF40BF"/>
    <w:rsid w:val="00EF4557"/>
    <w:rsid w:val="00EF493F"/>
    <w:rsid w:val="00EF5947"/>
    <w:rsid w:val="00EF5E22"/>
    <w:rsid w:val="00EF60CA"/>
    <w:rsid w:val="00EF63C1"/>
    <w:rsid w:val="00EF69B7"/>
    <w:rsid w:val="00EF6C2B"/>
    <w:rsid w:val="00F00059"/>
    <w:rsid w:val="00F008BD"/>
    <w:rsid w:val="00F021A9"/>
    <w:rsid w:val="00F02C54"/>
    <w:rsid w:val="00F02D03"/>
    <w:rsid w:val="00F035DB"/>
    <w:rsid w:val="00F0448C"/>
    <w:rsid w:val="00F0553C"/>
    <w:rsid w:val="00F06BA7"/>
    <w:rsid w:val="00F071BA"/>
    <w:rsid w:val="00F1284F"/>
    <w:rsid w:val="00F136A4"/>
    <w:rsid w:val="00F1377B"/>
    <w:rsid w:val="00F13C5E"/>
    <w:rsid w:val="00F14108"/>
    <w:rsid w:val="00F148D5"/>
    <w:rsid w:val="00F1601A"/>
    <w:rsid w:val="00F160BF"/>
    <w:rsid w:val="00F16173"/>
    <w:rsid w:val="00F1675C"/>
    <w:rsid w:val="00F16A3C"/>
    <w:rsid w:val="00F17428"/>
    <w:rsid w:val="00F20046"/>
    <w:rsid w:val="00F20CC1"/>
    <w:rsid w:val="00F20D22"/>
    <w:rsid w:val="00F21A58"/>
    <w:rsid w:val="00F2302A"/>
    <w:rsid w:val="00F23048"/>
    <w:rsid w:val="00F239CD"/>
    <w:rsid w:val="00F23DCC"/>
    <w:rsid w:val="00F24294"/>
    <w:rsid w:val="00F2477C"/>
    <w:rsid w:val="00F24E5D"/>
    <w:rsid w:val="00F24EBB"/>
    <w:rsid w:val="00F27F06"/>
    <w:rsid w:val="00F314E8"/>
    <w:rsid w:val="00F316A2"/>
    <w:rsid w:val="00F323A2"/>
    <w:rsid w:val="00F332D4"/>
    <w:rsid w:val="00F33B57"/>
    <w:rsid w:val="00F33CA8"/>
    <w:rsid w:val="00F33D5C"/>
    <w:rsid w:val="00F356D6"/>
    <w:rsid w:val="00F3785D"/>
    <w:rsid w:val="00F378BE"/>
    <w:rsid w:val="00F37D37"/>
    <w:rsid w:val="00F400E3"/>
    <w:rsid w:val="00F4021A"/>
    <w:rsid w:val="00F40876"/>
    <w:rsid w:val="00F44642"/>
    <w:rsid w:val="00F454A2"/>
    <w:rsid w:val="00F45E89"/>
    <w:rsid w:val="00F47845"/>
    <w:rsid w:val="00F47B6C"/>
    <w:rsid w:val="00F50039"/>
    <w:rsid w:val="00F50675"/>
    <w:rsid w:val="00F5071D"/>
    <w:rsid w:val="00F50BD6"/>
    <w:rsid w:val="00F50E16"/>
    <w:rsid w:val="00F513B2"/>
    <w:rsid w:val="00F51520"/>
    <w:rsid w:val="00F52140"/>
    <w:rsid w:val="00F521E4"/>
    <w:rsid w:val="00F52CCE"/>
    <w:rsid w:val="00F53151"/>
    <w:rsid w:val="00F535A9"/>
    <w:rsid w:val="00F53F92"/>
    <w:rsid w:val="00F5480F"/>
    <w:rsid w:val="00F552F7"/>
    <w:rsid w:val="00F553A7"/>
    <w:rsid w:val="00F554EB"/>
    <w:rsid w:val="00F5562D"/>
    <w:rsid w:val="00F566EA"/>
    <w:rsid w:val="00F567A4"/>
    <w:rsid w:val="00F578EB"/>
    <w:rsid w:val="00F605BE"/>
    <w:rsid w:val="00F60AF6"/>
    <w:rsid w:val="00F60DDC"/>
    <w:rsid w:val="00F610A9"/>
    <w:rsid w:val="00F617BE"/>
    <w:rsid w:val="00F61C7A"/>
    <w:rsid w:val="00F625F7"/>
    <w:rsid w:val="00F64D5A"/>
    <w:rsid w:val="00F65399"/>
    <w:rsid w:val="00F65C22"/>
    <w:rsid w:val="00F65EC9"/>
    <w:rsid w:val="00F66CB1"/>
    <w:rsid w:val="00F672BD"/>
    <w:rsid w:val="00F67E15"/>
    <w:rsid w:val="00F67FCA"/>
    <w:rsid w:val="00F70815"/>
    <w:rsid w:val="00F709F4"/>
    <w:rsid w:val="00F71019"/>
    <w:rsid w:val="00F710A9"/>
    <w:rsid w:val="00F7284D"/>
    <w:rsid w:val="00F72CFE"/>
    <w:rsid w:val="00F72FB0"/>
    <w:rsid w:val="00F73423"/>
    <w:rsid w:val="00F7365E"/>
    <w:rsid w:val="00F737A4"/>
    <w:rsid w:val="00F75481"/>
    <w:rsid w:val="00F76A4C"/>
    <w:rsid w:val="00F76AB3"/>
    <w:rsid w:val="00F816A4"/>
    <w:rsid w:val="00F81AE9"/>
    <w:rsid w:val="00F82C78"/>
    <w:rsid w:val="00F82E2E"/>
    <w:rsid w:val="00F83186"/>
    <w:rsid w:val="00F83601"/>
    <w:rsid w:val="00F837E6"/>
    <w:rsid w:val="00F8389A"/>
    <w:rsid w:val="00F83AE9"/>
    <w:rsid w:val="00F83EC8"/>
    <w:rsid w:val="00F843D4"/>
    <w:rsid w:val="00F84A40"/>
    <w:rsid w:val="00F84B50"/>
    <w:rsid w:val="00F84DBD"/>
    <w:rsid w:val="00F8516E"/>
    <w:rsid w:val="00F852E5"/>
    <w:rsid w:val="00F85C0D"/>
    <w:rsid w:val="00F86741"/>
    <w:rsid w:val="00F86796"/>
    <w:rsid w:val="00F87C3F"/>
    <w:rsid w:val="00F87C5B"/>
    <w:rsid w:val="00F87FEA"/>
    <w:rsid w:val="00F90613"/>
    <w:rsid w:val="00F906F4"/>
    <w:rsid w:val="00F915F3"/>
    <w:rsid w:val="00F91800"/>
    <w:rsid w:val="00F91853"/>
    <w:rsid w:val="00F91987"/>
    <w:rsid w:val="00F9208E"/>
    <w:rsid w:val="00F92571"/>
    <w:rsid w:val="00F93B2F"/>
    <w:rsid w:val="00F93CAE"/>
    <w:rsid w:val="00F954E4"/>
    <w:rsid w:val="00F95CCE"/>
    <w:rsid w:val="00F9692D"/>
    <w:rsid w:val="00F978BE"/>
    <w:rsid w:val="00F97D7B"/>
    <w:rsid w:val="00FA0013"/>
    <w:rsid w:val="00FA0288"/>
    <w:rsid w:val="00FA0F71"/>
    <w:rsid w:val="00FA26BC"/>
    <w:rsid w:val="00FA3A97"/>
    <w:rsid w:val="00FA3AEA"/>
    <w:rsid w:val="00FA4219"/>
    <w:rsid w:val="00FA48C7"/>
    <w:rsid w:val="00FA54FF"/>
    <w:rsid w:val="00FA5570"/>
    <w:rsid w:val="00FA59E0"/>
    <w:rsid w:val="00FA5C0B"/>
    <w:rsid w:val="00FA70F5"/>
    <w:rsid w:val="00FA7902"/>
    <w:rsid w:val="00FB005D"/>
    <w:rsid w:val="00FB183E"/>
    <w:rsid w:val="00FB1CD3"/>
    <w:rsid w:val="00FB1D54"/>
    <w:rsid w:val="00FB3363"/>
    <w:rsid w:val="00FB4048"/>
    <w:rsid w:val="00FB4629"/>
    <w:rsid w:val="00FB577F"/>
    <w:rsid w:val="00FB5E5D"/>
    <w:rsid w:val="00FB5FC4"/>
    <w:rsid w:val="00FB6A07"/>
    <w:rsid w:val="00FB6FB1"/>
    <w:rsid w:val="00FB7460"/>
    <w:rsid w:val="00FB7A10"/>
    <w:rsid w:val="00FC0F81"/>
    <w:rsid w:val="00FC3798"/>
    <w:rsid w:val="00FC59AF"/>
    <w:rsid w:val="00FC5C43"/>
    <w:rsid w:val="00FC5F72"/>
    <w:rsid w:val="00FC62B5"/>
    <w:rsid w:val="00FC6D4E"/>
    <w:rsid w:val="00FC7073"/>
    <w:rsid w:val="00FC736F"/>
    <w:rsid w:val="00FD0CDB"/>
    <w:rsid w:val="00FD1FA7"/>
    <w:rsid w:val="00FD2D42"/>
    <w:rsid w:val="00FD30B5"/>
    <w:rsid w:val="00FD3453"/>
    <w:rsid w:val="00FD39CF"/>
    <w:rsid w:val="00FD4B7B"/>
    <w:rsid w:val="00FD4D84"/>
    <w:rsid w:val="00FD5468"/>
    <w:rsid w:val="00FD58F5"/>
    <w:rsid w:val="00FD754C"/>
    <w:rsid w:val="00FE0DAE"/>
    <w:rsid w:val="00FE1370"/>
    <w:rsid w:val="00FE1510"/>
    <w:rsid w:val="00FE2121"/>
    <w:rsid w:val="00FE254A"/>
    <w:rsid w:val="00FE321B"/>
    <w:rsid w:val="00FE3D07"/>
    <w:rsid w:val="00FE4B6F"/>
    <w:rsid w:val="00FE6818"/>
    <w:rsid w:val="00FE6BFB"/>
    <w:rsid w:val="00FF0CF5"/>
    <w:rsid w:val="00FF0D6F"/>
    <w:rsid w:val="00FF0E9E"/>
    <w:rsid w:val="00FF1103"/>
    <w:rsid w:val="00FF1712"/>
    <w:rsid w:val="00FF251D"/>
    <w:rsid w:val="00FF37DC"/>
    <w:rsid w:val="00FF37F2"/>
    <w:rsid w:val="00FF43D9"/>
    <w:rsid w:val="00FF5B3C"/>
    <w:rsid w:val="00FF69C8"/>
    <w:rsid w:val="00FF6D3D"/>
    <w:rsid w:val="00FF7866"/>
    <w:rsid w:val="024D7E2C"/>
    <w:rsid w:val="0D2EB883"/>
    <w:rsid w:val="0D8163B6"/>
    <w:rsid w:val="1BB32F19"/>
    <w:rsid w:val="1F2C3AF5"/>
    <w:rsid w:val="1FF4886A"/>
    <w:rsid w:val="22D2584A"/>
    <w:rsid w:val="28751A95"/>
    <w:rsid w:val="29FA8189"/>
    <w:rsid w:val="2C00A012"/>
    <w:rsid w:val="389994B3"/>
    <w:rsid w:val="3B30A011"/>
    <w:rsid w:val="3B93C128"/>
    <w:rsid w:val="3CFBE104"/>
    <w:rsid w:val="467F9A7B"/>
    <w:rsid w:val="510454D8"/>
    <w:rsid w:val="5395A1E2"/>
    <w:rsid w:val="5D8505AD"/>
    <w:rsid w:val="6F81B597"/>
    <w:rsid w:val="71443FBB"/>
    <w:rsid w:val="74F7FF26"/>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07E5"/>
  </w:style>
  <w:style w:type="paragraph" w:styleId="Ttulo1">
    <w:name w:val="heading 1"/>
    <w:basedOn w:val="Normal"/>
    <w:link w:val="Ttulo1Car"/>
    <w:uiPriority w:val="9"/>
    <w:qFormat/>
    <w:rsid w:val="00CD2E7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B30448"/>
    <w:rPr>
      <w:vertAlign w:val="superscript"/>
    </w:rPr>
  </w:style>
  <w:style w:type="paragraph" w:customStyle="1" w:styleId="Appelnotedebasde">
    <w:name w:val="Appel note de bas de..."/>
    <w:basedOn w:val="Normal"/>
    <w:link w:val="Refdenotaalpie"/>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E84D1C"/>
    <w:pPr>
      <w:spacing w:after="0" w:line="240" w:lineRule="auto"/>
      <w:ind w:left="720"/>
      <w:contextualSpacing/>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84D1C"/>
    <w:rPr>
      <w:sz w:val="24"/>
      <w:lang w:val="es-MX"/>
    </w:rPr>
  </w:style>
  <w:style w:type="character" w:customStyle="1" w:styleId="Ttulo1Car">
    <w:name w:val="Título 1 Car"/>
    <w:basedOn w:val="Fuentedeprrafopredeter"/>
    <w:link w:val="Ttulo1"/>
    <w:uiPriority w:val="9"/>
    <w:rsid w:val="00CD2E70"/>
    <w:rPr>
      <w:rFonts w:ascii="Times New Roman" w:eastAsia="Times New Roman" w:hAnsi="Times New Roman" w:cs="Times New Roman"/>
      <w:b/>
      <w:bCs/>
      <w:kern w:val="36"/>
      <w:sz w:val="48"/>
      <w:szCs w:val="48"/>
      <w:lang w:eastAsia="es-ES_tradnl"/>
    </w:rPr>
  </w:style>
  <w:style w:type="paragraph" w:customStyle="1" w:styleId="paragraph">
    <w:name w:val="paragraph"/>
    <w:basedOn w:val="Normal"/>
    <w:rsid w:val="00CD2E70"/>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superscript">
    <w:name w:val="superscript"/>
    <w:basedOn w:val="Fuentedeprrafopredeter"/>
    <w:rsid w:val="003651AC"/>
  </w:style>
  <w:style w:type="paragraph" w:styleId="NormalWeb">
    <w:name w:val="Normal (Web)"/>
    <w:basedOn w:val="Normal"/>
    <w:uiPriority w:val="99"/>
    <w:unhideWhenUsed/>
    <w:rsid w:val="00FB5FC4"/>
    <w:rPr>
      <w:rFonts w:ascii="Times New Roman" w:hAnsi="Times New Roman" w:cs="Times New Roman"/>
      <w:sz w:val="24"/>
      <w:szCs w:val="24"/>
    </w:rPr>
  </w:style>
  <w:style w:type="character" w:customStyle="1" w:styleId="Hipervnculo1">
    <w:name w:val="Hipervínculo1"/>
    <w:basedOn w:val="Fuentedeprrafopredeter"/>
    <w:uiPriority w:val="99"/>
    <w:unhideWhenUsed/>
    <w:rsid w:val="00FB5FC4"/>
    <w:rPr>
      <w:color w:val="F2F2F2"/>
      <w:u w:val="single"/>
    </w:rPr>
  </w:style>
  <w:style w:type="character" w:styleId="Textoennegrita">
    <w:name w:val="Strong"/>
    <w:basedOn w:val="Fuentedeprrafopredeter"/>
    <w:uiPriority w:val="22"/>
    <w:qFormat/>
    <w:rsid w:val="00FB5FC4"/>
    <w:rPr>
      <w:b/>
      <w:bCs/>
    </w:rPr>
  </w:style>
  <w:style w:type="character" w:styleId="nfasis">
    <w:name w:val="Emphasis"/>
    <w:basedOn w:val="Fuentedeprrafopredeter"/>
    <w:uiPriority w:val="20"/>
    <w:qFormat/>
    <w:rsid w:val="00FB5FC4"/>
    <w:rPr>
      <w:i/>
      <w:iCs/>
    </w:rPr>
  </w:style>
  <w:style w:type="paragraph" w:customStyle="1" w:styleId="Textoindependiente21">
    <w:name w:val="Texto independiente 21"/>
    <w:basedOn w:val="Normal"/>
    <w:rsid w:val="007A6528"/>
    <w:pPr>
      <w:overflowPunct w:val="0"/>
      <w:autoSpaceDE w:val="0"/>
      <w:autoSpaceDN w:val="0"/>
      <w:adjustRightInd w:val="0"/>
      <w:spacing w:after="0" w:line="360" w:lineRule="auto"/>
      <w:ind w:firstLine="710"/>
      <w:jc w:val="both"/>
      <w:textAlignment w:val="baseline"/>
    </w:pPr>
    <w:rPr>
      <w:rFonts w:ascii="Arial" w:eastAsia="Times New Roman" w:hAnsi="Arial" w:cs="Times New Roman"/>
      <w:sz w:val="24"/>
      <w:szCs w:val="20"/>
      <w:lang w:eastAsia="es-ES"/>
    </w:rPr>
  </w:style>
  <w:style w:type="paragraph" w:styleId="Textoindependiente">
    <w:name w:val="Body Text"/>
    <w:basedOn w:val="Normal"/>
    <w:link w:val="TextoindependienteCar"/>
    <w:uiPriority w:val="99"/>
    <w:unhideWhenUsed/>
    <w:rsid w:val="00002D5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uiPriority w:val="99"/>
    <w:rsid w:val="00002D55"/>
    <w:rPr>
      <w:rFonts w:ascii="Times New Roman" w:eastAsia="Times New Roman" w:hAnsi="Times New Roman" w:cs="Times New Roman"/>
      <w:sz w:val="24"/>
      <w:szCs w:val="24"/>
      <w:lang w:eastAsia="es-CO"/>
    </w:rPr>
  </w:style>
  <w:style w:type="character" w:customStyle="1" w:styleId="FontStyle23">
    <w:name w:val="Font Style23"/>
    <w:basedOn w:val="Fuentedeprrafopredeter"/>
    <w:rsid w:val="0081788A"/>
    <w:rPr>
      <w:rFonts w:ascii="Times New Roman" w:hAnsi="Times New Roman" w:cs="Times New Roman" w:hint="default"/>
      <w:sz w:val="20"/>
      <w:szCs w:val="20"/>
    </w:rPr>
  </w:style>
  <w:style w:type="character" w:customStyle="1" w:styleId="baj">
    <w:name w:val="b_aj"/>
    <w:basedOn w:val="Fuentedeprrafopredeter"/>
    <w:rsid w:val="00B43C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34882">
      <w:bodyDiv w:val="1"/>
      <w:marLeft w:val="0"/>
      <w:marRight w:val="0"/>
      <w:marTop w:val="0"/>
      <w:marBottom w:val="0"/>
      <w:divBdr>
        <w:top w:val="none" w:sz="0" w:space="0" w:color="auto"/>
        <w:left w:val="none" w:sz="0" w:space="0" w:color="auto"/>
        <w:bottom w:val="none" w:sz="0" w:space="0" w:color="auto"/>
        <w:right w:val="none" w:sz="0" w:space="0" w:color="auto"/>
      </w:divBdr>
    </w:div>
    <w:div w:id="46149373">
      <w:bodyDiv w:val="1"/>
      <w:marLeft w:val="0"/>
      <w:marRight w:val="0"/>
      <w:marTop w:val="0"/>
      <w:marBottom w:val="0"/>
      <w:divBdr>
        <w:top w:val="none" w:sz="0" w:space="0" w:color="auto"/>
        <w:left w:val="none" w:sz="0" w:space="0" w:color="auto"/>
        <w:bottom w:val="none" w:sz="0" w:space="0" w:color="auto"/>
        <w:right w:val="none" w:sz="0" w:space="0" w:color="auto"/>
      </w:divBdr>
    </w:div>
    <w:div w:id="107549441">
      <w:bodyDiv w:val="1"/>
      <w:marLeft w:val="0"/>
      <w:marRight w:val="0"/>
      <w:marTop w:val="0"/>
      <w:marBottom w:val="0"/>
      <w:divBdr>
        <w:top w:val="none" w:sz="0" w:space="0" w:color="auto"/>
        <w:left w:val="none" w:sz="0" w:space="0" w:color="auto"/>
        <w:bottom w:val="none" w:sz="0" w:space="0" w:color="auto"/>
        <w:right w:val="none" w:sz="0" w:space="0" w:color="auto"/>
      </w:divBdr>
    </w:div>
    <w:div w:id="112671991">
      <w:bodyDiv w:val="1"/>
      <w:marLeft w:val="0"/>
      <w:marRight w:val="0"/>
      <w:marTop w:val="0"/>
      <w:marBottom w:val="0"/>
      <w:divBdr>
        <w:top w:val="none" w:sz="0" w:space="0" w:color="auto"/>
        <w:left w:val="none" w:sz="0" w:space="0" w:color="auto"/>
        <w:bottom w:val="none" w:sz="0" w:space="0" w:color="auto"/>
        <w:right w:val="none" w:sz="0" w:space="0" w:color="auto"/>
      </w:divBdr>
    </w:div>
    <w:div w:id="125584597">
      <w:bodyDiv w:val="1"/>
      <w:marLeft w:val="0"/>
      <w:marRight w:val="0"/>
      <w:marTop w:val="0"/>
      <w:marBottom w:val="0"/>
      <w:divBdr>
        <w:top w:val="none" w:sz="0" w:space="0" w:color="auto"/>
        <w:left w:val="none" w:sz="0" w:space="0" w:color="auto"/>
        <w:bottom w:val="none" w:sz="0" w:space="0" w:color="auto"/>
        <w:right w:val="none" w:sz="0" w:space="0" w:color="auto"/>
      </w:divBdr>
    </w:div>
    <w:div w:id="139424028">
      <w:bodyDiv w:val="1"/>
      <w:marLeft w:val="0"/>
      <w:marRight w:val="0"/>
      <w:marTop w:val="0"/>
      <w:marBottom w:val="0"/>
      <w:divBdr>
        <w:top w:val="none" w:sz="0" w:space="0" w:color="auto"/>
        <w:left w:val="none" w:sz="0" w:space="0" w:color="auto"/>
        <w:bottom w:val="none" w:sz="0" w:space="0" w:color="auto"/>
        <w:right w:val="none" w:sz="0" w:space="0" w:color="auto"/>
      </w:divBdr>
      <w:divsChild>
        <w:div w:id="1821341347">
          <w:marLeft w:val="0"/>
          <w:marRight w:val="0"/>
          <w:marTop w:val="0"/>
          <w:marBottom w:val="0"/>
          <w:divBdr>
            <w:top w:val="none" w:sz="0" w:space="0" w:color="auto"/>
            <w:left w:val="none" w:sz="0" w:space="0" w:color="auto"/>
            <w:bottom w:val="none" w:sz="0" w:space="0" w:color="auto"/>
            <w:right w:val="none" w:sz="0" w:space="0" w:color="auto"/>
          </w:divBdr>
          <w:divsChild>
            <w:div w:id="91904659">
              <w:marLeft w:val="0"/>
              <w:marRight w:val="0"/>
              <w:marTop w:val="0"/>
              <w:marBottom w:val="0"/>
              <w:divBdr>
                <w:top w:val="none" w:sz="0" w:space="0" w:color="auto"/>
                <w:left w:val="none" w:sz="0" w:space="0" w:color="auto"/>
                <w:bottom w:val="none" w:sz="0" w:space="0" w:color="auto"/>
                <w:right w:val="none" w:sz="0" w:space="0" w:color="auto"/>
              </w:divBdr>
              <w:divsChild>
                <w:div w:id="205610424">
                  <w:marLeft w:val="0"/>
                  <w:marRight w:val="0"/>
                  <w:marTop w:val="0"/>
                  <w:marBottom w:val="0"/>
                  <w:divBdr>
                    <w:top w:val="none" w:sz="0" w:space="0" w:color="auto"/>
                    <w:left w:val="none" w:sz="0" w:space="0" w:color="auto"/>
                    <w:bottom w:val="none" w:sz="0" w:space="0" w:color="auto"/>
                    <w:right w:val="none" w:sz="0" w:space="0" w:color="auto"/>
                  </w:divBdr>
                  <w:divsChild>
                    <w:div w:id="744687126">
                      <w:marLeft w:val="0"/>
                      <w:marRight w:val="0"/>
                      <w:marTop w:val="0"/>
                      <w:marBottom w:val="0"/>
                      <w:divBdr>
                        <w:top w:val="none" w:sz="0" w:space="0" w:color="auto"/>
                        <w:left w:val="none" w:sz="0" w:space="0" w:color="auto"/>
                        <w:bottom w:val="none" w:sz="0" w:space="0" w:color="auto"/>
                        <w:right w:val="none" w:sz="0" w:space="0" w:color="auto"/>
                      </w:divBdr>
                      <w:divsChild>
                        <w:div w:id="658389621">
                          <w:marLeft w:val="0"/>
                          <w:marRight w:val="0"/>
                          <w:marTop w:val="0"/>
                          <w:marBottom w:val="0"/>
                          <w:divBdr>
                            <w:top w:val="none" w:sz="0" w:space="0" w:color="auto"/>
                            <w:left w:val="none" w:sz="0" w:space="0" w:color="auto"/>
                            <w:bottom w:val="none" w:sz="0" w:space="0" w:color="auto"/>
                            <w:right w:val="none" w:sz="0" w:space="0" w:color="auto"/>
                          </w:divBdr>
                          <w:divsChild>
                            <w:div w:id="4911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283863">
      <w:bodyDiv w:val="1"/>
      <w:marLeft w:val="0"/>
      <w:marRight w:val="0"/>
      <w:marTop w:val="0"/>
      <w:marBottom w:val="0"/>
      <w:divBdr>
        <w:top w:val="none" w:sz="0" w:space="0" w:color="auto"/>
        <w:left w:val="none" w:sz="0" w:space="0" w:color="auto"/>
        <w:bottom w:val="none" w:sz="0" w:space="0" w:color="auto"/>
        <w:right w:val="none" w:sz="0" w:space="0" w:color="auto"/>
      </w:divBdr>
    </w:div>
    <w:div w:id="271516540">
      <w:bodyDiv w:val="1"/>
      <w:marLeft w:val="0"/>
      <w:marRight w:val="0"/>
      <w:marTop w:val="0"/>
      <w:marBottom w:val="0"/>
      <w:divBdr>
        <w:top w:val="none" w:sz="0" w:space="0" w:color="auto"/>
        <w:left w:val="none" w:sz="0" w:space="0" w:color="auto"/>
        <w:bottom w:val="none" w:sz="0" w:space="0" w:color="auto"/>
        <w:right w:val="none" w:sz="0" w:space="0" w:color="auto"/>
      </w:divBdr>
    </w:div>
    <w:div w:id="283849664">
      <w:bodyDiv w:val="1"/>
      <w:marLeft w:val="0"/>
      <w:marRight w:val="0"/>
      <w:marTop w:val="0"/>
      <w:marBottom w:val="0"/>
      <w:divBdr>
        <w:top w:val="none" w:sz="0" w:space="0" w:color="auto"/>
        <w:left w:val="none" w:sz="0" w:space="0" w:color="auto"/>
        <w:bottom w:val="none" w:sz="0" w:space="0" w:color="auto"/>
        <w:right w:val="none" w:sz="0" w:space="0" w:color="auto"/>
      </w:divBdr>
    </w:div>
    <w:div w:id="302009774">
      <w:bodyDiv w:val="1"/>
      <w:marLeft w:val="0"/>
      <w:marRight w:val="0"/>
      <w:marTop w:val="0"/>
      <w:marBottom w:val="0"/>
      <w:divBdr>
        <w:top w:val="none" w:sz="0" w:space="0" w:color="auto"/>
        <w:left w:val="none" w:sz="0" w:space="0" w:color="auto"/>
        <w:bottom w:val="none" w:sz="0" w:space="0" w:color="auto"/>
        <w:right w:val="none" w:sz="0" w:space="0" w:color="auto"/>
      </w:divBdr>
    </w:div>
    <w:div w:id="329917147">
      <w:bodyDiv w:val="1"/>
      <w:marLeft w:val="0"/>
      <w:marRight w:val="0"/>
      <w:marTop w:val="0"/>
      <w:marBottom w:val="0"/>
      <w:divBdr>
        <w:top w:val="none" w:sz="0" w:space="0" w:color="auto"/>
        <w:left w:val="none" w:sz="0" w:space="0" w:color="auto"/>
        <w:bottom w:val="none" w:sz="0" w:space="0" w:color="auto"/>
        <w:right w:val="none" w:sz="0" w:space="0" w:color="auto"/>
      </w:divBdr>
    </w:div>
    <w:div w:id="334461891">
      <w:bodyDiv w:val="1"/>
      <w:marLeft w:val="0"/>
      <w:marRight w:val="0"/>
      <w:marTop w:val="0"/>
      <w:marBottom w:val="0"/>
      <w:divBdr>
        <w:top w:val="none" w:sz="0" w:space="0" w:color="auto"/>
        <w:left w:val="none" w:sz="0" w:space="0" w:color="auto"/>
        <w:bottom w:val="none" w:sz="0" w:space="0" w:color="auto"/>
        <w:right w:val="none" w:sz="0" w:space="0" w:color="auto"/>
      </w:divBdr>
    </w:div>
    <w:div w:id="337804836">
      <w:bodyDiv w:val="1"/>
      <w:marLeft w:val="0"/>
      <w:marRight w:val="0"/>
      <w:marTop w:val="0"/>
      <w:marBottom w:val="0"/>
      <w:divBdr>
        <w:top w:val="none" w:sz="0" w:space="0" w:color="auto"/>
        <w:left w:val="none" w:sz="0" w:space="0" w:color="auto"/>
        <w:bottom w:val="none" w:sz="0" w:space="0" w:color="auto"/>
        <w:right w:val="none" w:sz="0" w:space="0" w:color="auto"/>
      </w:divBdr>
    </w:div>
    <w:div w:id="374045247">
      <w:bodyDiv w:val="1"/>
      <w:marLeft w:val="0"/>
      <w:marRight w:val="0"/>
      <w:marTop w:val="0"/>
      <w:marBottom w:val="0"/>
      <w:divBdr>
        <w:top w:val="none" w:sz="0" w:space="0" w:color="auto"/>
        <w:left w:val="none" w:sz="0" w:space="0" w:color="auto"/>
        <w:bottom w:val="none" w:sz="0" w:space="0" w:color="auto"/>
        <w:right w:val="none" w:sz="0" w:space="0" w:color="auto"/>
      </w:divBdr>
      <w:divsChild>
        <w:div w:id="506864930">
          <w:marLeft w:val="0"/>
          <w:marRight w:val="0"/>
          <w:marTop w:val="0"/>
          <w:marBottom w:val="160"/>
          <w:divBdr>
            <w:top w:val="none" w:sz="0" w:space="0" w:color="auto"/>
            <w:left w:val="none" w:sz="0" w:space="0" w:color="auto"/>
            <w:bottom w:val="none" w:sz="0" w:space="0" w:color="auto"/>
            <w:right w:val="none" w:sz="0" w:space="0" w:color="auto"/>
          </w:divBdr>
        </w:div>
        <w:div w:id="563570546">
          <w:marLeft w:val="0"/>
          <w:marRight w:val="0"/>
          <w:marTop w:val="0"/>
          <w:marBottom w:val="160"/>
          <w:divBdr>
            <w:top w:val="none" w:sz="0" w:space="0" w:color="auto"/>
            <w:left w:val="none" w:sz="0" w:space="0" w:color="auto"/>
            <w:bottom w:val="none" w:sz="0" w:space="0" w:color="auto"/>
            <w:right w:val="none" w:sz="0" w:space="0" w:color="auto"/>
          </w:divBdr>
        </w:div>
        <w:div w:id="773287731">
          <w:marLeft w:val="0"/>
          <w:marRight w:val="0"/>
          <w:marTop w:val="0"/>
          <w:marBottom w:val="160"/>
          <w:divBdr>
            <w:top w:val="none" w:sz="0" w:space="0" w:color="auto"/>
            <w:left w:val="none" w:sz="0" w:space="0" w:color="auto"/>
            <w:bottom w:val="none" w:sz="0" w:space="0" w:color="auto"/>
            <w:right w:val="none" w:sz="0" w:space="0" w:color="auto"/>
          </w:divBdr>
        </w:div>
      </w:divsChild>
    </w:div>
    <w:div w:id="432018390">
      <w:bodyDiv w:val="1"/>
      <w:marLeft w:val="0"/>
      <w:marRight w:val="0"/>
      <w:marTop w:val="0"/>
      <w:marBottom w:val="0"/>
      <w:divBdr>
        <w:top w:val="none" w:sz="0" w:space="0" w:color="auto"/>
        <w:left w:val="none" w:sz="0" w:space="0" w:color="auto"/>
        <w:bottom w:val="none" w:sz="0" w:space="0" w:color="auto"/>
        <w:right w:val="none" w:sz="0" w:space="0" w:color="auto"/>
      </w:divBdr>
    </w:div>
    <w:div w:id="438305584">
      <w:bodyDiv w:val="1"/>
      <w:marLeft w:val="0"/>
      <w:marRight w:val="0"/>
      <w:marTop w:val="0"/>
      <w:marBottom w:val="0"/>
      <w:divBdr>
        <w:top w:val="none" w:sz="0" w:space="0" w:color="auto"/>
        <w:left w:val="none" w:sz="0" w:space="0" w:color="auto"/>
        <w:bottom w:val="none" w:sz="0" w:space="0" w:color="auto"/>
        <w:right w:val="none" w:sz="0" w:space="0" w:color="auto"/>
      </w:divBdr>
    </w:div>
    <w:div w:id="497113796">
      <w:bodyDiv w:val="1"/>
      <w:marLeft w:val="0"/>
      <w:marRight w:val="0"/>
      <w:marTop w:val="0"/>
      <w:marBottom w:val="0"/>
      <w:divBdr>
        <w:top w:val="none" w:sz="0" w:space="0" w:color="auto"/>
        <w:left w:val="none" w:sz="0" w:space="0" w:color="auto"/>
        <w:bottom w:val="none" w:sz="0" w:space="0" w:color="auto"/>
        <w:right w:val="none" w:sz="0" w:space="0" w:color="auto"/>
      </w:divBdr>
      <w:divsChild>
        <w:div w:id="932205885">
          <w:marLeft w:val="0"/>
          <w:marRight w:val="0"/>
          <w:marTop w:val="0"/>
          <w:marBottom w:val="0"/>
          <w:divBdr>
            <w:top w:val="none" w:sz="0" w:space="0" w:color="auto"/>
            <w:left w:val="none" w:sz="0" w:space="0" w:color="auto"/>
            <w:bottom w:val="none" w:sz="0" w:space="0" w:color="auto"/>
            <w:right w:val="none" w:sz="0" w:space="0" w:color="auto"/>
          </w:divBdr>
          <w:divsChild>
            <w:div w:id="396978682">
              <w:marLeft w:val="0"/>
              <w:marRight w:val="0"/>
              <w:marTop w:val="0"/>
              <w:marBottom w:val="0"/>
              <w:divBdr>
                <w:top w:val="none" w:sz="0" w:space="0" w:color="auto"/>
                <w:left w:val="none" w:sz="0" w:space="0" w:color="auto"/>
                <w:bottom w:val="none" w:sz="0" w:space="0" w:color="auto"/>
                <w:right w:val="none" w:sz="0" w:space="0" w:color="auto"/>
              </w:divBdr>
              <w:divsChild>
                <w:div w:id="1886520651">
                  <w:marLeft w:val="0"/>
                  <w:marRight w:val="0"/>
                  <w:marTop w:val="0"/>
                  <w:marBottom w:val="0"/>
                  <w:divBdr>
                    <w:top w:val="none" w:sz="0" w:space="0" w:color="auto"/>
                    <w:left w:val="none" w:sz="0" w:space="0" w:color="auto"/>
                    <w:bottom w:val="none" w:sz="0" w:space="0" w:color="auto"/>
                    <w:right w:val="none" w:sz="0" w:space="0" w:color="auto"/>
                  </w:divBdr>
                  <w:divsChild>
                    <w:div w:id="1561600205">
                      <w:marLeft w:val="0"/>
                      <w:marRight w:val="0"/>
                      <w:marTop w:val="0"/>
                      <w:marBottom w:val="0"/>
                      <w:divBdr>
                        <w:top w:val="none" w:sz="0" w:space="0" w:color="auto"/>
                        <w:left w:val="none" w:sz="0" w:space="0" w:color="auto"/>
                        <w:bottom w:val="none" w:sz="0" w:space="0" w:color="auto"/>
                        <w:right w:val="none" w:sz="0" w:space="0" w:color="auto"/>
                      </w:divBdr>
                      <w:divsChild>
                        <w:div w:id="312949149">
                          <w:marLeft w:val="0"/>
                          <w:marRight w:val="0"/>
                          <w:marTop w:val="0"/>
                          <w:marBottom w:val="0"/>
                          <w:divBdr>
                            <w:top w:val="none" w:sz="0" w:space="0" w:color="auto"/>
                            <w:left w:val="none" w:sz="0" w:space="0" w:color="auto"/>
                            <w:bottom w:val="none" w:sz="0" w:space="0" w:color="auto"/>
                            <w:right w:val="none" w:sz="0" w:space="0" w:color="auto"/>
                          </w:divBdr>
                          <w:divsChild>
                            <w:div w:id="112874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9076646">
      <w:bodyDiv w:val="1"/>
      <w:marLeft w:val="0"/>
      <w:marRight w:val="0"/>
      <w:marTop w:val="0"/>
      <w:marBottom w:val="0"/>
      <w:divBdr>
        <w:top w:val="none" w:sz="0" w:space="0" w:color="auto"/>
        <w:left w:val="none" w:sz="0" w:space="0" w:color="auto"/>
        <w:bottom w:val="none" w:sz="0" w:space="0" w:color="auto"/>
        <w:right w:val="none" w:sz="0" w:space="0" w:color="auto"/>
      </w:divBdr>
    </w:div>
    <w:div w:id="588775434">
      <w:bodyDiv w:val="1"/>
      <w:marLeft w:val="0"/>
      <w:marRight w:val="0"/>
      <w:marTop w:val="0"/>
      <w:marBottom w:val="0"/>
      <w:divBdr>
        <w:top w:val="none" w:sz="0" w:space="0" w:color="auto"/>
        <w:left w:val="none" w:sz="0" w:space="0" w:color="auto"/>
        <w:bottom w:val="none" w:sz="0" w:space="0" w:color="auto"/>
        <w:right w:val="none" w:sz="0" w:space="0" w:color="auto"/>
      </w:divBdr>
      <w:divsChild>
        <w:div w:id="686953851">
          <w:marLeft w:val="0"/>
          <w:marRight w:val="0"/>
          <w:marTop w:val="0"/>
          <w:marBottom w:val="0"/>
          <w:divBdr>
            <w:top w:val="none" w:sz="0" w:space="0" w:color="auto"/>
            <w:left w:val="none" w:sz="0" w:space="0" w:color="auto"/>
            <w:bottom w:val="none" w:sz="0" w:space="0" w:color="auto"/>
            <w:right w:val="none" w:sz="0" w:space="0" w:color="auto"/>
          </w:divBdr>
          <w:divsChild>
            <w:div w:id="172259401">
              <w:marLeft w:val="0"/>
              <w:marRight w:val="0"/>
              <w:marTop w:val="0"/>
              <w:marBottom w:val="0"/>
              <w:divBdr>
                <w:top w:val="none" w:sz="0" w:space="0" w:color="auto"/>
                <w:left w:val="none" w:sz="0" w:space="0" w:color="auto"/>
                <w:bottom w:val="none" w:sz="0" w:space="0" w:color="auto"/>
                <w:right w:val="none" w:sz="0" w:space="0" w:color="auto"/>
              </w:divBdr>
              <w:divsChild>
                <w:div w:id="2105608189">
                  <w:marLeft w:val="0"/>
                  <w:marRight w:val="0"/>
                  <w:marTop w:val="0"/>
                  <w:marBottom w:val="0"/>
                  <w:divBdr>
                    <w:top w:val="none" w:sz="0" w:space="0" w:color="auto"/>
                    <w:left w:val="none" w:sz="0" w:space="0" w:color="auto"/>
                    <w:bottom w:val="none" w:sz="0" w:space="0" w:color="auto"/>
                    <w:right w:val="none" w:sz="0" w:space="0" w:color="auto"/>
                  </w:divBdr>
                  <w:divsChild>
                    <w:div w:id="1691952384">
                      <w:marLeft w:val="0"/>
                      <w:marRight w:val="0"/>
                      <w:marTop w:val="0"/>
                      <w:marBottom w:val="0"/>
                      <w:divBdr>
                        <w:top w:val="none" w:sz="0" w:space="0" w:color="auto"/>
                        <w:left w:val="none" w:sz="0" w:space="0" w:color="auto"/>
                        <w:bottom w:val="none" w:sz="0" w:space="0" w:color="auto"/>
                        <w:right w:val="none" w:sz="0" w:space="0" w:color="auto"/>
                      </w:divBdr>
                      <w:divsChild>
                        <w:div w:id="1490360998">
                          <w:marLeft w:val="0"/>
                          <w:marRight w:val="0"/>
                          <w:marTop w:val="0"/>
                          <w:marBottom w:val="0"/>
                          <w:divBdr>
                            <w:top w:val="none" w:sz="0" w:space="0" w:color="auto"/>
                            <w:left w:val="none" w:sz="0" w:space="0" w:color="auto"/>
                            <w:bottom w:val="none" w:sz="0" w:space="0" w:color="auto"/>
                            <w:right w:val="none" w:sz="0" w:space="0" w:color="auto"/>
                          </w:divBdr>
                          <w:divsChild>
                            <w:div w:id="626544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3080197">
      <w:bodyDiv w:val="1"/>
      <w:marLeft w:val="0"/>
      <w:marRight w:val="0"/>
      <w:marTop w:val="0"/>
      <w:marBottom w:val="0"/>
      <w:divBdr>
        <w:top w:val="none" w:sz="0" w:space="0" w:color="auto"/>
        <w:left w:val="none" w:sz="0" w:space="0" w:color="auto"/>
        <w:bottom w:val="none" w:sz="0" w:space="0" w:color="auto"/>
        <w:right w:val="none" w:sz="0" w:space="0" w:color="auto"/>
      </w:divBdr>
    </w:div>
    <w:div w:id="696200587">
      <w:bodyDiv w:val="1"/>
      <w:marLeft w:val="0"/>
      <w:marRight w:val="0"/>
      <w:marTop w:val="0"/>
      <w:marBottom w:val="0"/>
      <w:divBdr>
        <w:top w:val="none" w:sz="0" w:space="0" w:color="auto"/>
        <w:left w:val="none" w:sz="0" w:space="0" w:color="auto"/>
        <w:bottom w:val="none" w:sz="0" w:space="0" w:color="auto"/>
        <w:right w:val="none" w:sz="0" w:space="0" w:color="auto"/>
      </w:divBdr>
    </w:div>
    <w:div w:id="719481719">
      <w:bodyDiv w:val="1"/>
      <w:marLeft w:val="0"/>
      <w:marRight w:val="0"/>
      <w:marTop w:val="0"/>
      <w:marBottom w:val="0"/>
      <w:divBdr>
        <w:top w:val="none" w:sz="0" w:space="0" w:color="auto"/>
        <w:left w:val="none" w:sz="0" w:space="0" w:color="auto"/>
        <w:bottom w:val="none" w:sz="0" w:space="0" w:color="auto"/>
        <w:right w:val="none" w:sz="0" w:space="0" w:color="auto"/>
      </w:divBdr>
    </w:div>
    <w:div w:id="723599209">
      <w:bodyDiv w:val="1"/>
      <w:marLeft w:val="0"/>
      <w:marRight w:val="0"/>
      <w:marTop w:val="0"/>
      <w:marBottom w:val="0"/>
      <w:divBdr>
        <w:top w:val="none" w:sz="0" w:space="0" w:color="auto"/>
        <w:left w:val="none" w:sz="0" w:space="0" w:color="auto"/>
        <w:bottom w:val="none" w:sz="0" w:space="0" w:color="auto"/>
        <w:right w:val="none" w:sz="0" w:space="0" w:color="auto"/>
      </w:divBdr>
    </w:div>
    <w:div w:id="784926870">
      <w:bodyDiv w:val="1"/>
      <w:marLeft w:val="0"/>
      <w:marRight w:val="0"/>
      <w:marTop w:val="0"/>
      <w:marBottom w:val="0"/>
      <w:divBdr>
        <w:top w:val="none" w:sz="0" w:space="0" w:color="auto"/>
        <w:left w:val="none" w:sz="0" w:space="0" w:color="auto"/>
        <w:bottom w:val="none" w:sz="0" w:space="0" w:color="auto"/>
        <w:right w:val="none" w:sz="0" w:space="0" w:color="auto"/>
      </w:divBdr>
    </w:div>
    <w:div w:id="850341528">
      <w:bodyDiv w:val="1"/>
      <w:marLeft w:val="0"/>
      <w:marRight w:val="0"/>
      <w:marTop w:val="0"/>
      <w:marBottom w:val="0"/>
      <w:divBdr>
        <w:top w:val="none" w:sz="0" w:space="0" w:color="auto"/>
        <w:left w:val="none" w:sz="0" w:space="0" w:color="auto"/>
        <w:bottom w:val="none" w:sz="0" w:space="0" w:color="auto"/>
        <w:right w:val="none" w:sz="0" w:space="0" w:color="auto"/>
      </w:divBdr>
    </w:div>
    <w:div w:id="905454849">
      <w:bodyDiv w:val="1"/>
      <w:marLeft w:val="0"/>
      <w:marRight w:val="0"/>
      <w:marTop w:val="0"/>
      <w:marBottom w:val="0"/>
      <w:divBdr>
        <w:top w:val="none" w:sz="0" w:space="0" w:color="auto"/>
        <w:left w:val="none" w:sz="0" w:space="0" w:color="auto"/>
        <w:bottom w:val="none" w:sz="0" w:space="0" w:color="auto"/>
        <w:right w:val="none" w:sz="0" w:space="0" w:color="auto"/>
      </w:divBdr>
      <w:divsChild>
        <w:div w:id="591283175">
          <w:marLeft w:val="0"/>
          <w:marRight w:val="0"/>
          <w:marTop w:val="0"/>
          <w:marBottom w:val="160"/>
          <w:divBdr>
            <w:top w:val="none" w:sz="0" w:space="0" w:color="auto"/>
            <w:left w:val="none" w:sz="0" w:space="0" w:color="auto"/>
            <w:bottom w:val="none" w:sz="0" w:space="0" w:color="auto"/>
            <w:right w:val="none" w:sz="0" w:space="0" w:color="auto"/>
          </w:divBdr>
        </w:div>
        <w:div w:id="2145074026">
          <w:marLeft w:val="0"/>
          <w:marRight w:val="0"/>
          <w:marTop w:val="0"/>
          <w:marBottom w:val="160"/>
          <w:divBdr>
            <w:top w:val="none" w:sz="0" w:space="0" w:color="auto"/>
            <w:left w:val="none" w:sz="0" w:space="0" w:color="auto"/>
            <w:bottom w:val="none" w:sz="0" w:space="0" w:color="auto"/>
            <w:right w:val="none" w:sz="0" w:space="0" w:color="auto"/>
          </w:divBdr>
        </w:div>
        <w:div w:id="1578511561">
          <w:marLeft w:val="0"/>
          <w:marRight w:val="0"/>
          <w:marTop w:val="0"/>
          <w:marBottom w:val="160"/>
          <w:divBdr>
            <w:top w:val="none" w:sz="0" w:space="0" w:color="auto"/>
            <w:left w:val="none" w:sz="0" w:space="0" w:color="auto"/>
            <w:bottom w:val="none" w:sz="0" w:space="0" w:color="auto"/>
            <w:right w:val="none" w:sz="0" w:space="0" w:color="auto"/>
          </w:divBdr>
        </w:div>
      </w:divsChild>
    </w:div>
    <w:div w:id="935362018">
      <w:bodyDiv w:val="1"/>
      <w:marLeft w:val="0"/>
      <w:marRight w:val="0"/>
      <w:marTop w:val="0"/>
      <w:marBottom w:val="0"/>
      <w:divBdr>
        <w:top w:val="none" w:sz="0" w:space="0" w:color="auto"/>
        <w:left w:val="none" w:sz="0" w:space="0" w:color="auto"/>
        <w:bottom w:val="none" w:sz="0" w:space="0" w:color="auto"/>
        <w:right w:val="none" w:sz="0" w:space="0" w:color="auto"/>
      </w:divBdr>
    </w:div>
    <w:div w:id="951672208">
      <w:bodyDiv w:val="1"/>
      <w:marLeft w:val="0"/>
      <w:marRight w:val="0"/>
      <w:marTop w:val="0"/>
      <w:marBottom w:val="0"/>
      <w:divBdr>
        <w:top w:val="none" w:sz="0" w:space="0" w:color="auto"/>
        <w:left w:val="none" w:sz="0" w:space="0" w:color="auto"/>
        <w:bottom w:val="none" w:sz="0" w:space="0" w:color="auto"/>
        <w:right w:val="none" w:sz="0" w:space="0" w:color="auto"/>
      </w:divBdr>
    </w:div>
    <w:div w:id="1015158801">
      <w:bodyDiv w:val="1"/>
      <w:marLeft w:val="0"/>
      <w:marRight w:val="0"/>
      <w:marTop w:val="0"/>
      <w:marBottom w:val="0"/>
      <w:divBdr>
        <w:top w:val="none" w:sz="0" w:space="0" w:color="auto"/>
        <w:left w:val="none" w:sz="0" w:space="0" w:color="auto"/>
        <w:bottom w:val="none" w:sz="0" w:space="0" w:color="auto"/>
        <w:right w:val="none" w:sz="0" w:space="0" w:color="auto"/>
      </w:divBdr>
    </w:div>
    <w:div w:id="1067846211">
      <w:bodyDiv w:val="1"/>
      <w:marLeft w:val="0"/>
      <w:marRight w:val="0"/>
      <w:marTop w:val="0"/>
      <w:marBottom w:val="0"/>
      <w:divBdr>
        <w:top w:val="none" w:sz="0" w:space="0" w:color="auto"/>
        <w:left w:val="none" w:sz="0" w:space="0" w:color="auto"/>
        <w:bottom w:val="none" w:sz="0" w:space="0" w:color="auto"/>
        <w:right w:val="none" w:sz="0" w:space="0" w:color="auto"/>
      </w:divBdr>
    </w:div>
    <w:div w:id="1090585167">
      <w:bodyDiv w:val="1"/>
      <w:marLeft w:val="0"/>
      <w:marRight w:val="0"/>
      <w:marTop w:val="0"/>
      <w:marBottom w:val="0"/>
      <w:divBdr>
        <w:top w:val="none" w:sz="0" w:space="0" w:color="auto"/>
        <w:left w:val="none" w:sz="0" w:space="0" w:color="auto"/>
        <w:bottom w:val="none" w:sz="0" w:space="0" w:color="auto"/>
        <w:right w:val="none" w:sz="0" w:space="0" w:color="auto"/>
      </w:divBdr>
    </w:div>
    <w:div w:id="1107236897">
      <w:bodyDiv w:val="1"/>
      <w:marLeft w:val="0"/>
      <w:marRight w:val="0"/>
      <w:marTop w:val="0"/>
      <w:marBottom w:val="0"/>
      <w:divBdr>
        <w:top w:val="none" w:sz="0" w:space="0" w:color="auto"/>
        <w:left w:val="none" w:sz="0" w:space="0" w:color="auto"/>
        <w:bottom w:val="none" w:sz="0" w:space="0" w:color="auto"/>
        <w:right w:val="none" w:sz="0" w:space="0" w:color="auto"/>
      </w:divBdr>
      <w:divsChild>
        <w:div w:id="477647396">
          <w:marLeft w:val="0"/>
          <w:marRight w:val="0"/>
          <w:marTop w:val="0"/>
          <w:marBottom w:val="0"/>
          <w:divBdr>
            <w:top w:val="none" w:sz="0" w:space="0" w:color="auto"/>
            <w:left w:val="none" w:sz="0" w:space="0" w:color="auto"/>
            <w:bottom w:val="none" w:sz="0" w:space="0" w:color="auto"/>
            <w:right w:val="none" w:sz="0" w:space="0" w:color="auto"/>
          </w:divBdr>
          <w:divsChild>
            <w:div w:id="796800405">
              <w:marLeft w:val="0"/>
              <w:marRight w:val="0"/>
              <w:marTop w:val="0"/>
              <w:marBottom w:val="0"/>
              <w:divBdr>
                <w:top w:val="none" w:sz="0" w:space="0" w:color="auto"/>
                <w:left w:val="none" w:sz="0" w:space="0" w:color="auto"/>
                <w:bottom w:val="none" w:sz="0" w:space="0" w:color="auto"/>
                <w:right w:val="none" w:sz="0" w:space="0" w:color="auto"/>
              </w:divBdr>
              <w:divsChild>
                <w:div w:id="969165727">
                  <w:marLeft w:val="0"/>
                  <w:marRight w:val="0"/>
                  <w:marTop w:val="0"/>
                  <w:marBottom w:val="0"/>
                  <w:divBdr>
                    <w:top w:val="none" w:sz="0" w:space="0" w:color="auto"/>
                    <w:left w:val="none" w:sz="0" w:space="0" w:color="auto"/>
                    <w:bottom w:val="none" w:sz="0" w:space="0" w:color="auto"/>
                    <w:right w:val="none" w:sz="0" w:space="0" w:color="auto"/>
                  </w:divBdr>
                  <w:divsChild>
                    <w:div w:id="324626554">
                      <w:marLeft w:val="0"/>
                      <w:marRight w:val="0"/>
                      <w:marTop w:val="0"/>
                      <w:marBottom w:val="0"/>
                      <w:divBdr>
                        <w:top w:val="none" w:sz="0" w:space="0" w:color="auto"/>
                        <w:left w:val="none" w:sz="0" w:space="0" w:color="auto"/>
                        <w:bottom w:val="none" w:sz="0" w:space="0" w:color="auto"/>
                        <w:right w:val="none" w:sz="0" w:space="0" w:color="auto"/>
                      </w:divBdr>
                      <w:divsChild>
                        <w:div w:id="1435707499">
                          <w:marLeft w:val="0"/>
                          <w:marRight w:val="0"/>
                          <w:marTop w:val="0"/>
                          <w:marBottom w:val="0"/>
                          <w:divBdr>
                            <w:top w:val="none" w:sz="0" w:space="0" w:color="auto"/>
                            <w:left w:val="none" w:sz="0" w:space="0" w:color="auto"/>
                            <w:bottom w:val="none" w:sz="0" w:space="0" w:color="auto"/>
                            <w:right w:val="none" w:sz="0" w:space="0" w:color="auto"/>
                          </w:divBdr>
                          <w:divsChild>
                            <w:div w:id="33030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3371148">
      <w:bodyDiv w:val="1"/>
      <w:marLeft w:val="0"/>
      <w:marRight w:val="0"/>
      <w:marTop w:val="0"/>
      <w:marBottom w:val="0"/>
      <w:divBdr>
        <w:top w:val="none" w:sz="0" w:space="0" w:color="auto"/>
        <w:left w:val="none" w:sz="0" w:space="0" w:color="auto"/>
        <w:bottom w:val="none" w:sz="0" w:space="0" w:color="auto"/>
        <w:right w:val="none" w:sz="0" w:space="0" w:color="auto"/>
      </w:divBdr>
      <w:divsChild>
        <w:div w:id="578834935">
          <w:marLeft w:val="0"/>
          <w:marRight w:val="0"/>
          <w:marTop w:val="0"/>
          <w:marBottom w:val="160"/>
          <w:divBdr>
            <w:top w:val="none" w:sz="0" w:space="0" w:color="auto"/>
            <w:left w:val="none" w:sz="0" w:space="0" w:color="auto"/>
            <w:bottom w:val="none" w:sz="0" w:space="0" w:color="auto"/>
            <w:right w:val="none" w:sz="0" w:space="0" w:color="auto"/>
          </w:divBdr>
        </w:div>
        <w:div w:id="86193346">
          <w:marLeft w:val="0"/>
          <w:marRight w:val="0"/>
          <w:marTop w:val="0"/>
          <w:marBottom w:val="160"/>
          <w:divBdr>
            <w:top w:val="none" w:sz="0" w:space="0" w:color="auto"/>
            <w:left w:val="none" w:sz="0" w:space="0" w:color="auto"/>
            <w:bottom w:val="none" w:sz="0" w:space="0" w:color="auto"/>
            <w:right w:val="none" w:sz="0" w:space="0" w:color="auto"/>
          </w:divBdr>
        </w:div>
        <w:div w:id="185557124">
          <w:marLeft w:val="0"/>
          <w:marRight w:val="0"/>
          <w:marTop w:val="0"/>
          <w:marBottom w:val="160"/>
          <w:divBdr>
            <w:top w:val="none" w:sz="0" w:space="0" w:color="auto"/>
            <w:left w:val="none" w:sz="0" w:space="0" w:color="auto"/>
            <w:bottom w:val="none" w:sz="0" w:space="0" w:color="auto"/>
            <w:right w:val="none" w:sz="0" w:space="0" w:color="auto"/>
          </w:divBdr>
        </w:div>
      </w:divsChild>
    </w:div>
    <w:div w:id="1165128992">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243177627">
      <w:bodyDiv w:val="1"/>
      <w:marLeft w:val="0"/>
      <w:marRight w:val="0"/>
      <w:marTop w:val="0"/>
      <w:marBottom w:val="0"/>
      <w:divBdr>
        <w:top w:val="none" w:sz="0" w:space="0" w:color="auto"/>
        <w:left w:val="none" w:sz="0" w:space="0" w:color="auto"/>
        <w:bottom w:val="none" w:sz="0" w:space="0" w:color="auto"/>
        <w:right w:val="none" w:sz="0" w:space="0" w:color="auto"/>
      </w:divBdr>
    </w:div>
    <w:div w:id="1320504720">
      <w:bodyDiv w:val="1"/>
      <w:marLeft w:val="0"/>
      <w:marRight w:val="0"/>
      <w:marTop w:val="0"/>
      <w:marBottom w:val="0"/>
      <w:divBdr>
        <w:top w:val="none" w:sz="0" w:space="0" w:color="auto"/>
        <w:left w:val="none" w:sz="0" w:space="0" w:color="auto"/>
        <w:bottom w:val="none" w:sz="0" w:space="0" w:color="auto"/>
        <w:right w:val="none" w:sz="0" w:space="0" w:color="auto"/>
      </w:divBdr>
    </w:div>
    <w:div w:id="1347245505">
      <w:bodyDiv w:val="1"/>
      <w:marLeft w:val="0"/>
      <w:marRight w:val="0"/>
      <w:marTop w:val="0"/>
      <w:marBottom w:val="0"/>
      <w:divBdr>
        <w:top w:val="none" w:sz="0" w:space="0" w:color="auto"/>
        <w:left w:val="none" w:sz="0" w:space="0" w:color="auto"/>
        <w:bottom w:val="none" w:sz="0" w:space="0" w:color="auto"/>
        <w:right w:val="none" w:sz="0" w:space="0" w:color="auto"/>
      </w:divBdr>
    </w:div>
    <w:div w:id="1350988023">
      <w:bodyDiv w:val="1"/>
      <w:marLeft w:val="0"/>
      <w:marRight w:val="0"/>
      <w:marTop w:val="0"/>
      <w:marBottom w:val="0"/>
      <w:divBdr>
        <w:top w:val="none" w:sz="0" w:space="0" w:color="auto"/>
        <w:left w:val="none" w:sz="0" w:space="0" w:color="auto"/>
        <w:bottom w:val="none" w:sz="0" w:space="0" w:color="auto"/>
        <w:right w:val="none" w:sz="0" w:space="0" w:color="auto"/>
      </w:divBdr>
    </w:div>
    <w:div w:id="1391033297">
      <w:bodyDiv w:val="1"/>
      <w:marLeft w:val="0"/>
      <w:marRight w:val="0"/>
      <w:marTop w:val="0"/>
      <w:marBottom w:val="0"/>
      <w:divBdr>
        <w:top w:val="none" w:sz="0" w:space="0" w:color="auto"/>
        <w:left w:val="none" w:sz="0" w:space="0" w:color="auto"/>
        <w:bottom w:val="none" w:sz="0" w:space="0" w:color="auto"/>
        <w:right w:val="none" w:sz="0" w:space="0" w:color="auto"/>
      </w:divBdr>
      <w:divsChild>
        <w:div w:id="1302231751">
          <w:marLeft w:val="0"/>
          <w:marRight w:val="0"/>
          <w:marTop w:val="0"/>
          <w:marBottom w:val="0"/>
          <w:divBdr>
            <w:top w:val="none" w:sz="0" w:space="0" w:color="auto"/>
            <w:left w:val="none" w:sz="0" w:space="0" w:color="auto"/>
            <w:bottom w:val="none" w:sz="0" w:space="0" w:color="auto"/>
            <w:right w:val="none" w:sz="0" w:space="0" w:color="auto"/>
          </w:divBdr>
          <w:divsChild>
            <w:div w:id="1910311305">
              <w:marLeft w:val="0"/>
              <w:marRight w:val="0"/>
              <w:marTop w:val="0"/>
              <w:marBottom w:val="0"/>
              <w:divBdr>
                <w:top w:val="none" w:sz="0" w:space="0" w:color="auto"/>
                <w:left w:val="none" w:sz="0" w:space="0" w:color="auto"/>
                <w:bottom w:val="none" w:sz="0" w:space="0" w:color="auto"/>
                <w:right w:val="none" w:sz="0" w:space="0" w:color="auto"/>
              </w:divBdr>
              <w:divsChild>
                <w:div w:id="245462431">
                  <w:marLeft w:val="0"/>
                  <w:marRight w:val="0"/>
                  <w:marTop w:val="0"/>
                  <w:marBottom w:val="0"/>
                  <w:divBdr>
                    <w:top w:val="none" w:sz="0" w:space="0" w:color="auto"/>
                    <w:left w:val="none" w:sz="0" w:space="0" w:color="auto"/>
                    <w:bottom w:val="none" w:sz="0" w:space="0" w:color="auto"/>
                    <w:right w:val="none" w:sz="0" w:space="0" w:color="auto"/>
                  </w:divBdr>
                  <w:divsChild>
                    <w:div w:id="1029255869">
                      <w:marLeft w:val="0"/>
                      <w:marRight w:val="0"/>
                      <w:marTop w:val="0"/>
                      <w:marBottom w:val="0"/>
                      <w:divBdr>
                        <w:top w:val="none" w:sz="0" w:space="0" w:color="auto"/>
                        <w:left w:val="none" w:sz="0" w:space="0" w:color="auto"/>
                        <w:bottom w:val="none" w:sz="0" w:space="0" w:color="auto"/>
                        <w:right w:val="none" w:sz="0" w:space="0" w:color="auto"/>
                      </w:divBdr>
                      <w:divsChild>
                        <w:div w:id="613244225">
                          <w:marLeft w:val="0"/>
                          <w:marRight w:val="0"/>
                          <w:marTop w:val="0"/>
                          <w:marBottom w:val="0"/>
                          <w:divBdr>
                            <w:top w:val="none" w:sz="0" w:space="0" w:color="auto"/>
                            <w:left w:val="none" w:sz="0" w:space="0" w:color="auto"/>
                            <w:bottom w:val="none" w:sz="0" w:space="0" w:color="auto"/>
                            <w:right w:val="none" w:sz="0" w:space="0" w:color="auto"/>
                          </w:divBdr>
                          <w:divsChild>
                            <w:div w:id="58288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247560">
      <w:bodyDiv w:val="1"/>
      <w:marLeft w:val="0"/>
      <w:marRight w:val="0"/>
      <w:marTop w:val="0"/>
      <w:marBottom w:val="0"/>
      <w:divBdr>
        <w:top w:val="none" w:sz="0" w:space="0" w:color="auto"/>
        <w:left w:val="none" w:sz="0" w:space="0" w:color="auto"/>
        <w:bottom w:val="none" w:sz="0" w:space="0" w:color="auto"/>
        <w:right w:val="none" w:sz="0" w:space="0" w:color="auto"/>
      </w:divBdr>
    </w:div>
    <w:div w:id="1448115632">
      <w:bodyDiv w:val="1"/>
      <w:marLeft w:val="0"/>
      <w:marRight w:val="0"/>
      <w:marTop w:val="0"/>
      <w:marBottom w:val="0"/>
      <w:divBdr>
        <w:top w:val="none" w:sz="0" w:space="0" w:color="auto"/>
        <w:left w:val="none" w:sz="0" w:space="0" w:color="auto"/>
        <w:bottom w:val="none" w:sz="0" w:space="0" w:color="auto"/>
        <w:right w:val="none" w:sz="0" w:space="0" w:color="auto"/>
      </w:divBdr>
    </w:div>
    <w:div w:id="1498619727">
      <w:bodyDiv w:val="1"/>
      <w:marLeft w:val="0"/>
      <w:marRight w:val="0"/>
      <w:marTop w:val="0"/>
      <w:marBottom w:val="0"/>
      <w:divBdr>
        <w:top w:val="none" w:sz="0" w:space="0" w:color="auto"/>
        <w:left w:val="none" w:sz="0" w:space="0" w:color="auto"/>
        <w:bottom w:val="none" w:sz="0" w:space="0" w:color="auto"/>
        <w:right w:val="none" w:sz="0" w:space="0" w:color="auto"/>
      </w:divBdr>
      <w:divsChild>
        <w:div w:id="797839195">
          <w:marLeft w:val="0"/>
          <w:marRight w:val="0"/>
          <w:marTop w:val="0"/>
          <w:marBottom w:val="160"/>
          <w:divBdr>
            <w:top w:val="none" w:sz="0" w:space="0" w:color="auto"/>
            <w:left w:val="none" w:sz="0" w:space="0" w:color="auto"/>
            <w:bottom w:val="none" w:sz="0" w:space="0" w:color="auto"/>
            <w:right w:val="none" w:sz="0" w:space="0" w:color="auto"/>
          </w:divBdr>
        </w:div>
        <w:div w:id="560681091">
          <w:marLeft w:val="0"/>
          <w:marRight w:val="0"/>
          <w:marTop w:val="0"/>
          <w:marBottom w:val="160"/>
          <w:divBdr>
            <w:top w:val="none" w:sz="0" w:space="0" w:color="auto"/>
            <w:left w:val="none" w:sz="0" w:space="0" w:color="auto"/>
            <w:bottom w:val="none" w:sz="0" w:space="0" w:color="auto"/>
            <w:right w:val="none" w:sz="0" w:space="0" w:color="auto"/>
          </w:divBdr>
        </w:div>
        <w:div w:id="1153833297">
          <w:marLeft w:val="0"/>
          <w:marRight w:val="0"/>
          <w:marTop w:val="0"/>
          <w:marBottom w:val="160"/>
          <w:divBdr>
            <w:top w:val="none" w:sz="0" w:space="0" w:color="auto"/>
            <w:left w:val="none" w:sz="0" w:space="0" w:color="auto"/>
            <w:bottom w:val="none" w:sz="0" w:space="0" w:color="auto"/>
            <w:right w:val="none" w:sz="0" w:space="0" w:color="auto"/>
          </w:divBdr>
        </w:div>
      </w:divsChild>
    </w:div>
    <w:div w:id="1505320125">
      <w:bodyDiv w:val="1"/>
      <w:marLeft w:val="0"/>
      <w:marRight w:val="0"/>
      <w:marTop w:val="0"/>
      <w:marBottom w:val="0"/>
      <w:divBdr>
        <w:top w:val="none" w:sz="0" w:space="0" w:color="auto"/>
        <w:left w:val="none" w:sz="0" w:space="0" w:color="auto"/>
        <w:bottom w:val="none" w:sz="0" w:space="0" w:color="auto"/>
        <w:right w:val="none" w:sz="0" w:space="0" w:color="auto"/>
      </w:divBdr>
    </w:div>
    <w:div w:id="1541283808">
      <w:bodyDiv w:val="1"/>
      <w:marLeft w:val="0"/>
      <w:marRight w:val="0"/>
      <w:marTop w:val="0"/>
      <w:marBottom w:val="0"/>
      <w:divBdr>
        <w:top w:val="none" w:sz="0" w:space="0" w:color="auto"/>
        <w:left w:val="none" w:sz="0" w:space="0" w:color="auto"/>
        <w:bottom w:val="none" w:sz="0" w:space="0" w:color="auto"/>
        <w:right w:val="none" w:sz="0" w:space="0" w:color="auto"/>
      </w:divBdr>
    </w:div>
    <w:div w:id="1562521597">
      <w:bodyDiv w:val="1"/>
      <w:marLeft w:val="0"/>
      <w:marRight w:val="0"/>
      <w:marTop w:val="0"/>
      <w:marBottom w:val="0"/>
      <w:divBdr>
        <w:top w:val="none" w:sz="0" w:space="0" w:color="auto"/>
        <w:left w:val="none" w:sz="0" w:space="0" w:color="auto"/>
        <w:bottom w:val="none" w:sz="0" w:space="0" w:color="auto"/>
        <w:right w:val="none" w:sz="0" w:space="0" w:color="auto"/>
      </w:divBdr>
    </w:div>
    <w:div w:id="1568610026">
      <w:bodyDiv w:val="1"/>
      <w:marLeft w:val="0"/>
      <w:marRight w:val="0"/>
      <w:marTop w:val="0"/>
      <w:marBottom w:val="0"/>
      <w:divBdr>
        <w:top w:val="none" w:sz="0" w:space="0" w:color="auto"/>
        <w:left w:val="none" w:sz="0" w:space="0" w:color="auto"/>
        <w:bottom w:val="none" w:sz="0" w:space="0" w:color="auto"/>
        <w:right w:val="none" w:sz="0" w:space="0" w:color="auto"/>
      </w:divBdr>
    </w:div>
    <w:div w:id="1606376211">
      <w:bodyDiv w:val="1"/>
      <w:marLeft w:val="0"/>
      <w:marRight w:val="0"/>
      <w:marTop w:val="0"/>
      <w:marBottom w:val="0"/>
      <w:divBdr>
        <w:top w:val="none" w:sz="0" w:space="0" w:color="auto"/>
        <w:left w:val="none" w:sz="0" w:space="0" w:color="auto"/>
        <w:bottom w:val="none" w:sz="0" w:space="0" w:color="auto"/>
        <w:right w:val="none" w:sz="0" w:space="0" w:color="auto"/>
      </w:divBdr>
      <w:divsChild>
        <w:div w:id="729840230">
          <w:marLeft w:val="0"/>
          <w:marRight w:val="0"/>
          <w:marTop w:val="0"/>
          <w:marBottom w:val="160"/>
          <w:divBdr>
            <w:top w:val="none" w:sz="0" w:space="0" w:color="auto"/>
            <w:left w:val="none" w:sz="0" w:space="0" w:color="auto"/>
            <w:bottom w:val="none" w:sz="0" w:space="0" w:color="auto"/>
            <w:right w:val="none" w:sz="0" w:space="0" w:color="auto"/>
          </w:divBdr>
        </w:div>
        <w:div w:id="1459761652">
          <w:marLeft w:val="0"/>
          <w:marRight w:val="0"/>
          <w:marTop w:val="0"/>
          <w:marBottom w:val="160"/>
          <w:divBdr>
            <w:top w:val="none" w:sz="0" w:space="0" w:color="auto"/>
            <w:left w:val="none" w:sz="0" w:space="0" w:color="auto"/>
            <w:bottom w:val="none" w:sz="0" w:space="0" w:color="auto"/>
            <w:right w:val="none" w:sz="0" w:space="0" w:color="auto"/>
          </w:divBdr>
        </w:div>
        <w:div w:id="2021463511">
          <w:marLeft w:val="0"/>
          <w:marRight w:val="0"/>
          <w:marTop w:val="0"/>
          <w:marBottom w:val="160"/>
          <w:divBdr>
            <w:top w:val="none" w:sz="0" w:space="0" w:color="auto"/>
            <w:left w:val="none" w:sz="0" w:space="0" w:color="auto"/>
            <w:bottom w:val="none" w:sz="0" w:space="0" w:color="auto"/>
            <w:right w:val="none" w:sz="0" w:space="0" w:color="auto"/>
          </w:divBdr>
        </w:div>
      </w:divsChild>
    </w:div>
    <w:div w:id="1607687474">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626696393">
      <w:bodyDiv w:val="1"/>
      <w:marLeft w:val="0"/>
      <w:marRight w:val="0"/>
      <w:marTop w:val="0"/>
      <w:marBottom w:val="0"/>
      <w:divBdr>
        <w:top w:val="none" w:sz="0" w:space="0" w:color="auto"/>
        <w:left w:val="none" w:sz="0" w:space="0" w:color="auto"/>
        <w:bottom w:val="none" w:sz="0" w:space="0" w:color="auto"/>
        <w:right w:val="none" w:sz="0" w:space="0" w:color="auto"/>
      </w:divBdr>
    </w:div>
    <w:div w:id="1641811474">
      <w:bodyDiv w:val="1"/>
      <w:marLeft w:val="0"/>
      <w:marRight w:val="0"/>
      <w:marTop w:val="0"/>
      <w:marBottom w:val="0"/>
      <w:divBdr>
        <w:top w:val="none" w:sz="0" w:space="0" w:color="auto"/>
        <w:left w:val="none" w:sz="0" w:space="0" w:color="auto"/>
        <w:bottom w:val="none" w:sz="0" w:space="0" w:color="auto"/>
        <w:right w:val="none" w:sz="0" w:space="0" w:color="auto"/>
      </w:divBdr>
    </w:div>
    <w:div w:id="1647588101">
      <w:bodyDiv w:val="1"/>
      <w:marLeft w:val="0"/>
      <w:marRight w:val="0"/>
      <w:marTop w:val="0"/>
      <w:marBottom w:val="0"/>
      <w:divBdr>
        <w:top w:val="none" w:sz="0" w:space="0" w:color="auto"/>
        <w:left w:val="none" w:sz="0" w:space="0" w:color="auto"/>
        <w:bottom w:val="none" w:sz="0" w:space="0" w:color="auto"/>
        <w:right w:val="none" w:sz="0" w:space="0" w:color="auto"/>
      </w:divBdr>
    </w:div>
    <w:div w:id="1669096844">
      <w:bodyDiv w:val="1"/>
      <w:marLeft w:val="0"/>
      <w:marRight w:val="0"/>
      <w:marTop w:val="0"/>
      <w:marBottom w:val="0"/>
      <w:divBdr>
        <w:top w:val="none" w:sz="0" w:space="0" w:color="auto"/>
        <w:left w:val="none" w:sz="0" w:space="0" w:color="auto"/>
        <w:bottom w:val="none" w:sz="0" w:space="0" w:color="auto"/>
        <w:right w:val="none" w:sz="0" w:space="0" w:color="auto"/>
      </w:divBdr>
      <w:divsChild>
        <w:div w:id="518936356">
          <w:marLeft w:val="0"/>
          <w:marRight w:val="0"/>
          <w:marTop w:val="0"/>
          <w:marBottom w:val="160"/>
          <w:divBdr>
            <w:top w:val="none" w:sz="0" w:space="0" w:color="auto"/>
            <w:left w:val="none" w:sz="0" w:space="0" w:color="auto"/>
            <w:bottom w:val="none" w:sz="0" w:space="0" w:color="auto"/>
            <w:right w:val="none" w:sz="0" w:space="0" w:color="auto"/>
          </w:divBdr>
        </w:div>
        <w:div w:id="528104072">
          <w:marLeft w:val="0"/>
          <w:marRight w:val="0"/>
          <w:marTop w:val="0"/>
          <w:marBottom w:val="160"/>
          <w:divBdr>
            <w:top w:val="none" w:sz="0" w:space="0" w:color="auto"/>
            <w:left w:val="none" w:sz="0" w:space="0" w:color="auto"/>
            <w:bottom w:val="none" w:sz="0" w:space="0" w:color="auto"/>
            <w:right w:val="none" w:sz="0" w:space="0" w:color="auto"/>
          </w:divBdr>
        </w:div>
        <w:div w:id="273513336">
          <w:marLeft w:val="0"/>
          <w:marRight w:val="0"/>
          <w:marTop w:val="0"/>
          <w:marBottom w:val="160"/>
          <w:divBdr>
            <w:top w:val="none" w:sz="0" w:space="0" w:color="auto"/>
            <w:left w:val="none" w:sz="0" w:space="0" w:color="auto"/>
            <w:bottom w:val="none" w:sz="0" w:space="0" w:color="auto"/>
            <w:right w:val="none" w:sz="0" w:space="0" w:color="auto"/>
          </w:divBdr>
        </w:div>
      </w:divsChild>
    </w:div>
    <w:div w:id="1695689083">
      <w:bodyDiv w:val="1"/>
      <w:marLeft w:val="0"/>
      <w:marRight w:val="0"/>
      <w:marTop w:val="0"/>
      <w:marBottom w:val="0"/>
      <w:divBdr>
        <w:top w:val="none" w:sz="0" w:space="0" w:color="auto"/>
        <w:left w:val="none" w:sz="0" w:space="0" w:color="auto"/>
        <w:bottom w:val="none" w:sz="0" w:space="0" w:color="auto"/>
        <w:right w:val="none" w:sz="0" w:space="0" w:color="auto"/>
      </w:divBdr>
    </w:div>
    <w:div w:id="1761637096">
      <w:bodyDiv w:val="1"/>
      <w:marLeft w:val="0"/>
      <w:marRight w:val="0"/>
      <w:marTop w:val="0"/>
      <w:marBottom w:val="0"/>
      <w:divBdr>
        <w:top w:val="none" w:sz="0" w:space="0" w:color="auto"/>
        <w:left w:val="none" w:sz="0" w:space="0" w:color="auto"/>
        <w:bottom w:val="none" w:sz="0" w:space="0" w:color="auto"/>
        <w:right w:val="none" w:sz="0" w:space="0" w:color="auto"/>
      </w:divBdr>
      <w:divsChild>
        <w:div w:id="423385161">
          <w:marLeft w:val="0"/>
          <w:marRight w:val="0"/>
          <w:marTop w:val="0"/>
          <w:marBottom w:val="160"/>
          <w:divBdr>
            <w:top w:val="none" w:sz="0" w:space="0" w:color="auto"/>
            <w:left w:val="none" w:sz="0" w:space="0" w:color="auto"/>
            <w:bottom w:val="none" w:sz="0" w:space="0" w:color="auto"/>
            <w:right w:val="none" w:sz="0" w:space="0" w:color="auto"/>
          </w:divBdr>
        </w:div>
        <w:div w:id="2126801678">
          <w:marLeft w:val="0"/>
          <w:marRight w:val="0"/>
          <w:marTop w:val="0"/>
          <w:marBottom w:val="160"/>
          <w:divBdr>
            <w:top w:val="none" w:sz="0" w:space="0" w:color="auto"/>
            <w:left w:val="none" w:sz="0" w:space="0" w:color="auto"/>
            <w:bottom w:val="none" w:sz="0" w:space="0" w:color="auto"/>
            <w:right w:val="none" w:sz="0" w:space="0" w:color="auto"/>
          </w:divBdr>
        </w:div>
        <w:div w:id="827133892">
          <w:marLeft w:val="0"/>
          <w:marRight w:val="0"/>
          <w:marTop w:val="0"/>
          <w:marBottom w:val="160"/>
          <w:divBdr>
            <w:top w:val="none" w:sz="0" w:space="0" w:color="auto"/>
            <w:left w:val="none" w:sz="0" w:space="0" w:color="auto"/>
            <w:bottom w:val="none" w:sz="0" w:space="0" w:color="auto"/>
            <w:right w:val="none" w:sz="0" w:space="0" w:color="auto"/>
          </w:divBdr>
        </w:div>
      </w:divsChild>
    </w:div>
    <w:div w:id="1799494866">
      <w:bodyDiv w:val="1"/>
      <w:marLeft w:val="0"/>
      <w:marRight w:val="0"/>
      <w:marTop w:val="0"/>
      <w:marBottom w:val="0"/>
      <w:divBdr>
        <w:top w:val="none" w:sz="0" w:space="0" w:color="auto"/>
        <w:left w:val="none" w:sz="0" w:space="0" w:color="auto"/>
        <w:bottom w:val="none" w:sz="0" w:space="0" w:color="auto"/>
        <w:right w:val="none" w:sz="0" w:space="0" w:color="auto"/>
      </w:divBdr>
    </w:div>
    <w:div w:id="1806653743">
      <w:bodyDiv w:val="1"/>
      <w:marLeft w:val="0"/>
      <w:marRight w:val="0"/>
      <w:marTop w:val="0"/>
      <w:marBottom w:val="0"/>
      <w:divBdr>
        <w:top w:val="none" w:sz="0" w:space="0" w:color="auto"/>
        <w:left w:val="none" w:sz="0" w:space="0" w:color="auto"/>
        <w:bottom w:val="none" w:sz="0" w:space="0" w:color="auto"/>
        <w:right w:val="none" w:sz="0" w:space="0" w:color="auto"/>
      </w:divBdr>
    </w:div>
    <w:div w:id="1831869620">
      <w:bodyDiv w:val="1"/>
      <w:marLeft w:val="0"/>
      <w:marRight w:val="0"/>
      <w:marTop w:val="0"/>
      <w:marBottom w:val="0"/>
      <w:divBdr>
        <w:top w:val="none" w:sz="0" w:space="0" w:color="auto"/>
        <w:left w:val="none" w:sz="0" w:space="0" w:color="auto"/>
        <w:bottom w:val="none" w:sz="0" w:space="0" w:color="auto"/>
        <w:right w:val="none" w:sz="0" w:space="0" w:color="auto"/>
      </w:divBdr>
    </w:div>
    <w:div w:id="1838374371">
      <w:bodyDiv w:val="1"/>
      <w:marLeft w:val="0"/>
      <w:marRight w:val="0"/>
      <w:marTop w:val="0"/>
      <w:marBottom w:val="0"/>
      <w:divBdr>
        <w:top w:val="none" w:sz="0" w:space="0" w:color="auto"/>
        <w:left w:val="none" w:sz="0" w:space="0" w:color="auto"/>
        <w:bottom w:val="none" w:sz="0" w:space="0" w:color="auto"/>
        <w:right w:val="none" w:sz="0" w:space="0" w:color="auto"/>
      </w:divBdr>
    </w:div>
    <w:div w:id="1843085015">
      <w:bodyDiv w:val="1"/>
      <w:marLeft w:val="0"/>
      <w:marRight w:val="0"/>
      <w:marTop w:val="0"/>
      <w:marBottom w:val="0"/>
      <w:divBdr>
        <w:top w:val="none" w:sz="0" w:space="0" w:color="auto"/>
        <w:left w:val="none" w:sz="0" w:space="0" w:color="auto"/>
        <w:bottom w:val="none" w:sz="0" w:space="0" w:color="auto"/>
        <w:right w:val="none" w:sz="0" w:space="0" w:color="auto"/>
      </w:divBdr>
    </w:div>
    <w:div w:id="1951625272">
      <w:bodyDiv w:val="1"/>
      <w:marLeft w:val="0"/>
      <w:marRight w:val="0"/>
      <w:marTop w:val="0"/>
      <w:marBottom w:val="0"/>
      <w:divBdr>
        <w:top w:val="none" w:sz="0" w:space="0" w:color="auto"/>
        <w:left w:val="none" w:sz="0" w:space="0" w:color="auto"/>
        <w:bottom w:val="none" w:sz="0" w:space="0" w:color="auto"/>
        <w:right w:val="none" w:sz="0" w:space="0" w:color="auto"/>
      </w:divBdr>
    </w:div>
    <w:div w:id="1958440709">
      <w:bodyDiv w:val="1"/>
      <w:marLeft w:val="0"/>
      <w:marRight w:val="0"/>
      <w:marTop w:val="0"/>
      <w:marBottom w:val="0"/>
      <w:divBdr>
        <w:top w:val="none" w:sz="0" w:space="0" w:color="auto"/>
        <w:left w:val="none" w:sz="0" w:space="0" w:color="auto"/>
        <w:bottom w:val="none" w:sz="0" w:space="0" w:color="auto"/>
        <w:right w:val="none" w:sz="0" w:space="0" w:color="auto"/>
      </w:divBdr>
    </w:div>
    <w:div w:id="2021278799">
      <w:bodyDiv w:val="1"/>
      <w:marLeft w:val="0"/>
      <w:marRight w:val="0"/>
      <w:marTop w:val="0"/>
      <w:marBottom w:val="0"/>
      <w:divBdr>
        <w:top w:val="none" w:sz="0" w:space="0" w:color="auto"/>
        <w:left w:val="none" w:sz="0" w:space="0" w:color="auto"/>
        <w:bottom w:val="none" w:sz="0" w:space="0" w:color="auto"/>
        <w:right w:val="none" w:sz="0" w:space="0" w:color="auto"/>
      </w:divBdr>
    </w:div>
    <w:div w:id="2110271813">
      <w:bodyDiv w:val="1"/>
      <w:marLeft w:val="0"/>
      <w:marRight w:val="0"/>
      <w:marTop w:val="0"/>
      <w:marBottom w:val="0"/>
      <w:divBdr>
        <w:top w:val="none" w:sz="0" w:space="0" w:color="auto"/>
        <w:left w:val="none" w:sz="0" w:space="0" w:color="auto"/>
        <w:bottom w:val="none" w:sz="0" w:space="0" w:color="auto"/>
        <w:right w:val="none" w:sz="0" w:space="0" w:color="auto"/>
      </w:divBdr>
    </w:div>
    <w:div w:id="2115590451">
      <w:bodyDiv w:val="1"/>
      <w:marLeft w:val="0"/>
      <w:marRight w:val="0"/>
      <w:marTop w:val="0"/>
      <w:marBottom w:val="0"/>
      <w:divBdr>
        <w:top w:val="none" w:sz="0" w:space="0" w:color="auto"/>
        <w:left w:val="none" w:sz="0" w:space="0" w:color="auto"/>
        <w:bottom w:val="none" w:sz="0" w:space="0" w:color="auto"/>
        <w:right w:val="none" w:sz="0" w:space="0" w:color="auto"/>
      </w:divBdr>
      <w:divsChild>
        <w:div w:id="428045146">
          <w:marLeft w:val="0"/>
          <w:marRight w:val="0"/>
          <w:marTop w:val="0"/>
          <w:marBottom w:val="0"/>
          <w:divBdr>
            <w:top w:val="none" w:sz="0" w:space="0" w:color="auto"/>
            <w:left w:val="none" w:sz="0" w:space="0" w:color="auto"/>
            <w:bottom w:val="none" w:sz="0" w:space="0" w:color="auto"/>
            <w:right w:val="none" w:sz="0" w:space="0" w:color="auto"/>
          </w:divBdr>
          <w:divsChild>
            <w:div w:id="1917788406">
              <w:marLeft w:val="0"/>
              <w:marRight w:val="0"/>
              <w:marTop w:val="0"/>
              <w:marBottom w:val="0"/>
              <w:divBdr>
                <w:top w:val="none" w:sz="0" w:space="0" w:color="auto"/>
                <w:left w:val="none" w:sz="0" w:space="0" w:color="auto"/>
                <w:bottom w:val="none" w:sz="0" w:space="0" w:color="auto"/>
                <w:right w:val="none" w:sz="0" w:space="0" w:color="auto"/>
              </w:divBdr>
              <w:divsChild>
                <w:div w:id="109321855">
                  <w:marLeft w:val="0"/>
                  <w:marRight w:val="0"/>
                  <w:marTop w:val="0"/>
                  <w:marBottom w:val="0"/>
                  <w:divBdr>
                    <w:top w:val="none" w:sz="0" w:space="0" w:color="auto"/>
                    <w:left w:val="none" w:sz="0" w:space="0" w:color="auto"/>
                    <w:bottom w:val="none" w:sz="0" w:space="0" w:color="auto"/>
                    <w:right w:val="none" w:sz="0" w:space="0" w:color="auto"/>
                  </w:divBdr>
                  <w:divsChild>
                    <w:div w:id="824205549">
                      <w:marLeft w:val="0"/>
                      <w:marRight w:val="0"/>
                      <w:marTop w:val="0"/>
                      <w:marBottom w:val="0"/>
                      <w:divBdr>
                        <w:top w:val="none" w:sz="0" w:space="0" w:color="auto"/>
                        <w:left w:val="none" w:sz="0" w:space="0" w:color="auto"/>
                        <w:bottom w:val="none" w:sz="0" w:space="0" w:color="auto"/>
                        <w:right w:val="none" w:sz="0" w:space="0" w:color="auto"/>
                      </w:divBdr>
                      <w:divsChild>
                        <w:div w:id="1492217882">
                          <w:marLeft w:val="0"/>
                          <w:marRight w:val="0"/>
                          <w:marTop w:val="0"/>
                          <w:marBottom w:val="0"/>
                          <w:divBdr>
                            <w:top w:val="none" w:sz="0" w:space="0" w:color="auto"/>
                            <w:left w:val="none" w:sz="0" w:space="0" w:color="auto"/>
                            <w:bottom w:val="none" w:sz="0" w:space="0" w:color="auto"/>
                            <w:right w:val="none" w:sz="0" w:space="0" w:color="auto"/>
                          </w:divBdr>
                          <w:divsChild>
                            <w:div w:id="167556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82362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joserami144@gmail.com"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eb0fd05604104aa4d3bc08dd4c4ad35e%7C7b09041e245149d08cb179d5e3d8c1be%7C0%7C0%7C638750606445955315%7CUnknown%7CTWFpbGZsb3d8eyJFbXB0eU1hcGkiOnRydWUsIlYiOiIwLjAuMDAwMCIsIlAiOiJXaW4zMiIsIkFOIjoiTWFpbCIsIldUIjoyfQ%3D%3D%7C0%7C%7C%7C&amp;sdata=rg5gIZMXUibmlW0fQooF%2BImy%2B2nR%2B%2FKlCtwBQuhqOtM%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ciudadanos%2Fcalendario&amp;data=05%7C02%7Ctatiana.baquero%40colombiacompra.gov.co%7Ceb0fd05604104aa4d3bc08dd4c4ad35e%7C7b09041e245149d08cb179d5e3d8c1be%7C0%7C0%7C638750606445942981%7CUnknown%7CTWFpbGZsb3d8eyJFbXB0eU1hcGkiOnRydWUsIlYiOiIwLjAuMDAwMCIsIlAiOiJXaW4zMiIsIkFOIjoiTWFpbCIsIldUIjoyfQ%3D%3D%7C0%7C%7C%7C&amp;sdata=vELObfe7WBLRkZAqY%2BUNk6oCbo4SVElKFox0kR2OcRM%3D&amp;reserved=0"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manuales-guias-y-pliegos-tipo%2Fmanuales-y-guias%2Fcartilla-para-incentivar-y-fortalecer-el-acceso-las&amp;data=05%7C02%7Ctatiana.baquero%40colombiacompra.gov.co%7Ceb0fd05604104aa4d3bc08dd4c4ad35e%7C7b09041e245149d08cb179d5e3d8c1be%7C0%7C0%7C638750606445917849%7CUnknown%7CTWFpbGZsb3d8eyJFbXB0eU1hcGkiOnRydWUsIlYiOiIwLjAuMDAwMCIsIlAiOiJXaW4zMiIsIkFOIjoiTWFpbCIsIldUIjoyfQ%3D%3D%7C0%7C%7C%7C&amp;sdata=CIYlMJvb8%2FkyVQ4wnSJNk2cjQdOhR92iwUE8nmXIOWg%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SharedWithUsers xmlns="a6cb9e4b-f1d1-4245-83ec-6cad768d538a">
      <UserInfo>
        <DisplayName>Alejandro Sarmiento</DisplayName>
        <AccountId>129</AccountId>
        <AccountType/>
      </UserInfo>
    </SharedWithUsers>
  </documentManagement>
</p:properties>
</file>

<file path=customXml/itemProps1.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2.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3.xml><?xml version="1.0" encoding="utf-8"?>
<ds:datastoreItem xmlns:ds="http://schemas.openxmlformats.org/officeDocument/2006/customXml" ds:itemID="{06F8AB61-4B8C-4292-AD00-5B9AA853CC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5452</Words>
  <Characters>29988</Characters>
  <Application>Microsoft Office Word</Application>
  <DocSecurity>0</DocSecurity>
  <Lines>249</Lines>
  <Paragraphs>70</Paragraphs>
  <ScaleCrop>false</ScaleCrop>
  <Company/>
  <LinksUpToDate>false</LinksUpToDate>
  <CharactersWithSpaces>35370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Sergio Andrés Rivera Cano</cp:lastModifiedBy>
  <cp:revision>10</cp:revision>
  <dcterms:created xsi:type="dcterms:W3CDTF">2025-04-02T15:03:00Z</dcterms:created>
  <dcterms:modified xsi:type="dcterms:W3CDTF">2025-04-02T19:09:00Z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