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054DA" w14:textId="77777777" w:rsidR="00111BA1" w:rsidRPr="006A5743" w:rsidRDefault="00DD0BDE" w:rsidP="00DD0BDE">
      <w:pPr>
        <w:spacing w:line="276" w:lineRule="auto"/>
        <w:jc w:val="both"/>
        <w:rPr>
          <w:rFonts w:ascii="Verdana" w:eastAsia="Century Gothic" w:hAnsi="Verdana" w:cs="Century Gothic"/>
          <w:b/>
        </w:rPr>
      </w:pPr>
      <w:bookmarkStart w:id="0" w:name="_Hlk143780582"/>
      <w:r w:rsidRPr="006A5743">
        <w:rPr>
          <w:rFonts w:ascii="Verdana" w:eastAsia="Century Gothic" w:hAnsi="Verdana" w:cs="Century Gothic"/>
          <w:b/>
        </w:rPr>
        <w:t xml:space="preserve">PROMOCIÓN AL DESARROLLO – Ley 2069 de 2020 – Artículo 34 </w:t>
      </w:r>
    </w:p>
    <w:p w14:paraId="2637D0E4" w14:textId="77777777" w:rsidR="00111BA1" w:rsidRPr="006A5743" w:rsidRDefault="00111BA1" w:rsidP="00111BA1">
      <w:pPr>
        <w:spacing w:after="0" w:line="240" w:lineRule="auto"/>
        <w:jc w:val="both"/>
        <w:rPr>
          <w:rStyle w:val="eop"/>
          <w:rFonts w:ascii="Verdana" w:hAnsi="Verdana" w:cs="Arial"/>
          <w:color w:val="000000"/>
          <w:sz w:val="20"/>
          <w:szCs w:val="20"/>
          <w:shd w:val="clear" w:color="auto" w:fill="FFFFFF"/>
        </w:rPr>
      </w:pPr>
      <w:r w:rsidRPr="006A5743">
        <w:rPr>
          <w:rStyle w:val="normaltextrun"/>
          <w:rFonts w:ascii="Verdana" w:hAnsi="Verdana" w:cs="Arial"/>
          <w:color w:val="000000"/>
          <w:sz w:val="20"/>
          <w:szCs w:val="20"/>
          <w:shd w:val="clear" w:color="auto" w:fill="FFFFFF"/>
          <w:lang w:val="es-ES"/>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w:t>
      </w:r>
      <w:proofErr w:type="spellStart"/>
      <w:r w:rsidRPr="006A5743">
        <w:rPr>
          <w:rStyle w:val="normaltextrun"/>
          <w:rFonts w:ascii="Verdana" w:hAnsi="Verdana" w:cs="Arial"/>
          <w:color w:val="000000"/>
          <w:sz w:val="20"/>
          <w:szCs w:val="20"/>
          <w:shd w:val="clear" w:color="auto" w:fill="FFFFFF"/>
          <w:lang w:val="es-ES"/>
        </w:rPr>
        <w:t>ii</w:t>
      </w:r>
      <w:proofErr w:type="spellEnd"/>
      <w:r w:rsidRPr="006A5743">
        <w:rPr>
          <w:rStyle w:val="normaltextrun"/>
          <w:rFonts w:ascii="Verdana" w:hAnsi="Verdana" w:cs="Arial"/>
          <w:color w:val="000000"/>
          <w:sz w:val="20"/>
          <w:szCs w:val="20"/>
          <w:shd w:val="clear" w:color="auto" w:fill="FFFFFF"/>
          <w:lang w:val="es-ES"/>
        </w:rPr>
        <w:t>) Indica que dichas convocatorias se deben efectuar –y así lo deberá reglamentar el gobierno nacional– siempre y cuando, antes del acto administrativo de apertura del proceso de selección, por lo menos dos (2) MiPymes hayan manifestado su interés. […]</w:t>
      </w:r>
      <w:r w:rsidRPr="006A5743">
        <w:rPr>
          <w:rStyle w:val="eop"/>
          <w:rFonts w:ascii="Verdana" w:hAnsi="Verdana" w:cs="Arial"/>
          <w:color w:val="000000"/>
          <w:sz w:val="20"/>
          <w:szCs w:val="20"/>
          <w:shd w:val="clear" w:color="auto" w:fill="FFFFFF"/>
        </w:rPr>
        <w:t> </w:t>
      </w:r>
    </w:p>
    <w:p w14:paraId="59A02A8A" w14:textId="77777777" w:rsidR="00111BA1" w:rsidRPr="006A5743" w:rsidRDefault="00111BA1" w:rsidP="00111BA1">
      <w:pPr>
        <w:spacing w:after="0" w:line="240" w:lineRule="auto"/>
        <w:jc w:val="both"/>
        <w:rPr>
          <w:rStyle w:val="eop"/>
          <w:rFonts w:ascii="Verdana" w:hAnsi="Verdana" w:cs="Arial"/>
          <w:color w:val="000000"/>
          <w:sz w:val="20"/>
          <w:szCs w:val="20"/>
          <w:shd w:val="clear" w:color="auto" w:fill="FFFFFF"/>
        </w:rPr>
      </w:pPr>
    </w:p>
    <w:p w14:paraId="570B2B1E" w14:textId="77777777" w:rsidR="00404A54" w:rsidRPr="006A5743" w:rsidRDefault="00DD0BDE" w:rsidP="00111BA1">
      <w:pPr>
        <w:spacing w:after="0" w:line="240" w:lineRule="auto"/>
        <w:jc w:val="both"/>
        <w:rPr>
          <w:rFonts w:ascii="Verdana" w:eastAsia="Century Gothic" w:hAnsi="Verdana" w:cs="Century Gothic"/>
          <w:b/>
        </w:rPr>
      </w:pPr>
      <w:r w:rsidRPr="006A5743">
        <w:rPr>
          <w:rFonts w:ascii="Verdana" w:eastAsia="Century Gothic" w:hAnsi="Verdana" w:cs="Century Gothic"/>
          <w:b/>
        </w:rPr>
        <w:t xml:space="preserve">CONVOCATORIAS LIMITADAS A MIPYMES NACIONALES – Requisitos </w:t>
      </w:r>
    </w:p>
    <w:p w14:paraId="2E6BC672" w14:textId="77777777" w:rsidR="00404A54" w:rsidRPr="006A5743" w:rsidRDefault="00404A54" w:rsidP="00111BA1">
      <w:pPr>
        <w:spacing w:after="0" w:line="240" w:lineRule="auto"/>
        <w:jc w:val="both"/>
        <w:rPr>
          <w:rFonts w:ascii="Verdana" w:eastAsia="Century Gothic" w:hAnsi="Verdana" w:cs="Century Gothic"/>
          <w:b/>
        </w:rPr>
      </w:pPr>
    </w:p>
    <w:p w14:paraId="31CFEB19" w14:textId="77777777" w:rsidR="00404A54" w:rsidRPr="006A5743" w:rsidRDefault="00404A54" w:rsidP="00404A54">
      <w:pPr>
        <w:pStyle w:val="paragraph"/>
        <w:spacing w:before="0" w:beforeAutospacing="0" w:after="0" w:afterAutospacing="0"/>
        <w:jc w:val="both"/>
        <w:textAlignment w:val="baseline"/>
        <w:rPr>
          <w:rStyle w:val="eop"/>
          <w:rFonts w:ascii="Verdana" w:hAnsi="Verdana" w:cs="Arial"/>
          <w:color w:val="000000"/>
          <w:sz w:val="20"/>
          <w:szCs w:val="20"/>
        </w:rPr>
      </w:pPr>
      <w:r w:rsidRPr="006A5743">
        <w:rPr>
          <w:rStyle w:val="normaltextrun"/>
          <w:rFonts w:ascii="Verdana" w:hAnsi="Verdana" w:cs="Arial"/>
          <w:color w:val="000000"/>
          <w:sz w:val="20"/>
          <w:szCs w:val="20"/>
        </w:rPr>
        <w:t>El artículo 2.2.1.2.4.2.2. del Decreto 1082 de 2015 establece los requisitos 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la limitación a MiPymes nacionales en los procedimientos de licitación pública, selección abreviada y concurso de méritos. </w:t>
      </w:r>
      <w:r w:rsidRPr="006A5743">
        <w:rPr>
          <w:rStyle w:val="eop"/>
          <w:rFonts w:ascii="Verdana" w:hAnsi="Verdana" w:cs="Arial"/>
          <w:color w:val="000000"/>
        </w:rPr>
        <w:t> </w:t>
      </w:r>
    </w:p>
    <w:p w14:paraId="531D9AFE" w14:textId="77777777" w:rsidR="00404A54" w:rsidRPr="006A5743" w:rsidRDefault="00404A54" w:rsidP="00111BA1">
      <w:pPr>
        <w:spacing w:after="0" w:line="240" w:lineRule="auto"/>
        <w:jc w:val="both"/>
        <w:rPr>
          <w:rFonts w:ascii="Verdana" w:eastAsia="Century Gothic" w:hAnsi="Verdana" w:cs="Century Gothic"/>
          <w:b/>
        </w:rPr>
      </w:pPr>
    </w:p>
    <w:p w14:paraId="68AA90D4" w14:textId="78AE55C7" w:rsidR="00DD0BDE" w:rsidRPr="006A5743" w:rsidRDefault="00DD0BDE" w:rsidP="00111BA1">
      <w:pPr>
        <w:spacing w:after="0" w:line="240" w:lineRule="auto"/>
        <w:jc w:val="both"/>
        <w:rPr>
          <w:rFonts w:ascii="Verdana" w:hAnsi="Verdana" w:cs="Arial"/>
          <w:color w:val="000000"/>
          <w:sz w:val="20"/>
          <w:szCs w:val="20"/>
          <w:shd w:val="clear" w:color="auto" w:fill="FFFFFF"/>
        </w:rPr>
      </w:pPr>
      <w:r w:rsidRPr="006A5743">
        <w:rPr>
          <w:rFonts w:ascii="Verdana" w:eastAsia="Century Gothic" w:hAnsi="Verdana" w:cs="Century Gothic"/>
          <w:b/>
        </w:rPr>
        <w:t xml:space="preserve"> CONVOCATORIAS LIMITADAS A MIPYMES EN EL ÁMBITO TERRITORIAL – Limitación territorial – Facultad discrecional </w:t>
      </w:r>
    </w:p>
    <w:p w14:paraId="7C3F305F" w14:textId="77777777" w:rsidR="00DD0BDE" w:rsidRPr="006A5743" w:rsidRDefault="00DD0BDE" w:rsidP="00E245AB">
      <w:pPr>
        <w:spacing w:after="0"/>
        <w:rPr>
          <w:rFonts w:ascii="Verdana" w:hAnsi="Verdana"/>
        </w:rPr>
      </w:pPr>
    </w:p>
    <w:p w14:paraId="0AD3C741" w14:textId="77777777" w:rsidR="006A5743" w:rsidRPr="006A5743" w:rsidRDefault="006A5743" w:rsidP="006A5743">
      <w:pPr>
        <w:pStyle w:val="paragraph"/>
        <w:spacing w:before="0" w:beforeAutospacing="0" w:after="0" w:afterAutospacing="0"/>
        <w:jc w:val="both"/>
        <w:textAlignment w:val="baseline"/>
        <w:rPr>
          <w:rFonts w:ascii="Verdana" w:hAnsi="Verdana" w:cs="Segoe UI"/>
          <w:sz w:val="18"/>
          <w:szCs w:val="18"/>
        </w:rPr>
      </w:pPr>
      <w:r w:rsidRPr="006A5743">
        <w:rPr>
          <w:rStyle w:val="normaltextrun"/>
          <w:rFonts w:ascii="Verdana" w:hAnsi="Verdana" w:cs="Arial"/>
          <w:color w:val="000000"/>
          <w:sz w:val="20"/>
          <w:szCs w:val="20"/>
        </w:rPr>
        <w:t xml:space="preserve">Cumplidos los dos requisitos del artículo 2.2.1.2.4.2.2. </w:t>
      </w:r>
      <w:r w:rsidRPr="006A5743">
        <w:rPr>
          <w:rStyle w:val="normaltextrun"/>
          <w:rFonts w:ascii="Verdana" w:hAnsi="Verdana" w:cs="Arial"/>
          <w:i/>
          <w:iCs/>
          <w:color w:val="000000"/>
          <w:sz w:val="20"/>
          <w:szCs w:val="20"/>
        </w:rPr>
        <w:t>ibidem</w:t>
      </w:r>
      <w:r w:rsidRPr="006A5743">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6A5743">
        <w:rPr>
          <w:rStyle w:val="superscript"/>
          <w:rFonts w:ascii="Verdana" w:hAnsi="Verdana" w:cs="Arial"/>
          <w:color w:val="000000"/>
          <w:sz w:val="16"/>
          <w:szCs w:val="16"/>
          <w:vertAlign w:val="superscript"/>
        </w:rPr>
        <w:t>1</w:t>
      </w:r>
      <w:r w:rsidRPr="006A5743">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w:t>
      </w:r>
      <w:r w:rsidRPr="006A5743">
        <w:rPr>
          <w:rStyle w:val="normaltextrun"/>
          <w:rFonts w:ascii="Verdana" w:hAnsi="Verdana" w:cs="Arial"/>
          <w:color w:val="000000"/>
          <w:sz w:val="20"/>
          <w:szCs w:val="20"/>
        </w:rPr>
        <w:lastRenderedPageBreak/>
        <w:t>o municipio en donde se va a ejecutar el contrato.  Este entendimiento de la norma, sin embargo, da lugar a dos interpretaciones sobre las que se deben hacer unas precisiones.</w:t>
      </w:r>
      <w:r w:rsidRPr="006A5743">
        <w:rPr>
          <w:rStyle w:val="eop"/>
          <w:rFonts w:ascii="Verdana" w:hAnsi="Verdana" w:cs="Arial"/>
          <w:color w:val="000000"/>
          <w:sz w:val="20"/>
          <w:szCs w:val="20"/>
        </w:rPr>
        <w:t> </w:t>
      </w:r>
    </w:p>
    <w:p w14:paraId="20D79DF7" w14:textId="77777777" w:rsidR="006A5743" w:rsidRDefault="006A5743" w:rsidP="00E245AB">
      <w:pPr>
        <w:spacing w:after="0"/>
        <w:rPr>
          <w:rFonts w:ascii="Verdana" w:hAnsi="Verdana"/>
        </w:rPr>
      </w:pPr>
    </w:p>
    <w:p w14:paraId="020A855A" w14:textId="77777777" w:rsidR="00DD0BDE" w:rsidRDefault="00DD0BDE" w:rsidP="00E245AB">
      <w:pPr>
        <w:spacing w:after="0"/>
        <w:rPr>
          <w:rFonts w:ascii="Verdana" w:hAnsi="Verdana"/>
        </w:rPr>
      </w:pPr>
    </w:p>
    <w:p w14:paraId="297968BA" w14:textId="77777777" w:rsidR="00BC47C8" w:rsidRPr="00454E4A" w:rsidRDefault="00BC47C8" w:rsidP="00BC47C8">
      <w:pPr>
        <w:spacing w:after="0" w:line="240" w:lineRule="auto"/>
        <w:jc w:val="both"/>
        <w:rPr>
          <w:rFonts w:ascii="Verdana" w:eastAsia="Calibri" w:hAnsi="Verdana" w:cs="Arial"/>
          <w:b/>
          <w:bCs/>
        </w:rPr>
      </w:pPr>
      <w:r w:rsidRPr="00454E4A">
        <w:rPr>
          <w:rFonts w:ascii="Verdana" w:eastAsia="Calibri" w:hAnsi="Verdana" w:cs="Arial"/>
          <w:b/>
          <w:bCs/>
        </w:rPr>
        <w:t>CONVOCATORIAS LIMITADAS A MIPYMES EN EL ÁMBITO TERRITORIAL – Presupuestos mínimos – Análisis del sector – Mecanismos de control</w:t>
      </w:r>
    </w:p>
    <w:p w14:paraId="31B3720D" w14:textId="77777777" w:rsidR="00BC47C8" w:rsidRPr="00454E4A" w:rsidRDefault="00BC47C8" w:rsidP="00BC47C8">
      <w:pPr>
        <w:spacing w:after="0" w:line="240" w:lineRule="auto"/>
        <w:jc w:val="both"/>
        <w:rPr>
          <w:rFonts w:ascii="Verdana" w:hAnsi="Verdana"/>
        </w:rPr>
      </w:pPr>
    </w:p>
    <w:p w14:paraId="4C2B2554" w14:textId="77777777" w:rsidR="00BC47C8" w:rsidRDefault="00BC47C8" w:rsidP="00BC47C8">
      <w:pPr>
        <w:spacing w:after="0" w:line="240" w:lineRule="auto"/>
        <w:jc w:val="both"/>
        <w:rPr>
          <w:rFonts w:ascii="Verdana" w:eastAsia="Arial" w:hAnsi="Verdana" w:cs="Arial"/>
          <w:sz w:val="20"/>
          <w:szCs w:val="20"/>
        </w:rPr>
      </w:pPr>
      <w:r>
        <w:rPr>
          <w:rFonts w:ascii="Verdana" w:eastAsia="Arial" w:hAnsi="Verdana" w:cs="Arial"/>
          <w:sz w:val="20"/>
          <w:szCs w:val="20"/>
        </w:rPr>
        <w:t>[…]</w:t>
      </w:r>
      <w:r w:rsidRPr="00454E4A">
        <w:rPr>
          <w:rFonts w:ascii="Verdana" w:eastAsia="Arial" w:hAnsi="Verdana" w:cs="Arial"/>
          <w:sz w:val="20"/>
          <w:szCs w:val="20"/>
        </w:rPr>
        <w:t xml:space="preserve">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2E43E1BB" w14:textId="77777777" w:rsidR="00BC47C8" w:rsidRPr="00454E4A" w:rsidRDefault="00BC47C8" w:rsidP="00BC47C8">
      <w:pPr>
        <w:spacing w:after="0" w:line="240" w:lineRule="auto"/>
        <w:jc w:val="both"/>
        <w:rPr>
          <w:rFonts w:ascii="Verdana" w:eastAsia="Arial" w:hAnsi="Verdana" w:cs="Arial"/>
          <w:sz w:val="20"/>
          <w:szCs w:val="20"/>
        </w:rPr>
      </w:pPr>
    </w:p>
    <w:p w14:paraId="7D379115" w14:textId="77777777" w:rsidR="00BC47C8" w:rsidRDefault="00BC47C8" w:rsidP="00BC47C8">
      <w:pPr>
        <w:spacing w:after="0" w:line="240" w:lineRule="auto"/>
        <w:jc w:val="both"/>
        <w:rPr>
          <w:rFonts w:ascii="Verdana" w:eastAsia="Calibri" w:hAnsi="Verdana" w:cs="Arial"/>
          <w:b/>
          <w:bCs/>
        </w:rPr>
      </w:pPr>
      <w:r w:rsidRPr="00202EC9">
        <w:rPr>
          <w:rFonts w:ascii="Verdana" w:eastAsia="Calibri" w:hAnsi="Verdana" w:cs="Arial"/>
          <w:b/>
          <w:bCs/>
        </w:rPr>
        <w:t>CONVOCATORIAS LIMITADAS A MIPYMES EN EL ÁMBITO TERRITORIAL – Práctica restrictiva</w:t>
      </w:r>
    </w:p>
    <w:p w14:paraId="57C5BDC6" w14:textId="77777777" w:rsidR="00BC47C8" w:rsidRDefault="00BC47C8" w:rsidP="00BC47C8">
      <w:pPr>
        <w:spacing w:after="0" w:line="240" w:lineRule="auto"/>
        <w:jc w:val="both"/>
        <w:rPr>
          <w:rFonts w:ascii="Verdana" w:eastAsia="Calibri" w:hAnsi="Verdana" w:cs="Arial"/>
          <w:b/>
          <w:bCs/>
        </w:rPr>
      </w:pPr>
    </w:p>
    <w:p w14:paraId="580E4B8A" w14:textId="77777777" w:rsidR="00BC47C8" w:rsidRPr="00202EC9" w:rsidRDefault="00BC47C8" w:rsidP="00BC47C8">
      <w:pPr>
        <w:spacing w:line="240" w:lineRule="auto"/>
        <w:jc w:val="both"/>
        <w:rPr>
          <w:rFonts w:ascii="Verdana" w:eastAsia="Arial" w:hAnsi="Verdana" w:cs="Arial"/>
          <w:sz w:val="20"/>
          <w:szCs w:val="20"/>
        </w:rPr>
      </w:pPr>
      <w:r>
        <w:rPr>
          <w:rFonts w:ascii="Verdana" w:eastAsia="Arial" w:hAnsi="Verdana" w:cs="Arial"/>
          <w:sz w:val="20"/>
          <w:szCs w:val="20"/>
        </w:rPr>
        <w:t xml:space="preserve">[…] </w:t>
      </w:r>
      <w:r w:rsidRPr="00202EC9">
        <w:rPr>
          <w:rFonts w:ascii="Verdana" w:eastAsia="Arial" w:hAnsi="Verdana" w:cs="Arial"/>
          <w:sz w:val="20"/>
          <w:szCs w:val="20"/>
        </w:rPr>
        <w:t>de conformidad con el artículo 2.2.1.2.4.2.4. del Decreto 1082 de 2015, resulta posible que una persona natural acredite su condición de MiPymes y participe en el proceso de selección limitado para estas empresas. Sin embargo</w:t>
      </w:r>
      <w:r>
        <w:rPr>
          <w:rFonts w:ascii="Verdana" w:eastAsia="Arial" w:hAnsi="Verdana" w:cs="Arial"/>
          <w:sz w:val="20"/>
          <w:szCs w:val="20"/>
        </w:rPr>
        <w:t xml:space="preserve">, </w:t>
      </w:r>
      <w:r w:rsidRPr="00202EC9">
        <w:rPr>
          <w:rFonts w:ascii="Verdana" w:eastAsia="Arial" w:hAnsi="Verdana" w:cs="Arial"/>
          <w:sz w:val="20"/>
          <w:szCs w:val="20"/>
        </w:rPr>
        <w:t>será la entidad contratante la llamada a verificar de manera objetiva si la limitación territorial resultaría contraria al propósito de la norma, según la cual se pretende la promoción de las economías y la industria local, y más bien determine que la limitación territorial derive a prácticas restrictivas de la competencia, en observancia de los principios de igualdad y selección</w:t>
      </w:r>
      <w:r>
        <w:rPr>
          <w:rFonts w:ascii="Verdana" w:hAnsi="Verdana"/>
        </w:rPr>
        <w:t xml:space="preserve"> </w:t>
      </w:r>
      <w:r w:rsidRPr="00202EC9">
        <w:rPr>
          <w:rFonts w:ascii="Verdana" w:eastAsia="Arial" w:hAnsi="Verdana" w:cs="Arial"/>
          <w:sz w:val="20"/>
          <w:szCs w:val="20"/>
        </w:rPr>
        <w:t>objetiva, tendrá que abstenerse de hacer la limitación territorial.</w:t>
      </w:r>
    </w:p>
    <w:p w14:paraId="5673BFD6" w14:textId="77777777" w:rsidR="006A5743" w:rsidRDefault="006A5743" w:rsidP="00E245AB">
      <w:pPr>
        <w:spacing w:after="0"/>
        <w:rPr>
          <w:rFonts w:ascii="Verdana" w:hAnsi="Verdana"/>
        </w:rPr>
      </w:pPr>
    </w:p>
    <w:p w14:paraId="7ED53249" w14:textId="77777777" w:rsidR="006A5743" w:rsidRDefault="006A5743" w:rsidP="00E245AB">
      <w:pPr>
        <w:spacing w:after="0"/>
        <w:rPr>
          <w:rFonts w:ascii="Verdana" w:hAnsi="Verdana"/>
        </w:rPr>
      </w:pPr>
    </w:p>
    <w:p w14:paraId="46F1BDC0" w14:textId="77777777" w:rsidR="006A5743" w:rsidRDefault="006A5743" w:rsidP="00E245AB">
      <w:pPr>
        <w:spacing w:after="0"/>
        <w:rPr>
          <w:rFonts w:ascii="Verdana" w:hAnsi="Verdana"/>
        </w:rPr>
      </w:pPr>
    </w:p>
    <w:p w14:paraId="537DD9B2" w14:textId="77777777" w:rsidR="006A5743" w:rsidRDefault="006A5743" w:rsidP="00E245AB">
      <w:pPr>
        <w:spacing w:after="0"/>
        <w:rPr>
          <w:rFonts w:ascii="Verdana" w:hAnsi="Verdana"/>
        </w:rPr>
      </w:pPr>
    </w:p>
    <w:p w14:paraId="33AF1DAF" w14:textId="77777777" w:rsidR="006A5743" w:rsidRDefault="006A5743" w:rsidP="00E245AB">
      <w:pPr>
        <w:spacing w:after="0"/>
        <w:rPr>
          <w:rFonts w:ascii="Verdana" w:hAnsi="Verdana"/>
        </w:rPr>
      </w:pPr>
    </w:p>
    <w:p w14:paraId="43A01058" w14:textId="77777777" w:rsidR="006A5743" w:rsidRDefault="006A5743" w:rsidP="00E245AB">
      <w:pPr>
        <w:spacing w:after="0"/>
        <w:rPr>
          <w:rFonts w:ascii="Verdana" w:hAnsi="Verdana"/>
        </w:rPr>
      </w:pPr>
    </w:p>
    <w:p w14:paraId="07D7F054" w14:textId="77777777" w:rsidR="006A5743" w:rsidRDefault="006A5743" w:rsidP="00E245AB">
      <w:pPr>
        <w:spacing w:after="0"/>
        <w:rPr>
          <w:rFonts w:ascii="Verdana" w:hAnsi="Verdana"/>
        </w:rPr>
      </w:pPr>
    </w:p>
    <w:p w14:paraId="5994CFB4" w14:textId="77777777" w:rsidR="006A5743" w:rsidRDefault="006A5743" w:rsidP="00E245AB">
      <w:pPr>
        <w:spacing w:after="0"/>
        <w:rPr>
          <w:rFonts w:ascii="Verdana" w:hAnsi="Verdana"/>
        </w:rPr>
      </w:pPr>
    </w:p>
    <w:p w14:paraId="0560AFEC" w14:textId="77777777" w:rsidR="006A5743" w:rsidRDefault="006A5743" w:rsidP="00E245AB">
      <w:pPr>
        <w:spacing w:after="0"/>
        <w:rPr>
          <w:rFonts w:ascii="Verdana" w:hAnsi="Verdana"/>
        </w:rPr>
      </w:pPr>
    </w:p>
    <w:p w14:paraId="4AA60C59" w14:textId="77777777" w:rsidR="006A5743" w:rsidRDefault="006A5743" w:rsidP="00E245AB">
      <w:pPr>
        <w:spacing w:after="0"/>
        <w:rPr>
          <w:rFonts w:ascii="Verdana" w:hAnsi="Verdana"/>
        </w:rPr>
      </w:pPr>
    </w:p>
    <w:p w14:paraId="7D76AB37" w14:textId="77777777" w:rsidR="006A5743" w:rsidRDefault="006A5743" w:rsidP="00E245AB">
      <w:pPr>
        <w:spacing w:after="0"/>
        <w:rPr>
          <w:rFonts w:ascii="Verdana" w:hAnsi="Verdana"/>
        </w:rPr>
      </w:pPr>
    </w:p>
    <w:p w14:paraId="0D4A4E9B" w14:textId="77777777" w:rsidR="001901A1" w:rsidRDefault="001901A1" w:rsidP="00E245AB">
      <w:pPr>
        <w:spacing w:after="0"/>
        <w:rPr>
          <w:rFonts w:ascii="Verdana" w:hAnsi="Verdana"/>
        </w:rPr>
      </w:pPr>
    </w:p>
    <w:p w14:paraId="4A28DFE4" w14:textId="77777777" w:rsidR="006A5743" w:rsidRDefault="006A5743" w:rsidP="00E245AB">
      <w:pPr>
        <w:spacing w:after="0"/>
        <w:rPr>
          <w:rFonts w:ascii="Verdana" w:hAnsi="Verdana"/>
        </w:rPr>
      </w:pPr>
    </w:p>
    <w:p w14:paraId="3D39A08B" w14:textId="77777777" w:rsidR="006A5743" w:rsidRDefault="006A5743" w:rsidP="00E245AB">
      <w:pPr>
        <w:spacing w:after="0"/>
        <w:rPr>
          <w:rFonts w:ascii="Verdana" w:hAnsi="Verdana"/>
        </w:rPr>
      </w:pPr>
    </w:p>
    <w:p w14:paraId="7420E40F" w14:textId="77777777" w:rsidR="006A5743" w:rsidRDefault="006A5743" w:rsidP="00E245AB">
      <w:pPr>
        <w:spacing w:after="0"/>
        <w:rPr>
          <w:rFonts w:ascii="Verdana" w:hAnsi="Verdana"/>
        </w:rPr>
      </w:pPr>
    </w:p>
    <w:p w14:paraId="274006F4" w14:textId="1EC74ABF" w:rsidR="00696EA8" w:rsidRPr="009322DA" w:rsidRDefault="00696EA8" w:rsidP="00696EA8">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w:t>
      </w:r>
      <w:r w:rsidR="008046FA">
        <w:rPr>
          <w:rFonts w:ascii="Verdana" w:eastAsia="Geomanist Light" w:hAnsi="Verdana" w:cs="Arial"/>
          <w:lang w:val="es-MX"/>
        </w:rPr>
        <w:t>26 marzo 2025</w:t>
      </w:r>
    </w:p>
    <w:p w14:paraId="5E578FB6" w14:textId="77777777" w:rsidR="00696EA8" w:rsidRDefault="00696EA8" w:rsidP="00696EA8">
      <w:pPr>
        <w:spacing w:after="0" w:line="240" w:lineRule="auto"/>
        <w:jc w:val="both"/>
        <w:rPr>
          <w:rFonts w:ascii="Verdana" w:eastAsia="Calibri" w:hAnsi="Verdana" w:cs="Arial"/>
          <w:lang w:val="es-ES"/>
        </w:rPr>
      </w:pPr>
    </w:p>
    <w:p w14:paraId="6031277C" w14:textId="77777777" w:rsidR="00696EA8" w:rsidRDefault="00696EA8" w:rsidP="00696EA8">
      <w:pPr>
        <w:spacing w:after="0" w:line="240" w:lineRule="auto"/>
        <w:jc w:val="both"/>
        <w:rPr>
          <w:rFonts w:ascii="Verdana" w:eastAsia="Calibri" w:hAnsi="Verdana" w:cs="Arial"/>
          <w:lang w:val="es-ES"/>
        </w:rPr>
      </w:pPr>
    </w:p>
    <w:p w14:paraId="478972A0" w14:textId="0031A625" w:rsidR="007C0D9B" w:rsidRDefault="008046FA" w:rsidP="00187F14">
      <w:pPr>
        <w:spacing w:after="0"/>
        <w:jc w:val="right"/>
        <w:rPr>
          <w:rFonts w:ascii="Verdana" w:hAnsi="Verdana"/>
        </w:rPr>
      </w:pPr>
      <w:r w:rsidRPr="008046FA">
        <w:rPr>
          <w:rFonts w:ascii="Verdana" w:hAnsi="Verdana"/>
        </w:rPr>
        <w:drawing>
          <wp:anchor distT="0" distB="0" distL="114300" distR="114300" simplePos="0" relativeHeight="251658240" behindDoc="0" locked="0" layoutInCell="1" allowOverlap="1" wp14:anchorId="0BBF92D7" wp14:editId="1B05DAAD">
            <wp:simplePos x="0" y="0"/>
            <wp:positionH relativeFrom="column">
              <wp:posOffset>2585085</wp:posOffset>
            </wp:positionH>
            <wp:positionV relativeFrom="paragraph">
              <wp:posOffset>-1270</wp:posOffset>
            </wp:positionV>
            <wp:extent cx="3028335" cy="838200"/>
            <wp:effectExtent l="0" t="0" r="635" b="0"/>
            <wp:wrapSquare wrapText="bothSides"/>
            <wp:docPr id="2120424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2413" name=""/>
                    <pic:cNvPicPr/>
                  </pic:nvPicPr>
                  <pic:blipFill>
                    <a:blip r:embed="rId11">
                      <a:extLst>
                        <a:ext uri="{28A0092B-C50C-407E-A947-70E740481C1C}">
                          <a14:useLocalDpi xmlns:a14="http://schemas.microsoft.com/office/drawing/2010/main" val="0"/>
                        </a:ext>
                      </a:extLst>
                    </a:blip>
                    <a:stretch>
                      <a:fillRect/>
                    </a:stretch>
                  </pic:blipFill>
                  <pic:spPr>
                    <a:xfrm>
                      <a:off x="0" y="0"/>
                      <a:ext cx="3028335" cy="838200"/>
                    </a:xfrm>
                    <a:prstGeom prst="rect">
                      <a:avLst/>
                    </a:prstGeom>
                  </pic:spPr>
                </pic:pic>
              </a:graphicData>
            </a:graphic>
          </wp:anchor>
        </w:drawing>
      </w:r>
    </w:p>
    <w:p w14:paraId="5B56D098" w14:textId="77777777" w:rsidR="00187F14" w:rsidRDefault="00187F14" w:rsidP="000B674C">
      <w:pPr>
        <w:spacing w:after="0" w:line="240" w:lineRule="auto"/>
        <w:jc w:val="both"/>
        <w:rPr>
          <w:rFonts w:ascii="Verdana" w:eastAsia="Calibri" w:hAnsi="Verdana" w:cs="Arial"/>
          <w:lang w:val="es-ES" w:eastAsia="es-ES"/>
        </w:rPr>
      </w:pPr>
    </w:p>
    <w:p w14:paraId="7328E166" w14:textId="5DA844D1" w:rsidR="000B674C" w:rsidRPr="00733300" w:rsidRDefault="000B674C" w:rsidP="000B674C">
      <w:pPr>
        <w:spacing w:after="0" w:line="240" w:lineRule="auto"/>
        <w:jc w:val="both"/>
        <w:rPr>
          <w:rFonts w:ascii="Verdana" w:eastAsia="Calibri" w:hAnsi="Verdana" w:cs="Arial"/>
          <w:lang w:eastAsia="es-ES"/>
        </w:rPr>
      </w:pPr>
      <w:r w:rsidRPr="00733300">
        <w:rPr>
          <w:rFonts w:ascii="Verdana" w:eastAsia="Calibri" w:hAnsi="Verdana" w:cs="Arial"/>
          <w:lang w:eastAsia="es-ES"/>
        </w:rPr>
        <w:t>Señor</w:t>
      </w:r>
      <w:r w:rsidR="00EB0C3A">
        <w:rPr>
          <w:rFonts w:ascii="Verdana" w:eastAsia="Calibri" w:hAnsi="Verdana" w:cs="Arial"/>
          <w:lang w:eastAsia="es-ES"/>
        </w:rPr>
        <w:t>es</w:t>
      </w:r>
      <w:r w:rsidRPr="00733300">
        <w:rPr>
          <w:rFonts w:ascii="Verdana" w:eastAsia="Calibri" w:hAnsi="Verdana" w:cs="Arial"/>
          <w:lang w:eastAsia="es-ES"/>
        </w:rPr>
        <w:t>:</w:t>
      </w:r>
    </w:p>
    <w:p w14:paraId="02DF4DC0" w14:textId="77777777" w:rsidR="00954AB1" w:rsidRDefault="00EB0C3A" w:rsidP="00A46CB3">
      <w:pPr>
        <w:spacing w:after="0" w:line="240" w:lineRule="auto"/>
        <w:rPr>
          <w:rFonts w:ascii="Verdana" w:eastAsia="Calibri" w:hAnsi="Verdana" w:cs="Arial"/>
          <w:b/>
          <w:lang w:eastAsia="es-ES"/>
        </w:rPr>
      </w:pPr>
      <w:r w:rsidRPr="00EB0C3A">
        <w:rPr>
          <w:rFonts w:ascii="Verdana" w:eastAsia="Calibri" w:hAnsi="Verdana" w:cs="Arial"/>
          <w:b/>
          <w:lang w:eastAsia="es-ES"/>
        </w:rPr>
        <w:t>DOTACIONES Y SUMINISTROS DE COLOMBIA</w:t>
      </w:r>
    </w:p>
    <w:p w14:paraId="6030F06D" w14:textId="5D13390A" w:rsidR="006470A4" w:rsidRDefault="006470A4" w:rsidP="000B674C">
      <w:pPr>
        <w:spacing w:after="0" w:line="240" w:lineRule="auto"/>
        <w:rPr>
          <w:rFonts w:ascii="Verdana" w:eastAsia="Calibri" w:hAnsi="Verdana" w:cs="Arial"/>
          <w:b/>
          <w:lang w:eastAsia="es-ES"/>
        </w:rPr>
      </w:pPr>
      <w:hyperlink r:id="rId12" w:history="1">
        <w:r w:rsidRPr="005F7E8C">
          <w:rPr>
            <w:rStyle w:val="Hipervnculo"/>
            <w:rFonts w:ascii="Verdana" w:eastAsia="Calibri" w:hAnsi="Verdana" w:cs="Arial"/>
            <w:b/>
            <w:lang w:eastAsia="es-ES"/>
          </w:rPr>
          <w:t>dotacionesysuministrosdecolombia@outlook.com</w:t>
        </w:r>
      </w:hyperlink>
    </w:p>
    <w:p w14:paraId="7D898DEE" w14:textId="14242BE6" w:rsidR="000B674C" w:rsidRDefault="006470A4" w:rsidP="000B674C">
      <w:pPr>
        <w:spacing w:after="0" w:line="240" w:lineRule="auto"/>
        <w:rPr>
          <w:rFonts w:ascii="Verdana" w:eastAsia="Calibri" w:hAnsi="Verdana" w:cs="Arial"/>
          <w:b/>
          <w:bCs/>
          <w:highlight w:val="cyan"/>
          <w:lang w:val="es-ES_tradnl" w:eastAsia="es-ES_tradnl"/>
        </w:rPr>
      </w:pPr>
      <w:r>
        <w:rPr>
          <w:rFonts w:ascii="Verdana" w:hAnsi="Verdana"/>
          <w:lang w:val="it-IT"/>
        </w:rPr>
        <w:t>Bogotá, D.C</w:t>
      </w:r>
      <w:r w:rsidR="00A46CB3">
        <w:rPr>
          <w:rFonts w:ascii="Verdana" w:hAnsi="Verdana"/>
          <w:lang w:val="it-IT"/>
        </w:rPr>
        <w:t>.</w:t>
      </w:r>
    </w:p>
    <w:p w14:paraId="5EC4D363" w14:textId="77777777" w:rsidR="007C0D9B" w:rsidRPr="00C02F37" w:rsidRDefault="007C0D9B" w:rsidP="000B674C">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29"/>
        <w:gridCol w:w="6760"/>
      </w:tblGrid>
      <w:tr w:rsidR="000B674C" w:rsidRPr="00C02F37" w14:paraId="3DD9F211" w14:textId="77777777" w:rsidTr="00252124">
        <w:trPr>
          <w:trHeight w:val="747"/>
        </w:trPr>
        <w:tc>
          <w:tcPr>
            <w:tcW w:w="2029" w:type="dxa"/>
          </w:tcPr>
          <w:p w14:paraId="2116CFCF" w14:textId="77777777" w:rsidR="000B674C" w:rsidRPr="00C02F37" w:rsidRDefault="000B674C" w:rsidP="00252124">
            <w:pPr>
              <w:jc w:val="both"/>
              <w:rPr>
                <w:rFonts w:ascii="Verdana" w:eastAsia="Calibri" w:hAnsi="Verdana" w:cs="Arial"/>
                <w:b/>
                <w:bCs/>
                <w:highlight w:val="cyan"/>
                <w:lang w:val="es-ES_tradnl" w:eastAsia="es-ES_tradnl"/>
              </w:rPr>
            </w:pPr>
          </w:p>
        </w:tc>
        <w:tc>
          <w:tcPr>
            <w:tcW w:w="6760" w:type="dxa"/>
          </w:tcPr>
          <w:p w14:paraId="032F04DB" w14:textId="4B9D5495" w:rsidR="000B674C" w:rsidRPr="00C02F37" w:rsidRDefault="000B674C" w:rsidP="00252124">
            <w:pPr>
              <w:jc w:val="both"/>
              <w:rPr>
                <w:rFonts w:ascii="Verdana" w:eastAsia="Calibri" w:hAnsi="Verdana" w:cs="Arial"/>
                <w:b/>
                <w:bCs/>
                <w:highlight w:val="cyan"/>
                <w:lang w:val="es-ES" w:eastAsia="es-ES"/>
              </w:rPr>
            </w:pPr>
            <w:r w:rsidRPr="00C02F37">
              <w:rPr>
                <w:rFonts w:ascii="Verdana" w:eastAsia="Calibri" w:hAnsi="Verdana" w:cs="Arial"/>
                <w:b/>
                <w:bCs/>
                <w:lang w:val="es-ES" w:eastAsia="es-ES"/>
              </w:rPr>
              <w:t xml:space="preserve">Concepto </w:t>
            </w:r>
            <w:r w:rsidR="00593EC7" w:rsidRPr="00C02F37">
              <w:rPr>
                <w:rFonts w:ascii="Verdana" w:eastAsia="Calibri" w:hAnsi="Verdana" w:cs="Arial"/>
                <w:b/>
                <w:bCs/>
                <w:lang w:eastAsia="es-ES"/>
              </w:rPr>
              <w:t>C-</w:t>
            </w:r>
            <w:r w:rsidR="004A4E23">
              <w:rPr>
                <w:rFonts w:ascii="Verdana" w:eastAsia="Calibri" w:hAnsi="Verdana" w:cs="Arial"/>
                <w:b/>
                <w:bCs/>
                <w:lang w:eastAsia="es-ES"/>
              </w:rPr>
              <w:t>252</w:t>
            </w:r>
            <w:r w:rsidR="00733300" w:rsidRPr="00C02F37">
              <w:rPr>
                <w:rFonts w:ascii="Verdana" w:eastAsia="Calibri" w:hAnsi="Verdana" w:cs="Arial"/>
                <w:b/>
                <w:bCs/>
                <w:lang w:eastAsia="es-ES"/>
              </w:rPr>
              <w:t xml:space="preserve"> </w:t>
            </w:r>
            <w:r w:rsidRPr="00C02F37">
              <w:rPr>
                <w:rFonts w:ascii="Verdana" w:eastAsia="Calibri" w:hAnsi="Verdana" w:cs="Arial"/>
                <w:b/>
                <w:bCs/>
                <w:lang w:val="es-ES" w:eastAsia="es-ES"/>
              </w:rPr>
              <w:t>de 202</w:t>
            </w:r>
            <w:r w:rsidR="00A46CB3">
              <w:rPr>
                <w:rFonts w:ascii="Verdana" w:eastAsia="Calibri" w:hAnsi="Verdana" w:cs="Arial"/>
                <w:b/>
                <w:bCs/>
                <w:lang w:val="es-ES" w:eastAsia="es-ES"/>
              </w:rPr>
              <w:t>5</w:t>
            </w:r>
          </w:p>
        </w:tc>
      </w:tr>
      <w:tr w:rsidR="000B674C" w:rsidRPr="00C02F37" w14:paraId="5522764A" w14:textId="77777777" w:rsidTr="00252124">
        <w:trPr>
          <w:trHeight w:val="884"/>
        </w:trPr>
        <w:tc>
          <w:tcPr>
            <w:tcW w:w="2029" w:type="dxa"/>
            <w:shd w:val="clear" w:color="auto" w:fill="auto"/>
          </w:tcPr>
          <w:p w14:paraId="6D284BF8" w14:textId="77777777" w:rsidR="000B674C" w:rsidRPr="00C02F37" w:rsidRDefault="000B674C" w:rsidP="00252124">
            <w:pPr>
              <w:jc w:val="both"/>
              <w:rPr>
                <w:rFonts w:ascii="Verdana" w:eastAsia="Calibri" w:hAnsi="Verdana" w:cs="Arial"/>
                <w:b/>
                <w:lang w:val="es-ES_tradnl" w:eastAsia="es-ES_tradnl"/>
              </w:rPr>
            </w:pPr>
            <w:r w:rsidRPr="00C02F37">
              <w:rPr>
                <w:rFonts w:ascii="Verdana" w:eastAsia="Calibri" w:hAnsi="Verdana" w:cs="Arial"/>
                <w:b/>
                <w:lang w:val="es-ES_tradnl" w:eastAsia="es-ES_tradnl"/>
              </w:rPr>
              <w:t xml:space="preserve">Temas:                   </w:t>
            </w:r>
          </w:p>
        </w:tc>
        <w:tc>
          <w:tcPr>
            <w:tcW w:w="6760" w:type="dxa"/>
            <w:shd w:val="clear" w:color="auto" w:fill="auto"/>
          </w:tcPr>
          <w:p w14:paraId="66EEDF79" w14:textId="77777777" w:rsidR="00002676" w:rsidRDefault="00EF710B" w:rsidP="00252124">
            <w:pPr>
              <w:spacing w:line="276" w:lineRule="auto"/>
              <w:jc w:val="both"/>
              <w:rPr>
                <w:rFonts w:ascii="Verdana" w:eastAsia="Times New Roman" w:hAnsi="Verdana" w:cs="Arial"/>
                <w:lang w:eastAsia="es-ES_tradnl"/>
              </w:rPr>
            </w:pPr>
            <w:r w:rsidRPr="00624CCD">
              <w:rPr>
                <w:rFonts w:ascii="Verdana" w:eastAsia="Times New Roman" w:hAnsi="Verdana" w:cs="Arial"/>
                <w:lang w:eastAsia="es-ES_tradnl"/>
              </w:rPr>
              <w:t>PROMOCIÓN AL DESARROLLO – Ley 2069 de 2020 – Artículo 34 / CONVOCATORIAS LIMITADAS A MIPYMES NACIONALES – Requisitos / CONVOCATORIAS LIMITADAS A MIPYMES EN EL ÁMBITO TERRITORIAL – Limitación territorial – Facultad discrecional CONVOCATORIAS LIMITADAS A MIPYMES EN EL ÁMBITO TERRITORIAL – Presupuestos mínimos – Análisis del sector – Mecanismos de control / CONVOCATORIAS LIMITADAS A MIPYMES EN EL ÁMBITO TERRITORIAL – Práctica restrictiva</w:t>
            </w:r>
            <w:r>
              <w:rPr>
                <w:rFonts w:ascii="Verdana" w:eastAsia="Times New Roman" w:hAnsi="Verdana" w:cs="Arial"/>
                <w:lang w:eastAsia="es-ES_tradnl"/>
              </w:rPr>
              <w:t>.</w:t>
            </w:r>
          </w:p>
          <w:p w14:paraId="3DF7591D" w14:textId="771F6463" w:rsidR="00EF710B" w:rsidRPr="00C02F37" w:rsidRDefault="00EF710B" w:rsidP="00252124">
            <w:pPr>
              <w:spacing w:line="276" w:lineRule="auto"/>
              <w:jc w:val="both"/>
              <w:rPr>
                <w:rFonts w:ascii="Verdana" w:eastAsia="Century Gothic" w:hAnsi="Verdana" w:cs="Century Gothic"/>
                <w:bCs/>
                <w:lang w:val="es-MX"/>
              </w:rPr>
            </w:pPr>
          </w:p>
        </w:tc>
      </w:tr>
      <w:tr w:rsidR="000B674C" w:rsidRPr="00C02F37" w14:paraId="1DC5723F" w14:textId="77777777" w:rsidTr="00252124">
        <w:trPr>
          <w:trHeight w:val="80"/>
        </w:trPr>
        <w:tc>
          <w:tcPr>
            <w:tcW w:w="2029" w:type="dxa"/>
            <w:shd w:val="clear" w:color="auto" w:fill="auto"/>
          </w:tcPr>
          <w:p w14:paraId="2620DD09" w14:textId="77777777" w:rsidR="000B674C" w:rsidRPr="00C02F37" w:rsidRDefault="000B674C" w:rsidP="00252124">
            <w:pPr>
              <w:jc w:val="both"/>
              <w:rPr>
                <w:rFonts w:ascii="Verdana" w:eastAsia="Calibri" w:hAnsi="Verdana" w:cs="Arial"/>
                <w:b/>
                <w:lang w:val="es-ES_tradnl" w:eastAsia="es-ES_tradnl"/>
              </w:rPr>
            </w:pPr>
            <w:r w:rsidRPr="00C02F37">
              <w:rPr>
                <w:rFonts w:ascii="Verdana" w:eastAsia="Calibri" w:hAnsi="Verdana" w:cs="Arial"/>
                <w:b/>
                <w:lang w:val="es-ES_tradnl" w:eastAsia="es-ES_tradnl"/>
              </w:rPr>
              <w:t>Radicación:</w:t>
            </w:r>
            <w:r w:rsidRPr="00C02F37">
              <w:rPr>
                <w:rFonts w:ascii="Verdana" w:eastAsia="Calibri" w:hAnsi="Verdana" w:cs="Arial"/>
                <w:lang w:val="es-ES_tradnl" w:eastAsia="es-ES_tradnl"/>
              </w:rPr>
              <w:t xml:space="preserve">               </w:t>
            </w:r>
          </w:p>
        </w:tc>
        <w:tc>
          <w:tcPr>
            <w:tcW w:w="6760" w:type="dxa"/>
            <w:shd w:val="clear" w:color="auto" w:fill="auto"/>
          </w:tcPr>
          <w:p w14:paraId="55CC682D" w14:textId="1C292C00" w:rsidR="000B674C" w:rsidRPr="00C02F37" w:rsidRDefault="000B674C" w:rsidP="00252124">
            <w:pPr>
              <w:jc w:val="both"/>
              <w:rPr>
                <w:rFonts w:ascii="Verdana" w:eastAsia="Calibri" w:hAnsi="Verdana" w:cs="Arial"/>
                <w:lang w:eastAsia="es-ES_tradnl"/>
              </w:rPr>
            </w:pPr>
            <w:r w:rsidRPr="00C02F37">
              <w:rPr>
                <w:rFonts w:ascii="Verdana" w:eastAsia="Calibri" w:hAnsi="Verdana" w:cs="Arial"/>
                <w:lang w:val="es-ES_tradnl" w:eastAsia="es-ES_tradnl"/>
              </w:rPr>
              <w:t xml:space="preserve">Respuesta a consulta con radicado No. </w:t>
            </w:r>
            <w:r w:rsidR="00C4664D" w:rsidRPr="00C4664D">
              <w:rPr>
                <w:rFonts w:ascii="Verdana" w:eastAsia="Calibri" w:hAnsi="Verdana" w:cs="Arial"/>
                <w:lang w:eastAsia="es-ES_tradnl"/>
              </w:rPr>
              <w:t>P20250227001917</w:t>
            </w:r>
            <w:r w:rsidR="00B33D8A" w:rsidRPr="00C02F37">
              <w:rPr>
                <w:rFonts w:ascii="Verdana" w:eastAsia="Calibri" w:hAnsi="Verdana" w:cs="Arial"/>
                <w:lang w:eastAsia="es-ES_tradnl"/>
              </w:rPr>
              <w:t>.</w:t>
            </w:r>
          </w:p>
        </w:tc>
      </w:tr>
    </w:tbl>
    <w:p w14:paraId="3ABCA3F1" w14:textId="77777777" w:rsidR="000B674C" w:rsidRDefault="000B674C" w:rsidP="000B674C">
      <w:pPr>
        <w:spacing w:after="0" w:line="240" w:lineRule="auto"/>
        <w:jc w:val="both"/>
        <w:rPr>
          <w:rFonts w:ascii="Verdana" w:eastAsia="Calibri" w:hAnsi="Verdana" w:cs="Arial"/>
          <w:lang w:val="es-ES_tradnl" w:eastAsia="es-ES_tradnl"/>
        </w:rPr>
      </w:pPr>
    </w:p>
    <w:p w14:paraId="71EA3235" w14:textId="27D1FE41" w:rsidR="000B674C" w:rsidRDefault="000B674C" w:rsidP="000B674C">
      <w:pPr>
        <w:spacing w:after="0" w:line="240" w:lineRule="auto"/>
        <w:jc w:val="both"/>
        <w:rPr>
          <w:rFonts w:ascii="Verdana" w:eastAsia="Calibri" w:hAnsi="Verdana" w:cs="Arial"/>
          <w:lang w:val="es-ES_tradnl" w:eastAsia="es-ES_tradnl"/>
        </w:rPr>
      </w:pPr>
    </w:p>
    <w:p w14:paraId="40951D68" w14:textId="45F8DCE1" w:rsidR="000B674C" w:rsidRPr="00C02F37" w:rsidRDefault="000B674C" w:rsidP="000B674C">
      <w:pPr>
        <w:spacing w:after="0" w:line="276" w:lineRule="auto"/>
        <w:jc w:val="both"/>
        <w:rPr>
          <w:rFonts w:ascii="Verdana" w:eastAsia="Calibri" w:hAnsi="Verdana" w:cs="Arial"/>
          <w:lang w:val="es-ES" w:eastAsia="es-ES"/>
        </w:rPr>
      </w:pPr>
      <w:r w:rsidRPr="00C02F37">
        <w:rPr>
          <w:rFonts w:ascii="Verdana" w:eastAsia="Calibri" w:hAnsi="Verdana" w:cs="Arial"/>
          <w:lang w:val="es-ES" w:eastAsia="es-ES"/>
        </w:rPr>
        <w:t>Estimad</w:t>
      </w:r>
      <w:r w:rsidR="001C1254">
        <w:rPr>
          <w:rFonts w:ascii="Verdana" w:eastAsia="Calibri" w:hAnsi="Verdana" w:cs="Arial"/>
          <w:lang w:val="es-ES" w:eastAsia="es-ES"/>
        </w:rPr>
        <w:t>o</w:t>
      </w:r>
      <w:r w:rsidR="00AE350C">
        <w:rPr>
          <w:rFonts w:ascii="Verdana" w:eastAsia="Calibri" w:hAnsi="Verdana" w:cs="Arial"/>
          <w:lang w:val="es-ES" w:eastAsia="es-ES"/>
        </w:rPr>
        <w:t>s</w:t>
      </w:r>
      <w:r w:rsidRPr="00C02F37">
        <w:rPr>
          <w:rFonts w:ascii="Verdana" w:eastAsia="Calibri" w:hAnsi="Verdana" w:cs="Arial"/>
          <w:lang w:val="es-ES" w:eastAsia="es-ES"/>
        </w:rPr>
        <w:t xml:space="preserve"> señor</w:t>
      </w:r>
      <w:r w:rsidR="00E60EBA">
        <w:rPr>
          <w:rFonts w:ascii="Verdana" w:eastAsia="Calibri" w:hAnsi="Verdana" w:cs="Arial"/>
          <w:lang w:val="es-ES" w:eastAsia="es-ES"/>
        </w:rPr>
        <w:t xml:space="preserve">es </w:t>
      </w:r>
      <w:r w:rsidR="00904A8A">
        <w:rPr>
          <w:rFonts w:ascii="Verdana" w:eastAsia="Calibri" w:hAnsi="Verdana" w:cs="Arial"/>
          <w:lang w:val="es-ES" w:eastAsia="es-ES"/>
        </w:rPr>
        <w:t>D</w:t>
      </w:r>
      <w:r w:rsidR="00904A8A" w:rsidRPr="00E60EBA">
        <w:rPr>
          <w:rFonts w:ascii="Verdana" w:eastAsia="Calibri" w:hAnsi="Verdana" w:cs="Arial"/>
          <w:lang w:val="es-ES" w:eastAsia="es-ES"/>
        </w:rPr>
        <w:t xml:space="preserve">otaciones y </w:t>
      </w:r>
      <w:r w:rsidR="00904A8A">
        <w:rPr>
          <w:rFonts w:ascii="Verdana" w:eastAsia="Calibri" w:hAnsi="Verdana" w:cs="Arial"/>
          <w:lang w:val="es-ES" w:eastAsia="es-ES"/>
        </w:rPr>
        <w:t>S</w:t>
      </w:r>
      <w:r w:rsidR="00904A8A" w:rsidRPr="00E60EBA">
        <w:rPr>
          <w:rFonts w:ascii="Verdana" w:eastAsia="Calibri" w:hAnsi="Verdana" w:cs="Arial"/>
          <w:lang w:val="es-ES" w:eastAsia="es-ES"/>
        </w:rPr>
        <w:t xml:space="preserve">uministros de </w:t>
      </w:r>
      <w:r w:rsidR="00904A8A">
        <w:rPr>
          <w:rFonts w:ascii="Verdana" w:eastAsia="Calibri" w:hAnsi="Verdana" w:cs="Arial"/>
          <w:lang w:val="es-ES" w:eastAsia="es-ES"/>
        </w:rPr>
        <w:t>C</w:t>
      </w:r>
      <w:r w:rsidR="00904A8A" w:rsidRPr="00E60EBA">
        <w:rPr>
          <w:rFonts w:ascii="Verdana" w:eastAsia="Calibri" w:hAnsi="Verdana" w:cs="Arial"/>
          <w:lang w:val="es-ES" w:eastAsia="es-ES"/>
        </w:rPr>
        <w:t>olombia</w:t>
      </w:r>
      <w:r w:rsidR="00904A8A" w:rsidRPr="00C02F37">
        <w:rPr>
          <w:rFonts w:ascii="Verdana" w:eastAsia="Calibri" w:hAnsi="Verdana" w:cs="Arial"/>
          <w:lang w:val="es-ES" w:eastAsia="es-ES"/>
        </w:rPr>
        <w:t>;</w:t>
      </w:r>
    </w:p>
    <w:p w14:paraId="3395E5E4" w14:textId="77777777" w:rsidR="000B674C" w:rsidRPr="00C02F37" w:rsidRDefault="000B674C" w:rsidP="000B674C">
      <w:pPr>
        <w:tabs>
          <w:tab w:val="left" w:pos="3768"/>
        </w:tabs>
        <w:spacing w:after="0" w:line="276" w:lineRule="auto"/>
        <w:jc w:val="both"/>
        <w:rPr>
          <w:rFonts w:ascii="Verdana" w:eastAsia="Calibri" w:hAnsi="Verdana" w:cs="Arial"/>
          <w:highlight w:val="cyan"/>
          <w:lang w:val="es-ES" w:eastAsia="es-ES"/>
        </w:rPr>
      </w:pPr>
    </w:p>
    <w:p w14:paraId="18A11DC5" w14:textId="77777777" w:rsidR="000B674C" w:rsidRPr="00C02F37" w:rsidRDefault="000B674C" w:rsidP="000B674C">
      <w:pPr>
        <w:spacing w:after="0" w:line="276" w:lineRule="auto"/>
        <w:jc w:val="both"/>
        <w:rPr>
          <w:rFonts w:ascii="Verdana" w:eastAsia="Calibri" w:hAnsi="Verdana" w:cs="Arial"/>
          <w:lang w:val="es-ES" w:eastAsia="es-ES"/>
        </w:rPr>
      </w:pPr>
      <w:r w:rsidRPr="00C02F37">
        <w:rPr>
          <w:rFonts w:ascii="Verdana" w:eastAsia="Calibri" w:hAnsi="Verdana" w:cs="Arial"/>
          <w:lang w:val="es-ES" w:eastAsia="es-ES"/>
        </w:rPr>
        <w:t>En ejercicio de la competencia otorgada por los artículos 3, numeral 5º, y 11, numeral 8º, del Decreto Ley 4170 de 2011,</w:t>
      </w:r>
      <w:r w:rsidRPr="00C02F37">
        <w:rPr>
          <w:rFonts w:ascii="Verdana" w:eastAsia="Arial MT" w:hAnsi="Verdana" w:cs="Arial MT"/>
          <w:lang w:val="es-ES" w:eastAsia="es-ES"/>
        </w:rPr>
        <w:t xml:space="preserve"> </w:t>
      </w:r>
      <w:r w:rsidRPr="00C02F37">
        <w:rPr>
          <w:rFonts w:ascii="Verdana" w:hAnsi="Verdana" w:cs="Arial"/>
        </w:rPr>
        <w:t xml:space="preserve">así como lo establecido en el artículo 4 de la Resolución 1707 de 2018 expedida por esta Entidad, </w:t>
      </w:r>
      <w:r w:rsidRPr="00C02F37">
        <w:rPr>
          <w:rFonts w:ascii="Verdana" w:eastAsia="Calibri" w:hAnsi="Verdana" w:cs="Arial"/>
          <w:lang w:val="es-ES" w:eastAsia="es-ES"/>
        </w:rPr>
        <w:t xml:space="preserve">la Agencia Nacional de Contratación Pública – Colombia Compra Eficiente– responde su solicitud de consulta de fecha 18 de diciembre del 2024, en la cual manifiesta lo siguiente: </w:t>
      </w:r>
    </w:p>
    <w:p w14:paraId="7B118A69" w14:textId="77777777" w:rsidR="00101153" w:rsidRPr="00C02F37" w:rsidRDefault="00101153" w:rsidP="00383B09">
      <w:pPr>
        <w:spacing w:after="0" w:line="240" w:lineRule="auto"/>
        <w:jc w:val="both"/>
        <w:rPr>
          <w:rFonts w:ascii="Verdana" w:hAnsi="Verdana"/>
          <w:highlight w:val="cyan"/>
          <w:lang w:val="es-ES"/>
        </w:rPr>
      </w:pPr>
    </w:p>
    <w:p w14:paraId="395E73E7" w14:textId="3CEF3652" w:rsidR="006B3EDE" w:rsidRPr="006B3EDE" w:rsidRDefault="000B674C" w:rsidP="002859F2">
      <w:pPr>
        <w:spacing w:after="0" w:line="240" w:lineRule="auto"/>
        <w:ind w:left="709" w:right="709"/>
        <w:jc w:val="both"/>
        <w:rPr>
          <w:rFonts w:ascii="Verdana" w:eastAsia="Century Gothic" w:hAnsi="Verdana" w:cs="Century Gothic"/>
          <w:sz w:val="20"/>
          <w:szCs w:val="20"/>
          <w:lang w:val="es-ES"/>
        </w:rPr>
      </w:pPr>
      <w:r w:rsidRPr="00C02F37">
        <w:rPr>
          <w:rFonts w:ascii="Verdana" w:eastAsia="Century Gothic" w:hAnsi="Verdana" w:cs="Century Gothic"/>
          <w:sz w:val="20"/>
          <w:szCs w:val="20"/>
          <w:lang w:val="es-ES"/>
        </w:rPr>
        <w:t xml:space="preserve">“[…] </w:t>
      </w:r>
    </w:p>
    <w:p w14:paraId="16615559" w14:textId="61F1C1FA" w:rsidR="006B3EDE" w:rsidRPr="006B3EDE" w:rsidRDefault="006B3EDE" w:rsidP="006B3EDE">
      <w:pPr>
        <w:spacing w:after="0" w:line="240" w:lineRule="auto"/>
        <w:ind w:left="709" w:right="709"/>
        <w:jc w:val="both"/>
        <w:rPr>
          <w:rFonts w:ascii="Verdana" w:eastAsia="Century Gothic" w:hAnsi="Verdana" w:cs="Century Gothic"/>
          <w:sz w:val="20"/>
          <w:szCs w:val="20"/>
          <w:lang w:val="es-ES"/>
        </w:rPr>
      </w:pPr>
      <w:r w:rsidRPr="006B3EDE">
        <w:rPr>
          <w:rFonts w:ascii="Verdana" w:eastAsia="Century Gothic" w:hAnsi="Verdana" w:cs="Century Gothic"/>
          <w:sz w:val="20"/>
          <w:szCs w:val="20"/>
          <w:lang w:val="es-ES"/>
        </w:rPr>
        <w:t>En un Proceso de Contratación con la Alcaldía Municipal de Nuevo colon,</w:t>
      </w:r>
      <w:r w:rsidR="009714FF">
        <w:rPr>
          <w:rFonts w:ascii="Verdana" w:eastAsia="Century Gothic" w:hAnsi="Verdana" w:cs="Century Gothic"/>
          <w:sz w:val="20"/>
          <w:szCs w:val="20"/>
          <w:lang w:val="es-ES"/>
        </w:rPr>
        <w:t xml:space="preserve"> </w:t>
      </w:r>
      <w:r w:rsidRPr="006B3EDE">
        <w:rPr>
          <w:rFonts w:ascii="Verdana" w:eastAsia="Century Gothic" w:hAnsi="Verdana" w:cs="Century Gothic"/>
          <w:sz w:val="20"/>
          <w:szCs w:val="20"/>
          <w:lang w:val="es-ES"/>
        </w:rPr>
        <w:t xml:space="preserve">Limitaron el Proceso a </w:t>
      </w:r>
      <w:proofErr w:type="spellStart"/>
      <w:r w:rsidRPr="006B3EDE">
        <w:rPr>
          <w:rFonts w:ascii="Verdana" w:eastAsia="Century Gothic" w:hAnsi="Verdana" w:cs="Century Gothic"/>
          <w:sz w:val="20"/>
          <w:szCs w:val="20"/>
          <w:lang w:val="es-ES"/>
        </w:rPr>
        <w:t>Mipymes</w:t>
      </w:r>
      <w:proofErr w:type="spellEnd"/>
      <w:r w:rsidRPr="006B3EDE">
        <w:rPr>
          <w:rFonts w:ascii="Verdana" w:eastAsia="Century Gothic" w:hAnsi="Verdana" w:cs="Century Gothic"/>
          <w:sz w:val="20"/>
          <w:szCs w:val="20"/>
          <w:lang w:val="es-ES"/>
        </w:rPr>
        <w:t xml:space="preserve"> Departamentales siendo que no se presentaron solicitudes de Limitación a </w:t>
      </w:r>
      <w:proofErr w:type="spellStart"/>
      <w:r w:rsidRPr="006B3EDE">
        <w:rPr>
          <w:rFonts w:ascii="Verdana" w:eastAsia="Century Gothic" w:hAnsi="Verdana" w:cs="Century Gothic"/>
          <w:sz w:val="20"/>
          <w:szCs w:val="20"/>
          <w:lang w:val="es-ES"/>
        </w:rPr>
        <w:t>Mipymes</w:t>
      </w:r>
      <w:proofErr w:type="spellEnd"/>
      <w:r w:rsidRPr="006B3EDE">
        <w:rPr>
          <w:rFonts w:ascii="Verdana" w:eastAsia="Century Gothic" w:hAnsi="Verdana" w:cs="Century Gothic"/>
          <w:sz w:val="20"/>
          <w:szCs w:val="20"/>
          <w:lang w:val="es-ES"/>
        </w:rPr>
        <w:t xml:space="preserve"> por parte de ningún proponente. </w:t>
      </w:r>
    </w:p>
    <w:p w14:paraId="2F13E5B7" w14:textId="77777777" w:rsidR="006B3EDE" w:rsidRPr="006B3EDE" w:rsidRDefault="006B3EDE" w:rsidP="006B3EDE">
      <w:pPr>
        <w:spacing w:after="0" w:line="240" w:lineRule="auto"/>
        <w:ind w:left="709" w:right="709"/>
        <w:jc w:val="both"/>
        <w:rPr>
          <w:rFonts w:ascii="Verdana" w:eastAsia="Century Gothic" w:hAnsi="Verdana" w:cs="Century Gothic"/>
          <w:sz w:val="20"/>
          <w:szCs w:val="20"/>
          <w:lang w:val="es-ES"/>
        </w:rPr>
      </w:pPr>
      <w:r w:rsidRPr="006B3EDE">
        <w:rPr>
          <w:rFonts w:ascii="Verdana" w:eastAsia="Century Gothic" w:hAnsi="Verdana" w:cs="Century Gothic"/>
          <w:sz w:val="20"/>
          <w:szCs w:val="20"/>
          <w:lang w:val="es-ES"/>
        </w:rPr>
        <w:t xml:space="preserve">Adjunto encuentran evidencia </w:t>
      </w:r>
    </w:p>
    <w:p w14:paraId="0CFF0C47" w14:textId="2CE2174B" w:rsidR="003D1F39" w:rsidRDefault="006B3EDE" w:rsidP="002C1E4C">
      <w:pPr>
        <w:spacing w:after="0" w:line="240" w:lineRule="auto"/>
        <w:ind w:left="709" w:right="709"/>
        <w:jc w:val="both"/>
        <w:rPr>
          <w:rFonts w:ascii="Verdana" w:eastAsia="Century Gothic" w:hAnsi="Verdana" w:cs="Century Gothic"/>
          <w:sz w:val="20"/>
          <w:szCs w:val="20"/>
          <w:lang w:val="es-ES"/>
        </w:rPr>
      </w:pPr>
      <w:r w:rsidRPr="006B3EDE">
        <w:rPr>
          <w:rFonts w:ascii="Verdana" w:eastAsia="Century Gothic" w:hAnsi="Verdana" w:cs="Century Gothic"/>
          <w:sz w:val="20"/>
          <w:szCs w:val="20"/>
          <w:lang w:val="es-ES"/>
        </w:rPr>
        <w:lastRenderedPageBreak/>
        <w:t xml:space="preserve">Mi pregunta es: se puede Limitar un proceso a </w:t>
      </w:r>
      <w:proofErr w:type="spellStart"/>
      <w:r w:rsidRPr="006B3EDE">
        <w:rPr>
          <w:rFonts w:ascii="Verdana" w:eastAsia="Century Gothic" w:hAnsi="Verdana" w:cs="Century Gothic"/>
          <w:sz w:val="20"/>
          <w:szCs w:val="20"/>
          <w:lang w:val="es-ES"/>
        </w:rPr>
        <w:t>Mipymes</w:t>
      </w:r>
      <w:proofErr w:type="spellEnd"/>
      <w:r w:rsidRPr="006B3EDE">
        <w:rPr>
          <w:rFonts w:ascii="Verdana" w:eastAsia="Century Gothic" w:hAnsi="Verdana" w:cs="Century Gothic"/>
          <w:sz w:val="20"/>
          <w:szCs w:val="20"/>
          <w:lang w:val="es-ES"/>
        </w:rPr>
        <w:t xml:space="preserve"> por parte de la entidad así ningún Proponente </w:t>
      </w:r>
      <w:proofErr w:type="spellStart"/>
      <w:r w:rsidRPr="006B3EDE">
        <w:rPr>
          <w:rFonts w:ascii="Verdana" w:eastAsia="Century Gothic" w:hAnsi="Verdana" w:cs="Century Gothic"/>
          <w:sz w:val="20"/>
          <w:szCs w:val="20"/>
          <w:lang w:val="es-ES"/>
        </w:rPr>
        <w:t>halla</w:t>
      </w:r>
      <w:proofErr w:type="spellEnd"/>
      <w:r w:rsidRPr="006B3EDE">
        <w:rPr>
          <w:rFonts w:ascii="Verdana" w:eastAsia="Century Gothic" w:hAnsi="Verdana" w:cs="Century Gothic"/>
          <w:sz w:val="20"/>
          <w:szCs w:val="20"/>
          <w:lang w:val="es-ES"/>
        </w:rPr>
        <w:t xml:space="preserve"> manifestado interés para Limitar el </w:t>
      </w:r>
      <w:proofErr w:type="gramStart"/>
      <w:r w:rsidRPr="006B3EDE">
        <w:rPr>
          <w:rFonts w:ascii="Verdana" w:eastAsia="Century Gothic" w:hAnsi="Verdana" w:cs="Century Gothic"/>
          <w:sz w:val="20"/>
          <w:szCs w:val="20"/>
          <w:lang w:val="es-ES"/>
        </w:rPr>
        <w:t>Proceso?</w:t>
      </w:r>
      <w:r w:rsidR="009714FF">
        <w:rPr>
          <w:rFonts w:ascii="Verdana" w:eastAsia="Century Gothic" w:hAnsi="Verdana" w:cs="Century Gothic"/>
          <w:sz w:val="20"/>
          <w:szCs w:val="20"/>
          <w:lang w:val="es-ES"/>
        </w:rPr>
        <w:t>.</w:t>
      </w:r>
      <w:proofErr w:type="gramEnd"/>
      <w:r w:rsidR="00F73CD7">
        <w:rPr>
          <w:rFonts w:ascii="Verdana" w:eastAsia="Century Gothic" w:hAnsi="Verdana" w:cs="Century Gothic"/>
          <w:sz w:val="20"/>
          <w:szCs w:val="20"/>
          <w:lang w:val="es-ES"/>
        </w:rPr>
        <w:t xml:space="preserve"> </w:t>
      </w:r>
      <w:r w:rsidR="002859F2" w:rsidRPr="00C02F37">
        <w:rPr>
          <w:rFonts w:ascii="Verdana" w:eastAsia="Century Gothic" w:hAnsi="Verdana" w:cs="Century Gothic"/>
          <w:sz w:val="20"/>
          <w:szCs w:val="20"/>
          <w:lang w:val="es-ES"/>
        </w:rPr>
        <w:t>[…]</w:t>
      </w:r>
    </w:p>
    <w:p w14:paraId="5BF28DB3" w14:textId="77777777" w:rsidR="000B674C" w:rsidRPr="00C02F37" w:rsidRDefault="000B674C" w:rsidP="000B674C">
      <w:pPr>
        <w:spacing w:after="0"/>
        <w:jc w:val="both"/>
        <w:rPr>
          <w:rStyle w:val="Hipervnculo"/>
          <w:rFonts w:ascii="Verdana" w:hAnsi="Verdana"/>
          <w:lang w:val="es-ES"/>
        </w:rPr>
      </w:pPr>
    </w:p>
    <w:p w14:paraId="0332F947" w14:textId="77777777" w:rsidR="000B674C" w:rsidRPr="00C02F37" w:rsidRDefault="000B674C" w:rsidP="000B674C">
      <w:pPr>
        <w:spacing w:after="120" w:line="276" w:lineRule="auto"/>
        <w:ind w:firstLine="709"/>
        <w:jc w:val="both"/>
        <w:rPr>
          <w:rFonts w:ascii="Verdana" w:eastAsia="Calibri" w:hAnsi="Verdana" w:cs="Arial"/>
          <w:color w:val="000000"/>
          <w:lang w:val="es-ES_tradnl" w:eastAsia="es-ES_tradnl"/>
        </w:rPr>
      </w:pPr>
      <w:r w:rsidRPr="00C02F3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591C5D3" w14:textId="77777777" w:rsidR="000B674C" w:rsidRPr="00C02F37" w:rsidRDefault="000B674C" w:rsidP="000B674C">
      <w:pPr>
        <w:spacing w:after="0" w:line="276" w:lineRule="auto"/>
        <w:ind w:firstLine="709"/>
        <w:jc w:val="both"/>
        <w:rPr>
          <w:rFonts w:ascii="Verdana" w:eastAsia="Calibri" w:hAnsi="Verdana" w:cs="Arial"/>
          <w:color w:val="000000"/>
          <w:lang w:val="es-ES" w:eastAsia="es-ES"/>
        </w:rPr>
      </w:pPr>
      <w:r w:rsidRPr="00C02F37">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45F0FDD" w14:textId="77777777" w:rsidR="000B674C" w:rsidRPr="00C02F37" w:rsidRDefault="000B674C" w:rsidP="000B674C">
      <w:pPr>
        <w:spacing w:after="0"/>
        <w:jc w:val="both"/>
        <w:rPr>
          <w:rFonts w:ascii="Verdana" w:hAnsi="Verdana"/>
          <w:lang w:val="es-ES"/>
        </w:rPr>
      </w:pPr>
    </w:p>
    <w:p w14:paraId="5DF06474" w14:textId="77777777" w:rsidR="000B674C" w:rsidRPr="00C02F37" w:rsidRDefault="000B674C" w:rsidP="000B674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2F37">
        <w:rPr>
          <w:rFonts w:ascii="Verdana" w:eastAsia="Century Gothic" w:hAnsi="Verdana" w:cs="Century Gothic"/>
          <w:b/>
          <w:bCs/>
        </w:rPr>
        <w:t>Problema planteado:</w:t>
      </w:r>
    </w:p>
    <w:p w14:paraId="6A4AA7CE" w14:textId="77777777" w:rsidR="000B674C" w:rsidRPr="00C02F37" w:rsidRDefault="000B674C" w:rsidP="000B674C">
      <w:pPr>
        <w:spacing w:after="0"/>
        <w:jc w:val="both"/>
        <w:rPr>
          <w:rStyle w:val="Hipervnculo"/>
          <w:rFonts w:ascii="Verdana" w:hAnsi="Verdana"/>
          <w:highlight w:val="cyan"/>
        </w:rPr>
      </w:pPr>
    </w:p>
    <w:p w14:paraId="4D1478BB" w14:textId="2269784C" w:rsidR="000B674C" w:rsidRPr="00C02F37" w:rsidRDefault="000B674C" w:rsidP="000B674C">
      <w:pPr>
        <w:spacing w:after="0" w:line="276" w:lineRule="auto"/>
        <w:jc w:val="both"/>
        <w:rPr>
          <w:rFonts w:ascii="Verdana" w:eastAsia="Calibri" w:hAnsi="Verdana" w:cs="Arial"/>
          <w:lang w:val="es-ES" w:bidi="es-ES"/>
        </w:rPr>
      </w:pPr>
      <w:r w:rsidRPr="00C02F37">
        <w:rPr>
          <w:rFonts w:ascii="Verdana" w:eastAsia="Century Gothic" w:hAnsi="Verdana" w:cs="Arial"/>
        </w:rPr>
        <w:t xml:space="preserve">De acuerdo con el contenido de su solicitud, esta Agencia resolverá el siguiente problema jurídico: </w:t>
      </w:r>
      <w:r w:rsidR="007A775F" w:rsidRPr="00C02F37">
        <w:rPr>
          <w:rFonts w:ascii="Verdana" w:hAnsi="Verdana"/>
        </w:rPr>
        <w:t>¿</w:t>
      </w:r>
      <w:r w:rsidR="006F5FE2" w:rsidRPr="00C02F37">
        <w:rPr>
          <w:rFonts w:ascii="Verdana" w:hAnsi="Verdana"/>
        </w:rPr>
        <w:t>Bajo qué supuestos puede una Entidad Estatal limitar una convocatoria MiPymes a nivel territorial</w:t>
      </w:r>
      <w:r w:rsidR="00905667" w:rsidRPr="00C02F37">
        <w:rPr>
          <w:rFonts w:ascii="Verdana" w:hAnsi="Verdana"/>
        </w:rPr>
        <w:t>?</w:t>
      </w:r>
    </w:p>
    <w:p w14:paraId="71450DB7" w14:textId="77777777" w:rsidR="00322A85" w:rsidRPr="00C02F37" w:rsidRDefault="00322A85" w:rsidP="00E245AB">
      <w:pPr>
        <w:spacing w:after="0"/>
        <w:jc w:val="both"/>
        <w:rPr>
          <w:rStyle w:val="Hipervnculo"/>
          <w:rFonts w:ascii="Verdana" w:hAnsi="Verdana"/>
        </w:rPr>
      </w:pPr>
    </w:p>
    <w:p w14:paraId="3DA59756" w14:textId="4FE6A961" w:rsidR="006975AD" w:rsidRPr="00C02F37" w:rsidRDefault="006975AD" w:rsidP="00C82BA4">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C02F37">
        <w:rPr>
          <w:rFonts w:ascii="Verdana" w:eastAsia="Arial" w:hAnsi="Verdana" w:cs="Arial"/>
          <w:b/>
          <w:bCs/>
        </w:rPr>
        <w:t>Respuesta:</w:t>
      </w:r>
    </w:p>
    <w:p w14:paraId="14AB931A" w14:textId="77777777" w:rsidR="006975AD" w:rsidRPr="00C02F37" w:rsidRDefault="006975AD" w:rsidP="006975AD">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75AD" w:rsidRPr="00C02F37" w14:paraId="065E297B" w14:textId="77777777" w:rsidTr="00252124">
        <w:tc>
          <w:tcPr>
            <w:tcW w:w="8828" w:type="dxa"/>
            <w:shd w:val="clear" w:color="auto" w:fill="auto"/>
          </w:tcPr>
          <w:p w14:paraId="67DEC3B4" w14:textId="77777777" w:rsidR="006975AD" w:rsidRPr="00C02F37" w:rsidRDefault="006975AD" w:rsidP="006975AD">
            <w:pPr>
              <w:spacing w:after="120" w:line="276" w:lineRule="auto"/>
              <w:jc w:val="both"/>
              <w:rPr>
                <w:rFonts w:ascii="Verdana" w:eastAsia="Calibri" w:hAnsi="Verdana" w:cs="Arial"/>
                <w:lang w:val="es-ES"/>
              </w:rPr>
            </w:pPr>
            <w:bookmarkStart w:id="1" w:name="_Hlk171067516"/>
            <w:r w:rsidRPr="00C02F37">
              <w:rPr>
                <w:rFonts w:ascii="Verdana" w:eastAsia="Calibri" w:hAnsi="Verdana" w:cs="Arial"/>
                <w:lang w:val="es-ES"/>
              </w:rPr>
              <w:t>En respuesta al problema planteado esta Subdirección manifiesta:</w:t>
            </w:r>
          </w:p>
          <w:p w14:paraId="2D65F6A6" w14:textId="7C68BF70" w:rsidR="00806D7C" w:rsidRPr="00FE0E3F" w:rsidRDefault="009C2FE1" w:rsidP="0000448F">
            <w:pPr>
              <w:spacing w:after="120" w:line="276" w:lineRule="auto"/>
              <w:jc w:val="both"/>
              <w:rPr>
                <w:rFonts w:ascii="Verdana" w:hAnsi="Verdana" w:cs="Arial"/>
                <w:color w:val="000000" w:themeColor="text1"/>
              </w:rPr>
            </w:pPr>
            <w:r>
              <w:rPr>
                <w:rFonts w:ascii="Verdana" w:hAnsi="Verdana" w:cs="Arial"/>
                <w:color w:val="000000" w:themeColor="text1"/>
              </w:rPr>
              <w:t>Para</w:t>
            </w:r>
            <w:r w:rsidR="008A1322" w:rsidRPr="00FE0E3F">
              <w:rPr>
                <w:rFonts w:ascii="Verdana" w:hAnsi="Verdana" w:cs="Arial"/>
                <w:color w:val="000000" w:themeColor="text1"/>
              </w:rPr>
              <w:t xml:space="preserve"> aplicar la limitación a </w:t>
            </w:r>
            <w:proofErr w:type="spellStart"/>
            <w:r w:rsidR="00AA682D">
              <w:rPr>
                <w:rFonts w:ascii="Verdana" w:hAnsi="Verdana" w:cs="Arial"/>
                <w:color w:val="000000" w:themeColor="text1"/>
              </w:rPr>
              <w:t>M</w:t>
            </w:r>
            <w:r w:rsidR="008A1322" w:rsidRPr="00FE0E3F">
              <w:rPr>
                <w:rFonts w:ascii="Verdana" w:hAnsi="Verdana" w:cs="Arial"/>
                <w:color w:val="000000" w:themeColor="text1"/>
              </w:rPr>
              <w:t>i</w:t>
            </w:r>
            <w:r w:rsidR="00FE0E3F">
              <w:rPr>
                <w:rFonts w:ascii="Verdana" w:hAnsi="Verdana" w:cs="Arial"/>
                <w:color w:val="000000" w:themeColor="text1"/>
              </w:rPr>
              <w:t>p</w:t>
            </w:r>
            <w:r w:rsidR="008A1322" w:rsidRPr="00FE0E3F">
              <w:rPr>
                <w:rFonts w:ascii="Verdana" w:hAnsi="Verdana" w:cs="Arial"/>
                <w:color w:val="000000" w:themeColor="text1"/>
              </w:rPr>
              <w:t>ymes</w:t>
            </w:r>
            <w:proofErr w:type="spellEnd"/>
            <w:r w:rsidR="008A1322" w:rsidRPr="00FE0E3F">
              <w:rPr>
                <w:rFonts w:ascii="Verdana" w:hAnsi="Verdana" w:cs="Arial"/>
                <w:color w:val="000000" w:themeColor="text1"/>
              </w:rPr>
              <w:t xml:space="preserve"> </w:t>
            </w:r>
            <w:r w:rsidR="00463040">
              <w:rPr>
                <w:rFonts w:ascii="Verdana" w:hAnsi="Verdana" w:cs="Arial"/>
                <w:color w:val="000000" w:themeColor="text1"/>
              </w:rPr>
              <w:t>a nivel territoria</w:t>
            </w:r>
            <w:r w:rsidR="00C47C3E">
              <w:rPr>
                <w:rFonts w:ascii="Verdana" w:hAnsi="Verdana" w:cs="Arial"/>
                <w:color w:val="000000" w:themeColor="text1"/>
              </w:rPr>
              <w:t>l</w:t>
            </w:r>
            <w:r w:rsidR="00463040">
              <w:rPr>
                <w:rFonts w:ascii="Verdana" w:hAnsi="Verdana" w:cs="Arial"/>
                <w:color w:val="000000" w:themeColor="text1"/>
              </w:rPr>
              <w:t xml:space="preserve"> </w:t>
            </w:r>
            <w:r>
              <w:rPr>
                <w:rFonts w:ascii="Verdana" w:hAnsi="Verdana" w:cs="Arial"/>
                <w:color w:val="000000" w:themeColor="text1"/>
              </w:rPr>
              <w:t>se requiere</w:t>
            </w:r>
            <w:r w:rsidR="008A1322" w:rsidRPr="00FE0E3F">
              <w:rPr>
                <w:rFonts w:ascii="Verdana" w:hAnsi="Verdana" w:cs="Arial"/>
                <w:color w:val="000000" w:themeColor="text1"/>
              </w:rPr>
              <w:t xml:space="preserve"> el cumplimiento de</w:t>
            </w:r>
            <w:r w:rsidR="00F418F5" w:rsidRPr="00FE0E3F">
              <w:rPr>
                <w:rFonts w:ascii="Verdana" w:hAnsi="Verdana" w:cs="Arial"/>
                <w:color w:val="000000" w:themeColor="text1"/>
              </w:rPr>
              <w:t xml:space="preserve"> las condiciones </w:t>
            </w:r>
            <w:r>
              <w:rPr>
                <w:rFonts w:ascii="Verdana" w:hAnsi="Verdana" w:cs="Arial"/>
                <w:color w:val="000000" w:themeColor="text1"/>
              </w:rPr>
              <w:t xml:space="preserve">señaladas </w:t>
            </w:r>
            <w:r w:rsidR="00F418F5" w:rsidRPr="00FE0E3F">
              <w:rPr>
                <w:rFonts w:ascii="Verdana" w:hAnsi="Verdana" w:cs="Arial"/>
                <w:color w:val="000000" w:themeColor="text1"/>
              </w:rPr>
              <w:t>del artículo 2.2.1.2.4.2.2 del Decreto 1082 de 2015</w:t>
            </w:r>
            <w:r w:rsidR="00806D7C" w:rsidRPr="00FE0E3F">
              <w:rPr>
                <w:rFonts w:ascii="Verdana" w:hAnsi="Verdana" w:cs="Arial"/>
                <w:color w:val="000000" w:themeColor="text1"/>
              </w:rPr>
              <w:t>.</w:t>
            </w:r>
          </w:p>
          <w:p w14:paraId="430E30BC" w14:textId="588734B3" w:rsidR="00FF3344" w:rsidRPr="00FF3344" w:rsidRDefault="00FF3344" w:rsidP="00FF3344">
            <w:pPr>
              <w:jc w:val="both"/>
              <w:rPr>
                <w:rFonts w:ascii="Verdana" w:eastAsia="Calibri" w:hAnsi="Verdana" w:cs="Arial"/>
                <w:color w:val="000000" w:themeColor="text1"/>
              </w:rPr>
            </w:pPr>
            <w:r>
              <w:rPr>
                <w:rFonts w:ascii="Verdana" w:eastAsia="Calibri" w:hAnsi="Verdana" w:cs="Arial"/>
                <w:color w:val="000000" w:themeColor="text1"/>
              </w:rPr>
              <w:t>L</w:t>
            </w:r>
            <w:r w:rsidRPr="00FF3344">
              <w:rPr>
                <w:rFonts w:ascii="Verdana" w:eastAsia="Calibri" w:hAnsi="Verdana" w:cs="Arial"/>
                <w:color w:val="000000" w:themeColor="text1"/>
              </w:rPr>
              <w:t xml:space="preserve">a decisión de limitar “a </w:t>
            </w:r>
            <w:proofErr w:type="spellStart"/>
            <w:r w:rsidRPr="00FF3344">
              <w:rPr>
                <w:rFonts w:ascii="Verdana" w:eastAsia="Calibri" w:hAnsi="Verdana" w:cs="Arial"/>
                <w:color w:val="000000" w:themeColor="text1"/>
              </w:rPr>
              <w:t>Mipyme</w:t>
            </w:r>
            <w:proofErr w:type="spellEnd"/>
            <w:r w:rsidRPr="00FF3344">
              <w:rPr>
                <w:rFonts w:ascii="Verdana" w:eastAsia="Calibri" w:hAnsi="Verdana" w:cs="Arial"/>
                <w:color w:val="000000" w:themeColor="text1"/>
              </w:rPr>
              <w:t xml:space="preserve"> colombianas que</w:t>
            </w:r>
            <w:r>
              <w:rPr>
                <w:rFonts w:ascii="Verdana" w:eastAsia="Calibri" w:hAnsi="Verdana" w:cs="Arial"/>
                <w:color w:val="000000" w:themeColor="text1"/>
              </w:rPr>
              <w:t xml:space="preserve"> </w:t>
            </w:r>
            <w:r w:rsidRPr="00FF3344">
              <w:rPr>
                <w:rFonts w:ascii="Verdana" w:eastAsia="Calibri" w:hAnsi="Verdana" w:cs="Arial"/>
                <w:color w:val="000000" w:themeColor="text1"/>
              </w:rPr>
              <w:t>tengan domicilio en los departamentos o municipios en donde se va a ejecutar el contrato”,</w:t>
            </w:r>
            <w:r>
              <w:rPr>
                <w:rFonts w:ascii="Verdana" w:eastAsia="Calibri" w:hAnsi="Verdana" w:cs="Arial"/>
                <w:color w:val="000000" w:themeColor="text1"/>
              </w:rPr>
              <w:t xml:space="preserve"> </w:t>
            </w:r>
            <w:r w:rsidRPr="00FF3344">
              <w:rPr>
                <w:rFonts w:ascii="Verdana" w:eastAsia="Calibri" w:hAnsi="Verdana" w:cs="Arial"/>
                <w:color w:val="000000" w:themeColor="text1"/>
              </w:rPr>
              <w:t>aunque es facultativa de la entidad, está supeditada a que se verifiquen los requisitos</w:t>
            </w:r>
          </w:p>
          <w:p w14:paraId="1F6A31BE" w14:textId="4B1911EC" w:rsidR="00FF3344" w:rsidRDefault="00FF3344" w:rsidP="00FF3344">
            <w:pPr>
              <w:jc w:val="both"/>
              <w:rPr>
                <w:rFonts w:ascii="Verdana" w:eastAsia="Calibri" w:hAnsi="Verdana" w:cs="Arial"/>
                <w:color w:val="000000" w:themeColor="text1"/>
              </w:rPr>
            </w:pPr>
            <w:r w:rsidRPr="00FF3344">
              <w:rPr>
                <w:rFonts w:ascii="Verdana" w:eastAsia="Calibri" w:hAnsi="Verdana" w:cs="Arial"/>
                <w:color w:val="000000" w:themeColor="text1"/>
              </w:rPr>
              <w:lastRenderedPageBreak/>
              <w:t>establecidos en los numerales 1 y 2 del precitado artículo 2.2.1.2.4.2.2 del Decreto 1082 de</w:t>
            </w:r>
            <w:r>
              <w:rPr>
                <w:rFonts w:ascii="Verdana" w:eastAsia="Calibri" w:hAnsi="Verdana" w:cs="Arial"/>
                <w:color w:val="000000" w:themeColor="text1"/>
              </w:rPr>
              <w:t xml:space="preserve"> </w:t>
            </w:r>
            <w:r w:rsidRPr="00FF3344">
              <w:rPr>
                <w:rFonts w:ascii="Verdana" w:eastAsia="Calibri" w:hAnsi="Verdana" w:cs="Arial"/>
                <w:color w:val="000000" w:themeColor="text1"/>
              </w:rPr>
              <w:t>2015, modificado por el Decreto 1860 de 2021. En ese sentido, si la entidad no recibió las</w:t>
            </w:r>
            <w:r>
              <w:rPr>
                <w:rFonts w:ascii="Verdana" w:eastAsia="Calibri" w:hAnsi="Verdana" w:cs="Arial"/>
                <w:color w:val="000000" w:themeColor="text1"/>
              </w:rPr>
              <w:t xml:space="preserve"> </w:t>
            </w:r>
            <w:r w:rsidRPr="00FF3344">
              <w:rPr>
                <w:rFonts w:ascii="Verdana" w:eastAsia="Calibri" w:hAnsi="Verdana" w:cs="Arial"/>
                <w:color w:val="000000" w:themeColor="text1"/>
              </w:rPr>
              <w:t xml:space="preserve">solicitudes para limitar la convocatoria a </w:t>
            </w:r>
            <w:proofErr w:type="spellStart"/>
            <w:r w:rsidRPr="00FF3344">
              <w:rPr>
                <w:rFonts w:ascii="Verdana" w:eastAsia="Calibri" w:hAnsi="Verdana" w:cs="Arial"/>
                <w:color w:val="000000" w:themeColor="text1"/>
              </w:rPr>
              <w:t>Mipyme</w:t>
            </w:r>
            <w:proofErr w:type="spellEnd"/>
            <w:r w:rsidRPr="00FF3344">
              <w:rPr>
                <w:rFonts w:ascii="Verdana" w:eastAsia="Calibri" w:hAnsi="Verdana" w:cs="Arial"/>
                <w:color w:val="000000" w:themeColor="text1"/>
              </w:rPr>
              <w:t>, no puede motu proprio proceder con la</w:t>
            </w:r>
            <w:r>
              <w:rPr>
                <w:rFonts w:ascii="Verdana" w:eastAsia="Calibri" w:hAnsi="Verdana" w:cs="Arial"/>
                <w:color w:val="000000" w:themeColor="text1"/>
              </w:rPr>
              <w:t xml:space="preserve"> </w:t>
            </w:r>
            <w:r w:rsidRPr="00FF3344">
              <w:rPr>
                <w:rFonts w:ascii="Verdana" w:eastAsia="Calibri" w:hAnsi="Verdana" w:cs="Arial"/>
                <w:color w:val="000000" w:themeColor="text1"/>
              </w:rPr>
              <w:t>“limitación territorial” de que trata el artículo 2.2.1.2.4.2.3 del Decreto 1082 de 2015. Esto</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 xml:space="preserve">debido a que el ejercicio de esta facultad solo puede darse ante la “limitación a </w:t>
            </w:r>
            <w:proofErr w:type="spellStart"/>
            <w:r w:rsidRPr="00FF3344">
              <w:rPr>
                <w:rFonts w:ascii="Verdana" w:eastAsia="Calibri" w:hAnsi="Verdana" w:cs="Arial"/>
                <w:color w:val="000000" w:themeColor="text1"/>
              </w:rPr>
              <w:t>Mipymes</w:t>
            </w:r>
            <w:proofErr w:type="spellEnd"/>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colombianas”, lo cual supone verificar los supuestos legales establecidos en los</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mencionados numerales.</w:t>
            </w:r>
          </w:p>
          <w:p w14:paraId="4D9306FA" w14:textId="77777777" w:rsidR="001B74A9" w:rsidRPr="00FF3344" w:rsidRDefault="001B74A9" w:rsidP="00FF3344">
            <w:pPr>
              <w:jc w:val="both"/>
              <w:rPr>
                <w:rFonts w:ascii="Verdana" w:eastAsia="Calibri" w:hAnsi="Verdana" w:cs="Arial"/>
                <w:color w:val="000000" w:themeColor="text1"/>
              </w:rPr>
            </w:pPr>
          </w:p>
          <w:p w14:paraId="6D788A59" w14:textId="53DD8E9B" w:rsidR="005B129C" w:rsidRDefault="00FF3344" w:rsidP="001B74A9">
            <w:pPr>
              <w:jc w:val="both"/>
              <w:rPr>
                <w:rFonts w:ascii="Verdana" w:eastAsia="Calibri" w:hAnsi="Verdana" w:cs="Arial"/>
                <w:color w:val="000000" w:themeColor="text1"/>
              </w:rPr>
            </w:pPr>
            <w:r w:rsidRPr="00FF3344">
              <w:rPr>
                <w:rFonts w:ascii="Verdana" w:eastAsia="Calibri" w:hAnsi="Verdana" w:cs="Arial"/>
                <w:color w:val="000000" w:themeColor="text1"/>
              </w:rPr>
              <w:t xml:space="preserve">Cumplidos los dos requisitos del artículo 2.2.1.2.4.2.2 </w:t>
            </w:r>
            <w:proofErr w:type="spellStart"/>
            <w:r w:rsidRPr="00FF3344">
              <w:rPr>
                <w:rFonts w:ascii="Verdana" w:eastAsia="Calibri" w:hAnsi="Verdana" w:cs="Arial"/>
                <w:color w:val="000000" w:themeColor="text1"/>
              </w:rPr>
              <w:t>ibídem</w:t>
            </w:r>
            <w:proofErr w:type="spellEnd"/>
            <w:r w:rsidRPr="00FF3344">
              <w:rPr>
                <w:rFonts w:ascii="Verdana" w:eastAsia="Calibri" w:hAnsi="Verdana" w:cs="Arial"/>
                <w:color w:val="000000" w:themeColor="text1"/>
              </w:rPr>
              <w:t>, la entidad estatal,</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independientemente de su régimen de contratación, los patrimonios autónomos</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constituidos por entidades estatales y los particulares que ejecuten recursos públicos,</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 xml:space="preserve">pueden ─sin estar obligadas─ decidir si limitan la convocatoria a las </w:t>
            </w:r>
            <w:proofErr w:type="spellStart"/>
            <w:r w:rsidRPr="00FF3344">
              <w:rPr>
                <w:rFonts w:ascii="Verdana" w:eastAsia="Calibri" w:hAnsi="Verdana" w:cs="Arial"/>
                <w:color w:val="000000" w:themeColor="text1"/>
              </w:rPr>
              <w:t>Mipyme</w:t>
            </w:r>
            <w:proofErr w:type="spellEnd"/>
            <w:r w:rsidRPr="00FF3344">
              <w:rPr>
                <w:rFonts w:ascii="Verdana" w:eastAsia="Calibri" w:hAnsi="Verdana" w:cs="Arial"/>
                <w:color w:val="000000" w:themeColor="text1"/>
              </w:rPr>
              <w:t xml:space="preserve"> colombianas</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domiciliadas en el municipio o departamento en el que se ejecutará el contrato. Esto de</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acuerdo con el artículo 2.2.1.2.4.2.3 del Decreto 1082 de 2015 modificado por el Decreto</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1860 de 2021, norma que se refiere a la facultad de la administración con el verbo infinitivo</w:t>
            </w:r>
            <w:r w:rsidR="001B74A9">
              <w:rPr>
                <w:rFonts w:ascii="Verdana" w:eastAsia="Calibri" w:hAnsi="Verdana" w:cs="Arial"/>
                <w:color w:val="000000" w:themeColor="text1"/>
              </w:rPr>
              <w:t xml:space="preserve"> </w:t>
            </w:r>
            <w:r w:rsidRPr="00FF3344">
              <w:rPr>
                <w:rFonts w:ascii="Verdana" w:eastAsia="Calibri" w:hAnsi="Verdana" w:cs="Arial"/>
                <w:color w:val="000000" w:themeColor="text1"/>
              </w:rPr>
              <w:t>“poder”, no “deber”</w:t>
            </w:r>
            <w:r w:rsidR="001B74A9">
              <w:rPr>
                <w:rFonts w:ascii="Verdana" w:eastAsia="Calibri" w:hAnsi="Verdana" w:cs="Arial"/>
                <w:color w:val="000000" w:themeColor="text1"/>
              </w:rPr>
              <w:t>.</w:t>
            </w:r>
          </w:p>
          <w:p w14:paraId="32DE5837" w14:textId="77777777" w:rsidR="001B74A9" w:rsidRDefault="001B74A9" w:rsidP="001B74A9">
            <w:pPr>
              <w:jc w:val="both"/>
              <w:rPr>
                <w:rFonts w:ascii="Verdana" w:eastAsia="Century Gothic" w:hAnsi="Verdana" w:cs="Century Gothic"/>
              </w:rPr>
            </w:pPr>
          </w:p>
          <w:p w14:paraId="03FD263E" w14:textId="1193875D" w:rsidR="0000448F" w:rsidRDefault="0000448F" w:rsidP="0000448F">
            <w:pPr>
              <w:spacing w:after="120" w:line="276" w:lineRule="auto"/>
              <w:jc w:val="both"/>
              <w:rPr>
                <w:rFonts w:ascii="Verdana" w:eastAsia="Century Gothic" w:hAnsi="Verdana" w:cs="Century Gothic"/>
              </w:rPr>
            </w:pPr>
            <w:r w:rsidRPr="00C02F37">
              <w:rPr>
                <w:rFonts w:ascii="Verdana" w:eastAsia="Century Gothic" w:hAnsi="Verdana" w:cs="Century Gothic"/>
              </w:rPr>
              <w:t xml:space="preserve">La facultad de limitar convocatorias territorialmente en favor de las </w:t>
            </w:r>
            <w:proofErr w:type="spellStart"/>
            <w:r w:rsidRPr="00C02F37">
              <w:rPr>
                <w:rFonts w:ascii="Verdana" w:eastAsia="Century Gothic" w:hAnsi="Verdana" w:cs="Century Gothic"/>
              </w:rPr>
              <w:t>Mipymes</w:t>
            </w:r>
            <w:proofErr w:type="spellEnd"/>
            <w:r w:rsidRPr="00C02F37">
              <w:rPr>
                <w:rFonts w:ascii="Verdana" w:eastAsia="Century Gothic" w:hAnsi="Verdana" w:cs="Century Gothic"/>
              </w:rPr>
              <w:t xml:space="preserve"> con domicilio en un municipio o en un departamento específico debe ejercerse por las </w:t>
            </w:r>
            <w:r w:rsidR="00270F31" w:rsidRPr="00C02F37">
              <w:rPr>
                <w:rFonts w:ascii="Verdana" w:eastAsia="Century Gothic" w:hAnsi="Verdana" w:cs="Century Gothic"/>
              </w:rPr>
              <w:t>E</w:t>
            </w:r>
            <w:r w:rsidRPr="00C02F37">
              <w:rPr>
                <w:rFonts w:ascii="Verdana" w:eastAsia="Century Gothic" w:hAnsi="Verdana" w:cs="Century Gothic"/>
              </w:rPr>
              <w:t xml:space="preserve">ntidades </w:t>
            </w:r>
            <w:r w:rsidR="00270F31" w:rsidRPr="00C02F37">
              <w:rPr>
                <w:rFonts w:ascii="Verdana" w:eastAsia="Century Gothic" w:hAnsi="Verdana" w:cs="Century Gothic"/>
              </w:rPr>
              <w:t>E</w:t>
            </w:r>
            <w:r w:rsidRPr="00C02F37">
              <w:rPr>
                <w:rFonts w:ascii="Verdana" w:eastAsia="Century Gothic" w:hAnsi="Verdana" w:cs="Century Gothic"/>
              </w:rPr>
              <w:t xml:space="preserve">statales dentro del marco de lo regulado por el artículo 2.2.1.2.4.2.3 del Decreto 1082 de 2015, el cual establece como presupuesto que las </w:t>
            </w:r>
            <w:proofErr w:type="spellStart"/>
            <w:r w:rsidRPr="00C02F37">
              <w:rPr>
                <w:rFonts w:ascii="Verdana" w:eastAsia="Century Gothic" w:hAnsi="Verdana" w:cs="Century Gothic"/>
              </w:rPr>
              <w:t>Mipymes</w:t>
            </w:r>
            <w:proofErr w:type="spellEnd"/>
            <w:r w:rsidRPr="00C02F37">
              <w:rPr>
                <w:rFonts w:ascii="Verdana" w:eastAsia="Century Gothic" w:hAnsi="Verdana" w:cs="Century Gothic"/>
              </w:rPr>
              <w:t xml:space="preserve"> tengan su domicilio en el lugar en donde se va a ejecutar el contrato. En ese sentido, en el marco de estas convocatorias, la exigibilidad de que el domicilio de las </w:t>
            </w:r>
            <w:proofErr w:type="spellStart"/>
            <w:r w:rsidRPr="00C02F37">
              <w:rPr>
                <w:rFonts w:ascii="Verdana" w:eastAsia="Century Gothic" w:hAnsi="Verdana" w:cs="Century Gothic"/>
              </w:rPr>
              <w:t>Mipymes</w:t>
            </w:r>
            <w:proofErr w:type="spellEnd"/>
            <w:r w:rsidRPr="00C02F37">
              <w:rPr>
                <w:rFonts w:ascii="Verdana" w:eastAsia="Century Gothic" w:hAnsi="Verdana" w:cs="Century Gothic"/>
              </w:rPr>
              <w:t xml:space="preserve"> se ubique en un único </w:t>
            </w:r>
            <w:r w:rsidR="00D237C9">
              <w:rPr>
                <w:rFonts w:ascii="Verdana" w:eastAsia="Century Gothic" w:hAnsi="Verdana" w:cs="Century Gothic"/>
              </w:rPr>
              <w:t>departamento</w:t>
            </w:r>
            <w:r w:rsidRPr="00C02F37">
              <w:rPr>
                <w:rFonts w:ascii="Verdana" w:eastAsia="Century Gothic" w:hAnsi="Verdana" w:cs="Century Gothic"/>
              </w:rPr>
              <w:t xml:space="preserve"> en particular o en alguno de los municipios que conforman un departamento en concreto, depende del ámbito territorial en el que se va a desarrollar el objeto contractual. </w:t>
            </w:r>
          </w:p>
          <w:p w14:paraId="343331DD" w14:textId="1616B041" w:rsidR="00500422" w:rsidRPr="00C02F37" w:rsidRDefault="0000448F" w:rsidP="0000448F">
            <w:pPr>
              <w:spacing w:after="120" w:line="276" w:lineRule="auto"/>
              <w:jc w:val="both"/>
              <w:rPr>
                <w:rFonts w:ascii="Verdana" w:eastAsia="Century Gothic" w:hAnsi="Verdana" w:cs="Century Gothic"/>
              </w:rPr>
            </w:pPr>
            <w:r w:rsidRPr="00C02F37">
              <w:rPr>
                <w:rFonts w:ascii="Verdana" w:eastAsia="Century Gothic" w:hAnsi="Verdana" w:cs="Century Gothic"/>
              </w:rPr>
              <w:t>Conforme a lo anterior, s</w:t>
            </w:r>
            <w:r w:rsidR="0055617C">
              <w:rPr>
                <w:rFonts w:ascii="Verdana" w:eastAsia="Century Gothic" w:hAnsi="Verdana" w:cs="Century Gothic"/>
              </w:rPr>
              <w:t xml:space="preserve">i </w:t>
            </w:r>
            <w:r w:rsidRPr="00C02F37">
              <w:rPr>
                <w:rFonts w:ascii="Verdana" w:eastAsia="Century Gothic" w:hAnsi="Verdana" w:cs="Century Gothic"/>
              </w:rPr>
              <w:t xml:space="preserve">un contrato se va a ejecutar en un único municipio, las </w:t>
            </w:r>
            <w:proofErr w:type="spellStart"/>
            <w:r w:rsidRPr="00C02F37">
              <w:rPr>
                <w:rFonts w:ascii="Verdana" w:eastAsia="Century Gothic" w:hAnsi="Verdana" w:cs="Century Gothic"/>
              </w:rPr>
              <w:t>Mipymes</w:t>
            </w:r>
            <w:proofErr w:type="spellEnd"/>
            <w:r w:rsidRPr="00C02F37">
              <w:rPr>
                <w:rFonts w:ascii="Verdana" w:eastAsia="Century Gothic" w:hAnsi="Verdana" w:cs="Century Gothic"/>
              </w:rPr>
              <w:t xml:space="preserve">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w:t>
            </w:r>
            <w:proofErr w:type="spellStart"/>
            <w:r w:rsidRPr="00C02F37">
              <w:rPr>
                <w:rFonts w:ascii="Verdana" w:eastAsia="Century Gothic" w:hAnsi="Verdana" w:cs="Century Gothic"/>
              </w:rPr>
              <w:t>Mipymes</w:t>
            </w:r>
            <w:proofErr w:type="spellEnd"/>
            <w:r w:rsidRPr="00C02F37">
              <w:rPr>
                <w:rFonts w:ascii="Verdana" w:eastAsia="Century Gothic" w:hAnsi="Verdana" w:cs="Century Gothic"/>
              </w:rPr>
              <w:t xml:space="preserve"> cuyos domicilios se encuentren establecidos en alguno de los municipios que conforman el departamento en el que se va a ejecutar el contrato.  </w:t>
            </w:r>
          </w:p>
          <w:p w14:paraId="6BED36DA" w14:textId="4EDC6277" w:rsidR="00270F31" w:rsidRPr="00C02F37" w:rsidRDefault="00500422" w:rsidP="0000448F">
            <w:pPr>
              <w:spacing w:after="120" w:line="276" w:lineRule="auto"/>
              <w:jc w:val="both"/>
              <w:rPr>
                <w:rFonts w:ascii="Verdana" w:hAnsi="Verdana"/>
              </w:rPr>
            </w:pPr>
            <w:r w:rsidRPr="00C02F37">
              <w:rPr>
                <w:rFonts w:ascii="Verdana" w:hAnsi="Verdana"/>
                <w:lang w:val="es-ES"/>
              </w:rPr>
              <w:t>Ahora bien, conforme</w:t>
            </w:r>
            <w:r w:rsidR="00663CF4" w:rsidRPr="00C02F37">
              <w:rPr>
                <w:rFonts w:ascii="Verdana" w:hAnsi="Verdana"/>
                <w:lang w:val="es-ES"/>
              </w:rPr>
              <w:t xml:space="preserve"> a</w:t>
            </w:r>
            <w:r w:rsidRPr="00C02F37">
              <w:rPr>
                <w:rFonts w:ascii="Verdana" w:hAnsi="Verdana"/>
              </w:rPr>
              <w:t xml:space="preserve"> lo establecido en los artículos 12 de la Ley 1150 de 2007 y 2.2.1.2.4.2.2 del Decreto 1082 de 2015, modificado por el Decreto 1860 de 2021, </w:t>
            </w:r>
            <w:r w:rsidR="003C38AA" w:rsidRPr="00C02F37">
              <w:rPr>
                <w:rFonts w:ascii="Verdana" w:hAnsi="Verdana"/>
              </w:rPr>
              <w:t xml:space="preserve">si bien cualquier interesado puede solicitar limitar </w:t>
            </w:r>
            <w:r w:rsidRPr="00C02F37">
              <w:rPr>
                <w:rFonts w:ascii="Verdana" w:hAnsi="Verdana"/>
              </w:rPr>
              <w:t xml:space="preserve">una </w:t>
            </w:r>
            <w:r w:rsidRPr="00C02F37">
              <w:rPr>
                <w:rFonts w:ascii="Verdana" w:hAnsi="Verdana"/>
              </w:rPr>
              <w:lastRenderedPageBreak/>
              <w:t>convocatoria a MiPymes a nivel territorial</w:t>
            </w:r>
            <w:r w:rsidR="003C38AA" w:rsidRPr="00C02F37">
              <w:rPr>
                <w:rFonts w:ascii="Verdana" w:hAnsi="Verdana"/>
              </w:rPr>
              <w:t xml:space="preserve">, lo cierto es que, </w:t>
            </w:r>
            <w:r w:rsidRPr="00C02F37">
              <w:rPr>
                <w:rFonts w:ascii="Verdana" w:hAnsi="Verdana"/>
              </w:rPr>
              <w:t>la decisión de limitar o no territorialmente la convocatoria corresponderá a la Entidad contratante, esto en el entendido que se trata de una facultad discrecional, y esta última será la encargada de valorar si es oportuno y conveniente adoptarla.</w:t>
            </w:r>
          </w:p>
        </w:tc>
      </w:tr>
      <w:bookmarkEnd w:id="1"/>
    </w:tbl>
    <w:p w14:paraId="656A16E4" w14:textId="77777777" w:rsidR="006975AD" w:rsidRPr="00C02F37" w:rsidRDefault="006975AD" w:rsidP="006975AD">
      <w:pPr>
        <w:widowControl w:val="0"/>
        <w:autoSpaceDE w:val="0"/>
        <w:autoSpaceDN w:val="0"/>
        <w:spacing w:before="1" w:after="0" w:line="240" w:lineRule="auto"/>
        <w:ind w:left="360" w:hanging="360"/>
        <w:outlineLvl w:val="0"/>
        <w:rPr>
          <w:rFonts w:ascii="Verdana" w:eastAsia="Arial" w:hAnsi="Verdana" w:cs="Arial"/>
          <w:b/>
          <w:bCs/>
          <w:lang w:val="es-ES"/>
        </w:rPr>
      </w:pPr>
    </w:p>
    <w:p w14:paraId="31FD2669" w14:textId="77777777" w:rsidR="006975AD" w:rsidRPr="00C02F37" w:rsidRDefault="006975AD" w:rsidP="006975AD">
      <w:pPr>
        <w:widowControl w:val="0"/>
        <w:autoSpaceDE w:val="0"/>
        <w:autoSpaceDN w:val="0"/>
        <w:spacing w:before="1" w:after="0" w:line="240" w:lineRule="auto"/>
        <w:ind w:left="360" w:hanging="360"/>
        <w:outlineLvl w:val="0"/>
        <w:rPr>
          <w:rFonts w:ascii="Verdana" w:eastAsia="Arial" w:hAnsi="Verdana" w:cs="Arial"/>
          <w:b/>
          <w:bCs/>
          <w:lang w:val="es-ES"/>
        </w:rPr>
      </w:pPr>
      <w:r w:rsidRPr="00C02F37">
        <w:rPr>
          <w:rFonts w:ascii="Verdana" w:eastAsia="Arial" w:hAnsi="Verdana" w:cs="Arial"/>
          <w:b/>
          <w:bCs/>
          <w:lang w:val="es-ES"/>
        </w:rPr>
        <w:t>3. Razones de la respuesta</w:t>
      </w:r>
    </w:p>
    <w:p w14:paraId="57B74E1A" w14:textId="77777777" w:rsidR="006975AD" w:rsidRPr="00C02F37" w:rsidRDefault="006975AD" w:rsidP="006975AD">
      <w:pPr>
        <w:spacing w:after="0" w:line="276" w:lineRule="auto"/>
        <w:jc w:val="both"/>
        <w:rPr>
          <w:rFonts w:ascii="Verdana" w:eastAsia="Calibri" w:hAnsi="Verdana" w:cs="Arial"/>
          <w:lang w:val="es-ES"/>
        </w:rPr>
      </w:pPr>
    </w:p>
    <w:p w14:paraId="2E3C31FC" w14:textId="77777777" w:rsidR="006975AD" w:rsidRPr="00C02F37" w:rsidRDefault="006975AD" w:rsidP="006975AD">
      <w:pPr>
        <w:spacing w:after="0" w:line="276" w:lineRule="auto"/>
        <w:jc w:val="both"/>
        <w:rPr>
          <w:rFonts w:ascii="Verdana" w:eastAsia="Calibri" w:hAnsi="Verdana" w:cs="Arial"/>
          <w:lang w:val="es-ES"/>
        </w:rPr>
      </w:pPr>
      <w:r w:rsidRPr="00C02F37">
        <w:rPr>
          <w:rFonts w:ascii="Verdana" w:eastAsia="Calibri" w:hAnsi="Verdana" w:cs="Arial"/>
          <w:lang w:val="es-ES"/>
        </w:rPr>
        <w:t xml:space="preserve">La respuesta anterior se sustenta en las siguientes consideraciones: </w:t>
      </w:r>
    </w:p>
    <w:p w14:paraId="48A1EFE8" w14:textId="5FDF7663" w:rsidR="002707A2" w:rsidRPr="00C02F37" w:rsidRDefault="002707A2" w:rsidP="00E245AB">
      <w:pPr>
        <w:spacing w:after="0"/>
        <w:jc w:val="both"/>
        <w:rPr>
          <w:rStyle w:val="Hipervnculo"/>
          <w:rFonts w:ascii="Verdana" w:hAnsi="Verdana"/>
          <w:lang w:val="es-ES"/>
        </w:rPr>
      </w:pPr>
    </w:p>
    <w:p w14:paraId="76E03FAD" w14:textId="77777777" w:rsidR="0049671A" w:rsidRPr="00C02F37" w:rsidRDefault="006C2427" w:rsidP="00737655">
      <w:pPr>
        <w:pStyle w:val="Prrafodelista"/>
        <w:spacing w:after="0"/>
        <w:ind w:left="360" w:firstLine="348"/>
        <w:jc w:val="both"/>
        <w:rPr>
          <w:rFonts w:ascii="Verdana" w:eastAsia="Calibri" w:hAnsi="Verdana" w:cs="Arial"/>
        </w:rPr>
      </w:pPr>
      <w:r w:rsidRPr="00C02F37">
        <w:rPr>
          <w:rFonts w:ascii="Verdana" w:hAnsi="Verdana" w:cs="Arial"/>
          <w:color w:val="000000" w:themeColor="text1"/>
          <w:lang w:val="es-ES_tradnl"/>
        </w:rPr>
        <w:t>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4A7B7E3" w14:textId="77777777" w:rsidR="0049671A" w:rsidRPr="00C02F37" w:rsidRDefault="0049671A" w:rsidP="0049671A">
      <w:pPr>
        <w:pStyle w:val="Prrafodelista"/>
        <w:spacing w:after="0"/>
        <w:ind w:left="360"/>
        <w:jc w:val="both"/>
        <w:rPr>
          <w:rFonts w:ascii="Verdana" w:eastAsia="Calibri" w:hAnsi="Verdana" w:cs="Arial"/>
        </w:rPr>
      </w:pPr>
    </w:p>
    <w:p w14:paraId="218ADBD8" w14:textId="77777777" w:rsidR="002728C9" w:rsidRPr="00C02F37" w:rsidRDefault="0049671A" w:rsidP="00737655">
      <w:pPr>
        <w:pStyle w:val="Prrafodelista"/>
        <w:spacing w:after="0"/>
        <w:ind w:left="360" w:firstLine="348"/>
        <w:jc w:val="both"/>
        <w:rPr>
          <w:rFonts w:ascii="Verdana" w:eastAsia="Calibri" w:hAnsi="Verdana" w:cs="Arial"/>
        </w:rPr>
      </w:pPr>
      <w:r w:rsidRPr="00C02F37">
        <w:rPr>
          <w:rFonts w:ascii="Verdana" w:eastAsia="Calibri" w:hAnsi="Verdana" w:cs="Arial"/>
        </w:rPr>
        <w:t>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6720A9B6" w14:textId="77777777" w:rsidR="002728C9" w:rsidRPr="00C02F37" w:rsidRDefault="002728C9" w:rsidP="002728C9">
      <w:pPr>
        <w:pStyle w:val="Prrafodelista"/>
        <w:rPr>
          <w:rFonts w:ascii="Verdana" w:eastAsia="Calibri" w:hAnsi="Verdana" w:cs="Arial"/>
        </w:rPr>
      </w:pPr>
    </w:p>
    <w:p w14:paraId="7FB2D74D" w14:textId="77777777" w:rsidR="005B30E8" w:rsidRPr="00C02F37" w:rsidRDefault="002728C9" w:rsidP="00737655">
      <w:pPr>
        <w:pStyle w:val="Prrafodelista"/>
        <w:spacing w:after="0"/>
        <w:ind w:left="360" w:firstLine="348"/>
        <w:jc w:val="both"/>
        <w:rPr>
          <w:rFonts w:ascii="Verdana" w:eastAsia="Calibri" w:hAnsi="Verdana" w:cs="Arial"/>
        </w:rPr>
      </w:pPr>
      <w:r w:rsidRPr="00C02F37">
        <w:rPr>
          <w:rFonts w:ascii="Verdana" w:eastAsia="Calibri" w:hAnsi="Verdana" w:cs="Arial"/>
        </w:rPr>
        <w:t xml:space="preserve">El artículo 34 de la Ley 2069 de 2020 </w:t>
      </w:r>
      <w:r w:rsidRPr="00BD552E">
        <w:rPr>
          <w:rFonts w:ascii="Verdana" w:eastAsia="Calibri" w:hAnsi="Verdana" w:cs="Arial"/>
        </w:rPr>
        <w:t>modificó</w:t>
      </w:r>
      <w:r w:rsidRPr="00C02F37">
        <w:rPr>
          <w:rFonts w:ascii="Verdana" w:eastAsia="Calibri" w:hAnsi="Verdana" w:cs="Arial"/>
        </w:rPr>
        <w:t xml:space="preserve"> el artículo 12 de la Ley 1150 de 2007, el cual regula la promoción del desarrollo en la contratación pública, cambiando </w:t>
      </w:r>
      <w:r w:rsidRPr="00C02F37">
        <w:rPr>
          <w:rFonts w:ascii="Verdana" w:eastAsia="Calibri" w:hAnsi="Verdana" w:cs="Arial"/>
          <w:bdr w:val="none" w:sz="0" w:space="0" w:color="auto" w:frame="1"/>
        </w:rPr>
        <w:t xml:space="preserve">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C02F37">
        <w:rPr>
          <w:rFonts w:ascii="Verdana" w:eastAsia="Calibri" w:hAnsi="Verdana" w:cs="Arial"/>
          <w:bdr w:val="none" w:sz="0" w:space="0" w:color="auto" w:frame="1"/>
        </w:rPr>
        <w:t>ii</w:t>
      </w:r>
      <w:proofErr w:type="spellEnd"/>
      <w:r w:rsidRPr="00C02F37">
        <w:rPr>
          <w:rFonts w:ascii="Verdana" w:eastAsia="Calibri" w:hAnsi="Verdana" w:cs="Arial"/>
          <w:bdr w:val="none" w:sz="0" w:space="0" w:color="auto" w:frame="1"/>
        </w:rPr>
        <w:t xml:space="preserve">) </w:t>
      </w:r>
      <w:r w:rsidRPr="00C02F37">
        <w:rPr>
          <w:rFonts w:ascii="Verdana" w:eastAsia="Calibri" w:hAnsi="Verdana" w:cs="Arial"/>
          <w:bdr w:val="none" w:sz="0" w:space="0" w:color="auto" w:frame="1"/>
        </w:rPr>
        <w:lastRenderedPageBreak/>
        <w:t xml:space="preserve">señaló que los patrimonios autónomos constituidos por Entidades Estatales y los particulares que ejecuten recursos públicos también son destinatarios de esta exigencia; y,  </w:t>
      </w:r>
      <w:proofErr w:type="spellStart"/>
      <w:r w:rsidRPr="00C02F37">
        <w:rPr>
          <w:rFonts w:ascii="Verdana" w:eastAsia="Calibri" w:hAnsi="Verdana" w:cs="Arial"/>
          <w:bdr w:val="none" w:sz="0" w:space="0" w:color="auto" w:frame="1"/>
        </w:rPr>
        <w:t>iii</w:t>
      </w:r>
      <w:proofErr w:type="spellEnd"/>
      <w:r w:rsidRPr="00C02F37">
        <w:rPr>
          <w:rFonts w:ascii="Verdana" w:eastAsia="Calibri" w:hAnsi="Verdana" w:cs="Arial"/>
          <w:bdr w:val="none" w:sz="0" w:space="0" w:color="auto" w:frame="1"/>
        </w:rPr>
        <w:t xml:space="preserve">) indicó que para que pueda haber convocatorias limitadas a MiPymes, dos (2) de ellas deben manifestar su interés. </w:t>
      </w:r>
    </w:p>
    <w:p w14:paraId="0AFA96DE" w14:textId="77777777" w:rsidR="005B30E8" w:rsidRPr="00C02F37" w:rsidRDefault="005B30E8" w:rsidP="005B30E8">
      <w:pPr>
        <w:pStyle w:val="Prrafodelista"/>
        <w:rPr>
          <w:rFonts w:ascii="Verdana" w:eastAsia="Calibri" w:hAnsi="Verdana" w:cs="Arial"/>
        </w:rPr>
      </w:pPr>
    </w:p>
    <w:p w14:paraId="4495AAF0" w14:textId="77777777" w:rsidR="00434C04" w:rsidRPr="00C02F37" w:rsidRDefault="005B30E8" w:rsidP="00737655">
      <w:pPr>
        <w:pStyle w:val="Prrafodelista"/>
        <w:spacing w:after="0"/>
        <w:ind w:left="360" w:firstLine="348"/>
        <w:jc w:val="both"/>
        <w:rPr>
          <w:rFonts w:ascii="Verdana" w:eastAsia="Calibri" w:hAnsi="Verdana" w:cs="Arial"/>
        </w:rPr>
      </w:pPr>
      <w:r w:rsidRPr="00C02F37">
        <w:rPr>
          <w:rFonts w:ascii="Verdana" w:eastAsia="Calibri" w:hAnsi="Verdana" w:cs="Arial"/>
        </w:rPr>
        <w:t xml:space="preserve">Según se evidencia, el numeral primero del </w:t>
      </w:r>
      <w:r w:rsidRPr="00C02F37">
        <w:rPr>
          <w:rFonts w:ascii="Verdana" w:eastAsia="Calibri" w:hAnsi="Verdana" w:cs="Arial"/>
          <w:lang w:val="es-ES_tradnl"/>
        </w:rPr>
        <w:t xml:space="preserve">artículo 2.2.1.2.4.2.2 del Decreto 1082 de 2015 </w:t>
      </w:r>
      <w:r w:rsidRPr="00C02F37">
        <w:rPr>
          <w:rFonts w:ascii="Verdana" w:eastAsia="Calibri" w:hAnsi="Verdana" w:cs="Arial"/>
        </w:rPr>
        <w:t xml:space="preserve">limita cuantitativamente los procesos contractuales para las convocatorias limitadas a </w:t>
      </w:r>
      <w:proofErr w:type="spellStart"/>
      <w:r w:rsidRPr="00C02F37">
        <w:rPr>
          <w:rFonts w:ascii="Verdana" w:eastAsia="Calibri" w:hAnsi="Verdana" w:cs="Arial"/>
        </w:rPr>
        <w:t>Mipyme</w:t>
      </w:r>
      <w:proofErr w:type="spellEnd"/>
      <w:r w:rsidRPr="00C02F37">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w:t>
      </w:r>
      <w:proofErr w:type="spellStart"/>
      <w:r w:rsidRPr="00C02F37">
        <w:rPr>
          <w:rFonts w:ascii="Verdana" w:eastAsia="Calibri" w:hAnsi="Verdana" w:cs="Arial"/>
        </w:rPr>
        <w:t>Mipyme</w:t>
      </w:r>
      <w:proofErr w:type="spellEnd"/>
      <w:r w:rsidRPr="00C02F37">
        <w:rPr>
          <w:rFonts w:ascii="Verdana" w:eastAsia="Calibri" w:hAnsi="Verdana" w:cs="Aria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C02F37">
        <w:rPr>
          <w:rFonts w:ascii="Verdana" w:eastAsia="Calibri" w:hAnsi="Verdana" w:cs="Arial"/>
        </w:rPr>
        <w:t>Mipyme</w:t>
      </w:r>
      <w:proofErr w:type="spellEnd"/>
      <w:r w:rsidRPr="00C02F37">
        <w:rPr>
          <w:rFonts w:ascii="Verdana" w:eastAsia="Calibri" w:hAnsi="Verdana" w:cs="Arial"/>
        </w:rPr>
        <w:t>, siempre que estas cumplan con las condiciones señaladas en el artículo.</w:t>
      </w:r>
    </w:p>
    <w:p w14:paraId="6608856A" w14:textId="77777777" w:rsidR="00434C04" w:rsidRPr="00C02F37" w:rsidRDefault="00434C04" w:rsidP="00434C04">
      <w:pPr>
        <w:pStyle w:val="Prrafodelista"/>
        <w:spacing w:after="0"/>
        <w:ind w:left="360"/>
        <w:jc w:val="both"/>
        <w:rPr>
          <w:rFonts w:ascii="Verdana" w:eastAsia="Calibri" w:hAnsi="Verdana" w:cs="Arial"/>
        </w:rPr>
      </w:pPr>
    </w:p>
    <w:p w14:paraId="77CD90C8" w14:textId="5D89E94F" w:rsidR="00CA2908" w:rsidRPr="00C02F37" w:rsidRDefault="003B1EB6" w:rsidP="00737655">
      <w:pPr>
        <w:pStyle w:val="Prrafodelista"/>
        <w:spacing w:after="0"/>
        <w:ind w:left="360" w:firstLine="348"/>
        <w:jc w:val="both"/>
        <w:rPr>
          <w:rFonts w:ascii="Verdana" w:eastAsia="Calibri" w:hAnsi="Verdana" w:cs="Arial"/>
        </w:rPr>
      </w:pPr>
      <w:r>
        <w:rPr>
          <w:rFonts w:ascii="Verdana" w:eastAsia="Calibri" w:hAnsi="Verdana" w:cs="Arial"/>
          <w:lang w:val="es-ES_tradnl"/>
        </w:rPr>
        <w:t>De l</w:t>
      </w:r>
      <w:r w:rsidR="00E41247" w:rsidRPr="00C02F37">
        <w:rPr>
          <w:rFonts w:ascii="Verdana" w:eastAsia="Calibri" w:hAnsi="Verdana" w:cs="Arial"/>
          <w:lang w:val="es-ES_tradnl"/>
        </w:rPr>
        <w:t>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eastAsia="Calibri" w:hAnsi="Verdana" w:cs="Arial"/>
          <w:lang w:val="es-ES_tradnl"/>
        </w:rPr>
        <w:t>, se desprende</w:t>
      </w:r>
      <w:r w:rsidR="006C52CD">
        <w:rPr>
          <w:rFonts w:ascii="Verdana" w:eastAsia="Calibri" w:hAnsi="Verdana" w:cs="Arial"/>
          <w:lang w:val="es-ES_tradnl"/>
        </w:rPr>
        <w:t xml:space="preserve"> que en</w:t>
      </w:r>
      <w:r w:rsidR="00E41247" w:rsidRPr="00C02F37">
        <w:rPr>
          <w:rFonts w:ascii="Verdana" w:eastAsia="Calibri" w:hAnsi="Verdana" w:cs="Arial"/>
          <w:lang w:val="es-ES_tradnl"/>
        </w:rPr>
        <w:t xml:space="preserve"> tales términos, la norma citada solo contempla la posibilidad de limitar convocatorias a MiPymes con domicilio en esos dos tipos de entidades territoriales. </w:t>
      </w:r>
    </w:p>
    <w:p w14:paraId="24383F58" w14:textId="77777777" w:rsidR="00CA2908" w:rsidRPr="00C02F37" w:rsidRDefault="00CA2908" w:rsidP="00CA2908">
      <w:pPr>
        <w:pStyle w:val="Prrafodelista"/>
        <w:rPr>
          <w:rFonts w:ascii="Verdana" w:eastAsia="Arial" w:hAnsi="Verdana" w:cs="Arial"/>
          <w:color w:val="000000" w:themeColor="text1"/>
        </w:rPr>
      </w:pPr>
    </w:p>
    <w:p w14:paraId="0EDA5D06" w14:textId="77777777" w:rsidR="00082384" w:rsidRPr="00C02F37" w:rsidRDefault="00CA2908" w:rsidP="00737655">
      <w:pPr>
        <w:pStyle w:val="Prrafodelista"/>
        <w:spacing w:after="0"/>
        <w:ind w:left="360" w:firstLine="348"/>
        <w:jc w:val="both"/>
        <w:rPr>
          <w:rFonts w:ascii="Verdana" w:eastAsia="Calibri" w:hAnsi="Verdana" w:cs="Arial"/>
        </w:rPr>
      </w:pPr>
      <w:r w:rsidRPr="00C02F37">
        <w:rPr>
          <w:rFonts w:ascii="Verdana" w:eastAsia="Arial" w:hAnsi="Verdana"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C02F37">
        <w:rPr>
          <w:rFonts w:ascii="Verdana" w:eastAsia="Arial" w:hAnsi="Verdana" w:cs="Arial"/>
          <w:color w:val="000000" w:themeColor="text1"/>
        </w:rPr>
        <w:t>Mipyme</w:t>
      </w:r>
      <w:proofErr w:type="spellEnd"/>
      <w:r w:rsidRPr="00C02F37">
        <w:rPr>
          <w:rFonts w:ascii="Verdana" w:eastAsia="Arial" w:hAnsi="Verdana" w:cs="Arial"/>
          <w:color w:val="000000" w:themeColor="text1"/>
        </w:rPr>
        <w:t xml:space="preserve"> nacional. Además, las normas de contratación permiten que las </w:t>
      </w:r>
      <w:proofErr w:type="spellStart"/>
      <w:r w:rsidRPr="00C02F37">
        <w:rPr>
          <w:rFonts w:ascii="Verdana" w:eastAsia="Arial" w:hAnsi="Verdana" w:cs="Arial"/>
          <w:color w:val="000000" w:themeColor="text1"/>
        </w:rPr>
        <w:t>Mipyme</w:t>
      </w:r>
      <w:proofErr w:type="spellEnd"/>
      <w:r w:rsidRPr="00C02F37">
        <w:rPr>
          <w:rFonts w:ascii="Verdana" w:eastAsia="Arial" w:hAnsi="Verdana" w:cs="Arial"/>
          <w:color w:val="000000" w:themeColor="text1"/>
        </w:rPr>
        <w:t xml:space="preserve"> nacionales puedan beneficiarse de la ejecución de un contrato dentro de la entidad territorial en la que tienen su “domicilio”. </w:t>
      </w:r>
    </w:p>
    <w:p w14:paraId="6A2F75A6" w14:textId="77777777" w:rsidR="00082384" w:rsidRPr="00C02F37" w:rsidRDefault="00082384" w:rsidP="00082384">
      <w:pPr>
        <w:pStyle w:val="Prrafodelista"/>
        <w:rPr>
          <w:rFonts w:ascii="Verdana" w:eastAsia="Arial" w:hAnsi="Verdana" w:cs="Arial"/>
          <w:color w:val="000000" w:themeColor="text1"/>
        </w:rPr>
      </w:pPr>
    </w:p>
    <w:p w14:paraId="7298E550" w14:textId="77777777" w:rsidR="00AA1913" w:rsidRPr="00C02F37" w:rsidRDefault="00082384" w:rsidP="00737655">
      <w:pPr>
        <w:pStyle w:val="Prrafodelista"/>
        <w:spacing w:after="0"/>
        <w:ind w:left="360" w:firstLine="348"/>
        <w:jc w:val="both"/>
        <w:rPr>
          <w:rFonts w:ascii="Verdana" w:eastAsia="Calibri" w:hAnsi="Verdana" w:cs="Arial"/>
        </w:rPr>
      </w:pPr>
      <w:r w:rsidRPr="00C02F37">
        <w:rPr>
          <w:rFonts w:ascii="Verdana" w:eastAsia="Arial" w:hAnsi="Verdana" w:cs="Arial"/>
          <w:color w:val="000000" w:themeColor="text1"/>
        </w:rPr>
        <w:lastRenderedPageBreak/>
        <w:t xml:space="preserve">Por otro lado, no puede perderse de vista que la decisión de limitar “a </w:t>
      </w:r>
      <w:proofErr w:type="spellStart"/>
      <w:r w:rsidRPr="00C02F37">
        <w:rPr>
          <w:rFonts w:ascii="Verdana" w:eastAsia="Arial" w:hAnsi="Verdana" w:cs="Arial"/>
          <w:color w:val="000000" w:themeColor="text1"/>
        </w:rPr>
        <w:t>Mipyme</w:t>
      </w:r>
      <w:proofErr w:type="spellEnd"/>
      <w:r w:rsidRPr="00C02F37">
        <w:rPr>
          <w:rFonts w:ascii="Verdana" w:eastAsia="Arial" w:hAnsi="Verdana"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00C02F37">
        <w:rPr>
          <w:rFonts w:ascii="Verdana" w:eastAsia="Arial" w:hAnsi="Verdana" w:cs="Arial"/>
          <w:color w:val="000000" w:themeColor="text1"/>
        </w:rPr>
        <w:t>Mipyme</w:t>
      </w:r>
      <w:proofErr w:type="spellEnd"/>
      <w:r w:rsidRPr="00C02F37">
        <w:rPr>
          <w:rFonts w:ascii="Verdana" w:eastAsia="Arial" w:hAnsi="Verdana" w:cs="Arial"/>
          <w:color w:val="000000" w:themeColor="text1"/>
        </w:rPr>
        <w:t xml:space="preserve">, no puede </w:t>
      </w:r>
      <w:r w:rsidRPr="00C02F37">
        <w:rPr>
          <w:rFonts w:ascii="Verdana" w:eastAsia="Arial" w:hAnsi="Verdana" w:cs="Arial"/>
          <w:i/>
          <w:iCs/>
          <w:color w:val="000000" w:themeColor="text1"/>
        </w:rPr>
        <w:t xml:space="preserve">motu proprio </w:t>
      </w:r>
      <w:r w:rsidRPr="00C02F37">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212123B" w14:textId="77777777" w:rsidR="00176F72" w:rsidRPr="00AC561D" w:rsidRDefault="00176F72" w:rsidP="00AA1913">
      <w:pPr>
        <w:pStyle w:val="Prrafodelista"/>
        <w:rPr>
          <w:rFonts w:ascii="Verdana" w:hAnsi="Verdana" w:cs="Arial"/>
          <w:color w:val="000000" w:themeColor="text1"/>
          <w:lang w:val="es-CO"/>
        </w:rPr>
      </w:pPr>
    </w:p>
    <w:p w14:paraId="21061944" w14:textId="77777777" w:rsidR="00004ADF" w:rsidRPr="00C02F37" w:rsidRDefault="00AA1913" w:rsidP="00737655">
      <w:pPr>
        <w:pStyle w:val="Prrafodelista"/>
        <w:spacing w:after="0"/>
        <w:ind w:left="360" w:firstLine="348"/>
        <w:jc w:val="both"/>
        <w:rPr>
          <w:rFonts w:ascii="Verdana" w:eastAsia="Calibri" w:hAnsi="Verdana" w:cs="Arial"/>
        </w:rPr>
      </w:pPr>
      <w:r w:rsidRPr="00C02F37">
        <w:rPr>
          <w:rFonts w:ascii="Verdana" w:hAnsi="Verdana" w:cs="Arial"/>
          <w:color w:val="000000" w:themeColor="text1"/>
        </w:rPr>
        <w:t xml:space="preserve">Cumplidos los dos requisitos del artículo 2.2.1.2.4.2.2 </w:t>
      </w:r>
      <w:proofErr w:type="spellStart"/>
      <w:r w:rsidRPr="00C02F37">
        <w:rPr>
          <w:rFonts w:ascii="Verdana" w:hAnsi="Verdana" w:cs="Arial"/>
          <w:i/>
          <w:iCs/>
          <w:color w:val="000000" w:themeColor="text1"/>
        </w:rPr>
        <w:t>ibídem</w:t>
      </w:r>
      <w:proofErr w:type="spellEnd"/>
      <w:r w:rsidRPr="00C02F37">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A63174">
        <w:rPr>
          <w:rFonts w:ascii="Verdana" w:hAnsi="Verdana" w:cs="Arial"/>
          <w:color w:val="000000" w:themeColor="text1"/>
          <w:u w:val="single"/>
        </w:rPr>
        <w:t xml:space="preserve">pueden ─sin estar obligadas─ decidir si limitan la convocatoria a las </w:t>
      </w:r>
      <w:proofErr w:type="spellStart"/>
      <w:r w:rsidRPr="00A63174">
        <w:rPr>
          <w:rFonts w:ascii="Verdana" w:hAnsi="Verdana" w:cs="Arial"/>
          <w:color w:val="000000" w:themeColor="text1"/>
          <w:u w:val="single"/>
        </w:rPr>
        <w:t>Mipyme</w:t>
      </w:r>
      <w:proofErr w:type="spellEnd"/>
      <w:r w:rsidRPr="00A63174">
        <w:rPr>
          <w:rFonts w:ascii="Verdana" w:hAnsi="Verdana" w:cs="Arial"/>
          <w:color w:val="000000" w:themeColor="text1"/>
          <w:u w:val="single"/>
        </w:rPr>
        <w:t xml:space="preserve"> colombianas domiciliadas en el municipio o departamento en el que se ejecutará el contrato</w:t>
      </w:r>
      <w:r w:rsidRPr="00C02F37">
        <w:rPr>
          <w:rFonts w:ascii="Verdana" w:hAnsi="Verdana" w:cs="Arial"/>
          <w:color w:val="000000" w:themeColor="text1"/>
        </w:rPr>
        <w:t xml:space="preserve">. Esto de acuerdo con el artículo 2.2.1.2.4.2.3 del Decreto 1082 de 2015 </w:t>
      </w:r>
      <w:r w:rsidRPr="00C02F37">
        <w:rPr>
          <w:rFonts w:ascii="Verdana" w:eastAsia="Arial" w:hAnsi="Verdana" w:cs="Arial"/>
          <w:color w:val="000000"/>
          <w:lang w:val="es-ES_tradnl"/>
        </w:rPr>
        <w:t>modificado por el Decreto 1860 de 2021</w:t>
      </w:r>
      <w:r w:rsidRPr="00C02F37">
        <w:rPr>
          <w:rFonts w:ascii="Verdana" w:hAnsi="Verdana" w:cs="Arial"/>
          <w:color w:val="000000" w:themeColor="text1"/>
        </w:rPr>
        <w:t xml:space="preserve">, norma que se refiere a la facultad de la administración con el verbo infinitivo “poder”, no “deber”. </w:t>
      </w:r>
    </w:p>
    <w:p w14:paraId="0203FF07" w14:textId="77777777" w:rsidR="00004ADF" w:rsidRPr="00C02F37" w:rsidRDefault="00004ADF" w:rsidP="00004ADF">
      <w:pPr>
        <w:pStyle w:val="Prrafodelista"/>
        <w:rPr>
          <w:rFonts w:ascii="Verdana" w:hAnsi="Verdana" w:cs="Arial"/>
          <w:color w:val="000000" w:themeColor="text1"/>
        </w:rPr>
      </w:pPr>
    </w:p>
    <w:p w14:paraId="172DA5F3" w14:textId="72A43403" w:rsidR="00ED1FD6" w:rsidRPr="00C02F37" w:rsidRDefault="00004ADF" w:rsidP="00737655">
      <w:pPr>
        <w:pStyle w:val="Prrafodelista"/>
        <w:spacing w:after="0"/>
        <w:ind w:left="360" w:firstLine="348"/>
        <w:jc w:val="both"/>
        <w:rPr>
          <w:rFonts w:ascii="Verdana" w:eastAsia="Calibri" w:hAnsi="Verdana" w:cs="Arial"/>
        </w:rPr>
      </w:pPr>
      <w:r w:rsidRPr="00C02F37">
        <w:rPr>
          <w:rFonts w:ascii="Verdana" w:hAnsi="Verdana" w:cs="Arial"/>
          <w:color w:val="000000" w:themeColor="text1"/>
        </w:rPr>
        <w:t xml:space="preserve">En tal sentido, </w:t>
      </w:r>
      <w:r w:rsidRPr="00C02F37">
        <w:rPr>
          <w:rFonts w:ascii="Verdana" w:eastAsia="Calibri" w:hAnsi="Verdana" w:cs="Arial"/>
          <w:color w:val="000000" w:themeColor="text1"/>
        </w:rPr>
        <w:t>lo que debe adoptarse obligatoriamente es la</w:t>
      </w:r>
      <w:r w:rsidRPr="00C02F37">
        <w:rPr>
          <w:rFonts w:ascii="Verdana" w:hAnsi="Verdana" w:cs="Arial"/>
          <w:color w:val="000000" w:themeColor="text1"/>
        </w:rPr>
        <w:t xml:space="preserve"> limitación a MiPymes colombianas</w:t>
      </w:r>
      <w:r w:rsidRPr="00C02F37">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C02F37">
        <w:rPr>
          <w:rFonts w:ascii="Verdana" w:eastAsia="Calibri" w:hAnsi="Verdana" w:cs="Arial"/>
          <w:i/>
          <w:iCs/>
          <w:color w:val="000000" w:themeColor="text1"/>
        </w:rPr>
        <w:t>ibídem</w:t>
      </w:r>
      <w:proofErr w:type="spellEnd"/>
      <w:r w:rsidRPr="00C02F37">
        <w:rPr>
          <w:rFonts w:ascii="Verdana" w:eastAsia="Calibri" w:hAnsi="Verdana" w:cs="Arial"/>
          <w:color w:val="000000" w:themeColor="text1"/>
        </w:rPr>
        <w:t>, pues esta es facultativa para la Entidad. Las únicas exigencias son que la convocatoria esté l</w:t>
      </w:r>
      <w:r w:rsidRPr="00C02F37">
        <w:rPr>
          <w:rFonts w:ascii="Verdana" w:hAnsi="Verdana" w:cs="Arial"/>
          <w:color w:val="000000" w:themeColor="text1"/>
        </w:rPr>
        <w:t xml:space="preserve">imitada a las </w:t>
      </w:r>
      <w:proofErr w:type="spellStart"/>
      <w:r w:rsidRPr="00C02F37">
        <w:rPr>
          <w:rFonts w:ascii="Verdana" w:hAnsi="Verdana" w:cs="Arial"/>
          <w:color w:val="000000" w:themeColor="text1"/>
        </w:rPr>
        <w:t>Mipyme</w:t>
      </w:r>
      <w:proofErr w:type="spellEnd"/>
      <w:r w:rsidRPr="00C02F37">
        <w:rPr>
          <w:rFonts w:ascii="Verdana" w:hAnsi="Verdana" w:cs="Arial"/>
          <w:color w:val="000000" w:themeColor="text1"/>
        </w:rPr>
        <w:t xml:space="preserve"> colombianas</w:t>
      </w:r>
      <w:r w:rsidRPr="00C02F37">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C02F37">
        <w:rPr>
          <w:rStyle w:val="Refdenotaalpie"/>
          <w:rFonts w:ascii="Verdana" w:eastAsia="Calibri" w:hAnsi="Verdana" w:cs="Arial"/>
          <w:color w:val="000000" w:themeColor="text1"/>
        </w:rPr>
        <w:footnoteReference w:id="1"/>
      </w:r>
      <w:r w:rsidRPr="00C02F37">
        <w:rPr>
          <w:rFonts w:ascii="Verdana" w:eastAsia="Calibri" w:hAnsi="Verdana" w:cs="Arial"/>
          <w:color w:val="000000" w:themeColor="text1"/>
        </w:rPr>
        <w:t xml:space="preserve"> No es procedente, entonces, que sean las </w:t>
      </w:r>
      <w:r w:rsidRPr="00C02F37">
        <w:rPr>
          <w:rFonts w:ascii="Verdana" w:eastAsia="Calibri" w:hAnsi="Verdana" w:cs="Arial"/>
          <w:color w:val="000000" w:themeColor="text1"/>
        </w:rPr>
        <w:lastRenderedPageBreak/>
        <w:t xml:space="preserve">MiPymes las que soliciten la “limitación territorial” a la que se refiere el artículo 2.2.1.2.4.2.3 del Decreto 1082 de 2015. </w:t>
      </w:r>
    </w:p>
    <w:p w14:paraId="4D4410ED" w14:textId="77777777" w:rsidR="00ED1FD6" w:rsidRPr="00C02F37" w:rsidRDefault="00ED1FD6" w:rsidP="00ED1FD6">
      <w:pPr>
        <w:pStyle w:val="Prrafodelista"/>
        <w:rPr>
          <w:rFonts w:ascii="Verdana" w:eastAsia="Calibri" w:hAnsi="Verdana" w:cs="Arial"/>
          <w:color w:val="000000" w:themeColor="text1"/>
        </w:rPr>
      </w:pPr>
    </w:p>
    <w:p w14:paraId="4F461640" w14:textId="77777777" w:rsidR="00382CAC" w:rsidRPr="00737655" w:rsidRDefault="00ED1FD6" w:rsidP="00737655">
      <w:pPr>
        <w:spacing w:after="0" w:line="276" w:lineRule="auto"/>
        <w:ind w:firstLine="360"/>
        <w:jc w:val="both"/>
        <w:rPr>
          <w:rFonts w:ascii="Verdana" w:eastAsia="Calibri" w:hAnsi="Verdana" w:cs="Arial"/>
          <w:color w:val="000000" w:themeColor="text1"/>
        </w:rPr>
      </w:pPr>
      <w:r w:rsidRPr="00737655">
        <w:rPr>
          <w:rFonts w:ascii="Verdana" w:eastAsia="Calibri" w:hAnsi="Verdana" w:cs="Arial"/>
          <w:color w:val="000000" w:themeColor="text1"/>
        </w:rPr>
        <w:t>E</w:t>
      </w:r>
      <w:r w:rsidRPr="00737655">
        <w:rPr>
          <w:rFonts w:ascii="Verdana" w:hAnsi="Verdana" w:cs="Arial"/>
          <w:color w:val="000000" w:themeColor="text1"/>
        </w:rPr>
        <w:t xml:space="preserve">l origen de las </w:t>
      </w:r>
      <w:proofErr w:type="spellStart"/>
      <w:r w:rsidRPr="00737655">
        <w:rPr>
          <w:rFonts w:ascii="Verdana" w:hAnsi="Verdana" w:cs="Arial"/>
          <w:color w:val="000000" w:themeColor="text1"/>
        </w:rPr>
        <w:t>Mipyme</w:t>
      </w:r>
      <w:proofErr w:type="spellEnd"/>
      <w:r w:rsidRPr="00737655">
        <w:rPr>
          <w:rFonts w:ascii="Verdana" w:eastAsia="Calibri" w:hAnsi="Verdana" w:cs="Arial"/>
          <w:color w:val="000000" w:themeColor="text1"/>
        </w:rPr>
        <w:t xml:space="preserve"> que solicitan la “limitación territorial” no es relevante frente a dicha decisión por dos razo</w:t>
      </w:r>
      <w:r w:rsidRPr="00737655">
        <w:rPr>
          <w:rFonts w:ascii="Verdana" w:hAnsi="Verdana" w:cs="Arial"/>
          <w:color w:val="000000" w:themeColor="text1"/>
        </w:rPr>
        <w:t xml:space="preserve">nes: primero, porque las </w:t>
      </w:r>
      <w:proofErr w:type="spellStart"/>
      <w:r w:rsidRPr="00737655">
        <w:rPr>
          <w:rFonts w:ascii="Verdana" w:hAnsi="Verdana" w:cs="Arial"/>
          <w:color w:val="000000" w:themeColor="text1"/>
        </w:rPr>
        <w:t>Mipyme</w:t>
      </w:r>
      <w:proofErr w:type="spellEnd"/>
      <w:r w:rsidRPr="00737655">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737655">
        <w:rPr>
          <w:rFonts w:ascii="Verdana" w:hAnsi="Verdana" w:cs="Arial"/>
          <w:color w:val="000000" w:themeColor="text1"/>
        </w:rPr>
        <w:t xml:space="preserve">a previamente limitada a </w:t>
      </w:r>
      <w:proofErr w:type="spellStart"/>
      <w:r w:rsidRPr="00737655">
        <w:rPr>
          <w:rFonts w:ascii="Verdana" w:hAnsi="Verdana" w:cs="Arial"/>
          <w:color w:val="000000" w:themeColor="text1"/>
        </w:rPr>
        <w:t>Mipyme</w:t>
      </w:r>
      <w:proofErr w:type="spellEnd"/>
      <w:r w:rsidRPr="00737655">
        <w:rPr>
          <w:rFonts w:ascii="Verdana" w:eastAsia="Calibri" w:hAnsi="Verdana" w:cs="Arial"/>
          <w:color w:val="000000" w:themeColor="text1"/>
        </w:rPr>
        <w:t>, es el lugar donde se va a ejecutar el contrato.</w:t>
      </w:r>
    </w:p>
    <w:p w14:paraId="4ED0881D" w14:textId="77777777" w:rsidR="00382CAC" w:rsidRPr="00382CAC" w:rsidRDefault="00382CAC" w:rsidP="00382CAC">
      <w:pPr>
        <w:pStyle w:val="Prrafodelista"/>
        <w:rPr>
          <w:rFonts w:ascii="Verdana" w:hAnsi="Verdana"/>
        </w:rPr>
      </w:pPr>
    </w:p>
    <w:p w14:paraId="393D180E" w14:textId="60CA6308" w:rsidR="00382CAC" w:rsidRPr="00737655" w:rsidRDefault="00382CAC" w:rsidP="00737655">
      <w:pPr>
        <w:spacing w:after="0" w:line="276" w:lineRule="auto"/>
        <w:ind w:firstLine="360"/>
        <w:jc w:val="both"/>
        <w:rPr>
          <w:rFonts w:ascii="Verdana" w:eastAsia="Calibri" w:hAnsi="Verdana" w:cs="Arial"/>
          <w:color w:val="000000" w:themeColor="text1"/>
        </w:rPr>
      </w:pPr>
      <w:r w:rsidRPr="00737655">
        <w:rPr>
          <w:rFonts w:ascii="Verdana" w:hAnsi="Verdana"/>
        </w:rPr>
        <w:t xml:space="preserve">Del mismo modo, de conformidad con el artículo 2.2.1.2.4.2.4. del Decreto 1082 de 2015, resulta posible que una persona natural acredite su condición de </w:t>
      </w:r>
      <w:proofErr w:type="spellStart"/>
      <w:r w:rsidRPr="00737655">
        <w:rPr>
          <w:rFonts w:ascii="Verdana" w:hAnsi="Verdana"/>
        </w:rPr>
        <w:t>Mipyme</w:t>
      </w:r>
      <w:proofErr w:type="spellEnd"/>
      <w:r w:rsidRPr="00737655">
        <w:rPr>
          <w:rFonts w:ascii="Verdana" w:hAnsi="Verdana"/>
        </w:rPr>
        <w:t xml:space="preserve"> y participe en el proceso de selección limitado para estas empresas. Sin embargo, será la entidad contratante la llamada a verificar de manera objetiva si la limitación territorial resultaría contraria al propósito de la norma, según la cual se pretende la promoción de las economías y la industria local, y más bien determine que la limitación territorial derive a prácticas restrictivas de la competencia, en observancia de los principios de igualdad y selección objetiva, tendrá que abstenerse de hacer la limitación territorial.</w:t>
      </w:r>
    </w:p>
    <w:p w14:paraId="3A3C6009" w14:textId="77777777" w:rsidR="00382CAC" w:rsidRPr="00382CAC" w:rsidRDefault="00382CAC" w:rsidP="003E0EE6">
      <w:pPr>
        <w:pStyle w:val="Prrafodelista"/>
        <w:rPr>
          <w:rFonts w:ascii="Verdana" w:eastAsia="Calibri" w:hAnsi="Verdana" w:cs="Arial"/>
          <w:lang w:val="es-CO"/>
        </w:rPr>
      </w:pPr>
    </w:p>
    <w:p w14:paraId="37949EE1" w14:textId="77777777" w:rsidR="007425CA" w:rsidRPr="00737655" w:rsidRDefault="0040155B" w:rsidP="00737655">
      <w:pPr>
        <w:spacing w:after="0"/>
        <w:ind w:firstLine="360"/>
        <w:jc w:val="both"/>
        <w:rPr>
          <w:rFonts w:ascii="Verdana" w:eastAsia="Calibri" w:hAnsi="Verdana" w:cs="Arial"/>
        </w:rPr>
      </w:pPr>
      <w:r w:rsidRPr="00737655">
        <w:rPr>
          <w:rFonts w:ascii="Verdana" w:eastAsia="Calibri" w:hAnsi="Verdana" w:cs="Arial"/>
          <w:color w:val="000000" w:themeColor="text1"/>
        </w:rPr>
        <w:t>En resumen, la decisión de limitar o no territorialmente una convocatoria limitada a MiPymes nacionales es una facultad discrecional, de manera que</w:t>
      </w:r>
      <w:r w:rsidRPr="00737655">
        <w:rPr>
          <w:rFonts w:ascii="Verdana" w:eastAsia="Arial" w:hAnsi="Verdana" w:cs="Arial"/>
          <w:color w:val="000000"/>
        </w:rPr>
        <w:t xml:space="preserve"> la Entidad contratante valorará si es oportuno y conveniente adoptarla</w:t>
      </w:r>
      <w:r w:rsidRPr="00C02F37">
        <w:rPr>
          <w:rStyle w:val="Refdenotaalpie"/>
          <w:rFonts w:ascii="Verdana" w:eastAsia="Arial" w:hAnsi="Verdana" w:cs="Arial"/>
          <w:color w:val="000000"/>
        </w:rPr>
        <w:footnoteReference w:id="2"/>
      </w:r>
      <w:r w:rsidRPr="00737655">
        <w:rPr>
          <w:rFonts w:ascii="Verdana" w:eastAsia="Arial" w:hAnsi="Verdana" w:cs="Arial"/>
          <w:color w:val="000000"/>
        </w:rPr>
        <w:t xml:space="preserve">. Sin </w:t>
      </w:r>
      <w:r w:rsidRPr="00737655">
        <w:rPr>
          <w:rFonts w:ascii="Verdana" w:eastAsia="Arial" w:hAnsi="Verdana" w:cs="Arial"/>
          <w:color w:val="000000"/>
        </w:rPr>
        <w:lastRenderedPageBreak/>
        <w:t xml:space="preserve">embargo, aunque la discrecionalidad implica una elección administrativa, no puede ser una decisión irracional o arbitraria. </w:t>
      </w:r>
    </w:p>
    <w:p w14:paraId="5A043438" w14:textId="77777777" w:rsidR="000362CA" w:rsidRPr="000362CA" w:rsidRDefault="000362CA" w:rsidP="000362CA">
      <w:pPr>
        <w:pStyle w:val="Prrafodelista"/>
        <w:rPr>
          <w:rFonts w:ascii="Verdana" w:eastAsia="Calibri" w:hAnsi="Verdana" w:cs="Arial"/>
        </w:rPr>
      </w:pPr>
    </w:p>
    <w:p w14:paraId="3C150E7C" w14:textId="77777777" w:rsidR="00F85211" w:rsidRPr="00737655" w:rsidRDefault="0040155B" w:rsidP="00737655">
      <w:pPr>
        <w:spacing w:after="0"/>
        <w:ind w:firstLine="360"/>
        <w:jc w:val="both"/>
        <w:rPr>
          <w:rFonts w:ascii="Verdana" w:eastAsia="Calibri" w:hAnsi="Verdana" w:cs="Arial"/>
        </w:rPr>
      </w:pPr>
      <w:r w:rsidRPr="00737655">
        <w:rPr>
          <w:rFonts w:ascii="Verdana" w:eastAsia="Arial" w:hAnsi="Verdana" w:cs="Arial"/>
          <w:color w:val="000000"/>
        </w:rPr>
        <w:t xml:space="preserve">Por </w:t>
      </w:r>
      <w:r w:rsidR="00AE1107" w:rsidRPr="00737655">
        <w:rPr>
          <w:rFonts w:ascii="Verdana" w:eastAsia="Arial" w:hAnsi="Verdana" w:cs="Arial"/>
          <w:color w:val="000000"/>
        </w:rPr>
        <w:t>lo anterior</w:t>
      </w:r>
      <w:r w:rsidRPr="00737655">
        <w:rPr>
          <w:rFonts w:ascii="Verdana" w:eastAsia="Arial" w:hAnsi="Verdana" w:cs="Arial"/>
          <w:color w:val="000000"/>
        </w:rPr>
        <w:t xml:space="preserve">,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3EA27158" w14:textId="77777777" w:rsidR="00447A08" w:rsidRPr="00447A08" w:rsidRDefault="00447A08" w:rsidP="00447A08">
      <w:pPr>
        <w:pStyle w:val="Prrafodelista"/>
        <w:spacing w:after="0"/>
        <w:ind w:left="360"/>
        <w:jc w:val="both"/>
        <w:rPr>
          <w:rFonts w:ascii="Verdana" w:eastAsia="Calibri" w:hAnsi="Verdana" w:cs="Arial"/>
        </w:rPr>
      </w:pPr>
    </w:p>
    <w:p w14:paraId="0ED5ED7A" w14:textId="77777777" w:rsidR="00447A08" w:rsidRPr="00737655" w:rsidRDefault="00447A08" w:rsidP="00737655">
      <w:pPr>
        <w:spacing w:after="0"/>
        <w:ind w:firstLine="360"/>
        <w:jc w:val="both"/>
        <w:rPr>
          <w:rFonts w:ascii="Verdana" w:eastAsia="Calibri" w:hAnsi="Verdana" w:cs="Arial"/>
        </w:rPr>
      </w:pPr>
      <w:r w:rsidRPr="00737655">
        <w:rPr>
          <w:rFonts w:ascii="Verdana" w:hAnsi="Verdana" w:cs="Arial"/>
          <w:color w:val="000000" w:themeColor="text1"/>
        </w:rPr>
        <w:t>En todo caso,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2E7CEEDF" w14:textId="77777777" w:rsidR="00447A08" w:rsidRPr="00447A08" w:rsidRDefault="00447A08" w:rsidP="00447A08">
      <w:pPr>
        <w:pStyle w:val="Prrafodelista"/>
        <w:rPr>
          <w:rFonts w:ascii="Verdana" w:eastAsia="Calibri" w:hAnsi="Verdana" w:cs="Arial"/>
        </w:rPr>
      </w:pPr>
    </w:p>
    <w:p w14:paraId="338F5469" w14:textId="77777777" w:rsidR="00F85211" w:rsidRPr="00737655" w:rsidRDefault="00F85211" w:rsidP="00737655">
      <w:pPr>
        <w:spacing w:after="0"/>
        <w:ind w:firstLine="360"/>
        <w:jc w:val="both"/>
        <w:rPr>
          <w:rFonts w:ascii="Verdana" w:eastAsia="Calibri" w:hAnsi="Verdana" w:cs="Arial"/>
        </w:rPr>
      </w:pPr>
      <w:r w:rsidRPr="00737655">
        <w:rPr>
          <w:rFonts w:ascii="Verdana" w:hAnsi="Verdana" w:cs="Arial"/>
        </w:rPr>
        <w:t xml:space="preserve">De esta manera, lo explicado en el presente concepto no puede ser interpretado como un pronunciamiento respecto del proceso contractual aludido en la petición, ni las afirmaciones aquí realizadas pueden ser interpretadas como juicios de valor sobre circunstancias relacionadas con los hechos que motivan la petición. </w:t>
      </w:r>
    </w:p>
    <w:p w14:paraId="1CA62227" w14:textId="77777777" w:rsidR="00F85211" w:rsidRPr="00B27BAC" w:rsidRDefault="00F85211" w:rsidP="00F85211">
      <w:pPr>
        <w:pStyle w:val="Prrafodelista"/>
        <w:spacing w:line="276" w:lineRule="auto"/>
        <w:jc w:val="both"/>
        <w:rPr>
          <w:rFonts w:ascii="Verdana" w:hAnsi="Verdana" w:cs="Arial"/>
          <w:i/>
          <w:iCs/>
        </w:rPr>
      </w:pPr>
    </w:p>
    <w:p w14:paraId="70C669E2" w14:textId="527E3680" w:rsidR="005B30E8" w:rsidRPr="00C02F37" w:rsidRDefault="0040155B" w:rsidP="00434DDF">
      <w:pPr>
        <w:pStyle w:val="Prrafodelista"/>
        <w:spacing w:after="0"/>
        <w:ind w:left="360"/>
        <w:jc w:val="both"/>
        <w:rPr>
          <w:rStyle w:val="Hipervnculo"/>
          <w:rFonts w:ascii="Verdana" w:hAnsi="Verdana"/>
        </w:rPr>
      </w:pPr>
      <w:r w:rsidRPr="00C02F37">
        <w:rPr>
          <w:rFonts w:ascii="Verdana" w:eastAsia="Arial" w:hAnsi="Verdana" w:cs="Arial"/>
          <w:color w:val="000000"/>
        </w:rPr>
        <w:t xml:space="preserve"> </w:t>
      </w:r>
    </w:p>
    <w:p w14:paraId="70EEFF41" w14:textId="77777777" w:rsidR="003B61C6" w:rsidRPr="00C02F37" w:rsidRDefault="003B61C6" w:rsidP="003B61C6">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C02F37">
        <w:rPr>
          <w:rFonts w:ascii="Verdana" w:eastAsia="Century Gothic" w:hAnsi="Verdana" w:cs="Century Gothic"/>
          <w:b/>
          <w:bCs/>
        </w:rPr>
        <w:t>Referencias normativas, jurisprudenciales y otras fuentes:</w:t>
      </w:r>
    </w:p>
    <w:p w14:paraId="1BC35009" w14:textId="77777777" w:rsidR="003B61C6" w:rsidRPr="00C02F37" w:rsidRDefault="003B61C6" w:rsidP="003B61C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61C6" w:rsidRPr="00C02F37" w14:paraId="2F0A9A14" w14:textId="77777777" w:rsidTr="00252124">
        <w:trPr>
          <w:trHeight w:val="870"/>
        </w:trPr>
        <w:tc>
          <w:tcPr>
            <w:tcW w:w="8647" w:type="dxa"/>
          </w:tcPr>
          <w:p w14:paraId="7CF0FC33" w14:textId="77777777" w:rsidR="005A2617" w:rsidRPr="00C02F37" w:rsidRDefault="005A2617" w:rsidP="005A261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hAnsi="Verdana" w:cs="Arial"/>
                <w:color w:val="000000" w:themeColor="text1"/>
                <w:lang w:val="es-ES_tradnl"/>
              </w:rPr>
              <w:t>Decreto 1860 de 2021, numerales 1 y 2 del artículo 2.2.1.2.4.2.2. artículos, 2.2.1.2.4.2.3 2.2.1.2.4.2.4. Ley 1150 de 2007 artículo 12.</w:t>
            </w:r>
          </w:p>
          <w:p w14:paraId="4408330D" w14:textId="77777777" w:rsidR="005A2617" w:rsidRPr="00C02F37" w:rsidRDefault="005A2617" w:rsidP="005A261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80 de 1993, literal g), numeral 1, Artículo 8.</w:t>
            </w:r>
          </w:p>
          <w:p w14:paraId="1AB50EEF" w14:textId="099B63C0" w:rsidR="003B61C6" w:rsidRPr="00C02F37" w:rsidRDefault="005A2617" w:rsidP="005A261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1150 de 2007, parágrafo 1, Artículo 5.</w:t>
            </w:r>
          </w:p>
        </w:tc>
      </w:tr>
    </w:tbl>
    <w:p w14:paraId="44C5AE08" w14:textId="77777777" w:rsidR="003B61C6" w:rsidRPr="00C02F37" w:rsidRDefault="003B61C6" w:rsidP="00E80320">
      <w:pPr>
        <w:spacing w:before="120" w:after="0" w:line="276" w:lineRule="auto"/>
        <w:jc w:val="both"/>
        <w:rPr>
          <w:rFonts w:ascii="Verdana" w:eastAsia="Calibri" w:hAnsi="Verdana" w:cs="Arial"/>
          <w:color w:val="000000"/>
          <w:lang w:eastAsia="es-ES" w:bidi="es-ES"/>
        </w:rPr>
      </w:pPr>
    </w:p>
    <w:p w14:paraId="6EB24EA8" w14:textId="77777777" w:rsidR="003B61C6" w:rsidRPr="00C02F37" w:rsidRDefault="003B61C6" w:rsidP="00E80320">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F37">
        <w:rPr>
          <w:rFonts w:ascii="Verdana" w:eastAsia="Century Gothic" w:hAnsi="Verdana" w:cs="Century Gothic"/>
          <w:b/>
          <w:bCs/>
        </w:rPr>
        <w:t>Doctrina de la Agencia Nacional de Contratación Pública:</w:t>
      </w:r>
    </w:p>
    <w:p w14:paraId="4980767F" w14:textId="77777777" w:rsidR="003B61C6" w:rsidRPr="00C02F37" w:rsidRDefault="003B61C6" w:rsidP="003B61C6">
      <w:pPr>
        <w:widowControl w:val="0"/>
        <w:autoSpaceDE w:val="0"/>
        <w:autoSpaceDN w:val="0"/>
        <w:spacing w:after="0" w:line="276" w:lineRule="auto"/>
        <w:jc w:val="both"/>
        <w:rPr>
          <w:rFonts w:ascii="Verdana" w:hAnsi="Verdana" w:cs="Arial"/>
        </w:rPr>
      </w:pPr>
    </w:p>
    <w:p w14:paraId="604EBC87" w14:textId="4F930C90" w:rsidR="003B61C6" w:rsidRPr="00C02F37" w:rsidRDefault="003B61C6" w:rsidP="003B61C6">
      <w:pPr>
        <w:widowControl w:val="0"/>
        <w:autoSpaceDE w:val="0"/>
        <w:autoSpaceDN w:val="0"/>
        <w:spacing w:after="0" w:line="276" w:lineRule="auto"/>
        <w:jc w:val="both"/>
        <w:rPr>
          <w:rStyle w:val="normaltextrun"/>
          <w:rFonts w:ascii="Verdana" w:hAnsi="Verdana"/>
        </w:rPr>
      </w:pPr>
      <w:r w:rsidRPr="00C02F37">
        <w:rPr>
          <w:rFonts w:ascii="Verdana" w:hAnsi="Verdana"/>
        </w:rPr>
        <w:t xml:space="preserve">En lo relacionado con el ámbito de la consulta, esta Subdirección se ha pronunciado </w:t>
      </w:r>
      <w:r w:rsidRPr="000F7C08">
        <w:rPr>
          <w:rFonts w:ascii="Verdana" w:hAnsi="Verdana" w:cs="Arial"/>
        </w:rPr>
        <w:t xml:space="preserve">sobre </w:t>
      </w:r>
      <w:r w:rsidR="002E5A79" w:rsidRPr="000F7C08">
        <w:rPr>
          <w:rFonts w:ascii="Verdana" w:hAnsi="Verdana" w:cs="Arial"/>
        </w:rPr>
        <w:t>las convocatorias limitadas a MiPymes, sus requisitos y características</w:t>
      </w:r>
      <w:r w:rsidRPr="000F7C08">
        <w:rPr>
          <w:rFonts w:ascii="Verdana" w:hAnsi="Verdana" w:cs="Arial"/>
        </w:rPr>
        <w:t>, en los Conceptos Nro.</w:t>
      </w:r>
      <w:r w:rsidR="00637658">
        <w:rPr>
          <w:rFonts w:ascii="Verdana" w:hAnsi="Verdana" w:cs="Arial"/>
        </w:rPr>
        <w:t xml:space="preserve"> </w:t>
      </w:r>
      <w:r w:rsidR="00F83915" w:rsidRPr="000F7C08">
        <w:rPr>
          <w:rFonts w:ascii="Verdana" w:hAnsi="Verdana" w:cs="Arial"/>
        </w:rPr>
        <w:t xml:space="preserve">C − 366 </w:t>
      </w:r>
      <w:r w:rsidR="00733457" w:rsidRPr="000F7C08">
        <w:rPr>
          <w:rFonts w:ascii="Verdana" w:hAnsi="Verdana" w:cs="Arial"/>
        </w:rPr>
        <w:t>d</w:t>
      </w:r>
      <w:r w:rsidR="00E13A95" w:rsidRPr="000F7C08">
        <w:rPr>
          <w:rFonts w:ascii="Verdana" w:hAnsi="Verdana" w:cs="Arial"/>
        </w:rPr>
        <w:t>el 8 de</w:t>
      </w:r>
      <w:r w:rsidR="00E13A95">
        <w:rPr>
          <w:rFonts w:ascii="Verdana" w:hAnsi="Verdana"/>
        </w:rPr>
        <w:t xml:space="preserve"> septiembre</w:t>
      </w:r>
      <w:r w:rsidR="00733457">
        <w:rPr>
          <w:rFonts w:ascii="Verdana" w:hAnsi="Verdana"/>
        </w:rPr>
        <w:t xml:space="preserve"> de 2023 </w:t>
      </w:r>
      <w:r w:rsidR="00D21445" w:rsidRPr="00C02F37">
        <w:rPr>
          <w:rFonts w:ascii="Verdana" w:hAnsi="Verdana"/>
        </w:rPr>
        <w:t xml:space="preserve">C-436 del 24 de octubre de 2023, C-279 del 31 de octubre de 2023, C-048 del 23 de abril de 2024, C-084 del 30 de mayo de 2024, C-165 del 22 de julio de 2024, </w:t>
      </w:r>
      <w:r w:rsidR="00226700" w:rsidRPr="00C02F37">
        <w:rPr>
          <w:rFonts w:ascii="Verdana" w:hAnsi="Verdana"/>
        </w:rPr>
        <w:t xml:space="preserve">C-569 del 21 de octubre del 2024, </w:t>
      </w:r>
      <w:r w:rsidR="00D21445" w:rsidRPr="00C02F37">
        <w:rPr>
          <w:rFonts w:ascii="Verdana" w:hAnsi="Verdana"/>
        </w:rPr>
        <w:t>C-532 del 10 de octubre de 2024,</w:t>
      </w:r>
      <w:r w:rsidR="00E00651" w:rsidRPr="00C02F37">
        <w:rPr>
          <w:rFonts w:ascii="Verdana" w:hAnsi="Verdana"/>
        </w:rPr>
        <w:t xml:space="preserve"> </w:t>
      </w:r>
      <w:r w:rsidR="00CC793C" w:rsidRPr="00C02F37">
        <w:rPr>
          <w:rFonts w:ascii="Verdana" w:hAnsi="Verdana"/>
        </w:rPr>
        <w:t>C-586 del 22 de octubre del 2024</w:t>
      </w:r>
      <w:r w:rsidR="00226700" w:rsidRPr="00C02F37">
        <w:rPr>
          <w:rFonts w:ascii="Verdana" w:hAnsi="Verdana"/>
        </w:rPr>
        <w:t xml:space="preserve">, </w:t>
      </w:r>
      <w:r w:rsidR="00C35113" w:rsidRPr="00C02F37">
        <w:rPr>
          <w:rFonts w:ascii="Verdana" w:hAnsi="Verdana"/>
        </w:rPr>
        <w:t xml:space="preserve">C-623 del </w:t>
      </w:r>
      <w:r w:rsidR="00CC793C" w:rsidRPr="00C02F37">
        <w:rPr>
          <w:rFonts w:ascii="Verdana" w:hAnsi="Verdana"/>
        </w:rPr>
        <w:t xml:space="preserve">30 de octubre del 2024, </w:t>
      </w:r>
      <w:r w:rsidR="00C35113" w:rsidRPr="00C02F37">
        <w:rPr>
          <w:rFonts w:ascii="Verdana" w:hAnsi="Verdana"/>
        </w:rPr>
        <w:t>C-752 del 28 de noviembre del 2024</w:t>
      </w:r>
      <w:r w:rsidR="000014AA">
        <w:rPr>
          <w:rFonts w:ascii="Verdana" w:hAnsi="Verdana"/>
        </w:rPr>
        <w:t>,</w:t>
      </w:r>
      <w:r w:rsidR="00C35113" w:rsidRPr="00C02F37">
        <w:rPr>
          <w:rFonts w:ascii="Verdana" w:hAnsi="Verdana"/>
        </w:rPr>
        <w:t xml:space="preserve"> </w:t>
      </w:r>
      <w:r w:rsidR="00E00651" w:rsidRPr="00C02F37">
        <w:rPr>
          <w:rFonts w:ascii="Verdana" w:hAnsi="Verdana"/>
        </w:rPr>
        <w:t>C-829 del 03 de diciembre del 2024</w:t>
      </w:r>
      <w:r w:rsidR="000014AA">
        <w:rPr>
          <w:rFonts w:ascii="Verdana" w:hAnsi="Verdana"/>
        </w:rPr>
        <w:t xml:space="preserve"> y C-100 del 25 de febrero de 2025</w:t>
      </w:r>
      <w:r w:rsidR="00E00651" w:rsidRPr="00C02F37">
        <w:rPr>
          <w:rFonts w:ascii="Verdana" w:hAnsi="Verdana"/>
        </w:rPr>
        <w:t xml:space="preserve">. </w:t>
      </w:r>
      <w:r w:rsidRPr="00C02F37">
        <w:rPr>
          <w:rStyle w:val="normaltextrun"/>
          <w:rFonts w:ascii="Verdana" w:hAnsi="Verdana" w:cs="Arial"/>
          <w:shd w:val="clear" w:color="auto" w:fill="FFFFFF"/>
          <w:lang w:val="es-ES"/>
        </w:rPr>
        <w:t>Es</w:t>
      </w:r>
      <w:r w:rsidRPr="00C02F37">
        <w:rPr>
          <w:rFonts w:ascii="Verdana" w:hAnsi="Verdana"/>
        </w:rPr>
        <w:t>tos y otros conceptos se encuentran disponibles para consulta en el Sistema de relatoría de la Agencia, al cual se puede acceder a través del siguiente enlace:</w:t>
      </w:r>
      <w:r w:rsidRPr="00C02F37">
        <w:rPr>
          <w:rStyle w:val="normaltextrun"/>
          <w:rFonts w:ascii="Verdana" w:hAnsi="Verdana" w:cs="Arial"/>
          <w:shd w:val="clear" w:color="auto" w:fill="FFFFFF"/>
          <w:lang w:val="es-ES"/>
        </w:rPr>
        <w:t xml:space="preserve"> </w:t>
      </w:r>
      <w:hyperlink r:id="rId13" w:history="1">
        <w:r w:rsidRPr="00C02F37">
          <w:rPr>
            <w:rStyle w:val="Hipervnculo"/>
            <w:rFonts w:ascii="Verdana" w:hAnsi="Verdana" w:cs="Arial"/>
            <w:shd w:val="clear" w:color="auto" w:fill="FFFFFF"/>
            <w:lang w:val="es-ES"/>
          </w:rPr>
          <w:t>https://relatoria.colombiacompra.gov.co/busqueda/conceptos</w:t>
        </w:r>
      </w:hyperlink>
      <w:r w:rsidRPr="00C02F37">
        <w:rPr>
          <w:rStyle w:val="normaltextrun"/>
          <w:rFonts w:ascii="Verdana" w:hAnsi="Verdana" w:cs="Arial"/>
          <w:color w:val="FF0000"/>
          <w:shd w:val="clear" w:color="auto" w:fill="FFFFFF"/>
          <w:lang w:val="es-ES"/>
        </w:rPr>
        <w:t xml:space="preserve">. </w:t>
      </w:r>
    </w:p>
    <w:p w14:paraId="47A37171" w14:textId="77777777" w:rsidR="003B61C6" w:rsidRPr="00C02F37" w:rsidRDefault="003B61C6" w:rsidP="003B61C6">
      <w:pPr>
        <w:widowControl w:val="0"/>
        <w:autoSpaceDE w:val="0"/>
        <w:autoSpaceDN w:val="0"/>
        <w:spacing w:after="0" w:line="276" w:lineRule="auto"/>
        <w:jc w:val="both"/>
        <w:rPr>
          <w:rStyle w:val="normaltextrun"/>
          <w:rFonts w:ascii="Verdana" w:hAnsi="Verdana"/>
          <w:lang w:val="es-ES"/>
        </w:rPr>
      </w:pPr>
    </w:p>
    <w:p w14:paraId="6270E778" w14:textId="698833AA" w:rsidR="000F7C08" w:rsidRPr="000F7C08" w:rsidRDefault="000F7C08" w:rsidP="000F7C08">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T</w:t>
      </w:r>
      <w:r w:rsidRPr="000F7C08">
        <w:rPr>
          <w:rFonts w:ascii="Verdana" w:hAnsi="Verdana" w:cs="Arial"/>
          <w:color w:val="000000" w:themeColor="text1"/>
          <w:shd w:val="clear" w:color="auto" w:fill="FFFFFF"/>
        </w:rPr>
        <w:t>e informamos que ya se encuentra disponible la </w:t>
      </w:r>
      <w:r w:rsidRPr="000F7C08">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0F7C08">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0F7C08">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206CC30F" w14:textId="77777777" w:rsidR="000F7C08" w:rsidRDefault="000F7C08" w:rsidP="000F7C08">
      <w:pPr>
        <w:widowControl w:val="0"/>
        <w:autoSpaceDE w:val="0"/>
        <w:autoSpaceDN w:val="0"/>
        <w:spacing w:after="0" w:line="276" w:lineRule="auto"/>
        <w:jc w:val="both"/>
      </w:pPr>
      <w:r w:rsidRPr="000F7C08">
        <w:rPr>
          <w:rFonts w:ascii="Verdana" w:hAnsi="Verdana" w:cs="Arial"/>
          <w:color w:val="000000" w:themeColor="text1"/>
          <w:shd w:val="clear" w:color="auto" w:fill="FFFFFF"/>
        </w:rPr>
        <w:t>De otra parte, te informamos que, con el objetivo de garantizar un conocimiento adecuado de las </w:t>
      </w:r>
      <w:r w:rsidRPr="000F7C08">
        <w:rPr>
          <w:rFonts w:ascii="Verdana" w:hAnsi="Verdana" w:cs="Arial"/>
          <w:b/>
          <w:bCs/>
          <w:color w:val="000000" w:themeColor="text1"/>
          <w:shd w:val="clear" w:color="auto" w:fill="FFFFFF"/>
        </w:rPr>
        <w:t>modificaciones y/o actualizaciones realizadas a los Documentos Tipo</w:t>
      </w:r>
      <w:r w:rsidRPr="000F7C08">
        <w:rPr>
          <w:rFonts w:ascii="Verdana" w:hAnsi="Verdana" w:cs="Arial"/>
          <w:color w:val="000000" w:themeColor="text1"/>
          <w:shd w:val="clear" w:color="auto" w:fill="FFFFFF"/>
        </w:rPr>
        <w:t>, hemos programado una serie de </w:t>
      </w:r>
      <w:r w:rsidRPr="000F7C08">
        <w:rPr>
          <w:rFonts w:ascii="Verdana" w:hAnsi="Verdana" w:cs="Arial"/>
          <w:b/>
          <w:bCs/>
          <w:color w:val="000000" w:themeColor="text1"/>
          <w:shd w:val="clear" w:color="auto" w:fill="FFFFFF"/>
        </w:rPr>
        <w:t>capacitaciones </w:t>
      </w:r>
      <w:r w:rsidRPr="000F7C08">
        <w:rPr>
          <w:rFonts w:ascii="Verdana" w:hAnsi="Verdana" w:cs="Arial"/>
          <w:color w:val="000000" w:themeColor="text1"/>
          <w:shd w:val="clear" w:color="auto" w:fill="FFFFFF"/>
        </w:rPr>
        <w:t xml:space="preserve">dirigidas </w:t>
      </w:r>
      <w:r w:rsidRPr="000F7C08">
        <w:rPr>
          <w:rFonts w:ascii="Verdana" w:hAnsi="Verdana" w:cs="Arial"/>
          <w:color w:val="000000" w:themeColor="text1"/>
          <w:shd w:val="clear" w:color="auto" w:fill="FFFFFF"/>
        </w:rPr>
        <w:lastRenderedPageBreak/>
        <w:t>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0F7C08">
          <w:rPr>
            <w:rStyle w:val="Hipervnculo"/>
            <w:rFonts w:ascii="Verdana" w:hAnsi="Verdana" w:cs="Arial"/>
            <w:shd w:val="clear" w:color="auto" w:fill="FFFFFF"/>
          </w:rPr>
          <w:t>Calendario | Colombia Compra Eficiente | Agencia Nacional de Contratación Pública</w:t>
        </w:r>
      </w:hyperlink>
    </w:p>
    <w:p w14:paraId="44D8A630" w14:textId="77777777" w:rsidR="00292057" w:rsidRPr="000F7C08" w:rsidRDefault="00292057" w:rsidP="000F7C08">
      <w:pPr>
        <w:widowControl w:val="0"/>
        <w:autoSpaceDE w:val="0"/>
        <w:autoSpaceDN w:val="0"/>
        <w:spacing w:after="0" w:line="276" w:lineRule="auto"/>
        <w:jc w:val="both"/>
        <w:rPr>
          <w:rFonts w:ascii="Verdana" w:hAnsi="Verdana" w:cs="Arial"/>
          <w:color w:val="000000" w:themeColor="text1"/>
          <w:shd w:val="clear" w:color="auto" w:fill="FFFFFF"/>
        </w:rPr>
      </w:pPr>
    </w:p>
    <w:p w14:paraId="0783CF79" w14:textId="77777777" w:rsidR="000F7C08" w:rsidRPr="000F7C08" w:rsidRDefault="000F7C08" w:rsidP="000F7C08">
      <w:pPr>
        <w:widowControl w:val="0"/>
        <w:autoSpaceDE w:val="0"/>
        <w:autoSpaceDN w:val="0"/>
        <w:spacing w:after="0" w:line="276" w:lineRule="auto"/>
        <w:jc w:val="both"/>
        <w:rPr>
          <w:rFonts w:ascii="Verdana" w:hAnsi="Verdana" w:cs="Arial"/>
          <w:color w:val="000000" w:themeColor="text1"/>
          <w:shd w:val="clear" w:color="auto" w:fill="FFFFFF"/>
        </w:rPr>
      </w:pPr>
      <w:r w:rsidRPr="000F7C08">
        <w:rPr>
          <w:rFonts w:ascii="Verdana" w:hAnsi="Verdana" w:cs="Arial"/>
          <w:color w:val="000000" w:themeColor="text1"/>
          <w:shd w:val="clear" w:color="auto" w:fill="FFFFFF"/>
        </w:rPr>
        <w:t>También, te contamos que ya publicamos </w:t>
      </w:r>
      <w:r w:rsidRPr="000F7C08">
        <w:rPr>
          <w:rFonts w:ascii="Verdana" w:hAnsi="Verdana" w:cs="Arial"/>
          <w:b/>
          <w:bCs/>
          <w:color w:val="000000" w:themeColor="text1"/>
          <w:shd w:val="clear" w:color="auto" w:fill="FFFFFF"/>
        </w:rPr>
        <w:t>la nueva Guía de Contratación Pública Sostenible y Socialmente Responsable</w:t>
      </w:r>
      <w:r w:rsidRPr="000F7C0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0F7C08">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17D30074" w14:textId="77777777" w:rsidR="003B61C6" w:rsidRPr="00C02F37" w:rsidRDefault="003B61C6" w:rsidP="003B61C6">
      <w:pPr>
        <w:widowControl w:val="0"/>
        <w:autoSpaceDE w:val="0"/>
        <w:autoSpaceDN w:val="0"/>
        <w:spacing w:after="0" w:line="276" w:lineRule="auto"/>
        <w:jc w:val="both"/>
        <w:rPr>
          <w:rFonts w:ascii="Verdana" w:hAnsi="Verdana" w:cs="Arial"/>
          <w:color w:val="000000" w:themeColor="text1"/>
          <w:shd w:val="clear" w:color="auto" w:fill="FFFFFF"/>
        </w:rPr>
      </w:pPr>
    </w:p>
    <w:p w14:paraId="14C525F4" w14:textId="77777777" w:rsidR="003B61C6" w:rsidRPr="00C02F37" w:rsidRDefault="003B61C6" w:rsidP="003B61C6">
      <w:pPr>
        <w:widowControl w:val="0"/>
        <w:autoSpaceDE w:val="0"/>
        <w:autoSpaceDN w:val="0"/>
        <w:spacing w:after="0" w:line="276" w:lineRule="auto"/>
        <w:jc w:val="both"/>
        <w:rPr>
          <w:rFonts w:ascii="Verdana" w:hAnsi="Verdana"/>
        </w:rPr>
      </w:pPr>
      <w:r w:rsidRPr="00C02F37">
        <w:rPr>
          <w:rFonts w:ascii="Verdana" w:hAnsi="Verdana"/>
        </w:rPr>
        <w:t xml:space="preserve">Por último, lo invitamos a seguirnos en las redes sociales en las cuales se difunde información institucional: </w:t>
      </w:r>
    </w:p>
    <w:p w14:paraId="6A4DC3E0" w14:textId="77777777" w:rsidR="003B61C6" w:rsidRPr="00C02F37" w:rsidRDefault="003B61C6" w:rsidP="003B61C6">
      <w:pPr>
        <w:widowControl w:val="0"/>
        <w:autoSpaceDE w:val="0"/>
        <w:autoSpaceDN w:val="0"/>
        <w:spacing w:after="0" w:line="276" w:lineRule="auto"/>
        <w:jc w:val="both"/>
        <w:rPr>
          <w:rFonts w:ascii="Verdana" w:hAnsi="Verdana"/>
        </w:rPr>
      </w:pPr>
    </w:p>
    <w:p w14:paraId="44605818"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Twitter: </w:t>
      </w:r>
      <w:r w:rsidRPr="00C02F37">
        <w:rPr>
          <w:rStyle w:val="Hipervnculo"/>
          <w:rFonts w:ascii="Verdana" w:hAnsi="Verdana" w:cs="Arial"/>
          <w:shd w:val="clear" w:color="auto" w:fill="FFFFFF"/>
          <w:lang w:val="es-ES"/>
        </w:rPr>
        <w:t>@colombiacompra</w:t>
      </w:r>
      <w:r w:rsidRPr="00C02F37">
        <w:rPr>
          <w:rFonts w:ascii="Verdana" w:eastAsia="Aptos" w:hAnsi="Verdana" w:cs="Times New Roman"/>
          <w:color w:val="156082"/>
        </w:rPr>
        <w:t xml:space="preserve"> </w:t>
      </w:r>
    </w:p>
    <w:p w14:paraId="3F2063E4"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Facebook: </w:t>
      </w:r>
      <w:proofErr w:type="spellStart"/>
      <w:r w:rsidRPr="00C02F37">
        <w:rPr>
          <w:rStyle w:val="Hipervnculo"/>
          <w:rFonts w:ascii="Verdana" w:hAnsi="Verdana" w:cs="Arial"/>
          <w:shd w:val="clear" w:color="auto" w:fill="FFFFFF"/>
          <w:lang w:val="es-ES"/>
        </w:rPr>
        <w:t>ColombiaCompraEficiente</w:t>
      </w:r>
      <w:proofErr w:type="spellEnd"/>
    </w:p>
    <w:p w14:paraId="58A4ED21"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LinkedIn: </w:t>
      </w:r>
      <w:r w:rsidRPr="00C02F37">
        <w:rPr>
          <w:rStyle w:val="Hipervnculo"/>
          <w:rFonts w:ascii="Verdana" w:hAnsi="Verdana" w:cs="Arial"/>
          <w:shd w:val="clear" w:color="auto" w:fill="FFFFFF"/>
          <w:lang w:val="es-ES"/>
        </w:rPr>
        <w:t>Agencia Nacional de Contratación Pública - Colombia Compra Eficiente</w:t>
      </w:r>
      <w:r w:rsidRPr="00C02F37">
        <w:rPr>
          <w:rFonts w:ascii="Verdana" w:eastAsia="Aptos" w:hAnsi="Verdana" w:cs="Times New Roman"/>
          <w:color w:val="156082"/>
        </w:rPr>
        <w:t xml:space="preserve"> </w:t>
      </w:r>
      <w:r w:rsidRPr="00C02F37">
        <w:rPr>
          <w:rFonts w:ascii="Verdana" w:hAnsi="Verdana"/>
        </w:rPr>
        <w:t xml:space="preserve">Instagram: </w:t>
      </w:r>
      <w:r w:rsidRPr="00C02F37">
        <w:rPr>
          <w:rStyle w:val="Hipervnculo"/>
          <w:rFonts w:ascii="Verdana" w:hAnsi="Verdana" w:cs="Arial"/>
          <w:shd w:val="clear" w:color="auto" w:fill="FFFFFF"/>
          <w:lang w:val="es-ES"/>
        </w:rPr>
        <w:t>@colombiacompraeficiente_cce</w:t>
      </w:r>
    </w:p>
    <w:p w14:paraId="4A29F9E2" w14:textId="77777777" w:rsidR="003B61C6" w:rsidRPr="00C02F37" w:rsidRDefault="003B61C6" w:rsidP="003B61C6">
      <w:pPr>
        <w:widowControl w:val="0"/>
        <w:autoSpaceDE w:val="0"/>
        <w:autoSpaceDN w:val="0"/>
        <w:spacing w:after="0" w:line="276" w:lineRule="auto"/>
        <w:jc w:val="both"/>
        <w:rPr>
          <w:rFonts w:ascii="Verdana" w:hAnsi="Verdana"/>
        </w:rPr>
      </w:pPr>
    </w:p>
    <w:p w14:paraId="47642659" w14:textId="77777777" w:rsidR="003B61C6" w:rsidRPr="00C02F37" w:rsidRDefault="003B61C6" w:rsidP="003B61C6">
      <w:pPr>
        <w:widowControl w:val="0"/>
        <w:autoSpaceDE w:val="0"/>
        <w:autoSpaceDN w:val="0"/>
        <w:spacing w:after="0" w:line="276" w:lineRule="auto"/>
        <w:jc w:val="both"/>
        <w:rPr>
          <w:rFonts w:ascii="Verdana" w:eastAsia="Aptos" w:hAnsi="Verdana" w:cs="Arial"/>
          <w:lang w:val="es-ES_tradnl"/>
        </w:rPr>
      </w:pPr>
      <w:r w:rsidRPr="00C02F37">
        <w:rPr>
          <w:rFonts w:ascii="Verdana" w:eastAsia="Aptos" w:hAnsi="Verdana" w:cs="Arial"/>
        </w:rPr>
        <w:t xml:space="preserve">Este concepto tiene el alcance previsto en el artículo 28 del Código de Procedimiento Administrativo y de lo Contencioso Administrativo </w:t>
      </w:r>
      <w:r w:rsidRPr="00C02F37">
        <w:rPr>
          <w:rFonts w:ascii="Verdana" w:eastAsia="Aptos" w:hAnsi="Verdana" w:cs="Arial"/>
          <w:lang w:val="es-ES_tradnl"/>
        </w:rPr>
        <w:t>y las expresiones aquí utilizadas con mayúscula inicial deben ser entendidas con el significado que les otorga el artículo 2.2.1.1.1.3.1. del Decreto 1082 de 2015.</w:t>
      </w:r>
    </w:p>
    <w:p w14:paraId="681FF69A" w14:textId="77777777" w:rsidR="003B61C6" w:rsidRPr="00C02F37" w:rsidRDefault="003B61C6" w:rsidP="003B61C6">
      <w:pPr>
        <w:widowControl w:val="0"/>
        <w:autoSpaceDE w:val="0"/>
        <w:autoSpaceDN w:val="0"/>
        <w:spacing w:after="0" w:line="276" w:lineRule="auto"/>
        <w:jc w:val="both"/>
        <w:rPr>
          <w:rFonts w:ascii="Verdana" w:eastAsia="Aptos" w:hAnsi="Verdana" w:cs="Arial"/>
        </w:rPr>
      </w:pPr>
    </w:p>
    <w:p w14:paraId="2D445CB8" w14:textId="77777777" w:rsidR="003B61C6" w:rsidRPr="00C02F37" w:rsidRDefault="003B61C6" w:rsidP="003B61C6">
      <w:pPr>
        <w:spacing w:after="0" w:line="240" w:lineRule="auto"/>
        <w:rPr>
          <w:rFonts w:ascii="Verdana" w:hAnsi="Verdana" w:cs="Arial"/>
          <w:lang w:eastAsia="es-CO"/>
        </w:rPr>
      </w:pPr>
      <w:r w:rsidRPr="00C02F37">
        <w:rPr>
          <w:rFonts w:ascii="Verdana" w:eastAsia="Times New Roman" w:hAnsi="Verdana" w:cs="Arial"/>
          <w:lang w:eastAsia="es-CO"/>
        </w:rPr>
        <w:t>Atentamente,</w:t>
      </w:r>
      <w:r w:rsidRPr="00C02F37">
        <w:rPr>
          <w:rFonts w:ascii="Verdana" w:hAnsi="Verdana" w:cs="Arial"/>
          <w:lang w:eastAsia="es-CO"/>
        </w:rPr>
        <w:t xml:space="preserve"> </w:t>
      </w:r>
    </w:p>
    <w:bookmarkEnd w:id="0"/>
    <w:p w14:paraId="6B861D90" w14:textId="54C362DB" w:rsidR="00937EEE" w:rsidRPr="00593A5F" w:rsidRDefault="00C67B77" w:rsidP="00937EEE">
      <w:pPr>
        <w:spacing w:line="276" w:lineRule="auto"/>
        <w:jc w:val="center"/>
        <w:rPr>
          <w:rFonts w:ascii="Verdana" w:hAnsi="Verdana" w:cs="Arial"/>
          <w:color w:val="000000"/>
          <w:lang w:val="es-ES_tradnl" w:eastAsia="es-CO"/>
        </w:rPr>
      </w:pPr>
      <w:r w:rsidRPr="00800065">
        <w:rPr>
          <w:rFonts w:ascii="Verdana" w:hAnsi="Verdana" w:cs="Arial"/>
          <w:noProof/>
          <w:color w:val="000000"/>
          <w:lang w:eastAsia="es-CO"/>
        </w:rPr>
        <w:drawing>
          <wp:inline distT="0" distB="0" distL="0" distR="0" wp14:anchorId="66B45847" wp14:editId="2FAB8B23">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p>
    <w:p w14:paraId="1329181F" w14:textId="77777777" w:rsidR="00937EEE" w:rsidRPr="00E517D9" w:rsidRDefault="00937EEE" w:rsidP="00937EEE">
      <w:pPr>
        <w:spacing w:line="276" w:lineRule="auto"/>
        <w:jc w:val="center"/>
        <w:rPr>
          <w:rFonts w:ascii="Verdana" w:eastAsia="Times New Roman"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37EEE" w:rsidRPr="001827D1" w14:paraId="48554119" w14:textId="77777777" w:rsidTr="008E73A5">
        <w:trPr>
          <w:trHeight w:val="315"/>
        </w:trPr>
        <w:tc>
          <w:tcPr>
            <w:tcW w:w="893" w:type="dxa"/>
            <w:vAlign w:val="center"/>
            <w:hideMark/>
          </w:tcPr>
          <w:p w14:paraId="2A8F2C03" w14:textId="77777777" w:rsidR="00937EEE" w:rsidRPr="001827D1" w:rsidRDefault="00937EEE" w:rsidP="008E73A5">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lastRenderedPageBreak/>
              <w:t>Elaboró:</w:t>
            </w:r>
          </w:p>
        </w:tc>
        <w:tc>
          <w:tcPr>
            <w:tcW w:w="5628" w:type="dxa"/>
            <w:tcBorders>
              <w:top w:val="nil"/>
              <w:left w:val="nil"/>
              <w:bottom w:val="dotted" w:sz="4" w:space="0" w:color="7F7F7F"/>
              <w:right w:val="nil"/>
            </w:tcBorders>
            <w:vAlign w:val="center"/>
            <w:hideMark/>
          </w:tcPr>
          <w:p w14:paraId="51984542" w14:textId="77777777" w:rsidR="00937EEE" w:rsidRPr="001827D1" w:rsidRDefault="00937EEE" w:rsidP="008E73A5">
            <w:pPr>
              <w:contextualSpacing/>
              <w:rPr>
                <w:rFonts w:ascii="Verdana" w:eastAsia="Arial" w:hAnsi="Verdana" w:cs="Arial"/>
                <w:color w:val="000000"/>
                <w:sz w:val="16"/>
                <w:szCs w:val="16"/>
              </w:rPr>
            </w:pPr>
            <w:r>
              <w:rPr>
                <w:rFonts w:ascii="Verdana" w:eastAsia="Times New Roman" w:hAnsi="Verdana" w:cs="Arial"/>
                <w:color w:val="000000"/>
                <w:sz w:val="16"/>
                <w:szCs w:val="16"/>
              </w:rPr>
              <w:t>María Joshira Nieto Manzano</w:t>
            </w:r>
          </w:p>
          <w:p w14:paraId="59A5CA78" w14:textId="77777777" w:rsidR="00937EEE" w:rsidRPr="001827D1" w:rsidRDefault="00937EEE" w:rsidP="008E73A5">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937EEE" w:rsidRPr="001827D1" w14:paraId="5BA0BFEB" w14:textId="77777777" w:rsidTr="008E73A5">
        <w:trPr>
          <w:trHeight w:val="330"/>
        </w:trPr>
        <w:tc>
          <w:tcPr>
            <w:tcW w:w="893" w:type="dxa"/>
            <w:vAlign w:val="center"/>
            <w:hideMark/>
          </w:tcPr>
          <w:p w14:paraId="09AF3E51" w14:textId="77777777" w:rsidR="00937EEE" w:rsidRPr="001827D1" w:rsidRDefault="00937EEE" w:rsidP="008E73A5">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215F84A" w14:textId="0BCD544C" w:rsidR="001901A1" w:rsidRPr="00151C8B" w:rsidRDefault="001901A1" w:rsidP="001901A1">
            <w:pPr>
              <w:pStyle w:val="paragraph"/>
              <w:spacing w:before="0" w:beforeAutospacing="0" w:after="0" w:afterAutospacing="0"/>
              <w:contextualSpacing/>
              <w:textAlignment w:val="baseline"/>
              <w:rPr>
                <w:rFonts w:ascii="Verdana" w:hAnsi="Verdana" w:cs="Segoe UI"/>
                <w:sz w:val="16"/>
                <w:szCs w:val="16"/>
              </w:rPr>
            </w:pPr>
            <w:r w:rsidRPr="00151C8B">
              <w:rPr>
                <w:rStyle w:val="normaltextrun"/>
                <w:rFonts w:ascii="Verdana" w:hAnsi="Verdana" w:cs="Arial"/>
                <w:sz w:val="16"/>
                <w:szCs w:val="16"/>
                <w:lang w:val="es-ES"/>
              </w:rPr>
              <w:t>Juan Carlos González Vázquez</w:t>
            </w:r>
          </w:p>
          <w:p w14:paraId="611772EC" w14:textId="7FE30A71" w:rsidR="00937EEE" w:rsidRPr="00FC5545" w:rsidRDefault="001901A1" w:rsidP="001901A1">
            <w:pPr>
              <w:contextualSpacing/>
              <w:textAlignment w:val="baseline"/>
              <w:rPr>
                <w:rFonts w:ascii="Verdana" w:eastAsia="Times New Roman" w:hAnsi="Verdana" w:cs="Arial"/>
                <w:color w:val="000000"/>
                <w:sz w:val="16"/>
                <w:szCs w:val="16"/>
              </w:rPr>
            </w:pPr>
            <w:r w:rsidRPr="00151C8B">
              <w:rPr>
                <w:rStyle w:val="normaltextrun"/>
                <w:rFonts w:ascii="Verdana" w:hAnsi="Verdana" w:cs="Arial"/>
                <w:sz w:val="16"/>
                <w:szCs w:val="16"/>
                <w:lang w:val="es-ES"/>
              </w:rPr>
              <w:t>Contratista de la Subdirección de Gestión Contractual</w:t>
            </w:r>
            <w:r w:rsidRPr="00151C8B">
              <w:rPr>
                <w:rStyle w:val="eop"/>
                <w:rFonts w:ascii="Verdana" w:hAnsi="Verdana" w:cs="Arial"/>
                <w:sz w:val="16"/>
                <w:szCs w:val="16"/>
              </w:rPr>
              <w:t> </w:t>
            </w:r>
          </w:p>
        </w:tc>
      </w:tr>
      <w:tr w:rsidR="00937EEE" w:rsidRPr="001827D1" w14:paraId="4FCF1527" w14:textId="77777777" w:rsidTr="008E73A5">
        <w:trPr>
          <w:trHeight w:val="300"/>
        </w:trPr>
        <w:tc>
          <w:tcPr>
            <w:tcW w:w="893" w:type="dxa"/>
            <w:vAlign w:val="center"/>
          </w:tcPr>
          <w:p w14:paraId="40EF81B3" w14:textId="77777777" w:rsidR="00937EEE" w:rsidRPr="001827D1" w:rsidRDefault="00937EEE" w:rsidP="008E73A5">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F4F7603" w14:textId="77777777" w:rsidR="00937EEE" w:rsidRPr="00FC5545" w:rsidRDefault="00937EEE" w:rsidP="008E73A5">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Carolina Quintero </w:t>
            </w:r>
            <w:proofErr w:type="spellStart"/>
            <w:r w:rsidRPr="00FC5545">
              <w:rPr>
                <w:rFonts w:ascii="Verdana" w:eastAsia="Times New Roman" w:hAnsi="Verdana" w:cs="Arial"/>
                <w:color w:val="000000"/>
                <w:sz w:val="16"/>
                <w:szCs w:val="16"/>
              </w:rPr>
              <w:t>Gacharná</w:t>
            </w:r>
            <w:proofErr w:type="spellEnd"/>
          </w:p>
          <w:p w14:paraId="666F1D97" w14:textId="77777777" w:rsidR="00937EEE" w:rsidRPr="00FC5545" w:rsidRDefault="00937EEE" w:rsidP="008E73A5">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Subdirectora de Gestión Contractual ANCP – CCE</w:t>
            </w:r>
          </w:p>
        </w:tc>
      </w:tr>
    </w:tbl>
    <w:p w14:paraId="566B5734" w14:textId="77777777" w:rsidR="00937EEE" w:rsidRPr="000A7E2C" w:rsidRDefault="00937EEE" w:rsidP="00937EEE">
      <w:pPr>
        <w:spacing w:after="0" w:line="240" w:lineRule="auto"/>
      </w:pPr>
    </w:p>
    <w:p w14:paraId="6EFD3E27" w14:textId="77777777" w:rsidR="00937EEE" w:rsidRPr="0041392B" w:rsidRDefault="00937EEE" w:rsidP="00937EEE">
      <w:pPr>
        <w:spacing w:after="0" w:line="240" w:lineRule="auto"/>
        <w:jc w:val="both"/>
      </w:pPr>
    </w:p>
    <w:p w14:paraId="3900974D" w14:textId="77777777" w:rsidR="003D5B0D" w:rsidRPr="00984937" w:rsidRDefault="003D5B0D" w:rsidP="00937EEE">
      <w:pPr>
        <w:spacing w:line="276" w:lineRule="auto"/>
        <w:jc w:val="center"/>
        <w:rPr>
          <w:rFonts w:ascii="Verdana" w:eastAsia="Times New Roman" w:hAnsi="Verdana" w:cs="Segoe UI"/>
          <w:b/>
          <w:bCs/>
          <w:color w:val="46589C"/>
          <w:lang w:eastAsia="es-CO"/>
        </w:rPr>
      </w:pPr>
    </w:p>
    <w:sectPr w:rsidR="003D5B0D" w:rsidRPr="00984937" w:rsidSect="00EF710B">
      <w:headerReference w:type="default" r:id="rId18"/>
      <w:footerReference w:type="default" r:id="rId19"/>
      <w:pgSz w:w="12240" w:h="15840" w:code="1"/>
      <w:pgMar w:top="1417" w:right="1701" w:bottom="1417" w:left="1701" w:header="709"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0405C" w14:textId="77777777" w:rsidR="00380758" w:rsidRDefault="00380758" w:rsidP="004A1847">
      <w:pPr>
        <w:spacing w:after="0" w:line="240" w:lineRule="auto"/>
      </w:pPr>
      <w:r>
        <w:separator/>
      </w:r>
    </w:p>
  </w:endnote>
  <w:endnote w:type="continuationSeparator" w:id="0">
    <w:p w14:paraId="4CB134D7" w14:textId="77777777" w:rsidR="00380758" w:rsidRDefault="0038075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CB008" w14:textId="77777777" w:rsidR="00380758" w:rsidRDefault="00380758" w:rsidP="004A1847">
      <w:pPr>
        <w:spacing w:after="0" w:line="240" w:lineRule="auto"/>
      </w:pPr>
      <w:r>
        <w:separator/>
      </w:r>
    </w:p>
  </w:footnote>
  <w:footnote w:type="continuationSeparator" w:id="0">
    <w:p w14:paraId="280C881D" w14:textId="77777777" w:rsidR="00380758" w:rsidRDefault="00380758" w:rsidP="004A1847">
      <w:pPr>
        <w:spacing w:after="0" w:line="240" w:lineRule="auto"/>
      </w:pPr>
      <w:r>
        <w:continuationSeparator/>
      </w:r>
    </w:p>
  </w:footnote>
  <w:footnote w:id="1">
    <w:p w14:paraId="10FB9B66" w14:textId="77777777" w:rsidR="00004ADF" w:rsidRPr="00D37D18" w:rsidRDefault="00004ADF" w:rsidP="0086223E">
      <w:pPr>
        <w:pStyle w:val="Textonotapie"/>
        <w:ind w:firstLine="708"/>
        <w:jc w:val="both"/>
        <w:rPr>
          <w:rFonts w:ascii="Verdana" w:hAnsi="Verdana" w:cs="Arial"/>
          <w:sz w:val="18"/>
          <w:szCs w:val="18"/>
        </w:rPr>
      </w:pPr>
      <w:r w:rsidRPr="0040622E">
        <w:rPr>
          <w:rStyle w:val="Refdenotaalpie"/>
          <w:rFonts w:ascii="Verdana" w:hAnsi="Verdana" w:cs="Arial"/>
          <w:sz w:val="10"/>
          <w:szCs w:val="10"/>
        </w:rPr>
        <w:footnoteRef/>
      </w:r>
      <w:r w:rsidRPr="0040622E">
        <w:rPr>
          <w:rFonts w:ascii="Verdana" w:hAnsi="Verdana" w:cs="Arial"/>
          <w:sz w:val="10"/>
          <w:szCs w:val="10"/>
        </w:rPr>
        <w:t xml:space="preserve"> </w:t>
      </w:r>
      <w:r w:rsidRPr="00D37D18">
        <w:rPr>
          <w:rFonts w:ascii="Verdana" w:hAnsi="Verdana" w:cs="Arial"/>
          <w:sz w:val="18"/>
          <w:szCs w:val="18"/>
        </w:rPr>
        <w:t>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1F855559" w14:textId="77777777" w:rsidR="00004ADF" w:rsidRPr="00D37D18" w:rsidRDefault="00004ADF" w:rsidP="0086223E">
      <w:pPr>
        <w:pStyle w:val="Textonotapie"/>
        <w:ind w:firstLine="708"/>
        <w:jc w:val="both"/>
        <w:rPr>
          <w:rFonts w:ascii="Verdana" w:hAnsi="Verdana" w:cs="Arial"/>
          <w:sz w:val="18"/>
          <w:szCs w:val="18"/>
        </w:rPr>
      </w:pPr>
    </w:p>
    <w:p w14:paraId="59280123" w14:textId="77777777" w:rsidR="00004ADF" w:rsidRPr="00D37D18" w:rsidRDefault="00004ADF" w:rsidP="0086223E">
      <w:pPr>
        <w:pStyle w:val="Textonotapie"/>
        <w:ind w:firstLine="708"/>
        <w:jc w:val="both"/>
        <w:rPr>
          <w:rFonts w:ascii="Verdana" w:hAnsi="Verdana" w:cs="Arial"/>
          <w:sz w:val="18"/>
          <w:szCs w:val="18"/>
        </w:rPr>
      </w:pPr>
      <w:r w:rsidRPr="00D37D18">
        <w:rPr>
          <w:rFonts w:ascii="Verdana" w:hAnsi="Verdana" w:cs="Arial"/>
          <w:sz w:val="18"/>
          <w:szCs w:val="18"/>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6EC07254" w14:textId="77777777" w:rsidR="00004ADF" w:rsidRPr="00D37D18" w:rsidRDefault="00004ADF" w:rsidP="0086223E">
      <w:pPr>
        <w:pStyle w:val="Textonotapie"/>
        <w:ind w:firstLine="708"/>
        <w:jc w:val="both"/>
        <w:rPr>
          <w:rFonts w:ascii="Verdana" w:hAnsi="Verdana" w:cs="Arial"/>
          <w:sz w:val="18"/>
          <w:szCs w:val="18"/>
        </w:rPr>
      </w:pPr>
    </w:p>
  </w:footnote>
  <w:footnote w:id="2">
    <w:p w14:paraId="41ECB622" w14:textId="200C8DF4" w:rsidR="0040155B" w:rsidRPr="00D37D18" w:rsidRDefault="0040155B" w:rsidP="0086223E">
      <w:pPr>
        <w:pStyle w:val="Textonotapie"/>
        <w:ind w:firstLine="708"/>
        <w:jc w:val="both"/>
        <w:rPr>
          <w:rFonts w:ascii="Verdana" w:hAnsi="Verdana" w:cs="Arial"/>
          <w:sz w:val="18"/>
          <w:szCs w:val="18"/>
        </w:rPr>
      </w:pPr>
      <w:r w:rsidRPr="00D37D18">
        <w:rPr>
          <w:rStyle w:val="Refdenotaalpie"/>
          <w:rFonts w:ascii="Verdana" w:hAnsi="Verdana" w:cs="Arial"/>
          <w:sz w:val="18"/>
          <w:szCs w:val="18"/>
        </w:rPr>
        <w:footnoteRef/>
      </w:r>
      <w:r w:rsidRPr="00D37D18">
        <w:rPr>
          <w:rFonts w:ascii="Verdana" w:hAnsi="Verdana"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26909469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256611860" name="Imagen 125661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406AF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10782713" o:spid="_x0000_i1025" type="#_x0000_t75" style="width:11.5pt;height:11.5pt;visibility:visible;mso-wrap-style:square">
            <v:imagedata r:id="rId1" o:title=""/>
          </v:shape>
        </w:pict>
      </mc:Choice>
      <mc:Fallback>
        <w:drawing>
          <wp:inline distT="0" distB="0" distL="0" distR="0" wp14:anchorId="40621BC4" wp14:editId="40621BC5">
            <wp:extent cx="146050" cy="146050"/>
            <wp:effectExtent l="0" t="0" r="0" b="0"/>
            <wp:docPr id="810782713" name="Imagen 81078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72E93"/>
    <w:multiLevelType w:val="hybridMultilevel"/>
    <w:tmpl w:val="08DA01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04B0D11"/>
    <w:multiLevelType w:val="hybridMultilevel"/>
    <w:tmpl w:val="3B1611B4"/>
    <w:lvl w:ilvl="0" w:tplc="952A066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2F81F6F"/>
    <w:multiLevelType w:val="hybridMultilevel"/>
    <w:tmpl w:val="29B68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679089576">
    <w:abstractNumId w:val="12"/>
  </w:num>
  <w:num w:numId="18" w16cid:durableId="1670254484">
    <w:abstractNumId w:val="4"/>
  </w:num>
  <w:num w:numId="19" w16cid:durableId="1411123333">
    <w:abstractNumId w:val="3"/>
  </w:num>
  <w:num w:numId="20" w16cid:durableId="1032464488">
    <w:abstractNumId w:val="13"/>
  </w:num>
  <w:num w:numId="21" w16cid:durableId="1492209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4AA"/>
    <w:rsid w:val="00002676"/>
    <w:rsid w:val="00003765"/>
    <w:rsid w:val="0000448F"/>
    <w:rsid w:val="00004ADF"/>
    <w:rsid w:val="00016F78"/>
    <w:rsid w:val="00032A67"/>
    <w:rsid w:val="000362CA"/>
    <w:rsid w:val="00037AB9"/>
    <w:rsid w:val="00046945"/>
    <w:rsid w:val="0005682E"/>
    <w:rsid w:val="00061B2A"/>
    <w:rsid w:val="000706A9"/>
    <w:rsid w:val="00082362"/>
    <w:rsid w:val="00082384"/>
    <w:rsid w:val="00093361"/>
    <w:rsid w:val="000A683E"/>
    <w:rsid w:val="000B03C6"/>
    <w:rsid w:val="000B19B9"/>
    <w:rsid w:val="000B674C"/>
    <w:rsid w:val="000C55A8"/>
    <w:rsid w:val="000D0334"/>
    <w:rsid w:val="000D1E88"/>
    <w:rsid w:val="000F6486"/>
    <w:rsid w:val="000F7C08"/>
    <w:rsid w:val="00101153"/>
    <w:rsid w:val="00111BA1"/>
    <w:rsid w:val="00125105"/>
    <w:rsid w:val="00126142"/>
    <w:rsid w:val="00126C1A"/>
    <w:rsid w:val="00127233"/>
    <w:rsid w:val="0013224C"/>
    <w:rsid w:val="00135B40"/>
    <w:rsid w:val="001465F0"/>
    <w:rsid w:val="001511A0"/>
    <w:rsid w:val="00174C61"/>
    <w:rsid w:val="00176F72"/>
    <w:rsid w:val="00187F14"/>
    <w:rsid w:val="001901A1"/>
    <w:rsid w:val="001B2C68"/>
    <w:rsid w:val="001B74A9"/>
    <w:rsid w:val="001C1254"/>
    <w:rsid w:val="001C2CD2"/>
    <w:rsid w:val="001E405D"/>
    <w:rsid w:val="001E4177"/>
    <w:rsid w:val="001F3F68"/>
    <w:rsid w:val="001F7DC6"/>
    <w:rsid w:val="00226700"/>
    <w:rsid w:val="002421BB"/>
    <w:rsid w:val="0025796E"/>
    <w:rsid w:val="002707A2"/>
    <w:rsid w:val="00270934"/>
    <w:rsid w:val="00270F31"/>
    <w:rsid w:val="002728C9"/>
    <w:rsid w:val="0027589C"/>
    <w:rsid w:val="002859F2"/>
    <w:rsid w:val="00292057"/>
    <w:rsid w:val="0029426A"/>
    <w:rsid w:val="002951A0"/>
    <w:rsid w:val="002962BC"/>
    <w:rsid w:val="002A093D"/>
    <w:rsid w:val="002A0DD0"/>
    <w:rsid w:val="002A1680"/>
    <w:rsid w:val="002A49AC"/>
    <w:rsid w:val="002A64FD"/>
    <w:rsid w:val="002C1E4C"/>
    <w:rsid w:val="002C7A84"/>
    <w:rsid w:val="002E4FD9"/>
    <w:rsid w:val="002E5A79"/>
    <w:rsid w:val="00314284"/>
    <w:rsid w:val="00322A85"/>
    <w:rsid w:val="00324168"/>
    <w:rsid w:val="003304F5"/>
    <w:rsid w:val="003448F4"/>
    <w:rsid w:val="003530E9"/>
    <w:rsid w:val="00374F5E"/>
    <w:rsid w:val="00377E3E"/>
    <w:rsid w:val="00380758"/>
    <w:rsid w:val="00380CF7"/>
    <w:rsid w:val="00382CAC"/>
    <w:rsid w:val="00383B09"/>
    <w:rsid w:val="00384CA3"/>
    <w:rsid w:val="00386D80"/>
    <w:rsid w:val="003943B6"/>
    <w:rsid w:val="003A3E51"/>
    <w:rsid w:val="003A4060"/>
    <w:rsid w:val="003A779E"/>
    <w:rsid w:val="003B1AB4"/>
    <w:rsid w:val="003B1EB6"/>
    <w:rsid w:val="003B61C6"/>
    <w:rsid w:val="003C38AA"/>
    <w:rsid w:val="003D0F4D"/>
    <w:rsid w:val="003D1F39"/>
    <w:rsid w:val="003D371C"/>
    <w:rsid w:val="003D5B0D"/>
    <w:rsid w:val="003E0499"/>
    <w:rsid w:val="003E0EE6"/>
    <w:rsid w:val="003F3941"/>
    <w:rsid w:val="0040155B"/>
    <w:rsid w:val="00404A54"/>
    <w:rsid w:val="0040622E"/>
    <w:rsid w:val="00406575"/>
    <w:rsid w:val="00410EE2"/>
    <w:rsid w:val="00414C74"/>
    <w:rsid w:val="0042722E"/>
    <w:rsid w:val="00434C04"/>
    <w:rsid w:val="00434DDF"/>
    <w:rsid w:val="00444866"/>
    <w:rsid w:val="0044528D"/>
    <w:rsid w:val="00447A08"/>
    <w:rsid w:val="00463040"/>
    <w:rsid w:val="00495F65"/>
    <w:rsid w:val="0049671A"/>
    <w:rsid w:val="004967EA"/>
    <w:rsid w:val="004A1032"/>
    <w:rsid w:val="004A1847"/>
    <w:rsid w:val="004A305D"/>
    <w:rsid w:val="004A35EA"/>
    <w:rsid w:val="004A4E23"/>
    <w:rsid w:val="004E0A1B"/>
    <w:rsid w:val="004E7735"/>
    <w:rsid w:val="004F21C4"/>
    <w:rsid w:val="004F685F"/>
    <w:rsid w:val="00500422"/>
    <w:rsid w:val="00502782"/>
    <w:rsid w:val="00522386"/>
    <w:rsid w:val="00535519"/>
    <w:rsid w:val="0054003C"/>
    <w:rsid w:val="0055617C"/>
    <w:rsid w:val="005566E8"/>
    <w:rsid w:val="00574867"/>
    <w:rsid w:val="005879C8"/>
    <w:rsid w:val="00591460"/>
    <w:rsid w:val="00593EC7"/>
    <w:rsid w:val="005A2617"/>
    <w:rsid w:val="005B129C"/>
    <w:rsid w:val="005B30E8"/>
    <w:rsid w:val="005B3816"/>
    <w:rsid w:val="005C3777"/>
    <w:rsid w:val="005C5CDC"/>
    <w:rsid w:val="005D476C"/>
    <w:rsid w:val="005F4C31"/>
    <w:rsid w:val="006219F8"/>
    <w:rsid w:val="00637658"/>
    <w:rsid w:val="00643ECE"/>
    <w:rsid w:val="00646852"/>
    <w:rsid w:val="006470A4"/>
    <w:rsid w:val="00663CF4"/>
    <w:rsid w:val="00664810"/>
    <w:rsid w:val="00665D70"/>
    <w:rsid w:val="006900D9"/>
    <w:rsid w:val="00696EA8"/>
    <w:rsid w:val="006975AD"/>
    <w:rsid w:val="006A5743"/>
    <w:rsid w:val="006B3EDE"/>
    <w:rsid w:val="006C2427"/>
    <w:rsid w:val="006C52CD"/>
    <w:rsid w:val="006E2239"/>
    <w:rsid w:val="006F0F89"/>
    <w:rsid w:val="006F5FE2"/>
    <w:rsid w:val="007061CA"/>
    <w:rsid w:val="00706C16"/>
    <w:rsid w:val="00733300"/>
    <w:rsid w:val="00733457"/>
    <w:rsid w:val="0073621D"/>
    <w:rsid w:val="00737655"/>
    <w:rsid w:val="007425CA"/>
    <w:rsid w:val="00743839"/>
    <w:rsid w:val="00756841"/>
    <w:rsid w:val="00760F78"/>
    <w:rsid w:val="007649AB"/>
    <w:rsid w:val="00771D0C"/>
    <w:rsid w:val="007833AC"/>
    <w:rsid w:val="00787264"/>
    <w:rsid w:val="007A775F"/>
    <w:rsid w:val="007B268C"/>
    <w:rsid w:val="007B7171"/>
    <w:rsid w:val="007C0B1B"/>
    <w:rsid w:val="007C0C0F"/>
    <w:rsid w:val="007C0D9B"/>
    <w:rsid w:val="007C3DC2"/>
    <w:rsid w:val="007E5497"/>
    <w:rsid w:val="007F5AC3"/>
    <w:rsid w:val="008046FA"/>
    <w:rsid w:val="00806D7C"/>
    <w:rsid w:val="00806F5F"/>
    <w:rsid w:val="008075CE"/>
    <w:rsid w:val="00820278"/>
    <w:rsid w:val="00844B54"/>
    <w:rsid w:val="0086223E"/>
    <w:rsid w:val="00867F95"/>
    <w:rsid w:val="00880F56"/>
    <w:rsid w:val="008843B6"/>
    <w:rsid w:val="00891928"/>
    <w:rsid w:val="008A1322"/>
    <w:rsid w:val="008A446D"/>
    <w:rsid w:val="008D180B"/>
    <w:rsid w:val="008E0844"/>
    <w:rsid w:val="008F0EA7"/>
    <w:rsid w:val="00904A8A"/>
    <w:rsid w:val="00905667"/>
    <w:rsid w:val="00923EEF"/>
    <w:rsid w:val="00937EEE"/>
    <w:rsid w:val="009419F9"/>
    <w:rsid w:val="00941AAD"/>
    <w:rsid w:val="00954AB1"/>
    <w:rsid w:val="0095685E"/>
    <w:rsid w:val="00961B09"/>
    <w:rsid w:val="00965334"/>
    <w:rsid w:val="0097093E"/>
    <w:rsid w:val="009709BF"/>
    <w:rsid w:val="009714FF"/>
    <w:rsid w:val="00983040"/>
    <w:rsid w:val="00984937"/>
    <w:rsid w:val="00986AC5"/>
    <w:rsid w:val="009A0DFA"/>
    <w:rsid w:val="009B2D26"/>
    <w:rsid w:val="009C2FE1"/>
    <w:rsid w:val="009C71FA"/>
    <w:rsid w:val="009C72E7"/>
    <w:rsid w:val="009D3058"/>
    <w:rsid w:val="009E3A62"/>
    <w:rsid w:val="009F3A13"/>
    <w:rsid w:val="00A122D3"/>
    <w:rsid w:val="00A17F13"/>
    <w:rsid w:val="00A20739"/>
    <w:rsid w:val="00A33C78"/>
    <w:rsid w:val="00A364BE"/>
    <w:rsid w:val="00A46CB3"/>
    <w:rsid w:val="00A47C14"/>
    <w:rsid w:val="00A6139A"/>
    <w:rsid w:val="00A63174"/>
    <w:rsid w:val="00AA0144"/>
    <w:rsid w:val="00AA1913"/>
    <w:rsid w:val="00AA682D"/>
    <w:rsid w:val="00AB0ADB"/>
    <w:rsid w:val="00AB276F"/>
    <w:rsid w:val="00AB2AAE"/>
    <w:rsid w:val="00AC561D"/>
    <w:rsid w:val="00AE1107"/>
    <w:rsid w:val="00AE350C"/>
    <w:rsid w:val="00AE5ACF"/>
    <w:rsid w:val="00AF4A5F"/>
    <w:rsid w:val="00B01B1A"/>
    <w:rsid w:val="00B33D8A"/>
    <w:rsid w:val="00B66319"/>
    <w:rsid w:val="00B67919"/>
    <w:rsid w:val="00B72CD3"/>
    <w:rsid w:val="00B72FFF"/>
    <w:rsid w:val="00B85850"/>
    <w:rsid w:val="00BC2A83"/>
    <w:rsid w:val="00BC3D36"/>
    <w:rsid w:val="00BC47C8"/>
    <w:rsid w:val="00BD552E"/>
    <w:rsid w:val="00BD7F72"/>
    <w:rsid w:val="00BE2ACD"/>
    <w:rsid w:val="00BF6444"/>
    <w:rsid w:val="00C02F37"/>
    <w:rsid w:val="00C04FB3"/>
    <w:rsid w:val="00C21CBA"/>
    <w:rsid w:val="00C330EB"/>
    <w:rsid w:val="00C347F6"/>
    <w:rsid w:val="00C35113"/>
    <w:rsid w:val="00C41061"/>
    <w:rsid w:val="00C44B27"/>
    <w:rsid w:val="00C4664D"/>
    <w:rsid w:val="00C47C3E"/>
    <w:rsid w:val="00C53D36"/>
    <w:rsid w:val="00C63268"/>
    <w:rsid w:val="00C67B77"/>
    <w:rsid w:val="00C754BE"/>
    <w:rsid w:val="00C76B1C"/>
    <w:rsid w:val="00C77602"/>
    <w:rsid w:val="00C82ACF"/>
    <w:rsid w:val="00C82BA4"/>
    <w:rsid w:val="00CA2908"/>
    <w:rsid w:val="00CA540B"/>
    <w:rsid w:val="00CB39A2"/>
    <w:rsid w:val="00CB6357"/>
    <w:rsid w:val="00CC1B26"/>
    <w:rsid w:val="00CC793C"/>
    <w:rsid w:val="00D11AB0"/>
    <w:rsid w:val="00D21445"/>
    <w:rsid w:val="00D237C9"/>
    <w:rsid w:val="00D37D18"/>
    <w:rsid w:val="00D423A2"/>
    <w:rsid w:val="00D520D8"/>
    <w:rsid w:val="00D54C60"/>
    <w:rsid w:val="00D63AC2"/>
    <w:rsid w:val="00D71D16"/>
    <w:rsid w:val="00D7383B"/>
    <w:rsid w:val="00D765D1"/>
    <w:rsid w:val="00DA231B"/>
    <w:rsid w:val="00DA4D22"/>
    <w:rsid w:val="00DA6E38"/>
    <w:rsid w:val="00DB3CBE"/>
    <w:rsid w:val="00DC39FC"/>
    <w:rsid w:val="00DD0BDE"/>
    <w:rsid w:val="00DE2BA4"/>
    <w:rsid w:val="00DF5254"/>
    <w:rsid w:val="00DF6B1B"/>
    <w:rsid w:val="00E00651"/>
    <w:rsid w:val="00E1362D"/>
    <w:rsid w:val="00E13A95"/>
    <w:rsid w:val="00E16408"/>
    <w:rsid w:val="00E20894"/>
    <w:rsid w:val="00E245AB"/>
    <w:rsid w:val="00E2764C"/>
    <w:rsid w:val="00E27F2E"/>
    <w:rsid w:val="00E30203"/>
    <w:rsid w:val="00E34E85"/>
    <w:rsid w:val="00E374FA"/>
    <w:rsid w:val="00E41247"/>
    <w:rsid w:val="00E50AFE"/>
    <w:rsid w:val="00E60EBA"/>
    <w:rsid w:val="00E75C92"/>
    <w:rsid w:val="00E771DC"/>
    <w:rsid w:val="00E80320"/>
    <w:rsid w:val="00E8772A"/>
    <w:rsid w:val="00E90F6B"/>
    <w:rsid w:val="00E92C27"/>
    <w:rsid w:val="00EA0E3D"/>
    <w:rsid w:val="00EB0C3A"/>
    <w:rsid w:val="00EC38A7"/>
    <w:rsid w:val="00ED1FD6"/>
    <w:rsid w:val="00ED7384"/>
    <w:rsid w:val="00EE1AA8"/>
    <w:rsid w:val="00EF710B"/>
    <w:rsid w:val="00F03675"/>
    <w:rsid w:val="00F04FD2"/>
    <w:rsid w:val="00F30726"/>
    <w:rsid w:val="00F31190"/>
    <w:rsid w:val="00F31EDC"/>
    <w:rsid w:val="00F418F5"/>
    <w:rsid w:val="00F462B3"/>
    <w:rsid w:val="00F503EC"/>
    <w:rsid w:val="00F5664F"/>
    <w:rsid w:val="00F666C4"/>
    <w:rsid w:val="00F73CD7"/>
    <w:rsid w:val="00F76AFC"/>
    <w:rsid w:val="00F83915"/>
    <w:rsid w:val="00F85211"/>
    <w:rsid w:val="00FA47C0"/>
    <w:rsid w:val="00FB0214"/>
    <w:rsid w:val="00FB1E58"/>
    <w:rsid w:val="00FB5DD1"/>
    <w:rsid w:val="00FC2B5D"/>
    <w:rsid w:val="00FE0E3F"/>
    <w:rsid w:val="00FF1449"/>
    <w:rsid w:val="00FF3344"/>
    <w:rsid w:val="00FF5A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674C"/>
    <w:rPr>
      <w:rFonts w:ascii="Geomanist Light" w:hAnsi="Geomanist Light"/>
      <w:lang w:val="es-ES"/>
    </w:rPr>
  </w:style>
  <w:style w:type="paragraph" w:customStyle="1" w:styleId="Appelnotedebasde">
    <w:name w:val="Appel note de bas de..."/>
    <w:basedOn w:val="Normal"/>
    <w:link w:val="Refdenotaalpie"/>
    <w:uiPriority w:val="99"/>
    <w:rsid w:val="00004ADF"/>
    <w:pPr>
      <w:spacing w:line="240" w:lineRule="exact"/>
    </w:pPr>
    <w:rPr>
      <w:vertAlign w:val="superscript"/>
    </w:rPr>
  </w:style>
  <w:style w:type="character" w:customStyle="1" w:styleId="superscript">
    <w:name w:val="superscript"/>
    <w:basedOn w:val="Fuentedeprrafopredeter"/>
    <w:rsid w:val="006A5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17317">
      <w:bodyDiv w:val="1"/>
      <w:marLeft w:val="0"/>
      <w:marRight w:val="0"/>
      <w:marTop w:val="0"/>
      <w:marBottom w:val="0"/>
      <w:divBdr>
        <w:top w:val="none" w:sz="0" w:space="0" w:color="auto"/>
        <w:left w:val="none" w:sz="0" w:space="0" w:color="auto"/>
        <w:bottom w:val="none" w:sz="0" w:space="0" w:color="auto"/>
        <w:right w:val="none" w:sz="0" w:space="0" w:color="auto"/>
      </w:divBdr>
      <w:divsChild>
        <w:div w:id="1262564996">
          <w:marLeft w:val="0"/>
          <w:marRight w:val="0"/>
          <w:marTop w:val="0"/>
          <w:marBottom w:val="0"/>
          <w:divBdr>
            <w:top w:val="none" w:sz="0" w:space="0" w:color="auto"/>
            <w:left w:val="none" w:sz="0" w:space="0" w:color="auto"/>
            <w:bottom w:val="none" w:sz="0" w:space="0" w:color="auto"/>
            <w:right w:val="none" w:sz="0" w:space="0" w:color="auto"/>
          </w:divBdr>
        </w:div>
      </w:divsChild>
    </w:div>
    <w:div w:id="103890450">
      <w:bodyDiv w:val="1"/>
      <w:marLeft w:val="0"/>
      <w:marRight w:val="0"/>
      <w:marTop w:val="0"/>
      <w:marBottom w:val="0"/>
      <w:divBdr>
        <w:top w:val="none" w:sz="0" w:space="0" w:color="auto"/>
        <w:left w:val="none" w:sz="0" w:space="0" w:color="auto"/>
        <w:bottom w:val="none" w:sz="0" w:space="0" w:color="auto"/>
        <w:right w:val="none" w:sz="0" w:space="0" w:color="auto"/>
      </w:divBdr>
      <w:divsChild>
        <w:div w:id="1202472955">
          <w:marLeft w:val="0"/>
          <w:marRight w:val="0"/>
          <w:marTop w:val="0"/>
          <w:marBottom w:val="0"/>
          <w:divBdr>
            <w:top w:val="none" w:sz="0" w:space="0" w:color="auto"/>
            <w:left w:val="none" w:sz="0" w:space="0" w:color="auto"/>
            <w:bottom w:val="none" w:sz="0" w:space="0" w:color="auto"/>
            <w:right w:val="none" w:sz="0" w:space="0" w:color="auto"/>
          </w:divBdr>
        </w:div>
      </w:divsChild>
    </w:div>
    <w:div w:id="195509732">
      <w:bodyDiv w:val="1"/>
      <w:marLeft w:val="0"/>
      <w:marRight w:val="0"/>
      <w:marTop w:val="0"/>
      <w:marBottom w:val="0"/>
      <w:divBdr>
        <w:top w:val="none" w:sz="0" w:space="0" w:color="auto"/>
        <w:left w:val="none" w:sz="0" w:space="0" w:color="auto"/>
        <w:bottom w:val="none" w:sz="0" w:space="0" w:color="auto"/>
        <w:right w:val="none" w:sz="0" w:space="0" w:color="auto"/>
      </w:divBdr>
      <w:divsChild>
        <w:div w:id="1041591420">
          <w:marLeft w:val="0"/>
          <w:marRight w:val="0"/>
          <w:marTop w:val="0"/>
          <w:marBottom w:val="0"/>
          <w:divBdr>
            <w:top w:val="none" w:sz="0" w:space="0" w:color="auto"/>
            <w:left w:val="none" w:sz="0" w:space="0" w:color="auto"/>
            <w:bottom w:val="none" w:sz="0" w:space="0" w:color="auto"/>
            <w:right w:val="none" w:sz="0" w:space="0" w:color="auto"/>
          </w:divBdr>
        </w:div>
      </w:divsChild>
    </w:div>
    <w:div w:id="287781241">
      <w:bodyDiv w:val="1"/>
      <w:marLeft w:val="0"/>
      <w:marRight w:val="0"/>
      <w:marTop w:val="0"/>
      <w:marBottom w:val="0"/>
      <w:divBdr>
        <w:top w:val="none" w:sz="0" w:space="0" w:color="auto"/>
        <w:left w:val="none" w:sz="0" w:space="0" w:color="auto"/>
        <w:bottom w:val="none" w:sz="0" w:space="0" w:color="auto"/>
        <w:right w:val="none" w:sz="0" w:space="0" w:color="auto"/>
      </w:divBdr>
      <w:divsChild>
        <w:div w:id="355539934">
          <w:marLeft w:val="0"/>
          <w:marRight w:val="0"/>
          <w:marTop w:val="0"/>
          <w:marBottom w:val="0"/>
          <w:divBdr>
            <w:top w:val="none" w:sz="0" w:space="0" w:color="auto"/>
            <w:left w:val="none" w:sz="0" w:space="0" w:color="auto"/>
            <w:bottom w:val="none" w:sz="0" w:space="0" w:color="auto"/>
            <w:right w:val="none" w:sz="0" w:space="0" w:color="auto"/>
          </w:divBdr>
        </w:div>
      </w:divsChild>
    </w:div>
    <w:div w:id="342171477">
      <w:bodyDiv w:val="1"/>
      <w:marLeft w:val="0"/>
      <w:marRight w:val="0"/>
      <w:marTop w:val="0"/>
      <w:marBottom w:val="0"/>
      <w:divBdr>
        <w:top w:val="none" w:sz="0" w:space="0" w:color="auto"/>
        <w:left w:val="none" w:sz="0" w:space="0" w:color="auto"/>
        <w:bottom w:val="none" w:sz="0" w:space="0" w:color="auto"/>
        <w:right w:val="none" w:sz="0" w:space="0" w:color="auto"/>
      </w:divBdr>
      <w:divsChild>
        <w:div w:id="32536551">
          <w:marLeft w:val="0"/>
          <w:marRight w:val="0"/>
          <w:marTop w:val="0"/>
          <w:marBottom w:val="0"/>
          <w:divBdr>
            <w:top w:val="none" w:sz="0" w:space="0" w:color="auto"/>
            <w:left w:val="none" w:sz="0" w:space="0" w:color="auto"/>
            <w:bottom w:val="none" w:sz="0" w:space="0" w:color="auto"/>
            <w:right w:val="none" w:sz="0" w:space="0" w:color="auto"/>
          </w:divBdr>
        </w:div>
      </w:divsChild>
    </w:div>
    <w:div w:id="579868081">
      <w:bodyDiv w:val="1"/>
      <w:marLeft w:val="0"/>
      <w:marRight w:val="0"/>
      <w:marTop w:val="0"/>
      <w:marBottom w:val="0"/>
      <w:divBdr>
        <w:top w:val="none" w:sz="0" w:space="0" w:color="auto"/>
        <w:left w:val="none" w:sz="0" w:space="0" w:color="auto"/>
        <w:bottom w:val="none" w:sz="0" w:space="0" w:color="auto"/>
        <w:right w:val="none" w:sz="0" w:space="0" w:color="auto"/>
      </w:divBdr>
      <w:divsChild>
        <w:div w:id="614212404">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9017603">
      <w:bodyDiv w:val="1"/>
      <w:marLeft w:val="0"/>
      <w:marRight w:val="0"/>
      <w:marTop w:val="0"/>
      <w:marBottom w:val="0"/>
      <w:divBdr>
        <w:top w:val="none" w:sz="0" w:space="0" w:color="auto"/>
        <w:left w:val="none" w:sz="0" w:space="0" w:color="auto"/>
        <w:bottom w:val="none" w:sz="0" w:space="0" w:color="auto"/>
        <w:right w:val="none" w:sz="0" w:space="0" w:color="auto"/>
      </w:divBdr>
      <w:divsChild>
        <w:div w:id="705132360">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3715809">
      <w:bodyDiv w:val="1"/>
      <w:marLeft w:val="0"/>
      <w:marRight w:val="0"/>
      <w:marTop w:val="0"/>
      <w:marBottom w:val="0"/>
      <w:divBdr>
        <w:top w:val="none" w:sz="0" w:space="0" w:color="auto"/>
        <w:left w:val="none" w:sz="0" w:space="0" w:color="auto"/>
        <w:bottom w:val="none" w:sz="0" w:space="0" w:color="auto"/>
        <w:right w:val="none" w:sz="0" w:space="0" w:color="auto"/>
      </w:divBdr>
      <w:divsChild>
        <w:div w:id="278949737">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35765555">
      <w:bodyDiv w:val="1"/>
      <w:marLeft w:val="0"/>
      <w:marRight w:val="0"/>
      <w:marTop w:val="0"/>
      <w:marBottom w:val="0"/>
      <w:divBdr>
        <w:top w:val="none" w:sz="0" w:space="0" w:color="auto"/>
        <w:left w:val="none" w:sz="0" w:space="0" w:color="auto"/>
        <w:bottom w:val="none" w:sz="0" w:space="0" w:color="auto"/>
        <w:right w:val="none" w:sz="0" w:space="0" w:color="auto"/>
      </w:divBdr>
      <w:divsChild>
        <w:div w:id="1900507535">
          <w:marLeft w:val="0"/>
          <w:marRight w:val="0"/>
          <w:marTop w:val="0"/>
          <w:marBottom w:val="0"/>
          <w:divBdr>
            <w:top w:val="none" w:sz="0" w:space="0" w:color="auto"/>
            <w:left w:val="none" w:sz="0" w:space="0" w:color="auto"/>
            <w:bottom w:val="none" w:sz="0" w:space="0" w:color="auto"/>
            <w:right w:val="none" w:sz="0" w:space="0" w:color="auto"/>
          </w:divBdr>
        </w:div>
      </w:divsChild>
    </w:div>
    <w:div w:id="1363214453">
      <w:bodyDiv w:val="1"/>
      <w:marLeft w:val="0"/>
      <w:marRight w:val="0"/>
      <w:marTop w:val="0"/>
      <w:marBottom w:val="0"/>
      <w:divBdr>
        <w:top w:val="none" w:sz="0" w:space="0" w:color="auto"/>
        <w:left w:val="none" w:sz="0" w:space="0" w:color="auto"/>
        <w:bottom w:val="none" w:sz="0" w:space="0" w:color="auto"/>
        <w:right w:val="none" w:sz="0" w:space="0" w:color="auto"/>
      </w:divBdr>
      <w:divsChild>
        <w:div w:id="72825614">
          <w:marLeft w:val="0"/>
          <w:marRight w:val="0"/>
          <w:marTop w:val="0"/>
          <w:marBottom w:val="160"/>
          <w:divBdr>
            <w:top w:val="none" w:sz="0" w:space="0" w:color="auto"/>
            <w:left w:val="none" w:sz="0" w:space="0" w:color="auto"/>
            <w:bottom w:val="none" w:sz="0" w:space="0" w:color="auto"/>
            <w:right w:val="none" w:sz="0" w:space="0" w:color="auto"/>
          </w:divBdr>
        </w:div>
        <w:div w:id="509954207">
          <w:marLeft w:val="0"/>
          <w:marRight w:val="0"/>
          <w:marTop w:val="0"/>
          <w:marBottom w:val="160"/>
          <w:divBdr>
            <w:top w:val="none" w:sz="0" w:space="0" w:color="auto"/>
            <w:left w:val="none" w:sz="0" w:space="0" w:color="auto"/>
            <w:bottom w:val="none" w:sz="0" w:space="0" w:color="auto"/>
            <w:right w:val="none" w:sz="0" w:space="0" w:color="auto"/>
          </w:divBdr>
        </w:div>
        <w:div w:id="503016975">
          <w:marLeft w:val="0"/>
          <w:marRight w:val="0"/>
          <w:marTop w:val="0"/>
          <w:marBottom w:val="160"/>
          <w:divBdr>
            <w:top w:val="none" w:sz="0" w:space="0" w:color="auto"/>
            <w:left w:val="none" w:sz="0" w:space="0" w:color="auto"/>
            <w:bottom w:val="none" w:sz="0" w:space="0" w:color="auto"/>
            <w:right w:val="none" w:sz="0" w:space="0" w:color="auto"/>
          </w:divBdr>
        </w:div>
      </w:divsChild>
    </w:div>
    <w:div w:id="1412000156">
      <w:bodyDiv w:val="1"/>
      <w:marLeft w:val="0"/>
      <w:marRight w:val="0"/>
      <w:marTop w:val="0"/>
      <w:marBottom w:val="0"/>
      <w:divBdr>
        <w:top w:val="none" w:sz="0" w:space="0" w:color="auto"/>
        <w:left w:val="none" w:sz="0" w:space="0" w:color="auto"/>
        <w:bottom w:val="none" w:sz="0" w:space="0" w:color="auto"/>
        <w:right w:val="none" w:sz="0" w:space="0" w:color="auto"/>
      </w:divBdr>
      <w:divsChild>
        <w:div w:id="1378627172">
          <w:marLeft w:val="0"/>
          <w:marRight w:val="0"/>
          <w:marTop w:val="0"/>
          <w:marBottom w:val="0"/>
          <w:divBdr>
            <w:top w:val="none" w:sz="0" w:space="0" w:color="auto"/>
            <w:left w:val="none" w:sz="0" w:space="0" w:color="auto"/>
            <w:bottom w:val="none" w:sz="0" w:space="0" w:color="auto"/>
            <w:right w:val="none" w:sz="0" w:space="0" w:color="auto"/>
          </w:divBdr>
        </w:div>
      </w:divsChild>
    </w:div>
    <w:div w:id="1662348604">
      <w:bodyDiv w:val="1"/>
      <w:marLeft w:val="0"/>
      <w:marRight w:val="0"/>
      <w:marTop w:val="0"/>
      <w:marBottom w:val="0"/>
      <w:divBdr>
        <w:top w:val="none" w:sz="0" w:space="0" w:color="auto"/>
        <w:left w:val="none" w:sz="0" w:space="0" w:color="auto"/>
        <w:bottom w:val="none" w:sz="0" w:space="0" w:color="auto"/>
        <w:right w:val="none" w:sz="0" w:space="0" w:color="auto"/>
      </w:divBdr>
      <w:divsChild>
        <w:div w:id="1313830085">
          <w:marLeft w:val="0"/>
          <w:marRight w:val="0"/>
          <w:marTop w:val="0"/>
          <w:marBottom w:val="0"/>
          <w:divBdr>
            <w:top w:val="none" w:sz="0" w:space="0" w:color="auto"/>
            <w:left w:val="none" w:sz="0" w:space="0" w:color="auto"/>
            <w:bottom w:val="none" w:sz="0" w:space="0" w:color="auto"/>
            <w:right w:val="none" w:sz="0" w:space="0" w:color="auto"/>
          </w:divBdr>
        </w:div>
      </w:divsChild>
    </w:div>
    <w:div w:id="1664047084">
      <w:bodyDiv w:val="1"/>
      <w:marLeft w:val="0"/>
      <w:marRight w:val="0"/>
      <w:marTop w:val="0"/>
      <w:marBottom w:val="0"/>
      <w:divBdr>
        <w:top w:val="none" w:sz="0" w:space="0" w:color="auto"/>
        <w:left w:val="none" w:sz="0" w:space="0" w:color="auto"/>
        <w:bottom w:val="none" w:sz="0" w:space="0" w:color="auto"/>
        <w:right w:val="none" w:sz="0" w:space="0" w:color="auto"/>
      </w:divBdr>
    </w:div>
    <w:div w:id="2114746734">
      <w:bodyDiv w:val="1"/>
      <w:marLeft w:val="0"/>
      <w:marRight w:val="0"/>
      <w:marTop w:val="0"/>
      <w:marBottom w:val="0"/>
      <w:divBdr>
        <w:top w:val="none" w:sz="0" w:space="0" w:color="auto"/>
        <w:left w:val="none" w:sz="0" w:space="0" w:color="auto"/>
        <w:bottom w:val="none" w:sz="0" w:space="0" w:color="auto"/>
        <w:right w:val="none" w:sz="0" w:space="0" w:color="auto"/>
      </w:divBdr>
      <w:divsChild>
        <w:div w:id="596407517">
          <w:marLeft w:val="0"/>
          <w:marRight w:val="0"/>
          <w:marTop w:val="0"/>
          <w:marBottom w:val="160"/>
          <w:divBdr>
            <w:top w:val="none" w:sz="0" w:space="0" w:color="auto"/>
            <w:left w:val="none" w:sz="0" w:space="0" w:color="auto"/>
            <w:bottom w:val="none" w:sz="0" w:space="0" w:color="auto"/>
            <w:right w:val="none" w:sz="0" w:space="0" w:color="auto"/>
          </w:divBdr>
        </w:div>
        <w:div w:id="1702508177">
          <w:marLeft w:val="0"/>
          <w:marRight w:val="0"/>
          <w:marTop w:val="0"/>
          <w:marBottom w:val="160"/>
          <w:divBdr>
            <w:top w:val="none" w:sz="0" w:space="0" w:color="auto"/>
            <w:left w:val="none" w:sz="0" w:space="0" w:color="auto"/>
            <w:bottom w:val="none" w:sz="0" w:space="0" w:color="auto"/>
            <w:right w:val="none" w:sz="0" w:space="0" w:color="auto"/>
          </w:divBdr>
        </w:div>
        <w:div w:id="19626196">
          <w:marLeft w:val="0"/>
          <w:marRight w:val="0"/>
          <w:marTop w:val="0"/>
          <w:marBottom w:val="160"/>
          <w:divBdr>
            <w:top w:val="none" w:sz="0" w:space="0" w:color="auto"/>
            <w:left w:val="none" w:sz="0" w:space="0" w:color="auto"/>
            <w:bottom w:val="none" w:sz="0" w:space="0" w:color="auto"/>
            <w:right w:val="none" w:sz="0" w:space="0" w:color="auto"/>
          </w:divBdr>
        </w:div>
      </w:divsChild>
    </w:div>
    <w:div w:id="2115130085">
      <w:bodyDiv w:val="1"/>
      <w:marLeft w:val="0"/>
      <w:marRight w:val="0"/>
      <w:marTop w:val="0"/>
      <w:marBottom w:val="0"/>
      <w:divBdr>
        <w:top w:val="none" w:sz="0" w:space="0" w:color="auto"/>
        <w:left w:val="none" w:sz="0" w:space="0" w:color="auto"/>
        <w:bottom w:val="none" w:sz="0" w:space="0" w:color="auto"/>
        <w:right w:val="none" w:sz="0" w:space="0" w:color="auto"/>
      </w:divBdr>
      <w:divsChild>
        <w:div w:id="196099352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otacionesysuministrosdecolombia@outlook.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3693E0E-9FEC-4929-875E-81CF92190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CF158-7518-495C-AF98-D0EB7332E1F3}">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4397</Words>
  <Characters>24052</Characters>
  <Application>Microsoft Office Word</Application>
  <DocSecurity>0</DocSecurity>
  <Lines>1265</Lines>
  <Paragraphs>618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2</cp:revision>
  <cp:lastPrinted>2023-01-10T21:18:00Z</cp:lastPrinted>
  <dcterms:created xsi:type="dcterms:W3CDTF">2025-04-02T15:22:00Z</dcterms:created>
  <dcterms:modified xsi:type="dcterms:W3CDTF">2025-04-02T15:22:00Z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