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E85CE" w14:textId="77777777" w:rsidR="00D77E09" w:rsidRPr="00DD2D97" w:rsidRDefault="00D77E09" w:rsidP="00D77E09">
      <w:pPr>
        <w:jc w:val="right"/>
        <w:rPr>
          <w:rFonts w:ascii="Arial" w:eastAsia="Calibri" w:hAnsi="Arial" w:cs="Arial"/>
          <w:b/>
          <w:color w:val="000000" w:themeColor="text1"/>
          <w:sz w:val="20"/>
          <w:szCs w:val="20"/>
          <w:lang w:val="es-ES_tradnl"/>
        </w:rPr>
      </w:pPr>
      <w:bookmarkStart w:id="0" w:name="_Hlk28946138"/>
      <w:bookmarkStart w:id="1" w:name="_Hlk29548183"/>
      <w:r w:rsidRPr="00DD2D97">
        <w:rPr>
          <w:rFonts w:ascii="Arial" w:hAnsi="Arial" w:cs="Arial"/>
          <w:bCs/>
          <w:color w:val="000000" w:themeColor="text1"/>
          <w:sz w:val="16"/>
          <w:szCs w:val="16"/>
          <w:lang w:val="es-ES_tradnl" w:eastAsia="es-ES"/>
        </w:rPr>
        <w:t>CCE-DES-FM-17</w:t>
      </w:r>
      <w:bookmarkEnd w:id="0"/>
      <w:bookmarkEnd w:id="1"/>
    </w:p>
    <w:p w14:paraId="4CFFF2AC" w14:textId="77777777" w:rsidR="00D77E09" w:rsidRPr="00DD2D97" w:rsidRDefault="00D77E09" w:rsidP="00D77E09">
      <w:pPr>
        <w:jc w:val="both"/>
        <w:rPr>
          <w:rFonts w:ascii="Arial" w:eastAsia="Calibri" w:hAnsi="Arial" w:cs="Arial"/>
          <w:b/>
          <w:color w:val="000000" w:themeColor="text1"/>
          <w:sz w:val="22"/>
          <w:lang w:val="es-ES_tradnl"/>
        </w:rPr>
      </w:pPr>
    </w:p>
    <w:p w14:paraId="120D8B3A" w14:textId="77777777" w:rsidR="00D77E09" w:rsidRPr="00C22EDD" w:rsidRDefault="00D77E09" w:rsidP="00D77E09">
      <w:pPr>
        <w:jc w:val="both"/>
        <w:rPr>
          <w:rFonts w:ascii="Arial" w:hAnsi="Arial" w:cs="Arial"/>
          <w:b/>
          <w:sz w:val="22"/>
          <w:szCs w:val="22"/>
          <w:lang w:val="es-ES_tradnl" w:eastAsia="es-ES"/>
        </w:rPr>
      </w:pPr>
      <w:r w:rsidRPr="00C22EDD">
        <w:rPr>
          <w:rFonts w:ascii="Arial" w:hAnsi="Arial" w:cs="Arial"/>
          <w:b/>
          <w:sz w:val="22"/>
          <w:szCs w:val="22"/>
          <w:lang w:val="es-ES_tradnl" w:eastAsia="es-ES"/>
        </w:rPr>
        <w:t>PRINCIPIO DE PUBLICIDAD – Democracia – Estado social de Derecho – Fundamento axiológico</w:t>
      </w:r>
    </w:p>
    <w:p w14:paraId="2CA2E246" w14:textId="77777777" w:rsidR="00D77E09" w:rsidRPr="00C22EDD" w:rsidRDefault="00D77E09" w:rsidP="00D77E09">
      <w:pPr>
        <w:jc w:val="both"/>
        <w:rPr>
          <w:rFonts w:ascii="Arial" w:hAnsi="Arial" w:cs="Arial"/>
          <w:noProof/>
          <w:color w:val="000000" w:themeColor="text1"/>
          <w:sz w:val="22"/>
          <w:lang w:val="es-ES_tradnl"/>
        </w:rPr>
      </w:pPr>
    </w:p>
    <w:p w14:paraId="7FCF65BA" w14:textId="77777777" w:rsidR="00D77E09" w:rsidRPr="00C22EDD" w:rsidRDefault="00D77E09" w:rsidP="00D77E0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0"/>
          <w:szCs w:val="20"/>
          <w:lang w:val="es-ES_tradnl"/>
        </w:rPr>
        <w:t>publicidad</w:t>
      </w:r>
      <w:r w:rsidRPr="00C22EDD">
        <w:rPr>
          <w:rFonts w:ascii="Arial" w:eastAsia="Calibri" w:hAnsi="Arial" w:cs="Arial"/>
          <w:color w:val="000000" w:themeColor="text1"/>
          <w:sz w:val="20"/>
          <w:szCs w:val="20"/>
          <w:lang w:val="es-ES_tradn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527E89A7" w14:textId="77777777" w:rsidR="00D77E09" w:rsidRPr="00C22EDD" w:rsidRDefault="00D77E09" w:rsidP="00D77E09">
      <w:pPr>
        <w:jc w:val="both"/>
        <w:rPr>
          <w:rFonts w:ascii="Arial" w:hAnsi="Arial" w:cs="Arial"/>
          <w:sz w:val="20"/>
          <w:szCs w:val="20"/>
          <w:lang w:val="es-ES_tradnl" w:eastAsia="es-ES"/>
        </w:rPr>
      </w:pPr>
    </w:p>
    <w:p w14:paraId="5B73B9E3" w14:textId="77777777" w:rsidR="00D77E09" w:rsidRPr="00C22EDD" w:rsidRDefault="00D77E09" w:rsidP="00D77E09">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Información oficial – Auto del 25 de febrero de 2021 – Efectos</w:t>
      </w:r>
    </w:p>
    <w:p w14:paraId="01AF1ABA" w14:textId="77777777" w:rsidR="00D77E09" w:rsidRPr="00C22EDD" w:rsidRDefault="00D77E09" w:rsidP="00D77E09">
      <w:pPr>
        <w:jc w:val="both"/>
        <w:rPr>
          <w:rFonts w:ascii="Arial" w:hAnsi="Arial" w:cs="Arial"/>
          <w:sz w:val="20"/>
          <w:szCs w:val="20"/>
          <w:lang w:val="es-ES_tradnl" w:eastAsia="es-ES"/>
        </w:rPr>
      </w:pPr>
    </w:p>
    <w:p w14:paraId="5DFE6A12" w14:textId="77777777" w:rsidR="00833EB4" w:rsidRDefault="00D77E09" w:rsidP="00833EB4">
      <w:pPr>
        <w:spacing w:before="120"/>
        <w:jc w:val="both"/>
        <w:rPr>
          <w:rFonts w:ascii="Arial" w:eastAsia="Calibri" w:hAnsi="Arial" w:cs="Arial"/>
          <w:color w:val="000000" w:themeColor="text1"/>
          <w:sz w:val="20"/>
          <w:szCs w:val="20"/>
          <w:lang w:val="es-ES_tradnl"/>
        </w:rPr>
      </w:pPr>
      <w:r w:rsidRPr="00833EB4">
        <w:rPr>
          <w:rFonts w:ascii="Arial" w:eastAsia="Calibri" w:hAnsi="Arial" w:cs="Arial"/>
          <w:color w:val="000000" w:themeColor="text1"/>
          <w:sz w:val="20"/>
          <w:szCs w:val="20"/>
          <w:lang w:val="es-ES_tradnl"/>
        </w:rPr>
        <w:t xml:space="preserve">[…], </w:t>
      </w:r>
      <w:r w:rsidR="00C24701" w:rsidRPr="00833EB4">
        <w:rPr>
          <w:rFonts w:ascii="Arial" w:eastAsia="Calibri" w:hAnsi="Arial" w:cs="Arial"/>
          <w:color w:val="000000" w:themeColor="text1"/>
          <w:sz w:val="20"/>
          <w:szCs w:val="20"/>
          <w:lang w:val="es-ES_tradnl"/>
        </w:rPr>
        <w:t>en el auto bajo análisis la Sección Tercera admite que a las entidades exceptuadas de la aplicación del Estatuto General de Contratación de la Administración Pública sí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00C24701" w:rsidRPr="00833EB4">
        <w:rPr>
          <w:rFonts w:eastAsia="Calibri"/>
          <w:sz w:val="20"/>
          <w:szCs w:val="20"/>
        </w:rPr>
        <w:footnoteReference w:id="1"/>
      </w:r>
      <w:r w:rsidR="00C24701" w:rsidRPr="00833EB4">
        <w:rPr>
          <w:rFonts w:ascii="Arial" w:eastAsia="Calibri" w:hAnsi="Arial" w:cs="Arial"/>
          <w:color w:val="000000" w:themeColor="text1"/>
          <w:sz w:val="20"/>
          <w:szCs w:val="20"/>
          <w:lang w:val="es-ES_tradnl"/>
        </w:rPr>
        <w:t>. Para el Consejo de Estado, quien debe decir qué debe entenderse por la expresión «información oficial de la contratación» es el legislador o a lo sumo el gobierno nacional, a través de un decreto reglamentario, y no la Agencia mediante una circular.</w:t>
      </w:r>
    </w:p>
    <w:p w14:paraId="656D355A" w14:textId="3CECA839" w:rsidR="00D77E09" w:rsidRPr="00833EB4" w:rsidRDefault="00C24701" w:rsidP="00833EB4">
      <w:pPr>
        <w:spacing w:before="120"/>
        <w:jc w:val="both"/>
        <w:rPr>
          <w:rFonts w:ascii="Arial" w:eastAsia="Calibri" w:hAnsi="Arial" w:cs="Arial"/>
          <w:color w:val="000000" w:themeColor="text1"/>
          <w:sz w:val="20"/>
          <w:szCs w:val="20"/>
          <w:lang w:val="es-ES_tradnl"/>
        </w:rPr>
      </w:pPr>
      <w:r w:rsidRPr="00833EB4">
        <w:rPr>
          <w:rFonts w:ascii="Arial" w:eastAsia="Calibri" w:hAnsi="Arial" w:cs="Arial"/>
          <w:color w:val="000000" w:themeColor="text1"/>
          <w:sz w:val="20"/>
          <w:szCs w:val="20"/>
          <w:lang w:val="es-ES_tradnl"/>
        </w:rPr>
        <w:t xml:space="preserve">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“contratación realizada con dineros públicos”. Para su aplicación resulta irrelevante el régimen contractual del contrato. La publicación de la información oficial de la </w:t>
      </w:r>
      <w:r w:rsidRPr="00833EB4">
        <w:rPr>
          <w:rFonts w:ascii="Arial" w:eastAsia="Calibri" w:hAnsi="Arial" w:cs="Arial"/>
          <w:color w:val="000000" w:themeColor="text1"/>
          <w:sz w:val="20"/>
          <w:szCs w:val="20"/>
          <w:lang w:val="es-ES_tradnl"/>
        </w:rPr>
        <w:lastRenderedPageBreak/>
        <w:t>contratación debe realizarse si los negocios jurídicos adelantados fueron financiados con recursos públicos»</w:t>
      </w:r>
    </w:p>
    <w:p w14:paraId="32955E7E" w14:textId="77777777" w:rsidR="00833EB4" w:rsidRPr="00C22EDD" w:rsidRDefault="00833EB4" w:rsidP="00C24701">
      <w:pPr>
        <w:jc w:val="both"/>
        <w:rPr>
          <w:rFonts w:ascii="Arial" w:hAnsi="Arial" w:cs="Arial"/>
          <w:sz w:val="20"/>
          <w:szCs w:val="20"/>
          <w:lang w:val="es-ES_tradnl" w:eastAsia="es-ES"/>
        </w:rPr>
      </w:pPr>
    </w:p>
    <w:p w14:paraId="29A4B834" w14:textId="77777777" w:rsidR="00D77E09" w:rsidRPr="00C22EDD" w:rsidRDefault="00D77E09" w:rsidP="00D77E09">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Publicidad – Documentos – Información oficial – Concepto CU-003</w:t>
      </w:r>
    </w:p>
    <w:p w14:paraId="2F3B7C0F" w14:textId="77777777" w:rsidR="00D77E09" w:rsidRPr="00C22EDD" w:rsidRDefault="00D77E09" w:rsidP="00D77E09">
      <w:pPr>
        <w:jc w:val="both"/>
        <w:rPr>
          <w:rFonts w:ascii="Arial" w:hAnsi="Arial" w:cs="Arial"/>
          <w:b/>
          <w:sz w:val="22"/>
          <w:szCs w:val="22"/>
          <w:lang w:val="es-ES_tradnl" w:eastAsia="es-ES"/>
        </w:rPr>
      </w:pPr>
    </w:p>
    <w:p w14:paraId="181304C6" w14:textId="77777777" w:rsidR="00D77E09" w:rsidRPr="00C22EDD" w:rsidRDefault="00D77E09" w:rsidP="00D77E0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CAAD1AF" w14:textId="77777777" w:rsidR="00D77E09" w:rsidRPr="00C22EDD" w:rsidRDefault="00D77E09" w:rsidP="00D77E09">
      <w:pPr>
        <w:jc w:val="both"/>
        <w:rPr>
          <w:rFonts w:ascii="Arial" w:eastAsia="Calibri" w:hAnsi="Arial" w:cs="Arial"/>
          <w:color w:val="000000" w:themeColor="text1"/>
          <w:sz w:val="20"/>
          <w:szCs w:val="20"/>
          <w:lang w:val="es-ES_tradnl"/>
        </w:rPr>
      </w:pPr>
    </w:p>
    <w:p w14:paraId="303AF16E" w14:textId="77777777" w:rsidR="00D77E09" w:rsidRPr="00C22EDD" w:rsidRDefault="00D77E09" w:rsidP="00D77E0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604CCE0B" w14:textId="77777777" w:rsidR="00D77E09" w:rsidRPr="00C22EDD" w:rsidRDefault="00D77E09" w:rsidP="00D77E09">
      <w:pPr>
        <w:jc w:val="both"/>
        <w:rPr>
          <w:rFonts w:ascii="Arial" w:hAnsi="Arial" w:cs="Arial"/>
          <w:sz w:val="20"/>
          <w:szCs w:val="20"/>
          <w:lang w:val="es-ES_tradnl" w:eastAsia="es-ES"/>
        </w:rPr>
      </w:pPr>
    </w:p>
    <w:p w14:paraId="7D8967F7" w14:textId="77777777" w:rsidR="00D77E09" w:rsidRPr="00C22EDD" w:rsidRDefault="00D77E09" w:rsidP="00D77E09">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Auto del 25 de febrero de 2021 – Publicidad – Mandato vigente</w:t>
      </w:r>
    </w:p>
    <w:p w14:paraId="1B66651F" w14:textId="77777777" w:rsidR="00D77E09" w:rsidRPr="00C22EDD" w:rsidRDefault="00D77E09" w:rsidP="00D77E09">
      <w:pPr>
        <w:jc w:val="both"/>
        <w:rPr>
          <w:rFonts w:ascii="Arial" w:hAnsi="Arial" w:cs="Arial"/>
          <w:sz w:val="20"/>
          <w:szCs w:val="20"/>
          <w:lang w:val="es-ES_tradnl" w:eastAsia="es-ES"/>
        </w:rPr>
      </w:pPr>
    </w:p>
    <w:p w14:paraId="42420970" w14:textId="4FE6B8C0" w:rsidR="00D77E09" w:rsidRDefault="00D77E09" w:rsidP="00D77E09">
      <w:pPr>
        <w:jc w:val="both"/>
        <w:rPr>
          <w:rFonts w:ascii="Arial" w:hAnsi="Arial" w:cs="Arial"/>
          <w:color w:val="000000" w:themeColor="text1"/>
          <w:sz w:val="20"/>
          <w:szCs w:val="20"/>
          <w:lang w:val="es-ES_tradnl"/>
        </w:rPr>
      </w:pPr>
      <w:r w:rsidRPr="00DE4D2A">
        <w:rPr>
          <w:rFonts w:ascii="Arial" w:hAnsi="Arial" w:cs="Arial"/>
          <w:color w:val="000000" w:themeColor="text1"/>
          <w:sz w:val="20"/>
          <w:szCs w:val="20"/>
          <w:lang w:val="es-ES_tradnl" w:eastAsia="es-CO"/>
        </w:rPr>
        <w:t>[…]</w:t>
      </w:r>
      <w:r w:rsidR="00833EB4">
        <w:rPr>
          <w:rFonts w:ascii="Arial" w:hAnsi="Arial" w:cs="Arial"/>
          <w:color w:val="000000" w:themeColor="text1"/>
          <w:sz w:val="20"/>
          <w:szCs w:val="20"/>
          <w:lang w:val="es-ES_tradnl" w:eastAsia="es-CO"/>
        </w:rPr>
        <w:t xml:space="preserve"> </w:t>
      </w:r>
      <w:r w:rsidRPr="004353C9">
        <w:rPr>
          <w:rFonts w:ascii="Arial" w:hAnsi="Arial" w:cs="Arial"/>
          <w:color w:val="000000" w:themeColor="text1"/>
          <w:sz w:val="20"/>
          <w:szCs w:val="20"/>
          <w:lang w:val="es-ES_tradnl" w:eastAsia="es-CO"/>
        </w:rPr>
        <w:t>N</w:t>
      </w:r>
      <w:r w:rsidR="00833EB4" w:rsidRPr="00833EB4">
        <w:t xml:space="preserve"> </w:t>
      </w:r>
      <w:r w:rsidR="00833EB4" w:rsidRPr="00833EB4">
        <w:rPr>
          <w:rFonts w:ascii="Arial" w:hAnsi="Arial" w:cs="Arial"/>
          <w:color w:val="000000" w:themeColor="text1"/>
          <w:sz w:val="20"/>
          <w:szCs w:val="20"/>
          <w:lang w:val="es-ES_tradnl" w:eastAsia="es-CO"/>
        </w:rPr>
        <w:t>no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sujetos obligados a garantizar el derecho de acceso a la información y a los documentos públicos, deben publicar en el SECOP los documentos a los que se refiere el literal e), del artículo 9 y el literal g), del artículo 11, de la Ley 1712 de 2014, como los artículos 7 al 10 del Decreto 103 de 2015 –compilado en los artículos 2.1.1.1.1. al 2.1.1.6.1. del Decreto 1081 de 2015–. Cuarto, porque, el auto del 25 de febrero de 2021 no suspende todo el contenido de las circulares 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No. 23 del 16 de marzo de 2017 y No. 007 de 2020, así como de la Circular Externa Única –actualizada el 16 de abril de 2019–, las cuales se encuentran vigentes.</w:t>
      </w:r>
      <w:r w:rsidRPr="00D66932">
        <w:rPr>
          <w:rFonts w:ascii="Arial" w:hAnsi="Arial" w:cs="Arial"/>
          <w:color w:val="000000" w:themeColor="text1"/>
          <w:sz w:val="20"/>
          <w:szCs w:val="20"/>
          <w:lang w:val="es-ES_tradnl"/>
        </w:rPr>
        <w:t xml:space="preserve"> </w:t>
      </w:r>
    </w:p>
    <w:p w14:paraId="7A70E9D9" w14:textId="77777777" w:rsidR="00D77E09" w:rsidRDefault="00D77E09" w:rsidP="00D77E09">
      <w:pPr>
        <w:jc w:val="both"/>
        <w:rPr>
          <w:rFonts w:ascii="Arial" w:hAnsi="Arial" w:cs="Arial"/>
          <w:color w:val="000000" w:themeColor="text1"/>
          <w:sz w:val="20"/>
          <w:szCs w:val="20"/>
          <w:lang w:val="es-ES_tradnl"/>
        </w:rPr>
      </w:pPr>
    </w:p>
    <w:p w14:paraId="58C813B4" w14:textId="77777777" w:rsidR="00D77E09" w:rsidRPr="00B6306F" w:rsidRDefault="00D77E09" w:rsidP="00D77E09">
      <w:pPr>
        <w:jc w:val="both"/>
        <w:rPr>
          <w:rFonts w:ascii="Arial" w:eastAsia="Calibri" w:hAnsi="Arial" w:cs="Arial"/>
          <w:b/>
          <w:bCs/>
          <w:color w:val="000000" w:themeColor="text1"/>
          <w:sz w:val="22"/>
        </w:rPr>
      </w:pPr>
      <w:r w:rsidRPr="0091437B">
        <w:rPr>
          <w:rFonts w:ascii="Arial" w:eastAsia="Calibri" w:hAnsi="Arial" w:cs="Arial"/>
          <w:b/>
          <w:bCs/>
          <w:color w:val="1A1A1A" w:themeColor="background1" w:themeShade="1A"/>
          <w:sz w:val="22"/>
        </w:rPr>
        <w:lastRenderedPageBreak/>
        <w:t>EMPRESAS DE SERVICIOS PÚBLICOS – Naturaleza jurídica especial</w:t>
      </w:r>
      <w:r>
        <w:rPr>
          <w:rFonts w:ascii="Arial" w:eastAsia="Calibri" w:hAnsi="Arial" w:cs="Arial"/>
          <w:b/>
          <w:bCs/>
          <w:color w:val="1A1A1A" w:themeColor="background1" w:themeShade="1A"/>
          <w:sz w:val="22"/>
        </w:rPr>
        <w:t xml:space="preserve"> </w:t>
      </w:r>
      <w:r w:rsidRPr="0091437B">
        <w:rPr>
          <w:rFonts w:ascii="Arial" w:eastAsia="Calibri" w:hAnsi="Arial" w:cs="Arial"/>
          <w:b/>
          <w:bCs/>
          <w:color w:val="1A1A1A" w:themeColor="background1" w:themeShade="1A"/>
          <w:sz w:val="22"/>
        </w:rPr>
        <w:t>–</w:t>
      </w:r>
      <w:r>
        <w:rPr>
          <w:rFonts w:ascii="Arial" w:eastAsia="Calibri" w:hAnsi="Arial" w:cs="Arial"/>
          <w:b/>
          <w:bCs/>
          <w:color w:val="1A1A1A" w:themeColor="background1" w:themeShade="1A"/>
          <w:sz w:val="22"/>
        </w:rPr>
        <w:t xml:space="preserve"> Régimen contractual </w:t>
      </w:r>
    </w:p>
    <w:p w14:paraId="7DC8CF64" w14:textId="77777777" w:rsidR="00D77E09" w:rsidRPr="0091437B" w:rsidRDefault="00D77E09" w:rsidP="00D77E09">
      <w:pPr>
        <w:jc w:val="both"/>
        <w:rPr>
          <w:rFonts w:ascii="Arial" w:eastAsia="Calibri" w:hAnsi="Arial" w:cs="Arial"/>
          <w:b/>
          <w:color w:val="1A1A1A" w:themeColor="background1" w:themeShade="1A"/>
          <w:sz w:val="20"/>
          <w:szCs w:val="20"/>
        </w:rPr>
      </w:pPr>
    </w:p>
    <w:p w14:paraId="742877E0" w14:textId="77777777" w:rsidR="00833EB4" w:rsidRPr="00833EB4" w:rsidRDefault="00833EB4" w:rsidP="00833EB4">
      <w:pPr>
        <w:spacing w:before="120"/>
        <w:jc w:val="both"/>
        <w:rPr>
          <w:rFonts w:ascii="Arial" w:hAnsi="Arial" w:cs="Arial"/>
          <w:color w:val="1A1A1A" w:themeColor="background1" w:themeShade="1A"/>
          <w:sz w:val="20"/>
          <w:szCs w:val="20"/>
        </w:rPr>
      </w:pPr>
      <w:r w:rsidRPr="00833EB4">
        <w:rPr>
          <w:rFonts w:ascii="Arial" w:hAnsi="Arial" w:cs="Arial"/>
          <w:color w:val="1A1A1A" w:themeColor="background1" w:themeShade="1A"/>
          <w:sz w:val="20"/>
          <w:szCs w:val="20"/>
        </w:rPr>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4F8BB187" w14:textId="77777777" w:rsidR="00833EB4" w:rsidRPr="00833EB4" w:rsidRDefault="00833EB4" w:rsidP="00833EB4">
      <w:pPr>
        <w:spacing w:before="120"/>
        <w:jc w:val="both"/>
        <w:rPr>
          <w:rFonts w:ascii="Arial" w:hAnsi="Arial" w:cs="Arial"/>
          <w:color w:val="1A1A1A" w:themeColor="background1" w:themeShade="1A"/>
          <w:sz w:val="20"/>
          <w:szCs w:val="20"/>
        </w:rPr>
      </w:pPr>
      <w:r w:rsidRPr="00833EB4">
        <w:rPr>
          <w:rFonts w:ascii="Arial" w:hAnsi="Arial" w:cs="Arial"/>
          <w:color w:val="1A1A1A" w:themeColor="background1" w:themeShade="1A"/>
          <w:sz w:val="20"/>
          <w:szCs w:val="20"/>
        </w:rPr>
        <w:t xml:space="preserve">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p>
    <w:p w14:paraId="6CB871E4" w14:textId="3B0ECBBA" w:rsidR="00D5431F" w:rsidRDefault="00833EB4" w:rsidP="00833EB4">
      <w:pPr>
        <w:spacing w:before="120"/>
        <w:jc w:val="both"/>
        <w:rPr>
          <w:rFonts w:ascii="Arial" w:hAnsi="Arial" w:cs="Arial"/>
          <w:color w:val="1A1A1A" w:themeColor="background1" w:themeShade="1A"/>
          <w:sz w:val="20"/>
          <w:szCs w:val="20"/>
        </w:rPr>
      </w:pPr>
      <w:r w:rsidRPr="00833EB4">
        <w:rPr>
          <w:rFonts w:ascii="Arial" w:hAnsi="Arial" w:cs="Arial"/>
          <w:color w:val="1A1A1A" w:themeColor="background1" w:themeShade="1A"/>
          <w:sz w:val="20"/>
          <w:szCs w:val="20"/>
        </w:rPr>
        <w:t>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 Sin embargo, ello no las exime del deber de publicar su actividad contractual, cuando ejecuten recursos públicos.</w:t>
      </w:r>
    </w:p>
    <w:p w14:paraId="5FA79512" w14:textId="77777777" w:rsidR="00833EB4" w:rsidRDefault="00833EB4" w:rsidP="00833EB4">
      <w:pPr>
        <w:spacing w:before="120"/>
        <w:jc w:val="both"/>
        <w:rPr>
          <w:rFonts w:ascii="Arial" w:hAnsi="Arial" w:cs="Arial"/>
          <w:color w:val="1A1A1A" w:themeColor="background1" w:themeShade="1A"/>
          <w:sz w:val="20"/>
          <w:szCs w:val="20"/>
        </w:rPr>
      </w:pPr>
    </w:p>
    <w:p w14:paraId="7AF62C6A" w14:textId="77777777" w:rsidR="00D5431F" w:rsidRDefault="00D5431F" w:rsidP="00D5431F">
      <w:pPr>
        <w:jc w:val="both"/>
        <w:rPr>
          <w:rFonts w:ascii="Arial" w:eastAsia="Calibri" w:hAnsi="Arial" w:cs="Arial"/>
          <w:b/>
          <w:color w:val="000000" w:themeColor="text1"/>
          <w:sz w:val="22"/>
          <w:szCs w:val="22"/>
          <w:lang w:eastAsia="en-US"/>
        </w:rPr>
      </w:pPr>
      <w:r>
        <w:rPr>
          <w:rFonts w:ascii="Arial" w:eastAsia="Calibri" w:hAnsi="Arial" w:cs="Arial"/>
          <w:b/>
          <w:color w:val="000000" w:themeColor="text1"/>
          <w:sz w:val="22"/>
        </w:rPr>
        <w:t>EMPRESAS INDUSTRIALES Y COMERCIALES</w:t>
      </w:r>
      <w:r>
        <w:rPr>
          <w:rFonts w:ascii="Arial" w:eastAsia="Calibri" w:hAnsi="Arial" w:cs="Arial"/>
          <w:b/>
          <w:color w:val="000000" w:themeColor="text1"/>
          <w:sz w:val="22"/>
        </w:rPr>
        <w:softHyphen/>
        <w:t xml:space="preserve"> DEL ESTADO – Régimen contractual – Ley 80 de 1993 – Derecho privado  </w:t>
      </w:r>
    </w:p>
    <w:p w14:paraId="5112D09F" w14:textId="77777777" w:rsidR="00D5431F" w:rsidRDefault="00D5431F" w:rsidP="00D5431F">
      <w:pPr>
        <w:jc w:val="both"/>
        <w:rPr>
          <w:rFonts w:ascii="Arial" w:eastAsia="Calibri" w:hAnsi="Arial" w:cs="Arial"/>
          <w:color w:val="000000" w:themeColor="text1"/>
          <w:sz w:val="20"/>
          <w:szCs w:val="20"/>
        </w:rPr>
      </w:pPr>
    </w:p>
    <w:p w14:paraId="59DA562D" w14:textId="1EFA22CE" w:rsidR="00D5431F" w:rsidRPr="00D5431F" w:rsidRDefault="00D5431F" w:rsidP="00D5431F">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833EB4" w:rsidRPr="00833EB4">
        <w:rPr>
          <w:rFonts w:ascii="Arial" w:eastAsia="Calibri" w:hAnsi="Arial" w:cs="Arial"/>
          <w:bCs/>
          <w:color w:val="000000" w:themeColor="text1"/>
          <w:sz w:val="20"/>
          <w:szCs w:val="20"/>
        </w:rPr>
        <w:t xml:space="preserve">el régimen contractual de las 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p>
    <w:p w14:paraId="2828E433" w14:textId="77777777" w:rsidR="00D77E09" w:rsidRDefault="00D77E09" w:rsidP="00D77E09">
      <w:pPr>
        <w:jc w:val="both"/>
        <w:rPr>
          <w:rFonts w:ascii="Arial" w:hAnsi="Arial" w:cs="Arial"/>
          <w:color w:val="000000" w:themeColor="text1"/>
          <w:sz w:val="20"/>
          <w:szCs w:val="20"/>
          <w:lang w:val="es-ES_tradnl"/>
        </w:rPr>
      </w:pPr>
    </w:p>
    <w:p w14:paraId="43C748ED" w14:textId="77777777" w:rsidR="00D77E09" w:rsidRPr="00B6306F" w:rsidRDefault="00D77E09" w:rsidP="00D77E09">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II – </w:t>
      </w:r>
      <w:r>
        <w:rPr>
          <w:rFonts w:ascii="Arial" w:eastAsia="Calibri" w:hAnsi="Arial" w:cs="Arial"/>
          <w:b/>
          <w:bCs/>
          <w:color w:val="000000" w:themeColor="text1"/>
          <w:sz w:val="22"/>
        </w:rPr>
        <w:t xml:space="preserve">Deber de publicidad </w:t>
      </w:r>
      <w:r w:rsidRPr="2B0DD062">
        <w:rPr>
          <w:rFonts w:ascii="Arial" w:eastAsia="Calibri" w:hAnsi="Arial" w:cs="Arial"/>
          <w:b/>
          <w:bCs/>
          <w:color w:val="000000" w:themeColor="text1"/>
          <w:sz w:val="22"/>
        </w:rPr>
        <w:t>– Alcance</w:t>
      </w:r>
    </w:p>
    <w:p w14:paraId="4F45821D" w14:textId="77777777" w:rsidR="00D77E09" w:rsidRPr="00A5491D" w:rsidRDefault="00D77E09" w:rsidP="00D77E09">
      <w:pPr>
        <w:jc w:val="both"/>
        <w:rPr>
          <w:rFonts w:ascii="Arial" w:hAnsi="Arial" w:cs="Arial"/>
          <w:color w:val="000000" w:themeColor="text1"/>
          <w:sz w:val="22"/>
        </w:rPr>
      </w:pPr>
    </w:p>
    <w:p w14:paraId="389D8075" w14:textId="3C2CFF88" w:rsidR="00D77E09" w:rsidRDefault="00D77E09" w:rsidP="00D77E09">
      <w:pPr>
        <w:spacing w:after="120"/>
        <w:jc w:val="both"/>
        <w:rPr>
          <w:rFonts w:ascii="Arial" w:eastAsia="Calibri" w:hAnsi="Arial" w:cs="Arial"/>
          <w:color w:val="000000" w:themeColor="text1"/>
          <w:sz w:val="20"/>
          <w:szCs w:val="20"/>
        </w:rPr>
      </w:pPr>
      <w:r w:rsidRPr="147ED689">
        <w:rPr>
          <w:rFonts w:ascii="Arial" w:eastAsia="Calibri" w:hAnsi="Arial" w:cs="Arial"/>
          <w:color w:val="000000" w:themeColor="text1"/>
          <w:sz w:val="20"/>
          <w:szCs w:val="20"/>
        </w:rPr>
        <w:t xml:space="preserve">[…] </w:t>
      </w:r>
      <w:r w:rsidR="00833EB4" w:rsidRPr="00833EB4">
        <w:rPr>
          <w:rFonts w:ascii="Arial" w:eastAsia="Calibri" w:hAnsi="Arial" w:cs="Arial"/>
          <w:color w:val="000000" w:themeColor="text1"/>
          <w:sz w:val="20"/>
          <w:szCs w:val="20"/>
        </w:rPr>
        <w:t>con fundamento en las consideraciones expuestas en ese momento, puede decirse que del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está vinculado a las entidades referidas por la Agencia en las Circulares Externas mencionadas</w:t>
      </w:r>
      <w:r w:rsidR="00833EB4">
        <w:rPr>
          <w:rFonts w:ascii="Arial" w:eastAsia="Calibri" w:hAnsi="Arial" w:cs="Arial"/>
          <w:color w:val="000000" w:themeColor="text1"/>
          <w:sz w:val="20"/>
          <w:szCs w:val="20"/>
        </w:rPr>
        <w:t>.</w:t>
      </w:r>
    </w:p>
    <w:p w14:paraId="4FE34A88" w14:textId="77777777" w:rsidR="00833EB4" w:rsidRDefault="00833EB4" w:rsidP="00D77E09">
      <w:pPr>
        <w:spacing w:after="120"/>
        <w:jc w:val="both"/>
        <w:rPr>
          <w:rFonts w:ascii="Arial" w:eastAsia="Calibri" w:hAnsi="Arial" w:cs="Arial"/>
          <w:color w:val="000000" w:themeColor="text1"/>
          <w:sz w:val="20"/>
          <w:szCs w:val="20"/>
        </w:rPr>
      </w:pPr>
    </w:p>
    <w:p w14:paraId="672B0916" w14:textId="6B78F1D5" w:rsidR="008E3A5D" w:rsidRDefault="008E3A5D" w:rsidP="008E3A5D">
      <w:pPr>
        <w:spacing w:after="120"/>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lastRenderedPageBreak/>
        <w:t xml:space="preserve">SECOP </w:t>
      </w:r>
      <w:r>
        <w:rPr>
          <w:rFonts w:ascii="Arial" w:eastAsia="Calibri" w:hAnsi="Arial" w:cs="Arial"/>
          <w:b/>
          <w:bCs/>
          <w:color w:val="000000" w:themeColor="text1"/>
          <w:sz w:val="22"/>
        </w:rPr>
        <w:t xml:space="preserve">– EMPRESAS </w:t>
      </w:r>
      <w:r w:rsidRPr="004E6A98">
        <w:rPr>
          <w:rFonts w:ascii="Arial" w:eastAsia="Calibri" w:hAnsi="Arial" w:cs="Arial"/>
          <w:b/>
          <w:bCs/>
          <w:color w:val="000000" w:themeColor="text1"/>
          <w:sz w:val="22"/>
        </w:rPr>
        <w:t>PRESTADOR</w:t>
      </w:r>
      <w:r>
        <w:rPr>
          <w:rFonts w:ascii="Arial" w:eastAsia="Calibri" w:hAnsi="Arial" w:cs="Arial"/>
          <w:b/>
          <w:bCs/>
          <w:color w:val="000000" w:themeColor="text1"/>
          <w:sz w:val="22"/>
        </w:rPr>
        <w:t>A</w:t>
      </w:r>
      <w:r w:rsidRPr="004E6A98">
        <w:rPr>
          <w:rFonts w:ascii="Arial" w:eastAsia="Calibri" w:hAnsi="Arial" w:cs="Arial"/>
          <w:b/>
          <w:bCs/>
          <w:color w:val="000000" w:themeColor="text1"/>
          <w:sz w:val="22"/>
        </w:rPr>
        <w:t xml:space="preserve">S DE SERVICIOS PÚBLICOS DOMICILIARIOS </w:t>
      </w:r>
      <w:r w:rsidRPr="2B0DD062">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EMPRESAS INDUSTRIALES Y COMERCIALES DEL ESTADO - Deber de publicidad </w:t>
      </w:r>
    </w:p>
    <w:p w14:paraId="7E83DA3F" w14:textId="77777777" w:rsidR="00A06B47" w:rsidRPr="00A06B47" w:rsidRDefault="00A06B47" w:rsidP="00A06B47">
      <w:pPr>
        <w:spacing w:after="120"/>
        <w:jc w:val="both"/>
        <w:rPr>
          <w:rFonts w:ascii="Arial" w:eastAsia="Calibri" w:hAnsi="Arial" w:cs="Arial"/>
          <w:color w:val="000000" w:themeColor="text1"/>
          <w:sz w:val="20"/>
          <w:szCs w:val="20"/>
        </w:rPr>
      </w:pPr>
      <w:r w:rsidRPr="00A06B47">
        <w:rPr>
          <w:rFonts w:ascii="Arial" w:eastAsia="Calibri" w:hAnsi="Arial" w:cs="Arial"/>
          <w:color w:val="000000" w:themeColor="text1"/>
          <w:sz w:val="20"/>
          <w:szCs w:val="20"/>
        </w:rPr>
        <w:t xml:space="preserve">Para saber si la publicación debe hacerse en el SECOP II habrá que consultar, por un lado, las Circulares Externas 1 de 2019 y de 2021, así como las circulares externas 2 y 3, y por el otro, establecer si no existe una disposición normativa que establezca el deber de publicar en el SECOP II, como es el caso de la contratación regida por el Decreto 92 de 2017 o la contratación relacionada con los contratos fiduciarios y la «contratación derivada» de estos. </w:t>
      </w:r>
    </w:p>
    <w:p w14:paraId="44C507BC" w14:textId="2358AA82" w:rsidR="00A06B47" w:rsidRDefault="00A06B47" w:rsidP="00A06B47">
      <w:pPr>
        <w:spacing w:after="120"/>
        <w:jc w:val="both"/>
        <w:rPr>
          <w:rFonts w:ascii="Arial" w:eastAsia="Calibri" w:hAnsi="Arial" w:cs="Arial"/>
          <w:color w:val="000000" w:themeColor="text1"/>
          <w:sz w:val="20"/>
          <w:szCs w:val="20"/>
        </w:rPr>
      </w:pPr>
      <w:r w:rsidRPr="00A06B47">
        <w:rPr>
          <w:rFonts w:ascii="Arial" w:eastAsia="Calibri" w:hAnsi="Arial" w:cs="Arial"/>
          <w:color w:val="000000" w:themeColor="text1"/>
          <w:sz w:val="20"/>
          <w:szCs w:val="20"/>
        </w:rPr>
        <w:t>En todo caso, que una entidad en particular aún no se encuentre obligada a hacer uso del SECOP II implica que debe seguir adelantado y gestionando la publicidad de sus procesos de contratación mediante el SECOP I, con excepción de los procesos de contratación derivados de la aplicación del Decreto 92 de 2017, los cuales deben gestionarse a través del SECOP II.</w:t>
      </w:r>
    </w:p>
    <w:p w14:paraId="0D55CDE4" w14:textId="77777777" w:rsidR="00D77E09" w:rsidRPr="00D66932" w:rsidRDefault="00D77E09" w:rsidP="00D77E09">
      <w:pPr>
        <w:jc w:val="both"/>
        <w:rPr>
          <w:rFonts w:ascii="Arial" w:hAnsi="Arial" w:cs="Arial"/>
          <w:color w:val="000000" w:themeColor="text1"/>
          <w:sz w:val="20"/>
          <w:szCs w:val="20"/>
          <w:lang w:val="es-ES_tradnl" w:eastAsia="es-CO"/>
        </w:rPr>
      </w:pPr>
    </w:p>
    <w:p w14:paraId="45897F53" w14:textId="77777777" w:rsidR="00C669D2" w:rsidRDefault="00C669D2">
      <w:pPr>
        <w:spacing w:after="160" w:line="259" w:lineRule="auto"/>
        <w:rPr>
          <w:rFonts w:ascii="Arial" w:hAnsi="Arial" w:cs="Arial"/>
          <w:noProof/>
          <w:color w:val="000000" w:themeColor="text1"/>
          <w:sz w:val="22"/>
          <w:lang w:val="es-ES_tradnl"/>
        </w:rPr>
      </w:pPr>
      <w:r>
        <w:rPr>
          <w:rFonts w:ascii="Arial" w:hAnsi="Arial" w:cs="Arial"/>
          <w:noProof/>
          <w:color w:val="000000" w:themeColor="text1"/>
          <w:sz w:val="22"/>
          <w:lang w:val="es-ES_tradnl"/>
        </w:rPr>
        <w:br w:type="page"/>
      </w:r>
    </w:p>
    <w:p w14:paraId="2C2BF3BF" w14:textId="29A57014" w:rsidR="00DE35D6" w:rsidRPr="00DE35D6" w:rsidRDefault="00DE35D6" w:rsidP="00DE35D6">
      <w:pPr>
        <w:spacing w:after="160" w:line="259" w:lineRule="auto"/>
        <w:rPr>
          <w:rFonts w:ascii="Arial" w:eastAsia="Calibri" w:hAnsi="Arial" w:cs="Arial"/>
          <w:bCs/>
          <w:color w:val="000000" w:themeColor="text1"/>
          <w:sz w:val="22"/>
          <w:szCs w:val="22"/>
          <w:lang w:val="es-ES_tradnl"/>
        </w:rPr>
      </w:pPr>
      <w:r w:rsidRPr="00DE35D6">
        <w:rPr>
          <w:rFonts w:ascii="Arial" w:eastAsia="Calibri" w:hAnsi="Arial" w:cs="Arial"/>
          <w:bCs/>
          <w:color w:val="000000" w:themeColor="text1"/>
          <w:sz w:val="22"/>
          <w:szCs w:val="22"/>
          <w:lang w:val="es-ES_tradnl"/>
        </w:rPr>
        <w:lastRenderedPageBreak/>
        <w:t>Bogotá, 2 de junio de 2021</w:t>
      </w:r>
    </w:p>
    <w:p w14:paraId="2FC85EF3" w14:textId="6E8CD749" w:rsidR="00D77E09" w:rsidRPr="00DD2D97" w:rsidRDefault="00DE35D6" w:rsidP="00DE35D6">
      <w:pPr>
        <w:spacing w:after="160" w:line="259" w:lineRule="auto"/>
        <w:jc w:val="right"/>
        <w:rPr>
          <w:rFonts w:ascii="Arial" w:eastAsia="Calibri" w:hAnsi="Arial" w:cs="Arial"/>
          <w:bCs/>
          <w:color w:val="000000" w:themeColor="text1"/>
          <w:sz w:val="20"/>
          <w:szCs w:val="20"/>
          <w:lang w:val="es-ES_tradnl"/>
        </w:rPr>
      </w:pPr>
      <w:r>
        <w:rPr>
          <w:noProof/>
        </w:rPr>
        <w:drawing>
          <wp:inline distT="0" distB="0" distL="0" distR="0" wp14:anchorId="3CA6FE88" wp14:editId="6D7F8643">
            <wp:extent cx="2009775" cy="5429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09775" cy="542925"/>
                    </a:xfrm>
                    <a:prstGeom prst="rect">
                      <a:avLst/>
                    </a:prstGeom>
                  </pic:spPr>
                </pic:pic>
              </a:graphicData>
            </a:graphic>
          </wp:inline>
        </w:drawing>
      </w:r>
    </w:p>
    <w:p w14:paraId="34EF4FD1" w14:textId="77777777" w:rsidR="00D77E09" w:rsidRPr="006F4713" w:rsidRDefault="00D77E09" w:rsidP="00D77E09">
      <w:pPr>
        <w:jc w:val="right"/>
      </w:pPr>
      <w:r w:rsidRPr="006F4713">
        <w:fldChar w:fldCharType="begin"/>
      </w:r>
      <w:r>
        <w:instrText xml:space="preserve"> INCLUDEPICTURE "C:\\var\\folders\\5l\\v1rdjm0x1x9416lmbj7_vjt40000gn\\T\\com.microsoft.Word\\WebArchiveCopyPasteTempFiles\\page1image3851712" \* MERGEFORMAT </w:instrText>
      </w:r>
      <w:r w:rsidRPr="006F4713">
        <w:fldChar w:fldCharType="end"/>
      </w:r>
    </w:p>
    <w:p w14:paraId="5BD5DFF6" w14:textId="77777777" w:rsidR="00D77E09" w:rsidRPr="00DD2D97" w:rsidRDefault="00D77E09" w:rsidP="00D77E09">
      <w:pPr>
        <w:jc w:val="both"/>
        <w:rPr>
          <w:rFonts w:ascii="Arial" w:hAnsi="Arial" w:cs="Arial"/>
          <w:b/>
          <w:color w:val="000000" w:themeColor="text1"/>
          <w:sz w:val="22"/>
          <w:lang w:val="es-ES_tradnl"/>
        </w:rPr>
      </w:pPr>
    </w:p>
    <w:p w14:paraId="36FDD4CE" w14:textId="77777777" w:rsidR="00D77E09" w:rsidRPr="00DD2D97" w:rsidRDefault="00D77E09" w:rsidP="00D77E09">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Señor</w:t>
      </w:r>
    </w:p>
    <w:p w14:paraId="42D9C704" w14:textId="03081CFE" w:rsidR="00D77E09" w:rsidRDefault="00070F50" w:rsidP="00D77E09">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David Morales</w:t>
      </w:r>
    </w:p>
    <w:p w14:paraId="37B4B8AC" w14:textId="77777777" w:rsidR="00D77E09" w:rsidRPr="008077A1" w:rsidRDefault="00D77E09" w:rsidP="00D77E09">
      <w:pPr>
        <w:jc w:val="both"/>
        <w:rPr>
          <w:rFonts w:ascii="Arial" w:eastAsia="Calibri" w:hAnsi="Arial" w:cs="Arial"/>
          <w:b/>
          <w:color w:val="000000" w:themeColor="text1"/>
          <w:sz w:val="22"/>
          <w:lang w:val="es-ES_tradnl"/>
        </w:rPr>
      </w:pPr>
      <w:r>
        <w:rPr>
          <w:rFonts w:ascii="Arial" w:eastAsia="Calibri" w:hAnsi="Arial" w:cs="Arial"/>
          <w:color w:val="000000" w:themeColor="text1"/>
          <w:sz w:val="22"/>
          <w:lang w:val="es-ES_tradnl"/>
        </w:rPr>
        <w:t>Bogotá D.C</w:t>
      </w:r>
    </w:p>
    <w:p w14:paraId="2B1D7E9E" w14:textId="77777777" w:rsidR="00D77E09" w:rsidRPr="00DD2D97" w:rsidRDefault="00D77E09" w:rsidP="00D77E09">
      <w:pPr>
        <w:jc w:val="both"/>
        <w:rPr>
          <w:rFonts w:ascii="Arial" w:eastAsia="Calibri" w:hAnsi="Arial" w:cs="Arial"/>
          <w:color w:val="000000" w:themeColor="text1"/>
          <w:sz w:val="22"/>
          <w:lang w:val="es-ES_tradnl"/>
        </w:rPr>
      </w:pPr>
    </w:p>
    <w:p w14:paraId="258F4EF6" w14:textId="77777777" w:rsidR="00D77E09" w:rsidRPr="00DD2D97" w:rsidRDefault="00D77E09" w:rsidP="00D77E09">
      <w:pPr>
        <w:jc w:val="both"/>
        <w:rPr>
          <w:rFonts w:ascii="Arial" w:eastAsia="Calibri" w:hAnsi="Arial" w:cs="Arial"/>
          <w:color w:val="000000" w:themeColor="text1"/>
          <w:sz w:val="22"/>
          <w:lang w:val="es-ES_tradnl"/>
        </w:rPr>
      </w:pPr>
    </w:p>
    <w:p w14:paraId="05D50BDD" w14:textId="77777777" w:rsidR="00D77E09" w:rsidRPr="00DD2D97" w:rsidRDefault="00D77E09" w:rsidP="00D77E09">
      <w:pPr>
        <w:jc w:val="center"/>
        <w:rPr>
          <w:rFonts w:ascii="Arial" w:eastAsia="Calibri" w:hAnsi="Arial" w:cs="Arial"/>
          <w:b/>
          <w:bCs/>
          <w:color w:val="000000" w:themeColor="text1"/>
          <w:sz w:val="22"/>
          <w:lang w:val="es-ES_tradnl"/>
        </w:rPr>
      </w:pPr>
      <w:r w:rsidRPr="0058385E">
        <w:rPr>
          <w:rFonts w:ascii="Arial" w:eastAsia="Calibri" w:hAnsi="Arial" w:cs="Arial"/>
          <w:b/>
          <w:bCs/>
          <w:color w:val="000000" w:themeColor="text1"/>
          <w:sz w:val="22"/>
          <w:lang w:val="es-ES_tradnl"/>
        </w:rPr>
        <w:t xml:space="preserve">Concepto C ‒ </w:t>
      </w:r>
      <w:r>
        <w:rPr>
          <w:rFonts w:ascii="Arial" w:eastAsia="Calibri" w:hAnsi="Arial" w:cs="Arial"/>
          <w:b/>
          <w:bCs/>
          <w:color w:val="000000" w:themeColor="text1"/>
          <w:sz w:val="22"/>
          <w:lang w:val="es-ES_tradnl"/>
        </w:rPr>
        <w:t>253</w:t>
      </w:r>
      <w:r w:rsidRPr="0058385E">
        <w:rPr>
          <w:rFonts w:ascii="Arial" w:eastAsia="Calibri" w:hAnsi="Arial" w:cs="Arial"/>
          <w:b/>
          <w:bCs/>
          <w:color w:val="000000" w:themeColor="text1"/>
          <w:sz w:val="22"/>
          <w:lang w:val="es-ES_tradnl"/>
        </w:rPr>
        <w:t xml:space="preserve"> de 2021</w:t>
      </w:r>
    </w:p>
    <w:p w14:paraId="5934BE41" w14:textId="77777777" w:rsidR="00D77E09" w:rsidRPr="00DD2D97" w:rsidRDefault="00D77E09" w:rsidP="00D77E09">
      <w:pPr>
        <w:jc w:val="both"/>
        <w:rPr>
          <w:rFonts w:ascii="Arial" w:eastAsia="Calibri" w:hAnsi="Arial" w:cs="Arial"/>
          <w:color w:val="000000" w:themeColor="text1"/>
          <w:sz w:val="22"/>
          <w:lang w:val="es-ES_tradnl"/>
        </w:rPr>
      </w:pPr>
    </w:p>
    <w:p w14:paraId="57739A74" w14:textId="77777777" w:rsidR="00D77E09" w:rsidRPr="00DD2D97" w:rsidRDefault="00D77E09" w:rsidP="00D77E09">
      <w:pPr>
        <w:jc w:val="both"/>
        <w:rPr>
          <w:rFonts w:ascii="Arial" w:eastAsia="Calibri" w:hAnsi="Arial" w:cs="Arial"/>
          <w:color w:val="000000" w:themeColor="text1"/>
          <w:sz w:val="22"/>
          <w:lang w:val="es-ES_tradnl"/>
        </w:rPr>
      </w:pPr>
    </w:p>
    <w:p w14:paraId="08F941FD" w14:textId="77777777" w:rsidR="00D77E09" w:rsidRPr="00DD2D97" w:rsidRDefault="00D77E09" w:rsidP="00D77E0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77E09" w:rsidRPr="00DD2D97" w14:paraId="496FDFA4" w14:textId="77777777" w:rsidTr="00D60C40">
        <w:tc>
          <w:tcPr>
            <w:tcW w:w="2689" w:type="dxa"/>
          </w:tcPr>
          <w:p w14:paraId="5D654553" w14:textId="77777777" w:rsidR="00D77E09" w:rsidRPr="00DD2D97" w:rsidRDefault="00D77E09" w:rsidP="00D60C40">
            <w:pPr>
              <w:jc w:val="both"/>
              <w:rPr>
                <w:rFonts w:ascii="Arial" w:eastAsia="Calibri" w:hAnsi="Arial" w:cs="Arial"/>
                <w:color w:val="000000" w:themeColor="text1"/>
                <w:sz w:val="22"/>
                <w:lang w:val="es-ES_tradnl"/>
              </w:rPr>
            </w:pPr>
            <w:r w:rsidRPr="00DD2D97">
              <w:rPr>
                <w:rFonts w:ascii="Arial" w:eastAsia="Calibri" w:hAnsi="Arial" w:cs="Arial"/>
                <w:b/>
                <w:color w:val="000000" w:themeColor="text1"/>
                <w:sz w:val="22"/>
                <w:lang w:val="es-ES_tradnl"/>
              </w:rPr>
              <w:t>Temas:</w:t>
            </w:r>
            <w:r w:rsidRPr="00DD2D97">
              <w:rPr>
                <w:rFonts w:ascii="Arial" w:eastAsia="Calibri" w:hAnsi="Arial" w:cs="Arial"/>
                <w:color w:val="000000" w:themeColor="text1"/>
                <w:sz w:val="22"/>
                <w:lang w:val="es-ES_tradnl"/>
              </w:rPr>
              <w:t xml:space="preserve">                                      </w:t>
            </w:r>
          </w:p>
        </w:tc>
        <w:tc>
          <w:tcPr>
            <w:tcW w:w="6237" w:type="dxa"/>
          </w:tcPr>
          <w:p w14:paraId="112166C2" w14:textId="3099CC01" w:rsidR="00D77E09" w:rsidRPr="00971528" w:rsidRDefault="00D77E09" w:rsidP="00D60C40">
            <w:pPr>
              <w:jc w:val="both"/>
              <w:rPr>
                <w:rFonts w:ascii="Arial" w:eastAsia="Calibri" w:hAnsi="Arial" w:cs="Arial"/>
                <w:b/>
                <w:bCs/>
                <w:color w:val="000000" w:themeColor="text1"/>
                <w:sz w:val="22"/>
              </w:rPr>
            </w:pPr>
            <w:r w:rsidRPr="00C22EDD">
              <w:rPr>
                <w:rFonts w:ascii="Arial" w:eastAsia="Calibri" w:hAnsi="Arial" w:cs="Arial"/>
                <w:color w:val="000000" w:themeColor="text1"/>
                <w:sz w:val="22"/>
                <w:lang w:val="es-ES_tradnl"/>
              </w:rPr>
              <w:t>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w:t>
            </w:r>
            <w:r w:rsidRPr="00971528">
              <w:rPr>
                <w:rFonts w:ascii="Arial" w:eastAsia="Calibri" w:hAnsi="Arial" w:cs="Arial"/>
                <w:color w:val="000000" w:themeColor="text1"/>
                <w:sz w:val="22"/>
                <w:lang w:val="es-ES_tradnl"/>
              </w:rPr>
              <w:t xml:space="preserve">te / </w:t>
            </w:r>
            <w:r w:rsidRPr="00971528">
              <w:rPr>
                <w:rFonts w:ascii="Arial" w:eastAsia="Calibri" w:hAnsi="Arial" w:cs="Arial"/>
                <w:color w:val="1A1A1A" w:themeColor="background1" w:themeShade="1A"/>
                <w:sz w:val="22"/>
              </w:rPr>
              <w:t xml:space="preserve">EMPRESAS DE SERVICIOS PÚBLICOS – Naturaleza jurídica especial – Régimen contractual / </w:t>
            </w:r>
            <w:r w:rsidRPr="00971528">
              <w:rPr>
                <w:rFonts w:ascii="Arial" w:eastAsia="Calibri" w:hAnsi="Arial" w:cs="Arial"/>
                <w:color w:val="000000" w:themeColor="text1"/>
                <w:sz w:val="22"/>
              </w:rPr>
              <w:t>SECOP II – Deber de publicidad – Alcance</w:t>
            </w:r>
            <w:r w:rsidR="00070F50">
              <w:rPr>
                <w:rFonts w:ascii="Arial" w:eastAsia="Calibri" w:hAnsi="Arial" w:cs="Arial"/>
                <w:color w:val="000000" w:themeColor="text1"/>
                <w:sz w:val="22"/>
              </w:rPr>
              <w:t xml:space="preserve"> / </w:t>
            </w:r>
            <w:r w:rsidR="00070F50" w:rsidRPr="00070F50">
              <w:rPr>
                <w:rFonts w:ascii="Arial" w:eastAsia="Calibri" w:hAnsi="Arial" w:cs="Arial"/>
                <w:color w:val="000000" w:themeColor="text1"/>
                <w:sz w:val="22"/>
              </w:rPr>
              <w:t>SECOP – EMPRESAS PRESTADORAS DE SERVICIOS PÚBLICOS DOMICILIARIOS – EMPRESAS INDUSTRIALES Y COMERCIALES DEL ESTADO - Deber de publicidad</w:t>
            </w:r>
          </w:p>
        </w:tc>
      </w:tr>
      <w:tr w:rsidR="00D77E09" w:rsidRPr="00DD2D97" w14:paraId="756AC276" w14:textId="77777777" w:rsidTr="00D60C40">
        <w:tc>
          <w:tcPr>
            <w:tcW w:w="2689" w:type="dxa"/>
          </w:tcPr>
          <w:p w14:paraId="63E37523" w14:textId="77777777" w:rsidR="00D77E09" w:rsidRPr="00DD2D97" w:rsidRDefault="00D77E09" w:rsidP="00D60C40">
            <w:pPr>
              <w:spacing w:before="12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Radicación:</w:t>
            </w:r>
            <w:r w:rsidRPr="00DD2D97">
              <w:rPr>
                <w:rFonts w:ascii="Arial" w:eastAsia="Calibri" w:hAnsi="Arial" w:cs="Arial"/>
                <w:color w:val="000000" w:themeColor="text1"/>
                <w:sz w:val="22"/>
                <w:lang w:val="es-ES_tradnl"/>
              </w:rPr>
              <w:t xml:space="preserve">                              </w:t>
            </w:r>
          </w:p>
        </w:tc>
        <w:tc>
          <w:tcPr>
            <w:tcW w:w="6237" w:type="dxa"/>
          </w:tcPr>
          <w:p w14:paraId="2811A266" w14:textId="77777777" w:rsidR="00D77E09" w:rsidRPr="00DD2D97" w:rsidRDefault="00D77E09" w:rsidP="00D60C40">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Respuesta a consulta # </w:t>
            </w:r>
            <w:r w:rsidRPr="00556AD6">
              <w:rPr>
                <w:rFonts w:ascii="Arial" w:eastAsia="Calibri" w:hAnsi="Arial" w:cs="Arial"/>
                <w:color w:val="000000" w:themeColor="text1"/>
                <w:sz w:val="22"/>
                <w:lang w:val="es-ES_tradnl"/>
              </w:rPr>
              <w:t>P202104</w:t>
            </w:r>
            <w:r w:rsidR="00D5431F">
              <w:rPr>
                <w:rFonts w:ascii="Arial" w:eastAsia="Calibri" w:hAnsi="Arial" w:cs="Arial"/>
                <w:color w:val="000000" w:themeColor="text1"/>
                <w:sz w:val="22"/>
                <w:lang w:val="es-ES_tradnl"/>
              </w:rPr>
              <w:t>2</w:t>
            </w:r>
            <w:r w:rsidRPr="00556AD6">
              <w:rPr>
                <w:rFonts w:ascii="Arial" w:eastAsia="Calibri" w:hAnsi="Arial" w:cs="Arial"/>
                <w:color w:val="000000" w:themeColor="text1"/>
                <w:sz w:val="22"/>
                <w:lang w:val="es-ES_tradnl"/>
              </w:rPr>
              <w:t>5003</w:t>
            </w:r>
            <w:r w:rsidR="00D5431F">
              <w:rPr>
                <w:rFonts w:ascii="Arial" w:eastAsia="Calibri" w:hAnsi="Arial" w:cs="Arial"/>
                <w:color w:val="000000" w:themeColor="text1"/>
                <w:sz w:val="22"/>
                <w:lang w:val="es-ES_tradnl"/>
              </w:rPr>
              <w:t>297</w:t>
            </w:r>
          </w:p>
          <w:p w14:paraId="478FDEFF" w14:textId="77777777" w:rsidR="00D77E09" w:rsidRPr="00DD2D97" w:rsidRDefault="00D77E09" w:rsidP="00D60C40">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 </w:t>
            </w:r>
          </w:p>
        </w:tc>
      </w:tr>
    </w:tbl>
    <w:p w14:paraId="425E1352" w14:textId="4A08C4FD" w:rsidR="00D77E09" w:rsidRDefault="00D77E09" w:rsidP="00D77E09">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Estimado señor </w:t>
      </w:r>
      <w:r w:rsidR="00070F50">
        <w:rPr>
          <w:rFonts w:ascii="Arial" w:eastAsia="Calibri" w:hAnsi="Arial" w:cs="Arial"/>
          <w:color w:val="000000" w:themeColor="text1"/>
          <w:sz w:val="22"/>
          <w:lang w:val="es-ES_tradnl"/>
        </w:rPr>
        <w:t>Morales</w:t>
      </w:r>
      <w:r w:rsidRPr="00DD2D97">
        <w:rPr>
          <w:rFonts w:ascii="Arial" w:eastAsia="Calibri" w:hAnsi="Arial" w:cs="Arial"/>
          <w:color w:val="000000" w:themeColor="text1"/>
          <w:sz w:val="22"/>
          <w:lang w:val="es-ES_tradnl"/>
        </w:rPr>
        <w:t>:</w:t>
      </w:r>
    </w:p>
    <w:p w14:paraId="7EFC980C" w14:textId="77777777" w:rsidR="00070F50" w:rsidRPr="00DD2D97" w:rsidRDefault="00070F50" w:rsidP="00D77E09">
      <w:pPr>
        <w:jc w:val="both"/>
        <w:rPr>
          <w:rFonts w:ascii="Arial" w:eastAsia="Calibri" w:hAnsi="Arial" w:cs="Arial"/>
          <w:color w:val="000000" w:themeColor="text1"/>
          <w:sz w:val="22"/>
          <w:lang w:val="es-ES_tradnl"/>
        </w:rPr>
      </w:pPr>
    </w:p>
    <w:p w14:paraId="2E17FC2B" w14:textId="10E350D3" w:rsidR="00D77E09" w:rsidRPr="00DD2D97" w:rsidRDefault="00D77E09" w:rsidP="00D77E09">
      <w:pPr>
        <w:spacing w:line="276" w:lineRule="auto"/>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D1488B">
        <w:rPr>
          <w:rFonts w:ascii="Arial" w:eastAsia="Calibri" w:hAnsi="Arial" w:cs="Arial"/>
          <w:color w:val="000000" w:themeColor="text1"/>
          <w:sz w:val="22"/>
          <w:lang w:val="es-ES_tradnl"/>
        </w:rPr>
        <w:t>20</w:t>
      </w:r>
      <w:r w:rsidRPr="00DD2D97">
        <w:rPr>
          <w:rFonts w:ascii="Arial" w:eastAsia="Calibri" w:hAnsi="Arial" w:cs="Arial"/>
          <w:color w:val="000000" w:themeColor="text1"/>
          <w:sz w:val="22"/>
          <w:lang w:val="es-ES_tradnl"/>
        </w:rPr>
        <w:t xml:space="preserve"> de </w:t>
      </w:r>
      <w:r>
        <w:rPr>
          <w:rFonts w:ascii="Arial" w:eastAsia="Calibri" w:hAnsi="Arial" w:cs="Arial"/>
          <w:color w:val="000000" w:themeColor="text1"/>
          <w:sz w:val="22"/>
          <w:lang w:val="es-ES_tradnl"/>
        </w:rPr>
        <w:t xml:space="preserve">abril </w:t>
      </w:r>
      <w:r w:rsidRPr="00DD2D97">
        <w:rPr>
          <w:rFonts w:ascii="Arial" w:eastAsia="Calibri" w:hAnsi="Arial" w:cs="Arial"/>
          <w:color w:val="000000" w:themeColor="text1"/>
          <w:sz w:val="22"/>
          <w:lang w:val="es-ES_tradnl"/>
        </w:rPr>
        <w:t>del 2021.</w:t>
      </w:r>
    </w:p>
    <w:p w14:paraId="6931CD1E" w14:textId="77777777" w:rsidR="00D77E09" w:rsidRPr="00DD2D97" w:rsidRDefault="00D77E09" w:rsidP="00D77E09">
      <w:pPr>
        <w:spacing w:line="276" w:lineRule="auto"/>
        <w:jc w:val="both"/>
        <w:rPr>
          <w:rFonts w:ascii="Arial" w:eastAsia="Calibri" w:hAnsi="Arial" w:cs="Arial"/>
          <w:b/>
          <w:color w:val="000000" w:themeColor="text1"/>
          <w:sz w:val="22"/>
          <w:lang w:val="es-ES_tradnl"/>
        </w:rPr>
      </w:pPr>
    </w:p>
    <w:p w14:paraId="3696ED63" w14:textId="77777777" w:rsidR="00D77E09" w:rsidRPr="00DD2D97" w:rsidRDefault="00D77E09" w:rsidP="00D77E09">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 xml:space="preserve">Problema planteado </w:t>
      </w:r>
    </w:p>
    <w:p w14:paraId="571DC19C" w14:textId="77777777" w:rsidR="00D77E09" w:rsidRPr="00DD2D97" w:rsidRDefault="00D77E09" w:rsidP="00D77E09">
      <w:pPr>
        <w:tabs>
          <w:tab w:val="left" w:pos="426"/>
        </w:tabs>
        <w:spacing w:line="276" w:lineRule="auto"/>
        <w:jc w:val="both"/>
        <w:rPr>
          <w:rFonts w:ascii="Arial" w:eastAsia="Calibri" w:hAnsi="Arial" w:cs="Arial"/>
          <w:b/>
          <w:color w:val="000000" w:themeColor="text1"/>
          <w:sz w:val="22"/>
          <w:lang w:val="es-ES_tradnl"/>
        </w:rPr>
      </w:pPr>
    </w:p>
    <w:p w14:paraId="2B9964ED" w14:textId="77777777" w:rsidR="00D77E09" w:rsidRPr="00DD2D97" w:rsidRDefault="00D77E09" w:rsidP="00D77E0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 xml:space="preserve">Usted formula la siguiente consulta: </w:t>
      </w:r>
    </w:p>
    <w:p w14:paraId="36C1971D" w14:textId="77777777" w:rsidR="00D77E09" w:rsidRPr="00DD2D97" w:rsidRDefault="00D77E09" w:rsidP="00D77E09">
      <w:pPr>
        <w:spacing w:line="276" w:lineRule="auto"/>
        <w:jc w:val="both"/>
        <w:rPr>
          <w:rFonts w:ascii="Arial" w:hAnsi="Arial" w:cs="Arial"/>
          <w:color w:val="000000" w:themeColor="text1"/>
          <w:sz w:val="22"/>
          <w:lang w:val="es-ES_tradnl"/>
        </w:rPr>
      </w:pPr>
    </w:p>
    <w:p w14:paraId="3BCF0429" w14:textId="503F59D6" w:rsidR="00D77E09" w:rsidRDefault="00D77E09" w:rsidP="00D1488B">
      <w:pPr>
        <w:ind w:left="709" w:right="709"/>
        <w:jc w:val="both"/>
        <w:rPr>
          <w:rFonts w:ascii="Arial" w:hAnsi="Arial" w:cs="Arial"/>
          <w:color w:val="000000" w:themeColor="text1"/>
          <w:sz w:val="22"/>
          <w:lang w:val="es-ES_tradnl"/>
        </w:rPr>
      </w:pPr>
      <w:r w:rsidRPr="00DD2D97">
        <w:rPr>
          <w:rFonts w:ascii="Arial" w:hAnsi="Arial" w:cs="Arial"/>
          <w:color w:val="000000" w:themeColor="text1"/>
          <w:sz w:val="21"/>
          <w:szCs w:val="21"/>
          <w:lang w:val="es-ES_tradnl"/>
        </w:rPr>
        <w:t>«</w:t>
      </w:r>
      <w:bookmarkStart w:id="2" w:name="_Hlk70359962"/>
      <w:r w:rsidR="00D1488B" w:rsidRPr="00D1488B">
        <w:rPr>
          <w:rFonts w:ascii="Arial" w:hAnsi="Arial" w:cs="Arial"/>
          <w:color w:val="000000" w:themeColor="text1"/>
          <w:sz w:val="21"/>
          <w:szCs w:val="21"/>
          <w:lang w:val="es-ES_tradnl"/>
        </w:rPr>
        <w:t xml:space="preserve">consulta si las empresas de servicios públicos domiciliarios y las empresas industriales y comerciales del Estado del orden municipal, se encuentran obligadas a publicar su gestión contractual en la plataforma del SECOP, </w:t>
      </w:r>
      <w:r w:rsidR="00D1488B" w:rsidRPr="00D1488B">
        <w:rPr>
          <w:rFonts w:ascii="Arial" w:hAnsi="Arial" w:cs="Arial"/>
          <w:color w:val="000000" w:themeColor="text1"/>
          <w:sz w:val="21"/>
          <w:szCs w:val="21"/>
          <w:lang w:val="es-ES_tradnl"/>
        </w:rPr>
        <w:lastRenderedPageBreak/>
        <w:t>conforme lo ordenado en el fallo de la Sección Tercera, Subsección B del Consejo de Estado del 25 de febrero de 2021</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0FDF5D75" w14:textId="77777777" w:rsidR="00D77E09" w:rsidRPr="00DD2D97" w:rsidRDefault="00D77E09" w:rsidP="00D77E09">
      <w:pPr>
        <w:ind w:left="709" w:right="709"/>
        <w:jc w:val="both"/>
        <w:rPr>
          <w:rFonts w:ascii="Arial" w:hAnsi="Arial" w:cs="Arial"/>
          <w:color w:val="000000" w:themeColor="text1"/>
          <w:sz w:val="22"/>
          <w:lang w:val="es-ES_tradnl"/>
        </w:rPr>
      </w:pPr>
    </w:p>
    <w:bookmarkEnd w:id="2"/>
    <w:p w14:paraId="07110CB3" w14:textId="77777777" w:rsidR="00D77E09" w:rsidRPr="00DD2D97" w:rsidRDefault="00D77E09" w:rsidP="00D77E09">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Consideraciones</w:t>
      </w:r>
    </w:p>
    <w:p w14:paraId="3420F589" w14:textId="77777777" w:rsidR="00D77E09" w:rsidRPr="00DD2D97" w:rsidRDefault="00D77E09" w:rsidP="00D77E09">
      <w:pPr>
        <w:spacing w:line="276" w:lineRule="auto"/>
        <w:jc w:val="both"/>
        <w:rPr>
          <w:rFonts w:ascii="Arial" w:eastAsia="Calibri" w:hAnsi="Arial" w:cs="Arial"/>
          <w:color w:val="000000" w:themeColor="text1"/>
          <w:sz w:val="22"/>
          <w:szCs w:val="22"/>
          <w:lang w:val="es-ES_tradnl"/>
        </w:rPr>
      </w:pPr>
    </w:p>
    <w:p w14:paraId="6F785FAF" w14:textId="77777777" w:rsidR="00D77E09" w:rsidRPr="00DD2D97" w:rsidRDefault="00D77E09" w:rsidP="00D77E09">
      <w:pPr>
        <w:spacing w:line="276" w:lineRule="auto"/>
        <w:jc w:val="both"/>
        <w:rPr>
          <w:rFonts w:ascii="Arial" w:eastAsia="Calibri" w:hAnsi="Arial" w:cs="Arial"/>
          <w:color w:val="000000" w:themeColor="text1"/>
          <w:sz w:val="22"/>
          <w:lang w:val="es-ES_tradnl"/>
        </w:rPr>
      </w:pPr>
      <w:r w:rsidRPr="00DD2D97">
        <w:rPr>
          <w:rFonts w:ascii="Arial" w:eastAsia="Calibri" w:hAnsi="Arial" w:cs="Arial"/>
          <w:bCs/>
          <w:color w:val="000000" w:themeColor="text1"/>
          <w:sz w:val="22"/>
          <w:lang w:val="es-ES_tradnl"/>
        </w:rPr>
        <w:t xml:space="preserve">Para responder la consulta se analizarán los siguientes temas: i) fundamento axiológico de la publicidad de la información oficial de la contratación estatal en el Sistema Electrónico </w:t>
      </w:r>
      <w:r>
        <w:rPr>
          <w:rFonts w:ascii="Arial" w:eastAsia="Calibri" w:hAnsi="Arial" w:cs="Arial"/>
          <w:bCs/>
          <w:color w:val="000000" w:themeColor="text1"/>
          <w:sz w:val="22"/>
          <w:lang w:val="es-ES_tradnl"/>
        </w:rPr>
        <w:t>para la</w:t>
      </w:r>
      <w:r w:rsidRPr="00DD2D97">
        <w:rPr>
          <w:rFonts w:ascii="Arial" w:eastAsia="Calibri" w:hAnsi="Arial" w:cs="Arial"/>
          <w:bCs/>
          <w:color w:val="000000" w:themeColor="text1"/>
          <w:sz w:val="22"/>
          <w:lang w:val="es-ES_tradnl"/>
        </w:rPr>
        <w:t xml:space="preserve"> Contratación Pública –SECOP–, ii) efectos del auto del Consejo de Estado del 25 de febrero de 2021 sobre la publicación en el SECOP por parte de las entidades estatales con régimen especial de contratación y iii) documentos que deben publicar en el SECOP las entidades estatales que, por regla general, se rigen por el derecho privado en su actividad contractual.</w:t>
      </w:r>
    </w:p>
    <w:p w14:paraId="77FBB162" w14:textId="77777777" w:rsidR="00D77E09" w:rsidRDefault="00D77E09" w:rsidP="00C24701">
      <w:pPr>
        <w:spacing w:before="120" w:after="120" w:line="276" w:lineRule="auto"/>
        <w:ind w:firstLine="709"/>
        <w:jc w:val="both"/>
        <w:rPr>
          <w:rFonts w:ascii="Arial" w:eastAsia="Calibri" w:hAnsi="Arial" w:cs="Arial"/>
          <w:bCs/>
          <w:color w:val="000000" w:themeColor="text1"/>
          <w:sz w:val="22"/>
          <w:lang w:val="es-ES_tradnl"/>
        </w:rPr>
      </w:pPr>
      <w:r w:rsidRPr="00DD2D97">
        <w:rPr>
          <w:rFonts w:ascii="Arial" w:eastAsia="Calibri" w:hAnsi="Arial" w:cs="Arial"/>
          <w:bCs/>
          <w:color w:val="000000" w:themeColor="text1"/>
          <w:sz w:val="22"/>
          <w:lang w:val="es-ES_tradnl"/>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porque, como se explicará, no es contrario al contenido del auto del Consejo de Estado del 25 de febrero de 2021, que motiva la formulación de la consulta. </w:t>
      </w:r>
    </w:p>
    <w:p w14:paraId="2687B0B0" w14:textId="3776C788" w:rsidR="00D77E09" w:rsidRPr="00D307CD" w:rsidRDefault="00D77E09" w:rsidP="00D77E09">
      <w:pPr>
        <w:spacing w:line="276" w:lineRule="auto"/>
        <w:ind w:firstLine="708"/>
        <w:jc w:val="both"/>
        <w:rPr>
          <w:rFonts w:ascii="Arial" w:hAnsi="Arial" w:cs="Arial"/>
          <w:color w:val="1A1A1A" w:themeColor="background1" w:themeShade="1A"/>
          <w:sz w:val="22"/>
        </w:rPr>
      </w:pPr>
      <w:r>
        <w:rPr>
          <w:rFonts w:ascii="Arial" w:eastAsia="Calibri" w:hAnsi="Arial" w:cs="Arial"/>
          <w:color w:val="1A1A1A" w:themeColor="background1" w:themeShade="1A"/>
          <w:sz w:val="22"/>
        </w:rPr>
        <w:t>Adicionalmente, p</w:t>
      </w:r>
      <w:r w:rsidRPr="0091437B">
        <w:rPr>
          <w:rFonts w:ascii="Arial" w:eastAsia="Calibri" w:hAnsi="Arial" w:cs="Arial"/>
          <w:color w:val="1A1A1A" w:themeColor="background1" w:themeShade="1A"/>
          <w:sz w:val="22"/>
        </w:rPr>
        <w:t xml:space="preserve">ara desarrollar </w:t>
      </w:r>
      <w:r>
        <w:rPr>
          <w:rFonts w:ascii="Arial" w:eastAsia="Calibri" w:hAnsi="Arial" w:cs="Arial"/>
          <w:color w:val="1A1A1A" w:themeColor="background1" w:themeShade="1A"/>
          <w:sz w:val="22"/>
        </w:rPr>
        <w:t>el</w:t>
      </w:r>
      <w:r w:rsidRPr="0091437B">
        <w:rPr>
          <w:rFonts w:ascii="Arial" w:eastAsia="Calibri" w:hAnsi="Arial" w:cs="Arial"/>
          <w:color w:val="1A1A1A" w:themeColor="background1" w:themeShade="1A"/>
          <w:sz w:val="22"/>
        </w:rPr>
        <w:t xml:space="preserve"> problema planteado</w:t>
      </w:r>
      <w:r>
        <w:rPr>
          <w:rFonts w:ascii="Arial" w:eastAsia="Calibri" w:hAnsi="Arial" w:cs="Arial"/>
          <w:color w:val="1A1A1A" w:themeColor="background1" w:themeShade="1A"/>
          <w:sz w:val="22"/>
        </w:rPr>
        <w:t>,</w:t>
      </w:r>
      <w:r w:rsidRPr="0091437B">
        <w:rPr>
          <w:rFonts w:ascii="Arial" w:eastAsia="Calibri" w:hAnsi="Arial" w:cs="Arial"/>
          <w:color w:val="1A1A1A" w:themeColor="background1" w:themeShade="1A"/>
          <w:sz w:val="22"/>
        </w:rPr>
        <w:t xml:space="preserve"> se explicará</w:t>
      </w:r>
      <w:r>
        <w:rPr>
          <w:rFonts w:ascii="Arial" w:eastAsia="Calibri" w:hAnsi="Arial" w:cs="Arial"/>
          <w:color w:val="1A1A1A" w:themeColor="background1" w:themeShade="1A"/>
          <w:sz w:val="22"/>
        </w:rPr>
        <w:t xml:space="preserve"> el deber de publicidad de la información contractual en el SECOP</w:t>
      </w:r>
      <w:r w:rsidRPr="0091437B">
        <w:rPr>
          <w:rFonts w:ascii="Arial" w:eastAsia="Calibri" w:hAnsi="Arial" w:cs="Arial"/>
          <w:color w:val="1A1A1A" w:themeColor="background1" w:themeShade="1A"/>
          <w:sz w:val="22"/>
        </w:rPr>
        <w:t xml:space="preserve">. </w:t>
      </w:r>
      <w:r w:rsidRPr="0091437B">
        <w:rPr>
          <w:rFonts w:ascii="Arial" w:eastAsia="Calibri" w:hAnsi="Arial" w:cs="Arial"/>
          <w:bCs/>
          <w:color w:val="1A1A1A" w:themeColor="background1" w:themeShade="1A"/>
          <w:sz w:val="22"/>
        </w:rPr>
        <w:t xml:space="preserve">La Agencia Nacional de Contratación Pública estudió este tema en la consulta No. </w:t>
      </w:r>
      <w:r w:rsidRPr="00E26D3C">
        <w:rPr>
          <w:rFonts w:ascii="Arial" w:eastAsia="Calibri" w:hAnsi="Arial" w:cs="Arial"/>
          <w:bCs/>
          <w:color w:val="1A1A1A" w:themeColor="background1" w:themeShade="1A"/>
          <w:sz w:val="22"/>
        </w:rPr>
        <w:t xml:space="preserve">4201913000005397 del 9 de agosto de 2019 y reiteró la posición en los siguientes conceptos: 4201912000006611 del 25 de septiembre de 2019, </w:t>
      </w:r>
      <w:r w:rsidRPr="00E26D3C">
        <w:rPr>
          <w:rFonts w:ascii="Arial" w:hAnsi="Arial" w:cs="Arial"/>
          <w:sz w:val="22"/>
        </w:rPr>
        <w:t>4201913000006847</w:t>
      </w:r>
      <w:r w:rsidRPr="00E26D3C">
        <w:rPr>
          <w:rFonts w:ascii="Arial" w:hAnsi="Arial" w:cs="Arial"/>
          <w:color w:val="1A1A1A" w:themeColor="background1" w:themeShade="1A"/>
          <w:sz w:val="22"/>
        </w:rPr>
        <w:t xml:space="preserve"> del 4 de octubre de 2019, </w:t>
      </w:r>
      <w:r w:rsidRPr="00E26D3C">
        <w:rPr>
          <w:rFonts w:ascii="Arial" w:eastAsia="Calibri" w:hAnsi="Arial" w:cs="Arial"/>
          <w:bCs/>
          <w:color w:val="1A1A1A" w:themeColor="background1" w:themeShade="1A"/>
          <w:sz w:val="22"/>
        </w:rPr>
        <w:t>4201912000007762 del 18 de noviembre de 2019</w:t>
      </w:r>
      <w:r>
        <w:rPr>
          <w:rFonts w:ascii="Arial" w:eastAsia="Calibri" w:hAnsi="Arial" w:cs="Arial"/>
          <w:bCs/>
          <w:color w:val="1A1A1A" w:themeColor="background1" w:themeShade="1A"/>
          <w:sz w:val="22"/>
        </w:rPr>
        <w:t xml:space="preserve"> y</w:t>
      </w:r>
      <w:r w:rsidRPr="00E26D3C">
        <w:rPr>
          <w:rFonts w:ascii="Arial" w:eastAsia="Calibri" w:hAnsi="Arial" w:cs="Arial"/>
          <w:bCs/>
          <w:color w:val="1A1A1A" w:themeColor="background1" w:themeShade="1A"/>
          <w:sz w:val="22"/>
        </w:rPr>
        <w:t xml:space="preserve"> 4201912000007828 del 13 de noviembre de 2019</w:t>
      </w:r>
      <w:r>
        <w:rPr>
          <w:rFonts w:ascii="Arial" w:eastAsia="Calibri" w:hAnsi="Arial" w:cs="Arial"/>
          <w:bCs/>
          <w:color w:val="1A1A1A" w:themeColor="background1" w:themeShade="1A"/>
          <w:sz w:val="22"/>
        </w:rPr>
        <w:t>. Las tesis expuestas en los anteriores conceptos fueron unificadas en el concepto</w:t>
      </w:r>
      <w:r w:rsidRPr="00E26D3C">
        <w:rPr>
          <w:rFonts w:ascii="Arial" w:eastAsia="Calibri" w:hAnsi="Arial" w:cs="Arial"/>
          <w:bCs/>
          <w:color w:val="1A1A1A" w:themeColor="background1" w:themeShade="1A"/>
          <w:sz w:val="22"/>
        </w:rPr>
        <w:t xml:space="preserve"> CU-003 del 15 de enero de 2020</w:t>
      </w:r>
      <w:r>
        <w:rPr>
          <w:rFonts w:ascii="Arial" w:eastAsia="Calibri" w:hAnsi="Arial" w:cs="Arial"/>
          <w:bCs/>
          <w:color w:val="1A1A1A" w:themeColor="background1" w:themeShade="1A"/>
          <w:sz w:val="22"/>
        </w:rPr>
        <w:t xml:space="preserve">. </w:t>
      </w:r>
      <w:r w:rsidRPr="005C29B6">
        <w:rPr>
          <w:rFonts w:ascii="Arial" w:hAnsi="Arial" w:cs="Arial"/>
          <w:color w:val="1A1A1A" w:themeColor="background1" w:themeShade="1A"/>
          <w:sz w:val="22"/>
        </w:rPr>
        <w:t>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w:t>
      </w:r>
      <w:r>
        <w:rPr>
          <w:rFonts w:ascii="Arial" w:hAnsi="Arial" w:cs="Arial"/>
          <w:color w:val="1A1A1A" w:themeColor="background1" w:themeShade="1A"/>
          <w:sz w:val="22"/>
        </w:rPr>
        <w:t xml:space="preserve">, </w:t>
      </w:r>
      <w:r w:rsidRPr="005C29B6">
        <w:rPr>
          <w:rFonts w:ascii="Arial" w:hAnsi="Arial" w:cs="Arial"/>
          <w:color w:val="1A1A1A" w:themeColor="background1" w:themeShade="1A"/>
          <w:sz w:val="22"/>
        </w:rPr>
        <w:t>C-680 de 18 de noviembre de 2020</w:t>
      </w:r>
      <w:r>
        <w:rPr>
          <w:rFonts w:ascii="Arial" w:hAnsi="Arial" w:cs="Arial"/>
          <w:color w:val="1A1A1A" w:themeColor="background1" w:themeShade="1A"/>
          <w:sz w:val="22"/>
        </w:rPr>
        <w:t xml:space="preserve"> y C-780 del 18 de enero de 2021.</w:t>
      </w:r>
      <w:r w:rsidR="003E2C31">
        <w:rPr>
          <w:rFonts w:ascii="Arial" w:hAnsi="Arial" w:cs="Arial"/>
          <w:color w:val="1A1A1A" w:themeColor="background1" w:themeShade="1A"/>
          <w:sz w:val="22"/>
        </w:rPr>
        <w:t xml:space="preserve"> </w:t>
      </w:r>
      <w:r w:rsidR="00C669D2">
        <w:rPr>
          <w:rFonts w:ascii="Arial" w:hAnsi="Arial" w:cs="Arial"/>
          <w:color w:val="1A1A1A" w:themeColor="background1" w:themeShade="1A"/>
          <w:sz w:val="22"/>
        </w:rPr>
        <w:t xml:space="preserve">Finalmente, como consecuencia del </w:t>
      </w:r>
      <w:r w:rsidR="00C669D2" w:rsidRPr="00DD2D97">
        <w:rPr>
          <w:rFonts w:ascii="Arial" w:eastAsia="Calibri" w:hAnsi="Arial" w:cs="Arial"/>
          <w:bCs/>
          <w:color w:val="000000" w:themeColor="text1"/>
          <w:sz w:val="22"/>
          <w:lang w:val="es-ES_tradnl"/>
        </w:rPr>
        <w:t>auto del Consejo de Estado del 25 de febrero de 2021</w:t>
      </w:r>
      <w:r w:rsidR="00C669D2">
        <w:rPr>
          <w:rFonts w:ascii="Arial" w:eastAsia="Calibri" w:hAnsi="Arial" w:cs="Arial"/>
          <w:bCs/>
          <w:color w:val="000000" w:themeColor="text1"/>
          <w:sz w:val="22"/>
          <w:lang w:val="es-ES_tradnl"/>
        </w:rPr>
        <w:t xml:space="preserve">, al que alude el peticionario, se expidieron los conceptos </w:t>
      </w:r>
      <w:r w:rsidR="00C669D2">
        <w:rPr>
          <w:rFonts w:ascii="Arial" w:eastAsia="Calibri" w:hAnsi="Arial" w:cs="Arial"/>
          <w:bCs/>
          <w:color w:val="000000" w:themeColor="text1"/>
          <w:sz w:val="22"/>
          <w:lang w:val="es-ES_tradnl"/>
        </w:rPr>
        <w:lastRenderedPageBreak/>
        <w:t xml:space="preserve">C–094, C-137 y C-172, todos del </w:t>
      </w:r>
      <w:r w:rsidR="00C669D2">
        <w:rPr>
          <w:rFonts w:ascii="Arial" w:hAnsi="Arial" w:cs="Arial"/>
          <w:color w:val="1A1A1A" w:themeColor="background1" w:themeShade="1A"/>
          <w:sz w:val="22"/>
        </w:rPr>
        <w:t>13 de abril de 2021, reiterados en el concepto C-229 del 24 de mayo de 2021</w:t>
      </w:r>
      <w:r w:rsidR="003E2C31">
        <w:rPr>
          <w:rFonts w:ascii="Arial" w:hAnsi="Arial" w:cs="Arial"/>
          <w:color w:val="1A1A1A" w:themeColor="background1" w:themeShade="1A"/>
          <w:sz w:val="22"/>
        </w:rPr>
        <w:t>.</w:t>
      </w:r>
      <w:r>
        <w:rPr>
          <w:rFonts w:ascii="Arial" w:hAnsi="Arial" w:cs="Arial"/>
          <w:color w:val="1A1A1A" w:themeColor="background1" w:themeShade="1A"/>
          <w:sz w:val="22"/>
        </w:rPr>
        <w:t xml:space="preserve"> </w:t>
      </w:r>
      <w:r w:rsidRPr="00E26D3C">
        <w:rPr>
          <w:rFonts w:ascii="Arial" w:eastAsia="Calibri" w:hAnsi="Arial" w:cs="Arial"/>
          <w:color w:val="1A1A1A" w:themeColor="background1" w:themeShade="1A"/>
          <w:sz w:val="22"/>
        </w:rPr>
        <w:t>La tesis de estos conceptos se reitera a continuación:</w:t>
      </w:r>
      <w:r w:rsidRPr="0091437B">
        <w:rPr>
          <w:rFonts w:ascii="Arial" w:hAnsi="Arial" w:cs="Arial"/>
          <w:color w:val="1A1A1A" w:themeColor="background1" w:themeShade="1A"/>
          <w:sz w:val="22"/>
        </w:rPr>
        <w:t xml:space="preserve"> </w:t>
      </w:r>
    </w:p>
    <w:p w14:paraId="3E920E6E" w14:textId="77777777" w:rsidR="00D77E09" w:rsidRPr="00DD2D97" w:rsidRDefault="00D77E09" w:rsidP="00D77E09">
      <w:pPr>
        <w:spacing w:line="276" w:lineRule="auto"/>
        <w:jc w:val="both"/>
        <w:rPr>
          <w:rFonts w:ascii="Arial" w:hAnsi="Arial" w:cs="Arial"/>
          <w:b/>
          <w:bCs/>
          <w:color w:val="000000" w:themeColor="text1"/>
          <w:sz w:val="22"/>
          <w:lang w:val="es-ES_tradnl"/>
        </w:rPr>
      </w:pPr>
    </w:p>
    <w:p w14:paraId="0440582C" w14:textId="77777777" w:rsidR="00D77E09" w:rsidRPr="00C22EDD" w:rsidRDefault="00D77E09" w:rsidP="00D77E09">
      <w:pPr>
        <w:tabs>
          <w:tab w:val="left" w:pos="426"/>
        </w:tabs>
        <w:spacing w:line="276" w:lineRule="auto"/>
        <w:jc w:val="both"/>
        <w:rPr>
          <w:rFonts w:ascii="Arial" w:eastAsia="Calibri" w:hAnsi="Arial" w:cs="Arial"/>
          <w:b/>
          <w:color w:val="000000" w:themeColor="text1"/>
          <w:sz w:val="22"/>
          <w:lang w:val="es-ES_tradnl"/>
        </w:rPr>
      </w:pPr>
      <w:bookmarkStart w:id="3" w:name="_Hlk69128905"/>
      <w:r w:rsidRPr="00C22EDD">
        <w:rPr>
          <w:rFonts w:ascii="Arial" w:eastAsia="Calibri" w:hAnsi="Arial" w:cs="Arial"/>
          <w:b/>
          <w:color w:val="000000" w:themeColor="text1"/>
          <w:sz w:val="22"/>
          <w:lang w:val="es-ES_tradnl"/>
        </w:rPr>
        <w:t xml:space="preserve">2.1. Fundamento axiológico de la publicidad de la información oficial de la contratación estatal en el Sistema Electrónico </w:t>
      </w:r>
      <w:r>
        <w:rPr>
          <w:rFonts w:ascii="Arial" w:eastAsia="Calibri" w:hAnsi="Arial" w:cs="Arial"/>
          <w:b/>
          <w:color w:val="000000" w:themeColor="text1"/>
          <w:sz w:val="22"/>
          <w:lang w:val="es-ES_tradnl"/>
        </w:rPr>
        <w:t>para la</w:t>
      </w:r>
      <w:r w:rsidRPr="00C22EDD">
        <w:rPr>
          <w:rFonts w:ascii="Arial" w:eastAsia="Calibri" w:hAnsi="Arial" w:cs="Arial"/>
          <w:b/>
          <w:color w:val="000000" w:themeColor="text1"/>
          <w:sz w:val="22"/>
          <w:lang w:val="es-ES_tradnl"/>
        </w:rPr>
        <w:t xml:space="preserve"> Contratación Pública –SECOP–</w:t>
      </w:r>
    </w:p>
    <w:p w14:paraId="33834B07" w14:textId="77777777" w:rsidR="00D77E09" w:rsidRPr="00C22EDD" w:rsidRDefault="00D77E09" w:rsidP="00D77E09">
      <w:pPr>
        <w:pStyle w:val="Prrafodelista"/>
        <w:spacing w:line="276" w:lineRule="auto"/>
        <w:ind w:left="0" w:firstLine="709"/>
        <w:jc w:val="both"/>
        <w:rPr>
          <w:rFonts w:ascii="Arial" w:eastAsia="Calibri" w:hAnsi="Arial" w:cs="Arial"/>
          <w:b/>
          <w:color w:val="000000" w:themeColor="text1"/>
          <w:sz w:val="22"/>
          <w:lang w:val="es-ES_tradnl"/>
        </w:rPr>
      </w:pPr>
    </w:p>
    <w:p w14:paraId="4EE22A7A" w14:textId="77777777" w:rsidR="00D77E09" w:rsidRPr="00C22EDD" w:rsidRDefault="00D77E09" w:rsidP="00D77E09">
      <w:pPr>
        <w:spacing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2"/>
      </w:r>
      <w:r w:rsidRPr="00C22EDD">
        <w:rPr>
          <w:rFonts w:ascii="Arial" w:eastAsia="Calibri" w:hAnsi="Arial" w:cs="Arial"/>
          <w:color w:val="000000" w:themeColor="text1"/>
          <w:sz w:val="22"/>
          <w:lang w:val="es-ES_tradnl"/>
        </w:rPr>
        <w:t>.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indica:</w:t>
      </w:r>
    </w:p>
    <w:p w14:paraId="5584697A" w14:textId="77777777" w:rsidR="00D77E09" w:rsidRPr="00C22EDD" w:rsidRDefault="00D77E09" w:rsidP="00D77E09">
      <w:pPr>
        <w:ind w:firstLine="709"/>
        <w:jc w:val="both"/>
        <w:rPr>
          <w:rFonts w:ascii="Arial" w:eastAsia="Calibri" w:hAnsi="Arial" w:cs="Arial"/>
          <w:color w:val="000000" w:themeColor="text1"/>
          <w:sz w:val="22"/>
          <w:lang w:val="es-ES_tradnl"/>
        </w:rPr>
      </w:pPr>
    </w:p>
    <w:p w14:paraId="53CF6162"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5D7D44D"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p>
    <w:p w14:paraId="53F876CC" w14:textId="77777777" w:rsidR="00D77E09" w:rsidRPr="00C22EDD" w:rsidRDefault="00D77E09" w:rsidP="00D77E09">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3"/>
      </w:r>
      <w:r w:rsidRPr="00C22EDD">
        <w:rPr>
          <w:rFonts w:ascii="Arial" w:eastAsia="Calibri" w:hAnsi="Arial" w:cs="Arial"/>
          <w:color w:val="000000" w:themeColor="text1"/>
          <w:sz w:val="21"/>
          <w:szCs w:val="21"/>
          <w:lang w:val="es-ES_tradnl"/>
        </w:rPr>
        <w:t>.</w:t>
      </w:r>
    </w:p>
    <w:p w14:paraId="7DF24E5E" w14:textId="77777777" w:rsidR="00D77E09" w:rsidRPr="00C22EDD" w:rsidRDefault="00D77E09" w:rsidP="00D77E09">
      <w:pPr>
        <w:spacing w:line="276" w:lineRule="auto"/>
        <w:ind w:right="709"/>
        <w:jc w:val="both"/>
        <w:rPr>
          <w:rFonts w:ascii="Arial" w:eastAsia="Calibri" w:hAnsi="Arial" w:cs="Arial"/>
          <w:color w:val="000000" w:themeColor="text1"/>
          <w:sz w:val="22"/>
          <w:lang w:val="es-ES_tradnl"/>
        </w:rPr>
      </w:pPr>
    </w:p>
    <w:p w14:paraId="53B55951" w14:textId="77777777" w:rsidR="00D77E09" w:rsidRPr="00C22EDD" w:rsidRDefault="00D77E09" w:rsidP="00D77E09">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 xml:space="preserve">o que, en la contratación estatal, el literal c) del </w:t>
      </w:r>
      <w:r w:rsidRPr="00C22EDD">
        <w:rPr>
          <w:rFonts w:ascii="Arial" w:eastAsia="Calibri" w:hAnsi="Arial" w:cs="Arial"/>
          <w:color w:val="000000" w:themeColor="text1"/>
          <w:sz w:val="22"/>
          <w:lang w:val="es-ES_tradnl"/>
        </w:rPr>
        <w:lastRenderedPageBreak/>
        <w:t>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4"/>
      </w:r>
      <w:r w:rsidRPr="00C22EDD">
        <w:rPr>
          <w:rFonts w:ascii="Arial" w:eastAsia="Calibri" w:hAnsi="Arial" w:cs="Arial"/>
          <w:color w:val="000000" w:themeColor="text1"/>
          <w:sz w:val="22"/>
          <w:lang w:val="es-ES_tradnl"/>
        </w:rPr>
        <w:t xml:space="preserve">. </w:t>
      </w:r>
    </w:p>
    <w:p w14:paraId="6F306B4A"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5"/>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sidRPr="00C22EDD">
        <w:rPr>
          <w:rFonts w:ascii="Arial" w:eastAsiaTheme="minorHAnsi" w:hAnsi="Arial" w:cs="Arial"/>
          <w:color w:val="000000" w:themeColor="text1"/>
          <w:sz w:val="22"/>
          <w:szCs w:val="22"/>
          <w:lang w:val="es-ES_tradnl" w:eastAsia="en-US"/>
        </w:rPr>
        <w:t>La ley estatutaria citada establece, en el literal e) del artículo 9,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7"/>
      </w:r>
      <w:r w:rsidRPr="00C22EDD">
        <w:rPr>
          <w:rFonts w:ascii="Arial" w:eastAsiaTheme="minorHAnsi" w:hAnsi="Arial" w:cs="Arial"/>
          <w:color w:val="000000" w:themeColor="text1"/>
          <w:sz w:val="22"/>
          <w:szCs w:val="22"/>
          <w:lang w:val="es-ES_tradnl" w:eastAsia="en-US"/>
        </w:rPr>
        <w:t xml:space="preserve">, el cual dispuso que la publicación de la información </w:t>
      </w:r>
      <w:r w:rsidRPr="00C22EDD">
        <w:rPr>
          <w:rFonts w:ascii="Arial" w:eastAsiaTheme="minorHAnsi" w:hAnsi="Arial" w:cs="Arial"/>
          <w:color w:val="000000" w:themeColor="text1"/>
          <w:sz w:val="22"/>
          <w:szCs w:val="22"/>
          <w:lang w:val="es-ES_tradnl" w:eastAsia="en-US"/>
        </w:rPr>
        <w:lastRenderedPageBreak/>
        <w:t xml:space="preserve">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2F90E12E"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8"/>
      </w:r>
      <w:r w:rsidRPr="00C22EDD">
        <w:rPr>
          <w:rFonts w:ascii="Arial" w:eastAsia="Calibri" w:hAnsi="Arial" w:cs="Arial"/>
          <w:color w:val="000000" w:themeColor="text1"/>
          <w:sz w:val="22"/>
          <w:lang w:val="es-ES_tradnl"/>
        </w:rPr>
        <w:t>.</w:t>
      </w:r>
    </w:p>
    <w:p w14:paraId="641B7FBE"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E009AA8"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había sido definido, al menos de manera preliminar, por el Consejo de Estado. </w:t>
      </w:r>
      <w:r>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Pr="00C22EDD">
        <w:rPr>
          <w:rStyle w:val="Refdenotaalpie"/>
          <w:rFonts w:ascii="Arial" w:hAnsi="Arial" w:cs="Arial"/>
          <w:color w:val="000000" w:themeColor="text1"/>
          <w:sz w:val="22"/>
          <w:lang w:val="es-ES_tradnl"/>
        </w:rPr>
        <w:footnoteReference w:id="10"/>
      </w:r>
      <w:r w:rsidRPr="00C22EDD">
        <w:rPr>
          <w:rFonts w:ascii="Arial" w:hAnsi="Arial" w:cs="Arial"/>
          <w:color w:val="000000" w:themeColor="text1"/>
          <w:sz w:val="22"/>
          <w:lang w:val="es-ES_tradnl"/>
        </w:rPr>
        <w:t>, expresó que la obligación prevista en la Circular Externa No. 1 se ajusta a la normativa superior, en los siguientes términos:</w:t>
      </w:r>
    </w:p>
    <w:p w14:paraId="4839D175" w14:textId="77777777" w:rsidR="00D77E09" w:rsidRPr="00C22EDD" w:rsidRDefault="00D77E09" w:rsidP="00D77E09">
      <w:pPr>
        <w:spacing w:line="276" w:lineRule="auto"/>
        <w:jc w:val="both"/>
        <w:rPr>
          <w:rFonts w:ascii="Arial" w:hAnsi="Arial" w:cs="Arial"/>
          <w:color w:val="000000" w:themeColor="text1"/>
          <w:sz w:val="22"/>
          <w:lang w:val="es-ES_tradnl"/>
        </w:rPr>
      </w:pPr>
    </w:p>
    <w:p w14:paraId="6D2558B5"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CC90479"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p>
    <w:p w14:paraId="56BD8560"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FB29189"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4086108F"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p>
    <w:p w14:paraId="723604FA" w14:textId="77777777" w:rsidR="00D77E09" w:rsidRPr="00C22EDD" w:rsidRDefault="00D77E09" w:rsidP="00D77E0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1"/>
      </w:r>
      <w:r>
        <w:rPr>
          <w:rFonts w:ascii="Arial" w:hAnsi="Arial" w:cs="Arial"/>
          <w:color w:val="000000" w:themeColor="text1"/>
          <w:sz w:val="21"/>
          <w:szCs w:val="21"/>
          <w:lang w:val="es-ES_tradnl"/>
        </w:rPr>
        <w:t>.</w:t>
      </w:r>
    </w:p>
    <w:p w14:paraId="1D69F285" w14:textId="77777777" w:rsidR="00D77E09" w:rsidRPr="00C22EDD" w:rsidRDefault="00D77E09" w:rsidP="00D77E09">
      <w:pPr>
        <w:tabs>
          <w:tab w:val="left" w:pos="3885"/>
        </w:tabs>
        <w:spacing w:line="276" w:lineRule="auto"/>
        <w:ind w:left="709" w:right="709"/>
        <w:jc w:val="both"/>
        <w:rPr>
          <w:rFonts w:ascii="Arial" w:eastAsia="Calibri" w:hAnsi="Arial" w:cs="Arial"/>
          <w:color w:val="000000" w:themeColor="text1"/>
          <w:sz w:val="22"/>
          <w:lang w:val="es-ES_tradnl"/>
        </w:rPr>
      </w:pPr>
    </w:p>
    <w:p w14:paraId="048989FF" w14:textId="77777777" w:rsidR="00D77E09" w:rsidRPr="00C22EDD" w:rsidRDefault="00D77E09" w:rsidP="00D77E09">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el deber de hacer pública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2B7FBF86" w14:textId="77777777" w:rsidR="00D77E09" w:rsidRPr="00C22EDD" w:rsidRDefault="00D77E09" w:rsidP="00D77E09">
      <w:pPr>
        <w:ind w:leftChars="709" w:left="1702" w:right="709" w:firstLine="2"/>
        <w:jc w:val="both"/>
        <w:rPr>
          <w:rFonts w:ascii="Arial" w:hAnsi="Arial" w:cs="Arial"/>
          <w:color w:val="000000" w:themeColor="text1"/>
          <w:sz w:val="21"/>
          <w:szCs w:val="21"/>
          <w:lang w:val="es-ES_tradnl"/>
        </w:rPr>
      </w:pPr>
    </w:p>
    <w:p w14:paraId="5EE340E2" w14:textId="77777777" w:rsidR="00D77E09" w:rsidRPr="00C22EDD" w:rsidRDefault="00D77E09" w:rsidP="00D77E09">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w:t>
      </w:r>
      <w:r w:rsidRPr="00C22EDD">
        <w:rPr>
          <w:rFonts w:ascii="Arial" w:hAnsi="Arial" w:cs="Arial"/>
          <w:color w:val="000000" w:themeColor="text1"/>
          <w:sz w:val="21"/>
          <w:szCs w:val="21"/>
          <w:lang w:val="es-ES_tradnl"/>
        </w:rPr>
        <w:lastRenderedPageBreak/>
        <w:t>que no se estructura ese deber informativo en relación a los negocios que celebren con cargo a recursos de otra índole</w:t>
      </w:r>
      <w:r w:rsidRPr="00C22EDD">
        <w:rPr>
          <w:rStyle w:val="Refdenotaalpie"/>
          <w:rFonts w:ascii="Arial" w:hAnsi="Arial" w:cs="Arial"/>
          <w:color w:val="000000" w:themeColor="text1"/>
          <w:sz w:val="21"/>
          <w:szCs w:val="21"/>
          <w:lang w:val="es-ES_tradnl"/>
        </w:rPr>
        <w:footnoteReference w:id="12"/>
      </w:r>
      <w:r w:rsidRPr="00C22EDD">
        <w:rPr>
          <w:rFonts w:ascii="Arial" w:hAnsi="Arial" w:cs="Arial"/>
          <w:color w:val="000000" w:themeColor="text1"/>
          <w:sz w:val="21"/>
          <w:szCs w:val="21"/>
          <w:lang w:val="es-ES_tradnl"/>
        </w:rPr>
        <w:t>.</w:t>
      </w:r>
    </w:p>
    <w:p w14:paraId="4F3D09B3" w14:textId="77777777" w:rsidR="00D77E09" w:rsidRPr="00C22EDD" w:rsidRDefault="00D77E09" w:rsidP="00D77E09">
      <w:pPr>
        <w:spacing w:line="276" w:lineRule="auto"/>
        <w:ind w:leftChars="709" w:left="1702" w:right="709"/>
        <w:jc w:val="both"/>
        <w:rPr>
          <w:rFonts w:ascii="Arial" w:hAnsi="Arial" w:cs="Arial"/>
          <w:color w:val="000000" w:themeColor="text1"/>
          <w:sz w:val="21"/>
          <w:szCs w:val="21"/>
          <w:lang w:val="es-ES_tradnl"/>
        </w:rPr>
      </w:pPr>
    </w:p>
    <w:p w14:paraId="73A9EB92" w14:textId="77777777" w:rsidR="00D77E09" w:rsidRPr="00C22EDD" w:rsidRDefault="00D77E09" w:rsidP="00D77E09">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en ese momento el Consejo de Estado asumió como criterio para determinar la obligatoriedad de publicar en el SECOP que la contratación se realizara con recursos públicos, conclusión que extrajo del literal c) del artículo 3 de la Ley 1150 de 2007. Así, </w:t>
      </w:r>
      <w:r>
        <w:rPr>
          <w:rFonts w:ascii="Arial" w:hAnsi="Arial" w:cs="Arial"/>
          <w:color w:val="000000" w:themeColor="text1"/>
          <w:sz w:val="22"/>
          <w:lang w:val="es-ES_tradnl"/>
        </w:rPr>
        <w:t>la decisión judicial citada vino a reforzar la obligación de publicar en el SECOP, 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 </w:t>
      </w:r>
    </w:p>
    <w:p w14:paraId="58BF2E2F" w14:textId="77777777" w:rsidR="00D77E09" w:rsidRPr="00C22EDD" w:rsidRDefault="00D77E09" w:rsidP="00D77E09">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395B9B83" w14:textId="77777777" w:rsidR="00D77E09" w:rsidRPr="00C22EDD" w:rsidRDefault="00D77E09" w:rsidP="00D77E09">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0A69D3A6" w14:textId="77777777" w:rsidR="00D77E09" w:rsidRPr="00C22EDD" w:rsidRDefault="00D77E09" w:rsidP="00D77E09">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18E93FBA" w14:textId="77777777" w:rsidR="00D77E09" w:rsidRPr="00C22EDD" w:rsidRDefault="00D77E09" w:rsidP="00D77E09">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El 25 de febrero de 2021 la Sección Tercera del Consejo de Estado expidió un auto</w:t>
      </w:r>
      <w:r w:rsidRPr="00C22EDD">
        <w:rPr>
          <w:rStyle w:val="Refdenotaalpie"/>
          <w:rFonts w:ascii="Arial" w:hAnsi="Arial" w:cs="Arial"/>
          <w:bCs/>
          <w:color w:val="000000" w:themeColor="text1"/>
          <w:sz w:val="22"/>
          <w:lang w:val="es-ES_tradnl"/>
        </w:rPr>
        <w:footnoteReference w:id="13"/>
      </w:r>
      <w:r w:rsidRPr="00C22EDD">
        <w:rPr>
          <w:rFonts w:ascii="Arial" w:hAnsi="Arial" w:cs="Arial"/>
          <w:bCs/>
          <w:color w:val="000000" w:themeColor="text1"/>
          <w:sz w:val="22"/>
          <w:lang w:val="es-ES_tradnl"/>
        </w:rPr>
        <w:t xml:space="preserve"> mediante el cual decretó la suspensión provisional de algunos apartes de las circulares externas No. 1 del 21 de junio de 2013 y No. 20 del 27 de agosto de 2015. Teniendo en cuenta que esta decisión judicial</w:t>
      </w:r>
      <w:r>
        <w:rPr>
          <w:rFonts w:ascii="Arial" w:hAnsi="Arial" w:cs="Arial"/>
          <w:bCs/>
          <w:color w:val="000000" w:themeColor="text1"/>
          <w:sz w:val="22"/>
          <w:lang w:val="es-ES_tradnl"/>
        </w:rPr>
        <w:t xml:space="preserve"> es</w:t>
      </w:r>
      <w:r w:rsidRPr="00C22EDD">
        <w:rPr>
          <w:rFonts w:ascii="Arial" w:hAnsi="Arial" w:cs="Arial"/>
          <w:bCs/>
          <w:color w:val="000000" w:themeColor="text1"/>
          <w:sz w:val="22"/>
          <w:lang w:val="es-ES_tradnl"/>
        </w:rPr>
        <w:t xml:space="preserve"> la razón que motiva la presente consulta, se efectuará una síntesis de la providencia y de los argumentos en los que se apoya el Consejo de Estado. </w:t>
      </w:r>
      <w:r>
        <w:rPr>
          <w:rFonts w:ascii="Arial" w:hAnsi="Arial" w:cs="Arial"/>
          <w:bCs/>
          <w:color w:val="000000" w:themeColor="text1"/>
          <w:sz w:val="22"/>
          <w:lang w:val="es-ES_tradnl"/>
        </w:rPr>
        <w:t>Sin embargo</w:t>
      </w:r>
      <w:r w:rsidRPr="00C22EDD">
        <w:rPr>
          <w:rFonts w:ascii="Arial" w:hAnsi="Arial" w:cs="Arial"/>
          <w:bCs/>
          <w:color w:val="000000" w:themeColor="text1"/>
          <w:sz w:val="22"/>
          <w:lang w:val="es-ES_tradnl"/>
        </w:rPr>
        <w:t xml:space="preserve">, antes de proceder con ello, es importante hacer tres aclaraciones importantes: </w:t>
      </w:r>
    </w:p>
    <w:p w14:paraId="473E93CB" w14:textId="77777777" w:rsidR="00D77E09" w:rsidRPr="00C22EDD" w:rsidRDefault="00D77E09" w:rsidP="00D77E0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primera es que la suspensión provisional es una medida cautelar consagrada en el artículo 238 de la Constitución Política</w:t>
      </w:r>
      <w:r w:rsidRPr="00C22EDD">
        <w:rPr>
          <w:rStyle w:val="Refdenotaalpie"/>
          <w:rFonts w:ascii="Arial" w:hAnsi="Arial" w:cs="Arial"/>
          <w:bCs/>
          <w:color w:val="000000" w:themeColor="text1"/>
          <w:sz w:val="22"/>
          <w:lang w:val="es-ES_tradnl"/>
        </w:rPr>
        <w:footnoteReference w:id="14"/>
      </w:r>
      <w:r w:rsidRPr="00C22EDD">
        <w:rPr>
          <w:rFonts w:ascii="Arial" w:hAnsi="Arial" w:cs="Arial"/>
          <w:bCs/>
          <w:color w:val="000000" w:themeColor="text1"/>
          <w:sz w:val="22"/>
          <w:lang w:val="es-ES_tradnl"/>
        </w:rPr>
        <w:t xml:space="preserve"> y en el artículo 230, numeral 3 de la Ley 1437 de 2011</w:t>
      </w:r>
      <w:r w:rsidRPr="00C22EDD">
        <w:rPr>
          <w:rStyle w:val="Refdenotaalpie"/>
          <w:rFonts w:ascii="Arial" w:hAnsi="Arial" w:cs="Arial"/>
          <w:bCs/>
          <w:color w:val="000000" w:themeColor="text1"/>
          <w:sz w:val="22"/>
          <w:lang w:val="es-ES_tradnl"/>
        </w:rPr>
        <w:footnoteReference w:id="15"/>
      </w:r>
      <w:r w:rsidRPr="00C22EDD">
        <w:rPr>
          <w:rFonts w:ascii="Arial" w:hAnsi="Arial" w:cs="Arial"/>
          <w:bCs/>
          <w:color w:val="000000" w:themeColor="text1"/>
          <w:sz w:val="22"/>
          <w:lang w:val="es-ES_tradnl"/>
        </w:rPr>
        <w:t>, que genera –al menos mientras se expide la sentencia– la pérdida de fuerza ejecutoria de los actos administrativos</w:t>
      </w:r>
      <w:r w:rsidRPr="00C22EDD">
        <w:rPr>
          <w:rStyle w:val="Refdenotaalpie"/>
          <w:rFonts w:ascii="Arial" w:hAnsi="Arial" w:cs="Arial"/>
          <w:bCs/>
          <w:color w:val="000000" w:themeColor="text1"/>
          <w:sz w:val="22"/>
          <w:lang w:val="es-ES_tradnl"/>
        </w:rPr>
        <w:footnoteReference w:id="16"/>
      </w:r>
      <w:r w:rsidRPr="00C22EDD">
        <w:rPr>
          <w:rFonts w:ascii="Arial" w:hAnsi="Arial" w:cs="Arial"/>
          <w:bCs/>
          <w:color w:val="000000" w:themeColor="text1"/>
          <w:sz w:val="22"/>
          <w:lang w:val="es-ES_tradnl"/>
        </w:rPr>
        <w:t xml:space="preserve">, pero no la pérdida de su presunción de legalidad, </w:t>
      </w:r>
      <w:r w:rsidRPr="00C22EDD">
        <w:rPr>
          <w:rFonts w:ascii="Arial" w:hAnsi="Arial" w:cs="Arial"/>
          <w:bCs/>
          <w:color w:val="000000" w:themeColor="text1"/>
          <w:sz w:val="22"/>
          <w:lang w:val="es-ES_tradnl"/>
        </w:rPr>
        <w:lastRenderedPageBreak/>
        <w:t xml:space="preserve">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46B8A8B0" w14:textId="77777777" w:rsidR="00D77E09" w:rsidRPr="00C22EDD" w:rsidRDefault="00D77E09" w:rsidP="00D77E0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352C4EE4" w14:textId="77777777" w:rsidR="00D77E09" w:rsidRPr="00C22EDD" w:rsidRDefault="00D77E09" w:rsidP="00D77E0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tercera salvedad es que la Circular Externa Única –actualizada el 16 de abril de 2019–</w:t>
      </w:r>
      <w:r w:rsidRPr="00C22EDD">
        <w:rPr>
          <w:rStyle w:val="Refdenotaalpie"/>
          <w:rFonts w:ascii="Arial" w:hAnsi="Arial" w:cs="Arial"/>
          <w:bCs/>
          <w:color w:val="000000" w:themeColor="text1"/>
          <w:sz w:val="22"/>
          <w:lang w:val="es-ES_tradnl"/>
        </w:rPr>
        <w:footnoteReference w:id="17"/>
      </w:r>
      <w:r w:rsidRPr="00C22EDD">
        <w:rPr>
          <w:rFonts w:ascii="Arial" w:hAnsi="Arial" w:cs="Arial"/>
          <w:bCs/>
          <w:color w:val="000000" w:themeColor="text1"/>
          <w:sz w:val="22"/>
          <w:lang w:val="es-ES_tradnl"/>
        </w:rPr>
        <w:t xml:space="preserve">, la Circular No. 007 de 2020 </w:t>
      </w:r>
      <w:r w:rsidRPr="00C22EDD">
        <w:rPr>
          <w:rFonts w:ascii="Arial" w:hAnsi="Arial" w:cs="Arial"/>
          <w:bCs/>
          <w:color w:val="000000" w:themeColor="text1"/>
          <w:sz w:val="22"/>
          <w:lang w:val="es-ES_tradnl"/>
        </w:rPr>
        <w:softHyphen/>
        <w:t>–sobre actualización y diligenciamiento de información en el Sistema Electrónico para la Contratación Pública – SECOP–</w:t>
      </w:r>
      <w:r w:rsidRPr="00C22EDD">
        <w:rPr>
          <w:rStyle w:val="Refdenotaalpie"/>
          <w:rFonts w:ascii="Arial" w:hAnsi="Arial" w:cs="Arial"/>
          <w:bCs/>
          <w:color w:val="000000" w:themeColor="text1"/>
          <w:sz w:val="22"/>
          <w:lang w:val="es-ES_tradnl"/>
        </w:rPr>
        <w:footnoteReference w:id="18"/>
      </w:r>
      <w:r w:rsidRPr="00C22EDD">
        <w:rPr>
          <w:rFonts w:ascii="Arial" w:hAnsi="Arial" w:cs="Arial"/>
          <w:bCs/>
          <w:color w:val="000000" w:themeColor="text1"/>
          <w:sz w:val="22"/>
          <w:lang w:val="es-ES_tradnl"/>
        </w:rPr>
        <w:t xml:space="preserve"> y la Circular Nº 23 del 16 de marzo de 2017 –sobre la calidad y oportunidad de la información del Sistema de Compra Pública disponible en el SECOP–</w:t>
      </w:r>
      <w:r w:rsidRPr="00C22EDD">
        <w:rPr>
          <w:rStyle w:val="Refdenotaalpie"/>
          <w:rFonts w:ascii="Arial" w:hAnsi="Arial" w:cs="Arial"/>
          <w:bCs/>
          <w:color w:val="000000" w:themeColor="text1"/>
          <w:sz w:val="22"/>
          <w:lang w:val="es-ES_tradnl"/>
        </w:rPr>
        <w:footnoteReference w:id="19"/>
      </w:r>
      <w:r w:rsidRPr="00C22EDD">
        <w:rPr>
          <w:rFonts w:ascii="Arial" w:hAnsi="Arial" w:cs="Arial"/>
          <w:bCs/>
          <w:color w:val="000000" w:themeColor="text1"/>
          <w:sz w:val="22"/>
          <w:lang w:val="es-ES_tradnl"/>
        </w:rPr>
        <w:t>, permanecen vigentes, pues no fueron tampoco suspendidas por dicho auto. Como se verá, no obstante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w:t>
      </w:r>
      <w:r>
        <w:rPr>
          <w:rFonts w:ascii="Arial" w:hAnsi="Arial" w:cs="Arial"/>
          <w:bCs/>
          <w:color w:val="000000" w:themeColor="text1"/>
          <w:sz w:val="22"/>
          <w:lang w:val="es-ES_tradnl"/>
        </w:rPr>
        <w:t>, especialmente,</w:t>
      </w:r>
      <w:r w:rsidRPr="00C22EDD">
        <w:rPr>
          <w:rFonts w:ascii="Arial" w:hAnsi="Arial" w:cs="Arial"/>
          <w:bCs/>
          <w:color w:val="000000" w:themeColor="text1"/>
          <w:sz w:val="22"/>
          <w:lang w:val="es-ES_tradnl"/>
        </w:rPr>
        <w:t xml:space="preserve"> en normas de rango constitucional, legal y reglamentario, como las señaladas en los numerales 2.1. y 2.3. de este concepto. Hechas estas aclaraciones, se comentará el auto del 25 de febrero de 2021.</w:t>
      </w:r>
    </w:p>
    <w:p w14:paraId="7FDB4A54"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En ejercicio del medio de control de nulidad simple, dos empresas prestadoras de servicios públicos domiciliarios interpusieron demandas en contra de la Agencia Nacional </w:t>
      </w:r>
      <w:r w:rsidRPr="00C22EDD">
        <w:rPr>
          <w:rFonts w:ascii="Arial" w:hAnsi="Arial" w:cs="Arial"/>
          <w:color w:val="000000" w:themeColor="text1"/>
          <w:sz w:val="22"/>
          <w:lang w:val="es-ES_tradnl"/>
        </w:rPr>
        <w:lastRenderedPageBreak/>
        <w:t>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1ABF7FFD"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(ii) las Circulares Externas No. 1 de 21 de junio de 2013 y 20 de 27 de agosto de 2015 contrarían lo previsto en el artículo 3o de la Ley 1150 de 2007»</w:t>
      </w:r>
      <w:r w:rsidRPr="00C22EDD">
        <w:rPr>
          <w:rStyle w:val="Refdenotaalpie"/>
          <w:rFonts w:ascii="Arial" w:hAnsi="Arial" w:cs="Arial"/>
          <w:color w:val="000000" w:themeColor="text1"/>
          <w:sz w:val="22"/>
          <w:lang w:val="es-ES_tradnl"/>
        </w:rPr>
        <w:footnoteReference w:id="20"/>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La providencia</w:t>
      </w:r>
      <w:r w:rsidRPr="00C22EDD">
        <w:rPr>
          <w:rFonts w:ascii="Arial" w:hAnsi="Arial" w:cs="Arial"/>
          <w:color w:val="000000" w:themeColor="text1"/>
          <w:sz w:val="22"/>
          <w:lang w:val="es-ES_tradnl"/>
        </w:rPr>
        <w:t>, además, indica que se aparta del auto de la Sección Tercera del 14 de agosto de 201</w:t>
      </w:r>
      <w:r>
        <w:rPr>
          <w:rFonts w:ascii="Arial" w:hAnsi="Arial" w:cs="Arial"/>
          <w:color w:val="000000" w:themeColor="text1"/>
          <w:sz w:val="22"/>
          <w:lang w:val="es-ES_tradnl"/>
        </w:rPr>
        <w:t>7</w:t>
      </w:r>
      <w:r w:rsidRPr="00C22EDD">
        <w:rPr>
          <w:rFonts w:ascii="Arial" w:hAnsi="Arial" w:cs="Arial"/>
          <w:color w:val="000000" w:themeColor="text1"/>
          <w:sz w:val="22"/>
          <w:lang w:val="es-ES_tradnl"/>
        </w:rPr>
        <w:t>, que había negado la suspensión provisional de la circular externa No. 1 de 21 de junio de 2013, por considerar que no hace un análisis adecuado sobre la viabilidad de dicha medida y porque no existe en él cosa juzgada.</w:t>
      </w:r>
    </w:p>
    <w:p w14:paraId="3F9DCFF9"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C22EDD">
        <w:rPr>
          <w:rFonts w:ascii="Arial" w:hAnsi="Arial" w:cs="Arial"/>
          <w:i/>
          <w:iCs/>
          <w:color w:val="000000" w:themeColor="text1"/>
          <w:sz w:val="22"/>
          <w:lang w:val="es-ES_tradnl"/>
        </w:rPr>
        <w:t>información oficial</w:t>
      </w:r>
      <w:r w:rsidRPr="00C22EDD">
        <w:rPr>
          <w:rFonts w:ascii="Arial" w:hAnsi="Arial" w:cs="Arial"/>
          <w:color w:val="000000" w:themeColor="text1"/>
          <w:sz w:val="22"/>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w:t>
      </w:r>
      <w:r>
        <w:rPr>
          <w:rFonts w:ascii="Arial" w:hAnsi="Arial" w:cs="Arial"/>
          <w:color w:val="000000" w:themeColor="text1"/>
          <w:sz w:val="22"/>
          <w:lang w:val="es-ES_tradnl"/>
        </w:rPr>
        <w:t xml:space="preserve"> ‒en adelante también EGCAP‒</w:t>
      </w:r>
      <w:r w:rsidRPr="00C22EDD">
        <w:rPr>
          <w:rFonts w:ascii="Arial" w:hAnsi="Arial" w:cs="Arial"/>
          <w:color w:val="000000" w:themeColor="text1"/>
          <w:sz w:val="22"/>
          <w:lang w:val="es-ES_tradnl"/>
        </w:rPr>
        <w:t>. En consecuencia, para el Consejo de Estado, Colombia Compra eficiente ejerció una potestad reglamentaria sobre el mencionado literal de la Ley 1150 de 2007, para la cual carec</w:t>
      </w:r>
      <w:r>
        <w:rPr>
          <w:rFonts w:ascii="Arial" w:hAnsi="Arial" w:cs="Arial"/>
          <w:color w:val="000000" w:themeColor="text1"/>
          <w:sz w:val="22"/>
          <w:lang w:val="es-ES_tradnl"/>
        </w:rPr>
        <w:t>ía</w:t>
      </w:r>
      <w:r w:rsidRPr="00C22EDD">
        <w:rPr>
          <w:rFonts w:ascii="Arial" w:hAnsi="Arial" w:cs="Arial"/>
          <w:color w:val="000000" w:themeColor="text1"/>
          <w:sz w:val="22"/>
          <w:lang w:val="es-ES_tradnl"/>
        </w:rPr>
        <w:t xml:space="preserve"> de competencia.</w:t>
      </w:r>
    </w:p>
    <w:p w14:paraId="24404CBD"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lastRenderedPageBreak/>
        <w:t xml:space="preserve">No obstante lo anterior,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2"/>
          <w:lang w:val="es-ES_tradnl"/>
        </w:rPr>
        <w:t>sí</w:t>
      </w:r>
      <w:r w:rsidRPr="00C22EDD">
        <w:rPr>
          <w:rFonts w:ascii="Arial" w:hAnsi="Arial" w:cs="Arial"/>
          <w:color w:val="000000" w:themeColor="text1"/>
          <w:sz w:val="22"/>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C22EDD">
        <w:rPr>
          <w:rStyle w:val="Refdenotaalpie"/>
          <w:rFonts w:ascii="Arial" w:hAnsi="Arial" w:cs="Arial"/>
          <w:color w:val="000000" w:themeColor="text1"/>
          <w:sz w:val="22"/>
          <w:lang w:val="es-ES_tradnl"/>
        </w:rPr>
        <w:footnoteReference w:id="21"/>
      </w:r>
      <w:r w:rsidRPr="00C22EDD">
        <w:rPr>
          <w:rFonts w:ascii="Arial" w:hAnsi="Arial" w:cs="Arial"/>
          <w:color w:val="000000" w:themeColor="text1"/>
          <w:sz w:val="22"/>
          <w:lang w:val="es-ES_tradnl"/>
        </w:rPr>
        <w:t>. Para el Consejo de Estado, quien debe decir qué debe entenderse por la expresión «información oficial de la contratación» es el legislador o a lo sumo el gobierno nacional, a través de un decreto reglamentario, y no la Agencia mediante una circular.</w:t>
      </w:r>
    </w:p>
    <w:p w14:paraId="51CCBADD" w14:textId="77777777" w:rsidR="00D77E09" w:rsidRPr="00C22EDD" w:rsidRDefault="00D77E09" w:rsidP="00D77E09">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2"/>
          <w:szCs w:val="22"/>
          <w:lang w:val="es-ES_tradnl"/>
        </w:rPr>
        <w:t>No hay duda de que el literal c) del artículo 3o pertenece a este grupo de normas. Expresamente establece que ese aparte del artículo se aplica a la “</w:t>
      </w:r>
      <w:r w:rsidRPr="00C22EDD">
        <w:rPr>
          <w:rFonts w:ascii="Arial" w:hAnsi="Arial" w:cs="Arial"/>
          <w:i/>
          <w:iCs/>
          <w:sz w:val="22"/>
          <w:szCs w:val="22"/>
          <w:lang w:val="es-ES_tradnl"/>
        </w:rPr>
        <w:t>contratación realizada con dineros públicos</w:t>
      </w:r>
      <w:r w:rsidRPr="00C22EDD">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C22EDD">
        <w:rPr>
          <w:rStyle w:val="Refdenotaalpie"/>
          <w:rFonts w:ascii="Arial" w:hAnsi="Arial" w:cs="Arial"/>
          <w:sz w:val="22"/>
          <w:szCs w:val="22"/>
          <w:lang w:val="es-ES_tradnl"/>
        </w:rPr>
        <w:footnoteReference w:id="22"/>
      </w:r>
      <w:r w:rsidRPr="00C22EDD">
        <w:rPr>
          <w:rFonts w:ascii="Arial" w:hAnsi="Arial" w:cs="Arial"/>
          <w:sz w:val="22"/>
          <w:szCs w:val="22"/>
          <w:lang w:val="es-ES_tradnl"/>
        </w:rPr>
        <w:t xml:space="preserve">. </w:t>
      </w:r>
    </w:p>
    <w:p w14:paraId="36297FB6" w14:textId="77777777" w:rsidR="00D77E09" w:rsidRPr="00C22EDD" w:rsidRDefault="00D77E09" w:rsidP="00D77E09">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El Consejo de Estado admite, por tanto, </w:t>
      </w:r>
      <w:r>
        <w:rPr>
          <w:rFonts w:ascii="Arial" w:hAnsi="Arial" w:cs="Arial"/>
          <w:sz w:val="22"/>
          <w:szCs w:val="22"/>
          <w:lang w:val="es-ES_tradnl"/>
        </w:rPr>
        <w:t xml:space="preserve">en armonía con lo sostenido por esta Agencia, </w:t>
      </w:r>
      <w:r w:rsidRPr="00C22EDD">
        <w:rPr>
          <w:rFonts w:ascii="Arial" w:hAnsi="Arial" w:cs="Arial"/>
          <w:sz w:val="22"/>
          <w:szCs w:val="22"/>
          <w:lang w:val="es-ES_tradnl"/>
        </w:rPr>
        <w:t xml:space="preserve">que el mandato de publicar la «información oficial de la contratación» se predica de la contratación </w:t>
      </w:r>
      <w:r w:rsidRPr="00C22EDD">
        <w:rPr>
          <w:rFonts w:ascii="Arial" w:hAnsi="Arial" w:cs="Arial"/>
          <w:i/>
          <w:iCs/>
          <w:sz w:val="22"/>
          <w:szCs w:val="22"/>
          <w:lang w:val="es-ES_tradnl"/>
        </w:rPr>
        <w:t>con recursos públicos</w:t>
      </w:r>
      <w:r w:rsidRPr="00C22EDD">
        <w:rPr>
          <w:rFonts w:ascii="Arial" w:hAnsi="Arial" w:cs="Arial"/>
          <w:sz w:val="22"/>
          <w:szCs w:val="22"/>
          <w:lang w:val="es-ES_tradnl"/>
        </w:rPr>
        <w:t>, independientemente de si es adelantada por una entidad estatal sometida o exceptuada del Estatuto General de Contratación de la Administración Pública</w:t>
      </w:r>
      <w:r>
        <w:rPr>
          <w:rFonts w:ascii="Arial" w:hAnsi="Arial" w:cs="Arial"/>
          <w:sz w:val="22"/>
          <w:szCs w:val="22"/>
          <w:lang w:val="es-ES_tradnl"/>
        </w:rPr>
        <w:t xml:space="preserve"> ‒EGCAP‒</w:t>
      </w:r>
      <w:r w:rsidRPr="00C22EDD">
        <w:rPr>
          <w:rFonts w:ascii="Arial" w:hAnsi="Arial" w:cs="Arial"/>
          <w:sz w:val="22"/>
          <w:szCs w:val="22"/>
          <w:lang w:val="es-ES_tradnl"/>
        </w:rPr>
        <w:t xml:space="preserve">. Sin embargo, aclara que el alcance de dicha obligación no es igual para las entidades que se rigen </w:t>
      </w:r>
      <w:r>
        <w:rPr>
          <w:rFonts w:ascii="Arial" w:hAnsi="Arial" w:cs="Arial"/>
          <w:sz w:val="22"/>
          <w:szCs w:val="22"/>
          <w:lang w:val="es-ES_tradnl"/>
        </w:rPr>
        <w:t xml:space="preserve">por </w:t>
      </w:r>
      <w:r w:rsidRPr="00C22EDD">
        <w:rPr>
          <w:rFonts w:ascii="Arial" w:hAnsi="Arial" w:cs="Arial"/>
          <w:sz w:val="22"/>
          <w:szCs w:val="22"/>
          <w:lang w:val="es-ES_tradnl"/>
        </w:rPr>
        <w:t xml:space="preserve">la Ley 80 de 1993 y demás normas complementarias, que para las que aplican el derecho privado o cuentan con un régimen especial. Al respecto, afirma que mientras que una entidad sometida al </w:t>
      </w:r>
      <w:r>
        <w:rPr>
          <w:rFonts w:ascii="Arial" w:hAnsi="Arial" w:cs="Arial"/>
          <w:sz w:val="22"/>
          <w:szCs w:val="22"/>
          <w:lang w:val="es-ES_tradnl"/>
        </w:rPr>
        <w:t>EGCAP</w:t>
      </w:r>
      <w:r w:rsidRPr="00C22EDD">
        <w:rPr>
          <w:rFonts w:ascii="Arial" w:hAnsi="Arial" w:cs="Arial"/>
          <w:sz w:val="22"/>
          <w:szCs w:val="22"/>
          <w:lang w:val="es-ES_tradnl"/>
        </w:rPr>
        <w:t xml:space="preserve"> debe publicar «todos los actos relacionados con la actividad contractual», esto mismo no lo exige el artículo 3 de la Ley 1150 de 2007 para las entidades exceptuadas de dicho Estatuto. </w:t>
      </w:r>
      <w:r w:rsidRPr="00C22EDD">
        <w:rPr>
          <w:rFonts w:ascii="Arial" w:hAnsi="Arial" w:cs="Arial"/>
          <w:sz w:val="22"/>
          <w:szCs w:val="22"/>
          <w:lang w:val="es-ES_tradnl"/>
        </w:rPr>
        <w:lastRenderedPageBreak/>
        <w:t>Según el alto tribunal, esta interpretación es acorde con los principio</w:t>
      </w:r>
      <w:r>
        <w:rPr>
          <w:rFonts w:ascii="Arial" w:hAnsi="Arial" w:cs="Arial"/>
          <w:sz w:val="22"/>
          <w:szCs w:val="22"/>
          <w:lang w:val="es-ES_tradnl"/>
        </w:rPr>
        <w:t>s</w:t>
      </w:r>
      <w:r w:rsidRPr="00C22EDD">
        <w:rPr>
          <w:rFonts w:ascii="Arial" w:hAnsi="Arial" w:cs="Arial"/>
          <w:sz w:val="22"/>
          <w:szCs w:val="22"/>
          <w:lang w:val="es-ES_tradnl"/>
        </w:rPr>
        <w:t xml:space="preserve">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71153145"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C22EDD">
        <w:rPr>
          <w:rFonts w:ascii="Arial" w:hAnsi="Arial" w:cs="Arial"/>
          <w:color w:val="000000" w:themeColor="text1"/>
          <w:sz w:val="22"/>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C22EDD">
        <w:rPr>
          <w:rFonts w:ascii="Arial" w:hAnsi="Arial" w:cs="Arial"/>
          <w:i/>
          <w:iCs/>
          <w:color w:val="000000" w:themeColor="text1"/>
          <w:sz w:val="22"/>
          <w:lang w:val="es-ES_tradnl"/>
        </w:rPr>
        <w:t>quedaron vigentes</w:t>
      </w:r>
      <w:r w:rsidRPr="00C22EDD">
        <w:rPr>
          <w:rFonts w:ascii="Arial" w:hAnsi="Arial" w:cs="Arial"/>
          <w:color w:val="000000" w:themeColor="text1"/>
          <w:sz w:val="22"/>
          <w:lang w:val="es-ES_tradnl"/>
        </w:rPr>
        <w:t>, redactadas en los siguientes términos –solo hay que entender suspendidas las expresiones tachadas–:</w:t>
      </w:r>
    </w:p>
    <w:p w14:paraId="55102132" w14:textId="77777777" w:rsidR="00D77E09" w:rsidRPr="00C22EDD" w:rsidRDefault="00D77E09" w:rsidP="00D77E09">
      <w:pPr>
        <w:ind w:left="709" w:right="709"/>
        <w:jc w:val="both"/>
        <w:rPr>
          <w:rFonts w:ascii="Arial" w:hAnsi="Arial" w:cs="Arial"/>
          <w:color w:val="000000" w:themeColor="text1"/>
          <w:sz w:val="21"/>
          <w:szCs w:val="21"/>
          <w:lang w:val="es-ES_tradnl"/>
        </w:rPr>
      </w:pPr>
    </w:p>
    <w:p w14:paraId="66D66230" w14:textId="77777777" w:rsidR="00D77E09" w:rsidRPr="00C22EDD" w:rsidRDefault="00D77E09" w:rsidP="00D77E09">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4981C246" w14:textId="77777777" w:rsidR="00D77E09" w:rsidRPr="00C22EDD" w:rsidRDefault="00D77E09" w:rsidP="00D77E09">
      <w:pPr>
        <w:widowControl w:val="0"/>
        <w:ind w:left="709" w:right="709"/>
        <w:jc w:val="both"/>
        <w:rPr>
          <w:rFonts w:ascii="Arial" w:eastAsia="Arial" w:hAnsi="Arial" w:cs="Arial"/>
          <w:sz w:val="21"/>
          <w:szCs w:val="21"/>
          <w:lang w:val="es-ES_tradnl"/>
        </w:rPr>
      </w:pPr>
    </w:p>
    <w:p w14:paraId="1206D46B"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2B0FD04F"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18B72C76" w14:textId="77777777" w:rsidR="00D77E09" w:rsidRPr="00C22EDD" w:rsidRDefault="00D77E09" w:rsidP="00D77E09">
      <w:pPr>
        <w:widowControl w:val="0"/>
        <w:ind w:left="709" w:right="709"/>
        <w:jc w:val="both"/>
        <w:rPr>
          <w:rFonts w:ascii="Arial" w:eastAsia="Arial" w:hAnsi="Arial" w:cs="Arial"/>
          <w:i/>
          <w:sz w:val="21"/>
          <w:szCs w:val="21"/>
          <w:lang w:val="es-ES_tradnl"/>
        </w:rPr>
      </w:pPr>
    </w:p>
    <w:p w14:paraId="46316277"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6F9B4086" w14:textId="77777777" w:rsidR="00D77E09" w:rsidRPr="00C22EDD" w:rsidRDefault="00D77E09" w:rsidP="00D77E09">
      <w:pPr>
        <w:widowControl w:val="0"/>
        <w:ind w:left="709" w:right="709"/>
        <w:jc w:val="both"/>
        <w:rPr>
          <w:rFonts w:ascii="Arial" w:eastAsia="Arial" w:hAnsi="Arial" w:cs="Arial"/>
          <w:i/>
          <w:sz w:val="21"/>
          <w:szCs w:val="21"/>
          <w:lang w:val="es-ES_tradnl"/>
        </w:rPr>
      </w:pPr>
    </w:p>
    <w:p w14:paraId="320757F5"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5EC60E78" w14:textId="77777777" w:rsidR="00D77E09" w:rsidRPr="00C22EDD" w:rsidRDefault="00D77E09" w:rsidP="00D77E09">
      <w:pPr>
        <w:widowControl w:val="0"/>
        <w:ind w:left="709" w:right="709"/>
        <w:jc w:val="both"/>
        <w:rPr>
          <w:rFonts w:ascii="Arial" w:eastAsia="Arial" w:hAnsi="Arial" w:cs="Arial"/>
          <w:i/>
          <w:sz w:val="21"/>
          <w:szCs w:val="21"/>
          <w:lang w:val="es-ES_tradnl"/>
        </w:rPr>
      </w:pPr>
    </w:p>
    <w:p w14:paraId="6F2601D5"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20214C54" w14:textId="77777777" w:rsidR="00D77E09" w:rsidRPr="00C22EDD" w:rsidRDefault="00D77E09" w:rsidP="00D77E09">
      <w:pPr>
        <w:widowControl w:val="0"/>
        <w:ind w:left="709" w:right="709"/>
        <w:jc w:val="both"/>
        <w:rPr>
          <w:rFonts w:ascii="Arial" w:eastAsia="Arial" w:hAnsi="Arial" w:cs="Arial"/>
          <w:i/>
          <w:sz w:val="21"/>
          <w:szCs w:val="21"/>
          <w:lang w:val="es-ES_tradnl"/>
        </w:rPr>
      </w:pPr>
    </w:p>
    <w:p w14:paraId="387A0769"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lastRenderedPageBreak/>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3C7B1944" w14:textId="77777777" w:rsidR="00D77E09" w:rsidRPr="00C22EDD" w:rsidRDefault="00D77E09" w:rsidP="00D77E09">
      <w:pPr>
        <w:widowControl w:val="0"/>
        <w:ind w:left="709" w:right="709"/>
        <w:jc w:val="both"/>
        <w:rPr>
          <w:rFonts w:ascii="Arial" w:eastAsia="Arial" w:hAnsi="Arial" w:cs="Arial"/>
          <w:i/>
          <w:sz w:val="21"/>
          <w:szCs w:val="21"/>
          <w:lang w:val="es-ES_tradnl"/>
        </w:rPr>
      </w:pPr>
    </w:p>
    <w:p w14:paraId="5985228A" w14:textId="77777777" w:rsidR="00D77E09" w:rsidRPr="00C22EDD" w:rsidRDefault="00D77E09" w:rsidP="00D77E09">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Si tiene dudas sobre el particular comuníquese en Bogotá al 5953525 opción 5 y para el resto del país al 018000952525 opción 5.&gt;&gt;</w:t>
      </w:r>
    </w:p>
    <w:p w14:paraId="638AE3FE" w14:textId="77777777" w:rsidR="00D77E09" w:rsidRPr="00C22EDD" w:rsidRDefault="00D77E09" w:rsidP="00D77E09">
      <w:pPr>
        <w:widowControl w:val="0"/>
        <w:ind w:left="709" w:right="709"/>
        <w:jc w:val="both"/>
        <w:rPr>
          <w:rFonts w:ascii="Arial" w:eastAsia="Arial" w:hAnsi="Arial" w:cs="Arial"/>
          <w:sz w:val="21"/>
          <w:szCs w:val="21"/>
          <w:lang w:val="es-ES_tradnl"/>
        </w:rPr>
      </w:pPr>
    </w:p>
    <w:p w14:paraId="62597BA3" w14:textId="77777777" w:rsidR="00D77E09" w:rsidRPr="00C22EDD" w:rsidRDefault="00D77E09" w:rsidP="00D77E09">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1DE8F96E" w14:textId="77777777" w:rsidR="00D77E09" w:rsidRPr="00C22EDD" w:rsidRDefault="00D77E09" w:rsidP="00D77E09">
      <w:pPr>
        <w:widowControl w:val="0"/>
        <w:ind w:left="709" w:right="709"/>
        <w:jc w:val="both"/>
        <w:rPr>
          <w:rFonts w:ascii="Arial" w:eastAsia="Arial" w:hAnsi="Arial" w:cs="Arial"/>
          <w:sz w:val="21"/>
          <w:szCs w:val="21"/>
          <w:lang w:val="es-ES_tradnl"/>
        </w:rPr>
      </w:pPr>
    </w:p>
    <w:p w14:paraId="0DB5A2F1"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0C38B0F3"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75E912FF" w14:textId="77777777" w:rsidR="00D77E09" w:rsidRPr="00C22EDD" w:rsidRDefault="00D77E09" w:rsidP="00D77E09">
      <w:pPr>
        <w:ind w:left="709" w:right="709"/>
        <w:jc w:val="both"/>
        <w:rPr>
          <w:rFonts w:ascii="Arial" w:eastAsia="Arial" w:hAnsi="Arial" w:cs="Arial"/>
          <w:i/>
          <w:sz w:val="21"/>
          <w:szCs w:val="21"/>
          <w:lang w:val="es-ES_tradnl"/>
        </w:rPr>
      </w:pPr>
    </w:p>
    <w:p w14:paraId="098AADBC"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2837CAC2" w14:textId="77777777" w:rsidR="00D77E09" w:rsidRPr="00C22EDD" w:rsidRDefault="00D77E09" w:rsidP="00D77E09">
      <w:pPr>
        <w:ind w:left="709" w:right="709"/>
        <w:jc w:val="both"/>
        <w:rPr>
          <w:rFonts w:ascii="Arial" w:eastAsia="Arial" w:hAnsi="Arial" w:cs="Arial"/>
          <w:i/>
          <w:sz w:val="21"/>
          <w:szCs w:val="21"/>
          <w:lang w:val="es-ES_tradnl"/>
        </w:rPr>
      </w:pPr>
    </w:p>
    <w:p w14:paraId="7F6A368F"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28BC1418" w14:textId="77777777" w:rsidR="00D77E09" w:rsidRPr="00C22EDD" w:rsidRDefault="00D77E09" w:rsidP="00D77E09">
      <w:pPr>
        <w:ind w:left="709" w:right="709"/>
        <w:jc w:val="both"/>
        <w:rPr>
          <w:rFonts w:ascii="Arial" w:eastAsia="Arial" w:hAnsi="Arial" w:cs="Arial"/>
          <w:i/>
          <w:sz w:val="21"/>
          <w:szCs w:val="21"/>
          <w:lang w:val="es-ES_tradnl"/>
        </w:rPr>
      </w:pPr>
    </w:p>
    <w:p w14:paraId="525BB835" w14:textId="77777777" w:rsidR="00D77E09" w:rsidRPr="00C22EDD" w:rsidRDefault="00D77E09" w:rsidP="00D77E0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23B69AC7" w14:textId="77777777" w:rsidR="00D77E09" w:rsidRPr="00C22EDD" w:rsidRDefault="00D77E09" w:rsidP="00D77E09">
      <w:pPr>
        <w:ind w:right="709"/>
        <w:jc w:val="both"/>
        <w:rPr>
          <w:rFonts w:ascii="Arial" w:hAnsi="Arial" w:cs="Arial"/>
          <w:color w:val="000000" w:themeColor="text1"/>
          <w:sz w:val="21"/>
          <w:szCs w:val="21"/>
          <w:lang w:val="es-ES_tradnl"/>
        </w:rPr>
      </w:pPr>
    </w:p>
    <w:p w14:paraId="2F5C8FBF" w14:textId="77777777" w:rsidR="00D77E09" w:rsidRPr="00C22EDD" w:rsidRDefault="00D77E09" w:rsidP="00D77E09">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Dicha obligación se fundamenta, entre otros, en los siguientes </w:t>
      </w:r>
      <w:r w:rsidRPr="00C22EDD">
        <w:rPr>
          <w:rFonts w:ascii="Arial" w:hAnsi="Arial" w:cs="Arial"/>
          <w:sz w:val="22"/>
          <w:szCs w:val="22"/>
          <w:lang w:val="es-ES_tradnl"/>
        </w:rPr>
        <w:lastRenderedPageBreak/>
        <w:t>enunciados normativos: i) los artículos 74 y 209 de la Constitución, ii) el artículo 3, literal c) de la Ley 1150 de 2007, iii) los artículos 3</w:t>
      </w:r>
      <w:r>
        <w:rPr>
          <w:rFonts w:ascii="Arial" w:hAnsi="Arial" w:cs="Arial"/>
          <w:sz w:val="22"/>
          <w:szCs w:val="22"/>
          <w:lang w:val="es-ES_tradnl"/>
        </w:rPr>
        <w:t>, 9, literal e) y</w:t>
      </w:r>
      <w:r w:rsidRPr="00C22EDD">
        <w:rPr>
          <w:rFonts w:ascii="Arial" w:hAnsi="Arial" w:cs="Arial"/>
          <w:sz w:val="22"/>
          <w:szCs w:val="22"/>
          <w:lang w:val="es-ES_tradnl"/>
        </w:rPr>
        <w:t xml:space="preserve"> 11, literal g), de la Ley 1712 de 2014, iv) </w:t>
      </w:r>
      <w:r w:rsidRPr="00C22EDD">
        <w:rPr>
          <w:rFonts w:ascii="Arial" w:eastAsia="Calibri" w:hAnsi="Arial" w:cs="Arial"/>
          <w:color w:val="000000" w:themeColor="text1"/>
          <w:sz w:val="22"/>
          <w:lang w:val="es-ES_tradnl"/>
        </w:rPr>
        <w:t xml:space="preserve">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Pr="00C22EDD">
        <w:rPr>
          <w:rFonts w:ascii="Arial" w:hAnsi="Arial" w:cs="Arial"/>
          <w:sz w:val="22"/>
          <w:szCs w:val="22"/>
          <w:lang w:val="es-ES_tradnl"/>
        </w:rPr>
        <w:t xml:space="preserve"> y v) las circulares </w:t>
      </w:r>
      <w:r w:rsidRPr="00C22EDD">
        <w:rPr>
          <w:rFonts w:ascii="Arial" w:eastAsia="Arial" w:hAnsi="Arial" w:cs="Arial"/>
          <w:sz w:val="22"/>
          <w:szCs w:val="22"/>
          <w:lang w:val="es-ES_tradnl"/>
        </w:rPr>
        <w:t xml:space="preserve">No. 1 del 21 de junio de 2013, No. 20 del 27 de agosto de 2015, </w:t>
      </w:r>
      <w:r w:rsidRPr="00C22EDD">
        <w:rPr>
          <w:rFonts w:ascii="Arial" w:hAnsi="Arial" w:cs="Arial"/>
          <w:bCs/>
          <w:color w:val="000000" w:themeColor="text1"/>
          <w:sz w:val="22"/>
          <w:szCs w:val="22"/>
          <w:lang w:val="es-ES_tradnl"/>
        </w:rPr>
        <w:t>No. 23 del 16 de marzo de 2017, No. 007 de 2020 y la Circular Externa Única –actualizada el 16 de abril de 2019–</w:t>
      </w:r>
      <w:r w:rsidRPr="00C22EDD">
        <w:rPr>
          <w:rStyle w:val="Refdenotaalpie"/>
          <w:rFonts w:ascii="Arial" w:hAnsi="Arial" w:cs="Arial"/>
          <w:bCs/>
          <w:color w:val="000000" w:themeColor="text1"/>
          <w:sz w:val="22"/>
          <w:szCs w:val="22"/>
          <w:lang w:val="es-ES_tradnl"/>
        </w:rPr>
        <w:footnoteReference w:id="23"/>
      </w:r>
      <w:r w:rsidRPr="00C22EDD">
        <w:rPr>
          <w:rFonts w:ascii="Arial" w:hAnsi="Arial" w:cs="Arial"/>
          <w:bCs/>
          <w:color w:val="000000" w:themeColor="text1"/>
          <w:sz w:val="22"/>
          <w:szCs w:val="22"/>
          <w:lang w:val="es-ES_tradnl"/>
        </w:rPr>
        <w:t>, de la Agencia Nacional de Contratación Pública – Colombia Compra Eficiente.</w:t>
      </w:r>
    </w:p>
    <w:p w14:paraId="0D0368DB" w14:textId="77777777" w:rsidR="00D77E09" w:rsidRPr="00C22EDD" w:rsidRDefault="00D77E09" w:rsidP="00D77E0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Ahora, en lo que respecta al contenido o alcance de la expresión «información oficial de la contratación», empleada por el Congreso de la República en el artículo 3, literal c) de la Ley 1150 de 2007, </w:t>
      </w:r>
      <w:r>
        <w:rPr>
          <w:rFonts w:ascii="Arial" w:hAnsi="Arial" w:cs="Arial"/>
          <w:bCs/>
          <w:color w:val="000000" w:themeColor="text1"/>
          <w:sz w:val="22"/>
          <w:lang w:val="es-ES_tradnl"/>
        </w:rPr>
        <w:t>la Agencia Nacional de Contratación Pública</w:t>
      </w:r>
      <w:r w:rsidRPr="00C22EDD">
        <w:rPr>
          <w:rFonts w:ascii="Arial" w:hAnsi="Arial" w:cs="Arial"/>
          <w:bCs/>
          <w:color w:val="000000" w:themeColor="text1"/>
          <w:sz w:val="22"/>
          <w:lang w:val="es-ES_tradnl"/>
        </w:rPr>
        <w:t xml:space="preserve"> considera que el auto del 25 de febrero de 2021 no afecta la interpretación adoptada </w:t>
      </w:r>
      <w:r>
        <w:rPr>
          <w:rFonts w:ascii="Arial" w:hAnsi="Arial" w:cs="Arial"/>
          <w:bCs/>
          <w:color w:val="000000" w:themeColor="text1"/>
          <w:sz w:val="22"/>
          <w:lang w:val="es-ES_tradnl"/>
        </w:rPr>
        <w:t xml:space="preserve">por esta misma Agencia </w:t>
      </w:r>
      <w:r w:rsidRPr="00C22EDD">
        <w:rPr>
          <w:rFonts w:ascii="Arial" w:hAnsi="Arial" w:cs="Arial"/>
          <w:bCs/>
          <w:color w:val="000000" w:themeColor="text1"/>
          <w:sz w:val="22"/>
          <w:lang w:val="es-ES_tradnl"/>
        </w:rPr>
        <w:t>en el Concepto CU-003 del 15 de enero de 2020 y, en consecuencia, mantendrá los argumentos que allí se expusieron y que a continuación se reproducirán. Pero, antes de eso, se explica por qué el referido auto no se aparta de la interpretación que en el siguiente numeral de este concepto reiterará la Subdirección de Gestión Contractual:</w:t>
      </w:r>
    </w:p>
    <w:p w14:paraId="56DA6490"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C22EDD">
        <w:rPr>
          <w:rFonts w:ascii="Arial" w:eastAsia="Calibri" w:hAnsi="Arial" w:cs="Arial"/>
          <w:color w:val="000000" w:themeColor="text1"/>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 segundo inciso del artículo 230 de la Constitución Política y el artículo 28 de la Ley 1437 de 2011.</w:t>
      </w:r>
    </w:p>
    <w:p w14:paraId="1350BB56"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En el auto del 25 de febrero de 2021 la Sección Tercera del Consejo de Estado señala que las entidades exceptuadas del Estatuto General de Contratación de la </w:t>
      </w:r>
      <w:r w:rsidRPr="00C22EDD">
        <w:rPr>
          <w:rFonts w:ascii="Arial" w:eastAsia="Calibri" w:hAnsi="Arial" w:cs="Arial"/>
          <w:color w:val="000000" w:themeColor="text1"/>
          <w:sz w:val="22"/>
          <w:lang w:val="es-ES_tradnl"/>
        </w:rPr>
        <w:lastRenderedPageBreak/>
        <w:t xml:space="preserve">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w:t>
      </w:r>
      <w:r>
        <w:rPr>
          <w:rFonts w:ascii="Arial" w:eastAsia="Calibri" w:hAnsi="Arial" w:cs="Arial"/>
          <w:color w:val="000000" w:themeColor="text1"/>
          <w:sz w:val="22"/>
          <w:lang w:val="es-ES_tradnl"/>
        </w:rPr>
        <w:t>contratación</w:t>
      </w:r>
      <w:r w:rsidRPr="00C22EDD">
        <w:rPr>
          <w:rFonts w:ascii="Arial" w:eastAsia="Calibri" w:hAnsi="Arial" w:cs="Arial"/>
          <w:color w:val="000000" w:themeColor="text1"/>
          <w:sz w:val="22"/>
          <w:lang w:val="es-ES_tradnl"/>
        </w:rPr>
        <w:t>, que no son los mismos que aquellos que deben publicar las que se rigen por la Ley 80 de 1993 y demás disposiciones complementarias de esta.</w:t>
      </w:r>
    </w:p>
    <w:p w14:paraId="1B2F8F9C" w14:textId="77777777" w:rsidR="00D77E09" w:rsidRPr="00C22EDD" w:rsidRDefault="00D77E09" w:rsidP="00D77E09">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 Es decir, la Agencia respetó el régimen legal y reglamentario que en la actualidad desarrolla el derecho de transparencia y de acceso a la información pública. Por ende, el auto del Consejo de Estado del 25 de febrero de 2021 no </w:t>
      </w:r>
      <w:r>
        <w:rPr>
          <w:rFonts w:ascii="Arial" w:eastAsia="Calibri" w:hAnsi="Arial" w:cs="Arial"/>
          <w:color w:val="000000" w:themeColor="text1"/>
          <w:sz w:val="22"/>
          <w:lang w:val="es-ES_tradnl"/>
        </w:rPr>
        <w:t>es contrario a la interpretación aquí expuesta</w:t>
      </w:r>
      <w:r w:rsidRPr="00C22EDD">
        <w:rPr>
          <w:rFonts w:ascii="Arial" w:eastAsia="Calibri" w:hAnsi="Arial" w:cs="Arial"/>
          <w:color w:val="000000" w:themeColor="text1"/>
          <w:sz w:val="22"/>
          <w:lang w:val="es-ES_tradnl"/>
        </w:rPr>
        <w:t>.</w:t>
      </w:r>
    </w:p>
    <w:p w14:paraId="0AA52473" w14:textId="77777777" w:rsidR="00D77E09" w:rsidRPr="00C22EDD" w:rsidRDefault="00D77E09" w:rsidP="00D77E09">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p>
    <w:p w14:paraId="7C73FBE8" w14:textId="77777777" w:rsidR="00D77E09" w:rsidRPr="00C22EDD" w:rsidRDefault="00D77E09" w:rsidP="00D77E09">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 xml:space="preserve">2.3. Documentos que deben publicar en el SECOP las entidades estatales de régimen especial. Reiteración del concepto CU-003 del 15 de enero de 2020 </w:t>
      </w:r>
    </w:p>
    <w:p w14:paraId="0893F2F6" w14:textId="77777777" w:rsidR="00D77E09" w:rsidRPr="00C22EDD" w:rsidRDefault="00D77E09" w:rsidP="00D77E09">
      <w:pPr>
        <w:pStyle w:val="Prrafodelista"/>
        <w:spacing w:line="276" w:lineRule="auto"/>
        <w:ind w:left="0"/>
        <w:jc w:val="both"/>
        <w:rPr>
          <w:rFonts w:ascii="Arial" w:hAnsi="Arial" w:cs="Arial"/>
          <w:b/>
          <w:color w:val="000000" w:themeColor="text1"/>
          <w:sz w:val="22"/>
          <w:lang w:val="es-ES_tradnl"/>
        </w:rPr>
      </w:pPr>
    </w:p>
    <w:p w14:paraId="2EDC8EA0" w14:textId="77777777" w:rsidR="00D77E09" w:rsidRPr="00C22EDD" w:rsidRDefault="00D77E09" w:rsidP="00D77E09">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Determinada la obligación que tienen las entidades sujetas a un régimen especial de publicar la información oficial de su contratación con recursos públicos en el SECOP, a continuación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5E585FFF"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C22EDD">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C22EDD">
        <w:rPr>
          <w:rStyle w:val="Refdenotaalpie"/>
          <w:rFonts w:ascii="Arial" w:hAnsi="Arial" w:cs="Arial"/>
          <w:bCs/>
          <w:color w:val="000000" w:themeColor="text1"/>
          <w:sz w:val="22"/>
          <w:lang w:val="es-ES_tradnl"/>
        </w:rPr>
        <w:footnoteReference w:id="24"/>
      </w:r>
      <w:r w:rsidRPr="00C22EDD">
        <w:rPr>
          <w:rFonts w:ascii="Arial" w:hAnsi="Arial" w:cs="Arial"/>
          <w:bCs/>
          <w:color w:val="000000" w:themeColor="text1"/>
          <w:sz w:val="22"/>
          <w:lang w:val="es-ES_tradnl"/>
        </w:rPr>
        <w:t xml:space="preserve">. </w:t>
      </w:r>
      <w:r w:rsidRPr="00C22EDD">
        <w:rPr>
          <w:rFonts w:ascii="Arial" w:hAnsi="Arial" w:cs="Arial"/>
          <w:color w:val="000000" w:themeColor="text1"/>
          <w:sz w:val="22"/>
          <w:lang w:val="es-ES_tradnl"/>
        </w:rPr>
        <w:t xml:space="preserve">En este sentido, reconoció la obligatoriedad, por parte de las </w:t>
      </w:r>
      <w:r w:rsidRPr="00C22EDD">
        <w:rPr>
          <w:rFonts w:ascii="Arial" w:hAnsi="Arial" w:cs="Arial"/>
          <w:color w:val="000000" w:themeColor="text1"/>
          <w:sz w:val="22"/>
          <w:lang w:val="es-ES_tradnl"/>
        </w:rPr>
        <w:lastRenderedPageBreak/>
        <w:t xml:space="preserve">entidades de régimen especial, de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7F67AB99"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C22EDD">
        <w:rPr>
          <w:rStyle w:val="Refdenotaalpie"/>
          <w:rFonts w:ascii="Arial" w:eastAsia="Calibri" w:hAnsi="Arial" w:cs="Arial"/>
          <w:color w:val="000000" w:themeColor="text1"/>
          <w:sz w:val="22"/>
          <w:lang w:val="es-ES_tradnl"/>
        </w:rPr>
        <w:footnoteReference w:id="25"/>
      </w:r>
      <w:r w:rsidRPr="00C22EDD">
        <w:rPr>
          <w:rFonts w:ascii="Arial" w:eastAsia="Calibri" w:hAnsi="Arial" w:cs="Arial"/>
          <w:color w:val="000000" w:themeColor="text1"/>
          <w:sz w:val="22"/>
          <w:lang w:val="es-ES_tradnl"/>
        </w:rPr>
        <w:t xml:space="preserve">. </w:t>
      </w:r>
    </w:p>
    <w:p w14:paraId="472F1759"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749F9A74"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w:t>
      </w:r>
      <w:r w:rsidRPr="00C22EDD">
        <w:rPr>
          <w:rFonts w:ascii="Arial" w:eastAsia="Calibri" w:hAnsi="Arial" w:cs="Arial"/>
          <w:color w:val="000000" w:themeColor="text1"/>
          <w:sz w:val="22"/>
          <w:lang w:val="es-ES_tradnl"/>
        </w:rPr>
        <w:lastRenderedPageBreak/>
        <w:t xml:space="preserve">disposiciones»–, señala en el artículo 11, literal g), que todo </w:t>
      </w:r>
      <w:r w:rsidRPr="00C22EDD">
        <w:rPr>
          <w:rFonts w:ascii="Arial" w:eastAsia="Calibri" w:hAnsi="Arial" w:cs="Arial"/>
          <w:i/>
          <w:iCs/>
          <w:color w:val="000000" w:themeColor="text1"/>
          <w:sz w:val="22"/>
          <w:lang w:val="es-ES_tradnl"/>
        </w:rPr>
        <w:t>sujeto obligado</w:t>
      </w:r>
      <w:r w:rsidRPr="00C22EDD">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9F54E47" w14:textId="77777777" w:rsidR="00D77E09" w:rsidRPr="00C22EDD" w:rsidRDefault="00D77E09" w:rsidP="00D77E09">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 Finalmente, el artículo 10 del Decreto 103 de 2015 –</w:t>
      </w:r>
      <w:r w:rsidRPr="00C22EDD">
        <w:rPr>
          <w:rFonts w:ascii="Arial" w:hAnsi="Arial" w:cs="Arial"/>
          <w:sz w:val="22"/>
          <w:szCs w:val="22"/>
          <w:lang w:val="es-ES_tradnl"/>
        </w:rPr>
        <w:t xml:space="preserve">artículo </w:t>
      </w:r>
      <w:r w:rsidRPr="00C22EDD">
        <w:rPr>
          <w:rFonts w:ascii="Arial" w:eastAsia="Calibri" w:hAnsi="Arial" w:cs="Arial"/>
          <w:color w:val="000000" w:themeColor="text1"/>
          <w:sz w:val="22"/>
          <w:szCs w:val="22"/>
          <w:lang w:val="es-ES_tradnl"/>
        </w:rPr>
        <w:t>2.1.1.2.1.10. del Decreto 1081 de 2015– consagra la obligación que tienen las entidades estatales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8"/>
      </w:r>
      <w:r w:rsidRPr="00C22EDD">
        <w:rPr>
          <w:rFonts w:ascii="Arial" w:eastAsia="Calibri" w:hAnsi="Arial" w:cs="Arial"/>
          <w:color w:val="000000" w:themeColor="text1"/>
          <w:sz w:val="22"/>
          <w:szCs w:val="22"/>
          <w:lang w:val="es-ES_tradnl"/>
        </w:rPr>
        <w:t>.</w:t>
      </w:r>
    </w:p>
    <w:p w14:paraId="42C8B044"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lastRenderedPageBreak/>
        <w:t>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281EFC91" w14:textId="77777777" w:rsidR="00D77E09" w:rsidRPr="00C22EDD" w:rsidRDefault="00D77E09" w:rsidP="00D77E09">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47CC14AD" w14:textId="77777777" w:rsidR="00D77E09" w:rsidRPr="00C22EDD" w:rsidRDefault="00D77E09" w:rsidP="00D77E09">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w:t>
      </w:r>
      <w:r>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7B420E0E" w14:textId="77777777" w:rsidR="00D77E09" w:rsidRDefault="00D77E09" w:rsidP="00B476A2">
      <w:pPr>
        <w:spacing w:before="120" w:line="276" w:lineRule="auto"/>
        <w:ind w:firstLine="708"/>
        <w:jc w:val="both"/>
        <w:rPr>
          <w:rFonts w:ascii="Arial" w:hAnsi="Arial" w:cs="Arial"/>
          <w:color w:val="000000" w:themeColor="text1"/>
          <w:sz w:val="22"/>
          <w:szCs w:val="22"/>
          <w:lang w:val="es-ES_tradnl"/>
        </w:rPr>
      </w:pPr>
      <w:r w:rsidRPr="00C22EDD">
        <w:rPr>
          <w:rFonts w:ascii="Arial" w:hAnsi="Arial" w:cs="Arial"/>
          <w:color w:val="000000" w:themeColor="text1"/>
          <w:sz w:val="22"/>
          <w:lang w:val="es-ES_tradnl" w:eastAsia="es-CO"/>
        </w:rPr>
        <w:t xml:space="preserve">Se concluye entonces que </w:t>
      </w:r>
      <w:r>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w:t>
      </w:r>
      <w:r w:rsidRPr="00C22EDD">
        <w:rPr>
          <w:rFonts w:ascii="Arial" w:hAnsi="Arial" w:cs="Arial"/>
          <w:color w:val="000000" w:themeColor="text1"/>
          <w:sz w:val="22"/>
          <w:szCs w:val="22"/>
          <w:lang w:val="es-ES_tradnl"/>
        </w:rPr>
        <w:lastRenderedPageBreak/>
        <w:t>contractual especial quedaron eximidas de la obligación de publicar en el SECOP la información oficial de la contratación que realicen con recursos públicos. Primero, porque</w:t>
      </w:r>
      <w:r>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3"/>
      <w:r w:rsidRPr="00C22EDD">
        <w:rPr>
          <w:rFonts w:ascii="Arial" w:hAnsi="Arial" w:cs="Arial"/>
          <w:color w:val="000000" w:themeColor="text1"/>
          <w:sz w:val="22"/>
          <w:szCs w:val="22"/>
          <w:lang w:val="es-ES_tradnl"/>
        </w:rPr>
        <w:t xml:space="preserve"> </w:t>
      </w:r>
    </w:p>
    <w:p w14:paraId="30222DCA" w14:textId="77777777" w:rsidR="00D77E09" w:rsidRDefault="00D77E09" w:rsidP="00D77E09">
      <w:pPr>
        <w:spacing w:before="120" w:line="276" w:lineRule="auto"/>
        <w:jc w:val="both"/>
        <w:rPr>
          <w:rFonts w:ascii="Arial" w:hAnsi="Arial" w:cs="Arial"/>
          <w:color w:val="000000" w:themeColor="text1"/>
          <w:sz w:val="22"/>
          <w:szCs w:val="22"/>
          <w:lang w:val="es-ES_tradnl"/>
        </w:rPr>
      </w:pPr>
    </w:p>
    <w:p w14:paraId="2A437E38" w14:textId="77777777" w:rsidR="00D77E09" w:rsidRPr="0091437B" w:rsidRDefault="00D77E09" w:rsidP="00D77E09">
      <w:pPr>
        <w:spacing w:line="276" w:lineRule="auto"/>
        <w:jc w:val="both"/>
        <w:rPr>
          <w:rFonts w:ascii="Arial" w:hAnsi="Arial" w:cs="Arial"/>
          <w:b/>
          <w:color w:val="1A1A1A" w:themeColor="background1" w:themeShade="1A"/>
          <w:sz w:val="22"/>
        </w:rPr>
      </w:pPr>
      <w:r w:rsidRPr="0091437B">
        <w:rPr>
          <w:rFonts w:ascii="Arial" w:hAnsi="Arial" w:cs="Arial"/>
          <w:b/>
          <w:color w:val="1A1A1A" w:themeColor="background1" w:themeShade="1A"/>
          <w:sz w:val="22"/>
        </w:rPr>
        <w:t>2.</w:t>
      </w:r>
      <w:r>
        <w:rPr>
          <w:rFonts w:ascii="Arial" w:hAnsi="Arial" w:cs="Arial"/>
          <w:b/>
          <w:color w:val="1A1A1A" w:themeColor="background1" w:themeShade="1A"/>
          <w:sz w:val="22"/>
        </w:rPr>
        <w:t>4</w:t>
      </w:r>
      <w:r w:rsidRPr="0091437B">
        <w:rPr>
          <w:rFonts w:ascii="Arial" w:hAnsi="Arial" w:cs="Arial"/>
          <w:b/>
          <w:color w:val="1A1A1A" w:themeColor="background1" w:themeShade="1A"/>
          <w:sz w:val="22"/>
        </w:rPr>
        <w:t xml:space="preserve">. Empresas de servicios públicos domiciliarios </w:t>
      </w:r>
    </w:p>
    <w:p w14:paraId="7A4DEA08" w14:textId="77777777" w:rsidR="00D77E09" w:rsidRPr="0091437B" w:rsidRDefault="00D77E09" w:rsidP="00D77E09">
      <w:pPr>
        <w:spacing w:line="276" w:lineRule="auto"/>
        <w:jc w:val="both"/>
        <w:rPr>
          <w:rFonts w:ascii="Arial" w:hAnsi="Arial" w:cs="Arial"/>
          <w:color w:val="1A1A1A" w:themeColor="background1" w:themeShade="1A"/>
          <w:sz w:val="22"/>
        </w:rPr>
      </w:pPr>
    </w:p>
    <w:p w14:paraId="1A181DE2" w14:textId="77777777" w:rsidR="00D77E09" w:rsidRDefault="00D77E09" w:rsidP="00D77E09">
      <w:pPr>
        <w:spacing w:after="120" w:line="276" w:lineRule="auto"/>
        <w:jc w:val="both"/>
        <w:rPr>
          <w:rFonts w:ascii="Arial" w:hAnsi="Arial" w:cs="Arial"/>
          <w:color w:val="1A1A1A" w:themeColor="background1" w:themeShade="1A"/>
          <w:sz w:val="22"/>
        </w:rPr>
      </w:pPr>
      <w:r>
        <w:rPr>
          <w:rFonts w:ascii="Arial" w:hAnsi="Arial" w:cs="Arial"/>
          <w:color w:val="1A1A1A" w:themeColor="background1" w:themeShade="1A"/>
          <w:sz w:val="22"/>
        </w:rPr>
        <w:t xml:space="preserve">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w:t>
      </w:r>
      <w:r w:rsidRPr="00E56769">
        <w:rPr>
          <w:rFonts w:ascii="Arial" w:hAnsi="Arial" w:cs="Arial"/>
          <w:color w:val="1A1A1A" w:themeColor="background1" w:themeShade="1A"/>
          <w:sz w:val="22"/>
        </w:rPr>
        <w:t xml:space="preserve">En desarrollo de esta habilitación superior, el </w:t>
      </w:r>
      <w:r>
        <w:rPr>
          <w:rFonts w:ascii="Arial" w:hAnsi="Arial" w:cs="Arial"/>
          <w:color w:val="1A1A1A" w:themeColor="background1" w:themeShade="1A"/>
          <w:sz w:val="22"/>
        </w:rPr>
        <w:t>Congreso de la República dispuso, en el artículo</w:t>
      </w:r>
      <w:r w:rsidRPr="00E56769">
        <w:rPr>
          <w:rFonts w:ascii="Arial" w:hAnsi="Arial" w:cs="Arial"/>
          <w:color w:val="1A1A1A" w:themeColor="background1" w:themeShade="1A"/>
          <w:sz w:val="22"/>
        </w:rPr>
        <w:t xml:space="preserve"> 15 de la Ley 142 de 1994</w:t>
      </w:r>
      <w:r>
        <w:rPr>
          <w:rFonts w:ascii="Arial" w:hAnsi="Arial" w:cs="Arial"/>
          <w:color w:val="1A1A1A" w:themeColor="background1" w:themeShade="1A"/>
          <w:sz w:val="22"/>
        </w:rPr>
        <w:t xml:space="preserve">, </w:t>
      </w:r>
      <w:r w:rsidRPr="00E56769">
        <w:rPr>
          <w:rFonts w:ascii="Arial" w:hAnsi="Arial" w:cs="Arial"/>
          <w:color w:val="1A1A1A" w:themeColor="background1" w:themeShade="1A"/>
          <w:sz w:val="22"/>
        </w:rPr>
        <w:t>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2A3F2D03" w14:textId="77777777" w:rsidR="00D77E09" w:rsidRPr="0091437B" w:rsidRDefault="00D77E09" w:rsidP="00D77E09">
      <w:pPr>
        <w:spacing w:line="276" w:lineRule="auto"/>
        <w:ind w:firstLine="709"/>
        <w:jc w:val="both"/>
        <w:rPr>
          <w:rFonts w:ascii="Arial" w:hAnsi="Arial" w:cs="Arial"/>
          <w:color w:val="1A1A1A" w:themeColor="background1" w:themeShade="1A"/>
          <w:sz w:val="22"/>
        </w:rPr>
      </w:pPr>
      <w:r>
        <w:rPr>
          <w:rFonts w:ascii="Arial" w:hAnsi="Arial" w:cs="Arial"/>
          <w:color w:val="1A1A1A" w:themeColor="background1" w:themeShade="1A"/>
          <w:sz w:val="22"/>
        </w:rPr>
        <w:t>Por su parte, e</w:t>
      </w:r>
      <w:r w:rsidRPr="0091437B">
        <w:rPr>
          <w:rFonts w:ascii="Arial" w:hAnsi="Arial" w:cs="Arial"/>
          <w:color w:val="1A1A1A" w:themeColor="background1" w:themeShade="1A"/>
          <w:sz w:val="22"/>
        </w:rPr>
        <w:t xml:space="preserv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54AE919F" w14:textId="77777777" w:rsidR="00D77E09" w:rsidRPr="0091437B" w:rsidRDefault="00D77E09" w:rsidP="00D77E09">
      <w:pPr>
        <w:jc w:val="both"/>
        <w:rPr>
          <w:rFonts w:ascii="Arial" w:hAnsi="Arial" w:cs="Arial"/>
          <w:color w:val="1A1A1A" w:themeColor="background1" w:themeShade="1A"/>
          <w:sz w:val="22"/>
        </w:rPr>
      </w:pPr>
    </w:p>
    <w:p w14:paraId="4815702E" w14:textId="77777777" w:rsidR="00D77E09" w:rsidRPr="0091437B" w:rsidRDefault="00D77E09" w:rsidP="00D77E09">
      <w:pPr>
        <w:pStyle w:val="NormalWeb"/>
        <w:spacing w:before="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14.5. Empresa de servicios públicos oficial. Es aquella en cuyo capital la Nación, las entidades territoriales, o las entidades descentralizadas de aquella o estas tienen el 100% de los aportes.</w:t>
      </w:r>
    </w:p>
    <w:p w14:paraId="797D725E" w14:textId="77777777" w:rsidR="00D77E09" w:rsidRPr="0091437B" w:rsidRDefault="00D77E09" w:rsidP="00D77E09">
      <w:pPr>
        <w:pStyle w:val="NormalWeb"/>
        <w:spacing w:before="120" w:beforeAutospacing="0" w:after="12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C99824C" w14:textId="77777777" w:rsidR="00D77E09" w:rsidRPr="0091437B" w:rsidRDefault="00D77E09" w:rsidP="00D77E09">
      <w:pPr>
        <w:pStyle w:val="NormalWeb"/>
        <w:spacing w:before="12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08288B15" w14:textId="77777777" w:rsidR="00D77E09" w:rsidRPr="0091437B" w:rsidRDefault="00D77E09" w:rsidP="00D77E09">
      <w:pPr>
        <w:pStyle w:val="NormalWeb"/>
        <w:spacing w:before="0" w:beforeAutospacing="0" w:after="0" w:afterAutospacing="0"/>
        <w:jc w:val="both"/>
        <w:rPr>
          <w:rFonts w:ascii="Arial" w:hAnsi="Arial" w:cs="Arial"/>
          <w:color w:val="1A1A1A" w:themeColor="background1" w:themeShade="1A"/>
          <w:sz w:val="22"/>
          <w:lang w:eastAsia="es-ES_tradnl"/>
        </w:rPr>
      </w:pPr>
    </w:p>
    <w:p w14:paraId="166C6692" w14:textId="77777777" w:rsidR="00D77E09" w:rsidRPr="0091437B" w:rsidRDefault="00D77E09" w:rsidP="00D77E09">
      <w:pPr>
        <w:pStyle w:val="NormalWeb"/>
        <w:spacing w:before="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A su turno, el artículo 17 de la ley citada señala que «las empresas de servicios públicos son sociedades por acciones cuyo objeto es la prestación de los servicios públicos de que trata esta ley».</w:t>
      </w:r>
      <w:r>
        <w:rPr>
          <w:rFonts w:ascii="Arial" w:hAnsi="Arial" w:cs="Arial"/>
          <w:color w:val="1A1A1A" w:themeColor="background1" w:themeShade="1A"/>
          <w:sz w:val="22"/>
          <w:lang w:eastAsia="es-ES_tradnl"/>
        </w:rPr>
        <w:t xml:space="preserve"> </w:t>
      </w:r>
    </w:p>
    <w:p w14:paraId="57A79C85" w14:textId="77777777" w:rsidR="00D77E09" w:rsidRPr="0091437B" w:rsidRDefault="00D77E09" w:rsidP="00D77E09">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El artículo 68 de esta ley, al listar las entidades descentralizadas del orden nacional, se refirió únicamente a las empresas oficiales de servicios públicos, esto es, aquellas en las que la participación del Estado es del 100%</w:t>
      </w:r>
      <w:r w:rsidRPr="0091437B">
        <w:rPr>
          <w:rStyle w:val="Refdenotaalpie"/>
          <w:rFonts w:ascii="Arial" w:hAnsi="Arial" w:cs="Arial"/>
          <w:color w:val="1A1A1A" w:themeColor="background1" w:themeShade="1A"/>
          <w:sz w:val="22"/>
          <w:lang w:eastAsia="es-ES_tradnl"/>
        </w:rPr>
        <w:footnoteReference w:id="29"/>
      </w:r>
      <w:r w:rsidRPr="0091437B">
        <w:rPr>
          <w:rFonts w:ascii="Arial" w:hAnsi="Arial" w:cs="Arial"/>
          <w:color w:val="1A1A1A" w:themeColor="background1" w:themeShade="1A"/>
          <w:sz w:val="22"/>
          <w:lang w:eastAsia="es-ES_tradnl"/>
        </w:rPr>
        <w:t xml:space="preserve">. </w:t>
      </w:r>
    </w:p>
    <w:p w14:paraId="542C7DF8" w14:textId="77777777" w:rsidR="00D77E09" w:rsidRPr="0091437B" w:rsidRDefault="00D77E09" w:rsidP="00D77E09">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Lo anterior llevó a pensar que el legislador excluyó de la Rama Ejecutiva a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–capital público superior al 50%– y las privadas –capital público inferior al 50%–. Sin embargo, la Corte Constitucional determinó que tanto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49E98343" w14:textId="77777777" w:rsidR="00D77E09" w:rsidRPr="0091437B" w:rsidRDefault="00D77E09" w:rsidP="00D77E09">
      <w:pPr>
        <w:pStyle w:val="NormalWeb"/>
        <w:spacing w:before="120" w:beforeAutospacing="0" w:after="120" w:afterAutospacing="0" w:line="276" w:lineRule="auto"/>
        <w:ind w:firstLine="709"/>
        <w:jc w:val="both"/>
        <w:rPr>
          <w:rFonts w:ascii="Arial" w:hAnsi="Arial" w:cs="Arial"/>
          <w:color w:val="1A1A1A" w:themeColor="background1" w:themeShade="1A"/>
          <w:sz w:val="21"/>
          <w:szCs w:val="21"/>
        </w:rPr>
      </w:pPr>
      <w:r w:rsidRPr="0091437B">
        <w:rPr>
          <w:rFonts w:ascii="Arial" w:hAnsi="Arial" w:cs="Arial"/>
          <w:color w:val="1A1A1A" w:themeColor="background1" w:themeShade="1A"/>
          <w:sz w:val="22"/>
          <w:lang w:eastAsia="es-ES_tradnl"/>
        </w:rPr>
        <w:t xml:space="preserve">La Corte Constitucional, además de señalar la pertenencia a la Rama Ejecutiva de las empresas de servicios públicos mixtas y privadas, también sostuvo que se trataba de </w:t>
      </w:r>
      <w:r w:rsidRPr="0091437B">
        <w:rPr>
          <w:rFonts w:ascii="Arial" w:hAnsi="Arial" w:cs="Arial"/>
          <w:color w:val="1A1A1A" w:themeColor="background1" w:themeShade="1A"/>
          <w:sz w:val="22"/>
          <w:lang w:eastAsia="es-ES_tradnl"/>
        </w:rPr>
        <w:lastRenderedPageBreak/>
        <w:t>entidades descentralizadas por servicios, en los términos del artículo 68 de la Ley 489 de 1998</w:t>
      </w:r>
      <w:r w:rsidRPr="0091437B">
        <w:rPr>
          <w:rStyle w:val="Refdenotaalpie"/>
          <w:rFonts w:ascii="Arial" w:hAnsi="Arial" w:cs="Arial"/>
          <w:color w:val="1A1A1A" w:themeColor="background1" w:themeShade="1A"/>
          <w:sz w:val="22"/>
          <w:lang w:eastAsia="es-ES_tradnl"/>
        </w:rPr>
        <w:footnoteReference w:id="30"/>
      </w:r>
      <w:r w:rsidRPr="0091437B">
        <w:rPr>
          <w:rFonts w:ascii="Arial" w:hAnsi="Arial" w:cs="Arial"/>
          <w:color w:val="1A1A1A" w:themeColor="background1" w:themeShade="1A"/>
          <w:sz w:val="22"/>
          <w:lang w:eastAsia="es-ES_tradnl"/>
        </w:rPr>
        <w:t>.</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En esta providencia también aclar</w:t>
      </w:r>
      <w:r>
        <w:rPr>
          <w:rFonts w:ascii="Arial" w:hAnsi="Arial" w:cs="Arial"/>
          <w:color w:val="1A1A1A" w:themeColor="background1" w:themeShade="1A"/>
          <w:sz w:val="22"/>
          <w:lang w:eastAsia="es-ES_tradnl"/>
        </w:rPr>
        <w:t>ó</w:t>
      </w:r>
      <w:r w:rsidRPr="0091437B">
        <w:rPr>
          <w:rFonts w:ascii="Arial" w:hAnsi="Arial" w:cs="Arial"/>
          <w:color w:val="1A1A1A" w:themeColor="background1" w:themeShade="1A"/>
          <w:sz w:val="22"/>
          <w:lang w:eastAsia="es-ES_tradnl"/>
        </w:rPr>
        <w:t xml:space="preserve"> que las empresas prestadoras de servicios públicos, de carácter mixto o privado, no son empresas de economía mixta. La anterior conclusión fue fundamentada sobre la idea del carácter o naturaleza especial que la Constitución otorgó a las empresas de servicios públicos</w:t>
      </w:r>
      <w:r w:rsidRPr="0091437B">
        <w:rPr>
          <w:rStyle w:val="Refdenotaalpie"/>
          <w:rFonts w:ascii="Arial" w:hAnsi="Arial" w:cs="Arial"/>
          <w:color w:val="1A1A1A" w:themeColor="background1" w:themeShade="1A"/>
          <w:sz w:val="21"/>
          <w:szCs w:val="21"/>
        </w:rPr>
        <w:footnoteReference w:id="31"/>
      </w:r>
      <w:r w:rsidRPr="0091437B">
        <w:rPr>
          <w:rFonts w:ascii="Arial" w:hAnsi="Arial" w:cs="Arial"/>
          <w:color w:val="1A1A1A" w:themeColor="background1" w:themeShade="1A"/>
          <w:sz w:val="21"/>
          <w:szCs w:val="21"/>
        </w:rPr>
        <w:t>.</w:t>
      </w:r>
    </w:p>
    <w:p w14:paraId="1E5D77F6" w14:textId="77777777" w:rsidR="00D77E09" w:rsidRDefault="00D77E09" w:rsidP="00D77E09">
      <w:pPr>
        <w:spacing w:after="120" w:line="276" w:lineRule="auto"/>
        <w:ind w:firstLine="708"/>
        <w:jc w:val="both"/>
        <w:rPr>
          <w:rFonts w:ascii="Arial" w:hAnsi="Arial" w:cs="Arial"/>
          <w:color w:val="1A1A1A" w:themeColor="background1" w:themeShade="1A"/>
          <w:sz w:val="22"/>
        </w:rPr>
      </w:pPr>
      <w:bookmarkStart w:id="4" w:name="_Hlk65589443"/>
      <w:r w:rsidRPr="0091437B">
        <w:rPr>
          <w:rFonts w:ascii="Arial" w:hAnsi="Arial" w:cs="Arial"/>
          <w:color w:val="1A1A1A" w:themeColor="background1" w:themeShade="1A"/>
          <w:sz w:val="22"/>
        </w:rPr>
        <w:t>Así las cosas, las empresas de servicios públicos tienen una naturaleza jurídica especial que viene dada directamente por el artículo 356 de la Constitución Política</w:t>
      </w:r>
      <w:r>
        <w:rPr>
          <w:rFonts w:ascii="Arial" w:hAnsi="Arial" w:cs="Arial"/>
          <w:color w:val="1A1A1A" w:themeColor="background1" w:themeShade="1A"/>
          <w:sz w:val="22"/>
        </w:rPr>
        <w:t xml:space="preserve">, y </w:t>
      </w:r>
      <w:r w:rsidRPr="0091437B">
        <w:rPr>
          <w:rFonts w:ascii="Arial" w:hAnsi="Arial" w:cs="Arial"/>
          <w:color w:val="1A1A1A" w:themeColor="background1" w:themeShade="1A"/>
          <w:sz w:val="22"/>
        </w:rPr>
        <w:t xml:space="preserve">el hecho de que su composición accionaria </w:t>
      </w:r>
      <w:r>
        <w:rPr>
          <w:rFonts w:ascii="Arial" w:hAnsi="Arial" w:cs="Arial"/>
          <w:color w:val="1A1A1A" w:themeColor="background1" w:themeShade="1A"/>
          <w:sz w:val="22"/>
        </w:rPr>
        <w:t xml:space="preserve">pueda </w:t>
      </w:r>
      <w:r w:rsidRPr="0091437B">
        <w:rPr>
          <w:rFonts w:ascii="Arial" w:hAnsi="Arial" w:cs="Arial"/>
          <w:color w:val="1A1A1A" w:themeColor="background1" w:themeShade="1A"/>
          <w:sz w:val="22"/>
        </w:rPr>
        <w:t>est</w:t>
      </w:r>
      <w:r>
        <w:rPr>
          <w:rFonts w:ascii="Arial" w:hAnsi="Arial" w:cs="Arial"/>
          <w:color w:val="1A1A1A" w:themeColor="background1" w:themeShade="1A"/>
          <w:sz w:val="22"/>
        </w:rPr>
        <w:t>ar</w:t>
      </w:r>
      <w:r w:rsidRPr="0091437B">
        <w:rPr>
          <w:rFonts w:ascii="Arial" w:hAnsi="Arial" w:cs="Arial"/>
          <w:color w:val="1A1A1A" w:themeColor="background1" w:themeShade="1A"/>
          <w:sz w:val="22"/>
        </w:rPr>
        <w:t xml:space="preserve"> compartida por recursos públicos y privados no la</w:t>
      </w:r>
      <w:r>
        <w:rPr>
          <w:rFonts w:ascii="Arial" w:hAnsi="Arial" w:cs="Arial"/>
          <w:color w:val="1A1A1A" w:themeColor="background1" w:themeShade="1A"/>
          <w:sz w:val="22"/>
        </w:rPr>
        <w:t>s</w:t>
      </w:r>
      <w:r w:rsidRPr="0091437B">
        <w:rPr>
          <w:rFonts w:ascii="Arial" w:hAnsi="Arial" w:cs="Arial"/>
          <w:color w:val="1A1A1A" w:themeColor="background1" w:themeShade="1A"/>
          <w:sz w:val="22"/>
        </w:rPr>
        <w:t xml:space="preserve"> convierte en sociedad</w:t>
      </w:r>
      <w:r>
        <w:rPr>
          <w:rFonts w:ascii="Arial" w:hAnsi="Arial" w:cs="Arial"/>
          <w:color w:val="1A1A1A" w:themeColor="background1" w:themeShade="1A"/>
          <w:sz w:val="22"/>
        </w:rPr>
        <w:t xml:space="preserve">es </w:t>
      </w:r>
      <w:r w:rsidRPr="0091437B">
        <w:rPr>
          <w:rFonts w:ascii="Arial" w:hAnsi="Arial" w:cs="Arial"/>
          <w:color w:val="1A1A1A" w:themeColor="background1" w:themeShade="1A"/>
          <w:sz w:val="22"/>
        </w:rPr>
        <w:t xml:space="preserve">de economía mixta, pues las empresas </w:t>
      </w:r>
      <w:r>
        <w:rPr>
          <w:rFonts w:ascii="Arial" w:hAnsi="Arial" w:cs="Arial"/>
          <w:color w:val="1A1A1A" w:themeColor="background1" w:themeShade="1A"/>
          <w:sz w:val="22"/>
        </w:rPr>
        <w:t xml:space="preserve">en cuestión </w:t>
      </w:r>
      <w:r w:rsidRPr="0091437B">
        <w:rPr>
          <w:rFonts w:ascii="Arial" w:hAnsi="Arial" w:cs="Arial"/>
          <w:color w:val="1A1A1A" w:themeColor="background1" w:themeShade="1A"/>
          <w:sz w:val="22"/>
        </w:rPr>
        <w:t xml:space="preserve">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02CFCAF3" w14:textId="77777777" w:rsidR="00D77E09" w:rsidRDefault="00D77E09" w:rsidP="00D77E09">
      <w:pPr>
        <w:spacing w:after="120" w:line="276" w:lineRule="auto"/>
        <w:ind w:firstLine="708"/>
        <w:jc w:val="both"/>
        <w:rPr>
          <w:rFonts w:ascii="Arial" w:hAnsi="Arial" w:cs="Arial"/>
          <w:color w:val="1A1A1A" w:themeColor="background1" w:themeShade="1A"/>
          <w:sz w:val="22"/>
        </w:rPr>
      </w:pPr>
      <w:r>
        <w:rPr>
          <w:rFonts w:ascii="Arial" w:hAnsi="Arial" w:cs="Arial"/>
          <w:color w:val="1A1A1A" w:themeColor="background1" w:themeShade="1A"/>
          <w:sz w:val="22"/>
        </w:rPr>
        <w:t>E</w:t>
      </w:r>
      <w:r w:rsidRPr="008B7C9D">
        <w:rPr>
          <w:rFonts w:ascii="Arial" w:hAnsi="Arial" w:cs="Arial"/>
          <w:color w:val="1A1A1A" w:themeColor="background1" w:themeShade="1A"/>
          <w:sz w:val="22"/>
        </w:rPr>
        <w:t>n cuanto al régimen jurídico de contratación de las empresas de servicios públicos, el inciso primero del artículo 31 de la Ley 142 de 1994 señala que «</w:t>
      </w:r>
      <w:r>
        <w:rPr>
          <w:rFonts w:ascii="Arial" w:hAnsi="Arial" w:cs="Arial"/>
          <w:color w:val="1A1A1A" w:themeColor="background1" w:themeShade="1A"/>
          <w:sz w:val="22"/>
        </w:rPr>
        <w:t>[l]</w:t>
      </w:r>
      <w:r w:rsidRPr="008B7C9D">
        <w:rPr>
          <w:rFonts w:ascii="Arial" w:hAnsi="Arial" w:cs="Arial"/>
          <w:color w:val="1A1A1A" w:themeColor="background1" w:themeShade="1A"/>
          <w:sz w:val="22"/>
        </w:rPr>
        <w:t xml:space="preserve">os 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p>
    <w:p w14:paraId="78A970B0" w14:textId="6B037B0E" w:rsidR="00D77E09" w:rsidRDefault="00D77E09" w:rsidP="00D77E09">
      <w:pPr>
        <w:spacing w:after="120" w:line="276" w:lineRule="auto"/>
        <w:ind w:firstLine="708"/>
        <w:jc w:val="both"/>
        <w:rPr>
          <w:rFonts w:ascii="Arial" w:hAnsi="Arial" w:cs="Arial"/>
          <w:color w:val="1A1A1A" w:themeColor="background1" w:themeShade="1A"/>
          <w:sz w:val="22"/>
        </w:rPr>
      </w:pPr>
      <w:r>
        <w:rPr>
          <w:rFonts w:ascii="Arial" w:hAnsi="Arial" w:cs="Arial"/>
          <w:color w:val="1A1A1A" w:themeColor="background1" w:themeShade="1A"/>
          <w:sz w:val="22"/>
        </w:rPr>
        <w:t>De esta manera</w:t>
      </w:r>
      <w:r w:rsidRPr="008B7C9D">
        <w:rPr>
          <w:rFonts w:ascii="Arial" w:hAnsi="Arial" w:cs="Arial"/>
          <w:color w:val="1A1A1A" w:themeColor="background1" w:themeShade="1A"/>
          <w:sz w:val="22"/>
        </w:rPr>
        <w:t>,</w:t>
      </w:r>
      <w:r>
        <w:rPr>
          <w:rFonts w:ascii="Arial" w:hAnsi="Arial" w:cs="Arial"/>
          <w:color w:val="1A1A1A" w:themeColor="background1" w:themeShade="1A"/>
          <w:sz w:val="22"/>
        </w:rPr>
        <w:t xml:space="preserve"> sin perjuicio de lo dispuesto en el artículo 13 de la Ley 1150 de 2007 sobre la aplicación de los principios de la función administrativa, la gestión fiscal, las inhabilidades e incompatibilidades,</w:t>
      </w:r>
      <w:r w:rsidRPr="008B7C9D">
        <w:rPr>
          <w:rFonts w:ascii="Arial" w:hAnsi="Arial" w:cs="Arial"/>
          <w:color w:val="1A1A1A" w:themeColor="background1" w:themeShade="1A"/>
          <w:sz w:val="22"/>
        </w:rPr>
        <w:t xml:space="preserve"> el régimen jurídico aplicable a los contratos que celebren las empresas de servicios públicos, incluso para las oficiales y las mixtas, es el contenido en </w:t>
      </w:r>
      <w:r>
        <w:rPr>
          <w:rFonts w:ascii="Arial" w:hAnsi="Arial" w:cs="Arial"/>
          <w:color w:val="1A1A1A" w:themeColor="background1" w:themeShade="1A"/>
          <w:sz w:val="22"/>
        </w:rPr>
        <w:t>el derecho civil y comercial</w:t>
      </w:r>
      <w:r w:rsidRPr="008B7C9D">
        <w:rPr>
          <w:rFonts w:ascii="Arial" w:hAnsi="Arial" w:cs="Arial"/>
          <w:color w:val="1A1A1A" w:themeColor="background1" w:themeShade="1A"/>
          <w:sz w:val="22"/>
        </w:rPr>
        <w:t xml:space="preserve">, esto es, </w:t>
      </w:r>
      <w:r>
        <w:rPr>
          <w:rFonts w:ascii="Arial" w:hAnsi="Arial" w:cs="Arial"/>
          <w:color w:val="1A1A1A" w:themeColor="background1" w:themeShade="1A"/>
          <w:sz w:val="22"/>
        </w:rPr>
        <w:t xml:space="preserve">por regla general </w:t>
      </w:r>
      <w:r w:rsidRPr="008B7C9D">
        <w:rPr>
          <w:rFonts w:ascii="Arial" w:hAnsi="Arial" w:cs="Arial"/>
          <w:color w:val="1A1A1A" w:themeColor="background1" w:themeShade="1A"/>
          <w:sz w:val="22"/>
        </w:rPr>
        <w:t xml:space="preserve">no están sometidas a </w:t>
      </w:r>
      <w:r w:rsidRPr="008B7C9D">
        <w:rPr>
          <w:rFonts w:ascii="Arial" w:hAnsi="Arial" w:cs="Arial"/>
          <w:color w:val="1A1A1A" w:themeColor="background1" w:themeShade="1A"/>
          <w:sz w:val="22"/>
        </w:rPr>
        <w:lastRenderedPageBreak/>
        <w:t>la Ley 80 de 1993</w:t>
      </w:r>
      <w:r>
        <w:rPr>
          <w:rStyle w:val="Refdenotaalpie"/>
          <w:rFonts w:ascii="Arial" w:hAnsi="Arial" w:cs="Arial"/>
          <w:color w:val="1A1A1A" w:themeColor="background1" w:themeShade="1A"/>
          <w:sz w:val="22"/>
        </w:rPr>
        <w:footnoteReference w:id="32"/>
      </w:r>
      <w:r w:rsidRPr="008B7C9D">
        <w:rPr>
          <w:rFonts w:ascii="Arial" w:hAnsi="Arial" w:cs="Arial"/>
          <w:color w:val="1A1A1A" w:themeColor="background1" w:themeShade="1A"/>
          <w:sz w:val="22"/>
        </w:rPr>
        <w:t xml:space="preserve">. Sin embargo, </w:t>
      </w:r>
      <w:r w:rsidR="0033176E">
        <w:rPr>
          <w:rFonts w:ascii="Arial" w:hAnsi="Arial" w:cs="Arial"/>
          <w:color w:val="1A1A1A" w:themeColor="background1" w:themeShade="1A"/>
          <w:sz w:val="22"/>
        </w:rPr>
        <w:t>ello</w:t>
      </w:r>
      <w:r w:rsidRPr="008B7C9D">
        <w:rPr>
          <w:rFonts w:ascii="Arial" w:hAnsi="Arial" w:cs="Arial"/>
          <w:color w:val="1A1A1A" w:themeColor="background1" w:themeShade="1A"/>
          <w:sz w:val="22"/>
        </w:rPr>
        <w:t xml:space="preserve"> no las exime del deber de publicar su actividad contractual, cuando ejecuten recursos públicos.</w:t>
      </w:r>
      <w:r w:rsidRPr="0091437B">
        <w:rPr>
          <w:rFonts w:ascii="Arial" w:hAnsi="Arial" w:cs="Arial"/>
          <w:color w:val="1A1A1A" w:themeColor="background1" w:themeShade="1A"/>
          <w:sz w:val="22"/>
        </w:rPr>
        <w:t xml:space="preserve"> </w:t>
      </w:r>
    </w:p>
    <w:p w14:paraId="17551AC9" w14:textId="77777777" w:rsidR="00D5431F" w:rsidRDefault="00D5431F" w:rsidP="00C24701">
      <w:pPr>
        <w:spacing w:line="276" w:lineRule="auto"/>
        <w:jc w:val="both"/>
        <w:rPr>
          <w:rFonts w:ascii="Arial" w:hAnsi="Arial" w:cs="Arial"/>
          <w:color w:val="000000" w:themeColor="text1"/>
          <w:sz w:val="22"/>
          <w:szCs w:val="22"/>
          <w:lang w:val="es-ES_tradnl"/>
        </w:rPr>
      </w:pPr>
    </w:p>
    <w:p w14:paraId="36F14B64" w14:textId="77777777" w:rsidR="00D5431F" w:rsidRPr="0091437B" w:rsidRDefault="00D5431F" w:rsidP="00050C0F">
      <w:pPr>
        <w:spacing w:line="276" w:lineRule="auto"/>
        <w:jc w:val="both"/>
        <w:rPr>
          <w:rFonts w:ascii="Arial" w:hAnsi="Arial" w:cs="Arial"/>
          <w:b/>
          <w:color w:val="1A1A1A" w:themeColor="background1" w:themeShade="1A"/>
          <w:sz w:val="22"/>
        </w:rPr>
      </w:pPr>
      <w:r w:rsidRPr="0091437B">
        <w:rPr>
          <w:rFonts w:ascii="Arial" w:hAnsi="Arial" w:cs="Arial"/>
          <w:b/>
          <w:color w:val="1A1A1A" w:themeColor="background1" w:themeShade="1A"/>
          <w:sz w:val="22"/>
        </w:rPr>
        <w:t>2.</w:t>
      </w:r>
      <w:r>
        <w:rPr>
          <w:rFonts w:ascii="Arial" w:hAnsi="Arial" w:cs="Arial"/>
          <w:b/>
          <w:color w:val="1A1A1A" w:themeColor="background1" w:themeShade="1A"/>
          <w:sz w:val="22"/>
        </w:rPr>
        <w:t>5</w:t>
      </w:r>
      <w:r w:rsidRPr="0091437B">
        <w:rPr>
          <w:rFonts w:ascii="Arial" w:hAnsi="Arial" w:cs="Arial"/>
          <w:b/>
          <w:color w:val="1A1A1A" w:themeColor="background1" w:themeShade="1A"/>
          <w:sz w:val="22"/>
        </w:rPr>
        <w:t>. Empresas</w:t>
      </w:r>
      <w:r>
        <w:rPr>
          <w:rFonts w:ascii="Arial" w:hAnsi="Arial" w:cs="Arial"/>
          <w:b/>
          <w:color w:val="1A1A1A" w:themeColor="background1" w:themeShade="1A"/>
          <w:sz w:val="22"/>
        </w:rPr>
        <w:t xml:space="preserve"> I</w:t>
      </w:r>
      <w:r w:rsidRPr="00D5431F">
        <w:rPr>
          <w:rFonts w:ascii="Arial" w:hAnsi="Arial" w:cs="Arial"/>
          <w:b/>
          <w:color w:val="1A1A1A" w:themeColor="background1" w:themeShade="1A"/>
          <w:sz w:val="22"/>
        </w:rPr>
        <w:t xml:space="preserve">ndustriales y </w:t>
      </w:r>
      <w:r>
        <w:rPr>
          <w:rFonts w:ascii="Arial" w:hAnsi="Arial" w:cs="Arial"/>
          <w:b/>
          <w:color w:val="1A1A1A" w:themeColor="background1" w:themeShade="1A"/>
          <w:sz w:val="22"/>
        </w:rPr>
        <w:t>C</w:t>
      </w:r>
      <w:r w:rsidRPr="00D5431F">
        <w:rPr>
          <w:rFonts w:ascii="Arial" w:hAnsi="Arial" w:cs="Arial"/>
          <w:b/>
          <w:color w:val="1A1A1A" w:themeColor="background1" w:themeShade="1A"/>
          <w:sz w:val="22"/>
        </w:rPr>
        <w:t>omerciales del Estado</w:t>
      </w:r>
    </w:p>
    <w:p w14:paraId="61E601E9" w14:textId="77777777" w:rsidR="00D77E09" w:rsidRDefault="00D77E09" w:rsidP="00C24701">
      <w:pPr>
        <w:spacing w:line="276" w:lineRule="auto"/>
        <w:jc w:val="both"/>
        <w:rPr>
          <w:rFonts w:ascii="Arial" w:hAnsi="Arial" w:cs="Arial"/>
          <w:color w:val="1A1A1A" w:themeColor="background1" w:themeShade="1A"/>
          <w:sz w:val="22"/>
        </w:rPr>
      </w:pPr>
    </w:p>
    <w:p w14:paraId="4FE42587" w14:textId="77777777" w:rsidR="00D5431F" w:rsidRDefault="00D5431F" w:rsidP="00D5431F">
      <w:pPr>
        <w:spacing w:after="120" w:line="276" w:lineRule="auto"/>
        <w:jc w:val="both"/>
        <w:rPr>
          <w:rFonts w:ascii="Arial" w:eastAsia="Calibri" w:hAnsi="Arial" w:cs="Arial"/>
          <w:b/>
          <w:bCs/>
          <w:color w:val="000000" w:themeColor="text1"/>
          <w:sz w:val="22"/>
          <w:szCs w:val="22"/>
          <w:lang w:eastAsia="en-US"/>
        </w:rPr>
      </w:pPr>
      <w:r>
        <w:rPr>
          <w:rFonts w:ascii="Arial" w:eastAsia="Calibri" w:hAnsi="Arial" w:cs="Arial"/>
          <w:color w:val="000000" w:themeColor="text1"/>
          <w:sz w:val="22"/>
        </w:rPr>
        <w:t>Dentro de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w:t>
      </w:r>
      <w:r>
        <w:rPr>
          <w:rFonts w:ascii="Arial" w:eastAsia="Calibri" w:hAnsi="Arial" w:cs="Arial"/>
          <w:b/>
          <w:bCs/>
          <w:color w:val="000000" w:themeColor="text1"/>
          <w:sz w:val="22"/>
        </w:rPr>
        <w:t xml:space="preserve"> </w:t>
      </w:r>
      <w:r>
        <w:rPr>
          <w:rFonts w:ascii="Arial" w:eastAsia="Calibri" w:hAnsi="Arial" w:cs="Arial"/>
          <w:color w:val="000000" w:themeColor="text1"/>
          <w:sz w:val="22"/>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14:paraId="7E809CBB" w14:textId="77777777" w:rsidR="00D5431F" w:rsidRDefault="00D5431F" w:rsidP="00D5431F">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Considerando la actividad desarrollada, se itera, de carácter industrial o comercial,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 Estado.</w:t>
      </w:r>
    </w:p>
    <w:p w14:paraId="2709B955" w14:textId="77777777" w:rsidR="00D5431F" w:rsidRDefault="00D5431F" w:rsidP="00D5431F">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Sobre el régimen de contratación, el artículo 2 de la Ley 80 de 1993 –en concordancia con el artículo 93 de la Ley 489 de 1998– incorporó a las empresas industriales y comerciales del Estado dentro de la categoría de entidades estatales</w:t>
      </w:r>
      <w:r>
        <w:rPr>
          <w:rStyle w:val="Refdenotaalpie"/>
          <w:rFonts w:ascii="Arial" w:eastAsia="Calibri" w:hAnsi="Arial" w:cs="Arial"/>
          <w:color w:val="000000" w:themeColor="text1"/>
          <w:sz w:val="22"/>
        </w:rPr>
        <w:footnoteReference w:id="33"/>
      </w:r>
      <w:r>
        <w:rPr>
          <w:rFonts w:ascii="Arial" w:eastAsia="Calibri" w:hAnsi="Arial" w:cs="Arial"/>
          <w:color w:val="000000" w:themeColor="text1"/>
          <w:sz w:val="22"/>
        </w:rPr>
        <w:t xml:space="preserve">. Para </w:t>
      </w:r>
      <w:r>
        <w:rPr>
          <w:rFonts w:ascii="Arial" w:eastAsia="Calibri" w:hAnsi="Arial" w:cs="Arial"/>
          <w:color w:val="000000" w:themeColor="text1"/>
          <w:sz w:val="22"/>
        </w:rPr>
        <w:lastRenderedPageBreak/>
        <w:t>estos efectos, el numeral 1, literal m), del artículo 24 del Estatuto General –derogado por el artículo 32 de la Ley 1150 de 2007– permitía la contratación directa de los bienes y servicios requeridos para el desarrollo de su objeto social, exceptuado los contratos de obra, consultoría, concesión, encargos fiduciarios y fiducia pública</w:t>
      </w:r>
      <w:r>
        <w:rPr>
          <w:rStyle w:val="Refdenotaalpie"/>
          <w:rFonts w:ascii="Arial" w:eastAsia="Calibri" w:hAnsi="Arial" w:cs="Arial"/>
          <w:color w:val="000000" w:themeColor="text1"/>
          <w:sz w:val="22"/>
        </w:rPr>
        <w:footnoteReference w:id="34"/>
      </w:r>
      <w:r>
        <w:rPr>
          <w:rFonts w:ascii="Arial" w:eastAsia="Calibri" w:hAnsi="Arial" w:cs="Arial"/>
          <w:color w:val="000000" w:themeColor="text1"/>
          <w:sz w:val="22"/>
        </w:rPr>
        <w:t xml:space="preserve">. </w:t>
      </w:r>
    </w:p>
    <w:p w14:paraId="3B17AE0C" w14:textId="77777777" w:rsidR="00D5431F" w:rsidRDefault="00D5431F" w:rsidP="00D5431F">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Actualmente, el artículo 14 de Ley 1150 de 2007 distingue entre las empresas industriales y comerciales del Estado que desarrollan sus actividades en competencia con los particulares y las que no: mientras los contratos de estas últimas regresan a las normas de la Ley 80 de 1993, los de aquellas permanecen dentro del Código Civil y de Comercio, lo que –respecto al contenido del artículo 85 de la Ley 489 de 1998– implica un retorno parcial del derecho administrativo. De esta manera, la norma anteriormente citada dispone lo siguiente:</w:t>
      </w:r>
    </w:p>
    <w:p w14:paraId="167CD6BB" w14:textId="77777777" w:rsidR="00D5431F" w:rsidRDefault="00D5431F" w:rsidP="00D5431F">
      <w:pPr>
        <w:spacing w:line="276" w:lineRule="auto"/>
        <w:jc w:val="both"/>
        <w:rPr>
          <w:rFonts w:ascii="Arial" w:eastAsia="Calibri" w:hAnsi="Arial" w:cs="Arial"/>
          <w:color w:val="000000" w:themeColor="text1"/>
          <w:sz w:val="22"/>
        </w:rPr>
      </w:pPr>
    </w:p>
    <w:p w14:paraId="4E468BA4" w14:textId="77777777" w:rsidR="00D5431F" w:rsidRDefault="00D5431F" w:rsidP="00D5431F">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0367E5E7" w14:textId="77777777" w:rsidR="00D5431F" w:rsidRDefault="00D5431F" w:rsidP="00D5431F">
      <w:pPr>
        <w:spacing w:line="276" w:lineRule="auto"/>
        <w:ind w:left="709" w:right="709"/>
        <w:jc w:val="both"/>
        <w:rPr>
          <w:rFonts w:ascii="Arial" w:eastAsia="Calibri" w:hAnsi="Arial" w:cs="Arial"/>
          <w:color w:val="000000" w:themeColor="text1"/>
          <w:sz w:val="22"/>
          <w:szCs w:val="22"/>
        </w:rPr>
      </w:pPr>
    </w:p>
    <w:p w14:paraId="43EB81CB" w14:textId="77777777" w:rsidR="00D5431F" w:rsidRDefault="00D5431F" w:rsidP="00D5431F">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En esta medida, las empresas industriales y comerciales del Estado que no estén en competencia ni desarrollen su actividad en mercados regulados están sometidas al Estatuto General de Contratación de la Administración Pública y las normas que lo complementan. Conforme al literal g) del artículo 2.2 de la Ley 1150 de 2007, estos contratos siguen las reglas del procedimiento de selección abreviada, exceptuados los del artículo 32 de la Ley 80 de 1993</w:t>
      </w:r>
      <w:r>
        <w:rPr>
          <w:rStyle w:val="Refdenotaalpie"/>
          <w:rFonts w:ascii="Arial" w:eastAsia="Calibri" w:hAnsi="Arial" w:cs="Arial"/>
          <w:color w:val="000000" w:themeColor="text1"/>
          <w:sz w:val="22"/>
        </w:rPr>
        <w:footnoteReference w:id="35"/>
      </w:r>
      <w:r>
        <w:rPr>
          <w:rFonts w:ascii="Arial" w:eastAsia="Calibri" w:hAnsi="Arial" w:cs="Arial"/>
          <w:color w:val="000000" w:themeColor="text1"/>
          <w:sz w:val="22"/>
        </w:rPr>
        <w:t xml:space="preserve">. En contraste, el régimen contractual de las empresas </w:t>
      </w:r>
      <w:r>
        <w:rPr>
          <w:rFonts w:ascii="Arial" w:eastAsia="Calibri" w:hAnsi="Arial" w:cs="Arial"/>
          <w:color w:val="000000" w:themeColor="text1"/>
          <w:sz w:val="22"/>
        </w:rPr>
        <w:lastRenderedPageBreak/>
        <w:t>industriales y comerciales del Estado que se encuentren en competencia o en mercados regulados es el propio de tales actividades, esto es, por regla general, el derecho privado. De acuerdo con la jurisprudencia, la exclusión de estas últimas se justifica en el principio de igualdad, ya que si Estado desarrolla actividades de los particulares, debe actuar no solo desprovisto de poderes exorbitantes sino también con la misma eficacia y eficiencia que los sujetos de derecho privado. No en vano:</w:t>
      </w:r>
    </w:p>
    <w:p w14:paraId="3CDF2F66" w14:textId="77777777" w:rsidR="00D5431F" w:rsidRDefault="00D5431F" w:rsidP="00D5431F">
      <w:pPr>
        <w:spacing w:line="276" w:lineRule="auto"/>
        <w:jc w:val="both"/>
        <w:rPr>
          <w:rFonts w:ascii="Arial" w:eastAsia="Calibri" w:hAnsi="Arial" w:cs="Arial"/>
          <w:color w:val="000000" w:themeColor="text1"/>
          <w:sz w:val="22"/>
        </w:rPr>
      </w:pPr>
    </w:p>
    <w:p w14:paraId="592A300C" w14:textId="77777777" w:rsidR="00D5431F" w:rsidRDefault="00D5431F" w:rsidP="00D5431F">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42822DF3" w14:textId="77777777" w:rsidR="00D5431F" w:rsidRDefault="00D5431F" w:rsidP="00D5431F">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1729AB35" w14:textId="77777777" w:rsidR="00D5431F" w:rsidRDefault="00D5431F" w:rsidP="00D5431F">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Pr>
          <w:rStyle w:val="Refdenotaalpie"/>
          <w:rFonts w:ascii="Arial" w:eastAsia="Calibri" w:hAnsi="Arial" w:cs="Arial"/>
          <w:color w:val="000000" w:themeColor="text1"/>
          <w:sz w:val="21"/>
          <w:szCs w:val="21"/>
        </w:rPr>
        <w:footnoteReference w:id="36"/>
      </w:r>
      <w:r>
        <w:rPr>
          <w:rFonts w:ascii="Arial" w:eastAsia="Calibri" w:hAnsi="Arial" w:cs="Arial"/>
          <w:color w:val="000000" w:themeColor="text1"/>
          <w:sz w:val="21"/>
          <w:szCs w:val="21"/>
        </w:rPr>
        <w:t>.</w:t>
      </w:r>
    </w:p>
    <w:p w14:paraId="3499C142" w14:textId="77777777" w:rsidR="00D5431F" w:rsidRDefault="00D5431F" w:rsidP="00D5431F">
      <w:pPr>
        <w:spacing w:line="276" w:lineRule="auto"/>
        <w:jc w:val="both"/>
        <w:rPr>
          <w:rFonts w:ascii="Arial" w:eastAsia="Calibri" w:hAnsi="Arial" w:cs="Arial"/>
          <w:color w:val="000000" w:themeColor="text1"/>
          <w:sz w:val="22"/>
          <w:szCs w:val="22"/>
        </w:rPr>
      </w:pPr>
    </w:p>
    <w:p w14:paraId="0997D2E0" w14:textId="77777777" w:rsidR="00D5431F" w:rsidRDefault="00D5431F" w:rsidP="00D5431F">
      <w:pPr>
        <w:spacing w:line="276" w:lineRule="auto"/>
        <w:ind w:firstLine="708"/>
        <w:jc w:val="both"/>
        <w:rPr>
          <w:rFonts w:ascii="Arial" w:eastAsia="Calibri" w:hAnsi="Arial" w:cs="Arial"/>
          <w:b/>
          <w:bCs/>
          <w:color w:val="000000" w:themeColor="text1"/>
          <w:sz w:val="22"/>
        </w:rPr>
      </w:pPr>
      <w:r>
        <w:rPr>
          <w:rFonts w:ascii="Arial" w:eastAsia="Calibri" w:hAnsi="Arial" w:cs="Arial"/>
          <w:color w:val="000000" w:themeColor="text1"/>
          <w:sz w:val="22"/>
        </w:rPr>
        <w:t xml:space="preserve">Por lo tanto, </w:t>
      </w:r>
      <w:bookmarkStart w:id="5" w:name="_Hlk41238857"/>
      <w:r>
        <w:rPr>
          <w:rFonts w:ascii="Arial" w:eastAsia="Calibri" w:hAnsi="Arial" w:cs="Arial"/>
          <w:color w:val="000000" w:themeColor="text1"/>
          <w:sz w:val="22"/>
        </w:rPr>
        <w:t xml:space="preserve">el régimen contractual de las 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bookmarkEnd w:id="5"/>
      <w:r>
        <w:rPr>
          <w:rFonts w:ascii="Arial" w:eastAsia="Calibri" w:hAnsi="Arial" w:cs="Arial"/>
          <w:color w:val="000000" w:themeColor="text1"/>
          <w:sz w:val="22"/>
        </w:rPr>
        <w:t xml:space="preserve">En todo caso, independiente del régimen, </w:t>
      </w:r>
      <w:r w:rsidRPr="008B7C9D">
        <w:rPr>
          <w:rFonts w:ascii="Arial" w:hAnsi="Arial" w:cs="Arial"/>
          <w:color w:val="1A1A1A" w:themeColor="background1" w:themeShade="1A"/>
          <w:sz w:val="22"/>
        </w:rPr>
        <w:lastRenderedPageBreak/>
        <w:t>eso no las exime del deber de publicar su actividad contractual, cuando ejecuten recursos públicos</w:t>
      </w:r>
      <w:r>
        <w:rPr>
          <w:rFonts w:ascii="Arial" w:hAnsi="Arial" w:cs="Arial"/>
          <w:color w:val="1A1A1A" w:themeColor="background1" w:themeShade="1A"/>
          <w:sz w:val="22"/>
        </w:rPr>
        <w:t>.</w:t>
      </w:r>
    </w:p>
    <w:p w14:paraId="2081A34F" w14:textId="77777777" w:rsidR="00D5431F" w:rsidRDefault="00D5431F" w:rsidP="00D5431F">
      <w:pPr>
        <w:spacing w:line="276" w:lineRule="auto"/>
        <w:jc w:val="both"/>
        <w:rPr>
          <w:rFonts w:ascii="Arial" w:eastAsia="Calibri" w:hAnsi="Arial" w:cs="Arial"/>
          <w:b/>
          <w:bCs/>
          <w:color w:val="000000" w:themeColor="text1"/>
          <w:sz w:val="22"/>
        </w:rPr>
      </w:pPr>
    </w:p>
    <w:p w14:paraId="2862CF90" w14:textId="77777777" w:rsidR="00D5431F" w:rsidRPr="00D5431F" w:rsidRDefault="00D5431F" w:rsidP="00D5431F">
      <w:pPr>
        <w:spacing w:after="120" w:line="276" w:lineRule="auto"/>
        <w:jc w:val="both"/>
        <w:rPr>
          <w:rFonts w:ascii="Arial" w:eastAsia="Calibri" w:hAnsi="Arial" w:cs="Arial"/>
          <w:b/>
          <w:bCs/>
          <w:color w:val="000000" w:themeColor="text1"/>
          <w:sz w:val="22"/>
        </w:rPr>
      </w:pPr>
      <w:r w:rsidRPr="00D5431F">
        <w:rPr>
          <w:rFonts w:ascii="Arial" w:hAnsi="Arial" w:cs="Arial"/>
          <w:b/>
          <w:bCs/>
          <w:color w:val="1A1A1A" w:themeColor="background1" w:themeShade="1A"/>
          <w:sz w:val="22"/>
        </w:rPr>
        <w:t>2.6 Alcance del d</w:t>
      </w:r>
      <w:r w:rsidRPr="00D5431F">
        <w:rPr>
          <w:rFonts w:ascii="Arial" w:eastAsia="Calibri" w:hAnsi="Arial" w:cs="Arial"/>
          <w:b/>
          <w:bCs/>
          <w:color w:val="000000" w:themeColor="text1"/>
          <w:sz w:val="22"/>
        </w:rPr>
        <w:t xml:space="preserve">eber de publicidad </w:t>
      </w:r>
      <w:bookmarkStart w:id="6" w:name="_Hlk37950210"/>
      <w:r w:rsidRPr="00D5431F">
        <w:rPr>
          <w:rFonts w:ascii="Arial" w:eastAsia="Calibri" w:hAnsi="Arial" w:cs="Arial"/>
          <w:b/>
          <w:bCs/>
          <w:color w:val="000000" w:themeColor="text1"/>
          <w:sz w:val="22"/>
        </w:rPr>
        <w:t xml:space="preserve">en la plataforma del SECOP </w:t>
      </w:r>
    </w:p>
    <w:bookmarkEnd w:id="4"/>
    <w:bookmarkEnd w:id="6"/>
    <w:p w14:paraId="21FE310A" w14:textId="3A57BBAE" w:rsidR="009D33BE" w:rsidRPr="00A5491D" w:rsidRDefault="009D33BE" w:rsidP="009D33BE">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A5491D">
        <w:rPr>
          <w:rFonts w:ascii="Arial" w:eastAsia="Calibri" w:hAnsi="Arial" w:cs="Arial"/>
          <w:color w:val="000000" w:themeColor="text1"/>
          <w:sz w:val="22"/>
          <w:lang w:val="es-ES"/>
        </w:rPr>
        <w:t>a Agencia Nacional de Contratación Pública – Colombia Compra Eficiente tiene como función administrar el SECOP</w:t>
      </w:r>
      <w:r w:rsidRPr="00A5491D">
        <w:rPr>
          <w:rStyle w:val="Refdenotaalpie"/>
          <w:rFonts w:ascii="Arial" w:eastAsia="Calibri" w:hAnsi="Arial" w:cs="Arial"/>
          <w:color w:val="000000" w:themeColor="text1"/>
          <w:sz w:val="22"/>
          <w:lang w:val="es-ES"/>
        </w:rPr>
        <w:footnoteReference w:id="37"/>
      </w:r>
      <w:r w:rsidRPr="00A5491D">
        <w:rPr>
          <w:rFonts w:ascii="Arial" w:eastAsia="Calibri" w:hAnsi="Arial" w:cs="Arial"/>
          <w:color w:val="000000" w:themeColor="text1"/>
          <w:sz w:val="22"/>
          <w:lang w:val="es-ES"/>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2FABFFCF" w14:textId="77777777" w:rsidR="009D33BE" w:rsidRPr="00A5491D" w:rsidRDefault="009D33BE" w:rsidP="009D33BE">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7481845C" w14:textId="77777777" w:rsidR="009D33BE" w:rsidRPr="00A5491D" w:rsidRDefault="009D33BE" w:rsidP="009D33BE">
      <w:pPr>
        <w:spacing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Es necesario aclarar que, dado que el procedimiento contractual se desarrolla en línea y dentro de la plataforma, paulatinamente se va conformando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27BFA74C" w14:textId="77777777" w:rsidR="009D33BE" w:rsidRPr="00A5491D" w:rsidRDefault="009D33BE" w:rsidP="009D33BE">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w:t>
      </w:r>
      <w:r w:rsidRPr="00A5491D">
        <w:rPr>
          <w:rFonts w:ascii="Arial" w:eastAsia="Calibri" w:hAnsi="Arial" w:cs="Arial"/>
          <w:color w:val="000000" w:themeColor="text1"/>
          <w:sz w:val="22"/>
          <w:lang w:val="es-ES"/>
        </w:rPr>
        <w:lastRenderedPageBreak/>
        <w:t>esta circular deberán gestionarse, exclusivamente, en el SECOP ll». Son las entidades públicas relacionadas en dicho anexo las obligadas al uso de la plataforma que se estudia.</w:t>
      </w:r>
    </w:p>
    <w:p w14:paraId="7E81DB68" w14:textId="77777777" w:rsidR="009D33BE" w:rsidRPr="00A5491D" w:rsidRDefault="009D33BE" w:rsidP="009D33BE">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56CB2BF3" w14:textId="77777777" w:rsidR="009D33BE" w:rsidRDefault="009D33BE" w:rsidP="009D33BE">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4B61FD31" w14:textId="77777777" w:rsidR="009D33BE" w:rsidRPr="00A5491D" w:rsidRDefault="009D33BE" w:rsidP="009D33BE">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Finalmente, </w:t>
      </w:r>
      <w:r w:rsidRPr="00E00947">
        <w:rPr>
          <w:rFonts w:ascii="Arial" w:eastAsia="Calibri" w:hAnsi="Arial" w:cs="Arial"/>
          <w:color w:val="000000" w:themeColor="text1"/>
          <w:sz w:val="22"/>
          <w:lang w:val="es-ES"/>
        </w:rPr>
        <w:t>el pasado 10 de febrero de 2021</w:t>
      </w:r>
      <w:r>
        <w:rPr>
          <w:rFonts w:ascii="Arial" w:eastAsia="Calibri" w:hAnsi="Arial" w:cs="Arial"/>
          <w:color w:val="000000" w:themeColor="text1"/>
          <w:sz w:val="22"/>
          <w:lang w:val="es-ES"/>
        </w:rPr>
        <w:t xml:space="preserve"> la Agencia</w:t>
      </w:r>
      <w:r w:rsidRPr="00E00947">
        <w:rPr>
          <w:rFonts w:ascii="Arial" w:eastAsia="Calibri" w:hAnsi="Arial" w:cs="Arial"/>
          <w:color w:val="000000" w:themeColor="text1"/>
          <w:sz w:val="22"/>
          <w:lang w:val="es-ES"/>
        </w:rPr>
        <w:t xml:space="preserve"> expidió la Circular Externa No. 1 de 2021 por medio de la cual se determina la obligatoriedad del SECOP II para la vigencia del 2021</w:t>
      </w:r>
      <w:r>
        <w:rPr>
          <w:rFonts w:ascii="Arial" w:eastAsia="Calibri" w:hAnsi="Arial" w:cs="Arial"/>
          <w:color w:val="000000" w:themeColor="text1"/>
          <w:sz w:val="22"/>
          <w:lang w:val="es-ES"/>
        </w:rPr>
        <w:t xml:space="preserve"> </w:t>
      </w:r>
      <w:r w:rsidRPr="00E00947">
        <w:rPr>
          <w:rFonts w:ascii="Arial" w:eastAsia="Calibri" w:hAnsi="Arial" w:cs="Arial"/>
          <w:color w:val="000000" w:themeColor="text1"/>
          <w:sz w:val="22"/>
          <w:lang w:val="es-ES"/>
        </w:rPr>
        <w:t xml:space="preserve">para las entidades estatales listadas en el Anexo No. 1 de esta circular. </w:t>
      </w:r>
    </w:p>
    <w:p w14:paraId="093B1A92" w14:textId="14D3BF0F" w:rsidR="009D33BE" w:rsidRPr="00A5491D" w:rsidRDefault="009D33BE" w:rsidP="009D33BE">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Así las cosas</w:t>
      </w:r>
      <w:r w:rsidRPr="00A5491D">
        <w:rPr>
          <w:rFonts w:ascii="Arial" w:eastAsia="Calibri" w:hAnsi="Arial" w:cs="Arial"/>
          <w:bCs/>
          <w:color w:val="000000" w:themeColor="text1"/>
          <w:sz w:val="22"/>
        </w:rPr>
        <w:t>, con fundamento en las consideraciones expuestas en ese momento, puede decirse que del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w:t>
      </w:r>
      <w:r w:rsidR="0033176E">
        <w:rPr>
          <w:rFonts w:ascii="Arial" w:eastAsia="Calibri" w:hAnsi="Arial" w:cs="Arial"/>
          <w:bCs/>
          <w:color w:val="000000" w:themeColor="text1"/>
          <w:sz w:val="22"/>
        </w:rPr>
        <w:t>á</w:t>
      </w:r>
      <w:r w:rsidRPr="00A5491D">
        <w:rPr>
          <w:rFonts w:ascii="Arial" w:eastAsia="Calibri" w:hAnsi="Arial" w:cs="Arial"/>
          <w:bCs/>
          <w:color w:val="000000" w:themeColor="text1"/>
          <w:sz w:val="22"/>
        </w:rPr>
        <w:t xml:space="preserve"> vinculad</w:t>
      </w:r>
      <w:r>
        <w:rPr>
          <w:rFonts w:ascii="Arial" w:eastAsia="Calibri" w:hAnsi="Arial" w:cs="Arial"/>
          <w:bCs/>
          <w:color w:val="000000" w:themeColor="text1"/>
          <w:sz w:val="22"/>
        </w:rPr>
        <w:t>o a</w:t>
      </w:r>
      <w:r w:rsidRPr="00A5491D">
        <w:rPr>
          <w:rFonts w:ascii="Arial" w:eastAsia="Calibri" w:hAnsi="Arial" w:cs="Arial"/>
          <w:bCs/>
          <w:color w:val="000000" w:themeColor="text1"/>
          <w:sz w:val="22"/>
        </w:rPr>
        <w:t xml:space="preserve"> las entidades referidas </w:t>
      </w:r>
      <w:r>
        <w:rPr>
          <w:rFonts w:ascii="Arial" w:eastAsia="Calibri" w:hAnsi="Arial" w:cs="Arial"/>
          <w:bCs/>
          <w:color w:val="000000" w:themeColor="text1"/>
          <w:sz w:val="22"/>
        </w:rPr>
        <w:t>por la Agencia en las Circulares Externas mencionadas</w:t>
      </w:r>
      <w:r w:rsidRPr="00A5491D">
        <w:rPr>
          <w:rFonts w:ascii="Arial" w:eastAsia="Calibri" w:hAnsi="Arial" w:cs="Arial"/>
          <w:bCs/>
          <w:color w:val="000000" w:themeColor="text1"/>
          <w:sz w:val="22"/>
        </w:rPr>
        <w:t>. En efecto, en el concepto C-151 de 2020 se concluyó lo siguiente:</w:t>
      </w:r>
    </w:p>
    <w:p w14:paraId="3B76F761" w14:textId="77777777" w:rsidR="009D33BE" w:rsidRPr="00A5491D" w:rsidRDefault="009D33BE" w:rsidP="009D33BE">
      <w:pPr>
        <w:spacing w:line="276" w:lineRule="auto"/>
        <w:jc w:val="both"/>
        <w:rPr>
          <w:rFonts w:ascii="Arial" w:eastAsia="Calibri" w:hAnsi="Arial" w:cs="Arial"/>
          <w:bCs/>
          <w:color w:val="000000" w:themeColor="text1"/>
          <w:sz w:val="22"/>
        </w:rPr>
      </w:pPr>
    </w:p>
    <w:p w14:paraId="5DFD21BF" w14:textId="77777777" w:rsidR="009D33BE" w:rsidRPr="00A5491D" w:rsidRDefault="009D33BE" w:rsidP="009D33BE">
      <w:pPr>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A5491D">
        <w:rPr>
          <w:rFonts w:ascii="Arial" w:eastAsia="Calibri" w:hAnsi="Arial" w:cs="Arial"/>
          <w:bCs/>
          <w:color w:val="000000" w:themeColor="text1"/>
          <w:sz w:val="21"/>
          <w:szCs w:val="21"/>
        </w:rPr>
        <w:tab/>
      </w:r>
    </w:p>
    <w:p w14:paraId="5304909A" w14:textId="77777777" w:rsidR="009D33BE" w:rsidRPr="00A5491D" w:rsidRDefault="009D33BE" w:rsidP="009D33BE">
      <w:pPr>
        <w:spacing w:line="276" w:lineRule="auto"/>
        <w:jc w:val="both"/>
        <w:rPr>
          <w:rFonts w:ascii="Arial" w:eastAsia="Calibri" w:hAnsi="Arial" w:cs="Arial"/>
          <w:bCs/>
          <w:color w:val="000000" w:themeColor="text1"/>
          <w:sz w:val="22"/>
        </w:rPr>
      </w:pPr>
    </w:p>
    <w:p w14:paraId="712C3337" w14:textId="77777777" w:rsidR="009D33BE" w:rsidRPr="00A5491D" w:rsidRDefault="009D33BE" w:rsidP="009D33BE">
      <w:pPr>
        <w:spacing w:line="276" w:lineRule="auto"/>
        <w:ind w:firstLine="709"/>
        <w:jc w:val="both"/>
        <w:rPr>
          <w:rFonts w:ascii="Arial" w:eastAsia="Calibri" w:hAnsi="Arial" w:cs="Arial"/>
          <w:bCs/>
          <w:color w:val="000000" w:themeColor="text1"/>
          <w:sz w:val="22"/>
          <w:lang w:val="es-ES"/>
        </w:rPr>
      </w:pPr>
      <w:r w:rsidRPr="00A5491D">
        <w:rPr>
          <w:rFonts w:ascii="Arial" w:eastAsia="Calibri" w:hAnsi="Arial" w:cs="Arial"/>
          <w:bCs/>
          <w:color w:val="000000" w:themeColor="text1"/>
          <w:sz w:val="22"/>
        </w:rPr>
        <w:lastRenderedPageBreak/>
        <w:t xml:space="preserve">Las entidades descentralizadas por servicios, por otro lado, también se encuentran llamadas a publicar su actividad contractual en el SECOP. Así lo concluyó Colombia Compra Eficiente en el concepto C-264 de 2020, en donde dijo que: «[e]l Instituto Social de Vivienda y Hábitat de Medellín, sin consideración al régimen sustantivo de contratación que le resulta aplicable, esto es, Estatuto General de Contratación de la Administración Pública o regímenes exceptuados, inclusive </w:t>
      </w:r>
      <w:r w:rsidRPr="00A5491D">
        <w:rPr>
          <w:rFonts w:ascii="Arial" w:eastAsia="Calibri" w:hAnsi="Arial" w:cs="Arial"/>
          <w:bCs/>
          <w:i/>
          <w:iCs/>
          <w:color w:val="000000" w:themeColor="text1"/>
          <w:sz w:val="22"/>
        </w:rPr>
        <w:t>independiente de la tipología de los contratos y el régimen aplicable a los mismos</w:t>
      </w:r>
      <w:r w:rsidRPr="00A5491D">
        <w:rPr>
          <w:rFonts w:ascii="Arial" w:eastAsia="Calibri" w:hAnsi="Arial" w:cs="Arial"/>
          <w:bCs/>
          <w:color w:val="000000" w:themeColor="text1"/>
          <w:sz w:val="22"/>
        </w:rPr>
        <w:t>, está en la obligación de publicar todos los documentos proferidos con ocasión de sus procesos de contratación» «cursivas propias».</w:t>
      </w:r>
    </w:p>
    <w:p w14:paraId="47B5CBED" w14:textId="77777777" w:rsidR="009D33BE" w:rsidRPr="00A5491D" w:rsidRDefault="009D33BE" w:rsidP="00C24701">
      <w:pPr>
        <w:spacing w:before="120" w:after="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t>En suma, a la luz de los criterios desarrollados por la Agencia Nacional de Contratación Pública, pude concluirse que el deber de publicar en el SECOP se arraiga en una idea general, esto es, que se debe publicar toda actividad contractual en la que se ejecuten recursos públicos, sin distingo de la naturaleza jurídica de la entidad contratante, de su régimen contractual, incluso, sin importar la tipología del contrato a celebrar. Igualmente, puede decirse que este deber debe hacerse efectivo en el SECOP I o en el SECOP II, dependiendo de cada caso.</w:t>
      </w:r>
    </w:p>
    <w:p w14:paraId="245D222F" w14:textId="6F32BBC5" w:rsidR="009D33BE" w:rsidRPr="00461416" w:rsidRDefault="009D33BE" w:rsidP="00C24701">
      <w:pPr>
        <w:tabs>
          <w:tab w:val="left" w:pos="4395"/>
        </w:tabs>
        <w:spacing w:after="120" w:line="276" w:lineRule="auto"/>
        <w:ind w:firstLine="709"/>
        <w:jc w:val="both"/>
        <w:rPr>
          <w:rFonts w:ascii="Arial" w:eastAsia="Calibri" w:hAnsi="Arial" w:cs="Arial"/>
          <w:bCs/>
          <w:color w:val="000000" w:themeColor="text1"/>
          <w:sz w:val="22"/>
          <w:szCs w:val="22"/>
        </w:rPr>
      </w:pPr>
      <w:r w:rsidRPr="00A5491D">
        <w:rPr>
          <w:rFonts w:ascii="Arial" w:eastAsia="Calibri" w:hAnsi="Arial" w:cs="Arial"/>
          <w:bCs/>
          <w:color w:val="000000" w:themeColor="text1"/>
          <w:sz w:val="22"/>
        </w:rPr>
        <w:t xml:space="preserve">Para saber si la publicación debe hacerse en el SECOP II habrá que consultar, por un lado, </w:t>
      </w:r>
      <w:r>
        <w:rPr>
          <w:rFonts w:ascii="Arial" w:eastAsia="Calibri" w:hAnsi="Arial" w:cs="Arial"/>
          <w:bCs/>
          <w:color w:val="000000" w:themeColor="text1"/>
          <w:sz w:val="22"/>
        </w:rPr>
        <w:t>las</w:t>
      </w:r>
      <w:r w:rsidRPr="00A5491D">
        <w:rPr>
          <w:rFonts w:ascii="Arial" w:eastAsia="Calibri" w:hAnsi="Arial" w:cs="Arial"/>
          <w:bCs/>
          <w:color w:val="000000" w:themeColor="text1"/>
          <w:sz w:val="22"/>
        </w:rPr>
        <w:t xml:space="preserve"> Circular</w:t>
      </w:r>
      <w:r>
        <w:rPr>
          <w:rFonts w:ascii="Arial" w:eastAsia="Calibri" w:hAnsi="Arial" w:cs="Arial"/>
          <w:bCs/>
          <w:color w:val="000000" w:themeColor="text1"/>
          <w:sz w:val="22"/>
        </w:rPr>
        <w:t>es</w:t>
      </w:r>
      <w:r w:rsidRPr="00A5491D">
        <w:rPr>
          <w:rFonts w:ascii="Arial" w:eastAsia="Calibri" w:hAnsi="Arial" w:cs="Arial"/>
          <w:bCs/>
          <w:color w:val="000000" w:themeColor="text1"/>
          <w:sz w:val="22"/>
        </w:rPr>
        <w:t xml:space="preserve"> Externa</w:t>
      </w:r>
      <w:r>
        <w:rPr>
          <w:rFonts w:ascii="Arial" w:eastAsia="Calibri" w:hAnsi="Arial" w:cs="Arial"/>
          <w:bCs/>
          <w:color w:val="000000" w:themeColor="text1"/>
          <w:sz w:val="22"/>
        </w:rPr>
        <w:t>s</w:t>
      </w:r>
      <w:r w:rsidRPr="00A5491D">
        <w:rPr>
          <w:rFonts w:ascii="Arial" w:eastAsia="Calibri" w:hAnsi="Arial" w:cs="Arial"/>
          <w:bCs/>
          <w:color w:val="000000" w:themeColor="text1"/>
          <w:sz w:val="22"/>
        </w:rPr>
        <w:t xml:space="preserve"> 1 de 2019</w:t>
      </w:r>
      <w:r>
        <w:rPr>
          <w:rFonts w:ascii="Arial" w:eastAsia="Calibri" w:hAnsi="Arial" w:cs="Arial"/>
          <w:bCs/>
          <w:color w:val="000000" w:themeColor="text1"/>
          <w:sz w:val="22"/>
        </w:rPr>
        <w:t xml:space="preserve"> y de 2021</w:t>
      </w:r>
      <w:r w:rsidRPr="00A5491D">
        <w:rPr>
          <w:rFonts w:ascii="Arial" w:eastAsia="Calibri" w:hAnsi="Arial" w:cs="Arial"/>
          <w:bCs/>
          <w:color w:val="000000" w:themeColor="text1"/>
          <w:sz w:val="22"/>
        </w:rPr>
        <w:t>, así como las circulares externas 2 y 3</w:t>
      </w:r>
      <w:r w:rsidR="0033176E">
        <w:rPr>
          <w:rFonts w:ascii="Arial" w:eastAsia="Calibri" w:hAnsi="Arial" w:cs="Arial"/>
          <w:bCs/>
          <w:color w:val="000000" w:themeColor="text1"/>
          <w:sz w:val="22"/>
        </w:rPr>
        <w:t>,</w:t>
      </w:r>
      <w:r w:rsidRPr="00A5491D">
        <w:rPr>
          <w:rFonts w:ascii="Arial" w:eastAsia="Calibri" w:hAnsi="Arial" w:cs="Arial"/>
          <w:bCs/>
          <w:color w:val="000000" w:themeColor="text1"/>
          <w:sz w:val="22"/>
        </w:rPr>
        <w:t xml:space="preserve"> y por el otro, establecer si no existe una disposición normativa que establezca el deber de publicar en el SECOP II, como es el caso de la contratación regida por el Decreto 92 de 2017 o la contratación relacionada con los contratos fiduciarios y la «contratación derivada» de estos. </w:t>
      </w:r>
    </w:p>
    <w:p w14:paraId="2CF86277" w14:textId="65191A63" w:rsidR="009D33BE" w:rsidRPr="00EB6A84" w:rsidRDefault="00874FD7" w:rsidP="00C24701">
      <w:pPr>
        <w:pStyle w:val="paragraph"/>
        <w:spacing w:before="0" w:beforeAutospacing="0" w:after="120" w:afterAutospacing="0" w:line="276" w:lineRule="auto"/>
        <w:ind w:right="45" w:firstLine="709"/>
        <w:jc w:val="both"/>
        <w:textAlignment w:val="baseline"/>
        <w:rPr>
          <w:rStyle w:val="normaltextrun"/>
          <w:rFonts w:ascii="Arial" w:eastAsia="Calibri" w:hAnsi="Arial" w:cs="Arial"/>
          <w:bCs/>
          <w:color w:val="000000" w:themeColor="text1"/>
          <w:sz w:val="22"/>
          <w:szCs w:val="22"/>
          <w:lang w:eastAsia="es-ES_tradnl"/>
        </w:rPr>
      </w:pPr>
      <w:r>
        <w:rPr>
          <w:rFonts w:ascii="Arial" w:eastAsia="Calibri" w:hAnsi="Arial" w:cs="Arial"/>
          <w:bCs/>
          <w:color w:val="000000" w:themeColor="text1"/>
          <w:sz w:val="22"/>
          <w:szCs w:val="22"/>
          <w:lang w:eastAsia="es-ES_tradnl"/>
        </w:rPr>
        <w:t>En todo caso</w:t>
      </w:r>
      <w:r w:rsidR="009D33BE" w:rsidRPr="00461416">
        <w:rPr>
          <w:rFonts w:ascii="Arial" w:eastAsia="Calibri" w:hAnsi="Arial" w:cs="Arial"/>
          <w:bCs/>
          <w:color w:val="000000" w:themeColor="text1"/>
          <w:sz w:val="22"/>
          <w:szCs w:val="22"/>
          <w:lang w:eastAsia="es-ES_tradnl"/>
        </w:rPr>
        <w:t xml:space="preserve">, </w:t>
      </w:r>
      <w:r>
        <w:rPr>
          <w:rFonts w:ascii="Arial" w:eastAsia="Calibri" w:hAnsi="Arial" w:cs="Arial"/>
          <w:bCs/>
          <w:color w:val="000000" w:themeColor="text1"/>
          <w:sz w:val="22"/>
          <w:szCs w:val="22"/>
          <w:lang w:eastAsia="es-ES_tradnl"/>
        </w:rPr>
        <w:t xml:space="preserve">que </w:t>
      </w:r>
      <w:r w:rsidR="00EB6A84">
        <w:rPr>
          <w:rFonts w:ascii="Arial" w:eastAsia="Calibri" w:hAnsi="Arial" w:cs="Arial"/>
          <w:bCs/>
          <w:color w:val="000000" w:themeColor="text1"/>
          <w:sz w:val="22"/>
          <w:szCs w:val="22"/>
          <w:lang w:eastAsia="es-ES_tradnl"/>
        </w:rPr>
        <w:t>una entidad en particular aún no se encuentre obligada a hacer uso del SECOP II implica que</w:t>
      </w:r>
      <w:r w:rsidR="009D33BE" w:rsidRPr="00461416">
        <w:rPr>
          <w:rFonts w:ascii="Arial" w:eastAsia="Calibri" w:hAnsi="Arial" w:cs="Arial"/>
          <w:bCs/>
          <w:color w:val="000000" w:themeColor="text1"/>
          <w:sz w:val="22"/>
          <w:szCs w:val="22"/>
          <w:lang w:eastAsia="es-ES_tradnl"/>
        </w:rPr>
        <w:t xml:space="preserve"> debe seguir adelantado y gestionando </w:t>
      </w:r>
      <w:r w:rsidR="00EB6A84">
        <w:rPr>
          <w:rFonts w:ascii="Arial" w:eastAsia="Calibri" w:hAnsi="Arial" w:cs="Arial"/>
          <w:bCs/>
          <w:color w:val="000000" w:themeColor="text1"/>
          <w:sz w:val="22"/>
          <w:szCs w:val="22"/>
          <w:lang w:eastAsia="es-ES_tradnl"/>
        </w:rPr>
        <w:t xml:space="preserve">la publicidad de </w:t>
      </w:r>
      <w:r w:rsidR="00EB6A84" w:rsidRPr="00461416">
        <w:rPr>
          <w:rFonts w:ascii="Arial" w:eastAsia="Calibri" w:hAnsi="Arial" w:cs="Arial"/>
          <w:bCs/>
          <w:color w:val="000000" w:themeColor="text1"/>
          <w:sz w:val="22"/>
          <w:szCs w:val="22"/>
          <w:lang w:eastAsia="es-ES_tradnl"/>
        </w:rPr>
        <w:t xml:space="preserve">sus procesos de contratación </w:t>
      </w:r>
      <w:r w:rsidR="0033176E">
        <w:rPr>
          <w:rFonts w:ascii="Arial" w:eastAsia="Calibri" w:hAnsi="Arial" w:cs="Arial"/>
          <w:bCs/>
          <w:color w:val="000000" w:themeColor="text1"/>
          <w:sz w:val="22"/>
          <w:szCs w:val="22"/>
          <w:lang w:eastAsia="es-ES_tradnl"/>
        </w:rPr>
        <w:t xml:space="preserve">mediante el </w:t>
      </w:r>
      <w:r w:rsidR="009D33BE" w:rsidRPr="00461416">
        <w:rPr>
          <w:rFonts w:ascii="Arial" w:eastAsia="Calibri" w:hAnsi="Arial" w:cs="Arial"/>
          <w:bCs/>
          <w:color w:val="000000" w:themeColor="text1"/>
          <w:sz w:val="22"/>
          <w:szCs w:val="22"/>
          <w:lang w:eastAsia="es-ES_tradnl"/>
        </w:rPr>
        <w:t>SECOP I</w:t>
      </w:r>
      <w:r w:rsidR="00FF3175">
        <w:rPr>
          <w:rFonts w:ascii="Arial" w:eastAsia="Calibri" w:hAnsi="Arial" w:cs="Arial"/>
          <w:bCs/>
          <w:color w:val="000000" w:themeColor="text1"/>
          <w:sz w:val="22"/>
          <w:szCs w:val="22"/>
          <w:lang w:eastAsia="es-ES_tradnl"/>
        </w:rPr>
        <w:t>,</w:t>
      </w:r>
      <w:r w:rsidR="009D33BE" w:rsidRPr="00461416">
        <w:rPr>
          <w:rFonts w:ascii="Arial" w:eastAsia="Calibri" w:hAnsi="Arial" w:cs="Arial"/>
          <w:bCs/>
          <w:color w:val="000000" w:themeColor="text1"/>
          <w:sz w:val="22"/>
          <w:szCs w:val="22"/>
          <w:lang w:eastAsia="es-ES_tradnl"/>
        </w:rPr>
        <w:t xml:space="preserve"> con excepción de los procesos de contratación derivados de la aplicación del Decreto 92 de 2017</w:t>
      </w:r>
      <w:r w:rsidR="00EB6A84">
        <w:rPr>
          <w:rFonts w:ascii="Arial" w:eastAsia="Calibri" w:hAnsi="Arial" w:cs="Arial"/>
          <w:bCs/>
          <w:color w:val="000000" w:themeColor="text1"/>
          <w:sz w:val="22"/>
          <w:szCs w:val="22"/>
          <w:lang w:eastAsia="es-ES_tradnl"/>
        </w:rPr>
        <w:t xml:space="preserve">, </w:t>
      </w:r>
      <w:r w:rsidR="00FF3175">
        <w:rPr>
          <w:rFonts w:ascii="Arial" w:eastAsia="Calibri" w:hAnsi="Arial" w:cs="Arial"/>
          <w:bCs/>
          <w:color w:val="000000" w:themeColor="text1"/>
          <w:sz w:val="22"/>
          <w:szCs w:val="22"/>
          <w:lang w:eastAsia="es-ES_tradnl"/>
        </w:rPr>
        <w:t>los cuales</w:t>
      </w:r>
      <w:r w:rsidR="0033176E">
        <w:rPr>
          <w:rFonts w:ascii="Arial" w:eastAsia="Calibri" w:hAnsi="Arial" w:cs="Arial"/>
          <w:bCs/>
          <w:color w:val="000000" w:themeColor="text1"/>
          <w:sz w:val="22"/>
          <w:szCs w:val="22"/>
          <w:lang w:eastAsia="es-ES_tradnl"/>
        </w:rPr>
        <w:t xml:space="preserve"> </w:t>
      </w:r>
      <w:r w:rsidR="00EB6A84">
        <w:rPr>
          <w:rFonts w:ascii="Arial" w:eastAsia="Calibri" w:hAnsi="Arial" w:cs="Arial"/>
          <w:bCs/>
          <w:color w:val="000000" w:themeColor="text1"/>
          <w:sz w:val="22"/>
          <w:szCs w:val="22"/>
          <w:lang w:eastAsia="es-ES_tradnl"/>
        </w:rPr>
        <w:t>deben gestionarse a través del SECOP II.</w:t>
      </w:r>
    </w:p>
    <w:p w14:paraId="4FE64AA4" w14:textId="60DC1955" w:rsidR="009D33BE" w:rsidRPr="00461416" w:rsidRDefault="009D33BE" w:rsidP="00C24701">
      <w:pPr>
        <w:pStyle w:val="paragraph"/>
        <w:spacing w:before="0" w:beforeAutospacing="0" w:after="120" w:afterAutospacing="0" w:line="276" w:lineRule="auto"/>
        <w:ind w:right="45" w:firstLine="709"/>
        <w:jc w:val="both"/>
        <w:textAlignment w:val="baseline"/>
        <w:rPr>
          <w:rFonts w:ascii="Arial" w:eastAsiaTheme="minorHAnsi" w:hAnsi="Arial" w:cs="Arial"/>
          <w:color w:val="000000" w:themeColor="text1"/>
          <w:sz w:val="22"/>
          <w:szCs w:val="22"/>
          <w:lang w:eastAsia="en-US"/>
        </w:rPr>
      </w:pPr>
      <w:r>
        <w:rPr>
          <w:rStyle w:val="normaltextrun"/>
          <w:rFonts w:ascii="Arial" w:hAnsi="Arial" w:cs="Arial"/>
          <w:color w:val="000000" w:themeColor="text1"/>
          <w:sz w:val="22"/>
          <w:szCs w:val="22"/>
        </w:rPr>
        <w:t>En todo caso, le informamos que, a</w:t>
      </w:r>
      <w:r w:rsidRPr="00461416">
        <w:rPr>
          <w:rStyle w:val="normaltextrun"/>
          <w:rFonts w:ascii="Arial" w:hAnsi="Arial" w:cs="Arial"/>
          <w:color w:val="000000" w:themeColor="text1"/>
          <w:sz w:val="22"/>
          <w:szCs w:val="22"/>
        </w:rPr>
        <w:t xml:space="preserve">ctualmente, la Agencia Nacional de Contratación Pública </w:t>
      </w:r>
      <w:r w:rsidR="0033176E">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Colombia Compra Eficiente – ANCP – CCE, no ha establecido una fecha exacta a partir de la cual será obligatorio el uso del SECOP II para las entidades que no se encuentran incluidas en los Anexos de las Circulares No.1 de 2019 y 2021. Cuando sea establecida, la ANCP – CCE notificará con la suficiente anticipación</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a través los canales de comunicación oficiales</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50CA667F" w14:textId="77777777" w:rsidR="009D33BE" w:rsidRPr="00461416" w:rsidRDefault="009D33BE" w:rsidP="00C24701">
      <w:pPr>
        <w:pStyle w:val="paragraph"/>
        <w:spacing w:before="0" w:beforeAutospacing="0" w:after="120" w:afterAutospacing="0" w:line="276" w:lineRule="auto"/>
        <w:ind w:right="45" w:firstLine="709"/>
        <w:jc w:val="both"/>
        <w:textAlignment w:val="baseline"/>
        <w:rPr>
          <w:rFonts w:ascii="Arial" w:hAnsi="Arial" w:cs="Arial"/>
          <w:color w:val="000000" w:themeColor="text1"/>
          <w:sz w:val="22"/>
          <w:szCs w:val="22"/>
        </w:rPr>
      </w:pPr>
      <w:r w:rsidRPr="00461416">
        <w:rPr>
          <w:rFonts w:ascii="Arial" w:eastAsiaTheme="minorHAnsi" w:hAnsi="Arial" w:cs="Arial"/>
          <w:color w:val="000000" w:themeColor="text1"/>
          <w:sz w:val="22"/>
          <w:szCs w:val="22"/>
          <w:lang w:eastAsia="en-US"/>
        </w:rPr>
        <w:t>Si desea conocer información sobre el funcionamiento técnico de SECOP II puede consultar</w:t>
      </w:r>
      <w:r w:rsidRPr="00461416">
        <w:rPr>
          <w:rFonts w:ascii="Arial" w:hAnsi="Arial" w:cs="Arial"/>
          <w:color w:val="000000" w:themeColor="text1"/>
          <w:sz w:val="22"/>
          <w:szCs w:val="22"/>
        </w:rPr>
        <w:t xml:space="preserve"> las guías y manuales dispuestos por la ANCP- CCE en el minisitio de SECOP II en el siguiente enlace </w:t>
      </w:r>
      <w:hyperlink r:id="rId11" w:history="1">
        <w:r w:rsidRPr="00461416">
          <w:rPr>
            <w:rStyle w:val="Hipervnculo"/>
            <w:rFonts w:ascii="Arial" w:eastAsiaTheme="minorHAnsi" w:hAnsi="Arial" w:cs="Arial"/>
            <w:color w:val="000000" w:themeColor="text1"/>
            <w:sz w:val="22"/>
            <w:szCs w:val="22"/>
            <w:lang w:eastAsia="en-US"/>
          </w:rPr>
          <w:t>https://www.colombiacompra.gov.co/secop-ii</w:t>
        </w:r>
      </w:hyperlink>
      <w:r w:rsidRPr="00461416">
        <w:rPr>
          <w:rStyle w:val="Hipervnculo"/>
          <w:rFonts w:ascii="Arial" w:eastAsiaTheme="minorHAnsi" w:hAnsi="Arial" w:cs="Arial"/>
          <w:color w:val="000000" w:themeColor="text1"/>
          <w:sz w:val="22"/>
          <w:szCs w:val="22"/>
          <w:lang w:eastAsia="en-US"/>
        </w:rPr>
        <w:t>.</w:t>
      </w:r>
      <w:r w:rsidRPr="00461416">
        <w:rPr>
          <w:rFonts w:ascii="Arial" w:hAnsi="Arial" w:cs="Arial"/>
          <w:color w:val="000000" w:themeColor="text1"/>
          <w:sz w:val="22"/>
          <w:szCs w:val="22"/>
        </w:rPr>
        <w:t xml:space="preserve"> </w:t>
      </w:r>
    </w:p>
    <w:p w14:paraId="7FCAE5B5" w14:textId="77777777" w:rsidR="009D33BE" w:rsidRPr="00461416" w:rsidRDefault="009D33BE" w:rsidP="009D33BE">
      <w:pPr>
        <w:pStyle w:val="paragraph"/>
        <w:spacing w:before="0" w:beforeAutospacing="0" w:after="0" w:afterAutospacing="0" w:line="276" w:lineRule="auto"/>
        <w:ind w:right="45"/>
        <w:jc w:val="both"/>
        <w:textAlignment w:val="baseline"/>
        <w:rPr>
          <w:rFonts w:ascii="Arial" w:hAnsi="Arial" w:cs="Arial"/>
          <w:color w:val="000000" w:themeColor="text1"/>
          <w:sz w:val="22"/>
          <w:szCs w:val="22"/>
          <w:lang w:eastAsia="es-ES"/>
        </w:rPr>
      </w:pPr>
    </w:p>
    <w:p w14:paraId="25DB4D36" w14:textId="77777777" w:rsidR="009D33BE" w:rsidRPr="00461416" w:rsidRDefault="009D33BE" w:rsidP="00EB6A84">
      <w:pPr>
        <w:ind w:firstLine="708"/>
        <w:jc w:val="both"/>
        <w:rPr>
          <w:rFonts w:ascii="Arial" w:hAnsi="Arial" w:cs="Arial"/>
          <w:color w:val="000000" w:themeColor="text1"/>
          <w:sz w:val="22"/>
          <w:szCs w:val="22"/>
        </w:rPr>
      </w:pPr>
      <w:r w:rsidRPr="00461416">
        <w:rPr>
          <w:rFonts w:ascii="Arial" w:hAnsi="Arial" w:cs="Arial"/>
          <w:color w:val="000000" w:themeColor="text1"/>
          <w:sz w:val="22"/>
          <w:szCs w:val="22"/>
        </w:rPr>
        <w:lastRenderedPageBreak/>
        <w:t xml:space="preserve">Finalmente, en caso de tener dudas sobre las herramientas puede acceder a la Mesa de Servicio de la ANCP - CCE a través de los canales especificados en este enlace: </w:t>
      </w:r>
      <w:hyperlink r:id="rId12" w:history="1">
        <w:r w:rsidRPr="00461416">
          <w:rPr>
            <w:rStyle w:val="Hipervnculo"/>
            <w:rFonts w:ascii="Arial" w:hAnsi="Arial" w:cs="Arial"/>
            <w:color w:val="000000" w:themeColor="text1"/>
            <w:sz w:val="22"/>
            <w:szCs w:val="22"/>
          </w:rPr>
          <w:t>https://www.colombiacompra.gov.co/mesa-de-servicio</w:t>
        </w:r>
      </w:hyperlink>
      <w:r w:rsidRPr="00461416">
        <w:rPr>
          <w:rFonts w:ascii="Arial" w:hAnsi="Arial" w:cs="Arial"/>
          <w:color w:val="000000" w:themeColor="text1"/>
          <w:sz w:val="22"/>
          <w:szCs w:val="22"/>
        </w:rPr>
        <w:t xml:space="preserve">. </w:t>
      </w:r>
    </w:p>
    <w:p w14:paraId="65DE8889" w14:textId="77777777" w:rsidR="00D77E09" w:rsidRPr="00DD2D97" w:rsidRDefault="00D77E09" w:rsidP="00D77E09">
      <w:pPr>
        <w:spacing w:line="276" w:lineRule="auto"/>
        <w:jc w:val="both"/>
        <w:rPr>
          <w:rFonts w:ascii="Arial" w:eastAsia="Calibri" w:hAnsi="Arial" w:cs="Arial"/>
          <w:b/>
          <w:color w:val="000000" w:themeColor="text1"/>
          <w:sz w:val="22"/>
          <w:lang w:val="es-ES_tradnl"/>
        </w:rPr>
      </w:pPr>
    </w:p>
    <w:p w14:paraId="2528E2F0" w14:textId="77777777" w:rsidR="00D77E09" w:rsidRPr="00DD2D97" w:rsidRDefault="00D77E09" w:rsidP="00D77E09">
      <w:pPr>
        <w:spacing w:line="276" w:lineRule="auto"/>
        <w:jc w:val="both"/>
        <w:rPr>
          <w:rFonts w:ascii="Arial" w:hAnsi="Arial" w:cs="Arial"/>
          <w:sz w:val="22"/>
          <w:lang w:val="es-ES_tradnl"/>
        </w:rPr>
      </w:pPr>
      <w:r w:rsidRPr="00DD2D97">
        <w:rPr>
          <w:rFonts w:ascii="Arial" w:eastAsia="Calibri" w:hAnsi="Arial" w:cs="Arial"/>
          <w:b/>
          <w:color w:val="000000" w:themeColor="text1"/>
          <w:sz w:val="22"/>
          <w:lang w:val="es-ES_tradnl"/>
        </w:rPr>
        <w:t>3. Respuesta</w:t>
      </w:r>
    </w:p>
    <w:p w14:paraId="2C96CBA2" w14:textId="77777777" w:rsidR="00D77E09" w:rsidRPr="00DD2D97" w:rsidRDefault="00D77E09" w:rsidP="00D77E09">
      <w:pPr>
        <w:tabs>
          <w:tab w:val="left" w:pos="0"/>
        </w:tabs>
        <w:jc w:val="both"/>
        <w:rPr>
          <w:rFonts w:ascii="Arial" w:eastAsia="Calibri" w:hAnsi="Arial" w:cs="Arial"/>
          <w:color w:val="000000" w:themeColor="text1"/>
          <w:sz w:val="22"/>
          <w:lang w:val="es-ES_tradnl"/>
        </w:rPr>
      </w:pPr>
    </w:p>
    <w:p w14:paraId="300ED367" w14:textId="0073DCA6" w:rsidR="00D77E09" w:rsidRPr="007C32D7" w:rsidRDefault="008E3A5D" w:rsidP="008E3A5D">
      <w:pPr>
        <w:ind w:left="709" w:right="709"/>
        <w:jc w:val="both"/>
        <w:rPr>
          <w:rFonts w:ascii="Arial" w:hAnsi="Arial" w:cs="Arial"/>
          <w:color w:val="000000" w:themeColor="text1"/>
          <w:sz w:val="22"/>
          <w:lang w:val="es-ES_tradnl"/>
        </w:rPr>
      </w:pPr>
      <w:r w:rsidRPr="00DD2D97">
        <w:rPr>
          <w:rFonts w:ascii="Arial" w:hAnsi="Arial" w:cs="Arial"/>
          <w:color w:val="000000" w:themeColor="text1"/>
          <w:sz w:val="21"/>
          <w:szCs w:val="21"/>
          <w:lang w:val="es-ES_tradnl"/>
        </w:rPr>
        <w:t>«</w:t>
      </w:r>
      <w:r w:rsidRPr="00D1488B">
        <w:rPr>
          <w:rFonts w:ascii="Arial" w:hAnsi="Arial" w:cs="Arial"/>
          <w:color w:val="000000" w:themeColor="text1"/>
          <w:sz w:val="21"/>
          <w:szCs w:val="21"/>
          <w:lang w:val="es-ES_tradnl"/>
        </w:rPr>
        <w:t>consulta si las empresas de servicios públicos domiciliarios y las empresas industriales y comerciales del Estado del orden municipal, se encuentran obligadas a publicar su gestión contractual en la plataforma del SECOP, conforme lo ordenado en el fallo de la Sección Tercera, Subsección B del Consejo de Estado del 25 de febrero de 2021</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43D0F02F" w14:textId="77777777" w:rsidR="00D77E09" w:rsidRPr="00DD2D97" w:rsidRDefault="00D77E09" w:rsidP="00D77E09">
      <w:pPr>
        <w:ind w:left="709" w:right="709"/>
        <w:jc w:val="both"/>
        <w:rPr>
          <w:rFonts w:ascii="Arial" w:hAnsi="Arial" w:cs="Arial"/>
          <w:color w:val="000000" w:themeColor="text1"/>
          <w:sz w:val="21"/>
          <w:szCs w:val="21"/>
          <w:lang w:val="es-ES_tradnl"/>
        </w:rPr>
      </w:pPr>
    </w:p>
    <w:p w14:paraId="419B05C7" w14:textId="76C4B48E" w:rsidR="00D77E09" w:rsidRDefault="0033176E" w:rsidP="00C24701">
      <w:pPr>
        <w:spacing w:after="12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De conformidad con las consideraciones, no puede entenderse que</w:t>
      </w:r>
      <w:r w:rsidR="00D77E09" w:rsidRPr="008B3AFB">
        <w:rPr>
          <w:rFonts w:ascii="Arial" w:hAnsi="Arial" w:cs="Arial"/>
          <w:color w:val="000000" w:themeColor="text1"/>
          <w:sz w:val="22"/>
          <w:szCs w:val="22"/>
          <w:lang w:val="es-ES_tradnl"/>
        </w:rPr>
        <w:t xml:space="preserv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w:t>
      </w:r>
      <w:r w:rsidR="00D77E09">
        <w:rPr>
          <w:rFonts w:ascii="Arial" w:hAnsi="Arial" w:cs="Arial"/>
          <w:color w:val="000000" w:themeColor="text1"/>
          <w:sz w:val="22"/>
          <w:szCs w:val="22"/>
          <w:lang w:val="es-ES_tradnl"/>
        </w:rPr>
        <w:t xml:space="preserve">precisamente </w:t>
      </w:r>
      <w:r w:rsidR="00D77E09" w:rsidRPr="008B3AFB">
        <w:rPr>
          <w:rFonts w:ascii="Arial" w:hAnsi="Arial" w:cs="Arial"/>
          <w:color w:val="000000" w:themeColor="text1"/>
          <w:sz w:val="22"/>
          <w:szCs w:val="22"/>
          <w:lang w:val="es-ES_tradnl"/>
        </w:rPr>
        <w:t>dicho auto indica que el artículo 3, literal c), de la Ley 1150 de 2007 también les resulta aplicable a dichas entidades, independientemente de su régimen contractual. Segundo, porque estas deben garantizar los principios de publicidad y transparencia, previsto</w:t>
      </w:r>
      <w:r w:rsidR="00D77E09">
        <w:rPr>
          <w:rFonts w:ascii="Arial" w:hAnsi="Arial" w:cs="Arial"/>
          <w:color w:val="000000" w:themeColor="text1"/>
          <w:sz w:val="22"/>
          <w:szCs w:val="22"/>
          <w:lang w:val="es-ES_tradnl"/>
        </w:rPr>
        <w:t>s</w:t>
      </w:r>
      <w:r w:rsidR="00D77E09" w:rsidRPr="008B3AFB">
        <w:rPr>
          <w:rFonts w:ascii="Arial" w:hAnsi="Arial" w:cs="Arial"/>
          <w:color w:val="000000" w:themeColor="text1"/>
          <w:sz w:val="22"/>
          <w:szCs w:val="22"/>
          <w:lang w:val="es-ES_tradnl"/>
        </w:rPr>
        <w:t xml:space="preserve"> en los artículos 209 y 74 de la Constitución Política. Tercero,</w:t>
      </w:r>
      <w:r>
        <w:rPr>
          <w:rFonts w:ascii="Arial" w:hAnsi="Arial" w:cs="Arial"/>
          <w:color w:val="000000" w:themeColor="text1"/>
          <w:sz w:val="22"/>
          <w:szCs w:val="22"/>
          <w:lang w:val="es-ES_tradnl"/>
        </w:rPr>
        <w:t xml:space="preserve"> siendo esto bastante relevante,</w:t>
      </w:r>
      <w:r w:rsidR="00D77E09" w:rsidRPr="008B3AFB">
        <w:rPr>
          <w:rFonts w:ascii="Arial" w:hAnsi="Arial" w:cs="Arial"/>
          <w:color w:val="000000" w:themeColor="text1"/>
          <w:sz w:val="22"/>
          <w:szCs w:val="22"/>
          <w:lang w:val="es-ES_tradnl"/>
        </w:rPr>
        <w:t xml:space="preserve"> porque las entidades estatales –incluidas las que se rigen generalmente por el derecho privado en materia contractual–, al ser </w:t>
      </w:r>
      <w:r w:rsidR="00D77E09" w:rsidRPr="008B3AFB">
        <w:rPr>
          <w:rFonts w:ascii="Arial" w:hAnsi="Arial" w:cs="Arial"/>
          <w:i/>
          <w:iCs/>
          <w:color w:val="000000" w:themeColor="text1"/>
          <w:sz w:val="22"/>
          <w:szCs w:val="22"/>
          <w:lang w:val="es-ES_tradnl"/>
        </w:rPr>
        <w:t>sujetos obligados</w:t>
      </w:r>
      <w:r w:rsidR="00D77E09" w:rsidRPr="008B3AFB">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sidR="00D77E09">
        <w:rPr>
          <w:rFonts w:ascii="Arial" w:hAnsi="Arial" w:cs="Arial"/>
          <w:color w:val="000000" w:themeColor="text1"/>
          <w:sz w:val="22"/>
          <w:szCs w:val="22"/>
          <w:lang w:val="es-ES_tradnl"/>
        </w:rPr>
        <w:t>literal e), del artículo 9 y el</w:t>
      </w:r>
      <w:r w:rsidR="00D77E09" w:rsidRPr="008B3AFB">
        <w:rPr>
          <w:rFonts w:ascii="Arial" w:eastAsia="Calibri" w:hAnsi="Arial" w:cs="Arial"/>
          <w:color w:val="000000" w:themeColor="text1"/>
          <w:sz w:val="22"/>
          <w:szCs w:val="22"/>
          <w:lang w:val="es-ES_tradnl"/>
        </w:rPr>
        <w:t xml:space="preserve"> literal g), del artículo 11, de la Ley 1712 de 2014, como los artículos </w:t>
      </w:r>
      <w:r w:rsidR="00D77E09">
        <w:rPr>
          <w:rFonts w:ascii="Arial" w:eastAsia="Calibri" w:hAnsi="Arial" w:cs="Arial"/>
          <w:color w:val="000000" w:themeColor="text1"/>
          <w:sz w:val="22"/>
          <w:szCs w:val="22"/>
          <w:lang w:val="es-ES_tradnl"/>
        </w:rPr>
        <w:t>7</w:t>
      </w:r>
      <w:r w:rsidR="00D77E09" w:rsidRPr="008B3AFB">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00050C0F" w:rsidRPr="008B3AFB">
        <w:rPr>
          <w:rFonts w:ascii="Arial" w:eastAsia="Calibri" w:hAnsi="Arial" w:cs="Arial"/>
          <w:color w:val="000000" w:themeColor="text1"/>
          <w:sz w:val="22"/>
          <w:szCs w:val="22"/>
          <w:lang w:val="es-ES_tradnl"/>
        </w:rPr>
        <w:t>–</w:t>
      </w:r>
      <w:r w:rsidR="00050C0F">
        <w:rPr>
          <w:rFonts w:ascii="Arial" w:eastAsia="Calibri" w:hAnsi="Arial" w:cs="Arial"/>
          <w:color w:val="000000" w:themeColor="text1"/>
          <w:sz w:val="22"/>
          <w:szCs w:val="22"/>
          <w:lang w:val="es-ES_tradnl"/>
        </w:rPr>
        <w:t>, de manera que de estas normas se derivan estos deberes concretos</w:t>
      </w:r>
      <w:r w:rsidR="00D77E09" w:rsidRPr="008B3AFB">
        <w:rPr>
          <w:rFonts w:ascii="Arial" w:hAnsi="Arial" w:cs="Arial"/>
          <w:color w:val="000000" w:themeColor="text1"/>
          <w:sz w:val="22"/>
          <w:szCs w:val="22"/>
          <w:lang w:val="es-ES_tradnl"/>
        </w:rPr>
        <w:t xml:space="preserve">. Cuarto, porque, el auto del 25 de febrero de 2021 no suspende todo el contenido de las </w:t>
      </w:r>
      <w:r w:rsidR="00D77E09" w:rsidRPr="008B3AFB">
        <w:rPr>
          <w:rFonts w:ascii="Arial" w:hAnsi="Arial" w:cs="Arial"/>
          <w:sz w:val="22"/>
          <w:szCs w:val="22"/>
          <w:lang w:val="es-ES_tradnl"/>
        </w:rPr>
        <w:t xml:space="preserve">circulares </w:t>
      </w:r>
      <w:r w:rsidR="00D77E09" w:rsidRPr="008B3AFB">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00D77E09" w:rsidRPr="008B3AFB">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r w:rsidR="00D77E09" w:rsidRPr="008B3AFB">
        <w:rPr>
          <w:rFonts w:ascii="Arial" w:hAnsi="Arial" w:cs="Arial"/>
          <w:color w:val="000000" w:themeColor="text1"/>
          <w:sz w:val="22"/>
          <w:szCs w:val="22"/>
          <w:lang w:val="es-ES_tradnl"/>
        </w:rPr>
        <w:t xml:space="preserve"> </w:t>
      </w:r>
    </w:p>
    <w:p w14:paraId="3CE580A2" w14:textId="5921AD54" w:rsidR="00EB6A84" w:rsidRPr="00461416" w:rsidRDefault="00EB6A84" w:rsidP="00C24701">
      <w:pPr>
        <w:spacing w:after="120" w:line="276" w:lineRule="auto"/>
        <w:ind w:firstLine="709"/>
        <w:jc w:val="both"/>
        <w:rPr>
          <w:rFonts w:ascii="Arial" w:eastAsia="Calibri" w:hAnsi="Arial" w:cs="Arial"/>
          <w:bCs/>
          <w:color w:val="000000" w:themeColor="text1"/>
          <w:sz w:val="22"/>
          <w:szCs w:val="22"/>
        </w:rPr>
      </w:pPr>
      <w:r w:rsidRPr="00A5491D">
        <w:rPr>
          <w:rFonts w:ascii="Arial" w:eastAsia="Calibri" w:hAnsi="Arial" w:cs="Arial"/>
          <w:bCs/>
          <w:color w:val="000000" w:themeColor="text1"/>
          <w:sz w:val="22"/>
        </w:rPr>
        <w:t xml:space="preserve">Para saber si la publicación debe hacerse en el SECOP II habrá que consultar, por un lado, </w:t>
      </w:r>
      <w:r>
        <w:rPr>
          <w:rFonts w:ascii="Arial" w:eastAsia="Calibri" w:hAnsi="Arial" w:cs="Arial"/>
          <w:bCs/>
          <w:color w:val="000000" w:themeColor="text1"/>
          <w:sz w:val="22"/>
        </w:rPr>
        <w:t>las</w:t>
      </w:r>
      <w:r w:rsidRPr="00A5491D">
        <w:rPr>
          <w:rFonts w:ascii="Arial" w:eastAsia="Calibri" w:hAnsi="Arial" w:cs="Arial"/>
          <w:bCs/>
          <w:color w:val="000000" w:themeColor="text1"/>
          <w:sz w:val="22"/>
        </w:rPr>
        <w:t xml:space="preserve"> Circular</w:t>
      </w:r>
      <w:r>
        <w:rPr>
          <w:rFonts w:ascii="Arial" w:eastAsia="Calibri" w:hAnsi="Arial" w:cs="Arial"/>
          <w:bCs/>
          <w:color w:val="000000" w:themeColor="text1"/>
          <w:sz w:val="22"/>
        </w:rPr>
        <w:t>es</w:t>
      </w:r>
      <w:r w:rsidRPr="00A5491D">
        <w:rPr>
          <w:rFonts w:ascii="Arial" w:eastAsia="Calibri" w:hAnsi="Arial" w:cs="Arial"/>
          <w:bCs/>
          <w:color w:val="000000" w:themeColor="text1"/>
          <w:sz w:val="22"/>
        </w:rPr>
        <w:t xml:space="preserve"> Externa</w:t>
      </w:r>
      <w:r>
        <w:rPr>
          <w:rFonts w:ascii="Arial" w:eastAsia="Calibri" w:hAnsi="Arial" w:cs="Arial"/>
          <w:bCs/>
          <w:color w:val="000000" w:themeColor="text1"/>
          <w:sz w:val="22"/>
        </w:rPr>
        <w:t>s</w:t>
      </w:r>
      <w:r w:rsidRPr="00A5491D">
        <w:rPr>
          <w:rFonts w:ascii="Arial" w:eastAsia="Calibri" w:hAnsi="Arial" w:cs="Arial"/>
          <w:bCs/>
          <w:color w:val="000000" w:themeColor="text1"/>
          <w:sz w:val="22"/>
        </w:rPr>
        <w:t xml:space="preserve"> 1 de 2019</w:t>
      </w:r>
      <w:r>
        <w:rPr>
          <w:rFonts w:ascii="Arial" w:eastAsia="Calibri" w:hAnsi="Arial" w:cs="Arial"/>
          <w:bCs/>
          <w:color w:val="000000" w:themeColor="text1"/>
          <w:sz w:val="22"/>
        </w:rPr>
        <w:t xml:space="preserve"> y de 2021</w:t>
      </w:r>
      <w:r w:rsidRPr="00A5491D">
        <w:rPr>
          <w:rFonts w:ascii="Arial" w:eastAsia="Calibri" w:hAnsi="Arial" w:cs="Arial"/>
          <w:bCs/>
          <w:color w:val="000000" w:themeColor="text1"/>
          <w:sz w:val="22"/>
        </w:rPr>
        <w:t>, así como las circulares externas 2 y 3</w:t>
      </w:r>
      <w:r w:rsidR="00050C0F">
        <w:rPr>
          <w:rFonts w:ascii="Arial" w:eastAsia="Calibri" w:hAnsi="Arial" w:cs="Arial"/>
          <w:bCs/>
          <w:color w:val="000000" w:themeColor="text1"/>
          <w:sz w:val="22"/>
        </w:rPr>
        <w:t>,</w:t>
      </w:r>
      <w:r w:rsidRPr="00A5491D">
        <w:rPr>
          <w:rFonts w:ascii="Arial" w:eastAsia="Calibri" w:hAnsi="Arial" w:cs="Arial"/>
          <w:bCs/>
          <w:color w:val="000000" w:themeColor="text1"/>
          <w:sz w:val="22"/>
        </w:rPr>
        <w:t xml:space="preserve"> y por el otro, establecer si no existe una disposición normativa que establezca el deber de publicar en el SECOP II, como es el caso de la contratación regida por el Decreto 92 de 2017 o la contratación relacionada con los contratos fiduciarios y la «contratación derivada» de estos. </w:t>
      </w:r>
    </w:p>
    <w:p w14:paraId="4B84A662" w14:textId="156C9258" w:rsidR="00EB6A84" w:rsidRPr="00EB6A84" w:rsidRDefault="00EB6A84" w:rsidP="00C24701">
      <w:pPr>
        <w:pStyle w:val="paragraph"/>
        <w:spacing w:before="0" w:beforeAutospacing="0" w:after="120" w:afterAutospacing="0" w:line="276" w:lineRule="auto"/>
        <w:ind w:right="45" w:firstLine="709"/>
        <w:jc w:val="both"/>
        <w:textAlignment w:val="baseline"/>
        <w:rPr>
          <w:rStyle w:val="normaltextrun"/>
          <w:rFonts w:ascii="Arial" w:eastAsia="Calibri" w:hAnsi="Arial" w:cs="Arial"/>
          <w:bCs/>
          <w:color w:val="000000" w:themeColor="text1"/>
          <w:sz w:val="22"/>
          <w:szCs w:val="22"/>
          <w:lang w:eastAsia="es-ES_tradnl"/>
        </w:rPr>
      </w:pPr>
      <w:r>
        <w:rPr>
          <w:rFonts w:ascii="Arial" w:eastAsia="Calibri" w:hAnsi="Arial" w:cs="Arial"/>
          <w:bCs/>
          <w:color w:val="000000" w:themeColor="text1"/>
          <w:sz w:val="22"/>
          <w:szCs w:val="22"/>
          <w:lang w:eastAsia="es-ES_tradnl"/>
        </w:rPr>
        <w:lastRenderedPageBreak/>
        <w:t>En todo caso</w:t>
      </w:r>
      <w:r w:rsidRPr="00461416">
        <w:rPr>
          <w:rFonts w:ascii="Arial" w:eastAsia="Calibri" w:hAnsi="Arial" w:cs="Arial"/>
          <w:bCs/>
          <w:color w:val="000000" w:themeColor="text1"/>
          <w:sz w:val="22"/>
          <w:szCs w:val="22"/>
          <w:lang w:eastAsia="es-ES_tradnl"/>
        </w:rPr>
        <w:t xml:space="preserve">, </w:t>
      </w:r>
      <w:r>
        <w:rPr>
          <w:rFonts w:ascii="Arial" w:eastAsia="Calibri" w:hAnsi="Arial" w:cs="Arial"/>
          <w:bCs/>
          <w:color w:val="000000" w:themeColor="text1"/>
          <w:sz w:val="22"/>
          <w:szCs w:val="22"/>
          <w:lang w:eastAsia="es-ES_tradnl"/>
        </w:rPr>
        <w:t>que una entidad en particular aún no se encuentre obligada a hacer uso del SECOP II, implica que</w:t>
      </w:r>
      <w:r w:rsidRPr="00461416">
        <w:rPr>
          <w:rFonts w:ascii="Arial" w:eastAsia="Calibri" w:hAnsi="Arial" w:cs="Arial"/>
          <w:bCs/>
          <w:color w:val="000000" w:themeColor="text1"/>
          <w:sz w:val="22"/>
          <w:szCs w:val="22"/>
          <w:lang w:eastAsia="es-ES_tradnl"/>
        </w:rPr>
        <w:t xml:space="preserve"> debe seguir adelantado y gestionando </w:t>
      </w:r>
      <w:r>
        <w:rPr>
          <w:rFonts w:ascii="Arial" w:eastAsia="Calibri" w:hAnsi="Arial" w:cs="Arial"/>
          <w:bCs/>
          <w:color w:val="000000" w:themeColor="text1"/>
          <w:sz w:val="22"/>
          <w:szCs w:val="22"/>
          <w:lang w:eastAsia="es-ES_tradnl"/>
        </w:rPr>
        <w:t xml:space="preserve">la publicidad de </w:t>
      </w:r>
      <w:r w:rsidRPr="00461416">
        <w:rPr>
          <w:rFonts w:ascii="Arial" w:eastAsia="Calibri" w:hAnsi="Arial" w:cs="Arial"/>
          <w:bCs/>
          <w:color w:val="000000" w:themeColor="text1"/>
          <w:sz w:val="22"/>
          <w:szCs w:val="22"/>
          <w:lang w:eastAsia="es-ES_tradnl"/>
        </w:rPr>
        <w:t xml:space="preserve">sus procesos de contratación </w:t>
      </w:r>
      <w:r w:rsidR="00050C0F">
        <w:rPr>
          <w:rFonts w:ascii="Arial" w:eastAsia="Calibri" w:hAnsi="Arial" w:cs="Arial"/>
          <w:bCs/>
          <w:color w:val="000000" w:themeColor="text1"/>
          <w:sz w:val="22"/>
          <w:szCs w:val="22"/>
          <w:lang w:eastAsia="es-ES_tradnl"/>
        </w:rPr>
        <w:t>mediante el</w:t>
      </w:r>
      <w:r w:rsidRPr="00461416">
        <w:rPr>
          <w:rFonts w:ascii="Arial" w:eastAsia="Calibri" w:hAnsi="Arial" w:cs="Arial"/>
          <w:bCs/>
          <w:color w:val="000000" w:themeColor="text1"/>
          <w:sz w:val="22"/>
          <w:szCs w:val="22"/>
          <w:lang w:eastAsia="es-ES_tradnl"/>
        </w:rPr>
        <w:t xml:space="preserve"> SECOP I con excepción de los procesos de contratación derivados de la aplicación del Decreto 92 de 2017</w:t>
      </w:r>
      <w:r>
        <w:rPr>
          <w:rFonts w:ascii="Arial" w:eastAsia="Calibri" w:hAnsi="Arial" w:cs="Arial"/>
          <w:bCs/>
          <w:color w:val="000000" w:themeColor="text1"/>
          <w:sz w:val="22"/>
          <w:szCs w:val="22"/>
          <w:lang w:eastAsia="es-ES_tradnl"/>
        </w:rPr>
        <w:t xml:space="preserve">, </w:t>
      </w:r>
      <w:r w:rsidR="00050C0F">
        <w:rPr>
          <w:rFonts w:ascii="Arial" w:eastAsia="Calibri" w:hAnsi="Arial" w:cs="Arial"/>
          <w:bCs/>
          <w:color w:val="000000" w:themeColor="text1"/>
          <w:sz w:val="22"/>
          <w:szCs w:val="22"/>
          <w:lang w:eastAsia="es-ES_tradnl"/>
        </w:rPr>
        <w:t>los cuales</w:t>
      </w:r>
      <w:r>
        <w:rPr>
          <w:rFonts w:ascii="Arial" w:eastAsia="Calibri" w:hAnsi="Arial" w:cs="Arial"/>
          <w:bCs/>
          <w:color w:val="000000" w:themeColor="text1"/>
          <w:sz w:val="22"/>
          <w:szCs w:val="22"/>
          <w:lang w:eastAsia="es-ES_tradnl"/>
        </w:rPr>
        <w:t>deben gestionarse a través del SECOP II.</w:t>
      </w:r>
    </w:p>
    <w:p w14:paraId="454E7B54" w14:textId="33AD3B2C" w:rsidR="00412C6C" w:rsidRPr="00461416" w:rsidRDefault="00070F50" w:rsidP="00C24701">
      <w:pPr>
        <w:pStyle w:val="paragraph"/>
        <w:spacing w:before="0" w:beforeAutospacing="0" w:line="276" w:lineRule="auto"/>
        <w:ind w:right="45" w:firstLine="709"/>
        <w:jc w:val="both"/>
        <w:textAlignment w:val="baseline"/>
        <w:rPr>
          <w:rFonts w:ascii="Arial" w:eastAsiaTheme="minorHAnsi" w:hAnsi="Arial" w:cs="Arial"/>
          <w:color w:val="000000" w:themeColor="text1"/>
          <w:sz w:val="22"/>
          <w:szCs w:val="22"/>
          <w:lang w:eastAsia="en-US"/>
        </w:rPr>
      </w:pPr>
      <w:r>
        <w:rPr>
          <w:rStyle w:val="normaltextrun"/>
          <w:rFonts w:ascii="Arial" w:hAnsi="Arial" w:cs="Arial"/>
          <w:color w:val="000000" w:themeColor="text1"/>
          <w:sz w:val="22"/>
          <w:szCs w:val="22"/>
        </w:rPr>
        <w:t>Finalmente</w:t>
      </w:r>
      <w:r w:rsidR="00412C6C">
        <w:rPr>
          <w:rStyle w:val="normaltextrun"/>
          <w:rFonts w:ascii="Arial" w:hAnsi="Arial" w:cs="Arial"/>
          <w:color w:val="000000" w:themeColor="text1"/>
          <w:sz w:val="22"/>
          <w:szCs w:val="22"/>
        </w:rPr>
        <w:t>, le informamos que, a</w:t>
      </w:r>
      <w:r w:rsidR="00412C6C" w:rsidRPr="00461416">
        <w:rPr>
          <w:rStyle w:val="normaltextrun"/>
          <w:rFonts w:ascii="Arial" w:hAnsi="Arial" w:cs="Arial"/>
          <w:color w:val="000000" w:themeColor="text1"/>
          <w:sz w:val="22"/>
          <w:szCs w:val="22"/>
        </w:rPr>
        <w:t xml:space="preserve">ctualmente, la Agencia Nacional de Contratación Pública </w:t>
      </w:r>
      <w:r w:rsidR="00050C0F">
        <w:rPr>
          <w:rStyle w:val="normaltextrun"/>
          <w:rFonts w:ascii="Arial" w:hAnsi="Arial" w:cs="Arial"/>
          <w:color w:val="000000" w:themeColor="text1"/>
          <w:sz w:val="22"/>
          <w:szCs w:val="22"/>
        </w:rPr>
        <w:t>–</w:t>
      </w:r>
      <w:r w:rsidR="00412C6C"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sea establecida, la ANCP – CCE, notificará con la suficiente anticipación</w:t>
      </w:r>
      <w:r w:rsidR="00412C6C">
        <w:rPr>
          <w:rStyle w:val="normaltextrun"/>
          <w:rFonts w:ascii="Arial" w:hAnsi="Arial" w:cs="Arial"/>
          <w:color w:val="000000" w:themeColor="text1"/>
          <w:sz w:val="22"/>
          <w:szCs w:val="22"/>
        </w:rPr>
        <w:t>,</w:t>
      </w:r>
      <w:r w:rsidR="00412C6C" w:rsidRPr="00461416">
        <w:rPr>
          <w:rStyle w:val="normaltextrun"/>
          <w:rFonts w:ascii="Arial" w:hAnsi="Arial" w:cs="Arial"/>
          <w:color w:val="000000" w:themeColor="text1"/>
          <w:sz w:val="22"/>
          <w:szCs w:val="22"/>
        </w:rPr>
        <w:t xml:space="preserve"> a través los canales de comunicación oficiales</w:t>
      </w:r>
      <w:r w:rsidR="00412C6C">
        <w:rPr>
          <w:rStyle w:val="normaltextrun"/>
          <w:rFonts w:ascii="Arial" w:hAnsi="Arial" w:cs="Arial"/>
          <w:color w:val="000000" w:themeColor="text1"/>
          <w:sz w:val="22"/>
          <w:szCs w:val="22"/>
        </w:rPr>
        <w:t>,</w:t>
      </w:r>
      <w:r w:rsidR="00412C6C"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165115C2" w14:textId="77777777" w:rsidR="00412C6C" w:rsidRDefault="00412C6C" w:rsidP="00D77E09">
      <w:pPr>
        <w:spacing w:line="276" w:lineRule="auto"/>
        <w:jc w:val="both"/>
        <w:rPr>
          <w:rFonts w:ascii="Arial" w:hAnsi="Arial" w:cs="Arial"/>
          <w:color w:val="000000" w:themeColor="text1"/>
          <w:sz w:val="22"/>
          <w:lang w:val="es-ES_tradnl"/>
        </w:rPr>
      </w:pPr>
    </w:p>
    <w:p w14:paraId="000F2CB1" w14:textId="18DAA0A2" w:rsidR="00D77E09" w:rsidRPr="00DD2D97" w:rsidRDefault="00D77E09" w:rsidP="00D77E0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61322B49" w14:textId="77777777" w:rsidR="00D77E09" w:rsidRPr="00DD2D97" w:rsidRDefault="00D77E09" w:rsidP="00D77E0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37712" w14:textId="77777777" w:rsidR="00D77E09" w:rsidRPr="00DD2D97" w:rsidRDefault="00D77E09" w:rsidP="00D77E09">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2D97">
        <w:rPr>
          <w:rFonts w:ascii="Arial" w:hAnsi="Arial" w:cs="Arial"/>
          <w:color w:val="000000" w:themeColor="text1"/>
          <w:sz w:val="22"/>
          <w:szCs w:val="22"/>
          <w:lang w:val="es-ES_tradnl"/>
        </w:rPr>
        <w:t>Atentamente,</w:t>
      </w:r>
    </w:p>
    <w:p w14:paraId="6BEBD610" w14:textId="77777777" w:rsidR="00D77E09" w:rsidRPr="00DD2D97" w:rsidRDefault="00D77E09" w:rsidP="00D77E0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1800C90" w14:textId="7F2DCD75" w:rsidR="00D77E09" w:rsidRPr="00DD2D97" w:rsidRDefault="00DE35D6" w:rsidP="00D77E09">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F508B38" wp14:editId="7BA189BB">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86EC7C1" w14:textId="77777777" w:rsidR="00D77E09" w:rsidRPr="00DD2D97" w:rsidRDefault="00D77E09" w:rsidP="00D77E09">
      <w:pPr>
        <w:jc w:val="center"/>
        <w:rPr>
          <w:rFonts w:ascii="Arial" w:hAnsi="Arial" w:cs="Arial"/>
          <w:color w:val="000000" w:themeColor="text1"/>
          <w:sz w:val="18"/>
          <w:szCs w:val="20"/>
          <w:lang w:val="es-ES_tradnl" w:eastAsia="es-CO"/>
        </w:rPr>
      </w:pPr>
    </w:p>
    <w:p w14:paraId="0CF20FFB" w14:textId="77777777" w:rsidR="00D77E09" w:rsidRPr="00DD2D97" w:rsidRDefault="00D77E09" w:rsidP="00D77E09">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77E09" w:rsidRPr="00DD2D97" w14:paraId="391B621B" w14:textId="77777777" w:rsidTr="00D60C40">
        <w:trPr>
          <w:trHeight w:val="315"/>
        </w:trPr>
        <w:tc>
          <w:tcPr>
            <w:tcW w:w="812" w:type="dxa"/>
            <w:vAlign w:val="center"/>
            <w:hideMark/>
          </w:tcPr>
          <w:p w14:paraId="3D5BD3FF"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6E09FE1" w14:textId="77777777" w:rsidR="00D77E09" w:rsidRPr="00DD2D97" w:rsidRDefault="00D77E09" w:rsidP="00D60C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Nathalia Urrego Jiménez</w:t>
            </w:r>
          </w:p>
          <w:p w14:paraId="72621DBA"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Contratista de la Subdirección de Gestión Contractual</w:t>
            </w:r>
          </w:p>
        </w:tc>
      </w:tr>
      <w:tr w:rsidR="00D77E09" w:rsidRPr="00DD2D97" w14:paraId="0B4A42EA" w14:textId="77777777" w:rsidTr="00D60C40">
        <w:trPr>
          <w:trHeight w:val="330"/>
        </w:trPr>
        <w:tc>
          <w:tcPr>
            <w:tcW w:w="812" w:type="dxa"/>
            <w:vAlign w:val="center"/>
            <w:hideMark/>
          </w:tcPr>
          <w:p w14:paraId="6A8F7142"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BF8EDCF" w14:textId="77777777" w:rsidR="00D77E09" w:rsidRPr="00DD2D97" w:rsidRDefault="00D77E09" w:rsidP="00D60C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37C7E934"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Gestor T1-15 de la Subdirección de Gestión Contractual</w:t>
            </w:r>
          </w:p>
        </w:tc>
      </w:tr>
      <w:tr w:rsidR="00D77E09" w:rsidRPr="00DD2D97" w14:paraId="7D582EC9" w14:textId="77777777" w:rsidTr="00D60C40">
        <w:trPr>
          <w:trHeight w:val="300"/>
        </w:trPr>
        <w:tc>
          <w:tcPr>
            <w:tcW w:w="812" w:type="dxa"/>
            <w:vAlign w:val="center"/>
            <w:hideMark/>
          </w:tcPr>
          <w:p w14:paraId="3AF5C860"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14DBA7"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Jorge Augusto Tirado Navarro</w:t>
            </w:r>
          </w:p>
          <w:p w14:paraId="753B41CC" w14:textId="77777777" w:rsidR="00D77E09" w:rsidRPr="00DD2D97" w:rsidRDefault="00D77E0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Subdirector de Gestión Contractual ANCP – CCE</w:t>
            </w:r>
          </w:p>
        </w:tc>
      </w:tr>
    </w:tbl>
    <w:p w14:paraId="0270BCF1" w14:textId="77777777" w:rsidR="00CE7CA5" w:rsidRDefault="009D78DD"/>
    <w:sectPr w:rsidR="00CE7CA5"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88E21" w14:textId="77777777" w:rsidR="00D77E09" w:rsidRDefault="00D77E09" w:rsidP="00D77E09">
      <w:r>
        <w:separator/>
      </w:r>
    </w:p>
  </w:endnote>
  <w:endnote w:type="continuationSeparator" w:id="0">
    <w:p w14:paraId="29893711" w14:textId="77777777" w:rsidR="00D77E09" w:rsidRDefault="00D77E09" w:rsidP="00D77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0C03" w14:textId="77777777" w:rsidR="003D3D44" w:rsidRDefault="009D78DD" w:rsidP="00322937">
    <w:pPr>
      <w:pStyle w:val="Sinespaciado"/>
      <w:jc w:val="right"/>
      <w:rPr>
        <w:rFonts w:ascii="Arial" w:hAnsi="Arial" w:cs="Arial"/>
        <w:sz w:val="18"/>
        <w:szCs w:val="18"/>
      </w:rPr>
    </w:pPr>
  </w:p>
  <w:p w14:paraId="0E6AC57B" w14:textId="77777777" w:rsidR="003D3D44" w:rsidRPr="008217B7" w:rsidRDefault="00D5431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3126B2DC" w14:textId="77777777" w:rsidR="003D3D44" w:rsidRDefault="00D5431F" w:rsidP="00322937">
    <w:pPr>
      <w:pStyle w:val="Piedepgina"/>
      <w:jc w:val="center"/>
      <w:rPr>
        <w:lang w:val="es-ES"/>
      </w:rPr>
    </w:pPr>
    <w:r>
      <w:rPr>
        <w:noProof/>
        <w:lang w:val="es-ES_tradnl" w:eastAsia="es-ES_tradnl"/>
      </w:rPr>
      <w:drawing>
        <wp:inline distT="0" distB="0" distL="0" distR="0" wp14:anchorId="4CA7D314" wp14:editId="5D59720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4A87E16" w14:textId="77777777" w:rsidR="003D3D44" w:rsidRDefault="009D78DD" w:rsidP="007B0854">
    <w:pPr>
      <w:pStyle w:val="Piedepgina"/>
      <w:jc w:val="center"/>
      <w:rPr>
        <w:lang w:val="es-ES"/>
      </w:rPr>
    </w:pPr>
  </w:p>
  <w:p w14:paraId="3EF9D581" w14:textId="77777777" w:rsidR="003D3D44" w:rsidRPr="007B0854" w:rsidRDefault="009D78D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8C931" w14:textId="77777777" w:rsidR="00D77E09" w:rsidRDefault="00D77E09" w:rsidP="00D77E09">
      <w:r>
        <w:separator/>
      </w:r>
    </w:p>
  </w:footnote>
  <w:footnote w:type="continuationSeparator" w:id="0">
    <w:p w14:paraId="01AF9FE5" w14:textId="77777777" w:rsidR="00D77E09" w:rsidRDefault="00D77E09" w:rsidP="00D77E09">
      <w:r>
        <w:continuationSeparator/>
      </w:r>
    </w:p>
  </w:footnote>
  <w:footnote w:id="1">
    <w:p w14:paraId="61E9A370" w14:textId="77777777" w:rsidR="00C24701" w:rsidRDefault="00C24701" w:rsidP="00C24701">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p w14:paraId="5B2FE55D" w14:textId="77777777" w:rsidR="00C24701" w:rsidRPr="00FF38ED" w:rsidRDefault="00C24701" w:rsidP="00C24701">
      <w:pPr>
        <w:pStyle w:val="Textonotapie"/>
        <w:ind w:firstLine="709"/>
        <w:jc w:val="both"/>
        <w:rPr>
          <w:rFonts w:ascii="Arial" w:hAnsi="Arial" w:cs="Arial"/>
          <w:sz w:val="19"/>
          <w:szCs w:val="19"/>
        </w:rPr>
      </w:pPr>
    </w:p>
  </w:footnote>
  <w:footnote w:id="2">
    <w:p w14:paraId="4B77F5CB" w14:textId="77777777" w:rsidR="00D77E09" w:rsidRPr="00FF38ED" w:rsidRDefault="00D77E09" w:rsidP="00D77E09">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sz w:val="19"/>
          <w:szCs w:val="19"/>
          <w:lang w:val="es-ES"/>
        </w:rPr>
        <w:t>BOBBIO, Norberto. Democracia y secreto. México: Fondo de Cultura Económica, 2013</w:t>
      </w:r>
      <w:r>
        <w:rPr>
          <w:rFonts w:ascii="Arial" w:hAnsi="Arial" w:cs="Arial"/>
          <w:sz w:val="19"/>
          <w:szCs w:val="19"/>
          <w:lang w:val="es-ES"/>
        </w:rPr>
        <w:t>.</w:t>
      </w:r>
      <w:r w:rsidRPr="00FF38ED">
        <w:rPr>
          <w:rFonts w:ascii="Arial" w:hAnsi="Arial" w:cs="Arial"/>
          <w:sz w:val="19"/>
          <w:szCs w:val="19"/>
          <w:lang w:val="es-ES"/>
        </w:rPr>
        <w:t xml:space="preserve"> p. 27.</w:t>
      </w:r>
    </w:p>
  </w:footnote>
  <w:footnote w:id="3">
    <w:p w14:paraId="541D4DA1" w14:textId="77777777" w:rsidR="00D77E09" w:rsidRDefault="00D77E09" w:rsidP="00D77E09">
      <w:pPr>
        <w:pStyle w:val="Textonotapie"/>
        <w:ind w:firstLine="709"/>
        <w:jc w:val="both"/>
        <w:rPr>
          <w:rFonts w:ascii="Arial" w:hAnsi="Arial" w:cs="Arial"/>
          <w:color w:val="000000" w:themeColor="text1"/>
          <w:sz w:val="19"/>
          <w:szCs w:val="19"/>
        </w:rPr>
      </w:pPr>
    </w:p>
    <w:p w14:paraId="0337EE03"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Corte Constitucional. Sentencia C- 341 del 4 de junio de 2014. M. P. Mauricio González Cuervo.</w:t>
      </w:r>
    </w:p>
    <w:p w14:paraId="13B2985F" w14:textId="77777777" w:rsidR="00D77E09" w:rsidRPr="00FF38ED" w:rsidRDefault="00D77E09" w:rsidP="00D77E09">
      <w:pPr>
        <w:pStyle w:val="Textonotapie"/>
        <w:ind w:firstLine="709"/>
        <w:jc w:val="both"/>
        <w:rPr>
          <w:rFonts w:ascii="Arial" w:hAnsi="Arial" w:cs="Arial"/>
          <w:color w:val="000000" w:themeColor="text1"/>
          <w:sz w:val="19"/>
          <w:szCs w:val="19"/>
        </w:rPr>
      </w:pPr>
    </w:p>
  </w:footnote>
  <w:footnote w:id="4">
    <w:p w14:paraId="458C3F98"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07074D9"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 anterior, sin perjuicio de las publicaciones previstas en el numeral 3 del artículo 30 de la Ley 80 de 1993.</w:t>
      </w:r>
    </w:p>
    <w:p w14:paraId="653F7F5F"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500657D9"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w:t>
      </w:r>
    </w:p>
    <w:p w14:paraId="1E64EEBC"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127600A"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5">
    <w:p w14:paraId="7E9C2CE1"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872BE5B"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6">
    <w:p w14:paraId="74FD8465"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CCD00A4"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F9E676D"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7">
    <w:p w14:paraId="1AF27DE4"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eastAsia="Times New Roman" w:hAnsi="Arial" w:cs="Arial"/>
          <w:color w:val="000000" w:themeColor="text1"/>
          <w:sz w:val="19"/>
          <w:szCs w:val="19"/>
          <w:vertAlign w:val="superscript"/>
          <w:lang w:val="es-ES" w:eastAsia="es-ES"/>
        </w:rPr>
        <w:footnoteRef/>
      </w:r>
      <w:r w:rsidRPr="00FF38ED">
        <w:rPr>
          <w:rFonts w:ascii="Arial" w:eastAsia="Times New Roman" w:hAnsi="Arial" w:cs="Arial"/>
          <w:color w:val="000000" w:themeColor="text1"/>
          <w:sz w:val="19"/>
          <w:szCs w:val="19"/>
          <w:vertAlign w:val="superscript"/>
          <w:lang w:val="es-ES" w:eastAsia="es-ES"/>
        </w:rPr>
        <w:t xml:space="preserve"> </w:t>
      </w:r>
      <w:r w:rsidRPr="00FF38ED">
        <w:rPr>
          <w:rFonts w:ascii="Arial" w:eastAsia="Times New Roman" w:hAnsi="Arial" w:cs="Arial"/>
          <w:color w:val="000000" w:themeColor="text1"/>
          <w:sz w:val="19"/>
          <w:szCs w:val="19"/>
          <w:lang w:val="es-ES" w:eastAsia="es-ES"/>
        </w:rPr>
        <w:t>«</w:t>
      </w:r>
      <w:r w:rsidRPr="00FF38E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3D45DA1" w14:textId="77777777" w:rsidR="00D77E09" w:rsidRPr="00FF38ED" w:rsidRDefault="00D77E09" w:rsidP="00D77E09">
      <w:pPr>
        <w:pStyle w:val="Textonotapie"/>
        <w:ind w:firstLine="709"/>
        <w:jc w:val="both"/>
        <w:rPr>
          <w:rFonts w:ascii="Arial" w:eastAsia="Times New Roman" w:hAnsi="Arial" w:cs="Arial"/>
          <w:color w:val="000000" w:themeColor="text1"/>
          <w:sz w:val="19"/>
          <w:szCs w:val="19"/>
          <w:lang w:val="es-ES" w:eastAsia="es-ES"/>
        </w:rPr>
      </w:pPr>
      <w:r w:rsidRPr="00FF38ED">
        <w:rPr>
          <w:rFonts w:ascii="Arial" w:hAnsi="Arial" w:cs="Arial"/>
          <w:color w:val="000000" w:themeColor="text1"/>
          <w:sz w:val="19"/>
          <w:szCs w:val="19"/>
        </w:rPr>
        <w:t>[…].</w:t>
      </w:r>
    </w:p>
    <w:p w14:paraId="6518E677" w14:textId="77777777" w:rsidR="00D77E09" w:rsidRPr="00FF38ED" w:rsidRDefault="00D77E09" w:rsidP="00D77E09">
      <w:pPr>
        <w:pStyle w:val="Textonotapie"/>
        <w:ind w:firstLine="709"/>
        <w:jc w:val="both"/>
        <w:rPr>
          <w:rFonts w:ascii="Arial" w:eastAsia="Times New Roman" w:hAnsi="Arial" w:cs="Arial"/>
          <w:color w:val="000000" w:themeColor="text1"/>
          <w:sz w:val="19"/>
          <w:szCs w:val="19"/>
          <w:lang w:val="es-ES" w:eastAsia="es-ES"/>
        </w:rPr>
      </w:pPr>
      <w:r w:rsidRPr="00FF38E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74E628A" w14:textId="77777777" w:rsidR="00D77E09" w:rsidRPr="00FF38ED" w:rsidRDefault="00D77E09" w:rsidP="00D77E09">
      <w:pPr>
        <w:pStyle w:val="Textonotapie"/>
        <w:ind w:firstLine="709"/>
        <w:jc w:val="both"/>
        <w:rPr>
          <w:rFonts w:ascii="Arial" w:eastAsia="Times New Roman" w:hAnsi="Arial" w:cs="Arial"/>
          <w:color w:val="000000" w:themeColor="text1"/>
          <w:sz w:val="19"/>
          <w:szCs w:val="19"/>
          <w:lang w:val="es-ES" w:eastAsia="es-ES"/>
        </w:rPr>
      </w:pPr>
    </w:p>
  </w:footnote>
  <w:footnote w:id="8">
    <w:p w14:paraId="6526EC8C"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w:t>
      </w:r>
      <w:r>
        <w:rPr>
          <w:rFonts w:ascii="Arial" w:eastAsia="Times New Roman" w:hAnsi="Arial" w:cs="Arial"/>
          <w:color w:val="000000" w:themeColor="text1"/>
          <w:sz w:val="19"/>
          <w:szCs w:val="19"/>
          <w:lang w:val="es-ES" w:eastAsia="es-ES"/>
        </w:rPr>
        <w:t xml:space="preserve">orte </w:t>
      </w:r>
      <w:r w:rsidRPr="00FF38ED">
        <w:rPr>
          <w:rFonts w:ascii="Arial" w:eastAsia="Times New Roman" w:hAnsi="Arial" w:cs="Arial"/>
          <w:color w:val="000000" w:themeColor="text1"/>
          <w:sz w:val="19"/>
          <w:szCs w:val="19"/>
          <w:lang w:val="es-ES" w:eastAsia="es-ES"/>
        </w:rPr>
        <w:t>Constitucional. Sentencia C</w:t>
      </w:r>
      <w:r>
        <w:rPr>
          <w:rFonts w:ascii="Arial" w:eastAsia="Times New Roman" w:hAnsi="Arial" w:cs="Arial"/>
          <w:color w:val="000000" w:themeColor="text1"/>
          <w:sz w:val="19"/>
          <w:szCs w:val="19"/>
          <w:lang w:val="es-ES" w:eastAsia="es-ES"/>
        </w:rPr>
        <w:t>‒</w:t>
      </w:r>
      <w:r w:rsidRPr="00FF38ED">
        <w:rPr>
          <w:rFonts w:ascii="Arial" w:eastAsia="Times New Roman" w:hAnsi="Arial" w:cs="Arial"/>
          <w:color w:val="000000" w:themeColor="text1"/>
          <w:sz w:val="19"/>
          <w:szCs w:val="19"/>
          <w:lang w:val="es-ES" w:eastAsia="es-ES"/>
        </w:rPr>
        <w:t xml:space="preserve">274 de 9 de mayo de 2013. M.P. María Victoria Calle Correa. </w:t>
      </w:r>
    </w:p>
    <w:p w14:paraId="214D9B57"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9">
    <w:p w14:paraId="394D2256" w14:textId="77777777" w:rsidR="00D77E09"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F2B0CE4"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10">
    <w:p w14:paraId="119A63E4" w14:textId="77777777" w:rsidR="00D77E09" w:rsidRPr="00FF38ED" w:rsidRDefault="00D77E09" w:rsidP="00D77E09">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color w:val="000000" w:themeColor="text1"/>
          <w:sz w:val="19"/>
          <w:szCs w:val="19"/>
          <w:lang w:val="es-ES"/>
        </w:rPr>
        <w:t>Consejero Ponente: Jaime Orlando Santofimio Gamboa.</w:t>
      </w:r>
    </w:p>
  </w:footnote>
  <w:footnote w:id="11">
    <w:p w14:paraId="6AF6EC3B" w14:textId="77777777" w:rsidR="00D77E09" w:rsidRPr="00FF38ED" w:rsidRDefault="00D77E09" w:rsidP="00D77E09">
      <w:pPr>
        <w:pStyle w:val="Textonotapie"/>
        <w:ind w:firstLine="709"/>
        <w:jc w:val="both"/>
        <w:rPr>
          <w:rFonts w:ascii="Arial" w:hAnsi="Arial" w:cs="Arial"/>
          <w:color w:val="000000" w:themeColor="text1"/>
          <w:sz w:val="19"/>
          <w:szCs w:val="19"/>
        </w:rPr>
      </w:pPr>
    </w:p>
    <w:p w14:paraId="1DD17B70"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Consejo de Estado. Sección Tercera. Subsección C. Auto del 14 de agosto de 2017. Exp. 58.820. C.P. Jaime Orlando Santofimio Gamboa. </w:t>
      </w:r>
    </w:p>
    <w:p w14:paraId="08792FAA" w14:textId="77777777" w:rsidR="00D77E09" w:rsidRPr="00FF38ED" w:rsidRDefault="00D77E09" w:rsidP="00D77E09">
      <w:pPr>
        <w:pStyle w:val="Textonotapie"/>
        <w:ind w:firstLine="709"/>
        <w:jc w:val="both"/>
        <w:rPr>
          <w:rFonts w:ascii="Arial" w:hAnsi="Arial" w:cs="Arial"/>
          <w:color w:val="000000" w:themeColor="text1"/>
          <w:sz w:val="19"/>
          <w:szCs w:val="19"/>
          <w:lang w:val="es-CO"/>
        </w:rPr>
      </w:pPr>
    </w:p>
  </w:footnote>
  <w:footnote w:id="12">
    <w:p w14:paraId="2C26342C"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 </w:t>
      </w:r>
    </w:p>
  </w:footnote>
  <w:footnote w:id="13">
    <w:p w14:paraId="50AC444A" w14:textId="77777777" w:rsidR="00D77E09" w:rsidRDefault="00D77E09" w:rsidP="00D77E09">
      <w:pPr>
        <w:pStyle w:val="Textonotapie"/>
        <w:ind w:firstLine="709"/>
        <w:jc w:val="both"/>
        <w:rPr>
          <w:rFonts w:ascii="Arial" w:hAnsi="Arial" w:cs="Arial"/>
          <w:sz w:val="19"/>
          <w:szCs w:val="19"/>
        </w:rPr>
      </w:pPr>
    </w:p>
    <w:p w14:paraId="7BC4AF95" w14:textId="77777777" w:rsidR="00D77E09"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p w14:paraId="4390EC20" w14:textId="77777777" w:rsidR="00D77E09" w:rsidRPr="00FF38ED" w:rsidRDefault="00D77E09" w:rsidP="00D77E09">
      <w:pPr>
        <w:pStyle w:val="Textonotapie"/>
        <w:ind w:firstLine="709"/>
        <w:jc w:val="both"/>
        <w:rPr>
          <w:rFonts w:ascii="Arial" w:hAnsi="Arial" w:cs="Arial"/>
          <w:sz w:val="19"/>
          <w:szCs w:val="19"/>
          <w:lang w:val="es-ES_tradnl"/>
        </w:rPr>
      </w:pPr>
    </w:p>
  </w:footnote>
  <w:footnote w:id="14">
    <w:p w14:paraId="29BF715A"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306C487D" w14:textId="77777777" w:rsidR="00D77E09" w:rsidRPr="00FF38ED" w:rsidRDefault="00D77E09" w:rsidP="00D77E09">
      <w:pPr>
        <w:pStyle w:val="Textonotapie"/>
        <w:ind w:firstLine="709"/>
        <w:jc w:val="both"/>
        <w:rPr>
          <w:rFonts w:ascii="Arial" w:hAnsi="Arial" w:cs="Arial"/>
          <w:sz w:val="19"/>
          <w:szCs w:val="19"/>
          <w:lang w:val="es-CO"/>
        </w:rPr>
      </w:pPr>
    </w:p>
  </w:footnote>
  <w:footnote w:id="15">
    <w:p w14:paraId="45259F21" w14:textId="77777777" w:rsidR="00D77E09" w:rsidRPr="00FF38ED" w:rsidRDefault="00D77E09" w:rsidP="00D77E09">
      <w:pPr>
        <w:ind w:firstLine="709"/>
        <w:jc w:val="both"/>
        <w:rPr>
          <w:rFonts w:ascii="Arial" w:eastAsiaTheme="minorHAnsi" w:hAnsi="Arial" w:cs="Arial"/>
          <w:sz w:val="19"/>
          <w:szCs w:val="19"/>
          <w:lang w:val="es-MX" w:eastAsia="en-US"/>
        </w:rPr>
      </w:pPr>
      <w:r w:rsidRPr="00FF38ED">
        <w:rPr>
          <w:rStyle w:val="Refdenotaalpie"/>
          <w:rFonts w:ascii="Arial" w:hAnsi="Arial" w:cs="Arial"/>
          <w:sz w:val="19"/>
          <w:szCs w:val="19"/>
        </w:rPr>
        <w:footnoteRef/>
      </w:r>
      <w:r w:rsidRPr="00FF38ED">
        <w:rPr>
          <w:rFonts w:ascii="Arial" w:hAnsi="Arial" w:cs="Arial"/>
          <w:sz w:val="19"/>
          <w:szCs w:val="19"/>
        </w:rPr>
        <w:t xml:space="preserve"> Este enunciado normativo dispone que «</w:t>
      </w:r>
      <w:r w:rsidRPr="00FF38ED">
        <w:rPr>
          <w:rFonts w:ascii="Arial" w:eastAsiaTheme="minorHAnsi" w:hAnsi="Arial" w:cs="Arial"/>
          <w:sz w:val="19"/>
          <w:szCs w:val="19"/>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4F5685E9" w14:textId="77777777" w:rsidR="00D77E09" w:rsidRPr="00FF38ED" w:rsidRDefault="00D77E09" w:rsidP="00D77E09">
      <w:pPr>
        <w:ind w:firstLine="709"/>
        <w:jc w:val="both"/>
        <w:rPr>
          <w:rFonts w:ascii="Arial" w:eastAsiaTheme="minorHAnsi" w:hAnsi="Arial" w:cs="Arial"/>
          <w:sz w:val="19"/>
          <w:szCs w:val="19"/>
          <w:lang w:val="es-MX" w:eastAsia="en-US"/>
        </w:rPr>
      </w:pPr>
      <w:r w:rsidRPr="00FF38ED">
        <w:rPr>
          <w:rFonts w:ascii="Arial" w:eastAsiaTheme="minorHAnsi" w:hAnsi="Arial" w:cs="Arial"/>
          <w:sz w:val="19"/>
          <w:szCs w:val="19"/>
          <w:lang w:val="es-MX" w:eastAsia="en-US"/>
        </w:rPr>
        <w:t>»[…]</w:t>
      </w:r>
    </w:p>
    <w:p w14:paraId="455C1C14" w14:textId="77777777" w:rsidR="00D77E09" w:rsidRPr="00FF38ED" w:rsidRDefault="00D77E09" w:rsidP="00D77E09">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»3. Suspender provisionalmente los efectos de un acto administrativo.</w:t>
      </w:r>
    </w:p>
    <w:p w14:paraId="79ADFC56" w14:textId="77777777" w:rsidR="00D77E09" w:rsidRPr="00FF38ED" w:rsidRDefault="00D77E09" w:rsidP="00D77E09">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w:t>
      </w:r>
    </w:p>
    <w:p w14:paraId="22B65D9D" w14:textId="77777777" w:rsidR="00D77E09" w:rsidRPr="00FF38ED" w:rsidRDefault="00D77E09" w:rsidP="00D77E09">
      <w:pPr>
        <w:pStyle w:val="Textonotapie"/>
        <w:ind w:firstLine="709"/>
        <w:jc w:val="both"/>
        <w:rPr>
          <w:rFonts w:ascii="Arial" w:hAnsi="Arial" w:cs="Arial"/>
          <w:sz w:val="19"/>
          <w:szCs w:val="19"/>
          <w:lang w:val="es-CO"/>
        </w:rPr>
      </w:pPr>
    </w:p>
  </w:footnote>
  <w:footnote w:id="16">
    <w:p w14:paraId="493218F1"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21F3A547" w14:textId="77777777" w:rsidR="00D77E09" w:rsidRPr="00FF38ED" w:rsidRDefault="00D77E09" w:rsidP="00D77E09">
      <w:pPr>
        <w:pStyle w:val="Textonotapie"/>
        <w:ind w:firstLine="709"/>
        <w:jc w:val="both"/>
        <w:rPr>
          <w:rFonts w:ascii="Arial" w:hAnsi="Arial" w:cs="Arial"/>
          <w:sz w:val="19"/>
          <w:szCs w:val="19"/>
        </w:rPr>
      </w:pPr>
      <w:r w:rsidRPr="00FF38ED">
        <w:rPr>
          <w:rFonts w:ascii="Arial" w:hAnsi="Arial" w:cs="Arial"/>
          <w:sz w:val="19"/>
          <w:szCs w:val="19"/>
        </w:rPr>
        <w:t>1. Cuando sean suspendidos provisionalmente sus efectos por la Jurisdicción de lo Contencioso Administrativo.</w:t>
      </w:r>
    </w:p>
    <w:p w14:paraId="1B185276" w14:textId="77777777" w:rsidR="00D77E09" w:rsidRPr="00FF38ED" w:rsidRDefault="00D77E09" w:rsidP="00D77E09">
      <w:pPr>
        <w:pStyle w:val="Textonotapie"/>
        <w:ind w:firstLine="709"/>
        <w:jc w:val="both"/>
        <w:rPr>
          <w:rFonts w:ascii="Arial" w:hAnsi="Arial" w:cs="Arial"/>
          <w:sz w:val="19"/>
          <w:szCs w:val="19"/>
        </w:rPr>
      </w:pPr>
      <w:r w:rsidRPr="00FF38ED">
        <w:rPr>
          <w:rFonts w:ascii="Arial" w:hAnsi="Arial" w:cs="Arial"/>
          <w:sz w:val="19"/>
          <w:szCs w:val="19"/>
        </w:rPr>
        <w:t xml:space="preserve">[…]». </w:t>
      </w:r>
    </w:p>
  </w:footnote>
  <w:footnote w:id="17">
    <w:p w14:paraId="0F203F27" w14:textId="77777777" w:rsidR="00D77E09" w:rsidRDefault="00D77E09" w:rsidP="00D77E09">
      <w:pPr>
        <w:pStyle w:val="Textonotapie"/>
        <w:ind w:firstLine="709"/>
        <w:jc w:val="both"/>
        <w:rPr>
          <w:rFonts w:ascii="Arial" w:hAnsi="Arial" w:cs="Arial"/>
          <w:sz w:val="19"/>
          <w:szCs w:val="19"/>
        </w:rPr>
      </w:pPr>
    </w:p>
    <w:p w14:paraId="63237D2E"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En sitio web:</w:t>
      </w:r>
    </w:p>
    <w:p w14:paraId="63862886" w14:textId="77777777" w:rsidR="00D77E09" w:rsidRPr="00FF38ED" w:rsidRDefault="00D77E09" w:rsidP="00D77E09">
      <w:pPr>
        <w:pStyle w:val="Textonotapie"/>
        <w:jc w:val="both"/>
        <w:rPr>
          <w:rFonts w:ascii="Arial" w:hAnsi="Arial" w:cs="Arial"/>
          <w:sz w:val="19"/>
          <w:szCs w:val="19"/>
        </w:rPr>
      </w:pPr>
      <w:r w:rsidRPr="00FF38ED">
        <w:rPr>
          <w:rFonts w:ascii="Arial" w:hAnsi="Arial" w:cs="Arial"/>
          <w:sz w:val="19"/>
          <w:szCs w:val="19"/>
        </w:rPr>
        <w:t>https://www.colombiacompra.gov.co/sites/cce_public/files/cce_circulares/cce_circular_unica.pdf</w:t>
      </w:r>
    </w:p>
  </w:footnote>
  <w:footnote w:id="18">
    <w:p w14:paraId="2CCD7C37" w14:textId="77777777" w:rsidR="00D77E09" w:rsidRDefault="00D77E09" w:rsidP="00D77E09">
      <w:pPr>
        <w:pStyle w:val="Textonotapie"/>
        <w:ind w:firstLine="709"/>
        <w:jc w:val="both"/>
        <w:rPr>
          <w:rFonts w:ascii="Arial" w:hAnsi="Arial" w:cs="Arial"/>
          <w:sz w:val="19"/>
          <w:szCs w:val="19"/>
        </w:rPr>
      </w:pPr>
    </w:p>
    <w:p w14:paraId="62231428"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76C93BFD" w14:textId="77777777" w:rsidR="00D77E09" w:rsidRPr="00FF38ED" w:rsidRDefault="00D77E09" w:rsidP="00D77E09">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https://www.colombiacompra.gov.co/sites/cce_public/files/cce_circulares/circular_007_de_2020_uso_secop.pdf</w:t>
      </w:r>
    </w:p>
  </w:footnote>
  <w:footnote w:id="19">
    <w:p w14:paraId="210F439C" w14:textId="77777777" w:rsidR="00D77E09" w:rsidRDefault="00D77E09" w:rsidP="00D77E09">
      <w:pPr>
        <w:pStyle w:val="Textonotapie"/>
        <w:ind w:firstLine="709"/>
        <w:jc w:val="both"/>
        <w:rPr>
          <w:rFonts w:ascii="Arial" w:hAnsi="Arial" w:cs="Arial"/>
          <w:sz w:val="19"/>
          <w:szCs w:val="19"/>
        </w:rPr>
      </w:pPr>
    </w:p>
    <w:p w14:paraId="61A18452"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0C5E3707" w14:textId="77777777" w:rsidR="00D77E09" w:rsidRPr="00FF38ED" w:rsidRDefault="00D77E09" w:rsidP="00D77E09">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https://www.colombiacompra.gov.co/sites/cce_public/files/cce_circulares/20170316circularinformacion.pdf</w:t>
      </w:r>
    </w:p>
  </w:footnote>
  <w:footnote w:id="20">
    <w:p w14:paraId="1571B6FA" w14:textId="77777777" w:rsidR="00D77E09" w:rsidRDefault="00D77E09" w:rsidP="00D77E09">
      <w:pPr>
        <w:pStyle w:val="Textonotapie"/>
        <w:ind w:firstLine="709"/>
        <w:jc w:val="both"/>
        <w:rPr>
          <w:rFonts w:ascii="Arial" w:hAnsi="Arial" w:cs="Arial"/>
          <w:sz w:val="19"/>
          <w:szCs w:val="19"/>
        </w:rPr>
      </w:pPr>
    </w:p>
    <w:p w14:paraId="46854779" w14:textId="77777777" w:rsidR="00D77E09" w:rsidRPr="00FF38ED" w:rsidRDefault="00D77E09" w:rsidP="00D77E09">
      <w:pPr>
        <w:pStyle w:val="Textonotapie"/>
        <w:ind w:firstLine="709"/>
        <w:jc w:val="both"/>
        <w:rPr>
          <w:rFonts w:ascii="Arial" w:hAnsi="Arial" w:cs="Arial"/>
          <w:sz w:val="19"/>
          <w:szCs w:val="19"/>
          <w:lang w:val="es-ES_tradnl"/>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footnote>
  <w:footnote w:id="21">
    <w:p w14:paraId="0213BEB5" w14:textId="77777777" w:rsidR="00D77E09"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p w14:paraId="4A87DFC0" w14:textId="77777777" w:rsidR="00D77E09" w:rsidRPr="00FF38ED" w:rsidRDefault="00D77E09" w:rsidP="00D77E09">
      <w:pPr>
        <w:pStyle w:val="Textonotapie"/>
        <w:ind w:firstLine="709"/>
        <w:jc w:val="both"/>
        <w:rPr>
          <w:rFonts w:ascii="Arial" w:hAnsi="Arial" w:cs="Arial"/>
          <w:sz w:val="19"/>
          <w:szCs w:val="19"/>
        </w:rPr>
      </w:pPr>
    </w:p>
  </w:footnote>
  <w:footnote w:id="22">
    <w:p w14:paraId="599F92DB" w14:textId="77777777" w:rsidR="00D77E09" w:rsidRPr="00FF38ED" w:rsidRDefault="00D77E09" w:rsidP="00D77E0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footnote>
  <w:footnote w:id="23">
    <w:p w14:paraId="59D1BEB0" w14:textId="77777777" w:rsidR="00D77E09" w:rsidRPr="00FF38ED" w:rsidRDefault="00D77E09" w:rsidP="00D77E09">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5E8D4BB0" w14:textId="77777777" w:rsidR="00D77E09" w:rsidRPr="00FF38ED" w:rsidRDefault="00D77E09" w:rsidP="00D77E09">
      <w:pPr>
        <w:pStyle w:val="Textonotapie"/>
        <w:ind w:firstLine="709"/>
        <w:jc w:val="both"/>
        <w:rPr>
          <w:rFonts w:ascii="Arial" w:hAnsi="Arial" w:cs="Arial"/>
          <w:sz w:val="19"/>
          <w:szCs w:val="19"/>
          <w:lang w:val="es-CO"/>
        </w:rPr>
      </w:pPr>
    </w:p>
  </w:footnote>
  <w:footnote w:id="24">
    <w:p w14:paraId="6D9D9266" w14:textId="77777777" w:rsidR="00D77E09" w:rsidRPr="00FF38ED" w:rsidRDefault="00D77E09" w:rsidP="00D77E09">
      <w:pPr>
        <w:pStyle w:val="Prrafodelista"/>
        <w:ind w:left="0" w:firstLine="709"/>
        <w:jc w:val="both"/>
        <w:rPr>
          <w:rFonts w:ascii="Arial" w:hAnsi="Arial" w:cs="Arial"/>
          <w:bCs/>
          <w:color w:val="000000" w:themeColor="text1"/>
          <w:sz w:val="19"/>
          <w:szCs w:val="19"/>
          <w:lang w:val="es-ES"/>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w:t>
      </w:r>
      <w:r w:rsidRPr="00FF38E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1064FBC" w14:textId="77777777" w:rsidR="00D77E09" w:rsidRPr="00FF38ED" w:rsidRDefault="00D77E09" w:rsidP="00D77E09">
      <w:pPr>
        <w:pStyle w:val="Textonotapie"/>
        <w:ind w:firstLine="709"/>
        <w:jc w:val="both"/>
        <w:rPr>
          <w:rFonts w:ascii="Arial" w:hAnsi="Arial" w:cs="Arial"/>
          <w:color w:val="000000" w:themeColor="text1"/>
          <w:sz w:val="19"/>
          <w:szCs w:val="19"/>
          <w:lang w:val="es-ES"/>
        </w:rPr>
      </w:pPr>
    </w:p>
  </w:footnote>
  <w:footnote w:id="25">
    <w:p w14:paraId="7A2DC2B9"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w:t>
      </w:r>
      <w:r>
        <w:rPr>
          <w:rFonts w:ascii="Arial" w:hAnsi="Arial" w:cs="Arial"/>
          <w:color w:val="000000" w:themeColor="text1"/>
          <w:sz w:val="19"/>
          <w:szCs w:val="19"/>
        </w:rPr>
        <w:t>.</w:t>
      </w:r>
      <w:r w:rsidRPr="00FF38ED">
        <w:rPr>
          <w:rFonts w:ascii="Arial" w:hAnsi="Arial" w:cs="Arial"/>
          <w:color w:val="000000" w:themeColor="text1"/>
          <w:sz w:val="19"/>
          <w:szCs w:val="19"/>
        </w:rPr>
        <w:t xml:space="preserve">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489434D5"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78BBB282" w14:textId="77777777" w:rsidR="00D77E09" w:rsidRPr="00FF38ED" w:rsidRDefault="00D77E09" w:rsidP="00D77E09">
      <w:pPr>
        <w:pStyle w:val="Textonotapie"/>
        <w:ind w:firstLine="709"/>
        <w:jc w:val="both"/>
        <w:rPr>
          <w:rFonts w:ascii="Arial" w:hAnsi="Arial" w:cs="Arial"/>
          <w:color w:val="000000" w:themeColor="text1"/>
          <w:sz w:val="19"/>
          <w:szCs w:val="19"/>
        </w:rPr>
      </w:pPr>
    </w:p>
  </w:footnote>
  <w:footnote w:id="26">
    <w:p w14:paraId="53BC0AFA"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7">
    <w:p w14:paraId="6FFE0C6F" w14:textId="77777777" w:rsidR="00D77E09" w:rsidRPr="00FF38ED" w:rsidRDefault="00D77E09" w:rsidP="00D77E09">
      <w:pPr>
        <w:pStyle w:val="Textonotapie"/>
        <w:ind w:firstLine="709"/>
        <w:jc w:val="both"/>
        <w:rPr>
          <w:rFonts w:ascii="Arial" w:hAnsi="Arial" w:cs="Arial"/>
          <w:color w:val="000000" w:themeColor="text1"/>
          <w:sz w:val="19"/>
          <w:szCs w:val="19"/>
        </w:rPr>
      </w:pPr>
    </w:p>
    <w:p w14:paraId="002FE295"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4814231A" w14:textId="77777777" w:rsidR="00D77E09" w:rsidRPr="00FF38ED" w:rsidRDefault="00D77E09" w:rsidP="00D77E09">
      <w:pPr>
        <w:pStyle w:val="Textonotapie"/>
        <w:ind w:firstLine="709"/>
        <w:jc w:val="both"/>
        <w:rPr>
          <w:rFonts w:ascii="Arial" w:hAnsi="Arial" w:cs="Arial"/>
          <w:color w:val="000000" w:themeColor="text1"/>
          <w:sz w:val="19"/>
          <w:szCs w:val="19"/>
        </w:rPr>
      </w:pPr>
    </w:p>
  </w:footnote>
  <w:footnote w:id="28">
    <w:p w14:paraId="47938665"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0197B2C7"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no contratan con cargo a recursos públicos no están obligados a publicar su Plan Anual de Adquisiciones.</w:t>
      </w:r>
    </w:p>
    <w:p w14:paraId="33B226DA"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548959A1" w14:textId="77777777" w:rsidR="00D77E09" w:rsidRPr="00FF38ED" w:rsidRDefault="00D77E09" w:rsidP="00D77E0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29">
    <w:p w14:paraId="34405210" w14:textId="77777777" w:rsidR="00D77E09" w:rsidRPr="0062206A" w:rsidRDefault="00D77E09" w:rsidP="00D77E09">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62206A">
        <w:rPr>
          <w:rFonts w:ascii="Arial" w:hAnsi="Arial" w:cs="Arial"/>
          <w:bCs/>
          <w:i/>
          <w:iCs/>
          <w:color w:val="000000" w:themeColor="text1"/>
          <w:sz w:val="19"/>
          <w:szCs w:val="19"/>
        </w:rPr>
        <w:t>las empresas oficiales de servicios públicos</w:t>
      </w:r>
      <w:r w:rsidRPr="0062206A">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2299066F" w14:textId="77777777" w:rsidR="00D77E09" w:rsidRPr="0062206A" w:rsidRDefault="00D77E09" w:rsidP="00D77E09">
      <w:pPr>
        <w:pStyle w:val="Textonotapie"/>
        <w:ind w:firstLine="708"/>
        <w:jc w:val="both"/>
        <w:rPr>
          <w:rFonts w:ascii="Arial" w:hAnsi="Arial" w:cs="Arial"/>
          <w:color w:val="000000" w:themeColor="text1"/>
          <w:sz w:val="19"/>
          <w:szCs w:val="19"/>
        </w:rPr>
      </w:pPr>
    </w:p>
  </w:footnote>
  <w:footnote w:id="30">
    <w:p w14:paraId="639882E6" w14:textId="77777777" w:rsidR="00D77E09" w:rsidRPr="0062206A" w:rsidRDefault="00D77E09" w:rsidP="00D77E09">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6CE2A2B2" w14:textId="77777777" w:rsidR="00D77E09" w:rsidRPr="0062206A" w:rsidRDefault="00D77E09" w:rsidP="00D77E09">
      <w:pPr>
        <w:pStyle w:val="Textonotapie"/>
        <w:ind w:firstLine="708"/>
        <w:jc w:val="both"/>
        <w:rPr>
          <w:rFonts w:ascii="Arial" w:hAnsi="Arial" w:cs="Arial"/>
          <w:color w:val="000000" w:themeColor="text1"/>
          <w:sz w:val="19"/>
          <w:szCs w:val="19"/>
          <w:lang w:val="es-ES"/>
        </w:rPr>
      </w:pPr>
    </w:p>
  </w:footnote>
  <w:footnote w:id="31">
    <w:p w14:paraId="4D886B24" w14:textId="77777777" w:rsidR="00D77E09" w:rsidRDefault="00D77E09" w:rsidP="00D77E09">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i/>
          <w:color w:val="000000" w:themeColor="text1"/>
          <w:sz w:val="19"/>
          <w:szCs w:val="19"/>
        </w:rPr>
        <w:t xml:space="preserve"> </w:t>
      </w:r>
      <w:r w:rsidRPr="0062206A">
        <w:rPr>
          <w:rFonts w:ascii="Arial" w:hAnsi="Arial" w:cs="Arial"/>
          <w:i/>
          <w:iCs/>
          <w:color w:val="000000" w:themeColor="text1"/>
          <w:sz w:val="19"/>
          <w:szCs w:val="19"/>
        </w:rPr>
        <w:t>Ibídem.</w:t>
      </w:r>
      <w:r w:rsidRPr="0062206A">
        <w:rPr>
          <w:rFonts w:ascii="Arial" w:hAnsi="Arial" w:cs="Arial"/>
          <w:color w:val="000000" w:themeColor="text1"/>
          <w:sz w:val="19"/>
          <w:szCs w:val="19"/>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05833440" w14:textId="77777777" w:rsidR="00D77E09" w:rsidRPr="0062206A" w:rsidRDefault="00D77E09" w:rsidP="00D77E09">
      <w:pPr>
        <w:pStyle w:val="Textonotapie"/>
        <w:ind w:firstLine="708"/>
        <w:jc w:val="both"/>
        <w:rPr>
          <w:rFonts w:ascii="Arial" w:hAnsi="Arial" w:cs="Arial"/>
          <w:color w:val="000000" w:themeColor="text1"/>
          <w:sz w:val="19"/>
          <w:szCs w:val="19"/>
        </w:rPr>
      </w:pPr>
    </w:p>
  </w:footnote>
  <w:footnote w:id="32">
    <w:p w14:paraId="15782B82" w14:textId="77777777" w:rsidR="00D77E09" w:rsidRPr="0062206A" w:rsidRDefault="00D77E09" w:rsidP="00D77E09">
      <w:pPr>
        <w:pStyle w:val="Textonotapie"/>
        <w:ind w:firstLine="708"/>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E29CCCE" w14:textId="77777777" w:rsidR="00D77E09" w:rsidRPr="0062206A" w:rsidRDefault="00D77E09" w:rsidP="00D77E09">
      <w:pPr>
        <w:pStyle w:val="Textonotapie"/>
        <w:ind w:firstLine="708"/>
        <w:jc w:val="both"/>
        <w:rPr>
          <w:rFonts w:ascii="Arial" w:hAnsi="Arial" w:cs="Arial"/>
          <w:sz w:val="19"/>
          <w:szCs w:val="19"/>
          <w:lang w:val="es-ES"/>
        </w:rPr>
      </w:pPr>
    </w:p>
  </w:footnote>
  <w:footnote w:id="33">
    <w:p w14:paraId="64A2C59D" w14:textId="77777777" w:rsidR="00D5431F" w:rsidRDefault="00D5431F" w:rsidP="00D5431F">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Pr>
          <w:rFonts w:ascii="Arial" w:hAnsi="Arial" w:cs="Arial"/>
          <w:i/>
          <w:iCs/>
          <w:color w:val="000000" w:themeColor="text1"/>
          <w:sz w:val="19"/>
          <w:szCs w:val="19"/>
        </w:rPr>
        <w:t>las empresas industriales y comerciales del Estado</w:t>
      </w:r>
      <w:r>
        <w:rPr>
          <w:rFonts w:ascii="Arial" w:hAnsi="Arial" w:cs="Arial"/>
          <w:color w:val="000000" w:themeColor="text1"/>
          <w:sz w:val="19"/>
          <w:szCs w:val="19"/>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p w14:paraId="5383FC83" w14:textId="77777777" w:rsidR="00D5431F" w:rsidRDefault="00D5431F" w:rsidP="00D5431F">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Igualmente, el artículo 93 de la Ley 489 de 1998 dispone lo siguiente: «Los actos que expidan las empresas industriales y comerciales del Estado para el desarrollo de su actividad propia, industrial o comercial o de gestión económica </w:t>
      </w:r>
      <w:r>
        <w:rPr>
          <w:rFonts w:ascii="Arial" w:hAnsi="Arial" w:cs="Arial"/>
          <w:sz w:val="19"/>
          <w:szCs w:val="19"/>
        </w:rPr>
        <w:t xml:space="preserve">se sujetarán a las disposiciones del Derecho Privado. </w:t>
      </w:r>
      <w:r>
        <w:rPr>
          <w:rFonts w:ascii="Arial" w:hAnsi="Arial" w:cs="Arial"/>
          <w:i/>
          <w:iCs/>
          <w:sz w:val="19"/>
          <w:szCs w:val="19"/>
        </w:rPr>
        <w:t>Los contratos que celebren para el cumplimiento de su objeto se sujetarán a las disposiciones del Estatuto General de Contratación de las entidades estatales</w:t>
      </w:r>
      <w:r>
        <w:rPr>
          <w:rFonts w:ascii="Arial" w:hAnsi="Arial" w:cs="Arial"/>
          <w:sz w:val="19"/>
          <w:szCs w:val="19"/>
        </w:rPr>
        <w:t>» (Énfasis fuera de texto</w:t>
      </w:r>
      <w:r>
        <w:rPr>
          <w:rFonts w:ascii="Arial" w:hAnsi="Arial" w:cs="Arial"/>
          <w:color w:val="000000" w:themeColor="text1"/>
          <w:sz w:val="19"/>
          <w:szCs w:val="19"/>
        </w:rPr>
        <w:t>).</w:t>
      </w:r>
    </w:p>
    <w:p w14:paraId="097B1DB0" w14:textId="77777777" w:rsidR="00D5431F" w:rsidRDefault="00D5431F" w:rsidP="00D5431F">
      <w:pPr>
        <w:pStyle w:val="Textonotapie"/>
        <w:ind w:firstLine="708"/>
        <w:jc w:val="both"/>
        <w:rPr>
          <w:rFonts w:ascii="Arial" w:hAnsi="Arial" w:cs="Arial"/>
          <w:color w:val="000000" w:themeColor="text1"/>
          <w:sz w:val="19"/>
          <w:szCs w:val="19"/>
          <w:lang w:val="es-ES"/>
        </w:rPr>
      </w:pPr>
    </w:p>
  </w:footnote>
  <w:footnote w:id="34">
    <w:p w14:paraId="532E9239" w14:textId="77777777" w:rsidR="00D5431F" w:rsidRDefault="00D5431F" w:rsidP="00D5431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numeral derogado disponía que «La escogencia del contratista se efectuará siempre a través de licitación o concurso públicos, salvo en los siguientes casos en los que se podrá contratar directamente: […]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p w14:paraId="3CAC71C5" w14:textId="77777777" w:rsidR="00D5431F" w:rsidRDefault="00D5431F" w:rsidP="00D5431F">
      <w:pPr>
        <w:pStyle w:val="Textonotapie"/>
        <w:ind w:firstLine="708"/>
        <w:jc w:val="both"/>
        <w:rPr>
          <w:rFonts w:ascii="Arial" w:hAnsi="Arial" w:cs="Arial"/>
          <w:sz w:val="19"/>
          <w:szCs w:val="19"/>
          <w:lang w:val="es-ES"/>
        </w:rPr>
      </w:pPr>
    </w:p>
  </w:footnote>
  <w:footnote w:id="35">
    <w:p w14:paraId="3E955CF8" w14:textId="77777777" w:rsidR="00D5431F" w:rsidRDefault="00D5431F" w:rsidP="00D5431F">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En concordancia, el artículo 2.2.1.2.1.2.24 del Decreto 1082 de 2015 prescribe que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36">
    <w:p w14:paraId="031C7E19" w14:textId="77777777" w:rsidR="00D5431F" w:rsidRDefault="00D5431F" w:rsidP="00D5431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Sentencia del 19 de agosto de 2004. Exp. 12.342. C.P. Ramiro Saavedra Becerra. </w:t>
      </w:r>
    </w:p>
  </w:footnote>
  <w:footnote w:id="37">
    <w:p w14:paraId="692DDF37" w14:textId="77777777" w:rsidR="009D33BE" w:rsidRPr="00A5491D" w:rsidRDefault="009D33BE" w:rsidP="009D33BE">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1FD92F94" w14:textId="77777777" w:rsidR="009D33BE" w:rsidRPr="00A5491D" w:rsidRDefault="009D33BE" w:rsidP="009D33BE">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6A02F823" w14:textId="77777777" w:rsidR="009D33BE" w:rsidRPr="00A5491D" w:rsidRDefault="009D33BE" w:rsidP="009D33BE">
      <w:pPr>
        <w:pStyle w:val="Textonotapie"/>
        <w:ind w:firstLine="708"/>
        <w:jc w:val="both"/>
        <w:rPr>
          <w:rFonts w:ascii="Arial" w:hAnsi="Arial" w:cs="Arial"/>
          <w:color w:val="000000" w:themeColor="text1"/>
          <w:sz w:val="19"/>
          <w:szCs w:val="19"/>
        </w:rPr>
      </w:pPr>
    </w:p>
    <w:p w14:paraId="0EF63979" w14:textId="77777777" w:rsidR="009D33BE" w:rsidRPr="00A5491D" w:rsidRDefault="009D33BE" w:rsidP="009D33BE">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170799DF" w14:textId="77777777" w:rsidR="009D33BE" w:rsidRPr="00A5491D" w:rsidRDefault="009D33BE" w:rsidP="009D33BE">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8B1A" w14:textId="77777777" w:rsidR="003D3D44" w:rsidRDefault="00D5431F">
    <w:pPr>
      <w:pStyle w:val="Encabezado"/>
    </w:pPr>
    <w:r>
      <w:rPr>
        <w:noProof/>
        <w:lang w:val="es-ES_tradnl" w:eastAsia="es-ES_tradnl"/>
      </w:rPr>
      <w:drawing>
        <wp:anchor distT="0" distB="0" distL="114300" distR="114300" simplePos="0" relativeHeight="251659264" behindDoc="1" locked="0" layoutInCell="1" allowOverlap="1" wp14:anchorId="5706E256" wp14:editId="3E25D6A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9D91B8B"/>
    <w:multiLevelType w:val="hybridMultilevel"/>
    <w:tmpl w:val="B69E7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09"/>
    <w:rsid w:val="00050C0F"/>
    <w:rsid w:val="00070F50"/>
    <w:rsid w:val="0033176E"/>
    <w:rsid w:val="003E2C31"/>
    <w:rsid w:val="00412C6C"/>
    <w:rsid w:val="00437A01"/>
    <w:rsid w:val="004642E1"/>
    <w:rsid w:val="00603A4E"/>
    <w:rsid w:val="007A39B0"/>
    <w:rsid w:val="00833EB4"/>
    <w:rsid w:val="00874FD7"/>
    <w:rsid w:val="008E3A5D"/>
    <w:rsid w:val="009D33BE"/>
    <w:rsid w:val="009D78DD"/>
    <w:rsid w:val="00A06B47"/>
    <w:rsid w:val="00B476A2"/>
    <w:rsid w:val="00C24701"/>
    <w:rsid w:val="00C669D2"/>
    <w:rsid w:val="00D1488B"/>
    <w:rsid w:val="00D5431F"/>
    <w:rsid w:val="00D77E09"/>
    <w:rsid w:val="00DE35D6"/>
    <w:rsid w:val="00EB6A84"/>
    <w:rsid w:val="00FC1EF7"/>
    <w:rsid w:val="00FE3A4B"/>
    <w:rsid w:val="00FF31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8DF9"/>
  <w15:chartTrackingRefBased/>
  <w15:docId w15:val="{9A971D16-453E-4F50-A827-F7FFBF44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E09"/>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77E09"/>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77E09"/>
    <w:rPr>
      <w:sz w:val="24"/>
      <w:lang w:val="es-MX"/>
    </w:rPr>
  </w:style>
  <w:style w:type="paragraph" w:styleId="Encabezado">
    <w:name w:val="header"/>
    <w:basedOn w:val="Normal"/>
    <w:link w:val="EncabezadoCar"/>
    <w:uiPriority w:val="99"/>
    <w:unhideWhenUsed/>
    <w:rsid w:val="00D77E09"/>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77E09"/>
    <w:rPr>
      <w:sz w:val="24"/>
      <w:lang w:val="es-MX"/>
    </w:rPr>
  </w:style>
  <w:style w:type="table" w:styleId="Tablaconcuadrcula">
    <w:name w:val="Table Grid"/>
    <w:basedOn w:val="Tablanormal"/>
    <w:uiPriority w:val="59"/>
    <w:rsid w:val="00D77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77E09"/>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D77E09"/>
    <w:pPr>
      <w:spacing w:before="100" w:beforeAutospacing="1" w:after="100" w:afterAutospacing="1"/>
    </w:pPr>
    <w:rPr>
      <w:lang w:eastAsia="es-CO"/>
    </w:rPr>
  </w:style>
  <w:style w:type="paragraph" w:styleId="Sinespaciado">
    <w:name w:val="No Spacing"/>
    <w:aliases w:val="No Indent"/>
    <w:uiPriority w:val="3"/>
    <w:qFormat/>
    <w:rsid w:val="00D77E0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77E0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77E09"/>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77E09"/>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77E0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77E09"/>
    <w:rPr>
      <w:vertAlign w:val="superscript"/>
    </w:rPr>
  </w:style>
  <w:style w:type="paragraph" w:customStyle="1" w:styleId="Appelnotedebasde">
    <w:name w:val="Appel note de bas de..."/>
    <w:basedOn w:val="Normal"/>
    <w:link w:val="Refdenotaalpie"/>
    <w:uiPriority w:val="99"/>
    <w:rsid w:val="00D77E09"/>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D77E09"/>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9D33BE"/>
    <w:rPr>
      <w:color w:val="0563C1" w:themeColor="hyperlink"/>
      <w:u w:val="single"/>
    </w:rPr>
  </w:style>
  <w:style w:type="paragraph" w:customStyle="1" w:styleId="paragraph">
    <w:name w:val="paragraph"/>
    <w:basedOn w:val="Normal"/>
    <w:uiPriority w:val="99"/>
    <w:rsid w:val="009D33BE"/>
    <w:pPr>
      <w:spacing w:before="100" w:beforeAutospacing="1" w:after="100" w:afterAutospacing="1"/>
    </w:pPr>
    <w:rPr>
      <w:lang w:eastAsia="es-CO"/>
    </w:rPr>
  </w:style>
  <w:style w:type="character" w:customStyle="1" w:styleId="normaltextrun">
    <w:name w:val="normaltextrun"/>
    <w:basedOn w:val="Fuentedeprrafopredeter"/>
    <w:rsid w:val="009D3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065813">
      <w:bodyDiv w:val="1"/>
      <w:marLeft w:val="0"/>
      <w:marRight w:val="0"/>
      <w:marTop w:val="0"/>
      <w:marBottom w:val="0"/>
      <w:divBdr>
        <w:top w:val="none" w:sz="0" w:space="0" w:color="auto"/>
        <w:left w:val="none" w:sz="0" w:space="0" w:color="auto"/>
        <w:bottom w:val="none" w:sz="0" w:space="0" w:color="auto"/>
        <w:right w:val="none" w:sz="0" w:space="0" w:color="auto"/>
      </w:divBdr>
    </w:div>
    <w:div w:id="186570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mesa-de-servici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ecop-ii"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EFD6C23-CDF9-4494-BCC5-05A895422822}">
  <ds:schemaRefs>
    <ds:schemaRef ds:uri="http://schemas.microsoft.com/sharepoint/v3/contenttype/forms"/>
  </ds:schemaRefs>
</ds:datastoreItem>
</file>

<file path=customXml/itemProps2.xml><?xml version="1.0" encoding="utf-8"?>
<ds:datastoreItem xmlns:ds="http://schemas.openxmlformats.org/officeDocument/2006/customXml" ds:itemID="{BE8047E8-3AB5-47F7-BD65-CC5791CE6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B1AB2-E40B-4696-B5D3-335F012FC7C4}">
  <ds:schemaRefs>
    <ds:schemaRef ds:uri="http://schemas.microsoft.com/office/2006/metadata/properties"/>
    <ds:schemaRef ds:uri="http://schemas.microsoft.com/office/infopath/2007/PartnerControls"/>
    <ds:schemaRef ds:uri="http://schemas.microsoft.com/sharepoint/v3"/>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12251</Words>
  <Characters>67383</Characters>
  <Application>Microsoft Office Word</Application>
  <DocSecurity>0</DocSecurity>
  <Lines>561</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Claudia Cristal Carrillo Lopez</cp:lastModifiedBy>
  <cp:revision>2</cp:revision>
  <dcterms:created xsi:type="dcterms:W3CDTF">2021-06-29T18:43:00Z</dcterms:created>
  <dcterms:modified xsi:type="dcterms:W3CDTF">2021-06-29T18:43:00Z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