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282EFA7" w:rsidR="002415B8" w:rsidRPr="00884A73" w:rsidRDefault="00B55C69" w:rsidP="001A4314">
      <w:pPr>
        <w:jc w:val="right"/>
        <w:rPr>
          <w:rFonts w:ascii="Arial" w:eastAsia="Calibri" w:hAnsi="Arial" w:cs="Arial"/>
          <w:b/>
          <w:sz w:val="20"/>
          <w:szCs w:val="20"/>
          <w:lang w:val="es-ES_tradnl"/>
        </w:rPr>
      </w:pPr>
      <w:bookmarkStart w:id="0" w:name="_Hlk28946138"/>
      <w:bookmarkStart w:id="1" w:name="_Hlk29548183"/>
      <w:r w:rsidRPr="00884A73">
        <w:rPr>
          <w:rFonts w:ascii="Arial" w:hAnsi="Arial" w:cs="Arial"/>
          <w:bCs/>
          <w:sz w:val="16"/>
          <w:szCs w:val="16"/>
          <w:lang w:val="es-ES_tradnl" w:eastAsia="es-ES"/>
        </w:rPr>
        <w:t>CCE-DES-FM-17</w:t>
      </w:r>
      <w:bookmarkEnd w:id="0"/>
      <w:bookmarkEnd w:id="1"/>
    </w:p>
    <w:p w14:paraId="55FBD910" w14:textId="77777777" w:rsidR="008536BB" w:rsidRPr="00884A73" w:rsidRDefault="008536BB" w:rsidP="00B95C30">
      <w:pPr>
        <w:spacing w:line="276" w:lineRule="auto"/>
        <w:jc w:val="both"/>
        <w:rPr>
          <w:rFonts w:ascii="Arial" w:hAnsi="Arial" w:cs="Arial"/>
          <w:noProof/>
          <w:sz w:val="22"/>
          <w:lang w:val="es-ES_tradnl"/>
        </w:rPr>
      </w:pPr>
    </w:p>
    <w:p w14:paraId="410CC6BA" w14:textId="77777777" w:rsidR="004C76AA" w:rsidRPr="00884A73" w:rsidRDefault="004C76AA" w:rsidP="004C76AA">
      <w:pPr>
        <w:jc w:val="both"/>
        <w:rPr>
          <w:rFonts w:ascii="Arial" w:eastAsia="Calibri" w:hAnsi="Arial" w:cs="Arial"/>
          <w:b/>
          <w:sz w:val="22"/>
          <w:szCs w:val="22"/>
          <w:lang w:val="es-ES_tradnl"/>
        </w:rPr>
      </w:pPr>
      <w:bookmarkStart w:id="2" w:name="_Hlk67491171"/>
      <w:r w:rsidRPr="00884A73">
        <w:rPr>
          <w:rFonts w:ascii="Arial" w:eastAsia="Calibri" w:hAnsi="Arial" w:cs="Arial"/>
          <w:b/>
          <w:sz w:val="22"/>
          <w:szCs w:val="22"/>
          <w:lang w:val="es-ES_tradnl"/>
        </w:rPr>
        <w:t>SELECCIÓN OBJETIVA – Contratación estatal – Concepto</w:t>
      </w:r>
    </w:p>
    <w:bookmarkEnd w:id="2"/>
    <w:p w14:paraId="2230B041" w14:textId="77777777" w:rsidR="004C76AA" w:rsidRPr="00884A73" w:rsidRDefault="004C76AA" w:rsidP="004C76AA">
      <w:pPr>
        <w:tabs>
          <w:tab w:val="left" w:pos="2235"/>
        </w:tabs>
        <w:jc w:val="both"/>
        <w:rPr>
          <w:rFonts w:ascii="Arial" w:eastAsia="Calibri" w:hAnsi="Arial" w:cs="Arial"/>
          <w:b/>
          <w:lang w:val="es-ES_tradnl"/>
        </w:rPr>
      </w:pPr>
      <w:r w:rsidRPr="00884A73">
        <w:rPr>
          <w:rFonts w:ascii="Arial" w:eastAsia="Calibri" w:hAnsi="Arial" w:cs="Arial"/>
          <w:b/>
          <w:lang w:val="es-ES_tradnl"/>
        </w:rPr>
        <w:tab/>
      </w:r>
    </w:p>
    <w:p w14:paraId="40E6698E" w14:textId="77777777" w:rsidR="004C76AA" w:rsidRPr="00884A73" w:rsidRDefault="004C76AA" w:rsidP="004C76AA">
      <w:pPr>
        <w:jc w:val="both"/>
        <w:rPr>
          <w:rFonts w:ascii="Arial" w:eastAsia="Calibri" w:hAnsi="Arial" w:cs="Arial"/>
          <w:sz w:val="20"/>
          <w:szCs w:val="20"/>
          <w:lang w:val="es-ES_tradnl"/>
        </w:rPr>
      </w:pPr>
      <w:r w:rsidRPr="00884A73">
        <w:rPr>
          <w:rFonts w:ascii="Arial" w:eastAsia="Calibri" w:hAnsi="Arial" w:cs="Arial"/>
          <w:sz w:val="20"/>
          <w:szCs w:val="20"/>
          <w:lang w:val="es-ES_tradnl"/>
        </w:rPr>
        <w:t xml:space="preserve">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w:t>
      </w:r>
      <w:proofErr w:type="gramStart"/>
      <w:r w:rsidRPr="00884A73">
        <w:rPr>
          <w:rFonts w:ascii="Arial" w:eastAsia="Calibri" w:hAnsi="Arial" w:cs="Arial"/>
          <w:sz w:val="20"/>
          <w:szCs w:val="20"/>
          <w:lang w:val="es-ES_tradnl"/>
        </w:rPr>
        <w:t>equivalentes,</w:t>
      </w:r>
      <w:proofErr w:type="gramEnd"/>
      <w:r w:rsidRPr="00884A73">
        <w:rPr>
          <w:rFonts w:ascii="Arial" w:eastAsia="Calibri" w:hAnsi="Arial" w:cs="Arial"/>
          <w:sz w:val="20"/>
          <w:szCs w:val="20"/>
          <w:lang w:val="es-ES_tradnl"/>
        </w:rPr>
        <w:t xml:space="preserve"> tendrán en cuenta criterios como la experiencia y la capacidad jurídica, financiera y de organización, entre otros elementos que garanticen la escogencia de la mejor opción de negocio para la entidad estatal.</w:t>
      </w:r>
    </w:p>
    <w:p w14:paraId="626C5269" w14:textId="77777777" w:rsidR="004C76AA" w:rsidRPr="00884A73" w:rsidRDefault="004C76AA" w:rsidP="004C76AA">
      <w:pPr>
        <w:jc w:val="both"/>
        <w:rPr>
          <w:rFonts w:ascii="Arial" w:eastAsia="Calibri" w:hAnsi="Arial" w:cs="Arial"/>
          <w:b/>
          <w:lang w:val="es-ES_tradnl"/>
        </w:rPr>
      </w:pPr>
    </w:p>
    <w:p w14:paraId="70A28093" w14:textId="77777777" w:rsidR="004C76AA" w:rsidRPr="00884A73" w:rsidRDefault="004C76AA" w:rsidP="004C76AA">
      <w:pPr>
        <w:jc w:val="both"/>
        <w:rPr>
          <w:rFonts w:ascii="Arial" w:eastAsia="Calibri" w:hAnsi="Arial" w:cs="Arial"/>
          <w:b/>
          <w:sz w:val="22"/>
          <w:szCs w:val="22"/>
          <w:lang w:val="es-ES_tradnl"/>
        </w:rPr>
      </w:pPr>
      <w:bookmarkStart w:id="3" w:name="_Hlk67491186"/>
      <w:r w:rsidRPr="00884A73">
        <w:rPr>
          <w:rFonts w:ascii="Arial" w:eastAsia="Calibri" w:hAnsi="Arial" w:cs="Arial"/>
          <w:b/>
          <w:sz w:val="22"/>
          <w:szCs w:val="22"/>
          <w:lang w:val="es-ES_tradnl"/>
        </w:rPr>
        <w:t>EMPATE – Procedimiento de selección – Concepto</w:t>
      </w:r>
    </w:p>
    <w:bookmarkEnd w:id="3"/>
    <w:p w14:paraId="252B7FF7" w14:textId="77777777" w:rsidR="004C76AA" w:rsidRPr="00884A73" w:rsidRDefault="004C76AA" w:rsidP="004C76AA">
      <w:pPr>
        <w:jc w:val="both"/>
        <w:rPr>
          <w:rFonts w:ascii="Arial" w:eastAsia="Calibri" w:hAnsi="Arial" w:cs="Arial"/>
          <w:b/>
          <w:lang w:val="es-ES_tradnl"/>
        </w:rPr>
      </w:pPr>
    </w:p>
    <w:p w14:paraId="10D8E440" w14:textId="77777777" w:rsidR="004C76AA" w:rsidRPr="00884A73" w:rsidRDefault="004C76AA" w:rsidP="004C76AA">
      <w:pPr>
        <w:jc w:val="both"/>
        <w:rPr>
          <w:rFonts w:ascii="Arial" w:eastAsia="Calibri" w:hAnsi="Arial" w:cs="Arial"/>
          <w:sz w:val="20"/>
          <w:szCs w:val="20"/>
          <w:lang w:val="es-ES_tradnl"/>
        </w:rPr>
      </w:pPr>
      <w:r w:rsidRPr="00884A73">
        <w:rPr>
          <w:rFonts w:ascii="Arial" w:eastAsia="Calibri" w:hAnsi="Arial" w:cs="Arial"/>
          <w:sz w:val="20"/>
          <w:szCs w:val="20"/>
          <w:lang w:val="es-ES_tradnl"/>
        </w:rPr>
        <w:t xml:space="preserve">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 </w:t>
      </w:r>
    </w:p>
    <w:p w14:paraId="6BB92398" w14:textId="77777777" w:rsidR="004C76AA" w:rsidRPr="00884A73" w:rsidRDefault="004C76AA" w:rsidP="004C76AA">
      <w:pPr>
        <w:spacing w:line="276" w:lineRule="auto"/>
        <w:jc w:val="both"/>
        <w:rPr>
          <w:rFonts w:ascii="Arial" w:hAnsi="Arial" w:cs="Arial"/>
          <w:noProof/>
          <w:lang w:val="es-ES_tradnl"/>
        </w:rPr>
      </w:pPr>
    </w:p>
    <w:p w14:paraId="38976ED6" w14:textId="77777777" w:rsidR="004C76AA" w:rsidRPr="00884A73" w:rsidRDefault="004C76AA" w:rsidP="004C76AA">
      <w:pPr>
        <w:jc w:val="both"/>
        <w:rPr>
          <w:rFonts w:ascii="Arial" w:eastAsia="Calibri" w:hAnsi="Arial" w:cs="Arial"/>
          <w:b/>
          <w:sz w:val="22"/>
          <w:szCs w:val="22"/>
          <w:lang w:val="es-ES_tradnl"/>
        </w:rPr>
      </w:pPr>
      <w:bookmarkStart w:id="4" w:name="_Hlk67491199"/>
      <w:r w:rsidRPr="00884A73">
        <w:rPr>
          <w:rFonts w:ascii="Arial" w:eastAsia="Calibri" w:hAnsi="Arial" w:cs="Arial"/>
          <w:b/>
          <w:sz w:val="22"/>
          <w:szCs w:val="22"/>
          <w:lang w:val="es-ES_tradnl"/>
        </w:rPr>
        <w:t>FACTORES DE DESEMPATE – Características – Límites</w:t>
      </w:r>
    </w:p>
    <w:bookmarkEnd w:id="4"/>
    <w:p w14:paraId="2483E1E2" w14:textId="77777777" w:rsidR="004C76AA" w:rsidRPr="00884A73" w:rsidRDefault="004C76AA" w:rsidP="004C76AA">
      <w:pPr>
        <w:spacing w:line="276" w:lineRule="auto"/>
        <w:jc w:val="both"/>
        <w:rPr>
          <w:rFonts w:ascii="Arial" w:hAnsi="Arial" w:cs="Arial"/>
          <w:noProof/>
          <w:lang w:val="es-ES_tradnl"/>
        </w:rPr>
      </w:pPr>
    </w:p>
    <w:p w14:paraId="727D6248" w14:textId="77777777" w:rsidR="004C76AA" w:rsidRPr="00884A73" w:rsidRDefault="004C76AA" w:rsidP="004C76AA">
      <w:pPr>
        <w:jc w:val="both"/>
        <w:rPr>
          <w:rFonts w:ascii="Arial" w:eastAsia="Calibri" w:hAnsi="Arial" w:cs="Arial"/>
          <w:sz w:val="20"/>
          <w:szCs w:val="20"/>
          <w:lang w:val="es-ES_tradnl"/>
        </w:rPr>
      </w:pPr>
      <w:r w:rsidRPr="00884A73">
        <w:rPr>
          <w:rFonts w:ascii="Arial" w:eastAsia="Calibri" w:hAnsi="Arial" w:cs="Arial"/>
          <w:sz w:val="20"/>
          <w:szCs w:val="20"/>
          <w:lang w:val="es-ES_tradnl"/>
        </w:rPr>
        <w:t xml:space="preserve">Sin embargo,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entre las que se cuenta el artículo 35 de la Ley 2069 de 2020. La jurisprudencia comparte la idea de que los criterios de desempate deben estar establecidos de antemano y constituyen un límite a la discrecionalidad administrativa en los procedimientos de selección. </w:t>
      </w:r>
    </w:p>
    <w:p w14:paraId="4F30536D" w14:textId="77777777" w:rsidR="004C76AA" w:rsidRPr="00884A73" w:rsidRDefault="004C76AA" w:rsidP="004C76AA">
      <w:pPr>
        <w:spacing w:before="120"/>
        <w:jc w:val="both"/>
        <w:rPr>
          <w:rFonts w:ascii="Arial" w:eastAsia="Calibri" w:hAnsi="Arial" w:cs="Arial"/>
          <w:sz w:val="20"/>
          <w:szCs w:val="20"/>
          <w:lang w:val="es-ES_tradnl"/>
        </w:rPr>
      </w:pPr>
      <w:r w:rsidRPr="00884A73">
        <w:rPr>
          <w:rFonts w:ascii="Arial" w:eastAsia="Calibri" w:hAnsi="Arial" w:cs="Arial"/>
          <w:sz w:val="20"/>
          <w:szCs w:val="20"/>
          <w:lang w:val="es-ES_tradnl"/>
        </w:rPr>
        <w:t xml:space="preserve">En tal sentido, la Corte Constitucional explica que cuando la ley establece factores de desempate obligatorios, las entidades estatales no pueden </w:t>
      </w:r>
      <w:proofErr w:type="spellStart"/>
      <w:r w:rsidRPr="00884A73">
        <w:rPr>
          <w:rFonts w:ascii="Arial" w:eastAsia="Calibri" w:hAnsi="Arial" w:cs="Arial"/>
          <w:sz w:val="20"/>
          <w:szCs w:val="20"/>
          <w:lang w:val="es-ES_tradnl"/>
        </w:rPr>
        <w:t>inaplicarlos</w:t>
      </w:r>
      <w:proofErr w:type="spellEnd"/>
      <w:r w:rsidRPr="00884A73">
        <w:rPr>
          <w:rFonts w:ascii="Arial" w:eastAsia="Calibri" w:hAnsi="Arial" w:cs="Arial"/>
          <w:sz w:val="20"/>
          <w:szCs w:val="20"/>
          <w:lang w:val="es-ES_tradnl"/>
        </w:rPr>
        <w:t>, porque ello podría vulnerar el principio de igualdad, especialmente, cuando algunos de estos criterios surgen como acciones afirmativas para ciertos sectores de la población. Más aún, el Consejo de Estado ha señalado que contrariar los factores de desempate genera la nulidad del contrato, conforme al artículo 44, inciso 1º de la Ley 80 de 1993.</w:t>
      </w:r>
    </w:p>
    <w:p w14:paraId="0BFD4C66" w14:textId="689B7ADC" w:rsidR="004C76AA" w:rsidRPr="00884A73" w:rsidRDefault="004C76AA" w:rsidP="004C76AA">
      <w:pPr>
        <w:jc w:val="both"/>
        <w:rPr>
          <w:rFonts w:ascii="Arial" w:eastAsia="Calibri" w:hAnsi="Arial" w:cs="Arial"/>
          <w:b/>
          <w:lang w:val="es-ES_tradnl"/>
        </w:rPr>
      </w:pPr>
    </w:p>
    <w:p w14:paraId="2FC52C01" w14:textId="3A35F349" w:rsidR="00186155" w:rsidRPr="00884A73" w:rsidRDefault="00186155" w:rsidP="004C76AA">
      <w:pPr>
        <w:jc w:val="both"/>
        <w:rPr>
          <w:rFonts w:ascii="Arial" w:eastAsia="Calibri" w:hAnsi="Arial" w:cs="Arial"/>
          <w:b/>
          <w:lang w:val="es-ES_tradnl"/>
        </w:rPr>
      </w:pPr>
    </w:p>
    <w:p w14:paraId="42C317F4" w14:textId="77777777" w:rsidR="00186155" w:rsidRPr="00884A73" w:rsidRDefault="00186155" w:rsidP="004C76AA">
      <w:pPr>
        <w:jc w:val="both"/>
        <w:rPr>
          <w:rFonts w:ascii="Arial" w:eastAsia="Calibri" w:hAnsi="Arial" w:cs="Arial"/>
          <w:b/>
          <w:lang w:val="es-ES_tradnl"/>
        </w:rPr>
      </w:pPr>
    </w:p>
    <w:p w14:paraId="0F68A9B1" w14:textId="4A680588" w:rsidR="004C76AA" w:rsidRPr="00884A73" w:rsidRDefault="004C76AA" w:rsidP="004C76AA">
      <w:pPr>
        <w:jc w:val="both"/>
        <w:rPr>
          <w:rFonts w:ascii="Arial" w:eastAsia="Calibri" w:hAnsi="Arial" w:cs="Arial"/>
          <w:b/>
          <w:sz w:val="22"/>
          <w:szCs w:val="22"/>
          <w:lang w:val="es-ES_tradnl"/>
        </w:rPr>
      </w:pPr>
      <w:bookmarkStart w:id="5" w:name="_Hlk67491213"/>
      <w:r w:rsidRPr="00884A73">
        <w:rPr>
          <w:rFonts w:ascii="Arial" w:eastAsia="Calibri" w:hAnsi="Arial" w:cs="Arial"/>
          <w:b/>
          <w:sz w:val="22"/>
          <w:szCs w:val="22"/>
          <w:lang w:val="es-ES_tradnl"/>
        </w:rPr>
        <w:lastRenderedPageBreak/>
        <w:t xml:space="preserve">LEY DE EMPRENDIMIENTO – Ley 2069 de 2020 – </w:t>
      </w:r>
      <w:r w:rsidR="00645C7B" w:rsidRPr="00884A73">
        <w:rPr>
          <w:rFonts w:ascii="Arial" w:eastAsia="Calibri" w:hAnsi="Arial" w:cs="Arial"/>
          <w:b/>
          <w:sz w:val="22"/>
          <w:szCs w:val="22"/>
          <w:lang w:val="es-ES_tradnl"/>
        </w:rPr>
        <w:t>Ámbito de aplicación</w:t>
      </w:r>
      <w:r w:rsidRPr="00884A73">
        <w:rPr>
          <w:rFonts w:ascii="Arial" w:eastAsia="Calibri" w:hAnsi="Arial" w:cs="Arial"/>
          <w:b/>
          <w:sz w:val="22"/>
          <w:szCs w:val="22"/>
          <w:lang w:val="es-ES_tradnl"/>
        </w:rPr>
        <w:t xml:space="preserve"> </w:t>
      </w:r>
    </w:p>
    <w:bookmarkEnd w:id="5"/>
    <w:p w14:paraId="3D42AD77" w14:textId="77777777" w:rsidR="004C76AA" w:rsidRPr="00884A73" w:rsidRDefault="004C76AA" w:rsidP="004C76AA">
      <w:pPr>
        <w:jc w:val="both"/>
        <w:rPr>
          <w:rFonts w:ascii="Arial" w:eastAsia="Calibri" w:hAnsi="Arial" w:cs="Arial"/>
          <w:b/>
          <w:lang w:val="es-ES_tradnl"/>
        </w:rPr>
      </w:pPr>
    </w:p>
    <w:p w14:paraId="4205709E" w14:textId="77777777" w:rsidR="004C76AA" w:rsidRPr="00884A73" w:rsidRDefault="004C76AA" w:rsidP="004C76AA">
      <w:pPr>
        <w:spacing w:after="120"/>
        <w:jc w:val="both"/>
        <w:rPr>
          <w:rFonts w:ascii="Arial" w:eastAsia="Calibri" w:hAnsi="Arial" w:cs="Arial"/>
          <w:sz w:val="20"/>
          <w:szCs w:val="20"/>
          <w:lang w:val="es-ES_tradnl"/>
        </w:rPr>
      </w:pPr>
      <w:r w:rsidRPr="00884A73">
        <w:rPr>
          <w:rFonts w:ascii="Arial" w:eastAsia="Calibri" w:hAnsi="Arial" w:cs="Arial"/>
          <w:sz w:val="20"/>
          <w:szCs w:val="20"/>
          <w:lang w:val="es-ES_tradnl"/>
        </w:rPr>
        <w:t>El 31 de diciembre de 2020 se promulgó la Ley 2069,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7220464F" w14:textId="65BE34B0" w:rsidR="004C76AA" w:rsidRPr="00884A73" w:rsidRDefault="004C76AA" w:rsidP="004C76AA">
      <w:pPr>
        <w:jc w:val="both"/>
        <w:rPr>
          <w:rFonts w:ascii="Arial" w:eastAsia="Calibri" w:hAnsi="Arial" w:cs="Arial"/>
          <w:b/>
          <w:sz w:val="22"/>
          <w:lang w:val="es-ES_tradnl"/>
        </w:rPr>
      </w:pPr>
      <w:r w:rsidRPr="00884A73">
        <w:rPr>
          <w:rFonts w:ascii="Arial" w:eastAsia="Calibri" w:hAnsi="Arial" w:cs="Arial"/>
          <w:sz w:val="20"/>
          <w:szCs w:val="20"/>
          <w:lang w:val="es-ES_tradnl"/>
        </w:rPr>
        <w:t xml:space="preserve">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884A73">
        <w:rPr>
          <w:rFonts w:ascii="Arial" w:eastAsia="Calibri" w:hAnsi="Arial" w:cs="Arial"/>
          <w:sz w:val="20"/>
          <w:szCs w:val="20"/>
          <w:lang w:val="es-ES_tradnl"/>
        </w:rPr>
        <w:t>de acuerdo a</w:t>
      </w:r>
      <w:proofErr w:type="gramEnd"/>
      <w:r w:rsidRPr="00884A73">
        <w:rPr>
          <w:rFonts w:ascii="Arial" w:eastAsia="Calibri" w:hAnsi="Arial" w:cs="Arial"/>
          <w:sz w:val="20"/>
          <w:szCs w:val="20"/>
          <w:lang w:val="es-ES_tradnl"/>
        </w:rPr>
        <w:t xml:space="preserve"> las realidades socioeconómicas de cada región». En desarrollo de esta finalidad, se establecen medidas de apoyo para las micro, pequeñas y medianas empresas –</w:t>
      </w:r>
      <w:proofErr w:type="spellStart"/>
      <w:r w:rsidRPr="00884A73">
        <w:rPr>
          <w:rFonts w:ascii="Arial" w:eastAsia="Calibri" w:hAnsi="Arial" w:cs="Arial"/>
          <w:sz w:val="20"/>
          <w:szCs w:val="20"/>
          <w:lang w:val="es-ES_tradnl"/>
        </w:rPr>
        <w:t>mipymes</w:t>
      </w:r>
      <w:proofErr w:type="spellEnd"/>
      <w:r w:rsidRPr="00884A73">
        <w:rPr>
          <w:rFonts w:ascii="Arial" w:eastAsia="Calibri" w:hAnsi="Arial" w:cs="Arial"/>
          <w:sz w:val="20"/>
          <w:szCs w:val="20"/>
          <w:lang w:val="es-ES_tradnl"/>
        </w:rPr>
        <w:t>–, mediante la racionalización y simplificación de los trámites y tarifas, así como incentivos a favor de aquellas dentro del sistema de compras y contratación pública. De igual forma, se consagran mecanismos de acceso al financiamiento, se unifican las fuentes de emprendimiento y de desarrollo empresarial, para fortalecer y promover los distintos sectores de la economía y se prevén medidas de educación para</w:t>
      </w:r>
    </w:p>
    <w:p w14:paraId="48215027" w14:textId="77777777" w:rsidR="004C76AA" w:rsidRPr="00884A73" w:rsidRDefault="004C76AA" w:rsidP="00EC224E">
      <w:pPr>
        <w:jc w:val="both"/>
        <w:rPr>
          <w:rFonts w:ascii="Arial" w:eastAsia="Calibri" w:hAnsi="Arial" w:cs="Arial"/>
          <w:b/>
          <w:sz w:val="22"/>
          <w:lang w:val="es-ES_tradnl"/>
        </w:rPr>
      </w:pPr>
    </w:p>
    <w:p w14:paraId="559444FF" w14:textId="74C1C293" w:rsidR="006D58F2" w:rsidRPr="00884A73" w:rsidRDefault="00A041C0" w:rsidP="000B728A">
      <w:pPr>
        <w:jc w:val="both"/>
        <w:rPr>
          <w:rFonts w:ascii="Arial" w:eastAsia="Calibri" w:hAnsi="Arial" w:cs="Arial"/>
          <w:b/>
          <w:sz w:val="22"/>
          <w:lang w:val="es-ES_tradnl"/>
        </w:rPr>
      </w:pPr>
      <w:r w:rsidRPr="00884A73">
        <w:rPr>
          <w:rFonts w:ascii="Arial" w:eastAsia="Calibri" w:hAnsi="Arial" w:cs="Arial"/>
          <w:b/>
          <w:sz w:val="22"/>
          <w:lang w:val="es-ES_tradnl"/>
        </w:rPr>
        <w:t>FACTORES DE DESEMPATE – Selección abreviada – Bienes y servicios de características técnicas uniformes – Ley 2069 de 2020 – Artículo 35 – Factores de desempate – Aplicación – Puntaje</w:t>
      </w:r>
    </w:p>
    <w:p w14:paraId="3CA2A048" w14:textId="77777777" w:rsidR="00A041C0" w:rsidRPr="00884A73" w:rsidRDefault="00A041C0" w:rsidP="00B95C30">
      <w:pPr>
        <w:spacing w:line="276" w:lineRule="auto"/>
        <w:jc w:val="both"/>
        <w:rPr>
          <w:rFonts w:ascii="Arial" w:hAnsi="Arial" w:cs="Arial"/>
          <w:noProof/>
          <w:sz w:val="22"/>
          <w:lang w:val="es-ES_tradnl"/>
        </w:rPr>
      </w:pPr>
    </w:p>
    <w:p w14:paraId="4810ADAB" w14:textId="7E06A3F5" w:rsidR="00A041C0" w:rsidRPr="00884A73" w:rsidRDefault="00A041C0" w:rsidP="00A041C0">
      <w:pPr>
        <w:jc w:val="both"/>
        <w:rPr>
          <w:rFonts w:ascii="Arial" w:hAnsi="Arial" w:cs="Arial"/>
          <w:sz w:val="20"/>
          <w:szCs w:val="20"/>
          <w:lang w:val="es-ES_tradnl"/>
        </w:rPr>
      </w:pPr>
      <w:r w:rsidRPr="00884A73">
        <w:rPr>
          <w:rFonts w:ascii="Arial" w:eastAsia="Calibri" w:hAnsi="Arial" w:cs="Arial"/>
          <w:sz w:val="20"/>
          <w:szCs w:val="20"/>
          <w:lang w:val="es-ES_tradnl"/>
        </w:rPr>
        <w:t xml:space="preserve">[L]os factores de desempate consagrados en el artículo 35 de la Ley 2069 de 2020 aplican en «[…]  </w:t>
      </w:r>
      <w:r w:rsidRPr="00884A73">
        <w:rPr>
          <w:rFonts w:ascii="Arial" w:eastAsia="Calibri" w:hAnsi="Arial" w:cs="Arial"/>
          <w:i/>
          <w:iCs/>
          <w:sz w:val="20"/>
          <w:szCs w:val="20"/>
          <w:lang w:val="es-ES_tradnl"/>
        </w:rPr>
        <w:t>en los Procesos de Contratación realizados con cargo a recursos públicos</w:t>
      </w:r>
      <w:r w:rsidRPr="00884A73">
        <w:rPr>
          <w:rFonts w:ascii="Arial" w:eastAsia="Calibri" w:hAnsi="Arial" w:cs="Arial"/>
          <w:sz w:val="20"/>
          <w:szCs w:val="20"/>
          <w:lang w:val="es-ES_tradnl"/>
        </w:rPr>
        <w:t xml:space="preserve">, los Procesos de Contratación realizados por las Entidades Estatales indistintamente de su régimen de contratación, así como los celebrados por los Procesos de Contratación de los patrimonios autónomos constituidos por Entidades Estatales» (énfasis fuera de texto). </w:t>
      </w:r>
      <w:r w:rsidRPr="00884A73">
        <w:rPr>
          <w:rFonts w:ascii="Arial" w:hAnsi="Arial" w:cs="Arial"/>
          <w:sz w:val="20"/>
          <w:szCs w:val="20"/>
          <w:lang w:val="es-ES_tradnl"/>
        </w:rPr>
        <w:t xml:space="preserve">Este artículo es una norma transversal al sistema de compras y contratación pública, que debe aplicarse en todos los procedimientos de selección adelantados por las entidades estatales con cargo a recursos públicos, lo que, ante ausencia de distinción alguna en la norma, aplica a los procesos de selección abreviada para la adquisición de bienes y servicios de características técnicas uniformes y de común utilización, en cualquiera de sus modalidades, incluso la de bolsa de productos.  Lo anterior además por cuanto, el artículo 35 de la Ley 2069 de 2020 debe interpretarse de manera sistemática con las demás disposiciones del EGCAP, particularmente, con el artículo 5 de la Ley 1150 de 2007. Conforme esta idea, la expresión </w:t>
      </w:r>
      <w:r w:rsidRPr="00884A73">
        <w:rPr>
          <w:rFonts w:ascii="Arial" w:hAnsi="Arial" w:cs="Arial"/>
          <w:i/>
          <w:iCs/>
          <w:sz w:val="20"/>
          <w:szCs w:val="20"/>
          <w:lang w:val="es-ES_tradnl"/>
        </w:rPr>
        <w:t>empate en el puntaje total</w:t>
      </w:r>
      <w:r w:rsidRPr="00884A73">
        <w:rPr>
          <w:rFonts w:ascii="Arial" w:hAnsi="Arial" w:cs="Arial"/>
          <w:sz w:val="20"/>
          <w:szCs w:val="20"/>
          <w:lang w:val="es-ES_tradnl"/>
        </w:rPr>
        <w:t xml:space="preserve"> apunta a las situaciones en la evaluación final de las ofertas en las que, realizándose la comparación de acuerdo con los factores de calificación, evaluación o ponderación aplicables al respectivo procedimiento, se presenta un empate entre dos o más propuestas. En ese entendido, con independencia de que la ponderación emplee puntajes, fórmulas, criterios de relación costo – beneficio o de que el único criterio de evaluación sea el menor precio, deben aplicarse los factores de desempate del artículo 35 de la Ley 2069 de 2020.</w:t>
      </w:r>
    </w:p>
    <w:p w14:paraId="770AB292" w14:textId="7071937B" w:rsidR="006D58F2" w:rsidRPr="00884A73" w:rsidRDefault="006D58F2" w:rsidP="00B95C30">
      <w:pPr>
        <w:spacing w:line="276" w:lineRule="auto"/>
        <w:jc w:val="both"/>
        <w:rPr>
          <w:rFonts w:ascii="Arial" w:hAnsi="Arial" w:cs="Arial"/>
          <w:noProof/>
          <w:sz w:val="22"/>
          <w:lang w:val="es-ES_tradnl"/>
        </w:rPr>
      </w:pPr>
    </w:p>
    <w:p w14:paraId="5033CD0B" w14:textId="6E4E0678" w:rsidR="006D58F2" w:rsidRPr="00884A73" w:rsidRDefault="006D58F2" w:rsidP="00B95C30">
      <w:pPr>
        <w:spacing w:line="276" w:lineRule="auto"/>
        <w:jc w:val="both"/>
        <w:rPr>
          <w:rFonts w:ascii="Arial" w:hAnsi="Arial" w:cs="Arial"/>
          <w:noProof/>
          <w:sz w:val="22"/>
          <w:lang w:val="es-ES_tradnl"/>
        </w:rPr>
      </w:pPr>
    </w:p>
    <w:p w14:paraId="425B23E0" w14:textId="77777777" w:rsidR="006D58F2" w:rsidRPr="00884A73" w:rsidRDefault="006D58F2" w:rsidP="00B95C30">
      <w:pPr>
        <w:spacing w:line="276" w:lineRule="auto"/>
        <w:jc w:val="both"/>
        <w:rPr>
          <w:rFonts w:ascii="Arial" w:hAnsi="Arial" w:cs="Arial"/>
          <w:noProof/>
          <w:sz w:val="22"/>
          <w:lang w:val="es-ES_tradnl"/>
        </w:rPr>
      </w:pPr>
    </w:p>
    <w:p w14:paraId="24A88D3F" w14:textId="692A56A9" w:rsidR="00F53F4F" w:rsidRPr="00884A73" w:rsidRDefault="00F53F4F" w:rsidP="00B95C30">
      <w:pPr>
        <w:jc w:val="both"/>
        <w:rPr>
          <w:rFonts w:ascii="Arial" w:hAnsi="Arial" w:cs="Arial"/>
          <w:b/>
          <w:sz w:val="22"/>
          <w:lang w:val="es-ES_tradnl"/>
        </w:rPr>
      </w:pPr>
    </w:p>
    <w:p w14:paraId="184B7488" w14:textId="6DBCC181" w:rsidR="00097F53" w:rsidRPr="00884A73" w:rsidRDefault="00097F53" w:rsidP="00B95C30">
      <w:pPr>
        <w:jc w:val="both"/>
        <w:rPr>
          <w:rFonts w:ascii="Arial" w:hAnsi="Arial" w:cs="Arial"/>
          <w:b/>
          <w:sz w:val="22"/>
          <w:lang w:val="es-ES_tradnl"/>
        </w:rPr>
      </w:pPr>
    </w:p>
    <w:p w14:paraId="7D585357" w14:textId="40823CF2" w:rsidR="00BE3700" w:rsidRPr="00884A73" w:rsidRDefault="00BE3700" w:rsidP="00B95C30">
      <w:pPr>
        <w:jc w:val="both"/>
        <w:rPr>
          <w:rFonts w:ascii="Arial" w:hAnsi="Arial" w:cs="Arial"/>
          <w:b/>
          <w:sz w:val="22"/>
          <w:lang w:val="es-ES_tradnl"/>
        </w:rPr>
      </w:pPr>
    </w:p>
    <w:p w14:paraId="7FC122E1" w14:textId="27A1FA23" w:rsidR="00BE3700" w:rsidRPr="00884A73" w:rsidRDefault="00884A73" w:rsidP="00884A73">
      <w:pPr>
        <w:ind w:left="4248" w:firstLine="708"/>
        <w:jc w:val="both"/>
        <w:rPr>
          <w:rFonts w:ascii="Arial" w:hAnsi="Arial" w:cs="Arial"/>
          <w:b/>
          <w:sz w:val="22"/>
          <w:lang w:val="es-ES_tradnl"/>
        </w:rPr>
      </w:pPr>
      <w:r w:rsidRPr="00884A73">
        <w:rPr>
          <w:rFonts w:ascii="Arial" w:hAnsi="Arial" w:cs="Arial"/>
          <w:b/>
          <w:sz w:val="22"/>
          <w:lang w:val="es-ES_tradnl"/>
        </w:rPr>
        <w:lastRenderedPageBreak/>
        <w:drawing>
          <wp:inline distT="0" distB="0" distL="0" distR="0" wp14:anchorId="0C05EB28" wp14:editId="5A1B1A39">
            <wp:extent cx="2448267" cy="676369"/>
            <wp:effectExtent l="0" t="0" r="9525" b="9525"/>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2448267" cy="676369"/>
                    </a:xfrm>
                    <a:prstGeom prst="rect">
                      <a:avLst/>
                    </a:prstGeom>
                  </pic:spPr>
                </pic:pic>
              </a:graphicData>
            </a:graphic>
          </wp:inline>
        </w:drawing>
      </w:r>
    </w:p>
    <w:p w14:paraId="1DD9E0DB" w14:textId="6B644CD0" w:rsidR="00C61863" w:rsidRPr="00884A73" w:rsidRDefault="00C61863" w:rsidP="00B95C30">
      <w:pPr>
        <w:jc w:val="both"/>
        <w:rPr>
          <w:rFonts w:ascii="Arial" w:hAnsi="Arial" w:cs="Arial"/>
          <w:b/>
          <w:sz w:val="22"/>
          <w:lang w:val="es-ES_tradnl"/>
        </w:rPr>
      </w:pPr>
    </w:p>
    <w:p w14:paraId="01E3C0CD" w14:textId="5CC9DB7D" w:rsidR="00DE2DF1" w:rsidRPr="00884A73" w:rsidRDefault="00DE2DF1" w:rsidP="00B95C30">
      <w:pPr>
        <w:jc w:val="both"/>
        <w:rPr>
          <w:rFonts w:ascii="Arial" w:hAnsi="Arial" w:cs="Arial"/>
          <w:b/>
          <w:sz w:val="22"/>
          <w:lang w:val="es-ES_tradnl"/>
        </w:rPr>
      </w:pPr>
    </w:p>
    <w:p w14:paraId="46F641FF" w14:textId="1389A2BF" w:rsidR="00884A73" w:rsidRPr="00884A73" w:rsidRDefault="00884A73" w:rsidP="00B95C30">
      <w:pPr>
        <w:jc w:val="both"/>
        <w:rPr>
          <w:rFonts w:ascii="Arial" w:hAnsi="Arial" w:cs="Arial"/>
          <w:bCs/>
          <w:sz w:val="22"/>
          <w:lang w:val="es-ES_tradnl"/>
        </w:rPr>
      </w:pPr>
      <w:r w:rsidRPr="00884A73">
        <w:rPr>
          <w:rFonts w:ascii="Arial" w:hAnsi="Arial" w:cs="Arial"/>
          <w:bCs/>
          <w:sz w:val="22"/>
          <w:lang w:val="es-ES_tradnl"/>
        </w:rPr>
        <w:t xml:space="preserve">Bogotá, 02 </w:t>
      </w:r>
      <w:proofErr w:type="gramStart"/>
      <w:r w:rsidRPr="00884A73">
        <w:rPr>
          <w:rFonts w:ascii="Arial" w:hAnsi="Arial" w:cs="Arial"/>
          <w:bCs/>
          <w:sz w:val="22"/>
          <w:lang w:val="es-ES_tradnl"/>
        </w:rPr>
        <w:t>Mayo</w:t>
      </w:r>
      <w:proofErr w:type="gramEnd"/>
      <w:r w:rsidRPr="00884A73">
        <w:rPr>
          <w:rFonts w:ascii="Arial" w:hAnsi="Arial" w:cs="Arial"/>
          <w:bCs/>
          <w:sz w:val="22"/>
          <w:lang w:val="es-ES_tradnl"/>
        </w:rPr>
        <w:t xml:space="preserve"> 2022</w:t>
      </w:r>
    </w:p>
    <w:p w14:paraId="568EBE70" w14:textId="77777777" w:rsidR="00884A73" w:rsidRPr="00884A73" w:rsidRDefault="00884A73" w:rsidP="00B95C30">
      <w:pPr>
        <w:jc w:val="both"/>
        <w:rPr>
          <w:rFonts w:ascii="Arial" w:hAnsi="Arial" w:cs="Arial"/>
          <w:bCs/>
          <w:sz w:val="22"/>
          <w:lang w:val="es-ES_tradnl"/>
        </w:rPr>
      </w:pPr>
    </w:p>
    <w:p w14:paraId="5F5AE9EF" w14:textId="7DE57BE7" w:rsidR="00B95C30" w:rsidRPr="00884A73" w:rsidRDefault="00541381" w:rsidP="00EB2ED0">
      <w:pPr>
        <w:jc w:val="both"/>
        <w:rPr>
          <w:rFonts w:ascii="Arial" w:eastAsia="Calibri" w:hAnsi="Arial" w:cs="Arial"/>
          <w:sz w:val="22"/>
          <w:lang w:val="es-ES_tradnl"/>
        </w:rPr>
      </w:pPr>
      <w:bookmarkStart w:id="6" w:name="_Hlk79395594"/>
      <w:r w:rsidRPr="00884A73">
        <w:rPr>
          <w:rFonts w:ascii="Arial" w:eastAsia="Calibri" w:hAnsi="Arial" w:cs="Arial"/>
          <w:sz w:val="22"/>
          <w:lang w:val="es-ES_tradnl"/>
        </w:rPr>
        <w:t>Señor</w:t>
      </w:r>
    </w:p>
    <w:p w14:paraId="4C0289FC" w14:textId="3B2294BA" w:rsidR="00541381" w:rsidRPr="00884A73" w:rsidRDefault="00541381" w:rsidP="00940DBD">
      <w:pPr>
        <w:jc w:val="both"/>
        <w:rPr>
          <w:rFonts w:ascii="Arial" w:hAnsi="Arial" w:cs="Arial"/>
          <w:b/>
          <w:bCs/>
          <w:sz w:val="22"/>
          <w:szCs w:val="22"/>
        </w:rPr>
      </w:pPr>
      <w:r w:rsidRPr="00884A73">
        <w:rPr>
          <w:rFonts w:ascii="Arial" w:hAnsi="Arial" w:cs="Arial"/>
          <w:b/>
          <w:bCs/>
          <w:sz w:val="22"/>
          <w:szCs w:val="22"/>
        </w:rPr>
        <w:t>Oliver T</w:t>
      </w:r>
      <w:r w:rsidR="00AE075C" w:rsidRPr="00884A73">
        <w:rPr>
          <w:rFonts w:ascii="Arial" w:hAnsi="Arial" w:cs="Arial"/>
          <w:b/>
          <w:bCs/>
          <w:sz w:val="22"/>
          <w:szCs w:val="22"/>
        </w:rPr>
        <w:t>é</w:t>
      </w:r>
      <w:r w:rsidRPr="00884A73">
        <w:rPr>
          <w:rFonts w:ascii="Arial" w:hAnsi="Arial" w:cs="Arial"/>
          <w:b/>
          <w:bCs/>
          <w:sz w:val="22"/>
          <w:szCs w:val="22"/>
        </w:rPr>
        <w:t xml:space="preserve">llez </w:t>
      </w:r>
    </w:p>
    <w:p w14:paraId="09D4AEA8" w14:textId="62B1A724" w:rsidR="00B95C30" w:rsidRPr="00884A73" w:rsidRDefault="00903679" w:rsidP="00EB2ED0">
      <w:pPr>
        <w:jc w:val="both"/>
        <w:rPr>
          <w:rFonts w:ascii="Arial" w:eastAsia="Calibri" w:hAnsi="Arial" w:cs="Arial"/>
          <w:sz w:val="22"/>
          <w:lang w:val="es-ES_tradnl"/>
        </w:rPr>
      </w:pPr>
      <w:r w:rsidRPr="00884A73">
        <w:rPr>
          <w:rFonts w:ascii="Arial" w:eastAsia="Calibri" w:hAnsi="Arial" w:cs="Arial"/>
          <w:sz w:val="22"/>
          <w:lang w:val="es-ES_tradnl"/>
        </w:rPr>
        <w:t>Bogotá D.C.</w:t>
      </w:r>
    </w:p>
    <w:p w14:paraId="48E36FCF" w14:textId="26F8F950" w:rsidR="00F53F4F" w:rsidRPr="00884A73" w:rsidRDefault="00F53F4F" w:rsidP="00EB2ED0">
      <w:pPr>
        <w:jc w:val="both"/>
        <w:rPr>
          <w:rFonts w:ascii="Arial" w:eastAsia="Calibri" w:hAnsi="Arial" w:cs="Arial"/>
          <w:sz w:val="22"/>
          <w:lang w:val="es-ES_tradnl"/>
        </w:rPr>
      </w:pPr>
    </w:p>
    <w:p w14:paraId="12E66182" w14:textId="52F19637" w:rsidR="00B95C30" w:rsidRPr="00884A73" w:rsidRDefault="00F53F4F" w:rsidP="00EB2ED0">
      <w:pPr>
        <w:rPr>
          <w:rFonts w:ascii="Arial" w:eastAsia="Calibri" w:hAnsi="Arial" w:cs="Arial"/>
          <w:b/>
          <w:bCs/>
          <w:sz w:val="22"/>
          <w:lang w:val="es-ES_tradnl"/>
        </w:rPr>
      </w:pPr>
      <w:r w:rsidRPr="00884A73">
        <w:rPr>
          <w:rFonts w:ascii="Arial" w:eastAsia="Calibri" w:hAnsi="Arial" w:cs="Arial"/>
          <w:b/>
          <w:bCs/>
          <w:sz w:val="22"/>
          <w:lang w:val="es-ES_tradnl"/>
        </w:rPr>
        <w:t xml:space="preserve">                                            </w:t>
      </w:r>
      <w:r w:rsidR="00B95C30" w:rsidRPr="00884A73">
        <w:rPr>
          <w:rFonts w:ascii="Arial" w:eastAsia="Calibri" w:hAnsi="Arial" w:cs="Arial"/>
          <w:b/>
          <w:bCs/>
          <w:sz w:val="22"/>
          <w:lang w:val="es-ES_tradnl"/>
        </w:rPr>
        <w:t xml:space="preserve">Concepto C ‒ </w:t>
      </w:r>
      <w:r w:rsidR="00D600FA" w:rsidRPr="00884A73">
        <w:rPr>
          <w:rFonts w:ascii="Arial" w:eastAsia="Calibri" w:hAnsi="Arial" w:cs="Arial"/>
          <w:b/>
          <w:bCs/>
          <w:sz w:val="22"/>
          <w:lang w:val="es-ES_tradnl"/>
        </w:rPr>
        <w:t>253</w:t>
      </w:r>
      <w:r w:rsidR="00B95C30" w:rsidRPr="00884A73">
        <w:rPr>
          <w:rFonts w:ascii="Arial" w:eastAsia="Calibri" w:hAnsi="Arial" w:cs="Arial"/>
          <w:b/>
          <w:bCs/>
          <w:sz w:val="22"/>
          <w:lang w:val="es-ES_tradnl"/>
        </w:rPr>
        <w:t xml:space="preserve"> de 202</w:t>
      </w:r>
      <w:r w:rsidR="00D600FA" w:rsidRPr="00884A73">
        <w:rPr>
          <w:rFonts w:ascii="Arial" w:eastAsia="Calibri" w:hAnsi="Arial" w:cs="Arial"/>
          <w:b/>
          <w:bCs/>
          <w:sz w:val="22"/>
          <w:lang w:val="es-ES_tradnl"/>
        </w:rPr>
        <w:t>2</w:t>
      </w:r>
    </w:p>
    <w:p w14:paraId="1BD594F9" w14:textId="77777777" w:rsidR="00B95C30" w:rsidRPr="00884A73" w:rsidRDefault="00B95C30" w:rsidP="00EB2ED0">
      <w:pPr>
        <w:jc w:val="both"/>
        <w:rPr>
          <w:rFonts w:ascii="Arial" w:eastAsia="Calibri" w:hAnsi="Arial" w:cs="Arial"/>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645C7B" w:rsidRPr="00884A73" w14:paraId="19DFC051" w14:textId="77777777" w:rsidTr="008F4163">
        <w:tc>
          <w:tcPr>
            <w:tcW w:w="2689" w:type="dxa"/>
          </w:tcPr>
          <w:p w14:paraId="6BC0D1AC" w14:textId="77777777" w:rsidR="00B95C30" w:rsidRPr="00884A73" w:rsidRDefault="00B95C30" w:rsidP="00EB2ED0">
            <w:pPr>
              <w:jc w:val="both"/>
              <w:rPr>
                <w:rFonts w:ascii="Arial" w:eastAsia="Calibri" w:hAnsi="Arial" w:cs="Arial"/>
                <w:sz w:val="22"/>
                <w:lang w:val="es-ES_tradnl"/>
              </w:rPr>
            </w:pPr>
            <w:r w:rsidRPr="00884A73">
              <w:rPr>
                <w:rFonts w:ascii="Arial" w:eastAsia="Calibri" w:hAnsi="Arial" w:cs="Arial"/>
                <w:b/>
                <w:sz w:val="22"/>
                <w:lang w:val="es-ES_tradnl"/>
              </w:rPr>
              <w:t>Temas:</w:t>
            </w:r>
            <w:r w:rsidRPr="00884A73">
              <w:rPr>
                <w:rFonts w:ascii="Arial" w:eastAsia="Calibri" w:hAnsi="Arial" w:cs="Arial"/>
                <w:sz w:val="22"/>
                <w:lang w:val="es-ES_tradnl"/>
              </w:rPr>
              <w:t xml:space="preserve">                                      </w:t>
            </w:r>
          </w:p>
        </w:tc>
        <w:tc>
          <w:tcPr>
            <w:tcW w:w="6237" w:type="dxa"/>
          </w:tcPr>
          <w:p w14:paraId="5F389CAF" w14:textId="665A9038" w:rsidR="00B95C30" w:rsidRPr="00884A73" w:rsidRDefault="00186155" w:rsidP="00EB2ED0">
            <w:pPr>
              <w:jc w:val="both"/>
              <w:rPr>
                <w:rFonts w:ascii="Arial" w:eastAsia="Calibri" w:hAnsi="Arial" w:cs="Arial"/>
                <w:sz w:val="22"/>
                <w:lang w:val="es-ES_tradnl"/>
              </w:rPr>
            </w:pPr>
            <w:r w:rsidRPr="00884A73">
              <w:rPr>
                <w:rFonts w:ascii="Arial" w:eastAsia="Calibri" w:hAnsi="Arial" w:cs="Arial"/>
                <w:bCs/>
                <w:sz w:val="22"/>
                <w:lang w:val="es-ES_tradnl"/>
              </w:rPr>
              <w:t xml:space="preserve">SELECCIÓN OBJETIVA – Contratación estatal – Concepto / EMPATE – Procedimiento de selección – Concepto / FACTORES DE DESEMPATE – Características – Límites / LEY DE EMPRENDIMIENTO – Ley 2069 de 2020 </w:t>
            </w:r>
            <w:r w:rsidR="00B45953" w:rsidRPr="00884A73">
              <w:rPr>
                <w:rFonts w:ascii="Arial" w:eastAsia="Calibri" w:hAnsi="Arial" w:cs="Arial"/>
                <w:bCs/>
                <w:sz w:val="22"/>
                <w:lang w:val="es-ES_tradnl"/>
              </w:rPr>
              <w:t xml:space="preserve">– Ámbito de aplicación </w:t>
            </w:r>
            <w:r w:rsidRPr="00884A73">
              <w:rPr>
                <w:rFonts w:ascii="Arial" w:eastAsia="Calibri" w:hAnsi="Arial" w:cs="Arial"/>
                <w:bCs/>
                <w:sz w:val="22"/>
                <w:lang w:val="es-ES_tradnl"/>
              </w:rPr>
              <w:t>/ FACTORES DE DESEMPATE –</w:t>
            </w:r>
            <w:r w:rsidR="00B45953" w:rsidRPr="00884A73">
              <w:rPr>
                <w:rFonts w:ascii="Arial" w:eastAsia="Calibri" w:hAnsi="Arial" w:cs="Arial"/>
                <w:bCs/>
                <w:sz w:val="22"/>
                <w:lang w:val="es-ES_tradnl"/>
              </w:rPr>
              <w:t>Selección abreviada</w:t>
            </w:r>
            <w:r w:rsidR="00A041C0" w:rsidRPr="00884A73">
              <w:rPr>
                <w:rFonts w:ascii="Arial" w:eastAsia="Calibri" w:hAnsi="Arial" w:cs="Arial"/>
                <w:bCs/>
                <w:sz w:val="22"/>
                <w:lang w:val="es-ES_tradnl"/>
              </w:rPr>
              <w:t xml:space="preserve"> </w:t>
            </w:r>
            <w:r w:rsidRPr="00884A73">
              <w:rPr>
                <w:rFonts w:ascii="Arial" w:eastAsia="Calibri" w:hAnsi="Arial" w:cs="Arial"/>
                <w:bCs/>
                <w:sz w:val="22"/>
                <w:lang w:val="es-ES_tradnl"/>
              </w:rPr>
              <w:t>–</w:t>
            </w:r>
            <w:r w:rsidR="00A041C0" w:rsidRPr="00884A73">
              <w:rPr>
                <w:rFonts w:ascii="Arial" w:eastAsia="Calibri" w:hAnsi="Arial" w:cs="Arial"/>
                <w:bCs/>
                <w:sz w:val="22"/>
                <w:lang w:val="es-ES_tradnl"/>
              </w:rPr>
              <w:t xml:space="preserve"> Bienes y servicios de características técnicas uniformes y de común utilización </w:t>
            </w:r>
            <w:r w:rsidR="00A216FB" w:rsidRPr="00884A73">
              <w:rPr>
                <w:rFonts w:ascii="Arial" w:eastAsia="Calibri" w:hAnsi="Arial" w:cs="Arial"/>
                <w:bCs/>
                <w:sz w:val="22"/>
                <w:lang w:val="es-ES_tradnl"/>
              </w:rPr>
              <w:t>–</w:t>
            </w:r>
            <w:r w:rsidRPr="00884A73">
              <w:rPr>
                <w:rFonts w:ascii="Arial" w:eastAsia="Calibri" w:hAnsi="Arial" w:cs="Arial"/>
                <w:bCs/>
                <w:sz w:val="22"/>
                <w:lang w:val="es-ES_tradnl"/>
              </w:rPr>
              <w:t xml:space="preserve"> Ley 2069 de 2020 – Artículo 35 – Factores de desempate – Aplicación – Puntaje</w:t>
            </w:r>
          </w:p>
        </w:tc>
      </w:tr>
      <w:tr w:rsidR="00645C7B" w:rsidRPr="00884A73" w14:paraId="27CD52AB" w14:textId="77777777" w:rsidTr="008F4163">
        <w:tc>
          <w:tcPr>
            <w:tcW w:w="2689" w:type="dxa"/>
          </w:tcPr>
          <w:p w14:paraId="37E195A1" w14:textId="1BA218D5" w:rsidR="00B95C30" w:rsidRPr="00884A73" w:rsidRDefault="00B95C30" w:rsidP="00EB2ED0">
            <w:pPr>
              <w:spacing w:before="120"/>
              <w:jc w:val="both"/>
              <w:rPr>
                <w:rFonts w:ascii="Arial" w:eastAsia="Calibri" w:hAnsi="Arial" w:cs="Arial"/>
                <w:b/>
                <w:sz w:val="22"/>
                <w:lang w:val="es-ES_tradnl"/>
              </w:rPr>
            </w:pPr>
            <w:r w:rsidRPr="00884A73">
              <w:rPr>
                <w:rFonts w:ascii="Arial" w:eastAsia="Calibri" w:hAnsi="Arial" w:cs="Arial"/>
                <w:b/>
                <w:sz w:val="22"/>
                <w:lang w:val="es-ES_tradnl"/>
              </w:rPr>
              <w:t>Radicación:</w:t>
            </w:r>
            <w:r w:rsidRPr="00884A73">
              <w:rPr>
                <w:rFonts w:ascii="Arial" w:eastAsia="Calibri" w:hAnsi="Arial" w:cs="Arial"/>
                <w:sz w:val="22"/>
                <w:lang w:val="es-ES_tradnl"/>
              </w:rPr>
              <w:t xml:space="preserve">                              </w:t>
            </w:r>
          </w:p>
        </w:tc>
        <w:tc>
          <w:tcPr>
            <w:tcW w:w="6237" w:type="dxa"/>
          </w:tcPr>
          <w:p w14:paraId="09088B1B" w14:textId="2E4796A2" w:rsidR="00B95C30" w:rsidRPr="00884A73" w:rsidRDefault="00B95C30" w:rsidP="00EB2ED0">
            <w:pPr>
              <w:spacing w:before="120"/>
              <w:jc w:val="both"/>
              <w:rPr>
                <w:rFonts w:ascii="Arial" w:eastAsia="Calibri" w:hAnsi="Arial" w:cs="Arial"/>
                <w:sz w:val="22"/>
                <w:lang w:val="es-ES_tradnl"/>
              </w:rPr>
            </w:pPr>
            <w:r w:rsidRPr="00884A73">
              <w:rPr>
                <w:rFonts w:ascii="Arial" w:eastAsia="Calibri" w:hAnsi="Arial" w:cs="Arial"/>
                <w:sz w:val="22"/>
                <w:lang w:val="es-ES_tradnl"/>
              </w:rPr>
              <w:t xml:space="preserve">Respuesta a consulta # </w:t>
            </w:r>
            <w:r w:rsidR="00B50E93" w:rsidRPr="00884A73">
              <w:rPr>
                <w:rFonts w:ascii="Arial" w:eastAsia="Calibri" w:hAnsi="Arial" w:cs="Arial"/>
                <w:sz w:val="22"/>
                <w:lang w:val="es-ES_tradnl"/>
              </w:rPr>
              <w:t>P20220317002652</w:t>
            </w:r>
          </w:p>
        </w:tc>
      </w:tr>
    </w:tbl>
    <w:p w14:paraId="61B55CA4" w14:textId="77777777" w:rsidR="00716BB0" w:rsidRPr="00884A73" w:rsidRDefault="00716BB0" w:rsidP="00EB2ED0">
      <w:pPr>
        <w:jc w:val="both"/>
        <w:rPr>
          <w:rFonts w:ascii="Arial" w:eastAsia="Calibri" w:hAnsi="Arial" w:cs="Arial"/>
          <w:sz w:val="22"/>
          <w:lang w:val="es-ES_tradnl"/>
        </w:rPr>
      </w:pPr>
    </w:p>
    <w:p w14:paraId="4B9B5156" w14:textId="77777777" w:rsidR="00716BB0" w:rsidRPr="00884A73" w:rsidRDefault="00716BB0" w:rsidP="00EB2ED0">
      <w:pPr>
        <w:jc w:val="both"/>
        <w:rPr>
          <w:rFonts w:ascii="Arial" w:eastAsia="Calibri" w:hAnsi="Arial" w:cs="Arial"/>
          <w:sz w:val="22"/>
          <w:lang w:val="es-ES_tradnl"/>
        </w:rPr>
      </w:pPr>
    </w:p>
    <w:p w14:paraId="1CF4AEA0" w14:textId="0519CC53" w:rsidR="003C3339" w:rsidRPr="00884A73" w:rsidRDefault="003C3339" w:rsidP="00EB2ED0">
      <w:pPr>
        <w:jc w:val="both"/>
        <w:rPr>
          <w:rFonts w:ascii="Arial" w:eastAsia="Calibri" w:hAnsi="Arial" w:cs="Arial"/>
          <w:sz w:val="22"/>
          <w:lang w:val="es-ES_tradnl"/>
        </w:rPr>
      </w:pPr>
      <w:r w:rsidRPr="00884A73">
        <w:rPr>
          <w:rFonts w:ascii="Arial" w:eastAsia="Calibri" w:hAnsi="Arial" w:cs="Arial"/>
          <w:sz w:val="22"/>
          <w:lang w:val="es-ES_tradnl"/>
        </w:rPr>
        <w:t>Estimad</w:t>
      </w:r>
      <w:r w:rsidR="00940DBD" w:rsidRPr="00884A73">
        <w:rPr>
          <w:rFonts w:ascii="Arial" w:eastAsia="Calibri" w:hAnsi="Arial" w:cs="Arial"/>
          <w:sz w:val="22"/>
          <w:lang w:val="es-ES_tradnl"/>
        </w:rPr>
        <w:t>o</w:t>
      </w:r>
      <w:r w:rsidRPr="00884A73">
        <w:rPr>
          <w:rFonts w:ascii="Arial" w:eastAsia="Calibri" w:hAnsi="Arial" w:cs="Arial"/>
          <w:sz w:val="22"/>
          <w:lang w:val="es-ES_tradnl"/>
        </w:rPr>
        <w:t xml:space="preserve"> </w:t>
      </w:r>
      <w:r w:rsidR="003E27F5" w:rsidRPr="00884A73">
        <w:rPr>
          <w:rFonts w:ascii="Arial" w:eastAsia="Calibri" w:hAnsi="Arial" w:cs="Arial"/>
          <w:sz w:val="22"/>
          <w:lang w:val="es-ES_tradnl"/>
        </w:rPr>
        <w:t>señor</w:t>
      </w:r>
      <w:r w:rsidR="00BE4FBF" w:rsidRPr="00884A73">
        <w:rPr>
          <w:rFonts w:ascii="Arial" w:eastAsia="Calibri" w:hAnsi="Arial" w:cs="Arial"/>
          <w:sz w:val="22"/>
          <w:lang w:val="es-ES_tradnl"/>
        </w:rPr>
        <w:t xml:space="preserve"> </w:t>
      </w:r>
      <w:r w:rsidR="00D05FBF" w:rsidRPr="00884A73">
        <w:rPr>
          <w:rFonts w:ascii="Arial" w:eastAsia="Calibri" w:hAnsi="Arial" w:cs="Arial"/>
          <w:sz w:val="22"/>
          <w:lang w:val="es-ES_tradnl"/>
        </w:rPr>
        <w:t>Téllez</w:t>
      </w:r>
      <w:r w:rsidRPr="00884A73">
        <w:rPr>
          <w:rFonts w:ascii="Arial" w:eastAsia="Calibri" w:hAnsi="Arial" w:cs="Arial"/>
          <w:sz w:val="22"/>
          <w:lang w:val="es-ES_tradnl"/>
        </w:rPr>
        <w:t>:</w:t>
      </w:r>
    </w:p>
    <w:p w14:paraId="1EAE5543" w14:textId="77777777" w:rsidR="00DD5B04" w:rsidRPr="00884A73" w:rsidRDefault="00DD5B04" w:rsidP="00EB2ED0">
      <w:pPr>
        <w:jc w:val="both"/>
        <w:rPr>
          <w:rFonts w:ascii="Arial" w:eastAsia="Calibri" w:hAnsi="Arial" w:cs="Arial"/>
          <w:sz w:val="22"/>
          <w:lang w:val="es-ES_tradnl"/>
        </w:rPr>
      </w:pPr>
    </w:p>
    <w:p w14:paraId="2109B2D3" w14:textId="791D2285" w:rsidR="00DD5B04" w:rsidRPr="00884A73" w:rsidRDefault="00DD5B04" w:rsidP="00EB2ED0">
      <w:pPr>
        <w:spacing w:line="276" w:lineRule="auto"/>
        <w:jc w:val="both"/>
        <w:rPr>
          <w:rFonts w:ascii="Arial" w:eastAsia="Calibri" w:hAnsi="Arial" w:cs="Arial"/>
          <w:sz w:val="22"/>
          <w:lang w:val="es-ES_tradnl"/>
        </w:rPr>
      </w:pPr>
      <w:r w:rsidRPr="00884A73">
        <w:rPr>
          <w:rFonts w:ascii="Arial" w:eastAsia="Calibri" w:hAnsi="Arial" w:cs="Arial"/>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884A73">
        <w:rPr>
          <w:rFonts w:ascii="Arial" w:eastAsia="Calibri" w:hAnsi="Arial" w:cs="Arial"/>
          <w:sz w:val="22"/>
          <w:lang w:val="es-ES_tradnl"/>
        </w:rPr>
        <w:t xml:space="preserve"> </w:t>
      </w:r>
      <w:r w:rsidRPr="00884A73">
        <w:rPr>
          <w:rFonts w:ascii="Arial" w:eastAsia="Calibri" w:hAnsi="Arial" w:cs="Arial"/>
          <w:sz w:val="22"/>
          <w:lang w:val="es-ES_tradnl"/>
        </w:rPr>
        <w:t xml:space="preserve">responde su consulta del </w:t>
      </w:r>
      <w:r w:rsidR="00D600FA" w:rsidRPr="00884A73">
        <w:rPr>
          <w:rFonts w:ascii="Arial" w:eastAsia="Calibri" w:hAnsi="Arial" w:cs="Arial"/>
          <w:sz w:val="22"/>
          <w:lang w:val="es-ES_tradnl"/>
        </w:rPr>
        <w:t>18</w:t>
      </w:r>
      <w:r w:rsidR="00D05FBF" w:rsidRPr="00884A73">
        <w:rPr>
          <w:rFonts w:ascii="Arial" w:eastAsia="Calibri" w:hAnsi="Arial" w:cs="Arial"/>
          <w:sz w:val="22"/>
          <w:lang w:val="es-ES_tradnl"/>
        </w:rPr>
        <w:t xml:space="preserve"> </w:t>
      </w:r>
      <w:r w:rsidR="00FD4AF3" w:rsidRPr="00884A73">
        <w:rPr>
          <w:rFonts w:ascii="Arial" w:eastAsia="Calibri" w:hAnsi="Arial" w:cs="Arial"/>
          <w:sz w:val="22"/>
          <w:lang w:val="es-ES_tradnl"/>
        </w:rPr>
        <w:t xml:space="preserve">de </w:t>
      </w:r>
      <w:r w:rsidR="00D600FA" w:rsidRPr="00884A73">
        <w:rPr>
          <w:rFonts w:ascii="Arial" w:eastAsia="Calibri" w:hAnsi="Arial" w:cs="Arial"/>
          <w:sz w:val="22"/>
          <w:lang w:val="es-ES_tradnl"/>
        </w:rPr>
        <w:t>marzo</w:t>
      </w:r>
      <w:r w:rsidRPr="00884A73">
        <w:rPr>
          <w:rFonts w:ascii="Arial" w:eastAsia="Calibri" w:hAnsi="Arial" w:cs="Arial"/>
          <w:sz w:val="22"/>
          <w:lang w:val="es-ES_tradnl"/>
        </w:rPr>
        <w:t xml:space="preserve"> de</w:t>
      </w:r>
      <w:r w:rsidR="007E74BF" w:rsidRPr="00884A73">
        <w:rPr>
          <w:rFonts w:ascii="Arial" w:eastAsia="Calibri" w:hAnsi="Arial" w:cs="Arial"/>
          <w:sz w:val="22"/>
          <w:lang w:val="es-ES_tradnl"/>
        </w:rPr>
        <w:t xml:space="preserve"> </w:t>
      </w:r>
      <w:r w:rsidRPr="00884A73">
        <w:rPr>
          <w:rFonts w:ascii="Arial" w:eastAsia="Calibri" w:hAnsi="Arial" w:cs="Arial"/>
          <w:sz w:val="22"/>
          <w:lang w:val="es-ES_tradnl"/>
        </w:rPr>
        <w:t>202</w:t>
      </w:r>
      <w:r w:rsidR="00D600FA" w:rsidRPr="00884A73">
        <w:rPr>
          <w:rFonts w:ascii="Arial" w:eastAsia="Calibri" w:hAnsi="Arial" w:cs="Arial"/>
          <w:sz w:val="22"/>
          <w:lang w:val="es-ES_tradnl"/>
        </w:rPr>
        <w:t>2</w:t>
      </w:r>
      <w:r w:rsidR="008C3C57" w:rsidRPr="00884A73">
        <w:rPr>
          <w:rFonts w:ascii="Arial" w:eastAsia="Calibri" w:hAnsi="Arial" w:cs="Arial"/>
          <w:sz w:val="22"/>
          <w:lang w:val="es-ES_tradnl"/>
        </w:rPr>
        <w:t>.</w:t>
      </w:r>
      <w:r w:rsidR="009013B8" w:rsidRPr="00884A73">
        <w:rPr>
          <w:rFonts w:ascii="Arial" w:eastAsia="Calibri" w:hAnsi="Arial" w:cs="Arial"/>
          <w:sz w:val="22"/>
          <w:lang w:val="es-ES_tradnl"/>
        </w:rPr>
        <w:t xml:space="preserve"> </w:t>
      </w:r>
    </w:p>
    <w:p w14:paraId="0C1E0712" w14:textId="77777777" w:rsidR="00DD5B04" w:rsidRPr="00884A73" w:rsidRDefault="00DD5B04" w:rsidP="00EB2ED0">
      <w:pPr>
        <w:jc w:val="both"/>
        <w:rPr>
          <w:rFonts w:ascii="Arial" w:eastAsia="Calibri" w:hAnsi="Arial" w:cs="Arial"/>
          <w:bCs/>
          <w:sz w:val="22"/>
          <w:lang w:val="es-ES_tradnl"/>
        </w:rPr>
      </w:pPr>
    </w:p>
    <w:p w14:paraId="7701FCC7" w14:textId="77777777" w:rsidR="00DD5B04" w:rsidRPr="00884A73" w:rsidRDefault="00DD5B04" w:rsidP="00EB2ED0">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sz w:val="22"/>
          <w:lang w:val="es-ES_tradnl"/>
        </w:rPr>
      </w:pPr>
      <w:r w:rsidRPr="00884A73">
        <w:rPr>
          <w:rFonts w:ascii="Arial" w:eastAsia="Calibri" w:hAnsi="Arial" w:cs="Arial"/>
          <w:b/>
          <w:sz w:val="22"/>
          <w:lang w:val="es-ES_tradnl"/>
        </w:rPr>
        <w:t xml:space="preserve">Problema planteado </w:t>
      </w:r>
    </w:p>
    <w:p w14:paraId="224B43D3" w14:textId="77777777" w:rsidR="00DD5B04" w:rsidRPr="00884A73" w:rsidRDefault="00DD5B04" w:rsidP="00EB2ED0">
      <w:pPr>
        <w:tabs>
          <w:tab w:val="left" w:pos="426"/>
        </w:tabs>
        <w:jc w:val="both"/>
        <w:rPr>
          <w:rFonts w:ascii="Arial" w:eastAsia="Calibri" w:hAnsi="Arial" w:cs="Arial"/>
          <w:bCs/>
          <w:sz w:val="22"/>
          <w:lang w:val="es-ES_tradnl"/>
        </w:rPr>
      </w:pPr>
    </w:p>
    <w:p w14:paraId="61BDE6CD" w14:textId="3B5BA1BD" w:rsidR="009E2103" w:rsidRPr="00884A73" w:rsidRDefault="00825B01" w:rsidP="00950A54">
      <w:pPr>
        <w:autoSpaceDE w:val="0"/>
        <w:autoSpaceDN w:val="0"/>
        <w:adjustRightInd w:val="0"/>
        <w:spacing w:line="276" w:lineRule="auto"/>
        <w:jc w:val="both"/>
        <w:rPr>
          <w:rFonts w:ascii="Arial" w:hAnsi="Arial" w:cs="Arial"/>
          <w:sz w:val="22"/>
          <w:szCs w:val="22"/>
          <w:lang w:val="es-ES_tradnl"/>
        </w:rPr>
      </w:pPr>
      <w:r w:rsidRPr="00884A73">
        <w:rPr>
          <w:rFonts w:ascii="Arial" w:hAnsi="Arial" w:cs="Arial"/>
          <w:sz w:val="22"/>
          <w:szCs w:val="22"/>
          <w:lang w:val="es-ES_tradnl"/>
        </w:rPr>
        <w:t xml:space="preserve">Usted realiza la siguiente consulta relativa </w:t>
      </w:r>
      <w:r w:rsidR="00C20625" w:rsidRPr="00884A73">
        <w:rPr>
          <w:rFonts w:ascii="Arial" w:hAnsi="Arial" w:cs="Arial"/>
          <w:sz w:val="22"/>
          <w:szCs w:val="22"/>
          <w:lang w:val="es-ES_tradnl"/>
        </w:rPr>
        <w:t>a la aplicación de los factores de desempate</w:t>
      </w:r>
      <w:r w:rsidR="008A3BA3" w:rsidRPr="00884A73">
        <w:rPr>
          <w:rFonts w:ascii="Arial" w:hAnsi="Arial" w:cs="Arial"/>
          <w:sz w:val="22"/>
          <w:szCs w:val="22"/>
          <w:lang w:val="es-ES_tradnl"/>
        </w:rPr>
        <w:t xml:space="preserve"> de</w:t>
      </w:r>
      <w:r w:rsidR="001C3362" w:rsidRPr="00884A73">
        <w:rPr>
          <w:rFonts w:ascii="Arial" w:hAnsi="Arial" w:cs="Arial"/>
          <w:sz w:val="22"/>
          <w:szCs w:val="22"/>
          <w:lang w:val="es-ES_tradnl"/>
        </w:rPr>
        <w:t>l</w:t>
      </w:r>
      <w:r w:rsidR="008A3BA3" w:rsidRPr="00884A73">
        <w:rPr>
          <w:rFonts w:ascii="Arial" w:hAnsi="Arial" w:cs="Arial"/>
          <w:sz w:val="22"/>
          <w:szCs w:val="22"/>
          <w:lang w:val="es-ES_tradnl"/>
        </w:rPr>
        <w:t xml:space="preserve"> </w:t>
      </w:r>
      <w:r w:rsidR="001C3362" w:rsidRPr="00884A73">
        <w:rPr>
          <w:rFonts w:ascii="Arial" w:hAnsi="Arial" w:cs="Arial"/>
          <w:sz w:val="22"/>
          <w:szCs w:val="22"/>
          <w:lang w:val="es-ES_tradnl"/>
        </w:rPr>
        <w:t xml:space="preserve">artículo </w:t>
      </w:r>
      <w:r w:rsidR="00C90AFF" w:rsidRPr="00884A73">
        <w:rPr>
          <w:rFonts w:ascii="Arial" w:hAnsi="Arial" w:cs="Arial"/>
          <w:sz w:val="22"/>
          <w:szCs w:val="22"/>
          <w:lang w:val="es-ES_tradnl"/>
        </w:rPr>
        <w:t xml:space="preserve">35 </w:t>
      </w:r>
      <w:r w:rsidR="008A3BA3" w:rsidRPr="00884A73">
        <w:rPr>
          <w:rFonts w:ascii="Arial" w:hAnsi="Arial" w:cs="Arial"/>
          <w:sz w:val="22"/>
          <w:szCs w:val="22"/>
          <w:lang w:val="es-ES_tradnl"/>
        </w:rPr>
        <w:t>la Ley 2069 de 2020</w:t>
      </w:r>
      <w:r w:rsidR="00F4655D" w:rsidRPr="00884A73">
        <w:rPr>
          <w:rFonts w:ascii="Arial" w:hAnsi="Arial" w:cs="Arial"/>
          <w:sz w:val="22"/>
          <w:szCs w:val="22"/>
          <w:lang w:val="es-ES_tradnl"/>
        </w:rPr>
        <w:t xml:space="preserve"> </w:t>
      </w:r>
      <w:r w:rsidR="00C20625" w:rsidRPr="00884A73">
        <w:rPr>
          <w:rFonts w:ascii="Arial" w:hAnsi="Arial" w:cs="Arial"/>
          <w:sz w:val="22"/>
          <w:szCs w:val="22"/>
          <w:lang w:val="es-ES_tradnl"/>
        </w:rPr>
        <w:t xml:space="preserve">en procesos </w:t>
      </w:r>
      <w:r w:rsidR="00F921BC" w:rsidRPr="00884A73">
        <w:rPr>
          <w:rFonts w:ascii="Arial" w:hAnsi="Arial" w:cs="Arial"/>
          <w:sz w:val="22"/>
          <w:szCs w:val="22"/>
          <w:lang w:val="es-ES_tradnl"/>
        </w:rPr>
        <w:t xml:space="preserve">adelantados en la modalidad de </w:t>
      </w:r>
      <w:r w:rsidR="00C20625" w:rsidRPr="00884A73">
        <w:rPr>
          <w:rFonts w:ascii="Arial" w:hAnsi="Arial" w:cs="Arial"/>
          <w:sz w:val="22"/>
          <w:szCs w:val="22"/>
          <w:lang w:val="es-ES_tradnl"/>
        </w:rPr>
        <w:t>selecci</w:t>
      </w:r>
      <w:r w:rsidR="00F921BC" w:rsidRPr="00884A73">
        <w:rPr>
          <w:rFonts w:ascii="Arial" w:hAnsi="Arial" w:cs="Arial"/>
          <w:sz w:val="22"/>
          <w:szCs w:val="22"/>
          <w:lang w:val="es-ES_tradnl"/>
        </w:rPr>
        <w:t>ón abreviada para la adquisición de bi</w:t>
      </w:r>
      <w:r w:rsidR="00F4655D" w:rsidRPr="00884A73">
        <w:rPr>
          <w:rFonts w:ascii="Arial" w:hAnsi="Arial" w:cs="Arial"/>
          <w:sz w:val="22"/>
          <w:szCs w:val="22"/>
          <w:lang w:val="es-ES_tradnl"/>
        </w:rPr>
        <w:t>e</w:t>
      </w:r>
      <w:r w:rsidR="00F921BC" w:rsidRPr="00884A73">
        <w:rPr>
          <w:rFonts w:ascii="Arial" w:hAnsi="Arial" w:cs="Arial"/>
          <w:sz w:val="22"/>
          <w:szCs w:val="22"/>
          <w:lang w:val="es-ES_tradnl"/>
        </w:rPr>
        <w:t>nes y servicios de características técnicas unif</w:t>
      </w:r>
      <w:r w:rsidR="008A3BA3" w:rsidRPr="00884A73">
        <w:rPr>
          <w:rFonts w:ascii="Arial" w:hAnsi="Arial" w:cs="Arial"/>
          <w:sz w:val="22"/>
          <w:szCs w:val="22"/>
          <w:lang w:val="es-ES_tradnl"/>
        </w:rPr>
        <w:t>ormes, mediante el mecanismo de bolsa de productos</w:t>
      </w:r>
      <w:r w:rsidR="00C90AFF" w:rsidRPr="00884A73">
        <w:rPr>
          <w:rFonts w:ascii="Arial" w:hAnsi="Arial" w:cs="Arial"/>
          <w:sz w:val="22"/>
          <w:szCs w:val="22"/>
          <w:lang w:val="es-ES_tradnl"/>
        </w:rPr>
        <w:t xml:space="preserve">, en consideración a la expresión «empate en el </w:t>
      </w:r>
      <w:r w:rsidR="00C90AFF" w:rsidRPr="00884A73">
        <w:rPr>
          <w:rFonts w:ascii="Arial" w:hAnsi="Arial" w:cs="Arial"/>
          <w:i/>
          <w:iCs/>
          <w:sz w:val="22"/>
          <w:szCs w:val="22"/>
          <w:lang w:val="es-ES_tradnl"/>
        </w:rPr>
        <w:t>puntaje total</w:t>
      </w:r>
      <w:r w:rsidR="00C90AFF" w:rsidRPr="00884A73">
        <w:rPr>
          <w:rFonts w:ascii="Arial" w:hAnsi="Arial" w:cs="Arial"/>
          <w:sz w:val="22"/>
          <w:szCs w:val="22"/>
          <w:lang w:val="es-ES_tradnl"/>
        </w:rPr>
        <w:t>»</w:t>
      </w:r>
      <w:r w:rsidR="00AE075C" w:rsidRPr="00884A73">
        <w:rPr>
          <w:rFonts w:ascii="Arial" w:hAnsi="Arial" w:cs="Arial"/>
          <w:sz w:val="22"/>
          <w:szCs w:val="22"/>
          <w:lang w:val="es-ES_tradnl"/>
        </w:rPr>
        <w:t>,</w:t>
      </w:r>
      <w:r w:rsidR="00D33AFB" w:rsidRPr="00884A73">
        <w:rPr>
          <w:rFonts w:ascii="Arial" w:hAnsi="Arial" w:cs="Arial"/>
          <w:sz w:val="22"/>
          <w:szCs w:val="22"/>
          <w:lang w:val="es-ES_tradnl"/>
        </w:rPr>
        <w:t xml:space="preserve"> incluida en el primer inciso de dicha norma</w:t>
      </w:r>
      <w:r w:rsidR="008A3BA3" w:rsidRPr="00884A73">
        <w:rPr>
          <w:rFonts w:ascii="Arial" w:hAnsi="Arial" w:cs="Arial"/>
          <w:sz w:val="22"/>
          <w:szCs w:val="22"/>
          <w:lang w:val="es-ES_tradnl"/>
        </w:rPr>
        <w:t>. Al respecto pregunta:</w:t>
      </w:r>
    </w:p>
    <w:p w14:paraId="7D52454A" w14:textId="77777777" w:rsidR="009E2103" w:rsidRPr="00884A73" w:rsidRDefault="009E2103" w:rsidP="00EB2ED0">
      <w:pPr>
        <w:autoSpaceDE w:val="0"/>
        <w:autoSpaceDN w:val="0"/>
        <w:adjustRightInd w:val="0"/>
        <w:jc w:val="both"/>
        <w:rPr>
          <w:rFonts w:ascii="Arial" w:hAnsi="Arial" w:cs="Arial"/>
          <w:sz w:val="22"/>
          <w:szCs w:val="22"/>
          <w:lang w:val="es-ES_tradnl"/>
        </w:rPr>
      </w:pPr>
    </w:p>
    <w:p w14:paraId="3830C92C" w14:textId="2694BA4E" w:rsidR="00507066" w:rsidRPr="00884A73" w:rsidRDefault="000B56F9" w:rsidP="00C20625">
      <w:pPr>
        <w:pStyle w:val="Default"/>
        <w:ind w:left="709" w:right="709"/>
        <w:jc w:val="both"/>
        <w:rPr>
          <w:color w:val="auto"/>
          <w:sz w:val="22"/>
          <w:szCs w:val="22"/>
        </w:rPr>
      </w:pPr>
      <w:r w:rsidRPr="00884A73">
        <w:rPr>
          <w:color w:val="auto"/>
          <w:sz w:val="21"/>
          <w:szCs w:val="21"/>
          <w:lang w:val="es-ES_tradnl"/>
        </w:rPr>
        <w:t>«</w:t>
      </w:r>
      <w:r w:rsidR="00C20625" w:rsidRPr="00884A73">
        <w:rPr>
          <w:color w:val="auto"/>
          <w:sz w:val="22"/>
          <w:szCs w:val="22"/>
        </w:rPr>
        <w:t xml:space="preserve"> De conformidad con lo establecido en la Ley 2069 de 2021, el Decreto 1860 de 2021 y lo conceptuado por esa Entidad se entiende que en los procesos de selección abreviada para la adquisición o suministro de bienes y servicios de características técnicas uniformes y común utilización que se adelanten mediante procedimientos de adquisición en bolsas de productos y que </w:t>
      </w:r>
      <w:r w:rsidR="00C20625" w:rsidRPr="00884A73">
        <w:rPr>
          <w:color w:val="auto"/>
          <w:sz w:val="22"/>
          <w:szCs w:val="22"/>
        </w:rPr>
        <w:lastRenderedPageBreak/>
        <w:t xml:space="preserve">finalicen en empate entre 2 o más proponentes deben obligatoriamente aplicar los criterios de desempate establecidos en el artículo 35 para seleccionar al contratista. ¿Es correcta esta apreciación?». </w:t>
      </w:r>
    </w:p>
    <w:p w14:paraId="38825C58" w14:textId="77777777" w:rsidR="00C20625" w:rsidRPr="00884A73" w:rsidRDefault="00C20625" w:rsidP="00C20625">
      <w:pPr>
        <w:pStyle w:val="Default"/>
        <w:ind w:left="709" w:right="709"/>
        <w:jc w:val="both"/>
        <w:rPr>
          <w:color w:val="auto"/>
          <w:sz w:val="22"/>
          <w:szCs w:val="22"/>
          <w:lang w:val="es-ES_tradnl"/>
        </w:rPr>
      </w:pPr>
    </w:p>
    <w:p w14:paraId="2F8ABBCC" w14:textId="77777777" w:rsidR="00314507" w:rsidRPr="00884A73" w:rsidRDefault="00314507" w:rsidP="00C20625">
      <w:pPr>
        <w:pStyle w:val="Default"/>
        <w:ind w:left="709" w:right="709"/>
        <w:jc w:val="both"/>
        <w:rPr>
          <w:color w:val="auto"/>
          <w:sz w:val="22"/>
          <w:szCs w:val="22"/>
          <w:lang w:val="es-ES_tradnl"/>
        </w:rPr>
      </w:pPr>
    </w:p>
    <w:p w14:paraId="30F1ACA8" w14:textId="77777777" w:rsidR="00314507" w:rsidRPr="00884A73" w:rsidRDefault="00314507" w:rsidP="00C20625">
      <w:pPr>
        <w:pStyle w:val="Default"/>
        <w:ind w:left="709" w:right="709"/>
        <w:jc w:val="both"/>
        <w:rPr>
          <w:color w:val="auto"/>
          <w:sz w:val="22"/>
          <w:szCs w:val="22"/>
          <w:lang w:val="es-ES_tradnl"/>
        </w:rPr>
      </w:pPr>
    </w:p>
    <w:p w14:paraId="124D2DCA" w14:textId="77777777" w:rsidR="00DD5B04" w:rsidRPr="00884A73" w:rsidRDefault="00DD5B04" w:rsidP="00EB2ED0">
      <w:pPr>
        <w:pStyle w:val="Prrafodelista"/>
        <w:numPr>
          <w:ilvl w:val="0"/>
          <w:numId w:val="8"/>
        </w:numPr>
        <w:tabs>
          <w:tab w:val="left" w:pos="0"/>
          <w:tab w:val="left" w:pos="284"/>
        </w:tabs>
        <w:ind w:left="0" w:firstLine="0"/>
        <w:jc w:val="both"/>
        <w:rPr>
          <w:rFonts w:ascii="Arial" w:eastAsia="Calibri" w:hAnsi="Arial" w:cs="Arial"/>
          <w:b/>
          <w:sz w:val="22"/>
          <w:lang w:val="es-ES_tradnl"/>
        </w:rPr>
      </w:pPr>
      <w:r w:rsidRPr="00884A73">
        <w:rPr>
          <w:rFonts w:ascii="Arial" w:eastAsia="Calibri" w:hAnsi="Arial" w:cs="Arial"/>
          <w:b/>
          <w:sz w:val="22"/>
          <w:lang w:val="es-ES_tradnl"/>
        </w:rPr>
        <w:t>Consideraciones</w:t>
      </w:r>
    </w:p>
    <w:p w14:paraId="7D050D2E" w14:textId="77777777" w:rsidR="00435703" w:rsidRPr="00884A73" w:rsidRDefault="00435703" w:rsidP="00EB2ED0">
      <w:pPr>
        <w:jc w:val="both"/>
        <w:rPr>
          <w:rFonts w:ascii="Arial" w:eastAsia="Calibri" w:hAnsi="Arial" w:cs="Arial"/>
          <w:sz w:val="22"/>
          <w:szCs w:val="22"/>
          <w:lang w:val="es-ES_tradnl"/>
        </w:rPr>
      </w:pPr>
    </w:p>
    <w:p w14:paraId="78B9C34C" w14:textId="0A1F84B0" w:rsidR="002638F4" w:rsidRPr="00884A73" w:rsidRDefault="002638F4" w:rsidP="00B45953">
      <w:pPr>
        <w:spacing w:line="276" w:lineRule="auto"/>
        <w:jc w:val="both"/>
        <w:rPr>
          <w:rFonts w:ascii="Arial" w:eastAsia="Calibri" w:hAnsi="Arial" w:cs="Arial"/>
          <w:sz w:val="22"/>
          <w:szCs w:val="22"/>
          <w:lang w:val="es-ES_tradnl"/>
        </w:rPr>
      </w:pPr>
      <w:r w:rsidRPr="00884A73">
        <w:rPr>
          <w:rFonts w:ascii="Arial" w:eastAsia="Calibri" w:hAnsi="Arial" w:cs="Arial"/>
          <w:sz w:val="22"/>
          <w:szCs w:val="22"/>
          <w:lang w:val="es-ES_tradnl"/>
        </w:rPr>
        <w:t>Es importante destacar que esta Agencia ha estudiado, en términos generales, los factores de desempate en los procedimientos de contratación estatal, en los conceptos C-285 del 4 de mayo de 2020, C-481 del 27 de julio de 2020, C-514 y C-535 del 26 de agosto de 2020 y C-556 del 31 de agosto de 2020. De igual manera, estudió los factores de desempate del artículo 35 de la Ley 2069 de 2020 en los conceptos: C-136 del 07 de abril de 2021, C-138 del 07 de abril de 2021, C-139 del 07 de abril de 2021, C-141 del 08 de abril de 2021, C-162 de 13 de abril de 2021, C-165 del 13 de abril de 2021, C-164 del 19 de abril de 2021, C−167 del 21 de abril de 2021, C-166 del 23 de abril de 2021, C-191 del 26 de abril de 2021, C-187 del 28 de abril de 2021, C-192 del 29 de abril de 2021, C-206 del 03 de mayo de 2021, C−198 del 5 de mayo de 2021, C-203 del 6 de mayo de 2021,  C-180 del 10 de mayo de 2021, C-210 del 10 de mayo de 2021, C-221 del 18 de mayo de 2021, C-239 del 25 de mayo de 2021, C-338 del 12 de julio de 2021,</w:t>
      </w:r>
      <w:r w:rsidR="00984BBB" w:rsidRPr="00884A73">
        <w:rPr>
          <w:rFonts w:ascii="Arial" w:eastAsia="Calibri" w:hAnsi="Arial" w:cs="Arial"/>
          <w:sz w:val="22"/>
          <w:szCs w:val="22"/>
          <w:lang w:val="es-ES_tradnl"/>
        </w:rPr>
        <w:t xml:space="preserve"> C-397 del 9 de agosto de 2021,</w:t>
      </w:r>
      <w:r w:rsidR="003B3E43" w:rsidRPr="00884A73">
        <w:rPr>
          <w:rFonts w:ascii="Arial" w:eastAsia="Calibri" w:hAnsi="Arial" w:cs="Arial"/>
          <w:sz w:val="22"/>
          <w:szCs w:val="22"/>
          <w:lang w:val="es-ES_tradnl"/>
        </w:rPr>
        <w:t xml:space="preserve"> C-422 del 18 de agosto de 2022,</w:t>
      </w:r>
      <w:r w:rsidR="00984BBB" w:rsidRPr="00884A73">
        <w:rPr>
          <w:rFonts w:ascii="Arial" w:eastAsia="Calibri" w:hAnsi="Arial" w:cs="Arial"/>
          <w:sz w:val="22"/>
          <w:szCs w:val="22"/>
          <w:lang w:val="es-ES_tradnl"/>
        </w:rPr>
        <w:t xml:space="preserve"> </w:t>
      </w:r>
      <w:r w:rsidR="001D5D05" w:rsidRPr="00884A73">
        <w:rPr>
          <w:rFonts w:ascii="Arial" w:eastAsia="Calibri" w:hAnsi="Arial" w:cs="Arial"/>
          <w:sz w:val="22"/>
          <w:szCs w:val="22"/>
          <w:lang w:val="es-ES_tradnl"/>
        </w:rPr>
        <w:t>C-</w:t>
      </w:r>
      <w:r w:rsidR="003B3E43" w:rsidRPr="00884A73">
        <w:rPr>
          <w:rFonts w:ascii="Arial" w:eastAsia="Calibri" w:hAnsi="Arial" w:cs="Arial"/>
          <w:sz w:val="22"/>
          <w:szCs w:val="22"/>
          <w:lang w:val="es-ES_tradnl"/>
        </w:rPr>
        <w:t>403 del 6 de septiembre de 2021,</w:t>
      </w:r>
      <w:r w:rsidR="005B4419" w:rsidRPr="00884A73">
        <w:rPr>
          <w:rFonts w:ascii="Arial" w:eastAsia="Calibri" w:hAnsi="Arial" w:cs="Arial"/>
          <w:sz w:val="22"/>
          <w:szCs w:val="22"/>
          <w:lang w:val="es-ES_tradnl"/>
        </w:rPr>
        <w:t xml:space="preserve"> C-534 del 28 de septiembre de </w:t>
      </w:r>
      <w:r w:rsidR="00736D24" w:rsidRPr="00884A73">
        <w:rPr>
          <w:rFonts w:ascii="Arial" w:eastAsia="Calibri" w:hAnsi="Arial" w:cs="Arial"/>
          <w:sz w:val="22"/>
          <w:szCs w:val="22"/>
          <w:lang w:val="es-ES_tradnl"/>
        </w:rPr>
        <w:t>2021, C-576 del 13 de octubre de 2021</w:t>
      </w:r>
      <w:r w:rsidR="00F6155C" w:rsidRPr="00884A73">
        <w:rPr>
          <w:rFonts w:ascii="Arial" w:eastAsia="Calibri" w:hAnsi="Arial" w:cs="Arial"/>
          <w:sz w:val="22"/>
          <w:szCs w:val="22"/>
          <w:lang w:val="es-ES_tradnl"/>
        </w:rPr>
        <w:t>, C-617 del 6 de diciembre de 2021,</w:t>
      </w:r>
      <w:r w:rsidR="007D54B7" w:rsidRPr="00884A73">
        <w:rPr>
          <w:rFonts w:ascii="Arial" w:eastAsia="Calibri" w:hAnsi="Arial" w:cs="Arial"/>
          <w:sz w:val="22"/>
          <w:szCs w:val="22"/>
          <w:lang w:val="es-ES_tradnl"/>
        </w:rPr>
        <w:t xml:space="preserve"> C-689 del 5 de enero de 2022, C-730 del</w:t>
      </w:r>
      <w:r w:rsidR="00FA6563" w:rsidRPr="00884A73">
        <w:rPr>
          <w:rFonts w:ascii="Arial" w:eastAsia="Calibri" w:hAnsi="Arial" w:cs="Arial"/>
          <w:sz w:val="22"/>
          <w:szCs w:val="22"/>
          <w:lang w:val="es-ES_tradnl"/>
        </w:rPr>
        <w:t xml:space="preserve"> 27 de enero de 2022, C-738 del 1 de febrero de 2022,</w:t>
      </w:r>
      <w:r w:rsidR="00AF73C4" w:rsidRPr="00884A73">
        <w:rPr>
          <w:rFonts w:ascii="Arial" w:eastAsia="Calibri" w:hAnsi="Arial" w:cs="Arial"/>
          <w:sz w:val="22"/>
          <w:szCs w:val="22"/>
          <w:lang w:val="es-ES_tradnl"/>
        </w:rPr>
        <w:t xml:space="preserve"> C-741 del 1 de febrero de 2022, C-750 del 4 de febrero de 2022, </w:t>
      </w:r>
      <w:r w:rsidR="00040A80" w:rsidRPr="00884A73">
        <w:rPr>
          <w:rFonts w:ascii="Arial" w:eastAsia="Calibri" w:hAnsi="Arial" w:cs="Arial"/>
          <w:sz w:val="22"/>
          <w:szCs w:val="22"/>
          <w:lang w:val="es-ES_tradnl"/>
        </w:rPr>
        <w:t>C-057 del 8 de marzo de 2022, C-140 del</w:t>
      </w:r>
      <w:r w:rsidR="006C6F6F" w:rsidRPr="00884A73">
        <w:rPr>
          <w:rFonts w:ascii="Arial" w:eastAsia="Calibri" w:hAnsi="Arial" w:cs="Arial"/>
          <w:sz w:val="22"/>
          <w:szCs w:val="22"/>
          <w:lang w:val="es-ES_tradnl"/>
        </w:rPr>
        <w:t xml:space="preserve"> 28 de marzo de 2022, C-199 del 13 de abril de 2022,</w:t>
      </w:r>
      <w:r w:rsidRPr="00884A73">
        <w:rPr>
          <w:rFonts w:ascii="Arial" w:eastAsia="Calibri" w:hAnsi="Arial" w:cs="Arial"/>
          <w:sz w:val="22"/>
          <w:szCs w:val="22"/>
          <w:lang w:val="es-ES_tradnl"/>
        </w:rPr>
        <w:t xml:space="preserve"> entre otros</w:t>
      </w:r>
      <w:r w:rsidRPr="00884A73">
        <w:rPr>
          <w:rStyle w:val="Refdenotaalpie"/>
          <w:rFonts w:ascii="Arial" w:eastAsia="Calibri" w:hAnsi="Arial" w:cs="Arial"/>
          <w:sz w:val="22"/>
          <w:szCs w:val="22"/>
          <w:lang w:val="es-ES_tradnl"/>
        </w:rPr>
        <w:footnoteReference w:id="2"/>
      </w:r>
      <w:r w:rsidRPr="00884A73">
        <w:rPr>
          <w:rFonts w:ascii="Arial" w:eastAsia="Calibri" w:hAnsi="Arial" w:cs="Arial"/>
          <w:sz w:val="22"/>
          <w:szCs w:val="22"/>
          <w:lang w:val="es-ES_tradnl"/>
        </w:rPr>
        <w:t>. Algunas de las consideraciones de estos conceptos se reiteran a continuación.</w:t>
      </w:r>
    </w:p>
    <w:p w14:paraId="57BB9BBC" w14:textId="77777777" w:rsidR="00E85980" w:rsidRPr="00884A73" w:rsidRDefault="00E85980" w:rsidP="00E85980">
      <w:pPr>
        <w:spacing w:line="276" w:lineRule="auto"/>
        <w:ind w:firstLine="709"/>
        <w:jc w:val="both"/>
        <w:rPr>
          <w:rFonts w:ascii="Arial" w:eastAsia="Calibri" w:hAnsi="Arial" w:cs="Arial"/>
          <w:sz w:val="22"/>
          <w:szCs w:val="22"/>
          <w:lang w:val="es-ES_tradnl"/>
        </w:rPr>
      </w:pPr>
    </w:p>
    <w:p w14:paraId="08FD9001" w14:textId="77777777" w:rsidR="00E85980" w:rsidRPr="00884A73" w:rsidRDefault="00E85980" w:rsidP="00E85980">
      <w:pPr>
        <w:spacing w:line="276" w:lineRule="auto"/>
        <w:jc w:val="both"/>
        <w:rPr>
          <w:rFonts w:ascii="Arial" w:eastAsia="Calibri" w:hAnsi="Arial" w:cs="Arial"/>
          <w:b/>
          <w:bCs/>
          <w:sz w:val="22"/>
          <w:szCs w:val="22"/>
          <w:lang w:val="es-ES_tradnl"/>
        </w:rPr>
      </w:pPr>
      <w:r w:rsidRPr="00884A73">
        <w:rPr>
          <w:rFonts w:ascii="Arial" w:eastAsia="Calibri" w:hAnsi="Arial" w:cs="Arial"/>
          <w:b/>
          <w:bCs/>
          <w:sz w:val="22"/>
          <w:szCs w:val="22"/>
          <w:lang w:val="es-ES_tradnl"/>
        </w:rPr>
        <w:t>2.1. Factores de desempate en la contratación estatal: concepto y características</w:t>
      </w:r>
    </w:p>
    <w:p w14:paraId="028A190F" w14:textId="77777777" w:rsidR="00E85980" w:rsidRPr="00884A73" w:rsidRDefault="00E85980" w:rsidP="00E85980">
      <w:pPr>
        <w:spacing w:line="276" w:lineRule="auto"/>
        <w:jc w:val="both"/>
        <w:rPr>
          <w:rFonts w:ascii="Arial" w:eastAsia="Calibri" w:hAnsi="Arial" w:cs="Arial"/>
          <w:sz w:val="22"/>
          <w:szCs w:val="22"/>
          <w:lang w:val="es-ES_tradnl"/>
        </w:rPr>
      </w:pPr>
    </w:p>
    <w:p w14:paraId="06F00BC0" w14:textId="4558B0FE" w:rsidR="00E85980" w:rsidRPr="00884A73" w:rsidRDefault="00E85980" w:rsidP="00E85980">
      <w:pPr>
        <w:spacing w:line="276" w:lineRule="auto"/>
        <w:jc w:val="both"/>
        <w:rPr>
          <w:rFonts w:ascii="Arial" w:eastAsia="Calibri" w:hAnsi="Arial" w:cs="Arial"/>
          <w:sz w:val="22"/>
          <w:szCs w:val="22"/>
          <w:lang w:val="es-ES_tradnl"/>
        </w:rPr>
      </w:pPr>
      <w:r w:rsidRPr="00884A73">
        <w:rPr>
          <w:rFonts w:ascii="Arial" w:eastAsia="Calibri" w:hAnsi="Arial" w:cs="Arial"/>
          <w:sz w:val="22"/>
          <w:szCs w:val="22"/>
          <w:lang w:val="es-ES_tradnl"/>
        </w:rPr>
        <w:t xml:space="preserve">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w:t>
      </w:r>
      <w:r w:rsidRPr="00884A73">
        <w:rPr>
          <w:rFonts w:ascii="Arial" w:eastAsia="Calibri" w:hAnsi="Arial" w:cs="Arial"/>
          <w:sz w:val="22"/>
          <w:szCs w:val="22"/>
          <w:lang w:val="es-ES_tradnl"/>
        </w:rPr>
        <w:lastRenderedPageBreak/>
        <w:t xml:space="preserve">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w:t>
      </w:r>
      <w:proofErr w:type="gramStart"/>
      <w:r w:rsidRPr="00884A73">
        <w:rPr>
          <w:rFonts w:ascii="Arial" w:eastAsia="Calibri" w:hAnsi="Arial" w:cs="Arial"/>
          <w:sz w:val="22"/>
          <w:szCs w:val="22"/>
          <w:lang w:val="es-ES_tradnl"/>
        </w:rPr>
        <w:t>equivalentes,</w:t>
      </w:r>
      <w:proofErr w:type="gramEnd"/>
      <w:r w:rsidRPr="00884A73">
        <w:rPr>
          <w:rFonts w:ascii="Arial" w:eastAsia="Calibri" w:hAnsi="Arial" w:cs="Arial"/>
          <w:sz w:val="22"/>
          <w:szCs w:val="22"/>
          <w:lang w:val="es-ES_tradnl"/>
        </w:rPr>
        <w:t xml:space="preserve"> tendrán en cuenta criterios como la experiencia y la capacidad jurídica, financiera y de organización, entre otros elementos que garanticen la escogencia de la mejor opción de negocio para la entidad estatal.</w:t>
      </w:r>
    </w:p>
    <w:p w14:paraId="41FF7A2D" w14:textId="77777777" w:rsidR="00E85980" w:rsidRPr="00884A73" w:rsidRDefault="00E85980" w:rsidP="00E85980">
      <w:pPr>
        <w:spacing w:before="120" w:line="276" w:lineRule="auto"/>
        <w:ind w:firstLine="709"/>
        <w:jc w:val="both"/>
        <w:rPr>
          <w:rFonts w:ascii="Arial" w:eastAsia="Calibri" w:hAnsi="Arial" w:cs="Arial"/>
          <w:sz w:val="22"/>
          <w:szCs w:val="22"/>
          <w:lang w:val="es-ES_tradnl"/>
        </w:rPr>
      </w:pPr>
      <w:r w:rsidRPr="00884A73">
        <w:rPr>
          <w:rFonts w:ascii="Arial" w:eastAsia="Calibri" w:hAnsi="Arial" w:cs="Arial"/>
          <w:sz w:val="22"/>
          <w:szCs w:val="22"/>
          <w:lang w:val="es-ES_tradnl"/>
        </w:rPr>
        <w:t xml:space="preserve">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 </w:t>
      </w:r>
    </w:p>
    <w:p w14:paraId="00FEEE61" w14:textId="77777777" w:rsidR="00E85980" w:rsidRPr="00884A73" w:rsidRDefault="00E85980" w:rsidP="00E85980">
      <w:pPr>
        <w:spacing w:before="120" w:line="276" w:lineRule="auto"/>
        <w:ind w:firstLine="709"/>
        <w:jc w:val="both"/>
        <w:rPr>
          <w:rFonts w:ascii="Arial" w:eastAsia="Calibri" w:hAnsi="Arial" w:cs="Arial"/>
          <w:sz w:val="22"/>
          <w:szCs w:val="22"/>
          <w:lang w:val="es-ES_tradnl"/>
        </w:rPr>
      </w:pPr>
      <w:r w:rsidRPr="00884A73">
        <w:rPr>
          <w:rFonts w:ascii="Arial" w:eastAsia="Calibri" w:hAnsi="Arial" w:cs="Arial"/>
          <w:sz w:val="22"/>
          <w:szCs w:val="22"/>
          <w:lang w:val="es-ES_tradnl"/>
        </w:rPr>
        <w:t>Sin embargo,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entre las que se cuenta el artículo 35 de la Ley 2069 de 2020. La jurisprudencia comparte la idea de que los criterios de desempate deben estar establecidos de antemano y constituyen un límite a la discrecionalidad administrativa en los procedimientos de selección</w:t>
      </w:r>
      <w:r w:rsidRPr="00884A73">
        <w:rPr>
          <w:rFonts w:ascii="Arial" w:hAnsi="Arial" w:cs="Arial"/>
          <w:sz w:val="21"/>
          <w:szCs w:val="21"/>
          <w:vertAlign w:val="superscript"/>
          <w:lang w:val="es-ES_tradnl"/>
        </w:rPr>
        <w:footnoteReference w:id="3"/>
      </w:r>
      <w:r w:rsidRPr="00884A73">
        <w:rPr>
          <w:rFonts w:ascii="Arial" w:eastAsia="Calibri" w:hAnsi="Arial" w:cs="Arial"/>
          <w:sz w:val="22"/>
          <w:szCs w:val="22"/>
          <w:lang w:val="es-ES_tradnl"/>
        </w:rPr>
        <w:t xml:space="preserve">. </w:t>
      </w:r>
    </w:p>
    <w:p w14:paraId="4F0BA1DB" w14:textId="73A3DF73" w:rsidR="00E85980" w:rsidRPr="00884A73" w:rsidRDefault="00E85980" w:rsidP="00E85980">
      <w:pPr>
        <w:spacing w:before="120" w:line="276" w:lineRule="auto"/>
        <w:ind w:firstLine="709"/>
        <w:jc w:val="both"/>
        <w:rPr>
          <w:rFonts w:ascii="Arial" w:eastAsia="Calibri" w:hAnsi="Arial" w:cs="Arial"/>
          <w:sz w:val="22"/>
          <w:szCs w:val="22"/>
          <w:lang w:val="es-ES_tradnl"/>
        </w:rPr>
      </w:pPr>
      <w:r w:rsidRPr="00884A73">
        <w:rPr>
          <w:rFonts w:ascii="Arial" w:eastAsia="Calibri" w:hAnsi="Arial" w:cs="Arial"/>
          <w:sz w:val="22"/>
          <w:szCs w:val="22"/>
          <w:lang w:val="es-ES_tradnl"/>
        </w:rPr>
        <w:t xml:space="preserve">En tal sentido, la Corte Constitucional explica que cuando la ley establece factores de desempate obligatorios, las entidades estatales no pueden </w:t>
      </w:r>
      <w:proofErr w:type="spellStart"/>
      <w:r w:rsidRPr="00884A73">
        <w:rPr>
          <w:rFonts w:ascii="Arial" w:eastAsia="Calibri" w:hAnsi="Arial" w:cs="Arial"/>
          <w:sz w:val="22"/>
          <w:szCs w:val="22"/>
          <w:lang w:val="es-ES_tradnl"/>
        </w:rPr>
        <w:t>inaplicarlos</w:t>
      </w:r>
      <w:proofErr w:type="spellEnd"/>
      <w:r w:rsidRPr="00884A73">
        <w:rPr>
          <w:rFonts w:ascii="Arial" w:eastAsia="Calibri" w:hAnsi="Arial" w:cs="Arial"/>
          <w:sz w:val="22"/>
          <w:szCs w:val="22"/>
          <w:lang w:val="es-ES_tradnl"/>
        </w:rPr>
        <w:t>, porque ello podría vulnerar el principio de igualdad, especialmente, cuando algunos de estos criterios surgen como acciones afirmativas para ciertos sectores de la población</w:t>
      </w:r>
      <w:r w:rsidRPr="00884A73">
        <w:rPr>
          <w:rFonts w:ascii="Arial" w:eastAsia="Calibri" w:hAnsi="Arial" w:cs="Arial"/>
          <w:sz w:val="22"/>
          <w:szCs w:val="22"/>
          <w:vertAlign w:val="superscript"/>
          <w:lang w:val="es-ES_tradnl"/>
        </w:rPr>
        <w:footnoteReference w:id="4"/>
      </w:r>
      <w:r w:rsidRPr="00884A73">
        <w:rPr>
          <w:rFonts w:ascii="Arial" w:eastAsia="Calibri" w:hAnsi="Arial" w:cs="Arial"/>
          <w:sz w:val="22"/>
          <w:szCs w:val="22"/>
          <w:lang w:val="es-ES_tradnl"/>
        </w:rPr>
        <w:t xml:space="preserve">. </w:t>
      </w:r>
    </w:p>
    <w:p w14:paraId="0C4D2541" w14:textId="77777777" w:rsidR="00E85980" w:rsidRPr="00884A73" w:rsidRDefault="00E85980" w:rsidP="00E85980">
      <w:pPr>
        <w:spacing w:before="120" w:line="276" w:lineRule="auto"/>
        <w:ind w:firstLine="709"/>
        <w:jc w:val="both"/>
        <w:rPr>
          <w:rFonts w:ascii="Arial" w:eastAsia="Calibri" w:hAnsi="Arial" w:cs="Arial"/>
          <w:sz w:val="22"/>
          <w:szCs w:val="22"/>
          <w:lang w:val="es-ES_tradnl"/>
        </w:rPr>
      </w:pPr>
      <w:r w:rsidRPr="00884A73">
        <w:rPr>
          <w:rFonts w:ascii="Arial" w:eastAsia="Calibri" w:hAnsi="Arial" w:cs="Arial"/>
          <w:sz w:val="22"/>
          <w:szCs w:val="22"/>
          <w:lang w:val="es-ES_tradnl"/>
        </w:rPr>
        <w:lastRenderedPageBreak/>
        <w:t xml:space="preserve">Ahora bien, en cumplimiento de los principios de reciprocidad y de </w:t>
      </w:r>
      <w:r w:rsidRPr="00884A73">
        <w:rPr>
          <w:rFonts w:ascii="Arial" w:eastAsia="Calibri" w:hAnsi="Arial" w:cs="Arial"/>
          <w:i/>
          <w:iCs/>
          <w:sz w:val="22"/>
          <w:szCs w:val="22"/>
          <w:lang w:val="es-ES_tradnl"/>
        </w:rPr>
        <w:t xml:space="preserve">pacta sunt </w:t>
      </w:r>
      <w:proofErr w:type="spellStart"/>
      <w:r w:rsidRPr="00884A73">
        <w:rPr>
          <w:rFonts w:ascii="Arial" w:eastAsia="Calibri" w:hAnsi="Arial" w:cs="Arial"/>
          <w:i/>
          <w:iCs/>
          <w:sz w:val="22"/>
          <w:szCs w:val="22"/>
          <w:lang w:val="es-ES_tradnl"/>
        </w:rPr>
        <w:t>servanda</w:t>
      </w:r>
      <w:proofErr w:type="spellEnd"/>
      <w:r w:rsidRPr="00884A73">
        <w:rPr>
          <w:rFonts w:ascii="Arial" w:eastAsia="Calibri" w:hAnsi="Arial" w:cs="Arial"/>
          <w:sz w:val="22"/>
          <w:szCs w:val="22"/>
          <w:lang w:val="es-ES_tradnl"/>
        </w:rPr>
        <w:t xml:space="preserve">, los factores de desempate que rigen la contratación estatal deben guardar armonía con los tratados comerciales internacionales suscritos por el Estado colombiano. Por tanto, las normas internas deben acoplarse a lo establecido en los acuerdos, pues estos prevalecen. Así lo precisó la Agencia Nacional de Contratación Pública – Colombia Compra Eficiente en el numeral IV, literal C, del «Manual para el manejo de los incentivos en los procesos de contratación». </w:t>
      </w:r>
    </w:p>
    <w:p w14:paraId="0EE99E12" w14:textId="77777777" w:rsidR="00E85980" w:rsidRPr="00884A73" w:rsidRDefault="00E85980" w:rsidP="00AC6B7E">
      <w:pPr>
        <w:spacing w:line="276" w:lineRule="auto"/>
        <w:jc w:val="both"/>
        <w:rPr>
          <w:rFonts w:ascii="Arial" w:eastAsia="Calibri" w:hAnsi="Arial" w:cs="Arial"/>
          <w:b/>
          <w:bCs/>
          <w:sz w:val="22"/>
          <w:szCs w:val="22"/>
          <w:lang w:val="es-ES_tradnl"/>
        </w:rPr>
      </w:pPr>
    </w:p>
    <w:p w14:paraId="273C508A" w14:textId="43A46E25" w:rsidR="00AC6B7E" w:rsidRPr="00884A73" w:rsidRDefault="00AC6B7E" w:rsidP="00AC6B7E">
      <w:pPr>
        <w:spacing w:line="276" w:lineRule="auto"/>
        <w:jc w:val="both"/>
        <w:rPr>
          <w:rFonts w:ascii="Arial" w:eastAsia="Calibri" w:hAnsi="Arial" w:cs="Arial"/>
          <w:b/>
          <w:bCs/>
          <w:sz w:val="22"/>
          <w:szCs w:val="22"/>
          <w:lang w:val="es-ES_tradnl"/>
        </w:rPr>
      </w:pPr>
      <w:r w:rsidRPr="00884A73">
        <w:rPr>
          <w:rFonts w:ascii="Arial" w:eastAsia="Calibri" w:hAnsi="Arial" w:cs="Arial"/>
          <w:b/>
          <w:bCs/>
          <w:sz w:val="22"/>
          <w:szCs w:val="22"/>
          <w:lang w:val="es-ES_tradnl"/>
        </w:rPr>
        <w:t>2.</w:t>
      </w:r>
      <w:r w:rsidR="00E85980" w:rsidRPr="00884A73">
        <w:rPr>
          <w:rFonts w:ascii="Arial" w:eastAsia="Calibri" w:hAnsi="Arial" w:cs="Arial"/>
          <w:b/>
          <w:bCs/>
          <w:sz w:val="22"/>
          <w:szCs w:val="22"/>
          <w:lang w:val="es-ES_tradnl"/>
        </w:rPr>
        <w:t>2</w:t>
      </w:r>
      <w:r w:rsidRPr="00884A73">
        <w:rPr>
          <w:rFonts w:ascii="Arial" w:eastAsia="Calibri" w:hAnsi="Arial" w:cs="Arial"/>
          <w:b/>
          <w:bCs/>
          <w:sz w:val="22"/>
          <w:szCs w:val="22"/>
          <w:lang w:val="es-ES_tradnl"/>
        </w:rPr>
        <w:t xml:space="preserve">. </w:t>
      </w:r>
      <w:r w:rsidR="00CE4300" w:rsidRPr="00884A73">
        <w:rPr>
          <w:rFonts w:ascii="Arial" w:eastAsia="Calibri" w:hAnsi="Arial" w:cs="Arial"/>
          <w:b/>
          <w:bCs/>
          <w:sz w:val="22"/>
          <w:szCs w:val="22"/>
          <w:lang w:val="es-ES_tradnl"/>
        </w:rPr>
        <w:t>Á</w:t>
      </w:r>
      <w:r w:rsidRPr="00884A73">
        <w:rPr>
          <w:rFonts w:ascii="Arial" w:eastAsia="Calibri" w:hAnsi="Arial" w:cs="Arial"/>
          <w:b/>
          <w:bCs/>
          <w:sz w:val="22"/>
          <w:szCs w:val="22"/>
          <w:lang w:val="es-ES_tradnl"/>
        </w:rPr>
        <w:t>mbito de aplicación de la Ley 2069 de 2020: impacto sobre la contratación estatal</w:t>
      </w:r>
    </w:p>
    <w:p w14:paraId="4FEA9294" w14:textId="77777777" w:rsidR="00AC6B7E" w:rsidRPr="00884A73" w:rsidRDefault="00AC6B7E" w:rsidP="00AC6B7E">
      <w:pPr>
        <w:spacing w:line="276" w:lineRule="auto"/>
        <w:jc w:val="both"/>
        <w:rPr>
          <w:rFonts w:ascii="Arial" w:eastAsia="Calibri" w:hAnsi="Arial" w:cs="Arial"/>
          <w:sz w:val="22"/>
          <w:szCs w:val="22"/>
          <w:lang w:val="es-ES_tradnl"/>
        </w:rPr>
      </w:pPr>
    </w:p>
    <w:p w14:paraId="75060670" w14:textId="77777777" w:rsidR="00AC6B7E" w:rsidRPr="00884A73" w:rsidRDefault="00AC6B7E" w:rsidP="00AC6B7E">
      <w:pPr>
        <w:spacing w:line="276" w:lineRule="auto"/>
        <w:jc w:val="both"/>
        <w:rPr>
          <w:rFonts w:ascii="Arial" w:eastAsia="Calibri" w:hAnsi="Arial" w:cs="Arial"/>
          <w:sz w:val="22"/>
          <w:szCs w:val="22"/>
          <w:lang w:val="es-ES_tradnl"/>
        </w:rPr>
      </w:pPr>
      <w:r w:rsidRPr="00884A73">
        <w:rPr>
          <w:rFonts w:ascii="Arial" w:eastAsia="Calibri" w:hAnsi="Arial" w:cs="Arial"/>
          <w:sz w:val="22"/>
          <w:szCs w:val="22"/>
          <w:lang w:val="es-ES_tradnl"/>
        </w:rPr>
        <w:t>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del artículo 189.11 de la Constitución Política, expida el decreto correspondiente que permita la cumplida ejecución de esta Ley.</w:t>
      </w:r>
    </w:p>
    <w:p w14:paraId="0331EC41" w14:textId="70C030F7" w:rsidR="00AC6B7E" w:rsidRPr="00884A73" w:rsidRDefault="00AC6B7E" w:rsidP="00AC6B7E">
      <w:pPr>
        <w:spacing w:before="120" w:line="276" w:lineRule="auto"/>
        <w:ind w:firstLine="709"/>
        <w:jc w:val="both"/>
        <w:rPr>
          <w:rFonts w:ascii="Arial" w:eastAsia="Calibri" w:hAnsi="Arial" w:cs="Arial"/>
          <w:sz w:val="22"/>
          <w:szCs w:val="22"/>
          <w:lang w:val="es-ES_tradnl"/>
        </w:rPr>
      </w:pPr>
      <w:r w:rsidRPr="00884A73">
        <w:rPr>
          <w:rFonts w:ascii="Arial" w:eastAsia="Calibri" w:hAnsi="Arial" w:cs="Arial"/>
          <w:sz w:val="22"/>
          <w:szCs w:val="22"/>
          <w:lang w:val="es-ES_tradnl"/>
        </w:rPr>
        <w:t>En cuan</w:t>
      </w:r>
      <w:r w:rsidR="00D43E12" w:rsidRPr="00884A73">
        <w:rPr>
          <w:rFonts w:ascii="Arial" w:eastAsia="Calibri" w:hAnsi="Arial" w:cs="Arial"/>
          <w:sz w:val="22"/>
          <w:szCs w:val="22"/>
          <w:lang w:val="es-ES_tradnl"/>
        </w:rPr>
        <w:t>t</w:t>
      </w:r>
      <w:r w:rsidRPr="00884A73">
        <w:rPr>
          <w:rFonts w:ascii="Arial" w:eastAsia="Calibri" w:hAnsi="Arial" w:cs="Arial"/>
          <w:sz w:val="22"/>
          <w:szCs w:val="22"/>
          <w:lang w:val="es-ES_tradnl"/>
        </w:rPr>
        <w:t xml:space="preserve">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884A73">
        <w:rPr>
          <w:rFonts w:ascii="Arial" w:eastAsia="Calibri" w:hAnsi="Arial" w:cs="Arial"/>
          <w:sz w:val="22"/>
          <w:szCs w:val="22"/>
          <w:lang w:val="es-ES_tradnl"/>
        </w:rPr>
        <w:t>de acuerdo a</w:t>
      </w:r>
      <w:proofErr w:type="gramEnd"/>
      <w:r w:rsidRPr="00884A73">
        <w:rPr>
          <w:rFonts w:ascii="Arial" w:eastAsia="Calibri" w:hAnsi="Arial" w:cs="Arial"/>
          <w:sz w:val="22"/>
          <w:szCs w:val="22"/>
          <w:lang w:val="es-ES_tradnl"/>
        </w:rPr>
        <w:t xml:space="preserve"> las realidades socioeconómicas de cada región». En desarrollo de esta finalidad, se establecen medidas de apoyo para las micro, pequeñas y medianas empresas –</w:t>
      </w:r>
      <w:proofErr w:type="spellStart"/>
      <w:r w:rsidRPr="00884A73">
        <w:rPr>
          <w:rFonts w:ascii="Arial" w:eastAsia="Calibri" w:hAnsi="Arial" w:cs="Arial"/>
          <w:sz w:val="22"/>
          <w:szCs w:val="22"/>
          <w:lang w:val="es-ES_tradnl"/>
        </w:rPr>
        <w:t>mipymes</w:t>
      </w:r>
      <w:proofErr w:type="spellEnd"/>
      <w:r w:rsidRPr="00884A73">
        <w:rPr>
          <w:rFonts w:ascii="Arial" w:eastAsia="Calibri" w:hAnsi="Arial" w:cs="Arial"/>
          <w:sz w:val="22"/>
          <w:szCs w:val="22"/>
          <w:lang w:val="es-ES_tradnl"/>
        </w:rPr>
        <w:t>–, mediante la racionalización y simplificación de los trámites y tarifas</w:t>
      </w:r>
      <w:r w:rsidRPr="00884A73">
        <w:rPr>
          <w:rStyle w:val="Refdenotaalpie"/>
          <w:rFonts w:ascii="Arial" w:eastAsia="Calibri" w:hAnsi="Arial" w:cs="Arial"/>
          <w:sz w:val="22"/>
          <w:szCs w:val="22"/>
          <w:lang w:val="es-ES_tradnl"/>
        </w:rPr>
        <w:footnoteReference w:id="5"/>
      </w:r>
      <w:r w:rsidRPr="00884A73">
        <w:rPr>
          <w:rFonts w:ascii="Arial" w:eastAsia="Calibri" w:hAnsi="Arial" w:cs="Arial"/>
          <w:sz w:val="22"/>
          <w:szCs w:val="22"/>
          <w:lang w:val="es-ES_tradnl"/>
        </w:rPr>
        <w:t>, así como incentivos a favor de aquellas dentro del sistema de compras y contratación pública</w:t>
      </w:r>
      <w:r w:rsidRPr="00884A73">
        <w:rPr>
          <w:rStyle w:val="Refdenotaalpie"/>
          <w:rFonts w:ascii="Arial" w:eastAsia="Calibri" w:hAnsi="Arial" w:cs="Arial"/>
          <w:sz w:val="22"/>
          <w:szCs w:val="22"/>
          <w:lang w:val="es-ES_tradnl"/>
        </w:rPr>
        <w:footnoteReference w:id="6"/>
      </w:r>
      <w:r w:rsidRPr="00884A73">
        <w:rPr>
          <w:rFonts w:ascii="Arial" w:eastAsia="Calibri" w:hAnsi="Arial" w:cs="Arial"/>
          <w:sz w:val="22"/>
          <w:szCs w:val="22"/>
          <w:lang w:val="es-ES_tradnl"/>
        </w:rPr>
        <w:t>. También se consagran mecanismos de acceso al financiamiento</w:t>
      </w:r>
      <w:r w:rsidRPr="00884A73">
        <w:rPr>
          <w:rStyle w:val="Refdenotaalpie"/>
          <w:rFonts w:ascii="Arial" w:eastAsia="Calibri" w:hAnsi="Arial" w:cs="Arial"/>
          <w:sz w:val="22"/>
          <w:szCs w:val="22"/>
          <w:lang w:val="es-ES_tradnl"/>
        </w:rPr>
        <w:footnoteReference w:id="7"/>
      </w:r>
      <w:r w:rsidRPr="00884A73">
        <w:rPr>
          <w:rFonts w:ascii="Arial" w:eastAsia="Calibri" w:hAnsi="Arial" w:cs="Arial"/>
          <w:sz w:val="22"/>
          <w:szCs w:val="22"/>
          <w:lang w:val="es-ES_tradnl"/>
        </w:rPr>
        <w:t>, se unifican las fuentes de emprendimiento y de desarrollo empresarial, para fortalecer y promover los distintos sectores de la economía</w:t>
      </w:r>
      <w:r w:rsidRPr="00884A73">
        <w:rPr>
          <w:rStyle w:val="Refdenotaalpie"/>
          <w:rFonts w:ascii="Arial" w:eastAsia="Calibri" w:hAnsi="Arial" w:cs="Arial"/>
          <w:sz w:val="22"/>
          <w:szCs w:val="22"/>
          <w:lang w:val="es-ES_tradnl"/>
        </w:rPr>
        <w:footnoteReference w:id="8"/>
      </w:r>
      <w:r w:rsidRPr="00884A73">
        <w:rPr>
          <w:rFonts w:ascii="Arial" w:eastAsia="Calibri" w:hAnsi="Arial" w:cs="Arial"/>
          <w:sz w:val="22"/>
          <w:szCs w:val="22"/>
          <w:lang w:val="es-ES_tradnl"/>
        </w:rPr>
        <w:t xml:space="preserve"> y se prevén medidas de educación para el emprendimiento y la innovación</w:t>
      </w:r>
      <w:r w:rsidRPr="00884A73">
        <w:rPr>
          <w:rStyle w:val="Refdenotaalpie"/>
          <w:rFonts w:ascii="Arial" w:eastAsia="Calibri" w:hAnsi="Arial" w:cs="Arial"/>
          <w:sz w:val="22"/>
          <w:szCs w:val="22"/>
          <w:lang w:val="es-ES_tradnl"/>
        </w:rPr>
        <w:footnoteReference w:id="9"/>
      </w:r>
      <w:r w:rsidRPr="00884A73">
        <w:rPr>
          <w:rFonts w:ascii="Arial" w:eastAsia="Calibri" w:hAnsi="Arial" w:cs="Arial"/>
          <w:sz w:val="22"/>
          <w:szCs w:val="22"/>
          <w:lang w:val="es-ES_tradnl"/>
        </w:rPr>
        <w:t>.</w:t>
      </w:r>
    </w:p>
    <w:p w14:paraId="2D412CF1" w14:textId="77777777" w:rsidR="00AC6B7E" w:rsidRPr="00884A73" w:rsidRDefault="00AC6B7E" w:rsidP="00AC6B7E">
      <w:pPr>
        <w:spacing w:before="120" w:line="276" w:lineRule="auto"/>
        <w:ind w:firstLine="709"/>
        <w:jc w:val="both"/>
        <w:rPr>
          <w:rFonts w:ascii="Arial" w:eastAsia="Calibri" w:hAnsi="Arial" w:cs="Arial"/>
          <w:sz w:val="22"/>
          <w:szCs w:val="22"/>
          <w:lang w:val="es-ES_tradnl"/>
        </w:rPr>
      </w:pPr>
      <w:bookmarkStart w:id="7" w:name="_Hlk63883948"/>
      <w:r w:rsidRPr="00884A73">
        <w:rPr>
          <w:rFonts w:ascii="Arial" w:eastAsia="Calibri" w:hAnsi="Arial" w:cs="Arial"/>
          <w:sz w:val="22"/>
          <w:szCs w:val="22"/>
          <w:lang w:val="es-ES_tradnl"/>
        </w:rPr>
        <w:t xml:space="preserve">La Ley 2069 de 2020 guarda </w:t>
      </w:r>
      <w:r w:rsidRPr="00884A73">
        <w:rPr>
          <w:rFonts w:ascii="Arial" w:eastAsia="Calibri" w:hAnsi="Arial" w:cs="Arial"/>
          <w:bCs/>
          <w:sz w:val="22"/>
        </w:rPr>
        <w:t xml:space="preserve">congruencia con el «Pacto por el emprendimiento, la formalización y la productividad» del Plan Nacional de Desarrollo 2018-2022, pues busca </w:t>
      </w:r>
      <w:r w:rsidRPr="00884A73">
        <w:rPr>
          <w:rFonts w:ascii="Arial" w:eastAsia="Calibri" w:hAnsi="Arial" w:cs="Arial"/>
          <w:bCs/>
          <w:sz w:val="22"/>
        </w:rPr>
        <w:lastRenderedPageBreak/>
        <w:t xml:space="preserve">impulsar el nacimiento de nuevas empresas que incentiven la generación de empleo en el país. En tal sentido, su finalidad principal es generar la reactivación de la economía y fomentar la actividad emprendedora, y por ello tiene como uno de sus propósitos propiciar un entorno para ayudar al crecimiento, consolidación y sostenibilidad de esas iniciativas, generando mayor desarrollo social, creación de las empresas y mejoras tanto en la productividad como en la competitividad. De esta manera, la ley en comento también concreta la </w:t>
      </w:r>
      <w:bookmarkStart w:id="8" w:name="_Hlk63692496"/>
      <w:r w:rsidRPr="00884A73">
        <w:rPr>
          <w:rFonts w:ascii="Arial" w:eastAsia="Calibri" w:hAnsi="Arial" w:cs="Arial"/>
          <w:bCs/>
          <w:sz w:val="22"/>
        </w:rPr>
        <w:t>«Política de formalización empresarial»</w:t>
      </w:r>
      <w:bookmarkEnd w:id="8"/>
      <w:r w:rsidRPr="00884A73">
        <w:rPr>
          <w:rFonts w:ascii="Arial" w:eastAsia="Calibri" w:hAnsi="Arial" w:cs="Arial"/>
          <w:bCs/>
          <w:sz w:val="22"/>
        </w:rPr>
        <w:t xml:space="preserve"> del Documento CONPES 3956 del 8 de enero de 2019</w:t>
      </w:r>
      <w:r w:rsidRPr="00884A73">
        <w:rPr>
          <w:rStyle w:val="Refdenotaalpie"/>
          <w:rFonts w:ascii="Arial" w:eastAsia="Calibri" w:hAnsi="Arial" w:cs="Arial"/>
          <w:bCs/>
          <w:sz w:val="22"/>
        </w:rPr>
        <w:footnoteReference w:id="10"/>
      </w:r>
      <w:r w:rsidRPr="00884A73">
        <w:rPr>
          <w:rFonts w:ascii="Arial" w:eastAsia="Calibri" w:hAnsi="Arial" w:cs="Arial"/>
          <w:bCs/>
          <w:sz w:val="22"/>
        </w:rPr>
        <w:t>.</w:t>
      </w:r>
      <w:bookmarkEnd w:id="7"/>
    </w:p>
    <w:p w14:paraId="3865DD4A" w14:textId="7836C6B5" w:rsidR="00AC6B7E" w:rsidRPr="00884A73" w:rsidRDefault="00AC6B7E" w:rsidP="00AC6B7E">
      <w:pPr>
        <w:tabs>
          <w:tab w:val="left" w:pos="709"/>
        </w:tabs>
        <w:spacing w:before="120" w:after="120" w:line="276" w:lineRule="auto"/>
        <w:jc w:val="both"/>
        <w:rPr>
          <w:rFonts w:ascii="Arial" w:eastAsia="Calibri" w:hAnsi="Arial" w:cs="Arial"/>
          <w:bCs/>
          <w:sz w:val="22"/>
        </w:rPr>
      </w:pPr>
      <w:r w:rsidRPr="00884A73">
        <w:rPr>
          <w:rFonts w:ascii="Arial" w:eastAsia="Calibri" w:hAnsi="Arial" w:cs="Arial"/>
          <w:bCs/>
          <w:sz w:val="22"/>
        </w:rPr>
        <w:tab/>
        <w:t>De esta manera, la ley impulsa medidas para</w:t>
      </w:r>
      <w:r w:rsidR="00D43E12" w:rsidRPr="00884A73">
        <w:rPr>
          <w:rFonts w:ascii="Arial" w:eastAsia="Calibri" w:hAnsi="Arial" w:cs="Arial"/>
          <w:bCs/>
          <w:sz w:val="22"/>
        </w:rPr>
        <w:t>:</w:t>
      </w:r>
      <w:r w:rsidRPr="00884A73">
        <w:rPr>
          <w:rFonts w:ascii="Arial" w:eastAsia="Calibri" w:hAnsi="Arial" w:cs="Arial"/>
          <w:bCs/>
          <w:sz w:val="22"/>
        </w:rPr>
        <w:t xml:space="preserve"> i) reducir cargas y trámites para los emprendedores del país, </w:t>
      </w:r>
      <w:proofErr w:type="spellStart"/>
      <w:r w:rsidRPr="00884A73">
        <w:rPr>
          <w:rFonts w:ascii="Arial" w:eastAsia="Calibri" w:hAnsi="Arial" w:cs="Arial"/>
          <w:bCs/>
          <w:sz w:val="22"/>
        </w:rPr>
        <w:t>ii</w:t>
      </w:r>
      <w:proofErr w:type="spellEnd"/>
      <w:r w:rsidRPr="00884A73">
        <w:rPr>
          <w:rFonts w:ascii="Arial" w:eastAsia="Calibri" w:hAnsi="Arial" w:cs="Arial"/>
          <w:bCs/>
          <w:sz w:val="22"/>
        </w:rPr>
        <w:t xml:space="preserve">) facilitar su acceso al sistema de compras y contratación pública, </w:t>
      </w:r>
      <w:proofErr w:type="spellStart"/>
      <w:r w:rsidRPr="00884A73">
        <w:rPr>
          <w:rFonts w:ascii="Arial" w:eastAsia="Calibri" w:hAnsi="Arial" w:cs="Arial"/>
          <w:bCs/>
          <w:sz w:val="22"/>
        </w:rPr>
        <w:t>iii</w:t>
      </w:r>
      <w:proofErr w:type="spellEnd"/>
      <w:r w:rsidRPr="00884A73">
        <w:rPr>
          <w:rFonts w:ascii="Arial" w:eastAsia="Calibri" w:hAnsi="Arial" w:cs="Arial"/>
          <w:bCs/>
          <w:sz w:val="22"/>
        </w:rPr>
        <w:t xml:space="preserve">) incentivar el crecimiento económico con la llegada de más actores al ecosistema de inversión y financiación, </w:t>
      </w:r>
      <w:proofErr w:type="spellStart"/>
      <w:r w:rsidRPr="00884A73">
        <w:rPr>
          <w:rFonts w:ascii="Arial" w:eastAsia="Calibri" w:hAnsi="Arial" w:cs="Arial"/>
          <w:bCs/>
          <w:sz w:val="22"/>
        </w:rPr>
        <w:t>iv</w:t>
      </w:r>
      <w:proofErr w:type="spellEnd"/>
      <w:r w:rsidRPr="00884A73">
        <w:rPr>
          <w:rFonts w:ascii="Arial" w:eastAsia="Calibri" w:hAnsi="Arial" w:cs="Arial"/>
          <w:bCs/>
          <w:sz w:val="22"/>
        </w:rPr>
        <w:t>) focalizar esfuerzos, optimizar la gestión de recursos e incentivar una visión integral del desarrollo productivo a través del fortalecimiento institucional, v) facilitar la apropiación del emprendimiento y la cultura emprendedora en la juventud colombiana, así como vi) otorgar beneficios para emprendedores, especialmente, estableciendo un enfoque diferencial respecto a los miembros de las poblaciones más vulnerables, que les permita avanzar en su actividad y desarrollar sus iniciativas</w:t>
      </w:r>
      <w:r w:rsidRPr="00884A73">
        <w:rPr>
          <w:rStyle w:val="Refdenotaalpie"/>
          <w:rFonts w:ascii="Arial" w:eastAsia="Calibri" w:hAnsi="Arial" w:cs="Arial"/>
          <w:bCs/>
          <w:sz w:val="22"/>
        </w:rPr>
        <w:footnoteReference w:id="11"/>
      </w:r>
      <w:r w:rsidRPr="00884A73">
        <w:rPr>
          <w:rFonts w:ascii="Arial" w:eastAsia="Calibri" w:hAnsi="Arial" w:cs="Arial"/>
          <w:bCs/>
          <w:sz w:val="22"/>
        </w:rPr>
        <w:t>.</w:t>
      </w:r>
    </w:p>
    <w:p w14:paraId="36E73228" w14:textId="77777777" w:rsidR="00AC6B7E" w:rsidRPr="00884A73" w:rsidRDefault="00AC6B7E" w:rsidP="00AC6B7E">
      <w:pPr>
        <w:spacing w:before="120" w:line="276" w:lineRule="auto"/>
        <w:ind w:firstLine="709"/>
        <w:jc w:val="both"/>
        <w:rPr>
          <w:rFonts w:ascii="Arial" w:eastAsia="Calibri" w:hAnsi="Arial" w:cs="Arial"/>
          <w:sz w:val="22"/>
          <w:szCs w:val="22"/>
          <w:lang w:val="es-ES_tradnl"/>
        </w:rPr>
      </w:pPr>
      <w:r w:rsidRPr="00884A73">
        <w:rPr>
          <w:rFonts w:ascii="Arial" w:eastAsia="Calibri" w:hAnsi="Arial" w:cs="Arial"/>
          <w:sz w:val="22"/>
          <w:szCs w:val="22"/>
          <w:lang w:val="es-ES_tradnl"/>
        </w:rPr>
        <w:t xml:space="preserve">Además,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884A73">
        <w:rPr>
          <w:rFonts w:ascii="Arial" w:eastAsia="Calibri" w:hAnsi="Arial" w:cs="Arial"/>
          <w:sz w:val="22"/>
          <w:szCs w:val="22"/>
          <w:lang w:val="es-ES_tradnl"/>
        </w:rPr>
        <w:t>mipymes</w:t>
      </w:r>
      <w:proofErr w:type="spellEnd"/>
      <w:r w:rsidRPr="00884A73">
        <w:rPr>
          <w:rFonts w:ascii="Arial" w:eastAsia="Calibri" w:hAnsi="Arial" w:cs="Arial"/>
          <w:sz w:val="22"/>
          <w:szCs w:val="22"/>
          <w:lang w:val="es-ES_tradnl"/>
        </w:rPr>
        <w:t xml:space="preserve"> en el procedimiento de mínima cuantía, </w:t>
      </w:r>
      <w:proofErr w:type="spellStart"/>
      <w:r w:rsidRPr="00884A73">
        <w:rPr>
          <w:rFonts w:ascii="Arial" w:eastAsia="Calibri" w:hAnsi="Arial" w:cs="Arial"/>
          <w:sz w:val="22"/>
          <w:szCs w:val="22"/>
          <w:lang w:val="es-ES_tradnl"/>
        </w:rPr>
        <w:t>ii</w:t>
      </w:r>
      <w:proofErr w:type="spellEnd"/>
      <w:r w:rsidRPr="00884A73">
        <w:rPr>
          <w:rFonts w:ascii="Arial" w:eastAsia="Calibri" w:hAnsi="Arial" w:cs="Arial"/>
          <w:sz w:val="22"/>
          <w:szCs w:val="22"/>
          <w:lang w:val="es-ES_tradnl"/>
        </w:rPr>
        <w:t xml:space="preserve">) criterios diferenciales para </w:t>
      </w:r>
      <w:proofErr w:type="spellStart"/>
      <w:r w:rsidRPr="00884A73">
        <w:rPr>
          <w:rFonts w:ascii="Arial" w:eastAsia="Calibri" w:hAnsi="Arial" w:cs="Arial"/>
          <w:sz w:val="22"/>
          <w:szCs w:val="22"/>
          <w:lang w:val="es-ES_tradnl"/>
        </w:rPr>
        <w:t>mipymes</w:t>
      </w:r>
      <w:proofErr w:type="spellEnd"/>
      <w:r w:rsidRPr="00884A73">
        <w:rPr>
          <w:rFonts w:ascii="Arial" w:eastAsia="Calibri" w:hAnsi="Arial" w:cs="Arial"/>
          <w:sz w:val="22"/>
          <w:szCs w:val="22"/>
          <w:lang w:val="es-ES_tradnl"/>
        </w:rPr>
        <w:t xml:space="preserve"> en el sistema de compras públicas, </w:t>
      </w:r>
      <w:proofErr w:type="spellStart"/>
      <w:r w:rsidRPr="00884A73">
        <w:rPr>
          <w:rFonts w:ascii="Arial" w:eastAsia="Calibri" w:hAnsi="Arial" w:cs="Arial"/>
          <w:sz w:val="22"/>
          <w:szCs w:val="22"/>
          <w:lang w:val="es-ES_tradnl"/>
        </w:rPr>
        <w:t>iii</w:t>
      </w:r>
      <w:proofErr w:type="spellEnd"/>
      <w:r w:rsidRPr="00884A73">
        <w:rPr>
          <w:rFonts w:ascii="Arial" w:eastAsia="Calibri" w:hAnsi="Arial" w:cs="Arial"/>
          <w:sz w:val="22"/>
          <w:szCs w:val="22"/>
          <w:lang w:val="es-ES_tradnl"/>
        </w:rPr>
        <w:t xml:space="preserve">) criterios diferenciales para emprendimientos y empresas de mujeres en el sistema de compras públicas, </w:t>
      </w:r>
      <w:proofErr w:type="spellStart"/>
      <w:r w:rsidRPr="00884A73">
        <w:rPr>
          <w:rFonts w:ascii="Arial" w:eastAsia="Calibri" w:hAnsi="Arial" w:cs="Arial"/>
          <w:sz w:val="22"/>
          <w:szCs w:val="22"/>
          <w:lang w:val="es-ES_tradnl"/>
        </w:rPr>
        <w:t>iv</w:t>
      </w:r>
      <w:proofErr w:type="spellEnd"/>
      <w:r w:rsidRPr="00884A73">
        <w:rPr>
          <w:rFonts w:ascii="Arial" w:eastAsia="Calibri" w:hAnsi="Arial" w:cs="Arial"/>
          <w:sz w:val="22"/>
          <w:szCs w:val="22"/>
          <w:lang w:val="es-ES_tradnl"/>
        </w:rPr>
        <w:t xml:space="preserve">) promoción del acceso de las </w:t>
      </w:r>
      <w:proofErr w:type="spellStart"/>
      <w:r w:rsidRPr="00884A73">
        <w:rPr>
          <w:rFonts w:ascii="Arial" w:eastAsia="Calibri" w:hAnsi="Arial" w:cs="Arial"/>
          <w:sz w:val="22"/>
          <w:szCs w:val="22"/>
          <w:lang w:val="es-ES_tradnl"/>
        </w:rPr>
        <w:t>mipymes</w:t>
      </w:r>
      <w:proofErr w:type="spellEnd"/>
      <w:r w:rsidRPr="00884A73">
        <w:rPr>
          <w:rFonts w:ascii="Arial" w:eastAsia="Calibri" w:hAnsi="Arial" w:cs="Arial"/>
          <w:sz w:val="22"/>
          <w:szCs w:val="22"/>
          <w:lang w:val="es-ES_tradnl"/>
        </w:rPr>
        <w:t xml:space="preserve"> al mercado de compras públicas, v) promoción del desarrollo en la contratación pública, vi) un nuevo régimen de factores de </w:t>
      </w:r>
      <w:r w:rsidRPr="00884A73">
        <w:rPr>
          <w:rFonts w:ascii="Arial" w:eastAsia="Calibri" w:hAnsi="Arial" w:cs="Arial"/>
          <w:sz w:val="22"/>
          <w:szCs w:val="22"/>
          <w:lang w:val="es-ES_tradnl"/>
        </w:rPr>
        <w:lastRenderedPageBreak/>
        <w:t xml:space="preserve">desempate y vi) un llamado a las entidades estatales para que promuevan compras públicas en el marco de la tecnología y la innovación. </w:t>
      </w:r>
    </w:p>
    <w:p w14:paraId="4A51CD05" w14:textId="77777777" w:rsidR="00A237CD" w:rsidRPr="00884A73" w:rsidRDefault="00A237CD" w:rsidP="00A237CD">
      <w:pPr>
        <w:spacing w:line="276" w:lineRule="auto"/>
        <w:ind w:firstLine="709"/>
        <w:jc w:val="both"/>
        <w:rPr>
          <w:rFonts w:ascii="Arial" w:eastAsia="Calibri" w:hAnsi="Arial" w:cs="Arial"/>
          <w:sz w:val="22"/>
          <w:szCs w:val="22"/>
          <w:lang w:val="es-ES_tradnl"/>
        </w:rPr>
      </w:pPr>
    </w:p>
    <w:p w14:paraId="24D691C6" w14:textId="18236D0B" w:rsidR="004F5634" w:rsidRPr="00884A73" w:rsidRDefault="004F5634" w:rsidP="000B728A">
      <w:pPr>
        <w:spacing w:line="276" w:lineRule="auto"/>
        <w:jc w:val="both"/>
        <w:rPr>
          <w:rFonts w:ascii="Arial" w:eastAsia="Calibri" w:hAnsi="Arial" w:cs="Arial"/>
          <w:b/>
          <w:bCs/>
          <w:sz w:val="22"/>
          <w:szCs w:val="22"/>
          <w:lang w:val="es-ES_tradnl"/>
        </w:rPr>
      </w:pPr>
      <w:r w:rsidRPr="00884A73">
        <w:rPr>
          <w:rFonts w:ascii="Arial" w:eastAsia="Calibri" w:hAnsi="Arial" w:cs="Arial"/>
          <w:b/>
          <w:bCs/>
          <w:sz w:val="22"/>
          <w:szCs w:val="22"/>
          <w:lang w:val="es-ES_tradnl"/>
        </w:rPr>
        <w:t xml:space="preserve">2.3. </w:t>
      </w:r>
      <w:r w:rsidR="00D33AFB" w:rsidRPr="00884A73">
        <w:rPr>
          <w:rFonts w:ascii="Arial" w:eastAsia="Calibri" w:hAnsi="Arial" w:cs="Arial"/>
          <w:b/>
          <w:bCs/>
          <w:sz w:val="22"/>
          <w:szCs w:val="22"/>
          <w:lang w:val="es-ES_tradnl"/>
        </w:rPr>
        <w:t>Aplicación de los</w:t>
      </w:r>
      <w:r w:rsidRPr="00884A73">
        <w:rPr>
          <w:rFonts w:ascii="Arial" w:eastAsia="Calibri" w:hAnsi="Arial" w:cs="Arial"/>
          <w:b/>
          <w:bCs/>
          <w:sz w:val="22"/>
          <w:szCs w:val="22"/>
          <w:lang w:val="es-ES_tradnl"/>
        </w:rPr>
        <w:t xml:space="preserve"> factores de desempate del artículo 35 de la Ley 2069 de 2020</w:t>
      </w:r>
      <w:r w:rsidR="00347923" w:rsidRPr="00884A73">
        <w:rPr>
          <w:rFonts w:ascii="Arial" w:eastAsia="Calibri" w:hAnsi="Arial" w:cs="Arial"/>
          <w:b/>
          <w:bCs/>
          <w:sz w:val="22"/>
          <w:szCs w:val="22"/>
          <w:lang w:val="es-ES_tradnl"/>
        </w:rPr>
        <w:t xml:space="preserve"> </w:t>
      </w:r>
      <w:r w:rsidR="00D33AFB" w:rsidRPr="00884A73">
        <w:rPr>
          <w:rFonts w:ascii="Arial" w:eastAsia="Calibri" w:hAnsi="Arial" w:cs="Arial"/>
          <w:b/>
          <w:bCs/>
          <w:sz w:val="22"/>
          <w:szCs w:val="22"/>
          <w:lang w:val="es-ES_tradnl"/>
        </w:rPr>
        <w:t xml:space="preserve">en procesos de selección abreviada </w:t>
      </w:r>
      <w:r w:rsidR="00AA1778" w:rsidRPr="00884A73">
        <w:rPr>
          <w:rFonts w:ascii="Arial" w:eastAsia="Calibri" w:hAnsi="Arial" w:cs="Arial"/>
          <w:b/>
          <w:bCs/>
          <w:sz w:val="22"/>
          <w:szCs w:val="22"/>
          <w:lang w:val="es-ES_tradnl"/>
        </w:rPr>
        <w:t>para la adquisición de bienes y servicios de características técnicas uniformes</w:t>
      </w:r>
    </w:p>
    <w:p w14:paraId="7BE52B42" w14:textId="77777777" w:rsidR="00F5684C" w:rsidRPr="00884A73" w:rsidRDefault="00F5684C" w:rsidP="00F5684C">
      <w:pPr>
        <w:spacing w:line="276" w:lineRule="auto"/>
        <w:jc w:val="both"/>
        <w:rPr>
          <w:rFonts w:ascii="Arial" w:eastAsia="Calibri" w:hAnsi="Arial" w:cs="Arial"/>
          <w:b/>
          <w:bCs/>
          <w:sz w:val="22"/>
          <w:szCs w:val="22"/>
          <w:lang w:val="es-ES_tradnl"/>
        </w:rPr>
      </w:pPr>
    </w:p>
    <w:p w14:paraId="6C4CF7D0" w14:textId="190B92BE" w:rsidR="00D837E6" w:rsidRPr="00884A73" w:rsidRDefault="00F5684C" w:rsidP="00D837E6">
      <w:pPr>
        <w:spacing w:line="276" w:lineRule="auto"/>
        <w:jc w:val="both"/>
        <w:rPr>
          <w:rFonts w:ascii="Arial" w:eastAsia="Calibri" w:hAnsi="Arial" w:cs="Arial"/>
          <w:sz w:val="22"/>
          <w:szCs w:val="22"/>
          <w:lang w:val="es-ES_tradnl"/>
        </w:rPr>
      </w:pPr>
      <w:r w:rsidRPr="00884A73">
        <w:rPr>
          <w:rFonts w:ascii="Arial" w:eastAsia="Calibri" w:hAnsi="Arial" w:cs="Arial"/>
          <w:sz w:val="22"/>
          <w:szCs w:val="22"/>
          <w:lang w:val="es-ES_tradnl"/>
        </w:rPr>
        <w:t>El artículo 35 de la Ley 2069 de 2020 modifica la regulación de los factores de desempate en la contratación estatal. En consideración a que en la consulta se solicita que la Agencia Nacional de Contratación Pública – Colombia Compra Eficiente efectúe ciertas precisiones hermenéuticas sobre la aplicación de dicho artículo</w:t>
      </w:r>
      <w:r w:rsidR="005C1753" w:rsidRPr="00884A73">
        <w:rPr>
          <w:rFonts w:ascii="Arial" w:eastAsia="Calibri" w:hAnsi="Arial" w:cs="Arial"/>
          <w:sz w:val="22"/>
          <w:szCs w:val="22"/>
          <w:lang w:val="es-ES_tradnl"/>
        </w:rPr>
        <w:t>, y la reglamentación del mismo desarrollada en el Decreto 1860 de 2021,</w:t>
      </w:r>
      <w:r w:rsidRPr="00884A73">
        <w:rPr>
          <w:rFonts w:ascii="Arial" w:eastAsia="Calibri" w:hAnsi="Arial" w:cs="Arial"/>
          <w:sz w:val="22"/>
          <w:szCs w:val="22"/>
          <w:lang w:val="es-ES_tradnl"/>
        </w:rPr>
        <w:t xml:space="preserve"> </w:t>
      </w:r>
      <w:r w:rsidR="005C1753" w:rsidRPr="00884A73">
        <w:rPr>
          <w:rFonts w:ascii="Arial" w:eastAsia="Calibri" w:hAnsi="Arial" w:cs="Arial"/>
          <w:sz w:val="22"/>
          <w:szCs w:val="22"/>
          <w:lang w:val="es-ES_tradnl"/>
        </w:rPr>
        <w:t>en</w:t>
      </w:r>
      <w:r w:rsidRPr="00884A73">
        <w:rPr>
          <w:rFonts w:ascii="Arial" w:eastAsia="Calibri" w:hAnsi="Arial" w:cs="Arial"/>
          <w:sz w:val="22"/>
          <w:szCs w:val="22"/>
          <w:lang w:val="es-ES_tradnl"/>
        </w:rPr>
        <w:t xml:space="preserve"> los procesos de selección abreviada p</w:t>
      </w:r>
      <w:r w:rsidR="00CD2DCE" w:rsidRPr="00884A73">
        <w:rPr>
          <w:rFonts w:ascii="Arial" w:eastAsia="Calibri" w:hAnsi="Arial" w:cs="Arial"/>
          <w:sz w:val="22"/>
          <w:szCs w:val="22"/>
          <w:lang w:val="es-ES_tradnl"/>
        </w:rPr>
        <w:t xml:space="preserve">ara la adquisición de </w:t>
      </w:r>
      <w:r w:rsidR="00C11D2C" w:rsidRPr="00884A73">
        <w:rPr>
          <w:rFonts w:ascii="Arial" w:eastAsia="Calibri" w:hAnsi="Arial" w:cs="Arial"/>
          <w:sz w:val="22"/>
          <w:szCs w:val="22"/>
          <w:lang w:val="es-ES_tradnl"/>
        </w:rPr>
        <w:t>bienes y servicios de características técnicas uniformes</w:t>
      </w:r>
      <w:r w:rsidR="00747F52" w:rsidRPr="00884A73">
        <w:rPr>
          <w:rFonts w:ascii="Arial" w:eastAsia="Calibri" w:hAnsi="Arial" w:cs="Arial"/>
          <w:sz w:val="22"/>
          <w:szCs w:val="22"/>
          <w:lang w:val="es-ES_tradnl"/>
        </w:rPr>
        <w:t xml:space="preserve"> adelantados en bolsa de productos,</w:t>
      </w:r>
      <w:r w:rsidRPr="00884A73">
        <w:rPr>
          <w:rFonts w:ascii="Arial" w:eastAsia="Calibri" w:hAnsi="Arial" w:cs="Arial"/>
          <w:sz w:val="22"/>
          <w:szCs w:val="22"/>
          <w:lang w:val="es-ES_tradnl"/>
        </w:rPr>
        <w:t xml:space="preserve"> la Agencia se pronunciará sobre el alcance que otorga a tales disposiciones, sin pasar por alto la</w:t>
      </w:r>
      <w:r w:rsidR="00DC474C" w:rsidRPr="00884A73">
        <w:rPr>
          <w:rFonts w:ascii="Arial" w:eastAsia="Calibri" w:hAnsi="Arial" w:cs="Arial"/>
          <w:sz w:val="22"/>
          <w:szCs w:val="22"/>
          <w:lang w:val="es-ES_tradnl"/>
        </w:rPr>
        <w:t xml:space="preserve"> relativa</w:t>
      </w:r>
      <w:r w:rsidRPr="00884A73">
        <w:rPr>
          <w:rFonts w:ascii="Arial" w:eastAsia="Calibri" w:hAnsi="Arial" w:cs="Arial"/>
          <w:sz w:val="22"/>
          <w:szCs w:val="22"/>
          <w:lang w:val="es-ES_tradnl"/>
        </w:rPr>
        <w:t xml:space="preserve"> novedad de la Ley 2069 de 2020 </w:t>
      </w:r>
      <w:r w:rsidR="00DC474C" w:rsidRPr="00884A73">
        <w:rPr>
          <w:rFonts w:ascii="Arial" w:eastAsia="Calibri" w:hAnsi="Arial" w:cs="Arial"/>
          <w:sz w:val="22"/>
          <w:szCs w:val="22"/>
          <w:lang w:val="es-ES_tradnl"/>
        </w:rPr>
        <w:t>y su decreto reglamentario</w:t>
      </w:r>
      <w:r w:rsidRPr="00884A73">
        <w:rPr>
          <w:rFonts w:ascii="Arial" w:eastAsia="Calibri" w:hAnsi="Arial" w:cs="Arial"/>
          <w:sz w:val="22"/>
          <w:szCs w:val="22"/>
          <w:lang w:val="es-ES_tradnl"/>
        </w:rPr>
        <w:t xml:space="preserve"> y la ausencia de pronunciamientos jurisprudenciales o estudios doctrinarios sobre el tema, que seguramente contribuirán a decantar la interpretación de las normas en comento.</w:t>
      </w:r>
      <w:r w:rsidR="00671256" w:rsidRPr="00884A73">
        <w:rPr>
          <w:rFonts w:ascii="Arial" w:eastAsia="Calibri" w:hAnsi="Arial" w:cs="Arial"/>
          <w:sz w:val="22"/>
          <w:szCs w:val="22"/>
          <w:lang w:val="es-ES_tradnl"/>
        </w:rPr>
        <w:t xml:space="preserve"> </w:t>
      </w:r>
    </w:p>
    <w:p w14:paraId="0F59547C" w14:textId="0247CE82" w:rsidR="007D7CCB" w:rsidRPr="00884A73" w:rsidRDefault="00D837E6" w:rsidP="00347923">
      <w:pPr>
        <w:spacing w:before="120" w:after="120" w:line="276" w:lineRule="auto"/>
        <w:ind w:firstLine="709"/>
        <w:jc w:val="both"/>
        <w:rPr>
          <w:rFonts w:ascii="Arial" w:eastAsia="Calibri" w:hAnsi="Arial" w:cs="Arial"/>
          <w:sz w:val="22"/>
          <w:szCs w:val="22"/>
          <w:lang w:val="es-ES_tradnl"/>
        </w:rPr>
      </w:pPr>
      <w:r w:rsidRPr="00884A73">
        <w:rPr>
          <w:rFonts w:ascii="Arial" w:eastAsia="Calibri" w:hAnsi="Arial" w:cs="Arial"/>
          <w:sz w:val="22"/>
          <w:szCs w:val="22"/>
          <w:lang w:val="es-ES_tradnl"/>
        </w:rPr>
        <w:t>E</w:t>
      </w:r>
      <w:r w:rsidR="00E470F8" w:rsidRPr="00884A73">
        <w:rPr>
          <w:rFonts w:ascii="Arial" w:eastAsia="Calibri" w:hAnsi="Arial" w:cs="Arial"/>
          <w:sz w:val="22"/>
          <w:szCs w:val="22"/>
          <w:lang w:val="es-ES_tradnl"/>
        </w:rPr>
        <w:t>n efecto, el</w:t>
      </w:r>
      <w:r w:rsidR="00F5684C" w:rsidRPr="00884A73">
        <w:rPr>
          <w:rFonts w:ascii="Arial" w:eastAsia="Calibri" w:hAnsi="Arial" w:cs="Arial"/>
          <w:sz w:val="22"/>
          <w:szCs w:val="22"/>
          <w:lang w:val="es-ES_tradnl"/>
        </w:rPr>
        <w:t xml:space="preserve"> artículo </w:t>
      </w:r>
      <w:r w:rsidRPr="00884A73">
        <w:rPr>
          <w:rFonts w:ascii="Arial" w:eastAsia="Calibri" w:hAnsi="Arial" w:cs="Arial"/>
          <w:sz w:val="22"/>
          <w:szCs w:val="22"/>
          <w:lang w:val="es-ES_tradnl"/>
        </w:rPr>
        <w:t>35 de la Ley 2069</w:t>
      </w:r>
      <w:r w:rsidR="00992270" w:rsidRPr="00884A73">
        <w:rPr>
          <w:rFonts w:ascii="Arial" w:eastAsia="Calibri" w:hAnsi="Arial" w:cs="Arial"/>
          <w:sz w:val="22"/>
          <w:szCs w:val="22"/>
          <w:lang w:val="es-ES_tradnl"/>
        </w:rPr>
        <w:t xml:space="preserve"> de 2020</w:t>
      </w:r>
      <w:r w:rsidRPr="00884A73">
        <w:rPr>
          <w:rFonts w:ascii="Arial" w:eastAsia="Calibri" w:hAnsi="Arial" w:cs="Arial"/>
          <w:sz w:val="22"/>
          <w:szCs w:val="22"/>
          <w:lang w:val="es-ES_tradnl"/>
        </w:rPr>
        <w:t xml:space="preserve"> </w:t>
      </w:r>
      <w:r w:rsidR="00F5684C" w:rsidRPr="00884A73">
        <w:rPr>
          <w:rFonts w:ascii="Arial" w:eastAsia="Calibri" w:hAnsi="Arial" w:cs="Arial"/>
          <w:sz w:val="22"/>
          <w:szCs w:val="22"/>
          <w:lang w:val="es-ES_tradnl"/>
        </w:rPr>
        <w:t xml:space="preserve">establece los factores de desempate </w:t>
      </w:r>
      <w:r w:rsidR="0048207F" w:rsidRPr="00884A73">
        <w:rPr>
          <w:rFonts w:ascii="Arial" w:eastAsia="Calibri" w:hAnsi="Arial" w:cs="Arial"/>
          <w:sz w:val="22"/>
          <w:szCs w:val="22"/>
          <w:lang w:val="es-ES_tradnl"/>
        </w:rPr>
        <w:t xml:space="preserve">aplicables </w:t>
      </w:r>
      <w:r w:rsidR="00D77D25" w:rsidRPr="00884A73">
        <w:rPr>
          <w:rFonts w:ascii="Arial" w:eastAsia="Calibri" w:hAnsi="Arial" w:cs="Arial"/>
          <w:sz w:val="22"/>
          <w:szCs w:val="22"/>
          <w:lang w:val="es-ES_tradnl"/>
        </w:rPr>
        <w:t xml:space="preserve">«[…] </w:t>
      </w:r>
      <w:r w:rsidR="00E470F8" w:rsidRPr="00884A73">
        <w:rPr>
          <w:rFonts w:ascii="Arial" w:hAnsi="Arial" w:cs="Arial"/>
          <w:i/>
          <w:iCs/>
          <w:sz w:val="22"/>
          <w:szCs w:val="22"/>
        </w:rPr>
        <w:t>en los Procesos de Contratación realizados con cargo a recursos públicos</w:t>
      </w:r>
      <w:r w:rsidR="00E470F8" w:rsidRPr="00884A73">
        <w:rPr>
          <w:rFonts w:ascii="Arial" w:hAnsi="Arial" w:cs="Arial"/>
          <w:sz w:val="22"/>
          <w:szCs w:val="22"/>
        </w:rPr>
        <w:t xml:space="preserve">, </w:t>
      </w:r>
      <w:r w:rsidR="00E470F8" w:rsidRPr="00884A73">
        <w:rPr>
          <w:rFonts w:ascii="Arial" w:hAnsi="Arial" w:cs="Arial"/>
          <w:i/>
          <w:iCs/>
          <w:sz w:val="22"/>
          <w:szCs w:val="22"/>
        </w:rPr>
        <w:t>los Procesos de Contratación realizados por las Entidades Estatales indistintamente de su régimen de contratación</w:t>
      </w:r>
      <w:r w:rsidR="00E470F8" w:rsidRPr="00884A73">
        <w:rPr>
          <w:rFonts w:ascii="Arial" w:hAnsi="Arial" w:cs="Arial"/>
          <w:sz w:val="22"/>
          <w:szCs w:val="22"/>
        </w:rPr>
        <w:t>, así como los celebrados por los Procesos de Contratación de los patrimonios autónomos constituidos por Entidades Estatales</w:t>
      </w:r>
      <w:r w:rsidR="00D77D25" w:rsidRPr="00884A73">
        <w:rPr>
          <w:rFonts w:ascii="Arial" w:hAnsi="Arial" w:cs="Arial"/>
          <w:sz w:val="22"/>
          <w:szCs w:val="22"/>
        </w:rPr>
        <w:t xml:space="preserve"> […]»</w:t>
      </w:r>
      <w:r w:rsidR="00677DC5" w:rsidRPr="00884A73">
        <w:rPr>
          <w:rFonts w:ascii="Arial" w:hAnsi="Arial" w:cs="Arial"/>
          <w:sz w:val="22"/>
          <w:szCs w:val="22"/>
        </w:rPr>
        <w:t xml:space="preserve"> </w:t>
      </w:r>
      <w:r w:rsidR="00BE1108" w:rsidRPr="00884A73">
        <w:rPr>
          <w:rFonts w:ascii="Arial" w:hAnsi="Arial" w:cs="Arial"/>
          <w:sz w:val="22"/>
          <w:szCs w:val="22"/>
        </w:rPr>
        <w:t>(énfasis fuera de texto)</w:t>
      </w:r>
      <w:r w:rsidR="00D77D25" w:rsidRPr="00884A73">
        <w:rPr>
          <w:rFonts w:ascii="Arial" w:hAnsi="Arial" w:cs="Arial"/>
          <w:sz w:val="22"/>
          <w:szCs w:val="22"/>
        </w:rPr>
        <w:t xml:space="preserve">. </w:t>
      </w:r>
      <w:r w:rsidR="00BE1108" w:rsidRPr="00884A73">
        <w:rPr>
          <w:rFonts w:ascii="Arial" w:hAnsi="Arial" w:cs="Arial"/>
          <w:sz w:val="22"/>
          <w:szCs w:val="22"/>
        </w:rPr>
        <w:t>Conforme</w:t>
      </w:r>
      <w:r w:rsidR="00677DC5" w:rsidRPr="00884A73">
        <w:rPr>
          <w:rFonts w:ascii="Arial" w:hAnsi="Arial" w:cs="Arial"/>
          <w:sz w:val="22"/>
          <w:szCs w:val="22"/>
        </w:rPr>
        <w:t xml:space="preserve"> indica el texto de esta norma</w:t>
      </w:r>
      <w:r w:rsidR="00D77D25" w:rsidRPr="00884A73">
        <w:rPr>
          <w:rFonts w:ascii="Arial" w:hAnsi="Arial" w:cs="Arial"/>
          <w:sz w:val="22"/>
          <w:szCs w:val="22"/>
        </w:rPr>
        <w:t xml:space="preserve">, </w:t>
      </w:r>
      <w:r w:rsidR="004F5D98" w:rsidRPr="00884A73">
        <w:rPr>
          <w:rFonts w:ascii="Arial" w:eastAsia="Calibri" w:hAnsi="Arial" w:cs="Arial"/>
          <w:sz w:val="22"/>
          <w:szCs w:val="22"/>
          <w:lang w:val="es-ES_tradnl"/>
        </w:rPr>
        <w:t>reglamentad</w:t>
      </w:r>
      <w:r w:rsidR="00677DC5" w:rsidRPr="00884A73">
        <w:rPr>
          <w:rFonts w:ascii="Arial" w:eastAsia="Calibri" w:hAnsi="Arial" w:cs="Arial"/>
          <w:sz w:val="22"/>
          <w:szCs w:val="22"/>
          <w:lang w:val="es-ES_tradnl"/>
        </w:rPr>
        <w:t>a</w:t>
      </w:r>
      <w:r w:rsidR="004F5D98" w:rsidRPr="00884A73">
        <w:rPr>
          <w:rFonts w:ascii="Arial" w:eastAsia="Calibri" w:hAnsi="Arial" w:cs="Arial"/>
          <w:sz w:val="22"/>
          <w:szCs w:val="22"/>
          <w:lang w:val="es-ES_tradnl"/>
        </w:rPr>
        <w:t xml:space="preserve"> por el artículo </w:t>
      </w:r>
      <w:r w:rsidR="004F5D98" w:rsidRPr="00884A73">
        <w:rPr>
          <w:rFonts w:ascii="Arial" w:hAnsi="Arial" w:cs="Arial"/>
          <w:sz w:val="22"/>
          <w:szCs w:val="22"/>
          <w:shd w:val="clear" w:color="auto" w:fill="FFFFFF"/>
        </w:rPr>
        <w:t xml:space="preserve">2.2.1.2.4.2.17 del Decreto 1082 de 2015, adicionado por el Decreto 1860 de </w:t>
      </w:r>
      <w:r w:rsidR="002D0389" w:rsidRPr="00884A73">
        <w:rPr>
          <w:rFonts w:ascii="Arial" w:hAnsi="Arial" w:cs="Arial"/>
          <w:sz w:val="22"/>
          <w:szCs w:val="22"/>
          <w:shd w:val="clear" w:color="auto" w:fill="FFFFFF"/>
        </w:rPr>
        <w:t xml:space="preserve">2021, estos factores de desempate </w:t>
      </w:r>
      <w:r w:rsidR="002D0389" w:rsidRPr="00884A73">
        <w:rPr>
          <w:rFonts w:ascii="Arial" w:eastAsia="Calibri" w:hAnsi="Arial" w:cs="Arial"/>
          <w:i/>
          <w:iCs/>
          <w:sz w:val="22"/>
          <w:szCs w:val="22"/>
          <w:lang w:val="es-ES_tradnl"/>
        </w:rPr>
        <w:t>no</w:t>
      </w:r>
      <w:r w:rsidR="00A54895" w:rsidRPr="00884A73">
        <w:rPr>
          <w:rFonts w:ascii="Arial" w:eastAsia="Calibri" w:hAnsi="Arial" w:cs="Arial"/>
          <w:sz w:val="22"/>
          <w:szCs w:val="22"/>
          <w:lang w:val="es-ES_tradnl"/>
        </w:rPr>
        <w:t xml:space="preserve"> solo son aplicables a la contratación de las entidades regidas por el EGCAP, sino también </w:t>
      </w:r>
      <w:r w:rsidR="00DF41DD" w:rsidRPr="00884A73">
        <w:rPr>
          <w:rFonts w:ascii="Arial" w:eastAsia="Calibri" w:hAnsi="Arial" w:cs="Arial"/>
          <w:sz w:val="22"/>
          <w:szCs w:val="22"/>
          <w:lang w:val="es-ES_tradnl"/>
        </w:rPr>
        <w:t>a los procesos de selección de las entidades exceptuadas</w:t>
      </w:r>
      <w:r w:rsidR="00CA137B" w:rsidRPr="00884A73">
        <w:rPr>
          <w:rFonts w:ascii="Arial" w:eastAsia="Calibri" w:hAnsi="Arial" w:cs="Arial"/>
          <w:sz w:val="22"/>
          <w:szCs w:val="22"/>
          <w:lang w:val="es-ES_tradnl"/>
        </w:rPr>
        <w:t xml:space="preserve">, </w:t>
      </w:r>
      <w:r w:rsidR="00AC51DF" w:rsidRPr="00884A73">
        <w:rPr>
          <w:rFonts w:ascii="Arial" w:eastAsia="Calibri" w:hAnsi="Arial" w:cs="Arial"/>
          <w:sz w:val="22"/>
          <w:szCs w:val="22"/>
          <w:lang w:val="es-ES_tradnl"/>
        </w:rPr>
        <w:t>a los que realicen l</w:t>
      </w:r>
      <w:r w:rsidR="00906007" w:rsidRPr="00884A73">
        <w:rPr>
          <w:rFonts w:ascii="Arial" w:eastAsia="Calibri" w:hAnsi="Arial" w:cs="Arial"/>
          <w:sz w:val="22"/>
          <w:szCs w:val="22"/>
          <w:lang w:val="es-ES_tradnl"/>
        </w:rPr>
        <w:t>o</w:t>
      </w:r>
      <w:r w:rsidR="00AC51DF" w:rsidRPr="00884A73">
        <w:rPr>
          <w:rFonts w:ascii="Arial" w:eastAsia="Calibri" w:hAnsi="Arial" w:cs="Arial"/>
          <w:sz w:val="22"/>
          <w:szCs w:val="22"/>
          <w:lang w:val="es-ES_tradnl"/>
        </w:rPr>
        <w:t xml:space="preserve">s patrimonios autónomos </w:t>
      </w:r>
      <w:r w:rsidR="001F5EF9" w:rsidRPr="00884A73">
        <w:rPr>
          <w:rFonts w:ascii="Arial" w:eastAsia="Calibri" w:hAnsi="Arial" w:cs="Arial"/>
          <w:sz w:val="22"/>
          <w:szCs w:val="22"/>
          <w:lang w:val="es-ES_tradnl"/>
        </w:rPr>
        <w:t xml:space="preserve">constituidos por entidades estatales, y en general, en los procesos de selección </w:t>
      </w:r>
      <w:r w:rsidR="004D1653" w:rsidRPr="00884A73">
        <w:rPr>
          <w:rFonts w:ascii="Arial" w:eastAsia="Calibri" w:hAnsi="Arial" w:cs="Arial"/>
          <w:sz w:val="22"/>
          <w:szCs w:val="22"/>
          <w:lang w:val="es-ES_tradnl"/>
        </w:rPr>
        <w:t xml:space="preserve">realizados con cargo a recursos públicos. </w:t>
      </w:r>
      <w:r w:rsidR="00906D34" w:rsidRPr="00884A73">
        <w:rPr>
          <w:rFonts w:ascii="Arial" w:eastAsia="Calibri" w:hAnsi="Arial" w:cs="Arial"/>
          <w:sz w:val="22"/>
          <w:szCs w:val="22"/>
          <w:lang w:val="es-ES_tradnl"/>
        </w:rPr>
        <w:t>Debido a que la norma no distingue</w:t>
      </w:r>
      <w:r w:rsidR="00762705" w:rsidRPr="00884A73">
        <w:rPr>
          <w:rFonts w:ascii="Arial" w:eastAsia="Calibri" w:hAnsi="Arial" w:cs="Arial"/>
          <w:sz w:val="22"/>
          <w:szCs w:val="22"/>
          <w:lang w:val="es-ES_tradnl"/>
        </w:rPr>
        <w:t xml:space="preserve"> entre modalidades o procedimientos, </w:t>
      </w:r>
      <w:r w:rsidR="00353801" w:rsidRPr="00884A73">
        <w:rPr>
          <w:rFonts w:ascii="Arial" w:eastAsia="Calibri" w:hAnsi="Arial" w:cs="Arial"/>
          <w:sz w:val="22"/>
          <w:szCs w:val="22"/>
          <w:lang w:val="es-ES_tradnl"/>
        </w:rPr>
        <w:t xml:space="preserve">los factores de desempate son aplicables </w:t>
      </w:r>
      <w:r w:rsidR="006E765A" w:rsidRPr="00884A73">
        <w:rPr>
          <w:rFonts w:ascii="Arial" w:eastAsia="Calibri" w:hAnsi="Arial" w:cs="Arial"/>
          <w:sz w:val="22"/>
          <w:szCs w:val="22"/>
          <w:lang w:val="es-ES_tradnl"/>
        </w:rPr>
        <w:t xml:space="preserve">en todos los procesos de selección que </w:t>
      </w:r>
      <w:r w:rsidR="00D43E12" w:rsidRPr="00884A73">
        <w:rPr>
          <w:rFonts w:ascii="Arial" w:eastAsia="Calibri" w:hAnsi="Arial" w:cs="Arial"/>
          <w:sz w:val="22"/>
          <w:szCs w:val="22"/>
          <w:lang w:val="es-ES_tradnl"/>
        </w:rPr>
        <w:t>se desarrollen bajo los supuestos indicados.</w:t>
      </w:r>
    </w:p>
    <w:p w14:paraId="3D8BAC6A" w14:textId="17CA0827" w:rsidR="005651C7" w:rsidRPr="00884A73" w:rsidRDefault="00A35E91" w:rsidP="000618FE">
      <w:pPr>
        <w:tabs>
          <w:tab w:val="left" w:pos="0"/>
        </w:tabs>
        <w:spacing w:after="120" w:line="276" w:lineRule="auto"/>
        <w:jc w:val="both"/>
        <w:rPr>
          <w:rFonts w:ascii="Arial" w:eastAsia="Calibri" w:hAnsi="Arial" w:cs="Arial"/>
          <w:sz w:val="22"/>
          <w:szCs w:val="22"/>
          <w:lang w:val="es-ES_tradnl"/>
        </w:rPr>
      </w:pPr>
      <w:r w:rsidRPr="00884A73">
        <w:rPr>
          <w:rFonts w:ascii="Arial" w:eastAsia="Calibri" w:hAnsi="Arial" w:cs="Arial"/>
          <w:sz w:val="22"/>
          <w:szCs w:val="22"/>
          <w:lang w:val="es-ES_tradnl"/>
        </w:rPr>
        <w:tab/>
      </w:r>
      <w:r w:rsidR="002B5392" w:rsidRPr="00884A73">
        <w:rPr>
          <w:rFonts w:ascii="Arial" w:eastAsia="Calibri" w:hAnsi="Arial" w:cs="Arial"/>
          <w:sz w:val="22"/>
          <w:szCs w:val="22"/>
          <w:lang w:val="es-ES_tradnl"/>
        </w:rPr>
        <w:t xml:space="preserve">En ese sentido, </w:t>
      </w:r>
      <w:r w:rsidR="0037256F" w:rsidRPr="00884A73">
        <w:rPr>
          <w:rFonts w:ascii="Arial" w:eastAsia="Calibri" w:hAnsi="Arial" w:cs="Arial"/>
          <w:sz w:val="22"/>
          <w:szCs w:val="22"/>
          <w:lang w:val="es-ES_tradnl"/>
        </w:rPr>
        <w:t>la</w:t>
      </w:r>
      <w:r w:rsidR="002B5392" w:rsidRPr="00884A73">
        <w:rPr>
          <w:rFonts w:ascii="Arial" w:eastAsia="Calibri" w:hAnsi="Arial" w:cs="Arial"/>
          <w:sz w:val="22"/>
          <w:szCs w:val="22"/>
          <w:lang w:val="es-ES_tradnl"/>
        </w:rPr>
        <w:t xml:space="preserve"> Agencia ha estimado que la aplicación del artículo 35 de la Ley 2069 de 2020</w:t>
      </w:r>
      <w:r w:rsidR="00B1498E" w:rsidRPr="00884A73">
        <w:rPr>
          <w:rFonts w:ascii="Arial" w:eastAsiaTheme="minorHAnsi" w:hAnsi="Arial" w:cs="Arial"/>
          <w:sz w:val="22"/>
          <w:szCs w:val="22"/>
          <w:lang w:eastAsia="en-US"/>
        </w:rPr>
        <w:t xml:space="preserve"> </w:t>
      </w:r>
      <w:r w:rsidR="00B74409" w:rsidRPr="00884A73">
        <w:rPr>
          <w:rFonts w:ascii="Arial" w:eastAsiaTheme="minorHAnsi" w:hAnsi="Arial" w:cs="Arial"/>
          <w:sz w:val="22"/>
          <w:szCs w:val="22"/>
          <w:lang w:eastAsia="en-US"/>
        </w:rPr>
        <w:t xml:space="preserve">es </w:t>
      </w:r>
      <w:r w:rsidR="00B1498E" w:rsidRPr="00884A73">
        <w:rPr>
          <w:rFonts w:ascii="Arial" w:eastAsiaTheme="minorHAnsi" w:hAnsi="Arial" w:cs="Arial"/>
          <w:sz w:val="22"/>
          <w:szCs w:val="22"/>
          <w:lang w:eastAsia="en-US"/>
        </w:rPr>
        <w:t>transversal a</w:t>
      </w:r>
      <w:r w:rsidR="00722495" w:rsidRPr="00884A73">
        <w:rPr>
          <w:rFonts w:ascii="Arial" w:eastAsiaTheme="minorHAnsi" w:hAnsi="Arial" w:cs="Arial"/>
          <w:sz w:val="22"/>
          <w:szCs w:val="22"/>
          <w:lang w:eastAsia="en-US"/>
        </w:rPr>
        <w:t xml:space="preserve"> las distintas modalidades </w:t>
      </w:r>
      <w:r w:rsidR="003C2FB1" w:rsidRPr="00884A73">
        <w:rPr>
          <w:rFonts w:ascii="Arial" w:eastAsiaTheme="minorHAnsi" w:hAnsi="Arial" w:cs="Arial"/>
          <w:sz w:val="22"/>
          <w:szCs w:val="22"/>
          <w:lang w:eastAsia="en-US"/>
        </w:rPr>
        <w:t>de contratación</w:t>
      </w:r>
      <w:r w:rsidR="00B20E85" w:rsidRPr="00884A73">
        <w:rPr>
          <w:rFonts w:ascii="Arial" w:eastAsiaTheme="minorHAnsi" w:hAnsi="Arial" w:cs="Arial"/>
          <w:sz w:val="22"/>
          <w:szCs w:val="22"/>
          <w:lang w:eastAsia="en-US"/>
        </w:rPr>
        <w:t xml:space="preserve"> </w:t>
      </w:r>
      <w:r w:rsidR="000618FE" w:rsidRPr="00884A73">
        <w:rPr>
          <w:rFonts w:ascii="Arial" w:eastAsiaTheme="minorHAnsi" w:hAnsi="Arial" w:cs="Arial"/>
          <w:sz w:val="22"/>
          <w:szCs w:val="22"/>
          <w:lang w:eastAsia="en-US"/>
        </w:rPr>
        <w:t xml:space="preserve">y </w:t>
      </w:r>
      <w:r w:rsidR="0093110D" w:rsidRPr="00884A73">
        <w:rPr>
          <w:rFonts w:ascii="Arial" w:eastAsiaTheme="minorHAnsi" w:hAnsi="Arial" w:cs="Arial"/>
          <w:sz w:val="22"/>
          <w:szCs w:val="22"/>
          <w:lang w:eastAsia="en-US"/>
        </w:rPr>
        <w:t xml:space="preserve">los diferentes actores del sistema de compras públicas, quienes </w:t>
      </w:r>
      <w:r w:rsidR="006B722F" w:rsidRPr="00884A73">
        <w:rPr>
          <w:rFonts w:ascii="Arial" w:eastAsiaTheme="minorHAnsi" w:hAnsi="Arial" w:cs="Arial"/>
          <w:sz w:val="22"/>
          <w:szCs w:val="22"/>
          <w:lang w:eastAsia="en-US"/>
        </w:rPr>
        <w:t>–</w:t>
      </w:r>
      <w:r w:rsidR="0093110D" w:rsidRPr="00884A73">
        <w:rPr>
          <w:rFonts w:ascii="Arial" w:eastAsiaTheme="minorHAnsi" w:hAnsi="Arial" w:cs="Arial"/>
          <w:sz w:val="22"/>
          <w:szCs w:val="22"/>
          <w:lang w:eastAsia="en-US"/>
        </w:rPr>
        <w:t>indistintamente de</w:t>
      </w:r>
      <w:r w:rsidR="006B722F" w:rsidRPr="00884A73">
        <w:rPr>
          <w:rFonts w:ascii="Arial" w:eastAsiaTheme="minorHAnsi" w:hAnsi="Arial" w:cs="Arial"/>
          <w:sz w:val="22"/>
          <w:szCs w:val="22"/>
          <w:lang w:eastAsia="en-US"/>
        </w:rPr>
        <w:t>l</w:t>
      </w:r>
      <w:r w:rsidR="00BF4154" w:rsidRPr="00884A73">
        <w:rPr>
          <w:rFonts w:ascii="Arial" w:eastAsiaTheme="minorHAnsi" w:hAnsi="Arial" w:cs="Arial"/>
          <w:sz w:val="22"/>
          <w:szCs w:val="22"/>
          <w:lang w:eastAsia="en-US"/>
        </w:rPr>
        <w:t xml:space="preserve"> régimen de </w:t>
      </w:r>
      <w:r w:rsidR="006B722F" w:rsidRPr="00884A73">
        <w:rPr>
          <w:rFonts w:ascii="Arial" w:eastAsiaTheme="minorHAnsi" w:hAnsi="Arial" w:cs="Arial"/>
          <w:sz w:val="22"/>
          <w:szCs w:val="22"/>
          <w:lang w:eastAsia="en-US"/>
        </w:rPr>
        <w:t>contractual y</w:t>
      </w:r>
      <w:r w:rsidR="003821F1" w:rsidRPr="00884A73">
        <w:rPr>
          <w:rFonts w:ascii="Arial" w:eastAsiaTheme="minorHAnsi" w:hAnsi="Arial" w:cs="Arial"/>
          <w:sz w:val="22"/>
          <w:szCs w:val="22"/>
          <w:lang w:eastAsia="en-US"/>
        </w:rPr>
        <w:t xml:space="preserve"> el proceso de selección</w:t>
      </w:r>
      <w:r w:rsidR="006B722F" w:rsidRPr="00884A73">
        <w:rPr>
          <w:rFonts w:ascii="Arial" w:eastAsiaTheme="minorHAnsi" w:hAnsi="Arial" w:cs="Arial"/>
          <w:sz w:val="22"/>
          <w:szCs w:val="22"/>
          <w:lang w:eastAsia="en-US"/>
        </w:rPr>
        <w:t>–</w:t>
      </w:r>
      <w:r w:rsidR="003821F1" w:rsidRPr="00884A73">
        <w:rPr>
          <w:rFonts w:ascii="Arial" w:eastAsiaTheme="minorHAnsi" w:hAnsi="Arial" w:cs="Arial"/>
          <w:sz w:val="22"/>
          <w:szCs w:val="22"/>
          <w:lang w:eastAsia="en-US"/>
        </w:rPr>
        <w:t xml:space="preserve"> deben aplicar los criterios de desempate de </w:t>
      </w:r>
      <w:r w:rsidR="006B722F" w:rsidRPr="00884A73">
        <w:rPr>
          <w:rFonts w:ascii="Arial" w:eastAsiaTheme="minorHAnsi" w:hAnsi="Arial" w:cs="Arial"/>
          <w:sz w:val="22"/>
          <w:szCs w:val="22"/>
          <w:lang w:eastAsia="en-US"/>
        </w:rPr>
        <w:t xml:space="preserve">esta </w:t>
      </w:r>
      <w:r w:rsidR="003821F1" w:rsidRPr="00884A73">
        <w:rPr>
          <w:rFonts w:ascii="Arial" w:eastAsiaTheme="minorHAnsi" w:hAnsi="Arial" w:cs="Arial"/>
          <w:sz w:val="22"/>
          <w:szCs w:val="22"/>
          <w:lang w:eastAsia="en-US"/>
        </w:rPr>
        <w:t>norma, lo cual</w:t>
      </w:r>
      <w:r w:rsidR="00C37BD9" w:rsidRPr="00884A73">
        <w:rPr>
          <w:rFonts w:ascii="Arial" w:eastAsiaTheme="minorHAnsi" w:hAnsi="Arial" w:cs="Arial"/>
          <w:sz w:val="22"/>
          <w:szCs w:val="22"/>
          <w:lang w:eastAsia="en-US"/>
        </w:rPr>
        <w:t xml:space="preserve"> aplica a</w:t>
      </w:r>
      <w:r w:rsidR="00B97B5E" w:rsidRPr="00884A73">
        <w:rPr>
          <w:rFonts w:ascii="Arial" w:eastAsiaTheme="minorHAnsi" w:hAnsi="Arial" w:cs="Arial"/>
          <w:sz w:val="22"/>
          <w:szCs w:val="22"/>
          <w:lang w:eastAsia="en-US"/>
        </w:rPr>
        <w:t xml:space="preserve"> los</w:t>
      </w:r>
      <w:r w:rsidR="00C37BD9" w:rsidRPr="00884A73">
        <w:rPr>
          <w:rFonts w:ascii="Arial" w:eastAsiaTheme="minorHAnsi" w:hAnsi="Arial" w:cs="Arial"/>
          <w:sz w:val="22"/>
          <w:szCs w:val="22"/>
          <w:lang w:eastAsia="en-US"/>
        </w:rPr>
        <w:t xml:space="preserve"> procedimiento</w:t>
      </w:r>
      <w:r w:rsidR="00B97B5E" w:rsidRPr="00884A73">
        <w:rPr>
          <w:rFonts w:ascii="Arial" w:eastAsiaTheme="minorHAnsi" w:hAnsi="Arial" w:cs="Arial"/>
          <w:sz w:val="22"/>
          <w:szCs w:val="22"/>
          <w:lang w:eastAsia="en-US"/>
        </w:rPr>
        <w:t>s de</w:t>
      </w:r>
      <w:r w:rsidR="000618FE" w:rsidRPr="00884A73">
        <w:rPr>
          <w:rFonts w:ascii="Arial" w:eastAsiaTheme="minorHAnsi" w:hAnsi="Arial" w:cs="Arial"/>
          <w:sz w:val="22"/>
          <w:szCs w:val="22"/>
          <w:lang w:eastAsia="en-US"/>
        </w:rPr>
        <w:t xml:space="preserve"> para la adquisición de bienes y servicios de características técnicas uniformes</w:t>
      </w:r>
      <w:r w:rsidR="00FA0FBA" w:rsidRPr="00884A73">
        <w:rPr>
          <w:rFonts w:ascii="Arial" w:eastAsiaTheme="minorHAnsi" w:hAnsi="Arial" w:cs="Arial"/>
          <w:sz w:val="22"/>
          <w:szCs w:val="22"/>
          <w:lang w:eastAsia="en-US"/>
        </w:rPr>
        <w:t xml:space="preserve">, mediante la modalidad de selección abreviada, de conformidad con el artículo </w:t>
      </w:r>
      <w:r w:rsidR="007602DF" w:rsidRPr="00884A73">
        <w:rPr>
          <w:rFonts w:ascii="Arial" w:eastAsiaTheme="minorHAnsi" w:hAnsi="Arial" w:cs="Arial"/>
          <w:sz w:val="22"/>
          <w:szCs w:val="22"/>
          <w:lang w:eastAsia="en-US"/>
        </w:rPr>
        <w:t>2-2, literal a) de la Ley 1150 de 2007</w:t>
      </w:r>
      <w:r w:rsidR="000F7528" w:rsidRPr="00884A73">
        <w:rPr>
          <w:rFonts w:ascii="Arial" w:eastAsiaTheme="minorHAnsi" w:hAnsi="Arial" w:cs="Arial"/>
          <w:sz w:val="22"/>
          <w:szCs w:val="22"/>
          <w:lang w:eastAsia="en-US"/>
        </w:rPr>
        <w:t xml:space="preserve">, </w:t>
      </w:r>
      <w:r w:rsidR="00B8709E" w:rsidRPr="00884A73">
        <w:rPr>
          <w:rFonts w:ascii="Arial" w:eastAsiaTheme="minorHAnsi" w:hAnsi="Arial" w:cs="Arial"/>
          <w:sz w:val="22"/>
          <w:szCs w:val="22"/>
          <w:lang w:eastAsia="en-US"/>
        </w:rPr>
        <w:t xml:space="preserve">ya sea mediante el </w:t>
      </w:r>
      <w:r w:rsidR="00B8709E" w:rsidRPr="00884A73">
        <w:rPr>
          <w:rFonts w:ascii="Arial" w:eastAsiaTheme="minorHAnsi" w:hAnsi="Arial" w:cs="Arial"/>
          <w:sz w:val="22"/>
          <w:szCs w:val="22"/>
          <w:lang w:eastAsia="en-US"/>
        </w:rPr>
        <w:lastRenderedPageBreak/>
        <w:t>mecanismo de compra por cat</w:t>
      </w:r>
      <w:r w:rsidR="00D43E12" w:rsidRPr="00884A73">
        <w:rPr>
          <w:rFonts w:ascii="Arial" w:eastAsiaTheme="minorHAnsi" w:hAnsi="Arial" w:cs="Arial"/>
          <w:sz w:val="22"/>
          <w:szCs w:val="22"/>
          <w:lang w:eastAsia="en-US"/>
        </w:rPr>
        <w:t>á</w:t>
      </w:r>
      <w:r w:rsidR="00B8709E" w:rsidRPr="00884A73">
        <w:rPr>
          <w:rFonts w:ascii="Arial" w:eastAsiaTheme="minorHAnsi" w:hAnsi="Arial" w:cs="Arial"/>
          <w:sz w:val="22"/>
          <w:szCs w:val="22"/>
          <w:lang w:eastAsia="en-US"/>
        </w:rPr>
        <w:t xml:space="preserve">logo derivada de acuerdos marco de precios, </w:t>
      </w:r>
      <w:r w:rsidR="00591911" w:rsidRPr="00884A73">
        <w:rPr>
          <w:rFonts w:ascii="Arial" w:eastAsiaTheme="minorHAnsi" w:hAnsi="Arial" w:cs="Arial"/>
          <w:sz w:val="22"/>
          <w:szCs w:val="22"/>
          <w:lang w:eastAsia="en-US"/>
        </w:rPr>
        <w:t xml:space="preserve">subasta inversa o </w:t>
      </w:r>
      <w:r w:rsidR="00E9145B" w:rsidRPr="00884A73">
        <w:rPr>
          <w:rFonts w:ascii="Arial" w:eastAsiaTheme="minorHAnsi" w:hAnsi="Arial" w:cs="Arial"/>
          <w:sz w:val="22"/>
          <w:szCs w:val="22"/>
          <w:lang w:eastAsia="en-US"/>
        </w:rPr>
        <w:t xml:space="preserve">procedimientos de adquisición en </w:t>
      </w:r>
      <w:r w:rsidR="00591911" w:rsidRPr="00884A73">
        <w:rPr>
          <w:rFonts w:ascii="Arial" w:eastAsiaTheme="minorHAnsi" w:hAnsi="Arial" w:cs="Arial"/>
          <w:sz w:val="22"/>
          <w:szCs w:val="22"/>
          <w:lang w:eastAsia="en-US"/>
        </w:rPr>
        <w:t>bolsa de productos</w:t>
      </w:r>
      <w:r w:rsidR="00801D46" w:rsidRPr="00884A73">
        <w:rPr>
          <w:rFonts w:ascii="Arial" w:eastAsiaTheme="minorHAnsi" w:hAnsi="Arial" w:cs="Arial"/>
          <w:sz w:val="22"/>
          <w:szCs w:val="22"/>
          <w:lang w:eastAsia="en-US"/>
        </w:rPr>
        <w:t>.</w:t>
      </w:r>
      <w:r w:rsidR="00597ADC" w:rsidRPr="00884A73">
        <w:rPr>
          <w:rFonts w:ascii="Arial" w:eastAsiaTheme="minorHAnsi" w:hAnsi="Arial" w:cs="Arial"/>
          <w:sz w:val="22"/>
          <w:szCs w:val="22"/>
          <w:lang w:eastAsia="en-US"/>
        </w:rPr>
        <w:t xml:space="preserve"> </w:t>
      </w:r>
    </w:p>
    <w:p w14:paraId="4E673C3B" w14:textId="6C371EDD" w:rsidR="007E7E0E" w:rsidRPr="00884A73" w:rsidRDefault="00127278" w:rsidP="00522759">
      <w:pPr>
        <w:tabs>
          <w:tab w:val="left" w:pos="0"/>
        </w:tabs>
        <w:spacing w:after="120" w:line="276" w:lineRule="auto"/>
        <w:jc w:val="both"/>
        <w:rPr>
          <w:rFonts w:ascii="Arial" w:eastAsia="Calibri" w:hAnsi="Arial" w:cs="Arial"/>
          <w:bCs/>
          <w:sz w:val="22"/>
          <w:szCs w:val="22"/>
        </w:rPr>
      </w:pPr>
      <w:r w:rsidRPr="00884A73">
        <w:rPr>
          <w:rFonts w:ascii="Arial" w:eastAsia="Calibri" w:hAnsi="Arial" w:cs="Arial"/>
          <w:sz w:val="22"/>
          <w:szCs w:val="22"/>
          <w:lang w:val="es-ES_tradnl"/>
        </w:rPr>
        <w:tab/>
      </w:r>
      <w:r w:rsidR="00801D46" w:rsidRPr="00884A73">
        <w:rPr>
          <w:rFonts w:ascii="Arial" w:eastAsia="Calibri" w:hAnsi="Arial" w:cs="Arial"/>
          <w:sz w:val="22"/>
          <w:szCs w:val="22"/>
          <w:lang w:val="es-ES_tradnl"/>
        </w:rPr>
        <w:t>Para los procedimientos</w:t>
      </w:r>
      <w:r w:rsidR="00B95165" w:rsidRPr="00884A73">
        <w:rPr>
          <w:rFonts w:ascii="Arial" w:eastAsia="Calibri" w:hAnsi="Arial" w:cs="Arial"/>
          <w:sz w:val="22"/>
          <w:szCs w:val="22"/>
          <w:lang w:val="es-ES_tradnl"/>
        </w:rPr>
        <w:t xml:space="preserve"> destinados a la adquisición de tales bienes y servicios el artículo 5-3 de la Ley 1150 de 2007 </w:t>
      </w:r>
      <w:r w:rsidR="00104210" w:rsidRPr="00884A73">
        <w:rPr>
          <w:rFonts w:ascii="Arial" w:eastAsia="Calibri" w:hAnsi="Arial" w:cs="Arial"/>
          <w:sz w:val="22"/>
          <w:szCs w:val="22"/>
          <w:lang w:val="es-ES_tradnl"/>
        </w:rPr>
        <w:t>establece</w:t>
      </w:r>
      <w:r w:rsidR="00B95165" w:rsidRPr="00884A73">
        <w:rPr>
          <w:rFonts w:ascii="Arial" w:eastAsia="Calibri" w:hAnsi="Arial" w:cs="Arial"/>
          <w:sz w:val="22"/>
          <w:szCs w:val="22"/>
          <w:lang w:val="es-ES_tradnl"/>
        </w:rPr>
        <w:t xml:space="preserve"> que «[…] las entidades estatales incluirán como único factor de evaluación el menor precio ofrecido</w:t>
      </w:r>
      <w:r w:rsidR="00104210" w:rsidRPr="00884A73">
        <w:rPr>
          <w:rFonts w:ascii="Arial" w:eastAsia="Calibri" w:hAnsi="Arial" w:cs="Arial"/>
          <w:sz w:val="22"/>
          <w:szCs w:val="22"/>
          <w:lang w:val="es-ES_tradnl"/>
        </w:rPr>
        <w:t>»</w:t>
      </w:r>
      <w:r w:rsidR="00B95165" w:rsidRPr="00884A73">
        <w:rPr>
          <w:rFonts w:ascii="Arial" w:eastAsia="Calibri" w:hAnsi="Arial" w:cs="Arial"/>
          <w:sz w:val="22"/>
          <w:szCs w:val="22"/>
          <w:lang w:val="es-ES_tradnl"/>
        </w:rPr>
        <w:t>.</w:t>
      </w:r>
      <w:r w:rsidR="00104210" w:rsidRPr="00884A73">
        <w:rPr>
          <w:rFonts w:ascii="Arial" w:eastAsia="Calibri" w:hAnsi="Arial" w:cs="Arial"/>
          <w:sz w:val="22"/>
          <w:szCs w:val="22"/>
          <w:lang w:val="es-ES_tradnl"/>
        </w:rPr>
        <w:t xml:space="preserve"> No obstante,</w:t>
      </w:r>
      <w:r w:rsidR="00801D46" w:rsidRPr="00884A73">
        <w:rPr>
          <w:rFonts w:ascii="Arial" w:eastAsia="Calibri" w:hAnsi="Arial" w:cs="Arial"/>
          <w:sz w:val="22"/>
          <w:szCs w:val="22"/>
          <w:lang w:val="es-ES_tradnl"/>
        </w:rPr>
        <w:t xml:space="preserve"> </w:t>
      </w:r>
      <w:r w:rsidR="00104210" w:rsidRPr="00884A73">
        <w:rPr>
          <w:rFonts w:ascii="Arial" w:eastAsia="Calibri" w:hAnsi="Arial" w:cs="Arial"/>
          <w:sz w:val="22"/>
          <w:szCs w:val="22"/>
          <w:lang w:val="es-ES_tradnl"/>
        </w:rPr>
        <w:t>e</w:t>
      </w:r>
      <w:r w:rsidR="00343B9E" w:rsidRPr="00884A73">
        <w:rPr>
          <w:rFonts w:ascii="Arial" w:eastAsia="Calibri" w:hAnsi="Arial" w:cs="Arial"/>
          <w:sz w:val="22"/>
          <w:szCs w:val="22"/>
          <w:lang w:val="es-ES_tradnl"/>
        </w:rPr>
        <w:t>l hecho de que en estos procedimientos la determinación de la oferta más favorable no esté mediada por el uso de «puntaje»</w:t>
      </w:r>
      <w:r w:rsidR="00522759" w:rsidRPr="00884A73">
        <w:rPr>
          <w:rFonts w:ascii="Arial" w:eastAsia="Calibri" w:hAnsi="Arial" w:cs="Arial"/>
          <w:sz w:val="22"/>
          <w:szCs w:val="22"/>
          <w:lang w:val="es-ES_tradnl"/>
        </w:rPr>
        <w:t>, y que el artículo 35 de la Ley 2069 de 2020 sea aplicable en «</w:t>
      </w:r>
      <w:r w:rsidR="00522759" w:rsidRPr="00884A73">
        <w:rPr>
          <w:rFonts w:ascii="Arial" w:hAnsi="Arial" w:cs="Arial"/>
          <w:sz w:val="22"/>
          <w:szCs w:val="22"/>
        </w:rPr>
        <w:t>[..] caso de empate en el puntaje total de dos o más ofertas […]»,</w:t>
      </w:r>
      <w:r w:rsidR="00522759" w:rsidRPr="00884A73">
        <w:rPr>
          <w:rFonts w:ascii="Arial" w:eastAsia="Calibri" w:hAnsi="Arial" w:cs="Arial"/>
          <w:sz w:val="22"/>
          <w:szCs w:val="22"/>
          <w:lang w:val="es-ES_tradnl"/>
        </w:rPr>
        <w:t xml:space="preserve"> no significa que dicha noma no deba aplica</w:t>
      </w:r>
      <w:r w:rsidR="00CF40C1" w:rsidRPr="00884A73">
        <w:rPr>
          <w:rFonts w:ascii="Arial" w:eastAsia="Calibri" w:hAnsi="Arial" w:cs="Arial"/>
          <w:sz w:val="22"/>
          <w:szCs w:val="22"/>
          <w:lang w:val="es-ES_tradnl"/>
        </w:rPr>
        <w:t>rse</w:t>
      </w:r>
      <w:r w:rsidR="00522759" w:rsidRPr="00884A73">
        <w:rPr>
          <w:rFonts w:ascii="Arial" w:eastAsia="Calibri" w:hAnsi="Arial" w:cs="Arial"/>
          <w:sz w:val="22"/>
          <w:szCs w:val="22"/>
          <w:lang w:val="es-ES_tradnl"/>
        </w:rPr>
        <w:t xml:space="preserve"> en los referidos procedimientos</w:t>
      </w:r>
      <w:r w:rsidR="00E92C2D" w:rsidRPr="00884A73">
        <w:rPr>
          <w:rFonts w:ascii="Arial" w:eastAsia="Calibri" w:hAnsi="Arial" w:cs="Arial"/>
          <w:bCs/>
          <w:sz w:val="22"/>
          <w:szCs w:val="22"/>
        </w:rPr>
        <w:t>.</w:t>
      </w:r>
      <w:r w:rsidR="00522759" w:rsidRPr="00884A73">
        <w:rPr>
          <w:rFonts w:ascii="Arial" w:eastAsia="Calibri" w:hAnsi="Arial" w:cs="Arial"/>
          <w:bCs/>
          <w:sz w:val="22"/>
          <w:szCs w:val="22"/>
        </w:rPr>
        <w:t xml:space="preserve"> </w:t>
      </w:r>
      <w:r w:rsidR="00522759" w:rsidRPr="00884A73">
        <w:rPr>
          <w:rFonts w:ascii="Arial" w:eastAsia="Calibri" w:hAnsi="Arial" w:cs="Arial"/>
          <w:sz w:val="22"/>
          <w:szCs w:val="22"/>
          <w:lang w:val="es-ES_tradnl"/>
        </w:rPr>
        <w:t xml:space="preserve">Esto </w:t>
      </w:r>
      <w:r w:rsidR="00DA4265" w:rsidRPr="00884A73">
        <w:rPr>
          <w:rFonts w:ascii="Arial" w:eastAsia="Calibri" w:hAnsi="Arial" w:cs="Arial"/>
          <w:sz w:val="22"/>
          <w:szCs w:val="22"/>
          <w:lang w:val="es-ES_tradnl"/>
        </w:rPr>
        <w:t xml:space="preserve">dado </w:t>
      </w:r>
      <w:r w:rsidR="00522759" w:rsidRPr="00884A73">
        <w:rPr>
          <w:rFonts w:ascii="Arial" w:eastAsia="Calibri" w:hAnsi="Arial" w:cs="Arial"/>
          <w:sz w:val="22"/>
          <w:szCs w:val="22"/>
          <w:lang w:val="es-ES_tradnl"/>
        </w:rPr>
        <w:t>que una interpretación exegética del artículo 35, según la cual este solo es aplicable en los procedimientos en los que se use el «puntaje» como mecanismo de evaluación,</w:t>
      </w:r>
      <w:r w:rsidR="004076A7" w:rsidRPr="00884A73">
        <w:rPr>
          <w:rFonts w:ascii="Arial" w:eastAsia="Calibri" w:hAnsi="Arial" w:cs="Arial"/>
          <w:sz w:val="22"/>
          <w:szCs w:val="22"/>
          <w:lang w:val="es-ES_tradnl"/>
        </w:rPr>
        <w:t xml:space="preserve"> </w:t>
      </w:r>
      <w:r w:rsidR="006333F8" w:rsidRPr="00884A73">
        <w:rPr>
          <w:rFonts w:ascii="Arial" w:eastAsia="Calibri" w:hAnsi="Arial" w:cs="Arial"/>
          <w:sz w:val="22"/>
          <w:szCs w:val="22"/>
          <w:lang w:val="es-ES_tradnl"/>
        </w:rPr>
        <w:t xml:space="preserve">no corresponde con la finalidad transversal de </w:t>
      </w:r>
      <w:r w:rsidR="00EB6A67" w:rsidRPr="00884A73">
        <w:rPr>
          <w:rFonts w:ascii="Arial" w:eastAsia="Calibri" w:hAnsi="Arial" w:cs="Arial"/>
          <w:sz w:val="22"/>
          <w:szCs w:val="22"/>
          <w:lang w:val="es-ES_tradnl"/>
        </w:rPr>
        <w:t xml:space="preserve">la </w:t>
      </w:r>
      <w:r w:rsidR="00522759" w:rsidRPr="00884A73">
        <w:rPr>
          <w:rFonts w:ascii="Arial" w:eastAsia="Calibri" w:hAnsi="Arial" w:cs="Arial"/>
          <w:sz w:val="22"/>
          <w:szCs w:val="22"/>
          <w:lang w:val="es-ES_tradnl"/>
        </w:rPr>
        <w:t>noma</w:t>
      </w:r>
      <w:r w:rsidR="00F60CFE" w:rsidRPr="00884A73">
        <w:rPr>
          <w:rFonts w:ascii="Arial" w:eastAsia="Calibri" w:hAnsi="Arial" w:cs="Arial"/>
          <w:sz w:val="22"/>
          <w:szCs w:val="22"/>
          <w:lang w:val="es-ES_tradnl"/>
        </w:rPr>
        <w:t>. E</w:t>
      </w:r>
      <w:r w:rsidR="00522759" w:rsidRPr="00884A73">
        <w:rPr>
          <w:rFonts w:ascii="Arial" w:eastAsia="Calibri" w:hAnsi="Arial" w:cs="Arial"/>
          <w:sz w:val="22"/>
          <w:szCs w:val="22"/>
          <w:lang w:val="es-ES_tradnl"/>
        </w:rPr>
        <w:t>llo</w:t>
      </w:r>
      <w:r w:rsidR="00F60CFE" w:rsidRPr="00884A73">
        <w:rPr>
          <w:rFonts w:ascii="Arial" w:eastAsia="Calibri" w:hAnsi="Arial" w:cs="Arial"/>
          <w:sz w:val="22"/>
          <w:szCs w:val="22"/>
          <w:lang w:val="es-ES_tradnl"/>
        </w:rPr>
        <w:t xml:space="preserve"> en la medida</w:t>
      </w:r>
      <w:r w:rsidR="00522759" w:rsidRPr="00884A73">
        <w:rPr>
          <w:rFonts w:ascii="Arial" w:eastAsia="Calibri" w:hAnsi="Arial" w:cs="Arial"/>
          <w:sz w:val="22"/>
          <w:szCs w:val="22"/>
          <w:lang w:val="es-ES_tradnl"/>
        </w:rPr>
        <w:t xml:space="preserve"> en</w:t>
      </w:r>
      <w:r w:rsidR="00F60CFE" w:rsidRPr="00884A73">
        <w:rPr>
          <w:rFonts w:ascii="Arial" w:eastAsia="Calibri" w:hAnsi="Arial" w:cs="Arial"/>
          <w:sz w:val="22"/>
          <w:szCs w:val="22"/>
          <w:lang w:val="es-ES_tradnl"/>
        </w:rPr>
        <w:t xml:space="preserve"> que</w:t>
      </w:r>
      <w:r w:rsidR="007D1774" w:rsidRPr="00884A73">
        <w:rPr>
          <w:rFonts w:ascii="Arial" w:eastAsia="Calibri" w:hAnsi="Arial" w:cs="Arial"/>
          <w:sz w:val="22"/>
          <w:szCs w:val="22"/>
          <w:lang w:val="es-ES_tradnl"/>
        </w:rPr>
        <w:t xml:space="preserve"> </w:t>
      </w:r>
      <w:r w:rsidR="00225CDE" w:rsidRPr="00884A73">
        <w:rPr>
          <w:rFonts w:ascii="Arial" w:eastAsia="Calibri" w:hAnsi="Arial" w:cs="Arial"/>
          <w:sz w:val="22"/>
          <w:szCs w:val="22"/>
          <w:lang w:val="es-ES_tradnl"/>
        </w:rPr>
        <w:t>los factores de desempate de la Ley de Emprendimiento</w:t>
      </w:r>
      <w:r w:rsidR="00BB2FC4" w:rsidRPr="00884A73">
        <w:rPr>
          <w:rFonts w:ascii="Arial" w:eastAsia="Calibri" w:hAnsi="Arial" w:cs="Arial"/>
          <w:sz w:val="22"/>
          <w:szCs w:val="22"/>
          <w:lang w:val="es-ES_tradnl"/>
        </w:rPr>
        <w:t xml:space="preserve"> </w:t>
      </w:r>
      <w:r w:rsidR="00F60CFE" w:rsidRPr="00884A73">
        <w:rPr>
          <w:rFonts w:ascii="Arial" w:eastAsia="Calibri" w:hAnsi="Arial" w:cs="Arial"/>
          <w:sz w:val="22"/>
          <w:szCs w:val="22"/>
          <w:lang w:val="es-ES_tradnl"/>
        </w:rPr>
        <w:t>están concebidos para</w:t>
      </w:r>
      <w:r w:rsidR="002649F3" w:rsidRPr="00884A73">
        <w:rPr>
          <w:rFonts w:ascii="Arial" w:eastAsia="Calibri" w:hAnsi="Arial" w:cs="Arial"/>
          <w:sz w:val="22"/>
          <w:szCs w:val="22"/>
          <w:lang w:val="es-ES_tradnl"/>
        </w:rPr>
        <w:t xml:space="preserve"> </w:t>
      </w:r>
      <w:r w:rsidR="002649F3" w:rsidRPr="00884A73">
        <w:rPr>
          <w:rFonts w:ascii="Arial" w:eastAsia="Calibri" w:hAnsi="Arial" w:cs="Arial"/>
          <w:bCs/>
          <w:sz w:val="22"/>
          <w:szCs w:val="22"/>
        </w:rPr>
        <w:t>«[…]</w:t>
      </w:r>
      <w:r w:rsidR="002649F3" w:rsidRPr="00884A73">
        <w:rPr>
          <w:rFonts w:ascii="Arial" w:hAnsi="Arial" w:cs="Arial"/>
          <w:sz w:val="22"/>
          <w:szCs w:val="22"/>
        </w:rPr>
        <w:t xml:space="preserve">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w:t>
      </w:r>
      <w:r w:rsidR="00BB12EA" w:rsidRPr="00884A73">
        <w:rPr>
          <w:rFonts w:ascii="Arial" w:hAnsi="Arial" w:cs="Arial"/>
          <w:sz w:val="22"/>
          <w:szCs w:val="22"/>
        </w:rPr>
        <w:t xml:space="preserve"> </w:t>
      </w:r>
      <w:r w:rsidR="002649F3" w:rsidRPr="00884A73">
        <w:rPr>
          <w:rFonts w:ascii="Arial" w:hAnsi="Arial" w:cs="Arial"/>
          <w:sz w:val="22"/>
          <w:szCs w:val="22"/>
        </w:rPr>
        <w:t>[…]</w:t>
      </w:r>
      <w:r w:rsidR="002649F3" w:rsidRPr="00884A73">
        <w:rPr>
          <w:rFonts w:ascii="Arial" w:eastAsia="Calibri" w:hAnsi="Arial" w:cs="Arial"/>
          <w:bCs/>
          <w:sz w:val="22"/>
          <w:szCs w:val="22"/>
        </w:rPr>
        <w:t>»</w:t>
      </w:r>
      <w:r w:rsidR="007D1774" w:rsidRPr="00884A73">
        <w:rPr>
          <w:rFonts w:ascii="Arial" w:eastAsia="Calibri" w:hAnsi="Arial" w:cs="Arial"/>
          <w:bCs/>
          <w:sz w:val="22"/>
          <w:szCs w:val="22"/>
        </w:rPr>
        <w:t>.</w:t>
      </w:r>
    </w:p>
    <w:p w14:paraId="0B672F1C" w14:textId="23D5FE1A" w:rsidR="00D82C77" w:rsidRPr="00884A73" w:rsidRDefault="00D82C77" w:rsidP="00EB2ED0">
      <w:pPr>
        <w:tabs>
          <w:tab w:val="left" w:pos="0"/>
        </w:tabs>
        <w:spacing w:after="120" w:line="276" w:lineRule="auto"/>
        <w:jc w:val="both"/>
        <w:rPr>
          <w:rFonts w:ascii="Arial" w:eastAsia="Calibri" w:hAnsi="Arial" w:cs="Arial"/>
          <w:bCs/>
          <w:sz w:val="22"/>
          <w:szCs w:val="22"/>
        </w:rPr>
      </w:pPr>
      <w:r w:rsidRPr="00884A73">
        <w:rPr>
          <w:rFonts w:ascii="Arial" w:eastAsia="Calibri" w:hAnsi="Arial" w:cs="Arial"/>
          <w:bCs/>
          <w:sz w:val="22"/>
          <w:szCs w:val="22"/>
        </w:rPr>
        <w:tab/>
      </w:r>
      <w:r w:rsidR="00F60CFE" w:rsidRPr="00884A73">
        <w:rPr>
          <w:rFonts w:ascii="Arial" w:eastAsia="Calibri" w:hAnsi="Arial" w:cs="Arial"/>
          <w:bCs/>
          <w:sz w:val="22"/>
          <w:szCs w:val="22"/>
        </w:rPr>
        <w:t>Por lo anterior</w:t>
      </w:r>
      <w:r w:rsidR="0020797E" w:rsidRPr="00884A73">
        <w:rPr>
          <w:rFonts w:ascii="Arial" w:eastAsia="Calibri" w:hAnsi="Arial" w:cs="Arial"/>
          <w:bCs/>
          <w:sz w:val="22"/>
          <w:szCs w:val="22"/>
        </w:rPr>
        <w:t xml:space="preserve">, se considera que el alcance de la expresión </w:t>
      </w:r>
      <w:r w:rsidR="0020797E" w:rsidRPr="00884A73">
        <w:rPr>
          <w:rFonts w:ascii="Arial" w:eastAsia="Calibri" w:hAnsi="Arial" w:cs="Arial"/>
          <w:bCs/>
          <w:i/>
          <w:iCs/>
          <w:sz w:val="22"/>
          <w:szCs w:val="22"/>
        </w:rPr>
        <w:t xml:space="preserve">puntaje total, </w:t>
      </w:r>
      <w:r w:rsidR="0020797E" w:rsidRPr="00884A73">
        <w:rPr>
          <w:rFonts w:ascii="Arial" w:eastAsia="Calibri" w:hAnsi="Arial" w:cs="Arial"/>
          <w:bCs/>
          <w:sz w:val="22"/>
          <w:szCs w:val="22"/>
        </w:rPr>
        <w:t>contenida en el artículo 35</w:t>
      </w:r>
      <w:r w:rsidR="000E54A9" w:rsidRPr="00884A73">
        <w:rPr>
          <w:rFonts w:ascii="Arial" w:eastAsia="Calibri" w:hAnsi="Arial" w:cs="Arial"/>
          <w:bCs/>
          <w:sz w:val="22"/>
          <w:szCs w:val="22"/>
        </w:rPr>
        <w:t xml:space="preserve"> de la Ley 2069 de 2020, </w:t>
      </w:r>
      <w:r w:rsidR="00091957" w:rsidRPr="00884A73">
        <w:rPr>
          <w:rFonts w:ascii="Arial" w:eastAsia="Calibri" w:hAnsi="Arial" w:cs="Arial"/>
          <w:bCs/>
          <w:sz w:val="22"/>
          <w:szCs w:val="22"/>
        </w:rPr>
        <w:t>debe interpretarse sistemáticamente</w:t>
      </w:r>
      <w:r w:rsidR="00BE7CE9" w:rsidRPr="00884A73">
        <w:rPr>
          <w:rFonts w:ascii="Arial" w:eastAsia="Calibri" w:hAnsi="Arial" w:cs="Arial"/>
          <w:bCs/>
          <w:sz w:val="22"/>
          <w:szCs w:val="22"/>
        </w:rPr>
        <w:t xml:space="preserve">, </w:t>
      </w:r>
      <w:r w:rsidR="00091957" w:rsidRPr="00884A73">
        <w:rPr>
          <w:rFonts w:ascii="Arial" w:eastAsia="Calibri" w:hAnsi="Arial" w:cs="Arial"/>
          <w:bCs/>
          <w:sz w:val="22"/>
          <w:szCs w:val="22"/>
        </w:rPr>
        <w:t>propiciando</w:t>
      </w:r>
      <w:r w:rsidR="00460B4F" w:rsidRPr="00884A73">
        <w:rPr>
          <w:rFonts w:ascii="Arial" w:eastAsia="Calibri" w:hAnsi="Arial" w:cs="Arial"/>
          <w:bCs/>
          <w:sz w:val="22"/>
          <w:szCs w:val="22"/>
        </w:rPr>
        <w:t xml:space="preserve"> u</w:t>
      </w:r>
      <w:r w:rsidR="007E526E" w:rsidRPr="00884A73">
        <w:rPr>
          <w:rFonts w:ascii="Arial" w:eastAsia="Calibri" w:hAnsi="Arial" w:cs="Arial"/>
          <w:bCs/>
          <w:sz w:val="22"/>
          <w:szCs w:val="22"/>
        </w:rPr>
        <w:t xml:space="preserve">na aplicación normativa </w:t>
      </w:r>
      <w:r w:rsidR="00460B4F" w:rsidRPr="00884A73">
        <w:rPr>
          <w:rFonts w:ascii="Arial" w:eastAsia="Calibri" w:hAnsi="Arial" w:cs="Arial"/>
          <w:bCs/>
          <w:sz w:val="22"/>
          <w:szCs w:val="22"/>
        </w:rPr>
        <w:t xml:space="preserve">coherente </w:t>
      </w:r>
      <w:r w:rsidR="000829AE" w:rsidRPr="00884A73">
        <w:rPr>
          <w:rFonts w:ascii="Arial" w:eastAsia="Calibri" w:hAnsi="Arial" w:cs="Arial"/>
          <w:bCs/>
          <w:sz w:val="22"/>
          <w:szCs w:val="22"/>
        </w:rPr>
        <w:t>con</w:t>
      </w:r>
      <w:r w:rsidR="00BE7CE9" w:rsidRPr="00884A73">
        <w:rPr>
          <w:rFonts w:ascii="Arial" w:eastAsia="Calibri" w:hAnsi="Arial" w:cs="Arial"/>
          <w:bCs/>
          <w:sz w:val="22"/>
          <w:szCs w:val="22"/>
        </w:rPr>
        <w:t xml:space="preserve"> otras</w:t>
      </w:r>
      <w:r w:rsidR="000829AE" w:rsidRPr="00884A73">
        <w:rPr>
          <w:rFonts w:ascii="Arial" w:eastAsia="Calibri" w:hAnsi="Arial" w:cs="Arial"/>
          <w:bCs/>
          <w:sz w:val="22"/>
          <w:szCs w:val="22"/>
        </w:rPr>
        <w:t xml:space="preserve"> disposiciones d</w:t>
      </w:r>
      <w:r w:rsidR="00BE7CE9" w:rsidRPr="00884A73">
        <w:rPr>
          <w:rFonts w:ascii="Arial" w:eastAsia="Calibri" w:hAnsi="Arial" w:cs="Arial"/>
          <w:bCs/>
          <w:sz w:val="22"/>
          <w:szCs w:val="22"/>
        </w:rPr>
        <w:t>el sistema de compra pública</w:t>
      </w:r>
      <w:r w:rsidR="00B06530" w:rsidRPr="00884A73">
        <w:rPr>
          <w:rFonts w:ascii="Arial" w:eastAsia="Calibri" w:hAnsi="Arial" w:cs="Arial"/>
          <w:bCs/>
          <w:sz w:val="22"/>
          <w:szCs w:val="22"/>
        </w:rPr>
        <w:t xml:space="preserve"> y</w:t>
      </w:r>
      <w:r w:rsidR="00BB401E" w:rsidRPr="00884A73">
        <w:rPr>
          <w:rFonts w:ascii="Arial" w:eastAsia="Calibri" w:hAnsi="Arial" w:cs="Arial"/>
          <w:bCs/>
          <w:sz w:val="22"/>
          <w:szCs w:val="22"/>
        </w:rPr>
        <w:t xml:space="preserve"> que satisfaga</w:t>
      </w:r>
      <w:r w:rsidR="00B06530" w:rsidRPr="00884A73">
        <w:rPr>
          <w:rFonts w:ascii="Arial" w:eastAsia="Calibri" w:hAnsi="Arial" w:cs="Arial"/>
          <w:bCs/>
          <w:sz w:val="22"/>
          <w:szCs w:val="22"/>
        </w:rPr>
        <w:t>n</w:t>
      </w:r>
      <w:r w:rsidR="00BB401E" w:rsidRPr="00884A73">
        <w:rPr>
          <w:rFonts w:ascii="Arial" w:eastAsia="Calibri" w:hAnsi="Arial" w:cs="Arial"/>
          <w:bCs/>
          <w:sz w:val="22"/>
          <w:szCs w:val="22"/>
        </w:rPr>
        <w:t xml:space="preserve"> </w:t>
      </w:r>
      <w:r w:rsidR="00185C79" w:rsidRPr="00884A73">
        <w:rPr>
          <w:rFonts w:ascii="Arial" w:eastAsia="Calibri" w:hAnsi="Arial" w:cs="Arial"/>
          <w:bCs/>
          <w:sz w:val="22"/>
          <w:szCs w:val="22"/>
        </w:rPr>
        <w:t xml:space="preserve">la </w:t>
      </w:r>
      <w:r w:rsidR="00BB401E" w:rsidRPr="00884A73">
        <w:rPr>
          <w:rFonts w:ascii="Arial" w:eastAsia="Calibri" w:hAnsi="Arial" w:cs="Arial"/>
          <w:bCs/>
          <w:sz w:val="22"/>
          <w:szCs w:val="22"/>
        </w:rPr>
        <w:t>finalidad transversal</w:t>
      </w:r>
      <w:r w:rsidR="00B06530" w:rsidRPr="00884A73">
        <w:rPr>
          <w:rFonts w:ascii="Arial" w:eastAsia="Calibri" w:hAnsi="Arial" w:cs="Arial"/>
          <w:bCs/>
          <w:sz w:val="22"/>
          <w:szCs w:val="22"/>
        </w:rPr>
        <w:t xml:space="preserve"> de la norma</w:t>
      </w:r>
      <w:r w:rsidR="00BB401E" w:rsidRPr="00884A73">
        <w:rPr>
          <w:rFonts w:ascii="Arial" w:eastAsia="Calibri" w:hAnsi="Arial" w:cs="Arial"/>
          <w:bCs/>
          <w:sz w:val="22"/>
          <w:szCs w:val="22"/>
        </w:rPr>
        <w:t xml:space="preserve">. </w:t>
      </w:r>
      <w:r w:rsidR="00B06530" w:rsidRPr="00884A73">
        <w:rPr>
          <w:rFonts w:ascii="Arial" w:eastAsia="Calibri" w:hAnsi="Arial" w:cs="Arial"/>
          <w:bCs/>
          <w:sz w:val="22"/>
          <w:szCs w:val="22"/>
        </w:rPr>
        <w:t>Con este</w:t>
      </w:r>
      <w:r w:rsidR="00B2306B" w:rsidRPr="00884A73">
        <w:rPr>
          <w:rFonts w:ascii="Arial" w:eastAsia="Calibri" w:hAnsi="Arial" w:cs="Arial"/>
          <w:bCs/>
          <w:sz w:val="22"/>
          <w:szCs w:val="22"/>
        </w:rPr>
        <w:t xml:space="preserve"> propósito, es necesario acudir al artículo 5 de la Ley 1150 de 2007, el cual regula</w:t>
      </w:r>
      <w:r w:rsidR="00AE7388" w:rsidRPr="00884A73">
        <w:rPr>
          <w:rFonts w:ascii="Arial" w:eastAsia="Calibri" w:hAnsi="Arial" w:cs="Arial"/>
          <w:bCs/>
          <w:sz w:val="22"/>
          <w:szCs w:val="22"/>
        </w:rPr>
        <w:t xml:space="preserve"> el deber de selección objetiva</w:t>
      </w:r>
      <w:r w:rsidR="00CE1641" w:rsidRPr="00884A73">
        <w:rPr>
          <w:rFonts w:ascii="Arial" w:eastAsia="Calibri" w:hAnsi="Arial" w:cs="Arial"/>
          <w:bCs/>
          <w:sz w:val="22"/>
          <w:szCs w:val="22"/>
        </w:rPr>
        <w:t>, conforme al cual debe</w:t>
      </w:r>
      <w:r w:rsidR="00185C79" w:rsidRPr="00884A73">
        <w:rPr>
          <w:rFonts w:ascii="Arial" w:eastAsia="Calibri" w:hAnsi="Arial" w:cs="Arial"/>
          <w:bCs/>
          <w:sz w:val="22"/>
          <w:szCs w:val="22"/>
        </w:rPr>
        <w:t xml:space="preserve"> determinarse cu</w:t>
      </w:r>
      <w:r w:rsidR="00CE48E7" w:rsidRPr="00884A73">
        <w:rPr>
          <w:rFonts w:ascii="Arial" w:eastAsia="Calibri" w:hAnsi="Arial" w:cs="Arial"/>
          <w:bCs/>
          <w:sz w:val="22"/>
          <w:szCs w:val="22"/>
        </w:rPr>
        <w:t>á</w:t>
      </w:r>
      <w:r w:rsidR="00185C79" w:rsidRPr="00884A73">
        <w:rPr>
          <w:rFonts w:ascii="Arial" w:eastAsia="Calibri" w:hAnsi="Arial" w:cs="Arial"/>
          <w:bCs/>
          <w:sz w:val="22"/>
          <w:szCs w:val="22"/>
        </w:rPr>
        <w:t>l e</w:t>
      </w:r>
      <w:r w:rsidR="00512BC0" w:rsidRPr="00884A73">
        <w:rPr>
          <w:rFonts w:ascii="Arial" w:eastAsia="Calibri" w:hAnsi="Arial" w:cs="Arial"/>
          <w:bCs/>
          <w:sz w:val="22"/>
          <w:szCs w:val="22"/>
        </w:rPr>
        <w:t>s</w:t>
      </w:r>
      <w:r w:rsidR="00185C79" w:rsidRPr="00884A73">
        <w:rPr>
          <w:rFonts w:ascii="Arial" w:eastAsia="Calibri" w:hAnsi="Arial" w:cs="Arial"/>
          <w:bCs/>
          <w:sz w:val="22"/>
          <w:szCs w:val="22"/>
        </w:rPr>
        <w:t xml:space="preserve"> la oferta más favorable para la entidad y los fines de </w:t>
      </w:r>
      <w:r w:rsidR="00512BC0" w:rsidRPr="00884A73">
        <w:rPr>
          <w:rFonts w:ascii="Arial" w:eastAsia="Calibri" w:hAnsi="Arial" w:cs="Arial"/>
          <w:bCs/>
          <w:sz w:val="22"/>
          <w:szCs w:val="22"/>
        </w:rPr>
        <w:t>la contratación.</w:t>
      </w:r>
    </w:p>
    <w:p w14:paraId="6C13F6AD" w14:textId="1F3DB84C" w:rsidR="00CE1641" w:rsidRPr="00884A73" w:rsidRDefault="00CE1641" w:rsidP="00EB2ED0">
      <w:pPr>
        <w:tabs>
          <w:tab w:val="left" w:pos="0"/>
        </w:tabs>
        <w:spacing w:after="120" w:line="276" w:lineRule="auto"/>
        <w:jc w:val="both"/>
        <w:rPr>
          <w:rFonts w:ascii="Arial" w:eastAsia="Calibri" w:hAnsi="Arial" w:cs="Arial"/>
          <w:bCs/>
          <w:sz w:val="22"/>
          <w:szCs w:val="22"/>
        </w:rPr>
      </w:pPr>
      <w:r w:rsidRPr="00884A73">
        <w:rPr>
          <w:rFonts w:ascii="Arial" w:eastAsia="Calibri" w:hAnsi="Arial" w:cs="Arial"/>
          <w:bCs/>
          <w:sz w:val="22"/>
          <w:szCs w:val="22"/>
        </w:rPr>
        <w:tab/>
      </w:r>
      <w:r w:rsidR="00310439" w:rsidRPr="00884A73">
        <w:rPr>
          <w:rFonts w:ascii="Arial" w:eastAsia="Calibri" w:hAnsi="Arial" w:cs="Arial"/>
          <w:bCs/>
          <w:sz w:val="22"/>
          <w:szCs w:val="22"/>
        </w:rPr>
        <w:t>De acuerdo con el</w:t>
      </w:r>
      <w:r w:rsidRPr="00884A73">
        <w:rPr>
          <w:rFonts w:ascii="Arial" w:eastAsia="Calibri" w:hAnsi="Arial" w:cs="Arial"/>
          <w:bCs/>
          <w:sz w:val="22"/>
          <w:szCs w:val="22"/>
        </w:rPr>
        <w:t xml:space="preserve"> artículo 5</w:t>
      </w:r>
      <w:r w:rsidR="002A0BC3" w:rsidRPr="00884A73">
        <w:rPr>
          <w:rFonts w:ascii="Arial" w:eastAsia="Calibri" w:hAnsi="Arial" w:cs="Arial"/>
          <w:bCs/>
          <w:sz w:val="22"/>
          <w:szCs w:val="22"/>
        </w:rPr>
        <w:t xml:space="preserve"> de la Ley 1150 de 2007, </w:t>
      </w:r>
      <w:r w:rsidR="00310439" w:rsidRPr="00884A73">
        <w:rPr>
          <w:rFonts w:ascii="Arial" w:eastAsia="Calibri" w:hAnsi="Arial" w:cs="Arial"/>
          <w:bCs/>
          <w:sz w:val="22"/>
          <w:szCs w:val="22"/>
        </w:rPr>
        <w:t>el deber de selección objetiva supone que las entidades escojan en los procesos de selección</w:t>
      </w:r>
      <w:r w:rsidR="00083480" w:rsidRPr="00884A73">
        <w:rPr>
          <w:rFonts w:ascii="Arial" w:eastAsia="Calibri" w:hAnsi="Arial" w:cs="Arial"/>
          <w:bCs/>
          <w:sz w:val="22"/>
          <w:szCs w:val="22"/>
        </w:rPr>
        <w:t xml:space="preserve"> el «[…] ofrecimiento más favorable a la entidad y a los fines que ella busca </w:t>
      </w:r>
      <w:r w:rsidR="00083480" w:rsidRPr="00884A73">
        <w:rPr>
          <w:rFonts w:ascii="Arial" w:hAnsi="Arial" w:cs="Arial"/>
          <w:sz w:val="22"/>
          <w:szCs w:val="22"/>
        </w:rPr>
        <w:t>[…]</w:t>
      </w:r>
      <w:r w:rsidR="00083480" w:rsidRPr="00884A73">
        <w:rPr>
          <w:rFonts w:ascii="Arial" w:eastAsia="Calibri" w:hAnsi="Arial" w:cs="Arial"/>
          <w:bCs/>
          <w:sz w:val="22"/>
          <w:szCs w:val="22"/>
        </w:rPr>
        <w:t>»</w:t>
      </w:r>
      <w:r w:rsidR="001679EF" w:rsidRPr="00884A73">
        <w:rPr>
          <w:rStyle w:val="Refdenotaalpie"/>
          <w:rFonts w:ascii="Arial" w:eastAsia="Calibri" w:hAnsi="Arial" w:cs="Arial"/>
          <w:bCs/>
          <w:sz w:val="22"/>
          <w:szCs w:val="22"/>
        </w:rPr>
        <w:footnoteReference w:id="12"/>
      </w:r>
      <w:r w:rsidR="00083480" w:rsidRPr="00884A73">
        <w:rPr>
          <w:rFonts w:ascii="Arial" w:eastAsia="Calibri" w:hAnsi="Arial" w:cs="Arial"/>
          <w:bCs/>
          <w:sz w:val="22"/>
          <w:szCs w:val="22"/>
        </w:rPr>
        <w:t>.</w:t>
      </w:r>
      <w:r w:rsidR="00C065A4" w:rsidRPr="00884A73">
        <w:rPr>
          <w:rFonts w:ascii="Arial" w:eastAsia="Calibri" w:hAnsi="Arial" w:cs="Arial"/>
          <w:bCs/>
          <w:sz w:val="22"/>
          <w:szCs w:val="22"/>
        </w:rPr>
        <w:t xml:space="preserve"> </w:t>
      </w:r>
      <w:r w:rsidR="00853CE0" w:rsidRPr="00884A73">
        <w:rPr>
          <w:rFonts w:ascii="Arial" w:eastAsia="Calibri" w:hAnsi="Arial" w:cs="Arial"/>
          <w:bCs/>
          <w:sz w:val="22"/>
          <w:szCs w:val="22"/>
        </w:rPr>
        <w:t>Esta</w:t>
      </w:r>
      <w:r w:rsidR="00C065A4" w:rsidRPr="00884A73">
        <w:rPr>
          <w:rFonts w:ascii="Arial" w:eastAsia="Calibri" w:hAnsi="Arial" w:cs="Arial"/>
          <w:bCs/>
          <w:sz w:val="22"/>
          <w:szCs w:val="22"/>
        </w:rPr>
        <w:t xml:space="preserve"> favorabilidad debe </w:t>
      </w:r>
      <w:r w:rsidR="00367ABB" w:rsidRPr="00884A73">
        <w:rPr>
          <w:rFonts w:ascii="Arial" w:eastAsia="Calibri" w:hAnsi="Arial" w:cs="Arial"/>
          <w:bCs/>
          <w:sz w:val="22"/>
          <w:szCs w:val="22"/>
        </w:rPr>
        <w:lastRenderedPageBreak/>
        <w:t>determinarse</w:t>
      </w:r>
      <w:r w:rsidR="00C065A4" w:rsidRPr="00884A73">
        <w:rPr>
          <w:rFonts w:ascii="Arial" w:eastAsia="Calibri" w:hAnsi="Arial" w:cs="Arial"/>
          <w:bCs/>
          <w:sz w:val="22"/>
          <w:szCs w:val="22"/>
        </w:rPr>
        <w:t xml:space="preserve"> a partir</w:t>
      </w:r>
      <w:r w:rsidR="00CE48E7" w:rsidRPr="00884A73">
        <w:rPr>
          <w:rFonts w:ascii="Arial" w:eastAsia="Calibri" w:hAnsi="Arial" w:cs="Arial"/>
          <w:bCs/>
          <w:sz w:val="22"/>
          <w:szCs w:val="22"/>
        </w:rPr>
        <w:t xml:space="preserve"> de</w:t>
      </w:r>
      <w:r w:rsidR="00C065A4" w:rsidRPr="00884A73">
        <w:rPr>
          <w:rFonts w:ascii="Arial" w:eastAsia="Calibri" w:hAnsi="Arial" w:cs="Arial"/>
          <w:bCs/>
          <w:sz w:val="22"/>
          <w:szCs w:val="22"/>
        </w:rPr>
        <w:t xml:space="preserve"> criterio</w:t>
      </w:r>
      <w:r w:rsidR="00C025CC" w:rsidRPr="00884A73">
        <w:rPr>
          <w:rFonts w:ascii="Arial" w:eastAsia="Calibri" w:hAnsi="Arial" w:cs="Arial"/>
          <w:bCs/>
          <w:sz w:val="22"/>
          <w:szCs w:val="22"/>
        </w:rPr>
        <w:t xml:space="preserve">s que pueden variar </w:t>
      </w:r>
      <w:r w:rsidR="00DE2DF1" w:rsidRPr="00884A73">
        <w:rPr>
          <w:rFonts w:ascii="Arial" w:eastAsia="Calibri" w:hAnsi="Arial" w:cs="Arial"/>
          <w:bCs/>
          <w:sz w:val="22"/>
          <w:szCs w:val="22"/>
        </w:rPr>
        <w:t>de acuerdo con el</w:t>
      </w:r>
      <w:r w:rsidR="00F22F81" w:rsidRPr="00884A73">
        <w:rPr>
          <w:rFonts w:ascii="Arial" w:eastAsia="Calibri" w:hAnsi="Arial" w:cs="Arial"/>
          <w:bCs/>
          <w:sz w:val="22"/>
          <w:szCs w:val="22"/>
        </w:rPr>
        <w:t xml:space="preserve"> objeto contractual</w:t>
      </w:r>
      <w:r w:rsidR="00C025CC" w:rsidRPr="00884A73">
        <w:rPr>
          <w:rFonts w:ascii="Arial" w:eastAsia="Calibri" w:hAnsi="Arial" w:cs="Arial"/>
          <w:bCs/>
          <w:sz w:val="22"/>
          <w:szCs w:val="22"/>
        </w:rPr>
        <w:t xml:space="preserve"> o la modalidad de selección aplicable</w:t>
      </w:r>
      <w:r w:rsidR="00D81E3C" w:rsidRPr="00884A73">
        <w:rPr>
          <w:rFonts w:ascii="Arial" w:eastAsia="Calibri" w:hAnsi="Arial" w:cs="Arial"/>
          <w:bCs/>
          <w:sz w:val="22"/>
          <w:szCs w:val="22"/>
        </w:rPr>
        <w:t xml:space="preserve">, los cuales, en todo caso, para que la selección sea objetiva, deben </w:t>
      </w:r>
      <w:r w:rsidR="00DE2DF1" w:rsidRPr="00884A73">
        <w:rPr>
          <w:rFonts w:ascii="Arial" w:eastAsia="Calibri" w:hAnsi="Arial" w:cs="Arial"/>
          <w:bCs/>
          <w:sz w:val="22"/>
          <w:szCs w:val="22"/>
        </w:rPr>
        <w:t>indicarse</w:t>
      </w:r>
      <w:r w:rsidR="00D81E3C" w:rsidRPr="00884A73">
        <w:rPr>
          <w:rFonts w:ascii="Arial" w:eastAsia="Calibri" w:hAnsi="Arial" w:cs="Arial"/>
          <w:bCs/>
          <w:sz w:val="22"/>
          <w:szCs w:val="22"/>
        </w:rPr>
        <w:t xml:space="preserve"> en el pliego de condiciones o documento equivalente.</w:t>
      </w:r>
      <w:r w:rsidR="009E2C0F" w:rsidRPr="00884A73">
        <w:rPr>
          <w:rFonts w:ascii="Arial" w:eastAsia="Calibri" w:hAnsi="Arial" w:cs="Arial"/>
          <w:bCs/>
          <w:sz w:val="22"/>
          <w:szCs w:val="22"/>
        </w:rPr>
        <w:t xml:space="preserve"> </w:t>
      </w:r>
    </w:p>
    <w:p w14:paraId="7AE775F5" w14:textId="46DC6F40" w:rsidR="00F62172" w:rsidRPr="00884A73" w:rsidRDefault="009E2C0F" w:rsidP="00EB2ED0">
      <w:pPr>
        <w:tabs>
          <w:tab w:val="left" w:pos="0"/>
        </w:tabs>
        <w:spacing w:after="120" w:line="276" w:lineRule="auto"/>
        <w:jc w:val="both"/>
        <w:rPr>
          <w:rFonts w:ascii="Arial" w:eastAsia="Calibri" w:hAnsi="Arial" w:cs="Arial"/>
          <w:bCs/>
          <w:sz w:val="22"/>
          <w:szCs w:val="22"/>
        </w:rPr>
      </w:pPr>
      <w:r w:rsidRPr="00884A73">
        <w:rPr>
          <w:rFonts w:ascii="Arial" w:eastAsia="Calibri" w:hAnsi="Arial" w:cs="Arial"/>
          <w:bCs/>
          <w:sz w:val="22"/>
          <w:szCs w:val="22"/>
        </w:rPr>
        <w:tab/>
        <w:t>Al respecto, el artículo 5</w:t>
      </w:r>
      <w:r w:rsidR="00104210" w:rsidRPr="00884A73">
        <w:rPr>
          <w:rFonts w:ascii="Arial" w:eastAsia="Calibri" w:hAnsi="Arial" w:cs="Arial"/>
          <w:bCs/>
          <w:sz w:val="22"/>
          <w:szCs w:val="22"/>
        </w:rPr>
        <w:t>-1</w:t>
      </w:r>
      <w:r w:rsidRPr="00884A73">
        <w:rPr>
          <w:rFonts w:ascii="Arial" w:eastAsia="Calibri" w:hAnsi="Arial" w:cs="Arial"/>
          <w:bCs/>
          <w:sz w:val="22"/>
          <w:szCs w:val="22"/>
        </w:rPr>
        <w:t xml:space="preserve"> de la Ley 1150 de 2007 </w:t>
      </w:r>
      <w:r w:rsidR="00AC7356" w:rsidRPr="00884A73">
        <w:rPr>
          <w:rFonts w:ascii="Arial" w:eastAsia="Calibri" w:hAnsi="Arial" w:cs="Arial"/>
          <w:bCs/>
          <w:sz w:val="22"/>
          <w:szCs w:val="22"/>
        </w:rPr>
        <w:t xml:space="preserve">regula </w:t>
      </w:r>
      <w:r w:rsidR="00894039" w:rsidRPr="00884A73">
        <w:rPr>
          <w:rFonts w:ascii="Arial" w:eastAsia="Calibri" w:hAnsi="Arial" w:cs="Arial"/>
          <w:bCs/>
          <w:sz w:val="22"/>
          <w:szCs w:val="22"/>
        </w:rPr>
        <w:t xml:space="preserve">los </w:t>
      </w:r>
      <w:r w:rsidR="009A4C64" w:rsidRPr="00884A73">
        <w:rPr>
          <w:rFonts w:ascii="Arial" w:eastAsia="Calibri" w:hAnsi="Arial" w:cs="Arial"/>
          <w:bCs/>
          <w:sz w:val="22"/>
          <w:szCs w:val="22"/>
        </w:rPr>
        <w:t xml:space="preserve">requisitos </w:t>
      </w:r>
      <w:r w:rsidR="00660B1A" w:rsidRPr="00884A73">
        <w:rPr>
          <w:rFonts w:ascii="Arial" w:eastAsia="Calibri" w:hAnsi="Arial" w:cs="Arial"/>
          <w:bCs/>
          <w:sz w:val="22"/>
          <w:szCs w:val="22"/>
        </w:rPr>
        <w:t xml:space="preserve">exigibles en la </w:t>
      </w:r>
      <w:r w:rsidR="002F1549" w:rsidRPr="00884A73">
        <w:rPr>
          <w:rFonts w:ascii="Arial" w:eastAsia="Calibri" w:hAnsi="Arial" w:cs="Arial"/>
          <w:bCs/>
          <w:sz w:val="22"/>
          <w:szCs w:val="22"/>
        </w:rPr>
        <w:t xml:space="preserve">generalidad de procesos de selección adelantados conforme al EGCAP, tales </w:t>
      </w:r>
      <w:r w:rsidR="009A4C64" w:rsidRPr="00884A73">
        <w:rPr>
          <w:rFonts w:ascii="Arial" w:eastAsia="Calibri" w:hAnsi="Arial" w:cs="Arial"/>
          <w:bCs/>
          <w:sz w:val="22"/>
          <w:szCs w:val="22"/>
        </w:rPr>
        <w:t xml:space="preserve">como </w:t>
      </w:r>
      <w:r w:rsidR="00660B1A" w:rsidRPr="00884A73">
        <w:rPr>
          <w:rFonts w:ascii="Arial" w:eastAsia="Calibri" w:hAnsi="Arial" w:cs="Arial"/>
          <w:bCs/>
          <w:sz w:val="22"/>
          <w:szCs w:val="22"/>
        </w:rPr>
        <w:t xml:space="preserve">la </w:t>
      </w:r>
      <w:r w:rsidR="00660B1A" w:rsidRPr="00884A73">
        <w:rPr>
          <w:rFonts w:ascii="Arial" w:eastAsia="Calibri" w:hAnsi="Arial" w:cs="Arial"/>
          <w:bCs/>
          <w:sz w:val="22"/>
          <w:szCs w:val="22"/>
        </w:rPr>
        <w:lastRenderedPageBreak/>
        <w:t>capacidad jurídica</w:t>
      </w:r>
      <w:r w:rsidR="002F1549" w:rsidRPr="00884A73">
        <w:rPr>
          <w:rFonts w:ascii="Arial" w:eastAsia="Calibri" w:hAnsi="Arial" w:cs="Arial"/>
          <w:bCs/>
          <w:sz w:val="22"/>
          <w:szCs w:val="22"/>
        </w:rPr>
        <w:t xml:space="preserve">, </w:t>
      </w:r>
      <w:r w:rsidR="00660B1A" w:rsidRPr="00884A73">
        <w:rPr>
          <w:rFonts w:ascii="Arial" w:eastAsia="Calibri" w:hAnsi="Arial" w:cs="Arial"/>
          <w:bCs/>
          <w:sz w:val="22"/>
          <w:szCs w:val="22"/>
        </w:rPr>
        <w:t>las condiciones de experiencia,</w:t>
      </w:r>
      <w:r w:rsidR="00865FC6" w:rsidRPr="00884A73">
        <w:rPr>
          <w:rFonts w:ascii="Arial" w:eastAsia="Calibri" w:hAnsi="Arial" w:cs="Arial"/>
          <w:bCs/>
          <w:sz w:val="22"/>
          <w:szCs w:val="22"/>
        </w:rPr>
        <w:t xml:space="preserve"> la</w:t>
      </w:r>
      <w:r w:rsidR="00660B1A" w:rsidRPr="00884A73">
        <w:rPr>
          <w:rFonts w:ascii="Arial" w:eastAsia="Calibri" w:hAnsi="Arial" w:cs="Arial"/>
          <w:bCs/>
          <w:sz w:val="22"/>
          <w:szCs w:val="22"/>
        </w:rPr>
        <w:t xml:space="preserve"> capacidad financiera y de organización</w:t>
      </w:r>
      <w:r w:rsidR="00865FC6" w:rsidRPr="00884A73">
        <w:rPr>
          <w:rFonts w:ascii="Arial" w:eastAsia="Calibri" w:hAnsi="Arial" w:cs="Arial"/>
          <w:bCs/>
          <w:sz w:val="22"/>
          <w:szCs w:val="22"/>
        </w:rPr>
        <w:t>, denomi</w:t>
      </w:r>
      <w:r w:rsidR="00FA4048" w:rsidRPr="00884A73">
        <w:rPr>
          <w:rFonts w:ascii="Arial" w:eastAsia="Calibri" w:hAnsi="Arial" w:cs="Arial"/>
          <w:bCs/>
          <w:sz w:val="22"/>
          <w:szCs w:val="22"/>
        </w:rPr>
        <w:t>n</w:t>
      </w:r>
      <w:r w:rsidR="00865FC6" w:rsidRPr="00884A73">
        <w:rPr>
          <w:rFonts w:ascii="Arial" w:eastAsia="Calibri" w:hAnsi="Arial" w:cs="Arial"/>
          <w:bCs/>
          <w:sz w:val="22"/>
          <w:szCs w:val="22"/>
        </w:rPr>
        <w:t>ados requisitos habilitantes,</w:t>
      </w:r>
      <w:r w:rsidR="00894039" w:rsidRPr="00884A73">
        <w:rPr>
          <w:rFonts w:ascii="Arial" w:eastAsia="Calibri" w:hAnsi="Arial" w:cs="Arial"/>
          <w:bCs/>
          <w:sz w:val="22"/>
          <w:szCs w:val="22"/>
        </w:rPr>
        <w:t xml:space="preserve"> los cuales</w:t>
      </w:r>
      <w:r w:rsidR="00865FC6" w:rsidRPr="00884A73">
        <w:rPr>
          <w:rFonts w:ascii="Arial" w:eastAsia="Calibri" w:hAnsi="Arial" w:cs="Arial"/>
          <w:bCs/>
          <w:sz w:val="22"/>
          <w:szCs w:val="22"/>
        </w:rPr>
        <w:t xml:space="preserve"> </w:t>
      </w:r>
      <w:r w:rsidR="00894039" w:rsidRPr="00884A73">
        <w:rPr>
          <w:rFonts w:ascii="Arial" w:eastAsia="Calibri" w:hAnsi="Arial" w:cs="Arial"/>
          <w:bCs/>
          <w:sz w:val="22"/>
          <w:szCs w:val="22"/>
        </w:rPr>
        <w:t>–</w:t>
      </w:r>
      <w:r w:rsidR="00865FC6" w:rsidRPr="00884A73">
        <w:rPr>
          <w:rFonts w:ascii="Arial" w:eastAsia="Calibri" w:hAnsi="Arial" w:cs="Arial"/>
          <w:bCs/>
          <w:sz w:val="22"/>
          <w:szCs w:val="22"/>
        </w:rPr>
        <w:t>por expresa disposición</w:t>
      </w:r>
      <w:r w:rsidR="00894039" w:rsidRPr="00884A73">
        <w:rPr>
          <w:rFonts w:ascii="Arial" w:eastAsia="Calibri" w:hAnsi="Arial" w:cs="Arial"/>
          <w:bCs/>
          <w:sz w:val="22"/>
          <w:szCs w:val="22"/>
        </w:rPr>
        <w:t xml:space="preserve"> legal–</w:t>
      </w:r>
      <w:r w:rsidR="00865FC6" w:rsidRPr="00884A73">
        <w:rPr>
          <w:rFonts w:ascii="Arial" w:eastAsia="Calibri" w:hAnsi="Arial" w:cs="Arial"/>
          <w:bCs/>
          <w:sz w:val="22"/>
          <w:szCs w:val="22"/>
        </w:rPr>
        <w:t xml:space="preserve"> </w:t>
      </w:r>
      <w:r w:rsidR="00FA4048" w:rsidRPr="00884A73">
        <w:rPr>
          <w:rFonts w:ascii="Arial" w:eastAsia="Calibri" w:hAnsi="Arial" w:cs="Arial"/>
          <w:bCs/>
          <w:sz w:val="22"/>
          <w:szCs w:val="22"/>
        </w:rPr>
        <w:t xml:space="preserve">no otorgan puntaje. </w:t>
      </w:r>
      <w:r w:rsidR="0087267F" w:rsidRPr="00884A73">
        <w:rPr>
          <w:rFonts w:ascii="Arial" w:eastAsia="Calibri" w:hAnsi="Arial" w:cs="Arial"/>
          <w:bCs/>
          <w:sz w:val="22"/>
          <w:szCs w:val="22"/>
        </w:rPr>
        <w:t>Lo anterior</w:t>
      </w:r>
      <w:r w:rsidR="00306D1E" w:rsidRPr="00884A73">
        <w:rPr>
          <w:rFonts w:ascii="Arial" w:eastAsia="Calibri" w:hAnsi="Arial" w:cs="Arial"/>
          <w:bCs/>
          <w:sz w:val="22"/>
          <w:szCs w:val="22"/>
        </w:rPr>
        <w:t>,</w:t>
      </w:r>
      <w:r w:rsidR="0087267F" w:rsidRPr="00884A73">
        <w:rPr>
          <w:rFonts w:ascii="Arial" w:eastAsia="Calibri" w:hAnsi="Arial" w:cs="Arial"/>
          <w:bCs/>
          <w:sz w:val="22"/>
          <w:szCs w:val="22"/>
        </w:rPr>
        <w:t xml:space="preserve"> ya que</w:t>
      </w:r>
      <w:r w:rsidR="00306D1E" w:rsidRPr="00884A73">
        <w:rPr>
          <w:rFonts w:ascii="Arial" w:eastAsia="Calibri" w:hAnsi="Arial" w:cs="Arial"/>
          <w:bCs/>
          <w:sz w:val="22"/>
          <w:szCs w:val="22"/>
        </w:rPr>
        <w:t xml:space="preserve"> </w:t>
      </w:r>
      <w:r w:rsidR="005E6342" w:rsidRPr="00884A73">
        <w:rPr>
          <w:rFonts w:ascii="Arial" w:eastAsia="Calibri" w:hAnsi="Arial" w:cs="Arial"/>
          <w:bCs/>
          <w:sz w:val="22"/>
          <w:szCs w:val="22"/>
        </w:rPr>
        <w:t>no se refieren a la oferta</w:t>
      </w:r>
      <w:r w:rsidR="00F62172" w:rsidRPr="00884A73">
        <w:rPr>
          <w:rFonts w:ascii="Arial" w:eastAsia="Calibri" w:hAnsi="Arial" w:cs="Arial"/>
          <w:bCs/>
          <w:sz w:val="22"/>
          <w:szCs w:val="22"/>
        </w:rPr>
        <w:t xml:space="preserve"> mism</w:t>
      </w:r>
      <w:r w:rsidR="00512BC0" w:rsidRPr="00884A73">
        <w:rPr>
          <w:rFonts w:ascii="Arial" w:eastAsia="Calibri" w:hAnsi="Arial" w:cs="Arial"/>
          <w:bCs/>
          <w:sz w:val="22"/>
          <w:szCs w:val="22"/>
        </w:rPr>
        <w:t>a</w:t>
      </w:r>
      <w:r w:rsidR="00F62172" w:rsidRPr="00884A73">
        <w:rPr>
          <w:rFonts w:ascii="Arial" w:eastAsia="Calibri" w:hAnsi="Arial" w:cs="Arial"/>
          <w:bCs/>
          <w:sz w:val="22"/>
          <w:szCs w:val="22"/>
        </w:rPr>
        <w:t xml:space="preserve"> sino </w:t>
      </w:r>
      <w:r w:rsidR="00AF1FBF" w:rsidRPr="00884A73">
        <w:rPr>
          <w:rFonts w:ascii="Arial" w:eastAsia="Calibri" w:hAnsi="Arial" w:cs="Arial"/>
          <w:bCs/>
          <w:sz w:val="22"/>
          <w:szCs w:val="22"/>
        </w:rPr>
        <w:t>l</w:t>
      </w:r>
      <w:r w:rsidR="00F62172" w:rsidRPr="00884A73">
        <w:rPr>
          <w:rFonts w:ascii="Arial" w:eastAsia="Calibri" w:hAnsi="Arial" w:cs="Arial"/>
          <w:bCs/>
          <w:sz w:val="22"/>
          <w:szCs w:val="22"/>
        </w:rPr>
        <w:t>a idoneidad del oferente para asumir adecuadamente la ejecución del contrato</w:t>
      </w:r>
      <w:r w:rsidR="00AF1FBF" w:rsidRPr="00884A73">
        <w:rPr>
          <w:rStyle w:val="Refdenotaalpie"/>
          <w:rFonts w:ascii="Arial" w:eastAsia="Calibri" w:hAnsi="Arial" w:cs="Arial"/>
          <w:bCs/>
          <w:sz w:val="22"/>
          <w:szCs w:val="22"/>
        </w:rPr>
        <w:footnoteReference w:id="13"/>
      </w:r>
      <w:r w:rsidR="00AF1FBF" w:rsidRPr="00884A73">
        <w:rPr>
          <w:rFonts w:ascii="Arial" w:eastAsia="Calibri" w:hAnsi="Arial" w:cs="Arial"/>
          <w:bCs/>
          <w:sz w:val="22"/>
          <w:szCs w:val="22"/>
        </w:rPr>
        <w:t>.</w:t>
      </w:r>
      <w:r w:rsidR="00A928D0" w:rsidRPr="00884A73">
        <w:rPr>
          <w:rFonts w:ascii="Arial" w:eastAsia="Calibri" w:hAnsi="Arial" w:cs="Arial"/>
          <w:bCs/>
          <w:sz w:val="22"/>
          <w:szCs w:val="22"/>
        </w:rPr>
        <w:t xml:space="preserve"> Los oferentes </w:t>
      </w:r>
      <w:r w:rsidR="0002504E" w:rsidRPr="00884A73">
        <w:rPr>
          <w:rFonts w:ascii="Arial" w:eastAsia="Calibri" w:hAnsi="Arial" w:cs="Arial"/>
          <w:bCs/>
          <w:sz w:val="22"/>
          <w:szCs w:val="22"/>
        </w:rPr>
        <w:t xml:space="preserve">que cumplan estos requisitos habilitantes son considerados idóneos para ejecutar el objeto contractual, </w:t>
      </w:r>
      <w:r w:rsidR="001A1766" w:rsidRPr="00884A73">
        <w:rPr>
          <w:rFonts w:ascii="Arial" w:eastAsia="Calibri" w:hAnsi="Arial" w:cs="Arial"/>
          <w:bCs/>
          <w:sz w:val="22"/>
          <w:szCs w:val="22"/>
        </w:rPr>
        <w:t>de manera</w:t>
      </w:r>
      <w:r w:rsidR="0002504E" w:rsidRPr="00884A73">
        <w:rPr>
          <w:rFonts w:ascii="Arial" w:eastAsia="Calibri" w:hAnsi="Arial" w:cs="Arial"/>
          <w:bCs/>
          <w:sz w:val="22"/>
          <w:szCs w:val="22"/>
        </w:rPr>
        <w:t xml:space="preserve"> que sus ofertas </w:t>
      </w:r>
      <w:r w:rsidR="002B76F5" w:rsidRPr="00884A73">
        <w:rPr>
          <w:rFonts w:ascii="Arial" w:eastAsia="Calibri" w:hAnsi="Arial" w:cs="Arial"/>
          <w:bCs/>
          <w:sz w:val="22"/>
          <w:szCs w:val="22"/>
        </w:rPr>
        <w:t xml:space="preserve">pueden ser consideradas en la evaluación dirigida a determinar </w:t>
      </w:r>
      <w:r w:rsidR="001A1766" w:rsidRPr="00884A73">
        <w:rPr>
          <w:rFonts w:ascii="Arial" w:eastAsia="Calibri" w:hAnsi="Arial" w:cs="Arial"/>
          <w:bCs/>
          <w:sz w:val="22"/>
          <w:szCs w:val="22"/>
        </w:rPr>
        <w:t>cuál</w:t>
      </w:r>
      <w:r w:rsidR="002B76F5" w:rsidRPr="00884A73">
        <w:rPr>
          <w:rFonts w:ascii="Arial" w:eastAsia="Calibri" w:hAnsi="Arial" w:cs="Arial"/>
          <w:bCs/>
          <w:sz w:val="22"/>
          <w:szCs w:val="22"/>
        </w:rPr>
        <w:t xml:space="preserve"> es la </w:t>
      </w:r>
      <w:r w:rsidR="00512BC0" w:rsidRPr="00884A73">
        <w:rPr>
          <w:rFonts w:ascii="Arial" w:eastAsia="Calibri" w:hAnsi="Arial" w:cs="Arial"/>
          <w:bCs/>
          <w:sz w:val="22"/>
          <w:szCs w:val="22"/>
        </w:rPr>
        <w:t xml:space="preserve">más </w:t>
      </w:r>
      <w:r w:rsidR="002B76F5" w:rsidRPr="00884A73">
        <w:rPr>
          <w:rFonts w:ascii="Arial" w:eastAsia="Calibri" w:hAnsi="Arial" w:cs="Arial"/>
          <w:bCs/>
          <w:sz w:val="22"/>
          <w:szCs w:val="22"/>
        </w:rPr>
        <w:t>favorable para la entidad y los fines de la contratación.</w:t>
      </w:r>
    </w:p>
    <w:p w14:paraId="3A672258" w14:textId="3CA7791E" w:rsidR="00DB1142" w:rsidRPr="00884A73" w:rsidRDefault="00871B2E" w:rsidP="00EB2ED0">
      <w:pPr>
        <w:tabs>
          <w:tab w:val="left" w:pos="0"/>
        </w:tabs>
        <w:spacing w:after="120" w:line="276" w:lineRule="auto"/>
        <w:jc w:val="both"/>
        <w:rPr>
          <w:rFonts w:ascii="Arial" w:hAnsi="Arial" w:cs="Arial"/>
          <w:sz w:val="22"/>
          <w:szCs w:val="22"/>
        </w:rPr>
      </w:pPr>
      <w:r w:rsidRPr="00884A73">
        <w:rPr>
          <w:rFonts w:ascii="Arial" w:eastAsia="Calibri" w:hAnsi="Arial" w:cs="Arial"/>
          <w:bCs/>
          <w:sz w:val="22"/>
          <w:szCs w:val="22"/>
        </w:rPr>
        <w:tab/>
      </w:r>
      <w:r w:rsidR="005107E3" w:rsidRPr="00884A73">
        <w:rPr>
          <w:rFonts w:ascii="Arial" w:eastAsia="Calibri" w:hAnsi="Arial" w:cs="Arial"/>
          <w:bCs/>
          <w:sz w:val="22"/>
          <w:szCs w:val="22"/>
        </w:rPr>
        <w:t xml:space="preserve">En contraposición </w:t>
      </w:r>
      <w:r w:rsidR="00A50238" w:rsidRPr="00884A73">
        <w:rPr>
          <w:rFonts w:ascii="Arial" w:eastAsia="Calibri" w:hAnsi="Arial" w:cs="Arial"/>
          <w:bCs/>
          <w:sz w:val="22"/>
          <w:szCs w:val="22"/>
        </w:rPr>
        <w:t>a</w:t>
      </w:r>
      <w:r w:rsidR="005107E3" w:rsidRPr="00884A73">
        <w:rPr>
          <w:rFonts w:ascii="Arial" w:eastAsia="Calibri" w:hAnsi="Arial" w:cs="Arial"/>
          <w:bCs/>
          <w:sz w:val="22"/>
          <w:szCs w:val="22"/>
        </w:rPr>
        <w:t xml:space="preserve"> </w:t>
      </w:r>
      <w:r w:rsidR="00A50238" w:rsidRPr="00884A73">
        <w:rPr>
          <w:rFonts w:ascii="Arial" w:eastAsia="Calibri" w:hAnsi="Arial" w:cs="Arial"/>
          <w:bCs/>
          <w:sz w:val="22"/>
          <w:szCs w:val="22"/>
        </w:rPr>
        <w:t>los requisitos habilitantes</w:t>
      </w:r>
      <w:r w:rsidR="005107E3" w:rsidRPr="00884A73">
        <w:rPr>
          <w:rFonts w:ascii="Arial" w:eastAsia="Calibri" w:hAnsi="Arial" w:cs="Arial"/>
          <w:bCs/>
          <w:sz w:val="22"/>
          <w:szCs w:val="22"/>
        </w:rPr>
        <w:t>, el artículo 5</w:t>
      </w:r>
      <w:r w:rsidR="00104210" w:rsidRPr="00884A73">
        <w:rPr>
          <w:rFonts w:ascii="Arial" w:eastAsia="Calibri" w:hAnsi="Arial" w:cs="Arial"/>
          <w:bCs/>
          <w:sz w:val="22"/>
          <w:szCs w:val="22"/>
        </w:rPr>
        <w:t>-2</w:t>
      </w:r>
      <w:r w:rsidR="005107E3" w:rsidRPr="00884A73">
        <w:rPr>
          <w:rFonts w:ascii="Arial" w:eastAsia="Calibri" w:hAnsi="Arial" w:cs="Arial"/>
          <w:bCs/>
          <w:sz w:val="22"/>
          <w:szCs w:val="22"/>
        </w:rPr>
        <w:t xml:space="preserve"> de la Ley 1150 de 2007</w:t>
      </w:r>
      <w:r w:rsidR="001A1766" w:rsidRPr="00884A73">
        <w:rPr>
          <w:rFonts w:ascii="Arial" w:eastAsia="Calibri" w:hAnsi="Arial" w:cs="Arial"/>
          <w:bCs/>
          <w:sz w:val="22"/>
          <w:szCs w:val="22"/>
        </w:rPr>
        <w:t xml:space="preserve"> regula los</w:t>
      </w:r>
      <w:r w:rsidR="00A50238" w:rsidRPr="00884A73">
        <w:rPr>
          <w:rFonts w:ascii="Arial" w:eastAsia="Calibri" w:hAnsi="Arial" w:cs="Arial"/>
          <w:bCs/>
          <w:sz w:val="22"/>
          <w:szCs w:val="22"/>
        </w:rPr>
        <w:t xml:space="preserve"> factores </w:t>
      </w:r>
      <w:r w:rsidR="008641D5" w:rsidRPr="00884A73">
        <w:rPr>
          <w:rFonts w:ascii="Arial" w:eastAsia="Calibri" w:hAnsi="Arial" w:cs="Arial"/>
          <w:bCs/>
          <w:sz w:val="22"/>
          <w:szCs w:val="22"/>
        </w:rPr>
        <w:t xml:space="preserve">dirigidos a determinar </w:t>
      </w:r>
      <w:r w:rsidR="00C77E99" w:rsidRPr="00884A73">
        <w:rPr>
          <w:rFonts w:ascii="Arial" w:eastAsia="Calibri" w:hAnsi="Arial" w:cs="Arial"/>
          <w:bCs/>
          <w:sz w:val="22"/>
          <w:szCs w:val="22"/>
        </w:rPr>
        <w:t>cuál</w:t>
      </w:r>
      <w:r w:rsidR="008641D5" w:rsidRPr="00884A73">
        <w:rPr>
          <w:rFonts w:ascii="Arial" w:eastAsia="Calibri" w:hAnsi="Arial" w:cs="Arial"/>
          <w:bCs/>
          <w:sz w:val="22"/>
          <w:szCs w:val="22"/>
        </w:rPr>
        <w:t xml:space="preserve"> es la propuesta más favorable</w:t>
      </w:r>
      <w:r w:rsidR="00512BC0" w:rsidRPr="00884A73">
        <w:rPr>
          <w:rFonts w:ascii="Arial" w:eastAsia="Calibri" w:hAnsi="Arial" w:cs="Arial"/>
          <w:bCs/>
          <w:sz w:val="22"/>
          <w:szCs w:val="22"/>
        </w:rPr>
        <w:t>.</w:t>
      </w:r>
      <w:r w:rsidR="008641D5" w:rsidRPr="00884A73">
        <w:rPr>
          <w:rFonts w:ascii="Arial" w:eastAsia="Calibri" w:hAnsi="Arial" w:cs="Arial"/>
          <w:bCs/>
          <w:sz w:val="22"/>
          <w:szCs w:val="22"/>
        </w:rPr>
        <w:t xml:space="preserve"> En ese sentido, el inciso primero </w:t>
      </w:r>
      <w:r w:rsidR="00A17CA5" w:rsidRPr="00884A73">
        <w:rPr>
          <w:rFonts w:ascii="Arial" w:eastAsia="Calibri" w:hAnsi="Arial" w:cs="Arial"/>
          <w:bCs/>
          <w:sz w:val="22"/>
          <w:szCs w:val="22"/>
        </w:rPr>
        <w:t>dispone los</w:t>
      </w:r>
      <w:r w:rsidR="008641D5" w:rsidRPr="00884A73">
        <w:rPr>
          <w:rFonts w:ascii="Arial" w:eastAsia="Calibri" w:hAnsi="Arial" w:cs="Arial"/>
          <w:bCs/>
          <w:sz w:val="22"/>
          <w:szCs w:val="22"/>
        </w:rPr>
        <w:t xml:space="preserve"> </w:t>
      </w:r>
      <w:r w:rsidR="00C77E99" w:rsidRPr="00884A73">
        <w:rPr>
          <w:rFonts w:ascii="Arial" w:eastAsia="Calibri" w:hAnsi="Arial" w:cs="Arial"/>
          <w:bCs/>
          <w:sz w:val="22"/>
          <w:szCs w:val="22"/>
        </w:rPr>
        <w:t>factores de escogencia y calificación que debe</w:t>
      </w:r>
      <w:r w:rsidR="008E6F19" w:rsidRPr="00884A73">
        <w:rPr>
          <w:rFonts w:ascii="Arial" w:eastAsia="Calibri" w:hAnsi="Arial" w:cs="Arial"/>
          <w:bCs/>
          <w:sz w:val="22"/>
          <w:szCs w:val="22"/>
        </w:rPr>
        <w:t xml:space="preserve">n </w:t>
      </w:r>
      <w:r w:rsidR="00A17CA5" w:rsidRPr="00884A73">
        <w:rPr>
          <w:rFonts w:ascii="Arial" w:eastAsia="Calibri" w:hAnsi="Arial" w:cs="Arial"/>
          <w:bCs/>
          <w:sz w:val="22"/>
          <w:szCs w:val="22"/>
        </w:rPr>
        <w:t>indicarse</w:t>
      </w:r>
      <w:r w:rsidR="008E6F19" w:rsidRPr="00884A73">
        <w:rPr>
          <w:rFonts w:ascii="Arial" w:eastAsia="Calibri" w:hAnsi="Arial" w:cs="Arial"/>
          <w:bCs/>
          <w:sz w:val="22"/>
          <w:szCs w:val="22"/>
        </w:rPr>
        <w:t xml:space="preserve"> en los pliegos de condiciones. </w:t>
      </w:r>
      <w:r w:rsidR="00104210" w:rsidRPr="00884A73">
        <w:rPr>
          <w:rFonts w:ascii="Arial" w:eastAsia="Calibri" w:hAnsi="Arial" w:cs="Arial"/>
          <w:bCs/>
          <w:sz w:val="22"/>
          <w:szCs w:val="22"/>
        </w:rPr>
        <w:t>Est</w:t>
      </w:r>
      <w:r w:rsidR="00DE5716" w:rsidRPr="00884A73">
        <w:rPr>
          <w:rFonts w:ascii="Arial" w:eastAsia="Calibri" w:hAnsi="Arial" w:cs="Arial"/>
          <w:bCs/>
          <w:sz w:val="22"/>
          <w:szCs w:val="22"/>
        </w:rPr>
        <w:t>a</w:t>
      </w:r>
      <w:r w:rsidR="00793C6A" w:rsidRPr="00884A73">
        <w:rPr>
          <w:rFonts w:ascii="Arial" w:eastAsia="Calibri" w:hAnsi="Arial" w:cs="Arial"/>
          <w:bCs/>
          <w:sz w:val="22"/>
          <w:szCs w:val="22"/>
        </w:rPr>
        <w:t xml:space="preserve"> norma</w:t>
      </w:r>
      <w:r w:rsidR="00DE5716" w:rsidRPr="00884A73">
        <w:rPr>
          <w:rFonts w:ascii="Arial" w:eastAsia="Calibri" w:hAnsi="Arial" w:cs="Arial"/>
          <w:bCs/>
          <w:sz w:val="22"/>
          <w:szCs w:val="22"/>
        </w:rPr>
        <w:t xml:space="preserve"> </w:t>
      </w:r>
      <w:r w:rsidR="00793C6A" w:rsidRPr="00884A73">
        <w:rPr>
          <w:rFonts w:ascii="Arial" w:eastAsia="Calibri" w:hAnsi="Arial" w:cs="Arial"/>
          <w:bCs/>
          <w:sz w:val="22"/>
          <w:szCs w:val="22"/>
        </w:rPr>
        <w:t>establece que la oferta más favorable</w:t>
      </w:r>
      <w:r w:rsidR="00FF5914" w:rsidRPr="00884A73">
        <w:rPr>
          <w:rFonts w:ascii="Arial" w:eastAsia="Calibri" w:hAnsi="Arial" w:cs="Arial"/>
          <w:bCs/>
          <w:sz w:val="22"/>
          <w:szCs w:val="22"/>
        </w:rPr>
        <w:t xml:space="preserve"> es aquella que</w:t>
      </w:r>
      <w:r w:rsidR="00C144E4" w:rsidRPr="00884A73">
        <w:rPr>
          <w:rFonts w:ascii="Arial" w:eastAsia="Calibri" w:hAnsi="Arial" w:cs="Arial"/>
          <w:bCs/>
          <w:sz w:val="22"/>
          <w:szCs w:val="22"/>
        </w:rPr>
        <w:t xml:space="preserve"> resulte ser la más ventajosa para la entidad, </w:t>
      </w:r>
      <w:r w:rsidR="00B50C5B" w:rsidRPr="00884A73">
        <w:rPr>
          <w:rFonts w:ascii="Arial" w:eastAsia="Calibri" w:hAnsi="Arial" w:cs="Arial"/>
          <w:bCs/>
          <w:sz w:val="22"/>
          <w:szCs w:val="22"/>
        </w:rPr>
        <w:t>una vez se realice</w:t>
      </w:r>
      <w:r w:rsidR="00C144E4" w:rsidRPr="00884A73">
        <w:rPr>
          <w:rFonts w:ascii="Arial" w:eastAsia="Calibri" w:hAnsi="Arial" w:cs="Arial"/>
          <w:bCs/>
          <w:sz w:val="22"/>
          <w:szCs w:val="22"/>
        </w:rPr>
        <w:t xml:space="preserve"> la ponderación</w:t>
      </w:r>
      <w:r w:rsidR="00FF5914" w:rsidRPr="00884A73">
        <w:rPr>
          <w:rFonts w:ascii="Arial" w:eastAsia="Calibri" w:hAnsi="Arial" w:cs="Arial"/>
          <w:bCs/>
          <w:sz w:val="22"/>
          <w:szCs w:val="22"/>
        </w:rPr>
        <w:t xml:space="preserve"> precisa y detallada </w:t>
      </w:r>
      <w:r w:rsidR="00C144E4" w:rsidRPr="00884A73">
        <w:rPr>
          <w:rFonts w:ascii="Arial" w:eastAsia="Calibri" w:hAnsi="Arial" w:cs="Arial"/>
          <w:bCs/>
          <w:sz w:val="22"/>
          <w:szCs w:val="22"/>
        </w:rPr>
        <w:t xml:space="preserve">de </w:t>
      </w:r>
      <w:r w:rsidR="00793C6A" w:rsidRPr="00884A73">
        <w:rPr>
          <w:rFonts w:ascii="Arial" w:hAnsi="Arial" w:cs="Arial"/>
          <w:sz w:val="22"/>
          <w:szCs w:val="22"/>
        </w:rPr>
        <w:t>los factores técnicos y económicos de escogencia</w:t>
      </w:r>
      <w:r w:rsidR="00FB47C3" w:rsidRPr="00884A73">
        <w:rPr>
          <w:rFonts w:ascii="Arial" w:hAnsi="Arial" w:cs="Arial"/>
          <w:sz w:val="22"/>
          <w:szCs w:val="22"/>
        </w:rPr>
        <w:t xml:space="preserve">, </w:t>
      </w:r>
      <w:r w:rsidR="00C144E4" w:rsidRPr="00884A73">
        <w:rPr>
          <w:rFonts w:ascii="Arial" w:hAnsi="Arial" w:cs="Arial"/>
          <w:sz w:val="22"/>
          <w:szCs w:val="22"/>
        </w:rPr>
        <w:t>de acuerdo con</w:t>
      </w:r>
      <w:r w:rsidR="000D6B6C" w:rsidRPr="00884A73">
        <w:rPr>
          <w:rFonts w:ascii="Arial" w:hAnsi="Arial" w:cs="Arial"/>
          <w:sz w:val="22"/>
          <w:szCs w:val="22"/>
        </w:rPr>
        <w:t xml:space="preserve"> los</w:t>
      </w:r>
      <w:r w:rsidR="00C144E4" w:rsidRPr="00884A73">
        <w:rPr>
          <w:rFonts w:ascii="Arial" w:hAnsi="Arial" w:cs="Arial"/>
          <w:sz w:val="22"/>
          <w:szCs w:val="22"/>
        </w:rPr>
        <w:t xml:space="preserve"> parámetros establecidos en los pliegos de condiciones o equivalentes</w:t>
      </w:r>
      <w:r w:rsidR="000D6B6C" w:rsidRPr="00884A73">
        <w:rPr>
          <w:rFonts w:ascii="Arial" w:hAnsi="Arial" w:cs="Arial"/>
          <w:sz w:val="22"/>
          <w:szCs w:val="22"/>
        </w:rPr>
        <w:t xml:space="preserve"> que permiten la comparación de </w:t>
      </w:r>
      <w:r w:rsidR="006A2E43" w:rsidRPr="00884A73">
        <w:rPr>
          <w:rFonts w:ascii="Arial" w:hAnsi="Arial" w:cs="Arial"/>
          <w:sz w:val="22"/>
          <w:szCs w:val="22"/>
        </w:rPr>
        <w:t xml:space="preserve">las </w:t>
      </w:r>
      <w:r w:rsidR="000D6B6C" w:rsidRPr="00884A73">
        <w:rPr>
          <w:rFonts w:ascii="Arial" w:hAnsi="Arial" w:cs="Arial"/>
          <w:sz w:val="22"/>
          <w:szCs w:val="22"/>
        </w:rPr>
        <w:t>ofertas.</w:t>
      </w:r>
      <w:r w:rsidR="00512BC0" w:rsidRPr="00884A73">
        <w:rPr>
          <w:rFonts w:ascii="Arial" w:hAnsi="Arial" w:cs="Arial"/>
          <w:sz w:val="22"/>
          <w:szCs w:val="22"/>
        </w:rPr>
        <w:t xml:space="preserve"> </w:t>
      </w:r>
      <w:r w:rsidR="00104210" w:rsidRPr="00884A73">
        <w:rPr>
          <w:rFonts w:ascii="Arial" w:hAnsi="Arial" w:cs="Arial"/>
          <w:sz w:val="22"/>
          <w:szCs w:val="22"/>
        </w:rPr>
        <w:t>Además, e</w:t>
      </w:r>
      <w:r w:rsidR="00512BC0" w:rsidRPr="00884A73">
        <w:rPr>
          <w:rFonts w:ascii="Arial" w:hAnsi="Arial" w:cs="Arial"/>
          <w:sz w:val="22"/>
          <w:szCs w:val="22"/>
        </w:rPr>
        <w:t>ste</w:t>
      </w:r>
      <w:r w:rsidR="004622A6" w:rsidRPr="00884A73">
        <w:rPr>
          <w:rFonts w:ascii="Arial" w:hAnsi="Arial" w:cs="Arial"/>
          <w:sz w:val="22"/>
          <w:szCs w:val="22"/>
        </w:rPr>
        <w:t xml:space="preserve"> numeral </w:t>
      </w:r>
      <w:r w:rsidR="00DE5716" w:rsidRPr="00884A73">
        <w:rPr>
          <w:rFonts w:ascii="Arial" w:hAnsi="Arial" w:cs="Arial"/>
          <w:sz w:val="22"/>
          <w:szCs w:val="22"/>
        </w:rPr>
        <w:t>se divide</w:t>
      </w:r>
      <w:r w:rsidR="004622A6" w:rsidRPr="00884A73">
        <w:rPr>
          <w:rFonts w:ascii="Arial" w:hAnsi="Arial" w:cs="Arial"/>
          <w:sz w:val="22"/>
          <w:szCs w:val="22"/>
        </w:rPr>
        <w:t xml:space="preserve"> en dos </w:t>
      </w:r>
      <w:r w:rsidR="00BE5487" w:rsidRPr="00884A73">
        <w:rPr>
          <w:rFonts w:ascii="Arial" w:hAnsi="Arial" w:cs="Arial"/>
          <w:sz w:val="22"/>
          <w:szCs w:val="22"/>
        </w:rPr>
        <w:t>literales, cada uno de los cuales</w:t>
      </w:r>
      <w:r w:rsidR="002113CF" w:rsidRPr="00884A73">
        <w:rPr>
          <w:rFonts w:ascii="Arial" w:hAnsi="Arial" w:cs="Arial"/>
          <w:sz w:val="22"/>
          <w:szCs w:val="22"/>
        </w:rPr>
        <w:t xml:space="preserve"> </w:t>
      </w:r>
      <w:r w:rsidR="00F246FF" w:rsidRPr="00884A73">
        <w:rPr>
          <w:rFonts w:ascii="Arial" w:hAnsi="Arial" w:cs="Arial"/>
          <w:sz w:val="22"/>
          <w:szCs w:val="22"/>
        </w:rPr>
        <w:t>hace referencia a los mecanismos por los que pueden optar las entidades para ponderar los</w:t>
      </w:r>
      <w:r w:rsidR="009512EA" w:rsidRPr="00884A73">
        <w:rPr>
          <w:rFonts w:ascii="Arial" w:hAnsi="Arial" w:cs="Arial"/>
          <w:sz w:val="22"/>
          <w:szCs w:val="22"/>
        </w:rPr>
        <w:t xml:space="preserve"> elementos de calidad y preci</w:t>
      </w:r>
      <w:r w:rsidR="00B32D71" w:rsidRPr="00884A73">
        <w:rPr>
          <w:rFonts w:ascii="Arial" w:hAnsi="Arial" w:cs="Arial"/>
          <w:sz w:val="22"/>
          <w:szCs w:val="22"/>
        </w:rPr>
        <w:t>o</w:t>
      </w:r>
      <w:r w:rsidR="00F246FF" w:rsidRPr="00884A73">
        <w:rPr>
          <w:rFonts w:ascii="Arial" w:hAnsi="Arial" w:cs="Arial"/>
          <w:sz w:val="22"/>
          <w:szCs w:val="22"/>
        </w:rPr>
        <w:t xml:space="preserve"> de las ofertas</w:t>
      </w:r>
      <w:r w:rsidR="00B32D71" w:rsidRPr="00884A73">
        <w:rPr>
          <w:rFonts w:ascii="Arial" w:hAnsi="Arial" w:cs="Arial"/>
          <w:sz w:val="22"/>
          <w:szCs w:val="22"/>
        </w:rPr>
        <w:t xml:space="preserve">. El literal a) </w:t>
      </w:r>
      <w:r w:rsidR="00DE5716" w:rsidRPr="00884A73">
        <w:rPr>
          <w:rFonts w:ascii="Arial" w:hAnsi="Arial" w:cs="Arial"/>
          <w:sz w:val="22"/>
          <w:szCs w:val="22"/>
        </w:rPr>
        <w:t>alude</w:t>
      </w:r>
      <w:r w:rsidR="00B32D71" w:rsidRPr="00884A73">
        <w:rPr>
          <w:rFonts w:ascii="Arial" w:hAnsi="Arial" w:cs="Arial"/>
          <w:sz w:val="22"/>
          <w:szCs w:val="22"/>
        </w:rPr>
        <w:t xml:space="preserve"> a la po</w:t>
      </w:r>
      <w:r w:rsidR="00C205EF" w:rsidRPr="00884A73">
        <w:rPr>
          <w:rFonts w:ascii="Arial" w:hAnsi="Arial" w:cs="Arial"/>
          <w:sz w:val="22"/>
          <w:szCs w:val="22"/>
        </w:rPr>
        <w:t>n</w:t>
      </w:r>
      <w:r w:rsidR="00B32D71" w:rsidRPr="00884A73">
        <w:rPr>
          <w:rFonts w:ascii="Arial" w:hAnsi="Arial" w:cs="Arial"/>
          <w:sz w:val="22"/>
          <w:szCs w:val="22"/>
        </w:rPr>
        <w:t>deración de lo</w:t>
      </w:r>
      <w:r w:rsidR="00C205EF" w:rsidRPr="00884A73">
        <w:rPr>
          <w:rFonts w:ascii="Arial" w:hAnsi="Arial" w:cs="Arial"/>
          <w:sz w:val="22"/>
          <w:szCs w:val="22"/>
        </w:rPr>
        <w:t xml:space="preserve">s referidos elementos mediante puntajes </w:t>
      </w:r>
      <w:r w:rsidR="00906166" w:rsidRPr="00884A73">
        <w:rPr>
          <w:rFonts w:ascii="Arial" w:hAnsi="Arial" w:cs="Arial"/>
          <w:sz w:val="22"/>
          <w:szCs w:val="22"/>
        </w:rPr>
        <w:t>o</w:t>
      </w:r>
      <w:r w:rsidR="00C205EF" w:rsidRPr="00884A73">
        <w:rPr>
          <w:rFonts w:ascii="Arial" w:hAnsi="Arial" w:cs="Arial"/>
          <w:sz w:val="22"/>
          <w:szCs w:val="22"/>
        </w:rPr>
        <w:t xml:space="preserve"> f</w:t>
      </w:r>
      <w:r w:rsidR="00DE5716" w:rsidRPr="00884A73">
        <w:rPr>
          <w:rFonts w:ascii="Arial" w:hAnsi="Arial" w:cs="Arial"/>
          <w:sz w:val="22"/>
          <w:szCs w:val="22"/>
        </w:rPr>
        <w:t>ó</w:t>
      </w:r>
      <w:r w:rsidR="00C205EF" w:rsidRPr="00884A73">
        <w:rPr>
          <w:rFonts w:ascii="Arial" w:hAnsi="Arial" w:cs="Arial"/>
          <w:sz w:val="22"/>
          <w:szCs w:val="22"/>
        </w:rPr>
        <w:t>rmulas</w:t>
      </w:r>
      <w:r w:rsidR="00DE5716" w:rsidRPr="00884A73">
        <w:rPr>
          <w:rFonts w:ascii="Arial" w:hAnsi="Arial" w:cs="Arial"/>
          <w:sz w:val="22"/>
          <w:szCs w:val="22"/>
        </w:rPr>
        <w:t>,</w:t>
      </w:r>
      <w:r w:rsidR="00C205EF" w:rsidRPr="00884A73">
        <w:rPr>
          <w:rFonts w:ascii="Arial" w:hAnsi="Arial" w:cs="Arial"/>
          <w:sz w:val="22"/>
          <w:szCs w:val="22"/>
        </w:rPr>
        <w:t xml:space="preserve"> </w:t>
      </w:r>
      <w:r w:rsidR="00F246FF" w:rsidRPr="00884A73">
        <w:rPr>
          <w:rFonts w:ascii="Arial" w:hAnsi="Arial" w:cs="Arial"/>
          <w:sz w:val="22"/>
          <w:szCs w:val="22"/>
        </w:rPr>
        <w:t>mientras que el literal</w:t>
      </w:r>
      <w:r w:rsidR="00C205EF" w:rsidRPr="00884A73">
        <w:rPr>
          <w:rFonts w:ascii="Arial" w:hAnsi="Arial" w:cs="Arial"/>
          <w:sz w:val="22"/>
          <w:szCs w:val="22"/>
        </w:rPr>
        <w:t xml:space="preserve"> b)</w:t>
      </w:r>
      <w:r w:rsidR="00F246FF" w:rsidRPr="00884A73">
        <w:rPr>
          <w:rFonts w:ascii="Arial" w:hAnsi="Arial" w:cs="Arial"/>
          <w:sz w:val="22"/>
          <w:szCs w:val="22"/>
        </w:rPr>
        <w:t xml:space="preserve"> se refie</w:t>
      </w:r>
      <w:r w:rsidR="00C403CD" w:rsidRPr="00884A73">
        <w:rPr>
          <w:rFonts w:ascii="Arial" w:hAnsi="Arial" w:cs="Arial"/>
          <w:sz w:val="22"/>
          <w:szCs w:val="22"/>
        </w:rPr>
        <w:t>re</w:t>
      </w:r>
      <w:r w:rsidR="00C205EF" w:rsidRPr="00884A73">
        <w:rPr>
          <w:rFonts w:ascii="Arial" w:hAnsi="Arial" w:cs="Arial"/>
          <w:sz w:val="22"/>
          <w:szCs w:val="22"/>
        </w:rPr>
        <w:t xml:space="preserve"> </w:t>
      </w:r>
      <w:r w:rsidR="0061512C" w:rsidRPr="00884A73">
        <w:rPr>
          <w:rFonts w:ascii="Arial" w:hAnsi="Arial" w:cs="Arial"/>
          <w:sz w:val="22"/>
          <w:szCs w:val="22"/>
        </w:rPr>
        <w:t xml:space="preserve">la elección de la oferta </w:t>
      </w:r>
      <w:r w:rsidR="006A0ADE" w:rsidRPr="00884A73">
        <w:rPr>
          <w:rFonts w:ascii="Arial" w:hAnsi="Arial" w:cs="Arial"/>
          <w:sz w:val="22"/>
          <w:szCs w:val="22"/>
        </w:rPr>
        <w:t>que represent</w:t>
      </w:r>
      <w:r w:rsidR="00C403CD" w:rsidRPr="00884A73">
        <w:rPr>
          <w:rFonts w:ascii="Arial" w:hAnsi="Arial" w:cs="Arial"/>
          <w:sz w:val="22"/>
          <w:szCs w:val="22"/>
        </w:rPr>
        <w:t>e</w:t>
      </w:r>
      <w:r w:rsidR="006A0ADE" w:rsidRPr="00884A73">
        <w:rPr>
          <w:rFonts w:ascii="Arial" w:hAnsi="Arial" w:cs="Arial"/>
          <w:sz w:val="22"/>
          <w:szCs w:val="22"/>
        </w:rPr>
        <w:t xml:space="preserve"> la mejor relación costo</w:t>
      </w:r>
      <w:r w:rsidR="000D241E" w:rsidRPr="00884A73">
        <w:rPr>
          <w:rFonts w:ascii="Arial" w:hAnsi="Arial" w:cs="Arial"/>
          <w:sz w:val="22"/>
          <w:szCs w:val="22"/>
        </w:rPr>
        <w:t>-</w:t>
      </w:r>
      <w:r w:rsidR="006A0ADE" w:rsidRPr="00884A73">
        <w:rPr>
          <w:rFonts w:ascii="Arial" w:hAnsi="Arial" w:cs="Arial"/>
          <w:sz w:val="22"/>
          <w:szCs w:val="22"/>
        </w:rPr>
        <w:t>benefici</w:t>
      </w:r>
      <w:r w:rsidR="00C403CD" w:rsidRPr="00884A73">
        <w:rPr>
          <w:rFonts w:ascii="Arial" w:hAnsi="Arial" w:cs="Arial"/>
          <w:sz w:val="22"/>
          <w:szCs w:val="22"/>
        </w:rPr>
        <w:t>o</w:t>
      </w:r>
      <w:r w:rsidR="00B86C04" w:rsidRPr="00884A73">
        <w:rPr>
          <w:rFonts w:ascii="Arial" w:hAnsi="Arial" w:cs="Arial"/>
          <w:sz w:val="22"/>
          <w:szCs w:val="22"/>
        </w:rPr>
        <w:t xml:space="preserve"> para la entidad</w:t>
      </w:r>
      <w:r w:rsidR="00280754" w:rsidRPr="00884A73">
        <w:rPr>
          <w:rFonts w:ascii="Arial" w:hAnsi="Arial" w:cs="Arial"/>
          <w:sz w:val="22"/>
          <w:szCs w:val="22"/>
        </w:rPr>
        <w:t xml:space="preserve">. </w:t>
      </w:r>
    </w:p>
    <w:p w14:paraId="00F9FBC5" w14:textId="4A2E6F83" w:rsidR="00E8617F" w:rsidRPr="00884A73" w:rsidRDefault="00DB1142" w:rsidP="00EB2ED0">
      <w:pPr>
        <w:tabs>
          <w:tab w:val="left" w:pos="0"/>
        </w:tabs>
        <w:spacing w:after="120" w:line="276" w:lineRule="auto"/>
        <w:jc w:val="both"/>
        <w:rPr>
          <w:rFonts w:ascii="Arial" w:hAnsi="Arial" w:cs="Arial"/>
          <w:sz w:val="22"/>
          <w:szCs w:val="22"/>
        </w:rPr>
      </w:pPr>
      <w:r w:rsidRPr="00884A73">
        <w:rPr>
          <w:rFonts w:ascii="Arial" w:hAnsi="Arial" w:cs="Arial"/>
          <w:sz w:val="22"/>
          <w:szCs w:val="22"/>
        </w:rPr>
        <w:tab/>
      </w:r>
      <w:r w:rsidR="002F6FF9" w:rsidRPr="00884A73">
        <w:rPr>
          <w:rFonts w:ascii="Arial" w:hAnsi="Arial" w:cs="Arial"/>
          <w:sz w:val="22"/>
          <w:szCs w:val="22"/>
        </w:rPr>
        <w:t xml:space="preserve">Por su parte, el </w:t>
      </w:r>
      <w:r w:rsidR="00104210" w:rsidRPr="00884A73">
        <w:rPr>
          <w:rFonts w:ascii="Arial" w:hAnsi="Arial" w:cs="Arial"/>
          <w:sz w:val="22"/>
          <w:szCs w:val="22"/>
        </w:rPr>
        <w:t>artículo 5-</w:t>
      </w:r>
      <w:r w:rsidR="002F6FF9" w:rsidRPr="00884A73">
        <w:rPr>
          <w:rFonts w:ascii="Arial" w:hAnsi="Arial" w:cs="Arial"/>
          <w:sz w:val="22"/>
          <w:szCs w:val="22"/>
        </w:rPr>
        <w:t>3 establece que en los procesos de selección</w:t>
      </w:r>
      <w:r w:rsidR="00133ED2" w:rsidRPr="00884A73">
        <w:rPr>
          <w:rFonts w:ascii="Arial" w:hAnsi="Arial" w:cs="Arial"/>
          <w:sz w:val="22"/>
          <w:szCs w:val="22"/>
        </w:rPr>
        <w:t xml:space="preserve"> de bienes y servicios de características técnicas uniformes y de común utilización</w:t>
      </w:r>
      <w:r w:rsidR="009767BE" w:rsidRPr="00884A73">
        <w:rPr>
          <w:rFonts w:ascii="Arial" w:hAnsi="Arial" w:cs="Arial"/>
          <w:sz w:val="22"/>
          <w:szCs w:val="22"/>
        </w:rPr>
        <w:t xml:space="preserve"> el único factor de evaluación</w:t>
      </w:r>
      <w:r w:rsidR="00245B9E" w:rsidRPr="00884A73">
        <w:rPr>
          <w:rFonts w:ascii="Arial" w:hAnsi="Arial" w:cs="Arial"/>
          <w:sz w:val="22"/>
          <w:szCs w:val="22"/>
        </w:rPr>
        <w:t xml:space="preserve"> </w:t>
      </w:r>
      <w:r w:rsidR="005C514F" w:rsidRPr="00884A73">
        <w:rPr>
          <w:rFonts w:ascii="Arial" w:hAnsi="Arial" w:cs="Arial"/>
          <w:sz w:val="22"/>
          <w:szCs w:val="22"/>
        </w:rPr>
        <w:t>consiste en</w:t>
      </w:r>
      <w:r w:rsidR="00245B9E" w:rsidRPr="00884A73">
        <w:rPr>
          <w:rFonts w:ascii="Arial" w:hAnsi="Arial" w:cs="Arial"/>
          <w:sz w:val="22"/>
          <w:szCs w:val="22"/>
        </w:rPr>
        <w:t xml:space="preserve"> el menor precio.</w:t>
      </w:r>
      <w:r w:rsidR="00C403CD" w:rsidRPr="00884A73">
        <w:rPr>
          <w:rFonts w:ascii="Arial" w:hAnsi="Arial" w:cs="Arial"/>
          <w:sz w:val="22"/>
          <w:szCs w:val="22"/>
        </w:rPr>
        <w:t xml:space="preserve"> Por último, el numeral </w:t>
      </w:r>
      <w:r w:rsidR="00604622" w:rsidRPr="00884A73">
        <w:rPr>
          <w:rFonts w:ascii="Arial" w:hAnsi="Arial" w:cs="Arial"/>
          <w:sz w:val="22"/>
          <w:szCs w:val="22"/>
        </w:rPr>
        <w:t>4</w:t>
      </w:r>
      <w:r w:rsidR="00601055" w:rsidRPr="00884A73">
        <w:rPr>
          <w:rFonts w:ascii="Arial" w:hAnsi="Arial" w:cs="Arial"/>
          <w:sz w:val="22"/>
          <w:szCs w:val="22"/>
        </w:rPr>
        <w:t>, referente a procedimientos para selección de consultores,</w:t>
      </w:r>
      <w:r w:rsidR="00CA424D" w:rsidRPr="00884A73">
        <w:rPr>
          <w:rFonts w:ascii="Arial" w:hAnsi="Arial" w:cs="Arial"/>
          <w:sz w:val="22"/>
          <w:szCs w:val="22"/>
        </w:rPr>
        <w:t xml:space="preserve"> </w:t>
      </w:r>
      <w:r w:rsidR="00966948" w:rsidRPr="00884A73">
        <w:rPr>
          <w:rFonts w:ascii="Arial" w:hAnsi="Arial" w:cs="Arial"/>
          <w:sz w:val="22"/>
          <w:szCs w:val="22"/>
        </w:rPr>
        <w:t>señala que debe hacer</w:t>
      </w:r>
      <w:r w:rsidR="00EC6044" w:rsidRPr="00884A73">
        <w:rPr>
          <w:rFonts w:ascii="Arial" w:hAnsi="Arial" w:cs="Arial"/>
          <w:sz w:val="22"/>
          <w:szCs w:val="22"/>
        </w:rPr>
        <w:t>se</w:t>
      </w:r>
      <w:r w:rsidR="00966948" w:rsidRPr="00884A73">
        <w:rPr>
          <w:rFonts w:ascii="Arial" w:hAnsi="Arial" w:cs="Arial"/>
          <w:sz w:val="22"/>
          <w:szCs w:val="22"/>
        </w:rPr>
        <w:t xml:space="preserve"> uso de factores </w:t>
      </w:r>
      <w:r w:rsidR="002B645D" w:rsidRPr="00884A73">
        <w:rPr>
          <w:rFonts w:ascii="Arial" w:hAnsi="Arial" w:cs="Arial"/>
          <w:sz w:val="22"/>
          <w:szCs w:val="22"/>
        </w:rPr>
        <w:t xml:space="preserve">de </w:t>
      </w:r>
      <w:r w:rsidR="00966948" w:rsidRPr="00884A73">
        <w:rPr>
          <w:rFonts w:ascii="Arial" w:hAnsi="Arial" w:cs="Arial"/>
          <w:sz w:val="22"/>
          <w:szCs w:val="22"/>
        </w:rPr>
        <w:t>calificación, para</w:t>
      </w:r>
      <w:r w:rsidR="00601055" w:rsidRPr="00884A73">
        <w:rPr>
          <w:rFonts w:ascii="Arial" w:hAnsi="Arial" w:cs="Arial"/>
          <w:sz w:val="22"/>
          <w:szCs w:val="22"/>
        </w:rPr>
        <w:t xml:space="preserve"> valorar los aspectos técnicos de la oferta</w:t>
      </w:r>
      <w:r w:rsidR="00EC6044" w:rsidRPr="00884A73">
        <w:rPr>
          <w:rFonts w:ascii="Arial" w:hAnsi="Arial" w:cs="Arial"/>
          <w:sz w:val="22"/>
          <w:szCs w:val="22"/>
        </w:rPr>
        <w:t xml:space="preserve">, permitiendo que entre ellos se </w:t>
      </w:r>
      <w:r w:rsidR="005C514F" w:rsidRPr="00884A73">
        <w:rPr>
          <w:rFonts w:ascii="Arial" w:hAnsi="Arial" w:cs="Arial"/>
          <w:sz w:val="22"/>
          <w:szCs w:val="22"/>
        </w:rPr>
        <w:t xml:space="preserve">pondere </w:t>
      </w:r>
      <w:r w:rsidR="00EC6044" w:rsidRPr="00884A73">
        <w:rPr>
          <w:rFonts w:ascii="Arial" w:hAnsi="Arial" w:cs="Arial"/>
          <w:sz w:val="22"/>
          <w:szCs w:val="22"/>
        </w:rPr>
        <w:t>la experiencia.</w:t>
      </w:r>
    </w:p>
    <w:p w14:paraId="36E6F7E3" w14:textId="0C50D4BE" w:rsidR="000F4141" w:rsidRPr="00884A73" w:rsidRDefault="008C3F27" w:rsidP="00EB2ED0">
      <w:pPr>
        <w:tabs>
          <w:tab w:val="left" w:pos="0"/>
        </w:tabs>
        <w:spacing w:line="276" w:lineRule="auto"/>
        <w:jc w:val="both"/>
        <w:rPr>
          <w:rFonts w:ascii="Arial" w:eastAsiaTheme="minorHAnsi" w:hAnsi="Arial" w:cs="Arial"/>
          <w:sz w:val="22"/>
          <w:szCs w:val="22"/>
          <w:lang w:eastAsia="en-US"/>
        </w:rPr>
      </w:pPr>
      <w:r w:rsidRPr="00884A73">
        <w:rPr>
          <w:rFonts w:ascii="Arial" w:hAnsi="Arial" w:cs="Arial"/>
          <w:sz w:val="22"/>
          <w:szCs w:val="22"/>
        </w:rPr>
        <w:tab/>
        <w:t>Conform</w:t>
      </w:r>
      <w:r w:rsidR="001D6F14" w:rsidRPr="00884A73">
        <w:rPr>
          <w:rFonts w:ascii="Arial" w:hAnsi="Arial" w:cs="Arial"/>
          <w:sz w:val="22"/>
          <w:szCs w:val="22"/>
        </w:rPr>
        <w:t>e a</w:t>
      </w:r>
      <w:r w:rsidRPr="00884A73">
        <w:rPr>
          <w:rFonts w:ascii="Arial" w:hAnsi="Arial" w:cs="Arial"/>
          <w:sz w:val="22"/>
          <w:szCs w:val="22"/>
        </w:rPr>
        <w:t xml:space="preserve"> lo anterior, el artículo 5 de la Ley 1150 de 2007 alude a diferentes conceptos como </w:t>
      </w:r>
      <w:r w:rsidR="001D3F00" w:rsidRPr="00884A73">
        <w:rPr>
          <w:rFonts w:ascii="Arial" w:hAnsi="Arial" w:cs="Arial"/>
          <w:sz w:val="22"/>
          <w:szCs w:val="22"/>
        </w:rPr>
        <w:t>factores de escogencia</w:t>
      </w:r>
      <w:r w:rsidR="00DB1142" w:rsidRPr="00884A73">
        <w:rPr>
          <w:rFonts w:ascii="Arial" w:hAnsi="Arial" w:cs="Arial"/>
          <w:sz w:val="22"/>
          <w:szCs w:val="22"/>
        </w:rPr>
        <w:t>,</w:t>
      </w:r>
      <w:r w:rsidR="00A622EA" w:rsidRPr="00884A73">
        <w:rPr>
          <w:rFonts w:ascii="Arial" w:hAnsi="Arial" w:cs="Arial"/>
          <w:sz w:val="22"/>
          <w:szCs w:val="22"/>
        </w:rPr>
        <w:t xml:space="preserve"> de</w:t>
      </w:r>
      <w:r w:rsidR="0048478C" w:rsidRPr="00884A73">
        <w:rPr>
          <w:rFonts w:ascii="Arial" w:hAnsi="Arial" w:cs="Arial"/>
          <w:sz w:val="22"/>
          <w:szCs w:val="22"/>
        </w:rPr>
        <w:t xml:space="preserve"> calificación</w:t>
      </w:r>
      <w:r w:rsidR="001D3F00" w:rsidRPr="00884A73">
        <w:rPr>
          <w:rFonts w:ascii="Arial" w:hAnsi="Arial" w:cs="Arial"/>
          <w:sz w:val="22"/>
          <w:szCs w:val="22"/>
        </w:rPr>
        <w:t>,</w:t>
      </w:r>
      <w:r w:rsidR="003F051D" w:rsidRPr="00884A73">
        <w:rPr>
          <w:rFonts w:ascii="Arial" w:hAnsi="Arial" w:cs="Arial"/>
          <w:sz w:val="22"/>
          <w:szCs w:val="22"/>
        </w:rPr>
        <w:t xml:space="preserve"> </w:t>
      </w:r>
      <w:r w:rsidR="0048478C" w:rsidRPr="00884A73">
        <w:rPr>
          <w:rFonts w:ascii="Arial" w:hAnsi="Arial" w:cs="Arial"/>
          <w:sz w:val="22"/>
          <w:szCs w:val="22"/>
        </w:rPr>
        <w:t>técnicos y económicos</w:t>
      </w:r>
      <w:r w:rsidR="00FD72E7" w:rsidRPr="00884A73">
        <w:rPr>
          <w:rFonts w:ascii="Arial" w:hAnsi="Arial" w:cs="Arial"/>
          <w:sz w:val="22"/>
          <w:szCs w:val="22"/>
        </w:rPr>
        <w:t xml:space="preserve"> de escogencia</w:t>
      </w:r>
      <w:r w:rsidR="00DB732A" w:rsidRPr="00884A73">
        <w:rPr>
          <w:rFonts w:ascii="Arial" w:hAnsi="Arial" w:cs="Arial"/>
          <w:sz w:val="22"/>
          <w:szCs w:val="22"/>
        </w:rPr>
        <w:t xml:space="preserve">, </w:t>
      </w:r>
      <w:r w:rsidR="00274522" w:rsidRPr="00884A73">
        <w:rPr>
          <w:rFonts w:ascii="Arial" w:hAnsi="Arial" w:cs="Arial"/>
          <w:sz w:val="22"/>
          <w:szCs w:val="22"/>
        </w:rPr>
        <w:t>de evaluación</w:t>
      </w:r>
      <w:r w:rsidR="00996851" w:rsidRPr="00884A73">
        <w:rPr>
          <w:rFonts w:ascii="Arial" w:hAnsi="Arial" w:cs="Arial"/>
          <w:sz w:val="22"/>
          <w:szCs w:val="22"/>
        </w:rPr>
        <w:t xml:space="preserve"> y calificación. </w:t>
      </w:r>
      <w:r w:rsidR="00906166" w:rsidRPr="00884A73">
        <w:rPr>
          <w:rFonts w:ascii="Arial" w:hAnsi="Arial" w:cs="Arial"/>
          <w:sz w:val="22"/>
          <w:szCs w:val="22"/>
        </w:rPr>
        <w:t>Además</w:t>
      </w:r>
      <w:r w:rsidR="00996851" w:rsidRPr="00884A73">
        <w:rPr>
          <w:rFonts w:ascii="Arial" w:hAnsi="Arial" w:cs="Arial"/>
          <w:sz w:val="22"/>
          <w:szCs w:val="22"/>
        </w:rPr>
        <w:t xml:space="preserve">, el </w:t>
      </w:r>
      <w:r w:rsidR="00B94017" w:rsidRPr="00884A73">
        <w:rPr>
          <w:rFonts w:ascii="Arial" w:hAnsi="Arial" w:cs="Arial"/>
          <w:sz w:val="22"/>
          <w:szCs w:val="22"/>
        </w:rPr>
        <w:t xml:space="preserve">artículo </w:t>
      </w:r>
      <w:r w:rsidR="00666D4B" w:rsidRPr="00884A73">
        <w:rPr>
          <w:rFonts w:ascii="Arial" w:hAnsi="Arial" w:cs="Arial"/>
          <w:sz w:val="22"/>
          <w:szCs w:val="22"/>
        </w:rPr>
        <w:t>alude a</w:t>
      </w:r>
      <w:r w:rsidR="00B94017" w:rsidRPr="00884A73">
        <w:rPr>
          <w:rFonts w:ascii="Arial" w:hAnsi="Arial" w:cs="Arial"/>
          <w:sz w:val="22"/>
          <w:szCs w:val="22"/>
        </w:rPr>
        <w:t xml:space="preserve"> unos factores que no otorgan puntaje </w:t>
      </w:r>
      <w:r w:rsidR="003945C3" w:rsidRPr="00884A73">
        <w:rPr>
          <w:rFonts w:ascii="Arial" w:hAnsi="Arial" w:cs="Arial"/>
          <w:sz w:val="22"/>
          <w:szCs w:val="22"/>
        </w:rPr>
        <w:t xml:space="preserve">y de </w:t>
      </w:r>
      <w:r w:rsidR="00666D4B" w:rsidRPr="00884A73">
        <w:rPr>
          <w:rFonts w:ascii="Arial" w:hAnsi="Arial" w:cs="Arial"/>
          <w:sz w:val="22"/>
          <w:szCs w:val="22"/>
        </w:rPr>
        <w:t>otros</w:t>
      </w:r>
      <w:r w:rsidR="003945C3" w:rsidRPr="00884A73">
        <w:rPr>
          <w:rFonts w:ascii="Arial" w:hAnsi="Arial" w:cs="Arial"/>
          <w:sz w:val="22"/>
          <w:szCs w:val="22"/>
        </w:rPr>
        <w:t xml:space="preserve"> que inciden en la comparación de </w:t>
      </w:r>
      <w:r w:rsidR="006A2E43" w:rsidRPr="00884A73">
        <w:rPr>
          <w:rFonts w:ascii="Arial" w:hAnsi="Arial" w:cs="Arial"/>
          <w:sz w:val="22"/>
          <w:szCs w:val="22"/>
        </w:rPr>
        <w:t xml:space="preserve">las </w:t>
      </w:r>
      <w:r w:rsidR="003945C3" w:rsidRPr="00884A73">
        <w:rPr>
          <w:rFonts w:ascii="Arial" w:hAnsi="Arial" w:cs="Arial"/>
          <w:sz w:val="22"/>
          <w:szCs w:val="22"/>
        </w:rPr>
        <w:t xml:space="preserve">ofertas. </w:t>
      </w:r>
      <w:r w:rsidR="00A622EA" w:rsidRPr="00884A73">
        <w:rPr>
          <w:rFonts w:ascii="Arial" w:hAnsi="Arial" w:cs="Arial"/>
          <w:sz w:val="22"/>
          <w:szCs w:val="22"/>
        </w:rPr>
        <w:t>En línea con esto</w:t>
      </w:r>
      <w:r w:rsidR="00581FDB" w:rsidRPr="00884A73">
        <w:rPr>
          <w:rFonts w:ascii="Arial" w:hAnsi="Arial" w:cs="Arial"/>
          <w:sz w:val="22"/>
          <w:szCs w:val="22"/>
        </w:rPr>
        <w:t xml:space="preserve"> último</w:t>
      </w:r>
      <w:r w:rsidR="00A622EA" w:rsidRPr="00884A73">
        <w:rPr>
          <w:rFonts w:ascii="Arial" w:hAnsi="Arial" w:cs="Arial"/>
          <w:sz w:val="22"/>
          <w:szCs w:val="22"/>
        </w:rPr>
        <w:t>,</w:t>
      </w:r>
      <w:r w:rsidR="000572DE" w:rsidRPr="00884A73">
        <w:rPr>
          <w:rFonts w:ascii="Arial" w:hAnsi="Arial" w:cs="Arial"/>
          <w:sz w:val="22"/>
          <w:szCs w:val="22"/>
        </w:rPr>
        <w:t xml:space="preserve"> la doctrina </w:t>
      </w:r>
      <w:r w:rsidR="00666D4B" w:rsidRPr="00884A73">
        <w:rPr>
          <w:rFonts w:ascii="Arial" w:hAnsi="Arial" w:cs="Arial"/>
          <w:sz w:val="22"/>
          <w:szCs w:val="22"/>
        </w:rPr>
        <w:t>define los</w:t>
      </w:r>
      <w:r w:rsidR="000F4141" w:rsidRPr="00884A73">
        <w:rPr>
          <w:rFonts w:ascii="Arial" w:hAnsi="Arial" w:cs="Arial"/>
          <w:sz w:val="22"/>
          <w:szCs w:val="22"/>
        </w:rPr>
        <w:t xml:space="preserve"> requisitos o factores ponderables</w:t>
      </w:r>
      <w:r w:rsidR="0024790F" w:rsidRPr="00884A73">
        <w:rPr>
          <w:rFonts w:ascii="Arial" w:hAnsi="Arial" w:cs="Arial"/>
          <w:sz w:val="22"/>
          <w:szCs w:val="22"/>
        </w:rPr>
        <w:t xml:space="preserve"> como </w:t>
      </w:r>
      <w:r w:rsidR="0024790F" w:rsidRPr="00884A73">
        <w:rPr>
          <w:rFonts w:ascii="Arial" w:hAnsi="Arial" w:cs="Arial"/>
          <w:sz w:val="22"/>
          <w:szCs w:val="22"/>
          <w:lang w:val="es-ES_tradnl"/>
        </w:rPr>
        <w:t>«[…]</w:t>
      </w:r>
      <w:r w:rsidR="0024790F" w:rsidRPr="00884A73">
        <w:rPr>
          <w:rFonts w:ascii="Arial" w:eastAsiaTheme="minorHAnsi" w:hAnsi="Arial" w:cs="Arial"/>
          <w:sz w:val="22"/>
          <w:szCs w:val="22"/>
          <w:lang w:eastAsia="en-US"/>
        </w:rPr>
        <w:t xml:space="preserve"> </w:t>
      </w:r>
      <w:r w:rsidR="0024790F" w:rsidRPr="00884A73">
        <w:rPr>
          <w:rFonts w:ascii="Arial" w:hAnsi="Arial" w:cs="Arial"/>
          <w:sz w:val="22"/>
          <w:szCs w:val="22"/>
        </w:rPr>
        <w:t xml:space="preserve">aquellas condiciones de la oferta y no de quien la presenta, que sí entrarán a ser evaluadas por la Administración y </w:t>
      </w:r>
      <w:r w:rsidR="00D86C90" w:rsidRPr="00884A73">
        <w:rPr>
          <w:rFonts w:ascii="Arial" w:hAnsi="Arial" w:cs="Arial"/>
          <w:sz w:val="22"/>
          <w:szCs w:val="22"/>
        </w:rPr>
        <w:t>que,</w:t>
      </w:r>
      <w:r w:rsidR="0024790F" w:rsidRPr="00884A73">
        <w:rPr>
          <w:rFonts w:ascii="Arial" w:hAnsi="Arial" w:cs="Arial"/>
          <w:sz w:val="22"/>
          <w:szCs w:val="22"/>
        </w:rPr>
        <w:t xml:space="preserve"> en consecuencia, darán lugar a la escogencia objetiva de la mejor </w:t>
      </w:r>
      <w:r w:rsidR="0024790F" w:rsidRPr="00884A73">
        <w:rPr>
          <w:rFonts w:ascii="Arial" w:hAnsi="Arial" w:cs="Arial"/>
          <w:sz w:val="22"/>
          <w:szCs w:val="22"/>
        </w:rPr>
        <w:lastRenderedPageBreak/>
        <w:t>propuesta para la entidad</w:t>
      </w:r>
      <w:r w:rsidR="0024790F" w:rsidRPr="00884A73">
        <w:rPr>
          <w:rFonts w:ascii="Arial" w:eastAsiaTheme="minorHAnsi" w:hAnsi="Arial" w:cs="Arial"/>
          <w:sz w:val="22"/>
          <w:szCs w:val="22"/>
          <w:lang w:eastAsia="en-US"/>
        </w:rPr>
        <w:t>»</w:t>
      </w:r>
      <w:r w:rsidR="000D2C93" w:rsidRPr="00884A73">
        <w:rPr>
          <w:rStyle w:val="Refdenotaalpie"/>
          <w:rFonts w:ascii="Arial" w:hAnsi="Arial" w:cs="Arial"/>
          <w:sz w:val="22"/>
          <w:szCs w:val="22"/>
        </w:rPr>
        <w:footnoteReference w:id="14"/>
      </w:r>
      <w:r w:rsidR="0024790F" w:rsidRPr="00884A73">
        <w:rPr>
          <w:rFonts w:ascii="Arial" w:eastAsiaTheme="minorHAnsi" w:hAnsi="Arial" w:cs="Arial"/>
          <w:sz w:val="22"/>
          <w:szCs w:val="22"/>
          <w:lang w:eastAsia="en-US"/>
        </w:rPr>
        <w:t>.</w:t>
      </w:r>
      <w:r w:rsidR="000374FB" w:rsidRPr="00884A73">
        <w:rPr>
          <w:rFonts w:ascii="Arial" w:eastAsiaTheme="minorHAnsi" w:hAnsi="Arial" w:cs="Arial"/>
          <w:sz w:val="22"/>
          <w:szCs w:val="22"/>
          <w:lang w:eastAsia="en-US"/>
        </w:rPr>
        <w:t xml:space="preserve"> Todas estas categorías designa</w:t>
      </w:r>
      <w:r w:rsidR="00420547" w:rsidRPr="00884A73">
        <w:rPr>
          <w:rFonts w:ascii="Arial" w:eastAsiaTheme="minorHAnsi" w:hAnsi="Arial" w:cs="Arial"/>
          <w:sz w:val="22"/>
          <w:szCs w:val="22"/>
          <w:lang w:eastAsia="en-US"/>
        </w:rPr>
        <w:t>n los</w:t>
      </w:r>
      <w:r w:rsidR="000374FB" w:rsidRPr="00884A73">
        <w:rPr>
          <w:rFonts w:ascii="Arial" w:eastAsiaTheme="minorHAnsi" w:hAnsi="Arial" w:cs="Arial"/>
          <w:sz w:val="22"/>
          <w:szCs w:val="22"/>
          <w:lang w:eastAsia="en-US"/>
        </w:rPr>
        <w:t xml:space="preserve"> </w:t>
      </w:r>
      <w:r w:rsidR="00371563" w:rsidRPr="00884A73">
        <w:rPr>
          <w:rFonts w:ascii="Arial" w:hAnsi="Arial" w:cs="Arial"/>
          <w:sz w:val="22"/>
          <w:szCs w:val="22"/>
          <w:lang w:val="es-ES_tradnl"/>
        </w:rPr>
        <w:t>«[…]</w:t>
      </w:r>
      <w:r w:rsidR="00371563" w:rsidRPr="00884A73">
        <w:rPr>
          <w:rFonts w:ascii="Arial" w:eastAsiaTheme="minorHAnsi" w:hAnsi="Arial" w:cs="Arial"/>
          <w:sz w:val="22"/>
          <w:szCs w:val="22"/>
          <w:lang w:eastAsia="en-US"/>
        </w:rPr>
        <w:t xml:space="preserve"> </w:t>
      </w:r>
      <w:r w:rsidR="000374FB" w:rsidRPr="00884A73">
        <w:rPr>
          <w:rFonts w:ascii="Arial" w:eastAsiaTheme="minorHAnsi" w:hAnsi="Arial" w:cs="Arial"/>
          <w:sz w:val="22"/>
          <w:szCs w:val="22"/>
          <w:lang w:eastAsia="en-US"/>
        </w:rPr>
        <w:t>factores a los cuales cabe otorgarles puntajes o que pueden ser ponderados, precisamente, pues estos son los factores que en últimas permiten una comparación de ofertas y una diferenciación entre ellas</w:t>
      </w:r>
      <w:r w:rsidR="00371563" w:rsidRPr="00884A73">
        <w:rPr>
          <w:rFonts w:ascii="Arial" w:eastAsiaTheme="minorHAnsi" w:hAnsi="Arial" w:cs="Arial"/>
          <w:sz w:val="22"/>
          <w:szCs w:val="22"/>
          <w:lang w:eastAsia="en-US"/>
        </w:rPr>
        <w:t>»</w:t>
      </w:r>
      <w:r w:rsidR="00987E4B" w:rsidRPr="00884A73">
        <w:rPr>
          <w:rStyle w:val="Refdenotaalpie"/>
          <w:rFonts w:ascii="Arial" w:eastAsiaTheme="minorHAnsi" w:hAnsi="Arial" w:cs="Arial"/>
          <w:sz w:val="22"/>
          <w:szCs w:val="22"/>
          <w:lang w:eastAsia="en-US"/>
        </w:rPr>
        <w:footnoteReference w:id="15"/>
      </w:r>
      <w:r w:rsidR="000374FB" w:rsidRPr="00884A73">
        <w:rPr>
          <w:rFonts w:ascii="Arial" w:eastAsiaTheme="minorHAnsi" w:hAnsi="Arial" w:cs="Arial"/>
          <w:sz w:val="22"/>
          <w:szCs w:val="22"/>
          <w:lang w:eastAsia="en-US"/>
        </w:rPr>
        <w:t>.</w:t>
      </w:r>
      <w:r w:rsidR="00E26950" w:rsidRPr="00884A73">
        <w:rPr>
          <w:rFonts w:ascii="Arial" w:eastAsiaTheme="minorHAnsi" w:hAnsi="Arial" w:cs="Arial"/>
          <w:sz w:val="22"/>
          <w:szCs w:val="22"/>
          <w:lang w:eastAsia="en-US"/>
        </w:rPr>
        <w:t xml:space="preserve"> Conforme </w:t>
      </w:r>
      <w:r w:rsidR="006A2E43" w:rsidRPr="00884A73">
        <w:rPr>
          <w:rFonts w:ascii="Arial" w:eastAsiaTheme="minorHAnsi" w:hAnsi="Arial" w:cs="Arial"/>
          <w:sz w:val="22"/>
          <w:szCs w:val="22"/>
          <w:lang w:eastAsia="en-US"/>
        </w:rPr>
        <w:t>con</w:t>
      </w:r>
      <w:r w:rsidR="00E26950" w:rsidRPr="00884A73">
        <w:rPr>
          <w:rFonts w:ascii="Arial" w:eastAsiaTheme="minorHAnsi" w:hAnsi="Arial" w:cs="Arial"/>
          <w:sz w:val="22"/>
          <w:szCs w:val="22"/>
          <w:lang w:eastAsia="en-US"/>
        </w:rPr>
        <w:t xml:space="preserve"> esto, </w:t>
      </w:r>
      <w:r w:rsidR="00096D15" w:rsidRPr="00884A73">
        <w:rPr>
          <w:rFonts w:ascii="Arial" w:eastAsiaTheme="minorHAnsi" w:hAnsi="Arial" w:cs="Arial"/>
          <w:sz w:val="22"/>
          <w:szCs w:val="22"/>
          <w:lang w:eastAsia="en-US"/>
        </w:rPr>
        <w:t>la doctrina explica que</w:t>
      </w:r>
      <w:r w:rsidR="00D30FEA" w:rsidRPr="00884A73">
        <w:rPr>
          <w:rFonts w:ascii="Arial" w:eastAsiaTheme="minorHAnsi" w:hAnsi="Arial" w:cs="Arial"/>
          <w:sz w:val="22"/>
          <w:szCs w:val="22"/>
          <w:lang w:eastAsia="en-US"/>
        </w:rPr>
        <w:t>:</w:t>
      </w:r>
    </w:p>
    <w:p w14:paraId="601D283A" w14:textId="77777777" w:rsidR="00705806" w:rsidRPr="00884A73" w:rsidRDefault="00705806" w:rsidP="00EB2ED0">
      <w:pPr>
        <w:tabs>
          <w:tab w:val="left" w:pos="0"/>
        </w:tabs>
        <w:ind w:left="709" w:right="709"/>
        <w:jc w:val="both"/>
        <w:rPr>
          <w:rFonts w:ascii="Arial" w:eastAsia="Calibri" w:hAnsi="Arial" w:cs="Arial"/>
          <w:bCs/>
          <w:sz w:val="21"/>
          <w:szCs w:val="21"/>
        </w:rPr>
      </w:pPr>
    </w:p>
    <w:p w14:paraId="050FBF7A" w14:textId="5A03D55D" w:rsidR="00E26950" w:rsidRPr="00884A73" w:rsidRDefault="00E26950" w:rsidP="00EB2ED0">
      <w:pPr>
        <w:tabs>
          <w:tab w:val="left" w:pos="0"/>
        </w:tabs>
        <w:spacing w:after="120"/>
        <w:ind w:left="709" w:right="709"/>
        <w:jc w:val="both"/>
        <w:rPr>
          <w:rFonts w:ascii="Arial" w:eastAsia="Calibri" w:hAnsi="Arial" w:cs="Arial"/>
          <w:bCs/>
          <w:sz w:val="21"/>
          <w:szCs w:val="21"/>
        </w:rPr>
      </w:pPr>
      <w:r w:rsidRPr="00884A73">
        <w:rPr>
          <w:rFonts w:ascii="Arial" w:eastAsia="Calibri" w:hAnsi="Arial" w:cs="Arial"/>
          <w:bCs/>
          <w:sz w:val="21"/>
          <w:szCs w:val="21"/>
        </w:rPr>
        <w:t xml:space="preserve">De acuerdo con ese entendimiento, el numeral 2 del artículo 5.° de la Ley  1150 de 2007, modificado por el artículo 88 de la Ley 1474 de 2011, comienza por señalar que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Es decir que los factores de ponderación o de evaluación son los que en realidad determinan la propuesta que mejor satisface las necesidades de la Administración y no simplemente cuál de los proponentes es el más idóneo en la ejecución del contrato, pues, se insiste, todo oferente que supere los requisitos mínimos habilitantes se entiende que es suficientemente idóneo para la ejecución del objeto contractual.  </w:t>
      </w:r>
    </w:p>
    <w:p w14:paraId="0B69612A" w14:textId="77777777" w:rsidR="00493870" w:rsidRPr="00884A73" w:rsidRDefault="00493870" w:rsidP="00EB2ED0">
      <w:pPr>
        <w:tabs>
          <w:tab w:val="left" w:pos="0"/>
        </w:tabs>
        <w:ind w:left="709" w:right="709"/>
        <w:jc w:val="both"/>
        <w:rPr>
          <w:rFonts w:ascii="Arial" w:eastAsia="Calibri" w:hAnsi="Arial" w:cs="Arial"/>
          <w:bCs/>
          <w:sz w:val="21"/>
          <w:szCs w:val="21"/>
        </w:rPr>
      </w:pPr>
      <w:r w:rsidRPr="00884A73">
        <w:rPr>
          <w:rFonts w:ascii="Arial" w:eastAsia="Calibri" w:hAnsi="Arial" w:cs="Arial"/>
          <w:bCs/>
          <w:sz w:val="21"/>
          <w:szCs w:val="21"/>
        </w:rPr>
        <w:t xml:space="preserve">De nuevo, aquí es preciso señalar que es el pliego de condiciones el que debe determinar cuáles son esos factores que en cada caso concreto permiten hacer una comparación entre las ofertas presentadas y, con base en ello, determinar cuál es la más favorable para la Administración Pública. </w:t>
      </w:r>
    </w:p>
    <w:p w14:paraId="64C14DDD" w14:textId="77777777" w:rsidR="00493870" w:rsidRPr="00884A73" w:rsidRDefault="00493870" w:rsidP="00EB2ED0">
      <w:pPr>
        <w:tabs>
          <w:tab w:val="left" w:pos="0"/>
        </w:tabs>
        <w:spacing w:after="120"/>
        <w:ind w:left="709" w:right="709"/>
        <w:jc w:val="both"/>
        <w:rPr>
          <w:rFonts w:ascii="Arial" w:eastAsia="Calibri" w:hAnsi="Arial" w:cs="Arial"/>
          <w:bCs/>
          <w:sz w:val="21"/>
          <w:szCs w:val="21"/>
        </w:rPr>
      </w:pPr>
      <w:r w:rsidRPr="00884A73">
        <w:rPr>
          <w:rFonts w:ascii="Arial" w:eastAsia="Calibri" w:hAnsi="Arial" w:cs="Arial"/>
          <w:bCs/>
          <w:sz w:val="21"/>
          <w:szCs w:val="21"/>
        </w:rPr>
        <w:t>[…]</w:t>
      </w:r>
    </w:p>
    <w:p w14:paraId="66D50DAB" w14:textId="65628AC6" w:rsidR="00493870" w:rsidRPr="00884A73" w:rsidRDefault="00493870" w:rsidP="00EB2ED0">
      <w:pPr>
        <w:tabs>
          <w:tab w:val="left" w:pos="0"/>
        </w:tabs>
        <w:ind w:left="709" w:right="709"/>
        <w:jc w:val="both"/>
        <w:rPr>
          <w:rFonts w:ascii="Arial" w:eastAsia="Calibri" w:hAnsi="Arial" w:cs="Arial"/>
          <w:bCs/>
          <w:sz w:val="21"/>
          <w:szCs w:val="21"/>
        </w:rPr>
      </w:pPr>
      <w:r w:rsidRPr="00884A73">
        <w:rPr>
          <w:rFonts w:ascii="Arial" w:eastAsia="Calibri" w:hAnsi="Arial" w:cs="Arial"/>
          <w:bCs/>
          <w:sz w:val="21"/>
          <w:szCs w:val="21"/>
        </w:rPr>
        <w:t>Una siguiente conclusión que se deriva de la norma parcialmente transcrita consiste en que los pliegos de condiciones deben determinar dos situaciones por separado: 1. cuáles serán los factores o requisitos que serán evaluados por la Administración y 2. cuáles son los criterios para asignar puntaje a cada uno de los factores de evaluación y, con base en ello, poder hacer la comparación entre las ofertas y concluir cuál de ellas es la más ventajosa para la entidad estatal</w:t>
      </w:r>
      <w:r w:rsidRPr="00884A73">
        <w:rPr>
          <w:rStyle w:val="Refdenotaalpie"/>
          <w:rFonts w:ascii="Arial" w:eastAsia="Calibri" w:hAnsi="Arial" w:cs="Arial"/>
          <w:bCs/>
          <w:sz w:val="21"/>
          <w:szCs w:val="21"/>
        </w:rPr>
        <w:footnoteReference w:id="16"/>
      </w:r>
      <w:r w:rsidRPr="00884A73">
        <w:rPr>
          <w:rFonts w:ascii="Arial" w:eastAsia="Calibri" w:hAnsi="Arial" w:cs="Arial"/>
          <w:bCs/>
          <w:sz w:val="21"/>
          <w:szCs w:val="21"/>
        </w:rPr>
        <w:t>.</w:t>
      </w:r>
    </w:p>
    <w:p w14:paraId="21F59504" w14:textId="77777777" w:rsidR="00493870" w:rsidRPr="00884A73" w:rsidRDefault="00493870" w:rsidP="00EB2ED0">
      <w:pPr>
        <w:tabs>
          <w:tab w:val="left" w:pos="0"/>
        </w:tabs>
        <w:ind w:left="709" w:right="709"/>
        <w:jc w:val="both"/>
        <w:rPr>
          <w:rFonts w:ascii="Arial" w:eastAsia="Calibri" w:hAnsi="Arial" w:cs="Arial"/>
          <w:bCs/>
          <w:sz w:val="21"/>
          <w:szCs w:val="21"/>
        </w:rPr>
      </w:pPr>
    </w:p>
    <w:p w14:paraId="28AA5F8D" w14:textId="54E3E4C7" w:rsidR="00C71304" w:rsidRPr="00884A73" w:rsidRDefault="00FB551D" w:rsidP="00EB2ED0">
      <w:pPr>
        <w:tabs>
          <w:tab w:val="left" w:pos="0"/>
        </w:tabs>
        <w:spacing w:after="120" w:line="276" w:lineRule="auto"/>
        <w:jc w:val="both"/>
        <w:rPr>
          <w:rFonts w:ascii="Arial" w:eastAsia="Calibri" w:hAnsi="Arial" w:cs="Arial"/>
          <w:bCs/>
          <w:sz w:val="22"/>
          <w:szCs w:val="22"/>
        </w:rPr>
      </w:pPr>
      <w:r w:rsidRPr="00884A73">
        <w:rPr>
          <w:rFonts w:ascii="Arial" w:eastAsia="Calibri" w:hAnsi="Arial" w:cs="Arial"/>
          <w:bCs/>
          <w:sz w:val="22"/>
          <w:szCs w:val="22"/>
        </w:rPr>
        <w:tab/>
        <w:t xml:space="preserve">De acuerdo </w:t>
      </w:r>
      <w:r w:rsidR="00FA4E49" w:rsidRPr="00884A73">
        <w:rPr>
          <w:rFonts w:ascii="Arial" w:eastAsia="Calibri" w:hAnsi="Arial" w:cs="Arial"/>
          <w:bCs/>
          <w:sz w:val="22"/>
          <w:szCs w:val="22"/>
        </w:rPr>
        <w:t>con</w:t>
      </w:r>
      <w:r w:rsidRPr="00884A73">
        <w:rPr>
          <w:rFonts w:ascii="Arial" w:eastAsia="Calibri" w:hAnsi="Arial" w:cs="Arial"/>
          <w:bCs/>
          <w:sz w:val="22"/>
          <w:szCs w:val="22"/>
        </w:rPr>
        <w:t xml:space="preserve"> lo anterior, es posible asimilar las</w:t>
      </w:r>
      <w:r w:rsidR="00D30041" w:rsidRPr="00884A73">
        <w:rPr>
          <w:rFonts w:ascii="Arial" w:eastAsia="Calibri" w:hAnsi="Arial" w:cs="Arial"/>
          <w:bCs/>
          <w:sz w:val="22"/>
          <w:szCs w:val="22"/>
        </w:rPr>
        <w:t xml:space="preserve"> diferentes categorí</w:t>
      </w:r>
      <w:r w:rsidR="00BC244D" w:rsidRPr="00884A73">
        <w:rPr>
          <w:rFonts w:ascii="Arial" w:eastAsia="Calibri" w:hAnsi="Arial" w:cs="Arial"/>
          <w:bCs/>
          <w:sz w:val="22"/>
          <w:szCs w:val="22"/>
        </w:rPr>
        <w:t xml:space="preserve">as a las que hace referencia el artículo 5 de la Ley 1150 de 2007, cuando alude a los factores que, a diferencia de los requisitos habilitantes, determinan la oferta más favorable para la entidad, y que por lo tanto debe </w:t>
      </w:r>
      <w:r w:rsidR="00E17ABB" w:rsidRPr="00884A73">
        <w:rPr>
          <w:rFonts w:ascii="Arial" w:eastAsia="Calibri" w:hAnsi="Arial" w:cs="Arial"/>
          <w:bCs/>
          <w:sz w:val="22"/>
          <w:szCs w:val="22"/>
        </w:rPr>
        <w:t xml:space="preserve">hacer </w:t>
      </w:r>
      <w:r w:rsidR="00983310" w:rsidRPr="00884A73">
        <w:rPr>
          <w:rFonts w:ascii="Arial" w:eastAsia="Calibri" w:hAnsi="Arial" w:cs="Arial"/>
          <w:bCs/>
          <w:sz w:val="22"/>
          <w:szCs w:val="22"/>
        </w:rPr>
        <w:t xml:space="preserve">adjudicatario </w:t>
      </w:r>
      <w:r w:rsidR="00E17ABB" w:rsidRPr="00884A73">
        <w:rPr>
          <w:rFonts w:ascii="Arial" w:eastAsia="Calibri" w:hAnsi="Arial" w:cs="Arial"/>
          <w:bCs/>
          <w:sz w:val="22"/>
          <w:szCs w:val="22"/>
        </w:rPr>
        <w:t>a quien la presentó</w:t>
      </w:r>
      <w:r w:rsidR="00AF6CBB" w:rsidRPr="00884A73">
        <w:rPr>
          <w:rFonts w:ascii="Arial" w:eastAsia="Calibri" w:hAnsi="Arial" w:cs="Arial"/>
          <w:bCs/>
          <w:sz w:val="22"/>
          <w:szCs w:val="22"/>
        </w:rPr>
        <w:t xml:space="preserve"> en debida forma</w:t>
      </w:r>
      <w:r w:rsidR="00E17ABB" w:rsidRPr="00884A73">
        <w:rPr>
          <w:rFonts w:ascii="Arial" w:eastAsia="Calibri" w:hAnsi="Arial" w:cs="Arial"/>
          <w:bCs/>
          <w:sz w:val="22"/>
          <w:szCs w:val="22"/>
        </w:rPr>
        <w:t>.</w:t>
      </w:r>
      <w:r w:rsidR="00183515" w:rsidRPr="00884A73">
        <w:rPr>
          <w:rFonts w:ascii="Arial" w:eastAsia="Calibri" w:hAnsi="Arial" w:cs="Arial"/>
          <w:bCs/>
          <w:sz w:val="22"/>
          <w:szCs w:val="22"/>
        </w:rPr>
        <w:t xml:space="preserve"> Es frente a estos factores que la entidad concibe </w:t>
      </w:r>
      <w:r w:rsidR="001275E8" w:rsidRPr="00884A73">
        <w:rPr>
          <w:rFonts w:ascii="Arial" w:eastAsia="Calibri" w:hAnsi="Arial" w:cs="Arial"/>
          <w:bCs/>
          <w:sz w:val="22"/>
          <w:szCs w:val="22"/>
        </w:rPr>
        <w:t>el otorgamiento de puntajes, como mecanismos para ponderar y comparar los ofrecimientos</w:t>
      </w:r>
      <w:r w:rsidR="00876BF7" w:rsidRPr="00884A73">
        <w:rPr>
          <w:rFonts w:ascii="Arial" w:eastAsia="Calibri" w:hAnsi="Arial" w:cs="Arial"/>
          <w:bCs/>
          <w:sz w:val="22"/>
          <w:szCs w:val="22"/>
        </w:rPr>
        <w:t>,</w:t>
      </w:r>
      <w:r w:rsidR="00493870" w:rsidRPr="00884A73">
        <w:rPr>
          <w:rFonts w:ascii="Arial" w:eastAsia="Calibri" w:hAnsi="Arial" w:cs="Arial"/>
          <w:bCs/>
          <w:sz w:val="22"/>
          <w:szCs w:val="22"/>
        </w:rPr>
        <w:t xml:space="preserve"> </w:t>
      </w:r>
      <w:r w:rsidR="00402ACD" w:rsidRPr="00884A73">
        <w:rPr>
          <w:rFonts w:ascii="Arial" w:eastAsia="Calibri" w:hAnsi="Arial" w:cs="Arial"/>
          <w:bCs/>
          <w:sz w:val="22"/>
          <w:szCs w:val="22"/>
        </w:rPr>
        <w:t>con el fin de determinar objetivamente</w:t>
      </w:r>
      <w:r w:rsidR="00876BF7" w:rsidRPr="00884A73">
        <w:rPr>
          <w:rFonts w:ascii="Arial" w:eastAsia="Calibri" w:hAnsi="Arial" w:cs="Arial"/>
          <w:bCs/>
          <w:sz w:val="22"/>
          <w:szCs w:val="22"/>
        </w:rPr>
        <w:t xml:space="preserve"> </w:t>
      </w:r>
      <w:r w:rsidR="00493870" w:rsidRPr="00884A73">
        <w:rPr>
          <w:rFonts w:ascii="Arial" w:eastAsia="Calibri" w:hAnsi="Arial" w:cs="Arial"/>
          <w:bCs/>
          <w:sz w:val="22"/>
          <w:szCs w:val="22"/>
        </w:rPr>
        <w:t xml:space="preserve">la oferta </w:t>
      </w:r>
      <w:r w:rsidR="00493870" w:rsidRPr="00884A73">
        <w:rPr>
          <w:rFonts w:ascii="Arial" w:eastAsia="Calibri" w:hAnsi="Arial" w:cs="Arial"/>
          <w:bCs/>
          <w:sz w:val="22"/>
          <w:szCs w:val="22"/>
        </w:rPr>
        <w:lastRenderedPageBreak/>
        <w:t xml:space="preserve">más favorable, aplicando para ello las reglas establecidas en el pliego </w:t>
      </w:r>
      <w:r w:rsidR="000F0CCE" w:rsidRPr="00884A73">
        <w:rPr>
          <w:rFonts w:ascii="Arial" w:eastAsia="Calibri" w:hAnsi="Arial" w:cs="Arial"/>
          <w:bCs/>
          <w:sz w:val="22"/>
          <w:szCs w:val="22"/>
        </w:rPr>
        <w:t>o documento equivalente</w:t>
      </w:r>
      <w:r w:rsidR="002B18E0" w:rsidRPr="00884A73">
        <w:rPr>
          <w:rFonts w:ascii="Arial" w:eastAsia="Calibri" w:hAnsi="Arial" w:cs="Arial"/>
          <w:bCs/>
          <w:sz w:val="22"/>
          <w:szCs w:val="22"/>
        </w:rPr>
        <w:t xml:space="preserve"> para la ponderación de las ofertas. </w:t>
      </w:r>
    </w:p>
    <w:p w14:paraId="75A9DF40" w14:textId="03325F84" w:rsidR="00B3529F" w:rsidRPr="00884A73" w:rsidRDefault="00C71304" w:rsidP="00EB2ED0">
      <w:pPr>
        <w:tabs>
          <w:tab w:val="left" w:pos="0"/>
        </w:tabs>
        <w:spacing w:after="120" w:line="276" w:lineRule="auto"/>
        <w:jc w:val="both"/>
        <w:rPr>
          <w:rFonts w:ascii="Arial" w:eastAsia="Calibri" w:hAnsi="Arial" w:cs="Arial"/>
          <w:bCs/>
          <w:sz w:val="22"/>
          <w:szCs w:val="22"/>
        </w:rPr>
      </w:pPr>
      <w:r w:rsidRPr="00884A73">
        <w:rPr>
          <w:rFonts w:ascii="Arial" w:eastAsia="Calibri" w:hAnsi="Arial" w:cs="Arial"/>
          <w:bCs/>
          <w:sz w:val="22"/>
          <w:szCs w:val="22"/>
        </w:rPr>
        <w:tab/>
      </w:r>
      <w:r w:rsidR="00642D9F" w:rsidRPr="00884A73">
        <w:rPr>
          <w:rFonts w:ascii="Arial" w:eastAsia="Calibri" w:hAnsi="Arial" w:cs="Arial"/>
          <w:bCs/>
          <w:sz w:val="22"/>
          <w:szCs w:val="22"/>
        </w:rPr>
        <w:t xml:space="preserve">En ese sentido, la asignación de puntaje es </w:t>
      </w:r>
      <w:r w:rsidR="00B94C02" w:rsidRPr="00884A73">
        <w:rPr>
          <w:rFonts w:ascii="Arial" w:eastAsia="Calibri" w:hAnsi="Arial" w:cs="Arial"/>
          <w:bCs/>
          <w:sz w:val="22"/>
          <w:szCs w:val="22"/>
        </w:rPr>
        <w:t xml:space="preserve">un </w:t>
      </w:r>
      <w:r w:rsidR="00642D9F" w:rsidRPr="00884A73">
        <w:rPr>
          <w:rFonts w:ascii="Arial" w:eastAsia="Calibri" w:hAnsi="Arial" w:cs="Arial"/>
          <w:bCs/>
          <w:sz w:val="22"/>
          <w:szCs w:val="22"/>
        </w:rPr>
        <w:t>mecanismo</w:t>
      </w:r>
      <w:r w:rsidR="00A13EEC" w:rsidRPr="00884A73">
        <w:rPr>
          <w:rFonts w:ascii="Arial" w:eastAsia="Calibri" w:hAnsi="Arial" w:cs="Arial"/>
          <w:bCs/>
          <w:sz w:val="22"/>
          <w:szCs w:val="22"/>
        </w:rPr>
        <w:t xml:space="preserve"> </w:t>
      </w:r>
      <w:r w:rsidR="00AF6CBB" w:rsidRPr="00884A73">
        <w:rPr>
          <w:rFonts w:ascii="Arial" w:eastAsia="Calibri" w:hAnsi="Arial" w:cs="Arial"/>
          <w:bCs/>
          <w:sz w:val="22"/>
          <w:szCs w:val="22"/>
        </w:rPr>
        <w:t xml:space="preserve">mediante </w:t>
      </w:r>
      <w:r w:rsidR="00A13EEC" w:rsidRPr="00884A73">
        <w:rPr>
          <w:rFonts w:ascii="Arial" w:eastAsia="Calibri" w:hAnsi="Arial" w:cs="Arial"/>
          <w:bCs/>
          <w:sz w:val="22"/>
          <w:szCs w:val="22"/>
        </w:rPr>
        <w:t xml:space="preserve">el cual </w:t>
      </w:r>
      <w:r w:rsidR="00B94C02" w:rsidRPr="00884A73">
        <w:rPr>
          <w:rFonts w:ascii="Arial" w:eastAsia="Calibri" w:hAnsi="Arial" w:cs="Arial"/>
          <w:bCs/>
          <w:sz w:val="22"/>
          <w:szCs w:val="22"/>
        </w:rPr>
        <w:t>las entidades</w:t>
      </w:r>
      <w:r w:rsidR="00A13EEC" w:rsidRPr="00884A73">
        <w:rPr>
          <w:rFonts w:ascii="Arial" w:eastAsia="Calibri" w:hAnsi="Arial" w:cs="Arial"/>
          <w:bCs/>
          <w:sz w:val="22"/>
          <w:szCs w:val="22"/>
        </w:rPr>
        <w:t xml:space="preserve"> pondera</w:t>
      </w:r>
      <w:r w:rsidR="000F0CCE" w:rsidRPr="00884A73">
        <w:rPr>
          <w:rFonts w:ascii="Arial" w:eastAsia="Calibri" w:hAnsi="Arial" w:cs="Arial"/>
          <w:bCs/>
          <w:sz w:val="22"/>
          <w:szCs w:val="22"/>
        </w:rPr>
        <w:t>n</w:t>
      </w:r>
      <w:r w:rsidR="00A13EEC" w:rsidRPr="00884A73">
        <w:rPr>
          <w:rFonts w:ascii="Arial" w:eastAsia="Calibri" w:hAnsi="Arial" w:cs="Arial"/>
          <w:bCs/>
          <w:sz w:val="22"/>
          <w:szCs w:val="22"/>
        </w:rPr>
        <w:t xml:space="preserve"> los factores de calificación</w:t>
      </w:r>
      <w:r w:rsidR="00B94C02" w:rsidRPr="00884A73">
        <w:rPr>
          <w:rFonts w:ascii="Arial" w:eastAsia="Calibri" w:hAnsi="Arial" w:cs="Arial"/>
          <w:bCs/>
          <w:sz w:val="22"/>
          <w:szCs w:val="22"/>
        </w:rPr>
        <w:t xml:space="preserve"> </w:t>
      </w:r>
      <w:r w:rsidR="00D37EAD" w:rsidRPr="00884A73">
        <w:rPr>
          <w:rFonts w:ascii="Arial" w:eastAsia="Calibri" w:hAnsi="Arial" w:cs="Arial"/>
          <w:bCs/>
          <w:sz w:val="22"/>
          <w:szCs w:val="22"/>
        </w:rPr>
        <w:t>ꟷ</w:t>
      </w:r>
      <w:r w:rsidR="00B94C02" w:rsidRPr="00884A73">
        <w:rPr>
          <w:rFonts w:ascii="Arial" w:eastAsia="Calibri" w:hAnsi="Arial" w:cs="Arial"/>
          <w:bCs/>
          <w:i/>
          <w:iCs/>
          <w:sz w:val="22"/>
          <w:szCs w:val="22"/>
        </w:rPr>
        <w:t>v</w:t>
      </w:r>
      <w:r w:rsidR="002D3E4A" w:rsidRPr="00884A73">
        <w:rPr>
          <w:rFonts w:ascii="Arial" w:eastAsia="Calibri" w:hAnsi="Arial" w:cs="Arial"/>
          <w:bCs/>
          <w:i/>
          <w:iCs/>
          <w:sz w:val="22"/>
          <w:szCs w:val="22"/>
        </w:rPr>
        <w:t>.g.</w:t>
      </w:r>
      <w:r w:rsidR="002D3E4A" w:rsidRPr="00884A73">
        <w:rPr>
          <w:rFonts w:ascii="Arial" w:eastAsia="Calibri" w:hAnsi="Arial" w:cs="Arial"/>
          <w:bCs/>
          <w:sz w:val="22"/>
          <w:szCs w:val="22"/>
        </w:rPr>
        <w:t xml:space="preserve"> t</w:t>
      </w:r>
      <w:r w:rsidR="00B94C02" w:rsidRPr="00884A73">
        <w:rPr>
          <w:rFonts w:ascii="Arial" w:eastAsia="Calibri" w:hAnsi="Arial" w:cs="Arial"/>
          <w:bCs/>
          <w:sz w:val="22"/>
          <w:szCs w:val="22"/>
        </w:rPr>
        <w:t>écnicos y económicos, de calidad y precio</w:t>
      </w:r>
      <w:r w:rsidR="00B94C02" w:rsidRPr="00884A73">
        <w:rPr>
          <w:rFonts w:ascii="Arial" w:eastAsia="Calibri" w:hAnsi="Arial" w:cs="Arial"/>
          <w:bCs/>
          <w:sz w:val="22"/>
          <w:szCs w:val="22"/>
        </w:rPr>
        <w:softHyphen/>
      </w:r>
      <w:r w:rsidR="00F540A3" w:rsidRPr="00884A73">
        <w:rPr>
          <w:rFonts w:ascii="Arial" w:eastAsia="Calibri" w:hAnsi="Arial" w:cs="Arial"/>
          <w:bCs/>
          <w:sz w:val="22"/>
          <w:szCs w:val="22"/>
        </w:rPr>
        <w:t xml:space="preserve">, </w:t>
      </w:r>
      <w:r w:rsidR="000F0CCE" w:rsidRPr="00884A73">
        <w:rPr>
          <w:rFonts w:ascii="Arial" w:eastAsia="Calibri" w:hAnsi="Arial" w:cs="Arial"/>
          <w:bCs/>
          <w:sz w:val="22"/>
          <w:szCs w:val="22"/>
        </w:rPr>
        <w:t>etc.</w:t>
      </w:r>
      <w:r w:rsidR="00D37EAD" w:rsidRPr="00884A73">
        <w:rPr>
          <w:rFonts w:ascii="Arial" w:eastAsia="Calibri" w:hAnsi="Arial" w:cs="Arial"/>
          <w:bCs/>
          <w:sz w:val="22"/>
          <w:szCs w:val="22"/>
        </w:rPr>
        <w:t xml:space="preserve">ꟷ </w:t>
      </w:r>
      <w:r w:rsidR="00A13EEC" w:rsidRPr="00884A73">
        <w:rPr>
          <w:rFonts w:ascii="Arial" w:eastAsia="Calibri" w:hAnsi="Arial" w:cs="Arial"/>
          <w:bCs/>
          <w:sz w:val="22"/>
          <w:szCs w:val="22"/>
        </w:rPr>
        <w:t>en un determinado proceso de selecci</w:t>
      </w:r>
      <w:r w:rsidR="002D3E4A" w:rsidRPr="00884A73">
        <w:rPr>
          <w:rFonts w:ascii="Arial" w:eastAsia="Calibri" w:hAnsi="Arial" w:cs="Arial"/>
          <w:bCs/>
          <w:sz w:val="22"/>
          <w:szCs w:val="22"/>
        </w:rPr>
        <w:t>ón</w:t>
      </w:r>
      <w:r w:rsidR="008005A1" w:rsidRPr="00884A73">
        <w:rPr>
          <w:rFonts w:ascii="Arial" w:eastAsia="Calibri" w:hAnsi="Arial" w:cs="Arial"/>
          <w:bCs/>
          <w:sz w:val="22"/>
          <w:szCs w:val="22"/>
        </w:rPr>
        <w:t>, como se desprende del</w:t>
      </w:r>
      <w:r w:rsidR="00687DAD" w:rsidRPr="00884A73">
        <w:rPr>
          <w:rFonts w:ascii="Arial" w:eastAsia="Calibri" w:hAnsi="Arial" w:cs="Arial"/>
          <w:bCs/>
          <w:sz w:val="22"/>
          <w:szCs w:val="22"/>
        </w:rPr>
        <w:t xml:space="preserve"> literal a) </w:t>
      </w:r>
      <w:r w:rsidR="00C73AC2" w:rsidRPr="00884A73">
        <w:rPr>
          <w:rFonts w:ascii="Arial" w:eastAsia="Calibri" w:hAnsi="Arial" w:cs="Arial"/>
          <w:bCs/>
          <w:sz w:val="22"/>
          <w:szCs w:val="22"/>
        </w:rPr>
        <w:t xml:space="preserve">del artículo </w:t>
      </w:r>
      <w:r w:rsidR="002E7B84" w:rsidRPr="00884A73">
        <w:rPr>
          <w:rFonts w:ascii="Arial" w:eastAsia="Calibri" w:hAnsi="Arial" w:cs="Arial"/>
          <w:bCs/>
          <w:sz w:val="22"/>
          <w:szCs w:val="22"/>
        </w:rPr>
        <w:t>5</w:t>
      </w:r>
      <w:r w:rsidR="00A235B1" w:rsidRPr="00884A73">
        <w:rPr>
          <w:rFonts w:ascii="Arial" w:eastAsia="Calibri" w:hAnsi="Arial" w:cs="Arial"/>
          <w:bCs/>
          <w:sz w:val="22"/>
          <w:szCs w:val="22"/>
        </w:rPr>
        <w:t>-2</w:t>
      </w:r>
      <w:r w:rsidR="00C73AC2" w:rsidRPr="00884A73">
        <w:rPr>
          <w:rFonts w:ascii="Arial" w:eastAsia="Calibri" w:hAnsi="Arial" w:cs="Arial"/>
          <w:bCs/>
          <w:sz w:val="22"/>
          <w:szCs w:val="22"/>
        </w:rPr>
        <w:t xml:space="preserve"> de la Ley 1150 de 200</w:t>
      </w:r>
      <w:r w:rsidR="00B147B3" w:rsidRPr="00884A73">
        <w:rPr>
          <w:rFonts w:ascii="Arial" w:eastAsia="Calibri" w:hAnsi="Arial" w:cs="Arial"/>
          <w:bCs/>
          <w:sz w:val="22"/>
          <w:szCs w:val="22"/>
        </w:rPr>
        <w:t xml:space="preserve">7, en el que expresamente se alude al puntaje. </w:t>
      </w:r>
      <w:r w:rsidR="00443259" w:rsidRPr="00884A73">
        <w:rPr>
          <w:rFonts w:ascii="Arial" w:eastAsia="Calibri" w:hAnsi="Arial" w:cs="Arial"/>
          <w:bCs/>
          <w:sz w:val="22"/>
          <w:szCs w:val="22"/>
        </w:rPr>
        <w:t>Sin embargo</w:t>
      </w:r>
      <w:r w:rsidR="00045D5B" w:rsidRPr="00884A73">
        <w:rPr>
          <w:rFonts w:ascii="Arial" w:eastAsia="Calibri" w:hAnsi="Arial" w:cs="Arial"/>
          <w:bCs/>
          <w:sz w:val="22"/>
          <w:szCs w:val="22"/>
        </w:rPr>
        <w:t>, no es este el único mecanismo de ponderación que tiene</w:t>
      </w:r>
      <w:r w:rsidR="00FD694E" w:rsidRPr="00884A73">
        <w:rPr>
          <w:rFonts w:ascii="Arial" w:eastAsia="Calibri" w:hAnsi="Arial" w:cs="Arial"/>
          <w:bCs/>
          <w:sz w:val="22"/>
          <w:szCs w:val="22"/>
        </w:rPr>
        <w:t>n</w:t>
      </w:r>
      <w:r w:rsidR="00045D5B" w:rsidRPr="00884A73">
        <w:rPr>
          <w:rFonts w:ascii="Arial" w:eastAsia="Calibri" w:hAnsi="Arial" w:cs="Arial"/>
          <w:bCs/>
          <w:sz w:val="22"/>
          <w:szCs w:val="22"/>
        </w:rPr>
        <w:t xml:space="preserve"> </w:t>
      </w:r>
      <w:r w:rsidR="00687DAD" w:rsidRPr="00884A73">
        <w:rPr>
          <w:rFonts w:ascii="Arial" w:eastAsia="Calibri" w:hAnsi="Arial" w:cs="Arial"/>
          <w:bCs/>
          <w:sz w:val="22"/>
          <w:szCs w:val="22"/>
        </w:rPr>
        <w:t xml:space="preserve">a </w:t>
      </w:r>
      <w:r w:rsidR="00045D5B" w:rsidRPr="00884A73">
        <w:rPr>
          <w:rFonts w:ascii="Arial" w:eastAsia="Calibri" w:hAnsi="Arial" w:cs="Arial"/>
          <w:bCs/>
          <w:sz w:val="22"/>
          <w:szCs w:val="22"/>
        </w:rPr>
        <w:t>su alcance las entidades estatales para determinar</w:t>
      </w:r>
      <w:r w:rsidR="00572959" w:rsidRPr="00884A73">
        <w:rPr>
          <w:rFonts w:ascii="Arial" w:eastAsia="Calibri" w:hAnsi="Arial" w:cs="Arial"/>
          <w:bCs/>
          <w:sz w:val="22"/>
          <w:szCs w:val="22"/>
        </w:rPr>
        <w:t xml:space="preserve"> el ofrecimiento más favorable, ya que el propio </w:t>
      </w:r>
      <w:r w:rsidR="00585E80" w:rsidRPr="00884A73">
        <w:rPr>
          <w:rFonts w:ascii="Arial" w:eastAsia="Calibri" w:hAnsi="Arial" w:cs="Arial"/>
          <w:bCs/>
          <w:sz w:val="22"/>
          <w:szCs w:val="22"/>
        </w:rPr>
        <w:t xml:space="preserve">literal </w:t>
      </w:r>
      <w:r w:rsidRPr="00884A73">
        <w:rPr>
          <w:rFonts w:ascii="Arial" w:eastAsia="Calibri" w:hAnsi="Arial" w:cs="Arial"/>
          <w:bCs/>
          <w:sz w:val="22"/>
          <w:szCs w:val="22"/>
        </w:rPr>
        <w:t>b</w:t>
      </w:r>
      <w:r w:rsidR="00585E80" w:rsidRPr="00884A73">
        <w:rPr>
          <w:rFonts w:ascii="Arial" w:eastAsia="Calibri" w:hAnsi="Arial" w:cs="Arial"/>
          <w:bCs/>
          <w:sz w:val="22"/>
          <w:szCs w:val="22"/>
        </w:rPr>
        <w:t>) del</w:t>
      </w:r>
      <w:r w:rsidR="00572959" w:rsidRPr="00884A73">
        <w:rPr>
          <w:rFonts w:ascii="Arial" w:eastAsia="Calibri" w:hAnsi="Arial" w:cs="Arial"/>
          <w:bCs/>
          <w:sz w:val="22"/>
          <w:szCs w:val="22"/>
        </w:rPr>
        <w:t xml:space="preserve"> artículo 5</w:t>
      </w:r>
      <w:r w:rsidR="00A235B1" w:rsidRPr="00884A73">
        <w:rPr>
          <w:rFonts w:ascii="Arial" w:eastAsia="Calibri" w:hAnsi="Arial" w:cs="Arial"/>
          <w:bCs/>
          <w:sz w:val="22"/>
          <w:szCs w:val="22"/>
        </w:rPr>
        <w:t>-</w:t>
      </w:r>
      <w:r w:rsidR="00FD694E" w:rsidRPr="00884A73">
        <w:rPr>
          <w:rFonts w:ascii="Arial" w:eastAsia="Calibri" w:hAnsi="Arial" w:cs="Arial"/>
          <w:bCs/>
          <w:sz w:val="22"/>
          <w:szCs w:val="22"/>
        </w:rPr>
        <w:t>2</w:t>
      </w:r>
      <w:r w:rsidR="00572959" w:rsidRPr="00884A73">
        <w:rPr>
          <w:rFonts w:ascii="Arial" w:eastAsia="Calibri" w:hAnsi="Arial" w:cs="Arial"/>
          <w:bCs/>
          <w:sz w:val="22"/>
          <w:szCs w:val="22"/>
        </w:rPr>
        <w:t xml:space="preserve"> </w:t>
      </w:r>
      <w:r w:rsidR="00585E80" w:rsidRPr="00884A73">
        <w:rPr>
          <w:rFonts w:ascii="Arial" w:eastAsia="Calibri" w:hAnsi="Arial" w:cs="Arial"/>
          <w:bCs/>
          <w:sz w:val="22"/>
          <w:szCs w:val="22"/>
        </w:rPr>
        <w:t xml:space="preserve">posibilita que </w:t>
      </w:r>
      <w:r w:rsidR="00412110" w:rsidRPr="00884A73">
        <w:rPr>
          <w:rFonts w:ascii="Arial" w:eastAsia="Calibri" w:hAnsi="Arial" w:cs="Arial"/>
          <w:bCs/>
          <w:sz w:val="22"/>
          <w:szCs w:val="22"/>
        </w:rPr>
        <w:t xml:space="preserve">el ofrecimiento más favorable se </w:t>
      </w:r>
      <w:r w:rsidR="00FD694E" w:rsidRPr="00884A73">
        <w:rPr>
          <w:rFonts w:ascii="Arial" w:eastAsia="Calibri" w:hAnsi="Arial" w:cs="Arial"/>
          <w:bCs/>
          <w:sz w:val="22"/>
          <w:szCs w:val="22"/>
        </w:rPr>
        <w:t xml:space="preserve">determine </w:t>
      </w:r>
      <w:r w:rsidR="00C4330B" w:rsidRPr="00884A73">
        <w:rPr>
          <w:rFonts w:ascii="Arial" w:eastAsia="Calibri" w:hAnsi="Arial" w:cs="Arial"/>
          <w:bCs/>
          <w:sz w:val="22"/>
          <w:szCs w:val="22"/>
        </w:rPr>
        <w:t>con</w:t>
      </w:r>
      <w:r w:rsidR="00412110" w:rsidRPr="00884A73">
        <w:rPr>
          <w:rFonts w:ascii="Arial" w:eastAsia="Calibri" w:hAnsi="Arial" w:cs="Arial"/>
          <w:bCs/>
          <w:sz w:val="22"/>
          <w:szCs w:val="22"/>
        </w:rPr>
        <w:t xml:space="preserve"> un</w:t>
      </w:r>
      <w:r w:rsidR="00FD694E" w:rsidRPr="00884A73">
        <w:rPr>
          <w:rFonts w:ascii="Arial" w:eastAsia="Calibri" w:hAnsi="Arial" w:cs="Arial"/>
          <w:bCs/>
          <w:sz w:val="22"/>
          <w:szCs w:val="22"/>
        </w:rPr>
        <w:t xml:space="preserve"> análisis</w:t>
      </w:r>
      <w:r w:rsidR="00412110" w:rsidRPr="00884A73">
        <w:rPr>
          <w:rFonts w:ascii="Arial" w:eastAsia="Calibri" w:hAnsi="Arial" w:cs="Arial"/>
          <w:bCs/>
          <w:sz w:val="22"/>
          <w:szCs w:val="22"/>
        </w:rPr>
        <w:t xml:space="preserve"> </w:t>
      </w:r>
      <w:r w:rsidR="00FD694E" w:rsidRPr="00884A73">
        <w:rPr>
          <w:rFonts w:ascii="Arial" w:eastAsia="Calibri" w:hAnsi="Arial" w:cs="Arial"/>
          <w:bCs/>
          <w:sz w:val="22"/>
          <w:szCs w:val="22"/>
        </w:rPr>
        <w:t xml:space="preserve">de la </w:t>
      </w:r>
      <w:r w:rsidR="00412110" w:rsidRPr="00884A73">
        <w:rPr>
          <w:rFonts w:ascii="Arial" w:eastAsia="Calibri" w:hAnsi="Arial" w:cs="Arial"/>
          <w:bCs/>
          <w:sz w:val="22"/>
          <w:szCs w:val="22"/>
        </w:rPr>
        <w:t xml:space="preserve">relación </w:t>
      </w:r>
      <w:r w:rsidR="001716D9" w:rsidRPr="00884A73">
        <w:rPr>
          <w:rFonts w:ascii="Arial" w:eastAsia="Calibri" w:hAnsi="Arial" w:cs="Arial"/>
          <w:bCs/>
          <w:sz w:val="22"/>
          <w:szCs w:val="22"/>
        </w:rPr>
        <w:t>costo</w:t>
      </w:r>
      <w:r w:rsidR="00FD694E" w:rsidRPr="00884A73">
        <w:rPr>
          <w:rFonts w:ascii="Arial" w:eastAsia="Calibri" w:hAnsi="Arial" w:cs="Arial"/>
          <w:bCs/>
          <w:sz w:val="22"/>
          <w:szCs w:val="22"/>
        </w:rPr>
        <w:t>-</w:t>
      </w:r>
      <w:r w:rsidR="001716D9" w:rsidRPr="00884A73">
        <w:rPr>
          <w:rFonts w:ascii="Arial" w:eastAsia="Calibri" w:hAnsi="Arial" w:cs="Arial"/>
          <w:bCs/>
          <w:sz w:val="22"/>
          <w:szCs w:val="22"/>
        </w:rPr>
        <w:t xml:space="preserve">beneficio, evento en </w:t>
      </w:r>
      <w:r w:rsidR="00AF6CBB" w:rsidRPr="00884A73">
        <w:rPr>
          <w:rFonts w:ascii="Arial" w:eastAsia="Calibri" w:hAnsi="Arial" w:cs="Arial"/>
          <w:bCs/>
          <w:sz w:val="22"/>
          <w:szCs w:val="22"/>
        </w:rPr>
        <w:t>e</w:t>
      </w:r>
      <w:r w:rsidR="001716D9" w:rsidRPr="00884A73">
        <w:rPr>
          <w:rFonts w:ascii="Arial" w:eastAsia="Calibri" w:hAnsi="Arial" w:cs="Arial"/>
          <w:bCs/>
          <w:sz w:val="22"/>
          <w:szCs w:val="22"/>
        </w:rPr>
        <w:t>l no ha</w:t>
      </w:r>
      <w:r w:rsidR="00AF6CBB" w:rsidRPr="00884A73">
        <w:rPr>
          <w:rFonts w:ascii="Arial" w:eastAsia="Calibri" w:hAnsi="Arial" w:cs="Arial"/>
          <w:bCs/>
          <w:sz w:val="22"/>
          <w:szCs w:val="22"/>
        </w:rPr>
        <w:t xml:space="preserve">bría </w:t>
      </w:r>
      <w:r w:rsidR="001716D9" w:rsidRPr="00884A73">
        <w:rPr>
          <w:rFonts w:ascii="Arial" w:eastAsia="Calibri" w:hAnsi="Arial" w:cs="Arial"/>
          <w:bCs/>
          <w:sz w:val="22"/>
          <w:szCs w:val="22"/>
        </w:rPr>
        <w:t>necesidad de acudir a sistemas de asignación de puntaje.</w:t>
      </w:r>
      <w:r w:rsidR="00687DAD" w:rsidRPr="00884A73">
        <w:rPr>
          <w:rFonts w:ascii="Arial" w:eastAsia="Calibri" w:hAnsi="Arial" w:cs="Arial"/>
          <w:bCs/>
          <w:sz w:val="22"/>
          <w:szCs w:val="22"/>
        </w:rPr>
        <w:t xml:space="preserve"> </w:t>
      </w:r>
      <w:r w:rsidR="00FD694E" w:rsidRPr="00884A73">
        <w:rPr>
          <w:rFonts w:ascii="Arial" w:eastAsia="Calibri" w:hAnsi="Arial" w:cs="Arial"/>
          <w:bCs/>
          <w:sz w:val="22"/>
          <w:szCs w:val="22"/>
        </w:rPr>
        <w:t xml:space="preserve">A estos se suman, los procesos de selección de bienes y servicios de características técnicas uniformes y de común utilización, así como los de mínima cuantía, en los que </w:t>
      </w:r>
      <w:r w:rsidR="00DA0C85" w:rsidRPr="00884A73">
        <w:rPr>
          <w:rFonts w:ascii="Arial" w:eastAsia="Calibri" w:hAnsi="Arial" w:cs="Arial"/>
          <w:bCs/>
          <w:sz w:val="22"/>
          <w:szCs w:val="22"/>
        </w:rPr>
        <w:t>–según los artículos 5</w:t>
      </w:r>
      <w:r w:rsidR="00DE66CB" w:rsidRPr="00884A73">
        <w:rPr>
          <w:rFonts w:ascii="Arial" w:eastAsia="Calibri" w:hAnsi="Arial" w:cs="Arial"/>
          <w:bCs/>
          <w:sz w:val="22"/>
          <w:szCs w:val="22"/>
        </w:rPr>
        <w:t>-</w:t>
      </w:r>
      <w:r w:rsidR="00DA0C85" w:rsidRPr="00884A73">
        <w:rPr>
          <w:rFonts w:ascii="Arial" w:eastAsia="Calibri" w:hAnsi="Arial" w:cs="Arial"/>
          <w:bCs/>
          <w:sz w:val="22"/>
          <w:szCs w:val="22"/>
        </w:rPr>
        <w:t>3 y 2</w:t>
      </w:r>
      <w:r w:rsidR="00DE66CB" w:rsidRPr="00884A73">
        <w:rPr>
          <w:rFonts w:ascii="Arial" w:eastAsia="Calibri" w:hAnsi="Arial" w:cs="Arial"/>
          <w:bCs/>
          <w:sz w:val="22"/>
          <w:szCs w:val="22"/>
        </w:rPr>
        <w:t>-</w:t>
      </w:r>
      <w:r w:rsidR="004F0BF2" w:rsidRPr="00884A73">
        <w:rPr>
          <w:rFonts w:ascii="Arial" w:eastAsia="Calibri" w:hAnsi="Arial" w:cs="Arial"/>
          <w:bCs/>
          <w:sz w:val="22"/>
          <w:szCs w:val="22"/>
        </w:rPr>
        <w:t>5</w:t>
      </w:r>
      <w:r w:rsidR="00DA0C85" w:rsidRPr="00884A73">
        <w:rPr>
          <w:rFonts w:ascii="Arial" w:eastAsia="Calibri" w:hAnsi="Arial" w:cs="Arial"/>
          <w:bCs/>
          <w:sz w:val="22"/>
          <w:szCs w:val="22"/>
        </w:rPr>
        <w:t xml:space="preserve"> de la Ley 1150 de 2007– </w:t>
      </w:r>
      <w:r w:rsidR="00FD694E" w:rsidRPr="00884A73">
        <w:rPr>
          <w:rFonts w:ascii="Arial" w:eastAsia="Calibri" w:hAnsi="Arial" w:cs="Arial"/>
          <w:bCs/>
          <w:sz w:val="22"/>
          <w:szCs w:val="22"/>
        </w:rPr>
        <w:t>el único factor de selección es el menor precio ofertado, por lo que no hay lugar a ponderación mediante puntajes.</w:t>
      </w:r>
    </w:p>
    <w:p w14:paraId="6DFCF23E" w14:textId="6E324C6D" w:rsidR="00BC71AD" w:rsidRPr="00884A73" w:rsidRDefault="00B3529F" w:rsidP="00EB2ED0">
      <w:pPr>
        <w:spacing w:after="120" w:line="276" w:lineRule="auto"/>
        <w:jc w:val="both"/>
        <w:rPr>
          <w:rFonts w:ascii="Arial" w:hAnsi="Arial" w:cs="Arial"/>
          <w:sz w:val="22"/>
          <w:szCs w:val="22"/>
          <w:lang w:eastAsia="es-CO"/>
        </w:rPr>
      </w:pPr>
      <w:r w:rsidRPr="00884A73">
        <w:rPr>
          <w:rFonts w:ascii="Arial" w:eastAsia="Calibri" w:hAnsi="Arial" w:cs="Arial"/>
          <w:bCs/>
          <w:sz w:val="22"/>
          <w:szCs w:val="22"/>
        </w:rPr>
        <w:tab/>
      </w:r>
      <w:r w:rsidR="00AF20DA" w:rsidRPr="00884A73">
        <w:rPr>
          <w:rFonts w:ascii="Arial" w:eastAsia="Calibri" w:hAnsi="Arial" w:cs="Arial"/>
          <w:bCs/>
          <w:sz w:val="22"/>
          <w:szCs w:val="22"/>
        </w:rPr>
        <w:t xml:space="preserve">Es necesario destacar, que las reglas para </w:t>
      </w:r>
      <w:r w:rsidR="00FD694E" w:rsidRPr="00884A73">
        <w:rPr>
          <w:rFonts w:ascii="Arial" w:eastAsia="Calibri" w:hAnsi="Arial" w:cs="Arial"/>
          <w:bCs/>
          <w:sz w:val="22"/>
          <w:szCs w:val="22"/>
        </w:rPr>
        <w:t>establecer</w:t>
      </w:r>
      <w:r w:rsidR="00AF20DA" w:rsidRPr="00884A73">
        <w:rPr>
          <w:rFonts w:ascii="Arial" w:eastAsia="Calibri" w:hAnsi="Arial" w:cs="Arial"/>
          <w:bCs/>
          <w:sz w:val="22"/>
          <w:szCs w:val="22"/>
        </w:rPr>
        <w:t xml:space="preserve"> </w:t>
      </w:r>
      <w:r w:rsidR="00161AAD" w:rsidRPr="00884A73">
        <w:rPr>
          <w:rFonts w:ascii="Arial" w:eastAsia="Calibri" w:hAnsi="Arial" w:cs="Arial"/>
          <w:bCs/>
          <w:sz w:val="22"/>
          <w:szCs w:val="22"/>
        </w:rPr>
        <w:t>la oferta más favorable conforme al artículo 5 de la Ley 1150 de 2007, se encuentra</w:t>
      </w:r>
      <w:r w:rsidR="00FD694E" w:rsidRPr="00884A73">
        <w:rPr>
          <w:rFonts w:ascii="Arial" w:eastAsia="Calibri" w:hAnsi="Arial" w:cs="Arial"/>
          <w:bCs/>
          <w:sz w:val="22"/>
          <w:szCs w:val="22"/>
        </w:rPr>
        <w:t>n</w:t>
      </w:r>
      <w:r w:rsidR="00161AAD" w:rsidRPr="00884A73">
        <w:rPr>
          <w:rFonts w:ascii="Arial" w:eastAsia="Calibri" w:hAnsi="Arial" w:cs="Arial"/>
          <w:bCs/>
          <w:sz w:val="22"/>
          <w:szCs w:val="22"/>
        </w:rPr>
        <w:t xml:space="preserve"> reglamentad</w:t>
      </w:r>
      <w:r w:rsidR="00FD694E" w:rsidRPr="00884A73">
        <w:rPr>
          <w:rFonts w:ascii="Arial" w:eastAsia="Calibri" w:hAnsi="Arial" w:cs="Arial"/>
          <w:bCs/>
          <w:sz w:val="22"/>
          <w:szCs w:val="22"/>
        </w:rPr>
        <w:t>a</w:t>
      </w:r>
      <w:r w:rsidR="00161AAD" w:rsidRPr="00884A73">
        <w:rPr>
          <w:rFonts w:ascii="Arial" w:eastAsia="Calibri" w:hAnsi="Arial" w:cs="Arial"/>
          <w:bCs/>
          <w:sz w:val="22"/>
          <w:szCs w:val="22"/>
        </w:rPr>
        <w:t xml:space="preserve">s en el artículo </w:t>
      </w:r>
      <w:r w:rsidR="00362668" w:rsidRPr="00884A73">
        <w:rPr>
          <w:rFonts w:ascii="Arial" w:eastAsia="Calibri" w:hAnsi="Arial" w:cs="Arial"/>
          <w:bCs/>
          <w:sz w:val="22"/>
          <w:szCs w:val="22"/>
        </w:rPr>
        <w:t xml:space="preserve">2.2.1.1.2.2.2 del Decreto 1082 de 2015. Este artículo </w:t>
      </w:r>
      <w:r w:rsidR="000E3965" w:rsidRPr="00884A73">
        <w:rPr>
          <w:rFonts w:ascii="Arial" w:eastAsia="Calibri" w:hAnsi="Arial" w:cs="Arial"/>
          <w:bCs/>
          <w:sz w:val="22"/>
          <w:szCs w:val="22"/>
        </w:rPr>
        <w:t>desarrolla</w:t>
      </w:r>
      <w:r w:rsidR="00A0109F" w:rsidRPr="00884A73">
        <w:rPr>
          <w:rFonts w:ascii="Arial" w:eastAsia="Calibri" w:hAnsi="Arial" w:cs="Arial"/>
          <w:bCs/>
          <w:sz w:val="22"/>
          <w:szCs w:val="22"/>
        </w:rPr>
        <w:t xml:space="preserve"> los </w:t>
      </w:r>
      <w:r w:rsidR="007B1D33" w:rsidRPr="00884A73">
        <w:rPr>
          <w:rFonts w:ascii="Arial" w:eastAsia="Calibri" w:hAnsi="Arial" w:cs="Arial"/>
          <w:bCs/>
          <w:sz w:val="22"/>
          <w:szCs w:val="22"/>
        </w:rPr>
        <w:t xml:space="preserve">mecanismos de ponderación </w:t>
      </w:r>
      <w:r w:rsidR="00A0109F" w:rsidRPr="00884A73">
        <w:rPr>
          <w:rFonts w:ascii="Arial" w:eastAsia="Calibri" w:hAnsi="Arial" w:cs="Arial"/>
          <w:bCs/>
          <w:sz w:val="22"/>
          <w:szCs w:val="22"/>
        </w:rPr>
        <w:t>previstos en</w:t>
      </w:r>
      <w:r w:rsidR="007B1D33" w:rsidRPr="00884A73">
        <w:rPr>
          <w:rFonts w:ascii="Arial" w:eastAsia="Calibri" w:hAnsi="Arial" w:cs="Arial"/>
          <w:bCs/>
          <w:sz w:val="22"/>
          <w:szCs w:val="22"/>
        </w:rPr>
        <w:t xml:space="preserve"> los literales a) y b) del artículo 5</w:t>
      </w:r>
      <w:r w:rsidR="007B1D33" w:rsidRPr="00884A73">
        <w:rPr>
          <w:rFonts w:ascii="Arial" w:eastAsia="Calibri" w:hAnsi="Arial" w:cs="Arial"/>
          <w:bCs/>
          <w:sz w:val="22"/>
          <w:szCs w:val="22"/>
        </w:rPr>
        <w:softHyphen/>
      </w:r>
      <w:r w:rsidR="00505AFB" w:rsidRPr="00884A73">
        <w:rPr>
          <w:rFonts w:ascii="Arial" w:eastAsia="Calibri" w:hAnsi="Arial" w:cs="Arial"/>
          <w:bCs/>
          <w:sz w:val="22"/>
          <w:szCs w:val="22"/>
        </w:rPr>
        <w:t>-</w:t>
      </w:r>
      <w:r w:rsidR="007B1D33" w:rsidRPr="00884A73">
        <w:rPr>
          <w:rFonts w:ascii="Arial" w:eastAsia="Calibri" w:hAnsi="Arial" w:cs="Arial"/>
          <w:bCs/>
          <w:sz w:val="22"/>
          <w:szCs w:val="22"/>
        </w:rPr>
        <w:t xml:space="preserve">2 de la Ley 1150 de 2007, </w:t>
      </w:r>
      <w:r w:rsidR="00A0109F" w:rsidRPr="00884A73">
        <w:rPr>
          <w:rFonts w:ascii="Arial" w:eastAsia="Calibri" w:hAnsi="Arial" w:cs="Arial"/>
          <w:bCs/>
          <w:sz w:val="22"/>
          <w:szCs w:val="22"/>
        </w:rPr>
        <w:t xml:space="preserve">disponiendo </w:t>
      </w:r>
      <w:r w:rsidR="007B1D33" w:rsidRPr="00884A73">
        <w:rPr>
          <w:rFonts w:ascii="Arial" w:eastAsia="Calibri" w:hAnsi="Arial" w:cs="Arial"/>
          <w:bCs/>
          <w:sz w:val="22"/>
          <w:szCs w:val="22"/>
        </w:rPr>
        <w:t xml:space="preserve">unas pautas para </w:t>
      </w:r>
      <w:r w:rsidR="00904782" w:rsidRPr="00884A73">
        <w:rPr>
          <w:rFonts w:ascii="Arial" w:eastAsia="Calibri" w:hAnsi="Arial" w:cs="Arial"/>
          <w:bCs/>
          <w:sz w:val="22"/>
          <w:szCs w:val="22"/>
        </w:rPr>
        <w:t>la p</w:t>
      </w:r>
      <w:r w:rsidR="00904782" w:rsidRPr="00884A73">
        <w:rPr>
          <w:rFonts w:ascii="Arial" w:hAnsi="Arial" w:cs="Arial"/>
          <w:sz w:val="22"/>
          <w:szCs w:val="22"/>
        </w:rPr>
        <w:t xml:space="preserve">onderación de los elementos de calidad y precio que representen la mejor relación de costo-beneficio. </w:t>
      </w:r>
      <w:r w:rsidR="004C0BF9" w:rsidRPr="00884A73">
        <w:rPr>
          <w:rFonts w:ascii="Arial" w:hAnsi="Arial" w:cs="Arial"/>
          <w:sz w:val="22"/>
          <w:szCs w:val="22"/>
        </w:rPr>
        <w:t xml:space="preserve">Conforme a </w:t>
      </w:r>
      <w:r w:rsidR="002D4F3D" w:rsidRPr="00884A73">
        <w:rPr>
          <w:rFonts w:ascii="Arial" w:hAnsi="Arial" w:cs="Arial"/>
          <w:sz w:val="22"/>
          <w:szCs w:val="22"/>
        </w:rPr>
        <w:t>este</w:t>
      </w:r>
      <w:r w:rsidR="004C0BF9" w:rsidRPr="00884A73">
        <w:rPr>
          <w:rFonts w:ascii="Arial" w:hAnsi="Arial" w:cs="Arial"/>
          <w:sz w:val="22"/>
          <w:szCs w:val="22"/>
        </w:rPr>
        <w:t xml:space="preserve"> artículo, la oferta más favorable en estos casos debe determinarse </w:t>
      </w:r>
      <w:r w:rsidR="006765DF" w:rsidRPr="00884A73">
        <w:rPr>
          <w:rFonts w:ascii="Arial" w:hAnsi="Arial" w:cs="Arial"/>
          <w:sz w:val="22"/>
          <w:szCs w:val="22"/>
        </w:rPr>
        <w:t>ponderando</w:t>
      </w:r>
      <w:r w:rsidR="001D50DB" w:rsidRPr="00884A73">
        <w:rPr>
          <w:rFonts w:ascii="Arial" w:hAnsi="Arial" w:cs="Arial"/>
          <w:sz w:val="22"/>
          <w:szCs w:val="22"/>
        </w:rPr>
        <w:t xml:space="preserve"> en las ofertas:</w:t>
      </w:r>
      <w:r w:rsidR="006765DF" w:rsidRPr="00884A73">
        <w:rPr>
          <w:rFonts w:ascii="Arial" w:hAnsi="Arial" w:cs="Arial"/>
          <w:sz w:val="22"/>
          <w:szCs w:val="22"/>
        </w:rPr>
        <w:t xml:space="preserve"> i) </w:t>
      </w:r>
      <w:r w:rsidR="001D50DB" w:rsidRPr="00884A73">
        <w:rPr>
          <w:rFonts w:ascii="Arial" w:hAnsi="Arial" w:cs="Arial"/>
          <w:sz w:val="22"/>
          <w:szCs w:val="22"/>
          <w:lang w:eastAsia="es-CO"/>
        </w:rPr>
        <w:t>l</w:t>
      </w:r>
      <w:r w:rsidR="006765DF" w:rsidRPr="00884A73">
        <w:rPr>
          <w:rFonts w:ascii="Arial" w:hAnsi="Arial" w:cs="Arial"/>
          <w:sz w:val="22"/>
          <w:szCs w:val="22"/>
          <w:lang w:eastAsia="es-CO"/>
        </w:rPr>
        <w:t>as condiciones técnicas y económicas mínimas</w:t>
      </w:r>
      <w:r w:rsidR="00B541E7" w:rsidRPr="00884A73">
        <w:rPr>
          <w:rFonts w:ascii="Arial" w:hAnsi="Arial" w:cs="Arial"/>
          <w:sz w:val="22"/>
          <w:szCs w:val="22"/>
          <w:lang w:eastAsia="es-CO"/>
        </w:rPr>
        <w:t>,</w:t>
      </w:r>
      <w:r w:rsidR="006765DF" w:rsidRPr="00884A73">
        <w:rPr>
          <w:rFonts w:ascii="Arial" w:hAnsi="Arial" w:cs="Arial"/>
          <w:sz w:val="22"/>
          <w:szCs w:val="22"/>
          <w:lang w:eastAsia="es-CO"/>
        </w:rPr>
        <w:t xml:space="preserve"> </w:t>
      </w:r>
      <w:proofErr w:type="spellStart"/>
      <w:r w:rsidR="006765DF" w:rsidRPr="00884A73">
        <w:rPr>
          <w:rFonts w:ascii="Arial" w:hAnsi="Arial" w:cs="Arial"/>
          <w:sz w:val="22"/>
          <w:szCs w:val="22"/>
          <w:lang w:eastAsia="es-CO"/>
        </w:rPr>
        <w:t>ii</w:t>
      </w:r>
      <w:proofErr w:type="spellEnd"/>
      <w:r w:rsidR="006765DF" w:rsidRPr="00884A73">
        <w:rPr>
          <w:rFonts w:ascii="Arial" w:hAnsi="Arial" w:cs="Arial"/>
          <w:sz w:val="22"/>
          <w:szCs w:val="22"/>
          <w:lang w:eastAsia="es-CO"/>
        </w:rPr>
        <w:t xml:space="preserve">) </w:t>
      </w:r>
      <w:r w:rsidR="001D50DB" w:rsidRPr="00884A73">
        <w:rPr>
          <w:rFonts w:ascii="Arial" w:hAnsi="Arial" w:cs="Arial"/>
          <w:sz w:val="22"/>
          <w:szCs w:val="22"/>
          <w:lang w:eastAsia="es-CO"/>
        </w:rPr>
        <w:t>l</w:t>
      </w:r>
      <w:r w:rsidR="006765DF" w:rsidRPr="00884A73">
        <w:rPr>
          <w:rFonts w:ascii="Arial" w:hAnsi="Arial" w:cs="Arial"/>
          <w:sz w:val="22"/>
          <w:szCs w:val="22"/>
          <w:lang w:eastAsia="es-CO"/>
        </w:rPr>
        <w:t>as condiciones técnicas adicionales que representan ventajas de calidad o de funcionamiento</w:t>
      </w:r>
      <w:r w:rsidR="00B541E7" w:rsidRPr="00884A73">
        <w:rPr>
          <w:rFonts w:ascii="Arial" w:hAnsi="Arial" w:cs="Arial"/>
          <w:sz w:val="22"/>
          <w:szCs w:val="22"/>
          <w:lang w:eastAsia="es-CO"/>
        </w:rPr>
        <w:t>,</w:t>
      </w:r>
      <w:r w:rsidR="001D50DB" w:rsidRPr="00884A73">
        <w:rPr>
          <w:rFonts w:ascii="Arial" w:hAnsi="Arial" w:cs="Arial"/>
          <w:sz w:val="22"/>
          <w:szCs w:val="22"/>
          <w:lang w:eastAsia="es-CO"/>
        </w:rPr>
        <w:t xml:space="preserve"> </w:t>
      </w:r>
      <w:proofErr w:type="spellStart"/>
      <w:r w:rsidR="001D50DB" w:rsidRPr="00884A73">
        <w:rPr>
          <w:rFonts w:ascii="Arial" w:hAnsi="Arial" w:cs="Arial"/>
          <w:sz w:val="22"/>
          <w:szCs w:val="22"/>
          <w:lang w:eastAsia="es-CO"/>
        </w:rPr>
        <w:t>iii</w:t>
      </w:r>
      <w:proofErr w:type="spellEnd"/>
      <w:r w:rsidR="001D50DB" w:rsidRPr="00884A73">
        <w:rPr>
          <w:rFonts w:ascii="Arial" w:hAnsi="Arial" w:cs="Arial"/>
          <w:sz w:val="22"/>
          <w:szCs w:val="22"/>
          <w:lang w:eastAsia="es-CO"/>
        </w:rPr>
        <w:t>) las condiciones económicas adicionales que representen ventajas en términos de economía, eficiencia y eficacia</w:t>
      </w:r>
      <w:r w:rsidR="00B541E7" w:rsidRPr="00884A73">
        <w:rPr>
          <w:rFonts w:ascii="Arial" w:hAnsi="Arial" w:cs="Arial"/>
          <w:sz w:val="22"/>
          <w:szCs w:val="22"/>
          <w:lang w:eastAsia="es-CO"/>
        </w:rPr>
        <w:t>,</w:t>
      </w:r>
      <w:r w:rsidR="00312E92" w:rsidRPr="00884A73">
        <w:rPr>
          <w:rFonts w:ascii="Arial" w:hAnsi="Arial" w:cs="Arial"/>
          <w:sz w:val="22"/>
          <w:szCs w:val="22"/>
          <w:lang w:eastAsia="es-CO"/>
        </w:rPr>
        <w:t xml:space="preserve"> y </w:t>
      </w:r>
      <w:proofErr w:type="spellStart"/>
      <w:r w:rsidR="00312E92" w:rsidRPr="00884A73">
        <w:rPr>
          <w:rFonts w:ascii="Arial" w:hAnsi="Arial" w:cs="Arial"/>
          <w:sz w:val="22"/>
          <w:szCs w:val="22"/>
          <w:lang w:eastAsia="es-CO"/>
        </w:rPr>
        <w:t>iv</w:t>
      </w:r>
      <w:proofErr w:type="spellEnd"/>
      <w:r w:rsidR="00312E92" w:rsidRPr="00884A73">
        <w:rPr>
          <w:rFonts w:ascii="Arial" w:hAnsi="Arial" w:cs="Arial"/>
          <w:sz w:val="22"/>
          <w:szCs w:val="22"/>
          <w:lang w:eastAsia="es-CO"/>
        </w:rPr>
        <w:t xml:space="preserve">) el valor en dinero que la </w:t>
      </w:r>
      <w:r w:rsidR="00FD694E" w:rsidRPr="00884A73">
        <w:rPr>
          <w:rFonts w:ascii="Arial" w:hAnsi="Arial" w:cs="Arial"/>
          <w:sz w:val="22"/>
          <w:szCs w:val="22"/>
          <w:lang w:eastAsia="es-CO"/>
        </w:rPr>
        <w:t>e</w:t>
      </w:r>
      <w:r w:rsidR="00312E92" w:rsidRPr="00884A73">
        <w:rPr>
          <w:rFonts w:ascii="Arial" w:hAnsi="Arial" w:cs="Arial"/>
          <w:sz w:val="22"/>
          <w:szCs w:val="22"/>
          <w:lang w:eastAsia="es-CO"/>
        </w:rPr>
        <w:t xml:space="preserve">ntidad </w:t>
      </w:r>
      <w:r w:rsidR="00FD694E" w:rsidRPr="00884A73">
        <w:rPr>
          <w:rFonts w:ascii="Arial" w:hAnsi="Arial" w:cs="Arial"/>
          <w:sz w:val="22"/>
          <w:szCs w:val="22"/>
          <w:lang w:eastAsia="es-CO"/>
        </w:rPr>
        <w:t>e</w:t>
      </w:r>
      <w:r w:rsidR="00312E92" w:rsidRPr="00884A73">
        <w:rPr>
          <w:rFonts w:ascii="Arial" w:hAnsi="Arial" w:cs="Arial"/>
          <w:sz w:val="22"/>
          <w:szCs w:val="22"/>
          <w:lang w:eastAsia="es-CO"/>
        </w:rPr>
        <w:t>statal asigna a cada ofrecimiento técnico o económico adicional</w:t>
      </w:r>
      <w:r w:rsidR="00BC71AD" w:rsidRPr="00884A73">
        <w:rPr>
          <w:rFonts w:ascii="Arial" w:hAnsi="Arial" w:cs="Arial"/>
          <w:sz w:val="22"/>
          <w:szCs w:val="22"/>
          <w:lang w:eastAsia="es-CO"/>
        </w:rPr>
        <w:t xml:space="preserve">. Teniendo en cuenta estos elementos, la entidad estatal debe calcular la relación costo-beneficio de cada oferta </w:t>
      </w:r>
      <w:r w:rsidR="00F84A9E" w:rsidRPr="00884A73">
        <w:rPr>
          <w:rFonts w:ascii="Arial" w:eastAsia="Calibri" w:hAnsi="Arial" w:cs="Arial"/>
          <w:bCs/>
          <w:sz w:val="22"/>
          <w:szCs w:val="22"/>
        </w:rPr>
        <w:t xml:space="preserve">«[…] </w:t>
      </w:r>
      <w:r w:rsidR="00BC71AD" w:rsidRPr="00884A73">
        <w:rPr>
          <w:rFonts w:ascii="Arial" w:hAnsi="Arial" w:cs="Arial"/>
          <w:sz w:val="22"/>
          <w:szCs w:val="22"/>
          <w:lang w:eastAsia="es-CO"/>
        </w:rPr>
        <w:t>restando del precio total ofrecido los valores monetarios asignados a cada una de las condiciones técnicas y económicas adicionales ofrecidas. La mejor relación costo-beneficio para la Entidad Estatal es la de la oferta que una vez aplicada la metodología anterior tenga el resultado más bajo</w:t>
      </w:r>
      <w:r w:rsidR="00F84A9E" w:rsidRPr="00884A73">
        <w:rPr>
          <w:rFonts w:ascii="Arial" w:eastAsia="Calibri" w:hAnsi="Arial" w:cs="Arial"/>
          <w:bCs/>
          <w:sz w:val="22"/>
          <w:szCs w:val="22"/>
        </w:rPr>
        <w:t xml:space="preserve"> </w:t>
      </w:r>
      <w:r w:rsidR="00F84A9E" w:rsidRPr="00884A73">
        <w:rPr>
          <w:rFonts w:ascii="Arial" w:hAnsi="Arial" w:cs="Arial"/>
          <w:sz w:val="22"/>
          <w:szCs w:val="22"/>
        </w:rPr>
        <w:t>[…]</w:t>
      </w:r>
      <w:r w:rsidR="00F84A9E" w:rsidRPr="00884A73">
        <w:rPr>
          <w:rFonts w:ascii="Arial" w:eastAsia="Calibri" w:hAnsi="Arial" w:cs="Arial"/>
          <w:bCs/>
          <w:sz w:val="22"/>
          <w:szCs w:val="22"/>
        </w:rPr>
        <w:t>»</w:t>
      </w:r>
      <w:r w:rsidR="000E3965" w:rsidRPr="00884A73">
        <w:rPr>
          <w:rStyle w:val="Refdenotaalpie"/>
          <w:rFonts w:ascii="Arial" w:hAnsi="Arial" w:cs="Arial"/>
          <w:sz w:val="22"/>
          <w:szCs w:val="22"/>
          <w:lang w:eastAsia="es-CO"/>
        </w:rPr>
        <w:footnoteReference w:id="17"/>
      </w:r>
      <w:r w:rsidR="00F84A9E" w:rsidRPr="00884A73">
        <w:rPr>
          <w:rFonts w:ascii="Arial" w:eastAsia="Calibri" w:hAnsi="Arial" w:cs="Arial"/>
          <w:bCs/>
          <w:sz w:val="22"/>
          <w:szCs w:val="22"/>
        </w:rPr>
        <w:t>.</w:t>
      </w:r>
    </w:p>
    <w:p w14:paraId="7650568A" w14:textId="0BE3DFAA" w:rsidR="002C0275" w:rsidRPr="00884A73" w:rsidRDefault="000F6420" w:rsidP="00EB2ED0">
      <w:pPr>
        <w:spacing w:after="120" w:line="276" w:lineRule="auto"/>
        <w:jc w:val="both"/>
        <w:rPr>
          <w:rFonts w:ascii="Arial" w:hAnsi="Arial" w:cs="Arial"/>
          <w:sz w:val="22"/>
          <w:szCs w:val="22"/>
          <w:lang w:eastAsia="es-CO"/>
        </w:rPr>
      </w:pPr>
      <w:r w:rsidRPr="00884A73">
        <w:rPr>
          <w:rFonts w:ascii="Arial" w:hAnsi="Arial" w:cs="Arial"/>
          <w:sz w:val="22"/>
          <w:szCs w:val="22"/>
          <w:lang w:eastAsia="es-CO"/>
        </w:rPr>
        <w:lastRenderedPageBreak/>
        <w:tab/>
      </w:r>
      <w:r w:rsidR="00FA44B1" w:rsidRPr="00884A73">
        <w:rPr>
          <w:rFonts w:ascii="Arial" w:hAnsi="Arial" w:cs="Arial"/>
          <w:sz w:val="22"/>
          <w:szCs w:val="22"/>
          <w:lang w:eastAsia="es-CO"/>
        </w:rPr>
        <w:t>Conforme a lo anterior, el deber de selección objetiva está ligado a la determinación de</w:t>
      </w:r>
      <w:r w:rsidR="002E02B7" w:rsidRPr="00884A73">
        <w:rPr>
          <w:rFonts w:ascii="Arial" w:hAnsi="Arial" w:cs="Arial"/>
          <w:sz w:val="22"/>
          <w:szCs w:val="22"/>
          <w:lang w:eastAsia="es-CO"/>
        </w:rPr>
        <w:t xml:space="preserve">l ofrecimiento más favorable, </w:t>
      </w:r>
      <w:r w:rsidR="009D0AF9" w:rsidRPr="00884A73">
        <w:rPr>
          <w:rFonts w:ascii="Arial" w:hAnsi="Arial" w:cs="Arial"/>
          <w:sz w:val="22"/>
          <w:szCs w:val="22"/>
          <w:lang w:eastAsia="es-CO"/>
        </w:rPr>
        <w:t>cuyo contenido debe ser precisado a partir de las diferentes alternativas</w:t>
      </w:r>
      <w:r w:rsidR="000323FA" w:rsidRPr="00884A73">
        <w:rPr>
          <w:rFonts w:ascii="Arial" w:hAnsi="Arial" w:cs="Arial"/>
          <w:sz w:val="22"/>
          <w:szCs w:val="22"/>
          <w:lang w:eastAsia="es-CO"/>
        </w:rPr>
        <w:t xml:space="preserve"> </w:t>
      </w:r>
      <w:r w:rsidR="001910D9" w:rsidRPr="00884A73">
        <w:rPr>
          <w:rFonts w:ascii="Arial" w:hAnsi="Arial" w:cs="Arial"/>
          <w:sz w:val="22"/>
          <w:szCs w:val="22"/>
          <w:lang w:eastAsia="es-CO"/>
        </w:rPr>
        <w:t>d</w:t>
      </w:r>
      <w:r w:rsidR="009D0AF9" w:rsidRPr="00884A73">
        <w:rPr>
          <w:rFonts w:ascii="Arial" w:hAnsi="Arial" w:cs="Arial"/>
          <w:sz w:val="22"/>
          <w:szCs w:val="22"/>
          <w:lang w:eastAsia="es-CO"/>
        </w:rPr>
        <w:t>el artículo 5 de la Ley 1150 de 2007</w:t>
      </w:r>
      <w:r w:rsidR="000323FA" w:rsidRPr="00884A73">
        <w:rPr>
          <w:rFonts w:ascii="Arial" w:hAnsi="Arial" w:cs="Arial"/>
          <w:sz w:val="22"/>
          <w:szCs w:val="22"/>
          <w:lang w:eastAsia="es-CO"/>
        </w:rPr>
        <w:t>, reglamenta</w:t>
      </w:r>
      <w:r w:rsidR="001910D9" w:rsidRPr="00884A73">
        <w:rPr>
          <w:rFonts w:ascii="Arial" w:hAnsi="Arial" w:cs="Arial"/>
          <w:sz w:val="22"/>
          <w:szCs w:val="22"/>
          <w:lang w:eastAsia="es-CO"/>
        </w:rPr>
        <w:t>do por</w:t>
      </w:r>
      <w:r w:rsidR="000323FA" w:rsidRPr="00884A73">
        <w:rPr>
          <w:rFonts w:ascii="Arial" w:hAnsi="Arial" w:cs="Arial"/>
          <w:sz w:val="22"/>
          <w:szCs w:val="22"/>
          <w:lang w:eastAsia="es-CO"/>
        </w:rPr>
        <w:t xml:space="preserve"> el artículo 2.2.1.1.2.2.2 del Decreto 1082 de 2015</w:t>
      </w:r>
      <w:r w:rsidR="00C7356F" w:rsidRPr="00884A73">
        <w:rPr>
          <w:rFonts w:ascii="Arial" w:hAnsi="Arial" w:cs="Arial"/>
          <w:sz w:val="22"/>
          <w:szCs w:val="22"/>
          <w:lang w:eastAsia="es-CO"/>
        </w:rPr>
        <w:t>, que en todo caso deben reflejarse en el pliego de condiciones</w:t>
      </w:r>
      <w:r w:rsidR="001910D9" w:rsidRPr="00884A73">
        <w:rPr>
          <w:rFonts w:ascii="Arial" w:hAnsi="Arial" w:cs="Arial"/>
          <w:sz w:val="22"/>
          <w:szCs w:val="22"/>
          <w:lang w:eastAsia="es-CO"/>
        </w:rPr>
        <w:t xml:space="preserve"> o documento equivalente</w:t>
      </w:r>
      <w:r w:rsidR="00C7356F" w:rsidRPr="00884A73">
        <w:rPr>
          <w:rFonts w:ascii="Arial" w:hAnsi="Arial" w:cs="Arial"/>
          <w:sz w:val="22"/>
          <w:szCs w:val="22"/>
          <w:lang w:eastAsia="es-CO"/>
        </w:rPr>
        <w:t xml:space="preserve"> para el respectivo proceso de selección.</w:t>
      </w:r>
      <w:r w:rsidR="00CB3C5E" w:rsidRPr="00884A73">
        <w:rPr>
          <w:rFonts w:ascii="Arial" w:hAnsi="Arial" w:cs="Arial"/>
          <w:sz w:val="22"/>
          <w:szCs w:val="22"/>
          <w:lang w:eastAsia="es-CO"/>
        </w:rPr>
        <w:t xml:space="preserve"> </w:t>
      </w:r>
      <w:r w:rsidR="00815E70" w:rsidRPr="00884A73">
        <w:rPr>
          <w:rFonts w:ascii="Arial" w:hAnsi="Arial" w:cs="Arial"/>
          <w:sz w:val="22"/>
          <w:szCs w:val="22"/>
          <w:lang w:eastAsia="es-CO"/>
        </w:rPr>
        <w:t xml:space="preserve">Estas </w:t>
      </w:r>
      <w:r w:rsidR="008D15D4" w:rsidRPr="00884A73">
        <w:rPr>
          <w:rFonts w:ascii="Arial" w:hAnsi="Arial" w:cs="Arial"/>
          <w:sz w:val="22"/>
          <w:szCs w:val="22"/>
          <w:lang w:eastAsia="es-CO"/>
        </w:rPr>
        <w:t>disposiciones establecen</w:t>
      </w:r>
      <w:r w:rsidR="00FD694E" w:rsidRPr="00884A73">
        <w:rPr>
          <w:rFonts w:ascii="Arial" w:hAnsi="Arial" w:cs="Arial"/>
          <w:sz w:val="22"/>
          <w:szCs w:val="22"/>
          <w:lang w:eastAsia="es-CO"/>
        </w:rPr>
        <w:t xml:space="preserve"> que en los</w:t>
      </w:r>
      <w:r w:rsidR="00CB3C5E" w:rsidRPr="00884A73">
        <w:rPr>
          <w:rFonts w:ascii="Arial" w:hAnsi="Arial" w:cs="Arial"/>
          <w:sz w:val="22"/>
          <w:szCs w:val="22"/>
          <w:lang w:eastAsia="es-CO"/>
        </w:rPr>
        <w:t xml:space="preserve"> procesos de selección deben </w:t>
      </w:r>
      <w:r w:rsidR="00075567" w:rsidRPr="00884A73">
        <w:rPr>
          <w:rFonts w:ascii="Arial" w:hAnsi="Arial" w:cs="Arial"/>
          <w:sz w:val="22"/>
          <w:szCs w:val="22"/>
          <w:lang w:eastAsia="es-CO"/>
        </w:rPr>
        <w:t>evaluarse, fuera de los requisitos habilitantes,</w:t>
      </w:r>
      <w:r w:rsidR="00CB3C5E" w:rsidRPr="00884A73">
        <w:rPr>
          <w:rFonts w:ascii="Arial" w:hAnsi="Arial" w:cs="Arial"/>
          <w:sz w:val="22"/>
          <w:szCs w:val="22"/>
          <w:lang w:eastAsia="es-CO"/>
        </w:rPr>
        <w:t xml:space="preserve"> </w:t>
      </w:r>
      <w:r w:rsidR="00900861" w:rsidRPr="00884A73">
        <w:rPr>
          <w:rFonts w:ascii="Arial" w:hAnsi="Arial" w:cs="Arial"/>
          <w:sz w:val="22"/>
          <w:szCs w:val="22"/>
          <w:lang w:eastAsia="es-CO"/>
        </w:rPr>
        <w:t>los</w:t>
      </w:r>
      <w:r w:rsidR="003419D7" w:rsidRPr="00884A73">
        <w:rPr>
          <w:rFonts w:ascii="Arial" w:hAnsi="Arial" w:cs="Arial"/>
          <w:sz w:val="22"/>
          <w:szCs w:val="22"/>
          <w:lang w:eastAsia="es-CO"/>
        </w:rPr>
        <w:t xml:space="preserve"> factores de calificación, valoración</w:t>
      </w:r>
      <w:r w:rsidR="00337357" w:rsidRPr="00884A73">
        <w:rPr>
          <w:rFonts w:ascii="Arial" w:hAnsi="Arial" w:cs="Arial"/>
          <w:sz w:val="22"/>
          <w:szCs w:val="22"/>
          <w:lang w:eastAsia="es-CO"/>
        </w:rPr>
        <w:t xml:space="preserve"> o</w:t>
      </w:r>
      <w:r w:rsidR="00075567" w:rsidRPr="00884A73">
        <w:rPr>
          <w:rFonts w:ascii="Arial" w:hAnsi="Arial" w:cs="Arial"/>
          <w:sz w:val="22"/>
          <w:szCs w:val="22"/>
          <w:lang w:eastAsia="es-CO"/>
        </w:rPr>
        <w:t xml:space="preserve"> evaluación</w:t>
      </w:r>
      <w:r w:rsidR="00A90546" w:rsidRPr="00884A73">
        <w:rPr>
          <w:rFonts w:ascii="Arial" w:hAnsi="Arial" w:cs="Arial"/>
          <w:sz w:val="22"/>
          <w:szCs w:val="22"/>
          <w:lang w:eastAsia="es-CO"/>
        </w:rPr>
        <w:t xml:space="preserve">. </w:t>
      </w:r>
      <w:r w:rsidR="008D15D4" w:rsidRPr="00884A73">
        <w:rPr>
          <w:rFonts w:ascii="Arial" w:hAnsi="Arial" w:cs="Arial"/>
          <w:sz w:val="22"/>
          <w:szCs w:val="22"/>
          <w:lang w:eastAsia="es-CO"/>
        </w:rPr>
        <w:t xml:space="preserve">Estos </w:t>
      </w:r>
      <w:r w:rsidR="00900861" w:rsidRPr="00884A73">
        <w:rPr>
          <w:rFonts w:ascii="Arial" w:hAnsi="Arial" w:cs="Arial"/>
          <w:sz w:val="22"/>
          <w:szCs w:val="22"/>
          <w:lang w:eastAsia="es-CO"/>
        </w:rPr>
        <w:t>pueden pondera</w:t>
      </w:r>
      <w:r w:rsidR="00B47428" w:rsidRPr="00884A73">
        <w:rPr>
          <w:rFonts w:ascii="Arial" w:hAnsi="Arial" w:cs="Arial"/>
          <w:sz w:val="22"/>
          <w:szCs w:val="22"/>
          <w:lang w:eastAsia="es-CO"/>
        </w:rPr>
        <w:t>r</w:t>
      </w:r>
      <w:r w:rsidR="00900861" w:rsidRPr="00884A73">
        <w:rPr>
          <w:rFonts w:ascii="Arial" w:hAnsi="Arial" w:cs="Arial"/>
          <w:sz w:val="22"/>
          <w:szCs w:val="22"/>
          <w:lang w:eastAsia="es-CO"/>
        </w:rPr>
        <w:t>s</w:t>
      </w:r>
      <w:r w:rsidR="00B47428" w:rsidRPr="00884A73">
        <w:rPr>
          <w:rFonts w:ascii="Arial" w:hAnsi="Arial" w:cs="Arial"/>
          <w:sz w:val="22"/>
          <w:szCs w:val="22"/>
          <w:lang w:eastAsia="es-CO"/>
        </w:rPr>
        <w:t>e</w:t>
      </w:r>
      <w:r w:rsidR="00900861" w:rsidRPr="00884A73">
        <w:rPr>
          <w:rFonts w:ascii="Arial" w:hAnsi="Arial" w:cs="Arial"/>
          <w:sz w:val="22"/>
          <w:szCs w:val="22"/>
          <w:lang w:eastAsia="es-CO"/>
        </w:rPr>
        <w:t xml:space="preserve"> </w:t>
      </w:r>
      <w:r w:rsidR="00476D6A" w:rsidRPr="00884A73">
        <w:rPr>
          <w:rFonts w:ascii="Arial" w:hAnsi="Arial" w:cs="Arial"/>
          <w:sz w:val="22"/>
          <w:szCs w:val="22"/>
          <w:lang w:eastAsia="es-CO"/>
        </w:rPr>
        <w:t xml:space="preserve">mediante la asignación de puntaje, por lo que la norma </w:t>
      </w:r>
      <w:r w:rsidR="00B47428" w:rsidRPr="00884A73">
        <w:rPr>
          <w:rFonts w:ascii="Arial" w:hAnsi="Arial" w:cs="Arial"/>
          <w:sz w:val="22"/>
          <w:szCs w:val="22"/>
          <w:lang w:eastAsia="es-CO"/>
        </w:rPr>
        <w:t>se refiere a</w:t>
      </w:r>
      <w:r w:rsidR="00476D6A" w:rsidRPr="00884A73">
        <w:rPr>
          <w:rFonts w:ascii="Arial" w:hAnsi="Arial" w:cs="Arial"/>
          <w:sz w:val="22"/>
          <w:szCs w:val="22"/>
          <w:lang w:eastAsia="es-CO"/>
        </w:rPr>
        <w:t xml:space="preserve"> factores que no otorgan puntaje</w:t>
      </w:r>
      <w:r w:rsidR="00CF1AE3" w:rsidRPr="00884A73">
        <w:rPr>
          <w:rFonts w:ascii="Arial" w:hAnsi="Arial" w:cs="Arial"/>
          <w:sz w:val="22"/>
          <w:szCs w:val="22"/>
          <w:lang w:eastAsia="es-CO"/>
        </w:rPr>
        <w:t xml:space="preserve"> para diferenciar los requisitos habilitantes de los mencionados factores de calificación</w:t>
      </w:r>
      <w:r w:rsidR="00A90546" w:rsidRPr="00884A73">
        <w:rPr>
          <w:rFonts w:ascii="Arial" w:hAnsi="Arial" w:cs="Arial"/>
          <w:sz w:val="22"/>
          <w:szCs w:val="22"/>
          <w:lang w:eastAsia="es-CO"/>
        </w:rPr>
        <w:t>. Lo anterior,</w:t>
      </w:r>
      <w:r w:rsidR="00CF1AE3" w:rsidRPr="00884A73">
        <w:rPr>
          <w:rFonts w:ascii="Arial" w:hAnsi="Arial" w:cs="Arial"/>
          <w:sz w:val="22"/>
          <w:szCs w:val="22"/>
          <w:lang w:eastAsia="es-CO"/>
        </w:rPr>
        <w:t xml:space="preserve"> </w:t>
      </w:r>
      <w:r w:rsidR="00130635" w:rsidRPr="00884A73">
        <w:rPr>
          <w:rFonts w:ascii="Arial" w:hAnsi="Arial" w:cs="Arial"/>
          <w:sz w:val="22"/>
          <w:szCs w:val="22"/>
          <w:lang w:eastAsia="es-CO"/>
        </w:rPr>
        <w:t xml:space="preserve">bajo el entendido que son estos últimos los que determinan la oferta más favorable para la entidad </w:t>
      </w:r>
      <w:r w:rsidR="00D74364" w:rsidRPr="00884A73">
        <w:rPr>
          <w:rFonts w:ascii="Arial" w:hAnsi="Arial" w:cs="Arial"/>
          <w:sz w:val="22"/>
          <w:szCs w:val="22"/>
          <w:lang w:eastAsia="es-CO"/>
        </w:rPr>
        <w:t xml:space="preserve">y </w:t>
      </w:r>
      <w:r w:rsidR="00601624" w:rsidRPr="00884A73">
        <w:rPr>
          <w:rFonts w:ascii="Arial" w:hAnsi="Arial" w:cs="Arial"/>
          <w:sz w:val="22"/>
          <w:szCs w:val="22"/>
          <w:lang w:eastAsia="es-CO"/>
        </w:rPr>
        <w:t xml:space="preserve">la </w:t>
      </w:r>
      <w:r w:rsidR="00D74364" w:rsidRPr="00884A73">
        <w:rPr>
          <w:rFonts w:ascii="Arial" w:hAnsi="Arial" w:cs="Arial"/>
          <w:sz w:val="22"/>
          <w:szCs w:val="22"/>
          <w:lang w:eastAsia="es-CO"/>
        </w:rPr>
        <w:t>que en consecuencia debe elegi</w:t>
      </w:r>
      <w:r w:rsidR="00B47428" w:rsidRPr="00884A73">
        <w:rPr>
          <w:rFonts w:ascii="Arial" w:hAnsi="Arial" w:cs="Arial"/>
          <w:sz w:val="22"/>
          <w:szCs w:val="22"/>
          <w:lang w:eastAsia="es-CO"/>
        </w:rPr>
        <w:t>rse</w:t>
      </w:r>
      <w:r w:rsidR="00D74364" w:rsidRPr="00884A73">
        <w:rPr>
          <w:rFonts w:ascii="Arial" w:hAnsi="Arial" w:cs="Arial"/>
          <w:sz w:val="22"/>
          <w:szCs w:val="22"/>
          <w:lang w:eastAsia="es-CO"/>
        </w:rPr>
        <w:t xml:space="preserve">. </w:t>
      </w:r>
    </w:p>
    <w:p w14:paraId="7E83BEFA" w14:textId="6413D1F9" w:rsidR="0060009C" w:rsidRPr="00884A73" w:rsidRDefault="00902CC9" w:rsidP="00EB2ED0">
      <w:pPr>
        <w:tabs>
          <w:tab w:val="left" w:pos="0"/>
        </w:tabs>
        <w:spacing w:after="120" w:line="276" w:lineRule="auto"/>
        <w:jc w:val="both"/>
        <w:rPr>
          <w:rFonts w:ascii="Arial" w:eastAsia="Calibri" w:hAnsi="Arial" w:cs="Arial"/>
          <w:bCs/>
          <w:sz w:val="22"/>
          <w:lang w:val="es-ES_tradnl"/>
        </w:rPr>
      </w:pPr>
      <w:r w:rsidRPr="00884A73">
        <w:rPr>
          <w:rFonts w:ascii="Arial" w:eastAsia="Calibri" w:hAnsi="Arial" w:cs="Arial"/>
          <w:b/>
          <w:sz w:val="22"/>
          <w:lang w:val="es-ES_tradnl"/>
        </w:rPr>
        <w:tab/>
      </w:r>
      <w:r w:rsidR="003467FE" w:rsidRPr="00884A73">
        <w:rPr>
          <w:rFonts w:ascii="Arial" w:eastAsia="Calibri" w:hAnsi="Arial" w:cs="Arial"/>
          <w:bCs/>
          <w:sz w:val="22"/>
          <w:lang w:val="es-ES_tradnl"/>
        </w:rPr>
        <w:t xml:space="preserve">Considerando </w:t>
      </w:r>
      <w:r w:rsidR="00B1189E" w:rsidRPr="00884A73">
        <w:rPr>
          <w:rFonts w:ascii="Arial" w:eastAsia="Calibri" w:hAnsi="Arial" w:cs="Arial"/>
          <w:bCs/>
          <w:sz w:val="22"/>
          <w:lang w:val="es-ES_tradnl"/>
        </w:rPr>
        <w:t>la explicación precedente</w:t>
      </w:r>
      <w:r w:rsidR="003467FE" w:rsidRPr="00884A73">
        <w:rPr>
          <w:rFonts w:ascii="Arial" w:eastAsia="Calibri" w:hAnsi="Arial" w:cs="Arial"/>
          <w:bCs/>
          <w:sz w:val="22"/>
          <w:lang w:val="es-ES_tradnl"/>
        </w:rPr>
        <w:t>,</w:t>
      </w:r>
      <w:r w:rsidR="00841275" w:rsidRPr="00884A73">
        <w:rPr>
          <w:rFonts w:ascii="Arial" w:eastAsia="Calibri" w:hAnsi="Arial" w:cs="Arial"/>
          <w:bCs/>
          <w:sz w:val="22"/>
          <w:lang w:val="es-ES_tradnl"/>
        </w:rPr>
        <w:t xml:space="preserve"> </w:t>
      </w:r>
      <w:r w:rsidR="00EF3CD4" w:rsidRPr="00884A73">
        <w:rPr>
          <w:rFonts w:ascii="Arial" w:eastAsia="Calibri" w:hAnsi="Arial" w:cs="Arial"/>
          <w:bCs/>
          <w:sz w:val="22"/>
          <w:lang w:val="es-ES_tradnl"/>
        </w:rPr>
        <w:t xml:space="preserve">asumir </w:t>
      </w:r>
      <w:r w:rsidR="00B1189E" w:rsidRPr="00884A73">
        <w:rPr>
          <w:rFonts w:ascii="Arial" w:eastAsia="Calibri" w:hAnsi="Arial" w:cs="Arial"/>
          <w:bCs/>
          <w:sz w:val="22"/>
          <w:lang w:val="es-ES_tradnl"/>
        </w:rPr>
        <w:t>que</w:t>
      </w:r>
      <w:r w:rsidR="00841275" w:rsidRPr="00884A73">
        <w:rPr>
          <w:rFonts w:ascii="Arial" w:eastAsia="Calibri" w:hAnsi="Arial" w:cs="Arial"/>
          <w:bCs/>
          <w:sz w:val="22"/>
          <w:lang w:val="es-ES_tradnl"/>
        </w:rPr>
        <w:t xml:space="preserve"> </w:t>
      </w:r>
      <w:r w:rsidR="000D2C83" w:rsidRPr="00884A73">
        <w:rPr>
          <w:rFonts w:ascii="Arial" w:eastAsia="Calibri" w:hAnsi="Arial" w:cs="Arial"/>
          <w:bCs/>
          <w:sz w:val="22"/>
          <w:lang w:val="es-ES_tradnl"/>
        </w:rPr>
        <w:t>los factores de desempate del artículo 35 de la Ley 2069 de 2020</w:t>
      </w:r>
      <w:r w:rsidR="00BB0156" w:rsidRPr="00884A73">
        <w:rPr>
          <w:rFonts w:ascii="Arial" w:eastAsia="Calibri" w:hAnsi="Arial" w:cs="Arial"/>
          <w:bCs/>
          <w:sz w:val="22"/>
          <w:lang w:val="es-ES_tradnl"/>
        </w:rPr>
        <w:t xml:space="preserve"> </w:t>
      </w:r>
      <w:r w:rsidR="00B1189E" w:rsidRPr="00884A73">
        <w:rPr>
          <w:rFonts w:ascii="Arial" w:eastAsia="Calibri" w:hAnsi="Arial" w:cs="Arial"/>
          <w:bCs/>
          <w:sz w:val="22"/>
          <w:lang w:val="es-ES_tradnl"/>
        </w:rPr>
        <w:t>únicamente</w:t>
      </w:r>
      <w:r w:rsidR="00BB0156" w:rsidRPr="00884A73">
        <w:rPr>
          <w:rFonts w:ascii="Arial" w:eastAsia="Calibri" w:hAnsi="Arial" w:cs="Arial"/>
          <w:bCs/>
          <w:sz w:val="22"/>
          <w:lang w:val="es-ES_tradnl"/>
        </w:rPr>
        <w:t xml:space="preserve"> son aplicables a </w:t>
      </w:r>
      <w:r w:rsidR="00D975DD" w:rsidRPr="00884A73">
        <w:rPr>
          <w:rFonts w:ascii="Arial" w:eastAsia="Calibri" w:hAnsi="Arial" w:cs="Arial"/>
          <w:bCs/>
          <w:sz w:val="22"/>
          <w:lang w:val="es-ES_tradnl"/>
        </w:rPr>
        <w:t xml:space="preserve">los </w:t>
      </w:r>
      <w:r w:rsidR="00BB0156" w:rsidRPr="00884A73">
        <w:rPr>
          <w:rFonts w:ascii="Arial" w:eastAsia="Calibri" w:hAnsi="Arial" w:cs="Arial"/>
          <w:bCs/>
          <w:sz w:val="22"/>
          <w:lang w:val="es-ES_tradnl"/>
        </w:rPr>
        <w:t>proc</w:t>
      </w:r>
      <w:r w:rsidR="00D975DD" w:rsidRPr="00884A73">
        <w:rPr>
          <w:rFonts w:ascii="Arial" w:eastAsia="Calibri" w:hAnsi="Arial" w:cs="Arial"/>
          <w:bCs/>
          <w:sz w:val="22"/>
          <w:lang w:val="es-ES_tradnl"/>
        </w:rPr>
        <w:t>esos de selección</w:t>
      </w:r>
      <w:r w:rsidR="00BB0156" w:rsidRPr="00884A73">
        <w:rPr>
          <w:rFonts w:ascii="Arial" w:eastAsia="Calibri" w:hAnsi="Arial" w:cs="Arial"/>
          <w:bCs/>
          <w:sz w:val="22"/>
          <w:lang w:val="es-ES_tradnl"/>
        </w:rPr>
        <w:t xml:space="preserve"> en los que se empleen sistemas de asignación de puntaje para determinar </w:t>
      </w:r>
      <w:r w:rsidR="00EF3CD4" w:rsidRPr="00884A73">
        <w:rPr>
          <w:rFonts w:ascii="Arial" w:eastAsia="Calibri" w:hAnsi="Arial" w:cs="Arial"/>
          <w:bCs/>
          <w:sz w:val="22"/>
          <w:lang w:val="es-ES_tradnl"/>
        </w:rPr>
        <w:t>la oferta más favorable</w:t>
      </w:r>
      <w:r w:rsidR="00482157" w:rsidRPr="00884A73">
        <w:rPr>
          <w:rFonts w:ascii="Arial" w:eastAsia="Calibri" w:hAnsi="Arial" w:cs="Arial"/>
          <w:bCs/>
          <w:sz w:val="22"/>
          <w:lang w:val="es-ES_tradnl"/>
        </w:rPr>
        <w:t>, conduciría a entender que</w:t>
      </w:r>
      <w:r w:rsidR="00BC2BC5" w:rsidRPr="00884A73">
        <w:rPr>
          <w:rFonts w:ascii="Arial" w:eastAsia="Calibri" w:hAnsi="Arial" w:cs="Arial"/>
          <w:bCs/>
          <w:sz w:val="22"/>
          <w:lang w:val="es-ES_tradnl"/>
        </w:rPr>
        <w:t xml:space="preserve"> estos no </w:t>
      </w:r>
      <w:r w:rsidR="00F311A1" w:rsidRPr="00884A73">
        <w:rPr>
          <w:rFonts w:ascii="Arial" w:eastAsia="Calibri" w:hAnsi="Arial" w:cs="Arial"/>
          <w:bCs/>
          <w:sz w:val="22"/>
          <w:lang w:val="es-ES_tradnl"/>
        </w:rPr>
        <w:t>rigen</w:t>
      </w:r>
      <w:r w:rsidR="009928AF" w:rsidRPr="00884A73">
        <w:rPr>
          <w:rFonts w:ascii="Arial" w:eastAsia="Calibri" w:hAnsi="Arial" w:cs="Arial"/>
          <w:bCs/>
          <w:sz w:val="22"/>
          <w:lang w:val="es-ES_tradnl"/>
        </w:rPr>
        <w:t xml:space="preserve"> en otros</w:t>
      </w:r>
      <w:r w:rsidR="00F311A1" w:rsidRPr="00884A73">
        <w:rPr>
          <w:rFonts w:ascii="Arial" w:eastAsia="Calibri" w:hAnsi="Arial" w:cs="Arial"/>
          <w:bCs/>
          <w:sz w:val="22"/>
          <w:lang w:val="es-ES_tradnl"/>
        </w:rPr>
        <w:t xml:space="preserve"> procedimientos de selección</w:t>
      </w:r>
      <w:r w:rsidR="005A6886" w:rsidRPr="00884A73">
        <w:rPr>
          <w:rFonts w:ascii="Arial" w:eastAsia="Calibri" w:hAnsi="Arial" w:cs="Arial"/>
          <w:bCs/>
          <w:sz w:val="22"/>
          <w:lang w:val="es-ES_tradnl"/>
        </w:rPr>
        <w:t xml:space="preserve">. Esto </w:t>
      </w:r>
      <w:r w:rsidR="00F311A1" w:rsidRPr="00884A73">
        <w:rPr>
          <w:rFonts w:ascii="Arial" w:eastAsia="Calibri" w:hAnsi="Arial" w:cs="Arial"/>
          <w:bCs/>
          <w:sz w:val="22"/>
          <w:lang w:val="es-ES_tradnl"/>
        </w:rPr>
        <w:t xml:space="preserve">dado </w:t>
      </w:r>
      <w:r w:rsidR="005A6886" w:rsidRPr="00884A73">
        <w:rPr>
          <w:rFonts w:ascii="Arial" w:eastAsia="Calibri" w:hAnsi="Arial" w:cs="Arial"/>
          <w:bCs/>
          <w:sz w:val="22"/>
          <w:lang w:val="es-ES_tradnl"/>
        </w:rPr>
        <w:t>que</w:t>
      </w:r>
      <w:r w:rsidR="00F311A1" w:rsidRPr="00884A73">
        <w:rPr>
          <w:rFonts w:ascii="Arial" w:eastAsia="Calibri" w:hAnsi="Arial" w:cs="Arial"/>
          <w:bCs/>
          <w:sz w:val="22"/>
          <w:lang w:val="es-ES_tradnl"/>
        </w:rPr>
        <w:t xml:space="preserve"> no</w:t>
      </w:r>
      <w:r w:rsidR="00B455BD" w:rsidRPr="00884A73">
        <w:rPr>
          <w:rFonts w:ascii="Arial" w:eastAsia="Calibri" w:hAnsi="Arial" w:cs="Arial"/>
          <w:bCs/>
          <w:sz w:val="22"/>
          <w:lang w:val="es-ES_tradnl"/>
        </w:rPr>
        <w:t xml:space="preserve"> habría lugar</w:t>
      </w:r>
      <w:r w:rsidR="00BC2BC5" w:rsidRPr="00884A73">
        <w:rPr>
          <w:rFonts w:ascii="Arial" w:eastAsia="Calibri" w:hAnsi="Arial" w:cs="Arial"/>
          <w:bCs/>
          <w:sz w:val="22"/>
          <w:lang w:val="es-ES_tradnl"/>
        </w:rPr>
        <w:t xml:space="preserve"> </w:t>
      </w:r>
      <w:r w:rsidR="00B455BD" w:rsidRPr="00884A73">
        <w:rPr>
          <w:rFonts w:ascii="Arial" w:eastAsia="Calibri" w:hAnsi="Arial" w:cs="Arial"/>
          <w:bCs/>
          <w:sz w:val="22"/>
          <w:lang w:val="es-ES_tradnl"/>
        </w:rPr>
        <w:t xml:space="preserve">a aplicar los referidos factores de desempate </w:t>
      </w:r>
      <w:r w:rsidR="00BC2BC5" w:rsidRPr="00884A73">
        <w:rPr>
          <w:rFonts w:ascii="Arial" w:eastAsia="Calibri" w:hAnsi="Arial" w:cs="Arial"/>
          <w:bCs/>
          <w:sz w:val="22"/>
          <w:lang w:val="es-ES_tradnl"/>
        </w:rPr>
        <w:t xml:space="preserve">en </w:t>
      </w:r>
      <w:r w:rsidR="00810179" w:rsidRPr="00884A73">
        <w:rPr>
          <w:rFonts w:ascii="Arial" w:eastAsia="Calibri" w:hAnsi="Arial" w:cs="Arial"/>
          <w:bCs/>
          <w:sz w:val="22"/>
          <w:lang w:val="es-ES_tradnl"/>
        </w:rPr>
        <w:t>procedimiento</w:t>
      </w:r>
      <w:r w:rsidR="00B455BD" w:rsidRPr="00884A73">
        <w:rPr>
          <w:rFonts w:ascii="Arial" w:eastAsia="Calibri" w:hAnsi="Arial" w:cs="Arial"/>
          <w:bCs/>
          <w:sz w:val="22"/>
          <w:lang w:val="es-ES_tradnl"/>
        </w:rPr>
        <w:t>s</w:t>
      </w:r>
      <w:r w:rsidR="00810179" w:rsidRPr="00884A73">
        <w:rPr>
          <w:rFonts w:ascii="Arial" w:eastAsia="Calibri" w:hAnsi="Arial" w:cs="Arial"/>
          <w:bCs/>
          <w:sz w:val="22"/>
          <w:lang w:val="es-ES_tradnl"/>
        </w:rPr>
        <w:t xml:space="preserve"> en </w:t>
      </w:r>
      <w:r w:rsidR="00B455BD" w:rsidRPr="00884A73">
        <w:rPr>
          <w:rFonts w:ascii="Arial" w:eastAsia="Calibri" w:hAnsi="Arial" w:cs="Arial"/>
          <w:bCs/>
          <w:sz w:val="22"/>
          <w:lang w:val="es-ES_tradnl"/>
        </w:rPr>
        <w:t>los</w:t>
      </w:r>
      <w:r w:rsidR="00810179" w:rsidRPr="00884A73">
        <w:rPr>
          <w:rFonts w:ascii="Arial" w:eastAsia="Calibri" w:hAnsi="Arial" w:cs="Arial"/>
          <w:bCs/>
          <w:sz w:val="22"/>
          <w:lang w:val="es-ES_tradnl"/>
        </w:rPr>
        <w:t xml:space="preserve"> que no se comparen las ofertas usando puntajes,</w:t>
      </w:r>
      <w:r w:rsidR="00E15DE3" w:rsidRPr="00884A73">
        <w:rPr>
          <w:rFonts w:ascii="Arial" w:eastAsia="Calibri" w:hAnsi="Arial" w:cs="Arial"/>
          <w:bCs/>
          <w:sz w:val="22"/>
          <w:lang w:val="es-ES_tradnl"/>
        </w:rPr>
        <w:t xml:space="preserve"> como es el caso de los procesos en los que </w:t>
      </w:r>
      <w:r w:rsidR="00230E35" w:rsidRPr="00884A73">
        <w:rPr>
          <w:rFonts w:ascii="Arial" w:eastAsia="Calibri" w:hAnsi="Arial" w:cs="Arial"/>
          <w:bCs/>
          <w:sz w:val="22"/>
          <w:lang w:val="es-ES_tradnl"/>
        </w:rPr>
        <w:t xml:space="preserve">ponderan </w:t>
      </w:r>
      <w:r w:rsidR="00E70C98" w:rsidRPr="00884A73">
        <w:rPr>
          <w:rFonts w:ascii="Arial" w:eastAsia="Calibri" w:hAnsi="Arial" w:cs="Arial"/>
          <w:bCs/>
          <w:sz w:val="22"/>
          <w:lang w:val="es-ES_tradnl"/>
        </w:rPr>
        <w:t xml:space="preserve">condiciones técnicas y económicas </w:t>
      </w:r>
      <w:r w:rsidR="00CD710A" w:rsidRPr="00884A73">
        <w:rPr>
          <w:rFonts w:ascii="Arial" w:eastAsia="Calibri" w:hAnsi="Arial" w:cs="Arial"/>
          <w:bCs/>
          <w:sz w:val="22"/>
          <w:lang w:val="es-ES_tradnl"/>
        </w:rPr>
        <w:t>mínimas</w:t>
      </w:r>
      <w:r w:rsidR="00E70C98" w:rsidRPr="00884A73">
        <w:rPr>
          <w:rFonts w:ascii="Arial" w:eastAsia="Calibri" w:hAnsi="Arial" w:cs="Arial"/>
          <w:bCs/>
          <w:sz w:val="22"/>
          <w:lang w:val="es-ES_tradnl"/>
        </w:rPr>
        <w:t xml:space="preserve"> y adicionales para escoger la oferta que represente la mejor relación costo beneficio</w:t>
      </w:r>
      <w:r w:rsidR="00AD5523" w:rsidRPr="00884A73">
        <w:rPr>
          <w:rFonts w:ascii="Arial" w:eastAsia="Calibri" w:hAnsi="Arial" w:cs="Arial"/>
          <w:bCs/>
          <w:sz w:val="22"/>
          <w:lang w:val="es-ES_tradnl"/>
        </w:rPr>
        <w:t>, procedimientos en los que también es posible que se presenten empate</w:t>
      </w:r>
      <w:r w:rsidR="001971FD" w:rsidRPr="00884A73">
        <w:rPr>
          <w:rFonts w:ascii="Arial" w:eastAsia="Calibri" w:hAnsi="Arial" w:cs="Arial"/>
          <w:bCs/>
          <w:sz w:val="22"/>
          <w:lang w:val="es-ES_tradnl"/>
        </w:rPr>
        <w:t>s</w:t>
      </w:r>
      <w:r w:rsidR="00AD5523" w:rsidRPr="00884A73">
        <w:rPr>
          <w:rFonts w:ascii="Arial" w:eastAsia="Calibri" w:hAnsi="Arial" w:cs="Arial"/>
          <w:bCs/>
          <w:sz w:val="22"/>
          <w:lang w:val="es-ES_tradnl"/>
        </w:rPr>
        <w:t>.</w:t>
      </w:r>
      <w:r w:rsidR="00E70C98" w:rsidRPr="00884A73">
        <w:rPr>
          <w:rFonts w:ascii="Arial" w:eastAsia="Calibri" w:hAnsi="Arial" w:cs="Arial"/>
          <w:bCs/>
          <w:sz w:val="22"/>
          <w:lang w:val="es-ES_tradnl"/>
        </w:rPr>
        <w:t xml:space="preserve"> </w:t>
      </w:r>
    </w:p>
    <w:p w14:paraId="0D1A830E" w14:textId="17EEDE4F" w:rsidR="001E747D" w:rsidRPr="00884A73" w:rsidRDefault="00AA5E49" w:rsidP="00EB2ED0">
      <w:pPr>
        <w:tabs>
          <w:tab w:val="left" w:pos="0"/>
        </w:tabs>
        <w:spacing w:after="120" w:line="276" w:lineRule="auto"/>
        <w:jc w:val="both"/>
        <w:rPr>
          <w:rFonts w:ascii="Arial" w:eastAsia="Calibri" w:hAnsi="Arial" w:cs="Arial"/>
          <w:bCs/>
          <w:sz w:val="22"/>
          <w:lang w:val="es-ES_tradnl"/>
        </w:rPr>
      </w:pPr>
      <w:r w:rsidRPr="00884A73">
        <w:rPr>
          <w:rFonts w:ascii="Arial" w:eastAsia="Calibri" w:hAnsi="Arial" w:cs="Arial"/>
          <w:bCs/>
          <w:sz w:val="22"/>
          <w:lang w:val="es-ES_tradnl"/>
        </w:rPr>
        <w:tab/>
      </w:r>
      <w:r w:rsidR="001971FD" w:rsidRPr="00884A73">
        <w:rPr>
          <w:rFonts w:ascii="Arial" w:eastAsia="Calibri" w:hAnsi="Arial" w:cs="Arial"/>
          <w:bCs/>
          <w:sz w:val="22"/>
          <w:lang w:val="es-ES_tradnl"/>
        </w:rPr>
        <w:t>Lo anterior</w:t>
      </w:r>
      <w:r w:rsidR="00314A22" w:rsidRPr="00884A73">
        <w:rPr>
          <w:rFonts w:ascii="Arial" w:eastAsia="Calibri" w:hAnsi="Arial" w:cs="Arial"/>
          <w:bCs/>
          <w:sz w:val="22"/>
          <w:lang w:val="es-ES_tradnl"/>
        </w:rPr>
        <w:t xml:space="preserve"> implica que l</w:t>
      </w:r>
      <w:r w:rsidR="00F719FD" w:rsidRPr="00884A73">
        <w:rPr>
          <w:rFonts w:ascii="Arial" w:eastAsia="Calibri" w:hAnsi="Arial" w:cs="Arial"/>
          <w:bCs/>
          <w:sz w:val="22"/>
          <w:lang w:val="es-ES_tradnl"/>
        </w:rPr>
        <w:t>as entidades estatales</w:t>
      </w:r>
      <w:r w:rsidR="00314A22" w:rsidRPr="00884A73">
        <w:rPr>
          <w:rFonts w:ascii="Arial" w:eastAsia="Calibri" w:hAnsi="Arial" w:cs="Arial"/>
          <w:bCs/>
          <w:sz w:val="22"/>
          <w:lang w:val="es-ES_tradnl"/>
        </w:rPr>
        <w:t xml:space="preserve"> </w:t>
      </w:r>
      <w:r w:rsidR="008C6754" w:rsidRPr="00884A73">
        <w:rPr>
          <w:rFonts w:ascii="Arial" w:eastAsia="Calibri" w:hAnsi="Arial" w:cs="Arial"/>
          <w:bCs/>
          <w:sz w:val="22"/>
          <w:lang w:val="es-ES_tradnl"/>
        </w:rPr>
        <w:t xml:space="preserve">tendrían </w:t>
      </w:r>
      <w:r w:rsidR="004F44D8" w:rsidRPr="00884A73">
        <w:rPr>
          <w:rFonts w:ascii="Arial" w:eastAsia="Calibri" w:hAnsi="Arial" w:cs="Arial"/>
          <w:bCs/>
          <w:sz w:val="22"/>
          <w:lang w:val="es-ES_tradnl"/>
        </w:rPr>
        <w:t>a su alcance la posibilidad de determinar si aplica o no el artículo 35</w:t>
      </w:r>
      <w:r w:rsidR="008C6754" w:rsidRPr="00884A73">
        <w:rPr>
          <w:rFonts w:ascii="Arial" w:eastAsia="Calibri" w:hAnsi="Arial" w:cs="Arial"/>
          <w:bCs/>
          <w:sz w:val="22"/>
          <w:lang w:val="es-ES_tradnl"/>
        </w:rPr>
        <w:t xml:space="preserve"> de la Ley de Emprendimiento</w:t>
      </w:r>
      <w:r w:rsidR="004F44D8" w:rsidRPr="00884A73">
        <w:rPr>
          <w:rFonts w:ascii="Arial" w:eastAsia="Calibri" w:hAnsi="Arial" w:cs="Arial"/>
          <w:bCs/>
          <w:sz w:val="22"/>
          <w:lang w:val="es-ES_tradnl"/>
        </w:rPr>
        <w:t xml:space="preserve">, </w:t>
      </w:r>
      <w:r w:rsidR="00812C9E" w:rsidRPr="00884A73">
        <w:rPr>
          <w:rFonts w:ascii="Arial" w:eastAsia="Calibri" w:hAnsi="Arial" w:cs="Arial"/>
          <w:bCs/>
          <w:sz w:val="22"/>
          <w:lang w:val="es-ES_tradnl"/>
        </w:rPr>
        <w:t xml:space="preserve">ya que al </w:t>
      </w:r>
      <w:r w:rsidR="008D15D4" w:rsidRPr="00884A73">
        <w:rPr>
          <w:rFonts w:ascii="Arial" w:eastAsia="Calibri" w:hAnsi="Arial" w:cs="Arial"/>
          <w:bCs/>
          <w:sz w:val="22"/>
          <w:lang w:val="es-ES_tradnl"/>
        </w:rPr>
        <w:t>elaborar</w:t>
      </w:r>
      <w:r w:rsidR="00F719FD" w:rsidRPr="00884A73">
        <w:rPr>
          <w:rFonts w:ascii="Arial" w:eastAsia="Calibri" w:hAnsi="Arial" w:cs="Arial"/>
          <w:bCs/>
          <w:sz w:val="22"/>
          <w:lang w:val="es-ES_tradnl"/>
        </w:rPr>
        <w:t xml:space="preserve"> los pliegos de condiciones </w:t>
      </w:r>
      <w:r w:rsidR="000A03F2" w:rsidRPr="00884A73">
        <w:rPr>
          <w:rFonts w:ascii="Arial" w:eastAsia="Calibri" w:hAnsi="Arial" w:cs="Arial"/>
          <w:bCs/>
          <w:sz w:val="22"/>
          <w:lang w:val="es-ES_tradnl"/>
        </w:rPr>
        <w:t>est</w:t>
      </w:r>
      <w:r w:rsidR="00812C9E" w:rsidRPr="00884A73">
        <w:rPr>
          <w:rFonts w:ascii="Arial" w:eastAsia="Calibri" w:hAnsi="Arial" w:cs="Arial"/>
          <w:bCs/>
          <w:sz w:val="22"/>
          <w:lang w:val="es-ES_tradnl"/>
        </w:rPr>
        <w:t>án</w:t>
      </w:r>
      <w:r w:rsidR="000A03F2" w:rsidRPr="00884A73">
        <w:rPr>
          <w:rFonts w:ascii="Arial" w:eastAsia="Calibri" w:hAnsi="Arial" w:cs="Arial"/>
          <w:bCs/>
          <w:sz w:val="22"/>
          <w:lang w:val="es-ES_tradnl"/>
        </w:rPr>
        <w:t xml:space="preserve"> faculta</w:t>
      </w:r>
      <w:r w:rsidR="002E6A50" w:rsidRPr="00884A73">
        <w:rPr>
          <w:rFonts w:ascii="Arial" w:eastAsia="Calibri" w:hAnsi="Arial" w:cs="Arial"/>
          <w:bCs/>
          <w:sz w:val="22"/>
          <w:lang w:val="es-ES_tradnl"/>
        </w:rPr>
        <w:t>da</w:t>
      </w:r>
      <w:r w:rsidR="000A03F2" w:rsidRPr="00884A73">
        <w:rPr>
          <w:rFonts w:ascii="Arial" w:eastAsia="Calibri" w:hAnsi="Arial" w:cs="Arial"/>
          <w:bCs/>
          <w:sz w:val="22"/>
          <w:lang w:val="es-ES_tradnl"/>
        </w:rPr>
        <w:t>s para</w:t>
      </w:r>
      <w:r w:rsidR="00812C9E" w:rsidRPr="00884A73">
        <w:rPr>
          <w:rFonts w:ascii="Arial" w:eastAsia="Calibri" w:hAnsi="Arial" w:cs="Arial"/>
          <w:bCs/>
          <w:sz w:val="22"/>
          <w:lang w:val="es-ES_tradnl"/>
        </w:rPr>
        <w:t xml:space="preserve"> </w:t>
      </w:r>
      <w:r w:rsidR="0071041A" w:rsidRPr="00884A73">
        <w:rPr>
          <w:rFonts w:ascii="Arial" w:eastAsia="Calibri" w:hAnsi="Arial" w:cs="Arial"/>
          <w:bCs/>
          <w:sz w:val="22"/>
          <w:lang w:val="es-ES_tradnl"/>
        </w:rPr>
        <w:t>prescindir</w:t>
      </w:r>
      <w:r w:rsidR="00812C9E" w:rsidRPr="00884A73">
        <w:rPr>
          <w:rFonts w:ascii="Arial" w:eastAsia="Calibri" w:hAnsi="Arial" w:cs="Arial"/>
          <w:bCs/>
          <w:sz w:val="22"/>
          <w:lang w:val="es-ES_tradnl"/>
        </w:rPr>
        <w:t xml:space="preserve"> de la asignación de puntaje,</w:t>
      </w:r>
      <w:r w:rsidR="000A03F2" w:rsidRPr="00884A73">
        <w:rPr>
          <w:rFonts w:ascii="Arial" w:eastAsia="Calibri" w:hAnsi="Arial" w:cs="Arial"/>
          <w:bCs/>
          <w:sz w:val="22"/>
          <w:lang w:val="es-ES_tradnl"/>
        </w:rPr>
        <w:t xml:space="preserve"> opta</w:t>
      </w:r>
      <w:r w:rsidR="00812C9E" w:rsidRPr="00884A73">
        <w:rPr>
          <w:rFonts w:ascii="Arial" w:eastAsia="Calibri" w:hAnsi="Arial" w:cs="Arial"/>
          <w:bCs/>
          <w:sz w:val="22"/>
          <w:lang w:val="es-ES_tradnl"/>
        </w:rPr>
        <w:t>ndo</w:t>
      </w:r>
      <w:r w:rsidR="0071041A" w:rsidRPr="00884A73">
        <w:rPr>
          <w:rFonts w:ascii="Arial" w:eastAsia="Calibri" w:hAnsi="Arial" w:cs="Arial"/>
          <w:bCs/>
          <w:sz w:val="22"/>
          <w:lang w:val="es-ES_tradnl"/>
        </w:rPr>
        <w:t>,</w:t>
      </w:r>
      <w:r w:rsidR="000A03F2" w:rsidRPr="00884A73">
        <w:rPr>
          <w:rFonts w:ascii="Arial" w:eastAsia="Calibri" w:hAnsi="Arial" w:cs="Arial"/>
          <w:bCs/>
          <w:sz w:val="22"/>
          <w:lang w:val="es-ES_tradnl"/>
        </w:rPr>
        <w:t xml:space="preserve"> por</w:t>
      </w:r>
      <w:r w:rsidR="0071041A" w:rsidRPr="00884A73">
        <w:rPr>
          <w:rFonts w:ascii="Arial" w:eastAsia="Calibri" w:hAnsi="Arial" w:cs="Arial"/>
          <w:bCs/>
          <w:sz w:val="22"/>
          <w:lang w:val="es-ES_tradnl"/>
        </w:rPr>
        <w:t xml:space="preserve"> ejemplo, por</w:t>
      </w:r>
      <w:r w:rsidR="000A03F2" w:rsidRPr="00884A73">
        <w:rPr>
          <w:rFonts w:ascii="Arial" w:eastAsia="Calibri" w:hAnsi="Arial" w:cs="Arial"/>
          <w:bCs/>
          <w:sz w:val="22"/>
          <w:lang w:val="es-ES_tradnl"/>
        </w:rPr>
        <w:t xml:space="preserve"> alternativas </w:t>
      </w:r>
      <w:r w:rsidR="00DD65ED" w:rsidRPr="00884A73">
        <w:rPr>
          <w:rFonts w:ascii="Arial" w:eastAsia="Calibri" w:hAnsi="Arial" w:cs="Arial"/>
          <w:bCs/>
          <w:sz w:val="22"/>
          <w:lang w:val="es-ES_tradnl"/>
        </w:rPr>
        <w:t>en las que se valore la relación costo beneficio</w:t>
      </w:r>
      <w:r w:rsidR="003C4B46" w:rsidRPr="00884A73">
        <w:rPr>
          <w:rFonts w:ascii="Arial" w:eastAsia="Calibri" w:hAnsi="Arial" w:cs="Arial"/>
          <w:bCs/>
          <w:sz w:val="22"/>
          <w:lang w:val="es-ES_tradnl"/>
        </w:rPr>
        <w:t xml:space="preserve">, lo que relevaría </w:t>
      </w:r>
      <w:r w:rsidR="002E6A50" w:rsidRPr="00884A73">
        <w:rPr>
          <w:rFonts w:ascii="Arial" w:eastAsia="Calibri" w:hAnsi="Arial" w:cs="Arial"/>
          <w:bCs/>
          <w:sz w:val="22"/>
          <w:lang w:val="es-ES_tradnl"/>
        </w:rPr>
        <w:t xml:space="preserve">a la entidad de aplicar </w:t>
      </w:r>
      <w:r w:rsidR="004C74BD" w:rsidRPr="00884A73">
        <w:rPr>
          <w:rFonts w:ascii="Arial" w:eastAsia="Calibri" w:hAnsi="Arial" w:cs="Arial"/>
          <w:bCs/>
          <w:sz w:val="22"/>
          <w:lang w:val="es-ES_tradnl"/>
        </w:rPr>
        <w:t>los factores de desempate</w:t>
      </w:r>
      <w:r w:rsidR="00314A22" w:rsidRPr="00884A73">
        <w:rPr>
          <w:rFonts w:ascii="Arial" w:eastAsia="Calibri" w:hAnsi="Arial" w:cs="Arial"/>
          <w:bCs/>
          <w:sz w:val="22"/>
          <w:lang w:val="es-ES_tradnl"/>
        </w:rPr>
        <w:t>.</w:t>
      </w:r>
      <w:r w:rsidR="00AE7CF1" w:rsidRPr="00884A73">
        <w:rPr>
          <w:rFonts w:ascii="Arial" w:eastAsia="Calibri" w:hAnsi="Arial" w:cs="Arial"/>
          <w:bCs/>
          <w:sz w:val="22"/>
          <w:lang w:val="es-ES_tradnl"/>
        </w:rPr>
        <w:t xml:space="preserve"> </w:t>
      </w:r>
      <w:r w:rsidR="002B3FBF" w:rsidRPr="00884A73">
        <w:rPr>
          <w:rFonts w:ascii="Arial" w:eastAsia="Calibri" w:hAnsi="Arial" w:cs="Arial"/>
          <w:bCs/>
          <w:sz w:val="22"/>
          <w:lang w:val="es-ES_tradnl"/>
        </w:rPr>
        <w:t>Esta</w:t>
      </w:r>
      <w:r w:rsidR="00AE7CF1" w:rsidRPr="00884A73">
        <w:rPr>
          <w:rFonts w:ascii="Arial" w:eastAsia="Calibri" w:hAnsi="Arial" w:cs="Arial"/>
          <w:bCs/>
          <w:sz w:val="22"/>
          <w:lang w:val="es-ES_tradnl"/>
        </w:rPr>
        <w:t xml:space="preserve"> consecuencia también </w:t>
      </w:r>
      <w:r w:rsidR="00AE7CF1" w:rsidRPr="00884A73">
        <w:rPr>
          <w:rFonts w:ascii="Arial" w:eastAsia="Calibri" w:hAnsi="Arial" w:cs="Arial"/>
          <w:bCs/>
          <w:sz w:val="22"/>
          <w:lang w:val="es-ES_tradnl"/>
        </w:rPr>
        <w:lastRenderedPageBreak/>
        <w:t xml:space="preserve">se aprecia </w:t>
      </w:r>
      <w:r w:rsidR="005F5935" w:rsidRPr="00884A73">
        <w:rPr>
          <w:rFonts w:ascii="Arial" w:eastAsia="Calibri" w:hAnsi="Arial" w:cs="Arial"/>
          <w:bCs/>
          <w:sz w:val="22"/>
          <w:lang w:val="es-ES_tradnl"/>
        </w:rPr>
        <w:t>en caso de las entidades exceptuadas</w:t>
      </w:r>
      <w:r w:rsidR="009C0783" w:rsidRPr="00884A73">
        <w:rPr>
          <w:rFonts w:ascii="Arial" w:eastAsia="Calibri" w:hAnsi="Arial" w:cs="Arial"/>
          <w:bCs/>
          <w:sz w:val="22"/>
          <w:lang w:val="es-ES_tradnl"/>
        </w:rPr>
        <w:t>, quienes al no estar sujetas al artículo 5 de la Ley 1150 de 2007</w:t>
      </w:r>
      <w:r w:rsidR="005F7112" w:rsidRPr="00884A73">
        <w:rPr>
          <w:rFonts w:ascii="Arial" w:eastAsia="Calibri" w:hAnsi="Arial" w:cs="Arial"/>
          <w:bCs/>
          <w:sz w:val="22"/>
          <w:lang w:val="es-ES_tradnl"/>
        </w:rPr>
        <w:t xml:space="preserve">, tienen a su alcance </w:t>
      </w:r>
      <w:r w:rsidR="00E85D69" w:rsidRPr="00884A73">
        <w:rPr>
          <w:rFonts w:ascii="Arial" w:eastAsia="Calibri" w:hAnsi="Arial" w:cs="Arial"/>
          <w:bCs/>
          <w:sz w:val="22"/>
          <w:lang w:val="es-ES_tradnl"/>
        </w:rPr>
        <w:t xml:space="preserve">la posibilidad de </w:t>
      </w:r>
      <w:r w:rsidR="005F7112" w:rsidRPr="00884A73">
        <w:rPr>
          <w:rFonts w:ascii="Arial" w:eastAsia="Calibri" w:hAnsi="Arial" w:cs="Arial"/>
          <w:bCs/>
          <w:sz w:val="22"/>
          <w:lang w:val="es-ES_tradnl"/>
        </w:rPr>
        <w:t xml:space="preserve">configurar procesos de selección </w:t>
      </w:r>
      <w:r w:rsidR="00057CBB" w:rsidRPr="00884A73">
        <w:rPr>
          <w:rFonts w:ascii="Arial" w:eastAsia="Calibri" w:hAnsi="Arial" w:cs="Arial"/>
          <w:bCs/>
          <w:sz w:val="22"/>
          <w:lang w:val="es-ES_tradnl"/>
        </w:rPr>
        <w:t>en los que no se utilice</w:t>
      </w:r>
      <w:r w:rsidR="008013FB" w:rsidRPr="00884A73">
        <w:rPr>
          <w:rFonts w:ascii="Arial" w:eastAsia="Calibri" w:hAnsi="Arial" w:cs="Arial"/>
          <w:bCs/>
          <w:sz w:val="22"/>
          <w:lang w:val="es-ES_tradnl"/>
        </w:rPr>
        <w:t>n</w:t>
      </w:r>
      <w:r w:rsidR="00057CBB" w:rsidRPr="00884A73">
        <w:rPr>
          <w:rFonts w:ascii="Arial" w:eastAsia="Calibri" w:hAnsi="Arial" w:cs="Arial"/>
          <w:bCs/>
          <w:sz w:val="22"/>
          <w:lang w:val="es-ES_tradnl"/>
        </w:rPr>
        <w:t xml:space="preserve"> </w:t>
      </w:r>
      <w:r w:rsidR="00057CBB" w:rsidRPr="00884A73">
        <w:rPr>
          <w:rFonts w:ascii="Arial" w:eastAsia="Calibri" w:hAnsi="Arial" w:cs="Arial"/>
          <w:bCs/>
          <w:i/>
          <w:iCs/>
          <w:sz w:val="22"/>
          <w:lang w:val="es-ES_tradnl"/>
        </w:rPr>
        <w:t>puntaje</w:t>
      </w:r>
      <w:r w:rsidR="008013FB" w:rsidRPr="00884A73">
        <w:rPr>
          <w:rFonts w:ascii="Arial" w:eastAsia="Calibri" w:hAnsi="Arial" w:cs="Arial"/>
          <w:bCs/>
          <w:i/>
          <w:iCs/>
          <w:sz w:val="22"/>
          <w:lang w:val="es-ES_tradnl"/>
        </w:rPr>
        <w:t>s</w:t>
      </w:r>
      <w:r w:rsidR="00057CBB" w:rsidRPr="00884A73">
        <w:rPr>
          <w:rFonts w:ascii="Arial" w:eastAsia="Calibri" w:hAnsi="Arial" w:cs="Arial"/>
          <w:bCs/>
          <w:sz w:val="22"/>
          <w:lang w:val="es-ES_tradnl"/>
        </w:rPr>
        <w:t xml:space="preserve"> para escoger la oferta ganadora,</w:t>
      </w:r>
      <w:r w:rsidR="001E747D" w:rsidRPr="00884A73">
        <w:rPr>
          <w:rFonts w:ascii="Arial" w:eastAsia="Calibri" w:hAnsi="Arial" w:cs="Arial"/>
          <w:bCs/>
          <w:sz w:val="22"/>
          <w:lang w:val="es-ES_tradnl"/>
        </w:rPr>
        <w:t xml:space="preserve"> </w:t>
      </w:r>
      <w:r w:rsidR="007363DC" w:rsidRPr="00884A73">
        <w:rPr>
          <w:rFonts w:ascii="Arial" w:eastAsia="Calibri" w:hAnsi="Arial" w:cs="Arial"/>
          <w:bCs/>
          <w:sz w:val="22"/>
          <w:lang w:val="es-ES_tradnl"/>
        </w:rPr>
        <w:t>inaplicando</w:t>
      </w:r>
      <w:r w:rsidR="001E747D" w:rsidRPr="00884A73">
        <w:rPr>
          <w:rFonts w:ascii="Arial" w:eastAsia="Calibri" w:hAnsi="Arial" w:cs="Arial"/>
          <w:bCs/>
          <w:sz w:val="22"/>
          <w:lang w:val="es-ES_tradnl"/>
        </w:rPr>
        <w:t xml:space="preserve"> de los factores de desempate del artículo 35</w:t>
      </w:r>
      <w:r w:rsidR="008013FB" w:rsidRPr="00884A73">
        <w:rPr>
          <w:rFonts w:ascii="Arial" w:eastAsia="Calibri" w:hAnsi="Arial" w:cs="Arial"/>
          <w:bCs/>
          <w:sz w:val="22"/>
          <w:lang w:val="es-ES_tradnl"/>
        </w:rPr>
        <w:t xml:space="preserve"> de la Ley 2069 de 2020.</w:t>
      </w:r>
    </w:p>
    <w:p w14:paraId="1DE74688" w14:textId="719DE755" w:rsidR="00AA5E49" w:rsidRPr="00884A73" w:rsidRDefault="00A056D2" w:rsidP="00EB2ED0">
      <w:pPr>
        <w:tabs>
          <w:tab w:val="left" w:pos="0"/>
        </w:tabs>
        <w:spacing w:after="120" w:line="276" w:lineRule="auto"/>
        <w:jc w:val="both"/>
        <w:rPr>
          <w:rFonts w:ascii="Arial" w:eastAsia="Calibri" w:hAnsi="Arial" w:cs="Arial"/>
          <w:bCs/>
          <w:sz w:val="22"/>
          <w:lang w:val="es-ES_tradnl"/>
        </w:rPr>
      </w:pPr>
      <w:r w:rsidRPr="00884A73">
        <w:rPr>
          <w:rFonts w:ascii="Arial" w:eastAsia="Calibri" w:hAnsi="Arial" w:cs="Arial"/>
          <w:bCs/>
          <w:sz w:val="22"/>
          <w:lang w:val="es-ES_tradnl"/>
        </w:rPr>
        <w:tab/>
        <w:t xml:space="preserve">Conforme a estas consideraciones, el entendimiento literal de la expresión </w:t>
      </w:r>
      <w:r w:rsidRPr="00884A73">
        <w:rPr>
          <w:rFonts w:ascii="Arial" w:eastAsia="Calibri" w:hAnsi="Arial" w:cs="Arial"/>
          <w:bCs/>
          <w:i/>
          <w:iCs/>
          <w:sz w:val="22"/>
          <w:lang w:val="es-ES_tradnl"/>
        </w:rPr>
        <w:t>puntaje total</w:t>
      </w:r>
      <w:r w:rsidR="002036BA" w:rsidRPr="00884A73">
        <w:rPr>
          <w:rFonts w:ascii="Arial" w:eastAsia="Calibri" w:hAnsi="Arial" w:cs="Arial"/>
          <w:bCs/>
          <w:sz w:val="22"/>
          <w:lang w:val="es-ES_tradnl"/>
        </w:rPr>
        <w:t xml:space="preserve"> contenida en el artículo 35 de la 2069 de 2020, priva</w:t>
      </w:r>
      <w:r w:rsidR="00AA1778" w:rsidRPr="00884A73">
        <w:rPr>
          <w:rFonts w:ascii="Arial" w:eastAsia="Calibri" w:hAnsi="Arial" w:cs="Arial"/>
          <w:bCs/>
          <w:sz w:val="22"/>
          <w:lang w:val="es-ES_tradnl"/>
        </w:rPr>
        <w:t>ría</w:t>
      </w:r>
      <w:r w:rsidR="002036BA" w:rsidRPr="00884A73">
        <w:rPr>
          <w:rFonts w:ascii="Arial" w:eastAsia="Calibri" w:hAnsi="Arial" w:cs="Arial"/>
          <w:bCs/>
          <w:sz w:val="22"/>
          <w:lang w:val="es-ES_tradnl"/>
        </w:rPr>
        <w:t xml:space="preserve"> </w:t>
      </w:r>
      <w:r w:rsidR="008627DE" w:rsidRPr="00884A73">
        <w:rPr>
          <w:rFonts w:ascii="Arial" w:eastAsia="Calibri" w:hAnsi="Arial" w:cs="Arial"/>
          <w:bCs/>
          <w:sz w:val="22"/>
          <w:lang w:val="es-ES_tradnl"/>
        </w:rPr>
        <w:t>esta</w:t>
      </w:r>
      <w:r w:rsidR="002036BA" w:rsidRPr="00884A73">
        <w:rPr>
          <w:rFonts w:ascii="Arial" w:eastAsia="Calibri" w:hAnsi="Arial" w:cs="Arial"/>
          <w:bCs/>
          <w:sz w:val="22"/>
          <w:lang w:val="es-ES_tradnl"/>
        </w:rPr>
        <w:t xml:space="preserve"> norma de un</w:t>
      </w:r>
      <w:r w:rsidR="00290805" w:rsidRPr="00884A73">
        <w:rPr>
          <w:rFonts w:ascii="Arial" w:eastAsia="Calibri" w:hAnsi="Arial" w:cs="Arial"/>
          <w:bCs/>
          <w:sz w:val="22"/>
          <w:lang w:val="es-ES_tradnl"/>
        </w:rPr>
        <w:t xml:space="preserve">a gran parte de su </w:t>
      </w:r>
      <w:r w:rsidR="00B75628" w:rsidRPr="00884A73">
        <w:rPr>
          <w:rFonts w:ascii="Arial" w:eastAsia="Calibri" w:hAnsi="Arial" w:cs="Arial"/>
          <w:bCs/>
          <w:sz w:val="22"/>
          <w:lang w:val="es-ES_tradnl"/>
        </w:rPr>
        <w:t>obligatoriedad</w:t>
      </w:r>
      <w:r w:rsidR="00290805" w:rsidRPr="00884A73">
        <w:rPr>
          <w:rFonts w:ascii="Arial" w:eastAsia="Calibri" w:hAnsi="Arial" w:cs="Arial"/>
          <w:bCs/>
          <w:sz w:val="22"/>
          <w:lang w:val="es-ES_tradnl"/>
        </w:rPr>
        <w:t>,</w:t>
      </w:r>
      <w:r w:rsidR="00F8740F" w:rsidRPr="00884A73">
        <w:rPr>
          <w:rFonts w:ascii="Arial" w:eastAsia="Calibri" w:hAnsi="Arial" w:cs="Arial"/>
          <w:bCs/>
          <w:sz w:val="22"/>
          <w:lang w:val="es-ES_tradnl"/>
        </w:rPr>
        <w:t xml:space="preserve"> al permitir que</w:t>
      </w:r>
      <w:r w:rsidR="00290805" w:rsidRPr="00884A73">
        <w:rPr>
          <w:rFonts w:ascii="Arial" w:eastAsia="Calibri" w:hAnsi="Arial" w:cs="Arial"/>
          <w:bCs/>
          <w:sz w:val="22"/>
          <w:lang w:val="es-ES_tradnl"/>
        </w:rPr>
        <w:t xml:space="preserve"> los </w:t>
      </w:r>
      <w:r w:rsidR="00F8740F" w:rsidRPr="00884A73">
        <w:rPr>
          <w:rFonts w:ascii="Arial" w:eastAsia="Calibri" w:hAnsi="Arial" w:cs="Arial"/>
          <w:bCs/>
          <w:sz w:val="22"/>
          <w:lang w:val="es-ES_tradnl"/>
        </w:rPr>
        <w:t xml:space="preserve">destinatarios </w:t>
      </w:r>
      <w:r w:rsidR="003A3EA0" w:rsidRPr="00884A73">
        <w:rPr>
          <w:rFonts w:ascii="Arial" w:eastAsia="Calibri" w:hAnsi="Arial" w:cs="Arial"/>
          <w:bCs/>
          <w:sz w:val="22"/>
          <w:lang w:val="es-ES_tradnl"/>
        </w:rPr>
        <w:t>elud</w:t>
      </w:r>
      <w:r w:rsidR="00136DD8" w:rsidRPr="00884A73">
        <w:rPr>
          <w:rFonts w:ascii="Arial" w:eastAsia="Calibri" w:hAnsi="Arial" w:cs="Arial"/>
          <w:bCs/>
          <w:sz w:val="22"/>
          <w:lang w:val="es-ES_tradnl"/>
        </w:rPr>
        <w:t>an</w:t>
      </w:r>
      <w:r w:rsidR="003A3EA0" w:rsidRPr="00884A73">
        <w:rPr>
          <w:rFonts w:ascii="Arial" w:eastAsia="Calibri" w:hAnsi="Arial" w:cs="Arial"/>
          <w:bCs/>
          <w:sz w:val="22"/>
          <w:lang w:val="es-ES_tradnl"/>
        </w:rPr>
        <w:t xml:space="preserve"> su aplicación. </w:t>
      </w:r>
      <w:r w:rsidR="0092557B" w:rsidRPr="00884A73">
        <w:rPr>
          <w:rFonts w:ascii="Arial" w:eastAsia="Calibri" w:hAnsi="Arial" w:cs="Arial"/>
          <w:bCs/>
          <w:sz w:val="22"/>
          <w:lang w:val="es-ES_tradnl"/>
        </w:rPr>
        <w:t xml:space="preserve">Esto </w:t>
      </w:r>
      <w:r w:rsidR="006C5215" w:rsidRPr="00884A73">
        <w:rPr>
          <w:rFonts w:ascii="Arial" w:eastAsia="Calibri" w:hAnsi="Arial" w:cs="Arial"/>
          <w:bCs/>
          <w:sz w:val="22"/>
          <w:lang w:val="es-ES_tradnl"/>
        </w:rPr>
        <w:t>implica que la</w:t>
      </w:r>
      <w:r w:rsidR="0092557B" w:rsidRPr="00884A73">
        <w:rPr>
          <w:rFonts w:ascii="Arial" w:eastAsia="Calibri" w:hAnsi="Arial" w:cs="Arial"/>
          <w:bCs/>
          <w:sz w:val="22"/>
          <w:lang w:val="es-ES_tradnl"/>
        </w:rPr>
        <w:t xml:space="preserve"> finalidad transversal del artículo 35 de la Ley 2069 de 2020</w:t>
      </w:r>
      <w:r w:rsidR="00BF6990" w:rsidRPr="00884A73">
        <w:rPr>
          <w:rFonts w:ascii="Arial" w:eastAsia="Calibri" w:hAnsi="Arial" w:cs="Arial"/>
          <w:bCs/>
          <w:sz w:val="22"/>
          <w:lang w:val="es-ES_tradnl"/>
        </w:rPr>
        <w:t xml:space="preserve"> quedaría cercenada por </w:t>
      </w:r>
      <w:r w:rsidR="0071340B" w:rsidRPr="00884A73">
        <w:rPr>
          <w:rFonts w:ascii="Arial" w:eastAsia="Calibri" w:hAnsi="Arial" w:cs="Arial"/>
          <w:bCs/>
          <w:sz w:val="22"/>
          <w:lang w:val="es-ES_tradnl"/>
        </w:rPr>
        <w:t xml:space="preserve">su </w:t>
      </w:r>
      <w:r w:rsidR="00BF6990" w:rsidRPr="00884A73">
        <w:rPr>
          <w:rFonts w:ascii="Arial" w:eastAsia="Calibri" w:hAnsi="Arial" w:cs="Arial"/>
          <w:bCs/>
          <w:sz w:val="22"/>
          <w:lang w:val="es-ES_tradnl"/>
        </w:rPr>
        <w:t xml:space="preserve">interpretación exegética, </w:t>
      </w:r>
      <w:r w:rsidR="00B75628" w:rsidRPr="00884A73">
        <w:rPr>
          <w:rFonts w:ascii="Arial" w:eastAsia="Calibri" w:hAnsi="Arial" w:cs="Arial"/>
          <w:bCs/>
          <w:sz w:val="22"/>
          <w:lang w:val="es-ES_tradnl"/>
        </w:rPr>
        <w:t>generando consecuencias absurdas como las descritas en el párrafo precedente</w:t>
      </w:r>
      <w:r w:rsidR="009E3BEE" w:rsidRPr="00884A73">
        <w:rPr>
          <w:rFonts w:ascii="Arial" w:eastAsia="Calibri" w:hAnsi="Arial" w:cs="Arial"/>
          <w:bCs/>
          <w:sz w:val="22"/>
          <w:lang w:val="es-ES_tradnl"/>
        </w:rPr>
        <w:t>.</w:t>
      </w:r>
      <w:r w:rsidR="00511368" w:rsidRPr="00884A73">
        <w:rPr>
          <w:rFonts w:ascii="Arial" w:eastAsia="Calibri" w:hAnsi="Arial" w:cs="Arial"/>
          <w:bCs/>
          <w:sz w:val="22"/>
          <w:lang w:val="es-ES_tradnl"/>
        </w:rPr>
        <w:t xml:space="preserve">  </w:t>
      </w:r>
    </w:p>
    <w:p w14:paraId="400AE1BF" w14:textId="1C159377" w:rsidR="008D15D4" w:rsidRPr="00884A73" w:rsidRDefault="009D28E8" w:rsidP="00EB2ED0">
      <w:pPr>
        <w:tabs>
          <w:tab w:val="left" w:pos="0"/>
        </w:tabs>
        <w:spacing w:after="120" w:line="276" w:lineRule="auto"/>
        <w:jc w:val="both"/>
        <w:rPr>
          <w:rFonts w:ascii="Arial" w:hAnsi="Arial" w:cs="Arial"/>
          <w:sz w:val="22"/>
          <w:szCs w:val="22"/>
        </w:rPr>
      </w:pPr>
      <w:r w:rsidRPr="00884A73">
        <w:rPr>
          <w:rFonts w:ascii="Arial" w:eastAsia="Calibri" w:hAnsi="Arial" w:cs="Arial"/>
          <w:bCs/>
          <w:sz w:val="22"/>
          <w:szCs w:val="22"/>
          <w:lang w:val="es-ES_tradnl"/>
        </w:rPr>
        <w:tab/>
        <w:t xml:space="preserve">En consideración a lo anterior, </w:t>
      </w:r>
      <w:r w:rsidR="00111026" w:rsidRPr="00884A73">
        <w:rPr>
          <w:rFonts w:ascii="Arial" w:eastAsia="Calibri" w:hAnsi="Arial" w:cs="Arial"/>
          <w:bCs/>
          <w:sz w:val="22"/>
          <w:szCs w:val="22"/>
          <w:lang w:val="es-ES_tradnl"/>
        </w:rPr>
        <w:t>la</w:t>
      </w:r>
      <w:r w:rsidRPr="00884A73">
        <w:rPr>
          <w:rFonts w:ascii="Arial" w:eastAsia="Calibri" w:hAnsi="Arial" w:cs="Arial"/>
          <w:bCs/>
          <w:sz w:val="22"/>
          <w:szCs w:val="22"/>
          <w:lang w:val="es-ES_tradnl"/>
        </w:rPr>
        <w:t xml:space="preserve"> Agencia</w:t>
      </w:r>
      <w:r w:rsidR="00F5237A" w:rsidRPr="00884A73">
        <w:rPr>
          <w:rFonts w:ascii="Arial" w:eastAsia="Calibri" w:hAnsi="Arial" w:cs="Arial"/>
          <w:bCs/>
          <w:sz w:val="22"/>
          <w:szCs w:val="22"/>
          <w:lang w:val="es-ES_tradnl"/>
        </w:rPr>
        <w:t xml:space="preserve"> </w:t>
      </w:r>
      <w:r w:rsidR="0085694D" w:rsidRPr="00884A73">
        <w:rPr>
          <w:rFonts w:ascii="Arial" w:eastAsia="Calibri" w:hAnsi="Arial" w:cs="Arial"/>
          <w:bCs/>
          <w:sz w:val="22"/>
          <w:szCs w:val="22"/>
          <w:lang w:val="es-ES_tradnl"/>
        </w:rPr>
        <w:t xml:space="preserve">no </w:t>
      </w:r>
      <w:r w:rsidR="006C219B" w:rsidRPr="00884A73">
        <w:rPr>
          <w:rFonts w:ascii="Arial" w:eastAsia="Calibri" w:hAnsi="Arial" w:cs="Arial"/>
          <w:bCs/>
          <w:sz w:val="22"/>
          <w:szCs w:val="22"/>
          <w:lang w:val="es-ES_tradnl"/>
        </w:rPr>
        <w:t>comparte la posición según la cual el artículo 35</w:t>
      </w:r>
      <w:r w:rsidR="00111026" w:rsidRPr="00884A73">
        <w:rPr>
          <w:rFonts w:ascii="Arial" w:eastAsia="Calibri" w:hAnsi="Arial" w:cs="Arial"/>
          <w:bCs/>
          <w:sz w:val="22"/>
          <w:szCs w:val="22"/>
          <w:lang w:val="es-ES_tradnl"/>
        </w:rPr>
        <w:t xml:space="preserve"> de la Ley de Emprendimiento</w:t>
      </w:r>
      <w:r w:rsidR="0047072B" w:rsidRPr="00884A73">
        <w:rPr>
          <w:rFonts w:ascii="Arial" w:eastAsia="Calibri" w:hAnsi="Arial" w:cs="Arial"/>
          <w:bCs/>
          <w:i/>
          <w:iCs/>
          <w:sz w:val="22"/>
          <w:szCs w:val="22"/>
          <w:lang w:val="es-ES_tradnl"/>
        </w:rPr>
        <w:t>,</w:t>
      </w:r>
      <w:r w:rsidR="0047072B" w:rsidRPr="00884A73">
        <w:rPr>
          <w:rFonts w:ascii="Arial" w:eastAsia="Calibri" w:hAnsi="Arial" w:cs="Arial"/>
          <w:bCs/>
          <w:sz w:val="22"/>
          <w:szCs w:val="22"/>
          <w:lang w:val="es-ES_tradnl"/>
        </w:rPr>
        <w:t xml:space="preserve"> solo es aplicable en caso de empate en el </w:t>
      </w:r>
      <w:r w:rsidR="0047072B" w:rsidRPr="00884A73">
        <w:rPr>
          <w:rFonts w:ascii="Arial" w:eastAsia="Calibri" w:hAnsi="Arial" w:cs="Arial"/>
          <w:bCs/>
          <w:i/>
          <w:iCs/>
          <w:sz w:val="22"/>
          <w:szCs w:val="22"/>
          <w:lang w:val="es-ES_tradnl"/>
        </w:rPr>
        <w:t>puntaje</w:t>
      </w:r>
      <w:r w:rsidR="0047072B" w:rsidRPr="00884A73">
        <w:rPr>
          <w:rFonts w:ascii="Arial" w:eastAsia="Calibri" w:hAnsi="Arial" w:cs="Arial"/>
          <w:bCs/>
          <w:sz w:val="22"/>
          <w:szCs w:val="22"/>
          <w:lang w:val="es-ES_tradnl"/>
        </w:rPr>
        <w:t xml:space="preserve"> total entre dos o más ofertas.</w:t>
      </w:r>
      <w:r w:rsidR="005E717E" w:rsidRPr="00884A73">
        <w:rPr>
          <w:rFonts w:ascii="Arial" w:eastAsia="Calibri" w:hAnsi="Arial" w:cs="Arial"/>
          <w:bCs/>
          <w:sz w:val="22"/>
          <w:szCs w:val="22"/>
          <w:lang w:val="es-ES_tradnl"/>
        </w:rPr>
        <w:t xml:space="preserve"> Por el contrario,</w:t>
      </w:r>
      <w:r w:rsidR="00DB3445" w:rsidRPr="00884A73">
        <w:rPr>
          <w:rFonts w:ascii="Arial" w:eastAsia="Calibri" w:hAnsi="Arial" w:cs="Arial"/>
          <w:bCs/>
          <w:sz w:val="22"/>
          <w:szCs w:val="22"/>
          <w:lang w:val="es-ES_tradnl"/>
        </w:rPr>
        <w:t xml:space="preserve"> </w:t>
      </w:r>
      <w:bookmarkStart w:id="10" w:name="_Hlk69752682"/>
      <w:r w:rsidR="00DB3445" w:rsidRPr="00884A73">
        <w:rPr>
          <w:rFonts w:ascii="Arial" w:eastAsia="Calibri" w:hAnsi="Arial" w:cs="Arial"/>
          <w:bCs/>
          <w:sz w:val="22"/>
          <w:szCs w:val="22"/>
          <w:lang w:val="es-ES_tradnl"/>
        </w:rPr>
        <w:t>debe interpreta</w:t>
      </w:r>
      <w:r w:rsidR="00111026" w:rsidRPr="00884A73">
        <w:rPr>
          <w:rFonts w:ascii="Arial" w:eastAsia="Calibri" w:hAnsi="Arial" w:cs="Arial"/>
          <w:bCs/>
          <w:sz w:val="22"/>
          <w:szCs w:val="22"/>
          <w:lang w:val="es-ES_tradnl"/>
        </w:rPr>
        <w:t>rse</w:t>
      </w:r>
      <w:r w:rsidR="00DB3445" w:rsidRPr="00884A73">
        <w:rPr>
          <w:rFonts w:ascii="Arial" w:eastAsia="Calibri" w:hAnsi="Arial" w:cs="Arial"/>
          <w:bCs/>
          <w:sz w:val="22"/>
          <w:szCs w:val="22"/>
          <w:lang w:val="es-ES_tradnl"/>
        </w:rPr>
        <w:t xml:space="preserve"> de manera sistemática con las demás disposiciones del EGCAP, particularmente, </w:t>
      </w:r>
      <w:r w:rsidR="0079281A" w:rsidRPr="00884A73">
        <w:rPr>
          <w:rFonts w:ascii="Arial" w:eastAsia="Calibri" w:hAnsi="Arial" w:cs="Arial"/>
          <w:bCs/>
          <w:sz w:val="22"/>
          <w:szCs w:val="22"/>
          <w:lang w:val="es-ES_tradnl"/>
        </w:rPr>
        <w:t xml:space="preserve">con el artículo 5 de la Ley 1150 </w:t>
      </w:r>
      <w:r w:rsidR="00DA565E" w:rsidRPr="00884A73">
        <w:rPr>
          <w:rFonts w:ascii="Arial" w:eastAsia="Calibri" w:hAnsi="Arial" w:cs="Arial"/>
          <w:bCs/>
          <w:sz w:val="22"/>
          <w:szCs w:val="22"/>
          <w:lang w:val="es-ES_tradnl"/>
        </w:rPr>
        <w:t>de</w:t>
      </w:r>
      <w:r w:rsidR="0079281A" w:rsidRPr="00884A73">
        <w:rPr>
          <w:rFonts w:ascii="Arial" w:eastAsia="Calibri" w:hAnsi="Arial" w:cs="Arial"/>
          <w:bCs/>
          <w:sz w:val="22"/>
          <w:szCs w:val="22"/>
          <w:lang w:val="es-ES_tradnl"/>
        </w:rPr>
        <w:t xml:space="preserve"> 2007. Conforme </w:t>
      </w:r>
      <w:r w:rsidR="008D15D4" w:rsidRPr="00884A73">
        <w:rPr>
          <w:rFonts w:ascii="Arial" w:eastAsia="Calibri" w:hAnsi="Arial" w:cs="Arial"/>
          <w:bCs/>
          <w:sz w:val="22"/>
          <w:szCs w:val="22"/>
          <w:lang w:val="es-ES_tradnl"/>
        </w:rPr>
        <w:t xml:space="preserve">a </w:t>
      </w:r>
      <w:r w:rsidR="00C113D8" w:rsidRPr="00884A73">
        <w:rPr>
          <w:rFonts w:ascii="Arial" w:eastAsia="Calibri" w:hAnsi="Arial" w:cs="Arial"/>
          <w:bCs/>
          <w:sz w:val="22"/>
          <w:szCs w:val="22"/>
          <w:lang w:val="es-ES_tradnl"/>
        </w:rPr>
        <w:t xml:space="preserve">esta </w:t>
      </w:r>
      <w:r w:rsidR="008D15D4" w:rsidRPr="00884A73">
        <w:rPr>
          <w:rFonts w:ascii="Arial" w:eastAsia="Calibri" w:hAnsi="Arial" w:cs="Arial"/>
          <w:bCs/>
          <w:sz w:val="22"/>
          <w:szCs w:val="22"/>
          <w:lang w:val="es-ES_tradnl"/>
        </w:rPr>
        <w:t>interpretación</w:t>
      </w:r>
      <w:r w:rsidR="0079281A" w:rsidRPr="00884A73">
        <w:rPr>
          <w:rFonts w:ascii="Arial" w:eastAsia="Calibri" w:hAnsi="Arial" w:cs="Arial"/>
          <w:bCs/>
          <w:sz w:val="22"/>
          <w:szCs w:val="22"/>
          <w:lang w:val="es-ES_tradnl"/>
        </w:rPr>
        <w:t xml:space="preserve">, la expresión </w:t>
      </w:r>
      <w:r w:rsidR="00F1689D" w:rsidRPr="00884A73">
        <w:rPr>
          <w:rFonts w:ascii="Arial" w:hAnsi="Arial" w:cs="Arial"/>
          <w:i/>
          <w:iCs/>
          <w:sz w:val="22"/>
          <w:szCs w:val="22"/>
        </w:rPr>
        <w:t>empate en el puntaje total</w:t>
      </w:r>
      <w:r w:rsidR="00F1689D" w:rsidRPr="00884A73">
        <w:rPr>
          <w:rFonts w:ascii="Arial" w:hAnsi="Arial" w:cs="Arial"/>
          <w:sz w:val="22"/>
          <w:szCs w:val="22"/>
        </w:rPr>
        <w:t xml:space="preserve"> </w:t>
      </w:r>
      <w:r w:rsidR="00A832DB" w:rsidRPr="00884A73">
        <w:rPr>
          <w:rFonts w:ascii="Arial" w:hAnsi="Arial" w:cs="Arial"/>
          <w:sz w:val="22"/>
          <w:szCs w:val="22"/>
        </w:rPr>
        <w:t xml:space="preserve">apunta a </w:t>
      </w:r>
      <w:r w:rsidR="005255D6" w:rsidRPr="00884A73">
        <w:rPr>
          <w:rFonts w:ascii="Arial" w:hAnsi="Arial" w:cs="Arial"/>
          <w:sz w:val="22"/>
          <w:szCs w:val="22"/>
        </w:rPr>
        <w:t xml:space="preserve">las </w:t>
      </w:r>
      <w:r w:rsidR="00A832DB" w:rsidRPr="00884A73">
        <w:rPr>
          <w:rFonts w:ascii="Arial" w:hAnsi="Arial" w:cs="Arial"/>
          <w:sz w:val="22"/>
          <w:szCs w:val="22"/>
        </w:rPr>
        <w:t xml:space="preserve">situaciones </w:t>
      </w:r>
      <w:r w:rsidR="002A0928" w:rsidRPr="00884A73">
        <w:rPr>
          <w:rFonts w:ascii="Arial" w:hAnsi="Arial" w:cs="Arial"/>
          <w:sz w:val="22"/>
          <w:szCs w:val="22"/>
        </w:rPr>
        <w:t>en l</w:t>
      </w:r>
      <w:r w:rsidR="00E04D00" w:rsidRPr="00884A73">
        <w:rPr>
          <w:rFonts w:ascii="Arial" w:hAnsi="Arial" w:cs="Arial"/>
          <w:sz w:val="22"/>
          <w:szCs w:val="22"/>
        </w:rPr>
        <w:t xml:space="preserve">a evaluación </w:t>
      </w:r>
      <w:r w:rsidR="008B1C27" w:rsidRPr="00884A73">
        <w:rPr>
          <w:rFonts w:ascii="Arial" w:hAnsi="Arial" w:cs="Arial"/>
          <w:sz w:val="22"/>
          <w:szCs w:val="22"/>
        </w:rPr>
        <w:t>final</w:t>
      </w:r>
      <w:r w:rsidR="007D242C" w:rsidRPr="00884A73">
        <w:rPr>
          <w:rFonts w:ascii="Arial" w:hAnsi="Arial" w:cs="Arial"/>
          <w:sz w:val="22"/>
          <w:szCs w:val="22"/>
        </w:rPr>
        <w:t xml:space="preserve"> de las ofertas</w:t>
      </w:r>
      <w:r w:rsidR="008B1C27" w:rsidRPr="00884A73">
        <w:rPr>
          <w:rFonts w:ascii="Arial" w:hAnsi="Arial" w:cs="Arial"/>
          <w:sz w:val="22"/>
          <w:szCs w:val="22"/>
        </w:rPr>
        <w:t xml:space="preserve"> en las que</w:t>
      </w:r>
      <w:r w:rsidR="002A0928" w:rsidRPr="00884A73">
        <w:rPr>
          <w:rFonts w:ascii="Arial" w:hAnsi="Arial" w:cs="Arial"/>
          <w:sz w:val="22"/>
          <w:szCs w:val="22"/>
        </w:rPr>
        <w:t>,</w:t>
      </w:r>
      <w:r w:rsidR="008B1C27" w:rsidRPr="00884A73">
        <w:rPr>
          <w:rFonts w:ascii="Arial" w:hAnsi="Arial" w:cs="Arial"/>
          <w:sz w:val="22"/>
          <w:szCs w:val="22"/>
        </w:rPr>
        <w:t xml:space="preserve"> </w:t>
      </w:r>
      <w:r w:rsidR="00C113D8" w:rsidRPr="00884A73">
        <w:rPr>
          <w:rFonts w:ascii="Arial" w:hAnsi="Arial" w:cs="Arial"/>
          <w:sz w:val="22"/>
          <w:szCs w:val="22"/>
        </w:rPr>
        <w:t>realizándose la</w:t>
      </w:r>
      <w:r w:rsidR="002A0928" w:rsidRPr="00884A73">
        <w:rPr>
          <w:rFonts w:ascii="Arial" w:hAnsi="Arial" w:cs="Arial"/>
          <w:sz w:val="22"/>
          <w:szCs w:val="22"/>
        </w:rPr>
        <w:t xml:space="preserve"> comparación </w:t>
      </w:r>
      <w:r w:rsidR="00FA4168" w:rsidRPr="00884A73">
        <w:rPr>
          <w:rFonts w:ascii="Arial" w:hAnsi="Arial" w:cs="Arial"/>
          <w:sz w:val="22"/>
          <w:szCs w:val="22"/>
        </w:rPr>
        <w:t>de acuerdo con</w:t>
      </w:r>
      <w:r w:rsidR="00672E16" w:rsidRPr="00884A73">
        <w:rPr>
          <w:rFonts w:ascii="Arial" w:hAnsi="Arial" w:cs="Arial"/>
          <w:sz w:val="22"/>
          <w:szCs w:val="22"/>
        </w:rPr>
        <w:t xml:space="preserve"> </w:t>
      </w:r>
      <w:r w:rsidR="008B1C27" w:rsidRPr="00884A73">
        <w:rPr>
          <w:rFonts w:ascii="Arial" w:hAnsi="Arial" w:cs="Arial"/>
          <w:sz w:val="22"/>
          <w:szCs w:val="22"/>
        </w:rPr>
        <w:t>los factores de calificación, evaluación</w:t>
      </w:r>
      <w:r w:rsidR="00665C4C" w:rsidRPr="00884A73">
        <w:rPr>
          <w:rFonts w:ascii="Arial" w:hAnsi="Arial" w:cs="Arial"/>
          <w:sz w:val="22"/>
          <w:szCs w:val="22"/>
        </w:rPr>
        <w:t xml:space="preserve"> o</w:t>
      </w:r>
      <w:r w:rsidR="008B1C27" w:rsidRPr="00884A73">
        <w:rPr>
          <w:rFonts w:ascii="Arial" w:hAnsi="Arial" w:cs="Arial"/>
          <w:sz w:val="22"/>
          <w:szCs w:val="22"/>
        </w:rPr>
        <w:t xml:space="preserve"> ponderación</w:t>
      </w:r>
      <w:r w:rsidR="00BA0A51" w:rsidRPr="00884A73">
        <w:rPr>
          <w:rFonts w:ascii="Arial" w:hAnsi="Arial" w:cs="Arial"/>
          <w:sz w:val="22"/>
          <w:szCs w:val="22"/>
        </w:rPr>
        <w:t xml:space="preserve"> </w:t>
      </w:r>
      <w:r w:rsidR="00672E16" w:rsidRPr="00884A73">
        <w:rPr>
          <w:rFonts w:ascii="Arial" w:hAnsi="Arial" w:cs="Arial"/>
          <w:sz w:val="22"/>
          <w:szCs w:val="22"/>
        </w:rPr>
        <w:t xml:space="preserve">aplicables al respectivo procedimiento, se presenta un empate entre </w:t>
      </w:r>
      <w:r w:rsidR="007E327F" w:rsidRPr="00884A73">
        <w:rPr>
          <w:rFonts w:ascii="Arial" w:hAnsi="Arial" w:cs="Arial"/>
          <w:sz w:val="22"/>
          <w:szCs w:val="22"/>
        </w:rPr>
        <w:t xml:space="preserve">dos o más </w:t>
      </w:r>
      <w:r w:rsidR="00CD614A" w:rsidRPr="00884A73">
        <w:rPr>
          <w:rFonts w:ascii="Arial" w:hAnsi="Arial" w:cs="Arial"/>
          <w:sz w:val="22"/>
          <w:szCs w:val="22"/>
        </w:rPr>
        <w:t>propuestas</w:t>
      </w:r>
      <w:r w:rsidR="000F045A" w:rsidRPr="00884A73">
        <w:rPr>
          <w:rFonts w:ascii="Arial" w:hAnsi="Arial" w:cs="Arial"/>
          <w:sz w:val="22"/>
          <w:szCs w:val="22"/>
        </w:rPr>
        <w:t xml:space="preserve">. </w:t>
      </w:r>
    </w:p>
    <w:p w14:paraId="7E9C2098" w14:textId="340E9583" w:rsidR="005F5935" w:rsidRPr="00884A73" w:rsidRDefault="008D15D4" w:rsidP="00EB2ED0">
      <w:pPr>
        <w:tabs>
          <w:tab w:val="left" w:pos="0"/>
        </w:tabs>
        <w:spacing w:after="120" w:line="276" w:lineRule="auto"/>
        <w:jc w:val="both"/>
        <w:rPr>
          <w:rFonts w:ascii="Arial" w:hAnsi="Arial" w:cs="Arial"/>
          <w:sz w:val="22"/>
          <w:szCs w:val="22"/>
        </w:rPr>
      </w:pPr>
      <w:r w:rsidRPr="00884A73">
        <w:rPr>
          <w:rFonts w:ascii="Arial" w:hAnsi="Arial" w:cs="Arial"/>
          <w:sz w:val="22"/>
          <w:szCs w:val="22"/>
        </w:rPr>
        <w:tab/>
      </w:r>
      <w:r w:rsidR="006407A5" w:rsidRPr="00884A73">
        <w:rPr>
          <w:rFonts w:ascii="Arial" w:hAnsi="Arial" w:cs="Arial"/>
          <w:sz w:val="22"/>
          <w:szCs w:val="22"/>
        </w:rPr>
        <w:t xml:space="preserve">En ese entendido, </w:t>
      </w:r>
      <w:r w:rsidR="007969E1" w:rsidRPr="00884A73">
        <w:rPr>
          <w:rFonts w:ascii="Arial" w:hAnsi="Arial" w:cs="Arial"/>
          <w:sz w:val="22"/>
          <w:szCs w:val="22"/>
        </w:rPr>
        <w:t xml:space="preserve">con independencia </w:t>
      </w:r>
      <w:r w:rsidR="006407A5" w:rsidRPr="00884A73">
        <w:rPr>
          <w:rFonts w:ascii="Arial" w:hAnsi="Arial" w:cs="Arial"/>
          <w:sz w:val="22"/>
          <w:szCs w:val="22"/>
        </w:rPr>
        <w:t>de que la ponderación emple</w:t>
      </w:r>
      <w:r w:rsidR="00BE2661" w:rsidRPr="00884A73">
        <w:rPr>
          <w:rFonts w:ascii="Arial" w:hAnsi="Arial" w:cs="Arial"/>
          <w:sz w:val="22"/>
          <w:szCs w:val="22"/>
        </w:rPr>
        <w:t>e</w:t>
      </w:r>
      <w:r w:rsidR="00023A0B" w:rsidRPr="00884A73">
        <w:rPr>
          <w:rFonts w:ascii="Arial" w:hAnsi="Arial" w:cs="Arial"/>
          <w:sz w:val="22"/>
          <w:szCs w:val="22"/>
        </w:rPr>
        <w:t xml:space="preserve"> </w:t>
      </w:r>
      <w:r w:rsidR="006407A5" w:rsidRPr="00884A73">
        <w:rPr>
          <w:rFonts w:ascii="Arial" w:hAnsi="Arial" w:cs="Arial"/>
          <w:sz w:val="22"/>
          <w:szCs w:val="22"/>
        </w:rPr>
        <w:t>puntajes</w:t>
      </w:r>
      <w:r w:rsidR="00B24007" w:rsidRPr="00884A73">
        <w:rPr>
          <w:rFonts w:ascii="Arial" w:hAnsi="Arial" w:cs="Arial"/>
          <w:sz w:val="22"/>
          <w:szCs w:val="22"/>
        </w:rPr>
        <w:t xml:space="preserve">, </w:t>
      </w:r>
      <w:r w:rsidR="006407A5" w:rsidRPr="00884A73">
        <w:rPr>
          <w:rFonts w:ascii="Arial" w:hAnsi="Arial" w:cs="Arial"/>
          <w:sz w:val="22"/>
          <w:szCs w:val="22"/>
        </w:rPr>
        <w:t xml:space="preserve"> f</w:t>
      </w:r>
      <w:r w:rsidR="00B24007" w:rsidRPr="00884A73">
        <w:rPr>
          <w:rFonts w:ascii="Arial" w:hAnsi="Arial" w:cs="Arial"/>
          <w:sz w:val="22"/>
          <w:szCs w:val="22"/>
        </w:rPr>
        <w:t>ó</w:t>
      </w:r>
      <w:r w:rsidR="006407A5" w:rsidRPr="00884A73">
        <w:rPr>
          <w:rFonts w:ascii="Arial" w:hAnsi="Arial" w:cs="Arial"/>
          <w:sz w:val="22"/>
          <w:szCs w:val="22"/>
        </w:rPr>
        <w:t>rmulas</w:t>
      </w:r>
      <w:r w:rsidR="00023A0B" w:rsidRPr="00884A73">
        <w:rPr>
          <w:rFonts w:ascii="Arial" w:hAnsi="Arial" w:cs="Arial"/>
          <w:sz w:val="22"/>
          <w:szCs w:val="22"/>
        </w:rPr>
        <w:t>,</w:t>
      </w:r>
      <w:r w:rsidR="00B24007" w:rsidRPr="00884A73">
        <w:rPr>
          <w:rFonts w:ascii="Arial" w:hAnsi="Arial" w:cs="Arial"/>
          <w:sz w:val="22"/>
          <w:szCs w:val="22"/>
        </w:rPr>
        <w:t xml:space="preserve"> criterios de relación co</w:t>
      </w:r>
      <w:r w:rsidR="00D15727" w:rsidRPr="00884A73">
        <w:rPr>
          <w:rFonts w:ascii="Arial" w:hAnsi="Arial" w:cs="Arial"/>
          <w:sz w:val="22"/>
          <w:szCs w:val="22"/>
        </w:rPr>
        <w:t>s</w:t>
      </w:r>
      <w:r w:rsidR="00B24007" w:rsidRPr="00884A73">
        <w:rPr>
          <w:rFonts w:ascii="Arial" w:hAnsi="Arial" w:cs="Arial"/>
          <w:sz w:val="22"/>
          <w:szCs w:val="22"/>
        </w:rPr>
        <w:t>to – beneficio</w:t>
      </w:r>
      <w:r w:rsidR="00023A0B" w:rsidRPr="00884A73">
        <w:rPr>
          <w:rFonts w:ascii="Arial" w:hAnsi="Arial" w:cs="Arial"/>
          <w:sz w:val="22"/>
          <w:szCs w:val="22"/>
        </w:rPr>
        <w:t xml:space="preserve"> o de que el único criterio de evaluación sea el menor precio, </w:t>
      </w:r>
      <w:r w:rsidR="008B36BE" w:rsidRPr="00884A73">
        <w:rPr>
          <w:rFonts w:ascii="Arial" w:hAnsi="Arial" w:cs="Arial"/>
          <w:sz w:val="22"/>
          <w:szCs w:val="22"/>
        </w:rPr>
        <w:t xml:space="preserve">deben aplicarse los factores de desempate </w:t>
      </w:r>
      <w:r w:rsidR="00F22E8B" w:rsidRPr="00884A73">
        <w:rPr>
          <w:rFonts w:ascii="Arial" w:hAnsi="Arial" w:cs="Arial"/>
          <w:sz w:val="22"/>
          <w:szCs w:val="22"/>
        </w:rPr>
        <w:t>d</w:t>
      </w:r>
      <w:r w:rsidR="00032C89" w:rsidRPr="00884A73">
        <w:rPr>
          <w:rFonts w:ascii="Arial" w:hAnsi="Arial" w:cs="Arial"/>
          <w:sz w:val="22"/>
          <w:szCs w:val="22"/>
        </w:rPr>
        <w:t>el artículo 35 de la Ley 2069 de 2020</w:t>
      </w:r>
      <w:r w:rsidR="007969E1" w:rsidRPr="00884A73">
        <w:rPr>
          <w:rFonts w:ascii="Arial" w:hAnsi="Arial" w:cs="Arial"/>
          <w:sz w:val="22"/>
          <w:szCs w:val="22"/>
        </w:rPr>
        <w:t xml:space="preserve"> </w:t>
      </w:r>
      <w:r w:rsidR="00071CFC" w:rsidRPr="00884A73">
        <w:rPr>
          <w:rFonts w:ascii="Arial" w:hAnsi="Arial" w:cs="Arial"/>
          <w:sz w:val="22"/>
          <w:szCs w:val="22"/>
        </w:rPr>
        <w:t>en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w:t>
      </w:r>
      <w:r w:rsidR="00032C89" w:rsidRPr="00884A73">
        <w:rPr>
          <w:rFonts w:ascii="Arial" w:hAnsi="Arial" w:cs="Arial"/>
          <w:sz w:val="22"/>
          <w:szCs w:val="22"/>
        </w:rPr>
        <w:t>.</w:t>
      </w:r>
    </w:p>
    <w:bookmarkEnd w:id="10"/>
    <w:p w14:paraId="005DA4CA" w14:textId="02C6F51B" w:rsidR="000F6420" w:rsidRPr="00884A73" w:rsidRDefault="00032C89" w:rsidP="00EB2ED0">
      <w:pPr>
        <w:tabs>
          <w:tab w:val="left" w:pos="0"/>
        </w:tabs>
        <w:spacing w:line="276" w:lineRule="auto"/>
        <w:jc w:val="both"/>
        <w:rPr>
          <w:rFonts w:ascii="Arial" w:eastAsia="Calibri" w:hAnsi="Arial" w:cs="Arial"/>
          <w:bCs/>
          <w:sz w:val="22"/>
          <w:lang w:val="es-ES_tradnl"/>
        </w:rPr>
      </w:pPr>
      <w:r w:rsidRPr="00884A73">
        <w:rPr>
          <w:rFonts w:ascii="Arial" w:eastAsia="Calibri" w:hAnsi="Arial" w:cs="Arial"/>
          <w:bCs/>
          <w:sz w:val="22"/>
          <w:szCs w:val="22"/>
          <w:lang w:val="es-ES_tradnl"/>
        </w:rPr>
        <w:tab/>
      </w:r>
      <w:r w:rsidR="00D827B5" w:rsidRPr="00884A73">
        <w:rPr>
          <w:rFonts w:ascii="Arial" w:eastAsia="Calibri" w:hAnsi="Arial" w:cs="Arial"/>
          <w:bCs/>
          <w:sz w:val="22"/>
          <w:szCs w:val="22"/>
          <w:lang w:val="es-ES_tradnl"/>
        </w:rPr>
        <w:t>Esta interpretación garantiza que el artículo 35 de la Ley 2069 de 2020</w:t>
      </w:r>
      <w:r w:rsidR="008453BA" w:rsidRPr="00884A73">
        <w:rPr>
          <w:rFonts w:ascii="Arial" w:eastAsia="Calibri" w:hAnsi="Arial" w:cs="Arial"/>
          <w:bCs/>
          <w:sz w:val="22"/>
          <w:szCs w:val="22"/>
          <w:lang w:val="es-ES_tradnl"/>
        </w:rPr>
        <w:t xml:space="preserve"> cumpla la finalidad transversal con la que fue concebido,</w:t>
      </w:r>
      <w:r w:rsidR="006129AF" w:rsidRPr="00884A73">
        <w:rPr>
          <w:rFonts w:ascii="Arial" w:eastAsia="Calibri" w:hAnsi="Arial" w:cs="Arial"/>
          <w:bCs/>
          <w:sz w:val="22"/>
          <w:szCs w:val="22"/>
          <w:lang w:val="es-ES_tradnl"/>
        </w:rPr>
        <w:t xml:space="preserve"> </w:t>
      </w:r>
      <w:r w:rsidR="005B6C2A" w:rsidRPr="00884A73">
        <w:rPr>
          <w:rFonts w:ascii="Arial" w:eastAsia="Calibri" w:hAnsi="Arial" w:cs="Arial"/>
          <w:bCs/>
          <w:sz w:val="22"/>
          <w:szCs w:val="22"/>
          <w:lang w:val="es-ES_tradnl"/>
        </w:rPr>
        <w:t xml:space="preserve">a diferencia de </w:t>
      </w:r>
      <w:r w:rsidR="006129AF" w:rsidRPr="00884A73">
        <w:rPr>
          <w:rFonts w:ascii="Arial" w:eastAsia="Calibri" w:hAnsi="Arial" w:cs="Arial"/>
          <w:bCs/>
          <w:sz w:val="22"/>
          <w:szCs w:val="22"/>
          <w:lang w:val="es-ES_tradnl"/>
        </w:rPr>
        <w:t xml:space="preserve">la interpretación </w:t>
      </w:r>
      <w:r w:rsidR="00AA1778" w:rsidRPr="00884A73">
        <w:rPr>
          <w:rFonts w:ascii="Arial" w:eastAsia="Calibri" w:hAnsi="Arial" w:cs="Arial"/>
          <w:bCs/>
          <w:sz w:val="22"/>
          <w:szCs w:val="22"/>
          <w:lang w:val="es-ES_tradnl"/>
        </w:rPr>
        <w:t xml:space="preserve">restringida </w:t>
      </w:r>
      <w:r w:rsidR="006129AF" w:rsidRPr="00884A73">
        <w:rPr>
          <w:rFonts w:ascii="Arial" w:eastAsia="Calibri" w:hAnsi="Arial" w:cs="Arial"/>
          <w:bCs/>
          <w:sz w:val="22"/>
          <w:szCs w:val="22"/>
          <w:lang w:val="es-ES_tradnl"/>
        </w:rPr>
        <w:t>del mismo, que priva a la nor</w:t>
      </w:r>
      <w:r w:rsidR="005945A4" w:rsidRPr="00884A73">
        <w:rPr>
          <w:rFonts w:ascii="Arial" w:eastAsia="Calibri" w:hAnsi="Arial" w:cs="Arial"/>
          <w:bCs/>
          <w:sz w:val="22"/>
          <w:szCs w:val="22"/>
          <w:lang w:val="es-ES_tradnl"/>
        </w:rPr>
        <w:t xml:space="preserve">ma de una gran parte de su ámbito aplicación. En ese sentido, la interpretación sistemática </w:t>
      </w:r>
      <w:r w:rsidR="00071CFC" w:rsidRPr="00884A73">
        <w:rPr>
          <w:rFonts w:ascii="Arial" w:eastAsia="Calibri" w:hAnsi="Arial" w:cs="Arial"/>
          <w:bCs/>
          <w:sz w:val="22"/>
          <w:szCs w:val="22"/>
          <w:lang w:val="es-ES_tradnl"/>
        </w:rPr>
        <w:t>está</w:t>
      </w:r>
      <w:r w:rsidR="00641B12" w:rsidRPr="00884A73">
        <w:rPr>
          <w:rFonts w:ascii="Arial" w:eastAsia="Calibri" w:hAnsi="Arial" w:cs="Arial"/>
          <w:bCs/>
          <w:sz w:val="22"/>
          <w:szCs w:val="22"/>
          <w:lang w:val="es-ES_tradnl"/>
        </w:rPr>
        <w:t xml:space="preserve"> respalda</w:t>
      </w:r>
      <w:r w:rsidR="00C32A60" w:rsidRPr="00884A73">
        <w:rPr>
          <w:rFonts w:ascii="Arial" w:eastAsia="Calibri" w:hAnsi="Arial" w:cs="Arial"/>
          <w:bCs/>
          <w:sz w:val="22"/>
          <w:szCs w:val="22"/>
          <w:lang w:val="es-ES_tradnl"/>
        </w:rPr>
        <w:t>da</w:t>
      </w:r>
      <w:r w:rsidR="00641B12" w:rsidRPr="00884A73">
        <w:rPr>
          <w:rFonts w:ascii="Arial" w:eastAsia="Calibri" w:hAnsi="Arial" w:cs="Arial"/>
          <w:bCs/>
          <w:sz w:val="22"/>
          <w:szCs w:val="22"/>
          <w:lang w:val="es-ES_tradnl"/>
        </w:rPr>
        <w:t xml:space="preserve"> por </w:t>
      </w:r>
      <w:r w:rsidR="000F6787" w:rsidRPr="00884A73">
        <w:rPr>
          <w:rFonts w:ascii="Arial" w:eastAsia="Calibri" w:hAnsi="Arial" w:cs="Arial"/>
          <w:bCs/>
          <w:sz w:val="22"/>
          <w:szCs w:val="22"/>
          <w:lang w:val="es-ES_tradnl"/>
        </w:rPr>
        <w:t xml:space="preserve">la aplicación del </w:t>
      </w:r>
      <w:r w:rsidR="00641B12" w:rsidRPr="00884A73">
        <w:rPr>
          <w:rFonts w:ascii="Arial" w:eastAsia="Calibri" w:hAnsi="Arial" w:cs="Arial"/>
          <w:bCs/>
          <w:sz w:val="22"/>
          <w:szCs w:val="22"/>
          <w:lang w:val="es-ES_tradnl"/>
        </w:rPr>
        <w:t xml:space="preserve">principio </w:t>
      </w:r>
      <w:r w:rsidR="00C32A60" w:rsidRPr="00884A73">
        <w:rPr>
          <w:rFonts w:ascii="Arial" w:eastAsia="Calibri" w:hAnsi="Arial" w:cs="Arial"/>
          <w:bCs/>
          <w:sz w:val="22"/>
          <w:szCs w:val="22"/>
          <w:lang w:val="es-ES_tradnl"/>
        </w:rPr>
        <w:t xml:space="preserve">hermenéutico </w:t>
      </w:r>
      <w:r w:rsidR="00641B12" w:rsidRPr="00884A73">
        <w:rPr>
          <w:rFonts w:ascii="Arial" w:eastAsia="Calibri" w:hAnsi="Arial" w:cs="Arial"/>
          <w:bCs/>
          <w:sz w:val="22"/>
          <w:szCs w:val="22"/>
          <w:lang w:val="es-ES_tradnl"/>
        </w:rPr>
        <w:t>del</w:t>
      </w:r>
      <w:r w:rsidR="009E6BA8" w:rsidRPr="00884A73">
        <w:rPr>
          <w:rFonts w:ascii="Arial" w:eastAsia="Calibri" w:hAnsi="Arial" w:cs="Arial"/>
          <w:bCs/>
          <w:i/>
          <w:iCs/>
          <w:sz w:val="22"/>
          <w:szCs w:val="22"/>
          <w:lang w:val="es-ES_tradnl"/>
        </w:rPr>
        <w:t xml:space="preserve"> efecto útil de las normas</w:t>
      </w:r>
      <w:r w:rsidR="009E6BA8" w:rsidRPr="00884A73">
        <w:rPr>
          <w:rStyle w:val="Refdenotaalpie"/>
          <w:rFonts w:ascii="Arial" w:eastAsiaTheme="minorHAnsi" w:hAnsi="Arial" w:cs="Arial"/>
          <w:sz w:val="22"/>
          <w:szCs w:val="22"/>
          <w:lang w:eastAsia="en-US"/>
        </w:rPr>
        <w:footnoteReference w:id="18"/>
      </w:r>
      <w:r w:rsidR="009E6BA8" w:rsidRPr="00884A73">
        <w:rPr>
          <w:rFonts w:ascii="Arial" w:eastAsiaTheme="minorHAnsi" w:hAnsi="Arial" w:cs="Arial"/>
          <w:sz w:val="22"/>
          <w:szCs w:val="22"/>
          <w:lang w:eastAsia="en-US"/>
        </w:rPr>
        <w:t>.</w:t>
      </w:r>
      <w:r w:rsidR="001419D7" w:rsidRPr="00884A73">
        <w:rPr>
          <w:rFonts w:ascii="Arial" w:eastAsia="Calibri" w:hAnsi="Arial" w:cs="Arial"/>
          <w:b/>
          <w:sz w:val="22"/>
          <w:lang w:val="es-ES_tradnl"/>
        </w:rPr>
        <w:t xml:space="preserve"> </w:t>
      </w:r>
      <w:r w:rsidR="00BA5D36" w:rsidRPr="00884A73">
        <w:rPr>
          <w:rFonts w:ascii="Arial" w:eastAsia="Calibri" w:hAnsi="Arial" w:cs="Arial"/>
          <w:bCs/>
          <w:sz w:val="22"/>
          <w:lang w:val="es-ES_tradnl"/>
        </w:rPr>
        <w:t>Por tanto</w:t>
      </w:r>
      <w:r w:rsidR="009E788D" w:rsidRPr="00884A73">
        <w:rPr>
          <w:rFonts w:ascii="Arial" w:eastAsia="Calibri" w:hAnsi="Arial" w:cs="Arial"/>
          <w:bCs/>
          <w:sz w:val="22"/>
          <w:lang w:val="es-ES_tradnl"/>
        </w:rPr>
        <w:t>,</w:t>
      </w:r>
      <w:r w:rsidR="00B80F98" w:rsidRPr="00884A73">
        <w:rPr>
          <w:rFonts w:ascii="Arial" w:eastAsia="Calibri" w:hAnsi="Arial" w:cs="Arial"/>
          <w:bCs/>
          <w:sz w:val="22"/>
          <w:lang w:val="es-ES_tradnl"/>
        </w:rPr>
        <w:t xml:space="preserve"> </w:t>
      </w:r>
      <w:r w:rsidR="005B6C2A" w:rsidRPr="00884A73">
        <w:rPr>
          <w:rFonts w:ascii="Arial" w:eastAsia="Calibri" w:hAnsi="Arial" w:cs="Arial"/>
          <w:bCs/>
          <w:sz w:val="22"/>
          <w:lang w:val="es-ES_tradnl"/>
        </w:rPr>
        <w:t>los fac</w:t>
      </w:r>
      <w:r w:rsidR="00037510" w:rsidRPr="00884A73">
        <w:rPr>
          <w:rFonts w:ascii="Arial" w:eastAsia="Calibri" w:hAnsi="Arial" w:cs="Arial"/>
          <w:bCs/>
          <w:sz w:val="22"/>
          <w:lang w:val="es-ES_tradnl"/>
        </w:rPr>
        <w:t xml:space="preserve">tores de desempate </w:t>
      </w:r>
      <w:r w:rsidR="001419D7" w:rsidRPr="00884A73">
        <w:rPr>
          <w:rFonts w:ascii="Arial" w:eastAsia="Calibri" w:hAnsi="Arial" w:cs="Arial"/>
          <w:bCs/>
          <w:sz w:val="22"/>
          <w:lang w:val="es-ES_tradnl"/>
        </w:rPr>
        <w:t>de la Ley de Emprendimiento aplican</w:t>
      </w:r>
      <w:r w:rsidR="00037510" w:rsidRPr="00884A73">
        <w:rPr>
          <w:rFonts w:ascii="Arial" w:eastAsia="Calibri" w:hAnsi="Arial" w:cs="Arial"/>
          <w:bCs/>
          <w:sz w:val="22"/>
          <w:lang w:val="es-ES_tradnl"/>
        </w:rPr>
        <w:t xml:space="preserve"> </w:t>
      </w:r>
      <w:r w:rsidR="00BD3EC3" w:rsidRPr="00884A73">
        <w:rPr>
          <w:rFonts w:ascii="Arial" w:eastAsia="Calibri" w:hAnsi="Arial" w:cs="Arial"/>
          <w:bCs/>
          <w:sz w:val="22"/>
          <w:lang w:val="es-ES_tradnl"/>
        </w:rPr>
        <w:t>a todos los procesos de selección de las entidades estatales</w:t>
      </w:r>
      <w:r w:rsidR="00147FCE" w:rsidRPr="00884A73">
        <w:rPr>
          <w:rFonts w:ascii="Arial" w:eastAsia="Calibri" w:hAnsi="Arial" w:cs="Arial"/>
          <w:bCs/>
          <w:sz w:val="22"/>
          <w:lang w:val="es-ES_tradnl"/>
        </w:rPr>
        <w:t xml:space="preserve"> </w:t>
      </w:r>
      <w:r w:rsidR="00B76E53" w:rsidRPr="00884A73">
        <w:rPr>
          <w:rFonts w:ascii="Arial" w:eastAsia="Calibri" w:hAnsi="Arial" w:cs="Arial"/>
          <w:bCs/>
          <w:sz w:val="22"/>
          <w:lang w:val="es-ES_tradnl"/>
        </w:rPr>
        <w:t xml:space="preserve">sin importar su régimen </w:t>
      </w:r>
      <w:r w:rsidR="00FA4408" w:rsidRPr="00884A73">
        <w:rPr>
          <w:rFonts w:ascii="Arial" w:eastAsia="Calibri" w:hAnsi="Arial" w:cs="Arial"/>
          <w:bCs/>
          <w:sz w:val="22"/>
          <w:lang w:val="es-ES_tradnl"/>
        </w:rPr>
        <w:t>contractual</w:t>
      </w:r>
      <w:r w:rsidR="00BD3EC3" w:rsidRPr="00884A73">
        <w:rPr>
          <w:rFonts w:ascii="Arial" w:eastAsia="Calibri" w:hAnsi="Arial" w:cs="Arial"/>
          <w:bCs/>
          <w:sz w:val="22"/>
          <w:lang w:val="es-ES_tradnl"/>
        </w:rPr>
        <w:t xml:space="preserve">, en los que </w:t>
      </w:r>
      <w:r w:rsidR="00B77271" w:rsidRPr="00884A73">
        <w:rPr>
          <w:rFonts w:ascii="Arial" w:eastAsia="Calibri" w:hAnsi="Arial" w:cs="Arial"/>
          <w:bCs/>
          <w:sz w:val="22"/>
          <w:lang w:val="es-ES_tradnl"/>
        </w:rPr>
        <w:t xml:space="preserve">se </w:t>
      </w:r>
      <w:r w:rsidR="00BD3EC3" w:rsidRPr="00884A73">
        <w:rPr>
          <w:rFonts w:ascii="Arial" w:eastAsia="Calibri" w:hAnsi="Arial" w:cs="Arial"/>
          <w:bCs/>
          <w:sz w:val="22"/>
          <w:lang w:val="es-ES_tradnl"/>
        </w:rPr>
        <w:t>present</w:t>
      </w:r>
      <w:r w:rsidR="00B77271" w:rsidRPr="00884A73">
        <w:rPr>
          <w:rFonts w:ascii="Arial" w:eastAsia="Calibri" w:hAnsi="Arial" w:cs="Arial"/>
          <w:bCs/>
          <w:sz w:val="22"/>
          <w:lang w:val="es-ES_tradnl"/>
        </w:rPr>
        <w:t>e</w:t>
      </w:r>
      <w:r w:rsidR="00BD3EC3" w:rsidRPr="00884A73">
        <w:rPr>
          <w:rFonts w:ascii="Arial" w:eastAsia="Calibri" w:hAnsi="Arial" w:cs="Arial"/>
          <w:bCs/>
          <w:sz w:val="22"/>
          <w:lang w:val="es-ES_tradnl"/>
        </w:rPr>
        <w:t xml:space="preserve"> </w:t>
      </w:r>
      <w:r w:rsidR="00151CD6" w:rsidRPr="00884A73">
        <w:rPr>
          <w:rFonts w:ascii="Arial" w:eastAsia="Calibri" w:hAnsi="Arial" w:cs="Arial"/>
          <w:bCs/>
          <w:sz w:val="22"/>
          <w:lang w:val="es-ES_tradnl"/>
        </w:rPr>
        <w:t>esta situación</w:t>
      </w:r>
      <w:r w:rsidR="00BD3EC3" w:rsidRPr="00884A73">
        <w:rPr>
          <w:rFonts w:ascii="Arial" w:eastAsia="Calibri" w:hAnsi="Arial" w:cs="Arial"/>
          <w:bCs/>
          <w:sz w:val="22"/>
          <w:lang w:val="es-ES_tradnl"/>
        </w:rPr>
        <w:t xml:space="preserve"> </w:t>
      </w:r>
      <w:r w:rsidR="00147FCE" w:rsidRPr="00884A73">
        <w:rPr>
          <w:rFonts w:ascii="Arial" w:eastAsia="Calibri" w:hAnsi="Arial" w:cs="Arial"/>
          <w:bCs/>
          <w:sz w:val="22"/>
          <w:lang w:val="es-ES_tradnl"/>
        </w:rPr>
        <w:t>entre varias ofertas</w:t>
      </w:r>
      <w:r w:rsidR="009D3D06" w:rsidRPr="00884A73">
        <w:rPr>
          <w:rFonts w:ascii="Arial" w:eastAsia="Calibri" w:hAnsi="Arial" w:cs="Arial"/>
          <w:bCs/>
          <w:sz w:val="22"/>
          <w:lang w:val="es-ES_tradnl"/>
        </w:rPr>
        <w:t xml:space="preserve">, una vez comparadas las mismas ponderando los factores de evaluación </w:t>
      </w:r>
      <w:r w:rsidR="00B076C1" w:rsidRPr="00884A73">
        <w:rPr>
          <w:rFonts w:ascii="Arial" w:eastAsia="Calibri" w:hAnsi="Arial" w:cs="Arial"/>
          <w:bCs/>
          <w:sz w:val="22"/>
          <w:lang w:val="es-ES_tradnl"/>
        </w:rPr>
        <w:t xml:space="preserve">de acuerdo con </w:t>
      </w:r>
      <w:r w:rsidR="009D3D06" w:rsidRPr="00884A73">
        <w:rPr>
          <w:rFonts w:ascii="Arial" w:eastAsia="Calibri" w:hAnsi="Arial" w:cs="Arial"/>
          <w:bCs/>
          <w:sz w:val="22"/>
          <w:lang w:val="es-ES_tradnl"/>
        </w:rPr>
        <w:t>las reglas establecidas en el pliego de condiciones</w:t>
      </w:r>
      <w:r w:rsidR="00151CD6" w:rsidRPr="00884A73">
        <w:rPr>
          <w:rFonts w:ascii="Arial" w:eastAsia="Calibri" w:hAnsi="Arial" w:cs="Arial"/>
          <w:bCs/>
          <w:sz w:val="22"/>
          <w:lang w:val="es-ES_tradnl"/>
        </w:rPr>
        <w:t xml:space="preserve"> o documento equivalente</w:t>
      </w:r>
      <w:r w:rsidR="002530E2" w:rsidRPr="00884A73">
        <w:rPr>
          <w:rFonts w:ascii="Arial" w:eastAsia="Calibri" w:hAnsi="Arial" w:cs="Arial"/>
          <w:bCs/>
          <w:sz w:val="22"/>
          <w:lang w:val="es-ES_tradnl"/>
        </w:rPr>
        <w:t>.</w:t>
      </w:r>
      <w:r w:rsidR="00F82421" w:rsidRPr="00884A73">
        <w:rPr>
          <w:rFonts w:ascii="Arial" w:eastAsia="Calibri" w:hAnsi="Arial" w:cs="Arial"/>
          <w:bCs/>
          <w:sz w:val="22"/>
          <w:lang w:val="es-ES_tradnl"/>
        </w:rPr>
        <w:t xml:space="preserve"> </w:t>
      </w:r>
    </w:p>
    <w:p w14:paraId="4AB0FD4C" w14:textId="75181B0D" w:rsidR="003035B9" w:rsidRPr="00884A73" w:rsidRDefault="003035B9" w:rsidP="003035B9">
      <w:pPr>
        <w:spacing w:before="120" w:line="276" w:lineRule="auto"/>
        <w:ind w:firstLine="709"/>
        <w:jc w:val="both"/>
        <w:rPr>
          <w:rFonts w:ascii="Arial" w:eastAsia="Arial" w:hAnsi="Arial" w:cs="Arial"/>
          <w:sz w:val="22"/>
          <w:szCs w:val="22"/>
        </w:rPr>
      </w:pPr>
      <w:r w:rsidRPr="00884A73">
        <w:rPr>
          <w:rFonts w:ascii="Arial" w:eastAsia="Arial" w:hAnsi="Arial" w:cs="Arial"/>
          <w:sz w:val="22"/>
          <w:szCs w:val="22"/>
        </w:rPr>
        <w:lastRenderedPageBreak/>
        <w:t xml:space="preserve">Conforme a lo anterior, los factores de desempate regulados en el artículo 35 de la Ley 2069 de 2020 se deben tener en cuenta en todos los procedimientos de contratación estatal, pues la referida disposición, en el primer inciso, establece que aquellos rigen </w:t>
      </w:r>
      <w:r w:rsidR="00AA1778" w:rsidRPr="00884A73">
        <w:rPr>
          <w:rFonts w:ascii="Arial" w:eastAsia="Arial" w:hAnsi="Arial" w:cs="Arial"/>
          <w:sz w:val="22"/>
          <w:szCs w:val="22"/>
        </w:rPr>
        <w:t>«en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w:t>
      </w:r>
      <w:r w:rsidRPr="00884A73">
        <w:rPr>
          <w:rFonts w:ascii="Arial" w:eastAsia="Arial" w:hAnsi="Arial" w:cs="Arial"/>
          <w:sz w:val="22"/>
          <w:szCs w:val="22"/>
        </w:rPr>
        <w:t xml:space="preserve">. Por ello, esta Agencia ha indicado que si el legislador no distinguió modalidades de selección contractual específicas –efectuadas con recursos públicos– en las que deben aplicarse los factores de desempate, no le está permitido al intérprete hacerlo. Bajo este entendimiento, dichos factores rigen en los procedimientos de licitación pública, selección abreviada –en cualquiera de sus modalidades–, concurso de méritos, contratación de mínima cuantía, pero también en los demás procedimientos adelantados </w:t>
      </w:r>
      <w:r w:rsidRPr="00884A73">
        <w:rPr>
          <w:rFonts w:ascii="Arial" w:eastAsia="Arial" w:hAnsi="Arial" w:cs="Arial"/>
          <w:i/>
          <w:sz w:val="22"/>
          <w:szCs w:val="22"/>
        </w:rPr>
        <w:t>con recursos públicos</w:t>
      </w:r>
      <w:r w:rsidRPr="00884A73">
        <w:rPr>
          <w:rFonts w:ascii="Arial" w:eastAsia="Arial" w:hAnsi="Arial" w:cs="Arial"/>
          <w:sz w:val="22"/>
          <w:szCs w:val="22"/>
        </w:rPr>
        <w:t xml:space="preserve"> e incluso en los procedimientos contractuales de las entidades estatales exceptuadas de la aplicación del Estatuto General de Contratación de la Administración Pública. </w:t>
      </w:r>
    </w:p>
    <w:p w14:paraId="7E6B35D1" w14:textId="77777777" w:rsidR="00502E86" w:rsidRPr="00884A73" w:rsidRDefault="00502E86" w:rsidP="00EB2ED0">
      <w:pPr>
        <w:tabs>
          <w:tab w:val="left" w:pos="0"/>
        </w:tabs>
        <w:jc w:val="both"/>
        <w:rPr>
          <w:rFonts w:ascii="Arial" w:eastAsia="Calibri" w:hAnsi="Arial" w:cs="Arial"/>
          <w:b/>
          <w:sz w:val="22"/>
          <w:lang w:val="es-ES_tradnl"/>
        </w:rPr>
      </w:pPr>
    </w:p>
    <w:p w14:paraId="37CA9805" w14:textId="122A5ECE" w:rsidR="00DD5B04" w:rsidRPr="00884A73" w:rsidRDefault="004177A6" w:rsidP="00EB2ED0">
      <w:pPr>
        <w:tabs>
          <w:tab w:val="left" w:pos="0"/>
        </w:tabs>
        <w:jc w:val="both"/>
        <w:rPr>
          <w:rFonts w:ascii="Arial" w:eastAsia="Calibri" w:hAnsi="Arial" w:cs="Arial"/>
          <w:b/>
          <w:sz w:val="22"/>
          <w:lang w:val="es-ES_tradnl"/>
        </w:rPr>
      </w:pPr>
      <w:r w:rsidRPr="00884A73">
        <w:rPr>
          <w:rFonts w:ascii="Arial" w:eastAsia="Calibri" w:hAnsi="Arial" w:cs="Arial"/>
          <w:b/>
          <w:sz w:val="22"/>
          <w:lang w:val="es-ES_tradnl"/>
        </w:rPr>
        <w:t>3</w:t>
      </w:r>
      <w:r w:rsidR="00B011A9" w:rsidRPr="00884A73">
        <w:rPr>
          <w:rFonts w:ascii="Arial" w:eastAsia="Calibri" w:hAnsi="Arial" w:cs="Arial"/>
          <w:b/>
          <w:sz w:val="22"/>
          <w:lang w:val="es-ES_tradnl"/>
        </w:rPr>
        <w:t xml:space="preserve">. </w:t>
      </w:r>
      <w:r w:rsidR="00DD5B04" w:rsidRPr="00884A73">
        <w:rPr>
          <w:rFonts w:ascii="Arial" w:eastAsia="Calibri" w:hAnsi="Arial" w:cs="Arial"/>
          <w:b/>
          <w:sz w:val="22"/>
          <w:lang w:val="es-ES_tradnl"/>
        </w:rPr>
        <w:t>Respuesta</w:t>
      </w:r>
      <w:r w:rsidR="002A7D84" w:rsidRPr="00884A73">
        <w:rPr>
          <w:rFonts w:ascii="Arial" w:eastAsia="Calibri" w:hAnsi="Arial" w:cs="Arial"/>
          <w:b/>
          <w:sz w:val="22"/>
          <w:lang w:val="es-ES_tradnl"/>
        </w:rPr>
        <w:t>s</w:t>
      </w:r>
    </w:p>
    <w:p w14:paraId="12DCA9F3" w14:textId="77777777" w:rsidR="004B25D8" w:rsidRPr="00884A73" w:rsidRDefault="004B25D8" w:rsidP="00EB2ED0">
      <w:pPr>
        <w:ind w:right="709"/>
        <w:jc w:val="both"/>
        <w:rPr>
          <w:rFonts w:ascii="Arial" w:hAnsi="Arial" w:cs="Arial"/>
          <w:sz w:val="21"/>
          <w:szCs w:val="21"/>
          <w:lang w:val="es-ES_tradnl"/>
        </w:rPr>
      </w:pPr>
    </w:p>
    <w:p w14:paraId="46ABEE8C" w14:textId="6ADD9D25" w:rsidR="00B72CB0" w:rsidRPr="00884A73" w:rsidRDefault="008868AF" w:rsidP="00B72CB0">
      <w:pPr>
        <w:pStyle w:val="Default"/>
        <w:ind w:left="709" w:right="709"/>
        <w:jc w:val="both"/>
        <w:rPr>
          <w:color w:val="auto"/>
          <w:sz w:val="21"/>
          <w:szCs w:val="21"/>
          <w:lang w:val="es-ES_tradnl"/>
        </w:rPr>
      </w:pPr>
      <w:r w:rsidRPr="00884A73">
        <w:rPr>
          <w:color w:val="auto"/>
          <w:sz w:val="21"/>
          <w:szCs w:val="21"/>
          <w:lang w:val="es-ES_tradnl"/>
        </w:rPr>
        <w:t>«</w:t>
      </w:r>
      <w:r w:rsidRPr="00884A73">
        <w:rPr>
          <w:color w:val="auto"/>
          <w:sz w:val="22"/>
          <w:szCs w:val="22"/>
        </w:rPr>
        <w:t xml:space="preserve"> De conformidad con lo establecido en la Ley 2069 de 2021, el Decreto 1860 de 2021 y lo conceptuado por esa Entidad se entiende que en los procesos de selección abreviada para la adquisición o suministro de bienes y servicios de características técnicas uniformes y común utilización que se adelanten mediante procedimientos de adquisición en bolsas de productos y que finalicen en empate entre 2 o más proponentes deben obligatoriamente aplicar los criterios de desempate establecidos en el artículo 35 para seleccionar al contratista. ¿Es correcta esta </w:t>
      </w:r>
      <w:proofErr w:type="gramStart"/>
      <w:r w:rsidRPr="00884A73">
        <w:rPr>
          <w:color w:val="auto"/>
          <w:sz w:val="22"/>
          <w:szCs w:val="22"/>
        </w:rPr>
        <w:t>apreciación?».</w:t>
      </w:r>
      <w:r w:rsidR="00B72CB0" w:rsidRPr="00884A73">
        <w:rPr>
          <w:color w:val="auto"/>
          <w:sz w:val="21"/>
          <w:szCs w:val="21"/>
        </w:rPr>
        <w:t>.</w:t>
      </w:r>
      <w:proofErr w:type="gramEnd"/>
    </w:p>
    <w:p w14:paraId="5BE6368E" w14:textId="77777777" w:rsidR="002638F4" w:rsidRPr="00884A73" w:rsidRDefault="002638F4" w:rsidP="00EB2ED0">
      <w:pPr>
        <w:spacing w:line="276" w:lineRule="auto"/>
        <w:ind w:left="709" w:right="709"/>
        <w:jc w:val="both"/>
        <w:rPr>
          <w:rFonts w:ascii="Arial" w:hAnsi="Arial" w:cs="Arial"/>
          <w:sz w:val="22"/>
          <w:szCs w:val="22"/>
          <w:lang w:val="es-ES_tradnl"/>
        </w:rPr>
      </w:pPr>
    </w:p>
    <w:p w14:paraId="3AE1826C" w14:textId="04C03CF4" w:rsidR="00E447A0" w:rsidRPr="00884A73" w:rsidRDefault="008868AF" w:rsidP="001A420C">
      <w:pPr>
        <w:spacing w:line="276" w:lineRule="auto"/>
        <w:jc w:val="both"/>
        <w:rPr>
          <w:rFonts w:ascii="Arial" w:hAnsi="Arial" w:cs="Arial"/>
          <w:sz w:val="22"/>
          <w:szCs w:val="22"/>
          <w:lang w:val="es-ES_tradnl"/>
        </w:rPr>
      </w:pPr>
      <w:bookmarkStart w:id="11" w:name="_Hlk69487468"/>
      <w:bookmarkStart w:id="12" w:name="_Hlk79145750"/>
      <w:r w:rsidRPr="00884A73">
        <w:rPr>
          <w:rFonts w:ascii="Arial" w:eastAsia="Calibri" w:hAnsi="Arial" w:cs="Arial"/>
          <w:sz w:val="22"/>
          <w:szCs w:val="22"/>
          <w:lang w:val="es-ES_tradnl"/>
        </w:rPr>
        <w:t xml:space="preserve">Conforme </w:t>
      </w:r>
      <w:r w:rsidR="00FC21F2" w:rsidRPr="00884A73">
        <w:rPr>
          <w:rFonts w:ascii="Arial" w:eastAsia="Calibri" w:hAnsi="Arial" w:cs="Arial"/>
          <w:sz w:val="22"/>
          <w:szCs w:val="22"/>
          <w:lang w:val="es-ES_tradnl"/>
        </w:rPr>
        <w:t xml:space="preserve">con </w:t>
      </w:r>
      <w:r w:rsidRPr="00884A73">
        <w:rPr>
          <w:rFonts w:ascii="Arial" w:eastAsia="Calibri" w:hAnsi="Arial" w:cs="Arial"/>
          <w:sz w:val="22"/>
          <w:szCs w:val="22"/>
          <w:lang w:val="es-ES_tradnl"/>
        </w:rPr>
        <w:t xml:space="preserve">lo expuesto, </w:t>
      </w:r>
      <w:r w:rsidR="002638F4" w:rsidRPr="00884A73">
        <w:rPr>
          <w:rFonts w:ascii="Arial" w:eastAsia="Calibri" w:hAnsi="Arial" w:cs="Arial"/>
          <w:sz w:val="22"/>
          <w:szCs w:val="22"/>
          <w:lang w:val="es-ES_tradnl"/>
        </w:rPr>
        <w:t>l</w:t>
      </w:r>
      <w:r w:rsidRPr="00884A73">
        <w:rPr>
          <w:rFonts w:ascii="Arial" w:eastAsia="Calibri" w:hAnsi="Arial" w:cs="Arial"/>
          <w:sz w:val="22"/>
          <w:szCs w:val="22"/>
          <w:lang w:val="es-ES_tradnl"/>
        </w:rPr>
        <w:t>os factores de desempate consagrados en el</w:t>
      </w:r>
      <w:r w:rsidR="002638F4" w:rsidRPr="00884A73">
        <w:rPr>
          <w:rFonts w:ascii="Arial" w:eastAsia="Calibri" w:hAnsi="Arial" w:cs="Arial"/>
          <w:sz w:val="22"/>
          <w:szCs w:val="22"/>
          <w:lang w:val="es-ES_tradnl"/>
        </w:rPr>
        <w:t xml:space="preserve"> artículo 35 de la Ley 2069 de 2020</w:t>
      </w:r>
      <w:r w:rsidR="00095B8B" w:rsidRPr="00884A73">
        <w:rPr>
          <w:rFonts w:ascii="Arial" w:eastAsia="Calibri" w:hAnsi="Arial" w:cs="Arial"/>
          <w:sz w:val="22"/>
          <w:szCs w:val="22"/>
          <w:lang w:val="es-ES_tradnl"/>
        </w:rPr>
        <w:t xml:space="preserve"> aplican en «[…]  </w:t>
      </w:r>
      <w:r w:rsidR="00095B8B" w:rsidRPr="00884A73">
        <w:rPr>
          <w:rFonts w:ascii="Arial" w:eastAsia="Calibri" w:hAnsi="Arial" w:cs="Arial"/>
          <w:i/>
          <w:iCs/>
          <w:sz w:val="22"/>
          <w:szCs w:val="22"/>
          <w:lang w:val="es-ES_tradnl"/>
        </w:rPr>
        <w:t>en los Procesos de Contratación realizados con cargo a recursos públicos</w:t>
      </w:r>
      <w:r w:rsidR="00095B8B" w:rsidRPr="00884A73">
        <w:rPr>
          <w:rFonts w:ascii="Arial" w:eastAsia="Calibri" w:hAnsi="Arial" w:cs="Arial"/>
          <w:sz w:val="22"/>
          <w:szCs w:val="22"/>
          <w:lang w:val="es-ES_tradnl"/>
        </w:rPr>
        <w:t>, los Procesos de Contratación realizados por las Entidades Estatales indistintamente de su régimen de contratación, así como los celebrados por los Procesos de Contratación de los patrimonios autónomos constituidos por Entidades Estatales</w:t>
      </w:r>
      <w:r w:rsidR="001A420C" w:rsidRPr="00884A73">
        <w:rPr>
          <w:rFonts w:ascii="Arial" w:eastAsia="Calibri" w:hAnsi="Arial" w:cs="Arial"/>
          <w:sz w:val="22"/>
          <w:szCs w:val="22"/>
          <w:lang w:val="es-ES_tradnl"/>
        </w:rPr>
        <w:t xml:space="preserve">» (énfasis fuera de texto). </w:t>
      </w:r>
      <w:r w:rsidR="00817CE4" w:rsidRPr="00884A73">
        <w:rPr>
          <w:rFonts w:ascii="Arial" w:hAnsi="Arial" w:cs="Arial"/>
          <w:sz w:val="22"/>
          <w:szCs w:val="22"/>
          <w:lang w:val="es-ES_tradnl"/>
        </w:rPr>
        <w:t>Este</w:t>
      </w:r>
      <w:r w:rsidR="001A420C" w:rsidRPr="00884A73">
        <w:rPr>
          <w:rFonts w:ascii="Arial" w:hAnsi="Arial" w:cs="Arial"/>
          <w:sz w:val="22"/>
          <w:szCs w:val="22"/>
          <w:lang w:val="es-ES_tradnl"/>
        </w:rPr>
        <w:t xml:space="preserve"> artículo es</w:t>
      </w:r>
      <w:r w:rsidR="002638F4" w:rsidRPr="00884A73">
        <w:rPr>
          <w:rFonts w:ascii="Arial" w:hAnsi="Arial" w:cs="Arial"/>
          <w:sz w:val="22"/>
          <w:szCs w:val="22"/>
          <w:lang w:val="es-ES_tradnl"/>
        </w:rPr>
        <w:t xml:space="preserve"> una norma transversal al sistema de compras y contratación pública, </w:t>
      </w:r>
      <w:r w:rsidR="00BC5888" w:rsidRPr="00884A73">
        <w:rPr>
          <w:rFonts w:ascii="Arial" w:hAnsi="Arial" w:cs="Arial"/>
          <w:sz w:val="22"/>
          <w:szCs w:val="22"/>
          <w:lang w:val="es-ES_tradnl"/>
        </w:rPr>
        <w:t>que debe aplicar</w:t>
      </w:r>
      <w:r w:rsidR="00817CE4" w:rsidRPr="00884A73">
        <w:rPr>
          <w:rFonts w:ascii="Arial" w:hAnsi="Arial" w:cs="Arial"/>
          <w:sz w:val="22"/>
          <w:szCs w:val="22"/>
          <w:lang w:val="es-ES_tradnl"/>
        </w:rPr>
        <w:t>se</w:t>
      </w:r>
      <w:r w:rsidR="00BC5888" w:rsidRPr="00884A73">
        <w:rPr>
          <w:rFonts w:ascii="Arial" w:hAnsi="Arial" w:cs="Arial"/>
          <w:sz w:val="22"/>
          <w:szCs w:val="22"/>
          <w:lang w:val="es-ES_tradnl"/>
        </w:rPr>
        <w:t xml:space="preserve"> en todos los procedimientos de selección </w:t>
      </w:r>
      <w:r w:rsidR="00FC21F2" w:rsidRPr="00884A73">
        <w:rPr>
          <w:rFonts w:ascii="Arial" w:hAnsi="Arial" w:cs="Arial"/>
          <w:sz w:val="22"/>
          <w:szCs w:val="22"/>
          <w:lang w:val="es-ES_tradnl"/>
        </w:rPr>
        <w:t>realizados</w:t>
      </w:r>
      <w:r w:rsidR="00BC5888" w:rsidRPr="00884A73">
        <w:rPr>
          <w:rFonts w:ascii="Arial" w:hAnsi="Arial" w:cs="Arial"/>
          <w:sz w:val="22"/>
          <w:szCs w:val="22"/>
          <w:lang w:val="es-ES_tradnl"/>
        </w:rPr>
        <w:t xml:space="preserve"> con cargo a recursos públicos</w:t>
      </w:r>
      <w:r w:rsidR="00037F4C" w:rsidRPr="00884A73">
        <w:rPr>
          <w:rFonts w:ascii="Arial" w:hAnsi="Arial" w:cs="Arial"/>
          <w:sz w:val="22"/>
          <w:szCs w:val="22"/>
          <w:lang w:val="es-ES_tradnl"/>
        </w:rPr>
        <w:t>, lo que</w:t>
      </w:r>
      <w:r w:rsidR="00817CE4" w:rsidRPr="00884A73">
        <w:rPr>
          <w:rFonts w:ascii="Arial" w:hAnsi="Arial" w:cs="Arial"/>
          <w:sz w:val="22"/>
          <w:szCs w:val="22"/>
          <w:lang w:val="es-ES_tradnl"/>
        </w:rPr>
        <w:t>, ante</w:t>
      </w:r>
      <w:r w:rsidR="00037F4C" w:rsidRPr="00884A73">
        <w:rPr>
          <w:rFonts w:ascii="Arial" w:hAnsi="Arial" w:cs="Arial"/>
          <w:sz w:val="22"/>
          <w:szCs w:val="22"/>
          <w:lang w:val="es-ES_tradnl"/>
        </w:rPr>
        <w:t xml:space="preserve"> ausencia de distinción alguna en la norma, </w:t>
      </w:r>
      <w:r w:rsidR="00817CE4" w:rsidRPr="00884A73">
        <w:rPr>
          <w:rFonts w:ascii="Arial" w:hAnsi="Arial" w:cs="Arial"/>
          <w:sz w:val="22"/>
          <w:szCs w:val="22"/>
          <w:lang w:val="es-ES_tradnl"/>
        </w:rPr>
        <w:t>aplica a</w:t>
      </w:r>
      <w:r w:rsidR="00037F4C" w:rsidRPr="00884A73">
        <w:rPr>
          <w:rFonts w:ascii="Arial" w:hAnsi="Arial" w:cs="Arial"/>
          <w:sz w:val="22"/>
          <w:szCs w:val="22"/>
          <w:lang w:val="es-ES_tradnl"/>
        </w:rPr>
        <w:t xml:space="preserve"> los procesos de selección abreviada para la adquisición de bienes y servicios de características técnicas uniformes </w:t>
      </w:r>
      <w:r w:rsidR="00817CE4" w:rsidRPr="00884A73">
        <w:rPr>
          <w:rFonts w:ascii="Arial" w:hAnsi="Arial" w:cs="Arial"/>
          <w:sz w:val="22"/>
          <w:szCs w:val="22"/>
          <w:lang w:val="es-ES_tradnl"/>
        </w:rPr>
        <w:t xml:space="preserve">y de común utilización, en cualquiera de sus modalidades, incluso la de bolsa de productos. </w:t>
      </w:r>
      <w:r w:rsidR="002638F4" w:rsidRPr="00884A73">
        <w:rPr>
          <w:rFonts w:ascii="Arial" w:hAnsi="Arial" w:cs="Arial"/>
          <w:sz w:val="22"/>
          <w:szCs w:val="22"/>
          <w:lang w:val="es-ES_tradnl"/>
        </w:rPr>
        <w:t xml:space="preserve"> </w:t>
      </w:r>
    </w:p>
    <w:p w14:paraId="405CCC13" w14:textId="5DEF1A3B" w:rsidR="00681C78" w:rsidRPr="00884A73" w:rsidRDefault="00817CE4" w:rsidP="00AC6B7E">
      <w:pPr>
        <w:spacing w:before="120" w:line="276" w:lineRule="auto"/>
        <w:ind w:firstLine="709"/>
        <w:jc w:val="both"/>
        <w:rPr>
          <w:rFonts w:ascii="Arial" w:hAnsi="Arial" w:cs="Arial"/>
          <w:sz w:val="22"/>
          <w:szCs w:val="22"/>
          <w:lang w:val="es-ES_tradnl"/>
        </w:rPr>
      </w:pPr>
      <w:r w:rsidRPr="00884A73">
        <w:rPr>
          <w:rFonts w:ascii="Arial" w:hAnsi="Arial" w:cs="Arial"/>
          <w:sz w:val="22"/>
          <w:szCs w:val="22"/>
          <w:lang w:val="es-ES_tradnl"/>
        </w:rPr>
        <w:t>Lo anterior además por cuanto el artículo 35 de la Ley 2069 de 2020</w:t>
      </w:r>
      <w:r w:rsidR="00E447A0" w:rsidRPr="00884A73">
        <w:rPr>
          <w:rFonts w:ascii="Arial" w:hAnsi="Arial" w:cs="Arial"/>
          <w:sz w:val="22"/>
          <w:szCs w:val="22"/>
          <w:lang w:val="es-ES_tradnl"/>
        </w:rPr>
        <w:t xml:space="preserve"> debe interpretarse de manera sistemática con las demás disposiciones del EGCAP, particularmente, con el artíc</w:t>
      </w:r>
      <w:r w:rsidRPr="00884A73">
        <w:rPr>
          <w:rFonts w:ascii="Arial" w:hAnsi="Arial" w:cs="Arial"/>
          <w:sz w:val="22"/>
          <w:szCs w:val="22"/>
          <w:lang w:val="es-ES_tradnl"/>
        </w:rPr>
        <w:t>u</w:t>
      </w:r>
      <w:r w:rsidR="00E447A0" w:rsidRPr="00884A73">
        <w:rPr>
          <w:rFonts w:ascii="Arial" w:hAnsi="Arial" w:cs="Arial"/>
          <w:sz w:val="22"/>
          <w:szCs w:val="22"/>
          <w:lang w:val="es-ES_tradnl"/>
        </w:rPr>
        <w:t xml:space="preserve">lo 5 de la Ley 1150 de 2007. Conforme esta idea, la expresión </w:t>
      </w:r>
      <w:r w:rsidR="00E447A0" w:rsidRPr="00884A73">
        <w:rPr>
          <w:rFonts w:ascii="Arial" w:hAnsi="Arial" w:cs="Arial"/>
          <w:i/>
          <w:iCs/>
          <w:sz w:val="22"/>
          <w:szCs w:val="22"/>
          <w:lang w:val="es-ES_tradnl"/>
        </w:rPr>
        <w:lastRenderedPageBreak/>
        <w:t>empate en el puntaje total</w:t>
      </w:r>
      <w:r w:rsidR="00E447A0" w:rsidRPr="00884A73">
        <w:rPr>
          <w:rFonts w:ascii="Arial" w:hAnsi="Arial" w:cs="Arial"/>
          <w:sz w:val="22"/>
          <w:szCs w:val="22"/>
          <w:lang w:val="es-ES_tradnl"/>
        </w:rPr>
        <w:t xml:space="preserve"> apunta a las situaciones en la evaluación final de las ofertas en las que, realizándose la comparación de acuerdo con los factores de calificación, evaluación o ponderación aplicables al respectivo procedimiento, se presenta un empate entre dos o más propuestas. En ese entendido, con independencia de que la ponderación emplee puntajes, fórmulas, criterios de relación costo – beneficio o de que el único criterio de evaluación sea el menor precio, deben aplicarse los factores de desempate del artículo 35 de la Ley 2069 de 2020.</w:t>
      </w:r>
      <w:bookmarkEnd w:id="11"/>
      <w:bookmarkEnd w:id="12"/>
    </w:p>
    <w:p w14:paraId="5ED5E1DF" w14:textId="77777777" w:rsidR="00B45953" w:rsidRPr="00884A73" w:rsidRDefault="00B45953" w:rsidP="00EB2ED0">
      <w:pPr>
        <w:spacing w:line="276" w:lineRule="auto"/>
        <w:jc w:val="both"/>
        <w:rPr>
          <w:rFonts w:ascii="Arial" w:hAnsi="Arial" w:cs="Arial"/>
          <w:sz w:val="22"/>
          <w:szCs w:val="22"/>
          <w:lang w:val="es-ES_tradnl"/>
        </w:rPr>
      </w:pPr>
    </w:p>
    <w:p w14:paraId="35405C2F" w14:textId="62151BBC" w:rsidR="0080376A" w:rsidRPr="00884A73" w:rsidRDefault="00DD5B04" w:rsidP="00EB2ED0">
      <w:pPr>
        <w:spacing w:line="276" w:lineRule="auto"/>
        <w:jc w:val="both"/>
        <w:rPr>
          <w:rFonts w:ascii="Arial" w:hAnsi="Arial" w:cs="Arial"/>
          <w:sz w:val="22"/>
          <w:szCs w:val="22"/>
          <w:lang w:val="es-ES_tradnl"/>
        </w:rPr>
      </w:pPr>
      <w:r w:rsidRPr="00884A73">
        <w:rPr>
          <w:rFonts w:ascii="Arial" w:hAnsi="Arial" w:cs="Arial"/>
          <w:sz w:val="22"/>
          <w:szCs w:val="22"/>
          <w:lang w:val="es-ES_tradnl"/>
        </w:rPr>
        <w:t>Este concepto tiene el alcance previsto en el artículo 28 del Código de Procedimiento Administrativo y de lo Contencioso Administrativo.</w:t>
      </w:r>
    </w:p>
    <w:p w14:paraId="2CCA8B64" w14:textId="070A7AB9" w:rsidR="0080376A" w:rsidRPr="00884A73" w:rsidRDefault="0080376A" w:rsidP="00EB2ED0">
      <w:pPr>
        <w:spacing w:line="276" w:lineRule="auto"/>
        <w:rPr>
          <w:rFonts w:ascii="Arial" w:hAnsi="Arial" w:cs="Arial"/>
          <w:sz w:val="22"/>
          <w:szCs w:val="22"/>
          <w:lang w:eastAsia="es-CO"/>
        </w:rPr>
      </w:pPr>
    </w:p>
    <w:p w14:paraId="011D45FA" w14:textId="71D8BAF8" w:rsidR="0080376A" w:rsidRPr="00884A73" w:rsidRDefault="0080376A" w:rsidP="00EB2ED0">
      <w:pPr>
        <w:spacing w:line="276" w:lineRule="auto"/>
        <w:rPr>
          <w:rFonts w:ascii="Arial" w:hAnsi="Arial" w:cs="Arial"/>
          <w:sz w:val="22"/>
          <w:szCs w:val="22"/>
        </w:rPr>
      </w:pPr>
      <w:r w:rsidRPr="00884A73">
        <w:rPr>
          <w:rFonts w:ascii="Arial" w:hAnsi="Arial" w:cs="Arial"/>
          <w:sz w:val="22"/>
          <w:szCs w:val="22"/>
          <w:lang w:eastAsia="es-CO"/>
        </w:rPr>
        <w:t>Atentamente,</w:t>
      </w:r>
    </w:p>
    <w:p w14:paraId="5B12458F" w14:textId="4683CAC4" w:rsidR="0080376A" w:rsidRPr="00884A73" w:rsidRDefault="008672C0" w:rsidP="00EB2ED0">
      <w:pPr>
        <w:jc w:val="both"/>
        <w:rPr>
          <w:rFonts w:ascii="Arial" w:hAnsi="Arial" w:cs="Arial"/>
          <w:lang w:eastAsia="es-CO"/>
        </w:rPr>
      </w:pPr>
      <w:r w:rsidRPr="00570FD2">
        <w:rPr>
          <w:rFonts w:ascii="Arial" w:hAnsi="Arial" w:cs="Arial"/>
          <w:noProof/>
          <w:color w:val="000000" w:themeColor="text1"/>
          <w:sz w:val="22"/>
          <w:lang w:eastAsia="es-CO"/>
        </w:rPr>
        <w:drawing>
          <wp:anchor distT="0" distB="0" distL="114300" distR="114300" simplePos="0" relativeHeight="251660288" behindDoc="0" locked="0" layoutInCell="1" allowOverlap="1" wp14:anchorId="314A2F6C" wp14:editId="6D5384BF">
            <wp:simplePos x="0" y="0"/>
            <wp:positionH relativeFrom="margin">
              <wp:posOffset>1629410</wp:posOffset>
            </wp:positionH>
            <wp:positionV relativeFrom="paragraph">
              <wp:posOffset>58420</wp:posOffset>
            </wp:positionV>
            <wp:extent cx="2590165" cy="1099185"/>
            <wp:effectExtent l="0" t="0" r="635" b="5715"/>
            <wp:wrapSquare wrapText="bothSides"/>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590165" cy="1099185"/>
                    </a:xfrm>
                    <a:prstGeom prst="rect">
                      <a:avLst/>
                    </a:prstGeom>
                  </pic:spPr>
                </pic:pic>
              </a:graphicData>
            </a:graphic>
            <wp14:sizeRelH relativeFrom="page">
              <wp14:pctWidth>0</wp14:pctWidth>
            </wp14:sizeRelH>
            <wp14:sizeRelV relativeFrom="page">
              <wp14:pctHeight>0</wp14:pctHeight>
            </wp14:sizeRelV>
          </wp:anchor>
        </w:drawing>
      </w:r>
    </w:p>
    <w:p w14:paraId="67037290" w14:textId="09817575" w:rsidR="0080376A" w:rsidRPr="00884A73" w:rsidRDefault="0080376A" w:rsidP="00EB2ED0">
      <w:pPr>
        <w:spacing w:after="18"/>
        <w:jc w:val="center"/>
        <w:rPr>
          <w:rFonts w:ascii="Arial" w:hAnsi="Arial" w:cs="Arial"/>
          <w:lang w:eastAsia="es-CO"/>
        </w:rPr>
      </w:pPr>
    </w:p>
    <w:p w14:paraId="0A4EEE09" w14:textId="30128372" w:rsidR="0080376A" w:rsidRPr="00884A73" w:rsidRDefault="0080376A" w:rsidP="00EB2ED0">
      <w:pPr>
        <w:spacing w:after="18"/>
        <w:jc w:val="center"/>
        <w:rPr>
          <w:rFonts w:ascii="Arial" w:hAnsi="Arial" w:cs="Arial"/>
          <w:lang w:eastAsia="es-CO"/>
        </w:rPr>
      </w:pPr>
    </w:p>
    <w:p w14:paraId="110E7C14" w14:textId="57FA7FB2" w:rsidR="0080376A" w:rsidRPr="00884A73" w:rsidRDefault="0080376A" w:rsidP="00EB2ED0">
      <w:pPr>
        <w:spacing w:after="18"/>
        <w:jc w:val="center"/>
        <w:rPr>
          <w:rFonts w:ascii="Arial" w:hAnsi="Arial" w:cs="Arial"/>
          <w:lang w:eastAsia="es-CO"/>
        </w:rPr>
      </w:pPr>
    </w:p>
    <w:p w14:paraId="73BAD691" w14:textId="1C845272" w:rsidR="0080376A" w:rsidRPr="00884A73" w:rsidRDefault="0080376A" w:rsidP="00EB2ED0">
      <w:pPr>
        <w:spacing w:after="18"/>
        <w:jc w:val="center"/>
        <w:rPr>
          <w:rFonts w:ascii="Arial" w:hAnsi="Arial" w:cs="Arial"/>
          <w:lang w:eastAsia="es-CO"/>
        </w:rPr>
      </w:pPr>
    </w:p>
    <w:p w14:paraId="61C66791" w14:textId="1C9C76D8" w:rsidR="0080376A" w:rsidRPr="00884A73" w:rsidRDefault="0080376A" w:rsidP="00EB2ED0">
      <w:pPr>
        <w:spacing w:after="18"/>
        <w:jc w:val="center"/>
        <w:rPr>
          <w:rFonts w:ascii="Arial" w:hAnsi="Arial" w:cs="Arial"/>
          <w:lang w:eastAsia="es-CO"/>
        </w:rPr>
      </w:pPr>
    </w:p>
    <w:p w14:paraId="39880EAA" w14:textId="0EB27E8F" w:rsidR="005416CA" w:rsidRPr="00884A73" w:rsidRDefault="005416CA" w:rsidP="00EB2ED0">
      <w:pPr>
        <w:spacing w:after="18"/>
        <w:jc w:val="center"/>
        <w:rPr>
          <w:rFonts w:ascii="Arial" w:hAnsi="Arial" w:cs="Arial"/>
          <w:lang w:eastAsia="es-CO"/>
        </w:rPr>
      </w:pPr>
    </w:p>
    <w:p w14:paraId="70ADF7AF" w14:textId="77777777" w:rsidR="005416CA" w:rsidRPr="00884A73" w:rsidRDefault="005416CA" w:rsidP="00EB2ED0">
      <w:pPr>
        <w:spacing w:after="18"/>
        <w:jc w:val="center"/>
        <w:rPr>
          <w:rFonts w:ascii="Arial" w:hAnsi="Arial" w:cs="Arial"/>
          <w:lang w:eastAsia="es-CO"/>
        </w:rPr>
      </w:pPr>
    </w:p>
    <w:p w14:paraId="353D05CB" w14:textId="77777777" w:rsidR="0080376A" w:rsidRPr="00884A73" w:rsidRDefault="0080376A" w:rsidP="00EB2ED0">
      <w:pPr>
        <w:spacing w:after="18"/>
        <w:jc w:val="center"/>
        <w:rPr>
          <w:rFonts w:ascii="Arial" w:hAnsi="Arial" w:cs="Arial"/>
          <w:sz w:val="16"/>
          <w:szCs w:val="16"/>
          <w:lang w:eastAsia="es-CO"/>
        </w:rPr>
      </w:pPr>
    </w:p>
    <w:tbl>
      <w:tblPr>
        <w:tblStyle w:val="Tablaconcuadrcula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6"/>
        <w:gridCol w:w="4643"/>
      </w:tblGrid>
      <w:tr w:rsidR="00645C7B" w:rsidRPr="00884A73" w14:paraId="03974E28" w14:textId="77777777" w:rsidTr="006220E2">
        <w:trPr>
          <w:trHeight w:val="286"/>
        </w:trPr>
        <w:tc>
          <w:tcPr>
            <w:tcW w:w="886" w:type="dxa"/>
            <w:vAlign w:val="center"/>
            <w:hideMark/>
          </w:tcPr>
          <w:p w14:paraId="01140129" w14:textId="77777777" w:rsidR="0080376A" w:rsidRPr="00884A73" w:rsidRDefault="0080376A" w:rsidP="00EB2ED0">
            <w:pPr>
              <w:rPr>
                <w:rFonts w:ascii="Arial" w:hAnsi="Arial" w:cs="Arial"/>
                <w:sz w:val="16"/>
                <w:szCs w:val="16"/>
                <w:lang w:eastAsia="es-ES"/>
              </w:rPr>
            </w:pPr>
            <w:r w:rsidRPr="00884A73">
              <w:rPr>
                <w:rFonts w:ascii="Arial" w:hAnsi="Arial" w:cs="Arial"/>
                <w:sz w:val="16"/>
                <w:szCs w:val="16"/>
                <w:lang w:eastAsia="es-ES"/>
              </w:rPr>
              <w:t>Elaboró:</w:t>
            </w:r>
          </w:p>
        </w:tc>
        <w:tc>
          <w:tcPr>
            <w:tcW w:w="4643" w:type="dxa"/>
            <w:tcBorders>
              <w:top w:val="nil"/>
              <w:left w:val="nil"/>
              <w:bottom w:val="dotted" w:sz="4" w:space="0" w:color="7F7F7F"/>
              <w:right w:val="nil"/>
            </w:tcBorders>
            <w:vAlign w:val="center"/>
            <w:hideMark/>
          </w:tcPr>
          <w:p w14:paraId="777D2F26" w14:textId="77777777" w:rsidR="0080376A" w:rsidRPr="00884A73" w:rsidRDefault="0080376A" w:rsidP="00EB2ED0">
            <w:pPr>
              <w:rPr>
                <w:rFonts w:ascii="Arial" w:hAnsi="Arial" w:cs="Arial"/>
                <w:sz w:val="16"/>
                <w:szCs w:val="16"/>
                <w:lang w:eastAsia="es-ES"/>
              </w:rPr>
            </w:pPr>
            <w:r w:rsidRPr="00884A73">
              <w:rPr>
                <w:rFonts w:ascii="Arial" w:hAnsi="Arial" w:cs="Arial"/>
                <w:sz w:val="16"/>
                <w:szCs w:val="16"/>
                <w:lang w:eastAsia="es-ES"/>
              </w:rPr>
              <w:t>Alejandro Sarmiento Cantillo</w:t>
            </w:r>
          </w:p>
          <w:p w14:paraId="1886B9EC" w14:textId="30943E43" w:rsidR="0080376A" w:rsidRPr="00884A73" w:rsidRDefault="0080376A" w:rsidP="00EB2ED0">
            <w:pPr>
              <w:rPr>
                <w:rFonts w:ascii="Arial" w:hAnsi="Arial" w:cs="Arial"/>
                <w:sz w:val="16"/>
                <w:szCs w:val="16"/>
                <w:lang w:eastAsia="es-ES"/>
              </w:rPr>
            </w:pPr>
            <w:r w:rsidRPr="00884A73">
              <w:rPr>
                <w:rFonts w:ascii="Arial" w:hAnsi="Arial" w:cs="Arial"/>
                <w:sz w:val="16"/>
                <w:szCs w:val="16"/>
                <w:lang w:eastAsia="es-ES"/>
              </w:rPr>
              <w:t>Gestor T1-1</w:t>
            </w:r>
            <w:r w:rsidR="006220E2" w:rsidRPr="00884A73">
              <w:rPr>
                <w:rFonts w:ascii="Arial" w:hAnsi="Arial" w:cs="Arial"/>
                <w:sz w:val="16"/>
                <w:szCs w:val="16"/>
                <w:lang w:eastAsia="es-ES"/>
              </w:rPr>
              <w:t>5</w:t>
            </w:r>
            <w:r w:rsidRPr="00884A73">
              <w:rPr>
                <w:rFonts w:ascii="Arial" w:hAnsi="Arial" w:cs="Arial"/>
                <w:sz w:val="16"/>
                <w:szCs w:val="16"/>
                <w:lang w:eastAsia="es-ES"/>
              </w:rPr>
              <w:t xml:space="preserve"> de la Subdirección de Gestión Contractual</w:t>
            </w:r>
          </w:p>
        </w:tc>
      </w:tr>
      <w:tr w:rsidR="00645C7B" w:rsidRPr="00884A73" w14:paraId="1C6D880D" w14:textId="77777777" w:rsidTr="006220E2">
        <w:trPr>
          <w:trHeight w:val="299"/>
        </w:trPr>
        <w:tc>
          <w:tcPr>
            <w:tcW w:w="886" w:type="dxa"/>
            <w:vAlign w:val="center"/>
          </w:tcPr>
          <w:p w14:paraId="5E9E0994" w14:textId="77777777" w:rsidR="0080376A" w:rsidRPr="00884A73" w:rsidRDefault="0080376A" w:rsidP="00EB2ED0">
            <w:pPr>
              <w:rPr>
                <w:rFonts w:ascii="Arial" w:hAnsi="Arial" w:cs="Arial"/>
                <w:sz w:val="16"/>
                <w:szCs w:val="16"/>
                <w:lang w:eastAsia="es-ES"/>
              </w:rPr>
            </w:pPr>
            <w:r w:rsidRPr="00884A73">
              <w:rPr>
                <w:rFonts w:ascii="Arial" w:hAnsi="Arial" w:cs="Arial"/>
                <w:sz w:val="16"/>
                <w:szCs w:val="16"/>
                <w:lang w:eastAsia="es-ES"/>
              </w:rPr>
              <w:t>Revisó:</w:t>
            </w:r>
          </w:p>
        </w:tc>
        <w:tc>
          <w:tcPr>
            <w:tcW w:w="4643" w:type="dxa"/>
            <w:tcBorders>
              <w:top w:val="dotted" w:sz="4" w:space="0" w:color="7F7F7F"/>
              <w:left w:val="nil"/>
              <w:bottom w:val="dotted" w:sz="4" w:space="0" w:color="7F7F7F"/>
              <w:right w:val="nil"/>
            </w:tcBorders>
            <w:vAlign w:val="center"/>
          </w:tcPr>
          <w:p w14:paraId="6FE263AE" w14:textId="28B805E3" w:rsidR="0080376A" w:rsidRPr="00884A73" w:rsidRDefault="006220E2" w:rsidP="00EB2ED0">
            <w:pPr>
              <w:rPr>
                <w:rFonts w:ascii="Arial" w:hAnsi="Arial" w:cs="Arial"/>
                <w:sz w:val="16"/>
                <w:szCs w:val="16"/>
                <w:lang w:eastAsia="es-ES"/>
              </w:rPr>
            </w:pPr>
            <w:r w:rsidRPr="00884A73">
              <w:rPr>
                <w:rFonts w:ascii="Arial" w:hAnsi="Arial" w:cs="Arial"/>
                <w:sz w:val="16"/>
                <w:szCs w:val="16"/>
                <w:lang w:eastAsia="es-ES"/>
              </w:rPr>
              <w:t>Sebastián Ramírez Grisales</w:t>
            </w:r>
          </w:p>
          <w:p w14:paraId="5B170026" w14:textId="45941299" w:rsidR="0080376A" w:rsidRPr="00884A73" w:rsidRDefault="006220E2" w:rsidP="00EB2ED0">
            <w:pPr>
              <w:rPr>
                <w:rFonts w:ascii="Arial" w:hAnsi="Arial" w:cs="Arial"/>
                <w:sz w:val="16"/>
                <w:szCs w:val="16"/>
                <w:lang w:eastAsia="es-ES"/>
              </w:rPr>
            </w:pPr>
            <w:r w:rsidRPr="00884A73">
              <w:rPr>
                <w:rFonts w:ascii="Arial" w:hAnsi="Arial" w:cs="Arial"/>
                <w:sz w:val="16"/>
                <w:szCs w:val="16"/>
                <w:lang w:eastAsia="es-ES"/>
              </w:rPr>
              <w:t>Contratista</w:t>
            </w:r>
            <w:r w:rsidR="0080376A" w:rsidRPr="00884A73">
              <w:rPr>
                <w:rFonts w:ascii="Arial" w:hAnsi="Arial" w:cs="Arial"/>
                <w:sz w:val="16"/>
                <w:szCs w:val="16"/>
                <w:lang w:eastAsia="es-ES"/>
              </w:rPr>
              <w:t xml:space="preserve"> de la Subdirección de Gestión Contractual  </w:t>
            </w:r>
          </w:p>
        </w:tc>
      </w:tr>
      <w:tr w:rsidR="00645C7B" w:rsidRPr="00645C7B" w14:paraId="69EA51B1" w14:textId="77777777" w:rsidTr="006220E2">
        <w:trPr>
          <w:trHeight w:val="272"/>
        </w:trPr>
        <w:tc>
          <w:tcPr>
            <w:tcW w:w="886" w:type="dxa"/>
            <w:vAlign w:val="center"/>
            <w:hideMark/>
          </w:tcPr>
          <w:p w14:paraId="310910D2" w14:textId="77777777" w:rsidR="0080376A" w:rsidRPr="00884A73" w:rsidRDefault="0080376A" w:rsidP="00EB2ED0">
            <w:pPr>
              <w:rPr>
                <w:rFonts w:ascii="Arial" w:hAnsi="Arial" w:cs="Arial"/>
                <w:sz w:val="16"/>
                <w:szCs w:val="16"/>
                <w:lang w:eastAsia="es-ES"/>
              </w:rPr>
            </w:pPr>
            <w:r w:rsidRPr="00884A73">
              <w:rPr>
                <w:rFonts w:ascii="Arial" w:hAnsi="Arial" w:cs="Arial"/>
                <w:sz w:val="16"/>
                <w:szCs w:val="16"/>
                <w:lang w:eastAsia="es-ES"/>
              </w:rPr>
              <w:t>Aprobó:</w:t>
            </w:r>
          </w:p>
        </w:tc>
        <w:tc>
          <w:tcPr>
            <w:tcW w:w="4643" w:type="dxa"/>
            <w:tcBorders>
              <w:top w:val="dotted" w:sz="4" w:space="0" w:color="7F7F7F"/>
              <w:left w:val="nil"/>
              <w:bottom w:val="dotted" w:sz="4" w:space="0" w:color="7F7F7F"/>
              <w:right w:val="nil"/>
            </w:tcBorders>
            <w:vAlign w:val="center"/>
            <w:hideMark/>
          </w:tcPr>
          <w:p w14:paraId="43D727AC" w14:textId="77777777" w:rsidR="0080376A" w:rsidRPr="00884A73" w:rsidRDefault="0080376A" w:rsidP="00EB2ED0">
            <w:pPr>
              <w:rPr>
                <w:rFonts w:ascii="Arial" w:hAnsi="Arial" w:cs="Arial"/>
                <w:sz w:val="16"/>
                <w:szCs w:val="16"/>
                <w:lang w:eastAsia="es-ES"/>
              </w:rPr>
            </w:pPr>
            <w:r w:rsidRPr="00884A73">
              <w:rPr>
                <w:rFonts w:ascii="Arial" w:hAnsi="Arial" w:cs="Arial"/>
                <w:sz w:val="16"/>
                <w:szCs w:val="16"/>
                <w:lang w:eastAsia="es-ES"/>
              </w:rPr>
              <w:t>Jorge Augusto Tirado Navarro</w:t>
            </w:r>
          </w:p>
          <w:p w14:paraId="3019D417" w14:textId="633936DE" w:rsidR="0080376A" w:rsidRPr="00645C7B" w:rsidRDefault="0080376A" w:rsidP="00EB2ED0">
            <w:pPr>
              <w:rPr>
                <w:rFonts w:ascii="Arial" w:hAnsi="Arial" w:cs="Arial"/>
                <w:sz w:val="16"/>
                <w:szCs w:val="16"/>
                <w:lang w:eastAsia="es-ES"/>
              </w:rPr>
            </w:pPr>
            <w:r w:rsidRPr="00884A73">
              <w:rPr>
                <w:rFonts w:ascii="Arial" w:hAnsi="Arial" w:cs="Arial"/>
                <w:sz w:val="16"/>
                <w:szCs w:val="16"/>
                <w:lang w:eastAsia="es-ES"/>
              </w:rPr>
              <w:t>Subdirector de Gestión Contractual</w:t>
            </w:r>
            <w:r w:rsidR="008C3903" w:rsidRPr="00884A73">
              <w:rPr>
                <w:rFonts w:ascii="Arial" w:hAnsi="Arial" w:cs="Arial"/>
                <w:sz w:val="16"/>
                <w:szCs w:val="16"/>
                <w:lang w:eastAsia="es-ES"/>
              </w:rPr>
              <w:t xml:space="preserve"> ANCP – CCE</w:t>
            </w:r>
          </w:p>
        </w:tc>
      </w:tr>
    </w:tbl>
    <w:p w14:paraId="5D4CDD3F" w14:textId="77777777" w:rsidR="0080376A" w:rsidRPr="00645C7B" w:rsidRDefault="0080376A" w:rsidP="00EB2ED0">
      <w:pPr>
        <w:rPr>
          <w:rFonts w:ascii="Arial" w:hAnsi="Arial" w:cs="Arial"/>
          <w:sz w:val="16"/>
          <w:szCs w:val="16"/>
          <w:lang w:eastAsia="es-ES"/>
        </w:rPr>
      </w:pPr>
    </w:p>
    <w:bookmarkEnd w:id="6"/>
    <w:p w14:paraId="35B56F46" w14:textId="68D0B3F1" w:rsidR="00746E08" w:rsidRPr="00645C7B" w:rsidRDefault="00746E08" w:rsidP="00EB2ED0">
      <w:pPr>
        <w:spacing w:line="276" w:lineRule="auto"/>
        <w:jc w:val="both"/>
        <w:rPr>
          <w:rFonts w:ascii="Arial" w:hAnsi="Arial" w:cs="Arial"/>
          <w:lang w:val="es-ES_tradnl"/>
        </w:rPr>
      </w:pPr>
    </w:p>
    <w:sectPr w:rsidR="00746E08" w:rsidRPr="00645C7B"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0BFA67" w14:textId="77777777" w:rsidR="002A291A" w:rsidRDefault="002A291A">
      <w:r>
        <w:separator/>
      </w:r>
    </w:p>
  </w:endnote>
  <w:endnote w:type="continuationSeparator" w:id="0">
    <w:p w14:paraId="2F1BDEF3" w14:textId="77777777" w:rsidR="002A291A" w:rsidRDefault="002A291A">
      <w:r>
        <w:continuationSeparator/>
      </w:r>
    </w:p>
  </w:endnote>
  <w:endnote w:type="continuationNotice" w:id="1">
    <w:p w14:paraId="7BFEE7C7" w14:textId="77777777" w:rsidR="002A291A" w:rsidRDefault="002A29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7B1929" w:rsidRDefault="007B1929" w:rsidP="00322937">
    <w:pPr>
      <w:pStyle w:val="Sinespaciado"/>
      <w:jc w:val="right"/>
      <w:rPr>
        <w:rFonts w:ascii="Arial" w:hAnsi="Arial" w:cs="Arial"/>
        <w:sz w:val="18"/>
        <w:szCs w:val="18"/>
      </w:rPr>
    </w:pPr>
  </w:p>
  <w:p w14:paraId="7A3785F3" w14:textId="2EF28465" w:rsidR="007B1929" w:rsidRPr="008217B7" w:rsidRDefault="007B1929"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7B1929" w:rsidRDefault="007B1929" w:rsidP="00322937">
    <w:pPr>
      <w:pStyle w:val="Piedepgina"/>
      <w:jc w:val="center"/>
      <w:rPr>
        <w:lang w:val="es-ES"/>
      </w:rPr>
    </w:pPr>
    <w:r>
      <w:rPr>
        <w:noProof/>
      </w:rPr>
      <w:drawing>
        <wp:inline distT="0" distB="0" distL="0" distR="0" wp14:anchorId="608B196D" wp14:editId="5BB3F60A">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7B1929" w:rsidRDefault="007B1929" w:rsidP="007B0854">
    <w:pPr>
      <w:pStyle w:val="Piedepgina"/>
      <w:jc w:val="center"/>
      <w:rPr>
        <w:lang w:val="es-ES"/>
      </w:rPr>
    </w:pPr>
  </w:p>
  <w:p w14:paraId="6C0EFC49" w14:textId="77777777" w:rsidR="007B1929" w:rsidRPr="007B0854" w:rsidRDefault="007B1929"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1BDC3A" w14:textId="77777777" w:rsidR="002A291A" w:rsidRDefault="002A291A">
      <w:r>
        <w:separator/>
      </w:r>
    </w:p>
  </w:footnote>
  <w:footnote w:type="continuationSeparator" w:id="0">
    <w:p w14:paraId="7B414E90" w14:textId="77777777" w:rsidR="002A291A" w:rsidRDefault="002A291A">
      <w:r>
        <w:continuationSeparator/>
      </w:r>
    </w:p>
  </w:footnote>
  <w:footnote w:type="continuationNotice" w:id="1">
    <w:p w14:paraId="43FE044F" w14:textId="77777777" w:rsidR="002A291A" w:rsidRDefault="002A291A"/>
  </w:footnote>
  <w:footnote w:id="2">
    <w:p w14:paraId="79AE3BCB" w14:textId="3C7E8499" w:rsidR="002638F4" w:rsidRDefault="002638F4" w:rsidP="002638F4">
      <w:pPr>
        <w:pStyle w:val="Textonotapie"/>
        <w:ind w:firstLine="708"/>
        <w:jc w:val="both"/>
        <w:rPr>
          <w:rFonts w:ascii="Arial" w:hAnsi="Arial" w:cs="Arial"/>
          <w:sz w:val="19"/>
          <w:szCs w:val="19"/>
          <w:lang w:val="es-CO"/>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lang w:val="es-CO"/>
        </w:rPr>
        <w:t>La Agencia también se ha pronunciado sobre los factores de desempate introducidos por el artículo 35 de la Ley 2069 de 2020 en los conceptos: C-009 del 04 de febrero de 2021, C-012 del 04 de febrero de 2021, C-013 del 04 de febrero de 2021, C-015 del 04 de febrero de 2021, C-016 del 04 de febrero de 2021, C-026 del 04 de febrero de 2021, C-006 del 05 de febrero de 2021, C-043 del 09 de febrero de 2021, C-005 del 16 de febrero de 2021, C-007 del 16 de febrero de 2021, C-098 del 23 de febrero de 2021, C-028 de 23 de febrero de 2021, C-081 del 23 de febrero de 2021, C-087 del 23 de febrero de 2021, C-037 del 26 de febrero de 2021, C-035 del 02 de marzo de 2021, C-040 del 02 de marzo de 2021, C-044 del 03 de marzo de 2021, C-056 del 08 de marzo de 2021, C-061 del 10 de marzo de 2021, C-055 del 10 de marzo de 2021, C-058 del 11 de marzo de 2021, C-069 del 12 de marzo de 2021 y C-102 del 25 de marzo de 2020.</w:t>
      </w:r>
    </w:p>
    <w:p w14:paraId="5CB1B294" w14:textId="77777777" w:rsidR="00963A67" w:rsidRDefault="00963A67" w:rsidP="002638F4">
      <w:pPr>
        <w:pStyle w:val="Textonotapie"/>
        <w:ind w:firstLine="708"/>
        <w:jc w:val="both"/>
        <w:rPr>
          <w:rFonts w:ascii="Arial" w:hAnsi="Arial" w:cs="Arial"/>
          <w:sz w:val="19"/>
          <w:szCs w:val="19"/>
          <w:lang w:val="es-CO"/>
        </w:rPr>
      </w:pPr>
    </w:p>
  </w:footnote>
  <w:footnote w:id="3">
    <w:p w14:paraId="069AF3A0" w14:textId="77777777" w:rsidR="00E85980" w:rsidRPr="009E020C" w:rsidRDefault="00E85980" w:rsidP="00E85980">
      <w:pPr>
        <w:pStyle w:val="Car1"/>
        <w:ind w:firstLine="709"/>
        <w:jc w:val="both"/>
        <w:rPr>
          <w:rFonts w:ascii="Arial" w:hAnsi="Arial" w:cs="Arial"/>
          <w:sz w:val="19"/>
          <w:szCs w:val="19"/>
          <w:lang w:val="es-ES"/>
        </w:rPr>
      </w:pPr>
      <w:r w:rsidRPr="009E020C">
        <w:rPr>
          <w:rStyle w:val="Refdenotaalpie"/>
          <w:rFonts w:ascii="Arial" w:hAnsi="Arial" w:cs="Arial"/>
          <w:sz w:val="19"/>
          <w:szCs w:val="19"/>
        </w:rPr>
        <w:footnoteRef/>
      </w:r>
      <w:r w:rsidRPr="009E020C">
        <w:rPr>
          <w:rFonts w:ascii="Arial" w:hAnsi="Arial" w:cs="Arial"/>
          <w:sz w:val="19"/>
          <w:szCs w:val="19"/>
        </w:rPr>
        <w:t xml:space="preserve"> </w:t>
      </w:r>
      <w:r w:rsidRPr="009E020C">
        <w:rPr>
          <w:rFonts w:ascii="Arial" w:hAnsi="Arial" w:cs="Arial"/>
          <w:sz w:val="19"/>
          <w:szCs w:val="19"/>
          <w:lang w:val="es-ES"/>
        </w:rPr>
        <w:t>Consejo de Estado. Sección Tercera. Sentencia del 29 de octubre de 2.015. Consejera Ponente: Stella Conto Díaz Del Castillo. Expediente: 31.918.</w:t>
      </w:r>
    </w:p>
    <w:p w14:paraId="0180FFC5" w14:textId="77777777" w:rsidR="00E85980" w:rsidRPr="009E020C" w:rsidRDefault="00E85980" w:rsidP="00E85980">
      <w:pPr>
        <w:pStyle w:val="Car1"/>
        <w:ind w:firstLine="709"/>
        <w:jc w:val="both"/>
        <w:rPr>
          <w:rFonts w:ascii="Arial" w:hAnsi="Arial" w:cs="Arial"/>
          <w:sz w:val="19"/>
          <w:szCs w:val="19"/>
          <w:lang w:val="es-ES"/>
        </w:rPr>
      </w:pPr>
    </w:p>
  </w:footnote>
  <w:footnote w:id="4">
    <w:p w14:paraId="4CE0D659" w14:textId="77777777" w:rsidR="00E85980" w:rsidRPr="009E020C" w:rsidRDefault="00E85980" w:rsidP="00E85980">
      <w:pPr>
        <w:pStyle w:val="Car1"/>
        <w:ind w:firstLine="709"/>
        <w:jc w:val="both"/>
        <w:rPr>
          <w:rFonts w:ascii="Arial" w:hAnsi="Arial" w:cs="Arial"/>
          <w:sz w:val="19"/>
          <w:szCs w:val="19"/>
          <w:lang w:val="es-ES"/>
        </w:rPr>
      </w:pPr>
      <w:r w:rsidRPr="009E020C">
        <w:rPr>
          <w:rStyle w:val="Refdenotaalpie"/>
          <w:rFonts w:ascii="Arial" w:hAnsi="Arial" w:cs="Arial"/>
          <w:sz w:val="19"/>
          <w:szCs w:val="19"/>
        </w:rPr>
        <w:footnoteRef/>
      </w:r>
      <w:r w:rsidRPr="009E020C">
        <w:rPr>
          <w:rFonts w:ascii="Arial" w:hAnsi="Arial" w:cs="Arial"/>
          <w:sz w:val="19"/>
          <w:szCs w:val="19"/>
        </w:rPr>
        <w:t xml:space="preserve"> </w:t>
      </w:r>
      <w:r w:rsidRPr="009E020C">
        <w:rPr>
          <w:rFonts w:ascii="Arial" w:hAnsi="Arial" w:cs="Arial"/>
          <w:sz w:val="19"/>
          <w:szCs w:val="19"/>
          <w:lang w:val="es-ES"/>
        </w:rPr>
        <w:t>Corte Constitucional. Sentencia T-684A del 14 de septiembre de 2011. Magistrado Ponente: Mauricio González Cuervo.</w:t>
      </w:r>
    </w:p>
    <w:p w14:paraId="688BED7F" w14:textId="77777777" w:rsidR="00E85980" w:rsidRPr="009E020C" w:rsidRDefault="00E85980" w:rsidP="00E85980">
      <w:pPr>
        <w:pStyle w:val="Car1"/>
        <w:ind w:firstLine="709"/>
        <w:jc w:val="both"/>
        <w:rPr>
          <w:rFonts w:ascii="Arial" w:hAnsi="Arial" w:cs="Arial"/>
          <w:sz w:val="19"/>
          <w:szCs w:val="19"/>
          <w:lang w:val="es-ES"/>
        </w:rPr>
      </w:pPr>
    </w:p>
  </w:footnote>
  <w:footnote w:id="5">
    <w:p w14:paraId="5E7BECF0" w14:textId="77777777" w:rsidR="00AC6B7E" w:rsidRPr="008640C4" w:rsidRDefault="00AC6B7E" w:rsidP="00AC6B7E">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2 al 29.</w:t>
      </w:r>
    </w:p>
    <w:p w14:paraId="533DAD2B" w14:textId="77777777" w:rsidR="00AC6B7E" w:rsidRPr="008640C4" w:rsidRDefault="00AC6B7E" w:rsidP="00AC6B7E">
      <w:pPr>
        <w:pStyle w:val="Textonotapie"/>
        <w:ind w:firstLine="709"/>
        <w:jc w:val="both"/>
        <w:rPr>
          <w:rFonts w:ascii="Arial" w:hAnsi="Arial" w:cs="Arial"/>
          <w:sz w:val="19"/>
          <w:szCs w:val="19"/>
          <w:lang w:val="es-ES"/>
        </w:rPr>
      </w:pPr>
    </w:p>
  </w:footnote>
  <w:footnote w:id="6">
    <w:p w14:paraId="00293FBD" w14:textId="77777777" w:rsidR="00AC6B7E" w:rsidRPr="008640C4" w:rsidRDefault="00AC6B7E" w:rsidP="00AC6B7E">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30 al 36.</w:t>
      </w:r>
    </w:p>
    <w:p w14:paraId="497EE577" w14:textId="77777777" w:rsidR="00AC6B7E" w:rsidRPr="008640C4" w:rsidRDefault="00AC6B7E" w:rsidP="00AC6B7E">
      <w:pPr>
        <w:pStyle w:val="Textonotapie"/>
        <w:ind w:firstLine="709"/>
        <w:jc w:val="both"/>
        <w:rPr>
          <w:rFonts w:ascii="Arial" w:hAnsi="Arial" w:cs="Arial"/>
          <w:sz w:val="19"/>
          <w:szCs w:val="19"/>
          <w:lang w:val="es-ES"/>
        </w:rPr>
      </w:pPr>
    </w:p>
  </w:footnote>
  <w:footnote w:id="7">
    <w:p w14:paraId="2435DBBA" w14:textId="77777777" w:rsidR="00AC6B7E" w:rsidRPr="008640C4" w:rsidRDefault="00AC6B7E" w:rsidP="00AC6B7E">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37 al 45.</w:t>
      </w:r>
    </w:p>
    <w:p w14:paraId="413B3A19" w14:textId="77777777" w:rsidR="00AC6B7E" w:rsidRPr="008640C4" w:rsidRDefault="00AC6B7E" w:rsidP="00AC6B7E">
      <w:pPr>
        <w:pStyle w:val="Textonotapie"/>
        <w:ind w:firstLine="709"/>
        <w:jc w:val="both"/>
        <w:rPr>
          <w:rFonts w:ascii="Arial" w:hAnsi="Arial" w:cs="Arial"/>
          <w:sz w:val="19"/>
          <w:szCs w:val="19"/>
          <w:lang w:val="es-ES"/>
        </w:rPr>
      </w:pPr>
    </w:p>
  </w:footnote>
  <w:footnote w:id="8">
    <w:p w14:paraId="1830AE85" w14:textId="77777777" w:rsidR="00AC6B7E" w:rsidRPr="008640C4" w:rsidRDefault="00AC6B7E" w:rsidP="00AC6B7E">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46 al 73.</w:t>
      </w:r>
    </w:p>
    <w:p w14:paraId="1EA3EB33" w14:textId="77777777" w:rsidR="00AC6B7E" w:rsidRPr="008640C4" w:rsidRDefault="00AC6B7E" w:rsidP="00AC6B7E">
      <w:pPr>
        <w:pStyle w:val="Textonotapie"/>
        <w:ind w:firstLine="709"/>
        <w:jc w:val="both"/>
        <w:rPr>
          <w:rFonts w:ascii="Arial" w:hAnsi="Arial" w:cs="Arial"/>
          <w:sz w:val="19"/>
          <w:szCs w:val="19"/>
          <w:lang w:val="es-ES"/>
        </w:rPr>
      </w:pPr>
    </w:p>
  </w:footnote>
  <w:footnote w:id="9">
    <w:p w14:paraId="1182D6ED" w14:textId="77777777" w:rsidR="00AC6B7E" w:rsidRPr="008640C4" w:rsidRDefault="00AC6B7E" w:rsidP="00AC6B7E">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74 al 83.</w:t>
      </w:r>
    </w:p>
    <w:p w14:paraId="637BFBF1" w14:textId="77777777" w:rsidR="00AC6B7E" w:rsidRPr="008640C4" w:rsidRDefault="00AC6B7E" w:rsidP="00AC6B7E">
      <w:pPr>
        <w:pStyle w:val="Textonotapie"/>
        <w:ind w:firstLine="709"/>
        <w:jc w:val="both"/>
        <w:rPr>
          <w:rFonts w:ascii="Arial" w:hAnsi="Arial" w:cs="Arial"/>
          <w:sz w:val="19"/>
          <w:szCs w:val="19"/>
          <w:lang w:val="es-ES"/>
        </w:rPr>
      </w:pPr>
    </w:p>
  </w:footnote>
  <w:footnote w:id="10">
    <w:p w14:paraId="267D2F15" w14:textId="77777777" w:rsidR="00AC6B7E" w:rsidRPr="001F5C3E" w:rsidRDefault="00AC6B7E" w:rsidP="00AC6B7E">
      <w:pPr>
        <w:pStyle w:val="Textonotapie"/>
        <w:ind w:firstLine="708"/>
        <w:jc w:val="both"/>
        <w:rPr>
          <w:rFonts w:ascii="Arial" w:hAnsi="Arial" w:cs="Arial"/>
          <w:bCs/>
          <w:color w:val="000000" w:themeColor="text1"/>
          <w:sz w:val="19"/>
          <w:szCs w:val="19"/>
        </w:rPr>
      </w:pPr>
      <w:r w:rsidRPr="001F5C3E">
        <w:rPr>
          <w:rStyle w:val="Refdenotaalpie"/>
          <w:rFonts w:ascii="Arial" w:hAnsi="Arial" w:cs="Arial"/>
          <w:color w:val="000000" w:themeColor="text1"/>
          <w:sz w:val="19"/>
          <w:szCs w:val="19"/>
        </w:rPr>
        <w:footnoteRef/>
      </w:r>
      <w:r w:rsidRPr="001F5C3E">
        <w:rPr>
          <w:rFonts w:ascii="Arial" w:hAnsi="Arial" w:cs="Arial"/>
          <w:color w:val="000000" w:themeColor="text1"/>
          <w:sz w:val="19"/>
          <w:szCs w:val="19"/>
        </w:rPr>
        <w:t xml:space="preserve"> </w:t>
      </w:r>
      <w:r w:rsidRPr="001F5C3E">
        <w:rPr>
          <w:rFonts w:ascii="Arial" w:hAnsi="Arial" w:cs="Arial"/>
          <w:bCs/>
          <w:color w:val="000000" w:themeColor="text1"/>
          <w:sz w:val="19"/>
          <w:szCs w:val="19"/>
        </w:rPr>
        <w:t xml:space="preserve">Esta política se justifica en la medida que: «Cuando una empresa decide ser formal se generan beneficios para la sociedad más allá de los que la empresa recibe (externalidades positivas). Estos beneficios […] incluyen la inserción de más trabajadores al sistema de aseguramiento social, un mayor cumplimiento de las normas sectoriales que buscan proteger la salud de los consumidores y mayores ingresos tributarios para la inversión pública. De igual manera, cuando una empresa decide ser informal, su decisión genera costos para la sociedad más allá de los asumidos por la empresa (externalidades negativas). Algunos de estos son competencia desleal con empresas formales, ya que estas últimas asumen costos adicionales (por ejemplo, pago de registros, seguridad social e impuestos), y el aumento de la corrupción porque, en ocasiones, la manera en que empresas informales evaden el control de los requisitos de formalidad es vía pagos ilegales» (Cfr. </w:t>
      </w:r>
      <w:r w:rsidRPr="001F5C3E">
        <w:rPr>
          <w:rFonts w:ascii="Arial" w:hAnsi="Arial" w:cs="Arial"/>
          <w:color w:val="000000" w:themeColor="text1"/>
          <w:sz w:val="19"/>
          <w:szCs w:val="19"/>
        </w:rPr>
        <w:t xml:space="preserve">CONSEJO NACIONAL DE POLÍTICA ECONÓMICA Y SOCIAL. Documento 3956 del 8 de enero de 2019: «Política de formalización empresarial». Archivo consultado el 8 de febrero de 2021 en la página web </w:t>
      </w:r>
      <w:hyperlink r:id="rId1" w:history="1">
        <w:r w:rsidRPr="001F5C3E">
          <w:rPr>
            <w:rStyle w:val="Hipervnculo"/>
            <w:rFonts w:ascii="Arial" w:hAnsi="Arial" w:cs="Arial"/>
            <w:color w:val="000000" w:themeColor="text1"/>
            <w:sz w:val="19"/>
            <w:szCs w:val="19"/>
          </w:rPr>
          <w:t>https://colaboracion.dnp.gov.co/CDT/Conpes/Econ%C3%B3micos/3956.pdf</w:t>
        </w:r>
      </w:hyperlink>
      <w:r w:rsidRPr="001F5C3E">
        <w:rPr>
          <w:rFonts w:ascii="Arial" w:hAnsi="Arial" w:cs="Arial"/>
          <w:color w:val="000000" w:themeColor="text1"/>
          <w:sz w:val="19"/>
          <w:szCs w:val="19"/>
        </w:rPr>
        <w:t xml:space="preserve">).  </w:t>
      </w:r>
    </w:p>
    <w:p w14:paraId="2B840D00" w14:textId="77777777" w:rsidR="00AC6B7E" w:rsidRPr="00AA2812" w:rsidRDefault="00AC6B7E" w:rsidP="00AC6B7E">
      <w:pPr>
        <w:pStyle w:val="Textonotapie"/>
        <w:ind w:firstLine="708"/>
        <w:jc w:val="both"/>
        <w:rPr>
          <w:rFonts w:ascii="Arial" w:hAnsi="Arial" w:cs="Arial"/>
          <w:sz w:val="19"/>
          <w:szCs w:val="19"/>
          <w:lang w:val="es-ES"/>
        </w:rPr>
      </w:pPr>
    </w:p>
  </w:footnote>
  <w:footnote w:id="11">
    <w:p w14:paraId="03F380B6" w14:textId="77777777" w:rsidR="00AC6B7E" w:rsidRPr="00A1541C" w:rsidRDefault="00AC6B7E" w:rsidP="00AC6B7E">
      <w:pPr>
        <w:pStyle w:val="Textonotapie"/>
        <w:ind w:firstLine="708"/>
        <w:jc w:val="both"/>
        <w:rPr>
          <w:rFonts w:ascii="Arial" w:hAnsi="Arial" w:cs="Arial"/>
          <w:sz w:val="19"/>
          <w:szCs w:val="19"/>
          <w:lang w:val="es-ES"/>
        </w:rPr>
      </w:pPr>
      <w:r w:rsidRPr="00A1541C">
        <w:rPr>
          <w:rStyle w:val="Refdenotaalpie"/>
          <w:rFonts w:ascii="Arial" w:hAnsi="Arial" w:cs="Arial"/>
          <w:sz w:val="19"/>
          <w:szCs w:val="19"/>
        </w:rPr>
        <w:footnoteRef/>
      </w:r>
      <w:r>
        <w:rPr>
          <w:rFonts w:ascii="Arial" w:hAnsi="Arial" w:cs="Arial"/>
          <w:sz w:val="19"/>
          <w:szCs w:val="19"/>
        </w:rPr>
        <w:t xml:space="preserve"> </w:t>
      </w:r>
      <w:bookmarkStart w:id="9" w:name="_Hlk63862868"/>
      <w:r>
        <w:rPr>
          <w:rFonts w:ascii="Arial" w:hAnsi="Arial" w:cs="Arial"/>
          <w:sz w:val="19"/>
          <w:szCs w:val="19"/>
        </w:rPr>
        <w:t xml:space="preserve">CONGRESO DE LA REPÚBLICA. Gaceta No. 670 del 11 de agosto de 2020. Exposición de motivos del Proyecto de Ley No. 122 de 2020 Cámara. p. 13. </w:t>
      </w:r>
      <w:bookmarkEnd w:id="9"/>
    </w:p>
  </w:footnote>
  <w:footnote w:id="12">
    <w:p w14:paraId="690EE671" w14:textId="22974CEC" w:rsidR="007B1929" w:rsidRPr="007B1929" w:rsidRDefault="007B1929" w:rsidP="003D41B1">
      <w:pPr>
        <w:pStyle w:val="NormalWeb"/>
        <w:spacing w:before="0" w:beforeAutospacing="0" w:after="0" w:afterAutospacing="0"/>
        <w:ind w:firstLine="708"/>
        <w:jc w:val="both"/>
        <w:rPr>
          <w:rFonts w:ascii="Arial" w:hAnsi="Arial" w:cs="Arial"/>
          <w:sz w:val="19"/>
          <w:szCs w:val="19"/>
        </w:rPr>
      </w:pPr>
      <w:r w:rsidRPr="003D41B1">
        <w:rPr>
          <w:rStyle w:val="Refdenotaalpie"/>
          <w:rFonts w:ascii="Arial" w:hAnsi="Arial" w:cs="Arial"/>
          <w:sz w:val="19"/>
          <w:szCs w:val="19"/>
        </w:rPr>
        <w:footnoteRef/>
      </w:r>
      <w:r w:rsidRPr="003D41B1">
        <w:rPr>
          <w:rFonts w:ascii="Arial" w:hAnsi="Arial" w:cs="Arial"/>
          <w:sz w:val="19"/>
          <w:szCs w:val="19"/>
        </w:rPr>
        <w:t xml:space="preserve"> Ley 1150 de 2007: </w:t>
      </w:r>
      <w:r w:rsidRPr="007B1929">
        <w:rPr>
          <w:rFonts w:ascii="Arial" w:eastAsia="Calibri" w:hAnsi="Arial" w:cs="Arial"/>
          <w:bCs/>
          <w:sz w:val="19"/>
          <w:szCs w:val="19"/>
        </w:rPr>
        <w:t>«</w:t>
      </w:r>
      <w:r w:rsidRPr="007B1929">
        <w:rPr>
          <w:rFonts w:ascii="Arial" w:hAnsi="Arial" w:cs="Arial"/>
          <w:sz w:val="19"/>
          <w:szCs w:val="19"/>
        </w:rPr>
        <w:t>Artículo 5°.</w:t>
      </w:r>
      <w:r w:rsidRPr="007B1929">
        <w:rPr>
          <w:rFonts w:ascii="Arial" w:hAnsi="Arial" w:cs="Arial"/>
          <w:i/>
          <w:iCs/>
          <w:sz w:val="19"/>
          <w:szCs w:val="19"/>
        </w:rPr>
        <w:t xml:space="preserve"> </w:t>
      </w:r>
      <w:r w:rsidRPr="007B1929">
        <w:rPr>
          <w:rFonts w:ascii="Arial" w:hAnsi="Arial" w:cs="Arial"/>
          <w:sz w:val="19"/>
          <w:szCs w:val="19"/>
        </w:rPr>
        <w:t>De la selección objetiva.</w:t>
      </w:r>
      <w:r w:rsidRPr="007B1929">
        <w:rPr>
          <w:rFonts w:ascii="Arial" w:hAnsi="Arial" w:cs="Arial"/>
          <w:i/>
          <w:iCs/>
          <w:sz w:val="19"/>
          <w:szCs w:val="19"/>
        </w:rPr>
        <w:t> </w:t>
      </w:r>
      <w:r w:rsidRPr="007B1929">
        <w:rPr>
          <w:rFonts w:ascii="Arial" w:hAnsi="Arial" w:cs="Arial"/>
          <w:sz w:val="19"/>
          <w:szCs w:val="19"/>
        </w:rPr>
        <w:t>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 </w:t>
      </w:r>
    </w:p>
    <w:p w14:paraId="7A53366A" w14:textId="0F96ADD4" w:rsidR="007B1929" w:rsidRPr="007B1929" w:rsidRDefault="007B1929" w:rsidP="003D41B1">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sidRPr="007B1929">
        <w:rPr>
          <w:rFonts w:ascii="Arial" w:eastAsia="Calibri" w:hAnsi="Arial" w:cs="Arial"/>
          <w:bCs/>
          <w:sz w:val="19"/>
          <w:szCs w:val="19"/>
        </w:rPr>
        <w:t>»</w:t>
      </w:r>
      <w:r w:rsidRPr="007B1929">
        <w:rPr>
          <w:rFonts w:ascii="Arial" w:hAnsi="Arial" w:cs="Arial"/>
          <w:sz w:val="19"/>
          <w:szCs w:val="19"/>
          <w:lang w:eastAsia="es-CO"/>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 </w:t>
      </w:r>
    </w:p>
    <w:p w14:paraId="02825693" w14:textId="58999814" w:rsidR="007B1929" w:rsidRPr="007B1929" w:rsidRDefault="007B1929" w:rsidP="003D41B1">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sidRPr="007B1929">
        <w:rPr>
          <w:rFonts w:ascii="Arial" w:eastAsia="Calibri" w:hAnsi="Arial" w:cs="Arial"/>
          <w:bCs/>
          <w:sz w:val="19"/>
          <w:szCs w:val="19"/>
        </w:rPr>
        <w:t>»</w:t>
      </w:r>
      <w:r w:rsidRPr="007B1929">
        <w:rPr>
          <w:rFonts w:ascii="Arial" w:hAnsi="Arial" w:cs="Arial"/>
          <w:sz w:val="19"/>
          <w:szCs w:val="19"/>
          <w:lang w:eastAsia="es-CO"/>
        </w:rPr>
        <w:t>2.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  </w:t>
      </w:r>
    </w:p>
    <w:p w14:paraId="7AC87B12" w14:textId="206DB77A" w:rsidR="007B1929" w:rsidRPr="007B1929" w:rsidRDefault="007B1929" w:rsidP="003D41B1">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sidRPr="007B1929">
        <w:rPr>
          <w:rFonts w:ascii="Arial" w:eastAsia="Calibri" w:hAnsi="Arial" w:cs="Arial"/>
          <w:bCs/>
          <w:sz w:val="19"/>
          <w:szCs w:val="19"/>
        </w:rPr>
        <w:t>»</w:t>
      </w:r>
      <w:r w:rsidRPr="007B1929">
        <w:rPr>
          <w:rFonts w:ascii="Arial" w:hAnsi="Arial" w:cs="Arial"/>
          <w:sz w:val="19"/>
          <w:szCs w:val="19"/>
          <w:lang w:eastAsia="es-CO"/>
        </w:rPr>
        <w:t>En los procesos de selección en los que se tenga en cuenta los factores técnicos y económicos, la oferta más ventajosa será la que resulte de aplicar alguna de las siguientes alternativas:  </w:t>
      </w:r>
    </w:p>
    <w:p w14:paraId="755DB24D" w14:textId="6A14370E" w:rsidR="007B1929" w:rsidRPr="007B1929" w:rsidRDefault="007B1929" w:rsidP="003D41B1">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sidRPr="007B1929">
        <w:rPr>
          <w:rFonts w:ascii="Arial" w:eastAsia="Calibri" w:hAnsi="Arial" w:cs="Arial"/>
          <w:bCs/>
          <w:sz w:val="19"/>
          <w:szCs w:val="19"/>
        </w:rPr>
        <w:t>»</w:t>
      </w:r>
      <w:r w:rsidRPr="007B1929">
        <w:rPr>
          <w:rFonts w:ascii="Arial" w:hAnsi="Arial" w:cs="Arial"/>
          <w:sz w:val="19"/>
          <w:szCs w:val="19"/>
          <w:lang w:eastAsia="es-CO"/>
        </w:rPr>
        <w:t>a) La ponderación de los elementos de calidad y precio soportados en puntajes o fórmulas señaladas en el pliego de condiciones; o  </w:t>
      </w:r>
    </w:p>
    <w:p w14:paraId="34A8DFCF" w14:textId="528A84F1" w:rsidR="007B1929" w:rsidRPr="007B1929" w:rsidRDefault="007B1929" w:rsidP="003D41B1">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sidRPr="007B1929">
        <w:rPr>
          <w:rFonts w:ascii="Arial" w:eastAsia="Calibri" w:hAnsi="Arial" w:cs="Arial"/>
          <w:bCs/>
          <w:sz w:val="19"/>
          <w:szCs w:val="19"/>
        </w:rPr>
        <w:t>»</w:t>
      </w:r>
      <w:r w:rsidRPr="007B1929">
        <w:rPr>
          <w:rFonts w:ascii="Arial" w:hAnsi="Arial" w:cs="Arial"/>
          <w:sz w:val="19"/>
          <w:szCs w:val="19"/>
          <w:lang w:eastAsia="es-CO"/>
        </w:rPr>
        <w:t>b) La ponderación de los elementos de calidad y precio que representen la mejor relación de costo-beneficio para la entidad.  </w:t>
      </w:r>
    </w:p>
    <w:p w14:paraId="6052EDD5" w14:textId="2E3A1BA4" w:rsidR="007B1929" w:rsidRPr="007B1929" w:rsidRDefault="007B1929" w:rsidP="003D41B1">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sidRPr="007B1929">
        <w:rPr>
          <w:rFonts w:ascii="Arial" w:eastAsia="Calibri" w:hAnsi="Arial" w:cs="Arial"/>
          <w:bCs/>
          <w:sz w:val="19"/>
          <w:szCs w:val="19"/>
        </w:rPr>
        <w:t>»</w:t>
      </w:r>
      <w:r w:rsidRPr="007B1929">
        <w:rPr>
          <w:rFonts w:ascii="Arial" w:hAnsi="Arial" w:cs="Arial"/>
          <w:sz w:val="19"/>
          <w:szCs w:val="19"/>
          <w:lang w:eastAsia="es-CO"/>
        </w:rPr>
        <w:t>3. Sin perjuicio de lo previsto en el numeral 1 del presente artículo, en los pliegos de condiciones para las contrataciones cuyo objeto sea la adquisición o suministro de bienes y servicios de características técnicas uniformes y común utilización, las entidades estatales incluirán como único factor de evaluación el menor precio ofrecido. </w:t>
      </w:r>
    </w:p>
    <w:p w14:paraId="5085CFA8" w14:textId="5422DBD3" w:rsidR="007B1929" w:rsidRPr="007B1929" w:rsidRDefault="007B1929" w:rsidP="003D41B1">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sidRPr="007B1929">
        <w:rPr>
          <w:rFonts w:ascii="Arial" w:eastAsia="Calibri" w:hAnsi="Arial" w:cs="Arial"/>
          <w:bCs/>
          <w:sz w:val="19"/>
          <w:szCs w:val="19"/>
        </w:rPr>
        <w:t>»</w:t>
      </w:r>
      <w:r w:rsidRPr="007B1929">
        <w:rPr>
          <w:rFonts w:ascii="Arial" w:hAnsi="Arial" w:cs="Arial"/>
          <w:sz w:val="19"/>
          <w:szCs w:val="19"/>
          <w:lang w:eastAsia="es-CO"/>
        </w:rPr>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 </w:t>
      </w:r>
    </w:p>
    <w:p w14:paraId="1196C83F" w14:textId="432DDCA9" w:rsidR="007B1929" w:rsidRPr="007B1929" w:rsidRDefault="007B1929" w:rsidP="003D41B1">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sidRPr="007B1929">
        <w:rPr>
          <w:rFonts w:ascii="Arial" w:eastAsia="Calibri" w:hAnsi="Arial" w:cs="Arial"/>
          <w:bCs/>
          <w:sz w:val="19"/>
          <w:szCs w:val="19"/>
        </w:rPr>
        <w:t>»</w:t>
      </w:r>
      <w:r w:rsidRPr="007B1929">
        <w:rPr>
          <w:rFonts w:ascii="Arial" w:hAnsi="Arial" w:cs="Arial"/>
          <w:sz w:val="19"/>
          <w:szCs w:val="19"/>
          <w:lang w:eastAsia="es-CO"/>
        </w:rPr>
        <w:t>En ningún caso se podrá incluir el precio, como factor de escogencia para la selección de consultores. </w:t>
      </w:r>
    </w:p>
    <w:p w14:paraId="156073C3" w14:textId="03AADB59" w:rsidR="007B1929" w:rsidRPr="007B1929" w:rsidRDefault="007B1929" w:rsidP="003D41B1">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sidRPr="007B1929">
        <w:rPr>
          <w:rFonts w:ascii="Arial" w:eastAsia="Calibri" w:hAnsi="Arial" w:cs="Arial"/>
          <w:bCs/>
          <w:sz w:val="19"/>
          <w:szCs w:val="19"/>
        </w:rPr>
        <w:t>»</w:t>
      </w:r>
      <w:r w:rsidRPr="007B1929">
        <w:rPr>
          <w:rFonts w:ascii="Arial" w:hAnsi="Arial" w:cs="Arial"/>
          <w:sz w:val="19"/>
          <w:szCs w:val="19"/>
          <w:lang w:eastAsia="es-CO"/>
        </w:rPr>
        <w:t>Parágrafo 1°.</w:t>
      </w:r>
      <w:r w:rsidRPr="007B1929">
        <w:rPr>
          <w:rFonts w:ascii="Arial" w:hAnsi="Arial" w:cs="Arial"/>
          <w:b/>
          <w:bCs/>
          <w:sz w:val="19"/>
          <w:szCs w:val="19"/>
          <w:lang w:eastAsia="es-CO"/>
        </w:rPr>
        <w:t> </w:t>
      </w:r>
      <w:r w:rsidRPr="007B1929">
        <w:rPr>
          <w:rFonts w:ascii="Arial" w:hAnsi="Arial" w:cs="Arial"/>
          <w:sz w:val="19"/>
          <w:szCs w:val="19"/>
          <w:lang w:eastAsia="es-CO"/>
        </w:rPr>
        <w:t>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w:t>
      </w:r>
    </w:p>
    <w:p w14:paraId="3045B0B2" w14:textId="6C2BFCD3" w:rsidR="007B1929" w:rsidRPr="007B1929" w:rsidRDefault="007B1929" w:rsidP="003D41B1">
      <w:pPr>
        <w:ind w:firstLine="708"/>
        <w:jc w:val="both"/>
        <w:rPr>
          <w:rFonts w:ascii="Arial" w:hAnsi="Arial" w:cs="Arial"/>
          <w:sz w:val="19"/>
          <w:szCs w:val="19"/>
          <w:lang w:eastAsia="es-CO"/>
        </w:rPr>
      </w:pPr>
      <w:r w:rsidRPr="007B1929">
        <w:rPr>
          <w:rFonts w:ascii="Arial" w:eastAsia="Calibri" w:hAnsi="Arial" w:cs="Arial"/>
          <w:bCs/>
          <w:sz w:val="19"/>
          <w:szCs w:val="19"/>
        </w:rPr>
        <w:t>»</w:t>
      </w:r>
      <w:r w:rsidRPr="007B1929">
        <w:rPr>
          <w:rFonts w:ascii="Arial" w:hAnsi="Arial" w:cs="Arial"/>
          <w:sz w:val="19"/>
          <w:szCs w:val="19"/>
          <w:lang w:eastAsia="es-CO"/>
        </w:rPr>
        <w:t>Durante el término otorgado para subsanar las ofertas, los proponentes no podrán acreditar circunstancias ocurridas con posterioridad al cierre del proceso. </w:t>
      </w:r>
    </w:p>
    <w:p w14:paraId="7CBFAA4B" w14:textId="1E9F9BE2" w:rsidR="007B1929" w:rsidRPr="007B1929" w:rsidRDefault="007B1929" w:rsidP="003D41B1">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sidRPr="007B1929">
        <w:rPr>
          <w:rFonts w:ascii="Arial" w:eastAsia="Calibri" w:hAnsi="Arial" w:cs="Arial"/>
          <w:bCs/>
          <w:sz w:val="19"/>
          <w:szCs w:val="19"/>
        </w:rPr>
        <w:t>»</w:t>
      </w:r>
      <w:r w:rsidRPr="007B1929">
        <w:rPr>
          <w:rFonts w:ascii="Arial" w:hAnsi="Arial" w:cs="Arial"/>
          <w:sz w:val="19"/>
          <w:szCs w:val="19"/>
          <w:lang w:eastAsia="es-CO"/>
        </w:rPr>
        <w:t>Parágrafo 2°. Las certificaciones de sistemas de gestión de calidad no serán objeto de calificación, ni podrán establecerse como documento habilitante para participar en licitaciones o concursos. </w:t>
      </w:r>
    </w:p>
    <w:p w14:paraId="5FF50D3C" w14:textId="7E20C0B5" w:rsidR="007B1929" w:rsidRPr="007B1929" w:rsidRDefault="007B1929" w:rsidP="003D41B1">
      <w:pPr>
        <w:ind w:firstLine="708"/>
        <w:jc w:val="both"/>
        <w:rPr>
          <w:rFonts w:ascii="Arial" w:hAnsi="Arial" w:cs="Arial"/>
          <w:sz w:val="19"/>
          <w:szCs w:val="19"/>
          <w:lang w:eastAsia="es-CO"/>
        </w:rPr>
      </w:pPr>
      <w:r w:rsidRPr="007B1929">
        <w:rPr>
          <w:rFonts w:ascii="Arial" w:eastAsia="Calibri" w:hAnsi="Arial" w:cs="Arial"/>
          <w:bCs/>
          <w:sz w:val="19"/>
          <w:szCs w:val="19"/>
        </w:rPr>
        <w:t>»</w:t>
      </w:r>
      <w:r w:rsidRPr="007B1929">
        <w:rPr>
          <w:rFonts w:ascii="Arial" w:hAnsi="Arial" w:cs="Arial"/>
          <w:sz w:val="19"/>
          <w:szCs w:val="19"/>
          <w:lang w:eastAsia="es-CO"/>
        </w:rPr>
        <w:t>Parágrafo 3°. La no entrega de la garantía de seriedad junto con la propuesta no será subsanable y será causal de rechazo de la misma. </w:t>
      </w:r>
    </w:p>
    <w:p w14:paraId="570998BA" w14:textId="57B60D15" w:rsidR="007B1929" w:rsidRPr="007B1929" w:rsidRDefault="007B1929" w:rsidP="003D41B1">
      <w:pPr>
        <w:ind w:firstLine="708"/>
        <w:jc w:val="both"/>
        <w:rPr>
          <w:rFonts w:ascii="Arial" w:hAnsi="Arial" w:cs="Arial"/>
          <w:sz w:val="19"/>
          <w:szCs w:val="19"/>
          <w:lang w:eastAsia="es-CO"/>
        </w:rPr>
      </w:pPr>
      <w:r w:rsidRPr="007B1929">
        <w:rPr>
          <w:rFonts w:ascii="Arial" w:eastAsia="Calibri" w:hAnsi="Arial" w:cs="Arial"/>
          <w:bCs/>
          <w:sz w:val="19"/>
          <w:szCs w:val="19"/>
        </w:rPr>
        <w:t>»</w:t>
      </w:r>
      <w:r w:rsidRPr="007B1929">
        <w:rPr>
          <w:rFonts w:ascii="Arial" w:hAnsi="Arial" w:cs="Arial"/>
          <w:sz w:val="19"/>
          <w:szCs w:val="19"/>
          <w:lang w:eastAsia="es-CO"/>
        </w:rPr>
        <w:t>Parágrafo 4°.</w:t>
      </w:r>
      <w:r w:rsidRPr="007B1929">
        <w:rPr>
          <w:rFonts w:ascii="Arial" w:hAnsi="Arial" w:cs="Arial"/>
          <w:b/>
          <w:bCs/>
          <w:sz w:val="19"/>
          <w:szCs w:val="19"/>
          <w:lang w:eastAsia="es-CO"/>
        </w:rPr>
        <w:t> </w:t>
      </w:r>
      <w:r w:rsidRPr="007B1929">
        <w:rPr>
          <w:rFonts w:ascii="Arial" w:hAnsi="Arial" w:cs="Arial"/>
          <w:sz w:val="19"/>
          <w:szCs w:val="19"/>
          <w:lang w:eastAsia="es-CO"/>
        </w:rPr>
        <w:t>En aquellos procesos de selección en los que se utilice el mecanismo de subasta, los documentos referentes a la futura contratación o al proponente, no necesarios para la comparación de las propuestas, deberán ser solicitados hasta el momento previo a su realización. </w:t>
      </w:r>
    </w:p>
    <w:p w14:paraId="0BB8761D" w14:textId="752C1B04" w:rsidR="007B1929" w:rsidRDefault="007B1929" w:rsidP="00681C78">
      <w:pPr>
        <w:jc w:val="both"/>
      </w:pPr>
      <w:r w:rsidRPr="007B1929">
        <w:rPr>
          <w:rFonts w:ascii="Arial" w:hAnsi="Arial" w:cs="Arial"/>
          <w:sz w:val="19"/>
          <w:szCs w:val="19"/>
          <w:lang w:eastAsia="es-CO"/>
        </w:rPr>
        <w:t>  </w:t>
      </w:r>
      <w:r w:rsidRPr="007B1929">
        <w:rPr>
          <w:rFonts w:ascii="Arial" w:hAnsi="Arial" w:cs="Arial"/>
          <w:sz w:val="19"/>
          <w:szCs w:val="19"/>
          <w:lang w:eastAsia="es-CO"/>
        </w:rPr>
        <w:tab/>
      </w:r>
      <w:r w:rsidRPr="007B1929">
        <w:rPr>
          <w:rFonts w:ascii="Arial" w:eastAsia="Calibri" w:hAnsi="Arial" w:cs="Arial"/>
          <w:bCs/>
          <w:sz w:val="19"/>
          <w:szCs w:val="19"/>
        </w:rPr>
        <w:t>»</w:t>
      </w:r>
      <w:r w:rsidRPr="007B1929">
        <w:rPr>
          <w:rFonts w:ascii="Arial" w:hAnsi="Arial" w:cs="Arial"/>
          <w:sz w:val="19"/>
          <w:szCs w:val="19"/>
          <w:lang w:eastAsia="es-CO"/>
        </w:rPr>
        <w:t>Parágrafo 5°. En los procesos de contratación, las entidades estatales deberán aceptar la experiencia adquirida por los proponentes a través de la ejecución de contratos con particulares</w:t>
      </w:r>
      <w:r w:rsidRPr="007B1929">
        <w:rPr>
          <w:rFonts w:ascii="Arial" w:eastAsia="Calibri" w:hAnsi="Arial" w:cs="Arial"/>
          <w:bCs/>
          <w:sz w:val="19"/>
          <w:szCs w:val="19"/>
        </w:rPr>
        <w:t>».</w:t>
      </w:r>
      <w:r>
        <w:t xml:space="preserve"> </w:t>
      </w:r>
    </w:p>
    <w:p w14:paraId="38156476" w14:textId="77777777" w:rsidR="00170D2F" w:rsidRPr="001679EF" w:rsidRDefault="00170D2F" w:rsidP="00681C78">
      <w:pPr>
        <w:jc w:val="both"/>
      </w:pPr>
    </w:p>
  </w:footnote>
  <w:footnote w:id="13">
    <w:p w14:paraId="2BF86794" w14:textId="73D886D5" w:rsidR="007B1929" w:rsidRDefault="007B1929" w:rsidP="002647FD">
      <w:pPr>
        <w:pStyle w:val="Textonotapie"/>
        <w:ind w:firstLine="708"/>
        <w:jc w:val="both"/>
        <w:rPr>
          <w:rFonts w:ascii="Arial" w:hAnsi="Arial" w:cs="Arial"/>
          <w:sz w:val="19"/>
          <w:szCs w:val="19"/>
          <w:lang w:val="es-CO"/>
        </w:rPr>
      </w:pPr>
      <w:r w:rsidRPr="00705806">
        <w:rPr>
          <w:rStyle w:val="Refdenotaalpie"/>
          <w:rFonts w:ascii="Arial" w:hAnsi="Arial" w:cs="Arial"/>
          <w:sz w:val="19"/>
          <w:szCs w:val="19"/>
        </w:rPr>
        <w:footnoteRef/>
      </w:r>
      <w:r w:rsidRPr="00705806">
        <w:rPr>
          <w:rFonts w:ascii="Arial" w:hAnsi="Arial" w:cs="Arial"/>
          <w:sz w:val="19"/>
          <w:szCs w:val="19"/>
        </w:rPr>
        <w:t xml:space="preserve"> </w:t>
      </w:r>
      <w:r w:rsidRPr="00705806">
        <w:rPr>
          <w:rFonts w:ascii="Arial" w:hAnsi="Arial" w:cs="Arial"/>
          <w:sz w:val="19"/>
          <w:szCs w:val="19"/>
          <w:lang w:val="es-CO"/>
        </w:rPr>
        <w:t>DÁVILA VINUEZA, Luis Guillermo. Régimen jurídico de la contratación estatal, Tercera edición, Legis Editores, 2016, Bogotá, pág. 355.</w:t>
      </w:r>
    </w:p>
    <w:p w14:paraId="54B981E7" w14:textId="77777777" w:rsidR="007B1929" w:rsidRPr="00705806" w:rsidRDefault="007B1929" w:rsidP="002647FD">
      <w:pPr>
        <w:pStyle w:val="Textonotapie"/>
        <w:ind w:firstLine="708"/>
        <w:jc w:val="both"/>
        <w:rPr>
          <w:rFonts w:ascii="Arial" w:hAnsi="Arial" w:cs="Arial"/>
          <w:sz w:val="19"/>
          <w:szCs w:val="19"/>
          <w:lang w:val="es-CO"/>
        </w:rPr>
      </w:pPr>
    </w:p>
  </w:footnote>
  <w:footnote w:id="14">
    <w:p w14:paraId="03DE0F17" w14:textId="28AE0037" w:rsidR="00212BC8" w:rsidRDefault="007B1929" w:rsidP="00E13AE1">
      <w:pPr>
        <w:pStyle w:val="Textonotapie"/>
        <w:ind w:firstLine="708"/>
        <w:jc w:val="both"/>
        <w:rPr>
          <w:rFonts w:ascii="Arial" w:eastAsia="Calibri" w:hAnsi="Arial" w:cs="Arial"/>
          <w:sz w:val="19"/>
          <w:szCs w:val="19"/>
          <w:lang w:val="es-ES_tradnl"/>
        </w:rPr>
      </w:pPr>
      <w:r w:rsidRPr="00420547">
        <w:rPr>
          <w:rStyle w:val="Refdenotaalpie"/>
          <w:rFonts w:ascii="Arial" w:hAnsi="Arial" w:cs="Arial"/>
          <w:sz w:val="19"/>
          <w:szCs w:val="19"/>
        </w:rPr>
        <w:footnoteRef/>
      </w:r>
      <w:r w:rsidRPr="00420547">
        <w:rPr>
          <w:rFonts w:ascii="Arial" w:hAnsi="Arial" w:cs="Arial"/>
          <w:sz w:val="19"/>
          <w:szCs w:val="19"/>
        </w:rPr>
        <w:t xml:space="preserve"> </w:t>
      </w:r>
      <w:r w:rsidRPr="007B1929">
        <w:rPr>
          <w:rFonts w:ascii="Arial" w:eastAsia="Calibri" w:hAnsi="Arial" w:cs="Arial"/>
          <w:sz w:val="19"/>
          <w:szCs w:val="19"/>
          <w:lang w:val="es-ES_tradnl"/>
        </w:rPr>
        <w:t>RODRÍGUEZ TAMAYO, Mauricio F. Evaluación y rechazo de ofertas en la Ley 80 de 1993. Primera edición, Editorial Librería Jurídica Sánchez, Medellín, 2016, págs. 110-111.</w:t>
      </w:r>
    </w:p>
    <w:p w14:paraId="364AF880" w14:textId="77777777" w:rsidR="00170D2F" w:rsidRPr="00420547" w:rsidRDefault="00170D2F" w:rsidP="00E13AE1">
      <w:pPr>
        <w:pStyle w:val="Textonotapie"/>
        <w:ind w:firstLine="708"/>
        <w:jc w:val="both"/>
        <w:rPr>
          <w:rFonts w:ascii="Arial" w:hAnsi="Arial" w:cs="Arial"/>
          <w:sz w:val="19"/>
          <w:szCs w:val="19"/>
          <w:lang w:val="es-CO"/>
        </w:rPr>
      </w:pPr>
    </w:p>
  </w:footnote>
  <w:footnote w:id="15">
    <w:p w14:paraId="38C229EE" w14:textId="2E82E09D" w:rsidR="007B1929" w:rsidRDefault="007B1929" w:rsidP="000C7648">
      <w:pPr>
        <w:pStyle w:val="Textonotapie"/>
        <w:ind w:firstLine="708"/>
        <w:jc w:val="both"/>
        <w:rPr>
          <w:rFonts w:ascii="Arial" w:hAnsi="Arial" w:cs="Arial"/>
          <w:sz w:val="19"/>
          <w:szCs w:val="19"/>
        </w:rPr>
      </w:pPr>
      <w:r w:rsidRPr="00705806">
        <w:rPr>
          <w:rStyle w:val="Refdenotaalpie"/>
          <w:rFonts w:ascii="Arial" w:hAnsi="Arial" w:cs="Arial"/>
          <w:sz w:val="19"/>
          <w:szCs w:val="19"/>
        </w:rPr>
        <w:footnoteRef/>
      </w:r>
      <w:r w:rsidRPr="00705806">
        <w:rPr>
          <w:rFonts w:ascii="Arial" w:hAnsi="Arial" w:cs="Arial"/>
          <w:sz w:val="19"/>
          <w:szCs w:val="19"/>
        </w:rPr>
        <w:t xml:space="preserve"> EXPÓSITO VELEZ, Juan C., El deber de selección objetiva, en: Del contrato estatal a los sistemas de compras públicas, por COVILLA MARTINEZ Juan C. y LOZANO VILLEGAS Germán (Eds.). Universidad Externado de Colombia, Bogotá, 2019, págs. 118-184.</w:t>
      </w:r>
    </w:p>
    <w:p w14:paraId="6DEFBCD3" w14:textId="77777777" w:rsidR="007B1929" w:rsidRPr="00705806" w:rsidRDefault="007B1929" w:rsidP="000C7648">
      <w:pPr>
        <w:pStyle w:val="Textonotapie"/>
        <w:ind w:firstLine="708"/>
        <w:jc w:val="both"/>
        <w:rPr>
          <w:rFonts w:ascii="Arial" w:hAnsi="Arial" w:cs="Arial"/>
          <w:sz w:val="19"/>
          <w:szCs w:val="19"/>
          <w:lang w:val="es-CO"/>
        </w:rPr>
      </w:pPr>
    </w:p>
  </w:footnote>
  <w:footnote w:id="16">
    <w:p w14:paraId="167A5907" w14:textId="77777777" w:rsidR="007B1929" w:rsidRPr="00705806" w:rsidRDefault="007B1929" w:rsidP="00493870">
      <w:pPr>
        <w:pStyle w:val="Textonotapie"/>
        <w:ind w:firstLine="708"/>
        <w:rPr>
          <w:rFonts w:ascii="Arial" w:hAnsi="Arial" w:cs="Arial"/>
          <w:sz w:val="19"/>
          <w:szCs w:val="19"/>
          <w:lang w:val="es-CO"/>
        </w:rPr>
      </w:pPr>
      <w:r w:rsidRPr="00705806">
        <w:rPr>
          <w:rStyle w:val="Refdenotaalpie"/>
          <w:rFonts w:ascii="Arial" w:hAnsi="Arial" w:cs="Arial"/>
          <w:sz w:val="19"/>
          <w:szCs w:val="19"/>
        </w:rPr>
        <w:footnoteRef/>
      </w:r>
      <w:r w:rsidRPr="00705806">
        <w:rPr>
          <w:rFonts w:ascii="Arial" w:hAnsi="Arial" w:cs="Arial"/>
          <w:i/>
          <w:iCs/>
          <w:sz w:val="19"/>
          <w:szCs w:val="19"/>
        </w:rPr>
        <w:t xml:space="preserve"> </w:t>
      </w:r>
      <w:r w:rsidRPr="00705806">
        <w:rPr>
          <w:rFonts w:ascii="Arial" w:hAnsi="Arial" w:cs="Arial"/>
          <w:i/>
          <w:iCs/>
          <w:sz w:val="19"/>
          <w:szCs w:val="19"/>
          <w:lang w:val="es-CO"/>
        </w:rPr>
        <w:t>Ibídem.</w:t>
      </w:r>
    </w:p>
  </w:footnote>
  <w:footnote w:id="17">
    <w:p w14:paraId="740A1CFC" w14:textId="77777777" w:rsidR="007B1929" w:rsidRPr="00C93A42" w:rsidRDefault="007B1929" w:rsidP="000E3965">
      <w:pPr>
        <w:ind w:firstLine="708"/>
        <w:jc w:val="both"/>
        <w:rPr>
          <w:rFonts w:ascii="Arial" w:hAnsi="Arial" w:cs="Arial"/>
          <w:sz w:val="19"/>
          <w:szCs w:val="19"/>
          <w:lang w:eastAsia="es-CO"/>
        </w:rPr>
      </w:pPr>
      <w:r w:rsidRPr="00C93A42">
        <w:rPr>
          <w:rStyle w:val="Refdenotaalpie"/>
          <w:rFonts w:ascii="Arial" w:hAnsi="Arial" w:cs="Arial"/>
          <w:sz w:val="19"/>
          <w:szCs w:val="19"/>
        </w:rPr>
        <w:footnoteRef/>
      </w:r>
      <w:r w:rsidRPr="00C93A42">
        <w:rPr>
          <w:rFonts w:ascii="Arial" w:hAnsi="Arial" w:cs="Arial"/>
          <w:sz w:val="19"/>
          <w:szCs w:val="19"/>
        </w:rPr>
        <w:t xml:space="preserve"> Decreto 1082 de 2015 </w:t>
      </w:r>
      <w:r w:rsidRPr="00C93A42">
        <w:rPr>
          <w:rFonts w:ascii="Arial" w:eastAsia="Calibri" w:hAnsi="Arial" w:cs="Arial"/>
          <w:bCs/>
          <w:sz w:val="19"/>
          <w:szCs w:val="19"/>
        </w:rPr>
        <w:t>«</w:t>
      </w:r>
      <w:r w:rsidRPr="00C93A42">
        <w:rPr>
          <w:rFonts w:ascii="Arial" w:hAnsi="Arial" w:cs="Arial"/>
          <w:sz w:val="19"/>
          <w:szCs w:val="19"/>
          <w:lang w:eastAsia="es-CO"/>
        </w:rPr>
        <w:t>Artículo 2.2.1.1.2.2.2. Ofrecimiento más favorable. La Entidad Estatal debe determinar la oferta más favorable teniendo en cuenta las normas aplicables a cada modalidad de selección del contratista. </w:t>
      </w:r>
    </w:p>
    <w:p w14:paraId="4306D8F9" w14:textId="77777777" w:rsidR="007B1929" w:rsidRPr="00C93A42" w:rsidRDefault="007B1929" w:rsidP="000E3965">
      <w:pPr>
        <w:jc w:val="both"/>
        <w:rPr>
          <w:rFonts w:ascii="Arial" w:hAnsi="Arial" w:cs="Arial"/>
          <w:sz w:val="19"/>
          <w:szCs w:val="19"/>
          <w:lang w:eastAsia="es-CO"/>
        </w:rPr>
      </w:pPr>
      <w:r w:rsidRPr="00C93A42">
        <w:rPr>
          <w:rFonts w:ascii="Arial" w:hAnsi="Arial" w:cs="Arial"/>
          <w:sz w:val="19"/>
          <w:szCs w:val="19"/>
          <w:lang w:eastAsia="es-CO"/>
        </w:rPr>
        <w:t>  </w:t>
      </w:r>
      <w:r w:rsidRPr="00C93A42">
        <w:rPr>
          <w:rFonts w:ascii="Arial" w:hAnsi="Arial" w:cs="Arial"/>
          <w:sz w:val="19"/>
          <w:szCs w:val="19"/>
          <w:lang w:eastAsia="es-CO"/>
        </w:rPr>
        <w:tab/>
      </w:r>
      <w:r w:rsidRPr="00C93A42">
        <w:rPr>
          <w:rFonts w:ascii="Arial" w:eastAsia="Calibri" w:hAnsi="Arial" w:cs="Arial"/>
          <w:bCs/>
          <w:sz w:val="19"/>
          <w:szCs w:val="19"/>
        </w:rPr>
        <w:t>»</w:t>
      </w:r>
      <w:r w:rsidRPr="00C93A42">
        <w:rPr>
          <w:rFonts w:ascii="Arial" w:hAnsi="Arial" w:cs="Arial"/>
          <w:sz w:val="19"/>
          <w:szCs w:val="19"/>
          <w:lang w:eastAsia="es-CO"/>
        </w:rPr>
        <w:t>En la licitación y la selección abreviada de menor cuantía, la Entidad Estatal debe determinar la oferta más favorable teniendo en cuenta: (a) la ponderación de los elementos de calidad y precio soportados en puntajes o fórmulas; o (b) la ponderación de los elementos de calidad y precio que representen la mejor relación de costo-beneficio. Si la Entidad Estatal decide determinar la oferta de acuerdo con el literal (b) anterior debe señalar en los pliegos de condiciones: </w:t>
      </w:r>
    </w:p>
    <w:p w14:paraId="78BE91CF" w14:textId="77777777" w:rsidR="007B1929" w:rsidRPr="00C93A42" w:rsidRDefault="007B1929" w:rsidP="000E3965">
      <w:pPr>
        <w:jc w:val="both"/>
        <w:rPr>
          <w:rFonts w:ascii="Arial" w:hAnsi="Arial" w:cs="Arial"/>
          <w:sz w:val="19"/>
          <w:szCs w:val="19"/>
          <w:lang w:eastAsia="es-CO"/>
        </w:rPr>
      </w:pPr>
      <w:r w:rsidRPr="00C93A42">
        <w:rPr>
          <w:rFonts w:ascii="Arial" w:hAnsi="Arial" w:cs="Arial"/>
          <w:sz w:val="19"/>
          <w:szCs w:val="19"/>
          <w:lang w:eastAsia="es-CO"/>
        </w:rPr>
        <w:t>  </w:t>
      </w:r>
      <w:r w:rsidRPr="00C93A42">
        <w:rPr>
          <w:rFonts w:ascii="Arial" w:hAnsi="Arial" w:cs="Arial"/>
          <w:sz w:val="19"/>
          <w:szCs w:val="19"/>
          <w:lang w:eastAsia="es-CO"/>
        </w:rPr>
        <w:tab/>
      </w:r>
      <w:r w:rsidRPr="00C93A42">
        <w:rPr>
          <w:rFonts w:ascii="Arial" w:eastAsia="Calibri" w:hAnsi="Arial" w:cs="Arial"/>
          <w:bCs/>
          <w:sz w:val="19"/>
          <w:szCs w:val="19"/>
        </w:rPr>
        <w:t>»</w:t>
      </w:r>
      <w:r w:rsidRPr="00C93A42">
        <w:rPr>
          <w:rFonts w:ascii="Arial" w:hAnsi="Arial" w:cs="Arial"/>
          <w:sz w:val="19"/>
          <w:szCs w:val="19"/>
          <w:lang w:eastAsia="es-CO"/>
        </w:rPr>
        <w:t>1. Las condiciones técnicas y económicas mínimas de la oferta. </w:t>
      </w:r>
    </w:p>
    <w:p w14:paraId="41ECABBC" w14:textId="77777777" w:rsidR="007B1929" w:rsidRPr="00C93A42" w:rsidRDefault="007B1929" w:rsidP="000E3965">
      <w:pPr>
        <w:jc w:val="both"/>
        <w:rPr>
          <w:rFonts w:ascii="Arial" w:hAnsi="Arial" w:cs="Arial"/>
          <w:sz w:val="19"/>
          <w:szCs w:val="19"/>
          <w:lang w:eastAsia="es-CO"/>
        </w:rPr>
      </w:pPr>
      <w:r w:rsidRPr="00C93A42">
        <w:rPr>
          <w:rFonts w:ascii="Arial" w:hAnsi="Arial" w:cs="Arial"/>
          <w:sz w:val="19"/>
          <w:szCs w:val="19"/>
          <w:lang w:eastAsia="es-CO"/>
        </w:rPr>
        <w:t>  </w:t>
      </w:r>
      <w:r w:rsidRPr="00C93A42">
        <w:rPr>
          <w:rFonts w:ascii="Arial" w:hAnsi="Arial" w:cs="Arial"/>
          <w:sz w:val="19"/>
          <w:szCs w:val="19"/>
          <w:lang w:eastAsia="es-CO"/>
        </w:rPr>
        <w:tab/>
      </w:r>
      <w:r w:rsidRPr="00C93A42">
        <w:rPr>
          <w:rFonts w:ascii="Arial" w:eastAsia="Calibri" w:hAnsi="Arial" w:cs="Arial"/>
          <w:bCs/>
          <w:sz w:val="19"/>
          <w:szCs w:val="19"/>
        </w:rPr>
        <w:t>»</w:t>
      </w:r>
      <w:r w:rsidRPr="00C93A42">
        <w:rPr>
          <w:rFonts w:ascii="Arial" w:hAnsi="Arial" w:cs="Arial"/>
          <w:sz w:val="19"/>
          <w:szCs w:val="19"/>
          <w:lang w:eastAsia="es-CO"/>
        </w:rPr>
        <w:t>2. Las condiciones técnicas adicionales que representan ventajas de calidad o de funcionamiento, tales como el uso de tecnología o materiales que generen mayor eficiencia, rendimiento o duración del bien, obra o servicio. </w:t>
      </w:r>
    </w:p>
    <w:p w14:paraId="2F8516C0" w14:textId="77777777" w:rsidR="007B1929" w:rsidRPr="00C93A42" w:rsidRDefault="007B1929" w:rsidP="000E3965">
      <w:pPr>
        <w:jc w:val="both"/>
        <w:rPr>
          <w:rFonts w:ascii="Arial" w:hAnsi="Arial" w:cs="Arial"/>
          <w:sz w:val="19"/>
          <w:szCs w:val="19"/>
          <w:lang w:eastAsia="es-CO"/>
        </w:rPr>
      </w:pPr>
      <w:r w:rsidRPr="00C93A42">
        <w:rPr>
          <w:rFonts w:ascii="Arial" w:hAnsi="Arial" w:cs="Arial"/>
          <w:sz w:val="19"/>
          <w:szCs w:val="19"/>
          <w:lang w:eastAsia="es-CO"/>
        </w:rPr>
        <w:t>  </w:t>
      </w:r>
      <w:r w:rsidRPr="00C93A42">
        <w:rPr>
          <w:rFonts w:ascii="Arial" w:hAnsi="Arial" w:cs="Arial"/>
          <w:sz w:val="19"/>
          <w:szCs w:val="19"/>
          <w:lang w:eastAsia="es-CO"/>
        </w:rPr>
        <w:tab/>
      </w:r>
      <w:r w:rsidRPr="00C93A42">
        <w:rPr>
          <w:rFonts w:ascii="Arial" w:eastAsia="Calibri" w:hAnsi="Arial" w:cs="Arial"/>
          <w:bCs/>
          <w:sz w:val="19"/>
          <w:szCs w:val="19"/>
        </w:rPr>
        <w:t>»</w:t>
      </w:r>
      <w:r w:rsidRPr="00C93A42">
        <w:rPr>
          <w:rFonts w:ascii="Arial" w:hAnsi="Arial" w:cs="Arial"/>
          <w:sz w:val="19"/>
          <w:szCs w:val="19"/>
          <w:lang w:eastAsia="es-CO"/>
        </w:rPr>
        <w:t>3. Las condiciones económicas adicionales que representen ventajas en términos de economía, eficiencia y eficacia, que puedan ser valoradas en dinero, como por ejemplo la forma de pago, descuentos por adjudicación de varios lotes, descuentos por variaciones en programas de entregas, mayor garantía del bien o servicio respecto de la mínima requerida, impacto económico sobre las condiciones existentes de la Entidad Estatal relacionadas con el objeto a contratar, mayor asunción de los Riesgos, servicios o bienes adicionales y que representen un mayor grado de satisfacción para la entidad, entre otras. </w:t>
      </w:r>
    </w:p>
    <w:p w14:paraId="1FC69A38" w14:textId="77777777" w:rsidR="007B1929" w:rsidRPr="00C93A42" w:rsidRDefault="007B1929" w:rsidP="000E3965">
      <w:pPr>
        <w:jc w:val="both"/>
        <w:rPr>
          <w:rFonts w:ascii="Arial" w:hAnsi="Arial" w:cs="Arial"/>
          <w:sz w:val="19"/>
          <w:szCs w:val="19"/>
          <w:lang w:eastAsia="es-CO"/>
        </w:rPr>
      </w:pPr>
      <w:r w:rsidRPr="00C93A42">
        <w:rPr>
          <w:rFonts w:ascii="Arial" w:hAnsi="Arial" w:cs="Arial"/>
          <w:sz w:val="19"/>
          <w:szCs w:val="19"/>
          <w:lang w:eastAsia="es-CO"/>
        </w:rPr>
        <w:t>  </w:t>
      </w:r>
      <w:r w:rsidRPr="00C93A42">
        <w:rPr>
          <w:rFonts w:ascii="Arial" w:hAnsi="Arial" w:cs="Arial"/>
          <w:sz w:val="19"/>
          <w:szCs w:val="19"/>
          <w:lang w:eastAsia="es-CO"/>
        </w:rPr>
        <w:tab/>
      </w:r>
      <w:r w:rsidRPr="00C93A42">
        <w:rPr>
          <w:rFonts w:ascii="Arial" w:eastAsia="Calibri" w:hAnsi="Arial" w:cs="Arial"/>
          <w:bCs/>
          <w:sz w:val="19"/>
          <w:szCs w:val="19"/>
        </w:rPr>
        <w:t>»</w:t>
      </w:r>
      <w:r w:rsidRPr="00C93A42">
        <w:rPr>
          <w:rFonts w:ascii="Arial" w:hAnsi="Arial" w:cs="Arial"/>
          <w:sz w:val="19"/>
          <w:szCs w:val="19"/>
          <w:lang w:eastAsia="es-CO"/>
        </w:rPr>
        <w:t>4. El valor en dinero que la Entidad Estatal asigna a cada ofrecimiento técnico o económico adicional, para permitir la ponderación de las ofertas presentadas. </w:t>
      </w:r>
    </w:p>
    <w:p w14:paraId="21172159" w14:textId="77777777" w:rsidR="007B1929" w:rsidRPr="00C93A42" w:rsidRDefault="007B1929" w:rsidP="000E3965">
      <w:pPr>
        <w:jc w:val="both"/>
        <w:rPr>
          <w:rFonts w:ascii="Arial" w:hAnsi="Arial" w:cs="Arial"/>
          <w:sz w:val="19"/>
          <w:szCs w:val="19"/>
          <w:lang w:eastAsia="es-CO"/>
        </w:rPr>
      </w:pPr>
      <w:r w:rsidRPr="00C93A42">
        <w:rPr>
          <w:rFonts w:ascii="Arial" w:hAnsi="Arial" w:cs="Arial"/>
          <w:sz w:val="19"/>
          <w:szCs w:val="19"/>
          <w:lang w:eastAsia="es-CO"/>
        </w:rPr>
        <w:t>  </w:t>
      </w:r>
      <w:r w:rsidRPr="00C93A42">
        <w:rPr>
          <w:rFonts w:ascii="Arial" w:hAnsi="Arial" w:cs="Arial"/>
          <w:sz w:val="19"/>
          <w:szCs w:val="19"/>
          <w:lang w:eastAsia="es-CO"/>
        </w:rPr>
        <w:tab/>
      </w:r>
      <w:r w:rsidRPr="00C93A42">
        <w:rPr>
          <w:rFonts w:ascii="Arial" w:eastAsia="Calibri" w:hAnsi="Arial" w:cs="Arial"/>
          <w:bCs/>
          <w:sz w:val="19"/>
          <w:szCs w:val="19"/>
        </w:rPr>
        <w:t>»</w:t>
      </w:r>
      <w:r w:rsidRPr="00C93A42">
        <w:rPr>
          <w:rFonts w:ascii="Arial" w:hAnsi="Arial" w:cs="Arial"/>
          <w:sz w:val="19"/>
          <w:szCs w:val="19"/>
          <w:lang w:eastAsia="es-CO"/>
        </w:rPr>
        <w:t>La Entidad Estatal debe calcular la relación costo-beneficio de cada oferta restando del precio total ofrecido los valores monetarios asignados a cada una de las condiciones técnicas y económicas adicionales ofrecidas. La mejor relación costo-beneficio para la Entidad Estatal es la de la oferta que una vez aplicada la metodología anterior tenga el resultado más bajo. </w:t>
      </w:r>
    </w:p>
    <w:p w14:paraId="0F67265B" w14:textId="77777777" w:rsidR="007B1929" w:rsidRPr="00C93A42" w:rsidRDefault="007B1929" w:rsidP="000E3965">
      <w:pPr>
        <w:jc w:val="both"/>
      </w:pPr>
      <w:r w:rsidRPr="00C93A42">
        <w:rPr>
          <w:rFonts w:ascii="Arial" w:hAnsi="Arial" w:cs="Arial"/>
          <w:sz w:val="19"/>
          <w:szCs w:val="19"/>
          <w:lang w:eastAsia="es-CO"/>
        </w:rPr>
        <w:t>  </w:t>
      </w:r>
      <w:r w:rsidRPr="00C93A42">
        <w:rPr>
          <w:rFonts w:ascii="Arial" w:hAnsi="Arial" w:cs="Arial"/>
          <w:sz w:val="19"/>
          <w:szCs w:val="19"/>
          <w:lang w:eastAsia="es-CO"/>
        </w:rPr>
        <w:tab/>
      </w:r>
      <w:r w:rsidRPr="00C93A42">
        <w:rPr>
          <w:rFonts w:ascii="Arial" w:eastAsia="Calibri" w:hAnsi="Arial" w:cs="Arial"/>
          <w:bCs/>
          <w:sz w:val="19"/>
          <w:szCs w:val="19"/>
        </w:rPr>
        <w:t>»</w:t>
      </w:r>
      <w:r w:rsidRPr="00C93A42">
        <w:rPr>
          <w:rFonts w:ascii="Arial" w:hAnsi="Arial" w:cs="Arial"/>
          <w:sz w:val="19"/>
          <w:szCs w:val="19"/>
          <w:lang w:eastAsia="es-CO"/>
        </w:rPr>
        <w:t>La Entidad Estatal debe adjudicar al oferente que presentó la oferta con la mejor relación costo-beneficio y suscribir el contrato por el precio total ofrecido</w:t>
      </w:r>
      <w:r w:rsidRPr="00C93A42">
        <w:rPr>
          <w:rFonts w:ascii="Arial" w:eastAsia="Calibri" w:hAnsi="Arial" w:cs="Arial"/>
          <w:bCs/>
          <w:sz w:val="19"/>
          <w:szCs w:val="19"/>
        </w:rPr>
        <w:t>»</w:t>
      </w:r>
      <w:r w:rsidRPr="00C93A42">
        <w:rPr>
          <w:rFonts w:ascii="Arial" w:hAnsi="Arial" w:cs="Arial"/>
          <w:sz w:val="19"/>
          <w:szCs w:val="19"/>
          <w:lang w:eastAsia="es-CO"/>
        </w:rPr>
        <w:t>. </w:t>
      </w:r>
    </w:p>
  </w:footnote>
  <w:footnote w:id="18">
    <w:p w14:paraId="320D8222" w14:textId="16463427" w:rsidR="007B1929" w:rsidRPr="00576186" w:rsidRDefault="007B1929" w:rsidP="00DF24C4">
      <w:pPr>
        <w:pStyle w:val="Textonotapie"/>
        <w:ind w:firstLine="708"/>
        <w:jc w:val="both"/>
        <w:rPr>
          <w:rFonts w:ascii="Arial" w:hAnsi="Arial" w:cs="Arial"/>
          <w:sz w:val="19"/>
          <w:szCs w:val="19"/>
          <w:lang w:val="es-CO"/>
        </w:rPr>
      </w:pPr>
      <w:r w:rsidRPr="00576186">
        <w:rPr>
          <w:rStyle w:val="Refdenotaalpie"/>
          <w:rFonts w:ascii="Arial" w:hAnsi="Arial" w:cs="Arial"/>
          <w:sz w:val="19"/>
          <w:szCs w:val="19"/>
        </w:rPr>
        <w:footnoteRef/>
      </w:r>
      <w:r w:rsidRPr="00576186">
        <w:rPr>
          <w:rFonts w:ascii="Arial" w:hAnsi="Arial" w:cs="Arial"/>
          <w:sz w:val="19"/>
          <w:szCs w:val="19"/>
        </w:rPr>
        <w:t xml:space="preserve"> Según este principio, «[…] en caso de perplejidades hermenéuticas, el operador jurídico debe preferir, entre las diversas interpretaciones de las disposiciones aplicables al caso, aquella que produzca efectos, sobre aquella que no, o sobre aquella que sea superflua o irrazonable […]» (</w:t>
      </w:r>
      <w:r w:rsidRPr="00576186">
        <w:rPr>
          <w:rFonts w:ascii="Arial" w:hAnsi="Arial" w:cs="Arial"/>
          <w:sz w:val="19"/>
          <w:szCs w:val="19"/>
          <w:lang w:val="es-CO"/>
        </w:rPr>
        <w:t xml:space="preserve">CORTE CONSTITUCIONAL. Sentencia C-569 del 8 de junio de 2004. M.P. (E). </w:t>
      </w:r>
      <w:r w:rsidRPr="007B1929">
        <w:rPr>
          <w:rFonts w:ascii="Arial" w:hAnsi="Arial" w:cs="Arial"/>
          <w:sz w:val="19"/>
          <w:szCs w:val="19"/>
          <w:shd w:val="clear" w:color="auto" w:fill="FFFFFF"/>
        </w:rPr>
        <w:t>Rodrigo Uprimny Yepes).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7B1929" w:rsidRDefault="007B1929">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856C482"/>
    <w:multiLevelType w:val="hybridMultilevel"/>
    <w:tmpl w:val="3CB3354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41B15B5"/>
    <w:multiLevelType w:val="hybridMultilevel"/>
    <w:tmpl w:val="B90A312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5"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8"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3"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51F2084E"/>
    <w:multiLevelType w:val="hybridMultilevel"/>
    <w:tmpl w:val="6C4AF576"/>
    <w:lvl w:ilvl="0" w:tplc="CED44512">
      <w:start w:val="1"/>
      <w:numFmt w:val="decimal"/>
      <w:lvlText w:val="%1."/>
      <w:lvlJc w:val="left"/>
      <w:pPr>
        <w:tabs>
          <w:tab w:val="num" w:pos="720"/>
        </w:tabs>
        <w:ind w:left="720" w:hanging="360"/>
      </w:pPr>
    </w:lvl>
    <w:lvl w:ilvl="1" w:tplc="2DB862AE" w:tentative="1">
      <w:start w:val="1"/>
      <w:numFmt w:val="decimal"/>
      <w:lvlText w:val="%2."/>
      <w:lvlJc w:val="left"/>
      <w:pPr>
        <w:tabs>
          <w:tab w:val="num" w:pos="1440"/>
        </w:tabs>
        <w:ind w:left="1440" w:hanging="360"/>
      </w:pPr>
    </w:lvl>
    <w:lvl w:ilvl="2" w:tplc="03AC466C" w:tentative="1">
      <w:start w:val="1"/>
      <w:numFmt w:val="decimal"/>
      <w:lvlText w:val="%3."/>
      <w:lvlJc w:val="left"/>
      <w:pPr>
        <w:tabs>
          <w:tab w:val="num" w:pos="2160"/>
        </w:tabs>
        <w:ind w:left="2160" w:hanging="360"/>
      </w:pPr>
    </w:lvl>
    <w:lvl w:ilvl="3" w:tplc="1820C460" w:tentative="1">
      <w:start w:val="1"/>
      <w:numFmt w:val="decimal"/>
      <w:lvlText w:val="%4."/>
      <w:lvlJc w:val="left"/>
      <w:pPr>
        <w:tabs>
          <w:tab w:val="num" w:pos="2880"/>
        </w:tabs>
        <w:ind w:left="2880" w:hanging="360"/>
      </w:pPr>
    </w:lvl>
    <w:lvl w:ilvl="4" w:tplc="3294A48C" w:tentative="1">
      <w:start w:val="1"/>
      <w:numFmt w:val="decimal"/>
      <w:lvlText w:val="%5."/>
      <w:lvlJc w:val="left"/>
      <w:pPr>
        <w:tabs>
          <w:tab w:val="num" w:pos="3600"/>
        </w:tabs>
        <w:ind w:left="3600" w:hanging="360"/>
      </w:pPr>
    </w:lvl>
    <w:lvl w:ilvl="5" w:tplc="F77A9290" w:tentative="1">
      <w:start w:val="1"/>
      <w:numFmt w:val="decimal"/>
      <w:lvlText w:val="%6."/>
      <w:lvlJc w:val="left"/>
      <w:pPr>
        <w:tabs>
          <w:tab w:val="num" w:pos="4320"/>
        </w:tabs>
        <w:ind w:left="4320" w:hanging="360"/>
      </w:pPr>
    </w:lvl>
    <w:lvl w:ilvl="6" w:tplc="303A9F5E" w:tentative="1">
      <w:start w:val="1"/>
      <w:numFmt w:val="decimal"/>
      <w:lvlText w:val="%7."/>
      <w:lvlJc w:val="left"/>
      <w:pPr>
        <w:tabs>
          <w:tab w:val="num" w:pos="5040"/>
        </w:tabs>
        <w:ind w:left="5040" w:hanging="360"/>
      </w:pPr>
    </w:lvl>
    <w:lvl w:ilvl="7" w:tplc="895C1678" w:tentative="1">
      <w:start w:val="1"/>
      <w:numFmt w:val="decimal"/>
      <w:lvlText w:val="%8."/>
      <w:lvlJc w:val="left"/>
      <w:pPr>
        <w:tabs>
          <w:tab w:val="num" w:pos="5760"/>
        </w:tabs>
        <w:ind w:left="5760" w:hanging="360"/>
      </w:pPr>
    </w:lvl>
    <w:lvl w:ilvl="8" w:tplc="665C70BC" w:tentative="1">
      <w:start w:val="1"/>
      <w:numFmt w:val="decimal"/>
      <w:lvlText w:val="%9."/>
      <w:lvlJc w:val="left"/>
      <w:pPr>
        <w:tabs>
          <w:tab w:val="num" w:pos="6480"/>
        </w:tabs>
        <w:ind w:left="6480" w:hanging="360"/>
      </w:pPr>
    </w:lvl>
  </w:abstractNum>
  <w:abstractNum w:abstractNumId="1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8"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3"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4"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43991922">
    <w:abstractNumId w:val="11"/>
  </w:num>
  <w:num w:numId="2" w16cid:durableId="861018011">
    <w:abstractNumId w:val="9"/>
  </w:num>
  <w:num w:numId="3" w16cid:durableId="695423996">
    <w:abstractNumId w:val="14"/>
  </w:num>
  <w:num w:numId="4" w16cid:durableId="1614969946">
    <w:abstractNumId w:val="17"/>
  </w:num>
  <w:num w:numId="5" w16cid:durableId="1742752857">
    <w:abstractNumId w:val="21"/>
  </w:num>
  <w:num w:numId="6" w16cid:durableId="1296447939">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81799200">
    <w:abstractNumId w:val="19"/>
  </w:num>
  <w:num w:numId="8" w16cid:durableId="1056899243">
    <w:abstractNumId w:val="1"/>
  </w:num>
  <w:num w:numId="9" w16cid:durableId="915625008">
    <w:abstractNumId w:val="5"/>
  </w:num>
  <w:num w:numId="10" w16cid:durableId="5819907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1388985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78813287">
    <w:abstractNumId w:val="10"/>
  </w:num>
  <w:num w:numId="13" w16cid:durableId="297492301">
    <w:abstractNumId w:val="13"/>
  </w:num>
  <w:num w:numId="14" w16cid:durableId="1694845095">
    <w:abstractNumId w:val="8"/>
  </w:num>
  <w:num w:numId="15" w16cid:durableId="829490214">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85463434">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80309818">
    <w:abstractNumId w:val="23"/>
  </w:num>
  <w:num w:numId="18" w16cid:durableId="609817889">
    <w:abstractNumId w:val="15"/>
  </w:num>
  <w:num w:numId="19" w16cid:durableId="870655545">
    <w:abstractNumId w:val="4"/>
  </w:num>
  <w:num w:numId="20" w16cid:durableId="2084444505">
    <w:abstractNumId w:val="24"/>
  </w:num>
  <w:num w:numId="21" w16cid:durableId="1615674129">
    <w:abstractNumId w:val="16"/>
  </w:num>
  <w:num w:numId="22" w16cid:durableId="1901748671">
    <w:abstractNumId w:val="7"/>
  </w:num>
  <w:num w:numId="23" w16cid:durableId="2064669073">
    <w:abstractNumId w:val="6"/>
  </w:num>
  <w:num w:numId="24" w16cid:durableId="1697343803">
    <w:abstractNumId w:val="22"/>
  </w:num>
  <w:num w:numId="25" w16cid:durableId="280691502">
    <w:abstractNumId w:val="18"/>
  </w:num>
  <w:num w:numId="26" w16cid:durableId="294794795">
    <w:abstractNumId w:val="0"/>
  </w:num>
  <w:num w:numId="27" w16cid:durableId="10749330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4"/>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0CFD"/>
    <w:rsid w:val="0000162E"/>
    <w:rsid w:val="00001A1C"/>
    <w:rsid w:val="00001CC9"/>
    <w:rsid w:val="00001FFD"/>
    <w:rsid w:val="00002027"/>
    <w:rsid w:val="000020FE"/>
    <w:rsid w:val="00002173"/>
    <w:rsid w:val="0000248C"/>
    <w:rsid w:val="00002588"/>
    <w:rsid w:val="00003020"/>
    <w:rsid w:val="000031A8"/>
    <w:rsid w:val="00003C5C"/>
    <w:rsid w:val="00003D39"/>
    <w:rsid w:val="000040D7"/>
    <w:rsid w:val="00004173"/>
    <w:rsid w:val="00004556"/>
    <w:rsid w:val="000051AF"/>
    <w:rsid w:val="000059D3"/>
    <w:rsid w:val="00005B6D"/>
    <w:rsid w:val="0000600A"/>
    <w:rsid w:val="00006081"/>
    <w:rsid w:val="00007750"/>
    <w:rsid w:val="000077FD"/>
    <w:rsid w:val="00007948"/>
    <w:rsid w:val="00007DAD"/>
    <w:rsid w:val="00007E37"/>
    <w:rsid w:val="000105D9"/>
    <w:rsid w:val="00010C40"/>
    <w:rsid w:val="000112B4"/>
    <w:rsid w:val="00011DCC"/>
    <w:rsid w:val="00011EA4"/>
    <w:rsid w:val="00012532"/>
    <w:rsid w:val="00012B9E"/>
    <w:rsid w:val="00012EFA"/>
    <w:rsid w:val="00012F37"/>
    <w:rsid w:val="00012FBA"/>
    <w:rsid w:val="00013C6B"/>
    <w:rsid w:val="0001406B"/>
    <w:rsid w:val="000140E5"/>
    <w:rsid w:val="000143F8"/>
    <w:rsid w:val="00014624"/>
    <w:rsid w:val="00015126"/>
    <w:rsid w:val="00015B44"/>
    <w:rsid w:val="00016081"/>
    <w:rsid w:val="000165AC"/>
    <w:rsid w:val="00016651"/>
    <w:rsid w:val="000171A2"/>
    <w:rsid w:val="00017B65"/>
    <w:rsid w:val="00020158"/>
    <w:rsid w:val="000207E0"/>
    <w:rsid w:val="000209E2"/>
    <w:rsid w:val="00020F8F"/>
    <w:rsid w:val="00021A95"/>
    <w:rsid w:val="00021C8A"/>
    <w:rsid w:val="0002256F"/>
    <w:rsid w:val="00023A0B"/>
    <w:rsid w:val="00023DAE"/>
    <w:rsid w:val="00024896"/>
    <w:rsid w:val="00024A81"/>
    <w:rsid w:val="0002504E"/>
    <w:rsid w:val="000255FA"/>
    <w:rsid w:val="00025D0A"/>
    <w:rsid w:val="000263F0"/>
    <w:rsid w:val="00026407"/>
    <w:rsid w:val="000265C7"/>
    <w:rsid w:val="00026608"/>
    <w:rsid w:val="00027787"/>
    <w:rsid w:val="000278D2"/>
    <w:rsid w:val="00027C93"/>
    <w:rsid w:val="000303E4"/>
    <w:rsid w:val="00030B30"/>
    <w:rsid w:val="00030DFB"/>
    <w:rsid w:val="00031364"/>
    <w:rsid w:val="000315E1"/>
    <w:rsid w:val="0003236E"/>
    <w:rsid w:val="000323C6"/>
    <w:rsid w:val="000323FA"/>
    <w:rsid w:val="00032689"/>
    <w:rsid w:val="00032C89"/>
    <w:rsid w:val="000332E1"/>
    <w:rsid w:val="0003339A"/>
    <w:rsid w:val="000341F2"/>
    <w:rsid w:val="00035046"/>
    <w:rsid w:val="000351F2"/>
    <w:rsid w:val="00035328"/>
    <w:rsid w:val="0003535C"/>
    <w:rsid w:val="00035768"/>
    <w:rsid w:val="000368FE"/>
    <w:rsid w:val="00036D03"/>
    <w:rsid w:val="00036E03"/>
    <w:rsid w:val="000374FB"/>
    <w:rsid w:val="00037510"/>
    <w:rsid w:val="00037F4C"/>
    <w:rsid w:val="000406DB"/>
    <w:rsid w:val="0004094D"/>
    <w:rsid w:val="00040A80"/>
    <w:rsid w:val="00041029"/>
    <w:rsid w:val="00041357"/>
    <w:rsid w:val="0004149B"/>
    <w:rsid w:val="00041FC6"/>
    <w:rsid w:val="00042961"/>
    <w:rsid w:val="00042C25"/>
    <w:rsid w:val="00042D03"/>
    <w:rsid w:val="00043086"/>
    <w:rsid w:val="000430A0"/>
    <w:rsid w:val="00043652"/>
    <w:rsid w:val="00043A34"/>
    <w:rsid w:val="00043D3B"/>
    <w:rsid w:val="0004418C"/>
    <w:rsid w:val="00044204"/>
    <w:rsid w:val="0004477A"/>
    <w:rsid w:val="000449D4"/>
    <w:rsid w:val="00045D5B"/>
    <w:rsid w:val="0004600D"/>
    <w:rsid w:val="000463B5"/>
    <w:rsid w:val="00046717"/>
    <w:rsid w:val="00046A63"/>
    <w:rsid w:val="00046C09"/>
    <w:rsid w:val="0004716A"/>
    <w:rsid w:val="00047385"/>
    <w:rsid w:val="000473E8"/>
    <w:rsid w:val="000504DE"/>
    <w:rsid w:val="00051074"/>
    <w:rsid w:val="000526F0"/>
    <w:rsid w:val="0005273D"/>
    <w:rsid w:val="00052B79"/>
    <w:rsid w:val="00052E4B"/>
    <w:rsid w:val="00052EA0"/>
    <w:rsid w:val="000536A7"/>
    <w:rsid w:val="000536E3"/>
    <w:rsid w:val="00053896"/>
    <w:rsid w:val="00053A00"/>
    <w:rsid w:val="0005450D"/>
    <w:rsid w:val="0005474D"/>
    <w:rsid w:val="00055A41"/>
    <w:rsid w:val="00055CB9"/>
    <w:rsid w:val="00056C51"/>
    <w:rsid w:val="00056F66"/>
    <w:rsid w:val="0005702F"/>
    <w:rsid w:val="000572DE"/>
    <w:rsid w:val="000578FF"/>
    <w:rsid w:val="00057CBB"/>
    <w:rsid w:val="00060446"/>
    <w:rsid w:val="00061010"/>
    <w:rsid w:val="000618FE"/>
    <w:rsid w:val="00061D06"/>
    <w:rsid w:val="00062CDD"/>
    <w:rsid w:val="00062DB3"/>
    <w:rsid w:val="0006310D"/>
    <w:rsid w:val="00063472"/>
    <w:rsid w:val="000640AF"/>
    <w:rsid w:val="0006460D"/>
    <w:rsid w:val="00064940"/>
    <w:rsid w:val="00064CAE"/>
    <w:rsid w:val="00064DB7"/>
    <w:rsid w:val="00064FA7"/>
    <w:rsid w:val="00065195"/>
    <w:rsid w:val="0006536C"/>
    <w:rsid w:val="0006626E"/>
    <w:rsid w:val="00066A7F"/>
    <w:rsid w:val="0006791B"/>
    <w:rsid w:val="00070AF1"/>
    <w:rsid w:val="000714DE"/>
    <w:rsid w:val="00071CFC"/>
    <w:rsid w:val="0007254F"/>
    <w:rsid w:val="0007357C"/>
    <w:rsid w:val="00073C30"/>
    <w:rsid w:val="00074305"/>
    <w:rsid w:val="000744D0"/>
    <w:rsid w:val="00074B2A"/>
    <w:rsid w:val="00074E6F"/>
    <w:rsid w:val="00074EEE"/>
    <w:rsid w:val="000753D5"/>
    <w:rsid w:val="00075567"/>
    <w:rsid w:val="00075B3E"/>
    <w:rsid w:val="00076456"/>
    <w:rsid w:val="0007779B"/>
    <w:rsid w:val="000777E7"/>
    <w:rsid w:val="0007790A"/>
    <w:rsid w:val="000779F2"/>
    <w:rsid w:val="0008017B"/>
    <w:rsid w:val="0008049A"/>
    <w:rsid w:val="00080ACD"/>
    <w:rsid w:val="000811ED"/>
    <w:rsid w:val="00081D62"/>
    <w:rsid w:val="00081FFA"/>
    <w:rsid w:val="0008269B"/>
    <w:rsid w:val="000829AE"/>
    <w:rsid w:val="00082B74"/>
    <w:rsid w:val="00083099"/>
    <w:rsid w:val="00083480"/>
    <w:rsid w:val="0008389B"/>
    <w:rsid w:val="00083EDC"/>
    <w:rsid w:val="00084B97"/>
    <w:rsid w:val="00084F87"/>
    <w:rsid w:val="00085033"/>
    <w:rsid w:val="0008510E"/>
    <w:rsid w:val="000856DE"/>
    <w:rsid w:val="00085F17"/>
    <w:rsid w:val="00085FB0"/>
    <w:rsid w:val="00085FB3"/>
    <w:rsid w:val="000860A8"/>
    <w:rsid w:val="0008614E"/>
    <w:rsid w:val="0008686B"/>
    <w:rsid w:val="00086B2A"/>
    <w:rsid w:val="00086ED2"/>
    <w:rsid w:val="00087A64"/>
    <w:rsid w:val="0009082C"/>
    <w:rsid w:val="00090C39"/>
    <w:rsid w:val="000914D6"/>
    <w:rsid w:val="00091569"/>
    <w:rsid w:val="00091957"/>
    <w:rsid w:val="00092654"/>
    <w:rsid w:val="00092CDB"/>
    <w:rsid w:val="00092DCA"/>
    <w:rsid w:val="000932BB"/>
    <w:rsid w:val="00093851"/>
    <w:rsid w:val="000942EB"/>
    <w:rsid w:val="00095B70"/>
    <w:rsid w:val="00095B8B"/>
    <w:rsid w:val="0009617E"/>
    <w:rsid w:val="0009628D"/>
    <w:rsid w:val="0009670F"/>
    <w:rsid w:val="00096D15"/>
    <w:rsid w:val="000970E4"/>
    <w:rsid w:val="000979CF"/>
    <w:rsid w:val="00097F53"/>
    <w:rsid w:val="000A03C8"/>
    <w:rsid w:val="000A03F2"/>
    <w:rsid w:val="000A05F2"/>
    <w:rsid w:val="000A06C4"/>
    <w:rsid w:val="000A0861"/>
    <w:rsid w:val="000A0EC4"/>
    <w:rsid w:val="000A0ED1"/>
    <w:rsid w:val="000A12DB"/>
    <w:rsid w:val="000A17C8"/>
    <w:rsid w:val="000A1B74"/>
    <w:rsid w:val="000A20D7"/>
    <w:rsid w:val="000A2128"/>
    <w:rsid w:val="000A362F"/>
    <w:rsid w:val="000A3B49"/>
    <w:rsid w:val="000A3F0A"/>
    <w:rsid w:val="000A45E2"/>
    <w:rsid w:val="000A467C"/>
    <w:rsid w:val="000A46FE"/>
    <w:rsid w:val="000A47E6"/>
    <w:rsid w:val="000A52C0"/>
    <w:rsid w:val="000A5AAF"/>
    <w:rsid w:val="000A5ACE"/>
    <w:rsid w:val="000A5F97"/>
    <w:rsid w:val="000A609A"/>
    <w:rsid w:val="000A648E"/>
    <w:rsid w:val="000A7268"/>
    <w:rsid w:val="000A73BB"/>
    <w:rsid w:val="000A73E8"/>
    <w:rsid w:val="000A7EF4"/>
    <w:rsid w:val="000B046C"/>
    <w:rsid w:val="000B0A15"/>
    <w:rsid w:val="000B103F"/>
    <w:rsid w:val="000B1437"/>
    <w:rsid w:val="000B1470"/>
    <w:rsid w:val="000B175E"/>
    <w:rsid w:val="000B244D"/>
    <w:rsid w:val="000B2A1A"/>
    <w:rsid w:val="000B2B86"/>
    <w:rsid w:val="000B3051"/>
    <w:rsid w:val="000B419B"/>
    <w:rsid w:val="000B56F9"/>
    <w:rsid w:val="000B5781"/>
    <w:rsid w:val="000B5CB1"/>
    <w:rsid w:val="000B6D8B"/>
    <w:rsid w:val="000B728A"/>
    <w:rsid w:val="000B75F4"/>
    <w:rsid w:val="000C0185"/>
    <w:rsid w:val="000C084E"/>
    <w:rsid w:val="000C0F81"/>
    <w:rsid w:val="000C128D"/>
    <w:rsid w:val="000C17A3"/>
    <w:rsid w:val="000C1D4B"/>
    <w:rsid w:val="000C1D5C"/>
    <w:rsid w:val="000C2DC4"/>
    <w:rsid w:val="000C3260"/>
    <w:rsid w:val="000C3B77"/>
    <w:rsid w:val="000C3F6D"/>
    <w:rsid w:val="000C47E0"/>
    <w:rsid w:val="000C487D"/>
    <w:rsid w:val="000C4F49"/>
    <w:rsid w:val="000C5861"/>
    <w:rsid w:val="000C5BDE"/>
    <w:rsid w:val="000C639D"/>
    <w:rsid w:val="000C6988"/>
    <w:rsid w:val="000C6C31"/>
    <w:rsid w:val="000C6DBC"/>
    <w:rsid w:val="000C6F79"/>
    <w:rsid w:val="000C7476"/>
    <w:rsid w:val="000C7480"/>
    <w:rsid w:val="000C7648"/>
    <w:rsid w:val="000C7711"/>
    <w:rsid w:val="000C7AA2"/>
    <w:rsid w:val="000D0462"/>
    <w:rsid w:val="000D053D"/>
    <w:rsid w:val="000D0ED2"/>
    <w:rsid w:val="000D107D"/>
    <w:rsid w:val="000D13FD"/>
    <w:rsid w:val="000D1CEB"/>
    <w:rsid w:val="000D241E"/>
    <w:rsid w:val="000D2563"/>
    <w:rsid w:val="000D25BF"/>
    <w:rsid w:val="000D2C83"/>
    <w:rsid w:val="000D2C93"/>
    <w:rsid w:val="000D2F14"/>
    <w:rsid w:val="000D2F86"/>
    <w:rsid w:val="000D2FE4"/>
    <w:rsid w:val="000D3FDC"/>
    <w:rsid w:val="000D490B"/>
    <w:rsid w:val="000D4E38"/>
    <w:rsid w:val="000D50DB"/>
    <w:rsid w:val="000D590A"/>
    <w:rsid w:val="000D6288"/>
    <w:rsid w:val="000D6B6C"/>
    <w:rsid w:val="000D6C10"/>
    <w:rsid w:val="000D728B"/>
    <w:rsid w:val="000D7541"/>
    <w:rsid w:val="000D75E1"/>
    <w:rsid w:val="000D786C"/>
    <w:rsid w:val="000E05E2"/>
    <w:rsid w:val="000E22CF"/>
    <w:rsid w:val="000E2977"/>
    <w:rsid w:val="000E2CC0"/>
    <w:rsid w:val="000E30AC"/>
    <w:rsid w:val="000E3965"/>
    <w:rsid w:val="000E3B46"/>
    <w:rsid w:val="000E3E11"/>
    <w:rsid w:val="000E4596"/>
    <w:rsid w:val="000E4B94"/>
    <w:rsid w:val="000E4D50"/>
    <w:rsid w:val="000E54A9"/>
    <w:rsid w:val="000E5768"/>
    <w:rsid w:val="000E5843"/>
    <w:rsid w:val="000E6139"/>
    <w:rsid w:val="000E63B7"/>
    <w:rsid w:val="000E653C"/>
    <w:rsid w:val="000E6BE1"/>
    <w:rsid w:val="000E7E0B"/>
    <w:rsid w:val="000F0060"/>
    <w:rsid w:val="000F0136"/>
    <w:rsid w:val="000F045A"/>
    <w:rsid w:val="000F078A"/>
    <w:rsid w:val="000F0CCE"/>
    <w:rsid w:val="000F122D"/>
    <w:rsid w:val="000F1450"/>
    <w:rsid w:val="000F14E8"/>
    <w:rsid w:val="000F1BBD"/>
    <w:rsid w:val="000F290F"/>
    <w:rsid w:val="000F4141"/>
    <w:rsid w:val="000F4403"/>
    <w:rsid w:val="000F4765"/>
    <w:rsid w:val="000F47F3"/>
    <w:rsid w:val="000F480B"/>
    <w:rsid w:val="000F4A7F"/>
    <w:rsid w:val="000F4E17"/>
    <w:rsid w:val="000F55A8"/>
    <w:rsid w:val="000F5615"/>
    <w:rsid w:val="000F5DFB"/>
    <w:rsid w:val="000F613B"/>
    <w:rsid w:val="000F6420"/>
    <w:rsid w:val="000F6578"/>
    <w:rsid w:val="000F6783"/>
    <w:rsid w:val="000F6787"/>
    <w:rsid w:val="000F6F92"/>
    <w:rsid w:val="000F7528"/>
    <w:rsid w:val="000F7E8F"/>
    <w:rsid w:val="000F7FBB"/>
    <w:rsid w:val="001000FB"/>
    <w:rsid w:val="00100A9E"/>
    <w:rsid w:val="00100F6A"/>
    <w:rsid w:val="00101129"/>
    <w:rsid w:val="00102605"/>
    <w:rsid w:val="00102686"/>
    <w:rsid w:val="00102745"/>
    <w:rsid w:val="00103795"/>
    <w:rsid w:val="00103915"/>
    <w:rsid w:val="001039AA"/>
    <w:rsid w:val="00103EA0"/>
    <w:rsid w:val="00104149"/>
    <w:rsid w:val="00104210"/>
    <w:rsid w:val="00104F1C"/>
    <w:rsid w:val="001051E5"/>
    <w:rsid w:val="001056CE"/>
    <w:rsid w:val="00105A74"/>
    <w:rsid w:val="00105ACB"/>
    <w:rsid w:val="00105AEF"/>
    <w:rsid w:val="00105B76"/>
    <w:rsid w:val="00106259"/>
    <w:rsid w:val="001068EB"/>
    <w:rsid w:val="001078CE"/>
    <w:rsid w:val="00110F61"/>
    <w:rsid w:val="00111026"/>
    <w:rsid w:val="001111BD"/>
    <w:rsid w:val="0011165A"/>
    <w:rsid w:val="00111B2B"/>
    <w:rsid w:val="00112774"/>
    <w:rsid w:val="00112B2E"/>
    <w:rsid w:val="00113003"/>
    <w:rsid w:val="00113062"/>
    <w:rsid w:val="0011318E"/>
    <w:rsid w:val="0011359A"/>
    <w:rsid w:val="00113705"/>
    <w:rsid w:val="00113975"/>
    <w:rsid w:val="00113CFC"/>
    <w:rsid w:val="00113FEA"/>
    <w:rsid w:val="00114A22"/>
    <w:rsid w:val="00114E9D"/>
    <w:rsid w:val="0011507B"/>
    <w:rsid w:val="001150A2"/>
    <w:rsid w:val="001156A7"/>
    <w:rsid w:val="00115C37"/>
    <w:rsid w:val="00116328"/>
    <w:rsid w:val="001163CF"/>
    <w:rsid w:val="00116EC5"/>
    <w:rsid w:val="001174C9"/>
    <w:rsid w:val="001177FE"/>
    <w:rsid w:val="00117E69"/>
    <w:rsid w:val="00120E33"/>
    <w:rsid w:val="00121103"/>
    <w:rsid w:val="00121B78"/>
    <w:rsid w:val="00121BAB"/>
    <w:rsid w:val="00121E3C"/>
    <w:rsid w:val="001223CD"/>
    <w:rsid w:val="00122B23"/>
    <w:rsid w:val="00122B7E"/>
    <w:rsid w:val="00123E27"/>
    <w:rsid w:val="00123FB5"/>
    <w:rsid w:val="0012400F"/>
    <w:rsid w:val="001249DC"/>
    <w:rsid w:val="0012572D"/>
    <w:rsid w:val="00125BED"/>
    <w:rsid w:val="00125C59"/>
    <w:rsid w:val="00125D4F"/>
    <w:rsid w:val="00126F53"/>
    <w:rsid w:val="00127004"/>
    <w:rsid w:val="00127045"/>
    <w:rsid w:val="00127278"/>
    <w:rsid w:val="001275E8"/>
    <w:rsid w:val="0012770B"/>
    <w:rsid w:val="00127AF2"/>
    <w:rsid w:val="00127EDC"/>
    <w:rsid w:val="00127F42"/>
    <w:rsid w:val="00127F6D"/>
    <w:rsid w:val="00130355"/>
    <w:rsid w:val="00130365"/>
    <w:rsid w:val="001304E5"/>
    <w:rsid w:val="00130635"/>
    <w:rsid w:val="00131B5A"/>
    <w:rsid w:val="001329BC"/>
    <w:rsid w:val="00132C30"/>
    <w:rsid w:val="00132EFD"/>
    <w:rsid w:val="00133AED"/>
    <w:rsid w:val="00133ED2"/>
    <w:rsid w:val="00134BCD"/>
    <w:rsid w:val="00134E09"/>
    <w:rsid w:val="001350AB"/>
    <w:rsid w:val="0013546D"/>
    <w:rsid w:val="00135DB9"/>
    <w:rsid w:val="00135E5D"/>
    <w:rsid w:val="0013695C"/>
    <w:rsid w:val="00136BF7"/>
    <w:rsid w:val="00136C78"/>
    <w:rsid w:val="00136DD8"/>
    <w:rsid w:val="00137440"/>
    <w:rsid w:val="001378B9"/>
    <w:rsid w:val="00137FFA"/>
    <w:rsid w:val="00140109"/>
    <w:rsid w:val="0014029B"/>
    <w:rsid w:val="00140464"/>
    <w:rsid w:val="00140A4F"/>
    <w:rsid w:val="001413AB"/>
    <w:rsid w:val="001419D7"/>
    <w:rsid w:val="00141DBF"/>
    <w:rsid w:val="00142EFD"/>
    <w:rsid w:val="00144335"/>
    <w:rsid w:val="0014502F"/>
    <w:rsid w:val="00145282"/>
    <w:rsid w:val="001453B0"/>
    <w:rsid w:val="001454D9"/>
    <w:rsid w:val="00145D8E"/>
    <w:rsid w:val="00146083"/>
    <w:rsid w:val="001462F7"/>
    <w:rsid w:val="001471AB"/>
    <w:rsid w:val="00147EAD"/>
    <w:rsid w:val="00147F35"/>
    <w:rsid w:val="00147FCE"/>
    <w:rsid w:val="00150005"/>
    <w:rsid w:val="00151AEB"/>
    <w:rsid w:val="00151B99"/>
    <w:rsid w:val="00151CD6"/>
    <w:rsid w:val="00151E79"/>
    <w:rsid w:val="001521B2"/>
    <w:rsid w:val="00152EDD"/>
    <w:rsid w:val="00153491"/>
    <w:rsid w:val="0015361C"/>
    <w:rsid w:val="0015372F"/>
    <w:rsid w:val="00153BFB"/>
    <w:rsid w:val="0015407E"/>
    <w:rsid w:val="0015448E"/>
    <w:rsid w:val="00154A6F"/>
    <w:rsid w:val="00154B68"/>
    <w:rsid w:val="00155025"/>
    <w:rsid w:val="00155B07"/>
    <w:rsid w:val="00155BED"/>
    <w:rsid w:val="00155D08"/>
    <w:rsid w:val="0015623B"/>
    <w:rsid w:val="00156BE5"/>
    <w:rsid w:val="00157232"/>
    <w:rsid w:val="00160401"/>
    <w:rsid w:val="00160AA1"/>
    <w:rsid w:val="00160C01"/>
    <w:rsid w:val="00160D4E"/>
    <w:rsid w:val="00161AAD"/>
    <w:rsid w:val="00161DDA"/>
    <w:rsid w:val="00161E62"/>
    <w:rsid w:val="00161F1C"/>
    <w:rsid w:val="0016200B"/>
    <w:rsid w:val="0016204B"/>
    <w:rsid w:val="00163D7A"/>
    <w:rsid w:val="00164281"/>
    <w:rsid w:val="00165703"/>
    <w:rsid w:val="00165E5C"/>
    <w:rsid w:val="00166204"/>
    <w:rsid w:val="00166797"/>
    <w:rsid w:val="0016685F"/>
    <w:rsid w:val="0016712F"/>
    <w:rsid w:val="00167503"/>
    <w:rsid w:val="001676A9"/>
    <w:rsid w:val="001679EF"/>
    <w:rsid w:val="00167A15"/>
    <w:rsid w:val="00167A50"/>
    <w:rsid w:val="00167D1A"/>
    <w:rsid w:val="00167DF5"/>
    <w:rsid w:val="00170001"/>
    <w:rsid w:val="00170D2F"/>
    <w:rsid w:val="001716D9"/>
    <w:rsid w:val="00171736"/>
    <w:rsid w:val="00172198"/>
    <w:rsid w:val="00172612"/>
    <w:rsid w:val="00172817"/>
    <w:rsid w:val="001733CF"/>
    <w:rsid w:val="001734E3"/>
    <w:rsid w:val="001742BF"/>
    <w:rsid w:val="001742E1"/>
    <w:rsid w:val="00175DC6"/>
    <w:rsid w:val="00175E49"/>
    <w:rsid w:val="0017649F"/>
    <w:rsid w:val="0017655B"/>
    <w:rsid w:val="001778A6"/>
    <w:rsid w:val="00177EAA"/>
    <w:rsid w:val="001805C1"/>
    <w:rsid w:val="00180A2E"/>
    <w:rsid w:val="00180F75"/>
    <w:rsid w:val="001813AF"/>
    <w:rsid w:val="001826C9"/>
    <w:rsid w:val="001829CD"/>
    <w:rsid w:val="00182F01"/>
    <w:rsid w:val="001833E1"/>
    <w:rsid w:val="00183515"/>
    <w:rsid w:val="00184219"/>
    <w:rsid w:val="00184F27"/>
    <w:rsid w:val="00185070"/>
    <w:rsid w:val="0018519B"/>
    <w:rsid w:val="001858C9"/>
    <w:rsid w:val="00185966"/>
    <w:rsid w:val="00185A2D"/>
    <w:rsid w:val="00185AFE"/>
    <w:rsid w:val="00185C79"/>
    <w:rsid w:val="00185E78"/>
    <w:rsid w:val="00186155"/>
    <w:rsid w:val="001868D9"/>
    <w:rsid w:val="001870F5"/>
    <w:rsid w:val="00187177"/>
    <w:rsid w:val="00187ABD"/>
    <w:rsid w:val="001904E3"/>
    <w:rsid w:val="0019087A"/>
    <w:rsid w:val="00190F38"/>
    <w:rsid w:val="001910D9"/>
    <w:rsid w:val="00191C5A"/>
    <w:rsid w:val="00191CEB"/>
    <w:rsid w:val="00191E63"/>
    <w:rsid w:val="00192D68"/>
    <w:rsid w:val="0019388B"/>
    <w:rsid w:val="00193ADE"/>
    <w:rsid w:val="00193B9A"/>
    <w:rsid w:val="001940ED"/>
    <w:rsid w:val="001945DF"/>
    <w:rsid w:val="001946AE"/>
    <w:rsid w:val="001946D5"/>
    <w:rsid w:val="00194E8C"/>
    <w:rsid w:val="001962EC"/>
    <w:rsid w:val="001963DD"/>
    <w:rsid w:val="001965DB"/>
    <w:rsid w:val="00196D01"/>
    <w:rsid w:val="00196DC9"/>
    <w:rsid w:val="00196E95"/>
    <w:rsid w:val="001971FD"/>
    <w:rsid w:val="00197341"/>
    <w:rsid w:val="00197758"/>
    <w:rsid w:val="001A0236"/>
    <w:rsid w:val="001A0915"/>
    <w:rsid w:val="001A0AF8"/>
    <w:rsid w:val="001A0E1B"/>
    <w:rsid w:val="001A1490"/>
    <w:rsid w:val="001A1766"/>
    <w:rsid w:val="001A18AA"/>
    <w:rsid w:val="001A18D5"/>
    <w:rsid w:val="001A1A38"/>
    <w:rsid w:val="001A1BE0"/>
    <w:rsid w:val="001A1D4A"/>
    <w:rsid w:val="001A260A"/>
    <w:rsid w:val="001A2F0E"/>
    <w:rsid w:val="001A3011"/>
    <w:rsid w:val="001A3078"/>
    <w:rsid w:val="001A419E"/>
    <w:rsid w:val="001A420C"/>
    <w:rsid w:val="001A4314"/>
    <w:rsid w:val="001A4A9B"/>
    <w:rsid w:val="001A4B32"/>
    <w:rsid w:val="001A4DAF"/>
    <w:rsid w:val="001A54CD"/>
    <w:rsid w:val="001A611F"/>
    <w:rsid w:val="001A66DF"/>
    <w:rsid w:val="001A67D0"/>
    <w:rsid w:val="001A6863"/>
    <w:rsid w:val="001A7591"/>
    <w:rsid w:val="001A75B1"/>
    <w:rsid w:val="001A7B06"/>
    <w:rsid w:val="001B0366"/>
    <w:rsid w:val="001B0444"/>
    <w:rsid w:val="001B096B"/>
    <w:rsid w:val="001B0A69"/>
    <w:rsid w:val="001B0F9F"/>
    <w:rsid w:val="001B123C"/>
    <w:rsid w:val="001B1A0D"/>
    <w:rsid w:val="001B1BF1"/>
    <w:rsid w:val="001B21AC"/>
    <w:rsid w:val="001B2456"/>
    <w:rsid w:val="001B3B25"/>
    <w:rsid w:val="001B449C"/>
    <w:rsid w:val="001B4AA2"/>
    <w:rsid w:val="001B4ADE"/>
    <w:rsid w:val="001B4D36"/>
    <w:rsid w:val="001B5530"/>
    <w:rsid w:val="001B5EF8"/>
    <w:rsid w:val="001B71E8"/>
    <w:rsid w:val="001B73C6"/>
    <w:rsid w:val="001C033E"/>
    <w:rsid w:val="001C07C6"/>
    <w:rsid w:val="001C120D"/>
    <w:rsid w:val="001C16DA"/>
    <w:rsid w:val="001C19CD"/>
    <w:rsid w:val="001C2119"/>
    <w:rsid w:val="001C22D5"/>
    <w:rsid w:val="001C2515"/>
    <w:rsid w:val="001C26FB"/>
    <w:rsid w:val="001C3362"/>
    <w:rsid w:val="001C33C1"/>
    <w:rsid w:val="001C3828"/>
    <w:rsid w:val="001C3C82"/>
    <w:rsid w:val="001C3E30"/>
    <w:rsid w:val="001C3E5C"/>
    <w:rsid w:val="001C5072"/>
    <w:rsid w:val="001C5B2A"/>
    <w:rsid w:val="001C600B"/>
    <w:rsid w:val="001C6898"/>
    <w:rsid w:val="001C6DD8"/>
    <w:rsid w:val="001C76FA"/>
    <w:rsid w:val="001C79A4"/>
    <w:rsid w:val="001C7C7B"/>
    <w:rsid w:val="001D068D"/>
    <w:rsid w:val="001D12D1"/>
    <w:rsid w:val="001D15DF"/>
    <w:rsid w:val="001D1A1E"/>
    <w:rsid w:val="001D2552"/>
    <w:rsid w:val="001D28B0"/>
    <w:rsid w:val="001D2EEE"/>
    <w:rsid w:val="001D2FA6"/>
    <w:rsid w:val="001D30F3"/>
    <w:rsid w:val="001D31A0"/>
    <w:rsid w:val="001D338E"/>
    <w:rsid w:val="001D3F00"/>
    <w:rsid w:val="001D4562"/>
    <w:rsid w:val="001D50DB"/>
    <w:rsid w:val="001D56E9"/>
    <w:rsid w:val="001D5D05"/>
    <w:rsid w:val="001D6944"/>
    <w:rsid w:val="001D6CD2"/>
    <w:rsid w:val="001D6F14"/>
    <w:rsid w:val="001D796A"/>
    <w:rsid w:val="001D7A84"/>
    <w:rsid w:val="001D7C79"/>
    <w:rsid w:val="001E003B"/>
    <w:rsid w:val="001E1CC4"/>
    <w:rsid w:val="001E1D38"/>
    <w:rsid w:val="001E2452"/>
    <w:rsid w:val="001E28A0"/>
    <w:rsid w:val="001E3FFE"/>
    <w:rsid w:val="001E4258"/>
    <w:rsid w:val="001E4868"/>
    <w:rsid w:val="001E5140"/>
    <w:rsid w:val="001E58E6"/>
    <w:rsid w:val="001E5C3A"/>
    <w:rsid w:val="001E5D6A"/>
    <w:rsid w:val="001E6A94"/>
    <w:rsid w:val="001E70FB"/>
    <w:rsid w:val="001E747D"/>
    <w:rsid w:val="001E780A"/>
    <w:rsid w:val="001F0325"/>
    <w:rsid w:val="001F0806"/>
    <w:rsid w:val="001F0D15"/>
    <w:rsid w:val="001F0FA0"/>
    <w:rsid w:val="001F10E8"/>
    <w:rsid w:val="001F1349"/>
    <w:rsid w:val="001F1863"/>
    <w:rsid w:val="001F1E65"/>
    <w:rsid w:val="001F2356"/>
    <w:rsid w:val="001F2462"/>
    <w:rsid w:val="001F2A68"/>
    <w:rsid w:val="001F2C47"/>
    <w:rsid w:val="001F41A8"/>
    <w:rsid w:val="001F43DA"/>
    <w:rsid w:val="001F4773"/>
    <w:rsid w:val="001F4DC8"/>
    <w:rsid w:val="001F5008"/>
    <w:rsid w:val="001F56AA"/>
    <w:rsid w:val="001F57EB"/>
    <w:rsid w:val="001F58AA"/>
    <w:rsid w:val="001F5A4E"/>
    <w:rsid w:val="001F5EF6"/>
    <w:rsid w:val="001F5EF9"/>
    <w:rsid w:val="001F63AE"/>
    <w:rsid w:val="001F657F"/>
    <w:rsid w:val="001F6FB6"/>
    <w:rsid w:val="001F72BB"/>
    <w:rsid w:val="001F7978"/>
    <w:rsid w:val="001F7A0E"/>
    <w:rsid w:val="001F7A4B"/>
    <w:rsid w:val="0020022E"/>
    <w:rsid w:val="0020054E"/>
    <w:rsid w:val="002012BE"/>
    <w:rsid w:val="002013E8"/>
    <w:rsid w:val="00201508"/>
    <w:rsid w:val="0020156E"/>
    <w:rsid w:val="00201AC4"/>
    <w:rsid w:val="00201F1E"/>
    <w:rsid w:val="00202761"/>
    <w:rsid w:val="0020299B"/>
    <w:rsid w:val="00202B2A"/>
    <w:rsid w:val="00202E44"/>
    <w:rsid w:val="002036BA"/>
    <w:rsid w:val="002037AA"/>
    <w:rsid w:val="00203C94"/>
    <w:rsid w:val="00203FE3"/>
    <w:rsid w:val="002042D8"/>
    <w:rsid w:val="00204515"/>
    <w:rsid w:val="0020492B"/>
    <w:rsid w:val="00204BA0"/>
    <w:rsid w:val="00204BF5"/>
    <w:rsid w:val="00204E6B"/>
    <w:rsid w:val="002053EF"/>
    <w:rsid w:val="002058D4"/>
    <w:rsid w:val="0020632A"/>
    <w:rsid w:val="0020697F"/>
    <w:rsid w:val="00206F4D"/>
    <w:rsid w:val="0020726E"/>
    <w:rsid w:val="00207389"/>
    <w:rsid w:val="0020797E"/>
    <w:rsid w:val="00207C4B"/>
    <w:rsid w:val="00207FCD"/>
    <w:rsid w:val="002110EB"/>
    <w:rsid w:val="00211338"/>
    <w:rsid w:val="00211388"/>
    <w:rsid w:val="002113CF"/>
    <w:rsid w:val="0021148C"/>
    <w:rsid w:val="00211694"/>
    <w:rsid w:val="0021201A"/>
    <w:rsid w:val="00212545"/>
    <w:rsid w:val="00212BC8"/>
    <w:rsid w:val="002138FE"/>
    <w:rsid w:val="00213A1F"/>
    <w:rsid w:val="00213C63"/>
    <w:rsid w:val="00214502"/>
    <w:rsid w:val="00214741"/>
    <w:rsid w:val="0021480C"/>
    <w:rsid w:val="00214938"/>
    <w:rsid w:val="00214B7E"/>
    <w:rsid w:val="0021539A"/>
    <w:rsid w:val="00215852"/>
    <w:rsid w:val="00215B01"/>
    <w:rsid w:val="00215B8E"/>
    <w:rsid w:val="00216264"/>
    <w:rsid w:val="002169A0"/>
    <w:rsid w:val="002176B6"/>
    <w:rsid w:val="0021792D"/>
    <w:rsid w:val="00217DB8"/>
    <w:rsid w:val="00220206"/>
    <w:rsid w:val="002202CE"/>
    <w:rsid w:val="0022032A"/>
    <w:rsid w:val="002212FB"/>
    <w:rsid w:val="0022194E"/>
    <w:rsid w:val="002220B1"/>
    <w:rsid w:val="002221CE"/>
    <w:rsid w:val="00222BE8"/>
    <w:rsid w:val="00222D61"/>
    <w:rsid w:val="00222DF6"/>
    <w:rsid w:val="00223102"/>
    <w:rsid w:val="002232CB"/>
    <w:rsid w:val="00223E0B"/>
    <w:rsid w:val="00224022"/>
    <w:rsid w:val="00225147"/>
    <w:rsid w:val="00225CDE"/>
    <w:rsid w:val="00226055"/>
    <w:rsid w:val="0022609C"/>
    <w:rsid w:val="0022613F"/>
    <w:rsid w:val="0022614F"/>
    <w:rsid w:val="00226236"/>
    <w:rsid w:val="002266AF"/>
    <w:rsid w:val="002270C9"/>
    <w:rsid w:val="00227A8B"/>
    <w:rsid w:val="00230ADA"/>
    <w:rsid w:val="00230E35"/>
    <w:rsid w:val="0023146B"/>
    <w:rsid w:val="00231476"/>
    <w:rsid w:val="002315A0"/>
    <w:rsid w:val="00231748"/>
    <w:rsid w:val="00231A18"/>
    <w:rsid w:val="00231DCC"/>
    <w:rsid w:val="00231EC7"/>
    <w:rsid w:val="00232E15"/>
    <w:rsid w:val="00233079"/>
    <w:rsid w:val="002334C1"/>
    <w:rsid w:val="0023382C"/>
    <w:rsid w:val="00233977"/>
    <w:rsid w:val="00233C58"/>
    <w:rsid w:val="00233C71"/>
    <w:rsid w:val="002345B6"/>
    <w:rsid w:val="002347A6"/>
    <w:rsid w:val="00234B84"/>
    <w:rsid w:val="002352F0"/>
    <w:rsid w:val="00235987"/>
    <w:rsid w:val="00235D09"/>
    <w:rsid w:val="00236016"/>
    <w:rsid w:val="00237065"/>
    <w:rsid w:val="00237589"/>
    <w:rsid w:val="0023758D"/>
    <w:rsid w:val="002375A7"/>
    <w:rsid w:val="0024019A"/>
    <w:rsid w:val="00240DA2"/>
    <w:rsid w:val="00240EC1"/>
    <w:rsid w:val="0024120F"/>
    <w:rsid w:val="0024131D"/>
    <w:rsid w:val="002415B8"/>
    <w:rsid w:val="00241B82"/>
    <w:rsid w:val="00242D5F"/>
    <w:rsid w:val="00242D62"/>
    <w:rsid w:val="00242F5E"/>
    <w:rsid w:val="002430D0"/>
    <w:rsid w:val="0024316E"/>
    <w:rsid w:val="002431D7"/>
    <w:rsid w:val="00244058"/>
    <w:rsid w:val="00244FC3"/>
    <w:rsid w:val="002456B2"/>
    <w:rsid w:val="00245718"/>
    <w:rsid w:val="002457E9"/>
    <w:rsid w:val="00245B9E"/>
    <w:rsid w:val="00245E07"/>
    <w:rsid w:val="0024665E"/>
    <w:rsid w:val="00247712"/>
    <w:rsid w:val="0024790F"/>
    <w:rsid w:val="00247D41"/>
    <w:rsid w:val="00250A9E"/>
    <w:rsid w:val="00250EC6"/>
    <w:rsid w:val="00250F5C"/>
    <w:rsid w:val="002515C7"/>
    <w:rsid w:val="00251866"/>
    <w:rsid w:val="00251A9F"/>
    <w:rsid w:val="00252492"/>
    <w:rsid w:val="00252B35"/>
    <w:rsid w:val="00252F57"/>
    <w:rsid w:val="00252FE3"/>
    <w:rsid w:val="00253070"/>
    <w:rsid w:val="002530E2"/>
    <w:rsid w:val="0025316D"/>
    <w:rsid w:val="00253723"/>
    <w:rsid w:val="00253A02"/>
    <w:rsid w:val="00253B81"/>
    <w:rsid w:val="00254AE9"/>
    <w:rsid w:val="002554DE"/>
    <w:rsid w:val="00255575"/>
    <w:rsid w:val="00255AD7"/>
    <w:rsid w:val="00255E11"/>
    <w:rsid w:val="002564B7"/>
    <w:rsid w:val="00256835"/>
    <w:rsid w:val="002569F0"/>
    <w:rsid w:val="00256C01"/>
    <w:rsid w:val="00256E1A"/>
    <w:rsid w:val="00256ECF"/>
    <w:rsid w:val="00257730"/>
    <w:rsid w:val="00257999"/>
    <w:rsid w:val="00257BED"/>
    <w:rsid w:val="00260429"/>
    <w:rsid w:val="002604AA"/>
    <w:rsid w:val="00260523"/>
    <w:rsid w:val="00260869"/>
    <w:rsid w:val="0026129B"/>
    <w:rsid w:val="00261560"/>
    <w:rsid w:val="00261715"/>
    <w:rsid w:val="00261CF9"/>
    <w:rsid w:val="00261EC0"/>
    <w:rsid w:val="0026231B"/>
    <w:rsid w:val="00263101"/>
    <w:rsid w:val="002631D1"/>
    <w:rsid w:val="00263201"/>
    <w:rsid w:val="002638F4"/>
    <w:rsid w:val="00263A37"/>
    <w:rsid w:val="00264266"/>
    <w:rsid w:val="0026471F"/>
    <w:rsid w:val="002647FD"/>
    <w:rsid w:val="0026480D"/>
    <w:rsid w:val="002649F3"/>
    <w:rsid w:val="002653A6"/>
    <w:rsid w:val="002661F1"/>
    <w:rsid w:val="00266316"/>
    <w:rsid w:val="00266DB6"/>
    <w:rsid w:val="0027046B"/>
    <w:rsid w:val="00271107"/>
    <w:rsid w:val="002711A4"/>
    <w:rsid w:val="00271230"/>
    <w:rsid w:val="00271F13"/>
    <w:rsid w:val="00272640"/>
    <w:rsid w:val="00272945"/>
    <w:rsid w:val="00272E89"/>
    <w:rsid w:val="002742D0"/>
    <w:rsid w:val="00274522"/>
    <w:rsid w:val="0027482E"/>
    <w:rsid w:val="002748F1"/>
    <w:rsid w:val="00274DB5"/>
    <w:rsid w:val="00275BB1"/>
    <w:rsid w:val="00275F73"/>
    <w:rsid w:val="00276D7C"/>
    <w:rsid w:val="00276EF7"/>
    <w:rsid w:val="0027746E"/>
    <w:rsid w:val="0027770B"/>
    <w:rsid w:val="00277933"/>
    <w:rsid w:val="00277F8D"/>
    <w:rsid w:val="00277FA7"/>
    <w:rsid w:val="00280046"/>
    <w:rsid w:val="00280754"/>
    <w:rsid w:val="002809B4"/>
    <w:rsid w:val="00280B4F"/>
    <w:rsid w:val="00280F3D"/>
    <w:rsid w:val="0028106A"/>
    <w:rsid w:val="00281BF0"/>
    <w:rsid w:val="00281EB4"/>
    <w:rsid w:val="00282A39"/>
    <w:rsid w:val="00282E03"/>
    <w:rsid w:val="0028308E"/>
    <w:rsid w:val="002834E9"/>
    <w:rsid w:val="002837BA"/>
    <w:rsid w:val="00283A52"/>
    <w:rsid w:val="00283C5E"/>
    <w:rsid w:val="00283E26"/>
    <w:rsid w:val="0028428F"/>
    <w:rsid w:val="0028448F"/>
    <w:rsid w:val="00284CFC"/>
    <w:rsid w:val="00285832"/>
    <w:rsid w:val="00285969"/>
    <w:rsid w:val="0028599C"/>
    <w:rsid w:val="00285EAE"/>
    <w:rsid w:val="0028663B"/>
    <w:rsid w:val="00286CEC"/>
    <w:rsid w:val="00286E35"/>
    <w:rsid w:val="002870F9"/>
    <w:rsid w:val="002871A9"/>
    <w:rsid w:val="00287505"/>
    <w:rsid w:val="00287BDB"/>
    <w:rsid w:val="00290781"/>
    <w:rsid w:val="00290805"/>
    <w:rsid w:val="00291784"/>
    <w:rsid w:val="00291E40"/>
    <w:rsid w:val="002920DF"/>
    <w:rsid w:val="002928A3"/>
    <w:rsid w:val="002929BB"/>
    <w:rsid w:val="00292A27"/>
    <w:rsid w:val="00294368"/>
    <w:rsid w:val="00294B78"/>
    <w:rsid w:val="00294B85"/>
    <w:rsid w:val="00295416"/>
    <w:rsid w:val="00295949"/>
    <w:rsid w:val="00295D7C"/>
    <w:rsid w:val="0029624A"/>
    <w:rsid w:val="00296922"/>
    <w:rsid w:val="00297098"/>
    <w:rsid w:val="002A05D4"/>
    <w:rsid w:val="002A06DB"/>
    <w:rsid w:val="002A0928"/>
    <w:rsid w:val="002A09FF"/>
    <w:rsid w:val="002A0BC3"/>
    <w:rsid w:val="002A0E60"/>
    <w:rsid w:val="002A1A58"/>
    <w:rsid w:val="002A1B02"/>
    <w:rsid w:val="002A1C53"/>
    <w:rsid w:val="002A1F84"/>
    <w:rsid w:val="002A244B"/>
    <w:rsid w:val="002A28FC"/>
    <w:rsid w:val="002A291A"/>
    <w:rsid w:val="002A2B44"/>
    <w:rsid w:val="002A2C56"/>
    <w:rsid w:val="002A2EA5"/>
    <w:rsid w:val="002A301E"/>
    <w:rsid w:val="002A3555"/>
    <w:rsid w:val="002A3D94"/>
    <w:rsid w:val="002A3F66"/>
    <w:rsid w:val="002A4736"/>
    <w:rsid w:val="002A4B1C"/>
    <w:rsid w:val="002A55FE"/>
    <w:rsid w:val="002A625C"/>
    <w:rsid w:val="002A6AFB"/>
    <w:rsid w:val="002A725A"/>
    <w:rsid w:val="002A733D"/>
    <w:rsid w:val="002A774A"/>
    <w:rsid w:val="002A7840"/>
    <w:rsid w:val="002A78F3"/>
    <w:rsid w:val="002A7D84"/>
    <w:rsid w:val="002A7E5C"/>
    <w:rsid w:val="002A7F6D"/>
    <w:rsid w:val="002B0D83"/>
    <w:rsid w:val="002B1342"/>
    <w:rsid w:val="002B18E0"/>
    <w:rsid w:val="002B1F83"/>
    <w:rsid w:val="002B27C8"/>
    <w:rsid w:val="002B2A7F"/>
    <w:rsid w:val="002B330B"/>
    <w:rsid w:val="002B39BE"/>
    <w:rsid w:val="002B3FBF"/>
    <w:rsid w:val="002B438C"/>
    <w:rsid w:val="002B48DB"/>
    <w:rsid w:val="002B4B34"/>
    <w:rsid w:val="002B5392"/>
    <w:rsid w:val="002B541A"/>
    <w:rsid w:val="002B5EAB"/>
    <w:rsid w:val="002B5F2E"/>
    <w:rsid w:val="002B6407"/>
    <w:rsid w:val="002B6416"/>
    <w:rsid w:val="002B6459"/>
    <w:rsid w:val="002B645D"/>
    <w:rsid w:val="002B662D"/>
    <w:rsid w:val="002B6F22"/>
    <w:rsid w:val="002B7014"/>
    <w:rsid w:val="002B73B0"/>
    <w:rsid w:val="002B76F5"/>
    <w:rsid w:val="002B7F77"/>
    <w:rsid w:val="002C0275"/>
    <w:rsid w:val="002C0589"/>
    <w:rsid w:val="002C0E0D"/>
    <w:rsid w:val="002C1EE4"/>
    <w:rsid w:val="002C24B4"/>
    <w:rsid w:val="002C2B3A"/>
    <w:rsid w:val="002C2B87"/>
    <w:rsid w:val="002C3A5E"/>
    <w:rsid w:val="002C3CF4"/>
    <w:rsid w:val="002C441A"/>
    <w:rsid w:val="002C4A2B"/>
    <w:rsid w:val="002C4A73"/>
    <w:rsid w:val="002C4B84"/>
    <w:rsid w:val="002C4C0C"/>
    <w:rsid w:val="002C5016"/>
    <w:rsid w:val="002C5C2F"/>
    <w:rsid w:val="002C5D0F"/>
    <w:rsid w:val="002C60B9"/>
    <w:rsid w:val="002C68BC"/>
    <w:rsid w:val="002C6B17"/>
    <w:rsid w:val="002C6D52"/>
    <w:rsid w:val="002C6F77"/>
    <w:rsid w:val="002C704D"/>
    <w:rsid w:val="002C712D"/>
    <w:rsid w:val="002D0389"/>
    <w:rsid w:val="002D0845"/>
    <w:rsid w:val="002D0933"/>
    <w:rsid w:val="002D1555"/>
    <w:rsid w:val="002D15B6"/>
    <w:rsid w:val="002D19BB"/>
    <w:rsid w:val="002D1A9B"/>
    <w:rsid w:val="002D1F51"/>
    <w:rsid w:val="002D20F8"/>
    <w:rsid w:val="002D22BD"/>
    <w:rsid w:val="002D22C5"/>
    <w:rsid w:val="002D302A"/>
    <w:rsid w:val="002D36C6"/>
    <w:rsid w:val="002D37C1"/>
    <w:rsid w:val="002D3E4A"/>
    <w:rsid w:val="002D444B"/>
    <w:rsid w:val="002D46A6"/>
    <w:rsid w:val="002D46B4"/>
    <w:rsid w:val="002D46CE"/>
    <w:rsid w:val="002D49C2"/>
    <w:rsid w:val="002D4A45"/>
    <w:rsid w:val="002D4B42"/>
    <w:rsid w:val="002D4B43"/>
    <w:rsid w:val="002D4F3D"/>
    <w:rsid w:val="002D5A1B"/>
    <w:rsid w:val="002D63A7"/>
    <w:rsid w:val="002D6558"/>
    <w:rsid w:val="002D65BC"/>
    <w:rsid w:val="002E02B7"/>
    <w:rsid w:val="002E055C"/>
    <w:rsid w:val="002E1050"/>
    <w:rsid w:val="002E107E"/>
    <w:rsid w:val="002E1880"/>
    <w:rsid w:val="002E18E5"/>
    <w:rsid w:val="002E1953"/>
    <w:rsid w:val="002E1BD8"/>
    <w:rsid w:val="002E26FB"/>
    <w:rsid w:val="002E2C3F"/>
    <w:rsid w:val="002E2CB5"/>
    <w:rsid w:val="002E2D7D"/>
    <w:rsid w:val="002E32D0"/>
    <w:rsid w:val="002E3931"/>
    <w:rsid w:val="002E3D76"/>
    <w:rsid w:val="002E40A1"/>
    <w:rsid w:val="002E4526"/>
    <w:rsid w:val="002E48EC"/>
    <w:rsid w:val="002E4B44"/>
    <w:rsid w:val="002E4ECB"/>
    <w:rsid w:val="002E4F23"/>
    <w:rsid w:val="002E635A"/>
    <w:rsid w:val="002E6A50"/>
    <w:rsid w:val="002E6D68"/>
    <w:rsid w:val="002E7847"/>
    <w:rsid w:val="002E7B84"/>
    <w:rsid w:val="002F0073"/>
    <w:rsid w:val="002F0116"/>
    <w:rsid w:val="002F07F5"/>
    <w:rsid w:val="002F0F83"/>
    <w:rsid w:val="002F1549"/>
    <w:rsid w:val="002F1B27"/>
    <w:rsid w:val="002F1C67"/>
    <w:rsid w:val="002F240B"/>
    <w:rsid w:val="002F24DA"/>
    <w:rsid w:val="002F28B3"/>
    <w:rsid w:val="002F2F50"/>
    <w:rsid w:val="002F33EC"/>
    <w:rsid w:val="002F34E3"/>
    <w:rsid w:val="002F3601"/>
    <w:rsid w:val="002F40E2"/>
    <w:rsid w:val="002F44E1"/>
    <w:rsid w:val="002F45F6"/>
    <w:rsid w:val="002F5A6F"/>
    <w:rsid w:val="002F692F"/>
    <w:rsid w:val="002F6FF9"/>
    <w:rsid w:val="002F7031"/>
    <w:rsid w:val="002F7961"/>
    <w:rsid w:val="002F7B66"/>
    <w:rsid w:val="00300CB4"/>
    <w:rsid w:val="00300E24"/>
    <w:rsid w:val="00301BB8"/>
    <w:rsid w:val="00301D6C"/>
    <w:rsid w:val="0030257B"/>
    <w:rsid w:val="00302C8C"/>
    <w:rsid w:val="003033BA"/>
    <w:rsid w:val="003035B9"/>
    <w:rsid w:val="00303629"/>
    <w:rsid w:val="00303C19"/>
    <w:rsid w:val="003043A3"/>
    <w:rsid w:val="0030462D"/>
    <w:rsid w:val="00304BD4"/>
    <w:rsid w:val="00304F54"/>
    <w:rsid w:val="0030500A"/>
    <w:rsid w:val="0030527D"/>
    <w:rsid w:val="003052EB"/>
    <w:rsid w:val="00305E5F"/>
    <w:rsid w:val="00305FCB"/>
    <w:rsid w:val="003063C3"/>
    <w:rsid w:val="003069DC"/>
    <w:rsid w:val="00306A13"/>
    <w:rsid w:val="00306B44"/>
    <w:rsid w:val="00306D1E"/>
    <w:rsid w:val="00307C44"/>
    <w:rsid w:val="0031040A"/>
    <w:rsid w:val="00310439"/>
    <w:rsid w:val="0031088E"/>
    <w:rsid w:val="00310D01"/>
    <w:rsid w:val="00311376"/>
    <w:rsid w:val="00311A1F"/>
    <w:rsid w:val="00311B47"/>
    <w:rsid w:val="00311D52"/>
    <w:rsid w:val="00312190"/>
    <w:rsid w:val="003125E0"/>
    <w:rsid w:val="0031271D"/>
    <w:rsid w:val="00312E92"/>
    <w:rsid w:val="003132BB"/>
    <w:rsid w:val="00313337"/>
    <w:rsid w:val="00313447"/>
    <w:rsid w:val="00313748"/>
    <w:rsid w:val="00313EA3"/>
    <w:rsid w:val="00314507"/>
    <w:rsid w:val="00314A22"/>
    <w:rsid w:val="003151FE"/>
    <w:rsid w:val="00315365"/>
    <w:rsid w:val="00315457"/>
    <w:rsid w:val="00315DCA"/>
    <w:rsid w:val="003161A4"/>
    <w:rsid w:val="00316955"/>
    <w:rsid w:val="00316AD8"/>
    <w:rsid w:val="0031713F"/>
    <w:rsid w:val="0031720A"/>
    <w:rsid w:val="0031749B"/>
    <w:rsid w:val="003174E5"/>
    <w:rsid w:val="00317C9D"/>
    <w:rsid w:val="00317CD2"/>
    <w:rsid w:val="00317D99"/>
    <w:rsid w:val="003206F2"/>
    <w:rsid w:val="0032078D"/>
    <w:rsid w:val="00320ADF"/>
    <w:rsid w:val="0032137B"/>
    <w:rsid w:val="00321A70"/>
    <w:rsid w:val="00321BD6"/>
    <w:rsid w:val="00321FA3"/>
    <w:rsid w:val="003227D3"/>
    <w:rsid w:val="0032283C"/>
    <w:rsid w:val="00322937"/>
    <w:rsid w:val="00323881"/>
    <w:rsid w:val="00324885"/>
    <w:rsid w:val="003251A8"/>
    <w:rsid w:val="003254B1"/>
    <w:rsid w:val="00325700"/>
    <w:rsid w:val="00325AD9"/>
    <w:rsid w:val="00325D79"/>
    <w:rsid w:val="00325D98"/>
    <w:rsid w:val="0032682A"/>
    <w:rsid w:val="00327A5C"/>
    <w:rsid w:val="00327DB8"/>
    <w:rsid w:val="003305BD"/>
    <w:rsid w:val="0033092C"/>
    <w:rsid w:val="0033122A"/>
    <w:rsid w:val="003315AC"/>
    <w:rsid w:val="00331932"/>
    <w:rsid w:val="00331F74"/>
    <w:rsid w:val="00332382"/>
    <w:rsid w:val="00332453"/>
    <w:rsid w:val="0033251B"/>
    <w:rsid w:val="003328CF"/>
    <w:rsid w:val="00333A88"/>
    <w:rsid w:val="003351FF"/>
    <w:rsid w:val="00335B15"/>
    <w:rsid w:val="00335B21"/>
    <w:rsid w:val="00335D3F"/>
    <w:rsid w:val="00336104"/>
    <w:rsid w:val="00336729"/>
    <w:rsid w:val="00336CD9"/>
    <w:rsid w:val="0033701C"/>
    <w:rsid w:val="0033726D"/>
    <w:rsid w:val="00337357"/>
    <w:rsid w:val="00337CA8"/>
    <w:rsid w:val="00340D3F"/>
    <w:rsid w:val="0034174B"/>
    <w:rsid w:val="0034177C"/>
    <w:rsid w:val="003419D7"/>
    <w:rsid w:val="003420E9"/>
    <w:rsid w:val="00342345"/>
    <w:rsid w:val="00342361"/>
    <w:rsid w:val="00342C27"/>
    <w:rsid w:val="0034308C"/>
    <w:rsid w:val="003430C8"/>
    <w:rsid w:val="003431F6"/>
    <w:rsid w:val="003432C8"/>
    <w:rsid w:val="003434B3"/>
    <w:rsid w:val="00343536"/>
    <w:rsid w:val="00343B9E"/>
    <w:rsid w:val="00343EFB"/>
    <w:rsid w:val="00344760"/>
    <w:rsid w:val="003454E8"/>
    <w:rsid w:val="00345574"/>
    <w:rsid w:val="00345965"/>
    <w:rsid w:val="003467FE"/>
    <w:rsid w:val="0034680A"/>
    <w:rsid w:val="00346C62"/>
    <w:rsid w:val="0034713F"/>
    <w:rsid w:val="00347202"/>
    <w:rsid w:val="0034778E"/>
    <w:rsid w:val="00347923"/>
    <w:rsid w:val="00347A5A"/>
    <w:rsid w:val="003501E2"/>
    <w:rsid w:val="003514B8"/>
    <w:rsid w:val="00351E10"/>
    <w:rsid w:val="0035322F"/>
    <w:rsid w:val="003533F4"/>
    <w:rsid w:val="003536F6"/>
    <w:rsid w:val="00353801"/>
    <w:rsid w:val="00353DD5"/>
    <w:rsid w:val="00353F36"/>
    <w:rsid w:val="003548AB"/>
    <w:rsid w:val="00355131"/>
    <w:rsid w:val="00355F74"/>
    <w:rsid w:val="003560DB"/>
    <w:rsid w:val="003564DB"/>
    <w:rsid w:val="00356F87"/>
    <w:rsid w:val="00357E83"/>
    <w:rsid w:val="003602B1"/>
    <w:rsid w:val="00360CF3"/>
    <w:rsid w:val="00361A59"/>
    <w:rsid w:val="00361DC7"/>
    <w:rsid w:val="00362668"/>
    <w:rsid w:val="00363348"/>
    <w:rsid w:val="00363857"/>
    <w:rsid w:val="00363A24"/>
    <w:rsid w:val="00363D59"/>
    <w:rsid w:val="00363F08"/>
    <w:rsid w:val="003640F7"/>
    <w:rsid w:val="003651C2"/>
    <w:rsid w:val="0036594A"/>
    <w:rsid w:val="00365AE5"/>
    <w:rsid w:val="00365D3A"/>
    <w:rsid w:val="003664FF"/>
    <w:rsid w:val="00366BD2"/>
    <w:rsid w:val="003670B8"/>
    <w:rsid w:val="00367ABB"/>
    <w:rsid w:val="003704A3"/>
    <w:rsid w:val="003706F2"/>
    <w:rsid w:val="003709E8"/>
    <w:rsid w:val="0037124F"/>
    <w:rsid w:val="00371563"/>
    <w:rsid w:val="0037256F"/>
    <w:rsid w:val="00373827"/>
    <w:rsid w:val="0037401C"/>
    <w:rsid w:val="00374EBA"/>
    <w:rsid w:val="0037507B"/>
    <w:rsid w:val="00375C7C"/>
    <w:rsid w:val="00375F02"/>
    <w:rsid w:val="00377027"/>
    <w:rsid w:val="00377135"/>
    <w:rsid w:val="00380272"/>
    <w:rsid w:val="003805DB"/>
    <w:rsid w:val="0038152A"/>
    <w:rsid w:val="003821F1"/>
    <w:rsid w:val="0038245D"/>
    <w:rsid w:val="00382BAD"/>
    <w:rsid w:val="003835FD"/>
    <w:rsid w:val="00383DE4"/>
    <w:rsid w:val="00383EDF"/>
    <w:rsid w:val="00384494"/>
    <w:rsid w:val="0038484C"/>
    <w:rsid w:val="00384C5E"/>
    <w:rsid w:val="00384DF1"/>
    <w:rsid w:val="00384FF3"/>
    <w:rsid w:val="00386456"/>
    <w:rsid w:val="003865A9"/>
    <w:rsid w:val="003869CD"/>
    <w:rsid w:val="0039047D"/>
    <w:rsid w:val="003906FD"/>
    <w:rsid w:val="0039092B"/>
    <w:rsid w:val="00390BD9"/>
    <w:rsid w:val="00390F32"/>
    <w:rsid w:val="0039135E"/>
    <w:rsid w:val="00391867"/>
    <w:rsid w:val="003922B4"/>
    <w:rsid w:val="0039285D"/>
    <w:rsid w:val="003929DC"/>
    <w:rsid w:val="00392C17"/>
    <w:rsid w:val="0039319C"/>
    <w:rsid w:val="00393577"/>
    <w:rsid w:val="00393CAE"/>
    <w:rsid w:val="003945C3"/>
    <w:rsid w:val="003945F4"/>
    <w:rsid w:val="00394B30"/>
    <w:rsid w:val="00394EB5"/>
    <w:rsid w:val="003953B4"/>
    <w:rsid w:val="00395558"/>
    <w:rsid w:val="0039615F"/>
    <w:rsid w:val="003966A0"/>
    <w:rsid w:val="00396A29"/>
    <w:rsid w:val="00396DD1"/>
    <w:rsid w:val="00397BA9"/>
    <w:rsid w:val="00397FF0"/>
    <w:rsid w:val="003A0496"/>
    <w:rsid w:val="003A058E"/>
    <w:rsid w:val="003A0878"/>
    <w:rsid w:val="003A1561"/>
    <w:rsid w:val="003A1D25"/>
    <w:rsid w:val="003A22A2"/>
    <w:rsid w:val="003A2447"/>
    <w:rsid w:val="003A2AA1"/>
    <w:rsid w:val="003A31A5"/>
    <w:rsid w:val="003A329A"/>
    <w:rsid w:val="003A3603"/>
    <w:rsid w:val="003A3851"/>
    <w:rsid w:val="003A39DD"/>
    <w:rsid w:val="003A3EA0"/>
    <w:rsid w:val="003A40DB"/>
    <w:rsid w:val="003A4199"/>
    <w:rsid w:val="003A41C5"/>
    <w:rsid w:val="003A4A8E"/>
    <w:rsid w:val="003A4C7B"/>
    <w:rsid w:val="003A563C"/>
    <w:rsid w:val="003A581E"/>
    <w:rsid w:val="003A5E7E"/>
    <w:rsid w:val="003A6160"/>
    <w:rsid w:val="003A647A"/>
    <w:rsid w:val="003A65A5"/>
    <w:rsid w:val="003A65AC"/>
    <w:rsid w:val="003A65B8"/>
    <w:rsid w:val="003A72F5"/>
    <w:rsid w:val="003A78E5"/>
    <w:rsid w:val="003B0153"/>
    <w:rsid w:val="003B0341"/>
    <w:rsid w:val="003B1961"/>
    <w:rsid w:val="003B1E57"/>
    <w:rsid w:val="003B2662"/>
    <w:rsid w:val="003B26A6"/>
    <w:rsid w:val="003B2EF3"/>
    <w:rsid w:val="003B3E43"/>
    <w:rsid w:val="003B534F"/>
    <w:rsid w:val="003B5391"/>
    <w:rsid w:val="003B58CE"/>
    <w:rsid w:val="003B65D7"/>
    <w:rsid w:val="003B65E0"/>
    <w:rsid w:val="003B6BD4"/>
    <w:rsid w:val="003B6F4D"/>
    <w:rsid w:val="003B6FE7"/>
    <w:rsid w:val="003C0491"/>
    <w:rsid w:val="003C0C0F"/>
    <w:rsid w:val="003C0D1F"/>
    <w:rsid w:val="003C116A"/>
    <w:rsid w:val="003C14F0"/>
    <w:rsid w:val="003C1AF4"/>
    <w:rsid w:val="003C1CB8"/>
    <w:rsid w:val="003C21B1"/>
    <w:rsid w:val="003C22DA"/>
    <w:rsid w:val="003C2550"/>
    <w:rsid w:val="003C287F"/>
    <w:rsid w:val="003C2FB1"/>
    <w:rsid w:val="003C3339"/>
    <w:rsid w:val="003C375A"/>
    <w:rsid w:val="003C4317"/>
    <w:rsid w:val="003C4B46"/>
    <w:rsid w:val="003C4D9F"/>
    <w:rsid w:val="003C5247"/>
    <w:rsid w:val="003C5B02"/>
    <w:rsid w:val="003C5E8A"/>
    <w:rsid w:val="003C622C"/>
    <w:rsid w:val="003C6505"/>
    <w:rsid w:val="003C73C7"/>
    <w:rsid w:val="003C7CFB"/>
    <w:rsid w:val="003D02F3"/>
    <w:rsid w:val="003D050B"/>
    <w:rsid w:val="003D0B98"/>
    <w:rsid w:val="003D0C3C"/>
    <w:rsid w:val="003D0DE5"/>
    <w:rsid w:val="003D1351"/>
    <w:rsid w:val="003D21C1"/>
    <w:rsid w:val="003D2E69"/>
    <w:rsid w:val="003D3B15"/>
    <w:rsid w:val="003D3B2E"/>
    <w:rsid w:val="003D3F28"/>
    <w:rsid w:val="003D4101"/>
    <w:rsid w:val="003D41B1"/>
    <w:rsid w:val="003D484D"/>
    <w:rsid w:val="003D49CB"/>
    <w:rsid w:val="003D4F41"/>
    <w:rsid w:val="003D5429"/>
    <w:rsid w:val="003D5F10"/>
    <w:rsid w:val="003D65E0"/>
    <w:rsid w:val="003D6B8F"/>
    <w:rsid w:val="003D6E60"/>
    <w:rsid w:val="003D7566"/>
    <w:rsid w:val="003E0224"/>
    <w:rsid w:val="003E09BB"/>
    <w:rsid w:val="003E13D2"/>
    <w:rsid w:val="003E159D"/>
    <w:rsid w:val="003E20EA"/>
    <w:rsid w:val="003E210C"/>
    <w:rsid w:val="003E27F5"/>
    <w:rsid w:val="003E2F55"/>
    <w:rsid w:val="003E324A"/>
    <w:rsid w:val="003E34DB"/>
    <w:rsid w:val="003E36D8"/>
    <w:rsid w:val="003E3833"/>
    <w:rsid w:val="003E3AF9"/>
    <w:rsid w:val="003E4A70"/>
    <w:rsid w:val="003E4C48"/>
    <w:rsid w:val="003E4CD9"/>
    <w:rsid w:val="003E52C2"/>
    <w:rsid w:val="003E54B3"/>
    <w:rsid w:val="003E5780"/>
    <w:rsid w:val="003E5B9F"/>
    <w:rsid w:val="003E6049"/>
    <w:rsid w:val="003E6072"/>
    <w:rsid w:val="003E60D6"/>
    <w:rsid w:val="003E6AB6"/>
    <w:rsid w:val="003E6E0B"/>
    <w:rsid w:val="003E71CD"/>
    <w:rsid w:val="003E78DA"/>
    <w:rsid w:val="003E7A8B"/>
    <w:rsid w:val="003F02A2"/>
    <w:rsid w:val="003F051D"/>
    <w:rsid w:val="003F060E"/>
    <w:rsid w:val="003F0F7F"/>
    <w:rsid w:val="003F115C"/>
    <w:rsid w:val="003F153A"/>
    <w:rsid w:val="003F300D"/>
    <w:rsid w:val="003F391F"/>
    <w:rsid w:val="003F4599"/>
    <w:rsid w:val="003F45E1"/>
    <w:rsid w:val="003F4A61"/>
    <w:rsid w:val="003F4F6C"/>
    <w:rsid w:val="003F559E"/>
    <w:rsid w:val="003F6181"/>
    <w:rsid w:val="003F6BFC"/>
    <w:rsid w:val="003F7343"/>
    <w:rsid w:val="00400002"/>
    <w:rsid w:val="00400054"/>
    <w:rsid w:val="00400A1B"/>
    <w:rsid w:val="00400E06"/>
    <w:rsid w:val="00401533"/>
    <w:rsid w:val="004016A3"/>
    <w:rsid w:val="00401B31"/>
    <w:rsid w:val="0040202B"/>
    <w:rsid w:val="0040219D"/>
    <w:rsid w:val="00402ACD"/>
    <w:rsid w:val="00402DE1"/>
    <w:rsid w:val="00402EEB"/>
    <w:rsid w:val="00402FAF"/>
    <w:rsid w:val="004037C2"/>
    <w:rsid w:val="00404041"/>
    <w:rsid w:val="004040D4"/>
    <w:rsid w:val="00404B43"/>
    <w:rsid w:val="00404C61"/>
    <w:rsid w:val="004053EC"/>
    <w:rsid w:val="0040547B"/>
    <w:rsid w:val="00405487"/>
    <w:rsid w:val="00405B8A"/>
    <w:rsid w:val="0040602B"/>
    <w:rsid w:val="0040606C"/>
    <w:rsid w:val="004060DC"/>
    <w:rsid w:val="00406DF5"/>
    <w:rsid w:val="00406F35"/>
    <w:rsid w:val="00407325"/>
    <w:rsid w:val="004076A7"/>
    <w:rsid w:val="004077D0"/>
    <w:rsid w:val="00407937"/>
    <w:rsid w:val="00407A7A"/>
    <w:rsid w:val="00407ABC"/>
    <w:rsid w:val="00407AEF"/>
    <w:rsid w:val="00407F1E"/>
    <w:rsid w:val="00410A88"/>
    <w:rsid w:val="00410CC8"/>
    <w:rsid w:val="00411317"/>
    <w:rsid w:val="00411692"/>
    <w:rsid w:val="00411A9E"/>
    <w:rsid w:val="00412110"/>
    <w:rsid w:val="0041259F"/>
    <w:rsid w:val="00412B1B"/>
    <w:rsid w:val="00412B4D"/>
    <w:rsid w:val="00412C51"/>
    <w:rsid w:val="00413262"/>
    <w:rsid w:val="0041329C"/>
    <w:rsid w:val="004139F4"/>
    <w:rsid w:val="00413D35"/>
    <w:rsid w:val="00413FFA"/>
    <w:rsid w:val="00414246"/>
    <w:rsid w:val="0041463D"/>
    <w:rsid w:val="00414D9A"/>
    <w:rsid w:val="00415194"/>
    <w:rsid w:val="00415816"/>
    <w:rsid w:val="00415B88"/>
    <w:rsid w:val="00415D32"/>
    <w:rsid w:val="004160A2"/>
    <w:rsid w:val="0041674B"/>
    <w:rsid w:val="004170D7"/>
    <w:rsid w:val="004177A6"/>
    <w:rsid w:val="00417C23"/>
    <w:rsid w:val="00417EFD"/>
    <w:rsid w:val="004200EE"/>
    <w:rsid w:val="00420547"/>
    <w:rsid w:val="00420786"/>
    <w:rsid w:val="004207F3"/>
    <w:rsid w:val="004209D2"/>
    <w:rsid w:val="00420BBA"/>
    <w:rsid w:val="00420D6E"/>
    <w:rsid w:val="00420F50"/>
    <w:rsid w:val="0042158C"/>
    <w:rsid w:val="00421617"/>
    <w:rsid w:val="004217A7"/>
    <w:rsid w:val="00421BD2"/>
    <w:rsid w:val="00421E00"/>
    <w:rsid w:val="00421FCB"/>
    <w:rsid w:val="0042226E"/>
    <w:rsid w:val="00422DCA"/>
    <w:rsid w:val="00423D04"/>
    <w:rsid w:val="00423F9F"/>
    <w:rsid w:val="004243B7"/>
    <w:rsid w:val="00425B2E"/>
    <w:rsid w:val="00425C43"/>
    <w:rsid w:val="00426CFB"/>
    <w:rsid w:val="004273FA"/>
    <w:rsid w:val="004275A7"/>
    <w:rsid w:val="0042773E"/>
    <w:rsid w:val="004278D8"/>
    <w:rsid w:val="00430186"/>
    <w:rsid w:val="00430D44"/>
    <w:rsid w:val="00430DD2"/>
    <w:rsid w:val="00430F17"/>
    <w:rsid w:val="00431CC7"/>
    <w:rsid w:val="00431F03"/>
    <w:rsid w:val="0043260C"/>
    <w:rsid w:val="0043269A"/>
    <w:rsid w:val="00432E92"/>
    <w:rsid w:val="004333C2"/>
    <w:rsid w:val="00434787"/>
    <w:rsid w:val="00434C13"/>
    <w:rsid w:val="00434D8B"/>
    <w:rsid w:val="00435294"/>
    <w:rsid w:val="00435703"/>
    <w:rsid w:val="00435BD5"/>
    <w:rsid w:val="00436323"/>
    <w:rsid w:val="0043683F"/>
    <w:rsid w:val="00436F40"/>
    <w:rsid w:val="004370FA"/>
    <w:rsid w:val="0043741B"/>
    <w:rsid w:val="00437506"/>
    <w:rsid w:val="00437AF3"/>
    <w:rsid w:val="00440096"/>
    <w:rsid w:val="004403DD"/>
    <w:rsid w:val="00440CF3"/>
    <w:rsid w:val="00440DB0"/>
    <w:rsid w:val="00440DDC"/>
    <w:rsid w:val="00440FAD"/>
    <w:rsid w:val="00441291"/>
    <w:rsid w:val="00441E04"/>
    <w:rsid w:val="004420AB"/>
    <w:rsid w:val="004422D6"/>
    <w:rsid w:val="004427AC"/>
    <w:rsid w:val="00442C7D"/>
    <w:rsid w:val="00442D13"/>
    <w:rsid w:val="00442D4D"/>
    <w:rsid w:val="00443259"/>
    <w:rsid w:val="0044361F"/>
    <w:rsid w:val="0044374D"/>
    <w:rsid w:val="00443B55"/>
    <w:rsid w:val="00443D27"/>
    <w:rsid w:val="00444D7D"/>
    <w:rsid w:val="0044500B"/>
    <w:rsid w:val="004451C5"/>
    <w:rsid w:val="00446037"/>
    <w:rsid w:val="00446270"/>
    <w:rsid w:val="0044642F"/>
    <w:rsid w:val="004466BA"/>
    <w:rsid w:val="00446709"/>
    <w:rsid w:val="00446922"/>
    <w:rsid w:val="0044772C"/>
    <w:rsid w:val="00450846"/>
    <w:rsid w:val="004518B0"/>
    <w:rsid w:val="00451A52"/>
    <w:rsid w:val="0045271D"/>
    <w:rsid w:val="00452755"/>
    <w:rsid w:val="00452803"/>
    <w:rsid w:val="004529C6"/>
    <w:rsid w:val="00452A7C"/>
    <w:rsid w:val="00452EAD"/>
    <w:rsid w:val="004533D1"/>
    <w:rsid w:val="004534D1"/>
    <w:rsid w:val="004540B8"/>
    <w:rsid w:val="00454548"/>
    <w:rsid w:val="00454717"/>
    <w:rsid w:val="00454DF8"/>
    <w:rsid w:val="00455004"/>
    <w:rsid w:val="00455047"/>
    <w:rsid w:val="00455354"/>
    <w:rsid w:val="0045558D"/>
    <w:rsid w:val="00455BD3"/>
    <w:rsid w:val="004567DA"/>
    <w:rsid w:val="00456970"/>
    <w:rsid w:val="00456BB1"/>
    <w:rsid w:val="00456CD4"/>
    <w:rsid w:val="00456DDB"/>
    <w:rsid w:val="00456E61"/>
    <w:rsid w:val="00457031"/>
    <w:rsid w:val="00460915"/>
    <w:rsid w:val="00460946"/>
    <w:rsid w:val="00460B4F"/>
    <w:rsid w:val="004614A9"/>
    <w:rsid w:val="00461E97"/>
    <w:rsid w:val="004622A6"/>
    <w:rsid w:val="0046268F"/>
    <w:rsid w:val="0046284F"/>
    <w:rsid w:val="00462B10"/>
    <w:rsid w:val="00462C04"/>
    <w:rsid w:val="0046320A"/>
    <w:rsid w:val="00463347"/>
    <w:rsid w:val="004633EC"/>
    <w:rsid w:val="004636CC"/>
    <w:rsid w:val="004638E2"/>
    <w:rsid w:val="00463B3C"/>
    <w:rsid w:val="00464030"/>
    <w:rsid w:val="004647F8"/>
    <w:rsid w:val="004647FB"/>
    <w:rsid w:val="00465347"/>
    <w:rsid w:val="00465677"/>
    <w:rsid w:val="00465F67"/>
    <w:rsid w:val="00466616"/>
    <w:rsid w:val="00466A0C"/>
    <w:rsid w:val="00466A53"/>
    <w:rsid w:val="00466C74"/>
    <w:rsid w:val="00467E2F"/>
    <w:rsid w:val="0047072B"/>
    <w:rsid w:val="00470A6A"/>
    <w:rsid w:val="00470D73"/>
    <w:rsid w:val="00470D92"/>
    <w:rsid w:val="00471DF7"/>
    <w:rsid w:val="00472512"/>
    <w:rsid w:val="004727B1"/>
    <w:rsid w:val="004734CF"/>
    <w:rsid w:val="00473F33"/>
    <w:rsid w:val="0047480D"/>
    <w:rsid w:val="0047586C"/>
    <w:rsid w:val="00475C5A"/>
    <w:rsid w:val="00475C9C"/>
    <w:rsid w:val="0047676B"/>
    <w:rsid w:val="00476D6A"/>
    <w:rsid w:val="004774C3"/>
    <w:rsid w:val="0047773C"/>
    <w:rsid w:val="00477C5F"/>
    <w:rsid w:val="00480050"/>
    <w:rsid w:val="0048011C"/>
    <w:rsid w:val="004808DE"/>
    <w:rsid w:val="00480F9A"/>
    <w:rsid w:val="00481912"/>
    <w:rsid w:val="00481AC4"/>
    <w:rsid w:val="00481DC1"/>
    <w:rsid w:val="0048207F"/>
    <w:rsid w:val="00482157"/>
    <w:rsid w:val="00482507"/>
    <w:rsid w:val="0048268A"/>
    <w:rsid w:val="00482A64"/>
    <w:rsid w:val="004835CA"/>
    <w:rsid w:val="004836F8"/>
    <w:rsid w:val="004836FE"/>
    <w:rsid w:val="0048478C"/>
    <w:rsid w:val="00484A39"/>
    <w:rsid w:val="00484F0F"/>
    <w:rsid w:val="00484F40"/>
    <w:rsid w:val="0048540C"/>
    <w:rsid w:val="00485E3F"/>
    <w:rsid w:val="004861B4"/>
    <w:rsid w:val="00486226"/>
    <w:rsid w:val="004862CD"/>
    <w:rsid w:val="00486BD0"/>
    <w:rsid w:val="00486D00"/>
    <w:rsid w:val="00486FF7"/>
    <w:rsid w:val="00487263"/>
    <w:rsid w:val="0048734F"/>
    <w:rsid w:val="0049029D"/>
    <w:rsid w:val="0049030C"/>
    <w:rsid w:val="004903C0"/>
    <w:rsid w:val="0049114B"/>
    <w:rsid w:val="004912A8"/>
    <w:rsid w:val="00491577"/>
    <w:rsid w:val="004918E1"/>
    <w:rsid w:val="0049196A"/>
    <w:rsid w:val="0049196E"/>
    <w:rsid w:val="00491C74"/>
    <w:rsid w:val="0049241A"/>
    <w:rsid w:val="00492844"/>
    <w:rsid w:val="00492C1F"/>
    <w:rsid w:val="00492E4C"/>
    <w:rsid w:val="00493664"/>
    <w:rsid w:val="00493870"/>
    <w:rsid w:val="004938FD"/>
    <w:rsid w:val="00493E04"/>
    <w:rsid w:val="004940E3"/>
    <w:rsid w:val="004941CD"/>
    <w:rsid w:val="0049530F"/>
    <w:rsid w:val="004954AB"/>
    <w:rsid w:val="00495553"/>
    <w:rsid w:val="00496664"/>
    <w:rsid w:val="00496786"/>
    <w:rsid w:val="0049695B"/>
    <w:rsid w:val="00496AC4"/>
    <w:rsid w:val="00496D8F"/>
    <w:rsid w:val="00497463"/>
    <w:rsid w:val="00497CED"/>
    <w:rsid w:val="004A054C"/>
    <w:rsid w:val="004A0834"/>
    <w:rsid w:val="004A08D1"/>
    <w:rsid w:val="004A0FA9"/>
    <w:rsid w:val="004A10A0"/>
    <w:rsid w:val="004A16C1"/>
    <w:rsid w:val="004A1CE2"/>
    <w:rsid w:val="004A1D75"/>
    <w:rsid w:val="004A34D2"/>
    <w:rsid w:val="004A4301"/>
    <w:rsid w:val="004A4D93"/>
    <w:rsid w:val="004A546E"/>
    <w:rsid w:val="004A58EE"/>
    <w:rsid w:val="004A59B7"/>
    <w:rsid w:val="004A6051"/>
    <w:rsid w:val="004A623B"/>
    <w:rsid w:val="004A6A04"/>
    <w:rsid w:val="004A6A52"/>
    <w:rsid w:val="004B0A44"/>
    <w:rsid w:val="004B0F0B"/>
    <w:rsid w:val="004B205A"/>
    <w:rsid w:val="004B2197"/>
    <w:rsid w:val="004B25D8"/>
    <w:rsid w:val="004B298A"/>
    <w:rsid w:val="004B2BB8"/>
    <w:rsid w:val="004B2F47"/>
    <w:rsid w:val="004B3152"/>
    <w:rsid w:val="004B50CB"/>
    <w:rsid w:val="004B578D"/>
    <w:rsid w:val="004B5BE7"/>
    <w:rsid w:val="004B5E2D"/>
    <w:rsid w:val="004B65D9"/>
    <w:rsid w:val="004B6C07"/>
    <w:rsid w:val="004B74D3"/>
    <w:rsid w:val="004B755E"/>
    <w:rsid w:val="004B788E"/>
    <w:rsid w:val="004B7E5D"/>
    <w:rsid w:val="004C0947"/>
    <w:rsid w:val="004C0BF9"/>
    <w:rsid w:val="004C1198"/>
    <w:rsid w:val="004C22F7"/>
    <w:rsid w:val="004C234B"/>
    <w:rsid w:val="004C2B27"/>
    <w:rsid w:val="004C3929"/>
    <w:rsid w:val="004C3EB1"/>
    <w:rsid w:val="004C4160"/>
    <w:rsid w:val="004C5212"/>
    <w:rsid w:val="004C5EF0"/>
    <w:rsid w:val="004C64C9"/>
    <w:rsid w:val="004C7226"/>
    <w:rsid w:val="004C74BD"/>
    <w:rsid w:val="004C74C9"/>
    <w:rsid w:val="004C764F"/>
    <w:rsid w:val="004C76AA"/>
    <w:rsid w:val="004C7915"/>
    <w:rsid w:val="004C7D70"/>
    <w:rsid w:val="004D02F9"/>
    <w:rsid w:val="004D03FE"/>
    <w:rsid w:val="004D0446"/>
    <w:rsid w:val="004D06A3"/>
    <w:rsid w:val="004D0F95"/>
    <w:rsid w:val="004D106A"/>
    <w:rsid w:val="004D15C7"/>
    <w:rsid w:val="004D1653"/>
    <w:rsid w:val="004D1C7E"/>
    <w:rsid w:val="004D245A"/>
    <w:rsid w:val="004D29D2"/>
    <w:rsid w:val="004D31EE"/>
    <w:rsid w:val="004D36AF"/>
    <w:rsid w:val="004D3BD1"/>
    <w:rsid w:val="004D3C52"/>
    <w:rsid w:val="004D4BA1"/>
    <w:rsid w:val="004D584D"/>
    <w:rsid w:val="004D5A7E"/>
    <w:rsid w:val="004D5E72"/>
    <w:rsid w:val="004D6120"/>
    <w:rsid w:val="004D6826"/>
    <w:rsid w:val="004D7497"/>
    <w:rsid w:val="004D7F7A"/>
    <w:rsid w:val="004E023F"/>
    <w:rsid w:val="004E0546"/>
    <w:rsid w:val="004E0556"/>
    <w:rsid w:val="004E0742"/>
    <w:rsid w:val="004E0C64"/>
    <w:rsid w:val="004E0F6B"/>
    <w:rsid w:val="004E1545"/>
    <w:rsid w:val="004E1F1C"/>
    <w:rsid w:val="004E2A35"/>
    <w:rsid w:val="004E2CCF"/>
    <w:rsid w:val="004E3B71"/>
    <w:rsid w:val="004E40CE"/>
    <w:rsid w:val="004E5736"/>
    <w:rsid w:val="004E5A3C"/>
    <w:rsid w:val="004E5B36"/>
    <w:rsid w:val="004E5D5D"/>
    <w:rsid w:val="004E6045"/>
    <w:rsid w:val="004E6F43"/>
    <w:rsid w:val="004E71B7"/>
    <w:rsid w:val="004E7200"/>
    <w:rsid w:val="004E7729"/>
    <w:rsid w:val="004E787E"/>
    <w:rsid w:val="004E7AA1"/>
    <w:rsid w:val="004F0805"/>
    <w:rsid w:val="004F0960"/>
    <w:rsid w:val="004F0A5C"/>
    <w:rsid w:val="004F0BF2"/>
    <w:rsid w:val="004F1596"/>
    <w:rsid w:val="004F163F"/>
    <w:rsid w:val="004F18A0"/>
    <w:rsid w:val="004F1A08"/>
    <w:rsid w:val="004F2364"/>
    <w:rsid w:val="004F2B64"/>
    <w:rsid w:val="004F2C6F"/>
    <w:rsid w:val="004F31B8"/>
    <w:rsid w:val="004F375E"/>
    <w:rsid w:val="004F3764"/>
    <w:rsid w:val="004F3EEF"/>
    <w:rsid w:val="004F44D8"/>
    <w:rsid w:val="004F5180"/>
    <w:rsid w:val="004F5634"/>
    <w:rsid w:val="004F57C9"/>
    <w:rsid w:val="004F5930"/>
    <w:rsid w:val="004F5970"/>
    <w:rsid w:val="004F5D98"/>
    <w:rsid w:val="004F5F0C"/>
    <w:rsid w:val="004F6121"/>
    <w:rsid w:val="004F6161"/>
    <w:rsid w:val="004F66BC"/>
    <w:rsid w:val="004F6C26"/>
    <w:rsid w:val="004F7AC9"/>
    <w:rsid w:val="004F7E04"/>
    <w:rsid w:val="0050062F"/>
    <w:rsid w:val="00500E74"/>
    <w:rsid w:val="0050160F"/>
    <w:rsid w:val="0050284E"/>
    <w:rsid w:val="00502E86"/>
    <w:rsid w:val="0050306F"/>
    <w:rsid w:val="00503534"/>
    <w:rsid w:val="00503A17"/>
    <w:rsid w:val="005042E8"/>
    <w:rsid w:val="0050459C"/>
    <w:rsid w:val="00505892"/>
    <w:rsid w:val="00505AFB"/>
    <w:rsid w:val="00505DCB"/>
    <w:rsid w:val="0050674C"/>
    <w:rsid w:val="00507066"/>
    <w:rsid w:val="005075CA"/>
    <w:rsid w:val="00507B06"/>
    <w:rsid w:val="00507BF1"/>
    <w:rsid w:val="0051074C"/>
    <w:rsid w:val="005107E3"/>
    <w:rsid w:val="00510DE9"/>
    <w:rsid w:val="005111E2"/>
    <w:rsid w:val="00511231"/>
    <w:rsid w:val="00511368"/>
    <w:rsid w:val="00511430"/>
    <w:rsid w:val="005115FD"/>
    <w:rsid w:val="00511741"/>
    <w:rsid w:val="00512BC0"/>
    <w:rsid w:val="00512C4F"/>
    <w:rsid w:val="00513042"/>
    <w:rsid w:val="00513240"/>
    <w:rsid w:val="0051334F"/>
    <w:rsid w:val="00513399"/>
    <w:rsid w:val="00513795"/>
    <w:rsid w:val="00513AF2"/>
    <w:rsid w:val="00514575"/>
    <w:rsid w:val="00514579"/>
    <w:rsid w:val="00514C03"/>
    <w:rsid w:val="00514D67"/>
    <w:rsid w:val="00514F2F"/>
    <w:rsid w:val="0051522A"/>
    <w:rsid w:val="00515515"/>
    <w:rsid w:val="0051635C"/>
    <w:rsid w:val="00516C5B"/>
    <w:rsid w:val="00517612"/>
    <w:rsid w:val="00517CFB"/>
    <w:rsid w:val="00517F85"/>
    <w:rsid w:val="0052002F"/>
    <w:rsid w:val="00520235"/>
    <w:rsid w:val="00520340"/>
    <w:rsid w:val="00520899"/>
    <w:rsid w:val="00520922"/>
    <w:rsid w:val="005209FC"/>
    <w:rsid w:val="00520C09"/>
    <w:rsid w:val="00520EC1"/>
    <w:rsid w:val="00521292"/>
    <w:rsid w:val="00521A30"/>
    <w:rsid w:val="00521D7C"/>
    <w:rsid w:val="00521EA7"/>
    <w:rsid w:val="005224E5"/>
    <w:rsid w:val="00522759"/>
    <w:rsid w:val="0052311A"/>
    <w:rsid w:val="00523854"/>
    <w:rsid w:val="00523903"/>
    <w:rsid w:val="005239B6"/>
    <w:rsid w:val="00523C45"/>
    <w:rsid w:val="00523F41"/>
    <w:rsid w:val="00524165"/>
    <w:rsid w:val="005244FC"/>
    <w:rsid w:val="005246E7"/>
    <w:rsid w:val="00524B08"/>
    <w:rsid w:val="00524C38"/>
    <w:rsid w:val="00524FD2"/>
    <w:rsid w:val="005255D6"/>
    <w:rsid w:val="00525621"/>
    <w:rsid w:val="00526431"/>
    <w:rsid w:val="00527440"/>
    <w:rsid w:val="00527532"/>
    <w:rsid w:val="005279B9"/>
    <w:rsid w:val="00527DEB"/>
    <w:rsid w:val="00527E57"/>
    <w:rsid w:val="00527F2C"/>
    <w:rsid w:val="00530405"/>
    <w:rsid w:val="00530458"/>
    <w:rsid w:val="00530522"/>
    <w:rsid w:val="005305E5"/>
    <w:rsid w:val="0053086F"/>
    <w:rsid w:val="00530CBA"/>
    <w:rsid w:val="00530F38"/>
    <w:rsid w:val="00531F26"/>
    <w:rsid w:val="00531F75"/>
    <w:rsid w:val="00532501"/>
    <w:rsid w:val="0053277C"/>
    <w:rsid w:val="005327C0"/>
    <w:rsid w:val="00533101"/>
    <w:rsid w:val="00533750"/>
    <w:rsid w:val="00533CA9"/>
    <w:rsid w:val="005346AD"/>
    <w:rsid w:val="00534EFB"/>
    <w:rsid w:val="00534F60"/>
    <w:rsid w:val="0053524B"/>
    <w:rsid w:val="005357F1"/>
    <w:rsid w:val="005357FA"/>
    <w:rsid w:val="005359EF"/>
    <w:rsid w:val="00535C73"/>
    <w:rsid w:val="00535D15"/>
    <w:rsid w:val="00536053"/>
    <w:rsid w:val="005363C6"/>
    <w:rsid w:val="005367B6"/>
    <w:rsid w:val="005369E6"/>
    <w:rsid w:val="005371AC"/>
    <w:rsid w:val="00537672"/>
    <w:rsid w:val="005376B5"/>
    <w:rsid w:val="0053772F"/>
    <w:rsid w:val="00537A70"/>
    <w:rsid w:val="00537B64"/>
    <w:rsid w:val="00537B77"/>
    <w:rsid w:val="00540048"/>
    <w:rsid w:val="00540C4C"/>
    <w:rsid w:val="00541381"/>
    <w:rsid w:val="00541469"/>
    <w:rsid w:val="00541571"/>
    <w:rsid w:val="005416CA"/>
    <w:rsid w:val="005419DA"/>
    <w:rsid w:val="00541B1F"/>
    <w:rsid w:val="0054275A"/>
    <w:rsid w:val="005428B8"/>
    <w:rsid w:val="005428BE"/>
    <w:rsid w:val="00542BD7"/>
    <w:rsid w:val="00543084"/>
    <w:rsid w:val="00543584"/>
    <w:rsid w:val="00543A9E"/>
    <w:rsid w:val="0054413A"/>
    <w:rsid w:val="00544288"/>
    <w:rsid w:val="005446BB"/>
    <w:rsid w:val="00544DA5"/>
    <w:rsid w:val="00544F43"/>
    <w:rsid w:val="00545997"/>
    <w:rsid w:val="00545E30"/>
    <w:rsid w:val="00545EA3"/>
    <w:rsid w:val="00546C9B"/>
    <w:rsid w:val="00547378"/>
    <w:rsid w:val="005474DA"/>
    <w:rsid w:val="00547778"/>
    <w:rsid w:val="00547BF6"/>
    <w:rsid w:val="00547FB3"/>
    <w:rsid w:val="005502B3"/>
    <w:rsid w:val="00551098"/>
    <w:rsid w:val="00551598"/>
    <w:rsid w:val="0055162B"/>
    <w:rsid w:val="00551A56"/>
    <w:rsid w:val="00551B40"/>
    <w:rsid w:val="00551BFF"/>
    <w:rsid w:val="00551D68"/>
    <w:rsid w:val="00551DFF"/>
    <w:rsid w:val="005525C9"/>
    <w:rsid w:val="00552B3E"/>
    <w:rsid w:val="00553A23"/>
    <w:rsid w:val="00554578"/>
    <w:rsid w:val="00554B00"/>
    <w:rsid w:val="00554D57"/>
    <w:rsid w:val="00554D6E"/>
    <w:rsid w:val="005551AA"/>
    <w:rsid w:val="00555239"/>
    <w:rsid w:val="005557FA"/>
    <w:rsid w:val="00555BCE"/>
    <w:rsid w:val="005564CA"/>
    <w:rsid w:val="005568BD"/>
    <w:rsid w:val="005568EA"/>
    <w:rsid w:val="00557140"/>
    <w:rsid w:val="0055715A"/>
    <w:rsid w:val="0055729E"/>
    <w:rsid w:val="00557968"/>
    <w:rsid w:val="00557984"/>
    <w:rsid w:val="00557A3F"/>
    <w:rsid w:val="00560BC1"/>
    <w:rsid w:val="00560C87"/>
    <w:rsid w:val="00560F51"/>
    <w:rsid w:val="00561249"/>
    <w:rsid w:val="0056182B"/>
    <w:rsid w:val="00561A88"/>
    <w:rsid w:val="00561AF3"/>
    <w:rsid w:val="00561E0B"/>
    <w:rsid w:val="00562141"/>
    <w:rsid w:val="00562D86"/>
    <w:rsid w:val="00563161"/>
    <w:rsid w:val="005640CA"/>
    <w:rsid w:val="00564704"/>
    <w:rsid w:val="00564712"/>
    <w:rsid w:val="0056510A"/>
    <w:rsid w:val="005651C7"/>
    <w:rsid w:val="005657A8"/>
    <w:rsid w:val="00565952"/>
    <w:rsid w:val="00566866"/>
    <w:rsid w:val="005670A5"/>
    <w:rsid w:val="00567285"/>
    <w:rsid w:val="00567723"/>
    <w:rsid w:val="0056772D"/>
    <w:rsid w:val="005678F5"/>
    <w:rsid w:val="00567AB8"/>
    <w:rsid w:val="00570A26"/>
    <w:rsid w:val="00570CFD"/>
    <w:rsid w:val="0057104B"/>
    <w:rsid w:val="0057179E"/>
    <w:rsid w:val="00571872"/>
    <w:rsid w:val="0057221F"/>
    <w:rsid w:val="00572421"/>
    <w:rsid w:val="00572539"/>
    <w:rsid w:val="00572959"/>
    <w:rsid w:val="00572AEA"/>
    <w:rsid w:val="00573355"/>
    <w:rsid w:val="0057337D"/>
    <w:rsid w:val="00573504"/>
    <w:rsid w:val="0057355F"/>
    <w:rsid w:val="005737DA"/>
    <w:rsid w:val="00573BA3"/>
    <w:rsid w:val="00574708"/>
    <w:rsid w:val="00574D81"/>
    <w:rsid w:val="005756AA"/>
    <w:rsid w:val="00576186"/>
    <w:rsid w:val="0057696F"/>
    <w:rsid w:val="00576C8A"/>
    <w:rsid w:val="00576D0E"/>
    <w:rsid w:val="005774FE"/>
    <w:rsid w:val="0058040C"/>
    <w:rsid w:val="00580D6D"/>
    <w:rsid w:val="00580FD8"/>
    <w:rsid w:val="005813DE"/>
    <w:rsid w:val="00581796"/>
    <w:rsid w:val="0058195C"/>
    <w:rsid w:val="00581B45"/>
    <w:rsid w:val="00581FDB"/>
    <w:rsid w:val="00582361"/>
    <w:rsid w:val="00582480"/>
    <w:rsid w:val="005826A5"/>
    <w:rsid w:val="00582805"/>
    <w:rsid w:val="0058290E"/>
    <w:rsid w:val="00582CAB"/>
    <w:rsid w:val="00582DCD"/>
    <w:rsid w:val="00582FA6"/>
    <w:rsid w:val="005836D5"/>
    <w:rsid w:val="0058375E"/>
    <w:rsid w:val="0058394B"/>
    <w:rsid w:val="00584233"/>
    <w:rsid w:val="005842D0"/>
    <w:rsid w:val="005845FB"/>
    <w:rsid w:val="005855AE"/>
    <w:rsid w:val="00585829"/>
    <w:rsid w:val="00585CA8"/>
    <w:rsid w:val="00585E80"/>
    <w:rsid w:val="00586412"/>
    <w:rsid w:val="005864B9"/>
    <w:rsid w:val="00586564"/>
    <w:rsid w:val="005866C4"/>
    <w:rsid w:val="00590F1A"/>
    <w:rsid w:val="00591911"/>
    <w:rsid w:val="00591C03"/>
    <w:rsid w:val="00591E2A"/>
    <w:rsid w:val="005923C4"/>
    <w:rsid w:val="0059397D"/>
    <w:rsid w:val="00593EA2"/>
    <w:rsid w:val="00593F75"/>
    <w:rsid w:val="005940A0"/>
    <w:rsid w:val="0059429A"/>
    <w:rsid w:val="005945A4"/>
    <w:rsid w:val="00594CBE"/>
    <w:rsid w:val="00594FDC"/>
    <w:rsid w:val="00595197"/>
    <w:rsid w:val="00595561"/>
    <w:rsid w:val="00596AF7"/>
    <w:rsid w:val="00596CCE"/>
    <w:rsid w:val="00597516"/>
    <w:rsid w:val="00597ADC"/>
    <w:rsid w:val="005A13F5"/>
    <w:rsid w:val="005A1976"/>
    <w:rsid w:val="005A1F51"/>
    <w:rsid w:val="005A2120"/>
    <w:rsid w:val="005A2130"/>
    <w:rsid w:val="005A2501"/>
    <w:rsid w:val="005A2C80"/>
    <w:rsid w:val="005A3066"/>
    <w:rsid w:val="005A3B35"/>
    <w:rsid w:val="005A3C4B"/>
    <w:rsid w:val="005A3E5A"/>
    <w:rsid w:val="005A43F3"/>
    <w:rsid w:val="005A496F"/>
    <w:rsid w:val="005A4A56"/>
    <w:rsid w:val="005A5608"/>
    <w:rsid w:val="005A5A3D"/>
    <w:rsid w:val="005A6035"/>
    <w:rsid w:val="005A6886"/>
    <w:rsid w:val="005A6B75"/>
    <w:rsid w:val="005A6E00"/>
    <w:rsid w:val="005A718A"/>
    <w:rsid w:val="005A72DD"/>
    <w:rsid w:val="005A7885"/>
    <w:rsid w:val="005B12B2"/>
    <w:rsid w:val="005B143B"/>
    <w:rsid w:val="005B19BD"/>
    <w:rsid w:val="005B1E45"/>
    <w:rsid w:val="005B21C4"/>
    <w:rsid w:val="005B2A28"/>
    <w:rsid w:val="005B2C7D"/>
    <w:rsid w:val="005B35AB"/>
    <w:rsid w:val="005B3621"/>
    <w:rsid w:val="005B3A88"/>
    <w:rsid w:val="005B3EBE"/>
    <w:rsid w:val="005B4419"/>
    <w:rsid w:val="005B4948"/>
    <w:rsid w:val="005B501D"/>
    <w:rsid w:val="005B52B0"/>
    <w:rsid w:val="005B54CC"/>
    <w:rsid w:val="005B61AD"/>
    <w:rsid w:val="005B6C2A"/>
    <w:rsid w:val="005B71BB"/>
    <w:rsid w:val="005B741C"/>
    <w:rsid w:val="005B74AD"/>
    <w:rsid w:val="005B76B3"/>
    <w:rsid w:val="005B7E96"/>
    <w:rsid w:val="005C0429"/>
    <w:rsid w:val="005C06A5"/>
    <w:rsid w:val="005C084F"/>
    <w:rsid w:val="005C0EE9"/>
    <w:rsid w:val="005C169F"/>
    <w:rsid w:val="005C16A8"/>
    <w:rsid w:val="005C1716"/>
    <w:rsid w:val="005C1753"/>
    <w:rsid w:val="005C1954"/>
    <w:rsid w:val="005C1C0B"/>
    <w:rsid w:val="005C2011"/>
    <w:rsid w:val="005C3EA3"/>
    <w:rsid w:val="005C44DE"/>
    <w:rsid w:val="005C5011"/>
    <w:rsid w:val="005C506F"/>
    <w:rsid w:val="005C514F"/>
    <w:rsid w:val="005C5241"/>
    <w:rsid w:val="005C529E"/>
    <w:rsid w:val="005C57BA"/>
    <w:rsid w:val="005C5C52"/>
    <w:rsid w:val="005C5D3D"/>
    <w:rsid w:val="005C5F05"/>
    <w:rsid w:val="005C6186"/>
    <w:rsid w:val="005C6397"/>
    <w:rsid w:val="005C64D6"/>
    <w:rsid w:val="005C6CF7"/>
    <w:rsid w:val="005C6D19"/>
    <w:rsid w:val="005C721D"/>
    <w:rsid w:val="005C7E45"/>
    <w:rsid w:val="005C7F3E"/>
    <w:rsid w:val="005D06D3"/>
    <w:rsid w:val="005D0C3B"/>
    <w:rsid w:val="005D0C87"/>
    <w:rsid w:val="005D103E"/>
    <w:rsid w:val="005D1051"/>
    <w:rsid w:val="005D1606"/>
    <w:rsid w:val="005D170F"/>
    <w:rsid w:val="005D1C70"/>
    <w:rsid w:val="005D1D10"/>
    <w:rsid w:val="005D2044"/>
    <w:rsid w:val="005D209E"/>
    <w:rsid w:val="005D2917"/>
    <w:rsid w:val="005D2EB2"/>
    <w:rsid w:val="005D2F48"/>
    <w:rsid w:val="005D30AE"/>
    <w:rsid w:val="005D33C2"/>
    <w:rsid w:val="005D3B32"/>
    <w:rsid w:val="005D3E5C"/>
    <w:rsid w:val="005D464B"/>
    <w:rsid w:val="005D466F"/>
    <w:rsid w:val="005D49F0"/>
    <w:rsid w:val="005D51F7"/>
    <w:rsid w:val="005D51FA"/>
    <w:rsid w:val="005D53E8"/>
    <w:rsid w:val="005D5A9D"/>
    <w:rsid w:val="005D5D15"/>
    <w:rsid w:val="005D6651"/>
    <w:rsid w:val="005D691D"/>
    <w:rsid w:val="005D6A72"/>
    <w:rsid w:val="005D6F38"/>
    <w:rsid w:val="005D7452"/>
    <w:rsid w:val="005D791B"/>
    <w:rsid w:val="005D7CF2"/>
    <w:rsid w:val="005D7F92"/>
    <w:rsid w:val="005E003C"/>
    <w:rsid w:val="005E04C5"/>
    <w:rsid w:val="005E062C"/>
    <w:rsid w:val="005E0D7B"/>
    <w:rsid w:val="005E1595"/>
    <w:rsid w:val="005E1F1D"/>
    <w:rsid w:val="005E2694"/>
    <w:rsid w:val="005E273D"/>
    <w:rsid w:val="005E3278"/>
    <w:rsid w:val="005E363B"/>
    <w:rsid w:val="005E3736"/>
    <w:rsid w:val="005E4B72"/>
    <w:rsid w:val="005E52C9"/>
    <w:rsid w:val="005E6342"/>
    <w:rsid w:val="005E665F"/>
    <w:rsid w:val="005E717E"/>
    <w:rsid w:val="005E781C"/>
    <w:rsid w:val="005F0B10"/>
    <w:rsid w:val="005F2D8B"/>
    <w:rsid w:val="005F305B"/>
    <w:rsid w:val="005F3361"/>
    <w:rsid w:val="005F361A"/>
    <w:rsid w:val="005F370A"/>
    <w:rsid w:val="005F3B47"/>
    <w:rsid w:val="005F3E43"/>
    <w:rsid w:val="005F4481"/>
    <w:rsid w:val="005F467E"/>
    <w:rsid w:val="005F47AC"/>
    <w:rsid w:val="005F49AF"/>
    <w:rsid w:val="005F4A58"/>
    <w:rsid w:val="005F54DF"/>
    <w:rsid w:val="005F5888"/>
    <w:rsid w:val="005F5935"/>
    <w:rsid w:val="005F5984"/>
    <w:rsid w:val="005F5EAB"/>
    <w:rsid w:val="005F6CE2"/>
    <w:rsid w:val="005F6EC8"/>
    <w:rsid w:val="005F6F24"/>
    <w:rsid w:val="005F7112"/>
    <w:rsid w:val="005F72E9"/>
    <w:rsid w:val="005F780B"/>
    <w:rsid w:val="005F7DE2"/>
    <w:rsid w:val="0060009C"/>
    <w:rsid w:val="00600473"/>
    <w:rsid w:val="00600516"/>
    <w:rsid w:val="00601055"/>
    <w:rsid w:val="0060139A"/>
    <w:rsid w:val="006013C9"/>
    <w:rsid w:val="00601624"/>
    <w:rsid w:val="00601A39"/>
    <w:rsid w:val="00602931"/>
    <w:rsid w:val="00602B45"/>
    <w:rsid w:val="00603499"/>
    <w:rsid w:val="006035F5"/>
    <w:rsid w:val="00603CC2"/>
    <w:rsid w:val="00604622"/>
    <w:rsid w:val="006047D1"/>
    <w:rsid w:val="006048A4"/>
    <w:rsid w:val="00604A55"/>
    <w:rsid w:val="00604D4E"/>
    <w:rsid w:val="00604E3E"/>
    <w:rsid w:val="00605AC3"/>
    <w:rsid w:val="00606908"/>
    <w:rsid w:val="0060691B"/>
    <w:rsid w:val="00607860"/>
    <w:rsid w:val="00607996"/>
    <w:rsid w:val="00607A37"/>
    <w:rsid w:val="00607E9F"/>
    <w:rsid w:val="0061085E"/>
    <w:rsid w:val="00610B91"/>
    <w:rsid w:val="006112A7"/>
    <w:rsid w:val="00611398"/>
    <w:rsid w:val="006113B4"/>
    <w:rsid w:val="0061186D"/>
    <w:rsid w:val="00612322"/>
    <w:rsid w:val="006123C0"/>
    <w:rsid w:val="006129AB"/>
    <w:rsid w:val="006129AF"/>
    <w:rsid w:val="00613191"/>
    <w:rsid w:val="006133F9"/>
    <w:rsid w:val="006134B3"/>
    <w:rsid w:val="00613DE1"/>
    <w:rsid w:val="0061401F"/>
    <w:rsid w:val="00614166"/>
    <w:rsid w:val="00614817"/>
    <w:rsid w:val="006149CC"/>
    <w:rsid w:val="0061512C"/>
    <w:rsid w:val="006154A6"/>
    <w:rsid w:val="006157A9"/>
    <w:rsid w:val="0061591D"/>
    <w:rsid w:val="00615ED0"/>
    <w:rsid w:val="0061604C"/>
    <w:rsid w:val="00616C2B"/>
    <w:rsid w:val="00616D7F"/>
    <w:rsid w:val="006178D1"/>
    <w:rsid w:val="00617A92"/>
    <w:rsid w:val="00620719"/>
    <w:rsid w:val="006212C9"/>
    <w:rsid w:val="0062131B"/>
    <w:rsid w:val="00621D0C"/>
    <w:rsid w:val="00621FD8"/>
    <w:rsid w:val="006220E2"/>
    <w:rsid w:val="00622229"/>
    <w:rsid w:val="00622470"/>
    <w:rsid w:val="0062267E"/>
    <w:rsid w:val="00622725"/>
    <w:rsid w:val="00622785"/>
    <w:rsid w:val="0062293F"/>
    <w:rsid w:val="00622B63"/>
    <w:rsid w:val="006231AA"/>
    <w:rsid w:val="00623482"/>
    <w:rsid w:val="00623AC2"/>
    <w:rsid w:val="00623EBC"/>
    <w:rsid w:val="0062475D"/>
    <w:rsid w:val="00625642"/>
    <w:rsid w:val="00625DF2"/>
    <w:rsid w:val="006266D7"/>
    <w:rsid w:val="00626D42"/>
    <w:rsid w:val="00626EE3"/>
    <w:rsid w:val="006274AD"/>
    <w:rsid w:val="00627519"/>
    <w:rsid w:val="00627532"/>
    <w:rsid w:val="00627963"/>
    <w:rsid w:val="006302AA"/>
    <w:rsid w:val="006310C3"/>
    <w:rsid w:val="0063161E"/>
    <w:rsid w:val="00631B91"/>
    <w:rsid w:val="00631BB5"/>
    <w:rsid w:val="00631DD0"/>
    <w:rsid w:val="0063247E"/>
    <w:rsid w:val="00632CE0"/>
    <w:rsid w:val="006333F8"/>
    <w:rsid w:val="00633833"/>
    <w:rsid w:val="00633A17"/>
    <w:rsid w:val="00633DBF"/>
    <w:rsid w:val="00634122"/>
    <w:rsid w:val="0063444B"/>
    <w:rsid w:val="00634BEF"/>
    <w:rsid w:val="00635E32"/>
    <w:rsid w:val="006360FC"/>
    <w:rsid w:val="006361C9"/>
    <w:rsid w:val="00636405"/>
    <w:rsid w:val="006365DE"/>
    <w:rsid w:val="00636BE4"/>
    <w:rsid w:val="00636C0C"/>
    <w:rsid w:val="00636F88"/>
    <w:rsid w:val="0063732C"/>
    <w:rsid w:val="00637802"/>
    <w:rsid w:val="00637836"/>
    <w:rsid w:val="00637C26"/>
    <w:rsid w:val="00637F44"/>
    <w:rsid w:val="00640680"/>
    <w:rsid w:val="006407A5"/>
    <w:rsid w:val="00641078"/>
    <w:rsid w:val="00641242"/>
    <w:rsid w:val="00641761"/>
    <w:rsid w:val="00641899"/>
    <w:rsid w:val="00641B12"/>
    <w:rsid w:val="00642126"/>
    <w:rsid w:val="006429C0"/>
    <w:rsid w:val="00642A32"/>
    <w:rsid w:val="00642B8E"/>
    <w:rsid w:val="00642D9F"/>
    <w:rsid w:val="00642F7C"/>
    <w:rsid w:val="00642FC5"/>
    <w:rsid w:val="006433D5"/>
    <w:rsid w:val="00643412"/>
    <w:rsid w:val="00643CF5"/>
    <w:rsid w:val="00644E8F"/>
    <w:rsid w:val="00645844"/>
    <w:rsid w:val="00645C7B"/>
    <w:rsid w:val="00645CEB"/>
    <w:rsid w:val="00645E63"/>
    <w:rsid w:val="0064673C"/>
    <w:rsid w:val="00646B20"/>
    <w:rsid w:val="00646D0F"/>
    <w:rsid w:val="00647A36"/>
    <w:rsid w:val="00647DCC"/>
    <w:rsid w:val="00647E8E"/>
    <w:rsid w:val="00647EFA"/>
    <w:rsid w:val="00647F14"/>
    <w:rsid w:val="00650027"/>
    <w:rsid w:val="00650E89"/>
    <w:rsid w:val="006516E6"/>
    <w:rsid w:val="00651B9C"/>
    <w:rsid w:val="00651C47"/>
    <w:rsid w:val="00652483"/>
    <w:rsid w:val="00652E70"/>
    <w:rsid w:val="00652E9C"/>
    <w:rsid w:val="0065339A"/>
    <w:rsid w:val="00653469"/>
    <w:rsid w:val="0065443A"/>
    <w:rsid w:val="00654A38"/>
    <w:rsid w:val="00655301"/>
    <w:rsid w:val="00655371"/>
    <w:rsid w:val="00655507"/>
    <w:rsid w:val="006564A5"/>
    <w:rsid w:val="00656C4B"/>
    <w:rsid w:val="006572A7"/>
    <w:rsid w:val="006573EA"/>
    <w:rsid w:val="006577C9"/>
    <w:rsid w:val="006606A4"/>
    <w:rsid w:val="00660B18"/>
    <w:rsid w:val="00660B1A"/>
    <w:rsid w:val="00661029"/>
    <w:rsid w:val="006610C3"/>
    <w:rsid w:val="0066135A"/>
    <w:rsid w:val="00661A38"/>
    <w:rsid w:val="0066272D"/>
    <w:rsid w:val="00662E58"/>
    <w:rsid w:val="00662F39"/>
    <w:rsid w:val="0066352A"/>
    <w:rsid w:val="006635A0"/>
    <w:rsid w:val="00663D26"/>
    <w:rsid w:val="00664351"/>
    <w:rsid w:val="00665968"/>
    <w:rsid w:val="00665BF7"/>
    <w:rsid w:val="00665C4C"/>
    <w:rsid w:val="00665E65"/>
    <w:rsid w:val="006660F0"/>
    <w:rsid w:val="00666178"/>
    <w:rsid w:val="0066639E"/>
    <w:rsid w:val="00666473"/>
    <w:rsid w:val="00666B49"/>
    <w:rsid w:val="00666C72"/>
    <w:rsid w:val="00666D4B"/>
    <w:rsid w:val="00666E6C"/>
    <w:rsid w:val="0066707F"/>
    <w:rsid w:val="00667457"/>
    <w:rsid w:val="00667ED8"/>
    <w:rsid w:val="0067064C"/>
    <w:rsid w:val="00670B20"/>
    <w:rsid w:val="00670E12"/>
    <w:rsid w:val="00670F27"/>
    <w:rsid w:val="00671256"/>
    <w:rsid w:val="006718D8"/>
    <w:rsid w:val="00672E16"/>
    <w:rsid w:val="00672E80"/>
    <w:rsid w:val="0067333F"/>
    <w:rsid w:val="006739E4"/>
    <w:rsid w:val="00673ECF"/>
    <w:rsid w:val="0067426B"/>
    <w:rsid w:val="00674A1B"/>
    <w:rsid w:val="00674D08"/>
    <w:rsid w:val="00674F1C"/>
    <w:rsid w:val="006754F8"/>
    <w:rsid w:val="00676127"/>
    <w:rsid w:val="0067645B"/>
    <w:rsid w:val="006765DF"/>
    <w:rsid w:val="00676AED"/>
    <w:rsid w:val="00677212"/>
    <w:rsid w:val="00677DC5"/>
    <w:rsid w:val="00677F26"/>
    <w:rsid w:val="006800EE"/>
    <w:rsid w:val="006802A7"/>
    <w:rsid w:val="00680A86"/>
    <w:rsid w:val="00680E4A"/>
    <w:rsid w:val="00680FBE"/>
    <w:rsid w:val="006811C9"/>
    <w:rsid w:val="006812CE"/>
    <w:rsid w:val="0068132A"/>
    <w:rsid w:val="00681C78"/>
    <w:rsid w:val="00682314"/>
    <w:rsid w:val="006826C1"/>
    <w:rsid w:val="00682C89"/>
    <w:rsid w:val="006832B8"/>
    <w:rsid w:val="00683329"/>
    <w:rsid w:val="006836DF"/>
    <w:rsid w:val="006837B2"/>
    <w:rsid w:val="00683800"/>
    <w:rsid w:val="0068420B"/>
    <w:rsid w:val="00684462"/>
    <w:rsid w:val="00684C0D"/>
    <w:rsid w:val="00684C8A"/>
    <w:rsid w:val="00684CF5"/>
    <w:rsid w:val="00684DAB"/>
    <w:rsid w:val="00685022"/>
    <w:rsid w:val="00685188"/>
    <w:rsid w:val="0068553E"/>
    <w:rsid w:val="00685D37"/>
    <w:rsid w:val="00685E7B"/>
    <w:rsid w:val="00686551"/>
    <w:rsid w:val="00686CAB"/>
    <w:rsid w:val="00687049"/>
    <w:rsid w:val="0068717F"/>
    <w:rsid w:val="0068730C"/>
    <w:rsid w:val="00687504"/>
    <w:rsid w:val="00687A14"/>
    <w:rsid w:val="00687A8C"/>
    <w:rsid w:val="00687DAD"/>
    <w:rsid w:val="006901B2"/>
    <w:rsid w:val="00690839"/>
    <w:rsid w:val="006908DB"/>
    <w:rsid w:val="00690DE9"/>
    <w:rsid w:val="00691563"/>
    <w:rsid w:val="00691DE9"/>
    <w:rsid w:val="00691EAA"/>
    <w:rsid w:val="00692245"/>
    <w:rsid w:val="00692745"/>
    <w:rsid w:val="00692FFA"/>
    <w:rsid w:val="006934CB"/>
    <w:rsid w:val="00693772"/>
    <w:rsid w:val="006937EA"/>
    <w:rsid w:val="00693984"/>
    <w:rsid w:val="00693B77"/>
    <w:rsid w:val="00694156"/>
    <w:rsid w:val="00694160"/>
    <w:rsid w:val="00694E8B"/>
    <w:rsid w:val="006959A5"/>
    <w:rsid w:val="00695C0C"/>
    <w:rsid w:val="00696736"/>
    <w:rsid w:val="00696A05"/>
    <w:rsid w:val="00697665"/>
    <w:rsid w:val="00697C9A"/>
    <w:rsid w:val="00697E68"/>
    <w:rsid w:val="00697FC1"/>
    <w:rsid w:val="006A0274"/>
    <w:rsid w:val="006A0ADE"/>
    <w:rsid w:val="006A1ED5"/>
    <w:rsid w:val="006A27BC"/>
    <w:rsid w:val="006A2A43"/>
    <w:rsid w:val="006A2BF1"/>
    <w:rsid w:val="006A2E43"/>
    <w:rsid w:val="006A2F9A"/>
    <w:rsid w:val="006A34E4"/>
    <w:rsid w:val="006A35AC"/>
    <w:rsid w:val="006A3A5A"/>
    <w:rsid w:val="006A4249"/>
    <w:rsid w:val="006A44CF"/>
    <w:rsid w:val="006A457D"/>
    <w:rsid w:val="006A4B5A"/>
    <w:rsid w:val="006A4C06"/>
    <w:rsid w:val="006A55EE"/>
    <w:rsid w:val="006A575B"/>
    <w:rsid w:val="006A5824"/>
    <w:rsid w:val="006A59DE"/>
    <w:rsid w:val="006A64C6"/>
    <w:rsid w:val="006A6655"/>
    <w:rsid w:val="006A6BF9"/>
    <w:rsid w:val="006A6D7B"/>
    <w:rsid w:val="006A7AB8"/>
    <w:rsid w:val="006A7CB5"/>
    <w:rsid w:val="006A7FD0"/>
    <w:rsid w:val="006B025C"/>
    <w:rsid w:val="006B04DB"/>
    <w:rsid w:val="006B08ED"/>
    <w:rsid w:val="006B2170"/>
    <w:rsid w:val="006B2534"/>
    <w:rsid w:val="006B2CB2"/>
    <w:rsid w:val="006B347D"/>
    <w:rsid w:val="006B3E19"/>
    <w:rsid w:val="006B4488"/>
    <w:rsid w:val="006B4D5D"/>
    <w:rsid w:val="006B50C4"/>
    <w:rsid w:val="006B53AE"/>
    <w:rsid w:val="006B58B4"/>
    <w:rsid w:val="006B60DA"/>
    <w:rsid w:val="006B66FA"/>
    <w:rsid w:val="006B67AC"/>
    <w:rsid w:val="006B722F"/>
    <w:rsid w:val="006B786A"/>
    <w:rsid w:val="006B78F2"/>
    <w:rsid w:val="006B7E4E"/>
    <w:rsid w:val="006C003A"/>
    <w:rsid w:val="006C0B6B"/>
    <w:rsid w:val="006C107C"/>
    <w:rsid w:val="006C127C"/>
    <w:rsid w:val="006C189C"/>
    <w:rsid w:val="006C219B"/>
    <w:rsid w:val="006C2454"/>
    <w:rsid w:val="006C2551"/>
    <w:rsid w:val="006C27B9"/>
    <w:rsid w:val="006C2CC0"/>
    <w:rsid w:val="006C32CF"/>
    <w:rsid w:val="006C32EC"/>
    <w:rsid w:val="006C337B"/>
    <w:rsid w:val="006C37CA"/>
    <w:rsid w:val="006C39AE"/>
    <w:rsid w:val="006C40D2"/>
    <w:rsid w:val="006C4B85"/>
    <w:rsid w:val="006C4BBD"/>
    <w:rsid w:val="006C4E02"/>
    <w:rsid w:val="006C5215"/>
    <w:rsid w:val="006C551E"/>
    <w:rsid w:val="006C5B15"/>
    <w:rsid w:val="006C5D32"/>
    <w:rsid w:val="006C5DCB"/>
    <w:rsid w:val="006C6475"/>
    <w:rsid w:val="006C6F6F"/>
    <w:rsid w:val="006C70C4"/>
    <w:rsid w:val="006C741F"/>
    <w:rsid w:val="006D04DA"/>
    <w:rsid w:val="006D10F6"/>
    <w:rsid w:val="006D1254"/>
    <w:rsid w:val="006D1544"/>
    <w:rsid w:val="006D1688"/>
    <w:rsid w:val="006D1BE1"/>
    <w:rsid w:val="006D1DD3"/>
    <w:rsid w:val="006D1FF3"/>
    <w:rsid w:val="006D2C65"/>
    <w:rsid w:val="006D32C6"/>
    <w:rsid w:val="006D360E"/>
    <w:rsid w:val="006D3697"/>
    <w:rsid w:val="006D39D2"/>
    <w:rsid w:val="006D3A94"/>
    <w:rsid w:val="006D3F2A"/>
    <w:rsid w:val="006D4370"/>
    <w:rsid w:val="006D46A3"/>
    <w:rsid w:val="006D58F2"/>
    <w:rsid w:val="006D5DCB"/>
    <w:rsid w:val="006D6168"/>
    <w:rsid w:val="006D62E0"/>
    <w:rsid w:val="006D62EA"/>
    <w:rsid w:val="006D658F"/>
    <w:rsid w:val="006D66B2"/>
    <w:rsid w:val="006D6712"/>
    <w:rsid w:val="006D6A12"/>
    <w:rsid w:val="006D712D"/>
    <w:rsid w:val="006D7687"/>
    <w:rsid w:val="006D7D1F"/>
    <w:rsid w:val="006D7D8A"/>
    <w:rsid w:val="006E0158"/>
    <w:rsid w:val="006E046C"/>
    <w:rsid w:val="006E0572"/>
    <w:rsid w:val="006E05D8"/>
    <w:rsid w:val="006E08EE"/>
    <w:rsid w:val="006E0F32"/>
    <w:rsid w:val="006E155A"/>
    <w:rsid w:val="006E2C34"/>
    <w:rsid w:val="006E359B"/>
    <w:rsid w:val="006E39D1"/>
    <w:rsid w:val="006E3B05"/>
    <w:rsid w:val="006E437F"/>
    <w:rsid w:val="006E4D5B"/>
    <w:rsid w:val="006E602F"/>
    <w:rsid w:val="006E6720"/>
    <w:rsid w:val="006E7275"/>
    <w:rsid w:val="006E765A"/>
    <w:rsid w:val="006E77B8"/>
    <w:rsid w:val="006E7AAF"/>
    <w:rsid w:val="006F0F74"/>
    <w:rsid w:val="006F13BA"/>
    <w:rsid w:val="006F15CC"/>
    <w:rsid w:val="006F15F6"/>
    <w:rsid w:val="006F36EA"/>
    <w:rsid w:val="006F3BF9"/>
    <w:rsid w:val="006F4147"/>
    <w:rsid w:val="006F4315"/>
    <w:rsid w:val="006F47A7"/>
    <w:rsid w:val="006F4CB0"/>
    <w:rsid w:val="006F4F78"/>
    <w:rsid w:val="006F50C2"/>
    <w:rsid w:val="006F5251"/>
    <w:rsid w:val="006F5389"/>
    <w:rsid w:val="006F547E"/>
    <w:rsid w:val="006F5CCF"/>
    <w:rsid w:val="006F6F04"/>
    <w:rsid w:val="006F71F5"/>
    <w:rsid w:val="006F72A8"/>
    <w:rsid w:val="006F79BB"/>
    <w:rsid w:val="007000A6"/>
    <w:rsid w:val="00700610"/>
    <w:rsid w:val="00700AAB"/>
    <w:rsid w:val="00700CA2"/>
    <w:rsid w:val="00701234"/>
    <w:rsid w:val="0070138A"/>
    <w:rsid w:val="0070157E"/>
    <w:rsid w:val="007030D4"/>
    <w:rsid w:val="00703279"/>
    <w:rsid w:val="007034D9"/>
    <w:rsid w:val="00703B61"/>
    <w:rsid w:val="00703E11"/>
    <w:rsid w:val="00704102"/>
    <w:rsid w:val="0070437C"/>
    <w:rsid w:val="0070461C"/>
    <w:rsid w:val="00704A76"/>
    <w:rsid w:val="00704C11"/>
    <w:rsid w:val="00704F37"/>
    <w:rsid w:val="00705631"/>
    <w:rsid w:val="00705806"/>
    <w:rsid w:val="00705818"/>
    <w:rsid w:val="00705F62"/>
    <w:rsid w:val="00706813"/>
    <w:rsid w:val="0070773F"/>
    <w:rsid w:val="00707A2E"/>
    <w:rsid w:val="00707ED3"/>
    <w:rsid w:val="007101B7"/>
    <w:rsid w:val="0071041A"/>
    <w:rsid w:val="00710668"/>
    <w:rsid w:val="00711019"/>
    <w:rsid w:val="007110F4"/>
    <w:rsid w:val="007112B1"/>
    <w:rsid w:val="0071130F"/>
    <w:rsid w:val="00712044"/>
    <w:rsid w:val="00712507"/>
    <w:rsid w:val="00712714"/>
    <w:rsid w:val="007129AB"/>
    <w:rsid w:val="00712B63"/>
    <w:rsid w:val="00712E5F"/>
    <w:rsid w:val="0071340B"/>
    <w:rsid w:val="00713526"/>
    <w:rsid w:val="00713FC5"/>
    <w:rsid w:val="007146D8"/>
    <w:rsid w:val="00714BB9"/>
    <w:rsid w:val="00714DCA"/>
    <w:rsid w:val="00714EC3"/>
    <w:rsid w:val="007150F3"/>
    <w:rsid w:val="00715BBF"/>
    <w:rsid w:val="00715C29"/>
    <w:rsid w:val="00715CBD"/>
    <w:rsid w:val="00715EAA"/>
    <w:rsid w:val="00716119"/>
    <w:rsid w:val="00716630"/>
    <w:rsid w:val="00716BB0"/>
    <w:rsid w:val="00716CAD"/>
    <w:rsid w:val="00716CD3"/>
    <w:rsid w:val="00716F18"/>
    <w:rsid w:val="00717363"/>
    <w:rsid w:val="00717786"/>
    <w:rsid w:val="00717ACB"/>
    <w:rsid w:val="00717F8F"/>
    <w:rsid w:val="0072138B"/>
    <w:rsid w:val="007213A0"/>
    <w:rsid w:val="00721BFF"/>
    <w:rsid w:val="00722495"/>
    <w:rsid w:val="007227EB"/>
    <w:rsid w:val="007232EE"/>
    <w:rsid w:val="00723475"/>
    <w:rsid w:val="007236C4"/>
    <w:rsid w:val="00724635"/>
    <w:rsid w:val="00724F21"/>
    <w:rsid w:val="00725134"/>
    <w:rsid w:val="0072554B"/>
    <w:rsid w:val="0072571F"/>
    <w:rsid w:val="00725AFD"/>
    <w:rsid w:val="00726603"/>
    <w:rsid w:val="007266AC"/>
    <w:rsid w:val="00727B1D"/>
    <w:rsid w:val="00727DDC"/>
    <w:rsid w:val="00730CD6"/>
    <w:rsid w:val="00730F74"/>
    <w:rsid w:val="0073114B"/>
    <w:rsid w:val="00732151"/>
    <w:rsid w:val="00732EBC"/>
    <w:rsid w:val="00734952"/>
    <w:rsid w:val="00734987"/>
    <w:rsid w:val="00734990"/>
    <w:rsid w:val="00734FF5"/>
    <w:rsid w:val="00735B78"/>
    <w:rsid w:val="00735CA5"/>
    <w:rsid w:val="00735D76"/>
    <w:rsid w:val="00735DA7"/>
    <w:rsid w:val="007363DC"/>
    <w:rsid w:val="00736700"/>
    <w:rsid w:val="007368B4"/>
    <w:rsid w:val="00736D24"/>
    <w:rsid w:val="007378E0"/>
    <w:rsid w:val="0074040E"/>
    <w:rsid w:val="00740529"/>
    <w:rsid w:val="00740876"/>
    <w:rsid w:val="00741358"/>
    <w:rsid w:val="00741626"/>
    <w:rsid w:val="00741B0C"/>
    <w:rsid w:val="00742332"/>
    <w:rsid w:val="00742886"/>
    <w:rsid w:val="00742A3A"/>
    <w:rsid w:val="00742DD2"/>
    <w:rsid w:val="007437C6"/>
    <w:rsid w:val="00743834"/>
    <w:rsid w:val="00743F4B"/>
    <w:rsid w:val="007441A2"/>
    <w:rsid w:val="00744273"/>
    <w:rsid w:val="00744E80"/>
    <w:rsid w:val="00745035"/>
    <w:rsid w:val="0074531C"/>
    <w:rsid w:val="00745547"/>
    <w:rsid w:val="007459D0"/>
    <w:rsid w:val="00745A63"/>
    <w:rsid w:val="00745D39"/>
    <w:rsid w:val="0074623A"/>
    <w:rsid w:val="00746420"/>
    <w:rsid w:val="00746A60"/>
    <w:rsid w:val="00746E04"/>
    <w:rsid w:val="00746E08"/>
    <w:rsid w:val="00746E3D"/>
    <w:rsid w:val="007473B9"/>
    <w:rsid w:val="00747C96"/>
    <w:rsid w:val="00747F52"/>
    <w:rsid w:val="00750075"/>
    <w:rsid w:val="0075022F"/>
    <w:rsid w:val="007502EC"/>
    <w:rsid w:val="00750382"/>
    <w:rsid w:val="0075094E"/>
    <w:rsid w:val="00750FA8"/>
    <w:rsid w:val="00750FB5"/>
    <w:rsid w:val="007520F0"/>
    <w:rsid w:val="0075226F"/>
    <w:rsid w:val="007522E8"/>
    <w:rsid w:val="007529DB"/>
    <w:rsid w:val="007534AD"/>
    <w:rsid w:val="00753BAC"/>
    <w:rsid w:val="00753E86"/>
    <w:rsid w:val="0075408D"/>
    <w:rsid w:val="00754A0B"/>
    <w:rsid w:val="00755229"/>
    <w:rsid w:val="007552DB"/>
    <w:rsid w:val="0075549F"/>
    <w:rsid w:val="00755732"/>
    <w:rsid w:val="00755B08"/>
    <w:rsid w:val="00755DD0"/>
    <w:rsid w:val="0075647A"/>
    <w:rsid w:val="00756A2F"/>
    <w:rsid w:val="007573E1"/>
    <w:rsid w:val="0075749E"/>
    <w:rsid w:val="00757722"/>
    <w:rsid w:val="00757796"/>
    <w:rsid w:val="00757B2D"/>
    <w:rsid w:val="00757BAD"/>
    <w:rsid w:val="00757C31"/>
    <w:rsid w:val="00757D62"/>
    <w:rsid w:val="00760021"/>
    <w:rsid w:val="007602DF"/>
    <w:rsid w:val="00760561"/>
    <w:rsid w:val="00760867"/>
    <w:rsid w:val="00760EB6"/>
    <w:rsid w:val="007616DB"/>
    <w:rsid w:val="0076190A"/>
    <w:rsid w:val="00761AB7"/>
    <w:rsid w:val="00761CE6"/>
    <w:rsid w:val="0076228A"/>
    <w:rsid w:val="00762440"/>
    <w:rsid w:val="00762499"/>
    <w:rsid w:val="0076253F"/>
    <w:rsid w:val="00762705"/>
    <w:rsid w:val="0076275B"/>
    <w:rsid w:val="007629B7"/>
    <w:rsid w:val="00762E60"/>
    <w:rsid w:val="00762E6C"/>
    <w:rsid w:val="00762F54"/>
    <w:rsid w:val="007634AD"/>
    <w:rsid w:val="0076424F"/>
    <w:rsid w:val="0076445F"/>
    <w:rsid w:val="00764863"/>
    <w:rsid w:val="00764EC5"/>
    <w:rsid w:val="007651EF"/>
    <w:rsid w:val="00766D49"/>
    <w:rsid w:val="00766ECC"/>
    <w:rsid w:val="007672F3"/>
    <w:rsid w:val="007677B5"/>
    <w:rsid w:val="007678B1"/>
    <w:rsid w:val="007708A8"/>
    <w:rsid w:val="00772100"/>
    <w:rsid w:val="00772275"/>
    <w:rsid w:val="00772684"/>
    <w:rsid w:val="00772AAF"/>
    <w:rsid w:val="00772C9A"/>
    <w:rsid w:val="00772E2A"/>
    <w:rsid w:val="00773131"/>
    <w:rsid w:val="007732BA"/>
    <w:rsid w:val="007734E4"/>
    <w:rsid w:val="0077380D"/>
    <w:rsid w:val="00773BC8"/>
    <w:rsid w:val="00774337"/>
    <w:rsid w:val="00774549"/>
    <w:rsid w:val="0077466F"/>
    <w:rsid w:val="007752B7"/>
    <w:rsid w:val="007759A8"/>
    <w:rsid w:val="00775C27"/>
    <w:rsid w:val="00775D98"/>
    <w:rsid w:val="00775E31"/>
    <w:rsid w:val="00776B93"/>
    <w:rsid w:val="00776FE5"/>
    <w:rsid w:val="00777101"/>
    <w:rsid w:val="007774E7"/>
    <w:rsid w:val="0077768C"/>
    <w:rsid w:val="00777696"/>
    <w:rsid w:val="00777EDF"/>
    <w:rsid w:val="00777FF4"/>
    <w:rsid w:val="00780251"/>
    <w:rsid w:val="007804FE"/>
    <w:rsid w:val="00780F32"/>
    <w:rsid w:val="00781049"/>
    <w:rsid w:val="0078122E"/>
    <w:rsid w:val="0078165A"/>
    <w:rsid w:val="00781939"/>
    <w:rsid w:val="00781D29"/>
    <w:rsid w:val="007825EF"/>
    <w:rsid w:val="0078286B"/>
    <w:rsid w:val="00782D2C"/>
    <w:rsid w:val="00782FC2"/>
    <w:rsid w:val="0078347A"/>
    <w:rsid w:val="0078410A"/>
    <w:rsid w:val="00784938"/>
    <w:rsid w:val="00784EBF"/>
    <w:rsid w:val="00784FC4"/>
    <w:rsid w:val="00785BBB"/>
    <w:rsid w:val="00785FB2"/>
    <w:rsid w:val="00786937"/>
    <w:rsid w:val="00786FAD"/>
    <w:rsid w:val="007872D6"/>
    <w:rsid w:val="00787B1B"/>
    <w:rsid w:val="00787CCC"/>
    <w:rsid w:val="00787D90"/>
    <w:rsid w:val="00787F5E"/>
    <w:rsid w:val="00790164"/>
    <w:rsid w:val="0079041B"/>
    <w:rsid w:val="007905C6"/>
    <w:rsid w:val="00790A24"/>
    <w:rsid w:val="00790A37"/>
    <w:rsid w:val="00790A60"/>
    <w:rsid w:val="0079131A"/>
    <w:rsid w:val="0079146D"/>
    <w:rsid w:val="00791C32"/>
    <w:rsid w:val="00791FF0"/>
    <w:rsid w:val="007923D0"/>
    <w:rsid w:val="0079281A"/>
    <w:rsid w:val="007930D3"/>
    <w:rsid w:val="007936E2"/>
    <w:rsid w:val="0079381F"/>
    <w:rsid w:val="0079398D"/>
    <w:rsid w:val="00793A57"/>
    <w:rsid w:val="00793B2E"/>
    <w:rsid w:val="00793C6A"/>
    <w:rsid w:val="007948F5"/>
    <w:rsid w:val="00795647"/>
    <w:rsid w:val="007963F6"/>
    <w:rsid w:val="007969E1"/>
    <w:rsid w:val="00796DC8"/>
    <w:rsid w:val="00796E80"/>
    <w:rsid w:val="0079744F"/>
    <w:rsid w:val="0079776F"/>
    <w:rsid w:val="007979AD"/>
    <w:rsid w:val="00797A9C"/>
    <w:rsid w:val="007A0502"/>
    <w:rsid w:val="007A08C1"/>
    <w:rsid w:val="007A0EAB"/>
    <w:rsid w:val="007A2341"/>
    <w:rsid w:val="007A2754"/>
    <w:rsid w:val="007A38A1"/>
    <w:rsid w:val="007A3BBE"/>
    <w:rsid w:val="007A4347"/>
    <w:rsid w:val="007A4766"/>
    <w:rsid w:val="007A4B70"/>
    <w:rsid w:val="007A5947"/>
    <w:rsid w:val="007A717B"/>
    <w:rsid w:val="007A7714"/>
    <w:rsid w:val="007A7775"/>
    <w:rsid w:val="007A7C14"/>
    <w:rsid w:val="007B00EF"/>
    <w:rsid w:val="007B0302"/>
    <w:rsid w:val="007B0313"/>
    <w:rsid w:val="007B0854"/>
    <w:rsid w:val="007B0E48"/>
    <w:rsid w:val="007B14BA"/>
    <w:rsid w:val="007B1929"/>
    <w:rsid w:val="007B1D1B"/>
    <w:rsid w:val="007B1D33"/>
    <w:rsid w:val="007B21AA"/>
    <w:rsid w:val="007B2504"/>
    <w:rsid w:val="007B2549"/>
    <w:rsid w:val="007B303E"/>
    <w:rsid w:val="007B32C0"/>
    <w:rsid w:val="007B32F7"/>
    <w:rsid w:val="007B3659"/>
    <w:rsid w:val="007B38B5"/>
    <w:rsid w:val="007B3BF3"/>
    <w:rsid w:val="007B431B"/>
    <w:rsid w:val="007B4558"/>
    <w:rsid w:val="007B4632"/>
    <w:rsid w:val="007B46A2"/>
    <w:rsid w:val="007B4828"/>
    <w:rsid w:val="007B4B2D"/>
    <w:rsid w:val="007B4D4A"/>
    <w:rsid w:val="007B5428"/>
    <w:rsid w:val="007B59B7"/>
    <w:rsid w:val="007B6C64"/>
    <w:rsid w:val="007B6EC8"/>
    <w:rsid w:val="007B6F81"/>
    <w:rsid w:val="007B7EA2"/>
    <w:rsid w:val="007C06DB"/>
    <w:rsid w:val="007C097D"/>
    <w:rsid w:val="007C0AF2"/>
    <w:rsid w:val="007C0DD4"/>
    <w:rsid w:val="007C1672"/>
    <w:rsid w:val="007C17AE"/>
    <w:rsid w:val="007C21E1"/>
    <w:rsid w:val="007C227C"/>
    <w:rsid w:val="007C24EE"/>
    <w:rsid w:val="007C312A"/>
    <w:rsid w:val="007C3538"/>
    <w:rsid w:val="007C3570"/>
    <w:rsid w:val="007C3F3B"/>
    <w:rsid w:val="007C4097"/>
    <w:rsid w:val="007C4241"/>
    <w:rsid w:val="007C425E"/>
    <w:rsid w:val="007C44DF"/>
    <w:rsid w:val="007C55FF"/>
    <w:rsid w:val="007C5642"/>
    <w:rsid w:val="007C6339"/>
    <w:rsid w:val="007C6B63"/>
    <w:rsid w:val="007C753F"/>
    <w:rsid w:val="007C7C43"/>
    <w:rsid w:val="007C7E15"/>
    <w:rsid w:val="007C7F0D"/>
    <w:rsid w:val="007D06E3"/>
    <w:rsid w:val="007D09E4"/>
    <w:rsid w:val="007D1134"/>
    <w:rsid w:val="007D12EC"/>
    <w:rsid w:val="007D1774"/>
    <w:rsid w:val="007D231B"/>
    <w:rsid w:val="007D23F7"/>
    <w:rsid w:val="007D242C"/>
    <w:rsid w:val="007D24F0"/>
    <w:rsid w:val="007D2566"/>
    <w:rsid w:val="007D2C18"/>
    <w:rsid w:val="007D2D74"/>
    <w:rsid w:val="007D2DA3"/>
    <w:rsid w:val="007D3693"/>
    <w:rsid w:val="007D3C6D"/>
    <w:rsid w:val="007D481A"/>
    <w:rsid w:val="007D4B96"/>
    <w:rsid w:val="007D4ED0"/>
    <w:rsid w:val="007D54B7"/>
    <w:rsid w:val="007D54D9"/>
    <w:rsid w:val="007D5648"/>
    <w:rsid w:val="007D58C5"/>
    <w:rsid w:val="007D5DE8"/>
    <w:rsid w:val="007D7CCB"/>
    <w:rsid w:val="007D7CFC"/>
    <w:rsid w:val="007E0812"/>
    <w:rsid w:val="007E0825"/>
    <w:rsid w:val="007E0D49"/>
    <w:rsid w:val="007E118A"/>
    <w:rsid w:val="007E18DF"/>
    <w:rsid w:val="007E1E45"/>
    <w:rsid w:val="007E1F52"/>
    <w:rsid w:val="007E214A"/>
    <w:rsid w:val="007E238D"/>
    <w:rsid w:val="007E2C36"/>
    <w:rsid w:val="007E327F"/>
    <w:rsid w:val="007E350D"/>
    <w:rsid w:val="007E3ACA"/>
    <w:rsid w:val="007E3B28"/>
    <w:rsid w:val="007E3F4A"/>
    <w:rsid w:val="007E526E"/>
    <w:rsid w:val="007E564D"/>
    <w:rsid w:val="007E5C4A"/>
    <w:rsid w:val="007E64D4"/>
    <w:rsid w:val="007E66E9"/>
    <w:rsid w:val="007E69F2"/>
    <w:rsid w:val="007E7432"/>
    <w:rsid w:val="007E74BF"/>
    <w:rsid w:val="007E7657"/>
    <w:rsid w:val="007E7B55"/>
    <w:rsid w:val="007E7D2E"/>
    <w:rsid w:val="007E7E0E"/>
    <w:rsid w:val="007E7E80"/>
    <w:rsid w:val="007F14D3"/>
    <w:rsid w:val="007F1655"/>
    <w:rsid w:val="007F1814"/>
    <w:rsid w:val="007F1D9D"/>
    <w:rsid w:val="007F1E28"/>
    <w:rsid w:val="007F1F63"/>
    <w:rsid w:val="007F22A0"/>
    <w:rsid w:val="007F2902"/>
    <w:rsid w:val="007F2903"/>
    <w:rsid w:val="007F2F90"/>
    <w:rsid w:val="007F3320"/>
    <w:rsid w:val="007F3AC1"/>
    <w:rsid w:val="007F4976"/>
    <w:rsid w:val="007F4B40"/>
    <w:rsid w:val="007F5A56"/>
    <w:rsid w:val="007F5D42"/>
    <w:rsid w:val="007F616E"/>
    <w:rsid w:val="007F6B46"/>
    <w:rsid w:val="007F72CB"/>
    <w:rsid w:val="007F736A"/>
    <w:rsid w:val="007F7635"/>
    <w:rsid w:val="007F785F"/>
    <w:rsid w:val="007F7961"/>
    <w:rsid w:val="007F7AF6"/>
    <w:rsid w:val="007F7E36"/>
    <w:rsid w:val="008005A1"/>
    <w:rsid w:val="00800E6D"/>
    <w:rsid w:val="008013FB"/>
    <w:rsid w:val="008014D9"/>
    <w:rsid w:val="0080150F"/>
    <w:rsid w:val="0080153A"/>
    <w:rsid w:val="00801A2A"/>
    <w:rsid w:val="00801D46"/>
    <w:rsid w:val="00801EBB"/>
    <w:rsid w:val="00802041"/>
    <w:rsid w:val="008022C9"/>
    <w:rsid w:val="00802605"/>
    <w:rsid w:val="00802F9E"/>
    <w:rsid w:val="00803566"/>
    <w:rsid w:val="00803700"/>
    <w:rsid w:val="0080376A"/>
    <w:rsid w:val="00803D9D"/>
    <w:rsid w:val="0080434C"/>
    <w:rsid w:val="008056C1"/>
    <w:rsid w:val="008059C6"/>
    <w:rsid w:val="00805AD7"/>
    <w:rsid w:val="00805BD6"/>
    <w:rsid w:val="00805DE3"/>
    <w:rsid w:val="00807C35"/>
    <w:rsid w:val="00807F35"/>
    <w:rsid w:val="00807F69"/>
    <w:rsid w:val="008100F7"/>
    <w:rsid w:val="00810179"/>
    <w:rsid w:val="00810206"/>
    <w:rsid w:val="0081022B"/>
    <w:rsid w:val="0081082C"/>
    <w:rsid w:val="00810A15"/>
    <w:rsid w:val="00811898"/>
    <w:rsid w:val="00811C6D"/>
    <w:rsid w:val="00811CDC"/>
    <w:rsid w:val="008124D8"/>
    <w:rsid w:val="00812C9E"/>
    <w:rsid w:val="00812DAE"/>
    <w:rsid w:val="008139F9"/>
    <w:rsid w:val="00813A7B"/>
    <w:rsid w:val="00813F04"/>
    <w:rsid w:val="0081513E"/>
    <w:rsid w:val="00815DA5"/>
    <w:rsid w:val="00815E70"/>
    <w:rsid w:val="00816221"/>
    <w:rsid w:val="0081749A"/>
    <w:rsid w:val="008174F3"/>
    <w:rsid w:val="0081766B"/>
    <w:rsid w:val="00817CE4"/>
    <w:rsid w:val="008201DE"/>
    <w:rsid w:val="008205AC"/>
    <w:rsid w:val="00820705"/>
    <w:rsid w:val="00820CBF"/>
    <w:rsid w:val="00820FA8"/>
    <w:rsid w:val="008212FD"/>
    <w:rsid w:val="00821489"/>
    <w:rsid w:val="0082168D"/>
    <w:rsid w:val="008217B7"/>
    <w:rsid w:val="00822069"/>
    <w:rsid w:val="0082239B"/>
    <w:rsid w:val="0082292E"/>
    <w:rsid w:val="00822D06"/>
    <w:rsid w:val="00822EC4"/>
    <w:rsid w:val="0082348D"/>
    <w:rsid w:val="008236BE"/>
    <w:rsid w:val="008241CE"/>
    <w:rsid w:val="0082520B"/>
    <w:rsid w:val="00825240"/>
    <w:rsid w:val="008255CB"/>
    <w:rsid w:val="00825B01"/>
    <w:rsid w:val="00825B43"/>
    <w:rsid w:val="00825FEE"/>
    <w:rsid w:val="00826F71"/>
    <w:rsid w:val="008273EC"/>
    <w:rsid w:val="008275DC"/>
    <w:rsid w:val="00827CC0"/>
    <w:rsid w:val="008306AB"/>
    <w:rsid w:val="00831026"/>
    <w:rsid w:val="0083119B"/>
    <w:rsid w:val="00831BAE"/>
    <w:rsid w:val="00832216"/>
    <w:rsid w:val="00832513"/>
    <w:rsid w:val="00832CD0"/>
    <w:rsid w:val="00833430"/>
    <w:rsid w:val="00833ADA"/>
    <w:rsid w:val="00833FFC"/>
    <w:rsid w:val="00834128"/>
    <w:rsid w:val="0083417F"/>
    <w:rsid w:val="00835143"/>
    <w:rsid w:val="0083569B"/>
    <w:rsid w:val="00835741"/>
    <w:rsid w:val="00836E74"/>
    <w:rsid w:val="00836EAB"/>
    <w:rsid w:val="00837673"/>
    <w:rsid w:val="00837937"/>
    <w:rsid w:val="00837D82"/>
    <w:rsid w:val="00837EF3"/>
    <w:rsid w:val="008402C1"/>
    <w:rsid w:val="00840893"/>
    <w:rsid w:val="00840E88"/>
    <w:rsid w:val="008410B1"/>
    <w:rsid w:val="00841275"/>
    <w:rsid w:val="008414F0"/>
    <w:rsid w:val="00841515"/>
    <w:rsid w:val="00841677"/>
    <w:rsid w:val="00842181"/>
    <w:rsid w:val="008423EC"/>
    <w:rsid w:val="008429A6"/>
    <w:rsid w:val="00843615"/>
    <w:rsid w:val="00843698"/>
    <w:rsid w:val="00843A4B"/>
    <w:rsid w:val="00843B57"/>
    <w:rsid w:val="00843B60"/>
    <w:rsid w:val="00843D33"/>
    <w:rsid w:val="008444F0"/>
    <w:rsid w:val="00844D4F"/>
    <w:rsid w:val="00844F38"/>
    <w:rsid w:val="008453BA"/>
    <w:rsid w:val="00845AE3"/>
    <w:rsid w:val="00845B36"/>
    <w:rsid w:val="008466A0"/>
    <w:rsid w:val="00846FE7"/>
    <w:rsid w:val="00847535"/>
    <w:rsid w:val="00847B6D"/>
    <w:rsid w:val="0085092D"/>
    <w:rsid w:val="008509A5"/>
    <w:rsid w:val="00850C79"/>
    <w:rsid w:val="00850D82"/>
    <w:rsid w:val="00850F79"/>
    <w:rsid w:val="0085100B"/>
    <w:rsid w:val="008510A1"/>
    <w:rsid w:val="008518A3"/>
    <w:rsid w:val="00851D77"/>
    <w:rsid w:val="0085220E"/>
    <w:rsid w:val="0085304C"/>
    <w:rsid w:val="008536BB"/>
    <w:rsid w:val="00853A3C"/>
    <w:rsid w:val="00853B48"/>
    <w:rsid w:val="00853CE0"/>
    <w:rsid w:val="008548CA"/>
    <w:rsid w:val="00855760"/>
    <w:rsid w:val="008563B0"/>
    <w:rsid w:val="0085694D"/>
    <w:rsid w:val="00856C06"/>
    <w:rsid w:val="00857638"/>
    <w:rsid w:val="0085790B"/>
    <w:rsid w:val="008579B9"/>
    <w:rsid w:val="00857C95"/>
    <w:rsid w:val="00857E78"/>
    <w:rsid w:val="00860AEF"/>
    <w:rsid w:val="00860B18"/>
    <w:rsid w:val="00860D5E"/>
    <w:rsid w:val="0086122C"/>
    <w:rsid w:val="00861310"/>
    <w:rsid w:val="00861C4D"/>
    <w:rsid w:val="00861F53"/>
    <w:rsid w:val="008627DE"/>
    <w:rsid w:val="0086289E"/>
    <w:rsid w:val="008629CB"/>
    <w:rsid w:val="00863664"/>
    <w:rsid w:val="0086394E"/>
    <w:rsid w:val="00863F8A"/>
    <w:rsid w:val="00863FE3"/>
    <w:rsid w:val="008640C4"/>
    <w:rsid w:val="008641D5"/>
    <w:rsid w:val="00864241"/>
    <w:rsid w:val="008645AA"/>
    <w:rsid w:val="0086468A"/>
    <w:rsid w:val="00864E22"/>
    <w:rsid w:val="008650BE"/>
    <w:rsid w:val="00865EAF"/>
    <w:rsid w:val="00865FC6"/>
    <w:rsid w:val="0086633B"/>
    <w:rsid w:val="00866495"/>
    <w:rsid w:val="00866881"/>
    <w:rsid w:val="00866931"/>
    <w:rsid w:val="008672C0"/>
    <w:rsid w:val="008673AE"/>
    <w:rsid w:val="00867512"/>
    <w:rsid w:val="008678A3"/>
    <w:rsid w:val="00867C13"/>
    <w:rsid w:val="00867C1D"/>
    <w:rsid w:val="0087033C"/>
    <w:rsid w:val="008715ED"/>
    <w:rsid w:val="008717D8"/>
    <w:rsid w:val="00871B2E"/>
    <w:rsid w:val="00871E3C"/>
    <w:rsid w:val="0087267F"/>
    <w:rsid w:val="00872F97"/>
    <w:rsid w:val="008741E9"/>
    <w:rsid w:val="00874607"/>
    <w:rsid w:val="008747E9"/>
    <w:rsid w:val="00874915"/>
    <w:rsid w:val="00874B89"/>
    <w:rsid w:val="00875403"/>
    <w:rsid w:val="00875434"/>
    <w:rsid w:val="00875C1F"/>
    <w:rsid w:val="00876215"/>
    <w:rsid w:val="0087646C"/>
    <w:rsid w:val="00876815"/>
    <w:rsid w:val="00876BF7"/>
    <w:rsid w:val="00877932"/>
    <w:rsid w:val="008808C7"/>
    <w:rsid w:val="0088106B"/>
    <w:rsid w:val="0088107D"/>
    <w:rsid w:val="0088187A"/>
    <w:rsid w:val="00881E64"/>
    <w:rsid w:val="00882E39"/>
    <w:rsid w:val="00883559"/>
    <w:rsid w:val="00884A73"/>
    <w:rsid w:val="008850EB"/>
    <w:rsid w:val="00885228"/>
    <w:rsid w:val="008857E3"/>
    <w:rsid w:val="00886844"/>
    <w:rsid w:val="008868AF"/>
    <w:rsid w:val="00886DF2"/>
    <w:rsid w:val="00886FB9"/>
    <w:rsid w:val="00887057"/>
    <w:rsid w:val="00887080"/>
    <w:rsid w:val="00887C79"/>
    <w:rsid w:val="008908DC"/>
    <w:rsid w:val="00890E6F"/>
    <w:rsid w:val="0089107B"/>
    <w:rsid w:val="008913CC"/>
    <w:rsid w:val="008914AE"/>
    <w:rsid w:val="008919CF"/>
    <w:rsid w:val="00891F84"/>
    <w:rsid w:val="00891FC3"/>
    <w:rsid w:val="008924EF"/>
    <w:rsid w:val="00892703"/>
    <w:rsid w:val="008928EC"/>
    <w:rsid w:val="00892A15"/>
    <w:rsid w:val="00892E5D"/>
    <w:rsid w:val="008935CF"/>
    <w:rsid w:val="00893E9B"/>
    <w:rsid w:val="00894039"/>
    <w:rsid w:val="0089436B"/>
    <w:rsid w:val="00894436"/>
    <w:rsid w:val="00894BB1"/>
    <w:rsid w:val="008951D0"/>
    <w:rsid w:val="00895442"/>
    <w:rsid w:val="00895556"/>
    <w:rsid w:val="008955CE"/>
    <w:rsid w:val="0089582D"/>
    <w:rsid w:val="008959C6"/>
    <w:rsid w:val="0089606D"/>
    <w:rsid w:val="00896129"/>
    <w:rsid w:val="00896316"/>
    <w:rsid w:val="008963DE"/>
    <w:rsid w:val="008963ED"/>
    <w:rsid w:val="0089675F"/>
    <w:rsid w:val="00896B51"/>
    <w:rsid w:val="0089774F"/>
    <w:rsid w:val="00897875"/>
    <w:rsid w:val="00897B8F"/>
    <w:rsid w:val="008A00D9"/>
    <w:rsid w:val="008A07D5"/>
    <w:rsid w:val="008A1C96"/>
    <w:rsid w:val="008A1FB7"/>
    <w:rsid w:val="008A229A"/>
    <w:rsid w:val="008A2A23"/>
    <w:rsid w:val="008A2AF5"/>
    <w:rsid w:val="008A2B5A"/>
    <w:rsid w:val="008A37F9"/>
    <w:rsid w:val="008A3BA3"/>
    <w:rsid w:val="008A3F9D"/>
    <w:rsid w:val="008A41F8"/>
    <w:rsid w:val="008A52A0"/>
    <w:rsid w:val="008A5474"/>
    <w:rsid w:val="008A5C9A"/>
    <w:rsid w:val="008A6005"/>
    <w:rsid w:val="008A614F"/>
    <w:rsid w:val="008A66F2"/>
    <w:rsid w:val="008A6A55"/>
    <w:rsid w:val="008A6DF0"/>
    <w:rsid w:val="008A6F6E"/>
    <w:rsid w:val="008A7888"/>
    <w:rsid w:val="008A796E"/>
    <w:rsid w:val="008B0862"/>
    <w:rsid w:val="008B087A"/>
    <w:rsid w:val="008B088C"/>
    <w:rsid w:val="008B1BF5"/>
    <w:rsid w:val="008B1C27"/>
    <w:rsid w:val="008B214B"/>
    <w:rsid w:val="008B263F"/>
    <w:rsid w:val="008B3045"/>
    <w:rsid w:val="008B36BE"/>
    <w:rsid w:val="008B47A6"/>
    <w:rsid w:val="008B5C7C"/>
    <w:rsid w:val="008B63FE"/>
    <w:rsid w:val="008B672C"/>
    <w:rsid w:val="008B7045"/>
    <w:rsid w:val="008B7108"/>
    <w:rsid w:val="008C065F"/>
    <w:rsid w:val="008C0743"/>
    <w:rsid w:val="008C0B4C"/>
    <w:rsid w:val="008C11F0"/>
    <w:rsid w:val="008C1918"/>
    <w:rsid w:val="008C1DBA"/>
    <w:rsid w:val="008C1EAE"/>
    <w:rsid w:val="008C24E7"/>
    <w:rsid w:val="008C2500"/>
    <w:rsid w:val="008C2CAC"/>
    <w:rsid w:val="008C3903"/>
    <w:rsid w:val="008C3C57"/>
    <w:rsid w:val="008C3E2A"/>
    <w:rsid w:val="008C3F27"/>
    <w:rsid w:val="008C45BD"/>
    <w:rsid w:val="008C4B19"/>
    <w:rsid w:val="008C5115"/>
    <w:rsid w:val="008C5983"/>
    <w:rsid w:val="008C62D4"/>
    <w:rsid w:val="008C6754"/>
    <w:rsid w:val="008C6B89"/>
    <w:rsid w:val="008C6B97"/>
    <w:rsid w:val="008C7EF7"/>
    <w:rsid w:val="008C7F13"/>
    <w:rsid w:val="008D094D"/>
    <w:rsid w:val="008D0ECE"/>
    <w:rsid w:val="008D15D4"/>
    <w:rsid w:val="008D18AA"/>
    <w:rsid w:val="008D19D9"/>
    <w:rsid w:val="008D1A2A"/>
    <w:rsid w:val="008D1ADE"/>
    <w:rsid w:val="008D3199"/>
    <w:rsid w:val="008D35D9"/>
    <w:rsid w:val="008D3B36"/>
    <w:rsid w:val="008D3B85"/>
    <w:rsid w:val="008D3FFE"/>
    <w:rsid w:val="008D42D2"/>
    <w:rsid w:val="008D4596"/>
    <w:rsid w:val="008D462D"/>
    <w:rsid w:val="008D6084"/>
    <w:rsid w:val="008D64AC"/>
    <w:rsid w:val="008D656F"/>
    <w:rsid w:val="008D65FB"/>
    <w:rsid w:val="008D66CA"/>
    <w:rsid w:val="008D69B1"/>
    <w:rsid w:val="008D7338"/>
    <w:rsid w:val="008D785E"/>
    <w:rsid w:val="008D7D66"/>
    <w:rsid w:val="008E0012"/>
    <w:rsid w:val="008E0DF7"/>
    <w:rsid w:val="008E0FAD"/>
    <w:rsid w:val="008E11E4"/>
    <w:rsid w:val="008E1252"/>
    <w:rsid w:val="008E1347"/>
    <w:rsid w:val="008E16E0"/>
    <w:rsid w:val="008E1C15"/>
    <w:rsid w:val="008E1C9A"/>
    <w:rsid w:val="008E28BD"/>
    <w:rsid w:val="008E2BE6"/>
    <w:rsid w:val="008E30C4"/>
    <w:rsid w:val="008E38B4"/>
    <w:rsid w:val="008E3BA4"/>
    <w:rsid w:val="008E3F17"/>
    <w:rsid w:val="008E44AB"/>
    <w:rsid w:val="008E45FC"/>
    <w:rsid w:val="008E4CAE"/>
    <w:rsid w:val="008E5179"/>
    <w:rsid w:val="008E57FE"/>
    <w:rsid w:val="008E6598"/>
    <w:rsid w:val="008E6F19"/>
    <w:rsid w:val="008E710F"/>
    <w:rsid w:val="008E7214"/>
    <w:rsid w:val="008E7471"/>
    <w:rsid w:val="008E7497"/>
    <w:rsid w:val="008E75DF"/>
    <w:rsid w:val="008E7884"/>
    <w:rsid w:val="008E7D6E"/>
    <w:rsid w:val="008F1056"/>
    <w:rsid w:val="008F13FF"/>
    <w:rsid w:val="008F2E8D"/>
    <w:rsid w:val="008F361D"/>
    <w:rsid w:val="008F387B"/>
    <w:rsid w:val="008F3DD9"/>
    <w:rsid w:val="008F40DC"/>
    <w:rsid w:val="008F4163"/>
    <w:rsid w:val="008F4814"/>
    <w:rsid w:val="008F4B18"/>
    <w:rsid w:val="008F4DA6"/>
    <w:rsid w:val="008F538E"/>
    <w:rsid w:val="008F5751"/>
    <w:rsid w:val="008F5A20"/>
    <w:rsid w:val="008F5ABA"/>
    <w:rsid w:val="008F5B57"/>
    <w:rsid w:val="008F6157"/>
    <w:rsid w:val="008F71AB"/>
    <w:rsid w:val="008F7905"/>
    <w:rsid w:val="008F7989"/>
    <w:rsid w:val="00900861"/>
    <w:rsid w:val="00900912"/>
    <w:rsid w:val="009013B8"/>
    <w:rsid w:val="00901765"/>
    <w:rsid w:val="00901F1D"/>
    <w:rsid w:val="009028E8"/>
    <w:rsid w:val="00902CC9"/>
    <w:rsid w:val="00902E5C"/>
    <w:rsid w:val="0090363E"/>
    <w:rsid w:val="00903679"/>
    <w:rsid w:val="00903788"/>
    <w:rsid w:val="00903C57"/>
    <w:rsid w:val="009046E5"/>
    <w:rsid w:val="00904782"/>
    <w:rsid w:val="009047C5"/>
    <w:rsid w:val="00906007"/>
    <w:rsid w:val="00906166"/>
    <w:rsid w:val="00906C54"/>
    <w:rsid w:val="00906D34"/>
    <w:rsid w:val="009100A1"/>
    <w:rsid w:val="00910683"/>
    <w:rsid w:val="00910E00"/>
    <w:rsid w:val="00910E04"/>
    <w:rsid w:val="009116CE"/>
    <w:rsid w:val="00911714"/>
    <w:rsid w:val="00911D04"/>
    <w:rsid w:val="00911EFF"/>
    <w:rsid w:val="00913035"/>
    <w:rsid w:val="0091310F"/>
    <w:rsid w:val="009136D4"/>
    <w:rsid w:val="00914B9A"/>
    <w:rsid w:val="00914C3F"/>
    <w:rsid w:val="00914F33"/>
    <w:rsid w:val="00915EFE"/>
    <w:rsid w:val="00915FCE"/>
    <w:rsid w:val="00916907"/>
    <w:rsid w:val="00916AFE"/>
    <w:rsid w:val="00916FC8"/>
    <w:rsid w:val="009170D3"/>
    <w:rsid w:val="0091759C"/>
    <w:rsid w:val="009177F5"/>
    <w:rsid w:val="00917CBE"/>
    <w:rsid w:val="00920026"/>
    <w:rsid w:val="009203E2"/>
    <w:rsid w:val="009207DF"/>
    <w:rsid w:val="00920BF5"/>
    <w:rsid w:val="00920F61"/>
    <w:rsid w:val="00921304"/>
    <w:rsid w:val="00921395"/>
    <w:rsid w:val="00921805"/>
    <w:rsid w:val="00921E63"/>
    <w:rsid w:val="009220F6"/>
    <w:rsid w:val="00923396"/>
    <w:rsid w:val="00923A05"/>
    <w:rsid w:val="00923F56"/>
    <w:rsid w:val="009242A6"/>
    <w:rsid w:val="00924770"/>
    <w:rsid w:val="00925022"/>
    <w:rsid w:val="00925346"/>
    <w:rsid w:val="0092557B"/>
    <w:rsid w:val="00925743"/>
    <w:rsid w:val="0092579F"/>
    <w:rsid w:val="00927E8D"/>
    <w:rsid w:val="00927F23"/>
    <w:rsid w:val="009307CD"/>
    <w:rsid w:val="0093110D"/>
    <w:rsid w:val="00931364"/>
    <w:rsid w:val="00931365"/>
    <w:rsid w:val="00931427"/>
    <w:rsid w:val="00931451"/>
    <w:rsid w:val="009314FA"/>
    <w:rsid w:val="0093194F"/>
    <w:rsid w:val="00931BF3"/>
    <w:rsid w:val="00931C55"/>
    <w:rsid w:val="0093228F"/>
    <w:rsid w:val="00933333"/>
    <w:rsid w:val="0093349A"/>
    <w:rsid w:val="0093360C"/>
    <w:rsid w:val="009338BA"/>
    <w:rsid w:val="00933FCB"/>
    <w:rsid w:val="009346C8"/>
    <w:rsid w:val="00934CEC"/>
    <w:rsid w:val="00934E69"/>
    <w:rsid w:val="0093576F"/>
    <w:rsid w:val="00935E70"/>
    <w:rsid w:val="0093609A"/>
    <w:rsid w:val="00937401"/>
    <w:rsid w:val="009376FB"/>
    <w:rsid w:val="00937D6B"/>
    <w:rsid w:val="00937EB5"/>
    <w:rsid w:val="00940207"/>
    <w:rsid w:val="00940477"/>
    <w:rsid w:val="00940876"/>
    <w:rsid w:val="00940A53"/>
    <w:rsid w:val="00940DBD"/>
    <w:rsid w:val="00940F3C"/>
    <w:rsid w:val="009410E0"/>
    <w:rsid w:val="00941B72"/>
    <w:rsid w:val="00941FA9"/>
    <w:rsid w:val="009439B6"/>
    <w:rsid w:val="009444B4"/>
    <w:rsid w:val="00944644"/>
    <w:rsid w:val="00945281"/>
    <w:rsid w:val="009459EA"/>
    <w:rsid w:val="00945DAE"/>
    <w:rsid w:val="00946A24"/>
    <w:rsid w:val="009470D4"/>
    <w:rsid w:val="00947337"/>
    <w:rsid w:val="009477BD"/>
    <w:rsid w:val="00947E6E"/>
    <w:rsid w:val="00950A54"/>
    <w:rsid w:val="009512EA"/>
    <w:rsid w:val="009512FA"/>
    <w:rsid w:val="009516A9"/>
    <w:rsid w:val="00951E57"/>
    <w:rsid w:val="00952350"/>
    <w:rsid w:val="00952505"/>
    <w:rsid w:val="00953018"/>
    <w:rsid w:val="009533E2"/>
    <w:rsid w:val="00953554"/>
    <w:rsid w:val="0095385A"/>
    <w:rsid w:val="00954F3A"/>
    <w:rsid w:val="00955541"/>
    <w:rsid w:val="00955DFD"/>
    <w:rsid w:val="0095674F"/>
    <w:rsid w:val="0095747E"/>
    <w:rsid w:val="0095780A"/>
    <w:rsid w:val="009578C3"/>
    <w:rsid w:val="009579E4"/>
    <w:rsid w:val="00957AA4"/>
    <w:rsid w:val="00957ACB"/>
    <w:rsid w:val="00957F27"/>
    <w:rsid w:val="00960BDB"/>
    <w:rsid w:val="0096105C"/>
    <w:rsid w:val="0096147D"/>
    <w:rsid w:val="0096181D"/>
    <w:rsid w:val="00961C14"/>
    <w:rsid w:val="00961D53"/>
    <w:rsid w:val="00961E5F"/>
    <w:rsid w:val="009625C6"/>
    <w:rsid w:val="009629B5"/>
    <w:rsid w:val="00962A50"/>
    <w:rsid w:val="00962C93"/>
    <w:rsid w:val="00963550"/>
    <w:rsid w:val="00963A67"/>
    <w:rsid w:val="00964138"/>
    <w:rsid w:val="009648D6"/>
    <w:rsid w:val="00964B3F"/>
    <w:rsid w:val="00964C98"/>
    <w:rsid w:val="00966948"/>
    <w:rsid w:val="00970D33"/>
    <w:rsid w:val="00971441"/>
    <w:rsid w:val="00971555"/>
    <w:rsid w:val="009715D4"/>
    <w:rsid w:val="009715E1"/>
    <w:rsid w:val="0097179A"/>
    <w:rsid w:val="009717AE"/>
    <w:rsid w:val="00971B0A"/>
    <w:rsid w:val="00972AB2"/>
    <w:rsid w:val="009731F4"/>
    <w:rsid w:val="009732A4"/>
    <w:rsid w:val="00973AB3"/>
    <w:rsid w:val="00973C05"/>
    <w:rsid w:val="0097494E"/>
    <w:rsid w:val="00974999"/>
    <w:rsid w:val="00974B58"/>
    <w:rsid w:val="00974CBD"/>
    <w:rsid w:val="00974EF6"/>
    <w:rsid w:val="00975445"/>
    <w:rsid w:val="009755CA"/>
    <w:rsid w:val="009761ED"/>
    <w:rsid w:val="009767BE"/>
    <w:rsid w:val="00976FFF"/>
    <w:rsid w:val="00977F52"/>
    <w:rsid w:val="0098022F"/>
    <w:rsid w:val="009810DE"/>
    <w:rsid w:val="00981B91"/>
    <w:rsid w:val="009822D7"/>
    <w:rsid w:val="009827E6"/>
    <w:rsid w:val="00982F84"/>
    <w:rsid w:val="009831C3"/>
    <w:rsid w:val="00983310"/>
    <w:rsid w:val="009838C1"/>
    <w:rsid w:val="0098427D"/>
    <w:rsid w:val="00984567"/>
    <w:rsid w:val="00984BBB"/>
    <w:rsid w:val="00985102"/>
    <w:rsid w:val="009854BC"/>
    <w:rsid w:val="00985A66"/>
    <w:rsid w:val="0098606C"/>
    <w:rsid w:val="009865D5"/>
    <w:rsid w:val="009866A4"/>
    <w:rsid w:val="00986CD7"/>
    <w:rsid w:val="0098721B"/>
    <w:rsid w:val="009876F2"/>
    <w:rsid w:val="00987C77"/>
    <w:rsid w:val="00987E4B"/>
    <w:rsid w:val="00987FED"/>
    <w:rsid w:val="009901A1"/>
    <w:rsid w:val="00990345"/>
    <w:rsid w:val="00990701"/>
    <w:rsid w:val="009909A8"/>
    <w:rsid w:val="0099119C"/>
    <w:rsid w:val="0099137A"/>
    <w:rsid w:val="00991A9D"/>
    <w:rsid w:val="00991AED"/>
    <w:rsid w:val="0099211C"/>
    <w:rsid w:val="00992270"/>
    <w:rsid w:val="009928AF"/>
    <w:rsid w:val="00993013"/>
    <w:rsid w:val="0099308E"/>
    <w:rsid w:val="009930AB"/>
    <w:rsid w:val="00993125"/>
    <w:rsid w:val="00993B78"/>
    <w:rsid w:val="00994743"/>
    <w:rsid w:val="00994F3F"/>
    <w:rsid w:val="00995119"/>
    <w:rsid w:val="0099531F"/>
    <w:rsid w:val="009953AD"/>
    <w:rsid w:val="00995461"/>
    <w:rsid w:val="009957D7"/>
    <w:rsid w:val="0099583D"/>
    <w:rsid w:val="0099591E"/>
    <w:rsid w:val="00996020"/>
    <w:rsid w:val="0099629E"/>
    <w:rsid w:val="009967A4"/>
    <w:rsid w:val="00996851"/>
    <w:rsid w:val="00996897"/>
    <w:rsid w:val="00996992"/>
    <w:rsid w:val="00996CE5"/>
    <w:rsid w:val="00996E1E"/>
    <w:rsid w:val="00997148"/>
    <w:rsid w:val="00997392"/>
    <w:rsid w:val="0099747C"/>
    <w:rsid w:val="0099771C"/>
    <w:rsid w:val="009A01E4"/>
    <w:rsid w:val="009A0917"/>
    <w:rsid w:val="009A0A33"/>
    <w:rsid w:val="009A10B2"/>
    <w:rsid w:val="009A1351"/>
    <w:rsid w:val="009A2041"/>
    <w:rsid w:val="009A2435"/>
    <w:rsid w:val="009A2B60"/>
    <w:rsid w:val="009A2D3B"/>
    <w:rsid w:val="009A306E"/>
    <w:rsid w:val="009A35DC"/>
    <w:rsid w:val="009A38AB"/>
    <w:rsid w:val="009A38EC"/>
    <w:rsid w:val="009A39EE"/>
    <w:rsid w:val="009A3A33"/>
    <w:rsid w:val="009A3D47"/>
    <w:rsid w:val="009A4C64"/>
    <w:rsid w:val="009A4D63"/>
    <w:rsid w:val="009A5356"/>
    <w:rsid w:val="009A5468"/>
    <w:rsid w:val="009A55D8"/>
    <w:rsid w:val="009A5D99"/>
    <w:rsid w:val="009A5DC6"/>
    <w:rsid w:val="009A608C"/>
    <w:rsid w:val="009A62E5"/>
    <w:rsid w:val="009A6FDF"/>
    <w:rsid w:val="009A715F"/>
    <w:rsid w:val="009A76D6"/>
    <w:rsid w:val="009A7BEB"/>
    <w:rsid w:val="009B03F1"/>
    <w:rsid w:val="009B1481"/>
    <w:rsid w:val="009B2374"/>
    <w:rsid w:val="009B28D6"/>
    <w:rsid w:val="009B2E29"/>
    <w:rsid w:val="009B2E78"/>
    <w:rsid w:val="009B3163"/>
    <w:rsid w:val="009B422F"/>
    <w:rsid w:val="009B46BC"/>
    <w:rsid w:val="009B48F8"/>
    <w:rsid w:val="009B4D1A"/>
    <w:rsid w:val="009B519D"/>
    <w:rsid w:val="009B558B"/>
    <w:rsid w:val="009B5DAA"/>
    <w:rsid w:val="009B663F"/>
    <w:rsid w:val="009B6D21"/>
    <w:rsid w:val="009B78ED"/>
    <w:rsid w:val="009C0783"/>
    <w:rsid w:val="009C08D7"/>
    <w:rsid w:val="009C181C"/>
    <w:rsid w:val="009C1A44"/>
    <w:rsid w:val="009C1C7F"/>
    <w:rsid w:val="009C1EC7"/>
    <w:rsid w:val="009C2210"/>
    <w:rsid w:val="009C28A2"/>
    <w:rsid w:val="009C3239"/>
    <w:rsid w:val="009C3828"/>
    <w:rsid w:val="009C3AD3"/>
    <w:rsid w:val="009C3AF4"/>
    <w:rsid w:val="009C3D2C"/>
    <w:rsid w:val="009C4987"/>
    <w:rsid w:val="009C4FDE"/>
    <w:rsid w:val="009C523F"/>
    <w:rsid w:val="009C59BF"/>
    <w:rsid w:val="009C5E4F"/>
    <w:rsid w:val="009C5F64"/>
    <w:rsid w:val="009C5F82"/>
    <w:rsid w:val="009C60EA"/>
    <w:rsid w:val="009C6495"/>
    <w:rsid w:val="009C6BFC"/>
    <w:rsid w:val="009C70F8"/>
    <w:rsid w:val="009C78A3"/>
    <w:rsid w:val="009C7E68"/>
    <w:rsid w:val="009D00D7"/>
    <w:rsid w:val="009D0156"/>
    <w:rsid w:val="009D03B4"/>
    <w:rsid w:val="009D05DA"/>
    <w:rsid w:val="009D0AF9"/>
    <w:rsid w:val="009D11F6"/>
    <w:rsid w:val="009D1A14"/>
    <w:rsid w:val="009D1E2A"/>
    <w:rsid w:val="009D1FA0"/>
    <w:rsid w:val="009D23D3"/>
    <w:rsid w:val="009D28E8"/>
    <w:rsid w:val="009D2BDF"/>
    <w:rsid w:val="009D3736"/>
    <w:rsid w:val="009D3D06"/>
    <w:rsid w:val="009D4529"/>
    <w:rsid w:val="009D460F"/>
    <w:rsid w:val="009D604F"/>
    <w:rsid w:val="009D61BB"/>
    <w:rsid w:val="009D6410"/>
    <w:rsid w:val="009D68BB"/>
    <w:rsid w:val="009D6909"/>
    <w:rsid w:val="009D700F"/>
    <w:rsid w:val="009D70C2"/>
    <w:rsid w:val="009D7244"/>
    <w:rsid w:val="009D7ADB"/>
    <w:rsid w:val="009D7B33"/>
    <w:rsid w:val="009E0490"/>
    <w:rsid w:val="009E06C3"/>
    <w:rsid w:val="009E0703"/>
    <w:rsid w:val="009E0767"/>
    <w:rsid w:val="009E1035"/>
    <w:rsid w:val="009E13D2"/>
    <w:rsid w:val="009E16DA"/>
    <w:rsid w:val="009E1CD4"/>
    <w:rsid w:val="009E2103"/>
    <w:rsid w:val="009E2391"/>
    <w:rsid w:val="009E2A11"/>
    <w:rsid w:val="009E2C0F"/>
    <w:rsid w:val="009E3BEE"/>
    <w:rsid w:val="009E476A"/>
    <w:rsid w:val="009E4A16"/>
    <w:rsid w:val="009E4E05"/>
    <w:rsid w:val="009E56FF"/>
    <w:rsid w:val="009E5CB1"/>
    <w:rsid w:val="009E5E56"/>
    <w:rsid w:val="009E61EA"/>
    <w:rsid w:val="009E6990"/>
    <w:rsid w:val="009E6BA8"/>
    <w:rsid w:val="009E6FEE"/>
    <w:rsid w:val="009E7068"/>
    <w:rsid w:val="009E788D"/>
    <w:rsid w:val="009E790A"/>
    <w:rsid w:val="009E794B"/>
    <w:rsid w:val="009F00B9"/>
    <w:rsid w:val="009F060F"/>
    <w:rsid w:val="009F0781"/>
    <w:rsid w:val="009F0850"/>
    <w:rsid w:val="009F15A8"/>
    <w:rsid w:val="009F1950"/>
    <w:rsid w:val="009F1BDF"/>
    <w:rsid w:val="009F1EAE"/>
    <w:rsid w:val="009F210A"/>
    <w:rsid w:val="009F2732"/>
    <w:rsid w:val="009F2848"/>
    <w:rsid w:val="009F2A31"/>
    <w:rsid w:val="009F369D"/>
    <w:rsid w:val="009F36FE"/>
    <w:rsid w:val="009F3865"/>
    <w:rsid w:val="009F3C87"/>
    <w:rsid w:val="009F4990"/>
    <w:rsid w:val="009F4F25"/>
    <w:rsid w:val="009F59C2"/>
    <w:rsid w:val="009F6DD3"/>
    <w:rsid w:val="009F7263"/>
    <w:rsid w:val="009F76EA"/>
    <w:rsid w:val="009F78EB"/>
    <w:rsid w:val="009F7DB2"/>
    <w:rsid w:val="009F7F32"/>
    <w:rsid w:val="009F7FEB"/>
    <w:rsid w:val="00A003D5"/>
    <w:rsid w:val="00A0056C"/>
    <w:rsid w:val="00A00F5E"/>
    <w:rsid w:val="00A0109F"/>
    <w:rsid w:val="00A0120D"/>
    <w:rsid w:val="00A01852"/>
    <w:rsid w:val="00A0188B"/>
    <w:rsid w:val="00A01C35"/>
    <w:rsid w:val="00A01E73"/>
    <w:rsid w:val="00A01F7E"/>
    <w:rsid w:val="00A023E7"/>
    <w:rsid w:val="00A02B88"/>
    <w:rsid w:val="00A02EF9"/>
    <w:rsid w:val="00A03160"/>
    <w:rsid w:val="00A036AC"/>
    <w:rsid w:val="00A03C54"/>
    <w:rsid w:val="00A03DE5"/>
    <w:rsid w:val="00A041BC"/>
    <w:rsid w:val="00A041C0"/>
    <w:rsid w:val="00A0447F"/>
    <w:rsid w:val="00A04532"/>
    <w:rsid w:val="00A046D2"/>
    <w:rsid w:val="00A04A54"/>
    <w:rsid w:val="00A056D2"/>
    <w:rsid w:val="00A058B8"/>
    <w:rsid w:val="00A05B4B"/>
    <w:rsid w:val="00A066C3"/>
    <w:rsid w:val="00A06754"/>
    <w:rsid w:val="00A069E0"/>
    <w:rsid w:val="00A06E4A"/>
    <w:rsid w:val="00A06EB6"/>
    <w:rsid w:val="00A070E9"/>
    <w:rsid w:val="00A07630"/>
    <w:rsid w:val="00A0789B"/>
    <w:rsid w:val="00A078FB"/>
    <w:rsid w:val="00A10209"/>
    <w:rsid w:val="00A1036D"/>
    <w:rsid w:val="00A1057A"/>
    <w:rsid w:val="00A1069F"/>
    <w:rsid w:val="00A10ACA"/>
    <w:rsid w:val="00A10D08"/>
    <w:rsid w:val="00A11720"/>
    <w:rsid w:val="00A11E78"/>
    <w:rsid w:val="00A12355"/>
    <w:rsid w:val="00A12574"/>
    <w:rsid w:val="00A127D2"/>
    <w:rsid w:val="00A1284E"/>
    <w:rsid w:val="00A12AFA"/>
    <w:rsid w:val="00A13CF5"/>
    <w:rsid w:val="00A13EEC"/>
    <w:rsid w:val="00A143EC"/>
    <w:rsid w:val="00A149E8"/>
    <w:rsid w:val="00A1500F"/>
    <w:rsid w:val="00A15621"/>
    <w:rsid w:val="00A15670"/>
    <w:rsid w:val="00A157A0"/>
    <w:rsid w:val="00A1585B"/>
    <w:rsid w:val="00A15C19"/>
    <w:rsid w:val="00A15FE9"/>
    <w:rsid w:val="00A16809"/>
    <w:rsid w:val="00A17584"/>
    <w:rsid w:val="00A17769"/>
    <w:rsid w:val="00A17CA5"/>
    <w:rsid w:val="00A17EA2"/>
    <w:rsid w:val="00A20264"/>
    <w:rsid w:val="00A20997"/>
    <w:rsid w:val="00A210D4"/>
    <w:rsid w:val="00A213DD"/>
    <w:rsid w:val="00A21454"/>
    <w:rsid w:val="00A216CE"/>
    <w:rsid w:val="00A216FB"/>
    <w:rsid w:val="00A22025"/>
    <w:rsid w:val="00A22498"/>
    <w:rsid w:val="00A22571"/>
    <w:rsid w:val="00A2298D"/>
    <w:rsid w:val="00A235B1"/>
    <w:rsid w:val="00A235E1"/>
    <w:rsid w:val="00A237CD"/>
    <w:rsid w:val="00A24560"/>
    <w:rsid w:val="00A25088"/>
    <w:rsid w:val="00A25833"/>
    <w:rsid w:val="00A25B0F"/>
    <w:rsid w:val="00A25BBB"/>
    <w:rsid w:val="00A27FB6"/>
    <w:rsid w:val="00A30121"/>
    <w:rsid w:val="00A30368"/>
    <w:rsid w:val="00A3043A"/>
    <w:rsid w:val="00A30E02"/>
    <w:rsid w:val="00A30F6A"/>
    <w:rsid w:val="00A31060"/>
    <w:rsid w:val="00A31C3E"/>
    <w:rsid w:val="00A331E4"/>
    <w:rsid w:val="00A34538"/>
    <w:rsid w:val="00A34677"/>
    <w:rsid w:val="00A3540F"/>
    <w:rsid w:val="00A35630"/>
    <w:rsid w:val="00A35914"/>
    <w:rsid w:val="00A35E91"/>
    <w:rsid w:val="00A36189"/>
    <w:rsid w:val="00A361D8"/>
    <w:rsid w:val="00A3677A"/>
    <w:rsid w:val="00A37E73"/>
    <w:rsid w:val="00A37FB6"/>
    <w:rsid w:val="00A409E2"/>
    <w:rsid w:val="00A4104A"/>
    <w:rsid w:val="00A41081"/>
    <w:rsid w:val="00A411CA"/>
    <w:rsid w:val="00A42080"/>
    <w:rsid w:val="00A42096"/>
    <w:rsid w:val="00A426F3"/>
    <w:rsid w:val="00A42FDF"/>
    <w:rsid w:val="00A430A9"/>
    <w:rsid w:val="00A431FE"/>
    <w:rsid w:val="00A4384F"/>
    <w:rsid w:val="00A439E5"/>
    <w:rsid w:val="00A4414E"/>
    <w:rsid w:val="00A4497A"/>
    <w:rsid w:val="00A44AB5"/>
    <w:rsid w:val="00A44BE8"/>
    <w:rsid w:val="00A44C96"/>
    <w:rsid w:val="00A44CDD"/>
    <w:rsid w:val="00A44F54"/>
    <w:rsid w:val="00A45F9B"/>
    <w:rsid w:val="00A46574"/>
    <w:rsid w:val="00A46A5F"/>
    <w:rsid w:val="00A47701"/>
    <w:rsid w:val="00A47849"/>
    <w:rsid w:val="00A500B1"/>
    <w:rsid w:val="00A50238"/>
    <w:rsid w:val="00A51D65"/>
    <w:rsid w:val="00A52A53"/>
    <w:rsid w:val="00A52EE5"/>
    <w:rsid w:val="00A53037"/>
    <w:rsid w:val="00A532B9"/>
    <w:rsid w:val="00A5351D"/>
    <w:rsid w:val="00A53E79"/>
    <w:rsid w:val="00A5402C"/>
    <w:rsid w:val="00A54031"/>
    <w:rsid w:val="00A5426D"/>
    <w:rsid w:val="00A54895"/>
    <w:rsid w:val="00A54FC2"/>
    <w:rsid w:val="00A55122"/>
    <w:rsid w:val="00A55806"/>
    <w:rsid w:val="00A55CEA"/>
    <w:rsid w:val="00A560A9"/>
    <w:rsid w:val="00A56A00"/>
    <w:rsid w:val="00A56DE7"/>
    <w:rsid w:val="00A572F4"/>
    <w:rsid w:val="00A57EB2"/>
    <w:rsid w:val="00A6009E"/>
    <w:rsid w:val="00A60265"/>
    <w:rsid w:val="00A60540"/>
    <w:rsid w:val="00A60B1F"/>
    <w:rsid w:val="00A611B1"/>
    <w:rsid w:val="00A6144B"/>
    <w:rsid w:val="00A61C60"/>
    <w:rsid w:val="00A622EA"/>
    <w:rsid w:val="00A62589"/>
    <w:rsid w:val="00A62AD0"/>
    <w:rsid w:val="00A62B6D"/>
    <w:rsid w:val="00A62C3A"/>
    <w:rsid w:val="00A6319C"/>
    <w:rsid w:val="00A63812"/>
    <w:rsid w:val="00A63DF7"/>
    <w:rsid w:val="00A6454D"/>
    <w:rsid w:val="00A64767"/>
    <w:rsid w:val="00A64F2F"/>
    <w:rsid w:val="00A65960"/>
    <w:rsid w:val="00A6611E"/>
    <w:rsid w:val="00A6662C"/>
    <w:rsid w:val="00A668BA"/>
    <w:rsid w:val="00A66FA7"/>
    <w:rsid w:val="00A67170"/>
    <w:rsid w:val="00A67775"/>
    <w:rsid w:val="00A67E16"/>
    <w:rsid w:val="00A67EB1"/>
    <w:rsid w:val="00A67F1C"/>
    <w:rsid w:val="00A703CC"/>
    <w:rsid w:val="00A70C5C"/>
    <w:rsid w:val="00A710A2"/>
    <w:rsid w:val="00A71EA7"/>
    <w:rsid w:val="00A730AD"/>
    <w:rsid w:val="00A73855"/>
    <w:rsid w:val="00A73D64"/>
    <w:rsid w:val="00A74216"/>
    <w:rsid w:val="00A74360"/>
    <w:rsid w:val="00A744B4"/>
    <w:rsid w:val="00A751E3"/>
    <w:rsid w:val="00A7536B"/>
    <w:rsid w:val="00A753B9"/>
    <w:rsid w:val="00A7549A"/>
    <w:rsid w:val="00A75504"/>
    <w:rsid w:val="00A75F2E"/>
    <w:rsid w:val="00A75FD7"/>
    <w:rsid w:val="00A77168"/>
    <w:rsid w:val="00A7723B"/>
    <w:rsid w:val="00A773C3"/>
    <w:rsid w:val="00A7793C"/>
    <w:rsid w:val="00A77D21"/>
    <w:rsid w:val="00A80085"/>
    <w:rsid w:val="00A8043B"/>
    <w:rsid w:val="00A80DA0"/>
    <w:rsid w:val="00A80E81"/>
    <w:rsid w:val="00A81323"/>
    <w:rsid w:val="00A820CB"/>
    <w:rsid w:val="00A82342"/>
    <w:rsid w:val="00A8236F"/>
    <w:rsid w:val="00A82D06"/>
    <w:rsid w:val="00A83096"/>
    <w:rsid w:val="00A832DB"/>
    <w:rsid w:val="00A83BEF"/>
    <w:rsid w:val="00A83C21"/>
    <w:rsid w:val="00A84443"/>
    <w:rsid w:val="00A8487F"/>
    <w:rsid w:val="00A84935"/>
    <w:rsid w:val="00A849A3"/>
    <w:rsid w:val="00A84A0E"/>
    <w:rsid w:val="00A8575D"/>
    <w:rsid w:val="00A861F4"/>
    <w:rsid w:val="00A86E0B"/>
    <w:rsid w:val="00A90546"/>
    <w:rsid w:val="00A90AD3"/>
    <w:rsid w:val="00A90F12"/>
    <w:rsid w:val="00A91C08"/>
    <w:rsid w:val="00A91DAA"/>
    <w:rsid w:val="00A928D0"/>
    <w:rsid w:val="00A93101"/>
    <w:rsid w:val="00A93239"/>
    <w:rsid w:val="00A9413E"/>
    <w:rsid w:val="00A94293"/>
    <w:rsid w:val="00A9496E"/>
    <w:rsid w:val="00A949F0"/>
    <w:rsid w:val="00A94BDE"/>
    <w:rsid w:val="00A94FCA"/>
    <w:rsid w:val="00A95E4C"/>
    <w:rsid w:val="00A96418"/>
    <w:rsid w:val="00A96C60"/>
    <w:rsid w:val="00A9740B"/>
    <w:rsid w:val="00A9766C"/>
    <w:rsid w:val="00A977F8"/>
    <w:rsid w:val="00A979DB"/>
    <w:rsid w:val="00A97A40"/>
    <w:rsid w:val="00A97AE8"/>
    <w:rsid w:val="00A97C93"/>
    <w:rsid w:val="00AA06C6"/>
    <w:rsid w:val="00AA0856"/>
    <w:rsid w:val="00AA08E7"/>
    <w:rsid w:val="00AA0A06"/>
    <w:rsid w:val="00AA1351"/>
    <w:rsid w:val="00AA1778"/>
    <w:rsid w:val="00AA184C"/>
    <w:rsid w:val="00AA1AF4"/>
    <w:rsid w:val="00AA1C84"/>
    <w:rsid w:val="00AA31C5"/>
    <w:rsid w:val="00AA3D7B"/>
    <w:rsid w:val="00AA42A0"/>
    <w:rsid w:val="00AA442B"/>
    <w:rsid w:val="00AA46A4"/>
    <w:rsid w:val="00AA47FA"/>
    <w:rsid w:val="00AA4BEB"/>
    <w:rsid w:val="00AA5779"/>
    <w:rsid w:val="00AA58A1"/>
    <w:rsid w:val="00AA5E49"/>
    <w:rsid w:val="00AA61C7"/>
    <w:rsid w:val="00AA669D"/>
    <w:rsid w:val="00AA66ED"/>
    <w:rsid w:val="00AA6B59"/>
    <w:rsid w:val="00AA6BE1"/>
    <w:rsid w:val="00AA6DB2"/>
    <w:rsid w:val="00AA7416"/>
    <w:rsid w:val="00AA7A60"/>
    <w:rsid w:val="00AA7B42"/>
    <w:rsid w:val="00AB041C"/>
    <w:rsid w:val="00AB0493"/>
    <w:rsid w:val="00AB14E8"/>
    <w:rsid w:val="00AB1B1D"/>
    <w:rsid w:val="00AB1CD8"/>
    <w:rsid w:val="00AB2216"/>
    <w:rsid w:val="00AB358D"/>
    <w:rsid w:val="00AB37A1"/>
    <w:rsid w:val="00AB3BAD"/>
    <w:rsid w:val="00AB3CFD"/>
    <w:rsid w:val="00AB49BC"/>
    <w:rsid w:val="00AB4DEE"/>
    <w:rsid w:val="00AB4E32"/>
    <w:rsid w:val="00AB5C19"/>
    <w:rsid w:val="00AB60F5"/>
    <w:rsid w:val="00AB724B"/>
    <w:rsid w:val="00AB726C"/>
    <w:rsid w:val="00AB72B4"/>
    <w:rsid w:val="00AB7549"/>
    <w:rsid w:val="00AB7A7A"/>
    <w:rsid w:val="00AC02AA"/>
    <w:rsid w:val="00AC0537"/>
    <w:rsid w:val="00AC0A84"/>
    <w:rsid w:val="00AC1508"/>
    <w:rsid w:val="00AC2A0B"/>
    <w:rsid w:val="00AC2BEE"/>
    <w:rsid w:val="00AC2E53"/>
    <w:rsid w:val="00AC484F"/>
    <w:rsid w:val="00AC4AD2"/>
    <w:rsid w:val="00AC4B20"/>
    <w:rsid w:val="00AC51DF"/>
    <w:rsid w:val="00AC5395"/>
    <w:rsid w:val="00AC55C7"/>
    <w:rsid w:val="00AC56F2"/>
    <w:rsid w:val="00AC5D9D"/>
    <w:rsid w:val="00AC6B7E"/>
    <w:rsid w:val="00AC71C3"/>
    <w:rsid w:val="00AC7356"/>
    <w:rsid w:val="00AD0617"/>
    <w:rsid w:val="00AD0861"/>
    <w:rsid w:val="00AD09F7"/>
    <w:rsid w:val="00AD1B10"/>
    <w:rsid w:val="00AD1EFA"/>
    <w:rsid w:val="00AD2072"/>
    <w:rsid w:val="00AD2DBD"/>
    <w:rsid w:val="00AD2FBF"/>
    <w:rsid w:val="00AD30DB"/>
    <w:rsid w:val="00AD33A1"/>
    <w:rsid w:val="00AD340E"/>
    <w:rsid w:val="00AD4511"/>
    <w:rsid w:val="00AD455D"/>
    <w:rsid w:val="00AD463C"/>
    <w:rsid w:val="00AD470B"/>
    <w:rsid w:val="00AD4864"/>
    <w:rsid w:val="00AD4F60"/>
    <w:rsid w:val="00AD5044"/>
    <w:rsid w:val="00AD5114"/>
    <w:rsid w:val="00AD51D2"/>
    <w:rsid w:val="00AD5523"/>
    <w:rsid w:val="00AD5740"/>
    <w:rsid w:val="00AD604D"/>
    <w:rsid w:val="00AD6236"/>
    <w:rsid w:val="00AD69D5"/>
    <w:rsid w:val="00AD7619"/>
    <w:rsid w:val="00AD7770"/>
    <w:rsid w:val="00AE0053"/>
    <w:rsid w:val="00AE075C"/>
    <w:rsid w:val="00AE15DF"/>
    <w:rsid w:val="00AE1713"/>
    <w:rsid w:val="00AE1772"/>
    <w:rsid w:val="00AE1990"/>
    <w:rsid w:val="00AE25E8"/>
    <w:rsid w:val="00AE2AD4"/>
    <w:rsid w:val="00AE2CA7"/>
    <w:rsid w:val="00AE2F1D"/>
    <w:rsid w:val="00AE4C81"/>
    <w:rsid w:val="00AE586F"/>
    <w:rsid w:val="00AE6188"/>
    <w:rsid w:val="00AE62F6"/>
    <w:rsid w:val="00AE62FE"/>
    <w:rsid w:val="00AE6447"/>
    <w:rsid w:val="00AE6582"/>
    <w:rsid w:val="00AE6DC5"/>
    <w:rsid w:val="00AE7388"/>
    <w:rsid w:val="00AE7686"/>
    <w:rsid w:val="00AE799A"/>
    <w:rsid w:val="00AE7CF1"/>
    <w:rsid w:val="00AF038D"/>
    <w:rsid w:val="00AF0E81"/>
    <w:rsid w:val="00AF117A"/>
    <w:rsid w:val="00AF134E"/>
    <w:rsid w:val="00AF16CA"/>
    <w:rsid w:val="00AF186E"/>
    <w:rsid w:val="00AF19DF"/>
    <w:rsid w:val="00AF1D41"/>
    <w:rsid w:val="00AF1FBF"/>
    <w:rsid w:val="00AF20DA"/>
    <w:rsid w:val="00AF26CF"/>
    <w:rsid w:val="00AF3124"/>
    <w:rsid w:val="00AF344D"/>
    <w:rsid w:val="00AF39B3"/>
    <w:rsid w:val="00AF3C1F"/>
    <w:rsid w:val="00AF3FED"/>
    <w:rsid w:val="00AF4402"/>
    <w:rsid w:val="00AF4639"/>
    <w:rsid w:val="00AF4E92"/>
    <w:rsid w:val="00AF554B"/>
    <w:rsid w:val="00AF5C9B"/>
    <w:rsid w:val="00AF5D53"/>
    <w:rsid w:val="00AF5E2D"/>
    <w:rsid w:val="00AF644B"/>
    <w:rsid w:val="00AF69EB"/>
    <w:rsid w:val="00AF6CA6"/>
    <w:rsid w:val="00AF6CBB"/>
    <w:rsid w:val="00AF6DEC"/>
    <w:rsid w:val="00AF6EB6"/>
    <w:rsid w:val="00AF73C4"/>
    <w:rsid w:val="00AF7796"/>
    <w:rsid w:val="00AF7E8F"/>
    <w:rsid w:val="00AF7EA3"/>
    <w:rsid w:val="00B011A9"/>
    <w:rsid w:val="00B01BAF"/>
    <w:rsid w:val="00B024ED"/>
    <w:rsid w:val="00B026B8"/>
    <w:rsid w:val="00B02EB3"/>
    <w:rsid w:val="00B02F7C"/>
    <w:rsid w:val="00B02FCB"/>
    <w:rsid w:val="00B033F8"/>
    <w:rsid w:val="00B0343B"/>
    <w:rsid w:val="00B03C1E"/>
    <w:rsid w:val="00B03C32"/>
    <w:rsid w:val="00B04400"/>
    <w:rsid w:val="00B04835"/>
    <w:rsid w:val="00B05901"/>
    <w:rsid w:val="00B05A55"/>
    <w:rsid w:val="00B05DE1"/>
    <w:rsid w:val="00B05F6C"/>
    <w:rsid w:val="00B06530"/>
    <w:rsid w:val="00B06595"/>
    <w:rsid w:val="00B06862"/>
    <w:rsid w:val="00B076C1"/>
    <w:rsid w:val="00B1003F"/>
    <w:rsid w:val="00B10109"/>
    <w:rsid w:val="00B1085E"/>
    <w:rsid w:val="00B10FD1"/>
    <w:rsid w:val="00B112D5"/>
    <w:rsid w:val="00B11378"/>
    <w:rsid w:val="00B1189E"/>
    <w:rsid w:val="00B11CC6"/>
    <w:rsid w:val="00B1219D"/>
    <w:rsid w:val="00B12735"/>
    <w:rsid w:val="00B12F44"/>
    <w:rsid w:val="00B12FBB"/>
    <w:rsid w:val="00B1345E"/>
    <w:rsid w:val="00B13C48"/>
    <w:rsid w:val="00B13E35"/>
    <w:rsid w:val="00B13EC0"/>
    <w:rsid w:val="00B14102"/>
    <w:rsid w:val="00B147B3"/>
    <w:rsid w:val="00B1498E"/>
    <w:rsid w:val="00B14D32"/>
    <w:rsid w:val="00B1507C"/>
    <w:rsid w:val="00B1557C"/>
    <w:rsid w:val="00B155DC"/>
    <w:rsid w:val="00B15766"/>
    <w:rsid w:val="00B15E4A"/>
    <w:rsid w:val="00B1666A"/>
    <w:rsid w:val="00B167C8"/>
    <w:rsid w:val="00B1686D"/>
    <w:rsid w:val="00B16BF7"/>
    <w:rsid w:val="00B17129"/>
    <w:rsid w:val="00B1741D"/>
    <w:rsid w:val="00B17447"/>
    <w:rsid w:val="00B17719"/>
    <w:rsid w:val="00B1771D"/>
    <w:rsid w:val="00B17B91"/>
    <w:rsid w:val="00B20209"/>
    <w:rsid w:val="00B203C9"/>
    <w:rsid w:val="00B205FA"/>
    <w:rsid w:val="00B2088D"/>
    <w:rsid w:val="00B208FF"/>
    <w:rsid w:val="00B20E85"/>
    <w:rsid w:val="00B21271"/>
    <w:rsid w:val="00B22E22"/>
    <w:rsid w:val="00B22F5F"/>
    <w:rsid w:val="00B2306B"/>
    <w:rsid w:val="00B23353"/>
    <w:rsid w:val="00B237E6"/>
    <w:rsid w:val="00B23813"/>
    <w:rsid w:val="00B23FBA"/>
    <w:rsid w:val="00B23FD9"/>
    <w:rsid w:val="00B24007"/>
    <w:rsid w:val="00B24591"/>
    <w:rsid w:val="00B245D5"/>
    <w:rsid w:val="00B245EF"/>
    <w:rsid w:val="00B24C36"/>
    <w:rsid w:val="00B24D9F"/>
    <w:rsid w:val="00B24F94"/>
    <w:rsid w:val="00B25126"/>
    <w:rsid w:val="00B25703"/>
    <w:rsid w:val="00B25A52"/>
    <w:rsid w:val="00B25EAF"/>
    <w:rsid w:val="00B25FC3"/>
    <w:rsid w:val="00B2692F"/>
    <w:rsid w:val="00B27875"/>
    <w:rsid w:val="00B3008D"/>
    <w:rsid w:val="00B3039D"/>
    <w:rsid w:val="00B30884"/>
    <w:rsid w:val="00B30E11"/>
    <w:rsid w:val="00B30EAE"/>
    <w:rsid w:val="00B30EEB"/>
    <w:rsid w:val="00B31423"/>
    <w:rsid w:val="00B314B3"/>
    <w:rsid w:val="00B317AE"/>
    <w:rsid w:val="00B323E0"/>
    <w:rsid w:val="00B32D71"/>
    <w:rsid w:val="00B32DC0"/>
    <w:rsid w:val="00B32E31"/>
    <w:rsid w:val="00B32F53"/>
    <w:rsid w:val="00B3346C"/>
    <w:rsid w:val="00B3353B"/>
    <w:rsid w:val="00B335E4"/>
    <w:rsid w:val="00B33C23"/>
    <w:rsid w:val="00B345B4"/>
    <w:rsid w:val="00B348B1"/>
    <w:rsid w:val="00B34A28"/>
    <w:rsid w:val="00B35046"/>
    <w:rsid w:val="00B3529F"/>
    <w:rsid w:val="00B357F4"/>
    <w:rsid w:val="00B35B6A"/>
    <w:rsid w:val="00B3692A"/>
    <w:rsid w:val="00B36AFD"/>
    <w:rsid w:val="00B36D2B"/>
    <w:rsid w:val="00B37369"/>
    <w:rsid w:val="00B37657"/>
    <w:rsid w:val="00B37AFD"/>
    <w:rsid w:val="00B37B07"/>
    <w:rsid w:val="00B4046F"/>
    <w:rsid w:val="00B406B3"/>
    <w:rsid w:val="00B40A36"/>
    <w:rsid w:val="00B41BCA"/>
    <w:rsid w:val="00B41D39"/>
    <w:rsid w:val="00B41E2B"/>
    <w:rsid w:val="00B4220B"/>
    <w:rsid w:val="00B422C0"/>
    <w:rsid w:val="00B426CA"/>
    <w:rsid w:val="00B426E1"/>
    <w:rsid w:val="00B434C1"/>
    <w:rsid w:val="00B43718"/>
    <w:rsid w:val="00B4387A"/>
    <w:rsid w:val="00B43A29"/>
    <w:rsid w:val="00B44746"/>
    <w:rsid w:val="00B44854"/>
    <w:rsid w:val="00B44BA5"/>
    <w:rsid w:val="00B455BD"/>
    <w:rsid w:val="00B458D0"/>
    <w:rsid w:val="00B45953"/>
    <w:rsid w:val="00B47428"/>
    <w:rsid w:val="00B4792C"/>
    <w:rsid w:val="00B507A9"/>
    <w:rsid w:val="00B50C5B"/>
    <w:rsid w:val="00B50CAE"/>
    <w:rsid w:val="00B50E93"/>
    <w:rsid w:val="00B512AD"/>
    <w:rsid w:val="00B51680"/>
    <w:rsid w:val="00B5196C"/>
    <w:rsid w:val="00B525CB"/>
    <w:rsid w:val="00B52697"/>
    <w:rsid w:val="00B53D1A"/>
    <w:rsid w:val="00B541E7"/>
    <w:rsid w:val="00B54215"/>
    <w:rsid w:val="00B54D8F"/>
    <w:rsid w:val="00B5534B"/>
    <w:rsid w:val="00B55857"/>
    <w:rsid w:val="00B55C69"/>
    <w:rsid w:val="00B56851"/>
    <w:rsid w:val="00B56D6E"/>
    <w:rsid w:val="00B572F7"/>
    <w:rsid w:val="00B57B9D"/>
    <w:rsid w:val="00B57DAF"/>
    <w:rsid w:val="00B57E74"/>
    <w:rsid w:val="00B60094"/>
    <w:rsid w:val="00B6022C"/>
    <w:rsid w:val="00B6040C"/>
    <w:rsid w:val="00B61119"/>
    <w:rsid w:val="00B614F8"/>
    <w:rsid w:val="00B61994"/>
    <w:rsid w:val="00B61B18"/>
    <w:rsid w:val="00B61FD4"/>
    <w:rsid w:val="00B6235B"/>
    <w:rsid w:val="00B62880"/>
    <w:rsid w:val="00B62CA0"/>
    <w:rsid w:val="00B63872"/>
    <w:rsid w:val="00B63CB2"/>
    <w:rsid w:val="00B64246"/>
    <w:rsid w:val="00B64EDB"/>
    <w:rsid w:val="00B65938"/>
    <w:rsid w:val="00B65C8A"/>
    <w:rsid w:val="00B65CE2"/>
    <w:rsid w:val="00B660AD"/>
    <w:rsid w:val="00B66109"/>
    <w:rsid w:val="00B66349"/>
    <w:rsid w:val="00B66515"/>
    <w:rsid w:val="00B669B3"/>
    <w:rsid w:val="00B67BE7"/>
    <w:rsid w:val="00B67FBF"/>
    <w:rsid w:val="00B70090"/>
    <w:rsid w:val="00B70832"/>
    <w:rsid w:val="00B71376"/>
    <w:rsid w:val="00B716D7"/>
    <w:rsid w:val="00B72110"/>
    <w:rsid w:val="00B72419"/>
    <w:rsid w:val="00B72B91"/>
    <w:rsid w:val="00B72CB0"/>
    <w:rsid w:val="00B73019"/>
    <w:rsid w:val="00B7315F"/>
    <w:rsid w:val="00B7323A"/>
    <w:rsid w:val="00B7353B"/>
    <w:rsid w:val="00B737FB"/>
    <w:rsid w:val="00B73E5D"/>
    <w:rsid w:val="00B73EF3"/>
    <w:rsid w:val="00B7423D"/>
    <w:rsid w:val="00B74366"/>
    <w:rsid w:val="00B74409"/>
    <w:rsid w:val="00B744EF"/>
    <w:rsid w:val="00B74D05"/>
    <w:rsid w:val="00B74EF8"/>
    <w:rsid w:val="00B75628"/>
    <w:rsid w:val="00B75893"/>
    <w:rsid w:val="00B763F4"/>
    <w:rsid w:val="00B76E53"/>
    <w:rsid w:val="00B771F4"/>
    <w:rsid w:val="00B77271"/>
    <w:rsid w:val="00B7762A"/>
    <w:rsid w:val="00B777FA"/>
    <w:rsid w:val="00B77850"/>
    <w:rsid w:val="00B7796B"/>
    <w:rsid w:val="00B80A7B"/>
    <w:rsid w:val="00B80C72"/>
    <w:rsid w:val="00B80F98"/>
    <w:rsid w:val="00B8101E"/>
    <w:rsid w:val="00B81964"/>
    <w:rsid w:val="00B81E6F"/>
    <w:rsid w:val="00B82123"/>
    <w:rsid w:val="00B8225B"/>
    <w:rsid w:val="00B82BB5"/>
    <w:rsid w:val="00B83182"/>
    <w:rsid w:val="00B837C8"/>
    <w:rsid w:val="00B839F0"/>
    <w:rsid w:val="00B851E4"/>
    <w:rsid w:val="00B8535C"/>
    <w:rsid w:val="00B854CE"/>
    <w:rsid w:val="00B85681"/>
    <w:rsid w:val="00B857EB"/>
    <w:rsid w:val="00B858AD"/>
    <w:rsid w:val="00B86162"/>
    <w:rsid w:val="00B86877"/>
    <w:rsid w:val="00B8695D"/>
    <w:rsid w:val="00B86C04"/>
    <w:rsid w:val="00B86E66"/>
    <w:rsid w:val="00B8709E"/>
    <w:rsid w:val="00B873BA"/>
    <w:rsid w:val="00B8746F"/>
    <w:rsid w:val="00B8760D"/>
    <w:rsid w:val="00B87706"/>
    <w:rsid w:val="00B90A49"/>
    <w:rsid w:val="00B90A73"/>
    <w:rsid w:val="00B91B8E"/>
    <w:rsid w:val="00B92531"/>
    <w:rsid w:val="00B92618"/>
    <w:rsid w:val="00B92751"/>
    <w:rsid w:val="00B92B69"/>
    <w:rsid w:val="00B92CC6"/>
    <w:rsid w:val="00B935C9"/>
    <w:rsid w:val="00B93E3D"/>
    <w:rsid w:val="00B94017"/>
    <w:rsid w:val="00B94498"/>
    <w:rsid w:val="00B94BD3"/>
    <w:rsid w:val="00B94C02"/>
    <w:rsid w:val="00B95165"/>
    <w:rsid w:val="00B95464"/>
    <w:rsid w:val="00B955CE"/>
    <w:rsid w:val="00B95C30"/>
    <w:rsid w:val="00B95E3D"/>
    <w:rsid w:val="00B9691F"/>
    <w:rsid w:val="00B96EEC"/>
    <w:rsid w:val="00B97392"/>
    <w:rsid w:val="00B976C7"/>
    <w:rsid w:val="00B97A73"/>
    <w:rsid w:val="00B97B5E"/>
    <w:rsid w:val="00BA087B"/>
    <w:rsid w:val="00BA0A51"/>
    <w:rsid w:val="00BA0C54"/>
    <w:rsid w:val="00BA1382"/>
    <w:rsid w:val="00BA15E3"/>
    <w:rsid w:val="00BA1A8C"/>
    <w:rsid w:val="00BA1D07"/>
    <w:rsid w:val="00BA20B6"/>
    <w:rsid w:val="00BA20D8"/>
    <w:rsid w:val="00BA22FC"/>
    <w:rsid w:val="00BA2C2A"/>
    <w:rsid w:val="00BA2F30"/>
    <w:rsid w:val="00BA3982"/>
    <w:rsid w:val="00BA405F"/>
    <w:rsid w:val="00BA4771"/>
    <w:rsid w:val="00BA482B"/>
    <w:rsid w:val="00BA5027"/>
    <w:rsid w:val="00BA543F"/>
    <w:rsid w:val="00BA5589"/>
    <w:rsid w:val="00BA55E0"/>
    <w:rsid w:val="00BA5D36"/>
    <w:rsid w:val="00BA665B"/>
    <w:rsid w:val="00BA6FE8"/>
    <w:rsid w:val="00BA732D"/>
    <w:rsid w:val="00BA7370"/>
    <w:rsid w:val="00BA778B"/>
    <w:rsid w:val="00BB0156"/>
    <w:rsid w:val="00BB0888"/>
    <w:rsid w:val="00BB0DF1"/>
    <w:rsid w:val="00BB0E49"/>
    <w:rsid w:val="00BB0E9B"/>
    <w:rsid w:val="00BB12EA"/>
    <w:rsid w:val="00BB1DCA"/>
    <w:rsid w:val="00BB2236"/>
    <w:rsid w:val="00BB2841"/>
    <w:rsid w:val="00BB2FC4"/>
    <w:rsid w:val="00BB300F"/>
    <w:rsid w:val="00BB32C9"/>
    <w:rsid w:val="00BB35C5"/>
    <w:rsid w:val="00BB3F26"/>
    <w:rsid w:val="00BB401E"/>
    <w:rsid w:val="00BB4048"/>
    <w:rsid w:val="00BB4C8E"/>
    <w:rsid w:val="00BB5324"/>
    <w:rsid w:val="00BB57ED"/>
    <w:rsid w:val="00BB5A2D"/>
    <w:rsid w:val="00BB606C"/>
    <w:rsid w:val="00BB65C3"/>
    <w:rsid w:val="00BB662E"/>
    <w:rsid w:val="00BB67A9"/>
    <w:rsid w:val="00BB6C01"/>
    <w:rsid w:val="00BB7942"/>
    <w:rsid w:val="00BB7B13"/>
    <w:rsid w:val="00BB7CD1"/>
    <w:rsid w:val="00BC0F33"/>
    <w:rsid w:val="00BC14A7"/>
    <w:rsid w:val="00BC17CC"/>
    <w:rsid w:val="00BC209F"/>
    <w:rsid w:val="00BC244D"/>
    <w:rsid w:val="00BC24AD"/>
    <w:rsid w:val="00BC2898"/>
    <w:rsid w:val="00BC2928"/>
    <w:rsid w:val="00BC29BD"/>
    <w:rsid w:val="00BC2BB1"/>
    <w:rsid w:val="00BC2BC5"/>
    <w:rsid w:val="00BC30B3"/>
    <w:rsid w:val="00BC34A3"/>
    <w:rsid w:val="00BC3DD4"/>
    <w:rsid w:val="00BC3FF9"/>
    <w:rsid w:val="00BC4834"/>
    <w:rsid w:val="00BC4A97"/>
    <w:rsid w:val="00BC5888"/>
    <w:rsid w:val="00BC5A25"/>
    <w:rsid w:val="00BC5A3F"/>
    <w:rsid w:val="00BC5FDD"/>
    <w:rsid w:val="00BC68B4"/>
    <w:rsid w:val="00BC71AD"/>
    <w:rsid w:val="00BC7277"/>
    <w:rsid w:val="00BD0140"/>
    <w:rsid w:val="00BD02CC"/>
    <w:rsid w:val="00BD088E"/>
    <w:rsid w:val="00BD0A08"/>
    <w:rsid w:val="00BD0F18"/>
    <w:rsid w:val="00BD182E"/>
    <w:rsid w:val="00BD2063"/>
    <w:rsid w:val="00BD2640"/>
    <w:rsid w:val="00BD2950"/>
    <w:rsid w:val="00BD2C4A"/>
    <w:rsid w:val="00BD337A"/>
    <w:rsid w:val="00BD33D9"/>
    <w:rsid w:val="00BD38C5"/>
    <w:rsid w:val="00BD3A6D"/>
    <w:rsid w:val="00BD3AF1"/>
    <w:rsid w:val="00BD3DEA"/>
    <w:rsid w:val="00BD3E97"/>
    <w:rsid w:val="00BD3EC3"/>
    <w:rsid w:val="00BD40E4"/>
    <w:rsid w:val="00BD52FE"/>
    <w:rsid w:val="00BD62CF"/>
    <w:rsid w:val="00BD67B2"/>
    <w:rsid w:val="00BD68E2"/>
    <w:rsid w:val="00BD6D41"/>
    <w:rsid w:val="00BD76E5"/>
    <w:rsid w:val="00BD78FE"/>
    <w:rsid w:val="00BE0149"/>
    <w:rsid w:val="00BE0767"/>
    <w:rsid w:val="00BE07A6"/>
    <w:rsid w:val="00BE0CDF"/>
    <w:rsid w:val="00BE0F24"/>
    <w:rsid w:val="00BE1108"/>
    <w:rsid w:val="00BE12D7"/>
    <w:rsid w:val="00BE1372"/>
    <w:rsid w:val="00BE1775"/>
    <w:rsid w:val="00BE18DA"/>
    <w:rsid w:val="00BE2156"/>
    <w:rsid w:val="00BE2661"/>
    <w:rsid w:val="00BE26C0"/>
    <w:rsid w:val="00BE3442"/>
    <w:rsid w:val="00BE3700"/>
    <w:rsid w:val="00BE37CD"/>
    <w:rsid w:val="00BE47B2"/>
    <w:rsid w:val="00BE4881"/>
    <w:rsid w:val="00BE48C7"/>
    <w:rsid w:val="00BE4F66"/>
    <w:rsid w:val="00BE4FBF"/>
    <w:rsid w:val="00BE5238"/>
    <w:rsid w:val="00BE5487"/>
    <w:rsid w:val="00BE5742"/>
    <w:rsid w:val="00BE6074"/>
    <w:rsid w:val="00BE68E2"/>
    <w:rsid w:val="00BE6D73"/>
    <w:rsid w:val="00BE7257"/>
    <w:rsid w:val="00BE7CE9"/>
    <w:rsid w:val="00BF020D"/>
    <w:rsid w:val="00BF0532"/>
    <w:rsid w:val="00BF0609"/>
    <w:rsid w:val="00BF0B32"/>
    <w:rsid w:val="00BF0EE8"/>
    <w:rsid w:val="00BF10ED"/>
    <w:rsid w:val="00BF1DD2"/>
    <w:rsid w:val="00BF23A3"/>
    <w:rsid w:val="00BF2A7E"/>
    <w:rsid w:val="00BF3331"/>
    <w:rsid w:val="00BF3A45"/>
    <w:rsid w:val="00BF4154"/>
    <w:rsid w:val="00BF436F"/>
    <w:rsid w:val="00BF4C4A"/>
    <w:rsid w:val="00BF5C05"/>
    <w:rsid w:val="00BF65E3"/>
    <w:rsid w:val="00BF6990"/>
    <w:rsid w:val="00BF6A12"/>
    <w:rsid w:val="00BF6FC6"/>
    <w:rsid w:val="00BF775D"/>
    <w:rsid w:val="00BF7C52"/>
    <w:rsid w:val="00BF7F3A"/>
    <w:rsid w:val="00BF7F99"/>
    <w:rsid w:val="00C00713"/>
    <w:rsid w:val="00C009A0"/>
    <w:rsid w:val="00C01F74"/>
    <w:rsid w:val="00C020C1"/>
    <w:rsid w:val="00C02558"/>
    <w:rsid w:val="00C025CC"/>
    <w:rsid w:val="00C025FE"/>
    <w:rsid w:val="00C0285F"/>
    <w:rsid w:val="00C028F5"/>
    <w:rsid w:val="00C02F35"/>
    <w:rsid w:val="00C03305"/>
    <w:rsid w:val="00C03515"/>
    <w:rsid w:val="00C03738"/>
    <w:rsid w:val="00C037A6"/>
    <w:rsid w:val="00C03910"/>
    <w:rsid w:val="00C04221"/>
    <w:rsid w:val="00C043F5"/>
    <w:rsid w:val="00C044E3"/>
    <w:rsid w:val="00C04607"/>
    <w:rsid w:val="00C04BDB"/>
    <w:rsid w:val="00C04F1B"/>
    <w:rsid w:val="00C052C6"/>
    <w:rsid w:val="00C05A61"/>
    <w:rsid w:val="00C05FBA"/>
    <w:rsid w:val="00C05FEE"/>
    <w:rsid w:val="00C065A4"/>
    <w:rsid w:val="00C066B4"/>
    <w:rsid w:val="00C06CCF"/>
    <w:rsid w:val="00C0794D"/>
    <w:rsid w:val="00C10E78"/>
    <w:rsid w:val="00C113D8"/>
    <w:rsid w:val="00C1159D"/>
    <w:rsid w:val="00C11D2C"/>
    <w:rsid w:val="00C1233E"/>
    <w:rsid w:val="00C1276C"/>
    <w:rsid w:val="00C12FB3"/>
    <w:rsid w:val="00C138BC"/>
    <w:rsid w:val="00C13D85"/>
    <w:rsid w:val="00C144E4"/>
    <w:rsid w:val="00C14575"/>
    <w:rsid w:val="00C14639"/>
    <w:rsid w:val="00C14E82"/>
    <w:rsid w:val="00C14F61"/>
    <w:rsid w:val="00C14FF6"/>
    <w:rsid w:val="00C156B5"/>
    <w:rsid w:val="00C15A0A"/>
    <w:rsid w:val="00C15A85"/>
    <w:rsid w:val="00C1637C"/>
    <w:rsid w:val="00C1641B"/>
    <w:rsid w:val="00C165FC"/>
    <w:rsid w:val="00C167F7"/>
    <w:rsid w:val="00C16DCE"/>
    <w:rsid w:val="00C176D5"/>
    <w:rsid w:val="00C17D24"/>
    <w:rsid w:val="00C205EF"/>
    <w:rsid w:val="00C20625"/>
    <w:rsid w:val="00C2082C"/>
    <w:rsid w:val="00C20EB0"/>
    <w:rsid w:val="00C21004"/>
    <w:rsid w:val="00C21005"/>
    <w:rsid w:val="00C2186B"/>
    <w:rsid w:val="00C218DF"/>
    <w:rsid w:val="00C21F0C"/>
    <w:rsid w:val="00C220B6"/>
    <w:rsid w:val="00C22D7C"/>
    <w:rsid w:val="00C22DDE"/>
    <w:rsid w:val="00C2338B"/>
    <w:rsid w:val="00C233CE"/>
    <w:rsid w:val="00C237DD"/>
    <w:rsid w:val="00C238F4"/>
    <w:rsid w:val="00C2393A"/>
    <w:rsid w:val="00C23A99"/>
    <w:rsid w:val="00C23AB5"/>
    <w:rsid w:val="00C245EE"/>
    <w:rsid w:val="00C24AE1"/>
    <w:rsid w:val="00C24B8D"/>
    <w:rsid w:val="00C24BD7"/>
    <w:rsid w:val="00C24F7A"/>
    <w:rsid w:val="00C25813"/>
    <w:rsid w:val="00C26C71"/>
    <w:rsid w:val="00C27143"/>
    <w:rsid w:val="00C27490"/>
    <w:rsid w:val="00C27D37"/>
    <w:rsid w:val="00C309E8"/>
    <w:rsid w:val="00C309FE"/>
    <w:rsid w:val="00C30C6E"/>
    <w:rsid w:val="00C32017"/>
    <w:rsid w:val="00C32571"/>
    <w:rsid w:val="00C325CD"/>
    <w:rsid w:val="00C32A60"/>
    <w:rsid w:val="00C3322E"/>
    <w:rsid w:val="00C337F5"/>
    <w:rsid w:val="00C3383E"/>
    <w:rsid w:val="00C33B90"/>
    <w:rsid w:val="00C34161"/>
    <w:rsid w:val="00C34B5F"/>
    <w:rsid w:val="00C358D4"/>
    <w:rsid w:val="00C35EBE"/>
    <w:rsid w:val="00C365C6"/>
    <w:rsid w:val="00C366F4"/>
    <w:rsid w:val="00C36785"/>
    <w:rsid w:val="00C3711C"/>
    <w:rsid w:val="00C37256"/>
    <w:rsid w:val="00C37A7B"/>
    <w:rsid w:val="00C37BD9"/>
    <w:rsid w:val="00C37DC1"/>
    <w:rsid w:val="00C37FFE"/>
    <w:rsid w:val="00C40217"/>
    <w:rsid w:val="00C403CD"/>
    <w:rsid w:val="00C40B50"/>
    <w:rsid w:val="00C419E3"/>
    <w:rsid w:val="00C419F4"/>
    <w:rsid w:val="00C41E6A"/>
    <w:rsid w:val="00C42247"/>
    <w:rsid w:val="00C428E7"/>
    <w:rsid w:val="00C42C9A"/>
    <w:rsid w:val="00C4317B"/>
    <w:rsid w:val="00C4330B"/>
    <w:rsid w:val="00C438A2"/>
    <w:rsid w:val="00C439BE"/>
    <w:rsid w:val="00C43E53"/>
    <w:rsid w:val="00C451B2"/>
    <w:rsid w:val="00C4539B"/>
    <w:rsid w:val="00C45466"/>
    <w:rsid w:val="00C455C1"/>
    <w:rsid w:val="00C4581D"/>
    <w:rsid w:val="00C47472"/>
    <w:rsid w:val="00C47F18"/>
    <w:rsid w:val="00C500F0"/>
    <w:rsid w:val="00C504A7"/>
    <w:rsid w:val="00C506C9"/>
    <w:rsid w:val="00C50A16"/>
    <w:rsid w:val="00C51C4F"/>
    <w:rsid w:val="00C51C9A"/>
    <w:rsid w:val="00C52C68"/>
    <w:rsid w:val="00C52D98"/>
    <w:rsid w:val="00C52DA1"/>
    <w:rsid w:val="00C53D24"/>
    <w:rsid w:val="00C53ED1"/>
    <w:rsid w:val="00C54640"/>
    <w:rsid w:val="00C547A6"/>
    <w:rsid w:val="00C54A3A"/>
    <w:rsid w:val="00C54AF8"/>
    <w:rsid w:val="00C55C32"/>
    <w:rsid w:val="00C56A67"/>
    <w:rsid w:val="00C56CC2"/>
    <w:rsid w:val="00C56D0B"/>
    <w:rsid w:val="00C56D8D"/>
    <w:rsid w:val="00C57498"/>
    <w:rsid w:val="00C5763C"/>
    <w:rsid w:val="00C5780C"/>
    <w:rsid w:val="00C5796B"/>
    <w:rsid w:val="00C57C64"/>
    <w:rsid w:val="00C6031F"/>
    <w:rsid w:val="00C60C9F"/>
    <w:rsid w:val="00C612C4"/>
    <w:rsid w:val="00C61863"/>
    <w:rsid w:val="00C619A1"/>
    <w:rsid w:val="00C62370"/>
    <w:rsid w:val="00C62BBB"/>
    <w:rsid w:val="00C6305F"/>
    <w:rsid w:val="00C6325B"/>
    <w:rsid w:val="00C63DDD"/>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67C0E"/>
    <w:rsid w:val="00C70012"/>
    <w:rsid w:val="00C71304"/>
    <w:rsid w:val="00C71E2A"/>
    <w:rsid w:val="00C7238B"/>
    <w:rsid w:val="00C7248D"/>
    <w:rsid w:val="00C733BA"/>
    <w:rsid w:val="00C7356F"/>
    <w:rsid w:val="00C73AC2"/>
    <w:rsid w:val="00C741CF"/>
    <w:rsid w:val="00C742F6"/>
    <w:rsid w:val="00C7541F"/>
    <w:rsid w:val="00C760DC"/>
    <w:rsid w:val="00C771A5"/>
    <w:rsid w:val="00C772E8"/>
    <w:rsid w:val="00C77777"/>
    <w:rsid w:val="00C77D00"/>
    <w:rsid w:val="00C77E99"/>
    <w:rsid w:val="00C8082B"/>
    <w:rsid w:val="00C80C6B"/>
    <w:rsid w:val="00C81A88"/>
    <w:rsid w:val="00C81D46"/>
    <w:rsid w:val="00C82298"/>
    <w:rsid w:val="00C82DC7"/>
    <w:rsid w:val="00C8331F"/>
    <w:rsid w:val="00C833B4"/>
    <w:rsid w:val="00C84284"/>
    <w:rsid w:val="00C84E33"/>
    <w:rsid w:val="00C85528"/>
    <w:rsid w:val="00C85FFC"/>
    <w:rsid w:val="00C861FC"/>
    <w:rsid w:val="00C86C87"/>
    <w:rsid w:val="00C9005E"/>
    <w:rsid w:val="00C90111"/>
    <w:rsid w:val="00C9038E"/>
    <w:rsid w:val="00C9077B"/>
    <w:rsid w:val="00C90AA7"/>
    <w:rsid w:val="00C90AFF"/>
    <w:rsid w:val="00C90CA9"/>
    <w:rsid w:val="00C90F88"/>
    <w:rsid w:val="00C915F2"/>
    <w:rsid w:val="00C917B1"/>
    <w:rsid w:val="00C9193C"/>
    <w:rsid w:val="00C91B77"/>
    <w:rsid w:val="00C9206E"/>
    <w:rsid w:val="00C920E2"/>
    <w:rsid w:val="00C923F6"/>
    <w:rsid w:val="00C92568"/>
    <w:rsid w:val="00C9370F"/>
    <w:rsid w:val="00C93765"/>
    <w:rsid w:val="00C93877"/>
    <w:rsid w:val="00C93D8C"/>
    <w:rsid w:val="00C93E07"/>
    <w:rsid w:val="00C94065"/>
    <w:rsid w:val="00C946CC"/>
    <w:rsid w:val="00C959BD"/>
    <w:rsid w:val="00C95DFE"/>
    <w:rsid w:val="00C95F44"/>
    <w:rsid w:val="00C96331"/>
    <w:rsid w:val="00C96D1B"/>
    <w:rsid w:val="00C97106"/>
    <w:rsid w:val="00C978D4"/>
    <w:rsid w:val="00C97FB2"/>
    <w:rsid w:val="00CA0031"/>
    <w:rsid w:val="00CA0413"/>
    <w:rsid w:val="00CA043A"/>
    <w:rsid w:val="00CA0E51"/>
    <w:rsid w:val="00CA137B"/>
    <w:rsid w:val="00CA1691"/>
    <w:rsid w:val="00CA41E7"/>
    <w:rsid w:val="00CA424D"/>
    <w:rsid w:val="00CA4A99"/>
    <w:rsid w:val="00CA4CCC"/>
    <w:rsid w:val="00CA5520"/>
    <w:rsid w:val="00CA5812"/>
    <w:rsid w:val="00CA5984"/>
    <w:rsid w:val="00CA5BD4"/>
    <w:rsid w:val="00CA5C14"/>
    <w:rsid w:val="00CA7019"/>
    <w:rsid w:val="00CA7230"/>
    <w:rsid w:val="00CA76FC"/>
    <w:rsid w:val="00CA7E7B"/>
    <w:rsid w:val="00CB0236"/>
    <w:rsid w:val="00CB0CB1"/>
    <w:rsid w:val="00CB137C"/>
    <w:rsid w:val="00CB1881"/>
    <w:rsid w:val="00CB1969"/>
    <w:rsid w:val="00CB19E3"/>
    <w:rsid w:val="00CB2C3A"/>
    <w:rsid w:val="00CB2D38"/>
    <w:rsid w:val="00CB2F5E"/>
    <w:rsid w:val="00CB3C5E"/>
    <w:rsid w:val="00CB4137"/>
    <w:rsid w:val="00CB50D0"/>
    <w:rsid w:val="00CB52D0"/>
    <w:rsid w:val="00CB5578"/>
    <w:rsid w:val="00CB5671"/>
    <w:rsid w:val="00CB591C"/>
    <w:rsid w:val="00CB5943"/>
    <w:rsid w:val="00CB61B3"/>
    <w:rsid w:val="00CB6801"/>
    <w:rsid w:val="00CB6F83"/>
    <w:rsid w:val="00CB72AE"/>
    <w:rsid w:val="00CB7AC0"/>
    <w:rsid w:val="00CB7B53"/>
    <w:rsid w:val="00CC00CD"/>
    <w:rsid w:val="00CC0579"/>
    <w:rsid w:val="00CC0AF3"/>
    <w:rsid w:val="00CC0BC6"/>
    <w:rsid w:val="00CC0E68"/>
    <w:rsid w:val="00CC1780"/>
    <w:rsid w:val="00CC194E"/>
    <w:rsid w:val="00CC21AC"/>
    <w:rsid w:val="00CC232E"/>
    <w:rsid w:val="00CC2514"/>
    <w:rsid w:val="00CC2D34"/>
    <w:rsid w:val="00CC2F69"/>
    <w:rsid w:val="00CC315F"/>
    <w:rsid w:val="00CC3D38"/>
    <w:rsid w:val="00CC3F2F"/>
    <w:rsid w:val="00CC3FC8"/>
    <w:rsid w:val="00CC40C3"/>
    <w:rsid w:val="00CC45A5"/>
    <w:rsid w:val="00CC4AA0"/>
    <w:rsid w:val="00CC4CB4"/>
    <w:rsid w:val="00CC4E5D"/>
    <w:rsid w:val="00CC4EF4"/>
    <w:rsid w:val="00CC50AE"/>
    <w:rsid w:val="00CC5FFE"/>
    <w:rsid w:val="00CC61B7"/>
    <w:rsid w:val="00CC61CA"/>
    <w:rsid w:val="00CC69EC"/>
    <w:rsid w:val="00CC71D3"/>
    <w:rsid w:val="00CC743D"/>
    <w:rsid w:val="00CC7597"/>
    <w:rsid w:val="00CD02ED"/>
    <w:rsid w:val="00CD050A"/>
    <w:rsid w:val="00CD1017"/>
    <w:rsid w:val="00CD205D"/>
    <w:rsid w:val="00CD2A22"/>
    <w:rsid w:val="00CD2B50"/>
    <w:rsid w:val="00CD2DCE"/>
    <w:rsid w:val="00CD3172"/>
    <w:rsid w:val="00CD3913"/>
    <w:rsid w:val="00CD4506"/>
    <w:rsid w:val="00CD520B"/>
    <w:rsid w:val="00CD592E"/>
    <w:rsid w:val="00CD5982"/>
    <w:rsid w:val="00CD5A1A"/>
    <w:rsid w:val="00CD614A"/>
    <w:rsid w:val="00CD64A3"/>
    <w:rsid w:val="00CD710A"/>
    <w:rsid w:val="00CD7B8B"/>
    <w:rsid w:val="00CD7EFA"/>
    <w:rsid w:val="00CE020E"/>
    <w:rsid w:val="00CE0566"/>
    <w:rsid w:val="00CE0CF9"/>
    <w:rsid w:val="00CE1215"/>
    <w:rsid w:val="00CE1641"/>
    <w:rsid w:val="00CE1CD4"/>
    <w:rsid w:val="00CE2761"/>
    <w:rsid w:val="00CE28FC"/>
    <w:rsid w:val="00CE314E"/>
    <w:rsid w:val="00CE3A85"/>
    <w:rsid w:val="00CE3D5C"/>
    <w:rsid w:val="00CE3E09"/>
    <w:rsid w:val="00CE3E14"/>
    <w:rsid w:val="00CE4300"/>
    <w:rsid w:val="00CE44C7"/>
    <w:rsid w:val="00CE48E7"/>
    <w:rsid w:val="00CE53CC"/>
    <w:rsid w:val="00CE5F60"/>
    <w:rsid w:val="00CE65A7"/>
    <w:rsid w:val="00CE68FE"/>
    <w:rsid w:val="00CE69CC"/>
    <w:rsid w:val="00CE6EC4"/>
    <w:rsid w:val="00CE7F26"/>
    <w:rsid w:val="00CF04EE"/>
    <w:rsid w:val="00CF1226"/>
    <w:rsid w:val="00CF1ABB"/>
    <w:rsid w:val="00CF1AE3"/>
    <w:rsid w:val="00CF1E1D"/>
    <w:rsid w:val="00CF24FE"/>
    <w:rsid w:val="00CF287F"/>
    <w:rsid w:val="00CF35D0"/>
    <w:rsid w:val="00CF3B57"/>
    <w:rsid w:val="00CF3DD5"/>
    <w:rsid w:val="00CF40C1"/>
    <w:rsid w:val="00CF43E7"/>
    <w:rsid w:val="00CF4AF7"/>
    <w:rsid w:val="00CF4D20"/>
    <w:rsid w:val="00CF73F8"/>
    <w:rsid w:val="00CF7928"/>
    <w:rsid w:val="00CF7CA2"/>
    <w:rsid w:val="00D00911"/>
    <w:rsid w:val="00D00A8E"/>
    <w:rsid w:val="00D00DE0"/>
    <w:rsid w:val="00D00F79"/>
    <w:rsid w:val="00D012BF"/>
    <w:rsid w:val="00D01760"/>
    <w:rsid w:val="00D01838"/>
    <w:rsid w:val="00D01A26"/>
    <w:rsid w:val="00D0368E"/>
    <w:rsid w:val="00D03AC3"/>
    <w:rsid w:val="00D03AD6"/>
    <w:rsid w:val="00D03D2D"/>
    <w:rsid w:val="00D03E7B"/>
    <w:rsid w:val="00D0401A"/>
    <w:rsid w:val="00D047E0"/>
    <w:rsid w:val="00D04B9F"/>
    <w:rsid w:val="00D04D43"/>
    <w:rsid w:val="00D04FFB"/>
    <w:rsid w:val="00D055FE"/>
    <w:rsid w:val="00D058E9"/>
    <w:rsid w:val="00D05FBF"/>
    <w:rsid w:val="00D0612A"/>
    <w:rsid w:val="00D1060D"/>
    <w:rsid w:val="00D10D14"/>
    <w:rsid w:val="00D10E7C"/>
    <w:rsid w:val="00D11182"/>
    <w:rsid w:val="00D1137B"/>
    <w:rsid w:val="00D11508"/>
    <w:rsid w:val="00D11687"/>
    <w:rsid w:val="00D11807"/>
    <w:rsid w:val="00D11DB3"/>
    <w:rsid w:val="00D12081"/>
    <w:rsid w:val="00D12D82"/>
    <w:rsid w:val="00D12F77"/>
    <w:rsid w:val="00D1306E"/>
    <w:rsid w:val="00D130B7"/>
    <w:rsid w:val="00D134CD"/>
    <w:rsid w:val="00D1401E"/>
    <w:rsid w:val="00D1485D"/>
    <w:rsid w:val="00D14B5F"/>
    <w:rsid w:val="00D14E13"/>
    <w:rsid w:val="00D14E26"/>
    <w:rsid w:val="00D14F23"/>
    <w:rsid w:val="00D15727"/>
    <w:rsid w:val="00D15DDD"/>
    <w:rsid w:val="00D160F6"/>
    <w:rsid w:val="00D165E0"/>
    <w:rsid w:val="00D165EE"/>
    <w:rsid w:val="00D16740"/>
    <w:rsid w:val="00D16A8B"/>
    <w:rsid w:val="00D16E39"/>
    <w:rsid w:val="00D171DE"/>
    <w:rsid w:val="00D172A4"/>
    <w:rsid w:val="00D175B2"/>
    <w:rsid w:val="00D17951"/>
    <w:rsid w:val="00D17AD8"/>
    <w:rsid w:val="00D2104A"/>
    <w:rsid w:val="00D21A58"/>
    <w:rsid w:val="00D21BB5"/>
    <w:rsid w:val="00D21DB2"/>
    <w:rsid w:val="00D21FFC"/>
    <w:rsid w:val="00D223B6"/>
    <w:rsid w:val="00D223E8"/>
    <w:rsid w:val="00D224E1"/>
    <w:rsid w:val="00D22B0F"/>
    <w:rsid w:val="00D22BDD"/>
    <w:rsid w:val="00D22DC8"/>
    <w:rsid w:val="00D23BF6"/>
    <w:rsid w:val="00D2477B"/>
    <w:rsid w:val="00D2522A"/>
    <w:rsid w:val="00D2531C"/>
    <w:rsid w:val="00D25428"/>
    <w:rsid w:val="00D25514"/>
    <w:rsid w:val="00D2553E"/>
    <w:rsid w:val="00D2587F"/>
    <w:rsid w:val="00D26DE7"/>
    <w:rsid w:val="00D2742F"/>
    <w:rsid w:val="00D274C5"/>
    <w:rsid w:val="00D2754F"/>
    <w:rsid w:val="00D277C5"/>
    <w:rsid w:val="00D279D9"/>
    <w:rsid w:val="00D30041"/>
    <w:rsid w:val="00D30FEA"/>
    <w:rsid w:val="00D312DC"/>
    <w:rsid w:val="00D314CB"/>
    <w:rsid w:val="00D31566"/>
    <w:rsid w:val="00D31B84"/>
    <w:rsid w:val="00D31C6A"/>
    <w:rsid w:val="00D31EDF"/>
    <w:rsid w:val="00D31FF9"/>
    <w:rsid w:val="00D32149"/>
    <w:rsid w:val="00D32256"/>
    <w:rsid w:val="00D32A27"/>
    <w:rsid w:val="00D32ABC"/>
    <w:rsid w:val="00D33AFB"/>
    <w:rsid w:val="00D33BAF"/>
    <w:rsid w:val="00D33FA4"/>
    <w:rsid w:val="00D34B25"/>
    <w:rsid w:val="00D34C7F"/>
    <w:rsid w:val="00D34F4E"/>
    <w:rsid w:val="00D357F3"/>
    <w:rsid w:val="00D35C0E"/>
    <w:rsid w:val="00D35C22"/>
    <w:rsid w:val="00D36FBF"/>
    <w:rsid w:val="00D373A8"/>
    <w:rsid w:val="00D379A5"/>
    <w:rsid w:val="00D37BB3"/>
    <w:rsid w:val="00D37EAD"/>
    <w:rsid w:val="00D401BE"/>
    <w:rsid w:val="00D4043A"/>
    <w:rsid w:val="00D40DB0"/>
    <w:rsid w:val="00D41093"/>
    <w:rsid w:val="00D41858"/>
    <w:rsid w:val="00D41EEB"/>
    <w:rsid w:val="00D422DB"/>
    <w:rsid w:val="00D42AC2"/>
    <w:rsid w:val="00D43E12"/>
    <w:rsid w:val="00D43F60"/>
    <w:rsid w:val="00D4498E"/>
    <w:rsid w:val="00D4515F"/>
    <w:rsid w:val="00D451E8"/>
    <w:rsid w:val="00D45DA5"/>
    <w:rsid w:val="00D466C9"/>
    <w:rsid w:val="00D47275"/>
    <w:rsid w:val="00D47ADA"/>
    <w:rsid w:val="00D500ED"/>
    <w:rsid w:val="00D5054C"/>
    <w:rsid w:val="00D50DB9"/>
    <w:rsid w:val="00D517F6"/>
    <w:rsid w:val="00D51AB7"/>
    <w:rsid w:val="00D51E15"/>
    <w:rsid w:val="00D52190"/>
    <w:rsid w:val="00D52B7E"/>
    <w:rsid w:val="00D52E2F"/>
    <w:rsid w:val="00D52F59"/>
    <w:rsid w:val="00D53445"/>
    <w:rsid w:val="00D53E3E"/>
    <w:rsid w:val="00D54620"/>
    <w:rsid w:val="00D55904"/>
    <w:rsid w:val="00D55DFF"/>
    <w:rsid w:val="00D5614E"/>
    <w:rsid w:val="00D5616F"/>
    <w:rsid w:val="00D57940"/>
    <w:rsid w:val="00D600FA"/>
    <w:rsid w:val="00D60327"/>
    <w:rsid w:val="00D61384"/>
    <w:rsid w:val="00D61526"/>
    <w:rsid w:val="00D61C39"/>
    <w:rsid w:val="00D61F81"/>
    <w:rsid w:val="00D620A6"/>
    <w:rsid w:val="00D623C0"/>
    <w:rsid w:val="00D62BE6"/>
    <w:rsid w:val="00D63359"/>
    <w:rsid w:val="00D63766"/>
    <w:rsid w:val="00D63912"/>
    <w:rsid w:val="00D63923"/>
    <w:rsid w:val="00D640F5"/>
    <w:rsid w:val="00D6451B"/>
    <w:rsid w:val="00D64B57"/>
    <w:rsid w:val="00D64FF1"/>
    <w:rsid w:val="00D651A1"/>
    <w:rsid w:val="00D65DEA"/>
    <w:rsid w:val="00D6650F"/>
    <w:rsid w:val="00D66579"/>
    <w:rsid w:val="00D66CF2"/>
    <w:rsid w:val="00D676D3"/>
    <w:rsid w:val="00D67B06"/>
    <w:rsid w:val="00D67BC7"/>
    <w:rsid w:val="00D67C3B"/>
    <w:rsid w:val="00D701F1"/>
    <w:rsid w:val="00D705D3"/>
    <w:rsid w:val="00D70E00"/>
    <w:rsid w:val="00D70F7C"/>
    <w:rsid w:val="00D715AC"/>
    <w:rsid w:val="00D71851"/>
    <w:rsid w:val="00D718CF"/>
    <w:rsid w:val="00D71B68"/>
    <w:rsid w:val="00D71E93"/>
    <w:rsid w:val="00D728F5"/>
    <w:rsid w:val="00D72E9D"/>
    <w:rsid w:val="00D73249"/>
    <w:rsid w:val="00D73419"/>
    <w:rsid w:val="00D73881"/>
    <w:rsid w:val="00D73CA9"/>
    <w:rsid w:val="00D73E45"/>
    <w:rsid w:val="00D74364"/>
    <w:rsid w:val="00D751B7"/>
    <w:rsid w:val="00D7524B"/>
    <w:rsid w:val="00D75396"/>
    <w:rsid w:val="00D755C6"/>
    <w:rsid w:val="00D75832"/>
    <w:rsid w:val="00D759C0"/>
    <w:rsid w:val="00D75E99"/>
    <w:rsid w:val="00D765CE"/>
    <w:rsid w:val="00D766C7"/>
    <w:rsid w:val="00D7692B"/>
    <w:rsid w:val="00D7734F"/>
    <w:rsid w:val="00D773FD"/>
    <w:rsid w:val="00D7791D"/>
    <w:rsid w:val="00D77D25"/>
    <w:rsid w:val="00D8039E"/>
    <w:rsid w:val="00D8044C"/>
    <w:rsid w:val="00D805D6"/>
    <w:rsid w:val="00D8075E"/>
    <w:rsid w:val="00D80860"/>
    <w:rsid w:val="00D80D4C"/>
    <w:rsid w:val="00D8184D"/>
    <w:rsid w:val="00D81A7B"/>
    <w:rsid w:val="00D81E3C"/>
    <w:rsid w:val="00D8223C"/>
    <w:rsid w:val="00D827B5"/>
    <w:rsid w:val="00D82A7D"/>
    <w:rsid w:val="00D82B57"/>
    <w:rsid w:val="00D82C77"/>
    <w:rsid w:val="00D82CE5"/>
    <w:rsid w:val="00D831E3"/>
    <w:rsid w:val="00D8342C"/>
    <w:rsid w:val="00D837E6"/>
    <w:rsid w:val="00D83D08"/>
    <w:rsid w:val="00D84983"/>
    <w:rsid w:val="00D84C00"/>
    <w:rsid w:val="00D85494"/>
    <w:rsid w:val="00D8582C"/>
    <w:rsid w:val="00D85D61"/>
    <w:rsid w:val="00D8616D"/>
    <w:rsid w:val="00D86C90"/>
    <w:rsid w:val="00D8711B"/>
    <w:rsid w:val="00D87384"/>
    <w:rsid w:val="00D9015D"/>
    <w:rsid w:val="00D90683"/>
    <w:rsid w:val="00D90B2A"/>
    <w:rsid w:val="00D91483"/>
    <w:rsid w:val="00D915C8"/>
    <w:rsid w:val="00D928ED"/>
    <w:rsid w:val="00D9310B"/>
    <w:rsid w:val="00D931F3"/>
    <w:rsid w:val="00D93726"/>
    <w:rsid w:val="00D93A79"/>
    <w:rsid w:val="00D93F3E"/>
    <w:rsid w:val="00D9405B"/>
    <w:rsid w:val="00D94942"/>
    <w:rsid w:val="00D95145"/>
    <w:rsid w:val="00D96594"/>
    <w:rsid w:val="00D967CB"/>
    <w:rsid w:val="00D968D4"/>
    <w:rsid w:val="00D96E12"/>
    <w:rsid w:val="00D96EE0"/>
    <w:rsid w:val="00D975DD"/>
    <w:rsid w:val="00D97BD1"/>
    <w:rsid w:val="00D97EF0"/>
    <w:rsid w:val="00DA00C3"/>
    <w:rsid w:val="00DA01E9"/>
    <w:rsid w:val="00DA06B8"/>
    <w:rsid w:val="00DA0C85"/>
    <w:rsid w:val="00DA14A9"/>
    <w:rsid w:val="00DA152F"/>
    <w:rsid w:val="00DA286D"/>
    <w:rsid w:val="00DA2969"/>
    <w:rsid w:val="00DA29B7"/>
    <w:rsid w:val="00DA2E5F"/>
    <w:rsid w:val="00DA337C"/>
    <w:rsid w:val="00DA36B3"/>
    <w:rsid w:val="00DA40C1"/>
    <w:rsid w:val="00DA422F"/>
    <w:rsid w:val="00DA4265"/>
    <w:rsid w:val="00DA4514"/>
    <w:rsid w:val="00DA4842"/>
    <w:rsid w:val="00DA4C97"/>
    <w:rsid w:val="00DA565E"/>
    <w:rsid w:val="00DA5989"/>
    <w:rsid w:val="00DA5AB1"/>
    <w:rsid w:val="00DA5DFE"/>
    <w:rsid w:val="00DA5F9D"/>
    <w:rsid w:val="00DA6719"/>
    <w:rsid w:val="00DA69B2"/>
    <w:rsid w:val="00DA7115"/>
    <w:rsid w:val="00DA7462"/>
    <w:rsid w:val="00DA7AD0"/>
    <w:rsid w:val="00DB02D7"/>
    <w:rsid w:val="00DB0301"/>
    <w:rsid w:val="00DB03CC"/>
    <w:rsid w:val="00DB03F3"/>
    <w:rsid w:val="00DB1142"/>
    <w:rsid w:val="00DB12D4"/>
    <w:rsid w:val="00DB14F0"/>
    <w:rsid w:val="00DB1745"/>
    <w:rsid w:val="00DB19BB"/>
    <w:rsid w:val="00DB1A00"/>
    <w:rsid w:val="00DB1AFF"/>
    <w:rsid w:val="00DB219A"/>
    <w:rsid w:val="00DB244C"/>
    <w:rsid w:val="00DB3024"/>
    <w:rsid w:val="00DB3165"/>
    <w:rsid w:val="00DB3445"/>
    <w:rsid w:val="00DB372F"/>
    <w:rsid w:val="00DB387B"/>
    <w:rsid w:val="00DB39DE"/>
    <w:rsid w:val="00DB4292"/>
    <w:rsid w:val="00DB4DF0"/>
    <w:rsid w:val="00DB5023"/>
    <w:rsid w:val="00DB6E46"/>
    <w:rsid w:val="00DB7117"/>
    <w:rsid w:val="00DB732A"/>
    <w:rsid w:val="00DB7760"/>
    <w:rsid w:val="00DB7DD4"/>
    <w:rsid w:val="00DC00B4"/>
    <w:rsid w:val="00DC0954"/>
    <w:rsid w:val="00DC0DF8"/>
    <w:rsid w:val="00DC15BA"/>
    <w:rsid w:val="00DC18CD"/>
    <w:rsid w:val="00DC1A68"/>
    <w:rsid w:val="00DC30B8"/>
    <w:rsid w:val="00DC474C"/>
    <w:rsid w:val="00DC478F"/>
    <w:rsid w:val="00DC482E"/>
    <w:rsid w:val="00DC4D92"/>
    <w:rsid w:val="00DC50AA"/>
    <w:rsid w:val="00DC61AC"/>
    <w:rsid w:val="00DC62E5"/>
    <w:rsid w:val="00DC69D2"/>
    <w:rsid w:val="00DC6D70"/>
    <w:rsid w:val="00DC6DAA"/>
    <w:rsid w:val="00DC6F33"/>
    <w:rsid w:val="00DC7349"/>
    <w:rsid w:val="00DC7389"/>
    <w:rsid w:val="00DD0EA9"/>
    <w:rsid w:val="00DD14D8"/>
    <w:rsid w:val="00DD1599"/>
    <w:rsid w:val="00DD16F1"/>
    <w:rsid w:val="00DD1B03"/>
    <w:rsid w:val="00DD1E43"/>
    <w:rsid w:val="00DD1EDF"/>
    <w:rsid w:val="00DD1FF6"/>
    <w:rsid w:val="00DD2A62"/>
    <w:rsid w:val="00DD2F2F"/>
    <w:rsid w:val="00DD2F7A"/>
    <w:rsid w:val="00DD36D2"/>
    <w:rsid w:val="00DD37C4"/>
    <w:rsid w:val="00DD3885"/>
    <w:rsid w:val="00DD5808"/>
    <w:rsid w:val="00DD5946"/>
    <w:rsid w:val="00DD5B04"/>
    <w:rsid w:val="00DD5DAE"/>
    <w:rsid w:val="00DD5EC6"/>
    <w:rsid w:val="00DD605F"/>
    <w:rsid w:val="00DD65ED"/>
    <w:rsid w:val="00DD6A79"/>
    <w:rsid w:val="00DD72A0"/>
    <w:rsid w:val="00DD735D"/>
    <w:rsid w:val="00DD756A"/>
    <w:rsid w:val="00DD7D35"/>
    <w:rsid w:val="00DD7F7D"/>
    <w:rsid w:val="00DD7FBE"/>
    <w:rsid w:val="00DE0159"/>
    <w:rsid w:val="00DE064A"/>
    <w:rsid w:val="00DE082D"/>
    <w:rsid w:val="00DE1410"/>
    <w:rsid w:val="00DE20C6"/>
    <w:rsid w:val="00DE2ABA"/>
    <w:rsid w:val="00DE2DF1"/>
    <w:rsid w:val="00DE3119"/>
    <w:rsid w:val="00DE34EF"/>
    <w:rsid w:val="00DE3C24"/>
    <w:rsid w:val="00DE3FF0"/>
    <w:rsid w:val="00DE4105"/>
    <w:rsid w:val="00DE4BEA"/>
    <w:rsid w:val="00DE4E67"/>
    <w:rsid w:val="00DE5189"/>
    <w:rsid w:val="00DE5716"/>
    <w:rsid w:val="00DE66CB"/>
    <w:rsid w:val="00DE7108"/>
    <w:rsid w:val="00DE78D1"/>
    <w:rsid w:val="00DE78FF"/>
    <w:rsid w:val="00DE7C6E"/>
    <w:rsid w:val="00DF0263"/>
    <w:rsid w:val="00DF071C"/>
    <w:rsid w:val="00DF09E3"/>
    <w:rsid w:val="00DF0EB4"/>
    <w:rsid w:val="00DF0FFD"/>
    <w:rsid w:val="00DF158B"/>
    <w:rsid w:val="00DF170E"/>
    <w:rsid w:val="00DF193C"/>
    <w:rsid w:val="00DF1E36"/>
    <w:rsid w:val="00DF236B"/>
    <w:rsid w:val="00DF24C4"/>
    <w:rsid w:val="00DF258A"/>
    <w:rsid w:val="00DF2A91"/>
    <w:rsid w:val="00DF3889"/>
    <w:rsid w:val="00DF3CC9"/>
    <w:rsid w:val="00DF41DD"/>
    <w:rsid w:val="00DF4451"/>
    <w:rsid w:val="00DF49FF"/>
    <w:rsid w:val="00DF4FFB"/>
    <w:rsid w:val="00DF5236"/>
    <w:rsid w:val="00DF651F"/>
    <w:rsid w:val="00DF6F43"/>
    <w:rsid w:val="00DF71EA"/>
    <w:rsid w:val="00DF752F"/>
    <w:rsid w:val="00DF76A2"/>
    <w:rsid w:val="00E00634"/>
    <w:rsid w:val="00E00B25"/>
    <w:rsid w:val="00E00B7A"/>
    <w:rsid w:val="00E01677"/>
    <w:rsid w:val="00E02186"/>
    <w:rsid w:val="00E025C2"/>
    <w:rsid w:val="00E026BB"/>
    <w:rsid w:val="00E027C5"/>
    <w:rsid w:val="00E03124"/>
    <w:rsid w:val="00E031C3"/>
    <w:rsid w:val="00E03951"/>
    <w:rsid w:val="00E03DB8"/>
    <w:rsid w:val="00E03F17"/>
    <w:rsid w:val="00E0420C"/>
    <w:rsid w:val="00E04D00"/>
    <w:rsid w:val="00E04EDD"/>
    <w:rsid w:val="00E04F86"/>
    <w:rsid w:val="00E05402"/>
    <w:rsid w:val="00E05E70"/>
    <w:rsid w:val="00E064BC"/>
    <w:rsid w:val="00E070C1"/>
    <w:rsid w:val="00E07225"/>
    <w:rsid w:val="00E076B4"/>
    <w:rsid w:val="00E07ADF"/>
    <w:rsid w:val="00E07B55"/>
    <w:rsid w:val="00E10579"/>
    <w:rsid w:val="00E109DD"/>
    <w:rsid w:val="00E10CF1"/>
    <w:rsid w:val="00E11229"/>
    <w:rsid w:val="00E114CA"/>
    <w:rsid w:val="00E127D1"/>
    <w:rsid w:val="00E13867"/>
    <w:rsid w:val="00E1397F"/>
    <w:rsid w:val="00E13AB8"/>
    <w:rsid w:val="00E13AE1"/>
    <w:rsid w:val="00E1482E"/>
    <w:rsid w:val="00E152D7"/>
    <w:rsid w:val="00E15DE3"/>
    <w:rsid w:val="00E16382"/>
    <w:rsid w:val="00E167AF"/>
    <w:rsid w:val="00E1699C"/>
    <w:rsid w:val="00E16E75"/>
    <w:rsid w:val="00E1746D"/>
    <w:rsid w:val="00E17594"/>
    <w:rsid w:val="00E17ABB"/>
    <w:rsid w:val="00E17CAC"/>
    <w:rsid w:val="00E2012A"/>
    <w:rsid w:val="00E205A2"/>
    <w:rsid w:val="00E20BA4"/>
    <w:rsid w:val="00E210D0"/>
    <w:rsid w:val="00E21887"/>
    <w:rsid w:val="00E21CC0"/>
    <w:rsid w:val="00E23137"/>
    <w:rsid w:val="00E23980"/>
    <w:rsid w:val="00E23AB0"/>
    <w:rsid w:val="00E241E9"/>
    <w:rsid w:val="00E24F12"/>
    <w:rsid w:val="00E257C3"/>
    <w:rsid w:val="00E25CB3"/>
    <w:rsid w:val="00E25DA4"/>
    <w:rsid w:val="00E26237"/>
    <w:rsid w:val="00E26950"/>
    <w:rsid w:val="00E26CB8"/>
    <w:rsid w:val="00E26D16"/>
    <w:rsid w:val="00E26FCF"/>
    <w:rsid w:val="00E27165"/>
    <w:rsid w:val="00E275D9"/>
    <w:rsid w:val="00E3044A"/>
    <w:rsid w:val="00E30E49"/>
    <w:rsid w:val="00E31A4A"/>
    <w:rsid w:val="00E31FCF"/>
    <w:rsid w:val="00E3212A"/>
    <w:rsid w:val="00E32279"/>
    <w:rsid w:val="00E3344A"/>
    <w:rsid w:val="00E33B29"/>
    <w:rsid w:val="00E33B62"/>
    <w:rsid w:val="00E3403D"/>
    <w:rsid w:val="00E344BD"/>
    <w:rsid w:val="00E34548"/>
    <w:rsid w:val="00E34E6C"/>
    <w:rsid w:val="00E353E2"/>
    <w:rsid w:val="00E360D8"/>
    <w:rsid w:val="00E36345"/>
    <w:rsid w:val="00E36C86"/>
    <w:rsid w:val="00E36CEB"/>
    <w:rsid w:val="00E37158"/>
    <w:rsid w:val="00E37A28"/>
    <w:rsid w:val="00E400C7"/>
    <w:rsid w:val="00E40430"/>
    <w:rsid w:val="00E40690"/>
    <w:rsid w:val="00E40AEB"/>
    <w:rsid w:val="00E40E82"/>
    <w:rsid w:val="00E40FB8"/>
    <w:rsid w:val="00E41141"/>
    <w:rsid w:val="00E4143A"/>
    <w:rsid w:val="00E420B7"/>
    <w:rsid w:val="00E424C8"/>
    <w:rsid w:val="00E4251D"/>
    <w:rsid w:val="00E427EB"/>
    <w:rsid w:val="00E427EF"/>
    <w:rsid w:val="00E43D00"/>
    <w:rsid w:val="00E443B4"/>
    <w:rsid w:val="00E445E4"/>
    <w:rsid w:val="00E447A0"/>
    <w:rsid w:val="00E457CB"/>
    <w:rsid w:val="00E45D47"/>
    <w:rsid w:val="00E45DE4"/>
    <w:rsid w:val="00E45E63"/>
    <w:rsid w:val="00E470F8"/>
    <w:rsid w:val="00E4759C"/>
    <w:rsid w:val="00E47AAE"/>
    <w:rsid w:val="00E47EFD"/>
    <w:rsid w:val="00E50A7B"/>
    <w:rsid w:val="00E50B0B"/>
    <w:rsid w:val="00E50C57"/>
    <w:rsid w:val="00E510FE"/>
    <w:rsid w:val="00E514BA"/>
    <w:rsid w:val="00E51513"/>
    <w:rsid w:val="00E5158C"/>
    <w:rsid w:val="00E51E25"/>
    <w:rsid w:val="00E5205B"/>
    <w:rsid w:val="00E521AE"/>
    <w:rsid w:val="00E529A3"/>
    <w:rsid w:val="00E533EE"/>
    <w:rsid w:val="00E53A21"/>
    <w:rsid w:val="00E53BCA"/>
    <w:rsid w:val="00E53DE2"/>
    <w:rsid w:val="00E53F02"/>
    <w:rsid w:val="00E5428D"/>
    <w:rsid w:val="00E54534"/>
    <w:rsid w:val="00E54874"/>
    <w:rsid w:val="00E548C3"/>
    <w:rsid w:val="00E54F27"/>
    <w:rsid w:val="00E55FF1"/>
    <w:rsid w:val="00E56090"/>
    <w:rsid w:val="00E561DA"/>
    <w:rsid w:val="00E56408"/>
    <w:rsid w:val="00E565B9"/>
    <w:rsid w:val="00E56E7B"/>
    <w:rsid w:val="00E5733B"/>
    <w:rsid w:val="00E5756C"/>
    <w:rsid w:val="00E5768D"/>
    <w:rsid w:val="00E57811"/>
    <w:rsid w:val="00E57FB0"/>
    <w:rsid w:val="00E600F4"/>
    <w:rsid w:val="00E601BE"/>
    <w:rsid w:val="00E60984"/>
    <w:rsid w:val="00E60A44"/>
    <w:rsid w:val="00E60B5F"/>
    <w:rsid w:val="00E613AE"/>
    <w:rsid w:val="00E61429"/>
    <w:rsid w:val="00E61ABB"/>
    <w:rsid w:val="00E61FD7"/>
    <w:rsid w:val="00E623E6"/>
    <w:rsid w:val="00E62BBF"/>
    <w:rsid w:val="00E62C76"/>
    <w:rsid w:val="00E630A2"/>
    <w:rsid w:val="00E630C0"/>
    <w:rsid w:val="00E63107"/>
    <w:rsid w:val="00E6312C"/>
    <w:rsid w:val="00E63299"/>
    <w:rsid w:val="00E634E6"/>
    <w:rsid w:val="00E63DCE"/>
    <w:rsid w:val="00E642EF"/>
    <w:rsid w:val="00E645CF"/>
    <w:rsid w:val="00E64700"/>
    <w:rsid w:val="00E65074"/>
    <w:rsid w:val="00E65857"/>
    <w:rsid w:val="00E65E70"/>
    <w:rsid w:val="00E6607B"/>
    <w:rsid w:val="00E66087"/>
    <w:rsid w:val="00E66D79"/>
    <w:rsid w:val="00E66FF9"/>
    <w:rsid w:val="00E6706F"/>
    <w:rsid w:val="00E673A2"/>
    <w:rsid w:val="00E674EB"/>
    <w:rsid w:val="00E67714"/>
    <w:rsid w:val="00E67856"/>
    <w:rsid w:val="00E679C8"/>
    <w:rsid w:val="00E67B8A"/>
    <w:rsid w:val="00E70314"/>
    <w:rsid w:val="00E70C98"/>
    <w:rsid w:val="00E70FB9"/>
    <w:rsid w:val="00E724E7"/>
    <w:rsid w:val="00E72B41"/>
    <w:rsid w:val="00E7347B"/>
    <w:rsid w:val="00E73792"/>
    <w:rsid w:val="00E73D03"/>
    <w:rsid w:val="00E7471C"/>
    <w:rsid w:val="00E7498A"/>
    <w:rsid w:val="00E7514E"/>
    <w:rsid w:val="00E76537"/>
    <w:rsid w:val="00E77784"/>
    <w:rsid w:val="00E77AF5"/>
    <w:rsid w:val="00E801CE"/>
    <w:rsid w:val="00E8035B"/>
    <w:rsid w:val="00E805CD"/>
    <w:rsid w:val="00E80FC3"/>
    <w:rsid w:val="00E820F4"/>
    <w:rsid w:val="00E82263"/>
    <w:rsid w:val="00E823F9"/>
    <w:rsid w:val="00E82C1F"/>
    <w:rsid w:val="00E83671"/>
    <w:rsid w:val="00E83D1E"/>
    <w:rsid w:val="00E83F8E"/>
    <w:rsid w:val="00E840EE"/>
    <w:rsid w:val="00E84314"/>
    <w:rsid w:val="00E849CA"/>
    <w:rsid w:val="00E84A71"/>
    <w:rsid w:val="00E853F3"/>
    <w:rsid w:val="00E8556F"/>
    <w:rsid w:val="00E85980"/>
    <w:rsid w:val="00E85D69"/>
    <w:rsid w:val="00E8617F"/>
    <w:rsid w:val="00E86556"/>
    <w:rsid w:val="00E86D35"/>
    <w:rsid w:val="00E86DC2"/>
    <w:rsid w:val="00E86E32"/>
    <w:rsid w:val="00E86F2E"/>
    <w:rsid w:val="00E8732E"/>
    <w:rsid w:val="00E879C7"/>
    <w:rsid w:val="00E90067"/>
    <w:rsid w:val="00E9011F"/>
    <w:rsid w:val="00E906EB"/>
    <w:rsid w:val="00E90CE2"/>
    <w:rsid w:val="00E9109D"/>
    <w:rsid w:val="00E9145B"/>
    <w:rsid w:val="00E9170E"/>
    <w:rsid w:val="00E919FB"/>
    <w:rsid w:val="00E9241E"/>
    <w:rsid w:val="00E92460"/>
    <w:rsid w:val="00E92C2D"/>
    <w:rsid w:val="00E92E62"/>
    <w:rsid w:val="00E93804"/>
    <w:rsid w:val="00E9429D"/>
    <w:rsid w:val="00E95434"/>
    <w:rsid w:val="00E96033"/>
    <w:rsid w:val="00E96467"/>
    <w:rsid w:val="00E966DA"/>
    <w:rsid w:val="00E96948"/>
    <w:rsid w:val="00E9737B"/>
    <w:rsid w:val="00E97A3F"/>
    <w:rsid w:val="00E97F0A"/>
    <w:rsid w:val="00EA0100"/>
    <w:rsid w:val="00EA039A"/>
    <w:rsid w:val="00EA0455"/>
    <w:rsid w:val="00EA08BA"/>
    <w:rsid w:val="00EA0BCE"/>
    <w:rsid w:val="00EA10E4"/>
    <w:rsid w:val="00EA17BC"/>
    <w:rsid w:val="00EA2744"/>
    <w:rsid w:val="00EA37B9"/>
    <w:rsid w:val="00EA39F7"/>
    <w:rsid w:val="00EA3DC2"/>
    <w:rsid w:val="00EA434E"/>
    <w:rsid w:val="00EA4757"/>
    <w:rsid w:val="00EA560B"/>
    <w:rsid w:val="00EA5669"/>
    <w:rsid w:val="00EA5CC6"/>
    <w:rsid w:val="00EA63EF"/>
    <w:rsid w:val="00EA705C"/>
    <w:rsid w:val="00EA7CBF"/>
    <w:rsid w:val="00EB0A89"/>
    <w:rsid w:val="00EB0BD8"/>
    <w:rsid w:val="00EB1573"/>
    <w:rsid w:val="00EB1910"/>
    <w:rsid w:val="00EB1B7C"/>
    <w:rsid w:val="00EB2564"/>
    <w:rsid w:val="00EB2D83"/>
    <w:rsid w:val="00EB2E97"/>
    <w:rsid w:val="00EB2ED0"/>
    <w:rsid w:val="00EB3416"/>
    <w:rsid w:val="00EB4AE1"/>
    <w:rsid w:val="00EB52F4"/>
    <w:rsid w:val="00EB5694"/>
    <w:rsid w:val="00EB5779"/>
    <w:rsid w:val="00EB5C68"/>
    <w:rsid w:val="00EB5D2F"/>
    <w:rsid w:val="00EB61CC"/>
    <w:rsid w:val="00EB67F1"/>
    <w:rsid w:val="00EB6A67"/>
    <w:rsid w:val="00EB6ADA"/>
    <w:rsid w:val="00EB7132"/>
    <w:rsid w:val="00EB72CD"/>
    <w:rsid w:val="00EB749A"/>
    <w:rsid w:val="00EB76B6"/>
    <w:rsid w:val="00EB7D8A"/>
    <w:rsid w:val="00EC0487"/>
    <w:rsid w:val="00EC04F7"/>
    <w:rsid w:val="00EC05E2"/>
    <w:rsid w:val="00EC0E84"/>
    <w:rsid w:val="00EC16E2"/>
    <w:rsid w:val="00EC1CE7"/>
    <w:rsid w:val="00EC1DAE"/>
    <w:rsid w:val="00EC1F36"/>
    <w:rsid w:val="00EC224E"/>
    <w:rsid w:val="00EC26F1"/>
    <w:rsid w:val="00EC33A8"/>
    <w:rsid w:val="00EC3ABE"/>
    <w:rsid w:val="00EC3BA2"/>
    <w:rsid w:val="00EC3C94"/>
    <w:rsid w:val="00EC44DF"/>
    <w:rsid w:val="00EC4FB9"/>
    <w:rsid w:val="00EC5393"/>
    <w:rsid w:val="00EC567C"/>
    <w:rsid w:val="00EC5741"/>
    <w:rsid w:val="00EC5DA3"/>
    <w:rsid w:val="00EC6014"/>
    <w:rsid w:val="00EC6044"/>
    <w:rsid w:val="00EC6565"/>
    <w:rsid w:val="00EC6B3E"/>
    <w:rsid w:val="00EC73DE"/>
    <w:rsid w:val="00EC7637"/>
    <w:rsid w:val="00EC76EA"/>
    <w:rsid w:val="00EC7C07"/>
    <w:rsid w:val="00EC7CF2"/>
    <w:rsid w:val="00ED046C"/>
    <w:rsid w:val="00ED053A"/>
    <w:rsid w:val="00ED1257"/>
    <w:rsid w:val="00ED1F03"/>
    <w:rsid w:val="00ED249D"/>
    <w:rsid w:val="00ED29CF"/>
    <w:rsid w:val="00ED2D27"/>
    <w:rsid w:val="00ED2F68"/>
    <w:rsid w:val="00ED3347"/>
    <w:rsid w:val="00ED3441"/>
    <w:rsid w:val="00ED3860"/>
    <w:rsid w:val="00ED3954"/>
    <w:rsid w:val="00ED39AC"/>
    <w:rsid w:val="00ED43A2"/>
    <w:rsid w:val="00ED4967"/>
    <w:rsid w:val="00ED4CA9"/>
    <w:rsid w:val="00ED50E5"/>
    <w:rsid w:val="00ED5140"/>
    <w:rsid w:val="00ED538C"/>
    <w:rsid w:val="00ED572F"/>
    <w:rsid w:val="00ED5771"/>
    <w:rsid w:val="00ED587F"/>
    <w:rsid w:val="00ED5964"/>
    <w:rsid w:val="00ED623F"/>
    <w:rsid w:val="00ED63A5"/>
    <w:rsid w:val="00ED69BA"/>
    <w:rsid w:val="00ED6D1A"/>
    <w:rsid w:val="00ED72E9"/>
    <w:rsid w:val="00ED732E"/>
    <w:rsid w:val="00ED74B3"/>
    <w:rsid w:val="00ED77F0"/>
    <w:rsid w:val="00ED7813"/>
    <w:rsid w:val="00ED7FBC"/>
    <w:rsid w:val="00EE0253"/>
    <w:rsid w:val="00EE0297"/>
    <w:rsid w:val="00EE1258"/>
    <w:rsid w:val="00EE13CA"/>
    <w:rsid w:val="00EE13DA"/>
    <w:rsid w:val="00EE1668"/>
    <w:rsid w:val="00EE1EDB"/>
    <w:rsid w:val="00EE24E2"/>
    <w:rsid w:val="00EE2A20"/>
    <w:rsid w:val="00EE366D"/>
    <w:rsid w:val="00EE3F80"/>
    <w:rsid w:val="00EE40A4"/>
    <w:rsid w:val="00EE41AA"/>
    <w:rsid w:val="00EE5454"/>
    <w:rsid w:val="00EE59B5"/>
    <w:rsid w:val="00EE5FB7"/>
    <w:rsid w:val="00EE6783"/>
    <w:rsid w:val="00EE678B"/>
    <w:rsid w:val="00EE7B54"/>
    <w:rsid w:val="00EE7C47"/>
    <w:rsid w:val="00EE7C88"/>
    <w:rsid w:val="00EE7C8B"/>
    <w:rsid w:val="00EF0209"/>
    <w:rsid w:val="00EF0EA4"/>
    <w:rsid w:val="00EF19A5"/>
    <w:rsid w:val="00EF1E97"/>
    <w:rsid w:val="00EF2436"/>
    <w:rsid w:val="00EF2547"/>
    <w:rsid w:val="00EF26F4"/>
    <w:rsid w:val="00EF28D8"/>
    <w:rsid w:val="00EF2B2B"/>
    <w:rsid w:val="00EF2E1C"/>
    <w:rsid w:val="00EF2FD6"/>
    <w:rsid w:val="00EF314C"/>
    <w:rsid w:val="00EF326A"/>
    <w:rsid w:val="00EF397D"/>
    <w:rsid w:val="00EF3CD4"/>
    <w:rsid w:val="00EF427A"/>
    <w:rsid w:val="00EF45DF"/>
    <w:rsid w:val="00EF4944"/>
    <w:rsid w:val="00EF4952"/>
    <w:rsid w:val="00EF498F"/>
    <w:rsid w:val="00EF4A42"/>
    <w:rsid w:val="00EF510C"/>
    <w:rsid w:val="00EF55C4"/>
    <w:rsid w:val="00EF57BC"/>
    <w:rsid w:val="00EF5A41"/>
    <w:rsid w:val="00EF5CA8"/>
    <w:rsid w:val="00EF6784"/>
    <w:rsid w:val="00EF688A"/>
    <w:rsid w:val="00EF6A03"/>
    <w:rsid w:val="00EF6DC2"/>
    <w:rsid w:val="00EF7506"/>
    <w:rsid w:val="00EF760B"/>
    <w:rsid w:val="00EF7BF4"/>
    <w:rsid w:val="00F0026C"/>
    <w:rsid w:val="00F0030F"/>
    <w:rsid w:val="00F00674"/>
    <w:rsid w:val="00F01657"/>
    <w:rsid w:val="00F01E67"/>
    <w:rsid w:val="00F01EF4"/>
    <w:rsid w:val="00F02744"/>
    <w:rsid w:val="00F02BFD"/>
    <w:rsid w:val="00F02D25"/>
    <w:rsid w:val="00F03A60"/>
    <w:rsid w:val="00F03C3D"/>
    <w:rsid w:val="00F0435D"/>
    <w:rsid w:val="00F04580"/>
    <w:rsid w:val="00F04986"/>
    <w:rsid w:val="00F04ECA"/>
    <w:rsid w:val="00F04F8B"/>
    <w:rsid w:val="00F064DB"/>
    <w:rsid w:val="00F06CA4"/>
    <w:rsid w:val="00F06E19"/>
    <w:rsid w:val="00F06F84"/>
    <w:rsid w:val="00F06FCD"/>
    <w:rsid w:val="00F0749E"/>
    <w:rsid w:val="00F076E7"/>
    <w:rsid w:val="00F07A86"/>
    <w:rsid w:val="00F07AA1"/>
    <w:rsid w:val="00F105AE"/>
    <w:rsid w:val="00F10618"/>
    <w:rsid w:val="00F10BB3"/>
    <w:rsid w:val="00F10E78"/>
    <w:rsid w:val="00F10E7D"/>
    <w:rsid w:val="00F1108B"/>
    <w:rsid w:val="00F114FA"/>
    <w:rsid w:val="00F11768"/>
    <w:rsid w:val="00F11951"/>
    <w:rsid w:val="00F12059"/>
    <w:rsid w:val="00F12262"/>
    <w:rsid w:val="00F12564"/>
    <w:rsid w:val="00F128D9"/>
    <w:rsid w:val="00F12AF8"/>
    <w:rsid w:val="00F12C52"/>
    <w:rsid w:val="00F13381"/>
    <w:rsid w:val="00F13417"/>
    <w:rsid w:val="00F13828"/>
    <w:rsid w:val="00F13E62"/>
    <w:rsid w:val="00F13F51"/>
    <w:rsid w:val="00F146E9"/>
    <w:rsid w:val="00F148B7"/>
    <w:rsid w:val="00F14BF6"/>
    <w:rsid w:val="00F14EA9"/>
    <w:rsid w:val="00F15505"/>
    <w:rsid w:val="00F15BFF"/>
    <w:rsid w:val="00F15FFF"/>
    <w:rsid w:val="00F1634B"/>
    <w:rsid w:val="00F1689D"/>
    <w:rsid w:val="00F16E4F"/>
    <w:rsid w:val="00F171B2"/>
    <w:rsid w:val="00F17244"/>
    <w:rsid w:val="00F20931"/>
    <w:rsid w:val="00F20ECE"/>
    <w:rsid w:val="00F213A0"/>
    <w:rsid w:val="00F21D54"/>
    <w:rsid w:val="00F21EF4"/>
    <w:rsid w:val="00F221A2"/>
    <w:rsid w:val="00F22831"/>
    <w:rsid w:val="00F22E8B"/>
    <w:rsid w:val="00F22F81"/>
    <w:rsid w:val="00F23113"/>
    <w:rsid w:val="00F23255"/>
    <w:rsid w:val="00F23393"/>
    <w:rsid w:val="00F23759"/>
    <w:rsid w:val="00F24644"/>
    <w:rsid w:val="00F246FF"/>
    <w:rsid w:val="00F24B57"/>
    <w:rsid w:val="00F24BB1"/>
    <w:rsid w:val="00F24F60"/>
    <w:rsid w:val="00F25947"/>
    <w:rsid w:val="00F25CC9"/>
    <w:rsid w:val="00F262D6"/>
    <w:rsid w:val="00F26F33"/>
    <w:rsid w:val="00F273D5"/>
    <w:rsid w:val="00F2748A"/>
    <w:rsid w:val="00F276C0"/>
    <w:rsid w:val="00F2786C"/>
    <w:rsid w:val="00F300A8"/>
    <w:rsid w:val="00F302C6"/>
    <w:rsid w:val="00F30400"/>
    <w:rsid w:val="00F3079E"/>
    <w:rsid w:val="00F311A1"/>
    <w:rsid w:val="00F31289"/>
    <w:rsid w:val="00F3232D"/>
    <w:rsid w:val="00F32356"/>
    <w:rsid w:val="00F32F80"/>
    <w:rsid w:val="00F3399B"/>
    <w:rsid w:val="00F33F4B"/>
    <w:rsid w:val="00F346ED"/>
    <w:rsid w:val="00F34945"/>
    <w:rsid w:val="00F34E1E"/>
    <w:rsid w:val="00F3570C"/>
    <w:rsid w:val="00F363A4"/>
    <w:rsid w:val="00F36765"/>
    <w:rsid w:val="00F368FF"/>
    <w:rsid w:val="00F37068"/>
    <w:rsid w:val="00F37E5F"/>
    <w:rsid w:val="00F37F3F"/>
    <w:rsid w:val="00F37F84"/>
    <w:rsid w:val="00F40190"/>
    <w:rsid w:val="00F40992"/>
    <w:rsid w:val="00F40F72"/>
    <w:rsid w:val="00F41596"/>
    <w:rsid w:val="00F41D8B"/>
    <w:rsid w:val="00F42121"/>
    <w:rsid w:val="00F424B3"/>
    <w:rsid w:val="00F428B1"/>
    <w:rsid w:val="00F428B4"/>
    <w:rsid w:val="00F43416"/>
    <w:rsid w:val="00F4345D"/>
    <w:rsid w:val="00F4387B"/>
    <w:rsid w:val="00F45921"/>
    <w:rsid w:val="00F45B91"/>
    <w:rsid w:val="00F46502"/>
    <w:rsid w:val="00F4655D"/>
    <w:rsid w:val="00F46639"/>
    <w:rsid w:val="00F47026"/>
    <w:rsid w:val="00F476FD"/>
    <w:rsid w:val="00F50183"/>
    <w:rsid w:val="00F5033A"/>
    <w:rsid w:val="00F50D92"/>
    <w:rsid w:val="00F51765"/>
    <w:rsid w:val="00F51A51"/>
    <w:rsid w:val="00F51BC6"/>
    <w:rsid w:val="00F51CB4"/>
    <w:rsid w:val="00F52200"/>
    <w:rsid w:val="00F52324"/>
    <w:rsid w:val="00F5237A"/>
    <w:rsid w:val="00F52950"/>
    <w:rsid w:val="00F52C9D"/>
    <w:rsid w:val="00F533F1"/>
    <w:rsid w:val="00F5345B"/>
    <w:rsid w:val="00F53F4F"/>
    <w:rsid w:val="00F540A3"/>
    <w:rsid w:val="00F54EA2"/>
    <w:rsid w:val="00F55185"/>
    <w:rsid w:val="00F5525F"/>
    <w:rsid w:val="00F55679"/>
    <w:rsid w:val="00F561E3"/>
    <w:rsid w:val="00F56466"/>
    <w:rsid w:val="00F565E6"/>
    <w:rsid w:val="00F5684C"/>
    <w:rsid w:val="00F56AFA"/>
    <w:rsid w:val="00F575E2"/>
    <w:rsid w:val="00F579FF"/>
    <w:rsid w:val="00F600E0"/>
    <w:rsid w:val="00F605EC"/>
    <w:rsid w:val="00F60CFE"/>
    <w:rsid w:val="00F60F60"/>
    <w:rsid w:val="00F612CE"/>
    <w:rsid w:val="00F6133C"/>
    <w:rsid w:val="00F61405"/>
    <w:rsid w:val="00F6155C"/>
    <w:rsid w:val="00F62172"/>
    <w:rsid w:val="00F62227"/>
    <w:rsid w:val="00F624A7"/>
    <w:rsid w:val="00F62AB6"/>
    <w:rsid w:val="00F6378A"/>
    <w:rsid w:val="00F64CE7"/>
    <w:rsid w:val="00F65A3C"/>
    <w:rsid w:val="00F66009"/>
    <w:rsid w:val="00F66282"/>
    <w:rsid w:val="00F6639E"/>
    <w:rsid w:val="00F670E9"/>
    <w:rsid w:val="00F6749F"/>
    <w:rsid w:val="00F67AF1"/>
    <w:rsid w:val="00F67D8B"/>
    <w:rsid w:val="00F700CD"/>
    <w:rsid w:val="00F701C5"/>
    <w:rsid w:val="00F70961"/>
    <w:rsid w:val="00F70A8F"/>
    <w:rsid w:val="00F71397"/>
    <w:rsid w:val="00F719FD"/>
    <w:rsid w:val="00F72389"/>
    <w:rsid w:val="00F72516"/>
    <w:rsid w:val="00F72FB4"/>
    <w:rsid w:val="00F732CF"/>
    <w:rsid w:val="00F735E5"/>
    <w:rsid w:val="00F73B82"/>
    <w:rsid w:val="00F73E80"/>
    <w:rsid w:val="00F7469C"/>
    <w:rsid w:val="00F7487C"/>
    <w:rsid w:val="00F7492E"/>
    <w:rsid w:val="00F74945"/>
    <w:rsid w:val="00F749A3"/>
    <w:rsid w:val="00F74AE8"/>
    <w:rsid w:val="00F75169"/>
    <w:rsid w:val="00F76768"/>
    <w:rsid w:val="00F76C11"/>
    <w:rsid w:val="00F77021"/>
    <w:rsid w:val="00F770AB"/>
    <w:rsid w:val="00F77E61"/>
    <w:rsid w:val="00F80221"/>
    <w:rsid w:val="00F802B0"/>
    <w:rsid w:val="00F80A0A"/>
    <w:rsid w:val="00F80C81"/>
    <w:rsid w:val="00F815AC"/>
    <w:rsid w:val="00F82421"/>
    <w:rsid w:val="00F82E28"/>
    <w:rsid w:val="00F83B33"/>
    <w:rsid w:val="00F83CAE"/>
    <w:rsid w:val="00F840BF"/>
    <w:rsid w:val="00F8427A"/>
    <w:rsid w:val="00F843DF"/>
    <w:rsid w:val="00F84646"/>
    <w:rsid w:val="00F84899"/>
    <w:rsid w:val="00F84A9E"/>
    <w:rsid w:val="00F85585"/>
    <w:rsid w:val="00F859F0"/>
    <w:rsid w:val="00F85CC1"/>
    <w:rsid w:val="00F86B5D"/>
    <w:rsid w:val="00F8740F"/>
    <w:rsid w:val="00F87634"/>
    <w:rsid w:val="00F87809"/>
    <w:rsid w:val="00F87C13"/>
    <w:rsid w:val="00F87C5A"/>
    <w:rsid w:val="00F87E29"/>
    <w:rsid w:val="00F87F18"/>
    <w:rsid w:val="00F87F37"/>
    <w:rsid w:val="00F87F68"/>
    <w:rsid w:val="00F90C4D"/>
    <w:rsid w:val="00F9165C"/>
    <w:rsid w:val="00F9167D"/>
    <w:rsid w:val="00F91CB2"/>
    <w:rsid w:val="00F91E21"/>
    <w:rsid w:val="00F921BC"/>
    <w:rsid w:val="00F927E8"/>
    <w:rsid w:val="00F9289C"/>
    <w:rsid w:val="00F92FC1"/>
    <w:rsid w:val="00F932D1"/>
    <w:rsid w:val="00F93DBC"/>
    <w:rsid w:val="00F93E41"/>
    <w:rsid w:val="00F94644"/>
    <w:rsid w:val="00F952E4"/>
    <w:rsid w:val="00F9537B"/>
    <w:rsid w:val="00F96079"/>
    <w:rsid w:val="00F963FC"/>
    <w:rsid w:val="00F97CF1"/>
    <w:rsid w:val="00FA015F"/>
    <w:rsid w:val="00FA0FAC"/>
    <w:rsid w:val="00FA0FBA"/>
    <w:rsid w:val="00FA10F7"/>
    <w:rsid w:val="00FA1817"/>
    <w:rsid w:val="00FA1DA2"/>
    <w:rsid w:val="00FA2258"/>
    <w:rsid w:val="00FA313F"/>
    <w:rsid w:val="00FA3414"/>
    <w:rsid w:val="00FA347A"/>
    <w:rsid w:val="00FA3CDE"/>
    <w:rsid w:val="00FA3D45"/>
    <w:rsid w:val="00FA4048"/>
    <w:rsid w:val="00FA4168"/>
    <w:rsid w:val="00FA4408"/>
    <w:rsid w:val="00FA44B1"/>
    <w:rsid w:val="00FA49B7"/>
    <w:rsid w:val="00FA4B97"/>
    <w:rsid w:val="00FA4E49"/>
    <w:rsid w:val="00FA5043"/>
    <w:rsid w:val="00FA60C1"/>
    <w:rsid w:val="00FA63DD"/>
    <w:rsid w:val="00FA6563"/>
    <w:rsid w:val="00FA65A3"/>
    <w:rsid w:val="00FA66F9"/>
    <w:rsid w:val="00FA6BCA"/>
    <w:rsid w:val="00FA6F8B"/>
    <w:rsid w:val="00FA727C"/>
    <w:rsid w:val="00FA7A30"/>
    <w:rsid w:val="00FA7A9B"/>
    <w:rsid w:val="00FB033F"/>
    <w:rsid w:val="00FB0880"/>
    <w:rsid w:val="00FB12E3"/>
    <w:rsid w:val="00FB1570"/>
    <w:rsid w:val="00FB193B"/>
    <w:rsid w:val="00FB1FBC"/>
    <w:rsid w:val="00FB27B7"/>
    <w:rsid w:val="00FB35E3"/>
    <w:rsid w:val="00FB4743"/>
    <w:rsid w:val="00FB47C3"/>
    <w:rsid w:val="00FB4C98"/>
    <w:rsid w:val="00FB4CE3"/>
    <w:rsid w:val="00FB551D"/>
    <w:rsid w:val="00FB583C"/>
    <w:rsid w:val="00FB630E"/>
    <w:rsid w:val="00FB6738"/>
    <w:rsid w:val="00FB691B"/>
    <w:rsid w:val="00FB6BC4"/>
    <w:rsid w:val="00FB6BE6"/>
    <w:rsid w:val="00FB731C"/>
    <w:rsid w:val="00FB7628"/>
    <w:rsid w:val="00FB7651"/>
    <w:rsid w:val="00FC0078"/>
    <w:rsid w:val="00FC0363"/>
    <w:rsid w:val="00FC05A0"/>
    <w:rsid w:val="00FC0811"/>
    <w:rsid w:val="00FC09B3"/>
    <w:rsid w:val="00FC1196"/>
    <w:rsid w:val="00FC15EB"/>
    <w:rsid w:val="00FC162C"/>
    <w:rsid w:val="00FC18DC"/>
    <w:rsid w:val="00FC21F2"/>
    <w:rsid w:val="00FC2477"/>
    <w:rsid w:val="00FC2AC4"/>
    <w:rsid w:val="00FC2D17"/>
    <w:rsid w:val="00FC2F73"/>
    <w:rsid w:val="00FC3A9B"/>
    <w:rsid w:val="00FC3AE1"/>
    <w:rsid w:val="00FC3DFC"/>
    <w:rsid w:val="00FC3EF4"/>
    <w:rsid w:val="00FC431B"/>
    <w:rsid w:val="00FC434C"/>
    <w:rsid w:val="00FC472C"/>
    <w:rsid w:val="00FC4FDF"/>
    <w:rsid w:val="00FC5CF4"/>
    <w:rsid w:val="00FC5D64"/>
    <w:rsid w:val="00FC61D6"/>
    <w:rsid w:val="00FC6A39"/>
    <w:rsid w:val="00FC6DB9"/>
    <w:rsid w:val="00FC7174"/>
    <w:rsid w:val="00FC76A9"/>
    <w:rsid w:val="00FC79AB"/>
    <w:rsid w:val="00FC7BE7"/>
    <w:rsid w:val="00FC7DAC"/>
    <w:rsid w:val="00FD005D"/>
    <w:rsid w:val="00FD0216"/>
    <w:rsid w:val="00FD04AE"/>
    <w:rsid w:val="00FD0865"/>
    <w:rsid w:val="00FD0DFA"/>
    <w:rsid w:val="00FD1890"/>
    <w:rsid w:val="00FD1994"/>
    <w:rsid w:val="00FD3290"/>
    <w:rsid w:val="00FD3508"/>
    <w:rsid w:val="00FD393C"/>
    <w:rsid w:val="00FD3AFF"/>
    <w:rsid w:val="00FD43BB"/>
    <w:rsid w:val="00FD4AF3"/>
    <w:rsid w:val="00FD5443"/>
    <w:rsid w:val="00FD6675"/>
    <w:rsid w:val="00FD67F9"/>
    <w:rsid w:val="00FD694E"/>
    <w:rsid w:val="00FD6DC5"/>
    <w:rsid w:val="00FD7250"/>
    <w:rsid w:val="00FD72B1"/>
    <w:rsid w:val="00FD72E7"/>
    <w:rsid w:val="00FD798D"/>
    <w:rsid w:val="00FE04AB"/>
    <w:rsid w:val="00FE141E"/>
    <w:rsid w:val="00FE144E"/>
    <w:rsid w:val="00FE1768"/>
    <w:rsid w:val="00FE1DD5"/>
    <w:rsid w:val="00FE1E8C"/>
    <w:rsid w:val="00FE24F4"/>
    <w:rsid w:val="00FE2560"/>
    <w:rsid w:val="00FE35D0"/>
    <w:rsid w:val="00FE3AD9"/>
    <w:rsid w:val="00FE42ED"/>
    <w:rsid w:val="00FE4E06"/>
    <w:rsid w:val="00FE55A7"/>
    <w:rsid w:val="00FE5C5A"/>
    <w:rsid w:val="00FE601E"/>
    <w:rsid w:val="00FE6432"/>
    <w:rsid w:val="00FE72A0"/>
    <w:rsid w:val="00FF0050"/>
    <w:rsid w:val="00FF03EA"/>
    <w:rsid w:val="00FF045F"/>
    <w:rsid w:val="00FF0816"/>
    <w:rsid w:val="00FF13D4"/>
    <w:rsid w:val="00FF2053"/>
    <w:rsid w:val="00FF3B37"/>
    <w:rsid w:val="00FF3CC7"/>
    <w:rsid w:val="00FF3D6F"/>
    <w:rsid w:val="00FF441A"/>
    <w:rsid w:val="00FF44D7"/>
    <w:rsid w:val="00FF4BD8"/>
    <w:rsid w:val="00FF4D11"/>
    <w:rsid w:val="00FF5214"/>
    <w:rsid w:val="00FF5914"/>
    <w:rsid w:val="00FF596E"/>
    <w:rsid w:val="00FF5B59"/>
    <w:rsid w:val="00FF5BFD"/>
    <w:rsid w:val="00FF6095"/>
    <w:rsid w:val="00FF62FE"/>
    <w:rsid w:val="00FF6553"/>
    <w:rsid w:val="00FF66AE"/>
    <w:rsid w:val="00FF70BD"/>
    <w:rsid w:val="00FF7124"/>
    <w:rsid w:val="00FF7A39"/>
    <w:rsid w:val="029BC757"/>
    <w:rsid w:val="3569F5A8"/>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styleId="Textonotaalfinal">
    <w:name w:val="endnote text"/>
    <w:basedOn w:val="Normal"/>
    <w:link w:val="TextonotaalfinalCar"/>
    <w:uiPriority w:val="99"/>
    <w:semiHidden/>
    <w:unhideWhenUsed/>
    <w:rsid w:val="001679EF"/>
    <w:rPr>
      <w:sz w:val="20"/>
      <w:szCs w:val="20"/>
    </w:rPr>
  </w:style>
  <w:style w:type="character" w:customStyle="1" w:styleId="TextonotaalfinalCar">
    <w:name w:val="Texto nota al final Car"/>
    <w:basedOn w:val="Fuentedeprrafopredeter"/>
    <w:link w:val="Textonotaalfinal"/>
    <w:uiPriority w:val="99"/>
    <w:semiHidden/>
    <w:rsid w:val="001679EF"/>
    <w:rPr>
      <w:rFonts w:ascii="Times New Roman" w:eastAsia="Times New Roman" w:hAnsi="Times New Roman" w:cs="Times New Roman"/>
      <w:sz w:val="20"/>
      <w:szCs w:val="20"/>
      <w:lang w:eastAsia="es-ES_tradnl"/>
    </w:rPr>
  </w:style>
  <w:style w:type="character" w:styleId="Refdenotaalfinal">
    <w:name w:val="endnote reference"/>
    <w:basedOn w:val="Fuentedeprrafopredeter"/>
    <w:uiPriority w:val="99"/>
    <w:semiHidden/>
    <w:unhideWhenUsed/>
    <w:rsid w:val="001679EF"/>
    <w:rPr>
      <w:vertAlign w:val="superscript"/>
    </w:rPr>
  </w:style>
  <w:style w:type="paragraph" w:customStyle="1" w:styleId="Car1">
    <w:name w:val="Car1"/>
    <w:basedOn w:val="Normal"/>
    <w:next w:val="Textonotapie"/>
    <w:uiPriority w:val="99"/>
    <w:unhideWhenUsed/>
    <w:qFormat/>
    <w:rsid w:val="00E85980"/>
    <w:rPr>
      <w:rFonts w:ascii="Calibri" w:eastAsia="Calibri" w:hAnsi="Calibri"/>
      <w:sz w:val="20"/>
      <w:szCs w:val="20"/>
      <w:lang w:val="es-MX"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1826938">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10173570">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15430727">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66786160">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5401761">
      <w:bodyDiv w:val="1"/>
      <w:marLeft w:val="0"/>
      <w:marRight w:val="0"/>
      <w:marTop w:val="0"/>
      <w:marBottom w:val="0"/>
      <w:divBdr>
        <w:top w:val="none" w:sz="0" w:space="0" w:color="auto"/>
        <w:left w:val="none" w:sz="0" w:space="0" w:color="auto"/>
        <w:bottom w:val="none" w:sz="0" w:space="0" w:color="auto"/>
        <w:right w:val="none" w:sz="0" w:space="0" w:color="auto"/>
      </w:divBdr>
      <w:divsChild>
        <w:div w:id="1415666582">
          <w:marLeft w:val="0"/>
          <w:marRight w:val="0"/>
          <w:marTop w:val="300"/>
          <w:marBottom w:val="300"/>
          <w:divBdr>
            <w:top w:val="none" w:sz="0" w:space="0" w:color="auto"/>
            <w:left w:val="none" w:sz="0" w:space="0" w:color="auto"/>
            <w:bottom w:val="none" w:sz="0" w:space="0" w:color="auto"/>
            <w:right w:val="none" w:sz="0" w:space="0" w:color="auto"/>
          </w:divBdr>
        </w:div>
      </w:divsChild>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440428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79591178">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8354713">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4709385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83345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376343">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2529466">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0707619">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73372197">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20890118">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1393228">
      <w:bodyDiv w:val="1"/>
      <w:marLeft w:val="0"/>
      <w:marRight w:val="0"/>
      <w:marTop w:val="0"/>
      <w:marBottom w:val="0"/>
      <w:divBdr>
        <w:top w:val="none" w:sz="0" w:space="0" w:color="auto"/>
        <w:left w:val="none" w:sz="0" w:space="0" w:color="auto"/>
        <w:bottom w:val="none" w:sz="0" w:space="0" w:color="auto"/>
        <w:right w:val="none" w:sz="0" w:space="0" w:color="auto"/>
      </w:divBdr>
      <w:divsChild>
        <w:div w:id="1693536321">
          <w:marLeft w:val="0"/>
          <w:marRight w:val="0"/>
          <w:marTop w:val="0"/>
          <w:marBottom w:val="0"/>
          <w:divBdr>
            <w:top w:val="none" w:sz="0" w:space="0" w:color="auto"/>
            <w:left w:val="none" w:sz="0" w:space="0" w:color="auto"/>
            <w:bottom w:val="none" w:sz="0" w:space="0" w:color="auto"/>
            <w:right w:val="none" w:sz="0" w:space="0" w:color="auto"/>
          </w:divBdr>
        </w:div>
      </w:divsChild>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colaboracion.dnp.gov.co/CDT/Conpes/Econ%C3%B3micos/3956.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CA709260-3D27-4AEB-AD3E-BA91CA5854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17</Pages>
  <Words>6244</Words>
  <Characters>34343</Characters>
  <Application>Microsoft Office Word</Application>
  <DocSecurity>0</DocSecurity>
  <Lines>286</Lines>
  <Paragraphs>81</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40506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Edwin Johan Chocontá Quintero</cp:lastModifiedBy>
  <cp:revision>2</cp:revision>
  <cp:lastPrinted>2020-01-30T15:05:00Z</cp:lastPrinted>
  <dcterms:created xsi:type="dcterms:W3CDTF">2022-05-25T19:35:00Z</dcterms:created>
  <dcterms:modified xsi:type="dcterms:W3CDTF">2022-05-25T19:35:00Z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