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D22CEF" w14:textId="09CC6B0D" w:rsidR="00A815BF" w:rsidRPr="009F2B7A" w:rsidRDefault="00A815BF" w:rsidP="009F2B7A">
      <w:pPr>
        <w:spacing w:after="0" w:line="240" w:lineRule="auto"/>
        <w:rPr>
          <w:rFonts w:ascii="Arial" w:hAnsi="Arial" w:cs="Arial"/>
          <w:b/>
          <w:bCs/>
          <w:color w:val="000000" w:themeColor="text1"/>
          <w:lang w:val="es-ES_tradnl"/>
        </w:rPr>
      </w:pPr>
      <w:bookmarkStart w:id="0" w:name="_Hlk172124853"/>
      <w:bookmarkStart w:id="1" w:name="_Hlk143780582"/>
      <w:r w:rsidRPr="009F2B7A">
        <w:rPr>
          <w:rFonts w:ascii="Arial" w:hAnsi="Arial" w:cs="Arial"/>
          <w:b/>
          <w:bCs/>
          <w:color w:val="000000" w:themeColor="text1"/>
          <w:lang w:val="es-ES_tradnl"/>
        </w:rPr>
        <w:t>CONVOCATORIAS LIMITADAS A MIPYME -</w:t>
      </w:r>
      <w:r w:rsidR="009F2B7A" w:rsidRPr="009F2B7A">
        <w:rPr>
          <w:rFonts w:ascii="Arial" w:hAnsi="Arial" w:cs="Arial"/>
          <w:b/>
          <w:bCs/>
          <w:color w:val="000000" w:themeColor="text1"/>
          <w:lang w:val="es-ES_tradnl"/>
        </w:rPr>
        <w:t xml:space="preserve"> L</w:t>
      </w:r>
      <w:r w:rsidRPr="009F2B7A">
        <w:rPr>
          <w:rFonts w:ascii="Arial" w:hAnsi="Arial" w:cs="Arial"/>
          <w:b/>
          <w:bCs/>
          <w:color w:val="000000" w:themeColor="text1"/>
          <w:lang w:val="es-ES_tradnl"/>
        </w:rPr>
        <w:t>imitación territorial</w:t>
      </w:r>
    </w:p>
    <w:p w14:paraId="5F03DADD" w14:textId="77777777" w:rsidR="009F2B7A" w:rsidRPr="001D30BE" w:rsidRDefault="009F2B7A" w:rsidP="009F2B7A">
      <w:pPr>
        <w:spacing w:after="0" w:line="240" w:lineRule="auto"/>
        <w:rPr>
          <w:rFonts w:ascii="Verdana" w:hAnsi="Verdana"/>
        </w:rPr>
      </w:pPr>
    </w:p>
    <w:p w14:paraId="5A12A5D6" w14:textId="77777777" w:rsidR="00A815BF" w:rsidRPr="009F2B7A" w:rsidRDefault="00A815BF" w:rsidP="009F2B7A">
      <w:pPr>
        <w:spacing w:after="120" w:line="240" w:lineRule="auto"/>
        <w:jc w:val="both"/>
        <w:rPr>
          <w:rFonts w:ascii="Verdana" w:hAnsi="Verdana" w:cs="Arial"/>
          <w:color w:val="000000" w:themeColor="text1"/>
          <w:sz w:val="20"/>
          <w:szCs w:val="20"/>
          <w:lang w:val="es-ES"/>
        </w:rPr>
      </w:pPr>
      <w:r w:rsidRPr="009F2B7A">
        <w:rPr>
          <w:rFonts w:ascii="Verdana" w:hAnsi="Verdana" w:cs="Arial"/>
          <w:color w:val="000000" w:themeColor="text1"/>
          <w:sz w:val="20"/>
          <w:szCs w:val="20"/>
          <w:lang w:val="es-ES"/>
        </w:rPr>
        <w:t>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w:t>
      </w:r>
    </w:p>
    <w:p w14:paraId="41545D8E" w14:textId="77777777" w:rsidR="00A815BF" w:rsidRPr="009F2B7A" w:rsidRDefault="00A815BF" w:rsidP="009F2B7A">
      <w:pPr>
        <w:spacing w:after="120" w:line="240" w:lineRule="auto"/>
        <w:jc w:val="both"/>
        <w:rPr>
          <w:rFonts w:ascii="Verdana" w:hAnsi="Verdana" w:cs="Arial"/>
          <w:color w:val="000000" w:themeColor="text1"/>
          <w:sz w:val="20"/>
          <w:szCs w:val="20"/>
          <w:lang w:val="es-ES"/>
        </w:rPr>
      </w:pPr>
      <w:r w:rsidRPr="009F2B7A">
        <w:rPr>
          <w:rFonts w:ascii="Verdana" w:hAnsi="Verdana" w:cs="Arial"/>
          <w:color w:val="000000" w:themeColor="text1"/>
          <w:sz w:val="20"/>
          <w:szCs w:val="20"/>
          <w:lang w:val="es-ES"/>
        </w:rPr>
        <w:t>(..)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C95DAB0"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7BF3846D"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482C386B"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637D2D39"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543CC111"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39C78F74"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37D72CA8"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54D908DD"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2535EC57"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20B88838"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624E922D" w14:textId="77777777" w:rsidR="00A815BF" w:rsidRDefault="00A815BF" w:rsidP="00A815BF">
      <w:pPr>
        <w:spacing w:after="0" w:line="276" w:lineRule="auto"/>
        <w:jc w:val="both"/>
        <w:rPr>
          <w:rFonts w:ascii="Verdana" w:eastAsia="Calibri" w:hAnsi="Verdana" w:cs="Arial"/>
          <w:sz w:val="21"/>
          <w:szCs w:val="21"/>
          <w:lang w:val="es-ES_tradnl" w:eastAsia="es-ES"/>
        </w:rPr>
      </w:pPr>
    </w:p>
    <w:p w14:paraId="7B4AAD46" w14:textId="77777777" w:rsidR="00A815BF" w:rsidRDefault="00A815BF" w:rsidP="00A815BF">
      <w:pPr>
        <w:spacing w:after="0" w:line="276" w:lineRule="auto"/>
        <w:jc w:val="both"/>
        <w:rPr>
          <w:rFonts w:ascii="Verdana" w:eastAsia="Calibri" w:hAnsi="Verdana" w:cs="Arial"/>
          <w:sz w:val="21"/>
          <w:szCs w:val="21"/>
          <w:lang w:val="es-ES_tradnl" w:eastAsia="es-ES"/>
        </w:rPr>
      </w:pPr>
    </w:p>
    <w:p w14:paraId="7AE649F7" w14:textId="77777777" w:rsidR="00A815BF" w:rsidRDefault="00A815BF" w:rsidP="00A815BF">
      <w:pPr>
        <w:spacing w:after="0" w:line="276" w:lineRule="auto"/>
        <w:jc w:val="both"/>
        <w:rPr>
          <w:rFonts w:ascii="Verdana" w:eastAsia="Calibri" w:hAnsi="Verdana" w:cs="Arial"/>
          <w:sz w:val="21"/>
          <w:szCs w:val="21"/>
          <w:lang w:val="es-ES_tradnl" w:eastAsia="es-ES"/>
        </w:rPr>
      </w:pPr>
    </w:p>
    <w:p w14:paraId="6FB08C87"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630C045D" w14:textId="77777777" w:rsidR="00A815BF" w:rsidRPr="00985BF7" w:rsidRDefault="00A815BF" w:rsidP="00A815BF">
      <w:pPr>
        <w:spacing w:after="0" w:line="276" w:lineRule="auto"/>
        <w:jc w:val="both"/>
        <w:rPr>
          <w:rFonts w:ascii="Verdana" w:eastAsia="Calibri" w:hAnsi="Verdana" w:cs="Arial"/>
          <w:sz w:val="21"/>
          <w:szCs w:val="21"/>
          <w:lang w:val="es-ES_tradnl" w:eastAsia="es-ES"/>
        </w:rPr>
      </w:pPr>
    </w:p>
    <w:p w14:paraId="5F103E39" w14:textId="77777777" w:rsidR="00A815BF" w:rsidRDefault="00A815BF" w:rsidP="00A815BF">
      <w:pPr>
        <w:spacing w:after="0" w:line="276" w:lineRule="auto"/>
        <w:jc w:val="both"/>
        <w:rPr>
          <w:rFonts w:ascii="Verdana" w:hAnsi="Verdana"/>
        </w:rPr>
      </w:pPr>
    </w:p>
    <w:p w14:paraId="0D2FF3C4" w14:textId="77777777" w:rsidR="00A815BF" w:rsidRDefault="00A815BF" w:rsidP="00A815BF">
      <w:pPr>
        <w:spacing w:after="0" w:line="276" w:lineRule="auto"/>
        <w:jc w:val="both"/>
        <w:rPr>
          <w:rFonts w:ascii="Verdana" w:hAnsi="Verdana"/>
        </w:rPr>
      </w:pPr>
    </w:p>
    <w:p w14:paraId="52F66887" w14:textId="77777777" w:rsidR="00A77381" w:rsidRDefault="00A77381" w:rsidP="00A815BF">
      <w:pPr>
        <w:spacing w:after="0" w:line="276" w:lineRule="auto"/>
        <w:jc w:val="both"/>
        <w:rPr>
          <w:rFonts w:ascii="Verdana" w:hAnsi="Verdana"/>
        </w:rPr>
      </w:pPr>
    </w:p>
    <w:p w14:paraId="07B50165" w14:textId="77777777" w:rsidR="00A77381" w:rsidRDefault="00A77381" w:rsidP="00A815BF">
      <w:pPr>
        <w:spacing w:after="0" w:line="276" w:lineRule="auto"/>
        <w:jc w:val="both"/>
        <w:rPr>
          <w:rFonts w:ascii="Verdana" w:hAnsi="Verdana"/>
        </w:rPr>
      </w:pPr>
    </w:p>
    <w:p w14:paraId="043C0562" w14:textId="77777777" w:rsidR="00A77381" w:rsidRDefault="00A77381" w:rsidP="00A815BF">
      <w:pPr>
        <w:spacing w:after="0" w:line="276" w:lineRule="auto"/>
        <w:jc w:val="both"/>
        <w:rPr>
          <w:rFonts w:ascii="Verdana" w:hAnsi="Verdana"/>
        </w:rPr>
      </w:pPr>
    </w:p>
    <w:p w14:paraId="71CCC2A7" w14:textId="46033604" w:rsidR="00A815BF" w:rsidRDefault="00A815BF" w:rsidP="00A815BF">
      <w:pPr>
        <w:spacing w:after="0" w:line="276" w:lineRule="auto"/>
        <w:jc w:val="both"/>
        <w:rPr>
          <w:rFonts w:ascii="Verdana" w:hAnsi="Verdana"/>
        </w:rPr>
      </w:pPr>
      <w:r w:rsidRPr="0044528D">
        <w:rPr>
          <w:rFonts w:ascii="Verdana" w:hAnsi="Verdana"/>
        </w:rPr>
        <w:lastRenderedPageBreak/>
        <w:t xml:space="preserve">Bogotá D.C., </w:t>
      </w:r>
      <w:r w:rsidR="00B27516">
        <w:rPr>
          <w:rFonts w:ascii="Verdana" w:hAnsi="Verdana"/>
        </w:rPr>
        <w:t>15 de agosto de 2024</w:t>
      </w:r>
    </w:p>
    <w:p w14:paraId="4B399893" w14:textId="77777777" w:rsidR="00B27516" w:rsidRDefault="00B27516" w:rsidP="00A815BF">
      <w:pPr>
        <w:spacing w:after="0" w:line="276" w:lineRule="auto"/>
        <w:jc w:val="both"/>
        <w:rPr>
          <w:rFonts w:ascii="Verdana" w:hAnsi="Verdana"/>
        </w:rPr>
      </w:pPr>
    </w:p>
    <w:p w14:paraId="20591F8D" w14:textId="12B67C1B" w:rsidR="00B27516" w:rsidRPr="00985BF7" w:rsidRDefault="00B27516" w:rsidP="00B27516">
      <w:pPr>
        <w:spacing w:after="0" w:line="276" w:lineRule="auto"/>
        <w:jc w:val="right"/>
        <w:rPr>
          <w:rFonts w:ascii="Verdana" w:eastAsia="Calibri" w:hAnsi="Verdana" w:cs="Arial"/>
          <w:sz w:val="21"/>
          <w:szCs w:val="21"/>
          <w:lang w:val="es-ES" w:eastAsia="es-ES"/>
        </w:rPr>
      </w:pPr>
      <w:r w:rsidRPr="00B27516">
        <w:rPr>
          <w:rFonts w:ascii="Verdana" w:eastAsia="Calibri" w:hAnsi="Verdana" w:cs="Arial"/>
          <w:noProof/>
          <w:sz w:val="21"/>
          <w:szCs w:val="21"/>
          <w:lang w:val="es-ES" w:eastAsia="es-ES"/>
        </w:rPr>
        <w:drawing>
          <wp:inline distT="0" distB="0" distL="0" distR="0" wp14:anchorId="7DC3CD61" wp14:editId="49CEA347">
            <wp:extent cx="3772426" cy="1047896"/>
            <wp:effectExtent l="0" t="0" r="0" b="0"/>
            <wp:docPr id="6745084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08486" name="Imagen 1" descr="Texto&#10;&#10;Descripción generada automáticamente"/>
                    <pic:cNvPicPr/>
                  </pic:nvPicPr>
                  <pic:blipFill>
                    <a:blip r:embed="rId11"/>
                    <a:stretch>
                      <a:fillRect/>
                    </a:stretch>
                  </pic:blipFill>
                  <pic:spPr>
                    <a:xfrm>
                      <a:off x="0" y="0"/>
                      <a:ext cx="3772426" cy="1047896"/>
                    </a:xfrm>
                    <a:prstGeom prst="rect">
                      <a:avLst/>
                    </a:prstGeom>
                  </pic:spPr>
                </pic:pic>
              </a:graphicData>
            </a:graphic>
          </wp:inline>
        </w:drawing>
      </w:r>
    </w:p>
    <w:p w14:paraId="57548837" w14:textId="77777777" w:rsidR="00A815BF" w:rsidRDefault="00A815BF" w:rsidP="00A815BF">
      <w:pPr>
        <w:spacing w:after="0" w:line="276" w:lineRule="auto"/>
        <w:jc w:val="both"/>
        <w:rPr>
          <w:rFonts w:ascii="Verdana" w:eastAsia="Calibri" w:hAnsi="Verdana" w:cs="Arial"/>
          <w:lang w:val="es-ES" w:eastAsia="es-ES"/>
        </w:rPr>
      </w:pPr>
    </w:p>
    <w:p w14:paraId="60FA8703" w14:textId="77777777" w:rsidR="00A815BF" w:rsidRPr="005B3F16" w:rsidRDefault="00A815BF" w:rsidP="00A815BF">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Señor</w:t>
      </w:r>
    </w:p>
    <w:p w14:paraId="061A608D" w14:textId="77777777" w:rsidR="00A815BF" w:rsidRPr="005B3F16" w:rsidRDefault="00A815BF" w:rsidP="00A815BF">
      <w:pPr>
        <w:spacing w:after="0" w:line="276" w:lineRule="auto"/>
        <w:rPr>
          <w:rFonts w:ascii="Verdana" w:eastAsia="Calibri" w:hAnsi="Verdana" w:cs="Arial"/>
          <w:b/>
          <w:bCs/>
          <w:lang w:eastAsia="es-ES_tradnl"/>
        </w:rPr>
      </w:pPr>
      <w:r w:rsidRPr="005B3F16">
        <w:rPr>
          <w:rFonts w:ascii="Verdana" w:eastAsia="Calibri" w:hAnsi="Verdana" w:cs="Arial"/>
          <w:b/>
          <w:bCs/>
          <w:lang w:eastAsia="es-ES_tradnl"/>
        </w:rPr>
        <w:t>JORGE LUIS BARRERA PERDOMO</w:t>
      </w:r>
    </w:p>
    <w:p w14:paraId="3CF6A843" w14:textId="77777777" w:rsidR="00A815BF" w:rsidRPr="005B3F16" w:rsidRDefault="00A815BF" w:rsidP="00A815BF">
      <w:pPr>
        <w:spacing w:after="0" w:line="276" w:lineRule="auto"/>
        <w:rPr>
          <w:rFonts w:ascii="Verdana" w:eastAsia="Calibri" w:hAnsi="Verdana" w:cs="Arial"/>
          <w:lang w:eastAsia="es-ES_tradnl"/>
        </w:rPr>
      </w:pPr>
      <w:r w:rsidRPr="005B3F16">
        <w:rPr>
          <w:rFonts w:ascii="Verdana" w:eastAsia="Calibri" w:hAnsi="Verdana" w:cs="Arial"/>
          <w:lang w:eastAsia="es-ES_tradnl"/>
        </w:rPr>
        <w:t>jorgebarrera1990@outlook.com</w:t>
      </w:r>
    </w:p>
    <w:p w14:paraId="5DA1DE2A" w14:textId="2ABD09B1" w:rsidR="00A815BF" w:rsidRDefault="00A815BF" w:rsidP="00A815BF">
      <w:pPr>
        <w:spacing w:after="0" w:line="276" w:lineRule="auto"/>
        <w:rPr>
          <w:rFonts w:ascii="Verdana" w:eastAsia="Calibri" w:hAnsi="Verdana" w:cs="Arial"/>
          <w:lang w:eastAsia="es-ES"/>
        </w:rPr>
      </w:pPr>
      <w:r>
        <w:rPr>
          <w:rFonts w:ascii="Verdana" w:eastAsia="Calibri" w:hAnsi="Verdana" w:cs="Arial"/>
          <w:lang w:eastAsia="es-ES"/>
        </w:rPr>
        <w:t xml:space="preserve">Florencia </w:t>
      </w:r>
      <w:r w:rsidR="00261807">
        <w:rPr>
          <w:rFonts w:ascii="Verdana" w:eastAsia="Calibri" w:hAnsi="Verdana" w:cs="Arial"/>
          <w:lang w:eastAsia="es-ES"/>
        </w:rPr>
        <w:t>–</w:t>
      </w:r>
      <w:r>
        <w:rPr>
          <w:rFonts w:ascii="Verdana" w:eastAsia="Calibri" w:hAnsi="Verdana" w:cs="Arial"/>
          <w:lang w:eastAsia="es-ES"/>
        </w:rPr>
        <w:t xml:space="preserve"> </w:t>
      </w:r>
      <w:r w:rsidR="00261807">
        <w:rPr>
          <w:rFonts w:ascii="Verdana" w:eastAsia="Calibri" w:hAnsi="Verdana" w:cs="Arial"/>
          <w:lang w:eastAsia="es-ES"/>
        </w:rPr>
        <w:t>Caquetá</w:t>
      </w:r>
    </w:p>
    <w:p w14:paraId="1D456E47" w14:textId="77777777" w:rsidR="00261807" w:rsidRPr="00223573" w:rsidRDefault="00261807" w:rsidP="00A815BF">
      <w:pPr>
        <w:spacing w:after="0" w:line="276"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815BF" w:rsidRPr="005B3F16" w14:paraId="14063296" w14:textId="77777777" w:rsidTr="006F37EF">
        <w:trPr>
          <w:trHeight w:val="884"/>
        </w:trPr>
        <w:tc>
          <w:tcPr>
            <w:tcW w:w="2689" w:type="dxa"/>
          </w:tcPr>
          <w:p w14:paraId="25D4EA92" w14:textId="77777777" w:rsidR="00A815BF" w:rsidRPr="005B3F16" w:rsidRDefault="00A815BF" w:rsidP="006F37EF">
            <w:pPr>
              <w:spacing w:line="276" w:lineRule="auto"/>
              <w:jc w:val="both"/>
              <w:rPr>
                <w:rFonts w:ascii="Verdana" w:eastAsia="Calibri" w:hAnsi="Verdana" w:cs="Arial"/>
                <w:b/>
                <w:bCs/>
                <w:lang w:val="es-ES_tradnl" w:eastAsia="es-ES_tradnl"/>
              </w:rPr>
            </w:pPr>
          </w:p>
        </w:tc>
        <w:tc>
          <w:tcPr>
            <w:tcW w:w="6100" w:type="dxa"/>
          </w:tcPr>
          <w:p w14:paraId="7437996F" w14:textId="77777777" w:rsidR="00A815BF" w:rsidRPr="005B3F16" w:rsidRDefault="00A815BF" w:rsidP="006F37EF">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Concepto C- 253 de 2024</w:t>
            </w:r>
          </w:p>
        </w:tc>
      </w:tr>
      <w:tr w:rsidR="00A815BF" w:rsidRPr="005B3F16" w14:paraId="428C85BF" w14:textId="77777777" w:rsidTr="006F37EF">
        <w:trPr>
          <w:trHeight w:val="884"/>
        </w:trPr>
        <w:tc>
          <w:tcPr>
            <w:tcW w:w="2689" w:type="dxa"/>
          </w:tcPr>
          <w:p w14:paraId="4CCF5053" w14:textId="77777777" w:rsidR="00A815BF" w:rsidRPr="005B3F16" w:rsidRDefault="00A815BF" w:rsidP="006F37EF">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484963F5" w14:textId="303BF2C9" w:rsidR="00A815BF" w:rsidRPr="004D70E1" w:rsidRDefault="00A815BF" w:rsidP="006F37EF">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CONVOCATORIAS LIMITADAS A MIPYME </w:t>
            </w:r>
            <w:r>
              <w:rPr>
                <w:rFonts w:ascii="Arial" w:eastAsiaTheme="minorHAnsi" w:hAnsi="Arial" w:cs="Arial"/>
                <w:b/>
                <w:bCs/>
                <w:color w:val="000000" w:themeColor="text1"/>
                <w:sz w:val="22"/>
                <w:szCs w:val="22"/>
                <w:lang w:val="es-ES_tradnl" w:eastAsia="en-US"/>
              </w:rPr>
              <w:t>-</w:t>
            </w:r>
            <w:r w:rsidR="006D1050">
              <w:rPr>
                <w:rFonts w:ascii="Arial" w:eastAsiaTheme="minorHAnsi" w:hAnsi="Arial" w:cs="Arial"/>
                <w:b/>
                <w:bCs/>
                <w:color w:val="000000" w:themeColor="text1"/>
                <w:sz w:val="22"/>
                <w:szCs w:val="22"/>
                <w:lang w:val="es-ES_tradnl" w:eastAsia="en-US"/>
              </w:rPr>
              <w:t xml:space="preserve"> L</w:t>
            </w:r>
            <w:bookmarkStart w:id="2" w:name="_GoBack"/>
            <w:bookmarkEnd w:id="2"/>
            <w:r>
              <w:rPr>
                <w:rFonts w:ascii="Arial" w:eastAsiaTheme="minorHAnsi" w:hAnsi="Arial" w:cs="Arial"/>
                <w:b/>
                <w:bCs/>
                <w:color w:val="000000" w:themeColor="text1"/>
                <w:sz w:val="22"/>
                <w:szCs w:val="22"/>
                <w:lang w:val="es-ES_tradnl" w:eastAsia="en-US"/>
              </w:rPr>
              <w:t>imitación territorial</w:t>
            </w:r>
            <w:r w:rsidR="006D1050">
              <w:rPr>
                <w:rFonts w:ascii="Arial" w:eastAsiaTheme="minorHAnsi" w:hAnsi="Arial" w:cs="Arial"/>
                <w:b/>
                <w:bCs/>
                <w:color w:val="000000" w:themeColor="text1"/>
                <w:sz w:val="22"/>
                <w:szCs w:val="22"/>
                <w:lang w:val="es-ES_tradnl" w:eastAsia="en-US"/>
              </w:rPr>
              <w:t xml:space="preserve"> </w:t>
            </w:r>
            <w:r>
              <w:rPr>
                <w:rFonts w:ascii="Arial" w:eastAsiaTheme="minorHAnsi" w:hAnsi="Arial" w:cs="Arial"/>
                <w:b/>
                <w:bCs/>
                <w:color w:val="000000" w:themeColor="text1"/>
                <w:sz w:val="22"/>
                <w:szCs w:val="22"/>
                <w:lang w:val="es-ES_tradnl" w:eastAsia="en-US"/>
              </w:rPr>
              <w:t xml:space="preserve">- </w:t>
            </w:r>
            <w:r w:rsidRPr="004D70E1">
              <w:rPr>
                <w:rFonts w:ascii="Arial" w:hAnsi="Arial" w:cs="Arial"/>
                <w:b/>
                <w:color w:val="000000"/>
                <w:sz w:val="22"/>
                <w:szCs w:val="22"/>
              </w:rPr>
              <w:t>Decreto 1860 de 2021</w:t>
            </w:r>
          </w:p>
        </w:tc>
      </w:tr>
      <w:tr w:rsidR="00A815BF" w:rsidRPr="005B3F16" w14:paraId="27BBDD25" w14:textId="77777777" w:rsidTr="006F37EF">
        <w:tc>
          <w:tcPr>
            <w:tcW w:w="2689" w:type="dxa"/>
          </w:tcPr>
          <w:p w14:paraId="23F3BEC4" w14:textId="77777777" w:rsidR="00A815BF" w:rsidRPr="005B3F16" w:rsidRDefault="00A815BF" w:rsidP="006F37EF">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58EA1887" w14:textId="3F7A49C6" w:rsidR="00A815BF" w:rsidRPr="005B3F16" w:rsidRDefault="00A815BF" w:rsidP="006F37EF">
            <w:pPr>
              <w:spacing w:line="276" w:lineRule="auto"/>
              <w:jc w:val="both"/>
              <w:rPr>
                <w:rFonts w:ascii="Verdana" w:hAnsi="Verdana" w:cs="Arial"/>
              </w:rPr>
            </w:pPr>
            <w:r w:rsidRPr="005B3F16">
              <w:rPr>
                <w:rFonts w:ascii="Verdana" w:hAnsi="Verdana" w:cs="Arial"/>
              </w:rPr>
              <w:t>Respuesta a consulta con radicado No. P20240621006</w:t>
            </w:r>
            <w:r w:rsidR="003D111E">
              <w:rPr>
                <w:rFonts w:ascii="Verdana" w:hAnsi="Verdana" w:cs="Arial"/>
              </w:rPr>
              <w:t>68</w:t>
            </w:r>
            <w:r w:rsidRPr="005B3F16">
              <w:rPr>
                <w:rFonts w:ascii="Verdana" w:hAnsi="Verdana" w:cs="Arial"/>
              </w:rPr>
              <w:t>2</w:t>
            </w:r>
          </w:p>
        </w:tc>
      </w:tr>
    </w:tbl>
    <w:p w14:paraId="6D1F8FB5" w14:textId="77777777" w:rsidR="00A815BF" w:rsidRPr="005B3F16" w:rsidRDefault="00A815BF" w:rsidP="00A815BF">
      <w:pPr>
        <w:spacing w:after="0" w:line="276" w:lineRule="auto"/>
        <w:jc w:val="both"/>
        <w:rPr>
          <w:rFonts w:ascii="Verdana" w:eastAsia="Calibri" w:hAnsi="Verdana" w:cs="Arial"/>
          <w:lang w:val="es-ES_tradnl" w:eastAsia="es-ES_tradnl"/>
        </w:rPr>
      </w:pPr>
    </w:p>
    <w:p w14:paraId="6ED90697" w14:textId="77777777" w:rsidR="00A815BF" w:rsidRPr="005B3F16" w:rsidRDefault="00A815BF" w:rsidP="00A815BF">
      <w:pPr>
        <w:spacing w:after="0" w:line="276" w:lineRule="auto"/>
        <w:jc w:val="both"/>
        <w:rPr>
          <w:rFonts w:ascii="Verdana" w:eastAsia="Calibri" w:hAnsi="Verdana" w:cs="Arial"/>
          <w:lang w:val="es-ES_tradnl" w:eastAsia="es-ES_tradnl"/>
        </w:rPr>
      </w:pPr>
    </w:p>
    <w:p w14:paraId="16DEC82B" w14:textId="77777777" w:rsidR="00A815BF" w:rsidRPr="005B3F16" w:rsidRDefault="00A815BF" w:rsidP="00A815BF">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 xml:space="preserve">Estimado señor </w:t>
      </w:r>
      <w:r>
        <w:rPr>
          <w:rFonts w:ascii="Verdana" w:eastAsia="Calibri" w:hAnsi="Verdana" w:cs="Arial"/>
          <w:lang w:val="es-ES" w:eastAsia="es-ES"/>
        </w:rPr>
        <w:t>Barrera</w:t>
      </w:r>
      <w:r w:rsidRPr="005B3F16">
        <w:rPr>
          <w:rFonts w:ascii="Verdana" w:eastAsia="Calibri" w:hAnsi="Verdana" w:cs="Arial"/>
          <w:lang w:val="es-ES" w:eastAsia="es-ES"/>
        </w:rPr>
        <w:t xml:space="preserve">: </w:t>
      </w:r>
    </w:p>
    <w:p w14:paraId="7BB1D017" w14:textId="77777777" w:rsidR="00A815BF" w:rsidRPr="005B3F16" w:rsidRDefault="00A815BF" w:rsidP="00A815BF">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6F890494" w14:textId="77777777" w:rsidR="00A815BF" w:rsidRPr="005B3F16" w:rsidRDefault="00A815BF" w:rsidP="00A815BF">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 xml:space="preserve">la Agencia Nacional de Contratación Pública – Colombia Compra Eficiente– responde su solicitud de consulta de fecha 3 de julio de 2024, en la cual manifiesta lo siguiente: </w:t>
      </w:r>
    </w:p>
    <w:p w14:paraId="76819647" w14:textId="77777777" w:rsidR="00A815BF" w:rsidRPr="005B3F16" w:rsidRDefault="00A815BF" w:rsidP="00A815BF">
      <w:pPr>
        <w:pStyle w:val="Prrafodelista"/>
        <w:tabs>
          <w:tab w:val="left" w:pos="142"/>
          <w:tab w:val="left" w:pos="284"/>
        </w:tabs>
        <w:spacing w:line="276" w:lineRule="auto"/>
        <w:ind w:left="0"/>
        <w:jc w:val="both"/>
        <w:rPr>
          <w:rFonts w:ascii="Verdana" w:hAnsi="Verdana" w:cs="Arial"/>
        </w:rPr>
      </w:pPr>
    </w:p>
    <w:p w14:paraId="646F0D03" w14:textId="77777777" w:rsidR="00A815BF" w:rsidRPr="005B3F16" w:rsidRDefault="00A815BF" w:rsidP="00A815BF">
      <w:pPr>
        <w:autoSpaceDE w:val="0"/>
        <w:autoSpaceDN w:val="0"/>
        <w:adjustRightInd w:val="0"/>
        <w:spacing w:after="0" w:line="276" w:lineRule="auto"/>
        <w:ind w:left="709" w:right="709"/>
        <w:jc w:val="both"/>
        <w:rPr>
          <w:rFonts w:ascii="Verdana" w:hAnsi="Verdana" w:cs="Arial"/>
          <w:sz w:val="21"/>
          <w:szCs w:val="21"/>
        </w:rPr>
      </w:pPr>
      <w:bookmarkStart w:id="3" w:name="_Hlk95313578"/>
      <w:r w:rsidRPr="005B3F16">
        <w:rPr>
          <w:rFonts w:ascii="Verdana" w:hAnsi="Verdana" w:cs="Arial"/>
          <w:sz w:val="21"/>
          <w:szCs w:val="21"/>
        </w:rPr>
        <w:t>“</w:t>
      </w:r>
      <w:bookmarkEnd w:id="3"/>
      <w:r w:rsidRPr="005B3F16">
        <w:rPr>
          <w:rFonts w:ascii="Verdana" w:hAnsi="Verdana" w:cs="Arial"/>
          <w:sz w:val="21"/>
          <w:szCs w:val="21"/>
        </w:rPr>
        <w:t xml:space="preserve">¿En virtud del artículo 2.2.1.2.4.2.3 “ limitaciones territoriales ” del decreto 1860 de </w:t>
      </w:r>
      <w:r w:rsidRPr="00F4062F">
        <w:rPr>
          <w:rFonts w:ascii="Verdana" w:hAnsi="Verdana" w:cs="Arial"/>
          <w:sz w:val="21"/>
          <w:szCs w:val="21"/>
        </w:rPr>
        <w:t xml:space="preserve">2021, las entidades del orden departamental pueden </w:t>
      </w:r>
      <w:r w:rsidRPr="00F4062F">
        <w:rPr>
          <w:rFonts w:ascii="Verdana" w:hAnsi="Verdana" w:cs="Arial"/>
          <w:sz w:val="21"/>
          <w:szCs w:val="21"/>
        </w:rPr>
        <w:lastRenderedPageBreak/>
        <w:t>limitar los procesos a</w:t>
      </w:r>
      <w:r w:rsidRPr="005B3F16">
        <w:rPr>
          <w:rFonts w:ascii="Verdana" w:hAnsi="Verdana" w:cs="Arial"/>
          <w:sz w:val="21"/>
          <w:szCs w:val="21"/>
        </w:rPr>
        <w:t xml:space="preserve"> </w:t>
      </w:r>
      <w:r w:rsidRPr="00F4062F">
        <w:rPr>
          <w:rFonts w:ascii="Verdana" w:hAnsi="Verdana" w:cs="Arial"/>
          <w:sz w:val="21"/>
          <w:szCs w:val="21"/>
        </w:rPr>
        <w:t>MIPYMES con domicilios en la ciudad del domicilio principal de la entidad? Ejemplo</w:t>
      </w:r>
      <w:r w:rsidRPr="005B3F16">
        <w:rPr>
          <w:rFonts w:ascii="Verdana" w:hAnsi="Verdana" w:cs="Arial"/>
          <w:sz w:val="21"/>
          <w:szCs w:val="21"/>
        </w:rPr>
        <w:t xml:space="preserve"> </w:t>
      </w:r>
      <w:r w:rsidRPr="00F4062F">
        <w:rPr>
          <w:rFonts w:ascii="Verdana" w:hAnsi="Verdana" w:cs="Arial"/>
          <w:sz w:val="21"/>
          <w:szCs w:val="21"/>
        </w:rPr>
        <w:t>¿una entidad como la gobernación puede limitar los procesos a MIPYMES</w:t>
      </w:r>
      <w:r w:rsidRPr="005B3F16">
        <w:rPr>
          <w:rFonts w:ascii="Verdana" w:hAnsi="Verdana" w:cs="Arial"/>
          <w:sz w:val="21"/>
          <w:szCs w:val="21"/>
        </w:rPr>
        <w:t xml:space="preserve"> </w:t>
      </w:r>
      <w:r w:rsidRPr="00F4062F">
        <w:rPr>
          <w:rFonts w:ascii="Verdana" w:hAnsi="Verdana" w:cs="Arial"/>
          <w:sz w:val="21"/>
          <w:szCs w:val="21"/>
        </w:rPr>
        <w:t>municipales domiciliadas en su capital? o ¿entidades como el SENA que son</w:t>
      </w:r>
      <w:r w:rsidRPr="005B3F16">
        <w:rPr>
          <w:rFonts w:ascii="Verdana" w:hAnsi="Verdana" w:cs="Arial"/>
          <w:sz w:val="21"/>
          <w:szCs w:val="21"/>
        </w:rPr>
        <w:t xml:space="preserve"> </w:t>
      </w:r>
      <w:r w:rsidRPr="00F4062F">
        <w:rPr>
          <w:rFonts w:ascii="Verdana" w:hAnsi="Verdana" w:cs="Arial"/>
          <w:sz w:val="21"/>
          <w:szCs w:val="21"/>
        </w:rPr>
        <w:t>regionales pueden limitar a MIPYMES municipales de su lugar de domicilio</w:t>
      </w:r>
      <w:r w:rsidRPr="005B3F16">
        <w:rPr>
          <w:rFonts w:ascii="Verdana" w:hAnsi="Verdana" w:cs="Arial"/>
          <w:sz w:val="21"/>
          <w:szCs w:val="21"/>
        </w:rPr>
        <w:t xml:space="preserve"> principal?”</w:t>
      </w:r>
    </w:p>
    <w:p w14:paraId="13532999" w14:textId="77777777" w:rsidR="00A815BF" w:rsidRPr="005B3F16" w:rsidRDefault="00A815BF" w:rsidP="00A815BF">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t xml:space="preserve"> (sic).</w:t>
      </w:r>
    </w:p>
    <w:p w14:paraId="786F8F92" w14:textId="77777777" w:rsidR="00A815BF" w:rsidRPr="005B3F16" w:rsidRDefault="00A815BF" w:rsidP="00A815BF">
      <w:pPr>
        <w:pStyle w:val="Prrafodelista"/>
        <w:tabs>
          <w:tab w:val="left" w:pos="142"/>
          <w:tab w:val="left" w:pos="284"/>
        </w:tabs>
        <w:spacing w:line="276" w:lineRule="auto"/>
        <w:ind w:left="0"/>
        <w:jc w:val="both"/>
        <w:rPr>
          <w:rFonts w:ascii="Verdana" w:eastAsia="Century Gothic" w:hAnsi="Verdana" w:cs="Century Gothic"/>
          <w:b/>
          <w:bCs/>
        </w:rPr>
      </w:pPr>
    </w:p>
    <w:p w14:paraId="6AE3CEB2" w14:textId="77777777" w:rsidR="00A815BF" w:rsidRPr="005B3F16" w:rsidRDefault="00A815BF" w:rsidP="00A815BF">
      <w:pPr>
        <w:spacing w:after="120" w:line="276" w:lineRule="auto"/>
        <w:ind w:firstLine="709"/>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407D69D7" w14:textId="77777777" w:rsidR="00A815BF" w:rsidRPr="005B3F16" w:rsidRDefault="00A815BF" w:rsidP="00A815BF">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6523B98" w14:textId="77777777" w:rsidR="00A815BF" w:rsidRPr="005B3F16" w:rsidRDefault="00A815BF" w:rsidP="00A815BF">
      <w:pPr>
        <w:spacing w:after="0" w:line="276" w:lineRule="auto"/>
        <w:ind w:firstLine="709"/>
        <w:jc w:val="both"/>
        <w:rPr>
          <w:rFonts w:ascii="Verdana" w:eastAsia="Calibri" w:hAnsi="Verdana" w:cs="Arial"/>
          <w:lang w:val="es-ES" w:eastAsia="es-ES"/>
        </w:rPr>
      </w:pPr>
    </w:p>
    <w:p w14:paraId="3BC4EB91" w14:textId="77777777" w:rsidR="00A815BF" w:rsidRPr="005B3F16" w:rsidRDefault="00A815BF" w:rsidP="00A815BF">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0C8E001B" w14:textId="77777777" w:rsidR="00A815BF" w:rsidRPr="005B3F16" w:rsidRDefault="00A815BF" w:rsidP="00A815BF">
      <w:pPr>
        <w:tabs>
          <w:tab w:val="left" w:pos="426"/>
        </w:tabs>
        <w:spacing w:after="0" w:line="276" w:lineRule="auto"/>
        <w:jc w:val="both"/>
        <w:rPr>
          <w:rFonts w:ascii="Verdana" w:eastAsia="Century Gothic" w:hAnsi="Verdana" w:cs="Century Gothic"/>
          <w:lang w:val="es-ES"/>
        </w:rPr>
      </w:pPr>
    </w:p>
    <w:p w14:paraId="3EA6CAE6" w14:textId="77777777" w:rsidR="00A815BF" w:rsidRPr="005B3F16" w:rsidRDefault="00A815BF" w:rsidP="00A815BF">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sidRPr="008D40C5">
        <w:rPr>
          <w:rFonts w:ascii="Verdana" w:hAnsi="Verdana" w:cs="Arial"/>
          <w:sz w:val="21"/>
          <w:szCs w:val="21"/>
        </w:rPr>
        <w:t>las entidades del orden departamental pueden limitar convocatorias territorialmente a favor de las mipymes con domicilio en un municipio o en un departamento especifico</w:t>
      </w:r>
      <w:r w:rsidRPr="008D40C5">
        <w:rPr>
          <w:rFonts w:ascii="Verdana" w:eastAsia="Century Gothic" w:hAnsi="Verdana" w:cs="Century Gothic"/>
        </w:rPr>
        <w:t>?</w:t>
      </w:r>
    </w:p>
    <w:p w14:paraId="1FC2B126" w14:textId="77777777" w:rsidR="00A815BF" w:rsidRPr="005B3F16" w:rsidRDefault="00A815BF" w:rsidP="00A815BF">
      <w:pPr>
        <w:spacing w:after="0" w:line="276" w:lineRule="auto"/>
        <w:jc w:val="both"/>
        <w:rPr>
          <w:rFonts w:ascii="Verdana" w:eastAsia="Calibri" w:hAnsi="Verdana" w:cs="Arial"/>
          <w:lang w:val="es-ES"/>
        </w:rPr>
      </w:pPr>
    </w:p>
    <w:p w14:paraId="0B12BF3F" w14:textId="77777777" w:rsidR="00A815BF" w:rsidRPr="005B3F16" w:rsidRDefault="00A815BF" w:rsidP="00A815B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693F8F74" w14:textId="77777777" w:rsidR="00A815BF" w:rsidRPr="005B3F16" w:rsidRDefault="00A815BF" w:rsidP="00A815B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815BF" w:rsidRPr="005B3F16" w14:paraId="58045E50" w14:textId="77777777" w:rsidTr="006F37EF">
        <w:tc>
          <w:tcPr>
            <w:tcW w:w="8828" w:type="dxa"/>
            <w:shd w:val="clear" w:color="auto" w:fill="auto"/>
          </w:tcPr>
          <w:p w14:paraId="466F3E7D" w14:textId="77777777" w:rsidR="00A815BF" w:rsidRPr="005B3F16" w:rsidRDefault="00A815BF" w:rsidP="006F37EF">
            <w:pPr>
              <w:spacing w:after="120" w:line="276" w:lineRule="auto"/>
              <w:jc w:val="both"/>
              <w:rPr>
                <w:rFonts w:ascii="Verdana" w:eastAsia="Century Gothic" w:hAnsi="Verdana" w:cs="Century Gothic"/>
              </w:rPr>
            </w:pPr>
            <w:r w:rsidRPr="005B3F16">
              <w:rPr>
                <w:rFonts w:ascii="Verdana" w:eastAsia="Century Gothic" w:hAnsi="Verdana" w:cs="Century Gothic"/>
              </w:rPr>
              <w:t xml:space="preserve"> </w:t>
            </w:r>
            <w:r>
              <w:rPr>
                <w:rFonts w:ascii="Verdana" w:eastAsia="Century Gothic" w:hAnsi="Verdana" w:cs="Century Gothic"/>
              </w:rPr>
              <w:t>L</w:t>
            </w:r>
            <w:r w:rsidRPr="005B3F16">
              <w:rPr>
                <w:rFonts w:ascii="Verdana" w:eastAsia="Century Gothic" w:hAnsi="Verdana" w:cs="Century Gothic"/>
              </w:rPr>
              <w:t xml:space="preserve">a facultad de limitar convocatorias territorialmente en favor de las Mipymes con domicilio en un municipio en un departamento específico debe ejercerse por las entidades estatales dentro del marco de lo regulado por el artículo 2.2.1.2.4.2.3 del Decreto 1082 de 2015, el cual establece como presupuesto para que las Mipymes tengan su domicilio en el lugar en donde se va a ejecutar el contrato. En ese sentido, en el marco de estas convocatorias, la exigibilidad de que el domicilio de las Mipymes se ubique en un único municipio en particular o en alguno de los municipios que conforman un departamento en concreto, depende del ámbito territorial en el que se va a desarrollar el objeto contractual. </w:t>
            </w:r>
          </w:p>
          <w:p w14:paraId="34BD2A16" w14:textId="77777777" w:rsidR="00A815BF" w:rsidRPr="005B3F16" w:rsidRDefault="00A815BF" w:rsidP="006F37EF">
            <w:pPr>
              <w:spacing w:after="120" w:line="276" w:lineRule="auto"/>
              <w:jc w:val="both"/>
              <w:rPr>
                <w:rFonts w:ascii="Verdana" w:eastAsia="Century Gothic" w:hAnsi="Verdana" w:cs="Century Gothic"/>
                <w:lang w:val="es-ES"/>
              </w:rPr>
            </w:pPr>
            <w:r w:rsidRPr="005B3F16">
              <w:rPr>
                <w:rFonts w:ascii="Verdana" w:eastAsia="Century Gothic" w:hAnsi="Verdana" w:cs="Century Gothic"/>
              </w:rPr>
              <w:t xml:space="preserve">Conforme a lo anterior, sí un contrato se va a ejecutar en un único municipio, las Mipymes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Mipymes cuyos domicilios se encuentren establecidos en alguno de los municipios que conforman el departamento en el que se va a ejecutar el contrato.   </w:t>
            </w:r>
          </w:p>
        </w:tc>
      </w:tr>
    </w:tbl>
    <w:p w14:paraId="3AA3187A" w14:textId="77777777" w:rsidR="00A815BF" w:rsidRPr="005B3F16" w:rsidRDefault="00A815BF" w:rsidP="00A815BF">
      <w:pPr>
        <w:tabs>
          <w:tab w:val="left" w:pos="142"/>
          <w:tab w:val="left" w:pos="284"/>
        </w:tabs>
        <w:spacing w:after="0" w:line="276" w:lineRule="auto"/>
        <w:jc w:val="both"/>
        <w:rPr>
          <w:rFonts w:ascii="Verdana" w:eastAsia="Century Gothic" w:hAnsi="Verdana" w:cs="Century Gothic"/>
          <w:b/>
          <w:bCs/>
          <w:lang w:val="es-ES"/>
        </w:rPr>
      </w:pPr>
    </w:p>
    <w:p w14:paraId="1DEECC00" w14:textId="77777777" w:rsidR="00A815BF" w:rsidRPr="005B3F16" w:rsidRDefault="00A815BF" w:rsidP="00A815BF">
      <w:pPr>
        <w:spacing w:after="120" w:line="276" w:lineRule="auto"/>
        <w:ind w:firstLine="708"/>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6D14E102" w14:textId="77777777" w:rsidR="00A815BF" w:rsidRPr="005B3F16" w:rsidRDefault="00A815BF" w:rsidP="00A815BF">
      <w:pPr>
        <w:spacing w:after="120" w:line="276" w:lineRule="auto"/>
        <w:ind w:firstLine="708"/>
        <w:jc w:val="both"/>
        <w:rPr>
          <w:rFonts w:ascii="Verdana" w:eastAsia="Calibri" w:hAnsi="Verdana" w:cs="Arial"/>
          <w:lang w:val="es-ES"/>
        </w:rPr>
      </w:pPr>
      <w:r w:rsidRPr="005B3F16">
        <w:rPr>
          <w:rFonts w:ascii="Verdana" w:eastAsia="Calibri" w:hAnsi="Verdana" w:cs="Arial"/>
          <w:lang w:val="es-ES"/>
        </w:rPr>
        <w:t>Lo anterior se sustenta en las siguientes consideraciones:</w:t>
      </w:r>
    </w:p>
    <w:p w14:paraId="5508EEBB" w14:textId="77777777" w:rsidR="00A815BF" w:rsidRDefault="00A815BF" w:rsidP="00A815BF">
      <w:pPr>
        <w:pStyle w:val="Prrafodelista"/>
        <w:numPr>
          <w:ilvl w:val="0"/>
          <w:numId w:val="16"/>
        </w:numPr>
        <w:spacing w:after="120" w:line="276" w:lineRule="auto"/>
        <w:jc w:val="both"/>
        <w:rPr>
          <w:rFonts w:ascii="Verdana" w:hAnsi="Verdana" w:cs="Arial"/>
          <w:color w:val="000000" w:themeColor="text1"/>
          <w:lang w:val="es-ES_tradnl"/>
        </w:rPr>
      </w:pPr>
      <w:r w:rsidRPr="00AE6A98">
        <w:rPr>
          <w:rFonts w:ascii="Verdana" w:hAnsi="Verdana" w:cs="Arial"/>
          <w:color w:val="000000" w:themeColor="text1"/>
          <w:lang w:val="es-ES_tradnl"/>
        </w:rPr>
        <w:t>El artículo 34 de la Ley 2069 de 2020 establece nuevas reglas sobre la promoción al desarrollo en la contratación estatal. Concretamente, modifica el contenido del artículo 12 de la Ley 1150 de 2007, prescribiendo lo que se indica a continuación:</w:t>
      </w:r>
    </w:p>
    <w:p w14:paraId="52BB5014" w14:textId="77777777" w:rsidR="00A815BF" w:rsidRDefault="00A815BF" w:rsidP="00A815BF">
      <w:pPr>
        <w:pStyle w:val="Prrafodelista"/>
        <w:spacing w:after="120" w:line="276" w:lineRule="auto"/>
        <w:jc w:val="both"/>
        <w:rPr>
          <w:rFonts w:ascii="Verdana" w:hAnsi="Verdana" w:cs="Arial"/>
          <w:color w:val="000000" w:themeColor="text1"/>
          <w:lang w:val="es-ES_tradnl"/>
        </w:rPr>
      </w:pPr>
    </w:p>
    <w:p w14:paraId="76FBE86D"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 xml:space="preserve">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w:t>
      </w:r>
      <w:r w:rsidRPr="41FBFDEF">
        <w:rPr>
          <w:rFonts w:ascii="Verdana" w:hAnsi="Verdana" w:cs="Arial"/>
          <w:color w:val="000000" w:themeColor="text1"/>
          <w:lang w:val="es-ES"/>
        </w:rPr>
        <w:lastRenderedPageBreak/>
        <w:t xml:space="preserve">los procesos de contratación. Y agrega que estas convocatorias se pueden realizar también en el ámbito municipal o departamental en el que se ejecute el contrato. </w:t>
      </w:r>
    </w:p>
    <w:p w14:paraId="3910A3A5"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Indica que dichas convocatorias se deben efectuar siempre y cuando, antes del acto administrativo de apertura del proceso de selección, por lo menos dos (2) Mipymes hayan manifestado su interés.</w:t>
      </w:r>
    </w:p>
    <w:p w14:paraId="4E62C922" w14:textId="77777777" w:rsidR="00A815BF" w:rsidRDefault="00A815BF" w:rsidP="00A815BF">
      <w:pPr>
        <w:pStyle w:val="Prrafodelista"/>
        <w:numPr>
          <w:ilvl w:val="0"/>
          <w:numId w:val="17"/>
        </w:numPr>
        <w:spacing w:after="120" w:line="276" w:lineRule="auto"/>
        <w:jc w:val="both"/>
        <w:rPr>
          <w:rFonts w:ascii="Verdana" w:hAnsi="Verdana" w:cs="Arial"/>
          <w:color w:val="000000" w:themeColor="text1"/>
        </w:rPr>
      </w:pPr>
      <w:r w:rsidRPr="2F5E6258">
        <w:rPr>
          <w:rFonts w:ascii="Verdana" w:hAnsi="Verdana" w:cs="Arial"/>
          <w:color w:val="000000" w:themeColor="text1"/>
          <w:lang w:val="es-ES"/>
        </w:rPr>
        <w:t>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3ECAEF2C"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Establece que, en el reglamento, el gobierno nacional podría establecer condiciones preferenciales en favor de los bienes y servicios producidos por las Mipymes, sin contrariar los compromisos internacionales vigentes.</w:t>
      </w:r>
    </w:p>
    <w:p w14:paraId="0A465250"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Aclara que tanto las convocatorias limitadas a Mipymes, como las condiciones preferenciales a favor de los bienes y servicios producidos por estas, no es óbice para que deban cumplir las exigencias técnicas y económicas del proceso de selección.</w:t>
      </w:r>
    </w:p>
    <w:p w14:paraId="46D08D0C"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 xml:space="preserve"> Señala que el reglamento a cargo del gobierno nacional, además de lo referente a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9BFD1DC" w14:textId="77777777" w:rsidR="00A815BF" w:rsidRDefault="00A815BF" w:rsidP="41FBFDEF">
      <w:pPr>
        <w:pStyle w:val="Prrafodelista"/>
        <w:numPr>
          <w:ilvl w:val="0"/>
          <w:numId w:val="17"/>
        </w:numPr>
        <w:spacing w:after="120" w:line="276" w:lineRule="auto"/>
        <w:jc w:val="both"/>
        <w:rPr>
          <w:rFonts w:ascii="Verdana" w:hAnsi="Verdana" w:cs="Arial"/>
          <w:color w:val="000000" w:themeColor="text1"/>
          <w:lang w:val="es-ES"/>
        </w:rPr>
      </w:pPr>
      <w:r w:rsidRPr="41FBFDEF">
        <w:rPr>
          <w:rFonts w:ascii="Verdana" w:hAnsi="Verdana" w:cs="Arial"/>
          <w:color w:val="000000" w:themeColor="text1"/>
          <w:lang w:val="es-ES"/>
        </w:rPr>
        <w:t>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5EE2D038" w14:textId="77777777" w:rsidR="00A815BF" w:rsidRPr="00B67B55" w:rsidRDefault="00A815BF" w:rsidP="00A815BF">
      <w:pPr>
        <w:pStyle w:val="Prrafodelista"/>
        <w:numPr>
          <w:ilvl w:val="0"/>
          <w:numId w:val="17"/>
        </w:numPr>
        <w:spacing w:after="120" w:line="276" w:lineRule="auto"/>
        <w:jc w:val="both"/>
        <w:rPr>
          <w:rFonts w:ascii="Verdana" w:hAnsi="Verdana" w:cs="Arial"/>
          <w:color w:val="000000" w:themeColor="text1"/>
          <w:lang w:val="es-ES_tradnl"/>
        </w:rPr>
      </w:pPr>
      <w:r w:rsidRPr="00B67B55">
        <w:rPr>
          <w:rFonts w:ascii="Verdana" w:hAnsi="Verdana" w:cs="Arial"/>
          <w:color w:val="000000" w:themeColor="text1"/>
          <w:lang w:val="es-ES_tradnl"/>
        </w:rPr>
        <w:lastRenderedPageBreak/>
        <w:t>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3E5AD261" w14:textId="77777777" w:rsidR="00A815BF" w:rsidRPr="00B67B55" w:rsidRDefault="00A815BF" w:rsidP="00A815BF">
      <w:pPr>
        <w:pStyle w:val="Prrafodelista"/>
        <w:numPr>
          <w:ilvl w:val="0"/>
          <w:numId w:val="16"/>
        </w:numPr>
        <w:spacing w:after="120" w:line="276" w:lineRule="auto"/>
        <w:jc w:val="both"/>
        <w:rPr>
          <w:rFonts w:ascii="Verdana" w:hAnsi="Verdana" w:cs="Arial"/>
          <w:color w:val="000000" w:themeColor="text1"/>
          <w:lang w:val="es-ES_tradnl"/>
        </w:rPr>
      </w:pPr>
      <w:r w:rsidRPr="00B67B55">
        <w:rPr>
          <w:rFonts w:ascii="Verdana" w:hAnsi="Verdana" w:cs="Arial"/>
          <w:color w:val="000000" w:themeColor="text1"/>
          <w:lang w:val="es-ES_tradnl"/>
        </w:rPr>
        <w:t>A partir de lo anterior, el artículo 34 de la Ley 2069 de 2020 sustituyó íntegramente el contenido del artículo 12 de la Ley 1150 de 2007. En este sentido, frente a esta última norma se produjo el fenómeno de la subrogación, dado que la disposición en estudio contiene una regulación diferente respecto de la promoción del desarrollo en la contratación estatal. Además, el primer inciso del artículo 34 de la Ley 2069 de 2020 dispone expresamente: “Modifíquese el artículo 12 de la Ley 1150 de 2007, el cual quedará así”, lo que significa que la voluntad del legislador no estuvo dirigida a efectuar una reforma parcial del artículo 12 de la Ley 1150 de 2007, sino a modificarlo completamente, sustituyéndolo por uno nuevo.</w:t>
      </w:r>
    </w:p>
    <w:p w14:paraId="3D45AB81" w14:textId="77777777" w:rsidR="00A815BF" w:rsidRPr="00B67B55" w:rsidRDefault="00A815BF" w:rsidP="59790E48">
      <w:pPr>
        <w:pStyle w:val="Prrafodelista"/>
        <w:numPr>
          <w:ilvl w:val="0"/>
          <w:numId w:val="16"/>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Por otro lado, en cuanto a lo dispuesto por el antiguo artículo 2.2.1.2.4.2.3 del Decreto 1082 de 2015, que regulaba la posibilidad de limitar convocatorias a Mipymes domiciliadas en un determinado ámbito territorial, se estima que este, al igual que el artículo 2.2.1.2.4.2.2, también se afectó por el fenómeno del decaimiento y hoy quedó sustituido por lo dispuesto en el Decreto 1860 de 2021. </w:t>
      </w:r>
    </w:p>
    <w:p w14:paraId="34D14CA8" w14:textId="77777777" w:rsidR="00A815BF" w:rsidRDefault="00A815BF" w:rsidP="59790E48">
      <w:pPr>
        <w:pStyle w:val="Prrafodelista"/>
        <w:numPr>
          <w:ilvl w:val="0"/>
          <w:numId w:val="16"/>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De otra parte, esta Agencia sobre las limitaciones territoriales para convocatorias de mipymes a la luz del antiguo artículo 2.2.1.2.4.2.3 del Decreto 1082 de 2015, –había sostenido que, para que se permitiera la participación de una Mipyme en uno de estos procesos, era necesario que esta demostrara estar domiciliada en el municipio o departamento en el que se ejecutaría el contrato, la tesis se expuso en los siguientes términos: </w:t>
      </w:r>
    </w:p>
    <w:p w14:paraId="5C7685DF" w14:textId="77777777" w:rsidR="00A815BF" w:rsidRDefault="00A815BF" w:rsidP="00A815BF">
      <w:pPr>
        <w:pStyle w:val="Prrafodelista"/>
        <w:spacing w:after="120" w:line="276" w:lineRule="auto"/>
        <w:jc w:val="both"/>
        <w:rPr>
          <w:rFonts w:ascii="Verdana" w:hAnsi="Verdana" w:cs="Arial"/>
          <w:color w:val="000000" w:themeColor="text1"/>
          <w:lang w:val="es-ES_tradnl"/>
        </w:rPr>
      </w:pPr>
    </w:p>
    <w:p w14:paraId="49FAA8BB" w14:textId="77777777" w:rsidR="00A815BF" w:rsidRDefault="00A815BF" w:rsidP="59790E48">
      <w:pPr>
        <w:pStyle w:val="Prrafodelista"/>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“Es de resaltar que estas normas se refieren a las Mipymes nacionales genéricamente y, particularmente, a las Mipymes nacionales “domiciliadas en los departamentos o municipios en donde se va a ejecutar el contrato”. </w:t>
      </w:r>
      <w:r w:rsidRPr="59790E48">
        <w:rPr>
          <w:rFonts w:ascii="Verdana" w:hAnsi="Verdana" w:cs="Arial"/>
          <w:color w:val="000000" w:themeColor="text1"/>
          <w:lang w:val="es-ES"/>
        </w:rPr>
        <w:lastRenderedPageBreak/>
        <w:t>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3027FD47" w14:textId="77777777" w:rsidR="00A815BF" w:rsidRDefault="00A815BF" w:rsidP="59790E48">
      <w:pPr>
        <w:pStyle w:val="Prrafodelista"/>
        <w:numPr>
          <w:ilvl w:val="0"/>
          <w:numId w:val="16"/>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Igualmente, se debe precisar que 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 (Énfasis fuera de texto)</w:t>
      </w:r>
    </w:p>
    <w:p w14:paraId="092C637D" w14:textId="77777777" w:rsidR="00A815BF" w:rsidRDefault="00A815BF" w:rsidP="59790E48">
      <w:pPr>
        <w:pStyle w:val="Prrafodelista"/>
        <w:numPr>
          <w:ilvl w:val="0"/>
          <w:numId w:val="16"/>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Como se aprecia, 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 </w:t>
      </w:r>
    </w:p>
    <w:p w14:paraId="06F16BF5" w14:textId="77777777" w:rsidR="00A815BF" w:rsidRDefault="00A815BF" w:rsidP="59790E48">
      <w:pPr>
        <w:pStyle w:val="Prrafodelista"/>
        <w:numPr>
          <w:ilvl w:val="0"/>
          <w:numId w:val="16"/>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que, respecto del </w:t>
      </w:r>
      <w:r w:rsidRPr="59790E48">
        <w:rPr>
          <w:rFonts w:ascii="Verdana" w:hAnsi="Verdana" w:cs="Arial"/>
          <w:color w:val="000000" w:themeColor="text1"/>
          <w:lang w:val="es-ES"/>
        </w:rPr>
        <w:lastRenderedPageBreak/>
        <w:t xml:space="preserve">domicilio de las mipymes en el departamento o municipio donde se ejecuta el contrato, la reglamentación no tuvo cambios. Así se desprende del texto de la nueva norma que es del siguiente tenor: </w:t>
      </w:r>
    </w:p>
    <w:p w14:paraId="76C75CA9" w14:textId="77777777" w:rsidR="00A815BF" w:rsidRDefault="00A815BF" w:rsidP="00A815BF">
      <w:pPr>
        <w:pStyle w:val="Prrafodelista"/>
        <w:spacing w:after="120" w:line="276" w:lineRule="auto"/>
        <w:jc w:val="both"/>
        <w:rPr>
          <w:rFonts w:ascii="Verdana" w:hAnsi="Verdana" w:cs="Arial"/>
          <w:color w:val="000000" w:themeColor="text1"/>
          <w:lang w:val="es-ES_tradnl"/>
        </w:rPr>
      </w:pPr>
    </w:p>
    <w:p w14:paraId="593AA43F" w14:textId="77777777" w:rsidR="00A815BF" w:rsidRPr="00895737" w:rsidRDefault="00A815BF" w:rsidP="00A815BF">
      <w:pPr>
        <w:pStyle w:val="Prrafodelista"/>
        <w:spacing w:after="120" w:line="276" w:lineRule="auto"/>
        <w:jc w:val="both"/>
        <w:rPr>
          <w:rFonts w:ascii="Verdana" w:hAnsi="Verdana" w:cs="Arial"/>
          <w:color w:val="000000" w:themeColor="text1"/>
          <w:lang w:val="es-ES_tradnl"/>
        </w:rPr>
      </w:pPr>
      <w:r w:rsidRPr="00895737">
        <w:rPr>
          <w:rFonts w:ascii="Verdana" w:hAnsi="Verdana" w:cs="Arial"/>
          <w:color w:val="000000" w:themeColor="text1"/>
          <w:lang w:val="es-ES_tradnl"/>
        </w:rPr>
        <w:t>“ARTÍCULO  5. Modificaci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de la Subsecci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2 de la 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4 del Cap</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2 del 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1 de la Parte 2 del Libro 2 del Decreto 1082 de 2015. Modif</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quense los art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culos 2.2.1.2.4.2.2., 2.2.1.2.4.2.3. y 2.2.1.2.4.2.4. de la Subsecci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2 de la Secci</w:t>
      </w:r>
      <w:r w:rsidRPr="00895737">
        <w:rPr>
          <w:rFonts w:ascii="Verdana" w:hAnsi="Verdana" w:cs="Century Gothic"/>
          <w:color w:val="000000" w:themeColor="text1"/>
          <w:lang w:val="es-ES_tradnl"/>
        </w:rPr>
        <w:t>ó</w:t>
      </w:r>
      <w:r w:rsidRPr="00895737">
        <w:rPr>
          <w:rFonts w:ascii="Verdana" w:hAnsi="Verdana" w:cs="Arial"/>
          <w:color w:val="000000" w:themeColor="text1"/>
          <w:lang w:val="es-ES_tradnl"/>
        </w:rPr>
        <w:t>n 4 del Cap</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2 del T</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tulo 1 de la Parte 2 del Libro 2 del Decreto 1082 de 2015, los cuales quedar</w:t>
      </w:r>
      <w:r w:rsidRPr="00895737">
        <w:rPr>
          <w:rFonts w:ascii="Verdana" w:hAnsi="Verdana" w:cs="Century Gothic"/>
          <w:color w:val="000000" w:themeColor="text1"/>
          <w:lang w:val="es-ES_tradnl"/>
        </w:rPr>
        <w:t>á</w:t>
      </w:r>
      <w:r w:rsidRPr="00895737">
        <w:rPr>
          <w:rFonts w:ascii="Verdana" w:hAnsi="Verdana" w:cs="Arial"/>
          <w:color w:val="000000" w:themeColor="text1"/>
          <w:lang w:val="es-ES_tradnl"/>
        </w:rPr>
        <w:t>n as</w:t>
      </w:r>
      <w:r w:rsidRPr="00895737">
        <w:rPr>
          <w:rFonts w:ascii="Verdana" w:hAnsi="Verdana" w:cs="Century Gothic"/>
          <w:color w:val="000000" w:themeColor="text1"/>
          <w:lang w:val="es-ES_tradnl"/>
        </w:rPr>
        <w:t>í</w:t>
      </w:r>
      <w:r w:rsidRPr="00895737">
        <w:rPr>
          <w:rFonts w:ascii="Verdana" w:hAnsi="Verdana" w:cs="Arial"/>
          <w:color w:val="000000" w:themeColor="text1"/>
          <w:lang w:val="es-ES_tradnl"/>
        </w:rPr>
        <w:t>:</w:t>
      </w:r>
    </w:p>
    <w:p w14:paraId="39BBF19C" w14:textId="77777777" w:rsidR="00A815BF" w:rsidRPr="005B3F16" w:rsidRDefault="00A815BF" w:rsidP="59790E48">
      <w:pPr>
        <w:spacing w:after="120" w:line="276" w:lineRule="auto"/>
        <w:ind w:left="709" w:right="709" w:firstLine="708"/>
        <w:jc w:val="both"/>
        <w:rPr>
          <w:rFonts w:ascii="Verdana" w:hAnsi="Verdana" w:cs="Arial"/>
          <w:color w:val="000000" w:themeColor="text1"/>
          <w:lang w:val="es-ES"/>
        </w:rPr>
      </w:pPr>
      <w:r w:rsidRPr="59790E48">
        <w:rPr>
          <w:rFonts w:ascii="Verdana" w:hAnsi="Verdana" w:cs="Arial"/>
          <w:color w:val="000000" w:themeColor="text1"/>
          <w:lang w:val="es-ES"/>
        </w:rPr>
        <w:t>[…]ARTÍCULO 2.2.1.2.4.2.3. Limitaciones territoriales. De conformidad con el par</w:t>
      </w:r>
      <w:r w:rsidRPr="59790E48">
        <w:rPr>
          <w:rFonts w:ascii="Verdana" w:hAnsi="Verdana" w:cs="Century Gothic"/>
          <w:color w:val="000000" w:themeColor="text1"/>
          <w:lang w:val="es-ES"/>
        </w:rPr>
        <w:t>á</w:t>
      </w:r>
      <w:r w:rsidRPr="59790E48">
        <w:rPr>
          <w:rFonts w:ascii="Verdana" w:hAnsi="Verdana" w:cs="Arial"/>
          <w:color w:val="000000" w:themeColor="text1"/>
          <w:lang w:val="es-ES"/>
        </w:rPr>
        <w:t>grafo 1 del art</w:t>
      </w:r>
      <w:r w:rsidRPr="59790E48">
        <w:rPr>
          <w:rFonts w:ascii="Verdana" w:hAnsi="Verdana" w:cs="Century Gothic"/>
          <w:color w:val="000000" w:themeColor="text1"/>
          <w:lang w:val="es-ES"/>
        </w:rPr>
        <w:t>í</w:t>
      </w:r>
      <w:r w:rsidRPr="59790E48">
        <w:rPr>
          <w:rFonts w:ascii="Verdana" w:hAnsi="Verdana" w:cs="Arial"/>
          <w:color w:val="000000" w:themeColor="text1"/>
          <w:lang w:val="es-ES"/>
        </w:rPr>
        <w:t>culo 12 de la Ley 1150 de 2007, las Entidades Estatales, independientemente de su r</w:t>
      </w:r>
      <w:r w:rsidRPr="59790E48">
        <w:rPr>
          <w:rFonts w:ascii="Verdana" w:hAnsi="Verdana" w:cs="Century Gothic"/>
          <w:color w:val="000000" w:themeColor="text1"/>
          <w:lang w:val="es-ES"/>
        </w:rPr>
        <w:t>é</w:t>
      </w:r>
      <w:r w:rsidRPr="59790E48">
        <w:rPr>
          <w:rFonts w:ascii="Verdana" w:hAnsi="Verdana" w:cs="Arial"/>
          <w:color w:val="000000" w:themeColor="text1"/>
          <w:lang w:val="es-ES"/>
        </w:rPr>
        <w:t>gimen de contrataci</w:t>
      </w:r>
      <w:r w:rsidRPr="59790E48">
        <w:rPr>
          <w:rFonts w:ascii="Verdana" w:hAnsi="Verdana" w:cs="Century Gothic"/>
          <w:color w:val="000000" w:themeColor="text1"/>
          <w:lang w:val="es-ES"/>
        </w:rPr>
        <w:t>ó</w:t>
      </w:r>
      <w:r w:rsidRPr="59790E48">
        <w:rPr>
          <w:rFonts w:ascii="Verdana" w:hAnsi="Verdana" w:cs="Arial"/>
          <w:color w:val="000000" w:themeColor="text1"/>
          <w:lang w:val="es-ES"/>
        </w:rPr>
        <w:t>n, los patrimonios aut</w:t>
      </w:r>
      <w:r w:rsidRPr="59790E48">
        <w:rPr>
          <w:rFonts w:ascii="Verdana" w:hAnsi="Verdana" w:cs="Century Gothic"/>
          <w:color w:val="000000" w:themeColor="text1"/>
          <w:lang w:val="es-ES"/>
        </w:rPr>
        <w:t>ó</w:t>
      </w:r>
      <w:r w:rsidRPr="59790E48">
        <w:rPr>
          <w:rFonts w:ascii="Verdana" w:hAnsi="Verdana" w:cs="Arial"/>
          <w:color w:val="000000" w:themeColor="text1"/>
          <w:lang w:val="es-ES"/>
        </w:rPr>
        <w:t>nomos constituidos por Entidades Estatales y los particulares que ejecuten recursos p</w:t>
      </w:r>
      <w:r w:rsidRPr="59790E48">
        <w:rPr>
          <w:rFonts w:ascii="Verdana" w:hAnsi="Verdana" w:cs="Century Gothic"/>
          <w:color w:val="000000" w:themeColor="text1"/>
          <w:lang w:val="es-ES"/>
        </w:rPr>
        <w:t>ú</w:t>
      </w:r>
      <w:r w:rsidRPr="59790E48">
        <w:rPr>
          <w:rFonts w:ascii="Verdana" w:hAnsi="Verdana" w:cs="Arial"/>
          <w:color w:val="000000" w:themeColor="text1"/>
          <w:lang w:val="es-ES"/>
        </w:rPr>
        <w:t>blicos, pueden realizar convocatorias limitadas a Mipyme colombianas que tengan domicilio en los departamentos o municipios en donde se va a ejecutar el contrato. Cada Mipyme deber</w:t>
      </w:r>
      <w:r w:rsidRPr="59790E48">
        <w:rPr>
          <w:rFonts w:ascii="Verdana" w:hAnsi="Verdana" w:cs="Century Gothic"/>
          <w:color w:val="000000" w:themeColor="text1"/>
          <w:lang w:val="es-ES"/>
        </w:rPr>
        <w:t>á</w:t>
      </w:r>
      <w:r w:rsidRPr="59790E48">
        <w:rPr>
          <w:rFonts w:ascii="Verdana" w:hAnsi="Verdana" w:cs="Arial"/>
          <w:color w:val="000000" w:themeColor="text1"/>
          <w:lang w:val="es-ES"/>
        </w:rPr>
        <w:t xml:space="preserve"> acreditar su domicilio con los documentos a los que se refiere el siguiente artículo”. </w:t>
      </w:r>
    </w:p>
    <w:p w14:paraId="7A30B6A6"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La norma reglamentaria coincide con la redacción del parágrafo 1 del artículo 34 de la Ley 2069 de 2020, según el cual, sí es posible limitar convocatorias a la participación de mipymes “[…] del ámbito municipal o departamental correspondiente al de la ejecución del contrato”. En tales términos, la norma citada sólo contempla la posibilidad de limitar convocatorias a mipymes con domicilio en esos dos tipos de entidades territoriales. </w:t>
      </w:r>
    </w:p>
    <w:p w14:paraId="39DBFB5C"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w:t>
      </w:r>
      <w:r w:rsidRPr="59790E48">
        <w:rPr>
          <w:rFonts w:ascii="Verdana" w:hAnsi="Verdana" w:cs="Arial"/>
          <w:color w:val="000000" w:themeColor="text1"/>
          <w:lang w:val="es-ES"/>
        </w:rPr>
        <w:lastRenderedPageBreak/>
        <w:t xml:space="preserve">la ejecución de un contrato dentro de la entidad territorial en la que tienen su “domicilio”. </w:t>
      </w:r>
    </w:p>
    <w:p w14:paraId="4746D868"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w:t>
      </w:r>
    </w:p>
    <w:p w14:paraId="03E8DB69"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17360584"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Cumplidos los dos requisitos del artículo 2.2.1.2.4.2.2. ibídem, la entidad estatal, independientemente de su régimen de contratación, los patrimonios autónomos constituidos por entidades estatales y los particulares que ejecuten recursos públicos, pueden ─no tienen que─ decidir si limitan la convocatoria a las Mipyme colombianas domiciliadas en el municipio o departamento en el que se ejecutará el contrato. Esto de acuerdo con lo establecido en artículo 2.2.1.2.4.2.3. del Decreto 1082 de 2015 modificado por el Decreto 1860 de 2021, norma que se refiere a la facultad de la administración con el verbo infinitivo “poder”, no “deber”. </w:t>
      </w:r>
    </w:p>
    <w:p w14:paraId="0E7E5F8A"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Colombia Compra Eficiente ha sostenido que la decisión de limitar territorialmente una convocatoria a Mipyme es discrecional, y ha precisado que, de todos modos, la decisión debe estar justificada en los correspondientes “estudios del sector”. Así lo consideró en la consulta No. </w:t>
      </w:r>
      <w:r w:rsidRPr="59790E48">
        <w:rPr>
          <w:rFonts w:ascii="Verdana" w:hAnsi="Verdana" w:cs="Arial"/>
          <w:color w:val="000000" w:themeColor="text1"/>
          <w:lang w:val="es-ES"/>
        </w:rPr>
        <w:lastRenderedPageBreak/>
        <w:t>216130003241, resuelta el 30 de junio de 2016. Igualmente, en la consulta resuelta en el radicado No. 2201813000008184 del 7 de septiembre de 2018, se dijo que, de acuerdo con el artículo 2.2.1.2.4.2.3. del Decreto 1082 de 2015, las Mipyme beneficiadas deben tener su domicilio principal en el municipio o departamento donde se ejecutará el contrato para poder participar en una convocatoria limitada territorialmente.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2123E8A8" w14:textId="77777777" w:rsidR="00A815BF" w:rsidRPr="00FC3C8D"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 xml:space="preserve"> Se debe tener presente que lo que sucede de pleno derecho es la limitación a Mipyme colombianas a la que se refiere el artículo 2.2.1.2.4.2.2. del Decreto 1082 de 2015, pero no la “limitación territorial” referida en el artículo 2.2.1.2.4.2.3. ibídem, pues esta, como ya se dijo, es facultativa para la entidad. Las únicas exigencias son que la convocatoria esté limitada a las Mipyme colombianas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 </w:t>
      </w:r>
    </w:p>
    <w:p w14:paraId="79A13F5B" w14:textId="77777777" w:rsidR="00A815BF"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El origen de las Mipyme que solicitan la “limitación territorial” no es relevante frente a dicha decisión, por dos razones: primero, porque las Mipyme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 es el lugar donde se va a ejecutar el contrato.</w:t>
      </w:r>
    </w:p>
    <w:p w14:paraId="3A088D74" w14:textId="77777777" w:rsidR="00A815BF" w:rsidRDefault="00A815BF" w:rsidP="00A815BF">
      <w:pPr>
        <w:pStyle w:val="Prrafodelista"/>
        <w:numPr>
          <w:ilvl w:val="0"/>
          <w:numId w:val="19"/>
        </w:numPr>
        <w:spacing w:after="120" w:line="276" w:lineRule="auto"/>
        <w:jc w:val="both"/>
        <w:rPr>
          <w:rFonts w:ascii="Verdana" w:hAnsi="Verdana" w:cs="Arial"/>
          <w:color w:val="000000" w:themeColor="text1"/>
        </w:rPr>
      </w:pPr>
      <w:r w:rsidRPr="2F5E6258">
        <w:rPr>
          <w:rFonts w:ascii="Verdana" w:hAnsi="Verdana" w:cs="Arial"/>
          <w:color w:val="000000" w:themeColor="text1"/>
          <w:lang w:val="es-ES"/>
        </w:rPr>
        <w:t xml:space="preserve">Finalmente, resta precisar que el domicilio de la Mipymes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w:t>
      </w:r>
      <w:r w:rsidRPr="2F5E6258">
        <w:rPr>
          <w:rFonts w:ascii="Verdana" w:hAnsi="Verdana" w:cs="Arial"/>
          <w:color w:val="000000" w:themeColor="text1"/>
          <w:lang w:val="es-ES"/>
        </w:rPr>
        <w:lastRenderedPageBreak/>
        <w:t xml:space="preserve">una copia del registro mercantil –persona natural–, del certificado de existencia y representación legal –persona jurídica– o del Registro Único de Proponentes – RUP, en donde conste el domicilio de la mipyme interesada en la limitación territorial de la convocatoria pública para celebrar el contrato, que corresponda con el lugar de ejecución del mismo, ya sea departamento o municipio.  </w:t>
      </w:r>
    </w:p>
    <w:p w14:paraId="75277DAB" w14:textId="77777777" w:rsidR="00A815BF" w:rsidRPr="00FC3C8D" w:rsidRDefault="00A815BF" w:rsidP="59790E48">
      <w:pPr>
        <w:pStyle w:val="Prrafodelista"/>
        <w:numPr>
          <w:ilvl w:val="0"/>
          <w:numId w:val="19"/>
        </w:numPr>
        <w:spacing w:after="120" w:line="276" w:lineRule="auto"/>
        <w:jc w:val="both"/>
        <w:rPr>
          <w:rFonts w:ascii="Verdana" w:hAnsi="Verdana" w:cs="Arial"/>
          <w:color w:val="000000" w:themeColor="text1"/>
          <w:lang w:val="es-ES"/>
        </w:rPr>
      </w:pPr>
      <w:r w:rsidRPr="59790E48">
        <w:rPr>
          <w:rFonts w:ascii="Verdana" w:hAnsi="Verdana" w:cs="Arial"/>
          <w:color w:val="000000" w:themeColor="text1"/>
          <w:lang w:val="es-ES"/>
        </w:rPr>
        <w:t>De acuerdo con la explicación precedente,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p>
    <w:p w14:paraId="070D03DC" w14:textId="77777777" w:rsidR="00A815BF" w:rsidRPr="005B3F16" w:rsidRDefault="00A815BF" w:rsidP="00A815BF">
      <w:pPr>
        <w:spacing w:after="0" w:line="276" w:lineRule="auto"/>
        <w:jc w:val="both"/>
        <w:rPr>
          <w:rFonts w:ascii="Verdana" w:eastAsia="Calibri" w:hAnsi="Verdana" w:cs="Arial"/>
          <w:lang w:val="es-ES"/>
        </w:rPr>
      </w:pPr>
    </w:p>
    <w:p w14:paraId="1959B06B" w14:textId="77777777" w:rsidR="00A815BF" w:rsidRPr="005B3F16" w:rsidRDefault="00A815BF" w:rsidP="00A815BF">
      <w:pPr>
        <w:widowControl w:val="0"/>
        <w:autoSpaceDE w:val="0"/>
        <w:autoSpaceDN w:val="0"/>
        <w:spacing w:after="0" w:line="276" w:lineRule="auto"/>
        <w:jc w:val="both"/>
        <w:rPr>
          <w:rFonts w:ascii="Verdana" w:hAnsi="Verdana" w:cs="Arial"/>
        </w:rPr>
      </w:pPr>
    </w:p>
    <w:p w14:paraId="20D1B3C4" w14:textId="77777777" w:rsidR="00A815BF" w:rsidRPr="005B3F16" w:rsidRDefault="00A815BF" w:rsidP="00A815B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Referencias normativas, jurisprudenciales y otras fuentes:</w:t>
      </w:r>
    </w:p>
    <w:p w14:paraId="27EA3734" w14:textId="77777777" w:rsidR="00A815BF" w:rsidRPr="005B3F16" w:rsidRDefault="00A815BF" w:rsidP="00A815B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815BF" w:rsidRPr="005B3F16" w14:paraId="19311E62" w14:textId="77777777" w:rsidTr="006F37EF">
        <w:trPr>
          <w:trHeight w:val="870"/>
        </w:trPr>
        <w:tc>
          <w:tcPr>
            <w:tcW w:w="8647" w:type="dxa"/>
          </w:tcPr>
          <w:p w14:paraId="5F5486ED" w14:textId="77777777" w:rsidR="00A815BF" w:rsidRPr="005B3F16" w:rsidRDefault="00A815BF" w:rsidP="00A815BF">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Decreto 1860 de 2021</w:t>
            </w:r>
            <w:r>
              <w:rPr>
                <w:rFonts w:ascii="Verdana" w:hAnsi="Verdana" w:cs="Arial"/>
                <w:color w:val="000000" w:themeColor="text1"/>
                <w:lang w:val="es-ES_tradnl"/>
              </w:rPr>
              <w:t>,</w:t>
            </w:r>
            <w:r w:rsidRPr="005B3F16">
              <w:rPr>
                <w:rFonts w:ascii="Verdana" w:hAnsi="Verdana" w:cs="Arial"/>
                <w:color w:val="000000" w:themeColor="text1"/>
                <w:lang w:val="es-ES_tradnl"/>
              </w:rPr>
              <w:t xml:space="preserve"> numerales 1 y 2 del artículo 2.2.1.2.4.2.2</w:t>
            </w:r>
            <w:r>
              <w:rPr>
                <w:rFonts w:ascii="Verdana" w:hAnsi="Verdana" w:cs="Arial"/>
                <w:color w:val="000000" w:themeColor="text1"/>
                <w:lang w:val="es-ES_tradnl"/>
              </w:rPr>
              <w:t xml:space="preserve">. </w:t>
            </w:r>
            <w:r w:rsidRPr="005B3F16">
              <w:rPr>
                <w:rFonts w:ascii="Verdana" w:hAnsi="Verdana" w:cs="Arial"/>
                <w:color w:val="000000" w:themeColor="text1"/>
                <w:lang w:val="es-ES_tradnl"/>
              </w:rPr>
              <w:t>artículo</w:t>
            </w:r>
            <w:r>
              <w:rPr>
                <w:rFonts w:ascii="Verdana" w:hAnsi="Verdana" w:cs="Arial"/>
                <w:color w:val="000000" w:themeColor="text1"/>
                <w:lang w:val="es-ES_tradnl"/>
              </w:rPr>
              <w:t xml:space="preserve">s, </w:t>
            </w:r>
            <w:r w:rsidRPr="005B3F16">
              <w:rPr>
                <w:rFonts w:ascii="Verdana" w:hAnsi="Verdana" w:cs="Arial"/>
                <w:color w:val="000000" w:themeColor="text1"/>
                <w:lang w:val="es-ES_tradnl"/>
              </w:rPr>
              <w:t>2.2.1.2.4.2.3 2.2.1.2.4.2.4</w:t>
            </w:r>
            <w:r>
              <w:rPr>
                <w:rFonts w:ascii="Verdana" w:hAnsi="Verdana" w:cs="Arial"/>
                <w:color w:val="000000" w:themeColor="text1"/>
                <w:lang w:val="es-ES_tradnl"/>
              </w:rPr>
              <w:t xml:space="preserve">. </w:t>
            </w:r>
            <w:r w:rsidRPr="005B3F16">
              <w:rPr>
                <w:rFonts w:ascii="Verdana" w:hAnsi="Verdana" w:cs="Arial"/>
                <w:color w:val="000000" w:themeColor="text1"/>
                <w:lang w:val="es-ES_tradnl"/>
              </w:rPr>
              <w:t>Ley 1150 de 2007</w:t>
            </w:r>
            <w:r>
              <w:rPr>
                <w:rFonts w:ascii="Verdana" w:hAnsi="Verdana" w:cs="Arial"/>
                <w:color w:val="000000" w:themeColor="text1"/>
                <w:lang w:val="es-ES_tradnl"/>
              </w:rPr>
              <w:t xml:space="preserve"> artículo 12.</w:t>
            </w:r>
          </w:p>
          <w:p w14:paraId="48C92569" w14:textId="77777777" w:rsidR="00A815BF" w:rsidRPr="005B3F16" w:rsidRDefault="00A815BF" w:rsidP="00A815BF">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rPr>
              <w:t xml:space="preserve">Circular Externa Única del 27 de diciembre de 2023. Disponible en: </w:t>
            </w:r>
            <w:hyperlink r:id="rId12" w:history="1">
              <w:r w:rsidRPr="005B3F16">
                <w:rPr>
                  <w:rStyle w:val="Hipervnculo"/>
                  <w:rFonts w:ascii="Verdana" w:hAnsi="Verdana" w:cs="Arial"/>
                </w:rPr>
                <w:t>https://www.colombiacompra.gov.co/sites/cce_public/files/cce_circulares/circular_externa_unica_version_3_vf49.pdf</w:t>
              </w:r>
            </w:hyperlink>
            <w:r w:rsidRPr="005B3F16">
              <w:rPr>
                <w:rFonts w:ascii="Verdana" w:hAnsi="Verdana" w:cs="Arial"/>
              </w:rPr>
              <w:t xml:space="preserve"> </w:t>
            </w:r>
          </w:p>
          <w:p w14:paraId="67AD1BE3" w14:textId="77777777" w:rsidR="00A815BF" w:rsidRPr="005B3F16" w:rsidRDefault="00A815BF" w:rsidP="00A815BF">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Resolución </w:t>
            </w:r>
            <w:r w:rsidRPr="005B3F16">
              <w:rPr>
                <w:rFonts w:ascii="Verdana" w:eastAsia="Times New Roman" w:hAnsi="Verdana" w:cs="Arial"/>
                <w:lang w:val="es-ES_tradnl" w:eastAsia="es-ES"/>
              </w:rPr>
              <w:t xml:space="preserve">219 de 2021 de la Agencia Nacional de Contratación Pública–Colombia Compra Eficiente–. Disponible en: </w:t>
            </w:r>
            <w:hyperlink r:id="rId13" w:history="1">
              <w:r w:rsidRPr="005B3F16">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5B3F16">
              <w:rPr>
                <w:rFonts w:ascii="Verdana" w:eastAsia="Times New Roman" w:hAnsi="Verdana" w:cs="Arial"/>
                <w:lang w:val="es-ES_tradnl" w:eastAsia="es-ES"/>
              </w:rPr>
              <w:t xml:space="preserve"> </w:t>
            </w:r>
          </w:p>
          <w:p w14:paraId="7713BF22" w14:textId="77777777" w:rsidR="00A815BF" w:rsidRPr="005B3F16" w:rsidRDefault="00A815BF" w:rsidP="00A815BF">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Jurisprudencia del Consejo de Estado. Disponible en: </w:t>
            </w:r>
            <w:hyperlink r:id="rId14" w:history="1">
              <w:r w:rsidRPr="005B3F16">
                <w:rPr>
                  <w:rStyle w:val="Hipervnculo"/>
                  <w:rFonts w:ascii="Verdana" w:hAnsi="Verdana" w:cs="Arial"/>
                </w:rPr>
                <w:t>https://relatoria.colombiacompra.gov.co/providencias-consejo-de-estado/</w:t>
              </w:r>
            </w:hyperlink>
            <w:r w:rsidRPr="005B3F16">
              <w:rPr>
                <w:rFonts w:ascii="Verdana" w:hAnsi="Verdana" w:cs="Arial"/>
              </w:rPr>
              <w:t xml:space="preserve"> </w:t>
            </w:r>
          </w:p>
          <w:p w14:paraId="4B987C3A" w14:textId="77777777" w:rsidR="00A815BF" w:rsidRPr="005B3F16" w:rsidRDefault="00A815BF" w:rsidP="00A815BF">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Guías y manuales expedidos por la ANCP-CCE. Disponible en:</w:t>
            </w:r>
            <w:r w:rsidRPr="005B3F16">
              <w:rPr>
                <w:rFonts w:ascii="Verdana" w:hAnsi="Verdana"/>
              </w:rPr>
              <w:t xml:space="preserve"> </w:t>
            </w:r>
            <w:hyperlink r:id="rId15" w:history="1">
              <w:r w:rsidRPr="005B3F16">
                <w:rPr>
                  <w:rStyle w:val="Hipervnculo"/>
                  <w:rFonts w:ascii="Verdana" w:hAnsi="Verdana" w:cs="Arial"/>
                </w:rPr>
                <w:t>https://www.colombiacompra.gov.co/manuales-guias-y-pliegos-</w:t>
              </w:r>
              <w:r w:rsidRPr="005B3F16">
                <w:rPr>
                  <w:rStyle w:val="Hipervnculo"/>
                  <w:rFonts w:ascii="Verdana" w:hAnsi="Verdana" w:cs="Arial"/>
                </w:rPr>
                <w:lastRenderedPageBreak/>
                <w:t>tipo/manuales-y-guias</w:t>
              </w:r>
            </w:hyperlink>
            <w:r w:rsidRPr="005B3F16">
              <w:rPr>
                <w:rFonts w:ascii="Verdana" w:hAnsi="Verdana" w:cs="Arial"/>
              </w:rPr>
              <w:t xml:space="preserve"> </w:t>
            </w:r>
          </w:p>
          <w:p w14:paraId="33E2A718" w14:textId="77777777" w:rsidR="00A815BF" w:rsidRPr="005B3F16" w:rsidRDefault="00A815BF" w:rsidP="006F37EF">
            <w:pPr>
              <w:widowControl w:val="0"/>
              <w:autoSpaceDE w:val="0"/>
              <w:autoSpaceDN w:val="0"/>
              <w:spacing w:after="120" w:line="276" w:lineRule="auto"/>
              <w:ind w:left="360"/>
              <w:jc w:val="both"/>
              <w:rPr>
                <w:rFonts w:ascii="Verdana" w:hAnsi="Verdana" w:cs="Arial"/>
              </w:rPr>
            </w:pPr>
          </w:p>
        </w:tc>
      </w:tr>
    </w:tbl>
    <w:p w14:paraId="0C676734" w14:textId="77777777" w:rsidR="00A815BF" w:rsidRPr="005B3F16" w:rsidRDefault="00A815BF" w:rsidP="00A815BF">
      <w:pPr>
        <w:widowControl w:val="0"/>
        <w:autoSpaceDE w:val="0"/>
        <w:autoSpaceDN w:val="0"/>
        <w:spacing w:after="0" w:line="276" w:lineRule="auto"/>
        <w:jc w:val="both"/>
        <w:rPr>
          <w:rFonts w:ascii="Verdana" w:hAnsi="Verdana" w:cs="Arial"/>
        </w:rPr>
      </w:pPr>
    </w:p>
    <w:p w14:paraId="75EEE1F2" w14:textId="77777777" w:rsidR="00A815BF" w:rsidRPr="005B3F16" w:rsidRDefault="00A815BF" w:rsidP="00A815BF">
      <w:pPr>
        <w:widowControl w:val="0"/>
        <w:autoSpaceDE w:val="0"/>
        <w:autoSpaceDN w:val="0"/>
        <w:spacing w:after="0" w:line="276" w:lineRule="auto"/>
        <w:jc w:val="both"/>
        <w:rPr>
          <w:rFonts w:ascii="Verdana" w:hAnsi="Verdana" w:cs="Arial"/>
        </w:rPr>
      </w:pPr>
    </w:p>
    <w:p w14:paraId="685EF99F" w14:textId="77777777" w:rsidR="00A815BF" w:rsidRPr="005B3F16" w:rsidRDefault="00A815BF" w:rsidP="00A815BF">
      <w:pPr>
        <w:widowControl w:val="0"/>
        <w:autoSpaceDE w:val="0"/>
        <w:autoSpaceDN w:val="0"/>
        <w:spacing w:after="0" w:line="276" w:lineRule="auto"/>
        <w:jc w:val="both"/>
        <w:rPr>
          <w:rFonts w:ascii="Verdana" w:hAnsi="Verdana" w:cs="Arial"/>
        </w:rPr>
      </w:pPr>
    </w:p>
    <w:p w14:paraId="1E9B3A95" w14:textId="77777777" w:rsidR="00A815BF" w:rsidRPr="005B3F16" w:rsidRDefault="00A815BF" w:rsidP="00A815BF">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4423163C" w14:textId="77777777" w:rsidR="00A815BF" w:rsidRPr="005B3F16" w:rsidRDefault="00A815BF" w:rsidP="00A815BF">
      <w:pPr>
        <w:widowControl w:val="0"/>
        <w:autoSpaceDE w:val="0"/>
        <w:autoSpaceDN w:val="0"/>
        <w:spacing w:after="0" w:line="276" w:lineRule="auto"/>
        <w:jc w:val="both"/>
        <w:rPr>
          <w:rFonts w:ascii="Verdana" w:hAnsi="Verdana" w:cs="Arial"/>
        </w:rPr>
      </w:pPr>
    </w:p>
    <w:p w14:paraId="1118C6CE" w14:textId="77777777" w:rsidR="00A815BF" w:rsidRPr="005B3F16" w:rsidRDefault="00A815BF" w:rsidP="00A815BF">
      <w:pPr>
        <w:widowControl w:val="0"/>
        <w:autoSpaceDE w:val="0"/>
        <w:autoSpaceDN w:val="0"/>
        <w:spacing w:after="0" w:line="276" w:lineRule="auto"/>
        <w:jc w:val="both"/>
        <w:rPr>
          <w:rFonts w:ascii="Verdana" w:hAnsi="Verdana" w:cs="Arial"/>
        </w:rPr>
      </w:pPr>
      <w:r w:rsidRPr="005B3F16">
        <w:rPr>
          <w:rFonts w:ascii="Verdana" w:hAnsi="Verdana" w:cs="Arial"/>
        </w:rPr>
        <w:t>La Agencia Nacional de Contratación Pública – Colombia Compra Eficiente, se ha pronunciado sobre  las limitaciones territoriales de convocatorias a Mipyme en 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w:t>
      </w:r>
      <w:r>
        <w:rPr>
          <w:rFonts w:ascii="Verdana" w:hAnsi="Verdana" w:cs="Arial"/>
        </w:rPr>
        <w:t xml:space="preserve">, C -094 del 19 de junio de 2024 </w:t>
      </w:r>
      <w:r w:rsidRPr="005B3F16">
        <w:rPr>
          <w:rFonts w:ascii="Verdana" w:eastAsia="Calibri" w:hAnsi="Verdana"/>
          <w:lang w:val="es-ES_tradnl"/>
        </w:rPr>
        <w:t>. Es</w:t>
      </w:r>
      <w:r w:rsidRPr="005B3F16">
        <w:rPr>
          <w:rFonts w:ascii="Verdana" w:eastAsia="Calibri" w:hAnsi="Verdana" w:cs="Arial"/>
          <w:lang w:val="es-ES_tradnl"/>
        </w:rPr>
        <w:t>tos y otros conceptos se encuentran disponibles para consulta en el Sistema de relatoría de la Agencia, al cual se puede acceder a través del siguiente enlace:</w:t>
      </w:r>
      <w:r w:rsidRPr="005B3F16">
        <w:rPr>
          <w:rFonts w:ascii="Verdana" w:eastAsia="Calibri" w:hAnsi="Verdana"/>
          <w:lang w:val="es-ES_tradnl"/>
        </w:rPr>
        <w:t xml:space="preserve"> </w:t>
      </w:r>
    </w:p>
    <w:p w14:paraId="7E8F797D" w14:textId="77777777" w:rsidR="00A815BF" w:rsidRPr="005B3F16" w:rsidRDefault="00A815BF" w:rsidP="00A815BF">
      <w:pPr>
        <w:widowControl w:val="0"/>
        <w:autoSpaceDE w:val="0"/>
        <w:autoSpaceDN w:val="0"/>
        <w:spacing w:after="0" w:line="276" w:lineRule="auto"/>
        <w:jc w:val="both"/>
        <w:rPr>
          <w:rFonts w:ascii="Verdana" w:eastAsia="Calibri" w:hAnsi="Verdana"/>
          <w:lang w:val="es-ES_tradnl"/>
        </w:rPr>
      </w:pPr>
    </w:p>
    <w:p w14:paraId="6134BA80" w14:textId="77777777" w:rsidR="00A815BF" w:rsidRPr="005B3F16" w:rsidRDefault="00EF128F" w:rsidP="00A815BF">
      <w:pPr>
        <w:widowControl w:val="0"/>
        <w:autoSpaceDE w:val="0"/>
        <w:autoSpaceDN w:val="0"/>
        <w:spacing w:after="0" w:line="276" w:lineRule="auto"/>
        <w:jc w:val="both"/>
        <w:rPr>
          <w:rFonts w:ascii="Verdana" w:eastAsia="Calibri" w:hAnsi="Verdana"/>
          <w:lang w:val="es-ES_tradnl"/>
        </w:rPr>
      </w:pPr>
      <w:hyperlink r:id="rId16" w:history="1">
        <w:r w:rsidR="00A815BF" w:rsidRPr="005B3F16">
          <w:rPr>
            <w:rStyle w:val="Hipervnculo"/>
            <w:rFonts w:ascii="Verdana" w:eastAsia="Calibri" w:hAnsi="Verdana"/>
            <w:lang w:val="es-ES_tradnl"/>
          </w:rPr>
          <w:t>https://relatoria.colombiacompra.gov.co/busqueda/conceptos</w:t>
        </w:r>
      </w:hyperlink>
      <w:r w:rsidR="00A815BF" w:rsidRPr="005B3F16">
        <w:rPr>
          <w:rFonts w:ascii="Verdana" w:eastAsia="Calibri" w:hAnsi="Verdana"/>
          <w:lang w:val="es-ES_tradnl"/>
        </w:rPr>
        <w:t xml:space="preserve">. </w:t>
      </w:r>
    </w:p>
    <w:p w14:paraId="3EE3B7B6" w14:textId="77777777" w:rsidR="00A815BF" w:rsidRPr="005B3F16" w:rsidRDefault="00A815BF" w:rsidP="00A815BF">
      <w:pPr>
        <w:widowControl w:val="0"/>
        <w:autoSpaceDE w:val="0"/>
        <w:autoSpaceDN w:val="0"/>
        <w:spacing w:after="0" w:line="276" w:lineRule="auto"/>
        <w:jc w:val="both"/>
        <w:rPr>
          <w:rFonts w:ascii="Verdana" w:eastAsia="Calibri" w:hAnsi="Verdana"/>
          <w:lang w:val="es-ES_tradnl"/>
        </w:rPr>
      </w:pPr>
    </w:p>
    <w:p w14:paraId="75361B52" w14:textId="77777777" w:rsidR="00A815BF" w:rsidRPr="005B3F16" w:rsidRDefault="00A815BF" w:rsidP="00A815BF">
      <w:pPr>
        <w:widowControl w:val="0"/>
        <w:autoSpaceDE w:val="0"/>
        <w:autoSpaceDN w:val="0"/>
        <w:spacing w:after="0" w:line="276" w:lineRule="auto"/>
        <w:jc w:val="both"/>
        <w:rPr>
          <w:rFonts w:ascii="Verdana" w:eastAsia="Calibri" w:hAnsi="Verdana" w:cs="Arial"/>
          <w:lang w:val="es-ES_tradnl"/>
        </w:rPr>
      </w:pPr>
    </w:p>
    <w:p w14:paraId="37C306C9" w14:textId="77777777" w:rsidR="00A815BF" w:rsidRPr="005B3F16" w:rsidRDefault="00A815BF" w:rsidP="00A815BF">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4FE8195F" w14:textId="77777777" w:rsidR="00A815BF" w:rsidRPr="005B3F16" w:rsidRDefault="00A815BF" w:rsidP="00A815BF">
      <w:pPr>
        <w:spacing w:after="0" w:line="276" w:lineRule="auto"/>
        <w:jc w:val="both"/>
        <w:rPr>
          <w:rFonts w:ascii="Verdana" w:eastAsia="Calibri" w:hAnsi="Verdana" w:cs="Arial"/>
          <w:lang w:val="es-ES_tradnl"/>
        </w:rPr>
      </w:pPr>
    </w:p>
    <w:p w14:paraId="16222EE0" w14:textId="77777777" w:rsidR="00A815BF" w:rsidRPr="005B3F16" w:rsidRDefault="00A815BF" w:rsidP="00A815BF">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Twitter: @colombiacompra </w:t>
      </w:r>
    </w:p>
    <w:p w14:paraId="386D074A" w14:textId="77777777" w:rsidR="00A815BF" w:rsidRPr="005B3F16" w:rsidRDefault="00A815BF" w:rsidP="00A815BF">
      <w:pPr>
        <w:spacing w:after="0" w:line="276" w:lineRule="auto"/>
        <w:jc w:val="both"/>
        <w:rPr>
          <w:rFonts w:ascii="Verdana" w:eastAsia="Calibri" w:hAnsi="Verdana" w:cs="Arial"/>
          <w:lang w:val="es-ES"/>
        </w:rPr>
      </w:pPr>
      <w:r w:rsidRPr="2F5E6258">
        <w:rPr>
          <w:rFonts w:ascii="Verdana" w:eastAsia="Calibri" w:hAnsi="Verdana" w:cs="Arial"/>
          <w:lang w:val="es-ES"/>
        </w:rPr>
        <w:t>Facebook: ColombiaCompraEficiente</w:t>
      </w:r>
    </w:p>
    <w:p w14:paraId="49BD7966" w14:textId="77777777" w:rsidR="00A815BF" w:rsidRPr="005B3F16" w:rsidRDefault="00A815BF" w:rsidP="00A815BF">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@colombiacompraeficiente_cce</w:t>
      </w:r>
    </w:p>
    <w:p w14:paraId="04E71DE4" w14:textId="77777777" w:rsidR="00A815BF" w:rsidRPr="005B3F16" w:rsidRDefault="00A815BF" w:rsidP="00A815BF">
      <w:pPr>
        <w:widowControl w:val="0"/>
        <w:autoSpaceDE w:val="0"/>
        <w:autoSpaceDN w:val="0"/>
        <w:spacing w:after="0" w:line="276" w:lineRule="auto"/>
        <w:jc w:val="both"/>
        <w:rPr>
          <w:rFonts w:ascii="Verdana" w:eastAsia="Calibri" w:hAnsi="Verdana" w:cs="Arial"/>
          <w:lang w:val="es-ES_tradnl"/>
        </w:rPr>
      </w:pPr>
    </w:p>
    <w:p w14:paraId="31727385" w14:textId="77777777" w:rsidR="00A815BF" w:rsidRPr="005B3F16" w:rsidRDefault="00A815BF" w:rsidP="00A815BF">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 xml:space="preserve">Este concepto tiene el alcance previsto en el artículo 28 del Código de </w:t>
      </w:r>
      <w:r w:rsidRPr="005B3F16">
        <w:rPr>
          <w:rFonts w:ascii="Verdana" w:eastAsia="Calibri" w:hAnsi="Verdana" w:cs="Arial"/>
          <w:lang w:val="es-ES_tradnl"/>
        </w:rPr>
        <w:lastRenderedPageBreak/>
        <w:t>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0EC677EE" w14:textId="77777777" w:rsidR="00A815BF" w:rsidRPr="005B3F16" w:rsidRDefault="00A815BF" w:rsidP="00A815BF">
      <w:pPr>
        <w:widowControl w:val="0"/>
        <w:autoSpaceDE w:val="0"/>
        <w:autoSpaceDN w:val="0"/>
        <w:spacing w:after="0" w:line="276" w:lineRule="auto"/>
        <w:jc w:val="both"/>
        <w:rPr>
          <w:rFonts w:ascii="Verdana" w:hAnsi="Verdana" w:cs="Arial"/>
        </w:rPr>
      </w:pPr>
    </w:p>
    <w:p w14:paraId="6EF3AB4B" w14:textId="77777777" w:rsidR="00A815BF" w:rsidRPr="005B3F16" w:rsidRDefault="00A815BF" w:rsidP="00A815BF">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14FF412D" w14:textId="77777777" w:rsidR="00A815BF" w:rsidRPr="005B3F16" w:rsidRDefault="00A815BF" w:rsidP="00A815BF">
      <w:pPr>
        <w:spacing w:line="276" w:lineRule="auto"/>
        <w:rPr>
          <w:rFonts w:ascii="Verdana" w:hAnsi="Verdana"/>
          <w:noProof/>
          <w:lang w:val="es-ES_tradnl" w:eastAsia="es-CO"/>
        </w:rPr>
      </w:pPr>
    </w:p>
    <w:p w14:paraId="1F74289A" w14:textId="61B9EA6E" w:rsidR="00A815BF" w:rsidRPr="005B3F16" w:rsidRDefault="00D8632B" w:rsidP="00A815BF">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3463563A" wp14:editId="61EFC7DC">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15BF" w:rsidRPr="005B3F16" w14:paraId="740CB4E4" w14:textId="77777777" w:rsidTr="59790E48">
        <w:trPr>
          <w:trHeight w:val="315"/>
        </w:trPr>
        <w:tc>
          <w:tcPr>
            <w:tcW w:w="893" w:type="dxa"/>
            <w:vAlign w:val="center"/>
            <w:hideMark/>
          </w:tcPr>
          <w:p w14:paraId="464659D6"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13F141EF"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297B2379"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A815BF" w:rsidRPr="005B3F16" w14:paraId="7046BD5B" w14:textId="77777777" w:rsidTr="59790E48">
        <w:trPr>
          <w:trHeight w:val="330"/>
        </w:trPr>
        <w:tc>
          <w:tcPr>
            <w:tcW w:w="893" w:type="dxa"/>
            <w:vAlign w:val="center"/>
            <w:hideMark/>
          </w:tcPr>
          <w:p w14:paraId="26848A29"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B52022" w14:textId="77777777" w:rsidR="00A815BF" w:rsidRPr="005B3F16" w:rsidRDefault="00A815BF" w:rsidP="59790E48">
            <w:pPr>
              <w:pStyle w:val="paragraph"/>
              <w:spacing w:before="0" w:beforeAutospacing="0" w:after="0" w:afterAutospacing="0" w:line="276" w:lineRule="auto"/>
              <w:contextualSpacing/>
              <w:textAlignment w:val="baseline"/>
              <w:rPr>
                <w:rFonts w:ascii="Verdana" w:eastAsia="Calibri" w:hAnsi="Verdana" w:cs="Arial"/>
                <w:sz w:val="16"/>
                <w:szCs w:val="16"/>
                <w:lang w:val="es-ES" w:eastAsia="en-US"/>
              </w:rPr>
            </w:pPr>
            <w:r w:rsidRPr="59790E48">
              <w:rPr>
                <w:rFonts w:ascii="Verdana" w:eastAsia="Calibri" w:hAnsi="Verdana" w:cs="Arial"/>
                <w:sz w:val="16"/>
                <w:szCs w:val="16"/>
                <w:lang w:val="es-ES" w:eastAsia="en-US"/>
              </w:rPr>
              <w:t>Adriana Katerine Lopez Rodriguez</w:t>
            </w:r>
          </w:p>
          <w:p w14:paraId="509E9F01" w14:textId="77777777" w:rsidR="00A815BF" w:rsidRPr="005B3F16" w:rsidRDefault="00A815BF" w:rsidP="006F37EF">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A815BF" w:rsidRPr="005B3F16" w14:paraId="1E21F95F" w14:textId="77777777" w:rsidTr="59790E48">
        <w:trPr>
          <w:trHeight w:val="300"/>
        </w:trPr>
        <w:tc>
          <w:tcPr>
            <w:tcW w:w="893" w:type="dxa"/>
            <w:vAlign w:val="center"/>
          </w:tcPr>
          <w:p w14:paraId="64DB3DA6"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9D8F13B" w14:textId="77777777" w:rsidR="00A815BF" w:rsidRPr="005B3F16" w:rsidRDefault="00A815BF" w:rsidP="59790E48">
            <w:pPr>
              <w:spacing w:line="276" w:lineRule="auto"/>
              <w:contextualSpacing/>
              <w:rPr>
                <w:rFonts w:ascii="Verdana" w:eastAsia="Calibri" w:hAnsi="Verdana" w:cs="Arial"/>
                <w:sz w:val="16"/>
                <w:szCs w:val="16"/>
                <w:lang w:val="es-ES"/>
              </w:rPr>
            </w:pPr>
            <w:r w:rsidRPr="59790E48">
              <w:rPr>
                <w:rFonts w:ascii="Verdana" w:eastAsia="Calibri" w:hAnsi="Verdana" w:cs="Arial"/>
                <w:sz w:val="16"/>
                <w:szCs w:val="16"/>
                <w:lang w:val="es-ES"/>
              </w:rPr>
              <w:t>Carolina Quintero Gacharná</w:t>
            </w:r>
          </w:p>
          <w:p w14:paraId="22AB3BCD" w14:textId="77777777" w:rsidR="00A815BF" w:rsidRPr="005B3F16" w:rsidRDefault="00A815BF" w:rsidP="006F37E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18687972" w14:textId="77777777" w:rsidR="00A815BF" w:rsidRPr="005B3F16" w:rsidRDefault="00A815BF" w:rsidP="00A815BF">
      <w:pPr>
        <w:spacing w:after="0" w:line="276" w:lineRule="auto"/>
        <w:rPr>
          <w:rFonts w:ascii="Verdana" w:eastAsia="Times New Roman" w:hAnsi="Verdana" w:cs="Arial"/>
          <w:sz w:val="24"/>
          <w:szCs w:val="24"/>
          <w:lang w:eastAsia="es-ES"/>
        </w:rPr>
      </w:pPr>
    </w:p>
    <w:p w14:paraId="7B07CC46" w14:textId="77777777" w:rsidR="00A815BF" w:rsidRPr="005B3F16" w:rsidRDefault="00A815BF" w:rsidP="00A815BF">
      <w:pPr>
        <w:spacing w:line="276" w:lineRule="auto"/>
        <w:rPr>
          <w:rFonts w:ascii="Verdana" w:hAnsi="Verdana"/>
        </w:rPr>
      </w:pPr>
    </w:p>
    <w:p w14:paraId="75348CAB" w14:textId="77777777" w:rsidR="00A815BF" w:rsidRPr="005B3F16" w:rsidRDefault="00A815BF" w:rsidP="00A815BF">
      <w:pPr>
        <w:spacing w:after="0" w:line="276" w:lineRule="auto"/>
        <w:jc w:val="both"/>
        <w:rPr>
          <w:rFonts w:ascii="Verdana" w:hAnsi="Verdana"/>
        </w:rPr>
      </w:pPr>
    </w:p>
    <w:bookmarkEnd w:id="0"/>
    <w:p w14:paraId="7C05640B" w14:textId="77777777" w:rsidR="00A815BF" w:rsidRPr="005B3F16" w:rsidRDefault="00A815BF" w:rsidP="00A815BF">
      <w:pPr>
        <w:spacing w:line="276" w:lineRule="auto"/>
        <w:rPr>
          <w:rFonts w:ascii="Verdana" w:hAnsi="Verdana"/>
        </w:rPr>
      </w:pPr>
    </w:p>
    <w:bookmarkEnd w:id="1"/>
    <w:p w14:paraId="75DBF7CC" w14:textId="77777777" w:rsidR="00A815BF" w:rsidRPr="0044528D" w:rsidRDefault="00A815BF" w:rsidP="00A815BF">
      <w:pPr>
        <w:spacing w:after="0"/>
        <w:rPr>
          <w:rFonts w:ascii="Verdana" w:hAnsi="Verdana"/>
        </w:rPr>
      </w:pPr>
    </w:p>
    <w:p w14:paraId="0083C991" w14:textId="5C765C2F" w:rsidR="5D8505AD" w:rsidRPr="00A815BF" w:rsidRDefault="5D8505AD" w:rsidP="00A815BF"/>
    <w:sectPr w:rsidR="5D8505AD" w:rsidRPr="00A815BF"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B7A90" w14:textId="77777777" w:rsidR="00EF128F" w:rsidRDefault="00EF128F" w:rsidP="00B30448">
      <w:pPr>
        <w:spacing w:after="0" w:line="240" w:lineRule="auto"/>
      </w:pPr>
      <w:r>
        <w:separator/>
      </w:r>
    </w:p>
  </w:endnote>
  <w:endnote w:type="continuationSeparator" w:id="0">
    <w:p w14:paraId="458131EA" w14:textId="77777777" w:rsidR="00EF128F" w:rsidRDefault="00EF128F" w:rsidP="00B30448">
      <w:pPr>
        <w:spacing w:after="0" w:line="240" w:lineRule="auto"/>
      </w:pPr>
      <w:r>
        <w:continuationSeparator/>
      </w:r>
    </w:p>
  </w:endnote>
  <w:endnote w:type="continuationNotice" w:id="1">
    <w:p w14:paraId="1B9769E0" w14:textId="77777777" w:rsidR="00EF128F" w:rsidRDefault="00EF1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4E10E" w14:textId="77777777" w:rsidR="00EF128F" w:rsidRDefault="00EF128F" w:rsidP="00B30448">
      <w:pPr>
        <w:spacing w:after="0" w:line="240" w:lineRule="auto"/>
      </w:pPr>
      <w:r>
        <w:separator/>
      </w:r>
    </w:p>
  </w:footnote>
  <w:footnote w:type="continuationSeparator" w:id="0">
    <w:p w14:paraId="3332B7F9" w14:textId="77777777" w:rsidR="00EF128F" w:rsidRDefault="00EF128F" w:rsidP="00B30448">
      <w:pPr>
        <w:spacing w:after="0" w:line="240" w:lineRule="auto"/>
      </w:pPr>
      <w:r>
        <w:continuationSeparator/>
      </w:r>
    </w:p>
  </w:footnote>
  <w:footnote w:type="continuationNotice" w:id="1">
    <w:p w14:paraId="1C9C7939" w14:textId="77777777" w:rsidR="00EF128F" w:rsidRDefault="00EF12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2"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3"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1"/>
  </w:num>
  <w:num w:numId="5">
    <w:abstractNumId w:val="11"/>
  </w:num>
  <w:num w:numId="6">
    <w:abstractNumId w:val="2"/>
  </w:num>
  <w:num w:numId="7">
    <w:abstractNumId w:val="7"/>
  </w:num>
  <w:num w:numId="8">
    <w:abstractNumId w:val="10"/>
  </w:num>
  <w:num w:numId="9">
    <w:abstractNumId w:val="14"/>
  </w:num>
  <w:num w:numId="10">
    <w:abstractNumId w:val="13"/>
  </w:num>
  <w:num w:numId="11">
    <w:abstractNumId w:val="15"/>
  </w:num>
  <w:num w:numId="12">
    <w:abstractNumId w:val="17"/>
  </w:num>
  <w:num w:numId="13">
    <w:abstractNumId w:val="16"/>
  </w:num>
  <w:num w:numId="14">
    <w:abstractNumId w:val="0"/>
  </w:num>
  <w:num w:numId="15">
    <w:abstractNumId w:val="5"/>
  </w:num>
  <w:num w:numId="16">
    <w:abstractNumId w:val="6"/>
  </w:num>
  <w:num w:numId="17">
    <w:abstractNumId w:val="9"/>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1025F"/>
    <w:rsid w:val="00011A77"/>
    <w:rsid w:val="0001222D"/>
    <w:rsid w:val="000135EB"/>
    <w:rsid w:val="00015D2B"/>
    <w:rsid w:val="00023823"/>
    <w:rsid w:val="0002558A"/>
    <w:rsid w:val="00031584"/>
    <w:rsid w:val="00032A0E"/>
    <w:rsid w:val="00037347"/>
    <w:rsid w:val="00040A35"/>
    <w:rsid w:val="000442CC"/>
    <w:rsid w:val="00045B79"/>
    <w:rsid w:val="00047A3C"/>
    <w:rsid w:val="000556D4"/>
    <w:rsid w:val="000716AB"/>
    <w:rsid w:val="00082E4C"/>
    <w:rsid w:val="000849D5"/>
    <w:rsid w:val="0008528F"/>
    <w:rsid w:val="00090E20"/>
    <w:rsid w:val="000A6E0C"/>
    <w:rsid w:val="000A70FA"/>
    <w:rsid w:val="000A7A56"/>
    <w:rsid w:val="000B1FF7"/>
    <w:rsid w:val="000B2513"/>
    <w:rsid w:val="000B4024"/>
    <w:rsid w:val="000B5FFE"/>
    <w:rsid w:val="000C3C51"/>
    <w:rsid w:val="000C7262"/>
    <w:rsid w:val="000D2A7F"/>
    <w:rsid w:val="000D49FB"/>
    <w:rsid w:val="000D4FCE"/>
    <w:rsid w:val="000E670C"/>
    <w:rsid w:val="000F2DCB"/>
    <w:rsid w:val="001079A9"/>
    <w:rsid w:val="0011037E"/>
    <w:rsid w:val="00124D0E"/>
    <w:rsid w:val="00126FA8"/>
    <w:rsid w:val="00127A6D"/>
    <w:rsid w:val="001363C7"/>
    <w:rsid w:val="00141AC5"/>
    <w:rsid w:val="00146B11"/>
    <w:rsid w:val="00147A04"/>
    <w:rsid w:val="00150EAB"/>
    <w:rsid w:val="0015476D"/>
    <w:rsid w:val="00161E13"/>
    <w:rsid w:val="00164AE0"/>
    <w:rsid w:val="00165E83"/>
    <w:rsid w:val="00166CD7"/>
    <w:rsid w:val="001706BC"/>
    <w:rsid w:val="0017120C"/>
    <w:rsid w:val="00172F3A"/>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E2B8E"/>
    <w:rsid w:val="001E5CC4"/>
    <w:rsid w:val="001F3F48"/>
    <w:rsid w:val="001F51B2"/>
    <w:rsid w:val="002000AA"/>
    <w:rsid w:val="00203EBB"/>
    <w:rsid w:val="00204109"/>
    <w:rsid w:val="0021026D"/>
    <w:rsid w:val="00211E6E"/>
    <w:rsid w:val="00212A46"/>
    <w:rsid w:val="0021401D"/>
    <w:rsid w:val="002146B8"/>
    <w:rsid w:val="00214AB9"/>
    <w:rsid w:val="00215516"/>
    <w:rsid w:val="00223573"/>
    <w:rsid w:val="00235798"/>
    <w:rsid w:val="00244C79"/>
    <w:rsid w:val="002527C2"/>
    <w:rsid w:val="002536F1"/>
    <w:rsid w:val="00261807"/>
    <w:rsid w:val="00270443"/>
    <w:rsid w:val="00270EE2"/>
    <w:rsid w:val="00272972"/>
    <w:rsid w:val="0028252D"/>
    <w:rsid w:val="00285F49"/>
    <w:rsid w:val="00286491"/>
    <w:rsid w:val="00291A05"/>
    <w:rsid w:val="002A097D"/>
    <w:rsid w:val="002A0F8D"/>
    <w:rsid w:val="002A65BB"/>
    <w:rsid w:val="002B6E44"/>
    <w:rsid w:val="002D5318"/>
    <w:rsid w:val="002D580F"/>
    <w:rsid w:val="002E1DB5"/>
    <w:rsid w:val="002F3468"/>
    <w:rsid w:val="002F6CCB"/>
    <w:rsid w:val="00300925"/>
    <w:rsid w:val="00304090"/>
    <w:rsid w:val="0030461E"/>
    <w:rsid w:val="0032756A"/>
    <w:rsid w:val="003304E0"/>
    <w:rsid w:val="00334EF8"/>
    <w:rsid w:val="00336408"/>
    <w:rsid w:val="00340DFB"/>
    <w:rsid w:val="0034404F"/>
    <w:rsid w:val="003471E6"/>
    <w:rsid w:val="00356980"/>
    <w:rsid w:val="00362845"/>
    <w:rsid w:val="003639DA"/>
    <w:rsid w:val="00367462"/>
    <w:rsid w:val="00371ECA"/>
    <w:rsid w:val="00372748"/>
    <w:rsid w:val="0037332A"/>
    <w:rsid w:val="0037524E"/>
    <w:rsid w:val="0038151A"/>
    <w:rsid w:val="0039082A"/>
    <w:rsid w:val="00390C21"/>
    <w:rsid w:val="003A37BD"/>
    <w:rsid w:val="003B6D94"/>
    <w:rsid w:val="003C0DF9"/>
    <w:rsid w:val="003C4C96"/>
    <w:rsid w:val="003C55E0"/>
    <w:rsid w:val="003C70A0"/>
    <w:rsid w:val="003D111E"/>
    <w:rsid w:val="003E36FF"/>
    <w:rsid w:val="003F519B"/>
    <w:rsid w:val="00404EAA"/>
    <w:rsid w:val="0040544F"/>
    <w:rsid w:val="00406A19"/>
    <w:rsid w:val="0041222D"/>
    <w:rsid w:val="0041483E"/>
    <w:rsid w:val="00415369"/>
    <w:rsid w:val="004221C8"/>
    <w:rsid w:val="00430492"/>
    <w:rsid w:val="00432FFE"/>
    <w:rsid w:val="00437D03"/>
    <w:rsid w:val="0044773D"/>
    <w:rsid w:val="00450BE7"/>
    <w:rsid w:val="00462D21"/>
    <w:rsid w:val="0046741E"/>
    <w:rsid w:val="00467EA6"/>
    <w:rsid w:val="00472CC6"/>
    <w:rsid w:val="0048026E"/>
    <w:rsid w:val="004807A9"/>
    <w:rsid w:val="004813EE"/>
    <w:rsid w:val="00484FBA"/>
    <w:rsid w:val="00490C3E"/>
    <w:rsid w:val="00493278"/>
    <w:rsid w:val="004943D9"/>
    <w:rsid w:val="004A0E7B"/>
    <w:rsid w:val="004A2F28"/>
    <w:rsid w:val="004A3498"/>
    <w:rsid w:val="004A4E52"/>
    <w:rsid w:val="004B0C45"/>
    <w:rsid w:val="004C0AB2"/>
    <w:rsid w:val="004C1619"/>
    <w:rsid w:val="004C1A26"/>
    <w:rsid w:val="004C1CC9"/>
    <w:rsid w:val="004C3755"/>
    <w:rsid w:val="004C4485"/>
    <w:rsid w:val="004D11AF"/>
    <w:rsid w:val="004D70E1"/>
    <w:rsid w:val="00500DFA"/>
    <w:rsid w:val="005019AA"/>
    <w:rsid w:val="005021BB"/>
    <w:rsid w:val="005139E7"/>
    <w:rsid w:val="005147DA"/>
    <w:rsid w:val="00515FB5"/>
    <w:rsid w:val="005207F7"/>
    <w:rsid w:val="0052365C"/>
    <w:rsid w:val="00524FF4"/>
    <w:rsid w:val="005271EB"/>
    <w:rsid w:val="005426DB"/>
    <w:rsid w:val="0055082B"/>
    <w:rsid w:val="00552503"/>
    <w:rsid w:val="00552B57"/>
    <w:rsid w:val="00557DA1"/>
    <w:rsid w:val="0056322C"/>
    <w:rsid w:val="00586562"/>
    <w:rsid w:val="0058743A"/>
    <w:rsid w:val="005928B4"/>
    <w:rsid w:val="005A4DB0"/>
    <w:rsid w:val="005A7B8E"/>
    <w:rsid w:val="005B012B"/>
    <w:rsid w:val="005B0C87"/>
    <w:rsid w:val="005B3F16"/>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6D1F"/>
    <w:rsid w:val="0061690E"/>
    <w:rsid w:val="00627361"/>
    <w:rsid w:val="0063017E"/>
    <w:rsid w:val="00631B28"/>
    <w:rsid w:val="006450EE"/>
    <w:rsid w:val="00645B90"/>
    <w:rsid w:val="00650991"/>
    <w:rsid w:val="006511D7"/>
    <w:rsid w:val="006528D6"/>
    <w:rsid w:val="00653E3C"/>
    <w:rsid w:val="00663D75"/>
    <w:rsid w:val="0066531E"/>
    <w:rsid w:val="00670AEF"/>
    <w:rsid w:val="00673FF4"/>
    <w:rsid w:val="00675678"/>
    <w:rsid w:val="00676A8B"/>
    <w:rsid w:val="00677012"/>
    <w:rsid w:val="006825B4"/>
    <w:rsid w:val="00682AF2"/>
    <w:rsid w:val="006864DF"/>
    <w:rsid w:val="006A1D37"/>
    <w:rsid w:val="006A3C8A"/>
    <w:rsid w:val="006A7552"/>
    <w:rsid w:val="006B5953"/>
    <w:rsid w:val="006B7A81"/>
    <w:rsid w:val="006C4BAC"/>
    <w:rsid w:val="006C52F3"/>
    <w:rsid w:val="006D1050"/>
    <w:rsid w:val="006D570B"/>
    <w:rsid w:val="006D702C"/>
    <w:rsid w:val="006E1F18"/>
    <w:rsid w:val="006E7F37"/>
    <w:rsid w:val="006F3B81"/>
    <w:rsid w:val="006F4F79"/>
    <w:rsid w:val="00705B37"/>
    <w:rsid w:val="00711FD9"/>
    <w:rsid w:val="00735062"/>
    <w:rsid w:val="00745400"/>
    <w:rsid w:val="00746BA5"/>
    <w:rsid w:val="00750D05"/>
    <w:rsid w:val="00751D23"/>
    <w:rsid w:val="007534D1"/>
    <w:rsid w:val="00770577"/>
    <w:rsid w:val="00777666"/>
    <w:rsid w:val="0078159B"/>
    <w:rsid w:val="0078296B"/>
    <w:rsid w:val="00782E10"/>
    <w:rsid w:val="0078706B"/>
    <w:rsid w:val="00790836"/>
    <w:rsid w:val="00796F7F"/>
    <w:rsid w:val="00797131"/>
    <w:rsid w:val="007A3C1D"/>
    <w:rsid w:val="007A4193"/>
    <w:rsid w:val="007A7935"/>
    <w:rsid w:val="007B285D"/>
    <w:rsid w:val="007C6BC6"/>
    <w:rsid w:val="00807D79"/>
    <w:rsid w:val="00813634"/>
    <w:rsid w:val="00822821"/>
    <w:rsid w:val="00831C29"/>
    <w:rsid w:val="008430A8"/>
    <w:rsid w:val="008431EA"/>
    <w:rsid w:val="008431EF"/>
    <w:rsid w:val="008468E0"/>
    <w:rsid w:val="00865FBA"/>
    <w:rsid w:val="00871B59"/>
    <w:rsid w:val="00875457"/>
    <w:rsid w:val="00876251"/>
    <w:rsid w:val="00877D03"/>
    <w:rsid w:val="00877E96"/>
    <w:rsid w:val="008806CA"/>
    <w:rsid w:val="008815E5"/>
    <w:rsid w:val="00881D8B"/>
    <w:rsid w:val="00887B37"/>
    <w:rsid w:val="008909B9"/>
    <w:rsid w:val="00891DFC"/>
    <w:rsid w:val="00895737"/>
    <w:rsid w:val="008A49EE"/>
    <w:rsid w:val="008B12B4"/>
    <w:rsid w:val="008B7914"/>
    <w:rsid w:val="008C5D2A"/>
    <w:rsid w:val="008C7AF4"/>
    <w:rsid w:val="008D1EB8"/>
    <w:rsid w:val="008D40C5"/>
    <w:rsid w:val="008D529F"/>
    <w:rsid w:val="008D7EDD"/>
    <w:rsid w:val="008F02FB"/>
    <w:rsid w:val="008F5CC8"/>
    <w:rsid w:val="009061B8"/>
    <w:rsid w:val="00906A90"/>
    <w:rsid w:val="0091008B"/>
    <w:rsid w:val="00911EA2"/>
    <w:rsid w:val="00916C7D"/>
    <w:rsid w:val="00923D6E"/>
    <w:rsid w:val="0092575D"/>
    <w:rsid w:val="009341DA"/>
    <w:rsid w:val="00937C6B"/>
    <w:rsid w:val="009430F9"/>
    <w:rsid w:val="009442E8"/>
    <w:rsid w:val="009457B6"/>
    <w:rsid w:val="009466BA"/>
    <w:rsid w:val="00946BD0"/>
    <w:rsid w:val="00951593"/>
    <w:rsid w:val="00952B88"/>
    <w:rsid w:val="00953F42"/>
    <w:rsid w:val="0095426C"/>
    <w:rsid w:val="00962196"/>
    <w:rsid w:val="00970087"/>
    <w:rsid w:val="00971074"/>
    <w:rsid w:val="0097374B"/>
    <w:rsid w:val="009802EE"/>
    <w:rsid w:val="0098266D"/>
    <w:rsid w:val="00985BF7"/>
    <w:rsid w:val="00987B8D"/>
    <w:rsid w:val="00993749"/>
    <w:rsid w:val="00995D86"/>
    <w:rsid w:val="009A5453"/>
    <w:rsid w:val="009B1186"/>
    <w:rsid w:val="009B4D94"/>
    <w:rsid w:val="009B5E47"/>
    <w:rsid w:val="009C2871"/>
    <w:rsid w:val="009C7CB5"/>
    <w:rsid w:val="009D2600"/>
    <w:rsid w:val="009D3C33"/>
    <w:rsid w:val="009D7F3A"/>
    <w:rsid w:val="009E0355"/>
    <w:rsid w:val="009E4885"/>
    <w:rsid w:val="009F2B7A"/>
    <w:rsid w:val="009F5A6D"/>
    <w:rsid w:val="00A03E81"/>
    <w:rsid w:val="00A07DB6"/>
    <w:rsid w:val="00A101E9"/>
    <w:rsid w:val="00A10A73"/>
    <w:rsid w:val="00A115F6"/>
    <w:rsid w:val="00A170B3"/>
    <w:rsid w:val="00A223D5"/>
    <w:rsid w:val="00A37D1C"/>
    <w:rsid w:val="00A47318"/>
    <w:rsid w:val="00A5453E"/>
    <w:rsid w:val="00A55848"/>
    <w:rsid w:val="00A558E2"/>
    <w:rsid w:val="00A56F6C"/>
    <w:rsid w:val="00A679CB"/>
    <w:rsid w:val="00A76C8C"/>
    <w:rsid w:val="00A77381"/>
    <w:rsid w:val="00A815BF"/>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AE3817"/>
    <w:rsid w:val="00AE5EC3"/>
    <w:rsid w:val="00AE6A98"/>
    <w:rsid w:val="00B02FE0"/>
    <w:rsid w:val="00B057B6"/>
    <w:rsid w:val="00B118C5"/>
    <w:rsid w:val="00B27516"/>
    <w:rsid w:val="00B30448"/>
    <w:rsid w:val="00B34786"/>
    <w:rsid w:val="00B400EC"/>
    <w:rsid w:val="00B40162"/>
    <w:rsid w:val="00B41ACE"/>
    <w:rsid w:val="00B50156"/>
    <w:rsid w:val="00B518AD"/>
    <w:rsid w:val="00B60A96"/>
    <w:rsid w:val="00B678EC"/>
    <w:rsid w:val="00B67B55"/>
    <w:rsid w:val="00B73DDD"/>
    <w:rsid w:val="00B75AC0"/>
    <w:rsid w:val="00B76C94"/>
    <w:rsid w:val="00B772D0"/>
    <w:rsid w:val="00B836EA"/>
    <w:rsid w:val="00B84C05"/>
    <w:rsid w:val="00B8722C"/>
    <w:rsid w:val="00B91B81"/>
    <w:rsid w:val="00B97135"/>
    <w:rsid w:val="00BB3072"/>
    <w:rsid w:val="00BC7632"/>
    <w:rsid w:val="00BD45A0"/>
    <w:rsid w:val="00BD48A9"/>
    <w:rsid w:val="00BD630F"/>
    <w:rsid w:val="00BD7EC6"/>
    <w:rsid w:val="00BE3E91"/>
    <w:rsid w:val="00BE45FE"/>
    <w:rsid w:val="00BE50C7"/>
    <w:rsid w:val="00BE56E6"/>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71DF"/>
    <w:rsid w:val="00C42055"/>
    <w:rsid w:val="00C44B4C"/>
    <w:rsid w:val="00C46734"/>
    <w:rsid w:val="00C47A86"/>
    <w:rsid w:val="00C53220"/>
    <w:rsid w:val="00C65562"/>
    <w:rsid w:val="00CA3347"/>
    <w:rsid w:val="00CA41EF"/>
    <w:rsid w:val="00CA4C80"/>
    <w:rsid w:val="00CB28AD"/>
    <w:rsid w:val="00CB365F"/>
    <w:rsid w:val="00CB47BC"/>
    <w:rsid w:val="00CC15C9"/>
    <w:rsid w:val="00CC299A"/>
    <w:rsid w:val="00CD03E3"/>
    <w:rsid w:val="00CD3DF5"/>
    <w:rsid w:val="00CD4B04"/>
    <w:rsid w:val="00CD738B"/>
    <w:rsid w:val="00CE617B"/>
    <w:rsid w:val="00CE6BDA"/>
    <w:rsid w:val="00CF26FF"/>
    <w:rsid w:val="00D03DBE"/>
    <w:rsid w:val="00D072C0"/>
    <w:rsid w:val="00D131D2"/>
    <w:rsid w:val="00D33A2B"/>
    <w:rsid w:val="00D34C82"/>
    <w:rsid w:val="00D3515F"/>
    <w:rsid w:val="00D3757A"/>
    <w:rsid w:val="00D504A9"/>
    <w:rsid w:val="00D5206D"/>
    <w:rsid w:val="00D53CEB"/>
    <w:rsid w:val="00D60078"/>
    <w:rsid w:val="00D7177D"/>
    <w:rsid w:val="00D81311"/>
    <w:rsid w:val="00D8632B"/>
    <w:rsid w:val="00D9095F"/>
    <w:rsid w:val="00D93CA6"/>
    <w:rsid w:val="00DB1F59"/>
    <w:rsid w:val="00DB201E"/>
    <w:rsid w:val="00DB5D94"/>
    <w:rsid w:val="00DC075F"/>
    <w:rsid w:val="00DC0E68"/>
    <w:rsid w:val="00DC5D8C"/>
    <w:rsid w:val="00DC744B"/>
    <w:rsid w:val="00DD25ED"/>
    <w:rsid w:val="00DD68B2"/>
    <w:rsid w:val="00DE0D6E"/>
    <w:rsid w:val="00DE3E5A"/>
    <w:rsid w:val="00DE70B4"/>
    <w:rsid w:val="00DF6F0B"/>
    <w:rsid w:val="00E15AB6"/>
    <w:rsid w:val="00E1610C"/>
    <w:rsid w:val="00E16D73"/>
    <w:rsid w:val="00E23E9E"/>
    <w:rsid w:val="00E25722"/>
    <w:rsid w:val="00E27851"/>
    <w:rsid w:val="00E27F0A"/>
    <w:rsid w:val="00E4231E"/>
    <w:rsid w:val="00E4302C"/>
    <w:rsid w:val="00E44AC7"/>
    <w:rsid w:val="00E45F4B"/>
    <w:rsid w:val="00E50E08"/>
    <w:rsid w:val="00E60A16"/>
    <w:rsid w:val="00E63247"/>
    <w:rsid w:val="00E82B6E"/>
    <w:rsid w:val="00E83657"/>
    <w:rsid w:val="00E92110"/>
    <w:rsid w:val="00E94258"/>
    <w:rsid w:val="00E947BD"/>
    <w:rsid w:val="00E96C18"/>
    <w:rsid w:val="00EA0B9C"/>
    <w:rsid w:val="00EA1DF7"/>
    <w:rsid w:val="00EA2E61"/>
    <w:rsid w:val="00EA7D7F"/>
    <w:rsid w:val="00EB01B5"/>
    <w:rsid w:val="00EB02F4"/>
    <w:rsid w:val="00EB2FA2"/>
    <w:rsid w:val="00EB769A"/>
    <w:rsid w:val="00EC3A35"/>
    <w:rsid w:val="00ED2BF0"/>
    <w:rsid w:val="00EE17F2"/>
    <w:rsid w:val="00EE3138"/>
    <w:rsid w:val="00EF128F"/>
    <w:rsid w:val="00EF2AC7"/>
    <w:rsid w:val="00EF400A"/>
    <w:rsid w:val="00EF6BE4"/>
    <w:rsid w:val="00EF6E5D"/>
    <w:rsid w:val="00F02B61"/>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3BE2"/>
    <w:rsid w:val="00F55684"/>
    <w:rsid w:val="00F64D5A"/>
    <w:rsid w:val="00F675FB"/>
    <w:rsid w:val="00F709CD"/>
    <w:rsid w:val="00F906F4"/>
    <w:rsid w:val="00FA0716"/>
    <w:rsid w:val="00FA57A0"/>
    <w:rsid w:val="00FB4629"/>
    <w:rsid w:val="00FB6FB1"/>
    <w:rsid w:val="00FB7063"/>
    <w:rsid w:val="00FC302F"/>
    <w:rsid w:val="00FC3C8D"/>
    <w:rsid w:val="00FC5FA1"/>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41FBFDEF"/>
    <w:rsid w:val="510454D8"/>
    <w:rsid w:val="521E120A"/>
    <w:rsid w:val="59790E48"/>
    <w:rsid w:val="5D8505AD"/>
    <w:rsid w:val="71443FBB"/>
    <w:rsid w:val="71726E86"/>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04-documentos-tipo-de-licitacion-de-obra-publica-para-proyectos-de-infraestructura-socia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F23FA42-8484-4F94-A913-9B2D0CB3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3565</Words>
  <Characters>19612</Characters>
  <Application>Microsoft Office Word</Application>
  <DocSecurity>0</DocSecurity>
  <Lines>163</Lines>
  <Paragraphs>46</Paragraphs>
  <ScaleCrop>false</ScaleCrop>
  <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4</cp:revision>
  <dcterms:created xsi:type="dcterms:W3CDTF">2024-08-23T15:57:00Z</dcterms:created>
  <dcterms:modified xsi:type="dcterms:W3CDTF">2024-08-27T23:46:00Z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