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29F09" w14:textId="77777777" w:rsidR="005565E4" w:rsidRPr="005565E4" w:rsidRDefault="005565E4" w:rsidP="005565E4">
      <w:pPr>
        <w:spacing w:after="0" w:line="240" w:lineRule="auto"/>
        <w:jc w:val="both"/>
        <w:rPr>
          <w:rFonts w:ascii="Verdana" w:eastAsia="Geomanist Light" w:hAnsi="Verdana" w:cs="Arial"/>
          <w:b/>
          <w:bCs/>
          <w:color w:val="000000" w:themeColor="text1"/>
          <w:lang w:val="es-MX"/>
        </w:rPr>
      </w:pPr>
      <w:r w:rsidRPr="005565E4">
        <w:rPr>
          <w:rFonts w:ascii="Verdana" w:eastAsia="Geomanist Light" w:hAnsi="Verdana" w:cs="Arial"/>
          <w:b/>
          <w:bCs/>
          <w:color w:val="000000" w:themeColor="text1"/>
          <w:lang w:val="es-MX"/>
        </w:rPr>
        <w:t>CONSORCIOS Y UNIONES TEMPORALES – Constitución</w:t>
      </w:r>
    </w:p>
    <w:p w14:paraId="5D4BD151" w14:textId="77777777" w:rsidR="005565E4" w:rsidRPr="005565E4" w:rsidRDefault="005565E4" w:rsidP="005565E4">
      <w:pPr>
        <w:spacing w:after="0" w:line="240" w:lineRule="auto"/>
        <w:jc w:val="both"/>
        <w:rPr>
          <w:rFonts w:ascii="Verdana" w:eastAsia="Geomanist Light" w:hAnsi="Verdana" w:cs="Arial"/>
          <w:color w:val="000000" w:themeColor="text1"/>
          <w:lang w:val="es-MX"/>
        </w:rPr>
      </w:pPr>
    </w:p>
    <w:p w14:paraId="40AA0158" w14:textId="77777777" w:rsidR="005565E4" w:rsidRPr="005565E4" w:rsidRDefault="005565E4" w:rsidP="005565E4">
      <w:pPr>
        <w:spacing w:after="0" w:line="240" w:lineRule="auto"/>
        <w:jc w:val="both"/>
        <w:rPr>
          <w:rFonts w:ascii="Verdana" w:eastAsia="Geomanist Light" w:hAnsi="Verdana" w:cs="Arial"/>
          <w:color w:val="000000" w:themeColor="text1"/>
          <w:sz w:val="20"/>
          <w:szCs w:val="20"/>
          <w:lang w:val="es-MX"/>
        </w:rPr>
      </w:pPr>
      <w:r w:rsidRPr="005565E4">
        <w:rPr>
          <w:rFonts w:ascii="Verdana" w:eastAsia="Geomanist Light" w:hAnsi="Verdana" w:cs="Arial"/>
          <w:color w:val="000000" w:themeColor="text1"/>
          <w:sz w:val="20"/>
          <w:szCs w:val="20"/>
          <w:lang w:val="es-MX"/>
        </w:rPr>
        <w:t>[…] 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uno o varios contratos estatales, dependerá de dos aspectos: (i) que los integrantes de la estructural plural adopten la decisión conjunta de presentar una misma propuesta al proceso de selección, y (ii) que el objeto del consorcio o unión temporal se encuentre alineado con las actividades a desarrollar en un determinado proceso, de manera que les permita ejecutar el respectivo contrato.</w:t>
      </w:r>
    </w:p>
    <w:p w14:paraId="55025C8B" w14:textId="77777777" w:rsidR="005565E4" w:rsidRPr="005565E4" w:rsidRDefault="005565E4" w:rsidP="005565E4">
      <w:pPr>
        <w:spacing w:after="0" w:line="240" w:lineRule="auto"/>
        <w:jc w:val="both"/>
        <w:rPr>
          <w:rFonts w:ascii="Verdana" w:eastAsia="Geomanist Light" w:hAnsi="Verdana" w:cs="Arial"/>
          <w:color w:val="000000" w:themeColor="text1"/>
          <w:sz w:val="20"/>
          <w:szCs w:val="20"/>
          <w:lang w:val="es-MX"/>
        </w:rPr>
      </w:pPr>
    </w:p>
    <w:p w14:paraId="280C75CF" w14:textId="56A51696" w:rsidR="006639D2" w:rsidRPr="005565E4" w:rsidRDefault="005565E4" w:rsidP="005565E4">
      <w:pPr>
        <w:spacing w:after="0" w:line="240" w:lineRule="auto"/>
        <w:jc w:val="both"/>
        <w:rPr>
          <w:rFonts w:ascii="Verdana" w:eastAsia="Geomanist Light" w:hAnsi="Verdana" w:cs="Arial"/>
          <w:color w:val="000000" w:themeColor="text1"/>
          <w:sz w:val="20"/>
          <w:szCs w:val="20"/>
          <w:lang w:val="es-MX"/>
        </w:rPr>
      </w:pPr>
      <w:r w:rsidRPr="005565E4">
        <w:rPr>
          <w:rFonts w:ascii="Verdana" w:eastAsia="Geomanist Light" w:hAnsi="Verdana" w:cs="Arial"/>
          <w:color w:val="000000" w:themeColor="text1"/>
          <w:sz w:val="20"/>
          <w:szCs w:val="20"/>
          <w:lang w:val="es-MX"/>
        </w:rPr>
        <w:t>En este sentido, las estructuras plurales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uno o varios contratos estatales,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p>
    <w:p w14:paraId="5CF40068" w14:textId="77777777" w:rsidR="00504362" w:rsidRDefault="00504362" w:rsidP="006639D2">
      <w:pPr>
        <w:spacing w:after="0" w:line="240" w:lineRule="auto"/>
        <w:rPr>
          <w:rFonts w:ascii="Verdana" w:eastAsia="Geomanist Light" w:hAnsi="Verdana" w:cs="Arial"/>
          <w:color w:val="000000" w:themeColor="text1"/>
        </w:rPr>
      </w:pPr>
    </w:p>
    <w:p w14:paraId="512D02E4" w14:textId="77777777" w:rsidR="00504362" w:rsidRDefault="00504362" w:rsidP="006639D2">
      <w:pPr>
        <w:spacing w:after="0" w:line="240" w:lineRule="auto"/>
        <w:rPr>
          <w:rFonts w:ascii="Verdana" w:eastAsia="Geomanist Light" w:hAnsi="Verdana" w:cs="Arial"/>
          <w:color w:val="000000" w:themeColor="text1"/>
        </w:rPr>
      </w:pPr>
    </w:p>
    <w:p w14:paraId="0234F75D" w14:textId="77777777" w:rsidR="0067684E" w:rsidRPr="0067684E" w:rsidRDefault="0067684E" w:rsidP="0067684E">
      <w:pPr>
        <w:spacing w:after="0" w:line="240" w:lineRule="auto"/>
        <w:jc w:val="both"/>
        <w:rPr>
          <w:rFonts w:ascii="Verdana" w:eastAsia="Geomanist Light" w:hAnsi="Verdana" w:cs="Arial"/>
          <w:color w:val="000000" w:themeColor="text1"/>
        </w:rPr>
      </w:pPr>
      <w:r w:rsidRPr="0067684E">
        <w:rPr>
          <w:rFonts w:ascii="Verdana" w:eastAsia="Geomanist Light" w:hAnsi="Verdana" w:cs="Arial"/>
          <w:b/>
          <w:bCs/>
          <w:color w:val="000000" w:themeColor="text1"/>
        </w:rPr>
        <w:t>CONSORCIOS Y UNIONES TEMPORALES – Múltiples ofertas</w:t>
      </w:r>
    </w:p>
    <w:p w14:paraId="45025532" w14:textId="77777777" w:rsidR="0067684E" w:rsidRPr="0067684E" w:rsidRDefault="0067684E" w:rsidP="0067684E">
      <w:pPr>
        <w:spacing w:after="0" w:line="240" w:lineRule="auto"/>
        <w:jc w:val="both"/>
        <w:rPr>
          <w:rFonts w:ascii="Verdana" w:eastAsia="Geomanist Light" w:hAnsi="Verdana" w:cs="Arial"/>
          <w:color w:val="000000" w:themeColor="text1"/>
        </w:rPr>
      </w:pPr>
      <w:r w:rsidRPr="0067684E">
        <w:rPr>
          <w:rFonts w:ascii="Verdana" w:eastAsia="Geomanist Light" w:hAnsi="Verdana" w:cs="Arial"/>
          <w:b/>
          <w:bCs/>
          <w:color w:val="000000" w:themeColor="text1"/>
        </w:rPr>
        <w:t> </w:t>
      </w:r>
    </w:p>
    <w:p w14:paraId="058B31AB" w14:textId="77777777" w:rsidR="0067684E" w:rsidRPr="0067684E" w:rsidRDefault="0067684E" w:rsidP="0067684E">
      <w:pPr>
        <w:spacing w:after="0" w:line="240" w:lineRule="auto"/>
        <w:jc w:val="both"/>
        <w:rPr>
          <w:rFonts w:ascii="Verdana" w:eastAsia="Geomanist Light" w:hAnsi="Verdana" w:cs="Arial"/>
          <w:color w:val="000000" w:themeColor="text1"/>
          <w:sz w:val="20"/>
          <w:szCs w:val="20"/>
        </w:rPr>
      </w:pPr>
      <w:r w:rsidRPr="0067684E">
        <w:rPr>
          <w:rFonts w:ascii="Verdana" w:eastAsia="Geomanist Light" w:hAnsi="Verdana" w:cs="Arial"/>
          <w:color w:val="000000" w:themeColor="text1"/>
          <w:sz w:val="20"/>
          <w:szCs w:val="20"/>
        </w:rPr>
        <w:t>Así, no existe impedimento o prohibición alguna que limite la actividad de los consorcios o uniones temporales a un solo contrato. En consecuencia, es jurídicamente viable que los proponentes plurales presenten propuestas para la adjudicación, celebración y ejecución de contratos con </w:t>
      </w:r>
      <w:r w:rsidRPr="0067684E">
        <w:rPr>
          <w:rFonts w:ascii="Verdana" w:eastAsia="Geomanist Light" w:hAnsi="Verdana" w:cs="Arial"/>
          <w:i/>
          <w:iCs/>
          <w:color w:val="000000" w:themeColor="text1"/>
          <w:sz w:val="20"/>
          <w:szCs w:val="20"/>
        </w:rPr>
        <w:t>una o varias</w:t>
      </w:r>
      <w:r w:rsidRPr="0067684E">
        <w:rPr>
          <w:rFonts w:ascii="Verdana" w:eastAsia="Geomanist Light" w:hAnsi="Verdana" w:cs="Arial"/>
          <w:color w:val="000000" w:themeColor="text1"/>
          <w:sz w:val="20"/>
          <w:szCs w:val="20"/>
        </w:rPr>
        <w:t> entidades estatales. En este orden, las ofertas serán analizadas de acuerdo con los criterios habilitantes y factores de evaluación del pliego de condiciones o documento equivalente, en el marco de las reglas previstas en el Estatuto General de Contratación de la Administración Pública, sus normas complementarias y los reglamentos respectivos.</w:t>
      </w:r>
    </w:p>
    <w:p w14:paraId="6D9A55A6" w14:textId="77777777" w:rsidR="00504362" w:rsidRDefault="00504362" w:rsidP="006639D2">
      <w:pPr>
        <w:spacing w:after="0" w:line="240" w:lineRule="auto"/>
        <w:rPr>
          <w:rFonts w:ascii="Verdana" w:eastAsia="Geomanist Light" w:hAnsi="Verdana" w:cs="Arial"/>
          <w:color w:val="000000" w:themeColor="text1"/>
        </w:rPr>
      </w:pPr>
    </w:p>
    <w:p w14:paraId="7EEE428B" w14:textId="77777777" w:rsidR="00504362" w:rsidRDefault="00504362" w:rsidP="006639D2">
      <w:pPr>
        <w:spacing w:after="0" w:line="240" w:lineRule="auto"/>
        <w:rPr>
          <w:rFonts w:ascii="Verdana" w:eastAsia="Geomanist Light" w:hAnsi="Verdana" w:cs="Arial"/>
          <w:color w:val="000000" w:themeColor="text1"/>
        </w:rPr>
      </w:pPr>
    </w:p>
    <w:p w14:paraId="61D500D9" w14:textId="0B9D7FF3" w:rsidR="00BC07C0" w:rsidRPr="00BC07C0" w:rsidRDefault="00BC07C0" w:rsidP="00BC07C0">
      <w:pPr>
        <w:spacing w:after="0" w:line="240" w:lineRule="auto"/>
        <w:rPr>
          <w:rFonts w:ascii="Verdana" w:eastAsia="Geomanist Light" w:hAnsi="Verdana" w:cs="Arial"/>
          <w:color w:val="000000" w:themeColor="text1"/>
        </w:rPr>
      </w:pPr>
      <w:r w:rsidRPr="00BC07C0">
        <w:rPr>
          <w:rFonts w:ascii="Verdana" w:eastAsia="Geomanist Light" w:hAnsi="Verdana" w:cs="Arial"/>
          <w:b/>
          <w:bCs/>
          <w:color w:val="000000" w:themeColor="text1"/>
        </w:rPr>
        <w:t xml:space="preserve">CONSORCIOS Y UNIONES TEMPORALES – </w:t>
      </w:r>
      <w:r w:rsidR="003D3057" w:rsidRPr="003D3057">
        <w:rPr>
          <w:rFonts w:ascii="Verdana" w:eastAsia="Calibri" w:hAnsi="Verdana" w:cs="Arial"/>
          <w:b/>
          <w:bCs/>
          <w:color w:val="000000" w:themeColor="text1"/>
          <w:lang w:val="es-ES" w:eastAsia="es-ES"/>
        </w:rPr>
        <w:t>Régimen aplicable</w:t>
      </w:r>
      <w:r w:rsidR="003D3057">
        <w:rPr>
          <w:rFonts w:ascii="Verdana" w:eastAsia="Calibri" w:hAnsi="Verdana" w:cs="Arial"/>
          <w:color w:val="000000" w:themeColor="text1"/>
          <w:lang w:val="es-ES" w:eastAsia="es-ES"/>
        </w:rPr>
        <w:t xml:space="preserve"> </w:t>
      </w:r>
    </w:p>
    <w:p w14:paraId="438E6A96" w14:textId="77777777" w:rsidR="00BC07C0" w:rsidRPr="00BC07C0" w:rsidRDefault="00BC07C0" w:rsidP="00BC07C0">
      <w:pPr>
        <w:spacing w:after="0" w:line="240" w:lineRule="auto"/>
        <w:rPr>
          <w:rFonts w:ascii="Verdana" w:eastAsia="Geomanist Light" w:hAnsi="Verdana" w:cs="Arial"/>
          <w:color w:val="000000" w:themeColor="text1"/>
        </w:rPr>
      </w:pPr>
      <w:r w:rsidRPr="00BC07C0">
        <w:rPr>
          <w:rFonts w:ascii="Verdana" w:eastAsia="Geomanist Light" w:hAnsi="Verdana" w:cs="Arial"/>
          <w:b/>
          <w:bCs/>
          <w:color w:val="000000" w:themeColor="text1"/>
        </w:rPr>
        <w:t> </w:t>
      </w:r>
    </w:p>
    <w:p w14:paraId="499BC998" w14:textId="77777777" w:rsidR="00BC07C0" w:rsidRPr="00BC07C0" w:rsidRDefault="00BC07C0" w:rsidP="00BC07C0">
      <w:pPr>
        <w:spacing w:after="0" w:line="240" w:lineRule="auto"/>
        <w:jc w:val="both"/>
        <w:rPr>
          <w:rFonts w:ascii="Verdana" w:eastAsia="Geomanist Light" w:hAnsi="Verdana" w:cs="Arial"/>
          <w:color w:val="000000" w:themeColor="text1"/>
          <w:sz w:val="20"/>
          <w:szCs w:val="20"/>
        </w:rPr>
      </w:pPr>
      <w:r w:rsidRPr="00BC07C0">
        <w:rPr>
          <w:rFonts w:ascii="Verdana" w:eastAsia="Geomanist Light" w:hAnsi="Verdana" w:cs="Arial"/>
          <w:color w:val="000000" w:themeColor="text1"/>
          <w:sz w:val="20"/>
          <w:szCs w:val="20"/>
        </w:rPr>
        <w:t>Con respecto al segundo problema jurídico planteado, los consorcios y las uniones temporales son una creación de carácter convencional que se logra mediante un acuerdo de carácter privado en la que concurre la voluntad de los miembros. En este sentido, es viable que sus miembros acuerden modificar el nombre, el porcentaje de participación y su composición para presentar propuesta en un proceso de contratación […]</w:t>
      </w:r>
    </w:p>
    <w:p w14:paraId="7891A288" w14:textId="77777777" w:rsidR="00BC07C0" w:rsidRDefault="00BC07C0" w:rsidP="00BC07C0">
      <w:pPr>
        <w:spacing w:after="0" w:line="240" w:lineRule="auto"/>
        <w:jc w:val="both"/>
        <w:rPr>
          <w:rFonts w:ascii="Verdana" w:eastAsia="Geomanist Light" w:hAnsi="Verdana" w:cs="Arial"/>
          <w:color w:val="000000" w:themeColor="text1"/>
          <w:sz w:val="20"/>
          <w:szCs w:val="20"/>
        </w:rPr>
      </w:pPr>
      <w:r w:rsidRPr="00BC07C0">
        <w:rPr>
          <w:rFonts w:ascii="Verdana" w:eastAsia="Geomanist Light" w:hAnsi="Verdana" w:cs="Arial"/>
          <w:color w:val="000000" w:themeColor="text1"/>
          <w:sz w:val="20"/>
          <w:szCs w:val="20"/>
        </w:rPr>
        <w:lastRenderedPageBreak/>
        <w:t>Es claro que la modificación del porcentaje de participación de los miembros de un consorcio o unión temporal, o de su conformación, no cabe en el ámbito de la subsanabilidad de la propuesta, sino en el de modificación de la misma. Variar este tipo de condiciones del proponente plural, con posterioridad al cierre del proceso, no es asunto subsanable, pues implica la modificación o mejoramiento de la oferta, circunstancia prohibida por el numeral 8 del artículo 30 de la Ley 80 de 1993 y por el artículo 5 de la Ley 1882 de 2018 […]</w:t>
      </w:r>
    </w:p>
    <w:p w14:paraId="6C8FDFB9" w14:textId="77777777" w:rsidR="003D3057" w:rsidRPr="00BC07C0" w:rsidRDefault="003D3057" w:rsidP="00BC07C0">
      <w:pPr>
        <w:spacing w:after="0" w:line="240" w:lineRule="auto"/>
        <w:jc w:val="both"/>
        <w:rPr>
          <w:rFonts w:ascii="Verdana" w:eastAsia="Geomanist Light" w:hAnsi="Verdana" w:cs="Arial"/>
          <w:color w:val="000000" w:themeColor="text1"/>
          <w:sz w:val="20"/>
          <w:szCs w:val="20"/>
        </w:rPr>
      </w:pPr>
    </w:p>
    <w:p w14:paraId="06154534" w14:textId="77777777" w:rsidR="00BC07C0" w:rsidRPr="00BC07C0" w:rsidRDefault="00BC07C0" w:rsidP="00BC07C0">
      <w:pPr>
        <w:spacing w:after="0" w:line="240" w:lineRule="auto"/>
        <w:jc w:val="both"/>
        <w:rPr>
          <w:rFonts w:ascii="Verdana" w:eastAsia="Geomanist Light" w:hAnsi="Verdana" w:cs="Arial"/>
          <w:color w:val="000000" w:themeColor="text1"/>
          <w:sz w:val="20"/>
          <w:szCs w:val="20"/>
        </w:rPr>
      </w:pPr>
      <w:r w:rsidRPr="00BC07C0">
        <w:rPr>
          <w:rFonts w:ascii="Verdana" w:eastAsia="Geomanist Light" w:hAnsi="Verdana" w:cs="Arial"/>
          <w:color w:val="000000" w:themeColor="text1"/>
          <w:sz w:val="20"/>
          <w:szCs w:val="20"/>
        </w:rPr>
        <w:t>De esta manera, si el consorcio ha presentado una oferta en otro proceso que se encuentra en curso no podrá modificar la condiciones del proponente plural para presentarse a otro. Sin embargo, una vez finalizado el proceso, siempre que no resulte adjudicatario, el consorcio podrá modificar condiciones como el nombre, el porcentaje de participación o los integrantes para presentar oferta en un proceso de contratación distinto. De cualquier manera, es importante analizar las normas específicas de cada proceso de contratación y las restricciones que puedan aplicar en términos de integridad, conflicto de interés o competencia desleal. Estas disposiciones pueden variar según la entidad contratante y el tipo de proceso contractual al cual se presente propuesta como proponente plural.</w:t>
      </w:r>
    </w:p>
    <w:p w14:paraId="474B7681" w14:textId="77777777" w:rsidR="00504362" w:rsidRDefault="00504362" w:rsidP="006639D2">
      <w:pPr>
        <w:spacing w:after="0" w:line="240" w:lineRule="auto"/>
        <w:rPr>
          <w:rFonts w:ascii="Verdana" w:eastAsia="Geomanist Light" w:hAnsi="Verdana" w:cs="Arial"/>
          <w:color w:val="000000" w:themeColor="text1"/>
        </w:rPr>
      </w:pPr>
    </w:p>
    <w:p w14:paraId="7785C180" w14:textId="77777777" w:rsidR="00504362" w:rsidRDefault="00504362" w:rsidP="006639D2">
      <w:pPr>
        <w:spacing w:after="0" w:line="240" w:lineRule="auto"/>
        <w:rPr>
          <w:rFonts w:ascii="Verdana" w:eastAsia="Geomanist Light" w:hAnsi="Verdana" w:cs="Arial"/>
          <w:color w:val="000000" w:themeColor="text1"/>
        </w:rPr>
      </w:pPr>
    </w:p>
    <w:p w14:paraId="4F8D93D6" w14:textId="77777777" w:rsidR="00504362" w:rsidRDefault="00504362" w:rsidP="006639D2">
      <w:pPr>
        <w:spacing w:after="0" w:line="240" w:lineRule="auto"/>
        <w:rPr>
          <w:rFonts w:ascii="Verdana" w:eastAsia="Geomanist Light" w:hAnsi="Verdana" w:cs="Arial"/>
          <w:color w:val="000000" w:themeColor="text1"/>
        </w:rPr>
      </w:pPr>
    </w:p>
    <w:p w14:paraId="4C37249F" w14:textId="77777777" w:rsidR="00504362" w:rsidRDefault="00504362" w:rsidP="006639D2">
      <w:pPr>
        <w:spacing w:after="0" w:line="240" w:lineRule="auto"/>
        <w:rPr>
          <w:rFonts w:ascii="Verdana" w:eastAsia="Geomanist Light" w:hAnsi="Verdana" w:cs="Arial"/>
          <w:color w:val="000000" w:themeColor="text1"/>
        </w:rPr>
      </w:pPr>
    </w:p>
    <w:p w14:paraId="329CD5A9" w14:textId="77777777" w:rsidR="00BC07C0" w:rsidRDefault="00BC07C0" w:rsidP="006639D2">
      <w:pPr>
        <w:spacing w:after="0" w:line="240" w:lineRule="auto"/>
        <w:rPr>
          <w:rFonts w:ascii="Verdana" w:eastAsia="Geomanist Light" w:hAnsi="Verdana" w:cs="Arial"/>
          <w:color w:val="000000" w:themeColor="text1"/>
        </w:rPr>
      </w:pPr>
    </w:p>
    <w:p w14:paraId="101E127A" w14:textId="77777777" w:rsidR="00BC07C0" w:rsidRDefault="00BC07C0" w:rsidP="006639D2">
      <w:pPr>
        <w:spacing w:after="0" w:line="240" w:lineRule="auto"/>
        <w:rPr>
          <w:rFonts w:ascii="Verdana" w:eastAsia="Geomanist Light" w:hAnsi="Verdana" w:cs="Arial"/>
          <w:color w:val="000000" w:themeColor="text1"/>
        </w:rPr>
      </w:pPr>
    </w:p>
    <w:p w14:paraId="59B6DC35" w14:textId="77777777" w:rsidR="00BC07C0" w:rsidRDefault="00BC07C0" w:rsidP="006639D2">
      <w:pPr>
        <w:spacing w:after="0" w:line="240" w:lineRule="auto"/>
        <w:rPr>
          <w:rFonts w:ascii="Verdana" w:eastAsia="Geomanist Light" w:hAnsi="Verdana" w:cs="Arial"/>
          <w:color w:val="000000" w:themeColor="text1"/>
        </w:rPr>
      </w:pPr>
    </w:p>
    <w:p w14:paraId="2011BF1D" w14:textId="77777777" w:rsidR="00BC07C0" w:rsidRDefault="00BC07C0" w:rsidP="006639D2">
      <w:pPr>
        <w:spacing w:after="0" w:line="240" w:lineRule="auto"/>
        <w:rPr>
          <w:rFonts w:ascii="Verdana" w:eastAsia="Geomanist Light" w:hAnsi="Verdana" w:cs="Arial"/>
          <w:color w:val="000000" w:themeColor="text1"/>
        </w:rPr>
      </w:pPr>
    </w:p>
    <w:p w14:paraId="42124B17" w14:textId="77777777" w:rsidR="00BC07C0" w:rsidRDefault="00BC07C0" w:rsidP="006639D2">
      <w:pPr>
        <w:spacing w:after="0" w:line="240" w:lineRule="auto"/>
        <w:rPr>
          <w:rFonts w:ascii="Verdana" w:eastAsia="Geomanist Light" w:hAnsi="Verdana" w:cs="Arial"/>
          <w:color w:val="000000" w:themeColor="text1"/>
        </w:rPr>
      </w:pPr>
    </w:p>
    <w:p w14:paraId="2EEA7288" w14:textId="77777777" w:rsidR="00BC07C0" w:rsidRDefault="00BC07C0" w:rsidP="006639D2">
      <w:pPr>
        <w:spacing w:after="0" w:line="240" w:lineRule="auto"/>
        <w:rPr>
          <w:rFonts w:ascii="Verdana" w:eastAsia="Geomanist Light" w:hAnsi="Verdana" w:cs="Arial"/>
          <w:color w:val="000000" w:themeColor="text1"/>
        </w:rPr>
      </w:pPr>
    </w:p>
    <w:p w14:paraId="5D118B9D" w14:textId="77777777" w:rsidR="00BC07C0" w:rsidRDefault="00BC07C0" w:rsidP="006639D2">
      <w:pPr>
        <w:spacing w:after="0" w:line="240" w:lineRule="auto"/>
        <w:rPr>
          <w:rFonts w:ascii="Verdana" w:eastAsia="Geomanist Light" w:hAnsi="Verdana" w:cs="Arial"/>
          <w:color w:val="000000" w:themeColor="text1"/>
        </w:rPr>
      </w:pPr>
    </w:p>
    <w:p w14:paraId="18DC681E" w14:textId="77777777" w:rsidR="00BC07C0" w:rsidRDefault="00BC07C0" w:rsidP="006639D2">
      <w:pPr>
        <w:spacing w:after="0" w:line="240" w:lineRule="auto"/>
        <w:rPr>
          <w:rFonts w:ascii="Verdana" w:eastAsia="Geomanist Light" w:hAnsi="Verdana" w:cs="Arial"/>
          <w:color w:val="000000" w:themeColor="text1"/>
        </w:rPr>
      </w:pPr>
    </w:p>
    <w:p w14:paraId="57AC97BB" w14:textId="77777777" w:rsidR="00BC07C0" w:rsidRDefault="00BC07C0" w:rsidP="006639D2">
      <w:pPr>
        <w:spacing w:after="0" w:line="240" w:lineRule="auto"/>
        <w:rPr>
          <w:rFonts w:ascii="Verdana" w:eastAsia="Geomanist Light" w:hAnsi="Verdana" w:cs="Arial"/>
          <w:color w:val="000000" w:themeColor="text1"/>
        </w:rPr>
      </w:pPr>
    </w:p>
    <w:p w14:paraId="75B088E0" w14:textId="77777777" w:rsidR="00BC07C0" w:rsidRDefault="00BC07C0" w:rsidP="006639D2">
      <w:pPr>
        <w:spacing w:after="0" w:line="240" w:lineRule="auto"/>
        <w:rPr>
          <w:rFonts w:ascii="Verdana" w:eastAsia="Geomanist Light" w:hAnsi="Verdana" w:cs="Arial"/>
          <w:color w:val="000000" w:themeColor="text1"/>
        </w:rPr>
      </w:pPr>
    </w:p>
    <w:p w14:paraId="1526DC17" w14:textId="77777777" w:rsidR="00BC07C0" w:rsidRDefault="00BC07C0" w:rsidP="006639D2">
      <w:pPr>
        <w:spacing w:after="0" w:line="240" w:lineRule="auto"/>
        <w:rPr>
          <w:rFonts w:ascii="Verdana" w:eastAsia="Geomanist Light" w:hAnsi="Verdana" w:cs="Arial"/>
          <w:color w:val="000000" w:themeColor="text1"/>
        </w:rPr>
      </w:pPr>
    </w:p>
    <w:p w14:paraId="45B34756" w14:textId="77777777" w:rsidR="00BC07C0" w:rsidRDefault="00BC07C0" w:rsidP="006639D2">
      <w:pPr>
        <w:spacing w:after="0" w:line="240" w:lineRule="auto"/>
        <w:rPr>
          <w:rFonts w:ascii="Verdana" w:eastAsia="Geomanist Light" w:hAnsi="Verdana" w:cs="Arial"/>
          <w:color w:val="000000" w:themeColor="text1"/>
        </w:rPr>
      </w:pPr>
    </w:p>
    <w:p w14:paraId="521B9105" w14:textId="77777777" w:rsidR="00BC07C0" w:rsidRDefault="00BC07C0" w:rsidP="006639D2">
      <w:pPr>
        <w:spacing w:after="0" w:line="240" w:lineRule="auto"/>
        <w:rPr>
          <w:rFonts w:ascii="Verdana" w:eastAsia="Geomanist Light" w:hAnsi="Verdana" w:cs="Arial"/>
          <w:color w:val="000000" w:themeColor="text1"/>
        </w:rPr>
      </w:pPr>
    </w:p>
    <w:p w14:paraId="72CC603B" w14:textId="77777777" w:rsidR="00BC07C0" w:rsidRDefault="00BC07C0" w:rsidP="006639D2">
      <w:pPr>
        <w:spacing w:after="0" w:line="240" w:lineRule="auto"/>
        <w:rPr>
          <w:rFonts w:ascii="Verdana" w:eastAsia="Geomanist Light" w:hAnsi="Verdana" w:cs="Arial"/>
          <w:color w:val="000000" w:themeColor="text1"/>
        </w:rPr>
      </w:pPr>
    </w:p>
    <w:p w14:paraId="50C98E6A" w14:textId="77777777" w:rsidR="00BC07C0" w:rsidRDefault="00BC07C0" w:rsidP="006639D2">
      <w:pPr>
        <w:spacing w:after="0" w:line="240" w:lineRule="auto"/>
        <w:rPr>
          <w:rFonts w:ascii="Verdana" w:eastAsia="Geomanist Light" w:hAnsi="Verdana" w:cs="Arial"/>
          <w:color w:val="000000" w:themeColor="text1"/>
        </w:rPr>
      </w:pPr>
    </w:p>
    <w:p w14:paraId="65B71B71" w14:textId="77777777" w:rsidR="00BC07C0" w:rsidRDefault="00BC07C0" w:rsidP="006639D2">
      <w:pPr>
        <w:spacing w:after="0" w:line="240" w:lineRule="auto"/>
        <w:rPr>
          <w:rFonts w:ascii="Verdana" w:eastAsia="Geomanist Light" w:hAnsi="Verdana" w:cs="Arial"/>
          <w:color w:val="000000" w:themeColor="text1"/>
        </w:rPr>
      </w:pPr>
    </w:p>
    <w:p w14:paraId="1629808A" w14:textId="77777777" w:rsidR="00BC07C0" w:rsidRDefault="00BC07C0" w:rsidP="006639D2">
      <w:pPr>
        <w:spacing w:after="0" w:line="240" w:lineRule="auto"/>
        <w:rPr>
          <w:rFonts w:ascii="Verdana" w:eastAsia="Geomanist Light" w:hAnsi="Verdana" w:cs="Arial"/>
          <w:color w:val="000000" w:themeColor="text1"/>
        </w:rPr>
      </w:pPr>
    </w:p>
    <w:p w14:paraId="76AB793A" w14:textId="77777777" w:rsidR="00BC07C0" w:rsidRDefault="00BC07C0" w:rsidP="006639D2">
      <w:pPr>
        <w:spacing w:after="0" w:line="240" w:lineRule="auto"/>
        <w:rPr>
          <w:rFonts w:ascii="Verdana" w:eastAsia="Geomanist Light" w:hAnsi="Verdana" w:cs="Arial"/>
          <w:color w:val="000000" w:themeColor="text1"/>
        </w:rPr>
      </w:pPr>
    </w:p>
    <w:p w14:paraId="34051652" w14:textId="77777777" w:rsidR="00BC07C0" w:rsidRDefault="00BC07C0" w:rsidP="006639D2">
      <w:pPr>
        <w:spacing w:after="0" w:line="240" w:lineRule="auto"/>
        <w:rPr>
          <w:rFonts w:ascii="Verdana" w:eastAsia="Geomanist Light" w:hAnsi="Verdana" w:cs="Arial"/>
          <w:color w:val="000000" w:themeColor="text1"/>
        </w:rPr>
      </w:pPr>
    </w:p>
    <w:p w14:paraId="3156136E" w14:textId="77777777" w:rsidR="00BC07C0" w:rsidRDefault="00BC07C0" w:rsidP="006639D2">
      <w:pPr>
        <w:spacing w:after="0" w:line="240" w:lineRule="auto"/>
        <w:rPr>
          <w:rFonts w:ascii="Verdana" w:eastAsia="Geomanist Light" w:hAnsi="Verdana" w:cs="Arial"/>
          <w:color w:val="000000" w:themeColor="text1"/>
        </w:rPr>
      </w:pPr>
    </w:p>
    <w:p w14:paraId="0E9E2584" w14:textId="77777777" w:rsidR="00BC07C0" w:rsidRDefault="00BC07C0" w:rsidP="006639D2">
      <w:pPr>
        <w:spacing w:after="0" w:line="240" w:lineRule="auto"/>
        <w:rPr>
          <w:rFonts w:ascii="Verdana" w:eastAsia="Geomanist Light" w:hAnsi="Verdana" w:cs="Arial"/>
          <w:color w:val="000000" w:themeColor="text1"/>
        </w:rPr>
      </w:pPr>
    </w:p>
    <w:p w14:paraId="1D94160D" w14:textId="77777777" w:rsidR="00BC07C0" w:rsidRDefault="00BC07C0" w:rsidP="006639D2">
      <w:pPr>
        <w:spacing w:after="0" w:line="240" w:lineRule="auto"/>
        <w:rPr>
          <w:rFonts w:ascii="Verdana" w:eastAsia="Geomanist Light" w:hAnsi="Verdana" w:cs="Arial"/>
          <w:color w:val="000000" w:themeColor="text1"/>
        </w:rPr>
      </w:pPr>
    </w:p>
    <w:p w14:paraId="1548B649" w14:textId="77777777" w:rsidR="00BC07C0" w:rsidRDefault="00BC07C0" w:rsidP="006639D2">
      <w:pPr>
        <w:spacing w:after="0" w:line="240" w:lineRule="auto"/>
        <w:rPr>
          <w:rFonts w:ascii="Verdana" w:eastAsia="Geomanist Light" w:hAnsi="Verdana" w:cs="Arial"/>
          <w:color w:val="000000" w:themeColor="text1"/>
        </w:rPr>
      </w:pPr>
    </w:p>
    <w:p w14:paraId="011055B4" w14:textId="570A7029" w:rsidR="006639D2" w:rsidRDefault="00504362" w:rsidP="006639D2">
      <w:pPr>
        <w:spacing w:after="0" w:line="240" w:lineRule="auto"/>
        <w:rPr>
          <w:rFonts w:ascii="Verdana" w:eastAsia="Geomanist Light" w:hAnsi="Verdana" w:cs="Arial"/>
          <w:color w:val="000000" w:themeColor="text1"/>
        </w:rPr>
      </w:pPr>
      <w:r w:rsidRPr="00504362">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211632F8" wp14:editId="05746715">
            <wp:simplePos x="0" y="0"/>
            <wp:positionH relativeFrom="column">
              <wp:posOffset>2664460</wp:posOffset>
            </wp:positionH>
            <wp:positionV relativeFrom="paragraph">
              <wp:posOffset>125095</wp:posOffset>
            </wp:positionV>
            <wp:extent cx="3045460" cy="944880"/>
            <wp:effectExtent l="0" t="0" r="2540" b="7620"/>
            <wp:wrapTight wrapText="bothSides">
              <wp:wrapPolygon edited="0">
                <wp:start x="0" y="0"/>
                <wp:lineTo x="0" y="21339"/>
                <wp:lineTo x="21483" y="21339"/>
                <wp:lineTo x="21483" y="0"/>
                <wp:lineTo x="0" y="0"/>
              </wp:wrapPolygon>
            </wp:wrapTight>
            <wp:docPr id="14744827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8275" name="Imagen 1" descr="Texto&#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3045460" cy="944880"/>
                    </a:xfrm>
                    <a:prstGeom prst="rect">
                      <a:avLst/>
                    </a:prstGeom>
                  </pic:spPr>
                </pic:pic>
              </a:graphicData>
            </a:graphic>
            <wp14:sizeRelH relativeFrom="margin">
              <wp14:pctWidth>0</wp14:pctWidth>
            </wp14:sizeRelH>
            <wp14:sizeRelV relativeFrom="margin">
              <wp14:pctHeight>0</wp14:pctHeight>
            </wp14:sizeRelV>
          </wp:anchor>
        </w:drawing>
      </w:r>
      <w:r w:rsidRPr="00504362">
        <w:rPr>
          <w:rFonts w:ascii="Verdana" w:eastAsia="Geomanist Light" w:hAnsi="Verdana" w:cs="Arial"/>
          <w:color w:val="000000" w:themeColor="text1"/>
        </w:rPr>
        <w:t>Bogotá D.C., 09 de abril de 2025</w:t>
      </w:r>
    </w:p>
    <w:p w14:paraId="5AF9BB9B" w14:textId="47B06032" w:rsidR="00504362" w:rsidRPr="00115E3D" w:rsidRDefault="00504362" w:rsidP="006639D2">
      <w:pPr>
        <w:spacing w:after="0" w:line="240" w:lineRule="auto"/>
        <w:rPr>
          <w:rFonts w:ascii="Verdana" w:eastAsia="Geomanist Light" w:hAnsi="Verdana" w:cs="Arial"/>
          <w:color w:val="000000" w:themeColor="text1"/>
          <w:lang w:val="es-MX"/>
        </w:rPr>
      </w:pPr>
    </w:p>
    <w:p w14:paraId="6AB48326" w14:textId="7CAAF1A0" w:rsidR="006639D2" w:rsidRDefault="006639D2" w:rsidP="006639D2">
      <w:pPr>
        <w:spacing w:after="0" w:line="240" w:lineRule="auto"/>
        <w:jc w:val="both"/>
        <w:rPr>
          <w:rFonts w:ascii="Verdana" w:eastAsia="Calibri" w:hAnsi="Verdana" w:cs="Arial"/>
          <w:color w:val="000000" w:themeColor="text1"/>
          <w:lang w:val="es-ES"/>
        </w:rPr>
      </w:pPr>
    </w:p>
    <w:p w14:paraId="218D8C5C" w14:textId="77777777" w:rsidR="00504362" w:rsidRDefault="00504362" w:rsidP="006639D2">
      <w:pPr>
        <w:spacing w:after="0" w:line="240" w:lineRule="auto"/>
        <w:jc w:val="both"/>
        <w:rPr>
          <w:rFonts w:ascii="Verdana" w:eastAsia="Calibri" w:hAnsi="Verdana" w:cs="Arial"/>
          <w:color w:val="000000" w:themeColor="text1"/>
          <w:lang w:val="es-ES"/>
        </w:rPr>
      </w:pPr>
    </w:p>
    <w:p w14:paraId="2FB515B8" w14:textId="77777777" w:rsidR="00504362" w:rsidRPr="00115E3D" w:rsidRDefault="00504362" w:rsidP="006639D2">
      <w:pPr>
        <w:spacing w:after="0" w:line="240" w:lineRule="auto"/>
        <w:jc w:val="both"/>
        <w:rPr>
          <w:rFonts w:ascii="Verdana" w:eastAsia="Calibri" w:hAnsi="Verdana" w:cs="Arial"/>
          <w:color w:val="000000" w:themeColor="text1"/>
          <w:lang w:val="es-ES"/>
        </w:rPr>
      </w:pPr>
    </w:p>
    <w:p w14:paraId="2A1841D1" w14:textId="77777777" w:rsidR="006639D2" w:rsidRPr="00115E3D" w:rsidRDefault="006639D2" w:rsidP="006639D2">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7FA1BB46" w14:textId="77777777" w:rsidR="006639D2" w:rsidRPr="00115E3D" w:rsidRDefault="006639D2" w:rsidP="006639D2">
      <w:pPr>
        <w:spacing w:after="0" w:line="240" w:lineRule="auto"/>
        <w:rPr>
          <w:rFonts w:ascii="Verdana" w:eastAsia="Calibri" w:hAnsi="Verdana" w:cs="Arial"/>
          <w:b/>
          <w:color w:val="000000" w:themeColor="text1"/>
          <w:lang w:val="es-ES_tradnl" w:eastAsia="es-ES_tradnl"/>
        </w:rPr>
      </w:pPr>
      <w:r w:rsidRPr="00F77C6A">
        <w:rPr>
          <w:rFonts w:ascii="Verdana" w:eastAsia="Calibri" w:hAnsi="Verdana" w:cs="Arial"/>
          <w:b/>
          <w:color w:val="000000" w:themeColor="text1"/>
          <w:lang w:val="es-ES_tradnl" w:eastAsia="es-ES_tradnl"/>
        </w:rPr>
        <w:t>Sofia</w:t>
      </w:r>
      <w:r>
        <w:rPr>
          <w:rFonts w:ascii="Verdana" w:eastAsia="Calibri" w:hAnsi="Verdana" w:cs="Arial"/>
          <w:b/>
          <w:color w:val="000000" w:themeColor="text1"/>
          <w:lang w:val="es-ES_tradnl" w:eastAsia="es-ES_tradnl"/>
        </w:rPr>
        <w:t xml:space="preserve"> </w:t>
      </w:r>
      <w:r w:rsidRPr="00F77C6A">
        <w:rPr>
          <w:rFonts w:ascii="Verdana" w:eastAsia="Calibri" w:hAnsi="Verdana" w:cs="Arial"/>
          <w:b/>
          <w:color w:val="000000" w:themeColor="text1"/>
          <w:lang w:val="es-ES_tradnl" w:eastAsia="es-ES_tradnl"/>
        </w:rPr>
        <w:t>Entrena</w:t>
      </w:r>
    </w:p>
    <w:p w14:paraId="7A9A7026" w14:textId="77777777" w:rsidR="006639D2" w:rsidRDefault="006639D2" w:rsidP="006639D2">
      <w:pPr>
        <w:spacing w:after="0" w:line="240" w:lineRule="auto"/>
        <w:rPr>
          <w:rFonts w:ascii="Verdana" w:eastAsia="Calibri" w:hAnsi="Verdana" w:cs="Arial"/>
          <w:color w:val="000000" w:themeColor="text1"/>
          <w:u w:val="single"/>
          <w:lang w:eastAsia="es-ES"/>
        </w:rPr>
      </w:pPr>
      <w:hyperlink r:id="rId9" w:history="1">
        <w:r w:rsidRPr="00675FD5">
          <w:rPr>
            <w:rStyle w:val="Hipervnculo"/>
            <w:rFonts w:ascii="Verdana" w:eastAsia="Calibri" w:hAnsi="Verdana" w:cs="Arial"/>
            <w:lang w:eastAsia="es-ES"/>
          </w:rPr>
          <w:t>soelbavi16@gmail.com</w:t>
        </w:r>
      </w:hyperlink>
    </w:p>
    <w:p w14:paraId="11CD6E99" w14:textId="77777777" w:rsidR="006639D2" w:rsidRPr="00F77C6A" w:rsidRDefault="006639D2" w:rsidP="006639D2">
      <w:pPr>
        <w:spacing w:after="0" w:line="240" w:lineRule="auto"/>
        <w:rPr>
          <w:rFonts w:ascii="Verdana" w:eastAsia="Calibri" w:hAnsi="Verdana" w:cs="Arial"/>
          <w:b/>
          <w:bCs/>
          <w:color w:val="000000" w:themeColor="text1"/>
          <w:lang w:eastAsia="es-ES"/>
        </w:rPr>
      </w:pPr>
      <w:r>
        <w:rPr>
          <w:rFonts w:ascii="Verdana" w:eastAsia="Calibri" w:hAnsi="Verdana" w:cs="Arial"/>
          <w:color w:val="000000" w:themeColor="text1"/>
          <w:lang w:eastAsia="es-ES"/>
        </w:rPr>
        <w:t xml:space="preserve">Ciudad </w:t>
      </w:r>
    </w:p>
    <w:p w14:paraId="1118A2C0" w14:textId="77777777" w:rsidR="006639D2" w:rsidRPr="00F77C6A" w:rsidRDefault="006639D2" w:rsidP="006639D2">
      <w:pPr>
        <w:spacing w:after="0" w:line="240" w:lineRule="auto"/>
        <w:rPr>
          <w:rFonts w:ascii="Verdana" w:eastAsia="Calibri" w:hAnsi="Verdana" w:cs="Arial"/>
          <w:b/>
          <w:bCs/>
          <w:color w:val="000000" w:themeColor="text1"/>
          <w:lang w:eastAsia="es-ES_tradnl"/>
        </w:rPr>
      </w:pPr>
    </w:p>
    <w:p w14:paraId="792857F1" w14:textId="77777777" w:rsidR="006639D2" w:rsidRPr="00F77C6A" w:rsidRDefault="006639D2" w:rsidP="006639D2">
      <w:pPr>
        <w:spacing w:after="0" w:line="240" w:lineRule="auto"/>
        <w:rPr>
          <w:rFonts w:ascii="Verdana" w:eastAsia="Calibri" w:hAnsi="Verdana" w:cs="Arial"/>
          <w:b/>
          <w:bCs/>
          <w:color w:val="000000" w:themeColor="text1"/>
          <w:lang w:eastAsia="es-ES_tradnl"/>
        </w:rPr>
      </w:pPr>
    </w:p>
    <w:tbl>
      <w:tblPr>
        <w:tblStyle w:val="Tablaconcuadrcula"/>
        <w:tblW w:w="8789" w:type="dxa"/>
        <w:tblCellMar>
          <w:left w:w="0" w:type="dxa"/>
          <w:right w:w="0" w:type="dxa"/>
        </w:tblCellMar>
        <w:tblLook w:val="04A0" w:firstRow="1" w:lastRow="0" w:firstColumn="1" w:lastColumn="0" w:noHBand="0" w:noVBand="1"/>
      </w:tblPr>
      <w:tblGrid>
        <w:gridCol w:w="2689"/>
        <w:gridCol w:w="6100"/>
      </w:tblGrid>
      <w:tr w:rsidR="006639D2" w:rsidRPr="00115E3D" w14:paraId="47D80130" w14:textId="77777777" w:rsidTr="006639D2">
        <w:trPr>
          <w:trHeight w:val="244"/>
        </w:trPr>
        <w:tc>
          <w:tcPr>
            <w:tcW w:w="2689" w:type="dxa"/>
            <w:tcBorders>
              <w:top w:val="nil"/>
              <w:left w:val="nil"/>
              <w:bottom w:val="nil"/>
              <w:right w:val="nil"/>
            </w:tcBorders>
          </w:tcPr>
          <w:p w14:paraId="1BC2C199" w14:textId="77777777" w:rsidR="006639D2" w:rsidRPr="00F77C6A" w:rsidRDefault="006639D2" w:rsidP="006F1A38">
            <w:pPr>
              <w:jc w:val="both"/>
              <w:rPr>
                <w:rFonts w:ascii="Verdana" w:eastAsia="Calibri" w:hAnsi="Verdana" w:cs="Arial"/>
                <w:b/>
                <w:bCs/>
                <w:color w:val="000000" w:themeColor="text1"/>
                <w:lang w:eastAsia="es-ES_tradnl"/>
              </w:rPr>
            </w:pPr>
          </w:p>
        </w:tc>
        <w:tc>
          <w:tcPr>
            <w:tcW w:w="6100" w:type="dxa"/>
            <w:tcBorders>
              <w:top w:val="nil"/>
              <w:left w:val="nil"/>
              <w:bottom w:val="nil"/>
              <w:right w:val="nil"/>
            </w:tcBorders>
          </w:tcPr>
          <w:p w14:paraId="1989C69A" w14:textId="77777777" w:rsidR="006639D2" w:rsidRDefault="006639D2" w:rsidP="006F1A38">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255</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p w14:paraId="5594C860" w14:textId="77777777" w:rsidR="006639D2" w:rsidRPr="00115E3D" w:rsidRDefault="006639D2" w:rsidP="006F1A38">
            <w:pPr>
              <w:jc w:val="both"/>
              <w:rPr>
                <w:rFonts w:ascii="Verdana" w:eastAsia="Calibri" w:hAnsi="Verdana" w:cs="Arial"/>
                <w:b/>
                <w:bCs/>
                <w:color w:val="000000" w:themeColor="text1"/>
                <w:lang w:val="es-ES" w:eastAsia="es-ES"/>
              </w:rPr>
            </w:pPr>
          </w:p>
        </w:tc>
      </w:tr>
      <w:tr w:rsidR="006639D2" w:rsidRPr="00115E3D" w14:paraId="15BB5952" w14:textId="77777777" w:rsidTr="006639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4"/>
        </w:trPr>
        <w:tc>
          <w:tcPr>
            <w:tcW w:w="2689" w:type="dxa"/>
          </w:tcPr>
          <w:p w14:paraId="44B26102" w14:textId="77777777" w:rsidR="006639D2" w:rsidRPr="00115E3D" w:rsidRDefault="006639D2" w:rsidP="006F1A38">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0A406A03" w14:textId="77777777" w:rsidR="006639D2" w:rsidRDefault="006639D2" w:rsidP="006F1A38">
            <w:pPr>
              <w:jc w:val="both"/>
              <w:rPr>
                <w:rFonts w:ascii="Verdana" w:eastAsia="Calibri" w:hAnsi="Verdana" w:cs="Arial"/>
                <w:color w:val="000000" w:themeColor="text1"/>
                <w:lang w:val="es-ES" w:eastAsia="es-ES"/>
              </w:rPr>
            </w:pPr>
            <w:r w:rsidRPr="00FB09B1">
              <w:rPr>
                <w:rFonts w:ascii="Verdana" w:eastAsia="Calibri" w:hAnsi="Verdana" w:cs="Arial"/>
                <w:color w:val="000000" w:themeColor="text1"/>
                <w:lang w:val="es-ES" w:eastAsia="es-ES"/>
              </w:rPr>
              <w:t xml:space="preserve">CONSORCIOS Y UNIONES TEMPORALES – Constitución / CONSORCIOS Y UNIONES TEMPORALES – Múltiples ofertas / CONSORCIOS Y UNIONES TEMPORALES – </w:t>
            </w:r>
            <w:r>
              <w:rPr>
                <w:rFonts w:ascii="Verdana" w:eastAsia="Calibri" w:hAnsi="Verdana" w:cs="Arial"/>
                <w:color w:val="000000" w:themeColor="text1"/>
                <w:lang w:val="es-ES" w:eastAsia="es-ES"/>
              </w:rPr>
              <w:t xml:space="preserve">Régimen aplicable </w:t>
            </w:r>
          </w:p>
          <w:p w14:paraId="642FB839" w14:textId="77777777" w:rsidR="006639D2" w:rsidRPr="00115E3D" w:rsidRDefault="006639D2" w:rsidP="006F1A38">
            <w:pPr>
              <w:jc w:val="both"/>
              <w:rPr>
                <w:rFonts w:ascii="Verdana" w:eastAsia="Calibri" w:hAnsi="Verdana" w:cs="Arial"/>
                <w:color w:val="000000" w:themeColor="text1"/>
                <w:lang w:val="es-ES" w:eastAsia="es-ES"/>
              </w:rPr>
            </w:pPr>
          </w:p>
        </w:tc>
      </w:tr>
      <w:tr w:rsidR="006639D2" w:rsidRPr="00115E3D" w14:paraId="73FF1832" w14:textId="77777777" w:rsidTr="006F1A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89" w:type="dxa"/>
          </w:tcPr>
          <w:p w14:paraId="4F5E66DF" w14:textId="77777777" w:rsidR="006639D2" w:rsidRPr="00115E3D" w:rsidRDefault="006639D2" w:rsidP="006F1A38">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739D48CF" w14:textId="77777777" w:rsidR="006639D2" w:rsidRPr="00DF359D" w:rsidRDefault="006639D2" w:rsidP="006F1A38">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Pr>
                <w:rFonts w:ascii="Verdana" w:hAnsi="Verdana" w:cs="Calibri"/>
              </w:rPr>
              <w:t>P20250226001896</w:t>
            </w:r>
          </w:p>
        </w:tc>
      </w:tr>
    </w:tbl>
    <w:p w14:paraId="1C501EB1" w14:textId="77777777" w:rsidR="006639D2" w:rsidRPr="00115E3D" w:rsidRDefault="006639D2" w:rsidP="006639D2">
      <w:pPr>
        <w:spacing w:after="0" w:line="240" w:lineRule="auto"/>
        <w:jc w:val="both"/>
        <w:rPr>
          <w:rFonts w:ascii="Verdana" w:eastAsia="Calibri" w:hAnsi="Verdana" w:cs="Arial"/>
          <w:color w:val="000000" w:themeColor="text1"/>
          <w:lang w:val="es-ES_tradnl" w:eastAsia="es-ES_tradnl"/>
        </w:rPr>
      </w:pPr>
    </w:p>
    <w:p w14:paraId="48B62EC3" w14:textId="77777777" w:rsidR="006639D2" w:rsidRPr="00115E3D" w:rsidRDefault="006639D2" w:rsidP="006639D2">
      <w:pPr>
        <w:spacing w:after="0" w:line="240" w:lineRule="auto"/>
        <w:jc w:val="both"/>
        <w:rPr>
          <w:rFonts w:ascii="Verdana" w:eastAsia="Calibri" w:hAnsi="Verdana" w:cs="Arial"/>
          <w:color w:val="000000" w:themeColor="text1"/>
          <w:lang w:val="es-ES_tradnl" w:eastAsia="es-ES_tradnl"/>
        </w:rPr>
      </w:pPr>
    </w:p>
    <w:p w14:paraId="102CCD1A" w14:textId="77777777" w:rsidR="006639D2" w:rsidRPr="00115E3D" w:rsidRDefault="006639D2" w:rsidP="006639D2">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Sofia</w:t>
      </w:r>
      <w:r w:rsidRPr="00115E3D">
        <w:rPr>
          <w:rFonts w:ascii="Verdana" w:eastAsia="Calibri" w:hAnsi="Verdana" w:cs="Arial"/>
          <w:color w:val="000000" w:themeColor="text1"/>
          <w:lang w:val="es-ES" w:eastAsia="es-ES"/>
        </w:rPr>
        <w:t xml:space="preserve">: </w:t>
      </w:r>
    </w:p>
    <w:p w14:paraId="21C52541" w14:textId="77777777" w:rsidR="006639D2" w:rsidRPr="00115E3D" w:rsidRDefault="006639D2" w:rsidP="006639D2">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2332FB0B" w14:textId="77777777" w:rsidR="006639D2" w:rsidRPr="00115E3D" w:rsidRDefault="006639D2" w:rsidP="006639D2">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26</w:t>
      </w:r>
      <w:r w:rsidRPr="00115E3D">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febrero </w:t>
      </w:r>
      <w:r w:rsidRPr="00115E3D">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75D592F5" w14:textId="77777777" w:rsidR="006639D2" w:rsidRPr="00115E3D" w:rsidRDefault="006639D2" w:rsidP="006639D2">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D73C987" w14:textId="77777777" w:rsidR="006639D2" w:rsidRDefault="006639D2" w:rsidP="006639D2">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r w:rsidRPr="00DF359D">
        <w:rPr>
          <w:rFonts w:ascii="Verdana" w:eastAsia="Century Gothic" w:hAnsi="Verdana" w:cs="Century Gothic"/>
          <w:color w:val="000000" w:themeColor="text1"/>
          <w:sz w:val="20"/>
          <w:szCs w:val="20"/>
          <w:lang w:val="es-ES"/>
        </w:rPr>
        <w:t>“</w:t>
      </w:r>
      <w:bookmarkEnd w:id="0"/>
      <w:r w:rsidRPr="00DF359D">
        <w:rPr>
          <w:rFonts w:ascii="Verdana" w:eastAsia="Century Gothic" w:hAnsi="Verdana" w:cs="Century Gothic"/>
          <w:color w:val="000000" w:themeColor="text1"/>
          <w:sz w:val="20"/>
          <w:szCs w:val="20"/>
          <w:lang w:val="es-ES"/>
        </w:rPr>
        <w:t>1. Indicar si el régimen de contratación aplicable a una Unión Temporal integrada por Empresas Sociales del Estado debe regirse por las mismas normas de contratación pública que aplican a cada una de las entidades que la conforman o si, debido a su naturaleza transitoria, puede adoptar un régimen diferente.</w:t>
      </w:r>
    </w:p>
    <w:p w14:paraId="7E06F1B8" w14:textId="77777777" w:rsidR="006639D2" w:rsidRPr="00DF359D" w:rsidRDefault="006639D2" w:rsidP="006639D2">
      <w:pPr>
        <w:spacing w:after="0" w:line="240" w:lineRule="auto"/>
        <w:ind w:left="709" w:right="709"/>
        <w:jc w:val="both"/>
        <w:rPr>
          <w:rFonts w:ascii="Verdana" w:eastAsia="Century Gothic" w:hAnsi="Verdana" w:cs="Century Gothic"/>
          <w:color w:val="000000" w:themeColor="text1"/>
          <w:sz w:val="20"/>
          <w:szCs w:val="20"/>
          <w:lang w:val="es-ES"/>
        </w:rPr>
      </w:pPr>
    </w:p>
    <w:p w14:paraId="6B740A17" w14:textId="77777777" w:rsidR="006639D2" w:rsidRPr="00DF359D" w:rsidRDefault="006639D2" w:rsidP="006639D2">
      <w:pPr>
        <w:spacing w:after="0" w:line="240" w:lineRule="auto"/>
        <w:ind w:left="709" w:right="709"/>
        <w:jc w:val="both"/>
        <w:rPr>
          <w:rFonts w:ascii="Verdana" w:eastAsia="Century Gothic" w:hAnsi="Verdana" w:cs="Century Gothic"/>
          <w:color w:val="000000" w:themeColor="text1"/>
          <w:sz w:val="20"/>
          <w:szCs w:val="20"/>
          <w:lang w:val="es-ES"/>
        </w:rPr>
      </w:pPr>
      <w:r w:rsidRPr="00DF359D">
        <w:rPr>
          <w:rFonts w:ascii="Verdana" w:eastAsia="Century Gothic" w:hAnsi="Verdana" w:cs="Century Gothic"/>
          <w:color w:val="000000" w:themeColor="text1"/>
          <w:sz w:val="20"/>
          <w:szCs w:val="20"/>
          <w:lang w:val="es-ES"/>
        </w:rPr>
        <w:t>2. Precisar si una Unión Temporal conformada exclusivamente por Empresas Sociales del Estado tiene competencia para expedir resoluciones de nombramiento de empleados públicos.”</w:t>
      </w:r>
    </w:p>
    <w:p w14:paraId="5DB40412" w14:textId="77777777" w:rsidR="006639D2" w:rsidRPr="00115E3D" w:rsidRDefault="006639D2" w:rsidP="006639D2">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p w14:paraId="5E0D2025" w14:textId="77777777" w:rsidR="006639D2" w:rsidRPr="00115E3D" w:rsidRDefault="006639D2" w:rsidP="006639D2">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38972414" w14:textId="77777777" w:rsidR="006639D2" w:rsidRPr="00115E3D" w:rsidRDefault="006639D2" w:rsidP="006639D2">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94FD7AE" w14:textId="77777777" w:rsidR="006639D2" w:rsidRPr="00115E3D" w:rsidRDefault="006639D2" w:rsidP="006639D2">
      <w:pPr>
        <w:spacing w:after="0" w:line="276" w:lineRule="auto"/>
        <w:ind w:firstLine="709"/>
        <w:jc w:val="both"/>
        <w:rPr>
          <w:rFonts w:ascii="Verdana" w:eastAsia="Calibri" w:hAnsi="Verdana" w:cs="Arial"/>
          <w:color w:val="000000" w:themeColor="text1"/>
          <w:lang w:val="es-ES" w:eastAsia="es-ES"/>
        </w:rPr>
      </w:pPr>
    </w:p>
    <w:p w14:paraId="2711DB78" w14:textId="77777777" w:rsidR="006639D2" w:rsidRPr="00115E3D" w:rsidRDefault="006639D2" w:rsidP="006639D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31D5957" w14:textId="77777777" w:rsidR="006639D2" w:rsidRPr="00115E3D" w:rsidRDefault="006639D2" w:rsidP="006639D2">
      <w:pPr>
        <w:tabs>
          <w:tab w:val="left" w:pos="426"/>
        </w:tabs>
        <w:spacing w:after="0" w:line="276" w:lineRule="auto"/>
        <w:jc w:val="both"/>
        <w:rPr>
          <w:rFonts w:ascii="Verdana" w:eastAsia="Century Gothic" w:hAnsi="Verdana" w:cs="Century Gothic"/>
          <w:color w:val="000000" w:themeColor="text1"/>
          <w:lang w:val="es-ES"/>
        </w:rPr>
      </w:pPr>
    </w:p>
    <w:p w14:paraId="47F95B23" w14:textId="77777777" w:rsidR="006639D2" w:rsidRPr="00115E3D" w:rsidRDefault="006639D2" w:rsidP="006639D2">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el siguiente problema jurídico: </w:t>
      </w:r>
      <w:r w:rsidRPr="004A6981">
        <w:rPr>
          <w:rFonts w:ascii="Verdana" w:eastAsia="Century Gothic" w:hAnsi="Verdana" w:cs="Century Gothic"/>
          <w:color w:val="000000" w:themeColor="text1"/>
        </w:rPr>
        <w:t>¿Cuál es el régimen de contratación aplicable en el caso de que una unión temporal integrada por una empresa social del Estado se presente en un proceso de contratación?</w:t>
      </w:r>
      <w:r>
        <w:rPr>
          <w:rFonts w:ascii="Verdana" w:eastAsia="Century Gothic" w:hAnsi="Verdana" w:cs="Century Gothic"/>
          <w:color w:val="000000" w:themeColor="text1"/>
        </w:rPr>
        <w:t xml:space="preserve"> </w:t>
      </w:r>
    </w:p>
    <w:p w14:paraId="442A235C" w14:textId="77777777" w:rsidR="006639D2" w:rsidRDefault="006639D2" w:rsidP="006639D2">
      <w:pPr>
        <w:spacing w:after="0" w:line="276" w:lineRule="auto"/>
        <w:jc w:val="both"/>
        <w:rPr>
          <w:rFonts w:ascii="Verdana" w:eastAsia="Calibri" w:hAnsi="Verdana" w:cs="Arial"/>
          <w:color w:val="000000" w:themeColor="text1"/>
          <w:lang w:val="es-ES"/>
        </w:rPr>
      </w:pPr>
    </w:p>
    <w:p w14:paraId="1F9B4B81" w14:textId="77777777" w:rsidR="006639D2" w:rsidRPr="00115E3D" w:rsidRDefault="006639D2" w:rsidP="006639D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23AC477E" w14:textId="77777777" w:rsidR="006639D2" w:rsidRPr="00115E3D" w:rsidRDefault="006639D2" w:rsidP="006639D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39D2" w:rsidRPr="00115E3D" w14:paraId="079438B5" w14:textId="77777777" w:rsidTr="006F1A38">
        <w:tc>
          <w:tcPr>
            <w:tcW w:w="8828" w:type="dxa"/>
            <w:shd w:val="clear" w:color="auto" w:fill="auto"/>
          </w:tcPr>
          <w:p w14:paraId="233F6605" w14:textId="77777777" w:rsidR="006639D2" w:rsidRDefault="006639D2" w:rsidP="006F1A38">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En principio, c</w:t>
            </w:r>
            <w:r w:rsidRPr="00BA646E">
              <w:rPr>
                <w:rFonts w:ascii="Verdana" w:eastAsia="Calibri" w:hAnsi="Verdana" w:cs="Arial"/>
                <w:color w:val="000000" w:themeColor="text1"/>
              </w:rPr>
              <w:t xml:space="preserve">uando una unión temporal integrada por una empresa social del Estado (ESE) se presenta en un proceso de contratación, debe sujetarse al régimen de contratación aplicable </w:t>
            </w:r>
            <w:r>
              <w:rPr>
                <w:rFonts w:ascii="Verdana" w:eastAsia="Calibri" w:hAnsi="Verdana" w:cs="Arial"/>
                <w:color w:val="000000" w:themeColor="text1"/>
              </w:rPr>
              <w:t>a</w:t>
            </w:r>
            <w:r w:rsidRPr="00BA646E">
              <w:rPr>
                <w:rFonts w:ascii="Verdana" w:eastAsia="Calibri" w:hAnsi="Verdana" w:cs="Arial"/>
                <w:color w:val="000000" w:themeColor="text1"/>
              </w:rPr>
              <w:t xml:space="preserve">l proceso de contratación en el cual participa. </w:t>
            </w:r>
          </w:p>
          <w:p w14:paraId="52399EF7" w14:textId="77777777" w:rsidR="006639D2" w:rsidRPr="00FB2045" w:rsidRDefault="006639D2" w:rsidP="006F1A38">
            <w:pPr>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ese sentido, las </w:t>
            </w:r>
            <w:r w:rsidRPr="00BA646E">
              <w:rPr>
                <w:rFonts w:ascii="Verdana" w:eastAsia="Calibri" w:hAnsi="Verdana" w:cs="Arial"/>
                <w:color w:val="000000" w:themeColor="text1"/>
              </w:rPr>
              <w:t xml:space="preserve">uniones temporales tienen la capacidad de contratar con el Estado sin ser personas jurídicas, pero deben cumplir con las </w:t>
            </w:r>
            <w:r w:rsidRPr="00BA646E">
              <w:rPr>
                <w:rFonts w:ascii="Verdana" w:eastAsia="Calibri" w:hAnsi="Verdana" w:cs="Arial"/>
                <w:color w:val="000000" w:themeColor="text1"/>
              </w:rPr>
              <w:lastRenderedPageBreak/>
              <w:t>condiciones y requisitos establecidos en los pliegos de condiciones del proceso en el que se encuentren involucradas. Esto implica que la unión temporal, al igual que cualquier otro oferente, debe atenerse a los términos y exigencias del proceso específico de contratación, incluyendo la forma en que se presentarán las ofertas, los requisitos habilitantes, las especificaciones técnicas y los criterios de evaluación. Además, debe garantizar que sus integrantes estén debidamente registrados y cumplir con los requisitos que estipule la entidad estatal contratante. En este sentido, cualquier modificación en la composición de la unión temporal o en el porcentaje de participación de sus miembros debe realizarse antes del cierre del proceso, ya que después de esta fecha no es posible realizar cambios que alteren la oferta presentada, conforme a lo estipulado por la Ley 80 de 1993. Por lo tanto, la unión temporal no solo debe cumplir con las reglas generales de la contratación estatal, sino también con las disposiciones concretas del proceso de contratación al que se postula, para asegurar el cumplimiento de los principios de selección objetiva, transparencia, responsabilidad y proporcionalidad que rigen la contratación pública en Colombia.</w:t>
            </w:r>
            <w:r>
              <w:rPr>
                <w:rFonts w:ascii="Verdana" w:eastAsia="Calibri" w:hAnsi="Verdana" w:cs="Arial"/>
                <w:color w:val="000000" w:themeColor="text1"/>
              </w:rPr>
              <w:t xml:space="preserve"> </w:t>
            </w:r>
          </w:p>
        </w:tc>
      </w:tr>
    </w:tbl>
    <w:p w14:paraId="5C503C76" w14:textId="77777777" w:rsidR="006639D2" w:rsidRPr="00115E3D" w:rsidRDefault="006639D2" w:rsidP="006639D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D2C6A5D" w14:textId="77777777" w:rsidR="006639D2" w:rsidRPr="00115E3D" w:rsidRDefault="006639D2" w:rsidP="006639D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7BF9300C" w14:textId="77777777" w:rsidR="006639D2" w:rsidRPr="00115E3D" w:rsidRDefault="006639D2" w:rsidP="006639D2">
      <w:pPr>
        <w:spacing w:after="0" w:line="276" w:lineRule="auto"/>
        <w:jc w:val="both"/>
        <w:rPr>
          <w:rFonts w:ascii="Verdana" w:eastAsia="Calibri" w:hAnsi="Verdana" w:cs="Arial"/>
          <w:color w:val="000000" w:themeColor="text1"/>
          <w:lang w:val="es-ES"/>
        </w:rPr>
      </w:pPr>
    </w:p>
    <w:p w14:paraId="21B53A64" w14:textId="77777777" w:rsidR="006639D2" w:rsidRPr="00115E3D" w:rsidRDefault="006639D2" w:rsidP="006639D2">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408DD5E3" w14:textId="77777777" w:rsidR="006639D2" w:rsidRDefault="006639D2" w:rsidP="006639D2">
      <w:pPr>
        <w:spacing w:after="0" w:line="276" w:lineRule="auto"/>
        <w:jc w:val="both"/>
        <w:rPr>
          <w:rFonts w:ascii="Verdana" w:eastAsia="Calibri" w:hAnsi="Verdana" w:cs="Arial"/>
          <w:shd w:val="clear" w:color="auto" w:fill="FFFFFF"/>
        </w:rPr>
      </w:pPr>
    </w:p>
    <w:p w14:paraId="1C532ADA" w14:textId="77777777" w:rsidR="006639D2" w:rsidRPr="0004649D" w:rsidRDefault="006639D2" w:rsidP="006639D2">
      <w:pPr>
        <w:spacing w:after="120" w:line="276" w:lineRule="auto"/>
        <w:jc w:val="both"/>
        <w:rPr>
          <w:rFonts w:ascii="Verdana" w:eastAsia="Calibri" w:hAnsi="Verdana" w:cs="Arial"/>
        </w:rPr>
      </w:pPr>
      <w:r w:rsidRPr="0004649D">
        <w:rPr>
          <w:rFonts w:ascii="Verdana" w:eastAsia="Calibri" w:hAnsi="Verdana" w:cs="Arial"/>
          <w:shd w:val="clear" w:color="auto" w:fill="FFFFFF"/>
        </w:rPr>
        <w:t xml:space="preserve">(i) </w:t>
      </w:r>
      <w:r w:rsidRPr="0004649D">
        <w:rPr>
          <w:rFonts w:ascii="Verdana" w:eastAsia="Calibri" w:hAnsi="Verdana" w:cs="Arial"/>
        </w:rPr>
        <w:t xml:space="preserve">El artículo 6 de la Ley 80 de 1993 señala que pueden celebrar contratos con las Entidades Estatales las personas naturales, las personas jurídicas que tengan dentro de su objeto social actividades relacionadas con el objeto a contratar y, por virtud de la ley, los consorcios y uniones temporales. </w:t>
      </w:r>
    </w:p>
    <w:p w14:paraId="3D9FA850" w14:textId="77777777" w:rsidR="006639D2" w:rsidRPr="0004649D" w:rsidRDefault="006639D2" w:rsidP="006639D2">
      <w:pPr>
        <w:spacing w:before="120" w:after="0" w:line="276" w:lineRule="auto"/>
        <w:ind w:firstLine="708"/>
        <w:jc w:val="both"/>
        <w:rPr>
          <w:rFonts w:ascii="Verdana" w:eastAsia="Calibri" w:hAnsi="Verdana" w:cs="Arial"/>
          <w:lang w:val="es-MX"/>
        </w:rPr>
      </w:pPr>
      <w:r w:rsidRPr="0004649D">
        <w:rPr>
          <w:rFonts w:ascii="Verdana" w:eastAsia="Calibri" w:hAnsi="Verdana" w:cs="Arial"/>
          <w:lang w:val="es-MX"/>
        </w:rPr>
        <w:t>La capacidad para contratar y de realizar actos jurídicamente vinculantes, como la presentación de una oferta en un procedimiento de selección de contratistas, se consideró por mucho tiempo uno de los atributos de la personalidad reservado a las personas jurídicas y naturales. No obstante, el progreso en las formas negociales y asociativas hizo necesario reconocer nuevas estructuras plurales y otorgarles atributos que tradicionalmente habían estado reservados a las personas jurídicas. En este sentido, la Corte Constitucional ha sostenido sobre la capacidad para contratar otorgada a los consorcios y uniones temporales:</w:t>
      </w:r>
    </w:p>
    <w:p w14:paraId="3108EAF7" w14:textId="77777777" w:rsidR="006639D2" w:rsidRPr="0004649D" w:rsidRDefault="006639D2" w:rsidP="006639D2">
      <w:pPr>
        <w:spacing w:after="0" w:line="276" w:lineRule="auto"/>
        <w:ind w:firstLine="708"/>
        <w:jc w:val="both"/>
        <w:rPr>
          <w:rFonts w:ascii="Verdana" w:eastAsia="Calibri" w:hAnsi="Verdana" w:cs="Arial"/>
          <w:lang w:val="es-MX"/>
        </w:rPr>
      </w:pPr>
    </w:p>
    <w:p w14:paraId="3E2AE0C5" w14:textId="77777777" w:rsidR="006639D2" w:rsidRPr="00BA636D" w:rsidRDefault="006639D2" w:rsidP="006639D2">
      <w:pPr>
        <w:spacing w:after="0" w:line="240" w:lineRule="auto"/>
        <w:ind w:left="709" w:right="709"/>
        <w:jc w:val="both"/>
        <w:rPr>
          <w:rFonts w:ascii="Verdana" w:eastAsia="Calibri" w:hAnsi="Verdana" w:cs="Arial"/>
          <w:sz w:val="20"/>
          <w:szCs w:val="20"/>
        </w:rPr>
      </w:pPr>
      <w:r w:rsidRPr="00BA636D">
        <w:rPr>
          <w:rFonts w:ascii="Verdana" w:eastAsia="Calibri" w:hAnsi="Verdana" w:cs="Arial"/>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0DFDB3A5" w14:textId="77777777" w:rsidR="006639D2" w:rsidRPr="00BA636D" w:rsidRDefault="006639D2" w:rsidP="006639D2">
      <w:pPr>
        <w:spacing w:after="0" w:line="240" w:lineRule="auto"/>
        <w:ind w:left="709" w:right="709"/>
        <w:jc w:val="both"/>
        <w:rPr>
          <w:rFonts w:ascii="Verdana" w:eastAsia="Calibri" w:hAnsi="Verdana" w:cs="Arial"/>
          <w:sz w:val="20"/>
          <w:szCs w:val="20"/>
        </w:rPr>
      </w:pPr>
      <w:r w:rsidRPr="00BA636D">
        <w:rPr>
          <w:rFonts w:ascii="Verdana" w:eastAsia="Calibri" w:hAnsi="Verdana" w:cs="Arial"/>
          <w:sz w:val="20"/>
          <w:szCs w:val="20"/>
        </w:rPr>
        <w:t>[…]</w:t>
      </w:r>
    </w:p>
    <w:p w14:paraId="58E17EC2" w14:textId="77777777" w:rsidR="006639D2" w:rsidRPr="00BA636D" w:rsidRDefault="006639D2" w:rsidP="006639D2">
      <w:pPr>
        <w:spacing w:after="0" w:line="240" w:lineRule="auto"/>
        <w:ind w:left="709" w:right="709"/>
        <w:jc w:val="both"/>
        <w:rPr>
          <w:rFonts w:ascii="Verdana" w:eastAsia="Calibri" w:hAnsi="Verdana" w:cs="Arial"/>
          <w:sz w:val="20"/>
          <w:szCs w:val="20"/>
        </w:rPr>
      </w:pPr>
      <w:r w:rsidRPr="00BA636D">
        <w:rPr>
          <w:rFonts w:ascii="Verdana" w:eastAsia="Calibri" w:hAnsi="Verdana" w:cs="Arial"/>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BA636D">
        <w:rPr>
          <w:rFonts w:ascii="Verdana" w:eastAsia="Calibri" w:hAnsi="Verdana" w:cs="Arial"/>
          <w:sz w:val="20"/>
          <w:szCs w:val="20"/>
          <w:vertAlign w:val="superscript"/>
        </w:rPr>
        <w:footnoteReference w:id="1"/>
      </w:r>
      <w:r w:rsidRPr="00BA636D">
        <w:rPr>
          <w:rFonts w:ascii="Verdana" w:eastAsia="Calibri" w:hAnsi="Verdana" w:cs="Arial"/>
          <w:sz w:val="20"/>
          <w:szCs w:val="20"/>
        </w:rPr>
        <w:t>.</w:t>
      </w:r>
    </w:p>
    <w:p w14:paraId="5DC8ACB2" w14:textId="77777777" w:rsidR="006639D2" w:rsidRPr="009F0BAC" w:rsidRDefault="006639D2" w:rsidP="006639D2">
      <w:pPr>
        <w:spacing w:after="0" w:line="276" w:lineRule="auto"/>
        <w:ind w:left="709" w:right="709"/>
        <w:jc w:val="both"/>
        <w:rPr>
          <w:rFonts w:ascii="Verdana" w:eastAsia="Calibri" w:hAnsi="Verdana" w:cs="Arial"/>
        </w:rPr>
      </w:pPr>
    </w:p>
    <w:p w14:paraId="769608CB" w14:textId="77777777" w:rsidR="006639D2" w:rsidRPr="0004649D" w:rsidRDefault="006639D2" w:rsidP="006639D2">
      <w:pPr>
        <w:spacing w:after="120" w:line="276" w:lineRule="auto"/>
        <w:ind w:firstLine="708"/>
        <w:jc w:val="both"/>
        <w:rPr>
          <w:rFonts w:ascii="Verdana" w:eastAsia="Calibri" w:hAnsi="Verdana" w:cs="Times New Roman"/>
        </w:rPr>
      </w:pPr>
      <w:r w:rsidRPr="0004649D">
        <w:rPr>
          <w:rFonts w:ascii="Verdana" w:eastAsia="Calibri" w:hAnsi="Verdana" w:cs="Times New Roman"/>
        </w:rPr>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14:paraId="74DC55AB" w14:textId="77777777" w:rsidR="006639D2" w:rsidRPr="0004649D" w:rsidRDefault="006639D2" w:rsidP="006639D2">
      <w:pPr>
        <w:spacing w:before="120" w:after="0" w:line="276" w:lineRule="auto"/>
        <w:ind w:firstLine="708"/>
        <w:jc w:val="both"/>
        <w:rPr>
          <w:rFonts w:ascii="Verdana" w:eastAsia="Calibri" w:hAnsi="Verdana" w:cs="Arial"/>
          <w:sz w:val="20"/>
          <w:szCs w:val="20"/>
        </w:rPr>
      </w:pPr>
      <w:r w:rsidRPr="0004649D">
        <w:rPr>
          <w:rFonts w:ascii="Verdana" w:eastAsia="Calibri" w:hAnsi="Verdana" w:cs="Arial"/>
        </w:rPr>
        <w:t>En línea con lo anterior, los consorcios y las uniones temporales no son personas jurídicas, pero su creación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43CF8020" w14:textId="77777777" w:rsidR="006639D2" w:rsidRPr="009F0BAC" w:rsidRDefault="006639D2" w:rsidP="006639D2">
      <w:pPr>
        <w:spacing w:after="0" w:line="276" w:lineRule="auto"/>
        <w:ind w:left="709" w:right="616"/>
        <w:contextualSpacing/>
        <w:jc w:val="both"/>
        <w:rPr>
          <w:rFonts w:ascii="Verdana" w:eastAsia="Calibri" w:hAnsi="Verdana" w:cs="Arial"/>
          <w:bCs/>
          <w:color w:val="000000"/>
        </w:rPr>
      </w:pPr>
    </w:p>
    <w:p w14:paraId="0A7320F9" w14:textId="77777777" w:rsidR="006639D2" w:rsidRPr="00CB0B54" w:rsidRDefault="006639D2" w:rsidP="006639D2">
      <w:pPr>
        <w:spacing w:after="0" w:line="240" w:lineRule="auto"/>
        <w:ind w:left="709" w:right="709"/>
        <w:contextualSpacing/>
        <w:jc w:val="both"/>
        <w:rPr>
          <w:rFonts w:ascii="Verdana" w:eastAsia="Calibri" w:hAnsi="Verdana" w:cs="Arial"/>
          <w:sz w:val="20"/>
          <w:szCs w:val="20"/>
        </w:rPr>
      </w:pPr>
      <w:r w:rsidRPr="00CB0B54">
        <w:rPr>
          <w:rFonts w:ascii="Verdana" w:eastAsia="Calibri" w:hAnsi="Verdana" w:cs="Arial"/>
          <w:bCs/>
          <w:color w:val="000000"/>
          <w:sz w:val="20"/>
          <w:szCs w:val="20"/>
        </w:rPr>
        <w:lastRenderedPageBreak/>
        <w:t>“</w:t>
      </w:r>
      <w:r w:rsidRPr="00CB0B54">
        <w:rPr>
          <w:rFonts w:ascii="Verdana" w:eastAsia="Calibri" w:hAnsi="Verdana" w:cs="Arial"/>
          <w:sz w:val="20"/>
          <w:szCs w:val="20"/>
        </w:rPr>
        <w:t>Para los efectos de esta Ley se entiende por:[…]</w:t>
      </w:r>
    </w:p>
    <w:p w14:paraId="7DC49FA9" w14:textId="77777777" w:rsidR="006639D2" w:rsidRDefault="006639D2" w:rsidP="006639D2">
      <w:pPr>
        <w:spacing w:after="0" w:line="240" w:lineRule="auto"/>
        <w:ind w:left="709" w:right="709"/>
        <w:contextualSpacing/>
        <w:jc w:val="both"/>
        <w:rPr>
          <w:rFonts w:ascii="Verdana" w:eastAsia="Calibri" w:hAnsi="Verdana" w:cs="Arial"/>
          <w:sz w:val="20"/>
          <w:szCs w:val="20"/>
        </w:rPr>
      </w:pPr>
    </w:p>
    <w:p w14:paraId="7B2E00DD" w14:textId="77777777" w:rsidR="006639D2" w:rsidRPr="00CB0B54" w:rsidRDefault="006639D2" w:rsidP="006639D2">
      <w:pPr>
        <w:spacing w:after="0" w:line="240" w:lineRule="auto"/>
        <w:ind w:left="709" w:right="709"/>
        <w:contextualSpacing/>
        <w:jc w:val="both"/>
        <w:rPr>
          <w:rFonts w:ascii="Verdana" w:eastAsia="Calibri" w:hAnsi="Verdana" w:cs="Arial"/>
          <w:sz w:val="20"/>
          <w:szCs w:val="20"/>
        </w:rPr>
      </w:pPr>
      <w:r w:rsidRPr="00CB0B54">
        <w:rPr>
          <w:rFonts w:ascii="Verdana" w:eastAsia="Calibri" w:hAnsi="Verdana" w:cs="Arial"/>
          <w:sz w:val="20"/>
          <w:szCs w:val="20"/>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2EE422D6" w14:textId="77777777" w:rsidR="006639D2" w:rsidRDefault="006639D2" w:rsidP="006639D2">
      <w:pPr>
        <w:spacing w:after="0" w:line="240" w:lineRule="auto"/>
        <w:ind w:left="709" w:right="709"/>
        <w:contextualSpacing/>
        <w:jc w:val="both"/>
        <w:rPr>
          <w:rFonts w:ascii="Verdana" w:eastAsia="Calibri" w:hAnsi="Verdana" w:cs="Arial"/>
          <w:sz w:val="20"/>
          <w:szCs w:val="20"/>
        </w:rPr>
      </w:pPr>
    </w:p>
    <w:p w14:paraId="01192BA9" w14:textId="77777777" w:rsidR="006639D2" w:rsidRPr="00CB0B54" w:rsidRDefault="006639D2" w:rsidP="006639D2">
      <w:pPr>
        <w:spacing w:after="0" w:line="240" w:lineRule="auto"/>
        <w:ind w:left="709" w:right="709"/>
        <w:contextualSpacing/>
        <w:jc w:val="both"/>
        <w:rPr>
          <w:rFonts w:ascii="Verdana" w:eastAsia="Calibri" w:hAnsi="Verdana" w:cs="Arial"/>
          <w:sz w:val="20"/>
          <w:szCs w:val="20"/>
        </w:rPr>
      </w:pPr>
      <w:r w:rsidRPr="00CB0B54">
        <w:rPr>
          <w:rFonts w:ascii="Verdana" w:eastAsia="Calibri" w:hAnsi="Verdana" w:cs="Arial"/>
          <w:sz w:val="20"/>
          <w:szCs w:val="20"/>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3DACA38C" w14:textId="77777777" w:rsidR="006639D2" w:rsidRDefault="006639D2" w:rsidP="006639D2">
      <w:pPr>
        <w:spacing w:after="0" w:line="240" w:lineRule="auto"/>
        <w:ind w:left="709" w:right="709"/>
        <w:contextualSpacing/>
        <w:jc w:val="both"/>
        <w:rPr>
          <w:rFonts w:ascii="Verdana" w:eastAsia="Calibri" w:hAnsi="Verdana" w:cs="Arial"/>
          <w:bCs/>
          <w:color w:val="000000"/>
          <w:sz w:val="20"/>
          <w:szCs w:val="20"/>
        </w:rPr>
      </w:pPr>
    </w:p>
    <w:p w14:paraId="230B11B2" w14:textId="77777777" w:rsidR="006639D2" w:rsidRPr="00CB0B54" w:rsidRDefault="006639D2" w:rsidP="006639D2">
      <w:pPr>
        <w:spacing w:after="0" w:line="240" w:lineRule="auto"/>
        <w:ind w:left="709" w:right="709"/>
        <w:contextualSpacing/>
        <w:jc w:val="both"/>
        <w:rPr>
          <w:rFonts w:ascii="Verdana" w:eastAsia="Calibri" w:hAnsi="Verdana" w:cs="Arial"/>
          <w:bCs/>
          <w:color w:val="000000"/>
          <w:sz w:val="20"/>
          <w:szCs w:val="20"/>
        </w:rPr>
      </w:pPr>
      <w:r w:rsidRPr="00CB0B54">
        <w:rPr>
          <w:rFonts w:ascii="Verdana" w:eastAsia="Calibri" w:hAnsi="Verdana" w:cs="Arial"/>
          <w:bCs/>
          <w:color w:val="000000"/>
          <w:sz w:val="20"/>
          <w:szCs w:val="20"/>
        </w:rPr>
        <w:t>[…]</w:t>
      </w:r>
    </w:p>
    <w:p w14:paraId="7AB2A4D0" w14:textId="77777777" w:rsidR="006639D2" w:rsidRDefault="006639D2" w:rsidP="006639D2">
      <w:pPr>
        <w:spacing w:after="0" w:line="240" w:lineRule="auto"/>
        <w:ind w:left="709" w:right="709"/>
        <w:contextualSpacing/>
        <w:jc w:val="both"/>
        <w:rPr>
          <w:rFonts w:ascii="Verdana" w:eastAsia="Calibri" w:hAnsi="Verdana" w:cs="Arial"/>
          <w:bCs/>
          <w:color w:val="000000"/>
          <w:sz w:val="20"/>
          <w:szCs w:val="20"/>
        </w:rPr>
      </w:pPr>
    </w:p>
    <w:p w14:paraId="3269C6E2" w14:textId="77777777" w:rsidR="006639D2" w:rsidRPr="00CB0B54" w:rsidRDefault="006639D2" w:rsidP="006639D2">
      <w:pPr>
        <w:spacing w:after="0" w:line="240" w:lineRule="auto"/>
        <w:ind w:left="709" w:right="709"/>
        <w:contextualSpacing/>
        <w:jc w:val="both"/>
        <w:rPr>
          <w:rFonts w:ascii="Verdana" w:eastAsia="Calibri" w:hAnsi="Verdana" w:cs="Arial"/>
          <w:bCs/>
          <w:color w:val="000000"/>
          <w:sz w:val="20"/>
          <w:szCs w:val="20"/>
        </w:rPr>
      </w:pPr>
      <w:r w:rsidRPr="00CB0B54">
        <w:rPr>
          <w:rFonts w:ascii="Verdana" w:eastAsia="Calibri" w:hAnsi="Verdana" w:cs="Arial"/>
          <w:bCs/>
          <w:color w:val="000000"/>
          <w:sz w:val="20"/>
          <w:szCs w:val="20"/>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1EFFA7BE" w14:textId="77777777" w:rsidR="006639D2" w:rsidRDefault="006639D2" w:rsidP="006639D2">
      <w:pPr>
        <w:spacing w:after="0" w:line="240" w:lineRule="auto"/>
        <w:ind w:left="709" w:right="709"/>
        <w:contextualSpacing/>
        <w:jc w:val="both"/>
        <w:rPr>
          <w:rFonts w:ascii="Verdana" w:eastAsia="Calibri" w:hAnsi="Verdana" w:cs="Arial"/>
          <w:bCs/>
          <w:color w:val="000000"/>
          <w:sz w:val="20"/>
          <w:szCs w:val="20"/>
        </w:rPr>
      </w:pPr>
    </w:p>
    <w:p w14:paraId="50D2DD1E" w14:textId="77777777" w:rsidR="006639D2" w:rsidRPr="00CB0B54" w:rsidRDefault="006639D2" w:rsidP="006639D2">
      <w:pPr>
        <w:spacing w:after="0" w:line="240" w:lineRule="auto"/>
        <w:ind w:left="709" w:right="709"/>
        <w:contextualSpacing/>
        <w:jc w:val="both"/>
        <w:rPr>
          <w:rFonts w:ascii="Verdana" w:eastAsia="Calibri" w:hAnsi="Verdana" w:cs="Arial"/>
          <w:bCs/>
          <w:color w:val="000000"/>
          <w:sz w:val="20"/>
          <w:szCs w:val="20"/>
        </w:rPr>
      </w:pPr>
      <w:r w:rsidRPr="00CB0B54">
        <w:rPr>
          <w:rFonts w:ascii="Verdana" w:eastAsia="Calibri" w:hAnsi="Verdana" w:cs="Arial"/>
          <w:bCs/>
          <w:color w:val="000000"/>
          <w:sz w:val="20"/>
          <w:szCs w:val="20"/>
        </w:rPr>
        <w:t>Los miembros del consorcio y de la unión temporal deberán designar la persona que, para todos los efectos, representará al consorcio o unión temporal y señalarán las reglas básicas que regulen las relaciones entre ellos y su responsabilidad.</w:t>
      </w:r>
    </w:p>
    <w:p w14:paraId="4479B179" w14:textId="77777777" w:rsidR="006639D2" w:rsidRDefault="006639D2" w:rsidP="006639D2">
      <w:pPr>
        <w:spacing w:after="0" w:line="240" w:lineRule="auto"/>
        <w:ind w:left="709" w:right="709"/>
        <w:contextualSpacing/>
        <w:jc w:val="both"/>
        <w:rPr>
          <w:rFonts w:ascii="Verdana" w:eastAsia="Calibri" w:hAnsi="Verdana" w:cs="Arial"/>
          <w:bCs/>
          <w:color w:val="000000"/>
          <w:sz w:val="20"/>
          <w:szCs w:val="20"/>
        </w:rPr>
      </w:pPr>
    </w:p>
    <w:p w14:paraId="0B9A462D" w14:textId="77777777" w:rsidR="006639D2" w:rsidRDefault="006639D2" w:rsidP="006639D2">
      <w:pPr>
        <w:spacing w:after="0" w:line="240" w:lineRule="auto"/>
        <w:ind w:left="709" w:right="709"/>
        <w:contextualSpacing/>
        <w:jc w:val="both"/>
        <w:rPr>
          <w:rFonts w:ascii="Verdana" w:eastAsia="Calibri" w:hAnsi="Verdana" w:cs="Arial"/>
          <w:color w:val="000000"/>
          <w:sz w:val="20"/>
          <w:szCs w:val="20"/>
        </w:rPr>
      </w:pPr>
      <w:r w:rsidRPr="00CB0B54">
        <w:rPr>
          <w:rFonts w:ascii="Verdana" w:eastAsia="Calibri" w:hAnsi="Verdana" w:cs="Arial"/>
          <w:bCs/>
          <w:color w:val="000000"/>
          <w:sz w:val="20"/>
          <w:szCs w:val="20"/>
        </w:rPr>
        <w:t>[…]”.</w:t>
      </w:r>
    </w:p>
    <w:p w14:paraId="3882F04F" w14:textId="77777777" w:rsidR="006639D2" w:rsidRPr="009F0BAC" w:rsidRDefault="006639D2" w:rsidP="006639D2">
      <w:pPr>
        <w:spacing w:after="0" w:line="276" w:lineRule="auto"/>
        <w:ind w:left="709" w:right="709"/>
        <w:contextualSpacing/>
        <w:jc w:val="both"/>
        <w:rPr>
          <w:rFonts w:ascii="Verdana" w:eastAsia="Calibri" w:hAnsi="Verdana" w:cs="Arial"/>
        </w:rPr>
      </w:pPr>
    </w:p>
    <w:p w14:paraId="1249D6E0" w14:textId="77777777" w:rsidR="006639D2" w:rsidRPr="0004649D" w:rsidRDefault="006639D2" w:rsidP="006639D2">
      <w:pPr>
        <w:spacing w:after="120" w:line="276" w:lineRule="auto"/>
        <w:ind w:firstLine="709"/>
        <w:jc w:val="both"/>
        <w:rPr>
          <w:rFonts w:ascii="Verdana" w:eastAsia="Calibri" w:hAnsi="Verdana" w:cs="Arial"/>
        </w:rPr>
      </w:pPr>
      <w:r w:rsidRPr="0004649D">
        <w:rPr>
          <w:rFonts w:ascii="Verdana" w:eastAsia="Calibri" w:hAnsi="Verdana" w:cs="Arial"/>
        </w:rPr>
        <w:t xml:space="preserve">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uno o varios contratos estatales, dependerá de dos aspectos: (i) que los integrantes de la estructural plural adopten la decisión conjunta de presentar una misma propuesta al proceso de selección, y (ii) que el objeto del consorcio o unión temporal se encuentre alineado con las </w:t>
      </w:r>
      <w:r w:rsidRPr="0004649D">
        <w:rPr>
          <w:rFonts w:ascii="Verdana" w:eastAsia="Calibri" w:hAnsi="Verdana" w:cs="Arial"/>
        </w:rPr>
        <w:lastRenderedPageBreak/>
        <w:t>actividades a desarrollar en un determinado proceso, de manera que les permita ejecutar el respectivo contrato.</w:t>
      </w:r>
    </w:p>
    <w:p w14:paraId="35C5107D" w14:textId="77777777" w:rsidR="006639D2" w:rsidRPr="0004649D" w:rsidRDefault="006639D2" w:rsidP="006639D2">
      <w:pPr>
        <w:spacing w:after="120" w:line="276" w:lineRule="auto"/>
        <w:ind w:firstLine="708"/>
        <w:jc w:val="both"/>
        <w:rPr>
          <w:rFonts w:ascii="Verdana" w:eastAsia="Aptos" w:hAnsi="Verdana" w:cs="Arial"/>
          <w:color w:val="000000"/>
        </w:rPr>
      </w:pPr>
      <w:r w:rsidRPr="0004649D">
        <w:rPr>
          <w:rFonts w:ascii="Verdana" w:eastAsia="Calibri" w:hAnsi="Verdana" w:cs="Arial"/>
        </w:rPr>
        <w:t xml:space="preserve">En este sentido, las estructuras plurales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uno o varios contratos estatales, compartiendo recursos, de toda índole, para su ejecución, así como las utilidades y los riesgos. </w:t>
      </w:r>
      <w:r w:rsidRPr="0004649D">
        <w:rPr>
          <w:rFonts w:ascii="Verdana" w:eastAsia="Aptos" w:hAnsi="Verdana" w:cs="Arial"/>
          <w:color w:val="000000"/>
        </w:rPr>
        <w:t xml:space="preserve">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64165F54" w14:textId="77777777" w:rsidR="006639D2" w:rsidRPr="0004649D" w:rsidRDefault="006639D2" w:rsidP="006639D2">
      <w:pPr>
        <w:spacing w:after="120" w:line="276" w:lineRule="auto"/>
        <w:ind w:right="49" w:firstLine="708"/>
        <w:jc w:val="both"/>
        <w:rPr>
          <w:rFonts w:ascii="Verdana" w:eastAsia="Calibri" w:hAnsi="Verdana" w:cs="Arial"/>
        </w:rPr>
      </w:pPr>
      <w:r>
        <w:rPr>
          <w:rFonts w:ascii="Verdana" w:eastAsia="Calibri" w:hAnsi="Verdana" w:cs="Arial"/>
        </w:rPr>
        <w:t>L</w:t>
      </w:r>
      <w:r w:rsidRPr="0004649D">
        <w:rPr>
          <w:rFonts w:ascii="Verdana" w:eastAsia="Calibri" w:hAnsi="Verdana" w:cs="Arial"/>
        </w:rPr>
        <w:t xml:space="preserve">os consorcios y las uniones temporales son una creación de carácter convencional que se logra mediante un acuerdo de carácter privado en la que concurre la voluntad de los miembros. En este sentido, es viable que sus miembros acuerden modificar el nombre, el porcentaje de participación y su composición para presentar propuesta en un proceso de contratación. Como se señaló antes, </w:t>
      </w:r>
      <w:r w:rsidRPr="0004649D">
        <w:rPr>
          <w:rFonts w:ascii="Verdana" w:eastAsia="Verdana" w:hAnsi="Verdana" w:cs="Verdana"/>
        </w:rPr>
        <w:t>se trata de figuras asociativas cuya creación y características dependen de un acuerdo en el que concurre la voluntad de sus integrantes para regular sus características y composición, con el objetivo de facilitar la organización de diversos miembros a efectos de presentar propuesta en procesos de contratación, así como para celebrar y ejecutar contratos estatales. En consecuencia, el acuerdo de voluntades será suficiente para modificar sus condiciones y presentar propuesta en un proceso de contratación.</w:t>
      </w:r>
    </w:p>
    <w:p w14:paraId="49540423" w14:textId="77777777" w:rsidR="006639D2" w:rsidRPr="0031763B" w:rsidRDefault="006639D2" w:rsidP="006639D2">
      <w:pPr>
        <w:spacing w:after="120" w:line="276" w:lineRule="auto"/>
        <w:ind w:right="49" w:firstLine="708"/>
        <w:jc w:val="both"/>
        <w:rPr>
          <w:rFonts w:ascii="Verdana" w:eastAsia="Verdana" w:hAnsi="Verdana" w:cs="Verdana"/>
        </w:rPr>
      </w:pPr>
      <w:r>
        <w:rPr>
          <w:rFonts w:ascii="Verdana" w:eastAsia="Verdana" w:hAnsi="Verdana" w:cs="Verdana"/>
        </w:rPr>
        <w:t>Ahora bien, c</w:t>
      </w:r>
      <w:r w:rsidRPr="0031763B">
        <w:rPr>
          <w:rFonts w:ascii="Verdana" w:eastAsia="Verdana" w:hAnsi="Verdana" w:cs="Verdana"/>
        </w:rPr>
        <w:t xml:space="preserve">uando una unión temporal compuesta por una empresa social del Estado (ESE) se presenta a un proceso de contratación con una entidad estatal, debe sujetarse al régimen jurídico aplicable </w:t>
      </w:r>
      <w:r>
        <w:rPr>
          <w:rFonts w:ascii="Verdana" w:eastAsia="Verdana" w:hAnsi="Verdana" w:cs="Verdana"/>
        </w:rPr>
        <w:t xml:space="preserve">al proceso de contratación, que bien puede ser el </w:t>
      </w:r>
      <w:r w:rsidRPr="0031763B">
        <w:rPr>
          <w:rFonts w:ascii="Verdana" w:eastAsia="Verdana" w:hAnsi="Verdana" w:cs="Verdana"/>
        </w:rPr>
        <w:t xml:space="preserve">estipulado en la Ley 80 de 1993 </w:t>
      </w:r>
      <w:r>
        <w:rPr>
          <w:rFonts w:ascii="Verdana" w:eastAsia="Verdana" w:hAnsi="Verdana" w:cs="Verdana"/>
        </w:rPr>
        <w:t>o en los manuales de contratación, dependiendo si quien adelanta el proceso de contratación es una entidad sometida al estatuto o de régimen especial,</w:t>
      </w:r>
      <w:r w:rsidRPr="0031763B">
        <w:rPr>
          <w:rFonts w:ascii="Verdana" w:eastAsia="Verdana" w:hAnsi="Verdana" w:cs="Verdana"/>
        </w:rPr>
        <w:t xml:space="preserve"> y en las condiciones específicas detalladas en el pliego de condiciones de dicho proceso. En primer lugar, la unión temporal debe ser constituida de acuerdo con las normas que rigen los contratos estatales, especificando claramente los </w:t>
      </w:r>
      <w:r w:rsidRPr="0031763B">
        <w:rPr>
          <w:rFonts w:ascii="Verdana" w:eastAsia="Verdana" w:hAnsi="Verdana" w:cs="Verdana"/>
        </w:rPr>
        <w:lastRenderedPageBreak/>
        <w:t>términos de participación de cada uno de los miembros, la distribución de responsabilidades, y las obligaciones relacionadas con el objeto contractual.</w:t>
      </w:r>
    </w:p>
    <w:p w14:paraId="372F9EC3" w14:textId="77777777" w:rsidR="006639D2" w:rsidRPr="0031763B" w:rsidRDefault="006639D2" w:rsidP="006639D2">
      <w:pPr>
        <w:spacing w:after="120" w:line="276" w:lineRule="auto"/>
        <w:ind w:right="49" w:firstLine="708"/>
        <w:jc w:val="both"/>
        <w:rPr>
          <w:rFonts w:ascii="Verdana" w:eastAsia="Verdana" w:hAnsi="Verdana" w:cs="Verdana"/>
        </w:rPr>
      </w:pPr>
      <w:r w:rsidRPr="0031763B">
        <w:rPr>
          <w:rFonts w:ascii="Verdana" w:eastAsia="Verdana" w:hAnsi="Verdana" w:cs="Verdana"/>
        </w:rPr>
        <w:t>Además, la empresa social del Estado, aunque sea parte de la unión temporal, sigue estando sujeta a las normas del régimen de contratación que aplican a todas las entidades estatales. De acuerdo con la Ley 80 de 1993, los consorcios y uniones temporales no requieren ser personas jurídicas para contratar, pero deben tener la capacidad legal para presentar propuestas y celebrar contratos. En este sentido, cada miembro de la unión temporal, incluida la ESE, debe cumplir con los requisitos habilitantes exigidos en el proceso de selección y seguir las reglas específicas sobre la forma de presentar las ofertas.</w:t>
      </w:r>
    </w:p>
    <w:p w14:paraId="38EA75D5" w14:textId="77777777" w:rsidR="006639D2" w:rsidRPr="0031763B" w:rsidRDefault="006639D2" w:rsidP="006639D2">
      <w:pPr>
        <w:spacing w:after="0" w:line="276" w:lineRule="auto"/>
        <w:ind w:right="51" w:firstLine="709"/>
        <w:jc w:val="both"/>
        <w:rPr>
          <w:rFonts w:ascii="Verdana" w:eastAsia="Verdana" w:hAnsi="Verdana" w:cs="Verdana"/>
        </w:rPr>
      </w:pPr>
      <w:r w:rsidRPr="0031763B">
        <w:rPr>
          <w:rFonts w:ascii="Verdana" w:eastAsia="Verdana" w:hAnsi="Verdana" w:cs="Verdana"/>
        </w:rPr>
        <w:t>Si bien las uniones temporales no tienen personalidad jurídica independiente, su creación depende de un acuerdo privado entre los miembros, en el cual se deben definir las bases de su participación, incluyendo el porcentaje de participación, los aportes y el alcance de las obligaciones dentro del contrato. Además, es fundamental que la composición de la unión temporal y las condiciones acordadas no sean modificadas una vez cerrado el proceso de contratación, ya que cualquier cambio posterior a la presentación de la oferta estaría prohibido, según lo establecido por la Ley 1882 de 2018.</w:t>
      </w:r>
    </w:p>
    <w:p w14:paraId="15B741CD" w14:textId="77777777" w:rsidR="006639D2" w:rsidRPr="009F0BAC" w:rsidRDefault="006639D2" w:rsidP="006639D2">
      <w:pPr>
        <w:spacing w:after="0" w:line="276" w:lineRule="auto"/>
        <w:ind w:right="51" w:firstLine="709"/>
        <w:jc w:val="both"/>
        <w:rPr>
          <w:rFonts w:ascii="Verdana" w:eastAsia="Verdana" w:hAnsi="Verdana" w:cs="Verdana"/>
        </w:rPr>
      </w:pPr>
    </w:p>
    <w:p w14:paraId="32640BA6" w14:textId="77777777" w:rsidR="006639D2" w:rsidRPr="009F0BAC" w:rsidRDefault="006639D2" w:rsidP="006639D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F0BAC">
        <w:rPr>
          <w:rFonts w:ascii="Verdana" w:eastAsia="Century Gothic" w:hAnsi="Verdana" w:cs="Century Gothic"/>
          <w:b/>
          <w:bCs/>
          <w:color w:val="000000" w:themeColor="text1"/>
        </w:rPr>
        <w:t>Referencias normativas, jurisprudenciales y otras fuentes:</w:t>
      </w:r>
    </w:p>
    <w:p w14:paraId="431F9F4B" w14:textId="77777777" w:rsidR="006639D2" w:rsidRPr="00115E3D" w:rsidRDefault="006639D2" w:rsidP="006639D2">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39D2" w:rsidRPr="00115E3D" w14:paraId="7D0F9DEA" w14:textId="77777777" w:rsidTr="006F1A38">
        <w:trPr>
          <w:trHeight w:val="870"/>
        </w:trPr>
        <w:tc>
          <w:tcPr>
            <w:tcW w:w="8647" w:type="dxa"/>
          </w:tcPr>
          <w:p w14:paraId="2F2EDEBB" w14:textId="77777777" w:rsidR="006639D2" w:rsidRPr="003D1706" w:rsidRDefault="006639D2" w:rsidP="006639D2">
            <w:pPr>
              <w:pStyle w:val="Prrafodelista"/>
              <w:widowControl w:val="0"/>
              <w:numPr>
                <w:ilvl w:val="0"/>
                <w:numId w:val="2"/>
              </w:numPr>
              <w:autoSpaceDE w:val="0"/>
              <w:autoSpaceDN w:val="0"/>
              <w:spacing w:line="276" w:lineRule="auto"/>
              <w:ind w:left="360"/>
              <w:contextualSpacing w:val="0"/>
              <w:jc w:val="both"/>
              <w:rPr>
                <w:rFonts w:ascii="Verdana" w:hAnsi="Verdana" w:cs="Arial"/>
              </w:rPr>
            </w:pPr>
            <w:r w:rsidRPr="00E708A8">
              <w:rPr>
                <w:rFonts w:ascii="Verdana" w:hAnsi="Verdana" w:cs="Arial"/>
              </w:rPr>
              <w:t xml:space="preserve">Código Civil, artículos 1502, 1503 y 1504. </w:t>
            </w:r>
          </w:p>
          <w:p w14:paraId="342387A6" w14:textId="77777777" w:rsidR="006639D2" w:rsidRPr="00E708A8" w:rsidRDefault="006639D2" w:rsidP="006639D2">
            <w:pPr>
              <w:pStyle w:val="Prrafodelista"/>
              <w:widowControl w:val="0"/>
              <w:numPr>
                <w:ilvl w:val="0"/>
                <w:numId w:val="2"/>
              </w:numPr>
              <w:autoSpaceDE w:val="0"/>
              <w:autoSpaceDN w:val="0"/>
              <w:spacing w:line="276" w:lineRule="auto"/>
              <w:ind w:left="360"/>
              <w:contextualSpacing w:val="0"/>
              <w:jc w:val="both"/>
              <w:rPr>
                <w:rFonts w:ascii="Verdana" w:hAnsi="Verdana" w:cs="Arial"/>
              </w:rPr>
            </w:pPr>
            <w:r w:rsidRPr="00E708A8">
              <w:rPr>
                <w:rFonts w:ascii="Verdana" w:hAnsi="Verdana" w:cs="Arial"/>
              </w:rPr>
              <w:t>Código de Comercio, artículo 99.</w:t>
            </w:r>
          </w:p>
          <w:p w14:paraId="5217AB5E" w14:textId="77777777" w:rsidR="006639D2" w:rsidRDefault="006639D2" w:rsidP="006639D2">
            <w:pPr>
              <w:pStyle w:val="Prrafodelista"/>
              <w:widowControl w:val="0"/>
              <w:numPr>
                <w:ilvl w:val="0"/>
                <w:numId w:val="2"/>
              </w:numPr>
              <w:autoSpaceDE w:val="0"/>
              <w:autoSpaceDN w:val="0"/>
              <w:spacing w:line="276" w:lineRule="auto"/>
              <w:ind w:left="360"/>
              <w:contextualSpacing w:val="0"/>
              <w:jc w:val="both"/>
              <w:rPr>
                <w:rFonts w:ascii="Verdana" w:hAnsi="Verdana" w:cs="Arial"/>
              </w:rPr>
            </w:pPr>
            <w:r w:rsidRPr="00E708A8">
              <w:rPr>
                <w:rFonts w:ascii="Verdana" w:hAnsi="Verdana" w:cs="Arial"/>
              </w:rPr>
              <w:t>Ley 80 de 1993, artículos 2, 6 y 7.</w:t>
            </w:r>
          </w:p>
          <w:p w14:paraId="71161A99" w14:textId="77777777" w:rsidR="006639D2" w:rsidRDefault="006639D2" w:rsidP="006639D2">
            <w:pPr>
              <w:pStyle w:val="Prrafodelista"/>
              <w:widowControl w:val="0"/>
              <w:numPr>
                <w:ilvl w:val="0"/>
                <w:numId w:val="2"/>
              </w:numPr>
              <w:autoSpaceDE w:val="0"/>
              <w:autoSpaceDN w:val="0"/>
              <w:spacing w:line="276" w:lineRule="auto"/>
              <w:ind w:left="360"/>
              <w:contextualSpacing w:val="0"/>
              <w:jc w:val="both"/>
              <w:rPr>
                <w:rFonts w:ascii="Verdana" w:hAnsi="Verdana" w:cs="Arial"/>
              </w:rPr>
            </w:pPr>
            <w:r>
              <w:rPr>
                <w:rFonts w:ascii="Verdana" w:hAnsi="Verdana" w:cs="Arial"/>
              </w:rPr>
              <w:t>Ley 1150 de 2007, artículo 5º, modificado por la Ley 1474 de 2011 y la Ley 1882 de 2018.</w:t>
            </w:r>
          </w:p>
          <w:p w14:paraId="78075D89" w14:textId="77777777" w:rsidR="006639D2" w:rsidRPr="00E708A8" w:rsidRDefault="006639D2" w:rsidP="006639D2">
            <w:pPr>
              <w:pStyle w:val="Prrafodelista"/>
              <w:widowControl w:val="0"/>
              <w:numPr>
                <w:ilvl w:val="0"/>
                <w:numId w:val="2"/>
              </w:numPr>
              <w:autoSpaceDE w:val="0"/>
              <w:autoSpaceDN w:val="0"/>
              <w:spacing w:line="276" w:lineRule="auto"/>
              <w:ind w:left="360"/>
              <w:contextualSpacing w:val="0"/>
              <w:jc w:val="both"/>
              <w:rPr>
                <w:rFonts w:ascii="Verdana" w:hAnsi="Verdana" w:cs="Arial"/>
              </w:rPr>
            </w:pPr>
            <w:r w:rsidRPr="002407CE">
              <w:rPr>
                <w:rFonts w:ascii="Verdana" w:hAnsi="Verdana" w:cs="Arial"/>
              </w:rPr>
              <w:t xml:space="preserve">Jurisprudencia de la Corte Constitucional. Disponible en:  </w:t>
            </w:r>
            <w:hyperlink r:id="rId10" w:history="1">
              <w:r w:rsidRPr="00DE449B">
                <w:rPr>
                  <w:rFonts w:ascii="Verdana" w:eastAsia="Verdana" w:hAnsi="Verdana" w:cs="Verdana"/>
                  <w:color w:val="0000FF"/>
                  <w:u w:color="0000FF"/>
                </w:rPr>
                <w:t>https://www.corteconstitucional.gov./relatoria/</w:t>
              </w:r>
            </w:hyperlink>
            <w:r w:rsidRPr="002407CE">
              <w:rPr>
                <w:rFonts w:ascii="Verdana" w:hAnsi="Verdana" w:cs="Arial"/>
              </w:rPr>
              <w:t xml:space="preserve"> </w:t>
            </w:r>
          </w:p>
          <w:p w14:paraId="4D9C37A5" w14:textId="77777777" w:rsidR="006639D2" w:rsidRPr="00D81159" w:rsidRDefault="006639D2" w:rsidP="006639D2">
            <w:pPr>
              <w:pStyle w:val="Prrafodelista"/>
              <w:numPr>
                <w:ilvl w:val="0"/>
                <w:numId w:val="2"/>
              </w:numPr>
              <w:spacing w:line="276" w:lineRule="auto"/>
              <w:ind w:left="360"/>
              <w:contextualSpacing w:val="0"/>
              <w:jc w:val="both"/>
              <w:rPr>
                <w:rFonts w:ascii="Verdana" w:hAnsi="Verdana" w:cs="Arial"/>
              </w:rPr>
            </w:pPr>
            <w:r w:rsidRPr="009F0BAC">
              <w:rPr>
                <w:rFonts w:ascii="Verdana" w:hAnsi="Verdana"/>
              </w:rPr>
              <w:t>Jurisprudencia del Consejo de Estado. Disponible en:</w:t>
            </w:r>
            <w:r w:rsidRPr="009F0BAC">
              <w:rPr>
                <w:rFonts w:ascii="Verdana" w:hAnsi="Verdana"/>
                <w:color w:val="0000FF"/>
              </w:rPr>
              <w:t xml:space="preserve"> </w:t>
            </w:r>
            <w:hyperlink r:id="rId11">
              <w:r w:rsidRPr="009F0BAC">
                <w:rPr>
                  <w:rFonts w:ascii="Verdana" w:hAnsi="Verdana"/>
                  <w:color w:val="0000FF"/>
                  <w:u w:val="single" w:color="0000FF"/>
                </w:rPr>
                <w:t>https://relatoria.c</w:t>
              </w:r>
            </w:hyperlink>
            <w:r w:rsidRPr="009F0BAC">
              <w:rPr>
                <w:rFonts w:ascii="Verdana" w:hAnsi="Verdana"/>
                <w:color w:val="0000FF"/>
                <w:spacing w:val="-75"/>
              </w:rPr>
              <w:t xml:space="preserve"> </w:t>
            </w:r>
            <w:hyperlink r:id="rId12">
              <w:r w:rsidRPr="009F0BAC">
                <w:rPr>
                  <w:rFonts w:ascii="Verdana" w:hAnsi="Verdana"/>
                  <w:color w:val="0000FF"/>
                  <w:u w:val="single" w:color="0000FF"/>
                </w:rPr>
                <w:t>olombiacompra.gov.co/providencias-consejo-de-estado/</w:t>
              </w:r>
            </w:hyperlink>
            <w:r w:rsidRPr="007F4CB0">
              <w:rPr>
                <w:rFonts w:ascii="Verdana" w:hAnsi="Verdana" w:cs="Arial"/>
              </w:rPr>
              <w:t xml:space="preserve"> </w:t>
            </w:r>
          </w:p>
        </w:tc>
      </w:tr>
    </w:tbl>
    <w:p w14:paraId="5B2A0634" w14:textId="77777777" w:rsidR="006639D2" w:rsidRPr="00115E3D" w:rsidRDefault="006639D2" w:rsidP="006639D2">
      <w:pPr>
        <w:widowControl w:val="0"/>
        <w:autoSpaceDE w:val="0"/>
        <w:autoSpaceDN w:val="0"/>
        <w:spacing w:after="0" w:line="276" w:lineRule="auto"/>
        <w:jc w:val="both"/>
        <w:rPr>
          <w:rFonts w:ascii="Verdana" w:hAnsi="Verdana" w:cs="Arial"/>
          <w:color w:val="000000" w:themeColor="text1"/>
        </w:rPr>
      </w:pPr>
    </w:p>
    <w:p w14:paraId="763CDDD1" w14:textId="77777777" w:rsidR="006639D2" w:rsidRPr="00115E3D" w:rsidRDefault="006639D2" w:rsidP="006639D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18168E78" w14:textId="77777777" w:rsidR="006639D2" w:rsidRPr="00115E3D" w:rsidRDefault="006639D2" w:rsidP="006639D2">
      <w:pPr>
        <w:widowControl w:val="0"/>
        <w:autoSpaceDE w:val="0"/>
        <w:autoSpaceDN w:val="0"/>
        <w:spacing w:after="0" w:line="276" w:lineRule="auto"/>
        <w:jc w:val="both"/>
        <w:rPr>
          <w:rFonts w:ascii="Verdana" w:hAnsi="Verdana" w:cs="Arial"/>
          <w:color w:val="000000" w:themeColor="text1"/>
        </w:rPr>
      </w:pPr>
    </w:p>
    <w:p w14:paraId="346448AB" w14:textId="77777777" w:rsidR="006639D2" w:rsidRPr="00824BAD" w:rsidRDefault="006639D2" w:rsidP="006639D2">
      <w:pPr>
        <w:widowControl w:val="0"/>
        <w:autoSpaceDE w:val="0"/>
        <w:autoSpaceDN w:val="0"/>
        <w:spacing w:after="0" w:line="276" w:lineRule="auto"/>
        <w:jc w:val="both"/>
        <w:rPr>
          <w:rStyle w:val="normaltextrun"/>
          <w:rFonts w:ascii="Verdana" w:eastAsia="Times New Roman" w:hAnsi="Verdana" w:cs="Arial"/>
          <w:shd w:val="clear" w:color="auto" w:fill="FFFFFF"/>
          <w:lang w:val="es-ES"/>
        </w:rPr>
      </w:pPr>
      <w:r>
        <w:rPr>
          <w:rStyle w:val="normaltextrun"/>
          <w:rFonts w:ascii="Verdana" w:hAnsi="Verdana" w:cs="Arial"/>
          <w:shd w:val="clear" w:color="auto" w:fill="FFFFFF"/>
          <w:lang w:val="es-ES"/>
        </w:rPr>
        <w:t>E</w:t>
      </w:r>
      <w:r w:rsidRPr="00EA761C">
        <w:rPr>
          <w:rStyle w:val="normaltextrun"/>
          <w:rFonts w:ascii="Verdana" w:hAnsi="Verdana" w:cs="Arial"/>
          <w:shd w:val="clear" w:color="auto" w:fill="FFFFFF"/>
          <w:lang w:val="es-ES"/>
        </w:rPr>
        <w:t>sta Subdirección </w:t>
      </w:r>
      <w:r>
        <w:rPr>
          <w:rStyle w:val="normaltextrun"/>
          <w:rFonts w:ascii="Verdana" w:hAnsi="Verdana" w:cs="Arial"/>
          <w:shd w:val="clear" w:color="auto" w:fill="FFFFFF"/>
          <w:lang w:val="es-ES"/>
        </w:rPr>
        <w:t>se ha pronunciado s</w:t>
      </w:r>
      <w:r w:rsidRPr="00EA761C">
        <w:rPr>
          <w:rStyle w:val="normaltextrun"/>
          <w:rFonts w:ascii="Verdana" w:hAnsi="Verdana" w:cs="Arial"/>
          <w:shd w:val="clear" w:color="auto" w:fill="FFFFFF"/>
          <w:lang w:val="es-ES"/>
        </w:rPr>
        <w:t>obre los consorcios y las uniones temporales en los Conceptos</w:t>
      </w:r>
      <w:r w:rsidRPr="00EA761C">
        <w:rPr>
          <w:rStyle w:val="normaltextrun"/>
          <w:rFonts w:ascii="Verdana" w:hAnsi="Verdana" w:cs="Calibri"/>
          <w:shd w:val="clear" w:color="auto" w:fill="FFFFFF"/>
        </w:rPr>
        <w:t xml:space="preserve"> </w:t>
      </w:r>
      <w:r w:rsidRPr="00167520">
        <w:rPr>
          <w:rStyle w:val="normaltextrun"/>
          <w:rFonts w:ascii="Verdana" w:hAnsi="Verdana" w:cs="Calibri"/>
          <w:shd w:val="clear" w:color="auto" w:fill="FFFFFF"/>
        </w:rPr>
        <w:t>4201912000006909</w:t>
      </w:r>
      <w:r>
        <w:rPr>
          <w:rStyle w:val="normaltextrun"/>
          <w:rFonts w:ascii="Verdana" w:hAnsi="Verdana" w:cs="Calibri"/>
          <w:shd w:val="clear" w:color="auto" w:fill="FFFFFF"/>
        </w:rPr>
        <w:t xml:space="preserve"> del 28 de octubre de 2029, </w:t>
      </w:r>
      <w:r w:rsidRPr="00EA761C">
        <w:rPr>
          <w:rStyle w:val="normaltextrun"/>
          <w:rFonts w:ascii="Verdana" w:hAnsi="Verdana" w:cs="Arial"/>
          <w:shd w:val="clear" w:color="auto" w:fill="FFFFFF"/>
          <w:lang w:val="es-ES"/>
        </w:rPr>
        <w:lastRenderedPageBreak/>
        <w:t xml:space="preserve">4201913000007643 del 26 de diciembre de 2019, C-343 del 17 de junio de 2020, C-518 del 9 de septiembre de 2020, C-614 del 5 de octubre de 2022, C-882 del 21 de diciembre </w:t>
      </w:r>
      <w:r w:rsidRPr="00167520">
        <w:rPr>
          <w:rStyle w:val="normaltextrun"/>
          <w:rFonts w:ascii="Verdana" w:hAnsi="Verdana" w:cs="Arial"/>
          <w:shd w:val="clear" w:color="auto" w:fill="FFFFFF"/>
          <w:lang w:val="es-ES"/>
        </w:rPr>
        <w:t>de 2022, C-172 del 6 de junio de 2023, C-032 del 16 de abril de 2024, C-050 del 18 de julio de 2024,</w:t>
      </w:r>
      <w:r w:rsidRPr="00167520">
        <w:rPr>
          <w:rStyle w:val="normaltextrun"/>
          <w:rFonts w:ascii="Verdana" w:hAnsi="Verdana" w:cs="Arial"/>
          <w:color w:val="000000" w:themeColor="text1"/>
          <w:shd w:val="clear" w:color="auto" w:fill="FFFFFF"/>
          <w:lang w:val="es-ES"/>
        </w:rPr>
        <w:t xml:space="preserve"> C-100 del 12 de junio de 2024, 727 del 28 de octubre de 2024, Concepto C-894 del 11 de diciembre de 2024, </w:t>
      </w:r>
      <w:r w:rsidRPr="00167520">
        <w:rPr>
          <w:rStyle w:val="normaltextrun"/>
          <w:rFonts w:ascii="Verdana" w:hAnsi="Verdana"/>
          <w:color w:val="000000" w:themeColor="text1"/>
          <w:shd w:val="clear" w:color="auto" w:fill="FFFFFF"/>
          <w:lang w:val="es-ES"/>
        </w:rPr>
        <w:t xml:space="preserve">C-936 </w:t>
      </w:r>
      <w:r w:rsidRPr="00167520">
        <w:rPr>
          <w:rStyle w:val="normaltextrun"/>
          <w:rFonts w:ascii="Verdana" w:hAnsi="Verdana"/>
          <w:color w:val="000000" w:themeColor="text1"/>
          <w:shd w:val="clear" w:color="auto" w:fill="FFFFFF"/>
        </w:rPr>
        <w:t xml:space="preserve">del 18 de diciembre de 2024, Concepto C-016 del 11 de febrero de 2025, </w:t>
      </w:r>
      <w:r w:rsidRPr="00167520">
        <w:rPr>
          <w:rStyle w:val="normaltextrun"/>
          <w:rFonts w:ascii="Verdana" w:hAnsi="Verdana" w:cs="Arial"/>
          <w:color w:val="000000" w:themeColor="text1"/>
          <w:shd w:val="clear" w:color="auto" w:fill="FFFFFF"/>
          <w:lang w:val="es-ES"/>
        </w:rPr>
        <w:t>entre otros</w:t>
      </w:r>
      <w:r w:rsidRPr="00167520">
        <w:rPr>
          <w:rFonts w:ascii="Verdana" w:hAnsi="Verdana"/>
          <w:color w:val="000000" w:themeColor="text1"/>
        </w:rPr>
        <w:t>.</w:t>
      </w:r>
      <w:r w:rsidRPr="00167520">
        <w:rPr>
          <w:rFonts w:ascii="Verdana" w:hAnsi="Verdana" w:cs="Arial"/>
          <w:color w:val="000000" w:themeColor="text1"/>
          <w:shd w:val="clear" w:color="auto" w:fill="FFFFFF"/>
        </w:rPr>
        <w:t xml:space="preserve">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3" w:history="1">
        <w:r w:rsidRPr="00401F64">
          <w:rPr>
            <w:rStyle w:val="Hipervnculo"/>
            <w:rFonts w:ascii="Verdana" w:hAnsi="Verdana" w:cs="Arial"/>
            <w:shd w:val="clear" w:color="auto" w:fill="FFFFFF"/>
          </w:rPr>
          <w:t>https://relatoria.colombiacompra.gov.co/busqueda/conceptos</w:t>
        </w:r>
      </w:hyperlink>
      <w:r w:rsidRPr="009F0BAC">
        <w:rPr>
          <w:rStyle w:val="Hipervnculo"/>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06448F02" w14:textId="77777777" w:rsidR="006639D2" w:rsidRPr="00115E3D" w:rsidRDefault="006639D2" w:rsidP="006639D2">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0F2EECC3" w14:textId="77777777" w:rsidR="006639D2" w:rsidRPr="00115E3D" w:rsidRDefault="006639D2" w:rsidP="006639D2">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4" w:history="1">
        <w:r w:rsidRPr="00115E3D">
          <w:rPr>
            <w:rStyle w:val="Hipervnculo"/>
            <w:rFonts w:ascii="Verdana" w:hAnsi="Verdana" w:cs="Arial"/>
            <w:color w:val="000000" w:themeColor="text1"/>
            <w:shd w:val="clear" w:color="auto" w:fill="FFFFFF"/>
            <w:lang w:val="es-ES"/>
          </w:rPr>
          <w:t>https://www.colombiacompra.gov.co/sala-de-prensa/boletin-digital</w:t>
        </w:r>
      </w:hyperlink>
      <w:r w:rsidRPr="00115E3D">
        <w:rPr>
          <w:rStyle w:val="normaltextrun"/>
          <w:rFonts w:ascii="Verdana" w:hAnsi="Verdana" w:cs="Arial"/>
          <w:color w:val="000000" w:themeColor="text1"/>
          <w:shd w:val="clear" w:color="auto" w:fill="FFFFFF"/>
          <w:lang w:val="es-ES"/>
        </w:rPr>
        <w:t xml:space="preserve">      </w:t>
      </w:r>
    </w:p>
    <w:p w14:paraId="163DAEB0" w14:textId="77777777" w:rsidR="006639D2" w:rsidRPr="00115E3D" w:rsidRDefault="006639D2" w:rsidP="006639D2">
      <w:pPr>
        <w:spacing w:after="0" w:line="276" w:lineRule="auto"/>
        <w:jc w:val="both"/>
        <w:rPr>
          <w:rFonts w:ascii="Verdana" w:hAnsi="Verdana"/>
          <w:color w:val="000000" w:themeColor="text1"/>
        </w:rPr>
      </w:pPr>
      <w:r w:rsidRPr="00115E3D">
        <w:rPr>
          <w:rFonts w:ascii="Verdana" w:hAnsi="Verdana"/>
          <w:color w:val="000000" w:themeColor="text1"/>
        </w:rPr>
        <w:t xml:space="preserve">Por último, lo invitamos a seguirnos en las redes sociales en las cuales se difunde información institucional: </w:t>
      </w:r>
    </w:p>
    <w:p w14:paraId="5763521B" w14:textId="77777777" w:rsidR="006639D2" w:rsidRPr="00115E3D" w:rsidRDefault="006639D2" w:rsidP="006639D2">
      <w:pPr>
        <w:spacing w:after="0" w:line="276" w:lineRule="auto"/>
        <w:jc w:val="both"/>
        <w:rPr>
          <w:rFonts w:ascii="Verdana" w:hAnsi="Verdana"/>
          <w:color w:val="000000" w:themeColor="text1"/>
        </w:rPr>
      </w:pPr>
    </w:p>
    <w:p w14:paraId="1851AA2E" w14:textId="77777777" w:rsidR="006639D2" w:rsidRPr="00115E3D" w:rsidRDefault="006639D2" w:rsidP="006639D2">
      <w:pPr>
        <w:spacing w:after="0" w:line="276"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0FFA6E6C" w14:textId="77777777" w:rsidR="006639D2" w:rsidRPr="00115E3D" w:rsidRDefault="006639D2" w:rsidP="006639D2">
      <w:pPr>
        <w:spacing w:after="0" w:line="276"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156AD232" w14:textId="77777777" w:rsidR="006639D2" w:rsidRPr="00115E3D" w:rsidRDefault="006639D2" w:rsidP="006639D2">
      <w:pPr>
        <w:spacing w:after="0" w:line="276"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3E0E7B0A" w14:textId="77777777" w:rsidR="006639D2" w:rsidRPr="00115E3D" w:rsidRDefault="006639D2" w:rsidP="006639D2">
      <w:pPr>
        <w:widowControl w:val="0"/>
        <w:autoSpaceDE w:val="0"/>
        <w:autoSpaceDN w:val="0"/>
        <w:spacing w:after="0" w:line="276" w:lineRule="auto"/>
        <w:jc w:val="both"/>
        <w:rPr>
          <w:rFonts w:ascii="Verdana" w:hAnsi="Verdana" w:cs="Arial"/>
          <w:color w:val="000000" w:themeColor="text1"/>
        </w:rPr>
      </w:pPr>
    </w:p>
    <w:p w14:paraId="4C931549" w14:textId="77777777" w:rsidR="006639D2" w:rsidRPr="00115E3D" w:rsidRDefault="006639D2" w:rsidP="006639D2">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1A46584" w14:textId="77777777" w:rsidR="006639D2" w:rsidRPr="00115E3D" w:rsidRDefault="006639D2" w:rsidP="006639D2">
      <w:pPr>
        <w:widowControl w:val="0"/>
        <w:autoSpaceDE w:val="0"/>
        <w:autoSpaceDN w:val="0"/>
        <w:spacing w:after="0" w:line="276" w:lineRule="auto"/>
        <w:jc w:val="both"/>
        <w:rPr>
          <w:rFonts w:ascii="Verdana" w:hAnsi="Verdana" w:cs="Arial"/>
          <w:color w:val="000000" w:themeColor="text1"/>
        </w:rPr>
      </w:pPr>
    </w:p>
    <w:p w14:paraId="5AD7442E" w14:textId="77777777" w:rsidR="006639D2" w:rsidRPr="00115E3D" w:rsidRDefault="006639D2" w:rsidP="006639D2">
      <w:pPr>
        <w:spacing w:after="0" w:line="276"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0F5F80A4" w14:textId="42D9FD31" w:rsidR="006639D2" w:rsidRPr="00115E3D" w:rsidRDefault="001D3260" w:rsidP="006639D2">
      <w:pPr>
        <w:spacing w:line="276" w:lineRule="auto"/>
        <w:jc w:val="center"/>
        <w:rPr>
          <w:rFonts w:ascii="Verdana" w:hAnsi="Verdana" w:cs="Arial"/>
          <w:color w:val="000000" w:themeColor="text1"/>
          <w:lang w:val="es-ES_tradnl" w:eastAsia="es-CO"/>
        </w:rPr>
      </w:pPr>
      <w:r>
        <w:rPr>
          <w:noProof/>
        </w:rPr>
        <w:drawing>
          <wp:inline distT="0" distB="0" distL="0" distR="0" wp14:anchorId="3FD3189E" wp14:editId="20643ABE">
            <wp:extent cx="3543300" cy="131531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552216" cy="1318626"/>
                    </a:xfrm>
                    <a:prstGeom prst="rect">
                      <a:avLst/>
                    </a:prstGeom>
                  </pic:spPr>
                </pic:pic>
              </a:graphicData>
            </a:graphic>
          </wp:inline>
        </w:drawing>
      </w:r>
    </w:p>
    <w:tbl>
      <w:tblPr>
        <w:tblW w:w="60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5286"/>
      </w:tblGrid>
      <w:tr w:rsidR="006639D2" w:rsidRPr="00AB62FA" w14:paraId="4295B82F" w14:textId="77777777" w:rsidTr="006F1A38">
        <w:trPr>
          <w:trHeight w:val="315"/>
        </w:trPr>
        <w:tc>
          <w:tcPr>
            <w:tcW w:w="810" w:type="dxa"/>
            <w:tcBorders>
              <w:top w:val="nil"/>
              <w:left w:val="nil"/>
              <w:bottom w:val="nil"/>
              <w:right w:val="nil"/>
            </w:tcBorders>
            <w:shd w:val="clear" w:color="auto" w:fill="auto"/>
            <w:vAlign w:val="center"/>
            <w:hideMark/>
          </w:tcPr>
          <w:p w14:paraId="5DD6C494"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r w:rsidRPr="00AB62FA">
              <w:rPr>
                <w:rFonts w:ascii="Verdana" w:eastAsia="Times New Roman" w:hAnsi="Verdana" w:cs="Arial"/>
                <w:sz w:val="14"/>
                <w:szCs w:val="14"/>
                <w:lang w:eastAsia="es-CO"/>
              </w:rPr>
              <w:lastRenderedPageBreak/>
              <w:t> </w:t>
            </w:r>
            <w:r w:rsidRPr="00AB62FA">
              <w:rPr>
                <w:rFonts w:ascii="Verdana" w:eastAsia="Calibri" w:hAnsi="Verdana" w:cs="Arial"/>
                <w:sz w:val="14"/>
                <w:szCs w:val="14"/>
              </w:rPr>
              <w:t>Elaboró: </w:t>
            </w:r>
          </w:p>
        </w:tc>
        <w:tc>
          <w:tcPr>
            <w:tcW w:w="5286" w:type="dxa"/>
            <w:tcBorders>
              <w:top w:val="nil"/>
              <w:left w:val="nil"/>
              <w:bottom w:val="dotted" w:sz="6" w:space="0" w:color="7F7F7F"/>
              <w:right w:val="nil"/>
            </w:tcBorders>
            <w:shd w:val="clear" w:color="auto" w:fill="auto"/>
            <w:vAlign w:val="center"/>
            <w:hideMark/>
          </w:tcPr>
          <w:p w14:paraId="13405A07" w14:textId="77777777" w:rsidR="006639D2" w:rsidRPr="00AB62FA" w:rsidRDefault="006639D2" w:rsidP="006F1A38">
            <w:pPr>
              <w:spacing w:after="0" w:line="240" w:lineRule="auto"/>
              <w:jc w:val="both"/>
              <w:rPr>
                <w:rFonts w:ascii="Verdana" w:hAnsi="Verdana" w:cs="Arial"/>
                <w:sz w:val="14"/>
                <w:szCs w:val="14"/>
              </w:rPr>
            </w:pPr>
            <w:r w:rsidRPr="00AB62FA">
              <w:rPr>
                <w:rFonts w:ascii="Verdana" w:hAnsi="Verdana" w:cs="Arial"/>
                <w:sz w:val="14"/>
                <w:szCs w:val="14"/>
              </w:rPr>
              <w:t>Andreina Cerpa Muñoz</w:t>
            </w:r>
          </w:p>
          <w:p w14:paraId="26CA867A"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r w:rsidRPr="00AB62FA">
              <w:rPr>
                <w:rFonts w:ascii="Verdana" w:hAnsi="Verdana" w:cs="Arial"/>
                <w:sz w:val="14"/>
                <w:szCs w:val="14"/>
              </w:rPr>
              <w:t>Analista T2-0</w:t>
            </w:r>
            <w:r>
              <w:rPr>
                <w:rFonts w:ascii="Verdana" w:hAnsi="Verdana" w:cs="Arial"/>
                <w:sz w:val="14"/>
                <w:szCs w:val="14"/>
              </w:rPr>
              <w:t>2</w:t>
            </w:r>
            <w:r w:rsidRPr="00AB62FA">
              <w:rPr>
                <w:rFonts w:ascii="Verdana" w:hAnsi="Verdana" w:cs="Arial"/>
                <w:sz w:val="14"/>
                <w:szCs w:val="14"/>
              </w:rPr>
              <w:t xml:space="preserve"> de la Subdirección de Gestión Contractual</w:t>
            </w:r>
          </w:p>
        </w:tc>
      </w:tr>
      <w:tr w:rsidR="006639D2" w:rsidRPr="00AB62FA" w14:paraId="6BF68917" w14:textId="77777777" w:rsidTr="006F1A38">
        <w:trPr>
          <w:trHeight w:val="315"/>
        </w:trPr>
        <w:tc>
          <w:tcPr>
            <w:tcW w:w="810" w:type="dxa"/>
            <w:tcBorders>
              <w:top w:val="nil"/>
              <w:left w:val="nil"/>
              <w:bottom w:val="nil"/>
              <w:right w:val="nil"/>
            </w:tcBorders>
            <w:shd w:val="clear" w:color="auto" w:fill="auto"/>
            <w:vAlign w:val="center"/>
            <w:hideMark/>
          </w:tcPr>
          <w:p w14:paraId="04C7AFF4"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r w:rsidRPr="00AB62FA">
              <w:rPr>
                <w:rFonts w:ascii="Verdana" w:eastAsia="Calibri" w:hAnsi="Verdana" w:cs="Arial"/>
                <w:sz w:val="14"/>
                <w:szCs w:val="14"/>
              </w:rPr>
              <w:t>Revisó: </w:t>
            </w:r>
          </w:p>
        </w:tc>
        <w:tc>
          <w:tcPr>
            <w:tcW w:w="5286" w:type="dxa"/>
            <w:tcBorders>
              <w:top w:val="dotted" w:sz="6" w:space="0" w:color="7F7F7F"/>
              <w:left w:val="nil"/>
              <w:bottom w:val="dotted" w:sz="6" w:space="0" w:color="7F7F7F"/>
              <w:right w:val="nil"/>
            </w:tcBorders>
            <w:shd w:val="clear" w:color="auto" w:fill="auto"/>
            <w:vAlign w:val="center"/>
            <w:hideMark/>
          </w:tcPr>
          <w:p w14:paraId="7BB5E50D" w14:textId="77777777" w:rsidR="006639D2" w:rsidRPr="00AB62FA" w:rsidRDefault="006639D2" w:rsidP="006F1A38">
            <w:pPr>
              <w:spacing w:after="0" w:line="240" w:lineRule="auto"/>
              <w:jc w:val="both"/>
              <w:rPr>
                <w:rFonts w:ascii="Verdana" w:hAnsi="Verdana" w:cs="Arial"/>
                <w:sz w:val="14"/>
                <w:szCs w:val="14"/>
              </w:rPr>
            </w:pPr>
            <w:r>
              <w:rPr>
                <w:rFonts w:ascii="Verdana" w:hAnsi="Verdana" w:cs="Arial"/>
                <w:sz w:val="14"/>
                <w:szCs w:val="14"/>
              </w:rPr>
              <w:t xml:space="preserve">Diana lucia Saavedra </w:t>
            </w:r>
          </w:p>
          <w:p w14:paraId="0C211385"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r>
              <w:rPr>
                <w:rFonts w:ascii="Verdana" w:hAnsi="Verdana" w:cs="Arial"/>
                <w:sz w:val="14"/>
                <w:szCs w:val="14"/>
              </w:rPr>
              <w:t xml:space="preserve">Contratista </w:t>
            </w:r>
            <w:r w:rsidRPr="00AB62FA">
              <w:rPr>
                <w:rFonts w:ascii="Verdana" w:hAnsi="Verdana" w:cs="Arial"/>
                <w:sz w:val="14"/>
                <w:szCs w:val="14"/>
              </w:rPr>
              <w:t>de la Subdirección de Gestión Contractual</w:t>
            </w:r>
          </w:p>
        </w:tc>
      </w:tr>
      <w:tr w:rsidR="006639D2" w:rsidRPr="00AB62FA" w14:paraId="586353B4" w14:textId="77777777" w:rsidTr="006F1A38">
        <w:trPr>
          <w:trHeight w:val="300"/>
        </w:trPr>
        <w:tc>
          <w:tcPr>
            <w:tcW w:w="810" w:type="dxa"/>
            <w:tcBorders>
              <w:top w:val="nil"/>
              <w:left w:val="nil"/>
              <w:bottom w:val="nil"/>
              <w:right w:val="nil"/>
            </w:tcBorders>
            <w:shd w:val="clear" w:color="auto" w:fill="auto"/>
            <w:vAlign w:val="center"/>
            <w:hideMark/>
          </w:tcPr>
          <w:p w14:paraId="6BF624E6"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r w:rsidRPr="00AB62FA">
              <w:rPr>
                <w:rFonts w:ascii="Verdana" w:eastAsia="Calibri" w:hAnsi="Verdana" w:cs="Arial"/>
                <w:sz w:val="14"/>
                <w:szCs w:val="14"/>
              </w:rPr>
              <w:t>Aprobó: </w:t>
            </w:r>
          </w:p>
        </w:tc>
        <w:tc>
          <w:tcPr>
            <w:tcW w:w="5286" w:type="dxa"/>
            <w:tcBorders>
              <w:top w:val="dotted" w:sz="6" w:space="0" w:color="7F7F7F"/>
              <w:left w:val="nil"/>
              <w:bottom w:val="dotted" w:sz="6" w:space="0" w:color="7F7F7F"/>
              <w:right w:val="nil"/>
            </w:tcBorders>
            <w:shd w:val="clear" w:color="auto" w:fill="auto"/>
            <w:vAlign w:val="center"/>
            <w:hideMark/>
          </w:tcPr>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0"/>
            </w:tblGrid>
            <w:tr w:rsidR="006639D2" w:rsidRPr="00AB62FA" w14:paraId="7396BA8E" w14:textId="77777777" w:rsidTr="006F1A38">
              <w:trPr>
                <w:trHeight w:val="300"/>
              </w:trPr>
              <w:tc>
                <w:tcPr>
                  <w:tcW w:w="4410"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5CF27AF9"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r w:rsidRPr="00AB62FA">
                    <w:rPr>
                      <w:rFonts w:ascii="Verdana" w:eastAsia="Calibri" w:hAnsi="Verdana" w:cs="Arial"/>
                      <w:sz w:val="14"/>
                      <w:szCs w:val="14"/>
                    </w:rPr>
                    <w:t>Carolina Quintero Gacharná</w:t>
                  </w:r>
                </w:p>
                <w:p w14:paraId="5D648031"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r w:rsidRPr="00AB62FA">
                    <w:rPr>
                      <w:rFonts w:ascii="Verdana" w:eastAsia="Calibri" w:hAnsi="Verdana" w:cs="Arial"/>
                      <w:sz w:val="14"/>
                      <w:szCs w:val="14"/>
                    </w:rPr>
                    <w:t>Subdirectora de Gestión Contractual ANCP-CCE</w:t>
                  </w:r>
                </w:p>
              </w:tc>
            </w:tr>
          </w:tbl>
          <w:p w14:paraId="787FC2DB" w14:textId="77777777" w:rsidR="006639D2" w:rsidRPr="00AB62FA" w:rsidRDefault="006639D2" w:rsidP="006F1A38">
            <w:pPr>
              <w:autoSpaceDE w:val="0"/>
              <w:autoSpaceDN w:val="0"/>
              <w:adjustRightInd w:val="0"/>
              <w:spacing w:after="0" w:line="240" w:lineRule="auto"/>
              <w:jc w:val="both"/>
              <w:rPr>
                <w:rFonts w:ascii="Verdana" w:eastAsia="Calibri" w:hAnsi="Verdana" w:cs="Arial"/>
                <w:sz w:val="14"/>
                <w:szCs w:val="14"/>
              </w:rPr>
            </w:pPr>
          </w:p>
        </w:tc>
      </w:tr>
    </w:tbl>
    <w:p w14:paraId="1923CEE3" w14:textId="77777777" w:rsidR="000F5A42" w:rsidRPr="006639D2" w:rsidRDefault="000F5A42" w:rsidP="006639D2"/>
    <w:sectPr w:rsidR="000F5A42" w:rsidRPr="006639D2" w:rsidSect="00D97DFE">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1B76B" w14:textId="77777777" w:rsidR="00783B63" w:rsidRDefault="00783B63" w:rsidP="00D97DFE">
      <w:pPr>
        <w:spacing w:after="0" w:line="240" w:lineRule="auto"/>
      </w:pPr>
      <w:r>
        <w:separator/>
      </w:r>
    </w:p>
  </w:endnote>
  <w:endnote w:type="continuationSeparator" w:id="0">
    <w:p w14:paraId="2FED0B44" w14:textId="77777777" w:rsidR="00783B63" w:rsidRDefault="00783B63" w:rsidP="00D97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C69E" w14:textId="77777777" w:rsidR="00E62CF7" w:rsidRDefault="00E62CF7" w:rsidP="000849D5">
    <w:pPr>
      <w:spacing w:after="0"/>
      <w:rPr>
        <w:rFonts w:ascii="Verdana" w:hAnsi="Verdana"/>
        <w:b/>
        <w:bCs/>
        <w:sz w:val="20"/>
        <w:szCs w:val="20"/>
      </w:rPr>
    </w:pPr>
  </w:p>
  <w:p w14:paraId="00AE9011" w14:textId="77777777" w:rsidR="00E62CF7" w:rsidRPr="00174B77" w:rsidRDefault="003D3057"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3D9889C" w14:textId="77777777" w:rsidR="00E62CF7" w:rsidRDefault="003D3057"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0B5A9780" w14:textId="77777777" w:rsidR="00E62CF7" w:rsidRPr="00E41027" w:rsidRDefault="003D3057" w:rsidP="000849D5">
    <w:pPr>
      <w:spacing w:after="0"/>
      <w:jc w:val="both"/>
      <w:rPr>
        <w:rFonts w:ascii="Verdana" w:hAnsi="Verdana"/>
        <w:sz w:val="18"/>
        <w:szCs w:val="18"/>
      </w:rPr>
    </w:pPr>
    <w:r w:rsidRPr="00E41027">
      <w:rPr>
        <w:rFonts w:ascii="Verdana" w:hAnsi="Verdana"/>
        <w:sz w:val="18"/>
        <w:szCs w:val="18"/>
      </w:rPr>
      <w:t>Mesa de servicio: (+57) 601 7456788</w:t>
    </w:r>
  </w:p>
  <w:p w14:paraId="2D72CBBD" w14:textId="77777777" w:rsidR="00E62CF7" w:rsidRDefault="003D3057"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27FEDB04" w14:textId="77777777" w:rsidR="00E62CF7" w:rsidRPr="007D04B2" w:rsidRDefault="00E62CF7" w:rsidP="000849D5">
    <w:pPr>
      <w:pStyle w:val="Piedepgina"/>
    </w:pPr>
  </w:p>
  <w:p w14:paraId="7724FB9F" w14:textId="77777777" w:rsidR="00E62CF7" w:rsidRPr="000849D5" w:rsidRDefault="00E62CF7"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F2A0A" w14:textId="77777777" w:rsidR="00783B63" w:rsidRDefault="00783B63" w:rsidP="00D97DFE">
      <w:pPr>
        <w:spacing w:after="0" w:line="240" w:lineRule="auto"/>
      </w:pPr>
      <w:r>
        <w:separator/>
      </w:r>
    </w:p>
  </w:footnote>
  <w:footnote w:type="continuationSeparator" w:id="0">
    <w:p w14:paraId="787C32F1" w14:textId="77777777" w:rsidR="00783B63" w:rsidRDefault="00783B63" w:rsidP="00D97DFE">
      <w:pPr>
        <w:spacing w:after="0" w:line="240" w:lineRule="auto"/>
      </w:pPr>
      <w:r>
        <w:continuationSeparator/>
      </w:r>
    </w:p>
  </w:footnote>
  <w:footnote w:id="1">
    <w:p w14:paraId="6A88EB67" w14:textId="77777777" w:rsidR="006639D2" w:rsidRPr="0008723A" w:rsidRDefault="006639D2" w:rsidP="006639D2">
      <w:pPr>
        <w:pStyle w:val="Textonotapie"/>
        <w:ind w:firstLine="708"/>
        <w:jc w:val="both"/>
        <w:rPr>
          <w:rFonts w:ascii="Verdana" w:hAnsi="Verdana"/>
          <w:sz w:val="16"/>
          <w:szCs w:val="16"/>
          <w:lang w:val="es-ES"/>
        </w:rPr>
      </w:pPr>
      <w:r w:rsidRPr="0008723A">
        <w:rPr>
          <w:rStyle w:val="Refdenotaalpie"/>
          <w:rFonts w:ascii="Verdana" w:hAnsi="Verdana"/>
          <w:sz w:val="16"/>
          <w:szCs w:val="16"/>
        </w:rPr>
        <w:footnoteRef/>
      </w:r>
      <w:r w:rsidRPr="0008723A">
        <w:rPr>
          <w:rFonts w:ascii="Verdana" w:hAnsi="Verdana"/>
          <w:sz w:val="16"/>
          <w:szCs w:val="16"/>
        </w:rPr>
        <w:t xml:space="preserve"> CORTE CONSTITUCIONAL. Sentencia C-949 del 5 de septiembre de 2001. M.P.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55E8" w14:textId="77777777" w:rsidR="00E62CF7" w:rsidRDefault="003D3057"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B0EE892" wp14:editId="55FCDCE3">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0B2E4FA" wp14:editId="4A0735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2DE5397" w14:textId="77777777" w:rsidR="00E62CF7" w:rsidRDefault="00E62CF7" w:rsidP="00515FB5">
    <w:pPr>
      <w:pStyle w:val="Encabezado"/>
    </w:pPr>
  </w:p>
  <w:p w14:paraId="46398512" w14:textId="77777777" w:rsidR="00E62CF7" w:rsidRDefault="00E62CF7" w:rsidP="00515FB5">
    <w:pPr>
      <w:pStyle w:val="Encabezado"/>
    </w:pPr>
  </w:p>
  <w:p w14:paraId="27B2ECBD" w14:textId="77777777" w:rsidR="00E62CF7" w:rsidRPr="00515FB5" w:rsidRDefault="00E62CF7"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FE"/>
    <w:rsid w:val="00004B54"/>
    <w:rsid w:val="0004649D"/>
    <w:rsid w:val="00061440"/>
    <w:rsid w:val="000F5A42"/>
    <w:rsid w:val="001022BF"/>
    <w:rsid w:val="00104A6F"/>
    <w:rsid w:val="001446E9"/>
    <w:rsid w:val="00170F80"/>
    <w:rsid w:val="00172DC8"/>
    <w:rsid w:val="001758AC"/>
    <w:rsid w:val="001D3260"/>
    <w:rsid w:val="002013B0"/>
    <w:rsid w:val="002E137F"/>
    <w:rsid w:val="0031763B"/>
    <w:rsid w:val="00365C21"/>
    <w:rsid w:val="003D3057"/>
    <w:rsid w:val="0044428D"/>
    <w:rsid w:val="004A6981"/>
    <w:rsid w:val="004E4DC3"/>
    <w:rsid w:val="00504362"/>
    <w:rsid w:val="005565E4"/>
    <w:rsid w:val="00562A8F"/>
    <w:rsid w:val="005813AA"/>
    <w:rsid w:val="00583862"/>
    <w:rsid w:val="00586AE4"/>
    <w:rsid w:val="00637D79"/>
    <w:rsid w:val="006639D2"/>
    <w:rsid w:val="0067684E"/>
    <w:rsid w:val="006C4BFF"/>
    <w:rsid w:val="0071184A"/>
    <w:rsid w:val="00783B63"/>
    <w:rsid w:val="007E1C96"/>
    <w:rsid w:val="007F67EE"/>
    <w:rsid w:val="0087067F"/>
    <w:rsid w:val="008A7CB8"/>
    <w:rsid w:val="00962813"/>
    <w:rsid w:val="00A12218"/>
    <w:rsid w:val="00A3667A"/>
    <w:rsid w:val="00A468C4"/>
    <w:rsid w:val="00A55617"/>
    <w:rsid w:val="00A90678"/>
    <w:rsid w:val="00A97FE2"/>
    <w:rsid w:val="00B500A3"/>
    <w:rsid w:val="00BA636D"/>
    <w:rsid w:val="00BA646E"/>
    <w:rsid w:val="00BC07C0"/>
    <w:rsid w:val="00BE1D78"/>
    <w:rsid w:val="00C0125F"/>
    <w:rsid w:val="00C21809"/>
    <w:rsid w:val="00CB0B54"/>
    <w:rsid w:val="00CD4282"/>
    <w:rsid w:val="00CF4E98"/>
    <w:rsid w:val="00D97DFE"/>
    <w:rsid w:val="00E02130"/>
    <w:rsid w:val="00E15CA8"/>
    <w:rsid w:val="00E24C19"/>
    <w:rsid w:val="00E368E6"/>
    <w:rsid w:val="00E62CF7"/>
    <w:rsid w:val="00E736CA"/>
    <w:rsid w:val="00ED6979"/>
    <w:rsid w:val="00EE05D7"/>
    <w:rsid w:val="00EF4454"/>
    <w:rsid w:val="00F01BDF"/>
    <w:rsid w:val="00F46EB8"/>
    <w:rsid w:val="00F77C6A"/>
    <w:rsid w:val="00F81D52"/>
    <w:rsid w:val="00F940F7"/>
    <w:rsid w:val="00FB09B1"/>
    <w:rsid w:val="00FB2045"/>
    <w:rsid w:val="00FD1B2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97EB1"/>
  <w15:chartTrackingRefBased/>
  <w15:docId w15:val="{A6F69797-806C-4201-B808-89C40C23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DFE"/>
    <w:rPr>
      <w:kern w:val="0"/>
      <w14:ligatures w14:val="none"/>
    </w:rPr>
  </w:style>
  <w:style w:type="paragraph" w:styleId="Ttulo1">
    <w:name w:val="heading 1"/>
    <w:basedOn w:val="Normal"/>
    <w:next w:val="Normal"/>
    <w:link w:val="Ttulo1Car"/>
    <w:uiPriority w:val="9"/>
    <w:qFormat/>
    <w:rsid w:val="00D97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7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7D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7D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7D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7D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7D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7D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7D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7D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7D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7D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7D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7D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7D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7D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7D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7DFE"/>
    <w:rPr>
      <w:rFonts w:eastAsiaTheme="majorEastAsia" w:cstheme="majorBidi"/>
      <w:color w:val="272727" w:themeColor="text1" w:themeTint="D8"/>
    </w:rPr>
  </w:style>
  <w:style w:type="paragraph" w:styleId="Ttulo">
    <w:name w:val="Title"/>
    <w:basedOn w:val="Normal"/>
    <w:next w:val="Normal"/>
    <w:link w:val="TtuloCar"/>
    <w:uiPriority w:val="10"/>
    <w:qFormat/>
    <w:rsid w:val="00D97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7D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7D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7D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7DFE"/>
    <w:pPr>
      <w:spacing w:before="160"/>
      <w:jc w:val="center"/>
    </w:pPr>
    <w:rPr>
      <w:i/>
      <w:iCs/>
      <w:color w:val="404040" w:themeColor="text1" w:themeTint="BF"/>
    </w:rPr>
  </w:style>
  <w:style w:type="character" w:customStyle="1" w:styleId="CitaCar">
    <w:name w:val="Cita Car"/>
    <w:basedOn w:val="Fuentedeprrafopredeter"/>
    <w:link w:val="Cita"/>
    <w:uiPriority w:val="29"/>
    <w:rsid w:val="00D97DF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D97DFE"/>
    <w:pPr>
      <w:ind w:left="720"/>
      <w:contextualSpacing/>
    </w:pPr>
  </w:style>
  <w:style w:type="character" w:styleId="nfasisintenso">
    <w:name w:val="Intense Emphasis"/>
    <w:basedOn w:val="Fuentedeprrafopredeter"/>
    <w:uiPriority w:val="21"/>
    <w:qFormat/>
    <w:rsid w:val="00D97DFE"/>
    <w:rPr>
      <w:i/>
      <w:iCs/>
      <w:color w:val="0F4761" w:themeColor="accent1" w:themeShade="BF"/>
    </w:rPr>
  </w:style>
  <w:style w:type="paragraph" w:styleId="Citadestacada">
    <w:name w:val="Intense Quote"/>
    <w:basedOn w:val="Normal"/>
    <w:next w:val="Normal"/>
    <w:link w:val="CitadestacadaCar"/>
    <w:uiPriority w:val="30"/>
    <w:qFormat/>
    <w:rsid w:val="00D97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7DFE"/>
    <w:rPr>
      <w:i/>
      <w:iCs/>
      <w:color w:val="0F4761" w:themeColor="accent1" w:themeShade="BF"/>
    </w:rPr>
  </w:style>
  <w:style w:type="character" w:styleId="Referenciaintensa">
    <w:name w:val="Intense Reference"/>
    <w:basedOn w:val="Fuentedeprrafopredeter"/>
    <w:uiPriority w:val="32"/>
    <w:qFormat/>
    <w:rsid w:val="00D97DFE"/>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97DF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97DF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97DF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97DFE"/>
    <w:rPr>
      <w:vertAlign w:val="superscript"/>
    </w:rPr>
  </w:style>
  <w:style w:type="paragraph" w:customStyle="1" w:styleId="Appelnotedebasde">
    <w:name w:val="Appel note de bas de..."/>
    <w:basedOn w:val="Normal"/>
    <w:link w:val="Refdenotaalpie"/>
    <w:uiPriority w:val="99"/>
    <w:rsid w:val="00D97DFE"/>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D97D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7DFE"/>
    <w:rPr>
      <w:kern w:val="0"/>
      <w14:ligatures w14:val="none"/>
    </w:rPr>
  </w:style>
  <w:style w:type="paragraph" w:styleId="Piedepgina">
    <w:name w:val="footer"/>
    <w:basedOn w:val="Normal"/>
    <w:link w:val="PiedepginaCar"/>
    <w:uiPriority w:val="99"/>
    <w:unhideWhenUsed/>
    <w:rsid w:val="00D97D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7DFE"/>
    <w:rPr>
      <w:kern w:val="0"/>
      <w14:ligatures w14:val="none"/>
    </w:rPr>
  </w:style>
  <w:style w:type="table" w:styleId="Tablaconcuadrcula">
    <w:name w:val="Table Grid"/>
    <w:basedOn w:val="Tablanormal"/>
    <w:uiPriority w:val="39"/>
    <w:qFormat/>
    <w:rsid w:val="00D97D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97DFE"/>
    <w:rPr>
      <w:color w:val="467886" w:themeColor="hyperlink"/>
      <w:u w:val="single"/>
    </w:rPr>
  </w:style>
  <w:style w:type="character" w:styleId="Refdecomentario">
    <w:name w:val="annotation reference"/>
    <w:basedOn w:val="Fuentedeprrafopredeter"/>
    <w:uiPriority w:val="99"/>
    <w:semiHidden/>
    <w:unhideWhenUsed/>
    <w:rsid w:val="00D97DFE"/>
    <w:rPr>
      <w:sz w:val="16"/>
      <w:szCs w:val="16"/>
    </w:rPr>
  </w:style>
  <w:style w:type="paragraph" w:styleId="Textocomentario">
    <w:name w:val="annotation text"/>
    <w:basedOn w:val="Normal"/>
    <w:link w:val="TextocomentarioCar"/>
    <w:uiPriority w:val="99"/>
    <w:unhideWhenUsed/>
    <w:rsid w:val="00D97DFE"/>
    <w:pPr>
      <w:spacing w:line="240" w:lineRule="auto"/>
    </w:pPr>
    <w:rPr>
      <w:sz w:val="20"/>
      <w:szCs w:val="20"/>
    </w:rPr>
  </w:style>
  <w:style w:type="character" w:customStyle="1" w:styleId="TextocomentarioCar">
    <w:name w:val="Texto comentario Car"/>
    <w:basedOn w:val="Fuentedeprrafopredeter"/>
    <w:link w:val="Textocomentario"/>
    <w:uiPriority w:val="99"/>
    <w:rsid w:val="00D97DFE"/>
    <w:rPr>
      <w:kern w:val="0"/>
      <w:sz w:val="20"/>
      <w:szCs w:val="20"/>
      <w14:ligatures w14:val="none"/>
    </w:rPr>
  </w:style>
  <w:style w:type="character" w:customStyle="1" w:styleId="normaltextrun">
    <w:name w:val="normaltextrun"/>
    <w:basedOn w:val="Fuentedeprrafopredeter"/>
    <w:rsid w:val="00D97DFE"/>
  </w:style>
  <w:style w:type="character" w:customStyle="1" w:styleId="eop">
    <w:name w:val="eop"/>
    <w:basedOn w:val="Fuentedeprrafopredeter"/>
    <w:rsid w:val="00D97DFE"/>
  </w:style>
  <w:style w:type="paragraph" w:customStyle="1" w:styleId="paragraph">
    <w:name w:val="paragraph"/>
    <w:basedOn w:val="Normal"/>
    <w:rsid w:val="00D97DFE"/>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97DFE"/>
  </w:style>
  <w:style w:type="character" w:styleId="Mencinsinresolver">
    <w:name w:val="Unresolved Mention"/>
    <w:basedOn w:val="Fuentedeprrafopredeter"/>
    <w:uiPriority w:val="99"/>
    <w:semiHidden/>
    <w:unhideWhenUsed/>
    <w:rsid w:val="00F77C6A"/>
    <w:rPr>
      <w:color w:val="605E5C"/>
      <w:shd w:val="clear" w:color="auto" w:fill="E1DFDD"/>
    </w:rPr>
  </w:style>
  <w:style w:type="paragraph" w:styleId="Textoindependiente">
    <w:name w:val="Body Text"/>
    <w:basedOn w:val="Normal"/>
    <w:link w:val="TextoindependienteCar"/>
    <w:uiPriority w:val="99"/>
    <w:semiHidden/>
    <w:unhideWhenUsed/>
    <w:rsid w:val="0004649D"/>
    <w:pPr>
      <w:spacing w:after="120"/>
    </w:pPr>
  </w:style>
  <w:style w:type="character" w:customStyle="1" w:styleId="TextoindependienteCar">
    <w:name w:val="Texto independiente Car"/>
    <w:basedOn w:val="Fuentedeprrafopredeter"/>
    <w:link w:val="Textoindependiente"/>
    <w:uiPriority w:val="99"/>
    <w:semiHidden/>
    <w:rsid w:val="0004649D"/>
    <w:rPr>
      <w:kern w:val="0"/>
      <w14:ligatures w14:val="none"/>
    </w:rPr>
  </w:style>
  <w:style w:type="paragraph" w:styleId="Textonotaalfinal">
    <w:name w:val="endnote text"/>
    <w:basedOn w:val="Normal"/>
    <w:link w:val="TextonotaalfinalCar"/>
    <w:uiPriority w:val="99"/>
    <w:semiHidden/>
    <w:unhideWhenUsed/>
    <w:rsid w:val="00E368E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368E6"/>
    <w:rPr>
      <w:kern w:val="0"/>
      <w:sz w:val="20"/>
      <w:szCs w:val="20"/>
      <w14:ligatures w14:val="none"/>
    </w:rPr>
  </w:style>
  <w:style w:type="character" w:styleId="Refdenotaalfinal">
    <w:name w:val="endnote reference"/>
    <w:basedOn w:val="Fuentedeprrafopredeter"/>
    <w:uiPriority w:val="99"/>
    <w:semiHidden/>
    <w:unhideWhenUsed/>
    <w:rsid w:val="00E368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05501">
      <w:bodyDiv w:val="1"/>
      <w:marLeft w:val="0"/>
      <w:marRight w:val="0"/>
      <w:marTop w:val="0"/>
      <w:marBottom w:val="0"/>
      <w:divBdr>
        <w:top w:val="none" w:sz="0" w:space="0" w:color="auto"/>
        <w:left w:val="none" w:sz="0" w:space="0" w:color="auto"/>
        <w:bottom w:val="none" w:sz="0" w:space="0" w:color="auto"/>
        <w:right w:val="none" w:sz="0" w:space="0" w:color="auto"/>
      </w:divBdr>
    </w:div>
    <w:div w:id="254168383">
      <w:bodyDiv w:val="1"/>
      <w:marLeft w:val="0"/>
      <w:marRight w:val="0"/>
      <w:marTop w:val="0"/>
      <w:marBottom w:val="0"/>
      <w:divBdr>
        <w:top w:val="none" w:sz="0" w:space="0" w:color="auto"/>
        <w:left w:val="none" w:sz="0" w:space="0" w:color="auto"/>
        <w:bottom w:val="none" w:sz="0" w:space="0" w:color="auto"/>
        <w:right w:val="none" w:sz="0" w:space="0" w:color="auto"/>
      </w:divBdr>
      <w:divsChild>
        <w:div w:id="1062365482">
          <w:marLeft w:val="0"/>
          <w:marRight w:val="0"/>
          <w:marTop w:val="0"/>
          <w:marBottom w:val="0"/>
          <w:divBdr>
            <w:top w:val="none" w:sz="0" w:space="0" w:color="auto"/>
            <w:left w:val="none" w:sz="0" w:space="0" w:color="auto"/>
            <w:bottom w:val="none" w:sz="0" w:space="0" w:color="auto"/>
            <w:right w:val="none" w:sz="0" w:space="0" w:color="auto"/>
          </w:divBdr>
          <w:divsChild>
            <w:div w:id="807942216">
              <w:marLeft w:val="0"/>
              <w:marRight w:val="0"/>
              <w:marTop w:val="0"/>
              <w:marBottom w:val="0"/>
              <w:divBdr>
                <w:top w:val="none" w:sz="0" w:space="0" w:color="auto"/>
                <w:left w:val="none" w:sz="0" w:space="0" w:color="auto"/>
                <w:bottom w:val="none" w:sz="0" w:space="0" w:color="auto"/>
                <w:right w:val="none" w:sz="0" w:space="0" w:color="auto"/>
              </w:divBdr>
              <w:divsChild>
                <w:div w:id="1795558846">
                  <w:marLeft w:val="0"/>
                  <w:marRight w:val="0"/>
                  <w:marTop w:val="0"/>
                  <w:marBottom w:val="0"/>
                  <w:divBdr>
                    <w:top w:val="none" w:sz="0" w:space="0" w:color="auto"/>
                    <w:left w:val="none" w:sz="0" w:space="0" w:color="auto"/>
                    <w:bottom w:val="none" w:sz="0" w:space="0" w:color="auto"/>
                    <w:right w:val="none" w:sz="0" w:space="0" w:color="auto"/>
                  </w:divBdr>
                  <w:divsChild>
                    <w:div w:id="31465470">
                      <w:marLeft w:val="0"/>
                      <w:marRight w:val="0"/>
                      <w:marTop w:val="0"/>
                      <w:marBottom w:val="0"/>
                      <w:divBdr>
                        <w:top w:val="none" w:sz="0" w:space="0" w:color="auto"/>
                        <w:left w:val="none" w:sz="0" w:space="0" w:color="auto"/>
                        <w:bottom w:val="none" w:sz="0" w:space="0" w:color="auto"/>
                        <w:right w:val="none" w:sz="0" w:space="0" w:color="auto"/>
                      </w:divBdr>
                      <w:divsChild>
                        <w:div w:id="1078551572">
                          <w:marLeft w:val="0"/>
                          <w:marRight w:val="0"/>
                          <w:marTop w:val="0"/>
                          <w:marBottom w:val="0"/>
                          <w:divBdr>
                            <w:top w:val="none" w:sz="0" w:space="0" w:color="auto"/>
                            <w:left w:val="none" w:sz="0" w:space="0" w:color="auto"/>
                            <w:bottom w:val="none" w:sz="0" w:space="0" w:color="auto"/>
                            <w:right w:val="none" w:sz="0" w:space="0" w:color="auto"/>
                          </w:divBdr>
                          <w:divsChild>
                            <w:div w:id="549414677">
                              <w:marLeft w:val="0"/>
                              <w:marRight w:val="0"/>
                              <w:marTop w:val="0"/>
                              <w:marBottom w:val="0"/>
                              <w:divBdr>
                                <w:top w:val="none" w:sz="0" w:space="0" w:color="auto"/>
                                <w:left w:val="none" w:sz="0" w:space="0" w:color="auto"/>
                                <w:bottom w:val="none" w:sz="0" w:space="0" w:color="auto"/>
                                <w:right w:val="none" w:sz="0" w:space="0" w:color="auto"/>
                              </w:divBdr>
                              <w:divsChild>
                                <w:div w:id="844709102">
                                  <w:marLeft w:val="0"/>
                                  <w:marRight w:val="0"/>
                                  <w:marTop w:val="0"/>
                                  <w:marBottom w:val="0"/>
                                  <w:divBdr>
                                    <w:top w:val="none" w:sz="0" w:space="0" w:color="auto"/>
                                    <w:left w:val="none" w:sz="0" w:space="0" w:color="auto"/>
                                    <w:bottom w:val="none" w:sz="0" w:space="0" w:color="auto"/>
                                    <w:right w:val="none" w:sz="0" w:space="0" w:color="auto"/>
                                  </w:divBdr>
                                  <w:divsChild>
                                    <w:div w:id="131159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371908">
      <w:bodyDiv w:val="1"/>
      <w:marLeft w:val="0"/>
      <w:marRight w:val="0"/>
      <w:marTop w:val="0"/>
      <w:marBottom w:val="0"/>
      <w:divBdr>
        <w:top w:val="none" w:sz="0" w:space="0" w:color="auto"/>
        <w:left w:val="none" w:sz="0" w:space="0" w:color="auto"/>
        <w:bottom w:val="none" w:sz="0" w:space="0" w:color="auto"/>
        <w:right w:val="none" w:sz="0" w:space="0" w:color="auto"/>
      </w:divBdr>
    </w:div>
    <w:div w:id="619530273">
      <w:bodyDiv w:val="1"/>
      <w:marLeft w:val="0"/>
      <w:marRight w:val="0"/>
      <w:marTop w:val="0"/>
      <w:marBottom w:val="0"/>
      <w:divBdr>
        <w:top w:val="none" w:sz="0" w:space="0" w:color="auto"/>
        <w:left w:val="none" w:sz="0" w:space="0" w:color="auto"/>
        <w:bottom w:val="none" w:sz="0" w:space="0" w:color="auto"/>
        <w:right w:val="none" w:sz="0" w:space="0" w:color="auto"/>
      </w:divBdr>
    </w:div>
    <w:div w:id="1045107834">
      <w:bodyDiv w:val="1"/>
      <w:marLeft w:val="0"/>
      <w:marRight w:val="0"/>
      <w:marTop w:val="0"/>
      <w:marBottom w:val="0"/>
      <w:divBdr>
        <w:top w:val="none" w:sz="0" w:space="0" w:color="auto"/>
        <w:left w:val="none" w:sz="0" w:space="0" w:color="auto"/>
        <w:bottom w:val="none" w:sz="0" w:space="0" w:color="auto"/>
        <w:right w:val="none" w:sz="0" w:space="0" w:color="auto"/>
      </w:divBdr>
    </w:div>
    <w:div w:id="1615558328">
      <w:bodyDiv w:val="1"/>
      <w:marLeft w:val="0"/>
      <w:marRight w:val="0"/>
      <w:marTop w:val="0"/>
      <w:marBottom w:val="0"/>
      <w:divBdr>
        <w:top w:val="none" w:sz="0" w:space="0" w:color="auto"/>
        <w:left w:val="none" w:sz="0" w:space="0" w:color="auto"/>
        <w:bottom w:val="none" w:sz="0" w:space="0" w:color="auto"/>
        <w:right w:val="none" w:sz="0" w:space="0" w:color="auto"/>
      </w:divBdr>
    </w:div>
    <w:div w:id="1791044936">
      <w:bodyDiv w:val="1"/>
      <w:marLeft w:val="0"/>
      <w:marRight w:val="0"/>
      <w:marTop w:val="0"/>
      <w:marBottom w:val="0"/>
      <w:divBdr>
        <w:top w:val="none" w:sz="0" w:space="0" w:color="auto"/>
        <w:left w:val="none" w:sz="0" w:space="0" w:color="auto"/>
        <w:bottom w:val="none" w:sz="0" w:space="0" w:color="auto"/>
        <w:right w:val="none" w:sz="0" w:space="0" w:color="auto"/>
      </w:divBdr>
    </w:div>
    <w:div w:id="1950041635">
      <w:bodyDiv w:val="1"/>
      <w:marLeft w:val="0"/>
      <w:marRight w:val="0"/>
      <w:marTop w:val="0"/>
      <w:marBottom w:val="0"/>
      <w:divBdr>
        <w:top w:val="none" w:sz="0" w:space="0" w:color="auto"/>
        <w:left w:val="none" w:sz="0" w:space="0" w:color="auto"/>
        <w:bottom w:val="none" w:sz="0" w:space="0" w:color="auto"/>
        <w:right w:val="none" w:sz="0" w:space="0" w:color="auto"/>
      </w:divBdr>
      <w:divsChild>
        <w:div w:id="1288858464">
          <w:marLeft w:val="0"/>
          <w:marRight w:val="0"/>
          <w:marTop w:val="0"/>
          <w:marBottom w:val="0"/>
          <w:divBdr>
            <w:top w:val="none" w:sz="0" w:space="0" w:color="auto"/>
            <w:left w:val="none" w:sz="0" w:space="0" w:color="auto"/>
            <w:bottom w:val="none" w:sz="0" w:space="0" w:color="auto"/>
            <w:right w:val="none" w:sz="0" w:space="0" w:color="auto"/>
          </w:divBdr>
          <w:divsChild>
            <w:div w:id="396586147">
              <w:marLeft w:val="0"/>
              <w:marRight w:val="0"/>
              <w:marTop w:val="0"/>
              <w:marBottom w:val="0"/>
              <w:divBdr>
                <w:top w:val="none" w:sz="0" w:space="0" w:color="auto"/>
                <w:left w:val="none" w:sz="0" w:space="0" w:color="auto"/>
                <w:bottom w:val="none" w:sz="0" w:space="0" w:color="auto"/>
                <w:right w:val="none" w:sz="0" w:space="0" w:color="auto"/>
              </w:divBdr>
              <w:divsChild>
                <w:div w:id="1262185493">
                  <w:marLeft w:val="0"/>
                  <w:marRight w:val="0"/>
                  <w:marTop w:val="0"/>
                  <w:marBottom w:val="0"/>
                  <w:divBdr>
                    <w:top w:val="none" w:sz="0" w:space="0" w:color="auto"/>
                    <w:left w:val="none" w:sz="0" w:space="0" w:color="auto"/>
                    <w:bottom w:val="none" w:sz="0" w:space="0" w:color="auto"/>
                    <w:right w:val="none" w:sz="0" w:space="0" w:color="auto"/>
                  </w:divBdr>
                  <w:divsChild>
                    <w:div w:id="662969214">
                      <w:marLeft w:val="0"/>
                      <w:marRight w:val="0"/>
                      <w:marTop w:val="0"/>
                      <w:marBottom w:val="0"/>
                      <w:divBdr>
                        <w:top w:val="none" w:sz="0" w:space="0" w:color="auto"/>
                        <w:left w:val="none" w:sz="0" w:space="0" w:color="auto"/>
                        <w:bottom w:val="none" w:sz="0" w:space="0" w:color="auto"/>
                        <w:right w:val="none" w:sz="0" w:space="0" w:color="auto"/>
                      </w:divBdr>
                      <w:divsChild>
                        <w:div w:id="1564558161">
                          <w:marLeft w:val="0"/>
                          <w:marRight w:val="0"/>
                          <w:marTop w:val="0"/>
                          <w:marBottom w:val="0"/>
                          <w:divBdr>
                            <w:top w:val="none" w:sz="0" w:space="0" w:color="auto"/>
                            <w:left w:val="none" w:sz="0" w:space="0" w:color="auto"/>
                            <w:bottom w:val="none" w:sz="0" w:space="0" w:color="auto"/>
                            <w:right w:val="none" w:sz="0" w:space="0" w:color="auto"/>
                          </w:divBdr>
                          <w:divsChild>
                            <w:div w:id="1400902716">
                              <w:marLeft w:val="0"/>
                              <w:marRight w:val="0"/>
                              <w:marTop w:val="0"/>
                              <w:marBottom w:val="0"/>
                              <w:divBdr>
                                <w:top w:val="none" w:sz="0" w:space="0" w:color="auto"/>
                                <w:left w:val="none" w:sz="0" w:space="0" w:color="auto"/>
                                <w:bottom w:val="none" w:sz="0" w:space="0" w:color="auto"/>
                                <w:right w:val="none" w:sz="0" w:space="0" w:color="auto"/>
                              </w:divBdr>
                              <w:divsChild>
                                <w:div w:id="1150443662">
                                  <w:marLeft w:val="0"/>
                                  <w:marRight w:val="0"/>
                                  <w:marTop w:val="0"/>
                                  <w:marBottom w:val="0"/>
                                  <w:divBdr>
                                    <w:top w:val="none" w:sz="0" w:space="0" w:color="auto"/>
                                    <w:left w:val="none" w:sz="0" w:space="0" w:color="auto"/>
                                    <w:bottom w:val="none" w:sz="0" w:space="0" w:color="auto"/>
                                    <w:right w:val="none" w:sz="0" w:space="0" w:color="auto"/>
                                  </w:divBdr>
                                  <w:divsChild>
                                    <w:div w:id="67249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409054">
      <w:bodyDiv w:val="1"/>
      <w:marLeft w:val="0"/>
      <w:marRight w:val="0"/>
      <w:marTop w:val="0"/>
      <w:marBottom w:val="0"/>
      <w:divBdr>
        <w:top w:val="none" w:sz="0" w:space="0" w:color="auto"/>
        <w:left w:val="none" w:sz="0" w:space="0" w:color="auto"/>
        <w:bottom w:val="none" w:sz="0" w:space="0" w:color="auto"/>
        <w:right w:val="none" w:sz="0" w:space="0" w:color="auto"/>
      </w:divBdr>
      <w:divsChild>
        <w:div w:id="165040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latoria.colombiacompra.gov.co/providencias-consejo-de-estado/"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corteconstitucional.gov./relator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oelbavi16@gmail.com" TargetMode="External"/><Relationship Id="rId14" Type="http://schemas.openxmlformats.org/officeDocument/2006/relationships/hyperlink" Target="https://www.colombiacompra.gov.co/sala-de-prensa/boletin-digital" TargetMode="Externa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17098B-DA60-4676-9039-FD4C4183AFD9}">
  <ds:schemaRefs>
    <ds:schemaRef ds:uri="http://schemas.openxmlformats.org/officeDocument/2006/bibliography"/>
  </ds:schemaRefs>
</ds:datastoreItem>
</file>

<file path=customXml/itemProps2.xml><?xml version="1.0" encoding="utf-8"?>
<ds:datastoreItem xmlns:ds="http://schemas.openxmlformats.org/officeDocument/2006/customXml" ds:itemID="{1C3C555D-2933-4934-B9F6-D6FEBBA758EA}"/>
</file>

<file path=customXml/itemProps3.xml><?xml version="1.0" encoding="utf-8"?>
<ds:datastoreItem xmlns:ds="http://schemas.openxmlformats.org/officeDocument/2006/customXml" ds:itemID="{60AB029F-2E7F-471A-8F14-3EE175C91C31}"/>
</file>

<file path=customXml/itemProps4.xml><?xml version="1.0" encoding="utf-8"?>
<ds:datastoreItem xmlns:ds="http://schemas.openxmlformats.org/officeDocument/2006/customXml" ds:itemID="{B0D8C98F-4582-4051-8E4B-793A8A07E32D}"/>
</file>

<file path=docProps/app.xml><?xml version="1.0" encoding="utf-8"?>
<Properties xmlns="http://schemas.openxmlformats.org/officeDocument/2006/extended-properties" xmlns:vt="http://schemas.openxmlformats.org/officeDocument/2006/docPropsVTypes">
  <Template>Normal</Template>
  <TotalTime>1672</TotalTime>
  <Pages>11</Pages>
  <Words>3209</Words>
  <Characters>17654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59</cp:revision>
  <dcterms:created xsi:type="dcterms:W3CDTF">2025-03-25T21:39:00Z</dcterms:created>
  <dcterms:modified xsi:type="dcterms:W3CDTF">2025-04-09T21:39:00Z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