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27C91" w:rsidR="00C60B22" w:rsidP="00C60B22" w:rsidRDefault="00E245AB" w14:paraId="7E3AE9A0" w14:textId="77777777">
      <w:pPr>
        <w:tabs>
          <w:tab w:val="left" w:pos="426"/>
        </w:tabs>
        <w:spacing w:line="240" w:lineRule="auto"/>
        <w:contextualSpacing/>
        <w:jc w:val="both"/>
        <w:rPr>
          <w:rFonts w:ascii="Arial" w:hAnsi="Arial" w:eastAsia="Calibri" w:cs="Arial"/>
          <w:b/>
          <w:bCs/>
          <w:lang w:val="es-MX"/>
        </w:rPr>
      </w:pPr>
      <w:r w:rsidRPr="00610CBB">
        <w:t xml:space="preserve"> </w:t>
      </w:r>
      <w:bookmarkStart w:name="_Hlk77152637" w:id="0"/>
      <w:bookmarkStart w:name="_Hlk77157066" w:id="1"/>
      <w:bookmarkStart w:name="_Hlk78821436" w:id="2"/>
      <w:r w:rsidRPr="00227C91" w:rsidR="00C60B22">
        <w:rPr>
          <w:rFonts w:ascii="Arial" w:hAnsi="Arial" w:eastAsia="Calibri" w:cs="Arial"/>
          <w:b/>
          <w:bCs/>
          <w:lang w:val="es-MX"/>
        </w:rPr>
        <w:t>LEY DE GARANTÍAS ELECTORALES ‒ Finalidad</w:t>
      </w:r>
    </w:p>
    <w:p w:rsidRPr="00227C91" w:rsidR="00C60B22" w:rsidP="00C60B22" w:rsidRDefault="00C60B22" w14:paraId="352192E4" w14:textId="77777777">
      <w:pPr>
        <w:tabs>
          <w:tab w:val="left" w:pos="426"/>
        </w:tabs>
        <w:spacing w:line="240" w:lineRule="auto"/>
        <w:contextualSpacing/>
        <w:jc w:val="both"/>
        <w:rPr>
          <w:rFonts w:ascii="Arial" w:hAnsi="Arial" w:eastAsia="Calibri" w:cs="Arial"/>
          <w:b/>
          <w:bCs/>
          <w:sz w:val="20"/>
          <w:szCs w:val="20"/>
          <w:lang w:val="es-MX"/>
        </w:rPr>
      </w:pPr>
    </w:p>
    <w:p w:rsidRPr="00227C91" w:rsidR="00C60B22" w:rsidP="00C60B22" w:rsidRDefault="00C60B22" w14:paraId="640D00BB" w14:textId="77777777">
      <w:pPr>
        <w:tabs>
          <w:tab w:val="left" w:pos="426"/>
        </w:tabs>
        <w:spacing w:line="240" w:lineRule="auto"/>
        <w:contextualSpacing/>
        <w:jc w:val="both"/>
        <w:rPr>
          <w:rFonts w:ascii="Arial" w:hAnsi="Arial" w:eastAsia="Times New Roman" w:cs="Arial"/>
          <w:bCs/>
          <w:sz w:val="20"/>
          <w:szCs w:val="20"/>
          <w:lang w:val="es-MX" w:eastAsia="es-CO"/>
        </w:rPr>
      </w:pPr>
      <w:r w:rsidRPr="00227C91">
        <w:rPr>
          <w:rFonts w:ascii="Arial" w:hAnsi="Arial" w:eastAsia="Calibri" w:cs="Arial"/>
          <w:noProof/>
          <w:sz w:val="20"/>
          <w:szCs w:val="20"/>
          <w:lang w:val="es-ES_tradnl"/>
        </w:rPr>
        <w:t xml:space="preserve">[…], </w:t>
      </w:r>
      <w:r w:rsidRPr="00227C91">
        <w:rPr>
          <w:rFonts w:ascii="Arial" w:hAnsi="Arial" w:eastAsia="Times New Roman"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rsidRPr="00227C91" w:rsidR="00C60B22" w:rsidP="00C60B22" w:rsidRDefault="00C60B22" w14:paraId="61E1DFD9" w14:textId="77777777">
      <w:pPr>
        <w:tabs>
          <w:tab w:val="left" w:pos="426"/>
        </w:tabs>
        <w:spacing w:line="240" w:lineRule="auto"/>
        <w:contextualSpacing/>
        <w:jc w:val="both"/>
        <w:rPr>
          <w:rFonts w:ascii="Arial" w:hAnsi="Arial" w:eastAsia="Calibri" w:cs="Arial"/>
          <w:b/>
          <w:bCs/>
          <w:sz w:val="20"/>
          <w:szCs w:val="20"/>
          <w:lang w:val="es-MX"/>
        </w:rPr>
      </w:pPr>
    </w:p>
    <w:p w:rsidRPr="00227C91" w:rsidR="00C60B22" w:rsidP="00C60B22" w:rsidRDefault="00C60B22" w14:paraId="31556079" w14:textId="77777777">
      <w:pPr>
        <w:tabs>
          <w:tab w:val="left" w:pos="426"/>
        </w:tabs>
        <w:spacing w:line="240" w:lineRule="auto"/>
        <w:contextualSpacing/>
        <w:jc w:val="both"/>
        <w:rPr>
          <w:rFonts w:ascii="Arial" w:hAnsi="Arial" w:eastAsia="Calibri" w:cs="Arial"/>
          <w:b/>
          <w:bCs/>
          <w:lang w:val="es-MX"/>
        </w:rPr>
      </w:pPr>
      <w:r w:rsidRPr="00227C91">
        <w:rPr>
          <w:rFonts w:ascii="Arial" w:hAnsi="Arial" w:eastAsia="Calibri" w:cs="Arial"/>
          <w:b/>
          <w:bCs/>
          <w:lang w:val="es-MX"/>
        </w:rPr>
        <w:t>LEY DE GARANTÍAS ELECTORALES ‒</w:t>
      </w:r>
      <w:bookmarkEnd w:id="0"/>
      <w:r w:rsidRPr="00227C91">
        <w:rPr>
          <w:rFonts w:ascii="Arial" w:hAnsi="Arial" w:eastAsia="Calibri" w:cs="Arial"/>
          <w:b/>
          <w:bCs/>
          <w:lang w:val="es-MX"/>
        </w:rPr>
        <w:t xml:space="preserve"> Tipos de restricciones </w:t>
      </w:r>
      <w:bookmarkStart w:name="_Hlk77157034" w:id="3"/>
      <w:r w:rsidRPr="00227C91">
        <w:rPr>
          <w:rFonts w:ascii="Arial" w:hAnsi="Arial" w:eastAsia="Calibri" w:cs="Arial"/>
          <w:b/>
          <w:bCs/>
          <w:lang w:val="es-MX"/>
        </w:rPr>
        <w:t xml:space="preserve">‒ </w:t>
      </w:r>
      <w:bookmarkStart w:name="_Hlk77153098" w:id="4"/>
      <w:bookmarkEnd w:id="3"/>
      <w:r w:rsidRPr="00227C91">
        <w:rPr>
          <w:rFonts w:ascii="Arial" w:hAnsi="Arial" w:eastAsia="Calibri" w:cs="Arial"/>
          <w:b/>
          <w:bCs/>
          <w:lang w:val="es-MX"/>
        </w:rPr>
        <w:t xml:space="preserve">Ámbito temporal </w:t>
      </w:r>
      <w:bookmarkEnd w:id="4"/>
    </w:p>
    <w:p w:rsidRPr="00227C91" w:rsidR="00C60B22" w:rsidP="00C60B22" w:rsidRDefault="00C60B22" w14:paraId="3362D73A" w14:textId="77777777">
      <w:pPr>
        <w:tabs>
          <w:tab w:val="left" w:pos="426"/>
        </w:tabs>
        <w:spacing w:line="240" w:lineRule="auto"/>
        <w:contextualSpacing/>
        <w:jc w:val="both"/>
        <w:rPr>
          <w:rFonts w:ascii="Arial" w:hAnsi="Arial" w:eastAsia="Calibri" w:cs="Arial"/>
          <w:b/>
          <w:bCs/>
          <w:sz w:val="20"/>
          <w:szCs w:val="20"/>
          <w:lang w:val="es-MX"/>
        </w:rPr>
      </w:pPr>
    </w:p>
    <w:bookmarkEnd w:id="1"/>
    <w:p w:rsidRPr="00227C91" w:rsidR="00C60B22" w:rsidP="00C60B22" w:rsidRDefault="00C60B22" w14:paraId="71E79AAB" w14:textId="77777777">
      <w:pPr>
        <w:spacing w:line="240" w:lineRule="auto"/>
        <w:contextualSpacing/>
        <w:jc w:val="both"/>
        <w:rPr>
          <w:rFonts w:ascii="Arial" w:hAnsi="Arial" w:eastAsia="Arial" w:cs="Arial"/>
          <w:sz w:val="20"/>
          <w:szCs w:val="20"/>
          <w:lang w:val="es-ES" w:eastAsia="es-ES" w:bidi="es-ES"/>
        </w:rPr>
      </w:pPr>
      <w:r w:rsidRPr="00227C91">
        <w:rPr>
          <w:rFonts w:ascii="Arial" w:hAnsi="Arial" w:eastAsia="Calibri" w:cs="Arial"/>
          <w:noProof/>
          <w:sz w:val="20"/>
          <w:szCs w:val="20"/>
          <w:lang w:val="es-ES_tradnl"/>
        </w:rPr>
        <w:t xml:space="preserve">[…] </w:t>
      </w:r>
      <w:bookmarkStart w:name="_Hlk77165666" w:id="5"/>
      <w:r w:rsidRPr="00227C91">
        <w:rPr>
          <w:rFonts w:ascii="Arial" w:hAnsi="Arial" w:eastAsia="Arial" w:cs="Arial"/>
          <w:sz w:val="20"/>
          <w:szCs w:val="20"/>
          <w:lang w:val="es-ES" w:eastAsia="es-ES" w:bidi="es-ES"/>
        </w:rPr>
        <w:t xml:space="preserve">la Ley 996 de 2005 establece dos (2) tipos de restricciones en materia de contratación, las cuales coinciden parcialmente. </w:t>
      </w:r>
      <w:r w:rsidRPr="00227C91">
        <w:rPr>
          <w:rFonts w:ascii="Arial" w:hAnsi="Arial" w:eastAsia="Arial" w:cs="Arial"/>
          <w:i/>
          <w:iCs/>
          <w:sz w:val="20"/>
          <w:szCs w:val="20"/>
          <w:lang w:val="es-ES" w:eastAsia="es-ES" w:bidi="es-ES"/>
        </w:rPr>
        <w:t>En primer lugar</w:t>
      </w:r>
      <w:r w:rsidRPr="00227C91">
        <w:rPr>
          <w:rFonts w:ascii="Arial" w:hAnsi="Arial" w:eastAsia="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27C91">
        <w:rPr>
          <w:rFonts w:ascii="Arial" w:hAnsi="Arial" w:eastAsia="Arial" w:cs="Arial"/>
          <w:i/>
          <w:iCs/>
          <w:sz w:val="20"/>
          <w:szCs w:val="20"/>
          <w:lang w:val="es-ES" w:eastAsia="es-ES" w:bidi="es-ES"/>
        </w:rPr>
        <w:t>En segundo lugar</w:t>
      </w:r>
      <w:r w:rsidRPr="00227C91">
        <w:rPr>
          <w:rFonts w:ascii="Arial" w:hAnsi="Arial" w:eastAsia="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Pr="00227C91" w:rsidR="00C60B22" w:rsidP="00C60B22" w:rsidRDefault="00C60B22" w14:paraId="5D2580B7" w14:textId="77777777">
      <w:pPr>
        <w:tabs>
          <w:tab w:val="left" w:pos="426"/>
        </w:tabs>
        <w:spacing w:after="0" w:line="240" w:lineRule="auto"/>
        <w:ind w:left="426" w:hanging="426"/>
        <w:contextualSpacing/>
        <w:jc w:val="both"/>
        <w:rPr>
          <w:rFonts w:ascii="Arial" w:hAnsi="Arial" w:eastAsia="Calibri" w:cs="Arial"/>
          <w:b/>
          <w:bCs/>
          <w:sz w:val="20"/>
          <w:szCs w:val="20"/>
          <w:lang w:val="es-MX"/>
        </w:rPr>
      </w:pPr>
    </w:p>
    <w:p w:rsidRPr="00227C91" w:rsidR="00C60B22" w:rsidP="00C60B22" w:rsidRDefault="00C60B22" w14:paraId="02C7CA38" w14:textId="77777777">
      <w:pPr>
        <w:tabs>
          <w:tab w:val="left" w:pos="426"/>
        </w:tabs>
        <w:spacing w:after="0" w:line="240" w:lineRule="auto"/>
        <w:ind w:left="426" w:hanging="426"/>
        <w:contextualSpacing/>
        <w:jc w:val="both"/>
        <w:rPr>
          <w:rFonts w:ascii="Arial" w:hAnsi="Arial" w:eastAsia="Calibri" w:cs="Arial"/>
          <w:b/>
          <w:bCs/>
          <w:lang w:val="es-MX"/>
        </w:rPr>
      </w:pPr>
      <w:r w:rsidRPr="00227C91">
        <w:rPr>
          <w:rFonts w:ascii="Arial" w:hAnsi="Arial" w:eastAsia="Calibri" w:cs="Arial"/>
          <w:b/>
          <w:bCs/>
          <w:lang w:val="es-MX"/>
        </w:rPr>
        <w:t xml:space="preserve">LEY DE GARANTÍAS ELECTORALES ─ Prohibición ‒ </w:t>
      </w:r>
      <w:bookmarkEnd w:id="5"/>
      <w:r w:rsidRPr="00227C91">
        <w:rPr>
          <w:rFonts w:ascii="Arial" w:hAnsi="Arial" w:eastAsia="Calibri" w:cs="Arial"/>
          <w:b/>
          <w:bCs/>
          <w:lang w:val="es-MX"/>
        </w:rPr>
        <w:t xml:space="preserve">Contratación directa ‒ Alcance </w:t>
      </w:r>
    </w:p>
    <w:p w:rsidRPr="00227C91" w:rsidR="00C60B22" w:rsidP="00C60B22" w:rsidRDefault="00C60B22" w14:paraId="45A582BC" w14:textId="77777777">
      <w:pPr>
        <w:tabs>
          <w:tab w:val="left" w:pos="426"/>
        </w:tabs>
        <w:spacing w:line="240" w:lineRule="auto"/>
        <w:contextualSpacing/>
        <w:jc w:val="both"/>
        <w:rPr>
          <w:rFonts w:ascii="Arial" w:hAnsi="Arial" w:eastAsia="Calibri" w:cs="Arial"/>
          <w:noProof/>
          <w:sz w:val="20"/>
          <w:szCs w:val="20"/>
          <w:lang w:val="es-MX"/>
        </w:rPr>
      </w:pPr>
    </w:p>
    <w:p w:rsidRPr="00227C91" w:rsidR="00C60B22" w:rsidP="00C60B22" w:rsidRDefault="00C60B22" w14:paraId="79954F92" w14:textId="77777777">
      <w:pPr>
        <w:spacing w:line="240" w:lineRule="auto"/>
        <w:contextualSpacing/>
        <w:jc w:val="both"/>
        <w:rPr>
          <w:rFonts w:ascii="Arial" w:hAnsi="Arial" w:eastAsia="Times New Roman" w:cs="Arial"/>
          <w:bCs/>
          <w:sz w:val="20"/>
          <w:szCs w:val="20"/>
          <w:lang w:val="es-MX" w:eastAsia="x-none"/>
        </w:rPr>
      </w:pPr>
      <w:r w:rsidRPr="00227C91">
        <w:rPr>
          <w:rFonts w:ascii="Arial" w:hAnsi="Arial" w:eastAsia="Calibri" w:cs="Arial"/>
          <w:noProof/>
          <w:sz w:val="20"/>
          <w:szCs w:val="20"/>
          <w:lang w:val="es-ES_tradnl"/>
        </w:rPr>
        <w:t xml:space="preserve">[…] </w:t>
      </w:r>
      <w:r w:rsidRPr="00227C91">
        <w:rPr>
          <w:rFonts w:ascii="Arial" w:hAnsi="Arial" w:eastAsia="Times New Roman"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27C91">
        <w:rPr>
          <w:rFonts w:ascii="Arial" w:hAnsi="Arial" w:eastAsia="Times New Roman" w:cs="Arial"/>
          <w:sz w:val="20"/>
          <w:szCs w:val="20"/>
          <w:vertAlign w:val="superscript"/>
          <w:lang w:eastAsia="x-none"/>
        </w:rPr>
        <w:t xml:space="preserve"> </w:t>
      </w:r>
    </w:p>
    <w:p w:rsidRPr="00227C91" w:rsidR="00C60B22" w:rsidP="00C60B22" w:rsidRDefault="00C60B22" w14:paraId="701A8CBF" w14:textId="77777777">
      <w:pPr>
        <w:spacing w:line="240" w:lineRule="auto"/>
        <w:contextualSpacing/>
        <w:jc w:val="both"/>
        <w:rPr>
          <w:rFonts w:ascii="Arial" w:hAnsi="Arial" w:eastAsia="Times New Roman" w:cs="Arial"/>
          <w:bCs/>
          <w:sz w:val="20"/>
          <w:szCs w:val="20"/>
          <w:lang w:val="es-MX" w:eastAsia="x-none"/>
        </w:rPr>
      </w:pPr>
    </w:p>
    <w:p w:rsidRPr="00227C91" w:rsidR="00C60B22" w:rsidP="00C60B22" w:rsidRDefault="00C60B22" w14:paraId="45966D34" w14:textId="77777777">
      <w:pPr>
        <w:spacing w:line="240" w:lineRule="auto"/>
        <w:contextualSpacing/>
        <w:jc w:val="both"/>
        <w:rPr>
          <w:rFonts w:ascii="Arial" w:hAnsi="Arial" w:eastAsia="Times New Roman" w:cs="Arial"/>
          <w:sz w:val="20"/>
          <w:szCs w:val="20"/>
          <w:lang w:eastAsia="x-none"/>
        </w:rPr>
      </w:pPr>
      <w:r w:rsidRPr="00227C91">
        <w:rPr>
          <w:rFonts w:ascii="Arial" w:hAnsi="Arial" w:eastAsia="Times New Roman"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27C91">
        <w:rPr>
          <w:rFonts w:ascii="Arial" w:hAnsi="Arial" w:eastAsia="Times New Roman"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rsidRPr="00227C91" w:rsidR="00C60B22" w:rsidP="00C60B22" w:rsidRDefault="00C60B22" w14:paraId="36E83A6F" w14:textId="77777777">
      <w:pPr>
        <w:spacing w:line="240" w:lineRule="auto"/>
        <w:contextualSpacing/>
        <w:jc w:val="both"/>
        <w:rPr>
          <w:rFonts w:ascii="Arial" w:hAnsi="Arial" w:eastAsia="Times New Roman" w:cs="Arial"/>
          <w:lang w:eastAsia="x-none"/>
        </w:rPr>
      </w:pPr>
    </w:p>
    <w:p w:rsidRPr="00227C91" w:rsidR="00C60B22" w:rsidP="00C60B22" w:rsidRDefault="00C60B22" w14:paraId="0616864D" w14:textId="77777777">
      <w:pPr>
        <w:tabs>
          <w:tab w:val="left" w:pos="426"/>
        </w:tabs>
        <w:spacing w:line="240" w:lineRule="auto"/>
        <w:contextualSpacing/>
        <w:jc w:val="both"/>
        <w:rPr>
          <w:rFonts w:ascii="Arial" w:hAnsi="Arial" w:eastAsia="Calibri" w:cs="Arial"/>
          <w:b/>
          <w:bCs/>
          <w:sz w:val="20"/>
          <w:szCs w:val="20"/>
          <w:lang w:val="es-MX"/>
        </w:rPr>
      </w:pPr>
      <w:r w:rsidRPr="00227C91">
        <w:rPr>
          <w:rFonts w:ascii="Arial" w:hAnsi="Arial" w:eastAsia="Calibri" w:cs="Arial"/>
          <w:b/>
          <w:bCs/>
          <w:lang w:val="es-MX"/>
        </w:rPr>
        <w:t xml:space="preserve">LEY DE GARANTÍAS ELECTORALES ─ Prohibición ‒ Contratación directa ‒ </w:t>
      </w:r>
      <w:r w:rsidRPr="00227C91">
        <w:rPr>
          <w:rFonts w:ascii="Arial" w:hAnsi="Arial" w:eastAsia="Times New Roman" w:cs="Arial"/>
          <w:b/>
          <w:bCs/>
          <w:lang w:eastAsia="es-CO"/>
        </w:rPr>
        <w:t>Excepciones</w:t>
      </w:r>
      <w:r w:rsidRPr="00227C91">
        <w:rPr>
          <w:rFonts w:ascii="Arial" w:hAnsi="Arial" w:eastAsia="Calibri" w:cs="Arial"/>
          <w:b/>
          <w:bCs/>
          <w:lang w:val="es-MX"/>
        </w:rPr>
        <w:t xml:space="preserve"> </w:t>
      </w:r>
    </w:p>
    <w:p w:rsidRPr="00227C91" w:rsidR="00C60B22" w:rsidP="00C60B22" w:rsidRDefault="00C60B22" w14:paraId="292AE083" w14:textId="77777777">
      <w:pPr>
        <w:tabs>
          <w:tab w:val="left" w:pos="426"/>
        </w:tabs>
        <w:spacing w:line="240" w:lineRule="auto"/>
        <w:contextualSpacing/>
        <w:jc w:val="both"/>
        <w:rPr>
          <w:rFonts w:ascii="Arial" w:hAnsi="Arial" w:eastAsia="Times New Roman" w:cs="Arial"/>
          <w:sz w:val="20"/>
          <w:szCs w:val="20"/>
          <w:lang w:eastAsia="x-none"/>
        </w:rPr>
      </w:pPr>
    </w:p>
    <w:p w:rsidRPr="00227C91" w:rsidR="00C60B22" w:rsidP="00C60B22" w:rsidRDefault="00C60B22" w14:paraId="6CF3BF54" w14:textId="77777777">
      <w:pPr>
        <w:spacing w:line="240" w:lineRule="auto"/>
        <w:contextualSpacing/>
        <w:jc w:val="both"/>
        <w:rPr>
          <w:rFonts w:ascii="Arial" w:hAnsi="Arial" w:eastAsia="Times New Roman" w:cs="Arial"/>
          <w:bCs/>
          <w:sz w:val="20"/>
          <w:szCs w:val="20"/>
          <w:lang w:val="es-MX" w:eastAsia="es-CO"/>
        </w:rPr>
      </w:pPr>
      <w:r w:rsidRPr="00227C91">
        <w:rPr>
          <w:rFonts w:ascii="Arial" w:hAnsi="Arial" w:eastAsia="Calibri" w:cs="Arial"/>
          <w:noProof/>
          <w:sz w:val="20"/>
          <w:szCs w:val="20"/>
          <w:lang w:val="es-ES_tradnl"/>
        </w:rPr>
        <w:t xml:space="preserve">[…] </w:t>
      </w:r>
      <w:r w:rsidRPr="00227C91">
        <w:rPr>
          <w:rFonts w:ascii="Arial" w:hAnsi="Arial" w:eastAsia="Times New Roman" w:cs="Arial"/>
          <w:bCs/>
          <w:sz w:val="20"/>
          <w:szCs w:val="20"/>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227C91">
        <w:rPr>
          <w:rFonts w:ascii="Arial" w:hAnsi="Arial" w:eastAsia="Times New Roman" w:cs="Arial"/>
          <w:bCs/>
          <w:sz w:val="20"/>
          <w:szCs w:val="20"/>
          <w:lang w:val="es-MX" w:eastAsia="x-none"/>
        </w:rPr>
        <w:t>ii</w:t>
      </w:r>
      <w:proofErr w:type="spellEnd"/>
      <w:r w:rsidRPr="00227C91">
        <w:rPr>
          <w:rFonts w:ascii="Arial" w:hAnsi="Arial" w:eastAsia="Times New Roman" w:cs="Arial"/>
          <w:bCs/>
          <w:sz w:val="20"/>
          <w:szCs w:val="20"/>
          <w:lang w:val="es-MX" w:eastAsia="x-none"/>
        </w:rPr>
        <w:t xml:space="preserve">) los contratos de crédito público; </w:t>
      </w:r>
      <w:proofErr w:type="spellStart"/>
      <w:r w:rsidRPr="00227C91">
        <w:rPr>
          <w:rFonts w:ascii="Arial" w:hAnsi="Arial" w:eastAsia="Times New Roman" w:cs="Arial"/>
          <w:bCs/>
          <w:sz w:val="20"/>
          <w:szCs w:val="20"/>
          <w:lang w:val="es-MX" w:eastAsia="x-none"/>
        </w:rPr>
        <w:t>iii</w:t>
      </w:r>
      <w:proofErr w:type="spellEnd"/>
      <w:r w:rsidRPr="00227C91">
        <w:rPr>
          <w:rFonts w:ascii="Arial" w:hAnsi="Arial" w:eastAsia="Times New Roman" w:cs="Arial"/>
          <w:bCs/>
          <w:sz w:val="20"/>
          <w:szCs w:val="20"/>
          <w:lang w:val="es-MX" w:eastAsia="x-none"/>
        </w:rPr>
        <w:t xml:space="preserve">) los requeridos para cubrir las </w:t>
      </w:r>
      <w:r w:rsidRPr="00227C91">
        <w:rPr>
          <w:rFonts w:ascii="Arial" w:hAnsi="Arial" w:eastAsia="Times New Roman" w:cs="Arial"/>
          <w:bCs/>
          <w:sz w:val="20"/>
          <w:szCs w:val="20"/>
          <w:lang w:val="es-MX" w:eastAsia="x-none"/>
        </w:rPr>
        <w:t xml:space="preserve">emergencias educativas, sanitarias y desastres; </w:t>
      </w:r>
      <w:proofErr w:type="spellStart"/>
      <w:r w:rsidRPr="00227C91">
        <w:rPr>
          <w:rFonts w:ascii="Arial" w:hAnsi="Arial" w:eastAsia="Times New Roman" w:cs="Arial"/>
          <w:bCs/>
          <w:sz w:val="20"/>
          <w:szCs w:val="20"/>
          <w:lang w:val="es-MX" w:eastAsia="x-none"/>
        </w:rPr>
        <w:t>iv</w:t>
      </w:r>
      <w:proofErr w:type="spellEnd"/>
      <w:r w:rsidRPr="00227C91">
        <w:rPr>
          <w:rFonts w:ascii="Arial" w:hAnsi="Arial" w:eastAsia="Times New Roman"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27C91">
        <w:rPr>
          <w:rFonts w:ascii="Arial" w:hAnsi="Arial" w:eastAsia="Times New Roman"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Pr="00227C91" w:rsidR="00C60B22" w:rsidP="00C60B22" w:rsidRDefault="00C60B22" w14:paraId="5DFFED21" w14:textId="77777777">
      <w:pPr>
        <w:spacing w:line="240" w:lineRule="auto"/>
        <w:contextualSpacing/>
        <w:jc w:val="both"/>
        <w:rPr>
          <w:rFonts w:ascii="Arial" w:hAnsi="Arial" w:eastAsia="Times New Roman" w:cs="Arial"/>
          <w:bCs/>
          <w:sz w:val="20"/>
          <w:szCs w:val="20"/>
          <w:lang w:val="es-MX" w:eastAsia="es-CO"/>
        </w:rPr>
      </w:pPr>
    </w:p>
    <w:p w:rsidRPr="00227C91" w:rsidR="00C60B22" w:rsidP="00C60B22" w:rsidRDefault="00C60B22" w14:paraId="3E38EF51" w14:textId="77777777">
      <w:pPr>
        <w:spacing w:line="240" w:lineRule="auto"/>
        <w:contextualSpacing/>
        <w:jc w:val="both"/>
        <w:rPr>
          <w:rFonts w:ascii="Arial" w:hAnsi="Arial" w:eastAsia="Times New Roman" w:cs="Arial"/>
          <w:b/>
          <w:lang w:val="es-ES" w:eastAsia="es-CO"/>
        </w:rPr>
      </w:pPr>
      <w:r w:rsidRPr="00227C91">
        <w:rPr>
          <w:rFonts w:ascii="Arial" w:hAnsi="Arial" w:eastAsia="Times New Roman" w:cs="Arial"/>
          <w:b/>
          <w:bCs/>
          <w:lang w:eastAsia="es-CO"/>
        </w:rPr>
        <w:t xml:space="preserve">LEY DE GARANTÍAS ELECTORALES </w:t>
      </w:r>
      <w:bookmarkStart w:name="_Hlk77166669" w:id="6"/>
      <w:r w:rsidRPr="00227C91">
        <w:rPr>
          <w:rFonts w:ascii="Arial" w:hAnsi="Arial" w:eastAsia="Times New Roman" w:cs="Arial"/>
          <w:b/>
          <w:bCs/>
          <w:lang w:eastAsia="es-CO"/>
        </w:rPr>
        <w:t>‒</w:t>
      </w:r>
      <w:bookmarkEnd w:id="6"/>
      <w:r w:rsidRPr="00227C91">
        <w:rPr>
          <w:rFonts w:ascii="Arial" w:hAnsi="Arial" w:eastAsia="Times New Roman" w:cs="Arial"/>
          <w:b/>
          <w:bCs/>
          <w:lang w:eastAsia="es-CO"/>
        </w:rPr>
        <w:t xml:space="preserve"> </w:t>
      </w:r>
      <w:r w:rsidRPr="00227C91">
        <w:rPr>
          <w:rFonts w:ascii="Arial" w:hAnsi="Arial" w:eastAsia="Times New Roman" w:cs="Arial"/>
          <w:b/>
          <w:lang w:val="es-ES" w:eastAsia="es-CO"/>
        </w:rPr>
        <w:t xml:space="preserve">Prohibición del artículo 33 </w:t>
      </w:r>
      <w:r w:rsidRPr="00227C91">
        <w:rPr>
          <w:rFonts w:ascii="Arial" w:hAnsi="Arial" w:eastAsia="Times New Roman" w:cs="Arial"/>
          <w:b/>
          <w:bCs/>
          <w:lang w:eastAsia="es-CO"/>
        </w:rPr>
        <w:t>‒ Destinatarios</w:t>
      </w:r>
    </w:p>
    <w:p w:rsidRPr="00227C91" w:rsidR="00C60B22" w:rsidP="00C60B22" w:rsidRDefault="00C60B22" w14:paraId="2941D895" w14:textId="77777777">
      <w:pPr>
        <w:tabs>
          <w:tab w:val="left" w:pos="426"/>
        </w:tabs>
        <w:spacing w:line="240" w:lineRule="auto"/>
        <w:contextualSpacing/>
        <w:jc w:val="both"/>
        <w:rPr>
          <w:rFonts w:ascii="Arial" w:hAnsi="Arial" w:eastAsia="Calibri" w:cs="Arial"/>
          <w:noProof/>
          <w:sz w:val="20"/>
          <w:szCs w:val="20"/>
          <w:lang w:val="es-ES"/>
        </w:rPr>
      </w:pPr>
    </w:p>
    <w:p w:rsidRPr="00227C91" w:rsidR="00C60B22" w:rsidP="00C60B22" w:rsidRDefault="00C60B22" w14:paraId="5E1EA405" w14:textId="77777777">
      <w:pPr>
        <w:tabs>
          <w:tab w:val="left" w:pos="426"/>
        </w:tabs>
        <w:spacing w:line="240" w:lineRule="auto"/>
        <w:contextualSpacing/>
        <w:jc w:val="both"/>
        <w:rPr>
          <w:rFonts w:ascii="Arial" w:hAnsi="Arial" w:eastAsia="Times New Roman" w:cs="Arial"/>
          <w:bCs/>
          <w:sz w:val="20"/>
          <w:szCs w:val="20"/>
          <w:lang w:val="es-MX" w:eastAsia="x-none"/>
        </w:rPr>
      </w:pPr>
      <w:r w:rsidRPr="00227C91">
        <w:rPr>
          <w:rFonts w:ascii="Arial" w:hAnsi="Arial" w:eastAsia="Times New Roman"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227C91">
        <w:rPr>
          <w:rFonts w:ascii="Arial" w:hAnsi="Arial" w:eastAsia="Calibri" w:cs="Arial"/>
          <w:sz w:val="20"/>
          <w:szCs w:val="20"/>
          <w:lang w:val="es-MX"/>
        </w:rPr>
        <w:t xml:space="preserve"> </w:t>
      </w:r>
      <w:r w:rsidRPr="00227C91">
        <w:rPr>
          <w:rFonts w:ascii="Arial" w:hAnsi="Arial" w:eastAsia="Times New Roman" w:cs="Arial"/>
          <w:bCs/>
          <w:sz w:val="20"/>
          <w:szCs w:val="20"/>
          <w:lang w:val="es-MX" w:eastAsia="x-none"/>
        </w:rPr>
        <w:t>En efecto, como ha sostenido el Consejo de Estado, el vocablo “todos” utilizado por el legislador comprende</w:t>
      </w:r>
      <w:r w:rsidRPr="00227C91">
        <w:rPr>
          <w:rFonts w:ascii="Arial" w:hAnsi="Arial" w:eastAsia="Calibri" w:cs="Arial"/>
          <w:sz w:val="20"/>
          <w:szCs w:val="20"/>
          <w:lang w:val="es-MX"/>
        </w:rPr>
        <w:t xml:space="preserve"> </w:t>
      </w:r>
      <w:r w:rsidRPr="00227C91">
        <w:rPr>
          <w:rFonts w:ascii="Arial" w:hAnsi="Arial" w:eastAsia="Times New Roman"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227C91" w:rsidR="00C60B22" w:rsidP="00C60B22" w:rsidRDefault="00C60B22" w14:paraId="58873020" w14:textId="77777777">
      <w:pPr>
        <w:tabs>
          <w:tab w:val="left" w:pos="426"/>
        </w:tabs>
        <w:spacing w:line="240" w:lineRule="auto"/>
        <w:contextualSpacing/>
        <w:jc w:val="both"/>
        <w:rPr>
          <w:rFonts w:ascii="Arial" w:hAnsi="Arial" w:eastAsia="Calibri" w:cs="Arial"/>
          <w:sz w:val="20"/>
          <w:szCs w:val="20"/>
          <w:lang w:val="es-MX"/>
        </w:rPr>
      </w:pPr>
    </w:p>
    <w:p w:rsidRPr="00227C91" w:rsidR="00C60B22" w:rsidP="00C60B22" w:rsidRDefault="00C60B22" w14:paraId="554E336F" w14:textId="77777777">
      <w:pPr>
        <w:tabs>
          <w:tab w:val="left" w:pos="426"/>
        </w:tabs>
        <w:spacing w:line="240" w:lineRule="auto"/>
        <w:contextualSpacing/>
        <w:jc w:val="both"/>
        <w:rPr>
          <w:rFonts w:ascii="Arial" w:hAnsi="Arial" w:eastAsia="Calibri" w:cs="Arial"/>
          <w:b/>
          <w:bCs/>
          <w:lang w:val="es-MX"/>
        </w:rPr>
      </w:pPr>
      <w:r w:rsidRPr="00227C91">
        <w:rPr>
          <w:rFonts w:ascii="Arial" w:hAnsi="Arial" w:eastAsia="Calibri" w:cs="Arial"/>
          <w:b/>
          <w:bCs/>
          <w:lang w:val="es-MX"/>
        </w:rPr>
        <w:t xml:space="preserve">LEY DE GARANTÍAS ELECTORALES ‒ Prohibición por elección de cargos populares – Convenios y contratos interadministrativos </w:t>
      </w:r>
      <w:r w:rsidRPr="00227C91">
        <w:rPr>
          <w:rFonts w:ascii="Arial" w:hAnsi="Arial" w:eastAsia="Calibri" w:cs="Arial"/>
          <w:b/>
          <w:lang w:val="es-MX"/>
        </w:rPr>
        <w:t>– Definición – Criterio orgánico</w:t>
      </w:r>
    </w:p>
    <w:p w:rsidRPr="00227C91" w:rsidR="00C60B22" w:rsidP="00C60B22" w:rsidRDefault="00C60B22" w14:paraId="3418142C" w14:textId="77777777">
      <w:pPr>
        <w:tabs>
          <w:tab w:val="left" w:pos="426"/>
        </w:tabs>
        <w:spacing w:line="240" w:lineRule="auto"/>
        <w:contextualSpacing/>
        <w:jc w:val="both"/>
        <w:rPr>
          <w:rFonts w:ascii="Arial" w:hAnsi="Arial" w:eastAsia="Calibri" w:cs="Arial"/>
          <w:sz w:val="20"/>
          <w:szCs w:val="20"/>
          <w:lang w:val="es-MX"/>
        </w:rPr>
      </w:pPr>
    </w:p>
    <w:p w:rsidRPr="00227C91" w:rsidR="00C60B22" w:rsidP="00C60B22" w:rsidRDefault="00C60B22" w14:paraId="1ACAB693" w14:textId="77777777">
      <w:pPr>
        <w:tabs>
          <w:tab w:val="left" w:pos="426"/>
        </w:tabs>
        <w:spacing w:line="240" w:lineRule="auto"/>
        <w:contextualSpacing/>
        <w:jc w:val="both"/>
        <w:rPr>
          <w:rFonts w:ascii="Arial" w:hAnsi="Arial" w:eastAsia="Calibri" w:cs="Arial"/>
          <w:sz w:val="20"/>
          <w:szCs w:val="20"/>
          <w:lang w:val="es-MX"/>
        </w:rPr>
      </w:pPr>
      <w:r w:rsidRPr="00227C91">
        <w:rPr>
          <w:rFonts w:ascii="Arial" w:hAnsi="Arial" w:eastAsia="Calibri"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rsidRPr="00227C91" w:rsidR="00C60B22" w:rsidP="00C60B22" w:rsidRDefault="00C60B22" w14:paraId="6DCAF007" w14:textId="77777777">
      <w:pPr>
        <w:tabs>
          <w:tab w:val="left" w:pos="426"/>
        </w:tabs>
        <w:spacing w:line="240" w:lineRule="auto"/>
        <w:contextualSpacing/>
        <w:jc w:val="both"/>
        <w:rPr>
          <w:rFonts w:ascii="Arial" w:hAnsi="Arial" w:eastAsia="Calibri" w:cs="Arial"/>
          <w:sz w:val="20"/>
          <w:szCs w:val="20"/>
          <w:lang w:val="es-MX"/>
        </w:rPr>
      </w:pPr>
    </w:p>
    <w:p w:rsidRPr="00227C91" w:rsidR="00C60B22" w:rsidP="00C60B22" w:rsidRDefault="00C60B22" w14:paraId="1D673973" w14:textId="77777777">
      <w:pPr>
        <w:widowControl w:val="0"/>
        <w:autoSpaceDE w:val="0"/>
        <w:autoSpaceDN w:val="0"/>
        <w:spacing w:line="240" w:lineRule="auto"/>
        <w:contextualSpacing/>
        <w:jc w:val="both"/>
        <w:rPr>
          <w:rFonts w:ascii="Arial" w:hAnsi="Arial" w:eastAsia="Arial" w:cs="Arial"/>
          <w:sz w:val="20"/>
          <w:szCs w:val="20"/>
          <w:lang w:val="es-ES" w:eastAsia="es-ES" w:bidi="es-ES"/>
        </w:rPr>
      </w:pPr>
      <w:r w:rsidRPr="00227C91">
        <w:rPr>
          <w:rFonts w:ascii="Arial" w:hAnsi="Arial" w:eastAsia="Calibri" w:cs="Arial"/>
          <w:sz w:val="20"/>
          <w:szCs w:val="20"/>
          <w:lang w:val="es-MX"/>
        </w:rPr>
        <w:t xml:space="preserve">[…] </w:t>
      </w:r>
      <w:r w:rsidRPr="00227C91">
        <w:rPr>
          <w:rFonts w:ascii="Arial" w:hAnsi="Arial" w:eastAsia="Calibri"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227C91">
        <w:rPr>
          <w:rFonts w:ascii="Arial" w:hAnsi="Arial" w:eastAsia="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227C91">
        <w:rPr>
          <w:rFonts w:ascii="Arial" w:hAnsi="Arial" w:eastAsia="Arial" w:cs="Arial"/>
          <w:spacing w:val="-6"/>
          <w:sz w:val="20"/>
          <w:szCs w:val="20"/>
          <w:lang w:val="es-ES" w:eastAsia="es-ES" w:bidi="es-ES"/>
        </w:rPr>
        <w:t xml:space="preserve"> </w:t>
      </w:r>
      <w:r w:rsidRPr="00227C91">
        <w:rPr>
          <w:rFonts w:ascii="Arial" w:hAnsi="Arial" w:eastAsia="Arial" w:cs="Arial"/>
          <w:sz w:val="20"/>
          <w:szCs w:val="20"/>
          <w:lang w:val="es-ES" w:eastAsia="es-ES" w:bidi="es-ES"/>
        </w:rPr>
        <w:t>estatales.</w:t>
      </w:r>
      <w:bookmarkEnd w:id="2"/>
    </w:p>
    <w:p w:rsidR="00C60B22" w:rsidP="00C60B22" w:rsidRDefault="00C60B22" w14:paraId="1C13C2D4" w14:textId="77777777">
      <w:pPr>
        <w:spacing w:after="0" w:line="240" w:lineRule="auto"/>
        <w:jc w:val="both"/>
        <w:rPr>
          <w:rFonts w:ascii="Arial" w:hAnsi="Arial" w:eastAsia="Arial" w:cs="Arial"/>
          <w:b/>
          <w:color w:val="000000"/>
          <w:lang w:eastAsia="es-CO"/>
        </w:rPr>
      </w:pPr>
    </w:p>
    <w:p w:rsidR="00C60B22" w:rsidP="00C60B22" w:rsidRDefault="00C60B22" w14:paraId="3D25EE85" w14:textId="77777777">
      <w:pPr>
        <w:spacing w:after="0" w:line="240" w:lineRule="auto"/>
        <w:jc w:val="both"/>
        <w:rPr>
          <w:rFonts w:ascii="Arial" w:hAnsi="Arial" w:eastAsia="Arial" w:cs="Arial"/>
          <w:b/>
          <w:color w:val="000000"/>
          <w:lang w:eastAsia="es-CO"/>
        </w:rPr>
      </w:pPr>
      <w:r>
        <w:rPr>
          <w:rFonts w:ascii="Arial" w:hAnsi="Arial" w:eastAsia="Arial" w:cs="Arial"/>
          <w:b/>
          <w:color w:val="000000"/>
          <w:lang w:eastAsia="es-CO"/>
        </w:rPr>
        <w:t>CONTRATOS DE CRÉDITO PÚBLICO – Definición - Alcance Legal</w:t>
      </w:r>
    </w:p>
    <w:p w:rsidRPr="007B3060" w:rsidR="00C60B22" w:rsidP="00C60B22" w:rsidRDefault="00C60B22" w14:paraId="733C444C" w14:textId="77777777">
      <w:pPr>
        <w:spacing w:after="0" w:line="240" w:lineRule="auto"/>
        <w:jc w:val="both"/>
        <w:rPr>
          <w:rFonts w:ascii="Arial" w:hAnsi="Arial" w:eastAsia="Arial" w:cs="Arial"/>
          <w:b/>
          <w:color w:val="000000"/>
          <w:lang w:eastAsia="es-CO"/>
        </w:rPr>
      </w:pPr>
    </w:p>
    <w:p w:rsidR="00C60B22" w:rsidP="00C60B22" w:rsidRDefault="00C60B22" w14:paraId="6A150B99" w14:textId="77777777">
      <w:pPr>
        <w:spacing w:after="0" w:line="240" w:lineRule="auto"/>
        <w:jc w:val="both"/>
        <w:rPr>
          <w:rFonts w:ascii="Arial" w:hAnsi="Arial" w:eastAsia="Arial" w:cs="Arial"/>
          <w:color w:val="000000"/>
          <w:sz w:val="20"/>
          <w:szCs w:val="20"/>
          <w:lang w:eastAsia="es-CO"/>
        </w:rPr>
      </w:pPr>
      <w:r>
        <w:rPr>
          <w:rFonts w:ascii="Arial" w:hAnsi="Arial" w:eastAsia="Arial" w:cs="Arial"/>
          <w:color w:val="000000"/>
          <w:sz w:val="20"/>
          <w:szCs w:val="20"/>
          <w:lang w:eastAsia="es-CO"/>
        </w:rPr>
        <w:t xml:space="preserve">Las </w:t>
      </w:r>
      <w:r w:rsidRPr="007B3060">
        <w:rPr>
          <w:rFonts w:ascii="Arial" w:hAnsi="Arial" w:eastAsia="Arial" w:cs="Arial"/>
          <w:color w:val="000000"/>
          <w:sz w:val="20"/>
          <w:szCs w:val="20"/>
          <w:lang w:eastAsia="es-CO"/>
        </w:rPr>
        <w:t>operaciones de crédito público los actos o contratos que tienen por objeto dotar a la entidad estatal de recursos, bienes o servicios con plazo para su pago o aquellas mediante las cuales la entidad actúa como deudor solidario o garante de obligaciones de pago.</w:t>
      </w:r>
      <w:r>
        <w:rPr>
          <w:rFonts w:ascii="Arial" w:hAnsi="Arial" w:eastAsia="Arial" w:cs="Arial"/>
          <w:color w:val="000000"/>
          <w:sz w:val="20"/>
          <w:szCs w:val="20"/>
          <w:lang w:eastAsia="es-CO"/>
        </w:rPr>
        <w:t xml:space="preserve">  </w:t>
      </w:r>
    </w:p>
    <w:p w:rsidR="00C60B22" w:rsidP="00C60B22" w:rsidRDefault="00C60B22" w14:paraId="446ACD51" w14:textId="77777777">
      <w:pPr>
        <w:spacing w:after="0" w:line="240" w:lineRule="auto"/>
        <w:jc w:val="both"/>
        <w:rPr>
          <w:rFonts w:ascii="Arial" w:hAnsi="Arial" w:eastAsia="Arial" w:cs="Arial"/>
          <w:color w:val="000000"/>
          <w:sz w:val="20"/>
          <w:szCs w:val="20"/>
          <w:lang w:eastAsia="es-CO"/>
        </w:rPr>
      </w:pPr>
    </w:p>
    <w:p w:rsidRPr="007B3060" w:rsidR="00C60B22" w:rsidP="00C60B22" w:rsidRDefault="00C60B22" w14:paraId="50536302" w14:textId="77777777">
      <w:pPr>
        <w:spacing w:after="0" w:line="240" w:lineRule="auto"/>
        <w:jc w:val="both"/>
        <w:rPr>
          <w:rFonts w:ascii="Arial" w:hAnsi="Arial" w:eastAsia="Arial" w:cs="Arial"/>
          <w:color w:val="000000"/>
          <w:sz w:val="20"/>
          <w:szCs w:val="20"/>
          <w:lang w:eastAsia="es-CO"/>
        </w:rPr>
      </w:pPr>
      <w:r w:rsidRPr="007B3060">
        <w:rPr>
          <w:rFonts w:ascii="Arial" w:hAnsi="Arial" w:eastAsia="Arial" w:cs="Arial"/>
          <w:color w:val="000000"/>
          <w:sz w:val="20"/>
          <w:szCs w:val="20"/>
          <w:lang w:eastAsia="es-CO"/>
        </w:rPr>
        <w:t>De acuerdo con la L</w:t>
      </w:r>
      <w:r>
        <w:rPr>
          <w:rFonts w:ascii="Arial" w:hAnsi="Arial" w:eastAsia="Arial" w:cs="Arial"/>
          <w:color w:val="000000"/>
          <w:sz w:val="20"/>
          <w:szCs w:val="20"/>
          <w:lang w:eastAsia="es-CO"/>
        </w:rPr>
        <w:t>ey 80 de 1993, el Decreto 2681 de 1993, reglamentado por el Decreto 2283 de 2003, Decreto 4712 de 2008, Decreto 1068 de 2015 y el Decreto 1575 de 2022</w:t>
      </w:r>
      <w:r w:rsidRPr="007B3060">
        <w:rPr>
          <w:rFonts w:ascii="Arial" w:hAnsi="Arial" w:eastAsia="Arial" w:cs="Arial"/>
          <w:color w:val="000000"/>
          <w:sz w:val="20"/>
          <w:szCs w:val="20"/>
          <w:lang w:eastAsia="es-CO"/>
        </w:rPr>
        <w:t>, las operaciones de crédito</w:t>
      </w:r>
      <w:r>
        <w:rPr>
          <w:rFonts w:ascii="Arial" w:hAnsi="Arial" w:eastAsia="Arial" w:cs="Arial"/>
          <w:color w:val="000000"/>
          <w:sz w:val="20"/>
          <w:szCs w:val="20"/>
          <w:lang w:eastAsia="es-CO"/>
        </w:rPr>
        <w:t xml:space="preserve"> </w:t>
      </w:r>
      <w:r w:rsidRPr="007B3060">
        <w:rPr>
          <w:rFonts w:ascii="Arial" w:hAnsi="Arial" w:eastAsia="Arial" w:cs="Arial"/>
          <w:color w:val="000000"/>
          <w:sz w:val="20"/>
          <w:szCs w:val="20"/>
          <w:lang w:eastAsia="es-CO"/>
        </w:rPr>
        <w:t>público se definen como los actos o contratos que tienen por objeto dotar a la entidad estatal de</w:t>
      </w:r>
      <w:r>
        <w:rPr>
          <w:rFonts w:ascii="Arial" w:hAnsi="Arial" w:eastAsia="Arial" w:cs="Arial"/>
          <w:color w:val="000000"/>
          <w:sz w:val="20"/>
          <w:szCs w:val="20"/>
          <w:lang w:eastAsia="es-CO"/>
        </w:rPr>
        <w:t xml:space="preserve"> </w:t>
      </w:r>
      <w:r w:rsidRPr="007B3060">
        <w:rPr>
          <w:rFonts w:ascii="Arial" w:hAnsi="Arial" w:eastAsia="Arial" w:cs="Arial"/>
          <w:color w:val="000000"/>
          <w:sz w:val="20"/>
          <w:szCs w:val="20"/>
          <w:lang w:eastAsia="es-CO"/>
        </w:rPr>
        <w:t xml:space="preserve">recursos, bienes o servicios con plazo para su pago o aquellas mediante las cuales la entidad </w:t>
      </w:r>
      <w:r>
        <w:rPr>
          <w:rFonts w:ascii="Arial" w:hAnsi="Arial" w:eastAsia="Arial" w:cs="Arial"/>
          <w:color w:val="000000"/>
          <w:sz w:val="20"/>
          <w:szCs w:val="20"/>
          <w:lang w:eastAsia="es-CO"/>
        </w:rPr>
        <w:t>a</w:t>
      </w:r>
      <w:r w:rsidRPr="007B3060">
        <w:rPr>
          <w:rFonts w:ascii="Arial" w:hAnsi="Arial" w:eastAsia="Arial" w:cs="Arial"/>
          <w:color w:val="000000"/>
          <w:sz w:val="20"/>
          <w:szCs w:val="20"/>
          <w:lang w:eastAsia="es-CO"/>
        </w:rPr>
        <w:t>ctúa</w:t>
      </w:r>
      <w:r>
        <w:rPr>
          <w:rFonts w:ascii="Arial" w:hAnsi="Arial" w:eastAsia="Arial" w:cs="Arial"/>
          <w:color w:val="000000"/>
          <w:sz w:val="20"/>
          <w:szCs w:val="20"/>
          <w:lang w:eastAsia="es-CO"/>
        </w:rPr>
        <w:t xml:space="preserve"> </w:t>
      </w:r>
      <w:r w:rsidRPr="007B3060">
        <w:rPr>
          <w:rFonts w:ascii="Arial" w:hAnsi="Arial" w:eastAsia="Arial" w:cs="Arial"/>
          <w:color w:val="000000"/>
          <w:sz w:val="20"/>
          <w:szCs w:val="20"/>
          <w:lang w:eastAsia="es-CO"/>
        </w:rPr>
        <w:t>como deudor solidario o garante de obligaciones de pago. Dentro de estas operaciones están</w:t>
      </w:r>
      <w:r>
        <w:rPr>
          <w:rFonts w:ascii="Arial" w:hAnsi="Arial" w:eastAsia="Arial" w:cs="Arial"/>
          <w:color w:val="000000"/>
          <w:sz w:val="20"/>
          <w:szCs w:val="20"/>
          <w:lang w:eastAsia="es-CO"/>
        </w:rPr>
        <w:t xml:space="preserve"> </w:t>
      </w:r>
      <w:r w:rsidRPr="007B3060">
        <w:rPr>
          <w:rFonts w:ascii="Arial" w:hAnsi="Arial" w:eastAsia="Arial" w:cs="Arial"/>
          <w:color w:val="000000"/>
          <w:sz w:val="20"/>
          <w:szCs w:val="20"/>
          <w:lang w:eastAsia="es-CO"/>
        </w:rPr>
        <w:t>comprendidas la contratación de empréstitos, la emisión, suscripción y colocación de títulos de</w:t>
      </w:r>
      <w:r>
        <w:rPr>
          <w:rFonts w:ascii="Arial" w:hAnsi="Arial" w:eastAsia="Arial" w:cs="Arial"/>
          <w:color w:val="000000"/>
          <w:sz w:val="20"/>
          <w:szCs w:val="20"/>
          <w:lang w:eastAsia="es-CO"/>
        </w:rPr>
        <w:t xml:space="preserve"> d</w:t>
      </w:r>
      <w:r w:rsidRPr="007B3060">
        <w:rPr>
          <w:rFonts w:ascii="Arial" w:hAnsi="Arial" w:eastAsia="Arial" w:cs="Arial"/>
          <w:color w:val="000000"/>
          <w:sz w:val="20"/>
          <w:szCs w:val="20"/>
          <w:lang w:eastAsia="es-CO"/>
        </w:rPr>
        <w:t xml:space="preserve">euda </w:t>
      </w:r>
      <w:r w:rsidRPr="007B3060">
        <w:rPr>
          <w:rFonts w:ascii="Arial" w:hAnsi="Arial" w:eastAsia="Arial" w:cs="Arial"/>
          <w:color w:val="000000"/>
          <w:sz w:val="20"/>
          <w:szCs w:val="20"/>
          <w:lang w:eastAsia="es-CO"/>
        </w:rPr>
        <w:t>pública, los créditos de proveedores y el otorgamiento de garantías para obligaciones de</w:t>
      </w:r>
      <w:r>
        <w:rPr>
          <w:rFonts w:ascii="Arial" w:hAnsi="Arial" w:eastAsia="Arial" w:cs="Arial"/>
          <w:color w:val="000000"/>
          <w:sz w:val="20"/>
          <w:szCs w:val="20"/>
          <w:lang w:eastAsia="es-CO"/>
        </w:rPr>
        <w:t xml:space="preserve"> </w:t>
      </w:r>
      <w:r w:rsidRPr="007B3060">
        <w:rPr>
          <w:rFonts w:ascii="Arial" w:hAnsi="Arial" w:eastAsia="Arial" w:cs="Arial"/>
          <w:color w:val="000000"/>
          <w:sz w:val="20"/>
          <w:szCs w:val="20"/>
          <w:lang w:eastAsia="es-CO"/>
        </w:rPr>
        <w:t>pago a cargo de entidades estatales.</w:t>
      </w:r>
    </w:p>
    <w:p w:rsidR="00C60B22" w:rsidP="00C60B22" w:rsidRDefault="00C60B22" w14:paraId="2A0A219D" w14:textId="77777777">
      <w:pPr>
        <w:spacing w:after="0" w:line="240" w:lineRule="auto"/>
        <w:jc w:val="both"/>
        <w:rPr>
          <w:rFonts w:ascii="Arial" w:hAnsi="Arial" w:eastAsia="Arial" w:cs="Arial"/>
          <w:b/>
          <w:color w:val="000000"/>
          <w:lang w:eastAsia="es-CO"/>
        </w:rPr>
      </w:pPr>
    </w:p>
    <w:p w:rsidR="00C60B22" w:rsidP="00C60B22" w:rsidRDefault="00C60B22" w14:paraId="61B84E5D" w14:textId="77777777">
      <w:pPr>
        <w:spacing w:after="0" w:line="240" w:lineRule="auto"/>
        <w:jc w:val="both"/>
        <w:rPr>
          <w:rFonts w:ascii="Arial" w:hAnsi="Arial" w:eastAsia="Arial" w:cs="Arial"/>
          <w:b/>
          <w:color w:val="000000"/>
          <w:lang w:eastAsia="es-CO"/>
        </w:rPr>
      </w:pPr>
    </w:p>
    <w:p w:rsidRPr="00224199" w:rsidR="00C60B22" w:rsidP="00C60B22" w:rsidRDefault="00C60B22" w14:paraId="76A326D0" w14:textId="77777777">
      <w:pPr>
        <w:spacing w:after="0" w:line="240" w:lineRule="auto"/>
        <w:rPr>
          <w:rFonts w:ascii="Arial" w:hAnsi="Arial" w:eastAsia="Times New Roman" w:cs="Arial"/>
          <w:shd w:val="clear" w:color="auto" w:fill="E6E6E6"/>
          <w:lang w:val="es-MX" w:eastAsia="es-CO"/>
        </w:rPr>
      </w:pPr>
    </w:p>
    <w:p w:rsidRPr="00224199" w:rsidR="00C60B22" w:rsidP="00C60B22" w:rsidRDefault="00C60B22" w14:paraId="6C150261" w14:textId="77777777">
      <w:pPr>
        <w:spacing w:after="0" w:line="240" w:lineRule="auto"/>
        <w:rPr>
          <w:rFonts w:ascii="Arial" w:hAnsi="Arial" w:eastAsia="Times New Roman" w:cs="Arial"/>
          <w:shd w:val="clear" w:color="auto" w:fill="E6E6E6"/>
          <w:lang w:val="es-MX" w:eastAsia="es-CO"/>
        </w:rPr>
      </w:pPr>
    </w:p>
    <w:p w:rsidRPr="00224199" w:rsidR="00C60B22" w:rsidP="00C60B22" w:rsidRDefault="00C60B22" w14:paraId="7D093726" w14:textId="77777777">
      <w:pPr>
        <w:spacing w:after="0" w:line="240" w:lineRule="auto"/>
        <w:rPr>
          <w:rFonts w:ascii="Arial" w:hAnsi="Arial" w:eastAsia="Times New Roman" w:cs="Arial"/>
          <w:shd w:val="clear" w:color="auto" w:fill="E6E6E6"/>
          <w:lang w:val="es-MX" w:eastAsia="es-CO"/>
        </w:rPr>
      </w:pPr>
    </w:p>
    <w:p w:rsidRPr="00224199" w:rsidR="00C60B22" w:rsidP="14D48936" w:rsidRDefault="00C60B22" w14:paraId="276C837E" w14:noSpellErr="1" w14:textId="11BFA227">
      <w:pPr>
        <w:pStyle w:val="Normal"/>
        <w:spacing w:after="0" w:line="240" w:lineRule="auto"/>
        <w:rPr>
          <w:rFonts w:ascii="Arial" w:hAnsi="Arial" w:eastAsia="Times New Roman" w:cs="Arial"/>
          <w:lang w:val="es-MX" w:eastAsia="es-CO"/>
        </w:rPr>
      </w:pPr>
    </w:p>
    <w:p w:rsidR="00C60B22" w:rsidP="00C60B22" w:rsidRDefault="00C60B22" w14:paraId="08FD5337" w14:textId="77777777">
      <w:pPr>
        <w:spacing w:after="0" w:line="240" w:lineRule="auto"/>
        <w:rPr>
          <w:rStyle w:val="normaltextrun"/>
          <w:rFonts w:ascii="Arial" w:hAnsi="Arial" w:cs="Arial"/>
          <w:color w:val="000000"/>
          <w:shd w:val="clear" w:color="auto" w:fill="FFFFFF"/>
        </w:rPr>
      </w:pPr>
    </w:p>
    <w:p w:rsidR="46B3B898" w:rsidP="14D48936" w:rsidRDefault="46B3B898" w14:paraId="11251BDA" w14:textId="2E9A07E3">
      <w:pPr>
        <w:pStyle w:val="Normal"/>
        <w:spacing w:after="0" w:line="240" w:lineRule="auto"/>
        <w:rPr>
          <w:rFonts w:ascii="Arial" w:hAnsi="Arial" w:eastAsia="Arial" w:cs="Arial"/>
          <w:noProof w:val="0"/>
          <w:sz w:val="22"/>
          <w:szCs w:val="22"/>
          <w:lang w:val="es-ES"/>
        </w:rPr>
      </w:pPr>
      <w:r w:rsidRPr="14D48936" w:rsidR="46B3B898">
        <w:rPr>
          <w:rFonts w:ascii="Arial" w:hAnsi="Arial" w:eastAsia="Arial" w:cs="Arial"/>
          <w:noProof w:val="0"/>
          <w:sz w:val="22"/>
          <w:szCs w:val="22"/>
          <w:lang w:val="es"/>
        </w:rPr>
        <w:t>Bogotá D.C., 16 Agosto 2023</w:t>
      </w:r>
    </w:p>
    <w:p w:rsidR="14D48936" w:rsidP="14D48936" w:rsidRDefault="14D48936" w14:paraId="791BBAAC" w14:textId="33EE8C4A">
      <w:pPr>
        <w:pStyle w:val="Normal"/>
        <w:spacing w:after="0" w:line="240" w:lineRule="auto"/>
        <w:rPr>
          <w:rFonts w:ascii="Arial" w:hAnsi="Arial" w:eastAsia="Calibri" w:cs="Arial"/>
          <w:lang w:val="es-ES" w:eastAsia="es-ES"/>
        </w:rPr>
      </w:pPr>
    </w:p>
    <w:p w:rsidR="5CE2B688" w:rsidP="14D48936" w:rsidRDefault="5CE2B688" w14:paraId="39A32BD5" w14:textId="2649A9CC">
      <w:pPr>
        <w:pStyle w:val="Normal"/>
        <w:spacing w:after="0" w:line="240" w:lineRule="auto"/>
        <w:jc w:val="right"/>
      </w:pPr>
      <w:r w:rsidR="5CE2B688">
        <w:drawing>
          <wp:inline wp14:editId="596FB8BC" wp14:anchorId="6AC138EE">
            <wp:extent cx="3295650" cy="844824"/>
            <wp:effectExtent l="0" t="0" r="0" b="0"/>
            <wp:docPr id="1348602177" name="" title=""/>
            <wp:cNvGraphicFramePr>
              <a:graphicFrameLocks noChangeAspect="1"/>
            </wp:cNvGraphicFramePr>
            <a:graphic>
              <a:graphicData uri="http://schemas.openxmlformats.org/drawingml/2006/picture">
                <pic:pic>
                  <pic:nvPicPr>
                    <pic:cNvPr id="0" name=""/>
                    <pic:cNvPicPr/>
                  </pic:nvPicPr>
                  <pic:blipFill>
                    <a:blip r:embed="R77463979f84d4c2c">
                      <a:extLst>
                        <a:ext xmlns:a="http://schemas.openxmlformats.org/drawingml/2006/main" uri="{28A0092B-C50C-407E-A947-70E740481C1C}">
                          <a14:useLocalDpi val="0"/>
                        </a:ext>
                      </a:extLst>
                    </a:blip>
                    <a:stretch>
                      <a:fillRect/>
                    </a:stretch>
                  </pic:blipFill>
                  <pic:spPr>
                    <a:xfrm>
                      <a:off x="0" y="0"/>
                      <a:ext cx="3295650" cy="844824"/>
                    </a:xfrm>
                    <a:prstGeom prst="rect">
                      <a:avLst/>
                    </a:prstGeom>
                  </pic:spPr>
                </pic:pic>
              </a:graphicData>
            </a:graphic>
          </wp:inline>
        </w:drawing>
      </w:r>
    </w:p>
    <w:p w:rsidR="00C60B22" w:rsidP="00C60B22" w:rsidRDefault="00C60B22" w14:paraId="110EA246" w14:textId="77777777">
      <w:pPr>
        <w:spacing w:after="0" w:line="240" w:lineRule="auto"/>
        <w:rPr>
          <w:rFonts w:ascii="Arial" w:hAnsi="Arial" w:eastAsia="Calibri" w:cs="Arial"/>
          <w:lang w:val="es-ES" w:eastAsia="es-ES_tradnl"/>
        </w:rPr>
      </w:pPr>
    </w:p>
    <w:p w:rsidRPr="00224199" w:rsidR="00C60B22" w:rsidP="00C60B22" w:rsidRDefault="00C60B22" w14:paraId="7974025C" w14:textId="77777777">
      <w:pPr>
        <w:spacing w:after="0" w:line="240" w:lineRule="auto"/>
        <w:rPr>
          <w:rFonts w:ascii="Arial" w:hAnsi="Arial" w:eastAsia="Calibri" w:cs="Arial"/>
          <w:lang w:val="es-ES" w:eastAsia="es-ES_tradnl"/>
        </w:rPr>
      </w:pPr>
      <w:r w:rsidRPr="00224199">
        <w:rPr>
          <w:rFonts w:ascii="Arial" w:hAnsi="Arial" w:eastAsia="Calibri" w:cs="Arial"/>
          <w:lang w:val="es-ES" w:eastAsia="es-ES_tradnl"/>
        </w:rPr>
        <w:t>Señor</w:t>
      </w:r>
    </w:p>
    <w:p w:rsidRPr="00224199" w:rsidR="00C60B22" w:rsidP="00C60B22" w:rsidRDefault="00C60B22" w14:paraId="728B86B2" w14:textId="77777777">
      <w:pPr>
        <w:spacing w:after="0" w:line="240" w:lineRule="auto"/>
        <w:rPr>
          <w:rFonts w:ascii="Arial" w:hAnsi="Arial" w:eastAsia="Calibri" w:cs="Arial"/>
          <w:b/>
          <w:lang w:val="es-ES" w:eastAsia="es-ES_tradnl"/>
        </w:rPr>
      </w:pPr>
      <w:r>
        <w:rPr>
          <w:rFonts w:ascii="Arial" w:hAnsi="Arial" w:eastAsia="Calibri" w:cs="Arial"/>
          <w:b/>
          <w:lang w:val="es-ES" w:eastAsia="es-ES_tradnl"/>
        </w:rPr>
        <w:t>Juan David Peláez Henao</w:t>
      </w:r>
    </w:p>
    <w:p w:rsidRPr="00224199" w:rsidR="00C60B22" w:rsidP="00C60B22" w:rsidRDefault="00C60B22" w14:paraId="6DBB3D7E" w14:textId="77777777">
      <w:pPr>
        <w:spacing w:after="0" w:line="240" w:lineRule="auto"/>
        <w:rPr>
          <w:rFonts w:ascii="Arial" w:hAnsi="Arial" w:eastAsia="Calibri" w:cs="Arial"/>
          <w:szCs w:val="24"/>
          <w:lang w:val="es-ES_tradnl" w:eastAsia="es-ES_tradnl"/>
        </w:rPr>
      </w:pPr>
      <w:r w:rsidRPr="00224199">
        <w:rPr>
          <w:rFonts w:ascii="Arial" w:hAnsi="Arial" w:eastAsia="Calibri" w:cs="Arial"/>
          <w:lang w:val="es-ES" w:eastAsia="es-ES_tradnl"/>
        </w:rPr>
        <w:t xml:space="preserve">Bogotá </w:t>
      </w:r>
    </w:p>
    <w:p w:rsidRPr="00224199" w:rsidR="00C60B22" w:rsidP="00C60B22" w:rsidRDefault="00C60B22" w14:paraId="4332FB17" w14:textId="77777777">
      <w:pPr>
        <w:spacing w:after="0" w:line="240" w:lineRule="auto"/>
        <w:jc w:val="center"/>
        <w:rPr>
          <w:rFonts w:ascii="Arial" w:hAnsi="Arial" w:eastAsia="Calibri" w:cs="Arial"/>
          <w:b/>
          <w:bCs/>
          <w:lang w:val="es-ES" w:eastAsia="es-ES_tradnl"/>
        </w:rPr>
      </w:pPr>
      <w:r w:rsidRPr="00224199">
        <w:rPr>
          <w:rFonts w:ascii="Arial" w:hAnsi="Arial" w:eastAsia="Calibri" w:cs="Arial"/>
          <w:b/>
          <w:bCs/>
          <w:lang w:val="es-ES" w:eastAsia="es-ES_tradnl"/>
        </w:rPr>
        <w:t>Concepto C</w:t>
      </w:r>
      <w:r w:rsidRPr="00224199">
        <w:rPr>
          <w:rFonts w:ascii="Arial" w:hAnsi="Arial" w:eastAsia="Calibri" w:cs="Arial"/>
          <w:b/>
          <w:szCs w:val="24"/>
          <w:lang w:val="es-ES_tradnl" w:eastAsia="es-ES_tradnl"/>
        </w:rPr>
        <w:t>-</w:t>
      </w:r>
      <w:r>
        <w:rPr>
          <w:rFonts w:ascii="Arial" w:hAnsi="Arial" w:eastAsia="Calibri" w:cs="Arial"/>
          <w:b/>
          <w:szCs w:val="24"/>
          <w:lang w:val="es-ES_tradnl" w:eastAsia="es-ES_tradnl"/>
        </w:rPr>
        <w:t>257</w:t>
      </w:r>
      <w:r w:rsidRPr="00224199">
        <w:rPr>
          <w:rFonts w:ascii="Arial" w:hAnsi="Arial" w:eastAsia="Calibri" w:cs="Arial"/>
          <w:b/>
          <w:bCs/>
          <w:lang w:val="es-ES" w:eastAsia="es-ES_tradnl"/>
        </w:rPr>
        <w:t xml:space="preserve"> de 2023</w:t>
      </w:r>
    </w:p>
    <w:p w:rsidRPr="00224199" w:rsidR="00C60B22" w:rsidP="00C60B22" w:rsidRDefault="00C60B22" w14:paraId="15D785FD" w14:textId="77777777">
      <w:pPr>
        <w:spacing w:after="0" w:line="240" w:lineRule="auto"/>
        <w:jc w:val="both"/>
        <w:rPr>
          <w:rFonts w:ascii="Arial" w:hAnsi="Arial" w:eastAsia="Calibri" w:cs="Arial"/>
          <w:szCs w:val="24"/>
          <w:lang w:val="es-ES_tradnl" w:eastAsia="es-ES_tradnl"/>
        </w:rPr>
      </w:pPr>
    </w:p>
    <w:tbl>
      <w:tblPr>
        <w:tblStyle w:val="Tablaconcuadrcula1"/>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410"/>
        <w:gridCol w:w="5665"/>
      </w:tblGrid>
      <w:tr w:rsidRPr="00464D1C" w:rsidR="00C60B22" w:rsidTr="00CE1932" w14:paraId="58C4D0C6" w14:textId="77777777">
        <w:trPr>
          <w:jc w:val="right"/>
        </w:trPr>
        <w:tc>
          <w:tcPr>
            <w:tcW w:w="2410" w:type="dxa"/>
          </w:tcPr>
          <w:p w:rsidRPr="00224199" w:rsidR="00C60B22" w:rsidP="00CE1932" w:rsidRDefault="00C60B22" w14:paraId="083BEC37" w14:textId="77777777">
            <w:pPr>
              <w:spacing w:before="100" w:beforeAutospacing="1" w:afterAutospacing="1"/>
              <w:jc w:val="center"/>
              <w:rPr>
                <w:rFonts w:ascii="Arial" w:hAnsi="Arial" w:eastAsia="Calibri" w:cs="Arial"/>
                <w:szCs w:val="24"/>
                <w:lang w:val="es-ES_tradnl" w:eastAsia="es-ES_tradnl"/>
              </w:rPr>
            </w:pPr>
            <w:r w:rsidRPr="00224199">
              <w:rPr>
                <w:rFonts w:ascii="Arial" w:hAnsi="Arial" w:eastAsia="Calibri" w:cs="Arial"/>
                <w:b/>
                <w:szCs w:val="24"/>
                <w:lang w:val="es-ES_tradnl" w:eastAsia="es-ES_tradnl"/>
              </w:rPr>
              <w:t>Temas:</w:t>
            </w:r>
          </w:p>
        </w:tc>
        <w:tc>
          <w:tcPr>
            <w:tcW w:w="5665" w:type="dxa"/>
          </w:tcPr>
          <w:p w:rsidRPr="00464D1C" w:rsidR="00C60B22" w:rsidP="00CE1932" w:rsidRDefault="00C60B22" w14:paraId="7DE1C162" w14:textId="77777777">
            <w:pPr>
              <w:contextualSpacing/>
              <w:jc w:val="both"/>
              <w:rPr>
                <w:rFonts w:ascii="Arial" w:hAnsi="Arial" w:eastAsia="Calibri" w:cs="Arial"/>
                <w:b/>
                <w:noProof/>
                <w:lang w:val="es-ES_tradnl"/>
              </w:rPr>
            </w:pPr>
            <w:r w:rsidRPr="00D12008">
              <w:rPr>
                <w:rFonts w:ascii="Arial" w:hAnsi="Arial" w:eastAsia="Calibri" w:cs="Arial"/>
                <w:lang w:eastAsia="es-ES"/>
              </w:rPr>
              <w:t>LEY DE GARANTÍAS ELECTORALES ‒ Finalidad</w:t>
            </w:r>
            <w:r>
              <w:rPr>
                <w:rFonts w:ascii="Arial" w:hAnsi="Arial" w:eastAsia="Calibri" w:cs="Arial"/>
                <w:lang w:eastAsia="es-ES"/>
              </w:rPr>
              <w:t xml:space="preserve"> / </w:t>
            </w:r>
            <w:r w:rsidRPr="00D12008">
              <w:rPr>
                <w:rFonts w:ascii="Arial" w:hAnsi="Arial" w:eastAsia="Calibri" w:cs="Arial"/>
                <w:lang w:eastAsia="es-ES"/>
              </w:rPr>
              <w:t>LEY DE GARANTÍAS ELECTORALES ‒ Tipos de restricciones ‒ Ámbito temporal</w:t>
            </w:r>
            <w:r>
              <w:rPr>
                <w:rFonts w:ascii="Arial" w:hAnsi="Arial" w:eastAsia="Calibri" w:cs="Arial"/>
                <w:lang w:eastAsia="es-ES"/>
              </w:rPr>
              <w:t xml:space="preserve"> / LE</w:t>
            </w:r>
            <w:r w:rsidRPr="00D12008">
              <w:rPr>
                <w:rFonts w:ascii="Arial" w:hAnsi="Arial" w:eastAsia="Calibri" w:cs="Arial"/>
                <w:lang w:eastAsia="es-ES"/>
              </w:rPr>
              <w:t>Y DE GARANTÍAS ELECTORALES ─ Prohibición ‒ Contratación directa ‒ Alcance</w:t>
            </w:r>
            <w:r>
              <w:rPr>
                <w:rFonts w:ascii="Arial" w:hAnsi="Arial" w:eastAsia="Calibri" w:cs="Arial"/>
                <w:lang w:eastAsia="es-ES"/>
              </w:rPr>
              <w:t xml:space="preserve"> / </w:t>
            </w:r>
            <w:r w:rsidRPr="00D12008">
              <w:rPr>
                <w:rFonts w:ascii="Arial" w:hAnsi="Arial" w:eastAsia="Calibri" w:cs="Arial"/>
                <w:lang w:eastAsia="es-ES"/>
              </w:rPr>
              <w:t>LEY DE GARANTÍAS ELECTORALES ─ Prohibición ‒ Contratación directa ‒ Excepciones</w:t>
            </w:r>
            <w:r>
              <w:rPr>
                <w:rFonts w:ascii="Arial" w:hAnsi="Arial" w:eastAsia="Calibri" w:cs="Arial"/>
                <w:lang w:eastAsia="es-ES"/>
              </w:rPr>
              <w:t xml:space="preserve"> /</w:t>
            </w:r>
            <w:r>
              <w:t xml:space="preserve"> </w:t>
            </w:r>
            <w:r w:rsidRPr="00D12008">
              <w:rPr>
                <w:rFonts w:ascii="Arial" w:hAnsi="Arial" w:eastAsia="Calibri" w:cs="Arial"/>
                <w:lang w:eastAsia="es-ES"/>
              </w:rPr>
              <w:t>LEY DE GARANTÍAS ELECTORALES ‒ Prohibición del artículo 33 ‒ Destinatarios</w:t>
            </w:r>
            <w:r>
              <w:rPr>
                <w:rFonts w:ascii="Arial" w:hAnsi="Arial" w:eastAsia="Calibri" w:cs="Arial"/>
                <w:lang w:eastAsia="es-ES"/>
              </w:rPr>
              <w:t xml:space="preserve"> / </w:t>
            </w:r>
            <w:r w:rsidRPr="00D12008">
              <w:rPr>
                <w:rFonts w:ascii="Arial" w:hAnsi="Arial" w:eastAsia="Calibri" w:cs="Arial"/>
                <w:lang w:eastAsia="es-ES"/>
              </w:rPr>
              <w:t>LEY DE GARANTÍAS ELECTORALES ‒ Prohibición por elección de cargos populares – Convenios y contratos interadministrativos – Definición – Criterio orgánico</w:t>
            </w:r>
            <w:r w:rsidRPr="00464D1C">
              <w:rPr>
                <w:rFonts w:ascii="Arial" w:hAnsi="Arial" w:eastAsia="Calibri" w:cs="Arial"/>
                <w:lang w:val="es-ES" w:eastAsia="es-ES"/>
              </w:rPr>
              <w:t>.</w:t>
            </w:r>
          </w:p>
        </w:tc>
      </w:tr>
      <w:tr w:rsidRPr="00224199" w:rsidR="00C60B22" w:rsidTr="00CE1932" w14:paraId="769CC65E" w14:textId="77777777">
        <w:trPr>
          <w:jc w:val="right"/>
        </w:trPr>
        <w:tc>
          <w:tcPr>
            <w:tcW w:w="2410" w:type="dxa"/>
          </w:tcPr>
          <w:p w:rsidRPr="00224199" w:rsidR="00C60B22" w:rsidP="00CE1932" w:rsidRDefault="00C60B22" w14:paraId="118A25A8" w14:textId="77777777">
            <w:pPr>
              <w:spacing w:before="120" w:beforeAutospacing="1" w:afterAutospacing="1"/>
              <w:jc w:val="center"/>
              <w:rPr>
                <w:rFonts w:ascii="Arial" w:hAnsi="Arial" w:eastAsia="Calibri" w:cs="Arial"/>
                <w:b/>
                <w:lang w:val="es-ES" w:eastAsia="es-ES_tradnl"/>
              </w:rPr>
            </w:pPr>
            <w:r w:rsidRPr="00224199">
              <w:rPr>
                <w:rFonts w:ascii="Arial" w:hAnsi="Arial" w:eastAsia="Calibri" w:cs="Arial"/>
                <w:b/>
                <w:lang w:val="es-ES" w:eastAsia="es-ES_tradnl"/>
              </w:rPr>
              <w:t>Radicación:</w:t>
            </w:r>
          </w:p>
        </w:tc>
        <w:tc>
          <w:tcPr>
            <w:tcW w:w="5665" w:type="dxa"/>
          </w:tcPr>
          <w:p w:rsidRPr="00224199" w:rsidR="00C60B22" w:rsidP="00CE1932" w:rsidRDefault="00C60B22" w14:paraId="7BD35CD1" w14:textId="77777777">
            <w:pPr>
              <w:spacing w:before="120" w:beforeAutospacing="1" w:afterAutospacing="1"/>
              <w:jc w:val="both"/>
              <w:rPr>
                <w:rFonts w:ascii="Arial" w:hAnsi="Arial" w:eastAsia="Calibri" w:cs="Arial"/>
                <w:lang w:val="es-ES" w:eastAsia="es-ES_tradnl"/>
              </w:rPr>
            </w:pPr>
            <w:r w:rsidRPr="00224199">
              <w:rPr>
                <w:rFonts w:ascii="Arial" w:hAnsi="Arial" w:eastAsia="Calibri" w:cs="Arial"/>
                <w:lang w:val="es-ES" w:eastAsia="es-ES_tradnl"/>
              </w:rPr>
              <w:t xml:space="preserve">Respuesta a consulta </w:t>
            </w:r>
            <w:r w:rsidRPr="00D12008">
              <w:rPr>
                <w:rFonts w:ascii="Arial" w:hAnsi="Arial" w:eastAsia="Calibri" w:cs="Arial"/>
                <w:lang w:val="es-ES" w:eastAsia="es-ES_tradnl"/>
              </w:rPr>
              <w:t>P20230704012888</w:t>
            </w:r>
            <w:r w:rsidRPr="00224199">
              <w:rPr>
                <w:rFonts w:ascii="Arial" w:hAnsi="Arial" w:eastAsia="Calibri" w:cs="Arial"/>
                <w:lang w:val="es-ES" w:eastAsia="es-ES_tradnl"/>
              </w:rPr>
              <w:tab/>
            </w:r>
          </w:p>
        </w:tc>
      </w:tr>
    </w:tbl>
    <w:p w:rsidRPr="00224199" w:rsidR="00C60B22" w:rsidP="00C60B22" w:rsidRDefault="00C60B22" w14:paraId="7772FB82" w14:textId="77777777">
      <w:pPr>
        <w:spacing w:after="0" w:line="240" w:lineRule="auto"/>
        <w:jc w:val="both"/>
        <w:rPr>
          <w:rFonts w:ascii="Arial" w:hAnsi="Arial" w:eastAsia="Calibri" w:cs="Arial"/>
          <w:lang w:val="es-ES" w:eastAsia="es-ES_tradnl"/>
        </w:rPr>
      </w:pPr>
    </w:p>
    <w:p w:rsidRPr="00224199" w:rsidR="00C60B22" w:rsidP="00C60B22" w:rsidRDefault="00C60B22" w14:paraId="112791B5" w14:textId="77777777">
      <w:pPr>
        <w:spacing w:after="0" w:line="240" w:lineRule="auto"/>
        <w:jc w:val="both"/>
        <w:rPr>
          <w:rFonts w:ascii="Arial" w:hAnsi="Arial" w:eastAsia="Calibri" w:cs="Arial"/>
          <w:szCs w:val="24"/>
          <w:lang w:val="es-ES_tradnl" w:eastAsia="es-ES_tradnl"/>
        </w:rPr>
      </w:pPr>
    </w:p>
    <w:p w:rsidR="00C60B22" w:rsidP="00C60B22" w:rsidRDefault="00C60B22" w14:paraId="360D7A63" w14:textId="77777777">
      <w:pPr>
        <w:autoSpaceDE w:val="0"/>
        <w:autoSpaceDN w:val="0"/>
        <w:adjustRightInd w:val="0"/>
        <w:spacing w:after="0" w:line="276" w:lineRule="auto"/>
        <w:jc w:val="both"/>
        <w:rPr>
          <w:rFonts w:ascii="Arial" w:hAnsi="Arial" w:eastAsia="Calibri" w:cs="Arial"/>
          <w:szCs w:val="24"/>
          <w:lang w:val="es-ES_tradnl" w:eastAsia="es-ES_tradnl"/>
        </w:rPr>
      </w:pPr>
      <w:r w:rsidRPr="00224199">
        <w:rPr>
          <w:rFonts w:ascii="Arial" w:hAnsi="Arial" w:eastAsia="Calibri" w:cs="Arial"/>
          <w:szCs w:val="24"/>
          <w:lang w:val="es-ES_tradnl" w:eastAsia="es-ES_tradnl"/>
        </w:rPr>
        <w:t xml:space="preserve">Estimado señor </w:t>
      </w:r>
      <w:r>
        <w:rPr>
          <w:rFonts w:ascii="Arial" w:hAnsi="Arial" w:eastAsia="Calibri" w:cs="Arial"/>
          <w:szCs w:val="24"/>
          <w:lang w:val="es-ES_tradnl" w:eastAsia="es-ES_tradnl"/>
        </w:rPr>
        <w:t xml:space="preserve">David </w:t>
      </w:r>
      <w:proofErr w:type="spellStart"/>
      <w:r>
        <w:rPr>
          <w:rFonts w:ascii="Arial" w:hAnsi="Arial" w:eastAsia="Calibri" w:cs="Arial"/>
          <w:szCs w:val="24"/>
          <w:lang w:val="es-ES_tradnl" w:eastAsia="es-ES_tradnl"/>
        </w:rPr>
        <w:t>Pelaez</w:t>
      </w:r>
      <w:proofErr w:type="spellEnd"/>
      <w:r>
        <w:rPr>
          <w:rFonts w:ascii="Arial" w:hAnsi="Arial" w:eastAsia="Calibri" w:cs="Arial"/>
          <w:szCs w:val="24"/>
          <w:lang w:val="es-ES_tradnl" w:eastAsia="es-ES_tradnl"/>
        </w:rPr>
        <w:t>:</w:t>
      </w:r>
    </w:p>
    <w:p w:rsidR="00C60B22" w:rsidP="00C60B22" w:rsidRDefault="00C60B22" w14:paraId="3E1CF331" w14:textId="77777777">
      <w:pPr>
        <w:autoSpaceDE w:val="0"/>
        <w:autoSpaceDN w:val="0"/>
        <w:adjustRightInd w:val="0"/>
        <w:spacing w:after="0" w:line="276" w:lineRule="auto"/>
        <w:jc w:val="both"/>
        <w:rPr>
          <w:rFonts w:ascii="Arial" w:hAnsi="Arial" w:eastAsia="Calibri" w:cs="Arial"/>
          <w:szCs w:val="24"/>
          <w:lang w:val="es-ES_tradnl" w:eastAsia="es-ES_tradnl"/>
        </w:rPr>
      </w:pPr>
    </w:p>
    <w:p w:rsidRPr="00224199" w:rsidR="00C60B22" w:rsidP="00C60B22" w:rsidRDefault="00C60B22" w14:paraId="77AA86B9" w14:textId="77777777">
      <w:pPr>
        <w:autoSpaceDE w:val="0"/>
        <w:autoSpaceDN w:val="0"/>
        <w:adjustRightInd w:val="0"/>
        <w:spacing w:after="0" w:line="276" w:lineRule="auto"/>
        <w:jc w:val="both"/>
        <w:rPr>
          <w:rFonts w:ascii="Arial" w:hAnsi="Arial" w:cs="Arial"/>
          <w:color w:val="000000"/>
        </w:rPr>
      </w:pPr>
      <w:r w:rsidRPr="00224199">
        <w:rPr>
          <w:rFonts w:ascii="Arial" w:hAnsi="Arial" w:cs="Arial"/>
          <w:color w:val="000000"/>
        </w:rPr>
        <w:t>En ejercicio de la competencia otorgada por el numeral 8° del artículo 11 y el numeral 5° del artículo 3 del Decreto Ley 4170 de 2011, la Agencia Nacional de Contratación Pública – Colombia Compra Efici</w:t>
      </w:r>
      <w:r>
        <w:rPr>
          <w:rFonts w:ascii="Arial" w:hAnsi="Arial" w:cs="Arial"/>
          <w:color w:val="000000"/>
        </w:rPr>
        <w:t>ente responde su petición del 4 de julio</w:t>
      </w:r>
      <w:r w:rsidRPr="00224199">
        <w:rPr>
          <w:rFonts w:ascii="Arial" w:hAnsi="Arial" w:cs="Arial"/>
          <w:color w:val="000000"/>
        </w:rPr>
        <w:t xml:space="preserve"> de 2023, </w:t>
      </w:r>
      <w:r w:rsidRPr="00417D3F">
        <w:rPr>
          <w:rFonts w:ascii="Arial" w:hAnsi="Arial" w:cs="Arial"/>
          <w:color w:val="000000"/>
        </w:rPr>
        <w:t>se otorgará respuesta frente a lo planteado en su escrito, en la que formuló la siguiente consulta:</w:t>
      </w:r>
    </w:p>
    <w:p w:rsidRPr="00224199" w:rsidR="00C60B22" w:rsidP="00C60B22" w:rsidRDefault="00C60B22" w14:paraId="63FF64EF" w14:textId="77777777">
      <w:pPr>
        <w:spacing w:after="0" w:line="276" w:lineRule="auto"/>
        <w:jc w:val="both"/>
        <w:rPr>
          <w:rFonts w:ascii="Arial" w:hAnsi="Arial" w:eastAsia="Calibri" w:cs="Arial"/>
          <w:b/>
          <w:szCs w:val="24"/>
          <w:lang w:val="es-ES_tradnl" w:eastAsia="es-ES_tradnl"/>
        </w:rPr>
      </w:pPr>
    </w:p>
    <w:p w:rsidR="00C60B22" w:rsidP="00C60B22" w:rsidRDefault="00C60B22" w14:paraId="57D01D3C" w14:textId="77777777">
      <w:pPr>
        <w:numPr>
          <w:ilvl w:val="0"/>
          <w:numId w:val="6"/>
        </w:numPr>
        <w:tabs>
          <w:tab w:val="left" w:pos="0"/>
          <w:tab w:val="left" w:pos="142"/>
          <w:tab w:val="left" w:pos="284"/>
        </w:tabs>
        <w:spacing w:after="0" w:line="276" w:lineRule="auto"/>
        <w:ind w:left="0" w:firstLine="0"/>
        <w:contextualSpacing/>
        <w:jc w:val="both"/>
        <w:rPr>
          <w:rFonts w:ascii="Arial" w:hAnsi="Arial" w:eastAsia="Calibri" w:cs="Arial"/>
          <w:b/>
          <w:szCs w:val="24"/>
          <w:lang w:val="es-ES_tradnl" w:eastAsia="es-ES_tradnl"/>
        </w:rPr>
      </w:pPr>
      <w:r w:rsidRPr="00224199">
        <w:rPr>
          <w:rFonts w:ascii="Arial" w:hAnsi="Arial" w:eastAsia="Calibri" w:cs="Arial"/>
          <w:b/>
          <w:szCs w:val="24"/>
          <w:lang w:val="es-ES_tradnl" w:eastAsia="es-ES_tradnl"/>
        </w:rPr>
        <w:t xml:space="preserve">Problema planteado </w:t>
      </w:r>
    </w:p>
    <w:p w:rsidR="00C60B22" w:rsidP="00C60B22" w:rsidRDefault="00C60B22" w14:paraId="65FE5CAA" w14:textId="77777777">
      <w:pPr>
        <w:tabs>
          <w:tab w:val="left" w:pos="0"/>
          <w:tab w:val="left" w:pos="142"/>
          <w:tab w:val="left" w:pos="284"/>
        </w:tabs>
        <w:spacing w:after="0" w:line="276" w:lineRule="auto"/>
        <w:contextualSpacing/>
        <w:jc w:val="both"/>
        <w:rPr>
          <w:rFonts w:ascii="Arial" w:hAnsi="Arial" w:eastAsia="Calibri" w:cs="Arial"/>
          <w:b/>
          <w:szCs w:val="24"/>
          <w:lang w:val="es-ES_tradnl" w:eastAsia="es-ES_tradnl"/>
        </w:rPr>
      </w:pPr>
    </w:p>
    <w:p w:rsidRPr="008C3D2D" w:rsidR="00C60B22" w:rsidP="00C60B22" w:rsidRDefault="00C60B22" w14:paraId="6A35C5BD" w14:textId="77777777">
      <w:pPr>
        <w:tabs>
          <w:tab w:val="left" w:pos="0"/>
          <w:tab w:val="left" w:pos="142"/>
          <w:tab w:val="left" w:pos="284"/>
        </w:tabs>
        <w:spacing w:after="0" w:line="276" w:lineRule="auto"/>
        <w:contextualSpacing/>
        <w:jc w:val="both"/>
        <w:rPr>
          <w:rFonts w:ascii="Arial" w:hAnsi="Arial" w:eastAsia="Calibri" w:cs="Arial"/>
          <w:bCs/>
          <w:szCs w:val="24"/>
          <w:lang w:val="es-ES_tradnl" w:eastAsia="es-ES_tradnl"/>
        </w:rPr>
      </w:pPr>
      <w:r w:rsidRPr="008C3D2D">
        <w:rPr>
          <w:rFonts w:ascii="Arial" w:hAnsi="Arial" w:eastAsia="Calibri" w:cs="Arial"/>
          <w:lang w:val="es-ES" w:eastAsia="es-ES"/>
        </w:rPr>
        <w:t>Usted formula la siguiente consulta:</w:t>
      </w:r>
    </w:p>
    <w:p w:rsidRPr="00224199" w:rsidR="00C60B22" w:rsidP="00C60B22" w:rsidRDefault="00C60B22" w14:paraId="2BEFD7A7" w14:textId="77777777">
      <w:pPr>
        <w:spacing w:after="0" w:line="240" w:lineRule="auto"/>
        <w:ind w:right="851"/>
        <w:jc w:val="both"/>
        <w:rPr>
          <w:rFonts w:ascii="Arial" w:hAnsi="Arial" w:eastAsia="Times New Roman" w:cs="Arial"/>
          <w:szCs w:val="24"/>
          <w:lang w:val="es-ES_tradnl" w:eastAsia="es-ES_tradnl"/>
        </w:rPr>
      </w:pPr>
    </w:p>
    <w:p w:rsidR="00C60B22" w:rsidP="00C60B22" w:rsidRDefault="00C60B22" w14:paraId="2B30DC0A" w14:textId="77777777">
      <w:pPr>
        <w:autoSpaceDE w:val="0"/>
        <w:autoSpaceDN w:val="0"/>
        <w:adjustRightInd w:val="0"/>
        <w:spacing w:after="0" w:line="240" w:lineRule="auto"/>
        <w:ind w:left="709" w:right="709"/>
        <w:jc w:val="both"/>
        <w:rPr>
          <w:rFonts w:ascii="Arial" w:hAnsi="Arial" w:cs="Arial"/>
          <w:color w:val="000000"/>
        </w:rPr>
      </w:pPr>
      <w:r w:rsidRPr="002B1413">
        <w:rPr>
          <w:rFonts w:ascii="Arial" w:hAnsi="Arial" w:cs="Arial"/>
          <w:color w:val="000000"/>
        </w:rPr>
        <w:t>“</w:t>
      </w:r>
      <w:r w:rsidRPr="00253AC1">
        <w:rPr>
          <w:rFonts w:ascii="Arial" w:hAnsi="Arial" w:cs="Arial"/>
          <w:color w:val="000000"/>
          <w:sz w:val="21"/>
          <w:szCs w:val="21"/>
        </w:rPr>
        <w:t xml:space="preserve">De manera reiterada desde la propia doctrina del ANCP- CCE e igualmente pronunciamientos del CE se puede interpretar que cuando se trata de contratos suscritos entre entidades públicas, ya sea territoriales , sociedades de economía mixta, empresas industriales y comerciales del Estado etc., la tipología contractual se define por el carácter organice de estas entidades independientemente de las actividades a ejecutar, es decir así sea un contrato de obra , de consultoría , de prestación de servicios, siempre que sean suscritos por estas entidades, la tipología estará enmarcada en convenio o contrato interadministrativo. ¿Es correcta esta interpretación? ¿De ser correcta la interpretación anterior, en el caso de los coloquialmente llamados bancos de segundo piso, como Findeter, </w:t>
      </w:r>
      <w:proofErr w:type="spellStart"/>
      <w:r w:rsidRPr="00253AC1">
        <w:rPr>
          <w:rFonts w:ascii="Arial" w:hAnsi="Arial" w:cs="Arial"/>
          <w:color w:val="000000"/>
          <w:sz w:val="21"/>
          <w:szCs w:val="21"/>
        </w:rPr>
        <w:t>Bancoldex</w:t>
      </w:r>
      <w:proofErr w:type="spellEnd"/>
      <w:r w:rsidRPr="00253AC1">
        <w:rPr>
          <w:rFonts w:ascii="Arial" w:hAnsi="Arial" w:cs="Arial"/>
          <w:color w:val="000000"/>
          <w:sz w:val="21"/>
          <w:szCs w:val="21"/>
        </w:rPr>
        <w:t xml:space="preserve">, Finagro que son sociedades de </w:t>
      </w:r>
      <w:r w:rsidRPr="00253AC1">
        <w:rPr>
          <w:rFonts w:ascii="Arial" w:hAnsi="Arial" w:cs="Arial"/>
          <w:color w:val="000000"/>
          <w:sz w:val="21"/>
          <w:szCs w:val="21"/>
        </w:rPr>
        <w:t xml:space="preserve">economía mixta, los contratos de crédito público o empréstito que se suscriban con </w:t>
      </w:r>
      <w:proofErr w:type="gramStart"/>
      <w:r w:rsidRPr="00253AC1">
        <w:rPr>
          <w:rFonts w:ascii="Arial" w:hAnsi="Arial" w:cs="Arial"/>
          <w:color w:val="000000"/>
          <w:sz w:val="21"/>
          <w:szCs w:val="21"/>
        </w:rPr>
        <w:t>estos,</w:t>
      </w:r>
      <w:proofErr w:type="gramEnd"/>
      <w:r w:rsidRPr="00253AC1">
        <w:rPr>
          <w:rFonts w:ascii="Arial" w:hAnsi="Arial" w:cs="Arial"/>
          <w:color w:val="000000"/>
          <w:sz w:val="21"/>
          <w:szCs w:val="21"/>
        </w:rPr>
        <w:t xml:space="preserve"> son necesariamente contratos interadministrativos? ¿De ser así, estos contratos de crédito público o empréstito son cobijados por la Ley de Garantías Electorales?”</w:t>
      </w:r>
    </w:p>
    <w:p w:rsidR="00C60B22" w:rsidP="00C60B22" w:rsidRDefault="00C60B22" w14:paraId="0C763238" w14:textId="77777777">
      <w:pPr>
        <w:autoSpaceDE w:val="0"/>
        <w:autoSpaceDN w:val="0"/>
        <w:adjustRightInd w:val="0"/>
        <w:spacing w:after="0" w:line="240" w:lineRule="auto"/>
        <w:ind w:right="709"/>
        <w:jc w:val="both"/>
        <w:rPr>
          <w:rFonts w:ascii="Arial" w:hAnsi="Arial" w:cs="Arial"/>
          <w:color w:val="000000"/>
        </w:rPr>
      </w:pPr>
    </w:p>
    <w:p w:rsidRPr="00224199" w:rsidR="00C60B22" w:rsidP="004518EC" w:rsidRDefault="00C60B22" w14:paraId="2D7145DE" w14:textId="4227034D">
      <w:pPr>
        <w:pStyle w:val="Prrafodelista"/>
        <w:numPr>
          <w:ilvl w:val="0"/>
          <w:numId w:val="6"/>
        </w:numPr>
        <w:autoSpaceDE w:val="0"/>
        <w:autoSpaceDN w:val="0"/>
        <w:adjustRightInd w:val="0"/>
        <w:spacing w:after="0" w:line="240" w:lineRule="auto"/>
        <w:ind w:left="426" w:right="709" w:hanging="422"/>
        <w:jc w:val="both"/>
        <w:rPr>
          <w:rFonts w:ascii="Arial" w:hAnsi="Arial" w:eastAsia="Calibri" w:cs="Arial"/>
          <w:b/>
          <w:szCs w:val="24"/>
          <w:lang w:val="es-ES_tradnl" w:eastAsia="es-ES_tradnl"/>
        </w:rPr>
      </w:pPr>
      <w:r w:rsidRPr="004518EC">
        <w:rPr>
          <w:rFonts w:ascii="Arial" w:hAnsi="Arial" w:eastAsia="Calibri" w:cs="Arial"/>
          <w:b/>
          <w:lang w:eastAsia="es-ES"/>
        </w:rPr>
        <w:t>Consideraciones</w:t>
      </w:r>
    </w:p>
    <w:p w:rsidRPr="00224199" w:rsidR="00C60B22" w:rsidP="00C60B22" w:rsidRDefault="00C60B22" w14:paraId="6D921FFA" w14:textId="77777777">
      <w:pPr>
        <w:tabs>
          <w:tab w:val="left" w:pos="0"/>
          <w:tab w:val="left" w:pos="284"/>
        </w:tabs>
        <w:spacing w:after="0" w:line="240" w:lineRule="auto"/>
        <w:jc w:val="both"/>
        <w:rPr>
          <w:rFonts w:ascii="Arial" w:hAnsi="Arial" w:eastAsia="Calibri" w:cs="Arial"/>
          <w:b/>
          <w:szCs w:val="24"/>
          <w:lang w:val="es-ES_tradnl" w:eastAsia="es-ES_tradnl"/>
        </w:rPr>
      </w:pPr>
    </w:p>
    <w:p w:rsidRPr="00E137B8" w:rsidR="00C60B22" w:rsidP="00C60B22" w:rsidRDefault="00C60B22" w14:paraId="19E19ADB" w14:textId="77777777">
      <w:pPr>
        <w:spacing w:line="276" w:lineRule="auto"/>
        <w:jc w:val="both"/>
        <w:rPr>
          <w:rFonts w:ascii="Arial" w:hAnsi="Arial" w:cs="Arial"/>
          <w:color w:val="000000" w:themeColor="text1"/>
          <w:lang w:val="es-ES"/>
        </w:rPr>
      </w:pPr>
      <w:r w:rsidRPr="00E137B8">
        <w:rPr>
          <w:rFonts w:ascii="Arial" w:hAnsi="Arial" w:cs="Arial"/>
        </w:rPr>
        <w:t>L</w:t>
      </w:r>
      <w:r w:rsidRPr="00E137B8">
        <w:rPr>
          <w:rFonts w:ascii="Arial" w:hAnsi="Arial" w:eastAsia="Calibri" w:cs="Arial"/>
        </w:rPr>
        <w:t xml:space="preserve">a Subdirección resolverá la petición conforme a las normas generales en materia de contratación estatal. Con este objetivo se abordarán </w:t>
      </w:r>
      <w:r w:rsidRPr="00E137B8">
        <w:rPr>
          <w:rFonts w:ascii="Arial" w:hAnsi="Arial" w:eastAsia="Calibri" w:cs="Arial"/>
          <w:lang w:val="es-ES"/>
        </w:rPr>
        <w:t>los siguientes temas:</w:t>
      </w:r>
      <w:r w:rsidRPr="00E137B8">
        <w:rPr>
          <w:rFonts w:ascii="Arial" w:hAnsi="Arial" w:cs="Arial"/>
          <w:color w:val="000000" w:themeColor="text1"/>
          <w:lang w:val="es-ES"/>
        </w:rPr>
        <w:t xml:space="preserve"> </w:t>
      </w:r>
      <w:r w:rsidRPr="00E137B8">
        <w:rPr>
          <w:rFonts w:ascii="Arial" w:hAnsi="Arial" w:cs="Arial"/>
          <w:color w:val="000000" w:themeColor="text1"/>
          <w:lang w:val="es-ES_tradnl"/>
        </w:rPr>
        <w:t xml:space="preserve">i) definición y finalidad de la Ley de Garantías Electorales, </w:t>
      </w:r>
      <w:proofErr w:type="spellStart"/>
      <w:r w:rsidRPr="00E137B8">
        <w:rPr>
          <w:rFonts w:ascii="Arial" w:hAnsi="Arial" w:cs="Arial"/>
          <w:color w:val="000000" w:themeColor="text1"/>
          <w:lang w:val="es-ES_tradnl"/>
        </w:rPr>
        <w:t>ii</w:t>
      </w:r>
      <w:proofErr w:type="spellEnd"/>
      <w:r w:rsidRPr="00E137B8">
        <w:rPr>
          <w:rFonts w:ascii="Arial" w:hAnsi="Arial" w:cs="Arial"/>
          <w:color w:val="000000" w:themeColor="text1"/>
          <w:lang w:val="es-ES_tradnl"/>
        </w:rPr>
        <w:t xml:space="preserve">) restricciones para elecciones presidenciales, </w:t>
      </w:r>
      <w:proofErr w:type="spellStart"/>
      <w:r w:rsidRPr="00E137B8">
        <w:rPr>
          <w:rFonts w:ascii="Arial" w:hAnsi="Arial" w:cs="Arial"/>
          <w:color w:val="000000" w:themeColor="text1"/>
          <w:lang w:val="es-ES_tradnl"/>
        </w:rPr>
        <w:t>iii</w:t>
      </w:r>
      <w:proofErr w:type="spellEnd"/>
      <w:r w:rsidRPr="00E137B8">
        <w:rPr>
          <w:rFonts w:ascii="Arial" w:hAnsi="Arial" w:cs="Arial"/>
          <w:color w:val="000000" w:themeColor="text1"/>
          <w:lang w:val="es-ES_tradnl"/>
        </w:rPr>
        <w:t xml:space="preserve">) destinatarios de la prohibición del artículo 33 de la Ley 996 de 2005, </w:t>
      </w:r>
      <w:proofErr w:type="spellStart"/>
      <w:r w:rsidRPr="00E137B8">
        <w:rPr>
          <w:rFonts w:ascii="Arial" w:hAnsi="Arial" w:cs="Arial"/>
          <w:color w:val="000000" w:themeColor="text1"/>
          <w:lang w:val="es-ES_tradnl"/>
        </w:rPr>
        <w:t>iv</w:t>
      </w:r>
      <w:proofErr w:type="spellEnd"/>
      <w:r w:rsidRPr="00E137B8">
        <w:rPr>
          <w:rFonts w:ascii="Arial" w:hAnsi="Arial" w:cs="Arial"/>
          <w:color w:val="000000" w:themeColor="text1"/>
          <w:lang w:val="es-ES_tradnl"/>
        </w:rPr>
        <w:t>) restricciones en los comicios</w:t>
      </w:r>
      <w:r>
        <w:rPr>
          <w:rFonts w:ascii="Arial" w:hAnsi="Arial" w:cs="Arial"/>
          <w:color w:val="000000" w:themeColor="text1"/>
          <w:lang w:val="es-ES_tradnl"/>
        </w:rPr>
        <w:t xml:space="preserve"> para cargos de elección popular</w:t>
      </w:r>
      <w:r w:rsidRPr="00E137B8">
        <w:rPr>
          <w:rFonts w:ascii="Arial" w:hAnsi="Arial" w:cs="Arial"/>
          <w:color w:val="000000" w:themeColor="text1"/>
          <w:lang w:val="es-ES_tradnl"/>
        </w:rPr>
        <w:t>.</w:t>
      </w:r>
      <w:r>
        <w:rPr>
          <w:rFonts w:ascii="Arial" w:hAnsi="Arial" w:cs="Arial"/>
          <w:color w:val="000000" w:themeColor="text1"/>
          <w:lang w:val="es-ES_tradnl"/>
        </w:rPr>
        <w:t xml:space="preserve"> V) Tipología del contrato de crédito público y alcance normativo aplicable.  </w:t>
      </w:r>
      <w:r w:rsidRPr="00E137B8">
        <w:rPr>
          <w:rFonts w:ascii="Arial" w:hAnsi="Arial" w:cs="Arial"/>
          <w:color w:val="000000" w:themeColor="text1"/>
          <w:lang w:val="es-ES_tradnl"/>
        </w:rPr>
        <w:t xml:space="preserve">   </w:t>
      </w:r>
    </w:p>
    <w:p w:rsidRPr="00F070E2" w:rsidR="00C60B22" w:rsidP="00C60B22" w:rsidRDefault="00C60B22" w14:paraId="7EFE7FB9" w14:textId="77777777">
      <w:pPr>
        <w:spacing w:after="0" w:line="276" w:lineRule="auto"/>
        <w:ind w:right="49" w:firstLine="708"/>
        <w:jc w:val="both"/>
        <w:rPr>
          <w:rFonts w:ascii="Arial MT" w:hAnsi="Arial MT" w:eastAsia="Arial MT" w:cs="Arial MT"/>
          <w:lang w:eastAsia="es-CO"/>
        </w:rPr>
      </w:pPr>
      <w:r w:rsidRPr="00E137B8">
        <w:rPr>
          <w:rFonts w:ascii="Arial" w:hAnsi="Arial" w:eastAsia="Calibri" w:cs="Arial"/>
          <w:color w:val="000000" w:themeColor="text1"/>
          <w:lang w:val="es-ES"/>
        </w:rPr>
        <w:t>La Agencia Nacional de Contratación Pública – Colombia Compra Eficiente, en los Conceptos</w:t>
      </w:r>
      <w:r w:rsidRPr="00E137B8">
        <w:rPr>
          <w:rFonts w:ascii="Arial" w:hAnsi="Arial" w:eastAsia="Calibri" w:cs="Arial"/>
          <w:color w:val="000000" w:themeColor="text1"/>
          <w:lang w:val="es-MX" w:eastAsia="en-GB"/>
        </w:rPr>
        <w:t xml:space="preserve"> </w:t>
      </w:r>
      <w:r w:rsidRPr="00E137B8">
        <w:rPr>
          <w:rFonts w:ascii="Arial" w:hAnsi="Arial" w:cs="Arial"/>
          <w:color w:val="000000"/>
          <w:shd w:val="clear" w:color="auto" w:fill="FFFFFF"/>
          <w:lang w:val="es-ES"/>
        </w:rPr>
        <w:t xml:space="preserve">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C-675 del 6 de enero de 2022, C-677 del 4 de diciembre de 2021, C-695 del 22 de diciembre de 2021, C-699 del 6 de enero de 2022, C-700 del 6 de enero de 2021, C-723 del 28 de diciembre de 2021, </w:t>
      </w:r>
      <w:r w:rsidRPr="00E137B8">
        <w:rPr>
          <w:rFonts w:ascii="Arial" w:hAnsi="Arial" w:cs="Arial"/>
          <w:color w:val="000000"/>
          <w:shd w:val="clear" w:color="auto" w:fill="FFFFFF"/>
        </w:rPr>
        <w:t xml:space="preserve">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C-054 del 7 de marzo de 2022, C-064 del 8 de marzo de 2022, C-072 del 11 de marzo de 2022, C-109 del 14 de marzo de 2022, C-073 del 14 de marzo de 2022, C-075 del 10 de marzo </w:t>
      </w:r>
      <w:r w:rsidRPr="00E137B8">
        <w:rPr>
          <w:rFonts w:ascii="Arial" w:hAnsi="Arial" w:cs="Arial"/>
          <w:color w:val="000000"/>
          <w:shd w:val="clear" w:color="auto" w:fill="FFFFFF"/>
        </w:rPr>
        <w:t>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C-134 del 1° de abril de 2022, C-164 del 22 de marzo de 2022, C-170 del 5 de abril de 2022, C-175 del 17 de mayo de 2022, C-329 del 24 de mayo de 2022, C-027 del 22 de marzo de 2023, C-049 del 13 de abril de 2023, C-075 del 25 de abril de 2023, C-076 del 25 de abril de 2023, C-098 del 4 de mayo de 2023, C-105 del 14 de junio de 2023, C-107 del 8 de mayo de 2023, C-115 del 8 de junio de 2023, C-116 del 8 de junio de 2023, C-118 del 9 de junio de 2023, C-134 del 26 de mayo de 2023, C-145 del 18 de mayo de 2023 y C-149 del 1° de junio de 2023, se ha pronunciado sobre la aplicación de la Ley de garantías</w:t>
      </w:r>
      <w:r w:rsidRPr="00E137B8">
        <w:rPr>
          <w:rFonts w:ascii="Arial" w:hAnsi="Arial" w:eastAsia="Calibri" w:cs="Arial"/>
          <w:vertAlign w:val="superscript"/>
        </w:rPr>
        <w:footnoteReference w:id="2"/>
      </w:r>
      <w:r w:rsidRPr="00E137B8">
        <w:rPr>
          <w:rFonts w:ascii="Arial" w:hAnsi="Arial" w:cs="Arial"/>
          <w:color w:val="000000"/>
          <w:shd w:val="clear" w:color="auto" w:fill="FFFFFF"/>
        </w:rPr>
        <w:t xml:space="preserve">. </w:t>
      </w:r>
      <w:r w:rsidRPr="00E137B8">
        <w:rPr>
          <w:rFonts w:ascii="Arial" w:hAnsi="Arial" w:eastAsia="Calibri" w:cs="Arial"/>
          <w:color w:val="000000" w:themeColor="text1"/>
          <w:lang w:val="es-ES_tradnl"/>
        </w:rPr>
        <w:t>La tesis propuesta en estos conceptos se reitera a continuación y se complementa en lo pertinente.</w:t>
      </w:r>
    </w:p>
    <w:p w:rsidR="00C60B22" w:rsidP="00C60B22" w:rsidRDefault="00C60B22" w14:paraId="0476D6F2" w14:textId="77777777">
      <w:pPr>
        <w:tabs>
          <w:tab w:val="left" w:pos="426"/>
        </w:tabs>
        <w:spacing w:after="0" w:line="276" w:lineRule="auto"/>
        <w:contextualSpacing/>
        <w:jc w:val="both"/>
        <w:rPr>
          <w:rFonts w:ascii="Arial" w:hAnsi="Arial" w:eastAsia="Calibri" w:cs="Arial"/>
          <w:color w:val="000000" w:themeColor="text1"/>
        </w:rPr>
      </w:pPr>
    </w:p>
    <w:p w:rsidRPr="00B0204F" w:rsidR="00C60B22" w:rsidP="00C60B22" w:rsidRDefault="00C60B22" w14:paraId="5E20A368" w14:textId="77777777">
      <w:pPr>
        <w:spacing w:after="0" w:line="276" w:lineRule="auto"/>
        <w:contextualSpacing/>
        <w:jc w:val="both"/>
        <w:rPr>
          <w:rFonts w:ascii="Arial" w:hAnsi="Arial" w:eastAsia="Calibri" w:cs="Arial"/>
          <w:b/>
        </w:rPr>
      </w:pPr>
      <w:bookmarkStart w:name="_Hlk117695077" w:id="7"/>
      <w:r w:rsidRPr="00B0204F">
        <w:rPr>
          <w:rFonts w:ascii="Arial" w:hAnsi="Arial" w:eastAsia="Times New Roman" w:cs="Arial"/>
          <w:b/>
          <w:szCs w:val="24"/>
          <w:lang w:eastAsia="es-ES_tradnl"/>
        </w:rPr>
        <w:t xml:space="preserve">2.1. </w:t>
      </w:r>
      <w:r w:rsidRPr="00B0204F">
        <w:rPr>
          <w:rFonts w:ascii="Arial" w:hAnsi="Arial" w:eastAsia="Calibri" w:cs="Arial"/>
          <w:b/>
        </w:rPr>
        <w:t>Definición y finalidad de la Ley de Garantías Electorales: alcance de las restricciones</w:t>
      </w:r>
    </w:p>
    <w:p w:rsidRPr="00B0204F" w:rsidR="00C60B22" w:rsidP="00C60B22" w:rsidRDefault="00C60B22" w14:paraId="2529AE0A" w14:textId="77777777">
      <w:pPr>
        <w:tabs>
          <w:tab w:val="left" w:pos="426"/>
        </w:tabs>
        <w:spacing w:after="0" w:line="276" w:lineRule="auto"/>
        <w:ind w:firstLine="709"/>
        <w:contextualSpacing/>
        <w:jc w:val="both"/>
        <w:rPr>
          <w:rFonts w:ascii="Arial" w:hAnsi="Arial" w:eastAsia="Calibri" w:cs="Arial"/>
        </w:rPr>
      </w:pPr>
    </w:p>
    <w:p w:rsidRPr="00B0204F" w:rsidR="00C60B22" w:rsidP="00C60B22" w:rsidRDefault="00C60B22" w14:paraId="4B0686A1" w14:textId="77777777">
      <w:pPr>
        <w:tabs>
          <w:tab w:val="left" w:pos="426"/>
        </w:tabs>
        <w:spacing w:after="120" w:line="276" w:lineRule="auto"/>
        <w:jc w:val="both"/>
        <w:rPr>
          <w:rFonts w:ascii="Arial" w:hAnsi="Arial" w:eastAsia="Times New Roman" w:cs="Arial"/>
          <w:lang w:eastAsia="es-CO"/>
        </w:rPr>
      </w:pPr>
      <w:r w:rsidRPr="00B0204F">
        <w:rPr>
          <w:rFonts w:ascii="Arial" w:hAnsi="Arial" w:eastAsia="Calibri" w:cs="Arial"/>
        </w:rPr>
        <w:t>El ordenamiento jurídico colombiano contempla previsiones claras para evitar la obtención de beneficios personales en asuntos propios de la administración pública</w:t>
      </w:r>
      <w:r w:rsidRPr="00B0204F">
        <w:rPr>
          <w:rFonts w:ascii="Arial" w:hAnsi="Arial" w:eastAsia="Calibri" w:cs="Arial"/>
          <w:i/>
        </w:rPr>
        <w:t xml:space="preserve">. </w:t>
      </w:r>
      <w:r w:rsidRPr="00B0204F">
        <w:rPr>
          <w:rFonts w:ascii="Arial" w:hAnsi="Arial" w:eastAsia="Calibri" w:cs="Arial"/>
        </w:rPr>
        <w:t>Por ejemplo, el artículo 127 de la Constitución Política establece una prohibición contractual a los servidores públicos y en cuanto a aspectos políticos consagra restricciones a ciertos empleados del Estado, incluso en época no electoral</w:t>
      </w:r>
      <w:r w:rsidRPr="00B0204F">
        <w:rPr>
          <w:rFonts w:ascii="Arial" w:hAnsi="Arial" w:eastAsia="Calibri" w:cs="Arial"/>
          <w:vertAlign w:val="superscript"/>
        </w:rPr>
        <w:footnoteReference w:id="3"/>
      </w:r>
      <w:r w:rsidRPr="00B0204F">
        <w:rPr>
          <w:rFonts w:ascii="Arial" w:hAnsi="Arial" w:eastAsia="Calibri" w:cs="Arial"/>
        </w:rPr>
        <w:t xml:space="preserve">. </w:t>
      </w:r>
    </w:p>
    <w:p w:rsidRPr="00B0204F" w:rsidR="00C60B22" w:rsidP="00C60B22" w:rsidRDefault="00C60B22" w14:paraId="5467B5E3" w14:textId="77777777">
      <w:pPr>
        <w:tabs>
          <w:tab w:val="left" w:pos="426"/>
        </w:tabs>
        <w:spacing w:after="0" w:line="276" w:lineRule="auto"/>
        <w:ind w:firstLine="709"/>
        <w:jc w:val="both"/>
        <w:rPr>
          <w:rFonts w:ascii="Arial" w:hAnsi="Arial" w:eastAsia="Times New Roman" w:cs="Arial"/>
          <w:lang w:val="es-MX" w:eastAsia="es-CO"/>
        </w:rPr>
      </w:pPr>
      <w:r w:rsidRPr="00B0204F">
        <w:rPr>
          <w:rFonts w:ascii="Arial" w:hAnsi="Arial" w:eastAsia="Times New Roman" w:cs="Arial"/>
          <w:lang w:eastAsia="es-CO"/>
        </w:rPr>
        <w:t>En el mismo sentido</w:t>
      </w:r>
      <w:r w:rsidRPr="00B0204F">
        <w:rPr>
          <w:rFonts w:ascii="Arial" w:hAnsi="Arial" w:eastAsia="Times New Roman" w:cs="Arial"/>
          <w:lang w:val="es-MX" w:eastAsia="es-CO"/>
        </w:rPr>
        <w:t xml:space="preserve">, </w:t>
      </w:r>
      <w:bookmarkStart w:name="_Hlk99576829" w:id="8"/>
      <w:r w:rsidRPr="00B0204F">
        <w:rPr>
          <w:rFonts w:ascii="Arial" w:hAnsi="Arial" w:eastAsia="Times New Roman"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0204F">
        <w:rPr>
          <w:rFonts w:ascii="Arial" w:hAnsi="Arial" w:eastAsia="Times New Roman" w:cs="Arial"/>
          <w:vertAlign w:val="superscript"/>
          <w:lang w:val="es-MX" w:eastAsia="es-CO"/>
        </w:rPr>
        <w:footnoteReference w:id="4"/>
      </w:r>
      <w:r w:rsidRPr="00B0204F">
        <w:rPr>
          <w:rFonts w:ascii="Arial" w:hAnsi="Arial" w:eastAsia="Times New Roman"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B0204F">
        <w:rPr>
          <w:rFonts w:ascii="Arial" w:hAnsi="Arial" w:eastAsia="Calibri" w:cs="Arial"/>
          <w:lang w:val="es-ES_tradnl"/>
        </w:rPr>
        <w:t xml:space="preserve"> </w:t>
      </w:r>
      <w:bookmarkEnd w:id="8"/>
      <w:r w:rsidRPr="00B0204F">
        <w:rPr>
          <w:rFonts w:ascii="Arial" w:hAnsi="Arial" w:eastAsia="Times New Roman" w:cs="Arial"/>
          <w:lang w:val="es-MX" w:eastAsia="es-CO"/>
        </w:rPr>
        <w:t xml:space="preserve">En armonía con lo </w:t>
      </w:r>
      <w:r w:rsidRPr="00B0204F">
        <w:rPr>
          <w:rFonts w:ascii="Arial" w:hAnsi="Arial" w:eastAsia="Times New Roman" w:cs="Arial"/>
          <w:lang w:val="es-MX" w:eastAsia="es-CO"/>
        </w:rPr>
        <w:t>anterior, la Corte Constitucional ha abordado la definición de la Ley de Garantías Electorales. De esta manera, explica que tiene como propósito:</w:t>
      </w:r>
    </w:p>
    <w:p w:rsidRPr="00B0204F" w:rsidR="00C60B22" w:rsidP="00C60B22" w:rsidRDefault="00C60B22" w14:paraId="29B9B8C8" w14:textId="77777777">
      <w:pPr>
        <w:spacing w:after="0" w:line="276" w:lineRule="auto"/>
        <w:ind w:right="709"/>
        <w:contextualSpacing/>
        <w:jc w:val="both"/>
        <w:rPr>
          <w:rFonts w:ascii="Arial" w:hAnsi="Arial" w:eastAsia="Times New Roman" w:cs="Arial"/>
          <w:sz w:val="21"/>
          <w:szCs w:val="21"/>
          <w:lang w:val="es-ES" w:eastAsia="es-CO"/>
        </w:rPr>
      </w:pPr>
    </w:p>
    <w:p w:rsidRPr="00B0204F" w:rsidR="00C60B22" w:rsidP="00C60B22" w:rsidRDefault="00C60B22" w14:paraId="54F29909" w14:textId="77777777">
      <w:pPr>
        <w:spacing w:after="0" w:line="240" w:lineRule="auto"/>
        <w:ind w:left="709" w:right="709"/>
        <w:contextualSpacing/>
        <w:jc w:val="both"/>
        <w:rPr>
          <w:rFonts w:ascii="Arial" w:hAnsi="Arial" w:eastAsia="Times New Roman" w:cs="Arial"/>
          <w:sz w:val="21"/>
          <w:szCs w:val="21"/>
          <w:lang w:val="es-MX" w:eastAsia="es-CO"/>
        </w:rPr>
      </w:pPr>
      <w:r w:rsidRPr="00B0204F">
        <w:rPr>
          <w:rFonts w:ascii="Arial" w:hAnsi="Arial" w:eastAsia="Times New Roman" w:cs="Arial"/>
          <w:sz w:val="21"/>
          <w:szCs w:val="21"/>
          <w:lang w:val="es-ES" w:eastAsia="es-CO"/>
        </w:rPr>
        <w:t xml:space="preserve">“[…] </w:t>
      </w:r>
      <w:r w:rsidRPr="00B0204F">
        <w:rPr>
          <w:rFonts w:ascii="Arial" w:hAnsi="Arial" w:eastAsia="Times New Roman" w:cs="Arial"/>
          <w:sz w:val="21"/>
          <w:szCs w:val="21"/>
          <w:lang w:val="es-MX" w:eastAsia="es-CO"/>
        </w:rPr>
        <w:t>la definición de reglas claras que permitan acceder a los canales de expresión democrática de manera efectiva e igualitaria. El objetivo de una ley de garantías es definir esas reglas.</w:t>
      </w:r>
    </w:p>
    <w:p w:rsidRPr="00B0204F" w:rsidR="00C60B22" w:rsidP="00C60B22" w:rsidRDefault="00C60B22" w14:paraId="79E5D9F0" w14:textId="77777777">
      <w:pPr>
        <w:spacing w:after="0" w:line="240" w:lineRule="auto"/>
        <w:ind w:left="709" w:right="709"/>
        <w:contextualSpacing/>
        <w:jc w:val="both"/>
        <w:rPr>
          <w:rFonts w:ascii="Arial" w:hAnsi="Arial" w:eastAsia="Times New Roman" w:cs="Arial"/>
          <w:sz w:val="21"/>
          <w:szCs w:val="21"/>
          <w:lang w:val="es-MX" w:eastAsia="es-CO"/>
        </w:rPr>
      </w:pPr>
      <w:r w:rsidRPr="00B0204F">
        <w:rPr>
          <w:rFonts w:ascii="Arial" w:hAnsi="Arial" w:eastAsia="Times New Roman" w:cs="Arial"/>
          <w:sz w:val="21"/>
          <w:szCs w:val="21"/>
          <w:lang w:val="es-MX" w:eastAsia="es-CO"/>
        </w:rPr>
        <w:t xml:space="preserve">[…] </w:t>
      </w:r>
    </w:p>
    <w:p w:rsidRPr="00B0204F" w:rsidR="00C60B22" w:rsidP="00C60B22" w:rsidRDefault="00C60B22" w14:paraId="01E6CD11" w14:textId="77777777">
      <w:pPr>
        <w:spacing w:after="0" w:line="240" w:lineRule="auto"/>
        <w:ind w:right="709"/>
        <w:contextualSpacing/>
        <w:jc w:val="both"/>
        <w:rPr>
          <w:rFonts w:ascii="Arial" w:hAnsi="Arial" w:eastAsia="Times New Roman" w:cs="Arial"/>
          <w:sz w:val="12"/>
          <w:szCs w:val="12"/>
          <w:lang w:val="es-MX" w:eastAsia="es-CO"/>
        </w:rPr>
      </w:pPr>
    </w:p>
    <w:p w:rsidRPr="00B0204F" w:rsidR="00C60B22" w:rsidP="00C60B22" w:rsidRDefault="00C60B22" w14:paraId="0E55C8D7" w14:textId="77777777">
      <w:pPr>
        <w:spacing w:after="0" w:line="240" w:lineRule="auto"/>
        <w:ind w:left="709" w:right="709"/>
        <w:contextualSpacing/>
        <w:jc w:val="both"/>
        <w:rPr>
          <w:rFonts w:ascii="Arial" w:hAnsi="Arial" w:eastAsia="Times New Roman" w:cs="Arial"/>
          <w:sz w:val="21"/>
          <w:szCs w:val="21"/>
          <w:lang w:val="es-MX" w:eastAsia="es-CO"/>
        </w:rPr>
      </w:pPr>
      <w:r w:rsidRPr="00B0204F">
        <w:rPr>
          <w:rFonts w:ascii="Arial" w:hAnsi="Arial" w:eastAsia="Times New Roman" w:cs="Arial"/>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B0204F">
        <w:rPr>
          <w:rFonts w:ascii="Arial" w:hAnsi="Arial" w:eastAsia="Calibri" w:cs="Arial"/>
          <w:sz w:val="20"/>
          <w:szCs w:val="20"/>
          <w:vertAlign w:val="superscript"/>
          <w:lang w:val="es-MX"/>
        </w:rPr>
        <w:footnoteReference w:id="5"/>
      </w:r>
    </w:p>
    <w:p w:rsidRPr="00B0204F" w:rsidR="00C60B22" w:rsidP="00C60B22" w:rsidRDefault="00C60B22" w14:paraId="0C069469" w14:textId="77777777">
      <w:pPr>
        <w:spacing w:after="0" w:line="276" w:lineRule="auto"/>
        <w:ind w:left="709" w:right="709"/>
        <w:contextualSpacing/>
        <w:jc w:val="both"/>
        <w:rPr>
          <w:rFonts w:ascii="Arial" w:hAnsi="Arial" w:eastAsia="Times New Roman" w:cs="Arial"/>
          <w:sz w:val="21"/>
          <w:szCs w:val="21"/>
          <w:lang w:val="es-MX" w:eastAsia="es-CO"/>
        </w:rPr>
      </w:pPr>
    </w:p>
    <w:p w:rsidRPr="00B0204F" w:rsidR="00C60B22" w:rsidP="00C60B22" w:rsidRDefault="00C60B22" w14:paraId="73784261" w14:textId="77777777">
      <w:pPr>
        <w:spacing w:after="0" w:line="276" w:lineRule="auto"/>
        <w:ind w:firstLine="709"/>
        <w:jc w:val="both"/>
        <w:rPr>
          <w:rFonts w:ascii="Arial" w:hAnsi="Arial" w:eastAsia="Times New Roman" w:cs="Arial"/>
          <w:lang w:val="es-MX" w:eastAsia="es-CO"/>
        </w:rPr>
      </w:pPr>
      <w:bookmarkStart w:name="_Hlk78818186" w:id="9"/>
      <w:r w:rsidRPr="00B0204F">
        <w:rPr>
          <w:rFonts w:ascii="Arial" w:hAnsi="Arial" w:eastAsia="Times New Roman" w:cs="Arial"/>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9"/>
      <w:r w:rsidRPr="00B0204F">
        <w:rPr>
          <w:rFonts w:ascii="Arial" w:hAnsi="Arial" w:eastAsia="Times New Roman"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Pr="00B0204F" w:rsidR="00C60B22" w:rsidP="00C60B22" w:rsidRDefault="00C60B22" w14:paraId="679772F4" w14:textId="77777777">
      <w:pPr>
        <w:spacing w:after="0" w:line="276" w:lineRule="auto"/>
        <w:ind w:firstLine="709"/>
        <w:contextualSpacing/>
        <w:jc w:val="both"/>
        <w:rPr>
          <w:rFonts w:ascii="Arial" w:hAnsi="Arial" w:eastAsia="Times New Roman" w:cs="Arial"/>
          <w:lang w:val="es-MX" w:eastAsia="es-CO"/>
        </w:rPr>
      </w:pPr>
    </w:p>
    <w:p w:rsidRPr="00B0204F" w:rsidR="00C60B22" w:rsidP="00C60B22" w:rsidRDefault="00C60B22" w14:paraId="3821F440" w14:textId="77777777">
      <w:pPr>
        <w:spacing w:after="0" w:line="240" w:lineRule="auto"/>
        <w:ind w:left="709" w:right="709"/>
        <w:contextualSpacing/>
        <w:jc w:val="both"/>
        <w:rPr>
          <w:rFonts w:ascii="Arial" w:hAnsi="Arial" w:eastAsia="Times New Roman" w:cs="Arial"/>
          <w:sz w:val="21"/>
          <w:szCs w:val="21"/>
          <w:lang w:val="es-MX" w:eastAsia="es-CO"/>
        </w:rPr>
      </w:pPr>
      <w:r w:rsidRPr="00B0204F">
        <w:rPr>
          <w:rFonts w:ascii="Arial" w:hAnsi="Arial" w:eastAsia="Times New Roman" w:cs="Arial"/>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B0204F">
        <w:rPr>
          <w:rFonts w:ascii="Arial" w:hAnsi="Arial" w:eastAsia="Times New Roman" w:cs="Arial"/>
          <w:sz w:val="21"/>
          <w:szCs w:val="21"/>
          <w:lang w:val="es-MX" w:eastAsia="es-CO"/>
        </w:rPr>
        <w:t>legis</w:t>
      </w:r>
      <w:proofErr w:type="spellEnd"/>
      <w:r w:rsidRPr="00B0204F">
        <w:rPr>
          <w:rFonts w:ascii="Arial" w:hAnsi="Arial" w:eastAsia="Times New Roman" w:cs="Arial"/>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B0204F" w:rsidR="00C60B22" w:rsidP="00C60B22" w:rsidRDefault="00C60B22" w14:paraId="09A40D86" w14:textId="77777777">
      <w:pPr>
        <w:spacing w:after="0" w:line="240" w:lineRule="auto"/>
        <w:ind w:right="709"/>
        <w:contextualSpacing/>
        <w:jc w:val="both"/>
        <w:rPr>
          <w:rFonts w:ascii="Arial" w:hAnsi="Arial" w:eastAsia="Times New Roman" w:cs="Arial"/>
          <w:sz w:val="12"/>
          <w:szCs w:val="12"/>
          <w:lang w:val="es-MX" w:eastAsia="es-CO"/>
        </w:rPr>
      </w:pPr>
    </w:p>
    <w:p w:rsidRPr="00B0204F" w:rsidR="00C60B22" w:rsidP="00C60B22" w:rsidRDefault="00C60B22" w14:paraId="75A79216" w14:textId="77777777">
      <w:pPr>
        <w:spacing w:after="0" w:line="240" w:lineRule="auto"/>
        <w:ind w:left="709" w:right="709"/>
        <w:contextualSpacing/>
        <w:jc w:val="both"/>
        <w:rPr>
          <w:rFonts w:ascii="Arial" w:hAnsi="Arial" w:eastAsia="Times New Roman" w:cs="Arial"/>
          <w:sz w:val="21"/>
          <w:szCs w:val="21"/>
          <w:lang w:val="es-MX" w:eastAsia="es-CO"/>
        </w:rPr>
      </w:pPr>
      <w:r w:rsidRPr="00B0204F">
        <w:rPr>
          <w:rFonts w:ascii="Arial" w:hAnsi="Arial" w:eastAsia="Times New Roman" w:cs="Arial"/>
          <w:sz w:val="21"/>
          <w:szCs w:val="21"/>
          <w:lang w:val="es-MX" w:eastAsia="es-CO"/>
        </w:rPr>
        <w:t>La jurisprudencia de la Corte Constitucional</w:t>
      </w:r>
      <w:r w:rsidRPr="00B0204F">
        <w:rPr>
          <w:rFonts w:ascii="Arial" w:hAnsi="Arial" w:eastAsia="Times New Roman" w:cs="Arial"/>
          <w:sz w:val="21"/>
          <w:szCs w:val="21"/>
          <w:vertAlign w:val="superscript"/>
          <w:lang w:val="es-MX" w:eastAsia="es-CO"/>
        </w:rPr>
        <w:footnoteReference w:id="6"/>
      </w:r>
      <w:r w:rsidRPr="00B0204F">
        <w:rPr>
          <w:rFonts w:ascii="Arial" w:hAnsi="Arial" w:eastAsia="Times New Roman" w:cs="Arial"/>
          <w:sz w:val="21"/>
          <w:szCs w:val="21"/>
          <w:lang w:val="es-MX" w:eastAsia="es-CO"/>
        </w:rPr>
        <w:t> y del Consejo de Estado</w:t>
      </w:r>
      <w:r w:rsidRPr="00B0204F">
        <w:rPr>
          <w:rFonts w:ascii="Arial" w:hAnsi="Arial" w:eastAsia="Times New Roman" w:cs="Arial"/>
          <w:sz w:val="21"/>
          <w:szCs w:val="21"/>
          <w:vertAlign w:val="superscript"/>
          <w:lang w:val="es-MX" w:eastAsia="es-CO"/>
        </w:rPr>
        <w:footnoteReference w:id="7"/>
      </w:r>
      <w:r w:rsidRPr="00B0204F">
        <w:rPr>
          <w:rFonts w:ascii="Arial" w:hAnsi="Arial" w:eastAsia="Times New Roman" w:cs="Arial"/>
          <w:sz w:val="21"/>
          <w:szCs w:val="21"/>
          <w:lang w:val="es-MX" w:eastAsia="es-CO"/>
        </w:rPr>
        <w:t xml:space="preserve">, coinciden en que las normas que establecen prohibiciones deben estar de manera explícita </w:t>
      </w:r>
      <w:r w:rsidRPr="00B0204F">
        <w:rPr>
          <w:rFonts w:ascii="Arial" w:hAnsi="Arial" w:eastAsia="Times New Roman" w:cs="Arial"/>
          <w:sz w:val="21"/>
          <w:szCs w:val="21"/>
          <w:lang w:val="es-MX" w:eastAsia="es-CO"/>
        </w:rPr>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B0204F">
        <w:rPr>
          <w:rFonts w:ascii="Arial" w:hAnsi="Arial" w:eastAsia="Times New Roman" w:cs="Arial"/>
          <w:vertAlign w:val="superscript"/>
          <w:lang w:val="es-MX" w:eastAsia="es-CO"/>
        </w:rPr>
        <w:footnoteReference w:id="8"/>
      </w:r>
      <w:r w:rsidRPr="00B0204F">
        <w:rPr>
          <w:rFonts w:ascii="Arial" w:hAnsi="Arial" w:eastAsia="Times New Roman" w:cs="Arial"/>
          <w:sz w:val="21"/>
          <w:szCs w:val="21"/>
          <w:lang w:val="es-MX" w:eastAsia="es-CO"/>
        </w:rPr>
        <w:t>.</w:t>
      </w:r>
    </w:p>
    <w:p w:rsidRPr="00B0204F" w:rsidR="00C60B22" w:rsidP="00C60B22" w:rsidRDefault="00C60B22" w14:paraId="389C4FFA" w14:textId="77777777">
      <w:pPr>
        <w:spacing w:after="0" w:line="276" w:lineRule="auto"/>
        <w:ind w:right="709"/>
        <w:contextualSpacing/>
        <w:jc w:val="both"/>
        <w:rPr>
          <w:rFonts w:ascii="Arial" w:hAnsi="Arial" w:eastAsia="Times New Roman" w:cs="Arial"/>
          <w:sz w:val="21"/>
          <w:szCs w:val="21"/>
          <w:lang w:val="es-MX" w:eastAsia="es-CO"/>
        </w:rPr>
      </w:pPr>
    </w:p>
    <w:p w:rsidRPr="00B0204F" w:rsidR="00C60B22" w:rsidP="00C60B22" w:rsidRDefault="00C60B22" w14:paraId="5FB4F891" w14:textId="77777777">
      <w:pPr>
        <w:spacing w:after="120" w:line="276" w:lineRule="auto"/>
        <w:jc w:val="both"/>
        <w:rPr>
          <w:rFonts w:ascii="Arial" w:hAnsi="Arial" w:eastAsia="Arial" w:cs="Arial"/>
          <w:lang w:val="es-ES" w:eastAsia="es-ES" w:bidi="es-ES"/>
        </w:rPr>
      </w:pPr>
      <w:r w:rsidRPr="00B0204F">
        <w:rPr>
          <w:rFonts w:ascii="Arial" w:hAnsi="Arial" w:eastAsia="Times New Roman" w:cs="Arial"/>
          <w:lang w:val="es-MX" w:eastAsia="es-CO"/>
        </w:rPr>
        <w:tab/>
      </w:r>
      <w:r w:rsidRPr="00B0204F">
        <w:rPr>
          <w:rFonts w:ascii="Arial" w:hAnsi="Arial" w:eastAsia="Times New Roman" w:cs="Arial"/>
          <w:lang w:val="es-MX" w:eastAsia="es-CO"/>
        </w:rPr>
        <w:t>De</w:t>
      </w:r>
      <w:r w:rsidRPr="00B0204F">
        <w:rPr>
          <w:rFonts w:ascii="Arial" w:hAnsi="Arial" w:eastAsia="Arial" w:cs="Arial"/>
          <w:lang w:val="es-ES" w:eastAsia="es-ES" w:bidi="es-ES"/>
        </w:rPr>
        <w:t xml:space="preserve"> conformidad con lo anterior, </w:t>
      </w:r>
      <w:bookmarkStart w:name="_Hlk77236098" w:id="10"/>
      <w:bookmarkStart w:name="_Hlk100679383" w:id="11"/>
      <w:r w:rsidRPr="00B0204F">
        <w:rPr>
          <w:rFonts w:ascii="Arial" w:hAnsi="Arial" w:eastAsia="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0"/>
    </w:p>
    <w:p w:rsidRPr="00B0204F" w:rsidR="00C60B22" w:rsidP="00C60B22" w:rsidRDefault="00C60B22" w14:paraId="3CB0CF35" w14:textId="77777777">
      <w:pPr>
        <w:spacing w:after="120" w:line="276" w:lineRule="auto"/>
        <w:ind w:firstLine="708"/>
        <w:jc w:val="both"/>
        <w:rPr>
          <w:rFonts w:ascii="Arial" w:hAnsi="Arial" w:eastAsia="Calibri" w:cs="Arial"/>
        </w:rPr>
      </w:pPr>
      <w:r w:rsidRPr="00B0204F">
        <w:rPr>
          <w:rFonts w:ascii="Arial" w:hAnsi="Arial" w:eastAsia="Calibri" w:cs="Arial"/>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0204F">
        <w:rPr>
          <w:rFonts w:ascii="Arial" w:hAnsi="Arial" w:eastAsia="Calibri" w:cs="Arial"/>
          <w:vertAlign w:val="superscript"/>
        </w:rPr>
        <w:footnoteReference w:id="9"/>
      </w:r>
      <w:r w:rsidRPr="00B0204F">
        <w:rPr>
          <w:rFonts w:ascii="Arial" w:hAnsi="Arial" w:eastAsia="Calibri" w:cs="Arial"/>
        </w:rPr>
        <w:t>.</w:t>
      </w:r>
    </w:p>
    <w:p w:rsidRPr="00B0204F" w:rsidR="00C60B22" w:rsidP="00C60B22" w:rsidRDefault="00C60B22" w14:paraId="6609F9BF" w14:textId="77777777">
      <w:pPr>
        <w:widowControl w:val="0"/>
        <w:autoSpaceDE w:val="0"/>
        <w:autoSpaceDN w:val="0"/>
        <w:spacing w:after="0" w:line="276" w:lineRule="auto"/>
        <w:ind w:right="113" w:firstLine="708"/>
        <w:contextualSpacing/>
        <w:jc w:val="both"/>
        <w:rPr>
          <w:rFonts w:ascii="Arial" w:hAnsi="Arial" w:eastAsia="Arial" w:cs="Arial"/>
          <w:lang w:val="es-ES" w:eastAsia="es-ES" w:bidi="es-ES"/>
        </w:rPr>
      </w:pPr>
      <w:r w:rsidRPr="00B0204F">
        <w:rPr>
          <w:rFonts w:ascii="Arial" w:hAnsi="Arial" w:eastAsia="Calibri"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B0204F">
        <w:rPr>
          <w:rFonts w:ascii="Arial" w:hAnsi="Arial" w:eastAsia="Calibri"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B0204F">
        <w:rPr>
          <w:rFonts w:ascii="Arial" w:hAnsi="Arial" w:eastAsia="Calibri" w:cs="Arial"/>
          <w:lang w:val="es-MX"/>
        </w:rPr>
        <w:t>proselitista</w:t>
      </w:r>
      <w:r w:rsidRPr="00B0204F">
        <w:rPr>
          <w:rFonts w:ascii="Arial" w:hAnsi="Arial" w:eastAsia="Calibri" w:cs="Arial"/>
          <w:sz w:val="19"/>
          <w:szCs w:val="19"/>
        </w:rPr>
        <w:t>”</w:t>
      </w:r>
      <w:bookmarkEnd w:id="11"/>
      <w:r w:rsidRPr="00B0204F">
        <w:rPr>
          <w:rFonts w:ascii="Arial" w:hAnsi="Arial" w:eastAsia="Calibri" w:cs="Arial"/>
          <w:sz w:val="19"/>
          <w:szCs w:val="19"/>
          <w:vertAlign w:val="superscript"/>
        </w:rPr>
        <w:footnoteReference w:id="10"/>
      </w:r>
      <w:r w:rsidRPr="00B0204F">
        <w:rPr>
          <w:rFonts w:ascii="Arial" w:hAnsi="Arial" w:eastAsia="Calibri" w:cs="Arial"/>
          <w:lang w:val="es-MX"/>
        </w:rPr>
        <w:t>.</w:t>
      </w:r>
      <w:r w:rsidRPr="00B0204F">
        <w:rPr>
          <w:rFonts w:ascii="Arial" w:hAnsi="Arial" w:eastAsia="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rsidRPr="00B0204F" w:rsidR="00C60B22" w:rsidP="00C60B22" w:rsidRDefault="00C60B22" w14:paraId="27BEF7E5" w14:textId="77777777">
      <w:pPr>
        <w:widowControl w:val="0"/>
        <w:autoSpaceDE w:val="0"/>
        <w:autoSpaceDN w:val="0"/>
        <w:spacing w:after="0" w:line="276" w:lineRule="auto"/>
        <w:ind w:left="805" w:right="812"/>
        <w:contextualSpacing/>
        <w:jc w:val="both"/>
        <w:rPr>
          <w:rFonts w:ascii="Arial" w:hAnsi="Arial" w:eastAsia="Arial" w:cs="Arial"/>
          <w:lang w:val="es-ES" w:eastAsia="es-ES" w:bidi="es-ES"/>
        </w:rPr>
      </w:pPr>
    </w:p>
    <w:p w:rsidRPr="00B0204F" w:rsidR="00C60B22" w:rsidP="00C60B22" w:rsidRDefault="00C60B22" w14:paraId="6438C80F"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00B0204F">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14"/>
      <w:r w:rsidRPr="00B0204F">
        <w:rPr>
          <w:rFonts w:ascii="Arial" w:hAnsi="Arial" w:eastAsia="Arial" w:cs="Arial"/>
          <w:sz w:val="21"/>
          <w:szCs w:val="21"/>
          <w:lang w:val="es-ES" w:eastAsia="es-ES" w:bidi="es-ES"/>
        </w:rPr>
        <w:t>se integran parcialmente</w:t>
      </w:r>
      <w:bookmarkEnd w:id="14"/>
      <w:r w:rsidRPr="00B0204F">
        <w:rPr>
          <w:rFonts w:ascii="Arial" w:hAnsi="Arial" w:eastAsia="Arial" w:cs="Arial"/>
          <w:sz w:val="21"/>
          <w:szCs w:val="21"/>
          <w:lang w:val="es-ES"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B0204F">
        <w:rPr>
          <w:rFonts w:ascii="Arial" w:hAnsi="Arial" w:eastAsia="Arial" w:cs="Arial"/>
          <w:sz w:val="21"/>
          <w:szCs w:val="21"/>
          <w:vertAlign w:val="superscript"/>
          <w:lang w:val="es-ES" w:eastAsia="es-ES" w:bidi="es-ES"/>
        </w:rPr>
        <w:footnoteReference w:id="11"/>
      </w:r>
    </w:p>
    <w:p w:rsidRPr="00B0204F" w:rsidR="00C60B22" w:rsidP="00C60B22" w:rsidRDefault="00C60B22" w14:paraId="715FC64E" w14:textId="77777777">
      <w:pPr>
        <w:widowControl w:val="0"/>
        <w:autoSpaceDE w:val="0"/>
        <w:autoSpaceDN w:val="0"/>
        <w:spacing w:after="0" w:line="276" w:lineRule="auto"/>
        <w:contextualSpacing/>
        <w:rPr>
          <w:rFonts w:ascii="Arial" w:hAnsi="Arial" w:eastAsia="Arial" w:cs="Arial"/>
          <w:lang w:val="es-ES" w:eastAsia="es-ES" w:bidi="es-ES"/>
        </w:rPr>
      </w:pPr>
    </w:p>
    <w:p w:rsidRPr="00B0204F" w:rsidR="00C60B22" w:rsidP="00C60B22" w:rsidRDefault="00C60B22" w14:paraId="02479CE5" w14:textId="77777777">
      <w:pPr>
        <w:spacing w:after="120" w:line="276" w:lineRule="auto"/>
        <w:ind w:firstLine="709"/>
        <w:jc w:val="both"/>
        <w:rPr>
          <w:rFonts w:ascii="Arial" w:hAnsi="Arial" w:eastAsia="Arial" w:cs="Arial"/>
          <w:lang w:val="es-ES" w:eastAsia="es-ES" w:bidi="es-ES"/>
        </w:rPr>
      </w:pPr>
      <w:r w:rsidRPr="00B0204F">
        <w:rPr>
          <w:rFonts w:ascii="Arial" w:hAnsi="Arial" w:eastAsia="Arial" w:cs="Arial"/>
          <w:lang w:val="es-ES" w:eastAsia="es-ES" w:bidi="es-ES"/>
        </w:rPr>
        <w:t xml:space="preserve">De conformidad con lo anterior, </w:t>
      </w:r>
      <w:bookmarkStart w:name="_Hlk77236420" w:id="15"/>
      <w:bookmarkStart w:name="_Hlk78818435" w:id="16"/>
      <w:bookmarkStart w:name="_Hlk75780333" w:id="17"/>
      <w:r w:rsidRPr="00B0204F">
        <w:rPr>
          <w:rFonts w:ascii="Arial" w:hAnsi="Arial" w:eastAsia="Arial" w:cs="Arial"/>
          <w:lang w:val="es-ES" w:eastAsia="es-ES" w:bidi="es-ES"/>
        </w:rPr>
        <w:t xml:space="preserve">la Ley 996 de 2005 establece dos (2) tipos de restricciones en materia de contratación, las cuales coinciden parcialmente. </w:t>
      </w:r>
      <w:r w:rsidRPr="00B0204F">
        <w:rPr>
          <w:rFonts w:ascii="Arial" w:hAnsi="Arial" w:eastAsia="Arial" w:cs="Arial"/>
          <w:i/>
          <w:lang w:val="es-ES" w:eastAsia="es-ES" w:bidi="es-ES"/>
        </w:rPr>
        <w:t>En primer lugar</w:t>
      </w:r>
      <w:r w:rsidRPr="00B0204F">
        <w:rPr>
          <w:rFonts w:ascii="Arial" w:hAnsi="Arial" w:eastAsia="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B0204F">
        <w:rPr>
          <w:rFonts w:ascii="Arial" w:hAnsi="Arial" w:eastAsia="Arial" w:cs="Arial"/>
          <w:i/>
          <w:lang w:val="es-ES" w:eastAsia="es-ES" w:bidi="es-ES"/>
        </w:rPr>
        <w:t>En segundo lugar</w:t>
      </w:r>
      <w:r w:rsidRPr="00B0204F">
        <w:rPr>
          <w:rFonts w:ascii="Arial" w:hAnsi="Arial" w:eastAsia="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5"/>
    </w:p>
    <w:bookmarkEnd w:id="16"/>
    <w:p w:rsidRPr="00B0204F" w:rsidR="00C60B22" w:rsidP="00C60B22" w:rsidRDefault="00C60B22" w14:paraId="105AA8BA" w14:textId="77777777">
      <w:pPr>
        <w:spacing w:after="120" w:line="276" w:lineRule="auto"/>
        <w:ind w:firstLine="709"/>
        <w:jc w:val="both"/>
        <w:rPr>
          <w:rFonts w:ascii="Arial" w:hAnsi="Arial" w:eastAsia="Arial" w:cs="Arial"/>
          <w:lang w:val="es-ES" w:eastAsia="es-ES" w:bidi="es-ES"/>
        </w:rPr>
      </w:pPr>
      <w:r w:rsidRPr="00B0204F">
        <w:rPr>
          <w:rFonts w:ascii="Arial" w:hAnsi="Arial" w:eastAsia="Arial"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7"/>
    <w:p w:rsidRPr="00B0204F" w:rsidR="00C60B22" w:rsidP="00C60B22" w:rsidRDefault="00C60B22" w14:paraId="0107AF82" w14:textId="77777777">
      <w:pPr>
        <w:spacing w:after="0" w:line="276" w:lineRule="auto"/>
        <w:ind w:firstLine="708"/>
        <w:jc w:val="both"/>
        <w:rPr>
          <w:rFonts w:ascii="Arial" w:hAnsi="Arial" w:eastAsia="Arial" w:cs="Arial"/>
          <w:lang w:val="es-ES" w:eastAsia="es-ES" w:bidi="es-ES"/>
        </w:rPr>
      </w:pPr>
      <w:r w:rsidRPr="00B0204F">
        <w:rPr>
          <w:rFonts w:ascii="Arial" w:hAnsi="Arial" w:eastAsia="Arial"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B0204F" w:rsidR="00C60B22" w:rsidP="00C60B22" w:rsidRDefault="00C60B22" w14:paraId="1EE4C0BB" w14:textId="77777777">
      <w:pPr>
        <w:spacing w:after="0" w:line="276" w:lineRule="auto"/>
        <w:contextualSpacing/>
        <w:jc w:val="both"/>
        <w:rPr>
          <w:rFonts w:ascii="Arial" w:hAnsi="Arial" w:eastAsia="Times New Roman" w:cs="Arial"/>
          <w:lang w:val="es-ES" w:eastAsia="es-CO"/>
        </w:rPr>
      </w:pPr>
    </w:p>
    <w:p w:rsidRPr="00B0204F" w:rsidR="00C60B22" w:rsidP="00C60B22" w:rsidRDefault="00C60B22" w14:paraId="48C289BF" w14:textId="77777777">
      <w:pPr>
        <w:spacing w:after="0" w:line="276" w:lineRule="auto"/>
        <w:contextualSpacing/>
        <w:jc w:val="both"/>
        <w:rPr>
          <w:rFonts w:ascii="Arial" w:hAnsi="Arial" w:eastAsia="Times New Roman" w:cs="Arial"/>
          <w:b/>
          <w:lang w:val="es-ES" w:eastAsia="es-CO"/>
        </w:rPr>
      </w:pPr>
      <w:r w:rsidRPr="00B0204F">
        <w:rPr>
          <w:rFonts w:ascii="Arial" w:hAnsi="Arial" w:eastAsia="Times New Roman" w:cs="Arial"/>
          <w:b/>
          <w:lang w:val="es-ES" w:eastAsia="es-CO"/>
        </w:rPr>
        <w:t xml:space="preserve">2.2. </w:t>
      </w:r>
      <w:r w:rsidRPr="00B0204F">
        <w:rPr>
          <w:rFonts w:ascii="Arial" w:hAnsi="Arial" w:eastAsia="Times New Roman" w:cs="Arial"/>
          <w:b/>
          <w:lang w:val="es-MX" w:eastAsia="es-CO"/>
        </w:rPr>
        <w:t>Restricciones en elecciones presidenciales: prohibición del artículo 33 de la Ley 996 de 2005</w:t>
      </w:r>
    </w:p>
    <w:p w:rsidRPr="00B0204F" w:rsidR="00C60B22" w:rsidP="00C60B22" w:rsidRDefault="00C60B22" w14:paraId="6A2B321F" w14:textId="77777777">
      <w:pPr>
        <w:spacing w:after="0" w:line="276" w:lineRule="auto"/>
        <w:contextualSpacing/>
        <w:jc w:val="both"/>
        <w:rPr>
          <w:rFonts w:ascii="Arial" w:hAnsi="Arial" w:eastAsia="Times New Roman" w:cs="Arial"/>
          <w:lang w:val="es-MX" w:eastAsia="x-none"/>
        </w:rPr>
      </w:pPr>
    </w:p>
    <w:p w:rsidRPr="00B0204F" w:rsidR="00C60B22" w:rsidP="00C60B22" w:rsidRDefault="00C60B22" w14:paraId="162ECD98" w14:textId="77777777">
      <w:pPr>
        <w:spacing w:after="0" w:line="276" w:lineRule="auto"/>
        <w:contextualSpacing/>
        <w:jc w:val="both"/>
        <w:rPr>
          <w:rFonts w:ascii="Arial" w:hAnsi="Arial" w:eastAsia="Times New Roman" w:cs="Arial"/>
          <w:lang w:val="es-MX" w:eastAsia="es-CO"/>
        </w:rPr>
      </w:pPr>
      <w:r w:rsidRPr="00B0204F">
        <w:rPr>
          <w:rFonts w:ascii="Arial" w:hAnsi="Arial" w:eastAsia="Times New Roman" w:cs="Arial"/>
          <w:lang w:val="es-MX" w:eastAsia="x-none"/>
        </w:rPr>
        <w:t xml:space="preserve">El ámbito material de la prohibición contenida </w:t>
      </w:r>
      <w:bookmarkStart w:name="_Hlk75628761" w:id="18"/>
      <w:r w:rsidRPr="00B0204F">
        <w:rPr>
          <w:rFonts w:ascii="Arial" w:hAnsi="Arial" w:eastAsia="Times New Roman" w:cs="Arial"/>
          <w:lang w:val="es-MX" w:eastAsia="x-none"/>
        </w:rPr>
        <w:t xml:space="preserve">en el artículo 33 de la Ley 996 de 2005 </w:t>
      </w:r>
      <w:bookmarkEnd w:id="18"/>
      <w:r w:rsidRPr="00B0204F">
        <w:rPr>
          <w:rFonts w:ascii="Arial" w:hAnsi="Arial" w:eastAsia="Times New Roman" w:cs="Arial"/>
          <w:lang w:val="es-MX" w:eastAsia="x-none"/>
        </w:rPr>
        <w:t xml:space="preserve">está delimitado por la expresión </w:t>
      </w:r>
      <w:r w:rsidRPr="00B0204F">
        <w:rPr>
          <w:rFonts w:ascii="Arial" w:hAnsi="Arial" w:eastAsia="Calibri" w:cs="Arial"/>
          <w:sz w:val="20"/>
          <w:szCs w:val="20"/>
          <w:lang w:val="es-MX"/>
        </w:rPr>
        <w:t>“</w:t>
      </w:r>
      <w:r w:rsidRPr="00B0204F">
        <w:rPr>
          <w:rFonts w:ascii="Arial" w:hAnsi="Arial" w:eastAsia="Times New Roman" w:cs="Arial"/>
          <w:lang w:val="es-MX" w:eastAsia="x-none"/>
        </w:rPr>
        <w:t>queda prohibida la contratación directa</w:t>
      </w:r>
      <w:r w:rsidRPr="00B0204F">
        <w:rPr>
          <w:rFonts w:ascii="Arial" w:hAnsi="Arial" w:eastAsia="Calibri" w:cs="Arial"/>
          <w:sz w:val="20"/>
          <w:szCs w:val="20"/>
          <w:lang w:val="es-MX"/>
        </w:rPr>
        <w:t>”</w:t>
      </w:r>
      <w:r w:rsidRPr="00B0204F">
        <w:rPr>
          <w:rFonts w:ascii="Arial" w:hAnsi="Arial" w:eastAsia="Times New Roman" w:cs="Arial"/>
          <w:lang w:val="es-MX" w:eastAsia="x-none"/>
        </w:rPr>
        <w:t>.</w:t>
      </w:r>
      <w:r w:rsidRPr="00B0204F">
        <w:rPr>
          <w:rFonts w:ascii="Arial" w:hAnsi="Arial" w:eastAsia="Times New Roman" w:cs="Arial"/>
          <w:lang w:val="es-MX" w:eastAsia="es-CO"/>
        </w:rPr>
        <w:t xml:space="preserve"> A propósito de </w:t>
      </w:r>
      <w:r w:rsidRPr="00B0204F">
        <w:rPr>
          <w:rFonts w:ascii="Arial" w:hAnsi="Arial" w:eastAsia="Times New Roman" w:cs="Arial"/>
          <w:lang w:eastAsia="es-CO"/>
        </w:rPr>
        <w:t>esta restricción de la Ley de Garantías Electorales, la Sala de Consulta y Servicio Civil del Consejo de Estado ha considerado que:</w:t>
      </w:r>
    </w:p>
    <w:p w:rsidRPr="00B0204F" w:rsidR="00C60B22" w:rsidP="00C60B22" w:rsidRDefault="00C60B22" w14:paraId="1C91FD23" w14:textId="77777777">
      <w:pPr>
        <w:spacing w:after="0" w:line="276" w:lineRule="auto"/>
        <w:ind w:left="708" w:right="709"/>
        <w:contextualSpacing/>
        <w:jc w:val="both"/>
        <w:rPr>
          <w:rFonts w:ascii="Arial" w:hAnsi="Arial" w:eastAsia="Calibri" w:cs="Arial"/>
          <w:sz w:val="21"/>
          <w:szCs w:val="21"/>
          <w:lang w:val="es-MX"/>
        </w:rPr>
      </w:pPr>
    </w:p>
    <w:p w:rsidRPr="00B0204F" w:rsidR="00C60B22" w:rsidP="00C60B22" w:rsidRDefault="00C60B22" w14:paraId="27A8F50B" w14:textId="77777777">
      <w:pPr>
        <w:spacing w:after="0" w:line="240" w:lineRule="auto"/>
        <w:ind w:left="709" w:right="709"/>
        <w:contextualSpacing/>
        <w:jc w:val="both"/>
        <w:rPr>
          <w:rFonts w:ascii="Arial" w:hAnsi="Arial" w:eastAsia="Calibri" w:cs="Arial"/>
          <w:sz w:val="21"/>
          <w:szCs w:val="21"/>
          <w:lang w:val="es-MX"/>
        </w:rPr>
      </w:pPr>
      <w:r w:rsidRPr="00B0204F">
        <w:rPr>
          <w:rFonts w:ascii="Arial" w:hAnsi="Arial" w:eastAsia="Calibri"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B0204F">
        <w:rPr>
          <w:rFonts w:ascii="Arial" w:hAnsi="Arial" w:eastAsia="Times New Roman" w:cs="Arial"/>
          <w:vertAlign w:val="superscript"/>
          <w:lang w:eastAsia="es-CO"/>
        </w:rPr>
        <w:footnoteReference w:id="12"/>
      </w:r>
      <w:r w:rsidRPr="00B0204F">
        <w:rPr>
          <w:rFonts w:ascii="Arial" w:hAnsi="Arial" w:eastAsia="Calibri" w:cs="Arial"/>
          <w:sz w:val="21"/>
          <w:szCs w:val="21"/>
          <w:lang w:val="es-MX"/>
        </w:rPr>
        <w:t>.</w:t>
      </w:r>
    </w:p>
    <w:p w:rsidRPr="00B0204F" w:rsidR="00C60B22" w:rsidP="00C60B22" w:rsidRDefault="00C60B22" w14:paraId="17CD6BDC" w14:textId="77777777">
      <w:pPr>
        <w:spacing w:after="0" w:line="240" w:lineRule="auto"/>
        <w:ind w:left="709" w:right="709"/>
        <w:contextualSpacing/>
        <w:jc w:val="both"/>
        <w:rPr>
          <w:rFonts w:ascii="Arial" w:hAnsi="Arial" w:eastAsia="Calibri" w:cs="Arial"/>
          <w:sz w:val="12"/>
          <w:szCs w:val="12"/>
          <w:lang w:val="es-MX"/>
        </w:rPr>
      </w:pPr>
    </w:p>
    <w:p w:rsidRPr="00B0204F" w:rsidR="00C60B22" w:rsidP="00C60B22" w:rsidRDefault="00C60B22" w14:paraId="3EAF87A0" w14:textId="77777777">
      <w:pPr>
        <w:spacing w:after="0" w:line="240" w:lineRule="auto"/>
        <w:ind w:left="708" w:right="709"/>
        <w:contextualSpacing/>
        <w:jc w:val="both"/>
        <w:rPr>
          <w:rFonts w:ascii="Arial" w:hAnsi="Arial" w:eastAsia="Calibri" w:cs="Arial"/>
          <w:sz w:val="21"/>
          <w:szCs w:val="21"/>
          <w:lang w:val="es-MX"/>
        </w:rPr>
      </w:pPr>
      <w:r w:rsidRPr="00B0204F">
        <w:rPr>
          <w:rFonts w:ascii="Arial" w:hAnsi="Arial" w:eastAsia="Calibri" w:cs="Arial"/>
          <w:sz w:val="21"/>
          <w:szCs w:val="21"/>
          <w:lang w:val="es-MX"/>
        </w:rPr>
        <w:t xml:space="preserve">Esta Sala ha entendido </w:t>
      </w:r>
      <w:proofErr w:type="gramStart"/>
      <w:r w:rsidRPr="00B0204F">
        <w:rPr>
          <w:rFonts w:ascii="Arial" w:hAnsi="Arial" w:eastAsia="Calibri" w:cs="Arial"/>
          <w:sz w:val="21"/>
          <w:szCs w:val="21"/>
          <w:lang w:val="es-MX"/>
        </w:rPr>
        <w:t>que</w:t>
      </w:r>
      <w:proofErr w:type="gramEnd"/>
      <w:r w:rsidRPr="00B0204F">
        <w:rPr>
          <w:rFonts w:ascii="Arial" w:hAnsi="Arial" w:eastAsia="Calibri" w:cs="Arial"/>
          <w:sz w:val="21"/>
          <w:szCs w:val="21"/>
          <w:lang w:val="es-MX"/>
        </w:rPr>
        <w:t xml:space="preserve"> para los efectos de la ley de garantías, y dada su finalidad, el enunciado ´contratación directa´ es sinónimo </w:t>
      </w:r>
      <w:bookmarkStart w:name="_Hlk75741738" w:id="19"/>
      <w:r w:rsidRPr="00B0204F">
        <w:rPr>
          <w:rFonts w:ascii="Arial" w:hAnsi="Arial" w:eastAsia="Calibri" w:cs="Arial"/>
          <w:sz w:val="21"/>
          <w:szCs w:val="21"/>
          <w:lang w:val="es-MX"/>
        </w:rPr>
        <w:t xml:space="preserve">de cualquier sistema que no implique convocatoria pública y posibilidad de pluralidad de oferentes, </w:t>
      </w:r>
      <w:bookmarkEnd w:id="19"/>
      <w:r w:rsidRPr="00B0204F">
        <w:rPr>
          <w:rFonts w:ascii="Arial" w:hAnsi="Arial" w:eastAsia="Calibri" w:cs="Arial"/>
          <w:sz w:val="21"/>
          <w:szCs w:val="21"/>
          <w:lang w:val="es-MX"/>
        </w:rPr>
        <w:t xml:space="preserve">y que, además, no necesariamente hace referencia al procedimiento especial regulado por la ley de contratación estatal, sino a cualquier otro que prescinda </w:t>
      </w:r>
      <w:r w:rsidRPr="00B0204F">
        <w:rPr>
          <w:rFonts w:ascii="Arial" w:hAnsi="Arial" w:eastAsia="Calibri" w:cs="Arial"/>
          <w:sz w:val="21"/>
          <w:szCs w:val="21"/>
          <w:lang w:val="es-MX"/>
        </w:rPr>
        <w:t>de un proceso de licitación pública o concurso</w:t>
      </w:r>
      <w:r w:rsidRPr="00B0204F">
        <w:rPr>
          <w:rFonts w:ascii="Arial" w:hAnsi="Arial" w:eastAsia="Times New Roman" w:cs="Arial"/>
          <w:sz w:val="21"/>
          <w:szCs w:val="21"/>
          <w:vertAlign w:val="superscript"/>
          <w:lang w:val="es-MX"/>
        </w:rPr>
        <w:footnoteReference w:id="13"/>
      </w:r>
      <w:r w:rsidRPr="00B0204F">
        <w:rPr>
          <w:rFonts w:ascii="Arial" w:hAnsi="Arial" w:eastAsia="Times New Roman" w:cs="Arial"/>
          <w:sz w:val="21"/>
          <w:szCs w:val="21"/>
          <w:vertAlign w:val="superscript"/>
          <w:lang w:val="es-MX"/>
        </w:rPr>
        <w:t>.</w:t>
      </w:r>
      <w:r w:rsidRPr="00B0204F">
        <w:rPr>
          <w:rFonts w:ascii="Arial" w:hAnsi="Arial" w:eastAsia="Calibri"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0204F">
        <w:rPr>
          <w:rFonts w:ascii="Arial" w:hAnsi="Arial" w:eastAsia="Times New Roman" w:cs="Arial"/>
          <w:vertAlign w:val="superscript"/>
          <w:lang w:eastAsia="es-CO"/>
        </w:rPr>
        <w:footnoteReference w:id="14"/>
      </w:r>
      <w:r w:rsidRPr="00B0204F">
        <w:rPr>
          <w:rFonts w:ascii="Arial" w:hAnsi="Arial" w:eastAsia="Calibri" w:cs="Arial"/>
          <w:sz w:val="21"/>
          <w:szCs w:val="21"/>
          <w:lang w:val="es-MX"/>
        </w:rPr>
        <w:t xml:space="preserve"> .</w:t>
      </w:r>
    </w:p>
    <w:p w:rsidRPr="00B0204F" w:rsidR="00C60B22" w:rsidP="00C60B22" w:rsidRDefault="00C60B22" w14:paraId="6EF2E182" w14:textId="77777777">
      <w:pPr>
        <w:shd w:val="clear" w:color="auto" w:fill="FFFFFF"/>
        <w:spacing w:after="0" w:line="276" w:lineRule="auto"/>
        <w:ind w:firstLine="709"/>
        <w:contextualSpacing/>
        <w:jc w:val="both"/>
        <w:rPr>
          <w:rFonts w:ascii="Arial" w:hAnsi="Arial" w:eastAsia="Times New Roman" w:cs="Arial"/>
          <w:lang w:eastAsia="x-none"/>
        </w:rPr>
      </w:pPr>
    </w:p>
    <w:p w:rsidRPr="00B0204F" w:rsidR="00C60B22" w:rsidP="00C60B22" w:rsidRDefault="00C60B22" w14:paraId="76C23701" w14:textId="77777777">
      <w:pPr>
        <w:spacing w:after="120" w:line="276" w:lineRule="auto"/>
        <w:ind w:firstLine="709"/>
        <w:jc w:val="both"/>
        <w:rPr>
          <w:rFonts w:ascii="Arial" w:hAnsi="Arial" w:eastAsia="Times New Roman" w:cs="Arial"/>
          <w:lang w:eastAsia="x-none"/>
        </w:rPr>
      </w:pPr>
      <w:bookmarkStart w:name="_Hlk94521748" w:id="21"/>
      <w:r w:rsidRPr="00B0204F">
        <w:rPr>
          <w:rFonts w:ascii="Arial" w:hAnsi="Arial" w:eastAsia="Times New Roman" w:cs="Arial"/>
          <w:lang w:eastAsia="x-none"/>
        </w:rPr>
        <w:t xml:space="preserve">De conformidad con el citado concepto, </w:t>
      </w:r>
      <w:bookmarkStart w:name="_Hlk78818702" w:id="22"/>
      <w:r w:rsidRPr="00B0204F">
        <w:rPr>
          <w:rFonts w:ascii="Arial" w:hAnsi="Arial" w:eastAsia="Times New Roman" w:cs="Arial"/>
          <w:lang w:eastAsia="x-none"/>
        </w:rPr>
        <w:t xml:space="preserve">la prohibición del artículo 33 de la Ley de Garantías Electorales se refiere a </w:t>
      </w:r>
      <w:r w:rsidRPr="00B0204F">
        <w:rPr>
          <w:rFonts w:ascii="Arial" w:hAnsi="Arial" w:eastAsia="Times New Roman" w:cs="Arial"/>
          <w:sz w:val="19"/>
          <w:szCs w:val="19"/>
          <w:lang w:eastAsia="en-GB"/>
        </w:rPr>
        <w:t>“</w:t>
      </w:r>
      <w:r w:rsidRPr="00B0204F">
        <w:rPr>
          <w:rFonts w:ascii="Arial" w:hAnsi="Arial" w:eastAsia="Times New Roman" w:cs="Arial"/>
          <w:lang w:eastAsia="x-none"/>
        </w:rPr>
        <w:t>cualquier sistema que no implique convocatoria pública y posibilidad de pluralidad de oferentes</w:t>
      </w:r>
      <w:r w:rsidRPr="00B0204F">
        <w:rPr>
          <w:rFonts w:ascii="Arial" w:hAnsi="Arial" w:eastAsia="Times New Roman" w:cs="Arial"/>
          <w:lang w:eastAsia="en-GB"/>
        </w:rPr>
        <w:t>”</w:t>
      </w:r>
      <w:r w:rsidRPr="00B0204F">
        <w:rPr>
          <w:rFonts w:ascii="Arial" w:hAnsi="Arial" w:eastAsia="Times New Roman"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1"/>
      <w:bookmarkEnd w:id="22"/>
      <w:r w:rsidRPr="00B0204F">
        <w:rPr>
          <w:rFonts w:ascii="Arial" w:hAnsi="Arial" w:eastAsia="Times New Roman" w:cs="Arial"/>
          <w:lang w:eastAsia="x-none"/>
        </w:rPr>
        <w:t>Esta posición es congruente con la expedición de la Ley 1150 de 2007 que, entre otras reformas, introdujo la selección abreviada, rediseñó el concurso de méritos</w:t>
      </w:r>
      <w:r w:rsidRPr="00B0204F">
        <w:rPr>
          <w:rFonts w:ascii="Arial" w:hAnsi="Arial" w:eastAsia="Times New Roman" w:cs="Arial"/>
          <w:vertAlign w:val="superscript"/>
          <w:lang w:val="en-GB" w:eastAsia="x-none"/>
        </w:rPr>
        <w:footnoteReference w:id="15"/>
      </w:r>
      <w:r w:rsidRPr="00B0204F">
        <w:rPr>
          <w:rFonts w:ascii="Arial" w:hAnsi="Arial" w:eastAsia="Times New Roman" w:cs="Arial"/>
          <w:lang w:eastAsia="x-none"/>
        </w:rPr>
        <w:t xml:space="preserve"> y sistematizó las causales de contratación directa</w:t>
      </w:r>
      <w:r w:rsidRPr="00B0204F">
        <w:rPr>
          <w:rFonts w:ascii="Arial" w:hAnsi="Arial" w:eastAsia="Times New Roman" w:cs="Arial"/>
          <w:vertAlign w:val="superscript"/>
          <w:lang w:val="en-GB" w:eastAsia="x-none"/>
        </w:rPr>
        <w:footnoteReference w:id="16"/>
      </w:r>
      <w:r w:rsidRPr="00B0204F">
        <w:rPr>
          <w:rFonts w:ascii="Arial" w:hAnsi="Arial" w:eastAsia="Times New Roman" w:cs="Arial"/>
          <w:lang w:eastAsia="x-none"/>
        </w:rPr>
        <w:t xml:space="preserve">. </w:t>
      </w:r>
    </w:p>
    <w:p w:rsidRPr="00B0204F" w:rsidR="00C60B22" w:rsidP="00C60B22" w:rsidRDefault="00C60B22" w14:paraId="13C50818" w14:textId="77777777">
      <w:pPr>
        <w:spacing w:after="120" w:line="276" w:lineRule="auto"/>
        <w:ind w:firstLine="709"/>
        <w:jc w:val="both"/>
        <w:rPr>
          <w:rFonts w:ascii="Arial" w:hAnsi="Arial" w:eastAsia="Times New Roman" w:cs="Arial"/>
          <w:lang w:val="es-MX" w:eastAsia="x-none"/>
        </w:rPr>
      </w:pPr>
      <w:r w:rsidRPr="00B0204F">
        <w:rPr>
          <w:rFonts w:ascii="Arial" w:hAnsi="Arial" w:eastAsia="Times New Roman" w:cs="Arial"/>
          <w:lang w:eastAsia="x-none"/>
        </w:rPr>
        <w:t xml:space="preserve">De esta forma, se ha depurado la noción de </w:t>
      </w:r>
      <w:r w:rsidRPr="00B0204F">
        <w:rPr>
          <w:rFonts w:ascii="Arial" w:hAnsi="Arial" w:eastAsia="Times New Roman" w:cs="Arial"/>
          <w:sz w:val="19"/>
          <w:szCs w:val="19"/>
          <w:lang w:eastAsia="en-GB"/>
        </w:rPr>
        <w:t>“</w:t>
      </w:r>
      <w:r w:rsidRPr="00B0204F">
        <w:rPr>
          <w:rFonts w:ascii="Arial" w:hAnsi="Arial" w:eastAsia="Times New Roman" w:cs="Arial"/>
          <w:lang w:eastAsia="x-none"/>
        </w:rPr>
        <w:t>contratación directa</w:t>
      </w:r>
      <w:r w:rsidRPr="00B0204F">
        <w:rPr>
          <w:rFonts w:ascii="Arial" w:hAnsi="Arial" w:eastAsia="Times New Roman" w:cs="Arial"/>
          <w:lang w:eastAsia="en-GB"/>
        </w:rPr>
        <w:t>”</w:t>
      </w:r>
      <w:r w:rsidRPr="00B0204F">
        <w:rPr>
          <w:rFonts w:ascii="Arial" w:hAnsi="Arial" w:eastAsia="Times New Roman"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B0204F">
        <w:rPr>
          <w:rFonts w:ascii="Arial" w:hAnsi="Arial" w:eastAsia="Times New Roman" w:cs="Arial"/>
          <w:vertAlign w:val="superscript"/>
          <w:lang w:val="en-GB" w:eastAsia="x-none"/>
        </w:rPr>
        <w:footnoteReference w:id="17"/>
      </w:r>
      <w:r w:rsidRPr="00B0204F">
        <w:rPr>
          <w:rFonts w:ascii="Arial" w:hAnsi="Arial" w:eastAsia="Times New Roman" w:cs="Arial"/>
          <w:lang w:eastAsia="x-none"/>
        </w:rPr>
        <w:t>, han establecido sistemas de contratación que implican convocatoria pública y participación de varios oferentes</w:t>
      </w:r>
      <w:r w:rsidRPr="00B0204F">
        <w:rPr>
          <w:rFonts w:ascii="Arial" w:hAnsi="Arial" w:eastAsia="Times New Roman" w:cs="Arial"/>
          <w:lang w:eastAsia="en-GB"/>
        </w:rPr>
        <w:t>”</w:t>
      </w:r>
      <w:r w:rsidRPr="00B0204F">
        <w:rPr>
          <w:rFonts w:ascii="Arial" w:hAnsi="Arial" w:eastAsia="Times New Roman" w:cs="Arial"/>
          <w:lang w:eastAsia="x-none"/>
        </w:rPr>
        <w:t xml:space="preserve">. </w:t>
      </w:r>
    </w:p>
    <w:p w:rsidRPr="00B0204F" w:rsidR="00C60B22" w:rsidP="00C60B22" w:rsidRDefault="00C60B22" w14:paraId="08D43566" w14:textId="77777777">
      <w:pPr>
        <w:spacing w:after="120" w:line="276" w:lineRule="auto"/>
        <w:ind w:firstLine="709"/>
        <w:jc w:val="both"/>
        <w:rPr>
          <w:rFonts w:ascii="Arial" w:hAnsi="Arial" w:eastAsia="Times New Roman" w:cs="Arial"/>
          <w:lang w:val="es-MX" w:eastAsia="es-CO"/>
        </w:rPr>
      </w:pPr>
      <w:r w:rsidRPr="00B0204F">
        <w:rPr>
          <w:rFonts w:ascii="Arial" w:hAnsi="Arial" w:eastAsia="Times New Roman" w:cs="Arial"/>
          <w:lang w:val="es-MX" w:eastAsia="x-none"/>
        </w:rPr>
        <w:t>E</w:t>
      </w:r>
      <w:r w:rsidRPr="00B0204F">
        <w:rPr>
          <w:rFonts w:ascii="Arial" w:hAnsi="Arial" w:eastAsia="Times New Roman" w:cs="Arial"/>
          <w:lang w:eastAsia="x-none"/>
        </w:rPr>
        <w:t xml:space="preserve">n efecto, vale la pena mencionar que, </w:t>
      </w:r>
      <w:bookmarkStart w:name="_Hlk75636073" w:id="23"/>
      <w:r w:rsidRPr="00B0204F">
        <w:rPr>
          <w:rFonts w:ascii="Arial" w:hAnsi="Arial" w:eastAsia="Times New Roman"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3"/>
      <w:r w:rsidRPr="00B0204F">
        <w:rPr>
          <w:rFonts w:ascii="Arial" w:hAnsi="Arial" w:eastAsia="Times New Roman" w:cs="Arial"/>
          <w:vertAlign w:val="superscript"/>
          <w:lang w:eastAsia="x-none"/>
        </w:rPr>
        <w:footnoteReference w:id="18"/>
      </w:r>
      <w:r w:rsidRPr="00B0204F">
        <w:rPr>
          <w:rFonts w:ascii="Arial" w:hAnsi="Arial" w:eastAsia="Times New Roman" w:cs="Arial"/>
          <w:lang w:eastAsia="x-none"/>
        </w:rPr>
        <w:t xml:space="preserve">. </w:t>
      </w:r>
    </w:p>
    <w:p w:rsidRPr="00B0204F" w:rsidR="00C60B22" w:rsidP="00C60B22" w:rsidRDefault="00C60B22" w14:paraId="501131C4" w14:textId="77777777">
      <w:pPr>
        <w:spacing w:after="120" w:line="276" w:lineRule="auto"/>
        <w:ind w:firstLine="709"/>
        <w:jc w:val="both"/>
        <w:rPr>
          <w:rFonts w:ascii="Arial" w:hAnsi="Arial" w:eastAsia="Times New Roman" w:cs="Arial"/>
          <w:lang w:val="es-MX" w:eastAsia="es-CO"/>
        </w:rPr>
      </w:pPr>
      <w:r w:rsidRPr="00B0204F">
        <w:rPr>
          <w:rFonts w:ascii="Arial" w:hAnsi="Arial" w:eastAsia="Times New Roman"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B0204F" w:rsidR="00C60B22" w:rsidP="00C60B22" w:rsidRDefault="00C60B22" w14:paraId="3EAF1062" w14:textId="77777777">
      <w:pPr>
        <w:spacing w:after="120" w:line="276" w:lineRule="auto"/>
        <w:ind w:firstLine="709"/>
        <w:jc w:val="both"/>
        <w:rPr>
          <w:rFonts w:ascii="Arial" w:hAnsi="Arial" w:eastAsia="Times New Roman" w:cs="Arial"/>
          <w:lang w:val="es-MX" w:eastAsia="x-none"/>
        </w:rPr>
      </w:pPr>
      <w:bookmarkStart w:name="_Hlk78818796" w:id="24"/>
      <w:r w:rsidRPr="00B0204F">
        <w:rPr>
          <w:rFonts w:ascii="Arial" w:hAnsi="Arial" w:eastAsia="Times New Roman" w:cs="Arial"/>
          <w:lang w:val="es-MX" w:eastAsia="x-none"/>
        </w:rPr>
        <w:t xml:space="preserve"> Así las cosas, </w:t>
      </w:r>
      <w:bookmarkStart w:name="_Hlk99577798" w:id="25"/>
      <w:r w:rsidRPr="00B0204F">
        <w:rPr>
          <w:rFonts w:ascii="Arial" w:hAnsi="Arial" w:eastAsia="Times New Roman"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B0204F">
        <w:rPr>
          <w:rFonts w:ascii="Arial" w:hAnsi="Arial" w:eastAsia="Times New Roman" w:cs="Arial"/>
          <w:vertAlign w:val="superscript"/>
          <w:lang w:eastAsia="x-none"/>
        </w:rPr>
        <w:footnoteReference w:id="19"/>
      </w:r>
      <w:r w:rsidRPr="00B0204F">
        <w:rPr>
          <w:rFonts w:ascii="Arial" w:hAnsi="Arial" w:eastAsia="Times New Roman" w:cs="Arial"/>
          <w:lang w:val="es-MX" w:eastAsia="x-none"/>
        </w:rPr>
        <w:t>.</w:t>
      </w:r>
      <w:r w:rsidRPr="00B0204F">
        <w:rPr>
          <w:rFonts w:ascii="Arial" w:hAnsi="Arial" w:eastAsia="Times New Roman" w:cs="Arial"/>
          <w:vertAlign w:val="superscript"/>
          <w:lang w:eastAsia="x-none"/>
        </w:rPr>
        <w:t xml:space="preserve"> </w:t>
      </w:r>
    </w:p>
    <w:bookmarkEnd w:id="24"/>
    <w:p w:rsidRPr="00B0204F" w:rsidR="00C60B22" w:rsidP="00C60B22" w:rsidRDefault="00C60B22" w14:paraId="5D1453D2" w14:textId="77777777">
      <w:pPr>
        <w:spacing w:after="120" w:line="276" w:lineRule="auto"/>
        <w:ind w:firstLine="709"/>
        <w:jc w:val="both"/>
        <w:rPr>
          <w:rFonts w:ascii="Arial" w:hAnsi="Arial" w:eastAsia="Times New Roman" w:cs="Arial"/>
          <w:lang w:eastAsia="x-none"/>
        </w:rPr>
      </w:pPr>
      <w:r w:rsidRPr="00B0204F">
        <w:rPr>
          <w:rFonts w:ascii="Arial" w:hAnsi="Arial" w:eastAsia="Times New Roman"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B0204F">
        <w:rPr>
          <w:rFonts w:ascii="Arial" w:hAnsi="Arial" w:eastAsia="Times New Roman"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rsidRPr="00B0204F" w:rsidR="00C60B22" w:rsidP="00C60B22" w:rsidRDefault="00C60B22" w14:paraId="6FE07F6B" w14:textId="77777777">
      <w:pPr>
        <w:spacing w:after="120" w:line="276" w:lineRule="auto"/>
        <w:ind w:firstLine="709"/>
        <w:jc w:val="both"/>
        <w:rPr>
          <w:rFonts w:ascii="Arial" w:hAnsi="Arial" w:eastAsia="Times New Roman" w:cs="Arial"/>
          <w:lang w:val="es-MX" w:eastAsia="x-none"/>
        </w:rPr>
      </w:pPr>
      <w:bookmarkStart w:name="_Hlk77237094" w:id="26"/>
      <w:bookmarkEnd w:id="25"/>
      <w:r w:rsidRPr="00B0204F">
        <w:rPr>
          <w:rFonts w:ascii="Arial" w:hAnsi="Arial" w:eastAsia="Times New Roman" w:cs="Arial"/>
          <w:lang w:val="es-MX" w:eastAsia="es-CO"/>
        </w:rPr>
        <w:t xml:space="preserve">Como en otras oportunidades lo ha manifestado esta Agencia, las prórrogas, modificaciones o adiciones de los contratos suscritos antes de la </w:t>
      </w:r>
      <w:proofErr w:type="gramStart"/>
      <w:r w:rsidRPr="00B0204F">
        <w:rPr>
          <w:rFonts w:ascii="Arial" w:hAnsi="Arial" w:eastAsia="Times New Roman" w:cs="Arial"/>
          <w:lang w:val="es-MX" w:eastAsia="es-CO"/>
        </w:rPr>
        <w:t>entrada en vigencia</w:t>
      </w:r>
      <w:proofErr w:type="gramEnd"/>
      <w:r w:rsidRPr="00B0204F">
        <w:rPr>
          <w:rFonts w:ascii="Arial" w:hAnsi="Arial" w:eastAsia="Times New Roman" w:cs="Arial"/>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26"/>
    </w:p>
    <w:p w:rsidRPr="00B0204F" w:rsidR="00C60B22" w:rsidP="00C60B22" w:rsidRDefault="00C60B22" w14:paraId="12852DCD" w14:textId="77777777">
      <w:pPr>
        <w:spacing w:after="120" w:line="276" w:lineRule="auto"/>
        <w:ind w:firstLine="709"/>
        <w:jc w:val="both"/>
        <w:rPr>
          <w:rFonts w:ascii="Arial" w:hAnsi="Arial" w:eastAsia="Times New Roman" w:cs="Arial"/>
          <w:lang w:val="es-MX" w:eastAsia="es-CO"/>
        </w:rPr>
      </w:pPr>
      <w:r w:rsidRPr="00B0204F">
        <w:rPr>
          <w:rFonts w:ascii="Arial" w:hAnsi="Arial" w:eastAsia="Times New Roman" w:cs="Arial"/>
          <w:lang w:val="es-MX" w:eastAsia="x-none"/>
        </w:rPr>
        <w:t xml:space="preserve">De otro lado, </w:t>
      </w:r>
      <w:bookmarkStart w:name="_Hlk99577887" w:id="27"/>
      <w:bookmarkStart w:name="_Hlk100679762" w:id="28"/>
      <w:r w:rsidRPr="00B0204F">
        <w:rPr>
          <w:rFonts w:ascii="Arial" w:hAnsi="Arial" w:eastAsia="Times New Roman"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B0204F">
        <w:rPr>
          <w:rFonts w:ascii="Arial" w:hAnsi="Arial" w:eastAsia="Times New Roman" w:cs="Arial"/>
          <w:lang w:val="es-MX" w:eastAsia="x-none"/>
        </w:rPr>
        <w:t>ii</w:t>
      </w:r>
      <w:proofErr w:type="spellEnd"/>
      <w:r w:rsidRPr="00B0204F">
        <w:rPr>
          <w:rFonts w:ascii="Arial" w:hAnsi="Arial" w:eastAsia="Times New Roman" w:cs="Arial"/>
          <w:lang w:val="es-MX" w:eastAsia="x-none"/>
        </w:rPr>
        <w:t xml:space="preserve">) los contratos de crédito público; </w:t>
      </w:r>
      <w:proofErr w:type="spellStart"/>
      <w:r w:rsidRPr="00B0204F">
        <w:rPr>
          <w:rFonts w:ascii="Arial" w:hAnsi="Arial" w:eastAsia="Times New Roman" w:cs="Arial"/>
          <w:lang w:val="es-MX" w:eastAsia="x-none"/>
        </w:rPr>
        <w:t>iii</w:t>
      </w:r>
      <w:proofErr w:type="spellEnd"/>
      <w:r w:rsidRPr="00B0204F">
        <w:rPr>
          <w:rFonts w:ascii="Arial" w:hAnsi="Arial" w:eastAsia="Times New Roman" w:cs="Arial"/>
          <w:lang w:val="es-MX" w:eastAsia="x-none"/>
        </w:rPr>
        <w:t xml:space="preserve">) los requeridos para cubrir las emergencias educativas, sanitarias y desastres; </w:t>
      </w:r>
      <w:proofErr w:type="spellStart"/>
      <w:r w:rsidRPr="00B0204F">
        <w:rPr>
          <w:rFonts w:ascii="Arial" w:hAnsi="Arial" w:eastAsia="Times New Roman" w:cs="Arial"/>
          <w:lang w:val="es-MX" w:eastAsia="x-none"/>
        </w:rPr>
        <w:t>iv</w:t>
      </w:r>
      <w:proofErr w:type="spellEnd"/>
      <w:r w:rsidRPr="00B0204F">
        <w:rPr>
          <w:rFonts w:ascii="Arial" w:hAnsi="Arial" w:eastAsia="Times New Roman"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0204F">
        <w:rPr>
          <w:rFonts w:ascii="Arial" w:hAnsi="Arial" w:eastAsia="Times New Roman" w:cs="Arial"/>
          <w:lang w:val="es-MX" w:eastAsia="es-CO"/>
        </w:rPr>
        <w:t xml:space="preserve"> Es responsabilidad del respectivo </w:t>
      </w:r>
      <w:r w:rsidRPr="00B0204F">
        <w:rPr>
          <w:rFonts w:ascii="Arial" w:hAnsi="Arial" w:eastAsia="Times New Roman" w:cs="Arial"/>
          <w:lang w:val="es-MX" w:eastAsia="es-CO"/>
        </w:rPr>
        <w:t>ente del Estado, examinar en cada caso la naturaleza de las actividades que adelanta y determinar si las mismas se enmarcan en alguna de las mencionadas excepciones, de manera que se le permita realizar la contratación que necesite en forma directa.</w:t>
      </w:r>
      <w:bookmarkEnd w:id="27"/>
    </w:p>
    <w:bookmarkEnd w:id="28"/>
    <w:p w:rsidRPr="00B0204F" w:rsidR="00C60B22" w:rsidP="00C60B22" w:rsidRDefault="00C60B22" w14:paraId="1A3AC3C1" w14:textId="77777777">
      <w:pPr>
        <w:spacing w:after="0" w:line="276" w:lineRule="auto"/>
        <w:ind w:firstLine="708"/>
        <w:jc w:val="both"/>
        <w:rPr>
          <w:rFonts w:ascii="Arial" w:hAnsi="Arial" w:eastAsia="Times New Roman" w:cs="Arial"/>
          <w:lang w:val="es-MX" w:eastAsia="x-none"/>
        </w:rPr>
      </w:pPr>
      <w:r w:rsidRPr="00B0204F">
        <w:rPr>
          <w:rFonts w:ascii="Arial" w:hAnsi="Arial" w:eastAsia="Times New Roman" w:cs="Arial"/>
          <w:lang w:val="es-MX" w:eastAsia="x-none"/>
        </w:rPr>
        <w:t>En esta labor es importante tener en cuenta, como lo anotó la Corte Constitucional, en Sentencia C-1153 de noviembre 11 de 2005</w:t>
      </w:r>
      <w:r w:rsidRPr="00B0204F">
        <w:rPr>
          <w:rFonts w:ascii="Arial" w:hAnsi="Arial" w:eastAsia="Calibri" w:cs="Arial"/>
          <w:sz w:val="24"/>
          <w:lang w:val="es-MX"/>
        </w:rPr>
        <w:t>,</w:t>
      </w:r>
      <w:r w:rsidRPr="00B0204F">
        <w:rPr>
          <w:rFonts w:ascii="Arial" w:hAnsi="Arial" w:eastAsia="Times New Roman" w:cs="Arial"/>
          <w:lang w:val="es-MX" w:eastAsia="x-none"/>
        </w:rPr>
        <w:t xml:space="preserve"> </w:t>
      </w:r>
      <w:bookmarkStart w:name="_Hlk74309042" w:id="29"/>
      <w:r w:rsidRPr="00B0204F">
        <w:rPr>
          <w:rFonts w:ascii="Arial" w:hAnsi="Arial" w:eastAsia="Times New Roman" w:cs="Arial"/>
          <w:lang w:val="es-MX" w:eastAsia="x-none"/>
        </w:rPr>
        <w:t>que “</w:t>
      </w:r>
      <w:bookmarkEnd w:id="29"/>
      <w:r w:rsidRPr="00B0204F">
        <w:rPr>
          <w:rFonts w:ascii="Arial" w:hAnsi="Arial" w:eastAsia="Times New Roman" w:cs="Arial"/>
          <w:lang w:val="es-MX" w:eastAsia="x-none"/>
        </w:rPr>
        <w:t xml:space="preserve">si bien la limitación garantiza la igualdad de condiciones, también es necesario que tal limitación que pretende la igualdad </w:t>
      </w:r>
      <w:bookmarkStart w:name="_Hlk75768308" w:id="30"/>
      <w:r w:rsidRPr="00B0204F">
        <w:rPr>
          <w:rFonts w:ascii="Arial" w:hAnsi="Arial" w:eastAsia="Times New Roman" w:cs="Arial"/>
          <w:lang w:val="es-MX" w:eastAsia="x-none"/>
        </w:rPr>
        <w:t>no termine yendo en detrimento de intereses públicos, cuya garantía está en cabeza del ejecutivo, como son los inmersos en las excepciones para la prohibición de contratación”</w:t>
      </w:r>
      <w:r w:rsidRPr="00B0204F">
        <w:rPr>
          <w:rFonts w:ascii="Arial" w:hAnsi="Arial" w:eastAsia="Calibri" w:cs="Arial"/>
          <w:vertAlign w:val="superscript"/>
          <w:lang w:val="es-MX"/>
        </w:rPr>
        <w:footnoteReference w:id="20"/>
      </w:r>
      <w:r w:rsidRPr="00B0204F">
        <w:rPr>
          <w:rFonts w:ascii="Arial" w:hAnsi="Arial" w:eastAsia="Times New Roman" w:cs="Arial"/>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name="_Hlk75783800" w:id="31"/>
      <w:bookmarkEnd w:id="30"/>
    </w:p>
    <w:p w:rsidRPr="00B0204F" w:rsidR="00C60B22" w:rsidP="00C60B22" w:rsidRDefault="00C60B22" w14:paraId="5B747204" w14:textId="77777777">
      <w:pPr>
        <w:spacing w:after="0" w:line="276" w:lineRule="auto"/>
        <w:ind w:firstLine="708"/>
        <w:jc w:val="both"/>
        <w:rPr>
          <w:rFonts w:ascii="Arial" w:hAnsi="Arial" w:eastAsia="Times New Roman" w:cs="Arial"/>
          <w:lang w:val="es-MX" w:eastAsia="x-none"/>
        </w:rPr>
      </w:pPr>
    </w:p>
    <w:p w:rsidRPr="00B0204F" w:rsidR="00C60B22" w:rsidP="00C60B22" w:rsidRDefault="00C60B22" w14:paraId="1D46F86B" w14:textId="77777777">
      <w:pPr>
        <w:spacing w:after="0" w:line="276" w:lineRule="auto"/>
        <w:jc w:val="both"/>
        <w:rPr>
          <w:rFonts w:ascii="Arial" w:hAnsi="Arial" w:eastAsia="Times New Roman" w:cs="Arial"/>
          <w:b/>
          <w:lang w:val="es-MX" w:eastAsia="x-none"/>
        </w:rPr>
      </w:pPr>
      <w:r w:rsidRPr="00B0204F">
        <w:rPr>
          <w:rFonts w:ascii="Arial" w:hAnsi="Arial" w:eastAsia="Times New Roman" w:cs="Arial"/>
          <w:b/>
          <w:lang w:val="es-MX" w:eastAsia="x-none"/>
        </w:rPr>
        <w:t>2.3.  Destinatarios de la restricción del artículo 33 de la Ley 996 de 2005</w:t>
      </w:r>
    </w:p>
    <w:p w:rsidRPr="00B0204F" w:rsidR="00C60B22" w:rsidP="00C60B22" w:rsidRDefault="00C60B22" w14:paraId="46B4E91A" w14:textId="77777777">
      <w:pPr>
        <w:spacing w:after="0" w:line="276" w:lineRule="auto"/>
        <w:jc w:val="both"/>
        <w:rPr>
          <w:rFonts w:ascii="Arial" w:hAnsi="Arial" w:eastAsia="Times New Roman" w:cs="Arial"/>
          <w:lang w:val="es-MX" w:eastAsia="x-none"/>
        </w:rPr>
      </w:pPr>
    </w:p>
    <w:p w:rsidRPr="00B0204F" w:rsidR="00C60B22" w:rsidP="00C60B22" w:rsidRDefault="00C60B22" w14:paraId="255F682F" w14:textId="77777777">
      <w:pPr>
        <w:spacing w:after="0" w:line="276" w:lineRule="auto"/>
        <w:jc w:val="both"/>
        <w:rPr>
          <w:rFonts w:ascii="Arial" w:hAnsi="Arial" w:eastAsia="Times New Roman" w:cs="Arial"/>
          <w:lang w:val="es-MX" w:eastAsia="x-none"/>
        </w:rPr>
      </w:pPr>
      <w:bookmarkStart w:name="_Hlk99578018" w:id="32"/>
      <w:r w:rsidRPr="00B0204F">
        <w:rPr>
          <w:rFonts w:ascii="Arial" w:hAnsi="Arial" w:eastAsia="Times New Roman" w:cs="Arial"/>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B0204F">
        <w:rPr>
          <w:rFonts w:ascii="Arial" w:hAnsi="Arial" w:eastAsia="Calibri" w:cs="Arial"/>
          <w:sz w:val="24"/>
          <w:lang w:val="es-MX"/>
        </w:rPr>
        <w:t xml:space="preserve"> </w:t>
      </w:r>
      <w:r w:rsidRPr="00B0204F">
        <w:rPr>
          <w:rFonts w:ascii="Arial" w:hAnsi="Arial" w:eastAsia="Times New Roman" w:cs="Arial"/>
          <w:lang w:val="es-MX" w:eastAsia="x-none"/>
        </w:rPr>
        <w:t>En efecto, como ha sostenido el Consejo de Estado, el vocablo “todos” utilizado por el legislador comprende</w:t>
      </w:r>
      <w:r w:rsidRPr="00B0204F">
        <w:rPr>
          <w:rFonts w:ascii="Arial" w:hAnsi="Arial" w:eastAsia="Calibri" w:cs="Arial"/>
          <w:sz w:val="24"/>
          <w:lang w:val="es-MX"/>
        </w:rPr>
        <w:t xml:space="preserve"> </w:t>
      </w:r>
      <w:r w:rsidRPr="00B0204F">
        <w:rPr>
          <w:rFonts w:ascii="Arial" w:hAnsi="Arial" w:eastAsia="Times New Roman" w:cs="Arial"/>
          <w:lang w:val="es-MX" w:eastAsia="x-none"/>
        </w:rPr>
        <w:t>a la totalidad de los entes del Estado, sin distinción del régimen jurídico, forma de organización o naturaleza, su pertenencia a una u otra rama del poder público o su autonomía</w:t>
      </w:r>
      <w:bookmarkEnd w:id="31"/>
      <w:r w:rsidRPr="00B0204F">
        <w:rPr>
          <w:rFonts w:ascii="Arial" w:hAnsi="Arial" w:eastAsia="Times New Roman" w:cs="Arial"/>
          <w:lang w:val="es-MX" w:eastAsia="x-none"/>
        </w:rPr>
        <w:t xml:space="preserve">, e incluso si las entidades estatales tienen régimen especial de contratación y están exceptuadas del ámbito de aplicación del Estatuto General de Contratación de la Administración Pública. </w:t>
      </w:r>
      <w:bookmarkEnd w:id="32"/>
      <w:r w:rsidRPr="00B0204F">
        <w:rPr>
          <w:rFonts w:ascii="Arial" w:hAnsi="Arial" w:eastAsia="Times New Roman" w:cs="Arial"/>
          <w:lang w:val="es-MX" w:eastAsia="x-none"/>
        </w:rPr>
        <w:t xml:space="preserve">El Consejo de Estado, en Concepto con radicado 1727 de fecha 20 de febrero de 2006, consideró que: </w:t>
      </w:r>
    </w:p>
    <w:p w:rsidRPr="00B0204F" w:rsidR="00C60B22" w:rsidP="00C60B22" w:rsidRDefault="00C60B22" w14:paraId="582C8F77" w14:textId="77777777">
      <w:pPr>
        <w:spacing w:after="0" w:line="276" w:lineRule="auto"/>
        <w:ind w:firstLine="708"/>
        <w:contextualSpacing/>
        <w:jc w:val="both"/>
        <w:rPr>
          <w:rFonts w:ascii="Arial" w:hAnsi="Arial" w:eastAsia="Times New Roman" w:cs="Arial"/>
          <w:lang w:val="es-MX" w:eastAsia="x-none"/>
        </w:rPr>
      </w:pPr>
    </w:p>
    <w:p w:rsidRPr="00B0204F" w:rsidR="00C60B22" w:rsidP="00C60B22" w:rsidRDefault="00C60B22" w14:paraId="4088B181" w14:textId="77777777">
      <w:pPr>
        <w:spacing w:after="0" w:line="240" w:lineRule="auto"/>
        <w:ind w:left="708" w:right="709"/>
        <w:contextualSpacing/>
        <w:jc w:val="both"/>
        <w:rPr>
          <w:rFonts w:ascii="Arial" w:hAnsi="Arial" w:eastAsia="Times New Roman" w:cs="Arial"/>
          <w:sz w:val="21"/>
          <w:szCs w:val="21"/>
          <w:lang w:val="es-MX" w:eastAsia="es-CO"/>
        </w:rPr>
      </w:pPr>
      <w:r w:rsidRPr="00B0204F">
        <w:rPr>
          <w:rFonts w:ascii="Arial" w:hAnsi="Arial" w:eastAsia="Times New Roman" w:cs="Arial"/>
          <w:sz w:val="21"/>
          <w:szCs w:val="21"/>
          <w:lang w:val="es-MX" w:eastAsia="x-none"/>
        </w:rPr>
        <w:t xml:space="preserve">“El artículo 33 de la ley 996 de 2005, </w:t>
      </w:r>
      <w:bookmarkStart w:name="_Hlk75787147" w:id="33"/>
      <w:r w:rsidRPr="00B0204F">
        <w:rPr>
          <w:rFonts w:ascii="Arial" w:hAnsi="Arial" w:eastAsia="Times New Roman" w:cs="Arial"/>
          <w:sz w:val="21"/>
          <w:szCs w:val="21"/>
          <w:lang w:val="es-MX" w:eastAsia="x-none"/>
        </w:rPr>
        <w:t xml:space="preserve">efectivamente se aplica </w:t>
      </w:r>
      <w:bookmarkStart w:name="_Hlk76074089" w:id="34"/>
      <w:r w:rsidRPr="00B0204F">
        <w:rPr>
          <w:rFonts w:ascii="Arial" w:hAnsi="Arial" w:eastAsia="Times New Roman" w:cs="Arial"/>
          <w:sz w:val="21"/>
          <w:szCs w:val="21"/>
          <w:lang w:val="es-MX" w:eastAsia="x-none"/>
        </w:rPr>
        <w:t>incluso a las entidades estatales con régimen especial de contratación y que están exceptuadas del ámbito de aplicación del Estatuto General de Contratación de la Administración Pública</w:t>
      </w:r>
      <w:bookmarkEnd w:id="34"/>
      <w:r w:rsidRPr="00B0204F">
        <w:rPr>
          <w:rFonts w:ascii="Arial" w:hAnsi="Arial" w:eastAsia="Times New Roman" w:cs="Arial"/>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B0204F">
        <w:rPr>
          <w:rFonts w:ascii="Arial" w:hAnsi="Arial" w:eastAsia="Times New Roman" w:cs="Arial"/>
          <w:sz w:val="21"/>
          <w:szCs w:val="21"/>
          <w:vertAlign w:val="superscript"/>
          <w:lang w:val="es-MX" w:eastAsia="x-none"/>
        </w:rPr>
        <w:footnoteReference w:id="21"/>
      </w:r>
      <w:r w:rsidRPr="00B0204F">
        <w:rPr>
          <w:rFonts w:ascii="Arial" w:hAnsi="Arial" w:eastAsia="Times New Roman" w:cs="Arial"/>
          <w:sz w:val="21"/>
          <w:szCs w:val="21"/>
          <w:lang w:val="es-MX" w:eastAsia="x-none"/>
        </w:rPr>
        <w:t>.</w:t>
      </w:r>
      <w:r w:rsidRPr="00B0204F">
        <w:rPr>
          <w:rFonts w:ascii="Arial" w:hAnsi="Arial" w:eastAsia="Times New Roman" w:cs="Arial"/>
          <w:sz w:val="21"/>
          <w:szCs w:val="21"/>
          <w:lang w:val="es-MX" w:eastAsia="es-CO"/>
        </w:rPr>
        <w:t xml:space="preserve"> </w:t>
      </w:r>
    </w:p>
    <w:p w:rsidRPr="00B0204F" w:rsidR="00C60B22" w:rsidP="00C60B22" w:rsidRDefault="00C60B22" w14:paraId="570E8392" w14:textId="77777777">
      <w:pPr>
        <w:spacing w:after="0" w:line="276" w:lineRule="auto"/>
        <w:ind w:firstLine="708"/>
        <w:contextualSpacing/>
        <w:jc w:val="both"/>
        <w:rPr>
          <w:rFonts w:ascii="Arial" w:hAnsi="Arial" w:eastAsia="Times New Roman" w:cs="Arial"/>
          <w:lang w:val="es-MX" w:eastAsia="es-CO"/>
        </w:rPr>
      </w:pPr>
    </w:p>
    <w:p w:rsidRPr="00B0204F" w:rsidR="00C60B22" w:rsidP="00C60B22" w:rsidRDefault="00C60B22" w14:paraId="62DA4C7B" w14:textId="77777777">
      <w:pPr>
        <w:spacing w:after="0" w:line="276" w:lineRule="auto"/>
        <w:ind w:firstLine="708"/>
        <w:contextualSpacing/>
        <w:jc w:val="both"/>
        <w:rPr>
          <w:rFonts w:ascii="Arial" w:hAnsi="Arial" w:eastAsia="Calibri" w:cs="Arial"/>
          <w:lang w:val="es-MX"/>
        </w:rPr>
      </w:pPr>
      <w:r w:rsidRPr="00B0204F">
        <w:rPr>
          <w:rFonts w:ascii="Arial" w:hAnsi="Arial" w:eastAsia="Times New Roman" w:cs="Arial"/>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name="_Hlk75758868" w:id="35"/>
      <w:bookmarkStart w:name="_Hlk75741220" w:id="36"/>
      <w:r w:rsidRPr="00B0204F">
        <w:rPr>
          <w:rFonts w:ascii="Arial" w:hAnsi="Arial" w:eastAsia="Calibri" w:cs="Arial"/>
          <w:sz w:val="24"/>
          <w:vertAlign w:val="superscript"/>
          <w:lang w:val="es-MX"/>
        </w:rPr>
        <w:footnoteReference w:id="22"/>
      </w:r>
      <w:bookmarkEnd w:id="35"/>
      <w:bookmarkEnd w:id="36"/>
      <w:r w:rsidRPr="00B0204F">
        <w:rPr>
          <w:rFonts w:ascii="Arial" w:hAnsi="Arial" w:eastAsia="Times New Roman" w:cs="Arial"/>
          <w:lang w:val="es-MX" w:eastAsia="x-none"/>
        </w:rPr>
        <w:t>.</w:t>
      </w:r>
      <w:r w:rsidRPr="00B0204F">
        <w:rPr>
          <w:rFonts w:ascii="Arial" w:hAnsi="Arial" w:eastAsia="Calibri" w:cs="Arial"/>
          <w:lang w:val="es-MX"/>
        </w:rPr>
        <w:t xml:space="preserve"> Sin embargo, debe precisarse el siguiente aspecto que distinguió la Sala de Consulta y Servicio Civil:</w:t>
      </w:r>
    </w:p>
    <w:p w:rsidRPr="00B0204F" w:rsidR="00C60B22" w:rsidP="00C60B22" w:rsidRDefault="00C60B22" w14:paraId="6BB4FFB8" w14:textId="77777777">
      <w:pPr>
        <w:spacing w:after="0" w:line="276" w:lineRule="auto"/>
        <w:contextualSpacing/>
        <w:jc w:val="both"/>
        <w:rPr>
          <w:rFonts w:ascii="Arial" w:hAnsi="Arial" w:eastAsia="Calibri" w:cs="Arial"/>
          <w:lang w:val="es-MX"/>
        </w:rPr>
      </w:pPr>
    </w:p>
    <w:p w:rsidRPr="00B0204F" w:rsidR="00C60B22" w:rsidP="00C60B22" w:rsidRDefault="00C60B22" w14:paraId="19C32B69" w14:textId="77777777">
      <w:pPr>
        <w:spacing w:after="0" w:line="240" w:lineRule="auto"/>
        <w:ind w:left="708" w:right="709"/>
        <w:contextualSpacing/>
        <w:jc w:val="both"/>
        <w:rPr>
          <w:rFonts w:ascii="Arial" w:hAnsi="Arial" w:eastAsia="Calibri" w:cs="Arial"/>
          <w:sz w:val="21"/>
          <w:szCs w:val="21"/>
          <w:lang w:val="es-MX"/>
        </w:rPr>
      </w:pPr>
      <w:bookmarkStart w:name="_Hlk75811446" w:id="38"/>
      <w:r w:rsidRPr="00B0204F">
        <w:rPr>
          <w:rFonts w:ascii="Arial" w:hAnsi="Arial" w:eastAsia="Calibri"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38"/>
      <w:r w:rsidRPr="00B0204F">
        <w:rPr>
          <w:rFonts w:ascii="Arial" w:hAnsi="Arial" w:eastAsia="Calibri" w:cs="Arial"/>
          <w:sz w:val="21"/>
          <w:szCs w:val="21"/>
          <w:lang w:val="es-MX"/>
        </w:rPr>
        <w:t>”</w:t>
      </w:r>
      <w:r w:rsidRPr="00B0204F">
        <w:rPr>
          <w:rFonts w:ascii="Arial" w:hAnsi="Arial" w:eastAsia="Calibri" w:cs="Arial"/>
          <w:sz w:val="24"/>
          <w:vertAlign w:val="superscript"/>
          <w:lang w:val="es-MX"/>
        </w:rPr>
        <w:footnoteReference w:id="23"/>
      </w:r>
      <w:r w:rsidRPr="00B0204F">
        <w:rPr>
          <w:rFonts w:ascii="Arial" w:hAnsi="Arial" w:eastAsia="Times New Roman" w:cs="Arial"/>
          <w:lang w:val="es-MX" w:eastAsia="x-none"/>
        </w:rPr>
        <w:t>.</w:t>
      </w:r>
    </w:p>
    <w:p w:rsidRPr="00B0204F" w:rsidR="00C60B22" w:rsidP="00C60B22" w:rsidRDefault="00C60B22" w14:paraId="6F650E78" w14:textId="77777777">
      <w:pPr>
        <w:spacing w:after="0" w:line="276" w:lineRule="auto"/>
        <w:contextualSpacing/>
        <w:jc w:val="both"/>
        <w:rPr>
          <w:rFonts w:ascii="Arial" w:hAnsi="Arial" w:eastAsia="Calibri" w:cs="Arial"/>
          <w:lang w:val="es-MX"/>
        </w:rPr>
      </w:pPr>
    </w:p>
    <w:p w:rsidRPr="00B0204F" w:rsidR="00C60B22" w:rsidP="00C60B22" w:rsidRDefault="00C60B22" w14:paraId="12E8FBB2" w14:textId="77777777">
      <w:pPr>
        <w:spacing w:after="120" w:line="276" w:lineRule="auto"/>
        <w:ind w:firstLine="709"/>
        <w:jc w:val="both"/>
        <w:rPr>
          <w:rFonts w:ascii="Arial" w:hAnsi="Arial" w:eastAsia="Times New Roman" w:cs="Arial"/>
          <w:lang w:val="es-MX" w:eastAsia="x-none"/>
        </w:rPr>
      </w:pPr>
      <w:r w:rsidRPr="00B0204F">
        <w:rPr>
          <w:rFonts w:ascii="Arial" w:hAnsi="Arial" w:eastAsia="Calibri" w:cs="Arial"/>
          <w:lang w:val="es-MX"/>
        </w:rPr>
        <w:t>Aplicando este razonamiento,</w:t>
      </w:r>
      <w:bookmarkStart w:name="_Hlk75811096" w:id="39"/>
      <w:r w:rsidRPr="00B0204F">
        <w:rPr>
          <w:rFonts w:ascii="Arial" w:hAnsi="Arial" w:eastAsia="Calibri" w:cs="Arial"/>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39"/>
      <w:r w:rsidRPr="00B0204F">
        <w:rPr>
          <w:rFonts w:ascii="Arial" w:hAnsi="Arial" w:eastAsia="Calibri" w:cs="Arial"/>
          <w:lang w:val="es-MX"/>
        </w:rPr>
        <w:t>”</w:t>
      </w:r>
      <w:r w:rsidRPr="00B0204F">
        <w:rPr>
          <w:rFonts w:ascii="Arial" w:hAnsi="Arial" w:eastAsia="Calibri" w:cs="Arial"/>
          <w:sz w:val="24"/>
          <w:vertAlign w:val="superscript"/>
          <w:lang w:val="es-MX"/>
        </w:rPr>
        <w:t xml:space="preserve"> </w:t>
      </w:r>
      <w:r w:rsidRPr="00B0204F">
        <w:rPr>
          <w:rFonts w:ascii="Arial" w:hAnsi="Arial" w:eastAsia="Calibri" w:cs="Arial"/>
          <w:vertAlign w:val="superscript"/>
          <w:lang w:val="es-MX"/>
        </w:rPr>
        <w:footnoteReference w:id="24"/>
      </w:r>
      <w:r w:rsidRPr="00B0204F">
        <w:rPr>
          <w:rFonts w:ascii="Arial" w:hAnsi="Arial" w:eastAsia="Calibri" w:cs="Arial"/>
          <w:lang w:val="es-MX"/>
        </w:rPr>
        <w:t>.</w:t>
      </w:r>
    </w:p>
    <w:p w:rsidRPr="00B0204F" w:rsidR="00C60B22" w:rsidP="00C60B22" w:rsidRDefault="00C60B22" w14:paraId="0F0C96F0" w14:textId="77777777">
      <w:pPr>
        <w:spacing w:after="0" w:line="276" w:lineRule="auto"/>
        <w:ind w:firstLine="708"/>
        <w:jc w:val="both"/>
        <w:rPr>
          <w:rFonts w:ascii="Arial" w:hAnsi="Arial" w:eastAsia="Times New Roman" w:cs="Arial"/>
          <w:lang w:val="es-MX" w:eastAsia="x-none"/>
        </w:rPr>
      </w:pPr>
      <w:bookmarkStart w:name="_Hlk77237229" w:id="40"/>
      <w:bookmarkEnd w:id="33"/>
      <w:r w:rsidRPr="00B0204F">
        <w:rPr>
          <w:rFonts w:ascii="Arial" w:hAnsi="Arial" w:eastAsia="Calibri" w:cs="Arial"/>
          <w:lang w:val="es-MX"/>
        </w:rPr>
        <w:t>Por lo tanto, la restricción prevista en la Ley 996 de 200</w:t>
      </w:r>
      <w:bookmarkStart w:name="_Hlk75741539" w:id="41"/>
      <w:r w:rsidRPr="00B0204F">
        <w:rPr>
          <w:rFonts w:ascii="Arial" w:hAnsi="Arial" w:eastAsia="Calibri" w:cs="Arial"/>
          <w:lang w:val="es-MX"/>
        </w:rPr>
        <w:t xml:space="preserve">5, </w:t>
      </w:r>
      <w:r w:rsidRPr="00B0204F">
        <w:rPr>
          <w:rFonts w:ascii="Arial" w:hAnsi="Arial" w:eastAsia="Times New Roman" w:cs="Arial"/>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40"/>
    <w:bookmarkEnd w:id="41"/>
    <w:p w:rsidRPr="00B0204F" w:rsidR="00C60B22" w:rsidP="00C60B22" w:rsidRDefault="00C60B22" w14:paraId="71071C4C" w14:textId="77777777">
      <w:pPr>
        <w:spacing w:after="0" w:line="276" w:lineRule="auto"/>
        <w:jc w:val="both"/>
        <w:rPr>
          <w:rFonts w:ascii="Arial" w:hAnsi="Arial" w:eastAsia="Calibri" w:cs="Arial"/>
          <w:lang w:val="es-MX"/>
        </w:rPr>
      </w:pPr>
    </w:p>
    <w:p w:rsidRPr="002D2E80" w:rsidR="00A26C80" w:rsidP="00A26C80" w:rsidRDefault="00C60B22" w14:paraId="08ECFDFA" w14:textId="445D7AF7">
      <w:pPr>
        <w:spacing w:line="276" w:lineRule="auto"/>
        <w:jc w:val="both"/>
        <w:rPr>
          <w:rFonts w:ascii="Arial" w:hAnsi="Arial" w:eastAsia="Arial" w:cs="Arial"/>
          <w:b/>
          <w:bCs/>
          <w:lang w:val="es-ES" w:eastAsia="es-ES" w:bidi="es-ES"/>
        </w:rPr>
      </w:pPr>
      <w:r w:rsidRPr="00B0204F">
        <w:rPr>
          <w:rFonts w:ascii="Arial" w:hAnsi="Arial" w:eastAsia="Calibri" w:cs="Arial"/>
          <w:b/>
          <w:lang w:val="es-MX"/>
        </w:rPr>
        <w:t xml:space="preserve">2.4. </w:t>
      </w:r>
      <w:bookmarkStart w:name="_Hlk77153296" w:id="42"/>
      <w:r w:rsidRPr="002D2E80" w:rsidR="00A26C80">
        <w:rPr>
          <w:rFonts w:ascii="Arial" w:hAnsi="Arial" w:eastAsia="Arial" w:cs="Arial"/>
          <w:b/>
          <w:bCs/>
          <w:lang w:val="es-ES" w:eastAsia="es-ES" w:bidi="es-ES"/>
        </w:rPr>
        <w:t>Operaciones de crédito y sus operaciones conexas: aplicabilidad de la Ley de Garantías Electorales</w:t>
      </w:r>
    </w:p>
    <w:p w:rsidRPr="002D2E80" w:rsidR="00A26C80" w:rsidP="00A26C80" w:rsidRDefault="00A26C80" w14:paraId="2A1B7FC6" w14:textId="64F97A01">
      <w:pPr>
        <w:spacing w:after="120" w:line="276" w:lineRule="auto"/>
        <w:jc w:val="both"/>
        <w:rPr>
          <w:rFonts w:ascii="Arial" w:hAnsi="Arial" w:eastAsia="Calibri" w:cs="Arial"/>
          <w:lang w:val="es-ES"/>
        </w:rPr>
      </w:pPr>
      <w:r w:rsidRPr="002D2E80">
        <w:rPr>
          <w:rFonts w:ascii="Arial" w:hAnsi="Arial" w:eastAsia="Calibri" w:cs="Arial"/>
          <w:lang w:val="es-ES"/>
        </w:rPr>
        <w:t xml:space="preserve">La Ley 80 de 1993, en el parágrafo segundo del artículo 41, definió a las operaciones de crédito público como aquellas que </w:t>
      </w:r>
      <w:r w:rsidR="00963AFD">
        <w:rPr>
          <w:rFonts w:ascii="Arial" w:hAnsi="Arial" w:eastAsia="Calibri" w:cs="Arial"/>
          <w:lang w:val="es-ES"/>
        </w:rPr>
        <w:t>“</w:t>
      </w:r>
      <w:r w:rsidRPr="002D2E80">
        <w:rPr>
          <w:rFonts w:ascii="Arial" w:hAnsi="Arial" w:eastAsia="Calibri" w:cs="Arial"/>
          <w:lang w:val="es-ES"/>
        </w:rPr>
        <w:t>[…]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w:t>
      </w:r>
      <w:r w:rsidR="00963AFD">
        <w:rPr>
          <w:rFonts w:ascii="Arial" w:hAnsi="Arial" w:eastAsia="Calibri" w:cs="Arial"/>
          <w:lang w:val="es-ES"/>
        </w:rPr>
        <w:t>”</w:t>
      </w:r>
      <w:r w:rsidRPr="002D2E80">
        <w:rPr>
          <w:rFonts w:ascii="Arial" w:hAnsi="Arial" w:eastAsia="Calibri" w:cs="Arial"/>
          <w:lang w:val="es-ES"/>
        </w:rPr>
        <w:t>. Además, esta norma dispone que dichas operaciones y las conexas con éstas se contratarán en forma directa.</w:t>
      </w:r>
    </w:p>
    <w:p w:rsidRPr="002D2E80" w:rsidR="00A26C80" w:rsidP="00A26C80" w:rsidRDefault="00A26C80" w14:paraId="7C01A47F" w14:textId="43997A25">
      <w:pPr>
        <w:spacing w:after="120" w:line="276" w:lineRule="auto"/>
        <w:ind w:firstLine="709"/>
        <w:jc w:val="both"/>
        <w:rPr>
          <w:rFonts w:ascii="Arial" w:hAnsi="Arial" w:eastAsia="Calibri" w:cs="Arial"/>
        </w:rPr>
      </w:pPr>
      <w:r w:rsidRPr="002D2E80">
        <w:rPr>
          <w:rFonts w:ascii="Arial" w:hAnsi="Arial" w:eastAsia="Calibri" w:cs="Arial"/>
          <w:lang w:val="es-ES"/>
        </w:rPr>
        <w:t>En ejercicio de sus facultades reglamentarias, el Gobierno Nacional recogió la definición legal de este tipo de operaciones y la amplió mediante el Decreto 2681 de 1993</w:t>
      </w:r>
      <w:r w:rsidRPr="002D2E80">
        <w:rPr>
          <w:rFonts w:ascii="Arial" w:hAnsi="Arial" w:eastAsia="Calibri" w:cs="Arial"/>
          <w:vertAlign w:val="superscript"/>
          <w:lang w:val="es-ES"/>
        </w:rPr>
        <w:footnoteReference w:id="25"/>
      </w:r>
      <w:r w:rsidRPr="002D2E80">
        <w:rPr>
          <w:rFonts w:ascii="Arial" w:hAnsi="Arial" w:eastAsia="Calibri" w:cs="Arial"/>
          <w:lang w:val="es-ES"/>
        </w:rPr>
        <w:t>, norma compilada, a su vez, en el artículo 2.2.1.1.1. del Decreto 1068 de 2015</w:t>
      </w:r>
      <w:r w:rsidRPr="002D2E80">
        <w:rPr>
          <w:rFonts w:ascii="Arial" w:hAnsi="Arial" w:eastAsia="Calibri" w:cs="Arial"/>
          <w:vertAlign w:val="superscript"/>
          <w:lang w:val="es-ES"/>
        </w:rPr>
        <w:footnoteReference w:id="26"/>
      </w:r>
      <w:r w:rsidRPr="002D2E80">
        <w:rPr>
          <w:rFonts w:ascii="Arial" w:hAnsi="Arial" w:eastAsia="Calibri" w:cs="Arial"/>
          <w:lang w:val="es-ES"/>
        </w:rPr>
        <w:t xml:space="preserve">. Este último dispuso que </w:t>
      </w:r>
      <w:r w:rsidR="00963AFD">
        <w:rPr>
          <w:rFonts w:ascii="Arial" w:hAnsi="Arial" w:eastAsia="Calibri" w:cs="Arial"/>
        </w:rPr>
        <w:t>“</w:t>
      </w:r>
      <w:r w:rsidRPr="002D2E80">
        <w:rPr>
          <w:rFonts w:ascii="Arial" w:hAnsi="Arial" w:eastAsia="Calibri" w:cs="Arial"/>
        </w:rPr>
        <w:t>[s]</w:t>
      </w:r>
      <w:proofErr w:type="spellStart"/>
      <w:r w:rsidRPr="002D2E80">
        <w:rPr>
          <w:rFonts w:ascii="Arial" w:hAnsi="Arial" w:eastAsia="Calibri" w:cs="Arial"/>
        </w:rPr>
        <w:t>on</w:t>
      </w:r>
      <w:proofErr w:type="spellEnd"/>
      <w:r w:rsidRPr="002D2E80">
        <w:rPr>
          <w:rFonts w:ascii="Arial" w:hAnsi="Arial" w:eastAsia="Calibri" w:cs="Arial"/>
        </w:rPr>
        <w:t xml:space="preserve"> operaciones de crédito público los actos o contratos que tienen por objeto dotar a la entidad estatal de recursos, bienes o servicios con plazo para su pago o aquellas mediante las cuales la entidad actúa como deudor solidario o garante de obligaciones de pago</w:t>
      </w:r>
      <w:r w:rsidR="00963AFD">
        <w:rPr>
          <w:rFonts w:ascii="Arial" w:hAnsi="Arial" w:eastAsia="Calibri" w:cs="Arial"/>
        </w:rPr>
        <w:t>”</w:t>
      </w:r>
      <w:r w:rsidRPr="002D2E80">
        <w:rPr>
          <w:rFonts w:ascii="Arial" w:hAnsi="Arial" w:eastAsia="Calibri" w:cs="Arial"/>
        </w:rPr>
        <w:t>. La norma reglamentaria agregó que dentro de estas operaciones están comprendidas, entre otras, la contratación de empréstitos, la emisión, suscripción y colocación de títulos de deuda pública, los créditos de proveedores y el otorgamiento de garantías para obligaciones de pago a cargo de entidades estatales.</w:t>
      </w:r>
    </w:p>
    <w:p w:rsidRPr="002D2E80" w:rsidR="00A26C80" w:rsidP="00A26C80" w:rsidRDefault="00A26C80" w14:paraId="6610869C" w14:textId="77777777">
      <w:pPr>
        <w:spacing w:line="276" w:lineRule="auto"/>
        <w:ind w:firstLine="709"/>
        <w:jc w:val="both"/>
        <w:rPr>
          <w:rFonts w:ascii="Arial" w:hAnsi="Arial" w:eastAsia="Calibri" w:cs="Arial"/>
          <w:lang w:val="es-ES"/>
        </w:rPr>
      </w:pPr>
      <w:r w:rsidRPr="002D2E80">
        <w:rPr>
          <w:rFonts w:ascii="Arial" w:hAnsi="Arial" w:eastAsia="Calibri" w:cs="Arial"/>
          <w:lang w:val="es-ES"/>
        </w:rPr>
        <w:t xml:space="preserve">Al comparar el texto legal y el reglamentario, se concluye que el Gobierno Nacional ahondó en la definición de las operaciones de crédito público, agregándoles que también son aquellas en donde una entidad estatal actúa como deudora solidaria o garante de una obligación. Adicionalmente, incluyó la clasificación de operaciones de crédito internas y </w:t>
      </w:r>
      <w:r w:rsidRPr="002D2E80">
        <w:rPr>
          <w:rFonts w:ascii="Arial" w:hAnsi="Arial" w:eastAsia="Calibri" w:cs="Arial"/>
          <w:lang w:val="es-ES"/>
        </w:rPr>
        <w:t xml:space="preserve">externas, de acuerdo con el lugar en donde se celebren y la moneda en la que se deban pagar las obligaciones adquiridas, en atención a las regulaciones cambiarias, en los siguientes términos: </w:t>
      </w:r>
    </w:p>
    <w:p w:rsidR="00A26C80" w:rsidP="00A26C80" w:rsidRDefault="00146E9C" w14:paraId="287373C3" w14:textId="7B64674F">
      <w:pPr>
        <w:ind w:left="709" w:right="709"/>
        <w:contextualSpacing/>
        <w:jc w:val="both"/>
        <w:rPr>
          <w:rFonts w:ascii="Arial" w:hAnsi="Arial" w:eastAsia="Calibri" w:cs="Arial"/>
          <w:sz w:val="21"/>
          <w:szCs w:val="21"/>
        </w:rPr>
      </w:pPr>
      <w:r>
        <w:rPr>
          <w:rFonts w:ascii="Arial" w:hAnsi="Arial" w:eastAsia="Calibri" w:cs="Arial"/>
          <w:sz w:val="21"/>
          <w:szCs w:val="21"/>
        </w:rPr>
        <w:t>“</w:t>
      </w:r>
      <w:r w:rsidRPr="002D2E80" w:rsidR="00A26C80">
        <w:rPr>
          <w:rFonts w:ascii="Arial" w:hAnsi="Arial" w:eastAsia="Calibri" w:cs="Arial"/>
          <w:sz w:val="21"/>
          <w:szCs w:val="21"/>
        </w:rPr>
        <w:t>Para efectos de lo dispuesto en el presente título, las operaciones de crédito público pueden ser internas o externas. Son operaciones de crédito público internas las que, de conformidad con las disposiciones cambiarias, se celebren exclusivamente entre residentes del territorio colombiano para ser pagaderas en moneda legal colombiana. Son operaciones de crédito público externas todas las demás […]</w:t>
      </w:r>
      <w:r>
        <w:rPr>
          <w:rFonts w:ascii="Arial" w:hAnsi="Arial" w:eastAsia="Calibri" w:cs="Arial"/>
          <w:sz w:val="21"/>
          <w:szCs w:val="21"/>
        </w:rPr>
        <w:t>”.</w:t>
      </w:r>
    </w:p>
    <w:p w:rsidRPr="002D2E80" w:rsidR="00146E9C" w:rsidP="00A26C80" w:rsidRDefault="00146E9C" w14:paraId="7A3AED9D" w14:textId="77777777">
      <w:pPr>
        <w:ind w:left="709" w:right="709"/>
        <w:contextualSpacing/>
        <w:jc w:val="both"/>
        <w:rPr>
          <w:rFonts w:ascii="Arial" w:hAnsi="Arial" w:eastAsia="Calibri" w:cs="Arial"/>
          <w:sz w:val="21"/>
          <w:szCs w:val="21"/>
        </w:rPr>
      </w:pPr>
    </w:p>
    <w:p w:rsidRPr="002D2E80" w:rsidR="00A26C80" w:rsidP="00A26C80" w:rsidRDefault="00A26C80" w14:paraId="024349EC" w14:textId="77777777">
      <w:pPr>
        <w:spacing w:line="276" w:lineRule="auto"/>
        <w:ind w:firstLine="709"/>
        <w:jc w:val="both"/>
        <w:rPr>
          <w:rFonts w:ascii="Arial" w:hAnsi="Arial" w:eastAsia="Calibri" w:cs="Arial"/>
          <w:lang w:val="es-ES"/>
        </w:rPr>
      </w:pPr>
      <w:r w:rsidRPr="002D2E80">
        <w:rPr>
          <w:rFonts w:ascii="Arial" w:hAnsi="Arial" w:eastAsia="Calibri" w:cs="Arial"/>
          <w:lang w:val="es-ES"/>
        </w:rPr>
        <w:t>La jurisprudencia constitucional a partir de las anteriores disposiciones ha definido las operaciones en cuestión brindando algunos ejemplos de este tipo de actos, así como de las operaciones asimiladas a las de crédito público y definiendo las operaciones de manejo de deuda pública</w:t>
      </w:r>
      <w:r w:rsidRPr="002D2E80">
        <w:rPr>
          <w:rFonts w:ascii="Arial" w:hAnsi="Arial" w:eastAsia="Calibri" w:cs="Arial"/>
          <w:vertAlign w:val="superscript"/>
          <w:lang w:val="es-ES"/>
        </w:rPr>
        <w:footnoteReference w:id="27"/>
      </w:r>
      <w:r w:rsidRPr="002D2E80">
        <w:rPr>
          <w:rFonts w:ascii="Arial" w:hAnsi="Arial" w:eastAsia="Calibri" w:cs="Arial"/>
          <w:lang w:val="es-ES"/>
        </w:rPr>
        <w:t xml:space="preserve">. Esta Agencia también ha reiterado estas definiciones normativas al considerar, dentro de los Conceptos </w:t>
      </w:r>
      <w:r w:rsidRPr="002D2E80">
        <w:rPr>
          <w:rFonts w:ascii="Arial" w:hAnsi="Arial" w:eastAsia="Calibri" w:cs="Arial"/>
          <w:lang w:val="es-MX"/>
        </w:rPr>
        <w:t xml:space="preserve">2201913000009289 y </w:t>
      </w:r>
      <w:r w:rsidRPr="002D2E80">
        <w:rPr>
          <w:rFonts w:ascii="Arial" w:hAnsi="Arial" w:eastAsia="Calibri" w:cs="Arial"/>
        </w:rPr>
        <w:t>201913000007443 de 2019, lo siguiente</w:t>
      </w:r>
      <w:r w:rsidRPr="002D2E80">
        <w:rPr>
          <w:rFonts w:ascii="Arial" w:hAnsi="Arial" w:eastAsia="Calibri" w:cs="Arial"/>
          <w:lang w:val="es-ES"/>
        </w:rPr>
        <w:t xml:space="preserve">: </w:t>
      </w:r>
    </w:p>
    <w:p w:rsidRPr="002D2E80" w:rsidR="00A26C80" w:rsidP="00A26C80" w:rsidRDefault="00146E9C" w14:paraId="0A96529A" w14:textId="3DCB8FEE">
      <w:pPr>
        <w:spacing w:after="120"/>
        <w:ind w:left="709" w:right="709"/>
        <w:jc w:val="both"/>
        <w:rPr>
          <w:rFonts w:ascii="Arial" w:hAnsi="Arial" w:eastAsia="Calibri" w:cs="Arial"/>
          <w:sz w:val="21"/>
          <w:szCs w:val="21"/>
          <w:lang w:val="es-ES"/>
        </w:rPr>
      </w:pPr>
      <w:r>
        <w:rPr>
          <w:rFonts w:ascii="Arial" w:hAnsi="Arial" w:eastAsia="Calibri" w:cs="Arial"/>
          <w:sz w:val="21"/>
          <w:szCs w:val="21"/>
          <w:lang w:val="es-MX"/>
        </w:rPr>
        <w:t>“</w:t>
      </w:r>
      <w:r w:rsidRPr="002D2E80" w:rsidR="00A26C80">
        <w:rPr>
          <w:rFonts w:ascii="Arial" w:hAnsi="Arial" w:eastAsia="Calibri" w:cs="Arial"/>
          <w:sz w:val="21"/>
          <w:szCs w:val="21"/>
          <w:lang w:val="es-MX"/>
        </w:rPr>
        <w:t>El parágrafo 2 del artículo 41 de la Ley 80 de 1993, define las operaciones de crédito público como aquellas 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w:t>
      </w:r>
      <w:r w:rsidRPr="002D2E80" w:rsidR="00A26C80">
        <w:rPr>
          <w:rFonts w:ascii="Arial" w:hAnsi="Arial" w:eastAsia="Calibri" w:cs="Arial"/>
          <w:sz w:val="21"/>
          <w:szCs w:val="21"/>
          <w:lang w:val="es-ES"/>
        </w:rPr>
        <w:t xml:space="preserve"> […]</w:t>
      </w:r>
    </w:p>
    <w:p w:rsidRPr="002D2E80" w:rsidR="00A26C80" w:rsidP="00A26C80" w:rsidRDefault="00A26C80" w14:paraId="43EBA0C8" w14:textId="4585097D">
      <w:pPr>
        <w:ind w:left="720" w:right="851"/>
        <w:jc w:val="both"/>
        <w:rPr>
          <w:rFonts w:ascii="Arial" w:hAnsi="Arial" w:eastAsia="Calibri" w:cs="Arial"/>
          <w:sz w:val="21"/>
          <w:szCs w:val="21"/>
          <w:lang w:val="es-ES"/>
        </w:rPr>
      </w:pPr>
      <w:r w:rsidRPr="002D2E80">
        <w:rPr>
          <w:rFonts w:ascii="Arial" w:hAnsi="Arial" w:eastAsia="Calibri" w:cs="Arial"/>
          <w:sz w:val="21"/>
          <w:szCs w:val="21"/>
          <w:lang w:val="es-MX"/>
        </w:rPr>
        <w:t>De acuerdo con la definición de la Ley 80 de 1993</w:t>
      </w:r>
      <w:r w:rsidRPr="002D2E80">
        <w:rPr>
          <w:rFonts w:ascii="Arial" w:hAnsi="Arial" w:eastAsia="Calibri" w:cs="Arial"/>
          <w:sz w:val="21"/>
          <w:szCs w:val="21"/>
          <w:lang w:val="es-ES"/>
        </w:rPr>
        <w:t xml:space="preserve"> y</w:t>
      </w:r>
      <w:r w:rsidRPr="002D2E80">
        <w:rPr>
          <w:rFonts w:ascii="Arial" w:hAnsi="Arial" w:eastAsia="Calibri" w:cs="Arial"/>
          <w:sz w:val="21"/>
          <w:szCs w:val="21"/>
          <w:lang w:val="es-MX"/>
        </w:rPr>
        <w:t xml:space="preserve"> del Decreto 1068 de 2015, las operaciones de crédito </w:t>
      </w:r>
      <w:proofErr w:type="spellStart"/>
      <w:r w:rsidRPr="002D2E80">
        <w:rPr>
          <w:rFonts w:ascii="Arial" w:hAnsi="Arial" w:eastAsia="Calibri" w:cs="Arial"/>
          <w:sz w:val="21"/>
          <w:szCs w:val="21"/>
          <w:lang w:val="es-MX"/>
        </w:rPr>
        <w:t>publico</w:t>
      </w:r>
      <w:proofErr w:type="spellEnd"/>
      <w:r w:rsidRPr="002D2E80">
        <w:rPr>
          <w:rFonts w:ascii="Arial" w:hAnsi="Arial" w:eastAsia="Calibri" w:cs="Arial"/>
          <w:sz w:val="21"/>
          <w:szCs w:val="21"/>
          <w:lang w:val="es-MX"/>
        </w:rPr>
        <w:t xml:space="preserve"> permiten dotar a la entidad de recursos líquidos, suministrar bienes o la prestación de servicios</w:t>
      </w:r>
      <w:r w:rsidR="00146E9C">
        <w:rPr>
          <w:rFonts w:ascii="Arial" w:hAnsi="Arial" w:eastAsia="Calibri" w:cs="Arial"/>
          <w:sz w:val="21"/>
          <w:szCs w:val="21"/>
          <w:lang w:val="es-MX"/>
        </w:rPr>
        <w:t>”</w:t>
      </w:r>
      <w:r w:rsidRPr="002D2E80">
        <w:rPr>
          <w:rFonts w:ascii="Arial" w:hAnsi="Arial" w:eastAsia="Calibri" w:cs="Arial"/>
          <w:sz w:val="21"/>
          <w:szCs w:val="21"/>
          <w:vertAlign w:val="superscript"/>
          <w:lang w:val="es-ES"/>
        </w:rPr>
        <w:footnoteReference w:id="28"/>
      </w:r>
      <w:r w:rsidRPr="002D2E80">
        <w:rPr>
          <w:rFonts w:ascii="Arial" w:hAnsi="Arial" w:eastAsia="Calibri" w:cs="Arial"/>
          <w:sz w:val="21"/>
          <w:szCs w:val="21"/>
          <w:lang w:val="es-ES"/>
        </w:rPr>
        <w:t>.</w:t>
      </w:r>
    </w:p>
    <w:p w:rsidRPr="002D2E80" w:rsidR="00A26C80" w:rsidP="00A26C80" w:rsidRDefault="00A26C80" w14:paraId="7E1D4241" w14:textId="77777777">
      <w:pPr>
        <w:spacing w:after="120" w:line="276" w:lineRule="auto"/>
        <w:ind w:firstLine="709"/>
        <w:jc w:val="both"/>
        <w:rPr>
          <w:rFonts w:ascii="Arial" w:hAnsi="Arial" w:eastAsia="Calibri" w:cs="Arial"/>
          <w:lang w:val="es-ES"/>
        </w:rPr>
      </w:pPr>
      <w:r w:rsidRPr="002D2E80">
        <w:rPr>
          <w:rFonts w:ascii="Arial" w:hAnsi="Arial" w:eastAsia="Calibri" w:cs="Arial"/>
          <w:lang w:val="es-ES"/>
        </w:rPr>
        <w:t>El tráfico jurídico de este tipo de contratos y operaciones muestra que suelen ser complejos, pues cubren actos de variada naturaleza, no solamente en el campo contractual, sino también sobre actuaciones financieras y de la hacienda pública que, en algunas ocasiones, usan títulos valores como vehículos de sus transacciones. El contrato de empréstito usualmente es el acto jurídico estatal por excelencia asociado con una operación de crédito público</w:t>
      </w:r>
      <w:r w:rsidRPr="002D2E80">
        <w:rPr>
          <w:rFonts w:ascii="Arial" w:hAnsi="Arial" w:eastAsia="Calibri" w:cs="Arial"/>
          <w:vertAlign w:val="superscript"/>
          <w:lang w:val="es-ES"/>
        </w:rPr>
        <w:footnoteReference w:id="29"/>
      </w:r>
      <w:r w:rsidRPr="002D2E80">
        <w:rPr>
          <w:rFonts w:ascii="Arial" w:hAnsi="Arial" w:eastAsia="Calibri" w:cs="Arial"/>
          <w:lang w:val="es-ES"/>
        </w:rPr>
        <w:t xml:space="preserve">; sin embargo, existen otros de diferente naturaleza que también son </w:t>
      </w:r>
      <w:r w:rsidRPr="002D2E80">
        <w:rPr>
          <w:rFonts w:ascii="Arial" w:hAnsi="Arial" w:eastAsia="Calibri" w:cs="Arial"/>
          <w:lang w:val="es-ES"/>
        </w:rPr>
        <w:t>comunes, como lo son las líneas de crédito contingentes, los créditos de proveedores, la emisión, suscripción y colación de títulos de deuda pública, las operaciones de manejo de deuda, entre otros</w:t>
      </w:r>
      <w:r w:rsidRPr="002D2E80">
        <w:rPr>
          <w:rFonts w:ascii="Arial" w:hAnsi="Arial" w:eastAsia="Calibri" w:cs="Arial"/>
          <w:vertAlign w:val="superscript"/>
          <w:lang w:val="es-ES"/>
        </w:rPr>
        <w:footnoteReference w:id="30"/>
      </w:r>
      <w:r w:rsidRPr="002D2E80">
        <w:rPr>
          <w:rFonts w:ascii="Arial" w:hAnsi="Arial" w:eastAsia="Calibri" w:cs="Arial"/>
          <w:lang w:val="es-ES"/>
        </w:rPr>
        <w:t>.</w:t>
      </w:r>
    </w:p>
    <w:p w:rsidRPr="002D2E80" w:rsidR="00A26C80" w:rsidP="00A26C80" w:rsidRDefault="00A26C80" w14:paraId="4383AC47" w14:textId="77777777">
      <w:pPr>
        <w:spacing w:after="120" w:line="276" w:lineRule="auto"/>
        <w:ind w:firstLine="709"/>
        <w:jc w:val="both"/>
        <w:rPr>
          <w:rFonts w:ascii="Arial" w:hAnsi="Arial" w:eastAsia="Calibri" w:cs="Arial"/>
          <w:b/>
          <w:bCs/>
          <w:i/>
          <w:iCs/>
        </w:rPr>
      </w:pPr>
      <w:r w:rsidRPr="002D2E80">
        <w:rPr>
          <w:rFonts w:ascii="Arial" w:hAnsi="Arial" w:eastAsia="Calibri" w:cs="Arial"/>
          <w:lang w:val="es-ES"/>
        </w:rPr>
        <w:t>Las reglas aplicables a este tipo de operaciones dejan claro que, independientemente de la modalidad negocial adoptada, estas siempre se contratan de manera directa. Lo anterior deriva de la habilitación del citado artículo 41 de la Ley 80 de 1993 y del artículo 2.2.1.5.1 del Decreto 1068 de 2015</w:t>
      </w:r>
      <w:r w:rsidRPr="002D2E80">
        <w:rPr>
          <w:rFonts w:ascii="Arial" w:hAnsi="Arial" w:eastAsia="Calibri" w:cs="Arial"/>
          <w:bCs/>
          <w:vertAlign w:val="superscript"/>
        </w:rPr>
        <w:footnoteReference w:id="31"/>
      </w:r>
      <w:r w:rsidRPr="002D2E80">
        <w:rPr>
          <w:rFonts w:ascii="Arial" w:hAnsi="Arial" w:eastAsia="Calibri" w:cs="Arial"/>
          <w:lang w:val="es-ES"/>
        </w:rPr>
        <w:t xml:space="preserve">. Estas operaciones, de carácter complejo, revisten distintas formas y modalidades, pero todas encaminadas a </w:t>
      </w:r>
      <w:r w:rsidRPr="002D2E80">
        <w:rPr>
          <w:rFonts w:ascii="Arial" w:hAnsi="Arial" w:eastAsia="Calibri" w:cs="Arial"/>
        </w:rPr>
        <w:t xml:space="preserve">dotar a una entidad estatal de recursos, con plazo para su pago, por regla general. A su vez, la ley y su </w:t>
      </w:r>
      <w:r w:rsidRPr="002D2E80">
        <w:rPr>
          <w:rFonts w:ascii="Arial" w:hAnsi="Arial" w:eastAsia="Calibri" w:cs="Arial"/>
        </w:rPr>
        <w:t xml:space="preserve">reglamento han dictaminado que este tipo de operaciones se contraten directamente, </w:t>
      </w:r>
      <w:r w:rsidRPr="002D2E80">
        <w:rPr>
          <w:rFonts w:ascii="Arial" w:hAnsi="Arial" w:eastAsia="Calibri" w:cs="Arial"/>
          <w:bCs/>
        </w:rPr>
        <w:t xml:space="preserve">sin necesidad de acudir al procedimiento de licitación o concurso de méritos u </w:t>
      </w:r>
      <w:r w:rsidRPr="002D2E80">
        <w:rPr>
          <w:rFonts w:ascii="Arial" w:hAnsi="Arial" w:eastAsia="Calibri" w:cs="Arial"/>
        </w:rPr>
        <w:t>otros contemplados en la ley para garantizar la participación plural de oferentes, dado su particular objeto y naturaleza especial, que hacen difícil al Estado establecer las condiciones generales para realizar este tipo de contratación. Sin embargo, la entidad cont</w:t>
      </w:r>
      <w:r w:rsidRPr="002D2E80">
        <w:rPr>
          <w:rFonts w:ascii="Arial" w:hAnsi="Arial" w:eastAsia="Calibri" w:cs="Arial"/>
          <w:bCs/>
        </w:rPr>
        <w:t xml:space="preserve">ratante, al suscribir este tipo de contratos, deberá aplicar los principios de economía, transparencia y selección objetiva, consagrados en el Estatuto General de Contratación de la Administración Pública. </w:t>
      </w:r>
    </w:p>
    <w:p w:rsidRPr="002D2E80" w:rsidR="00A26C80" w:rsidP="00A26C80" w:rsidRDefault="00A26C80" w14:paraId="2D74F297" w14:textId="3CB7406F">
      <w:pPr>
        <w:spacing w:after="120" w:line="276" w:lineRule="auto"/>
        <w:ind w:firstLine="709"/>
        <w:jc w:val="both"/>
        <w:rPr>
          <w:rFonts w:ascii="Arial" w:hAnsi="Arial" w:eastAsia="Calibri" w:cs="Arial"/>
        </w:rPr>
      </w:pPr>
      <w:r w:rsidRPr="002D2E80">
        <w:rPr>
          <w:rFonts w:ascii="Arial" w:hAnsi="Arial" w:eastAsia="Calibri" w:cs="Arial"/>
        </w:rPr>
        <w:t xml:space="preserve">Ahora bien, pese a que </w:t>
      </w:r>
      <w:bookmarkStart w:name="_Hlk80119235" w:id="44"/>
      <w:r w:rsidRPr="002D2E80">
        <w:rPr>
          <w:rFonts w:ascii="Arial" w:hAnsi="Arial" w:eastAsia="Calibri" w:cs="Arial"/>
        </w:rPr>
        <w:t xml:space="preserve">el artículo 41 de la Ley 80 de 1993 hace referencia a las operaciones conexas a las de crédito público, el legislador no definió el alcance de estas últimas. Sin embargo, </w:t>
      </w:r>
      <w:bookmarkStart w:name="_Hlk79357116" w:id="45"/>
      <w:r w:rsidRPr="002D2E80">
        <w:rPr>
          <w:rFonts w:ascii="Arial" w:hAnsi="Arial" w:eastAsia="Calibri" w:cs="Arial"/>
        </w:rPr>
        <w:t xml:space="preserve">el artículo 2.2.1.1.4 del Decreto Único Reglamentario –que compila el artículo 6 del Decreto 2681 de 1993– dispone que </w:t>
      </w:r>
      <w:bookmarkStart w:name="_Hlk79334231" w:id="46"/>
      <w:r w:rsidR="00963AFD">
        <w:rPr>
          <w:rFonts w:ascii="Arial" w:hAnsi="Arial" w:eastAsia="Calibri" w:cs="Arial"/>
          <w:lang w:val="es-ES"/>
        </w:rPr>
        <w:t>“</w:t>
      </w:r>
      <w:r w:rsidRPr="002D2E80">
        <w:rPr>
          <w:rFonts w:ascii="Arial" w:hAnsi="Arial" w:eastAsia="Calibri" w:cs="Arial"/>
          <w:lang w:val="es-MX"/>
        </w:rPr>
        <w:t xml:space="preserve">[s]e consideran conexas a las operaciones de crédito público […] </w:t>
      </w:r>
      <w:bookmarkStart w:name="_Hlk79341798" w:id="47"/>
      <w:r w:rsidRPr="002D2E80">
        <w:rPr>
          <w:rFonts w:ascii="Arial" w:hAnsi="Arial" w:eastAsia="Calibri" w:cs="Arial"/>
          <w:lang w:val="es-MX"/>
        </w:rPr>
        <w:t>los actos o contratos relacionados que constituyen un medio necesario para la realización de tales operaciones</w:t>
      </w:r>
      <w:r w:rsidR="00963AFD">
        <w:rPr>
          <w:rFonts w:ascii="Arial" w:hAnsi="Arial" w:eastAsia="Calibri" w:cs="Arial"/>
          <w:lang w:val="es-MX"/>
        </w:rPr>
        <w:t>”</w:t>
      </w:r>
      <w:r w:rsidRPr="002D2E80">
        <w:rPr>
          <w:rFonts w:ascii="Arial" w:hAnsi="Arial" w:eastAsia="Calibri" w:cs="Arial"/>
          <w:lang w:val="es-MX"/>
        </w:rPr>
        <w:t xml:space="preserve">. </w:t>
      </w:r>
      <w:bookmarkEnd w:id="46"/>
      <w:bookmarkEnd w:id="47"/>
    </w:p>
    <w:p w:rsidRPr="002D2E80" w:rsidR="00A26C80" w:rsidP="00A26C80" w:rsidRDefault="00A26C80" w14:paraId="7A8B59AD" w14:textId="77777777">
      <w:pPr>
        <w:spacing w:after="120" w:line="276" w:lineRule="auto"/>
        <w:ind w:firstLine="709"/>
        <w:jc w:val="both"/>
        <w:rPr>
          <w:rFonts w:ascii="Arial" w:hAnsi="Arial" w:eastAsia="Calibri" w:cs="Arial"/>
          <w:lang w:val="es-MX"/>
        </w:rPr>
      </w:pPr>
      <w:r w:rsidRPr="002D2E80">
        <w:rPr>
          <w:rFonts w:ascii="Arial" w:hAnsi="Arial" w:eastAsia="Calibri" w:cs="Arial"/>
        </w:rPr>
        <w:t xml:space="preserve">De acuerdo con la citada disposición reglamentaria son </w:t>
      </w:r>
      <w:r w:rsidRPr="002D2E80">
        <w:rPr>
          <w:rFonts w:ascii="Arial" w:hAnsi="Arial" w:eastAsia="Calibri" w:cs="Arial"/>
          <w:lang w:val="es-MX"/>
        </w:rPr>
        <w:t xml:space="preserve">conexos a las operaciones de crédito público, entre otros, los contratos necesarios para el otorgamiento de garantías o contragarantías a operaciones de crédito público; los contratos de edición, colocación, incluida la colocación garantizada, fideicomiso, encargo fiduciario, garantía y administración de títulos de deuda pública en el mercado de valores, así como los contratos para la calificación de la inversión o de valores, requeridos para la emisión y colocación de tales títulos en los mercados de capitales. </w:t>
      </w:r>
    </w:p>
    <w:p w:rsidRPr="002D2E80" w:rsidR="00A26C80" w:rsidP="00A26C80" w:rsidRDefault="00A26C80" w14:paraId="4EFC4559" w14:textId="7A8DA4BB">
      <w:pPr>
        <w:spacing w:line="276" w:lineRule="auto"/>
        <w:ind w:firstLine="708"/>
        <w:jc w:val="both"/>
        <w:rPr>
          <w:rFonts w:ascii="Arial" w:hAnsi="Arial" w:eastAsia="Calibri" w:cs="Arial"/>
          <w:lang w:val="es-ES"/>
        </w:rPr>
      </w:pPr>
      <w:r w:rsidRPr="002D2E80">
        <w:rPr>
          <w:rFonts w:ascii="Arial" w:hAnsi="Arial" w:eastAsia="Calibri" w:cs="Arial"/>
          <w:lang w:val="es-MX"/>
        </w:rPr>
        <w:t xml:space="preserve">Igualmente, la norma en mención indica que también son conexos a operaciones de crédito público </w:t>
      </w:r>
      <w:r w:rsidR="00963AFD">
        <w:rPr>
          <w:rFonts w:ascii="Arial" w:hAnsi="Arial" w:eastAsia="Calibri" w:cs="Arial"/>
          <w:lang w:val="es-MX"/>
        </w:rPr>
        <w:t>“</w:t>
      </w:r>
      <w:r w:rsidRPr="002D2E80">
        <w:rPr>
          <w:rFonts w:ascii="Arial" w:hAnsi="Arial" w:eastAsia="Calibri" w:cs="Arial"/>
          <w:lang w:val="es-MX"/>
        </w:rPr>
        <w:t>[…] los contratos de intermediación necesarios para llevar a cabo tales operaciones y los de asistencia o asesoría necesarios para la negociación, contratación, o representación de la entidad estatal en el exterior que deban realizarse por personas o entidades expertas en estas materias</w:t>
      </w:r>
      <w:r w:rsidR="00963AFD">
        <w:rPr>
          <w:rFonts w:ascii="Arial" w:hAnsi="Arial" w:eastAsia="Calibri" w:cs="Arial"/>
          <w:lang w:val="es-MX"/>
        </w:rPr>
        <w:t>”</w:t>
      </w:r>
      <w:r w:rsidRPr="002D2E80">
        <w:rPr>
          <w:rFonts w:ascii="Arial" w:hAnsi="Arial" w:eastAsia="Calibri" w:cs="Arial"/>
          <w:lang w:val="es-MX"/>
        </w:rPr>
        <w:t>. Además, el precepto reglamentario prescribe que las operaciones conexas se contratarán en forma directa, sin someterse al procedimiento de licitación o concurso de méritos.</w:t>
      </w:r>
      <w:bookmarkEnd w:id="44"/>
      <w:r w:rsidRPr="002D2E80">
        <w:rPr>
          <w:rFonts w:ascii="Arial" w:hAnsi="Arial" w:eastAsia="Calibri" w:cs="Arial"/>
          <w:lang w:val="es-ES"/>
        </w:rPr>
        <w:t xml:space="preserve"> En este sentido</w:t>
      </w:r>
      <w:bookmarkEnd w:id="45"/>
      <w:r w:rsidRPr="002D2E80">
        <w:rPr>
          <w:rFonts w:ascii="Arial" w:hAnsi="Arial" w:eastAsia="Calibri" w:cs="Arial"/>
          <w:lang w:val="es-ES"/>
        </w:rPr>
        <w:t>, los lineamientos técnicos del Departamento Nacional de Planeación han dado una pauta similar a aquella fijada en la norma reglamentaria, explicando que las operaciones conexas:</w:t>
      </w:r>
    </w:p>
    <w:p w:rsidRPr="002D2E80" w:rsidR="00A26C80" w:rsidP="00A26C80" w:rsidRDefault="00146E9C" w14:paraId="13781525" w14:textId="76DDB91F">
      <w:pPr>
        <w:ind w:left="720" w:right="709"/>
        <w:jc w:val="both"/>
        <w:rPr>
          <w:rFonts w:ascii="Arial" w:hAnsi="Arial" w:eastAsia="Calibri" w:cs="Arial"/>
          <w:sz w:val="21"/>
          <w:szCs w:val="21"/>
          <w:lang w:val="es-MX"/>
        </w:rPr>
      </w:pPr>
      <w:r>
        <w:rPr>
          <w:rFonts w:ascii="Arial" w:hAnsi="Arial" w:eastAsia="Calibri" w:cs="Arial"/>
          <w:sz w:val="21"/>
          <w:szCs w:val="21"/>
          <w:lang w:val="es-ES"/>
        </w:rPr>
        <w:t>“</w:t>
      </w:r>
      <w:r w:rsidRPr="002D2E80" w:rsidR="00A26C80">
        <w:rPr>
          <w:rFonts w:ascii="Arial" w:hAnsi="Arial" w:eastAsia="Calibri" w:cs="Arial"/>
          <w:sz w:val="21"/>
          <w:szCs w:val="21"/>
          <w:lang w:val="es-ES"/>
        </w:rPr>
        <w:t>S</w:t>
      </w:r>
      <w:proofErr w:type="spellStart"/>
      <w:r w:rsidRPr="002D2E80" w:rsidR="00A26C80">
        <w:rPr>
          <w:rFonts w:ascii="Arial" w:hAnsi="Arial" w:eastAsia="Calibri" w:cs="Arial"/>
          <w:sz w:val="21"/>
          <w:szCs w:val="21"/>
          <w:u w:val="single"/>
          <w:lang w:val="es-MX"/>
        </w:rPr>
        <w:t>on</w:t>
      </w:r>
      <w:proofErr w:type="spellEnd"/>
      <w:r w:rsidRPr="002D2E80" w:rsidR="00A26C80">
        <w:rPr>
          <w:rFonts w:ascii="Arial" w:hAnsi="Arial" w:eastAsia="Calibri" w:cs="Arial"/>
          <w:sz w:val="21"/>
          <w:szCs w:val="21"/>
          <w:u w:val="single"/>
          <w:lang w:val="es-MX"/>
        </w:rPr>
        <w:t xml:space="preserve"> todos los actos o contratos necesarios para la realización de operaciones de crédito</w:t>
      </w:r>
      <w:r w:rsidRPr="002D2E80" w:rsidR="00A26C80">
        <w:rPr>
          <w:rFonts w:ascii="Arial" w:hAnsi="Arial" w:eastAsia="Calibri" w:cs="Arial"/>
          <w:sz w:val="21"/>
          <w:szCs w:val="21"/>
          <w:u w:val="single"/>
          <w:lang w:val="es-ES"/>
        </w:rPr>
        <w:t xml:space="preserve"> </w:t>
      </w:r>
      <w:r w:rsidRPr="002D2E80" w:rsidR="00A26C80">
        <w:rPr>
          <w:rFonts w:ascii="Arial" w:hAnsi="Arial" w:eastAsia="Calibri" w:cs="Arial"/>
          <w:sz w:val="21"/>
          <w:szCs w:val="21"/>
          <w:u w:val="single"/>
          <w:lang w:val="es-MX"/>
        </w:rPr>
        <w:t>público […]. Se contratan en forma directa sin</w:t>
      </w:r>
      <w:r w:rsidRPr="002D2E80" w:rsidR="00A26C80">
        <w:rPr>
          <w:rFonts w:ascii="Arial" w:hAnsi="Arial" w:eastAsia="Calibri" w:cs="Arial"/>
          <w:sz w:val="21"/>
          <w:szCs w:val="21"/>
          <w:u w:val="single"/>
          <w:lang w:val="es-ES"/>
        </w:rPr>
        <w:t xml:space="preserve"> </w:t>
      </w:r>
      <w:r w:rsidRPr="002D2E80" w:rsidR="00A26C80">
        <w:rPr>
          <w:rFonts w:ascii="Arial" w:hAnsi="Arial" w:eastAsia="Calibri" w:cs="Arial"/>
          <w:sz w:val="21"/>
          <w:szCs w:val="21"/>
          <w:u w:val="single"/>
          <w:lang w:val="es-MX"/>
        </w:rPr>
        <w:t>someterse al procedimiento de licitación o concurso de méritos, por cuanto la</w:t>
      </w:r>
      <w:r w:rsidRPr="002D2E80" w:rsidR="00A26C80">
        <w:rPr>
          <w:rFonts w:ascii="Arial" w:hAnsi="Arial" w:eastAsia="Calibri" w:cs="Arial"/>
          <w:sz w:val="21"/>
          <w:szCs w:val="21"/>
          <w:u w:val="single"/>
          <w:lang w:val="es-ES"/>
        </w:rPr>
        <w:t xml:space="preserve"> </w:t>
      </w:r>
      <w:r w:rsidRPr="002D2E80" w:rsidR="00A26C80">
        <w:rPr>
          <w:rFonts w:ascii="Arial" w:hAnsi="Arial" w:eastAsia="Calibri" w:cs="Arial"/>
          <w:sz w:val="21"/>
          <w:szCs w:val="21"/>
          <w:u w:val="single"/>
          <w:lang w:val="es-MX"/>
        </w:rPr>
        <w:t>autorización está dada implícitamente en la operación a la que es conexa</w:t>
      </w:r>
      <w:r w:rsidRPr="002D2E80" w:rsidR="00A26C80">
        <w:rPr>
          <w:rFonts w:ascii="Arial" w:hAnsi="Arial" w:eastAsia="Calibri" w:cs="Arial"/>
          <w:sz w:val="21"/>
          <w:szCs w:val="21"/>
          <w:lang w:val="es-MX"/>
        </w:rPr>
        <w:t>.</w:t>
      </w:r>
    </w:p>
    <w:p w:rsidRPr="002D2E80" w:rsidR="00A26C80" w:rsidP="00A26C80" w:rsidRDefault="00A26C80" w14:paraId="00CFE0AC" w14:textId="77777777">
      <w:pPr>
        <w:ind w:left="720" w:right="709"/>
        <w:contextualSpacing/>
        <w:jc w:val="both"/>
        <w:rPr>
          <w:rFonts w:ascii="Arial" w:hAnsi="Arial" w:eastAsia="Calibri" w:cs="Arial"/>
          <w:sz w:val="21"/>
          <w:szCs w:val="21"/>
          <w:lang w:val="es-MX"/>
        </w:rPr>
      </w:pPr>
    </w:p>
    <w:p w:rsidRPr="002D2E80" w:rsidR="00A26C80" w:rsidP="00A26C80" w:rsidRDefault="00A26C80" w14:paraId="41EACAC0" w14:textId="77777777">
      <w:pPr>
        <w:ind w:left="720" w:right="709"/>
        <w:contextualSpacing/>
        <w:jc w:val="both"/>
        <w:rPr>
          <w:rFonts w:ascii="Arial" w:hAnsi="Arial" w:eastAsia="Calibri" w:cs="Arial"/>
          <w:sz w:val="21"/>
          <w:szCs w:val="21"/>
          <w:lang w:val="es-MX"/>
        </w:rPr>
      </w:pPr>
      <w:r w:rsidRPr="002D2E80">
        <w:rPr>
          <w:rFonts w:ascii="Arial" w:hAnsi="Arial" w:eastAsia="Calibri" w:cs="Arial"/>
          <w:sz w:val="21"/>
          <w:szCs w:val="21"/>
          <w:lang w:val="es-MX"/>
        </w:rPr>
        <w:t>Tipos de Operaciones (Entre Otras)</w:t>
      </w:r>
    </w:p>
    <w:p w:rsidRPr="002D2E80" w:rsidR="00A26C80" w:rsidP="00A26C80" w:rsidRDefault="00A26C80" w14:paraId="6770FE4B" w14:textId="77777777">
      <w:pPr>
        <w:ind w:left="720" w:right="709" w:firstLine="360"/>
        <w:contextualSpacing/>
        <w:jc w:val="both"/>
        <w:rPr>
          <w:rFonts w:ascii="Arial" w:hAnsi="Arial" w:eastAsia="Calibri" w:cs="Arial"/>
          <w:sz w:val="21"/>
          <w:szCs w:val="21"/>
          <w:lang w:val="es-MX"/>
        </w:rPr>
      </w:pPr>
    </w:p>
    <w:p w:rsidRPr="002D2E80" w:rsidR="00A26C80" w:rsidP="00A26C80" w:rsidRDefault="00A26C80" w14:paraId="74D860AE" w14:textId="77777777">
      <w:pPr>
        <w:numPr>
          <w:ilvl w:val="0"/>
          <w:numId w:val="7"/>
        </w:numPr>
        <w:spacing w:after="200" w:line="240" w:lineRule="auto"/>
        <w:ind w:left="1134" w:right="709" w:hanging="425"/>
        <w:contextualSpacing/>
        <w:jc w:val="both"/>
        <w:rPr>
          <w:rFonts w:ascii="Arial" w:hAnsi="Arial" w:eastAsia="Calibri" w:cs="Arial"/>
          <w:sz w:val="21"/>
          <w:szCs w:val="21"/>
          <w:lang w:val="es-MX"/>
        </w:rPr>
      </w:pPr>
      <w:r w:rsidRPr="002D2E80">
        <w:rPr>
          <w:rFonts w:ascii="Arial" w:hAnsi="Arial" w:eastAsia="Calibri" w:cs="Arial"/>
          <w:sz w:val="21"/>
          <w:szCs w:val="21"/>
          <w:lang w:val="es-MX"/>
        </w:rPr>
        <w:t>Los contratos necesarios para el otorgamiento de garantías o contragarantías a</w:t>
      </w:r>
      <w:r w:rsidRPr="002D2E80">
        <w:rPr>
          <w:rFonts w:ascii="Arial" w:hAnsi="Arial" w:eastAsia="Calibri" w:cs="Arial"/>
          <w:sz w:val="21"/>
          <w:szCs w:val="21"/>
          <w:lang w:val="es-ES"/>
        </w:rPr>
        <w:t xml:space="preserve"> </w:t>
      </w:r>
      <w:r w:rsidRPr="002D2E80">
        <w:rPr>
          <w:rFonts w:ascii="Arial" w:hAnsi="Arial" w:eastAsia="Calibri" w:cs="Arial"/>
          <w:sz w:val="21"/>
          <w:szCs w:val="21"/>
          <w:lang w:val="es-MX"/>
        </w:rPr>
        <w:t>operaciones de crédito público.</w:t>
      </w:r>
    </w:p>
    <w:p w:rsidRPr="002D2E80" w:rsidR="00A26C80" w:rsidP="00A26C80" w:rsidRDefault="00A26C80" w14:paraId="2C01E075" w14:textId="77777777">
      <w:pPr>
        <w:numPr>
          <w:ilvl w:val="0"/>
          <w:numId w:val="7"/>
        </w:numPr>
        <w:spacing w:after="200" w:line="240" w:lineRule="auto"/>
        <w:ind w:left="1134" w:right="709" w:hanging="425"/>
        <w:contextualSpacing/>
        <w:jc w:val="both"/>
        <w:rPr>
          <w:rFonts w:ascii="Arial" w:hAnsi="Arial" w:eastAsia="Calibri" w:cs="Arial"/>
          <w:sz w:val="21"/>
          <w:szCs w:val="21"/>
          <w:lang w:val="es-MX"/>
        </w:rPr>
      </w:pPr>
      <w:r w:rsidRPr="002D2E80">
        <w:rPr>
          <w:rFonts w:ascii="Arial" w:hAnsi="Arial" w:eastAsia="Calibri" w:cs="Arial"/>
          <w:sz w:val="21"/>
          <w:szCs w:val="21"/>
          <w:lang w:val="es-MX"/>
        </w:rPr>
        <w:t>Los contratos de edición, colocación, colocación garantizada, fideicomiso o</w:t>
      </w:r>
      <w:r w:rsidRPr="002D2E80">
        <w:rPr>
          <w:rFonts w:ascii="Arial" w:hAnsi="Arial" w:eastAsia="Calibri" w:cs="Arial"/>
          <w:sz w:val="21"/>
          <w:szCs w:val="21"/>
          <w:lang w:val="es-ES"/>
        </w:rPr>
        <w:t xml:space="preserve"> </w:t>
      </w:r>
      <w:r w:rsidRPr="002D2E80">
        <w:rPr>
          <w:rFonts w:ascii="Arial" w:hAnsi="Arial" w:eastAsia="Calibri" w:cs="Arial"/>
          <w:sz w:val="21"/>
          <w:szCs w:val="21"/>
          <w:lang w:val="es-MX"/>
        </w:rPr>
        <w:t>encargo fiduciarios, garantía y administración de títulos de deuda pública en el</w:t>
      </w:r>
      <w:r w:rsidRPr="002D2E80">
        <w:rPr>
          <w:rFonts w:ascii="Arial" w:hAnsi="Arial" w:eastAsia="Calibri" w:cs="Arial"/>
          <w:sz w:val="21"/>
          <w:szCs w:val="21"/>
          <w:lang w:val="es-ES"/>
        </w:rPr>
        <w:t xml:space="preserve"> </w:t>
      </w:r>
      <w:r w:rsidRPr="002D2E80">
        <w:rPr>
          <w:rFonts w:ascii="Arial" w:hAnsi="Arial" w:eastAsia="Calibri" w:cs="Arial"/>
          <w:sz w:val="21"/>
          <w:szCs w:val="21"/>
          <w:lang w:val="es-MX"/>
        </w:rPr>
        <w:t>mercado de valores.</w:t>
      </w:r>
    </w:p>
    <w:p w:rsidRPr="002D2E80" w:rsidR="00A26C80" w:rsidP="00A26C80" w:rsidRDefault="00A26C80" w14:paraId="5F0CBC0C" w14:textId="77777777">
      <w:pPr>
        <w:numPr>
          <w:ilvl w:val="0"/>
          <w:numId w:val="7"/>
        </w:numPr>
        <w:spacing w:after="200" w:line="240" w:lineRule="auto"/>
        <w:ind w:left="1134" w:right="709" w:hanging="425"/>
        <w:contextualSpacing/>
        <w:jc w:val="both"/>
        <w:rPr>
          <w:rFonts w:ascii="Arial" w:hAnsi="Arial" w:eastAsia="Calibri" w:cs="Arial"/>
          <w:sz w:val="21"/>
          <w:szCs w:val="21"/>
          <w:lang w:val="es-MX"/>
        </w:rPr>
      </w:pPr>
      <w:r w:rsidRPr="002D2E80">
        <w:rPr>
          <w:rFonts w:ascii="Arial" w:hAnsi="Arial" w:eastAsia="Calibri" w:cs="Arial"/>
          <w:sz w:val="21"/>
          <w:szCs w:val="21"/>
          <w:lang w:val="es-MX"/>
        </w:rPr>
        <w:t>Los contratos para la calificación de la inversión o de valores, requeridos para la</w:t>
      </w:r>
      <w:r w:rsidRPr="002D2E80">
        <w:rPr>
          <w:rFonts w:ascii="Arial" w:hAnsi="Arial" w:eastAsia="Calibri" w:cs="Arial"/>
          <w:sz w:val="21"/>
          <w:szCs w:val="21"/>
          <w:lang w:val="es-ES"/>
        </w:rPr>
        <w:t xml:space="preserve"> </w:t>
      </w:r>
      <w:r w:rsidRPr="002D2E80">
        <w:rPr>
          <w:rFonts w:ascii="Arial" w:hAnsi="Arial" w:eastAsia="Calibri" w:cs="Arial"/>
          <w:sz w:val="21"/>
          <w:szCs w:val="21"/>
          <w:lang w:val="es-MX"/>
        </w:rPr>
        <w:t>emisión y colocación de títulos en los mercados de capitales.</w:t>
      </w:r>
    </w:p>
    <w:p w:rsidRPr="002D2E80" w:rsidR="00A26C80" w:rsidP="00A26C80" w:rsidRDefault="00A26C80" w14:paraId="06970682" w14:textId="4AB02084">
      <w:pPr>
        <w:numPr>
          <w:ilvl w:val="0"/>
          <w:numId w:val="7"/>
        </w:numPr>
        <w:spacing w:after="200" w:line="240" w:lineRule="auto"/>
        <w:ind w:left="1134" w:right="709" w:hanging="425"/>
        <w:contextualSpacing/>
        <w:jc w:val="both"/>
        <w:rPr>
          <w:rFonts w:ascii="Arial" w:hAnsi="Arial" w:eastAsia="Calibri" w:cs="Arial"/>
          <w:sz w:val="21"/>
          <w:szCs w:val="21"/>
          <w:lang w:val="es-MX"/>
        </w:rPr>
      </w:pPr>
      <w:r w:rsidRPr="002D2E80">
        <w:rPr>
          <w:rFonts w:ascii="Arial" w:hAnsi="Arial" w:eastAsia="Calibri" w:cs="Arial"/>
          <w:sz w:val="21"/>
          <w:szCs w:val="21"/>
          <w:lang w:val="es-MX"/>
        </w:rPr>
        <w:t>Los contratos de intermediación necesarios para llevar a cabo operaciones de</w:t>
      </w:r>
      <w:r w:rsidRPr="002D2E80">
        <w:rPr>
          <w:rFonts w:ascii="Arial" w:hAnsi="Arial" w:eastAsia="Calibri" w:cs="Arial"/>
          <w:sz w:val="21"/>
          <w:szCs w:val="21"/>
          <w:lang w:val="es-ES"/>
        </w:rPr>
        <w:t xml:space="preserve"> </w:t>
      </w:r>
      <w:r w:rsidRPr="002D2E80">
        <w:rPr>
          <w:rFonts w:ascii="Arial" w:hAnsi="Arial" w:eastAsia="Calibri" w:cs="Arial"/>
          <w:sz w:val="21"/>
          <w:szCs w:val="21"/>
          <w:lang w:val="es-MX"/>
        </w:rPr>
        <w:t>crédito público</w:t>
      </w:r>
      <w:r w:rsidR="00146E9C">
        <w:rPr>
          <w:rFonts w:ascii="Arial" w:hAnsi="Arial" w:eastAsia="Calibri" w:cs="Arial"/>
          <w:sz w:val="21"/>
          <w:szCs w:val="21"/>
          <w:lang w:val="es-MX"/>
        </w:rPr>
        <w:t>”</w:t>
      </w:r>
      <w:r w:rsidRPr="002D2E80">
        <w:rPr>
          <w:rFonts w:ascii="Arial" w:hAnsi="Arial" w:eastAsia="Calibri" w:cs="Arial"/>
          <w:sz w:val="21"/>
          <w:szCs w:val="21"/>
          <w:vertAlign w:val="superscript"/>
          <w:lang w:val="es-ES"/>
        </w:rPr>
        <w:footnoteReference w:id="32"/>
      </w:r>
      <w:r w:rsidRPr="002D2E80">
        <w:rPr>
          <w:rFonts w:ascii="Arial" w:hAnsi="Arial" w:eastAsia="Calibri" w:cs="Arial"/>
          <w:sz w:val="21"/>
          <w:szCs w:val="21"/>
          <w:lang w:val="es-ES"/>
        </w:rPr>
        <w:t>. (subraya fuera del texto original)</w:t>
      </w:r>
    </w:p>
    <w:p w:rsidR="00146E9C" w:rsidP="00A26C80" w:rsidRDefault="00146E9C" w14:paraId="590CA29A" w14:textId="77777777">
      <w:pPr>
        <w:spacing w:after="120" w:line="276" w:lineRule="auto"/>
        <w:ind w:firstLine="709"/>
        <w:jc w:val="both"/>
        <w:rPr>
          <w:rFonts w:ascii="Arial" w:hAnsi="Arial" w:eastAsia="Calibri" w:cs="Arial"/>
          <w:lang w:val="es-ES"/>
        </w:rPr>
      </w:pPr>
    </w:p>
    <w:p w:rsidRPr="002D2E80" w:rsidR="00A26C80" w:rsidP="00A26C80" w:rsidRDefault="00A26C80" w14:paraId="62BF7649" w14:textId="6730DFF5">
      <w:pPr>
        <w:spacing w:after="120" w:line="276" w:lineRule="auto"/>
        <w:ind w:firstLine="709"/>
        <w:jc w:val="both"/>
        <w:rPr>
          <w:rFonts w:ascii="Arial" w:hAnsi="Arial" w:eastAsia="Calibri" w:cs="Arial"/>
          <w:lang w:val="es-ES"/>
        </w:rPr>
      </w:pPr>
      <w:r w:rsidRPr="002D2E80">
        <w:rPr>
          <w:rFonts w:ascii="Arial" w:hAnsi="Arial" w:eastAsia="Calibri" w:cs="Arial"/>
          <w:lang w:val="es-ES"/>
        </w:rPr>
        <w:t xml:space="preserve">Por consiguiente, </w:t>
      </w:r>
      <w:bookmarkStart w:name="_Hlk79357198" w:id="48"/>
      <w:bookmarkStart w:name="_Hlk80119480" w:id="49"/>
      <w:r w:rsidRPr="002D2E80">
        <w:rPr>
          <w:rFonts w:ascii="Arial" w:hAnsi="Arial" w:eastAsia="Calibri" w:cs="Arial"/>
          <w:lang w:val="es-ES"/>
        </w:rPr>
        <w:t>las operaciones conexas corresponden a actos y contratos celebrados durante el proceso que se adelanta para lograr la operación de crédito público y no se entienden de manera aislada a la actuación económica perseguida, dado que, su esencia, es la de servir de instrumento que facilita y permite la operación. Por eso, incluso, pueden ser también contratadas directamente, en el entendido que, al tener una relación inescindible, se les extiende la autorización que tiene el contrato de la operación de crédito público a la que es conexa.</w:t>
      </w:r>
    </w:p>
    <w:bookmarkEnd w:id="48"/>
    <w:p w:rsidRPr="002D2E80" w:rsidR="00A26C80" w:rsidP="00A26C80" w:rsidRDefault="00A26C80" w14:paraId="6629B58B" w14:textId="51FCABBD">
      <w:pPr>
        <w:spacing w:after="120" w:line="276" w:lineRule="auto"/>
        <w:jc w:val="both"/>
        <w:rPr>
          <w:rFonts w:ascii="Arial" w:hAnsi="Arial" w:eastAsia="Calibri" w:cs="Arial"/>
        </w:rPr>
      </w:pPr>
      <w:r w:rsidRPr="002D2E80">
        <w:rPr>
          <w:rFonts w:ascii="Arial" w:hAnsi="Arial" w:eastAsia="Calibri" w:cs="Arial"/>
          <w:lang w:val="es-ES"/>
        </w:rPr>
        <w:tab/>
      </w:r>
      <w:bookmarkStart w:name="_Hlk79357306" w:id="50"/>
      <w:r w:rsidRPr="002D2E80">
        <w:rPr>
          <w:rFonts w:ascii="Arial" w:hAnsi="Arial" w:eastAsia="Calibri" w:cs="Arial"/>
          <w:lang w:val="es-ES"/>
        </w:rPr>
        <w:t xml:space="preserve">De las nomas analizadas se colige que las operaciones conexas son actos y contratos sin los cuales las operaciones principales de crédito público no podrían concretarse o materializarse. De ahí que resulten </w:t>
      </w:r>
      <w:r w:rsidR="00963AFD">
        <w:rPr>
          <w:rFonts w:ascii="Arial" w:hAnsi="Arial" w:eastAsia="Calibri" w:cs="Arial"/>
          <w:lang w:val="es-ES"/>
        </w:rPr>
        <w:t>“</w:t>
      </w:r>
      <w:r w:rsidRPr="002D2E80">
        <w:rPr>
          <w:rFonts w:ascii="Arial" w:hAnsi="Arial" w:eastAsia="Calibri" w:cs="Arial"/>
          <w:lang w:val="es-ES"/>
        </w:rPr>
        <w:t>necesarias</w:t>
      </w:r>
      <w:r w:rsidR="00963AFD">
        <w:rPr>
          <w:rFonts w:ascii="Arial" w:hAnsi="Arial" w:eastAsia="Calibri" w:cs="Arial"/>
          <w:lang w:val="es-ES"/>
        </w:rPr>
        <w:t>”</w:t>
      </w:r>
      <w:r w:rsidRPr="002D2E80">
        <w:rPr>
          <w:rFonts w:ascii="Arial" w:hAnsi="Arial" w:eastAsia="Calibri" w:cs="Arial"/>
          <w:lang w:val="es-ES"/>
        </w:rPr>
        <w:t xml:space="preserve"> para su realización, pues constituyen un medio para alcanzar el fin de estas operaciones, es decir, para la obtención del crédito público y, por lo tanto, para la celebración del contrato con ese objeto. </w:t>
      </w:r>
      <w:bookmarkEnd w:id="50"/>
      <w:r w:rsidRPr="002D2E80">
        <w:rPr>
          <w:rFonts w:ascii="Arial" w:hAnsi="Arial" w:eastAsia="Calibri" w:cs="Arial"/>
          <w:lang w:val="es-ES"/>
        </w:rPr>
        <w:t xml:space="preserve">En efecto, se reitera que la ley y el reglamento definen las actividades de crédito público y dentro de ese marco establecen las actividades u operaciones conexas a aquellas, en el entendido de que son necesarias e imprescindibles para la realización de las primeras. Dicha relación entre las actividades de crédito público y sus operaciones conexas permite concluir que para que las primeras sean llevadas a cabo resulta indispensable, también, efectuar las segundas. </w:t>
      </w:r>
    </w:p>
    <w:p w:rsidRPr="002D2E80" w:rsidR="00A26C80" w:rsidP="00A26C80" w:rsidRDefault="00A26C80" w14:paraId="69268C55" w14:textId="77777777">
      <w:pPr>
        <w:tabs>
          <w:tab w:val="left" w:pos="-720"/>
          <w:tab w:val="left" w:pos="851"/>
          <w:tab w:val="left" w:pos="1701"/>
          <w:tab w:val="left" w:pos="1985"/>
          <w:tab w:val="left" w:pos="2410"/>
        </w:tabs>
        <w:suppressAutoHyphens/>
        <w:spacing w:after="120" w:line="276" w:lineRule="auto"/>
        <w:ind w:firstLine="709"/>
        <w:jc w:val="both"/>
        <w:rPr>
          <w:rFonts w:ascii="Arial" w:hAnsi="Arial" w:eastAsia="Calibri" w:cs="Arial"/>
          <w:lang w:val="es-ES"/>
        </w:rPr>
      </w:pPr>
      <w:r w:rsidRPr="002D2E80">
        <w:rPr>
          <w:rFonts w:ascii="Arial" w:hAnsi="Arial" w:eastAsia="Calibri" w:cs="Arial"/>
        </w:rPr>
        <w:t xml:space="preserve">Por este motivo, </w:t>
      </w:r>
      <w:bookmarkStart w:name="_Hlk79357606" w:id="51"/>
      <w:r w:rsidRPr="002D2E80">
        <w:rPr>
          <w:rFonts w:ascii="Arial" w:hAnsi="Arial" w:eastAsia="Calibri" w:cs="Arial"/>
        </w:rPr>
        <w:t xml:space="preserve">la excepción del artículo 33 de la Ley 996 de 2005 a la prohibición a la contratación directa en el periodo previo a la elección presidencial, cobija no solo los contratos de crédito público sino también los contratos conexos que permiten su celebración. Esto en la medida que tienen una interdependencia funcional y teleológica y, aun cuando cada tipo negocial conserva su individualidad normativa, su relación es de medio a fin. En otras palabras, las operaciones conexas son una </w:t>
      </w:r>
      <w:proofErr w:type="spellStart"/>
      <w:r w:rsidRPr="002D2E80">
        <w:rPr>
          <w:rFonts w:ascii="Arial" w:hAnsi="Arial" w:eastAsia="Calibri" w:cs="Arial"/>
          <w:i/>
          <w:iCs/>
        </w:rPr>
        <w:t>conditio</w:t>
      </w:r>
      <w:proofErr w:type="spellEnd"/>
      <w:r w:rsidRPr="002D2E80">
        <w:rPr>
          <w:rFonts w:ascii="Arial" w:hAnsi="Arial" w:eastAsia="Calibri" w:cs="Arial"/>
          <w:i/>
          <w:iCs/>
        </w:rPr>
        <w:t xml:space="preserve"> sine qua non</w:t>
      </w:r>
      <w:r w:rsidRPr="002D2E80">
        <w:rPr>
          <w:rFonts w:ascii="Arial" w:hAnsi="Arial" w:eastAsia="Calibri" w:cs="Arial"/>
        </w:rPr>
        <w:t xml:space="preserve"> de las operaciones principales de crédito público.</w:t>
      </w:r>
      <w:bookmarkEnd w:id="51"/>
      <w:r w:rsidRPr="002D2E80">
        <w:rPr>
          <w:rFonts w:ascii="Arial" w:hAnsi="Arial" w:eastAsia="Calibri" w:cs="Arial"/>
          <w:lang w:val="es-ES"/>
        </w:rPr>
        <w:t xml:space="preserve"> En igual sentido, una lectura en conjunto de los artículos </w:t>
      </w:r>
      <w:r w:rsidRPr="002D2E80">
        <w:rPr>
          <w:rFonts w:ascii="Arial" w:hAnsi="Arial" w:eastAsia="Calibri" w:cs="Arial"/>
        </w:rPr>
        <w:t xml:space="preserve">2.2.1.1.4. y </w:t>
      </w:r>
      <w:r w:rsidRPr="002D2E80">
        <w:rPr>
          <w:rFonts w:ascii="Arial" w:hAnsi="Arial" w:eastAsia="Calibri" w:cs="Arial"/>
          <w:lang w:val="es-ES"/>
        </w:rPr>
        <w:t xml:space="preserve">2.2.1.5.1. del Decreto 1068 de 2015 muestra la intención clara y reiterativa de la norma reglamentaria de someter las operaciones conexas al mismo </w:t>
      </w:r>
      <w:r w:rsidRPr="002D2E80">
        <w:rPr>
          <w:rFonts w:ascii="Arial" w:hAnsi="Arial" w:eastAsia="Calibri" w:cs="Arial"/>
          <w:lang w:val="es-ES"/>
        </w:rPr>
        <w:t>régimen contractual de las operaciones principales, es decir, a la modalidad de contratación directa.</w:t>
      </w:r>
    </w:p>
    <w:bookmarkEnd w:id="49"/>
    <w:p w:rsidRPr="002D2E80" w:rsidR="00A26C80" w:rsidP="00A26C80" w:rsidRDefault="00A26C80" w14:paraId="06E275DE" w14:textId="77777777">
      <w:pPr>
        <w:spacing w:after="120" w:line="276" w:lineRule="auto"/>
        <w:ind w:firstLine="709"/>
        <w:jc w:val="both"/>
        <w:rPr>
          <w:rFonts w:ascii="Arial" w:hAnsi="Arial" w:eastAsia="Calibri" w:cs="Arial"/>
          <w:lang w:val="es-ES"/>
        </w:rPr>
      </w:pPr>
      <w:r w:rsidRPr="002D2E80">
        <w:rPr>
          <w:rFonts w:ascii="Arial" w:hAnsi="Arial" w:eastAsia="Calibri" w:cs="Arial"/>
          <w:lang w:val="es-ES"/>
        </w:rPr>
        <w:t xml:space="preserve">De todo lo dicho, se advierte, primero, que la restricción para la contratación directa del artículo 33 de la Ley 996 de 2005 obedece a una finalidad primordial de garantizar la seguridad, transparencia e integridad de la actividad electoral. Por esa razón, el legislador decidió prohibir que las entidades públicas lleven a cabo procesos de selección mediante contratación directa durante los 4 meses anteriores a la elección presidencial y hasta la realización de la elección en la segunda vuelta, si hubiere lugar a ello. </w:t>
      </w:r>
    </w:p>
    <w:p w:rsidRPr="002D2E80" w:rsidR="00A26C80" w:rsidP="00A26C80" w:rsidRDefault="00A26C80" w14:paraId="38D08916" w14:textId="77777777">
      <w:pPr>
        <w:spacing w:after="120" w:line="276" w:lineRule="auto"/>
        <w:ind w:firstLine="709"/>
        <w:jc w:val="both"/>
        <w:rPr>
          <w:rFonts w:ascii="Arial" w:hAnsi="Arial" w:eastAsia="Calibri" w:cs="Arial"/>
          <w:lang w:val="es-ES"/>
        </w:rPr>
      </w:pPr>
      <w:r w:rsidRPr="002D2E80">
        <w:rPr>
          <w:rFonts w:ascii="Arial" w:hAnsi="Arial" w:eastAsia="Calibri" w:cs="Arial"/>
          <w:lang w:val="es-ES"/>
        </w:rPr>
        <w:t xml:space="preserve">Sin embargo, el propio artículo 33 dispone de ciertos casos en los cuales resulta exceptuada dicha prohibición. Así, excluye a lo referente a las operaciones de crédito público, lo que significa que pueden contratarse directamente durante el periodo preelectoral. Como se explicó </w:t>
      </w:r>
      <w:r w:rsidRPr="002D2E80">
        <w:rPr>
          <w:rFonts w:ascii="Arial" w:hAnsi="Arial" w:eastAsia="Calibri" w:cs="Arial"/>
          <w:i/>
          <w:iCs/>
          <w:lang w:val="es-ES"/>
        </w:rPr>
        <w:t>ut supra</w:t>
      </w:r>
      <w:r w:rsidRPr="002D2E80">
        <w:rPr>
          <w:rFonts w:ascii="Arial" w:hAnsi="Arial" w:eastAsia="Calibri" w:cs="Arial"/>
          <w:lang w:val="es-ES"/>
        </w:rPr>
        <w:t>, las excepciones a la prohibición obedecen a distintos criterios como la naturaleza de la actividad, su urgencia o gravedad, etc. En otras palabras, la intención del legislador al establecer tales excepciones es la de permitir la contratación directa de actividades cuya prohibición durante el periodo preelectoral no resulta justificable o razonable.</w:t>
      </w:r>
    </w:p>
    <w:p w:rsidR="00A26C80" w:rsidP="00A26C80" w:rsidRDefault="00A26C80" w14:paraId="1A6661B6" w14:textId="09E00F0E">
      <w:pPr>
        <w:spacing w:after="120" w:line="276" w:lineRule="auto"/>
        <w:ind w:firstLine="709"/>
        <w:jc w:val="both"/>
        <w:rPr>
          <w:rFonts w:ascii="Arial" w:hAnsi="Arial" w:eastAsia="Calibri" w:cs="Arial"/>
          <w:lang w:val="es-ES"/>
        </w:rPr>
      </w:pPr>
      <w:r w:rsidRPr="002D2E80">
        <w:rPr>
          <w:rFonts w:ascii="Arial" w:hAnsi="Arial" w:eastAsia="Calibri" w:cs="Arial"/>
          <w:lang w:val="es-ES"/>
        </w:rPr>
        <w:t xml:space="preserve">Así las cosas, </w:t>
      </w:r>
      <w:bookmarkStart w:name="_Hlk79357593" w:id="52"/>
      <w:r w:rsidRPr="002D2E80">
        <w:rPr>
          <w:rFonts w:ascii="Arial" w:hAnsi="Arial" w:eastAsia="Calibri" w:cs="Arial"/>
          <w:lang w:val="es-ES"/>
        </w:rPr>
        <w:t xml:space="preserve">si el legislador ha optado por permitir que durante el periodo preelectoral pueda contratarse directamente operaciones de crédito público por resultar particularmente necesarias e importantes, y en la medida en que para que estas puedan llevarse a cabo es necesaria la realización de operaciones conexas a estas, no podría concluirse nada distinto a que estas últimas también pueden ser contratadas durante el periodo preelectoral. </w:t>
      </w:r>
      <w:bookmarkEnd w:id="52"/>
      <w:r w:rsidRPr="002D2E80">
        <w:rPr>
          <w:rFonts w:ascii="Arial" w:hAnsi="Arial" w:eastAsia="Calibri" w:cs="Arial"/>
          <w:lang w:val="es-ES"/>
        </w:rPr>
        <w:t>Una conclusión distinta desconocería las finalidades perseguidas por el legislador al exceptuar las actividades de crédito público de la prohibición del artículo 33 de la Ley 996 de 2005, por cuanto de nada serviría autorizar la contratación directa de dichas actividades durante el periodo electoral, si la contratación de las operaciones conexas estuviera restringida. La finalidad de la norma y el principio del efecto útil de las disposiciones implican interpretar el contenido de las operaciones de crédito público de manera que al aplicar la excepción se produzca el efecto deseado por el legislador.</w:t>
      </w:r>
    </w:p>
    <w:p w:rsidRPr="002D2E80" w:rsidR="00A26C80" w:rsidP="00A26C80" w:rsidRDefault="00A26C80" w14:paraId="64BF546A" w14:textId="77777777">
      <w:pPr>
        <w:spacing w:line="276" w:lineRule="auto"/>
        <w:ind w:firstLine="709"/>
        <w:jc w:val="both"/>
        <w:rPr>
          <w:rFonts w:ascii="Arial" w:hAnsi="Arial" w:eastAsia="Calibri" w:cs="Arial"/>
          <w:lang w:val="es-ES"/>
        </w:rPr>
      </w:pPr>
      <w:r w:rsidRPr="002D2E80">
        <w:rPr>
          <w:rFonts w:ascii="Arial" w:hAnsi="Arial" w:eastAsia="Calibri" w:cs="Arial"/>
          <w:lang w:val="es-ES"/>
        </w:rPr>
        <w:t>No obstante, las entidades estatales deben ser cuidadosas en el análisis de cada caso concreto, para determinar si las actividades que van a realizar están amparadas por las excepciones del artículo 33 de la Ley de Garantías. Bajo la posición adoptada en el presente concepto, solamente estarían cobijadas las operaciones conexas que cumplan con el carácter de necesarias para lograr las operaciones principales de crédito público.</w:t>
      </w:r>
    </w:p>
    <w:bookmarkEnd w:id="42"/>
    <w:p w:rsidR="00524048" w:rsidP="00524048" w:rsidRDefault="00C60B22" w14:paraId="30BBE217" w14:textId="29F65F6B">
      <w:pPr>
        <w:spacing w:after="120" w:line="276" w:lineRule="auto"/>
        <w:jc w:val="both"/>
        <w:rPr>
          <w:rFonts w:ascii="Arial" w:hAnsi="Arial" w:eastAsia="Arial" w:cs="Arial"/>
          <w:lang w:val="es-ES" w:eastAsia="es-ES" w:bidi="es-ES"/>
        </w:rPr>
      </w:pPr>
      <w:r>
        <w:rPr>
          <w:rFonts w:ascii="Arial" w:hAnsi="Arial" w:eastAsia="Arial" w:cs="Arial"/>
          <w:lang w:val="es-ES"/>
        </w:rPr>
        <w:tab/>
      </w:r>
      <w:r w:rsidR="00911A1B">
        <w:rPr>
          <w:rFonts w:ascii="Arial" w:hAnsi="Arial" w:eastAsia="Arial" w:cs="Arial"/>
          <w:lang w:val="es-ES"/>
        </w:rPr>
        <w:t xml:space="preserve">Por otro lado, </w:t>
      </w:r>
      <w:r w:rsidR="00524048">
        <w:rPr>
          <w:rFonts w:ascii="Arial" w:hAnsi="Arial" w:eastAsia="Arial" w:cs="Arial"/>
          <w:lang w:val="es-ES"/>
        </w:rPr>
        <w:t xml:space="preserve">en lo referente a la restricción prevista en el parágrafo del artículo 38 de la Ley 996 de 2005, es preciso advertir que, en principio, la misma no resultaría aplicable a las operaciones de crédito público. No obstante, tratándose de operaciones de crédito </w:t>
      </w:r>
      <w:r w:rsidR="00EB3B23">
        <w:rPr>
          <w:rFonts w:ascii="Arial" w:hAnsi="Arial" w:eastAsia="Arial" w:cs="Arial"/>
          <w:lang w:val="es-ES"/>
        </w:rPr>
        <w:t>público</w:t>
      </w:r>
      <w:r w:rsidR="00524048">
        <w:rPr>
          <w:rFonts w:ascii="Arial" w:hAnsi="Arial" w:eastAsia="Arial" w:cs="Arial"/>
          <w:lang w:val="es-ES"/>
        </w:rPr>
        <w:t xml:space="preserve"> en los que el financiamiento requerido por la entidad estatal, lo ofrece una entidad </w:t>
      </w:r>
      <w:r w:rsidR="00524048">
        <w:rPr>
          <w:rFonts w:ascii="Arial" w:hAnsi="Arial" w:eastAsia="Arial" w:cs="Arial"/>
          <w:lang w:val="es-ES"/>
        </w:rPr>
        <w:t xml:space="preserve">financiera de carácter estatal, podría ser aplicable esta última restricción aludida, </w:t>
      </w:r>
      <w:r w:rsidR="00524048">
        <w:rPr>
          <w:rFonts w:ascii="Arial" w:hAnsi="Arial" w:eastAsia="Calibri" w:cs="Arial"/>
          <w:bCs/>
          <w:lang w:val="es-MX" w:eastAsia="es-ES" w:bidi="es-ES"/>
        </w:rPr>
        <w:t xml:space="preserve">como quiera que, de acuerdo con lo explicado en el acápite anterior, </w:t>
      </w:r>
      <w:r w:rsidRPr="00AA70B2" w:rsidR="00524048">
        <w:rPr>
          <w:rFonts w:ascii="Arial" w:hAnsi="Arial" w:eastAsia="Arial" w:cs="Arial"/>
          <w:lang w:val="es-ES" w:eastAsia="es-ES" w:bidi="es-ES"/>
        </w:rPr>
        <w:t>los contratos o convenios interadministrativos están determinados por un criterio orgánico, pues es necesario que los extremos de la relación contractual sean entidades</w:t>
      </w:r>
      <w:r w:rsidRPr="00AA70B2" w:rsidR="00524048">
        <w:rPr>
          <w:rFonts w:ascii="Arial" w:hAnsi="Arial" w:eastAsia="Arial" w:cs="Arial"/>
          <w:spacing w:val="-6"/>
          <w:lang w:val="es-ES" w:eastAsia="es-ES" w:bidi="es-ES"/>
        </w:rPr>
        <w:t xml:space="preserve"> </w:t>
      </w:r>
      <w:r w:rsidRPr="00AA70B2" w:rsidR="00524048">
        <w:rPr>
          <w:rFonts w:ascii="Arial" w:hAnsi="Arial" w:eastAsia="Arial" w:cs="Arial"/>
          <w:lang w:val="es-ES" w:eastAsia="es-ES" w:bidi="es-ES"/>
        </w:rPr>
        <w:t>estatales.</w:t>
      </w:r>
    </w:p>
    <w:p w:rsidR="00524048" w:rsidP="00524048" w:rsidRDefault="00524048" w14:paraId="32DD5D6E" w14:textId="77777777">
      <w:pPr>
        <w:spacing w:after="120" w:line="276" w:lineRule="auto"/>
        <w:jc w:val="both"/>
        <w:rPr>
          <w:rFonts w:ascii="Arial" w:hAnsi="Arial" w:eastAsia="Arial" w:cs="Arial"/>
          <w:lang w:val="es-ES" w:eastAsia="es-ES" w:bidi="es-ES"/>
        </w:rPr>
      </w:pPr>
      <w:r>
        <w:rPr>
          <w:rFonts w:ascii="Arial" w:hAnsi="Arial" w:eastAsia="Arial" w:cs="Arial"/>
          <w:lang w:val="es-ES" w:eastAsia="es-ES" w:bidi="es-ES"/>
        </w:rPr>
        <w:tab/>
      </w:r>
      <w:r>
        <w:rPr>
          <w:rFonts w:ascii="Arial" w:hAnsi="Arial" w:eastAsia="Arial" w:cs="Arial"/>
          <w:lang w:val="es-ES" w:eastAsia="es-ES" w:bidi="es-ES"/>
        </w:rPr>
        <w:t xml:space="preserve">Sin embargo, la aludida restricción a la contratación interadministrativa solo resultaría aplicable en los casos en los que al menos uno de los extremos de la relación contractual fuere una entidad </w:t>
      </w:r>
      <w:r w:rsidRPr="006B3B36">
        <w:rPr>
          <w:rFonts w:ascii="Arial" w:hAnsi="Arial" w:eastAsia="Arial" w:cs="Arial"/>
          <w:lang w:val="es-ES" w:eastAsia="es-ES" w:bidi="es-ES"/>
        </w:rPr>
        <w:t>descentralizada del orden municipal, departamental o distrital</w:t>
      </w:r>
      <w:r>
        <w:rPr>
          <w:rFonts w:ascii="Arial" w:hAnsi="Arial" w:eastAsia="Arial" w:cs="Arial"/>
          <w:lang w:val="es-ES" w:eastAsia="es-ES" w:bidi="es-ES"/>
        </w:rPr>
        <w:t xml:space="preserve">. En ese sentido, la restricción no sería aplicable a entidades del nivel central, ni a entidades descentralizadas del orden nacional, así como tampoco a entidades que no hacen parte de la rama ejecutiva.    </w:t>
      </w:r>
      <w:r>
        <w:rPr>
          <w:rFonts w:ascii="Arial" w:hAnsi="Arial" w:eastAsia="Arial" w:cs="Arial"/>
          <w:lang w:val="es-ES" w:eastAsia="es-ES" w:bidi="es-ES"/>
        </w:rPr>
        <w:tab/>
      </w:r>
      <w:r>
        <w:rPr>
          <w:rFonts w:ascii="Arial" w:hAnsi="Arial" w:eastAsia="Arial" w:cs="Arial"/>
          <w:lang w:val="es-ES" w:eastAsia="es-ES" w:bidi="es-ES"/>
        </w:rPr>
        <w:t xml:space="preserve">Con todo, es importante reiterar que, cualquiera que fuera la situación, en principio, corresponde a las entidades suscribientes estudiar las condiciones particulares del contrato a celebrar, así como la naturaleza jurídica de las entidades involucradas, a efectos de determinar cuál es el alcance de las mencionadas restricciones respecto del contrato a celebrar. </w:t>
      </w:r>
    </w:p>
    <w:p w:rsidRPr="00224199" w:rsidR="00C60B22" w:rsidP="00524048" w:rsidRDefault="00C60B22" w14:paraId="0F37995E" w14:textId="77777777">
      <w:pPr>
        <w:spacing w:after="120" w:line="276" w:lineRule="auto"/>
        <w:jc w:val="both"/>
        <w:rPr>
          <w:rFonts w:ascii="Arial" w:hAnsi="Arial" w:eastAsia="Arial" w:cs="Arial"/>
          <w:lang w:val="es-ES"/>
        </w:rPr>
      </w:pPr>
    </w:p>
    <w:p w:rsidRPr="00224199" w:rsidR="00C60B22" w:rsidP="00C60B22" w:rsidRDefault="00C60B22" w14:paraId="63035D20" w14:textId="77777777">
      <w:pPr>
        <w:tabs>
          <w:tab w:val="left" w:pos="0"/>
        </w:tabs>
        <w:spacing w:after="0" w:line="240" w:lineRule="auto"/>
        <w:jc w:val="both"/>
        <w:rPr>
          <w:rFonts w:ascii="Arial" w:hAnsi="Arial" w:eastAsia="Calibri" w:cs="Arial"/>
          <w:b/>
          <w:szCs w:val="24"/>
          <w:lang w:val="es-ES_tradnl" w:eastAsia="es-ES_tradnl"/>
        </w:rPr>
      </w:pPr>
      <w:r w:rsidRPr="00224199">
        <w:rPr>
          <w:rFonts w:ascii="Arial" w:hAnsi="Arial" w:eastAsia="Calibri" w:cs="Arial"/>
          <w:b/>
          <w:szCs w:val="24"/>
          <w:lang w:val="es-ES_tradnl" w:eastAsia="es-ES_tradnl"/>
        </w:rPr>
        <w:t>3. Respuesta:</w:t>
      </w:r>
    </w:p>
    <w:p w:rsidRPr="00224199" w:rsidR="00C60B22" w:rsidP="00C60B22" w:rsidRDefault="00C60B22" w14:paraId="13187463" w14:textId="77777777">
      <w:pPr>
        <w:tabs>
          <w:tab w:val="left" w:pos="0"/>
        </w:tabs>
        <w:spacing w:after="0" w:line="240" w:lineRule="auto"/>
        <w:jc w:val="both"/>
        <w:rPr>
          <w:rFonts w:ascii="Arial" w:hAnsi="Arial" w:eastAsia="Calibri" w:cs="Arial"/>
          <w:b/>
          <w:szCs w:val="24"/>
          <w:lang w:val="es-ES_tradnl" w:eastAsia="es-ES_tradnl"/>
        </w:rPr>
      </w:pPr>
    </w:p>
    <w:p w:rsidR="00C60B22" w:rsidP="00C60B22" w:rsidRDefault="00C60B22" w14:paraId="2C35B2B0" w14:textId="77777777">
      <w:pPr>
        <w:autoSpaceDE w:val="0"/>
        <w:autoSpaceDN w:val="0"/>
        <w:adjustRightInd w:val="0"/>
        <w:spacing w:after="0" w:line="240" w:lineRule="auto"/>
        <w:ind w:left="709" w:right="709"/>
        <w:jc w:val="both"/>
        <w:rPr>
          <w:rFonts w:ascii="Arial" w:hAnsi="Arial" w:cs="Arial"/>
          <w:color w:val="000000"/>
        </w:rPr>
      </w:pPr>
      <w:r w:rsidRPr="00224199">
        <w:rPr>
          <w:rFonts w:ascii="Arial" w:hAnsi="Arial" w:cs="Arial"/>
          <w:sz w:val="21"/>
          <w:szCs w:val="21"/>
        </w:rPr>
        <w:t>“</w:t>
      </w:r>
      <w:r w:rsidRPr="00253AC1">
        <w:rPr>
          <w:rFonts w:ascii="Arial" w:hAnsi="Arial" w:cs="Arial"/>
          <w:color w:val="000000"/>
          <w:sz w:val="21"/>
          <w:szCs w:val="21"/>
        </w:rPr>
        <w:t xml:space="preserve">De manera reiterada desde la propia doctrina del ANCP- CCE e igualmente pronunciamientos del CE se puede interpretar que cuando se trata de contratos suscritos entre entidades públicas, ya sea territoriales , sociedades de economía mixta, empresas industriales y comerciales del Estado etc., la tipología contractual se define por el carácter organice de estas entidades independientemente de las actividades a ejecutar, es decir así sea un contrato de obra , de consultoría , de prestación de servicios, siempre que sean suscritos por estas entidades, la tipología estará enmarcada en convenio o contrato interadministrativo. ¿Es correcta esta interpretación? ¿De ser correcta la interpretación anterior, en el caso de los coloquialmente llamados bancos de segundo piso, como Findeter, </w:t>
      </w:r>
      <w:proofErr w:type="spellStart"/>
      <w:r w:rsidRPr="00253AC1">
        <w:rPr>
          <w:rFonts w:ascii="Arial" w:hAnsi="Arial" w:cs="Arial"/>
          <w:color w:val="000000"/>
          <w:sz w:val="21"/>
          <w:szCs w:val="21"/>
        </w:rPr>
        <w:t>Bancoldex</w:t>
      </w:r>
      <w:proofErr w:type="spellEnd"/>
      <w:r w:rsidRPr="00253AC1">
        <w:rPr>
          <w:rFonts w:ascii="Arial" w:hAnsi="Arial" w:cs="Arial"/>
          <w:color w:val="000000"/>
          <w:sz w:val="21"/>
          <w:szCs w:val="21"/>
        </w:rPr>
        <w:t xml:space="preserve">, Finagro que son sociedades de economía mixta, los contratos de crédito público o empréstito que se suscriban con </w:t>
      </w:r>
      <w:proofErr w:type="gramStart"/>
      <w:r w:rsidRPr="00253AC1">
        <w:rPr>
          <w:rFonts w:ascii="Arial" w:hAnsi="Arial" w:cs="Arial"/>
          <w:color w:val="000000"/>
          <w:sz w:val="21"/>
          <w:szCs w:val="21"/>
        </w:rPr>
        <w:t>estos,</w:t>
      </w:r>
      <w:proofErr w:type="gramEnd"/>
      <w:r w:rsidRPr="00253AC1">
        <w:rPr>
          <w:rFonts w:ascii="Arial" w:hAnsi="Arial" w:cs="Arial"/>
          <w:color w:val="000000"/>
          <w:sz w:val="21"/>
          <w:szCs w:val="21"/>
        </w:rPr>
        <w:t xml:space="preserve"> son necesariamente contratos interadministrativos? ¿De ser así, estos contratos de crédito público o empréstito son cobijados por la Ley de Garantías Electorales?</w:t>
      </w:r>
      <w:r>
        <w:rPr>
          <w:rFonts w:ascii="Arial" w:hAnsi="Arial" w:cs="Arial"/>
          <w:color w:val="000000"/>
        </w:rPr>
        <w:t>”</w:t>
      </w:r>
      <w:r w:rsidRPr="002B1413">
        <w:rPr>
          <w:rFonts w:ascii="Arial" w:hAnsi="Arial" w:cs="Arial"/>
          <w:color w:val="000000"/>
        </w:rPr>
        <w:t xml:space="preserve"> </w:t>
      </w:r>
    </w:p>
    <w:p w:rsidRPr="00224199" w:rsidR="00C60B22" w:rsidP="00C60B22" w:rsidRDefault="00C60B22" w14:paraId="2314D0AC" w14:textId="77777777">
      <w:pPr>
        <w:autoSpaceDE w:val="0"/>
        <w:autoSpaceDN w:val="0"/>
        <w:adjustRightInd w:val="0"/>
        <w:spacing w:after="0" w:line="240" w:lineRule="auto"/>
        <w:ind w:right="850"/>
        <w:jc w:val="both"/>
        <w:rPr>
          <w:rFonts w:ascii="Arial" w:hAnsi="Arial" w:eastAsia="Times New Roman" w:cs="Arial"/>
          <w:sz w:val="21"/>
          <w:szCs w:val="21"/>
          <w:lang w:eastAsia="es-ES_tradnl"/>
        </w:rPr>
      </w:pPr>
    </w:p>
    <w:p w:rsidR="00A37F3C" w:rsidP="00A37F3C" w:rsidRDefault="008B6612" w14:paraId="79285E87" w14:textId="0765B597">
      <w:pPr>
        <w:spacing w:after="120" w:line="276" w:lineRule="auto"/>
        <w:jc w:val="both"/>
        <w:rPr>
          <w:rFonts w:ascii="Arial" w:hAnsi="Arial" w:eastAsia="Arial" w:cs="Arial"/>
          <w:lang w:val="es-ES" w:eastAsia="es-ES" w:bidi="es-ES"/>
        </w:rPr>
      </w:pPr>
      <w:r>
        <w:rPr>
          <w:rFonts w:ascii="Arial" w:hAnsi="Arial" w:eastAsia="Arial" w:cs="Arial"/>
          <w:lang w:val="es-ES" w:eastAsia="es-ES" w:bidi="es-ES"/>
        </w:rPr>
        <w:t xml:space="preserve">Según </w:t>
      </w:r>
      <w:r w:rsidRPr="00262D58" w:rsidR="00A37F3C">
        <w:rPr>
          <w:rFonts w:ascii="Arial" w:hAnsi="Arial" w:eastAsia="Arial" w:cs="Arial"/>
          <w:lang w:val="es-ES" w:eastAsia="es-ES" w:bidi="es-ES"/>
        </w:rPr>
        <w:t>la interpretación de las normas generales del sistema de compras públicas</w:t>
      </w:r>
      <w:r w:rsidRPr="00262D58" w:rsidR="00A37F3C">
        <w:rPr>
          <w:rFonts w:ascii="Arial" w:hAnsi="Arial" w:eastAsia="Calibri"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262D58" w:rsidR="00A37F3C">
        <w:rPr>
          <w:rFonts w:ascii="Arial" w:hAnsi="Arial" w:eastAsia="Calibri" w:cs="Arial"/>
          <w:lang w:val="es-MX"/>
        </w:rPr>
        <w:t>celebrar convenios interadministrativos para la ejecución de recursos públicos […]”</w:t>
      </w:r>
      <w:r w:rsidRPr="00262D58" w:rsidR="00A37F3C">
        <w:rPr>
          <w:rFonts w:ascii="Arial" w:hAnsi="Arial" w:eastAsia="Arial" w:cs="Arial"/>
          <w:lang w:val="es-ES" w:eastAsia="es-ES" w:bidi="es-ES"/>
        </w:rPr>
        <w:t>dentro de los cuatro (4) meses anteriores a la respectiva jornada de votaciones.</w:t>
      </w:r>
    </w:p>
    <w:p w:rsidR="00206DFD" w:rsidP="00206DFD" w:rsidRDefault="00206DFD" w14:paraId="598B257B" w14:textId="636CF13E">
      <w:pPr>
        <w:widowControl w:val="0"/>
        <w:autoSpaceDE w:val="0"/>
        <w:autoSpaceDN w:val="0"/>
        <w:spacing w:after="120" w:line="276" w:lineRule="auto"/>
        <w:jc w:val="both"/>
        <w:rPr>
          <w:rFonts w:ascii="Arial" w:hAnsi="Arial" w:eastAsia="Times New Roman" w:cs="Arial"/>
          <w:lang w:val="es-MX" w:eastAsia="es-CO"/>
        </w:rPr>
      </w:pPr>
      <w:r>
        <w:rPr>
          <w:rFonts w:ascii="Arial" w:hAnsi="Arial" w:eastAsia="Arial" w:cs="Arial"/>
          <w:lang w:val="es-ES" w:eastAsia="es-ES" w:bidi="es-ES"/>
        </w:rPr>
        <w:tab/>
      </w:r>
      <w:r w:rsidR="005F55F7">
        <w:rPr>
          <w:rFonts w:ascii="Arial" w:hAnsi="Arial" w:eastAsia="Arial" w:cs="Arial"/>
          <w:lang w:val="es-ES" w:eastAsia="es-ES" w:bidi="es-ES"/>
        </w:rPr>
        <w:t>Ahora bien, de acuerdo con</w:t>
      </w:r>
      <w:r>
        <w:rPr>
          <w:rFonts w:ascii="Arial" w:hAnsi="Arial" w:eastAsia="Arial" w:cs="Arial"/>
          <w:lang w:val="es-ES" w:eastAsia="es-ES" w:bidi="es-ES"/>
        </w:rPr>
        <w:t xml:space="preserve"> las consideraciones expuestas, l</w:t>
      </w:r>
      <w:r w:rsidRPr="00262D58">
        <w:rPr>
          <w:rFonts w:ascii="Arial" w:hAnsi="Arial" w:eastAsia="Arial" w:cs="Arial"/>
          <w:lang w:val="es-ES" w:eastAsia="es-ES" w:bidi="es-ES"/>
        </w:rPr>
        <w:t xml:space="preserve">o que define los </w:t>
      </w:r>
      <w:r w:rsidRPr="00262D58">
        <w:rPr>
          <w:rFonts w:ascii="Arial" w:hAnsi="Arial" w:eastAsia="Arial" w:cs="Arial"/>
          <w:lang w:val="es-ES" w:eastAsia="es-ES" w:bidi="es-ES"/>
        </w:rPr>
        <w:t xml:space="preserve">contratos o convenios interadministrativos es la naturaleza de las partes, de manera que están determinados por un criterio orgánico, en el sentido de que lo serán aquellos celebrados entre entidades estatales. </w:t>
      </w:r>
      <w:r w:rsidRPr="00262D58">
        <w:rPr>
          <w:rFonts w:ascii="Arial" w:hAnsi="Arial" w:eastAsia="Times New Roman" w:cs="Arial"/>
          <w:lang w:eastAsia="es-CO"/>
        </w:rPr>
        <w:t xml:space="preserve">Se observa entonces que </w:t>
      </w:r>
      <w:r w:rsidRPr="00262D58">
        <w:rPr>
          <w:rFonts w:ascii="Arial" w:hAnsi="Arial" w:eastAsia="Times New Roman" w:cs="Arial"/>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262D58">
        <w:rPr>
          <w:rFonts w:ascii="Arial" w:hAnsi="Arial" w:eastAsia="Times New Roman" w:cs="Arial"/>
          <w:i/>
          <w:lang w:val="es-MX" w:eastAsia="es-CO"/>
        </w:rPr>
        <w:t>ibidem</w:t>
      </w:r>
      <w:r w:rsidRPr="00262D58">
        <w:rPr>
          <w:rFonts w:ascii="Arial" w:hAnsi="Arial" w:eastAsia="Times New Roman" w:cs="Arial"/>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rsidR="00A04D74" w:rsidP="00A04D74" w:rsidRDefault="00524048" w14:paraId="57CB273D" w14:textId="77777777">
      <w:pPr>
        <w:spacing w:after="120" w:line="276" w:lineRule="auto"/>
        <w:jc w:val="both"/>
        <w:rPr>
          <w:rFonts w:ascii="Arial" w:hAnsi="Arial" w:eastAsia="Arial" w:cs="Arial"/>
          <w:lang w:val="es-ES" w:eastAsia="es-ES" w:bidi="es-ES"/>
        </w:rPr>
      </w:pPr>
      <w:r>
        <w:rPr>
          <w:rFonts w:ascii="Arial" w:hAnsi="Arial" w:eastAsia="Times New Roman" w:cs="Arial"/>
          <w:lang w:val="es-MX" w:eastAsia="es-CO"/>
        </w:rPr>
        <w:tab/>
      </w:r>
      <w:r w:rsidR="005F55F7">
        <w:rPr>
          <w:rFonts w:ascii="Arial" w:hAnsi="Arial" w:eastAsia="Times New Roman" w:cs="Arial"/>
          <w:lang w:val="es-MX" w:eastAsia="es-CO"/>
        </w:rPr>
        <w:t xml:space="preserve">Conforme a lo anterior, </w:t>
      </w:r>
      <w:r w:rsidR="00015318">
        <w:rPr>
          <w:rFonts w:ascii="Arial" w:hAnsi="Arial" w:eastAsia="Arial" w:cs="Arial"/>
          <w:lang w:val="es-ES"/>
        </w:rPr>
        <w:t xml:space="preserve">la restricción prevista en el inciso primero </w:t>
      </w:r>
      <w:proofErr w:type="gramStart"/>
      <w:r w:rsidR="00015318">
        <w:rPr>
          <w:rFonts w:ascii="Arial" w:hAnsi="Arial" w:eastAsia="Arial" w:cs="Arial"/>
          <w:lang w:val="es-ES"/>
        </w:rPr>
        <w:t xml:space="preserve">del </w:t>
      </w:r>
      <w:r>
        <w:rPr>
          <w:rFonts w:ascii="Arial" w:hAnsi="Arial" w:eastAsia="Arial" w:cs="Arial"/>
          <w:lang w:val="es-ES"/>
        </w:rPr>
        <w:t xml:space="preserve"> parágrafo</w:t>
      </w:r>
      <w:proofErr w:type="gramEnd"/>
      <w:r>
        <w:rPr>
          <w:rFonts w:ascii="Arial" w:hAnsi="Arial" w:eastAsia="Arial" w:cs="Arial"/>
          <w:lang w:val="es-ES"/>
        </w:rPr>
        <w:t xml:space="preserve"> del artículo 38 de la Ley 996 de 2005, </w:t>
      </w:r>
      <w:r w:rsidR="00111F03">
        <w:rPr>
          <w:rFonts w:ascii="Arial" w:hAnsi="Arial" w:eastAsia="Arial" w:cs="Arial"/>
          <w:lang w:val="es-ES"/>
        </w:rPr>
        <w:t>en principio no resulta aplicable a las operaciones del crédito público a las que se refiere el parágrafo del artículo 41 de la Ley 80 de 1993.</w:t>
      </w:r>
      <w:r>
        <w:rPr>
          <w:rFonts w:ascii="Arial" w:hAnsi="Arial" w:eastAsia="Arial" w:cs="Arial"/>
          <w:lang w:val="es-ES"/>
        </w:rPr>
        <w:t xml:space="preserve"> No obstante, tratándose de operaciones en l</w:t>
      </w:r>
      <w:r w:rsidR="00CB7DD3">
        <w:rPr>
          <w:rFonts w:ascii="Arial" w:hAnsi="Arial" w:eastAsia="Arial" w:cs="Arial"/>
          <w:lang w:val="es-ES"/>
        </w:rPr>
        <w:t>a</w:t>
      </w:r>
      <w:r>
        <w:rPr>
          <w:rFonts w:ascii="Arial" w:hAnsi="Arial" w:eastAsia="Arial" w:cs="Arial"/>
          <w:lang w:val="es-ES"/>
        </w:rPr>
        <w:t>s que el financiamiento requerido por la entidad estatal</w:t>
      </w:r>
      <w:r w:rsidR="00CB7DD3">
        <w:rPr>
          <w:rFonts w:ascii="Arial" w:hAnsi="Arial" w:eastAsia="Arial" w:cs="Arial"/>
          <w:lang w:val="es-ES"/>
        </w:rPr>
        <w:t xml:space="preserve"> es brindado</w:t>
      </w:r>
      <w:r>
        <w:rPr>
          <w:rFonts w:ascii="Arial" w:hAnsi="Arial" w:eastAsia="Arial" w:cs="Arial"/>
          <w:lang w:val="es-ES"/>
        </w:rPr>
        <w:t xml:space="preserve"> </w:t>
      </w:r>
      <w:r w:rsidR="00CB7DD3">
        <w:rPr>
          <w:rFonts w:ascii="Arial" w:hAnsi="Arial" w:eastAsia="Arial" w:cs="Arial"/>
          <w:lang w:val="es-ES"/>
        </w:rPr>
        <w:t>por</w:t>
      </w:r>
      <w:r>
        <w:rPr>
          <w:rFonts w:ascii="Arial" w:hAnsi="Arial" w:eastAsia="Arial" w:cs="Arial"/>
          <w:lang w:val="es-ES"/>
        </w:rPr>
        <w:t xml:space="preserve"> una entidad financiera de carácter estatal</w:t>
      </w:r>
      <w:r w:rsidR="00A04D74">
        <w:rPr>
          <w:rFonts w:ascii="Arial" w:hAnsi="Arial" w:eastAsia="Arial" w:cs="Arial"/>
          <w:lang w:val="es-ES"/>
        </w:rPr>
        <w:t xml:space="preserve"> si </w:t>
      </w:r>
      <w:proofErr w:type="gramStart"/>
      <w:r w:rsidR="00A04D74">
        <w:rPr>
          <w:rFonts w:ascii="Arial" w:hAnsi="Arial" w:eastAsia="Arial" w:cs="Arial"/>
          <w:lang w:val="es-ES"/>
        </w:rPr>
        <w:t>podría</w:t>
      </w:r>
      <w:proofErr w:type="gramEnd"/>
      <w:r w:rsidR="00A04D74">
        <w:rPr>
          <w:rFonts w:ascii="Arial" w:hAnsi="Arial" w:eastAsia="Arial" w:cs="Arial"/>
          <w:lang w:val="es-ES"/>
        </w:rPr>
        <w:t xml:space="preserve"> resulta aplicable la restricción, si </w:t>
      </w:r>
      <w:r>
        <w:rPr>
          <w:rFonts w:ascii="Arial" w:hAnsi="Arial" w:eastAsia="Arial" w:cs="Arial"/>
          <w:lang w:val="es-ES" w:eastAsia="es-ES" w:bidi="es-ES"/>
        </w:rPr>
        <w:t xml:space="preserve">al menos uno de los extremos de la relación contractual fuere una entidad </w:t>
      </w:r>
      <w:r w:rsidRPr="006B3B36">
        <w:rPr>
          <w:rFonts w:ascii="Arial" w:hAnsi="Arial" w:eastAsia="Arial" w:cs="Arial"/>
          <w:lang w:val="es-ES" w:eastAsia="es-ES" w:bidi="es-ES"/>
        </w:rPr>
        <w:t>descentralizada del orden municipal, departamental o distrital</w:t>
      </w:r>
      <w:r>
        <w:rPr>
          <w:rFonts w:ascii="Arial" w:hAnsi="Arial" w:eastAsia="Arial" w:cs="Arial"/>
          <w:lang w:val="es-ES" w:eastAsia="es-ES" w:bidi="es-ES"/>
        </w:rPr>
        <w:t xml:space="preserve">.    </w:t>
      </w:r>
    </w:p>
    <w:p w:rsidR="00524048" w:rsidP="00A04D74" w:rsidRDefault="00524048" w14:paraId="70135E95" w14:textId="6036EF2E">
      <w:pPr>
        <w:spacing w:after="120" w:line="276" w:lineRule="auto"/>
        <w:jc w:val="both"/>
        <w:rPr>
          <w:rFonts w:ascii="Arial" w:hAnsi="Arial" w:eastAsia="Arial" w:cs="Arial"/>
          <w:lang w:val="es-ES" w:eastAsia="es-ES" w:bidi="es-ES"/>
        </w:rPr>
      </w:pPr>
      <w:r>
        <w:rPr>
          <w:rFonts w:ascii="Arial" w:hAnsi="Arial" w:eastAsia="Arial" w:cs="Arial"/>
          <w:lang w:val="es-ES" w:eastAsia="es-ES" w:bidi="es-ES"/>
        </w:rPr>
        <w:tab/>
      </w:r>
      <w:r w:rsidR="00A04D74">
        <w:rPr>
          <w:rFonts w:ascii="Arial" w:hAnsi="Arial" w:eastAsia="Arial" w:cs="Arial"/>
          <w:lang w:val="es-ES" w:eastAsia="es-ES" w:bidi="es-ES"/>
        </w:rPr>
        <w:t>Sin perjuicio de lo anterior</w:t>
      </w:r>
      <w:r>
        <w:rPr>
          <w:rFonts w:ascii="Arial" w:hAnsi="Arial" w:eastAsia="Arial" w:cs="Arial"/>
          <w:lang w:val="es-ES" w:eastAsia="es-ES" w:bidi="es-ES"/>
        </w:rPr>
        <w:t xml:space="preserve">, </w:t>
      </w:r>
      <w:r w:rsidR="00A04D74">
        <w:rPr>
          <w:rFonts w:ascii="Arial" w:hAnsi="Arial" w:eastAsia="Arial" w:cs="Arial"/>
          <w:lang w:val="es-ES" w:eastAsia="es-ES" w:bidi="es-ES"/>
        </w:rPr>
        <w:t xml:space="preserve">es </w:t>
      </w:r>
      <w:r>
        <w:rPr>
          <w:rFonts w:ascii="Arial" w:hAnsi="Arial" w:eastAsia="Arial" w:cs="Arial"/>
          <w:lang w:val="es-ES" w:eastAsia="es-ES" w:bidi="es-ES"/>
        </w:rPr>
        <w:t xml:space="preserve">corresponde a las entidades suscribientes estudiar las condiciones particulares del contrato a celebrar, así como la naturaleza jurídica de las entidades involucradas, a efectos de determinar cuál es el alcance de las mencionadas restricciones respecto del contrato a celebrar. </w:t>
      </w:r>
    </w:p>
    <w:p w:rsidRPr="00262D58" w:rsidR="00206DFD" w:rsidP="00EB3B23" w:rsidRDefault="00206DFD" w14:paraId="58848F71" w14:textId="4A29CFDA">
      <w:pPr>
        <w:spacing w:after="120" w:line="276" w:lineRule="auto"/>
        <w:jc w:val="both"/>
        <w:rPr>
          <w:rFonts w:ascii="Arial" w:hAnsi="Arial" w:eastAsia="Arial" w:cs="Arial"/>
          <w:lang w:val="es-ES" w:eastAsia="es-ES" w:bidi="es-ES"/>
        </w:rPr>
      </w:pPr>
    </w:p>
    <w:p w:rsidRPr="00224199" w:rsidR="00C60B22" w:rsidP="00EB3B23" w:rsidRDefault="00C60B22" w14:paraId="693F2FB2" w14:textId="77777777">
      <w:pPr>
        <w:spacing w:after="0" w:line="276" w:lineRule="auto"/>
        <w:jc w:val="both"/>
        <w:rPr>
          <w:rFonts w:ascii="Arial" w:hAnsi="Arial" w:eastAsia="Calibri" w:cs="Arial"/>
          <w:color w:val="000000" w:themeColor="text1"/>
          <w:szCs w:val="24"/>
          <w:lang w:val="es-ES_tradnl" w:eastAsia="es-ES_tradnl"/>
        </w:rPr>
      </w:pPr>
      <w:r w:rsidRPr="00224199">
        <w:rPr>
          <w:rFonts w:ascii="Arial" w:hAnsi="Arial" w:eastAsia="Calibri" w:cs="Arial"/>
          <w:color w:val="000000" w:themeColor="text1"/>
          <w:szCs w:val="24"/>
          <w:lang w:val="es-ES_tradnl" w:eastAsia="es-ES_tradnl"/>
        </w:rPr>
        <w:t>Este concepto tiene el alcance previsto en el artículo 28 del Código de Procedimiento Administrativo y de lo Contencioso Administrativo.</w:t>
      </w:r>
    </w:p>
    <w:p w:rsidRPr="00224199" w:rsidR="00C60B22" w:rsidP="00C60B22" w:rsidRDefault="00C60B22" w14:paraId="3815B514" w14:textId="77777777">
      <w:pPr>
        <w:spacing w:after="0" w:line="276" w:lineRule="auto"/>
        <w:jc w:val="both"/>
        <w:rPr>
          <w:rFonts w:ascii="Arial" w:hAnsi="Arial" w:eastAsia="Times New Roman" w:cs="Arial"/>
          <w:lang w:val="es-ES_tradnl" w:eastAsia="es-CO"/>
        </w:rPr>
      </w:pPr>
    </w:p>
    <w:p w:rsidRPr="00224199" w:rsidR="00C60B22" w:rsidP="00C60B22" w:rsidRDefault="00C60B22" w14:paraId="33D08BF2" w14:textId="77777777">
      <w:pPr>
        <w:spacing w:after="0" w:line="276" w:lineRule="auto"/>
        <w:jc w:val="both"/>
        <w:rPr>
          <w:rFonts w:ascii="Arial" w:hAnsi="Arial" w:eastAsia="Times New Roman" w:cs="Arial"/>
          <w:lang w:val="es-ES_tradnl" w:eastAsia="es-CO"/>
        </w:rPr>
      </w:pPr>
    </w:p>
    <w:p w:rsidRPr="00224199" w:rsidR="00C60B22" w:rsidP="00C60B22" w:rsidRDefault="00C60B22" w14:paraId="629587EC" w14:textId="77777777">
      <w:pPr>
        <w:spacing w:after="0" w:line="276" w:lineRule="auto"/>
        <w:jc w:val="both"/>
        <w:rPr>
          <w:rFonts w:ascii="Arial" w:hAnsi="Arial" w:eastAsia="Times New Roman" w:cs="Arial"/>
          <w:lang w:val="es-ES_tradnl" w:eastAsia="es-CO"/>
        </w:rPr>
      </w:pPr>
      <w:r w:rsidRPr="14D48936" w:rsidR="00C60B22">
        <w:rPr>
          <w:rFonts w:ascii="Arial" w:hAnsi="Arial" w:eastAsia="Times New Roman" w:cs="Arial"/>
          <w:lang w:val="es-ES" w:eastAsia="es-CO"/>
        </w:rPr>
        <w:t>Atentamente,</w:t>
      </w:r>
    </w:p>
    <w:p w:rsidRPr="00224199" w:rsidR="00C60B22" w:rsidP="14D48936" w:rsidRDefault="00C60B22" w14:paraId="1D8C4DBD" w14:textId="5F2DC002">
      <w:pPr>
        <w:pStyle w:val="Normal"/>
        <w:spacing w:before="240" w:after="120" w:line="276" w:lineRule="auto"/>
        <w:jc w:val="center"/>
        <w:rPr>
          <w:rFonts w:ascii="Arial" w:hAnsi="Arial" w:eastAsia="Calibri" w:cs="Arial"/>
          <w:sz w:val="24"/>
          <w:szCs w:val="24"/>
          <w:lang w:eastAsia="es-ES"/>
        </w:rPr>
      </w:pPr>
      <w:r w:rsidR="65D2A4BA">
        <w:drawing>
          <wp:inline wp14:editId="06B98432" wp14:anchorId="55D2E958">
            <wp:extent cx="3533775" cy="1354614"/>
            <wp:effectExtent l="0" t="0" r="0" b="0"/>
            <wp:docPr id="2027747182" name="" title=""/>
            <wp:cNvGraphicFramePr>
              <a:graphicFrameLocks noChangeAspect="1"/>
            </wp:cNvGraphicFramePr>
            <a:graphic>
              <a:graphicData uri="http://schemas.openxmlformats.org/drawingml/2006/picture">
                <pic:pic>
                  <pic:nvPicPr>
                    <pic:cNvPr id="0" name=""/>
                    <pic:cNvPicPr/>
                  </pic:nvPicPr>
                  <pic:blipFill>
                    <a:blip r:embed="R20a323f9098841cf">
                      <a:extLst>
                        <a:ext xmlns:a="http://schemas.openxmlformats.org/drawingml/2006/main" uri="{28A0092B-C50C-407E-A947-70E740481C1C}">
                          <a14:useLocalDpi val="0"/>
                        </a:ext>
                      </a:extLst>
                    </a:blip>
                    <a:stretch>
                      <a:fillRect/>
                    </a:stretch>
                  </pic:blipFill>
                  <pic:spPr>
                    <a:xfrm>
                      <a:off x="0" y="0"/>
                      <a:ext cx="3533775" cy="1354614"/>
                    </a:xfrm>
                    <a:prstGeom prst="rect">
                      <a:avLst/>
                    </a:prstGeom>
                  </pic:spPr>
                </pic:pic>
              </a:graphicData>
            </a:graphic>
          </wp:inline>
        </w:drawing>
      </w:r>
      <w:r>
        <w:br/>
      </w:r>
    </w:p>
    <w:tbl>
      <w:tblPr>
        <w:tblStyle w:val="Tablaconcuadrcula11"/>
        <w:tblpPr w:leftFromText="141" w:rightFromText="141" w:vertAnchor="text" w:horzAnchor="margin" w:tblpY="-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224199" w:rsidR="00C60B22" w:rsidTr="00CE1932" w14:paraId="6F887C27" w14:textId="77777777">
        <w:trPr>
          <w:trHeight w:val="286"/>
        </w:trPr>
        <w:tc>
          <w:tcPr>
            <w:tcW w:w="817" w:type="dxa"/>
            <w:vAlign w:val="center"/>
          </w:tcPr>
          <w:p w:rsidRPr="00224199" w:rsidR="00C60B22" w:rsidP="00CE1932" w:rsidRDefault="00C60B22" w14:paraId="2A8F1FCE" w14:textId="77777777">
            <w:pPr>
              <w:rPr>
                <w:rFonts w:ascii="Arial" w:hAnsi="Arial" w:eastAsia="Times New Roman" w:cs="Arial"/>
                <w:sz w:val="15"/>
                <w:szCs w:val="15"/>
                <w:lang w:eastAsia="es-ES_tradnl"/>
              </w:rPr>
            </w:pPr>
            <w:r w:rsidRPr="00224199">
              <w:rPr>
                <w:rFonts w:ascii="Arial" w:hAnsi="Arial" w:eastAsia="Times New Roman" w:cs="Arial"/>
                <w:sz w:val="15"/>
                <w:szCs w:val="15"/>
                <w:lang w:eastAsia="es-ES_tradnl"/>
              </w:rPr>
              <w:t>Elaboró:</w:t>
            </w:r>
          </w:p>
        </w:tc>
        <w:tc>
          <w:tcPr>
            <w:tcW w:w="4445" w:type="dxa"/>
            <w:tcBorders>
              <w:bottom w:val="dotted" w:color="7F7F7F" w:themeColor="text1" w:themeTint="80" w:sz="4" w:space="0"/>
            </w:tcBorders>
            <w:vAlign w:val="center"/>
          </w:tcPr>
          <w:p w:rsidRPr="00224199" w:rsidR="00C60B22" w:rsidP="00CE1932" w:rsidRDefault="00C60B22" w14:paraId="4FC3FB00" w14:textId="77777777">
            <w:pPr>
              <w:rPr>
                <w:rFonts w:ascii="Arial" w:hAnsi="Arial" w:eastAsia="Times New Roman" w:cs="Arial"/>
                <w:sz w:val="15"/>
                <w:szCs w:val="15"/>
                <w:lang w:eastAsia="es-ES_tradnl"/>
              </w:rPr>
            </w:pPr>
          </w:p>
          <w:p w:rsidRPr="00224199" w:rsidR="00C60B22" w:rsidP="00CE1932" w:rsidRDefault="00C60B22" w14:paraId="2C810EAF" w14:textId="77777777">
            <w:pPr>
              <w:rPr>
                <w:rFonts w:ascii="Arial" w:hAnsi="Arial" w:eastAsia="Times New Roman" w:cs="Arial"/>
                <w:sz w:val="15"/>
                <w:szCs w:val="15"/>
                <w:lang w:eastAsia="es-ES_tradnl"/>
              </w:rPr>
            </w:pPr>
            <w:r w:rsidRPr="00224199">
              <w:rPr>
                <w:rFonts w:ascii="Arial" w:hAnsi="Arial" w:eastAsia="Times New Roman" w:cs="Arial"/>
                <w:sz w:val="15"/>
                <w:szCs w:val="15"/>
                <w:lang w:eastAsia="es-ES_tradnl"/>
              </w:rPr>
              <w:t>Sergio Luis Mondragón Duarte</w:t>
            </w:r>
          </w:p>
          <w:p w:rsidRPr="00224199" w:rsidR="00C60B22" w:rsidP="00CE1932" w:rsidRDefault="00C60B22" w14:paraId="6E1D27B0" w14:textId="77777777">
            <w:pPr>
              <w:rPr>
                <w:rFonts w:ascii="Arial" w:hAnsi="Arial" w:eastAsia="Times New Roman" w:cs="Arial"/>
                <w:sz w:val="15"/>
                <w:szCs w:val="15"/>
                <w:lang w:eastAsia="es-ES_tradnl"/>
              </w:rPr>
            </w:pPr>
            <w:r w:rsidRPr="00224199">
              <w:rPr>
                <w:rFonts w:ascii="Arial" w:hAnsi="Arial" w:eastAsia="Times New Roman" w:cs="Arial"/>
                <w:sz w:val="15"/>
                <w:szCs w:val="15"/>
                <w:lang w:eastAsia="es-ES_tradnl"/>
              </w:rPr>
              <w:t>Contratista de la Subdirección de Gestión Contractual</w:t>
            </w:r>
          </w:p>
        </w:tc>
      </w:tr>
      <w:tr w:rsidRPr="00224199" w:rsidR="00C60B22" w:rsidTr="00CE1932" w14:paraId="3933DB62" w14:textId="77777777">
        <w:trPr>
          <w:trHeight w:val="286"/>
        </w:trPr>
        <w:tc>
          <w:tcPr>
            <w:tcW w:w="817" w:type="dxa"/>
            <w:vAlign w:val="center"/>
          </w:tcPr>
          <w:p w:rsidRPr="00224199" w:rsidR="00C60B22" w:rsidP="00CE1932" w:rsidRDefault="00C60B22" w14:paraId="620FCFB0" w14:textId="77777777">
            <w:pPr>
              <w:rPr>
                <w:rFonts w:ascii="Arial" w:hAnsi="Arial" w:eastAsia="Times New Roman" w:cs="Arial"/>
                <w:sz w:val="15"/>
                <w:szCs w:val="15"/>
                <w:lang w:eastAsia="es-ES_tradnl"/>
              </w:rPr>
            </w:pPr>
            <w:r w:rsidRPr="00224199">
              <w:rPr>
                <w:rFonts w:ascii="Arial" w:hAnsi="Arial" w:eastAsia="Times New Roman" w:cs="Arial"/>
                <w:sz w:val="15"/>
                <w:szCs w:val="15"/>
                <w:lang w:eastAsia="es-ES_tradnl"/>
              </w:rPr>
              <w:t>Revisó:</w:t>
            </w:r>
          </w:p>
        </w:tc>
        <w:tc>
          <w:tcPr>
            <w:tcW w:w="4445" w:type="dxa"/>
            <w:tcBorders>
              <w:bottom w:val="dotted" w:color="7F7F7F" w:themeColor="text1" w:themeTint="80" w:sz="4" w:space="0"/>
            </w:tcBorders>
            <w:vAlign w:val="center"/>
          </w:tcPr>
          <w:p w:rsidRPr="00BB5652" w:rsidR="00C60B22" w:rsidP="00CE1932" w:rsidRDefault="00C60B22" w14:paraId="139F85F5" w14:textId="77777777">
            <w:pPr>
              <w:rPr>
                <w:rFonts w:ascii="Arial" w:hAnsi="Arial" w:eastAsia="Times New Roman" w:cs="Arial"/>
                <w:color w:val="000000" w:themeColor="text1"/>
                <w:sz w:val="16"/>
                <w:szCs w:val="16"/>
                <w:lang w:val="es-ES_tradnl" w:eastAsia="es-ES"/>
              </w:rPr>
            </w:pPr>
            <w:r w:rsidRPr="00BB5652">
              <w:rPr>
                <w:rFonts w:ascii="Arial" w:hAnsi="Arial" w:eastAsia="Times New Roman" w:cs="Arial"/>
                <w:color w:val="000000" w:themeColor="text1"/>
                <w:sz w:val="16"/>
                <w:szCs w:val="16"/>
                <w:lang w:val="es-ES_tradnl" w:eastAsia="es-ES"/>
              </w:rPr>
              <w:t xml:space="preserve">Alejandro Sarmiento Cantillo </w:t>
            </w:r>
          </w:p>
          <w:p w:rsidRPr="00224199" w:rsidR="00C60B22" w:rsidP="00CE1932" w:rsidRDefault="00C60B22" w14:paraId="69E2B482" w14:textId="77777777">
            <w:pPr>
              <w:spacing w:line="276" w:lineRule="auto"/>
              <w:textAlignment w:val="baseline"/>
              <w:rPr>
                <w:rFonts w:ascii="Arial" w:hAnsi="Arial" w:eastAsia="Times New Roman" w:cs="Arial"/>
                <w:sz w:val="15"/>
                <w:szCs w:val="15"/>
                <w:lang w:eastAsia="es-CO"/>
              </w:rPr>
            </w:pPr>
            <w:r w:rsidRPr="74DD02C2">
              <w:rPr>
                <w:rFonts w:ascii="Arial" w:hAnsi="Arial" w:eastAsia="Times New Roman" w:cs="Arial"/>
                <w:color w:val="000000" w:themeColor="text1"/>
                <w:sz w:val="16"/>
                <w:szCs w:val="16"/>
                <w:lang w:val="es-ES" w:eastAsia="es-ES"/>
              </w:rPr>
              <w:t>Gestor T1 – 15 de la Subdirección de Gestión Contractual</w:t>
            </w:r>
          </w:p>
        </w:tc>
      </w:tr>
      <w:tr w:rsidRPr="00224199" w:rsidR="00C60B22" w:rsidTr="00CE1932" w14:paraId="41658B94" w14:textId="77777777">
        <w:trPr>
          <w:trHeight w:val="299"/>
        </w:trPr>
        <w:tc>
          <w:tcPr>
            <w:tcW w:w="817" w:type="dxa"/>
            <w:vAlign w:val="center"/>
          </w:tcPr>
          <w:p w:rsidRPr="00224199" w:rsidR="00C60B22" w:rsidP="00CE1932" w:rsidRDefault="00C60B22" w14:paraId="1574179F" w14:textId="77777777">
            <w:pPr>
              <w:rPr>
                <w:rFonts w:ascii="Arial" w:hAnsi="Arial" w:eastAsia="Times New Roman" w:cs="Arial"/>
                <w:sz w:val="15"/>
                <w:szCs w:val="15"/>
                <w:lang w:eastAsia="es-ES_tradnl"/>
              </w:rPr>
            </w:pPr>
            <w:r w:rsidRPr="00224199">
              <w:rPr>
                <w:rFonts w:ascii="Arial" w:hAnsi="Arial" w:eastAsia="Times New Roman" w:cs="Arial"/>
                <w:sz w:val="15"/>
                <w:szCs w:val="15"/>
                <w:lang w:eastAsia="es-ES_tradnl"/>
              </w:rPr>
              <w:t>Aprobó:</w:t>
            </w:r>
          </w:p>
        </w:tc>
        <w:tc>
          <w:tcPr>
            <w:tcW w:w="4445" w:type="dxa"/>
            <w:tcBorders>
              <w:top w:val="dotted" w:color="7F7F7F" w:themeColor="text1" w:themeTint="80" w:sz="4" w:space="0"/>
              <w:bottom w:val="dotted" w:color="7F7F7F" w:themeColor="text1" w:themeTint="80" w:sz="4" w:space="0"/>
            </w:tcBorders>
            <w:vAlign w:val="center"/>
          </w:tcPr>
          <w:p w:rsidRPr="00224199" w:rsidR="00C60B22" w:rsidP="00CE1932" w:rsidRDefault="00C60B22" w14:paraId="21BADA26" w14:textId="77777777">
            <w:pPr>
              <w:rPr>
                <w:rFonts w:ascii="Arial" w:hAnsi="Arial" w:eastAsia="Times New Roman" w:cs="Arial"/>
                <w:sz w:val="15"/>
                <w:szCs w:val="15"/>
                <w:lang w:eastAsia="es-ES_tradnl"/>
              </w:rPr>
            </w:pPr>
            <w:r w:rsidRPr="00224199">
              <w:rPr>
                <w:rFonts w:ascii="Arial" w:hAnsi="Arial" w:eastAsia="Times New Roman" w:cs="Arial"/>
                <w:sz w:val="15"/>
                <w:szCs w:val="15"/>
                <w:lang w:eastAsia="es-ES_tradnl"/>
              </w:rPr>
              <w:t>Nohelia Del Carmen Zawady Palacio</w:t>
            </w:r>
          </w:p>
          <w:p w:rsidRPr="00224199" w:rsidR="00C60B22" w:rsidP="00CE1932" w:rsidRDefault="00C60B22" w14:paraId="184F9DCD" w14:textId="77777777">
            <w:pPr>
              <w:rPr>
                <w:rFonts w:ascii="Arial" w:hAnsi="Arial" w:eastAsia="Times New Roman" w:cs="Arial"/>
                <w:sz w:val="15"/>
                <w:szCs w:val="15"/>
                <w:lang w:eastAsia="es-ES_tradnl"/>
              </w:rPr>
            </w:pPr>
            <w:r w:rsidRPr="00224199">
              <w:rPr>
                <w:rFonts w:ascii="Arial" w:hAnsi="Arial" w:eastAsia="Times New Roman" w:cs="Arial"/>
                <w:sz w:val="15"/>
                <w:szCs w:val="15"/>
                <w:lang w:eastAsia="es-ES_tradnl"/>
              </w:rPr>
              <w:t>Subdirectora de Gestión Contractual ANCP – CCE</w:t>
            </w:r>
            <w:r w:rsidRPr="00224199">
              <w:rPr>
                <w:rFonts w:ascii="Arial" w:hAnsi="Arial" w:eastAsia="Times New Roman" w:cs="Arial"/>
                <w:sz w:val="15"/>
                <w:szCs w:val="15"/>
                <w:shd w:val="clear" w:color="auto" w:fill="E6E6E6"/>
                <w:lang w:eastAsia="es-ES_tradnl"/>
              </w:rPr>
              <w:t xml:space="preserve"> </w:t>
            </w:r>
          </w:p>
        </w:tc>
      </w:tr>
    </w:tbl>
    <w:p w:rsidRPr="00224199" w:rsidR="00C60B22" w:rsidP="00C60B22" w:rsidRDefault="00C60B22" w14:paraId="6FA878E4" w14:textId="77777777">
      <w:pPr>
        <w:tabs>
          <w:tab w:val="left" w:pos="3795"/>
        </w:tabs>
        <w:spacing w:after="0" w:line="240" w:lineRule="auto"/>
        <w:rPr>
          <w:rFonts w:ascii="Arial" w:hAnsi="Arial" w:eastAsia="Times New Roman" w:cs="Arial"/>
          <w:sz w:val="24"/>
          <w:szCs w:val="24"/>
          <w:lang w:val="es-ES_tradnl" w:eastAsia="es-ES_tradnl"/>
        </w:rPr>
      </w:pPr>
    </w:p>
    <w:p w:rsidRPr="00224199" w:rsidR="00C60B22" w:rsidP="00C60B22" w:rsidRDefault="00C60B22" w14:paraId="2D32B1A6" w14:textId="77777777">
      <w:pPr>
        <w:spacing w:after="0" w:line="240" w:lineRule="auto"/>
        <w:rPr>
          <w:rFonts w:ascii="Arial" w:hAnsi="Arial" w:eastAsia="Times New Roman" w:cs="Arial"/>
          <w:sz w:val="24"/>
          <w:szCs w:val="24"/>
          <w:lang w:eastAsia="es-ES_tradnl"/>
        </w:rPr>
      </w:pPr>
    </w:p>
    <w:bookmarkEnd w:id="7"/>
    <w:p w:rsidRPr="00224199" w:rsidR="00C60B22" w:rsidP="00C60B22" w:rsidRDefault="00C60B22" w14:paraId="0CD5F9A9" w14:textId="77777777">
      <w:pPr>
        <w:spacing w:after="0" w:line="240" w:lineRule="auto"/>
        <w:rPr>
          <w:rFonts w:ascii="Arial" w:hAnsi="Arial" w:eastAsia="Times New Roman" w:cs="Arial"/>
          <w:sz w:val="24"/>
          <w:szCs w:val="24"/>
          <w:lang w:eastAsia="es-ES_tradnl"/>
        </w:rPr>
      </w:pPr>
    </w:p>
    <w:p w:rsidRPr="00224199" w:rsidR="00C60B22" w:rsidP="00C60B22" w:rsidRDefault="00C60B22" w14:paraId="07D77F65" w14:textId="77777777">
      <w:pPr>
        <w:spacing w:after="0" w:line="240" w:lineRule="auto"/>
        <w:rPr>
          <w:rFonts w:ascii="Times New Roman" w:hAnsi="Times New Roman" w:eastAsia="Times New Roman" w:cs="Times New Roman"/>
          <w:sz w:val="24"/>
          <w:szCs w:val="24"/>
          <w:lang w:eastAsia="es-ES_tradnl"/>
        </w:rPr>
      </w:pPr>
    </w:p>
    <w:p w:rsidRPr="00224199" w:rsidR="00C60B22" w:rsidP="00C60B22" w:rsidRDefault="00C60B22" w14:paraId="713F059A" w14:textId="77777777"/>
    <w:p w:rsidRPr="00610CBB" w:rsidR="00127233" w:rsidP="00610CBB" w:rsidRDefault="00127233" w14:paraId="0F293BF4" w14:textId="19C6E2D4"/>
    <w:sectPr w:rsidRPr="00610CBB" w:rsidR="00127233" w:rsidSect="00923EEF">
      <w:headerReference w:type="default" r:id="rId11"/>
      <w:footerReference w:type="default" r:id="rId12"/>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04AB" w:rsidP="004A1847" w:rsidRDefault="00F204AB" w14:paraId="2DAF0486" w14:textId="77777777">
      <w:pPr>
        <w:spacing w:after="0" w:line="240" w:lineRule="auto"/>
      </w:pPr>
      <w:r>
        <w:separator/>
      </w:r>
    </w:p>
  </w:endnote>
  <w:endnote w:type="continuationSeparator" w:id="0">
    <w:p w:rsidR="00F204AB" w:rsidP="004A1847" w:rsidRDefault="00F204AB" w14:paraId="6884889A" w14:textId="77777777">
      <w:pPr>
        <w:spacing w:after="0" w:line="240" w:lineRule="auto"/>
      </w:pPr>
      <w:r>
        <w:continuationSeparator/>
      </w:r>
    </w:p>
  </w:endnote>
  <w:endnote w:type="continuationNotice" w:id="1">
    <w:p w:rsidR="00B5730B" w:rsidRDefault="00B5730B" w14:paraId="2D97A94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04AB" w:rsidP="004A1847" w:rsidRDefault="00F204AB" w14:paraId="5CAD43E8" w14:textId="77777777">
      <w:pPr>
        <w:spacing w:after="0" w:line="240" w:lineRule="auto"/>
      </w:pPr>
      <w:r>
        <w:separator/>
      </w:r>
    </w:p>
  </w:footnote>
  <w:footnote w:type="continuationSeparator" w:id="0">
    <w:p w:rsidR="00F204AB" w:rsidP="004A1847" w:rsidRDefault="00F204AB" w14:paraId="3C93E6EB" w14:textId="77777777">
      <w:pPr>
        <w:spacing w:after="0" w:line="240" w:lineRule="auto"/>
      </w:pPr>
      <w:r>
        <w:continuationSeparator/>
      </w:r>
    </w:p>
  </w:footnote>
  <w:footnote w:type="continuationNotice" w:id="1">
    <w:p w:rsidR="00B5730B" w:rsidRDefault="00B5730B" w14:paraId="7A96D9EC" w14:textId="77777777">
      <w:pPr>
        <w:spacing w:after="0" w:line="240" w:lineRule="auto"/>
      </w:pPr>
    </w:p>
  </w:footnote>
  <w:footnote w:id="2">
    <w:p w:rsidRPr="00262D58" w:rsidR="00C60B22" w:rsidP="00C60B22" w:rsidRDefault="00C60B22" w14:paraId="7A29AF34" w14:textId="77777777">
      <w:pPr>
        <w:pStyle w:val="Textonotapie"/>
        <w:ind w:firstLine="708"/>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262D58">
          <w:rPr>
            <w:rStyle w:val="Hipervnculo"/>
            <w:rFonts w:ascii="Arial" w:hAnsi="Arial" w:cs="Arial"/>
            <w:sz w:val="16"/>
            <w:szCs w:val="16"/>
          </w:rPr>
          <w:t>https://relatoria.colombiacompra.gov.co/busqueda/conceptos</w:t>
        </w:r>
      </w:hyperlink>
      <w:r w:rsidRPr="00262D58">
        <w:rPr>
          <w:rStyle w:val="Hipervnculo"/>
          <w:rFonts w:ascii="Arial" w:hAnsi="Arial" w:cs="Arial"/>
          <w:sz w:val="16"/>
          <w:szCs w:val="16"/>
        </w:rPr>
        <w:t xml:space="preserve">. </w:t>
      </w:r>
      <w:r w:rsidRPr="00262D58">
        <w:rPr>
          <w:rFonts w:ascii="Arial" w:hAnsi="Arial" w:cs="Arial"/>
          <w:sz w:val="16"/>
          <w:szCs w:val="16"/>
          <w:shd w:val="clear" w:color="auto" w:fill="E6E6E6"/>
        </w:rPr>
        <w:t xml:space="preserve"> </w:t>
      </w:r>
    </w:p>
  </w:footnote>
  <w:footnote w:id="3">
    <w:p w:rsidRPr="00262D58" w:rsidR="00C60B22" w:rsidP="00C60B22" w:rsidRDefault="00C60B22" w14:paraId="2C335806" w14:textId="77777777">
      <w:pPr>
        <w:pStyle w:val="Textonotapie"/>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262D58" w:rsidR="00C60B22" w:rsidP="00C60B22" w:rsidRDefault="00C60B22" w14:paraId="48C4BB04" w14:textId="77777777">
      <w:pPr>
        <w:pStyle w:val="Textonotapie"/>
        <w:ind w:firstLine="709"/>
        <w:contextualSpacing/>
        <w:jc w:val="both"/>
        <w:rPr>
          <w:rFonts w:ascii="Arial" w:hAnsi="Arial" w:cs="Arial"/>
          <w:sz w:val="16"/>
          <w:szCs w:val="16"/>
        </w:rPr>
      </w:pPr>
      <w:r w:rsidRPr="00262D58">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rsidRPr="00262D58" w:rsidR="00C60B22" w:rsidP="00C60B22" w:rsidRDefault="00C60B22" w14:paraId="3E476451" w14:textId="77777777">
      <w:pPr>
        <w:pStyle w:val="Textonotapie"/>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Gaceta del Congreso de la República No. 71 del 2005.</w:t>
      </w:r>
    </w:p>
  </w:footnote>
  <w:footnote w:id="5">
    <w:p w:rsidR="00C60B22" w:rsidP="00C60B22" w:rsidRDefault="00C60B22" w14:paraId="53E0456D" w14:textId="77777777">
      <w:pPr>
        <w:pStyle w:val="Textonotapie"/>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Corte Constitucional, Sentencia C- 1153 de 2005, M.P. Marco Gerardo Monroy Cabra.</w:t>
      </w:r>
    </w:p>
    <w:p w:rsidRPr="00C744C3" w:rsidR="00C60B22" w:rsidP="00C60B22" w:rsidRDefault="00C60B22" w14:paraId="5DD443CF" w14:textId="77777777">
      <w:pPr>
        <w:pStyle w:val="Textonotapie"/>
        <w:ind w:firstLine="709"/>
        <w:contextualSpacing/>
        <w:jc w:val="both"/>
        <w:rPr>
          <w:rFonts w:ascii="Arial" w:hAnsi="Arial" w:cs="Arial"/>
          <w:sz w:val="16"/>
          <w:szCs w:val="16"/>
        </w:rPr>
      </w:pPr>
    </w:p>
  </w:footnote>
  <w:footnote w:id="6">
    <w:p w:rsidRPr="00C744C3" w:rsidR="00C60B22" w:rsidP="00C60B22" w:rsidRDefault="00C60B22" w14:paraId="333A348A" w14:textId="77777777">
      <w:pPr>
        <w:pStyle w:val="Textonotapie"/>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rsidRPr="00C744C3" w:rsidR="00C60B22" w:rsidP="00C60B22" w:rsidRDefault="00C60B22" w14:paraId="5AFE71E4" w14:textId="77777777">
      <w:pPr>
        <w:pStyle w:val="Textonotapie"/>
        <w:ind w:firstLine="709"/>
        <w:contextualSpacing/>
        <w:jc w:val="both"/>
        <w:rPr>
          <w:rFonts w:ascii="Arial" w:hAnsi="Arial" w:cs="Arial"/>
          <w:sz w:val="16"/>
          <w:szCs w:val="16"/>
          <w:lang w:val="es-CO"/>
        </w:rPr>
      </w:pPr>
      <w:r w:rsidRPr="00262D58">
        <w:rPr>
          <w:rStyle w:val="Refdenotaalpie"/>
          <w:rFonts w:ascii="Arial" w:hAnsi="Arial" w:cs="Arial"/>
          <w:sz w:val="16"/>
          <w:szCs w:val="16"/>
        </w:rPr>
        <w:footnoteRef/>
      </w:r>
      <w:r w:rsidRPr="00262D58">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rsidRPr="00C744C3" w:rsidR="00C60B22" w:rsidP="00C60B22" w:rsidRDefault="00C60B22" w14:paraId="6E6416E9" w14:textId="77777777">
      <w:pPr>
        <w:pStyle w:val="Textonotapie"/>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Consejo de Estado, Sala de Consulta y Servicio Civil de fecha 24 de julio de 2013, radicado 2166, Consejero Ponente: Álvaro </w:t>
      </w:r>
      <w:proofErr w:type="spellStart"/>
      <w:r w:rsidRPr="00262D58">
        <w:rPr>
          <w:rFonts w:ascii="Arial" w:hAnsi="Arial" w:cs="Arial"/>
          <w:sz w:val="16"/>
          <w:szCs w:val="16"/>
        </w:rPr>
        <w:t>Namén</w:t>
      </w:r>
      <w:proofErr w:type="spellEnd"/>
      <w:r w:rsidRPr="00262D58">
        <w:rPr>
          <w:rFonts w:ascii="Arial" w:hAnsi="Arial" w:cs="Arial"/>
          <w:sz w:val="16"/>
          <w:szCs w:val="16"/>
        </w:rPr>
        <w:t xml:space="preserve"> Vargas.  </w:t>
      </w:r>
    </w:p>
  </w:footnote>
  <w:footnote w:id="9">
    <w:p w:rsidRPr="00262D58" w:rsidR="00C60B22" w:rsidP="00C60B22" w:rsidRDefault="00C60B22" w14:paraId="10CFD5BE" w14:textId="77777777">
      <w:pPr>
        <w:spacing w:after="0" w:line="240" w:lineRule="auto"/>
        <w:ind w:firstLine="709"/>
        <w:contextualSpacing/>
        <w:jc w:val="both"/>
        <w:rPr>
          <w:rFonts w:ascii="Arial" w:hAnsi="Arial" w:eastAsia="Times New Roman"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w:t>
      </w:r>
      <w:bookmarkStart w:name="33" w:id="12"/>
      <w:r w:rsidRPr="00262D58">
        <w:rPr>
          <w:rFonts w:ascii="Arial" w:hAnsi="Arial" w:eastAsia="Calibri" w:cs="Arial"/>
          <w:color w:val="000000"/>
          <w:sz w:val="16"/>
          <w:szCs w:val="16"/>
        </w:rPr>
        <w:t>“</w:t>
      </w:r>
      <w:r w:rsidRPr="00262D58">
        <w:rPr>
          <w:rFonts w:ascii="Arial" w:hAnsi="Arial" w:eastAsia="Times New Roman" w:cs="Arial"/>
          <w:sz w:val="16"/>
          <w:szCs w:val="16"/>
        </w:rPr>
        <w:t>Artículo 33. Restricciones a la contratación pública.</w:t>
      </w:r>
      <w:bookmarkEnd w:id="12"/>
      <w:r w:rsidRPr="00262D58">
        <w:rPr>
          <w:rFonts w:ascii="Arial" w:hAnsi="Arial" w:eastAsia="Times New Roman" w:cs="Arial"/>
          <w:sz w:val="16"/>
          <w:szCs w:val="16"/>
        </w:rPr>
        <w:t> Durante los cuatro (4) meses anteriores a la elección presidencial y hasta la realización de la elección en la segunda vuelta, si fuere el caso, queda prohibida la contratación directa por parte de todos los entes del Estado.</w:t>
      </w:r>
    </w:p>
    <w:p w:rsidRPr="00262D58" w:rsidR="00C60B22" w:rsidP="00C60B22" w:rsidRDefault="00C60B22" w14:paraId="10479F7C" w14:textId="77777777">
      <w:pPr>
        <w:spacing w:after="0" w:line="240" w:lineRule="auto"/>
        <w:ind w:firstLine="709"/>
        <w:contextualSpacing/>
        <w:jc w:val="both"/>
        <w:rPr>
          <w:rFonts w:ascii="Arial" w:hAnsi="Arial" w:eastAsia="Times New Roman" w:cs="Arial"/>
          <w:sz w:val="16"/>
          <w:szCs w:val="16"/>
        </w:rPr>
      </w:pPr>
      <w:r w:rsidRPr="00262D58">
        <w:rPr>
          <w:rFonts w:ascii="Arial" w:hAnsi="Arial" w:eastAsia="Times New Roman"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62D58">
        <w:rPr>
          <w:rFonts w:ascii="Arial" w:hAnsi="Arial" w:eastAsia="Calibri" w:cs="Arial"/>
          <w:color w:val="000000"/>
          <w:sz w:val="16"/>
          <w:szCs w:val="16"/>
        </w:rPr>
        <w:t>”</w:t>
      </w:r>
      <w:r w:rsidRPr="00262D58">
        <w:rPr>
          <w:rFonts w:ascii="Arial" w:hAnsi="Arial" w:eastAsia="Times New Roman" w:cs="Arial"/>
          <w:sz w:val="16"/>
          <w:szCs w:val="16"/>
        </w:rPr>
        <w:t>.</w:t>
      </w:r>
    </w:p>
  </w:footnote>
  <w:footnote w:id="10">
    <w:p w:rsidRPr="00262D58" w:rsidR="00C60B22" w:rsidP="00C60B22" w:rsidRDefault="00C60B22" w14:paraId="26BE1A23" w14:textId="77777777">
      <w:pPr>
        <w:pStyle w:val="NormalWeb"/>
        <w:spacing w:before="0" w:beforeAutospacing="0" w:after="0" w:afterAutospacing="0"/>
        <w:ind w:firstLine="709"/>
        <w:contextualSpacing/>
        <w:jc w:val="both"/>
        <w:rPr>
          <w:rFonts w:ascii="Arial" w:hAnsi="Arial" w:cs="Arial"/>
          <w:sz w:val="16"/>
          <w:szCs w:val="16"/>
          <w:lang w:val="es-MX"/>
        </w:rPr>
      </w:pPr>
      <w:r w:rsidRPr="00262D58">
        <w:rPr>
          <w:rStyle w:val="Refdenotaalpie"/>
          <w:rFonts w:ascii="Arial" w:hAnsi="Arial" w:cs="Arial"/>
          <w:sz w:val="16"/>
          <w:szCs w:val="16"/>
        </w:rPr>
        <w:footnoteRef/>
      </w:r>
      <w:r w:rsidRPr="00262D58">
        <w:rPr>
          <w:rFonts w:ascii="Arial" w:hAnsi="Arial" w:cs="Arial"/>
          <w:sz w:val="16"/>
          <w:szCs w:val="16"/>
        </w:rPr>
        <w:t xml:space="preserve"> </w:t>
      </w:r>
      <w:bookmarkStart w:name="38" w:id="13"/>
      <w:r w:rsidRPr="00262D58">
        <w:rPr>
          <w:rFonts w:ascii="Arial" w:hAnsi="Arial" w:eastAsia="Calibri" w:cs="Arial"/>
          <w:color w:val="000000"/>
          <w:sz w:val="16"/>
          <w:szCs w:val="16"/>
        </w:rPr>
        <w:t>“</w:t>
      </w:r>
      <w:r w:rsidRPr="00262D58">
        <w:rPr>
          <w:rFonts w:ascii="Arial" w:hAnsi="Arial" w:cs="Arial"/>
          <w:sz w:val="16"/>
          <w:szCs w:val="16"/>
          <w:lang w:val="es-MX"/>
        </w:rPr>
        <w:t>Artículo 38. Prohibiciones para los servidores públicos. A los empleados del Estado les está prohibido:</w:t>
      </w:r>
      <w:bookmarkEnd w:id="13"/>
    </w:p>
    <w:p w:rsidRPr="00262D58" w:rsidR="00C60B22" w:rsidP="00C60B22" w:rsidRDefault="00C60B22" w14:paraId="65FD6C22" w14:textId="77777777">
      <w:pPr>
        <w:pStyle w:val="NormalWeb"/>
        <w:spacing w:before="0" w:beforeAutospacing="0" w:after="0" w:afterAutospacing="0"/>
        <w:ind w:firstLine="709"/>
        <w:contextualSpacing/>
        <w:jc w:val="both"/>
        <w:rPr>
          <w:rFonts w:ascii="Arial" w:hAnsi="Arial" w:cs="Arial"/>
          <w:sz w:val="16"/>
          <w:szCs w:val="16"/>
          <w:lang w:val="es-MX"/>
        </w:rPr>
      </w:pPr>
      <w:r w:rsidRPr="00262D58">
        <w:rPr>
          <w:rFonts w:ascii="Arial" w:hAnsi="Arial" w:cs="Arial"/>
          <w:sz w:val="16"/>
          <w:szCs w:val="16"/>
          <w:lang w:val="es-MX"/>
        </w:rPr>
        <w:t>[…]</w:t>
      </w:r>
    </w:p>
    <w:p w:rsidRPr="00262D58" w:rsidR="00C60B22" w:rsidP="00C60B22" w:rsidRDefault="00C60B22" w14:paraId="462A2FC4" w14:textId="77777777">
      <w:pPr>
        <w:pStyle w:val="NormalWeb"/>
        <w:spacing w:before="0" w:beforeAutospacing="0" w:after="0" w:afterAutospacing="0"/>
        <w:ind w:firstLine="709"/>
        <w:contextualSpacing/>
        <w:jc w:val="both"/>
        <w:rPr>
          <w:rFonts w:ascii="Arial" w:hAnsi="Arial" w:cs="Arial"/>
          <w:sz w:val="16"/>
          <w:szCs w:val="16"/>
          <w:lang w:val="es-MX"/>
        </w:rPr>
      </w:pPr>
      <w:r w:rsidRPr="00262D58">
        <w:rPr>
          <w:rStyle w:val="baj"/>
          <w:rFonts w:ascii="Arial" w:hAnsi="Arial" w:cs="Arial"/>
          <w:sz w:val="16"/>
          <w:szCs w:val="16"/>
          <w:lang w:val="es-MX"/>
        </w:rPr>
        <w:t>Parágrafo.</w:t>
      </w:r>
      <w:r w:rsidRPr="00262D58">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62D58">
        <w:rPr>
          <w:rFonts w:ascii="Arial" w:hAnsi="Arial" w:eastAsia="Calibri" w:cs="Arial"/>
          <w:color w:val="000000"/>
          <w:sz w:val="16"/>
          <w:szCs w:val="16"/>
        </w:rPr>
        <w:t>”</w:t>
      </w:r>
      <w:r w:rsidRPr="00262D58">
        <w:rPr>
          <w:rFonts w:ascii="Arial" w:hAnsi="Arial" w:cs="Arial"/>
          <w:sz w:val="16"/>
          <w:szCs w:val="16"/>
          <w:lang w:val="es-MX"/>
        </w:rPr>
        <w:t>.</w:t>
      </w:r>
    </w:p>
  </w:footnote>
  <w:footnote w:id="11">
    <w:p w:rsidRPr="00262D58" w:rsidR="00C60B22" w:rsidP="00C60B22" w:rsidRDefault="00C60B22" w14:paraId="5B773CC1" w14:textId="77777777">
      <w:pPr>
        <w:spacing w:after="0" w:line="240" w:lineRule="auto"/>
        <w:ind w:left="100" w:right="244" w:firstLine="709"/>
        <w:contextualSpacing/>
        <w:jc w:val="both"/>
        <w:rPr>
          <w:rFonts w:ascii="Arial" w:hAnsi="Arial" w:cs="Arial"/>
          <w:sz w:val="16"/>
          <w:szCs w:val="16"/>
          <w:lang w:val="es-ES"/>
        </w:rPr>
      </w:pPr>
      <w:r w:rsidRPr="00262D58">
        <w:rPr>
          <w:rStyle w:val="Refdenotaalpie"/>
          <w:rFonts w:ascii="Arial" w:hAnsi="Arial" w:cs="Arial"/>
          <w:sz w:val="16"/>
          <w:szCs w:val="16"/>
        </w:rPr>
        <w:footnoteRef/>
      </w:r>
      <w:r w:rsidRPr="00262D58">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2">
    <w:p w:rsidRPr="00262D58" w:rsidR="00C60B22" w:rsidP="00C60B22" w:rsidRDefault="00C60B22" w14:paraId="0862AE0E" w14:textId="77777777">
      <w:pPr>
        <w:pStyle w:val="Textonotapie"/>
        <w:ind w:right="51"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w:t>
      </w:r>
      <w:r w:rsidRPr="00262D58">
        <w:rPr>
          <w:rFonts w:ascii="Arial" w:hAnsi="Arial" w:cs="Arial"/>
          <w:sz w:val="16"/>
          <w:szCs w:val="16"/>
          <w:lang w:val="es-ES"/>
        </w:rPr>
        <w:t xml:space="preserve">[25] </w:t>
      </w:r>
      <w:r w:rsidRPr="00262D58">
        <w:rPr>
          <w:rFonts w:ascii="Arial" w:hAnsi="Arial" w:cs="Arial"/>
          <w:sz w:val="16"/>
          <w:szCs w:val="16"/>
        </w:rPr>
        <w:t>Cfr. Consejo de Estado. Sección Tercera. Sentencia de 3 de diciembre de 2007. Radicados: 24.715, 25.206, 25.409, 24.524, 27.834, 25.410, 26.105, 28.244, 31.447 -acumulados-”.</w:t>
      </w:r>
    </w:p>
  </w:footnote>
  <w:footnote w:id="13">
    <w:p w:rsidRPr="00262D58" w:rsidR="00C60B22" w:rsidP="00C60B22" w:rsidRDefault="00C60B22" w14:paraId="4CBBFED1" w14:textId="77777777">
      <w:pPr>
        <w:pStyle w:val="Textonotapie"/>
        <w:ind w:right="51"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w:t>
      </w:r>
      <w:bookmarkStart w:name="_Hlk74294506" w:id="20"/>
      <w:r w:rsidRPr="00262D58">
        <w:rPr>
          <w:rFonts w:ascii="Arial" w:hAnsi="Arial" w:cs="Arial"/>
          <w:sz w:val="16"/>
          <w:szCs w:val="16"/>
        </w:rPr>
        <w:t>“</w:t>
      </w:r>
      <w:r w:rsidRPr="00262D58">
        <w:rPr>
          <w:rFonts w:ascii="Arial" w:hAnsi="Arial" w:cs="Arial"/>
          <w:sz w:val="16"/>
          <w:szCs w:val="16"/>
          <w:lang w:val="es-ES"/>
        </w:rPr>
        <w:t xml:space="preserve">[26] </w:t>
      </w:r>
      <w:bookmarkEnd w:id="20"/>
      <w:r w:rsidRPr="00262D58">
        <w:rPr>
          <w:rFonts w:ascii="Arial" w:hAnsi="Arial" w:cs="Arial"/>
          <w:sz w:val="16"/>
          <w:szCs w:val="16"/>
        </w:rPr>
        <w:t>Al respecto ver el concepto 1712 de 2 de febrero de 2006. Consejo de Estado Sala de Consulta y Servicio Civil”.</w:t>
      </w:r>
    </w:p>
  </w:footnote>
  <w:footnote w:id="14">
    <w:p w:rsidRPr="00262D58" w:rsidR="00C60B22" w:rsidP="00C60B22" w:rsidRDefault="00C60B22" w14:paraId="632B6673" w14:textId="77777777">
      <w:pPr>
        <w:pStyle w:val="Textonotapie"/>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Consejo de Estado. Sala de Consulta y Servicio Civil. Concepto del 2 de septiembre de 2013. Radicación número: 11001-03-06-000-2013-00412-00 (2168). Consejero Ponente: Álvaro </w:t>
      </w:r>
      <w:proofErr w:type="spellStart"/>
      <w:r w:rsidRPr="00262D58">
        <w:rPr>
          <w:rFonts w:ascii="Arial" w:hAnsi="Arial" w:cs="Arial"/>
          <w:sz w:val="16"/>
          <w:szCs w:val="16"/>
        </w:rPr>
        <w:t>Namén</w:t>
      </w:r>
      <w:proofErr w:type="spellEnd"/>
      <w:r w:rsidRPr="00262D58">
        <w:rPr>
          <w:rFonts w:ascii="Arial" w:hAnsi="Arial" w:cs="Arial"/>
          <w:sz w:val="16"/>
          <w:szCs w:val="16"/>
        </w:rPr>
        <w:t xml:space="preserve"> Vargas.</w:t>
      </w:r>
    </w:p>
  </w:footnote>
  <w:footnote w:id="15">
    <w:p w:rsidRPr="00262D58" w:rsidR="00C60B22" w:rsidP="00C60B22" w:rsidRDefault="00C60B22" w14:paraId="13063168" w14:textId="77777777">
      <w:pPr>
        <w:pStyle w:val="Textonotapie"/>
        <w:ind w:firstLine="709"/>
        <w:contextualSpacing/>
        <w:jc w:val="both"/>
        <w:rPr>
          <w:rFonts w:ascii="Arial" w:hAnsi="Arial" w:cs="Arial"/>
          <w:sz w:val="16"/>
          <w:szCs w:val="16"/>
          <w:lang w:val="es-ES"/>
        </w:rPr>
      </w:pPr>
      <w:r w:rsidRPr="00262D58">
        <w:rPr>
          <w:rStyle w:val="Refdenotaalpie"/>
          <w:rFonts w:ascii="Arial" w:hAnsi="Arial" w:cs="Arial"/>
          <w:sz w:val="16"/>
          <w:szCs w:val="16"/>
        </w:rPr>
        <w:footnoteRef/>
      </w:r>
      <w:r w:rsidRPr="00262D58">
        <w:rPr>
          <w:rFonts w:ascii="Arial" w:hAnsi="Arial" w:cs="Arial"/>
          <w:sz w:val="16"/>
          <w:szCs w:val="16"/>
        </w:rPr>
        <w:t xml:space="preserve"> </w:t>
      </w:r>
      <w:r w:rsidRPr="00262D58">
        <w:rPr>
          <w:rFonts w:ascii="Arial" w:hAnsi="Arial" w:cs="Arial"/>
          <w:sz w:val="16"/>
          <w:szCs w:val="16"/>
          <w:lang w:val="es-ES"/>
        </w:rPr>
        <w:t xml:space="preserve">Artículo 2. </w:t>
      </w:r>
    </w:p>
  </w:footnote>
  <w:footnote w:id="16">
    <w:p w:rsidRPr="00262D58" w:rsidR="00C60B22" w:rsidP="00C60B22" w:rsidRDefault="00C60B22" w14:paraId="6FA21E46" w14:textId="77777777">
      <w:pPr>
        <w:pStyle w:val="Textonotapie"/>
        <w:ind w:firstLine="709"/>
        <w:contextualSpacing/>
        <w:jc w:val="both"/>
        <w:rPr>
          <w:rFonts w:ascii="Arial" w:hAnsi="Arial" w:cs="Arial"/>
          <w:sz w:val="16"/>
          <w:szCs w:val="16"/>
          <w:lang w:val="es-ES"/>
        </w:rPr>
      </w:pPr>
      <w:r w:rsidRPr="00262D58">
        <w:rPr>
          <w:rStyle w:val="Refdenotaalpie"/>
          <w:rFonts w:ascii="Arial" w:hAnsi="Arial" w:cs="Arial"/>
          <w:sz w:val="16"/>
          <w:szCs w:val="16"/>
        </w:rPr>
        <w:footnoteRef/>
      </w:r>
      <w:r w:rsidRPr="00262D58">
        <w:rPr>
          <w:rFonts w:ascii="Arial" w:hAnsi="Arial" w:cs="Arial"/>
          <w:sz w:val="16"/>
          <w:szCs w:val="16"/>
        </w:rPr>
        <w:t xml:space="preserve"> </w:t>
      </w:r>
      <w:r w:rsidRPr="00262D58">
        <w:rPr>
          <w:rFonts w:ascii="Arial" w:hAnsi="Arial" w:cs="Arial"/>
          <w:i/>
          <w:sz w:val="16"/>
          <w:szCs w:val="16"/>
          <w:lang w:val="es-ES"/>
        </w:rPr>
        <w:t>Ídem</w:t>
      </w:r>
      <w:r w:rsidRPr="00262D58">
        <w:rPr>
          <w:rFonts w:ascii="Arial" w:hAnsi="Arial" w:cs="Arial"/>
          <w:sz w:val="16"/>
          <w:szCs w:val="16"/>
          <w:lang w:val="es-ES"/>
        </w:rPr>
        <w:t>.</w:t>
      </w:r>
    </w:p>
  </w:footnote>
  <w:footnote w:id="17">
    <w:p w:rsidRPr="00262D58" w:rsidR="00C60B22" w:rsidP="00C60B22" w:rsidRDefault="00C60B22" w14:paraId="397045D0" w14:textId="77777777">
      <w:pPr>
        <w:pStyle w:val="Textonotapie"/>
        <w:ind w:firstLine="709"/>
        <w:contextualSpacing/>
        <w:jc w:val="both"/>
        <w:rPr>
          <w:rFonts w:ascii="Arial" w:hAnsi="Arial" w:cs="Arial"/>
          <w:sz w:val="16"/>
          <w:szCs w:val="16"/>
          <w:lang w:val="es-ES"/>
        </w:rPr>
      </w:pPr>
      <w:r w:rsidRPr="00262D58">
        <w:rPr>
          <w:rStyle w:val="Refdenotaalpie"/>
          <w:rFonts w:ascii="Arial" w:hAnsi="Arial" w:cs="Arial"/>
          <w:sz w:val="16"/>
          <w:szCs w:val="16"/>
        </w:rPr>
        <w:footnoteRef/>
      </w:r>
      <w:r w:rsidRPr="00262D58">
        <w:rPr>
          <w:rStyle w:val="Refdenotaalpie"/>
          <w:rFonts w:ascii="Arial" w:hAnsi="Arial" w:cs="Arial"/>
          <w:sz w:val="16"/>
          <w:szCs w:val="16"/>
        </w:rPr>
        <w:t xml:space="preserve"> </w:t>
      </w:r>
      <w:r w:rsidRPr="00262D58">
        <w:rPr>
          <w:rFonts w:ascii="Arial" w:hAnsi="Arial" w:cs="Arial"/>
          <w:sz w:val="16"/>
          <w:szCs w:val="16"/>
          <w:lang w:val="es-ES"/>
        </w:rPr>
        <w:t xml:space="preserve">“[…] A este respecto, cabe recordar que el artículo 860 del Código de Comercio regula la licitación en el derecho privado”. </w:t>
      </w:r>
    </w:p>
  </w:footnote>
  <w:footnote w:id="18">
    <w:p w:rsidRPr="00262D58" w:rsidR="00C60B22" w:rsidP="00C60B22" w:rsidRDefault="00C60B22" w14:paraId="23330312" w14:textId="77777777">
      <w:pPr>
        <w:shd w:val="clear" w:color="auto" w:fill="FFFFFF"/>
        <w:spacing w:after="0" w:line="240" w:lineRule="auto"/>
        <w:ind w:firstLine="709"/>
        <w:contextualSpacing/>
        <w:jc w:val="both"/>
        <w:rPr>
          <w:rFonts w:ascii="Arial" w:hAnsi="Arial" w:cs="Arial"/>
          <w:sz w:val="16"/>
          <w:szCs w:val="16"/>
          <w:lang w:val="es-ES"/>
        </w:rPr>
      </w:pPr>
      <w:r w:rsidRPr="00262D58">
        <w:rPr>
          <w:rStyle w:val="Refdenotaalpie"/>
          <w:rFonts w:ascii="Arial" w:hAnsi="Arial" w:cs="Arial"/>
          <w:sz w:val="16"/>
          <w:szCs w:val="16"/>
        </w:rPr>
        <w:footnoteRef/>
      </w:r>
      <w:r w:rsidRPr="00262D58">
        <w:rPr>
          <w:rStyle w:val="Refdenotaalpie"/>
          <w:rFonts w:ascii="Arial" w:hAnsi="Arial" w:cs="Arial"/>
          <w:sz w:val="16"/>
          <w:szCs w:val="16"/>
        </w:rPr>
        <w:t xml:space="preserve"> </w:t>
      </w:r>
      <w:r w:rsidRPr="00262D58">
        <w:rPr>
          <w:rFonts w:ascii="Arial" w:hAnsi="Arial" w:cs="Arial"/>
          <w:sz w:val="16"/>
          <w:szCs w:val="16"/>
          <w:lang w:val="es-ES"/>
        </w:rPr>
        <w:t xml:space="preserve">Consejo de Estado. Sala de Consulta y Servicio Civil, Concepto de 8 de mayo de 2018. Radicación Número: 11001-03-06-000-2018-00095-00(2382). Consejero Ponente: Álvaro </w:t>
      </w:r>
      <w:proofErr w:type="spellStart"/>
      <w:r w:rsidRPr="00262D58">
        <w:rPr>
          <w:rFonts w:ascii="Arial" w:hAnsi="Arial" w:cs="Arial"/>
          <w:sz w:val="16"/>
          <w:szCs w:val="16"/>
          <w:lang w:val="es-ES"/>
        </w:rPr>
        <w:t>Namén</w:t>
      </w:r>
      <w:proofErr w:type="spellEnd"/>
      <w:r w:rsidRPr="00262D58">
        <w:rPr>
          <w:rFonts w:ascii="Arial" w:hAnsi="Arial" w:cs="Arial"/>
          <w:sz w:val="16"/>
          <w:szCs w:val="16"/>
          <w:lang w:val="es-ES"/>
        </w:rPr>
        <w:t xml:space="preserve"> Vargas.</w:t>
      </w:r>
    </w:p>
  </w:footnote>
  <w:footnote w:id="19">
    <w:p w:rsidRPr="00262D58" w:rsidR="00C60B22" w:rsidP="00C60B22" w:rsidRDefault="00C60B22" w14:paraId="7709A074" w14:textId="77777777">
      <w:pPr>
        <w:pStyle w:val="Textonotapie"/>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Consejo de Estado. Sala de Consulta y Servicio Civil. Concepto del 08 de mayo de 2018. </w:t>
      </w:r>
      <w:proofErr w:type="spellStart"/>
      <w:r w:rsidRPr="00262D58">
        <w:rPr>
          <w:rFonts w:ascii="Arial" w:hAnsi="Arial" w:cs="Arial"/>
          <w:sz w:val="16"/>
          <w:szCs w:val="16"/>
        </w:rPr>
        <w:t>Exp</w:t>
      </w:r>
      <w:proofErr w:type="spellEnd"/>
      <w:r w:rsidRPr="00262D58">
        <w:rPr>
          <w:rFonts w:ascii="Arial" w:hAnsi="Arial" w:cs="Arial"/>
          <w:sz w:val="16"/>
          <w:szCs w:val="16"/>
        </w:rPr>
        <w:t xml:space="preserve">. 2.382. C.P. Álvaro </w:t>
      </w:r>
      <w:proofErr w:type="spellStart"/>
      <w:r w:rsidRPr="00262D58">
        <w:rPr>
          <w:rFonts w:ascii="Arial" w:hAnsi="Arial" w:cs="Arial"/>
          <w:sz w:val="16"/>
          <w:szCs w:val="16"/>
        </w:rPr>
        <w:t>Namén</w:t>
      </w:r>
      <w:proofErr w:type="spellEnd"/>
      <w:r w:rsidRPr="00262D58">
        <w:rPr>
          <w:rFonts w:ascii="Arial" w:hAnsi="Arial" w:cs="Arial"/>
          <w:sz w:val="16"/>
          <w:szCs w:val="16"/>
        </w:rPr>
        <w:t xml:space="preserve"> Vargas.</w:t>
      </w:r>
    </w:p>
  </w:footnote>
  <w:footnote w:id="20">
    <w:p w:rsidRPr="00262D58" w:rsidR="00C60B22" w:rsidP="00C60B22" w:rsidRDefault="00C60B22" w14:paraId="475D76F4" w14:textId="77777777">
      <w:pPr>
        <w:pStyle w:val="Textonotapie"/>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262D58">
        <w:rPr>
          <w:rFonts w:ascii="Arial" w:hAnsi="Arial" w:cs="Arial"/>
          <w:sz w:val="16"/>
          <w:szCs w:val="16"/>
        </w:rPr>
        <w:t>N°</w:t>
      </w:r>
      <w:proofErr w:type="spellEnd"/>
      <w:r w:rsidRPr="00262D58">
        <w:rPr>
          <w:rFonts w:ascii="Arial" w:hAnsi="Arial" w:cs="Arial"/>
          <w:sz w:val="16"/>
          <w:szCs w:val="16"/>
        </w:rPr>
        <w:t xml:space="preserve"> 216/05 Senado, </w:t>
      </w:r>
      <w:proofErr w:type="spellStart"/>
      <w:r w:rsidRPr="00262D58">
        <w:rPr>
          <w:rFonts w:ascii="Arial" w:hAnsi="Arial" w:cs="Arial"/>
          <w:sz w:val="16"/>
          <w:szCs w:val="16"/>
        </w:rPr>
        <w:t>N°</w:t>
      </w:r>
      <w:proofErr w:type="spellEnd"/>
      <w:r w:rsidRPr="00262D58">
        <w:rPr>
          <w:rFonts w:ascii="Arial" w:hAnsi="Arial" w:cs="Arial"/>
          <w:sz w:val="16"/>
          <w:szCs w:val="16"/>
        </w:rPr>
        <w:t xml:space="preserve"> 235-Cámara que dio lugar a la Ley de Garantías Electorales.</w:t>
      </w:r>
    </w:p>
  </w:footnote>
  <w:footnote w:id="21">
    <w:p w:rsidRPr="00262D58" w:rsidR="00C60B22" w:rsidP="00C60B22" w:rsidRDefault="00C60B22" w14:paraId="67A94F5F" w14:textId="77777777">
      <w:pPr>
        <w:spacing w:after="0" w:line="240" w:lineRule="auto"/>
        <w:ind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rsidRPr="00262D58" w:rsidR="00C60B22" w:rsidP="00C60B22" w:rsidRDefault="00C60B22" w14:paraId="6556DC75" w14:textId="77777777">
      <w:pPr>
        <w:pStyle w:val="Textonotapie"/>
        <w:ind w:right="51"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w:t>
      </w:r>
      <w:bookmarkStart w:name="_Hlk75633115" w:id="37"/>
      <w:r w:rsidRPr="00262D58">
        <w:rPr>
          <w:rFonts w:ascii="Arial" w:hAnsi="Arial" w:cs="Arial"/>
          <w:sz w:val="16"/>
          <w:szCs w:val="16"/>
        </w:rPr>
        <w:t xml:space="preserve">Consejo de Estado. Sala de Consulta y Servicio Civil. Concepto </w:t>
      </w:r>
      <w:bookmarkEnd w:id="37"/>
      <w:r w:rsidRPr="00262D58">
        <w:rPr>
          <w:rFonts w:ascii="Arial" w:hAnsi="Arial" w:cs="Arial"/>
          <w:sz w:val="16"/>
          <w:szCs w:val="16"/>
        </w:rPr>
        <w:t>de 6 de abril de 2006. Radicación Número: 11001-03-06-000-2006-00038-00(1738). Consejero Ponente: Enrique José Arboleda Perdomo:</w:t>
      </w:r>
      <w:r w:rsidRPr="00262D58">
        <w:rPr>
          <w:rFonts w:ascii="Arial" w:hAnsi="Arial" w:eastAsia="Times New Roman" w:cs="Arial"/>
          <w:sz w:val="16"/>
          <w:szCs w:val="16"/>
          <w:lang w:eastAsia="x-none"/>
        </w:rPr>
        <w:t xml:space="preserve"> “</w:t>
      </w:r>
      <w:r w:rsidRPr="00262D58">
        <w:rPr>
          <w:rFonts w:ascii="Arial" w:hAnsi="Arial"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262D58">
        <w:rPr>
          <w:rFonts w:ascii="Arial" w:hAnsi="Arial" w:eastAsia="Times New Roman" w:cs="Arial"/>
          <w:sz w:val="16"/>
          <w:szCs w:val="16"/>
          <w:lang w:eastAsia="x-none"/>
        </w:rPr>
        <w:t>”.</w:t>
      </w:r>
    </w:p>
  </w:footnote>
  <w:footnote w:id="23">
    <w:p w:rsidRPr="00262D58" w:rsidR="00C60B22" w:rsidP="00C60B22" w:rsidRDefault="00C60B22" w14:paraId="50545263" w14:textId="77777777">
      <w:pPr>
        <w:pStyle w:val="Textonotapie"/>
        <w:ind w:right="51"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Consejo de Estado. Sala de Consulta y Servicio Civil. Concepto de 6 de abril de 2006. Radicación Número: 11001-03-06-000-2006-00038-00(1738). Consejero Ponente: Enrique José Arboleda Perdomo.</w:t>
      </w:r>
    </w:p>
  </w:footnote>
  <w:footnote w:id="24">
    <w:p w:rsidRPr="00262D58" w:rsidR="00C60B22" w:rsidP="00C60B22" w:rsidRDefault="00C60B22" w14:paraId="4DE990A8" w14:textId="77777777">
      <w:pPr>
        <w:pStyle w:val="Textonotapie"/>
        <w:ind w:right="51" w:firstLine="709"/>
        <w:contextualSpacing/>
        <w:jc w:val="both"/>
        <w:rPr>
          <w:rFonts w:ascii="Arial" w:hAnsi="Arial" w:cs="Arial"/>
          <w:sz w:val="16"/>
          <w:szCs w:val="16"/>
        </w:rPr>
      </w:pPr>
      <w:r w:rsidRPr="00262D58">
        <w:rPr>
          <w:rStyle w:val="Refdenotaalpie"/>
          <w:rFonts w:ascii="Arial" w:hAnsi="Arial" w:cs="Arial"/>
          <w:sz w:val="16"/>
          <w:szCs w:val="16"/>
        </w:rPr>
        <w:footnoteRef/>
      </w:r>
      <w:r w:rsidRPr="00262D58">
        <w:rPr>
          <w:rFonts w:ascii="Arial" w:hAnsi="Arial" w:cs="Arial"/>
          <w:sz w:val="16"/>
          <w:szCs w:val="16"/>
        </w:rPr>
        <w:t xml:space="preserve"> Consejo de Estado. Sala de Consulta y Servicio Civil, ídem.</w:t>
      </w:r>
    </w:p>
  </w:footnote>
  <w:footnote w:id="25">
    <w:p w:rsidRPr="00B05E9D" w:rsidR="00A26C80" w:rsidP="00A26C80" w:rsidRDefault="00A26C80" w14:paraId="402542B4" w14:textId="77777777">
      <w:pPr>
        <w:pStyle w:val="Textonotapie"/>
        <w:ind w:firstLine="709"/>
        <w:jc w:val="both"/>
        <w:rPr>
          <w:rFonts w:ascii="Arial" w:hAnsi="Arial" w:cs="Arial"/>
          <w:sz w:val="19"/>
          <w:szCs w:val="19"/>
          <w:lang w:val="es-ES"/>
        </w:rPr>
      </w:pPr>
      <w:r w:rsidRPr="00B05E9D">
        <w:rPr>
          <w:rStyle w:val="Refdenotaalpie"/>
          <w:rFonts w:ascii="Arial" w:hAnsi="Arial" w:cs="Arial"/>
          <w:sz w:val="19"/>
          <w:szCs w:val="19"/>
        </w:rPr>
        <w:footnoteRef/>
      </w:r>
      <w:r w:rsidRPr="00B05E9D">
        <w:rPr>
          <w:rFonts w:ascii="Arial" w:hAnsi="Arial" w:cs="Arial"/>
          <w:sz w:val="19"/>
          <w:szCs w:val="19"/>
        </w:rPr>
        <w:t xml:space="preserve"> </w:t>
      </w:r>
      <w:r w:rsidRPr="00B05E9D">
        <w:rPr>
          <w:rFonts w:ascii="Arial" w:hAnsi="Arial" w:cs="Arial"/>
          <w:sz w:val="19"/>
          <w:szCs w:val="19"/>
          <w:lang w:val="es-ES"/>
        </w:rPr>
        <w:t>Por medio del cual se reglamentan parcialmente las operaciones de crédito público, las de manejo de la deuda pública, sus asimiladas y conexas y la contratación directa de las mismas.</w:t>
      </w:r>
    </w:p>
    <w:p w:rsidRPr="00B05E9D" w:rsidR="00A26C80" w:rsidP="00A26C80" w:rsidRDefault="00A26C80" w14:paraId="707CBD44" w14:textId="77777777">
      <w:pPr>
        <w:pStyle w:val="Textonotapie"/>
        <w:ind w:firstLine="709"/>
        <w:jc w:val="both"/>
        <w:rPr>
          <w:rFonts w:ascii="Arial" w:hAnsi="Arial" w:cs="Arial"/>
          <w:sz w:val="19"/>
          <w:szCs w:val="19"/>
        </w:rPr>
      </w:pPr>
    </w:p>
  </w:footnote>
  <w:footnote w:id="26">
    <w:p w:rsidRPr="00B05E9D" w:rsidR="00A26C80" w:rsidP="00A26C80" w:rsidRDefault="00A26C80" w14:paraId="7C75DDA6" w14:textId="77777777">
      <w:pPr>
        <w:pStyle w:val="Textonotapie"/>
        <w:ind w:firstLine="709"/>
        <w:jc w:val="both"/>
        <w:rPr>
          <w:rFonts w:ascii="Arial" w:hAnsi="Arial" w:cs="Arial"/>
          <w:sz w:val="19"/>
          <w:szCs w:val="19"/>
          <w:lang w:val="es-ES"/>
        </w:rPr>
      </w:pPr>
      <w:r w:rsidRPr="00B05E9D">
        <w:rPr>
          <w:rStyle w:val="Refdenotaalpie"/>
          <w:rFonts w:ascii="Arial" w:hAnsi="Arial" w:cs="Arial"/>
          <w:sz w:val="19"/>
          <w:szCs w:val="19"/>
        </w:rPr>
        <w:footnoteRef/>
      </w:r>
      <w:r w:rsidRPr="00B05E9D">
        <w:rPr>
          <w:rFonts w:ascii="Arial" w:hAnsi="Arial" w:cs="Arial"/>
          <w:sz w:val="19"/>
          <w:szCs w:val="19"/>
        </w:rPr>
        <w:t xml:space="preserve"> </w:t>
      </w:r>
      <w:r w:rsidRPr="00B05E9D">
        <w:rPr>
          <w:rFonts w:ascii="Arial" w:hAnsi="Arial" w:cs="Arial"/>
          <w:sz w:val="19"/>
          <w:szCs w:val="19"/>
          <w:lang w:val="es-ES"/>
        </w:rPr>
        <w:t>Por medio del cual se expide el Decreto Único Reglamentario del Sector Hacienda y Crédito Público.</w:t>
      </w:r>
    </w:p>
  </w:footnote>
  <w:footnote w:id="27">
    <w:p w:rsidRPr="00B05E9D" w:rsidR="00A26C80" w:rsidP="00A26C80" w:rsidRDefault="00A26C80" w14:paraId="50C52490" w14:textId="77777777">
      <w:pPr>
        <w:pStyle w:val="Textonotapie"/>
        <w:ind w:firstLine="709"/>
        <w:jc w:val="both"/>
        <w:rPr>
          <w:rFonts w:ascii="Arial" w:hAnsi="Arial" w:cs="Arial"/>
          <w:sz w:val="19"/>
          <w:szCs w:val="19"/>
          <w:lang w:val="es-ES"/>
        </w:rPr>
      </w:pPr>
      <w:r w:rsidRPr="00B05E9D">
        <w:rPr>
          <w:rStyle w:val="Refdenotaalpie"/>
          <w:rFonts w:ascii="Arial" w:hAnsi="Arial" w:cs="Arial"/>
          <w:sz w:val="19"/>
          <w:szCs w:val="19"/>
        </w:rPr>
        <w:footnoteRef/>
      </w:r>
      <w:r w:rsidRPr="00B05E9D">
        <w:rPr>
          <w:rFonts w:ascii="Arial" w:hAnsi="Arial" w:cs="Arial"/>
          <w:sz w:val="19"/>
          <w:szCs w:val="19"/>
        </w:rPr>
        <w:t xml:space="preserve"> </w:t>
      </w:r>
      <w:r w:rsidRPr="00B05E9D">
        <w:rPr>
          <w:rFonts w:ascii="Arial" w:hAnsi="Arial" w:cs="Arial"/>
          <w:sz w:val="19"/>
          <w:szCs w:val="19"/>
          <w:lang w:val="es-ES"/>
        </w:rPr>
        <w:t>Corte Constitucional, Sentencia C–670 de 2014, M.P. María Victoria Calle Correa, para. 13.1.</w:t>
      </w:r>
    </w:p>
    <w:p w:rsidRPr="00B05E9D" w:rsidR="00A26C80" w:rsidP="00A26C80" w:rsidRDefault="00A26C80" w14:paraId="36187A83" w14:textId="77777777">
      <w:pPr>
        <w:pStyle w:val="Textonotapie"/>
        <w:ind w:firstLine="709"/>
        <w:jc w:val="both"/>
        <w:rPr>
          <w:rFonts w:ascii="Arial" w:hAnsi="Arial" w:cs="Arial"/>
          <w:sz w:val="19"/>
          <w:szCs w:val="19"/>
          <w:lang w:val="es-ES"/>
        </w:rPr>
      </w:pPr>
    </w:p>
  </w:footnote>
  <w:footnote w:id="28">
    <w:p w:rsidRPr="00B05E9D" w:rsidR="00A26C80" w:rsidP="00A26C80" w:rsidRDefault="00A26C80" w14:paraId="6420B107" w14:textId="77777777">
      <w:pPr>
        <w:pStyle w:val="Textonotapie"/>
        <w:ind w:firstLine="709"/>
        <w:jc w:val="both"/>
        <w:rPr>
          <w:rFonts w:ascii="Arial" w:hAnsi="Arial" w:cs="Arial"/>
          <w:sz w:val="19"/>
          <w:szCs w:val="19"/>
          <w:lang w:val="es-ES"/>
        </w:rPr>
      </w:pPr>
      <w:r w:rsidRPr="00B05E9D">
        <w:rPr>
          <w:rStyle w:val="Refdenotaalpie"/>
          <w:rFonts w:ascii="Arial" w:hAnsi="Arial" w:cs="Arial"/>
          <w:sz w:val="19"/>
          <w:szCs w:val="19"/>
        </w:rPr>
        <w:footnoteRef/>
      </w:r>
      <w:r w:rsidRPr="00B05E9D">
        <w:rPr>
          <w:rFonts w:ascii="Arial" w:hAnsi="Arial" w:cs="Arial"/>
          <w:sz w:val="19"/>
          <w:szCs w:val="19"/>
        </w:rPr>
        <w:t xml:space="preserve"> </w:t>
      </w:r>
      <w:bookmarkStart w:name="_Hlk79226058" w:id="43"/>
      <w:r w:rsidRPr="00B05E9D">
        <w:rPr>
          <w:rFonts w:ascii="Arial" w:hAnsi="Arial" w:cs="Arial"/>
          <w:sz w:val="19"/>
          <w:szCs w:val="19"/>
        </w:rPr>
        <w:t xml:space="preserve">Colombia Compra Eficiente, </w:t>
      </w:r>
      <w:bookmarkEnd w:id="43"/>
      <w:r w:rsidRPr="00B05E9D">
        <w:rPr>
          <w:rFonts w:ascii="Arial" w:hAnsi="Arial" w:cs="Arial"/>
          <w:sz w:val="19"/>
          <w:szCs w:val="19"/>
        </w:rPr>
        <w:t>Conceptos con</w:t>
      </w:r>
      <w:r w:rsidRPr="00B05E9D">
        <w:rPr>
          <w:rStyle w:val="Refdenotaalpie"/>
          <w:rFonts w:ascii="Arial" w:hAnsi="Arial" w:cs="Arial"/>
          <w:sz w:val="19"/>
          <w:szCs w:val="19"/>
          <w:lang w:val="es-ES"/>
        </w:rPr>
        <w:t xml:space="preserve"> </w:t>
      </w:r>
      <w:r w:rsidRPr="00B05E9D">
        <w:rPr>
          <w:rFonts w:ascii="Arial" w:hAnsi="Arial" w:eastAsia="Calibri" w:cs="Arial"/>
          <w:sz w:val="19"/>
          <w:szCs w:val="19"/>
          <w:lang w:val="es-CO"/>
        </w:rPr>
        <w:t xml:space="preserve">Rad. </w:t>
      </w:r>
      <w:r w:rsidRPr="00B05E9D">
        <w:rPr>
          <w:rFonts w:ascii="Arial" w:hAnsi="Arial" w:cs="Arial"/>
          <w:sz w:val="19"/>
          <w:szCs w:val="19"/>
        </w:rPr>
        <w:t>2201913000009289</w:t>
      </w:r>
      <w:r w:rsidRPr="00B05E9D">
        <w:rPr>
          <w:rFonts w:ascii="Arial" w:hAnsi="Arial" w:eastAsia="Calibri" w:cs="Arial"/>
          <w:sz w:val="19"/>
          <w:szCs w:val="19"/>
          <w:lang w:val="es-CO"/>
        </w:rPr>
        <w:t xml:space="preserve"> y Rad. 4201913000007443 de 2019.</w:t>
      </w:r>
    </w:p>
  </w:footnote>
  <w:footnote w:id="29">
    <w:p w:rsidRPr="00B05E9D" w:rsidR="00A26C80" w:rsidP="00A26C80" w:rsidRDefault="00A26C80" w14:paraId="553457A5" w14:textId="54AEFD10">
      <w:pPr>
        <w:pStyle w:val="Textonotapie"/>
        <w:ind w:firstLine="709"/>
        <w:jc w:val="both"/>
        <w:rPr>
          <w:rFonts w:ascii="Arial" w:hAnsi="Arial" w:cs="Arial"/>
          <w:sz w:val="19"/>
          <w:szCs w:val="19"/>
        </w:rPr>
      </w:pPr>
      <w:r w:rsidRPr="00B05E9D">
        <w:rPr>
          <w:rStyle w:val="Refdenotaalpie"/>
          <w:rFonts w:ascii="Arial" w:hAnsi="Arial" w:cs="Arial"/>
          <w:sz w:val="19"/>
          <w:szCs w:val="19"/>
        </w:rPr>
        <w:footnoteRef/>
      </w:r>
      <w:r w:rsidRPr="00B05E9D">
        <w:rPr>
          <w:rFonts w:ascii="Arial" w:hAnsi="Arial" w:cs="Arial"/>
          <w:sz w:val="19"/>
          <w:szCs w:val="19"/>
        </w:rPr>
        <w:t xml:space="preserve"> “[P] ara los contratos de empréstito, cuyo propósito es proveer a las entidades contratantes de recursos en moneda nacional o extranjera con plazo para su pago [artículo 7 Decreto 2681 de 1993], la Ley dispuso que estos se realizan de forma directa, pues de acuerdo con su naturaleza, le es difícil al Estado establecer las condiciones generales para realizar este tipo de contratación, esto, sin quedar desprovisto de su deber de selección objetiva. Así las cosas, nos encontramos frente a una tipología contractual cuyo origen se da confluencia de la voluntad por parte del Estado y quienes proveen los recursos, en este caso, sus acreedores y de contenido oneroso.  […] Continuando con el desarrollo del citado Decreto, los contratos de empréstito se encuentran una clasificación </w:t>
      </w:r>
      <w:proofErr w:type="gramStart"/>
      <w:r w:rsidRPr="00B05E9D">
        <w:rPr>
          <w:rFonts w:ascii="Arial" w:hAnsi="Arial" w:cs="Arial"/>
          <w:sz w:val="19"/>
          <w:szCs w:val="19"/>
        </w:rPr>
        <w:t>de acuerdo a</w:t>
      </w:r>
      <w:proofErr w:type="gramEnd"/>
      <w:r w:rsidRPr="00B05E9D">
        <w:rPr>
          <w:rFonts w:ascii="Arial" w:hAnsi="Arial" w:cs="Arial"/>
          <w:sz w:val="19"/>
          <w:szCs w:val="19"/>
        </w:rPr>
        <w:t xml:space="preserve"> dos componentes: el primero obedece a si el empréstito es interno o externo y el segundo a la naturaleza de la entidad contratante. Se tiene entonces que las operaciones de crédito público </w:t>
      </w:r>
      <w:proofErr w:type="gramStart"/>
      <w:r w:rsidRPr="00B05E9D">
        <w:rPr>
          <w:rFonts w:ascii="Arial" w:hAnsi="Arial" w:cs="Arial"/>
          <w:sz w:val="19"/>
          <w:szCs w:val="19"/>
        </w:rPr>
        <w:t>internas,</w:t>
      </w:r>
      <w:proofErr w:type="gramEnd"/>
      <w:r w:rsidRPr="00B05E9D">
        <w:rPr>
          <w:rFonts w:ascii="Arial" w:hAnsi="Arial" w:cs="Arial"/>
          <w:sz w:val="19"/>
          <w:szCs w:val="19"/>
        </w:rPr>
        <w:t xml:space="preserve"> son las que se celebren exclusivamente entre residentes del territorio colombiano para ser pagaderas en moneda legal colombiana y las operaciones de crédito público las demás. Su clasificación también se realiza conforme a su temporalidad, siendo los contratos de empréstito a largo plazo aquellos cuyo plazo es superior a un año y se buscan financiar inversiones a largo plazo, y los contratos de empréstito a corto plazo cuyo objetivo es financiar gastos a corto plazo y son inferiores a un año. El artículo 7 del Decreto 2681 de 1993, delimita la posibilidad de realizar estos contratos de empréstito a </w:t>
      </w:r>
      <w:r w:rsidR="00963AFD">
        <w:rPr>
          <w:rFonts w:ascii="Arial" w:hAnsi="Arial" w:cs="Arial"/>
          <w:sz w:val="19"/>
          <w:szCs w:val="19"/>
        </w:rPr>
        <w:t>“</w:t>
      </w:r>
      <w:r w:rsidRPr="00B05E9D">
        <w:rPr>
          <w:rFonts w:ascii="Arial" w:hAnsi="Arial" w:cs="Arial"/>
          <w:sz w:val="19"/>
          <w:szCs w:val="19"/>
        </w:rPr>
        <w:t>entidades estatales</w:t>
      </w:r>
      <w:r w:rsidR="00963AFD">
        <w:rPr>
          <w:rFonts w:ascii="Arial" w:hAnsi="Arial" w:cs="Arial"/>
          <w:sz w:val="19"/>
          <w:szCs w:val="19"/>
        </w:rPr>
        <w:t>”</w:t>
      </w:r>
      <w:r w:rsidRPr="00B05E9D">
        <w:rPr>
          <w:rFonts w:ascii="Arial" w:hAnsi="Arial" w:cs="Arial"/>
          <w:sz w:val="19"/>
          <w:szCs w:val="19"/>
        </w:rPr>
        <w:t>, lo que lleva a la conclusión que su administración estará a cargo de la entidad contratante, cuya naturaleza será la de entidad estatal o bajo las figuras jurídicas en las que el Estado cuenta con participación en su capital.”   (Colombia Compra Eficiente, Conceptos C-370 de 2 de julio de 2020).</w:t>
      </w:r>
    </w:p>
    <w:p w:rsidRPr="00B05E9D" w:rsidR="00A26C80" w:rsidP="00A26C80" w:rsidRDefault="00A26C80" w14:paraId="541349AE" w14:textId="77777777">
      <w:pPr>
        <w:pStyle w:val="Textonotapie"/>
        <w:ind w:firstLine="709"/>
        <w:jc w:val="both"/>
        <w:rPr>
          <w:rFonts w:ascii="Arial" w:hAnsi="Arial" w:cs="Arial"/>
          <w:sz w:val="19"/>
          <w:szCs w:val="19"/>
        </w:rPr>
      </w:pPr>
    </w:p>
  </w:footnote>
  <w:footnote w:id="30">
    <w:p w:rsidRPr="00B05E9D" w:rsidR="00A26C80" w:rsidP="00A26C80" w:rsidRDefault="00A26C80" w14:paraId="02FE71E7" w14:textId="3E302E06">
      <w:pPr>
        <w:pStyle w:val="Textonotapie"/>
        <w:ind w:firstLine="709"/>
        <w:jc w:val="both"/>
        <w:rPr>
          <w:rFonts w:ascii="Arial" w:hAnsi="Arial" w:cs="Arial"/>
          <w:sz w:val="19"/>
          <w:szCs w:val="19"/>
          <w:lang w:val="es-ES"/>
        </w:rPr>
      </w:pPr>
      <w:r w:rsidRPr="00B05E9D">
        <w:rPr>
          <w:rStyle w:val="Refdenotaalpie"/>
          <w:rFonts w:ascii="Arial" w:hAnsi="Arial" w:cs="Arial"/>
          <w:sz w:val="19"/>
          <w:szCs w:val="19"/>
        </w:rPr>
        <w:footnoteRef/>
      </w:r>
      <w:r w:rsidRPr="00B05E9D">
        <w:rPr>
          <w:rFonts w:ascii="Arial" w:hAnsi="Arial" w:cs="Arial"/>
          <w:sz w:val="19"/>
          <w:szCs w:val="19"/>
        </w:rPr>
        <w:t xml:space="preserve"> </w:t>
      </w:r>
      <w:r w:rsidRPr="00B05E9D">
        <w:rPr>
          <w:rFonts w:ascii="Arial" w:hAnsi="Arial" w:cs="Arial"/>
          <w:sz w:val="19"/>
          <w:szCs w:val="19"/>
          <w:lang w:val="es-ES"/>
        </w:rPr>
        <w:t xml:space="preserve">La regulación </w:t>
      </w:r>
      <w:proofErr w:type="gramStart"/>
      <w:r w:rsidRPr="00B05E9D">
        <w:rPr>
          <w:rFonts w:ascii="Arial" w:hAnsi="Arial" w:cs="Arial"/>
          <w:i/>
          <w:iCs/>
          <w:sz w:val="19"/>
          <w:szCs w:val="19"/>
          <w:lang w:val="es-ES"/>
        </w:rPr>
        <w:t>in extenso</w:t>
      </w:r>
      <w:proofErr w:type="gramEnd"/>
      <w:r w:rsidRPr="00B05E9D">
        <w:rPr>
          <w:rFonts w:ascii="Arial" w:hAnsi="Arial" w:cs="Arial"/>
          <w:sz w:val="19"/>
          <w:szCs w:val="19"/>
          <w:lang w:val="es-ES"/>
        </w:rPr>
        <w:t xml:space="preserve"> de la materia se encuentra entre los capítulos 1 y 4 del libro 2, parte 2 título 1del Decreto 1068 de 2015</w:t>
      </w:r>
      <w:r>
        <w:rPr>
          <w:rFonts w:ascii="Arial" w:hAnsi="Arial" w:cs="Arial"/>
          <w:sz w:val="19"/>
          <w:szCs w:val="19"/>
          <w:lang w:val="es-ES"/>
        </w:rPr>
        <w:t>.</w:t>
      </w:r>
      <w:r w:rsidRPr="00B05E9D">
        <w:rPr>
          <w:rFonts w:ascii="Arial" w:hAnsi="Arial" w:cs="Arial"/>
          <w:sz w:val="19"/>
          <w:szCs w:val="19"/>
          <w:lang w:val="es-ES"/>
        </w:rPr>
        <w:t xml:space="preserve"> </w:t>
      </w:r>
      <w:r>
        <w:rPr>
          <w:rFonts w:ascii="Arial" w:hAnsi="Arial" w:cs="Arial"/>
          <w:sz w:val="19"/>
          <w:szCs w:val="19"/>
          <w:lang w:val="es-ES"/>
        </w:rPr>
        <w:t>V</w:t>
      </w:r>
      <w:r w:rsidRPr="00B05E9D">
        <w:rPr>
          <w:rFonts w:ascii="Arial" w:hAnsi="Arial" w:cs="Arial"/>
          <w:sz w:val="19"/>
          <w:szCs w:val="19"/>
          <w:lang w:val="es-ES"/>
        </w:rPr>
        <w:t>er, Consejo de Estado</w:t>
      </w:r>
      <w:r>
        <w:rPr>
          <w:rFonts w:ascii="Arial" w:hAnsi="Arial" w:cs="Arial"/>
          <w:sz w:val="19"/>
          <w:szCs w:val="19"/>
          <w:lang w:val="es-ES"/>
        </w:rPr>
        <w:t>.</w:t>
      </w:r>
      <w:r w:rsidRPr="00B05E9D">
        <w:rPr>
          <w:rFonts w:ascii="Arial" w:hAnsi="Arial" w:cs="Arial"/>
          <w:sz w:val="19"/>
          <w:szCs w:val="19"/>
          <w:lang w:val="es-ES"/>
        </w:rPr>
        <w:t xml:space="preserve"> Sección Cuarta</w:t>
      </w:r>
      <w:r>
        <w:rPr>
          <w:rFonts w:ascii="Arial" w:hAnsi="Arial" w:cs="Arial"/>
          <w:sz w:val="19"/>
          <w:szCs w:val="19"/>
          <w:lang w:val="es-ES"/>
        </w:rPr>
        <w:t>.</w:t>
      </w:r>
      <w:r w:rsidRPr="00B05E9D">
        <w:rPr>
          <w:rFonts w:ascii="Arial" w:hAnsi="Arial" w:cs="Arial"/>
          <w:sz w:val="19"/>
          <w:szCs w:val="19"/>
          <w:lang w:val="es-ES"/>
        </w:rPr>
        <w:t xml:space="preserve"> Sentencia de 13 de junio de 2013</w:t>
      </w:r>
      <w:r>
        <w:rPr>
          <w:rFonts w:ascii="Arial" w:hAnsi="Arial" w:cs="Arial"/>
          <w:sz w:val="19"/>
          <w:szCs w:val="19"/>
          <w:lang w:val="es-ES"/>
        </w:rPr>
        <w:t>.</w:t>
      </w:r>
      <w:r w:rsidRPr="00B05E9D">
        <w:rPr>
          <w:rFonts w:ascii="Arial" w:hAnsi="Arial" w:cs="Arial"/>
          <w:sz w:val="19"/>
          <w:szCs w:val="19"/>
          <w:lang w:val="es-ES"/>
        </w:rPr>
        <w:t xml:space="preserve"> Rad. 19028</w:t>
      </w:r>
      <w:r>
        <w:rPr>
          <w:rFonts w:ascii="Arial" w:hAnsi="Arial" w:cs="Arial"/>
          <w:sz w:val="19"/>
          <w:szCs w:val="19"/>
          <w:lang w:val="es-ES"/>
        </w:rPr>
        <w:t>.</w:t>
      </w:r>
      <w:r w:rsidRPr="00B05E9D">
        <w:rPr>
          <w:rFonts w:ascii="Arial" w:hAnsi="Arial" w:cs="Arial"/>
          <w:sz w:val="19"/>
          <w:szCs w:val="19"/>
          <w:lang w:val="es-ES"/>
        </w:rPr>
        <w:t xml:space="preserve"> C.P. Carmen Teresa Ortiz de Rodríguez: </w:t>
      </w:r>
      <w:r w:rsidR="00963AFD">
        <w:rPr>
          <w:rFonts w:ascii="Arial" w:hAnsi="Arial" w:cs="Arial"/>
          <w:sz w:val="19"/>
          <w:szCs w:val="19"/>
          <w:lang w:val="es-ES"/>
        </w:rPr>
        <w:t>“</w:t>
      </w:r>
      <w:r w:rsidRPr="00B05E9D">
        <w:rPr>
          <w:rFonts w:ascii="Arial" w:hAnsi="Arial" w:cs="Arial"/>
          <w:sz w:val="19"/>
          <w:szCs w:val="19"/>
          <w:lang w:val="es-ES"/>
        </w:rPr>
        <w:t xml:space="preserve">Se tiene entonces que </w:t>
      </w:r>
      <w:r w:rsidRPr="00B05E9D">
        <w:rPr>
          <w:rFonts w:ascii="Arial" w:hAnsi="Arial" w:cs="Arial"/>
          <w:sz w:val="19"/>
          <w:szCs w:val="19"/>
          <w:u w:val="single"/>
          <w:lang w:val="es-ES"/>
        </w:rPr>
        <w:t>los créditos a proveedores ciertamente hacen parte de las operaciones de crédito público</w:t>
      </w:r>
      <w:r w:rsidRPr="00B05E9D">
        <w:rPr>
          <w:rFonts w:ascii="Arial" w:hAnsi="Arial" w:cs="Arial"/>
          <w:sz w:val="19"/>
          <w:szCs w:val="19"/>
          <w:lang w:val="es-ES"/>
        </w:rPr>
        <w:t>, distinguidas por las únicas y categóricas finalidades de dotar a la entidad contratante de recursos, bienes o servicios, con la mediación de un plazo para pagarlos, o de garantizar obligaciones de pago, inclusive bajo la forma de la solidaridad; y, en todo caso, los actos o contratos análogos a esas unívocas finalidades, que obliguen a la entidad estatal bajo un determinado plazo de pago</w:t>
      </w:r>
      <w:r w:rsidR="00963AFD">
        <w:rPr>
          <w:rFonts w:ascii="Arial" w:hAnsi="Arial" w:cs="Arial"/>
          <w:sz w:val="19"/>
          <w:szCs w:val="19"/>
          <w:lang w:val="es-ES"/>
        </w:rPr>
        <w:t>”</w:t>
      </w:r>
      <w:r w:rsidRPr="00B05E9D">
        <w:rPr>
          <w:rFonts w:ascii="Arial" w:hAnsi="Arial" w:cs="Arial"/>
          <w:sz w:val="19"/>
          <w:szCs w:val="19"/>
          <w:lang w:val="es-ES"/>
        </w:rPr>
        <w:t>. (subraya fuera del texto original)</w:t>
      </w:r>
      <w:r>
        <w:rPr>
          <w:rFonts w:ascii="Arial" w:hAnsi="Arial" w:cs="Arial"/>
          <w:sz w:val="19"/>
          <w:szCs w:val="19"/>
          <w:lang w:val="es-ES"/>
        </w:rPr>
        <w:t>.</w:t>
      </w:r>
      <w:r w:rsidRPr="00B05E9D">
        <w:rPr>
          <w:rFonts w:ascii="Arial" w:hAnsi="Arial" w:cs="Arial"/>
          <w:sz w:val="19"/>
          <w:szCs w:val="19"/>
          <w:lang w:val="es-ES"/>
        </w:rPr>
        <w:t xml:space="preserve"> </w:t>
      </w:r>
      <w:r>
        <w:rPr>
          <w:rFonts w:ascii="Arial" w:hAnsi="Arial" w:cs="Arial"/>
          <w:sz w:val="19"/>
          <w:szCs w:val="19"/>
          <w:lang w:val="es-ES"/>
        </w:rPr>
        <w:t>V</w:t>
      </w:r>
      <w:r w:rsidRPr="00B05E9D">
        <w:rPr>
          <w:rFonts w:ascii="Arial" w:hAnsi="Arial" w:cs="Arial"/>
          <w:sz w:val="19"/>
          <w:szCs w:val="19"/>
          <w:lang w:val="es-ES"/>
        </w:rPr>
        <w:t>er también, Consejo de Estado</w:t>
      </w:r>
      <w:r>
        <w:rPr>
          <w:rFonts w:ascii="Arial" w:hAnsi="Arial" w:cs="Arial"/>
          <w:sz w:val="19"/>
          <w:szCs w:val="19"/>
          <w:lang w:val="es-ES"/>
        </w:rPr>
        <w:t>.</w:t>
      </w:r>
      <w:r w:rsidRPr="00B05E9D">
        <w:rPr>
          <w:rFonts w:ascii="Arial" w:hAnsi="Arial" w:cs="Arial"/>
          <w:sz w:val="19"/>
          <w:szCs w:val="19"/>
          <w:lang w:val="es-ES"/>
        </w:rPr>
        <w:t xml:space="preserve"> Sala de Consulta y Servicio Civil</w:t>
      </w:r>
      <w:r>
        <w:rPr>
          <w:rFonts w:ascii="Arial" w:hAnsi="Arial" w:cs="Arial"/>
          <w:sz w:val="19"/>
          <w:szCs w:val="19"/>
          <w:lang w:val="es-ES"/>
        </w:rPr>
        <w:t>.</w:t>
      </w:r>
      <w:r w:rsidRPr="00B05E9D">
        <w:rPr>
          <w:rFonts w:ascii="Arial" w:hAnsi="Arial" w:cs="Arial"/>
          <w:sz w:val="19"/>
          <w:szCs w:val="19"/>
          <w:lang w:val="es-ES"/>
        </w:rPr>
        <w:t xml:space="preserve"> Concepto </w:t>
      </w:r>
      <w:r>
        <w:rPr>
          <w:rFonts w:ascii="Arial" w:hAnsi="Arial" w:cs="Arial"/>
          <w:sz w:val="19"/>
          <w:szCs w:val="19"/>
          <w:lang w:val="es-ES"/>
        </w:rPr>
        <w:t xml:space="preserve">del </w:t>
      </w:r>
      <w:r w:rsidRPr="00B05E9D">
        <w:rPr>
          <w:rFonts w:ascii="Arial" w:hAnsi="Arial" w:cs="Arial"/>
          <w:sz w:val="19"/>
          <w:szCs w:val="19"/>
          <w:lang w:val="es-ES"/>
        </w:rPr>
        <w:t>6 de octubre de 2005</w:t>
      </w:r>
      <w:r>
        <w:rPr>
          <w:rFonts w:ascii="Arial" w:hAnsi="Arial" w:cs="Arial"/>
          <w:sz w:val="19"/>
          <w:szCs w:val="19"/>
          <w:lang w:val="es-ES"/>
        </w:rPr>
        <w:t>.</w:t>
      </w:r>
      <w:r w:rsidRPr="00B05E9D">
        <w:rPr>
          <w:rFonts w:ascii="Arial" w:hAnsi="Arial" w:cs="Arial"/>
          <w:sz w:val="19"/>
          <w:szCs w:val="19"/>
          <w:lang w:val="es-ES"/>
        </w:rPr>
        <w:t xml:space="preserve"> Rad. 1684</w:t>
      </w:r>
      <w:r>
        <w:rPr>
          <w:rFonts w:ascii="Arial" w:hAnsi="Arial" w:cs="Arial"/>
          <w:sz w:val="19"/>
          <w:szCs w:val="19"/>
          <w:lang w:val="es-ES"/>
        </w:rPr>
        <w:t>.</w:t>
      </w:r>
      <w:r w:rsidRPr="00B05E9D">
        <w:rPr>
          <w:rFonts w:ascii="Arial" w:hAnsi="Arial" w:cs="Arial"/>
          <w:sz w:val="19"/>
          <w:szCs w:val="19"/>
          <w:lang w:val="es-ES"/>
        </w:rPr>
        <w:t xml:space="preserve"> C.P. Luis Fernando Álvarez Jaramillo: </w:t>
      </w:r>
      <w:r w:rsidR="00963AFD">
        <w:rPr>
          <w:rFonts w:ascii="Arial" w:hAnsi="Arial" w:cs="Arial"/>
          <w:sz w:val="19"/>
          <w:szCs w:val="19"/>
          <w:lang w:val="es-ES"/>
        </w:rPr>
        <w:t>“</w:t>
      </w:r>
      <w:r w:rsidRPr="00B05E9D">
        <w:rPr>
          <w:rFonts w:ascii="Arial" w:hAnsi="Arial" w:cs="Arial"/>
          <w:sz w:val="19"/>
          <w:szCs w:val="19"/>
          <w:lang w:val="es-ES"/>
        </w:rPr>
        <w:t xml:space="preserve">La emisión de títulos de deuda pública autorizada por la ley 487, </w:t>
      </w:r>
      <w:proofErr w:type="gramStart"/>
      <w:r w:rsidRPr="00B05E9D">
        <w:rPr>
          <w:rFonts w:ascii="Arial" w:hAnsi="Arial" w:cs="Arial"/>
          <w:sz w:val="19"/>
          <w:szCs w:val="19"/>
          <w:lang w:val="es-ES"/>
        </w:rPr>
        <w:t>se enmarca dentro de</w:t>
      </w:r>
      <w:proofErr w:type="gramEnd"/>
      <w:r w:rsidRPr="00B05E9D">
        <w:rPr>
          <w:rFonts w:ascii="Arial" w:hAnsi="Arial" w:cs="Arial"/>
          <w:sz w:val="19"/>
          <w:szCs w:val="19"/>
          <w:lang w:val="es-ES"/>
        </w:rPr>
        <w:t xml:space="preserve"> las operaciones de crédito público definidas por el Estatuto de Contratación de la Administración Pública […]  </w:t>
      </w:r>
      <w:r w:rsidRPr="00B05E9D">
        <w:rPr>
          <w:rFonts w:ascii="Arial" w:hAnsi="Arial" w:cs="Arial"/>
          <w:sz w:val="19"/>
          <w:szCs w:val="19"/>
          <w:u w:val="single"/>
          <w:lang w:val="es-ES"/>
        </w:rPr>
        <w:t>Estos Bonos que comparten la naturaleza jurídica de empréstito</w:t>
      </w:r>
      <w:r w:rsidRPr="00B05E9D">
        <w:rPr>
          <w:rFonts w:ascii="Arial" w:hAnsi="Arial" w:cs="Arial"/>
          <w:sz w:val="19"/>
          <w:szCs w:val="19"/>
          <w:lang w:val="es-ES"/>
        </w:rPr>
        <w:t>, serían títulos a la orden con un plazo de cinco (5) años y devengarían un rendimiento anual igual al 80 % de la variación del índice de precios al consumidor ingresos medios certificados por el DANE</w:t>
      </w:r>
      <w:r w:rsidR="00963AFD">
        <w:rPr>
          <w:rFonts w:ascii="Arial" w:hAnsi="Arial" w:cs="Arial"/>
          <w:sz w:val="19"/>
          <w:szCs w:val="19"/>
          <w:lang w:val="es-ES"/>
        </w:rPr>
        <w:t>”</w:t>
      </w:r>
      <w:r w:rsidRPr="00B05E9D">
        <w:rPr>
          <w:rFonts w:ascii="Arial" w:hAnsi="Arial" w:cs="Arial"/>
          <w:sz w:val="19"/>
          <w:szCs w:val="19"/>
          <w:lang w:val="es-ES"/>
        </w:rPr>
        <w:t xml:space="preserve">. (subraya fuera del texto original) </w:t>
      </w:r>
    </w:p>
  </w:footnote>
  <w:footnote w:id="31">
    <w:p w:rsidRPr="00B05E9D" w:rsidR="00A26C80" w:rsidP="00A26C80" w:rsidRDefault="00A26C80" w14:paraId="76646EA6" w14:textId="77777777">
      <w:pPr>
        <w:pStyle w:val="Textonotapie"/>
        <w:ind w:firstLine="709"/>
        <w:jc w:val="both"/>
        <w:rPr>
          <w:rFonts w:ascii="Arial" w:hAnsi="Arial" w:eastAsia="Calibri" w:cs="Arial"/>
          <w:bCs/>
          <w:color w:val="000000"/>
          <w:sz w:val="19"/>
          <w:szCs w:val="19"/>
        </w:rPr>
      </w:pPr>
      <w:r w:rsidRPr="00B05E9D">
        <w:rPr>
          <w:rStyle w:val="Refdenotaalpie"/>
          <w:rFonts w:ascii="Arial" w:hAnsi="Arial" w:cs="Arial"/>
          <w:sz w:val="19"/>
          <w:szCs w:val="19"/>
        </w:rPr>
        <w:footnoteRef/>
      </w:r>
      <w:r w:rsidRPr="00B05E9D">
        <w:rPr>
          <w:rFonts w:ascii="Arial" w:hAnsi="Arial" w:cs="Arial"/>
          <w:sz w:val="19"/>
          <w:szCs w:val="19"/>
        </w:rPr>
        <w:t xml:space="preserve"> Decreto 1068 de 2015: </w:t>
      </w:r>
      <w:r w:rsidRPr="00B05E9D">
        <w:rPr>
          <w:rFonts w:ascii="Arial" w:hAnsi="Arial" w:cs="Arial"/>
          <w:color w:val="000000"/>
          <w:sz w:val="19"/>
          <w:szCs w:val="19"/>
        </w:rPr>
        <w:t>«</w:t>
      </w:r>
      <w:r w:rsidRPr="00B05E9D">
        <w:rPr>
          <w:rFonts w:ascii="Arial" w:hAnsi="Arial" w:eastAsia="Calibri" w:cs="Arial"/>
          <w:bCs/>
          <w:color w:val="000000"/>
          <w:sz w:val="19"/>
          <w:szCs w:val="19"/>
        </w:rPr>
        <w:t xml:space="preserve">Artículo 2.2.1.5.1. Contratación directa y selección de contratistas. Las operaciones de crédito público, las operaciones asimiladas, las operaciones de manejo de la deuda y las conexas con las anteriores, se contratarán de forma directa, sin someterse al procedimiento de licitación o concurso de méritos. </w:t>
      </w:r>
    </w:p>
    <w:p w:rsidRPr="00B05E9D" w:rsidR="00A26C80" w:rsidP="00A26C80" w:rsidRDefault="00EB3B23" w14:paraId="05F5DE4E" w14:textId="06F14B5E">
      <w:pPr>
        <w:pStyle w:val="Textonotapie"/>
        <w:ind w:firstLine="709"/>
        <w:jc w:val="both"/>
        <w:rPr>
          <w:rFonts w:ascii="Arial" w:hAnsi="Arial" w:cs="Arial"/>
          <w:color w:val="000000"/>
          <w:sz w:val="19"/>
          <w:szCs w:val="19"/>
        </w:rPr>
      </w:pPr>
      <w:r>
        <w:rPr>
          <w:rFonts w:ascii="Arial" w:hAnsi="Arial" w:cs="Arial"/>
          <w:color w:val="000000"/>
          <w:sz w:val="19"/>
          <w:szCs w:val="19"/>
        </w:rPr>
        <w:t>“</w:t>
      </w:r>
      <w:r w:rsidRPr="00B05E9D" w:rsidR="00A26C80">
        <w:rPr>
          <w:rFonts w:ascii="Arial" w:hAnsi="Arial" w:eastAsia="Calibri" w:cs="Arial"/>
          <w:bCs/>
          <w:color w:val="000000"/>
          <w:sz w:val="19"/>
          <w:szCs w:val="19"/>
        </w:rPr>
        <w:t>Para la selección de los contratistas se aplicarán los principios de economía, transparencia y selección objetiva contenidos en la Ley 80 de 1993, según lo dispuesto en el Capítulo en desarrollo de lo previsto en el parágrafo 2º del artículo 24 de la citada ley</w:t>
      </w:r>
      <w:r>
        <w:rPr>
          <w:rFonts w:ascii="Arial" w:hAnsi="Arial" w:cs="Arial"/>
          <w:color w:val="000000"/>
          <w:sz w:val="19"/>
          <w:szCs w:val="19"/>
        </w:rPr>
        <w:t>”</w:t>
      </w:r>
      <w:r w:rsidRPr="00B05E9D" w:rsidR="00A26C80">
        <w:rPr>
          <w:rFonts w:ascii="Arial" w:hAnsi="Arial" w:cs="Arial"/>
          <w:color w:val="000000"/>
          <w:sz w:val="19"/>
          <w:szCs w:val="19"/>
        </w:rPr>
        <w:t>.</w:t>
      </w:r>
    </w:p>
    <w:p w:rsidRPr="00B05E9D" w:rsidR="00A26C80" w:rsidP="00A26C80" w:rsidRDefault="00A26C80" w14:paraId="445E1474" w14:textId="77777777">
      <w:pPr>
        <w:pStyle w:val="Textonotapie"/>
        <w:ind w:firstLine="709"/>
        <w:jc w:val="both"/>
        <w:rPr>
          <w:rFonts w:ascii="Arial" w:hAnsi="Arial" w:cs="Arial"/>
          <w:sz w:val="19"/>
          <w:szCs w:val="19"/>
        </w:rPr>
      </w:pPr>
    </w:p>
  </w:footnote>
  <w:footnote w:id="32">
    <w:p w:rsidRPr="00B05E9D" w:rsidR="00A26C80" w:rsidP="00A26C80" w:rsidRDefault="00A26C80" w14:paraId="68436FDE" w14:textId="77777777">
      <w:pPr>
        <w:pStyle w:val="Textonotapie"/>
        <w:ind w:firstLine="709"/>
        <w:jc w:val="both"/>
        <w:rPr>
          <w:rFonts w:ascii="Arial" w:hAnsi="Arial" w:cs="Arial"/>
          <w:sz w:val="19"/>
          <w:szCs w:val="19"/>
          <w:lang w:val="es-ES"/>
        </w:rPr>
      </w:pPr>
      <w:r w:rsidRPr="00B05E9D">
        <w:rPr>
          <w:rStyle w:val="Refdenotaalpie"/>
          <w:rFonts w:ascii="Arial" w:hAnsi="Arial" w:cs="Arial"/>
          <w:sz w:val="19"/>
          <w:szCs w:val="19"/>
        </w:rPr>
        <w:footnoteRef/>
      </w:r>
      <w:r w:rsidRPr="00B05E9D">
        <w:rPr>
          <w:rFonts w:ascii="Arial" w:hAnsi="Arial" w:cs="Arial"/>
          <w:sz w:val="19"/>
          <w:szCs w:val="19"/>
        </w:rPr>
        <w:t xml:space="preserve"> </w:t>
      </w:r>
      <w:r w:rsidRPr="00B05E9D">
        <w:rPr>
          <w:rFonts w:ascii="Arial" w:hAnsi="Arial" w:cs="Arial"/>
          <w:sz w:val="19"/>
          <w:szCs w:val="19"/>
          <w:lang w:val="es-ES"/>
        </w:rPr>
        <w:t>Departamento Nacional de Planeación, Subdirección de Crédito, Bogotá D.C., mayo de 2013, Manual de Operaciones de Crédito Público, acápite 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84C7A8E"/>
    <w:multiLevelType w:val="hybridMultilevel"/>
    <w:tmpl w:val="484E2984"/>
    <w:lvl w:ilvl="0" w:tplc="096A7C5C">
      <w:start w:val="1"/>
      <w:numFmt w:val="bullet"/>
      <w:lvlText w:val=""/>
      <w:lvlJc w:val="left"/>
      <w:pPr>
        <w:ind w:left="1080" w:hanging="360"/>
      </w:pPr>
      <w:rPr>
        <w:rFonts w:hint="default" w:ascii="Symbol" w:hAnsi="Symbol" w:cs="Times New Roman"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226695335">
    <w:abstractNumId w:val="0"/>
  </w:num>
  <w:num w:numId="7" w16cid:durableId="185934585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318"/>
    <w:rsid w:val="00097726"/>
    <w:rsid w:val="000A2161"/>
    <w:rsid w:val="000A683E"/>
    <w:rsid w:val="000B19B9"/>
    <w:rsid w:val="000D0334"/>
    <w:rsid w:val="000F6486"/>
    <w:rsid w:val="000F6DD9"/>
    <w:rsid w:val="00111F03"/>
    <w:rsid w:val="00125105"/>
    <w:rsid w:val="00127233"/>
    <w:rsid w:val="00146E9C"/>
    <w:rsid w:val="00174A50"/>
    <w:rsid w:val="001D78D6"/>
    <w:rsid w:val="001E4177"/>
    <w:rsid w:val="00206DFD"/>
    <w:rsid w:val="0026242B"/>
    <w:rsid w:val="002951A0"/>
    <w:rsid w:val="002962BC"/>
    <w:rsid w:val="002A093D"/>
    <w:rsid w:val="002A49AC"/>
    <w:rsid w:val="002A64FD"/>
    <w:rsid w:val="002C33E3"/>
    <w:rsid w:val="002C7A84"/>
    <w:rsid w:val="00310DCB"/>
    <w:rsid w:val="003448F4"/>
    <w:rsid w:val="0035052E"/>
    <w:rsid w:val="003825C6"/>
    <w:rsid w:val="003855CD"/>
    <w:rsid w:val="00393D2C"/>
    <w:rsid w:val="003A53B8"/>
    <w:rsid w:val="003A5BD1"/>
    <w:rsid w:val="003A779E"/>
    <w:rsid w:val="003D0F4D"/>
    <w:rsid w:val="003E0499"/>
    <w:rsid w:val="003F3941"/>
    <w:rsid w:val="00400548"/>
    <w:rsid w:val="00403905"/>
    <w:rsid w:val="004223BC"/>
    <w:rsid w:val="004518EC"/>
    <w:rsid w:val="004718EE"/>
    <w:rsid w:val="004A1847"/>
    <w:rsid w:val="004A305D"/>
    <w:rsid w:val="004E0DFA"/>
    <w:rsid w:val="004F21C4"/>
    <w:rsid w:val="004F685F"/>
    <w:rsid w:val="00504DA9"/>
    <w:rsid w:val="00511663"/>
    <w:rsid w:val="00524048"/>
    <w:rsid w:val="00536B0E"/>
    <w:rsid w:val="005566E8"/>
    <w:rsid w:val="0056425D"/>
    <w:rsid w:val="00574867"/>
    <w:rsid w:val="005B1BC3"/>
    <w:rsid w:val="005C5CDC"/>
    <w:rsid w:val="005D476C"/>
    <w:rsid w:val="005F55F7"/>
    <w:rsid w:val="00610CBB"/>
    <w:rsid w:val="006219F8"/>
    <w:rsid w:val="00665D70"/>
    <w:rsid w:val="006B3B36"/>
    <w:rsid w:val="006E69FF"/>
    <w:rsid w:val="006E7BD5"/>
    <w:rsid w:val="007030BF"/>
    <w:rsid w:val="007041BB"/>
    <w:rsid w:val="00706C16"/>
    <w:rsid w:val="007345CE"/>
    <w:rsid w:val="00756841"/>
    <w:rsid w:val="007649AB"/>
    <w:rsid w:val="007833AC"/>
    <w:rsid w:val="007A53E8"/>
    <w:rsid w:val="007B7171"/>
    <w:rsid w:val="007C3DC2"/>
    <w:rsid w:val="007E5497"/>
    <w:rsid w:val="007F6B0F"/>
    <w:rsid w:val="00806F5F"/>
    <w:rsid w:val="00820278"/>
    <w:rsid w:val="00827774"/>
    <w:rsid w:val="008316FD"/>
    <w:rsid w:val="0085009A"/>
    <w:rsid w:val="008843B6"/>
    <w:rsid w:val="00891928"/>
    <w:rsid w:val="008A446D"/>
    <w:rsid w:val="008B6612"/>
    <w:rsid w:val="008F0EA7"/>
    <w:rsid w:val="00911A1B"/>
    <w:rsid w:val="00923EEF"/>
    <w:rsid w:val="009419F9"/>
    <w:rsid w:val="00961B09"/>
    <w:rsid w:val="00963AFD"/>
    <w:rsid w:val="00965334"/>
    <w:rsid w:val="0097093E"/>
    <w:rsid w:val="009C71FA"/>
    <w:rsid w:val="009C72E7"/>
    <w:rsid w:val="00A04D74"/>
    <w:rsid w:val="00A17F13"/>
    <w:rsid w:val="00A20739"/>
    <w:rsid w:val="00A26C80"/>
    <w:rsid w:val="00A33C78"/>
    <w:rsid w:val="00A37F3C"/>
    <w:rsid w:val="00AB0ADB"/>
    <w:rsid w:val="00AE3017"/>
    <w:rsid w:val="00AE6A1E"/>
    <w:rsid w:val="00B5730B"/>
    <w:rsid w:val="00B72CD3"/>
    <w:rsid w:val="00B72FFF"/>
    <w:rsid w:val="00BC3A6D"/>
    <w:rsid w:val="00BC72DC"/>
    <w:rsid w:val="00BD0ACC"/>
    <w:rsid w:val="00BD7F72"/>
    <w:rsid w:val="00C04FB3"/>
    <w:rsid w:val="00C22F62"/>
    <w:rsid w:val="00C330EB"/>
    <w:rsid w:val="00C60B22"/>
    <w:rsid w:val="00C754BE"/>
    <w:rsid w:val="00C81D50"/>
    <w:rsid w:val="00CB6357"/>
    <w:rsid w:val="00CB7DD3"/>
    <w:rsid w:val="00CC1B26"/>
    <w:rsid w:val="00D11B14"/>
    <w:rsid w:val="00D32DB0"/>
    <w:rsid w:val="00D423A2"/>
    <w:rsid w:val="00D50D7A"/>
    <w:rsid w:val="00D63AC2"/>
    <w:rsid w:val="00D7383B"/>
    <w:rsid w:val="00DA231B"/>
    <w:rsid w:val="00DF3F73"/>
    <w:rsid w:val="00E16408"/>
    <w:rsid w:val="00E20894"/>
    <w:rsid w:val="00E20B1B"/>
    <w:rsid w:val="00E245AB"/>
    <w:rsid w:val="00E50AFE"/>
    <w:rsid w:val="00E55822"/>
    <w:rsid w:val="00E771DC"/>
    <w:rsid w:val="00E8772A"/>
    <w:rsid w:val="00E90F6B"/>
    <w:rsid w:val="00E92C27"/>
    <w:rsid w:val="00EA0E3D"/>
    <w:rsid w:val="00EB1172"/>
    <w:rsid w:val="00EB3B23"/>
    <w:rsid w:val="00EB5100"/>
    <w:rsid w:val="00EE1AA8"/>
    <w:rsid w:val="00F204AB"/>
    <w:rsid w:val="00F31EDC"/>
    <w:rsid w:val="00F5664F"/>
    <w:rsid w:val="00F601E5"/>
    <w:rsid w:val="00F76AFC"/>
    <w:rsid w:val="00FB5DD1"/>
    <w:rsid w:val="00FC2B5D"/>
    <w:rsid w:val="00FF1449"/>
    <w:rsid w:val="14D48936"/>
    <w:rsid w:val="196A26A7"/>
    <w:rsid w:val="46B3B898"/>
    <w:rsid w:val="4976E847"/>
    <w:rsid w:val="4F3A204E"/>
    <w:rsid w:val="5411EC76"/>
    <w:rsid w:val="5CE2B688"/>
    <w:rsid w:val="631EB771"/>
    <w:rsid w:val="65D2A4BA"/>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table" w:styleId="Tablaconcuadrcula1" w:customStyle="1">
    <w:name w:val="Tabla con cuadrícula1"/>
    <w:basedOn w:val="Tablanormal"/>
    <w:next w:val="Tablaconcuadrcula"/>
    <w:uiPriority w:val="59"/>
    <w:rsid w:val="00C60B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link w:val="NormalWebCar"/>
    <w:uiPriority w:val="99"/>
    <w:unhideWhenUsed/>
    <w:rsid w:val="00C60B22"/>
    <w:pPr>
      <w:spacing w:before="100" w:beforeAutospacing="1" w:after="100" w:afterAutospacing="1" w:line="240" w:lineRule="auto"/>
    </w:pPr>
    <w:rPr>
      <w:rFonts w:ascii="Times New Roman" w:hAnsi="Times New Roman" w:eastAsia="Times New Roman" w:cs="Times New Roman"/>
      <w:sz w:val="24"/>
      <w:szCs w:val="24"/>
      <w:lang w:eastAsia="es-CO"/>
    </w:rPr>
  </w:style>
  <w:style w:type="table" w:styleId="Tablaconcuadrcula11" w:customStyle="1">
    <w:name w:val="Tabla con cuadrícula11"/>
    <w:basedOn w:val="Tablanormal"/>
    <w:next w:val="Tablaconcuadrcula"/>
    <w:uiPriority w:val="59"/>
    <w:rsid w:val="00C60B22"/>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C60B22"/>
    <w:pPr>
      <w:spacing w:line="240" w:lineRule="exact"/>
    </w:pPr>
    <w:rPr>
      <w:vertAlign w:val="superscript"/>
    </w:rPr>
  </w:style>
  <w:style w:type="character" w:styleId="NormalWebCar" w:customStyle="1">
    <w:name w:val="Normal (Web) Car"/>
    <w:link w:val="NormalWeb"/>
    <w:uiPriority w:val="99"/>
    <w:rsid w:val="00C60B22"/>
    <w:rPr>
      <w:rFonts w:ascii="Times New Roman" w:hAnsi="Times New Roman" w:eastAsia="Times New Roman" w:cs="Times New Roman"/>
      <w:sz w:val="24"/>
      <w:szCs w:val="24"/>
      <w:lang w:eastAsia="es-CO"/>
    </w:rPr>
  </w:style>
  <w:style w:type="character" w:styleId="baj" w:customStyle="1">
    <w:name w:val="b_aj"/>
    <w:basedOn w:val="Fuentedeprrafopredeter"/>
    <w:rsid w:val="00C60B22"/>
  </w:style>
  <w:style w:type="paragraph" w:styleId="Revisin">
    <w:name w:val="Revision"/>
    <w:hidden/>
    <w:uiPriority w:val="99"/>
    <w:semiHidden/>
    <w:rsid w:val="00B573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6.png" Id="R77463979f84d4c2c" /><Relationship Type="http://schemas.openxmlformats.org/officeDocument/2006/relationships/image" Target="/media/image7.png" Id="R20a323f9098841cf"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627E7D6-AF98-4B3E-95B6-688C5AC5E68D}"/>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2006/metadata/properties"/>
    <ds:schemaRef ds:uri="8ae15d26-076e-464e-81a7-6f76a0fb3917"/>
    <ds:schemaRef ds:uri="http://purl.org/dc/terms/"/>
    <ds:schemaRef ds:uri="http://purl.org/dc/elements/1.1/"/>
    <ds:schemaRef ds:uri="cabc2350-70b2-4dba-bb42-96a3175f4d5a"/>
    <ds:schemaRef ds:uri="http://www.w3.org/XML/1998/namespace"/>
    <ds:schemaRef ds:uri="http://purl.org/dc/dcmitype/"/>
    <ds:schemaRef ds:uri="http://schemas.microsoft.com/office/infopath/2007/PartnerControls"/>
    <ds:schemaRef ds:uri="http://schemas.openxmlformats.org/package/2006/metadata/core-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Johanna Ovalle Clavijo</lastModifiedBy>
  <revision>3</revision>
  <lastPrinted>2023-01-10T21:18:00.0000000Z</lastPrinted>
  <dcterms:created xsi:type="dcterms:W3CDTF">2023-08-16T16:09:00.0000000Z</dcterms:created>
  <dcterms:modified xsi:type="dcterms:W3CDTF">2023-08-30T16:43:41.1702673Z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