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8C487C" w:rsidP="008C487C" w:rsidRDefault="008C487C" w14:paraId="2A476418" w14:textId="709F898A">
      <w:pPr>
        <w:jc w:val="right"/>
        <w:rPr>
          <w:rFonts w:ascii="Arial" w:hAnsi="Arial" w:cs="Arial"/>
          <w:b/>
          <w:color w:val="000000" w:themeColor="text1"/>
          <w:sz w:val="16"/>
          <w:szCs w:val="16"/>
          <w:lang w:eastAsia="es-ES"/>
        </w:rPr>
      </w:pPr>
      <w:bookmarkStart w:name="_Hlk28946138" w:id="0"/>
      <w:bookmarkStart w:name="_Hlk29548183" w:id="1"/>
      <w:r w:rsidRPr="00B00AA2">
        <w:rPr>
          <w:rFonts w:ascii="Arial" w:hAnsi="Arial" w:cs="Arial"/>
          <w:b/>
          <w:color w:val="000000" w:themeColor="text1"/>
          <w:sz w:val="16"/>
          <w:szCs w:val="16"/>
          <w:lang w:eastAsia="es-ES"/>
        </w:rPr>
        <w:tab/>
      </w:r>
      <w:r w:rsidRPr="00B00AA2">
        <w:rPr>
          <w:rFonts w:ascii="Arial" w:hAnsi="Arial" w:cs="Arial"/>
          <w:b/>
          <w:color w:val="000000" w:themeColor="text1"/>
          <w:sz w:val="16"/>
          <w:szCs w:val="16"/>
          <w:lang w:eastAsia="es-ES"/>
        </w:rPr>
        <w:t>CCE-DES-FM-17</w:t>
      </w:r>
    </w:p>
    <w:p w:rsidRPr="00B00AA2" w:rsidR="00F917CB" w:rsidP="008C487C" w:rsidRDefault="00F917CB" w14:paraId="336C5AFC" w14:textId="77777777">
      <w:pPr>
        <w:jc w:val="right"/>
        <w:rPr>
          <w:rFonts w:ascii="Arial" w:hAnsi="Arial" w:cs="Arial"/>
          <w:b/>
          <w:color w:val="000000" w:themeColor="text1"/>
          <w:sz w:val="16"/>
          <w:szCs w:val="16"/>
          <w:lang w:eastAsia="es-ES"/>
        </w:rPr>
      </w:pPr>
    </w:p>
    <w:p w:rsidRPr="00B00AA2" w:rsidR="008C487C" w:rsidP="566CD363" w:rsidRDefault="008C487C" w14:paraId="0FD7B567" w14:textId="5D406698">
      <w:pPr>
        <w:pStyle w:val="Normal"/>
        <w:jc w:val="both"/>
        <w:rPr>
          <w:rFonts w:ascii="Arial" w:hAnsi="Arial" w:eastAsia="Calibri" w:cs="Arial"/>
          <w:b w:val="1"/>
          <w:bCs w:val="1"/>
          <w:color w:val="000000" w:themeColor="text1"/>
          <w:sz w:val="22"/>
          <w:szCs w:val="22"/>
        </w:rPr>
      </w:pPr>
      <w:r w:rsidRPr="566CD363" w:rsidR="008C487C">
        <w:rPr>
          <w:rFonts w:ascii="Arial" w:hAnsi="Arial" w:eastAsia="Calibri" w:cs="Arial"/>
          <w:b w:val="1"/>
          <w:bCs w:val="1"/>
          <w:color w:val="000000" w:themeColor="text1" w:themeTint="FF" w:themeShade="FF"/>
          <w:sz w:val="22"/>
          <w:szCs w:val="22"/>
        </w:rPr>
        <w:t>MIPYME</w:t>
      </w:r>
      <w:r w:rsidRPr="566CD363" w:rsidR="0CEF2381">
        <w:rPr>
          <w:rFonts w:ascii="Arial" w:hAnsi="Arial" w:eastAsia="Calibri" w:cs="Arial"/>
          <w:b w:val="1"/>
          <w:bCs w:val="1"/>
          <w:color w:val="000000" w:themeColor="text1" w:themeTint="FF" w:themeShade="FF"/>
          <w:sz w:val="22"/>
          <w:szCs w:val="22"/>
        </w:rPr>
        <w:t>S</w:t>
      </w:r>
      <w:r w:rsidRPr="566CD363" w:rsidR="008C487C">
        <w:rPr>
          <w:rFonts w:ascii="Arial" w:hAnsi="Arial" w:eastAsia="Calibri" w:cs="Arial"/>
          <w:b w:val="1"/>
          <w:bCs w:val="1"/>
          <w:color w:val="000000" w:themeColor="text1" w:themeTint="FF" w:themeShade="FF"/>
          <w:sz w:val="22"/>
          <w:szCs w:val="22"/>
        </w:rPr>
        <w:t xml:space="preserve"> </w:t>
      </w:r>
      <w:r w:rsidRPr="566CD363" w:rsidR="007672D5">
        <w:rPr>
          <w:rFonts w:ascii="Arial" w:hAnsi="Arial" w:eastAsia="Calibri" w:cs="Arial"/>
          <w:b w:val="1"/>
          <w:bCs w:val="1"/>
          <w:color w:val="000000" w:themeColor="text1" w:themeTint="FF" w:themeShade="FF"/>
          <w:sz w:val="22"/>
          <w:szCs w:val="22"/>
        </w:rPr>
        <w:t>–</w:t>
      </w:r>
      <w:r w:rsidRPr="566CD363" w:rsidR="008C487C">
        <w:rPr>
          <w:rFonts w:ascii="Arial" w:hAnsi="Arial" w:eastAsia="Calibri" w:cs="Arial"/>
          <w:b w:val="1"/>
          <w:bCs w:val="1"/>
          <w:color w:val="000000" w:themeColor="text1" w:themeTint="FF" w:themeShade="FF"/>
          <w:sz w:val="22"/>
          <w:szCs w:val="22"/>
        </w:rPr>
        <w:t xml:space="preserve"> Noción </w:t>
      </w:r>
      <w:r w:rsidRPr="566CD363" w:rsidR="7F7E44F5">
        <w:rPr>
          <w:rFonts w:ascii="Arial" w:hAnsi="Arial" w:eastAsia="Calibri" w:cs="Arial"/>
          <w:b w:val="1"/>
          <w:bCs w:val="1"/>
          <w:color w:val="000000" w:themeColor="text1" w:themeTint="FF" w:themeShade="FF"/>
          <w:sz w:val="22"/>
          <w:szCs w:val="22"/>
        </w:rPr>
        <w:t>– A</w:t>
      </w:r>
      <w:r w:rsidRPr="566CD363" w:rsidR="008C487C">
        <w:rPr>
          <w:rFonts w:ascii="Arial" w:hAnsi="Arial" w:eastAsia="Calibri" w:cs="Arial"/>
          <w:b w:val="1"/>
          <w:bCs w:val="1"/>
          <w:color w:val="000000" w:themeColor="text1" w:themeTint="FF" w:themeShade="FF"/>
          <w:sz w:val="22"/>
          <w:szCs w:val="22"/>
        </w:rPr>
        <w:t>lcance</w:t>
      </w:r>
      <w:r w:rsidRPr="566CD363" w:rsidR="008C487C">
        <w:rPr>
          <w:rFonts w:ascii="Arial" w:hAnsi="Arial" w:eastAsia="Calibri" w:cs="Arial"/>
          <w:color w:val="000000" w:themeColor="text1" w:themeTint="FF" w:themeShade="FF"/>
          <w:sz w:val="22"/>
          <w:szCs w:val="22"/>
        </w:rPr>
        <w:t xml:space="preserve"> </w:t>
      </w:r>
    </w:p>
    <w:p w:rsidRPr="00B00AA2" w:rsidR="008C487C" w:rsidP="008C487C" w:rsidRDefault="008C487C" w14:paraId="6156EB3C" w14:textId="77777777">
      <w:pPr>
        <w:jc w:val="both"/>
        <w:rPr>
          <w:rFonts w:ascii="Arial" w:hAnsi="Arial" w:eastAsia="Calibri" w:cs="Arial"/>
          <w:bCs/>
          <w:color w:val="000000" w:themeColor="text1"/>
          <w:sz w:val="21"/>
          <w:szCs w:val="21"/>
        </w:rPr>
      </w:pPr>
    </w:p>
    <w:p w:rsidRPr="00B00AA2" w:rsidR="00B3420E" w:rsidP="00B3420E" w:rsidRDefault="001F6346" w14:paraId="6B8B525D" w14:textId="77777777">
      <w:pPr>
        <w:spacing w:after="120"/>
        <w:jc w:val="both"/>
        <w:rPr>
          <w:rFonts w:ascii="Arial" w:hAnsi="Arial" w:eastAsia="Calibri" w:cs="Arial"/>
          <w:bCs/>
          <w:color w:val="000000" w:themeColor="text1"/>
          <w:sz w:val="20"/>
          <w:szCs w:val="20"/>
        </w:rPr>
      </w:pPr>
      <w:r w:rsidRPr="00B00AA2">
        <w:rPr>
          <w:rFonts w:ascii="Arial" w:hAnsi="Arial" w:eastAsia="Calibri" w:cs="Arial"/>
          <w:bCs/>
          <w:color w:val="000000" w:themeColor="text1"/>
          <w:sz w:val="20"/>
          <w:szCs w:val="20"/>
        </w:rPr>
        <w:t xml:space="preserve">[…] </w:t>
      </w:r>
      <w:r w:rsidRPr="00B00AA2" w:rsidR="008C487C">
        <w:rPr>
          <w:rFonts w:ascii="Arial" w:hAnsi="Arial" w:eastAsia="Calibri" w:cs="Arial"/>
          <w:bCs/>
          <w:color w:val="000000" w:themeColor="text1"/>
          <w:sz w:val="20"/>
          <w:szCs w:val="20"/>
        </w:rPr>
        <w:t>Pequeña y Mediana Empresa ─</w:t>
      </w:r>
      <w:proofErr w:type="spellStart"/>
      <w:r w:rsidRPr="00B00AA2" w:rsidR="008C487C">
        <w:rPr>
          <w:rFonts w:ascii="Arial" w:hAnsi="Arial" w:eastAsia="Calibri" w:cs="Arial"/>
          <w:bCs/>
          <w:color w:val="000000" w:themeColor="text1"/>
          <w:sz w:val="20"/>
          <w:szCs w:val="20"/>
        </w:rPr>
        <w:t>Mipyme</w:t>
      </w:r>
      <w:proofErr w:type="spellEnd"/>
      <w:r w:rsidRPr="00B00AA2" w:rsidR="008C487C">
        <w:rPr>
          <w:rFonts w:ascii="Arial" w:hAnsi="Arial" w:eastAsia="Calibri" w:cs="Arial"/>
          <w:bCs/>
          <w:color w:val="000000" w:themeColor="text1"/>
          <w:sz w:val="20"/>
          <w:szCs w:val="20"/>
        </w:rPr>
        <w:t>─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w:t>
      </w:r>
    </w:p>
    <w:p w:rsidRPr="00B00AA2" w:rsidR="008C487C" w:rsidP="008C487C" w:rsidRDefault="008C487C" w14:paraId="5E8B4D30" w14:textId="5AE3B724">
      <w:pPr>
        <w:jc w:val="both"/>
        <w:rPr>
          <w:rFonts w:ascii="Arial" w:hAnsi="Arial" w:eastAsia="Calibri" w:cs="Arial"/>
          <w:bCs/>
          <w:color w:val="000000" w:themeColor="text1"/>
          <w:sz w:val="20"/>
          <w:szCs w:val="20"/>
        </w:rPr>
      </w:pPr>
      <w:r w:rsidRPr="00B00AA2">
        <w:rPr>
          <w:rFonts w:ascii="Arial" w:hAnsi="Arial" w:eastAsia="Calibri" w:cs="Arial"/>
          <w:bCs/>
          <w:color w:val="000000" w:themeColor="text1"/>
          <w:sz w:val="20"/>
          <w:szCs w:val="20"/>
        </w:rPr>
        <w:t>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salarios mínimos mensuales legales vigentes. La microempresa, por otro lado, es aquella que tiene una planta de personal de 10 trabajadores o menos o activos totales por un valor inferior a 500 salarios mínimos legales mensuales.</w:t>
      </w:r>
    </w:p>
    <w:p w:rsidRPr="00B00AA2" w:rsidR="008C487C" w:rsidP="008C487C" w:rsidRDefault="008C487C" w14:paraId="211D15F6" w14:textId="77777777">
      <w:pPr>
        <w:jc w:val="both"/>
        <w:rPr>
          <w:rFonts w:ascii="Arial" w:hAnsi="Arial" w:eastAsia="Calibri" w:cs="Arial"/>
          <w:b/>
          <w:color w:val="000000" w:themeColor="text1"/>
          <w:sz w:val="21"/>
          <w:szCs w:val="21"/>
        </w:rPr>
      </w:pPr>
    </w:p>
    <w:p w:rsidRPr="00B00AA2" w:rsidR="008C487C" w:rsidP="008C487C" w:rsidRDefault="008C487C" w14:paraId="73E04AF1" w14:textId="7EDC8CAA">
      <w:pPr>
        <w:jc w:val="both"/>
        <w:rPr>
          <w:rFonts w:ascii="Arial" w:hAnsi="Arial" w:eastAsia="Calibri" w:cs="Arial"/>
          <w:b/>
          <w:color w:val="000000" w:themeColor="text1"/>
          <w:sz w:val="22"/>
        </w:rPr>
      </w:pPr>
      <w:r w:rsidRPr="00B00AA2">
        <w:rPr>
          <w:rFonts w:ascii="Arial" w:hAnsi="Arial" w:eastAsia="Calibri" w:cs="Arial"/>
          <w:b/>
          <w:color w:val="000000" w:themeColor="text1"/>
          <w:sz w:val="22"/>
        </w:rPr>
        <w:t xml:space="preserve">MIPYMES </w:t>
      </w:r>
      <w:r w:rsidRPr="00B00AA2" w:rsidR="007672D5">
        <w:rPr>
          <w:rFonts w:ascii="Arial" w:hAnsi="Arial" w:eastAsia="Calibri" w:cs="Arial"/>
          <w:b/>
          <w:color w:val="000000" w:themeColor="text1"/>
          <w:sz w:val="22"/>
        </w:rPr>
        <w:t>–</w:t>
      </w:r>
      <w:r w:rsidRPr="00B00AA2">
        <w:rPr>
          <w:rFonts w:ascii="Arial" w:hAnsi="Arial" w:eastAsia="Calibri" w:cs="Arial"/>
          <w:b/>
          <w:color w:val="000000" w:themeColor="text1"/>
          <w:sz w:val="22"/>
        </w:rPr>
        <w:t xml:space="preserve"> Incentivos contractuales </w:t>
      </w:r>
    </w:p>
    <w:p w:rsidRPr="00B00AA2" w:rsidR="008C487C" w:rsidP="008C487C" w:rsidRDefault="008C487C" w14:paraId="7EA7F1D0" w14:textId="77777777">
      <w:pPr>
        <w:jc w:val="both"/>
        <w:rPr>
          <w:rFonts w:ascii="Arial" w:hAnsi="Arial" w:eastAsia="Calibri" w:cs="Arial"/>
          <w:b/>
          <w:color w:val="000000" w:themeColor="text1"/>
          <w:sz w:val="22"/>
        </w:rPr>
      </w:pPr>
    </w:p>
    <w:p w:rsidRPr="00B00AA2" w:rsidR="008C487C" w:rsidP="008C487C" w:rsidRDefault="008C487C" w14:paraId="0BF4B8EB" w14:textId="77777777">
      <w:pPr>
        <w:jc w:val="both"/>
        <w:rPr>
          <w:rFonts w:ascii="Arial" w:hAnsi="Arial" w:cs="Arial"/>
          <w:color w:val="000000" w:themeColor="text1"/>
          <w:sz w:val="20"/>
          <w:szCs w:val="20"/>
          <w:lang w:val="es-ES"/>
        </w:rPr>
      </w:pPr>
      <w:r w:rsidRPr="00B00AA2">
        <w:rPr>
          <w:rFonts w:ascii="Arial" w:hAnsi="Arial" w:cs="Arial"/>
          <w:color w:val="000000" w:themeColor="text1"/>
          <w:sz w:val="20"/>
          <w:szCs w:val="20"/>
          <w:lang w:val="es-ES"/>
        </w:rPr>
        <w:t xml:space="preserve">A través del Decreto 1082 de 2015, el Gobierno Nacional reglamentó el artículo 12 de la Ley 1150 de 2007 ─posteriormente </w:t>
      </w:r>
      <w:r w:rsidRPr="00B00AA2">
        <w:rPr>
          <w:rFonts w:ascii="Arial" w:hAnsi="Arial" w:cs="Arial"/>
          <w:color w:val="000000" w:themeColor="text1"/>
          <w:sz w:val="20"/>
          <w:szCs w:val="20"/>
        </w:rPr>
        <w:t>modificado por el artículo 32 de la Ley 1450 de 2011─,</w:t>
      </w:r>
      <w:r w:rsidRPr="00B00AA2">
        <w:rPr>
          <w:rFonts w:ascii="Arial" w:hAnsi="Arial" w:cs="Arial"/>
          <w:color w:val="000000" w:themeColor="text1"/>
          <w:sz w:val="20"/>
          <w:szCs w:val="20"/>
          <w:lang w:val="es-ES"/>
        </w:rPr>
        <w:t xml:space="preserve"> adoptando medidas para incentivar la contratación pública, dentro de las que se pueden resaltar la «limitación territorial» a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y las «convocatorias limitadas a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contenidas, respectivamente, en los artículos 2.2.1.2.4.2.3.  y 2.2.1.2.4.2.2. del Decreto 1082 de 2015.</w:t>
      </w:r>
    </w:p>
    <w:p w:rsidRPr="00B00AA2" w:rsidR="008C487C" w:rsidP="008C487C" w:rsidRDefault="008C487C" w14:paraId="4666C8B1" w14:textId="77777777">
      <w:pPr>
        <w:jc w:val="both"/>
        <w:rPr>
          <w:rFonts w:ascii="Arial" w:hAnsi="Arial" w:cs="Arial"/>
          <w:color w:val="000000" w:themeColor="text1"/>
          <w:sz w:val="21"/>
          <w:szCs w:val="21"/>
          <w:lang w:val="es-ES"/>
        </w:rPr>
      </w:pPr>
    </w:p>
    <w:p w:rsidRPr="00B00AA2" w:rsidR="008C487C" w:rsidP="008C487C" w:rsidRDefault="008C487C" w14:paraId="702E066A" w14:textId="041FDF6A">
      <w:pPr>
        <w:jc w:val="both"/>
        <w:rPr>
          <w:rFonts w:ascii="Arial" w:hAnsi="Arial" w:eastAsia="Calibri" w:cs="Arial"/>
          <w:b/>
          <w:color w:val="000000" w:themeColor="text1"/>
          <w:sz w:val="22"/>
        </w:rPr>
      </w:pPr>
      <w:r w:rsidRPr="00B00AA2">
        <w:rPr>
          <w:rFonts w:ascii="Arial" w:hAnsi="Arial" w:eastAsia="Calibri" w:cs="Arial"/>
          <w:b/>
          <w:color w:val="000000" w:themeColor="text1"/>
          <w:sz w:val="22"/>
        </w:rPr>
        <w:t xml:space="preserve">MIPYMES NACIONALES </w:t>
      </w:r>
      <w:r w:rsidRPr="00B00AA2" w:rsidR="007672D5">
        <w:rPr>
          <w:rFonts w:ascii="Arial" w:hAnsi="Arial" w:eastAsia="Calibri" w:cs="Arial"/>
          <w:b/>
          <w:color w:val="000000" w:themeColor="text1"/>
          <w:sz w:val="22"/>
        </w:rPr>
        <w:t>–</w:t>
      </w:r>
      <w:r w:rsidRPr="00B00AA2">
        <w:rPr>
          <w:rFonts w:ascii="Arial" w:hAnsi="Arial" w:eastAsia="Calibri" w:cs="Arial"/>
          <w:b/>
          <w:color w:val="000000" w:themeColor="text1"/>
          <w:sz w:val="22"/>
        </w:rPr>
        <w:t xml:space="preserve"> Inexistencia de </w:t>
      </w:r>
      <w:proofErr w:type="spellStart"/>
      <w:r w:rsidRPr="00B00AA2">
        <w:rPr>
          <w:rFonts w:ascii="Arial" w:hAnsi="Arial" w:eastAsia="Calibri" w:cs="Arial"/>
          <w:b/>
          <w:color w:val="000000" w:themeColor="text1"/>
          <w:sz w:val="22"/>
        </w:rPr>
        <w:t>Mipymes</w:t>
      </w:r>
      <w:proofErr w:type="spellEnd"/>
      <w:r w:rsidRPr="00B00AA2">
        <w:rPr>
          <w:rFonts w:ascii="Arial" w:hAnsi="Arial" w:eastAsia="Calibri" w:cs="Arial"/>
          <w:b/>
          <w:color w:val="000000" w:themeColor="text1"/>
          <w:sz w:val="22"/>
        </w:rPr>
        <w:t xml:space="preserve"> del orden territorial</w:t>
      </w:r>
    </w:p>
    <w:p w:rsidRPr="00B00AA2" w:rsidR="008C487C" w:rsidP="008C487C" w:rsidRDefault="008C487C" w14:paraId="30B901BA" w14:textId="77777777">
      <w:pPr>
        <w:jc w:val="both"/>
        <w:rPr>
          <w:rFonts w:ascii="Arial" w:hAnsi="Arial" w:eastAsia="Calibri" w:cs="Arial"/>
          <w:b/>
          <w:color w:val="000000" w:themeColor="text1"/>
          <w:sz w:val="21"/>
          <w:szCs w:val="21"/>
        </w:rPr>
      </w:pPr>
    </w:p>
    <w:p w:rsidRPr="00B00AA2" w:rsidR="008C487C" w:rsidP="008C487C" w:rsidRDefault="008C487C" w14:paraId="448401BB" w14:textId="61999AE6">
      <w:pPr>
        <w:jc w:val="both"/>
        <w:rPr>
          <w:rFonts w:ascii="Arial" w:hAnsi="Arial" w:cs="Arial"/>
          <w:color w:val="000000" w:themeColor="text1"/>
          <w:sz w:val="20"/>
          <w:szCs w:val="20"/>
          <w:lang w:val="es-ES"/>
        </w:rPr>
      </w:pPr>
      <w:r w:rsidRPr="00B00AA2">
        <w:rPr>
          <w:rFonts w:ascii="Arial" w:hAnsi="Arial" w:cs="Arial"/>
          <w:color w:val="000000" w:themeColor="text1"/>
          <w:sz w:val="20"/>
          <w:szCs w:val="20"/>
          <w:lang w:val="es-ES"/>
        </w:rPr>
        <w:t xml:space="preserve">Los artículos 2.2.1.2.4.2.3. y 2.2.1.2.4.2.2. del Decreto 1082 de 2015 se refieren a las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nacionales genéricamente y, particularmente, a las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nacionales «domiciliadas en los departamentos o municipios en donde se va a ejecutar el contrato». En ambos casos se refiere a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nacionales, distinguiéndolas de las empresas extranjeras. Del artículo 2.2.1.2.4.2.3. del Decreto 1082 de 2015 no se deriva que existan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del orden nacional. Otra cosa es que las normas de contratación permitan que las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nacionales con </w:t>
      </w:r>
      <w:r w:rsidRPr="00B00AA2" w:rsidR="00D70FB4">
        <w:rPr>
          <w:rFonts w:ascii="Arial" w:hAnsi="Arial" w:cs="Arial"/>
          <w:color w:val="000000" w:themeColor="text1"/>
          <w:sz w:val="20"/>
          <w:szCs w:val="20"/>
          <w:lang w:val="es-ES"/>
        </w:rPr>
        <w:t>«</w:t>
      </w:r>
      <w:r w:rsidRPr="00B00AA2">
        <w:rPr>
          <w:rFonts w:ascii="Arial" w:hAnsi="Arial" w:cs="Arial"/>
          <w:color w:val="000000" w:themeColor="text1"/>
          <w:sz w:val="20"/>
          <w:szCs w:val="20"/>
          <w:lang w:val="es-ES"/>
        </w:rPr>
        <w:t>domicilio</w:t>
      </w:r>
      <w:r w:rsidRPr="00B00AA2" w:rsidR="00D70FB4">
        <w:rPr>
          <w:rFonts w:ascii="Arial" w:hAnsi="Arial" w:cs="Arial"/>
          <w:color w:val="000000" w:themeColor="text1"/>
          <w:sz w:val="20"/>
          <w:szCs w:val="20"/>
          <w:lang w:val="es-ES"/>
        </w:rPr>
        <w:t>»</w:t>
      </w:r>
      <w:r w:rsidRPr="00B00AA2">
        <w:rPr>
          <w:rFonts w:ascii="Arial" w:hAnsi="Arial" w:cs="Arial"/>
          <w:color w:val="000000" w:themeColor="text1"/>
          <w:sz w:val="20"/>
          <w:szCs w:val="20"/>
          <w:lang w:val="es-ES"/>
        </w:rPr>
        <w:t xml:space="preserve"> en un municipio o departamento puedan beneficiarse en la ejecución de un contrato dentro de la entidad territorial en la que tienen su </w:t>
      </w:r>
      <w:r w:rsidRPr="00B00AA2" w:rsidR="00D70FB4">
        <w:rPr>
          <w:rFonts w:ascii="Arial" w:hAnsi="Arial" w:cs="Arial"/>
          <w:color w:val="000000" w:themeColor="text1"/>
          <w:sz w:val="20"/>
          <w:szCs w:val="20"/>
          <w:lang w:val="es-ES"/>
        </w:rPr>
        <w:t>«</w:t>
      </w:r>
      <w:r w:rsidRPr="00B00AA2">
        <w:rPr>
          <w:rFonts w:ascii="Arial" w:hAnsi="Arial" w:cs="Arial"/>
          <w:color w:val="000000" w:themeColor="text1"/>
          <w:sz w:val="20"/>
          <w:szCs w:val="20"/>
          <w:lang w:val="es-ES"/>
        </w:rPr>
        <w:t>domicilio</w:t>
      </w:r>
      <w:r w:rsidRPr="00B00AA2" w:rsidR="00D70FB4">
        <w:rPr>
          <w:rFonts w:ascii="Arial" w:hAnsi="Arial" w:cs="Arial"/>
          <w:color w:val="000000" w:themeColor="text1"/>
          <w:sz w:val="20"/>
          <w:szCs w:val="20"/>
          <w:lang w:val="es-ES"/>
        </w:rPr>
        <w:t>»</w:t>
      </w:r>
      <w:r w:rsidRPr="00B00AA2">
        <w:rPr>
          <w:rFonts w:ascii="Arial" w:hAnsi="Arial" w:cs="Arial"/>
          <w:color w:val="000000" w:themeColor="text1"/>
          <w:sz w:val="20"/>
          <w:szCs w:val="20"/>
          <w:lang w:val="es-ES"/>
        </w:rPr>
        <w:t xml:space="preserve">. De todos modos, las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domiciliadas en un municipio o departamento son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nacionales. En consecuencia, no es procedente distinguir entre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nacionales y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municipales o departamentales, habida cuenta que estas últimas no existen como categoría dentro del ordenamiento normativo.</w:t>
      </w:r>
    </w:p>
    <w:p w:rsidRPr="00B00AA2" w:rsidR="008C487C" w:rsidP="008C487C" w:rsidRDefault="008C487C" w14:paraId="17432F83" w14:textId="77777777">
      <w:pPr>
        <w:jc w:val="both"/>
        <w:rPr>
          <w:rFonts w:ascii="Arial" w:hAnsi="Arial" w:cs="Arial"/>
          <w:color w:val="000000" w:themeColor="text1"/>
          <w:sz w:val="21"/>
          <w:szCs w:val="21"/>
          <w:lang w:val="es-ES"/>
        </w:rPr>
      </w:pPr>
    </w:p>
    <w:p w:rsidRPr="00B00AA2" w:rsidR="008C487C" w:rsidP="008C487C" w:rsidRDefault="008C487C" w14:paraId="0782807F" w14:textId="17D72459">
      <w:pPr>
        <w:jc w:val="both"/>
        <w:rPr>
          <w:rFonts w:ascii="Arial" w:hAnsi="Arial" w:eastAsia="Calibri" w:cs="Arial"/>
          <w:b/>
          <w:color w:val="000000" w:themeColor="text1"/>
          <w:sz w:val="22"/>
        </w:rPr>
      </w:pPr>
      <w:r w:rsidRPr="00B00AA2">
        <w:rPr>
          <w:rFonts w:ascii="Arial" w:hAnsi="Arial" w:eastAsia="Calibri" w:cs="Arial"/>
          <w:b/>
          <w:color w:val="000000" w:themeColor="text1"/>
          <w:sz w:val="22"/>
        </w:rPr>
        <w:t xml:space="preserve">CONVOCATORIAS LIMITADAS A MIPYMES NACIONALES </w:t>
      </w:r>
      <w:r w:rsidRPr="00B00AA2" w:rsidR="007672D5">
        <w:rPr>
          <w:rFonts w:ascii="Arial" w:hAnsi="Arial" w:eastAsia="Calibri" w:cs="Arial"/>
          <w:b/>
          <w:color w:val="000000" w:themeColor="text1"/>
          <w:sz w:val="22"/>
        </w:rPr>
        <w:t>–</w:t>
      </w:r>
      <w:r w:rsidRPr="00B00AA2">
        <w:rPr>
          <w:rFonts w:ascii="Arial" w:hAnsi="Arial" w:eastAsia="Calibri" w:cs="Arial"/>
          <w:b/>
          <w:color w:val="000000" w:themeColor="text1"/>
          <w:sz w:val="22"/>
        </w:rPr>
        <w:t xml:space="preserve"> Requisitos</w:t>
      </w:r>
    </w:p>
    <w:p w:rsidRPr="00B00AA2" w:rsidR="008C487C" w:rsidP="008C487C" w:rsidRDefault="008C487C" w14:paraId="34883BB0" w14:textId="77777777">
      <w:pPr>
        <w:jc w:val="both"/>
        <w:rPr>
          <w:rFonts w:ascii="Arial" w:hAnsi="Arial" w:eastAsia="Calibri" w:cs="Arial"/>
          <w:b/>
          <w:color w:val="000000" w:themeColor="text1"/>
          <w:sz w:val="21"/>
          <w:szCs w:val="21"/>
        </w:rPr>
      </w:pPr>
    </w:p>
    <w:p w:rsidRPr="00B00AA2" w:rsidR="0045479F" w:rsidP="0045479F" w:rsidRDefault="008C487C" w14:paraId="34DD4237" w14:textId="77777777">
      <w:pPr>
        <w:spacing w:after="120"/>
        <w:jc w:val="both"/>
        <w:rPr>
          <w:rFonts w:ascii="Arial" w:hAnsi="Arial" w:cs="Arial"/>
          <w:color w:val="000000" w:themeColor="text1"/>
          <w:sz w:val="20"/>
          <w:szCs w:val="20"/>
          <w:lang w:val="es-ES"/>
        </w:rPr>
      </w:pPr>
      <w:r w:rsidRPr="00B00AA2">
        <w:rPr>
          <w:rFonts w:ascii="Arial" w:hAnsi="Arial" w:cs="Arial"/>
          <w:color w:val="000000" w:themeColor="text1"/>
          <w:sz w:val="20"/>
          <w:szCs w:val="20"/>
          <w:lang w:val="es-ES"/>
        </w:rPr>
        <w:t xml:space="preserve">El artículo 2.2.1.2.4.2.2. del Decreto 1082 de 2015 establece los requisitos a acreditar en las «convocatorias limitadas a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El numeral primero limita cuantitativamente los procesos contractuales en los que se puede hacer la «convocatoria limitada a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p>
    <w:p w:rsidRPr="00B00AA2" w:rsidR="008C487C" w:rsidP="008C487C" w:rsidRDefault="008C487C" w14:paraId="6966A793" w14:textId="27420994">
      <w:pPr>
        <w:jc w:val="both"/>
        <w:rPr>
          <w:rFonts w:ascii="Arial" w:hAnsi="Arial" w:cs="Arial"/>
          <w:color w:val="000000" w:themeColor="text1"/>
          <w:sz w:val="20"/>
          <w:szCs w:val="20"/>
          <w:lang w:val="es-ES"/>
        </w:rPr>
      </w:pPr>
      <w:r w:rsidRPr="00B00AA2">
        <w:rPr>
          <w:rFonts w:ascii="Arial" w:hAnsi="Arial" w:cs="Arial"/>
          <w:color w:val="000000" w:themeColor="text1"/>
          <w:sz w:val="20"/>
          <w:szCs w:val="20"/>
          <w:lang w:val="es-ES"/>
        </w:rPr>
        <w:lastRenderedPageBreak/>
        <w:t xml:space="preserve">El numeral segundo establece dos exigencias: por un lado, que al menos tres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nacionales presenten la solicitud formal de limitar el proceso contractual a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nacionales y, por el otro, que estas deben hacer dicha solicitud por lo menos un día antes de la apertura del proceso de contratación. En relación con tales exigencias, esta entidad ha precisado que «[s]i bien la normativa del sistema de compra publica no establece como requisito acreditar la relación entre el objeto de la </w:t>
      </w:r>
      <w:proofErr w:type="spellStart"/>
      <w:r w:rsidRPr="00B00AA2">
        <w:rPr>
          <w:rFonts w:ascii="Arial" w:hAnsi="Arial" w:cs="Arial"/>
          <w:color w:val="000000" w:themeColor="text1"/>
          <w:sz w:val="20"/>
          <w:szCs w:val="20"/>
          <w:lang w:val="es-ES"/>
        </w:rPr>
        <w:t>Mipyme</w:t>
      </w:r>
      <w:proofErr w:type="spellEnd"/>
      <w:r w:rsidRPr="00B00AA2">
        <w:rPr>
          <w:rFonts w:ascii="Arial" w:hAnsi="Arial" w:cs="Arial"/>
          <w:color w:val="000000" w:themeColor="text1"/>
          <w:sz w:val="20"/>
          <w:szCs w:val="20"/>
          <w:lang w:val="es-ES"/>
        </w:rPr>
        <w:t xml:space="preserve"> y el objeto contrato, es imperativo que la entidad estatal verifique que quienes solicitan la limitación del proceso a </w:t>
      </w:r>
      <w:proofErr w:type="spellStart"/>
      <w:r w:rsidRPr="00B00AA2">
        <w:rPr>
          <w:rFonts w:ascii="Arial" w:hAnsi="Arial" w:cs="Arial"/>
          <w:color w:val="000000" w:themeColor="text1"/>
          <w:sz w:val="20"/>
          <w:szCs w:val="20"/>
          <w:lang w:val="es-ES"/>
        </w:rPr>
        <w:t>Mipyme</w:t>
      </w:r>
      <w:proofErr w:type="spellEnd"/>
      <w:r w:rsidRPr="00B00AA2">
        <w:rPr>
          <w:rFonts w:ascii="Arial" w:hAnsi="Arial" w:cs="Arial"/>
          <w:color w:val="000000" w:themeColor="text1"/>
          <w:sz w:val="20"/>
          <w:szCs w:val="20"/>
          <w:lang w:val="es-ES"/>
        </w:rPr>
        <w:t xml:space="preserve"> tienen un objeto social similar al objeto del contrato y, de ser así, la entidad deberá limitar el proceso de contratación a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También ha dicho que la entidad estatal también debe aceptar las ofertas consorcios o uniones temporales formados exclusivamente por </w:t>
      </w:r>
      <w:proofErr w:type="spellStart"/>
      <w:r w:rsidRPr="00B00AA2">
        <w:rPr>
          <w:rFonts w:ascii="Arial" w:hAnsi="Arial" w:cs="Arial"/>
          <w:color w:val="000000" w:themeColor="text1"/>
          <w:sz w:val="20"/>
          <w:szCs w:val="20"/>
          <w:lang w:val="es-ES"/>
        </w:rPr>
        <w:t>Mipyme</w:t>
      </w:r>
      <w:proofErr w:type="spellEnd"/>
      <w:r w:rsidRPr="00B00AA2">
        <w:rPr>
          <w:rFonts w:ascii="Arial" w:hAnsi="Arial" w:cs="Arial"/>
          <w:color w:val="000000" w:themeColor="text1"/>
          <w:sz w:val="20"/>
          <w:szCs w:val="20"/>
          <w:lang w:val="es-ES"/>
        </w:rPr>
        <w:t xml:space="preserve"> y promesas de sociedad futura suscritas por </w:t>
      </w:r>
      <w:proofErr w:type="spellStart"/>
      <w:r w:rsidRPr="00B00AA2">
        <w:rPr>
          <w:rFonts w:ascii="Arial" w:hAnsi="Arial" w:cs="Arial"/>
          <w:color w:val="000000" w:themeColor="text1"/>
          <w:sz w:val="20"/>
          <w:szCs w:val="20"/>
          <w:lang w:val="es-ES"/>
        </w:rPr>
        <w:t>Mipyme</w:t>
      </w:r>
      <w:proofErr w:type="spellEnd"/>
      <w:r w:rsidRPr="00B00AA2">
        <w:rPr>
          <w:rFonts w:ascii="Arial" w:hAnsi="Arial" w:cs="Arial"/>
          <w:color w:val="000000" w:themeColor="text1"/>
          <w:sz w:val="20"/>
          <w:szCs w:val="20"/>
          <w:lang w:val="es-ES"/>
        </w:rPr>
        <w:t xml:space="preserve">. </w:t>
      </w:r>
    </w:p>
    <w:p w:rsidRPr="00B00AA2" w:rsidR="008C487C" w:rsidP="008C487C" w:rsidRDefault="008C487C" w14:paraId="2237AE09" w14:textId="77777777">
      <w:pPr>
        <w:jc w:val="both"/>
        <w:rPr>
          <w:rFonts w:ascii="Arial" w:hAnsi="Arial" w:cs="Arial"/>
          <w:color w:val="000000" w:themeColor="text1"/>
          <w:sz w:val="21"/>
          <w:szCs w:val="21"/>
          <w:lang w:val="es-ES"/>
        </w:rPr>
      </w:pPr>
    </w:p>
    <w:p w:rsidRPr="00B00AA2" w:rsidR="008C487C" w:rsidP="008C487C" w:rsidRDefault="008C487C" w14:paraId="4D1C5DDE" w14:textId="794DAD64">
      <w:pPr>
        <w:jc w:val="both"/>
        <w:rPr>
          <w:rFonts w:ascii="Arial" w:hAnsi="Arial" w:eastAsia="Calibri" w:cs="Arial"/>
          <w:b/>
          <w:color w:val="000000" w:themeColor="text1"/>
          <w:sz w:val="22"/>
        </w:rPr>
      </w:pPr>
      <w:r w:rsidRPr="00B00AA2">
        <w:rPr>
          <w:rFonts w:ascii="Arial" w:hAnsi="Arial" w:eastAsia="Calibri" w:cs="Arial"/>
          <w:b/>
          <w:color w:val="000000" w:themeColor="text1"/>
          <w:sz w:val="22"/>
        </w:rPr>
        <w:t xml:space="preserve">CONVOCATORIAS LIMITADAS A MIPYMES NACIONALES </w:t>
      </w:r>
      <w:r w:rsidRPr="00B00AA2" w:rsidR="007672D5">
        <w:rPr>
          <w:rFonts w:ascii="Arial" w:hAnsi="Arial" w:eastAsia="Calibri" w:cs="Arial"/>
          <w:b/>
          <w:color w:val="000000" w:themeColor="text1"/>
          <w:sz w:val="22"/>
        </w:rPr>
        <w:t>–</w:t>
      </w:r>
      <w:r w:rsidRPr="00B00AA2">
        <w:rPr>
          <w:rFonts w:ascii="Arial" w:hAnsi="Arial" w:eastAsia="Calibri" w:cs="Arial"/>
          <w:b/>
          <w:color w:val="000000" w:themeColor="text1"/>
          <w:sz w:val="22"/>
        </w:rPr>
        <w:t xml:space="preserve"> Limitación territorial </w:t>
      </w:r>
      <w:r w:rsidRPr="00B00AA2" w:rsidR="007672D5">
        <w:rPr>
          <w:rFonts w:ascii="Arial" w:hAnsi="Arial" w:eastAsia="Calibri" w:cs="Arial"/>
          <w:b/>
          <w:color w:val="000000" w:themeColor="text1"/>
          <w:sz w:val="22"/>
        </w:rPr>
        <w:t>–</w:t>
      </w:r>
      <w:r w:rsidRPr="00B00AA2">
        <w:rPr>
          <w:rFonts w:ascii="Arial" w:hAnsi="Arial" w:eastAsia="Calibri" w:cs="Arial"/>
          <w:b/>
          <w:color w:val="000000" w:themeColor="text1"/>
          <w:sz w:val="22"/>
        </w:rPr>
        <w:t xml:space="preserve"> Requisitos</w:t>
      </w:r>
    </w:p>
    <w:p w:rsidRPr="00B00AA2" w:rsidR="008C487C" w:rsidP="008C487C" w:rsidRDefault="008C487C" w14:paraId="5449FC3E" w14:textId="77777777">
      <w:pPr>
        <w:jc w:val="both"/>
        <w:rPr>
          <w:rFonts w:ascii="Arial" w:hAnsi="Arial" w:eastAsia="Calibri" w:cs="Arial"/>
          <w:b/>
          <w:color w:val="000000" w:themeColor="text1"/>
          <w:sz w:val="21"/>
          <w:szCs w:val="21"/>
        </w:rPr>
      </w:pPr>
    </w:p>
    <w:p w:rsidRPr="00B00AA2" w:rsidR="008C487C" w:rsidP="008C487C" w:rsidRDefault="008C487C" w14:paraId="355EB442" w14:textId="14BA8817">
      <w:pPr>
        <w:jc w:val="both"/>
        <w:rPr>
          <w:rFonts w:ascii="Arial" w:hAnsi="Arial" w:cs="Arial"/>
          <w:color w:val="000000" w:themeColor="text1"/>
          <w:sz w:val="20"/>
          <w:szCs w:val="20"/>
          <w:lang w:val="es-ES"/>
        </w:rPr>
      </w:pPr>
      <w:r w:rsidRPr="00B00AA2">
        <w:rPr>
          <w:rFonts w:ascii="Arial" w:hAnsi="Arial" w:cs="Arial"/>
          <w:color w:val="000000" w:themeColor="text1"/>
          <w:sz w:val="20"/>
          <w:szCs w:val="20"/>
          <w:lang w:val="es-ES"/>
        </w:rPr>
        <w:t xml:space="preserve">Esta entidad ha sostenido que es discrecional la decisión de limitar territorialmente una convocatoria de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y ha precisado que, de todos modos, la decisión de hacerlo debe estar justificada en los correspondientes «estudios de sector». Así lo consideró en la consulta No. 216130003241, resuelta el 30 de junio de 2016. Igualmente, en la consulta resuelta en el radicado No. 2201813000008184, de fecha 7 de septiembre de 2018, se dijo que, de acuerdo con el artículo 2.2.1.2.4.2.3. del Decreto 1082 de 2015, las </w:t>
      </w:r>
      <w:proofErr w:type="spellStart"/>
      <w:r w:rsidRPr="00B00AA2">
        <w:rPr>
          <w:rFonts w:ascii="Arial" w:hAnsi="Arial" w:cs="Arial"/>
          <w:color w:val="000000" w:themeColor="text1"/>
          <w:sz w:val="20"/>
          <w:szCs w:val="20"/>
          <w:lang w:val="es-ES"/>
        </w:rPr>
        <w:t>Mipymes</w:t>
      </w:r>
      <w:proofErr w:type="spellEnd"/>
      <w:r w:rsidRPr="00B00AA2">
        <w:rPr>
          <w:rFonts w:ascii="Arial" w:hAnsi="Arial" w:cs="Arial"/>
          <w:color w:val="000000" w:themeColor="text1"/>
          <w:sz w:val="20"/>
          <w:szCs w:val="20"/>
          <w:lang w:val="es-ES"/>
        </w:rPr>
        <w:t xml:space="preserve"> beneficiadas deben tener su </w:t>
      </w:r>
      <w:r w:rsidRPr="00B00AA2" w:rsidR="00772497">
        <w:rPr>
          <w:rFonts w:ascii="Arial" w:hAnsi="Arial" w:cs="Arial"/>
          <w:color w:val="000000" w:themeColor="text1"/>
          <w:sz w:val="20"/>
          <w:szCs w:val="20"/>
          <w:lang w:val="es-ES"/>
        </w:rPr>
        <w:t>«</w:t>
      </w:r>
      <w:r w:rsidRPr="00B00AA2">
        <w:rPr>
          <w:rFonts w:ascii="Arial" w:hAnsi="Arial" w:cs="Arial"/>
          <w:color w:val="000000" w:themeColor="text1"/>
          <w:sz w:val="20"/>
          <w:szCs w:val="20"/>
          <w:lang w:val="es-ES"/>
        </w:rPr>
        <w:t>domicilio</w:t>
      </w:r>
      <w:r w:rsidRPr="00B00AA2" w:rsidR="0044207D">
        <w:rPr>
          <w:rFonts w:ascii="Arial" w:hAnsi="Arial" w:cs="Arial"/>
          <w:color w:val="000000" w:themeColor="text1"/>
          <w:sz w:val="20"/>
          <w:szCs w:val="20"/>
          <w:lang w:val="es-ES"/>
        </w:rPr>
        <w:t>»</w:t>
      </w:r>
      <w:r w:rsidRPr="00B00AA2">
        <w:rPr>
          <w:rFonts w:ascii="Arial" w:hAnsi="Arial" w:cs="Arial"/>
          <w:color w:val="000000" w:themeColor="text1"/>
          <w:sz w:val="20"/>
          <w:szCs w:val="20"/>
          <w:lang w:val="es-ES"/>
        </w:rPr>
        <w:t xml:space="preserve"> principal en el municipio o departamento donde se ejecutará el contrato para poder participar en una convocatoria limitada territorialmente.</w:t>
      </w:r>
    </w:p>
    <w:p w:rsidRPr="00B00AA2" w:rsidR="008C487C" w:rsidP="008C487C" w:rsidRDefault="008C487C" w14:paraId="0D362ABC" w14:textId="77777777">
      <w:pPr>
        <w:jc w:val="both"/>
        <w:rPr>
          <w:rFonts w:ascii="Arial" w:hAnsi="Arial" w:eastAsia="Calibri" w:cs="Arial"/>
          <w:b/>
          <w:color w:val="000000" w:themeColor="text1"/>
          <w:sz w:val="21"/>
          <w:szCs w:val="21"/>
        </w:rPr>
      </w:pPr>
    </w:p>
    <w:p w:rsidRPr="00B00AA2" w:rsidR="008C487C" w:rsidP="566CD363" w:rsidRDefault="008C487C" w14:paraId="72123135" w14:textId="6A7DE22A">
      <w:pPr>
        <w:pStyle w:val="Normal"/>
        <w:jc w:val="both"/>
        <w:rPr>
          <w:rFonts w:ascii="Arial" w:hAnsi="Arial" w:eastAsia="Calibri" w:cs="Arial"/>
          <w:b w:val="1"/>
          <w:bCs w:val="1"/>
          <w:color w:val="000000" w:themeColor="text1"/>
          <w:sz w:val="22"/>
          <w:szCs w:val="22"/>
        </w:rPr>
      </w:pPr>
      <w:r w:rsidRPr="566CD363" w:rsidR="008C487C">
        <w:rPr>
          <w:rFonts w:ascii="Arial" w:hAnsi="Arial" w:eastAsia="Calibri" w:cs="Arial"/>
          <w:b w:val="1"/>
          <w:bCs w:val="1"/>
          <w:color w:val="000000" w:themeColor="text1" w:themeTint="FF" w:themeShade="FF"/>
          <w:sz w:val="22"/>
          <w:szCs w:val="22"/>
        </w:rPr>
        <w:t xml:space="preserve">CONVOCATORIAS LIMITADAS A MIPYMES NACIONALES </w:t>
      </w:r>
      <w:r w:rsidRPr="566CD363" w:rsidR="007672D5">
        <w:rPr>
          <w:rFonts w:ascii="Arial" w:hAnsi="Arial" w:eastAsia="Calibri" w:cs="Arial"/>
          <w:b w:val="1"/>
          <w:bCs w:val="1"/>
          <w:color w:val="000000" w:themeColor="text1" w:themeTint="FF" w:themeShade="FF"/>
          <w:sz w:val="22"/>
          <w:szCs w:val="22"/>
        </w:rPr>
        <w:t>–</w:t>
      </w:r>
      <w:r w:rsidRPr="566CD363" w:rsidR="008C487C">
        <w:rPr>
          <w:rFonts w:ascii="Arial" w:hAnsi="Arial" w:eastAsia="Calibri" w:cs="Arial"/>
          <w:b w:val="1"/>
          <w:bCs w:val="1"/>
          <w:color w:val="000000" w:themeColor="text1" w:themeTint="FF" w:themeShade="FF"/>
          <w:sz w:val="22"/>
          <w:szCs w:val="22"/>
        </w:rPr>
        <w:t xml:space="preserve"> Procedencia </w:t>
      </w:r>
      <w:r w:rsidRPr="566CD363" w:rsidR="0DFC3C0C">
        <w:rPr>
          <w:rFonts w:ascii="Arial" w:hAnsi="Arial" w:eastAsia="Calibri" w:cs="Arial"/>
          <w:b w:val="1"/>
          <w:bCs w:val="1"/>
          <w:color w:val="000000" w:themeColor="text1" w:themeTint="FF" w:themeShade="FF"/>
          <w:sz w:val="22"/>
          <w:szCs w:val="22"/>
        </w:rPr>
        <w:t>–</w:t>
      </w:r>
      <w:r w:rsidRPr="566CD363" w:rsidR="008C487C">
        <w:rPr>
          <w:rFonts w:ascii="Arial" w:hAnsi="Arial" w:eastAsia="Calibri" w:cs="Arial"/>
          <w:b w:val="1"/>
          <w:bCs w:val="1"/>
          <w:color w:val="000000" w:themeColor="text1" w:themeTint="FF" w:themeShade="FF"/>
          <w:sz w:val="22"/>
          <w:szCs w:val="22"/>
        </w:rPr>
        <w:t xml:space="preserve"> «limitación territorial»</w:t>
      </w:r>
    </w:p>
    <w:p w:rsidRPr="00B00AA2" w:rsidR="008C487C" w:rsidP="008C487C" w:rsidRDefault="008C487C" w14:paraId="3EF69FF6" w14:textId="77777777">
      <w:pPr>
        <w:jc w:val="both"/>
        <w:rPr>
          <w:rFonts w:ascii="Arial" w:hAnsi="Arial" w:eastAsia="Calibri" w:cs="Arial"/>
          <w:b/>
          <w:color w:val="000000" w:themeColor="text1"/>
          <w:sz w:val="21"/>
          <w:szCs w:val="21"/>
        </w:rPr>
      </w:pPr>
    </w:p>
    <w:p w:rsidRPr="00B00AA2" w:rsidR="008C487C" w:rsidP="008C487C" w:rsidRDefault="001013D1" w14:paraId="166374D0" w14:textId="131CE640">
      <w:pPr>
        <w:jc w:val="both"/>
        <w:rPr>
          <w:rFonts w:ascii="Arial" w:hAnsi="Arial" w:cs="Arial"/>
          <w:color w:val="000000" w:themeColor="text1"/>
          <w:sz w:val="20"/>
          <w:szCs w:val="20"/>
          <w:lang w:val="es-ES"/>
        </w:rPr>
      </w:pPr>
      <w:r w:rsidRPr="00B00AA2">
        <w:rPr>
          <w:rFonts w:ascii="Arial" w:hAnsi="Arial" w:cs="Arial"/>
          <w:color w:val="000000" w:themeColor="text1"/>
          <w:sz w:val="20"/>
          <w:szCs w:val="20"/>
          <w:lang w:val="es-ES"/>
        </w:rPr>
        <w:t xml:space="preserve">[…] </w:t>
      </w:r>
      <w:r w:rsidRPr="00B00AA2" w:rsidR="008C487C">
        <w:rPr>
          <w:rFonts w:ascii="Arial" w:hAnsi="Arial" w:cs="Arial"/>
          <w:color w:val="000000" w:themeColor="text1"/>
          <w:sz w:val="20"/>
          <w:szCs w:val="20"/>
          <w:lang w:val="es-ES"/>
        </w:rPr>
        <w:t xml:space="preserve">La limitación a </w:t>
      </w:r>
      <w:proofErr w:type="spellStart"/>
      <w:r w:rsidRPr="00B00AA2" w:rsidR="008C487C">
        <w:rPr>
          <w:rFonts w:ascii="Arial" w:hAnsi="Arial" w:cs="Arial"/>
          <w:color w:val="000000" w:themeColor="text1"/>
          <w:sz w:val="20"/>
          <w:szCs w:val="20"/>
          <w:lang w:val="es-ES"/>
        </w:rPr>
        <w:t>Mipymes</w:t>
      </w:r>
      <w:proofErr w:type="spellEnd"/>
      <w:r w:rsidRPr="00B00AA2" w:rsidR="008C487C">
        <w:rPr>
          <w:rFonts w:ascii="Arial" w:hAnsi="Arial" w:cs="Arial"/>
          <w:color w:val="000000" w:themeColor="text1"/>
          <w:sz w:val="20"/>
          <w:szCs w:val="20"/>
          <w:lang w:val="es-ES"/>
        </w:rPr>
        <w:t xml:space="preserve"> nacionales a la que se refiere el artículo 2.2.1.2.4.2.2. del Decreto 1082 de 2015, opera de pleno derecho, pero no «limitación territorial» referida en el artículo 2.2.1.2.4.2.3. ibidem, pues esta es facultativa de la entidad. Las únicas exigencias son que la convocatoria esté limitada «a </w:t>
      </w:r>
      <w:proofErr w:type="spellStart"/>
      <w:r w:rsidRPr="00B00AA2" w:rsidR="008C487C">
        <w:rPr>
          <w:rFonts w:ascii="Arial" w:hAnsi="Arial" w:cs="Arial"/>
          <w:color w:val="000000" w:themeColor="text1"/>
          <w:sz w:val="20"/>
          <w:szCs w:val="20"/>
          <w:lang w:val="es-ES"/>
        </w:rPr>
        <w:t>Mipyme</w:t>
      </w:r>
      <w:proofErr w:type="spellEnd"/>
      <w:r w:rsidRPr="00B00AA2" w:rsidR="008C487C">
        <w:rPr>
          <w:rFonts w:ascii="Arial" w:hAnsi="Arial" w:cs="Arial"/>
          <w:color w:val="000000" w:themeColor="text1"/>
          <w:sz w:val="20"/>
          <w:szCs w:val="20"/>
          <w:lang w:val="es-ES"/>
        </w:rPr>
        <w:t xml:space="preserve"> nacionales domiciliadas en los departamentos o municipios en donde se va a ejecutar el contrato» y que la entidad justifique su decisión en los «estudios del sector».</w:t>
      </w:r>
    </w:p>
    <w:p w:rsidRPr="00B00AA2" w:rsidR="008C487C" w:rsidP="008C487C" w:rsidRDefault="008C487C" w14:paraId="00851E3E" w14:textId="77777777">
      <w:pPr>
        <w:jc w:val="both"/>
        <w:rPr>
          <w:rFonts w:ascii="Arial" w:hAnsi="Arial" w:eastAsia="Calibri" w:cs="Arial"/>
          <w:b/>
          <w:color w:val="000000" w:themeColor="text1"/>
          <w:sz w:val="21"/>
          <w:szCs w:val="21"/>
        </w:rPr>
      </w:pPr>
    </w:p>
    <w:p w:rsidRPr="00B00AA2" w:rsidR="008C487C" w:rsidP="008C487C" w:rsidRDefault="008C487C" w14:paraId="0DE5D95D" w14:textId="5A4D2033">
      <w:pPr>
        <w:jc w:val="both"/>
        <w:rPr>
          <w:rFonts w:ascii="Arial" w:hAnsi="Arial" w:eastAsia="Calibri" w:cs="Arial"/>
          <w:b/>
          <w:color w:val="000000" w:themeColor="text1"/>
          <w:sz w:val="22"/>
        </w:rPr>
      </w:pPr>
      <w:r w:rsidRPr="00B00AA2">
        <w:rPr>
          <w:rFonts w:ascii="Arial" w:hAnsi="Arial" w:eastAsia="Calibri" w:cs="Arial"/>
          <w:b/>
          <w:color w:val="000000" w:themeColor="text1"/>
          <w:sz w:val="22"/>
        </w:rPr>
        <w:t xml:space="preserve">CONVOCATORIAS LIMITADAS A MIPYMES NACIONALES </w:t>
      </w:r>
      <w:r w:rsidRPr="00B00AA2" w:rsidR="007672D5">
        <w:rPr>
          <w:rFonts w:ascii="Arial" w:hAnsi="Arial" w:eastAsia="Calibri" w:cs="Arial"/>
          <w:b/>
          <w:color w:val="000000" w:themeColor="text1"/>
          <w:sz w:val="22"/>
        </w:rPr>
        <w:t>–</w:t>
      </w:r>
      <w:r w:rsidRPr="00B00AA2">
        <w:rPr>
          <w:rFonts w:ascii="Arial" w:hAnsi="Arial" w:eastAsia="Calibri" w:cs="Arial"/>
          <w:b/>
          <w:color w:val="000000" w:themeColor="text1"/>
          <w:sz w:val="22"/>
        </w:rPr>
        <w:t xml:space="preserve"> Limitación territorial </w:t>
      </w:r>
      <w:r w:rsidRPr="00B00AA2" w:rsidR="007672D5">
        <w:rPr>
          <w:rFonts w:ascii="Arial" w:hAnsi="Arial" w:eastAsia="Calibri" w:cs="Arial"/>
          <w:b/>
          <w:color w:val="000000" w:themeColor="text1"/>
          <w:sz w:val="22"/>
        </w:rPr>
        <w:t xml:space="preserve">– </w:t>
      </w:r>
      <w:r w:rsidRPr="00B00AA2">
        <w:rPr>
          <w:rFonts w:ascii="Arial" w:hAnsi="Arial" w:eastAsia="Calibri" w:cs="Arial"/>
          <w:b/>
          <w:color w:val="000000" w:themeColor="text1"/>
          <w:sz w:val="22"/>
        </w:rPr>
        <w:t>Procedencia</w:t>
      </w:r>
    </w:p>
    <w:p w:rsidRPr="00B00AA2" w:rsidR="008C487C" w:rsidP="008C487C" w:rsidRDefault="008C487C" w14:paraId="45D0780A" w14:textId="77777777">
      <w:pPr>
        <w:jc w:val="both"/>
        <w:rPr>
          <w:rFonts w:ascii="Arial" w:hAnsi="Arial" w:eastAsia="Calibri" w:cs="Arial"/>
          <w:b/>
          <w:color w:val="000000" w:themeColor="text1"/>
          <w:sz w:val="21"/>
          <w:szCs w:val="21"/>
        </w:rPr>
      </w:pPr>
    </w:p>
    <w:p w:rsidRPr="00B00AA2" w:rsidR="008C487C" w:rsidP="74BB4436" w:rsidRDefault="001013D1" w14:paraId="6999DFE6" w14:textId="17519C9C">
      <w:pPr>
        <w:jc w:val="both"/>
        <w:rPr>
          <w:rFonts w:ascii="Arial" w:hAnsi="Arial" w:eastAsia="Calibri" w:cs="Arial"/>
          <w:color w:val="000000" w:themeColor="text1"/>
          <w:sz w:val="20"/>
          <w:szCs w:val="20"/>
        </w:rPr>
      </w:pPr>
      <w:r w:rsidRPr="74BB4436">
        <w:rPr>
          <w:rFonts w:ascii="Arial" w:hAnsi="Arial" w:eastAsia="Calibri" w:cs="Arial"/>
          <w:color w:val="000000" w:themeColor="text1"/>
          <w:sz w:val="20"/>
          <w:szCs w:val="20"/>
        </w:rPr>
        <w:t xml:space="preserve">[…] </w:t>
      </w:r>
      <w:r w:rsidRPr="74BB4436" w:rsidR="132EF847">
        <w:rPr>
          <w:rFonts w:ascii="Arial" w:hAnsi="Arial" w:eastAsia="Calibri" w:cs="Arial"/>
          <w:color w:val="000000" w:themeColor="text1"/>
          <w:sz w:val="20"/>
          <w:szCs w:val="20"/>
        </w:rPr>
        <w:t>u</w:t>
      </w:r>
      <w:r w:rsidRPr="74BB4436" w:rsidR="008C487C">
        <w:rPr>
          <w:rFonts w:ascii="Arial" w:hAnsi="Arial" w:eastAsia="Calibri" w:cs="Arial"/>
          <w:color w:val="000000" w:themeColor="text1"/>
          <w:sz w:val="20"/>
          <w:szCs w:val="20"/>
        </w:rPr>
        <w:t xml:space="preserve">na vez se verifican los requisitos de los numerales 1 y 2 del artículo 2.2.1.2.4.2.2. del Decreto 1082 de 2015, la entidad queda habilitada para decidir si limita o no la convocatoria «a </w:t>
      </w:r>
      <w:proofErr w:type="spellStart"/>
      <w:r w:rsidRPr="74BB4436" w:rsidR="008C487C">
        <w:rPr>
          <w:rFonts w:ascii="Arial" w:hAnsi="Arial" w:eastAsia="Calibri" w:cs="Arial"/>
          <w:color w:val="000000" w:themeColor="text1"/>
          <w:sz w:val="20"/>
          <w:szCs w:val="20"/>
        </w:rPr>
        <w:t>Mipyme</w:t>
      </w:r>
      <w:proofErr w:type="spellEnd"/>
      <w:r w:rsidRPr="74BB4436" w:rsidR="008C487C">
        <w:rPr>
          <w:rFonts w:ascii="Arial" w:hAnsi="Arial" w:eastAsia="Calibri" w:cs="Arial"/>
          <w:color w:val="000000" w:themeColor="text1"/>
          <w:sz w:val="20"/>
          <w:szCs w:val="20"/>
        </w:rPr>
        <w:t xml:space="preserve"> nacionales domiciliadas en los departamentos o municipios en donde se va a ejecutar el contrato», sin que sea relevante el </w:t>
      </w:r>
      <w:r w:rsidRPr="74BB4436" w:rsidR="00772497">
        <w:rPr>
          <w:rFonts w:ascii="Arial" w:hAnsi="Arial" w:eastAsia="Calibri" w:cs="Arial"/>
          <w:color w:val="000000" w:themeColor="text1"/>
          <w:sz w:val="20"/>
          <w:szCs w:val="20"/>
        </w:rPr>
        <w:t>«</w:t>
      </w:r>
      <w:r w:rsidRPr="74BB4436" w:rsidR="008C487C">
        <w:rPr>
          <w:rFonts w:ascii="Arial" w:hAnsi="Arial" w:eastAsia="Calibri" w:cs="Arial"/>
          <w:color w:val="000000" w:themeColor="text1"/>
          <w:sz w:val="20"/>
          <w:szCs w:val="20"/>
        </w:rPr>
        <w:t>domicilio</w:t>
      </w:r>
      <w:r w:rsidRPr="74BB4436" w:rsidR="00772497">
        <w:rPr>
          <w:rFonts w:ascii="Arial" w:hAnsi="Arial" w:eastAsia="Calibri" w:cs="Arial"/>
          <w:color w:val="000000" w:themeColor="text1"/>
          <w:sz w:val="20"/>
          <w:szCs w:val="20"/>
        </w:rPr>
        <w:t>»</w:t>
      </w:r>
      <w:r w:rsidRPr="74BB4436" w:rsidR="008C487C">
        <w:rPr>
          <w:rFonts w:ascii="Arial" w:hAnsi="Arial" w:eastAsia="Calibri" w:cs="Arial"/>
          <w:color w:val="000000" w:themeColor="text1"/>
          <w:sz w:val="20"/>
          <w:szCs w:val="20"/>
        </w:rPr>
        <w:t xml:space="preserve"> de las </w:t>
      </w:r>
      <w:proofErr w:type="spellStart"/>
      <w:r w:rsidRPr="74BB4436" w:rsidR="008C487C">
        <w:rPr>
          <w:rFonts w:ascii="Arial" w:hAnsi="Arial" w:eastAsia="Calibri" w:cs="Arial"/>
          <w:color w:val="000000" w:themeColor="text1"/>
          <w:sz w:val="20"/>
          <w:szCs w:val="20"/>
        </w:rPr>
        <w:t>Mipymes</w:t>
      </w:r>
      <w:proofErr w:type="spellEnd"/>
      <w:r w:rsidRPr="74BB4436" w:rsidR="008C487C">
        <w:rPr>
          <w:rFonts w:ascii="Arial" w:hAnsi="Arial" w:eastAsia="Calibri" w:cs="Arial"/>
          <w:color w:val="000000" w:themeColor="text1"/>
          <w:sz w:val="20"/>
          <w:szCs w:val="20"/>
        </w:rPr>
        <w:t xml:space="preserve"> nacionales que solicitaron limitar la convocatoria.</w:t>
      </w:r>
    </w:p>
    <w:p w:rsidRPr="00B00AA2" w:rsidR="00F34138" w:rsidP="008C487C" w:rsidRDefault="00F34138" w14:paraId="1C1656BB" w14:textId="523C14C2">
      <w:pPr>
        <w:jc w:val="both"/>
        <w:rPr>
          <w:rFonts w:ascii="Arial" w:hAnsi="Arial" w:eastAsia="Calibri" w:cs="Arial"/>
          <w:bCs/>
          <w:color w:val="000000" w:themeColor="text1"/>
          <w:sz w:val="20"/>
          <w:szCs w:val="20"/>
        </w:rPr>
      </w:pPr>
    </w:p>
    <w:p w:rsidRPr="00B00AA2" w:rsidR="003C3ADB" w:rsidP="566CD363" w:rsidRDefault="003C3ADB" w14:paraId="6E903BB0" w14:textId="584571D3">
      <w:pPr>
        <w:pStyle w:val="Normal"/>
        <w:jc w:val="both"/>
        <w:rPr>
          <w:rFonts w:ascii="Arial" w:hAnsi="Arial" w:eastAsia="Calibri" w:cs="Arial"/>
          <w:b w:val="1"/>
          <w:bCs w:val="1"/>
          <w:color w:val="000000" w:themeColor="text1"/>
          <w:sz w:val="22"/>
          <w:szCs w:val="22"/>
        </w:rPr>
      </w:pPr>
      <w:r w:rsidRPr="566CD363" w:rsidR="003C3ADB">
        <w:rPr>
          <w:rFonts w:ascii="Arial" w:hAnsi="Arial" w:eastAsia="Calibri" w:cs="Arial"/>
          <w:b w:val="1"/>
          <w:bCs w:val="1"/>
          <w:color w:val="000000" w:themeColor="text1" w:themeTint="FF" w:themeShade="FF"/>
          <w:sz w:val="22"/>
          <w:szCs w:val="22"/>
        </w:rPr>
        <w:t xml:space="preserve">CONVOCATORIAS LIMITADAS A MIPYMES NACIONALES </w:t>
      </w:r>
      <w:r w:rsidRPr="566CD363" w:rsidR="007672D5">
        <w:rPr>
          <w:rFonts w:ascii="Arial" w:hAnsi="Arial" w:eastAsia="Calibri" w:cs="Arial"/>
          <w:b w:val="1"/>
          <w:bCs w:val="1"/>
          <w:color w:val="000000" w:themeColor="text1" w:themeTint="FF" w:themeShade="FF"/>
          <w:sz w:val="22"/>
          <w:szCs w:val="22"/>
        </w:rPr>
        <w:t>–</w:t>
      </w:r>
      <w:r w:rsidRPr="566CD363" w:rsidR="003C3ADB">
        <w:rPr>
          <w:rFonts w:ascii="Arial" w:hAnsi="Arial" w:eastAsia="Calibri" w:cs="Arial"/>
          <w:b w:val="1"/>
          <w:bCs w:val="1"/>
          <w:color w:val="000000" w:themeColor="text1" w:themeTint="FF" w:themeShade="FF"/>
          <w:sz w:val="22"/>
          <w:szCs w:val="22"/>
        </w:rPr>
        <w:t xml:space="preserve"> Limitación territorial </w:t>
      </w:r>
      <w:r w:rsidRPr="566CD363" w:rsidR="007672D5">
        <w:rPr>
          <w:rFonts w:ascii="Arial" w:hAnsi="Arial" w:eastAsia="Calibri" w:cs="Arial"/>
          <w:b w:val="1"/>
          <w:bCs w:val="1"/>
          <w:color w:val="000000" w:themeColor="text1" w:themeTint="FF" w:themeShade="FF"/>
          <w:sz w:val="22"/>
          <w:szCs w:val="22"/>
        </w:rPr>
        <w:t>–</w:t>
      </w:r>
      <w:r w:rsidRPr="566CD363" w:rsidR="003C3ADB">
        <w:rPr>
          <w:rFonts w:ascii="Arial" w:hAnsi="Arial" w:eastAsia="Calibri" w:cs="Arial"/>
          <w:b w:val="1"/>
          <w:bCs w:val="1"/>
          <w:color w:val="000000" w:themeColor="text1" w:themeTint="FF" w:themeShade="FF"/>
          <w:sz w:val="22"/>
          <w:szCs w:val="22"/>
        </w:rPr>
        <w:t xml:space="preserve"> Procedencia </w:t>
      </w:r>
      <w:r w:rsidRPr="566CD363" w:rsidR="7FC9EF90">
        <w:rPr>
          <w:rFonts w:ascii="Arial" w:hAnsi="Arial" w:eastAsia="Calibri" w:cs="Arial"/>
          <w:b w:val="1"/>
          <w:bCs w:val="1"/>
          <w:color w:val="000000" w:themeColor="text1" w:themeTint="FF" w:themeShade="FF"/>
          <w:sz w:val="22"/>
          <w:szCs w:val="22"/>
        </w:rPr>
        <w:t>–</w:t>
      </w:r>
      <w:r w:rsidRPr="566CD363" w:rsidR="003C3ADB">
        <w:rPr>
          <w:rFonts w:ascii="Arial" w:hAnsi="Arial" w:eastAsia="Calibri" w:cs="Arial"/>
          <w:b w:val="1"/>
          <w:bCs w:val="1"/>
          <w:color w:val="000000" w:themeColor="text1" w:themeTint="FF" w:themeShade="FF"/>
          <w:sz w:val="22"/>
          <w:szCs w:val="22"/>
        </w:rPr>
        <w:t xml:space="preserve"> </w:t>
      </w:r>
      <w:r w:rsidRPr="566CD363" w:rsidR="52A28B38">
        <w:rPr>
          <w:rFonts w:ascii="Arial" w:hAnsi="Arial" w:eastAsia="Calibri" w:cs="Arial"/>
          <w:b w:val="1"/>
          <w:bCs w:val="1"/>
          <w:color w:val="000000" w:themeColor="text1" w:themeTint="FF" w:themeShade="FF"/>
          <w:sz w:val="22"/>
          <w:szCs w:val="22"/>
        </w:rPr>
        <w:t>M</w:t>
      </w:r>
      <w:r w:rsidRPr="566CD363" w:rsidR="003C3ADB">
        <w:rPr>
          <w:rFonts w:ascii="Arial" w:hAnsi="Arial" w:eastAsia="Calibri" w:cs="Arial"/>
          <w:b w:val="1"/>
          <w:bCs w:val="1"/>
          <w:color w:val="000000" w:themeColor="text1" w:themeTint="FF" w:themeShade="FF"/>
          <w:sz w:val="22"/>
          <w:szCs w:val="22"/>
        </w:rPr>
        <w:t>odalidades de contratación</w:t>
      </w:r>
    </w:p>
    <w:p w:rsidRPr="00B00AA2" w:rsidR="003C3ADB" w:rsidP="003C3ADB" w:rsidRDefault="003C3ADB" w14:paraId="2E4EB9C9" w14:textId="77777777">
      <w:pPr>
        <w:jc w:val="both"/>
        <w:rPr>
          <w:rFonts w:ascii="Arial" w:hAnsi="Arial" w:eastAsia="Calibri" w:cs="Arial"/>
          <w:b/>
          <w:color w:val="000000" w:themeColor="text1"/>
          <w:sz w:val="21"/>
          <w:szCs w:val="21"/>
        </w:rPr>
      </w:pPr>
    </w:p>
    <w:p w:rsidRPr="00B00AA2" w:rsidR="003C3ADB" w:rsidP="003C3ADB" w:rsidRDefault="003C3ADB" w14:paraId="05F9FE79" w14:textId="7392C205">
      <w:pPr>
        <w:jc w:val="both"/>
        <w:rPr>
          <w:rFonts w:ascii="Arial" w:hAnsi="Arial" w:eastAsia="Calibri" w:cs="Arial"/>
          <w:bCs/>
          <w:color w:val="000000" w:themeColor="text1"/>
          <w:sz w:val="20"/>
          <w:szCs w:val="20"/>
        </w:rPr>
      </w:pPr>
      <w:r w:rsidRPr="00B00AA2">
        <w:rPr>
          <w:rFonts w:ascii="Arial" w:hAnsi="Arial" w:eastAsia="Calibri" w:cs="Arial"/>
          <w:bCs/>
          <w:color w:val="000000" w:themeColor="text1"/>
          <w:sz w:val="20"/>
          <w:szCs w:val="20"/>
        </w:rPr>
        <w:t>La primera limitación que impone el inciso primero de la referida norma es en cuanto a las modalidades de selección de contratistas, en el entendido que únicamente se pueden limitar «la convocatoria del Proceso de Contratación en la modalidad de licitación pública, selección abreviada y concurso de méritos». Esto excluye la posibilidad de pedir la limitación de las convocatorias en los procesos de selección de mínima cuantía y también en los de contratación directa.</w:t>
      </w:r>
    </w:p>
    <w:p w:rsidRPr="00B00AA2" w:rsidR="003C3ADB" w:rsidP="008C487C" w:rsidRDefault="003C3ADB" w14:paraId="65F538A1" w14:textId="62A40F84">
      <w:pPr>
        <w:jc w:val="both"/>
        <w:rPr>
          <w:rFonts w:ascii="Arial" w:hAnsi="Arial" w:eastAsia="Calibri" w:cs="Arial"/>
          <w:bCs/>
          <w:color w:val="000000" w:themeColor="text1"/>
          <w:sz w:val="20"/>
          <w:szCs w:val="20"/>
        </w:rPr>
      </w:pPr>
    </w:p>
    <w:p w:rsidRPr="00B00AA2" w:rsidR="003C3ADB" w:rsidP="008C487C" w:rsidRDefault="003C3ADB" w14:paraId="59FA3355" w14:textId="77777777">
      <w:pPr>
        <w:jc w:val="both"/>
        <w:rPr>
          <w:rFonts w:ascii="Arial" w:hAnsi="Arial" w:eastAsia="Calibri" w:cs="Arial"/>
          <w:bCs/>
          <w:color w:val="000000" w:themeColor="text1"/>
          <w:sz w:val="20"/>
          <w:szCs w:val="20"/>
        </w:rPr>
      </w:pPr>
    </w:p>
    <w:p w:rsidRPr="00B00AA2" w:rsidR="00F34138" w:rsidP="566CD363" w:rsidRDefault="00F34138" w14:paraId="51DDE833" w14:textId="41E0DD0E">
      <w:pPr>
        <w:pStyle w:val="Normal"/>
        <w:jc w:val="both"/>
        <w:rPr>
          <w:rFonts w:ascii="Arial" w:hAnsi="Arial" w:eastAsia="Calibri" w:cs="Arial"/>
          <w:b w:val="1"/>
          <w:bCs w:val="1"/>
          <w:color w:val="000000" w:themeColor="text1"/>
          <w:sz w:val="22"/>
          <w:szCs w:val="22"/>
        </w:rPr>
      </w:pPr>
      <w:r w:rsidRPr="566CD363" w:rsidR="00F34138">
        <w:rPr>
          <w:rFonts w:ascii="Arial" w:hAnsi="Arial" w:eastAsia="Calibri" w:cs="Arial"/>
          <w:b w:val="1"/>
          <w:bCs w:val="1"/>
          <w:color w:val="000000" w:themeColor="text1" w:themeTint="FF" w:themeShade="FF"/>
          <w:sz w:val="22"/>
          <w:szCs w:val="22"/>
        </w:rPr>
        <w:t xml:space="preserve">CONVOCATORIAS LIMITADAS A MIPYMES NACIONALES </w:t>
      </w:r>
      <w:r w:rsidRPr="566CD363" w:rsidR="007672D5">
        <w:rPr>
          <w:rFonts w:ascii="Arial" w:hAnsi="Arial" w:eastAsia="Calibri" w:cs="Arial"/>
          <w:b w:val="1"/>
          <w:bCs w:val="1"/>
          <w:color w:val="000000" w:themeColor="text1" w:themeTint="FF" w:themeShade="FF"/>
          <w:sz w:val="22"/>
          <w:szCs w:val="22"/>
        </w:rPr>
        <w:t>–</w:t>
      </w:r>
      <w:r w:rsidRPr="566CD363" w:rsidR="00F34138">
        <w:rPr>
          <w:rFonts w:ascii="Arial" w:hAnsi="Arial" w:eastAsia="Calibri" w:cs="Arial"/>
          <w:b w:val="1"/>
          <w:bCs w:val="1"/>
          <w:color w:val="000000" w:themeColor="text1" w:themeTint="FF" w:themeShade="FF"/>
          <w:sz w:val="22"/>
          <w:szCs w:val="22"/>
        </w:rPr>
        <w:t xml:space="preserve"> Limitación territorial </w:t>
      </w:r>
      <w:r w:rsidRPr="566CD363" w:rsidR="007672D5">
        <w:rPr>
          <w:rFonts w:ascii="Arial" w:hAnsi="Arial" w:eastAsia="Calibri" w:cs="Arial"/>
          <w:b w:val="1"/>
          <w:bCs w:val="1"/>
          <w:color w:val="000000" w:themeColor="text1" w:themeTint="FF" w:themeShade="FF"/>
          <w:sz w:val="22"/>
          <w:szCs w:val="22"/>
        </w:rPr>
        <w:t>–</w:t>
      </w:r>
      <w:r w:rsidRPr="566CD363" w:rsidR="00F34138">
        <w:rPr>
          <w:rFonts w:ascii="Arial" w:hAnsi="Arial" w:eastAsia="Calibri" w:cs="Arial"/>
          <w:b w:val="1"/>
          <w:bCs w:val="1"/>
          <w:color w:val="000000" w:themeColor="text1" w:themeTint="FF" w:themeShade="FF"/>
          <w:sz w:val="22"/>
          <w:szCs w:val="22"/>
        </w:rPr>
        <w:t xml:space="preserve"> </w:t>
      </w:r>
      <w:r w:rsidRPr="566CD363" w:rsidR="00C12201">
        <w:rPr>
          <w:rFonts w:ascii="Arial" w:hAnsi="Arial" w:eastAsia="Calibri" w:cs="Arial"/>
          <w:b w:val="1"/>
          <w:bCs w:val="1"/>
          <w:color w:val="000000" w:themeColor="text1" w:themeTint="FF" w:themeShade="FF"/>
          <w:sz w:val="22"/>
          <w:szCs w:val="22"/>
        </w:rPr>
        <w:t xml:space="preserve">Relevancia </w:t>
      </w:r>
      <w:r w:rsidRPr="566CD363" w:rsidR="2CACDD7B">
        <w:rPr>
          <w:rFonts w:ascii="Arial" w:hAnsi="Arial" w:eastAsia="Calibri" w:cs="Arial"/>
          <w:b w:val="1"/>
          <w:bCs w:val="1"/>
          <w:color w:val="000000" w:themeColor="text1" w:themeTint="FF" w:themeShade="FF"/>
          <w:sz w:val="22"/>
          <w:szCs w:val="22"/>
        </w:rPr>
        <w:t>– D</w:t>
      </w:r>
      <w:r w:rsidRPr="566CD363" w:rsidR="00C12201">
        <w:rPr>
          <w:rFonts w:ascii="Arial" w:hAnsi="Arial" w:eastAsia="Calibri" w:cs="Arial"/>
          <w:b w:val="1"/>
          <w:bCs w:val="1"/>
          <w:color w:val="000000" w:themeColor="text1" w:themeTint="FF" w:themeShade="FF"/>
          <w:sz w:val="22"/>
          <w:szCs w:val="22"/>
        </w:rPr>
        <w:t xml:space="preserve">omicilio de la </w:t>
      </w:r>
      <w:proofErr w:type="spellStart"/>
      <w:r w:rsidRPr="566CD363" w:rsidR="00C12201">
        <w:rPr>
          <w:rFonts w:ascii="Arial" w:hAnsi="Arial" w:eastAsia="Calibri" w:cs="Arial"/>
          <w:b w:val="1"/>
          <w:bCs w:val="1"/>
          <w:color w:val="000000" w:themeColor="text1" w:themeTint="FF" w:themeShade="FF"/>
          <w:sz w:val="22"/>
          <w:szCs w:val="22"/>
        </w:rPr>
        <w:t>Mipymes</w:t>
      </w:r>
      <w:proofErr w:type="spellEnd"/>
    </w:p>
    <w:p w:rsidRPr="00B00AA2" w:rsidR="00F34138" w:rsidP="00F34138" w:rsidRDefault="00F34138" w14:paraId="4921CAF0" w14:textId="77777777">
      <w:pPr>
        <w:jc w:val="both"/>
        <w:rPr>
          <w:rFonts w:ascii="Arial" w:hAnsi="Arial" w:eastAsia="Calibri" w:cs="Arial"/>
          <w:b/>
          <w:color w:val="000000" w:themeColor="text1"/>
          <w:sz w:val="21"/>
          <w:szCs w:val="21"/>
        </w:rPr>
      </w:pPr>
    </w:p>
    <w:p w:rsidRPr="00B00AA2" w:rsidR="009920CA" w:rsidP="74BB4436" w:rsidRDefault="009920CA" w14:paraId="6779BA6E" w14:textId="01C85817">
      <w:pPr>
        <w:spacing w:after="120"/>
        <w:jc w:val="both"/>
        <w:rPr>
          <w:rFonts w:ascii="Arial" w:hAnsi="Arial" w:eastAsia="Calibri" w:cs="Arial"/>
          <w:color w:val="000000" w:themeColor="text1"/>
          <w:sz w:val="20"/>
          <w:szCs w:val="20"/>
        </w:rPr>
      </w:pPr>
      <w:r w:rsidRPr="74BB4436">
        <w:rPr>
          <w:rFonts w:ascii="Arial" w:hAnsi="Arial" w:eastAsia="Calibri" w:cs="Arial"/>
          <w:color w:val="000000" w:themeColor="text1"/>
          <w:sz w:val="20"/>
          <w:szCs w:val="20"/>
        </w:rPr>
        <w:t xml:space="preserve">[…] </w:t>
      </w:r>
      <w:r w:rsidRPr="74BB4436" w:rsidR="6AB4D81C">
        <w:rPr>
          <w:rFonts w:ascii="Arial" w:hAnsi="Arial" w:eastAsia="Calibri" w:cs="Arial"/>
          <w:color w:val="000000" w:themeColor="text1"/>
          <w:sz w:val="20"/>
          <w:szCs w:val="20"/>
        </w:rPr>
        <w:t>e</w:t>
      </w:r>
      <w:r w:rsidRPr="74BB4436" w:rsidR="00C12201">
        <w:rPr>
          <w:rFonts w:ascii="Arial" w:hAnsi="Arial" w:eastAsia="Calibri" w:cs="Arial"/>
          <w:color w:val="000000" w:themeColor="text1"/>
          <w:sz w:val="20"/>
          <w:szCs w:val="20"/>
        </w:rPr>
        <w:t>l artículo 2.2.1.2.4.2.3. del Decreto 1082 de 2015 se refiere a las «</w:t>
      </w:r>
      <w:proofErr w:type="spellStart"/>
      <w:r w:rsidRPr="74BB4436" w:rsidR="00C12201">
        <w:rPr>
          <w:rFonts w:ascii="Arial" w:hAnsi="Arial" w:eastAsia="Calibri" w:cs="Arial"/>
          <w:color w:val="000000" w:themeColor="text1"/>
          <w:sz w:val="20"/>
          <w:szCs w:val="20"/>
        </w:rPr>
        <w:t>Mipyme</w:t>
      </w:r>
      <w:proofErr w:type="spellEnd"/>
      <w:r w:rsidRPr="74BB4436" w:rsidR="00C12201">
        <w:rPr>
          <w:rFonts w:ascii="Arial" w:hAnsi="Arial" w:eastAsia="Calibri" w:cs="Arial"/>
          <w:color w:val="000000" w:themeColor="text1"/>
          <w:sz w:val="20"/>
          <w:szCs w:val="20"/>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74BB4436" w:rsidR="00C12201">
        <w:rPr>
          <w:rFonts w:ascii="Arial" w:hAnsi="Arial" w:eastAsia="Calibri" w:cs="Arial"/>
          <w:color w:val="000000" w:themeColor="text1"/>
          <w:sz w:val="20"/>
          <w:szCs w:val="20"/>
        </w:rPr>
        <w:t>Mipyme</w:t>
      </w:r>
      <w:proofErr w:type="spellEnd"/>
      <w:r w:rsidRPr="74BB4436" w:rsidR="00C12201">
        <w:rPr>
          <w:rFonts w:ascii="Arial" w:hAnsi="Arial" w:eastAsia="Calibri" w:cs="Arial"/>
          <w:color w:val="000000" w:themeColor="text1"/>
          <w:sz w:val="20"/>
          <w:szCs w:val="20"/>
        </w:rPr>
        <w:t xml:space="preserve"> tiene su </w:t>
      </w:r>
      <w:r w:rsidRPr="74BB4436" w:rsidR="00772497">
        <w:rPr>
          <w:rFonts w:ascii="Arial" w:hAnsi="Arial" w:eastAsia="Calibri" w:cs="Arial"/>
          <w:color w:val="000000" w:themeColor="text1"/>
          <w:sz w:val="20"/>
          <w:szCs w:val="20"/>
        </w:rPr>
        <w:t>«</w:t>
      </w:r>
      <w:r w:rsidRPr="74BB4436" w:rsidR="00C12201">
        <w:rPr>
          <w:rFonts w:ascii="Arial" w:hAnsi="Arial" w:eastAsia="Calibri" w:cs="Arial"/>
          <w:color w:val="000000" w:themeColor="text1"/>
          <w:sz w:val="20"/>
          <w:szCs w:val="20"/>
        </w:rPr>
        <w:t>domicilio</w:t>
      </w:r>
      <w:r w:rsidRPr="74BB4436" w:rsidR="00772497">
        <w:rPr>
          <w:rFonts w:ascii="Arial" w:hAnsi="Arial" w:eastAsia="Calibri" w:cs="Arial"/>
          <w:color w:val="000000" w:themeColor="text1"/>
          <w:sz w:val="20"/>
          <w:szCs w:val="20"/>
        </w:rPr>
        <w:t>»</w:t>
      </w:r>
      <w:r w:rsidRPr="74BB4436" w:rsidR="00C12201">
        <w:rPr>
          <w:rFonts w:ascii="Arial" w:hAnsi="Arial" w:eastAsia="Calibri" w:cs="Arial"/>
          <w:color w:val="000000" w:themeColor="text1"/>
          <w:sz w:val="20"/>
          <w:szCs w:val="20"/>
        </w:rPr>
        <w:t>, y no en donde tiene sucursales.</w:t>
      </w:r>
    </w:p>
    <w:p w:rsidRPr="00B00AA2" w:rsidR="00F34138" w:rsidP="008C487C" w:rsidRDefault="00C03CD2" w14:paraId="3C2E28BE" w14:textId="57FE0412">
      <w:pPr>
        <w:jc w:val="both"/>
        <w:rPr>
          <w:rFonts w:ascii="Arial" w:hAnsi="Arial" w:eastAsia="Calibri" w:cs="Arial"/>
          <w:bCs/>
          <w:color w:val="000000" w:themeColor="text1"/>
          <w:sz w:val="20"/>
          <w:szCs w:val="20"/>
        </w:rPr>
      </w:pPr>
      <w:r>
        <w:rPr>
          <w:rFonts w:ascii="Arial" w:hAnsi="Arial" w:eastAsia="Calibri" w:cs="Arial"/>
          <w:bCs/>
          <w:color w:val="000000" w:themeColor="text1"/>
          <w:sz w:val="20"/>
          <w:szCs w:val="20"/>
        </w:rPr>
        <w:t>[…] l</w:t>
      </w:r>
      <w:r w:rsidRPr="00B00AA2" w:rsidR="00C12201">
        <w:rPr>
          <w:rFonts w:ascii="Arial" w:hAnsi="Arial" w:eastAsia="Calibri" w:cs="Arial"/>
          <w:bCs/>
          <w:color w:val="000000" w:themeColor="text1"/>
          <w:sz w:val="20"/>
          <w:szCs w:val="20"/>
        </w:rPr>
        <w:t xml:space="preserve">os artículos 110 y 111 del Código de Comercio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reitera que no es procedente extender el beneficio contenido en el artículo 2.2.1.2.4.2.3. </w:t>
      </w:r>
      <w:proofErr w:type="spellStart"/>
      <w:r w:rsidRPr="00B00AA2" w:rsidR="00C12201">
        <w:rPr>
          <w:rFonts w:ascii="Arial" w:hAnsi="Arial" w:eastAsia="Calibri" w:cs="Arial"/>
          <w:bCs/>
          <w:color w:val="000000" w:themeColor="text1"/>
          <w:sz w:val="20"/>
          <w:szCs w:val="20"/>
        </w:rPr>
        <w:t>ibídem</w:t>
      </w:r>
      <w:proofErr w:type="spellEnd"/>
      <w:r w:rsidRPr="00B00AA2" w:rsidR="00C12201">
        <w:rPr>
          <w:rFonts w:ascii="Arial" w:hAnsi="Arial" w:eastAsia="Calibri" w:cs="Arial"/>
          <w:bCs/>
          <w:color w:val="000000" w:themeColor="text1"/>
          <w:sz w:val="20"/>
          <w:szCs w:val="20"/>
        </w:rPr>
        <w:t xml:space="preserve"> a las entidades que tienen «sucursales» en el municipio o departamento en donde se va a ejecutar el contrato estatal.</w:t>
      </w:r>
    </w:p>
    <w:p w:rsidRPr="00B00AA2" w:rsidR="00D0763E" w:rsidP="008C487C" w:rsidRDefault="00D0763E" w14:paraId="5B2FC7AF" w14:textId="530C690D">
      <w:pPr>
        <w:jc w:val="both"/>
        <w:rPr>
          <w:rFonts w:ascii="Arial" w:hAnsi="Arial" w:eastAsia="Calibri" w:cs="Arial"/>
          <w:bCs/>
          <w:color w:val="000000" w:themeColor="text1"/>
          <w:sz w:val="20"/>
          <w:szCs w:val="20"/>
        </w:rPr>
      </w:pPr>
    </w:p>
    <w:p w:rsidRPr="00B00AA2" w:rsidR="00D0763E" w:rsidP="00D0763E" w:rsidRDefault="00D0763E" w14:paraId="5A63AC93" w14:textId="60ECC08D">
      <w:pPr>
        <w:jc w:val="both"/>
        <w:rPr>
          <w:rFonts w:ascii="Arial" w:hAnsi="Arial" w:eastAsia="Calibri" w:cs="Arial"/>
          <w:b/>
          <w:color w:val="000000" w:themeColor="text1"/>
          <w:sz w:val="22"/>
        </w:rPr>
      </w:pPr>
      <w:r w:rsidRPr="00B00AA2">
        <w:rPr>
          <w:rFonts w:ascii="Arial" w:hAnsi="Arial" w:eastAsia="Calibri" w:cs="Arial"/>
          <w:b/>
          <w:color w:val="000000" w:themeColor="text1"/>
          <w:sz w:val="22"/>
        </w:rPr>
        <w:t xml:space="preserve">EMPRESA </w:t>
      </w:r>
      <w:r w:rsidRPr="00B00AA2" w:rsidR="007672D5">
        <w:rPr>
          <w:rFonts w:ascii="Arial" w:hAnsi="Arial" w:eastAsia="Calibri" w:cs="Arial"/>
          <w:b/>
          <w:color w:val="000000" w:themeColor="text1"/>
          <w:sz w:val="22"/>
        </w:rPr>
        <w:t>–</w:t>
      </w:r>
      <w:r w:rsidRPr="00B00AA2">
        <w:rPr>
          <w:rFonts w:ascii="Arial" w:hAnsi="Arial" w:eastAsia="Calibri" w:cs="Arial"/>
          <w:b/>
          <w:color w:val="000000" w:themeColor="text1"/>
          <w:sz w:val="22"/>
        </w:rPr>
        <w:t xml:space="preserve"> Formación </w:t>
      </w:r>
      <w:r w:rsidRPr="00B00AA2" w:rsidR="007672D5">
        <w:rPr>
          <w:rFonts w:ascii="Arial" w:hAnsi="Arial" w:eastAsia="Calibri" w:cs="Arial"/>
          <w:b/>
          <w:color w:val="000000" w:themeColor="text1"/>
          <w:sz w:val="22"/>
        </w:rPr>
        <w:t>–</w:t>
      </w:r>
      <w:r w:rsidRPr="00B00AA2">
        <w:rPr>
          <w:rFonts w:ascii="Arial" w:hAnsi="Arial" w:eastAsia="Calibri" w:cs="Arial"/>
          <w:b/>
          <w:color w:val="000000" w:themeColor="text1"/>
          <w:sz w:val="22"/>
        </w:rPr>
        <w:t xml:space="preserve"> Código de Comercio</w:t>
      </w:r>
    </w:p>
    <w:p w:rsidRPr="00B00AA2" w:rsidR="00D0763E" w:rsidP="00D0763E" w:rsidRDefault="00D0763E" w14:paraId="3CE06077" w14:textId="77777777">
      <w:pPr>
        <w:jc w:val="both"/>
        <w:rPr>
          <w:rFonts w:ascii="Arial" w:hAnsi="Arial" w:eastAsia="Calibri" w:cs="Arial"/>
          <w:b/>
          <w:color w:val="000000" w:themeColor="text1"/>
          <w:sz w:val="21"/>
          <w:szCs w:val="21"/>
        </w:rPr>
      </w:pPr>
    </w:p>
    <w:p w:rsidRPr="00B00AA2" w:rsidR="00D0763E" w:rsidP="00D0763E" w:rsidRDefault="00D0763E" w14:paraId="06E17FA3" w14:textId="668112C3">
      <w:pPr>
        <w:jc w:val="both"/>
        <w:rPr>
          <w:rFonts w:ascii="Arial" w:hAnsi="Arial" w:eastAsia="Calibri" w:cs="Arial"/>
          <w:bCs/>
          <w:color w:val="000000" w:themeColor="text1"/>
          <w:sz w:val="20"/>
          <w:szCs w:val="20"/>
        </w:rPr>
      </w:pPr>
      <w:r w:rsidRPr="00B00AA2">
        <w:rPr>
          <w:rFonts w:ascii="Arial" w:hAnsi="Arial" w:eastAsia="Calibri" w:cs="Arial"/>
          <w:bCs/>
          <w:color w:val="000000" w:themeColor="text1"/>
          <w:sz w:val="20"/>
          <w:szCs w:val="20"/>
        </w:rPr>
        <w:t>La empresa se forma a través de un contrato de sociedad por medio del cual dos o más personas se obligan a hacer un aporte en dinero, en trabajo o en otros bienes apreciables en dinero con el fin de repartirse entre sí las utilidades obtenidas en la empresa, según el artículo 98 ibidem. En ese sentido, puede decirse que serán sociedades comerciales aquellas que ejecuten actos o empresas mercantiles, en los términos señalados en el artículo 98 del Código de Comercio.</w:t>
      </w:r>
    </w:p>
    <w:p w:rsidRPr="00B00AA2" w:rsidR="00D0763E" w:rsidP="00D0763E" w:rsidRDefault="00D0763E" w14:paraId="00B9B39C" w14:textId="6F2C294E">
      <w:pPr>
        <w:jc w:val="both"/>
        <w:rPr>
          <w:rFonts w:ascii="Arial" w:hAnsi="Arial" w:eastAsia="Calibri" w:cs="Arial"/>
          <w:bCs/>
          <w:color w:val="000000" w:themeColor="text1"/>
          <w:sz w:val="20"/>
          <w:szCs w:val="20"/>
        </w:rPr>
      </w:pPr>
    </w:p>
    <w:p w:rsidRPr="00B00AA2" w:rsidR="00D0763E" w:rsidP="00D0763E" w:rsidRDefault="00D0763E" w14:paraId="5363E083" w14:textId="76D8924E">
      <w:pPr>
        <w:jc w:val="both"/>
        <w:rPr>
          <w:rFonts w:ascii="Arial" w:hAnsi="Arial" w:eastAsia="Calibri" w:cs="Arial"/>
          <w:b/>
          <w:color w:val="000000" w:themeColor="text1"/>
          <w:sz w:val="22"/>
        </w:rPr>
      </w:pPr>
      <w:r w:rsidRPr="00B00AA2">
        <w:rPr>
          <w:rFonts w:ascii="Arial" w:hAnsi="Arial" w:eastAsia="Calibri" w:cs="Arial"/>
          <w:b/>
          <w:color w:val="000000" w:themeColor="text1"/>
          <w:sz w:val="22"/>
        </w:rPr>
        <w:t xml:space="preserve">MIPYMES </w:t>
      </w:r>
      <w:r w:rsidRPr="00B00AA2" w:rsidR="007672D5">
        <w:rPr>
          <w:rFonts w:ascii="Arial" w:hAnsi="Arial" w:eastAsia="Calibri" w:cs="Arial"/>
          <w:b/>
          <w:color w:val="000000" w:themeColor="text1"/>
          <w:sz w:val="22"/>
        </w:rPr>
        <w:t>–</w:t>
      </w:r>
      <w:r w:rsidRPr="00B00AA2">
        <w:rPr>
          <w:rFonts w:ascii="Arial" w:hAnsi="Arial" w:eastAsia="Calibri" w:cs="Arial"/>
          <w:b/>
          <w:color w:val="000000" w:themeColor="text1"/>
          <w:sz w:val="22"/>
        </w:rPr>
        <w:t xml:space="preserve"> Carencia de ánimo de lucro</w:t>
      </w:r>
    </w:p>
    <w:p w:rsidRPr="00B00AA2" w:rsidR="00D0763E" w:rsidP="00D0763E" w:rsidRDefault="00D0763E" w14:paraId="39A8F3EE" w14:textId="77777777">
      <w:pPr>
        <w:jc w:val="both"/>
        <w:rPr>
          <w:rFonts w:ascii="Arial" w:hAnsi="Arial" w:eastAsia="Calibri" w:cs="Arial"/>
          <w:b/>
          <w:color w:val="000000" w:themeColor="text1"/>
          <w:sz w:val="21"/>
          <w:szCs w:val="21"/>
        </w:rPr>
      </w:pPr>
    </w:p>
    <w:p w:rsidRPr="00B00AA2" w:rsidR="00D0763E" w:rsidP="00D0763E" w:rsidRDefault="00D0763E" w14:paraId="0C399A0A" w14:textId="60FE2585">
      <w:pPr>
        <w:jc w:val="both"/>
        <w:rPr>
          <w:rFonts w:ascii="Arial" w:hAnsi="Arial" w:eastAsia="Calibri" w:cs="Arial"/>
          <w:bCs/>
          <w:color w:val="000000" w:themeColor="text1"/>
          <w:sz w:val="20"/>
          <w:szCs w:val="20"/>
        </w:rPr>
      </w:pPr>
      <w:r w:rsidRPr="00B00AA2">
        <w:rPr>
          <w:rFonts w:ascii="Arial" w:hAnsi="Arial" w:eastAsia="Calibri" w:cs="Arial"/>
          <w:bCs/>
          <w:color w:val="000000" w:themeColor="text1"/>
          <w:sz w:val="20"/>
          <w:szCs w:val="20"/>
        </w:rPr>
        <w:t>El Libro Segundo del Código de Comercio no incluye a las corporaciones o asociaciones ni a las fundaciones, esto es, a las ESAL, en la enumeración de las sociedades comerciales. La razón de la exclusión, a nuestro juicio, es obvia: estas organizaciones no tienen fines comerciales, es decir, carecen de ánimo de lucro, por eso no forman un tipo o clase de sociedad comercial. La norma que regula este tipo de corporaciones o asociaciones es el Código Civil –entre otras normas que se 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 La ausencia de ánimo de lucro es, entonces, la característica determinante de estas corporaciones u organizaciones, tanto que de allí toman su nombre, y por eso mismo la diferencia fundamental con las sociedades comerciales.</w:t>
      </w:r>
    </w:p>
    <w:p w:rsidRPr="00B00AA2" w:rsidR="00BB0EA7" w:rsidP="00D0763E" w:rsidRDefault="00BB0EA7" w14:paraId="10F23EB4" w14:textId="385C3BA2">
      <w:pPr>
        <w:jc w:val="both"/>
        <w:rPr>
          <w:rFonts w:ascii="Arial" w:hAnsi="Arial" w:eastAsia="Calibri" w:cs="Arial"/>
          <w:bCs/>
          <w:color w:val="000000" w:themeColor="text1"/>
          <w:sz w:val="20"/>
          <w:szCs w:val="20"/>
        </w:rPr>
      </w:pPr>
    </w:p>
    <w:p w:rsidR="00BB0EA7" w:rsidP="566CD363" w:rsidRDefault="00BB0EA7" w14:paraId="77C148B1" w14:textId="7CBBE235">
      <w:pPr>
        <w:pStyle w:val="Normal"/>
        <w:jc w:val="both"/>
        <w:rPr>
          <w:rFonts w:ascii="Arial" w:hAnsi="Arial" w:eastAsia="Calibri" w:cs="Arial"/>
          <w:color w:val="000000" w:themeColor="text1" w:themeTint="FF" w:themeShade="FF"/>
          <w:sz w:val="22"/>
          <w:szCs w:val="22"/>
        </w:rPr>
      </w:pPr>
      <w:r w:rsidRPr="566CD363" w:rsidR="00BB0EA7">
        <w:rPr>
          <w:rFonts w:ascii="Arial" w:hAnsi="Arial" w:eastAsia="Calibri" w:cs="Arial"/>
          <w:b w:val="1"/>
          <w:bCs w:val="1"/>
          <w:color w:val="000000" w:themeColor="text1" w:themeTint="FF" w:themeShade="FF"/>
          <w:sz w:val="22"/>
          <w:szCs w:val="22"/>
        </w:rPr>
        <w:t xml:space="preserve">MIPYMES </w:t>
      </w:r>
      <w:r w:rsidRPr="566CD363" w:rsidR="007672D5">
        <w:rPr>
          <w:rFonts w:ascii="Arial" w:hAnsi="Arial" w:eastAsia="Calibri" w:cs="Arial"/>
          <w:b w:val="1"/>
          <w:bCs w:val="1"/>
          <w:color w:val="000000" w:themeColor="text1" w:themeTint="FF" w:themeShade="FF"/>
          <w:sz w:val="22"/>
          <w:szCs w:val="22"/>
        </w:rPr>
        <w:t>–</w:t>
      </w:r>
      <w:r w:rsidRPr="566CD363" w:rsidR="00BB0EA7">
        <w:rPr>
          <w:rFonts w:ascii="Arial" w:hAnsi="Arial" w:eastAsia="Calibri" w:cs="Arial"/>
          <w:b w:val="1"/>
          <w:bCs w:val="1"/>
          <w:color w:val="000000" w:themeColor="text1" w:themeTint="FF" w:themeShade="FF"/>
          <w:sz w:val="22"/>
          <w:szCs w:val="22"/>
        </w:rPr>
        <w:t xml:space="preserve"> </w:t>
      </w:r>
      <w:r w:rsidRPr="566CD363" w:rsidR="62516339">
        <w:rPr>
          <w:rFonts w:ascii="Arial" w:hAnsi="Arial" w:eastAsia="Calibri" w:cs="Arial"/>
          <w:b w:val="1"/>
          <w:bCs w:val="1"/>
          <w:color w:val="000000" w:themeColor="text1" w:themeTint="FF" w:themeShade="FF"/>
          <w:sz w:val="22"/>
          <w:szCs w:val="22"/>
        </w:rPr>
        <w:t>S</w:t>
      </w:r>
      <w:r w:rsidRPr="566CD363" w:rsidR="00BB0EA7">
        <w:rPr>
          <w:rFonts w:ascii="Arial" w:hAnsi="Arial" w:eastAsia="Calibri" w:cs="Arial"/>
          <w:b w:val="1"/>
          <w:bCs w:val="1"/>
          <w:color w:val="000000" w:themeColor="text1" w:themeTint="FF" w:themeShade="FF"/>
          <w:sz w:val="22"/>
          <w:szCs w:val="22"/>
        </w:rPr>
        <w:t>ociedades comerciales</w:t>
      </w:r>
      <w:r w:rsidRPr="566CD363" w:rsidR="672361AE">
        <w:rPr>
          <w:rFonts w:ascii="Arial" w:hAnsi="Arial" w:eastAsia="Calibri" w:cs="Arial"/>
          <w:b w:val="1"/>
          <w:bCs w:val="1"/>
          <w:color w:val="000000" w:themeColor="text1" w:themeTint="FF" w:themeShade="FF"/>
          <w:sz w:val="22"/>
          <w:szCs w:val="22"/>
        </w:rPr>
        <w:t xml:space="preserve"> – No asimilable</w:t>
      </w:r>
    </w:p>
    <w:p w:rsidRPr="00B00AA2" w:rsidR="00BB0EA7" w:rsidP="00BB0EA7" w:rsidRDefault="00BB0EA7" w14:paraId="4E9251A9" w14:textId="77777777">
      <w:pPr>
        <w:jc w:val="both"/>
        <w:rPr>
          <w:rFonts w:ascii="Arial" w:hAnsi="Arial" w:eastAsia="Calibri" w:cs="Arial"/>
          <w:b/>
          <w:color w:val="000000" w:themeColor="text1"/>
          <w:sz w:val="21"/>
          <w:szCs w:val="21"/>
        </w:rPr>
      </w:pPr>
    </w:p>
    <w:p w:rsidRPr="00B00AA2" w:rsidR="00B91A95" w:rsidP="00C908AB" w:rsidRDefault="002E7BC2" w14:paraId="583968A2" w14:textId="237F6713">
      <w:pPr>
        <w:spacing w:after="120"/>
        <w:jc w:val="both"/>
        <w:rPr>
          <w:rFonts w:ascii="Arial" w:hAnsi="Arial" w:eastAsia="Calibri" w:cs="Arial"/>
          <w:bCs/>
          <w:color w:val="000000" w:themeColor="text1"/>
          <w:sz w:val="20"/>
          <w:szCs w:val="20"/>
        </w:rPr>
      </w:pPr>
      <w:r w:rsidRPr="00B00AA2">
        <w:rPr>
          <w:rFonts w:ascii="Arial" w:hAnsi="Arial" w:eastAsia="Calibri" w:cs="Arial"/>
          <w:bCs/>
          <w:color w:val="000000" w:themeColor="text1"/>
          <w:sz w:val="20"/>
          <w:szCs w:val="20"/>
        </w:rPr>
        <w:t>Que una ESAL no sea una forma de sociedad comercial se infiere de los requisitos que exige el artículo 98 del Código de Comercio, concretamente del previsto al final del inciso primero: la finalidad. En efecto, la norma en comento dispone: «[p]</w:t>
      </w:r>
      <w:proofErr w:type="spellStart"/>
      <w:r w:rsidRPr="00B00AA2">
        <w:rPr>
          <w:rFonts w:ascii="Arial" w:hAnsi="Arial" w:eastAsia="Calibri" w:cs="Arial"/>
          <w:bCs/>
          <w:color w:val="000000" w:themeColor="text1"/>
          <w:sz w:val="20"/>
          <w:szCs w:val="20"/>
        </w:rPr>
        <w:t>or</w:t>
      </w:r>
      <w:proofErr w:type="spellEnd"/>
      <w:r w:rsidRPr="00B00AA2">
        <w:rPr>
          <w:rFonts w:ascii="Arial" w:hAnsi="Arial" w:eastAsia="Calibri" w:cs="Arial"/>
          <w:bCs/>
          <w:color w:val="000000" w:themeColor="text1"/>
          <w:sz w:val="20"/>
          <w:szCs w:val="20"/>
        </w:rPr>
        <w:t xml:space="preserve"> el contrato de sociedad dos o más personas se obligan a hacer un aporte en dinero, en trabajo o en otros bienes apreciables en dinero, con el fin de repartirse entre sí las utilidades obtenidas en la empresa o actividad social». Es del caso precisar que en el caso de las ESAL no se admite el reparto de utilidades, ni durante la existencia de la organización ni cuando se extinga, y en este aspecto, se insiste, radica la diferencia más apreciable entre unas y otras organizaciones, pese a que ambas se crean con libertad y al amparo del derecho </w:t>
      </w:r>
      <w:r w:rsidRPr="00B00AA2">
        <w:rPr>
          <w:rFonts w:ascii="Arial" w:hAnsi="Arial" w:eastAsia="Calibri" w:cs="Arial"/>
          <w:bCs/>
          <w:color w:val="000000" w:themeColor="text1"/>
          <w:sz w:val="20"/>
          <w:szCs w:val="20"/>
        </w:rPr>
        <w:lastRenderedPageBreak/>
        <w:t>fundamental de asociación, previsto en el art. 38 de la Constitución Política y otras normas contenidas en tratados internacionales</w:t>
      </w:r>
      <w:r w:rsidR="00834BB5">
        <w:rPr>
          <w:rFonts w:ascii="Arial" w:hAnsi="Arial" w:eastAsia="Calibri" w:cs="Arial"/>
          <w:bCs/>
          <w:color w:val="000000" w:themeColor="text1"/>
          <w:sz w:val="20"/>
          <w:szCs w:val="20"/>
        </w:rPr>
        <w:t xml:space="preserve"> […]</w:t>
      </w:r>
      <w:r w:rsidRPr="00B00AA2">
        <w:rPr>
          <w:rFonts w:ascii="Arial" w:hAnsi="Arial" w:eastAsia="Calibri" w:cs="Arial"/>
          <w:bCs/>
          <w:color w:val="000000" w:themeColor="text1"/>
          <w:sz w:val="20"/>
          <w:szCs w:val="20"/>
        </w:rPr>
        <w:t>.</w:t>
      </w:r>
    </w:p>
    <w:p w:rsidRPr="00B00AA2" w:rsidR="00BB0EA7" w:rsidP="002E7BC2" w:rsidRDefault="002E7BC2" w14:paraId="45689130" w14:textId="369CFC3D">
      <w:pPr>
        <w:jc w:val="both"/>
        <w:rPr>
          <w:rFonts w:ascii="Arial" w:hAnsi="Arial" w:eastAsia="Calibri" w:cs="Arial"/>
          <w:bCs/>
          <w:color w:val="000000" w:themeColor="text1"/>
          <w:sz w:val="20"/>
          <w:szCs w:val="20"/>
          <w:lang w:val="es-CO"/>
        </w:rPr>
      </w:pPr>
      <w:r w:rsidRPr="00B00AA2">
        <w:rPr>
          <w:rFonts w:ascii="Arial" w:hAnsi="Arial" w:eastAsia="Calibri" w:cs="Arial"/>
          <w:bCs/>
          <w:color w:val="000000" w:themeColor="text1"/>
          <w:sz w:val="20"/>
          <w:szCs w:val="20"/>
        </w:rPr>
        <w:t>De conformidad con lo anterior, una «fundación» o una «asociación o corporación», constituidas en los términos del Código Civil, no pueden asimilarse o identificarse con una «sociedad comercial», como uniformemente lo considera la doctrina y la jurisprudencia civil y comercial, en el entendido de que esta última se crea con la finalidad de que sus socios repartan las utilidades obtenidas en desarrollo de la empresa o actividad social; mientras que en aquellas el patrimonio se afecta a la consecución de un interés general y, como tal, no se percibe lucro.</w:t>
      </w:r>
    </w:p>
    <w:p w:rsidRPr="00B00AA2" w:rsidR="00D0763E" w:rsidP="008C487C" w:rsidRDefault="00D0763E" w14:paraId="1E2707D1" w14:textId="77777777">
      <w:pPr>
        <w:jc w:val="both"/>
        <w:rPr>
          <w:rFonts w:ascii="Arial" w:hAnsi="Arial" w:eastAsia="Calibri" w:cs="Arial"/>
          <w:bCs/>
          <w:color w:val="000000" w:themeColor="text1"/>
          <w:sz w:val="20"/>
          <w:szCs w:val="20"/>
        </w:rPr>
      </w:pPr>
    </w:p>
    <w:p w:rsidRPr="00B00AA2" w:rsidR="00F64055" w:rsidP="566CD363" w:rsidRDefault="00F64055" w14:paraId="1E4244E2" w14:textId="67DA1737">
      <w:pPr>
        <w:pStyle w:val="Normal"/>
        <w:jc w:val="both"/>
        <w:rPr>
          <w:rFonts w:ascii="Arial" w:hAnsi="Arial" w:eastAsia="Calibri" w:cs="Arial"/>
          <w:b w:val="1"/>
          <w:bCs w:val="1"/>
          <w:color w:val="000000" w:themeColor="text1"/>
          <w:sz w:val="22"/>
          <w:szCs w:val="22"/>
        </w:rPr>
      </w:pPr>
      <w:r w:rsidRPr="566CD363" w:rsidR="00F64055">
        <w:rPr>
          <w:rFonts w:ascii="Arial" w:hAnsi="Arial" w:eastAsia="Calibri" w:cs="Arial"/>
          <w:b w:val="1"/>
          <w:bCs w:val="1"/>
          <w:color w:val="000000" w:themeColor="text1" w:themeTint="FF" w:themeShade="FF"/>
          <w:sz w:val="22"/>
          <w:szCs w:val="22"/>
        </w:rPr>
        <w:t xml:space="preserve">MIPYMES </w:t>
      </w:r>
      <w:bookmarkStart w:name="_Hlk39666823" w:id="2"/>
      <w:r w:rsidRPr="566CD363" w:rsidR="007672D5">
        <w:rPr>
          <w:rFonts w:ascii="Arial" w:hAnsi="Arial" w:eastAsia="Calibri" w:cs="Arial"/>
          <w:b w:val="1"/>
          <w:bCs w:val="1"/>
          <w:color w:val="000000" w:themeColor="text1" w:themeTint="FF" w:themeShade="FF"/>
          <w:sz w:val="22"/>
          <w:szCs w:val="22"/>
        </w:rPr>
        <w:t>–</w:t>
      </w:r>
      <w:bookmarkEnd w:id="2"/>
      <w:r w:rsidRPr="566CD363" w:rsidR="00F64055">
        <w:rPr>
          <w:rFonts w:ascii="Arial" w:hAnsi="Arial" w:eastAsia="Calibri" w:cs="Arial"/>
          <w:b w:val="1"/>
          <w:bCs w:val="1"/>
          <w:color w:val="000000" w:themeColor="text1" w:themeTint="FF" w:themeShade="FF"/>
          <w:sz w:val="22"/>
          <w:szCs w:val="22"/>
        </w:rPr>
        <w:t xml:space="preserve"> Imposibilidad </w:t>
      </w:r>
      <w:r w:rsidRPr="566CD363" w:rsidR="7B6C55D0">
        <w:rPr>
          <w:rFonts w:ascii="Arial" w:hAnsi="Arial" w:eastAsia="Calibri" w:cs="Arial"/>
          <w:b w:val="1"/>
          <w:bCs w:val="1"/>
          <w:color w:val="000000" w:themeColor="text1" w:themeTint="FF" w:themeShade="FF"/>
          <w:sz w:val="22"/>
          <w:szCs w:val="22"/>
        </w:rPr>
        <w:t>–</w:t>
      </w:r>
      <w:r w:rsidRPr="566CD363" w:rsidR="00F64055">
        <w:rPr>
          <w:rFonts w:ascii="Arial" w:hAnsi="Arial" w:eastAsia="Calibri" w:cs="Arial"/>
          <w:b w:val="1"/>
          <w:bCs w:val="1"/>
          <w:color w:val="000000" w:themeColor="text1" w:themeTint="FF" w:themeShade="FF"/>
          <w:sz w:val="22"/>
          <w:szCs w:val="22"/>
        </w:rPr>
        <w:t xml:space="preserve"> </w:t>
      </w:r>
      <w:r w:rsidRPr="566CD363" w:rsidR="7DE7A98C">
        <w:rPr>
          <w:rFonts w:ascii="Arial" w:hAnsi="Arial" w:eastAsia="Calibri" w:cs="Arial"/>
          <w:b w:val="1"/>
          <w:bCs w:val="1"/>
          <w:color w:val="000000" w:themeColor="text1" w:themeTint="FF" w:themeShade="FF"/>
          <w:sz w:val="22"/>
          <w:szCs w:val="22"/>
        </w:rPr>
        <w:t>P</w:t>
      </w:r>
      <w:r w:rsidRPr="566CD363" w:rsidR="00F64055">
        <w:rPr>
          <w:rFonts w:ascii="Arial" w:hAnsi="Arial" w:eastAsia="Calibri" w:cs="Arial"/>
          <w:b w:val="1"/>
          <w:bCs w:val="1"/>
          <w:color w:val="000000" w:themeColor="text1" w:themeTint="FF" w:themeShade="FF"/>
          <w:sz w:val="22"/>
          <w:szCs w:val="22"/>
        </w:rPr>
        <w:t>articipa</w:t>
      </w:r>
      <w:r w:rsidRPr="566CD363" w:rsidR="7CC740ED">
        <w:rPr>
          <w:rFonts w:ascii="Arial" w:hAnsi="Arial" w:eastAsia="Calibri" w:cs="Arial"/>
          <w:b w:val="1"/>
          <w:bCs w:val="1"/>
          <w:color w:val="000000" w:themeColor="text1" w:themeTint="FF" w:themeShade="FF"/>
          <w:sz w:val="22"/>
          <w:szCs w:val="22"/>
        </w:rPr>
        <w:t>ción</w:t>
      </w:r>
      <w:r w:rsidRPr="566CD363" w:rsidR="00F64055">
        <w:rPr>
          <w:rFonts w:ascii="Arial" w:hAnsi="Arial" w:eastAsia="Calibri" w:cs="Arial"/>
          <w:b w:val="1"/>
          <w:bCs w:val="1"/>
          <w:color w:val="000000" w:themeColor="text1" w:themeTint="FF" w:themeShade="FF"/>
          <w:sz w:val="22"/>
          <w:szCs w:val="22"/>
        </w:rPr>
        <w:t xml:space="preserve"> </w:t>
      </w:r>
      <w:r w:rsidRPr="566CD363" w:rsidR="6EEAFBA7">
        <w:rPr>
          <w:rFonts w:ascii="Arial" w:hAnsi="Arial" w:eastAsia="Calibri" w:cs="Arial"/>
          <w:b w:val="1"/>
          <w:bCs w:val="1"/>
          <w:color w:val="000000" w:themeColor="text1" w:themeTint="FF" w:themeShade="FF"/>
          <w:sz w:val="22"/>
          <w:szCs w:val="22"/>
        </w:rPr>
        <w:t>– C</w:t>
      </w:r>
      <w:r w:rsidRPr="566CD363" w:rsidR="00F64055">
        <w:rPr>
          <w:rFonts w:ascii="Arial" w:hAnsi="Arial" w:eastAsia="Calibri" w:cs="Arial"/>
          <w:b w:val="1"/>
          <w:bCs w:val="1"/>
          <w:color w:val="000000" w:themeColor="text1" w:themeTint="FF" w:themeShade="FF"/>
          <w:sz w:val="22"/>
          <w:szCs w:val="22"/>
        </w:rPr>
        <w:t xml:space="preserve">onvocatorias limitadas a </w:t>
      </w:r>
      <w:proofErr w:type="spellStart"/>
      <w:r w:rsidRPr="566CD363" w:rsidR="00F64055">
        <w:rPr>
          <w:rFonts w:ascii="Arial" w:hAnsi="Arial" w:eastAsia="Calibri" w:cs="Arial"/>
          <w:b w:val="1"/>
          <w:bCs w:val="1"/>
          <w:color w:val="000000" w:themeColor="text1" w:themeTint="FF" w:themeShade="FF"/>
          <w:sz w:val="22"/>
          <w:szCs w:val="22"/>
        </w:rPr>
        <w:t>Mipymes</w:t>
      </w:r>
      <w:proofErr w:type="spellEnd"/>
    </w:p>
    <w:p w:rsidRPr="00B00AA2" w:rsidR="00F64055" w:rsidP="00F64055" w:rsidRDefault="00F64055" w14:paraId="6F594533" w14:textId="77777777">
      <w:pPr>
        <w:jc w:val="both"/>
        <w:rPr>
          <w:rFonts w:ascii="Arial" w:hAnsi="Arial" w:eastAsia="Calibri" w:cs="Arial"/>
          <w:b/>
          <w:color w:val="000000" w:themeColor="text1"/>
          <w:sz w:val="21"/>
          <w:szCs w:val="21"/>
        </w:rPr>
      </w:pPr>
    </w:p>
    <w:p w:rsidRPr="00B00AA2" w:rsidR="00C908AB" w:rsidP="00C908AB" w:rsidRDefault="00F64055" w14:paraId="51C71623" w14:textId="3607C476">
      <w:pPr>
        <w:spacing w:after="120"/>
        <w:jc w:val="both"/>
        <w:rPr>
          <w:rFonts w:ascii="Arial" w:hAnsi="Arial" w:eastAsia="Calibri" w:cs="Arial"/>
          <w:bCs/>
          <w:color w:val="000000" w:themeColor="text1"/>
          <w:sz w:val="20"/>
          <w:szCs w:val="20"/>
        </w:rPr>
      </w:pPr>
      <w:r w:rsidRPr="00B00AA2">
        <w:rPr>
          <w:rFonts w:ascii="Arial" w:hAnsi="Arial" w:eastAsia="Calibri" w:cs="Arial"/>
          <w:bCs/>
          <w:color w:val="000000" w:themeColor="text1"/>
          <w:sz w:val="20"/>
          <w:szCs w:val="20"/>
        </w:rPr>
        <w:t>Que una ESAL no sea una forma de sociedad comercial se infiere de los requisitos que exige el artículo 98 del Código de Comercio, concretamente del previsto al final del inciso primero: la finalidad. En efecto, la norma en comento dispone: «[p]</w:t>
      </w:r>
      <w:proofErr w:type="spellStart"/>
      <w:r w:rsidRPr="00B00AA2">
        <w:rPr>
          <w:rFonts w:ascii="Arial" w:hAnsi="Arial" w:eastAsia="Calibri" w:cs="Arial"/>
          <w:bCs/>
          <w:color w:val="000000" w:themeColor="text1"/>
          <w:sz w:val="20"/>
          <w:szCs w:val="20"/>
        </w:rPr>
        <w:t>or</w:t>
      </w:r>
      <w:proofErr w:type="spellEnd"/>
      <w:r w:rsidRPr="00B00AA2">
        <w:rPr>
          <w:rFonts w:ascii="Arial" w:hAnsi="Arial" w:eastAsia="Calibri" w:cs="Arial"/>
          <w:bCs/>
          <w:color w:val="000000" w:themeColor="text1"/>
          <w:sz w:val="20"/>
          <w:szCs w:val="20"/>
        </w:rPr>
        <w:t xml:space="preserve"> el contrato de sociedad dos o más personas se obligan a hacer un aporte en dinero, en trabajo o en otros bienes apreciables en dinero, con el fin de repartirse entre sí las utilidades obtenidas en la empresa o actividad social». Es del caso precisar que en el caso de las ESAL no se admite el reparto de utilidades, ni durante la existencia de la organización ni cuando se extinga, y en este aspecto, se insiste, radica la diferencia más apreciable entre unas y otras organizaciones, pese a que ambas se crean con libertad y al amparo del derecho fundamental de asociación, previsto en el art</w:t>
      </w:r>
      <w:r w:rsidRPr="00B00AA2" w:rsidR="000940D2">
        <w:rPr>
          <w:rFonts w:ascii="Arial" w:hAnsi="Arial" w:eastAsia="Calibri" w:cs="Arial"/>
          <w:bCs/>
          <w:color w:val="000000" w:themeColor="text1"/>
          <w:sz w:val="20"/>
          <w:szCs w:val="20"/>
        </w:rPr>
        <w:t>ículo</w:t>
      </w:r>
      <w:r w:rsidRPr="00B00AA2">
        <w:rPr>
          <w:rFonts w:ascii="Arial" w:hAnsi="Arial" w:eastAsia="Calibri" w:cs="Arial"/>
          <w:bCs/>
          <w:color w:val="000000" w:themeColor="text1"/>
          <w:sz w:val="20"/>
          <w:szCs w:val="20"/>
        </w:rPr>
        <w:t xml:space="preserve"> 38 de la Constitución Política y otras normas contenidas en tratados internacionales</w:t>
      </w:r>
      <w:r w:rsidR="005579C4">
        <w:rPr>
          <w:rFonts w:ascii="Arial" w:hAnsi="Arial" w:eastAsia="Calibri" w:cs="Arial"/>
          <w:bCs/>
          <w:color w:val="000000" w:themeColor="text1"/>
          <w:sz w:val="20"/>
          <w:szCs w:val="20"/>
        </w:rPr>
        <w:t xml:space="preserve"> […]</w:t>
      </w:r>
      <w:r w:rsidRPr="00B00AA2">
        <w:rPr>
          <w:rFonts w:ascii="Arial" w:hAnsi="Arial" w:eastAsia="Calibri" w:cs="Arial"/>
          <w:bCs/>
          <w:color w:val="000000" w:themeColor="text1"/>
          <w:sz w:val="20"/>
          <w:szCs w:val="20"/>
        </w:rPr>
        <w:t>.</w:t>
      </w:r>
    </w:p>
    <w:p w:rsidRPr="00B00AA2" w:rsidR="00F64055" w:rsidP="007C1102" w:rsidRDefault="00F64055" w14:paraId="4EC0B115" w14:textId="5DA9155B">
      <w:pPr>
        <w:jc w:val="both"/>
        <w:rPr>
          <w:rFonts w:ascii="Arial" w:hAnsi="Arial" w:eastAsia="Calibri" w:cs="Arial"/>
          <w:bCs/>
          <w:color w:val="000000" w:themeColor="text1"/>
          <w:sz w:val="20"/>
          <w:szCs w:val="20"/>
          <w:lang w:val="es-CO"/>
        </w:rPr>
      </w:pPr>
      <w:r w:rsidRPr="00B00AA2">
        <w:rPr>
          <w:rFonts w:ascii="Arial" w:hAnsi="Arial" w:eastAsia="Calibri" w:cs="Arial"/>
          <w:bCs/>
          <w:color w:val="000000" w:themeColor="text1"/>
          <w:sz w:val="20"/>
          <w:szCs w:val="20"/>
        </w:rPr>
        <w:t>De conformidad con lo anterior, una «fundación» o una «asociación o corporación», constituidas en los términos del Código Civil, no pueden asimilarse o identificarse con una «sociedad comercial», como uniformemente lo considera la doctrina y la jurisprudencia civil y comercial, en el entendido de que esta última se crea con la finalidad de que sus socios repartan las utilidades obtenidas en desarrollo de la empresa o actividad social; mientras que en aquellas el patrimonio se afecta a la consecución de un interés general y, como tal, no se percibe lucro.</w:t>
      </w:r>
    </w:p>
    <w:p w:rsidRPr="00B00AA2" w:rsidR="008C487C" w:rsidP="007C1102" w:rsidRDefault="008C487C" w14:paraId="69C1EA73" w14:textId="01B30BE8">
      <w:pPr>
        <w:rPr>
          <w:rFonts w:ascii="Arial" w:hAnsi="Arial" w:cs="Arial"/>
          <w:color w:val="000000" w:themeColor="text1"/>
          <w:sz w:val="20"/>
          <w:szCs w:val="20"/>
        </w:rPr>
      </w:pPr>
    </w:p>
    <w:p w:rsidRPr="00B00AA2" w:rsidR="007C1102" w:rsidP="007C1102" w:rsidRDefault="007C1102" w14:paraId="4CDC7050" w14:textId="77777777">
      <w:pPr>
        <w:rPr>
          <w:rFonts w:ascii="Arial" w:hAnsi="Arial" w:cs="Arial"/>
          <w:color w:val="000000" w:themeColor="text1"/>
          <w:sz w:val="20"/>
          <w:szCs w:val="20"/>
        </w:rPr>
      </w:pPr>
    </w:p>
    <w:p w:rsidRPr="00B00AA2" w:rsidR="008C487C" w:rsidP="00B00AA2" w:rsidRDefault="008C487C" w14:paraId="4F4C385C" w14:textId="6588C674">
      <w:pPr>
        <w:pStyle w:val="Default"/>
        <w:rPr>
          <w:b/>
          <w:color w:val="000000" w:themeColor="text1"/>
          <w:sz w:val="22"/>
        </w:rPr>
      </w:pPr>
      <w:r w:rsidRPr="00B00AA2">
        <w:rPr>
          <w:color w:val="000000" w:themeColor="text1"/>
          <w:sz w:val="22"/>
        </w:rPr>
        <w:t xml:space="preserve">Bogotá D.C., </w:t>
      </w:r>
      <w:r w:rsidRPr="00B00AA2" w:rsidR="007C1102">
        <w:rPr>
          <w:b/>
          <w:bCs/>
          <w:color w:val="000000" w:themeColor="text1"/>
          <w:sz w:val="22"/>
        </w:rPr>
        <w:t>17/04/2020</w:t>
      </w:r>
      <w:r w:rsidRPr="00B00AA2" w:rsidR="00B00AA2">
        <w:rPr>
          <w:b/>
          <w:bCs/>
          <w:color w:val="000000" w:themeColor="text1"/>
          <w:sz w:val="22"/>
        </w:rPr>
        <w:t xml:space="preserve"> </w:t>
      </w:r>
      <w:r w:rsidRPr="00B00AA2" w:rsidR="00B00AA2">
        <w:rPr>
          <w:b/>
          <w:bCs/>
          <w:color w:val="000000" w:themeColor="text1"/>
          <w:sz w:val="22"/>
          <w:lang w:val="es-CO"/>
        </w:rPr>
        <w:t>Hora 14:18:38s</w:t>
      </w:r>
    </w:p>
    <w:p w:rsidRPr="00B00AA2" w:rsidR="008C487C" w:rsidP="008C487C" w:rsidRDefault="008C487C" w14:paraId="3A1B018E" w14:textId="68B5A31D">
      <w:pPr>
        <w:jc w:val="right"/>
        <w:rPr>
          <w:rFonts w:ascii="Arial" w:hAnsi="Arial" w:cs="Arial"/>
          <w:b/>
          <w:color w:val="000000" w:themeColor="text1"/>
          <w:sz w:val="22"/>
        </w:rPr>
      </w:pPr>
      <w:proofErr w:type="spellStart"/>
      <w:r w:rsidRPr="00B00AA2">
        <w:rPr>
          <w:rFonts w:ascii="Arial" w:hAnsi="Arial" w:cs="Arial"/>
          <w:b/>
          <w:color w:val="000000" w:themeColor="text1"/>
          <w:sz w:val="22"/>
        </w:rPr>
        <w:t>N°</w:t>
      </w:r>
      <w:proofErr w:type="spellEnd"/>
      <w:r w:rsidRPr="00B00AA2">
        <w:rPr>
          <w:rFonts w:ascii="Arial" w:hAnsi="Arial" w:cs="Arial"/>
          <w:b/>
          <w:color w:val="000000" w:themeColor="text1"/>
          <w:sz w:val="22"/>
        </w:rPr>
        <w:t xml:space="preserve"> Radicado: </w:t>
      </w:r>
      <w:r w:rsidRPr="00B00AA2" w:rsidR="007C1102">
        <w:rPr>
          <w:rFonts w:ascii="Arial" w:hAnsi="Arial" w:cs="Arial"/>
          <w:b/>
          <w:color w:val="000000" w:themeColor="text1"/>
          <w:sz w:val="22"/>
        </w:rPr>
        <w:t>2202013000002784</w:t>
      </w:r>
    </w:p>
    <w:p w:rsidRPr="00B00AA2" w:rsidR="008C487C" w:rsidP="008C487C" w:rsidRDefault="008C487C" w14:paraId="39178026" w14:textId="77777777">
      <w:pPr>
        <w:rPr>
          <w:rFonts w:ascii="Arial" w:hAnsi="Arial" w:eastAsia="Calibri" w:cs="Arial"/>
          <w:color w:val="000000" w:themeColor="text1"/>
          <w:sz w:val="22"/>
        </w:rPr>
      </w:pPr>
    </w:p>
    <w:p w:rsidRPr="00B00AA2" w:rsidR="008C487C" w:rsidP="008C487C" w:rsidRDefault="008C487C" w14:paraId="559C0A4B" w14:textId="02E307AC">
      <w:pPr>
        <w:rPr>
          <w:rFonts w:ascii="Arial" w:hAnsi="Arial" w:eastAsia="Calibri" w:cs="Arial"/>
          <w:color w:val="000000" w:themeColor="text1"/>
          <w:sz w:val="22"/>
        </w:rPr>
      </w:pPr>
    </w:p>
    <w:p w:rsidRPr="00B00AA2" w:rsidR="008C487C" w:rsidP="008C487C" w:rsidRDefault="008C487C" w14:paraId="5E43CCF1" w14:textId="77777777">
      <w:pPr>
        <w:rPr>
          <w:rFonts w:ascii="Arial" w:hAnsi="Arial" w:eastAsia="Calibri" w:cs="Arial"/>
          <w:color w:val="000000" w:themeColor="text1"/>
          <w:sz w:val="22"/>
        </w:rPr>
      </w:pPr>
      <w:r w:rsidRPr="00B00AA2">
        <w:rPr>
          <w:rFonts w:ascii="Arial" w:hAnsi="Arial" w:eastAsia="Calibri" w:cs="Arial"/>
          <w:color w:val="000000" w:themeColor="text1"/>
          <w:sz w:val="22"/>
        </w:rPr>
        <w:t>Señor</w:t>
      </w:r>
    </w:p>
    <w:p w:rsidRPr="00B00AA2" w:rsidR="008C487C" w:rsidP="008C487C" w:rsidRDefault="00390DCF" w14:paraId="6A1A1064" w14:textId="2F4ACB31">
      <w:pPr>
        <w:rPr>
          <w:rFonts w:ascii="Arial" w:hAnsi="Arial" w:eastAsia="Calibri" w:cs="Arial"/>
          <w:b/>
          <w:color w:val="000000" w:themeColor="text1"/>
          <w:sz w:val="22"/>
        </w:rPr>
      </w:pPr>
      <w:r w:rsidRPr="00B00AA2">
        <w:rPr>
          <w:rFonts w:ascii="Arial" w:hAnsi="Arial" w:eastAsia="Calibri" w:cs="Arial"/>
          <w:b/>
          <w:color w:val="000000" w:themeColor="text1"/>
          <w:sz w:val="22"/>
        </w:rPr>
        <w:t>Jesús Chinchilla Cuevas</w:t>
      </w:r>
    </w:p>
    <w:p w:rsidRPr="00B00AA2" w:rsidR="008C487C" w:rsidP="008C487C" w:rsidRDefault="00390DCF" w14:paraId="04F3BA2D" w14:textId="52A74540">
      <w:pPr>
        <w:rPr>
          <w:rFonts w:ascii="Arial" w:hAnsi="Arial" w:eastAsia="Calibri" w:cs="Arial"/>
          <w:color w:val="000000" w:themeColor="text1"/>
          <w:sz w:val="22"/>
        </w:rPr>
      </w:pPr>
      <w:r w:rsidRPr="00B00AA2">
        <w:rPr>
          <w:rFonts w:ascii="Arial" w:hAnsi="Arial" w:eastAsia="Calibri" w:cs="Arial"/>
          <w:color w:val="000000" w:themeColor="text1"/>
          <w:sz w:val="22"/>
        </w:rPr>
        <w:t>Yopal</w:t>
      </w:r>
      <w:r w:rsidRPr="00B00AA2" w:rsidR="008C487C">
        <w:rPr>
          <w:rFonts w:ascii="Arial" w:hAnsi="Arial" w:eastAsia="Calibri" w:cs="Arial"/>
          <w:color w:val="000000" w:themeColor="text1"/>
          <w:sz w:val="22"/>
        </w:rPr>
        <w:t xml:space="preserve">, </w:t>
      </w:r>
      <w:r w:rsidRPr="00B00AA2" w:rsidR="00EA5A59">
        <w:rPr>
          <w:rFonts w:ascii="Arial" w:hAnsi="Arial" w:eastAsia="Calibri" w:cs="Arial"/>
          <w:color w:val="000000" w:themeColor="text1"/>
          <w:sz w:val="22"/>
        </w:rPr>
        <w:t>Casanare</w:t>
      </w:r>
    </w:p>
    <w:p w:rsidRPr="00B00AA2" w:rsidR="00BD58A7" w:rsidP="008C487C" w:rsidRDefault="00BD58A7" w14:paraId="4726CDFA" w14:textId="36B8C517">
      <w:pPr>
        <w:rPr>
          <w:rFonts w:ascii="Arial" w:hAnsi="Arial" w:eastAsia="Calibri" w:cs="Arial"/>
          <w:color w:val="000000" w:themeColor="text1"/>
          <w:sz w:val="22"/>
        </w:rPr>
      </w:pPr>
    </w:p>
    <w:p w:rsidRPr="00B00AA2" w:rsidR="00EA5A59" w:rsidP="008C487C" w:rsidRDefault="00EA5A59" w14:paraId="0F999DDA" w14:textId="77777777">
      <w:pPr>
        <w:rPr>
          <w:rFonts w:ascii="Arial" w:hAnsi="Arial" w:eastAsia="Calibri" w:cs="Arial"/>
          <w:color w:val="000000" w:themeColor="text1"/>
          <w:sz w:val="22"/>
        </w:rPr>
      </w:pPr>
    </w:p>
    <w:p w:rsidRPr="00B00AA2" w:rsidR="008C487C" w:rsidP="008C487C" w:rsidRDefault="008C487C" w14:paraId="32C9B894" w14:textId="5E1BA4E5">
      <w:pPr>
        <w:ind w:firstLine="2694"/>
        <w:rPr>
          <w:rFonts w:ascii="Arial" w:hAnsi="Arial" w:eastAsia="Calibri" w:cs="Arial"/>
          <w:b/>
          <w:color w:val="000000" w:themeColor="text1"/>
          <w:sz w:val="22"/>
        </w:rPr>
      </w:pPr>
      <w:r w:rsidRPr="00B00AA2">
        <w:rPr>
          <w:rFonts w:ascii="Arial" w:hAnsi="Arial" w:eastAsia="Calibri" w:cs="Arial"/>
          <w:b/>
          <w:color w:val="000000" w:themeColor="text1"/>
          <w:sz w:val="22"/>
        </w:rPr>
        <w:t xml:space="preserve">Concepto C ─ </w:t>
      </w:r>
      <w:r w:rsidRPr="00B00AA2" w:rsidR="00AF5C62">
        <w:rPr>
          <w:rFonts w:ascii="Arial" w:hAnsi="Arial" w:eastAsia="Calibri" w:cs="Arial"/>
          <w:b/>
          <w:color w:val="000000" w:themeColor="text1"/>
          <w:sz w:val="22"/>
        </w:rPr>
        <w:t>258</w:t>
      </w:r>
      <w:r w:rsidRPr="00B00AA2">
        <w:rPr>
          <w:rFonts w:ascii="Arial" w:hAnsi="Arial" w:eastAsia="Calibri" w:cs="Arial"/>
          <w:b/>
          <w:color w:val="000000" w:themeColor="text1"/>
          <w:sz w:val="22"/>
        </w:rPr>
        <w:t xml:space="preserve"> de 2020</w:t>
      </w:r>
    </w:p>
    <w:p w:rsidRPr="00B00AA2" w:rsidR="008C487C" w:rsidP="008C487C" w:rsidRDefault="008C487C" w14:paraId="7FBAE466"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B00AA2" w:rsidR="00B00AA2" w:rsidTr="00387559" w14:paraId="657EE4A3" w14:textId="77777777">
        <w:tc>
          <w:tcPr>
            <w:tcW w:w="2689" w:type="dxa"/>
            <w:hideMark/>
          </w:tcPr>
          <w:p w:rsidRPr="00B00AA2" w:rsidR="008C487C" w:rsidP="00387559" w:rsidRDefault="008C487C" w14:paraId="3FD906B4" w14:textId="77777777">
            <w:pPr>
              <w:rPr>
                <w:rFonts w:ascii="Arial" w:hAnsi="Arial" w:eastAsia="Calibri" w:cs="Arial"/>
                <w:color w:val="000000" w:themeColor="text1"/>
                <w:sz w:val="22"/>
              </w:rPr>
            </w:pPr>
            <w:r w:rsidRPr="00B00AA2">
              <w:rPr>
                <w:rFonts w:ascii="Arial" w:hAnsi="Arial" w:eastAsia="Calibri" w:cs="Arial"/>
                <w:b/>
                <w:color w:val="000000" w:themeColor="text1"/>
                <w:sz w:val="22"/>
              </w:rPr>
              <w:t>Temas:</w:t>
            </w:r>
            <w:r w:rsidRPr="00B00AA2">
              <w:rPr>
                <w:rFonts w:ascii="Arial" w:hAnsi="Arial" w:eastAsia="Calibri" w:cs="Arial"/>
                <w:color w:val="000000" w:themeColor="text1"/>
                <w:sz w:val="22"/>
              </w:rPr>
              <w:t xml:space="preserve">           </w:t>
            </w:r>
          </w:p>
          <w:p w:rsidRPr="00B00AA2" w:rsidR="008C487C" w:rsidP="00387559" w:rsidRDefault="008C487C" w14:paraId="03E305BB" w14:textId="77777777">
            <w:pPr>
              <w:rPr>
                <w:rFonts w:ascii="Arial" w:hAnsi="Arial" w:eastAsia="Calibri" w:cs="Arial"/>
                <w:color w:val="000000" w:themeColor="text1"/>
                <w:sz w:val="22"/>
              </w:rPr>
            </w:pPr>
            <w:r w:rsidRPr="00B00AA2">
              <w:rPr>
                <w:rFonts w:ascii="Arial" w:hAnsi="Arial" w:eastAsia="Calibri" w:cs="Arial"/>
                <w:color w:val="000000" w:themeColor="text1"/>
                <w:sz w:val="22"/>
              </w:rPr>
              <w:t xml:space="preserve">                           </w:t>
            </w:r>
          </w:p>
        </w:tc>
        <w:tc>
          <w:tcPr>
            <w:tcW w:w="6237" w:type="dxa"/>
            <w:hideMark/>
          </w:tcPr>
          <w:p w:rsidRPr="00B00AA2" w:rsidR="008C487C" w:rsidP="00F64055" w:rsidRDefault="00B70E26" w14:paraId="375F7E59" w14:textId="2E9396FB">
            <w:pPr>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MIPYME ― Noción y alcance / MIPYMES ― Incentivos contractuales / MIPYMES NACIONALES ― Inexistencia de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del orden territorial / CONVOCATORIAS LIMITADAS A MIPYMES NACIONALES ― Requisitos / CONVOCATORIAS LIMITADAS A MIPYMES NACIONALES ― Limitación territorial </w:t>
            </w:r>
            <w:r w:rsidRPr="00B00AA2" w:rsidR="002034AD">
              <w:rPr>
                <w:rFonts w:ascii="Arial" w:hAnsi="Arial" w:eastAsia="Calibri" w:cs="Arial"/>
                <w:color w:val="000000" w:themeColor="text1"/>
                <w:sz w:val="22"/>
              </w:rPr>
              <w:t>―</w:t>
            </w:r>
            <w:r w:rsidRPr="00B00AA2">
              <w:rPr>
                <w:rFonts w:ascii="Arial" w:hAnsi="Arial" w:eastAsia="Calibri" w:cs="Arial"/>
                <w:color w:val="000000" w:themeColor="text1"/>
                <w:sz w:val="22"/>
              </w:rPr>
              <w:t xml:space="preserve"> Requisitos / CONVOCATORIAS LIMITADAS A MIPYMES NACIONALES ― Procedencia de la «limitación territorial» / </w:t>
            </w:r>
            <w:r w:rsidRPr="00B00AA2">
              <w:rPr>
                <w:rFonts w:ascii="Arial" w:hAnsi="Arial" w:eastAsia="Calibri" w:cs="Arial"/>
                <w:color w:val="000000" w:themeColor="text1"/>
                <w:sz w:val="22"/>
              </w:rPr>
              <w:lastRenderedPageBreak/>
              <w:t xml:space="preserve">CONVOCATORIAS LIMITADAS A MIPYMES NACIONALES ― Limitación territorial – Procedencia </w:t>
            </w:r>
            <w:r w:rsidRPr="00B00AA2" w:rsidR="002034AD">
              <w:rPr>
                <w:rFonts w:ascii="Arial" w:hAnsi="Arial" w:eastAsia="Calibri" w:cs="Arial"/>
                <w:color w:val="000000" w:themeColor="text1"/>
                <w:sz w:val="22"/>
              </w:rPr>
              <w:t>―</w:t>
            </w:r>
            <w:r w:rsidRPr="00B00AA2">
              <w:rPr>
                <w:rFonts w:ascii="Arial" w:hAnsi="Arial" w:eastAsia="Calibri" w:cs="Arial"/>
                <w:color w:val="000000" w:themeColor="text1"/>
                <w:sz w:val="22"/>
              </w:rPr>
              <w:t xml:space="preserve"> Procedencia en relación con las modalidades de contratación / CONVOCATORIAS LIMITADAS A MIPYMES NACIONALES ― Limitación territorial </w:t>
            </w:r>
            <w:r w:rsidRPr="00B00AA2" w:rsidR="002034AD">
              <w:rPr>
                <w:rFonts w:ascii="Arial" w:hAnsi="Arial" w:eastAsia="Calibri" w:cs="Arial"/>
                <w:color w:val="000000" w:themeColor="text1"/>
                <w:sz w:val="22"/>
              </w:rPr>
              <w:t>―</w:t>
            </w:r>
            <w:r w:rsidRPr="00B00AA2">
              <w:rPr>
                <w:rFonts w:ascii="Arial" w:hAnsi="Arial" w:eastAsia="Calibri" w:cs="Arial"/>
                <w:color w:val="000000" w:themeColor="text1"/>
                <w:sz w:val="22"/>
              </w:rPr>
              <w:t xml:space="preserve"> Relevancia del domicilio de la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w:t>
            </w:r>
            <w:r w:rsidRPr="00B00AA2" w:rsidR="00F64055">
              <w:rPr>
                <w:rFonts w:ascii="Arial" w:hAnsi="Arial" w:eastAsia="Calibri" w:cs="Arial"/>
                <w:color w:val="000000" w:themeColor="text1"/>
                <w:sz w:val="22"/>
              </w:rPr>
              <w:t xml:space="preserve">/ EMPRESA ― Formación ─ Código de Comercio / MIPYMES ― Carencia de ánimo de lucro / MIPYMES ― No se pueden asimilar con sociedades comerciales / MIPYMES ― Imposibilidad de participar en convocatorias limitadas a </w:t>
            </w:r>
            <w:proofErr w:type="spellStart"/>
            <w:r w:rsidRPr="00B00AA2" w:rsidR="00F64055">
              <w:rPr>
                <w:rFonts w:ascii="Arial" w:hAnsi="Arial" w:eastAsia="Calibri" w:cs="Arial"/>
                <w:color w:val="000000" w:themeColor="text1"/>
                <w:sz w:val="22"/>
              </w:rPr>
              <w:t>Mipymes</w:t>
            </w:r>
            <w:proofErr w:type="spellEnd"/>
          </w:p>
        </w:tc>
      </w:tr>
      <w:tr w:rsidRPr="00B00AA2" w:rsidR="008C487C" w:rsidTr="00387559" w14:paraId="747D1B02" w14:textId="77777777">
        <w:tc>
          <w:tcPr>
            <w:tcW w:w="2689" w:type="dxa"/>
          </w:tcPr>
          <w:p w:rsidRPr="00B00AA2" w:rsidR="008C487C" w:rsidP="00791377" w:rsidRDefault="008C487C" w14:paraId="501625EB" w14:textId="77777777">
            <w:pPr>
              <w:spacing w:before="60"/>
              <w:rPr>
                <w:rFonts w:ascii="Arial" w:hAnsi="Arial" w:eastAsia="Calibri" w:cs="Arial"/>
                <w:b/>
                <w:color w:val="000000" w:themeColor="text1"/>
                <w:sz w:val="22"/>
              </w:rPr>
            </w:pPr>
            <w:r w:rsidRPr="00B00AA2">
              <w:rPr>
                <w:rFonts w:ascii="Arial" w:hAnsi="Arial" w:eastAsia="Calibri" w:cs="Arial"/>
                <w:b/>
                <w:color w:val="000000" w:themeColor="text1"/>
                <w:sz w:val="22"/>
              </w:rPr>
              <w:lastRenderedPageBreak/>
              <w:t>Radicación:</w:t>
            </w:r>
            <w:r w:rsidRPr="00B00AA2">
              <w:rPr>
                <w:rFonts w:ascii="Arial" w:hAnsi="Arial" w:eastAsia="Calibri" w:cs="Arial"/>
                <w:color w:val="000000" w:themeColor="text1"/>
                <w:sz w:val="22"/>
              </w:rPr>
              <w:t xml:space="preserve">                              </w:t>
            </w:r>
          </w:p>
        </w:tc>
        <w:tc>
          <w:tcPr>
            <w:tcW w:w="6237" w:type="dxa"/>
          </w:tcPr>
          <w:p w:rsidRPr="00B00AA2" w:rsidR="008C487C" w:rsidP="00791377" w:rsidRDefault="008C487C" w14:paraId="7CB98701" w14:textId="40C74547">
            <w:pPr>
              <w:spacing w:before="60"/>
              <w:jc w:val="both"/>
              <w:rPr>
                <w:rFonts w:ascii="Arial" w:hAnsi="Arial" w:eastAsia="Calibri" w:cs="Arial"/>
                <w:color w:val="000000" w:themeColor="text1"/>
                <w:sz w:val="22"/>
              </w:rPr>
            </w:pPr>
            <w:r w:rsidRPr="00B00AA2">
              <w:rPr>
                <w:rFonts w:ascii="Arial" w:hAnsi="Arial" w:eastAsia="Calibri" w:cs="Arial"/>
                <w:color w:val="000000" w:themeColor="text1"/>
                <w:sz w:val="22"/>
              </w:rPr>
              <w:t>Respuesta a consulta # 420201</w:t>
            </w:r>
            <w:r w:rsidRPr="00B00AA2" w:rsidR="00D815C1">
              <w:rPr>
                <w:rFonts w:ascii="Arial" w:hAnsi="Arial" w:eastAsia="Calibri" w:cs="Arial"/>
                <w:color w:val="000000" w:themeColor="text1"/>
                <w:sz w:val="22"/>
              </w:rPr>
              <w:t>3</w:t>
            </w:r>
            <w:r w:rsidRPr="00B00AA2">
              <w:rPr>
                <w:rFonts w:ascii="Arial" w:hAnsi="Arial" w:eastAsia="Calibri" w:cs="Arial"/>
                <w:color w:val="000000" w:themeColor="text1"/>
                <w:sz w:val="22"/>
              </w:rPr>
              <w:t>00000</w:t>
            </w:r>
            <w:r w:rsidRPr="00B00AA2" w:rsidR="00D815C1">
              <w:rPr>
                <w:rFonts w:ascii="Arial" w:hAnsi="Arial" w:eastAsia="Calibri" w:cs="Arial"/>
                <w:color w:val="000000" w:themeColor="text1"/>
                <w:sz w:val="22"/>
              </w:rPr>
              <w:t>19</w:t>
            </w:r>
            <w:r w:rsidRPr="00B00AA2" w:rsidR="003401FE">
              <w:rPr>
                <w:rFonts w:ascii="Arial" w:hAnsi="Arial" w:eastAsia="Calibri" w:cs="Arial"/>
                <w:color w:val="000000" w:themeColor="text1"/>
                <w:sz w:val="22"/>
              </w:rPr>
              <w:t>68</w:t>
            </w:r>
          </w:p>
        </w:tc>
      </w:tr>
    </w:tbl>
    <w:p w:rsidRPr="00B00AA2" w:rsidR="008C487C" w:rsidP="00791377" w:rsidRDefault="008C487C" w14:paraId="7E82206C" w14:textId="2BB7F285">
      <w:pPr>
        <w:spacing w:before="60"/>
        <w:jc w:val="both"/>
        <w:rPr>
          <w:rFonts w:ascii="Arial" w:hAnsi="Arial" w:eastAsia="Calibri" w:cs="Arial"/>
          <w:color w:val="000000" w:themeColor="text1"/>
          <w:sz w:val="22"/>
        </w:rPr>
      </w:pPr>
    </w:p>
    <w:p w:rsidRPr="00B00AA2" w:rsidR="00B70E26" w:rsidP="008C487C" w:rsidRDefault="00B70E26" w14:paraId="4ADFAF28" w14:textId="77777777">
      <w:pPr>
        <w:jc w:val="both"/>
        <w:rPr>
          <w:rFonts w:ascii="Arial" w:hAnsi="Arial" w:eastAsia="Calibri" w:cs="Arial"/>
          <w:color w:val="000000" w:themeColor="text1"/>
          <w:sz w:val="22"/>
        </w:rPr>
      </w:pPr>
    </w:p>
    <w:p w:rsidRPr="00B00AA2" w:rsidR="008C487C" w:rsidP="008C487C" w:rsidRDefault="008C487C" w14:paraId="0DB0E221" w14:textId="687C4335">
      <w:pPr>
        <w:rPr>
          <w:rFonts w:ascii="Arial" w:hAnsi="Arial" w:eastAsia="Calibri" w:cs="Arial"/>
          <w:color w:val="000000" w:themeColor="text1"/>
          <w:sz w:val="22"/>
        </w:rPr>
      </w:pPr>
      <w:r w:rsidRPr="00B00AA2">
        <w:rPr>
          <w:rFonts w:ascii="Arial" w:hAnsi="Arial" w:eastAsia="Calibri" w:cs="Arial"/>
          <w:color w:val="000000" w:themeColor="text1"/>
          <w:sz w:val="22"/>
        </w:rPr>
        <w:t>Estimado señor</w:t>
      </w:r>
      <w:r w:rsidRPr="00B00AA2" w:rsidR="00B70E26">
        <w:rPr>
          <w:rFonts w:ascii="Arial" w:hAnsi="Arial" w:eastAsia="Calibri" w:cs="Arial"/>
          <w:color w:val="000000" w:themeColor="text1"/>
          <w:sz w:val="22"/>
        </w:rPr>
        <w:t xml:space="preserve"> </w:t>
      </w:r>
      <w:r w:rsidRPr="00B00AA2" w:rsidR="002239B4">
        <w:rPr>
          <w:rFonts w:ascii="Arial" w:hAnsi="Arial" w:eastAsia="Calibri" w:cs="Arial"/>
          <w:color w:val="000000" w:themeColor="text1"/>
          <w:sz w:val="22"/>
        </w:rPr>
        <w:t>Chinchilla Cuevas</w:t>
      </w:r>
      <w:r w:rsidRPr="00B00AA2" w:rsidR="00B70E26">
        <w:rPr>
          <w:rFonts w:ascii="Arial" w:hAnsi="Arial" w:eastAsia="Calibri" w:cs="Arial"/>
          <w:color w:val="000000" w:themeColor="text1"/>
          <w:sz w:val="22"/>
        </w:rPr>
        <w:t>:</w:t>
      </w:r>
    </w:p>
    <w:p w:rsidRPr="00B00AA2" w:rsidR="008C487C" w:rsidP="008C487C" w:rsidRDefault="008C487C" w14:paraId="55DFCD2D" w14:textId="77777777">
      <w:pPr>
        <w:rPr>
          <w:rFonts w:ascii="Arial" w:hAnsi="Arial" w:eastAsia="Calibri" w:cs="Arial"/>
          <w:color w:val="000000" w:themeColor="text1"/>
          <w:sz w:val="22"/>
        </w:rPr>
      </w:pPr>
    </w:p>
    <w:p w:rsidRPr="00B00AA2" w:rsidR="00736C89" w:rsidP="00736C89" w:rsidRDefault="00736C89" w14:paraId="7B40E292" w14:textId="6891A20F">
      <w:pPr>
        <w:spacing w:line="276" w:lineRule="auto"/>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En ejercicio de la competencia otorgada por los artículos 11, numeral 8º, y 3º, numeral 5º, del Decreto Ley 4170 de 2011, la Agencia Nacional de Contratación Pública―Colombia Compra Eficiente responde su consulta del </w:t>
      </w:r>
      <w:r w:rsidRPr="00B00AA2" w:rsidR="002239B4">
        <w:rPr>
          <w:rFonts w:ascii="Arial" w:hAnsi="Arial" w:eastAsia="Calibri" w:cs="Arial"/>
          <w:color w:val="000000" w:themeColor="text1"/>
          <w:sz w:val="22"/>
        </w:rPr>
        <w:t>16</w:t>
      </w:r>
      <w:r w:rsidRPr="00B00AA2" w:rsidR="00C964DE">
        <w:rPr>
          <w:rFonts w:ascii="Arial" w:hAnsi="Arial" w:eastAsia="Calibri" w:cs="Arial"/>
          <w:color w:val="000000" w:themeColor="text1"/>
          <w:sz w:val="22"/>
        </w:rPr>
        <w:t xml:space="preserve"> de mar</w:t>
      </w:r>
      <w:r w:rsidRPr="00B00AA2" w:rsidR="00061EE4">
        <w:rPr>
          <w:rFonts w:ascii="Arial" w:hAnsi="Arial" w:eastAsia="Calibri" w:cs="Arial"/>
          <w:color w:val="000000" w:themeColor="text1"/>
          <w:sz w:val="22"/>
        </w:rPr>
        <w:t>zo</w:t>
      </w:r>
      <w:r w:rsidRPr="00B00AA2">
        <w:rPr>
          <w:rFonts w:ascii="Arial" w:hAnsi="Arial" w:eastAsia="Calibri" w:cs="Arial"/>
          <w:color w:val="000000" w:themeColor="text1"/>
          <w:sz w:val="22"/>
        </w:rPr>
        <w:t xml:space="preserve"> de 2020. </w:t>
      </w:r>
    </w:p>
    <w:p w:rsidRPr="00B00AA2" w:rsidR="008C487C" w:rsidP="008C487C" w:rsidRDefault="008C487C" w14:paraId="73FB6E4C" w14:textId="77777777">
      <w:pPr>
        <w:spacing w:line="276" w:lineRule="auto"/>
        <w:jc w:val="both"/>
        <w:rPr>
          <w:rFonts w:ascii="Arial" w:hAnsi="Arial" w:eastAsia="Calibri" w:cs="Arial"/>
          <w:color w:val="000000" w:themeColor="text1"/>
          <w:sz w:val="22"/>
        </w:rPr>
      </w:pPr>
    </w:p>
    <w:p w:rsidRPr="00B00AA2" w:rsidR="008C487C" w:rsidP="008C487C" w:rsidRDefault="008C487C" w14:paraId="0FC34609" w14:textId="77777777">
      <w:pPr>
        <w:pStyle w:val="Prrafodelista"/>
        <w:numPr>
          <w:ilvl w:val="0"/>
          <w:numId w:val="1"/>
        </w:numPr>
        <w:tabs>
          <w:tab w:val="left" w:pos="284"/>
        </w:tabs>
        <w:spacing w:line="276" w:lineRule="auto"/>
        <w:ind w:left="0" w:firstLine="0"/>
        <w:jc w:val="both"/>
        <w:rPr>
          <w:rFonts w:ascii="Arial" w:hAnsi="Arial" w:eastAsia="Calibri" w:cs="Arial"/>
          <w:b/>
          <w:color w:val="000000" w:themeColor="text1"/>
          <w:sz w:val="22"/>
        </w:rPr>
      </w:pPr>
      <w:r w:rsidRPr="00B00AA2">
        <w:rPr>
          <w:rFonts w:ascii="Arial" w:hAnsi="Arial" w:eastAsia="Calibri" w:cs="Arial"/>
          <w:b/>
          <w:color w:val="000000" w:themeColor="text1"/>
          <w:sz w:val="22"/>
        </w:rPr>
        <w:t xml:space="preserve">Problemas planteados </w:t>
      </w:r>
    </w:p>
    <w:p w:rsidRPr="00B00AA2" w:rsidR="008C487C" w:rsidP="008C487C" w:rsidRDefault="008C487C" w14:paraId="51627473" w14:textId="77777777">
      <w:pPr>
        <w:tabs>
          <w:tab w:val="left" w:pos="426"/>
        </w:tabs>
        <w:spacing w:line="276" w:lineRule="auto"/>
        <w:jc w:val="both"/>
        <w:rPr>
          <w:rFonts w:ascii="Arial" w:hAnsi="Arial" w:eastAsia="Calibri" w:cs="Arial"/>
          <w:b/>
          <w:color w:val="000000" w:themeColor="text1"/>
          <w:sz w:val="22"/>
        </w:rPr>
      </w:pPr>
    </w:p>
    <w:p w:rsidRPr="00B00AA2" w:rsidR="002239B4" w:rsidP="002239B4" w:rsidRDefault="008C487C" w14:paraId="2083620B" w14:textId="08E97913">
      <w:pPr>
        <w:tabs>
          <w:tab w:val="left" w:pos="426"/>
        </w:tabs>
        <w:spacing w:line="276" w:lineRule="auto"/>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Usted </w:t>
      </w:r>
      <w:r w:rsidRPr="00B00AA2" w:rsidR="002239B4">
        <w:rPr>
          <w:rFonts w:ascii="Arial" w:hAnsi="Arial" w:eastAsia="Calibri" w:cs="Arial"/>
          <w:color w:val="000000" w:themeColor="text1"/>
          <w:sz w:val="22"/>
        </w:rPr>
        <w:t xml:space="preserve">solicita que se revise el </w:t>
      </w:r>
      <w:r w:rsidRPr="00B00AA2">
        <w:rPr>
          <w:rFonts w:ascii="Arial" w:hAnsi="Arial" w:eastAsia="Calibri" w:cs="Arial"/>
          <w:color w:val="000000" w:themeColor="text1"/>
          <w:sz w:val="22"/>
        </w:rPr>
        <w:t>«</w:t>
      </w:r>
      <w:r w:rsidRPr="00B00AA2" w:rsidR="008E0FCC">
        <w:rPr>
          <w:rFonts w:ascii="Arial" w:hAnsi="Arial" w:eastAsia="Calibri" w:cs="Arial"/>
          <w:color w:val="000000" w:themeColor="text1"/>
          <w:sz w:val="22"/>
        </w:rPr>
        <w:t>¿c</w:t>
      </w:r>
      <w:r w:rsidRPr="00B00AA2" w:rsidR="002239B4">
        <w:rPr>
          <w:rFonts w:ascii="Arial" w:hAnsi="Arial" w:eastAsia="Calibri" w:cs="Arial"/>
          <w:color w:val="000000" w:themeColor="text1"/>
          <w:sz w:val="22"/>
        </w:rPr>
        <w:t xml:space="preserve">oncepto #416140003241 sobre el cual emite Colombia compra sobre el no reconocimiento de las Entidades sin ánimo de lucro - ESAL - como empresa y por consiguiente personas jurídicas no habilitadas para participar en procesos contractuales limitados a </w:t>
      </w:r>
      <w:proofErr w:type="spellStart"/>
      <w:r w:rsidRPr="00B00AA2" w:rsidR="002239B4">
        <w:rPr>
          <w:rFonts w:ascii="Arial" w:hAnsi="Arial" w:eastAsia="Calibri" w:cs="Arial"/>
          <w:color w:val="000000" w:themeColor="text1"/>
          <w:sz w:val="22"/>
        </w:rPr>
        <w:t>Mipymes</w:t>
      </w:r>
      <w:proofErr w:type="spellEnd"/>
      <w:r w:rsidRPr="00B00AA2" w:rsidR="008E0FCC">
        <w:rPr>
          <w:rFonts w:ascii="Arial" w:hAnsi="Arial" w:eastAsia="Calibri" w:cs="Arial"/>
          <w:color w:val="000000" w:themeColor="text1"/>
          <w:sz w:val="22"/>
        </w:rPr>
        <w:t>?»</w:t>
      </w:r>
      <w:r w:rsidRPr="00B00AA2">
        <w:rPr>
          <w:rFonts w:ascii="Arial" w:hAnsi="Arial" w:eastAsia="Calibri" w:cs="Arial"/>
          <w:color w:val="000000" w:themeColor="text1"/>
          <w:sz w:val="22"/>
        </w:rPr>
        <w:t>.</w:t>
      </w:r>
      <w:r w:rsidRPr="00B00AA2" w:rsidR="002239B4">
        <w:rPr>
          <w:rFonts w:ascii="Arial" w:hAnsi="Arial" w:eastAsia="Calibri" w:cs="Arial"/>
          <w:color w:val="000000" w:themeColor="text1"/>
          <w:sz w:val="22"/>
        </w:rPr>
        <w:t xml:space="preserve"> En su criterio, el concepto objeto de la solicitud «induce al error y obstaculiza el desarrollo de las actividades económicas que desarrollan las ESAL y la participación objetiva de las mismas en los procesos contractuales públicos». </w:t>
      </w:r>
    </w:p>
    <w:p w:rsidRPr="00B00AA2" w:rsidR="009812D7" w:rsidP="00882ABB" w:rsidRDefault="002239B4" w14:paraId="25B86B70" w14:textId="7CB5D2A5">
      <w:pPr>
        <w:tabs>
          <w:tab w:val="left" w:pos="709"/>
        </w:tabs>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En términos generales, la solicitud de revisión se funda en las siguientes consideraciones: i) </w:t>
      </w:r>
      <w:r w:rsidRPr="00B00AA2" w:rsidR="00E87596">
        <w:rPr>
          <w:rFonts w:ascii="Arial" w:hAnsi="Arial" w:eastAsia="Calibri" w:cs="Arial"/>
          <w:color w:val="000000" w:themeColor="text1"/>
          <w:sz w:val="22"/>
        </w:rPr>
        <w:t xml:space="preserve">«las ESAL son personas jurídicas, sujetos de derechos y obligaciones, con una identificación tributaria, que pertenecen a un Régimen Tributario Especial y que son una unidad de explotación económica que es sujeta de producir utilidades, solo que estas no son distribuidas entre los socios porque no hay participación accionaria, pero las utilidades si existen y estás deben ser reinvertidas»; </w:t>
      </w:r>
      <w:proofErr w:type="spellStart"/>
      <w:r w:rsidRPr="00B00AA2" w:rsidR="00E87596">
        <w:rPr>
          <w:rFonts w:ascii="Arial" w:hAnsi="Arial" w:eastAsia="Calibri" w:cs="Arial"/>
          <w:color w:val="000000" w:themeColor="text1"/>
          <w:sz w:val="22"/>
        </w:rPr>
        <w:t>ii</w:t>
      </w:r>
      <w:proofErr w:type="spellEnd"/>
      <w:r w:rsidRPr="00B00AA2" w:rsidR="00E87596">
        <w:rPr>
          <w:rFonts w:ascii="Arial" w:hAnsi="Arial" w:eastAsia="Calibri" w:cs="Arial"/>
          <w:color w:val="000000" w:themeColor="text1"/>
          <w:sz w:val="22"/>
        </w:rPr>
        <w:t xml:space="preserve">) «el concepto en controversia interpretó de forma «excesiva» el artículo 25 del Código de Comercio, ya que esta norma «no refiere el resultado de dividendos, utilidades o de explotación económica a favor de particulares»; </w:t>
      </w:r>
      <w:proofErr w:type="spellStart"/>
      <w:r w:rsidRPr="00B00AA2" w:rsidR="00E87596">
        <w:rPr>
          <w:rFonts w:ascii="Arial" w:hAnsi="Arial" w:eastAsia="Calibri" w:cs="Arial"/>
          <w:color w:val="000000" w:themeColor="text1"/>
          <w:sz w:val="22"/>
        </w:rPr>
        <w:t>iii</w:t>
      </w:r>
      <w:proofErr w:type="spellEnd"/>
      <w:r w:rsidRPr="00B00AA2" w:rsidR="00E87596">
        <w:rPr>
          <w:rFonts w:ascii="Arial" w:hAnsi="Arial" w:eastAsia="Calibri" w:cs="Arial"/>
          <w:color w:val="000000" w:themeColor="text1"/>
          <w:sz w:val="22"/>
        </w:rPr>
        <w:t>)</w:t>
      </w:r>
      <w:r w:rsidRPr="00B00AA2" w:rsidR="009812D7">
        <w:rPr>
          <w:rFonts w:ascii="Arial" w:hAnsi="Arial" w:eastAsia="Calibri" w:cs="Arial"/>
          <w:color w:val="000000" w:themeColor="text1"/>
          <w:sz w:val="22"/>
        </w:rPr>
        <w:t xml:space="preserve"> «el Registro único de Proponentes –RUP− establece en la primera parte de identificación de la ESAL, el tipo de organización, Entidad sin ánimo de lucro y determina el tamaño de la empresa, donde se puede clasificar como Microempresa, pequeña empresa o mediana empresa»; y </w:t>
      </w:r>
      <w:proofErr w:type="spellStart"/>
      <w:r w:rsidRPr="00B00AA2" w:rsidR="009812D7">
        <w:rPr>
          <w:rFonts w:ascii="Arial" w:hAnsi="Arial" w:eastAsia="Calibri" w:cs="Arial"/>
          <w:color w:val="000000" w:themeColor="text1"/>
          <w:sz w:val="22"/>
        </w:rPr>
        <w:t>iv</w:t>
      </w:r>
      <w:proofErr w:type="spellEnd"/>
      <w:r w:rsidRPr="00B00AA2" w:rsidR="009812D7">
        <w:rPr>
          <w:rFonts w:ascii="Arial" w:hAnsi="Arial" w:eastAsia="Calibri" w:cs="Arial"/>
          <w:color w:val="000000" w:themeColor="text1"/>
          <w:sz w:val="22"/>
        </w:rPr>
        <w:t>)</w:t>
      </w:r>
      <w:r w:rsidRPr="00B00AA2" w:rsidR="00E87596">
        <w:rPr>
          <w:rFonts w:ascii="Arial" w:hAnsi="Arial" w:eastAsia="Calibri" w:cs="Arial"/>
          <w:color w:val="000000" w:themeColor="text1"/>
          <w:sz w:val="22"/>
        </w:rPr>
        <w:t xml:space="preserve"> </w:t>
      </w:r>
      <w:r w:rsidRPr="00B00AA2" w:rsidR="009812D7">
        <w:rPr>
          <w:rFonts w:ascii="Arial" w:hAnsi="Arial" w:eastAsia="Calibri" w:cs="Arial"/>
          <w:color w:val="000000" w:themeColor="text1"/>
          <w:sz w:val="22"/>
        </w:rPr>
        <w:t>«cuando se realiza el proceso de inscripción o registro de una ESAL ante una cámara de comercio, esta se debe clasificar dentro del sistema normas contables internacionales (NIIF) y aparecen en su mayoría dentro del GRUPO NIIF: Grupo III – Microempresas»</w:t>
      </w:r>
    </w:p>
    <w:p w:rsidRPr="00B00AA2" w:rsidR="005252E2" w:rsidP="00882ABB" w:rsidRDefault="002239B4" w14:paraId="7CE4FB59" w14:textId="665F0364">
      <w:pPr>
        <w:tabs>
          <w:tab w:val="left" w:pos="709"/>
        </w:tabs>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lastRenderedPageBreak/>
        <w:t>Igualmente, usted nos pide que le preguntemos a la Cámara de Comercio de Bogotá</w:t>
      </w:r>
      <w:r w:rsidRPr="00B00AA2" w:rsidR="005252E2">
        <w:rPr>
          <w:rFonts w:ascii="Arial" w:hAnsi="Arial" w:eastAsia="Calibri" w:cs="Arial"/>
          <w:color w:val="000000" w:themeColor="text1"/>
          <w:sz w:val="22"/>
        </w:rPr>
        <w:t xml:space="preserve"> lo siguiente: «1. ¿Las ESAL tiene registrada ante la cámara de comercio el desarrollo de actividades comerciales en su certificado de existencia y representación legal?; 2. ¿Las ESAL tienen objetos sociales asociados a la producción, transformación, circulación, administración o custodia de bienes, o para la prestación de servicios?; 3. ¿Las ESAL se encuentran organizadas bajo una estructura administrativa que les permite evidenciar una organización de su actividad económica con estatutos registrados ante las cámaras de comercio?; y 4. ¿Las ESAL pueden desarrollar su actividad económica registrando un domicilio principal y a su vez establecer sucursales y/o agencias para el desarrollo de su actividad comercial?».</w:t>
      </w:r>
    </w:p>
    <w:p w:rsidRPr="00B00AA2" w:rsidR="008C487C" w:rsidP="008C487C" w:rsidRDefault="008C487C" w14:paraId="112C3107" w14:textId="77777777">
      <w:pPr>
        <w:tabs>
          <w:tab w:val="left" w:pos="426"/>
        </w:tabs>
        <w:spacing w:line="276" w:lineRule="auto"/>
        <w:jc w:val="both"/>
        <w:rPr>
          <w:rFonts w:ascii="Arial" w:hAnsi="Arial" w:eastAsia="Calibri" w:cs="Arial"/>
          <w:color w:val="000000" w:themeColor="text1"/>
          <w:sz w:val="22"/>
        </w:rPr>
      </w:pPr>
    </w:p>
    <w:p w:rsidRPr="00B00AA2" w:rsidR="008C487C" w:rsidP="008C487C" w:rsidRDefault="008C487C" w14:paraId="6761884C" w14:textId="77777777">
      <w:pPr>
        <w:pStyle w:val="Prrafodelista"/>
        <w:numPr>
          <w:ilvl w:val="0"/>
          <w:numId w:val="1"/>
        </w:numPr>
        <w:tabs>
          <w:tab w:val="left" w:pos="426"/>
        </w:tabs>
        <w:spacing w:line="276" w:lineRule="auto"/>
        <w:ind w:left="284" w:hanging="284"/>
        <w:jc w:val="both"/>
        <w:rPr>
          <w:rFonts w:ascii="Arial" w:hAnsi="Arial" w:eastAsia="Calibri" w:cs="Arial"/>
          <w:b/>
          <w:color w:val="000000" w:themeColor="text1"/>
          <w:sz w:val="22"/>
        </w:rPr>
      </w:pPr>
      <w:r w:rsidRPr="00B00AA2">
        <w:rPr>
          <w:rFonts w:ascii="Arial" w:hAnsi="Arial" w:eastAsia="Calibri" w:cs="Arial"/>
          <w:b/>
          <w:color w:val="000000" w:themeColor="text1"/>
          <w:sz w:val="22"/>
        </w:rPr>
        <w:t>Consideraciones</w:t>
      </w:r>
    </w:p>
    <w:p w:rsidRPr="00B00AA2" w:rsidR="008C487C" w:rsidP="008C487C" w:rsidRDefault="008C487C" w14:paraId="23B6B2A3" w14:textId="77777777">
      <w:pPr>
        <w:spacing w:line="276" w:lineRule="auto"/>
        <w:jc w:val="both"/>
        <w:rPr>
          <w:rFonts w:ascii="Arial" w:hAnsi="Arial" w:eastAsia="Calibri" w:cs="Arial"/>
          <w:color w:val="000000" w:themeColor="text1"/>
          <w:sz w:val="22"/>
        </w:rPr>
      </w:pPr>
    </w:p>
    <w:p w:rsidRPr="00B00AA2" w:rsidR="008C487C" w:rsidP="008C487C" w:rsidRDefault="008C487C" w14:paraId="32EFE7B0" w14:textId="66BC039F">
      <w:pPr>
        <w:spacing w:line="276" w:lineRule="auto"/>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La Agencia Nacional de Contratación Pública―Colombia Compra Eficiente se ha pronunciado en diferentes conceptos sobre la posibilidad de limitar los procesos contractuales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en los conceptos del 5 y el 20 de agosto de 2019 </w:t>
      </w:r>
      <w:r w:rsidRPr="00B00AA2" w:rsidR="00B5123E">
        <w:rPr>
          <w:rFonts w:ascii="Arial" w:hAnsi="Arial" w:eastAsia="Calibri" w:cs="Arial"/>
          <w:color w:val="000000" w:themeColor="text1"/>
          <w:sz w:val="22"/>
        </w:rPr>
        <w:t>–</w:t>
      </w:r>
      <w:r w:rsidRPr="00B00AA2" w:rsidR="009F2261">
        <w:rPr>
          <w:rFonts w:ascii="Arial" w:hAnsi="Arial" w:eastAsia="Calibri" w:cs="Arial"/>
          <w:color w:val="000000" w:themeColor="text1"/>
          <w:sz w:val="22"/>
        </w:rPr>
        <w:t>r</w:t>
      </w:r>
      <w:r w:rsidRPr="00B00AA2">
        <w:rPr>
          <w:rFonts w:ascii="Arial" w:hAnsi="Arial" w:eastAsia="Calibri" w:cs="Arial"/>
          <w:color w:val="000000" w:themeColor="text1"/>
          <w:sz w:val="22"/>
        </w:rPr>
        <w:t xml:space="preserve">adicados Nos. </w:t>
      </w:r>
      <w:r w:rsidRPr="00B00AA2" w:rsidR="00BC5279">
        <w:rPr>
          <w:rFonts w:ascii="Arial" w:hAnsi="Arial" w:eastAsia="Calibri" w:cs="Arial"/>
          <w:color w:val="000000" w:themeColor="text1"/>
          <w:sz w:val="22"/>
        </w:rPr>
        <w:t xml:space="preserve">2201913000005596 </w:t>
      </w:r>
      <w:r w:rsidRPr="00B00AA2">
        <w:rPr>
          <w:rFonts w:ascii="Arial" w:hAnsi="Arial" w:eastAsia="Calibri" w:cs="Arial"/>
          <w:color w:val="000000" w:themeColor="text1"/>
          <w:sz w:val="22"/>
        </w:rPr>
        <w:t xml:space="preserve">y </w:t>
      </w:r>
      <w:r w:rsidRPr="00B00AA2" w:rsidR="004758FE">
        <w:rPr>
          <w:rFonts w:ascii="Arial" w:hAnsi="Arial" w:eastAsia="Calibri" w:cs="Arial"/>
          <w:color w:val="000000" w:themeColor="text1"/>
          <w:sz w:val="22"/>
        </w:rPr>
        <w:t>2201913000006007</w:t>
      </w:r>
      <w:r w:rsidRPr="00B00AA2" w:rsidR="00B5123E">
        <w:rPr>
          <w:rFonts w:ascii="Arial" w:hAnsi="Arial" w:eastAsia="Calibri" w:cs="Arial"/>
          <w:color w:val="000000" w:themeColor="text1"/>
          <w:sz w:val="22"/>
        </w:rPr>
        <w:t>–</w:t>
      </w:r>
      <w:r w:rsidRPr="00B00AA2">
        <w:rPr>
          <w:rFonts w:ascii="Arial" w:hAnsi="Arial" w:eastAsia="Calibri" w:cs="Arial"/>
          <w:color w:val="000000" w:themeColor="text1"/>
          <w:sz w:val="22"/>
        </w:rPr>
        <w:t xml:space="preserve"> y, recientemente en </w:t>
      </w:r>
      <w:r w:rsidRPr="00B00AA2" w:rsidR="002F63BB">
        <w:rPr>
          <w:rFonts w:ascii="Arial" w:hAnsi="Arial" w:eastAsia="Calibri" w:cs="Arial"/>
          <w:color w:val="000000" w:themeColor="text1"/>
          <w:sz w:val="22"/>
        </w:rPr>
        <w:t xml:space="preserve">los </w:t>
      </w:r>
      <w:r w:rsidRPr="00B00AA2">
        <w:rPr>
          <w:rFonts w:ascii="Arial" w:hAnsi="Arial" w:eastAsia="Calibri" w:cs="Arial"/>
          <w:color w:val="000000" w:themeColor="text1"/>
          <w:sz w:val="22"/>
        </w:rPr>
        <w:t>concepto</w:t>
      </w:r>
      <w:r w:rsidRPr="00B00AA2" w:rsidR="002F63BB">
        <w:rPr>
          <w:rFonts w:ascii="Arial" w:hAnsi="Arial" w:eastAsia="Calibri" w:cs="Arial"/>
          <w:color w:val="000000" w:themeColor="text1"/>
          <w:sz w:val="22"/>
        </w:rPr>
        <w:t>s</w:t>
      </w:r>
      <w:r w:rsidRPr="00B00AA2">
        <w:rPr>
          <w:rFonts w:ascii="Arial" w:hAnsi="Arial" w:eastAsia="Calibri" w:cs="Arial"/>
          <w:color w:val="000000" w:themeColor="text1"/>
          <w:sz w:val="22"/>
        </w:rPr>
        <w:t xml:space="preserve"> </w:t>
      </w:r>
      <w:r w:rsidRPr="00B00AA2" w:rsidR="00010D30">
        <w:rPr>
          <w:rFonts w:ascii="Arial" w:hAnsi="Arial" w:eastAsia="Calibri" w:cs="Arial"/>
          <w:color w:val="000000" w:themeColor="text1"/>
          <w:sz w:val="22"/>
        </w:rPr>
        <w:t xml:space="preserve">C-045, </w:t>
      </w:r>
      <w:r w:rsidRPr="00B00AA2" w:rsidR="0086741B">
        <w:rPr>
          <w:rFonts w:ascii="Arial" w:hAnsi="Arial" w:eastAsia="Calibri" w:cs="Arial"/>
          <w:color w:val="000000" w:themeColor="text1"/>
          <w:sz w:val="22"/>
        </w:rPr>
        <w:t>C-050</w:t>
      </w:r>
      <w:r w:rsidRPr="00B00AA2" w:rsidR="00C1405A">
        <w:rPr>
          <w:rFonts w:ascii="Arial" w:hAnsi="Arial" w:eastAsia="Calibri" w:cs="Arial"/>
          <w:color w:val="000000" w:themeColor="text1"/>
          <w:sz w:val="22"/>
        </w:rPr>
        <w:t xml:space="preserve">, </w:t>
      </w:r>
      <w:r w:rsidRPr="00B00AA2" w:rsidR="00803061">
        <w:rPr>
          <w:rFonts w:ascii="Arial" w:hAnsi="Arial" w:eastAsia="Calibri" w:cs="Arial"/>
          <w:color w:val="000000" w:themeColor="text1"/>
          <w:sz w:val="22"/>
        </w:rPr>
        <w:t xml:space="preserve">C-058, </w:t>
      </w:r>
      <w:r w:rsidRPr="00B00AA2" w:rsidR="00BC6C4E">
        <w:rPr>
          <w:rFonts w:ascii="Arial" w:hAnsi="Arial" w:eastAsia="Calibri" w:cs="Arial"/>
          <w:color w:val="000000" w:themeColor="text1"/>
          <w:sz w:val="22"/>
        </w:rPr>
        <w:t>C-083</w:t>
      </w:r>
      <w:r w:rsidRPr="00B00AA2" w:rsidR="00632EA5">
        <w:rPr>
          <w:rFonts w:ascii="Arial" w:hAnsi="Arial" w:eastAsia="Calibri" w:cs="Arial"/>
          <w:color w:val="000000" w:themeColor="text1"/>
          <w:sz w:val="22"/>
        </w:rPr>
        <w:t>, C-092</w:t>
      </w:r>
      <w:r w:rsidRPr="00B00AA2" w:rsidR="0094508D">
        <w:rPr>
          <w:rFonts w:ascii="Arial" w:hAnsi="Arial" w:eastAsia="Calibri" w:cs="Arial"/>
          <w:color w:val="000000" w:themeColor="text1"/>
          <w:sz w:val="22"/>
        </w:rPr>
        <w:t xml:space="preserve"> y </w:t>
      </w:r>
      <w:r w:rsidRPr="00B00AA2">
        <w:rPr>
          <w:rFonts w:ascii="Arial" w:hAnsi="Arial" w:eastAsia="Calibri" w:cs="Arial"/>
          <w:color w:val="000000" w:themeColor="text1"/>
          <w:sz w:val="22"/>
        </w:rPr>
        <w:t xml:space="preserve">CU-021 de 2020 </w:t>
      </w:r>
      <w:r w:rsidRPr="00B00AA2" w:rsidR="00B5123E">
        <w:rPr>
          <w:rFonts w:ascii="Arial" w:hAnsi="Arial" w:eastAsia="Calibri" w:cs="Arial"/>
          <w:color w:val="000000" w:themeColor="text1"/>
          <w:sz w:val="22"/>
        </w:rPr>
        <w:t>–</w:t>
      </w:r>
      <w:r w:rsidRPr="00B00AA2" w:rsidR="0094508D">
        <w:rPr>
          <w:rFonts w:ascii="Arial" w:hAnsi="Arial" w:eastAsia="Calibri" w:cs="Arial"/>
          <w:color w:val="000000" w:themeColor="text1"/>
          <w:sz w:val="22"/>
        </w:rPr>
        <w:t>r</w:t>
      </w:r>
      <w:r w:rsidRPr="00B00AA2">
        <w:rPr>
          <w:rFonts w:ascii="Arial" w:hAnsi="Arial" w:eastAsia="Calibri" w:cs="Arial"/>
          <w:color w:val="000000" w:themeColor="text1"/>
          <w:sz w:val="22"/>
        </w:rPr>
        <w:t xml:space="preserve">adicados Nos. </w:t>
      </w:r>
      <w:r w:rsidRPr="00B00AA2" w:rsidR="009F3537">
        <w:rPr>
          <w:rFonts w:ascii="Arial" w:hAnsi="Arial" w:eastAsia="Calibri" w:cs="Arial"/>
          <w:color w:val="000000" w:themeColor="text1"/>
          <w:sz w:val="22"/>
        </w:rPr>
        <w:t>2202013000001285</w:t>
      </w:r>
      <w:r w:rsidRPr="00B00AA2" w:rsidR="006A7743">
        <w:rPr>
          <w:rFonts w:ascii="Arial" w:hAnsi="Arial" w:eastAsia="Calibri" w:cs="Arial"/>
          <w:color w:val="000000" w:themeColor="text1"/>
          <w:sz w:val="22"/>
        </w:rPr>
        <w:t xml:space="preserve">, </w:t>
      </w:r>
      <w:r w:rsidRPr="00B00AA2" w:rsidR="00A510F6">
        <w:rPr>
          <w:rFonts w:ascii="Arial" w:hAnsi="Arial" w:eastAsia="Calibri" w:cs="Arial"/>
          <w:color w:val="000000" w:themeColor="text1"/>
          <w:sz w:val="22"/>
        </w:rPr>
        <w:t>2202013000001286</w:t>
      </w:r>
      <w:r w:rsidRPr="00B00AA2" w:rsidR="00BC6C4E">
        <w:rPr>
          <w:rFonts w:ascii="Arial" w:hAnsi="Arial" w:eastAsia="Calibri" w:cs="Arial"/>
          <w:color w:val="000000" w:themeColor="text1"/>
          <w:sz w:val="22"/>
        </w:rPr>
        <w:t>, 4202012000000629</w:t>
      </w:r>
      <w:r w:rsidRPr="00B00AA2" w:rsidR="00483A2F">
        <w:rPr>
          <w:rFonts w:ascii="Arial" w:hAnsi="Arial" w:eastAsia="Calibri" w:cs="Arial"/>
          <w:color w:val="000000" w:themeColor="text1"/>
          <w:sz w:val="22"/>
        </w:rPr>
        <w:t xml:space="preserve">, </w:t>
      </w:r>
      <w:r w:rsidRPr="00B00AA2" w:rsidR="006B6C6A">
        <w:rPr>
          <w:rFonts w:ascii="Arial" w:hAnsi="Arial" w:eastAsia="Calibri" w:cs="Arial"/>
          <w:color w:val="000000" w:themeColor="text1"/>
          <w:sz w:val="22"/>
        </w:rPr>
        <w:t>2202013000001599</w:t>
      </w:r>
      <w:r w:rsidRPr="00B00AA2" w:rsidR="00C1405A">
        <w:rPr>
          <w:rFonts w:ascii="Arial" w:hAnsi="Arial" w:eastAsia="Calibri" w:cs="Arial"/>
          <w:color w:val="000000" w:themeColor="text1"/>
          <w:sz w:val="22"/>
        </w:rPr>
        <w:t xml:space="preserve"> y </w:t>
      </w:r>
      <w:r w:rsidRPr="00B00AA2" w:rsidR="00141C64">
        <w:rPr>
          <w:rFonts w:ascii="Arial" w:hAnsi="Arial" w:eastAsia="Calibri" w:cs="Arial"/>
          <w:color w:val="000000" w:themeColor="text1"/>
          <w:sz w:val="22"/>
        </w:rPr>
        <w:t>2202013000001160</w:t>
      </w:r>
      <w:r w:rsidRPr="00B00AA2" w:rsidR="00B5123E">
        <w:rPr>
          <w:rFonts w:ascii="Arial" w:hAnsi="Arial" w:eastAsia="Calibri" w:cs="Arial"/>
          <w:color w:val="000000" w:themeColor="text1"/>
          <w:sz w:val="22"/>
        </w:rPr>
        <w:t>–</w:t>
      </w:r>
      <w:r w:rsidRPr="00B00AA2" w:rsidR="00B24E57">
        <w:rPr>
          <w:rFonts w:ascii="Arial" w:hAnsi="Arial" w:eastAsia="Calibri" w:cs="Arial"/>
          <w:color w:val="000000" w:themeColor="text1"/>
          <w:sz w:val="22"/>
        </w:rPr>
        <w:t xml:space="preserve">. </w:t>
      </w:r>
      <w:r w:rsidRPr="00B00AA2" w:rsidR="00140E57">
        <w:rPr>
          <w:rFonts w:ascii="Arial" w:hAnsi="Arial" w:eastAsia="Calibri" w:cs="Arial"/>
          <w:color w:val="000000" w:themeColor="text1"/>
          <w:sz w:val="22"/>
        </w:rPr>
        <w:t>Igualmente, en relación con la participación de las entidades sin ánimo de lucro y de reconocida idoneidad «desde ahora ESAL» en este tipo de procesos contractuales, emitió los conceptos del</w:t>
      </w:r>
      <w:r w:rsidRPr="00B00AA2" w:rsidR="00585FB5">
        <w:rPr>
          <w:rFonts w:ascii="Arial" w:hAnsi="Arial" w:eastAsia="Calibri" w:cs="Arial"/>
          <w:color w:val="000000" w:themeColor="text1"/>
          <w:sz w:val="22"/>
        </w:rPr>
        <w:t xml:space="preserve"> 20, 21 y 22 de agosto y el 17 de septiembre de 2019 −radicados Nos. 2201913000006007, 2201913000006081, 2201913000006151 y 2201913000006895−</w:t>
      </w:r>
      <w:r w:rsidRPr="00B00AA2" w:rsidR="00140E57">
        <w:rPr>
          <w:rFonts w:ascii="Arial" w:hAnsi="Arial" w:eastAsia="Calibri" w:cs="Arial"/>
          <w:color w:val="000000" w:themeColor="text1"/>
          <w:sz w:val="22"/>
        </w:rPr>
        <w:t xml:space="preserve">. </w:t>
      </w:r>
      <w:r w:rsidRPr="00B00AA2" w:rsidR="00B24E57">
        <w:rPr>
          <w:rFonts w:ascii="Arial" w:hAnsi="Arial" w:eastAsia="Calibri" w:cs="Arial"/>
          <w:color w:val="000000" w:themeColor="text1"/>
          <w:sz w:val="22"/>
        </w:rPr>
        <w:t>La</w:t>
      </w:r>
      <w:r w:rsidRPr="00B00AA2" w:rsidR="0003091B">
        <w:rPr>
          <w:rFonts w:ascii="Arial" w:hAnsi="Arial" w:eastAsia="Calibri" w:cs="Arial"/>
          <w:color w:val="000000" w:themeColor="text1"/>
          <w:sz w:val="22"/>
        </w:rPr>
        <w:t>s</w:t>
      </w:r>
      <w:r w:rsidRPr="00B00AA2" w:rsidR="00B24E57">
        <w:rPr>
          <w:rFonts w:ascii="Arial" w:hAnsi="Arial" w:eastAsia="Calibri" w:cs="Arial"/>
          <w:color w:val="000000" w:themeColor="text1"/>
          <w:sz w:val="22"/>
        </w:rPr>
        <w:t xml:space="preserve"> tesis </w:t>
      </w:r>
      <w:r w:rsidRPr="00B00AA2" w:rsidR="00AA615B">
        <w:rPr>
          <w:rFonts w:ascii="Arial" w:hAnsi="Arial" w:eastAsia="Calibri" w:cs="Arial"/>
          <w:color w:val="000000" w:themeColor="text1"/>
          <w:sz w:val="22"/>
        </w:rPr>
        <w:t>propuesta</w:t>
      </w:r>
      <w:r w:rsidRPr="00B00AA2" w:rsidR="00DD0E98">
        <w:rPr>
          <w:rFonts w:ascii="Arial" w:hAnsi="Arial" w:eastAsia="Calibri" w:cs="Arial"/>
          <w:color w:val="000000" w:themeColor="text1"/>
          <w:sz w:val="22"/>
        </w:rPr>
        <w:t>s</w:t>
      </w:r>
      <w:r w:rsidRPr="00B00AA2" w:rsidR="00AA615B">
        <w:rPr>
          <w:rFonts w:ascii="Arial" w:hAnsi="Arial" w:eastAsia="Calibri" w:cs="Arial"/>
          <w:color w:val="000000" w:themeColor="text1"/>
          <w:sz w:val="22"/>
        </w:rPr>
        <w:t xml:space="preserve"> se expone</w:t>
      </w:r>
      <w:r w:rsidRPr="00B00AA2" w:rsidR="00DD0E98">
        <w:rPr>
          <w:rFonts w:ascii="Arial" w:hAnsi="Arial" w:eastAsia="Calibri" w:cs="Arial"/>
          <w:color w:val="000000" w:themeColor="text1"/>
          <w:sz w:val="22"/>
        </w:rPr>
        <w:t>n</w:t>
      </w:r>
      <w:r w:rsidRPr="00B00AA2" w:rsidR="00AA615B">
        <w:rPr>
          <w:rFonts w:ascii="Arial" w:hAnsi="Arial" w:eastAsia="Calibri" w:cs="Arial"/>
          <w:color w:val="000000" w:themeColor="text1"/>
          <w:sz w:val="22"/>
        </w:rPr>
        <w:t xml:space="preserve"> a continuación</w:t>
      </w:r>
      <w:r w:rsidRPr="00B00AA2">
        <w:rPr>
          <w:rFonts w:ascii="Arial" w:hAnsi="Arial" w:eastAsia="Calibri" w:cs="Arial"/>
          <w:color w:val="000000" w:themeColor="text1"/>
          <w:sz w:val="22"/>
        </w:rPr>
        <w:t>.</w:t>
      </w:r>
    </w:p>
    <w:p w:rsidRPr="00B00AA2" w:rsidR="00DD0E98" w:rsidP="008C487C" w:rsidRDefault="00DD0E98" w14:paraId="55E3C9FF" w14:textId="1EC9104F">
      <w:pPr>
        <w:spacing w:line="276" w:lineRule="auto"/>
        <w:jc w:val="both"/>
        <w:rPr>
          <w:rFonts w:ascii="Arial" w:hAnsi="Arial" w:eastAsia="Calibri" w:cs="Arial"/>
          <w:color w:val="000000" w:themeColor="text1"/>
          <w:sz w:val="22"/>
        </w:rPr>
      </w:pPr>
    </w:p>
    <w:p w:rsidRPr="00B00AA2" w:rsidR="00DD0E98" w:rsidP="008C487C" w:rsidRDefault="00DD0E98" w14:paraId="228363EB" w14:textId="030B335F">
      <w:pPr>
        <w:spacing w:line="276" w:lineRule="auto"/>
        <w:jc w:val="both"/>
        <w:rPr>
          <w:rFonts w:ascii="Arial" w:hAnsi="Arial" w:eastAsia="Calibri" w:cs="Arial"/>
          <w:b/>
          <w:bCs/>
          <w:color w:val="000000" w:themeColor="text1"/>
          <w:sz w:val="22"/>
        </w:rPr>
      </w:pPr>
      <w:r w:rsidRPr="00B00AA2">
        <w:rPr>
          <w:rFonts w:ascii="Arial" w:hAnsi="Arial" w:eastAsia="Calibri" w:cs="Arial"/>
          <w:b/>
          <w:bCs/>
          <w:color w:val="000000" w:themeColor="text1"/>
          <w:sz w:val="22"/>
        </w:rPr>
        <w:t xml:space="preserve">2.1. Limitación de los procesos contractuales a </w:t>
      </w:r>
      <w:proofErr w:type="spellStart"/>
      <w:r w:rsidRPr="00B00AA2">
        <w:rPr>
          <w:rFonts w:ascii="Arial" w:hAnsi="Arial" w:eastAsia="Calibri" w:cs="Arial"/>
          <w:b/>
          <w:bCs/>
          <w:color w:val="000000" w:themeColor="text1"/>
          <w:sz w:val="22"/>
        </w:rPr>
        <w:t>Mipymes</w:t>
      </w:r>
      <w:proofErr w:type="spellEnd"/>
    </w:p>
    <w:p w:rsidRPr="00B00AA2" w:rsidR="00DD0E98" w:rsidP="008C487C" w:rsidRDefault="00DD0E98" w14:paraId="5FBE6BBF" w14:textId="77777777">
      <w:pPr>
        <w:spacing w:line="276" w:lineRule="auto"/>
        <w:jc w:val="both"/>
        <w:rPr>
          <w:rFonts w:ascii="Arial" w:hAnsi="Arial" w:eastAsia="Calibri" w:cs="Arial"/>
          <w:color w:val="000000" w:themeColor="text1"/>
          <w:sz w:val="22"/>
        </w:rPr>
      </w:pPr>
    </w:p>
    <w:p w:rsidRPr="00B00AA2" w:rsidR="008C487C" w:rsidP="008C487C" w:rsidRDefault="008C487C" w14:paraId="389827ED" w14:textId="77777777">
      <w:pPr>
        <w:spacing w:before="120" w:line="276" w:lineRule="auto"/>
        <w:ind w:firstLine="709"/>
        <w:jc w:val="both"/>
        <w:rPr>
          <w:rFonts w:ascii="Arial" w:hAnsi="Arial" w:cs="Arial"/>
          <w:color w:val="000000" w:themeColor="text1"/>
          <w:sz w:val="22"/>
        </w:rPr>
      </w:pPr>
      <w:r w:rsidRPr="00B00AA2">
        <w:rPr>
          <w:rFonts w:ascii="Arial" w:hAnsi="Arial" w:cs="Arial"/>
          <w:color w:val="000000" w:themeColor="text1"/>
          <w:sz w:val="22"/>
          <w:lang w:val="es-ES"/>
        </w:rPr>
        <w:t xml:space="preserve">Según el artículo 2 de </w:t>
      </w:r>
      <w:r w:rsidRPr="00B00AA2">
        <w:rPr>
          <w:rFonts w:ascii="Arial" w:hAnsi="Arial" w:cs="Arial"/>
          <w:color w:val="000000" w:themeColor="text1"/>
          <w:sz w:val="22"/>
        </w:rPr>
        <w:t>La Ley 905 de 2004</w:t>
      </w:r>
      <w:r w:rsidRPr="00B00AA2">
        <w:rPr>
          <w:rStyle w:val="Refdenotaalpie"/>
          <w:rFonts w:ascii="Arial" w:hAnsi="Arial" w:cs="Arial"/>
          <w:color w:val="000000" w:themeColor="text1"/>
          <w:sz w:val="22"/>
        </w:rPr>
        <w:footnoteReference w:id="1"/>
      </w:r>
      <w:r w:rsidRPr="00B00AA2">
        <w:rPr>
          <w:rFonts w:ascii="Arial" w:hAnsi="Arial" w:cs="Arial"/>
          <w:color w:val="000000" w:themeColor="text1"/>
          <w:sz w:val="22"/>
        </w:rPr>
        <w:t>, que modificó la Ley 590 de 2000, la Micro, Pequeña y Mediana Empresa ─</w:t>
      </w:r>
      <w:proofErr w:type="spellStart"/>
      <w:r w:rsidRPr="00B00AA2">
        <w:rPr>
          <w:rFonts w:ascii="Arial" w:hAnsi="Arial" w:cs="Arial"/>
          <w:color w:val="000000" w:themeColor="text1"/>
          <w:sz w:val="22"/>
        </w:rPr>
        <w:t>Mipyme</w:t>
      </w:r>
      <w:proofErr w:type="spellEnd"/>
      <w:r w:rsidRPr="00B00AA2">
        <w:rPr>
          <w:rFonts w:ascii="Arial" w:hAnsi="Arial" w:cs="Arial"/>
          <w:color w:val="000000" w:themeColor="text1"/>
          <w:sz w:val="22"/>
        </w:rPr>
        <w:t xml:space="preserve">─ es una «unidad de explotación económica, </w:t>
      </w:r>
      <w:r w:rsidRPr="00B00AA2">
        <w:rPr>
          <w:rFonts w:ascii="Arial" w:hAnsi="Arial" w:cs="Arial"/>
          <w:color w:val="000000" w:themeColor="text1"/>
          <w:sz w:val="22"/>
        </w:rPr>
        <w:lastRenderedPageBreak/>
        <w:t xml:space="preserve">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rsidRPr="00B00AA2" w:rsidR="008C487C" w:rsidP="008C487C" w:rsidRDefault="008C487C" w14:paraId="40407289" w14:textId="77777777">
      <w:pPr>
        <w:spacing w:before="120" w:line="276" w:lineRule="auto"/>
        <w:ind w:firstLine="709"/>
        <w:jc w:val="both"/>
        <w:rPr>
          <w:rFonts w:ascii="Arial" w:hAnsi="Arial" w:cs="Arial"/>
          <w:color w:val="000000" w:themeColor="text1"/>
          <w:sz w:val="22"/>
        </w:rPr>
      </w:pPr>
      <w:r w:rsidRPr="00B00AA2">
        <w:rPr>
          <w:rFonts w:ascii="Arial" w:hAnsi="Arial" w:cs="Arial"/>
          <w:color w:val="000000" w:themeColor="text1"/>
          <w:sz w:val="22"/>
        </w:rPr>
        <w:t xml:space="preserve">En ese sentido, la norma dispone que: i) la mediana empresa es aquella que tiene una planta de personal entre 51 y 200 trabajadores o activos totales por un valor entre 100.000 y 610.000 Unidades de valor Tributaria ─UVT─, </w:t>
      </w:r>
      <w:proofErr w:type="spellStart"/>
      <w:r w:rsidRPr="00B00AA2">
        <w:rPr>
          <w:rFonts w:ascii="Arial" w:hAnsi="Arial" w:cs="Arial"/>
          <w:color w:val="000000" w:themeColor="text1"/>
          <w:sz w:val="22"/>
        </w:rPr>
        <w:t>ii</w:t>
      </w:r>
      <w:proofErr w:type="spellEnd"/>
      <w:r w:rsidRPr="00B00AA2">
        <w:rPr>
          <w:rFonts w:ascii="Arial" w:hAnsi="Arial" w:cs="Arial"/>
          <w:color w:val="000000" w:themeColor="text1"/>
          <w:sz w:val="22"/>
        </w:rPr>
        <w:t xml:space="preserve">) la pequeña empresa es aquella que tiene una planta de personal entre 11 y 50 trabajadores o activos totales por un valor entre 501 y 5000 salarios mínimos mensuales legales vigentes, y </w:t>
      </w:r>
      <w:proofErr w:type="spellStart"/>
      <w:r w:rsidRPr="00B00AA2">
        <w:rPr>
          <w:rFonts w:ascii="Arial" w:hAnsi="Arial" w:cs="Arial"/>
          <w:color w:val="000000" w:themeColor="text1"/>
          <w:sz w:val="22"/>
        </w:rPr>
        <w:t>iii</w:t>
      </w:r>
      <w:proofErr w:type="spellEnd"/>
      <w:r w:rsidRPr="00B00AA2">
        <w:rPr>
          <w:rFonts w:ascii="Arial" w:hAnsi="Arial" w:cs="Arial"/>
          <w:color w:val="000000" w:themeColor="text1"/>
          <w:sz w:val="22"/>
        </w:rPr>
        <w:t>) la microempresa es aquella que tiene una planta de personal de 10 trabajadores o menos o activos totales por un valor inferior a 500 salarios mínimos legales mensuales</w:t>
      </w:r>
      <w:r w:rsidRPr="00B00AA2">
        <w:rPr>
          <w:rFonts w:ascii="Arial" w:hAnsi="Arial" w:cs="Arial"/>
          <w:color w:val="000000" w:themeColor="text1"/>
          <w:sz w:val="22"/>
          <w:vertAlign w:val="superscript"/>
        </w:rPr>
        <w:footnoteReference w:id="2"/>
      </w:r>
      <w:r w:rsidRPr="00B00AA2">
        <w:rPr>
          <w:rFonts w:ascii="Arial" w:hAnsi="Arial" w:cs="Arial"/>
          <w:color w:val="000000" w:themeColor="text1"/>
          <w:sz w:val="22"/>
        </w:rPr>
        <w:t>.</w:t>
      </w:r>
    </w:p>
    <w:p w:rsidRPr="00B00AA2" w:rsidR="008C487C" w:rsidP="008C487C" w:rsidRDefault="008C487C" w14:paraId="0376B788" w14:textId="77777777">
      <w:pPr>
        <w:spacing w:before="120" w:line="276" w:lineRule="auto"/>
        <w:ind w:firstLine="709"/>
        <w:jc w:val="both"/>
        <w:rPr>
          <w:rFonts w:ascii="Arial" w:hAnsi="Arial" w:cs="Arial"/>
          <w:color w:val="000000" w:themeColor="text1"/>
          <w:sz w:val="22"/>
        </w:rPr>
      </w:pPr>
      <w:r w:rsidRPr="00B00AA2">
        <w:rPr>
          <w:rFonts w:ascii="Arial" w:hAnsi="Arial" w:cs="Arial"/>
          <w:color w:val="000000" w:themeColor="text1"/>
          <w:sz w:val="22"/>
        </w:rPr>
        <w:t xml:space="preserve">Por otro lado, el numeral 4º del artículo 12 de la Ley 590 de 2000 estableció que las entidades públicas deben preferir, en condiciones de igual precio, calidad y capacidad de suministros, a las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en las adquisiciones necesarias para su funcionamiento</w:t>
      </w:r>
      <w:r w:rsidRPr="00B00AA2">
        <w:rPr>
          <w:rStyle w:val="Refdenotaalpie"/>
          <w:rFonts w:ascii="Arial" w:hAnsi="Arial" w:cs="Arial"/>
          <w:color w:val="000000" w:themeColor="text1"/>
          <w:sz w:val="22"/>
        </w:rPr>
        <w:footnoteReference w:id="3"/>
      </w:r>
      <w:r w:rsidRPr="00B00AA2">
        <w:rPr>
          <w:rFonts w:ascii="Arial" w:hAnsi="Arial" w:cs="Arial"/>
          <w:color w:val="000000" w:themeColor="text1"/>
          <w:sz w:val="22"/>
        </w:rPr>
        <w:t>.</w:t>
      </w:r>
    </w:p>
    <w:p w:rsidRPr="00B00AA2" w:rsidR="008C487C" w:rsidP="008C487C" w:rsidRDefault="008C487C" w14:paraId="7C6B9400" w14:textId="77777777">
      <w:pPr>
        <w:spacing w:before="120" w:line="276" w:lineRule="auto"/>
        <w:ind w:firstLine="709"/>
        <w:jc w:val="both"/>
        <w:rPr>
          <w:rFonts w:ascii="Arial" w:hAnsi="Arial" w:cs="Arial"/>
          <w:color w:val="000000" w:themeColor="text1"/>
          <w:sz w:val="22"/>
        </w:rPr>
      </w:pPr>
      <w:r w:rsidRPr="00B00AA2">
        <w:rPr>
          <w:rFonts w:ascii="Arial" w:hAnsi="Arial" w:cs="Arial"/>
          <w:color w:val="000000" w:themeColor="text1"/>
          <w:sz w:val="22"/>
        </w:rPr>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rsidRPr="00B00AA2" w:rsidR="008C487C" w:rsidP="008C487C" w:rsidRDefault="008C487C" w14:paraId="4619BBA9" w14:textId="77777777">
      <w:pPr>
        <w:spacing w:before="120" w:line="276" w:lineRule="auto"/>
        <w:ind w:firstLine="709"/>
        <w:jc w:val="both"/>
        <w:rPr>
          <w:rFonts w:ascii="Arial" w:hAnsi="Arial" w:cs="Arial"/>
          <w:color w:val="000000" w:themeColor="text1"/>
          <w:sz w:val="22"/>
        </w:rPr>
      </w:pPr>
      <w:r w:rsidRPr="00B00AA2">
        <w:rPr>
          <w:rFonts w:ascii="Arial" w:hAnsi="Arial" w:cs="Arial"/>
          <w:color w:val="000000" w:themeColor="text1"/>
          <w:sz w:val="22"/>
        </w:rPr>
        <w:t>Al respecto, el Consejo de Estado, Sala de lo Contencioso Administrativo, Sección Tercera, Subsección C, mediante sentencia con número de expediente 40.743, del 23 de mayo de 2012</w:t>
      </w:r>
      <w:r w:rsidRPr="00B00AA2">
        <w:rPr>
          <w:rStyle w:val="Refdenotaalpie"/>
          <w:rFonts w:ascii="Arial" w:hAnsi="Arial" w:cs="Arial"/>
          <w:color w:val="000000" w:themeColor="text1"/>
          <w:sz w:val="22"/>
        </w:rPr>
        <w:footnoteReference w:id="4"/>
      </w:r>
      <w:r w:rsidRPr="00B00AA2">
        <w:rPr>
          <w:rFonts w:ascii="Arial" w:hAnsi="Arial" w:cs="Arial"/>
          <w:color w:val="000000" w:themeColor="text1"/>
          <w:sz w:val="22"/>
        </w:rPr>
        <w:t xml:space="preserve">, con ponencia del Magistrado Enrique Gil Botero, destacó que las entidades </w:t>
      </w:r>
      <w:r w:rsidRPr="00B00AA2">
        <w:rPr>
          <w:rFonts w:ascii="Arial" w:hAnsi="Arial" w:cs="Arial"/>
          <w:color w:val="000000" w:themeColor="text1"/>
          <w:sz w:val="22"/>
        </w:rPr>
        <w:lastRenderedPageBreak/>
        <w:t xml:space="preserve">públicas deben, por un lado, promocionar e incrementar, conforme con su presupuesto, la participación de las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rsidRPr="00B00AA2" w:rsidR="008C487C" w:rsidP="008C487C" w:rsidRDefault="008C487C" w14:paraId="64411F61" w14:textId="77777777">
      <w:pPr>
        <w:spacing w:before="120" w:line="276" w:lineRule="auto"/>
        <w:ind w:firstLine="709"/>
        <w:jc w:val="both"/>
        <w:rPr>
          <w:rFonts w:ascii="Arial" w:hAnsi="Arial" w:cs="Arial"/>
          <w:color w:val="000000" w:themeColor="text1"/>
          <w:sz w:val="22"/>
        </w:rPr>
      </w:pPr>
      <w:r w:rsidRPr="00B00AA2">
        <w:rPr>
          <w:rFonts w:ascii="Arial" w:hAnsi="Arial" w:cs="Arial"/>
          <w:color w:val="000000" w:themeColor="text1"/>
          <w:sz w:val="22"/>
        </w:rPr>
        <w:t xml:space="preserve">Junto con la promoción dispuesta en la Ley 590 de 2000 se encuentra el articulo 12 la Ley 1150 de 2007, modificado por el artículo 32 de la Ley 1450 de 2011, que estableció las convocatorias limitadas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en contratación pública, en los siguientes términos:</w:t>
      </w:r>
    </w:p>
    <w:p w:rsidRPr="00B00AA2" w:rsidR="008C487C" w:rsidP="008C487C" w:rsidRDefault="008C487C" w14:paraId="315DB60A" w14:textId="77777777">
      <w:pPr>
        <w:jc w:val="both"/>
        <w:rPr>
          <w:rFonts w:ascii="Arial" w:hAnsi="Arial" w:cs="Arial"/>
          <w:color w:val="000000" w:themeColor="text1"/>
          <w:sz w:val="22"/>
        </w:rPr>
      </w:pPr>
    </w:p>
    <w:p w:rsidRPr="00B00AA2" w:rsidR="008C487C" w:rsidP="008C487C" w:rsidRDefault="008C487C" w14:paraId="731D6363" w14:textId="77777777">
      <w:pPr>
        <w:ind w:left="709" w:right="709"/>
        <w:jc w:val="both"/>
        <w:rPr>
          <w:rFonts w:ascii="Arial" w:hAnsi="Arial" w:cs="Arial"/>
          <w:color w:val="000000" w:themeColor="text1"/>
          <w:sz w:val="21"/>
          <w:szCs w:val="21"/>
        </w:rPr>
      </w:pPr>
      <w:r w:rsidRPr="00B00AA2">
        <w:rPr>
          <w:rFonts w:ascii="Arial" w:hAnsi="Arial" w:cs="Arial"/>
          <w:color w:val="000000" w:themeColor="text1"/>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B00AA2">
        <w:rPr>
          <w:rFonts w:ascii="Arial" w:hAnsi="Arial" w:cs="Arial"/>
          <w:i/>
          <w:iCs/>
          <w:color w:val="000000" w:themeColor="text1"/>
          <w:sz w:val="21"/>
          <w:szCs w:val="21"/>
        </w:rPr>
        <w:t xml:space="preserve">las entidades estatales adopten en beneficio de las </w:t>
      </w:r>
      <w:proofErr w:type="spellStart"/>
      <w:r w:rsidRPr="00B00AA2">
        <w:rPr>
          <w:rFonts w:ascii="Arial" w:hAnsi="Arial" w:cs="Arial"/>
          <w:i/>
          <w:iCs/>
          <w:color w:val="000000" w:themeColor="text1"/>
          <w:sz w:val="21"/>
          <w:szCs w:val="21"/>
        </w:rPr>
        <w:t>Mipymes</w:t>
      </w:r>
      <w:proofErr w:type="spellEnd"/>
      <w:r w:rsidRPr="00B00AA2">
        <w:rPr>
          <w:rFonts w:ascii="Arial" w:hAnsi="Arial" w:cs="Arial"/>
          <w:i/>
          <w:iCs/>
          <w:color w:val="000000" w:themeColor="text1"/>
          <w:sz w:val="21"/>
          <w:szCs w:val="21"/>
        </w:rPr>
        <w:t xml:space="preserve">, convocatorias limitadas a estas en las que, previo a la Resolución de apertura del proceso respectivo, se haya manifestado el interés del número plural de </w:t>
      </w:r>
      <w:proofErr w:type="spellStart"/>
      <w:r w:rsidRPr="00B00AA2">
        <w:rPr>
          <w:rFonts w:ascii="Arial" w:hAnsi="Arial" w:cs="Arial"/>
          <w:i/>
          <w:iCs/>
          <w:color w:val="000000" w:themeColor="text1"/>
          <w:sz w:val="21"/>
          <w:szCs w:val="21"/>
        </w:rPr>
        <w:t>Mipymes</w:t>
      </w:r>
      <w:proofErr w:type="spellEnd"/>
      <w:r w:rsidRPr="00B00AA2">
        <w:rPr>
          <w:rFonts w:ascii="Arial" w:hAnsi="Arial" w:cs="Arial"/>
          <w:i/>
          <w:iCs/>
          <w:color w:val="000000" w:themeColor="text1"/>
          <w:sz w:val="21"/>
          <w:szCs w:val="21"/>
        </w:rPr>
        <w:t xml:space="preserve"> que haya sido determinado en el reglamento</w:t>
      </w:r>
      <w:r w:rsidRPr="00B00AA2">
        <w:rPr>
          <w:rFonts w:ascii="Arial" w:hAnsi="Arial" w:cs="Arial"/>
          <w:color w:val="000000" w:themeColor="text1"/>
          <w:sz w:val="21"/>
          <w:szCs w:val="21"/>
        </w:rPr>
        <w:t>.</w:t>
      </w:r>
    </w:p>
    <w:p w:rsidRPr="00B00AA2" w:rsidR="008C487C" w:rsidP="008C487C" w:rsidRDefault="008C487C" w14:paraId="497AD14A" w14:textId="77777777">
      <w:pPr>
        <w:ind w:left="709" w:right="709"/>
        <w:jc w:val="both"/>
        <w:rPr>
          <w:rFonts w:ascii="Arial" w:hAnsi="Arial" w:cs="Arial"/>
          <w:color w:val="000000" w:themeColor="text1"/>
          <w:sz w:val="21"/>
          <w:szCs w:val="21"/>
        </w:rPr>
      </w:pPr>
    </w:p>
    <w:p w:rsidRPr="00B00AA2" w:rsidR="008C487C" w:rsidP="008C487C" w:rsidRDefault="008C487C" w14:paraId="07BBD555" w14:textId="77777777">
      <w:pPr>
        <w:ind w:left="709" w:right="709"/>
        <w:jc w:val="both"/>
        <w:rPr>
          <w:rFonts w:ascii="Arial" w:hAnsi="Arial" w:cs="Arial"/>
          <w:color w:val="000000" w:themeColor="text1"/>
          <w:sz w:val="21"/>
          <w:szCs w:val="21"/>
        </w:rPr>
      </w:pPr>
      <w:r w:rsidRPr="00B00AA2">
        <w:rPr>
          <w:rFonts w:ascii="Arial" w:hAnsi="Arial" w:cs="Arial"/>
          <w:color w:val="000000" w:themeColor="text1"/>
          <w:sz w:val="21"/>
          <w:szCs w:val="21"/>
        </w:rPr>
        <w:t xml:space="preserve">Asimismo, el reglamento podrá establecer condiciones preferenciales en favor de la oferta de bienes y servicios producidos por las </w:t>
      </w:r>
      <w:proofErr w:type="spellStart"/>
      <w:r w:rsidRPr="00B00AA2">
        <w:rPr>
          <w:rFonts w:ascii="Arial" w:hAnsi="Arial" w:cs="Arial"/>
          <w:color w:val="000000" w:themeColor="text1"/>
          <w:sz w:val="21"/>
          <w:szCs w:val="21"/>
        </w:rPr>
        <w:t>Mipymes</w:t>
      </w:r>
      <w:proofErr w:type="spellEnd"/>
      <w:r w:rsidRPr="00B00AA2">
        <w:rPr>
          <w:rFonts w:ascii="Arial" w:hAnsi="Arial" w:cs="Arial"/>
          <w:color w:val="000000" w:themeColor="text1"/>
          <w:sz w:val="21"/>
          <w:szCs w:val="21"/>
        </w:rPr>
        <w:t>, respetando los montos y las condiciones contenidas en los compromisos internacionales vigentes.</w:t>
      </w:r>
    </w:p>
    <w:p w:rsidRPr="00B00AA2" w:rsidR="008C487C" w:rsidP="008C487C" w:rsidRDefault="008C487C" w14:paraId="4BF3E25D" w14:textId="77777777">
      <w:pPr>
        <w:ind w:left="709" w:right="709"/>
        <w:jc w:val="both"/>
        <w:rPr>
          <w:rFonts w:ascii="Arial" w:hAnsi="Arial" w:cs="Arial"/>
          <w:color w:val="000000" w:themeColor="text1"/>
          <w:sz w:val="21"/>
          <w:szCs w:val="21"/>
        </w:rPr>
      </w:pPr>
    </w:p>
    <w:p w:rsidRPr="00B00AA2" w:rsidR="008C487C" w:rsidP="008C487C" w:rsidRDefault="008C487C" w14:paraId="663FE45F" w14:textId="77777777">
      <w:pPr>
        <w:ind w:left="709" w:right="709"/>
        <w:jc w:val="both"/>
        <w:rPr>
          <w:rFonts w:ascii="Arial" w:hAnsi="Arial" w:cs="Arial"/>
          <w:color w:val="000000" w:themeColor="text1"/>
          <w:sz w:val="21"/>
          <w:szCs w:val="21"/>
        </w:rPr>
      </w:pPr>
      <w:r w:rsidRPr="00B00AA2">
        <w:rPr>
          <w:rFonts w:ascii="Arial" w:hAnsi="Arial" w:cs="Arial"/>
          <w:color w:val="000000" w:themeColor="text1"/>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rsidRPr="00B00AA2" w:rsidR="008C487C" w:rsidP="008C487C" w:rsidRDefault="008C487C" w14:paraId="3C290181" w14:textId="77777777">
      <w:pPr>
        <w:ind w:left="709" w:right="709"/>
        <w:jc w:val="both"/>
        <w:rPr>
          <w:rFonts w:ascii="Arial" w:hAnsi="Arial" w:cs="Arial"/>
          <w:color w:val="000000" w:themeColor="text1"/>
          <w:sz w:val="21"/>
          <w:szCs w:val="21"/>
        </w:rPr>
      </w:pPr>
    </w:p>
    <w:p w:rsidRPr="00B00AA2" w:rsidR="008C487C" w:rsidP="008C487C" w:rsidRDefault="008C487C" w14:paraId="0C2B8869" w14:textId="77777777">
      <w:pPr>
        <w:ind w:left="709" w:right="709"/>
        <w:jc w:val="both"/>
        <w:rPr>
          <w:rFonts w:ascii="Arial" w:hAnsi="Arial" w:cs="Arial"/>
          <w:color w:val="000000" w:themeColor="text1"/>
          <w:sz w:val="21"/>
          <w:szCs w:val="21"/>
        </w:rPr>
      </w:pPr>
      <w:r w:rsidRPr="00B00AA2">
        <w:rPr>
          <w:rFonts w:ascii="Arial" w:hAnsi="Arial" w:cs="Arial"/>
          <w:color w:val="000000" w:themeColor="text1"/>
          <w:sz w:val="21"/>
          <w:szCs w:val="21"/>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rsidRPr="00B00AA2" w:rsidR="008C487C" w:rsidP="008C487C" w:rsidRDefault="008C487C" w14:paraId="7D1CCFC0" w14:textId="77777777">
      <w:pPr>
        <w:ind w:left="709" w:right="709"/>
        <w:jc w:val="both"/>
        <w:rPr>
          <w:rFonts w:ascii="Arial" w:hAnsi="Arial" w:cs="Arial"/>
          <w:color w:val="000000" w:themeColor="text1"/>
          <w:sz w:val="21"/>
          <w:szCs w:val="21"/>
        </w:rPr>
      </w:pPr>
    </w:p>
    <w:p w:rsidRPr="00B00AA2" w:rsidR="008C487C" w:rsidP="008C487C" w:rsidRDefault="008C487C" w14:paraId="555AEE03" w14:textId="77777777">
      <w:pPr>
        <w:ind w:left="709" w:right="709"/>
        <w:jc w:val="both"/>
        <w:rPr>
          <w:rFonts w:ascii="Arial" w:hAnsi="Arial" w:cs="Arial"/>
          <w:color w:val="000000" w:themeColor="text1"/>
          <w:sz w:val="21"/>
          <w:szCs w:val="21"/>
        </w:rPr>
      </w:pPr>
      <w:r w:rsidRPr="00B00AA2">
        <w:rPr>
          <w:rFonts w:ascii="Arial" w:hAnsi="Arial" w:cs="Arial"/>
          <w:color w:val="000000" w:themeColor="text1"/>
          <w:sz w:val="21"/>
          <w:szCs w:val="21"/>
        </w:rPr>
        <w:t xml:space="preserve">PARÁGRAFO 1o. En los procesos de selección que se desarrollen con base en el primer inciso, las entidades podrán realizar las convocatorias limitadas que </w:t>
      </w:r>
      <w:r w:rsidRPr="00B00AA2">
        <w:rPr>
          <w:rFonts w:ascii="Arial" w:hAnsi="Arial" w:cs="Arial"/>
          <w:color w:val="000000" w:themeColor="text1"/>
          <w:sz w:val="21"/>
          <w:szCs w:val="21"/>
        </w:rPr>
        <w:lastRenderedPageBreak/>
        <w:t xml:space="preserve">beneficien a las </w:t>
      </w:r>
      <w:proofErr w:type="spellStart"/>
      <w:r w:rsidRPr="00B00AA2">
        <w:rPr>
          <w:rFonts w:ascii="Arial" w:hAnsi="Arial" w:cs="Arial"/>
          <w:color w:val="000000" w:themeColor="text1"/>
          <w:sz w:val="21"/>
          <w:szCs w:val="21"/>
        </w:rPr>
        <w:t>Mipymes</w:t>
      </w:r>
      <w:proofErr w:type="spellEnd"/>
      <w:r w:rsidRPr="00B00AA2">
        <w:rPr>
          <w:rFonts w:ascii="Arial" w:hAnsi="Arial" w:cs="Arial"/>
          <w:color w:val="000000" w:themeColor="text1"/>
          <w:sz w:val="21"/>
          <w:szCs w:val="21"/>
        </w:rPr>
        <w:t xml:space="preserve"> del ámbito municipal o departamental correspondiente al de la ejecución del contrato.</w:t>
      </w:r>
    </w:p>
    <w:p w:rsidRPr="00B00AA2" w:rsidR="008C487C" w:rsidP="008C487C" w:rsidRDefault="008C487C" w14:paraId="1C69CD45" w14:textId="77777777">
      <w:pPr>
        <w:ind w:left="709" w:right="709"/>
        <w:jc w:val="both"/>
        <w:rPr>
          <w:rFonts w:ascii="Arial" w:hAnsi="Arial" w:cs="Arial"/>
          <w:color w:val="000000" w:themeColor="text1"/>
          <w:sz w:val="21"/>
          <w:szCs w:val="21"/>
        </w:rPr>
      </w:pPr>
    </w:p>
    <w:p w:rsidRPr="00B00AA2" w:rsidR="008C487C" w:rsidP="008C487C" w:rsidRDefault="008C487C" w14:paraId="21F4A44A" w14:textId="77777777">
      <w:pPr>
        <w:ind w:left="709" w:right="709"/>
        <w:jc w:val="both"/>
        <w:rPr>
          <w:rFonts w:ascii="Arial" w:hAnsi="Arial" w:cs="Arial"/>
          <w:color w:val="000000" w:themeColor="text1"/>
          <w:sz w:val="21"/>
          <w:szCs w:val="21"/>
        </w:rPr>
      </w:pPr>
      <w:r w:rsidRPr="00B00AA2">
        <w:rPr>
          <w:rFonts w:ascii="Arial" w:hAnsi="Arial" w:cs="Arial"/>
          <w:color w:val="000000" w:themeColor="text1"/>
          <w:sz w:val="21"/>
          <w:szCs w:val="21"/>
        </w:rPr>
        <w:t xml:space="preserve">PARÁGRAFO 2o. Sin perjuicio de lo dispuesto en los artículos 5 y 6 de la Ley 1150 de 2007, para que las </w:t>
      </w:r>
      <w:proofErr w:type="spellStart"/>
      <w:r w:rsidRPr="00B00AA2">
        <w:rPr>
          <w:rFonts w:ascii="Arial" w:hAnsi="Arial" w:cs="Arial"/>
          <w:color w:val="000000" w:themeColor="text1"/>
          <w:sz w:val="21"/>
          <w:szCs w:val="21"/>
        </w:rPr>
        <w:t>Mipymes</w:t>
      </w:r>
      <w:proofErr w:type="spellEnd"/>
      <w:r w:rsidRPr="00B00AA2">
        <w:rPr>
          <w:rFonts w:ascii="Arial" w:hAnsi="Arial" w:cs="Arial"/>
          <w:color w:val="000000" w:themeColor="text1"/>
          <w:sz w:val="21"/>
          <w:szCs w:val="21"/>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rsidRPr="00B00AA2" w:rsidR="008C487C" w:rsidP="008C487C" w:rsidRDefault="008C487C" w14:paraId="414F64A7" w14:textId="77777777">
      <w:pPr>
        <w:ind w:left="709" w:right="709"/>
        <w:jc w:val="both"/>
        <w:rPr>
          <w:rFonts w:ascii="Arial" w:hAnsi="Arial" w:cs="Arial"/>
          <w:color w:val="000000" w:themeColor="text1"/>
          <w:sz w:val="21"/>
          <w:szCs w:val="21"/>
        </w:rPr>
      </w:pPr>
    </w:p>
    <w:p w:rsidRPr="00B00AA2" w:rsidR="008C487C" w:rsidP="008C487C" w:rsidRDefault="008C487C" w14:paraId="1DD5363C" w14:textId="1DD7052E">
      <w:pPr>
        <w:ind w:left="709" w:right="709"/>
        <w:jc w:val="both"/>
        <w:rPr>
          <w:rFonts w:ascii="Arial" w:hAnsi="Arial" w:cs="Arial"/>
          <w:color w:val="000000" w:themeColor="text1"/>
          <w:sz w:val="21"/>
          <w:szCs w:val="21"/>
        </w:rPr>
      </w:pPr>
      <w:r w:rsidRPr="00B00AA2">
        <w:rPr>
          <w:rFonts w:ascii="Arial" w:hAnsi="Arial" w:cs="Arial"/>
          <w:color w:val="000000" w:themeColor="text1"/>
          <w:sz w:val="21"/>
          <w:szCs w:val="21"/>
        </w:rPr>
        <w:t>PARÁGRAFO 3o. En la ejecución de los contratos a que se refiere el presente artículo, las entidades y los contratistas, deberán observar lo dispuesto en los artículos 90 a 95 de la Ley 418 de 1997 y las normas que la modifiquen, adicionen o subroguen</w:t>
      </w:r>
      <w:r w:rsidRPr="00B00AA2" w:rsidR="006818B6">
        <w:rPr>
          <w:rFonts w:ascii="Arial" w:hAnsi="Arial" w:cs="Arial"/>
          <w:color w:val="000000" w:themeColor="text1"/>
          <w:sz w:val="21"/>
          <w:szCs w:val="21"/>
        </w:rPr>
        <w:t xml:space="preserve"> (Cursivas fuera de texto)</w:t>
      </w:r>
      <w:r w:rsidRPr="00B00AA2" w:rsidR="00F710C6">
        <w:rPr>
          <w:rFonts w:ascii="Arial" w:hAnsi="Arial" w:cs="Arial"/>
          <w:color w:val="000000" w:themeColor="text1"/>
          <w:sz w:val="21"/>
          <w:szCs w:val="21"/>
        </w:rPr>
        <w:t>.</w:t>
      </w:r>
    </w:p>
    <w:p w:rsidRPr="00B00AA2" w:rsidR="008C487C" w:rsidP="008C487C" w:rsidRDefault="008C487C" w14:paraId="178E4DED" w14:textId="77777777">
      <w:pPr>
        <w:jc w:val="both"/>
        <w:rPr>
          <w:rFonts w:ascii="Arial" w:hAnsi="Arial" w:cs="Arial"/>
          <w:color w:val="000000" w:themeColor="text1"/>
          <w:sz w:val="22"/>
        </w:rPr>
      </w:pPr>
    </w:p>
    <w:p w:rsidRPr="00B00AA2" w:rsidR="008C487C" w:rsidP="00882ABB" w:rsidRDefault="008C487C" w14:paraId="4950446E" w14:textId="77777777">
      <w:pPr>
        <w:spacing w:line="276" w:lineRule="auto"/>
        <w:ind w:firstLine="709"/>
        <w:jc w:val="both"/>
        <w:rPr>
          <w:rFonts w:ascii="Arial" w:hAnsi="Arial" w:eastAsia="Calibri" w:cs="Arial"/>
          <w:color w:val="000000" w:themeColor="text1"/>
          <w:sz w:val="22"/>
        </w:rPr>
      </w:pPr>
      <w:r w:rsidRPr="00B00AA2">
        <w:rPr>
          <w:rFonts w:ascii="Arial" w:hAnsi="Arial" w:cs="Arial"/>
          <w:color w:val="000000" w:themeColor="text1"/>
          <w:sz w:val="22"/>
        </w:rPr>
        <w:t>L</w:t>
      </w:r>
      <w:r w:rsidRPr="00B00AA2">
        <w:rPr>
          <w:rFonts w:ascii="Arial" w:hAnsi="Arial" w:eastAsia="Calibri" w:cs="Arial"/>
          <w:color w:val="000000" w:themeColor="text1"/>
          <w:sz w:val="22"/>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rsidRPr="00B00AA2" w:rsidR="008C487C" w:rsidP="008C487C" w:rsidRDefault="008C487C" w14:paraId="275E06CE" w14:textId="77777777">
      <w:pPr>
        <w:spacing w:before="120" w:line="276" w:lineRule="auto"/>
        <w:ind w:firstLine="709"/>
        <w:jc w:val="both"/>
        <w:rPr>
          <w:rFonts w:ascii="Arial" w:hAnsi="Arial" w:cs="Arial"/>
          <w:color w:val="000000" w:themeColor="text1"/>
          <w:sz w:val="22"/>
        </w:rPr>
      </w:pPr>
      <w:r w:rsidRPr="00B00AA2">
        <w:rPr>
          <w:rFonts w:ascii="Arial" w:hAnsi="Arial" w:cs="Arial"/>
          <w:color w:val="000000" w:themeColor="text1"/>
          <w:sz w:val="22"/>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y la </w:t>
      </w:r>
      <w:r w:rsidRPr="00B00AA2">
        <w:rPr>
          <w:rFonts w:ascii="Arial" w:hAnsi="Arial" w:cs="Arial"/>
          <w:color w:val="000000" w:themeColor="text1"/>
          <w:sz w:val="22"/>
          <w:lang w:val="es-CO"/>
        </w:rPr>
        <w:t xml:space="preserve">«limitación territorial» a </w:t>
      </w:r>
      <w:proofErr w:type="spellStart"/>
      <w:r w:rsidRPr="00B00AA2">
        <w:rPr>
          <w:rFonts w:ascii="Arial" w:hAnsi="Arial" w:cs="Arial"/>
          <w:color w:val="000000" w:themeColor="text1"/>
          <w:sz w:val="22"/>
          <w:lang w:val="es-CO"/>
        </w:rPr>
        <w:t>Mipymes</w:t>
      </w:r>
      <w:proofErr w:type="spellEnd"/>
      <w:r w:rsidRPr="00B00AA2">
        <w:rPr>
          <w:rFonts w:ascii="Arial" w:hAnsi="Arial" w:cs="Arial"/>
          <w:color w:val="000000" w:themeColor="text1"/>
          <w:sz w:val="22"/>
        </w:rPr>
        <w:t xml:space="preserve">, contenidas, respectivamente, en los artículos 2.2.1.2.4.2.2. y </w:t>
      </w:r>
      <w:r w:rsidRPr="00B00AA2">
        <w:rPr>
          <w:rFonts w:ascii="Arial" w:hAnsi="Arial" w:cs="Arial"/>
          <w:color w:val="000000" w:themeColor="text1"/>
          <w:sz w:val="22"/>
          <w:lang w:val="es-CO"/>
        </w:rPr>
        <w:t xml:space="preserve">2.2.1.2.4.2.3. </w:t>
      </w:r>
      <w:r w:rsidRPr="00B00AA2">
        <w:rPr>
          <w:rFonts w:ascii="Arial" w:hAnsi="Arial" w:cs="Arial"/>
          <w:color w:val="000000" w:themeColor="text1"/>
          <w:sz w:val="22"/>
        </w:rPr>
        <w:t>Este último dice lo siguiente:</w:t>
      </w:r>
    </w:p>
    <w:p w:rsidRPr="00B00AA2" w:rsidR="008C487C" w:rsidP="008C487C" w:rsidRDefault="008C487C" w14:paraId="5D37D451" w14:textId="77777777">
      <w:pPr>
        <w:ind w:firstLine="709"/>
        <w:jc w:val="both"/>
        <w:rPr>
          <w:rFonts w:ascii="Arial" w:hAnsi="Arial" w:cs="Arial"/>
          <w:color w:val="000000" w:themeColor="text1"/>
          <w:sz w:val="22"/>
        </w:rPr>
      </w:pPr>
    </w:p>
    <w:p w:rsidRPr="00B00AA2" w:rsidR="008C487C" w:rsidP="008C487C" w:rsidRDefault="008C487C" w14:paraId="41D90C34" w14:textId="77777777">
      <w:pPr>
        <w:ind w:left="709" w:right="760"/>
        <w:jc w:val="both"/>
        <w:rPr>
          <w:rFonts w:ascii="Arial" w:hAnsi="Arial" w:cs="Arial"/>
          <w:color w:val="000000" w:themeColor="text1"/>
          <w:sz w:val="21"/>
          <w:szCs w:val="21"/>
        </w:rPr>
      </w:pPr>
      <w:r w:rsidRPr="00B00AA2">
        <w:rPr>
          <w:rFonts w:ascii="Arial" w:hAnsi="Arial" w:cs="Arial"/>
          <w:color w:val="000000" w:themeColor="text1"/>
          <w:sz w:val="21"/>
          <w:szCs w:val="21"/>
          <w:lang w:val="es-CO"/>
        </w:rPr>
        <w:t xml:space="preserve">Las Entidades Estatales pueden realizar convocatorias limitadas a </w:t>
      </w:r>
      <w:proofErr w:type="spellStart"/>
      <w:r w:rsidRPr="00B00AA2">
        <w:rPr>
          <w:rFonts w:ascii="Arial" w:hAnsi="Arial" w:cs="Arial"/>
          <w:color w:val="000000" w:themeColor="text1"/>
          <w:sz w:val="21"/>
          <w:szCs w:val="21"/>
          <w:lang w:val="es-CO"/>
        </w:rPr>
        <w:t>Mipyme</w:t>
      </w:r>
      <w:proofErr w:type="spellEnd"/>
      <w:r w:rsidRPr="00B00AA2">
        <w:rPr>
          <w:rFonts w:ascii="Arial" w:hAnsi="Arial" w:cs="Arial"/>
          <w:color w:val="000000" w:themeColor="text1"/>
          <w:sz w:val="21"/>
          <w:szCs w:val="21"/>
          <w:lang w:val="es-CO"/>
        </w:rPr>
        <w:t xml:space="preserve"> nacionales domiciliadas en los departamentos o municipios en donde se va a ejecutar el contrato. La </w:t>
      </w:r>
      <w:proofErr w:type="spellStart"/>
      <w:r w:rsidRPr="00B00AA2">
        <w:rPr>
          <w:rFonts w:ascii="Arial" w:hAnsi="Arial" w:cs="Arial"/>
          <w:color w:val="000000" w:themeColor="text1"/>
          <w:sz w:val="21"/>
          <w:szCs w:val="21"/>
          <w:lang w:val="es-CO"/>
        </w:rPr>
        <w:t>Mipyme</w:t>
      </w:r>
      <w:proofErr w:type="spellEnd"/>
      <w:r w:rsidRPr="00B00AA2">
        <w:rPr>
          <w:rFonts w:ascii="Arial" w:hAnsi="Arial" w:cs="Arial"/>
          <w:color w:val="000000" w:themeColor="text1"/>
          <w:sz w:val="21"/>
          <w:szCs w:val="21"/>
          <w:lang w:val="es-CO"/>
        </w:rPr>
        <w:t xml:space="preserve"> debe acreditar su domicilio con el registro mercantil o el certificado de existencia y representación legal de la empresa.</w:t>
      </w:r>
    </w:p>
    <w:p w:rsidRPr="00B00AA2" w:rsidR="008C487C" w:rsidP="008C487C" w:rsidRDefault="008C487C" w14:paraId="3EB60C7E" w14:textId="77777777">
      <w:pPr>
        <w:ind w:left="709" w:right="760"/>
        <w:jc w:val="both"/>
        <w:rPr>
          <w:rFonts w:ascii="Arial" w:hAnsi="Arial" w:cs="Arial"/>
          <w:color w:val="000000" w:themeColor="text1"/>
          <w:sz w:val="21"/>
          <w:szCs w:val="21"/>
        </w:rPr>
      </w:pPr>
    </w:p>
    <w:p w:rsidRPr="00B00AA2" w:rsidR="008C487C" w:rsidP="008C487C" w:rsidRDefault="008C487C" w14:paraId="690A234D" w14:textId="77777777">
      <w:pPr>
        <w:ind w:right="760"/>
        <w:jc w:val="both"/>
        <w:rPr>
          <w:rFonts w:ascii="Arial" w:hAnsi="Arial" w:cs="Arial"/>
          <w:color w:val="000000" w:themeColor="text1"/>
          <w:sz w:val="22"/>
        </w:rPr>
      </w:pPr>
      <w:r w:rsidRPr="00B00AA2">
        <w:rPr>
          <w:rFonts w:ascii="Arial" w:hAnsi="Arial" w:cs="Arial"/>
          <w:color w:val="000000" w:themeColor="text1"/>
          <w:sz w:val="22"/>
        </w:rPr>
        <w:t>El artículo 2.2.1.2.4.2.2., por su parte, es del siguiente tenor:</w:t>
      </w:r>
    </w:p>
    <w:p w:rsidRPr="00B00AA2" w:rsidR="008C487C" w:rsidP="008C487C" w:rsidRDefault="008C487C" w14:paraId="44F91F88" w14:textId="77777777">
      <w:pPr>
        <w:ind w:left="709" w:right="760"/>
        <w:jc w:val="both"/>
        <w:rPr>
          <w:rFonts w:ascii="Arial" w:hAnsi="Arial" w:cs="Arial"/>
          <w:color w:val="000000" w:themeColor="text1"/>
          <w:sz w:val="21"/>
          <w:szCs w:val="21"/>
        </w:rPr>
      </w:pPr>
    </w:p>
    <w:p w:rsidRPr="00B00AA2" w:rsidR="008C487C" w:rsidP="008C487C" w:rsidRDefault="008C487C" w14:paraId="243B8717" w14:textId="77777777">
      <w:pPr>
        <w:ind w:left="709" w:right="760"/>
        <w:jc w:val="both"/>
        <w:rPr>
          <w:rFonts w:ascii="Arial" w:hAnsi="Arial" w:cs="Arial"/>
          <w:color w:val="000000" w:themeColor="text1"/>
          <w:sz w:val="21"/>
          <w:szCs w:val="21"/>
          <w:lang w:val="es-CO"/>
        </w:rPr>
      </w:pPr>
      <w:r w:rsidRPr="00B00AA2">
        <w:rPr>
          <w:rFonts w:ascii="Arial" w:hAnsi="Arial" w:cs="Arial"/>
          <w:color w:val="000000" w:themeColor="text1"/>
          <w:sz w:val="21"/>
          <w:szCs w:val="21"/>
          <w:lang w:val="es-CO"/>
        </w:rPr>
        <w:t xml:space="preserve">La Entidad Estatal debe limitar a las </w:t>
      </w:r>
      <w:proofErr w:type="spellStart"/>
      <w:r w:rsidRPr="00B00AA2">
        <w:rPr>
          <w:rFonts w:ascii="Arial" w:hAnsi="Arial" w:cs="Arial"/>
          <w:color w:val="000000" w:themeColor="text1"/>
          <w:sz w:val="21"/>
          <w:szCs w:val="21"/>
          <w:lang w:val="es-CO"/>
        </w:rPr>
        <w:t>Mipyme</w:t>
      </w:r>
      <w:proofErr w:type="spellEnd"/>
      <w:r w:rsidRPr="00B00AA2">
        <w:rPr>
          <w:rFonts w:ascii="Arial" w:hAnsi="Arial" w:cs="Arial"/>
          <w:color w:val="000000" w:themeColor="text1"/>
          <w:sz w:val="21"/>
          <w:szCs w:val="21"/>
          <w:lang w:val="es-CO"/>
        </w:rPr>
        <w:t xml:space="preserve"> nacionales con mínimo un (1) año de existencia la convocatoria del Proceso de Contratación en la modalidad de licitación pública, selección abreviada y concurso de méritos cuando:</w:t>
      </w:r>
    </w:p>
    <w:p w:rsidRPr="00B00AA2" w:rsidR="008C487C" w:rsidP="008C487C" w:rsidRDefault="008C487C" w14:paraId="1ABA394D" w14:textId="77777777">
      <w:pPr>
        <w:ind w:left="709" w:right="760"/>
        <w:jc w:val="both"/>
        <w:rPr>
          <w:rFonts w:ascii="Arial" w:hAnsi="Arial" w:cs="Arial"/>
          <w:color w:val="000000" w:themeColor="text1"/>
          <w:sz w:val="21"/>
          <w:szCs w:val="21"/>
          <w:lang w:val="es-CO"/>
        </w:rPr>
      </w:pPr>
    </w:p>
    <w:p w:rsidRPr="00B00AA2" w:rsidR="008C487C" w:rsidP="008C487C" w:rsidRDefault="008C487C" w14:paraId="7534FE6F" w14:textId="77777777">
      <w:pPr>
        <w:pStyle w:val="Prrafodelista"/>
        <w:ind w:left="709" w:right="760"/>
        <w:jc w:val="both"/>
        <w:rPr>
          <w:rFonts w:ascii="Arial" w:hAnsi="Arial" w:cs="Arial"/>
          <w:color w:val="000000" w:themeColor="text1"/>
          <w:sz w:val="21"/>
          <w:szCs w:val="21"/>
          <w:lang w:val="es-CO"/>
        </w:rPr>
      </w:pPr>
      <w:r w:rsidRPr="00B00AA2">
        <w:rPr>
          <w:rFonts w:ascii="Arial" w:hAnsi="Arial" w:cs="Arial"/>
          <w:color w:val="000000" w:themeColor="text1"/>
          <w:sz w:val="21"/>
          <w:szCs w:val="21"/>
          <w:lang w:val="es-CO"/>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rsidRPr="00B00AA2" w:rsidR="008C487C" w:rsidP="008C487C" w:rsidRDefault="008C487C" w14:paraId="0D11E2C3" w14:textId="77777777">
      <w:pPr>
        <w:pStyle w:val="Prrafodelista"/>
        <w:ind w:left="709" w:right="760"/>
        <w:jc w:val="both"/>
        <w:rPr>
          <w:rFonts w:ascii="Arial" w:hAnsi="Arial" w:cs="Arial"/>
          <w:color w:val="000000" w:themeColor="text1"/>
          <w:sz w:val="21"/>
          <w:szCs w:val="21"/>
          <w:lang w:val="es-CO"/>
        </w:rPr>
      </w:pPr>
    </w:p>
    <w:p w:rsidRPr="00B00AA2" w:rsidR="008C487C" w:rsidP="008C487C" w:rsidRDefault="008C487C" w14:paraId="0234FED4" w14:textId="77777777">
      <w:pPr>
        <w:pStyle w:val="Prrafodelista"/>
        <w:ind w:left="709" w:right="760"/>
        <w:jc w:val="both"/>
        <w:rPr>
          <w:rFonts w:ascii="Arial" w:hAnsi="Arial" w:cs="Arial"/>
          <w:color w:val="000000" w:themeColor="text1"/>
          <w:sz w:val="21"/>
          <w:szCs w:val="21"/>
          <w:lang w:val="es-CO"/>
        </w:rPr>
      </w:pPr>
      <w:r w:rsidRPr="00B00AA2">
        <w:rPr>
          <w:rFonts w:ascii="Arial" w:hAnsi="Arial" w:cs="Arial"/>
          <w:color w:val="000000" w:themeColor="text1"/>
          <w:sz w:val="21"/>
          <w:szCs w:val="21"/>
          <w:lang w:val="es-CO"/>
        </w:rPr>
        <w:t xml:space="preserve">2. La Entidad Estatal ha recibido solicitudes de por lo menos tres (3) </w:t>
      </w:r>
      <w:proofErr w:type="spellStart"/>
      <w:r w:rsidRPr="00B00AA2">
        <w:rPr>
          <w:rFonts w:ascii="Arial" w:hAnsi="Arial" w:cs="Arial"/>
          <w:color w:val="000000" w:themeColor="text1"/>
          <w:sz w:val="21"/>
          <w:szCs w:val="21"/>
          <w:lang w:val="es-CO"/>
        </w:rPr>
        <w:t>Mipyme</w:t>
      </w:r>
      <w:proofErr w:type="spellEnd"/>
      <w:r w:rsidRPr="00B00AA2">
        <w:rPr>
          <w:rFonts w:ascii="Arial" w:hAnsi="Arial" w:cs="Arial"/>
          <w:color w:val="000000" w:themeColor="text1"/>
          <w:sz w:val="21"/>
          <w:szCs w:val="21"/>
          <w:lang w:val="es-CO"/>
        </w:rPr>
        <w:t xml:space="preserve"> nacionales para limitar la convocatoria a </w:t>
      </w:r>
      <w:proofErr w:type="spellStart"/>
      <w:r w:rsidRPr="00B00AA2">
        <w:rPr>
          <w:rFonts w:ascii="Arial" w:hAnsi="Arial" w:cs="Arial"/>
          <w:color w:val="000000" w:themeColor="text1"/>
          <w:sz w:val="21"/>
          <w:szCs w:val="21"/>
          <w:lang w:val="es-CO"/>
        </w:rPr>
        <w:t>Mipyme</w:t>
      </w:r>
      <w:proofErr w:type="spellEnd"/>
      <w:r w:rsidRPr="00B00AA2">
        <w:rPr>
          <w:rFonts w:ascii="Arial" w:hAnsi="Arial" w:cs="Arial"/>
          <w:color w:val="000000" w:themeColor="text1"/>
          <w:sz w:val="21"/>
          <w:szCs w:val="21"/>
          <w:lang w:val="es-CO"/>
        </w:rPr>
        <w:t xml:space="preserve"> nacionales. La Entidad Estatal debe recibir estas solicitudes por lo menos un (1) día hábil antes de la apertura del Proceso de Contratación.</w:t>
      </w:r>
    </w:p>
    <w:p w:rsidRPr="00B00AA2" w:rsidR="008C487C" w:rsidP="008C487C" w:rsidRDefault="008C487C" w14:paraId="4620B008" w14:textId="77777777">
      <w:pPr>
        <w:jc w:val="both"/>
        <w:rPr>
          <w:rFonts w:ascii="Arial" w:hAnsi="Arial" w:cs="Arial"/>
          <w:color w:val="000000" w:themeColor="text1"/>
          <w:sz w:val="20"/>
          <w:szCs w:val="20"/>
          <w:lang w:val="es-CO"/>
        </w:rPr>
      </w:pPr>
    </w:p>
    <w:p w:rsidRPr="00B00AA2" w:rsidR="008C487C" w:rsidP="00882ABB" w:rsidRDefault="008C487C" w14:paraId="6F0DF268" w14:textId="77777777">
      <w:pPr>
        <w:spacing w:line="276" w:lineRule="auto"/>
        <w:ind w:firstLine="709"/>
        <w:jc w:val="both"/>
        <w:rPr>
          <w:rFonts w:ascii="Arial" w:hAnsi="Arial" w:cs="Arial"/>
          <w:color w:val="000000" w:themeColor="text1"/>
          <w:sz w:val="22"/>
        </w:rPr>
      </w:pPr>
      <w:r w:rsidRPr="00B00AA2">
        <w:rPr>
          <w:rFonts w:ascii="Arial" w:hAnsi="Arial" w:cs="Arial"/>
          <w:color w:val="000000" w:themeColor="text1"/>
          <w:sz w:val="22"/>
        </w:rPr>
        <w:t xml:space="preserve">Puede decirse, entonces, que el Decreto 1082 de 2015 regula la limitación de convocatorias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en dos normas distintas, las cuales, sin embargo, deben leerse conjunta y armónicamente. Por un lado, la que prevé los requisitos generales para que la entidad limite sus convocatorias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w:t>
      </w:r>
      <w:r w:rsidRPr="00B00AA2">
        <w:rPr>
          <w:rFonts w:ascii="Arial" w:hAnsi="Arial" w:cs="Arial"/>
          <w:i/>
          <w:iCs/>
          <w:color w:val="000000" w:themeColor="text1"/>
          <w:sz w:val="22"/>
        </w:rPr>
        <w:t>infra</w:t>
      </w:r>
      <w:r w:rsidRPr="00B00AA2">
        <w:rPr>
          <w:rFonts w:ascii="Arial" w:hAnsi="Arial" w:cs="Arial"/>
          <w:color w:val="000000" w:themeColor="text1"/>
          <w:sz w:val="22"/>
        </w:rPr>
        <w:t xml:space="preserve"> literal a» y, por el otro, la que establece la posibilidad de regular la convocatoria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domiciliadas en los departamentos o municipios en donde se va a ejecutar el contrato «</w:t>
      </w:r>
      <w:r w:rsidRPr="00B00AA2">
        <w:rPr>
          <w:rFonts w:ascii="Arial" w:hAnsi="Arial" w:cs="Arial"/>
          <w:i/>
          <w:iCs/>
          <w:color w:val="000000" w:themeColor="text1"/>
          <w:sz w:val="22"/>
        </w:rPr>
        <w:t xml:space="preserve">infra </w:t>
      </w:r>
      <w:r w:rsidRPr="00B00AA2">
        <w:rPr>
          <w:rFonts w:ascii="Arial" w:hAnsi="Arial" w:cs="Arial"/>
          <w:color w:val="000000" w:themeColor="text1"/>
          <w:sz w:val="22"/>
        </w:rPr>
        <w:t xml:space="preserve">literal b». </w:t>
      </w:r>
    </w:p>
    <w:p w:rsidRPr="00B00AA2" w:rsidR="008C487C" w:rsidP="008C487C" w:rsidRDefault="008C487C" w14:paraId="051965EA" w14:textId="5E2850BA">
      <w:pPr>
        <w:spacing w:before="120" w:line="276" w:lineRule="auto"/>
        <w:ind w:firstLine="709"/>
        <w:jc w:val="both"/>
        <w:rPr>
          <w:rFonts w:ascii="Arial" w:hAnsi="Arial" w:cs="Arial"/>
          <w:color w:val="000000" w:themeColor="text1"/>
          <w:sz w:val="22"/>
        </w:rPr>
      </w:pPr>
      <w:r w:rsidRPr="00B00AA2">
        <w:rPr>
          <w:rFonts w:ascii="Arial" w:hAnsi="Arial" w:cs="Arial"/>
          <w:color w:val="000000" w:themeColor="text1"/>
          <w:sz w:val="22"/>
        </w:rPr>
        <w:t xml:space="preserve">Es de resaltar que estas normas se refieren a las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genéricamente y, particularmente, a las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«domiciliadas en los departamentos o municipios en donde se va a ejecutar el contrato». En ambos casos se refiere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distinguiéndolas de las empresas extranjeras. Del artículo 2.2.1.2.4.2.3. del Decreto 1082 de 2015 no se deriva que existan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del orden nacional. Otra cosa es que las normas de contratación permitan que las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con </w:t>
      </w:r>
      <w:r w:rsidRPr="00B00AA2" w:rsidR="00C50B1B">
        <w:rPr>
          <w:rFonts w:ascii="Arial" w:hAnsi="Arial" w:cs="Arial"/>
          <w:color w:val="000000" w:themeColor="text1"/>
          <w:sz w:val="22"/>
        </w:rPr>
        <w:t>«</w:t>
      </w:r>
      <w:r w:rsidRPr="00B00AA2">
        <w:rPr>
          <w:rFonts w:ascii="Arial" w:hAnsi="Arial" w:cs="Arial"/>
          <w:color w:val="000000" w:themeColor="text1"/>
          <w:sz w:val="22"/>
        </w:rPr>
        <w:t>domicilio</w:t>
      </w:r>
      <w:r w:rsidRPr="00B00AA2" w:rsidR="00C50B1B">
        <w:rPr>
          <w:rFonts w:ascii="Arial" w:hAnsi="Arial" w:cs="Arial"/>
          <w:color w:val="000000" w:themeColor="text1"/>
          <w:sz w:val="22"/>
        </w:rPr>
        <w:t>»</w:t>
      </w:r>
      <w:r w:rsidRPr="00B00AA2">
        <w:rPr>
          <w:rFonts w:ascii="Arial" w:hAnsi="Arial" w:cs="Arial"/>
          <w:color w:val="000000" w:themeColor="text1"/>
          <w:sz w:val="22"/>
        </w:rPr>
        <w:t xml:space="preserve"> en un municipio o departamento puedan beneficiarse en la ejecución de un contrato dentro de la entidad territorial en la que tienen su </w:t>
      </w:r>
      <w:r w:rsidRPr="00B00AA2" w:rsidR="00C50B1B">
        <w:rPr>
          <w:rFonts w:ascii="Arial" w:hAnsi="Arial" w:cs="Arial"/>
          <w:color w:val="000000" w:themeColor="text1"/>
          <w:sz w:val="22"/>
        </w:rPr>
        <w:t>«</w:t>
      </w:r>
      <w:r w:rsidRPr="00B00AA2">
        <w:rPr>
          <w:rFonts w:ascii="Arial" w:hAnsi="Arial" w:cs="Arial"/>
          <w:color w:val="000000" w:themeColor="text1"/>
          <w:sz w:val="22"/>
        </w:rPr>
        <w:t>domicilio</w:t>
      </w:r>
      <w:r w:rsidRPr="00B00AA2" w:rsidR="00C50B1B">
        <w:rPr>
          <w:rFonts w:ascii="Arial" w:hAnsi="Arial" w:cs="Arial"/>
          <w:color w:val="000000" w:themeColor="text1"/>
          <w:sz w:val="22"/>
        </w:rPr>
        <w:t>»</w:t>
      </w:r>
      <w:r w:rsidRPr="00B00AA2">
        <w:rPr>
          <w:rFonts w:ascii="Arial" w:hAnsi="Arial" w:cs="Arial"/>
          <w:color w:val="000000" w:themeColor="text1"/>
          <w:sz w:val="22"/>
        </w:rPr>
        <w:t xml:space="preserve">. De todos modos, las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domiciliadas en un municipio o departamento son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En consecuencia, no es procedente distinguir entre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y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municipales o departamentales, habida cuenta que estas últimas no existen como categoría dentro del ordenamiento normativo.</w:t>
      </w:r>
    </w:p>
    <w:p w:rsidRPr="00B00AA2" w:rsidR="005F5D19" w:rsidP="008C487C" w:rsidRDefault="00AE668A" w14:paraId="1B5F6978" w14:textId="77777777">
      <w:pPr>
        <w:spacing w:before="120" w:line="276" w:lineRule="auto"/>
        <w:ind w:firstLine="709"/>
        <w:jc w:val="both"/>
        <w:rPr>
          <w:rFonts w:ascii="Arial" w:hAnsi="Arial" w:cs="Arial"/>
          <w:color w:val="000000" w:themeColor="text1"/>
          <w:sz w:val="22"/>
          <w:lang w:val="es-CO"/>
        </w:rPr>
      </w:pPr>
      <w:r w:rsidRPr="00B00AA2">
        <w:rPr>
          <w:rFonts w:ascii="Arial" w:hAnsi="Arial" w:cs="Arial"/>
          <w:color w:val="000000" w:themeColor="text1"/>
          <w:sz w:val="22"/>
        </w:rPr>
        <w:t xml:space="preserve">Igualmente, se debe precisar que el artículo </w:t>
      </w:r>
      <w:r w:rsidRPr="00B00AA2">
        <w:rPr>
          <w:rFonts w:ascii="Arial" w:hAnsi="Arial" w:cs="Arial"/>
          <w:color w:val="000000" w:themeColor="text1"/>
          <w:sz w:val="22"/>
          <w:lang w:val="es-CO"/>
        </w:rPr>
        <w:t>2.2.1.2.4.2.3. del Decreto 1082 de 2015 se refiere a las «</w:t>
      </w:r>
      <w:proofErr w:type="spellStart"/>
      <w:r w:rsidRPr="00B00AA2">
        <w:rPr>
          <w:rFonts w:ascii="Arial" w:hAnsi="Arial" w:cs="Arial"/>
          <w:color w:val="000000" w:themeColor="text1"/>
          <w:sz w:val="22"/>
          <w:lang w:val="es-CO"/>
        </w:rPr>
        <w:t>Mipyme</w:t>
      </w:r>
      <w:proofErr w:type="spellEnd"/>
      <w:r w:rsidRPr="00B00AA2">
        <w:rPr>
          <w:rFonts w:ascii="Arial" w:hAnsi="Arial" w:cs="Arial"/>
          <w:color w:val="000000" w:themeColor="text1"/>
          <w:sz w:val="22"/>
          <w:lang w:val="es-CO"/>
        </w:rPr>
        <w:t xml:space="preserve"> nacionales </w:t>
      </w:r>
      <w:r w:rsidRPr="00B00AA2">
        <w:rPr>
          <w:rFonts w:ascii="Arial" w:hAnsi="Arial" w:cs="Arial"/>
          <w:i/>
          <w:iCs/>
          <w:color w:val="000000" w:themeColor="text1"/>
          <w:sz w:val="22"/>
          <w:lang w:val="es-CO"/>
        </w:rPr>
        <w:t>domiciliadas</w:t>
      </w:r>
      <w:r w:rsidRPr="00B00AA2">
        <w:rPr>
          <w:rFonts w:ascii="Arial" w:hAnsi="Arial" w:cs="Arial"/>
          <w:color w:val="000000" w:themeColor="text1"/>
          <w:sz w:val="22"/>
          <w:lang w:val="es-CO"/>
        </w:rPr>
        <w:t xml:space="preserve"> en los departamentos o municipios en donde se va a ejecutar el contrato»</w:t>
      </w:r>
      <w:r w:rsidRPr="00B00AA2" w:rsidR="00F5266F">
        <w:rPr>
          <w:rFonts w:ascii="Arial" w:hAnsi="Arial" w:cs="Arial"/>
          <w:color w:val="000000" w:themeColor="text1"/>
          <w:sz w:val="22"/>
          <w:lang w:val="es-CO"/>
        </w:rPr>
        <w:t xml:space="preserve"> «cursivas propias»</w:t>
      </w:r>
      <w:r w:rsidRPr="00B00AA2" w:rsidR="00813893">
        <w:rPr>
          <w:rFonts w:ascii="Arial" w:hAnsi="Arial" w:cs="Arial"/>
          <w:color w:val="000000" w:themeColor="text1"/>
          <w:sz w:val="22"/>
          <w:lang w:val="es-CO"/>
        </w:rPr>
        <w:t>, esto es, al «domicilio» y no a las «sucursales». Esta distinción</w:t>
      </w:r>
      <w:r w:rsidRPr="00B00AA2" w:rsidR="007D62C7">
        <w:rPr>
          <w:rFonts w:ascii="Arial" w:hAnsi="Arial" w:cs="Arial"/>
          <w:color w:val="000000" w:themeColor="text1"/>
          <w:sz w:val="22"/>
          <w:lang w:val="es-CO"/>
        </w:rPr>
        <w:t xml:space="preserve"> es importante </w:t>
      </w:r>
      <w:r w:rsidRPr="00B00AA2" w:rsidR="00E96422">
        <w:rPr>
          <w:rFonts w:ascii="Arial" w:hAnsi="Arial" w:cs="Arial"/>
          <w:color w:val="000000" w:themeColor="text1"/>
          <w:sz w:val="22"/>
          <w:lang w:val="es-CO"/>
        </w:rPr>
        <w:t xml:space="preserve">porque el beneficio normativo </w:t>
      </w:r>
      <w:r w:rsidRPr="00B00AA2" w:rsidR="007D62C7">
        <w:rPr>
          <w:rFonts w:ascii="Arial" w:hAnsi="Arial" w:cs="Arial"/>
          <w:color w:val="000000" w:themeColor="text1"/>
          <w:sz w:val="22"/>
          <w:lang w:val="es-CO"/>
        </w:rPr>
        <w:t xml:space="preserve">únicamente </w:t>
      </w:r>
      <w:r w:rsidRPr="00B00AA2" w:rsidR="00E96422">
        <w:rPr>
          <w:rFonts w:ascii="Arial" w:hAnsi="Arial" w:cs="Arial"/>
          <w:color w:val="000000" w:themeColor="text1"/>
          <w:sz w:val="22"/>
          <w:lang w:val="es-CO"/>
        </w:rPr>
        <w:t xml:space="preserve">aplica en el lugar en el que la </w:t>
      </w:r>
      <w:proofErr w:type="spellStart"/>
      <w:r w:rsidRPr="00B00AA2" w:rsidR="00E96422">
        <w:rPr>
          <w:rFonts w:ascii="Arial" w:hAnsi="Arial" w:cs="Arial"/>
          <w:color w:val="000000" w:themeColor="text1"/>
          <w:sz w:val="22"/>
          <w:lang w:val="es-CO"/>
        </w:rPr>
        <w:t>Mipyme</w:t>
      </w:r>
      <w:proofErr w:type="spellEnd"/>
      <w:r w:rsidRPr="00B00AA2" w:rsidR="00E96422">
        <w:rPr>
          <w:rFonts w:ascii="Arial" w:hAnsi="Arial" w:cs="Arial"/>
          <w:color w:val="000000" w:themeColor="text1"/>
          <w:sz w:val="22"/>
          <w:lang w:val="es-CO"/>
        </w:rPr>
        <w:t xml:space="preserve"> tiene su </w:t>
      </w:r>
      <w:r w:rsidRPr="00B00AA2" w:rsidR="00C50B1B">
        <w:rPr>
          <w:rFonts w:ascii="Arial" w:hAnsi="Arial" w:cs="Arial"/>
          <w:color w:val="000000" w:themeColor="text1"/>
          <w:sz w:val="22"/>
          <w:lang w:val="es-CO"/>
        </w:rPr>
        <w:t>«</w:t>
      </w:r>
      <w:r w:rsidRPr="00B00AA2" w:rsidR="00E96422">
        <w:rPr>
          <w:rFonts w:ascii="Arial" w:hAnsi="Arial" w:cs="Arial"/>
          <w:color w:val="000000" w:themeColor="text1"/>
          <w:sz w:val="22"/>
          <w:lang w:val="es-CO"/>
        </w:rPr>
        <w:t>domicilio</w:t>
      </w:r>
      <w:r w:rsidRPr="00B00AA2" w:rsidR="00C50B1B">
        <w:rPr>
          <w:rFonts w:ascii="Arial" w:hAnsi="Arial" w:cs="Arial"/>
          <w:color w:val="000000" w:themeColor="text1"/>
          <w:sz w:val="22"/>
          <w:lang w:val="es-CO"/>
        </w:rPr>
        <w:t>»</w:t>
      </w:r>
      <w:r w:rsidRPr="00B00AA2" w:rsidR="00E96422">
        <w:rPr>
          <w:rFonts w:ascii="Arial" w:hAnsi="Arial" w:cs="Arial"/>
          <w:color w:val="000000" w:themeColor="text1"/>
          <w:sz w:val="22"/>
          <w:lang w:val="es-CO"/>
        </w:rPr>
        <w:t xml:space="preserve">, y no en donde tiene sucursales. </w:t>
      </w:r>
    </w:p>
    <w:p w:rsidRPr="00B00AA2" w:rsidR="00AE668A" w:rsidP="008C487C" w:rsidRDefault="005F5D19" w14:paraId="6EC14440" w14:textId="613ABA6A">
      <w:pPr>
        <w:spacing w:before="120" w:line="276" w:lineRule="auto"/>
        <w:ind w:firstLine="709"/>
        <w:jc w:val="both"/>
        <w:rPr>
          <w:rFonts w:ascii="Arial" w:hAnsi="Arial" w:cs="Arial"/>
          <w:color w:val="000000" w:themeColor="text1"/>
          <w:sz w:val="22"/>
        </w:rPr>
      </w:pPr>
      <w:r w:rsidRPr="00B00AA2">
        <w:rPr>
          <w:rFonts w:ascii="Arial" w:hAnsi="Arial" w:cs="Arial"/>
          <w:color w:val="000000" w:themeColor="text1"/>
          <w:sz w:val="22"/>
          <w:lang w:val="es-CO"/>
        </w:rPr>
        <w:t>El artículo 263 del Código de Comercio</w:t>
      </w:r>
      <w:r w:rsidRPr="00B00AA2" w:rsidR="00BA7E78">
        <w:rPr>
          <w:rFonts w:ascii="Arial" w:hAnsi="Arial" w:cs="Arial"/>
          <w:color w:val="000000" w:themeColor="text1"/>
          <w:sz w:val="22"/>
          <w:lang w:val="es-CO"/>
        </w:rPr>
        <w:t xml:space="preserve"> define las sucursales como «los establecimientos de comercio abiertos por una sociedad, dentro o fuera de su domicilio, para el desarrollo de los negocios sociales o parte de ellos, administrados por mandatarios con facultades para representar la sociedad»</w:t>
      </w:r>
      <w:r w:rsidRPr="00B00AA2">
        <w:rPr>
          <w:rFonts w:ascii="Arial" w:hAnsi="Arial" w:cs="Arial"/>
          <w:color w:val="000000" w:themeColor="text1"/>
          <w:sz w:val="22"/>
          <w:lang w:val="es-CO"/>
        </w:rPr>
        <w:t xml:space="preserve">. </w:t>
      </w:r>
      <w:r w:rsidRPr="00B00AA2" w:rsidR="00BA7E78">
        <w:rPr>
          <w:rFonts w:ascii="Arial" w:hAnsi="Arial" w:cs="Arial"/>
          <w:color w:val="000000" w:themeColor="text1"/>
          <w:sz w:val="22"/>
          <w:lang w:val="es-CO"/>
        </w:rPr>
        <w:t>Nótese que la norma se refiere a los conceptos de «sucursal» y «domicilio» de forma diferente</w:t>
      </w:r>
      <w:r w:rsidRPr="00B00AA2" w:rsidR="00DB751D">
        <w:rPr>
          <w:rFonts w:ascii="Arial" w:hAnsi="Arial" w:cs="Arial"/>
          <w:color w:val="000000" w:themeColor="text1"/>
          <w:sz w:val="22"/>
          <w:lang w:val="es-CO"/>
        </w:rPr>
        <w:t>, de lo que se deriva que las sociedades comerciales tiene</w:t>
      </w:r>
      <w:r w:rsidRPr="00B00AA2" w:rsidR="00010D30">
        <w:rPr>
          <w:rFonts w:ascii="Arial" w:hAnsi="Arial" w:cs="Arial"/>
          <w:color w:val="000000" w:themeColor="text1"/>
          <w:sz w:val="22"/>
          <w:lang w:val="es-CO"/>
        </w:rPr>
        <w:t>n</w:t>
      </w:r>
      <w:r w:rsidRPr="00B00AA2" w:rsidR="00DB751D">
        <w:rPr>
          <w:rFonts w:ascii="Arial" w:hAnsi="Arial" w:cs="Arial"/>
          <w:color w:val="000000" w:themeColor="text1"/>
          <w:sz w:val="22"/>
          <w:lang w:val="es-CO"/>
        </w:rPr>
        <w:t xml:space="preserve"> un domicilio y puede tener una o varias sucursales</w:t>
      </w:r>
      <w:r w:rsidRPr="00B00AA2" w:rsidR="00BA7E78">
        <w:rPr>
          <w:rFonts w:ascii="Arial" w:hAnsi="Arial" w:cs="Arial"/>
          <w:color w:val="000000" w:themeColor="text1"/>
          <w:sz w:val="22"/>
          <w:lang w:val="es-CO"/>
        </w:rPr>
        <w:t>. En ese mismo sentido</w:t>
      </w:r>
      <w:r w:rsidRPr="00B00AA2">
        <w:rPr>
          <w:rFonts w:ascii="Arial" w:hAnsi="Arial" w:cs="Arial"/>
          <w:color w:val="000000" w:themeColor="text1"/>
          <w:sz w:val="22"/>
          <w:lang w:val="es-CO"/>
        </w:rPr>
        <w:t>, l</w:t>
      </w:r>
      <w:r w:rsidRPr="00B00AA2" w:rsidR="00863DD9">
        <w:rPr>
          <w:rFonts w:ascii="Arial" w:hAnsi="Arial" w:cs="Arial"/>
          <w:color w:val="000000" w:themeColor="text1"/>
          <w:sz w:val="22"/>
          <w:lang w:val="es-CO"/>
        </w:rPr>
        <w:t xml:space="preserve">os </w:t>
      </w:r>
      <w:r w:rsidRPr="00B00AA2" w:rsidR="001321AB">
        <w:rPr>
          <w:rFonts w:ascii="Arial" w:hAnsi="Arial" w:cs="Arial"/>
          <w:color w:val="000000" w:themeColor="text1"/>
          <w:sz w:val="22"/>
          <w:lang w:val="es-CO"/>
        </w:rPr>
        <w:t xml:space="preserve">artículos 110 y 111 </w:t>
      </w:r>
      <w:proofErr w:type="spellStart"/>
      <w:r w:rsidRPr="00B00AA2">
        <w:rPr>
          <w:rFonts w:ascii="Arial" w:hAnsi="Arial" w:cs="Arial"/>
          <w:i/>
          <w:iCs/>
          <w:color w:val="000000" w:themeColor="text1"/>
          <w:sz w:val="22"/>
          <w:lang w:val="es-CO"/>
        </w:rPr>
        <w:t>ibídem</w:t>
      </w:r>
      <w:proofErr w:type="spellEnd"/>
      <w:r w:rsidRPr="00B00AA2" w:rsidR="00863DD9">
        <w:rPr>
          <w:rFonts w:ascii="Arial" w:hAnsi="Arial" w:cs="Arial"/>
          <w:color w:val="000000" w:themeColor="text1"/>
          <w:sz w:val="22"/>
          <w:lang w:val="es-CO"/>
        </w:rPr>
        <w:t xml:space="preserve"> </w:t>
      </w:r>
      <w:r w:rsidRPr="00B00AA2" w:rsidR="001321AB">
        <w:rPr>
          <w:rFonts w:ascii="Arial" w:hAnsi="Arial" w:cs="Arial"/>
          <w:color w:val="000000" w:themeColor="text1"/>
          <w:sz w:val="22"/>
          <w:lang w:val="es-CO"/>
        </w:rPr>
        <w:t>se refieren</w:t>
      </w:r>
      <w:r w:rsidRPr="00B00AA2" w:rsidR="004F4387">
        <w:rPr>
          <w:rFonts w:ascii="Arial" w:hAnsi="Arial" w:cs="Arial"/>
          <w:color w:val="000000" w:themeColor="text1"/>
          <w:sz w:val="22"/>
          <w:lang w:val="es-CO"/>
        </w:rPr>
        <w:t xml:space="preserve"> a tales conceptos de forma independiente. E</w:t>
      </w:r>
      <w:r w:rsidRPr="00B00AA2" w:rsidR="00863DD9">
        <w:rPr>
          <w:rFonts w:ascii="Arial" w:hAnsi="Arial" w:cs="Arial"/>
          <w:color w:val="000000" w:themeColor="text1"/>
          <w:sz w:val="22"/>
          <w:lang w:val="es-CO"/>
        </w:rPr>
        <w:t xml:space="preserve">l uno para </w:t>
      </w:r>
      <w:r w:rsidRPr="00B00AA2" w:rsidR="00CA5790">
        <w:rPr>
          <w:rFonts w:ascii="Arial" w:hAnsi="Arial" w:cs="Arial"/>
          <w:color w:val="000000" w:themeColor="text1"/>
          <w:sz w:val="22"/>
          <w:lang w:val="es-CO"/>
        </w:rPr>
        <w:t xml:space="preserve">referirse a los requisitos de constitución de una sociedad comercial y el otro para </w:t>
      </w:r>
      <w:r w:rsidRPr="00B00AA2" w:rsidR="003C2074">
        <w:rPr>
          <w:rFonts w:ascii="Arial" w:hAnsi="Arial" w:cs="Arial"/>
          <w:color w:val="000000" w:themeColor="text1"/>
          <w:sz w:val="22"/>
          <w:lang w:val="es-CO"/>
        </w:rPr>
        <w:t xml:space="preserve">determinar el lugar donde se debe inscribir la escritura </w:t>
      </w:r>
      <w:r w:rsidRPr="00B00AA2" w:rsidR="008A0633">
        <w:rPr>
          <w:rFonts w:ascii="Arial" w:hAnsi="Arial" w:cs="Arial"/>
          <w:color w:val="000000" w:themeColor="text1"/>
          <w:sz w:val="22"/>
          <w:lang w:val="es-CO"/>
        </w:rPr>
        <w:t>pública de constitución de la sociedad comercial. En e</w:t>
      </w:r>
      <w:r w:rsidRPr="00B00AA2" w:rsidR="004F4387">
        <w:rPr>
          <w:rFonts w:ascii="Arial" w:hAnsi="Arial" w:cs="Arial"/>
          <w:color w:val="000000" w:themeColor="text1"/>
          <w:sz w:val="22"/>
          <w:lang w:val="es-CO"/>
        </w:rPr>
        <w:t xml:space="preserve">se sentido, </w:t>
      </w:r>
      <w:r w:rsidRPr="00B00AA2" w:rsidR="008A0633">
        <w:rPr>
          <w:rFonts w:ascii="Arial" w:hAnsi="Arial" w:cs="Arial"/>
          <w:color w:val="000000" w:themeColor="text1"/>
          <w:sz w:val="22"/>
          <w:lang w:val="es-CO"/>
        </w:rPr>
        <w:t>si el legislador di</w:t>
      </w:r>
      <w:r w:rsidRPr="00B00AA2" w:rsidR="00BB59F9">
        <w:rPr>
          <w:rFonts w:ascii="Arial" w:hAnsi="Arial" w:cs="Arial"/>
          <w:color w:val="000000" w:themeColor="text1"/>
          <w:sz w:val="22"/>
          <w:lang w:val="es-CO"/>
        </w:rPr>
        <w:t>s</w:t>
      </w:r>
      <w:r w:rsidRPr="00B00AA2" w:rsidR="008A0633">
        <w:rPr>
          <w:rFonts w:ascii="Arial" w:hAnsi="Arial" w:cs="Arial"/>
          <w:color w:val="000000" w:themeColor="text1"/>
          <w:sz w:val="22"/>
          <w:lang w:val="es-CO"/>
        </w:rPr>
        <w:t>ti</w:t>
      </w:r>
      <w:r w:rsidRPr="00B00AA2" w:rsidR="00BB59F9">
        <w:rPr>
          <w:rFonts w:ascii="Arial" w:hAnsi="Arial" w:cs="Arial"/>
          <w:color w:val="000000" w:themeColor="text1"/>
          <w:sz w:val="22"/>
          <w:lang w:val="es-CO"/>
        </w:rPr>
        <w:t>nguió entre uno y otro y si el reglamento se refiere al «domicilio»</w:t>
      </w:r>
      <w:r w:rsidRPr="00B00AA2" w:rsidR="004F4387">
        <w:rPr>
          <w:rFonts w:ascii="Arial" w:hAnsi="Arial" w:cs="Arial"/>
          <w:color w:val="000000" w:themeColor="text1"/>
          <w:sz w:val="22"/>
          <w:lang w:val="es-CO"/>
        </w:rPr>
        <w:t xml:space="preserve">, </w:t>
      </w:r>
      <w:r w:rsidRPr="00B00AA2" w:rsidR="00D92F6C">
        <w:rPr>
          <w:rFonts w:ascii="Arial" w:hAnsi="Arial" w:cs="Arial"/>
          <w:color w:val="000000" w:themeColor="text1"/>
          <w:sz w:val="22"/>
          <w:lang w:val="es-CO"/>
        </w:rPr>
        <w:t xml:space="preserve">se </w:t>
      </w:r>
      <w:r w:rsidRPr="00B00AA2" w:rsidR="009E2544">
        <w:rPr>
          <w:rFonts w:ascii="Arial" w:hAnsi="Arial" w:cs="Arial"/>
          <w:color w:val="000000" w:themeColor="text1"/>
          <w:sz w:val="22"/>
          <w:lang w:val="es-CO"/>
        </w:rPr>
        <w:t>entiende</w:t>
      </w:r>
      <w:r w:rsidRPr="00B00AA2" w:rsidR="00D92F6C">
        <w:rPr>
          <w:rFonts w:ascii="Arial" w:hAnsi="Arial" w:cs="Arial"/>
          <w:color w:val="000000" w:themeColor="text1"/>
          <w:sz w:val="22"/>
          <w:lang w:val="es-CO"/>
        </w:rPr>
        <w:t xml:space="preserve"> que </w:t>
      </w:r>
      <w:r w:rsidRPr="00B00AA2" w:rsidR="00BB59F9">
        <w:rPr>
          <w:rFonts w:ascii="Arial" w:hAnsi="Arial" w:cs="Arial"/>
          <w:color w:val="000000" w:themeColor="text1"/>
          <w:sz w:val="22"/>
          <w:lang w:val="es-CO"/>
        </w:rPr>
        <w:t xml:space="preserve">no es procedente </w:t>
      </w:r>
      <w:r w:rsidRPr="00B00AA2" w:rsidR="007D62C7">
        <w:rPr>
          <w:rFonts w:ascii="Arial" w:hAnsi="Arial" w:cs="Arial"/>
          <w:color w:val="000000" w:themeColor="text1"/>
          <w:sz w:val="22"/>
          <w:lang w:val="es-CO"/>
        </w:rPr>
        <w:t xml:space="preserve">extender </w:t>
      </w:r>
      <w:r w:rsidRPr="00B00AA2" w:rsidR="007D62C7">
        <w:rPr>
          <w:rFonts w:ascii="Arial" w:hAnsi="Arial" w:cs="Arial"/>
          <w:color w:val="000000" w:themeColor="text1"/>
          <w:sz w:val="22"/>
          <w:lang w:val="es-CO"/>
        </w:rPr>
        <w:lastRenderedPageBreak/>
        <w:t xml:space="preserve">el beneficio contenido en el artículo 2.2.1.2.4.2.3. </w:t>
      </w:r>
      <w:proofErr w:type="spellStart"/>
      <w:r w:rsidRPr="00B00AA2" w:rsidR="007D62C7">
        <w:rPr>
          <w:rFonts w:ascii="Arial" w:hAnsi="Arial" w:cs="Arial"/>
          <w:i/>
          <w:iCs/>
          <w:color w:val="000000" w:themeColor="text1"/>
          <w:sz w:val="22"/>
          <w:lang w:val="es-CO"/>
        </w:rPr>
        <w:t>ibídem</w:t>
      </w:r>
      <w:proofErr w:type="spellEnd"/>
      <w:r w:rsidRPr="00B00AA2" w:rsidR="007D62C7">
        <w:rPr>
          <w:rFonts w:ascii="Arial" w:hAnsi="Arial" w:cs="Arial"/>
          <w:i/>
          <w:iCs/>
          <w:color w:val="000000" w:themeColor="text1"/>
          <w:sz w:val="22"/>
          <w:lang w:val="es-CO"/>
        </w:rPr>
        <w:t xml:space="preserve"> </w:t>
      </w:r>
      <w:r w:rsidRPr="00B00AA2" w:rsidR="007D62C7">
        <w:rPr>
          <w:rFonts w:ascii="Arial" w:hAnsi="Arial" w:cs="Arial"/>
          <w:color w:val="000000" w:themeColor="text1"/>
          <w:sz w:val="22"/>
          <w:lang w:val="es-CO"/>
        </w:rPr>
        <w:t>a las entidades que tienen «sucursales» en el municipio o departamento en donde se va a ejecutar el contrato</w:t>
      </w:r>
      <w:r w:rsidRPr="00B00AA2" w:rsidR="00D92F6C">
        <w:rPr>
          <w:rFonts w:ascii="Arial" w:hAnsi="Arial" w:cs="Arial"/>
          <w:color w:val="000000" w:themeColor="text1"/>
          <w:sz w:val="22"/>
          <w:lang w:val="es-CO"/>
        </w:rPr>
        <w:t xml:space="preserve"> estatal</w:t>
      </w:r>
      <w:r w:rsidRPr="00B00AA2" w:rsidR="007D62C7">
        <w:rPr>
          <w:rFonts w:ascii="Arial" w:hAnsi="Arial" w:cs="Arial"/>
          <w:color w:val="000000" w:themeColor="text1"/>
          <w:sz w:val="22"/>
          <w:lang w:val="es-CO"/>
        </w:rPr>
        <w:t>.</w:t>
      </w:r>
    </w:p>
    <w:p w:rsidRPr="00B00AA2" w:rsidR="00D95879" w:rsidP="008C487C" w:rsidRDefault="008C487C" w14:paraId="35AACE73" w14:textId="28A50208">
      <w:pPr>
        <w:spacing w:before="120" w:line="276" w:lineRule="auto"/>
        <w:ind w:firstLine="709"/>
        <w:jc w:val="both"/>
        <w:rPr>
          <w:rFonts w:ascii="Arial" w:hAnsi="Arial" w:cs="Arial"/>
          <w:color w:val="000000" w:themeColor="text1"/>
          <w:sz w:val="22"/>
        </w:rPr>
      </w:pPr>
      <w:r w:rsidRPr="00B00AA2">
        <w:rPr>
          <w:rFonts w:ascii="Arial" w:hAnsi="Arial" w:cs="Arial"/>
          <w:color w:val="000000" w:themeColor="text1"/>
          <w:sz w:val="22"/>
        </w:rPr>
        <w:t xml:space="preserve">a) El artículo 2.2.1.2.4.2.2. del Decreto 1082 de 2015 establece los requisitos que se deben acreditar en las «convocatorias limitadas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La primera limitación </w:t>
      </w:r>
      <w:r w:rsidRPr="00B00AA2" w:rsidR="009A5714">
        <w:rPr>
          <w:rFonts w:ascii="Arial" w:hAnsi="Arial" w:cs="Arial"/>
          <w:color w:val="000000" w:themeColor="text1"/>
          <w:sz w:val="22"/>
        </w:rPr>
        <w:t>se deriva d</w:t>
      </w:r>
      <w:r w:rsidRPr="00B00AA2">
        <w:rPr>
          <w:rFonts w:ascii="Arial" w:hAnsi="Arial" w:cs="Arial"/>
          <w:color w:val="000000" w:themeColor="text1"/>
          <w:sz w:val="22"/>
        </w:rPr>
        <w:t>el inciso primero de la referida norma</w:t>
      </w:r>
      <w:r w:rsidRPr="00B00AA2" w:rsidR="009A5714">
        <w:rPr>
          <w:rFonts w:ascii="Arial" w:hAnsi="Arial" w:cs="Arial"/>
          <w:color w:val="000000" w:themeColor="text1"/>
          <w:sz w:val="22"/>
        </w:rPr>
        <w:t>,</w:t>
      </w:r>
      <w:r w:rsidRPr="00B00AA2">
        <w:rPr>
          <w:rFonts w:ascii="Arial" w:hAnsi="Arial" w:cs="Arial"/>
          <w:color w:val="000000" w:themeColor="text1"/>
          <w:sz w:val="22"/>
        </w:rPr>
        <w:t xml:space="preserve"> en cuanto a las modalidades de selección de contratistas, en el entendido</w:t>
      </w:r>
      <w:r w:rsidRPr="00B00AA2" w:rsidR="006F39D0">
        <w:rPr>
          <w:rFonts w:ascii="Arial" w:hAnsi="Arial" w:cs="Arial"/>
          <w:color w:val="000000" w:themeColor="text1"/>
          <w:sz w:val="22"/>
        </w:rPr>
        <w:t xml:space="preserve"> </w:t>
      </w:r>
      <w:r w:rsidRPr="00B00AA2" w:rsidR="00882ABB">
        <w:rPr>
          <w:rFonts w:ascii="Arial" w:hAnsi="Arial" w:cs="Arial"/>
          <w:color w:val="000000" w:themeColor="text1"/>
          <w:sz w:val="22"/>
        </w:rPr>
        <w:t xml:space="preserve">de </w:t>
      </w:r>
      <w:r w:rsidRPr="00B00AA2">
        <w:rPr>
          <w:rFonts w:ascii="Arial" w:hAnsi="Arial" w:cs="Arial"/>
          <w:color w:val="000000" w:themeColor="text1"/>
          <w:sz w:val="22"/>
        </w:rPr>
        <w:t>que únicamente se puede limitar «la convocatoria del Proceso de Contratación en la modalidad de licitación pública, selección abreviada y concurso de méritos». Esto excluye</w:t>
      </w:r>
      <w:r w:rsidRPr="00B00AA2" w:rsidR="00E137BB">
        <w:rPr>
          <w:rFonts w:ascii="Arial" w:hAnsi="Arial" w:cs="Arial"/>
          <w:color w:val="000000" w:themeColor="text1"/>
          <w:sz w:val="22"/>
        </w:rPr>
        <w:t>, pues,</w:t>
      </w:r>
      <w:r w:rsidRPr="00B00AA2">
        <w:rPr>
          <w:rFonts w:ascii="Arial" w:hAnsi="Arial" w:cs="Arial"/>
          <w:color w:val="000000" w:themeColor="text1"/>
          <w:sz w:val="22"/>
        </w:rPr>
        <w:t xml:space="preserve"> la posibilidad de pedir la limitación de las convocatorias en los procesos de selección de </w:t>
      </w:r>
      <w:r w:rsidRPr="00B00AA2">
        <w:rPr>
          <w:rFonts w:ascii="Arial" w:hAnsi="Arial" w:cs="Arial"/>
          <w:i/>
          <w:iCs/>
          <w:color w:val="000000" w:themeColor="text1"/>
          <w:sz w:val="22"/>
        </w:rPr>
        <w:t>mínima cuantía</w:t>
      </w:r>
      <w:r w:rsidRPr="00B00AA2">
        <w:rPr>
          <w:rFonts w:ascii="Arial" w:hAnsi="Arial" w:cs="Arial"/>
          <w:color w:val="000000" w:themeColor="text1"/>
          <w:sz w:val="22"/>
        </w:rPr>
        <w:t xml:space="preserve"> y también en los de </w:t>
      </w:r>
      <w:r w:rsidRPr="00B00AA2">
        <w:rPr>
          <w:rFonts w:ascii="Arial" w:hAnsi="Arial" w:cs="Arial"/>
          <w:i/>
          <w:iCs/>
          <w:color w:val="000000" w:themeColor="text1"/>
          <w:sz w:val="22"/>
        </w:rPr>
        <w:t>contratación directa</w:t>
      </w:r>
      <w:r w:rsidRPr="00B00AA2">
        <w:rPr>
          <w:rFonts w:ascii="Arial" w:hAnsi="Arial" w:cs="Arial"/>
          <w:color w:val="000000" w:themeColor="text1"/>
          <w:sz w:val="22"/>
        </w:rPr>
        <w:t>.</w:t>
      </w:r>
      <w:r w:rsidRPr="00B00AA2" w:rsidR="00A95100">
        <w:rPr>
          <w:rFonts w:ascii="Arial" w:hAnsi="Arial" w:cs="Arial"/>
          <w:color w:val="000000" w:themeColor="text1"/>
          <w:sz w:val="22"/>
        </w:rPr>
        <w:t xml:space="preserve"> </w:t>
      </w:r>
      <w:r w:rsidRPr="00B00AA2" w:rsidR="003E14F9">
        <w:rPr>
          <w:rFonts w:ascii="Arial" w:hAnsi="Arial" w:cs="Arial"/>
          <w:color w:val="000000" w:themeColor="text1"/>
          <w:sz w:val="22"/>
        </w:rPr>
        <w:t>Para los efectos de</w:t>
      </w:r>
      <w:r w:rsidRPr="00B00AA2" w:rsidR="00CF326B">
        <w:rPr>
          <w:rFonts w:ascii="Arial" w:hAnsi="Arial" w:cs="Arial"/>
          <w:color w:val="000000" w:themeColor="text1"/>
          <w:sz w:val="22"/>
        </w:rPr>
        <w:t xml:space="preserve"> la consulta </w:t>
      </w:r>
      <w:r w:rsidRPr="00B00AA2" w:rsidR="00CF326B">
        <w:rPr>
          <w:rFonts w:ascii="Arial" w:hAnsi="Arial" w:cs="Arial"/>
          <w:i/>
          <w:iCs/>
          <w:color w:val="000000" w:themeColor="text1"/>
          <w:sz w:val="22"/>
        </w:rPr>
        <w:t xml:space="preserve">sub </w:t>
      </w:r>
      <w:r w:rsidRPr="00B00AA2" w:rsidR="00CF326B">
        <w:rPr>
          <w:rFonts w:ascii="Arial" w:hAnsi="Arial" w:cs="Arial"/>
          <w:color w:val="000000" w:themeColor="text1"/>
          <w:sz w:val="22"/>
        </w:rPr>
        <w:t xml:space="preserve">examine, se debe </w:t>
      </w:r>
      <w:r w:rsidRPr="00B00AA2" w:rsidR="00521BA7">
        <w:rPr>
          <w:rFonts w:ascii="Arial" w:hAnsi="Arial" w:cs="Arial"/>
          <w:color w:val="000000" w:themeColor="text1"/>
          <w:sz w:val="22"/>
        </w:rPr>
        <w:t xml:space="preserve">precisar que </w:t>
      </w:r>
      <w:r w:rsidRPr="00B00AA2" w:rsidR="008E2FE3">
        <w:rPr>
          <w:rFonts w:ascii="Arial" w:hAnsi="Arial" w:cs="Arial"/>
          <w:color w:val="000000" w:themeColor="text1"/>
          <w:sz w:val="22"/>
        </w:rPr>
        <w:t>una de las causale</w:t>
      </w:r>
      <w:r w:rsidRPr="00B00AA2" w:rsidR="000E6867">
        <w:rPr>
          <w:rFonts w:ascii="Arial" w:hAnsi="Arial" w:cs="Arial"/>
          <w:color w:val="000000" w:themeColor="text1"/>
          <w:sz w:val="22"/>
        </w:rPr>
        <w:t xml:space="preserve">s </w:t>
      </w:r>
      <w:r w:rsidRPr="00B00AA2" w:rsidR="00E01D84">
        <w:rPr>
          <w:rFonts w:ascii="Arial" w:hAnsi="Arial" w:cs="Arial"/>
          <w:color w:val="000000" w:themeColor="text1"/>
          <w:sz w:val="22"/>
        </w:rPr>
        <w:t xml:space="preserve">de </w:t>
      </w:r>
      <w:r w:rsidRPr="00B00AA2" w:rsidR="00E01D84">
        <w:rPr>
          <w:rFonts w:ascii="Arial" w:hAnsi="Arial" w:cs="Arial"/>
          <w:i/>
          <w:iCs/>
          <w:color w:val="000000" w:themeColor="text1"/>
          <w:sz w:val="22"/>
        </w:rPr>
        <w:t>selección abreviada</w:t>
      </w:r>
      <w:r w:rsidRPr="00B00AA2" w:rsidR="00E01D84">
        <w:rPr>
          <w:rFonts w:ascii="Arial" w:hAnsi="Arial" w:cs="Arial"/>
          <w:color w:val="000000" w:themeColor="text1"/>
          <w:sz w:val="22"/>
        </w:rPr>
        <w:t xml:space="preserve"> es </w:t>
      </w:r>
      <w:r w:rsidRPr="00B00AA2" w:rsidR="00062B0D">
        <w:rPr>
          <w:rFonts w:ascii="Arial" w:hAnsi="Arial" w:cs="Arial"/>
          <w:color w:val="000000" w:themeColor="text1"/>
          <w:sz w:val="22"/>
        </w:rPr>
        <w:t xml:space="preserve">la </w:t>
      </w:r>
      <w:r w:rsidRPr="00B00AA2" w:rsidR="00062B0D">
        <w:rPr>
          <w:rFonts w:ascii="Arial" w:hAnsi="Arial" w:cs="Arial"/>
          <w:i/>
          <w:iCs/>
          <w:color w:val="000000" w:themeColor="text1"/>
          <w:sz w:val="22"/>
        </w:rPr>
        <w:t>contratación de menor cuantía</w:t>
      </w:r>
      <w:r w:rsidRPr="00B00AA2" w:rsidR="00062B0D">
        <w:rPr>
          <w:rFonts w:ascii="Arial" w:hAnsi="Arial" w:cs="Arial"/>
          <w:color w:val="000000" w:themeColor="text1"/>
          <w:sz w:val="22"/>
        </w:rPr>
        <w:t xml:space="preserve">, </w:t>
      </w:r>
      <w:r w:rsidRPr="00B00AA2" w:rsidR="00711157">
        <w:rPr>
          <w:rFonts w:ascii="Arial" w:hAnsi="Arial" w:cs="Arial"/>
          <w:color w:val="000000" w:themeColor="text1"/>
          <w:sz w:val="22"/>
        </w:rPr>
        <w:t xml:space="preserve">según lo que establece </w:t>
      </w:r>
      <w:r w:rsidRPr="00B00AA2" w:rsidR="00062B0D">
        <w:rPr>
          <w:rFonts w:ascii="Arial" w:hAnsi="Arial" w:cs="Arial"/>
          <w:color w:val="000000" w:themeColor="text1"/>
          <w:sz w:val="22"/>
        </w:rPr>
        <w:t xml:space="preserve">el artículo </w:t>
      </w:r>
      <w:r w:rsidRPr="00B00AA2" w:rsidR="00C52801">
        <w:rPr>
          <w:rFonts w:ascii="Arial" w:hAnsi="Arial" w:cs="Arial"/>
          <w:color w:val="000000" w:themeColor="text1"/>
          <w:sz w:val="22"/>
        </w:rPr>
        <w:t xml:space="preserve">2, numeral </w:t>
      </w:r>
      <w:r w:rsidRPr="00B00AA2" w:rsidR="00A367A1">
        <w:rPr>
          <w:rFonts w:ascii="Arial" w:hAnsi="Arial" w:cs="Arial"/>
          <w:color w:val="000000" w:themeColor="text1"/>
          <w:sz w:val="22"/>
        </w:rPr>
        <w:t>2, literal b, de la Ley 1150 de 2007.</w:t>
      </w:r>
    </w:p>
    <w:p w:rsidRPr="00B00AA2" w:rsidR="008C487C" w:rsidP="008C487C" w:rsidRDefault="008C487C" w14:paraId="2BA603A8" w14:textId="77777777">
      <w:pPr>
        <w:spacing w:before="120" w:line="276" w:lineRule="auto"/>
        <w:ind w:firstLine="709"/>
        <w:jc w:val="both"/>
        <w:rPr>
          <w:rFonts w:ascii="Arial" w:hAnsi="Arial" w:cs="Arial"/>
          <w:color w:val="000000" w:themeColor="text1"/>
          <w:sz w:val="22"/>
        </w:rPr>
      </w:pPr>
      <w:r w:rsidRPr="00B00AA2">
        <w:rPr>
          <w:rFonts w:ascii="Arial" w:hAnsi="Arial" w:cs="Arial"/>
          <w:color w:val="000000" w:themeColor="text1"/>
          <w:sz w:val="22"/>
        </w:rPr>
        <w:t xml:space="preserve">El numeral primero limita cuantitativamente los procesos contractuales en los que se puede hacer esa «convocatoria limitada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B00AA2">
        <w:rPr>
          <w:rStyle w:val="Refdenotaalpie"/>
          <w:rFonts w:ascii="Arial" w:hAnsi="Arial" w:cs="Arial"/>
          <w:color w:val="000000" w:themeColor="text1"/>
          <w:sz w:val="22"/>
        </w:rPr>
        <w:footnoteReference w:id="5"/>
      </w:r>
      <w:r w:rsidRPr="00B00AA2">
        <w:rPr>
          <w:rFonts w:ascii="Arial" w:hAnsi="Arial" w:cs="Arial"/>
          <w:color w:val="000000" w:themeColor="text1"/>
          <w:sz w:val="22"/>
        </w:rPr>
        <w:t>─, establecida diariamente por la Superintendencia Financiera de Colombia, según lo que establece el artículo 40 de la Resolución Externa No. 1 de 2018 y la Circular Reglamentaria Externa- DODM-146, ambas expedidas por el Banco de la República.</w:t>
      </w:r>
    </w:p>
    <w:p w:rsidRPr="00B00AA2" w:rsidR="008C487C" w:rsidP="008C487C" w:rsidRDefault="008C487C" w14:paraId="1AE6FEDA" w14:textId="77777777">
      <w:pPr>
        <w:spacing w:before="120" w:line="276" w:lineRule="auto"/>
        <w:ind w:firstLine="709"/>
        <w:jc w:val="both"/>
        <w:rPr>
          <w:rFonts w:ascii="Arial" w:hAnsi="Arial" w:cs="Arial"/>
          <w:color w:val="000000" w:themeColor="text1"/>
          <w:sz w:val="22"/>
        </w:rPr>
      </w:pPr>
      <w:r w:rsidRPr="00B00AA2">
        <w:rPr>
          <w:rFonts w:ascii="Arial" w:hAnsi="Arial" w:cs="Arial"/>
          <w:color w:val="000000" w:themeColor="text1"/>
          <w:sz w:val="22"/>
        </w:rPr>
        <w:t>Para establecer dicha tasa, el Ministerio toma en cuenta como parámetros, por un lado, el promedio de la TRM</w:t>
      </w:r>
      <w:r w:rsidRPr="00B00AA2">
        <w:rPr>
          <w:rStyle w:val="Refdenotaalpie"/>
          <w:rFonts w:ascii="Arial" w:hAnsi="Arial" w:cs="Arial"/>
          <w:color w:val="000000" w:themeColor="text1"/>
          <w:sz w:val="22"/>
        </w:rPr>
        <w:footnoteReference w:id="6"/>
      </w:r>
      <w:r w:rsidRPr="00B00AA2">
        <w:rPr>
          <w:rFonts w:ascii="Arial" w:hAnsi="Arial" w:cs="Arial"/>
          <w:color w:val="000000" w:themeColor="text1"/>
          <w:sz w:val="22"/>
        </w:rPr>
        <w:t xml:space="preserve"> de los dos años anteriores al periodo a calcular y, por el otro, los «veinticinco mil dólares de los Estados Unidos de América» a los que se refiere el </w:t>
      </w:r>
      <w:r w:rsidRPr="00B00AA2">
        <w:rPr>
          <w:rFonts w:ascii="Arial" w:hAnsi="Arial" w:cs="Arial"/>
          <w:color w:val="000000" w:themeColor="text1"/>
          <w:sz w:val="22"/>
          <w:lang w:val="es-CO"/>
        </w:rPr>
        <w:t xml:space="preserve">numeral 1º del artículo </w:t>
      </w:r>
      <w:r w:rsidRPr="00B00AA2">
        <w:rPr>
          <w:rFonts w:ascii="Arial" w:hAnsi="Arial" w:cs="Arial"/>
          <w:color w:val="000000" w:themeColor="text1"/>
          <w:sz w:val="22"/>
        </w:rPr>
        <w:t>2.2.1.2.4.2.2.</w:t>
      </w:r>
      <w:r w:rsidRPr="00B00AA2">
        <w:rPr>
          <w:rFonts w:ascii="Arial" w:hAnsi="Arial" w:cs="Arial"/>
          <w:color w:val="000000" w:themeColor="text1"/>
          <w:sz w:val="22"/>
          <w:lang w:val="es-CO"/>
        </w:rPr>
        <w:t xml:space="preserve"> del Decreto 1082 de 2015. Así lo ha hecho </w:t>
      </w:r>
      <w:r w:rsidRPr="00B00AA2">
        <w:rPr>
          <w:rFonts w:ascii="Arial" w:hAnsi="Arial" w:cs="Arial"/>
          <w:color w:val="000000" w:themeColor="text1"/>
          <w:sz w:val="22"/>
        </w:rPr>
        <w:t>para los periodos 2015</w:t>
      </w:r>
      <w:r w:rsidRPr="00B00AA2">
        <w:rPr>
          <w:rStyle w:val="Refdenotaalpie"/>
          <w:rFonts w:ascii="Arial" w:hAnsi="Arial" w:cs="Arial"/>
          <w:color w:val="000000" w:themeColor="text1"/>
          <w:sz w:val="22"/>
        </w:rPr>
        <w:footnoteReference w:id="7"/>
      </w:r>
      <w:r w:rsidRPr="00B00AA2">
        <w:rPr>
          <w:rFonts w:ascii="Arial" w:hAnsi="Arial" w:cs="Arial"/>
          <w:color w:val="000000" w:themeColor="text1"/>
          <w:sz w:val="22"/>
        </w:rPr>
        <w:t>-2017, 2018-2019 y 2020-2021 (vigente)</w:t>
      </w:r>
      <w:r w:rsidRPr="00B00AA2">
        <w:rPr>
          <w:rStyle w:val="Refdenotaalpie"/>
          <w:rFonts w:ascii="Arial" w:hAnsi="Arial" w:cs="Arial"/>
          <w:color w:val="000000" w:themeColor="text1"/>
          <w:sz w:val="22"/>
        </w:rPr>
        <w:footnoteReference w:id="8"/>
      </w:r>
      <w:r w:rsidRPr="00B00AA2">
        <w:rPr>
          <w:rFonts w:ascii="Arial" w:hAnsi="Arial" w:cs="Arial"/>
          <w:color w:val="000000" w:themeColor="text1"/>
          <w:sz w:val="22"/>
        </w:rPr>
        <w:t>. Esta entidad, por otro lado, en ejercicio de sus competencias legales y reglamentarias, está encargada de la publicación de la información en su portal Web: https://www.colombiacompra.gov.co/.</w:t>
      </w:r>
    </w:p>
    <w:p w:rsidRPr="00B00AA2" w:rsidR="008C487C" w:rsidP="008C487C" w:rsidRDefault="008C487C" w14:paraId="2ACBBB3A" w14:textId="77777777">
      <w:pPr>
        <w:spacing w:before="120" w:line="276" w:lineRule="auto"/>
        <w:ind w:firstLine="708"/>
        <w:jc w:val="both"/>
        <w:rPr>
          <w:rFonts w:ascii="Arial" w:hAnsi="Arial" w:cs="Arial"/>
          <w:color w:val="000000" w:themeColor="text1"/>
          <w:sz w:val="22"/>
        </w:rPr>
      </w:pPr>
      <w:r w:rsidRPr="00B00AA2">
        <w:rPr>
          <w:rFonts w:ascii="Arial" w:hAnsi="Arial" w:cs="Arial"/>
          <w:color w:val="000000" w:themeColor="text1"/>
          <w:sz w:val="22"/>
        </w:rPr>
        <w:lastRenderedPageBreak/>
        <w:t xml:space="preserve">El numeral segundo establece dos exigencias: por un lado, que al menos tres (3)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presenten a la entidad la solicitud formal de limitar el proceso contractual; y por el otro, que hagan la solicitud por lo menos un día antes de la apertura del proceso de contratación. En relación con tales exigencias, Colombia Compra Eficiente ha precisado que «[s]i bien la normativa del sistema de compra publica no establece como requisito acreditar la relación entre el objeto de la </w:t>
      </w:r>
      <w:proofErr w:type="spellStart"/>
      <w:r w:rsidRPr="00B00AA2">
        <w:rPr>
          <w:rFonts w:ascii="Arial" w:hAnsi="Arial" w:cs="Arial"/>
          <w:color w:val="000000" w:themeColor="text1"/>
          <w:sz w:val="22"/>
        </w:rPr>
        <w:t>Mipyme</w:t>
      </w:r>
      <w:proofErr w:type="spellEnd"/>
      <w:r w:rsidRPr="00B00AA2">
        <w:rPr>
          <w:rFonts w:ascii="Arial" w:hAnsi="Arial" w:cs="Arial"/>
          <w:color w:val="000000" w:themeColor="text1"/>
          <w:sz w:val="22"/>
        </w:rPr>
        <w:t xml:space="preserve"> y el objeto contrato, es imperativo que la entidad estatal verifique que quienes solicitan la limitación del proceso a </w:t>
      </w:r>
      <w:proofErr w:type="spellStart"/>
      <w:r w:rsidRPr="00B00AA2">
        <w:rPr>
          <w:rFonts w:ascii="Arial" w:hAnsi="Arial" w:cs="Arial"/>
          <w:color w:val="000000" w:themeColor="text1"/>
          <w:sz w:val="22"/>
        </w:rPr>
        <w:t>Mipyme</w:t>
      </w:r>
      <w:proofErr w:type="spellEnd"/>
      <w:r w:rsidRPr="00B00AA2">
        <w:rPr>
          <w:rFonts w:ascii="Arial" w:hAnsi="Arial" w:cs="Arial"/>
          <w:color w:val="000000" w:themeColor="text1"/>
          <w:sz w:val="22"/>
        </w:rPr>
        <w:t xml:space="preserve"> tienen un objeto social similar al objeto del contrato y, de ser así, la entidad deberá limitar el proceso de contratación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w:t>
      </w:r>
      <w:r w:rsidRPr="00B00AA2">
        <w:rPr>
          <w:rStyle w:val="Refdenotaalpie"/>
          <w:rFonts w:ascii="Arial" w:hAnsi="Arial" w:cs="Arial"/>
          <w:color w:val="000000" w:themeColor="text1"/>
          <w:sz w:val="22"/>
        </w:rPr>
        <w:footnoteReference w:id="9"/>
      </w:r>
      <w:r w:rsidRPr="00B00AA2">
        <w:rPr>
          <w:rFonts w:ascii="Arial" w:hAnsi="Arial" w:cs="Arial"/>
          <w:color w:val="000000" w:themeColor="text1"/>
          <w:sz w:val="22"/>
        </w:rPr>
        <w:t>.</w:t>
      </w:r>
      <w:r w:rsidRPr="00B00AA2">
        <w:rPr>
          <w:rFonts w:ascii="Arial" w:hAnsi="Arial" w:cs="Arial"/>
          <w:i/>
          <w:iCs/>
          <w:color w:val="000000" w:themeColor="text1"/>
          <w:sz w:val="22"/>
        </w:rPr>
        <w:t xml:space="preserve"> </w:t>
      </w:r>
      <w:r w:rsidRPr="00B00AA2">
        <w:rPr>
          <w:rFonts w:ascii="Arial" w:hAnsi="Arial" w:cs="Arial"/>
          <w:color w:val="000000" w:themeColor="text1"/>
          <w:sz w:val="22"/>
        </w:rPr>
        <w:t xml:space="preserve">También ha dicho que la entidad estatal debe aceptar las ofertas de consorcios o uniones temporales formados exclusivamente por </w:t>
      </w:r>
      <w:proofErr w:type="spellStart"/>
      <w:r w:rsidRPr="00B00AA2">
        <w:rPr>
          <w:rFonts w:ascii="Arial" w:hAnsi="Arial" w:cs="Arial"/>
          <w:color w:val="000000" w:themeColor="text1"/>
          <w:sz w:val="22"/>
        </w:rPr>
        <w:t>Mipyme</w:t>
      </w:r>
      <w:proofErr w:type="spellEnd"/>
      <w:r w:rsidRPr="00B00AA2">
        <w:rPr>
          <w:rFonts w:ascii="Arial" w:hAnsi="Arial" w:cs="Arial"/>
          <w:color w:val="000000" w:themeColor="text1"/>
          <w:sz w:val="22"/>
        </w:rPr>
        <w:t xml:space="preserve"> y promesas de sociedad futura suscritas por </w:t>
      </w:r>
      <w:proofErr w:type="spellStart"/>
      <w:r w:rsidRPr="00B00AA2">
        <w:rPr>
          <w:rFonts w:ascii="Arial" w:hAnsi="Arial" w:cs="Arial"/>
          <w:color w:val="000000" w:themeColor="text1"/>
          <w:sz w:val="22"/>
        </w:rPr>
        <w:t>Mipyme</w:t>
      </w:r>
      <w:proofErr w:type="spellEnd"/>
      <w:r w:rsidRPr="00B00AA2">
        <w:rPr>
          <w:rFonts w:ascii="Arial" w:hAnsi="Arial" w:cs="Arial"/>
          <w:color w:val="000000" w:themeColor="text1"/>
          <w:sz w:val="22"/>
        </w:rPr>
        <w:t>»</w:t>
      </w:r>
      <w:r w:rsidRPr="00B00AA2">
        <w:rPr>
          <w:rStyle w:val="Refdenotaalpie"/>
          <w:rFonts w:ascii="Arial" w:hAnsi="Arial" w:cs="Arial"/>
          <w:color w:val="000000" w:themeColor="text1"/>
          <w:sz w:val="22"/>
        </w:rPr>
        <w:footnoteReference w:id="10"/>
      </w:r>
      <w:r w:rsidRPr="00B00AA2">
        <w:rPr>
          <w:rFonts w:ascii="Arial" w:hAnsi="Arial" w:cs="Arial"/>
          <w:color w:val="000000" w:themeColor="text1"/>
          <w:sz w:val="22"/>
        </w:rPr>
        <w:t xml:space="preserve">. </w:t>
      </w:r>
    </w:p>
    <w:p w:rsidRPr="00B00AA2" w:rsidR="008C487C" w:rsidP="008C487C" w:rsidRDefault="008C487C" w14:paraId="64DA653A" w14:textId="77777777">
      <w:pPr>
        <w:spacing w:before="120" w:line="276" w:lineRule="auto"/>
        <w:ind w:firstLine="709"/>
        <w:jc w:val="both"/>
        <w:rPr>
          <w:rFonts w:ascii="Arial" w:hAnsi="Arial" w:eastAsia="Calibri" w:cs="Arial"/>
          <w:color w:val="000000" w:themeColor="text1"/>
          <w:sz w:val="22"/>
        </w:rPr>
      </w:pPr>
      <w:r w:rsidRPr="00B00AA2">
        <w:rPr>
          <w:rFonts w:ascii="Arial" w:hAnsi="Arial" w:cs="Arial"/>
          <w:color w:val="000000" w:themeColor="text1"/>
          <w:sz w:val="22"/>
        </w:rPr>
        <w:t xml:space="preserve">De todos modos, las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que pretendan participar en el proceso de selección deben acreditar mínimo un año de existencia, para lo cual deben presentar el certificado expedido por la cámara de comercio o por la autoridad que sea competente para dicha acreditación</w:t>
      </w:r>
      <w:r w:rsidRPr="00B00AA2">
        <w:rPr>
          <w:rFonts w:ascii="Arial" w:hAnsi="Arial" w:cs="Arial"/>
          <w:color w:val="000000" w:themeColor="text1"/>
          <w:sz w:val="22"/>
          <w:vertAlign w:val="superscript"/>
        </w:rPr>
        <w:footnoteReference w:id="11"/>
      </w:r>
      <w:r w:rsidRPr="00B00AA2">
        <w:rPr>
          <w:rFonts w:ascii="Arial" w:hAnsi="Arial" w:cs="Arial"/>
          <w:color w:val="000000" w:themeColor="text1"/>
          <w:sz w:val="22"/>
        </w:rPr>
        <w:t xml:space="preserve">. </w:t>
      </w:r>
    </w:p>
    <w:p w:rsidRPr="00B00AA2" w:rsidR="008C487C" w:rsidP="008C487C" w:rsidRDefault="008C487C" w14:paraId="296A5503" w14:textId="27386CFC">
      <w:pPr>
        <w:spacing w:before="120" w:line="276" w:lineRule="auto"/>
        <w:ind w:firstLine="708"/>
        <w:jc w:val="both"/>
        <w:rPr>
          <w:rFonts w:ascii="Arial" w:hAnsi="Arial" w:cs="Arial"/>
          <w:color w:val="000000" w:themeColor="text1"/>
          <w:sz w:val="22"/>
        </w:rPr>
      </w:pPr>
      <w:r w:rsidRPr="00B00AA2">
        <w:rPr>
          <w:rFonts w:ascii="Arial" w:hAnsi="Arial" w:cs="Arial"/>
          <w:color w:val="000000" w:themeColor="text1"/>
          <w:sz w:val="22"/>
        </w:rPr>
        <w:t xml:space="preserve">b) Cumplidos los dos requisitos del artículo 2.2.1.2.4.2.2. </w:t>
      </w:r>
      <w:r w:rsidRPr="00B00AA2">
        <w:rPr>
          <w:rFonts w:ascii="Arial" w:hAnsi="Arial" w:cs="Arial"/>
          <w:i/>
          <w:iCs/>
          <w:color w:val="000000" w:themeColor="text1"/>
          <w:sz w:val="22"/>
        </w:rPr>
        <w:t>ibidem</w:t>
      </w:r>
      <w:r w:rsidRPr="00B00AA2">
        <w:rPr>
          <w:rFonts w:ascii="Arial" w:hAnsi="Arial" w:cs="Arial"/>
          <w:color w:val="000000" w:themeColor="text1"/>
          <w:sz w:val="22"/>
        </w:rPr>
        <w:t xml:space="preserve">, la entidad puede ─no tiene que─ decidir si limita la convocatoria a las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domiciliadas en el municipio o departamento en el que se ejecutará el contrato</w:t>
      </w:r>
      <w:r w:rsidRPr="00B00AA2">
        <w:rPr>
          <w:rFonts w:ascii="Arial" w:hAnsi="Arial" w:cs="Arial"/>
          <w:color w:val="000000" w:themeColor="text1"/>
          <w:sz w:val="22"/>
          <w:vertAlign w:val="superscript"/>
        </w:rPr>
        <w:footnoteReference w:id="12"/>
      </w:r>
      <w:r w:rsidRPr="00B00AA2">
        <w:rPr>
          <w:rFonts w:ascii="Arial" w:hAnsi="Arial" w:cs="Arial"/>
          <w:color w:val="000000" w:themeColor="text1"/>
          <w:sz w:val="22"/>
        </w:rPr>
        <w:t xml:space="preserve">. Esto de acuerdo con lo establecido en artículo 2.2.1.2.4.2.3. del Decreto 1082 de 2015, norma que se refiere a la facultad de la administración con el verbo infinitivo «poder», no «deber». </w:t>
      </w:r>
    </w:p>
    <w:p w:rsidRPr="00B00AA2" w:rsidR="008C487C" w:rsidP="008C487C" w:rsidRDefault="008C487C" w14:paraId="6F4C1FFD" w14:textId="77777777">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Colombia Compra Eficiente ha sostenido que es discrecional la decisión de limitar territorialmente una convocatoria de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w:t>
      </w:r>
      <w:r w:rsidRPr="00B00AA2">
        <w:rPr>
          <w:rFonts w:ascii="Arial" w:hAnsi="Arial" w:cs="Arial"/>
          <w:color w:val="000000" w:themeColor="text1"/>
          <w:sz w:val="22"/>
        </w:rPr>
        <w:t>artículo 2.2.1.2.4.2.3. del Decreto 1082 de 2015,</w:t>
      </w:r>
      <w:r w:rsidRPr="00B00AA2">
        <w:rPr>
          <w:rFonts w:ascii="Arial" w:hAnsi="Arial" w:eastAsia="Calibri" w:cs="Arial"/>
          <w:color w:val="000000" w:themeColor="text1"/>
          <w:sz w:val="22"/>
        </w:rPr>
        <w:t xml:space="preserve"> las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w:t>
      </w:r>
      <w:r w:rsidRPr="00B00AA2">
        <w:rPr>
          <w:rFonts w:ascii="Arial" w:hAnsi="Arial" w:eastAsia="Calibri" w:cs="Arial"/>
          <w:color w:val="000000" w:themeColor="text1"/>
          <w:sz w:val="22"/>
        </w:rPr>
        <w:lastRenderedPageBreak/>
        <w:t>beneficiadas deben tener su domicilio principal en el municipio o departamento donde se ejecutará el contrato para poder participar en una convocatoria limitada territorialmente</w:t>
      </w:r>
      <w:r w:rsidRPr="00B00AA2">
        <w:rPr>
          <w:rStyle w:val="Refdenotaalpie"/>
          <w:rFonts w:ascii="Arial" w:hAnsi="Arial" w:cs="Arial"/>
          <w:color w:val="000000" w:themeColor="text1"/>
          <w:sz w:val="22"/>
        </w:rPr>
        <w:footnoteReference w:id="13"/>
      </w:r>
      <w:r w:rsidRPr="00B00AA2">
        <w:rPr>
          <w:rFonts w:ascii="Arial" w:hAnsi="Arial" w:cs="Arial"/>
          <w:color w:val="000000" w:themeColor="text1"/>
          <w:sz w:val="22"/>
        </w:rPr>
        <w:t>.</w:t>
      </w:r>
    </w:p>
    <w:p w:rsidRPr="00B00AA2" w:rsidR="008C487C" w:rsidP="008C487C" w:rsidRDefault="008C487C" w14:paraId="56742D30" w14:textId="77777777">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Adicionalmente, en la consulta No. 215130008193, del 9 de noviembre de 2015, esta Subdirección sostuvo que «[p]ara limitar un Proceso de Contratación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territoriales la Entidad Estatal debe tener en cuenta que se cumplan necesariamente 3 supuestos». Los dos primeros, se dijo, están en el artículo 2.2.1.2.4.2.2 del Decreto 1082 de 2015, mientras que el tercero se encuentra en el artículo 2.2.1.2.4.2.3 </w:t>
      </w:r>
      <w:r w:rsidRPr="00B00AA2">
        <w:rPr>
          <w:rFonts w:ascii="Arial" w:hAnsi="Arial" w:eastAsia="Calibri" w:cs="Arial"/>
          <w:i/>
          <w:iCs/>
          <w:color w:val="000000" w:themeColor="text1"/>
          <w:sz w:val="22"/>
        </w:rPr>
        <w:t>ibidem</w:t>
      </w:r>
      <w:r w:rsidRPr="00B00AA2">
        <w:rPr>
          <w:rFonts w:ascii="Arial" w:hAnsi="Arial" w:eastAsia="Calibri" w:cs="Arial"/>
          <w:color w:val="000000" w:themeColor="text1"/>
          <w:sz w:val="22"/>
        </w:rPr>
        <w:t xml:space="preserve">. Este último, «debe entenderse en el sentido que si las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que manifiestan su interés en limitar la convocatoria son por lo menos tres </w:t>
      </w:r>
      <w:proofErr w:type="spellStart"/>
      <w:r w:rsidRPr="00B00AA2">
        <w:rPr>
          <w:rFonts w:ascii="Arial" w:hAnsi="Arial" w:eastAsia="Calibri" w:cs="Arial"/>
          <w:color w:val="000000" w:themeColor="text1"/>
          <w:sz w:val="22"/>
        </w:rPr>
        <w:t>Mipyme</w:t>
      </w:r>
      <w:proofErr w:type="spellEnd"/>
      <w:r w:rsidRPr="00B00AA2">
        <w:rPr>
          <w:rFonts w:ascii="Arial" w:hAnsi="Arial" w:eastAsia="Calibri" w:cs="Arial"/>
          <w:color w:val="000000" w:themeColor="text1"/>
          <w:sz w:val="22"/>
        </w:rPr>
        <w:t xml:space="preserve"> domiciliadas en el departamento o municipio, la limitación será territorial y no nacional». Este entendimiento de la norma, sin embargo, da lugar a dos interpretaciones sobre las que se deben hacer unas precisiones.</w:t>
      </w:r>
    </w:p>
    <w:p w:rsidRPr="00B00AA2" w:rsidR="008C487C" w:rsidP="008C487C" w:rsidRDefault="008C487C" w14:paraId="41F66314" w14:textId="5D4BA28E">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i/>
          <w:iCs/>
          <w:color w:val="000000" w:themeColor="text1"/>
          <w:sz w:val="22"/>
        </w:rPr>
        <w:t>Por un lado</w:t>
      </w:r>
      <w:r w:rsidRPr="00B00AA2">
        <w:rPr>
          <w:rFonts w:ascii="Arial" w:hAnsi="Arial" w:eastAsia="Calibri" w:cs="Arial"/>
          <w:color w:val="000000" w:themeColor="text1"/>
          <w:sz w:val="22"/>
        </w:rPr>
        <w:t>, supone que la decisión de limitar territorialmente la convocatoria opera de pleno derecho</w:t>
      </w:r>
      <w:r w:rsidRPr="00B00AA2" w:rsidR="00882ABB">
        <w:rPr>
          <w:rFonts w:ascii="Arial" w:hAnsi="Arial" w:eastAsia="Calibri" w:cs="Arial"/>
          <w:color w:val="000000" w:themeColor="text1"/>
          <w:sz w:val="22"/>
        </w:rPr>
        <w:t>,</w:t>
      </w:r>
      <w:r w:rsidRPr="00B00AA2">
        <w:rPr>
          <w:rFonts w:ascii="Arial" w:hAnsi="Arial" w:eastAsia="Calibri" w:cs="Arial"/>
          <w:color w:val="000000" w:themeColor="text1"/>
          <w:sz w:val="22"/>
        </w:rPr>
        <w:t xml:space="preserve"> cuando lo solicitan tres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domiciliadas en el municipio o en el departamento en el que se va a ejecutar el contrato. Sin embargo, se debe tener presente que lo que sucede de pleno derecho es la limitación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a la que se refiere el artículo 2.2.1.2.4.2.2. del Decreto 1082 de 2015, pero no la «limitación territorial» referida en el artículo 2.2.1.2.4.2.3. </w:t>
      </w:r>
      <w:proofErr w:type="spellStart"/>
      <w:r w:rsidRPr="00B00AA2">
        <w:rPr>
          <w:rFonts w:ascii="Arial" w:hAnsi="Arial" w:eastAsia="Calibri" w:cs="Arial"/>
          <w:i/>
          <w:iCs/>
          <w:color w:val="000000" w:themeColor="text1"/>
          <w:sz w:val="22"/>
        </w:rPr>
        <w:t>ibídem</w:t>
      </w:r>
      <w:proofErr w:type="spellEnd"/>
      <w:r w:rsidRPr="00B00AA2">
        <w:rPr>
          <w:rFonts w:ascii="Arial" w:hAnsi="Arial" w:eastAsia="Calibri" w:cs="Arial"/>
          <w:color w:val="000000" w:themeColor="text1"/>
          <w:sz w:val="22"/>
        </w:rPr>
        <w:t xml:space="preserve">, pues esta, como ya se dijo, es facultativa para la entidad. Las únicas exigencias son que la convocatoria esté limitada a las </w:t>
      </w:r>
      <w:proofErr w:type="spellStart"/>
      <w:r w:rsidRPr="00B00AA2">
        <w:rPr>
          <w:rFonts w:ascii="Arial" w:hAnsi="Arial" w:eastAsia="Calibri" w:cs="Arial"/>
          <w:color w:val="000000" w:themeColor="text1"/>
          <w:sz w:val="22"/>
        </w:rPr>
        <w:t>Mipyme</w:t>
      </w:r>
      <w:proofErr w:type="spellEnd"/>
      <w:r w:rsidRPr="00B00AA2">
        <w:rPr>
          <w:rFonts w:ascii="Arial" w:hAnsi="Arial" w:eastAsia="Calibri" w:cs="Arial"/>
          <w:color w:val="000000" w:themeColor="text1"/>
          <w:sz w:val="22"/>
        </w:rPr>
        <w:t xml:space="preserve"> nacionales «domiciliadas en los departamentos o municipios en donde se va a ejecutar el contrato» y que la entidad justifique su decisión en los «estudios del sector». No es procedente, entonces, que sean las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las que soliciten la «limitación territorial» a la que se refiere el artículo 2.2.1.2.4.2.3. del Decreto 1082 de 2015.</w:t>
      </w:r>
    </w:p>
    <w:p w:rsidRPr="00B00AA2" w:rsidR="008C487C" w:rsidP="008C487C" w:rsidRDefault="008C487C" w14:paraId="2443CB89" w14:textId="77777777">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que solicitan la «limitación territorial» no es relevante frente a dicha decisión, por dos razones. Primero, porque las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no están habilitadas para pedir la «limitación territorial», lo están para pedir la «convocatoria limitada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y, segundo, porque el único criterio </w:t>
      </w:r>
      <w:proofErr w:type="gramStart"/>
      <w:r w:rsidRPr="00B00AA2">
        <w:rPr>
          <w:rFonts w:ascii="Arial" w:hAnsi="Arial" w:eastAsia="Calibri" w:cs="Arial"/>
          <w:color w:val="000000" w:themeColor="text1"/>
          <w:sz w:val="22"/>
        </w:rPr>
        <w:t>a</w:t>
      </w:r>
      <w:proofErr w:type="gramEnd"/>
      <w:r w:rsidRPr="00B00AA2">
        <w:rPr>
          <w:rFonts w:ascii="Arial" w:hAnsi="Arial" w:eastAsia="Calibri" w:cs="Arial"/>
          <w:color w:val="000000" w:themeColor="text1"/>
          <w:sz w:val="22"/>
        </w:rPr>
        <w:t xml:space="preserve"> tener en cuenta, una vez se ha decidido justificadamente limitar territorialmente la convocatoria previamente limitada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es el lugar donde se va a ejecutar el contrato.</w:t>
      </w:r>
    </w:p>
    <w:p w:rsidRPr="00B00AA2" w:rsidR="008C487C" w:rsidP="008C487C" w:rsidRDefault="008C487C" w14:paraId="57E4155E" w14:textId="2992384A">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i/>
          <w:iCs/>
          <w:color w:val="000000" w:themeColor="text1"/>
          <w:sz w:val="22"/>
        </w:rPr>
        <w:t>Por otro lado</w:t>
      </w:r>
      <w:r w:rsidRPr="00B00AA2">
        <w:rPr>
          <w:rFonts w:ascii="Arial" w:hAnsi="Arial" w:eastAsia="Calibri" w:cs="Arial"/>
          <w:color w:val="000000" w:themeColor="text1"/>
          <w:sz w:val="22"/>
        </w:rPr>
        <w:t xml:space="preserve">, supone que la decisión de la entidad únicamente puede darse si la solicitud provino de tres o más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domiciliadas en el municipio o departamento en donde se va a ejecutar el contrato. Sin embargo, una vez se verifican los requisitos de los numerales 1 y 2 del artículo 2.2.1.2.4.2.2. del Decreto 1082 de 2015, la entidad queda habilitada para decidir si limita o no la convocatoria «a </w:t>
      </w:r>
      <w:proofErr w:type="spellStart"/>
      <w:r w:rsidRPr="00B00AA2">
        <w:rPr>
          <w:rFonts w:ascii="Arial" w:hAnsi="Arial" w:eastAsia="Calibri" w:cs="Arial"/>
          <w:color w:val="000000" w:themeColor="text1"/>
          <w:sz w:val="22"/>
        </w:rPr>
        <w:t>Mipyme</w:t>
      </w:r>
      <w:proofErr w:type="spellEnd"/>
      <w:r w:rsidRPr="00B00AA2">
        <w:rPr>
          <w:rFonts w:ascii="Arial" w:hAnsi="Arial" w:eastAsia="Calibri" w:cs="Arial"/>
          <w:color w:val="000000" w:themeColor="text1"/>
          <w:sz w:val="22"/>
        </w:rPr>
        <w:t xml:space="preserve"> nacionales domiciliadas en </w:t>
      </w:r>
      <w:r w:rsidRPr="00B00AA2">
        <w:rPr>
          <w:rFonts w:ascii="Arial" w:hAnsi="Arial" w:eastAsia="Calibri" w:cs="Arial"/>
          <w:color w:val="000000" w:themeColor="text1"/>
          <w:sz w:val="22"/>
        </w:rPr>
        <w:lastRenderedPageBreak/>
        <w:t xml:space="preserve">los departamentos o municipios en donde se va a ejecutar el contrato», sin que sea relevante el </w:t>
      </w:r>
      <w:r w:rsidRPr="00B00AA2" w:rsidR="008C24B6">
        <w:rPr>
          <w:rFonts w:ascii="Arial" w:hAnsi="Arial" w:eastAsia="Calibri" w:cs="Arial"/>
          <w:color w:val="000000" w:themeColor="text1"/>
          <w:sz w:val="22"/>
        </w:rPr>
        <w:t>«</w:t>
      </w:r>
      <w:r w:rsidRPr="00B00AA2">
        <w:rPr>
          <w:rFonts w:ascii="Arial" w:hAnsi="Arial" w:eastAsia="Calibri" w:cs="Arial"/>
          <w:color w:val="000000" w:themeColor="text1"/>
          <w:sz w:val="22"/>
        </w:rPr>
        <w:t>domicilio</w:t>
      </w:r>
      <w:r w:rsidRPr="00B00AA2" w:rsidR="008C24B6">
        <w:rPr>
          <w:rFonts w:ascii="Arial" w:hAnsi="Arial" w:eastAsia="Calibri" w:cs="Arial"/>
          <w:color w:val="000000" w:themeColor="text1"/>
          <w:sz w:val="22"/>
        </w:rPr>
        <w:t>»</w:t>
      </w:r>
      <w:r w:rsidRPr="00B00AA2">
        <w:rPr>
          <w:rFonts w:ascii="Arial" w:hAnsi="Arial" w:eastAsia="Calibri" w:cs="Arial"/>
          <w:color w:val="000000" w:themeColor="text1"/>
          <w:sz w:val="22"/>
        </w:rPr>
        <w:t xml:space="preserve"> de las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que solicitaron limitar la convocatoria.</w:t>
      </w:r>
    </w:p>
    <w:p w:rsidRPr="00B00AA2" w:rsidR="008C487C" w:rsidP="008C487C" w:rsidRDefault="008C487C" w14:paraId="6414A5BE" w14:textId="77777777">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Puede pasar, por ejemplo, que tres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domiciliadas en la capital de la República soliciten la limitación de un proceso contractual iniciado por el Distrito de Bogotá, para un contrato a ejecutar allí mismo. En ese caso, la entidad tendría que limitar el proceso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claro está, siempre que se cumplan los requisitos legales, pero se reservaría la posibilidad de limitar el proceso contractual a las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y puede decidir si, además, lo limita territorialmente. En este último evento es irrelevante que las solicitantes tengan su domicilio en Bogotá o, incluso, que lo tuvieran en diferentes lugares del país. De todos modos, el municipio de Medellín solo podrá limitar «a </w:t>
      </w:r>
      <w:proofErr w:type="spellStart"/>
      <w:r w:rsidRPr="00B00AA2">
        <w:rPr>
          <w:rFonts w:ascii="Arial" w:hAnsi="Arial" w:eastAsia="Calibri" w:cs="Arial"/>
          <w:color w:val="000000" w:themeColor="text1"/>
          <w:sz w:val="22"/>
        </w:rPr>
        <w:t>Mipyme</w:t>
      </w:r>
      <w:proofErr w:type="spellEnd"/>
      <w:r w:rsidRPr="00B00AA2">
        <w:rPr>
          <w:rFonts w:ascii="Arial" w:hAnsi="Arial" w:eastAsia="Calibri" w:cs="Arial"/>
          <w:color w:val="000000" w:themeColor="text1"/>
          <w:sz w:val="22"/>
        </w:rPr>
        <w:t xml:space="preserve"> nacionales domiciliadas en los departamentos o municipios en donde se va a ejecutar el contrato», esto es, para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cuyo domicilio sea en Medellín o en el departamento de Antioquia. A la misma conclusión habría que llegar, incluso, si la entidad contratante es del orden nacional, se itera, porque lo relevante aquí es el lugar de ejecución del contrato a limitar.</w:t>
      </w:r>
    </w:p>
    <w:p w:rsidRPr="00B00AA2" w:rsidR="008C487C" w:rsidP="008C487C" w:rsidRDefault="008C487C" w14:paraId="072747C3" w14:textId="77777777">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2.2.1.2.4.2.2. del Decreto 1082 de 2015 debe hacerse dentro del ordenamiento jurídico, eso es, atendiendo la regla que, para esos efectos, establece el referido artículo, el cual, valga la pena decirlo, se refiere a «los municipios o departamentos» en plural y no a un municipio o a un departamento ─en singular─.</w:t>
      </w:r>
    </w:p>
    <w:p w:rsidRPr="00B00AA2" w:rsidR="008C487C" w:rsidP="008C487C" w:rsidRDefault="008C487C" w14:paraId="08F8C03C" w14:textId="3AB9CDEC">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Sin perjuicio de lo anterior, no puede perderse de vista que la decisión de limitar «a </w:t>
      </w:r>
      <w:proofErr w:type="spellStart"/>
      <w:r w:rsidRPr="00B00AA2">
        <w:rPr>
          <w:rFonts w:ascii="Arial" w:hAnsi="Arial" w:eastAsia="Calibri" w:cs="Arial"/>
          <w:color w:val="000000" w:themeColor="text1"/>
          <w:sz w:val="22"/>
        </w:rPr>
        <w:t>Mipyme</w:t>
      </w:r>
      <w:proofErr w:type="spellEnd"/>
      <w:r w:rsidRPr="00B00AA2">
        <w:rPr>
          <w:rFonts w:ascii="Arial" w:hAnsi="Arial" w:eastAsia="Calibri" w:cs="Arial"/>
          <w:color w:val="000000" w:themeColor="text1"/>
          <w:sz w:val="22"/>
        </w:rPr>
        <w:t xml:space="preserv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no puede </w:t>
      </w:r>
      <w:r w:rsidRPr="00B00AA2">
        <w:rPr>
          <w:rFonts w:ascii="Arial" w:hAnsi="Arial" w:eastAsia="Calibri" w:cs="Arial"/>
          <w:i/>
          <w:iCs/>
          <w:color w:val="000000" w:themeColor="text1"/>
          <w:sz w:val="22"/>
        </w:rPr>
        <w:t xml:space="preserve">motu propio </w:t>
      </w:r>
      <w:r w:rsidRPr="00B00AA2">
        <w:rPr>
          <w:rFonts w:ascii="Arial" w:hAnsi="Arial" w:eastAsia="Calibri" w:cs="Arial"/>
          <w:color w:val="000000" w:themeColor="text1"/>
          <w:sz w:val="22"/>
        </w:rPr>
        <w:t xml:space="preserve">hacer la «limitación territorial» de que trata el artículo 2.2.1.2.4.2.3. del Decreto 1082 de 2015, ya que el ejercicio de esta facultad solo puede darse ante «limitación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lo cual supone la verificación de los supuestos legales establecidos en los mencionados numerales.</w:t>
      </w:r>
    </w:p>
    <w:p w:rsidRPr="00B00AA2" w:rsidR="008C487C" w:rsidP="008C487C" w:rsidRDefault="008C487C" w14:paraId="49F380B5" w14:textId="77777777">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lastRenderedPageBreak/>
        <w:t>En suma, e</w:t>
      </w:r>
      <w:r w:rsidRPr="00B00AA2">
        <w:rPr>
          <w:rFonts w:ascii="Arial" w:hAnsi="Arial" w:cs="Arial"/>
          <w:color w:val="000000" w:themeColor="text1"/>
          <w:sz w:val="22"/>
        </w:rPr>
        <w:t xml:space="preserve">l Decreto 1082 de 2015 regula la limitación de convocatorias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en dos normas distintas que deben leerse conjunta y armónicamente. Por un lado, el artículo </w:t>
      </w:r>
      <w:r w:rsidRPr="00B00AA2">
        <w:rPr>
          <w:rFonts w:ascii="Arial" w:hAnsi="Arial" w:eastAsia="Calibri" w:cs="Arial"/>
          <w:color w:val="000000" w:themeColor="text1"/>
          <w:sz w:val="22"/>
        </w:rPr>
        <w:t xml:space="preserve">2.2.1.2.4.2.2. </w:t>
      </w:r>
      <w:r w:rsidRPr="00B00AA2">
        <w:rPr>
          <w:rFonts w:ascii="Arial" w:hAnsi="Arial" w:cs="Arial"/>
          <w:color w:val="000000" w:themeColor="text1"/>
          <w:sz w:val="22"/>
        </w:rPr>
        <w:t xml:space="preserve">prevé los requisitos generales para que la entidad limite sus convocatorias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Por el otro, el artículo </w:t>
      </w:r>
      <w:r w:rsidRPr="00B00AA2">
        <w:rPr>
          <w:rFonts w:ascii="Arial" w:hAnsi="Arial" w:eastAsia="Calibri" w:cs="Arial"/>
          <w:color w:val="000000" w:themeColor="text1"/>
          <w:sz w:val="22"/>
        </w:rPr>
        <w:t xml:space="preserve">2.2.1.2.4.2.3. </w:t>
      </w:r>
      <w:r w:rsidRPr="00B00AA2">
        <w:rPr>
          <w:rFonts w:ascii="Arial" w:hAnsi="Arial" w:cs="Arial"/>
          <w:color w:val="000000" w:themeColor="text1"/>
          <w:sz w:val="22"/>
        </w:rPr>
        <w:t xml:space="preserve">establece la posibilidad de limitar la convocatoria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domiciliadas en los departamentos o municipios en donde se va a ejecutar el contrato, por supuesto, siempre que la entidad así lo decida y solo si se cumplen las exigencias del artículo </w:t>
      </w:r>
      <w:r w:rsidRPr="00B00AA2">
        <w:rPr>
          <w:rFonts w:ascii="Arial" w:hAnsi="Arial" w:eastAsia="Calibri" w:cs="Arial"/>
          <w:color w:val="000000" w:themeColor="text1"/>
          <w:sz w:val="22"/>
        </w:rPr>
        <w:t>2.2.1.2.4.2.2.</w:t>
      </w:r>
    </w:p>
    <w:p w:rsidRPr="00B00AA2" w:rsidR="008C487C" w:rsidP="008C487C" w:rsidRDefault="008C487C" w14:paraId="1D9D8176" w14:textId="051DB06D">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Sin perjuicio de lo anterior, la Agencia Nacional de Contratación Pública </w:t>
      </w:r>
      <w:r w:rsidRPr="00B00AA2" w:rsidR="00B65290">
        <w:rPr>
          <w:rFonts w:ascii="Arial" w:hAnsi="Arial" w:eastAsia="Calibri" w:cs="Arial"/>
          <w:color w:val="000000" w:themeColor="text1"/>
          <w:sz w:val="22"/>
        </w:rPr>
        <w:t xml:space="preserve">– Colombia Compra Eficiente </w:t>
      </w:r>
      <w:r w:rsidRPr="00B00AA2">
        <w:rPr>
          <w:rFonts w:ascii="Arial" w:hAnsi="Arial" w:eastAsia="Calibri" w:cs="Arial"/>
          <w:color w:val="000000" w:themeColor="text1"/>
          <w:sz w:val="22"/>
        </w:rPr>
        <w:t xml:space="preserve">considera que lo recomendable es que las entidades establezcan </w:t>
      </w:r>
      <w:r w:rsidRPr="00B00AA2">
        <w:rPr>
          <w:rFonts w:ascii="Arial" w:hAnsi="Arial" w:eastAsia="Calibri" w:cs="Arial"/>
          <w:i/>
          <w:iCs/>
          <w:color w:val="000000" w:themeColor="text1"/>
          <w:sz w:val="22"/>
        </w:rPr>
        <w:t xml:space="preserve">ex ante </w:t>
      </w:r>
      <w:r w:rsidRPr="00B00AA2">
        <w:rPr>
          <w:rFonts w:ascii="Arial" w:hAnsi="Arial" w:eastAsia="Calibri" w:cs="Arial"/>
          <w:color w:val="000000" w:themeColor="text1"/>
          <w:sz w:val="22"/>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w:t>
      </w:r>
      <w:r w:rsidRPr="00B00AA2" w:rsidR="00B65290">
        <w:rPr>
          <w:rFonts w:ascii="Arial" w:hAnsi="Arial" w:eastAsia="Calibri" w:cs="Arial"/>
          <w:color w:val="000000" w:themeColor="text1"/>
          <w:sz w:val="22"/>
        </w:rPr>
        <w:t>en que se cumplan los presupuestos para ser</w:t>
      </w:r>
      <w:r w:rsidRPr="00B00AA2">
        <w:rPr>
          <w:rFonts w:ascii="Arial" w:hAnsi="Arial" w:eastAsia="Calibri" w:cs="Arial"/>
          <w:color w:val="000000" w:themeColor="text1"/>
          <w:sz w:val="22"/>
        </w:rPr>
        <w:t xml:space="preserve"> limitada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w:t>
      </w:r>
      <w:proofErr w:type="gramStart"/>
      <w:r w:rsidRPr="00B00AA2">
        <w:rPr>
          <w:rFonts w:ascii="Arial" w:hAnsi="Arial" w:eastAsia="Calibri" w:cs="Arial"/>
          <w:color w:val="000000" w:themeColor="text1"/>
          <w:sz w:val="22"/>
        </w:rPr>
        <w:t>como</w:t>
      </w:r>
      <w:proofErr w:type="gramEnd"/>
      <w:r w:rsidRPr="00B00AA2">
        <w:rPr>
          <w:rFonts w:ascii="Arial" w:hAnsi="Arial" w:eastAsia="Calibri" w:cs="Arial"/>
          <w:color w:val="000000" w:themeColor="text1"/>
          <w:sz w:val="22"/>
        </w:rPr>
        <w:t xml:space="preserve"> por ejemplo, en relación con cuál o cuáles municipios o departamentos harían la limitación territorial de que trata el artículo 2.2.1.2.4.2.3. del Decreto 1082 de 2015.</w:t>
      </w:r>
    </w:p>
    <w:p w:rsidRPr="00B00AA2" w:rsidR="00DD0E98" w:rsidP="00DD0E98" w:rsidRDefault="00DD0E98" w14:paraId="0844E612" w14:textId="563AECF8">
      <w:pPr>
        <w:jc w:val="both"/>
        <w:rPr>
          <w:rFonts w:ascii="Arial" w:hAnsi="Arial" w:eastAsia="Calibri" w:cs="Arial"/>
          <w:color w:val="000000" w:themeColor="text1"/>
          <w:sz w:val="22"/>
        </w:rPr>
      </w:pPr>
    </w:p>
    <w:p w:rsidRPr="00B00AA2" w:rsidR="00DD0E98" w:rsidP="00882ABB" w:rsidRDefault="00DD0E98" w14:paraId="2DA1DB48" w14:textId="33A79AFC">
      <w:pPr>
        <w:spacing w:line="276" w:lineRule="auto"/>
        <w:jc w:val="both"/>
        <w:rPr>
          <w:rFonts w:ascii="Arial" w:hAnsi="Arial" w:eastAsia="Calibri" w:cs="Arial"/>
          <w:b/>
          <w:bCs/>
          <w:color w:val="000000" w:themeColor="text1"/>
          <w:sz w:val="22"/>
        </w:rPr>
      </w:pPr>
      <w:r w:rsidRPr="00B00AA2">
        <w:rPr>
          <w:rFonts w:ascii="Arial" w:hAnsi="Arial" w:eastAsia="Calibri" w:cs="Arial"/>
          <w:b/>
          <w:bCs/>
          <w:color w:val="000000" w:themeColor="text1"/>
          <w:sz w:val="22"/>
        </w:rPr>
        <w:t xml:space="preserve">2.2. Participación de las ESAL en los procesos contractuales limitados a </w:t>
      </w:r>
      <w:proofErr w:type="spellStart"/>
      <w:r w:rsidRPr="00B00AA2">
        <w:rPr>
          <w:rFonts w:ascii="Arial" w:hAnsi="Arial" w:eastAsia="Calibri" w:cs="Arial"/>
          <w:b/>
          <w:bCs/>
          <w:color w:val="000000" w:themeColor="text1"/>
          <w:sz w:val="22"/>
        </w:rPr>
        <w:t>Mipyme</w:t>
      </w:r>
      <w:proofErr w:type="spellEnd"/>
    </w:p>
    <w:p w:rsidRPr="00B00AA2" w:rsidR="008C487C" w:rsidP="008C487C" w:rsidRDefault="008C487C" w14:paraId="3E7C6050" w14:textId="3FF17383">
      <w:pPr>
        <w:spacing w:line="276" w:lineRule="auto"/>
        <w:ind w:left="709" w:right="709"/>
        <w:jc w:val="both"/>
        <w:rPr>
          <w:rFonts w:ascii="Arial" w:hAnsi="Arial" w:cs="Arial"/>
          <w:color w:val="000000" w:themeColor="text1"/>
          <w:sz w:val="21"/>
          <w:szCs w:val="21"/>
          <w:lang w:val="es-CO"/>
        </w:rPr>
      </w:pPr>
    </w:p>
    <w:p w:rsidRPr="00B00AA2" w:rsidR="00DD0E98" w:rsidP="00DD0E98" w:rsidRDefault="00430B5A" w14:paraId="5FE5F143" w14:textId="4F9B2D68">
      <w:pPr>
        <w:spacing w:line="276" w:lineRule="auto"/>
        <w:ind w:right="49"/>
        <w:jc w:val="both"/>
        <w:rPr>
          <w:rFonts w:ascii="Arial" w:hAnsi="Arial" w:cs="Arial"/>
          <w:color w:val="000000" w:themeColor="text1"/>
          <w:sz w:val="22"/>
          <w:lang w:val="es-CO"/>
        </w:rPr>
      </w:pPr>
      <w:r w:rsidRPr="00B00AA2">
        <w:rPr>
          <w:rFonts w:ascii="Arial" w:hAnsi="Arial" w:cs="Arial"/>
          <w:color w:val="000000" w:themeColor="text1"/>
          <w:sz w:val="22"/>
          <w:lang w:val="es-CO"/>
        </w:rPr>
        <w:t>El artículo 2 de l</w:t>
      </w:r>
      <w:r w:rsidRPr="00B00AA2" w:rsidR="00DD0E98">
        <w:rPr>
          <w:rFonts w:ascii="Arial" w:hAnsi="Arial" w:cs="Arial"/>
          <w:color w:val="000000" w:themeColor="text1"/>
          <w:sz w:val="22"/>
          <w:lang w:val="es-CO"/>
        </w:rPr>
        <w:t xml:space="preserve">a ley 590 de 2000, </w:t>
      </w:r>
      <w:r w:rsidRPr="00B00AA2">
        <w:rPr>
          <w:rFonts w:ascii="Arial" w:hAnsi="Arial" w:cs="Arial"/>
          <w:color w:val="000000" w:themeColor="text1"/>
          <w:sz w:val="22"/>
          <w:lang w:val="es-CO"/>
        </w:rPr>
        <w:t>como se dijo en el numeral anterior</w:t>
      </w:r>
      <w:r w:rsidRPr="00B00AA2" w:rsidR="00DD0E98">
        <w:rPr>
          <w:rFonts w:ascii="Arial" w:hAnsi="Arial" w:cs="Arial"/>
          <w:color w:val="000000" w:themeColor="text1"/>
          <w:sz w:val="22"/>
          <w:lang w:val="es-CO"/>
        </w:rPr>
        <w:t xml:space="preserve">, define </w:t>
      </w:r>
      <w:r w:rsidRPr="00B00AA2" w:rsidR="00286834">
        <w:rPr>
          <w:rFonts w:ascii="Arial" w:hAnsi="Arial" w:cs="Arial"/>
          <w:color w:val="000000" w:themeColor="text1"/>
          <w:sz w:val="22"/>
          <w:lang w:val="es-CO"/>
        </w:rPr>
        <w:t>la</w:t>
      </w:r>
      <w:r w:rsidRPr="00B00AA2" w:rsidR="00DD0E98">
        <w:rPr>
          <w:rFonts w:ascii="Arial" w:hAnsi="Arial" w:cs="Arial"/>
          <w:color w:val="000000" w:themeColor="text1"/>
          <w:sz w:val="22"/>
          <w:lang w:val="es-CO"/>
        </w:rPr>
        <w:t xml:space="preserve"> </w:t>
      </w:r>
      <w:r w:rsidRPr="00B00AA2" w:rsidR="00DD0E98">
        <w:rPr>
          <w:rFonts w:ascii="Arial" w:hAnsi="Arial" w:cs="Arial"/>
          <w:i/>
          <w:iCs/>
          <w:color w:val="000000" w:themeColor="text1"/>
          <w:sz w:val="22"/>
          <w:lang w:val="es-CO"/>
        </w:rPr>
        <w:t>empresa</w:t>
      </w:r>
      <w:r w:rsidRPr="00B00AA2" w:rsidR="00DD0E98">
        <w:rPr>
          <w:rFonts w:ascii="Arial" w:hAnsi="Arial" w:cs="Arial"/>
          <w:color w:val="000000" w:themeColor="text1"/>
          <w:sz w:val="22"/>
          <w:lang w:val="es-CO"/>
        </w:rPr>
        <w:t xml:space="preserve"> como toda unidad de explotación económica que realiza una persona natural o jurídica en actividades agropecuarias, industriales, comerciales o de servicios. Además, establece que </w:t>
      </w:r>
      <w:proofErr w:type="gramStart"/>
      <w:r w:rsidRPr="00B00AA2" w:rsidR="00286834">
        <w:rPr>
          <w:rFonts w:ascii="Arial" w:hAnsi="Arial" w:cs="Arial"/>
          <w:color w:val="000000" w:themeColor="text1"/>
          <w:sz w:val="22"/>
          <w:lang w:val="es-CO"/>
        </w:rPr>
        <w:t>esta</w:t>
      </w:r>
      <w:r w:rsidRPr="00B00AA2" w:rsidR="00DD0E98">
        <w:rPr>
          <w:rFonts w:ascii="Arial" w:hAnsi="Arial" w:cs="Arial"/>
          <w:color w:val="000000" w:themeColor="text1"/>
          <w:sz w:val="22"/>
          <w:lang w:val="es-CO"/>
        </w:rPr>
        <w:t xml:space="preserve"> se clasifican</w:t>
      </w:r>
      <w:proofErr w:type="gramEnd"/>
      <w:r w:rsidRPr="00B00AA2" w:rsidR="00DD0E98">
        <w:rPr>
          <w:rFonts w:ascii="Arial" w:hAnsi="Arial" w:cs="Arial"/>
          <w:color w:val="000000" w:themeColor="text1"/>
          <w:sz w:val="22"/>
          <w:lang w:val="es-CO"/>
        </w:rPr>
        <w:t xml:space="preserve"> en micro, mediana y gran empresa de acuerdo con los criterios del número de trabajadores totales, valor de ventas brutales anuales y valor de activos totales.</w:t>
      </w:r>
    </w:p>
    <w:p w:rsidRPr="00B00AA2" w:rsidR="00DD0E98" w:rsidP="00430B5A" w:rsidRDefault="00430B5A" w14:paraId="7620BCD2" w14:textId="5B352BA0">
      <w:pPr>
        <w:spacing w:before="120" w:line="276" w:lineRule="auto"/>
        <w:ind w:right="51" w:firstLine="709"/>
        <w:jc w:val="both"/>
        <w:rPr>
          <w:rFonts w:ascii="Arial" w:hAnsi="Arial" w:cs="Arial"/>
          <w:color w:val="000000" w:themeColor="text1"/>
          <w:sz w:val="22"/>
          <w:lang w:val="es-CO"/>
        </w:rPr>
      </w:pPr>
      <w:r w:rsidRPr="00B00AA2">
        <w:rPr>
          <w:rFonts w:ascii="Arial" w:hAnsi="Arial" w:cs="Arial"/>
          <w:color w:val="000000" w:themeColor="text1"/>
          <w:sz w:val="22"/>
          <w:lang w:val="es-CO"/>
        </w:rPr>
        <w:t>L</w:t>
      </w:r>
      <w:r w:rsidRPr="00B00AA2" w:rsidR="00DD0E98">
        <w:rPr>
          <w:rFonts w:ascii="Arial" w:hAnsi="Arial" w:cs="Arial"/>
          <w:color w:val="000000" w:themeColor="text1"/>
          <w:sz w:val="22"/>
          <w:lang w:val="es-CO"/>
        </w:rPr>
        <w:t xml:space="preserve">as </w:t>
      </w:r>
      <w:proofErr w:type="spellStart"/>
      <w:r w:rsidRPr="00B00AA2" w:rsidR="00DD0E98">
        <w:rPr>
          <w:rFonts w:ascii="Arial" w:hAnsi="Arial" w:cs="Arial"/>
          <w:color w:val="000000" w:themeColor="text1"/>
          <w:sz w:val="22"/>
          <w:lang w:val="es-CO"/>
        </w:rPr>
        <w:t>Mipymes</w:t>
      </w:r>
      <w:proofErr w:type="spellEnd"/>
      <w:r w:rsidRPr="00B00AA2" w:rsidR="00DD0E98">
        <w:rPr>
          <w:rFonts w:ascii="Arial" w:hAnsi="Arial" w:cs="Arial"/>
          <w:color w:val="000000" w:themeColor="text1"/>
          <w:sz w:val="22"/>
          <w:lang w:val="es-CO"/>
        </w:rPr>
        <w:t xml:space="preserve"> son empresas</w:t>
      </w:r>
      <w:r w:rsidRPr="00B00AA2">
        <w:rPr>
          <w:rFonts w:ascii="Arial" w:hAnsi="Arial" w:cs="Arial"/>
          <w:color w:val="000000" w:themeColor="text1"/>
          <w:sz w:val="22"/>
          <w:lang w:val="es-CO"/>
        </w:rPr>
        <w:t xml:space="preserve"> que tienen una actividad económica organizada para la producción, transformación, circulación, administración o custodia de bienes, o para la prestación de servicios</w:t>
      </w:r>
      <w:r w:rsidRPr="00B00AA2" w:rsidR="00DD0E98">
        <w:rPr>
          <w:rFonts w:ascii="Arial" w:hAnsi="Arial" w:cs="Arial"/>
          <w:color w:val="000000" w:themeColor="text1"/>
          <w:sz w:val="22"/>
          <w:lang w:val="es-CO"/>
        </w:rPr>
        <w:t xml:space="preserve">, </w:t>
      </w:r>
      <w:proofErr w:type="gramStart"/>
      <w:r w:rsidRPr="00B00AA2" w:rsidR="00DD0E98">
        <w:rPr>
          <w:rFonts w:ascii="Arial" w:hAnsi="Arial" w:cs="Arial"/>
          <w:color w:val="000000" w:themeColor="text1"/>
          <w:sz w:val="22"/>
          <w:lang w:val="es-CO"/>
        </w:rPr>
        <w:t xml:space="preserve">de acuerdo </w:t>
      </w:r>
      <w:r w:rsidRPr="00B00AA2">
        <w:rPr>
          <w:rFonts w:ascii="Arial" w:hAnsi="Arial" w:cs="Arial"/>
          <w:color w:val="000000" w:themeColor="text1"/>
          <w:sz w:val="22"/>
          <w:lang w:val="es-CO"/>
        </w:rPr>
        <w:t>a</w:t>
      </w:r>
      <w:proofErr w:type="gramEnd"/>
      <w:r w:rsidRPr="00B00AA2">
        <w:rPr>
          <w:rFonts w:ascii="Arial" w:hAnsi="Arial" w:cs="Arial"/>
          <w:color w:val="000000" w:themeColor="text1"/>
          <w:sz w:val="22"/>
          <w:lang w:val="es-CO"/>
        </w:rPr>
        <w:t xml:space="preserve"> lo dispuesto en </w:t>
      </w:r>
      <w:r w:rsidRPr="00B00AA2" w:rsidR="00DD0E98">
        <w:rPr>
          <w:rFonts w:ascii="Arial" w:hAnsi="Arial" w:cs="Arial"/>
          <w:color w:val="000000" w:themeColor="text1"/>
          <w:sz w:val="22"/>
          <w:lang w:val="es-CO"/>
        </w:rPr>
        <w:t>el artículo 25 del Código de Comercio. La empresa se forma a través de un contrato de sociedad por medio del cual</w:t>
      </w:r>
      <w:r w:rsidRPr="00B00AA2" w:rsidR="00DD0E98">
        <w:rPr>
          <w:color w:val="000000" w:themeColor="text1"/>
          <w:sz w:val="22"/>
        </w:rPr>
        <w:t xml:space="preserve"> </w:t>
      </w:r>
      <w:r w:rsidRPr="00B00AA2" w:rsidR="00DD0E98">
        <w:rPr>
          <w:rFonts w:ascii="Arial" w:hAnsi="Arial" w:cs="Arial"/>
          <w:color w:val="000000" w:themeColor="text1"/>
          <w:sz w:val="22"/>
          <w:lang w:val="es-CO"/>
        </w:rPr>
        <w:t>dos o más personas se obligan a hacer un aporte en dinero, en trabajo o en otros bienes apreciables en dinero con el fin de repartirse entre sí las utilidades obtenidas en la empresa</w:t>
      </w:r>
      <w:r w:rsidRPr="00B00AA2">
        <w:rPr>
          <w:rFonts w:ascii="Arial" w:hAnsi="Arial" w:cs="Arial"/>
          <w:color w:val="000000" w:themeColor="text1"/>
          <w:sz w:val="22"/>
          <w:lang w:val="es-CO"/>
        </w:rPr>
        <w:t xml:space="preserve">, según el artículo 98 </w:t>
      </w:r>
      <w:r w:rsidRPr="00B00AA2">
        <w:rPr>
          <w:rFonts w:ascii="Arial" w:hAnsi="Arial" w:cs="Arial"/>
          <w:i/>
          <w:iCs/>
          <w:color w:val="000000" w:themeColor="text1"/>
          <w:sz w:val="22"/>
          <w:lang w:val="es-CO"/>
        </w:rPr>
        <w:t>ibidem</w:t>
      </w:r>
      <w:r w:rsidRPr="00B00AA2">
        <w:rPr>
          <w:rFonts w:ascii="Arial" w:hAnsi="Arial" w:cs="Arial"/>
          <w:color w:val="000000" w:themeColor="text1"/>
          <w:sz w:val="22"/>
          <w:lang w:val="es-CO"/>
        </w:rPr>
        <w:t>.</w:t>
      </w:r>
      <w:r w:rsidRPr="00B00AA2" w:rsidR="00DD0E98">
        <w:rPr>
          <w:rFonts w:ascii="Arial" w:hAnsi="Arial" w:cs="Arial"/>
          <w:color w:val="000000" w:themeColor="text1"/>
          <w:sz w:val="22"/>
          <w:lang w:val="es-CO"/>
        </w:rPr>
        <w:t xml:space="preserve"> </w:t>
      </w:r>
      <w:r w:rsidRPr="00B00AA2">
        <w:rPr>
          <w:rFonts w:ascii="Arial" w:hAnsi="Arial" w:cs="Arial"/>
          <w:color w:val="000000" w:themeColor="text1"/>
          <w:sz w:val="22"/>
          <w:lang w:val="es-CO"/>
        </w:rPr>
        <w:t xml:space="preserve">En ese sentido, puede decirse que </w:t>
      </w:r>
      <w:r w:rsidRPr="00B00AA2" w:rsidR="00DD0E98">
        <w:rPr>
          <w:rFonts w:ascii="Arial" w:hAnsi="Arial" w:cs="Arial"/>
          <w:color w:val="000000" w:themeColor="text1"/>
          <w:sz w:val="22"/>
          <w:lang w:val="es-CO"/>
        </w:rPr>
        <w:t>será</w:t>
      </w:r>
      <w:r w:rsidRPr="00B00AA2">
        <w:rPr>
          <w:rFonts w:ascii="Arial" w:hAnsi="Arial" w:cs="Arial"/>
          <w:color w:val="000000" w:themeColor="text1"/>
          <w:sz w:val="22"/>
          <w:lang w:val="es-CO"/>
        </w:rPr>
        <w:t>n</w:t>
      </w:r>
      <w:r w:rsidRPr="00B00AA2" w:rsidR="00DD0E98">
        <w:rPr>
          <w:rFonts w:ascii="Arial" w:hAnsi="Arial" w:cs="Arial"/>
          <w:color w:val="000000" w:themeColor="text1"/>
          <w:sz w:val="22"/>
          <w:lang w:val="es-CO"/>
        </w:rPr>
        <w:t xml:space="preserve"> sociedad</w:t>
      </w:r>
      <w:r w:rsidRPr="00B00AA2">
        <w:rPr>
          <w:rFonts w:ascii="Arial" w:hAnsi="Arial" w:cs="Arial"/>
          <w:color w:val="000000" w:themeColor="text1"/>
          <w:sz w:val="22"/>
          <w:lang w:val="es-CO"/>
        </w:rPr>
        <w:t>es</w:t>
      </w:r>
      <w:r w:rsidRPr="00B00AA2" w:rsidR="00DD0E98">
        <w:rPr>
          <w:rFonts w:ascii="Arial" w:hAnsi="Arial" w:cs="Arial"/>
          <w:color w:val="000000" w:themeColor="text1"/>
          <w:sz w:val="22"/>
          <w:lang w:val="es-CO"/>
        </w:rPr>
        <w:t xml:space="preserve"> comercial</w:t>
      </w:r>
      <w:r w:rsidRPr="00B00AA2">
        <w:rPr>
          <w:rFonts w:ascii="Arial" w:hAnsi="Arial" w:cs="Arial"/>
          <w:color w:val="000000" w:themeColor="text1"/>
          <w:sz w:val="22"/>
          <w:lang w:val="es-CO"/>
        </w:rPr>
        <w:t xml:space="preserve">es aquellas </w:t>
      </w:r>
      <w:r w:rsidRPr="00B00AA2" w:rsidR="00DD0E98">
        <w:rPr>
          <w:rFonts w:ascii="Arial" w:hAnsi="Arial" w:cs="Arial"/>
          <w:color w:val="000000" w:themeColor="text1"/>
          <w:sz w:val="22"/>
          <w:lang w:val="es-CO"/>
        </w:rPr>
        <w:t>que ejecuten actos o empresas mercantiles</w:t>
      </w:r>
      <w:r w:rsidRPr="00B00AA2">
        <w:rPr>
          <w:rFonts w:ascii="Arial" w:hAnsi="Arial" w:cs="Arial"/>
          <w:color w:val="000000" w:themeColor="text1"/>
          <w:sz w:val="22"/>
          <w:lang w:val="es-CO"/>
        </w:rPr>
        <w:t xml:space="preserve">, en los términos señalados en el artículo </w:t>
      </w:r>
      <w:r w:rsidRPr="00B00AA2" w:rsidR="00286834">
        <w:rPr>
          <w:rFonts w:ascii="Arial" w:hAnsi="Arial" w:cs="Arial"/>
          <w:color w:val="000000" w:themeColor="text1"/>
          <w:sz w:val="22"/>
          <w:lang w:val="es-CO"/>
        </w:rPr>
        <w:t>100</w:t>
      </w:r>
      <w:r w:rsidRPr="00B00AA2">
        <w:rPr>
          <w:rFonts w:ascii="Arial" w:hAnsi="Arial" w:cs="Arial"/>
          <w:color w:val="000000" w:themeColor="text1"/>
          <w:sz w:val="22"/>
          <w:lang w:val="es-CO"/>
        </w:rPr>
        <w:t xml:space="preserve"> del Código de Comercio</w:t>
      </w:r>
      <w:r w:rsidRPr="00B00AA2">
        <w:rPr>
          <w:rStyle w:val="Refdenotaalpie"/>
          <w:rFonts w:ascii="Arial" w:hAnsi="Arial" w:cs="Arial"/>
          <w:color w:val="000000" w:themeColor="text1"/>
          <w:sz w:val="22"/>
          <w:lang w:val="es-CO"/>
        </w:rPr>
        <w:footnoteReference w:id="14"/>
      </w:r>
      <w:r w:rsidRPr="00B00AA2" w:rsidR="00DD0E98">
        <w:rPr>
          <w:rFonts w:ascii="Arial" w:hAnsi="Arial" w:cs="Arial"/>
          <w:color w:val="000000" w:themeColor="text1"/>
          <w:sz w:val="22"/>
          <w:lang w:val="es-CO"/>
        </w:rPr>
        <w:t>.</w:t>
      </w:r>
    </w:p>
    <w:p w:rsidRPr="00B00AA2" w:rsidR="00DD0E98" w:rsidP="00E87794" w:rsidRDefault="00DD0E98" w14:paraId="13378188" w14:textId="48540ACF">
      <w:pPr>
        <w:spacing w:before="120" w:line="276" w:lineRule="auto"/>
        <w:ind w:right="51" w:firstLine="709"/>
        <w:jc w:val="both"/>
        <w:rPr>
          <w:rFonts w:ascii="Arial" w:hAnsi="Arial" w:cs="Arial"/>
          <w:color w:val="000000" w:themeColor="text1"/>
          <w:sz w:val="22"/>
          <w:lang w:val="es-CO"/>
        </w:rPr>
      </w:pPr>
      <w:r w:rsidRPr="00B00AA2">
        <w:rPr>
          <w:rFonts w:ascii="Arial" w:hAnsi="Arial" w:cs="Arial"/>
          <w:color w:val="000000" w:themeColor="text1"/>
          <w:sz w:val="22"/>
          <w:lang w:val="es-CO"/>
        </w:rPr>
        <w:lastRenderedPageBreak/>
        <w:t>El Libro Segundo del Código de Comercio no incluye a las corporaciones o asociaciones ni a las fundaciones</w:t>
      </w:r>
      <w:r w:rsidRPr="00B00AA2" w:rsidR="00430B5A">
        <w:rPr>
          <w:rFonts w:ascii="Arial" w:hAnsi="Arial" w:cs="Arial"/>
          <w:color w:val="000000" w:themeColor="text1"/>
          <w:sz w:val="22"/>
          <w:lang w:val="es-CO"/>
        </w:rPr>
        <w:t xml:space="preserve">, esto es, </w:t>
      </w:r>
      <w:r w:rsidRPr="00B00AA2">
        <w:rPr>
          <w:rFonts w:ascii="Arial" w:hAnsi="Arial" w:cs="Arial"/>
          <w:color w:val="000000" w:themeColor="text1"/>
          <w:sz w:val="22"/>
          <w:lang w:val="es-CO"/>
        </w:rPr>
        <w:t>a las ESAL</w:t>
      </w:r>
      <w:r w:rsidRPr="00B00AA2" w:rsidR="00E87794">
        <w:rPr>
          <w:rFonts w:ascii="Arial" w:hAnsi="Arial" w:cs="Arial"/>
          <w:color w:val="000000" w:themeColor="text1"/>
          <w:sz w:val="22"/>
          <w:lang w:val="es-CO"/>
        </w:rPr>
        <w:t>,</w:t>
      </w:r>
      <w:r w:rsidRPr="00B00AA2" w:rsidR="00430B5A">
        <w:rPr>
          <w:rFonts w:ascii="Arial" w:hAnsi="Arial" w:cs="Arial"/>
          <w:color w:val="000000" w:themeColor="text1"/>
          <w:sz w:val="22"/>
          <w:lang w:val="es-CO"/>
        </w:rPr>
        <w:t xml:space="preserve"> en la enumeración de las sociedades comerciales</w:t>
      </w:r>
      <w:r w:rsidRPr="00B00AA2">
        <w:rPr>
          <w:rFonts w:ascii="Arial" w:hAnsi="Arial" w:cs="Arial"/>
          <w:color w:val="000000" w:themeColor="text1"/>
          <w:sz w:val="22"/>
          <w:lang w:val="es-CO"/>
        </w:rPr>
        <w:t>. La razón de la exclusión</w:t>
      </w:r>
      <w:r w:rsidRPr="00B00AA2" w:rsidR="00E87794">
        <w:rPr>
          <w:rFonts w:ascii="Arial" w:hAnsi="Arial" w:cs="Arial"/>
          <w:color w:val="000000" w:themeColor="text1"/>
          <w:sz w:val="22"/>
          <w:lang w:val="es-CO"/>
        </w:rPr>
        <w:t>, a nuestro juicio,</w:t>
      </w:r>
      <w:r w:rsidRPr="00B00AA2">
        <w:rPr>
          <w:rFonts w:ascii="Arial" w:hAnsi="Arial" w:cs="Arial"/>
          <w:color w:val="000000" w:themeColor="text1"/>
          <w:sz w:val="22"/>
          <w:lang w:val="es-CO"/>
        </w:rPr>
        <w:t xml:space="preserve"> es obvia: estas organizaciones no tienen fines comerciales, es decir, carecen de ánimo de lucro, por eso no forman un tipo o clase de sociedad comercial</w:t>
      </w:r>
      <w:r w:rsidRPr="00B00AA2" w:rsidR="00E87794">
        <w:rPr>
          <w:rStyle w:val="Refdenotaalpie"/>
          <w:rFonts w:ascii="Arial" w:hAnsi="Arial" w:cs="Arial"/>
          <w:color w:val="000000" w:themeColor="text1"/>
          <w:sz w:val="22"/>
          <w:lang w:val="es-CO"/>
        </w:rPr>
        <w:footnoteReference w:id="15"/>
      </w:r>
      <w:r w:rsidRPr="00B00AA2">
        <w:rPr>
          <w:rFonts w:ascii="Arial" w:hAnsi="Arial" w:cs="Arial"/>
          <w:color w:val="000000" w:themeColor="text1"/>
          <w:sz w:val="22"/>
          <w:lang w:val="es-CO"/>
        </w:rPr>
        <w:t>.</w:t>
      </w:r>
      <w:r w:rsidRPr="00B00AA2" w:rsidR="00E87794">
        <w:rPr>
          <w:rFonts w:ascii="Arial" w:hAnsi="Arial" w:cs="Arial"/>
          <w:color w:val="000000" w:themeColor="text1"/>
          <w:sz w:val="22"/>
          <w:lang w:val="es-CO"/>
        </w:rPr>
        <w:t xml:space="preserve"> La norma que regula este tipo de corporaciones o asociaciones es </w:t>
      </w:r>
      <w:r w:rsidRPr="00B00AA2">
        <w:rPr>
          <w:rFonts w:ascii="Arial" w:hAnsi="Arial" w:cs="Arial"/>
          <w:color w:val="000000" w:themeColor="text1"/>
          <w:sz w:val="22"/>
          <w:lang w:val="es-CO"/>
        </w:rPr>
        <w:t xml:space="preserve">el Código Civil –entre otras normas que se armonizan con él–, </w:t>
      </w:r>
      <w:r w:rsidRPr="00B00AA2" w:rsidR="00E87794">
        <w:rPr>
          <w:rFonts w:ascii="Arial" w:hAnsi="Arial" w:cs="Arial"/>
          <w:color w:val="000000" w:themeColor="text1"/>
          <w:sz w:val="22"/>
          <w:lang w:val="es-CO"/>
        </w:rPr>
        <w:t xml:space="preserve">de lo que se sigue que </w:t>
      </w:r>
      <w:r w:rsidRPr="00B00AA2">
        <w:rPr>
          <w:rFonts w:ascii="Arial" w:hAnsi="Arial" w:cs="Arial"/>
          <w:color w:val="000000" w:themeColor="text1"/>
          <w:sz w:val="22"/>
          <w:lang w:val="es-CO"/>
        </w:rPr>
        <w:t>no constituyen formas de sociedad comercial sino formas de organización civil, con fines esencialmente altruistas o de interés general, que se conforman entre personas que tienen como finalidad contribuir con su esfuerzo, y hasta con sus bienes, a ayudar a la comunidad</w:t>
      </w:r>
      <w:r w:rsidRPr="00B00AA2" w:rsidR="006135E6">
        <w:rPr>
          <w:rStyle w:val="Refdenotaalpie"/>
          <w:rFonts w:ascii="Arial" w:hAnsi="Arial" w:cs="Arial"/>
          <w:color w:val="000000" w:themeColor="text1"/>
          <w:sz w:val="22"/>
          <w:lang w:val="es-CO"/>
        </w:rPr>
        <w:footnoteReference w:id="16"/>
      </w:r>
      <w:r w:rsidRPr="00B00AA2">
        <w:rPr>
          <w:rFonts w:ascii="Arial" w:hAnsi="Arial" w:cs="Arial"/>
          <w:color w:val="000000" w:themeColor="text1"/>
          <w:sz w:val="22"/>
          <w:lang w:val="es-CO"/>
        </w:rPr>
        <w:t>. La ausencia de ánimo de lucro es</w:t>
      </w:r>
      <w:r w:rsidRPr="00B00AA2" w:rsidR="002B4B30">
        <w:rPr>
          <w:rFonts w:ascii="Arial" w:hAnsi="Arial" w:cs="Arial"/>
          <w:color w:val="000000" w:themeColor="text1"/>
          <w:sz w:val="22"/>
          <w:lang w:val="es-CO"/>
        </w:rPr>
        <w:t>, entonces,</w:t>
      </w:r>
      <w:r w:rsidRPr="00B00AA2">
        <w:rPr>
          <w:rFonts w:ascii="Arial" w:hAnsi="Arial" w:cs="Arial"/>
          <w:color w:val="000000" w:themeColor="text1"/>
          <w:sz w:val="22"/>
          <w:lang w:val="es-CO"/>
        </w:rPr>
        <w:t xml:space="preserve"> la característica determinante de estas </w:t>
      </w:r>
      <w:r w:rsidRPr="00B00AA2" w:rsidR="002B4B30">
        <w:rPr>
          <w:rFonts w:ascii="Arial" w:hAnsi="Arial" w:cs="Arial"/>
          <w:color w:val="000000" w:themeColor="text1"/>
          <w:sz w:val="22"/>
          <w:lang w:val="es-CO"/>
        </w:rPr>
        <w:t xml:space="preserve">corporaciones u </w:t>
      </w:r>
      <w:r w:rsidRPr="00B00AA2">
        <w:rPr>
          <w:rFonts w:ascii="Arial" w:hAnsi="Arial" w:cs="Arial"/>
          <w:color w:val="000000" w:themeColor="text1"/>
          <w:sz w:val="22"/>
          <w:lang w:val="es-CO"/>
        </w:rPr>
        <w:t>organizaciones</w:t>
      </w:r>
      <w:r w:rsidRPr="00B00AA2" w:rsidR="00286834">
        <w:rPr>
          <w:rFonts w:ascii="Arial" w:hAnsi="Arial" w:cs="Arial"/>
          <w:color w:val="000000" w:themeColor="text1"/>
          <w:sz w:val="22"/>
          <w:lang w:val="es-CO"/>
        </w:rPr>
        <w:t xml:space="preserve">; </w:t>
      </w:r>
      <w:r w:rsidRPr="00B00AA2">
        <w:rPr>
          <w:rFonts w:ascii="Arial" w:hAnsi="Arial" w:cs="Arial"/>
          <w:color w:val="000000" w:themeColor="text1"/>
          <w:sz w:val="22"/>
          <w:lang w:val="es-CO"/>
        </w:rPr>
        <w:t>de allí su nombre, y la diferencia fundamental con las sociedades comerciales.</w:t>
      </w:r>
    </w:p>
    <w:p w:rsidRPr="00B00AA2" w:rsidR="00DD0E98" w:rsidP="002B4B30" w:rsidRDefault="00972C13" w14:paraId="537105AA" w14:textId="014155DE">
      <w:pPr>
        <w:spacing w:before="120" w:line="276" w:lineRule="auto"/>
        <w:ind w:right="51" w:firstLine="709"/>
        <w:jc w:val="both"/>
        <w:rPr>
          <w:rFonts w:ascii="Arial" w:hAnsi="Arial" w:cs="Arial"/>
          <w:color w:val="000000" w:themeColor="text1"/>
          <w:sz w:val="22"/>
          <w:lang w:val="es-CO"/>
        </w:rPr>
      </w:pPr>
      <w:r w:rsidRPr="00B00AA2">
        <w:rPr>
          <w:rFonts w:ascii="Arial" w:hAnsi="Arial" w:cs="Arial"/>
          <w:color w:val="000000" w:themeColor="text1"/>
          <w:sz w:val="22"/>
          <w:lang w:val="es-CO"/>
        </w:rPr>
        <w:t>Q</w:t>
      </w:r>
      <w:r w:rsidRPr="00B00AA2" w:rsidR="002B4B30">
        <w:rPr>
          <w:rFonts w:ascii="Arial" w:hAnsi="Arial" w:cs="Arial"/>
          <w:color w:val="000000" w:themeColor="text1"/>
          <w:sz w:val="22"/>
          <w:lang w:val="es-CO"/>
        </w:rPr>
        <w:t xml:space="preserve">ue </w:t>
      </w:r>
      <w:r w:rsidRPr="00B00AA2" w:rsidR="00DD0E98">
        <w:rPr>
          <w:rFonts w:ascii="Arial" w:hAnsi="Arial" w:cs="Arial"/>
          <w:color w:val="000000" w:themeColor="text1"/>
          <w:sz w:val="22"/>
          <w:lang w:val="es-CO"/>
        </w:rPr>
        <w:t>una ESAL no sea una forma de sociedad comercial se infiere</w:t>
      </w:r>
      <w:r w:rsidRPr="00B00AA2">
        <w:rPr>
          <w:rFonts w:ascii="Arial" w:hAnsi="Arial" w:cs="Arial"/>
          <w:color w:val="000000" w:themeColor="text1"/>
          <w:sz w:val="22"/>
          <w:lang w:val="es-CO"/>
        </w:rPr>
        <w:t xml:space="preserve"> igualmente </w:t>
      </w:r>
      <w:r w:rsidRPr="00B00AA2" w:rsidR="00DD0E98">
        <w:rPr>
          <w:rFonts w:ascii="Arial" w:hAnsi="Arial" w:cs="Arial"/>
          <w:color w:val="000000" w:themeColor="text1"/>
          <w:sz w:val="22"/>
          <w:lang w:val="es-CO"/>
        </w:rPr>
        <w:t xml:space="preserve">de los requisitos que exige el </w:t>
      </w:r>
      <w:r w:rsidRPr="00B00AA2" w:rsidR="002B4B30">
        <w:rPr>
          <w:rFonts w:ascii="Arial" w:hAnsi="Arial" w:cs="Arial"/>
          <w:color w:val="000000" w:themeColor="text1"/>
          <w:sz w:val="22"/>
          <w:lang w:val="es-CO"/>
        </w:rPr>
        <w:t xml:space="preserve">artículo </w:t>
      </w:r>
      <w:r w:rsidRPr="00B00AA2" w:rsidR="00DD0E98">
        <w:rPr>
          <w:rFonts w:ascii="Arial" w:hAnsi="Arial" w:cs="Arial"/>
          <w:color w:val="000000" w:themeColor="text1"/>
          <w:sz w:val="22"/>
          <w:lang w:val="es-CO"/>
        </w:rPr>
        <w:t>98 del Código de Comercio, concretamente del previsto al final del inciso primero</w:t>
      </w:r>
      <w:r w:rsidRPr="00B00AA2" w:rsidR="002B4B30">
        <w:rPr>
          <w:rFonts w:ascii="Arial" w:hAnsi="Arial" w:cs="Arial"/>
          <w:color w:val="000000" w:themeColor="text1"/>
          <w:sz w:val="22"/>
          <w:lang w:val="es-CO"/>
        </w:rPr>
        <w:t xml:space="preserve">: </w:t>
      </w:r>
      <w:r w:rsidRPr="00B00AA2" w:rsidR="00DD0E98">
        <w:rPr>
          <w:rFonts w:ascii="Arial" w:hAnsi="Arial" w:cs="Arial"/>
          <w:color w:val="000000" w:themeColor="text1"/>
          <w:sz w:val="22"/>
          <w:lang w:val="es-CO"/>
        </w:rPr>
        <w:t>la finalidad</w:t>
      </w:r>
      <w:r w:rsidRPr="00B00AA2" w:rsidR="002B4B30">
        <w:rPr>
          <w:rFonts w:ascii="Arial" w:hAnsi="Arial" w:cs="Arial"/>
          <w:color w:val="000000" w:themeColor="text1"/>
          <w:sz w:val="22"/>
          <w:lang w:val="es-CO"/>
        </w:rPr>
        <w:t xml:space="preserve">. En efecto, la norma en comento </w:t>
      </w:r>
      <w:r w:rsidRPr="00B00AA2" w:rsidR="00DD0E98">
        <w:rPr>
          <w:rFonts w:ascii="Arial" w:hAnsi="Arial" w:cs="Arial"/>
          <w:color w:val="000000" w:themeColor="text1"/>
          <w:sz w:val="22"/>
          <w:lang w:val="es-CO"/>
        </w:rPr>
        <w:t xml:space="preserve">dispone: </w:t>
      </w:r>
      <w:r w:rsidRPr="00B00AA2" w:rsidR="002B4B30">
        <w:rPr>
          <w:rFonts w:ascii="Arial" w:hAnsi="Arial" w:cs="Arial"/>
          <w:color w:val="000000" w:themeColor="text1"/>
          <w:sz w:val="22"/>
          <w:lang w:val="es-CO"/>
        </w:rPr>
        <w:t>«[p]</w:t>
      </w:r>
      <w:proofErr w:type="spellStart"/>
      <w:r w:rsidRPr="00B00AA2" w:rsidR="00DD0E98">
        <w:rPr>
          <w:rFonts w:ascii="Arial" w:hAnsi="Arial" w:cs="Arial"/>
          <w:color w:val="000000" w:themeColor="text1"/>
          <w:sz w:val="22"/>
          <w:lang w:val="es-CO"/>
        </w:rPr>
        <w:t>or</w:t>
      </w:r>
      <w:proofErr w:type="spellEnd"/>
      <w:r w:rsidRPr="00B00AA2" w:rsidR="00DD0E98">
        <w:rPr>
          <w:rFonts w:ascii="Arial" w:hAnsi="Arial" w:cs="Arial"/>
          <w:color w:val="000000" w:themeColor="text1"/>
          <w:sz w:val="22"/>
          <w:lang w:val="es-CO"/>
        </w:rPr>
        <w:t xml:space="preserve"> el contrato de sociedad dos o más personas se obligan a hacer un aporte en dinero, en trabajo o en otros bienes apreciables en dinero, </w:t>
      </w:r>
      <w:r w:rsidRPr="00B00AA2" w:rsidR="00DD0E98">
        <w:rPr>
          <w:rFonts w:ascii="Arial" w:hAnsi="Arial" w:cs="Arial"/>
          <w:i/>
          <w:iCs/>
          <w:color w:val="000000" w:themeColor="text1"/>
          <w:sz w:val="22"/>
          <w:lang w:val="es-CO"/>
        </w:rPr>
        <w:t>con el fin de repartirse entre sí las utilidades obtenidas en la empresa o actividad social</w:t>
      </w:r>
      <w:r w:rsidRPr="00B00AA2" w:rsidR="002B4B30">
        <w:rPr>
          <w:rFonts w:ascii="Arial" w:hAnsi="Arial" w:cs="Arial"/>
          <w:color w:val="000000" w:themeColor="text1"/>
          <w:sz w:val="22"/>
          <w:lang w:val="es-CO"/>
        </w:rPr>
        <w:t>»</w:t>
      </w:r>
      <w:r w:rsidRPr="00B00AA2">
        <w:rPr>
          <w:rFonts w:ascii="Arial" w:hAnsi="Arial" w:cs="Arial"/>
          <w:color w:val="000000" w:themeColor="text1"/>
          <w:sz w:val="22"/>
          <w:lang w:val="es-CO"/>
        </w:rPr>
        <w:t xml:space="preserve"> (Cursivas propias)</w:t>
      </w:r>
      <w:r w:rsidRPr="00B00AA2" w:rsidR="00DD0E98">
        <w:rPr>
          <w:rFonts w:ascii="Arial" w:hAnsi="Arial" w:cs="Arial"/>
          <w:color w:val="000000" w:themeColor="text1"/>
          <w:sz w:val="22"/>
          <w:lang w:val="es-CO"/>
        </w:rPr>
        <w:t>.</w:t>
      </w:r>
      <w:r w:rsidRPr="00B00AA2" w:rsidR="002B4B30">
        <w:rPr>
          <w:rFonts w:ascii="Arial" w:hAnsi="Arial" w:cs="Arial"/>
          <w:color w:val="000000" w:themeColor="text1"/>
          <w:sz w:val="22"/>
          <w:lang w:val="es-CO"/>
        </w:rPr>
        <w:t xml:space="preserve"> Es del caso precisar que en el caso de l</w:t>
      </w:r>
      <w:r w:rsidRPr="00B00AA2" w:rsidR="00DD0E98">
        <w:rPr>
          <w:rFonts w:ascii="Arial" w:hAnsi="Arial" w:cs="Arial"/>
          <w:color w:val="000000" w:themeColor="text1"/>
          <w:sz w:val="22"/>
          <w:lang w:val="es-CO"/>
        </w:rPr>
        <w:t>as ESAL</w:t>
      </w:r>
      <w:r w:rsidRPr="00B00AA2" w:rsidR="002B4B30">
        <w:rPr>
          <w:rFonts w:ascii="Arial" w:hAnsi="Arial" w:cs="Arial"/>
          <w:color w:val="000000" w:themeColor="text1"/>
          <w:sz w:val="22"/>
          <w:lang w:val="es-CO"/>
        </w:rPr>
        <w:t xml:space="preserve"> </w:t>
      </w:r>
      <w:r w:rsidRPr="00B00AA2" w:rsidR="00DD0E98">
        <w:rPr>
          <w:rFonts w:ascii="Arial" w:hAnsi="Arial" w:cs="Arial"/>
          <w:color w:val="000000" w:themeColor="text1"/>
          <w:sz w:val="22"/>
          <w:lang w:val="es-CO"/>
        </w:rPr>
        <w:t>no</w:t>
      </w:r>
      <w:r w:rsidRPr="00B00AA2" w:rsidR="002B4B30">
        <w:rPr>
          <w:rFonts w:ascii="Arial" w:hAnsi="Arial" w:cs="Arial"/>
          <w:color w:val="000000" w:themeColor="text1"/>
          <w:sz w:val="22"/>
          <w:lang w:val="es-CO"/>
        </w:rPr>
        <w:t xml:space="preserve"> se</w:t>
      </w:r>
      <w:r w:rsidRPr="00B00AA2" w:rsidR="00DD0E98">
        <w:rPr>
          <w:rFonts w:ascii="Arial" w:hAnsi="Arial" w:cs="Arial"/>
          <w:color w:val="000000" w:themeColor="text1"/>
          <w:sz w:val="22"/>
          <w:lang w:val="es-CO"/>
        </w:rPr>
        <w:t xml:space="preserve"> admite el reparto de utilidades, ni durante la existencia de la organización ni cuando se extinga, y en este aspecto</w:t>
      </w:r>
      <w:r w:rsidRPr="00B00AA2" w:rsidR="002B4B30">
        <w:rPr>
          <w:rFonts w:ascii="Arial" w:hAnsi="Arial" w:cs="Arial"/>
          <w:color w:val="000000" w:themeColor="text1"/>
          <w:sz w:val="22"/>
          <w:lang w:val="es-CO"/>
        </w:rPr>
        <w:t xml:space="preserve">, se insiste, </w:t>
      </w:r>
      <w:r w:rsidRPr="00B00AA2" w:rsidR="00DD0E98">
        <w:rPr>
          <w:rFonts w:ascii="Arial" w:hAnsi="Arial" w:cs="Arial"/>
          <w:color w:val="000000" w:themeColor="text1"/>
          <w:sz w:val="22"/>
          <w:lang w:val="es-CO"/>
        </w:rPr>
        <w:t>radica la diferencia más apreciable entre unas y otras organizaciones, pese a que ambas se crean con libertad</w:t>
      </w:r>
      <w:r w:rsidRPr="00B00AA2" w:rsidR="002B4B30">
        <w:rPr>
          <w:rFonts w:ascii="Arial" w:hAnsi="Arial" w:cs="Arial"/>
          <w:color w:val="000000" w:themeColor="text1"/>
          <w:sz w:val="22"/>
          <w:lang w:val="es-CO"/>
        </w:rPr>
        <w:t xml:space="preserve"> y</w:t>
      </w:r>
      <w:r w:rsidRPr="00B00AA2" w:rsidR="00DD0E98">
        <w:rPr>
          <w:rFonts w:ascii="Arial" w:hAnsi="Arial" w:cs="Arial"/>
          <w:color w:val="000000" w:themeColor="text1"/>
          <w:sz w:val="22"/>
          <w:lang w:val="es-CO"/>
        </w:rPr>
        <w:t xml:space="preserve"> al </w:t>
      </w:r>
      <w:r w:rsidRPr="00B00AA2" w:rsidR="00DD0E98">
        <w:rPr>
          <w:rFonts w:ascii="Arial" w:hAnsi="Arial" w:cs="Arial"/>
          <w:color w:val="000000" w:themeColor="text1"/>
          <w:sz w:val="22"/>
          <w:lang w:val="es-CO"/>
        </w:rPr>
        <w:lastRenderedPageBreak/>
        <w:t>amparo del derecho fundamental de asociación, previsto en el art</w:t>
      </w:r>
      <w:r w:rsidRPr="00B00AA2" w:rsidR="006824B8">
        <w:rPr>
          <w:rFonts w:ascii="Arial" w:hAnsi="Arial" w:cs="Arial"/>
          <w:color w:val="000000" w:themeColor="text1"/>
          <w:sz w:val="22"/>
          <w:lang w:val="es-CO"/>
        </w:rPr>
        <w:t>ículo</w:t>
      </w:r>
      <w:r w:rsidRPr="00B00AA2" w:rsidR="00DD0E98">
        <w:rPr>
          <w:rFonts w:ascii="Arial" w:hAnsi="Arial" w:cs="Arial"/>
          <w:color w:val="000000" w:themeColor="text1"/>
          <w:sz w:val="22"/>
          <w:lang w:val="es-CO"/>
        </w:rPr>
        <w:t xml:space="preserve"> 38 de la </w:t>
      </w:r>
      <w:r w:rsidRPr="00B00AA2" w:rsidR="002B4B30">
        <w:rPr>
          <w:rFonts w:ascii="Arial" w:hAnsi="Arial" w:cs="Arial"/>
          <w:color w:val="000000" w:themeColor="text1"/>
          <w:sz w:val="22"/>
          <w:lang w:val="es-CO"/>
        </w:rPr>
        <w:t>Constitución Política y otras normas contenidas en</w:t>
      </w:r>
      <w:r w:rsidRPr="00B00AA2" w:rsidR="00AE6858">
        <w:rPr>
          <w:rFonts w:ascii="Arial" w:hAnsi="Arial" w:cs="Arial"/>
          <w:color w:val="000000" w:themeColor="text1"/>
          <w:sz w:val="22"/>
          <w:lang w:val="es-CO"/>
        </w:rPr>
        <w:t xml:space="preserve"> </w:t>
      </w:r>
      <w:r w:rsidRPr="00B00AA2" w:rsidR="002B4B30">
        <w:rPr>
          <w:rFonts w:ascii="Arial" w:hAnsi="Arial" w:cs="Arial"/>
          <w:color w:val="000000" w:themeColor="text1"/>
          <w:sz w:val="22"/>
          <w:lang w:val="es-CO"/>
        </w:rPr>
        <w:t>tratados internacionales</w:t>
      </w:r>
      <w:r w:rsidRPr="00B00AA2" w:rsidR="00B17BC5">
        <w:rPr>
          <w:rFonts w:ascii="Arial" w:hAnsi="Arial" w:cs="Arial"/>
          <w:color w:val="000000" w:themeColor="text1"/>
          <w:sz w:val="22"/>
          <w:lang w:val="es-CO"/>
        </w:rPr>
        <w:t xml:space="preserve"> suscritos por Colombia</w:t>
      </w:r>
      <w:r w:rsidRPr="00B00AA2" w:rsidR="00DD0E98">
        <w:rPr>
          <w:rFonts w:ascii="Arial" w:hAnsi="Arial" w:cs="Arial"/>
          <w:color w:val="000000" w:themeColor="text1"/>
          <w:sz w:val="22"/>
          <w:lang w:val="es-CO"/>
        </w:rPr>
        <w:t>.</w:t>
      </w:r>
    </w:p>
    <w:p w:rsidRPr="00B00AA2" w:rsidR="00DD0E98" w:rsidP="00AC0C81" w:rsidRDefault="00DD0E98" w14:paraId="3786C0D7" w14:textId="0C1FF099">
      <w:pPr>
        <w:spacing w:before="120" w:line="276" w:lineRule="auto"/>
        <w:ind w:right="51" w:firstLine="709"/>
        <w:jc w:val="both"/>
        <w:rPr>
          <w:rFonts w:ascii="Arial" w:hAnsi="Arial" w:cs="Arial"/>
          <w:color w:val="000000" w:themeColor="text1"/>
          <w:sz w:val="22"/>
          <w:lang w:val="es-CO"/>
        </w:rPr>
      </w:pPr>
      <w:r w:rsidRPr="00B00AA2">
        <w:rPr>
          <w:rFonts w:ascii="Arial" w:hAnsi="Arial" w:cs="Arial"/>
          <w:color w:val="000000" w:themeColor="text1"/>
          <w:sz w:val="22"/>
          <w:lang w:val="es-CO"/>
        </w:rPr>
        <w:t xml:space="preserve">De conformidad con lo anterior, una </w:t>
      </w:r>
      <w:r w:rsidRPr="00B00AA2" w:rsidR="00AC0C81">
        <w:rPr>
          <w:rFonts w:ascii="Arial" w:hAnsi="Arial" w:cs="Arial"/>
          <w:color w:val="000000" w:themeColor="text1"/>
          <w:sz w:val="22"/>
          <w:lang w:val="es-CO"/>
        </w:rPr>
        <w:t>«</w:t>
      </w:r>
      <w:r w:rsidRPr="00B00AA2">
        <w:rPr>
          <w:rFonts w:ascii="Arial" w:hAnsi="Arial" w:cs="Arial"/>
          <w:color w:val="000000" w:themeColor="text1"/>
          <w:sz w:val="22"/>
          <w:lang w:val="es-CO"/>
        </w:rPr>
        <w:t>fundación</w:t>
      </w:r>
      <w:r w:rsidRPr="00B00AA2" w:rsidR="00AC0C81">
        <w:rPr>
          <w:rFonts w:ascii="Arial" w:hAnsi="Arial" w:cs="Arial"/>
          <w:color w:val="000000" w:themeColor="text1"/>
          <w:sz w:val="22"/>
          <w:lang w:val="es-CO"/>
        </w:rPr>
        <w:t>»</w:t>
      </w:r>
      <w:r w:rsidRPr="00B00AA2">
        <w:rPr>
          <w:rFonts w:ascii="Arial" w:hAnsi="Arial" w:cs="Arial"/>
          <w:color w:val="000000" w:themeColor="text1"/>
          <w:sz w:val="22"/>
          <w:lang w:val="es-CO"/>
        </w:rPr>
        <w:t xml:space="preserve"> o una </w:t>
      </w:r>
      <w:r w:rsidRPr="00B00AA2" w:rsidR="00AC0C81">
        <w:rPr>
          <w:rFonts w:ascii="Arial" w:hAnsi="Arial" w:cs="Arial"/>
          <w:color w:val="000000" w:themeColor="text1"/>
          <w:sz w:val="22"/>
          <w:lang w:val="es-CO"/>
        </w:rPr>
        <w:t>«</w:t>
      </w:r>
      <w:r w:rsidRPr="00B00AA2">
        <w:rPr>
          <w:rFonts w:ascii="Arial" w:hAnsi="Arial" w:cs="Arial"/>
          <w:color w:val="000000" w:themeColor="text1"/>
          <w:sz w:val="22"/>
          <w:lang w:val="es-CO"/>
        </w:rPr>
        <w:t>asociación o corporación</w:t>
      </w:r>
      <w:r w:rsidRPr="00B00AA2" w:rsidR="00AC0C81">
        <w:rPr>
          <w:rFonts w:ascii="Arial" w:hAnsi="Arial" w:cs="Arial"/>
          <w:color w:val="000000" w:themeColor="text1"/>
          <w:sz w:val="22"/>
          <w:lang w:val="es-CO"/>
        </w:rPr>
        <w:t xml:space="preserve">», </w:t>
      </w:r>
      <w:r w:rsidRPr="00B00AA2">
        <w:rPr>
          <w:rFonts w:ascii="Arial" w:hAnsi="Arial" w:cs="Arial"/>
          <w:color w:val="000000" w:themeColor="text1"/>
          <w:sz w:val="22"/>
          <w:lang w:val="es-CO"/>
        </w:rPr>
        <w:t xml:space="preserve">constituidas en los términos del Código Civil, no pueden asimilarse o identificarse con una </w:t>
      </w:r>
      <w:r w:rsidRPr="00B00AA2" w:rsidR="00AC0C81">
        <w:rPr>
          <w:rFonts w:ascii="Arial" w:hAnsi="Arial" w:cs="Arial"/>
          <w:color w:val="000000" w:themeColor="text1"/>
          <w:sz w:val="22"/>
          <w:lang w:val="es-CO"/>
        </w:rPr>
        <w:t>«</w:t>
      </w:r>
      <w:r w:rsidRPr="00B00AA2">
        <w:rPr>
          <w:rFonts w:ascii="Arial" w:hAnsi="Arial" w:cs="Arial"/>
          <w:color w:val="000000" w:themeColor="text1"/>
          <w:sz w:val="22"/>
          <w:lang w:val="es-CO"/>
        </w:rPr>
        <w:t>sociedad comercial</w:t>
      </w:r>
      <w:r w:rsidRPr="00B00AA2" w:rsidR="00AC0C81">
        <w:rPr>
          <w:rFonts w:ascii="Arial" w:hAnsi="Arial" w:cs="Arial"/>
          <w:color w:val="000000" w:themeColor="text1"/>
          <w:sz w:val="22"/>
          <w:lang w:val="es-CO"/>
        </w:rPr>
        <w:t>»</w:t>
      </w:r>
      <w:r w:rsidRPr="00B00AA2">
        <w:rPr>
          <w:rFonts w:ascii="Arial" w:hAnsi="Arial" w:cs="Arial"/>
          <w:color w:val="000000" w:themeColor="text1"/>
          <w:sz w:val="22"/>
          <w:lang w:val="es-CO"/>
        </w:rPr>
        <w:t xml:space="preserve">, como uniformemente lo considera la doctrina y la jurisprudencia civil y comercial, </w:t>
      </w:r>
      <w:r w:rsidRPr="00B00AA2" w:rsidR="00AC0C81">
        <w:rPr>
          <w:rFonts w:ascii="Arial" w:hAnsi="Arial" w:cs="Arial"/>
          <w:color w:val="000000" w:themeColor="text1"/>
          <w:sz w:val="22"/>
          <w:lang w:val="es-CO"/>
        </w:rPr>
        <w:t xml:space="preserve">en </w:t>
      </w:r>
      <w:r w:rsidRPr="00B00AA2" w:rsidR="00807EEE">
        <w:rPr>
          <w:rFonts w:ascii="Arial" w:hAnsi="Arial" w:cs="Arial"/>
          <w:color w:val="000000" w:themeColor="text1"/>
          <w:sz w:val="22"/>
          <w:lang w:val="es-CO"/>
        </w:rPr>
        <w:t>la medida en que</w:t>
      </w:r>
      <w:r w:rsidRPr="00B00AA2" w:rsidR="00AC0C81">
        <w:rPr>
          <w:rFonts w:ascii="Arial" w:hAnsi="Arial" w:cs="Arial"/>
          <w:color w:val="000000" w:themeColor="text1"/>
          <w:sz w:val="22"/>
          <w:lang w:val="es-CO"/>
        </w:rPr>
        <w:t xml:space="preserve"> esta </w:t>
      </w:r>
      <w:r w:rsidRPr="00B00AA2">
        <w:rPr>
          <w:rFonts w:ascii="Arial" w:hAnsi="Arial" w:cs="Arial"/>
          <w:color w:val="000000" w:themeColor="text1"/>
          <w:sz w:val="22"/>
          <w:lang w:val="es-CO"/>
        </w:rPr>
        <w:t xml:space="preserve">última se crea con la finalidad de que sus socios repartan las utilidades obtenidas en desarrollo de la empresa o actividad social; mientras que </w:t>
      </w:r>
      <w:r w:rsidRPr="00B00AA2" w:rsidR="00AC0C81">
        <w:rPr>
          <w:rFonts w:ascii="Arial" w:hAnsi="Arial" w:cs="Arial"/>
          <w:color w:val="000000" w:themeColor="text1"/>
          <w:sz w:val="22"/>
          <w:lang w:val="es-CO"/>
        </w:rPr>
        <w:t>en aquellas</w:t>
      </w:r>
      <w:r w:rsidRPr="00B00AA2">
        <w:rPr>
          <w:rFonts w:ascii="Arial" w:hAnsi="Arial" w:cs="Arial"/>
          <w:color w:val="000000" w:themeColor="text1"/>
          <w:sz w:val="22"/>
          <w:lang w:val="es-CO"/>
        </w:rPr>
        <w:t xml:space="preserve"> el patrimonio se </w:t>
      </w:r>
      <w:r w:rsidRPr="00B00AA2" w:rsidR="00807EEE">
        <w:rPr>
          <w:rFonts w:ascii="Arial" w:hAnsi="Arial" w:cs="Arial"/>
          <w:color w:val="000000" w:themeColor="text1"/>
          <w:sz w:val="22"/>
          <w:lang w:val="es-CO"/>
        </w:rPr>
        <w:t>destina</w:t>
      </w:r>
      <w:r w:rsidRPr="00B00AA2">
        <w:rPr>
          <w:rFonts w:ascii="Arial" w:hAnsi="Arial" w:cs="Arial"/>
          <w:color w:val="000000" w:themeColor="text1"/>
          <w:sz w:val="22"/>
          <w:lang w:val="es-CO"/>
        </w:rPr>
        <w:t xml:space="preserve"> a la consecución de un interés general y</w:t>
      </w:r>
      <w:r w:rsidRPr="00B00AA2" w:rsidR="00AC0C81">
        <w:rPr>
          <w:rFonts w:ascii="Arial" w:hAnsi="Arial" w:cs="Arial"/>
          <w:color w:val="000000" w:themeColor="text1"/>
          <w:sz w:val="22"/>
          <w:lang w:val="es-CO"/>
        </w:rPr>
        <w:t>, como tal,</w:t>
      </w:r>
      <w:r w:rsidRPr="00B00AA2">
        <w:rPr>
          <w:rFonts w:ascii="Arial" w:hAnsi="Arial" w:cs="Arial"/>
          <w:color w:val="000000" w:themeColor="text1"/>
          <w:sz w:val="22"/>
          <w:lang w:val="es-CO"/>
        </w:rPr>
        <w:t xml:space="preserve"> no </w:t>
      </w:r>
      <w:r w:rsidRPr="00B00AA2" w:rsidR="00AC0C81">
        <w:rPr>
          <w:rFonts w:ascii="Arial" w:hAnsi="Arial" w:cs="Arial"/>
          <w:color w:val="000000" w:themeColor="text1"/>
          <w:sz w:val="22"/>
          <w:lang w:val="es-CO"/>
        </w:rPr>
        <w:t xml:space="preserve">se </w:t>
      </w:r>
      <w:r w:rsidRPr="00B00AA2">
        <w:rPr>
          <w:rFonts w:ascii="Arial" w:hAnsi="Arial" w:cs="Arial"/>
          <w:color w:val="000000" w:themeColor="text1"/>
          <w:sz w:val="22"/>
          <w:lang w:val="es-CO"/>
        </w:rPr>
        <w:t>percibe lucro.</w:t>
      </w:r>
    </w:p>
    <w:p w:rsidRPr="00B00AA2" w:rsidR="00E64988" w:rsidP="00AC0C81" w:rsidRDefault="00DD0E98" w14:paraId="3F7B9208" w14:textId="77777777">
      <w:pPr>
        <w:spacing w:before="120" w:line="276" w:lineRule="auto"/>
        <w:ind w:right="51" w:firstLine="709"/>
        <w:jc w:val="both"/>
        <w:rPr>
          <w:rFonts w:ascii="Arial" w:hAnsi="Arial" w:cs="Arial"/>
          <w:color w:val="000000" w:themeColor="text1"/>
          <w:sz w:val="22"/>
          <w:lang w:val="es-CO"/>
        </w:rPr>
      </w:pPr>
      <w:r w:rsidRPr="00B00AA2">
        <w:rPr>
          <w:rFonts w:ascii="Arial" w:hAnsi="Arial" w:cs="Arial"/>
          <w:color w:val="000000" w:themeColor="text1"/>
          <w:sz w:val="22"/>
          <w:lang w:val="es-CO"/>
        </w:rPr>
        <w:t>Por su parte, la Corte Constitucional, en la sentencia C-287 de 2012</w:t>
      </w:r>
      <w:r w:rsidRPr="00B00AA2" w:rsidR="00AC0C81">
        <w:rPr>
          <w:rStyle w:val="Refdenotaalpie"/>
          <w:rFonts w:ascii="Arial" w:hAnsi="Arial" w:cs="Arial"/>
          <w:color w:val="000000" w:themeColor="text1"/>
          <w:sz w:val="22"/>
          <w:lang w:val="es-CO"/>
        </w:rPr>
        <w:footnoteReference w:id="17"/>
      </w:r>
      <w:r w:rsidRPr="00B00AA2">
        <w:rPr>
          <w:rFonts w:ascii="Arial" w:hAnsi="Arial" w:cs="Arial"/>
          <w:color w:val="000000" w:themeColor="text1"/>
          <w:sz w:val="22"/>
          <w:lang w:val="es-CO"/>
        </w:rPr>
        <w:t xml:space="preserve">, reiteró que la diferencia existente entre las sociedades comerciales y las entidades privadas sin ánimo de lucro es que estas últimas no reparten sus utilidades entre los socios. Así lo estableció en los siguientes términos: </w:t>
      </w:r>
    </w:p>
    <w:p w:rsidRPr="00B00AA2" w:rsidR="00E64988" w:rsidP="00E64988" w:rsidRDefault="00E64988" w14:paraId="39AA50E1" w14:textId="77777777">
      <w:pPr>
        <w:ind w:left="709" w:right="760"/>
        <w:jc w:val="both"/>
        <w:rPr>
          <w:rFonts w:ascii="Arial" w:hAnsi="Arial" w:cs="Arial"/>
          <w:color w:val="000000" w:themeColor="text1"/>
          <w:sz w:val="21"/>
          <w:szCs w:val="21"/>
          <w:lang w:val="es-CO"/>
        </w:rPr>
      </w:pPr>
    </w:p>
    <w:p w:rsidRPr="00B00AA2" w:rsidR="00DD0E98" w:rsidP="00E64988" w:rsidRDefault="00DD0E98" w14:paraId="47A0CF06" w14:textId="2449AE24">
      <w:pPr>
        <w:ind w:left="709" w:right="760"/>
        <w:jc w:val="both"/>
        <w:rPr>
          <w:rFonts w:ascii="Arial" w:hAnsi="Arial" w:cs="Arial"/>
          <w:color w:val="000000" w:themeColor="text1"/>
          <w:sz w:val="21"/>
          <w:szCs w:val="21"/>
          <w:lang w:val="es-CO"/>
        </w:rPr>
      </w:pPr>
      <w:r w:rsidRPr="00B00AA2">
        <w:rPr>
          <w:rFonts w:ascii="Arial" w:hAnsi="Arial" w:cs="Arial"/>
          <w:color w:val="000000" w:themeColor="text1"/>
          <w:sz w:val="21"/>
          <w:szCs w:val="21"/>
          <w:lang w:val="es-CO"/>
        </w:rPr>
        <w:t xml:space="preserve">Sin embargo, el hecho que no persigan una finalidad lucrativa no significa que no desarrollen actividades que generen utilidades, lo que pasa es que, a diferencia de las sociedades, el lucro o ganancia obtenida no se reparte entre sus </w:t>
      </w:r>
      <w:proofErr w:type="gramStart"/>
      <w:r w:rsidRPr="00B00AA2">
        <w:rPr>
          <w:rFonts w:ascii="Arial" w:hAnsi="Arial" w:cs="Arial"/>
          <w:color w:val="000000" w:themeColor="text1"/>
          <w:sz w:val="21"/>
          <w:szCs w:val="21"/>
          <w:lang w:val="es-CO"/>
        </w:rPr>
        <w:t>miembros</w:t>
      </w:r>
      <w:proofErr w:type="gramEnd"/>
      <w:r w:rsidRPr="00B00AA2">
        <w:rPr>
          <w:rFonts w:ascii="Arial" w:hAnsi="Arial" w:cs="Arial"/>
          <w:color w:val="000000" w:themeColor="text1"/>
          <w:sz w:val="21"/>
          <w:szCs w:val="21"/>
          <w:lang w:val="es-CO"/>
        </w:rPr>
        <w:t xml:space="preserve">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B00AA2">
        <w:rPr>
          <w:rFonts w:ascii="Arial" w:hAnsi="Arial" w:cs="Arial"/>
          <w:color w:val="000000" w:themeColor="text1"/>
          <w:sz w:val="21"/>
          <w:szCs w:val="21"/>
          <w:lang w:val="es-CO"/>
        </w:rPr>
        <w:t>del mismo</w:t>
      </w:r>
      <w:proofErr w:type="gramEnd"/>
      <w:r w:rsidRPr="00B00AA2">
        <w:rPr>
          <w:rFonts w:ascii="Arial" w:hAnsi="Arial" w:cs="Arial"/>
          <w:color w:val="000000" w:themeColor="text1"/>
          <w:sz w:val="21"/>
          <w:szCs w:val="21"/>
          <w:lang w:val="es-CO"/>
        </w:rPr>
        <w:t xml:space="preserve"> en el momento de su disolución o liquidación.</w:t>
      </w:r>
    </w:p>
    <w:p w:rsidRPr="00B00AA2" w:rsidR="00E64988" w:rsidP="00E756AC" w:rsidRDefault="00E64988" w14:paraId="03BC2781" w14:textId="77777777">
      <w:pPr>
        <w:ind w:right="51" w:firstLine="709"/>
        <w:jc w:val="both"/>
        <w:rPr>
          <w:rFonts w:ascii="Arial" w:hAnsi="Arial" w:cs="Arial"/>
          <w:color w:val="000000" w:themeColor="text1"/>
          <w:sz w:val="21"/>
          <w:szCs w:val="21"/>
          <w:lang w:val="es-CO"/>
        </w:rPr>
      </w:pPr>
    </w:p>
    <w:p w:rsidRPr="00B00AA2" w:rsidR="00510BF5" w:rsidP="00E64988" w:rsidRDefault="00510BF5" w14:paraId="557F3E47" w14:textId="3ED76EC0">
      <w:pPr>
        <w:spacing w:line="276" w:lineRule="auto"/>
        <w:ind w:right="49" w:firstLine="708"/>
        <w:jc w:val="both"/>
        <w:rPr>
          <w:rFonts w:ascii="Arial" w:hAnsi="Arial" w:cs="Arial"/>
          <w:color w:val="000000" w:themeColor="text1"/>
          <w:sz w:val="22"/>
          <w:lang w:val="es-CO"/>
        </w:rPr>
      </w:pPr>
      <w:r w:rsidRPr="00B00AA2">
        <w:rPr>
          <w:rFonts w:ascii="Arial" w:hAnsi="Arial" w:cs="Arial"/>
          <w:color w:val="000000" w:themeColor="text1"/>
          <w:sz w:val="22"/>
          <w:lang w:val="es-CO"/>
        </w:rPr>
        <w:t xml:space="preserve">Igualmente, el Consejo de Estado, Sección Cuarta, expresó que la naturaleza jurídica de las </w:t>
      </w:r>
      <w:r w:rsidRPr="00B00AA2" w:rsidR="0082266E">
        <w:rPr>
          <w:rFonts w:ascii="Arial" w:hAnsi="Arial" w:cs="Arial"/>
          <w:color w:val="000000" w:themeColor="text1"/>
          <w:sz w:val="22"/>
          <w:lang w:val="es-CO"/>
        </w:rPr>
        <w:t>ESAL</w:t>
      </w:r>
      <w:r w:rsidRPr="00B00AA2">
        <w:rPr>
          <w:rFonts w:ascii="Arial" w:hAnsi="Arial" w:cs="Arial"/>
          <w:color w:val="000000" w:themeColor="text1"/>
          <w:sz w:val="22"/>
          <w:lang w:val="es-CO"/>
        </w:rPr>
        <w:t xml:space="preserve"> es diferente a las sociedades mercantiles, toda vez que su objeto no está destinado a perseguir un lucro que pueda ser repartido entre sus asociados, sino que las ganancias se reinvierten en la entidad sin ánimo de lucro para el desarrollo de su objeto social</w:t>
      </w:r>
      <w:r w:rsidRPr="00B00AA2">
        <w:rPr>
          <w:rStyle w:val="Refdenotaalpie"/>
          <w:rFonts w:ascii="Arial" w:hAnsi="Arial" w:cs="Arial"/>
          <w:color w:val="000000" w:themeColor="text1"/>
          <w:sz w:val="22"/>
          <w:lang w:val="es-CO"/>
        </w:rPr>
        <w:footnoteReference w:id="18"/>
      </w:r>
      <w:r w:rsidRPr="00B00AA2">
        <w:rPr>
          <w:rFonts w:ascii="Arial" w:hAnsi="Arial" w:cs="Arial"/>
          <w:color w:val="000000" w:themeColor="text1"/>
          <w:sz w:val="22"/>
          <w:lang w:val="es-CO"/>
        </w:rPr>
        <w:t>.</w:t>
      </w:r>
    </w:p>
    <w:p w:rsidRPr="00B00AA2" w:rsidR="00DD0E98" w:rsidP="00510BF5" w:rsidRDefault="00B5337D" w14:paraId="7F32E7A0" w14:textId="1DE3D567">
      <w:pPr>
        <w:spacing w:before="120" w:line="276" w:lineRule="auto"/>
        <w:ind w:right="51" w:firstLine="709"/>
        <w:jc w:val="both"/>
        <w:rPr>
          <w:rFonts w:ascii="Arial" w:hAnsi="Arial" w:cs="Arial"/>
          <w:color w:val="000000" w:themeColor="text1"/>
          <w:sz w:val="22"/>
          <w:lang w:val="es-CO"/>
        </w:rPr>
      </w:pPr>
      <w:r w:rsidRPr="00B00AA2">
        <w:rPr>
          <w:rFonts w:ascii="Arial" w:hAnsi="Arial" w:cs="Arial"/>
          <w:color w:val="000000" w:themeColor="text1"/>
          <w:sz w:val="22"/>
          <w:lang w:val="es-CO"/>
        </w:rPr>
        <w:t>En ese mismo sentido, l</w:t>
      </w:r>
      <w:r w:rsidRPr="00B00AA2" w:rsidR="00E64988">
        <w:rPr>
          <w:rFonts w:ascii="Arial" w:hAnsi="Arial" w:cs="Arial"/>
          <w:color w:val="000000" w:themeColor="text1"/>
          <w:sz w:val="22"/>
          <w:lang w:val="es-CO"/>
        </w:rPr>
        <w:t xml:space="preserve">a </w:t>
      </w:r>
      <w:r w:rsidRPr="00B00AA2" w:rsidR="00DD0E98">
        <w:rPr>
          <w:rFonts w:ascii="Arial" w:hAnsi="Arial" w:cs="Arial"/>
          <w:color w:val="000000" w:themeColor="text1"/>
          <w:sz w:val="22"/>
          <w:lang w:val="es-CO"/>
        </w:rPr>
        <w:t xml:space="preserve">Cámara de Comercio de Bogotá, en el </w:t>
      </w:r>
      <w:r w:rsidRPr="00B00AA2" w:rsidR="00E64988">
        <w:rPr>
          <w:rFonts w:ascii="Arial" w:hAnsi="Arial" w:cs="Arial"/>
          <w:color w:val="000000" w:themeColor="text1"/>
          <w:sz w:val="22"/>
          <w:lang w:val="es-CO"/>
        </w:rPr>
        <w:t>«</w:t>
      </w:r>
      <w:r w:rsidRPr="00B00AA2" w:rsidR="00DD0E98">
        <w:rPr>
          <w:rFonts w:ascii="Arial" w:hAnsi="Arial" w:cs="Arial"/>
          <w:color w:val="000000" w:themeColor="text1"/>
          <w:sz w:val="22"/>
          <w:lang w:val="es-CO"/>
        </w:rPr>
        <w:t>Documento ABC Entidades sin Ánimo de lucro</w:t>
      </w:r>
      <w:r w:rsidRPr="00B00AA2" w:rsidR="00E64988">
        <w:rPr>
          <w:rFonts w:ascii="Arial" w:hAnsi="Arial" w:cs="Arial"/>
          <w:color w:val="000000" w:themeColor="text1"/>
          <w:sz w:val="22"/>
          <w:lang w:val="es-CO"/>
        </w:rPr>
        <w:t xml:space="preserve">», </w:t>
      </w:r>
      <w:r w:rsidRPr="00B00AA2" w:rsidR="00044FF2">
        <w:rPr>
          <w:rFonts w:ascii="Arial" w:hAnsi="Arial" w:cs="Arial"/>
          <w:color w:val="000000" w:themeColor="text1"/>
          <w:sz w:val="22"/>
          <w:lang w:val="es-CO"/>
        </w:rPr>
        <w:t xml:space="preserve">ha definido </w:t>
      </w:r>
      <w:r w:rsidRPr="00B00AA2" w:rsidR="00DD0E98">
        <w:rPr>
          <w:rFonts w:ascii="Arial" w:hAnsi="Arial" w:cs="Arial"/>
          <w:color w:val="000000" w:themeColor="text1"/>
          <w:sz w:val="22"/>
          <w:lang w:val="es-CO"/>
        </w:rPr>
        <w:t xml:space="preserve">las entidades privadas sin ánimo de lucro como </w:t>
      </w:r>
      <w:r w:rsidRPr="00B00AA2">
        <w:rPr>
          <w:rFonts w:ascii="Arial" w:hAnsi="Arial" w:cs="Arial"/>
          <w:color w:val="000000" w:themeColor="text1"/>
          <w:sz w:val="22"/>
          <w:lang w:val="es-CO"/>
        </w:rPr>
        <w:t>«</w:t>
      </w:r>
      <w:r w:rsidRPr="00B00AA2" w:rsidR="00DD0E98">
        <w:rPr>
          <w:rFonts w:ascii="Arial" w:hAnsi="Arial" w:cs="Arial"/>
          <w:color w:val="000000" w:themeColor="text1"/>
          <w:sz w:val="22"/>
          <w:lang w:val="es-CO"/>
        </w:rPr>
        <w:t xml:space="preserve">las personas jurídicas que se constituyen por la voluntad de asociación o creación de otras personas (naturales o jurídicas) para realizar actividades en beneficio de los asociados o de terceras personas o de la comunidad en general y no persiguen el reparto </w:t>
      </w:r>
      <w:r w:rsidRPr="00B00AA2" w:rsidR="00DD0E98">
        <w:rPr>
          <w:rFonts w:ascii="Arial" w:hAnsi="Arial" w:cs="Arial"/>
          <w:color w:val="000000" w:themeColor="text1"/>
          <w:sz w:val="22"/>
          <w:lang w:val="es-CO"/>
        </w:rPr>
        <w:lastRenderedPageBreak/>
        <w:t>de utilidades entre sus miembros</w:t>
      </w:r>
      <w:r w:rsidRPr="00B00AA2">
        <w:rPr>
          <w:rFonts w:ascii="Arial" w:hAnsi="Arial" w:cs="Arial"/>
          <w:color w:val="000000" w:themeColor="text1"/>
          <w:sz w:val="22"/>
          <w:lang w:val="es-CO"/>
        </w:rPr>
        <w:t>»</w:t>
      </w:r>
      <w:r w:rsidRPr="00B00AA2" w:rsidR="00BE2AD3">
        <w:rPr>
          <w:rStyle w:val="Refdenotaalpie"/>
          <w:rFonts w:ascii="Arial" w:hAnsi="Arial" w:cs="Arial"/>
          <w:color w:val="000000" w:themeColor="text1"/>
          <w:sz w:val="22"/>
          <w:lang w:val="es-CO"/>
        </w:rPr>
        <w:footnoteReference w:id="19"/>
      </w:r>
      <w:r w:rsidRPr="00B00AA2" w:rsidR="00DD0E98">
        <w:rPr>
          <w:rFonts w:ascii="Arial" w:hAnsi="Arial" w:cs="Arial"/>
          <w:color w:val="000000" w:themeColor="text1"/>
          <w:sz w:val="22"/>
          <w:lang w:val="es-CO"/>
        </w:rPr>
        <w:t xml:space="preserve">. </w:t>
      </w:r>
      <w:r w:rsidRPr="00B00AA2" w:rsidR="00447FE5">
        <w:rPr>
          <w:rFonts w:ascii="Arial" w:hAnsi="Arial" w:cs="Arial"/>
          <w:color w:val="000000" w:themeColor="text1"/>
          <w:sz w:val="22"/>
          <w:lang w:val="es-CO"/>
        </w:rPr>
        <w:t>L</w:t>
      </w:r>
      <w:r w:rsidRPr="00B00AA2" w:rsidR="00DD0E98">
        <w:rPr>
          <w:rFonts w:ascii="Arial" w:hAnsi="Arial" w:cs="Arial"/>
          <w:color w:val="000000" w:themeColor="text1"/>
          <w:sz w:val="22"/>
          <w:lang w:val="es-CO"/>
        </w:rPr>
        <w:t>as entidades privadas sin ánimo de lucro</w:t>
      </w:r>
      <w:r w:rsidRPr="00B00AA2" w:rsidR="00447FE5">
        <w:rPr>
          <w:rFonts w:ascii="Arial" w:hAnsi="Arial" w:cs="Arial"/>
          <w:color w:val="000000" w:themeColor="text1"/>
          <w:sz w:val="22"/>
          <w:lang w:val="es-CO"/>
        </w:rPr>
        <w:t>, pues,</w:t>
      </w:r>
      <w:r w:rsidRPr="00B00AA2" w:rsidR="00DD0E98">
        <w:rPr>
          <w:rFonts w:ascii="Arial" w:hAnsi="Arial" w:cs="Arial"/>
          <w:color w:val="000000" w:themeColor="text1"/>
          <w:sz w:val="22"/>
          <w:lang w:val="es-CO"/>
        </w:rPr>
        <w:t xml:space="preserve"> no tienen la naturaleza jurídica de empresa sino de asociaciones que buscan la realización de un fin común y objetivos</w:t>
      </w:r>
      <w:r w:rsidRPr="00B00AA2" w:rsidR="0065701C">
        <w:rPr>
          <w:rFonts w:ascii="Arial" w:hAnsi="Arial" w:cs="Arial"/>
          <w:color w:val="000000" w:themeColor="text1"/>
          <w:sz w:val="22"/>
          <w:lang w:val="es-CO"/>
        </w:rPr>
        <w:t xml:space="preserve"> carentes de</w:t>
      </w:r>
      <w:r w:rsidRPr="00B00AA2" w:rsidR="00DD0E98">
        <w:rPr>
          <w:rFonts w:ascii="Arial" w:hAnsi="Arial" w:cs="Arial"/>
          <w:color w:val="000000" w:themeColor="text1"/>
          <w:sz w:val="22"/>
          <w:lang w:val="es-CO"/>
        </w:rPr>
        <w:t xml:space="preserve"> un contenido esencialmente patrimonial </w:t>
      </w:r>
      <w:r w:rsidRPr="00B00AA2" w:rsidR="00447FE5">
        <w:rPr>
          <w:rFonts w:ascii="Arial" w:hAnsi="Arial" w:cs="Arial"/>
          <w:color w:val="000000" w:themeColor="text1"/>
          <w:sz w:val="22"/>
          <w:lang w:val="es-CO"/>
        </w:rPr>
        <w:t>−</w:t>
      </w:r>
      <w:r w:rsidRPr="00B00AA2" w:rsidR="00DD0E98">
        <w:rPr>
          <w:rFonts w:ascii="Arial" w:hAnsi="Arial" w:cs="Arial"/>
          <w:color w:val="000000" w:themeColor="text1"/>
          <w:sz w:val="22"/>
          <w:lang w:val="es-CO"/>
        </w:rPr>
        <w:t>fin de lucro y reparto de</w:t>
      </w:r>
      <w:r w:rsidRPr="00B00AA2" w:rsidR="0065701C">
        <w:rPr>
          <w:rFonts w:ascii="Arial" w:hAnsi="Arial" w:cs="Arial"/>
          <w:color w:val="000000" w:themeColor="text1"/>
          <w:sz w:val="22"/>
          <w:lang w:val="es-CO"/>
        </w:rPr>
        <w:t xml:space="preserve"> las</w:t>
      </w:r>
      <w:r w:rsidRPr="00B00AA2" w:rsidR="00DD0E98">
        <w:rPr>
          <w:rFonts w:ascii="Arial" w:hAnsi="Arial" w:cs="Arial"/>
          <w:color w:val="000000" w:themeColor="text1"/>
          <w:sz w:val="22"/>
          <w:lang w:val="es-CO"/>
        </w:rPr>
        <w:t xml:space="preserve"> utilidades</w:t>
      </w:r>
      <w:r w:rsidRPr="00B00AA2" w:rsidR="00447FE5">
        <w:rPr>
          <w:rFonts w:ascii="Arial" w:hAnsi="Arial" w:cs="Arial"/>
          <w:color w:val="000000" w:themeColor="text1"/>
          <w:sz w:val="22"/>
          <w:lang w:val="es-CO"/>
        </w:rPr>
        <w:t>−</w:t>
      </w:r>
      <w:r w:rsidRPr="00B00AA2" w:rsidR="00DD0E98">
        <w:rPr>
          <w:rFonts w:ascii="Arial" w:hAnsi="Arial" w:cs="Arial"/>
          <w:color w:val="000000" w:themeColor="text1"/>
          <w:sz w:val="22"/>
          <w:lang w:val="es-CO"/>
        </w:rPr>
        <w:t>.</w:t>
      </w:r>
    </w:p>
    <w:p w:rsidRPr="00B00AA2" w:rsidR="00DD0E98" w:rsidP="00E64988" w:rsidRDefault="005F6CBF" w14:paraId="2CE94ABF" w14:textId="5E5BDBE3">
      <w:pPr>
        <w:spacing w:before="120" w:line="276" w:lineRule="auto"/>
        <w:ind w:right="51" w:firstLine="709"/>
        <w:jc w:val="both"/>
        <w:rPr>
          <w:rFonts w:ascii="Arial" w:hAnsi="Arial" w:cs="Arial"/>
          <w:color w:val="000000" w:themeColor="text1"/>
          <w:sz w:val="22"/>
          <w:lang w:val="es-CO"/>
        </w:rPr>
      </w:pPr>
      <w:r w:rsidRPr="00B00AA2">
        <w:rPr>
          <w:rFonts w:ascii="Arial" w:hAnsi="Arial" w:cs="Arial"/>
          <w:color w:val="000000" w:themeColor="text1"/>
          <w:sz w:val="22"/>
          <w:lang w:val="es-CO"/>
        </w:rPr>
        <w:t>Ahora bien</w:t>
      </w:r>
      <w:r w:rsidRPr="00B00AA2" w:rsidR="00DD0E98">
        <w:rPr>
          <w:rFonts w:ascii="Arial" w:hAnsi="Arial" w:cs="Arial"/>
          <w:color w:val="000000" w:themeColor="text1"/>
          <w:sz w:val="22"/>
          <w:lang w:val="es-CO"/>
        </w:rPr>
        <w:t>, en virtud del artículo 43 de la Ley 1450 de 2011</w:t>
      </w:r>
      <w:r w:rsidRPr="00B00AA2" w:rsidR="00112597">
        <w:rPr>
          <w:rFonts w:ascii="Arial" w:hAnsi="Arial" w:cs="Arial"/>
          <w:color w:val="000000" w:themeColor="text1"/>
          <w:sz w:val="22"/>
          <w:lang w:val="es-CO"/>
        </w:rPr>
        <w:t>, que modificó el artículo 2 de la Ley 590 de 2000,</w:t>
      </w:r>
      <w:r w:rsidRPr="00B00AA2" w:rsidR="00DD0E98">
        <w:rPr>
          <w:rFonts w:ascii="Arial" w:hAnsi="Arial" w:cs="Arial"/>
          <w:color w:val="000000" w:themeColor="text1"/>
          <w:sz w:val="22"/>
          <w:lang w:val="es-CO"/>
        </w:rPr>
        <w:t xml:space="preserve"> </w:t>
      </w:r>
      <w:r w:rsidRPr="00B00AA2" w:rsidR="008327EE">
        <w:rPr>
          <w:rFonts w:ascii="Arial" w:hAnsi="Arial" w:cs="Arial"/>
          <w:color w:val="000000" w:themeColor="text1"/>
          <w:sz w:val="22"/>
          <w:lang w:val="es-CO"/>
        </w:rPr>
        <w:t xml:space="preserve">y a la luz de las consideraciones contenidas en los párrafos precedentes, pue decirse que </w:t>
      </w:r>
      <w:r w:rsidRPr="00B00AA2" w:rsidR="00DD0E98">
        <w:rPr>
          <w:rFonts w:ascii="Arial" w:hAnsi="Arial" w:cs="Arial"/>
          <w:color w:val="000000" w:themeColor="text1"/>
          <w:sz w:val="22"/>
          <w:lang w:val="es-CO"/>
        </w:rPr>
        <w:t>s</w:t>
      </w:r>
      <w:r w:rsidRPr="00B00AA2" w:rsidR="005B3880">
        <w:rPr>
          <w:rFonts w:ascii="Arial" w:hAnsi="Arial" w:cs="Arial"/>
          <w:color w:val="000000" w:themeColor="text1"/>
          <w:sz w:val="22"/>
          <w:lang w:val="es-CO"/>
        </w:rPr>
        <w:t>o</w:t>
      </w:r>
      <w:r w:rsidRPr="00B00AA2" w:rsidR="00DD0E98">
        <w:rPr>
          <w:rFonts w:ascii="Arial" w:hAnsi="Arial" w:cs="Arial"/>
          <w:color w:val="000000" w:themeColor="text1"/>
          <w:sz w:val="22"/>
          <w:lang w:val="es-CO"/>
        </w:rPr>
        <w:t xml:space="preserve">lo podrán ser </w:t>
      </w:r>
      <w:proofErr w:type="spellStart"/>
      <w:r w:rsidRPr="00B00AA2" w:rsidR="00DD0E98">
        <w:rPr>
          <w:rFonts w:ascii="Arial" w:hAnsi="Arial" w:cs="Arial"/>
          <w:color w:val="000000" w:themeColor="text1"/>
          <w:sz w:val="22"/>
          <w:lang w:val="es-CO"/>
        </w:rPr>
        <w:t>Mipymes</w:t>
      </w:r>
      <w:proofErr w:type="spellEnd"/>
      <w:r w:rsidRPr="00B00AA2" w:rsidR="00DD0E98">
        <w:rPr>
          <w:rFonts w:ascii="Arial" w:hAnsi="Arial" w:cs="Arial"/>
          <w:color w:val="000000" w:themeColor="text1"/>
          <w:sz w:val="22"/>
          <w:lang w:val="es-CO"/>
        </w:rPr>
        <w:t xml:space="preserve"> las empresas</w:t>
      </w:r>
      <w:r w:rsidRPr="00B00AA2" w:rsidR="00112597">
        <w:rPr>
          <w:rFonts w:ascii="Arial" w:hAnsi="Arial" w:cs="Arial"/>
          <w:color w:val="000000" w:themeColor="text1"/>
          <w:sz w:val="22"/>
          <w:lang w:val="es-CO"/>
        </w:rPr>
        <w:t>,</w:t>
      </w:r>
      <w:r w:rsidRPr="00B00AA2" w:rsidR="00DD0E98">
        <w:rPr>
          <w:rFonts w:ascii="Arial" w:hAnsi="Arial" w:cs="Arial"/>
          <w:color w:val="000000" w:themeColor="text1"/>
          <w:sz w:val="22"/>
          <w:lang w:val="es-CO"/>
        </w:rPr>
        <w:t xml:space="preserve"> entendidas </w:t>
      </w:r>
      <w:r w:rsidRPr="00B00AA2" w:rsidR="005B3880">
        <w:rPr>
          <w:rFonts w:ascii="Arial" w:hAnsi="Arial" w:cs="Arial"/>
          <w:color w:val="000000" w:themeColor="text1"/>
          <w:sz w:val="22"/>
          <w:lang w:val="es-CO"/>
        </w:rPr>
        <w:t>e</w:t>
      </w:r>
      <w:r w:rsidRPr="00B00AA2" w:rsidR="00DD0E98">
        <w:rPr>
          <w:rFonts w:ascii="Arial" w:hAnsi="Arial" w:cs="Arial"/>
          <w:color w:val="000000" w:themeColor="text1"/>
          <w:sz w:val="22"/>
          <w:lang w:val="es-CO"/>
        </w:rPr>
        <w:t>stas como la</w:t>
      </w:r>
      <w:r w:rsidRPr="00B00AA2" w:rsidR="005B3880">
        <w:rPr>
          <w:rFonts w:ascii="Arial" w:hAnsi="Arial" w:cs="Arial"/>
          <w:color w:val="000000" w:themeColor="text1"/>
          <w:sz w:val="22"/>
          <w:lang w:val="es-CO"/>
        </w:rPr>
        <w:t>s</w:t>
      </w:r>
      <w:r w:rsidRPr="00B00AA2" w:rsidR="00DD0E98">
        <w:rPr>
          <w:rFonts w:ascii="Arial" w:hAnsi="Arial" w:cs="Arial"/>
          <w:color w:val="000000" w:themeColor="text1"/>
          <w:sz w:val="22"/>
          <w:lang w:val="es-CO"/>
        </w:rPr>
        <w:t xml:space="preserve"> unidad</w:t>
      </w:r>
      <w:r w:rsidRPr="00B00AA2" w:rsidR="005B3880">
        <w:rPr>
          <w:rFonts w:ascii="Arial" w:hAnsi="Arial" w:cs="Arial"/>
          <w:color w:val="000000" w:themeColor="text1"/>
          <w:sz w:val="22"/>
          <w:lang w:val="es-CO"/>
        </w:rPr>
        <w:t>es</w:t>
      </w:r>
      <w:r w:rsidRPr="00B00AA2" w:rsidR="00DD0E98">
        <w:rPr>
          <w:rFonts w:ascii="Arial" w:hAnsi="Arial" w:cs="Arial"/>
          <w:color w:val="000000" w:themeColor="text1"/>
          <w:sz w:val="22"/>
          <w:lang w:val="es-CO"/>
        </w:rPr>
        <w:t xml:space="preserve"> de explotación económica que busca</w:t>
      </w:r>
      <w:r w:rsidRPr="00B00AA2" w:rsidR="005B3880">
        <w:rPr>
          <w:rFonts w:ascii="Arial" w:hAnsi="Arial" w:cs="Arial"/>
          <w:color w:val="000000" w:themeColor="text1"/>
          <w:sz w:val="22"/>
          <w:lang w:val="es-CO"/>
        </w:rPr>
        <w:t>n</w:t>
      </w:r>
      <w:r w:rsidRPr="00B00AA2" w:rsidR="00DD0E98">
        <w:rPr>
          <w:rFonts w:ascii="Arial" w:hAnsi="Arial" w:cs="Arial"/>
          <w:color w:val="000000" w:themeColor="text1"/>
          <w:sz w:val="22"/>
          <w:lang w:val="es-CO"/>
        </w:rPr>
        <w:t xml:space="preserve"> el reparto de utilidades entre los miembros de la empresa.</w:t>
      </w:r>
      <w:r w:rsidRPr="00B00AA2" w:rsidR="00112597">
        <w:rPr>
          <w:rFonts w:ascii="Arial" w:hAnsi="Arial" w:cs="Arial"/>
          <w:color w:val="000000" w:themeColor="text1"/>
          <w:sz w:val="22"/>
          <w:lang w:val="es-CO"/>
        </w:rPr>
        <w:t xml:space="preserve"> De esta forma, e</w:t>
      </w:r>
      <w:r w:rsidRPr="00B00AA2" w:rsidR="00DD0E98">
        <w:rPr>
          <w:rFonts w:ascii="Arial" w:hAnsi="Arial" w:cs="Arial"/>
          <w:color w:val="000000" w:themeColor="text1"/>
          <w:sz w:val="22"/>
          <w:lang w:val="es-CO"/>
        </w:rPr>
        <w:t>n razón a que las entidades privadas sin ánimo de lucro no persiguen el reparto de utilidades entre sus miembros, sino que su objeto está destinado a realizar una actividad de interés general sin esperar a cambio repartición de utilidades en proporción a sus utilidades</w:t>
      </w:r>
      <w:r w:rsidRPr="00B00AA2" w:rsidR="00D24682">
        <w:rPr>
          <w:rFonts w:ascii="Arial" w:hAnsi="Arial" w:cs="Arial"/>
          <w:color w:val="000000" w:themeColor="text1"/>
          <w:sz w:val="22"/>
          <w:lang w:val="es-CO"/>
        </w:rPr>
        <w:t xml:space="preserve">, lo cierto es que estas </w:t>
      </w:r>
      <w:r w:rsidRPr="00B00AA2" w:rsidR="00DD0E98">
        <w:rPr>
          <w:rFonts w:ascii="Arial" w:hAnsi="Arial" w:cs="Arial"/>
          <w:color w:val="000000" w:themeColor="text1"/>
          <w:sz w:val="22"/>
          <w:lang w:val="es-CO"/>
        </w:rPr>
        <w:t xml:space="preserve">no podrán participar en los procesos de contratación limitado a </w:t>
      </w:r>
      <w:proofErr w:type="spellStart"/>
      <w:r w:rsidRPr="00B00AA2" w:rsidR="00DD0E98">
        <w:rPr>
          <w:rFonts w:ascii="Arial" w:hAnsi="Arial" w:cs="Arial"/>
          <w:color w:val="000000" w:themeColor="text1"/>
          <w:sz w:val="22"/>
          <w:lang w:val="es-CO"/>
        </w:rPr>
        <w:t>Mipymes</w:t>
      </w:r>
      <w:proofErr w:type="spellEnd"/>
      <w:r w:rsidRPr="00B00AA2" w:rsidR="00DD0E98">
        <w:rPr>
          <w:rFonts w:ascii="Arial" w:hAnsi="Arial" w:cs="Arial"/>
          <w:color w:val="000000" w:themeColor="text1"/>
          <w:sz w:val="22"/>
          <w:lang w:val="es-CO"/>
        </w:rPr>
        <w:t>.</w:t>
      </w:r>
    </w:p>
    <w:p w:rsidRPr="00B00AA2" w:rsidR="00DD0E98" w:rsidP="00DD0E98" w:rsidRDefault="00DD0E98" w14:paraId="559ED51B" w14:textId="77777777">
      <w:pPr>
        <w:spacing w:line="276" w:lineRule="auto"/>
        <w:ind w:right="709"/>
        <w:jc w:val="both"/>
        <w:rPr>
          <w:rFonts w:ascii="Arial" w:hAnsi="Arial" w:cs="Arial"/>
          <w:color w:val="000000" w:themeColor="text1"/>
          <w:sz w:val="21"/>
          <w:szCs w:val="21"/>
          <w:lang w:val="es-CO"/>
        </w:rPr>
      </w:pPr>
    </w:p>
    <w:p w:rsidRPr="00B00AA2" w:rsidR="008C487C" w:rsidP="008C487C" w:rsidRDefault="008C487C" w14:paraId="4487ABBD" w14:textId="77777777">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B00AA2">
        <w:rPr>
          <w:rFonts w:ascii="Arial" w:hAnsi="Arial" w:cs="Arial"/>
          <w:b/>
          <w:bCs/>
          <w:color w:val="000000" w:themeColor="text1"/>
          <w:sz w:val="22"/>
          <w:lang w:val="es-CO"/>
        </w:rPr>
        <w:t xml:space="preserve">Respuesta </w:t>
      </w:r>
    </w:p>
    <w:p w:rsidRPr="00B00AA2" w:rsidR="008C487C" w:rsidP="00E756AC" w:rsidRDefault="008C487C" w14:paraId="23D440DD" w14:textId="77777777">
      <w:pPr>
        <w:jc w:val="both"/>
        <w:rPr>
          <w:rFonts w:ascii="Arial" w:hAnsi="Arial" w:cs="Arial"/>
          <w:color w:val="000000" w:themeColor="text1"/>
          <w:sz w:val="22"/>
          <w:lang w:val="es-CO"/>
        </w:rPr>
      </w:pPr>
    </w:p>
    <w:p w:rsidRPr="00B00AA2" w:rsidR="0082266E" w:rsidP="009D1D57" w:rsidRDefault="0082266E" w14:paraId="0CF862E2" w14:textId="3EB57A6B">
      <w:pPr>
        <w:spacing w:before="120" w:line="276" w:lineRule="auto"/>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Usted solicita que se revise el «concepto #416140003241 sobre el cual emite Colombia compra sobre el no reconocimiento de las Entidades sin ánimo de lucro - ESAL - como empresa y por consiguiente personas jurídicas no habilitadas para participar en procesos contractuales limitados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w:t>
      </w:r>
    </w:p>
    <w:p w:rsidRPr="00B00AA2" w:rsidR="002239B4" w:rsidP="0082266E" w:rsidRDefault="00791377" w14:paraId="58C65BF2" w14:textId="53263190">
      <w:pPr>
        <w:spacing w:before="120" w:line="276" w:lineRule="auto"/>
        <w:ind w:firstLine="708"/>
        <w:jc w:val="both"/>
        <w:rPr>
          <w:rFonts w:ascii="Arial" w:hAnsi="Arial" w:cs="Arial"/>
          <w:color w:val="000000" w:themeColor="text1"/>
          <w:sz w:val="22"/>
          <w:lang w:val="es-CO"/>
        </w:rPr>
      </w:pPr>
      <w:r w:rsidRPr="00B00AA2">
        <w:rPr>
          <w:rFonts w:ascii="Arial" w:hAnsi="Arial" w:eastAsia="Calibri" w:cs="Arial"/>
          <w:color w:val="000000" w:themeColor="text1"/>
          <w:sz w:val="22"/>
        </w:rPr>
        <w:t>Sin embargo, l</w:t>
      </w:r>
      <w:r w:rsidRPr="00B00AA2" w:rsidR="002239B4">
        <w:rPr>
          <w:rFonts w:ascii="Arial" w:hAnsi="Arial" w:cs="Arial"/>
          <w:color w:val="000000" w:themeColor="text1"/>
          <w:sz w:val="22"/>
          <w:lang w:val="es-CO"/>
        </w:rPr>
        <w:t xml:space="preserve">os conceptos </w:t>
      </w:r>
      <w:r w:rsidRPr="00B00AA2" w:rsidR="0082266E">
        <w:rPr>
          <w:rFonts w:ascii="Arial" w:hAnsi="Arial" w:cs="Arial"/>
          <w:color w:val="000000" w:themeColor="text1"/>
          <w:sz w:val="22"/>
          <w:lang w:val="es-CO"/>
        </w:rPr>
        <w:t xml:space="preserve">emitidos por la </w:t>
      </w:r>
      <w:r w:rsidRPr="00B00AA2" w:rsidR="00843BE5">
        <w:rPr>
          <w:rFonts w:ascii="Arial" w:hAnsi="Arial" w:cs="Arial"/>
          <w:color w:val="000000" w:themeColor="text1"/>
          <w:sz w:val="22"/>
          <w:lang w:val="es-CO"/>
        </w:rPr>
        <w:t>Agencia Nacional de Contratación Pública – Colombia Compra Eficiente no son susceptibles de revisión, por un lado, porque no existe norma alguna que así lo disponga y, por el otro, debido a que los mismos tienen el alcance previsto en el artículo 28 de la Ley 1437 de 2011, reformado por el artículo 1 de la Ley 1755 de 2015</w:t>
      </w:r>
      <w:r w:rsidRPr="00B00AA2" w:rsidR="00DF4D86">
        <w:rPr>
          <w:rFonts w:ascii="Arial" w:hAnsi="Arial" w:cs="Arial"/>
          <w:color w:val="000000" w:themeColor="text1"/>
          <w:sz w:val="22"/>
          <w:lang w:val="es-CO"/>
        </w:rPr>
        <w:t>, esto es, porque no son de obligatorio cumplimiento o ejecución</w:t>
      </w:r>
      <w:r w:rsidRPr="00B00AA2" w:rsidR="00843BE5">
        <w:rPr>
          <w:rFonts w:ascii="Arial" w:hAnsi="Arial" w:cs="Arial"/>
          <w:color w:val="000000" w:themeColor="text1"/>
          <w:sz w:val="22"/>
          <w:lang w:val="es-CO"/>
        </w:rPr>
        <w:t>. En ese sentido, no es posible acceder a su solicitud de revisión</w:t>
      </w:r>
      <w:r w:rsidRPr="00B00AA2" w:rsidR="00E63883">
        <w:rPr>
          <w:rFonts w:ascii="Arial" w:hAnsi="Arial" w:cs="Arial"/>
          <w:color w:val="000000" w:themeColor="text1"/>
          <w:sz w:val="22"/>
          <w:lang w:val="es-CO"/>
        </w:rPr>
        <w:t>;</w:t>
      </w:r>
      <w:r w:rsidRPr="00B00AA2" w:rsidR="00843BE5">
        <w:rPr>
          <w:rFonts w:ascii="Arial" w:hAnsi="Arial" w:cs="Arial"/>
          <w:color w:val="000000" w:themeColor="text1"/>
          <w:sz w:val="22"/>
          <w:lang w:val="es-CO"/>
        </w:rPr>
        <w:t xml:space="preserve"> así como tampoco lo es </w:t>
      </w:r>
      <w:r w:rsidRPr="00B00AA2" w:rsidR="004617B8">
        <w:rPr>
          <w:rFonts w:ascii="Arial" w:hAnsi="Arial" w:cs="Arial"/>
          <w:color w:val="000000" w:themeColor="text1"/>
          <w:sz w:val="22"/>
          <w:lang w:val="es-CO"/>
        </w:rPr>
        <w:t xml:space="preserve">hacerlo </w:t>
      </w:r>
      <w:r w:rsidRPr="00B00AA2" w:rsidR="00843BE5">
        <w:rPr>
          <w:rFonts w:ascii="Arial" w:hAnsi="Arial" w:cs="Arial"/>
          <w:color w:val="000000" w:themeColor="text1"/>
          <w:sz w:val="22"/>
          <w:lang w:val="es-CO"/>
        </w:rPr>
        <w:t xml:space="preserve">en relación con </w:t>
      </w:r>
      <w:r w:rsidRPr="00B00AA2" w:rsidR="004617B8">
        <w:rPr>
          <w:rFonts w:ascii="Arial" w:hAnsi="Arial" w:cs="Arial"/>
          <w:color w:val="000000" w:themeColor="text1"/>
          <w:sz w:val="22"/>
          <w:lang w:val="es-CO"/>
        </w:rPr>
        <w:t xml:space="preserve">la </w:t>
      </w:r>
      <w:r w:rsidRPr="00B00AA2" w:rsidR="00843BE5">
        <w:rPr>
          <w:rFonts w:ascii="Arial" w:hAnsi="Arial" w:cs="Arial"/>
          <w:color w:val="000000" w:themeColor="text1"/>
          <w:sz w:val="22"/>
          <w:lang w:val="es-CO"/>
        </w:rPr>
        <w:t xml:space="preserve">solicitud de remitir una serie de preguntas a la Cámara de Comercio de Bogotá, habida cuenta que no existe disposición normativa que nos habilite a hacerlo. </w:t>
      </w:r>
      <w:r w:rsidRPr="00B00AA2" w:rsidR="00E87596">
        <w:rPr>
          <w:rFonts w:ascii="Arial" w:hAnsi="Arial" w:cs="Arial"/>
          <w:color w:val="000000" w:themeColor="text1"/>
          <w:sz w:val="22"/>
          <w:lang w:val="es-CO"/>
        </w:rPr>
        <w:t xml:space="preserve">De ser necesario, </w:t>
      </w:r>
      <w:r w:rsidRPr="00B00AA2" w:rsidR="004617B8">
        <w:rPr>
          <w:rFonts w:ascii="Arial" w:hAnsi="Arial" w:cs="Arial"/>
          <w:color w:val="000000" w:themeColor="text1"/>
          <w:sz w:val="22"/>
          <w:lang w:val="es-CO"/>
        </w:rPr>
        <w:t>es usted quien deberá</w:t>
      </w:r>
      <w:r w:rsidRPr="00B00AA2" w:rsidR="00E87596">
        <w:rPr>
          <w:rFonts w:ascii="Arial" w:hAnsi="Arial" w:cs="Arial"/>
          <w:color w:val="000000" w:themeColor="text1"/>
          <w:sz w:val="22"/>
          <w:lang w:val="es-CO"/>
        </w:rPr>
        <w:t xml:space="preserve"> acercarse a esta entidad</w:t>
      </w:r>
      <w:r w:rsidRPr="00B00AA2" w:rsidR="004617B8">
        <w:rPr>
          <w:rFonts w:ascii="Arial" w:hAnsi="Arial" w:cs="Arial"/>
          <w:color w:val="000000" w:themeColor="text1"/>
          <w:sz w:val="22"/>
          <w:lang w:val="es-CO"/>
        </w:rPr>
        <w:t xml:space="preserve"> o a cualquier cámara de comercio, </w:t>
      </w:r>
      <w:r w:rsidRPr="00B00AA2" w:rsidR="00E87596">
        <w:rPr>
          <w:rFonts w:ascii="Arial" w:hAnsi="Arial" w:cs="Arial"/>
          <w:color w:val="000000" w:themeColor="text1"/>
          <w:sz w:val="22"/>
          <w:lang w:val="es-CO"/>
        </w:rPr>
        <w:t>para solicitar</w:t>
      </w:r>
      <w:r w:rsidRPr="00B00AA2" w:rsidR="004617B8">
        <w:rPr>
          <w:rFonts w:ascii="Arial" w:hAnsi="Arial" w:cs="Arial"/>
          <w:color w:val="000000" w:themeColor="text1"/>
          <w:sz w:val="22"/>
          <w:lang w:val="es-CO"/>
        </w:rPr>
        <w:t xml:space="preserve"> el </w:t>
      </w:r>
      <w:r w:rsidRPr="00B00AA2" w:rsidR="00843BE5">
        <w:rPr>
          <w:rFonts w:ascii="Arial" w:hAnsi="Arial" w:cs="Arial"/>
          <w:color w:val="000000" w:themeColor="text1"/>
          <w:sz w:val="22"/>
          <w:lang w:val="es-CO"/>
        </w:rPr>
        <w:t>concepto que estime necesario y pertinente</w:t>
      </w:r>
      <w:r w:rsidRPr="00B00AA2" w:rsidR="004617B8">
        <w:rPr>
          <w:rFonts w:ascii="Arial" w:hAnsi="Arial" w:cs="Arial"/>
          <w:color w:val="000000" w:themeColor="text1"/>
          <w:sz w:val="22"/>
          <w:lang w:val="es-CO"/>
        </w:rPr>
        <w:t>,</w:t>
      </w:r>
      <w:r w:rsidRPr="00B00AA2" w:rsidR="00843BE5">
        <w:rPr>
          <w:rFonts w:ascii="Arial" w:hAnsi="Arial" w:cs="Arial"/>
          <w:color w:val="000000" w:themeColor="text1"/>
          <w:sz w:val="22"/>
          <w:lang w:val="es-CO"/>
        </w:rPr>
        <w:t xml:space="preserve"> y serán estas</w:t>
      </w:r>
      <w:r w:rsidRPr="00B00AA2" w:rsidR="00E87596">
        <w:rPr>
          <w:rFonts w:ascii="Arial" w:hAnsi="Arial" w:cs="Arial"/>
          <w:color w:val="000000" w:themeColor="text1"/>
          <w:sz w:val="22"/>
          <w:lang w:val="es-CO"/>
        </w:rPr>
        <w:t>, dentro del marco de sus competencias</w:t>
      </w:r>
      <w:r w:rsidRPr="00B00AA2" w:rsidR="00843BE5">
        <w:rPr>
          <w:rFonts w:ascii="Arial" w:hAnsi="Arial" w:cs="Arial"/>
          <w:color w:val="000000" w:themeColor="text1"/>
          <w:sz w:val="22"/>
          <w:lang w:val="es-CO"/>
        </w:rPr>
        <w:t>, las que</w:t>
      </w:r>
      <w:r w:rsidRPr="00B00AA2" w:rsidR="00E87596">
        <w:rPr>
          <w:rFonts w:ascii="Arial" w:hAnsi="Arial" w:cs="Arial"/>
          <w:color w:val="000000" w:themeColor="text1"/>
          <w:sz w:val="22"/>
          <w:lang w:val="es-CO"/>
        </w:rPr>
        <w:t xml:space="preserve"> decidirán si responden o no</w:t>
      </w:r>
      <w:r w:rsidRPr="00B00AA2" w:rsidR="004617B8">
        <w:rPr>
          <w:rFonts w:ascii="Arial" w:hAnsi="Arial" w:cs="Arial"/>
          <w:color w:val="000000" w:themeColor="text1"/>
          <w:sz w:val="22"/>
          <w:lang w:val="es-CO"/>
        </w:rPr>
        <w:t xml:space="preserve"> a</w:t>
      </w:r>
      <w:r w:rsidRPr="00B00AA2" w:rsidR="00E87596">
        <w:rPr>
          <w:rFonts w:ascii="Arial" w:hAnsi="Arial" w:cs="Arial"/>
          <w:color w:val="000000" w:themeColor="text1"/>
          <w:sz w:val="22"/>
          <w:lang w:val="es-CO"/>
        </w:rPr>
        <w:t xml:space="preserve"> tal</w:t>
      </w:r>
      <w:r w:rsidRPr="00B00AA2" w:rsidR="00843BE5">
        <w:rPr>
          <w:rFonts w:ascii="Arial" w:hAnsi="Arial" w:cs="Arial"/>
          <w:color w:val="000000" w:themeColor="text1"/>
          <w:sz w:val="22"/>
          <w:lang w:val="es-CO"/>
        </w:rPr>
        <w:t>es</w:t>
      </w:r>
      <w:r w:rsidRPr="00B00AA2" w:rsidR="00E87596">
        <w:rPr>
          <w:rFonts w:ascii="Arial" w:hAnsi="Arial" w:cs="Arial"/>
          <w:color w:val="000000" w:themeColor="text1"/>
          <w:sz w:val="22"/>
          <w:lang w:val="es-CO"/>
        </w:rPr>
        <w:t xml:space="preserve"> solicitud</w:t>
      </w:r>
      <w:r w:rsidRPr="00B00AA2" w:rsidR="00843BE5">
        <w:rPr>
          <w:rFonts w:ascii="Arial" w:hAnsi="Arial" w:cs="Arial"/>
          <w:color w:val="000000" w:themeColor="text1"/>
          <w:sz w:val="22"/>
          <w:lang w:val="es-CO"/>
        </w:rPr>
        <w:t>es</w:t>
      </w:r>
      <w:r w:rsidRPr="00B00AA2" w:rsidR="00E87596">
        <w:rPr>
          <w:rFonts w:ascii="Arial" w:hAnsi="Arial" w:cs="Arial"/>
          <w:color w:val="000000" w:themeColor="text1"/>
          <w:sz w:val="22"/>
          <w:lang w:val="es-CO"/>
        </w:rPr>
        <w:t>.</w:t>
      </w:r>
    </w:p>
    <w:p w:rsidRPr="00B00AA2" w:rsidR="000A1DBA" w:rsidP="000A1DBA" w:rsidRDefault="00F47FCE" w14:paraId="32EFB12C" w14:textId="1DFAEE5E">
      <w:pPr>
        <w:spacing w:before="120" w:line="276" w:lineRule="auto"/>
        <w:ind w:firstLine="708"/>
        <w:jc w:val="both"/>
        <w:rPr>
          <w:rFonts w:ascii="Arial" w:hAnsi="Arial" w:cs="Arial"/>
          <w:color w:val="000000" w:themeColor="text1"/>
          <w:sz w:val="22"/>
          <w:lang w:val="es-CO"/>
        </w:rPr>
      </w:pPr>
      <w:r w:rsidRPr="00B00AA2">
        <w:rPr>
          <w:rFonts w:ascii="Arial" w:hAnsi="Arial" w:cs="Arial"/>
          <w:color w:val="000000" w:themeColor="text1"/>
          <w:sz w:val="22"/>
          <w:lang w:val="es-CO"/>
        </w:rPr>
        <w:t>Sin perjuicio de lo dicho antes, y con fundamento en las consideraciones expuestas en este documento</w:t>
      </w:r>
      <w:r w:rsidRPr="00B00AA2" w:rsidR="000A1DBA">
        <w:rPr>
          <w:rFonts w:ascii="Arial" w:hAnsi="Arial" w:cs="Arial"/>
          <w:color w:val="000000" w:themeColor="text1"/>
          <w:sz w:val="22"/>
          <w:lang w:val="es-CO"/>
        </w:rPr>
        <w:t xml:space="preserve">, </w:t>
      </w:r>
      <w:r w:rsidRPr="00B00AA2" w:rsidR="002239B4">
        <w:rPr>
          <w:rFonts w:ascii="Arial" w:hAnsi="Arial" w:cs="Arial"/>
          <w:color w:val="000000" w:themeColor="text1"/>
          <w:sz w:val="22"/>
          <w:lang w:val="es-CO"/>
        </w:rPr>
        <w:t xml:space="preserve">Colombia Compra eficiente confirma la tesis sostenida en el concepto </w:t>
      </w:r>
      <w:r w:rsidRPr="00B00AA2" w:rsidR="00886F29">
        <w:rPr>
          <w:rFonts w:ascii="Arial" w:hAnsi="Arial" w:cs="Arial"/>
          <w:color w:val="000000" w:themeColor="text1"/>
          <w:sz w:val="22"/>
          <w:lang w:val="es-CO"/>
        </w:rPr>
        <w:t>del 21 de julio de 2016 −</w:t>
      </w:r>
      <w:r w:rsidRPr="00B00AA2" w:rsidR="00266277">
        <w:rPr>
          <w:rFonts w:ascii="Arial" w:hAnsi="Arial" w:cs="Arial"/>
          <w:color w:val="000000" w:themeColor="text1"/>
          <w:sz w:val="22"/>
          <w:lang w:val="es-CO"/>
        </w:rPr>
        <w:t>radicado No. E20161300000072− «objeto de la solicitud de revisión»</w:t>
      </w:r>
      <w:r w:rsidRPr="00B00AA2" w:rsidR="002239B4">
        <w:rPr>
          <w:rFonts w:ascii="Arial" w:hAnsi="Arial" w:cs="Arial"/>
          <w:color w:val="000000" w:themeColor="text1"/>
          <w:sz w:val="22"/>
          <w:lang w:val="es-CO"/>
        </w:rPr>
        <w:t xml:space="preserve">, reiterada en </w:t>
      </w:r>
      <w:r w:rsidRPr="00B00AA2" w:rsidR="00886F29">
        <w:rPr>
          <w:rFonts w:ascii="Arial" w:hAnsi="Arial" w:eastAsia="Calibri" w:cs="Arial"/>
          <w:color w:val="000000" w:themeColor="text1"/>
          <w:sz w:val="22"/>
        </w:rPr>
        <w:t xml:space="preserve">los conceptos del 20, 21 y 22 de agosto y el 17 de septiembre de </w:t>
      </w:r>
      <w:r w:rsidRPr="00B00AA2" w:rsidR="00886F29">
        <w:rPr>
          <w:rFonts w:ascii="Arial" w:hAnsi="Arial" w:eastAsia="Calibri" w:cs="Arial"/>
          <w:color w:val="000000" w:themeColor="text1"/>
          <w:sz w:val="22"/>
        </w:rPr>
        <w:lastRenderedPageBreak/>
        <w:t>2019 −radicados Nos. 2201913000006007, 2201913000006081, 2201913000006151 y 2201913000006895−</w:t>
      </w:r>
      <w:r w:rsidRPr="00B00AA2" w:rsidR="00E87596">
        <w:rPr>
          <w:rFonts w:ascii="Arial" w:hAnsi="Arial" w:cs="Arial"/>
          <w:color w:val="000000" w:themeColor="text1"/>
          <w:sz w:val="22"/>
          <w:lang w:val="es-CO"/>
        </w:rPr>
        <w:t xml:space="preserve">, según la cual </w:t>
      </w:r>
      <w:r w:rsidRPr="00B00AA2" w:rsidR="000A1DBA">
        <w:rPr>
          <w:rFonts w:ascii="Arial" w:hAnsi="Arial" w:cs="Arial"/>
          <w:color w:val="000000" w:themeColor="text1"/>
          <w:sz w:val="22"/>
          <w:lang w:val="es-CO"/>
        </w:rPr>
        <w:t xml:space="preserve">las fundaciones, corporaciones, asociaciones y demás entidades sin ánimo de lucro no pueden participar en los procesos de contratación limitados a </w:t>
      </w:r>
      <w:proofErr w:type="spellStart"/>
      <w:r w:rsidRPr="00B00AA2" w:rsidR="000A1DBA">
        <w:rPr>
          <w:rFonts w:ascii="Arial" w:hAnsi="Arial" w:cs="Arial"/>
          <w:color w:val="000000" w:themeColor="text1"/>
          <w:sz w:val="22"/>
          <w:lang w:val="es-CO"/>
        </w:rPr>
        <w:t>Mipymes</w:t>
      </w:r>
      <w:proofErr w:type="spellEnd"/>
      <w:r w:rsidRPr="00B00AA2" w:rsidR="000A1DBA">
        <w:rPr>
          <w:rFonts w:ascii="Arial" w:hAnsi="Arial" w:cs="Arial"/>
          <w:color w:val="000000" w:themeColor="text1"/>
          <w:sz w:val="22"/>
          <w:lang w:val="es-CO"/>
        </w:rPr>
        <w:t xml:space="preserve">, a pesar de cumplir los requisitos regulados en los numerales 1, 2 y 3 del artículo 2 de la Ley 905 de 2004, porque tales </w:t>
      </w:r>
      <w:r w:rsidRPr="00B00AA2" w:rsidR="00086A16">
        <w:rPr>
          <w:rFonts w:ascii="Arial" w:hAnsi="Arial" w:cs="Arial"/>
          <w:color w:val="000000" w:themeColor="text1"/>
          <w:sz w:val="22"/>
          <w:lang w:val="es-CO"/>
        </w:rPr>
        <w:t>fundaciones, corporaciones</w:t>
      </w:r>
      <w:r w:rsidRPr="00B00AA2" w:rsidR="0018328B">
        <w:rPr>
          <w:rFonts w:ascii="Arial" w:hAnsi="Arial" w:cs="Arial"/>
          <w:color w:val="000000" w:themeColor="text1"/>
          <w:sz w:val="22"/>
          <w:lang w:val="es-CO"/>
        </w:rPr>
        <w:t xml:space="preserve"> o</w:t>
      </w:r>
      <w:r w:rsidRPr="00B00AA2" w:rsidR="00086A16">
        <w:rPr>
          <w:rFonts w:ascii="Arial" w:hAnsi="Arial" w:cs="Arial"/>
          <w:color w:val="000000" w:themeColor="text1"/>
          <w:sz w:val="22"/>
          <w:lang w:val="es-CO"/>
        </w:rPr>
        <w:t xml:space="preserve"> asociaciones </w:t>
      </w:r>
      <w:r w:rsidRPr="00B00AA2" w:rsidR="000A1DBA">
        <w:rPr>
          <w:rFonts w:ascii="Arial" w:hAnsi="Arial" w:cs="Arial"/>
          <w:color w:val="000000" w:themeColor="text1"/>
          <w:sz w:val="22"/>
          <w:lang w:val="es-CO"/>
        </w:rPr>
        <w:t xml:space="preserve">no son el tipo de empresa frente a la cual están </w:t>
      </w:r>
      <w:r w:rsidRPr="00B00AA2" w:rsidR="00086A16">
        <w:rPr>
          <w:rFonts w:ascii="Arial" w:hAnsi="Arial" w:cs="Arial"/>
          <w:color w:val="000000" w:themeColor="text1"/>
          <w:sz w:val="22"/>
          <w:lang w:val="es-CO"/>
        </w:rPr>
        <w:t xml:space="preserve">limitadas </w:t>
      </w:r>
      <w:r w:rsidRPr="00B00AA2" w:rsidR="000A1DBA">
        <w:rPr>
          <w:rFonts w:ascii="Arial" w:hAnsi="Arial" w:cs="Arial"/>
          <w:color w:val="000000" w:themeColor="text1"/>
          <w:sz w:val="22"/>
          <w:lang w:val="es-CO"/>
        </w:rPr>
        <w:t>las convocatorias</w:t>
      </w:r>
      <w:r w:rsidRPr="00B00AA2" w:rsidR="00086A16">
        <w:rPr>
          <w:rFonts w:ascii="Arial" w:hAnsi="Arial" w:cs="Arial"/>
          <w:color w:val="000000" w:themeColor="text1"/>
          <w:sz w:val="22"/>
          <w:lang w:val="es-CO"/>
        </w:rPr>
        <w:t xml:space="preserve"> para las </w:t>
      </w:r>
      <w:proofErr w:type="spellStart"/>
      <w:r w:rsidRPr="00B00AA2" w:rsidR="00086A16">
        <w:rPr>
          <w:rFonts w:ascii="Arial" w:hAnsi="Arial" w:cs="Arial"/>
          <w:color w:val="000000" w:themeColor="text1"/>
          <w:sz w:val="22"/>
          <w:lang w:val="es-CO"/>
        </w:rPr>
        <w:t>Mipymes</w:t>
      </w:r>
      <w:proofErr w:type="spellEnd"/>
      <w:r w:rsidRPr="00B00AA2" w:rsidR="000A1DBA">
        <w:rPr>
          <w:rFonts w:ascii="Arial" w:hAnsi="Arial" w:cs="Arial"/>
          <w:color w:val="000000" w:themeColor="text1"/>
          <w:sz w:val="22"/>
          <w:lang w:val="es-CO"/>
        </w:rPr>
        <w:t>.</w:t>
      </w:r>
    </w:p>
    <w:p w:rsidRPr="00B00AA2" w:rsidR="000A1DBA" w:rsidP="000A1DBA" w:rsidRDefault="000A1DBA" w14:paraId="42BD4005" w14:textId="4C15B734">
      <w:pPr>
        <w:spacing w:before="120" w:line="276" w:lineRule="auto"/>
        <w:ind w:firstLine="708"/>
        <w:jc w:val="both"/>
        <w:rPr>
          <w:rFonts w:ascii="Arial" w:hAnsi="Arial" w:cs="Arial"/>
          <w:color w:val="000000" w:themeColor="text1"/>
          <w:sz w:val="22"/>
          <w:lang w:val="es-CO"/>
        </w:rPr>
      </w:pPr>
      <w:r w:rsidRPr="00B00AA2">
        <w:rPr>
          <w:rFonts w:ascii="Arial" w:hAnsi="Arial" w:cs="Arial"/>
          <w:color w:val="000000" w:themeColor="text1"/>
          <w:sz w:val="22"/>
          <w:lang w:val="es-CO"/>
        </w:rPr>
        <w:t xml:space="preserve">Lo anterior, claro está, no quiere decir que las ESAL no sean personas jurídicas o que no tengan capacidad contractual, como parece entenderlo el solicitante. De hecho, a través del Decreto 92 de 2017 se reguló su régimen especial de contratación e, incluso, nada obsta para que las ESAL participen, en términos de igualdad con los demás oferentes, en los diferentes procesos contractuales que regula el Estatuto General de Contratación de la Administración Pública, salvo, se insiste, aquellos procesos contractuales limitados a </w:t>
      </w:r>
      <w:proofErr w:type="spellStart"/>
      <w:r w:rsidRPr="00B00AA2">
        <w:rPr>
          <w:rFonts w:ascii="Arial" w:hAnsi="Arial" w:cs="Arial"/>
          <w:color w:val="000000" w:themeColor="text1"/>
          <w:sz w:val="22"/>
          <w:lang w:val="es-CO"/>
        </w:rPr>
        <w:t>Mipymes</w:t>
      </w:r>
      <w:proofErr w:type="spellEnd"/>
      <w:r w:rsidRPr="00B00AA2">
        <w:rPr>
          <w:rFonts w:ascii="Arial" w:hAnsi="Arial" w:cs="Arial"/>
          <w:color w:val="000000" w:themeColor="text1"/>
          <w:sz w:val="22"/>
          <w:lang w:val="es-CO"/>
        </w:rPr>
        <w:t>.</w:t>
      </w:r>
    </w:p>
    <w:p w:rsidRPr="00B00AA2" w:rsidR="00886F29" w:rsidP="00E756AC" w:rsidRDefault="00886F29" w14:paraId="33F877D9" w14:textId="77777777">
      <w:pPr>
        <w:spacing w:line="276" w:lineRule="auto"/>
        <w:jc w:val="both"/>
        <w:rPr>
          <w:rFonts w:ascii="Arial" w:hAnsi="Arial" w:cs="Arial"/>
          <w:color w:val="000000" w:themeColor="text1"/>
          <w:sz w:val="22"/>
          <w:lang w:val="es-CO"/>
        </w:rPr>
      </w:pPr>
    </w:p>
    <w:p w:rsidRPr="00B00AA2" w:rsidR="008C487C" w:rsidP="00F24C62" w:rsidRDefault="008C487C" w14:paraId="54A07425" w14:textId="3D13999A">
      <w:pPr>
        <w:spacing w:before="120" w:line="276" w:lineRule="auto"/>
        <w:jc w:val="both"/>
        <w:rPr>
          <w:rFonts w:ascii="Arial" w:hAnsi="Arial" w:eastAsia="Calibri" w:cs="Arial"/>
          <w:color w:val="000000" w:themeColor="text1"/>
          <w:sz w:val="22"/>
        </w:rPr>
      </w:pPr>
      <w:r w:rsidRPr="00B00AA2">
        <w:rPr>
          <w:rFonts w:ascii="Arial" w:hAnsi="Arial" w:eastAsia="Calibri" w:cs="Arial"/>
          <w:color w:val="000000" w:themeColor="text1"/>
          <w:sz w:val="22"/>
        </w:rPr>
        <w:t>Este concepto tiene el alcance previsto en el artículo 28 del Código de Procedimiento Administrativo y de lo Contencioso Administrativo.</w:t>
      </w:r>
    </w:p>
    <w:p w:rsidRPr="00B00AA2" w:rsidR="008C487C" w:rsidP="00E756AC" w:rsidRDefault="008C487C" w14:paraId="2A948F93" w14:textId="77777777">
      <w:pPr>
        <w:ind w:firstLine="709"/>
        <w:jc w:val="both"/>
        <w:rPr>
          <w:rFonts w:ascii="Arial" w:hAnsi="Arial" w:eastAsia="Calibri" w:cs="Arial"/>
          <w:color w:val="000000" w:themeColor="text1"/>
          <w:sz w:val="22"/>
        </w:rPr>
      </w:pPr>
    </w:p>
    <w:p w:rsidRPr="00B00AA2" w:rsidR="008C487C" w:rsidP="008C487C" w:rsidRDefault="008C487C" w14:paraId="2054D5F8" w14:textId="77777777">
      <w:pPr>
        <w:jc w:val="both"/>
        <w:rPr>
          <w:rFonts w:ascii="Arial" w:hAnsi="Arial" w:eastAsia="Times New Roman" w:cs="Arial"/>
          <w:color w:val="000000" w:themeColor="text1"/>
          <w:sz w:val="22"/>
          <w:lang w:eastAsia="es-CO"/>
        </w:rPr>
      </w:pPr>
      <w:r w:rsidRPr="00B00AA2">
        <w:rPr>
          <w:rFonts w:ascii="Arial" w:hAnsi="Arial" w:eastAsia="Times New Roman" w:cs="Arial"/>
          <w:color w:val="000000" w:themeColor="text1"/>
          <w:sz w:val="22"/>
          <w:lang w:eastAsia="es-CO"/>
        </w:rPr>
        <w:t>Atentamente,</w:t>
      </w:r>
    </w:p>
    <w:bookmarkEnd w:id="0"/>
    <w:bookmarkEnd w:id="1"/>
    <w:p w:rsidR="008C487C" w:rsidP="008C487C" w:rsidRDefault="00DA1C25" w14:paraId="51B67B0A" w14:textId="3225F733">
      <w:pPr>
        <w:jc w:val="center"/>
        <w:rPr>
          <w:rFonts w:ascii="Arial" w:hAnsi="Arial" w:eastAsia="Times New Roman" w:cs="Arial"/>
          <w:color w:val="000000" w:themeColor="text1"/>
          <w:sz w:val="18"/>
          <w:szCs w:val="20"/>
          <w:lang w:eastAsia="es-CO"/>
        </w:rPr>
      </w:pPr>
      <w:r w:rsidR="00DA1C25">
        <w:drawing>
          <wp:inline wp14:editId="7CC740ED" wp14:anchorId="3F4E0D86">
            <wp:extent cx="2773144" cy="988695"/>
            <wp:effectExtent l="0" t="0" r="0" b="0"/>
            <wp:docPr id="2112334220" name="Imagen 20" title=""/>
            <wp:cNvGraphicFramePr>
              <a:graphicFrameLocks noChangeAspect="1"/>
            </wp:cNvGraphicFramePr>
            <a:graphic>
              <a:graphicData uri="http://schemas.openxmlformats.org/drawingml/2006/picture">
                <pic:pic>
                  <pic:nvPicPr>
                    <pic:cNvPr id="0" name="Imagen 20"/>
                    <pic:cNvPicPr/>
                  </pic:nvPicPr>
                  <pic:blipFill>
                    <a:blip r:embed="Rf179a8519af24bb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B00AA2" w:rsidR="005579C4" w:rsidP="008C487C" w:rsidRDefault="005579C4" w14:paraId="758922CF"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B00AA2" w:rsidR="00B00AA2" w:rsidTr="00387559" w14:paraId="7BA165D9" w14:textId="77777777">
        <w:trPr>
          <w:trHeight w:val="315"/>
        </w:trPr>
        <w:tc>
          <w:tcPr>
            <w:tcW w:w="812" w:type="dxa"/>
            <w:vAlign w:val="center"/>
            <w:hideMark/>
          </w:tcPr>
          <w:p w:rsidRPr="00B00AA2" w:rsidR="008C487C" w:rsidP="00387559" w:rsidRDefault="008C487C" w14:paraId="609B0579" w14:textId="77777777">
            <w:pPr>
              <w:rPr>
                <w:rFonts w:ascii="Arial" w:hAnsi="Arial" w:eastAsia="Times New Roman" w:cs="Arial"/>
                <w:color w:val="000000" w:themeColor="text1"/>
                <w:sz w:val="16"/>
                <w:szCs w:val="16"/>
                <w:lang w:eastAsia="es-ES"/>
              </w:rPr>
            </w:pPr>
            <w:r w:rsidRPr="00B00AA2">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B00AA2" w:rsidR="008C487C" w:rsidP="00387559" w:rsidRDefault="008C487C" w14:paraId="362DE0CE" w14:textId="77777777">
            <w:pPr>
              <w:rPr>
                <w:rFonts w:ascii="Arial" w:hAnsi="Arial" w:eastAsia="Times New Roman" w:cs="Arial"/>
                <w:color w:val="000000" w:themeColor="text1"/>
                <w:sz w:val="16"/>
                <w:szCs w:val="16"/>
                <w:lang w:eastAsia="es-ES"/>
              </w:rPr>
            </w:pPr>
            <w:r w:rsidRPr="00B00AA2">
              <w:rPr>
                <w:rFonts w:ascii="Arial" w:hAnsi="Arial" w:eastAsia="Times New Roman" w:cs="Arial"/>
                <w:color w:val="000000" w:themeColor="text1"/>
                <w:sz w:val="16"/>
                <w:szCs w:val="16"/>
                <w:lang w:eastAsia="es-ES"/>
              </w:rPr>
              <w:t>David Castellanos Carreño</w:t>
            </w:r>
          </w:p>
          <w:p w:rsidRPr="00B00AA2" w:rsidR="008C487C" w:rsidP="00387559" w:rsidRDefault="008C487C" w14:paraId="1915FD41" w14:textId="6AC39850">
            <w:pPr>
              <w:rPr>
                <w:rFonts w:ascii="Arial" w:hAnsi="Arial" w:eastAsia="Times New Roman" w:cs="Arial"/>
                <w:color w:val="000000" w:themeColor="text1"/>
                <w:sz w:val="16"/>
                <w:szCs w:val="16"/>
                <w:lang w:eastAsia="es-ES"/>
              </w:rPr>
            </w:pPr>
            <w:r w:rsidRPr="00B00AA2">
              <w:rPr>
                <w:rFonts w:ascii="Arial" w:hAnsi="Arial" w:eastAsia="Times New Roman" w:cs="Arial"/>
                <w:color w:val="000000" w:themeColor="text1"/>
                <w:sz w:val="16"/>
                <w:szCs w:val="16"/>
                <w:lang w:eastAsia="es-ES"/>
              </w:rPr>
              <w:t>Contratista</w:t>
            </w:r>
            <w:r w:rsidRPr="00B00AA2" w:rsidR="00882ABB">
              <w:rPr>
                <w:rFonts w:ascii="Arial" w:hAnsi="Arial" w:eastAsia="Times New Roman" w:cs="Arial"/>
                <w:color w:val="000000" w:themeColor="text1"/>
                <w:sz w:val="16"/>
                <w:szCs w:val="16"/>
                <w:lang w:eastAsia="es-ES"/>
              </w:rPr>
              <w:t>, Subdirección de Gestión Contractual</w:t>
            </w:r>
          </w:p>
        </w:tc>
      </w:tr>
      <w:tr w:rsidRPr="00B00AA2" w:rsidR="00B00AA2" w:rsidTr="00387559" w14:paraId="6F9B7B2B" w14:textId="77777777">
        <w:trPr>
          <w:trHeight w:val="330"/>
        </w:trPr>
        <w:tc>
          <w:tcPr>
            <w:tcW w:w="812" w:type="dxa"/>
            <w:vAlign w:val="center"/>
            <w:hideMark/>
          </w:tcPr>
          <w:p w:rsidRPr="00B00AA2" w:rsidR="008C487C" w:rsidP="00387559" w:rsidRDefault="008C487C" w14:paraId="79CD41B8" w14:textId="77777777">
            <w:pPr>
              <w:rPr>
                <w:rFonts w:ascii="Arial" w:hAnsi="Arial" w:eastAsia="Times New Roman" w:cs="Arial"/>
                <w:color w:val="000000" w:themeColor="text1"/>
                <w:sz w:val="16"/>
                <w:szCs w:val="16"/>
                <w:lang w:eastAsia="es-ES"/>
              </w:rPr>
            </w:pPr>
            <w:r w:rsidRPr="00B00AA2">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00AA2" w:rsidR="008C487C" w:rsidP="00387559" w:rsidRDefault="00260AB5" w14:paraId="525F34D7" w14:textId="4D1A1BA8">
            <w:pPr>
              <w:rPr>
                <w:rFonts w:ascii="Arial" w:hAnsi="Arial" w:eastAsia="Times New Roman" w:cs="Arial"/>
                <w:color w:val="000000" w:themeColor="text1"/>
                <w:sz w:val="16"/>
                <w:szCs w:val="16"/>
                <w:lang w:eastAsia="es-ES"/>
              </w:rPr>
            </w:pPr>
            <w:r w:rsidRPr="00B00AA2">
              <w:rPr>
                <w:rFonts w:ascii="Arial" w:hAnsi="Arial" w:eastAsia="Times New Roman" w:cs="Arial"/>
                <w:color w:val="000000" w:themeColor="text1"/>
                <w:sz w:val="16"/>
                <w:szCs w:val="16"/>
                <w:lang w:eastAsia="es-ES"/>
              </w:rPr>
              <w:t>Cristian Andrés Díaz Díez</w:t>
            </w:r>
          </w:p>
          <w:p w:rsidRPr="00B00AA2" w:rsidR="008C487C" w:rsidP="00387559" w:rsidRDefault="00882ABB" w14:paraId="297B05D5" w14:textId="626955BA">
            <w:pPr>
              <w:rPr>
                <w:rFonts w:ascii="Arial" w:hAnsi="Arial" w:eastAsia="Times New Roman" w:cs="Arial"/>
                <w:color w:val="000000" w:themeColor="text1"/>
                <w:sz w:val="16"/>
                <w:szCs w:val="16"/>
                <w:lang w:eastAsia="es-ES"/>
              </w:rPr>
            </w:pPr>
            <w:r w:rsidRPr="00B00AA2">
              <w:rPr>
                <w:rFonts w:ascii="Arial" w:hAnsi="Arial" w:eastAsia="Times New Roman" w:cs="Arial"/>
                <w:color w:val="000000" w:themeColor="text1"/>
                <w:sz w:val="16"/>
                <w:szCs w:val="16"/>
                <w:lang w:eastAsia="es-ES"/>
              </w:rPr>
              <w:t>Contratista,</w:t>
            </w:r>
            <w:r w:rsidRPr="00B00AA2" w:rsidR="00C25C12">
              <w:rPr>
                <w:rFonts w:ascii="Arial" w:hAnsi="Arial" w:eastAsia="Times New Roman" w:cs="Arial"/>
                <w:color w:val="000000" w:themeColor="text1"/>
                <w:sz w:val="16"/>
                <w:szCs w:val="16"/>
                <w:lang w:eastAsia="es-ES"/>
              </w:rPr>
              <w:t xml:space="preserve"> Subdirección </w:t>
            </w:r>
            <w:r w:rsidRPr="00B00AA2" w:rsidR="00BE36F7">
              <w:rPr>
                <w:rFonts w:ascii="Arial" w:hAnsi="Arial" w:eastAsia="Times New Roman" w:cs="Arial"/>
                <w:color w:val="000000" w:themeColor="text1"/>
                <w:sz w:val="16"/>
                <w:szCs w:val="16"/>
                <w:lang w:eastAsia="es-ES"/>
              </w:rPr>
              <w:t>de Gestión Contractual</w:t>
            </w:r>
          </w:p>
        </w:tc>
      </w:tr>
      <w:tr w:rsidRPr="00B00AA2" w:rsidR="008C487C" w:rsidTr="00387559" w14:paraId="1041301A" w14:textId="77777777">
        <w:trPr>
          <w:trHeight w:val="300"/>
        </w:trPr>
        <w:tc>
          <w:tcPr>
            <w:tcW w:w="812" w:type="dxa"/>
            <w:vAlign w:val="center"/>
            <w:hideMark/>
          </w:tcPr>
          <w:p w:rsidRPr="00B00AA2" w:rsidR="008C487C" w:rsidP="00387559" w:rsidRDefault="008C487C" w14:paraId="3AD102B4" w14:textId="77777777">
            <w:pPr>
              <w:rPr>
                <w:rFonts w:ascii="Arial" w:hAnsi="Arial" w:eastAsia="Times New Roman" w:cs="Arial"/>
                <w:color w:val="000000" w:themeColor="text1"/>
                <w:sz w:val="16"/>
                <w:szCs w:val="16"/>
                <w:lang w:eastAsia="es-ES"/>
              </w:rPr>
            </w:pPr>
            <w:r w:rsidRPr="00B00AA2">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00AA2" w:rsidR="008C487C" w:rsidP="00387559" w:rsidRDefault="008C487C" w14:paraId="7F618462" w14:textId="77777777">
            <w:pPr>
              <w:rPr>
                <w:rFonts w:ascii="Arial" w:hAnsi="Arial" w:eastAsia="Times New Roman" w:cs="Arial"/>
                <w:color w:val="000000" w:themeColor="text1"/>
                <w:sz w:val="16"/>
                <w:szCs w:val="16"/>
                <w:lang w:eastAsia="es-ES"/>
              </w:rPr>
            </w:pPr>
            <w:r w:rsidRPr="00B00AA2">
              <w:rPr>
                <w:rFonts w:ascii="Arial" w:hAnsi="Arial" w:eastAsia="Times New Roman" w:cs="Arial"/>
                <w:color w:val="000000" w:themeColor="text1"/>
                <w:sz w:val="16"/>
                <w:szCs w:val="16"/>
                <w:lang w:eastAsia="es-ES"/>
              </w:rPr>
              <w:t>Fabián Gonzalo Marín Cortés</w:t>
            </w:r>
          </w:p>
          <w:p w:rsidRPr="00B00AA2" w:rsidR="008C487C" w:rsidP="00387559" w:rsidRDefault="008C487C" w14:paraId="5B20B15D" w14:textId="77777777">
            <w:pPr>
              <w:rPr>
                <w:rFonts w:ascii="Arial" w:hAnsi="Arial" w:eastAsia="Times New Roman" w:cs="Arial"/>
                <w:color w:val="000000" w:themeColor="text1"/>
                <w:sz w:val="16"/>
                <w:szCs w:val="16"/>
                <w:lang w:eastAsia="es-ES"/>
              </w:rPr>
            </w:pPr>
            <w:r w:rsidRPr="00B00AA2">
              <w:rPr>
                <w:rFonts w:ascii="Arial" w:hAnsi="Arial" w:eastAsia="Times New Roman" w:cs="Arial"/>
                <w:color w:val="000000" w:themeColor="text1"/>
                <w:sz w:val="16"/>
                <w:szCs w:val="16"/>
                <w:lang w:eastAsia="es-ES"/>
              </w:rPr>
              <w:t>Subdirector de Gestión Contractual</w:t>
            </w:r>
          </w:p>
        </w:tc>
      </w:tr>
    </w:tbl>
    <w:p w:rsidRPr="00B00AA2" w:rsidR="006C5955" w:rsidRDefault="006C5955" w14:paraId="085A31AB" w14:textId="77777777">
      <w:pPr>
        <w:rPr>
          <w:color w:val="000000" w:themeColor="text1"/>
        </w:rPr>
      </w:pPr>
    </w:p>
    <w:sectPr w:rsidRPr="00B00AA2" w:rsidR="006C5955" w:rsidSect="005D791B">
      <w:headerReference w:type="default" r:id="rId11"/>
      <w:footerReference w:type="default" r:id="rId12"/>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26995" w:rsidP="008C487C" w:rsidRDefault="00326995" w14:paraId="7DD6D689" w14:textId="77777777">
      <w:r>
        <w:separator/>
      </w:r>
    </w:p>
  </w:endnote>
  <w:endnote w:type="continuationSeparator" w:id="0">
    <w:p w:rsidR="00326995" w:rsidP="008C487C" w:rsidRDefault="00326995" w14:paraId="0458504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217B7" w:rsidP="00322937" w:rsidRDefault="005579C4" w14:paraId="5D37B59A" w14:textId="3A65DB1A">
    <w:pPr>
      <w:pStyle w:val="Sinespaciado"/>
      <w:jc w:val="right"/>
      <w:rPr>
        <w:rFonts w:ascii="Arial" w:hAnsi="Arial" w:cs="Arial"/>
        <w:sz w:val="18"/>
        <w:szCs w:val="18"/>
      </w:rPr>
    </w:pPr>
  </w:p>
  <w:p w:rsidR="00F501D2" w:rsidP="00322937" w:rsidRDefault="00F501D2" w14:paraId="709352A1" w14:textId="77777777">
    <w:pPr>
      <w:pStyle w:val="Sinespaciado"/>
      <w:jc w:val="right"/>
      <w:rPr>
        <w:rFonts w:ascii="Arial" w:hAnsi="Arial" w:cs="Arial"/>
        <w:sz w:val="18"/>
        <w:szCs w:val="18"/>
      </w:rPr>
    </w:pPr>
  </w:p>
  <w:p w:rsidRPr="008217B7" w:rsidR="00FE42ED" w:rsidP="00FE42ED" w:rsidRDefault="008C487C" w14:paraId="3D3EB348" w14:textId="62CB771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A1C25">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A1C25">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p>
  <w:p w:rsidR="009047C5" w:rsidP="00322937" w:rsidRDefault="74BB4436" w14:paraId="29709EEF" w14:textId="77777777">
    <w:pPr>
      <w:pStyle w:val="Piedepgina"/>
      <w:jc w:val="center"/>
      <w:rPr>
        <w:lang w:val="es-ES"/>
      </w:rPr>
    </w:pPr>
    <w:r w:rsidR="566CD363">
      <w:drawing>
        <wp:inline wp14:editId="30CE8EF1" wp14:anchorId="0323F87D">
          <wp:extent cx="3700130" cy="519139"/>
          <wp:effectExtent l="0" t="0" r="0" b="0"/>
          <wp:docPr id="1304024867" name="Imagen 3" title=""/>
          <wp:cNvGraphicFramePr>
            <a:graphicFrameLocks noChangeAspect="1"/>
          </wp:cNvGraphicFramePr>
          <a:graphic>
            <a:graphicData uri="http://schemas.openxmlformats.org/drawingml/2006/picture">
              <pic:pic>
                <pic:nvPicPr>
                  <pic:cNvPr id="0" name="Imagen 3"/>
                  <pic:cNvPicPr/>
                </pic:nvPicPr>
                <pic:blipFill>
                  <a:blip r:embed="R8d1accac2cdc4a0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E756AC" w:rsidR="00322937" w:rsidP="007B0854" w:rsidRDefault="005579C4" w14:paraId="608DFF21" w14:textId="77777777">
    <w:pPr>
      <w:pStyle w:val="Piedepgina"/>
      <w:jc w:val="center"/>
      <w:rPr>
        <w:sz w:val="18"/>
        <w:szCs w:val="18"/>
        <w:lang w:val="es-ES"/>
      </w:rPr>
    </w:pPr>
  </w:p>
  <w:p w:rsidRPr="00E756AC" w:rsidR="004A34D2" w:rsidP="007B0854" w:rsidRDefault="005579C4" w14:paraId="428179B1"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26995" w:rsidP="008C487C" w:rsidRDefault="00326995" w14:paraId="4BF73F40" w14:textId="77777777">
      <w:r>
        <w:separator/>
      </w:r>
    </w:p>
  </w:footnote>
  <w:footnote w:type="continuationSeparator" w:id="0">
    <w:p w:rsidR="00326995" w:rsidP="008C487C" w:rsidRDefault="00326995" w14:paraId="784FF4A0" w14:textId="77777777">
      <w:r>
        <w:continuationSeparator/>
      </w:r>
    </w:p>
  </w:footnote>
  <w:footnote w:id="1">
    <w:p w:rsidRPr="005579C4" w:rsidR="008C487C" w:rsidP="00510BF5" w:rsidRDefault="008C487C" w14:paraId="2EE45163" w14:textId="77777777">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rsidRPr="005579C4" w:rsidR="008C487C" w:rsidP="00510BF5" w:rsidRDefault="008C487C" w14:paraId="08131D42" w14:textId="77777777">
      <w:pPr>
        <w:pStyle w:val="Textonotapie"/>
        <w:ind w:firstLine="708"/>
        <w:jc w:val="both"/>
        <w:rPr>
          <w:rFonts w:ascii="Arial" w:hAnsi="Arial" w:cs="Arial"/>
          <w:sz w:val="19"/>
          <w:szCs w:val="19"/>
        </w:rPr>
      </w:pPr>
      <w:r w:rsidRPr="005579C4">
        <w:rPr>
          <w:rFonts w:ascii="Arial" w:hAnsi="Arial" w:cs="Arial"/>
          <w:sz w:val="19"/>
          <w:szCs w:val="19"/>
        </w:rPr>
        <w:t xml:space="preserve">»1. Mediana empresa: // a) Planta de personal entre cincuenta y uno (51) y doscientos (200) trabajadores, o // b) Activos totales por valor entre 100.000 a 610.000 UVT.  </w:t>
      </w:r>
    </w:p>
    <w:p w:rsidRPr="005579C4" w:rsidR="008C487C" w:rsidP="00510BF5" w:rsidRDefault="008C487C" w14:paraId="60561BBB" w14:textId="77777777">
      <w:pPr>
        <w:pStyle w:val="Textonotapie"/>
        <w:ind w:firstLine="708"/>
        <w:jc w:val="both"/>
        <w:rPr>
          <w:rFonts w:ascii="Arial" w:hAnsi="Arial" w:cs="Arial"/>
          <w:sz w:val="19"/>
          <w:szCs w:val="19"/>
        </w:rPr>
      </w:pPr>
      <w:r w:rsidRPr="005579C4">
        <w:rPr>
          <w:rFonts w:ascii="Arial" w:hAnsi="Arial" w:cs="Arial"/>
          <w:sz w:val="19"/>
          <w:szCs w:val="19"/>
        </w:rPr>
        <w:t>» Pequeña empresa: // a) Planta de personal entre once (11) y cincuenta (50) trabajadores, o // b) Activos totales por valor entre quinientos uno (501) y menos de cinco mil (5.000) salarios mínimos mensuales legales vigentes o,</w:t>
      </w:r>
    </w:p>
    <w:p w:rsidRPr="005579C4" w:rsidR="008C487C" w:rsidP="00510BF5" w:rsidRDefault="008C487C" w14:paraId="6272BBF5" w14:textId="77777777">
      <w:pPr>
        <w:pStyle w:val="Textonotapie"/>
        <w:ind w:firstLine="708"/>
        <w:jc w:val="both"/>
        <w:rPr>
          <w:rFonts w:ascii="Arial" w:hAnsi="Arial" w:cs="Arial"/>
          <w:sz w:val="19"/>
          <w:szCs w:val="19"/>
        </w:rPr>
      </w:pPr>
      <w:r w:rsidRPr="005579C4">
        <w:rPr>
          <w:rFonts w:ascii="Arial" w:hAnsi="Arial" w:cs="Arial"/>
          <w:sz w:val="19"/>
          <w:szCs w:val="19"/>
        </w:rPr>
        <w:t>»3. Microempresa: // a) Planta de personal no superior a los diez (10) trabajadores o, // b) Activos totales excluida la vivienda por valor inferior a quinientos (500) salarios mínimos mensuales legales vigentes».</w:t>
      </w:r>
    </w:p>
  </w:footnote>
  <w:footnote w:id="2">
    <w:p w:rsidRPr="005579C4" w:rsidR="008C487C" w:rsidP="00510BF5" w:rsidRDefault="008C487C" w14:paraId="66A19CD7" w14:textId="77777777">
      <w:pPr>
        <w:pStyle w:val="Textonotapie"/>
        <w:jc w:val="both"/>
        <w:rPr>
          <w:rFonts w:ascii="Arial" w:hAnsi="Arial" w:cs="Arial"/>
          <w:sz w:val="19"/>
          <w:szCs w:val="19"/>
          <w:lang w:val="es-ES"/>
        </w:rPr>
      </w:pPr>
    </w:p>
  </w:footnote>
  <w:footnote w:id="3">
    <w:p w:rsidRPr="005579C4" w:rsidR="008C487C" w:rsidP="00510BF5" w:rsidRDefault="008C487C" w14:paraId="610AC117" w14:textId="77777777">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 «Artículo 12. Concurrencia de las </w:t>
      </w:r>
      <w:proofErr w:type="spellStart"/>
      <w:r w:rsidRPr="005579C4">
        <w:rPr>
          <w:rFonts w:ascii="Arial" w:hAnsi="Arial" w:cs="Arial"/>
          <w:sz w:val="19"/>
          <w:szCs w:val="19"/>
        </w:rPr>
        <w:t>Mipymes</w:t>
      </w:r>
      <w:proofErr w:type="spellEnd"/>
      <w:r w:rsidRPr="005579C4">
        <w:rPr>
          <w:rFonts w:ascii="Arial" w:hAnsi="Arial" w:cs="Arial"/>
          <w:sz w:val="19"/>
          <w:szCs w:val="19"/>
        </w:rPr>
        <w:t xml:space="preserve">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rsidRPr="005579C4" w:rsidR="008C487C" w:rsidP="00510BF5" w:rsidRDefault="008C487C" w14:paraId="749E7927" w14:textId="77777777">
      <w:pPr>
        <w:pStyle w:val="Textonotapie"/>
        <w:jc w:val="both"/>
        <w:rPr>
          <w:rFonts w:ascii="Arial" w:hAnsi="Arial" w:cs="Arial"/>
          <w:sz w:val="19"/>
          <w:szCs w:val="19"/>
        </w:rPr>
      </w:pPr>
      <w:r w:rsidRPr="005579C4">
        <w:rPr>
          <w:rFonts w:ascii="Arial" w:hAnsi="Arial" w:cs="Arial"/>
          <w:sz w:val="19"/>
          <w:szCs w:val="19"/>
        </w:rPr>
        <w:tab/>
      </w:r>
      <w:r w:rsidRPr="005579C4">
        <w:rPr>
          <w:rFonts w:ascii="Arial" w:hAnsi="Arial" w:cs="Arial"/>
          <w:sz w:val="19"/>
          <w:szCs w:val="19"/>
        </w:rPr>
        <w:t xml:space="preserve">»4. Las entidades públicas del orden nacional, departamental y municipal preferirán en condiciones de igual precio, calidad y capacidad de suministros y servicio a las </w:t>
      </w:r>
      <w:proofErr w:type="spellStart"/>
      <w:r w:rsidRPr="005579C4">
        <w:rPr>
          <w:rFonts w:ascii="Arial" w:hAnsi="Arial" w:cs="Arial"/>
          <w:sz w:val="19"/>
          <w:szCs w:val="19"/>
        </w:rPr>
        <w:t>Mipymes</w:t>
      </w:r>
      <w:proofErr w:type="spellEnd"/>
      <w:r w:rsidRPr="005579C4">
        <w:rPr>
          <w:rFonts w:ascii="Arial" w:hAnsi="Arial" w:cs="Arial"/>
          <w:sz w:val="19"/>
          <w:szCs w:val="19"/>
        </w:rPr>
        <w:t xml:space="preserve"> nacionales».</w:t>
      </w:r>
    </w:p>
    <w:p w:rsidRPr="005579C4" w:rsidR="008C487C" w:rsidP="00510BF5" w:rsidRDefault="008C487C" w14:paraId="7E9AB949" w14:textId="77777777">
      <w:pPr>
        <w:pStyle w:val="Textonotapie"/>
        <w:jc w:val="both"/>
        <w:rPr>
          <w:rFonts w:ascii="Arial" w:hAnsi="Arial" w:cs="Arial"/>
          <w:sz w:val="19"/>
          <w:szCs w:val="19"/>
          <w:lang w:val="es-CO"/>
        </w:rPr>
      </w:pPr>
    </w:p>
  </w:footnote>
  <w:footnote w:id="4">
    <w:p w:rsidRPr="005579C4" w:rsidR="008C487C" w:rsidP="00510BF5" w:rsidRDefault="008C487C" w14:paraId="10C329EC" w14:textId="77777777">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 Allí se dijo: «La ley establece mecanismos indispensables para permitir la creación y operación de las </w:t>
      </w:r>
      <w:proofErr w:type="spellStart"/>
      <w:r w:rsidRPr="005579C4">
        <w:rPr>
          <w:rFonts w:ascii="Arial" w:hAnsi="Arial" w:cs="Arial"/>
          <w:sz w:val="19"/>
          <w:szCs w:val="19"/>
        </w:rPr>
        <w:t>Mipymes</w:t>
      </w:r>
      <w:proofErr w:type="spellEnd"/>
      <w:r w:rsidRPr="005579C4">
        <w:rPr>
          <w:rFonts w:ascii="Arial" w:hAnsi="Arial" w:cs="Arial"/>
          <w:sz w:val="19"/>
          <w:szCs w:val="19"/>
        </w:rPr>
        <w:t xml:space="preserve"> en un escenario de competitividad. Así, se abordan los siguientes frentes: 1. El acceso a mercados y bienes y servicios; 2. El desarrollo tecnológico y talento humano; 3. El acceso a mercados financieros, y; 4. La creación de unidades empresariales (…) Para garantizar el acceso de las </w:t>
      </w:r>
      <w:proofErr w:type="spellStart"/>
      <w:r w:rsidRPr="005579C4">
        <w:rPr>
          <w:rFonts w:ascii="Arial" w:hAnsi="Arial" w:cs="Arial"/>
          <w:sz w:val="19"/>
          <w:szCs w:val="19"/>
        </w:rPr>
        <w:t>Mipymes</w:t>
      </w:r>
      <w:proofErr w:type="spellEnd"/>
      <w:r w:rsidRPr="005579C4">
        <w:rPr>
          <w:rFonts w:ascii="Arial" w:hAnsi="Arial" w:cs="Arial"/>
          <w:sz w:val="19"/>
          <w:szCs w:val="19"/>
        </w:rPr>
        <w:t xml:space="preserve">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w:t>
      </w:r>
      <w:proofErr w:type="spellStart"/>
      <w:r w:rsidRPr="005579C4">
        <w:rPr>
          <w:rFonts w:ascii="Arial" w:hAnsi="Arial" w:cs="Arial"/>
          <w:sz w:val="19"/>
          <w:szCs w:val="19"/>
        </w:rPr>
        <w:t>Mipymes</w:t>
      </w:r>
      <w:proofErr w:type="spellEnd"/>
      <w:r w:rsidRPr="005579C4">
        <w:rPr>
          <w:rFonts w:ascii="Arial" w:hAnsi="Arial" w:cs="Arial"/>
          <w:sz w:val="19"/>
          <w:szCs w:val="19"/>
        </w:rPr>
        <w:t xml:space="preserve"> como proveedoras de bienes y servicios que demanden; 3. Establecer procedimientos administrativos que faciliten que las </w:t>
      </w:r>
      <w:proofErr w:type="spellStart"/>
      <w:r w:rsidRPr="005579C4">
        <w:rPr>
          <w:rFonts w:ascii="Arial" w:hAnsi="Arial" w:cs="Arial"/>
          <w:sz w:val="19"/>
          <w:szCs w:val="19"/>
        </w:rPr>
        <w:t>Mipymes</w:t>
      </w:r>
      <w:proofErr w:type="spellEnd"/>
      <w:r w:rsidRPr="005579C4">
        <w:rPr>
          <w:rFonts w:ascii="Arial" w:hAnsi="Arial" w:cs="Arial"/>
          <w:sz w:val="19"/>
          <w:szCs w:val="19"/>
        </w:rPr>
        <w:t xml:space="preserve"> cumplan con los requisitos y trámites relativos a pedidos, recepción de bienes o servicios, condiciones de pago y acceso a la información sobre sus programas de inversión y gasto, y; 4. Preferir en condiciones de igual precio, calidad y capacidad de suministro y servicios a las </w:t>
      </w:r>
      <w:proofErr w:type="spellStart"/>
      <w:r w:rsidRPr="005579C4">
        <w:rPr>
          <w:rFonts w:ascii="Arial" w:hAnsi="Arial" w:cs="Arial"/>
          <w:sz w:val="19"/>
          <w:szCs w:val="19"/>
        </w:rPr>
        <w:t>Mipymes</w:t>
      </w:r>
      <w:proofErr w:type="spellEnd"/>
      <w:r w:rsidRPr="005579C4">
        <w:rPr>
          <w:rFonts w:ascii="Arial" w:hAnsi="Arial" w:cs="Arial"/>
          <w:sz w:val="19"/>
          <w:szCs w:val="19"/>
        </w:rPr>
        <w:t xml:space="preserve"> nacionales».</w:t>
      </w:r>
    </w:p>
    <w:p w:rsidRPr="005579C4" w:rsidR="008C487C" w:rsidP="00510BF5" w:rsidRDefault="008C487C" w14:paraId="2A2BF4B7" w14:textId="77777777">
      <w:pPr>
        <w:pStyle w:val="Textonotapie"/>
        <w:ind w:firstLine="708"/>
        <w:jc w:val="both"/>
        <w:rPr>
          <w:rFonts w:ascii="Arial" w:hAnsi="Arial" w:cs="Arial"/>
          <w:sz w:val="19"/>
          <w:szCs w:val="19"/>
          <w:lang w:val="es-ES"/>
        </w:rPr>
      </w:pPr>
    </w:p>
  </w:footnote>
  <w:footnote w:id="5">
    <w:p w:rsidRPr="005579C4" w:rsidR="008C487C" w:rsidP="00510BF5" w:rsidRDefault="008C487C" w14:paraId="7357C9DF" w14:textId="77777777">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rsidRPr="005579C4" w:rsidR="008C487C" w:rsidP="00510BF5" w:rsidRDefault="008C487C" w14:paraId="09E87576" w14:textId="77777777">
      <w:pPr>
        <w:pStyle w:val="Textonotapie"/>
        <w:ind w:firstLine="708"/>
        <w:jc w:val="both"/>
        <w:rPr>
          <w:rFonts w:ascii="Arial" w:hAnsi="Arial" w:cs="Arial"/>
          <w:sz w:val="19"/>
          <w:szCs w:val="19"/>
          <w:lang w:val="es-ES"/>
        </w:rPr>
      </w:pPr>
    </w:p>
  </w:footnote>
  <w:footnote w:id="6">
    <w:p w:rsidRPr="005579C4" w:rsidR="008C487C" w:rsidP="00510BF5" w:rsidRDefault="008C487C" w14:paraId="35EEF6AD" w14:textId="77777777">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 La TRM diaria se puede consultar en </w:t>
      </w:r>
      <w:hyperlink w:history="1" r:id="rId1">
        <w:r w:rsidRPr="005579C4">
          <w:rPr>
            <w:rStyle w:val="Hipervnculo"/>
            <w:rFonts w:ascii="Arial" w:hAnsi="Arial" w:cs="Arial"/>
            <w:color w:val="auto"/>
            <w:sz w:val="19"/>
            <w:szCs w:val="19"/>
          </w:rPr>
          <w:t>https://www.banrep.gov.co/es/estadisticas/trm</w:t>
        </w:r>
      </w:hyperlink>
      <w:r w:rsidRPr="005579C4">
        <w:rPr>
          <w:rFonts w:ascii="Arial" w:hAnsi="Arial" w:cs="Arial"/>
          <w:sz w:val="19"/>
          <w:szCs w:val="19"/>
        </w:rPr>
        <w:t>.</w:t>
      </w:r>
    </w:p>
    <w:p w:rsidRPr="005579C4" w:rsidR="008C487C" w:rsidP="00510BF5" w:rsidRDefault="008C487C" w14:paraId="2B7A1747" w14:textId="77777777">
      <w:pPr>
        <w:pStyle w:val="Textonotapie"/>
        <w:ind w:firstLine="708"/>
        <w:jc w:val="both"/>
        <w:rPr>
          <w:rFonts w:ascii="Arial" w:hAnsi="Arial" w:cs="Arial"/>
          <w:sz w:val="19"/>
          <w:szCs w:val="19"/>
          <w:lang w:val="es-ES"/>
        </w:rPr>
      </w:pPr>
    </w:p>
  </w:footnote>
  <w:footnote w:id="7">
    <w:p w:rsidRPr="005579C4" w:rsidR="008C487C" w:rsidP="00510BF5" w:rsidRDefault="008C487C" w14:paraId="05DBBCC3" w14:textId="77777777">
      <w:pPr>
        <w:pStyle w:val="Textonotapie"/>
        <w:ind w:firstLine="708"/>
        <w:jc w:val="both"/>
        <w:rPr>
          <w:rFonts w:ascii="Arial" w:hAnsi="Arial" w:cs="Arial"/>
          <w:sz w:val="19"/>
          <w:szCs w:val="19"/>
          <w:lang w:val="es-ES"/>
        </w:rPr>
      </w:pPr>
      <w:r w:rsidRPr="005579C4">
        <w:rPr>
          <w:rStyle w:val="Refdenotaalpie"/>
          <w:rFonts w:ascii="Arial" w:hAnsi="Arial" w:cs="Arial"/>
          <w:sz w:val="19"/>
          <w:szCs w:val="19"/>
        </w:rPr>
        <w:footnoteRef/>
      </w:r>
      <w:r w:rsidRPr="005579C4">
        <w:rPr>
          <w:rFonts w:ascii="Arial" w:hAnsi="Arial" w:cs="Arial"/>
          <w:sz w:val="19"/>
          <w:szCs w:val="19"/>
        </w:rPr>
        <w:t xml:space="preserve"> </w:t>
      </w:r>
      <w:r w:rsidRPr="005579C4">
        <w:rPr>
          <w:rFonts w:ascii="Arial" w:hAnsi="Arial" w:cs="Arial"/>
          <w:sz w:val="19"/>
          <w:szCs w:val="19"/>
          <w:lang w:val="es-ES"/>
        </w:rPr>
        <w:t>Fecha de expedición del Decreto 1082.</w:t>
      </w:r>
    </w:p>
    <w:p w:rsidRPr="005579C4" w:rsidR="008C487C" w:rsidP="00510BF5" w:rsidRDefault="008C487C" w14:paraId="59E540A2" w14:textId="77777777">
      <w:pPr>
        <w:pStyle w:val="Textonotapie"/>
        <w:jc w:val="both"/>
        <w:rPr>
          <w:rFonts w:ascii="Arial" w:hAnsi="Arial" w:cs="Arial"/>
          <w:sz w:val="19"/>
          <w:szCs w:val="19"/>
          <w:lang w:val="es-ES"/>
        </w:rPr>
      </w:pPr>
    </w:p>
  </w:footnote>
  <w:footnote w:id="8">
    <w:p w:rsidRPr="005579C4" w:rsidR="008C487C" w:rsidP="00510BF5" w:rsidRDefault="008C487C" w14:paraId="4AED5EBE" w14:textId="77777777">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 </w:t>
      </w:r>
      <w:hyperlink w:history="1" r:id="rId2">
        <w:r w:rsidRPr="005579C4">
          <w:rPr>
            <w:rStyle w:val="Hipervnculo"/>
            <w:rFonts w:ascii="Arial" w:hAnsi="Arial" w:cs="Arial"/>
            <w:color w:val="auto"/>
            <w:sz w:val="19"/>
            <w:szCs w:val="19"/>
          </w:rPr>
          <w:t>https://www.colombiacompra.gov.co/sites/cce_public/files/cce_documentos/umbrales_2020_-_2021.pdf</w:t>
        </w:r>
      </w:hyperlink>
    </w:p>
    <w:p w:rsidRPr="005579C4" w:rsidR="008C487C" w:rsidP="00510BF5" w:rsidRDefault="008C487C" w14:paraId="0F587B57" w14:textId="77777777">
      <w:pPr>
        <w:pStyle w:val="Textonotapie"/>
        <w:ind w:firstLine="708"/>
        <w:jc w:val="both"/>
        <w:rPr>
          <w:rFonts w:ascii="Arial" w:hAnsi="Arial" w:cs="Arial"/>
          <w:sz w:val="19"/>
          <w:szCs w:val="19"/>
          <w:lang w:val="es-ES"/>
        </w:rPr>
      </w:pPr>
    </w:p>
  </w:footnote>
  <w:footnote w:id="9">
    <w:p w:rsidRPr="005579C4" w:rsidR="008C487C" w:rsidP="00510BF5" w:rsidRDefault="008C487C" w14:paraId="508063B0" w14:textId="77777777">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 Ibidem.</w:t>
      </w:r>
    </w:p>
    <w:p w:rsidRPr="005579C4" w:rsidR="008C487C" w:rsidP="00510BF5" w:rsidRDefault="008C487C" w14:paraId="687D41C8" w14:textId="77777777">
      <w:pPr>
        <w:pStyle w:val="Textonotapie"/>
        <w:ind w:firstLine="708"/>
        <w:jc w:val="both"/>
        <w:rPr>
          <w:rFonts w:ascii="Arial" w:hAnsi="Arial" w:cs="Arial"/>
          <w:sz w:val="19"/>
          <w:szCs w:val="19"/>
          <w:lang w:val="es-ES"/>
        </w:rPr>
      </w:pPr>
    </w:p>
  </w:footnote>
  <w:footnote w:id="10">
    <w:p w:rsidRPr="005579C4" w:rsidR="008C487C" w:rsidP="00510BF5" w:rsidRDefault="008C487C" w14:paraId="2851969C" w14:textId="77777777">
      <w:pPr>
        <w:pStyle w:val="Textonotapie"/>
        <w:ind w:firstLine="708"/>
        <w:jc w:val="both"/>
        <w:rPr>
          <w:rFonts w:ascii="Arial" w:hAnsi="Arial" w:cs="Arial"/>
          <w:sz w:val="19"/>
          <w:szCs w:val="19"/>
          <w:lang w:val="es-ES"/>
        </w:rPr>
      </w:pPr>
      <w:r w:rsidRPr="005579C4">
        <w:rPr>
          <w:rStyle w:val="Refdenotaalpie"/>
          <w:rFonts w:ascii="Arial" w:hAnsi="Arial" w:cs="Arial"/>
          <w:sz w:val="19"/>
          <w:szCs w:val="19"/>
        </w:rPr>
        <w:footnoteRef/>
      </w:r>
      <w:r w:rsidRPr="005579C4">
        <w:rPr>
          <w:rFonts w:ascii="Arial" w:hAnsi="Arial" w:cs="Arial"/>
          <w:sz w:val="19"/>
          <w:szCs w:val="19"/>
        </w:rPr>
        <w:t xml:space="preserve"> Concepto emitido en el radicado 4201913000005674, dictado el 27 de septiembre de 2019.</w:t>
      </w:r>
    </w:p>
  </w:footnote>
  <w:footnote w:id="11">
    <w:p w:rsidRPr="005579C4" w:rsidR="008C487C" w:rsidP="00510BF5" w:rsidRDefault="008C487C" w14:paraId="5D0BA94D" w14:textId="77777777">
      <w:pPr>
        <w:pStyle w:val="Textonotapie"/>
        <w:jc w:val="both"/>
        <w:rPr>
          <w:rFonts w:ascii="Arial" w:hAnsi="Arial" w:cs="Arial"/>
          <w:sz w:val="19"/>
          <w:szCs w:val="19"/>
        </w:rPr>
      </w:pPr>
    </w:p>
    <w:p w:rsidRPr="005579C4" w:rsidR="008C487C" w:rsidP="00510BF5" w:rsidRDefault="008C487C" w14:paraId="236AC584" w14:textId="77777777">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 Ley 1450 de 2011: «Artículo 32. Parágrafo 2°. Sin perjuicio de lo dispuesto en los artículos 5 y 6 de la Ley 1150 de 2007, para que las </w:t>
      </w:r>
      <w:proofErr w:type="spellStart"/>
      <w:r w:rsidRPr="005579C4">
        <w:rPr>
          <w:rFonts w:ascii="Arial" w:hAnsi="Arial" w:cs="Arial"/>
          <w:sz w:val="19"/>
          <w:szCs w:val="19"/>
        </w:rPr>
        <w:t>Mipymes</w:t>
      </w:r>
      <w:proofErr w:type="spellEnd"/>
      <w:r w:rsidRPr="005579C4">
        <w:rPr>
          <w:rFonts w:ascii="Arial" w:hAnsi="Arial" w:cs="Arial"/>
          <w:sz w:val="19"/>
          <w:szCs w:val="19"/>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2">
    <w:p w:rsidRPr="005579C4" w:rsidR="008C487C" w:rsidP="00510BF5" w:rsidRDefault="008C487C" w14:paraId="52282AED" w14:textId="77777777">
      <w:pPr>
        <w:pStyle w:val="Textonotapie"/>
        <w:ind w:firstLine="708"/>
        <w:jc w:val="both"/>
        <w:rPr>
          <w:rFonts w:ascii="Arial" w:hAnsi="Arial" w:cs="Arial"/>
          <w:sz w:val="19"/>
          <w:szCs w:val="19"/>
        </w:rPr>
      </w:pPr>
    </w:p>
    <w:p w:rsidRPr="005579C4" w:rsidR="008C487C" w:rsidP="00510BF5" w:rsidRDefault="008C487C" w14:paraId="6A0394FF" w14:textId="77777777">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Ley 1450 de 2011: «Artículo 32. Parágrafo 1°: En los procesos de selección que se desarrollen con base en el primer inciso, las entidades podrán realizar las convocatorias limitadas que beneficien a las </w:t>
      </w:r>
      <w:proofErr w:type="spellStart"/>
      <w:r w:rsidRPr="005579C4">
        <w:rPr>
          <w:rFonts w:ascii="Arial" w:hAnsi="Arial" w:cs="Arial"/>
          <w:sz w:val="19"/>
          <w:szCs w:val="19"/>
        </w:rPr>
        <w:t>Mipymes</w:t>
      </w:r>
      <w:proofErr w:type="spellEnd"/>
      <w:r w:rsidRPr="005579C4">
        <w:rPr>
          <w:rFonts w:ascii="Arial" w:hAnsi="Arial" w:cs="Arial"/>
          <w:sz w:val="19"/>
          <w:szCs w:val="19"/>
        </w:rPr>
        <w:t xml:space="preserve"> del ámbito municipal o departamental correspondiente al de la ejecución del contrato».</w:t>
      </w:r>
    </w:p>
    <w:p w:rsidRPr="005579C4" w:rsidR="008C487C" w:rsidP="00510BF5" w:rsidRDefault="008C487C" w14:paraId="2677DEBE" w14:textId="77777777">
      <w:pPr>
        <w:pStyle w:val="Textonotapie"/>
        <w:ind w:firstLine="708"/>
        <w:jc w:val="both"/>
        <w:rPr>
          <w:rFonts w:ascii="Arial" w:hAnsi="Arial" w:cs="Arial"/>
          <w:sz w:val="19"/>
          <w:szCs w:val="19"/>
        </w:rPr>
      </w:pPr>
    </w:p>
  </w:footnote>
  <w:footnote w:id="13">
    <w:p w:rsidRPr="005579C4" w:rsidR="008C487C" w:rsidP="00510BF5" w:rsidRDefault="008C487C" w14:paraId="5FA8EC46" w14:textId="77777777">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 Cfr. Concepto emitido en el radicado 4201913000005674, dictado el 27 de septiembre de 2019.</w:t>
      </w:r>
    </w:p>
    <w:p w:rsidRPr="005579C4" w:rsidR="008C487C" w:rsidP="00510BF5" w:rsidRDefault="008C487C" w14:paraId="6E7D1DAE" w14:textId="77777777">
      <w:pPr>
        <w:pStyle w:val="Textonotapie"/>
        <w:ind w:firstLine="708"/>
        <w:jc w:val="both"/>
        <w:rPr>
          <w:rFonts w:ascii="Arial" w:hAnsi="Arial" w:cs="Arial"/>
          <w:sz w:val="19"/>
          <w:szCs w:val="19"/>
          <w:lang w:val="es-ES"/>
        </w:rPr>
      </w:pPr>
    </w:p>
  </w:footnote>
  <w:footnote w:id="14">
    <w:p w:rsidRPr="005579C4" w:rsidR="00430B5A" w:rsidP="00510BF5" w:rsidRDefault="00430B5A" w14:paraId="65337495" w14:textId="4409AB7E">
      <w:pPr>
        <w:pStyle w:val="Default"/>
        <w:jc w:val="both"/>
        <w:rPr>
          <w:color w:val="auto"/>
          <w:sz w:val="19"/>
          <w:szCs w:val="19"/>
        </w:rPr>
      </w:pPr>
      <w:r w:rsidRPr="005579C4">
        <w:rPr>
          <w:rStyle w:val="Refdenotaalpie"/>
          <w:color w:val="auto"/>
          <w:sz w:val="19"/>
          <w:szCs w:val="19"/>
        </w:rPr>
        <w:footnoteRef/>
      </w:r>
      <w:r w:rsidRPr="005579C4">
        <w:rPr>
          <w:color w:val="auto"/>
          <w:sz w:val="19"/>
          <w:szCs w:val="19"/>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rsidRPr="005579C4" w:rsidR="00430B5A" w:rsidP="00510BF5" w:rsidRDefault="00430B5A" w14:paraId="4F0A0D4B" w14:textId="77777777">
      <w:pPr>
        <w:pStyle w:val="Textonotapie"/>
        <w:ind w:firstLine="708"/>
        <w:jc w:val="both"/>
        <w:rPr>
          <w:rFonts w:ascii="Arial" w:hAnsi="Arial" w:cs="Arial"/>
          <w:sz w:val="19"/>
          <w:szCs w:val="19"/>
        </w:rPr>
      </w:pPr>
    </w:p>
    <w:p w:rsidRPr="005579C4" w:rsidR="00430B5A" w:rsidP="00510BF5" w:rsidRDefault="00430B5A" w14:paraId="2F03BA89" w14:textId="776DE20E">
      <w:pPr>
        <w:pStyle w:val="Textonotapie"/>
        <w:ind w:firstLine="708"/>
        <w:jc w:val="both"/>
        <w:rPr>
          <w:rFonts w:ascii="Arial" w:hAnsi="Arial" w:cs="Arial"/>
          <w:sz w:val="19"/>
          <w:szCs w:val="19"/>
        </w:rPr>
      </w:pPr>
      <w:proofErr w:type="gramStart"/>
      <w:r w:rsidRPr="005579C4">
        <w:rPr>
          <w:rFonts w:ascii="Arial" w:hAnsi="Arial" w:cs="Arial"/>
          <w:sz w:val="19"/>
          <w:szCs w:val="19"/>
        </w:rPr>
        <w:t>»Sin</w:t>
      </w:r>
      <w:proofErr w:type="gramEnd"/>
      <w:r w:rsidRPr="005579C4">
        <w:rPr>
          <w:rFonts w:ascii="Arial" w:hAnsi="Arial" w:cs="Arial"/>
          <w:sz w:val="19"/>
          <w:szCs w:val="19"/>
        </w:rPr>
        <w:t xml:space="preserve"> embargo, cualquiera que sea su objeto, las sociedades comerciales y civiles estarán sujetas, para todos los efectos, a la legislación mercantil».</w:t>
      </w:r>
    </w:p>
    <w:p w:rsidRPr="005579C4" w:rsidR="00E87794" w:rsidP="00510BF5" w:rsidRDefault="00E87794" w14:paraId="4D8624AD" w14:textId="77777777">
      <w:pPr>
        <w:pStyle w:val="Textonotapie"/>
        <w:ind w:firstLine="708"/>
        <w:jc w:val="both"/>
        <w:rPr>
          <w:rFonts w:ascii="Arial" w:hAnsi="Arial" w:cs="Arial"/>
          <w:sz w:val="19"/>
          <w:szCs w:val="19"/>
        </w:rPr>
      </w:pPr>
    </w:p>
  </w:footnote>
  <w:footnote w:id="15">
    <w:p w:rsidRPr="005579C4" w:rsidR="00E87794" w:rsidP="00510BF5" w:rsidRDefault="00E87794" w14:paraId="7F3490DB" w14:textId="544CE32D">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 BARRERO BUITRAGO, Álvaro. Manual para el establecimiento de sociedades (4ta. ed.). Editorial Librería del Profesional. Bogotá. 2006. p. 21. Allí se lee, en relación con el requisito que deben cumplir las sociedades comerciales sobre el ánimo de lucro, lo siguiente: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w:t>
      </w:r>
    </w:p>
    <w:p w:rsidRPr="005579C4" w:rsidR="006135E6" w:rsidP="00510BF5" w:rsidRDefault="006135E6" w14:paraId="24B42A2A" w14:textId="77777777">
      <w:pPr>
        <w:pStyle w:val="Textonotapie"/>
        <w:ind w:firstLine="708"/>
        <w:jc w:val="both"/>
        <w:rPr>
          <w:rFonts w:ascii="Arial" w:hAnsi="Arial" w:cs="Arial"/>
          <w:sz w:val="19"/>
          <w:szCs w:val="19"/>
        </w:rPr>
      </w:pPr>
    </w:p>
  </w:footnote>
  <w:footnote w:id="16">
    <w:p w:rsidRPr="005579C4" w:rsidR="006135E6" w:rsidP="00510BF5" w:rsidRDefault="006135E6" w14:paraId="699B5784" w14:textId="2C056D8C">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w:t>
      </w:r>
    </w:p>
    <w:p w:rsidRPr="005579C4" w:rsidR="006135E6" w:rsidP="00510BF5" w:rsidRDefault="006135E6" w14:paraId="790A94C8" w14:textId="77777777">
      <w:pPr>
        <w:pStyle w:val="Textonotapie"/>
        <w:ind w:firstLine="708"/>
        <w:jc w:val="both"/>
        <w:rPr>
          <w:rFonts w:ascii="Arial" w:hAnsi="Arial" w:cs="Arial"/>
          <w:sz w:val="19"/>
          <w:szCs w:val="19"/>
        </w:rPr>
      </w:pPr>
    </w:p>
    <w:p w:rsidRPr="005579C4" w:rsidR="006135E6" w:rsidP="00510BF5" w:rsidRDefault="006135E6" w14:paraId="0DA034E8" w14:textId="636290DA">
      <w:pPr>
        <w:pStyle w:val="Textonotapie"/>
        <w:ind w:firstLine="708"/>
        <w:jc w:val="both"/>
        <w:rPr>
          <w:rFonts w:ascii="Arial" w:hAnsi="Arial" w:cs="Arial"/>
          <w:sz w:val="19"/>
          <w:szCs w:val="19"/>
        </w:rPr>
      </w:pPr>
      <w:proofErr w:type="gramStart"/>
      <w:r w:rsidRPr="005579C4">
        <w:rPr>
          <w:rFonts w:ascii="Arial" w:hAnsi="Arial" w:cs="Arial"/>
          <w:sz w:val="19"/>
          <w:szCs w:val="19"/>
        </w:rPr>
        <w:t>»La</w:t>
      </w:r>
      <w:proofErr w:type="gramEnd"/>
      <w:r w:rsidRPr="005579C4">
        <w:rPr>
          <w:rFonts w:ascii="Arial" w:hAnsi="Arial" w:cs="Arial"/>
          <w:sz w:val="19"/>
          <w:szCs w:val="19"/>
        </w:rPr>
        <w:t xml:space="preserve"> ausencia de lucro es una de sus características fundamentales, lo cual significa que no existe el reparto de utilidades o remanentes generados en el desarrollo de sus objetivos, ni es viable el reembolso de los bienes o dineros aportados a la entidad</w:t>
      </w:r>
      <w:r w:rsidRPr="005579C4" w:rsidR="003D11B5">
        <w:rPr>
          <w:rFonts w:ascii="Arial" w:hAnsi="Arial" w:cs="Arial"/>
          <w:sz w:val="19"/>
          <w:szCs w:val="19"/>
        </w:rPr>
        <w:t xml:space="preserve"> […]</w:t>
      </w:r>
      <w:r w:rsidRPr="005579C4">
        <w:rPr>
          <w:rFonts w:ascii="Arial" w:hAnsi="Arial" w:cs="Arial"/>
          <w:sz w:val="19"/>
          <w:szCs w:val="19"/>
        </w:rPr>
        <w:t>».</w:t>
      </w:r>
    </w:p>
    <w:p w:rsidRPr="005579C4" w:rsidR="00AC0C81" w:rsidP="00510BF5" w:rsidRDefault="00AC0C81" w14:paraId="575BD3D6" w14:textId="77777777">
      <w:pPr>
        <w:pStyle w:val="Textonotapie"/>
        <w:ind w:firstLine="708"/>
        <w:jc w:val="both"/>
        <w:rPr>
          <w:rFonts w:ascii="Arial" w:hAnsi="Arial" w:cs="Arial"/>
          <w:sz w:val="19"/>
          <w:szCs w:val="19"/>
        </w:rPr>
      </w:pPr>
    </w:p>
  </w:footnote>
  <w:footnote w:id="17">
    <w:p w:rsidRPr="005579C4" w:rsidR="00AC0C81" w:rsidP="00510BF5" w:rsidRDefault="00AC0C81" w14:paraId="2A385C5D" w14:textId="2C936D22">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 Corte Constitucional. Sentencia C-287 de 2012. M.P. María Victoria Calle.</w:t>
      </w:r>
    </w:p>
    <w:p w:rsidRPr="005579C4" w:rsidR="009A5DA7" w:rsidP="00510BF5" w:rsidRDefault="009A5DA7" w14:paraId="2ECE7277" w14:textId="77777777">
      <w:pPr>
        <w:pStyle w:val="Textonotapie"/>
        <w:ind w:firstLine="708"/>
        <w:jc w:val="both"/>
        <w:rPr>
          <w:rFonts w:ascii="Arial" w:hAnsi="Arial" w:cs="Arial"/>
          <w:sz w:val="19"/>
          <w:szCs w:val="19"/>
        </w:rPr>
      </w:pPr>
    </w:p>
  </w:footnote>
  <w:footnote w:id="18">
    <w:p w:rsidRPr="005579C4" w:rsidR="00510BF5" w:rsidP="00510BF5" w:rsidRDefault="00510BF5" w14:paraId="23B6137E" w14:textId="4C44BADE">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 Consejo de Estado, Sección Cuarta. Providencia del 26 de octubre de 2009. </w:t>
      </w:r>
      <w:proofErr w:type="spellStart"/>
      <w:r w:rsidRPr="005579C4">
        <w:rPr>
          <w:rFonts w:ascii="Arial" w:hAnsi="Arial" w:cs="Arial"/>
          <w:sz w:val="19"/>
          <w:szCs w:val="19"/>
        </w:rPr>
        <w:t>Exp</w:t>
      </w:r>
      <w:proofErr w:type="spellEnd"/>
      <w:r w:rsidRPr="005579C4">
        <w:rPr>
          <w:rFonts w:ascii="Arial" w:hAnsi="Arial" w:cs="Arial"/>
          <w:sz w:val="19"/>
          <w:szCs w:val="19"/>
        </w:rPr>
        <w:t>. No. 25000-23-27-000-2007-00160-01(17200). M.P. Martha Teresa Briceño de Valencia.</w:t>
      </w:r>
    </w:p>
    <w:p w:rsidRPr="005579C4" w:rsidR="00510BF5" w:rsidP="00510BF5" w:rsidRDefault="00510BF5" w14:paraId="7659EDA4" w14:textId="77777777">
      <w:pPr>
        <w:pStyle w:val="Textonotapie"/>
        <w:ind w:firstLine="708"/>
        <w:jc w:val="both"/>
        <w:rPr>
          <w:rFonts w:ascii="Arial" w:hAnsi="Arial" w:cs="Arial"/>
          <w:sz w:val="19"/>
          <w:szCs w:val="19"/>
        </w:rPr>
      </w:pPr>
    </w:p>
  </w:footnote>
  <w:footnote w:id="19">
    <w:p w:rsidRPr="005579C4" w:rsidR="00BE2AD3" w:rsidP="00510BF5" w:rsidRDefault="00BE2AD3" w14:paraId="2C58DE18" w14:textId="2808B22C">
      <w:pPr>
        <w:pStyle w:val="Textonotapie"/>
        <w:ind w:firstLine="708"/>
        <w:jc w:val="both"/>
        <w:rPr>
          <w:rFonts w:ascii="Arial" w:hAnsi="Arial" w:cs="Arial"/>
          <w:sz w:val="19"/>
          <w:szCs w:val="19"/>
        </w:rPr>
      </w:pPr>
      <w:r w:rsidRPr="005579C4">
        <w:rPr>
          <w:rStyle w:val="Refdenotaalpie"/>
          <w:rFonts w:ascii="Arial" w:hAnsi="Arial" w:cs="Arial"/>
          <w:sz w:val="19"/>
          <w:szCs w:val="19"/>
        </w:rPr>
        <w:footnoteRef/>
      </w:r>
      <w:r w:rsidRPr="005579C4">
        <w:rPr>
          <w:rFonts w:ascii="Arial" w:hAnsi="Arial" w:cs="Arial"/>
          <w:sz w:val="19"/>
          <w:szCs w:val="19"/>
        </w:rPr>
        <w:t xml:space="preserve"> Cámara de Comercio de Bogotá, «ABC DE ESALES». Bogotá. 2013. Disponible en este link: </w:t>
      </w:r>
      <w:hyperlink w:history="1" r:id="rId3">
        <w:r w:rsidRPr="005579C4">
          <w:rPr>
            <w:rStyle w:val="Hipervnculo"/>
            <w:rFonts w:ascii="Arial" w:hAnsi="Arial" w:cs="Arial"/>
            <w:color w:val="auto"/>
            <w:sz w:val="19"/>
            <w:szCs w:val="19"/>
          </w:rPr>
          <w:t>https://bibliotecadigital.ccb.org.co/bitstream/handle/11520/8346/el%20abc%20de%20esales%202013%20completo.pdf?sequence=1&amp;isAllowed=y</w:t>
        </w:r>
      </w:hyperlink>
      <w:r w:rsidRPr="005579C4">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8C487C" w14:paraId="1BE98637" w14:textId="77777777">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66CD363">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01400C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3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10D30"/>
    <w:rsid w:val="0003091B"/>
    <w:rsid w:val="000333A2"/>
    <w:rsid w:val="00040D6E"/>
    <w:rsid w:val="00042C0C"/>
    <w:rsid w:val="00044FF2"/>
    <w:rsid w:val="00061EE4"/>
    <w:rsid w:val="00062B0D"/>
    <w:rsid w:val="00086A16"/>
    <w:rsid w:val="000940D2"/>
    <w:rsid w:val="00097CD6"/>
    <w:rsid w:val="000A1DBA"/>
    <w:rsid w:val="000A6338"/>
    <w:rsid w:val="000C0E39"/>
    <w:rsid w:val="000D088F"/>
    <w:rsid w:val="000E13C9"/>
    <w:rsid w:val="000E6867"/>
    <w:rsid w:val="001013D1"/>
    <w:rsid w:val="00107607"/>
    <w:rsid w:val="00112597"/>
    <w:rsid w:val="001321AB"/>
    <w:rsid w:val="00140E57"/>
    <w:rsid w:val="00141601"/>
    <w:rsid w:val="00141C64"/>
    <w:rsid w:val="001430E5"/>
    <w:rsid w:val="0014462B"/>
    <w:rsid w:val="00164E79"/>
    <w:rsid w:val="0017603D"/>
    <w:rsid w:val="0018164F"/>
    <w:rsid w:val="00181A3E"/>
    <w:rsid w:val="0018328B"/>
    <w:rsid w:val="00194C50"/>
    <w:rsid w:val="001C6430"/>
    <w:rsid w:val="001D38A8"/>
    <w:rsid w:val="001E5DBB"/>
    <w:rsid w:val="001F1051"/>
    <w:rsid w:val="001F34A8"/>
    <w:rsid w:val="001F6346"/>
    <w:rsid w:val="002034AD"/>
    <w:rsid w:val="002239B4"/>
    <w:rsid w:val="00260AB5"/>
    <w:rsid w:val="00265031"/>
    <w:rsid w:val="00266277"/>
    <w:rsid w:val="00284C12"/>
    <w:rsid w:val="00286834"/>
    <w:rsid w:val="002B282F"/>
    <w:rsid w:val="002B4B30"/>
    <w:rsid w:val="002E7BC2"/>
    <w:rsid w:val="002F63BB"/>
    <w:rsid w:val="00302F9F"/>
    <w:rsid w:val="00304386"/>
    <w:rsid w:val="00326995"/>
    <w:rsid w:val="003401FE"/>
    <w:rsid w:val="00356FCF"/>
    <w:rsid w:val="00390DCF"/>
    <w:rsid w:val="00391F16"/>
    <w:rsid w:val="00397CCB"/>
    <w:rsid w:val="003A2944"/>
    <w:rsid w:val="003B0DEF"/>
    <w:rsid w:val="003C2074"/>
    <w:rsid w:val="003C3ADB"/>
    <w:rsid w:val="003D11B5"/>
    <w:rsid w:val="003D134C"/>
    <w:rsid w:val="003D69A5"/>
    <w:rsid w:val="003E14F9"/>
    <w:rsid w:val="003F3119"/>
    <w:rsid w:val="00427818"/>
    <w:rsid w:val="00430B5A"/>
    <w:rsid w:val="0044207D"/>
    <w:rsid w:val="00447FE5"/>
    <w:rsid w:val="0045479F"/>
    <w:rsid w:val="004617B8"/>
    <w:rsid w:val="004758FE"/>
    <w:rsid w:val="004830C8"/>
    <w:rsid w:val="004837AB"/>
    <w:rsid w:val="00483A2F"/>
    <w:rsid w:val="004A6EE1"/>
    <w:rsid w:val="004B1BEE"/>
    <w:rsid w:val="004C203A"/>
    <w:rsid w:val="004C6E06"/>
    <w:rsid w:val="004E370E"/>
    <w:rsid w:val="004F4387"/>
    <w:rsid w:val="00510BF5"/>
    <w:rsid w:val="00521BA7"/>
    <w:rsid w:val="005252E2"/>
    <w:rsid w:val="005301CC"/>
    <w:rsid w:val="005511D5"/>
    <w:rsid w:val="005579C4"/>
    <w:rsid w:val="005777C2"/>
    <w:rsid w:val="00585FB5"/>
    <w:rsid w:val="00591586"/>
    <w:rsid w:val="005B3880"/>
    <w:rsid w:val="005F5D19"/>
    <w:rsid w:val="005F6CBF"/>
    <w:rsid w:val="006135E6"/>
    <w:rsid w:val="00632EA5"/>
    <w:rsid w:val="0065701C"/>
    <w:rsid w:val="006818B6"/>
    <w:rsid w:val="006824B8"/>
    <w:rsid w:val="006A7743"/>
    <w:rsid w:val="006B6C6A"/>
    <w:rsid w:val="006C234F"/>
    <w:rsid w:val="006C5955"/>
    <w:rsid w:val="006F39D0"/>
    <w:rsid w:val="006F7746"/>
    <w:rsid w:val="00711157"/>
    <w:rsid w:val="00736C89"/>
    <w:rsid w:val="00745744"/>
    <w:rsid w:val="0075032A"/>
    <w:rsid w:val="007672D5"/>
    <w:rsid w:val="00772497"/>
    <w:rsid w:val="00791377"/>
    <w:rsid w:val="007C1102"/>
    <w:rsid w:val="007C68FC"/>
    <w:rsid w:val="007D62C7"/>
    <w:rsid w:val="007F7AC6"/>
    <w:rsid w:val="00803061"/>
    <w:rsid w:val="00807EEE"/>
    <w:rsid w:val="00813893"/>
    <w:rsid w:val="0082266E"/>
    <w:rsid w:val="00824361"/>
    <w:rsid w:val="008327EE"/>
    <w:rsid w:val="00834BB5"/>
    <w:rsid w:val="00842E74"/>
    <w:rsid w:val="00843BE5"/>
    <w:rsid w:val="00863DD9"/>
    <w:rsid w:val="00866446"/>
    <w:rsid w:val="0086741B"/>
    <w:rsid w:val="00882ABB"/>
    <w:rsid w:val="00886F29"/>
    <w:rsid w:val="008A0633"/>
    <w:rsid w:val="008A53F2"/>
    <w:rsid w:val="008C24B6"/>
    <w:rsid w:val="008C26B7"/>
    <w:rsid w:val="008C487C"/>
    <w:rsid w:val="008C4C28"/>
    <w:rsid w:val="008E0FCC"/>
    <w:rsid w:val="008E2FE3"/>
    <w:rsid w:val="008E5F34"/>
    <w:rsid w:val="008F2267"/>
    <w:rsid w:val="009231E0"/>
    <w:rsid w:val="0094508D"/>
    <w:rsid w:val="009506A7"/>
    <w:rsid w:val="00952603"/>
    <w:rsid w:val="00967230"/>
    <w:rsid w:val="00972C13"/>
    <w:rsid w:val="009812D7"/>
    <w:rsid w:val="009920CA"/>
    <w:rsid w:val="009A5714"/>
    <w:rsid w:val="009A5DA7"/>
    <w:rsid w:val="009B1AEC"/>
    <w:rsid w:val="009B6CFE"/>
    <w:rsid w:val="009C4BC4"/>
    <w:rsid w:val="009D1D57"/>
    <w:rsid w:val="009E2544"/>
    <w:rsid w:val="009E2770"/>
    <w:rsid w:val="009F2261"/>
    <w:rsid w:val="009F3537"/>
    <w:rsid w:val="00A25657"/>
    <w:rsid w:val="00A25BCC"/>
    <w:rsid w:val="00A329B6"/>
    <w:rsid w:val="00A367A1"/>
    <w:rsid w:val="00A47E7B"/>
    <w:rsid w:val="00A510F6"/>
    <w:rsid w:val="00A83829"/>
    <w:rsid w:val="00A903C4"/>
    <w:rsid w:val="00A95100"/>
    <w:rsid w:val="00AA615B"/>
    <w:rsid w:val="00AB6A57"/>
    <w:rsid w:val="00AC0C81"/>
    <w:rsid w:val="00AE668A"/>
    <w:rsid w:val="00AE6858"/>
    <w:rsid w:val="00AF5C62"/>
    <w:rsid w:val="00AF7270"/>
    <w:rsid w:val="00B00AA2"/>
    <w:rsid w:val="00B17BC5"/>
    <w:rsid w:val="00B2158C"/>
    <w:rsid w:val="00B24E57"/>
    <w:rsid w:val="00B3420E"/>
    <w:rsid w:val="00B5123E"/>
    <w:rsid w:val="00B522C4"/>
    <w:rsid w:val="00B52B0E"/>
    <w:rsid w:val="00B5337D"/>
    <w:rsid w:val="00B65290"/>
    <w:rsid w:val="00B70E26"/>
    <w:rsid w:val="00B91A95"/>
    <w:rsid w:val="00B97D95"/>
    <w:rsid w:val="00BA7E78"/>
    <w:rsid w:val="00BB0EA7"/>
    <w:rsid w:val="00BB59F9"/>
    <w:rsid w:val="00BC15B8"/>
    <w:rsid w:val="00BC5279"/>
    <w:rsid w:val="00BC6C4E"/>
    <w:rsid w:val="00BD58A7"/>
    <w:rsid w:val="00BE2AD3"/>
    <w:rsid w:val="00BE36F7"/>
    <w:rsid w:val="00BF2443"/>
    <w:rsid w:val="00C00A1C"/>
    <w:rsid w:val="00C03CD2"/>
    <w:rsid w:val="00C116A2"/>
    <w:rsid w:val="00C12201"/>
    <w:rsid w:val="00C1405A"/>
    <w:rsid w:val="00C25C12"/>
    <w:rsid w:val="00C50B1B"/>
    <w:rsid w:val="00C52801"/>
    <w:rsid w:val="00C6210F"/>
    <w:rsid w:val="00C745C6"/>
    <w:rsid w:val="00C908AB"/>
    <w:rsid w:val="00C964DE"/>
    <w:rsid w:val="00CA5790"/>
    <w:rsid w:val="00CA634C"/>
    <w:rsid w:val="00CF326B"/>
    <w:rsid w:val="00D0763E"/>
    <w:rsid w:val="00D24682"/>
    <w:rsid w:val="00D24F06"/>
    <w:rsid w:val="00D25AEF"/>
    <w:rsid w:val="00D349EE"/>
    <w:rsid w:val="00D56D47"/>
    <w:rsid w:val="00D70FB4"/>
    <w:rsid w:val="00D815C1"/>
    <w:rsid w:val="00D85C85"/>
    <w:rsid w:val="00D92F6C"/>
    <w:rsid w:val="00D95879"/>
    <w:rsid w:val="00D97A6B"/>
    <w:rsid w:val="00DA1C25"/>
    <w:rsid w:val="00DA2FA3"/>
    <w:rsid w:val="00DB751D"/>
    <w:rsid w:val="00DC679E"/>
    <w:rsid w:val="00DD0E98"/>
    <w:rsid w:val="00DE64DE"/>
    <w:rsid w:val="00DE7AB4"/>
    <w:rsid w:val="00DF3260"/>
    <w:rsid w:val="00DF4D86"/>
    <w:rsid w:val="00E01D84"/>
    <w:rsid w:val="00E137BB"/>
    <w:rsid w:val="00E2175B"/>
    <w:rsid w:val="00E3199C"/>
    <w:rsid w:val="00E63883"/>
    <w:rsid w:val="00E64988"/>
    <w:rsid w:val="00E64A38"/>
    <w:rsid w:val="00E756AC"/>
    <w:rsid w:val="00E8381A"/>
    <w:rsid w:val="00E846E2"/>
    <w:rsid w:val="00E87596"/>
    <w:rsid w:val="00E875C5"/>
    <w:rsid w:val="00E87794"/>
    <w:rsid w:val="00E96422"/>
    <w:rsid w:val="00EA5A59"/>
    <w:rsid w:val="00EB3D8F"/>
    <w:rsid w:val="00EF2CA6"/>
    <w:rsid w:val="00F117B1"/>
    <w:rsid w:val="00F134F9"/>
    <w:rsid w:val="00F15D18"/>
    <w:rsid w:val="00F24C62"/>
    <w:rsid w:val="00F34138"/>
    <w:rsid w:val="00F47FCE"/>
    <w:rsid w:val="00F501D2"/>
    <w:rsid w:val="00F5266F"/>
    <w:rsid w:val="00F56447"/>
    <w:rsid w:val="00F64055"/>
    <w:rsid w:val="00F710C6"/>
    <w:rsid w:val="00F917CB"/>
    <w:rsid w:val="0CEF2381"/>
    <w:rsid w:val="0DFC3C0C"/>
    <w:rsid w:val="132EF847"/>
    <w:rsid w:val="263247F6"/>
    <w:rsid w:val="2CACDD7B"/>
    <w:rsid w:val="4E6FE413"/>
    <w:rsid w:val="52A28B38"/>
    <w:rsid w:val="566CD363"/>
    <w:rsid w:val="58E9AC83"/>
    <w:rsid w:val="62516339"/>
    <w:rsid w:val="672361AE"/>
    <w:rsid w:val="6AB4D81C"/>
    <w:rsid w:val="6EEAFBA7"/>
    <w:rsid w:val="74BB4436"/>
    <w:rsid w:val="7B6C55D0"/>
    <w:rsid w:val="7CC740ED"/>
    <w:rsid w:val="7DE7A98C"/>
    <w:rsid w:val="7F7E44F5"/>
    <w:rsid w:val="7FC9EF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487C"/>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paragraph" w:styleId="Default" w:customStyle="1">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1" w:customStyle="1">
    <w:name w:val="Mención sin resolver1"/>
    <w:basedOn w:val="Fuentedeprrafopredeter"/>
    <w:uiPriority w:val="99"/>
    <w:semiHidden/>
    <w:unhideWhenUsed/>
    <w:rsid w:val="00BE2AD3"/>
    <w:rPr>
      <w:color w:val="605E5C"/>
      <w:shd w:val="clear" w:color="auto" w:fill="E1DFDD"/>
    </w:rPr>
  </w:style>
  <w:style w:type="character" w:styleId="Refdecomentario">
    <w:name w:val="annotation reference"/>
    <w:basedOn w:val="Fuentedeprrafopredeter"/>
    <w:uiPriority w:val="99"/>
    <w:semiHidden/>
    <w:unhideWhenUsed/>
    <w:rsid w:val="009C4BC4"/>
    <w:rPr>
      <w:sz w:val="16"/>
      <w:szCs w:val="16"/>
    </w:rPr>
  </w:style>
  <w:style w:type="paragraph" w:styleId="Textocomentario">
    <w:name w:val="annotation text"/>
    <w:basedOn w:val="Normal"/>
    <w:link w:val="TextocomentarioCar"/>
    <w:uiPriority w:val="99"/>
    <w:semiHidden/>
    <w:unhideWhenUsed/>
    <w:rsid w:val="009C4BC4"/>
    <w:rPr>
      <w:sz w:val="20"/>
      <w:szCs w:val="20"/>
    </w:rPr>
  </w:style>
  <w:style w:type="character" w:styleId="TextocomentarioCar" w:customStyle="1">
    <w:name w:val="Texto comentario Car"/>
    <w:basedOn w:val="Fuentedeprrafopredeter"/>
    <w:link w:val="Textocomentario"/>
    <w:uiPriority w:val="99"/>
    <w:semiHidden/>
    <w:rsid w:val="009C4BC4"/>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C4BC4"/>
    <w:rPr>
      <w:b/>
      <w:bCs/>
    </w:rPr>
  </w:style>
  <w:style w:type="character" w:styleId="AsuntodelcomentarioCar" w:customStyle="1">
    <w:name w:val="Asunto del comentario Car"/>
    <w:basedOn w:val="TextocomentarioCar"/>
    <w:link w:val="Asuntodelcomentario"/>
    <w:uiPriority w:val="99"/>
    <w:semiHidden/>
    <w:rsid w:val="009C4BC4"/>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f179a8519af24bbb" /></Relationships>
</file>

<file path=word/_rels/footer1.xml.rels>&#65279;<?xml version="1.0" encoding="utf-8"?><Relationships xmlns="http://schemas.openxmlformats.org/package/2006/relationships"><Relationship Type="http://schemas.openxmlformats.org/officeDocument/2006/relationships/image" Target="/media/image5.png" Id="R8d1accac2cdc4a01" /></Relationships>
</file>

<file path=word/_rels/footnotes.xml.rels><?xml version="1.0" encoding="UTF-8" standalone="yes"?>
<Relationships xmlns="http://schemas.openxmlformats.org/package/2006/relationships"><Relationship Id="rId3" Type="http://schemas.openxmlformats.org/officeDocument/2006/relationships/hyperlink" Target="https://bibliotecadigital.ccb.org.co/bitstream/handle/11520/8346/el%20abc%20de%20esales%202013%20completo.pdf?sequence=1&amp;isAllowed=y" TargetMode="External"/><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BC3C6AC-F84C-47F5-8880-D70F4EA57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Nina María Padrón</lastModifiedBy>
  <revision>19</revision>
  <lastPrinted>2020-03-17T17:42:00.0000000Z</lastPrinted>
  <dcterms:created xsi:type="dcterms:W3CDTF">2020-04-17T18:23:00.0000000Z</dcterms:created>
  <dcterms:modified xsi:type="dcterms:W3CDTF">2020-07-24T01:04:01.2020065Z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