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C01BE9" w:rsidRDefault="00B55C69" w:rsidP="008536BB">
      <w:pPr>
        <w:jc w:val="right"/>
        <w:rPr>
          <w:rFonts w:ascii="Arial" w:eastAsia="Calibri" w:hAnsi="Arial" w:cs="Arial"/>
          <w:b/>
          <w:sz w:val="20"/>
          <w:szCs w:val="20"/>
          <w:lang w:val="es-ES_tradnl"/>
        </w:rPr>
      </w:pPr>
      <w:bookmarkStart w:id="0" w:name="_Hlk28946138"/>
      <w:bookmarkStart w:id="1" w:name="_Hlk29548183"/>
      <w:r w:rsidRPr="00C01BE9">
        <w:rPr>
          <w:rFonts w:ascii="Arial" w:hAnsi="Arial" w:cs="Arial"/>
          <w:bCs/>
          <w:sz w:val="16"/>
          <w:szCs w:val="16"/>
          <w:lang w:val="es-ES_tradnl" w:eastAsia="es-ES"/>
        </w:rPr>
        <w:t>CCE-DES-FM-17</w:t>
      </w:r>
      <w:bookmarkEnd w:id="0"/>
      <w:bookmarkEnd w:id="1"/>
    </w:p>
    <w:p w14:paraId="153DCCCC" w14:textId="77777777" w:rsidR="00DB5767" w:rsidRPr="00C01BE9" w:rsidRDefault="00DB5767" w:rsidP="00C978D4">
      <w:pPr>
        <w:jc w:val="both"/>
        <w:rPr>
          <w:rFonts w:ascii="Arial" w:hAnsi="Arial" w:cs="Arial"/>
          <w:noProof/>
          <w:sz w:val="22"/>
          <w:lang w:val="es-ES_tradnl"/>
        </w:rPr>
      </w:pPr>
    </w:p>
    <w:p w14:paraId="064D80D9" w14:textId="77777777" w:rsidR="002412BC" w:rsidRPr="00C01BE9" w:rsidRDefault="002412BC" w:rsidP="00631DCA">
      <w:pPr>
        <w:jc w:val="both"/>
        <w:rPr>
          <w:rFonts w:ascii="Arial" w:eastAsia="Calibri" w:hAnsi="Arial" w:cs="Arial"/>
          <w:b/>
          <w:sz w:val="22"/>
          <w:lang w:val="es-ES_tradnl"/>
        </w:rPr>
      </w:pPr>
    </w:p>
    <w:p w14:paraId="6800B5BA" w14:textId="77777777" w:rsidR="00B01966" w:rsidRPr="006162DC" w:rsidRDefault="00B01966" w:rsidP="00B01966">
      <w:pPr>
        <w:jc w:val="both"/>
        <w:rPr>
          <w:rFonts w:ascii="Arial" w:eastAsia="Calibri" w:hAnsi="Arial" w:cs="Arial"/>
          <w:b/>
          <w:sz w:val="22"/>
          <w:lang w:val="es-ES_tradnl"/>
        </w:rPr>
      </w:pPr>
      <w:r w:rsidRPr="006162DC">
        <w:rPr>
          <w:rFonts w:ascii="Arial" w:eastAsia="Calibri" w:hAnsi="Arial" w:cs="Arial"/>
          <w:b/>
          <w:sz w:val="22"/>
          <w:lang w:val="es-ES_tradnl"/>
        </w:rPr>
        <w:t>DOCUMENTOS TIPO – Fundamento normativo – Ley 2022 de 2020</w:t>
      </w:r>
    </w:p>
    <w:p w14:paraId="7E489DEC" w14:textId="77777777" w:rsidR="00B01966" w:rsidRPr="006162DC" w:rsidRDefault="00B01966" w:rsidP="00B01966">
      <w:pPr>
        <w:jc w:val="both"/>
        <w:rPr>
          <w:rFonts w:ascii="Arial" w:eastAsia="Calibri" w:hAnsi="Arial" w:cs="Arial"/>
          <w:b/>
          <w:sz w:val="22"/>
          <w:lang w:val="es-ES_tradnl"/>
        </w:rPr>
      </w:pPr>
    </w:p>
    <w:p w14:paraId="00475DBA" w14:textId="563C842D" w:rsidR="00557141" w:rsidRPr="006162DC" w:rsidRDefault="00557141" w:rsidP="00557141">
      <w:pPr>
        <w:jc w:val="both"/>
        <w:rPr>
          <w:rFonts w:ascii="Arial" w:eastAsia="Calibri" w:hAnsi="Arial" w:cs="Arial"/>
          <w:sz w:val="20"/>
          <w:szCs w:val="20"/>
          <w:lang w:val="es-ES_tradnl"/>
        </w:rPr>
      </w:pPr>
      <w:r w:rsidRPr="006162DC">
        <w:rPr>
          <w:rFonts w:ascii="Arial" w:eastAsia="Calibri" w:hAnsi="Arial" w:cs="Arial"/>
          <w:sz w:val="20"/>
          <w:szCs w:val="20"/>
          <w:lang w:val="es-ES_tradnl"/>
        </w:rPr>
        <w:t xml:space="preserve">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Agencia Nacional de Contratación Pública – Colombia Compra Eficiente la competencia para su expedición. 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ED33E7E" w14:textId="77777777" w:rsidR="00B01966" w:rsidRPr="006162DC" w:rsidRDefault="00B01966" w:rsidP="00B01966">
      <w:pPr>
        <w:jc w:val="both"/>
        <w:rPr>
          <w:rFonts w:ascii="Arial" w:eastAsia="Calibri" w:hAnsi="Arial" w:cs="Arial"/>
          <w:sz w:val="20"/>
          <w:szCs w:val="20"/>
          <w:lang w:val="es-ES_tradnl"/>
        </w:rPr>
      </w:pPr>
    </w:p>
    <w:p w14:paraId="591127C3" w14:textId="77777777" w:rsidR="00B01966" w:rsidRPr="006162DC" w:rsidRDefault="00B01966" w:rsidP="00B01966">
      <w:pPr>
        <w:jc w:val="both"/>
        <w:rPr>
          <w:rFonts w:ascii="Arial" w:eastAsia="Calibri" w:hAnsi="Arial" w:cs="Arial"/>
          <w:sz w:val="20"/>
          <w:szCs w:val="20"/>
          <w:lang w:val="es-ES_tradnl"/>
        </w:rPr>
      </w:pPr>
      <w:r w:rsidRPr="006162DC">
        <w:rPr>
          <w:rFonts w:ascii="Arial" w:eastAsia="Calibri" w:hAnsi="Arial" w:cs="Arial"/>
          <w:b/>
          <w:sz w:val="22"/>
          <w:lang w:val="es-ES_tradnl"/>
        </w:rPr>
        <w:t>DOCUMENTOS TIPO – Ámbito de aplicación</w:t>
      </w:r>
    </w:p>
    <w:p w14:paraId="022F4254" w14:textId="77777777" w:rsidR="00B01966" w:rsidRPr="006162DC" w:rsidRDefault="00B01966" w:rsidP="00B01966">
      <w:pPr>
        <w:jc w:val="both"/>
        <w:rPr>
          <w:rFonts w:ascii="Arial" w:eastAsia="Calibri" w:hAnsi="Arial" w:cs="Arial"/>
          <w:sz w:val="20"/>
          <w:szCs w:val="20"/>
          <w:lang w:val="es-ES_tradnl"/>
        </w:rPr>
      </w:pPr>
    </w:p>
    <w:p w14:paraId="65DD4CED" w14:textId="068E17C8" w:rsidR="00B01966" w:rsidRPr="006162DC" w:rsidRDefault="00B01966" w:rsidP="00B01966">
      <w:pPr>
        <w:jc w:val="both"/>
        <w:rPr>
          <w:rFonts w:ascii="Arial" w:eastAsia="Calibri" w:hAnsi="Arial" w:cs="Arial"/>
          <w:sz w:val="20"/>
          <w:szCs w:val="20"/>
          <w:lang w:val="es-ES_tradnl"/>
        </w:rPr>
      </w:pPr>
      <w:r w:rsidRPr="006162DC">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3B7E2610" w14:textId="77777777" w:rsidR="00B01966" w:rsidRPr="006162DC" w:rsidRDefault="00B01966" w:rsidP="00B01966">
      <w:pPr>
        <w:spacing w:line="276" w:lineRule="auto"/>
        <w:jc w:val="both"/>
        <w:rPr>
          <w:rFonts w:ascii="Arial" w:hAnsi="Arial" w:cs="Arial"/>
          <w:noProof/>
          <w:sz w:val="22"/>
          <w:lang w:val="es-ES_tradnl"/>
        </w:rPr>
      </w:pPr>
    </w:p>
    <w:p w14:paraId="66710256" w14:textId="5149E0A3" w:rsidR="00B01966" w:rsidRPr="006162DC" w:rsidRDefault="00B01966" w:rsidP="00B01966">
      <w:pPr>
        <w:tabs>
          <w:tab w:val="left" w:pos="0"/>
        </w:tabs>
        <w:spacing w:after="120" w:line="276" w:lineRule="auto"/>
        <w:jc w:val="both"/>
        <w:rPr>
          <w:rFonts w:ascii="Arial" w:eastAsia="Calibri" w:hAnsi="Arial" w:cs="Arial"/>
          <w:bCs/>
          <w:sz w:val="22"/>
          <w:lang w:val="es-ES_tradnl"/>
        </w:rPr>
      </w:pPr>
      <w:r w:rsidRPr="006162DC">
        <w:rPr>
          <w:rFonts w:ascii="Arial" w:eastAsia="Calibri" w:hAnsi="Arial" w:cs="Arial"/>
          <w:b/>
          <w:sz w:val="22"/>
          <w:lang w:val="es-ES_tradnl"/>
        </w:rPr>
        <w:t xml:space="preserve">LEY 2195 DE 2022 – Artículo 56 – Parágrafo – Excepciones </w:t>
      </w:r>
      <w:r w:rsidR="009A5389" w:rsidRPr="006162DC">
        <w:rPr>
          <w:rFonts w:ascii="Arial" w:eastAsia="Calibri" w:hAnsi="Arial" w:cs="Arial"/>
          <w:b/>
          <w:sz w:val="22"/>
          <w:lang w:val="es-ES_tradnl"/>
        </w:rPr>
        <w:t>– Giro ordinario</w:t>
      </w:r>
    </w:p>
    <w:p w14:paraId="25EE160B" w14:textId="77777777" w:rsidR="009A5389" w:rsidRPr="006162DC" w:rsidRDefault="009A5389" w:rsidP="009A5389">
      <w:pPr>
        <w:jc w:val="both"/>
        <w:rPr>
          <w:rFonts w:ascii="Arial" w:eastAsia="Calibri" w:hAnsi="Arial" w:cs="Arial"/>
          <w:bCs/>
          <w:sz w:val="20"/>
          <w:szCs w:val="22"/>
          <w:lang w:val="es-ES_tradnl"/>
        </w:rPr>
      </w:pPr>
      <w:r w:rsidRPr="006162DC">
        <w:rPr>
          <w:rFonts w:ascii="Arial" w:eastAsia="Calibri" w:hAnsi="Arial" w:cs="Arial"/>
          <w:bCs/>
          <w:sz w:val="20"/>
          <w:szCs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6162DC">
        <w:rPr>
          <w:rFonts w:ascii="Arial" w:eastAsia="Calibri" w:hAnsi="Arial" w:cs="Arial"/>
          <w:bCs/>
          <w:i/>
          <w:iCs/>
          <w:sz w:val="20"/>
          <w:szCs w:val="22"/>
          <w:lang w:val="es-ES_tradnl"/>
        </w:rPr>
        <w:t>giro ordinario</w:t>
      </w:r>
      <w:r w:rsidRPr="006162DC">
        <w:rPr>
          <w:rFonts w:ascii="Arial" w:eastAsia="Calibri" w:hAnsi="Arial" w:cs="Arial"/>
          <w:bCs/>
          <w:sz w:val="20"/>
          <w:szCs w:val="22"/>
          <w:lang w:val="es-ES_tradnl"/>
        </w:rPr>
        <w:t xml:space="preserve">. Conforme se desprende del texto del referido parágrafo, se exceptúa de lo señalado en los dos primeros incisos a: i) las instituciones de educación superior públicas, ii) las empresas sociales del Estado, </w:t>
      </w:r>
      <w:proofErr w:type="spellStart"/>
      <w:r w:rsidRPr="006162DC">
        <w:rPr>
          <w:rFonts w:ascii="Arial" w:eastAsia="Calibri" w:hAnsi="Arial" w:cs="Arial"/>
          <w:bCs/>
          <w:sz w:val="20"/>
          <w:szCs w:val="22"/>
          <w:lang w:val="es-ES_tradnl"/>
        </w:rPr>
        <w:t>iii</w:t>
      </w:r>
      <w:proofErr w:type="spellEnd"/>
      <w:r w:rsidRPr="006162DC">
        <w:rPr>
          <w:rFonts w:ascii="Arial" w:eastAsia="Calibri" w:hAnsi="Arial" w:cs="Arial"/>
          <w:bCs/>
          <w:sz w:val="20"/>
          <w:szCs w:val="22"/>
          <w:lang w:val="es-ES_tradnl"/>
        </w:rPr>
        <w:t xml:space="preserve">) las sociedades de economía mixta y iv) las empresas industriales y comerciales del Estado, únicamente, en la contratación relacionada con el </w:t>
      </w:r>
      <w:r w:rsidRPr="006162DC">
        <w:rPr>
          <w:rFonts w:ascii="Arial" w:eastAsia="Calibri" w:hAnsi="Arial" w:cs="Arial"/>
          <w:bCs/>
          <w:i/>
          <w:iCs/>
          <w:sz w:val="20"/>
          <w:szCs w:val="22"/>
          <w:lang w:val="es-ES_tradnl"/>
        </w:rPr>
        <w:t>giro ordinario.</w:t>
      </w:r>
      <w:r w:rsidRPr="006162DC">
        <w:rPr>
          <w:rFonts w:ascii="Arial" w:eastAsia="Calibri" w:hAnsi="Arial" w:cs="Arial"/>
          <w:bCs/>
          <w:sz w:val="20"/>
          <w:szCs w:val="22"/>
          <w:lang w:val="es-ES_tradnl"/>
        </w:rPr>
        <w:t xml:space="preserve"> Esto significa que en la contratación asociada a su </w:t>
      </w:r>
      <w:r w:rsidRPr="006162DC">
        <w:rPr>
          <w:rFonts w:ascii="Arial" w:eastAsia="Calibri" w:hAnsi="Arial" w:cs="Arial"/>
          <w:bCs/>
          <w:i/>
          <w:iCs/>
          <w:sz w:val="20"/>
          <w:szCs w:val="22"/>
          <w:lang w:val="es-ES_tradnl"/>
        </w:rPr>
        <w:t xml:space="preserve">giro ordinario, </w:t>
      </w:r>
      <w:r w:rsidRPr="006162DC">
        <w:rPr>
          <w:rFonts w:ascii="Arial" w:eastAsia="Calibri" w:hAnsi="Arial" w:cs="Arial"/>
          <w:bCs/>
          <w:sz w:val="20"/>
          <w:szCs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3BA0F20" w14:textId="77777777" w:rsidR="00B01966" w:rsidRPr="006162DC" w:rsidRDefault="00B01966" w:rsidP="00B01966">
      <w:pPr>
        <w:spacing w:line="276" w:lineRule="auto"/>
        <w:jc w:val="both"/>
        <w:rPr>
          <w:rFonts w:ascii="Arial" w:hAnsi="Arial" w:cs="Arial"/>
          <w:noProof/>
          <w:sz w:val="22"/>
          <w:lang w:val="es-ES_tradnl"/>
        </w:rPr>
      </w:pPr>
    </w:p>
    <w:p w14:paraId="3EA3C93F" w14:textId="45D2C1E2" w:rsidR="00EA6384" w:rsidRPr="006162DC" w:rsidRDefault="00D32CA7" w:rsidP="00CC6CDE">
      <w:pPr>
        <w:jc w:val="both"/>
        <w:rPr>
          <w:rFonts w:ascii="Arial" w:eastAsia="Calibri" w:hAnsi="Arial" w:cs="Arial"/>
          <w:b/>
          <w:sz w:val="22"/>
          <w:lang w:val="es-ES_tradnl"/>
        </w:rPr>
      </w:pPr>
      <w:r w:rsidRPr="006162DC">
        <w:rPr>
          <w:rFonts w:ascii="Arial" w:eastAsia="Calibri" w:hAnsi="Arial" w:cs="Arial"/>
          <w:b/>
          <w:sz w:val="22"/>
          <w:lang w:val="es-ES_tradnl"/>
        </w:rPr>
        <w:t xml:space="preserve">LEY 2195 DE 2022 – Artículo 56 – </w:t>
      </w:r>
      <w:r w:rsidR="00B952CF" w:rsidRPr="006162DC">
        <w:rPr>
          <w:rFonts w:ascii="Arial" w:eastAsia="Calibri" w:hAnsi="Arial" w:cs="Arial"/>
          <w:b/>
          <w:sz w:val="22"/>
          <w:lang w:val="es-ES_tradnl"/>
        </w:rPr>
        <w:t xml:space="preserve">Aplicación – Documentos tipo </w:t>
      </w:r>
    </w:p>
    <w:p w14:paraId="4164E6B3" w14:textId="56F33492" w:rsidR="00B952CF" w:rsidRPr="006162DC" w:rsidRDefault="00B952CF" w:rsidP="00CC6CDE">
      <w:pPr>
        <w:jc w:val="both"/>
        <w:rPr>
          <w:rFonts w:ascii="Arial" w:eastAsia="Calibri" w:hAnsi="Arial" w:cs="Arial"/>
          <w:b/>
          <w:sz w:val="22"/>
          <w:lang w:val="es-ES_tradnl"/>
        </w:rPr>
      </w:pPr>
    </w:p>
    <w:p w14:paraId="03D8CC90" w14:textId="77777777" w:rsidR="00B952CF" w:rsidRPr="00D50388" w:rsidRDefault="00B952CF" w:rsidP="006162DC">
      <w:pPr>
        <w:widowControl w:val="0"/>
        <w:autoSpaceDE w:val="0"/>
        <w:autoSpaceDN w:val="0"/>
        <w:spacing w:before="120"/>
        <w:jc w:val="both"/>
        <w:rPr>
          <w:rFonts w:ascii="Arial" w:hAnsi="Arial" w:cs="Arial"/>
          <w:bCs/>
          <w:sz w:val="20"/>
          <w:szCs w:val="20"/>
          <w:shd w:val="clear" w:color="auto" w:fill="FFFFFF"/>
          <w:lang w:val="es-ES_tradnl"/>
        </w:rPr>
      </w:pPr>
      <w:r w:rsidRPr="00D50388">
        <w:rPr>
          <w:rFonts w:ascii="Arial" w:hAnsi="Arial" w:cs="Arial"/>
          <w:sz w:val="20"/>
          <w:szCs w:val="20"/>
          <w:shd w:val="clear" w:color="auto" w:fill="FFFFFF"/>
          <w:lang w:val="es-ES_tradnl"/>
        </w:rPr>
        <w:t xml:space="preserve">De conformidad con lo expuesto, en virtud de lo establecido en el parágrafo 7 del artículo 2 de la Ley 1150 de 2007, modificado por la Ley 2022 de 2020, las entidades estatales sujetas por el Estatuto General de Contratación de la Administración Pública están obligadas a aplicar los documentos tipo </w:t>
      </w:r>
      <w:r w:rsidRPr="00D50388">
        <w:rPr>
          <w:rFonts w:ascii="Arial" w:hAnsi="Arial" w:cs="Arial"/>
          <w:sz w:val="20"/>
          <w:szCs w:val="20"/>
          <w:shd w:val="clear" w:color="auto" w:fill="FFFFFF"/>
          <w:lang w:val="es-ES_tradnl"/>
        </w:rPr>
        <w:lastRenderedPageBreak/>
        <w:t xml:space="preserve">en los procedimientos y contratos que adelanten en aplicación de dicha normativa. Adicionalmente, </w:t>
      </w:r>
      <w:r w:rsidRPr="00D50388">
        <w:rPr>
          <w:rFonts w:ascii="Arial" w:hAnsi="Arial" w:cs="Arial"/>
          <w:bCs/>
          <w:sz w:val="20"/>
          <w:szCs w:val="20"/>
          <w:shd w:val="clear" w:color="auto" w:fill="FFFFFF"/>
          <w:lang w:val="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w:t>
      </w:r>
      <w:proofErr w:type="spellStart"/>
      <w:r w:rsidRPr="00D50388">
        <w:rPr>
          <w:rFonts w:ascii="Arial" w:hAnsi="Arial" w:cs="Arial"/>
          <w:bCs/>
          <w:sz w:val="20"/>
          <w:szCs w:val="20"/>
          <w:shd w:val="clear" w:color="auto" w:fill="FFFFFF"/>
          <w:lang w:val="es-ES_tradnl"/>
        </w:rPr>
        <w:t>iii</w:t>
      </w:r>
      <w:proofErr w:type="spellEnd"/>
      <w:r w:rsidRPr="00D50388">
        <w:rPr>
          <w:rFonts w:ascii="Arial" w:hAnsi="Arial" w:cs="Arial"/>
          <w:bCs/>
          <w:sz w:val="20"/>
          <w:szCs w:val="20"/>
          <w:shd w:val="clear" w:color="auto" w:fill="FFFFFF"/>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2F2C6849" w14:textId="77777777" w:rsidR="00B952CF" w:rsidRPr="00D50388" w:rsidRDefault="00B952CF" w:rsidP="006162DC">
      <w:pPr>
        <w:widowControl w:val="0"/>
        <w:autoSpaceDE w:val="0"/>
        <w:autoSpaceDN w:val="0"/>
        <w:spacing w:before="120"/>
        <w:jc w:val="both"/>
        <w:rPr>
          <w:rFonts w:ascii="Arial" w:hAnsi="Arial" w:cs="Arial"/>
          <w:sz w:val="20"/>
          <w:szCs w:val="20"/>
          <w:shd w:val="clear" w:color="auto" w:fill="FFFFFF"/>
          <w:lang w:val="es-ES_tradnl"/>
        </w:rPr>
      </w:pPr>
      <w:r w:rsidRPr="00D50388">
        <w:rPr>
          <w:rFonts w:ascii="Arial" w:hAnsi="Arial" w:cs="Arial"/>
          <w:sz w:val="20"/>
          <w:szCs w:val="20"/>
          <w:shd w:val="clear" w:color="auto" w:fill="FFFFFF"/>
          <w:lang w:val="es-ES_tradnl"/>
        </w:rPr>
        <w:t xml:space="preserve">Sin embargo,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una entidad sometida al Estatuto General, debe contratar una obra o servicio cobijado por algún documento tipo, estará obligada a hacerlo aplicando los mencionados documentos tipo, además de adelantar el proceso de contratación y celebrar el contrato conforme al Estatuto General de Contratación de la Administración Pública, </w:t>
      </w:r>
      <w:r w:rsidRPr="00D50388">
        <w:rPr>
          <w:rFonts w:ascii="Arial" w:hAnsi="Arial" w:cs="Arial"/>
          <w:sz w:val="20"/>
          <w:szCs w:val="20"/>
          <w:shd w:val="clear" w:color="auto" w:fill="FFFFFF"/>
          <w:lang w:val="es-ES"/>
        </w:rPr>
        <w:t>todo lo anterior, siempre que exista un documento tipo aplicable al objeto a contratar.</w:t>
      </w:r>
    </w:p>
    <w:p w14:paraId="4B34B32F" w14:textId="77777777" w:rsidR="00B952CF" w:rsidRPr="00C01BE9" w:rsidRDefault="00B952CF" w:rsidP="00CC6CDE">
      <w:pPr>
        <w:jc w:val="both"/>
        <w:rPr>
          <w:rFonts w:ascii="Arial" w:hAnsi="Arial" w:cs="Arial"/>
          <w:b/>
          <w:sz w:val="22"/>
          <w:lang w:val="es-ES_tradnl"/>
        </w:rPr>
      </w:pPr>
    </w:p>
    <w:p w14:paraId="522D04E3" w14:textId="77777777" w:rsidR="00EA6384" w:rsidRPr="00C01BE9" w:rsidRDefault="00EA6384" w:rsidP="00B95C30">
      <w:pPr>
        <w:jc w:val="both"/>
        <w:rPr>
          <w:rFonts w:ascii="Arial" w:hAnsi="Arial" w:cs="Arial"/>
          <w:b/>
          <w:sz w:val="22"/>
          <w:lang w:val="es-ES_tradnl"/>
        </w:rPr>
      </w:pPr>
    </w:p>
    <w:p w14:paraId="4FC3C569" w14:textId="77777777" w:rsidR="00EA6384" w:rsidRPr="00C01BE9" w:rsidRDefault="00EA6384" w:rsidP="00B95C30">
      <w:pPr>
        <w:jc w:val="both"/>
        <w:rPr>
          <w:rFonts w:ascii="Arial" w:hAnsi="Arial" w:cs="Arial"/>
          <w:b/>
          <w:sz w:val="22"/>
          <w:lang w:val="es-ES_tradnl"/>
        </w:rPr>
      </w:pPr>
    </w:p>
    <w:p w14:paraId="2D753C22" w14:textId="77777777" w:rsidR="00EA6384" w:rsidRPr="00C01BE9" w:rsidRDefault="00EA6384" w:rsidP="00B95C30">
      <w:pPr>
        <w:jc w:val="both"/>
        <w:rPr>
          <w:rFonts w:ascii="Arial" w:hAnsi="Arial" w:cs="Arial"/>
          <w:b/>
          <w:sz w:val="22"/>
          <w:lang w:val="es-ES_tradnl"/>
        </w:rPr>
      </w:pPr>
    </w:p>
    <w:p w14:paraId="0EBCF602" w14:textId="77777777" w:rsidR="00EA6384" w:rsidRPr="00C01BE9" w:rsidRDefault="00EA6384" w:rsidP="00B95C30">
      <w:pPr>
        <w:jc w:val="both"/>
        <w:rPr>
          <w:rFonts w:ascii="Arial" w:hAnsi="Arial" w:cs="Arial"/>
          <w:b/>
          <w:sz w:val="22"/>
          <w:lang w:val="es-ES_tradnl"/>
        </w:rPr>
      </w:pPr>
    </w:p>
    <w:p w14:paraId="3853AA2C" w14:textId="77777777" w:rsidR="00EA6384" w:rsidRPr="00C01BE9" w:rsidRDefault="00EA6384" w:rsidP="00B95C30">
      <w:pPr>
        <w:jc w:val="both"/>
        <w:rPr>
          <w:rFonts w:ascii="Arial" w:hAnsi="Arial" w:cs="Arial"/>
          <w:b/>
          <w:sz w:val="22"/>
          <w:lang w:val="es-ES_tradnl"/>
        </w:rPr>
      </w:pPr>
    </w:p>
    <w:p w14:paraId="49CF5DB7" w14:textId="77777777" w:rsidR="004A1E16" w:rsidRPr="00C01BE9" w:rsidRDefault="004A1E16" w:rsidP="00B95C30">
      <w:pPr>
        <w:jc w:val="both"/>
        <w:rPr>
          <w:rFonts w:ascii="Arial" w:hAnsi="Arial" w:cs="Arial"/>
          <w:bCs/>
          <w:sz w:val="22"/>
          <w:lang w:val="es-ES_tradnl"/>
        </w:rPr>
      </w:pPr>
    </w:p>
    <w:p w14:paraId="7D6BF6A9" w14:textId="77777777" w:rsidR="006A574E" w:rsidRPr="00C01BE9" w:rsidRDefault="006A574E" w:rsidP="00B95C30">
      <w:pPr>
        <w:jc w:val="both"/>
        <w:rPr>
          <w:rFonts w:ascii="Arial" w:hAnsi="Arial" w:cs="Arial"/>
          <w:bCs/>
          <w:sz w:val="22"/>
          <w:lang w:val="es-ES_tradnl"/>
        </w:rPr>
      </w:pPr>
    </w:p>
    <w:p w14:paraId="5E17EB1B" w14:textId="77777777" w:rsidR="006A574E" w:rsidRPr="00C01BE9" w:rsidRDefault="006A574E" w:rsidP="00B95C30">
      <w:pPr>
        <w:jc w:val="both"/>
        <w:rPr>
          <w:rFonts w:ascii="Arial" w:hAnsi="Arial" w:cs="Arial"/>
          <w:bCs/>
          <w:sz w:val="22"/>
          <w:lang w:val="es-ES_tradnl"/>
        </w:rPr>
      </w:pPr>
    </w:p>
    <w:p w14:paraId="04873B22" w14:textId="3A8C2B0D" w:rsidR="00E91D95" w:rsidRDefault="00E91D95" w:rsidP="00B95C30">
      <w:pPr>
        <w:jc w:val="both"/>
        <w:rPr>
          <w:rFonts w:ascii="Arial" w:hAnsi="Arial" w:cs="Arial"/>
          <w:bCs/>
          <w:sz w:val="22"/>
          <w:lang w:val="es-ES_tradnl"/>
        </w:rPr>
      </w:pPr>
      <w:bookmarkStart w:id="2" w:name="_Hlk94281581"/>
    </w:p>
    <w:p w14:paraId="2E5C60A0" w14:textId="782E17CE" w:rsidR="00B952CF" w:rsidRDefault="00B952CF" w:rsidP="00B95C30">
      <w:pPr>
        <w:jc w:val="both"/>
        <w:rPr>
          <w:rFonts w:ascii="Arial" w:hAnsi="Arial" w:cs="Arial"/>
          <w:bCs/>
          <w:sz w:val="22"/>
          <w:lang w:val="es-ES_tradnl"/>
        </w:rPr>
      </w:pPr>
    </w:p>
    <w:p w14:paraId="1B543B64" w14:textId="77777777" w:rsidR="00B952CF" w:rsidRDefault="00B952CF" w:rsidP="00B95C30">
      <w:pPr>
        <w:jc w:val="both"/>
        <w:rPr>
          <w:rFonts w:ascii="Arial" w:eastAsia="Calibri" w:hAnsi="Arial" w:cs="Arial"/>
          <w:sz w:val="22"/>
          <w:szCs w:val="22"/>
          <w:lang w:val="es-ES_tradnl"/>
        </w:rPr>
      </w:pPr>
    </w:p>
    <w:p w14:paraId="6407DC8E" w14:textId="04F24369" w:rsidR="00F86CE0" w:rsidRDefault="00F86CE0" w:rsidP="00B95C30">
      <w:pPr>
        <w:jc w:val="both"/>
        <w:rPr>
          <w:rFonts w:ascii="Arial" w:eastAsia="Calibri" w:hAnsi="Arial" w:cs="Arial"/>
          <w:sz w:val="22"/>
          <w:szCs w:val="22"/>
          <w:lang w:val="es-ES_tradnl"/>
        </w:rPr>
      </w:pPr>
    </w:p>
    <w:p w14:paraId="5D10B34A" w14:textId="64BAF4CC" w:rsidR="001238B7" w:rsidRDefault="001238B7" w:rsidP="00B95C30">
      <w:pPr>
        <w:jc w:val="both"/>
        <w:rPr>
          <w:rFonts w:ascii="Arial" w:eastAsia="Calibri" w:hAnsi="Arial" w:cs="Arial"/>
          <w:sz w:val="22"/>
          <w:szCs w:val="22"/>
          <w:lang w:val="es-ES_tradnl"/>
        </w:rPr>
      </w:pPr>
    </w:p>
    <w:p w14:paraId="734E2AEB" w14:textId="18D18065" w:rsidR="001238B7" w:rsidRDefault="001238B7" w:rsidP="00B95C30">
      <w:pPr>
        <w:jc w:val="both"/>
        <w:rPr>
          <w:rFonts w:ascii="Arial" w:eastAsia="Calibri" w:hAnsi="Arial" w:cs="Arial"/>
          <w:sz w:val="22"/>
          <w:szCs w:val="22"/>
          <w:lang w:val="es-ES_tradnl"/>
        </w:rPr>
      </w:pPr>
    </w:p>
    <w:p w14:paraId="38376275" w14:textId="3FC8EC15" w:rsidR="001238B7" w:rsidRDefault="001238B7" w:rsidP="00B95C30">
      <w:pPr>
        <w:jc w:val="both"/>
        <w:rPr>
          <w:rFonts w:ascii="Arial" w:eastAsia="Calibri" w:hAnsi="Arial" w:cs="Arial"/>
          <w:sz w:val="22"/>
          <w:szCs w:val="22"/>
          <w:lang w:val="es-ES_tradnl"/>
        </w:rPr>
      </w:pPr>
    </w:p>
    <w:p w14:paraId="1A15C9B5" w14:textId="50E7E3B1" w:rsidR="001238B7" w:rsidRDefault="001238B7" w:rsidP="00B95C30">
      <w:pPr>
        <w:jc w:val="both"/>
        <w:rPr>
          <w:rFonts w:ascii="Arial" w:eastAsia="Calibri" w:hAnsi="Arial" w:cs="Arial"/>
          <w:sz w:val="22"/>
          <w:szCs w:val="22"/>
          <w:lang w:val="es-ES_tradnl"/>
        </w:rPr>
      </w:pPr>
    </w:p>
    <w:p w14:paraId="6B16ED51" w14:textId="699B2B78" w:rsidR="001238B7" w:rsidRDefault="001238B7" w:rsidP="00B95C30">
      <w:pPr>
        <w:jc w:val="both"/>
        <w:rPr>
          <w:rFonts w:ascii="Arial" w:eastAsia="Calibri" w:hAnsi="Arial" w:cs="Arial"/>
          <w:sz w:val="22"/>
          <w:szCs w:val="22"/>
          <w:lang w:val="es-ES_tradnl"/>
        </w:rPr>
      </w:pPr>
    </w:p>
    <w:p w14:paraId="00DF7BEE" w14:textId="18A20B11" w:rsidR="001238B7" w:rsidRDefault="001238B7" w:rsidP="00B95C30">
      <w:pPr>
        <w:jc w:val="both"/>
        <w:rPr>
          <w:rFonts w:ascii="Arial" w:eastAsia="Calibri" w:hAnsi="Arial" w:cs="Arial"/>
          <w:sz w:val="22"/>
          <w:szCs w:val="22"/>
          <w:lang w:val="es-ES_tradnl"/>
        </w:rPr>
      </w:pPr>
    </w:p>
    <w:p w14:paraId="1B8F4819" w14:textId="62CD998B" w:rsidR="001238B7" w:rsidRDefault="001238B7" w:rsidP="00B95C30">
      <w:pPr>
        <w:jc w:val="both"/>
        <w:rPr>
          <w:rFonts w:ascii="Arial" w:eastAsia="Calibri" w:hAnsi="Arial" w:cs="Arial"/>
          <w:sz w:val="22"/>
          <w:szCs w:val="22"/>
          <w:lang w:val="es-ES_tradnl"/>
        </w:rPr>
      </w:pPr>
    </w:p>
    <w:p w14:paraId="0488635F" w14:textId="7F58E4A9" w:rsidR="001238B7" w:rsidRDefault="001238B7" w:rsidP="00B95C30">
      <w:pPr>
        <w:jc w:val="both"/>
        <w:rPr>
          <w:rFonts w:ascii="Arial" w:eastAsia="Calibri" w:hAnsi="Arial" w:cs="Arial"/>
          <w:sz w:val="22"/>
          <w:szCs w:val="22"/>
          <w:lang w:val="es-ES_tradnl"/>
        </w:rPr>
      </w:pPr>
    </w:p>
    <w:p w14:paraId="10492D98" w14:textId="77777777" w:rsidR="001238B7" w:rsidRDefault="001238B7" w:rsidP="00B95C30">
      <w:pPr>
        <w:jc w:val="both"/>
        <w:rPr>
          <w:rFonts w:ascii="Arial" w:eastAsia="Calibri" w:hAnsi="Arial" w:cs="Arial"/>
          <w:sz w:val="22"/>
          <w:szCs w:val="22"/>
          <w:lang w:val="es-ES_tradnl"/>
        </w:rPr>
      </w:pPr>
    </w:p>
    <w:p w14:paraId="2EA54FB3" w14:textId="77777777" w:rsidR="007F0665" w:rsidRDefault="007F0665" w:rsidP="00B95C30">
      <w:pPr>
        <w:jc w:val="both"/>
        <w:rPr>
          <w:rFonts w:ascii="Arial" w:eastAsia="Calibri" w:hAnsi="Arial" w:cs="Arial"/>
          <w:sz w:val="22"/>
          <w:szCs w:val="22"/>
          <w:lang w:val="es-ES_tradnl"/>
        </w:rPr>
      </w:pPr>
      <w:bookmarkStart w:id="3" w:name="_Hlk102489058"/>
    </w:p>
    <w:p w14:paraId="742FE801" w14:textId="77777777" w:rsidR="007F0665" w:rsidRDefault="007F0665" w:rsidP="00B95C30">
      <w:pPr>
        <w:jc w:val="both"/>
        <w:rPr>
          <w:rFonts w:ascii="Arial" w:eastAsia="Calibri" w:hAnsi="Arial" w:cs="Arial"/>
          <w:sz w:val="22"/>
          <w:szCs w:val="22"/>
          <w:lang w:val="es-ES_tradnl"/>
        </w:rPr>
      </w:pPr>
    </w:p>
    <w:p w14:paraId="111C71BE" w14:textId="780D52D1" w:rsidR="007F0665" w:rsidRDefault="007F0665" w:rsidP="007F0665">
      <w:pPr>
        <w:jc w:val="right"/>
        <w:rPr>
          <w:rFonts w:ascii="Arial" w:eastAsia="Calibri" w:hAnsi="Arial" w:cs="Arial"/>
          <w:sz w:val="22"/>
          <w:szCs w:val="22"/>
          <w:lang w:val="es-ES_tradnl"/>
        </w:rPr>
      </w:pPr>
      <w:r w:rsidRPr="007F0665">
        <w:rPr>
          <w:rFonts w:ascii="Arial" w:eastAsia="Calibri" w:hAnsi="Arial" w:cs="Arial"/>
          <w:noProof/>
          <w:sz w:val="22"/>
          <w:szCs w:val="22"/>
          <w:lang w:val="es-ES_tradnl"/>
        </w:rPr>
        <w:drawing>
          <wp:inline distT="0" distB="0" distL="0" distR="0" wp14:anchorId="322F0A4C" wp14:editId="39E73248">
            <wp:extent cx="2649855" cy="707288"/>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657436" cy="709312"/>
                    </a:xfrm>
                    <a:prstGeom prst="rect">
                      <a:avLst/>
                    </a:prstGeom>
                  </pic:spPr>
                </pic:pic>
              </a:graphicData>
            </a:graphic>
          </wp:inline>
        </w:drawing>
      </w:r>
    </w:p>
    <w:p w14:paraId="5211442C" w14:textId="0F6B8BF0" w:rsidR="007F0665" w:rsidRPr="007F0665" w:rsidRDefault="007F0665" w:rsidP="00B95C30">
      <w:pPr>
        <w:jc w:val="both"/>
        <w:rPr>
          <w:rFonts w:ascii="Arial" w:eastAsia="Calibri" w:hAnsi="Arial" w:cs="Arial"/>
          <w:color w:val="7F7F7F" w:themeColor="text1" w:themeTint="80"/>
          <w:sz w:val="22"/>
          <w:szCs w:val="22"/>
          <w:lang w:val="es-ES_tradnl"/>
        </w:rPr>
      </w:pPr>
      <w:r w:rsidRPr="007F0665">
        <w:rPr>
          <w:rFonts w:ascii="Arial" w:eastAsia="Calibri" w:hAnsi="Arial" w:cs="Arial"/>
          <w:color w:val="7F7F7F" w:themeColor="text1" w:themeTint="80"/>
          <w:sz w:val="22"/>
          <w:szCs w:val="22"/>
          <w:lang w:val="es-ES_tradnl"/>
        </w:rPr>
        <w:t xml:space="preserve">Bogotá, D.C. </w:t>
      </w:r>
      <w:r w:rsidR="00E2166B">
        <w:rPr>
          <w:rFonts w:ascii="Arial" w:eastAsia="Calibri" w:hAnsi="Arial" w:cs="Arial"/>
          <w:color w:val="7F7F7F" w:themeColor="text1" w:themeTint="80"/>
          <w:sz w:val="22"/>
          <w:szCs w:val="22"/>
          <w:lang w:val="es-ES_tradnl"/>
        </w:rPr>
        <w:t>0</w:t>
      </w:r>
      <w:r w:rsidRPr="007F0665">
        <w:rPr>
          <w:rFonts w:ascii="Arial" w:eastAsia="Calibri" w:hAnsi="Arial" w:cs="Arial"/>
          <w:color w:val="7F7F7F" w:themeColor="text1" w:themeTint="80"/>
          <w:sz w:val="22"/>
          <w:szCs w:val="22"/>
          <w:lang w:val="es-ES_tradnl"/>
        </w:rPr>
        <w:t xml:space="preserve">3 Mayo </w:t>
      </w:r>
      <w:r w:rsidR="00E2166B">
        <w:rPr>
          <w:rFonts w:ascii="Arial" w:eastAsia="Calibri" w:hAnsi="Arial" w:cs="Arial"/>
          <w:color w:val="7F7F7F" w:themeColor="text1" w:themeTint="80"/>
          <w:sz w:val="22"/>
          <w:szCs w:val="22"/>
          <w:lang w:val="es-ES_tradnl"/>
        </w:rPr>
        <w:t xml:space="preserve">de </w:t>
      </w:r>
      <w:r w:rsidRPr="007F0665">
        <w:rPr>
          <w:rFonts w:ascii="Arial" w:eastAsia="Calibri" w:hAnsi="Arial" w:cs="Arial"/>
          <w:color w:val="7F7F7F" w:themeColor="text1" w:themeTint="80"/>
          <w:sz w:val="22"/>
          <w:szCs w:val="22"/>
          <w:lang w:val="es-ES_tradnl"/>
        </w:rPr>
        <w:t>2022</w:t>
      </w:r>
    </w:p>
    <w:p w14:paraId="415A0394" w14:textId="77777777" w:rsidR="007F0665" w:rsidRDefault="007F0665" w:rsidP="00B95C30">
      <w:pPr>
        <w:jc w:val="both"/>
        <w:rPr>
          <w:rFonts w:ascii="Arial" w:eastAsia="Calibri" w:hAnsi="Arial" w:cs="Arial"/>
          <w:sz w:val="22"/>
          <w:szCs w:val="22"/>
          <w:lang w:val="es-ES_tradnl"/>
        </w:rPr>
      </w:pPr>
    </w:p>
    <w:p w14:paraId="2C68DF5C" w14:textId="77777777" w:rsidR="007F0665" w:rsidRDefault="007F0665" w:rsidP="00B95C30">
      <w:pPr>
        <w:jc w:val="both"/>
        <w:rPr>
          <w:rFonts w:ascii="Arial" w:eastAsia="Calibri" w:hAnsi="Arial" w:cs="Arial"/>
          <w:sz w:val="22"/>
          <w:szCs w:val="22"/>
          <w:lang w:val="es-ES_tradnl"/>
        </w:rPr>
      </w:pPr>
    </w:p>
    <w:p w14:paraId="5F5AE9EF" w14:textId="35482965" w:rsidR="00B95C30" w:rsidRPr="00ED66B7" w:rsidRDefault="00B87A1C" w:rsidP="00B95C30">
      <w:pPr>
        <w:jc w:val="both"/>
        <w:rPr>
          <w:rFonts w:ascii="Arial" w:eastAsia="Calibri" w:hAnsi="Arial" w:cs="Arial"/>
          <w:sz w:val="22"/>
          <w:szCs w:val="22"/>
          <w:lang w:val="es-ES_tradnl"/>
        </w:rPr>
      </w:pPr>
      <w:r w:rsidRPr="00ED66B7">
        <w:rPr>
          <w:rFonts w:ascii="Arial" w:eastAsia="Calibri" w:hAnsi="Arial" w:cs="Arial"/>
          <w:sz w:val="22"/>
          <w:szCs w:val="22"/>
          <w:lang w:val="es-ES_tradnl"/>
        </w:rPr>
        <w:t>Señor</w:t>
      </w:r>
    </w:p>
    <w:p w14:paraId="6979BAC6" w14:textId="6FF2CD5A" w:rsidR="00B87A1C" w:rsidRPr="00ED66B7" w:rsidRDefault="00280B93" w:rsidP="00B95C30">
      <w:pPr>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Diego Camilo Rodríguez Navas</w:t>
      </w:r>
    </w:p>
    <w:p w14:paraId="46CF7CAD" w14:textId="74745487" w:rsidR="00B116AD" w:rsidRPr="00ED66B7" w:rsidRDefault="00280B93" w:rsidP="00B95C30">
      <w:pPr>
        <w:jc w:val="both"/>
        <w:rPr>
          <w:rFonts w:ascii="Arial" w:eastAsia="Calibri" w:hAnsi="Arial" w:cs="Arial"/>
          <w:sz w:val="22"/>
          <w:szCs w:val="22"/>
          <w:lang w:val="es-ES_tradnl"/>
        </w:rPr>
      </w:pPr>
      <w:r>
        <w:rPr>
          <w:rFonts w:ascii="Arial" w:eastAsia="Calibri" w:hAnsi="Arial" w:cs="Arial"/>
          <w:sz w:val="22"/>
          <w:szCs w:val="22"/>
          <w:lang w:val="es-ES_tradnl"/>
        </w:rPr>
        <w:t xml:space="preserve">Bogotá, D.C. </w:t>
      </w:r>
    </w:p>
    <w:p w14:paraId="3F3D1203" w14:textId="77777777" w:rsidR="00B95C30" w:rsidRPr="00ED66B7" w:rsidRDefault="00B95C30" w:rsidP="00B95C30">
      <w:pPr>
        <w:jc w:val="both"/>
        <w:rPr>
          <w:rFonts w:ascii="Arial" w:eastAsia="Calibri" w:hAnsi="Arial" w:cs="Arial"/>
          <w:sz w:val="22"/>
          <w:szCs w:val="22"/>
          <w:lang w:val="es-ES_tradnl"/>
        </w:rPr>
      </w:pPr>
    </w:p>
    <w:p w14:paraId="12E66182" w14:textId="07E8BEB9" w:rsidR="00B95C30" w:rsidRPr="00ED66B7" w:rsidRDefault="00B95C30" w:rsidP="00B95C30">
      <w:pPr>
        <w:jc w:val="center"/>
        <w:rPr>
          <w:rFonts w:ascii="Arial" w:eastAsia="Calibri" w:hAnsi="Arial" w:cs="Arial"/>
          <w:b/>
          <w:bCs/>
          <w:sz w:val="22"/>
          <w:szCs w:val="22"/>
          <w:lang w:val="es-ES_tradnl"/>
        </w:rPr>
      </w:pPr>
      <w:r w:rsidRPr="00ED66B7">
        <w:rPr>
          <w:rFonts w:ascii="Arial" w:eastAsia="Calibri" w:hAnsi="Arial" w:cs="Arial"/>
          <w:b/>
          <w:bCs/>
          <w:sz w:val="22"/>
          <w:szCs w:val="22"/>
          <w:lang w:val="es-ES_tradnl"/>
        </w:rPr>
        <w:t>Concepto C</w:t>
      </w:r>
      <w:r w:rsidR="00131DA9" w:rsidRPr="00ED66B7">
        <w:rPr>
          <w:rFonts w:ascii="Arial" w:eastAsia="Calibri" w:hAnsi="Arial" w:cs="Arial"/>
          <w:b/>
          <w:bCs/>
          <w:sz w:val="22"/>
          <w:szCs w:val="22"/>
          <w:lang w:val="es-ES_tradnl"/>
        </w:rPr>
        <w:t>-</w:t>
      </w:r>
      <w:r w:rsidR="00280B93">
        <w:rPr>
          <w:rFonts w:ascii="Arial" w:eastAsia="Calibri" w:hAnsi="Arial" w:cs="Arial"/>
          <w:b/>
          <w:bCs/>
          <w:sz w:val="22"/>
          <w:szCs w:val="22"/>
          <w:lang w:val="es-ES_tradnl"/>
        </w:rPr>
        <w:t>259</w:t>
      </w:r>
      <w:r w:rsidRPr="00ED66B7">
        <w:rPr>
          <w:rFonts w:ascii="Arial" w:eastAsia="Calibri" w:hAnsi="Arial" w:cs="Arial"/>
          <w:b/>
          <w:bCs/>
          <w:sz w:val="22"/>
          <w:szCs w:val="22"/>
          <w:lang w:val="es-ES_tradnl"/>
        </w:rPr>
        <w:t xml:space="preserve"> de 202</w:t>
      </w:r>
      <w:r w:rsidR="00131DA9" w:rsidRPr="00ED66B7">
        <w:rPr>
          <w:rFonts w:ascii="Arial" w:eastAsia="Calibri" w:hAnsi="Arial" w:cs="Arial"/>
          <w:b/>
          <w:bCs/>
          <w:sz w:val="22"/>
          <w:szCs w:val="22"/>
          <w:lang w:val="es-ES_tradnl"/>
        </w:rPr>
        <w:t>2</w:t>
      </w:r>
    </w:p>
    <w:p w14:paraId="1BD594F9" w14:textId="77777777" w:rsidR="00B95C30" w:rsidRPr="00ED66B7" w:rsidRDefault="00B95C30" w:rsidP="00B95C30">
      <w:pPr>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1BE9" w:rsidRPr="00ED66B7" w14:paraId="19DFC051" w14:textId="77777777" w:rsidTr="008F4163">
        <w:tc>
          <w:tcPr>
            <w:tcW w:w="2689" w:type="dxa"/>
          </w:tcPr>
          <w:p w14:paraId="6BC0D1AC" w14:textId="77777777" w:rsidR="00B95C30" w:rsidRPr="00ED66B7" w:rsidRDefault="00B95C30" w:rsidP="008F4163">
            <w:pPr>
              <w:jc w:val="both"/>
              <w:rPr>
                <w:rFonts w:ascii="Arial" w:eastAsia="Calibri" w:hAnsi="Arial" w:cs="Arial"/>
                <w:sz w:val="22"/>
                <w:szCs w:val="22"/>
                <w:lang w:val="es-ES_tradnl"/>
              </w:rPr>
            </w:pPr>
            <w:r w:rsidRPr="00ED66B7">
              <w:rPr>
                <w:rFonts w:ascii="Arial" w:eastAsia="Calibri" w:hAnsi="Arial" w:cs="Arial"/>
                <w:b/>
                <w:sz w:val="22"/>
                <w:szCs w:val="22"/>
                <w:lang w:val="es-ES_tradnl"/>
              </w:rPr>
              <w:t>Temas:</w:t>
            </w:r>
            <w:r w:rsidRPr="00ED66B7">
              <w:rPr>
                <w:rFonts w:ascii="Arial" w:eastAsia="Calibri" w:hAnsi="Arial" w:cs="Arial"/>
                <w:sz w:val="22"/>
                <w:szCs w:val="22"/>
                <w:lang w:val="es-ES_tradnl"/>
              </w:rPr>
              <w:t xml:space="preserve">                                      </w:t>
            </w:r>
          </w:p>
        </w:tc>
        <w:tc>
          <w:tcPr>
            <w:tcW w:w="6237" w:type="dxa"/>
          </w:tcPr>
          <w:p w14:paraId="5F389CAF" w14:textId="268AC7DE" w:rsidR="00B95C30" w:rsidRPr="00347A7E" w:rsidRDefault="00B01966" w:rsidP="008F4163">
            <w:pPr>
              <w:jc w:val="both"/>
              <w:rPr>
                <w:rFonts w:ascii="Arial" w:eastAsia="Calibri" w:hAnsi="Arial" w:cs="Arial"/>
                <w:sz w:val="22"/>
                <w:szCs w:val="22"/>
                <w:highlight w:val="yellow"/>
                <w:lang w:val="es-ES_tradnl"/>
              </w:rPr>
            </w:pPr>
            <w:r w:rsidRPr="009E5E2E">
              <w:rPr>
                <w:rFonts w:ascii="Arial" w:eastAsia="Calibri" w:hAnsi="Arial" w:cs="Arial"/>
                <w:bCs/>
                <w:sz w:val="22"/>
                <w:szCs w:val="22"/>
                <w:lang w:val="es-ES_tradnl"/>
              </w:rPr>
              <w:t>DOCUMENTOS TIPO – Fundamento normativo – Ley 2022 de 2020 / DOCUMENTOS TIPO – Ámbito de aplicación /</w:t>
            </w:r>
            <w:r w:rsidR="0079633D" w:rsidRPr="009E5E2E">
              <w:rPr>
                <w:rFonts w:ascii="Arial" w:eastAsia="Calibri" w:hAnsi="Arial" w:cs="Arial"/>
                <w:bCs/>
                <w:sz w:val="22"/>
                <w:szCs w:val="22"/>
                <w:lang w:val="es-ES_tradnl"/>
              </w:rPr>
              <w:t xml:space="preserve"> LEY 2195 DE 2022 – Artículo 56 – Parágrafo – Excepciones – Giro ordinario /</w:t>
            </w:r>
            <w:r w:rsidRPr="009E5E2E">
              <w:rPr>
                <w:rFonts w:ascii="Arial" w:eastAsia="Calibri" w:hAnsi="Arial" w:cs="Arial"/>
                <w:bCs/>
                <w:sz w:val="22"/>
                <w:szCs w:val="22"/>
                <w:lang w:val="es-ES_tradnl"/>
              </w:rPr>
              <w:t xml:space="preserve"> LEY 2195 DE 2022 – Artículo 56 – </w:t>
            </w:r>
            <w:r w:rsidR="006162DC">
              <w:rPr>
                <w:rFonts w:ascii="Arial" w:eastAsia="Calibri" w:hAnsi="Arial" w:cs="Arial"/>
                <w:bCs/>
                <w:sz w:val="22"/>
                <w:szCs w:val="22"/>
                <w:lang w:val="es-ES_tradnl"/>
              </w:rPr>
              <w:t>Aplicación</w:t>
            </w:r>
            <w:r w:rsidRPr="009E5E2E">
              <w:rPr>
                <w:rFonts w:ascii="Arial" w:eastAsia="Calibri" w:hAnsi="Arial" w:cs="Arial"/>
                <w:bCs/>
                <w:sz w:val="22"/>
                <w:szCs w:val="22"/>
                <w:lang w:val="es-ES_tradnl"/>
              </w:rPr>
              <w:t xml:space="preserve"> – Documentos tipo </w:t>
            </w:r>
          </w:p>
        </w:tc>
      </w:tr>
      <w:tr w:rsidR="00C01BE9" w:rsidRPr="00ED66B7" w14:paraId="27CD52AB" w14:textId="77777777" w:rsidTr="00F86CE0">
        <w:trPr>
          <w:trHeight w:val="450"/>
        </w:trPr>
        <w:tc>
          <w:tcPr>
            <w:tcW w:w="2689" w:type="dxa"/>
          </w:tcPr>
          <w:p w14:paraId="37E195A1" w14:textId="1BA218D5" w:rsidR="00B95C30" w:rsidRPr="00ED66B7" w:rsidRDefault="00B95C30" w:rsidP="008F4163">
            <w:pPr>
              <w:spacing w:before="120"/>
              <w:jc w:val="both"/>
              <w:rPr>
                <w:rFonts w:ascii="Arial" w:eastAsia="Calibri" w:hAnsi="Arial" w:cs="Arial"/>
                <w:b/>
                <w:sz w:val="22"/>
                <w:szCs w:val="22"/>
                <w:lang w:val="es-ES_tradnl"/>
              </w:rPr>
            </w:pPr>
            <w:r w:rsidRPr="00ED66B7">
              <w:rPr>
                <w:rFonts w:ascii="Arial" w:eastAsia="Calibri" w:hAnsi="Arial" w:cs="Arial"/>
                <w:b/>
                <w:sz w:val="22"/>
                <w:szCs w:val="22"/>
                <w:lang w:val="es-ES_tradnl"/>
              </w:rPr>
              <w:t>Radicación:</w:t>
            </w:r>
            <w:r w:rsidRPr="00ED66B7">
              <w:rPr>
                <w:rFonts w:ascii="Arial" w:eastAsia="Calibri" w:hAnsi="Arial" w:cs="Arial"/>
                <w:sz w:val="22"/>
                <w:szCs w:val="22"/>
                <w:lang w:val="es-ES_tradnl"/>
              </w:rPr>
              <w:t xml:space="preserve">                              </w:t>
            </w:r>
          </w:p>
        </w:tc>
        <w:tc>
          <w:tcPr>
            <w:tcW w:w="6237" w:type="dxa"/>
          </w:tcPr>
          <w:p w14:paraId="09088B1B" w14:textId="335730E0" w:rsidR="00B95C30" w:rsidRPr="00ED66B7" w:rsidRDefault="00B95C30" w:rsidP="008F4163">
            <w:pPr>
              <w:spacing w:before="120"/>
              <w:jc w:val="both"/>
              <w:rPr>
                <w:rFonts w:ascii="Arial" w:eastAsia="Calibri" w:hAnsi="Arial" w:cs="Arial"/>
                <w:sz w:val="22"/>
                <w:szCs w:val="22"/>
                <w:lang w:val="es-ES_tradnl"/>
              </w:rPr>
            </w:pPr>
            <w:r w:rsidRPr="00ED66B7">
              <w:rPr>
                <w:rFonts w:ascii="Arial" w:eastAsia="Calibri" w:hAnsi="Arial" w:cs="Arial"/>
                <w:sz w:val="22"/>
                <w:szCs w:val="22"/>
                <w:lang w:val="es-ES_tradnl"/>
              </w:rPr>
              <w:t xml:space="preserve">Respuesta a </w:t>
            </w:r>
            <w:r w:rsidR="001432CB">
              <w:rPr>
                <w:rFonts w:ascii="Arial" w:eastAsia="Calibri" w:hAnsi="Arial" w:cs="Arial"/>
                <w:sz w:val="22"/>
                <w:szCs w:val="22"/>
                <w:lang w:val="es-ES_tradnl"/>
              </w:rPr>
              <w:t xml:space="preserve">la </w:t>
            </w:r>
            <w:r w:rsidRPr="00ED66B7">
              <w:rPr>
                <w:rFonts w:ascii="Arial" w:eastAsia="Calibri" w:hAnsi="Arial" w:cs="Arial"/>
                <w:sz w:val="22"/>
                <w:szCs w:val="22"/>
                <w:lang w:val="es-ES_tradnl"/>
              </w:rPr>
              <w:t xml:space="preserve">consulta </w:t>
            </w:r>
            <w:r w:rsidR="001432CB">
              <w:rPr>
                <w:rFonts w:ascii="Arial" w:eastAsia="Calibri" w:hAnsi="Arial" w:cs="Arial"/>
                <w:sz w:val="22"/>
                <w:szCs w:val="22"/>
                <w:lang w:val="es-ES_tradnl"/>
              </w:rPr>
              <w:t xml:space="preserve">No. </w:t>
            </w:r>
            <w:r w:rsidR="00347A7E" w:rsidRPr="00347A7E">
              <w:rPr>
                <w:rFonts w:ascii="Arial" w:eastAsia="Calibri" w:hAnsi="Arial" w:cs="Arial"/>
                <w:sz w:val="22"/>
                <w:szCs w:val="22"/>
                <w:lang w:val="es-ES_tradnl"/>
              </w:rPr>
              <w:t>P20220322002796</w:t>
            </w:r>
          </w:p>
        </w:tc>
      </w:tr>
    </w:tbl>
    <w:p w14:paraId="32F143F0" w14:textId="77777777" w:rsidR="0079633D" w:rsidRDefault="0079633D" w:rsidP="006A574E">
      <w:pPr>
        <w:jc w:val="both"/>
        <w:rPr>
          <w:rFonts w:ascii="Arial" w:eastAsia="Calibri" w:hAnsi="Arial" w:cs="Arial"/>
          <w:sz w:val="22"/>
          <w:szCs w:val="22"/>
          <w:lang w:val="es-ES_tradnl"/>
        </w:rPr>
      </w:pPr>
    </w:p>
    <w:p w14:paraId="1CF4AEA0" w14:textId="20C10042" w:rsidR="003C3339" w:rsidRPr="00ED66B7" w:rsidRDefault="003C3339" w:rsidP="006A574E">
      <w:pPr>
        <w:jc w:val="both"/>
        <w:rPr>
          <w:rFonts w:ascii="Arial" w:eastAsia="Calibri" w:hAnsi="Arial" w:cs="Arial"/>
          <w:sz w:val="22"/>
          <w:szCs w:val="22"/>
          <w:lang w:val="es-ES_tradnl"/>
        </w:rPr>
      </w:pPr>
      <w:r w:rsidRPr="00ED66B7">
        <w:rPr>
          <w:rFonts w:ascii="Arial" w:eastAsia="Calibri" w:hAnsi="Arial" w:cs="Arial"/>
          <w:sz w:val="22"/>
          <w:szCs w:val="22"/>
          <w:lang w:val="es-ES_tradnl"/>
        </w:rPr>
        <w:t>Estimad</w:t>
      </w:r>
      <w:r w:rsidR="00885180">
        <w:rPr>
          <w:rFonts w:ascii="Arial" w:eastAsia="Calibri" w:hAnsi="Arial" w:cs="Arial"/>
          <w:sz w:val="22"/>
          <w:szCs w:val="22"/>
          <w:lang w:val="es-ES_tradnl"/>
        </w:rPr>
        <w:t>o</w:t>
      </w:r>
      <w:r w:rsidRPr="00ED66B7">
        <w:rPr>
          <w:rFonts w:ascii="Arial" w:eastAsia="Calibri" w:hAnsi="Arial" w:cs="Arial"/>
          <w:sz w:val="22"/>
          <w:szCs w:val="22"/>
          <w:lang w:val="es-ES_tradnl"/>
        </w:rPr>
        <w:t xml:space="preserve"> </w:t>
      </w:r>
      <w:r w:rsidR="00B87A1C" w:rsidRPr="00ED66B7">
        <w:rPr>
          <w:rFonts w:ascii="Arial" w:eastAsia="Calibri" w:hAnsi="Arial" w:cs="Arial"/>
          <w:sz w:val="22"/>
          <w:szCs w:val="22"/>
          <w:lang w:val="es-ES_tradnl"/>
        </w:rPr>
        <w:t>señor</w:t>
      </w:r>
      <w:r w:rsidR="00BE4FBF" w:rsidRPr="00ED66B7">
        <w:rPr>
          <w:rFonts w:ascii="Arial" w:eastAsia="Calibri" w:hAnsi="Arial" w:cs="Arial"/>
          <w:sz w:val="22"/>
          <w:szCs w:val="22"/>
          <w:lang w:val="es-ES_tradnl"/>
        </w:rPr>
        <w:t xml:space="preserve"> </w:t>
      </w:r>
      <w:r w:rsidR="00885180">
        <w:rPr>
          <w:rFonts w:ascii="Arial" w:eastAsia="Calibri" w:hAnsi="Arial" w:cs="Arial"/>
          <w:sz w:val="22"/>
          <w:szCs w:val="22"/>
          <w:lang w:val="es-ES_tradnl"/>
        </w:rPr>
        <w:t>Rodríguez Navas</w:t>
      </w:r>
      <w:r w:rsidR="00B87A1C" w:rsidRPr="00ED66B7">
        <w:rPr>
          <w:rFonts w:ascii="Arial" w:eastAsia="Calibri" w:hAnsi="Arial" w:cs="Arial"/>
          <w:sz w:val="22"/>
          <w:szCs w:val="22"/>
          <w:lang w:val="es-ES_tradnl"/>
        </w:rPr>
        <w:t>:</w:t>
      </w:r>
    </w:p>
    <w:p w14:paraId="1EAE5543" w14:textId="77777777" w:rsidR="00DD5B04" w:rsidRPr="00ED66B7" w:rsidRDefault="00DD5B04" w:rsidP="006A574E">
      <w:pPr>
        <w:jc w:val="both"/>
        <w:rPr>
          <w:rFonts w:ascii="Arial" w:eastAsia="Calibri" w:hAnsi="Arial" w:cs="Arial"/>
          <w:sz w:val="22"/>
          <w:lang w:val="es-ES_tradnl"/>
        </w:rPr>
      </w:pPr>
    </w:p>
    <w:p w14:paraId="2109B2D3" w14:textId="346241E5" w:rsidR="00DD5B04" w:rsidRPr="00ED66B7" w:rsidRDefault="00DD5B04" w:rsidP="006A574E">
      <w:pPr>
        <w:spacing w:line="276" w:lineRule="auto"/>
        <w:jc w:val="both"/>
        <w:rPr>
          <w:rFonts w:ascii="Arial" w:eastAsia="Calibri" w:hAnsi="Arial" w:cs="Arial"/>
          <w:sz w:val="22"/>
          <w:lang w:val="es-ES_tradnl"/>
        </w:rPr>
      </w:pPr>
      <w:r w:rsidRPr="00ED66B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responde su consulta del </w:t>
      </w:r>
      <w:r w:rsidR="00885180">
        <w:rPr>
          <w:rFonts w:ascii="Arial" w:eastAsia="Calibri" w:hAnsi="Arial" w:cs="Arial"/>
          <w:sz w:val="22"/>
          <w:lang w:val="es-ES_tradnl"/>
        </w:rPr>
        <w:t>19</w:t>
      </w:r>
      <w:r w:rsidR="00FD4AF3" w:rsidRPr="00ED66B7">
        <w:rPr>
          <w:rFonts w:ascii="Arial" w:eastAsia="Calibri" w:hAnsi="Arial" w:cs="Arial"/>
          <w:sz w:val="22"/>
          <w:lang w:val="es-ES_tradnl"/>
        </w:rPr>
        <w:t xml:space="preserve"> de</w:t>
      </w:r>
      <w:r w:rsidR="00885180">
        <w:rPr>
          <w:rFonts w:ascii="Arial" w:eastAsia="Calibri" w:hAnsi="Arial" w:cs="Arial"/>
          <w:sz w:val="22"/>
          <w:lang w:val="es-ES_tradnl"/>
        </w:rPr>
        <w:t xml:space="preserve"> marzo</w:t>
      </w:r>
      <w:r w:rsidRPr="00ED66B7">
        <w:rPr>
          <w:rFonts w:ascii="Arial" w:eastAsia="Calibri" w:hAnsi="Arial" w:cs="Arial"/>
          <w:sz w:val="22"/>
          <w:lang w:val="es-ES_tradnl"/>
        </w:rPr>
        <w:t xml:space="preserve"> del</w:t>
      </w:r>
      <w:r w:rsidR="007E74BF" w:rsidRPr="00ED66B7">
        <w:rPr>
          <w:rFonts w:ascii="Arial" w:eastAsia="Calibri" w:hAnsi="Arial" w:cs="Arial"/>
          <w:sz w:val="22"/>
          <w:lang w:val="es-ES_tradnl"/>
        </w:rPr>
        <w:t xml:space="preserve"> </w:t>
      </w:r>
      <w:r w:rsidRPr="00ED66B7">
        <w:rPr>
          <w:rFonts w:ascii="Arial" w:eastAsia="Calibri" w:hAnsi="Arial" w:cs="Arial"/>
          <w:sz w:val="22"/>
          <w:lang w:val="es-ES_tradnl"/>
        </w:rPr>
        <w:t>202</w:t>
      </w:r>
      <w:r w:rsidR="005C345A" w:rsidRPr="00ED66B7">
        <w:rPr>
          <w:rFonts w:ascii="Arial" w:eastAsia="Calibri" w:hAnsi="Arial" w:cs="Arial"/>
          <w:sz w:val="22"/>
          <w:lang w:val="es-ES_tradnl"/>
        </w:rPr>
        <w:t>2</w:t>
      </w:r>
      <w:r w:rsidR="008C3C57" w:rsidRPr="00ED66B7">
        <w:rPr>
          <w:rFonts w:ascii="Arial" w:eastAsia="Calibri" w:hAnsi="Arial" w:cs="Arial"/>
          <w:sz w:val="22"/>
          <w:lang w:val="es-ES_tradnl"/>
        </w:rPr>
        <w:t>.</w:t>
      </w:r>
    </w:p>
    <w:p w14:paraId="0C1E0712" w14:textId="77777777" w:rsidR="00DD5B04" w:rsidRPr="00ED66B7" w:rsidRDefault="00DD5B04" w:rsidP="006A574E">
      <w:pPr>
        <w:spacing w:line="276" w:lineRule="auto"/>
        <w:jc w:val="both"/>
        <w:rPr>
          <w:rFonts w:ascii="Arial" w:eastAsia="Calibri" w:hAnsi="Arial" w:cs="Arial"/>
          <w:b/>
          <w:sz w:val="22"/>
          <w:lang w:val="es-ES_tradnl"/>
        </w:rPr>
      </w:pPr>
    </w:p>
    <w:p w14:paraId="7701FCC7" w14:textId="77777777" w:rsidR="00DD5B04" w:rsidRPr="00ED66B7" w:rsidRDefault="00DD5B04" w:rsidP="006A574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D66B7">
        <w:rPr>
          <w:rFonts w:ascii="Arial" w:eastAsia="Calibri" w:hAnsi="Arial" w:cs="Arial"/>
          <w:b/>
          <w:sz w:val="22"/>
          <w:lang w:val="es-ES_tradnl"/>
        </w:rPr>
        <w:t xml:space="preserve">Problema planteado </w:t>
      </w:r>
    </w:p>
    <w:p w14:paraId="224B43D3" w14:textId="77777777" w:rsidR="00DD5B04" w:rsidRPr="00ED66B7" w:rsidRDefault="00DD5B04" w:rsidP="006A574E">
      <w:pPr>
        <w:tabs>
          <w:tab w:val="left" w:pos="426"/>
        </w:tabs>
        <w:spacing w:line="276" w:lineRule="auto"/>
        <w:jc w:val="both"/>
        <w:rPr>
          <w:rFonts w:ascii="Arial" w:eastAsia="Calibri" w:hAnsi="Arial" w:cs="Arial"/>
          <w:b/>
          <w:sz w:val="22"/>
          <w:lang w:val="es-ES_tradnl"/>
        </w:rPr>
      </w:pPr>
    </w:p>
    <w:p w14:paraId="3B453246" w14:textId="344935CE" w:rsidR="00B13399" w:rsidRPr="00ED66B7" w:rsidRDefault="00DD5B04" w:rsidP="006A574E">
      <w:pPr>
        <w:spacing w:line="276" w:lineRule="auto"/>
        <w:jc w:val="both"/>
        <w:rPr>
          <w:rFonts w:ascii="Arial" w:hAnsi="Arial" w:cs="Arial"/>
          <w:sz w:val="22"/>
          <w:lang w:val="es-ES_tradnl"/>
        </w:rPr>
      </w:pPr>
      <w:r w:rsidRPr="00ED66B7">
        <w:rPr>
          <w:rFonts w:ascii="Arial" w:hAnsi="Arial" w:cs="Arial"/>
          <w:sz w:val="22"/>
          <w:lang w:val="es-ES_tradnl"/>
        </w:rPr>
        <w:t xml:space="preserve">Usted </w:t>
      </w:r>
      <w:r w:rsidR="00B422C0" w:rsidRPr="00ED66B7">
        <w:rPr>
          <w:rFonts w:ascii="Arial" w:hAnsi="Arial" w:cs="Arial"/>
          <w:sz w:val="22"/>
          <w:lang w:val="es-ES_tradnl"/>
        </w:rPr>
        <w:t>formula</w:t>
      </w:r>
      <w:r w:rsidR="006D46A3" w:rsidRPr="00ED66B7">
        <w:rPr>
          <w:rFonts w:ascii="Arial" w:hAnsi="Arial" w:cs="Arial"/>
          <w:sz w:val="22"/>
          <w:lang w:val="es-ES_tradnl"/>
        </w:rPr>
        <w:t xml:space="preserve"> la siguiente</w:t>
      </w:r>
      <w:r w:rsidR="00C028F5" w:rsidRPr="00ED66B7">
        <w:rPr>
          <w:rFonts w:ascii="Arial" w:hAnsi="Arial" w:cs="Arial"/>
          <w:sz w:val="22"/>
          <w:lang w:val="es-ES_tradnl"/>
        </w:rPr>
        <w:t xml:space="preserve"> </w:t>
      </w:r>
      <w:r w:rsidR="00966B9B" w:rsidRPr="00ED66B7">
        <w:rPr>
          <w:rFonts w:ascii="Arial" w:hAnsi="Arial" w:cs="Arial"/>
          <w:sz w:val="22"/>
          <w:lang w:val="es-ES_tradnl"/>
        </w:rPr>
        <w:t>consulta</w:t>
      </w:r>
      <w:r w:rsidR="000C0D2D" w:rsidRPr="00ED66B7">
        <w:rPr>
          <w:rFonts w:ascii="Arial" w:hAnsi="Arial" w:cs="Arial"/>
          <w:sz w:val="22"/>
          <w:lang w:val="es-ES_tradnl"/>
        </w:rPr>
        <w:t xml:space="preserve"> relacionada con </w:t>
      </w:r>
      <w:r w:rsidR="00966B9B" w:rsidRPr="00ED66B7">
        <w:rPr>
          <w:rFonts w:ascii="Arial" w:hAnsi="Arial" w:cs="Arial"/>
          <w:sz w:val="22"/>
          <w:lang w:val="es-ES_tradnl"/>
        </w:rPr>
        <w:t>el</w:t>
      </w:r>
      <w:r w:rsidR="00142237" w:rsidRPr="00ED66B7">
        <w:rPr>
          <w:rFonts w:ascii="Arial" w:hAnsi="Arial" w:cs="Arial"/>
          <w:sz w:val="22"/>
          <w:lang w:val="es-ES_tradnl"/>
        </w:rPr>
        <w:t xml:space="preserve"> ámbito de aplicación de los documentos tipo</w:t>
      </w:r>
      <w:r w:rsidR="00966B9B" w:rsidRPr="00ED66B7">
        <w:rPr>
          <w:rFonts w:ascii="Arial" w:hAnsi="Arial" w:cs="Arial"/>
          <w:sz w:val="22"/>
          <w:lang w:val="es-ES_tradnl"/>
        </w:rPr>
        <w:t xml:space="preserve"> y el</w:t>
      </w:r>
      <w:r w:rsidR="00B13399" w:rsidRPr="00ED66B7">
        <w:rPr>
          <w:rFonts w:ascii="Arial" w:hAnsi="Arial" w:cs="Arial"/>
          <w:sz w:val="22"/>
          <w:lang w:val="es-ES_tradnl"/>
        </w:rPr>
        <w:t xml:space="preserve"> alcance del artículo </w:t>
      </w:r>
      <w:r w:rsidR="00142237" w:rsidRPr="00ED66B7">
        <w:rPr>
          <w:rFonts w:ascii="Arial" w:hAnsi="Arial" w:cs="Arial"/>
          <w:sz w:val="22"/>
          <w:lang w:val="es-ES_tradnl"/>
        </w:rPr>
        <w:t>56 de la Ley 2195 de 2022</w:t>
      </w:r>
      <w:r w:rsidR="00966B9B" w:rsidRPr="00ED66B7">
        <w:rPr>
          <w:rFonts w:ascii="Arial" w:hAnsi="Arial" w:cs="Arial"/>
          <w:sz w:val="22"/>
          <w:lang w:val="es-ES_tradnl"/>
        </w:rPr>
        <w:t>. Al respecto pregunta:</w:t>
      </w:r>
    </w:p>
    <w:p w14:paraId="0B593FD4" w14:textId="77777777" w:rsidR="00966B9B" w:rsidRPr="00ED66B7" w:rsidRDefault="00966B9B" w:rsidP="00966B9B">
      <w:pPr>
        <w:ind w:left="709" w:right="709"/>
        <w:jc w:val="both"/>
        <w:rPr>
          <w:rFonts w:ascii="Arial" w:hAnsi="Arial" w:cs="Arial"/>
          <w:sz w:val="21"/>
          <w:szCs w:val="21"/>
          <w:lang w:val="es-ES_tradnl"/>
        </w:rPr>
      </w:pPr>
    </w:p>
    <w:p w14:paraId="7726CD92" w14:textId="77777777" w:rsidR="00A76BCF" w:rsidRDefault="008B3031" w:rsidP="00EB25BC">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t>«</w:t>
      </w:r>
      <w:r w:rsidR="00A76BCF">
        <w:rPr>
          <w:rFonts w:ascii="Arial" w:hAnsi="Arial" w:cs="Arial"/>
          <w:bCs/>
          <w:sz w:val="21"/>
          <w:szCs w:val="21"/>
          <w:lang w:val="es-ES"/>
        </w:rPr>
        <w:t>La reciente normatividad señala que los documentos tipo son aplicables para la adquisición de bienes, obras y servicios que las entidades de régimen especial realicen con otras personas jurídicas, entre otros, por ejemplo a través de convenios interadministrativos.</w:t>
      </w:r>
    </w:p>
    <w:p w14:paraId="12E12D26" w14:textId="09536308" w:rsidR="00AF07A5" w:rsidRPr="00ED66B7" w:rsidRDefault="007A0875" w:rsidP="00EB25BC">
      <w:pPr>
        <w:tabs>
          <w:tab w:val="decimal" w:pos="765"/>
          <w:tab w:val="right" w:pos="7371"/>
        </w:tabs>
        <w:ind w:left="709" w:right="709"/>
        <w:jc w:val="both"/>
        <w:rPr>
          <w:rFonts w:ascii="Arial" w:hAnsi="Arial" w:cs="Arial"/>
          <w:bCs/>
          <w:sz w:val="21"/>
          <w:szCs w:val="21"/>
          <w:lang w:val="es-ES"/>
        </w:rPr>
      </w:pPr>
      <w:r>
        <w:rPr>
          <w:rFonts w:ascii="Arial" w:hAnsi="Arial" w:cs="Arial"/>
          <w:bCs/>
          <w:sz w:val="21"/>
          <w:szCs w:val="21"/>
          <w:lang w:val="es-ES"/>
        </w:rPr>
        <w:t>En tal sentido y bajo una interpretación extensiva de la norma, ¿se podría llegar a entender que cualquier entidad del orden nacional o departamental que suscriba convenios interadministrativos (valor cero) deberá adoptar documento tipo para la celebración del convenio? O por el contrario y bajo una interpretación al tenor literal de la norma s</w:t>
      </w:r>
      <w:r w:rsidR="0077361C">
        <w:rPr>
          <w:rFonts w:ascii="Arial" w:hAnsi="Arial" w:cs="Arial"/>
          <w:bCs/>
          <w:sz w:val="21"/>
          <w:szCs w:val="21"/>
          <w:lang w:val="es-ES"/>
        </w:rPr>
        <w:t>eñala que la adopción de documento tipo debe hacerse cuando una de las partes es una entidad de régimen especial</w:t>
      </w:r>
      <w:r w:rsidR="00EE23ED" w:rsidRPr="00ED66B7">
        <w:rPr>
          <w:rFonts w:ascii="Arial" w:hAnsi="Arial" w:cs="Arial"/>
          <w:bCs/>
          <w:sz w:val="21"/>
          <w:szCs w:val="21"/>
          <w:lang w:val="es-ES"/>
        </w:rPr>
        <w:t>».</w:t>
      </w:r>
    </w:p>
    <w:p w14:paraId="70356586" w14:textId="77777777" w:rsidR="00EE23ED" w:rsidRPr="00ED66B7" w:rsidRDefault="00EE23ED" w:rsidP="00B87A1C">
      <w:pPr>
        <w:tabs>
          <w:tab w:val="decimal" w:pos="765"/>
          <w:tab w:val="right" w:pos="7371"/>
        </w:tabs>
        <w:ind w:left="709" w:right="709"/>
        <w:jc w:val="both"/>
        <w:rPr>
          <w:rFonts w:ascii="Arial" w:hAnsi="Arial" w:cs="Arial"/>
          <w:sz w:val="21"/>
          <w:szCs w:val="21"/>
          <w:lang w:val="es-ES_tradnl"/>
        </w:rPr>
      </w:pPr>
    </w:p>
    <w:p w14:paraId="124D2DCA" w14:textId="77777777" w:rsidR="00DD5B04" w:rsidRPr="00ED66B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D66B7">
        <w:rPr>
          <w:rFonts w:ascii="Arial" w:eastAsia="Calibri" w:hAnsi="Arial" w:cs="Arial"/>
          <w:b/>
          <w:sz w:val="22"/>
          <w:lang w:val="es-ES_tradnl"/>
        </w:rPr>
        <w:lastRenderedPageBreak/>
        <w:t>Consideraciones</w:t>
      </w:r>
    </w:p>
    <w:p w14:paraId="344D2E5A" w14:textId="77777777" w:rsidR="00AA1BB6" w:rsidRPr="00ED66B7" w:rsidRDefault="00AA1BB6" w:rsidP="00B87A1C">
      <w:pPr>
        <w:jc w:val="both"/>
        <w:rPr>
          <w:rFonts w:ascii="Arial" w:hAnsi="Arial" w:cs="Arial"/>
          <w:noProof/>
          <w:sz w:val="22"/>
          <w:lang w:val="es-ES_tradnl"/>
        </w:rPr>
      </w:pPr>
    </w:p>
    <w:p w14:paraId="5D7FFA3B" w14:textId="405B893C" w:rsidR="002D58D7" w:rsidRPr="006D54A1" w:rsidRDefault="002D58D7" w:rsidP="002D58D7">
      <w:pPr>
        <w:spacing w:after="120" w:line="276" w:lineRule="auto"/>
        <w:jc w:val="both"/>
        <w:rPr>
          <w:rFonts w:ascii="Arial" w:hAnsi="Arial" w:cs="Arial"/>
          <w:bCs/>
          <w:sz w:val="22"/>
          <w:lang w:val="es-ES_tradnl"/>
        </w:rPr>
      </w:pPr>
      <w:bookmarkStart w:id="4" w:name="_Hlk100312295"/>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sidR="00513A41">
        <w:rPr>
          <w:rFonts w:ascii="Arial" w:hAnsi="Arial" w:cs="Arial"/>
          <w:bCs/>
          <w:sz w:val="22"/>
          <w:lang w:val="es-ES_tradnl"/>
        </w:rPr>
        <w:t>relevante</w:t>
      </w:r>
      <w:r w:rsidR="00513A41" w:rsidRPr="006D54A1">
        <w:rPr>
          <w:rFonts w:ascii="Arial" w:hAnsi="Arial" w:cs="Arial"/>
          <w:bCs/>
          <w:sz w:val="22"/>
          <w:lang w:val="es-ES_tradnl"/>
        </w:rPr>
        <w:t xml:space="preserve"> </w:t>
      </w:r>
      <w:r w:rsidRPr="006D54A1">
        <w:rPr>
          <w:rFonts w:ascii="Arial" w:hAnsi="Arial" w:cs="Arial"/>
          <w:bCs/>
          <w:sz w:val="22"/>
          <w:lang w:val="es-ES_tradnl"/>
        </w:rPr>
        <w:t>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1AFA4B2" w14:textId="77777777" w:rsidR="002D58D7" w:rsidRPr="006D54A1" w:rsidRDefault="002D58D7" w:rsidP="002D58D7">
      <w:pPr>
        <w:spacing w:after="120" w:line="276" w:lineRule="auto"/>
        <w:ind w:firstLine="708"/>
        <w:jc w:val="both"/>
        <w:rPr>
          <w:rFonts w:ascii="Arial" w:hAnsi="Arial" w:cs="Arial"/>
          <w:sz w:val="22"/>
          <w:lang w:val="es-ES_tradnl"/>
        </w:rPr>
      </w:pPr>
      <w:bookmarkStart w:id="5" w:name="_Hlk61701014"/>
      <w:bookmarkStart w:id="6" w:name="_Hlk62136649"/>
      <w:r w:rsidRPr="006D54A1">
        <w:rPr>
          <w:rFonts w:ascii="Arial" w:hAnsi="Arial" w:cs="Arial"/>
          <w:sz w:val="22"/>
          <w:lang w:val="es-ES_tradnl"/>
        </w:rPr>
        <w:t xml:space="preserve">Es necesario tener en cuenta que </w:t>
      </w:r>
      <w:bookmarkStart w:id="7" w:name="_Hlk61026958"/>
      <w:r w:rsidRPr="006D54A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1A4DEC6D" w14:textId="77777777" w:rsidR="002D58D7" w:rsidRPr="006D54A1" w:rsidRDefault="002D58D7" w:rsidP="002D58D7">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5"/>
    </w:p>
    <w:bookmarkEnd w:id="6"/>
    <w:p w14:paraId="5E42874A" w14:textId="46BF30A2" w:rsidR="006B0FE4" w:rsidRPr="00ED66B7" w:rsidRDefault="002D58D7" w:rsidP="001B1DD3">
      <w:pPr>
        <w:spacing w:after="120" w:line="276" w:lineRule="auto"/>
        <w:ind w:firstLine="709"/>
        <w:jc w:val="both"/>
        <w:rPr>
          <w:rFonts w:ascii="Arial" w:eastAsia="Calibri" w:hAnsi="Arial" w:cs="Arial"/>
          <w:sz w:val="22"/>
          <w:szCs w:val="22"/>
          <w:lang w:val="es-ES_tradnl" w:eastAsia="en-US"/>
        </w:rPr>
      </w:pPr>
      <w:r w:rsidRPr="006D54A1">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Pr>
          <w:rFonts w:ascii="Arial" w:eastAsia="Calibri" w:hAnsi="Arial" w:cs="Arial"/>
          <w:sz w:val="22"/>
          <w:szCs w:val="22"/>
          <w:lang w:val="es-ES_tradnl" w:eastAsia="en-US"/>
        </w:rPr>
        <w:t>En este sentido, se analizarán</w:t>
      </w:r>
      <w:r w:rsidR="006B0FE4">
        <w:rPr>
          <w:rFonts w:ascii="Arial" w:eastAsia="Calibri" w:hAnsi="Arial" w:cs="Arial"/>
          <w:sz w:val="22"/>
          <w:szCs w:val="22"/>
          <w:lang w:val="es-ES_tradnl" w:eastAsia="en-US"/>
        </w:rPr>
        <w:t xml:space="preserve"> los siguientes temas: </w:t>
      </w:r>
      <w:r w:rsidR="000D379E">
        <w:rPr>
          <w:rFonts w:ascii="Arial" w:eastAsia="Calibri" w:hAnsi="Arial" w:cs="Arial"/>
          <w:sz w:val="22"/>
          <w:szCs w:val="22"/>
          <w:lang w:val="es-ES_tradnl" w:eastAsia="en-US"/>
        </w:rPr>
        <w:t>i) fundamento normativo y ámbito de aplicación de los documentos tipo</w:t>
      </w:r>
      <w:r w:rsidR="00AC361F">
        <w:rPr>
          <w:rFonts w:ascii="Arial" w:eastAsia="Calibri" w:hAnsi="Arial" w:cs="Arial"/>
          <w:sz w:val="22"/>
          <w:szCs w:val="22"/>
          <w:lang w:val="es-ES_tradnl" w:eastAsia="en-US"/>
        </w:rPr>
        <w:t xml:space="preserve"> y</w:t>
      </w:r>
      <w:r w:rsidR="00BD1D5F">
        <w:rPr>
          <w:rFonts w:ascii="Arial" w:eastAsia="Calibri" w:hAnsi="Arial" w:cs="Arial"/>
          <w:sz w:val="22"/>
          <w:szCs w:val="22"/>
          <w:lang w:val="es-ES_tradnl" w:eastAsia="en-US"/>
        </w:rPr>
        <w:t>,</w:t>
      </w:r>
      <w:r w:rsidR="000D379E">
        <w:rPr>
          <w:rFonts w:ascii="Arial" w:eastAsia="Calibri" w:hAnsi="Arial" w:cs="Arial"/>
          <w:sz w:val="22"/>
          <w:szCs w:val="22"/>
          <w:lang w:val="es-ES_tradnl" w:eastAsia="en-US"/>
        </w:rPr>
        <w:t xml:space="preserve"> ii) alcance del artículo 56 de la Ley 2195 de 2022 frente a la implementación obligatoria del Estatuto General de Contratación de la Administración </w:t>
      </w:r>
      <w:r w:rsidR="000D379E">
        <w:rPr>
          <w:rFonts w:ascii="Arial" w:eastAsia="Calibri" w:hAnsi="Arial" w:cs="Arial"/>
          <w:sz w:val="22"/>
          <w:szCs w:val="22"/>
          <w:lang w:val="es-ES_tradnl" w:eastAsia="en-US"/>
        </w:rPr>
        <w:lastRenderedPageBreak/>
        <w:t>Pública y de los documentos tipo en la contratación de las entidades estatales exceptuadas y particulares</w:t>
      </w:r>
      <w:r w:rsidR="006346A2">
        <w:rPr>
          <w:rFonts w:ascii="Arial" w:eastAsia="Calibri" w:hAnsi="Arial" w:cs="Arial"/>
          <w:sz w:val="22"/>
          <w:szCs w:val="22"/>
          <w:lang w:val="es-ES_tradnl" w:eastAsia="en-US"/>
        </w:rPr>
        <w:t xml:space="preserve">. </w:t>
      </w:r>
    </w:p>
    <w:bookmarkEnd w:id="4"/>
    <w:p w14:paraId="2D197EB9" w14:textId="7A9CFB00" w:rsidR="00B67CED" w:rsidRPr="00DE60AC" w:rsidRDefault="007B6975" w:rsidP="00DE60AC">
      <w:pPr>
        <w:spacing w:line="276" w:lineRule="auto"/>
        <w:ind w:firstLine="708"/>
        <w:jc w:val="both"/>
        <w:rPr>
          <w:rFonts w:ascii="Arial" w:eastAsia="Arial" w:hAnsi="Arial" w:cs="Arial"/>
          <w:sz w:val="22"/>
          <w:lang w:val="es-ES_tradnl"/>
        </w:rPr>
      </w:pPr>
      <w:r w:rsidRPr="00ED66B7">
        <w:rPr>
          <w:rFonts w:ascii="Arial" w:hAnsi="Arial" w:cs="Arial"/>
          <w:noProof/>
          <w:sz w:val="22"/>
          <w:lang w:val="es-ES_tradnl"/>
        </w:rPr>
        <w:t xml:space="preserve">La Agencia Nacional de Contratación Pública – Colombia Compra Eficiente </w:t>
      </w:r>
      <w:r w:rsidR="00A4213F" w:rsidRPr="00ED66B7">
        <w:rPr>
          <w:rFonts w:ascii="Arial" w:hAnsi="Arial" w:cs="Arial"/>
          <w:noProof/>
          <w:sz w:val="22"/>
          <w:lang w:val="es-ES_tradnl"/>
        </w:rPr>
        <w:t>se</w:t>
      </w:r>
      <w:r w:rsidR="00065C70" w:rsidRPr="00ED66B7">
        <w:rPr>
          <w:rFonts w:ascii="Arial" w:hAnsi="Arial" w:cs="Arial"/>
          <w:noProof/>
          <w:sz w:val="22"/>
          <w:lang w:val="es-ES_tradnl"/>
        </w:rPr>
        <w:t xml:space="preserve"> ha pronunciado</w:t>
      </w:r>
      <w:r w:rsidR="00A4213F" w:rsidRPr="00ED66B7">
        <w:rPr>
          <w:rFonts w:ascii="Arial" w:hAnsi="Arial" w:cs="Arial"/>
          <w:noProof/>
          <w:sz w:val="22"/>
          <w:lang w:val="es-ES_tradnl"/>
        </w:rPr>
        <w:t xml:space="preserve"> sobre</w:t>
      </w:r>
      <w:r w:rsidR="00065C70" w:rsidRPr="00ED66B7">
        <w:rPr>
          <w:rFonts w:ascii="Arial" w:hAnsi="Arial" w:cs="Arial"/>
          <w:noProof/>
          <w:sz w:val="22"/>
          <w:lang w:val="es-ES_tradnl"/>
        </w:rPr>
        <w:t xml:space="preserve"> el ámbito de aplicación de</w:t>
      </w:r>
      <w:r w:rsidR="00A4213F" w:rsidRPr="00ED66B7">
        <w:rPr>
          <w:rFonts w:ascii="Arial" w:hAnsi="Arial" w:cs="Arial"/>
          <w:noProof/>
          <w:sz w:val="22"/>
          <w:lang w:val="es-ES_tradnl"/>
        </w:rPr>
        <w:t xml:space="preserve"> </w:t>
      </w:r>
      <w:r w:rsidR="00430F7D" w:rsidRPr="00ED66B7">
        <w:rPr>
          <w:rFonts w:ascii="Arial" w:eastAsia="Arial" w:hAnsi="Arial" w:cs="Arial"/>
          <w:sz w:val="22"/>
          <w:lang w:val="es-ES_tradnl"/>
        </w:rPr>
        <w:t>los</w:t>
      </w:r>
      <w:r w:rsidR="00B67CED" w:rsidRPr="00ED66B7">
        <w:rPr>
          <w:rFonts w:ascii="Arial" w:eastAsia="Arial" w:hAnsi="Arial" w:cs="Arial"/>
          <w:sz w:val="22"/>
          <w:lang w:val="es-ES_tradnl"/>
        </w:rPr>
        <w:t xml:space="preserve"> </w:t>
      </w:r>
      <w:r w:rsidR="00065C70" w:rsidRPr="00ED66B7">
        <w:rPr>
          <w:rFonts w:ascii="Arial" w:eastAsia="Arial" w:hAnsi="Arial" w:cs="Arial"/>
          <w:sz w:val="22"/>
          <w:lang w:val="es-ES_tradnl"/>
        </w:rPr>
        <w:t>documentos tipo</w:t>
      </w:r>
      <w:r w:rsidR="00B67CED" w:rsidRPr="00ED66B7">
        <w:rPr>
          <w:rFonts w:ascii="Arial" w:eastAsia="Arial" w:hAnsi="Arial" w:cs="Arial"/>
          <w:sz w:val="22"/>
          <w:lang w:val="es-ES_tradnl"/>
        </w:rPr>
        <w:t xml:space="preserve"> </w:t>
      </w:r>
      <w:r w:rsidR="00E01519" w:rsidRPr="00ED66B7">
        <w:rPr>
          <w:rFonts w:ascii="Arial" w:eastAsia="Arial" w:hAnsi="Arial" w:cs="Arial"/>
          <w:sz w:val="22"/>
          <w:lang w:val="es-ES_tradnl"/>
        </w:rPr>
        <w:t>en la contratación estatal</w:t>
      </w:r>
      <w:r w:rsidR="00B67CED" w:rsidRPr="00ED66B7">
        <w:rPr>
          <w:rFonts w:ascii="Arial" w:eastAsia="Arial" w:hAnsi="Arial" w:cs="Arial"/>
          <w:sz w:val="22"/>
          <w:lang w:val="es-ES_tradnl"/>
        </w:rPr>
        <w:t>,</w:t>
      </w:r>
      <w:r w:rsidR="00885E06" w:rsidRPr="00ED66B7">
        <w:rPr>
          <w:rFonts w:ascii="Arial" w:eastAsia="Arial" w:hAnsi="Arial" w:cs="Arial"/>
          <w:sz w:val="22"/>
          <w:lang w:val="es-ES_tradnl"/>
        </w:rPr>
        <w:t xml:space="preserve"> </w:t>
      </w:r>
      <w:r w:rsidR="00B67CED" w:rsidRPr="00ED66B7">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ED66B7">
        <w:rPr>
          <w:rFonts w:ascii="Arial" w:eastAsia="Arial" w:hAnsi="Arial" w:cs="Arial"/>
          <w:sz w:val="22"/>
          <w:lang w:val="es-ES_tradnl"/>
        </w:rPr>
        <w:t xml:space="preserve">, </w:t>
      </w:r>
      <w:r w:rsidR="00B67CED" w:rsidRPr="00ED66B7">
        <w:rPr>
          <w:rFonts w:ascii="Arial" w:eastAsia="Arial" w:hAnsi="Arial" w:cs="Arial"/>
          <w:sz w:val="22"/>
          <w:lang w:val="es-ES_tradnl"/>
        </w:rPr>
        <w:t>C-570 del 27 de agosto de 2020</w:t>
      </w:r>
      <w:r w:rsidR="00D944AC" w:rsidRPr="00ED66B7">
        <w:rPr>
          <w:rFonts w:ascii="Arial" w:eastAsia="Arial" w:hAnsi="Arial" w:cs="Arial"/>
          <w:sz w:val="22"/>
          <w:lang w:val="es-ES_tradnl"/>
        </w:rPr>
        <w:t>, C</w:t>
      </w:r>
      <w:r w:rsidR="00C638CD" w:rsidRPr="00ED66B7">
        <w:rPr>
          <w:rFonts w:ascii="Arial" w:eastAsia="Arial" w:hAnsi="Arial" w:cs="Arial"/>
          <w:sz w:val="22"/>
          <w:lang w:val="es-ES_tradnl"/>
        </w:rPr>
        <w:t>-713 del 2 de diciembre de 2020</w:t>
      </w:r>
      <w:r w:rsidR="00D07DE9" w:rsidRPr="00ED66B7">
        <w:rPr>
          <w:rFonts w:ascii="Arial" w:eastAsia="Arial" w:hAnsi="Arial" w:cs="Arial"/>
          <w:sz w:val="22"/>
          <w:lang w:val="es-ES_tradnl"/>
        </w:rPr>
        <w:t xml:space="preserve"> y </w:t>
      </w:r>
      <w:r w:rsidR="00C638CD" w:rsidRPr="00ED66B7">
        <w:rPr>
          <w:rFonts w:ascii="Arial" w:eastAsia="Arial" w:hAnsi="Arial" w:cs="Arial"/>
          <w:sz w:val="22"/>
          <w:lang w:val="es-ES_tradnl"/>
        </w:rPr>
        <w:t>C-</w:t>
      </w:r>
      <w:r w:rsidR="0059455B" w:rsidRPr="00ED66B7">
        <w:rPr>
          <w:rFonts w:ascii="Arial" w:eastAsia="Arial" w:hAnsi="Arial" w:cs="Arial"/>
          <w:sz w:val="22"/>
          <w:lang w:val="es-ES_tradnl"/>
        </w:rPr>
        <w:t>744 del 22 de diciembre de 2020</w:t>
      </w:r>
      <w:r w:rsidR="00B67CED" w:rsidRPr="00ED66B7">
        <w:rPr>
          <w:rFonts w:ascii="Arial" w:eastAsia="Arial" w:hAnsi="Arial" w:cs="Arial"/>
          <w:sz w:val="22"/>
          <w:lang w:val="es-ES_tradnl"/>
        </w:rPr>
        <w:t>.</w:t>
      </w:r>
      <w:r w:rsidR="00AA1BB6" w:rsidRPr="00ED66B7">
        <w:rPr>
          <w:rFonts w:ascii="Arial" w:eastAsia="Arial" w:hAnsi="Arial" w:cs="Arial"/>
          <w:sz w:val="22"/>
          <w:lang w:val="es-ES_tradnl"/>
        </w:rPr>
        <w:t xml:space="preserve"> De otra parte, </w:t>
      </w:r>
      <w:r w:rsidR="00296D52" w:rsidRPr="00ED66B7">
        <w:rPr>
          <w:rFonts w:ascii="Arial" w:eastAsia="Arial" w:hAnsi="Arial" w:cs="Arial"/>
          <w:sz w:val="22"/>
          <w:lang w:val="es-ES_tradnl"/>
        </w:rPr>
        <w:t xml:space="preserve">esta Agencia se pronunció </w:t>
      </w:r>
      <w:r w:rsidR="00AA1BB6" w:rsidRPr="00ED66B7">
        <w:rPr>
          <w:rFonts w:ascii="Arial" w:eastAsia="Arial" w:hAnsi="Arial" w:cs="Arial"/>
          <w:sz w:val="22"/>
          <w:lang w:val="es-ES_tradnl"/>
        </w:rPr>
        <w:t>sobre el alcance del artículo 56 de la Ley 2195</w:t>
      </w:r>
      <w:r w:rsidR="00EF16B3" w:rsidRPr="00ED66B7">
        <w:rPr>
          <w:rFonts w:ascii="Arial" w:eastAsia="Arial" w:hAnsi="Arial" w:cs="Arial"/>
          <w:sz w:val="22"/>
          <w:lang w:val="es-ES_tradnl"/>
        </w:rPr>
        <w:t xml:space="preserve"> de 2022</w:t>
      </w:r>
      <w:r w:rsidR="00296D52" w:rsidRPr="00ED66B7">
        <w:rPr>
          <w:rFonts w:ascii="Arial" w:eastAsia="Arial" w:hAnsi="Arial" w:cs="Arial"/>
          <w:sz w:val="22"/>
          <w:lang w:val="es-ES_tradnl"/>
        </w:rPr>
        <w:t xml:space="preserve"> en </w:t>
      </w:r>
      <w:r w:rsidR="00272393" w:rsidRPr="00ED66B7">
        <w:rPr>
          <w:rFonts w:ascii="Arial" w:eastAsia="Arial" w:hAnsi="Arial" w:cs="Arial"/>
          <w:sz w:val="22"/>
          <w:lang w:val="es-ES_tradnl"/>
        </w:rPr>
        <w:t xml:space="preserve">los </w:t>
      </w:r>
      <w:r w:rsidR="00296D52" w:rsidRPr="00ED66B7">
        <w:rPr>
          <w:rFonts w:ascii="Arial" w:eastAsia="Arial" w:hAnsi="Arial" w:cs="Arial"/>
          <w:sz w:val="22"/>
          <w:lang w:val="es-ES_tradnl"/>
        </w:rPr>
        <w:t>concepto</w:t>
      </w:r>
      <w:r w:rsidR="00272393" w:rsidRPr="00ED66B7">
        <w:rPr>
          <w:rFonts w:ascii="Arial" w:eastAsia="Arial" w:hAnsi="Arial" w:cs="Arial"/>
          <w:sz w:val="22"/>
          <w:lang w:val="es-ES_tradnl"/>
        </w:rPr>
        <w:t>s</w:t>
      </w:r>
      <w:r w:rsidR="000A3EF4">
        <w:rPr>
          <w:rFonts w:ascii="Arial" w:eastAsia="Arial" w:hAnsi="Arial" w:cs="Arial"/>
          <w:sz w:val="22"/>
          <w:lang w:val="es-ES_tradnl"/>
        </w:rPr>
        <w:t xml:space="preserve"> C-033 del 4 de marzo de 2022,</w:t>
      </w:r>
      <w:r w:rsidR="00296D52" w:rsidRPr="00ED66B7">
        <w:rPr>
          <w:rFonts w:ascii="Arial" w:eastAsia="Arial" w:hAnsi="Arial" w:cs="Arial"/>
          <w:sz w:val="22"/>
          <w:lang w:val="es-ES_tradnl"/>
        </w:rPr>
        <w:t xml:space="preserve"> C-066 del 28 de enero de 2022</w:t>
      </w:r>
      <w:r w:rsidR="006A574E" w:rsidRPr="00ED66B7">
        <w:rPr>
          <w:rFonts w:ascii="Arial" w:eastAsia="Arial" w:hAnsi="Arial" w:cs="Arial"/>
          <w:sz w:val="22"/>
          <w:lang w:val="es-ES_tradnl"/>
        </w:rPr>
        <w:t>,</w:t>
      </w:r>
      <w:r w:rsidR="00272393" w:rsidRPr="00ED66B7">
        <w:rPr>
          <w:rFonts w:ascii="Arial" w:eastAsia="Arial" w:hAnsi="Arial" w:cs="Arial"/>
          <w:sz w:val="22"/>
          <w:lang w:val="es-ES_tradnl"/>
        </w:rPr>
        <w:t xml:space="preserve"> C-082 del 2 de marzo de 2022</w:t>
      </w:r>
      <w:bookmarkStart w:id="8" w:name="_Hlk97626612"/>
      <w:r w:rsidR="00B87A1C" w:rsidRPr="00ED66B7">
        <w:rPr>
          <w:rFonts w:ascii="Arial" w:eastAsia="Arial" w:hAnsi="Arial" w:cs="Arial"/>
          <w:sz w:val="22"/>
          <w:lang w:val="es-ES_tradnl"/>
        </w:rPr>
        <w:t>,</w:t>
      </w:r>
      <w:r w:rsidR="00025515" w:rsidRPr="00ED66B7">
        <w:rPr>
          <w:rFonts w:ascii="Arial" w:eastAsia="Arial" w:hAnsi="Arial" w:cs="Arial"/>
          <w:sz w:val="22"/>
          <w:lang w:val="es-ES_tradnl"/>
        </w:rPr>
        <w:t xml:space="preserve"> C-065 del 9 de marzo de 2022</w:t>
      </w:r>
      <w:r w:rsidR="00A35303">
        <w:rPr>
          <w:rFonts w:ascii="Arial" w:eastAsia="Arial" w:hAnsi="Arial" w:cs="Arial"/>
          <w:sz w:val="22"/>
          <w:lang w:val="es-ES_tradnl"/>
        </w:rPr>
        <w:t>,</w:t>
      </w:r>
      <w:r w:rsidR="00F03FFC" w:rsidRPr="00ED66B7">
        <w:rPr>
          <w:rFonts w:ascii="Arial" w:eastAsia="Arial" w:hAnsi="Arial" w:cs="Arial"/>
          <w:sz w:val="22"/>
          <w:lang w:val="es-ES_tradnl"/>
        </w:rPr>
        <w:t xml:space="preserve"> C-086 del 16 de marzo de 2022</w:t>
      </w:r>
      <w:r w:rsidR="00A35303">
        <w:rPr>
          <w:rFonts w:ascii="Arial" w:eastAsia="Arial" w:hAnsi="Arial" w:cs="Arial"/>
          <w:sz w:val="22"/>
          <w:lang w:val="es-ES_tradnl"/>
        </w:rPr>
        <w:t>, C-</w:t>
      </w:r>
      <w:r w:rsidR="00D023B0">
        <w:rPr>
          <w:rFonts w:ascii="Arial" w:eastAsia="Arial" w:hAnsi="Arial" w:cs="Arial"/>
          <w:sz w:val="22"/>
          <w:lang w:val="es-ES_tradnl"/>
        </w:rPr>
        <w:t>101 del 22 de marzo de 2022</w:t>
      </w:r>
      <w:r w:rsidR="00F34411">
        <w:rPr>
          <w:rFonts w:ascii="Arial" w:eastAsia="Arial" w:hAnsi="Arial" w:cs="Arial"/>
          <w:sz w:val="22"/>
          <w:lang w:val="es-ES_tradnl"/>
        </w:rPr>
        <w:t>,</w:t>
      </w:r>
      <w:r w:rsidR="00D023B0">
        <w:rPr>
          <w:rFonts w:ascii="Arial" w:eastAsia="Arial" w:hAnsi="Arial" w:cs="Arial"/>
          <w:sz w:val="22"/>
          <w:lang w:val="es-ES_tradnl"/>
        </w:rPr>
        <w:t xml:space="preserve"> C-</w:t>
      </w:r>
      <w:r w:rsidR="00135859">
        <w:rPr>
          <w:rFonts w:ascii="Arial" w:eastAsia="Arial" w:hAnsi="Arial" w:cs="Arial"/>
          <w:sz w:val="22"/>
          <w:lang w:val="es-ES_tradnl"/>
        </w:rPr>
        <w:t>110 del 23 de marzo de 2022</w:t>
      </w:r>
      <w:r w:rsidR="00646484">
        <w:rPr>
          <w:rFonts w:ascii="Arial" w:eastAsia="Arial" w:hAnsi="Arial" w:cs="Arial"/>
          <w:sz w:val="22"/>
          <w:lang w:val="es-ES_tradnl"/>
        </w:rPr>
        <w:t>,</w:t>
      </w:r>
      <w:r w:rsidR="00F34411">
        <w:rPr>
          <w:rFonts w:ascii="Arial" w:eastAsia="Arial" w:hAnsi="Arial" w:cs="Arial"/>
          <w:sz w:val="22"/>
          <w:lang w:val="es-ES_tradnl"/>
        </w:rPr>
        <w:t xml:space="preserve"> C-</w:t>
      </w:r>
      <w:r w:rsidR="008E44BA">
        <w:rPr>
          <w:rFonts w:ascii="Arial" w:eastAsia="Arial" w:hAnsi="Arial" w:cs="Arial"/>
          <w:sz w:val="22"/>
          <w:lang w:val="es-ES_tradnl"/>
        </w:rPr>
        <w:t>197 del 12 de abril de 202</w:t>
      </w:r>
      <w:r w:rsidR="00DE60AC">
        <w:rPr>
          <w:rFonts w:ascii="Arial" w:eastAsia="Arial" w:hAnsi="Arial" w:cs="Arial"/>
          <w:sz w:val="22"/>
          <w:lang w:val="es-ES_tradnl"/>
        </w:rPr>
        <w:t>2 y C-215 del 22 de abril de 2022</w:t>
      </w:r>
      <w:r w:rsidR="00646484">
        <w:rPr>
          <w:rFonts w:ascii="Arial" w:eastAsia="Arial" w:hAnsi="Arial" w:cs="Arial"/>
          <w:sz w:val="22"/>
          <w:lang w:val="es-ES_tradnl"/>
        </w:rPr>
        <w:t xml:space="preserve"> </w:t>
      </w:r>
      <w:r w:rsidR="00272393" w:rsidRPr="00ED66B7">
        <w:rPr>
          <w:rStyle w:val="Refdenotaalpie"/>
          <w:rFonts w:ascii="Arial" w:eastAsia="Arial" w:hAnsi="Arial" w:cs="Arial"/>
          <w:sz w:val="22"/>
          <w:lang w:val="es-ES_tradnl"/>
        </w:rPr>
        <w:footnoteReference w:id="3"/>
      </w:r>
      <w:bookmarkEnd w:id="8"/>
      <w:r w:rsidR="00EF16B3" w:rsidRPr="00ED66B7">
        <w:rPr>
          <w:rFonts w:ascii="Arial" w:eastAsia="Arial" w:hAnsi="Arial" w:cs="Arial"/>
          <w:sz w:val="22"/>
          <w:lang w:val="es-ES_tradnl"/>
        </w:rPr>
        <w:t>.</w:t>
      </w:r>
      <w:r w:rsidR="009C5905" w:rsidRPr="00ED66B7">
        <w:rPr>
          <w:rFonts w:ascii="Arial" w:eastAsia="Arial" w:hAnsi="Arial" w:cs="Arial"/>
          <w:sz w:val="22"/>
          <w:lang w:val="es-ES_tradnl"/>
        </w:rPr>
        <w:t xml:space="preserve"> </w:t>
      </w:r>
      <w:r w:rsidR="00B67CED" w:rsidRPr="00ED66B7">
        <w:rPr>
          <w:rFonts w:ascii="Arial" w:eastAsia="Arial" w:hAnsi="Arial" w:cs="Arial"/>
          <w:sz w:val="22"/>
          <w:lang w:val="es-ES_tradnl"/>
        </w:rPr>
        <w:t>Las ideas expuestas en dichas oportunidades se reiteran y se complementa</w:t>
      </w:r>
      <w:r w:rsidR="00E70779" w:rsidRPr="00ED66B7">
        <w:rPr>
          <w:rFonts w:ascii="Arial" w:eastAsia="Arial" w:hAnsi="Arial" w:cs="Arial"/>
          <w:sz w:val="22"/>
          <w:lang w:val="es-ES_tradnl"/>
        </w:rPr>
        <w:t>n a continuación</w:t>
      </w:r>
      <w:r w:rsidR="00296D52" w:rsidRPr="00ED66B7">
        <w:rPr>
          <w:rFonts w:ascii="Arial" w:eastAsia="Arial" w:hAnsi="Arial" w:cs="Arial"/>
          <w:sz w:val="22"/>
          <w:lang w:val="es-ES_tradnl"/>
        </w:rPr>
        <w:t>.</w:t>
      </w:r>
      <w:r w:rsidR="00B67CED" w:rsidRPr="00ED66B7">
        <w:rPr>
          <w:rFonts w:ascii="Arial" w:eastAsia="Arial" w:hAnsi="Arial" w:cs="Arial"/>
          <w:sz w:val="22"/>
          <w:lang w:val="es-ES_tradnl"/>
        </w:rPr>
        <w:t xml:space="preserve">    </w:t>
      </w:r>
    </w:p>
    <w:p w14:paraId="327A3AB8" w14:textId="77777777" w:rsidR="00025515" w:rsidRPr="00ED66B7" w:rsidRDefault="00025515" w:rsidP="00B67CED">
      <w:pPr>
        <w:spacing w:line="276" w:lineRule="auto"/>
        <w:jc w:val="both"/>
        <w:rPr>
          <w:rFonts w:ascii="Arial" w:eastAsia="Arial" w:hAnsi="Arial" w:cs="Arial"/>
          <w:b/>
          <w:bCs/>
          <w:sz w:val="22"/>
          <w:lang w:val="es-ES_tradnl"/>
        </w:rPr>
      </w:pPr>
    </w:p>
    <w:p w14:paraId="386098CC" w14:textId="16E7766C" w:rsidR="00B67CED" w:rsidRPr="00ED66B7" w:rsidRDefault="00B67CED" w:rsidP="00B67CED">
      <w:pPr>
        <w:spacing w:line="276" w:lineRule="auto"/>
        <w:jc w:val="both"/>
        <w:rPr>
          <w:rFonts w:ascii="Arial" w:eastAsia="Arial" w:hAnsi="Arial" w:cs="Arial"/>
          <w:b/>
          <w:bCs/>
          <w:sz w:val="22"/>
          <w:lang w:val="es-ES_tradnl"/>
        </w:rPr>
      </w:pPr>
      <w:r w:rsidRPr="00ED66B7">
        <w:rPr>
          <w:rFonts w:ascii="Arial" w:eastAsia="Arial" w:hAnsi="Arial" w:cs="Arial"/>
          <w:b/>
          <w:bCs/>
          <w:sz w:val="22"/>
          <w:lang w:val="es-ES_tradnl"/>
        </w:rPr>
        <w:t>2.</w:t>
      </w:r>
      <w:r w:rsidR="00D94E5D" w:rsidRPr="00ED66B7">
        <w:rPr>
          <w:rFonts w:ascii="Arial" w:eastAsia="Arial" w:hAnsi="Arial" w:cs="Arial"/>
          <w:b/>
          <w:bCs/>
          <w:sz w:val="22"/>
          <w:lang w:val="es-ES_tradnl"/>
        </w:rPr>
        <w:t>1</w:t>
      </w:r>
      <w:r w:rsidRPr="00ED66B7">
        <w:rPr>
          <w:rFonts w:ascii="Arial" w:eastAsia="Arial" w:hAnsi="Arial" w:cs="Arial"/>
          <w:b/>
          <w:bCs/>
          <w:sz w:val="22"/>
          <w:lang w:val="es-ES_tradnl"/>
        </w:rPr>
        <w:t xml:space="preserve">. </w:t>
      </w:r>
      <w:r w:rsidR="00B04B71" w:rsidRPr="00ED66B7">
        <w:rPr>
          <w:rFonts w:ascii="Arial" w:eastAsia="Arial" w:hAnsi="Arial" w:cs="Arial"/>
          <w:b/>
          <w:bCs/>
          <w:sz w:val="22"/>
          <w:lang w:val="es-ES_tradnl"/>
        </w:rPr>
        <w:t xml:space="preserve">Fundamento normativo </w:t>
      </w:r>
      <w:r w:rsidR="00E70779" w:rsidRPr="00ED66B7">
        <w:rPr>
          <w:rFonts w:ascii="Arial" w:eastAsia="Arial" w:hAnsi="Arial" w:cs="Arial"/>
          <w:b/>
          <w:bCs/>
          <w:sz w:val="22"/>
          <w:lang w:val="es-ES_tradnl"/>
        </w:rPr>
        <w:t xml:space="preserve">y ámbito de aplicación </w:t>
      </w:r>
      <w:r w:rsidR="00B04B71" w:rsidRPr="00ED66B7">
        <w:rPr>
          <w:rFonts w:ascii="Arial" w:eastAsia="Arial" w:hAnsi="Arial" w:cs="Arial"/>
          <w:b/>
          <w:bCs/>
          <w:sz w:val="22"/>
          <w:lang w:val="es-ES_tradnl"/>
        </w:rPr>
        <w:t xml:space="preserve">de los </w:t>
      </w:r>
      <w:r w:rsidR="00A409BC" w:rsidRPr="00ED66B7">
        <w:rPr>
          <w:rFonts w:ascii="Arial" w:eastAsia="Arial" w:hAnsi="Arial" w:cs="Arial"/>
          <w:b/>
          <w:bCs/>
          <w:sz w:val="22"/>
          <w:lang w:val="es-ES_tradnl"/>
        </w:rPr>
        <w:t>documentos tipo</w:t>
      </w:r>
      <w:r w:rsidR="00B04B71" w:rsidRPr="00ED66B7">
        <w:rPr>
          <w:rFonts w:ascii="Arial" w:eastAsia="Arial" w:hAnsi="Arial" w:cs="Arial"/>
          <w:b/>
          <w:bCs/>
          <w:sz w:val="22"/>
          <w:lang w:val="es-ES_tradnl"/>
        </w:rPr>
        <w:t xml:space="preserve"> </w:t>
      </w:r>
    </w:p>
    <w:p w14:paraId="56AA6DC3" w14:textId="77777777" w:rsidR="00217D17" w:rsidRPr="00ED66B7" w:rsidRDefault="00217D17" w:rsidP="00217D17">
      <w:pPr>
        <w:jc w:val="both"/>
        <w:rPr>
          <w:rFonts w:ascii="Arial" w:eastAsia="Arial" w:hAnsi="Arial" w:cs="Arial"/>
          <w:b/>
          <w:bCs/>
          <w:sz w:val="22"/>
          <w:lang w:val="es-ES_tradnl"/>
        </w:rPr>
      </w:pPr>
    </w:p>
    <w:p w14:paraId="6433DDA0" w14:textId="748AB0D6" w:rsidR="00B67CED" w:rsidRPr="00ED66B7" w:rsidRDefault="00B67CED" w:rsidP="009753C3">
      <w:pPr>
        <w:spacing w:after="120" w:line="276" w:lineRule="auto"/>
        <w:jc w:val="both"/>
        <w:rPr>
          <w:rFonts w:ascii="Arial" w:eastAsia="Calibri" w:hAnsi="Arial" w:cs="Arial"/>
          <w:sz w:val="22"/>
          <w:lang w:val="es-ES_tradnl"/>
        </w:rPr>
      </w:pPr>
      <w:r w:rsidRPr="00ED66B7">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D66B7">
        <w:rPr>
          <w:rStyle w:val="Refdenotaalpie"/>
          <w:rFonts w:ascii="Arial" w:eastAsia="Calibri" w:hAnsi="Arial" w:cs="Arial"/>
          <w:sz w:val="22"/>
          <w:lang w:val="es-ES_tradnl"/>
        </w:rPr>
        <w:footnoteReference w:id="4"/>
      </w:r>
      <w:r w:rsidRPr="00ED66B7">
        <w:rPr>
          <w:rFonts w:ascii="Arial" w:eastAsia="Calibri" w:hAnsi="Arial" w:cs="Arial"/>
          <w:sz w:val="22"/>
          <w:lang w:val="es-ES_tradnl"/>
        </w:rPr>
        <w:t xml:space="preserve">, que facultó al </w:t>
      </w:r>
      <w:r w:rsidR="000256F7" w:rsidRPr="00ED66B7">
        <w:rPr>
          <w:rFonts w:ascii="Arial" w:eastAsia="Calibri" w:hAnsi="Arial" w:cs="Arial"/>
          <w:sz w:val="22"/>
          <w:lang w:val="es-ES_tradnl"/>
        </w:rPr>
        <w:t>g</w:t>
      </w:r>
      <w:r w:rsidRPr="00ED66B7">
        <w:rPr>
          <w:rFonts w:ascii="Arial" w:eastAsia="Calibri" w:hAnsi="Arial" w:cs="Arial"/>
          <w:sz w:val="22"/>
          <w:lang w:val="es-ES_tradnl"/>
        </w:rPr>
        <w:t xml:space="preserve">obierno </w:t>
      </w:r>
      <w:r w:rsidR="000256F7" w:rsidRPr="00ED66B7">
        <w:rPr>
          <w:rFonts w:ascii="Arial" w:eastAsia="Calibri" w:hAnsi="Arial" w:cs="Arial"/>
          <w:sz w:val="22"/>
          <w:lang w:val="es-ES_tradnl"/>
        </w:rPr>
        <w:t>n</w:t>
      </w:r>
      <w:r w:rsidRPr="00ED66B7">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EE1C10" w:rsidRPr="00ED66B7">
        <w:rPr>
          <w:rFonts w:ascii="Arial" w:eastAsia="Calibri" w:hAnsi="Arial" w:cs="Arial"/>
          <w:sz w:val="22"/>
          <w:lang w:val="es-ES_tradnl"/>
        </w:rPr>
        <w:t>S</w:t>
      </w:r>
      <w:r w:rsidRPr="00ED66B7">
        <w:rPr>
          <w:rFonts w:ascii="Arial" w:eastAsia="Calibri" w:hAnsi="Arial" w:cs="Arial"/>
          <w:sz w:val="22"/>
          <w:lang w:val="es-ES_tradnl"/>
        </w:rPr>
        <w:t xml:space="preserve">in embargo, esta facultad no ha sido ejercida hasta la actualidad. </w:t>
      </w:r>
    </w:p>
    <w:p w14:paraId="34CA2DC0" w14:textId="619B8CE8" w:rsidR="00B67CED" w:rsidRPr="00ED66B7" w:rsidRDefault="00B67CED" w:rsidP="009753C3">
      <w:pPr>
        <w:spacing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w:t>
      </w:r>
      <w:r w:rsidR="005C5FFF" w:rsidRPr="00ED66B7">
        <w:rPr>
          <w:rFonts w:ascii="Arial" w:eastAsia="Calibri" w:hAnsi="Arial" w:cs="Arial"/>
          <w:sz w:val="22"/>
          <w:lang w:val="es-ES_tradnl"/>
        </w:rPr>
        <w:t>Debe señalarse que</w:t>
      </w:r>
      <w:r w:rsidRPr="00ED66B7">
        <w:rPr>
          <w:rFonts w:ascii="Arial" w:eastAsia="Calibri" w:hAnsi="Arial" w:cs="Arial"/>
          <w:sz w:val="22"/>
          <w:lang w:val="es-ES_tradnl"/>
        </w:rPr>
        <w:t xml:space="preserve"> en virtud de la Ley 1882 de 2018 se expidieron varios documentos tipo para el sector de infraestructura de transporte y, por tanto, es importante explicar el proceso previsto en dicho cuerpo normativo. </w:t>
      </w:r>
    </w:p>
    <w:p w14:paraId="4B49E46F" w14:textId="7CDD125D" w:rsidR="00B67CED" w:rsidRPr="00ED66B7" w:rsidRDefault="00B67CED" w:rsidP="009753C3">
      <w:pPr>
        <w:spacing w:before="120" w:after="120"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t xml:space="preserve">La Ley 1882 de 2018, en el artículo 4, establecía que el </w:t>
      </w:r>
      <w:r w:rsidR="00671C52"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adoptaría los documentos tipo para los pliegos de condiciones de los procesos de selección de obras públicas, interventoría para las obras públicas, interventoría para consultoría de estudios y </w:t>
      </w:r>
      <w:r w:rsidRPr="00ED66B7">
        <w:rPr>
          <w:rFonts w:ascii="Arial" w:eastAsia="Calibri" w:hAnsi="Arial" w:cs="Arial"/>
          <w:sz w:val="22"/>
          <w:lang w:val="es-ES_tradnl"/>
        </w:rPr>
        <w:lastRenderedPageBreak/>
        <w:t>diseños para obras públicas y consultoría en ingeniería para obras, los cuales debían ser utilizados por todas las entidades sometidas al Estatuto General de Contratación de la Administración Pública en los procesos de selección que adelantaran</w:t>
      </w:r>
      <w:r w:rsidRPr="00ED66B7">
        <w:rPr>
          <w:rStyle w:val="Refdenotaalpie"/>
          <w:rFonts w:ascii="Arial" w:eastAsia="Calibri" w:hAnsi="Arial" w:cs="Arial"/>
          <w:sz w:val="22"/>
          <w:lang w:val="es-ES_tradnl"/>
        </w:rPr>
        <w:footnoteReference w:id="5"/>
      </w:r>
      <w:r w:rsidRPr="00ED66B7">
        <w:rPr>
          <w:rFonts w:ascii="Arial" w:eastAsia="Calibri" w:hAnsi="Arial" w:cs="Arial"/>
          <w:sz w:val="22"/>
          <w:lang w:val="es-ES_tradnl"/>
        </w:rPr>
        <w:t>.</w:t>
      </w:r>
    </w:p>
    <w:p w14:paraId="1B1BF1D9" w14:textId="3E621450"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Asimismo, señalaba que</w:t>
      </w:r>
      <w:r w:rsidR="001B787E" w:rsidRPr="00ED66B7">
        <w:rPr>
          <w:rFonts w:ascii="Arial" w:eastAsia="Calibri" w:hAnsi="Arial" w:cs="Arial"/>
          <w:sz w:val="22"/>
          <w:lang w:val="es-ES_tradnl"/>
        </w:rPr>
        <w:t>,</w:t>
      </w:r>
      <w:r w:rsidRPr="00ED66B7">
        <w:rPr>
          <w:rFonts w:ascii="Arial" w:eastAsia="Calibri" w:hAnsi="Arial" w:cs="Arial"/>
          <w:sz w:val="22"/>
          <w:lang w:val="es-ES_tradnl"/>
        </w:rPr>
        <w:t xml:space="preserve"> dentro de los documentos tipo</w:t>
      </w:r>
      <w:r w:rsidR="005E681E" w:rsidRPr="00ED66B7">
        <w:rPr>
          <w:rFonts w:ascii="Arial" w:eastAsia="Calibri" w:hAnsi="Arial" w:cs="Arial"/>
          <w:sz w:val="22"/>
          <w:lang w:val="es-ES_tradnl"/>
        </w:rPr>
        <w:t>,</w:t>
      </w:r>
      <w:r w:rsidRPr="00ED66B7">
        <w:rPr>
          <w:rFonts w:ascii="Arial" w:eastAsia="Calibri" w:hAnsi="Arial" w:cs="Arial"/>
          <w:sz w:val="22"/>
          <w:lang w:val="es-ES_tradnl"/>
        </w:rPr>
        <w:t xml:space="preserve"> el </w:t>
      </w:r>
      <w:r w:rsidR="001B787E" w:rsidRPr="00ED66B7">
        <w:rPr>
          <w:rFonts w:ascii="Arial" w:eastAsia="Calibri" w:hAnsi="Arial" w:cs="Arial"/>
          <w:sz w:val="22"/>
          <w:lang w:val="es-ES_tradnl"/>
        </w:rPr>
        <w:t>g</w:t>
      </w:r>
      <w:r w:rsidRPr="00ED66B7">
        <w:rPr>
          <w:rFonts w:ascii="Arial" w:eastAsia="Calibri" w:hAnsi="Arial" w:cs="Arial"/>
          <w:sz w:val="22"/>
          <w:lang w:val="es-ES_tradnl"/>
        </w:rPr>
        <w:t>obierno adoptaría de manera general y con alcance obligatorio para todas las entidades</w:t>
      </w:r>
      <w:r w:rsidR="005E681E"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ED66B7">
        <w:rPr>
          <w:rFonts w:ascii="Arial" w:eastAsia="Calibri" w:hAnsi="Arial" w:cs="Arial"/>
          <w:sz w:val="22"/>
          <w:lang w:val="es-ES_tradnl"/>
        </w:rPr>
        <w:t>g</w:t>
      </w:r>
      <w:r w:rsidRPr="00ED66B7">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D66B7">
        <w:rPr>
          <w:rFonts w:ascii="Arial" w:eastAsia="Calibri" w:hAnsi="Arial" w:cs="Arial"/>
          <w:sz w:val="22"/>
          <w:lang w:val="es-ES_tradnl"/>
        </w:rPr>
        <w:t>g</w:t>
      </w:r>
      <w:r w:rsidRPr="00ED66B7">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5D74D9B3"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la norma descrita se concluía lo siguiente: i) la adopción de los documentos tipo estaba en cabeza del </w:t>
      </w:r>
      <w:r w:rsidR="00C46294" w:rsidRPr="00ED66B7">
        <w:rPr>
          <w:rFonts w:ascii="Arial" w:eastAsia="Calibri" w:hAnsi="Arial" w:cs="Arial"/>
          <w:sz w:val="22"/>
          <w:lang w:val="es-ES_tradnl"/>
        </w:rPr>
        <w:t>g</w:t>
      </w:r>
      <w:r w:rsidRPr="00ED66B7">
        <w:rPr>
          <w:rFonts w:ascii="Arial" w:eastAsia="Calibri" w:hAnsi="Arial" w:cs="Arial"/>
          <w:sz w:val="22"/>
          <w:lang w:val="es-ES_tradnl"/>
        </w:rPr>
        <w:t>obierno nacional</w:t>
      </w:r>
      <w:r w:rsidR="00204379" w:rsidRPr="00ED66B7">
        <w:rPr>
          <w:rFonts w:ascii="Arial" w:eastAsia="Calibri" w:hAnsi="Arial" w:cs="Arial"/>
          <w:sz w:val="22"/>
          <w:lang w:val="es-ES_tradnl"/>
        </w:rPr>
        <w:t>.</w:t>
      </w:r>
      <w:r w:rsidRPr="00ED66B7">
        <w:rPr>
          <w:rFonts w:ascii="Arial" w:eastAsia="Calibri" w:hAnsi="Arial" w:cs="Arial"/>
          <w:sz w:val="22"/>
          <w:lang w:val="es-ES_tradnl"/>
        </w:rPr>
        <w:t xml:space="preserve"> ii) </w:t>
      </w:r>
      <w:r w:rsidR="00DB229C" w:rsidRPr="00ED66B7">
        <w:rPr>
          <w:rFonts w:ascii="Arial" w:eastAsia="Calibri" w:hAnsi="Arial" w:cs="Arial"/>
          <w:sz w:val="22"/>
          <w:lang w:val="es-ES_tradnl"/>
        </w:rPr>
        <w:t>E</w:t>
      </w:r>
      <w:r w:rsidRPr="00ED66B7">
        <w:rPr>
          <w:rFonts w:ascii="Arial" w:eastAsia="Calibri" w:hAnsi="Arial" w:cs="Arial"/>
          <w:sz w:val="22"/>
          <w:lang w:val="es-ES_tradnl"/>
        </w:rPr>
        <w:t>stos debían relacionarse con procesos de obra</w:t>
      </w:r>
      <w:r w:rsidR="00143C55">
        <w:rPr>
          <w:rFonts w:ascii="Arial" w:eastAsia="Calibri" w:hAnsi="Arial" w:cs="Arial"/>
          <w:sz w:val="22"/>
          <w:lang w:val="es-ES_tradnl"/>
        </w:rPr>
        <w:t>s</w:t>
      </w:r>
      <w:r w:rsidRPr="00ED66B7">
        <w:rPr>
          <w:rFonts w:ascii="Arial" w:eastAsia="Calibri" w:hAnsi="Arial" w:cs="Arial"/>
          <w:sz w:val="22"/>
          <w:lang w:val="es-ES_tradnl"/>
        </w:rPr>
        <w:t xml:space="preserve"> pública</w:t>
      </w:r>
      <w:r w:rsidR="00143C55">
        <w:rPr>
          <w:rFonts w:ascii="Arial" w:eastAsia="Calibri" w:hAnsi="Arial" w:cs="Arial"/>
          <w:sz w:val="22"/>
          <w:lang w:val="es-ES_tradnl"/>
        </w:rPr>
        <w:t>s</w:t>
      </w:r>
      <w:r w:rsidRPr="00ED66B7">
        <w:rPr>
          <w:rFonts w:ascii="Arial" w:eastAsia="Calibri" w:hAnsi="Arial" w:cs="Arial"/>
          <w:sz w:val="22"/>
          <w:lang w:val="es-ES_tradnl"/>
        </w:rPr>
        <w:t>,</w:t>
      </w:r>
      <w:r w:rsidR="006778E7" w:rsidRPr="00ED66B7">
        <w:rPr>
          <w:rFonts w:ascii="Arial" w:eastAsia="Calibri" w:hAnsi="Arial" w:cs="Arial"/>
          <w:sz w:val="22"/>
          <w:lang w:val="es-ES_tradnl"/>
        </w:rPr>
        <w:t xml:space="preserve"> </w:t>
      </w:r>
      <w:r w:rsidRPr="00ED66B7">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w:t>
      </w:r>
      <w:proofErr w:type="spellStart"/>
      <w:r w:rsidRPr="00ED66B7">
        <w:rPr>
          <w:rFonts w:ascii="Arial" w:eastAsia="Calibri" w:hAnsi="Arial" w:cs="Arial"/>
          <w:sz w:val="22"/>
          <w:lang w:val="es-ES_tradnl"/>
        </w:rPr>
        <w:t>iii</w:t>
      </w:r>
      <w:proofErr w:type="spellEnd"/>
      <w:r w:rsidRPr="00ED66B7">
        <w:rPr>
          <w:rFonts w:ascii="Arial" w:eastAsia="Calibri" w:hAnsi="Arial" w:cs="Arial"/>
          <w:sz w:val="22"/>
          <w:lang w:val="es-ES_tradnl"/>
        </w:rPr>
        <w:t>)</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iv)</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 xml:space="preserve">n los documentos tipo se indicarían las condiciones generales de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 xml:space="preserve">requisitos habilitantes, así como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factores técnicos y económicos de escogencia, según correspondiera para cada modalidad de selección</w:t>
      </w:r>
      <w:r w:rsidR="00F02CC2" w:rsidRPr="00ED66B7">
        <w:rPr>
          <w:rFonts w:ascii="Arial" w:eastAsia="Calibri" w:hAnsi="Arial" w:cs="Arial"/>
          <w:sz w:val="22"/>
          <w:lang w:val="es-ES_tradnl"/>
        </w:rPr>
        <w:t>.</w:t>
      </w:r>
      <w:r w:rsidRPr="00ED66B7">
        <w:rPr>
          <w:rFonts w:ascii="Arial" w:eastAsia="Calibri" w:hAnsi="Arial" w:cs="Arial"/>
          <w:sz w:val="22"/>
          <w:lang w:val="es-ES_tradnl"/>
        </w:rPr>
        <w:t xml:space="preserve"> v) </w:t>
      </w:r>
      <w:r w:rsidR="00DB229C" w:rsidRPr="00ED66B7">
        <w:rPr>
          <w:rFonts w:ascii="Arial" w:eastAsia="Calibri" w:hAnsi="Arial" w:cs="Arial"/>
          <w:sz w:val="22"/>
          <w:lang w:val="es-ES_tradnl"/>
        </w:rPr>
        <w:t>El</w:t>
      </w:r>
      <w:r w:rsidRPr="00ED66B7">
        <w:rPr>
          <w:rFonts w:ascii="Arial" w:eastAsia="Calibri" w:hAnsi="Arial" w:cs="Arial"/>
          <w:sz w:val="22"/>
          <w:lang w:val="es-ES_tradnl"/>
        </w:rPr>
        <w:t xml:space="preserve"> </w:t>
      </w:r>
      <w:r w:rsidR="00E84352" w:rsidRPr="00ED66B7">
        <w:rPr>
          <w:rFonts w:ascii="Arial" w:eastAsia="Calibri" w:hAnsi="Arial" w:cs="Arial"/>
          <w:sz w:val="22"/>
          <w:lang w:val="es-ES_tradnl"/>
        </w:rPr>
        <w:t>g</w:t>
      </w:r>
      <w:r w:rsidRPr="00ED66B7">
        <w:rPr>
          <w:rFonts w:ascii="Arial" w:eastAsia="Calibri" w:hAnsi="Arial" w:cs="Arial"/>
          <w:sz w:val="22"/>
          <w:lang w:val="es-ES_tradnl"/>
        </w:rPr>
        <w:t>obierno nacional tenía la facultad de adoptar documentos tipo en otros contratos o procesos de selección</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P</w:t>
      </w:r>
      <w:r w:rsidRPr="00ED66B7">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Esta norma fue estudiada por la Corte Constitucional en la </w:t>
      </w:r>
      <w:r w:rsidR="001E2D23" w:rsidRPr="00ED66B7">
        <w:rPr>
          <w:rFonts w:ascii="Arial" w:eastAsia="Calibri" w:hAnsi="Arial" w:cs="Arial"/>
          <w:sz w:val="22"/>
          <w:lang w:val="es-ES_tradnl"/>
        </w:rPr>
        <w:t>S</w:t>
      </w:r>
      <w:r w:rsidRPr="00ED66B7">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w:t>
      </w:r>
      <w:r w:rsidRPr="00ED66B7">
        <w:rPr>
          <w:rFonts w:ascii="Arial" w:eastAsia="Calibri" w:hAnsi="Arial" w:cs="Arial"/>
          <w:sz w:val="22"/>
          <w:lang w:val="es-ES_tradnl"/>
        </w:rPr>
        <w:lastRenderedPageBreak/>
        <w:t xml:space="preserve">requisitos habilitantes </w:t>
      </w:r>
      <w:bookmarkStart w:id="9" w:name="_Hlk48665985"/>
      <w:r w:rsidRPr="00ED66B7">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9"/>
      <w:r w:rsidRPr="00ED66B7">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D66B7">
        <w:rPr>
          <w:rStyle w:val="Refdenotaalpie"/>
          <w:rFonts w:ascii="Arial" w:eastAsia="Calibri" w:hAnsi="Arial" w:cs="Arial"/>
          <w:sz w:val="22"/>
          <w:lang w:val="es-ES_tradnl"/>
        </w:rPr>
        <w:footnoteReference w:id="6"/>
      </w:r>
      <w:r w:rsidRPr="00ED66B7">
        <w:rPr>
          <w:rFonts w:ascii="Arial" w:eastAsia="Calibri" w:hAnsi="Arial" w:cs="Arial"/>
          <w:sz w:val="22"/>
          <w:lang w:val="es-ES_tradnl"/>
        </w:rPr>
        <w:t>.</w:t>
      </w:r>
    </w:p>
    <w:p w14:paraId="1D93AEF8" w14:textId="7B26B1AB"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Ahora, dicha autonomía se materializa cuando las entidades territoriales deciden </w:t>
      </w:r>
      <w:r w:rsidR="00DB229C" w:rsidRPr="00ED66B7">
        <w:rPr>
          <w:rFonts w:ascii="Arial" w:eastAsia="Calibri" w:hAnsi="Arial" w:cs="Arial"/>
          <w:sz w:val="22"/>
          <w:lang w:val="es-ES_tradnl"/>
        </w:rPr>
        <w:t xml:space="preserve">iniciar </w:t>
      </w:r>
      <w:r w:rsidRPr="00ED66B7">
        <w:rPr>
          <w:rFonts w:ascii="Arial" w:eastAsia="Calibri" w:hAnsi="Arial" w:cs="Arial"/>
          <w:sz w:val="22"/>
          <w:lang w:val="es-ES_tradnl"/>
        </w:rPr>
        <w:t>un proceso de convocatoria para satisfacer sus necesidades para la adquisición de un bien</w:t>
      </w:r>
      <w:r w:rsidR="00DB229C" w:rsidRPr="00ED66B7">
        <w:rPr>
          <w:rFonts w:ascii="Arial" w:eastAsia="Calibri" w:hAnsi="Arial" w:cs="Arial"/>
          <w:sz w:val="22"/>
          <w:lang w:val="es-ES_tradnl"/>
        </w:rPr>
        <w:t>, obra</w:t>
      </w:r>
      <w:r w:rsidRPr="00ED66B7">
        <w:rPr>
          <w:rFonts w:ascii="Arial" w:eastAsia="Calibri" w:hAnsi="Arial" w:cs="Arial"/>
          <w:sz w:val="22"/>
          <w:lang w:val="es-ES_tradnl"/>
        </w:rPr>
        <w:t xml:space="preserve"> o servicio</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y además se incluyen en la minuta del contrato las condiciones particulares del negocio jurídico a celebrar.</w:t>
      </w:r>
    </w:p>
    <w:p w14:paraId="43D65EC3" w14:textId="77777777" w:rsidR="0038775B" w:rsidRPr="00ED66B7" w:rsidRDefault="00B67CED" w:rsidP="009753C3">
      <w:pPr>
        <w:spacing w:before="120" w:after="120" w:line="276" w:lineRule="auto"/>
        <w:jc w:val="both"/>
        <w:rPr>
          <w:rFonts w:ascii="Arial" w:eastAsia="Calibri" w:hAnsi="Arial" w:cs="Arial"/>
          <w:sz w:val="22"/>
          <w:szCs w:val="22"/>
          <w:lang w:val="es-ES_tradnl" w:eastAsia="en-US"/>
        </w:rPr>
      </w:pPr>
      <w:r w:rsidRPr="00ED66B7">
        <w:rPr>
          <w:rFonts w:ascii="Arial" w:eastAsia="Calibri" w:hAnsi="Arial" w:cs="Arial"/>
          <w:sz w:val="22"/>
          <w:szCs w:val="22"/>
          <w:lang w:val="es-ES_tradnl"/>
        </w:rPr>
        <w:tab/>
      </w:r>
      <w:r w:rsidRPr="00ED66B7">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ED66B7">
        <w:rPr>
          <w:rFonts w:ascii="Arial" w:eastAsia="Calibri" w:hAnsi="Arial" w:cs="Arial"/>
          <w:sz w:val="22"/>
          <w:szCs w:val="22"/>
          <w:lang w:val="es-ES_tradnl" w:eastAsia="en-US"/>
        </w:rPr>
        <w:t>g</w:t>
      </w:r>
      <w:r w:rsidRPr="00ED66B7">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w:t>
      </w:r>
      <w:r w:rsidR="003C3857" w:rsidRPr="00ED66B7">
        <w:rPr>
          <w:rFonts w:ascii="Arial" w:eastAsia="Calibri" w:hAnsi="Arial" w:cs="Arial"/>
          <w:sz w:val="22"/>
          <w:szCs w:val="22"/>
          <w:lang w:val="es-ES_tradnl" w:eastAsia="en-US"/>
        </w:rPr>
        <w:t xml:space="preserve"> de documentos tipo</w:t>
      </w:r>
      <w:r w:rsidRPr="00ED66B7">
        <w:rPr>
          <w:rFonts w:ascii="Arial" w:eastAsia="Calibri" w:hAnsi="Arial" w:cs="Arial"/>
          <w:sz w:val="22"/>
          <w:szCs w:val="22"/>
          <w:lang w:val="es-ES_tradnl" w:eastAsia="en-US"/>
        </w:rPr>
        <w:t xml:space="preserve"> mediante el Decreto 342 del 5 de marzo de 2019, relacionado con los documentos tipo para los procesos de selección de licitación de obra pública de infraestructura de transporte</w:t>
      </w:r>
      <w:r w:rsidR="002925F5"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r w:rsidR="002925F5" w:rsidRPr="00ED66B7">
        <w:rPr>
          <w:rFonts w:ascii="Arial" w:eastAsia="Calibri" w:hAnsi="Arial" w:cs="Arial"/>
          <w:sz w:val="22"/>
          <w:szCs w:val="22"/>
          <w:lang w:val="es-ES_tradnl" w:eastAsia="en-US"/>
        </w:rPr>
        <w:t xml:space="preserve">Luego se expidió </w:t>
      </w:r>
      <w:r w:rsidRPr="00ED66B7">
        <w:rPr>
          <w:rFonts w:ascii="Arial" w:eastAsia="Calibri" w:hAnsi="Arial" w:cs="Arial"/>
          <w:sz w:val="22"/>
          <w:szCs w:val="22"/>
          <w:lang w:val="es-ES_tradnl" w:eastAsia="en-US"/>
        </w:rPr>
        <w:t xml:space="preserve">el Decreto 2096 del 21 de noviembre de 2019, </w:t>
      </w:r>
      <w:r w:rsidR="00747570" w:rsidRPr="00ED66B7">
        <w:rPr>
          <w:rFonts w:ascii="Arial" w:eastAsia="Calibri" w:hAnsi="Arial" w:cs="Arial"/>
          <w:sz w:val="22"/>
          <w:szCs w:val="22"/>
          <w:lang w:val="es-ES_tradnl" w:eastAsia="en-US"/>
        </w:rPr>
        <w:t>que permitió el desarrollo de</w:t>
      </w:r>
      <w:r w:rsidRPr="00ED66B7">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ED66B7">
        <w:rPr>
          <w:rFonts w:ascii="Arial" w:eastAsia="Calibri" w:hAnsi="Arial" w:cs="Arial"/>
          <w:sz w:val="22"/>
          <w:szCs w:val="22"/>
          <w:lang w:val="es-ES_tradnl" w:eastAsia="en-US"/>
        </w:rPr>
        <w:t>adelantaran</w:t>
      </w:r>
      <w:r w:rsidRPr="00ED66B7">
        <w:rPr>
          <w:rFonts w:ascii="Arial" w:eastAsia="Calibri" w:hAnsi="Arial" w:cs="Arial"/>
          <w:sz w:val="22"/>
          <w:szCs w:val="22"/>
          <w:lang w:val="es-ES_tradnl" w:eastAsia="en-US"/>
        </w:rPr>
        <w:t xml:space="preserve"> por la modalidad de selección abreviada de menor cuantía</w:t>
      </w:r>
      <w:r w:rsidR="00747570"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p>
    <w:p w14:paraId="4D310BC6" w14:textId="487B78CE" w:rsidR="00B67CED" w:rsidRPr="00ED66B7" w:rsidRDefault="00747570" w:rsidP="006634B2">
      <w:pPr>
        <w:spacing w:before="120" w:after="120" w:line="276" w:lineRule="auto"/>
        <w:ind w:firstLine="708"/>
        <w:jc w:val="both"/>
        <w:rPr>
          <w:rFonts w:ascii="Arial" w:eastAsia="Calibri" w:hAnsi="Arial" w:cs="Arial"/>
          <w:sz w:val="22"/>
          <w:szCs w:val="22"/>
          <w:lang w:val="es-ES_tradnl"/>
        </w:rPr>
      </w:pPr>
      <w:r w:rsidRPr="00ED66B7">
        <w:rPr>
          <w:rFonts w:ascii="Arial" w:eastAsia="Calibri" w:hAnsi="Arial" w:cs="Arial"/>
          <w:sz w:val="22"/>
          <w:szCs w:val="22"/>
          <w:lang w:val="es-ES_tradnl" w:eastAsia="en-US"/>
        </w:rPr>
        <w:t>F</w:t>
      </w:r>
      <w:r w:rsidR="00B67CED" w:rsidRPr="00ED66B7">
        <w:rPr>
          <w:rFonts w:ascii="Arial" w:eastAsia="Calibri" w:hAnsi="Arial" w:cs="Arial"/>
          <w:sz w:val="22"/>
          <w:szCs w:val="22"/>
          <w:lang w:val="es-ES_tradnl" w:eastAsia="en-US"/>
        </w:rPr>
        <w:t xml:space="preserve">inalmente, </w:t>
      </w:r>
      <w:r w:rsidRPr="00ED66B7">
        <w:rPr>
          <w:rFonts w:ascii="Arial" w:eastAsia="Calibri" w:hAnsi="Arial" w:cs="Arial"/>
          <w:sz w:val="22"/>
          <w:szCs w:val="22"/>
          <w:lang w:val="es-ES_tradnl" w:eastAsia="en-US"/>
        </w:rPr>
        <w:t xml:space="preserve">se profirió </w:t>
      </w:r>
      <w:r w:rsidR="00B67CED" w:rsidRPr="00ED66B7">
        <w:rPr>
          <w:rFonts w:ascii="Arial" w:eastAsia="Calibri" w:hAnsi="Arial" w:cs="Arial"/>
          <w:sz w:val="22"/>
          <w:szCs w:val="22"/>
          <w:lang w:val="es-ES_tradnl" w:eastAsia="en-US"/>
        </w:rPr>
        <w:t>el Decreto 594 del 25 de abril de 2020, frente a los documentos tipo para los contratos de obra pública</w:t>
      </w:r>
      <w:r w:rsidR="00B67CED" w:rsidRPr="00ED66B7" w:rsidDel="00A434AB">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de infraestructura de transporte que se </w:t>
      </w:r>
      <w:r w:rsidR="00E52EB3" w:rsidRPr="00ED66B7">
        <w:rPr>
          <w:rFonts w:ascii="Arial" w:eastAsia="Calibri" w:hAnsi="Arial" w:cs="Arial"/>
          <w:sz w:val="22"/>
          <w:szCs w:val="22"/>
          <w:lang w:val="es-ES_tradnl" w:eastAsia="en-US"/>
        </w:rPr>
        <w:t>surtieran</w:t>
      </w:r>
      <w:r w:rsidR="00B67CED" w:rsidRPr="00ED66B7">
        <w:rPr>
          <w:rFonts w:ascii="Arial" w:eastAsia="Calibri" w:hAnsi="Arial" w:cs="Arial"/>
          <w:sz w:val="22"/>
          <w:szCs w:val="22"/>
          <w:lang w:val="es-ES_tradnl" w:eastAsia="en-US"/>
        </w:rPr>
        <w:t xml:space="preserve"> por la modalidad de mínima cuantía.</w:t>
      </w:r>
      <w:r w:rsidR="00933EF7"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Estos documentos fueron implementados y desarrollados por la Agencia Nacional de Contratación Pública </w:t>
      </w:r>
      <w:bookmarkStart w:id="10" w:name="_Hlk37841850"/>
      <w:r w:rsidR="00B67CED" w:rsidRPr="00ED66B7">
        <w:rPr>
          <w:rFonts w:ascii="Arial" w:eastAsia="Calibri" w:hAnsi="Arial" w:cs="Arial"/>
          <w:sz w:val="22"/>
          <w:szCs w:val="22"/>
          <w:lang w:val="es-ES_tradnl" w:eastAsia="en-US"/>
        </w:rPr>
        <w:t xml:space="preserve">– Colombia Compra Eficiente, </w:t>
      </w:r>
      <w:bookmarkEnd w:id="10"/>
      <w:r w:rsidR="00B67CED" w:rsidRPr="00ED66B7">
        <w:rPr>
          <w:rFonts w:ascii="Arial" w:eastAsia="Calibri" w:hAnsi="Arial" w:cs="Arial"/>
          <w:sz w:val="22"/>
          <w:szCs w:val="22"/>
          <w:lang w:val="es-ES_tradnl" w:eastAsia="en-US"/>
        </w:rPr>
        <w:t>por medio de la Resolución 1798 de 1 de abril de 2019</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derogada por la Resolución 045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la Resolución 044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y la Resolución 094 del 21 de mayo de 2020.</w:t>
      </w:r>
    </w:p>
    <w:p w14:paraId="78D7441B" w14:textId="7C3D32B0" w:rsidR="006E597D" w:rsidRPr="00ED66B7" w:rsidRDefault="003C3857" w:rsidP="009753C3">
      <w:pPr>
        <w:pStyle w:val="Normal11pt"/>
        <w:spacing w:before="120" w:line="276" w:lineRule="auto"/>
        <w:ind w:left="0" w:firstLine="709"/>
        <w:rPr>
          <w:rFonts w:eastAsia="Calibri"/>
          <w:color w:val="auto"/>
        </w:rPr>
      </w:pPr>
      <w:r w:rsidRPr="00ED66B7">
        <w:rPr>
          <w:rFonts w:eastAsia="Calibri"/>
          <w:color w:val="auto"/>
        </w:rPr>
        <w:lastRenderedPageBreak/>
        <w:t xml:space="preserve">Con posterioridad a la </w:t>
      </w:r>
      <w:r w:rsidR="00B77296" w:rsidRPr="00ED66B7">
        <w:rPr>
          <w:rFonts w:eastAsia="Calibri"/>
          <w:color w:val="auto"/>
        </w:rPr>
        <w:t xml:space="preserve">expedición de los anteriores documentos tipo, se expidió </w:t>
      </w:r>
      <w:r w:rsidR="00B67CED" w:rsidRPr="00ED66B7">
        <w:rPr>
          <w:rFonts w:eastAsia="Calibri"/>
          <w:color w:val="auto"/>
        </w:rPr>
        <w:t>la Ley 2022 de 2020</w:t>
      </w:r>
      <w:r w:rsidR="00B77296" w:rsidRPr="00ED66B7">
        <w:rPr>
          <w:rFonts w:eastAsia="Calibri"/>
          <w:color w:val="auto"/>
        </w:rPr>
        <w:t>, norma que modificó el contenido del parágrafo 7 del artículo 2 de la Ley 1150 de 2007, que había sido adicionado por la Ley 1882 de 2018</w:t>
      </w:r>
      <w:r w:rsidR="00A90557" w:rsidRPr="00ED66B7">
        <w:rPr>
          <w:rStyle w:val="Refdenotaalpie"/>
          <w:rFonts w:eastAsia="Calibri"/>
          <w:color w:val="auto"/>
        </w:rPr>
        <w:footnoteReference w:id="7"/>
      </w:r>
      <w:r w:rsidR="00C1082C" w:rsidRPr="00ED66B7">
        <w:rPr>
          <w:rFonts w:eastAsia="Calibri"/>
          <w:color w:val="auto"/>
        </w:rPr>
        <w:t xml:space="preserve">. </w:t>
      </w:r>
      <w:r w:rsidR="006075FF" w:rsidRPr="00ED66B7">
        <w:rPr>
          <w:rFonts w:eastAsia="Calibri"/>
          <w:color w:val="auto"/>
        </w:rPr>
        <w:t>Con esta modificación</w:t>
      </w:r>
      <w:r w:rsidR="002C74F4" w:rsidRPr="00ED66B7">
        <w:rPr>
          <w:rFonts w:eastAsia="Calibri"/>
          <w:color w:val="auto"/>
        </w:rPr>
        <w:t>, si bien se mantuvo el mandato de aplicación</w:t>
      </w:r>
      <w:r w:rsidR="008C5DF9" w:rsidRPr="00ED66B7">
        <w:rPr>
          <w:rFonts w:eastAsia="Calibri"/>
          <w:color w:val="auto"/>
        </w:rPr>
        <w:t xml:space="preserve"> obligatoria de los documentos tipo por parte de </w:t>
      </w:r>
      <w:r w:rsidR="002C74F4" w:rsidRPr="00ED66B7">
        <w:rPr>
          <w:rFonts w:eastAsia="Calibri"/>
          <w:color w:val="auto"/>
        </w:rPr>
        <w:t>las entidades sometidas al Estatuto General de Contratación de la Administración Pública</w:t>
      </w:r>
      <w:r w:rsidR="008C5DF9" w:rsidRPr="00ED66B7">
        <w:rPr>
          <w:rFonts w:eastAsia="Calibri"/>
          <w:color w:val="auto"/>
        </w:rPr>
        <w:t xml:space="preserve">, se atribuyó </w:t>
      </w:r>
      <w:r w:rsidR="003F252F" w:rsidRPr="00ED66B7">
        <w:rPr>
          <w:rFonts w:eastAsia="Calibri"/>
          <w:color w:val="auto"/>
        </w:rPr>
        <w:t xml:space="preserve">a la </w:t>
      </w:r>
      <w:r w:rsidR="003F252F" w:rsidRPr="00ED66B7">
        <w:rPr>
          <w:rFonts w:eastAsia="Calibri"/>
          <w:color w:val="auto"/>
          <w:lang w:eastAsia="en-US"/>
        </w:rPr>
        <w:t>Agencia Nacional de Contratación Pública – Colombia Compra Eficiente la competencia para su e</w:t>
      </w:r>
      <w:r w:rsidR="00A12E5E" w:rsidRPr="00ED66B7">
        <w:rPr>
          <w:rFonts w:eastAsia="Calibri"/>
          <w:color w:val="auto"/>
          <w:lang w:eastAsia="en-US"/>
        </w:rPr>
        <w:t xml:space="preserve">xpedición. </w:t>
      </w:r>
      <w:r w:rsidR="00A12E5E" w:rsidRPr="00ED66B7">
        <w:rPr>
          <w:rFonts w:eastAsia="Calibri"/>
          <w:color w:val="auto"/>
        </w:rPr>
        <w:t>En este marco</w:t>
      </w:r>
      <w:r w:rsidR="00B67CED" w:rsidRPr="00ED66B7">
        <w:rPr>
          <w:rFonts w:eastAsia="Calibri"/>
          <w:color w:val="auto"/>
        </w:rPr>
        <w:t xml:space="preserve">, con la finalidad de realizar un desarrollo armónico y ajustado a la ley que otorga esta competencia, </w:t>
      </w:r>
      <w:r w:rsidR="00A12E5E" w:rsidRPr="00ED66B7">
        <w:rPr>
          <w:rFonts w:eastAsia="Calibri"/>
          <w:color w:val="auto"/>
        </w:rPr>
        <w:t>esta</w:t>
      </w:r>
      <w:r w:rsidR="00B67CED" w:rsidRPr="00ED66B7">
        <w:rPr>
          <w:rFonts w:eastAsia="Calibri"/>
          <w:color w:val="auto"/>
        </w:rPr>
        <w:t xml:space="preserve"> Agencia</w:t>
      </w:r>
      <w:r w:rsidR="00A12E5E" w:rsidRPr="00ED66B7">
        <w:rPr>
          <w:rFonts w:eastAsia="Calibri"/>
          <w:color w:val="auto"/>
        </w:rPr>
        <w:t xml:space="preserve"> </w:t>
      </w:r>
      <w:r w:rsidR="00B67CED" w:rsidRPr="00ED66B7">
        <w:rPr>
          <w:rFonts w:eastAsia="Calibri"/>
          <w:color w:val="auto"/>
        </w:rPr>
        <w:t xml:space="preserve">expidió la Resolución 160 del 15 de septiembre de 2020 «Por la cual se adopta el procedimiento para implementar los documentos tipo y se define el sistema para su revisión». </w:t>
      </w:r>
      <w:r w:rsidR="004462FD" w:rsidRPr="00ED66B7">
        <w:rPr>
          <w:rFonts w:eastAsia="Calibri"/>
          <w:color w:val="auto"/>
        </w:rPr>
        <w:t>Asimismo,</w:t>
      </w:r>
      <w:r w:rsidR="0072220F" w:rsidRPr="00ED66B7">
        <w:rPr>
          <w:rFonts w:eastAsia="Calibri"/>
          <w:color w:val="auto"/>
        </w:rPr>
        <w:t xml:space="preserve"> </w:t>
      </w:r>
      <w:r w:rsidR="00BB1A75" w:rsidRPr="00ED66B7">
        <w:rPr>
          <w:rFonts w:eastAsia="Calibri"/>
          <w:color w:val="auto"/>
        </w:rPr>
        <w:t>con fundamento en</w:t>
      </w:r>
      <w:r w:rsidR="0072220F" w:rsidRPr="00ED66B7">
        <w:rPr>
          <w:rFonts w:eastAsia="Calibri"/>
          <w:color w:val="auto"/>
        </w:rPr>
        <w:t xml:space="preserve"> dicha </w:t>
      </w:r>
      <w:r w:rsidR="004503A3" w:rsidRPr="00ED66B7">
        <w:rPr>
          <w:rFonts w:eastAsia="Calibri"/>
          <w:color w:val="auto"/>
        </w:rPr>
        <w:t>L</w:t>
      </w:r>
      <w:r w:rsidR="0072220F" w:rsidRPr="00ED66B7">
        <w:rPr>
          <w:rFonts w:eastAsia="Calibri"/>
          <w:color w:val="auto"/>
        </w:rPr>
        <w:t>ey, se</w:t>
      </w:r>
      <w:r w:rsidR="004462FD" w:rsidRPr="00ED66B7">
        <w:rPr>
          <w:rFonts w:eastAsia="Calibri"/>
          <w:color w:val="auto"/>
        </w:rPr>
        <w:t xml:space="preserve"> profirió la Resolución </w:t>
      </w:r>
      <w:r w:rsidR="00424602" w:rsidRPr="00ED66B7">
        <w:rPr>
          <w:rFonts w:eastAsia="Calibri"/>
          <w:color w:val="auto"/>
        </w:rPr>
        <w:t xml:space="preserve">240 del 27 de noviembre de 2020, </w:t>
      </w:r>
      <w:r w:rsidR="003B4C61" w:rsidRPr="00ED66B7">
        <w:rPr>
          <w:rFonts w:eastAsia="Calibri"/>
          <w:color w:val="auto"/>
        </w:rPr>
        <w:t>«Por la cual se actualizan los Documentos Tipo para los procesos de selección de licitación</w:t>
      </w:r>
      <w:r w:rsidR="005202BF" w:rsidRPr="00ED66B7">
        <w:rPr>
          <w:rFonts w:eastAsia="Calibri"/>
          <w:color w:val="auto"/>
        </w:rPr>
        <w:t xml:space="preserve"> de obra pública de infraestructura de transporte y se deroga la Resolución 0045 de 2020».</w:t>
      </w:r>
      <w:r w:rsidR="0072220F" w:rsidRPr="00ED66B7">
        <w:rPr>
          <w:rFonts w:eastAsia="Calibri"/>
          <w:color w:val="auto"/>
        </w:rPr>
        <w:t xml:space="preserve"> </w:t>
      </w:r>
    </w:p>
    <w:p w14:paraId="6D9D82AB" w14:textId="52CE7768" w:rsidR="00B67CED" w:rsidRPr="00ED66B7" w:rsidRDefault="0072220F" w:rsidP="009753C3">
      <w:pPr>
        <w:pStyle w:val="Normal11pt"/>
        <w:spacing w:before="120" w:line="276" w:lineRule="auto"/>
        <w:ind w:left="0" w:firstLine="709"/>
        <w:rPr>
          <w:rFonts w:eastAsia="Calibri"/>
          <w:color w:val="auto"/>
        </w:rPr>
      </w:pPr>
      <w:r w:rsidRPr="00ED66B7">
        <w:rPr>
          <w:rFonts w:eastAsia="Calibri"/>
          <w:color w:val="auto"/>
        </w:rPr>
        <w:t xml:space="preserve">De igual manera, se expidió la Resolución </w:t>
      </w:r>
      <w:r w:rsidR="00BB1A75" w:rsidRPr="00ED66B7">
        <w:rPr>
          <w:rFonts w:eastAsia="Calibri"/>
          <w:color w:val="auto"/>
        </w:rPr>
        <w:t>241 del 27 de noviembre de 2020, «</w:t>
      </w:r>
      <w:r w:rsidR="0068059E" w:rsidRPr="00ED66B7">
        <w:rPr>
          <w:rFonts w:eastAsia="Calibri"/>
          <w:color w:val="auto"/>
        </w:rPr>
        <w:t>Por la cual se actualizan los Documentos Tipo para los procesos de selección abreviada de menor cuantía</w:t>
      </w:r>
      <w:r w:rsidR="00D80B75" w:rsidRPr="00ED66B7">
        <w:rPr>
          <w:rFonts w:eastAsia="Calibri"/>
          <w:color w:val="auto"/>
        </w:rPr>
        <w:t xml:space="preserve"> de obra pública de infraestructura de transporte y se deroga la Resolución 0044 de 2020».</w:t>
      </w:r>
      <w:r w:rsidR="00E52C48" w:rsidRPr="00ED66B7">
        <w:rPr>
          <w:rFonts w:eastAsia="Calibri"/>
          <w:color w:val="auto"/>
        </w:rPr>
        <w:t xml:space="preserve"> Adicionalmente, </w:t>
      </w:r>
      <w:r w:rsidR="00285E14" w:rsidRPr="00ED66B7">
        <w:rPr>
          <w:rFonts w:eastAsia="Calibri"/>
          <w:color w:val="auto"/>
        </w:rPr>
        <w:t>entró en vigencia la Resolución 256 de 2020, «Por la cual se adoptan los documentos tipo</w:t>
      </w:r>
      <w:r w:rsidR="008B522C" w:rsidRPr="00ED66B7">
        <w:rPr>
          <w:rFonts w:eastAsia="Calibri"/>
          <w:color w:val="auto"/>
        </w:rPr>
        <w:t xml:space="preserve"> para los procesos de selección de concursos de méritos, para contratar la interventoría de obras públicas de infraestructura de transporte».</w:t>
      </w:r>
      <w:r w:rsidR="00B346D9" w:rsidRPr="00ED66B7">
        <w:rPr>
          <w:rFonts w:eastAsia="Calibri"/>
          <w:color w:val="auto"/>
        </w:rPr>
        <w:t xml:space="preserve"> Por otra parte, se expidió la Resolución</w:t>
      </w:r>
      <w:r w:rsidR="0082042F" w:rsidRPr="00ED66B7">
        <w:rPr>
          <w:rFonts w:eastAsia="Calibri"/>
          <w:color w:val="auto"/>
        </w:rPr>
        <w:t xml:space="preserve"> 248 de 2020, </w:t>
      </w:r>
      <w:r w:rsidR="00640E88" w:rsidRPr="00ED66B7">
        <w:rPr>
          <w:rFonts w:eastAsia="Calibri"/>
          <w:color w:val="auto"/>
        </w:rPr>
        <w:t xml:space="preserve">«Por la cual se adoptan los documentos tipo </w:t>
      </w:r>
      <w:r w:rsidR="00640E88" w:rsidRPr="00ED66B7">
        <w:rPr>
          <w:rFonts w:eastAsia="Calibri"/>
          <w:color w:val="auto"/>
        </w:rPr>
        <w:lastRenderedPageBreak/>
        <w:t>para los procesos de licitación pública para obras de infraestructura de agua potable y saneamiento básico»</w:t>
      </w:r>
      <w:r w:rsidR="00375A41" w:rsidRPr="00ED66B7">
        <w:rPr>
          <w:rFonts w:eastAsia="Calibri"/>
          <w:color w:val="auto"/>
        </w:rPr>
        <w:t xml:space="preserve">, la </w:t>
      </w:r>
      <w:r w:rsidR="00EA793F" w:rsidRPr="00ED66B7">
        <w:rPr>
          <w:rFonts w:eastAsia="Calibri"/>
          <w:color w:val="auto"/>
        </w:rPr>
        <w:t xml:space="preserve">Resolución </w:t>
      </w:r>
      <w:r w:rsidR="005E2423" w:rsidRPr="00ED66B7">
        <w:rPr>
          <w:rFonts w:eastAsia="Calibri"/>
          <w:color w:val="auto"/>
        </w:rPr>
        <w:t>249 de 2020</w:t>
      </w:r>
      <w:r w:rsidR="004874E6" w:rsidRPr="00ED66B7">
        <w:rPr>
          <w:rFonts w:eastAsia="Calibri"/>
          <w:color w:val="auto"/>
        </w:rPr>
        <w:t>, «Por la cual se adoptan los documentos tipo para los procesos de licitación pública para obras de infraestructura de agua potable</w:t>
      </w:r>
      <w:r w:rsidR="00B574C3" w:rsidRPr="00ED66B7">
        <w:rPr>
          <w:rFonts w:eastAsia="Calibri"/>
          <w:color w:val="auto"/>
        </w:rPr>
        <w:t xml:space="preserve"> y saneamiento básico en la modalidad llave en mano»</w:t>
      </w:r>
      <w:r w:rsidR="00A12E5E" w:rsidRPr="00ED66B7">
        <w:rPr>
          <w:rFonts w:eastAsia="Calibri"/>
          <w:color w:val="auto"/>
        </w:rPr>
        <w:t xml:space="preserve">, </w:t>
      </w:r>
      <w:r w:rsidR="00AD23B5" w:rsidRPr="00ED66B7">
        <w:rPr>
          <w:rFonts w:eastAsia="Calibri"/>
          <w:color w:val="auto"/>
        </w:rPr>
        <w:t xml:space="preserve">y </w:t>
      </w:r>
      <w:r w:rsidR="00375A41" w:rsidRPr="00ED66B7">
        <w:rPr>
          <w:rFonts w:eastAsia="Calibri"/>
          <w:color w:val="auto"/>
        </w:rPr>
        <w:t xml:space="preserve">la Resolución </w:t>
      </w:r>
      <w:r w:rsidR="000402D3" w:rsidRPr="00ED66B7">
        <w:rPr>
          <w:rFonts w:eastAsia="Calibri"/>
          <w:color w:val="auto"/>
        </w:rPr>
        <w:t>269 de 2020, «Por la cual se adopta el documento tipo</w:t>
      </w:r>
      <w:r w:rsidR="00FB47FB" w:rsidRPr="00ED66B7">
        <w:rPr>
          <w:rFonts w:eastAsia="Calibri"/>
          <w:color w:val="auto"/>
        </w:rPr>
        <w:t xml:space="preserve"> para los procesos de gestión catastral con enfoque multipropósito</w:t>
      </w:r>
      <w:r w:rsidR="00E60DC8" w:rsidRPr="00ED66B7">
        <w:rPr>
          <w:rFonts w:eastAsia="Calibri"/>
          <w:color w:val="auto"/>
        </w:rPr>
        <w:t xml:space="preserve"> que se celebren a través de contratos interadministrativos».</w:t>
      </w:r>
    </w:p>
    <w:p w14:paraId="225FECAB" w14:textId="3C7758E2" w:rsidR="00C62883" w:rsidRPr="00ED66B7" w:rsidRDefault="0097158D" w:rsidP="00C62883">
      <w:pPr>
        <w:pStyle w:val="Normal11pt"/>
        <w:spacing w:before="120" w:line="276" w:lineRule="auto"/>
        <w:ind w:left="0" w:firstLine="709"/>
        <w:rPr>
          <w:color w:val="auto"/>
        </w:rPr>
      </w:pPr>
      <w:r w:rsidRPr="00ED66B7">
        <w:rPr>
          <w:rFonts w:eastAsia="Calibri"/>
          <w:color w:val="auto"/>
        </w:rPr>
        <w:t>A l</w:t>
      </w:r>
      <w:r w:rsidR="0096160D" w:rsidRPr="00ED66B7">
        <w:rPr>
          <w:rFonts w:eastAsia="Calibri"/>
          <w:color w:val="auto"/>
        </w:rPr>
        <w:t>os actos administrativos mencionados</w:t>
      </w:r>
      <w:r w:rsidRPr="00ED66B7">
        <w:rPr>
          <w:rFonts w:eastAsia="Calibri"/>
          <w:color w:val="auto"/>
        </w:rPr>
        <w:t xml:space="preserve"> se suman</w:t>
      </w:r>
      <w:r w:rsidR="00CA7D40" w:rsidRPr="00ED66B7">
        <w:rPr>
          <w:rFonts w:eastAsia="Calibri"/>
          <w:color w:val="auto"/>
        </w:rPr>
        <w:t>: i)</w:t>
      </w:r>
      <w:r w:rsidR="00211F2E" w:rsidRPr="00ED66B7">
        <w:rPr>
          <w:rFonts w:eastAsia="Calibri"/>
          <w:color w:val="auto"/>
        </w:rPr>
        <w:t xml:space="preserve"> la Resolución 193 de </w:t>
      </w:r>
      <w:r w:rsidR="00870023" w:rsidRPr="00ED66B7">
        <w:rPr>
          <w:rFonts w:eastAsia="Calibri"/>
          <w:color w:val="auto"/>
        </w:rPr>
        <w:t>14 de julio de 2021</w:t>
      </w:r>
      <w:r w:rsidR="00277378" w:rsidRPr="00ED66B7">
        <w:rPr>
          <w:rFonts w:eastAsia="Calibri"/>
          <w:color w:val="auto"/>
        </w:rPr>
        <w:t xml:space="preserve">, </w:t>
      </w:r>
      <w:r w:rsidR="00211F2E" w:rsidRPr="00ED66B7">
        <w:rPr>
          <w:color w:val="auto"/>
        </w:rPr>
        <w:t>«Por la cual se adoptan los documentos tipo para los procesos de selección de concurso de méritos, para contratar la consultoría de estudios de ingeniería de infraestructura de transporte»</w:t>
      </w:r>
      <w:r w:rsidR="00870023" w:rsidRPr="00ED66B7">
        <w:rPr>
          <w:color w:val="auto"/>
        </w:rPr>
        <w:t>,</w:t>
      </w:r>
      <w:r w:rsidR="00CA7D40" w:rsidRPr="00ED66B7">
        <w:rPr>
          <w:color w:val="auto"/>
        </w:rPr>
        <w:t xml:space="preserve"> ii)</w:t>
      </w:r>
      <w:r w:rsidRPr="00ED66B7">
        <w:rPr>
          <w:rFonts w:eastAsia="Calibri"/>
          <w:color w:val="auto"/>
        </w:rPr>
        <w:t xml:space="preserve"> la Resolución 219 de 202</w:t>
      </w:r>
      <w:r w:rsidR="001C4040" w:rsidRPr="00ED66B7">
        <w:rPr>
          <w:rFonts w:eastAsia="Calibri"/>
          <w:color w:val="auto"/>
        </w:rPr>
        <w:t>1</w:t>
      </w:r>
      <w:r w:rsidR="00C72115" w:rsidRPr="00ED66B7">
        <w:rPr>
          <w:rFonts w:eastAsia="Calibri"/>
          <w:color w:val="auto"/>
        </w:rPr>
        <w:t>,</w:t>
      </w:r>
      <w:r w:rsidR="00C62883" w:rsidRPr="00ED66B7">
        <w:rPr>
          <w:color w:val="auto"/>
        </w:rPr>
        <w:t xml:space="preserve"> «Por la cual se adoptan los documentos tipo para los procesos de licitación de obra pública de infraestructura social», </w:t>
      </w:r>
      <w:proofErr w:type="spellStart"/>
      <w:r w:rsidR="00CA7D40" w:rsidRPr="00ED66B7">
        <w:rPr>
          <w:color w:val="auto"/>
        </w:rPr>
        <w:t>iii</w:t>
      </w:r>
      <w:proofErr w:type="spellEnd"/>
      <w:r w:rsidR="00CA7D40" w:rsidRPr="00ED66B7">
        <w:rPr>
          <w:color w:val="auto"/>
        </w:rPr>
        <w:t xml:space="preserve">) </w:t>
      </w:r>
      <w:r w:rsidR="00C62883" w:rsidRPr="00ED66B7">
        <w:rPr>
          <w:color w:val="auto"/>
        </w:rPr>
        <w:t>la Resolución 220 del 6 de agosto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educativo», </w:t>
      </w:r>
      <w:r w:rsidR="00CA7D40" w:rsidRPr="00ED66B7">
        <w:rPr>
          <w:color w:val="auto"/>
        </w:rPr>
        <w:t xml:space="preserve">iv) </w:t>
      </w:r>
      <w:r w:rsidR="00C62883" w:rsidRPr="00ED66B7">
        <w:rPr>
          <w:color w:val="auto"/>
        </w:rPr>
        <w:t>la Resolución 392 del 18 de noviembre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salud»</w:t>
      </w:r>
      <w:r w:rsidR="00C72115" w:rsidRPr="00ED66B7">
        <w:rPr>
          <w:color w:val="auto"/>
        </w:rPr>
        <w:t>,</w:t>
      </w:r>
      <w:r w:rsidR="00C62883" w:rsidRPr="00ED66B7">
        <w:rPr>
          <w:color w:val="auto"/>
        </w:rPr>
        <w:t xml:space="preserve"> y</w:t>
      </w:r>
      <w:r w:rsidR="00CA7D40" w:rsidRPr="00ED66B7">
        <w:rPr>
          <w:color w:val="auto"/>
        </w:rPr>
        <w:t xml:space="preserve"> v)</w:t>
      </w:r>
      <w:r w:rsidR="00C62883" w:rsidRPr="00ED66B7">
        <w:rPr>
          <w:color w:val="auto"/>
        </w:rPr>
        <w:t xml:space="preserve"> la Resolución 454 del 16 de diciembre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cultura, recreación y deporte</w:t>
      </w:r>
      <w:r w:rsidR="00870023" w:rsidRPr="00ED66B7">
        <w:rPr>
          <w:color w:val="auto"/>
        </w:rPr>
        <w:t xml:space="preserve">». </w:t>
      </w:r>
    </w:p>
    <w:p w14:paraId="11C0970D" w14:textId="647984AB" w:rsidR="00037450" w:rsidRPr="00677CBE" w:rsidRDefault="00037450" w:rsidP="00037450">
      <w:pPr>
        <w:pStyle w:val="xmsonospacing"/>
        <w:spacing w:before="120" w:beforeAutospacing="0" w:after="0" w:afterAutospacing="0" w:line="276" w:lineRule="auto"/>
        <w:ind w:firstLine="708"/>
        <w:jc w:val="both"/>
        <w:rPr>
          <w:rFonts w:ascii="Arial" w:eastAsia="Calibri" w:hAnsi="Arial" w:cs="Arial"/>
          <w:color w:val="000000"/>
          <w:sz w:val="22"/>
          <w:szCs w:val="22"/>
          <w:lang w:val="es-ES_tradnl" w:eastAsia="es-ES"/>
        </w:rPr>
      </w:pPr>
      <w:r w:rsidRPr="00677CBE">
        <w:rPr>
          <w:rFonts w:ascii="Arial" w:eastAsia="Calibri" w:hAnsi="Arial" w:cs="Arial"/>
          <w:color w:val="000000"/>
          <w:sz w:val="22"/>
          <w:szCs w:val="22"/>
          <w:lang w:val="es-ES_tradnl" w:eastAsia="es-ES"/>
        </w:rPr>
        <w:t xml:space="preserve">Las resoluciones señaladas </w:t>
      </w:r>
      <w:r w:rsidRPr="00677CBE">
        <w:rPr>
          <w:rFonts w:ascii="Arial" w:hAnsi="Arial" w:cs="Arial"/>
          <w:color w:val="000000"/>
          <w:sz w:val="22"/>
          <w:szCs w:val="22"/>
          <w:bdr w:val="none" w:sz="0" w:space="0" w:color="auto" w:frame="1"/>
        </w:rPr>
        <w:t>reiteran el alcance de la obligatoriedad de los documentos tipo en la materia</w:t>
      </w:r>
      <w:r w:rsidRPr="00677CBE">
        <w:rPr>
          <w:rFonts w:ascii="Arial" w:eastAsia="Calibri"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w:t>
      </w:r>
      <w:r w:rsidRPr="00677CBE">
        <w:rPr>
          <w:rFonts w:ascii="Arial" w:eastAsia="Calibri" w:hAnsi="Arial" w:cs="Arial"/>
          <w:color w:val="000000" w:themeColor="text1"/>
          <w:sz w:val="22"/>
          <w:szCs w:val="22"/>
          <w:lang w:val="es-ES_tradnl" w:eastAsia="es-ES"/>
        </w:rPr>
        <w:t>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246F8A7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6620C329"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11EBEF5D"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ii) Documentos tipo para licitación de obra pública de infraestructura de transporte –versión 2–, obligatorios para los procesos cuyo aviso de convocatoria se haya publicado desde el 10 de marzo de 2020.</w:t>
      </w:r>
    </w:p>
    <w:p w14:paraId="234A72B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lastRenderedPageBreak/>
        <w:t>iii</w:t>
      </w:r>
      <w:proofErr w:type="spellEnd"/>
      <w:r w:rsidRPr="00677CBE">
        <w:rPr>
          <w:rFonts w:ascii="Arial" w:eastAsia="Calibri"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7A20A016"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iv</w:t>
      </w:r>
      <w:proofErr w:type="spellEnd"/>
      <w:r w:rsidRPr="00677CBE">
        <w:rPr>
          <w:rFonts w:ascii="Arial" w:eastAsia="Calibri"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0AA6D9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353C2988"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601205CB"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vii</w:t>
      </w:r>
      <w:proofErr w:type="spellEnd"/>
      <w:r w:rsidRPr="00677CBE">
        <w:rPr>
          <w:rFonts w:ascii="Arial" w:eastAsia="Calibri"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E753036"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viii</w:t>
      </w:r>
      <w:proofErr w:type="spellEnd"/>
      <w:r w:rsidRPr="00677CBE">
        <w:rPr>
          <w:rFonts w:ascii="Arial" w:eastAsia="Calibri"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60C75DEF"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ix</w:t>
      </w:r>
      <w:proofErr w:type="spellEnd"/>
      <w:r w:rsidRPr="00677CBE">
        <w:rPr>
          <w:rFonts w:ascii="Arial" w:eastAsia="Calibri"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B6B7D41"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45B101E0" w14:textId="77777777" w:rsidR="00037450" w:rsidRPr="00677CBE" w:rsidRDefault="00037450" w:rsidP="00677CBE">
      <w:pPr>
        <w:spacing w:before="120" w:after="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2A1D15B"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xii</w:t>
      </w:r>
      <w:proofErr w:type="spellEnd"/>
      <w:r w:rsidRPr="00677CBE">
        <w:rPr>
          <w:rFonts w:ascii="Arial" w:eastAsia="Calibri" w:hAnsi="Arial" w:cs="Arial"/>
          <w:color w:val="000000"/>
          <w:sz w:val="22"/>
          <w:szCs w:val="22"/>
          <w:lang w:val="es-ES" w:eastAsia="es-ES"/>
        </w:rPr>
        <w:t xml:space="preserve">) Documentos tipo para procesos de licitación de obra pública de infraestructura social, que </w:t>
      </w:r>
      <w:r w:rsidRPr="00677CBE">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677CBE">
        <w:rPr>
          <w:rFonts w:ascii="Arial" w:eastAsia="Calibri" w:hAnsi="Arial" w:cs="Arial"/>
          <w:sz w:val="22"/>
          <w:szCs w:val="22"/>
          <w:lang w:val="es-ES_tradnl"/>
        </w:rPr>
        <w:t>.</w:t>
      </w:r>
    </w:p>
    <w:p w14:paraId="04E967E1"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xiii</w:t>
      </w:r>
      <w:proofErr w:type="spellEnd"/>
      <w:r w:rsidRPr="00677CBE">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677CBE">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0942D1B9"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xiv</w:t>
      </w:r>
      <w:proofErr w:type="spellEnd"/>
      <w:r w:rsidRPr="00677CBE">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677CBE">
        <w:rPr>
          <w:rFonts w:ascii="Arial" w:hAnsi="Arial" w:cs="Arial"/>
          <w:sz w:val="22"/>
          <w:szCs w:val="22"/>
          <w:lang w:val="es-ES_tradnl"/>
        </w:rPr>
        <w:t xml:space="preserve">de </w:t>
      </w:r>
      <w:r w:rsidRPr="00677CBE">
        <w:rPr>
          <w:rFonts w:ascii="Arial" w:hAnsi="Arial" w:cs="Arial"/>
          <w:sz w:val="22"/>
          <w:szCs w:val="22"/>
          <w:lang w:val="es-ES_tradnl"/>
        </w:rPr>
        <w:lastRenderedPageBreak/>
        <w:t>acuerdo con los términos establecidos en el artículo 6 de la Resolución 219 de 2021 −modificado por el artículo 1 de la Resolución 336 del 2 de noviembre de 2021− y en el artículo 4 de la Resolución 392 de 18 de noviembre de 2021</w:t>
      </w:r>
      <w:r w:rsidRPr="00677CBE">
        <w:rPr>
          <w:rFonts w:ascii="Arial" w:eastAsia="Calibri" w:hAnsi="Arial" w:cs="Arial"/>
          <w:sz w:val="22"/>
          <w:szCs w:val="22"/>
          <w:lang w:val="es-ES_tradnl"/>
        </w:rPr>
        <w:t>.</w:t>
      </w:r>
    </w:p>
    <w:p w14:paraId="63745569"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sz w:val="22"/>
          <w:szCs w:val="22"/>
          <w:lang w:val="es-ES_tradnl"/>
        </w:rPr>
        <w:t>xv</w:t>
      </w:r>
      <w:proofErr w:type="spellEnd"/>
      <w:r w:rsidRPr="00677CBE">
        <w:rPr>
          <w:rFonts w:ascii="Arial" w:eastAsia="Calibri" w:hAnsi="Arial" w:cs="Arial"/>
          <w:sz w:val="22"/>
          <w:szCs w:val="22"/>
          <w:lang w:val="es-ES_tradnl"/>
        </w:rPr>
        <w:t xml:space="preserve">) </w:t>
      </w:r>
      <w:r w:rsidRPr="00677CBE">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677CBE">
        <w:rPr>
          <w:rFonts w:ascii="Arial" w:eastAsia="Calibri" w:hAnsi="Arial" w:cs="Arial"/>
          <w:sz w:val="22"/>
          <w:szCs w:val="22"/>
          <w:lang w:val="es-ES_tradnl"/>
        </w:rPr>
        <w:t xml:space="preserve">, </w:t>
      </w:r>
      <w:r w:rsidRPr="00677CBE">
        <w:rPr>
          <w:rFonts w:ascii="Arial" w:eastAsia="Calibri" w:hAnsi="Arial" w:cs="Arial"/>
          <w:color w:val="000000"/>
          <w:sz w:val="22"/>
          <w:szCs w:val="22"/>
          <w:lang w:val="es-ES" w:eastAsia="es-ES"/>
        </w:rPr>
        <w:t xml:space="preserve">que entrarán a regir </w:t>
      </w:r>
      <w:r w:rsidRPr="00677CBE">
        <w:rPr>
          <w:rFonts w:ascii="Arial" w:hAnsi="Arial" w:cs="Arial"/>
          <w:sz w:val="22"/>
          <w:szCs w:val="22"/>
          <w:lang w:val="es-ES_tradnl"/>
        </w:rPr>
        <w:t>de acuerdo con los términos establecidos en el artículo 4 de la Resolución 454 de 2021</w:t>
      </w:r>
    </w:p>
    <w:p w14:paraId="7994D178" w14:textId="62C39FCF" w:rsidR="00444A40" w:rsidRPr="00F330DD" w:rsidRDefault="00037450" w:rsidP="00F330DD">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lang w:val="es-ES_tradnl"/>
        </w:rPr>
      </w:pPr>
      <w:r w:rsidRPr="00677CBE">
        <w:rPr>
          <w:rFonts w:ascii="Arial" w:eastAsia="Calibri" w:hAnsi="Arial" w:cs="Arial"/>
          <w:sz w:val="22"/>
          <w:szCs w:val="22"/>
        </w:rPr>
        <w:t xml:space="preserve">De acuerdo con lo expuesto, </w:t>
      </w:r>
      <w:r w:rsidRPr="00677CBE">
        <w:rPr>
          <w:rFonts w:ascii="Arial" w:eastAsia="Calibri" w:hAnsi="Arial" w:cs="Arial"/>
          <w:color w:val="000000"/>
          <w:sz w:val="22"/>
          <w:szCs w:val="22"/>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00F330DD" w:rsidRPr="00677CBE">
        <w:rPr>
          <w:rFonts w:ascii="Arial" w:eastAsia="Calibri" w:hAnsi="Arial" w:cs="Arial"/>
          <w:color w:val="000000"/>
          <w:sz w:val="22"/>
          <w:szCs w:val="22"/>
          <w:bdr w:val="none" w:sz="0" w:space="0" w:color="auto" w:frame="1"/>
          <w:lang w:val="es-ES_tradnl"/>
        </w:rPr>
        <w:t>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r w:rsidR="00F330DD" w:rsidRPr="00F330DD">
        <w:rPr>
          <w:rFonts w:ascii="Arial" w:eastAsia="Calibri" w:hAnsi="Arial" w:cs="Arial"/>
          <w:color w:val="000000"/>
          <w:sz w:val="22"/>
          <w:szCs w:val="22"/>
          <w:bdr w:val="none" w:sz="0" w:space="0" w:color="auto" w:frame="1"/>
          <w:lang w:val="es-ES_tradnl"/>
        </w:rPr>
        <w:t xml:space="preserve"> </w:t>
      </w:r>
    </w:p>
    <w:p w14:paraId="77C3C996" w14:textId="77777777" w:rsidR="00B67CED" w:rsidRPr="00ED66B7" w:rsidRDefault="00B67CED" w:rsidP="009753C3">
      <w:pPr>
        <w:tabs>
          <w:tab w:val="left" w:pos="0"/>
        </w:tabs>
        <w:spacing w:line="276" w:lineRule="auto"/>
        <w:jc w:val="both"/>
        <w:rPr>
          <w:rFonts w:ascii="Arial" w:eastAsia="Calibri" w:hAnsi="Arial" w:cs="Arial"/>
          <w:b/>
          <w:sz w:val="22"/>
          <w:lang w:val="es-ES_tradnl"/>
        </w:rPr>
      </w:pPr>
    </w:p>
    <w:p w14:paraId="196AE84C"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r w:rsidRPr="00ED66B7">
        <w:rPr>
          <w:rFonts w:ascii="Arial" w:eastAsia="Calibri" w:hAnsi="Arial" w:cs="Arial"/>
          <w:b/>
          <w:sz w:val="22"/>
          <w:lang w:val="es-ES_tradnl"/>
        </w:rPr>
        <w:t xml:space="preserve">2.2. </w:t>
      </w:r>
      <w:bookmarkStart w:id="11" w:name="_Hlk95322387"/>
      <w:r w:rsidRPr="00ED66B7">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11"/>
    <w:p w14:paraId="355E61C9"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00DA1C03"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4A715736"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sz w:val="22"/>
          <w:lang w:val="es-ES_tradnl"/>
        </w:rPr>
        <w:tab/>
      </w:r>
      <w:r w:rsidRPr="00ED66B7">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2B8E54"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lastRenderedPageBreak/>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17001E69"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7A9B5937"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4BA803A" w14:textId="77777777" w:rsidR="009C48E6" w:rsidRPr="00ED66B7" w:rsidRDefault="009C48E6" w:rsidP="009C48E6">
      <w:pPr>
        <w:tabs>
          <w:tab w:val="left" w:pos="0"/>
        </w:tabs>
        <w:ind w:left="709" w:right="709"/>
        <w:jc w:val="both"/>
        <w:rPr>
          <w:rFonts w:ascii="Arial" w:hAnsi="Arial" w:cs="Arial"/>
          <w:sz w:val="21"/>
          <w:szCs w:val="21"/>
          <w:lang w:val="es-ES_tradnl"/>
        </w:rPr>
      </w:pPr>
    </w:p>
    <w:p w14:paraId="71D6049D"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A7BE92E" w14:textId="77777777" w:rsidR="009C48E6" w:rsidRPr="00ED66B7" w:rsidRDefault="009C48E6" w:rsidP="009C48E6">
      <w:pPr>
        <w:tabs>
          <w:tab w:val="left" w:pos="0"/>
        </w:tabs>
        <w:ind w:left="709" w:right="709"/>
        <w:jc w:val="both"/>
        <w:rPr>
          <w:rFonts w:ascii="Arial" w:hAnsi="Arial" w:cs="Arial"/>
          <w:sz w:val="21"/>
          <w:szCs w:val="21"/>
          <w:lang w:val="es-ES_tradnl"/>
        </w:rPr>
      </w:pPr>
    </w:p>
    <w:p w14:paraId="3EAD6426" w14:textId="1EC9D2AE"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F2685E">
        <w:rPr>
          <w:rFonts w:ascii="Arial" w:hAnsi="Arial" w:cs="Arial"/>
          <w:i/>
          <w:iCs/>
          <w:sz w:val="21"/>
          <w:szCs w:val="21"/>
          <w:lang w:val="es-ES_tradnl"/>
        </w:rPr>
        <w:t>giro ordinario</w:t>
      </w:r>
      <w:r w:rsidRPr="00ED66B7">
        <w:rPr>
          <w:rFonts w:ascii="Arial" w:hAnsi="Arial" w:cs="Arial"/>
          <w:sz w:val="21"/>
          <w:szCs w:val="21"/>
          <w:lang w:val="es-ES_tradnl"/>
        </w:rPr>
        <w:t xml:space="preserve">. En estos casos, en los manuales de contratación de estas entidades, se fomentará como buena práctica la aplicación de los pliegos tipo. </w:t>
      </w:r>
      <w:r w:rsidR="00A86878">
        <w:rPr>
          <w:rFonts w:ascii="Arial" w:hAnsi="Arial" w:cs="Arial"/>
          <w:sz w:val="21"/>
          <w:szCs w:val="21"/>
          <w:lang w:val="es-ES_tradnl"/>
        </w:rPr>
        <w:t>(Énfasis fuera de texto)</w:t>
      </w:r>
    </w:p>
    <w:p w14:paraId="1CE7E8D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07DD1EB6" w14:textId="1594617A"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Las implicaciones de lo establecido en esta norma son variadas y se presentan en múltiples ámbitos de la actividad contractual de las entidades estatales, que</w:t>
      </w:r>
      <w:r w:rsidR="00145D00" w:rsidRPr="00ED66B7">
        <w:rPr>
          <w:rFonts w:ascii="Arial" w:eastAsia="Calibri" w:hAnsi="Arial" w:cs="Arial"/>
          <w:bCs/>
          <w:sz w:val="22"/>
          <w:lang w:val="es-ES_tradnl"/>
        </w:rPr>
        <w:t>,</w:t>
      </w:r>
      <w:r w:rsidRPr="00ED66B7">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8EFD6FA"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34170AC4" w14:textId="77777777" w:rsidR="009C48E6" w:rsidRPr="00ED66B7" w:rsidRDefault="009C48E6" w:rsidP="00520265">
      <w:pPr>
        <w:tabs>
          <w:tab w:val="left" w:pos="426"/>
        </w:tabs>
        <w:spacing w:after="120" w:line="276" w:lineRule="auto"/>
        <w:jc w:val="both"/>
        <w:rPr>
          <w:rFonts w:ascii="Arial" w:eastAsia="Calibri" w:hAnsi="Arial" w:cs="Arial"/>
          <w:b/>
          <w:i/>
          <w:iCs/>
          <w:sz w:val="22"/>
          <w:lang w:val="es-ES_tradnl"/>
        </w:rPr>
      </w:pPr>
      <w:r w:rsidRPr="00ED66B7">
        <w:rPr>
          <w:rFonts w:ascii="Arial" w:eastAsia="Calibri" w:hAnsi="Arial" w:cs="Arial"/>
          <w:b/>
          <w:i/>
          <w:iCs/>
          <w:sz w:val="22"/>
          <w:lang w:val="es-ES_tradnl"/>
        </w:rPr>
        <w:t xml:space="preserve">2.2.1. </w:t>
      </w:r>
      <w:r w:rsidRPr="00ED66B7">
        <w:rPr>
          <w:rFonts w:ascii="Arial" w:eastAsia="Calibri" w:hAnsi="Arial" w:cs="Arial"/>
          <w:b/>
          <w:sz w:val="22"/>
          <w:lang w:val="es-ES_tradnl"/>
        </w:rPr>
        <w:t>Ámbito de aplicación y finalidad de la norma</w:t>
      </w:r>
    </w:p>
    <w:p w14:paraId="7304C1CA"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w:t>
      </w:r>
      <w:r w:rsidRPr="00ED66B7">
        <w:rPr>
          <w:rFonts w:ascii="Arial" w:eastAsia="Calibri" w:hAnsi="Arial" w:cs="Arial"/>
          <w:bCs/>
          <w:sz w:val="22"/>
          <w:lang w:val="es-ES_tradnl"/>
        </w:rPr>
        <w:lastRenderedPageBreak/>
        <w:t xml:space="preserve">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88B5241"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3DF426F" w14:textId="3E999DD5"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Antes de la expedición del artículo 56 </w:t>
      </w:r>
      <w:proofErr w:type="spellStart"/>
      <w:r w:rsidRPr="00ED66B7">
        <w:rPr>
          <w:rFonts w:ascii="Arial" w:eastAsia="Calibri" w:hAnsi="Arial" w:cs="Arial"/>
          <w:bCs/>
          <w:i/>
          <w:iCs/>
          <w:sz w:val="22"/>
          <w:lang w:val="es-ES_tradnl"/>
        </w:rPr>
        <w:t>ibídem</w:t>
      </w:r>
      <w:proofErr w:type="spellEnd"/>
      <w:r w:rsidR="00DF5D50" w:rsidRPr="00ED66B7">
        <w:rPr>
          <w:rFonts w:ascii="Arial" w:eastAsia="Calibri" w:hAnsi="Arial" w:cs="Arial"/>
          <w:bCs/>
          <w:sz w:val="22"/>
          <w:lang w:val="es-ES_tradnl"/>
        </w:rPr>
        <w:t>,</w:t>
      </w:r>
      <w:r w:rsidRPr="00ED66B7">
        <w:rPr>
          <w:rFonts w:ascii="Arial" w:eastAsia="Calibri" w:hAnsi="Arial" w:cs="Arial"/>
          <w:bCs/>
          <w:sz w:val="22"/>
          <w:lang w:val="es-ES_tradnl"/>
        </w:rPr>
        <w:t xml:space="preserve"> la Ley 2022 de 2020 ya había establecido el mandato de aplicación obligatoria de los documentos tipo, atribuyendo a </w:t>
      </w:r>
      <w:r w:rsidR="008E4645" w:rsidRPr="00ED66B7">
        <w:rPr>
          <w:rFonts w:ascii="Arial" w:eastAsia="Calibri" w:hAnsi="Arial" w:cs="Arial"/>
          <w:bCs/>
          <w:sz w:val="22"/>
          <w:lang w:val="es-ES_tradnl"/>
        </w:rPr>
        <w:t>esta Agencia</w:t>
      </w:r>
      <w:r w:rsidRPr="00ED66B7">
        <w:rPr>
          <w:rFonts w:ascii="Arial" w:eastAsia="Calibri" w:hAnsi="Arial" w:cs="Arial"/>
          <w:bCs/>
          <w:sz w:val="22"/>
          <w:lang w:val="es-ES_tradnl"/>
        </w:rPr>
        <w:t xml:space="preserve">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DF5D50" w:rsidRPr="00ED66B7">
        <w:rPr>
          <w:rFonts w:ascii="Arial" w:eastAsia="Calibri" w:hAnsi="Arial" w:cs="Arial"/>
          <w:bCs/>
          <w:sz w:val="22"/>
          <w:lang w:val="es-ES_tradnl"/>
        </w:rPr>
        <w:t>0</w:t>
      </w:r>
      <w:r w:rsidRPr="00ED66B7">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DF5D50" w:rsidRPr="00ED66B7">
        <w:rPr>
          <w:rFonts w:ascii="Arial" w:eastAsia="Calibri" w:hAnsi="Arial" w:cs="Arial"/>
          <w:bCs/>
          <w:sz w:val="22"/>
          <w:lang w:val="es-ES_tradnl"/>
        </w:rPr>
        <w:t xml:space="preserve">fuera </w:t>
      </w:r>
      <w:r w:rsidRPr="00ED66B7">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1704665B"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ED77638"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w:t>
      </w:r>
      <w:r w:rsidRPr="00ED66B7">
        <w:rPr>
          <w:rFonts w:ascii="Arial" w:eastAsia="Calibri" w:hAnsi="Arial" w:cs="Arial"/>
          <w:bCs/>
          <w:sz w:val="22"/>
          <w:lang w:val="es-ES_tradnl"/>
        </w:rPr>
        <w:lastRenderedPageBreak/>
        <w:t xml:space="preserve">el derecho privado. Esto de tal forma que cuando una entidad estatal regida por el EGCAP celebre contratos o convenios con otra i) entidad estatal de régimen especial o con ii) patrimonios autónomos o </w:t>
      </w:r>
      <w:proofErr w:type="spellStart"/>
      <w:r w:rsidRPr="00ED66B7">
        <w:rPr>
          <w:rFonts w:ascii="Arial" w:eastAsia="Calibri" w:hAnsi="Arial" w:cs="Arial"/>
          <w:bCs/>
          <w:sz w:val="22"/>
          <w:lang w:val="es-ES_tradnl"/>
        </w:rPr>
        <w:t>iii</w:t>
      </w:r>
      <w:proofErr w:type="spellEnd"/>
      <w:r w:rsidRPr="00ED66B7">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4ADF0EEC"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6A4C3FA2" w14:textId="6D8583C8"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D66B7">
        <w:rPr>
          <w:rFonts w:ascii="Arial" w:eastAsia="Calibri" w:hAnsi="Arial" w:cs="Arial"/>
          <w:bCs/>
          <w:i/>
          <w:iCs/>
          <w:sz w:val="22"/>
          <w:lang w:val="es-ES_tradnl"/>
        </w:rPr>
        <w:t>ejusdem</w:t>
      </w:r>
      <w:proofErr w:type="spellEnd"/>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si,</w:t>
      </w:r>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A322A22"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41870CA1" w14:textId="77777777" w:rsidR="009C48E6" w:rsidRPr="00ED66B7" w:rsidRDefault="009C48E6" w:rsidP="00520265">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w:t>
      </w:r>
      <w:r w:rsidRPr="00ED66B7">
        <w:rPr>
          <w:rFonts w:ascii="Arial" w:eastAsia="Calibri" w:hAnsi="Arial" w:cs="Arial"/>
          <w:bCs/>
          <w:sz w:val="21"/>
          <w:szCs w:val="21"/>
          <w:lang w:val="es-ES_tradnl"/>
        </w:rPr>
        <w:lastRenderedPageBreak/>
        <w:t>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D66B7">
        <w:rPr>
          <w:rStyle w:val="Refdenotaalpie"/>
          <w:rFonts w:ascii="Arial" w:eastAsia="Calibri" w:hAnsi="Arial" w:cs="Arial"/>
          <w:sz w:val="21"/>
          <w:szCs w:val="21"/>
        </w:rPr>
        <w:footnoteReference w:id="8"/>
      </w:r>
      <w:r w:rsidRPr="00ED66B7">
        <w:rPr>
          <w:rFonts w:ascii="Arial" w:eastAsia="Calibri" w:hAnsi="Arial" w:cs="Arial"/>
          <w:bCs/>
          <w:sz w:val="21"/>
          <w:szCs w:val="21"/>
          <w:lang w:val="es-ES_tradnl"/>
        </w:rPr>
        <w:t xml:space="preserve">. </w:t>
      </w:r>
    </w:p>
    <w:p w14:paraId="74FC51C1"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 </w:t>
      </w:r>
    </w:p>
    <w:p w14:paraId="0ED94E14" w14:textId="361D87EB"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7061EB" w:rsidRPr="00ED66B7">
        <w:rPr>
          <w:rFonts w:ascii="Arial" w:eastAsia="Calibri" w:hAnsi="Arial" w:cs="Arial"/>
          <w:bCs/>
          <w:sz w:val="22"/>
          <w:lang w:val="es-ES_tradnl"/>
        </w:rPr>
        <w:t xml:space="preserve">contractual </w:t>
      </w:r>
      <w:r w:rsidRPr="00ED66B7">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41951D92"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p>
    <w:p w14:paraId="109C4EBF" w14:textId="1E3EF412"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i/>
          <w:iCs/>
          <w:sz w:val="22"/>
          <w:lang w:val="es-ES_tradnl"/>
        </w:rPr>
        <w:t>2.2.2.</w:t>
      </w:r>
      <w:r w:rsidRPr="00ED66B7">
        <w:rPr>
          <w:rFonts w:ascii="Arial" w:eastAsia="Calibri" w:hAnsi="Arial" w:cs="Arial"/>
          <w:bCs/>
          <w:sz w:val="22"/>
          <w:lang w:val="es-ES_tradnl"/>
        </w:rPr>
        <w:t xml:space="preserve"> </w:t>
      </w:r>
      <w:r w:rsidRPr="00ED66B7">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5ADA8"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3E63EFAE" w14:textId="76E8A14A"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ED66B7">
        <w:rPr>
          <w:rStyle w:val="Refdenotaalpie"/>
          <w:rFonts w:ascii="Arial" w:eastAsia="Calibri" w:hAnsi="Arial" w:cs="Arial"/>
        </w:rPr>
        <w:footnoteReference w:id="9"/>
      </w:r>
      <w:r w:rsidRPr="00ED66B7">
        <w:rPr>
          <w:rFonts w:ascii="Arial" w:eastAsia="Calibri" w:hAnsi="Arial" w:cs="Arial"/>
          <w:bCs/>
          <w:sz w:val="22"/>
          <w:lang w:val="es-ES_tradnl"/>
        </w:rPr>
        <w:t xml:space="preserve">. Lo anterior por cuanto </w:t>
      </w:r>
      <w:r w:rsidRPr="00ED66B7">
        <w:rPr>
          <w:rFonts w:ascii="Arial" w:eastAsia="Calibri" w:hAnsi="Arial" w:cs="Arial"/>
          <w:bCs/>
          <w:sz w:val="22"/>
          <w:lang w:val="es-ES_tradnl"/>
        </w:rPr>
        <w:lastRenderedPageBreak/>
        <w:t>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w:t>
      </w:r>
      <w:r w:rsidR="0080091A" w:rsidRPr="00ED66B7">
        <w:rPr>
          <w:rFonts w:ascii="Arial" w:eastAsia="Calibri" w:hAnsi="Arial" w:cs="Arial"/>
          <w:bCs/>
          <w:sz w:val="22"/>
          <w:lang w:val="es-ES_tradnl"/>
        </w:rPr>
        <w:t xml:space="preserve">, numeral </w:t>
      </w:r>
      <w:r w:rsidRPr="00ED66B7">
        <w:rPr>
          <w:rFonts w:ascii="Arial" w:eastAsia="Calibri" w:hAnsi="Arial" w:cs="Arial"/>
          <w:bCs/>
          <w:sz w:val="22"/>
          <w:lang w:val="es-ES_tradnl"/>
        </w:rPr>
        <w:t xml:space="preserve">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1AEEC466" w14:textId="07F3CB1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w:t>
      </w:r>
      <w:r w:rsidR="00AD353C" w:rsidRPr="00ED66B7">
        <w:rPr>
          <w:rFonts w:ascii="Arial" w:eastAsia="Calibri" w:hAnsi="Arial" w:cs="Arial"/>
          <w:bCs/>
          <w:sz w:val="22"/>
          <w:lang w:val="es-ES_tradnl"/>
        </w:rPr>
        <w:t>,</w:t>
      </w:r>
      <w:r w:rsidRPr="00ED66B7">
        <w:rPr>
          <w:rFonts w:ascii="Arial" w:eastAsia="Calibri" w:hAnsi="Arial" w:cs="Arial"/>
          <w:bCs/>
          <w:sz w:val="22"/>
          <w:lang w:val="es-ES_tradnl"/>
        </w:rPr>
        <w:t xml:space="preserve"> debe ser resuelta en favor del artículo 56 de la Ley 2195 de 2022, cuya aplicación debe </w:t>
      </w:r>
      <w:r w:rsidR="00694800">
        <w:rPr>
          <w:rFonts w:ascii="Arial" w:eastAsia="Calibri" w:hAnsi="Arial" w:cs="Arial"/>
          <w:bCs/>
          <w:sz w:val="22"/>
          <w:lang w:val="es-ES_tradnl"/>
        </w:rPr>
        <w:t>privilegiarse</w:t>
      </w:r>
      <w:r w:rsidRPr="00ED66B7">
        <w:rPr>
          <w:rFonts w:ascii="Arial" w:eastAsia="Calibri" w:hAnsi="Arial" w:cs="Arial"/>
          <w:bCs/>
          <w:sz w:val="22"/>
          <w:lang w:val="es-ES_tradnl"/>
        </w:rPr>
        <w:t xml:space="preserve">, al ser esta la norma expedida más recientemente. </w:t>
      </w:r>
    </w:p>
    <w:p w14:paraId="54F13CE5" w14:textId="6535EE2C"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efecto, tratándose de disposiciones de igual jerarquía normativa</w:t>
      </w:r>
      <w:r w:rsidRPr="00ED66B7">
        <w:rPr>
          <w:rStyle w:val="Refdenotaalpie"/>
          <w:rFonts w:ascii="Arial" w:eastAsia="Calibri" w:hAnsi="Arial" w:cs="Arial"/>
        </w:rPr>
        <w:footnoteReference w:id="10"/>
      </w:r>
      <w:r w:rsidR="00AD353C" w:rsidRPr="00ED66B7">
        <w:rPr>
          <w:rFonts w:ascii="Arial" w:eastAsia="Calibri" w:hAnsi="Arial" w:cs="Arial"/>
          <w:bCs/>
          <w:sz w:val="22"/>
          <w:lang w:val="es-ES_tradnl"/>
        </w:rPr>
        <w:t xml:space="preserve"> </w:t>
      </w:r>
      <w:r w:rsidRPr="00ED66B7">
        <w:rPr>
          <w:rFonts w:ascii="Arial" w:eastAsia="Calibri" w:hAnsi="Arial" w:cs="Arial"/>
          <w:bCs/>
          <w:sz w:val="22"/>
          <w:lang w:val="es-ES_tradnl"/>
        </w:rPr>
        <w:t xml:space="preserve">–ambas son leyes ordinarias–, que coinciden en su ámbito de aplicación, debe colegirse que, en lo que </w:t>
      </w:r>
      <w:r w:rsidRPr="00ED66B7">
        <w:rPr>
          <w:rFonts w:ascii="Arial" w:eastAsia="Calibri" w:hAnsi="Arial" w:cs="Arial"/>
          <w:bCs/>
          <w:sz w:val="22"/>
          <w:lang w:val="es-ES_tradnl"/>
        </w:rPr>
        <w:lastRenderedPageBreak/>
        <w:t xml:space="preserve">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5B9EDBD" w14:textId="37D5C0A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F47F4B">
        <w:rPr>
          <w:rFonts w:ascii="Arial" w:eastAsia="Calibri" w:hAnsi="Arial" w:cs="Arial"/>
          <w:bCs/>
          <w:sz w:val="22"/>
          <w:lang w:val="es-ES_tradnl"/>
        </w:rPr>
        <w:t>s</w:t>
      </w:r>
      <w:r w:rsidRPr="00ED66B7">
        <w:rPr>
          <w:rFonts w:ascii="Arial" w:eastAsia="Calibri" w:hAnsi="Arial" w:cs="Arial"/>
          <w:bCs/>
          <w:sz w:val="22"/>
          <w:lang w:val="es-ES_tradnl"/>
        </w:rPr>
        <w:t xml:space="preserve">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08E24F9E" w14:textId="018B686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4308A6" w:rsidRPr="00ED66B7">
        <w:rPr>
          <w:rFonts w:ascii="Arial" w:eastAsia="Calibri" w:hAnsi="Arial" w:cs="Arial"/>
          <w:bCs/>
          <w:sz w:val="22"/>
          <w:lang w:val="es-ES_tradnl"/>
        </w:rPr>
        <w:t>aplicable al objeto contractual</w:t>
      </w:r>
      <w:r w:rsidRPr="00ED66B7">
        <w:rPr>
          <w:rFonts w:ascii="Arial" w:eastAsia="Calibri" w:hAnsi="Arial" w:cs="Arial"/>
          <w:bCs/>
          <w:sz w:val="22"/>
          <w:lang w:val="es-ES_tradnl"/>
        </w:rPr>
        <w:t xml:space="preserve"> que se planea contratar. Esto significa que los contratos no relacionados con los compromisos adquiridos con la </w:t>
      </w:r>
      <w:r w:rsidRPr="00ED66B7">
        <w:rPr>
          <w:rFonts w:ascii="Arial" w:eastAsia="Calibri" w:hAnsi="Arial" w:cs="Arial"/>
          <w:bCs/>
          <w:sz w:val="22"/>
          <w:lang w:val="es-ES_tradnl"/>
        </w:rPr>
        <w:lastRenderedPageBreak/>
        <w:t xml:space="preserve">entidad sometida al EGCAP no tendrían que aplicar el régimen contractual público ni los documentos tipo, salvo que quieran hacerlo como una buena práctica de contratación. </w:t>
      </w:r>
    </w:p>
    <w:p w14:paraId="6D151FB6" w14:textId="55809462" w:rsidR="009C48E6" w:rsidRPr="00ED66B7" w:rsidRDefault="009C48E6" w:rsidP="00520265">
      <w:pPr>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4308A6" w:rsidRPr="00ED66B7">
        <w:rPr>
          <w:rFonts w:ascii="Arial" w:eastAsia="Calibri" w:hAnsi="Arial" w:cs="Arial"/>
          <w:bCs/>
          <w:sz w:val="22"/>
          <w:lang w:val="es-ES_tradnl"/>
        </w:rPr>
        <w:t>a</w:t>
      </w:r>
      <w:r w:rsidRPr="00ED66B7">
        <w:rPr>
          <w:rFonts w:ascii="Arial" w:eastAsia="Calibri" w:hAnsi="Arial" w:cs="Arial"/>
          <w:bCs/>
          <w:sz w:val="22"/>
          <w:lang w:val="es-ES_tradnl"/>
        </w:rPr>
        <w:t xml:space="preserve"> </w:t>
      </w:r>
      <w:r w:rsidR="004308A6" w:rsidRPr="00ED66B7">
        <w:rPr>
          <w:rFonts w:ascii="Arial" w:eastAsia="Calibri" w:hAnsi="Arial" w:cs="Arial"/>
          <w:bCs/>
          <w:sz w:val="22"/>
          <w:lang w:val="es-ES_tradnl"/>
        </w:rPr>
        <w:t xml:space="preserve">entidad exceptuada </w:t>
      </w:r>
      <w:r w:rsidRPr="00ED66B7">
        <w:rPr>
          <w:rFonts w:ascii="Arial" w:eastAsia="Calibri" w:hAnsi="Arial" w:cs="Arial"/>
          <w:bCs/>
          <w:sz w:val="22"/>
          <w:lang w:val="es-ES_tradnl"/>
        </w:rPr>
        <w:t xml:space="preserve">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5E6E759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4EA2E279" w14:textId="58B94701" w:rsidR="009C48E6" w:rsidRPr="00ED66B7" w:rsidRDefault="009C48E6" w:rsidP="009C48E6">
      <w:pPr>
        <w:tabs>
          <w:tab w:val="left" w:pos="0"/>
        </w:tabs>
        <w:spacing w:line="276" w:lineRule="auto"/>
        <w:jc w:val="both"/>
        <w:rPr>
          <w:rFonts w:ascii="Arial" w:eastAsia="Calibri" w:hAnsi="Arial" w:cs="Arial"/>
          <w:b/>
          <w:sz w:val="22"/>
          <w:lang w:val="es-ES_tradnl"/>
        </w:rPr>
      </w:pPr>
      <w:r w:rsidRPr="00ED66B7">
        <w:rPr>
          <w:rFonts w:ascii="Arial" w:eastAsia="Calibri" w:hAnsi="Arial" w:cs="Arial"/>
          <w:b/>
          <w:i/>
          <w:iCs/>
          <w:sz w:val="22"/>
          <w:lang w:val="es-ES_tradnl"/>
        </w:rPr>
        <w:t>2.2.3.</w:t>
      </w:r>
      <w:r w:rsidRPr="00ED66B7">
        <w:rPr>
          <w:rFonts w:ascii="Arial" w:eastAsia="Calibri" w:hAnsi="Arial" w:cs="Arial"/>
          <w:b/>
          <w:sz w:val="22"/>
          <w:lang w:val="es-ES_tradnl"/>
        </w:rPr>
        <w:t xml:space="preserve"> La noción de </w:t>
      </w:r>
      <w:r w:rsidRPr="00ED66B7">
        <w:rPr>
          <w:rFonts w:ascii="Arial" w:eastAsia="Calibri" w:hAnsi="Arial" w:cs="Arial"/>
          <w:b/>
          <w:i/>
          <w:iCs/>
          <w:sz w:val="22"/>
          <w:lang w:val="es-ES_tradnl"/>
        </w:rPr>
        <w:t xml:space="preserve">giro ordinario </w:t>
      </w:r>
      <w:r w:rsidRPr="00ED66B7">
        <w:rPr>
          <w:rFonts w:ascii="Arial" w:eastAsia="Calibri" w:hAnsi="Arial" w:cs="Arial"/>
          <w:b/>
          <w:sz w:val="22"/>
          <w:lang w:val="es-ES_tradnl"/>
        </w:rPr>
        <w:t>y su relevancia para la aplicación del artículo 56 de la Ley 2195 de 2022</w:t>
      </w:r>
    </w:p>
    <w:p w14:paraId="59D71F03"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2CCD94E0" w14:textId="6571BC56"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w:t>
      </w:r>
      <w:proofErr w:type="spellStart"/>
      <w:r w:rsidRPr="00ED66B7">
        <w:rPr>
          <w:rFonts w:ascii="Arial" w:eastAsia="Calibri" w:hAnsi="Arial" w:cs="Arial"/>
          <w:bCs/>
          <w:sz w:val="22"/>
          <w:lang w:val="es-ES_tradnl"/>
        </w:rPr>
        <w:t>iii</w:t>
      </w:r>
      <w:proofErr w:type="spellEnd"/>
      <w:r w:rsidRPr="00ED66B7">
        <w:rPr>
          <w:rFonts w:ascii="Arial" w:eastAsia="Calibri" w:hAnsi="Arial" w:cs="Arial"/>
          <w:bCs/>
          <w:sz w:val="22"/>
          <w:lang w:val="es-ES_tradnl"/>
        </w:rPr>
        <w:t xml:space="preserve">) las sociedades de economía mixta y iv) las empresas industriales y comerciales del Estado, únicamente, en la contratación relacionada con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Esto significa que en la contratación asociada a su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65D52698" w14:textId="56E5E401" w:rsidR="009C48E6" w:rsidRPr="00ED66B7" w:rsidRDefault="009C48E6" w:rsidP="009C48E6">
      <w:pPr>
        <w:tabs>
          <w:tab w:val="left" w:pos="0"/>
        </w:tabs>
        <w:spacing w:after="120" w:line="276" w:lineRule="auto"/>
        <w:jc w:val="both"/>
        <w:rPr>
          <w:rFonts w:ascii="Arial" w:eastAsia="Arial" w:hAnsi="Arial" w:cs="Arial"/>
          <w:sz w:val="22"/>
          <w:lang w:val="es-ES_tradnl"/>
        </w:rPr>
      </w:pPr>
      <w:r w:rsidRPr="00ED66B7">
        <w:rPr>
          <w:rFonts w:ascii="Arial" w:eastAsia="Calibri" w:hAnsi="Arial" w:cs="Arial"/>
          <w:bCs/>
          <w:sz w:val="22"/>
          <w:lang w:val="es-ES_tradnl"/>
        </w:rPr>
        <w:tab/>
        <w:t xml:space="preserve">Ahora, es importante tener en cuenta que cuando la norma se refiere a la contratación del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emplea un concepto jurídico indeterminado</w:t>
      </w:r>
      <w:r w:rsidRPr="00ED66B7">
        <w:rPr>
          <w:rStyle w:val="Refdenotaalpie"/>
          <w:rFonts w:ascii="Arial" w:eastAsia="Calibri" w:hAnsi="Arial" w:cs="Arial"/>
        </w:rPr>
        <w:footnoteReference w:id="11"/>
      </w:r>
      <w:r w:rsidRPr="00ED66B7">
        <w:rPr>
          <w:rFonts w:ascii="Arial" w:eastAsia="Calibri" w:hAnsi="Arial" w:cs="Arial"/>
          <w:bCs/>
          <w:sz w:val="22"/>
          <w:lang w:val="es-ES_tradnl"/>
        </w:rPr>
        <w:t xml:space="preserve">. </w:t>
      </w:r>
      <w:r w:rsidRPr="00ED66B7">
        <w:rPr>
          <w:rFonts w:ascii="Arial" w:eastAsia="Arial" w:hAnsi="Arial" w:cs="Arial"/>
          <w:sz w:val="22"/>
          <w:lang w:val="es-ES_tradnl"/>
        </w:rPr>
        <w:t xml:space="preserve">Un concepto </w:t>
      </w:r>
      <w:r w:rsidRPr="00ED66B7">
        <w:rPr>
          <w:rFonts w:ascii="Arial" w:eastAsia="Arial" w:hAnsi="Arial" w:cs="Arial"/>
          <w:sz w:val="22"/>
          <w:lang w:val="es-ES_tradnl"/>
        </w:rPr>
        <w:lastRenderedPageBreak/>
        <w:t xml:space="preserve">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w:t>
      </w:r>
      <w:r w:rsidR="008D70E0" w:rsidRPr="00ED66B7">
        <w:rPr>
          <w:rFonts w:ascii="Arial" w:eastAsia="Arial" w:hAnsi="Arial" w:cs="Arial"/>
          <w:sz w:val="22"/>
          <w:lang w:val="es-ES_tradnl"/>
        </w:rPr>
        <w:t>margen de apreciación</w:t>
      </w:r>
      <w:r w:rsidRPr="00ED66B7">
        <w:rPr>
          <w:rFonts w:ascii="Arial" w:eastAsia="Arial" w:hAnsi="Arial" w:cs="Arial"/>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3D369186" w14:textId="77777777" w:rsidR="009C48E6" w:rsidRPr="00ED66B7" w:rsidRDefault="009C48E6" w:rsidP="009C48E6">
      <w:pPr>
        <w:tabs>
          <w:tab w:val="left" w:pos="0"/>
        </w:tabs>
        <w:spacing w:line="276" w:lineRule="auto"/>
        <w:ind w:firstLine="709"/>
        <w:jc w:val="both"/>
        <w:rPr>
          <w:rFonts w:ascii="Arial" w:eastAsia="Calibri" w:hAnsi="Arial" w:cs="Arial"/>
          <w:bCs/>
          <w:sz w:val="22"/>
          <w:lang w:val="es-ES_tradnl"/>
        </w:rPr>
      </w:pPr>
      <w:r w:rsidRPr="00ED66B7">
        <w:rPr>
          <w:rFonts w:ascii="Arial" w:eastAsia="Arial" w:hAnsi="Arial" w:cs="Arial"/>
          <w:sz w:val="22"/>
          <w:lang w:val="es-ES_tradnl"/>
        </w:rPr>
        <w:t>La Corte Constitucional</w:t>
      </w:r>
      <w:r w:rsidRPr="00ED66B7">
        <w:rPr>
          <w:rStyle w:val="Refdenotaalpie"/>
          <w:rFonts w:ascii="Arial" w:eastAsia="Arial" w:hAnsi="Arial" w:cs="Arial"/>
        </w:rPr>
        <w:footnoteReference w:id="12"/>
      </w:r>
      <w:r w:rsidRPr="00ED66B7">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7179A8A1" w14:textId="5753185E" w:rsidR="009C48E6" w:rsidRPr="00ED66B7" w:rsidRDefault="009C48E6" w:rsidP="009C48E6">
      <w:pPr>
        <w:tabs>
          <w:tab w:val="left" w:pos="0"/>
        </w:tabs>
        <w:spacing w:before="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incluida en la redacción original del parágrafo 1 del artículo 32 de la Ley 80 de 1993</w:t>
      </w:r>
      <w:r w:rsidRPr="00ED66B7">
        <w:rPr>
          <w:rStyle w:val="Refdenotaalpie"/>
          <w:rFonts w:ascii="Arial" w:eastAsia="Calibri" w:hAnsi="Arial" w:cs="Arial"/>
        </w:rPr>
        <w:footnoteReference w:id="13"/>
      </w:r>
      <w:r w:rsidRPr="00ED66B7">
        <w:rPr>
          <w:rFonts w:ascii="Arial" w:eastAsia="Calibri" w:hAnsi="Arial" w:cs="Arial"/>
          <w:bCs/>
          <w:sz w:val="22"/>
          <w:lang w:val="es-ES_tradnl"/>
        </w:rPr>
        <w:t xml:space="preserve">, la Sección Tercera manifestó lo siguiente: </w:t>
      </w:r>
    </w:p>
    <w:p w14:paraId="6347185B"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397E3C3E" w14:textId="3DF46D3E" w:rsidR="009C48E6" w:rsidRPr="00ED66B7" w:rsidRDefault="009C48E6" w:rsidP="009C48E6">
      <w:pPr>
        <w:ind w:left="709" w:right="709"/>
        <w:jc w:val="both"/>
        <w:rPr>
          <w:rFonts w:ascii="Arial" w:hAnsi="Arial" w:cs="Arial"/>
          <w:sz w:val="21"/>
          <w:szCs w:val="21"/>
          <w:lang w:val="es-ES_tradnl" w:eastAsia="es-CO"/>
        </w:rPr>
      </w:pPr>
      <w:r w:rsidRPr="00ED66B7">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w:t>
      </w:r>
      <w:r w:rsidRPr="00ED66B7">
        <w:rPr>
          <w:rFonts w:ascii="Arial" w:hAnsi="Arial" w:cs="Arial"/>
          <w:sz w:val="21"/>
          <w:szCs w:val="21"/>
          <w:lang w:val="es-ES_tradnl"/>
        </w:rPr>
        <w:lastRenderedPageBreak/>
        <w:t>se realiza para desarrollar la función principal, estableciéndose entre estos una relación de medio a fin, estrecha y complementaria»</w:t>
      </w:r>
      <w:r w:rsidRPr="00ED66B7">
        <w:rPr>
          <w:rStyle w:val="Refdenotaalpie"/>
          <w:rFonts w:ascii="Arial" w:hAnsi="Arial" w:cs="Arial"/>
        </w:rPr>
        <w:footnoteReference w:id="14"/>
      </w:r>
      <w:r w:rsidR="008D70E0" w:rsidRPr="00ED66B7">
        <w:rPr>
          <w:rFonts w:ascii="Arial" w:hAnsi="Arial" w:cs="Arial"/>
          <w:sz w:val="21"/>
          <w:szCs w:val="21"/>
          <w:lang w:val="es-ES_tradnl"/>
        </w:rPr>
        <w:t>.</w:t>
      </w:r>
    </w:p>
    <w:p w14:paraId="3AD9E08E" w14:textId="77777777" w:rsidR="009C48E6" w:rsidRPr="00ED66B7" w:rsidRDefault="009C48E6" w:rsidP="009C48E6">
      <w:pPr>
        <w:tabs>
          <w:tab w:val="left" w:pos="0"/>
        </w:tabs>
        <w:spacing w:line="276" w:lineRule="auto"/>
        <w:jc w:val="both"/>
        <w:rPr>
          <w:rFonts w:ascii="Arial" w:eastAsia="Calibri" w:hAnsi="Arial" w:cs="Arial"/>
          <w:bCs/>
          <w:i/>
          <w:iCs/>
          <w:sz w:val="22"/>
          <w:lang w:val="es-ES_tradnl"/>
        </w:rPr>
      </w:pPr>
    </w:p>
    <w:p w14:paraId="53886CBE" w14:textId="77777777" w:rsidR="009C48E6" w:rsidRPr="00ED66B7" w:rsidRDefault="009C48E6" w:rsidP="009C48E6">
      <w:pPr>
        <w:tabs>
          <w:tab w:val="left" w:pos="0"/>
        </w:tabs>
        <w:spacing w:after="120"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33C0A7F7"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00F87AA3"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p>
    <w:p w14:paraId="578572C4"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D66B7">
        <w:rPr>
          <w:rFonts w:ascii="Arial" w:eastAsia="Calibri" w:hAnsi="Arial" w:cs="Arial"/>
          <w:bCs/>
          <w:sz w:val="21"/>
          <w:szCs w:val="21"/>
          <w:lang w:val="es-ES_tradnl"/>
        </w:rPr>
        <w:t>Fonade</w:t>
      </w:r>
      <w:proofErr w:type="spellEnd"/>
      <w:r w:rsidRPr="00ED66B7">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3590A1D8"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p>
    <w:p w14:paraId="089DBC34"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D66B7">
        <w:rPr>
          <w:rStyle w:val="Refdenotaalpie"/>
          <w:rFonts w:ascii="Arial" w:eastAsia="Calibri" w:hAnsi="Arial" w:cs="Arial"/>
        </w:rPr>
        <w:footnoteReference w:id="15"/>
      </w:r>
      <w:r w:rsidRPr="00ED66B7">
        <w:rPr>
          <w:rFonts w:ascii="Arial" w:eastAsia="Calibri" w:hAnsi="Arial" w:cs="Arial"/>
          <w:bCs/>
          <w:sz w:val="21"/>
          <w:szCs w:val="21"/>
          <w:lang w:val="es-ES_tradnl"/>
        </w:rPr>
        <w:t xml:space="preserve">. </w:t>
      </w:r>
    </w:p>
    <w:p w14:paraId="2649DD7A"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r>
    </w:p>
    <w:p w14:paraId="7AC248D7" w14:textId="77777777" w:rsidR="009C48E6" w:rsidRPr="00ED66B7" w:rsidRDefault="009C48E6" w:rsidP="009C48E6">
      <w:pPr>
        <w:tabs>
          <w:tab w:val="left" w:pos="0"/>
        </w:tabs>
        <w:spacing w:after="120"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tab/>
        <w:t xml:space="preserve">Conforme con lo expresado en estas providencias, el </w:t>
      </w:r>
      <w:r w:rsidRPr="00ED66B7">
        <w:rPr>
          <w:rFonts w:ascii="Arial" w:eastAsia="Calibri" w:hAnsi="Arial" w:cs="Arial"/>
          <w:bCs/>
          <w:i/>
          <w:iCs/>
          <w:sz w:val="22"/>
          <w:szCs w:val="22"/>
          <w:lang w:val="es-ES_tradnl"/>
        </w:rPr>
        <w:t xml:space="preserve">giro ordinario </w:t>
      </w:r>
      <w:r w:rsidRPr="00ED66B7">
        <w:rPr>
          <w:rFonts w:ascii="Arial" w:eastAsia="Calibri" w:hAnsi="Arial" w:cs="Arial"/>
          <w:bCs/>
          <w:sz w:val="22"/>
          <w:szCs w:val="22"/>
          <w:lang w:val="es-ES_tradnl"/>
        </w:rPr>
        <w:t xml:space="preserve">involucra los asuntos que integran el desarrollo del objeto social de una sociedad comercial, una empresa o entidad pública, lo cual comprende tanto unas actividades directamente relacionadas con dicho objeto social, así como otros actos conexos al mismo. Esta </w:t>
      </w:r>
      <w:r w:rsidRPr="00ED66B7">
        <w:rPr>
          <w:rFonts w:ascii="Arial" w:eastAsia="Calibri" w:hAnsi="Arial" w:cs="Arial"/>
          <w:bCs/>
          <w:sz w:val="22"/>
          <w:szCs w:val="22"/>
          <w:lang w:val="es-ES_tradnl"/>
        </w:rPr>
        <w:lastRenderedPageBreak/>
        <w:t>interpretación, en principio, es coherente con la regulación de la capacidad de las sociedades comerciales establecida en el Código de Comercio, cuyo artículo 99 dispone que «[</w:t>
      </w:r>
      <w:r w:rsidRPr="00ED66B7">
        <w:rPr>
          <w:rFonts w:ascii="Arial" w:hAnsi="Arial" w:cs="Arial"/>
          <w:sz w:val="22"/>
          <w:szCs w:val="22"/>
          <w:lang w:val="es-ES_tradnl"/>
        </w:rPr>
        <w:t>S]e</w:t>
      </w:r>
      <w:r w:rsidRPr="00ED66B7">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D66B7">
        <w:rPr>
          <w:rStyle w:val="Refdenotaalpie"/>
          <w:rFonts w:ascii="Arial" w:eastAsia="Calibri" w:hAnsi="Arial" w:cs="Arial"/>
        </w:rPr>
        <w:footnoteReference w:id="16"/>
      </w:r>
      <w:r w:rsidRPr="00ED66B7">
        <w:rPr>
          <w:rFonts w:ascii="Arial" w:eastAsia="Calibri" w:hAnsi="Arial" w:cs="Arial"/>
          <w:bCs/>
          <w:sz w:val="22"/>
          <w:szCs w:val="22"/>
          <w:lang w:val="es-ES_tradnl"/>
        </w:rPr>
        <w:t xml:space="preserve">. </w:t>
      </w:r>
    </w:p>
    <w:p w14:paraId="0A7150CD" w14:textId="77777777" w:rsidR="009C48E6" w:rsidRPr="00ED66B7" w:rsidRDefault="009C48E6" w:rsidP="009C48E6">
      <w:pPr>
        <w:tabs>
          <w:tab w:val="left" w:pos="0"/>
        </w:tabs>
        <w:spacing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tab/>
        <w:t xml:space="preserve">De otra parte, la doctrina societaria también se ha encargado de definir el </w:t>
      </w:r>
      <w:r w:rsidRPr="00ED66B7">
        <w:rPr>
          <w:rFonts w:ascii="Arial" w:eastAsia="Calibri" w:hAnsi="Arial" w:cs="Arial"/>
          <w:bCs/>
          <w:i/>
          <w:iCs/>
          <w:sz w:val="22"/>
          <w:szCs w:val="22"/>
          <w:lang w:val="es-ES_tradnl"/>
        </w:rPr>
        <w:t>objeto social</w:t>
      </w:r>
      <w:r w:rsidRPr="00ED66B7">
        <w:rPr>
          <w:rFonts w:ascii="Arial" w:eastAsia="Calibri" w:hAnsi="Arial" w:cs="Arial"/>
          <w:bCs/>
          <w:sz w:val="22"/>
          <w:szCs w:val="22"/>
          <w:lang w:val="es-ES_tradnl"/>
        </w:rPr>
        <w:t xml:space="preserve">, así como su relación con el concepto de </w:t>
      </w:r>
      <w:r w:rsidRPr="00ED66B7">
        <w:rPr>
          <w:rFonts w:ascii="Arial" w:eastAsia="Calibri" w:hAnsi="Arial" w:cs="Arial"/>
          <w:bCs/>
          <w:i/>
          <w:iCs/>
          <w:sz w:val="22"/>
          <w:szCs w:val="22"/>
          <w:lang w:val="es-ES_tradnl"/>
        </w:rPr>
        <w:t>giro ordinario</w:t>
      </w:r>
      <w:r w:rsidRPr="00ED66B7">
        <w:rPr>
          <w:rFonts w:ascii="Arial" w:eastAsia="Calibri" w:hAnsi="Arial" w:cs="Arial"/>
          <w:bCs/>
          <w:sz w:val="22"/>
          <w:szCs w:val="22"/>
          <w:lang w:val="es-ES_tradnl"/>
        </w:rPr>
        <w:t>. Al respecto, la Superintendencia de Sociedades, citando doctrina autorizada en la materia, ha señalado:</w:t>
      </w:r>
    </w:p>
    <w:p w14:paraId="38358324" w14:textId="77777777" w:rsidR="009C48E6" w:rsidRPr="00ED66B7" w:rsidRDefault="009C48E6" w:rsidP="009C48E6">
      <w:pPr>
        <w:tabs>
          <w:tab w:val="left" w:pos="0"/>
        </w:tabs>
        <w:spacing w:line="276" w:lineRule="auto"/>
        <w:jc w:val="both"/>
        <w:rPr>
          <w:rFonts w:ascii="Arial" w:eastAsia="Calibri" w:hAnsi="Arial" w:cs="Arial"/>
          <w:bCs/>
          <w:sz w:val="22"/>
          <w:szCs w:val="22"/>
          <w:lang w:val="es-ES_tradnl"/>
        </w:rPr>
      </w:pPr>
    </w:p>
    <w:p w14:paraId="77F4DE88" w14:textId="77777777" w:rsidR="009C48E6" w:rsidRPr="00ED66B7" w:rsidRDefault="009C48E6" w:rsidP="009C48E6">
      <w:pPr>
        <w:tabs>
          <w:tab w:val="left" w:pos="0"/>
        </w:tabs>
        <w:spacing w:after="120"/>
        <w:ind w:left="709" w:right="709"/>
        <w:jc w:val="both"/>
        <w:rPr>
          <w:rFonts w:ascii="Arial" w:hAnsi="Arial" w:cs="Arial"/>
          <w:sz w:val="21"/>
          <w:szCs w:val="21"/>
          <w:lang w:val="es-ES_tradnl"/>
        </w:rPr>
      </w:pPr>
      <w:r w:rsidRPr="00ED66B7">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809FB2D"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D66B7">
        <w:rPr>
          <w:rStyle w:val="Refdenotaalpie"/>
          <w:rFonts w:ascii="Arial" w:hAnsi="Arial" w:cs="Arial"/>
        </w:rPr>
        <w:footnoteReference w:id="17"/>
      </w:r>
      <w:r w:rsidRPr="00ED66B7">
        <w:rPr>
          <w:rFonts w:ascii="Arial" w:hAnsi="Arial" w:cs="Arial"/>
          <w:sz w:val="21"/>
          <w:szCs w:val="21"/>
          <w:lang w:val="es-ES_tradnl"/>
        </w:rPr>
        <w:t>.</w:t>
      </w:r>
    </w:p>
    <w:p w14:paraId="01F592E4"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4510E861" w14:textId="142861CD"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lastRenderedPageBreak/>
        <w:tab/>
        <w:t xml:space="preserve">De acuerdo con estas consideraciones, no </w:t>
      </w:r>
      <w:r w:rsidR="005E3980" w:rsidRPr="00ED66B7">
        <w:rPr>
          <w:rFonts w:ascii="Arial" w:eastAsia="Calibri" w:hAnsi="Arial" w:cs="Arial"/>
          <w:bCs/>
          <w:sz w:val="22"/>
          <w:lang w:val="es-ES_tradnl"/>
        </w:rPr>
        <w:t xml:space="preserve">hay </w:t>
      </w:r>
      <w:r w:rsidRPr="00ED66B7">
        <w:rPr>
          <w:rFonts w:ascii="Arial" w:eastAsia="Calibri" w:hAnsi="Arial" w:cs="Arial"/>
          <w:bCs/>
          <w:sz w:val="22"/>
          <w:lang w:val="es-ES_tradnl"/>
        </w:rPr>
        <w:t xml:space="preserve">una plena equivalencia entre las </w:t>
      </w:r>
      <w:bookmarkStart w:id="12" w:name="_Hlk95322109"/>
      <w:r w:rsidRPr="00ED66B7">
        <w:rPr>
          <w:rFonts w:ascii="Arial" w:eastAsia="Calibri" w:hAnsi="Arial" w:cs="Arial"/>
          <w:bCs/>
          <w:sz w:val="22"/>
          <w:lang w:val="es-ES_tradnl"/>
        </w:rPr>
        <w:t xml:space="preserve">actividades que hacen parte del desarrollo del </w:t>
      </w:r>
      <w:r w:rsidRPr="00ED66B7">
        <w:rPr>
          <w:rFonts w:ascii="Arial" w:eastAsia="Calibri" w:hAnsi="Arial" w:cs="Arial"/>
          <w:bCs/>
          <w:i/>
          <w:iCs/>
          <w:sz w:val="22"/>
          <w:lang w:val="es-ES_tradnl"/>
        </w:rPr>
        <w:t>objeto social</w:t>
      </w:r>
      <w:r w:rsidRPr="00ED66B7">
        <w:rPr>
          <w:rFonts w:ascii="Arial" w:eastAsia="Calibri" w:hAnsi="Arial" w:cs="Arial"/>
          <w:bCs/>
          <w:sz w:val="22"/>
          <w:lang w:val="es-ES_tradnl"/>
        </w:rPr>
        <w:t xml:space="preserve"> y las que comprende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w:t>
      </w:r>
      <w:r w:rsidR="005E3980" w:rsidRPr="00ED66B7">
        <w:rPr>
          <w:rFonts w:ascii="Arial" w:eastAsia="Calibri" w:hAnsi="Arial" w:cs="Arial"/>
          <w:bCs/>
          <w:sz w:val="22"/>
          <w:lang w:val="es-ES_tradnl"/>
        </w:rPr>
        <w:t>pues,</w:t>
      </w:r>
      <w:r w:rsidRPr="00ED66B7">
        <w:rPr>
          <w:rFonts w:ascii="Arial" w:eastAsia="Calibri" w:hAnsi="Arial" w:cs="Arial"/>
          <w:bCs/>
          <w:sz w:val="22"/>
          <w:lang w:val="es-ES_tradnl"/>
        </w:rPr>
        <w:t xml:space="preserve"> como precisa la Superintendencia de Sociedades, entre lo que designan estas categorías existe una relación de género a especie. </w:t>
      </w:r>
    </w:p>
    <w:p w14:paraId="34AFA9E2" w14:textId="7C0D0B6A"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relación con la aplicación de lo dispuesto en el parágrafo del artículo 56 de la Ley 2195 de 2022, conviene aclarar que, a juicio de esta Agencia, a menos que el Presidente de la República</w:t>
      </w:r>
      <w:r w:rsidR="006B6D57" w:rsidRPr="00ED66B7">
        <w:rPr>
          <w:rFonts w:ascii="Arial" w:eastAsia="Calibri" w:hAnsi="Arial" w:cs="Arial"/>
          <w:bCs/>
          <w:sz w:val="22"/>
          <w:lang w:val="es-ES_tradnl"/>
        </w:rPr>
        <w:t>,</w:t>
      </w:r>
      <w:r w:rsidRPr="00ED66B7">
        <w:rPr>
          <w:rFonts w:ascii="Arial" w:eastAsia="Calibri" w:hAnsi="Arial" w:cs="Arial"/>
          <w:bCs/>
          <w:sz w:val="22"/>
          <w:lang w:val="es-ES_tradnl"/>
        </w:rPr>
        <w:t xml:space="preserve"> en ejercicio de la potestad reglamentaria atribuida por el artículo 189.11 de la Constitución Política, disponga algo diferente, la expresión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D66B7">
        <w:rPr>
          <w:rFonts w:ascii="Arial" w:eastAsia="Calibri" w:hAnsi="Arial" w:cs="Arial"/>
          <w:bCs/>
          <w:i/>
          <w:iCs/>
          <w:sz w:val="22"/>
          <w:lang w:val="es-ES_tradnl"/>
        </w:rPr>
        <w:t>ejusdem</w:t>
      </w:r>
      <w:proofErr w:type="spellEnd"/>
      <w:r w:rsidRPr="00ED66B7">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833CB1" w:rsidRPr="00ED66B7">
        <w:rPr>
          <w:rFonts w:ascii="Arial" w:eastAsia="Calibri" w:hAnsi="Arial" w:cs="Arial"/>
          <w:bCs/>
          <w:sz w:val="22"/>
          <w:lang w:val="es-ES_tradnl"/>
        </w:rPr>
        <w:t>realizan</w:t>
      </w:r>
      <w:r w:rsidRPr="00ED66B7">
        <w:rPr>
          <w:rFonts w:ascii="Arial" w:eastAsia="Calibri" w:hAnsi="Arial" w:cs="Arial"/>
          <w:bCs/>
          <w:sz w:val="22"/>
          <w:lang w:val="es-ES_tradnl"/>
        </w:rPr>
        <w:t xml:space="preserve">. </w:t>
      </w:r>
    </w:p>
    <w:p w14:paraId="52150902" w14:textId="77777777" w:rsidR="009C48E6" w:rsidRPr="00ED66B7" w:rsidRDefault="009C48E6" w:rsidP="009C48E6">
      <w:pPr>
        <w:tabs>
          <w:tab w:val="left" w:pos="0"/>
        </w:tabs>
        <w:spacing w:after="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12"/>
    <w:p w14:paraId="0C077DA0" w14:textId="027C5B95"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w:t>
      </w:r>
      <w:r w:rsidR="00342705" w:rsidRPr="00ED66B7">
        <w:rPr>
          <w:rFonts w:ascii="Arial" w:eastAsia="Calibri" w:hAnsi="Arial" w:cs="Arial"/>
          <w:bCs/>
          <w:sz w:val="22"/>
          <w:lang w:val="es-ES_tradnl"/>
        </w:rPr>
        <w:t xml:space="preserve">los </w:t>
      </w:r>
      <w:r w:rsidRPr="00ED66B7">
        <w:rPr>
          <w:rFonts w:ascii="Arial" w:eastAsia="Calibri" w:hAnsi="Arial" w:cs="Arial"/>
          <w:bCs/>
          <w:sz w:val="22"/>
          <w:lang w:val="es-ES_tradnl"/>
        </w:rPr>
        <w:t xml:space="preserve">documentos tipo únicamente para la contratación relacionada con el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D66B7">
        <w:rPr>
          <w:rFonts w:ascii="Arial" w:eastAsia="Calibri" w:hAnsi="Arial" w:cs="Arial"/>
          <w:bCs/>
          <w:i/>
          <w:iCs/>
          <w:sz w:val="22"/>
          <w:lang w:val="es-ES_tradnl"/>
        </w:rPr>
        <w:t>su giro ordinario</w:t>
      </w:r>
      <w:r w:rsidRPr="00ED66B7">
        <w:rPr>
          <w:rFonts w:ascii="Arial" w:eastAsia="Calibri" w:hAnsi="Arial" w:cs="Arial"/>
          <w:bCs/>
          <w:sz w:val="22"/>
          <w:lang w:val="es-ES_tradnl"/>
        </w:rPr>
        <w:t xml:space="preserve">, entendido este conforme a los criterios jurisprudenciales y doctrinarios aquí </w:t>
      </w:r>
      <w:r w:rsidRPr="00ED66B7">
        <w:rPr>
          <w:rFonts w:ascii="Arial" w:eastAsia="Calibri" w:hAnsi="Arial" w:cs="Arial"/>
          <w:bCs/>
          <w:sz w:val="22"/>
          <w:lang w:val="es-ES_tradnl"/>
        </w:rPr>
        <w:lastRenderedPageBreak/>
        <w:t xml:space="preserve">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166B2C2F"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D66B7">
        <w:rPr>
          <w:rStyle w:val="Refdenotaalpie"/>
          <w:rFonts w:ascii="Arial" w:eastAsia="Calibri" w:hAnsi="Arial" w:cs="Arial"/>
        </w:rPr>
        <w:footnoteReference w:id="18"/>
      </w:r>
      <w:r w:rsidRPr="00ED66B7">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ED66B7">
        <w:rPr>
          <w:rStyle w:val="Refdenotaalpie"/>
          <w:rFonts w:ascii="Arial" w:eastAsia="Calibri" w:hAnsi="Arial" w:cs="Arial"/>
        </w:rPr>
        <w:footnoteReference w:id="19"/>
      </w:r>
      <w:r w:rsidRPr="00ED66B7">
        <w:rPr>
          <w:rFonts w:ascii="Arial" w:eastAsia="Calibri" w:hAnsi="Arial" w:cs="Arial"/>
          <w:bCs/>
          <w:sz w:val="22"/>
          <w:lang w:val="es-ES_tradnl"/>
        </w:rPr>
        <w:t xml:space="preserve">. En ese sentido, en virtud de esta potestad de configuración </w:t>
      </w:r>
      <w:r w:rsidRPr="00ED66B7">
        <w:rPr>
          <w:rFonts w:ascii="Arial" w:eastAsia="Calibri" w:hAnsi="Arial" w:cs="Arial"/>
          <w:bCs/>
          <w:sz w:val="22"/>
          <w:lang w:val="es-ES_tradnl"/>
        </w:rPr>
        <w:lastRenderedPageBreak/>
        <w:t xml:space="preserve">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D66B7">
        <w:rPr>
          <w:rStyle w:val="Refdenotaalpie"/>
          <w:rFonts w:ascii="Arial" w:eastAsia="Calibri" w:hAnsi="Arial" w:cs="Arial"/>
        </w:rPr>
        <w:footnoteReference w:id="20"/>
      </w:r>
      <w:r w:rsidRPr="00ED66B7">
        <w:rPr>
          <w:rFonts w:ascii="Arial" w:eastAsia="Calibri" w:hAnsi="Arial" w:cs="Arial"/>
          <w:bCs/>
          <w:sz w:val="22"/>
          <w:lang w:val="es-ES_tradnl"/>
        </w:rPr>
        <w:t>.</w:t>
      </w:r>
    </w:p>
    <w:p w14:paraId="288ABE60" w14:textId="1C1EB81E" w:rsidR="009C48E6" w:rsidRPr="00ED66B7" w:rsidRDefault="009C48E6" w:rsidP="009C48E6">
      <w:pPr>
        <w:tabs>
          <w:tab w:val="left" w:pos="0"/>
        </w:tabs>
        <w:spacing w:before="120" w:after="120" w:line="276" w:lineRule="auto"/>
        <w:ind w:firstLine="709"/>
        <w:jc w:val="both"/>
        <w:rPr>
          <w:rFonts w:ascii="Arial" w:hAnsi="Arial" w:cs="Arial"/>
          <w:sz w:val="22"/>
          <w:szCs w:val="22"/>
        </w:rPr>
      </w:pPr>
      <w:r w:rsidRPr="00ED66B7">
        <w:rPr>
          <w:rFonts w:ascii="Arial" w:eastAsia="Calibri" w:hAnsi="Arial" w:cs="Arial"/>
          <w:bCs/>
          <w:sz w:val="22"/>
          <w:szCs w:val="22"/>
          <w:lang w:val="es-ES_tradnl"/>
        </w:rPr>
        <w:t>De acuerdo con esta interpretación restrictiva</w:t>
      </w:r>
      <w:r w:rsidRPr="00ED66B7">
        <w:rPr>
          <w:rStyle w:val="Refdenotaalpie"/>
          <w:rFonts w:ascii="Arial" w:eastAsia="Calibri" w:hAnsi="Arial" w:cs="Arial"/>
        </w:rPr>
        <w:footnoteReference w:id="21"/>
      </w:r>
      <w:r w:rsidR="00342705" w:rsidRPr="00ED66B7">
        <w:rPr>
          <w:rFonts w:ascii="Arial" w:eastAsia="Calibri" w:hAnsi="Arial" w:cs="Arial"/>
          <w:bCs/>
          <w:sz w:val="22"/>
          <w:szCs w:val="22"/>
          <w:lang w:val="es-ES_tradnl"/>
        </w:rPr>
        <w:t>,</w:t>
      </w:r>
      <w:r w:rsidRPr="00ED66B7">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D66B7">
        <w:rPr>
          <w:rFonts w:ascii="Arial" w:eastAsia="Calibri" w:hAnsi="Arial" w:cs="Arial"/>
          <w:bCs/>
          <w:i/>
          <w:iCs/>
          <w:sz w:val="22"/>
          <w:szCs w:val="22"/>
          <w:lang w:val="es-ES_tradnl"/>
        </w:rPr>
        <w:t xml:space="preserve">giro ordinario, </w:t>
      </w:r>
      <w:r w:rsidRPr="00ED66B7">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D66B7">
        <w:rPr>
          <w:rStyle w:val="Refdenotaalpie"/>
          <w:rFonts w:ascii="Arial" w:hAnsi="Arial" w:cs="Arial"/>
        </w:rPr>
        <w:footnoteReference w:id="22"/>
      </w:r>
      <w:r w:rsidRPr="00ED66B7">
        <w:rPr>
          <w:rFonts w:ascii="Arial" w:eastAsia="Calibri" w:hAnsi="Arial" w:cs="Arial"/>
          <w:bCs/>
          <w:sz w:val="22"/>
          <w:szCs w:val="22"/>
          <w:lang w:val="es-ES_tradnl"/>
        </w:rPr>
        <w:t>, al igual que la regla según la cual «</w:t>
      </w:r>
      <w:r w:rsidRPr="00ED66B7">
        <w:rPr>
          <w:rFonts w:ascii="Arial" w:hAnsi="Arial" w:cs="Arial"/>
          <w:sz w:val="22"/>
          <w:szCs w:val="22"/>
        </w:rPr>
        <w:t>Lo favorable u odioso de una disposición no se tomará en cuenta para ampliar o restringir su interpretación»</w:t>
      </w:r>
      <w:r w:rsidRPr="00ED66B7">
        <w:rPr>
          <w:rStyle w:val="Refdenotaalpie"/>
          <w:rFonts w:ascii="Arial" w:hAnsi="Arial" w:cs="Arial"/>
        </w:rPr>
        <w:footnoteReference w:id="23"/>
      </w:r>
      <w:r w:rsidRPr="00ED66B7">
        <w:rPr>
          <w:rFonts w:ascii="Arial" w:hAnsi="Arial" w:cs="Arial"/>
          <w:sz w:val="22"/>
          <w:szCs w:val="22"/>
        </w:rPr>
        <w:t xml:space="preserve">. </w:t>
      </w:r>
    </w:p>
    <w:p w14:paraId="6DB61E4C" w14:textId="15E52EDD" w:rsidR="009C48E6" w:rsidRPr="00ED66B7" w:rsidRDefault="009C48E6" w:rsidP="00F86CE0">
      <w:pPr>
        <w:tabs>
          <w:tab w:val="left" w:pos="0"/>
        </w:tabs>
        <w:spacing w:before="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lastRenderedPageBreak/>
        <w:t xml:space="preserve">En conclusión, a juicio de esta Agencia lo dispuesto en el parágrafo del artículo 56 de la Ley 2195 de 2022, es una manifestación de la voluntad del Legislador de relevar a las </w:t>
      </w:r>
      <w:r w:rsidRPr="00ED66B7">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D66B7">
        <w:rPr>
          <w:rFonts w:ascii="Arial" w:eastAsia="Calibri" w:hAnsi="Arial" w:cs="Arial"/>
          <w:bCs/>
          <w:i/>
          <w:iCs/>
          <w:sz w:val="22"/>
          <w:szCs w:val="22"/>
          <w:lang w:val="es-ES_tradnl"/>
        </w:rPr>
        <w:t>giro ordinario</w:t>
      </w:r>
      <w:r w:rsidRPr="00ED66B7">
        <w:rPr>
          <w:rFonts w:ascii="Arial" w:eastAsia="Calibri" w:hAnsi="Arial" w:cs="Arial"/>
          <w:bCs/>
          <w:sz w:val="22"/>
          <w:szCs w:val="22"/>
          <w:lang w:val="es-ES_tradnl"/>
        </w:rPr>
        <w:t xml:space="preserve">. Esto significa que tales entidades, </w:t>
      </w:r>
      <w:r w:rsidRPr="00ED66B7">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dentro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224B2903" w14:textId="375AF7F3" w:rsidR="00E67756" w:rsidRDefault="00E67756" w:rsidP="00510DE9">
      <w:pPr>
        <w:tabs>
          <w:tab w:val="left" w:pos="0"/>
        </w:tabs>
        <w:jc w:val="both"/>
        <w:rPr>
          <w:rFonts w:ascii="Arial" w:eastAsia="Calibri" w:hAnsi="Arial" w:cs="Arial"/>
          <w:b/>
          <w:sz w:val="22"/>
          <w:lang w:val="es-ES_tradnl"/>
        </w:rPr>
      </w:pPr>
    </w:p>
    <w:p w14:paraId="059A73FE" w14:textId="262A6E18" w:rsidR="00874850" w:rsidRPr="00677CBE" w:rsidRDefault="00874850" w:rsidP="00874850">
      <w:pPr>
        <w:tabs>
          <w:tab w:val="left" w:pos="0"/>
        </w:tabs>
        <w:spacing w:line="276" w:lineRule="auto"/>
        <w:jc w:val="both"/>
        <w:rPr>
          <w:rFonts w:ascii="Arial" w:eastAsia="Calibri" w:hAnsi="Arial" w:cs="Arial"/>
          <w:b/>
          <w:sz w:val="22"/>
          <w:lang w:val="es-ES_tradnl"/>
        </w:rPr>
      </w:pPr>
      <w:r w:rsidRPr="00677CBE">
        <w:rPr>
          <w:rFonts w:ascii="Arial" w:eastAsia="Calibri" w:hAnsi="Arial" w:cs="Arial"/>
          <w:b/>
          <w:i/>
          <w:iCs/>
          <w:sz w:val="22"/>
          <w:lang w:val="es-ES_tradnl"/>
        </w:rPr>
        <w:t xml:space="preserve">2.2.4. </w:t>
      </w:r>
      <w:r w:rsidR="00F651E9" w:rsidRPr="00677CBE">
        <w:rPr>
          <w:rFonts w:ascii="Arial" w:eastAsia="Calibri" w:hAnsi="Arial" w:cs="Arial"/>
          <w:b/>
          <w:sz w:val="22"/>
          <w:lang w:val="es-ES_tradnl"/>
        </w:rPr>
        <w:t>El artículo 56 de la Ley 2195 de 2022 y la aplicación obligatoria del Estatuto General de Contratación de la Administración Pública y los documentos tipo en la contratación de las entidades estatales exceptuadas y particulares</w:t>
      </w:r>
    </w:p>
    <w:p w14:paraId="44CE4EDB" w14:textId="77777777" w:rsidR="00F651E9" w:rsidRPr="00677CBE" w:rsidRDefault="00F651E9" w:rsidP="00874850">
      <w:pPr>
        <w:tabs>
          <w:tab w:val="left" w:pos="0"/>
        </w:tabs>
        <w:spacing w:line="276" w:lineRule="auto"/>
        <w:jc w:val="both"/>
        <w:rPr>
          <w:rFonts w:ascii="Arial" w:eastAsia="Calibri" w:hAnsi="Arial" w:cs="Arial"/>
          <w:b/>
          <w:sz w:val="22"/>
          <w:lang w:val="es-ES_tradnl"/>
        </w:rPr>
      </w:pPr>
    </w:p>
    <w:p w14:paraId="0F6741F8" w14:textId="77777777" w:rsidR="00EE5D0B" w:rsidRPr="00677CBE" w:rsidRDefault="00874850" w:rsidP="00EE5D0B">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Cs/>
          <w:sz w:val="22"/>
          <w:lang w:val="es-ES_tradnl"/>
        </w:rPr>
        <w:t xml:space="preserve">Conforme se estableció </w:t>
      </w:r>
      <w:r w:rsidRPr="00677CBE">
        <w:rPr>
          <w:rFonts w:ascii="Arial" w:eastAsia="Calibri" w:hAnsi="Arial" w:cs="Arial"/>
          <w:bCs/>
          <w:i/>
          <w:iCs/>
          <w:sz w:val="22"/>
          <w:lang w:val="es-ES_tradnl"/>
        </w:rPr>
        <w:t>ut supra,</w:t>
      </w:r>
      <w:r w:rsidRPr="00677CBE">
        <w:rPr>
          <w:rFonts w:ascii="Arial" w:eastAsia="Calibri" w:hAnsi="Arial" w:cs="Arial"/>
          <w:bCs/>
          <w:sz w:val="22"/>
          <w:lang w:val="es-ES_tradnl"/>
        </w:rPr>
        <w:t xml:space="preserve"> el parágrafo 7 del artículo 2 de la Ley 1150 de 2007, adicionado por la Ley 2022 de 2020, atribuyó a esta Agencia la competencia para adoptar «[…]</w:t>
      </w:r>
      <w:r w:rsidRPr="00677CBE">
        <w:t xml:space="preserve"> </w:t>
      </w:r>
      <w:r w:rsidRPr="00677CBE">
        <w:rPr>
          <w:rFonts w:ascii="Arial" w:eastAsia="Calibri" w:hAnsi="Arial" w:cs="Arial"/>
          <w:bCs/>
          <w:sz w:val="22"/>
          <w:lang w:val="es-ES_tradnl"/>
        </w:rPr>
        <w:t xml:space="preserve">documentos tipo que serán de obligatorio cumplimiento en la actividad contractual de todas las entidades sometidas al Estatuto General de Contratación de la Administración Pública». </w:t>
      </w:r>
      <w:r w:rsidR="00EE5D0B" w:rsidRPr="00677CBE">
        <w:rPr>
          <w:rFonts w:ascii="Arial" w:eastAsia="Calibri" w:hAnsi="Arial" w:cs="Arial"/>
          <w:bCs/>
          <w:sz w:val="22"/>
          <w:lang w:val="es-ES_tradnl"/>
        </w:rPr>
        <w:t xml:space="preserve">En ese sentido, el contenido normativo de la Ley 2022 de 2020, y en su momento también la Ley 1882 de 2018, en principio, excluyen del ámbito de aplicación de los documentos tipo la contratación de entidades estatales de régimen exceptuado, por lo general, sujetas al derecho privado. </w:t>
      </w:r>
    </w:p>
    <w:p w14:paraId="3FCEB863" w14:textId="6F2F655F" w:rsidR="00874850" w:rsidRPr="00677CBE" w:rsidRDefault="00EE5D0B"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
          <w:bCs/>
          <w:sz w:val="22"/>
          <w:lang w:val="es-ES_tradnl"/>
        </w:rPr>
        <w:tab/>
      </w:r>
      <w:r w:rsidRPr="00677CBE">
        <w:rPr>
          <w:rFonts w:ascii="Arial" w:eastAsia="Calibri" w:hAnsi="Arial" w:cs="Arial"/>
          <w:bCs/>
          <w:sz w:val="22"/>
          <w:lang w:val="es-ES_tradnl"/>
        </w:rPr>
        <w:t>No obstante,</w:t>
      </w:r>
      <w:r w:rsidR="00FF31EC" w:rsidRPr="00677CBE">
        <w:rPr>
          <w:rFonts w:ascii="Arial" w:eastAsia="Calibri" w:hAnsi="Arial" w:cs="Arial"/>
          <w:bCs/>
          <w:sz w:val="22"/>
          <w:lang w:val="es-ES_tradnl"/>
        </w:rPr>
        <w:t xml:space="preserve"> como se ha mencionado previamente,</w:t>
      </w:r>
      <w:r w:rsidRPr="00677CBE">
        <w:rPr>
          <w:rFonts w:ascii="Arial" w:eastAsia="Calibri" w:hAnsi="Arial" w:cs="Arial"/>
          <w:bCs/>
          <w:sz w:val="22"/>
          <w:lang w:val="es-ES_tradnl"/>
        </w:rPr>
        <w:t xml:space="preserve"> este panorama </w:t>
      </w:r>
      <w:r w:rsidR="001243E0" w:rsidRPr="00677CBE">
        <w:rPr>
          <w:rFonts w:ascii="Arial" w:eastAsia="Calibri" w:hAnsi="Arial" w:cs="Arial"/>
          <w:bCs/>
          <w:sz w:val="22"/>
          <w:lang w:val="es-ES_tradnl"/>
        </w:rPr>
        <w:t>cambió</w:t>
      </w:r>
      <w:r w:rsidRPr="00677CBE">
        <w:rPr>
          <w:rFonts w:ascii="Arial" w:eastAsia="Calibri" w:hAnsi="Arial" w:cs="Arial"/>
          <w:bCs/>
          <w:sz w:val="22"/>
          <w:lang w:val="es-ES_tradnl"/>
        </w:rPr>
        <w:t xml:space="preserve"> de manera sustancial con la reciente expedición de la Ley 2195 de 2022</w:t>
      </w:r>
      <w:r w:rsidR="00527AFD" w:rsidRPr="00677CBE">
        <w:rPr>
          <w:rFonts w:ascii="Arial" w:eastAsia="Calibri" w:hAnsi="Arial" w:cs="Arial"/>
          <w:bCs/>
          <w:sz w:val="22"/>
          <w:lang w:val="es-ES_tradnl"/>
        </w:rPr>
        <w:t>.</w:t>
      </w:r>
      <w:r w:rsidRPr="00677CBE">
        <w:rPr>
          <w:rFonts w:ascii="Arial" w:eastAsia="Calibri" w:hAnsi="Arial" w:cs="Arial"/>
          <w:bCs/>
          <w:sz w:val="22"/>
          <w:lang w:val="es-ES_tradnl"/>
        </w:rPr>
        <w:t xml:space="preserve"> </w:t>
      </w:r>
      <w:r w:rsidR="00874850" w:rsidRPr="00677CBE">
        <w:rPr>
          <w:rFonts w:ascii="Arial" w:eastAsia="Calibri" w:hAnsi="Arial" w:cs="Arial"/>
          <w:bCs/>
          <w:sz w:val="22"/>
          <w:lang w:val="es-ES_tradnl"/>
        </w:rPr>
        <w:t>Tal como se ha explicado a lo largo de los numerales anteriores, e</w:t>
      </w:r>
      <w:r w:rsidR="00C4082B" w:rsidRPr="00677CBE">
        <w:rPr>
          <w:rFonts w:ascii="Arial" w:eastAsia="Calibri" w:hAnsi="Arial" w:cs="Arial"/>
          <w:bCs/>
          <w:sz w:val="22"/>
          <w:lang w:val="es-ES_tradnl"/>
        </w:rPr>
        <w:t>l</w:t>
      </w:r>
      <w:r w:rsidR="00874850" w:rsidRPr="00677CBE">
        <w:rPr>
          <w:rFonts w:ascii="Arial" w:eastAsia="Calibri" w:hAnsi="Arial" w:cs="Arial"/>
          <w:bCs/>
          <w:sz w:val="22"/>
          <w:lang w:val="es-ES_tradnl"/>
        </w:rPr>
        <w:t xml:space="preserve"> deber de aplicar los documentos tipo adoptados por esta Agencia, por efectos de la expedición del artículo 56 de la Ley 2195 de 2022, </w:t>
      </w:r>
      <w:r w:rsidR="007964C2" w:rsidRPr="00677CBE">
        <w:rPr>
          <w:rFonts w:ascii="Arial" w:eastAsia="Calibri" w:hAnsi="Arial" w:cs="Arial"/>
          <w:bCs/>
          <w:sz w:val="22"/>
          <w:lang w:val="es-ES_tradnl"/>
        </w:rPr>
        <w:t xml:space="preserve">actualmente </w:t>
      </w:r>
      <w:r w:rsidR="00874850" w:rsidRPr="00677CBE">
        <w:rPr>
          <w:rFonts w:ascii="Arial" w:eastAsia="Calibri" w:hAnsi="Arial" w:cs="Arial"/>
          <w:bCs/>
          <w:sz w:val="22"/>
          <w:lang w:val="es-ES_tradnl"/>
        </w:rPr>
        <w:t xml:space="preserve">alcanza a las entidades estatales con regímenes exceptuados, patrimonios autónomos, personas naturales y jurídicas de derecho privado, que, en desarrollo de compromisos adquiridos en el marco de contratos o convenios con entidades sometidas al EGCAP, deban contratar objetos contractuales a los que se apliquen los pliegos tipo. Sin embargo, sobre este punto es importante señalar que, si bien el artículo 56 </w:t>
      </w:r>
      <w:proofErr w:type="spellStart"/>
      <w:r w:rsidR="00874850" w:rsidRPr="00677CBE">
        <w:rPr>
          <w:rFonts w:ascii="Arial" w:eastAsia="Calibri" w:hAnsi="Arial" w:cs="Arial"/>
          <w:bCs/>
          <w:i/>
          <w:iCs/>
          <w:sz w:val="22"/>
          <w:lang w:val="es-ES_tradnl"/>
        </w:rPr>
        <w:t>ibídem</w:t>
      </w:r>
      <w:proofErr w:type="spellEnd"/>
      <w:r w:rsidR="00874850" w:rsidRPr="00677CBE">
        <w:rPr>
          <w:rFonts w:ascii="Arial" w:eastAsia="Calibri" w:hAnsi="Arial" w:cs="Arial"/>
          <w:bCs/>
          <w:sz w:val="22"/>
          <w:lang w:val="es-ES_tradnl"/>
        </w:rPr>
        <w:t>,</w:t>
      </w:r>
      <w:r w:rsidR="00874850" w:rsidRPr="00677CBE">
        <w:rPr>
          <w:rFonts w:ascii="Arial" w:eastAsia="Calibri" w:hAnsi="Arial" w:cs="Arial"/>
          <w:bCs/>
          <w:i/>
          <w:iCs/>
          <w:sz w:val="22"/>
          <w:lang w:val="es-ES_tradnl"/>
        </w:rPr>
        <w:t xml:space="preserve"> </w:t>
      </w:r>
      <w:r w:rsidR="00874850" w:rsidRPr="00677CBE">
        <w:rPr>
          <w:rFonts w:ascii="Arial" w:eastAsia="Calibri" w:hAnsi="Arial" w:cs="Arial"/>
          <w:bCs/>
          <w:sz w:val="22"/>
          <w:lang w:val="es-ES_tradnl"/>
        </w:rPr>
        <w:t>al involucrar a los mencionados sujetos</w:t>
      </w:r>
      <w:r w:rsidR="00874850" w:rsidRPr="00677CBE">
        <w:rPr>
          <w:rFonts w:ascii="Arial" w:eastAsia="Calibri" w:hAnsi="Arial" w:cs="Arial"/>
          <w:bCs/>
          <w:i/>
          <w:iCs/>
          <w:sz w:val="22"/>
          <w:lang w:val="es-ES_tradnl"/>
        </w:rPr>
        <w:t xml:space="preserve"> </w:t>
      </w:r>
      <w:r w:rsidR="00874850" w:rsidRPr="00677CBE">
        <w:rPr>
          <w:rFonts w:ascii="Arial" w:eastAsia="Calibri" w:hAnsi="Arial" w:cs="Arial"/>
          <w:bCs/>
          <w:sz w:val="22"/>
          <w:lang w:val="es-ES_tradnl"/>
        </w:rPr>
        <w:t xml:space="preserve">amplió el ámbito de aplicación de los documentos tipo, ello no implicó una modificación de la competencia atribuida a esta Agencia por el parágrafo 7 del artículo 2 de la Ley 1150 de 2007. En efecto, el texto vigente del referido parágrafo a la fecha responde a la redacción establecida por el artículo 1 de la Ley 2022 de 2020, que solo otorgó competencia a la Agencia Nacional de Contratación Pública – Colombia Compra Eficiente para adoptar documentos tipo obligatorios para </w:t>
      </w:r>
      <w:r w:rsidR="00874850" w:rsidRPr="00677CBE">
        <w:rPr>
          <w:rFonts w:ascii="Arial" w:eastAsia="Calibri" w:hAnsi="Arial" w:cs="Arial"/>
          <w:bCs/>
          <w:sz w:val="22"/>
          <w:lang w:val="es-ES_tradnl"/>
        </w:rPr>
        <w:lastRenderedPageBreak/>
        <w:t xml:space="preserve">entidades sometidas al EGCAP, lo que excluye la expedición de documentos tipo para entidades exceptuadas.  </w:t>
      </w:r>
    </w:p>
    <w:p w14:paraId="2B538002" w14:textId="2B84D683" w:rsidR="00874850" w:rsidRPr="00677CBE" w:rsidRDefault="00874850"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
          <w:sz w:val="22"/>
          <w:lang w:val="es-ES_tradnl"/>
        </w:rPr>
        <w:t xml:space="preserve"> </w:t>
      </w:r>
      <w:r w:rsidRPr="00677CBE">
        <w:rPr>
          <w:rFonts w:ascii="Arial" w:eastAsia="Calibri" w:hAnsi="Arial" w:cs="Arial"/>
          <w:b/>
          <w:sz w:val="22"/>
          <w:lang w:val="es-ES_tradnl"/>
        </w:rPr>
        <w:tab/>
      </w:r>
      <w:r w:rsidRPr="00677CBE">
        <w:rPr>
          <w:rFonts w:ascii="Arial" w:eastAsia="Calibri" w:hAnsi="Arial" w:cs="Arial"/>
          <w:bCs/>
          <w:sz w:val="22"/>
          <w:lang w:val="es-ES_tradnl"/>
        </w:rPr>
        <w:t xml:space="preserve">En gracia de discusión, podría argüirse que el inciso segundo del artículo 56 </w:t>
      </w:r>
      <w:proofErr w:type="spellStart"/>
      <w:r w:rsidRPr="00677CBE">
        <w:rPr>
          <w:rFonts w:ascii="Arial" w:eastAsia="Calibri" w:hAnsi="Arial" w:cs="Arial"/>
          <w:bCs/>
          <w:i/>
          <w:iCs/>
          <w:sz w:val="22"/>
          <w:lang w:val="es-ES_tradnl"/>
        </w:rPr>
        <w:t>ejusdem</w:t>
      </w:r>
      <w:proofErr w:type="spellEnd"/>
      <w:r w:rsidRPr="00677CBE">
        <w:rPr>
          <w:rFonts w:ascii="Arial" w:eastAsia="Calibri" w:hAnsi="Arial" w:cs="Arial"/>
          <w:bCs/>
          <w:i/>
          <w:iCs/>
          <w:sz w:val="22"/>
          <w:lang w:val="es-ES_tradnl"/>
        </w:rPr>
        <w:t xml:space="preserve"> </w:t>
      </w:r>
      <w:r w:rsidRPr="00677CBE">
        <w:rPr>
          <w:rFonts w:ascii="Arial" w:eastAsia="Calibri" w:hAnsi="Arial" w:cs="Arial"/>
          <w:bCs/>
          <w:sz w:val="22"/>
          <w:lang w:val="es-ES_tradnl"/>
        </w:rPr>
        <w:t xml:space="preserve">somete al EGCAP a entidades, en principio exceptuadas de dicho régimen, lo que sugeriría que Colombia Compra Eficiente podría expedir documentos tipo que específicamente les apliquen a estos sujetos. Sin embargo, tal interpretación no resulta de recibo, considerando lo arriba explicado, pues el eventual sometimiento de un procedimiento contractual o la celebración de un contrato de acuerdo con las normas del EGCAP por parte de una entidad estatal exceptuada, un patrimonio autónomo, una persona natural o jurídica de derecho privado en atención a lo dispuesto en el artículo 56, no supone una mutación del régimen al que se encuentran sometidas de manera prevalente, pues, para la contratación de objetos a  los que no les apliquen documentos tipo, deberá seguirse aplicando el derecho privado.    </w:t>
      </w:r>
    </w:p>
    <w:p w14:paraId="3D62963B" w14:textId="04158600" w:rsidR="00874850" w:rsidRPr="00677CBE" w:rsidRDefault="00874850"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Cs/>
          <w:sz w:val="22"/>
          <w:lang w:val="es-ES_tradnl"/>
        </w:rPr>
        <w:tab/>
        <w:t xml:space="preserve">En tales términos, la implementación de documentos tipo, en cumplimiento de lo establecido en el artículo 56 de la Ley 2195 de 2022, no es un asunto que requiera la realización de actuaciones adicionales por parte de esta Agencia, distinta de las que ya viene adelantando con sustento en el parágrafo 7 del artículo 2 de la Ley 1150 de 2007, adicionado por la Ley 2022 de 2020. Las entidades estatales exceptuadas, patrimonios autónomos, personas naturales o jurídicas de derecho privado que </w:t>
      </w:r>
      <w:r w:rsidR="00811C22" w:rsidRPr="00677CBE">
        <w:rPr>
          <w:rFonts w:ascii="Arial" w:eastAsia="Calibri" w:hAnsi="Arial" w:cs="Arial"/>
          <w:bCs/>
          <w:sz w:val="22"/>
          <w:lang w:val="es-ES_tradnl"/>
        </w:rPr>
        <w:t xml:space="preserve">excepcionalmente </w:t>
      </w:r>
      <w:r w:rsidRPr="00677CBE">
        <w:rPr>
          <w:rFonts w:ascii="Arial" w:eastAsia="Calibri" w:hAnsi="Arial" w:cs="Arial"/>
          <w:bCs/>
          <w:sz w:val="22"/>
          <w:lang w:val="es-ES_tradnl"/>
        </w:rPr>
        <w:t>deban aplicar documentos tipo tendrán que utilizar los vigentes, que no obstante haber sido, en principio, expedidos con destino a entidades estatales regidas por el EGCAP, tendrán que emplearlos atendiendo lo señalado en la Ley 2195 de 2022.</w:t>
      </w:r>
    </w:p>
    <w:p w14:paraId="0A2A368B" w14:textId="234F1C25" w:rsidR="00874850" w:rsidRPr="00B27674" w:rsidRDefault="00874850" w:rsidP="00874850">
      <w:pPr>
        <w:tabs>
          <w:tab w:val="left" w:pos="0"/>
        </w:tabs>
        <w:spacing w:line="276" w:lineRule="auto"/>
        <w:jc w:val="both"/>
        <w:rPr>
          <w:rFonts w:ascii="Arial" w:eastAsia="Calibri" w:hAnsi="Arial" w:cs="Arial"/>
          <w:b/>
          <w:sz w:val="22"/>
          <w:lang w:val="es-ES_tradnl"/>
        </w:rPr>
      </w:pPr>
      <w:r w:rsidRPr="00677CBE">
        <w:rPr>
          <w:rFonts w:ascii="Arial" w:eastAsia="Calibri" w:hAnsi="Arial" w:cs="Arial"/>
          <w:bCs/>
          <w:sz w:val="22"/>
          <w:szCs w:val="22"/>
          <w:lang w:val="es-ES_tradnl"/>
        </w:rPr>
        <w:tab/>
        <w:t xml:space="preserve">Lo anterior supone que, </w:t>
      </w:r>
      <w:bookmarkStart w:id="13" w:name="_Hlk101790898"/>
      <w:r w:rsidRPr="00677CBE">
        <w:rPr>
          <w:rFonts w:ascii="Arial" w:eastAsia="Calibri" w:hAnsi="Arial" w:cs="Arial"/>
          <w:bCs/>
          <w:sz w:val="22"/>
          <w:lang w:val="es-ES_tradnl"/>
        </w:rPr>
        <w:t>para determinar si debe</w:t>
      </w:r>
      <w:r w:rsidR="00811C22" w:rsidRPr="00677CBE">
        <w:rPr>
          <w:rFonts w:ascii="Arial" w:eastAsia="Calibri" w:hAnsi="Arial" w:cs="Arial"/>
          <w:bCs/>
          <w:sz w:val="22"/>
          <w:lang w:val="es-ES_tradnl"/>
        </w:rPr>
        <w:t>n</w:t>
      </w:r>
      <w:r w:rsidRPr="00677CBE">
        <w:rPr>
          <w:rFonts w:ascii="Arial" w:eastAsia="Calibri" w:hAnsi="Arial" w:cs="Arial"/>
          <w:bCs/>
          <w:sz w:val="22"/>
          <w:lang w:val="es-ES_tradnl"/>
        </w:rPr>
        <w:t xml:space="preserve"> aplicar documentos tipo la entidad exceptuada, patrimonio autónomo, persona natural o jurídica de derecho privado deberá verificar, en primer lugar, si la necesidad de contratar el objeto deriva del cumplimiento de un contrato o convenio con una entidad sometida al EGCAP. De ser así, y se trata de un objeto contractual cobijado por alguno de los documentos tipo vigentes –incluido en alguna de las matrices de experiencia adoptadas por esta Agencia</w:t>
      </w:r>
      <w:r w:rsidR="00811C22" w:rsidRPr="00677CBE">
        <w:rPr>
          <w:rFonts w:ascii="Arial" w:eastAsia="Calibri" w:hAnsi="Arial" w:cs="Arial"/>
          <w:bCs/>
          <w:sz w:val="22"/>
          <w:lang w:val="es-ES_tradnl"/>
        </w:rPr>
        <w:t>–</w:t>
      </w:r>
      <w:r w:rsidRPr="00677CBE">
        <w:rPr>
          <w:rFonts w:ascii="Arial" w:eastAsia="Calibri" w:hAnsi="Arial" w:cs="Arial"/>
          <w:bCs/>
          <w:sz w:val="22"/>
          <w:lang w:val="es-ES_tradnl"/>
        </w:rPr>
        <w:t>, será obligatoria la aplicación del respectivo documento tipo, al igual que el EGCAP</w:t>
      </w:r>
      <w:r w:rsidR="00DA271D" w:rsidRPr="00677CBE">
        <w:rPr>
          <w:rFonts w:ascii="Arial" w:eastAsia="Calibri" w:hAnsi="Arial" w:cs="Arial"/>
          <w:bCs/>
          <w:sz w:val="22"/>
          <w:lang w:val="es-ES_tradnl"/>
        </w:rPr>
        <w:t>, salvo las excepciones previstas en el parágrafo del referido artículo 56, de acuerdo con las consideraciones realizadas en este concepto</w:t>
      </w:r>
      <w:r w:rsidRPr="00677CBE">
        <w:rPr>
          <w:rFonts w:ascii="Arial" w:eastAsia="Calibri" w:hAnsi="Arial" w:cs="Arial"/>
          <w:bCs/>
          <w:sz w:val="22"/>
          <w:lang w:val="es-ES_tradnl"/>
        </w:rPr>
        <w:t>.</w:t>
      </w:r>
      <w:r w:rsidR="001D3DAD" w:rsidRPr="00677CBE">
        <w:rPr>
          <w:rFonts w:ascii="Arial" w:eastAsia="Calibri" w:hAnsi="Arial" w:cs="Arial"/>
          <w:bCs/>
          <w:sz w:val="22"/>
          <w:lang w:val="es-ES_tradnl"/>
        </w:rPr>
        <w:t xml:space="preserve"> Si, por el contrario, el objeto a contratar no se subsume dentro de ninguno de los documentos tipo vigentes, la entidad</w:t>
      </w:r>
      <w:r w:rsidR="006648DB" w:rsidRPr="00677CBE">
        <w:rPr>
          <w:rFonts w:ascii="Arial" w:eastAsia="Calibri" w:hAnsi="Arial" w:cs="Arial"/>
          <w:bCs/>
          <w:sz w:val="22"/>
          <w:lang w:val="es-ES_tradnl"/>
        </w:rPr>
        <w:t xml:space="preserve"> exceptuada, patrimonio autónomo, persona natural o jurídica de derecho privado</w:t>
      </w:r>
      <w:r w:rsidR="00BC6803" w:rsidRPr="00677CBE">
        <w:rPr>
          <w:rFonts w:ascii="Arial" w:eastAsia="Calibri" w:hAnsi="Arial" w:cs="Arial"/>
          <w:bCs/>
          <w:sz w:val="22"/>
          <w:lang w:val="es-ES_tradnl"/>
        </w:rPr>
        <w:t>,</w:t>
      </w:r>
      <w:r w:rsidR="001D3DAD" w:rsidRPr="00677CBE">
        <w:rPr>
          <w:rFonts w:ascii="Arial" w:eastAsia="Calibri" w:hAnsi="Arial" w:cs="Arial"/>
          <w:bCs/>
          <w:sz w:val="22"/>
          <w:lang w:val="es-ES_tradnl"/>
        </w:rPr>
        <w:t xml:space="preserve"> no estará obligada a aplicar el EGCAP para su contratación, independientemente de que derive de un contrato o convenio con una entidad sometida al </w:t>
      </w:r>
      <w:r w:rsidR="00693C48" w:rsidRPr="00677CBE">
        <w:rPr>
          <w:rFonts w:ascii="Arial" w:eastAsia="Calibri" w:hAnsi="Arial" w:cs="Arial"/>
          <w:bCs/>
          <w:sz w:val="22"/>
          <w:lang w:val="es-ES_tradnl"/>
        </w:rPr>
        <w:t>estatuto general de contratación</w:t>
      </w:r>
      <w:r w:rsidR="001D3DAD" w:rsidRPr="00677CBE">
        <w:rPr>
          <w:rFonts w:ascii="Arial" w:eastAsia="Calibri" w:hAnsi="Arial" w:cs="Arial"/>
          <w:bCs/>
          <w:sz w:val="22"/>
          <w:lang w:val="es-ES_tradnl"/>
        </w:rPr>
        <w:t>.</w:t>
      </w:r>
    </w:p>
    <w:bookmarkEnd w:id="13"/>
    <w:p w14:paraId="06BCB1D7" w14:textId="0B939562" w:rsidR="00B55E32" w:rsidRDefault="00B55E32" w:rsidP="00510DE9">
      <w:pPr>
        <w:tabs>
          <w:tab w:val="left" w:pos="0"/>
        </w:tabs>
        <w:jc w:val="both"/>
        <w:rPr>
          <w:rFonts w:ascii="Arial" w:eastAsia="Calibri" w:hAnsi="Arial" w:cs="Arial"/>
          <w:b/>
          <w:sz w:val="22"/>
          <w:lang w:val="es-ES_tradnl"/>
        </w:rPr>
      </w:pPr>
    </w:p>
    <w:p w14:paraId="37D68055" w14:textId="77777777" w:rsidR="00102DCB" w:rsidRPr="00ED66B7" w:rsidRDefault="00102DCB" w:rsidP="00510DE9">
      <w:pPr>
        <w:tabs>
          <w:tab w:val="left" w:pos="0"/>
        </w:tabs>
        <w:jc w:val="both"/>
        <w:rPr>
          <w:rFonts w:ascii="Arial" w:eastAsia="Calibri" w:hAnsi="Arial" w:cs="Arial"/>
          <w:b/>
          <w:sz w:val="22"/>
          <w:lang w:val="es-ES_tradnl"/>
        </w:rPr>
      </w:pPr>
    </w:p>
    <w:p w14:paraId="37CA9805" w14:textId="3F6901FE" w:rsidR="00DD5B04" w:rsidRPr="00ED66B7" w:rsidRDefault="004177A6" w:rsidP="00510DE9">
      <w:pPr>
        <w:tabs>
          <w:tab w:val="left" w:pos="0"/>
        </w:tabs>
        <w:jc w:val="both"/>
        <w:rPr>
          <w:rFonts w:ascii="Arial" w:eastAsia="Calibri" w:hAnsi="Arial" w:cs="Arial"/>
          <w:b/>
          <w:sz w:val="22"/>
          <w:lang w:val="es-ES_tradnl"/>
        </w:rPr>
      </w:pPr>
      <w:r w:rsidRPr="00ED66B7">
        <w:rPr>
          <w:rFonts w:ascii="Arial" w:eastAsia="Calibri" w:hAnsi="Arial" w:cs="Arial"/>
          <w:b/>
          <w:sz w:val="22"/>
          <w:lang w:val="es-ES_tradnl"/>
        </w:rPr>
        <w:t>3</w:t>
      </w:r>
      <w:r w:rsidR="00B011A9" w:rsidRPr="00ED66B7">
        <w:rPr>
          <w:rFonts w:ascii="Arial" w:eastAsia="Calibri" w:hAnsi="Arial" w:cs="Arial"/>
          <w:b/>
          <w:sz w:val="22"/>
          <w:lang w:val="es-ES_tradnl"/>
        </w:rPr>
        <w:t xml:space="preserve">. </w:t>
      </w:r>
      <w:r w:rsidR="00DD5B04" w:rsidRPr="00ED66B7">
        <w:rPr>
          <w:rFonts w:ascii="Arial" w:eastAsia="Calibri" w:hAnsi="Arial" w:cs="Arial"/>
          <w:b/>
          <w:sz w:val="22"/>
          <w:lang w:val="es-ES_tradnl"/>
        </w:rPr>
        <w:t>Respuesta</w:t>
      </w:r>
    </w:p>
    <w:p w14:paraId="0B74D5B8" w14:textId="7F0A7F13" w:rsidR="00C4581D" w:rsidRPr="00ED66B7" w:rsidRDefault="00C4581D" w:rsidP="00510DE9">
      <w:pPr>
        <w:tabs>
          <w:tab w:val="left" w:pos="0"/>
        </w:tabs>
        <w:jc w:val="both"/>
        <w:rPr>
          <w:rFonts w:ascii="Arial" w:eastAsia="Calibri" w:hAnsi="Arial" w:cs="Arial"/>
          <w:sz w:val="22"/>
          <w:lang w:val="es-ES_tradnl"/>
        </w:rPr>
      </w:pPr>
    </w:p>
    <w:p w14:paraId="28A71AEE" w14:textId="58124C65" w:rsidR="00520A2C" w:rsidRDefault="007331E6" w:rsidP="00520A2C">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lastRenderedPageBreak/>
        <w:t>«</w:t>
      </w:r>
      <w:r w:rsidR="00520A2C">
        <w:rPr>
          <w:rFonts w:ascii="Arial" w:hAnsi="Arial" w:cs="Arial"/>
          <w:bCs/>
          <w:sz w:val="21"/>
          <w:szCs w:val="21"/>
          <w:lang w:val="es-ES"/>
        </w:rPr>
        <w:t>La reciente normatividad señala que los documentos tipo son aplicables para la adquisición de bienes, obras y servicios que las entidades de régimen especial realicen con otras personas jurídicas, entre otros, por ejemplo a través de convenios interadministrativos.</w:t>
      </w:r>
    </w:p>
    <w:p w14:paraId="2DC0EE36" w14:textId="77777777" w:rsidR="00520A2C" w:rsidRPr="00ED66B7" w:rsidRDefault="00520A2C" w:rsidP="00520A2C">
      <w:pPr>
        <w:tabs>
          <w:tab w:val="decimal" w:pos="765"/>
          <w:tab w:val="right" w:pos="7371"/>
        </w:tabs>
        <w:ind w:left="709" w:right="709"/>
        <w:jc w:val="both"/>
        <w:rPr>
          <w:rFonts w:ascii="Arial" w:hAnsi="Arial" w:cs="Arial"/>
          <w:bCs/>
          <w:sz w:val="21"/>
          <w:szCs w:val="21"/>
          <w:lang w:val="es-ES"/>
        </w:rPr>
      </w:pPr>
      <w:r>
        <w:rPr>
          <w:rFonts w:ascii="Arial" w:hAnsi="Arial" w:cs="Arial"/>
          <w:bCs/>
          <w:sz w:val="21"/>
          <w:szCs w:val="21"/>
          <w:lang w:val="es-ES"/>
        </w:rPr>
        <w:t>En tal sentido y bajo una interpretación extensiva de la norma, ¿se podría llegar a entender que cualquier entidad del orden nacional o departamental que suscriba convenios interadministrativos (valor cero) deberá adoptar documento tipo para la celebración del convenio? O por el contrario y bajo una interpretación al tenor literal de la norma señala que la adopción de documento tipo debe hacerse cuando una de las partes es una entidad de régimen especial</w:t>
      </w:r>
      <w:r w:rsidRPr="00ED66B7">
        <w:rPr>
          <w:rFonts w:ascii="Arial" w:hAnsi="Arial" w:cs="Arial"/>
          <w:bCs/>
          <w:sz w:val="21"/>
          <w:szCs w:val="21"/>
          <w:lang w:val="es-ES"/>
        </w:rPr>
        <w:t>».</w:t>
      </w:r>
    </w:p>
    <w:p w14:paraId="66ADB02B" w14:textId="22C17C90" w:rsidR="00D50388" w:rsidRDefault="00D50388" w:rsidP="00D50388">
      <w:pPr>
        <w:widowControl w:val="0"/>
        <w:autoSpaceDE w:val="0"/>
        <w:autoSpaceDN w:val="0"/>
        <w:spacing w:before="120" w:line="276" w:lineRule="auto"/>
        <w:jc w:val="both"/>
        <w:rPr>
          <w:rFonts w:ascii="Arial" w:hAnsi="Arial" w:cs="Arial"/>
          <w:bCs/>
          <w:sz w:val="21"/>
          <w:szCs w:val="21"/>
          <w:lang w:val="es-ES"/>
        </w:rPr>
      </w:pPr>
      <w:bookmarkStart w:id="14" w:name="_Hlk100728661"/>
    </w:p>
    <w:p w14:paraId="0694A61D" w14:textId="0723DE0D" w:rsidR="00D50388" w:rsidRPr="00677CBE" w:rsidRDefault="00D50388" w:rsidP="00D50388">
      <w:pPr>
        <w:widowControl w:val="0"/>
        <w:autoSpaceDE w:val="0"/>
        <w:autoSpaceDN w:val="0"/>
        <w:spacing w:before="120" w:line="276" w:lineRule="auto"/>
        <w:jc w:val="both"/>
        <w:rPr>
          <w:rFonts w:ascii="Arial" w:hAnsi="Arial" w:cs="Arial"/>
          <w:bCs/>
          <w:sz w:val="22"/>
          <w:szCs w:val="22"/>
          <w:shd w:val="clear" w:color="auto" w:fill="FFFFFF"/>
          <w:lang w:val="es-ES_tradnl"/>
        </w:rPr>
      </w:pPr>
      <w:bookmarkStart w:id="15" w:name="_Hlk101783596"/>
      <w:r w:rsidRPr="00677CBE">
        <w:rPr>
          <w:rFonts w:ascii="Arial" w:hAnsi="Arial" w:cs="Arial"/>
          <w:sz w:val="22"/>
          <w:szCs w:val="22"/>
          <w:shd w:val="clear" w:color="auto" w:fill="FFFFFF"/>
          <w:lang w:val="es-ES_tradnl"/>
        </w:rPr>
        <w:t xml:space="preserve">De conformidad con lo expuesto, en virtud de lo establecido en el parágrafo 7 del artículo 2 de la Ley 1150 de 2007, modificado por la Ley 2022 de 2020, las entidades estatales sujetas por el Estatuto General de Contratación de la Administración Pública están obligadas a aplicar los documentos tipo en los procedimientos y contratos que adelanten en aplicación de dicha normativa. Adicionalmente, </w:t>
      </w:r>
      <w:r w:rsidRPr="00677CBE">
        <w:rPr>
          <w:rFonts w:ascii="Arial" w:hAnsi="Arial" w:cs="Arial"/>
          <w:bCs/>
          <w:sz w:val="22"/>
          <w:szCs w:val="22"/>
          <w:shd w:val="clear" w:color="auto" w:fill="FFFFFF"/>
          <w:lang w:val="es-ES_tradnl"/>
        </w:rPr>
        <w:t xml:space="preserve">el primer inciso del artículo 56 de la Ley 2195 de 2022 surge como una disposición complementaria de la Ley 2022 de 2020, en la medida en que, según se desprende de su texto, la norma busca </w:t>
      </w:r>
      <w:r w:rsidR="00C17211" w:rsidRPr="00677CBE">
        <w:rPr>
          <w:rFonts w:ascii="Arial" w:hAnsi="Arial" w:cs="Arial"/>
          <w:bCs/>
          <w:sz w:val="22"/>
          <w:szCs w:val="22"/>
          <w:shd w:val="clear" w:color="auto" w:fill="FFFFFF"/>
          <w:lang w:val="es-ES_tradnl"/>
        </w:rPr>
        <w:t xml:space="preserve">reiterar </w:t>
      </w:r>
      <w:r w:rsidRPr="00677CBE">
        <w:rPr>
          <w:rFonts w:ascii="Arial" w:hAnsi="Arial" w:cs="Arial"/>
          <w:bCs/>
          <w:sz w:val="22"/>
          <w:szCs w:val="22"/>
          <w:shd w:val="clear" w:color="auto" w:fill="FFFFFF"/>
          <w:lang w:val="es-ES_tradnl"/>
        </w:rPr>
        <w:t>la aplicación obligatoria de los documentos tipo a la celebración de contratos o convenios interadministrativos entre entidades regidas por EGCAP y otros sujetos cuyo régimen de contratación prevalente es el derecho privado</w:t>
      </w:r>
      <w:r w:rsidR="00C17211" w:rsidRPr="00677CBE">
        <w:rPr>
          <w:rFonts w:ascii="Arial" w:hAnsi="Arial" w:cs="Arial"/>
          <w:bCs/>
          <w:sz w:val="22"/>
          <w:szCs w:val="22"/>
          <w:shd w:val="clear" w:color="auto" w:fill="FFFFFF"/>
          <w:lang w:val="es-ES_tradnl"/>
        </w:rPr>
        <w:t>, siempre que exista documento tipo vigente para ese tipo de contratos</w:t>
      </w:r>
      <w:r w:rsidRPr="00677CBE">
        <w:rPr>
          <w:rFonts w:ascii="Arial" w:hAnsi="Arial" w:cs="Arial"/>
          <w:bCs/>
          <w:sz w:val="22"/>
          <w:szCs w:val="22"/>
          <w:shd w:val="clear" w:color="auto" w:fill="FFFFFF"/>
          <w:lang w:val="es-ES_tradnl"/>
        </w:rPr>
        <w:t xml:space="preserve">. Esto de tal forma que cuando una entidad estatal regida por el EGCAP celebre contratos o convenios con otra i) entidad estatal de régimen especial o con ii) patrimonios autónomos o </w:t>
      </w:r>
      <w:proofErr w:type="spellStart"/>
      <w:r w:rsidRPr="00677CBE">
        <w:rPr>
          <w:rFonts w:ascii="Arial" w:hAnsi="Arial" w:cs="Arial"/>
          <w:bCs/>
          <w:sz w:val="22"/>
          <w:szCs w:val="22"/>
          <w:shd w:val="clear" w:color="auto" w:fill="FFFFFF"/>
          <w:lang w:val="es-ES_tradnl"/>
        </w:rPr>
        <w:t>iii</w:t>
      </w:r>
      <w:proofErr w:type="spellEnd"/>
      <w:r w:rsidRPr="00677CBE">
        <w:rPr>
          <w:rFonts w:ascii="Arial" w:hAnsi="Arial" w:cs="Arial"/>
          <w:bCs/>
          <w:sz w:val="22"/>
          <w:szCs w:val="22"/>
          <w:shd w:val="clear" w:color="auto" w:fill="FFFFFF"/>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w:t>
      </w:r>
      <w:r w:rsidR="00650704" w:rsidRPr="00677CBE">
        <w:rPr>
          <w:rFonts w:ascii="Arial" w:hAnsi="Arial" w:cs="Arial"/>
          <w:bCs/>
          <w:sz w:val="22"/>
          <w:szCs w:val="22"/>
          <w:shd w:val="clear" w:color="auto" w:fill="FFFFFF"/>
          <w:lang w:val="es-ES_tradnl"/>
        </w:rPr>
        <w:t xml:space="preserve">aplicando </w:t>
      </w:r>
      <w:r w:rsidRPr="00677CBE">
        <w:rPr>
          <w:rFonts w:ascii="Arial" w:hAnsi="Arial" w:cs="Arial"/>
          <w:bCs/>
          <w:sz w:val="22"/>
          <w:szCs w:val="22"/>
          <w:shd w:val="clear" w:color="auto" w:fill="FFFFFF"/>
          <w:lang w:val="es-ES_tradnl"/>
        </w:rPr>
        <w:t>documentos tipo</w:t>
      </w:r>
      <w:r w:rsidR="00650704" w:rsidRPr="00677CBE">
        <w:rPr>
          <w:rFonts w:ascii="Arial" w:hAnsi="Arial" w:cs="Arial"/>
          <w:bCs/>
          <w:sz w:val="22"/>
          <w:szCs w:val="22"/>
          <w:shd w:val="clear" w:color="auto" w:fill="FFFFFF"/>
          <w:lang w:val="es-ES_tradnl"/>
        </w:rPr>
        <w:t>, siempre que exista uno aplicable a dichos contratos</w:t>
      </w:r>
      <w:r w:rsidRPr="00677CBE">
        <w:rPr>
          <w:rFonts w:ascii="Arial" w:hAnsi="Arial" w:cs="Arial"/>
          <w:bCs/>
          <w:sz w:val="22"/>
          <w:szCs w:val="22"/>
          <w:shd w:val="clear" w:color="auto" w:fill="FFFFFF"/>
          <w:lang w:val="es-ES_tradnl"/>
        </w:rPr>
        <w:t xml:space="preserve">.      </w:t>
      </w:r>
    </w:p>
    <w:p w14:paraId="3B2B6F2E" w14:textId="2D0812F5" w:rsidR="00D50388" w:rsidRPr="00677CBE" w:rsidRDefault="00D50388" w:rsidP="00D50388">
      <w:pPr>
        <w:widowControl w:val="0"/>
        <w:autoSpaceDE w:val="0"/>
        <w:autoSpaceDN w:val="0"/>
        <w:spacing w:before="120" w:line="276" w:lineRule="auto"/>
        <w:ind w:firstLine="709"/>
        <w:jc w:val="both"/>
        <w:rPr>
          <w:rFonts w:ascii="Arial" w:hAnsi="Arial" w:cs="Arial"/>
          <w:sz w:val="22"/>
          <w:szCs w:val="22"/>
          <w:shd w:val="clear" w:color="auto" w:fill="FFFFFF"/>
          <w:lang w:val="es-ES_tradnl"/>
        </w:rPr>
      </w:pPr>
      <w:r w:rsidRPr="00677CBE">
        <w:rPr>
          <w:rFonts w:ascii="Arial" w:hAnsi="Arial" w:cs="Arial"/>
          <w:sz w:val="22"/>
          <w:szCs w:val="22"/>
          <w:shd w:val="clear" w:color="auto" w:fill="FFFFFF"/>
          <w:lang w:val="es-ES_tradnl"/>
        </w:rPr>
        <w:t xml:space="preserve">Sin embargo,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una entidad sometida al Estatuto General, debe contratar una obra o servicio cobijado por algún documento tipo, estará obligada a hacerlo aplicando los mencionados documentos </w:t>
      </w:r>
      <w:r w:rsidRPr="00677CBE">
        <w:rPr>
          <w:rFonts w:ascii="Arial" w:hAnsi="Arial" w:cs="Arial"/>
          <w:sz w:val="22"/>
          <w:szCs w:val="22"/>
          <w:shd w:val="clear" w:color="auto" w:fill="FFFFFF"/>
          <w:lang w:val="es-ES_tradnl"/>
        </w:rPr>
        <w:lastRenderedPageBreak/>
        <w:t xml:space="preserve">tipo, además de adelantar el proceso de contratación y celebrar el contrato conforme al Estatuto General de Contratación de la Administración Pública, </w:t>
      </w:r>
      <w:r w:rsidRPr="00677CBE">
        <w:rPr>
          <w:rFonts w:ascii="Arial" w:hAnsi="Arial" w:cs="Arial"/>
          <w:sz w:val="22"/>
          <w:szCs w:val="22"/>
          <w:shd w:val="clear" w:color="auto" w:fill="FFFFFF"/>
          <w:lang w:val="es-ES"/>
        </w:rPr>
        <w:t>todo lo anterior, siempre que exista un documento tipo aplicable al objeto a contratar.</w:t>
      </w:r>
    </w:p>
    <w:bookmarkEnd w:id="15"/>
    <w:p w14:paraId="015F1771" w14:textId="00F80F46"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rPr>
      </w:pPr>
      <w:r w:rsidRPr="00677CBE">
        <w:rPr>
          <w:rFonts w:ascii="Arial" w:eastAsia="Calibri" w:hAnsi="Arial" w:cs="Arial"/>
          <w:bCs/>
          <w:sz w:val="22"/>
        </w:rPr>
        <w:t>A continuación, y para efectos de responder a la pregunta formulada, se indican los documentos tipo implementados por esta Agencia y su aplicabilidad de acuerdo con su vigencia</w:t>
      </w:r>
      <w:r w:rsidR="00964BF8" w:rsidRPr="00677CBE">
        <w:rPr>
          <w:rFonts w:ascii="Arial" w:eastAsia="Calibri" w:hAnsi="Arial" w:cs="Arial"/>
          <w:bCs/>
          <w:sz w:val="22"/>
        </w:rPr>
        <w:t>, los cuales pueden ser consultados en el siguiente enlace</w:t>
      </w:r>
      <w:r w:rsidR="00B17AA3" w:rsidRPr="00677CBE">
        <w:rPr>
          <w:rFonts w:ascii="Arial" w:eastAsia="Calibri" w:hAnsi="Arial" w:cs="Arial"/>
          <w:bCs/>
          <w:sz w:val="22"/>
        </w:rPr>
        <w:t>:</w:t>
      </w:r>
      <w:r w:rsidR="00964BF8" w:rsidRPr="00677CBE">
        <w:rPr>
          <w:rFonts w:ascii="Arial" w:eastAsia="Calibri" w:hAnsi="Arial" w:cs="Arial"/>
          <w:bCs/>
          <w:sz w:val="22"/>
        </w:rPr>
        <w:t xml:space="preserve"> </w:t>
      </w:r>
      <w:hyperlink r:id="rId12" w:history="1">
        <w:r w:rsidR="00C51C4C" w:rsidRPr="00677CBE">
          <w:rPr>
            <w:rStyle w:val="Hipervnculo"/>
            <w:rFonts w:ascii="Arial" w:eastAsia="Calibri" w:hAnsi="Arial" w:cs="Arial"/>
            <w:bCs/>
            <w:color w:val="auto"/>
            <w:sz w:val="22"/>
          </w:rPr>
          <w:t>https://www.colombiacompra.gov.co/documentos-tipo/documentos-tipo</w:t>
        </w:r>
      </w:hyperlink>
      <w:r w:rsidR="00C51C4C" w:rsidRPr="00677CBE">
        <w:rPr>
          <w:rFonts w:ascii="Arial" w:eastAsia="Calibri" w:hAnsi="Arial" w:cs="Arial"/>
          <w:bCs/>
          <w:sz w:val="22"/>
        </w:rPr>
        <w:t xml:space="preserve"> </w:t>
      </w:r>
      <w:r w:rsidRPr="00677CBE">
        <w:rPr>
          <w:rFonts w:ascii="Arial" w:eastAsia="Calibri" w:hAnsi="Arial" w:cs="Arial"/>
          <w:bCs/>
          <w:sz w:val="22"/>
        </w:rPr>
        <w:t xml:space="preserve"> </w:t>
      </w:r>
    </w:p>
    <w:p w14:paraId="3812EAF2"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t xml:space="preserve">i) Documentos tipo para licitación de obra pública de infraestructura de transporte –versión 1–, obligatorios para los procesos cuyo aviso de convocatoria se haya publicado desde el 1 de abril de 2019. </w:t>
      </w:r>
    </w:p>
    <w:p w14:paraId="48CC15CA"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t>ii) Documentos tipo para licitación de obra pública de infraestructura de transporte –versión 2–, obligatorios para los procesos cuyo aviso de convocatoria se haya publicado desde el 10 de marzo de 2020.</w:t>
      </w:r>
    </w:p>
    <w:p w14:paraId="586CBD73"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proofErr w:type="spellStart"/>
      <w:r w:rsidRPr="00677CBE">
        <w:rPr>
          <w:rFonts w:ascii="Arial" w:eastAsia="Calibri" w:hAnsi="Arial" w:cs="Arial"/>
          <w:bCs/>
          <w:sz w:val="22"/>
          <w:lang w:val="es-ES"/>
        </w:rPr>
        <w:t>iii</w:t>
      </w:r>
      <w:proofErr w:type="spellEnd"/>
      <w:r w:rsidRPr="00677CBE">
        <w:rPr>
          <w:rFonts w:ascii="Arial" w:eastAsia="Calibri" w:hAnsi="Arial" w:cs="Arial"/>
          <w:bCs/>
          <w:sz w:val="22"/>
          <w:lang w:val="es-ES"/>
        </w:rPr>
        <w:t>) Documentos tipo para licitación de obra pública de infraestructura de transporte –versión 3–, obligatorios para los procesos cuyo aviso de convocatoria se haya publicado desde el 1 de enero de 2021.</w:t>
      </w:r>
    </w:p>
    <w:p w14:paraId="5EACC12A"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proofErr w:type="spellStart"/>
      <w:r w:rsidRPr="00677CBE">
        <w:rPr>
          <w:rFonts w:ascii="Arial" w:eastAsia="Calibri" w:hAnsi="Arial" w:cs="Arial"/>
          <w:bCs/>
          <w:sz w:val="22"/>
          <w:lang w:val="es-ES"/>
        </w:rPr>
        <w:t>iv</w:t>
      </w:r>
      <w:proofErr w:type="spellEnd"/>
      <w:r w:rsidRPr="00677CBE">
        <w:rPr>
          <w:rFonts w:ascii="Arial" w:eastAsia="Calibri" w:hAnsi="Arial" w:cs="Arial"/>
          <w:bCs/>
          <w:sz w:val="22"/>
          <w:lang w:val="es-ES"/>
        </w:rPr>
        <w:t>) Documentos tipo para procesos de selección abreviada de menor cuantía de infraestructura de transporte –versión 1–, obligatorios para los procesos cuyo aviso de convocatoria se haya publicado desde el 17 de febrero de 2020.</w:t>
      </w:r>
    </w:p>
    <w:p w14:paraId="247B40AD"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t xml:space="preserve">v) Documentos tipo para procesos de selección abreviada de menor cuantía de infraestructura de transporte –versión 2–, obligatorios para los procesos cuyo aviso de convocatoria se haya publicado desde el 1 de enero de 2021. </w:t>
      </w:r>
    </w:p>
    <w:p w14:paraId="276CED36"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t>vi) Documentos tipo para procesos de mínima cuantía de infraestructura de transporte, obligatorios para los procesos cuya invitación pública se haya publicado a partir del 10 de junio de 2020.</w:t>
      </w:r>
    </w:p>
    <w:p w14:paraId="18D50B95"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proofErr w:type="spellStart"/>
      <w:r w:rsidRPr="00677CBE">
        <w:rPr>
          <w:rFonts w:ascii="Arial" w:eastAsia="Calibri" w:hAnsi="Arial" w:cs="Arial"/>
          <w:bCs/>
          <w:sz w:val="22"/>
          <w:lang w:val="es-ES"/>
        </w:rPr>
        <w:t>vii</w:t>
      </w:r>
      <w:proofErr w:type="spellEnd"/>
      <w:r w:rsidRPr="00677CBE">
        <w:rPr>
          <w:rFonts w:ascii="Arial" w:eastAsia="Calibri" w:hAnsi="Arial" w:cs="Arial"/>
          <w:bCs/>
          <w:sz w:val="22"/>
          <w:lang w:val="es-ES"/>
        </w:rPr>
        <w:t>) Documentos tipo para procesos de concurso de méritos para contratar la interventoría de obras públicas de infraestructura de transporte, obligatorios para los procesos cuyo aviso de convocatoria se haya publicado desde el 1 de enero de 2021.</w:t>
      </w:r>
    </w:p>
    <w:p w14:paraId="402A1A3C"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proofErr w:type="spellStart"/>
      <w:r w:rsidRPr="00677CBE">
        <w:rPr>
          <w:rFonts w:ascii="Arial" w:eastAsia="Calibri" w:hAnsi="Arial" w:cs="Arial"/>
          <w:bCs/>
          <w:sz w:val="22"/>
          <w:lang w:val="es-ES"/>
        </w:rPr>
        <w:t>viii</w:t>
      </w:r>
      <w:proofErr w:type="spellEnd"/>
      <w:r w:rsidRPr="00677CBE">
        <w:rPr>
          <w:rFonts w:ascii="Arial" w:eastAsia="Calibri" w:hAnsi="Arial" w:cs="Arial"/>
          <w:bCs/>
          <w:sz w:val="22"/>
          <w:lang w:val="es-ES"/>
        </w:rPr>
        <w:t>) Documentos tipo para procesos de licitación pública para obras de infraestructura de agua potable y saneamiento básico, obligatorios para los procesos cuyo aviso de convocatoria se haya publicado desde el 11 de diciembre de 2020.</w:t>
      </w:r>
    </w:p>
    <w:p w14:paraId="2A3D5819"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proofErr w:type="spellStart"/>
      <w:r w:rsidRPr="00677CBE">
        <w:rPr>
          <w:rFonts w:ascii="Arial" w:eastAsia="Calibri" w:hAnsi="Arial" w:cs="Arial"/>
          <w:bCs/>
          <w:sz w:val="22"/>
          <w:lang w:val="es-ES"/>
        </w:rPr>
        <w:t>ix</w:t>
      </w:r>
      <w:proofErr w:type="spellEnd"/>
      <w:r w:rsidRPr="00677CBE">
        <w:rPr>
          <w:rFonts w:ascii="Arial" w:eastAsia="Calibri" w:hAnsi="Arial" w:cs="Arial"/>
          <w:bCs/>
          <w:sz w:val="22"/>
          <w:lang w:val="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0E698AEE"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t>x) Documentos tipo para procesos de gestión catastral con enfoque multipropósito que se celebren a través de contratos interadministrativos, a partir del 1 de febrero de 2021.</w:t>
      </w:r>
    </w:p>
    <w:p w14:paraId="020389C2"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
        </w:rPr>
      </w:pPr>
      <w:r w:rsidRPr="00677CBE">
        <w:rPr>
          <w:rFonts w:ascii="Arial" w:eastAsia="Calibri" w:hAnsi="Arial" w:cs="Arial"/>
          <w:bCs/>
          <w:sz w:val="22"/>
          <w:lang w:val="es-ES"/>
        </w:rPr>
        <w:lastRenderedPageBreak/>
        <w:t>xi) Documentos tipo para procesos de selección de concurso de méritos, para contratar la consultoría de estudios de ingeniería de infraestructura de transporte, para los procesos cuyo aviso de convocatoria se haya publicado desde 9 de agosto de 2021</w:t>
      </w:r>
    </w:p>
    <w:p w14:paraId="5CC87AEB"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_tradnl"/>
        </w:rPr>
      </w:pPr>
      <w:proofErr w:type="spellStart"/>
      <w:r w:rsidRPr="00677CBE">
        <w:rPr>
          <w:rFonts w:ascii="Arial" w:eastAsia="Calibri" w:hAnsi="Arial" w:cs="Arial"/>
          <w:bCs/>
          <w:sz w:val="22"/>
          <w:lang w:val="es-ES"/>
        </w:rPr>
        <w:t>xii</w:t>
      </w:r>
      <w:proofErr w:type="spellEnd"/>
      <w:r w:rsidRPr="00677CBE">
        <w:rPr>
          <w:rFonts w:ascii="Arial" w:eastAsia="Calibri" w:hAnsi="Arial" w:cs="Arial"/>
          <w:bCs/>
          <w:sz w:val="22"/>
          <w:lang w:val="es-ES"/>
        </w:rPr>
        <w:t xml:space="preserve">) Documentos tipo para procesos de licitación de obra pública de infraestructura social, que </w:t>
      </w:r>
      <w:r w:rsidRPr="00677CBE">
        <w:rPr>
          <w:rFonts w:ascii="Arial" w:eastAsia="Calibri" w:hAnsi="Arial" w:cs="Arial"/>
          <w:bCs/>
          <w:sz w:val="22"/>
          <w:lang w:val="es-ES_tradnl"/>
        </w:rPr>
        <w:t>entrarán a regir de acuerdo con los términos establecidos en el artículo 6 de la Resolución 219 de 2021 −modificado por el artículo 1 de la Resolución 336 del 2 de noviembre de 2021−.</w:t>
      </w:r>
    </w:p>
    <w:p w14:paraId="12205FFE"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_tradnl"/>
        </w:rPr>
      </w:pPr>
      <w:proofErr w:type="spellStart"/>
      <w:r w:rsidRPr="00677CBE">
        <w:rPr>
          <w:rFonts w:ascii="Arial" w:eastAsia="Calibri" w:hAnsi="Arial" w:cs="Arial"/>
          <w:bCs/>
          <w:sz w:val="22"/>
          <w:lang w:val="es-ES"/>
        </w:rPr>
        <w:t>xiii</w:t>
      </w:r>
      <w:proofErr w:type="spellEnd"/>
      <w:r w:rsidRPr="00677CBE">
        <w:rPr>
          <w:rFonts w:ascii="Arial" w:eastAsia="Calibri" w:hAnsi="Arial" w:cs="Arial"/>
          <w:bCs/>
          <w:sz w:val="22"/>
          <w:lang w:val="es-ES"/>
        </w:rPr>
        <w:t xml:space="preserve">) Documentos tipo complementarios para los procesos de licitación de obra pública de infraestructura social relacionados con el sector educativo, que </w:t>
      </w:r>
      <w:r w:rsidRPr="00677CBE">
        <w:rPr>
          <w:rFonts w:ascii="Arial" w:eastAsia="Calibri" w:hAnsi="Arial" w:cs="Arial"/>
          <w:bCs/>
          <w:sz w:val="22"/>
          <w:lang w:val="es-ES_tradnl"/>
        </w:rPr>
        <w:t>entrarán a regir de acuerdo con los términos establecidos en el artículo 6 de la Resolución 219 de 2021 −modificado por el artículo 1 de la Resolución 336 del 2 de noviembre de 2021−.</w:t>
      </w:r>
    </w:p>
    <w:p w14:paraId="7F0F5CD9"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_tradnl"/>
        </w:rPr>
      </w:pPr>
      <w:proofErr w:type="spellStart"/>
      <w:r w:rsidRPr="00677CBE">
        <w:rPr>
          <w:rFonts w:ascii="Arial" w:eastAsia="Calibri" w:hAnsi="Arial" w:cs="Arial"/>
          <w:bCs/>
          <w:sz w:val="22"/>
          <w:lang w:val="es-ES"/>
        </w:rPr>
        <w:t>xiv</w:t>
      </w:r>
      <w:proofErr w:type="spellEnd"/>
      <w:r w:rsidRPr="00677CBE">
        <w:rPr>
          <w:rFonts w:ascii="Arial" w:eastAsia="Calibri" w:hAnsi="Arial" w:cs="Arial"/>
          <w:bCs/>
          <w:sz w:val="22"/>
          <w:lang w:val="es-ES"/>
        </w:rPr>
        <w:t xml:space="preserve">) Documentos tipo complementarios para los procesos de licitación de obra pública de infraestructura social relacionados con el sector salud, que entrarán a regir </w:t>
      </w:r>
      <w:r w:rsidRPr="00677CBE">
        <w:rPr>
          <w:rFonts w:ascii="Arial" w:eastAsia="Calibri" w:hAnsi="Arial" w:cs="Arial"/>
          <w:bCs/>
          <w:sz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p>
    <w:p w14:paraId="0B69FF46" w14:textId="77777777" w:rsidR="001C64C6" w:rsidRPr="00677CBE" w:rsidRDefault="001C64C6" w:rsidP="001C64C6">
      <w:pPr>
        <w:widowControl w:val="0"/>
        <w:autoSpaceDE w:val="0"/>
        <w:autoSpaceDN w:val="0"/>
        <w:spacing w:before="120" w:line="276" w:lineRule="auto"/>
        <w:ind w:firstLine="709"/>
        <w:jc w:val="both"/>
        <w:rPr>
          <w:rFonts w:ascii="Arial" w:eastAsia="Calibri" w:hAnsi="Arial" w:cs="Arial"/>
          <w:bCs/>
          <w:sz w:val="22"/>
          <w:lang w:val="es-ES_tradnl"/>
        </w:rPr>
      </w:pPr>
      <w:proofErr w:type="spellStart"/>
      <w:r w:rsidRPr="00677CBE">
        <w:rPr>
          <w:rFonts w:ascii="Arial" w:eastAsia="Calibri" w:hAnsi="Arial" w:cs="Arial"/>
          <w:bCs/>
          <w:sz w:val="22"/>
          <w:lang w:val="es-ES_tradnl"/>
        </w:rPr>
        <w:t>xv</w:t>
      </w:r>
      <w:proofErr w:type="spellEnd"/>
      <w:r w:rsidRPr="00677CBE">
        <w:rPr>
          <w:rFonts w:ascii="Arial" w:eastAsia="Calibri" w:hAnsi="Arial" w:cs="Arial"/>
          <w:bCs/>
          <w:sz w:val="22"/>
          <w:lang w:val="es-ES_tradnl"/>
        </w:rPr>
        <w:t xml:space="preserve">) </w:t>
      </w:r>
      <w:r w:rsidRPr="00677CBE">
        <w:rPr>
          <w:rFonts w:ascii="Arial" w:eastAsia="Calibri" w:hAnsi="Arial" w:cs="Arial"/>
          <w:bCs/>
          <w:sz w:val="22"/>
          <w:lang w:val="es-ES"/>
        </w:rPr>
        <w:t>Documentos tipo complementarios para los procesos de licitación de obra pública de infraestructura social relacionados con el sector cultura, recreación y deporte</w:t>
      </w:r>
      <w:r w:rsidRPr="00677CBE">
        <w:rPr>
          <w:rFonts w:ascii="Arial" w:eastAsia="Calibri" w:hAnsi="Arial" w:cs="Arial"/>
          <w:bCs/>
          <w:sz w:val="22"/>
          <w:lang w:val="es-ES_tradnl"/>
        </w:rPr>
        <w:t xml:space="preserve">, </w:t>
      </w:r>
      <w:r w:rsidRPr="00677CBE">
        <w:rPr>
          <w:rFonts w:ascii="Arial" w:eastAsia="Calibri" w:hAnsi="Arial" w:cs="Arial"/>
          <w:bCs/>
          <w:sz w:val="22"/>
          <w:lang w:val="es-ES"/>
        </w:rPr>
        <w:t xml:space="preserve">que entrarán a regir </w:t>
      </w:r>
      <w:r w:rsidRPr="00677CBE">
        <w:rPr>
          <w:rFonts w:ascii="Arial" w:eastAsia="Calibri" w:hAnsi="Arial" w:cs="Arial"/>
          <w:bCs/>
          <w:sz w:val="22"/>
          <w:lang w:val="es-ES_tradnl"/>
        </w:rPr>
        <w:t>de acuerdo con los términos establecidos en el artículo 4 de la Resolución 454 de 2021.</w:t>
      </w:r>
    </w:p>
    <w:p w14:paraId="13054E6C" w14:textId="24F787F2" w:rsidR="00954DE2" w:rsidRPr="00677CBE" w:rsidRDefault="00954DE2" w:rsidP="009A2963">
      <w:pPr>
        <w:widowControl w:val="0"/>
        <w:autoSpaceDE w:val="0"/>
        <w:autoSpaceDN w:val="0"/>
        <w:spacing w:before="120" w:line="276" w:lineRule="auto"/>
        <w:ind w:firstLine="709"/>
        <w:jc w:val="both"/>
        <w:rPr>
          <w:rFonts w:ascii="Arial" w:eastAsia="Calibri" w:hAnsi="Arial" w:cs="Arial"/>
          <w:bCs/>
          <w:sz w:val="22"/>
          <w:lang w:val="es-ES_tradnl"/>
        </w:rPr>
      </w:pPr>
      <w:r w:rsidRPr="00677CBE">
        <w:rPr>
          <w:rFonts w:ascii="Arial" w:eastAsia="Calibri" w:hAnsi="Arial" w:cs="Arial"/>
          <w:bCs/>
          <w:sz w:val="22"/>
          <w:lang w:val="es-ES_tradnl"/>
        </w:rPr>
        <w:t xml:space="preserve">En conclusión, se advierte que </w:t>
      </w:r>
      <w:r w:rsidRPr="00677CBE">
        <w:rPr>
          <w:rFonts w:ascii="Arial" w:eastAsia="Calibri" w:hAnsi="Arial" w:cs="Arial"/>
          <w:bCs/>
          <w:sz w:val="22"/>
          <w:lang w:val="es-ES"/>
        </w:rPr>
        <w:t>el artículo 56 de la Ley 2195 de 2022 amplió el ámbito de aplicación de los documentos tipo, disponiendo su aplicación obligatoria por parte de entidades estatales de régimen especial, patrimonios autónomos, personas naturales y jurídicas de derecho privado, en los casos en los que deban contratar objetos contractuales cobijados por los documentos tipo vigentes, en cumplimiento de compromisos derivados de convenios o contratos con entidades sometidas a la Ley 80 de 1993. Conforme a la norma indicada, en estos procesos, además, deberá aplicarse el Estatuto General de Contratación de la Administración Pública.</w:t>
      </w:r>
      <w:r w:rsidR="009A2963" w:rsidRPr="00677CBE">
        <w:rPr>
          <w:rFonts w:ascii="Arial" w:eastAsia="Calibri" w:hAnsi="Arial" w:cs="Arial"/>
          <w:bCs/>
          <w:sz w:val="22"/>
          <w:lang w:val="es-ES"/>
        </w:rPr>
        <w:t xml:space="preserve"> </w:t>
      </w:r>
      <w:r w:rsidR="009664B1" w:rsidRPr="00677CBE">
        <w:rPr>
          <w:rFonts w:ascii="Arial" w:eastAsia="Calibri" w:hAnsi="Arial" w:cs="Arial"/>
          <w:bCs/>
          <w:sz w:val="22"/>
          <w:lang w:val="es-ES_tradnl"/>
        </w:rPr>
        <w:t>Ahora bien</w:t>
      </w:r>
      <w:r w:rsidR="009A2963" w:rsidRPr="00677CBE">
        <w:rPr>
          <w:rFonts w:ascii="Arial" w:eastAsia="Calibri" w:hAnsi="Arial" w:cs="Arial"/>
          <w:bCs/>
          <w:sz w:val="22"/>
          <w:lang w:val="es-ES_tradnl"/>
        </w:rPr>
        <w:t xml:space="preserve">, </w:t>
      </w:r>
      <w:r w:rsidR="009664B1" w:rsidRPr="00677CBE">
        <w:rPr>
          <w:rFonts w:ascii="Arial" w:eastAsia="Calibri" w:hAnsi="Arial" w:cs="Arial"/>
          <w:bCs/>
          <w:sz w:val="22"/>
          <w:lang w:val="es-ES_tradnl"/>
        </w:rPr>
        <w:t>conforme a lo expuesto conviene</w:t>
      </w:r>
      <w:r w:rsidR="009A2963" w:rsidRPr="00677CBE">
        <w:rPr>
          <w:rFonts w:ascii="Arial" w:eastAsia="Calibri" w:hAnsi="Arial" w:cs="Arial"/>
          <w:bCs/>
          <w:sz w:val="22"/>
          <w:lang w:val="es-ES_tradnl"/>
        </w:rPr>
        <w:t xml:space="preserve"> aclarar que para el tipo de convenio señalado en la consulta no existe algún documento tipo </w:t>
      </w:r>
      <w:r w:rsidR="006A0137" w:rsidRPr="00677CBE">
        <w:rPr>
          <w:rFonts w:ascii="Arial" w:eastAsia="Calibri" w:hAnsi="Arial" w:cs="Arial"/>
          <w:bCs/>
          <w:sz w:val="22"/>
          <w:lang w:val="es-ES_tradnl"/>
        </w:rPr>
        <w:t>aplicable.</w:t>
      </w:r>
      <w:r w:rsidR="009A2963" w:rsidRPr="00677CBE">
        <w:rPr>
          <w:rFonts w:ascii="Arial" w:eastAsia="Calibri" w:hAnsi="Arial" w:cs="Arial"/>
          <w:bCs/>
          <w:sz w:val="22"/>
          <w:lang w:val="es-ES_tradnl"/>
        </w:rPr>
        <w:t xml:space="preserve"> </w:t>
      </w:r>
    </w:p>
    <w:p w14:paraId="3A24854F" w14:textId="42287EBF" w:rsidR="00E544A1" w:rsidRPr="00677CBE" w:rsidRDefault="00954DE2" w:rsidP="00E544A1">
      <w:pPr>
        <w:widowControl w:val="0"/>
        <w:autoSpaceDE w:val="0"/>
        <w:autoSpaceDN w:val="0"/>
        <w:spacing w:before="120" w:line="276" w:lineRule="auto"/>
        <w:ind w:firstLine="709"/>
        <w:jc w:val="both"/>
        <w:rPr>
          <w:rFonts w:ascii="Arial" w:eastAsia="Calibri" w:hAnsi="Arial" w:cs="Arial"/>
          <w:b/>
          <w:bCs/>
          <w:sz w:val="22"/>
          <w:lang w:val="es-ES_tradnl"/>
        </w:rPr>
      </w:pPr>
      <w:r w:rsidRPr="00677CBE">
        <w:rPr>
          <w:rFonts w:ascii="Arial" w:eastAsia="Calibri" w:hAnsi="Arial" w:cs="Arial"/>
          <w:bCs/>
          <w:sz w:val="22"/>
          <w:lang w:val="es-ES_tradnl"/>
        </w:rPr>
        <w:t xml:space="preserve">De conformidad con lo anterior, son las entidades estatales exceptuadas del EGCAP, los patrimonios autónomos, y las personas naturales y jurídicas de derecho privado, que celebren convenios o contratos con entidades sometidas al EGCAP, a quienes corresponde interpretar la norma analizada para aplicar los efectos que consagra, cuando, en desarrollo de esos negocios jurídicos, requieran adquirir bienes, obras o servicios. Lo anterior supone que, </w:t>
      </w:r>
      <w:r w:rsidR="00E544A1" w:rsidRPr="00677CBE">
        <w:rPr>
          <w:rFonts w:ascii="Arial" w:eastAsia="Calibri" w:hAnsi="Arial" w:cs="Arial"/>
          <w:bCs/>
          <w:sz w:val="22"/>
          <w:lang w:val="es-ES_tradnl"/>
        </w:rPr>
        <w:t>para determinar si debe aplicar documentos tipo</w:t>
      </w:r>
      <w:r w:rsidR="00390B0A" w:rsidRPr="00677CBE">
        <w:rPr>
          <w:rFonts w:ascii="Arial" w:eastAsia="Calibri" w:hAnsi="Arial" w:cs="Arial"/>
          <w:bCs/>
          <w:sz w:val="22"/>
          <w:lang w:val="es-ES_tradnl"/>
        </w:rPr>
        <w:t xml:space="preserve">, </w:t>
      </w:r>
      <w:r w:rsidR="00E544A1" w:rsidRPr="00677CBE">
        <w:rPr>
          <w:rFonts w:ascii="Arial" w:eastAsia="Calibri" w:hAnsi="Arial" w:cs="Arial"/>
          <w:bCs/>
          <w:sz w:val="22"/>
          <w:lang w:val="es-ES_tradnl"/>
        </w:rPr>
        <w:t xml:space="preserve">deberá verificar, en primer lugar, si la necesidad de contratar el objeto deriva del cumplimiento de un contrato o convenio con una entidad sometida al EGCAP. De ser así, y </w:t>
      </w:r>
      <w:r w:rsidR="00390B0A" w:rsidRPr="00677CBE">
        <w:rPr>
          <w:rFonts w:ascii="Arial" w:eastAsia="Calibri" w:hAnsi="Arial" w:cs="Arial"/>
          <w:bCs/>
          <w:sz w:val="22"/>
          <w:lang w:val="es-ES_tradnl"/>
        </w:rPr>
        <w:t xml:space="preserve">si </w:t>
      </w:r>
      <w:r w:rsidR="00E544A1" w:rsidRPr="00677CBE">
        <w:rPr>
          <w:rFonts w:ascii="Arial" w:eastAsia="Calibri" w:hAnsi="Arial" w:cs="Arial"/>
          <w:bCs/>
          <w:sz w:val="22"/>
          <w:lang w:val="es-ES_tradnl"/>
        </w:rPr>
        <w:t xml:space="preserve">se trata de un objeto contractual cobijado por alguno de los documentos tipo vigentes –incluido en alguna de las </w:t>
      </w:r>
      <w:r w:rsidR="00E544A1" w:rsidRPr="00677CBE">
        <w:rPr>
          <w:rFonts w:ascii="Arial" w:eastAsia="Calibri" w:hAnsi="Arial" w:cs="Arial"/>
          <w:bCs/>
          <w:sz w:val="22"/>
          <w:lang w:val="es-ES_tradnl"/>
        </w:rPr>
        <w:lastRenderedPageBreak/>
        <w:t>matrices de experiencia adoptadas por esta Agencia</w:t>
      </w:r>
      <w:r w:rsidR="009664B1" w:rsidRPr="00677CBE">
        <w:rPr>
          <w:rFonts w:ascii="Arial" w:eastAsia="Calibri" w:hAnsi="Arial" w:cs="Arial"/>
          <w:bCs/>
          <w:sz w:val="22"/>
          <w:lang w:val="es-ES_tradnl"/>
        </w:rPr>
        <w:t>–</w:t>
      </w:r>
      <w:r w:rsidR="00E544A1" w:rsidRPr="00677CBE">
        <w:rPr>
          <w:rFonts w:ascii="Arial" w:eastAsia="Calibri" w:hAnsi="Arial" w:cs="Arial"/>
          <w:bCs/>
          <w:sz w:val="22"/>
          <w:lang w:val="es-ES_tradnl"/>
        </w:rPr>
        <w:t xml:space="preserve">, será obligatoria la aplicación del respectivo documento tipo, al igual que el EGCAP, salvo las excepciones previstas en el parágrafo del referido artículo 56, de acuerdo con las consideraciones realizadas en este concepto. Si, por el contrario, el objeto a contratar no se subsume dentro de ninguno de los documentos tipo vigentes, la entidad exceptuada, patrimonio autónomo, persona natural o jurídica de derecho privado, no estará obligada a aplicar el EGCAP para su contratación, independientemente de que derive de un contrato o convenio con una entidad sometida al </w:t>
      </w:r>
      <w:r w:rsidR="00693C48" w:rsidRPr="00677CBE">
        <w:rPr>
          <w:rFonts w:ascii="Arial" w:eastAsia="Calibri" w:hAnsi="Arial" w:cs="Arial"/>
          <w:bCs/>
          <w:sz w:val="22"/>
          <w:lang w:val="es-ES_tradnl"/>
        </w:rPr>
        <w:t>estatuto general de contratación</w:t>
      </w:r>
      <w:r w:rsidR="00E544A1" w:rsidRPr="00677CBE">
        <w:rPr>
          <w:rFonts w:ascii="Arial" w:eastAsia="Calibri" w:hAnsi="Arial" w:cs="Arial"/>
          <w:bCs/>
          <w:sz w:val="22"/>
          <w:lang w:val="es-ES_tradnl"/>
        </w:rPr>
        <w:t>.</w:t>
      </w:r>
    </w:p>
    <w:p w14:paraId="2390FA07" w14:textId="261B0AC2" w:rsidR="00B80E32" w:rsidRDefault="00B80E32" w:rsidP="0022395B">
      <w:pPr>
        <w:widowControl w:val="0"/>
        <w:autoSpaceDE w:val="0"/>
        <w:autoSpaceDN w:val="0"/>
        <w:spacing w:before="120" w:line="276" w:lineRule="auto"/>
        <w:ind w:firstLine="709"/>
        <w:jc w:val="both"/>
        <w:rPr>
          <w:rFonts w:ascii="Arial" w:eastAsia="Calibri" w:hAnsi="Arial" w:cs="Arial"/>
          <w:bCs/>
          <w:sz w:val="22"/>
          <w:lang w:val="es-ES_tradnl"/>
        </w:rPr>
      </w:pPr>
    </w:p>
    <w:bookmarkEnd w:id="14"/>
    <w:p w14:paraId="0D17EED2" w14:textId="7865F2AD" w:rsidR="001B5D63" w:rsidRDefault="001B5D63" w:rsidP="00B2491A">
      <w:pPr>
        <w:spacing w:before="120" w:line="276" w:lineRule="auto"/>
        <w:jc w:val="both"/>
        <w:rPr>
          <w:rFonts w:ascii="Arial" w:eastAsia="Calibri" w:hAnsi="Arial" w:cs="Arial"/>
          <w:bCs/>
          <w:sz w:val="22"/>
          <w:lang w:val="es-ES_tradnl"/>
        </w:rPr>
      </w:pPr>
    </w:p>
    <w:p w14:paraId="7B2C921D" w14:textId="37DC1C97" w:rsidR="00DD5B04" w:rsidRPr="00ED66B7" w:rsidRDefault="00DD5B04" w:rsidP="00DF76A2">
      <w:pPr>
        <w:spacing w:line="276" w:lineRule="auto"/>
        <w:jc w:val="both"/>
        <w:rPr>
          <w:rFonts w:ascii="Arial" w:hAnsi="Arial" w:cs="Arial"/>
          <w:sz w:val="22"/>
          <w:lang w:val="es-ES_tradnl"/>
        </w:rPr>
      </w:pPr>
      <w:r w:rsidRPr="00ED66B7">
        <w:rPr>
          <w:rFonts w:ascii="Arial" w:hAnsi="Arial" w:cs="Arial"/>
          <w:sz w:val="22"/>
          <w:lang w:val="es-ES_tradnl"/>
        </w:rPr>
        <w:t>Este concepto tiene el alcance previsto en el artículo 28 del Código de Procedimiento Administrativo y de lo Contencioso Administrativo.</w:t>
      </w:r>
    </w:p>
    <w:p w14:paraId="77EE5912" w14:textId="50869E2D"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02B24AF1"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D66B7">
        <w:rPr>
          <w:rFonts w:ascii="Arial" w:hAnsi="Arial" w:cs="Arial"/>
          <w:sz w:val="22"/>
          <w:szCs w:val="22"/>
          <w:lang w:val="es-ES_tradnl"/>
        </w:rPr>
        <w:t>Atentamente,</w:t>
      </w:r>
    </w:p>
    <w:bookmarkEnd w:id="2"/>
    <w:p w14:paraId="344DF7CF" w14:textId="4FD18475" w:rsidR="00577180" w:rsidRPr="00FB1DF4" w:rsidRDefault="007F0665" w:rsidP="00577180">
      <w:pPr>
        <w:jc w:val="center"/>
        <w:rPr>
          <w:rFonts w:ascii="Arial" w:hAnsi="Arial" w:cs="Arial"/>
          <w:sz w:val="22"/>
          <w:lang w:val="es-ES_tradnl" w:eastAsia="es-CO"/>
        </w:rPr>
      </w:pPr>
      <w:r>
        <w:rPr>
          <w:noProof/>
        </w:rPr>
        <w:drawing>
          <wp:inline distT="0" distB="0" distL="0" distR="0" wp14:anchorId="33D35D03" wp14:editId="4EA41421">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E28922C" w14:textId="77777777" w:rsidR="00577180" w:rsidRPr="00FB1DF4" w:rsidRDefault="00577180" w:rsidP="00577180">
      <w:pPr>
        <w:jc w:val="center"/>
        <w:rPr>
          <w:rFonts w:ascii="Arial"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77180" w:rsidRPr="009C7D09" w14:paraId="23BBC132" w14:textId="77777777" w:rsidTr="003D78ED">
        <w:trPr>
          <w:trHeight w:val="315"/>
        </w:trPr>
        <w:tc>
          <w:tcPr>
            <w:tcW w:w="812" w:type="dxa"/>
            <w:vAlign w:val="center"/>
            <w:hideMark/>
          </w:tcPr>
          <w:p w14:paraId="657C70E2" w14:textId="77777777" w:rsidR="00577180" w:rsidRPr="00CB2E46" w:rsidRDefault="00577180" w:rsidP="003D78ED">
            <w:pPr>
              <w:rPr>
                <w:rFonts w:ascii="Arial" w:hAnsi="Arial" w:cs="Arial"/>
                <w:sz w:val="16"/>
                <w:lang w:val="es-ES_tradnl" w:eastAsia="es-ES"/>
              </w:rPr>
            </w:pPr>
            <w:r w:rsidRPr="004966EF">
              <w:rPr>
                <w:rFonts w:ascii="Arial"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2037234" w14:textId="77777777" w:rsidR="00577180" w:rsidRPr="009C7D09" w:rsidRDefault="00577180" w:rsidP="003D78ED">
            <w:pPr>
              <w:rPr>
                <w:rFonts w:ascii="Arial" w:hAnsi="Arial" w:cs="Arial"/>
                <w:sz w:val="16"/>
                <w:lang w:val="es-ES_tradnl" w:eastAsia="es-ES"/>
              </w:rPr>
            </w:pPr>
            <w:r>
              <w:rPr>
                <w:rFonts w:ascii="Arial" w:hAnsi="Arial" w:cs="Arial"/>
                <w:sz w:val="16"/>
                <w:lang w:val="es-ES_tradnl" w:eastAsia="es-ES"/>
              </w:rPr>
              <w:t>Laura Alejandra Materón García</w:t>
            </w:r>
          </w:p>
          <w:p w14:paraId="09412882" w14:textId="77777777" w:rsidR="00577180" w:rsidRPr="009C7D09" w:rsidRDefault="00577180" w:rsidP="003D78ED">
            <w:pPr>
              <w:rPr>
                <w:rFonts w:ascii="Arial" w:hAnsi="Arial" w:cs="Arial"/>
                <w:sz w:val="16"/>
                <w:lang w:val="es-ES_tradnl" w:eastAsia="es-ES"/>
              </w:rPr>
            </w:pPr>
            <w:r>
              <w:rPr>
                <w:rFonts w:ascii="Arial" w:hAnsi="Arial" w:cs="Arial"/>
                <w:sz w:val="16"/>
                <w:lang w:val="es-ES_tradnl" w:eastAsia="es-ES"/>
              </w:rPr>
              <w:t>Analista T2-01</w:t>
            </w:r>
            <w:r w:rsidRPr="009C7D09">
              <w:rPr>
                <w:rFonts w:ascii="Arial" w:hAnsi="Arial" w:cs="Arial"/>
                <w:sz w:val="16"/>
                <w:lang w:val="es-ES_tradnl" w:eastAsia="es-ES"/>
              </w:rPr>
              <w:t xml:space="preserve"> de la Subdirección de Gestión Contractual</w:t>
            </w:r>
          </w:p>
        </w:tc>
      </w:tr>
      <w:tr w:rsidR="00577180" w:rsidRPr="009C7D09" w14:paraId="038F8B2F" w14:textId="77777777" w:rsidTr="003D78ED">
        <w:trPr>
          <w:trHeight w:val="330"/>
        </w:trPr>
        <w:tc>
          <w:tcPr>
            <w:tcW w:w="812" w:type="dxa"/>
            <w:vAlign w:val="center"/>
            <w:hideMark/>
          </w:tcPr>
          <w:p w14:paraId="74EF56F4" w14:textId="77777777" w:rsidR="00577180" w:rsidRPr="009C7D09" w:rsidRDefault="00577180" w:rsidP="003D78ED">
            <w:pPr>
              <w:rPr>
                <w:rFonts w:ascii="Arial" w:hAnsi="Arial" w:cs="Arial"/>
                <w:sz w:val="16"/>
                <w:lang w:val="es-ES_tradnl" w:eastAsia="es-ES"/>
              </w:rPr>
            </w:pPr>
            <w:r w:rsidRPr="009C7D09">
              <w:rPr>
                <w:rFonts w:ascii="Arial"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E7CCE6" w14:textId="77777777" w:rsidR="00577180" w:rsidRPr="00F218E0" w:rsidRDefault="00577180" w:rsidP="003D78ED">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03AC4995" w14:textId="77777777" w:rsidR="00577180" w:rsidRPr="00C04E06" w:rsidRDefault="00577180" w:rsidP="003D78ED">
            <w:pPr>
              <w:rPr>
                <w:rFonts w:ascii="Arial" w:hAnsi="Arial" w:cs="Arial"/>
                <w:sz w:val="16"/>
                <w:lang w:val="es-ES_tradnl" w:eastAsia="es-ES"/>
              </w:rPr>
            </w:pPr>
            <w:r>
              <w:rPr>
                <w:rFonts w:ascii="Arial" w:hAnsi="Arial" w:cs="Arial"/>
                <w:sz w:val="16"/>
                <w:szCs w:val="16"/>
                <w:lang w:val="es-ES_tradnl" w:eastAsia="es-ES"/>
              </w:rPr>
              <w:t>Contratista</w:t>
            </w:r>
            <w:r w:rsidRPr="009868CC">
              <w:rPr>
                <w:rFonts w:ascii="Arial" w:hAnsi="Arial" w:cs="Arial"/>
                <w:sz w:val="16"/>
                <w:szCs w:val="16"/>
                <w:lang w:val="es-ES_tradnl" w:eastAsia="es-ES"/>
              </w:rPr>
              <w:t xml:space="preserve"> de la Subdirección de Gestión Contractual</w:t>
            </w:r>
          </w:p>
        </w:tc>
      </w:tr>
      <w:tr w:rsidR="00577180" w:rsidRPr="00985885" w14:paraId="35087A3B" w14:textId="77777777" w:rsidTr="003D78ED">
        <w:trPr>
          <w:trHeight w:val="300"/>
        </w:trPr>
        <w:tc>
          <w:tcPr>
            <w:tcW w:w="812" w:type="dxa"/>
            <w:vAlign w:val="center"/>
            <w:hideMark/>
          </w:tcPr>
          <w:p w14:paraId="34DB4A70" w14:textId="77777777" w:rsidR="00577180" w:rsidRPr="009C7D09" w:rsidRDefault="00577180" w:rsidP="003D78ED">
            <w:pPr>
              <w:rPr>
                <w:rFonts w:ascii="Arial" w:hAnsi="Arial" w:cs="Arial"/>
                <w:sz w:val="16"/>
                <w:lang w:val="es-ES_tradnl" w:eastAsia="es-ES"/>
              </w:rPr>
            </w:pPr>
            <w:r w:rsidRPr="009C7D09">
              <w:rPr>
                <w:rFonts w:ascii="Arial"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C385A6" w14:textId="77777777" w:rsidR="00577180" w:rsidRPr="009C7D09" w:rsidRDefault="00577180" w:rsidP="003D78ED">
            <w:pPr>
              <w:rPr>
                <w:rFonts w:ascii="Arial" w:hAnsi="Arial" w:cs="Arial"/>
                <w:sz w:val="16"/>
                <w:lang w:val="es-ES_tradnl" w:eastAsia="es-ES"/>
              </w:rPr>
            </w:pPr>
            <w:r w:rsidRPr="009C7D09">
              <w:rPr>
                <w:rFonts w:ascii="Arial" w:hAnsi="Arial" w:cs="Arial"/>
                <w:sz w:val="16"/>
                <w:lang w:val="es-ES_tradnl" w:eastAsia="es-ES"/>
              </w:rPr>
              <w:t>Jorge Augusto Tirado Navarro</w:t>
            </w:r>
          </w:p>
          <w:p w14:paraId="76EB1EC6" w14:textId="77777777" w:rsidR="00577180" w:rsidRPr="00A2462A" w:rsidRDefault="00577180" w:rsidP="003D78ED">
            <w:pPr>
              <w:rPr>
                <w:rFonts w:ascii="Arial" w:hAnsi="Arial" w:cs="Arial"/>
                <w:sz w:val="16"/>
                <w:lang w:val="es-ES_tradnl" w:eastAsia="es-ES"/>
              </w:rPr>
            </w:pPr>
            <w:r w:rsidRPr="009C7D09">
              <w:rPr>
                <w:rFonts w:ascii="Arial" w:hAnsi="Arial" w:cs="Arial"/>
                <w:sz w:val="16"/>
                <w:lang w:val="es-ES_tradnl" w:eastAsia="es-ES"/>
              </w:rPr>
              <w:t>Subdirector de Gestión Contractual</w:t>
            </w:r>
          </w:p>
        </w:tc>
      </w:tr>
    </w:tbl>
    <w:p w14:paraId="2145FD48" w14:textId="77777777" w:rsidR="00577180" w:rsidRDefault="00577180" w:rsidP="00577180">
      <w:pPr>
        <w:rPr>
          <w:sz w:val="22"/>
          <w:lang w:val="es-ES_tradnl"/>
        </w:rPr>
      </w:pPr>
    </w:p>
    <w:p w14:paraId="15127073" w14:textId="77777777" w:rsidR="00577180" w:rsidRDefault="00577180" w:rsidP="00577180">
      <w:pPr>
        <w:rPr>
          <w:sz w:val="22"/>
          <w:lang w:val="es-ES_tradnl"/>
        </w:rPr>
      </w:pPr>
    </w:p>
    <w:p w14:paraId="7F70B594" w14:textId="77777777" w:rsidR="00577180" w:rsidRDefault="00577180" w:rsidP="00577180">
      <w:pPr>
        <w:rPr>
          <w:sz w:val="22"/>
          <w:lang w:val="es-ES_tradnl"/>
        </w:rPr>
      </w:pPr>
    </w:p>
    <w:p w14:paraId="21F2EBC0" w14:textId="77777777" w:rsidR="00577180" w:rsidRDefault="00577180" w:rsidP="00577180">
      <w:pPr>
        <w:jc w:val="both"/>
        <w:rPr>
          <w:rFonts w:ascii="Arial" w:eastAsia="Calibri" w:hAnsi="Arial" w:cs="Arial"/>
          <w:b/>
          <w:sz w:val="22"/>
        </w:rPr>
      </w:pPr>
    </w:p>
    <w:p w14:paraId="7F4AD753" w14:textId="77777777" w:rsidR="00577180" w:rsidRPr="00FB4853" w:rsidRDefault="00577180" w:rsidP="00577180">
      <w:pPr>
        <w:jc w:val="both"/>
        <w:rPr>
          <w:rFonts w:ascii="Arial" w:eastAsia="Calibri" w:hAnsi="Arial" w:cs="Arial"/>
          <w:b/>
          <w:sz w:val="22"/>
        </w:rPr>
      </w:pPr>
    </w:p>
    <w:bookmarkEnd w:id="3"/>
    <w:p w14:paraId="35B56F46" w14:textId="77777777" w:rsidR="00746E08" w:rsidRPr="00C01BE9" w:rsidRDefault="00746E08" w:rsidP="00215B8E">
      <w:pPr>
        <w:jc w:val="both"/>
        <w:rPr>
          <w:rFonts w:ascii="Arial" w:hAnsi="Arial" w:cs="Arial"/>
          <w:lang w:val="es-ES_tradnl"/>
        </w:rPr>
      </w:pPr>
    </w:p>
    <w:sectPr w:rsidR="00746E08" w:rsidRPr="00C01BE9" w:rsidSect="006928B0">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03EDE" w14:textId="77777777" w:rsidR="00B044F0" w:rsidRDefault="00B044F0">
      <w:r>
        <w:separator/>
      </w:r>
    </w:p>
  </w:endnote>
  <w:endnote w:type="continuationSeparator" w:id="0">
    <w:p w14:paraId="700C1FFD" w14:textId="77777777" w:rsidR="00B044F0" w:rsidRDefault="00B044F0">
      <w:r>
        <w:continuationSeparator/>
      </w:r>
    </w:p>
  </w:endnote>
  <w:endnote w:type="continuationNotice" w:id="1">
    <w:p w14:paraId="16C239BC" w14:textId="77777777" w:rsidR="00B044F0" w:rsidRDefault="00B04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1C48A" w14:textId="77777777" w:rsidR="00B044F0" w:rsidRDefault="00B044F0">
      <w:r>
        <w:separator/>
      </w:r>
    </w:p>
  </w:footnote>
  <w:footnote w:type="continuationSeparator" w:id="0">
    <w:p w14:paraId="283C39AB" w14:textId="77777777" w:rsidR="00B044F0" w:rsidRDefault="00B044F0">
      <w:r>
        <w:continuationSeparator/>
      </w:r>
    </w:p>
  </w:footnote>
  <w:footnote w:type="continuationNotice" w:id="1">
    <w:p w14:paraId="404EDE42" w14:textId="77777777" w:rsidR="00B044F0" w:rsidRDefault="00B044F0"/>
  </w:footnote>
  <w:footnote w:id="2">
    <w:p w14:paraId="3A73C812" w14:textId="77777777" w:rsidR="002D58D7" w:rsidRPr="00B97354" w:rsidRDefault="002D58D7" w:rsidP="002D58D7">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EE9C5D4" w14:textId="5E3BEE2B" w:rsidR="00272393" w:rsidRPr="00A966E6" w:rsidRDefault="00272393" w:rsidP="00B87A1C">
      <w:pPr>
        <w:pStyle w:val="Textonotapie"/>
        <w:ind w:firstLine="708"/>
        <w:jc w:val="both"/>
        <w:rPr>
          <w:rFonts w:ascii="Arial" w:hAnsi="Arial" w:cs="Arial"/>
          <w:sz w:val="19"/>
          <w:szCs w:val="19"/>
        </w:rPr>
      </w:pPr>
      <w:r w:rsidRPr="00D1095F">
        <w:rPr>
          <w:rStyle w:val="Refdenotaalpie"/>
          <w:rFonts w:ascii="Arial" w:hAnsi="Arial" w:cs="Arial"/>
          <w:sz w:val="19"/>
          <w:szCs w:val="19"/>
        </w:rPr>
        <w:footnoteRef/>
      </w:r>
      <w:r w:rsidRPr="00A966E6">
        <w:rPr>
          <w:rFonts w:ascii="Arial" w:hAnsi="Arial" w:cs="Arial"/>
          <w:sz w:val="19"/>
          <w:szCs w:val="19"/>
        </w:rPr>
        <w:t xml:space="preserve"> Los conceptos indicados pueden consultarse en el siguiente enlace: </w:t>
      </w:r>
      <w:hyperlink r:id="rId1" w:history="1">
        <w:r w:rsidR="00697A76" w:rsidRPr="00A966E6">
          <w:rPr>
            <w:rStyle w:val="Hipervnculo"/>
            <w:rFonts w:ascii="Arial" w:hAnsi="Arial" w:cs="Arial"/>
            <w:color w:val="auto"/>
            <w:sz w:val="19"/>
            <w:szCs w:val="19"/>
          </w:rPr>
          <w:t>https://relatoria.colombiacompra.gov.co/busqueda/conceptos</w:t>
        </w:r>
      </w:hyperlink>
      <w:r w:rsidRPr="00A966E6">
        <w:rPr>
          <w:rFonts w:ascii="Arial" w:hAnsi="Arial" w:cs="Arial"/>
          <w:sz w:val="19"/>
          <w:szCs w:val="19"/>
        </w:rPr>
        <w:t>.</w:t>
      </w:r>
    </w:p>
    <w:p w14:paraId="7787F768" w14:textId="77777777" w:rsidR="00697A76" w:rsidRPr="00D1095F" w:rsidRDefault="00697A76" w:rsidP="00B87A1C">
      <w:pPr>
        <w:pStyle w:val="Textonotapie"/>
        <w:ind w:firstLine="708"/>
        <w:jc w:val="both"/>
        <w:rPr>
          <w:rFonts w:ascii="Arial" w:hAnsi="Arial" w:cs="Arial"/>
          <w:sz w:val="19"/>
          <w:szCs w:val="19"/>
        </w:rPr>
      </w:pPr>
    </w:p>
  </w:footnote>
  <w:footnote w:id="4">
    <w:p w14:paraId="63FFDA68" w14:textId="42B56511" w:rsidR="00B67CED" w:rsidRPr="00A966E6" w:rsidRDefault="00B67CED" w:rsidP="00B87A1C">
      <w:pPr>
        <w:pStyle w:val="Textonotapie"/>
        <w:ind w:firstLine="709"/>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5">
    <w:p w14:paraId="696AB9E5" w14:textId="6CCF38F9"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sz w:val="19"/>
          <w:szCs w:val="19"/>
          <w:lang w:val="es-CO"/>
        </w:rPr>
        <w:t>Ley 1882 de 2018: «Artículo 4.</w:t>
      </w:r>
      <w:r w:rsidR="00661118" w:rsidRPr="00A966E6">
        <w:rPr>
          <w:rFonts w:ascii="Arial" w:hAnsi="Arial" w:cs="Arial"/>
          <w:sz w:val="19"/>
          <w:szCs w:val="19"/>
          <w:lang w:val="es-CO"/>
        </w:rPr>
        <w:t xml:space="preserve"> </w:t>
      </w:r>
      <w:r w:rsidRPr="00A966E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»La facultad de adoptar documentos tipo la tendrá el Gobierno nacional, cuando lo considere necesario, en relación con otros contratos o procesos de selección.</w:t>
      </w:r>
    </w:p>
    <w:p w14:paraId="0A291D68" w14:textId="678C75E8"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»Los pliegos tipo se adoptarán por categorías de acuerdo con la cuantía de la contratación, según la reglamentación que expida el Gobierno nacional».</w:t>
      </w:r>
    </w:p>
  </w:footnote>
  <w:footnote w:id="6">
    <w:p w14:paraId="6659CE0F" w14:textId="77777777"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A966E6" w:rsidRDefault="00B67CED" w:rsidP="00B87A1C">
      <w:pPr>
        <w:pStyle w:val="Textonotapie"/>
        <w:ind w:firstLine="709"/>
        <w:jc w:val="both"/>
        <w:rPr>
          <w:rFonts w:ascii="Arial" w:hAnsi="Arial" w:cs="Arial"/>
          <w:sz w:val="19"/>
          <w:szCs w:val="19"/>
        </w:rPr>
      </w:pPr>
    </w:p>
  </w:footnote>
  <w:footnote w:id="7">
    <w:p w14:paraId="08642F66" w14:textId="3AA06E81"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Ley 2022 de 2020: «</w:t>
      </w:r>
      <w:r w:rsidRPr="00A966E6">
        <w:rPr>
          <w:rStyle w:val="Textoennegrita"/>
          <w:rFonts w:ascii="Arial" w:hAnsi="Arial" w:cs="Arial"/>
          <w:b w:val="0"/>
          <w:bCs w:val="0"/>
          <w:color w:val="000000"/>
          <w:sz w:val="19"/>
          <w:szCs w:val="19"/>
        </w:rPr>
        <w:t>Artículo 1º.</w:t>
      </w:r>
      <w:r w:rsidRPr="00A966E6">
        <w:rPr>
          <w:rFonts w:ascii="Arial" w:hAnsi="Arial" w:cs="Arial"/>
          <w:color w:val="000000"/>
          <w:sz w:val="19"/>
          <w:szCs w:val="19"/>
        </w:rPr>
        <w:t> Modifíquese el artículo 4º de la Ley 1882 de 2018, el cual quedará así: </w:t>
      </w:r>
    </w:p>
    <w:p w14:paraId="067B1441" w14:textId="37BC1DBC"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»Artículo 4º.</w:t>
      </w:r>
      <w:r w:rsidRPr="00A966E6">
        <w:rPr>
          <w:rFonts w:ascii="Arial" w:hAnsi="Arial" w:cs="Arial"/>
          <w:color w:val="000000"/>
          <w:sz w:val="19"/>
          <w:szCs w:val="19"/>
        </w:rPr>
        <w:t> Adiciónese el siguiente parágrafo al artículo 2º de la Ley 1150 de 2007. </w:t>
      </w:r>
    </w:p>
    <w:p w14:paraId="3AC4BDEE" w14:textId="46CD8B17"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»Parágrafo 7º.</w:t>
      </w:r>
      <w:r w:rsidRPr="00A966E6">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D1095F" w:rsidRDefault="00A90557" w:rsidP="00B87A1C">
      <w:pPr>
        <w:pStyle w:val="NormalWeb"/>
        <w:spacing w:before="0" w:beforeAutospacing="0" w:after="0" w:afterAutospacing="0"/>
        <w:ind w:firstLine="708"/>
        <w:jc w:val="both"/>
        <w:rPr>
          <w:rFonts w:ascii="Arial" w:hAnsi="Arial" w:cs="Arial"/>
          <w:sz w:val="19"/>
          <w:szCs w:val="19"/>
        </w:rPr>
      </w:pPr>
      <w:r w:rsidRPr="00A966E6">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7EB53700"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9">
    <w:p w14:paraId="090C02B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Style w:val="Textoennegrita"/>
          <w:rFonts w:ascii="Arial" w:hAnsi="Arial" w:cs="Arial"/>
          <w:b w:val="0"/>
          <w:bCs w:val="0"/>
          <w:color w:val="000000"/>
          <w:sz w:val="19"/>
          <w:szCs w:val="19"/>
        </w:rPr>
        <w:t>Artículo 2°.</w:t>
      </w:r>
      <w:r w:rsidRPr="00A966E6">
        <w:rPr>
          <w:rStyle w:val="nfasis"/>
          <w:rFonts w:ascii="Arial" w:hAnsi="Arial" w:cs="Arial"/>
          <w:i w:val="0"/>
          <w:iCs w:val="0"/>
          <w:color w:val="000000"/>
          <w:sz w:val="19"/>
          <w:szCs w:val="19"/>
        </w:rPr>
        <w:t>De las modalidades de selección</w:t>
      </w:r>
      <w:r w:rsidRPr="00A966E6">
        <w:rPr>
          <w:rStyle w:val="nfasis"/>
          <w:rFonts w:ascii="Arial" w:hAnsi="Arial" w:cs="Arial"/>
          <w:b/>
          <w:bCs/>
          <w:color w:val="000000"/>
          <w:sz w:val="19"/>
          <w:szCs w:val="19"/>
        </w:rPr>
        <w:t>. </w:t>
      </w:r>
      <w:r w:rsidRPr="00A966E6">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CD03EB5"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p>
    <w:p w14:paraId="4C0269A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»4. Contratación directa</w:t>
      </w:r>
      <w:r w:rsidRPr="00A966E6">
        <w:rPr>
          <w:rFonts w:ascii="Arial" w:hAnsi="Arial" w:cs="Arial"/>
          <w:b/>
          <w:bCs/>
          <w:color w:val="000000"/>
          <w:sz w:val="19"/>
          <w:szCs w:val="19"/>
        </w:rPr>
        <w:t>. </w:t>
      </w:r>
      <w:r w:rsidRPr="00A966E6">
        <w:rPr>
          <w:rFonts w:ascii="Arial" w:hAnsi="Arial" w:cs="Arial"/>
          <w:color w:val="000000"/>
          <w:sz w:val="19"/>
          <w:szCs w:val="19"/>
        </w:rPr>
        <w:t>La modalidad de selección de contratación directa, solamente procederá en los siguientes casos: </w:t>
      </w:r>
    </w:p>
    <w:p w14:paraId="139B81C9"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  </w:t>
      </w:r>
    </w:p>
    <w:p w14:paraId="4FCEC141" w14:textId="77777777" w:rsidR="009C48E6" w:rsidRPr="00A966E6" w:rsidRDefault="009C48E6" w:rsidP="00B87A1C">
      <w:pPr>
        <w:ind w:firstLine="708"/>
        <w:jc w:val="both"/>
        <w:rPr>
          <w:rFonts w:ascii="Arial" w:hAnsi="Arial" w:cs="Arial"/>
          <w:color w:val="000000"/>
          <w:sz w:val="19"/>
          <w:szCs w:val="19"/>
          <w:lang w:eastAsia="es-CO"/>
        </w:rPr>
      </w:pPr>
      <w:r w:rsidRPr="00A966E6">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D8AE28"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89E22AE"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05A52124"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AF510D6" w14:textId="77777777" w:rsidR="009C48E6" w:rsidRPr="00A966E6" w:rsidRDefault="009C48E6" w:rsidP="00B87A1C">
      <w:pPr>
        <w:jc w:val="both"/>
        <w:rPr>
          <w:rFonts w:ascii="Arial" w:hAnsi="Arial" w:cs="Arial"/>
          <w:sz w:val="19"/>
          <w:szCs w:val="19"/>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»Estarán exceptuados de la figura del contrato interadministrativo, los contratos de seguro de las entidades estatales[…]». </w:t>
      </w:r>
      <w:r w:rsidRPr="00A966E6">
        <w:rPr>
          <w:rFonts w:ascii="Arial" w:hAnsi="Arial" w:cs="Arial"/>
          <w:sz w:val="19"/>
          <w:szCs w:val="19"/>
        </w:rPr>
        <w:t xml:space="preserve"> </w:t>
      </w:r>
    </w:p>
  </w:footnote>
  <w:footnote w:id="10">
    <w:p w14:paraId="1693A268" w14:textId="77777777" w:rsidR="009C48E6" w:rsidRPr="00A966E6" w:rsidRDefault="009C48E6" w:rsidP="00B87A1C">
      <w:pPr>
        <w:pStyle w:val="Textonotapie"/>
        <w:ind w:firstLine="708"/>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A966E6">
        <w:rPr>
          <w:rFonts w:ascii="Arial" w:hAnsi="Arial" w:cs="Arial"/>
          <w:i/>
          <w:iCs/>
          <w:sz w:val="19"/>
          <w:szCs w:val="19"/>
        </w:rPr>
        <w:t>lex posterior derogat legi priori</w:t>
      </w:r>
      <w:r w:rsidRPr="00A966E6">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38CA4041"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2">
    <w:p w14:paraId="420FDA99"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Sentencia C-382 de 2019, M.P. Alejandro Linares Cantillo.</w:t>
      </w:r>
    </w:p>
  </w:footnote>
  <w:footnote w:id="13">
    <w:p w14:paraId="7542096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La redacción original del parágrafo primero del artículo 32 de la Ley 80 de 1993, incluía la expresión </w:t>
      </w:r>
      <w:r w:rsidRPr="00A966E6">
        <w:rPr>
          <w:rFonts w:ascii="Arial" w:hAnsi="Arial" w:cs="Arial"/>
          <w:i/>
          <w:iCs/>
          <w:color w:val="000000" w:themeColor="text1"/>
          <w:sz w:val="19"/>
          <w:szCs w:val="19"/>
        </w:rPr>
        <w:t>giro ordinario</w:t>
      </w:r>
      <w:r w:rsidRPr="00A966E6">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A966E6">
        <w:rPr>
          <w:rFonts w:ascii="Arial" w:hAnsi="Arial" w:cs="Arial"/>
          <w:i/>
          <w:iCs/>
          <w:color w:val="000000" w:themeColor="text1"/>
          <w:sz w:val="19"/>
          <w:szCs w:val="19"/>
        </w:rPr>
        <w:t>al giro ordinario de las actividades propias de su objeto social,</w:t>
      </w:r>
      <w:r w:rsidRPr="00A966E6">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16EBA5D" w14:textId="77777777" w:rsidR="009C48E6" w:rsidRPr="00A966E6" w:rsidRDefault="009C48E6" w:rsidP="00B87A1C">
      <w:pPr>
        <w:pStyle w:val="Textonotapie"/>
        <w:ind w:firstLine="709"/>
        <w:jc w:val="both"/>
        <w:rPr>
          <w:rFonts w:ascii="Arial" w:hAnsi="Arial" w:cs="Arial"/>
          <w:color w:val="000000" w:themeColor="text1"/>
          <w:sz w:val="19"/>
          <w:szCs w:val="19"/>
        </w:rPr>
      </w:pPr>
    </w:p>
  </w:footnote>
  <w:footnote w:id="14">
    <w:p w14:paraId="0FF039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B. Sentencia del 12 de octubre de 2011. Exp. No. 20070. C.P. Danilo Rojas Betancourt.</w:t>
      </w:r>
    </w:p>
    <w:p w14:paraId="0DD915C6"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p>
  </w:footnote>
  <w:footnote w:id="15">
    <w:p w14:paraId="5C250ADB" w14:textId="77777777" w:rsidR="009C48E6" w:rsidRPr="00A966E6" w:rsidRDefault="009C48E6" w:rsidP="00B87A1C">
      <w:pPr>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141E656A" w14:textId="77777777" w:rsidR="009C48E6" w:rsidRPr="00A966E6" w:rsidRDefault="009C48E6" w:rsidP="00B87A1C">
      <w:pPr>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16">
    <w:p w14:paraId="6D255A3D"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D03C1F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7">
    <w:p w14:paraId="2435A2B6" w14:textId="77777777" w:rsidR="009C48E6" w:rsidRPr="00A966E6" w:rsidRDefault="009C48E6" w:rsidP="00B87A1C">
      <w:pPr>
        <w:pStyle w:val="Textonotapie"/>
        <w:ind w:firstLine="709"/>
        <w:jc w:val="both"/>
        <w:rPr>
          <w:rFonts w:ascii="Arial" w:hAnsi="Arial" w:cs="Arial"/>
          <w:color w:val="000000" w:themeColor="text1"/>
          <w:sz w:val="19"/>
          <w:szCs w:val="19"/>
        </w:rPr>
      </w:pPr>
    </w:p>
    <w:p w14:paraId="38AFE28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Superintendencia de Sociedades. Oficio 220-014111 del 18 de febrero de 2015. Consultado el 9 de febrero de 2022 en: </w:t>
      </w:r>
      <w:hyperlink r:id="rId2" w:history="1">
        <w:r w:rsidRPr="00A966E6">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8">
    <w:p w14:paraId="4E914627"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19">
    <w:p w14:paraId="363D37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658575E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4C09A039"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8547B1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C0390D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20">
    <w:p w14:paraId="3FD7DC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rPr>
        <w:t>Consejo de Estado. Sección Tercera. Subsección A. Sentencia del 24 de junio de 2015. Exp. 40.635. Consejero Ponente: Hernán Andrade Rincón (E).</w:t>
      </w:r>
    </w:p>
    <w:p w14:paraId="5735B8C9" w14:textId="77777777" w:rsidR="009C48E6" w:rsidRPr="00A966E6" w:rsidRDefault="009C48E6" w:rsidP="00B87A1C">
      <w:pPr>
        <w:pStyle w:val="Textonotapie"/>
        <w:ind w:firstLine="709"/>
        <w:jc w:val="both"/>
        <w:rPr>
          <w:rFonts w:ascii="Arial" w:hAnsi="Arial" w:cs="Arial"/>
          <w:sz w:val="19"/>
          <w:szCs w:val="19"/>
          <w:lang w:val="es-ES"/>
        </w:rPr>
      </w:pPr>
    </w:p>
  </w:footnote>
  <w:footnote w:id="21">
    <w:p w14:paraId="42FED880"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45C48C67" w14:textId="77777777" w:rsidR="009C48E6" w:rsidRPr="00A966E6" w:rsidRDefault="009C48E6" w:rsidP="00B87A1C">
      <w:pPr>
        <w:pStyle w:val="Textonotapie"/>
        <w:ind w:firstLine="709"/>
        <w:jc w:val="both"/>
        <w:rPr>
          <w:rFonts w:ascii="Arial" w:hAnsi="Arial" w:cs="Arial"/>
          <w:sz w:val="19"/>
          <w:szCs w:val="19"/>
          <w:lang w:val="es-ES"/>
        </w:rPr>
      </w:pPr>
    </w:p>
  </w:footnote>
  <w:footnote w:id="22">
    <w:p w14:paraId="204B2675"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7E0F24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3">
    <w:p w14:paraId="25FB25F2" w14:textId="77777777" w:rsidR="009C48E6" w:rsidRPr="00A966E6" w:rsidRDefault="009C48E6" w:rsidP="00B87A1C">
      <w:pPr>
        <w:pStyle w:val="Textonotapie"/>
        <w:ind w:firstLine="708"/>
        <w:jc w:val="both"/>
        <w:rPr>
          <w:rFonts w:ascii="Arial" w:hAnsi="Arial" w:cs="Arial"/>
          <w:sz w:val="19"/>
          <w:szCs w:val="19"/>
        </w:rPr>
      </w:pPr>
    </w:p>
    <w:p w14:paraId="2EEB8936" w14:textId="77777777" w:rsidR="009C48E6" w:rsidRPr="00A966E6" w:rsidRDefault="009C48E6" w:rsidP="00B87A1C">
      <w:pPr>
        <w:ind w:firstLine="708"/>
        <w:jc w:val="both"/>
        <w:rPr>
          <w:rFonts w:ascii="Arial" w:eastAsiaTheme="minorHAnsi" w:hAnsi="Arial" w:cs="Arial"/>
          <w:sz w:val="19"/>
          <w:szCs w:val="19"/>
          <w:lang w:val="es-MX" w:eastAsia="en-US"/>
        </w:rPr>
      </w:pPr>
      <w:r w:rsidRPr="00A966E6">
        <w:rPr>
          <w:rStyle w:val="Refdenotaalpie"/>
          <w:rFonts w:ascii="Arial" w:hAnsi="Arial" w:cs="Arial"/>
          <w:sz w:val="19"/>
          <w:szCs w:val="19"/>
        </w:rPr>
        <w:footnoteRef/>
      </w:r>
      <w:r w:rsidRPr="00A966E6">
        <w:rPr>
          <w:rFonts w:ascii="Arial" w:hAnsi="Arial" w:cs="Arial"/>
          <w:sz w:val="19"/>
          <w:szCs w:val="19"/>
        </w:rPr>
        <w:t xml:space="preserve"> Código Civil: «</w:t>
      </w:r>
      <w:r w:rsidRPr="00A966E6">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1CFB9D5C" w14:textId="77777777" w:rsidR="009C48E6" w:rsidRPr="00A966E6" w:rsidRDefault="009C48E6" w:rsidP="00B87A1C">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2755846">
    <w:abstractNumId w:val="10"/>
  </w:num>
  <w:num w:numId="2" w16cid:durableId="884368104">
    <w:abstractNumId w:val="8"/>
  </w:num>
  <w:num w:numId="3" w16cid:durableId="1388263262">
    <w:abstractNumId w:val="13"/>
  </w:num>
  <w:num w:numId="4" w16cid:durableId="2041661116">
    <w:abstractNumId w:val="17"/>
  </w:num>
  <w:num w:numId="5" w16cid:durableId="430585058">
    <w:abstractNumId w:val="22"/>
  </w:num>
  <w:num w:numId="6" w16cid:durableId="7711239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3636661">
    <w:abstractNumId w:val="19"/>
  </w:num>
  <w:num w:numId="8" w16cid:durableId="1068457315">
    <w:abstractNumId w:val="0"/>
  </w:num>
  <w:num w:numId="9" w16cid:durableId="1301616501">
    <w:abstractNumId w:val="3"/>
  </w:num>
  <w:num w:numId="10" w16cid:durableId="20765865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28126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182749">
    <w:abstractNumId w:val="9"/>
  </w:num>
  <w:num w:numId="13" w16cid:durableId="349649085">
    <w:abstractNumId w:val="12"/>
  </w:num>
  <w:num w:numId="14" w16cid:durableId="1480727572">
    <w:abstractNumId w:val="7"/>
  </w:num>
  <w:num w:numId="15" w16cid:durableId="50174824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099376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3501700">
    <w:abstractNumId w:val="24"/>
  </w:num>
  <w:num w:numId="18" w16cid:durableId="11499955">
    <w:abstractNumId w:val="14"/>
  </w:num>
  <w:num w:numId="19" w16cid:durableId="451559285">
    <w:abstractNumId w:val="2"/>
  </w:num>
  <w:num w:numId="20" w16cid:durableId="1029256932">
    <w:abstractNumId w:val="25"/>
  </w:num>
  <w:num w:numId="21" w16cid:durableId="187451201">
    <w:abstractNumId w:val="15"/>
  </w:num>
  <w:num w:numId="22" w16cid:durableId="2122529846">
    <w:abstractNumId w:val="6"/>
  </w:num>
  <w:num w:numId="23" w16cid:durableId="1206990884">
    <w:abstractNumId w:val="4"/>
  </w:num>
  <w:num w:numId="24" w16cid:durableId="1945913662">
    <w:abstractNumId w:val="23"/>
  </w:num>
  <w:num w:numId="25" w16cid:durableId="1475100248">
    <w:abstractNumId w:val="18"/>
  </w:num>
  <w:num w:numId="26" w16cid:durableId="1239250105">
    <w:abstractNumId w:val="21"/>
  </w:num>
  <w:num w:numId="27" w16cid:durableId="1411200272">
    <w:abstractNumId w:val="5"/>
  </w:num>
  <w:num w:numId="28" w16cid:durableId="8736199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5F1"/>
    <w:rsid w:val="000012B9"/>
    <w:rsid w:val="0000162E"/>
    <w:rsid w:val="00001A1C"/>
    <w:rsid w:val="00001FFD"/>
    <w:rsid w:val="00002027"/>
    <w:rsid w:val="000020FE"/>
    <w:rsid w:val="00002173"/>
    <w:rsid w:val="000031A8"/>
    <w:rsid w:val="00003C5C"/>
    <w:rsid w:val="00003D39"/>
    <w:rsid w:val="00003D90"/>
    <w:rsid w:val="000040D7"/>
    <w:rsid w:val="00004556"/>
    <w:rsid w:val="000047A2"/>
    <w:rsid w:val="00004C66"/>
    <w:rsid w:val="000051AF"/>
    <w:rsid w:val="0000529F"/>
    <w:rsid w:val="000059D3"/>
    <w:rsid w:val="00005B6D"/>
    <w:rsid w:val="00005F1C"/>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1D6"/>
    <w:rsid w:val="00017A97"/>
    <w:rsid w:val="00017B65"/>
    <w:rsid w:val="00017FDA"/>
    <w:rsid w:val="00020158"/>
    <w:rsid w:val="0002029E"/>
    <w:rsid w:val="000207E0"/>
    <w:rsid w:val="000209E2"/>
    <w:rsid w:val="00020F8F"/>
    <w:rsid w:val="00021A95"/>
    <w:rsid w:val="0002256F"/>
    <w:rsid w:val="00022AAB"/>
    <w:rsid w:val="00023BF4"/>
    <w:rsid w:val="00023DAE"/>
    <w:rsid w:val="00024896"/>
    <w:rsid w:val="00025515"/>
    <w:rsid w:val="000255FA"/>
    <w:rsid w:val="000256F7"/>
    <w:rsid w:val="00025D0A"/>
    <w:rsid w:val="000263F0"/>
    <w:rsid w:val="00026407"/>
    <w:rsid w:val="00026608"/>
    <w:rsid w:val="00026C8F"/>
    <w:rsid w:val="00027787"/>
    <w:rsid w:val="000278D2"/>
    <w:rsid w:val="00027965"/>
    <w:rsid w:val="00030DFB"/>
    <w:rsid w:val="00031262"/>
    <w:rsid w:val="00031364"/>
    <w:rsid w:val="000315E1"/>
    <w:rsid w:val="0003236E"/>
    <w:rsid w:val="0003339A"/>
    <w:rsid w:val="000341F2"/>
    <w:rsid w:val="00035046"/>
    <w:rsid w:val="000351F2"/>
    <w:rsid w:val="00035B02"/>
    <w:rsid w:val="000363FF"/>
    <w:rsid w:val="00036618"/>
    <w:rsid w:val="00036779"/>
    <w:rsid w:val="00036E03"/>
    <w:rsid w:val="00037450"/>
    <w:rsid w:val="00037526"/>
    <w:rsid w:val="000402D3"/>
    <w:rsid w:val="000406DB"/>
    <w:rsid w:val="0004094D"/>
    <w:rsid w:val="00041029"/>
    <w:rsid w:val="00041357"/>
    <w:rsid w:val="0004149B"/>
    <w:rsid w:val="000418CF"/>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717"/>
    <w:rsid w:val="00046A63"/>
    <w:rsid w:val="00046C09"/>
    <w:rsid w:val="0004716A"/>
    <w:rsid w:val="00047385"/>
    <w:rsid w:val="000473E8"/>
    <w:rsid w:val="00047F3F"/>
    <w:rsid w:val="000504BF"/>
    <w:rsid w:val="000504DE"/>
    <w:rsid w:val="00051074"/>
    <w:rsid w:val="000526F0"/>
    <w:rsid w:val="0005273D"/>
    <w:rsid w:val="00052B79"/>
    <w:rsid w:val="00052D73"/>
    <w:rsid w:val="00052E4B"/>
    <w:rsid w:val="00052EA0"/>
    <w:rsid w:val="000536A7"/>
    <w:rsid w:val="000536E3"/>
    <w:rsid w:val="00053896"/>
    <w:rsid w:val="00053A00"/>
    <w:rsid w:val="00054037"/>
    <w:rsid w:val="0005474D"/>
    <w:rsid w:val="0005564E"/>
    <w:rsid w:val="00055CB9"/>
    <w:rsid w:val="00056F66"/>
    <w:rsid w:val="0005702F"/>
    <w:rsid w:val="000601EA"/>
    <w:rsid w:val="00061010"/>
    <w:rsid w:val="00061D06"/>
    <w:rsid w:val="000625D1"/>
    <w:rsid w:val="00062CDD"/>
    <w:rsid w:val="00062DB3"/>
    <w:rsid w:val="00063472"/>
    <w:rsid w:val="000635D7"/>
    <w:rsid w:val="000635FA"/>
    <w:rsid w:val="000640AF"/>
    <w:rsid w:val="000648E1"/>
    <w:rsid w:val="00064940"/>
    <w:rsid w:val="00064CAE"/>
    <w:rsid w:val="00064DB7"/>
    <w:rsid w:val="00064FA7"/>
    <w:rsid w:val="00065195"/>
    <w:rsid w:val="0006536C"/>
    <w:rsid w:val="00065C70"/>
    <w:rsid w:val="0006626E"/>
    <w:rsid w:val="0006639D"/>
    <w:rsid w:val="00070AF1"/>
    <w:rsid w:val="00070D3E"/>
    <w:rsid w:val="000714DE"/>
    <w:rsid w:val="0007254F"/>
    <w:rsid w:val="0007357C"/>
    <w:rsid w:val="00073990"/>
    <w:rsid w:val="00073C30"/>
    <w:rsid w:val="00073F55"/>
    <w:rsid w:val="00074305"/>
    <w:rsid w:val="000744D0"/>
    <w:rsid w:val="00074B2A"/>
    <w:rsid w:val="00074CE8"/>
    <w:rsid w:val="00074EEE"/>
    <w:rsid w:val="00075010"/>
    <w:rsid w:val="000753D5"/>
    <w:rsid w:val="00075A5D"/>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F22"/>
    <w:rsid w:val="00095B70"/>
    <w:rsid w:val="00095C13"/>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3EF4"/>
    <w:rsid w:val="000A46FE"/>
    <w:rsid w:val="000A47E6"/>
    <w:rsid w:val="000A52C0"/>
    <w:rsid w:val="000A5AAF"/>
    <w:rsid w:val="000A5F97"/>
    <w:rsid w:val="000A61E9"/>
    <w:rsid w:val="000A648E"/>
    <w:rsid w:val="000A7268"/>
    <w:rsid w:val="000A73BB"/>
    <w:rsid w:val="000A73E8"/>
    <w:rsid w:val="000A7EF4"/>
    <w:rsid w:val="000B0A15"/>
    <w:rsid w:val="000B103F"/>
    <w:rsid w:val="000B1437"/>
    <w:rsid w:val="000B1470"/>
    <w:rsid w:val="000B244D"/>
    <w:rsid w:val="000B29A2"/>
    <w:rsid w:val="000B2B86"/>
    <w:rsid w:val="000B3051"/>
    <w:rsid w:val="000B404C"/>
    <w:rsid w:val="000B419B"/>
    <w:rsid w:val="000B5781"/>
    <w:rsid w:val="000B5CB1"/>
    <w:rsid w:val="000B5EBD"/>
    <w:rsid w:val="000B7377"/>
    <w:rsid w:val="000B75F4"/>
    <w:rsid w:val="000C0028"/>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79E"/>
    <w:rsid w:val="000D3FDC"/>
    <w:rsid w:val="000D426E"/>
    <w:rsid w:val="000D490B"/>
    <w:rsid w:val="000D4E38"/>
    <w:rsid w:val="000D50DB"/>
    <w:rsid w:val="000D6288"/>
    <w:rsid w:val="000D7002"/>
    <w:rsid w:val="000D728B"/>
    <w:rsid w:val="000D7541"/>
    <w:rsid w:val="000D75E1"/>
    <w:rsid w:val="000D7E53"/>
    <w:rsid w:val="000E09C5"/>
    <w:rsid w:val="000E22BA"/>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533"/>
    <w:rsid w:val="000F1BBD"/>
    <w:rsid w:val="000F2573"/>
    <w:rsid w:val="000F25BC"/>
    <w:rsid w:val="000F290F"/>
    <w:rsid w:val="000F31A3"/>
    <w:rsid w:val="000F4340"/>
    <w:rsid w:val="000F4403"/>
    <w:rsid w:val="000F480B"/>
    <w:rsid w:val="000F4E17"/>
    <w:rsid w:val="000F5209"/>
    <w:rsid w:val="000F5615"/>
    <w:rsid w:val="000F62BE"/>
    <w:rsid w:val="000F6578"/>
    <w:rsid w:val="000F6F92"/>
    <w:rsid w:val="000F7E8F"/>
    <w:rsid w:val="000F7FBB"/>
    <w:rsid w:val="001000FB"/>
    <w:rsid w:val="00100A9E"/>
    <w:rsid w:val="00100B3A"/>
    <w:rsid w:val="00100F6A"/>
    <w:rsid w:val="001012D5"/>
    <w:rsid w:val="00102605"/>
    <w:rsid w:val="00102686"/>
    <w:rsid w:val="00102745"/>
    <w:rsid w:val="00102DB9"/>
    <w:rsid w:val="00102DCB"/>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D04"/>
    <w:rsid w:val="00114E9D"/>
    <w:rsid w:val="0011507B"/>
    <w:rsid w:val="00115962"/>
    <w:rsid w:val="00116328"/>
    <w:rsid w:val="001163CF"/>
    <w:rsid w:val="001166C5"/>
    <w:rsid w:val="0011703F"/>
    <w:rsid w:val="0011721D"/>
    <w:rsid w:val="001174C9"/>
    <w:rsid w:val="0011786A"/>
    <w:rsid w:val="00117CF9"/>
    <w:rsid w:val="00117E69"/>
    <w:rsid w:val="00120222"/>
    <w:rsid w:val="00120CCE"/>
    <w:rsid w:val="00121103"/>
    <w:rsid w:val="00121BAB"/>
    <w:rsid w:val="00121E3C"/>
    <w:rsid w:val="00122A28"/>
    <w:rsid w:val="00122B23"/>
    <w:rsid w:val="00122B7E"/>
    <w:rsid w:val="001238B7"/>
    <w:rsid w:val="00123E27"/>
    <w:rsid w:val="00123E3D"/>
    <w:rsid w:val="00123FB5"/>
    <w:rsid w:val="0012400F"/>
    <w:rsid w:val="001243E0"/>
    <w:rsid w:val="001249DC"/>
    <w:rsid w:val="00124EE5"/>
    <w:rsid w:val="0012572D"/>
    <w:rsid w:val="00125BED"/>
    <w:rsid w:val="00125C59"/>
    <w:rsid w:val="00125D4F"/>
    <w:rsid w:val="001269B8"/>
    <w:rsid w:val="00127004"/>
    <w:rsid w:val="00127AF2"/>
    <w:rsid w:val="00127EDC"/>
    <w:rsid w:val="00127F42"/>
    <w:rsid w:val="00127F6D"/>
    <w:rsid w:val="00130355"/>
    <w:rsid w:val="00130365"/>
    <w:rsid w:val="001304E5"/>
    <w:rsid w:val="00130BCE"/>
    <w:rsid w:val="0013181F"/>
    <w:rsid w:val="00131B5A"/>
    <w:rsid w:val="00131DA9"/>
    <w:rsid w:val="00132C30"/>
    <w:rsid w:val="00132EFD"/>
    <w:rsid w:val="00133AED"/>
    <w:rsid w:val="0013493D"/>
    <w:rsid w:val="00134BCD"/>
    <w:rsid w:val="00134E09"/>
    <w:rsid w:val="001350AB"/>
    <w:rsid w:val="001353E2"/>
    <w:rsid w:val="00135859"/>
    <w:rsid w:val="00135DB9"/>
    <w:rsid w:val="00135E5D"/>
    <w:rsid w:val="0013695C"/>
    <w:rsid w:val="00136BF7"/>
    <w:rsid w:val="00136C78"/>
    <w:rsid w:val="001377ED"/>
    <w:rsid w:val="001378B9"/>
    <w:rsid w:val="00137FFA"/>
    <w:rsid w:val="00140109"/>
    <w:rsid w:val="0014029B"/>
    <w:rsid w:val="00140464"/>
    <w:rsid w:val="00140A4F"/>
    <w:rsid w:val="001413AB"/>
    <w:rsid w:val="001413FD"/>
    <w:rsid w:val="00141AE6"/>
    <w:rsid w:val="00141BF7"/>
    <w:rsid w:val="00141DBF"/>
    <w:rsid w:val="00142237"/>
    <w:rsid w:val="00142EFD"/>
    <w:rsid w:val="001432CB"/>
    <w:rsid w:val="00143330"/>
    <w:rsid w:val="00143C55"/>
    <w:rsid w:val="00144335"/>
    <w:rsid w:val="00144C1D"/>
    <w:rsid w:val="0014502F"/>
    <w:rsid w:val="00145282"/>
    <w:rsid w:val="001453B0"/>
    <w:rsid w:val="001454D9"/>
    <w:rsid w:val="00145D00"/>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959"/>
    <w:rsid w:val="00153BFB"/>
    <w:rsid w:val="0015407E"/>
    <w:rsid w:val="0015415A"/>
    <w:rsid w:val="0015430A"/>
    <w:rsid w:val="0015448E"/>
    <w:rsid w:val="00154A6F"/>
    <w:rsid w:val="00155D08"/>
    <w:rsid w:val="001561F3"/>
    <w:rsid w:val="0015623B"/>
    <w:rsid w:val="00156BE5"/>
    <w:rsid w:val="00157232"/>
    <w:rsid w:val="001600A4"/>
    <w:rsid w:val="00160401"/>
    <w:rsid w:val="00160D4E"/>
    <w:rsid w:val="00161303"/>
    <w:rsid w:val="00161598"/>
    <w:rsid w:val="00161DDA"/>
    <w:rsid w:val="00161E62"/>
    <w:rsid w:val="00161F1C"/>
    <w:rsid w:val="0016200B"/>
    <w:rsid w:val="0016204B"/>
    <w:rsid w:val="00162AFD"/>
    <w:rsid w:val="00163D7A"/>
    <w:rsid w:val="00164281"/>
    <w:rsid w:val="00165703"/>
    <w:rsid w:val="00166204"/>
    <w:rsid w:val="00166726"/>
    <w:rsid w:val="0016685F"/>
    <w:rsid w:val="0016712F"/>
    <w:rsid w:val="00167503"/>
    <w:rsid w:val="001676A9"/>
    <w:rsid w:val="00167A15"/>
    <w:rsid w:val="00167A4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3011"/>
    <w:rsid w:val="001A33F1"/>
    <w:rsid w:val="001A3574"/>
    <w:rsid w:val="001A3F4C"/>
    <w:rsid w:val="001A3FC8"/>
    <w:rsid w:val="001A4A9B"/>
    <w:rsid w:val="001A4DAF"/>
    <w:rsid w:val="001A4EBB"/>
    <w:rsid w:val="001A54CD"/>
    <w:rsid w:val="001A5D74"/>
    <w:rsid w:val="001A66DF"/>
    <w:rsid w:val="001A67D0"/>
    <w:rsid w:val="001A6863"/>
    <w:rsid w:val="001A7591"/>
    <w:rsid w:val="001A75B1"/>
    <w:rsid w:val="001A7B06"/>
    <w:rsid w:val="001A7E98"/>
    <w:rsid w:val="001B0366"/>
    <w:rsid w:val="001B0444"/>
    <w:rsid w:val="001B057E"/>
    <w:rsid w:val="001B096B"/>
    <w:rsid w:val="001B0F9F"/>
    <w:rsid w:val="001B123C"/>
    <w:rsid w:val="001B1806"/>
    <w:rsid w:val="001B1A0D"/>
    <w:rsid w:val="001B1BF1"/>
    <w:rsid w:val="001B1DD3"/>
    <w:rsid w:val="001B1E12"/>
    <w:rsid w:val="001B2083"/>
    <w:rsid w:val="001B2456"/>
    <w:rsid w:val="001B2C14"/>
    <w:rsid w:val="001B2D7F"/>
    <w:rsid w:val="001B33FD"/>
    <w:rsid w:val="001B376C"/>
    <w:rsid w:val="001B3CC4"/>
    <w:rsid w:val="001B449C"/>
    <w:rsid w:val="001B4AA2"/>
    <w:rsid w:val="001B4ADE"/>
    <w:rsid w:val="001B5530"/>
    <w:rsid w:val="001B5D63"/>
    <w:rsid w:val="001B5EF8"/>
    <w:rsid w:val="001B6C54"/>
    <w:rsid w:val="001B71E8"/>
    <w:rsid w:val="001B787E"/>
    <w:rsid w:val="001B7C80"/>
    <w:rsid w:val="001C07C6"/>
    <w:rsid w:val="001C120D"/>
    <w:rsid w:val="001C19CD"/>
    <w:rsid w:val="001C22D5"/>
    <w:rsid w:val="001C2515"/>
    <w:rsid w:val="001C26FB"/>
    <w:rsid w:val="001C2DDB"/>
    <w:rsid w:val="001C33C1"/>
    <w:rsid w:val="001C3AF0"/>
    <w:rsid w:val="001C3E30"/>
    <w:rsid w:val="001C3E5C"/>
    <w:rsid w:val="001C4040"/>
    <w:rsid w:val="001C4AF7"/>
    <w:rsid w:val="001C5072"/>
    <w:rsid w:val="001C5B2A"/>
    <w:rsid w:val="001C600B"/>
    <w:rsid w:val="001C64C6"/>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3C80"/>
    <w:rsid w:val="001D3DAD"/>
    <w:rsid w:val="001D51DD"/>
    <w:rsid w:val="001D56E9"/>
    <w:rsid w:val="001D5E55"/>
    <w:rsid w:val="001D639C"/>
    <w:rsid w:val="001D66CD"/>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031"/>
    <w:rsid w:val="001E5140"/>
    <w:rsid w:val="001E51C2"/>
    <w:rsid w:val="001E5787"/>
    <w:rsid w:val="001E5D6A"/>
    <w:rsid w:val="001E6547"/>
    <w:rsid w:val="001E6A94"/>
    <w:rsid w:val="001E70FB"/>
    <w:rsid w:val="001E780A"/>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909"/>
    <w:rsid w:val="001F6FB6"/>
    <w:rsid w:val="001F72BB"/>
    <w:rsid w:val="001F72ED"/>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26AF"/>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9C5"/>
    <w:rsid w:val="00221CEF"/>
    <w:rsid w:val="002220B1"/>
    <w:rsid w:val="002221CE"/>
    <w:rsid w:val="00222BE8"/>
    <w:rsid w:val="00222DC1"/>
    <w:rsid w:val="00222DFB"/>
    <w:rsid w:val="00223102"/>
    <w:rsid w:val="002232CB"/>
    <w:rsid w:val="0022395B"/>
    <w:rsid w:val="00224022"/>
    <w:rsid w:val="00226055"/>
    <w:rsid w:val="0022609C"/>
    <w:rsid w:val="0022613F"/>
    <w:rsid w:val="0022614F"/>
    <w:rsid w:val="00226236"/>
    <w:rsid w:val="002270C9"/>
    <w:rsid w:val="00227236"/>
    <w:rsid w:val="00227A8B"/>
    <w:rsid w:val="0023074D"/>
    <w:rsid w:val="00230BA3"/>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BB6"/>
    <w:rsid w:val="00236016"/>
    <w:rsid w:val="00236170"/>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559"/>
    <w:rsid w:val="00242D5F"/>
    <w:rsid w:val="00242D62"/>
    <w:rsid w:val="002430D0"/>
    <w:rsid w:val="002431D7"/>
    <w:rsid w:val="002436C7"/>
    <w:rsid w:val="00244058"/>
    <w:rsid w:val="00244861"/>
    <w:rsid w:val="002453E7"/>
    <w:rsid w:val="00245718"/>
    <w:rsid w:val="00245E07"/>
    <w:rsid w:val="002467F2"/>
    <w:rsid w:val="00246CEC"/>
    <w:rsid w:val="00247712"/>
    <w:rsid w:val="00250A9E"/>
    <w:rsid w:val="00250EC6"/>
    <w:rsid w:val="002515C7"/>
    <w:rsid w:val="00251866"/>
    <w:rsid w:val="00251A9F"/>
    <w:rsid w:val="00251CA0"/>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1E3"/>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3CDF"/>
    <w:rsid w:val="00264266"/>
    <w:rsid w:val="002642E0"/>
    <w:rsid w:val="0026471F"/>
    <w:rsid w:val="0026480D"/>
    <w:rsid w:val="002653A6"/>
    <w:rsid w:val="00265BEF"/>
    <w:rsid w:val="00265C13"/>
    <w:rsid w:val="00265E86"/>
    <w:rsid w:val="00265F47"/>
    <w:rsid w:val="002661F1"/>
    <w:rsid w:val="002662C5"/>
    <w:rsid w:val="00266811"/>
    <w:rsid w:val="00266DB6"/>
    <w:rsid w:val="00267C66"/>
    <w:rsid w:val="00270551"/>
    <w:rsid w:val="00271168"/>
    <w:rsid w:val="002711A4"/>
    <w:rsid w:val="00271230"/>
    <w:rsid w:val="00271F13"/>
    <w:rsid w:val="0027239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B93"/>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5FA5"/>
    <w:rsid w:val="0029624A"/>
    <w:rsid w:val="002963FF"/>
    <w:rsid w:val="00296922"/>
    <w:rsid w:val="00296D5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308"/>
    <w:rsid w:val="002A4736"/>
    <w:rsid w:val="002A4B1C"/>
    <w:rsid w:val="002A55FE"/>
    <w:rsid w:val="002A56B1"/>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24B4"/>
    <w:rsid w:val="002C29EA"/>
    <w:rsid w:val="002C2B3A"/>
    <w:rsid w:val="002C2B87"/>
    <w:rsid w:val="002C30A5"/>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304"/>
    <w:rsid w:val="002C74F4"/>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58D7"/>
    <w:rsid w:val="002D5A1B"/>
    <w:rsid w:val="002D6558"/>
    <w:rsid w:val="002D65BC"/>
    <w:rsid w:val="002D6A88"/>
    <w:rsid w:val="002D6C30"/>
    <w:rsid w:val="002D7532"/>
    <w:rsid w:val="002D7FEE"/>
    <w:rsid w:val="002E055C"/>
    <w:rsid w:val="002E1050"/>
    <w:rsid w:val="002E107E"/>
    <w:rsid w:val="002E18E5"/>
    <w:rsid w:val="002E1953"/>
    <w:rsid w:val="002E1FCF"/>
    <w:rsid w:val="002E2C3F"/>
    <w:rsid w:val="002E2CB5"/>
    <w:rsid w:val="002E2CDE"/>
    <w:rsid w:val="002E2D7D"/>
    <w:rsid w:val="002E32D0"/>
    <w:rsid w:val="002E3580"/>
    <w:rsid w:val="002E3913"/>
    <w:rsid w:val="002E3D76"/>
    <w:rsid w:val="002E40A1"/>
    <w:rsid w:val="002E48EC"/>
    <w:rsid w:val="002E4B44"/>
    <w:rsid w:val="002E4ECB"/>
    <w:rsid w:val="002E4F23"/>
    <w:rsid w:val="002E4F39"/>
    <w:rsid w:val="002E52E9"/>
    <w:rsid w:val="002E578A"/>
    <w:rsid w:val="002E635A"/>
    <w:rsid w:val="002E6D68"/>
    <w:rsid w:val="002E6E2B"/>
    <w:rsid w:val="002E7340"/>
    <w:rsid w:val="002E7847"/>
    <w:rsid w:val="002E79FB"/>
    <w:rsid w:val="002F0073"/>
    <w:rsid w:val="002F1C67"/>
    <w:rsid w:val="002F1CA3"/>
    <w:rsid w:val="002F240B"/>
    <w:rsid w:val="002F2EA9"/>
    <w:rsid w:val="002F2F50"/>
    <w:rsid w:val="002F33EC"/>
    <w:rsid w:val="002F34E3"/>
    <w:rsid w:val="002F3601"/>
    <w:rsid w:val="002F3F5B"/>
    <w:rsid w:val="002F40E2"/>
    <w:rsid w:val="002F45F6"/>
    <w:rsid w:val="002F5A6F"/>
    <w:rsid w:val="002F65C4"/>
    <w:rsid w:val="002F692F"/>
    <w:rsid w:val="002F7031"/>
    <w:rsid w:val="002F7961"/>
    <w:rsid w:val="002F7B4A"/>
    <w:rsid w:val="002F7B66"/>
    <w:rsid w:val="003007B6"/>
    <w:rsid w:val="00300A52"/>
    <w:rsid w:val="00300CB4"/>
    <w:rsid w:val="00300E24"/>
    <w:rsid w:val="0030248C"/>
    <w:rsid w:val="003024A4"/>
    <w:rsid w:val="0030257B"/>
    <w:rsid w:val="003030BF"/>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88E"/>
    <w:rsid w:val="00310D01"/>
    <w:rsid w:val="00310FF0"/>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4C64"/>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B11"/>
    <w:rsid w:val="00322CE5"/>
    <w:rsid w:val="00323881"/>
    <w:rsid w:val="00324885"/>
    <w:rsid w:val="00324EAD"/>
    <w:rsid w:val="003251A8"/>
    <w:rsid w:val="003254B1"/>
    <w:rsid w:val="00325AD9"/>
    <w:rsid w:val="00325D98"/>
    <w:rsid w:val="0032643D"/>
    <w:rsid w:val="0032682A"/>
    <w:rsid w:val="00327A5C"/>
    <w:rsid w:val="0033033C"/>
    <w:rsid w:val="00330846"/>
    <w:rsid w:val="0033092C"/>
    <w:rsid w:val="00330EEF"/>
    <w:rsid w:val="0033122A"/>
    <w:rsid w:val="003315AC"/>
    <w:rsid w:val="00331932"/>
    <w:rsid w:val="00331F74"/>
    <w:rsid w:val="00332382"/>
    <w:rsid w:val="00332453"/>
    <w:rsid w:val="0033251B"/>
    <w:rsid w:val="003331C6"/>
    <w:rsid w:val="00333A88"/>
    <w:rsid w:val="00335977"/>
    <w:rsid w:val="00335B15"/>
    <w:rsid w:val="00335B21"/>
    <w:rsid w:val="00335D3F"/>
    <w:rsid w:val="00336104"/>
    <w:rsid w:val="003364E6"/>
    <w:rsid w:val="00336729"/>
    <w:rsid w:val="00336CD9"/>
    <w:rsid w:val="0033726D"/>
    <w:rsid w:val="003373A1"/>
    <w:rsid w:val="00337CA8"/>
    <w:rsid w:val="00340978"/>
    <w:rsid w:val="00340D3F"/>
    <w:rsid w:val="0034174B"/>
    <w:rsid w:val="0034177C"/>
    <w:rsid w:val="003420E9"/>
    <w:rsid w:val="00342345"/>
    <w:rsid w:val="00342705"/>
    <w:rsid w:val="00342C27"/>
    <w:rsid w:val="003430C8"/>
    <w:rsid w:val="003432C8"/>
    <w:rsid w:val="003434B3"/>
    <w:rsid w:val="00343536"/>
    <w:rsid w:val="00343EFB"/>
    <w:rsid w:val="00344760"/>
    <w:rsid w:val="003454E8"/>
    <w:rsid w:val="00345574"/>
    <w:rsid w:val="003461AC"/>
    <w:rsid w:val="0034680A"/>
    <w:rsid w:val="00346B5D"/>
    <w:rsid w:val="00346C62"/>
    <w:rsid w:val="00347202"/>
    <w:rsid w:val="00347548"/>
    <w:rsid w:val="0034778E"/>
    <w:rsid w:val="00347A5A"/>
    <w:rsid w:val="00347A7E"/>
    <w:rsid w:val="00347E5C"/>
    <w:rsid w:val="003501E2"/>
    <w:rsid w:val="003513A5"/>
    <w:rsid w:val="00351591"/>
    <w:rsid w:val="00351E01"/>
    <w:rsid w:val="00351E10"/>
    <w:rsid w:val="00352583"/>
    <w:rsid w:val="003533F4"/>
    <w:rsid w:val="003536F6"/>
    <w:rsid w:val="003538C2"/>
    <w:rsid w:val="00353C59"/>
    <w:rsid w:val="00353D14"/>
    <w:rsid w:val="00353DA6"/>
    <w:rsid w:val="00353DD5"/>
    <w:rsid w:val="00354233"/>
    <w:rsid w:val="00355131"/>
    <w:rsid w:val="003555F9"/>
    <w:rsid w:val="00355F74"/>
    <w:rsid w:val="003560DB"/>
    <w:rsid w:val="003564DB"/>
    <w:rsid w:val="00356F87"/>
    <w:rsid w:val="00357DB3"/>
    <w:rsid w:val="00357E83"/>
    <w:rsid w:val="00360CF3"/>
    <w:rsid w:val="0036148E"/>
    <w:rsid w:val="003616AB"/>
    <w:rsid w:val="0036194D"/>
    <w:rsid w:val="00361A59"/>
    <w:rsid w:val="0036281C"/>
    <w:rsid w:val="00363348"/>
    <w:rsid w:val="00363857"/>
    <w:rsid w:val="00363D59"/>
    <w:rsid w:val="003640F7"/>
    <w:rsid w:val="003647CC"/>
    <w:rsid w:val="00365026"/>
    <w:rsid w:val="00365575"/>
    <w:rsid w:val="0036594A"/>
    <w:rsid w:val="00365D3A"/>
    <w:rsid w:val="003664FF"/>
    <w:rsid w:val="00366BD2"/>
    <w:rsid w:val="003670B8"/>
    <w:rsid w:val="00370084"/>
    <w:rsid w:val="003704A3"/>
    <w:rsid w:val="003706F2"/>
    <w:rsid w:val="0037091B"/>
    <w:rsid w:val="0037124F"/>
    <w:rsid w:val="00371B86"/>
    <w:rsid w:val="003722F0"/>
    <w:rsid w:val="00372AED"/>
    <w:rsid w:val="00373827"/>
    <w:rsid w:val="00373C7B"/>
    <w:rsid w:val="00373FAD"/>
    <w:rsid w:val="0037401C"/>
    <w:rsid w:val="0037402B"/>
    <w:rsid w:val="0037507B"/>
    <w:rsid w:val="00375575"/>
    <w:rsid w:val="003758DD"/>
    <w:rsid w:val="00375A41"/>
    <w:rsid w:val="00375C7C"/>
    <w:rsid w:val="00377027"/>
    <w:rsid w:val="00377135"/>
    <w:rsid w:val="00380272"/>
    <w:rsid w:val="003805DB"/>
    <w:rsid w:val="00380B0A"/>
    <w:rsid w:val="0038152A"/>
    <w:rsid w:val="00382BAD"/>
    <w:rsid w:val="00383579"/>
    <w:rsid w:val="003835FD"/>
    <w:rsid w:val="00384DF1"/>
    <w:rsid w:val="00384FF3"/>
    <w:rsid w:val="00385FD2"/>
    <w:rsid w:val="00386010"/>
    <w:rsid w:val="00386456"/>
    <w:rsid w:val="003865A9"/>
    <w:rsid w:val="00387440"/>
    <w:rsid w:val="0038775B"/>
    <w:rsid w:val="0039092B"/>
    <w:rsid w:val="00390B0A"/>
    <w:rsid w:val="00390BD9"/>
    <w:rsid w:val="00390F32"/>
    <w:rsid w:val="00391285"/>
    <w:rsid w:val="0039135E"/>
    <w:rsid w:val="003924A4"/>
    <w:rsid w:val="0039285D"/>
    <w:rsid w:val="0039319C"/>
    <w:rsid w:val="00393577"/>
    <w:rsid w:val="00393645"/>
    <w:rsid w:val="00393CAE"/>
    <w:rsid w:val="00393F99"/>
    <w:rsid w:val="003945F4"/>
    <w:rsid w:val="00394EB5"/>
    <w:rsid w:val="003953B4"/>
    <w:rsid w:val="0039615F"/>
    <w:rsid w:val="003966A0"/>
    <w:rsid w:val="00396A29"/>
    <w:rsid w:val="0039719A"/>
    <w:rsid w:val="00397FF0"/>
    <w:rsid w:val="003A0818"/>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10A7"/>
    <w:rsid w:val="003B10C7"/>
    <w:rsid w:val="003B1961"/>
    <w:rsid w:val="003B1E57"/>
    <w:rsid w:val="003B2EF3"/>
    <w:rsid w:val="003B319F"/>
    <w:rsid w:val="003B4C61"/>
    <w:rsid w:val="003B534F"/>
    <w:rsid w:val="003B5391"/>
    <w:rsid w:val="003B558B"/>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505"/>
    <w:rsid w:val="003C73C7"/>
    <w:rsid w:val="003C7CFB"/>
    <w:rsid w:val="003D020F"/>
    <w:rsid w:val="003D050B"/>
    <w:rsid w:val="003D0B98"/>
    <w:rsid w:val="003D0C3C"/>
    <w:rsid w:val="003D0DE5"/>
    <w:rsid w:val="003D1351"/>
    <w:rsid w:val="003D1795"/>
    <w:rsid w:val="003D21C1"/>
    <w:rsid w:val="003D23FE"/>
    <w:rsid w:val="003D2CFC"/>
    <w:rsid w:val="003D321B"/>
    <w:rsid w:val="003D3B15"/>
    <w:rsid w:val="003D3B2E"/>
    <w:rsid w:val="003D4101"/>
    <w:rsid w:val="003D484D"/>
    <w:rsid w:val="003D49CB"/>
    <w:rsid w:val="003D5662"/>
    <w:rsid w:val="003D6B8F"/>
    <w:rsid w:val="003D7566"/>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C10"/>
    <w:rsid w:val="003F060E"/>
    <w:rsid w:val="003F0F7F"/>
    <w:rsid w:val="003F115C"/>
    <w:rsid w:val="003F153A"/>
    <w:rsid w:val="003F1704"/>
    <w:rsid w:val="003F217F"/>
    <w:rsid w:val="003F252F"/>
    <w:rsid w:val="003F2DD7"/>
    <w:rsid w:val="003F2F64"/>
    <w:rsid w:val="003F300D"/>
    <w:rsid w:val="003F391F"/>
    <w:rsid w:val="003F3D8A"/>
    <w:rsid w:val="003F4168"/>
    <w:rsid w:val="003F4599"/>
    <w:rsid w:val="003F45E1"/>
    <w:rsid w:val="003F4F6C"/>
    <w:rsid w:val="003F559E"/>
    <w:rsid w:val="003F6181"/>
    <w:rsid w:val="003F6BFC"/>
    <w:rsid w:val="003F6EAE"/>
    <w:rsid w:val="003F7343"/>
    <w:rsid w:val="003F7400"/>
    <w:rsid w:val="00400002"/>
    <w:rsid w:val="00400054"/>
    <w:rsid w:val="00400149"/>
    <w:rsid w:val="00400598"/>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51"/>
    <w:rsid w:val="00405E87"/>
    <w:rsid w:val="00406000"/>
    <w:rsid w:val="0040602B"/>
    <w:rsid w:val="0040606C"/>
    <w:rsid w:val="004060DC"/>
    <w:rsid w:val="00406DF5"/>
    <w:rsid w:val="00406F35"/>
    <w:rsid w:val="004077D0"/>
    <w:rsid w:val="00407A7A"/>
    <w:rsid w:val="00407ABC"/>
    <w:rsid w:val="00407F1E"/>
    <w:rsid w:val="00410A88"/>
    <w:rsid w:val="00410CC8"/>
    <w:rsid w:val="00410E78"/>
    <w:rsid w:val="00411317"/>
    <w:rsid w:val="00411692"/>
    <w:rsid w:val="00411A9E"/>
    <w:rsid w:val="0041259F"/>
    <w:rsid w:val="00412B1B"/>
    <w:rsid w:val="00412B4D"/>
    <w:rsid w:val="00412C51"/>
    <w:rsid w:val="00412E19"/>
    <w:rsid w:val="004130C0"/>
    <w:rsid w:val="00413262"/>
    <w:rsid w:val="0041329C"/>
    <w:rsid w:val="004139F4"/>
    <w:rsid w:val="00413EB9"/>
    <w:rsid w:val="00413FFA"/>
    <w:rsid w:val="00414246"/>
    <w:rsid w:val="00414452"/>
    <w:rsid w:val="004146FF"/>
    <w:rsid w:val="00414D9A"/>
    <w:rsid w:val="00415194"/>
    <w:rsid w:val="00415816"/>
    <w:rsid w:val="00415B88"/>
    <w:rsid w:val="00415BDB"/>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748"/>
    <w:rsid w:val="00431F83"/>
    <w:rsid w:val="0043260C"/>
    <w:rsid w:val="0043269A"/>
    <w:rsid w:val="00432C9E"/>
    <w:rsid w:val="00432D09"/>
    <w:rsid w:val="004333C2"/>
    <w:rsid w:val="0043399B"/>
    <w:rsid w:val="00433FDB"/>
    <w:rsid w:val="00434787"/>
    <w:rsid w:val="00434C13"/>
    <w:rsid w:val="00434D8B"/>
    <w:rsid w:val="00435703"/>
    <w:rsid w:val="00435BD5"/>
    <w:rsid w:val="00435F72"/>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74D"/>
    <w:rsid w:val="00443B55"/>
    <w:rsid w:val="00443D27"/>
    <w:rsid w:val="00444A40"/>
    <w:rsid w:val="00444BE3"/>
    <w:rsid w:val="0044500B"/>
    <w:rsid w:val="00445617"/>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0B0"/>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677B3"/>
    <w:rsid w:val="00470A6A"/>
    <w:rsid w:val="00470D73"/>
    <w:rsid w:val="00470D92"/>
    <w:rsid w:val="00471DF7"/>
    <w:rsid w:val="004728ED"/>
    <w:rsid w:val="004734CF"/>
    <w:rsid w:val="004738D6"/>
    <w:rsid w:val="004751F6"/>
    <w:rsid w:val="0047586C"/>
    <w:rsid w:val="00475C5A"/>
    <w:rsid w:val="00475C9C"/>
    <w:rsid w:val="0047676B"/>
    <w:rsid w:val="00476932"/>
    <w:rsid w:val="0047773C"/>
    <w:rsid w:val="00477C5F"/>
    <w:rsid w:val="00477C85"/>
    <w:rsid w:val="00480050"/>
    <w:rsid w:val="0048011C"/>
    <w:rsid w:val="004808DE"/>
    <w:rsid w:val="00481AC4"/>
    <w:rsid w:val="00481DC1"/>
    <w:rsid w:val="00482507"/>
    <w:rsid w:val="0048268A"/>
    <w:rsid w:val="004835CA"/>
    <w:rsid w:val="004836F8"/>
    <w:rsid w:val="004836FE"/>
    <w:rsid w:val="0048373F"/>
    <w:rsid w:val="004847D8"/>
    <w:rsid w:val="00484A39"/>
    <w:rsid w:val="00484F0F"/>
    <w:rsid w:val="00484F40"/>
    <w:rsid w:val="0048540C"/>
    <w:rsid w:val="00485BE6"/>
    <w:rsid w:val="00485EE3"/>
    <w:rsid w:val="004861B4"/>
    <w:rsid w:val="0048622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0C94"/>
    <w:rsid w:val="004A156E"/>
    <w:rsid w:val="004A16C1"/>
    <w:rsid w:val="004A1BA5"/>
    <w:rsid w:val="004A1CE2"/>
    <w:rsid w:val="004A1E16"/>
    <w:rsid w:val="004A31A1"/>
    <w:rsid w:val="004A34D2"/>
    <w:rsid w:val="004A4301"/>
    <w:rsid w:val="004A4AAE"/>
    <w:rsid w:val="004A4D93"/>
    <w:rsid w:val="004A58EE"/>
    <w:rsid w:val="004A59B7"/>
    <w:rsid w:val="004A6051"/>
    <w:rsid w:val="004A6205"/>
    <w:rsid w:val="004A623B"/>
    <w:rsid w:val="004A6A04"/>
    <w:rsid w:val="004A6A52"/>
    <w:rsid w:val="004A70C4"/>
    <w:rsid w:val="004B0A44"/>
    <w:rsid w:val="004B0F0B"/>
    <w:rsid w:val="004B2197"/>
    <w:rsid w:val="004B298A"/>
    <w:rsid w:val="004B2BB8"/>
    <w:rsid w:val="004B3996"/>
    <w:rsid w:val="004B3C2F"/>
    <w:rsid w:val="004B3E3B"/>
    <w:rsid w:val="004B4402"/>
    <w:rsid w:val="004B4C8E"/>
    <w:rsid w:val="004B4E37"/>
    <w:rsid w:val="004B4F16"/>
    <w:rsid w:val="004B50CB"/>
    <w:rsid w:val="004B551E"/>
    <w:rsid w:val="004B578D"/>
    <w:rsid w:val="004B5BE7"/>
    <w:rsid w:val="004B5E2D"/>
    <w:rsid w:val="004B65BE"/>
    <w:rsid w:val="004B666E"/>
    <w:rsid w:val="004B6C07"/>
    <w:rsid w:val="004B74D3"/>
    <w:rsid w:val="004B755E"/>
    <w:rsid w:val="004B788E"/>
    <w:rsid w:val="004B7E5D"/>
    <w:rsid w:val="004C0E8C"/>
    <w:rsid w:val="004C1337"/>
    <w:rsid w:val="004C22F7"/>
    <w:rsid w:val="004C2B27"/>
    <w:rsid w:val="004C3929"/>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032"/>
    <w:rsid w:val="004F6121"/>
    <w:rsid w:val="004F6161"/>
    <w:rsid w:val="004F66BC"/>
    <w:rsid w:val="004F6C26"/>
    <w:rsid w:val="004F721F"/>
    <w:rsid w:val="004F7AC9"/>
    <w:rsid w:val="0050062F"/>
    <w:rsid w:val="00500E74"/>
    <w:rsid w:val="0050160F"/>
    <w:rsid w:val="0050284E"/>
    <w:rsid w:val="0050306F"/>
    <w:rsid w:val="00503EA9"/>
    <w:rsid w:val="00503FC1"/>
    <w:rsid w:val="005052B0"/>
    <w:rsid w:val="00505DCB"/>
    <w:rsid w:val="00506800"/>
    <w:rsid w:val="00506FB3"/>
    <w:rsid w:val="005075CA"/>
    <w:rsid w:val="00507B06"/>
    <w:rsid w:val="00507B52"/>
    <w:rsid w:val="00507BF1"/>
    <w:rsid w:val="0051030B"/>
    <w:rsid w:val="0051074C"/>
    <w:rsid w:val="00510DE9"/>
    <w:rsid w:val="005111E2"/>
    <w:rsid w:val="00511231"/>
    <w:rsid w:val="005113E3"/>
    <w:rsid w:val="005115A2"/>
    <w:rsid w:val="00511A31"/>
    <w:rsid w:val="00511CB8"/>
    <w:rsid w:val="00512653"/>
    <w:rsid w:val="00512B88"/>
    <w:rsid w:val="00512C4F"/>
    <w:rsid w:val="00513042"/>
    <w:rsid w:val="0051334F"/>
    <w:rsid w:val="00513399"/>
    <w:rsid w:val="00513A41"/>
    <w:rsid w:val="00513AF2"/>
    <w:rsid w:val="00513EE4"/>
    <w:rsid w:val="00514575"/>
    <w:rsid w:val="00514C03"/>
    <w:rsid w:val="00514D67"/>
    <w:rsid w:val="00514DDF"/>
    <w:rsid w:val="00514E59"/>
    <w:rsid w:val="0051522A"/>
    <w:rsid w:val="00515515"/>
    <w:rsid w:val="0051635C"/>
    <w:rsid w:val="00516C5B"/>
    <w:rsid w:val="00517612"/>
    <w:rsid w:val="00517CFB"/>
    <w:rsid w:val="00517F85"/>
    <w:rsid w:val="00520235"/>
    <w:rsid w:val="00520265"/>
    <w:rsid w:val="005202BF"/>
    <w:rsid w:val="00520899"/>
    <w:rsid w:val="00520922"/>
    <w:rsid w:val="005209FC"/>
    <w:rsid w:val="00520A2C"/>
    <w:rsid w:val="00520C09"/>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AFD"/>
    <w:rsid w:val="00527BFD"/>
    <w:rsid w:val="00527DEB"/>
    <w:rsid w:val="00527E57"/>
    <w:rsid w:val="00527F2C"/>
    <w:rsid w:val="00530405"/>
    <w:rsid w:val="00530522"/>
    <w:rsid w:val="005305E5"/>
    <w:rsid w:val="0053086F"/>
    <w:rsid w:val="00530CBA"/>
    <w:rsid w:val="00530F38"/>
    <w:rsid w:val="00531F26"/>
    <w:rsid w:val="005322CB"/>
    <w:rsid w:val="0053277C"/>
    <w:rsid w:val="005327C0"/>
    <w:rsid w:val="0053289E"/>
    <w:rsid w:val="00533101"/>
    <w:rsid w:val="00533CA9"/>
    <w:rsid w:val="005346AD"/>
    <w:rsid w:val="00534CC0"/>
    <w:rsid w:val="00534EFB"/>
    <w:rsid w:val="00534F60"/>
    <w:rsid w:val="005357F1"/>
    <w:rsid w:val="00535D15"/>
    <w:rsid w:val="00536053"/>
    <w:rsid w:val="0053606E"/>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1F77"/>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4E2"/>
    <w:rsid w:val="005525C9"/>
    <w:rsid w:val="00552B3E"/>
    <w:rsid w:val="00552F86"/>
    <w:rsid w:val="0055426D"/>
    <w:rsid w:val="00554D57"/>
    <w:rsid w:val="005551AA"/>
    <w:rsid w:val="005564CA"/>
    <w:rsid w:val="005568BD"/>
    <w:rsid w:val="005568EA"/>
    <w:rsid w:val="00556941"/>
    <w:rsid w:val="00557140"/>
    <w:rsid w:val="00557141"/>
    <w:rsid w:val="0055715A"/>
    <w:rsid w:val="0055729E"/>
    <w:rsid w:val="00557984"/>
    <w:rsid w:val="00557A3F"/>
    <w:rsid w:val="00557A9D"/>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068"/>
    <w:rsid w:val="00570A26"/>
    <w:rsid w:val="00570CFD"/>
    <w:rsid w:val="00570E4E"/>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7180"/>
    <w:rsid w:val="005774FE"/>
    <w:rsid w:val="0058040C"/>
    <w:rsid w:val="00580D6D"/>
    <w:rsid w:val="00580E34"/>
    <w:rsid w:val="00580FD8"/>
    <w:rsid w:val="005813DE"/>
    <w:rsid w:val="00581612"/>
    <w:rsid w:val="00581796"/>
    <w:rsid w:val="00581B45"/>
    <w:rsid w:val="00581E53"/>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7AA"/>
    <w:rsid w:val="00593A00"/>
    <w:rsid w:val="00593EA2"/>
    <w:rsid w:val="00593F75"/>
    <w:rsid w:val="005940A0"/>
    <w:rsid w:val="0059429A"/>
    <w:rsid w:val="0059455B"/>
    <w:rsid w:val="00594CBE"/>
    <w:rsid w:val="0059508E"/>
    <w:rsid w:val="00595B12"/>
    <w:rsid w:val="00596AF7"/>
    <w:rsid w:val="00596B97"/>
    <w:rsid w:val="00596CCE"/>
    <w:rsid w:val="00596E37"/>
    <w:rsid w:val="005A0035"/>
    <w:rsid w:val="005A094C"/>
    <w:rsid w:val="005A197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F39"/>
    <w:rsid w:val="005A6035"/>
    <w:rsid w:val="005A6295"/>
    <w:rsid w:val="005A6B75"/>
    <w:rsid w:val="005A6E00"/>
    <w:rsid w:val="005A718A"/>
    <w:rsid w:val="005A7418"/>
    <w:rsid w:val="005A7885"/>
    <w:rsid w:val="005B12B2"/>
    <w:rsid w:val="005B13F3"/>
    <w:rsid w:val="005B143B"/>
    <w:rsid w:val="005B19BD"/>
    <w:rsid w:val="005B1E45"/>
    <w:rsid w:val="005B21C4"/>
    <w:rsid w:val="005B2A28"/>
    <w:rsid w:val="005B3087"/>
    <w:rsid w:val="005B35AB"/>
    <w:rsid w:val="005B3621"/>
    <w:rsid w:val="005B3EBE"/>
    <w:rsid w:val="005B4948"/>
    <w:rsid w:val="005B4FF1"/>
    <w:rsid w:val="005B501D"/>
    <w:rsid w:val="005B54CC"/>
    <w:rsid w:val="005B6D72"/>
    <w:rsid w:val="005B71BB"/>
    <w:rsid w:val="005B74AD"/>
    <w:rsid w:val="005B7E96"/>
    <w:rsid w:val="005C0429"/>
    <w:rsid w:val="005C075F"/>
    <w:rsid w:val="005C084F"/>
    <w:rsid w:val="005C0BC1"/>
    <w:rsid w:val="005C0EE9"/>
    <w:rsid w:val="005C1265"/>
    <w:rsid w:val="005C16A8"/>
    <w:rsid w:val="005C1716"/>
    <w:rsid w:val="005C1954"/>
    <w:rsid w:val="005C1C0B"/>
    <w:rsid w:val="005C2011"/>
    <w:rsid w:val="005C28B7"/>
    <w:rsid w:val="005C345A"/>
    <w:rsid w:val="005C3EA3"/>
    <w:rsid w:val="005C44DE"/>
    <w:rsid w:val="005C4A5C"/>
    <w:rsid w:val="005C5011"/>
    <w:rsid w:val="005C5241"/>
    <w:rsid w:val="005C529E"/>
    <w:rsid w:val="005C5516"/>
    <w:rsid w:val="005C57BA"/>
    <w:rsid w:val="005C5C52"/>
    <w:rsid w:val="005C5D3D"/>
    <w:rsid w:val="005C5F05"/>
    <w:rsid w:val="005C5FFF"/>
    <w:rsid w:val="005C6186"/>
    <w:rsid w:val="005C7E45"/>
    <w:rsid w:val="005C7F3E"/>
    <w:rsid w:val="005D0044"/>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A9D"/>
    <w:rsid w:val="005D5D15"/>
    <w:rsid w:val="005D6417"/>
    <w:rsid w:val="005D6651"/>
    <w:rsid w:val="005D691D"/>
    <w:rsid w:val="005D6A72"/>
    <w:rsid w:val="005D6F38"/>
    <w:rsid w:val="005D77F2"/>
    <w:rsid w:val="005D791B"/>
    <w:rsid w:val="005D7CF2"/>
    <w:rsid w:val="005D7F92"/>
    <w:rsid w:val="005E0367"/>
    <w:rsid w:val="005E062C"/>
    <w:rsid w:val="005E0D7B"/>
    <w:rsid w:val="005E1595"/>
    <w:rsid w:val="005E1895"/>
    <w:rsid w:val="005E1F1D"/>
    <w:rsid w:val="005E20FE"/>
    <w:rsid w:val="005E2423"/>
    <w:rsid w:val="005E273D"/>
    <w:rsid w:val="005E29AC"/>
    <w:rsid w:val="005E3278"/>
    <w:rsid w:val="005E363B"/>
    <w:rsid w:val="005E3736"/>
    <w:rsid w:val="005E3980"/>
    <w:rsid w:val="005E3B29"/>
    <w:rsid w:val="005E4B72"/>
    <w:rsid w:val="005E52C9"/>
    <w:rsid w:val="005E6398"/>
    <w:rsid w:val="005E681E"/>
    <w:rsid w:val="005E6C66"/>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5F7B12"/>
    <w:rsid w:val="00600473"/>
    <w:rsid w:val="00601162"/>
    <w:rsid w:val="0060139A"/>
    <w:rsid w:val="006013C9"/>
    <w:rsid w:val="00602931"/>
    <w:rsid w:val="00602B45"/>
    <w:rsid w:val="00602CBF"/>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D7E"/>
    <w:rsid w:val="00607E9F"/>
    <w:rsid w:val="0061085E"/>
    <w:rsid w:val="00611398"/>
    <w:rsid w:val="006113B4"/>
    <w:rsid w:val="0061186D"/>
    <w:rsid w:val="00612083"/>
    <w:rsid w:val="00612322"/>
    <w:rsid w:val="006123C0"/>
    <w:rsid w:val="00613191"/>
    <w:rsid w:val="006133F9"/>
    <w:rsid w:val="00613457"/>
    <w:rsid w:val="006134B3"/>
    <w:rsid w:val="00613DE1"/>
    <w:rsid w:val="0061401F"/>
    <w:rsid w:val="00614166"/>
    <w:rsid w:val="00614176"/>
    <w:rsid w:val="00614817"/>
    <w:rsid w:val="006149CC"/>
    <w:rsid w:val="006157A9"/>
    <w:rsid w:val="0061591D"/>
    <w:rsid w:val="00615ED0"/>
    <w:rsid w:val="0061604C"/>
    <w:rsid w:val="006162DC"/>
    <w:rsid w:val="00616C2B"/>
    <w:rsid w:val="00616D7F"/>
    <w:rsid w:val="006178D1"/>
    <w:rsid w:val="00620719"/>
    <w:rsid w:val="006212C9"/>
    <w:rsid w:val="00621A94"/>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170"/>
    <w:rsid w:val="00633B54"/>
    <w:rsid w:val="00633DBF"/>
    <w:rsid w:val="00634122"/>
    <w:rsid w:val="0063444B"/>
    <w:rsid w:val="006346A2"/>
    <w:rsid w:val="00634F6E"/>
    <w:rsid w:val="00635B99"/>
    <w:rsid w:val="00635E32"/>
    <w:rsid w:val="006360FC"/>
    <w:rsid w:val="006361C9"/>
    <w:rsid w:val="006365DE"/>
    <w:rsid w:val="00636BE4"/>
    <w:rsid w:val="00636F88"/>
    <w:rsid w:val="0063732C"/>
    <w:rsid w:val="00637802"/>
    <w:rsid w:val="00637836"/>
    <w:rsid w:val="0063794E"/>
    <w:rsid w:val="00637C26"/>
    <w:rsid w:val="00637F44"/>
    <w:rsid w:val="00640A06"/>
    <w:rsid w:val="00640E88"/>
    <w:rsid w:val="00641078"/>
    <w:rsid w:val="00641242"/>
    <w:rsid w:val="00641778"/>
    <w:rsid w:val="00642126"/>
    <w:rsid w:val="006421B6"/>
    <w:rsid w:val="0064274B"/>
    <w:rsid w:val="00642844"/>
    <w:rsid w:val="00642A32"/>
    <w:rsid w:val="00642F7C"/>
    <w:rsid w:val="006433D5"/>
    <w:rsid w:val="00643412"/>
    <w:rsid w:val="00645B84"/>
    <w:rsid w:val="00645CEB"/>
    <w:rsid w:val="00645E63"/>
    <w:rsid w:val="00646484"/>
    <w:rsid w:val="00646B20"/>
    <w:rsid w:val="00646D0F"/>
    <w:rsid w:val="00647821"/>
    <w:rsid w:val="00647A36"/>
    <w:rsid w:val="00647DCC"/>
    <w:rsid w:val="00647EFA"/>
    <w:rsid w:val="00647F14"/>
    <w:rsid w:val="00650027"/>
    <w:rsid w:val="00650704"/>
    <w:rsid w:val="00650E89"/>
    <w:rsid w:val="00651B9C"/>
    <w:rsid w:val="00651C47"/>
    <w:rsid w:val="00652E70"/>
    <w:rsid w:val="0065339A"/>
    <w:rsid w:val="00653469"/>
    <w:rsid w:val="00653D1B"/>
    <w:rsid w:val="006540D6"/>
    <w:rsid w:val="0065443A"/>
    <w:rsid w:val="00654A38"/>
    <w:rsid w:val="00655301"/>
    <w:rsid w:val="00655371"/>
    <w:rsid w:val="00655507"/>
    <w:rsid w:val="006564A5"/>
    <w:rsid w:val="00656C4B"/>
    <w:rsid w:val="006572A7"/>
    <w:rsid w:val="006573EA"/>
    <w:rsid w:val="006577C9"/>
    <w:rsid w:val="00660510"/>
    <w:rsid w:val="006606A4"/>
    <w:rsid w:val="00660F90"/>
    <w:rsid w:val="00661029"/>
    <w:rsid w:val="006610C3"/>
    <w:rsid w:val="00661118"/>
    <w:rsid w:val="0066135A"/>
    <w:rsid w:val="00661A38"/>
    <w:rsid w:val="0066243A"/>
    <w:rsid w:val="0066272D"/>
    <w:rsid w:val="00662E58"/>
    <w:rsid w:val="00662F39"/>
    <w:rsid w:val="006634B2"/>
    <w:rsid w:val="006635A0"/>
    <w:rsid w:val="00663855"/>
    <w:rsid w:val="00663D26"/>
    <w:rsid w:val="00664351"/>
    <w:rsid w:val="0066453F"/>
    <w:rsid w:val="006648DB"/>
    <w:rsid w:val="0066499D"/>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4CB"/>
    <w:rsid w:val="00672E80"/>
    <w:rsid w:val="0067333F"/>
    <w:rsid w:val="006739E4"/>
    <w:rsid w:val="00673ECF"/>
    <w:rsid w:val="0067426B"/>
    <w:rsid w:val="00674A1B"/>
    <w:rsid w:val="00674D08"/>
    <w:rsid w:val="00674F1C"/>
    <w:rsid w:val="006754F8"/>
    <w:rsid w:val="00675637"/>
    <w:rsid w:val="00675B0D"/>
    <w:rsid w:val="00676127"/>
    <w:rsid w:val="00676AED"/>
    <w:rsid w:val="0067702E"/>
    <w:rsid w:val="00677212"/>
    <w:rsid w:val="006778E7"/>
    <w:rsid w:val="00677CBE"/>
    <w:rsid w:val="00677F26"/>
    <w:rsid w:val="006800EE"/>
    <w:rsid w:val="006802A7"/>
    <w:rsid w:val="0068059E"/>
    <w:rsid w:val="006807E3"/>
    <w:rsid w:val="00680A86"/>
    <w:rsid w:val="00680E88"/>
    <w:rsid w:val="006811C9"/>
    <w:rsid w:val="006812CE"/>
    <w:rsid w:val="00681FC3"/>
    <w:rsid w:val="00682288"/>
    <w:rsid w:val="006826C1"/>
    <w:rsid w:val="00682C89"/>
    <w:rsid w:val="006832B8"/>
    <w:rsid w:val="006837B2"/>
    <w:rsid w:val="00683800"/>
    <w:rsid w:val="00683CA9"/>
    <w:rsid w:val="0068428D"/>
    <w:rsid w:val="00684462"/>
    <w:rsid w:val="00684561"/>
    <w:rsid w:val="00684C0D"/>
    <w:rsid w:val="00684C8A"/>
    <w:rsid w:val="00684CF5"/>
    <w:rsid w:val="0068541F"/>
    <w:rsid w:val="0068553E"/>
    <w:rsid w:val="00685A9D"/>
    <w:rsid w:val="00685D37"/>
    <w:rsid w:val="00685E7B"/>
    <w:rsid w:val="00686551"/>
    <w:rsid w:val="006865C6"/>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8B0"/>
    <w:rsid w:val="00692FFA"/>
    <w:rsid w:val="00693772"/>
    <w:rsid w:val="00693984"/>
    <w:rsid w:val="00693B77"/>
    <w:rsid w:val="00693C48"/>
    <w:rsid w:val="00694160"/>
    <w:rsid w:val="00694667"/>
    <w:rsid w:val="00694800"/>
    <w:rsid w:val="00694E8B"/>
    <w:rsid w:val="00695549"/>
    <w:rsid w:val="006959A5"/>
    <w:rsid w:val="00695C0C"/>
    <w:rsid w:val="00696736"/>
    <w:rsid w:val="00696A05"/>
    <w:rsid w:val="006971C0"/>
    <w:rsid w:val="00697665"/>
    <w:rsid w:val="00697A76"/>
    <w:rsid w:val="00697C9A"/>
    <w:rsid w:val="00697E68"/>
    <w:rsid w:val="00697FC1"/>
    <w:rsid w:val="006A0137"/>
    <w:rsid w:val="006A0274"/>
    <w:rsid w:val="006A1F43"/>
    <w:rsid w:val="006A27BC"/>
    <w:rsid w:val="006A2A43"/>
    <w:rsid w:val="006A2BF1"/>
    <w:rsid w:val="006A2C0D"/>
    <w:rsid w:val="006A2F73"/>
    <w:rsid w:val="006A2F9A"/>
    <w:rsid w:val="006A34E4"/>
    <w:rsid w:val="006A3A5A"/>
    <w:rsid w:val="006A44CF"/>
    <w:rsid w:val="006A457D"/>
    <w:rsid w:val="006A4C06"/>
    <w:rsid w:val="006A55EE"/>
    <w:rsid w:val="006A574E"/>
    <w:rsid w:val="006A575B"/>
    <w:rsid w:val="006A59DE"/>
    <w:rsid w:val="006A64C6"/>
    <w:rsid w:val="006A6655"/>
    <w:rsid w:val="006A6BF9"/>
    <w:rsid w:val="006A7AB8"/>
    <w:rsid w:val="006A7B43"/>
    <w:rsid w:val="006A7BF8"/>
    <w:rsid w:val="006A7CB5"/>
    <w:rsid w:val="006A7FD0"/>
    <w:rsid w:val="006B025C"/>
    <w:rsid w:val="006B08ED"/>
    <w:rsid w:val="006B0B66"/>
    <w:rsid w:val="006B0FE4"/>
    <w:rsid w:val="006B2170"/>
    <w:rsid w:val="006B2534"/>
    <w:rsid w:val="006B2748"/>
    <w:rsid w:val="006B2CB2"/>
    <w:rsid w:val="006B347D"/>
    <w:rsid w:val="006B3505"/>
    <w:rsid w:val="006B3E19"/>
    <w:rsid w:val="006B4488"/>
    <w:rsid w:val="006B4D5D"/>
    <w:rsid w:val="006B4F56"/>
    <w:rsid w:val="006B50C4"/>
    <w:rsid w:val="006B53AE"/>
    <w:rsid w:val="006B58B4"/>
    <w:rsid w:val="006B67AC"/>
    <w:rsid w:val="006B6D57"/>
    <w:rsid w:val="006B786A"/>
    <w:rsid w:val="006B7E4E"/>
    <w:rsid w:val="006C003A"/>
    <w:rsid w:val="006C0689"/>
    <w:rsid w:val="006C0D2C"/>
    <w:rsid w:val="006C1008"/>
    <w:rsid w:val="006C107C"/>
    <w:rsid w:val="006C189C"/>
    <w:rsid w:val="006C1DAB"/>
    <w:rsid w:val="006C2454"/>
    <w:rsid w:val="006C2551"/>
    <w:rsid w:val="006C2F8D"/>
    <w:rsid w:val="006C37CA"/>
    <w:rsid w:val="006C40D2"/>
    <w:rsid w:val="006C4984"/>
    <w:rsid w:val="006C4B85"/>
    <w:rsid w:val="006C4BBD"/>
    <w:rsid w:val="006C551E"/>
    <w:rsid w:val="006C58C1"/>
    <w:rsid w:val="006C5B15"/>
    <w:rsid w:val="006C5D32"/>
    <w:rsid w:val="006C5DCB"/>
    <w:rsid w:val="006C6475"/>
    <w:rsid w:val="006C70C4"/>
    <w:rsid w:val="006C741F"/>
    <w:rsid w:val="006C770D"/>
    <w:rsid w:val="006D04DA"/>
    <w:rsid w:val="006D10F6"/>
    <w:rsid w:val="006D1544"/>
    <w:rsid w:val="006D1688"/>
    <w:rsid w:val="006D1BE1"/>
    <w:rsid w:val="006D1DD3"/>
    <w:rsid w:val="006D1FF3"/>
    <w:rsid w:val="006D22F8"/>
    <w:rsid w:val="006D2693"/>
    <w:rsid w:val="006D2C65"/>
    <w:rsid w:val="006D32C6"/>
    <w:rsid w:val="006D32CF"/>
    <w:rsid w:val="006D360E"/>
    <w:rsid w:val="006D3697"/>
    <w:rsid w:val="006D39D2"/>
    <w:rsid w:val="006D3A94"/>
    <w:rsid w:val="006D3F2A"/>
    <w:rsid w:val="006D4370"/>
    <w:rsid w:val="006D46A3"/>
    <w:rsid w:val="006D4FF2"/>
    <w:rsid w:val="006D55E6"/>
    <w:rsid w:val="006D5DCB"/>
    <w:rsid w:val="006D62E0"/>
    <w:rsid w:val="006D658F"/>
    <w:rsid w:val="006D66B2"/>
    <w:rsid w:val="006D6784"/>
    <w:rsid w:val="006D6A12"/>
    <w:rsid w:val="006D712D"/>
    <w:rsid w:val="006D7687"/>
    <w:rsid w:val="006D78AB"/>
    <w:rsid w:val="006D7D1F"/>
    <w:rsid w:val="006D7D8A"/>
    <w:rsid w:val="006E046C"/>
    <w:rsid w:val="006E0572"/>
    <w:rsid w:val="006E05D8"/>
    <w:rsid w:val="006E08EE"/>
    <w:rsid w:val="006E0F32"/>
    <w:rsid w:val="006E155A"/>
    <w:rsid w:val="006E1689"/>
    <w:rsid w:val="006E16DF"/>
    <w:rsid w:val="006E1EE3"/>
    <w:rsid w:val="006E24BB"/>
    <w:rsid w:val="006E2B77"/>
    <w:rsid w:val="006E2C34"/>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978"/>
    <w:rsid w:val="00705F62"/>
    <w:rsid w:val="007061EB"/>
    <w:rsid w:val="00706BC6"/>
    <w:rsid w:val="00706E1C"/>
    <w:rsid w:val="00706F56"/>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5764"/>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25A7"/>
    <w:rsid w:val="00723475"/>
    <w:rsid w:val="007236C4"/>
    <w:rsid w:val="00723905"/>
    <w:rsid w:val="0072393F"/>
    <w:rsid w:val="00724635"/>
    <w:rsid w:val="00724F21"/>
    <w:rsid w:val="00724FBB"/>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1F9A"/>
    <w:rsid w:val="00732151"/>
    <w:rsid w:val="00732D40"/>
    <w:rsid w:val="00732EBC"/>
    <w:rsid w:val="00732EF8"/>
    <w:rsid w:val="007331E6"/>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588"/>
    <w:rsid w:val="007437C6"/>
    <w:rsid w:val="00743CFF"/>
    <w:rsid w:val="007441A2"/>
    <w:rsid w:val="00744852"/>
    <w:rsid w:val="00744C00"/>
    <w:rsid w:val="00744E80"/>
    <w:rsid w:val="00745035"/>
    <w:rsid w:val="0074531C"/>
    <w:rsid w:val="007454C1"/>
    <w:rsid w:val="00745547"/>
    <w:rsid w:val="007459D0"/>
    <w:rsid w:val="0074623A"/>
    <w:rsid w:val="00746420"/>
    <w:rsid w:val="00746A60"/>
    <w:rsid w:val="00746E04"/>
    <w:rsid w:val="00746E08"/>
    <w:rsid w:val="00746E3D"/>
    <w:rsid w:val="00747120"/>
    <w:rsid w:val="007473B9"/>
    <w:rsid w:val="00747570"/>
    <w:rsid w:val="00747C96"/>
    <w:rsid w:val="00747EC7"/>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647A"/>
    <w:rsid w:val="00756A2F"/>
    <w:rsid w:val="00757148"/>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3640"/>
    <w:rsid w:val="0076445F"/>
    <w:rsid w:val="00764EC5"/>
    <w:rsid w:val="007651EF"/>
    <w:rsid w:val="00766BCB"/>
    <w:rsid w:val="00766D49"/>
    <w:rsid w:val="00766ECC"/>
    <w:rsid w:val="007672F3"/>
    <w:rsid w:val="0076746C"/>
    <w:rsid w:val="007677B5"/>
    <w:rsid w:val="007678B1"/>
    <w:rsid w:val="00770566"/>
    <w:rsid w:val="007708A8"/>
    <w:rsid w:val="00770F8B"/>
    <w:rsid w:val="00771358"/>
    <w:rsid w:val="00772100"/>
    <w:rsid w:val="00772275"/>
    <w:rsid w:val="00772D59"/>
    <w:rsid w:val="007734E4"/>
    <w:rsid w:val="0077361C"/>
    <w:rsid w:val="0077380D"/>
    <w:rsid w:val="00773BC8"/>
    <w:rsid w:val="00774549"/>
    <w:rsid w:val="0077466F"/>
    <w:rsid w:val="00774C72"/>
    <w:rsid w:val="007752B7"/>
    <w:rsid w:val="007759A8"/>
    <w:rsid w:val="00775C27"/>
    <w:rsid w:val="00775D98"/>
    <w:rsid w:val="00776B93"/>
    <w:rsid w:val="00776FE5"/>
    <w:rsid w:val="00777101"/>
    <w:rsid w:val="00777432"/>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B97"/>
    <w:rsid w:val="00787CCC"/>
    <w:rsid w:val="00787D90"/>
    <w:rsid w:val="00787F5E"/>
    <w:rsid w:val="00790164"/>
    <w:rsid w:val="0079038D"/>
    <w:rsid w:val="007905C6"/>
    <w:rsid w:val="00790A24"/>
    <w:rsid w:val="00790A37"/>
    <w:rsid w:val="00790A60"/>
    <w:rsid w:val="0079146D"/>
    <w:rsid w:val="00791C32"/>
    <w:rsid w:val="00791FF0"/>
    <w:rsid w:val="00792369"/>
    <w:rsid w:val="007923D0"/>
    <w:rsid w:val="00792B51"/>
    <w:rsid w:val="007930D3"/>
    <w:rsid w:val="00793264"/>
    <w:rsid w:val="0079381F"/>
    <w:rsid w:val="00793A57"/>
    <w:rsid w:val="00793B2E"/>
    <w:rsid w:val="007948F5"/>
    <w:rsid w:val="00794AFB"/>
    <w:rsid w:val="00794DD2"/>
    <w:rsid w:val="00795647"/>
    <w:rsid w:val="0079633D"/>
    <w:rsid w:val="007963F6"/>
    <w:rsid w:val="007964C2"/>
    <w:rsid w:val="00796DC8"/>
    <w:rsid w:val="00796E80"/>
    <w:rsid w:val="0079744F"/>
    <w:rsid w:val="0079776F"/>
    <w:rsid w:val="007979AD"/>
    <w:rsid w:val="00797A9C"/>
    <w:rsid w:val="007A0875"/>
    <w:rsid w:val="007A0EAB"/>
    <w:rsid w:val="007A2341"/>
    <w:rsid w:val="007A238D"/>
    <w:rsid w:val="007A2754"/>
    <w:rsid w:val="007A38A1"/>
    <w:rsid w:val="007A3BBE"/>
    <w:rsid w:val="007A4766"/>
    <w:rsid w:val="007A584A"/>
    <w:rsid w:val="007A5947"/>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6DA"/>
    <w:rsid w:val="007B59B7"/>
    <w:rsid w:val="007B5D1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5600"/>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61E4"/>
    <w:rsid w:val="007D695B"/>
    <w:rsid w:val="007D7867"/>
    <w:rsid w:val="007D7CFC"/>
    <w:rsid w:val="007E0812"/>
    <w:rsid w:val="007E0825"/>
    <w:rsid w:val="007E1858"/>
    <w:rsid w:val="007E18DF"/>
    <w:rsid w:val="007E214A"/>
    <w:rsid w:val="007E238D"/>
    <w:rsid w:val="007E2C36"/>
    <w:rsid w:val="007E328D"/>
    <w:rsid w:val="007E350D"/>
    <w:rsid w:val="007E368B"/>
    <w:rsid w:val="007E3856"/>
    <w:rsid w:val="007E3ACA"/>
    <w:rsid w:val="007E3F4A"/>
    <w:rsid w:val="007E564D"/>
    <w:rsid w:val="007E5C4A"/>
    <w:rsid w:val="007E5FBE"/>
    <w:rsid w:val="007E64D4"/>
    <w:rsid w:val="007E66E9"/>
    <w:rsid w:val="007E69F2"/>
    <w:rsid w:val="007E6A2A"/>
    <w:rsid w:val="007E7432"/>
    <w:rsid w:val="007E74BF"/>
    <w:rsid w:val="007E7657"/>
    <w:rsid w:val="007E7D2E"/>
    <w:rsid w:val="007F0665"/>
    <w:rsid w:val="007F14D3"/>
    <w:rsid w:val="007F1D9D"/>
    <w:rsid w:val="007F1E28"/>
    <w:rsid w:val="007F1F63"/>
    <w:rsid w:val="007F22A0"/>
    <w:rsid w:val="007F23F8"/>
    <w:rsid w:val="007F2902"/>
    <w:rsid w:val="007F2903"/>
    <w:rsid w:val="007F2BD2"/>
    <w:rsid w:val="007F2F90"/>
    <w:rsid w:val="007F320F"/>
    <w:rsid w:val="007F3320"/>
    <w:rsid w:val="007F3AC1"/>
    <w:rsid w:val="007F428F"/>
    <w:rsid w:val="007F4976"/>
    <w:rsid w:val="007F4B40"/>
    <w:rsid w:val="007F5A56"/>
    <w:rsid w:val="007F5D42"/>
    <w:rsid w:val="007F616E"/>
    <w:rsid w:val="007F661C"/>
    <w:rsid w:val="007F669D"/>
    <w:rsid w:val="007F6B46"/>
    <w:rsid w:val="007F6D1E"/>
    <w:rsid w:val="007F72CB"/>
    <w:rsid w:val="007F736A"/>
    <w:rsid w:val="007F7635"/>
    <w:rsid w:val="007F785F"/>
    <w:rsid w:val="007F7961"/>
    <w:rsid w:val="007F7AF6"/>
    <w:rsid w:val="007F7E36"/>
    <w:rsid w:val="008002F2"/>
    <w:rsid w:val="0080091A"/>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22"/>
    <w:rsid w:val="00811CDC"/>
    <w:rsid w:val="008124D8"/>
    <w:rsid w:val="0081322A"/>
    <w:rsid w:val="008134E0"/>
    <w:rsid w:val="008138C8"/>
    <w:rsid w:val="00813A76"/>
    <w:rsid w:val="00813A7B"/>
    <w:rsid w:val="00813F04"/>
    <w:rsid w:val="0081513E"/>
    <w:rsid w:val="00815DA5"/>
    <w:rsid w:val="00816221"/>
    <w:rsid w:val="0081715E"/>
    <w:rsid w:val="0081766B"/>
    <w:rsid w:val="008178E0"/>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9F3"/>
    <w:rsid w:val="00826F71"/>
    <w:rsid w:val="00827332"/>
    <w:rsid w:val="008278EF"/>
    <w:rsid w:val="00827CC0"/>
    <w:rsid w:val="00827CD3"/>
    <w:rsid w:val="008306AB"/>
    <w:rsid w:val="00830AEC"/>
    <w:rsid w:val="00830DB8"/>
    <w:rsid w:val="00831026"/>
    <w:rsid w:val="0083119B"/>
    <w:rsid w:val="00831BAE"/>
    <w:rsid w:val="00831FDF"/>
    <w:rsid w:val="00832216"/>
    <w:rsid w:val="00832513"/>
    <w:rsid w:val="00832590"/>
    <w:rsid w:val="00832AD3"/>
    <w:rsid w:val="00832CD0"/>
    <w:rsid w:val="00833430"/>
    <w:rsid w:val="00833ADA"/>
    <w:rsid w:val="00833CB1"/>
    <w:rsid w:val="00834128"/>
    <w:rsid w:val="0083417F"/>
    <w:rsid w:val="0083496F"/>
    <w:rsid w:val="00835143"/>
    <w:rsid w:val="0083569B"/>
    <w:rsid w:val="00835741"/>
    <w:rsid w:val="00836E74"/>
    <w:rsid w:val="00836EAB"/>
    <w:rsid w:val="00837673"/>
    <w:rsid w:val="008377D7"/>
    <w:rsid w:val="00837937"/>
    <w:rsid w:val="00837D82"/>
    <w:rsid w:val="00840637"/>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6A9"/>
    <w:rsid w:val="0085092D"/>
    <w:rsid w:val="008509A5"/>
    <w:rsid w:val="00850C79"/>
    <w:rsid w:val="00850D82"/>
    <w:rsid w:val="00850F79"/>
    <w:rsid w:val="0085100B"/>
    <w:rsid w:val="0085304C"/>
    <w:rsid w:val="008533E7"/>
    <w:rsid w:val="008536BB"/>
    <w:rsid w:val="00853A3C"/>
    <w:rsid w:val="00853EE0"/>
    <w:rsid w:val="0085433A"/>
    <w:rsid w:val="008548CA"/>
    <w:rsid w:val="00855D62"/>
    <w:rsid w:val="008560C8"/>
    <w:rsid w:val="008563B0"/>
    <w:rsid w:val="008568FE"/>
    <w:rsid w:val="00856C06"/>
    <w:rsid w:val="0085790B"/>
    <w:rsid w:val="008579B9"/>
    <w:rsid w:val="00857BA3"/>
    <w:rsid w:val="00857C95"/>
    <w:rsid w:val="00857E78"/>
    <w:rsid w:val="00860A1B"/>
    <w:rsid w:val="00860AEF"/>
    <w:rsid w:val="00860B18"/>
    <w:rsid w:val="00860D5E"/>
    <w:rsid w:val="0086122C"/>
    <w:rsid w:val="00861310"/>
    <w:rsid w:val="00861F53"/>
    <w:rsid w:val="0086264E"/>
    <w:rsid w:val="0086289E"/>
    <w:rsid w:val="008629CB"/>
    <w:rsid w:val="00862C72"/>
    <w:rsid w:val="0086372E"/>
    <w:rsid w:val="0086394E"/>
    <w:rsid w:val="00863F8A"/>
    <w:rsid w:val="00863FB1"/>
    <w:rsid w:val="00863FE3"/>
    <w:rsid w:val="008640C4"/>
    <w:rsid w:val="00864241"/>
    <w:rsid w:val="0086465A"/>
    <w:rsid w:val="0086468A"/>
    <w:rsid w:val="0086502D"/>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41E"/>
    <w:rsid w:val="00874607"/>
    <w:rsid w:val="008747E9"/>
    <w:rsid w:val="00874850"/>
    <w:rsid w:val="00874915"/>
    <w:rsid w:val="00874949"/>
    <w:rsid w:val="00874B89"/>
    <w:rsid w:val="00875403"/>
    <w:rsid w:val="00875434"/>
    <w:rsid w:val="00875C1F"/>
    <w:rsid w:val="00876215"/>
    <w:rsid w:val="0087646C"/>
    <w:rsid w:val="00876815"/>
    <w:rsid w:val="008776C8"/>
    <w:rsid w:val="00877932"/>
    <w:rsid w:val="0088063A"/>
    <w:rsid w:val="008808C7"/>
    <w:rsid w:val="00880BFD"/>
    <w:rsid w:val="0088106B"/>
    <w:rsid w:val="0088107D"/>
    <w:rsid w:val="0088137B"/>
    <w:rsid w:val="0088187A"/>
    <w:rsid w:val="00881E64"/>
    <w:rsid w:val="00882C44"/>
    <w:rsid w:val="00882E39"/>
    <w:rsid w:val="008850EB"/>
    <w:rsid w:val="00885180"/>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906"/>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9FB"/>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31"/>
    <w:rsid w:val="008B3045"/>
    <w:rsid w:val="008B4472"/>
    <w:rsid w:val="008B47A6"/>
    <w:rsid w:val="008B522C"/>
    <w:rsid w:val="008B5C7C"/>
    <w:rsid w:val="008B63FE"/>
    <w:rsid w:val="008B658D"/>
    <w:rsid w:val="008B672C"/>
    <w:rsid w:val="008B6E1F"/>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807"/>
    <w:rsid w:val="008C5DF9"/>
    <w:rsid w:val="008C62D4"/>
    <w:rsid w:val="008C6B89"/>
    <w:rsid w:val="008C6B97"/>
    <w:rsid w:val="008C6D53"/>
    <w:rsid w:val="008C7380"/>
    <w:rsid w:val="008C77A2"/>
    <w:rsid w:val="008C7EF7"/>
    <w:rsid w:val="008C7F1E"/>
    <w:rsid w:val="008D0615"/>
    <w:rsid w:val="008D18AA"/>
    <w:rsid w:val="008D1A2A"/>
    <w:rsid w:val="008D1ADE"/>
    <w:rsid w:val="008D35D9"/>
    <w:rsid w:val="008D3B36"/>
    <w:rsid w:val="008D3B85"/>
    <w:rsid w:val="008D462D"/>
    <w:rsid w:val="008D6084"/>
    <w:rsid w:val="008D62C8"/>
    <w:rsid w:val="008D64AC"/>
    <w:rsid w:val="008D66CA"/>
    <w:rsid w:val="008D69B1"/>
    <w:rsid w:val="008D70E0"/>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4BA"/>
    <w:rsid w:val="008E4645"/>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864"/>
    <w:rsid w:val="008F5A20"/>
    <w:rsid w:val="008F5ABA"/>
    <w:rsid w:val="008F6157"/>
    <w:rsid w:val="008F71AB"/>
    <w:rsid w:val="008F7905"/>
    <w:rsid w:val="008F7989"/>
    <w:rsid w:val="00900912"/>
    <w:rsid w:val="00900CD7"/>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619"/>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23C8"/>
    <w:rsid w:val="00923094"/>
    <w:rsid w:val="00923396"/>
    <w:rsid w:val="00923964"/>
    <w:rsid w:val="00923F56"/>
    <w:rsid w:val="0092468C"/>
    <w:rsid w:val="00924770"/>
    <w:rsid w:val="00924C03"/>
    <w:rsid w:val="00925229"/>
    <w:rsid w:val="00925346"/>
    <w:rsid w:val="00925743"/>
    <w:rsid w:val="0092579F"/>
    <w:rsid w:val="00925D65"/>
    <w:rsid w:val="009264EE"/>
    <w:rsid w:val="00926632"/>
    <w:rsid w:val="009271AE"/>
    <w:rsid w:val="009272FA"/>
    <w:rsid w:val="00927E8D"/>
    <w:rsid w:val="00927F23"/>
    <w:rsid w:val="00930411"/>
    <w:rsid w:val="009307CD"/>
    <w:rsid w:val="00931213"/>
    <w:rsid w:val="00931364"/>
    <w:rsid w:val="00931365"/>
    <w:rsid w:val="00931451"/>
    <w:rsid w:val="009314FA"/>
    <w:rsid w:val="0093194F"/>
    <w:rsid w:val="00931BF3"/>
    <w:rsid w:val="00931C55"/>
    <w:rsid w:val="00932DB3"/>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439"/>
    <w:rsid w:val="009464FA"/>
    <w:rsid w:val="00946A24"/>
    <w:rsid w:val="009470D4"/>
    <w:rsid w:val="00947337"/>
    <w:rsid w:val="00947E6E"/>
    <w:rsid w:val="009500A6"/>
    <w:rsid w:val="00951145"/>
    <w:rsid w:val="009512FA"/>
    <w:rsid w:val="009516A9"/>
    <w:rsid w:val="00951E57"/>
    <w:rsid w:val="00952350"/>
    <w:rsid w:val="009524C4"/>
    <w:rsid w:val="00952505"/>
    <w:rsid w:val="0095299B"/>
    <w:rsid w:val="00952FBB"/>
    <w:rsid w:val="00953018"/>
    <w:rsid w:val="009533E2"/>
    <w:rsid w:val="00953554"/>
    <w:rsid w:val="0095360B"/>
    <w:rsid w:val="0095385A"/>
    <w:rsid w:val="00954DE2"/>
    <w:rsid w:val="00954F3A"/>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BF8"/>
    <w:rsid w:val="00964C98"/>
    <w:rsid w:val="009659B0"/>
    <w:rsid w:val="00965D27"/>
    <w:rsid w:val="009664B1"/>
    <w:rsid w:val="00966B9B"/>
    <w:rsid w:val="0097077C"/>
    <w:rsid w:val="00970B96"/>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9D4"/>
    <w:rsid w:val="00981B91"/>
    <w:rsid w:val="009820FB"/>
    <w:rsid w:val="009822D7"/>
    <w:rsid w:val="009827E6"/>
    <w:rsid w:val="00982F84"/>
    <w:rsid w:val="009831C3"/>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2BB2"/>
    <w:rsid w:val="00993013"/>
    <w:rsid w:val="00993B78"/>
    <w:rsid w:val="00994F3F"/>
    <w:rsid w:val="00995119"/>
    <w:rsid w:val="0099531F"/>
    <w:rsid w:val="009953AD"/>
    <w:rsid w:val="009957D7"/>
    <w:rsid w:val="0099583D"/>
    <w:rsid w:val="00996020"/>
    <w:rsid w:val="0099629E"/>
    <w:rsid w:val="00996992"/>
    <w:rsid w:val="00996BE3"/>
    <w:rsid w:val="00996E1E"/>
    <w:rsid w:val="00997148"/>
    <w:rsid w:val="00997392"/>
    <w:rsid w:val="0099747C"/>
    <w:rsid w:val="0099771C"/>
    <w:rsid w:val="00997852"/>
    <w:rsid w:val="009A01E4"/>
    <w:rsid w:val="009A0917"/>
    <w:rsid w:val="009A0A33"/>
    <w:rsid w:val="009A0C41"/>
    <w:rsid w:val="009A1351"/>
    <w:rsid w:val="009A1723"/>
    <w:rsid w:val="009A1E6C"/>
    <w:rsid w:val="009A2041"/>
    <w:rsid w:val="009A2435"/>
    <w:rsid w:val="009A2963"/>
    <w:rsid w:val="009A35DC"/>
    <w:rsid w:val="009A38AB"/>
    <w:rsid w:val="009A39EE"/>
    <w:rsid w:val="009A3D47"/>
    <w:rsid w:val="009A4D63"/>
    <w:rsid w:val="009A5356"/>
    <w:rsid w:val="009A5389"/>
    <w:rsid w:val="009A5468"/>
    <w:rsid w:val="009A5D99"/>
    <w:rsid w:val="009A608C"/>
    <w:rsid w:val="009A653C"/>
    <w:rsid w:val="009A6FDF"/>
    <w:rsid w:val="009A715F"/>
    <w:rsid w:val="009A76D6"/>
    <w:rsid w:val="009B2374"/>
    <w:rsid w:val="009B2E29"/>
    <w:rsid w:val="009B2F77"/>
    <w:rsid w:val="009B2FFB"/>
    <w:rsid w:val="009B3140"/>
    <w:rsid w:val="009B3163"/>
    <w:rsid w:val="009B422F"/>
    <w:rsid w:val="009B4620"/>
    <w:rsid w:val="009B46BC"/>
    <w:rsid w:val="009B4D1A"/>
    <w:rsid w:val="009B519D"/>
    <w:rsid w:val="009B543A"/>
    <w:rsid w:val="009B558B"/>
    <w:rsid w:val="009B5A35"/>
    <w:rsid w:val="009B6BCF"/>
    <w:rsid w:val="009B6D21"/>
    <w:rsid w:val="009B6E85"/>
    <w:rsid w:val="009B78ED"/>
    <w:rsid w:val="009C0E1B"/>
    <w:rsid w:val="009C12AB"/>
    <w:rsid w:val="009C12C6"/>
    <w:rsid w:val="009C181C"/>
    <w:rsid w:val="009C1A44"/>
    <w:rsid w:val="009C1C7F"/>
    <w:rsid w:val="009C1D29"/>
    <w:rsid w:val="009C1D4C"/>
    <w:rsid w:val="009C1EC7"/>
    <w:rsid w:val="009C2210"/>
    <w:rsid w:val="009C28A2"/>
    <w:rsid w:val="009C2BAE"/>
    <w:rsid w:val="009C2D36"/>
    <w:rsid w:val="009C2E7B"/>
    <w:rsid w:val="009C3239"/>
    <w:rsid w:val="009C3815"/>
    <w:rsid w:val="009C3828"/>
    <w:rsid w:val="009C3AD3"/>
    <w:rsid w:val="009C3AF4"/>
    <w:rsid w:val="009C3D2C"/>
    <w:rsid w:val="009C42A2"/>
    <w:rsid w:val="009C4832"/>
    <w:rsid w:val="009C48E6"/>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0DB"/>
    <w:rsid w:val="009E2291"/>
    <w:rsid w:val="009E2391"/>
    <w:rsid w:val="009E3704"/>
    <w:rsid w:val="009E4685"/>
    <w:rsid w:val="009E476A"/>
    <w:rsid w:val="009E4E05"/>
    <w:rsid w:val="009E534D"/>
    <w:rsid w:val="009E5680"/>
    <w:rsid w:val="009E56FF"/>
    <w:rsid w:val="009E5CB1"/>
    <w:rsid w:val="009E5E2E"/>
    <w:rsid w:val="009E5E56"/>
    <w:rsid w:val="009E61EA"/>
    <w:rsid w:val="009E6990"/>
    <w:rsid w:val="009E6FEE"/>
    <w:rsid w:val="009F002C"/>
    <w:rsid w:val="009F00B9"/>
    <w:rsid w:val="009F060F"/>
    <w:rsid w:val="009F0781"/>
    <w:rsid w:val="009F0850"/>
    <w:rsid w:val="009F091C"/>
    <w:rsid w:val="009F09FB"/>
    <w:rsid w:val="009F170C"/>
    <w:rsid w:val="009F1BDF"/>
    <w:rsid w:val="009F1EAE"/>
    <w:rsid w:val="009F2495"/>
    <w:rsid w:val="009F2848"/>
    <w:rsid w:val="009F2A9D"/>
    <w:rsid w:val="009F2B4A"/>
    <w:rsid w:val="009F369D"/>
    <w:rsid w:val="009F36FE"/>
    <w:rsid w:val="009F399F"/>
    <w:rsid w:val="009F4990"/>
    <w:rsid w:val="009F4C1E"/>
    <w:rsid w:val="009F4F25"/>
    <w:rsid w:val="009F59C2"/>
    <w:rsid w:val="009F5BC7"/>
    <w:rsid w:val="009F70A4"/>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65"/>
    <w:rsid w:val="00A046D2"/>
    <w:rsid w:val="00A04844"/>
    <w:rsid w:val="00A04A54"/>
    <w:rsid w:val="00A052EC"/>
    <w:rsid w:val="00A058B8"/>
    <w:rsid w:val="00A05B4B"/>
    <w:rsid w:val="00A066C3"/>
    <w:rsid w:val="00A06754"/>
    <w:rsid w:val="00A0696E"/>
    <w:rsid w:val="00A069E0"/>
    <w:rsid w:val="00A06DE9"/>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6FB5"/>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4F4"/>
    <w:rsid w:val="00A23EAB"/>
    <w:rsid w:val="00A24560"/>
    <w:rsid w:val="00A24C11"/>
    <w:rsid w:val="00A25924"/>
    <w:rsid w:val="00A25B0F"/>
    <w:rsid w:val="00A25BBB"/>
    <w:rsid w:val="00A261DB"/>
    <w:rsid w:val="00A26AEB"/>
    <w:rsid w:val="00A275AC"/>
    <w:rsid w:val="00A2778A"/>
    <w:rsid w:val="00A27FB6"/>
    <w:rsid w:val="00A30121"/>
    <w:rsid w:val="00A30368"/>
    <w:rsid w:val="00A3043A"/>
    <w:rsid w:val="00A30968"/>
    <w:rsid w:val="00A30E02"/>
    <w:rsid w:val="00A30F6A"/>
    <w:rsid w:val="00A31C3E"/>
    <w:rsid w:val="00A333FF"/>
    <w:rsid w:val="00A33B4D"/>
    <w:rsid w:val="00A34538"/>
    <w:rsid w:val="00A34677"/>
    <w:rsid w:val="00A35303"/>
    <w:rsid w:val="00A3540F"/>
    <w:rsid w:val="00A35429"/>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326"/>
    <w:rsid w:val="00A4497A"/>
    <w:rsid w:val="00A44AB5"/>
    <w:rsid w:val="00A44BE8"/>
    <w:rsid w:val="00A44C96"/>
    <w:rsid w:val="00A44CDD"/>
    <w:rsid w:val="00A44F54"/>
    <w:rsid w:val="00A4566E"/>
    <w:rsid w:val="00A45C92"/>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BC8"/>
    <w:rsid w:val="00A63DB5"/>
    <w:rsid w:val="00A63DF7"/>
    <w:rsid w:val="00A6454D"/>
    <w:rsid w:val="00A64F2F"/>
    <w:rsid w:val="00A6551D"/>
    <w:rsid w:val="00A6611E"/>
    <w:rsid w:val="00A668BA"/>
    <w:rsid w:val="00A668E6"/>
    <w:rsid w:val="00A66FA7"/>
    <w:rsid w:val="00A67E16"/>
    <w:rsid w:val="00A67EB1"/>
    <w:rsid w:val="00A703CC"/>
    <w:rsid w:val="00A70C5C"/>
    <w:rsid w:val="00A710A2"/>
    <w:rsid w:val="00A71BE1"/>
    <w:rsid w:val="00A71EA7"/>
    <w:rsid w:val="00A72653"/>
    <w:rsid w:val="00A726E6"/>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6BCF"/>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880"/>
    <w:rsid w:val="00A849A3"/>
    <w:rsid w:val="00A84A0E"/>
    <w:rsid w:val="00A85171"/>
    <w:rsid w:val="00A8575D"/>
    <w:rsid w:val="00A86196"/>
    <w:rsid w:val="00A861F4"/>
    <w:rsid w:val="00A86878"/>
    <w:rsid w:val="00A86ADE"/>
    <w:rsid w:val="00A86E0B"/>
    <w:rsid w:val="00A872C2"/>
    <w:rsid w:val="00A87894"/>
    <w:rsid w:val="00A90274"/>
    <w:rsid w:val="00A90557"/>
    <w:rsid w:val="00A90F12"/>
    <w:rsid w:val="00A91636"/>
    <w:rsid w:val="00A919E6"/>
    <w:rsid w:val="00A91CD1"/>
    <w:rsid w:val="00A91DAA"/>
    <w:rsid w:val="00A92884"/>
    <w:rsid w:val="00A93101"/>
    <w:rsid w:val="00A93239"/>
    <w:rsid w:val="00A9413E"/>
    <w:rsid w:val="00A94293"/>
    <w:rsid w:val="00A9496E"/>
    <w:rsid w:val="00A949F0"/>
    <w:rsid w:val="00A94BDE"/>
    <w:rsid w:val="00A94FCA"/>
    <w:rsid w:val="00A956C6"/>
    <w:rsid w:val="00A95E4C"/>
    <w:rsid w:val="00A966E6"/>
    <w:rsid w:val="00A96C60"/>
    <w:rsid w:val="00A9740B"/>
    <w:rsid w:val="00A9766C"/>
    <w:rsid w:val="00A977F8"/>
    <w:rsid w:val="00A979DB"/>
    <w:rsid w:val="00A97C93"/>
    <w:rsid w:val="00AA06C6"/>
    <w:rsid w:val="00AA08E7"/>
    <w:rsid w:val="00AA0A06"/>
    <w:rsid w:val="00AA0AE4"/>
    <w:rsid w:val="00AA1351"/>
    <w:rsid w:val="00AA184C"/>
    <w:rsid w:val="00AA1AF4"/>
    <w:rsid w:val="00AA1B44"/>
    <w:rsid w:val="00AA1BB6"/>
    <w:rsid w:val="00AA1C84"/>
    <w:rsid w:val="00AA35D5"/>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A7D72"/>
    <w:rsid w:val="00AB01C5"/>
    <w:rsid w:val="00AB041C"/>
    <w:rsid w:val="00AB14E8"/>
    <w:rsid w:val="00AB1B1D"/>
    <w:rsid w:val="00AB1CD8"/>
    <w:rsid w:val="00AB2216"/>
    <w:rsid w:val="00AB358D"/>
    <w:rsid w:val="00AB37A1"/>
    <w:rsid w:val="00AB3BAD"/>
    <w:rsid w:val="00AB3CFD"/>
    <w:rsid w:val="00AB4083"/>
    <w:rsid w:val="00AB40F1"/>
    <w:rsid w:val="00AB49BC"/>
    <w:rsid w:val="00AB4DEE"/>
    <w:rsid w:val="00AB4E32"/>
    <w:rsid w:val="00AB5AC6"/>
    <w:rsid w:val="00AB5C19"/>
    <w:rsid w:val="00AB6406"/>
    <w:rsid w:val="00AB724B"/>
    <w:rsid w:val="00AB725B"/>
    <w:rsid w:val="00AB726C"/>
    <w:rsid w:val="00AB72B4"/>
    <w:rsid w:val="00AB7A7A"/>
    <w:rsid w:val="00AC02AA"/>
    <w:rsid w:val="00AC0537"/>
    <w:rsid w:val="00AC0A84"/>
    <w:rsid w:val="00AC1508"/>
    <w:rsid w:val="00AC2A0B"/>
    <w:rsid w:val="00AC2BEE"/>
    <w:rsid w:val="00AC2CA8"/>
    <w:rsid w:val="00AC2E53"/>
    <w:rsid w:val="00AC361F"/>
    <w:rsid w:val="00AC36CA"/>
    <w:rsid w:val="00AC3CD9"/>
    <w:rsid w:val="00AC4462"/>
    <w:rsid w:val="00AC45B2"/>
    <w:rsid w:val="00AC484F"/>
    <w:rsid w:val="00AC4B20"/>
    <w:rsid w:val="00AC55C7"/>
    <w:rsid w:val="00AC56F2"/>
    <w:rsid w:val="00AC5D9D"/>
    <w:rsid w:val="00AC5DB1"/>
    <w:rsid w:val="00AC71C3"/>
    <w:rsid w:val="00AD09F7"/>
    <w:rsid w:val="00AD109C"/>
    <w:rsid w:val="00AD1B3B"/>
    <w:rsid w:val="00AD1EFA"/>
    <w:rsid w:val="00AD2072"/>
    <w:rsid w:val="00AD23B5"/>
    <w:rsid w:val="00AD2439"/>
    <w:rsid w:val="00AD2DBD"/>
    <w:rsid w:val="00AD2FBF"/>
    <w:rsid w:val="00AD340E"/>
    <w:rsid w:val="00AD353C"/>
    <w:rsid w:val="00AD455D"/>
    <w:rsid w:val="00AD463C"/>
    <w:rsid w:val="00AD4F60"/>
    <w:rsid w:val="00AD5044"/>
    <w:rsid w:val="00AD5114"/>
    <w:rsid w:val="00AD54D4"/>
    <w:rsid w:val="00AD6236"/>
    <w:rsid w:val="00AD69D5"/>
    <w:rsid w:val="00AD74EE"/>
    <w:rsid w:val="00AD7619"/>
    <w:rsid w:val="00AD7770"/>
    <w:rsid w:val="00AE05F2"/>
    <w:rsid w:val="00AE1772"/>
    <w:rsid w:val="00AE1990"/>
    <w:rsid w:val="00AE25E8"/>
    <w:rsid w:val="00AE28D1"/>
    <w:rsid w:val="00AE2AD4"/>
    <w:rsid w:val="00AE2CA7"/>
    <w:rsid w:val="00AE2E59"/>
    <w:rsid w:val="00AE2F1D"/>
    <w:rsid w:val="00AE4C81"/>
    <w:rsid w:val="00AE4CF8"/>
    <w:rsid w:val="00AE5413"/>
    <w:rsid w:val="00AE586F"/>
    <w:rsid w:val="00AE5B70"/>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3CF3"/>
    <w:rsid w:val="00AF4402"/>
    <w:rsid w:val="00AF4639"/>
    <w:rsid w:val="00AF4E92"/>
    <w:rsid w:val="00AF554B"/>
    <w:rsid w:val="00AF5C9B"/>
    <w:rsid w:val="00AF5D53"/>
    <w:rsid w:val="00AF5E2D"/>
    <w:rsid w:val="00AF644B"/>
    <w:rsid w:val="00AF67EE"/>
    <w:rsid w:val="00AF69EB"/>
    <w:rsid w:val="00AF6CA6"/>
    <w:rsid w:val="00AF6EB6"/>
    <w:rsid w:val="00AF75DF"/>
    <w:rsid w:val="00AF7782"/>
    <w:rsid w:val="00AF7796"/>
    <w:rsid w:val="00B011A9"/>
    <w:rsid w:val="00B01966"/>
    <w:rsid w:val="00B01BAF"/>
    <w:rsid w:val="00B01C94"/>
    <w:rsid w:val="00B024ED"/>
    <w:rsid w:val="00B026B8"/>
    <w:rsid w:val="00B02EB3"/>
    <w:rsid w:val="00B02FCB"/>
    <w:rsid w:val="00B033F8"/>
    <w:rsid w:val="00B03C1E"/>
    <w:rsid w:val="00B04400"/>
    <w:rsid w:val="00B044F0"/>
    <w:rsid w:val="00B046C2"/>
    <w:rsid w:val="00B04835"/>
    <w:rsid w:val="00B04B71"/>
    <w:rsid w:val="00B05A55"/>
    <w:rsid w:val="00B05AD2"/>
    <w:rsid w:val="00B05C74"/>
    <w:rsid w:val="00B05DE1"/>
    <w:rsid w:val="00B06595"/>
    <w:rsid w:val="00B06862"/>
    <w:rsid w:val="00B10109"/>
    <w:rsid w:val="00B1085E"/>
    <w:rsid w:val="00B10FD1"/>
    <w:rsid w:val="00B112D5"/>
    <w:rsid w:val="00B11378"/>
    <w:rsid w:val="00B116AD"/>
    <w:rsid w:val="00B120A8"/>
    <w:rsid w:val="00B1219D"/>
    <w:rsid w:val="00B12445"/>
    <w:rsid w:val="00B12735"/>
    <w:rsid w:val="00B12F44"/>
    <w:rsid w:val="00B132EE"/>
    <w:rsid w:val="00B13342"/>
    <w:rsid w:val="00B13399"/>
    <w:rsid w:val="00B13C48"/>
    <w:rsid w:val="00B13E35"/>
    <w:rsid w:val="00B13EC0"/>
    <w:rsid w:val="00B14102"/>
    <w:rsid w:val="00B14D32"/>
    <w:rsid w:val="00B14E90"/>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AA3"/>
    <w:rsid w:val="00B17B91"/>
    <w:rsid w:val="00B20209"/>
    <w:rsid w:val="00B203C9"/>
    <w:rsid w:val="00B2088D"/>
    <w:rsid w:val="00B208FF"/>
    <w:rsid w:val="00B21271"/>
    <w:rsid w:val="00B22BD5"/>
    <w:rsid w:val="00B22E22"/>
    <w:rsid w:val="00B22F5F"/>
    <w:rsid w:val="00B23353"/>
    <w:rsid w:val="00B23535"/>
    <w:rsid w:val="00B23813"/>
    <w:rsid w:val="00B23FD9"/>
    <w:rsid w:val="00B24591"/>
    <w:rsid w:val="00B245D5"/>
    <w:rsid w:val="00B245EF"/>
    <w:rsid w:val="00B2491A"/>
    <w:rsid w:val="00B24C36"/>
    <w:rsid w:val="00B24D9F"/>
    <w:rsid w:val="00B24F94"/>
    <w:rsid w:val="00B25126"/>
    <w:rsid w:val="00B25530"/>
    <w:rsid w:val="00B25703"/>
    <w:rsid w:val="00B25A52"/>
    <w:rsid w:val="00B25B81"/>
    <w:rsid w:val="00B25FC3"/>
    <w:rsid w:val="00B2692F"/>
    <w:rsid w:val="00B270F8"/>
    <w:rsid w:val="00B275CB"/>
    <w:rsid w:val="00B27875"/>
    <w:rsid w:val="00B3008D"/>
    <w:rsid w:val="00B3010C"/>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66FE"/>
    <w:rsid w:val="00B368EC"/>
    <w:rsid w:val="00B36BE9"/>
    <w:rsid w:val="00B36D2B"/>
    <w:rsid w:val="00B372F2"/>
    <w:rsid w:val="00B37657"/>
    <w:rsid w:val="00B37AFD"/>
    <w:rsid w:val="00B37B07"/>
    <w:rsid w:val="00B37E06"/>
    <w:rsid w:val="00B4046F"/>
    <w:rsid w:val="00B406B3"/>
    <w:rsid w:val="00B40A36"/>
    <w:rsid w:val="00B418E9"/>
    <w:rsid w:val="00B41BCA"/>
    <w:rsid w:val="00B41D39"/>
    <w:rsid w:val="00B422C0"/>
    <w:rsid w:val="00B426CA"/>
    <w:rsid w:val="00B426E1"/>
    <w:rsid w:val="00B4282F"/>
    <w:rsid w:val="00B42F56"/>
    <w:rsid w:val="00B4387A"/>
    <w:rsid w:val="00B43CFB"/>
    <w:rsid w:val="00B44746"/>
    <w:rsid w:val="00B44854"/>
    <w:rsid w:val="00B44AD8"/>
    <w:rsid w:val="00B44BA5"/>
    <w:rsid w:val="00B458D0"/>
    <w:rsid w:val="00B47304"/>
    <w:rsid w:val="00B4792C"/>
    <w:rsid w:val="00B50876"/>
    <w:rsid w:val="00B50CAE"/>
    <w:rsid w:val="00B5100A"/>
    <w:rsid w:val="00B512AD"/>
    <w:rsid w:val="00B5196C"/>
    <w:rsid w:val="00B525CB"/>
    <w:rsid w:val="00B52697"/>
    <w:rsid w:val="00B54215"/>
    <w:rsid w:val="00B54D8F"/>
    <w:rsid w:val="00B55857"/>
    <w:rsid w:val="00B55C0F"/>
    <w:rsid w:val="00B55C69"/>
    <w:rsid w:val="00B55E32"/>
    <w:rsid w:val="00B5664E"/>
    <w:rsid w:val="00B56851"/>
    <w:rsid w:val="00B56D6E"/>
    <w:rsid w:val="00B572F7"/>
    <w:rsid w:val="00B574C3"/>
    <w:rsid w:val="00B57B9D"/>
    <w:rsid w:val="00B57DAF"/>
    <w:rsid w:val="00B60094"/>
    <w:rsid w:val="00B6022C"/>
    <w:rsid w:val="00B6040C"/>
    <w:rsid w:val="00B614F8"/>
    <w:rsid w:val="00B618BD"/>
    <w:rsid w:val="00B61994"/>
    <w:rsid w:val="00B61B18"/>
    <w:rsid w:val="00B61FD4"/>
    <w:rsid w:val="00B6235B"/>
    <w:rsid w:val="00B627C3"/>
    <w:rsid w:val="00B62880"/>
    <w:rsid w:val="00B62ACE"/>
    <w:rsid w:val="00B63872"/>
    <w:rsid w:val="00B63CB2"/>
    <w:rsid w:val="00B64246"/>
    <w:rsid w:val="00B6430F"/>
    <w:rsid w:val="00B64BE0"/>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D7E"/>
    <w:rsid w:val="00B74EF8"/>
    <w:rsid w:val="00B75368"/>
    <w:rsid w:val="00B7581D"/>
    <w:rsid w:val="00B75893"/>
    <w:rsid w:val="00B771F4"/>
    <w:rsid w:val="00B77296"/>
    <w:rsid w:val="00B7762A"/>
    <w:rsid w:val="00B777FA"/>
    <w:rsid w:val="00B77850"/>
    <w:rsid w:val="00B7796B"/>
    <w:rsid w:val="00B80C72"/>
    <w:rsid w:val="00B80E32"/>
    <w:rsid w:val="00B81693"/>
    <w:rsid w:val="00B816FB"/>
    <w:rsid w:val="00B81964"/>
    <w:rsid w:val="00B81E6F"/>
    <w:rsid w:val="00B82017"/>
    <w:rsid w:val="00B82123"/>
    <w:rsid w:val="00B8225B"/>
    <w:rsid w:val="00B82BB5"/>
    <w:rsid w:val="00B83182"/>
    <w:rsid w:val="00B837F0"/>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87A1C"/>
    <w:rsid w:val="00B90A49"/>
    <w:rsid w:val="00B90A73"/>
    <w:rsid w:val="00B911B3"/>
    <w:rsid w:val="00B91B8E"/>
    <w:rsid w:val="00B92531"/>
    <w:rsid w:val="00B92618"/>
    <w:rsid w:val="00B92751"/>
    <w:rsid w:val="00B92B69"/>
    <w:rsid w:val="00B92CC6"/>
    <w:rsid w:val="00B935C9"/>
    <w:rsid w:val="00B93E3D"/>
    <w:rsid w:val="00B94C5E"/>
    <w:rsid w:val="00B9525F"/>
    <w:rsid w:val="00B952CF"/>
    <w:rsid w:val="00B95464"/>
    <w:rsid w:val="00B95C30"/>
    <w:rsid w:val="00B95E3D"/>
    <w:rsid w:val="00B9691F"/>
    <w:rsid w:val="00B96EEC"/>
    <w:rsid w:val="00B97392"/>
    <w:rsid w:val="00B976C7"/>
    <w:rsid w:val="00B97A73"/>
    <w:rsid w:val="00BA00B1"/>
    <w:rsid w:val="00BA0C54"/>
    <w:rsid w:val="00BA0FE4"/>
    <w:rsid w:val="00BA1382"/>
    <w:rsid w:val="00BA15E3"/>
    <w:rsid w:val="00BA1A8C"/>
    <w:rsid w:val="00BA1B7B"/>
    <w:rsid w:val="00BA20B6"/>
    <w:rsid w:val="00BA20D8"/>
    <w:rsid w:val="00BA22FC"/>
    <w:rsid w:val="00BA2C2A"/>
    <w:rsid w:val="00BA2F30"/>
    <w:rsid w:val="00BA2FF5"/>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0A9"/>
    <w:rsid w:val="00BB1A75"/>
    <w:rsid w:val="00BB2841"/>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961"/>
    <w:rsid w:val="00BC0F33"/>
    <w:rsid w:val="00BC14A7"/>
    <w:rsid w:val="00BC17CC"/>
    <w:rsid w:val="00BC209F"/>
    <w:rsid w:val="00BC2647"/>
    <w:rsid w:val="00BC2898"/>
    <w:rsid w:val="00BC2928"/>
    <w:rsid w:val="00BC29BD"/>
    <w:rsid w:val="00BC2A75"/>
    <w:rsid w:val="00BC2BB1"/>
    <w:rsid w:val="00BC34A3"/>
    <w:rsid w:val="00BC3FF9"/>
    <w:rsid w:val="00BC437C"/>
    <w:rsid w:val="00BC4834"/>
    <w:rsid w:val="00BC4A97"/>
    <w:rsid w:val="00BC4BBC"/>
    <w:rsid w:val="00BC55C0"/>
    <w:rsid w:val="00BC5A25"/>
    <w:rsid w:val="00BC5FDD"/>
    <w:rsid w:val="00BC6508"/>
    <w:rsid w:val="00BC6803"/>
    <w:rsid w:val="00BC68B4"/>
    <w:rsid w:val="00BC7277"/>
    <w:rsid w:val="00BC7DC0"/>
    <w:rsid w:val="00BD0140"/>
    <w:rsid w:val="00BD02CC"/>
    <w:rsid w:val="00BD088E"/>
    <w:rsid w:val="00BD0F18"/>
    <w:rsid w:val="00BD12A8"/>
    <w:rsid w:val="00BD182E"/>
    <w:rsid w:val="00BD1D5F"/>
    <w:rsid w:val="00BD2063"/>
    <w:rsid w:val="00BD2950"/>
    <w:rsid w:val="00BD337A"/>
    <w:rsid w:val="00BD33D9"/>
    <w:rsid w:val="00BD38C5"/>
    <w:rsid w:val="00BD3A6D"/>
    <w:rsid w:val="00BD3AF1"/>
    <w:rsid w:val="00BD3DEA"/>
    <w:rsid w:val="00BD3E97"/>
    <w:rsid w:val="00BD40E4"/>
    <w:rsid w:val="00BD52FE"/>
    <w:rsid w:val="00BD5CF8"/>
    <w:rsid w:val="00BD60FD"/>
    <w:rsid w:val="00BD6187"/>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4FC1"/>
    <w:rsid w:val="00BE5172"/>
    <w:rsid w:val="00BE5238"/>
    <w:rsid w:val="00BE5742"/>
    <w:rsid w:val="00BE57B3"/>
    <w:rsid w:val="00BE5F11"/>
    <w:rsid w:val="00BE6074"/>
    <w:rsid w:val="00BE6A5C"/>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629"/>
    <w:rsid w:val="00BF4862"/>
    <w:rsid w:val="00BF4AC8"/>
    <w:rsid w:val="00BF5899"/>
    <w:rsid w:val="00BF5C05"/>
    <w:rsid w:val="00BF62AB"/>
    <w:rsid w:val="00BF6817"/>
    <w:rsid w:val="00BF6FC6"/>
    <w:rsid w:val="00BF7C52"/>
    <w:rsid w:val="00BF7F99"/>
    <w:rsid w:val="00C00713"/>
    <w:rsid w:val="00C009A0"/>
    <w:rsid w:val="00C01BE9"/>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1082C"/>
    <w:rsid w:val="00C10E78"/>
    <w:rsid w:val="00C1159D"/>
    <w:rsid w:val="00C1233E"/>
    <w:rsid w:val="00C12AEF"/>
    <w:rsid w:val="00C12FB3"/>
    <w:rsid w:val="00C138BC"/>
    <w:rsid w:val="00C13D85"/>
    <w:rsid w:val="00C13E30"/>
    <w:rsid w:val="00C14639"/>
    <w:rsid w:val="00C14E82"/>
    <w:rsid w:val="00C14FF6"/>
    <w:rsid w:val="00C15257"/>
    <w:rsid w:val="00C15567"/>
    <w:rsid w:val="00C15A85"/>
    <w:rsid w:val="00C1637C"/>
    <w:rsid w:val="00C1641B"/>
    <w:rsid w:val="00C165FC"/>
    <w:rsid w:val="00C16DCE"/>
    <w:rsid w:val="00C17030"/>
    <w:rsid w:val="00C17211"/>
    <w:rsid w:val="00C176D5"/>
    <w:rsid w:val="00C17D24"/>
    <w:rsid w:val="00C2082C"/>
    <w:rsid w:val="00C20EB0"/>
    <w:rsid w:val="00C21004"/>
    <w:rsid w:val="00C21005"/>
    <w:rsid w:val="00C21125"/>
    <w:rsid w:val="00C214C3"/>
    <w:rsid w:val="00C2199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A6F"/>
    <w:rsid w:val="00C27D37"/>
    <w:rsid w:val="00C309E8"/>
    <w:rsid w:val="00C32017"/>
    <w:rsid w:val="00C32571"/>
    <w:rsid w:val="00C325CD"/>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82B"/>
    <w:rsid w:val="00C40B50"/>
    <w:rsid w:val="00C40C19"/>
    <w:rsid w:val="00C41389"/>
    <w:rsid w:val="00C419E3"/>
    <w:rsid w:val="00C419F4"/>
    <w:rsid w:val="00C41E6A"/>
    <w:rsid w:val="00C42247"/>
    <w:rsid w:val="00C428E7"/>
    <w:rsid w:val="00C438A2"/>
    <w:rsid w:val="00C439BE"/>
    <w:rsid w:val="00C4443B"/>
    <w:rsid w:val="00C4539B"/>
    <w:rsid w:val="00C45466"/>
    <w:rsid w:val="00C455C1"/>
    <w:rsid w:val="00C45670"/>
    <w:rsid w:val="00C4581D"/>
    <w:rsid w:val="00C46294"/>
    <w:rsid w:val="00C46599"/>
    <w:rsid w:val="00C47472"/>
    <w:rsid w:val="00C500F0"/>
    <w:rsid w:val="00C504A7"/>
    <w:rsid w:val="00C506C9"/>
    <w:rsid w:val="00C50A16"/>
    <w:rsid w:val="00C51222"/>
    <w:rsid w:val="00C51C4C"/>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5DB3"/>
    <w:rsid w:val="00C660FE"/>
    <w:rsid w:val="00C66119"/>
    <w:rsid w:val="00C66292"/>
    <w:rsid w:val="00C672A3"/>
    <w:rsid w:val="00C672F1"/>
    <w:rsid w:val="00C673D0"/>
    <w:rsid w:val="00C6742E"/>
    <w:rsid w:val="00C67B0B"/>
    <w:rsid w:val="00C67C0E"/>
    <w:rsid w:val="00C67F7A"/>
    <w:rsid w:val="00C70012"/>
    <w:rsid w:val="00C70622"/>
    <w:rsid w:val="00C70BF6"/>
    <w:rsid w:val="00C716B2"/>
    <w:rsid w:val="00C71E2A"/>
    <w:rsid w:val="00C71F2C"/>
    <w:rsid w:val="00C71F30"/>
    <w:rsid w:val="00C72115"/>
    <w:rsid w:val="00C7326E"/>
    <w:rsid w:val="00C733BA"/>
    <w:rsid w:val="00C73649"/>
    <w:rsid w:val="00C7389D"/>
    <w:rsid w:val="00C74541"/>
    <w:rsid w:val="00C74D17"/>
    <w:rsid w:val="00C760DC"/>
    <w:rsid w:val="00C76D48"/>
    <w:rsid w:val="00C770C5"/>
    <w:rsid w:val="00C8001D"/>
    <w:rsid w:val="00C8082B"/>
    <w:rsid w:val="00C81760"/>
    <w:rsid w:val="00C81A88"/>
    <w:rsid w:val="00C81D46"/>
    <w:rsid w:val="00C82298"/>
    <w:rsid w:val="00C82DC7"/>
    <w:rsid w:val="00C8331F"/>
    <w:rsid w:val="00C833B4"/>
    <w:rsid w:val="00C84284"/>
    <w:rsid w:val="00C84954"/>
    <w:rsid w:val="00C84B8C"/>
    <w:rsid w:val="00C84E33"/>
    <w:rsid w:val="00C85682"/>
    <w:rsid w:val="00C85EC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28AE"/>
    <w:rsid w:val="00C936BA"/>
    <w:rsid w:val="00C9370F"/>
    <w:rsid w:val="00C93765"/>
    <w:rsid w:val="00C93877"/>
    <w:rsid w:val="00C93D8C"/>
    <w:rsid w:val="00C93E07"/>
    <w:rsid w:val="00C946CC"/>
    <w:rsid w:val="00C94E97"/>
    <w:rsid w:val="00C959BD"/>
    <w:rsid w:val="00C95D8C"/>
    <w:rsid w:val="00C95DFE"/>
    <w:rsid w:val="00C95F44"/>
    <w:rsid w:val="00C96065"/>
    <w:rsid w:val="00C96389"/>
    <w:rsid w:val="00C96D1B"/>
    <w:rsid w:val="00C97106"/>
    <w:rsid w:val="00C978D4"/>
    <w:rsid w:val="00CA0031"/>
    <w:rsid w:val="00CA0413"/>
    <w:rsid w:val="00CA043A"/>
    <w:rsid w:val="00CA0E51"/>
    <w:rsid w:val="00CA1691"/>
    <w:rsid w:val="00CA2FE1"/>
    <w:rsid w:val="00CA41E7"/>
    <w:rsid w:val="00CA4A99"/>
    <w:rsid w:val="00CA5520"/>
    <w:rsid w:val="00CA5812"/>
    <w:rsid w:val="00CA5BD4"/>
    <w:rsid w:val="00CA5C14"/>
    <w:rsid w:val="00CA6410"/>
    <w:rsid w:val="00CA7019"/>
    <w:rsid w:val="00CA76FC"/>
    <w:rsid w:val="00CA7C0D"/>
    <w:rsid w:val="00CA7D40"/>
    <w:rsid w:val="00CA7E7B"/>
    <w:rsid w:val="00CB0236"/>
    <w:rsid w:val="00CB0CB1"/>
    <w:rsid w:val="00CB10AE"/>
    <w:rsid w:val="00CB1881"/>
    <w:rsid w:val="00CB1969"/>
    <w:rsid w:val="00CB19E3"/>
    <w:rsid w:val="00CB2C3A"/>
    <w:rsid w:val="00CB2D38"/>
    <w:rsid w:val="00CB2DB8"/>
    <w:rsid w:val="00CB2F5E"/>
    <w:rsid w:val="00CB3C9D"/>
    <w:rsid w:val="00CB4137"/>
    <w:rsid w:val="00CB4DB8"/>
    <w:rsid w:val="00CB50D0"/>
    <w:rsid w:val="00CB52D0"/>
    <w:rsid w:val="00CB5578"/>
    <w:rsid w:val="00CB5671"/>
    <w:rsid w:val="00CB591C"/>
    <w:rsid w:val="00CB5943"/>
    <w:rsid w:val="00CB61B3"/>
    <w:rsid w:val="00CB6801"/>
    <w:rsid w:val="00CB6B63"/>
    <w:rsid w:val="00CB6F83"/>
    <w:rsid w:val="00CB72AE"/>
    <w:rsid w:val="00CB731F"/>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35"/>
    <w:rsid w:val="00CC69EC"/>
    <w:rsid w:val="00CC6CDE"/>
    <w:rsid w:val="00CC71D3"/>
    <w:rsid w:val="00CC743D"/>
    <w:rsid w:val="00CC74E7"/>
    <w:rsid w:val="00CC7C5A"/>
    <w:rsid w:val="00CD02ED"/>
    <w:rsid w:val="00CD04A3"/>
    <w:rsid w:val="00CD050A"/>
    <w:rsid w:val="00CD0AE0"/>
    <w:rsid w:val="00CD0F92"/>
    <w:rsid w:val="00CD1017"/>
    <w:rsid w:val="00CD205D"/>
    <w:rsid w:val="00CD2A22"/>
    <w:rsid w:val="00CD2B50"/>
    <w:rsid w:val="00CD3156"/>
    <w:rsid w:val="00CD3172"/>
    <w:rsid w:val="00CD4399"/>
    <w:rsid w:val="00CD4506"/>
    <w:rsid w:val="00CD502F"/>
    <w:rsid w:val="00CD50E3"/>
    <w:rsid w:val="00CD520B"/>
    <w:rsid w:val="00CD53D4"/>
    <w:rsid w:val="00CD592E"/>
    <w:rsid w:val="00CD5982"/>
    <w:rsid w:val="00CD5A1A"/>
    <w:rsid w:val="00CD5E1E"/>
    <w:rsid w:val="00CD5F5E"/>
    <w:rsid w:val="00CD64EA"/>
    <w:rsid w:val="00CD6C6B"/>
    <w:rsid w:val="00CD7535"/>
    <w:rsid w:val="00CD75C9"/>
    <w:rsid w:val="00CD7EFA"/>
    <w:rsid w:val="00CE020E"/>
    <w:rsid w:val="00CE0566"/>
    <w:rsid w:val="00CE1CD4"/>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EC4"/>
    <w:rsid w:val="00CE7F26"/>
    <w:rsid w:val="00CF089F"/>
    <w:rsid w:val="00CF093F"/>
    <w:rsid w:val="00CF1226"/>
    <w:rsid w:val="00CF1ABB"/>
    <w:rsid w:val="00CF1E1D"/>
    <w:rsid w:val="00CF1E90"/>
    <w:rsid w:val="00CF24FE"/>
    <w:rsid w:val="00CF287F"/>
    <w:rsid w:val="00CF35D0"/>
    <w:rsid w:val="00CF392D"/>
    <w:rsid w:val="00CF3A99"/>
    <w:rsid w:val="00CF3B57"/>
    <w:rsid w:val="00CF3DD5"/>
    <w:rsid w:val="00CF444E"/>
    <w:rsid w:val="00CF4AF7"/>
    <w:rsid w:val="00CF4D20"/>
    <w:rsid w:val="00CF51A5"/>
    <w:rsid w:val="00CF6473"/>
    <w:rsid w:val="00CF73F8"/>
    <w:rsid w:val="00CF7928"/>
    <w:rsid w:val="00CF7CA2"/>
    <w:rsid w:val="00D00911"/>
    <w:rsid w:val="00D00A8E"/>
    <w:rsid w:val="00D00DAF"/>
    <w:rsid w:val="00D00DE0"/>
    <w:rsid w:val="00D00F79"/>
    <w:rsid w:val="00D012BF"/>
    <w:rsid w:val="00D01760"/>
    <w:rsid w:val="00D02053"/>
    <w:rsid w:val="00D02345"/>
    <w:rsid w:val="00D023B0"/>
    <w:rsid w:val="00D0368E"/>
    <w:rsid w:val="00D03AC3"/>
    <w:rsid w:val="00D03D2D"/>
    <w:rsid w:val="00D03E7B"/>
    <w:rsid w:val="00D0401A"/>
    <w:rsid w:val="00D043AA"/>
    <w:rsid w:val="00D047E0"/>
    <w:rsid w:val="00D04B9F"/>
    <w:rsid w:val="00D04D43"/>
    <w:rsid w:val="00D04FFB"/>
    <w:rsid w:val="00D055FE"/>
    <w:rsid w:val="00D058E9"/>
    <w:rsid w:val="00D0612A"/>
    <w:rsid w:val="00D06C3E"/>
    <w:rsid w:val="00D07DE9"/>
    <w:rsid w:val="00D1060D"/>
    <w:rsid w:val="00D1095F"/>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514"/>
    <w:rsid w:val="00D21A58"/>
    <w:rsid w:val="00D21BB5"/>
    <w:rsid w:val="00D21FFC"/>
    <w:rsid w:val="00D222FD"/>
    <w:rsid w:val="00D223B6"/>
    <w:rsid w:val="00D223E8"/>
    <w:rsid w:val="00D224E1"/>
    <w:rsid w:val="00D2279F"/>
    <w:rsid w:val="00D22BFE"/>
    <w:rsid w:val="00D22DC8"/>
    <w:rsid w:val="00D23882"/>
    <w:rsid w:val="00D23FAF"/>
    <w:rsid w:val="00D2477B"/>
    <w:rsid w:val="00D2522A"/>
    <w:rsid w:val="00D2531C"/>
    <w:rsid w:val="00D25428"/>
    <w:rsid w:val="00D2553E"/>
    <w:rsid w:val="00D2587F"/>
    <w:rsid w:val="00D270AC"/>
    <w:rsid w:val="00D2742F"/>
    <w:rsid w:val="00D2754F"/>
    <w:rsid w:val="00D2761B"/>
    <w:rsid w:val="00D277C5"/>
    <w:rsid w:val="00D279D9"/>
    <w:rsid w:val="00D312DC"/>
    <w:rsid w:val="00D31B84"/>
    <w:rsid w:val="00D31C6A"/>
    <w:rsid w:val="00D31D74"/>
    <w:rsid w:val="00D31E80"/>
    <w:rsid w:val="00D31EDF"/>
    <w:rsid w:val="00D31FF9"/>
    <w:rsid w:val="00D3207F"/>
    <w:rsid w:val="00D32149"/>
    <w:rsid w:val="00D32256"/>
    <w:rsid w:val="00D32A27"/>
    <w:rsid w:val="00D32ABC"/>
    <w:rsid w:val="00D32CA7"/>
    <w:rsid w:val="00D33FA4"/>
    <w:rsid w:val="00D349E3"/>
    <w:rsid w:val="00D34B25"/>
    <w:rsid w:val="00D34C7F"/>
    <w:rsid w:val="00D34F4E"/>
    <w:rsid w:val="00D357F3"/>
    <w:rsid w:val="00D35C0E"/>
    <w:rsid w:val="00D36891"/>
    <w:rsid w:val="00D36FBF"/>
    <w:rsid w:val="00D373A8"/>
    <w:rsid w:val="00D379A5"/>
    <w:rsid w:val="00D37BB3"/>
    <w:rsid w:val="00D401BE"/>
    <w:rsid w:val="00D4043A"/>
    <w:rsid w:val="00D40DB0"/>
    <w:rsid w:val="00D41093"/>
    <w:rsid w:val="00D41858"/>
    <w:rsid w:val="00D422DB"/>
    <w:rsid w:val="00D42AC2"/>
    <w:rsid w:val="00D43C06"/>
    <w:rsid w:val="00D4498E"/>
    <w:rsid w:val="00D4515F"/>
    <w:rsid w:val="00D451E8"/>
    <w:rsid w:val="00D45A45"/>
    <w:rsid w:val="00D466C9"/>
    <w:rsid w:val="00D46AF9"/>
    <w:rsid w:val="00D47275"/>
    <w:rsid w:val="00D47DE7"/>
    <w:rsid w:val="00D50388"/>
    <w:rsid w:val="00D517F6"/>
    <w:rsid w:val="00D51AB7"/>
    <w:rsid w:val="00D51E15"/>
    <w:rsid w:val="00D52B7E"/>
    <w:rsid w:val="00D52E2F"/>
    <w:rsid w:val="00D52F59"/>
    <w:rsid w:val="00D53445"/>
    <w:rsid w:val="00D53A2E"/>
    <w:rsid w:val="00D53E3E"/>
    <w:rsid w:val="00D54620"/>
    <w:rsid w:val="00D54868"/>
    <w:rsid w:val="00D54FA2"/>
    <w:rsid w:val="00D5564C"/>
    <w:rsid w:val="00D55893"/>
    <w:rsid w:val="00D55904"/>
    <w:rsid w:val="00D55913"/>
    <w:rsid w:val="00D5614E"/>
    <w:rsid w:val="00D5616F"/>
    <w:rsid w:val="00D564B8"/>
    <w:rsid w:val="00D57940"/>
    <w:rsid w:val="00D6028F"/>
    <w:rsid w:val="00D60327"/>
    <w:rsid w:val="00D60D6D"/>
    <w:rsid w:val="00D61384"/>
    <w:rsid w:val="00D61526"/>
    <w:rsid w:val="00D61C39"/>
    <w:rsid w:val="00D61F81"/>
    <w:rsid w:val="00D620A6"/>
    <w:rsid w:val="00D623C0"/>
    <w:rsid w:val="00D628E3"/>
    <w:rsid w:val="00D62BE6"/>
    <w:rsid w:val="00D63359"/>
    <w:rsid w:val="00D63766"/>
    <w:rsid w:val="00D63912"/>
    <w:rsid w:val="00D63923"/>
    <w:rsid w:val="00D6451B"/>
    <w:rsid w:val="00D64B57"/>
    <w:rsid w:val="00D651A1"/>
    <w:rsid w:val="00D651F2"/>
    <w:rsid w:val="00D656F7"/>
    <w:rsid w:val="00D65DEA"/>
    <w:rsid w:val="00D6650F"/>
    <w:rsid w:val="00D66579"/>
    <w:rsid w:val="00D66638"/>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4D1"/>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0A0"/>
    <w:rsid w:val="00D9021B"/>
    <w:rsid w:val="00D90683"/>
    <w:rsid w:val="00D90B2A"/>
    <w:rsid w:val="00D913F5"/>
    <w:rsid w:val="00D91483"/>
    <w:rsid w:val="00D914E1"/>
    <w:rsid w:val="00D915C8"/>
    <w:rsid w:val="00D9310B"/>
    <w:rsid w:val="00D931F3"/>
    <w:rsid w:val="00D93726"/>
    <w:rsid w:val="00D93C6E"/>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71D"/>
    <w:rsid w:val="00DA286D"/>
    <w:rsid w:val="00DA2969"/>
    <w:rsid w:val="00DA29B7"/>
    <w:rsid w:val="00DA2E5F"/>
    <w:rsid w:val="00DA337C"/>
    <w:rsid w:val="00DA38B8"/>
    <w:rsid w:val="00DA3C42"/>
    <w:rsid w:val="00DA4842"/>
    <w:rsid w:val="00DA4C97"/>
    <w:rsid w:val="00DA52BB"/>
    <w:rsid w:val="00DA54BF"/>
    <w:rsid w:val="00DA5989"/>
    <w:rsid w:val="00DA5AB1"/>
    <w:rsid w:val="00DA5F9D"/>
    <w:rsid w:val="00DA69B2"/>
    <w:rsid w:val="00DA7462"/>
    <w:rsid w:val="00DA7AD0"/>
    <w:rsid w:val="00DA7AF9"/>
    <w:rsid w:val="00DB02D7"/>
    <w:rsid w:val="00DB03CC"/>
    <w:rsid w:val="00DB03DE"/>
    <w:rsid w:val="00DB12D4"/>
    <w:rsid w:val="00DB1445"/>
    <w:rsid w:val="00DB14F0"/>
    <w:rsid w:val="00DB1745"/>
    <w:rsid w:val="00DB19BB"/>
    <w:rsid w:val="00DB1AFF"/>
    <w:rsid w:val="00DB1B36"/>
    <w:rsid w:val="00DB219A"/>
    <w:rsid w:val="00DB229C"/>
    <w:rsid w:val="00DB24D7"/>
    <w:rsid w:val="00DB2970"/>
    <w:rsid w:val="00DB3165"/>
    <w:rsid w:val="00DB420F"/>
    <w:rsid w:val="00DB4292"/>
    <w:rsid w:val="00DB481B"/>
    <w:rsid w:val="00DB4BDD"/>
    <w:rsid w:val="00DB4DB7"/>
    <w:rsid w:val="00DB5023"/>
    <w:rsid w:val="00DB50C4"/>
    <w:rsid w:val="00DB5767"/>
    <w:rsid w:val="00DB69FA"/>
    <w:rsid w:val="00DB6E46"/>
    <w:rsid w:val="00DB7117"/>
    <w:rsid w:val="00DB7760"/>
    <w:rsid w:val="00DB7987"/>
    <w:rsid w:val="00DB7B1F"/>
    <w:rsid w:val="00DB7DD4"/>
    <w:rsid w:val="00DC00B4"/>
    <w:rsid w:val="00DC0195"/>
    <w:rsid w:val="00DC0759"/>
    <w:rsid w:val="00DC0954"/>
    <w:rsid w:val="00DC0DF8"/>
    <w:rsid w:val="00DC158A"/>
    <w:rsid w:val="00DC15BA"/>
    <w:rsid w:val="00DC18CD"/>
    <w:rsid w:val="00DC1A68"/>
    <w:rsid w:val="00DC246C"/>
    <w:rsid w:val="00DC2536"/>
    <w:rsid w:val="00DC30B8"/>
    <w:rsid w:val="00DC478F"/>
    <w:rsid w:val="00DC61AC"/>
    <w:rsid w:val="00DC62E5"/>
    <w:rsid w:val="00DC6D70"/>
    <w:rsid w:val="00DC6F33"/>
    <w:rsid w:val="00DC7349"/>
    <w:rsid w:val="00DC7389"/>
    <w:rsid w:val="00DC7402"/>
    <w:rsid w:val="00DD02BE"/>
    <w:rsid w:val="00DD06F4"/>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31C"/>
    <w:rsid w:val="00DD6A79"/>
    <w:rsid w:val="00DD72A0"/>
    <w:rsid w:val="00DD735D"/>
    <w:rsid w:val="00DD7F7D"/>
    <w:rsid w:val="00DE0159"/>
    <w:rsid w:val="00DE064A"/>
    <w:rsid w:val="00DE0683"/>
    <w:rsid w:val="00DE0686"/>
    <w:rsid w:val="00DE082D"/>
    <w:rsid w:val="00DE1410"/>
    <w:rsid w:val="00DE20C6"/>
    <w:rsid w:val="00DE3119"/>
    <w:rsid w:val="00DE322B"/>
    <w:rsid w:val="00DE3C24"/>
    <w:rsid w:val="00DE3FF0"/>
    <w:rsid w:val="00DE4105"/>
    <w:rsid w:val="00DE5189"/>
    <w:rsid w:val="00DE5D88"/>
    <w:rsid w:val="00DE60AC"/>
    <w:rsid w:val="00DE63F8"/>
    <w:rsid w:val="00DE6EB8"/>
    <w:rsid w:val="00DE7108"/>
    <w:rsid w:val="00DE74AC"/>
    <w:rsid w:val="00DE78D1"/>
    <w:rsid w:val="00DE78FF"/>
    <w:rsid w:val="00DF0263"/>
    <w:rsid w:val="00DF0588"/>
    <w:rsid w:val="00DF080F"/>
    <w:rsid w:val="00DF0EB4"/>
    <w:rsid w:val="00DF158B"/>
    <w:rsid w:val="00DF1733"/>
    <w:rsid w:val="00DF193C"/>
    <w:rsid w:val="00DF1DE6"/>
    <w:rsid w:val="00DF1E36"/>
    <w:rsid w:val="00DF236B"/>
    <w:rsid w:val="00DF2A91"/>
    <w:rsid w:val="00DF3889"/>
    <w:rsid w:val="00DF3C0D"/>
    <w:rsid w:val="00DF3CC9"/>
    <w:rsid w:val="00DF4451"/>
    <w:rsid w:val="00DF49FF"/>
    <w:rsid w:val="00DF4FFB"/>
    <w:rsid w:val="00DF5236"/>
    <w:rsid w:val="00DF5D50"/>
    <w:rsid w:val="00DF5E00"/>
    <w:rsid w:val="00DF6232"/>
    <w:rsid w:val="00DF651F"/>
    <w:rsid w:val="00DF6F43"/>
    <w:rsid w:val="00DF6F5C"/>
    <w:rsid w:val="00DF71EA"/>
    <w:rsid w:val="00DF73D1"/>
    <w:rsid w:val="00DF752F"/>
    <w:rsid w:val="00DF76A2"/>
    <w:rsid w:val="00DF786B"/>
    <w:rsid w:val="00E00B7A"/>
    <w:rsid w:val="00E0133D"/>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66B"/>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2AF9"/>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C7A"/>
    <w:rsid w:val="00E40E82"/>
    <w:rsid w:val="00E41141"/>
    <w:rsid w:val="00E4143A"/>
    <w:rsid w:val="00E424C8"/>
    <w:rsid w:val="00E4251D"/>
    <w:rsid w:val="00E43D00"/>
    <w:rsid w:val="00E44398"/>
    <w:rsid w:val="00E443B4"/>
    <w:rsid w:val="00E445E4"/>
    <w:rsid w:val="00E44EDE"/>
    <w:rsid w:val="00E457CB"/>
    <w:rsid w:val="00E4588C"/>
    <w:rsid w:val="00E45D47"/>
    <w:rsid w:val="00E45DE4"/>
    <w:rsid w:val="00E45E63"/>
    <w:rsid w:val="00E45EEE"/>
    <w:rsid w:val="00E46CEF"/>
    <w:rsid w:val="00E4759C"/>
    <w:rsid w:val="00E50A7B"/>
    <w:rsid w:val="00E50B0B"/>
    <w:rsid w:val="00E50B44"/>
    <w:rsid w:val="00E50B8A"/>
    <w:rsid w:val="00E50C57"/>
    <w:rsid w:val="00E510FE"/>
    <w:rsid w:val="00E514BA"/>
    <w:rsid w:val="00E519B2"/>
    <w:rsid w:val="00E51E25"/>
    <w:rsid w:val="00E51F38"/>
    <w:rsid w:val="00E5205B"/>
    <w:rsid w:val="00E521AE"/>
    <w:rsid w:val="00E52426"/>
    <w:rsid w:val="00E529A3"/>
    <w:rsid w:val="00E52C48"/>
    <w:rsid w:val="00E52C56"/>
    <w:rsid w:val="00E52EB3"/>
    <w:rsid w:val="00E52F22"/>
    <w:rsid w:val="00E5303A"/>
    <w:rsid w:val="00E53A21"/>
    <w:rsid w:val="00E53BCA"/>
    <w:rsid w:val="00E53DE2"/>
    <w:rsid w:val="00E53F02"/>
    <w:rsid w:val="00E5428D"/>
    <w:rsid w:val="00E544A1"/>
    <w:rsid w:val="00E54534"/>
    <w:rsid w:val="00E548C3"/>
    <w:rsid w:val="00E54F27"/>
    <w:rsid w:val="00E5574B"/>
    <w:rsid w:val="00E55FF1"/>
    <w:rsid w:val="00E56090"/>
    <w:rsid w:val="00E56408"/>
    <w:rsid w:val="00E565B9"/>
    <w:rsid w:val="00E56E7B"/>
    <w:rsid w:val="00E5733B"/>
    <w:rsid w:val="00E5756C"/>
    <w:rsid w:val="00E57811"/>
    <w:rsid w:val="00E5788B"/>
    <w:rsid w:val="00E57EDE"/>
    <w:rsid w:val="00E57FB0"/>
    <w:rsid w:val="00E601BE"/>
    <w:rsid w:val="00E6038C"/>
    <w:rsid w:val="00E60843"/>
    <w:rsid w:val="00E60A44"/>
    <w:rsid w:val="00E60B5F"/>
    <w:rsid w:val="00E60DC8"/>
    <w:rsid w:val="00E613AE"/>
    <w:rsid w:val="00E61429"/>
    <w:rsid w:val="00E6151F"/>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926"/>
    <w:rsid w:val="00E65E70"/>
    <w:rsid w:val="00E66087"/>
    <w:rsid w:val="00E668AE"/>
    <w:rsid w:val="00E66D79"/>
    <w:rsid w:val="00E66FF9"/>
    <w:rsid w:val="00E6706F"/>
    <w:rsid w:val="00E673A2"/>
    <w:rsid w:val="00E67756"/>
    <w:rsid w:val="00E67856"/>
    <w:rsid w:val="00E679C8"/>
    <w:rsid w:val="00E70314"/>
    <w:rsid w:val="00E70779"/>
    <w:rsid w:val="00E7209B"/>
    <w:rsid w:val="00E724B8"/>
    <w:rsid w:val="00E724E7"/>
    <w:rsid w:val="00E72B41"/>
    <w:rsid w:val="00E72F02"/>
    <w:rsid w:val="00E7347B"/>
    <w:rsid w:val="00E73792"/>
    <w:rsid w:val="00E73D03"/>
    <w:rsid w:val="00E73D78"/>
    <w:rsid w:val="00E746F7"/>
    <w:rsid w:val="00E7471C"/>
    <w:rsid w:val="00E7498A"/>
    <w:rsid w:val="00E7514E"/>
    <w:rsid w:val="00E75C0C"/>
    <w:rsid w:val="00E76537"/>
    <w:rsid w:val="00E77784"/>
    <w:rsid w:val="00E7781A"/>
    <w:rsid w:val="00E77AF5"/>
    <w:rsid w:val="00E8067B"/>
    <w:rsid w:val="00E81151"/>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1D95"/>
    <w:rsid w:val="00E9241E"/>
    <w:rsid w:val="00E92460"/>
    <w:rsid w:val="00E92E62"/>
    <w:rsid w:val="00E93804"/>
    <w:rsid w:val="00E9429D"/>
    <w:rsid w:val="00E95067"/>
    <w:rsid w:val="00E95434"/>
    <w:rsid w:val="00E96467"/>
    <w:rsid w:val="00E966DA"/>
    <w:rsid w:val="00E96948"/>
    <w:rsid w:val="00E97262"/>
    <w:rsid w:val="00E9737B"/>
    <w:rsid w:val="00E97A3F"/>
    <w:rsid w:val="00E97F0A"/>
    <w:rsid w:val="00EA0100"/>
    <w:rsid w:val="00EA041B"/>
    <w:rsid w:val="00EA0BCE"/>
    <w:rsid w:val="00EA17BC"/>
    <w:rsid w:val="00EA2744"/>
    <w:rsid w:val="00EA37B9"/>
    <w:rsid w:val="00EA39F7"/>
    <w:rsid w:val="00EA3DC2"/>
    <w:rsid w:val="00EA434E"/>
    <w:rsid w:val="00EA438A"/>
    <w:rsid w:val="00EA4757"/>
    <w:rsid w:val="00EA560B"/>
    <w:rsid w:val="00EA5669"/>
    <w:rsid w:val="00EA5CC6"/>
    <w:rsid w:val="00EA6168"/>
    <w:rsid w:val="00EA6384"/>
    <w:rsid w:val="00EA63EF"/>
    <w:rsid w:val="00EA6719"/>
    <w:rsid w:val="00EA793F"/>
    <w:rsid w:val="00EA7B3D"/>
    <w:rsid w:val="00EA7CBF"/>
    <w:rsid w:val="00EB0A89"/>
    <w:rsid w:val="00EB1573"/>
    <w:rsid w:val="00EB1910"/>
    <w:rsid w:val="00EB2564"/>
    <w:rsid w:val="00EB25BC"/>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A8A"/>
    <w:rsid w:val="00EC1CE7"/>
    <w:rsid w:val="00EC1DAE"/>
    <w:rsid w:val="00EC1FC1"/>
    <w:rsid w:val="00EC26F1"/>
    <w:rsid w:val="00EC3C94"/>
    <w:rsid w:val="00EC4336"/>
    <w:rsid w:val="00EC44DF"/>
    <w:rsid w:val="00EC4525"/>
    <w:rsid w:val="00EC4FB9"/>
    <w:rsid w:val="00EC527C"/>
    <w:rsid w:val="00EC5393"/>
    <w:rsid w:val="00EC5741"/>
    <w:rsid w:val="00EC5DA3"/>
    <w:rsid w:val="00EC6014"/>
    <w:rsid w:val="00EC6565"/>
    <w:rsid w:val="00EC690B"/>
    <w:rsid w:val="00EC6B3E"/>
    <w:rsid w:val="00EC73DE"/>
    <w:rsid w:val="00EC7637"/>
    <w:rsid w:val="00EC7C07"/>
    <w:rsid w:val="00EC7CF2"/>
    <w:rsid w:val="00ED046C"/>
    <w:rsid w:val="00ED053A"/>
    <w:rsid w:val="00ED0653"/>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6B7"/>
    <w:rsid w:val="00ED69BA"/>
    <w:rsid w:val="00ED6C5A"/>
    <w:rsid w:val="00ED6D1A"/>
    <w:rsid w:val="00ED72E9"/>
    <w:rsid w:val="00ED732E"/>
    <w:rsid w:val="00ED77F0"/>
    <w:rsid w:val="00ED7E8F"/>
    <w:rsid w:val="00ED7FBC"/>
    <w:rsid w:val="00EE0253"/>
    <w:rsid w:val="00EE0297"/>
    <w:rsid w:val="00EE0B43"/>
    <w:rsid w:val="00EE0B97"/>
    <w:rsid w:val="00EE1258"/>
    <w:rsid w:val="00EE13DA"/>
    <w:rsid w:val="00EE1668"/>
    <w:rsid w:val="00EE1C10"/>
    <w:rsid w:val="00EE1EDB"/>
    <w:rsid w:val="00EE23ED"/>
    <w:rsid w:val="00EE24E2"/>
    <w:rsid w:val="00EE2D51"/>
    <w:rsid w:val="00EE366D"/>
    <w:rsid w:val="00EE459F"/>
    <w:rsid w:val="00EE5454"/>
    <w:rsid w:val="00EE59B5"/>
    <w:rsid w:val="00EE5D0B"/>
    <w:rsid w:val="00EE5FA9"/>
    <w:rsid w:val="00EE5FB7"/>
    <w:rsid w:val="00EE6783"/>
    <w:rsid w:val="00EE678B"/>
    <w:rsid w:val="00EE6BF7"/>
    <w:rsid w:val="00EE7B54"/>
    <w:rsid w:val="00EE7C47"/>
    <w:rsid w:val="00EE7C88"/>
    <w:rsid w:val="00EE7C8B"/>
    <w:rsid w:val="00EF0209"/>
    <w:rsid w:val="00EF05F5"/>
    <w:rsid w:val="00EF0A58"/>
    <w:rsid w:val="00EF0EA4"/>
    <w:rsid w:val="00EF16B3"/>
    <w:rsid w:val="00EF1E97"/>
    <w:rsid w:val="00EF2436"/>
    <w:rsid w:val="00EF2547"/>
    <w:rsid w:val="00EF2B2B"/>
    <w:rsid w:val="00EF2E1C"/>
    <w:rsid w:val="00EF2FD6"/>
    <w:rsid w:val="00EF326A"/>
    <w:rsid w:val="00EF338A"/>
    <w:rsid w:val="00EF397D"/>
    <w:rsid w:val="00EF3A16"/>
    <w:rsid w:val="00EF3AE4"/>
    <w:rsid w:val="00EF427A"/>
    <w:rsid w:val="00EF42BD"/>
    <w:rsid w:val="00EF45DF"/>
    <w:rsid w:val="00EF46F3"/>
    <w:rsid w:val="00EF4944"/>
    <w:rsid w:val="00EF4952"/>
    <w:rsid w:val="00EF498F"/>
    <w:rsid w:val="00EF4A0F"/>
    <w:rsid w:val="00EF4A42"/>
    <w:rsid w:val="00EF510C"/>
    <w:rsid w:val="00EF55C4"/>
    <w:rsid w:val="00EF57BC"/>
    <w:rsid w:val="00EF5CA8"/>
    <w:rsid w:val="00EF6737"/>
    <w:rsid w:val="00EF6784"/>
    <w:rsid w:val="00EF688A"/>
    <w:rsid w:val="00EF6A03"/>
    <w:rsid w:val="00EF6DC2"/>
    <w:rsid w:val="00EF7506"/>
    <w:rsid w:val="00EF760B"/>
    <w:rsid w:val="00EF7BF4"/>
    <w:rsid w:val="00EF7E3B"/>
    <w:rsid w:val="00F0030F"/>
    <w:rsid w:val="00F00674"/>
    <w:rsid w:val="00F00720"/>
    <w:rsid w:val="00F00F9D"/>
    <w:rsid w:val="00F01657"/>
    <w:rsid w:val="00F01E67"/>
    <w:rsid w:val="00F02744"/>
    <w:rsid w:val="00F02BD9"/>
    <w:rsid w:val="00F02BFD"/>
    <w:rsid w:val="00F02CC2"/>
    <w:rsid w:val="00F02D25"/>
    <w:rsid w:val="00F03C3D"/>
    <w:rsid w:val="00F03E3E"/>
    <w:rsid w:val="00F03FFC"/>
    <w:rsid w:val="00F0435D"/>
    <w:rsid w:val="00F04580"/>
    <w:rsid w:val="00F04ECA"/>
    <w:rsid w:val="00F04F8B"/>
    <w:rsid w:val="00F05E59"/>
    <w:rsid w:val="00F06E19"/>
    <w:rsid w:val="00F06F84"/>
    <w:rsid w:val="00F076E7"/>
    <w:rsid w:val="00F07A86"/>
    <w:rsid w:val="00F07AA1"/>
    <w:rsid w:val="00F07D64"/>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1773A"/>
    <w:rsid w:val="00F20259"/>
    <w:rsid w:val="00F20742"/>
    <w:rsid w:val="00F20931"/>
    <w:rsid w:val="00F20ECE"/>
    <w:rsid w:val="00F213A0"/>
    <w:rsid w:val="00F21B4B"/>
    <w:rsid w:val="00F21D54"/>
    <w:rsid w:val="00F21EF4"/>
    <w:rsid w:val="00F23113"/>
    <w:rsid w:val="00F23255"/>
    <w:rsid w:val="00F23393"/>
    <w:rsid w:val="00F23759"/>
    <w:rsid w:val="00F24644"/>
    <w:rsid w:val="00F24B27"/>
    <w:rsid w:val="00F252E7"/>
    <w:rsid w:val="00F258EB"/>
    <w:rsid w:val="00F25947"/>
    <w:rsid w:val="00F262D6"/>
    <w:rsid w:val="00F2674A"/>
    <w:rsid w:val="00F2685E"/>
    <w:rsid w:val="00F26CCF"/>
    <w:rsid w:val="00F26F33"/>
    <w:rsid w:val="00F270BB"/>
    <w:rsid w:val="00F273D5"/>
    <w:rsid w:val="00F2748A"/>
    <w:rsid w:val="00F300A8"/>
    <w:rsid w:val="00F302C6"/>
    <w:rsid w:val="00F30400"/>
    <w:rsid w:val="00F3073A"/>
    <w:rsid w:val="00F3079E"/>
    <w:rsid w:val="00F30FFD"/>
    <w:rsid w:val="00F310C0"/>
    <w:rsid w:val="00F31289"/>
    <w:rsid w:val="00F31841"/>
    <w:rsid w:val="00F330DD"/>
    <w:rsid w:val="00F332E0"/>
    <w:rsid w:val="00F3399B"/>
    <w:rsid w:val="00F33F4B"/>
    <w:rsid w:val="00F34411"/>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899"/>
    <w:rsid w:val="00F41D8B"/>
    <w:rsid w:val="00F42121"/>
    <w:rsid w:val="00F424B3"/>
    <w:rsid w:val="00F428B1"/>
    <w:rsid w:val="00F428B4"/>
    <w:rsid w:val="00F42FC5"/>
    <w:rsid w:val="00F4345D"/>
    <w:rsid w:val="00F4387B"/>
    <w:rsid w:val="00F45921"/>
    <w:rsid w:val="00F45B91"/>
    <w:rsid w:val="00F46639"/>
    <w:rsid w:val="00F46E5D"/>
    <w:rsid w:val="00F47180"/>
    <w:rsid w:val="00F476FD"/>
    <w:rsid w:val="00F47F4B"/>
    <w:rsid w:val="00F50183"/>
    <w:rsid w:val="00F50D92"/>
    <w:rsid w:val="00F51585"/>
    <w:rsid w:val="00F5161D"/>
    <w:rsid w:val="00F51765"/>
    <w:rsid w:val="00F51A51"/>
    <w:rsid w:val="00F51BC6"/>
    <w:rsid w:val="00F51CB4"/>
    <w:rsid w:val="00F52097"/>
    <w:rsid w:val="00F52324"/>
    <w:rsid w:val="00F52950"/>
    <w:rsid w:val="00F52C9D"/>
    <w:rsid w:val="00F533F1"/>
    <w:rsid w:val="00F53ED8"/>
    <w:rsid w:val="00F5494F"/>
    <w:rsid w:val="00F54FE3"/>
    <w:rsid w:val="00F55185"/>
    <w:rsid w:val="00F554B1"/>
    <w:rsid w:val="00F55679"/>
    <w:rsid w:val="00F558F7"/>
    <w:rsid w:val="00F561E3"/>
    <w:rsid w:val="00F565E6"/>
    <w:rsid w:val="00F56AFA"/>
    <w:rsid w:val="00F575E2"/>
    <w:rsid w:val="00F57747"/>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144"/>
    <w:rsid w:val="00F64F40"/>
    <w:rsid w:val="00F651E9"/>
    <w:rsid w:val="00F65A3C"/>
    <w:rsid w:val="00F66009"/>
    <w:rsid w:val="00F66282"/>
    <w:rsid w:val="00F6639E"/>
    <w:rsid w:val="00F670E9"/>
    <w:rsid w:val="00F67AF1"/>
    <w:rsid w:val="00F67D8B"/>
    <w:rsid w:val="00F700AE"/>
    <w:rsid w:val="00F701C5"/>
    <w:rsid w:val="00F7084F"/>
    <w:rsid w:val="00F70961"/>
    <w:rsid w:val="00F70A8F"/>
    <w:rsid w:val="00F70E45"/>
    <w:rsid w:val="00F70F53"/>
    <w:rsid w:val="00F71263"/>
    <w:rsid w:val="00F71397"/>
    <w:rsid w:val="00F7237C"/>
    <w:rsid w:val="00F72389"/>
    <w:rsid w:val="00F72516"/>
    <w:rsid w:val="00F72FB4"/>
    <w:rsid w:val="00F734AA"/>
    <w:rsid w:val="00F735E5"/>
    <w:rsid w:val="00F736AF"/>
    <w:rsid w:val="00F73B82"/>
    <w:rsid w:val="00F73E80"/>
    <w:rsid w:val="00F7469C"/>
    <w:rsid w:val="00F747BF"/>
    <w:rsid w:val="00F7492E"/>
    <w:rsid w:val="00F74945"/>
    <w:rsid w:val="00F749A3"/>
    <w:rsid w:val="00F74AE8"/>
    <w:rsid w:val="00F75348"/>
    <w:rsid w:val="00F753DD"/>
    <w:rsid w:val="00F76C11"/>
    <w:rsid w:val="00F77021"/>
    <w:rsid w:val="00F770AB"/>
    <w:rsid w:val="00F775DD"/>
    <w:rsid w:val="00F77E61"/>
    <w:rsid w:val="00F80221"/>
    <w:rsid w:val="00F80A0A"/>
    <w:rsid w:val="00F80C81"/>
    <w:rsid w:val="00F812CA"/>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CE0"/>
    <w:rsid w:val="00F86F01"/>
    <w:rsid w:val="00F87144"/>
    <w:rsid w:val="00F87634"/>
    <w:rsid w:val="00F87948"/>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4A5D"/>
    <w:rsid w:val="00F952E4"/>
    <w:rsid w:val="00F9537B"/>
    <w:rsid w:val="00F96079"/>
    <w:rsid w:val="00F963FC"/>
    <w:rsid w:val="00F96D3B"/>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5EC2"/>
    <w:rsid w:val="00FA60C1"/>
    <w:rsid w:val="00FA65A3"/>
    <w:rsid w:val="00FA6F8B"/>
    <w:rsid w:val="00FA727C"/>
    <w:rsid w:val="00FA7A30"/>
    <w:rsid w:val="00FA7ED7"/>
    <w:rsid w:val="00FB033F"/>
    <w:rsid w:val="00FB0880"/>
    <w:rsid w:val="00FB12E3"/>
    <w:rsid w:val="00FB1570"/>
    <w:rsid w:val="00FB193B"/>
    <w:rsid w:val="00FB1B51"/>
    <w:rsid w:val="00FB1FBC"/>
    <w:rsid w:val="00FB27B7"/>
    <w:rsid w:val="00FB282A"/>
    <w:rsid w:val="00FB35E3"/>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0C7"/>
    <w:rsid w:val="00FC1196"/>
    <w:rsid w:val="00FC157D"/>
    <w:rsid w:val="00FC15EB"/>
    <w:rsid w:val="00FC162C"/>
    <w:rsid w:val="00FC18DC"/>
    <w:rsid w:val="00FC1CCE"/>
    <w:rsid w:val="00FC2477"/>
    <w:rsid w:val="00FC2AC4"/>
    <w:rsid w:val="00FC2F73"/>
    <w:rsid w:val="00FC325F"/>
    <w:rsid w:val="00FC3A9B"/>
    <w:rsid w:val="00FC3AE1"/>
    <w:rsid w:val="00FC3BC5"/>
    <w:rsid w:val="00FC3DFC"/>
    <w:rsid w:val="00FC3EF4"/>
    <w:rsid w:val="00FC431B"/>
    <w:rsid w:val="00FC434C"/>
    <w:rsid w:val="00FC472C"/>
    <w:rsid w:val="00FC4FDF"/>
    <w:rsid w:val="00FC5CF4"/>
    <w:rsid w:val="00FC5D64"/>
    <w:rsid w:val="00FC6A39"/>
    <w:rsid w:val="00FC6DB9"/>
    <w:rsid w:val="00FC6EDA"/>
    <w:rsid w:val="00FC76A9"/>
    <w:rsid w:val="00FC76BF"/>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5737"/>
    <w:rsid w:val="00FD6145"/>
    <w:rsid w:val="00FD6DC5"/>
    <w:rsid w:val="00FD72B1"/>
    <w:rsid w:val="00FD798D"/>
    <w:rsid w:val="00FD7B9B"/>
    <w:rsid w:val="00FE141E"/>
    <w:rsid w:val="00FE144E"/>
    <w:rsid w:val="00FE1768"/>
    <w:rsid w:val="00FE1DD5"/>
    <w:rsid w:val="00FE21A6"/>
    <w:rsid w:val="00FE24F4"/>
    <w:rsid w:val="00FE2560"/>
    <w:rsid w:val="00FE2E21"/>
    <w:rsid w:val="00FE2FD5"/>
    <w:rsid w:val="00FE35D0"/>
    <w:rsid w:val="00FE42ED"/>
    <w:rsid w:val="00FE43AD"/>
    <w:rsid w:val="00FE4E06"/>
    <w:rsid w:val="00FE55A7"/>
    <w:rsid w:val="00FE5C5A"/>
    <w:rsid w:val="00FE6432"/>
    <w:rsid w:val="00FE72A0"/>
    <w:rsid w:val="00FE76EB"/>
    <w:rsid w:val="00FF0050"/>
    <w:rsid w:val="00FF045F"/>
    <w:rsid w:val="00FF0650"/>
    <w:rsid w:val="00FF1367"/>
    <w:rsid w:val="00FF13D4"/>
    <w:rsid w:val="00FF1481"/>
    <w:rsid w:val="00FF2053"/>
    <w:rsid w:val="00FF31EC"/>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0B1F7ED5"/>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4A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 w:type="paragraph" w:customStyle="1" w:styleId="xmsonospacing">
    <w:name w:val="x_msonospacing"/>
    <w:basedOn w:val="Normal"/>
    <w:rsid w:val="00037450"/>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18411912">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nuestra_entidad/normatividad/normatividad_conceptos_juridicos/OFICIO_220-014111_DE_2015.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30</Pages>
  <Words>11652</Words>
  <Characters>64087</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Jorge Eliecer Moran Buitrón</cp:lastModifiedBy>
  <cp:revision>3</cp:revision>
  <cp:lastPrinted>2021-01-20T13:01:00Z</cp:lastPrinted>
  <dcterms:created xsi:type="dcterms:W3CDTF">2022-05-04T12:32:00Z</dcterms:created>
  <dcterms:modified xsi:type="dcterms:W3CDTF">2022-05-25T15:00:00Z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