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C308D" w14:textId="77777777" w:rsidR="00427014" w:rsidRPr="00700E88" w:rsidRDefault="00427014" w:rsidP="677C9FDF">
      <w:pPr>
        <w:spacing w:after="0"/>
        <w:jc w:val="both"/>
        <w:rPr>
          <w:rFonts w:ascii="Arial" w:eastAsia="Arial" w:hAnsi="Arial" w:cs="Arial"/>
          <w:b/>
          <w:bCs/>
          <w:lang w:val="es-ES" w:eastAsia="es-ES"/>
        </w:rPr>
      </w:pPr>
      <w:bookmarkStart w:id="0" w:name="_Hlk28946138"/>
      <w:bookmarkStart w:id="1" w:name="_Hlk29548183"/>
      <w:bookmarkStart w:id="2" w:name="_Hlk111280068"/>
      <w:r w:rsidRPr="677C9FDF">
        <w:rPr>
          <w:rFonts w:ascii="Arial" w:eastAsia="Arial" w:hAnsi="Arial" w:cs="Arial"/>
          <w:b/>
          <w:bCs/>
          <w:lang w:val="es-ES" w:eastAsia="es-ES"/>
        </w:rPr>
        <w:t>PRINCIPIO DE PUBLICIDAD – Democracia – Estado social de Derecho – Fundamento axiológico</w:t>
      </w:r>
    </w:p>
    <w:p w14:paraId="123F7B2D" w14:textId="77777777" w:rsidR="00427014" w:rsidRPr="00700E88" w:rsidRDefault="00427014" w:rsidP="677C9FDF">
      <w:pPr>
        <w:spacing w:after="0"/>
        <w:jc w:val="both"/>
        <w:rPr>
          <w:rFonts w:ascii="Arial" w:eastAsia="Arial" w:hAnsi="Arial" w:cs="Arial"/>
          <w:color w:val="000000" w:themeColor="text1"/>
        </w:rPr>
      </w:pPr>
    </w:p>
    <w:p w14:paraId="28651AAE" w14:textId="77777777" w:rsidR="00427014" w:rsidRPr="00700E88" w:rsidRDefault="00427014" w:rsidP="677C9FDF">
      <w:pPr>
        <w:spacing w:after="0"/>
        <w:jc w:val="both"/>
        <w:rPr>
          <w:rFonts w:ascii="Arial" w:eastAsia="Arial" w:hAnsi="Arial" w:cs="Arial"/>
          <w:color w:val="000000" w:themeColor="text1"/>
          <w:sz w:val="20"/>
          <w:szCs w:val="20"/>
          <w:lang w:val="es-ES"/>
        </w:rPr>
      </w:pPr>
      <w:r w:rsidRPr="677C9FDF">
        <w:rPr>
          <w:rFonts w:ascii="Arial" w:eastAsia="Arial" w:hAnsi="Arial" w:cs="Arial"/>
          <w:color w:val="000000" w:themeColor="text1"/>
          <w:sz w:val="20"/>
          <w:szCs w:val="20"/>
          <w:lang w:val="es-ES"/>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49BD5AEE" w14:textId="77777777" w:rsidR="00427014" w:rsidRPr="00700E88" w:rsidRDefault="00427014" w:rsidP="677C9FDF">
      <w:pPr>
        <w:spacing w:after="0"/>
        <w:jc w:val="both"/>
        <w:rPr>
          <w:rFonts w:ascii="Arial" w:eastAsia="Arial" w:hAnsi="Arial" w:cs="Arial"/>
          <w:color w:val="000000" w:themeColor="text1"/>
          <w:sz w:val="20"/>
          <w:szCs w:val="20"/>
          <w:lang w:val="es-ES"/>
        </w:rPr>
      </w:pPr>
    </w:p>
    <w:p w14:paraId="00562E83" w14:textId="77777777" w:rsidR="00427014" w:rsidRPr="00700E88" w:rsidRDefault="00427014" w:rsidP="677C9FDF">
      <w:pPr>
        <w:spacing w:after="0"/>
        <w:jc w:val="both"/>
        <w:rPr>
          <w:rFonts w:ascii="Arial" w:eastAsia="Arial" w:hAnsi="Arial" w:cs="Arial"/>
          <w:color w:val="000000" w:themeColor="text1"/>
          <w:sz w:val="20"/>
          <w:szCs w:val="20"/>
          <w:lang w:val="es-ES"/>
        </w:rPr>
      </w:pPr>
      <w:r w:rsidRPr="677C9FDF">
        <w:rPr>
          <w:rFonts w:ascii="Arial" w:eastAsia="Arial" w:hAnsi="Arial" w:cs="Arial"/>
          <w:color w:val="000000" w:themeColor="text1"/>
          <w:sz w:val="20"/>
          <w:szCs w:val="20"/>
          <w:lang w:val="es-ES"/>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05430719" w14:textId="77777777" w:rsidR="00427014" w:rsidRPr="00700E88" w:rsidRDefault="00427014" w:rsidP="677C9FDF">
      <w:pPr>
        <w:spacing w:after="0" w:line="240" w:lineRule="auto"/>
        <w:jc w:val="both"/>
        <w:rPr>
          <w:rFonts w:ascii="Arial" w:eastAsia="Arial" w:hAnsi="Arial" w:cs="Arial"/>
          <w:b/>
          <w:bCs/>
          <w:color w:val="000000"/>
          <w:lang w:val="es-ES"/>
        </w:rPr>
      </w:pPr>
    </w:p>
    <w:p w14:paraId="777403B3" w14:textId="77777777" w:rsidR="00427014" w:rsidRPr="00700E88" w:rsidRDefault="00427014" w:rsidP="677C9FDF">
      <w:pPr>
        <w:spacing w:after="0" w:line="240" w:lineRule="auto"/>
        <w:jc w:val="both"/>
        <w:rPr>
          <w:rFonts w:ascii="Arial" w:eastAsia="Arial" w:hAnsi="Arial" w:cs="Arial"/>
          <w:b/>
          <w:bCs/>
          <w:lang w:val="es-ES" w:eastAsia="es-ES"/>
        </w:rPr>
      </w:pPr>
      <w:r w:rsidRPr="677C9FDF">
        <w:rPr>
          <w:rFonts w:ascii="Arial" w:eastAsia="Arial" w:hAnsi="Arial" w:cs="Arial"/>
          <w:b/>
          <w:bCs/>
          <w:lang w:val="es-ES" w:eastAsia="es-ES"/>
        </w:rPr>
        <w:t>SECOP – Publicidad – Documentos – Información oficial</w:t>
      </w:r>
    </w:p>
    <w:p w14:paraId="38BEEC64" w14:textId="77777777" w:rsidR="00427014" w:rsidRPr="00700E88" w:rsidRDefault="00427014" w:rsidP="677C9FDF">
      <w:pPr>
        <w:spacing w:after="0" w:line="240" w:lineRule="auto"/>
        <w:jc w:val="both"/>
        <w:rPr>
          <w:rFonts w:ascii="Arial" w:eastAsia="Arial" w:hAnsi="Arial" w:cs="Arial"/>
          <w:b/>
          <w:bCs/>
          <w:lang w:val="es-ES" w:eastAsia="es-ES"/>
        </w:rPr>
      </w:pPr>
    </w:p>
    <w:p w14:paraId="0F7F7D7D" w14:textId="77777777" w:rsidR="00427014" w:rsidRPr="00700E88" w:rsidRDefault="00427014" w:rsidP="677C9FDF">
      <w:pPr>
        <w:spacing w:after="0" w:line="240" w:lineRule="auto"/>
        <w:jc w:val="both"/>
        <w:rPr>
          <w:rFonts w:ascii="Arial" w:eastAsia="Arial" w:hAnsi="Arial" w:cs="Arial"/>
          <w:color w:val="000000" w:themeColor="text1"/>
          <w:sz w:val="20"/>
          <w:szCs w:val="20"/>
          <w:lang w:val="es-ES" w:eastAsia="es-ES"/>
        </w:rPr>
      </w:pPr>
      <w:r w:rsidRPr="677C9FDF">
        <w:rPr>
          <w:rFonts w:ascii="Arial" w:eastAsia="Arial" w:hAnsi="Arial" w:cs="Arial"/>
          <w:color w:val="000000" w:themeColor="text1"/>
          <w:sz w:val="20"/>
          <w:szCs w:val="20"/>
          <w:lang w:val="es-ES" w:eastAsia="es-ES"/>
        </w:rPr>
        <w:t>[…] 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−SECOP–.</w:t>
      </w:r>
    </w:p>
    <w:p w14:paraId="28FDF0FD" w14:textId="77777777" w:rsidR="00427014" w:rsidRPr="00700E88" w:rsidRDefault="00427014" w:rsidP="677C9FDF">
      <w:pPr>
        <w:spacing w:after="0" w:line="240" w:lineRule="auto"/>
        <w:jc w:val="both"/>
        <w:rPr>
          <w:rFonts w:ascii="Arial" w:eastAsia="Arial" w:hAnsi="Arial" w:cs="Arial"/>
          <w:color w:val="000000" w:themeColor="text1"/>
          <w:sz w:val="20"/>
          <w:szCs w:val="20"/>
          <w:lang w:val="es-ES" w:eastAsia="es-ES"/>
        </w:rPr>
      </w:pPr>
    </w:p>
    <w:p w14:paraId="3112E5D0" w14:textId="77777777" w:rsidR="00427014" w:rsidRPr="00700E88" w:rsidRDefault="00427014" w:rsidP="677C9FDF">
      <w:pPr>
        <w:spacing w:after="0" w:line="240" w:lineRule="auto"/>
        <w:jc w:val="both"/>
        <w:rPr>
          <w:rFonts w:ascii="Arial" w:eastAsia="Arial" w:hAnsi="Arial" w:cs="Arial"/>
          <w:color w:val="000000" w:themeColor="text1"/>
          <w:sz w:val="20"/>
          <w:szCs w:val="20"/>
          <w:lang w:val="es-ES" w:eastAsia="es-ES"/>
        </w:rPr>
      </w:pPr>
      <w:r w:rsidRPr="677C9FDF">
        <w:rPr>
          <w:rFonts w:ascii="Arial" w:eastAsia="Arial" w:hAnsi="Arial" w:cs="Arial"/>
          <w:color w:val="000000" w:themeColor="text1"/>
          <w:sz w:val="20"/>
          <w:szCs w:val="20"/>
          <w:lang w:val="es-ES" w:eastAsia="es-ES"/>
        </w:rPr>
        <w:t xml:space="preserve">[…] </w:t>
      </w:r>
    </w:p>
    <w:p w14:paraId="3D07367A" w14:textId="77777777" w:rsidR="00427014" w:rsidRPr="00700E88" w:rsidRDefault="00427014" w:rsidP="677C9FDF">
      <w:pPr>
        <w:spacing w:after="0" w:line="240" w:lineRule="auto"/>
        <w:jc w:val="both"/>
        <w:rPr>
          <w:rFonts w:ascii="Arial" w:eastAsia="Arial" w:hAnsi="Arial" w:cs="Arial"/>
          <w:color w:val="000000" w:themeColor="text1"/>
          <w:sz w:val="20"/>
          <w:szCs w:val="20"/>
          <w:lang w:val="es-ES" w:eastAsia="es-ES"/>
        </w:rPr>
      </w:pPr>
    </w:p>
    <w:p w14:paraId="58C1BEF6" w14:textId="77777777" w:rsidR="00427014" w:rsidRPr="00700E88" w:rsidRDefault="00427014" w:rsidP="677C9FDF">
      <w:pPr>
        <w:spacing w:after="0" w:line="240" w:lineRule="auto"/>
        <w:jc w:val="both"/>
        <w:rPr>
          <w:rFonts w:ascii="Arial" w:eastAsia="Arial" w:hAnsi="Arial" w:cs="Arial"/>
          <w:color w:val="000000" w:themeColor="text1"/>
          <w:sz w:val="20"/>
          <w:szCs w:val="20"/>
          <w:lang w:val="es-ES" w:eastAsia="es-ES"/>
        </w:rPr>
      </w:pPr>
      <w:r w:rsidRPr="677C9FDF">
        <w:rPr>
          <w:rFonts w:ascii="Arial" w:eastAsia="Arial" w:hAnsi="Arial" w:cs="Arial"/>
          <w:color w:val="000000" w:themeColor="text1"/>
          <w:sz w:val="20"/>
          <w:szCs w:val="20"/>
          <w:lang w:val="es-ES" w:eastAsia="es-ES"/>
        </w:rPr>
        <w:t>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w:t>
      </w:r>
    </w:p>
    <w:p w14:paraId="1BC7B8A3" w14:textId="77777777" w:rsidR="00427014" w:rsidRPr="00700E88" w:rsidRDefault="00427014" w:rsidP="677C9FDF">
      <w:pPr>
        <w:spacing w:after="0" w:line="240" w:lineRule="auto"/>
        <w:jc w:val="both"/>
        <w:rPr>
          <w:rFonts w:ascii="Arial" w:eastAsia="Arial" w:hAnsi="Arial" w:cs="Arial"/>
          <w:b/>
          <w:bCs/>
          <w:color w:val="000000"/>
          <w:lang w:val="es-ES"/>
        </w:rPr>
      </w:pPr>
    </w:p>
    <w:p w14:paraId="580313D0" w14:textId="77777777" w:rsidR="00427014" w:rsidRPr="00700E88" w:rsidRDefault="00427014" w:rsidP="677C9FDF">
      <w:pPr>
        <w:jc w:val="both"/>
        <w:rPr>
          <w:rFonts w:ascii="Arial" w:eastAsia="Arial" w:hAnsi="Arial" w:cs="Arial"/>
          <w:b/>
          <w:bCs/>
          <w:sz w:val="21"/>
          <w:szCs w:val="21"/>
          <w:lang w:val="es-MX"/>
        </w:rPr>
      </w:pPr>
      <w:r w:rsidRPr="677C9FDF">
        <w:rPr>
          <w:rFonts w:ascii="Arial" w:eastAsia="Arial" w:hAnsi="Arial" w:cs="Arial"/>
          <w:b/>
          <w:bCs/>
          <w:lang w:val="es-MX"/>
        </w:rPr>
        <w:t>SECOP – Publicidad – Contratos sin erogación presupuestal</w:t>
      </w:r>
      <w:r w:rsidRPr="677C9FDF">
        <w:rPr>
          <w:rFonts w:ascii="Arial" w:eastAsia="Arial" w:hAnsi="Arial" w:cs="Arial"/>
          <w:b/>
          <w:bCs/>
          <w:sz w:val="21"/>
          <w:szCs w:val="21"/>
          <w:lang w:val="es-MX"/>
        </w:rPr>
        <w:t xml:space="preserve"> </w:t>
      </w:r>
    </w:p>
    <w:p w14:paraId="091C0129" w14:textId="77777777" w:rsidR="00427014" w:rsidRPr="00700E88" w:rsidRDefault="00427014" w:rsidP="677C9FDF">
      <w:pPr>
        <w:jc w:val="both"/>
        <w:rPr>
          <w:rFonts w:ascii="Arial" w:eastAsia="Arial" w:hAnsi="Arial" w:cs="Arial"/>
          <w:b/>
          <w:bCs/>
          <w:sz w:val="21"/>
          <w:szCs w:val="21"/>
          <w:lang w:val="es-MX"/>
        </w:rPr>
      </w:pPr>
    </w:p>
    <w:p w14:paraId="12653945" w14:textId="77777777" w:rsidR="00427014" w:rsidRPr="00700E88" w:rsidRDefault="00427014" w:rsidP="677C9FDF">
      <w:pPr>
        <w:spacing w:after="120"/>
        <w:jc w:val="both"/>
        <w:rPr>
          <w:rFonts w:ascii="Arial" w:eastAsia="Arial" w:hAnsi="Arial" w:cs="Arial"/>
          <w:sz w:val="20"/>
          <w:szCs w:val="20"/>
          <w:lang w:val="es-MX"/>
        </w:rPr>
      </w:pPr>
      <w:r w:rsidRPr="677C9FDF">
        <w:rPr>
          <w:rFonts w:ascii="Arial" w:eastAsia="Arial" w:hAnsi="Arial" w:cs="Arial"/>
          <w:sz w:val="20"/>
          <w:szCs w:val="20"/>
          <w:lang w:val="es-MX"/>
        </w:rPr>
        <w:lastRenderedPageBreak/>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w:t>
      </w:r>
    </w:p>
    <w:p w14:paraId="5052C875" w14:textId="77777777" w:rsidR="00427014" w:rsidRPr="00700E88" w:rsidRDefault="00427014" w:rsidP="677C9FDF">
      <w:pPr>
        <w:jc w:val="both"/>
        <w:rPr>
          <w:rFonts w:ascii="Arial" w:eastAsia="Arial" w:hAnsi="Arial" w:cs="Arial"/>
          <w:sz w:val="20"/>
          <w:szCs w:val="20"/>
          <w:lang w:val="es-MX"/>
        </w:rPr>
      </w:pPr>
      <w:r w:rsidRPr="677C9FDF">
        <w:rPr>
          <w:rFonts w:ascii="Arial" w:eastAsia="Arial" w:hAnsi="Arial" w:cs="Arial"/>
          <w:sz w:val="20"/>
          <w:szCs w:val="20"/>
          <w:lang w:val="es-MX"/>
        </w:rPr>
        <w:t xml:space="preserve">Además, es preciso analizar en detalle el artículo 3 de la Ley 1150 de 2007 citado, ya que al observar la literalidad de la norma se señala la obligación de que la actividad contractual de las entidades se publique en el SECOP, sin que esta, necesariamente,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 Así, analizando las normas sobre publicidad en el SECOP, se concluye que no existen disposiciones de las que se pueda inferir el interés de la ley en exigir la publicación de los actos que evidencien la ejecución de recursos públicos, puesto que su objetivo es general y se refiere a la actividad precontractual, contractual y poscontractual de las entidades, sin que pueda existir una interpretación diferente, debido a la finalidad de la ley respecto de la ciudadanía y su derecho a conocer las decisiones de la Administración pública. </w:t>
      </w:r>
    </w:p>
    <w:p w14:paraId="432BFE70" w14:textId="28CCF51C" w:rsidR="00427014" w:rsidRPr="00700E88" w:rsidRDefault="00427014" w:rsidP="677C9FDF">
      <w:pPr>
        <w:spacing w:after="0" w:line="240" w:lineRule="auto"/>
        <w:textAlignment w:val="baseline"/>
        <w:rPr>
          <w:rFonts w:ascii="Arial" w:eastAsia="Arial" w:hAnsi="Arial" w:cs="Arial"/>
          <w:lang w:val="es-MX" w:eastAsia="es-CO"/>
        </w:rPr>
      </w:pPr>
    </w:p>
    <w:p w14:paraId="09CCF531" w14:textId="77777777" w:rsidR="00427014" w:rsidRPr="00700E88" w:rsidRDefault="00427014" w:rsidP="677C9FDF">
      <w:pPr>
        <w:spacing w:after="0" w:line="276" w:lineRule="auto"/>
        <w:rPr>
          <w:rFonts w:ascii="Arial" w:eastAsia="Arial" w:hAnsi="Arial" w:cs="Arial"/>
          <w:color w:val="000000" w:themeColor="text1"/>
          <w:lang w:val="es-MX"/>
        </w:rPr>
      </w:pPr>
    </w:p>
    <w:p w14:paraId="16E71EDD" w14:textId="77777777" w:rsidR="00427014" w:rsidRPr="00700E88" w:rsidRDefault="00427014" w:rsidP="677C9FDF">
      <w:pPr>
        <w:spacing w:after="0" w:line="276" w:lineRule="auto"/>
        <w:rPr>
          <w:rFonts w:ascii="Arial" w:eastAsia="Arial" w:hAnsi="Arial" w:cs="Arial"/>
          <w:color w:val="000000" w:themeColor="text1"/>
          <w:lang w:val="es-MX"/>
        </w:rPr>
      </w:pPr>
    </w:p>
    <w:p w14:paraId="3B97B165" w14:textId="77777777" w:rsidR="00427014" w:rsidRPr="00700E88" w:rsidRDefault="00427014" w:rsidP="677C9FDF">
      <w:pPr>
        <w:spacing w:after="0" w:line="276" w:lineRule="auto"/>
        <w:rPr>
          <w:rFonts w:ascii="Arial" w:eastAsia="Arial" w:hAnsi="Arial" w:cs="Arial"/>
          <w:color w:val="000000" w:themeColor="text1"/>
          <w:lang w:val="es-MX"/>
        </w:rPr>
      </w:pPr>
    </w:p>
    <w:p w14:paraId="457D3081" w14:textId="269175D1" w:rsidR="00427014" w:rsidRDefault="00427014" w:rsidP="008A597F">
      <w:pPr>
        <w:spacing w:after="0" w:line="276" w:lineRule="auto"/>
        <w:jc w:val="right"/>
      </w:pPr>
    </w:p>
    <w:p w14:paraId="1E90F8A3" w14:textId="77777777" w:rsidR="008A597F" w:rsidRPr="00700E88" w:rsidRDefault="008A597F" w:rsidP="677C9FDF">
      <w:pPr>
        <w:spacing w:after="0" w:line="276" w:lineRule="auto"/>
        <w:rPr>
          <w:rFonts w:ascii="Arial" w:eastAsia="Arial" w:hAnsi="Arial" w:cs="Arial"/>
          <w:color w:val="000000" w:themeColor="text1"/>
          <w:lang w:val="es-MX"/>
        </w:rPr>
      </w:pPr>
    </w:p>
    <w:p w14:paraId="79BAF1C1" w14:textId="317AEB6A" w:rsidR="00427014" w:rsidRPr="00700E88" w:rsidRDefault="00F42C4C" w:rsidP="677C9FDF">
      <w:pPr>
        <w:spacing w:after="0" w:line="276" w:lineRule="auto"/>
        <w:rPr>
          <w:rFonts w:ascii="Arial" w:eastAsia="Arial" w:hAnsi="Arial" w:cs="Arial"/>
          <w:color w:val="000000" w:themeColor="text1"/>
          <w:lang w:val="es-MX"/>
        </w:rPr>
      </w:pPr>
      <w:r w:rsidRPr="677C9FDF">
        <w:rPr>
          <w:rFonts w:ascii="Arial" w:eastAsia="Arial" w:hAnsi="Arial" w:cs="Arial"/>
        </w:rPr>
        <w:t>Bogotá D.C.</w:t>
      </w:r>
      <w:r w:rsidR="1DC80F15" w:rsidRPr="677C9FDF">
        <w:rPr>
          <w:rFonts w:ascii="Arial" w:eastAsia="Arial" w:hAnsi="Arial" w:cs="Arial"/>
        </w:rPr>
        <w:t>, 10 de Julio de 2023</w:t>
      </w:r>
    </w:p>
    <w:p w14:paraId="13D95FEB" w14:textId="2881A528" w:rsidR="00427014" w:rsidRPr="00700E88" w:rsidRDefault="22045460" w:rsidP="677C9FDF">
      <w:pPr>
        <w:spacing w:after="0" w:line="276" w:lineRule="auto"/>
        <w:jc w:val="right"/>
        <w:rPr>
          <w:rFonts w:ascii="Arial" w:eastAsia="Arial" w:hAnsi="Arial" w:cs="Arial"/>
          <w:color w:val="000000" w:themeColor="text1"/>
          <w:lang w:val="es-MX"/>
        </w:rPr>
      </w:pPr>
      <w:r>
        <w:rPr>
          <w:noProof/>
        </w:rPr>
        <w:drawing>
          <wp:inline distT="0" distB="0" distL="0" distR="0" wp14:anchorId="67A32D85" wp14:editId="677C9FDF">
            <wp:extent cx="2419474" cy="641383"/>
            <wp:effectExtent l="0" t="0" r="0" b="6350"/>
            <wp:docPr id="1321796674" name="Picture 1" descr="A close-up of a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419474" cy="641383"/>
                    </a:xfrm>
                    <a:prstGeom prst="rect">
                      <a:avLst/>
                    </a:prstGeom>
                  </pic:spPr>
                </pic:pic>
              </a:graphicData>
            </a:graphic>
          </wp:inline>
        </w:drawing>
      </w:r>
    </w:p>
    <w:p w14:paraId="437DAE72" w14:textId="77777777" w:rsidR="00033AE0" w:rsidRPr="00700E88" w:rsidRDefault="00033AE0" w:rsidP="677C9FDF">
      <w:pPr>
        <w:spacing w:after="0" w:line="276" w:lineRule="auto"/>
        <w:rPr>
          <w:rFonts w:ascii="Arial" w:eastAsia="Arial" w:hAnsi="Arial" w:cs="Arial"/>
          <w:color w:val="000000" w:themeColor="text1"/>
          <w:lang w:val="es-MX"/>
        </w:rPr>
      </w:pPr>
    </w:p>
    <w:p w14:paraId="154175F1" w14:textId="77777777" w:rsidR="00427014" w:rsidRPr="00700E88" w:rsidRDefault="00427014" w:rsidP="677C9FDF">
      <w:pPr>
        <w:spacing w:after="0" w:line="276" w:lineRule="auto"/>
        <w:rPr>
          <w:rFonts w:ascii="Arial" w:eastAsia="Arial" w:hAnsi="Arial" w:cs="Arial"/>
          <w:color w:val="000000" w:themeColor="text1"/>
          <w:lang w:val="es-MX"/>
        </w:rPr>
      </w:pPr>
      <w:r w:rsidRPr="677C9FDF">
        <w:rPr>
          <w:rFonts w:ascii="Arial" w:eastAsia="Arial" w:hAnsi="Arial" w:cs="Arial"/>
          <w:color w:val="000000" w:themeColor="text1"/>
          <w:lang w:val="es-MX"/>
        </w:rPr>
        <w:t>Señora</w:t>
      </w:r>
    </w:p>
    <w:p w14:paraId="0B56618A" w14:textId="77777777" w:rsidR="00427014" w:rsidRPr="00700E88" w:rsidRDefault="00427014" w:rsidP="677C9FDF">
      <w:pPr>
        <w:pStyle w:val="xmsonormal"/>
        <w:spacing w:line="276" w:lineRule="auto"/>
        <w:jc w:val="both"/>
        <w:rPr>
          <w:rFonts w:ascii="Arial" w:eastAsia="Arial" w:hAnsi="Arial" w:cs="Arial"/>
          <w:b/>
          <w:bCs/>
        </w:rPr>
      </w:pPr>
      <w:r w:rsidRPr="677C9FDF">
        <w:rPr>
          <w:rFonts w:ascii="Arial" w:eastAsia="Arial" w:hAnsi="Arial" w:cs="Arial"/>
          <w:b/>
          <w:bCs/>
        </w:rPr>
        <w:t>María Margarita Carvajal Lastra</w:t>
      </w:r>
    </w:p>
    <w:p w14:paraId="0BE8AD73" w14:textId="77777777" w:rsidR="00427014" w:rsidRPr="00700E88" w:rsidRDefault="00427014" w:rsidP="677C9FDF">
      <w:pPr>
        <w:spacing w:after="0" w:line="276" w:lineRule="auto"/>
        <w:rPr>
          <w:rFonts w:ascii="Arial" w:eastAsia="Arial" w:hAnsi="Arial" w:cs="Arial"/>
          <w:color w:val="000000" w:themeColor="text1"/>
          <w:lang w:val="pt-BR"/>
        </w:rPr>
      </w:pPr>
      <w:r w:rsidRPr="677C9FDF">
        <w:rPr>
          <w:rFonts w:ascii="Arial" w:eastAsia="Arial" w:hAnsi="Arial" w:cs="Arial"/>
          <w:color w:val="000000" w:themeColor="text1"/>
        </w:rPr>
        <w:t>Ciudad</w:t>
      </w:r>
    </w:p>
    <w:p w14:paraId="7852BEBC" w14:textId="77777777" w:rsidR="00427014" w:rsidRPr="00700E88" w:rsidRDefault="00427014" w:rsidP="677C9FDF">
      <w:pPr>
        <w:spacing w:after="0" w:line="240" w:lineRule="auto"/>
        <w:rPr>
          <w:rFonts w:ascii="Arial" w:eastAsia="Arial" w:hAnsi="Arial" w:cs="Arial"/>
          <w:color w:val="000000" w:themeColor="text1"/>
          <w:lang w:val="pt-BR"/>
        </w:rPr>
      </w:pPr>
    </w:p>
    <w:p w14:paraId="196C27B6" w14:textId="77777777" w:rsidR="00427014" w:rsidRPr="00700E88" w:rsidRDefault="00427014" w:rsidP="677C9FDF">
      <w:pPr>
        <w:spacing w:after="0" w:line="240" w:lineRule="auto"/>
        <w:rPr>
          <w:rFonts w:ascii="Arial" w:eastAsia="Arial" w:hAnsi="Arial" w:cs="Arial"/>
          <w:color w:val="000000" w:themeColor="text1"/>
          <w:lang w:val="pt-BR"/>
        </w:rPr>
      </w:pPr>
    </w:p>
    <w:p w14:paraId="653C3CDE" w14:textId="77777777" w:rsidR="00427014" w:rsidRPr="00700E88" w:rsidRDefault="00427014" w:rsidP="677C9FDF">
      <w:pPr>
        <w:spacing w:after="0" w:line="240" w:lineRule="auto"/>
        <w:ind w:firstLine="2694"/>
        <w:rPr>
          <w:rFonts w:ascii="Arial" w:eastAsia="Arial" w:hAnsi="Arial" w:cs="Arial"/>
          <w:b/>
          <w:bCs/>
          <w:color w:val="000000" w:themeColor="text1"/>
          <w:lang w:val="pt-BR"/>
        </w:rPr>
      </w:pPr>
      <w:r w:rsidRPr="677C9FDF">
        <w:rPr>
          <w:rFonts w:ascii="Arial" w:eastAsia="Arial" w:hAnsi="Arial" w:cs="Arial"/>
          <w:b/>
          <w:bCs/>
          <w:color w:val="000000" w:themeColor="text1"/>
          <w:lang w:val="pt-BR"/>
        </w:rPr>
        <w:t>Concepto C – 260 de 2023</w:t>
      </w:r>
    </w:p>
    <w:p w14:paraId="52F802FD" w14:textId="77777777" w:rsidR="00427014" w:rsidRPr="00700E88" w:rsidRDefault="00427014" w:rsidP="677C9FDF">
      <w:pPr>
        <w:spacing w:after="0" w:line="240" w:lineRule="auto"/>
        <w:rPr>
          <w:rFonts w:ascii="Arial" w:eastAsia="Arial" w:hAnsi="Arial" w:cs="Arial"/>
          <w:color w:val="000000" w:themeColor="text1"/>
          <w:lang w:val="pt-BR"/>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27014" w:rsidRPr="00E76220" w14:paraId="59A62369" w14:textId="77777777" w:rsidTr="677C9FDF">
        <w:tc>
          <w:tcPr>
            <w:tcW w:w="2689" w:type="dxa"/>
            <w:hideMark/>
          </w:tcPr>
          <w:p w14:paraId="0F9784CC" w14:textId="77777777" w:rsidR="00427014" w:rsidRPr="00700E88" w:rsidRDefault="00427014" w:rsidP="677C9FDF">
            <w:pPr>
              <w:rPr>
                <w:rFonts w:ascii="Arial" w:eastAsia="Arial" w:hAnsi="Arial" w:cs="Arial"/>
                <w:color w:val="000000" w:themeColor="text1"/>
                <w:lang w:val="es-MX"/>
              </w:rPr>
            </w:pPr>
            <w:r w:rsidRPr="677C9FDF">
              <w:rPr>
                <w:rFonts w:ascii="Arial" w:eastAsia="Arial" w:hAnsi="Arial" w:cs="Arial"/>
                <w:b/>
                <w:bCs/>
                <w:color w:val="000000" w:themeColor="text1"/>
                <w:lang w:val="es-MX"/>
              </w:rPr>
              <w:lastRenderedPageBreak/>
              <w:t>Temas:</w:t>
            </w:r>
            <w:r w:rsidRPr="677C9FDF">
              <w:rPr>
                <w:rFonts w:ascii="Arial" w:eastAsia="Arial" w:hAnsi="Arial" w:cs="Arial"/>
                <w:color w:val="000000" w:themeColor="text1"/>
                <w:lang w:val="es-MX"/>
              </w:rPr>
              <w:t xml:space="preserve">           </w:t>
            </w:r>
          </w:p>
          <w:p w14:paraId="42CE3444" w14:textId="77777777" w:rsidR="00427014" w:rsidRPr="00700E88" w:rsidRDefault="00427014" w:rsidP="677C9FDF">
            <w:pPr>
              <w:rPr>
                <w:rFonts w:ascii="Arial" w:eastAsia="Arial" w:hAnsi="Arial" w:cs="Arial"/>
                <w:color w:val="000000" w:themeColor="text1"/>
                <w:lang w:val="es-MX"/>
              </w:rPr>
            </w:pPr>
            <w:r w:rsidRPr="677C9FDF">
              <w:rPr>
                <w:rFonts w:ascii="Arial" w:eastAsia="Arial" w:hAnsi="Arial" w:cs="Arial"/>
                <w:color w:val="000000" w:themeColor="text1"/>
                <w:lang w:val="es-MX"/>
              </w:rPr>
              <w:t xml:space="preserve">                           </w:t>
            </w:r>
          </w:p>
        </w:tc>
        <w:tc>
          <w:tcPr>
            <w:tcW w:w="6237" w:type="dxa"/>
            <w:hideMark/>
          </w:tcPr>
          <w:p w14:paraId="7BB7EA58" w14:textId="77777777" w:rsidR="00427014" w:rsidRPr="00700E88" w:rsidRDefault="00427014" w:rsidP="677C9FDF">
            <w:pPr>
              <w:jc w:val="both"/>
              <w:rPr>
                <w:rFonts w:ascii="Arial" w:eastAsia="Arial" w:hAnsi="Arial" w:cs="Arial"/>
                <w:color w:val="000000" w:themeColor="text1"/>
                <w:highlight w:val="yellow"/>
                <w:lang w:val="es-MX"/>
              </w:rPr>
            </w:pPr>
            <w:r w:rsidRPr="677C9FDF">
              <w:rPr>
                <w:rFonts w:ascii="Arial" w:eastAsia="Arial" w:hAnsi="Arial" w:cs="Arial"/>
                <w:color w:val="000000" w:themeColor="text1"/>
                <w:lang w:val="es-MX"/>
              </w:rPr>
              <w:t>PRINCIPIO DE PUBLICIDAD – Democracia – Estado social de Derecho – Fundamento axiológico / SECOP – Publicidad – Documentos – Información oficial / SECOP – Publicidad – Contratos sin erogación presupuestal</w:t>
            </w:r>
          </w:p>
        </w:tc>
      </w:tr>
      <w:tr w:rsidR="00427014" w:rsidRPr="00E76220" w14:paraId="2AB5B24C" w14:textId="77777777" w:rsidTr="677C9FDF">
        <w:tc>
          <w:tcPr>
            <w:tcW w:w="2689" w:type="dxa"/>
          </w:tcPr>
          <w:p w14:paraId="55A94D48" w14:textId="77777777" w:rsidR="00427014" w:rsidRPr="00700E88" w:rsidRDefault="00427014" w:rsidP="677C9FDF">
            <w:pPr>
              <w:rPr>
                <w:rFonts w:ascii="Arial" w:eastAsia="Arial" w:hAnsi="Arial" w:cs="Arial"/>
                <w:b/>
                <w:bCs/>
                <w:color w:val="000000" w:themeColor="text1"/>
                <w:lang w:val="es-MX"/>
              </w:rPr>
            </w:pPr>
          </w:p>
        </w:tc>
        <w:tc>
          <w:tcPr>
            <w:tcW w:w="6237" w:type="dxa"/>
          </w:tcPr>
          <w:p w14:paraId="5B06B0B3" w14:textId="77777777" w:rsidR="00427014" w:rsidRPr="00700E88" w:rsidRDefault="00427014" w:rsidP="677C9FDF">
            <w:pPr>
              <w:jc w:val="both"/>
              <w:rPr>
                <w:rFonts w:ascii="Arial" w:eastAsia="Arial" w:hAnsi="Arial" w:cs="Arial"/>
                <w:color w:val="000000" w:themeColor="text1"/>
                <w:lang w:val="es-MX"/>
              </w:rPr>
            </w:pPr>
          </w:p>
        </w:tc>
      </w:tr>
      <w:tr w:rsidR="00427014" w:rsidRPr="00E76220" w14:paraId="708255ED" w14:textId="77777777" w:rsidTr="677C9FDF">
        <w:tc>
          <w:tcPr>
            <w:tcW w:w="2689" w:type="dxa"/>
          </w:tcPr>
          <w:p w14:paraId="1785DD56" w14:textId="77777777" w:rsidR="00427014" w:rsidRPr="00700E88" w:rsidRDefault="00427014" w:rsidP="677C9FDF">
            <w:pPr>
              <w:rPr>
                <w:rFonts w:ascii="Arial" w:eastAsia="Arial" w:hAnsi="Arial" w:cs="Arial"/>
                <w:b/>
                <w:bCs/>
                <w:color w:val="000000" w:themeColor="text1"/>
                <w:lang w:val="es-MX"/>
              </w:rPr>
            </w:pPr>
            <w:r w:rsidRPr="677C9FDF">
              <w:rPr>
                <w:rFonts w:ascii="Arial" w:eastAsia="Arial" w:hAnsi="Arial" w:cs="Arial"/>
                <w:b/>
                <w:bCs/>
                <w:color w:val="000000" w:themeColor="text1"/>
                <w:lang w:val="es-MX"/>
              </w:rPr>
              <w:t>Radicación:</w:t>
            </w:r>
            <w:r w:rsidRPr="677C9FDF">
              <w:rPr>
                <w:rFonts w:ascii="Arial" w:eastAsia="Arial" w:hAnsi="Arial" w:cs="Arial"/>
                <w:color w:val="000000" w:themeColor="text1"/>
                <w:lang w:val="es-MX"/>
              </w:rPr>
              <w:t xml:space="preserve">                              </w:t>
            </w:r>
          </w:p>
        </w:tc>
        <w:tc>
          <w:tcPr>
            <w:tcW w:w="6237" w:type="dxa"/>
          </w:tcPr>
          <w:p w14:paraId="0588E9E9" w14:textId="77777777" w:rsidR="00427014" w:rsidRPr="00700E88" w:rsidRDefault="00427014" w:rsidP="677C9FDF">
            <w:pPr>
              <w:jc w:val="both"/>
              <w:rPr>
                <w:rFonts w:ascii="Arial" w:eastAsia="Arial" w:hAnsi="Arial" w:cs="Arial"/>
                <w:color w:val="000000" w:themeColor="text1"/>
                <w:lang w:val="es-MX"/>
              </w:rPr>
            </w:pPr>
            <w:r w:rsidRPr="677C9FDF">
              <w:rPr>
                <w:rFonts w:ascii="Arial" w:eastAsia="Arial" w:hAnsi="Arial" w:cs="Arial"/>
                <w:color w:val="000000" w:themeColor="text1"/>
                <w:lang w:val="es-MX"/>
              </w:rPr>
              <w:t>Respuesta a consulta P20230529011743</w:t>
            </w:r>
          </w:p>
        </w:tc>
      </w:tr>
      <w:tr w:rsidR="00427014" w:rsidRPr="00E76220" w14:paraId="2D082784" w14:textId="77777777" w:rsidTr="677C9FDF">
        <w:tc>
          <w:tcPr>
            <w:tcW w:w="2689" w:type="dxa"/>
          </w:tcPr>
          <w:p w14:paraId="53274D79" w14:textId="77777777" w:rsidR="00427014" w:rsidRPr="00700E88" w:rsidRDefault="00427014" w:rsidP="677C9FDF">
            <w:pPr>
              <w:rPr>
                <w:rFonts w:ascii="Arial" w:eastAsia="Arial" w:hAnsi="Arial" w:cs="Arial"/>
                <w:b/>
                <w:bCs/>
                <w:color w:val="000000" w:themeColor="text1"/>
                <w:lang w:val="es-MX"/>
              </w:rPr>
            </w:pPr>
          </w:p>
          <w:p w14:paraId="25D3F5D9" w14:textId="77777777" w:rsidR="00427014" w:rsidRPr="00700E88" w:rsidRDefault="00427014" w:rsidP="677C9FDF">
            <w:pPr>
              <w:rPr>
                <w:rFonts w:ascii="Arial" w:eastAsia="Arial" w:hAnsi="Arial" w:cs="Arial"/>
                <w:b/>
                <w:bCs/>
                <w:color w:val="000000" w:themeColor="text1"/>
                <w:lang w:val="es-MX"/>
              </w:rPr>
            </w:pPr>
          </w:p>
        </w:tc>
        <w:tc>
          <w:tcPr>
            <w:tcW w:w="6237" w:type="dxa"/>
          </w:tcPr>
          <w:p w14:paraId="4F8B45F8" w14:textId="77777777" w:rsidR="00427014" w:rsidRPr="00700E88" w:rsidRDefault="00427014" w:rsidP="677C9FDF">
            <w:pPr>
              <w:jc w:val="both"/>
              <w:rPr>
                <w:rFonts w:ascii="Arial" w:eastAsia="Arial" w:hAnsi="Arial" w:cs="Arial"/>
                <w:color w:val="000000" w:themeColor="text1"/>
                <w:lang w:val="es-MX"/>
              </w:rPr>
            </w:pPr>
          </w:p>
        </w:tc>
      </w:tr>
    </w:tbl>
    <w:p w14:paraId="2CE0C66D" w14:textId="77777777" w:rsidR="00427014" w:rsidRPr="00700E88" w:rsidRDefault="00427014" w:rsidP="677C9FDF">
      <w:pPr>
        <w:spacing w:after="0" w:line="240" w:lineRule="auto"/>
        <w:rPr>
          <w:rFonts w:ascii="Arial" w:eastAsia="Arial" w:hAnsi="Arial" w:cs="Arial"/>
          <w:color w:val="000000" w:themeColor="text1"/>
          <w:lang w:val="es-MX"/>
        </w:rPr>
      </w:pPr>
      <w:r w:rsidRPr="677C9FDF">
        <w:rPr>
          <w:rFonts w:ascii="Arial" w:eastAsia="Arial" w:hAnsi="Arial" w:cs="Arial"/>
          <w:color w:val="000000" w:themeColor="text1"/>
          <w:lang w:val="es-MX"/>
        </w:rPr>
        <w:t>Estimada señora Carvajal,</w:t>
      </w:r>
    </w:p>
    <w:p w14:paraId="46290469" w14:textId="77777777" w:rsidR="00427014" w:rsidRPr="00700E88" w:rsidRDefault="00427014" w:rsidP="677C9FDF">
      <w:pPr>
        <w:spacing w:after="0" w:line="240" w:lineRule="auto"/>
        <w:rPr>
          <w:rFonts w:ascii="Arial" w:eastAsia="Arial" w:hAnsi="Arial" w:cs="Arial"/>
          <w:color w:val="000000" w:themeColor="text1"/>
          <w:lang w:val="es-MX"/>
        </w:rPr>
      </w:pPr>
    </w:p>
    <w:p w14:paraId="2E9B0E8E" w14:textId="77777777" w:rsidR="00427014" w:rsidRPr="00700E88" w:rsidRDefault="00427014" w:rsidP="677C9FDF">
      <w:pPr>
        <w:spacing w:after="0" w:line="276" w:lineRule="auto"/>
        <w:jc w:val="both"/>
        <w:rPr>
          <w:rFonts w:ascii="Arial" w:eastAsia="Arial" w:hAnsi="Arial" w:cs="Arial"/>
          <w:color w:val="000000" w:themeColor="text1"/>
          <w:lang w:val="es-MX"/>
        </w:rPr>
      </w:pPr>
      <w:r w:rsidRPr="677C9FDF">
        <w:rPr>
          <w:rFonts w:ascii="Arial" w:eastAsia="Arial" w:hAnsi="Arial" w:cs="Arial"/>
          <w:color w:val="000000" w:themeColor="text1"/>
          <w:lang w:val="es-MX"/>
        </w:rPr>
        <w:t xml:space="preserve">En ejercicio de la competencia otorgada por el numeral 8º del artículo 11, y el numeral 5º del artículo 3º del Decreto Ley 4170 de 2011, la Agencia Nacional de Contratación Pública − Colombia Compra Eficiente responde su consulta del 27 de mayo de 2023. </w:t>
      </w:r>
    </w:p>
    <w:p w14:paraId="0D8A3255" w14:textId="77777777" w:rsidR="00427014" w:rsidRPr="00700E88" w:rsidRDefault="00427014" w:rsidP="677C9FDF">
      <w:pPr>
        <w:spacing w:after="0" w:line="276" w:lineRule="auto"/>
        <w:contextualSpacing/>
        <w:jc w:val="both"/>
        <w:rPr>
          <w:rFonts w:ascii="Arial" w:eastAsia="Arial" w:hAnsi="Arial" w:cs="Arial"/>
          <w:color w:val="000000" w:themeColor="text1"/>
          <w:lang w:val="es-MX"/>
        </w:rPr>
      </w:pPr>
    </w:p>
    <w:p w14:paraId="09B9AB11" w14:textId="77777777" w:rsidR="00427014" w:rsidRPr="00700E88" w:rsidRDefault="00427014" w:rsidP="677C9FDF">
      <w:pPr>
        <w:numPr>
          <w:ilvl w:val="0"/>
          <w:numId w:val="6"/>
        </w:numPr>
        <w:tabs>
          <w:tab w:val="left" w:pos="284"/>
        </w:tabs>
        <w:spacing w:after="0" w:line="276" w:lineRule="auto"/>
        <w:ind w:left="0" w:firstLine="0"/>
        <w:contextualSpacing/>
        <w:jc w:val="both"/>
        <w:rPr>
          <w:rFonts w:ascii="Arial" w:eastAsia="Arial" w:hAnsi="Arial" w:cs="Arial"/>
          <w:b/>
          <w:bCs/>
          <w:color w:val="000000" w:themeColor="text1"/>
          <w:lang w:val="es-MX"/>
        </w:rPr>
      </w:pPr>
      <w:r w:rsidRPr="677C9FDF">
        <w:rPr>
          <w:rFonts w:ascii="Arial" w:eastAsia="Arial" w:hAnsi="Arial" w:cs="Arial"/>
          <w:b/>
          <w:bCs/>
          <w:color w:val="000000" w:themeColor="text1"/>
          <w:lang w:val="es-MX"/>
        </w:rPr>
        <w:t xml:space="preserve">Problema planteado </w:t>
      </w:r>
    </w:p>
    <w:p w14:paraId="32E469E4" w14:textId="77777777" w:rsidR="00427014" w:rsidRPr="00700E88" w:rsidRDefault="00427014" w:rsidP="677C9FDF">
      <w:pPr>
        <w:tabs>
          <w:tab w:val="left" w:pos="426"/>
        </w:tabs>
        <w:spacing w:after="0" w:line="276" w:lineRule="auto"/>
        <w:contextualSpacing/>
        <w:jc w:val="both"/>
        <w:rPr>
          <w:rFonts w:ascii="Arial" w:eastAsia="Arial" w:hAnsi="Arial" w:cs="Arial"/>
          <w:b/>
          <w:bCs/>
          <w:color w:val="000000" w:themeColor="text1"/>
          <w:lang w:val="es-MX"/>
        </w:rPr>
      </w:pPr>
    </w:p>
    <w:p w14:paraId="04F18B5B" w14:textId="686BB5A2" w:rsidR="00427014" w:rsidRPr="00BB6F6A" w:rsidRDefault="00427014" w:rsidP="677C9FDF">
      <w:pPr>
        <w:pStyle w:val="NormalWeb"/>
        <w:spacing w:line="276" w:lineRule="auto"/>
        <w:jc w:val="both"/>
        <w:rPr>
          <w:rFonts w:ascii="Arial" w:eastAsia="Arial" w:hAnsi="Arial" w:cs="Arial"/>
          <w:sz w:val="22"/>
          <w:szCs w:val="22"/>
        </w:rPr>
      </w:pPr>
      <w:r w:rsidRPr="677C9FDF">
        <w:rPr>
          <w:rFonts w:ascii="Arial" w:eastAsia="Arial" w:hAnsi="Arial" w:cs="Arial"/>
          <w:color w:val="000000" w:themeColor="text1"/>
        </w:rPr>
        <w:t>Usted realiza la siguiente pregunta:</w:t>
      </w:r>
      <w:r w:rsidR="00700E88" w:rsidRPr="677C9FDF">
        <w:rPr>
          <w:rFonts w:ascii="Arial" w:eastAsia="Arial" w:hAnsi="Arial" w:cs="Arial"/>
          <w:sz w:val="22"/>
          <w:szCs w:val="22"/>
        </w:rPr>
        <w:t xml:space="preserve"> </w:t>
      </w:r>
      <w:r w:rsidRPr="677C9FDF">
        <w:rPr>
          <w:rFonts w:ascii="Arial" w:eastAsia="Arial" w:hAnsi="Arial" w:cs="Arial"/>
          <w:sz w:val="22"/>
          <w:szCs w:val="22"/>
        </w:rPr>
        <w:t>“A la entidad pública Fiscalía General de la Nación le es exigible la publicación de convenios celebrados con entes territoriales que no comprometen recursos públicos ni con cargo a presupuesto público” (SIC).</w:t>
      </w:r>
    </w:p>
    <w:p w14:paraId="417BD742" w14:textId="77777777" w:rsidR="00427014" w:rsidRPr="00700E88" w:rsidRDefault="00427014" w:rsidP="677C9FDF">
      <w:pPr>
        <w:tabs>
          <w:tab w:val="left" w:pos="709"/>
        </w:tabs>
        <w:spacing w:after="0" w:line="276" w:lineRule="auto"/>
        <w:contextualSpacing/>
        <w:jc w:val="both"/>
        <w:rPr>
          <w:rFonts w:ascii="Arial" w:eastAsia="Arial" w:hAnsi="Arial" w:cs="Arial"/>
          <w:color w:val="000000" w:themeColor="text1"/>
          <w:lang w:val="es-MX"/>
        </w:rPr>
      </w:pPr>
    </w:p>
    <w:p w14:paraId="46FDD777" w14:textId="77777777" w:rsidR="00427014" w:rsidRPr="00700E88" w:rsidRDefault="00427014" w:rsidP="677C9FDF">
      <w:pPr>
        <w:numPr>
          <w:ilvl w:val="0"/>
          <w:numId w:val="6"/>
        </w:numPr>
        <w:tabs>
          <w:tab w:val="left" w:pos="426"/>
        </w:tabs>
        <w:spacing w:after="0" w:line="276" w:lineRule="auto"/>
        <w:ind w:left="284" w:hanging="284"/>
        <w:contextualSpacing/>
        <w:jc w:val="both"/>
        <w:rPr>
          <w:rFonts w:ascii="Arial" w:eastAsia="Arial" w:hAnsi="Arial" w:cs="Arial"/>
          <w:b/>
          <w:bCs/>
          <w:color w:val="000000" w:themeColor="text1"/>
          <w:lang w:val="es-MX"/>
        </w:rPr>
      </w:pPr>
      <w:r w:rsidRPr="677C9FDF">
        <w:rPr>
          <w:rFonts w:ascii="Arial" w:eastAsia="Arial" w:hAnsi="Arial" w:cs="Arial"/>
          <w:b/>
          <w:bCs/>
          <w:color w:val="000000" w:themeColor="text1"/>
          <w:lang w:val="es-MX"/>
        </w:rPr>
        <w:t>Consideraciones</w:t>
      </w:r>
    </w:p>
    <w:p w14:paraId="133FDDEE" w14:textId="77777777" w:rsidR="00427014" w:rsidRPr="00700E88" w:rsidRDefault="00427014" w:rsidP="677C9FDF">
      <w:pPr>
        <w:spacing w:after="0" w:line="276" w:lineRule="auto"/>
        <w:jc w:val="both"/>
        <w:rPr>
          <w:rFonts w:ascii="Arial" w:eastAsia="Arial" w:hAnsi="Arial" w:cs="Arial"/>
          <w:color w:val="000000" w:themeColor="text1"/>
          <w:lang w:val="es-MX"/>
        </w:rPr>
      </w:pPr>
    </w:p>
    <w:p w14:paraId="1431A3F1" w14:textId="77777777" w:rsidR="00427014" w:rsidRPr="00700E88" w:rsidRDefault="00427014" w:rsidP="677C9FDF">
      <w:pPr>
        <w:spacing w:after="120" w:line="276" w:lineRule="auto"/>
        <w:jc w:val="both"/>
        <w:rPr>
          <w:rFonts w:ascii="Arial" w:eastAsia="Arial" w:hAnsi="Arial" w:cs="Arial"/>
          <w:color w:val="1A1A1A" w:themeColor="background1" w:themeShade="1A"/>
        </w:rPr>
      </w:pPr>
      <w:r w:rsidRPr="677C9FDF">
        <w:rPr>
          <w:rFonts w:ascii="Arial" w:eastAsia="Arial" w:hAnsi="Arial" w:cs="Arial"/>
          <w:color w:val="000000" w:themeColor="text1"/>
          <w:lang w:val="es-ES"/>
        </w:rPr>
        <w:t xml:space="preserve">La Agencia Nacional de Contratación Pública – Colombia Compra Eficiente unificó su doctrina sobre el deber de las entidades de publicar sus actuaciones contractuales en el SECOP, en el concepto CU-003 del 15 de enero de 2020.  </w:t>
      </w:r>
      <w:r w:rsidRPr="677C9FDF">
        <w:rPr>
          <w:rFonts w:ascii="Arial" w:eastAsia="Arial" w:hAnsi="Arial" w:cs="Arial"/>
          <w:color w:val="1A1A1A"/>
        </w:rPr>
        <w:t>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 C-680 de 18 de noviembre de 2020, C-780 del 18 de enero de 2021, C-032 del 2 de marzo de 2021, C-137 del 7 de abril de 2021, C-172 del 13 de abril de 2021, C-185 del 29 de abril de 2021, C-222 del 19 de mayo de 2021, C-229 y C-238 del 24 de mayo de 2021, C-241 del 27 de mayo de 2021, C-253 del 2 de junio de 2021, C-026 del 18 de febrero de 2022, C-074 del 10 de marzo de 2022, C-083 del 18 de marzo de 2022, C-135 del 28 de marzo de 2022, C-495 del 2 de agosto de 2022, C-508 del 30 de agosto de 2022 y C-609 del 23 de septiembre de 2022. La tesis de estos conceptos se reitera en lo pertinente y complementa a continuación.</w:t>
      </w:r>
    </w:p>
    <w:p w14:paraId="4F6B1C08" w14:textId="77777777" w:rsidR="00427014" w:rsidRPr="00700E88" w:rsidRDefault="00427014" w:rsidP="677C9FDF">
      <w:pPr>
        <w:spacing w:after="120" w:line="276" w:lineRule="auto"/>
        <w:jc w:val="both"/>
        <w:rPr>
          <w:rFonts w:ascii="Arial" w:eastAsia="Arial" w:hAnsi="Arial" w:cs="Arial"/>
          <w:color w:val="1A1A1A" w:themeColor="background1" w:themeShade="1A"/>
        </w:rPr>
      </w:pPr>
    </w:p>
    <w:p w14:paraId="5B1F43AF" w14:textId="77777777" w:rsidR="00427014" w:rsidRPr="00700E88" w:rsidRDefault="00427014" w:rsidP="677C9FDF">
      <w:pPr>
        <w:tabs>
          <w:tab w:val="left" w:pos="426"/>
        </w:tabs>
        <w:spacing w:after="0" w:line="276" w:lineRule="auto"/>
        <w:jc w:val="both"/>
        <w:rPr>
          <w:rFonts w:ascii="Arial" w:eastAsia="Arial" w:hAnsi="Arial" w:cs="Arial"/>
          <w:b/>
          <w:bCs/>
          <w:color w:val="000000" w:themeColor="text1"/>
          <w:lang w:val="es-ES" w:eastAsia="es-ES"/>
        </w:rPr>
      </w:pPr>
      <w:r w:rsidRPr="677C9FDF">
        <w:rPr>
          <w:rFonts w:ascii="Arial" w:eastAsia="Arial" w:hAnsi="Arial" w:cs="Arial"/>
          <w:b/>
          <w:bCs/>
          <w:color w:val="000000" w:themeColor="text1"/>
          <w:lang w:val="es-ES" w:eastAsia="es-ES"/>
        </w:rPr>
        <w:t>2.1. Fundamento axiológico de la publicidad de la información oficial de la contratación estatal en el Sistema Electrónico para la Contratación Pública –SECOP–</w:t>
      </w:r>
    </w:p>
    <w:p w14:paraId="5974762D" w14:textId="77777777" w:rsidR="00427014" w:rsidRPr="00700E88" w:rsidRDefault="00427014" w:rsidP="677C9FDF">
      <w:pPr>
        <w:spacing w:after="120" w:line="276" w:lineRule="auto"/>
        <w:jc w:val="both"/>
        <w:rPr>
          <w:rFonts w:ascii="Arial" w:eastAsia="Arial" w:hAnsi="Arial" w:cs="Arial"/>
          <w:color w:val="000000" w:themeColor="text1"/>
          <w:lang w:val="es-ES" w:eastAsia="es-ES"/>
        </w:rPr>
      </w:pPr>
    </w:p>
    <w:p w14:paraId="63E681E0" w14:textId="77777777" w:rsidR="00427014" w:rsidRPr="00700E88" w:rsidRDefault="00427014" w:rsidP="677C9FDF">
      <w:pPr>
        <w:spacing w:after="120" w:line="276" w:lineRule="auto"/>
        <w:jc w:val="both"/>
        <w:rPr>
          <w:rFonts w:ascii="Arial" w:eastAsia="Arial" w:hAnsi="Arial" w:cs="Arial"/>
          <w:color w:val="000000" w:themeColor="text1"/>
          <w:lang w:val="es-ES" w:eastAsia="es-ES"/>
        </w:rPr>
      </w:pPr>
      <w:r w:rsidRPr="677C9FDF">
        <w:rPr>
          <w:rFonts w:ascii="Arial" w:eastAsia="Arial" w:hAnsi="Arial" w:cs="Arial"/>
          <w:color w:val="000000" w:themeColor="text1"/>
          <w:lang w:val="es-ES" w:eastAsia="es-ES"/>
        </w:rPr>
        <w:t xml:space="preserve">Uno de los postulados más importantes de un Estado social y democrático de derecho es el principio de </w:t>
      </w:r>
      <w:r w:rsidRPr="677C9FDF">
        <w:rPr>
          <w:rFonts w:ascii="Arial" w:eastAsia="Arial" w:hAnsi="Arial" w:cs="Arial"/>
          <w:i/>
          <w:iCs/>
          <w:color w:val="000000" w:themeColor="text1"/>
          <w:lang w:val="es-ES" w:eastAsia="es-ES"/>
        </w:rPr>
        <w:t>publicidad</w:t>
      </w:r>
      <w:r w:rsidRPr="677C9FDF">
        <w:rPr>
          <w:rFonts w:ascii="Arial" w:eastAsia="Arial" w:hAnsi="Arial" w:cs="Arial"/>
          <w:color w:val="000000" w:themeColor="text1"/>
          <w:lang w:val="es-ES" w:eastAsia="es-ES"/>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677C9FDF">
        <w:rPr>
          <w:rFonts w:ascii="Arial" w:eastAsia="Arial" w:hAnsi="Arial" w:cs="Arial"/>
          <w:color w:val="000000" w:themeColor="text1"/>
          <w:vertAlign w:val="superscript"/>
          <w:lang w:val="es-ES" w:eastAsia="es-ES"/>
        </w:rPr>
        <w:footnoteReference w:id="2"/>
      </w:r>
      <w:r w:rsidRPr="677C9FDF">
        <w:rPr>
          <w:rFonts w:ascii="Arial" w:eastAsia="Arial" w:hAnsi="Arial" w:cs="Arial"/>
          <w:color w:val="000000" w:themeColor="text1"/>
          <w:lang w:val="es-ES" w:eastAsia="es-ES"/>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1D114CF0" w14:textId="77777777" w:rsidR="00427014" w:rsidRPr="00700E88" w:rsidRDefault="00427014" w:rsidP="677C9FDF">
      <w:pPr>
        <w:spacing w:after="0" w:line="276" w:lineRule="auto"/>
        <w:ind w:firstLine="708"/>
        <w:jc w:val="both"/>
        <w:rPr>
          <w:rFonts w:ascii="Arial" w:eastAsia="Arial" w:hAnsi="Arial" w:cs="Arial"/>
          <w:color w:val="000000" w:themeColor="text1"/>
          <w:lang w:val="es-ES" w:eastAsia="es-ES"/>
        </w:rPr>
      </w:pPr>
      <w:r w:rsidRPr="677C9FDF">
        <w:rPr>
          <w:rFonts w:ascii="Arial" w:eastAsia="Arial" w:hAnsi="Arial" w:cs="Arial"/>
          <w:color w:val="000000" w:themeColor="text1"/>
          <w:lang w:val="es-ES" w:eastAsia="es-ES"/>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3BC14F81" w14:textId="77777777" w:rsidR="00427014" w:rsidRPr="00700E88" w:rsidRDefault="00427014" w:rsidP="677C9FDF">
      <w:pPr>
        <w:spacing w:after="0" w:line="240" w:lineRule="auto"/>
        <w:ind w:firstLine="709"/>
        <w:jc w:val="both"/>
        <w:rPr>
          <w:rFonts w:ascii="Arial" w:eastAsia="Arial" w:hAnsi="Arial" w:cs="Arial"/>
          <w:color w:val="000000" w:themeColor="text1"/>
          <w:lang w:val="es-ES" w:eastAsia="es-ES"/>
        </w:rPr>
      </w:pPr>
    </w:p>
    <w:p w14:paraId="0213EA2C" w14:textId="77777777" w:rsidR="00427014" w:rsidRPr="00700E88" w:rsidRDefault="00427014" w:rsidP="677C9FDF">
      <w:pPr>
        <w:tabs>
          <w:tab w:val="left" w:pos="3885"/>
        </w:tabs>
        <w:spacing w:after="120" w:line="240" w:lineRule="auto"/>
        <w:ind w:left="709" w:right="709"/>
        <w:jc w:val="both"/>
        <w:rPr>
          <w:rFonts w:ascii="Arial" w:eastAsia="Arial" w:hAnsi="Arial" w:cs="Arial"/>
          <w:color w:val="000000" w:themeColor="text1"/>
          <w:sz w:val="21"/>
          <w:szCs w:val="21"/>
          <w:lang w:val="es-ES" w:eastAsia="es-ES"/>
        </w:rPr>
      </w:pPr>
      <w:r w:rsidRPr="677C9FDF">
        <w:rPr>
          <w:rFonts w:ascii="Arial" w:eastAsia="Arial" w:hAnsi="Arial" w:cs="Arial"/>
          <w:color w:val="000000" w:themeColor="text1"/>
          <w:sz w:val="21"/>
          <w:szCs w:val="21"/>
          <w:lang w:val="es-ES" w:eastAsia="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10B5973" w14:textId="77777777" w:rsidR="00427014" w:rsidRPr="00700E88" w:rsidRDefault="00427014" w:rsidP="677C9FDF">
      <w:pPr>
        <w:tabs>
          <w:tab w:val="left" w:pos="3885"/>
          <w:tab w:val="left" w:pos="8222"/>
        </w:tabs>
        <w:spacing w:after="0" w:line="240" w:lineRule="auto"/>
        <w:ind w:left="709" w:right="709"/>
        <w:jc w:val="both"/>
        <w:rPr>
          <w:rFonts w:ascii="Arial" w:eastAsia="Arial" w:hAnsi="Arial" w:cs="Arial"/>
          <w:color w:val="000000" w:themeColor="text1"/>
          <w:lang w:val="es-ES" w:eastAsia="es-ES"/>
        </w:rPr>
      </w:pPr>
      <w:r w:rsidRPr="677C9FDF">
        <w:rPr>
          <w:rFonts w:ascii="Arial" w:eastAsia="Arial" w:hAnsi="Arial" w:cs="Arial"/>
          <w:color w:val="000000" w:themeColor="text1"/>
          <w:sz w:val="21"/>
          <w:szCs w:val="21"/>
          <w:lang w:val="es-ES" w:eastAsia="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677C9FDF">
        <w:rPr>
          <w:rFonts w:ascii="Arial" w:eastAsia="Arial" w:hAnsi="Arial" w:cs="Arial"/>
          <w:color w:val="000000" w:themeColor="text1"/>
          <w:sz w:val="21"/>
          <w:szCs w:val="21"/>
          <w:vertAlign w:val="superscript"/>
          <w:lang w:val="es-ES" w:eastAsia="es-ES"/>
        </w:rPr>
        <w:footnoteReference w:id="3"/>
      </w:r>
      <w:r w:rsidRPr="677C9FDF">
        <w:rPr>
          <w:rFonts w:ascii="Arial" w:eastAsia="Arial" w:hAnsi="Arial" w:cs="Arial"/>
          <w:color w:val="000000" w:themeColor="text1"/>
          <w:sz w:val="21"/>
          <w:szCs w:val="21"/>
          <w:lang w:val="es-ES" w:eastAsia="es-ES"/>
        </w:rPr>
        <w:t>.</w:t>
      </w:r>
    </w:p>
    <w:p w14:paraId="3B7364DA" w14:textId="77777777" w:rsidR="00427014" w:rsidRPr="00700E88" w:rsidRDefault="00427014" w:rsidP="677C9FDF">
      <w:pPr>
        <w:spacing w:after="0" w:line="276" w:lineRule="auto"/>
        <w:ind w:right="709"/>
        <w:jc w:val="both"/>
        <w:rPr>
          <w:rFonts w:ascii="Arial" w:eastAsia="Arial" w:hAnsi="Arial" w:cs="Arial"/>
          <w:color w:val="000000" w:themeColor="text1"/>
          <w:lang w:val="es-ES" w:eastAsia="es-ES"/>
        </w:rPr>
      </w:pPr>
    </w:p>
    <w:p w14:paraId="54F0C208" w14:textId="77777777" w:rsidR="00427014" w:rsidRPr="00700E88" w:rsidRDefault="00427014" w:rsidP="677C9FDF">
      <w:pPr>
        <w:spacing w:after="0" w:line="276" w:lineRule="auto"/>
        <w:ind w:firstLine="709"/>
        <w:jc w:val="both"/>
        <w:rPr>
          <w:rFonts w:ascii="Arial" w:eastAsia="Arial" w:hAnsi="Arial" w:cs="Arial"/>
          <w:color w:val="000000" w:themeColor="text1"/>
          <w:lang w:val="es-ES" w:eastAsia="es-ES"/>
        </w:rPr>
      </w:pPr>
      <w:r w:rsidRPr="677C9FDF">
        <w:rPr>
          <w:rFonts w:ascii="Arial" w:eastAsia="Arial" w:hAnsi="Arial" w:cs="Arial"/>
          <w:color w:val="000000" w:themeColor="text1"/>
          <w:lang w:val="es-ES" w:eastAsia="es-ES"/>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677C9FDF">
        <w:rPr>
          <w:rFonts w:ascii="Arial" w:eastAsia="Arial" w:hAnsi="Arial" w:cs="Arial"/>
          <w:color w:val="000000" w:themeColor="text1"/>
          <w:vertAlign w:val="superscript"/>
          <w:lang w:val="es-ES" w:eastAsia="es-ES"/>
        </w:rPr>
        <w:footnoteReference w:id="4"/>
      </w:r>
      <w:r w:rsidRPr="677C9FDF">
        <w:rPr>
          <w:rFonts w:ascii="Arial" w:eastAsia="Arial" w:hAnsi="Arial" w:cs="Arial"/>
          <w:color w:val="000000" w:themeColor="text1"/>
          <w:lang w:val="es-ES" w:eastAsia="es-ES"/>
        </w:rPr>
        <w:t xml:space="preserve">. </w:t>
      </w:r>
    </w:p>
    <w:p w14:paraId="335087A5" w14:textId="77777777" w:rsidR="00427014" w:rsidRPr="00700E88" w:rsidRDefault="00427014" w:rsidP="677C9FDF">
      <w:pPr>
        <w:spacing w:before="120" w:after="0" w:line="276" w:lineRule="auto"/>
        <w:ind w:firstLine="709"/>
        <w:jc w:val="both"/>
        <w:rPr>
          <w:rFonts w:ascii="Arial" w:eastAsia="Arial" w:hAnsi="Arial" w:cs="Arial"/>
        </w:rPr>
      </w:pPr>
      <w:r w:rsidRPr="677C9FDF">
        <w:rPr>
          <w:rFonts w:ascii="Arial" w:eastAsia="Arial" w:hAnsi="Arial" w:cs="Arial"/>
          <w:color w:val="000000" w:themeColor="text1"/>
          <w:lang w:val="es-ES" w:eastAsia="es-ES"/>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677C9FDF">
        <w:rPr>
          <w:rFonts w:ascii="Arial" w:eastAsia="Arial" w:hAnsi="Arial" w:cs="Arial"/>
          <w:color w:val="000000" w:themeColor="text1"/>
          <w:vertAlign w:val="superscript"/>
          <w:lang w:val="es-ES" w:eastAsia="es-ES"/>
        </w:rPr>
        <w:footnoteReference w:id="5"/>
      </w:r>
      <w:r w:rsidRPr="677C9FDF">
        <w:rPr>
          <w:rFonts w:ascii="Arial" w:eastAsia="Arial" w:hAnsi="Arial" w:cs="Arial"/>
          <w:color w:val="000000" w:themeColor="text1"/>
          <w:lang w:val="es-ES" w:eastAsia="es-ES"/>
        </w:rPr>
        <w:t xml:space="preserve">. El principio de transparencia en la información alude al deber de los sujetos de proporcionar y facilitar el acceso a la misma en los términos más amplios posibles, y a través de los medios y procedimientos legales. </w:t>
      </w:r>
      <w:r w:rsidRPr="677C9FDF">
        <w:rPr>
          <w:rFonts w:ascii="Arial" w:eastAsia="Arial" w:hAnsi="Arial" w:cs="Arial"/>
        </w:rPr>
        <w:t>Y el principio de buena fe hace referencia al deber de todo sujeto obligado de cumplir con las obligaciones derivadas del derecho de acceso a la información pública con motivación honesta, leal y desprovista de cualquier intención dolosa o culposa</w:t>
      </w:r>
      <w:r w:rsidRPr="677C9FDF">
        <w:rPr>
          <w:rStyle w:val="Refdenotaalpie"/>
          <w:rFonts w:ascii="Arial" w:eastAsia="Arial" w:hAnsi="Arial" w:cs="Arial"/>
        </w:rPr>
        <w:footnoteReference w:id="6"/>
      </w:r>
      <w:r w:rsidRPr="677C9FDF">
        <w:rPr>
          <w:rFonts w:ascii="Arial" w:eastAsia="Arial" w:hAnsi="Arial" w:cs="Arial"/>
        </w:rPr>
        <w:t>.</w:t>
      </w:r>
    </w:p>
    <w:p w14:paraId="33709D82" w14:textId="77777777" w:rsidR="00427014" w:rsidRPr="00700E88" w:rsidRDefault="00427014" w:rsidP="677C9FDF">
      <w:pPr>
        <w:spacing w:before="120" w:after="0" w:line="276" w:lineRule="auto"/>
        <w:ind w:firstLine="709"/>
        <w:jc w:val="both"/>
        <w:rPr>
          <w:rFonts w:ascii="Arial" w:eastAsia="Arial" w:hAnsi="Arial" w:cs="Arial"/>
          <w:lang w:val="es-ES"/>
        </w:rPr>
      </w:pPr>
      <w:r w:rsidRPr="677C9FDF">
        <w:rPr>
          <w:rFonts w:ascii="Arial" w:eastAsia="Arial" w:hAnsi="Arial" w:cs="Arial"/>
          <w:color w:val="000000" w:themeColor="text1"/>
          <w:lang w:val="es-ES"/>
        </w:rPr>
        <w:t xml:space="preserve">En el literal e) del artículo 9, la ley citada establece que los </w:t>
      </w:r>
      <w:r w:rsidRPr="677C9FDF">
        <w:rPr>
          <w:rFonts w:ascii="Arial" w:eastAsia="Arial" w:hAnsi="Arial" w:cs="Arial"/>
          <w:i/>
          <w:iCs/>
          <w:color w:val="000000" w:themeColor="text1"/>
          <w:lang w:val="es-ES"/>
        </w:rPr>
        <w:t>sujetos obligados</w:t>
      </w:r>
      <w:r w:rsidRPr="677C9FDF">
        <w:rPr>
          <w:rFonts w:ascii="Arial" w:eastAsia="Arial" w:hAnsi="Arial" w:cs="Arial"/>
          <w:color w:val="000000" w:themeColor="text1"/>
          <w:vertAlign w:val="superscript"/>
          <w:lang w:val="es-ES"/>
        </w:rPr>
        <w:footnoteReference w:id="7"/>
      </w:r>
      <w:r w:rsidRPr="677C9FDF">
        <w:rPr>
          <w:rFonts w:ascii="Arial" w:eastAsia="Arial" w:hAnsi="Arial" w:cs="Arial"/>
          <w:color w:val="000000" w:themeColor="text1"/>
          <w:lang w:val="es-ES"/>
        </w:rPr>
        <w:t xml:space="preserve"> deben publicar la información relativa a su contratación. </w:t>
      </w:r>
      <w:r w:rsidRPr="677C9FDF">
        <w:rPr>
          <w:rFonts w:ascii="Arial" w:eastAsia="Arial" w:hAnsi="Arial" w:cs="Arial"/>
          <w:lang w:val="es-ES"/>
        </w:rPr>
        <w:t xml:space="preserve">El artículo 5 </w:t>
      </w:r>
      <w:r w:rsidRPr="677C9FDF">
        <w:rPr>
          <w:rFonts w:ascii="Arial" w:eastAsia="Arial" w:hAnsi="Arial" w:cs="Arial"/>
          <w:i/>
          <w:iCs/>
          <w:lang w:val="es-ES"/>
        </w:rPr>
        <w:t>ibidem</w:t>
      </w:r>
      <w:r w:rsidRPr="677C9FDF">
        <w:rPr>
          <w:rFonts w:ascii="Arial" w:eastAsia="Arial" w:hAnsi="Arial" w:cs="Arial"/>
          <w:lang w:val="es-ES"/>
        </w:rPr>
        <w:t xml:space="preserve">,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 </w:t>
      </w:r>
    </w:p>
    <w:p w14:paraId="02575288" w14:textId="77777777" w:rsidR="00427014" w:rsidRPr="00700E88" w:rsidRDefault="00427014" w:rsidP="677C9FDF">
      <w:pPr>
        <w:spacing w:before="120" w:after="0" w:line="276" w:lineRule="auto"/>
        <w:ind w:firstLine="709"/>
        <w:jc w:val="both"/>
        <w:rPr>
          <w:rFonts w:ascii="Arial" w:eastAsia="Arial" w:hAnsi="Arial" w:cs="Arial"/>
          <w:color w:val="000000" w:themeColor="text1"/>
          <w:lang w:val="es-ES" w:eastAsia="es-ES"/>
        </w:rPr>
      </w:pPr>
      <w:r w:rsidRPr="677C9FDF">
        <w:rPr>
          <w:rFonts w:ascii="Arial" w:eastAsia="Arial" w:hAnsi="Arial" w:cs="Arial"/>
          <w:color w:val="000000" w:themeColor="text1"/>
          <w:lang w:val="es-ES"/>
        </w:rPr>
        <w:t>La anterior obligación fue desarrollada por el Decreto Único Reglamentario 1081 de 2015</w:t>
      </w:r>
      <w:r w:rsidRPr="677C9FDF">
        <w:rPr>
          <w:rFonts w:ascii="Arial" w:eastAsia="Arial" w:hAnsi="Arial" w:cs="Arial"/>
          <w:color w:val="000000" w:themeColor="text1"/>
          <w:vertAlign w:val="superscript"/>
          <w:lang w:val="es-ES"/>
        </w:rPr>
        <w:footnoteReference w:id="8"/>
      </w:r>
      <w:r w:rsidRPr="677C9FDF">
        <w:rPr>
          <w:rFonts w:ascii="Arial" w:eastAsia="Arial" w:hAnsi="Arial" w:cs="Arial"/>
          <w:color w:val="000000" w:themeColor="text1"/>
          <w:lang w:val="es-ES"/>
        </w:rPr>
        <w:t xml:space="preserve">, el cual dispuso que la publicación de la información contractual de los sujetos obligados, que contratan con cargo a recursos públicos, debe hacerse en el Sistema Electrónico para la Contratación Pública −SECOP–. </w:t>
      </w:r>
    </w:p>
    <w:p w14:paraId="6B05D7C3" w14:textId="77777777" w:rsidR="00427014" w:rsidRPr="00700E88" w:rsidRDefault="00427014" w:rsidP="677C9FDF">
      <w:pPr>
        <w:spacing w:before="120" w:after="0" w:line="276" w:lineRule="auto"/>
        <w:ind w:firstLine="709"/>
        <w:jc w:val="both"/>
        <w:rPr>
          <w:rFonts w:ascii="Arial" w:eastAsia="Arial" w:hAnsi="Arial" w:cs="Arial"/>
          <w:color w:val="000000" w:themeColor="text1"/>
          <w:lang w:val="es-ES" w:eastAsia="es-ES"/>
        </w:rPr>
      </w:pPr>
      <w:r w:rsidRPr="677C9FDF">
        <w:rPr>
          <w:rFonts w:ascii="Arial" w:eastAsia="Arial" w:hAnsi="Arial" w:cs="Arial"/>
          <w:color w:val="000000" w:themeColor="text1"/>
          <w:lang w:val="es-ES" w:eastAsia="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677C9FDF">
        <w:rPr>
          <w:rFonts w:ascii="Arial" w:eastAsia="Arial" w:hAnsi="Arial" w:cs="Arial"/>
          <w:color w:val="000000" w:themeColor="text1"/>
          <w:vertAlign w:val="superscript"/>
          <w:lang w:val="es-ES" w:eastAsia="es-ES"/>
        </w:rPr>
        <w:footnoteReference w:id="9"/>
      </w:r>
      <w:r w:rsidRPr="677C9FDF">
        <w:rPr>
          <w:rFonts w:ascii="Arial" w:eastAsia="Arial" w:hAnsi="Arial" w:cs="Arial"/>
          <w:color w:val="000000" w:themeColor="text1"/>
          <w:lang w:val="es-ES" w:eastAsia="es-ES"/>
        </w:rPr>
        <w:t>.</w:t>
      </w:r>
    </w:p>
    <w:p w14:paraId="5A33420F" w14:textId="77777777" w:rsidR="00427014" w:rsidRPr="00700E88" w:rsidRDefault="00427014" w:rsidP="677C9FDF">
      <w:pPr>
        <w:spacing w:before="120" w:after="0" w:line="276" w:lineRule="auto"/>
        <w:ind w:firstLine="709"/>
        <w:jc w:val="both"/>
        <w:rPr>
          <w:rFonts w:ascii="Arial" w:eastAsia="Arial" w:hAnsi="Arial" w:cs="Arial"/>
          <w:color w:val="000000" w:themeColor="text1"/>
          <w:lang w:val="es-ES" w:eastAsia="es-ES"/>
        </w:rPr>
      </w:pPr>
      <w:r w:rsidRPr="677C9FDF">
        <w:rPr>
          <w:rFonts w:ascii="Arial" w:eastAsia="Arial" w:hAnsi="Arial" w:cs="Arial"/>
          <w:color w:val="000000" w:themeColor="text1"/>
          <w:lang w:val="es-ES" w:eastAsia="es-ES"/>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677C9FDF">
        <w:rPr>
          <w:rFonts w:ascii="Arial" w:eastAsia="Arial" w:hAnsi="Arial" w:cs="Arial"/>
          <w:color w:val="000000" w:themeColor="text1"/>
          <w:vertAlign w:val="superscript"/>
          <w:lang w:val="es-ES" w:eastAsia="es-ES"/>
        </w:rPr>
        <w:footnoteReference w:id="10"/>
      </w:r>
      <w:r w:rsidRPr="677C9FDF">
        <w:rPr>
          <w:rFonts w:ascii="Arial" w:eastAsia="Arial" w:hAnsi="Arial" w:cs="Arial"/>
          <w:color w:val="000000" w:themeColor="text1"/>
          <w:lang w:val="es-ES" w:eastAsia="es-ES"/>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r w:rsidRPr="677C9FDF">
        <w:rPr>
          <w:rFonts w:ascii="Arial" w:eastAsia="Arial" w:hAnsi="Arial" w:cs="Arial"/>
        </w:rPr>
        <w:t xml:space="preserve"> Además de lo anterior, es de precisar que el artículo 3 de la Ley 1150 de 2007 ya había establecido que el Sistema Electrónico para la Contratación Pública – SECOP “Contará con la información oficial de la contratación realizada con dineros públicos”</w:t>
      </w:r>
      <w:r w:rsidRPr="677C9FDF">
        <w:rPr>
          <w:rStyle w:val="Refdenotaalpie"/>
          <w:rFonts w:ascii="Arial" w:eastAsia="Arial" w:hAnsi="Arial" w:cs="Arial"/>
        </w:rPr>
        <w:footnoteReference w:id="11"/>
      </w:r>
      <w:r w:rsidRPr="677C9FDF">
        <w:rPr>
          <w:rFonts w:ascii="Arial" w:eastAsia="Arial" w:hAnsi="Arial" w:cs="Arial"/>
        </w:rPr>
        <w:t>.</w:t>
      </w:r>
    </w:p>
    <w:p w14:paraId="7B7A31B5" w14:textId="77777777" w:rsidR="00427014" w:rsidRPr="00700E88" w:rsidRDefault="00427014" w:rsidP="677C9FDF">
      <w:pPr>
        <w:spacing w:after="0" w:line="276" w:lineRule="auto"/>
        <w:ind w:firstLine="709"/>
        <w:jc w:val="both"/>
        <w:rPr>
          <w:rFonts w:ascii="Arial" w:eastAsia="Arial" w:hAnsi="Arial" w:cs="Arial"/>
          <w:color w:val="000000" w:themeColor="text1"/>
          <w:lang w:val="es-ES" w:eastAsia="es-ES"/>
        </w:rPr>
      </w:pPr>
    </w:p>
    <w:p w14:paraId="19D1DB0D" w14:textId="77777777" w:rsidR="00427014" w:rsidRPr="00700E88" w:rsidRDefault="00427014" w:rsidP="677C9FDF">
      <w:pPr>
        <w:tabs>
          <w:tab w:val="left" w:pos="426"/>
        </w:tabs>
        <w:spacing w:after="0" w:line="276" w:lineRule="auto"/>
        <w:jc w:val="both"/>
        <w:rPr>
          <w:rFonts w:ascii="Arial" w:eastAsia="Arial" w:hAnsi="Arial" w:cs="Arial"/>
          <w:b/>
          <w:bCs/>
          <w:lang w:val="es-MX"/>
        </w:rPr>
      </w:pPr>
      <w:r w:rsidRPr="677C9FDF">
        <w:rPr>
          <w:rFonts w:ascii="Arial" w:eastAsia="Arial" w:hAnsi="Arial" w:cs="Arial"/>
          <w:b/>
          <w:bCs/>
          <w:lang w:val="es-MX"/>
        </w:rPr>
        <w:t xml:space="preserve">2.2 El SECOP como mecanismo para garantizar el principio de publicidad en la contratación estatal </w:t>
      </w:r>
    </w:p>
    <w:p w14:paraId="22CD4396" w14:textId="77777777" w:rsidR="00427014" w:rsidRPr="00700E88" w:rsidRDefault="00427014" w:rsidP="677C9FDF">
      <w:pPr>
        <w:spacing w:after="0" w:line="276" w:lineRule="auto"/>
        <w:jc w:val="both"/>
        <w:rPr>
          <w:rFonts w:ascii="Arial" w:eastAsia="Arial" w:hAnsi="Arial" w:cs="Arial"/>
          <w:lang w:val="es-MX"/>
        </w:rPr>
      </w:pPr>
    </w:p>
    <w:p w14:paraId="37A69E5F" w14:textId="77777777" w:rsidR="00427014" w:rsidRPr="00700E88" w:rsidRDefault="00427014" w:rsidP="677C9FDF">
      <w:pPr>
        <w:spacing w:after="120" w:line="276" w:lineRule="auto"/>
        <w:jc w:val="both"/>
        <w:rPr>
          <w:rFonts w:ascii="Arial" w:eastAsia="Arial" w:hAnsi="Arial" w:cs="Arial"/>
          <w:lang w:val="es-MX"/>
        </w:rPr>
      </w:pPr>
      <w:r w:rsidRPr="677C9FDF">
        <w:rPr>
          <w:rFonts w:ascii="Arial" w:eastAsia="Arial" w:hAnsi="Arial" w:cs="Arial"/>
          <w:lang w:val="es-MX"/>
        </w:rPr>
        <w:t>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677C9FDF">
        <w:rPr>
          <w:rFonts w:ascii="Arial" w:eastAsia="Arial" w:hAnsi="Arial" w:cs="Arial"/>
          <w:vertAlign w:val="superscript"/>
          <w:lang w:val="es-MX"/>
        </w:rPr>
        <w:footnoteReference w:id="12"/>
      </w:r>
      <w:r w:rsidRPr="677C9FDF">
        <w:rPr>
          <w:rFonts w:ascii="Arial" w:eastAsia="Arial" w:hAnsi="Arial" w:cs="Arial"/>
          <w:lang w:val="es-MX"/>
        </w:rPr>
        <w:t>.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0E1663ED" w14:textId="77777777" w:rsidR="00427014" w:rsidRPr="00700E88" w:rsidRDefault="00427014" w:rsidP="677C9FDF">
      <w:pPr>
        <w:spacing w:before="120" w:after="120" w:line="276" w:lineRule="auto"/>
        <w:ind w:firstLine="709"/>
        <w:jc w:val="both"/>
        <w:rPr>
          <w:rFonts w:ascii="Arial" w:eastAsia="Arial" w:hAnsi="Arial" w:cs="Arial"/>
          <w:lang w:val="es-MX"/>
        </w:rPr>
      </w:pPr>
      <w:r w:rsidRPr="677C9FDF">
        <w:rPr>
          <w:rFonts w:ascii="Arial" w:eastAsia="Arial" w:hAnsi="Arial" w:cs="Arial"/>
          <w:lang w:val="es-MX"/>
        </w:rPr>
        <w:t>La norma citada genera un cambio en la contratación pública, donde las actuaciones de las entidades se realizaban por escrito y en papel, y ahora se cuenta con un mecanismo eficiente que reduce costos para que se cumpla el principio de publicidad, como un deber de las autoridades públicas en el ejercicio de las funciones administrativas que la ley les otorga. No obstante, es necesario aclarar que la norma no impone como requisito que únicamente se deba publicar en el SECOP cuando se ejecuten recursos públicos, ya que el deber de publicidad es amplio. Esto teniendo en cuenta que la obligación está prevista en una norma que aplica a las entidades, sin que sea relevante en el cumplimiento de este deber la ejecución o no de recursos públicos.</w:t>
      </w:r>
    </w:p>
    <w:p w14:paraId="0C044488" w14:textId="77777777" w:rsidR="00427014" w:rsidRPr="00700E88" w:rsidRDefault="00427014" w:rsidP="677C9FDF">
      <w:pPr>
        <w:spacing w:before="120" w:after="120" w:line="276" w:lineRule="auto"/>
        <w:ind w:firstLine="708"/>
        <w:jc w:val="both"/>
        <w:rPr>
          <w:rFonts w:ascii="Arial" w:eastAsia="Arial" w:hAnsi="Arial" w:cs="Arial"/>
          <w:lang w:val="es-MX"/>
        </w:rPr>
      </w:pPr>
      <w:r w:rsidRPr="677C9FDF">
        <w:rPr>
          <w:rFonts w:ascii="Arial" w:eastAsia="Arial" w:hAnsi="Arial" w:cs="Arial"/>
          <w:lang w:val="es-MX"/>
        </w:rPr>
        <w:t xml:space="preserve">Además, es preciso analizar en detalle el artículo 3 de la Ley 1150 de 2007, ya que prescribe la obligación de que la actividad contractual de las entidades se publique en el SECOP, sin que esta, necesaria y exclusivamente,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Esto debe armonizarse con el artículo 2.2.1.1.1.7.1. del Decreto 1082 de 2015, que relaciona los documentos que se deben publicar en el SECOP, sin que se haga referencia a aquellos actos que ejecuten recursos públicos. </w:t>
      </w:r>
    </w:p>
    <w:p w14:paraId="1AC5C92F" w14:textId="77777777" w:rsidR="00427014" w:rsidRPr="00700E88" w:rsidRDefault="00427014" w:rsidP="677C9FDF">
      <w:pPr>
        <w:spacing w:before="120" w:after="120" w:line="276" w:lineRule="auto"/>
        <w:ind w:firstLine="708"/>
        <w:jc w:val="both"/>
        <w:rPr>
          <w:rFonts w:ascii="Arial" w:eastAsia="Arial" w:hAnsi="Arial" w:cs="Arial"/>
          <w:lang w:val="es-MX"/>
        </w:rPr>
      </w:pPr>
      <w:r w:rsidRPr="677C9FDF">
        <w:rPr>
          <w:rFonts w:ascii="Arial" w:eastAsia="Arial" w:hAnsi="Arial" w:cs="Arial"/>
          <w:lang w:val="es-MX"/>
        </w:rPr>
        <w:t>Así, analizando las normas sobre publicidad en el SECOP, se concluye que no existen disposiciones de las que se pueda inferir el interés de la ley en exigir la publicación exclusiva de los actos que comprometan la ejecución de recursos públicos, puesto que su objetivo es general y se refiere a la actividad precontractual, contractual y poscontractual de las entidades, sin que quepa interpretación diferente, debido a la finalidad de la ley respecto de la ciudadanía y su derecho a conocer las decisiones de la Administración pública.</w:t>
      </w:r>
    </w:p>
    <w:p w14:paraId="30C3D742" w14:textId="77777777" w:rsidR="00427014" w:rsidRPr="00700E88" w:rsidRDefault="00427014" w:rsidP="677C9FDF">
      <w:pPr>
        <w:spacing w:line="276" w:lineRule="auto"/>
        <w:ind w:firstLine="708"/>
        <w:jc w:val="both"/>
        <w:rPr>
          <w:rFonts w:ascii="Arial" w:eastAsia="Arial" w:hAnsi="Arial" w:cs="Arial"/>
          <w:lang w:val="es-MX"/>
        </w:rPr>
      </w:pPr>
      <w:r w:rsidRPr="677C9FDF">
        <w:rPr>
          <w:rFonts w:ascii="Arial" w:eastAsia="Arial" w:hAnsi="Arial" w:cs="Arial"/>
          <w:lang w:val="es-MX"/>
        </w:rPr>
        <w:t>La Corte Constitucional hizo énfasis en la transición de la actividad contractual impresa, que se publicaba en el Diario Único de Contratación, a una contratación pública electrónica desarrollada mediante el SECOP:</w:t>
      </w:r>
    </w:p>
    <w:p w14:paraId="6425C7E1" w14:textId="115885A9" w:rsidR="00427014" w:rsidRPr="00700E88" w:rsidRDefault="00A84E8F" w:rsidP="677C9FDF">
      <w:pPr>
        <w:ind w:left="708" w:right="680"/>
        <w:jc w:val="both"/>
        <w:rPr>
          <w:rFonts w:ascii="Arial" w:eastAsia="Arial" w:hAnsi="Arial" w:cs="Arial"/>
          <w:sz w:val="21"/>
          <w:szCs w:val="21"/>
          <w:lang w:val="es-MX"/>
        </w:rPr>
      </w:pPr>
      <w:r w:rsidRPr="677C9FDF">
        <w:rPr>
          <w:rFonts w:ascii="Arial" w:eastAsia="Arial" w:hAnsi="Arial" w:cs="Arial"/>
          <w:sz w:val="21"/>
          <w:szCs w:val="21"/>
          <w:lang w:val="es-MX"/>
        </w:rPr>
        <w:t>“</w:t>
      </w:r>
      <w:r w:rsidR="00427014" w:rsidRPr="677C9FDF">
        <w:rPr>
          <w:rFonts w:ascii="Arial" w:eastAsia="Arial" w:hAnsi="Arial" w:cs="Arial"/>
          <w:sz w:val="21"/>
          <w:szCs w:val="21"/>
          <w:lang w:val="es-MX"/>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w:t>
      </w:r>
      <w:r w:rsidR="00427014" w:rsidRPr="677C9FDF">
        <w:rPr>
          <w:rFonts w:ascii="Arial" w:eastAsia="Arial" w:hAnsi="Arial" w:cs="Arial"/>
          <w:lang w:val="es-MX"/>
        </w:rPr>
        <w:t xml:space="preserve"> </w:t>
      </w:r>
      <w:r w:rsidR="00427014" w:rsidRPr="677C9FDF">
        <w:rPr>
          <w:rFonts w:ascii="Arial" w:eastAsia="Arial" w:hAnsi="Arial" w:cs="Arial"/>
          <w:sz w:val="21"/>
          <w:szCs w:val="21"/>
          <w:lang w:val="es-MX"/>
        </w:rPr>
        <w:t>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1871F8D4" w14:textId="518E5ACA" w:rsidR="00427014" w:rsidRPr="00700E88" w:rsidRDefault="00427014" w:rsidP="677C9FDF">
      <w:pPr>
        <w:ind w:left="708" w:right="680"/>
        <w:jc w:val="both"/>
        <w:rPr>
          <w:rFonts w:ascii="Arial" w:eastAsia="Arial" w:hAnsi="Arial" w:cs="Arial"/>
          <w:sz w:val="21"/>
          <w:szCs w:val="21"/>
          <w:lang w:val="es-MX"/>
        </w:rPr>
      </w:pPr>
      <w:r w:rsidRPr="677C9FDF">
        <w:rPr>
          <w:rFonts w:ascii="Arial" w:eastAsia="Arial" w:hAnsi="Arial" w:cs="Arial"/>
          <w:sz w:val="21"/>
          <w:szCs w:val="21"/>
          <w:lang w:val="es-MX"/>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r w:rsidR="00A84E8F" w:rsidRPr="677C9FDF">
        <w:rPr>
          <w:rFonts w:ascii="Arial" w:eastAsia="Arial" w:hAnsi="Arial" w:cs="Arial"/>
          <w:sz w:val="21"/>
          <w:szCs w:val="21"/>
          <w:lang w:val="es-MX"/>
        </w:rPr>
        <w:t>”</w:t>
      </w:r>
      <w:r w:rsidRPr="677C9FDF">
        <w:rPr>
          <w:rFonts w:ascii="Arial" w:eastAsia="Arial" w:hAnsi="Arial" w:cs="Arial"/>
          <w:vertAlign w:val="superscript"/>
          <w:lang w:val="es-MX"/>
        </w:rPr>
        <w:footnoteReference w:id="13"/>
      </w:r>
      <w:r w:rsidRPr="677C9FDF">
        <w:rPr>
          <w:rFonts w:ascii="Arial" w:eastAsia="Arial" w:hAnsi="Arial" w:cs="Arial"/>
          <w:sz w:val="21"/>
          <w:szCs w:val="21"/>
          <w:lang w:val="es-MX"/>
        </w:rPr>
        <w:t>.</w:t>
      </w:r>
    </w:p>
    <w:p w14:paraId="67639AAE" w14:textId="77777777" w:rsidR="00427014" w:rsidRPr="00700E88" w:rsidRDefault="00427014" w:rsidP="677C9FDF">
      <w:pPr>
        <w:spacing w:line="276" w:lineRule="auto"/>
        <w:ind w:right="49" w:firstLine="708"/>
        <w:jc w:val="both"/>
        <w:rPr>
          <w:rFonts w:ascii="Arial" w:eastAsia="Arial" w:hAnsi="Arial" w:cs="Arial"/>
          <w:lang w:val="es-MX"/>
        </w:rPr>
      </w:pPr>
      <w:r w:rsidRPr="677C9FDF">
        <w:rPr>
          <w:rFonts w:ascii="Arial" w:eastAsia="Arial" w:hAnsi="Arial" w:cs="Arial"/>
          <w:lang w:val="es-MX"/>
        </w:rPr>
        <w:t>De acuerdo con lo anterior, sobre la obligatoriedad de publicar en el SECOP contratos sin erogación presupuestal ya se había pronunciado esta Agencia en el concepto C-087 del 4 marzo de 2020, en el que al responder a la pregunta “¿Se debe publicar en el SECOP II los contratos de arrendamiento o comodato donde el municipio no desembolsa recursos?” consideró que:</w:t>
      </w:r>
    </w:p>
    <w:p w14:paraId="7331F1DB" w14:textId="3E2B78F0" w:rsidR="00427014" w:rsidRPr="00700E88" w:rsidRDefault="00A84E8F" w:rsidP="677C9FDF">
      <w:pPr>
        <w:ind w:left="709" w:right="709"/>
        <w:jc w:val="both"/>
        <w:rPr>
          <w:rFonts w:ascii="Arial" w:eastAsia="Arial" w:hAnsi="Arial" w:cs="Arial"/>
          <w:sz w:val="21"/>
          <w:szCs w:val="21"/>
          <w:lang w:val="es-MX"/>
        </w:rPr>
      </w:pPr>
      <w:r w:rsidRPr="677C9FDF">
        <w:rPr>
          <w:rFonts w:ascii="Arial" w:eastAsia="Arial" w:hAnsi="Arial" w:cs="Arial"/>
          <w:sz w:val="21"/>
          <w:szCs w:val="21"/>
          <w:lang w:val="es-MX"/>
        </w:rPr>
        <w:t>“</w:t>
      </w:r>
      <w:r w:rsidR="00427014" w:rsidRPr="677C9FDF">
        <w:rPr>
          <w:rFonts w:ascii="Arial" w:eastAsia="Arial" w:hAnsi="Arial" w:cs="Arial"/>
          <w:sz w:val="21"/>
          <w:szCs w:val="21"/>
          <w:lang w:val="es-MX"/>
        </w:rPr>
        <w:t>[…] la obligatoriedad de publicar las actuaciones contractuales de las entidades no está sujeta a la ejecución de recursos públicos, por ende, las entidades deben publicar los documentos relacionados con sus procedimientos contractuales, que según el artículo 2.2.1.1.1.3.1. del Decreto 1082 de 2015, incluyen el contrato y cualquier otro documento expedido por la entidad en el desarrollo de esa actividad</w:t>
      </w:r>
      <w:r w:rsidRPr="677C9FDF">
        <w:rPr>
          <w:rFonts w:ascii="Arial" w:eastAsia="Arial" w:hAnsi="Arial" w:cs="Arial"/>
          <w:sz w:val="21"/>
          <w:szCs w:val="21"/>
          <w:lang w:val="es-MX"/>
        </w:rPr>
        <w:t>”</w:t>
      </w:r>
      <w:r w:rsidR="00427014" w:rsidRPr="677C9FDF">
        <w:rPr>
          <w:rFonts w:ascii="Arial" w:eastAsia="Arial" w:hAnsi="Arial" w:cs="Arial"/>
          <w:sz w:val="21"/>
          <w:szCs w:val="21"/>
          <w:vertAlign w:val="superscript"/>
          <w:lang w:val="es-MX"/>
        </w:rPr>
        <w:footnoteReference w:id="14"/>
      </w:r>
      <w:r w:rsidR="00427014" w:rsidRPr="677C9FDF">
        <w:rPr>
          <w:rFonts w:ascii="Arial" w:eastAsia="Arial" w:hAnsi="Arial" w:cs="Arial"/>
          <w:sz w:val="21"/>
          <w:szCs w:val="21"/>
          <w:lang w:val="es-MX"/>
        </w:rPr>
        <w:t>.</w:t>
      </w:r>
    </w:p>
    <w:p w14:paraId="646619B6" w14:textId="77777777" w:rsidR="00427014" w:rsidRPr="00700E88" w:rsidRDefault="00427014" w:rsidP="677C9FDF">
      <w:pPr>
        <w:spacing w:after="120" w:line="276" w:lineRule="auto"/>
        <w:ind w:firstLine="709"/>
        <w:jc w:val="both"/>
        <w:rPr>
          <w:rFonts w:ascii="Arial" w:eastAsia="Arial" w:hAnsi="Arial" w:cs="Arial"/>
          <w:lang w:val="es-MX"/>
        </w:rPr>
      </w:pPr>
      <w:r w:rsidRPr="677C9FDF">
        <w:rPr>
          <w:rFonts w:ascii="Arial" w:eastAsia="Arial" w:hAnsi="Arial" w:cs="Arial"/>
          <w:lang w:val="es-MX"/>
        </w:rPr>
        <w:t>Debe precisarse que la calidad de contrato estatal obedece a un criterio eminentemente orgánico</w:t>
      </w:r>
      <w:r w:rsidRPr="677C9FDF">
        <w:rPr>
          <w:rFonts w:ascii="Arial" w:eastAsia="Arial" w:hAnsi="Arial" w:cs="Arial"/>
          <w:vertAlign w:val="superscript"/>
          <w:lang w:val="es-MX"/>
        </w:rPr>
        <w:footnoteReference w:id="15"/>
      </w:r>
      <w:r w:rsidRPr="677C9FDF">
        <w:rPr>
          <w:rFonts w:ascii="Arial" w:eastAsia="Arial" w:hAnsi="Arial" w:cs="Arial"/>
          <w:lang w:val="es-MX"/>
        </w:rPr>
        <w:t xml:space="preserve">, por lo que son todos aquellos celebrados por alguna de entidad estatal, de las cuales, las enlistadas en el artículo 2 de la Ley 80 de 1993, están obligadas a aplicar las normas contenidas en dicha ley. No obstante, la Ley 80 de 1993, la Ley 1150 de 1993 y su reglamentación, no constituyen un conjunto de normas que por sí solas gobiernen el grueso de las relaciones contractuales de las entidades estatales –de acuerdo con el artículo 2 </w:t>
      </w:r>
      <w:r w:rsidRPr="677C9FDF">
        <w:rPr>
          <w:rFonts w:ascii="Arial" w:eastAsia="Arial" w:hAnsi="Arial" w:cs="Arial"/>
          <w:i/>
          <w:iCs/>
          <w:lang w:val="es-MX"/>
        </w:rPr>
        <w:t>Ibídem</w:t>
      </w:r>
      <w:r w:rsidRPr="677C9FDF">
        <w:rPr>
          <w:rFonts w:ascii="Arial" w:eastAsia="Arial" w:hAnsi="Arial" w:cs="Arial"/>
          <w:lang w:val="es-MX"/>
        </w:rPr>
        <w:t>–. Por el contrario, constituyen una serie de reglas y principios que deben aplicarse de manera prevalente en los contratos que celebren dichos entes, pero que deben complementarse con el derecho privado, –tal como se desprende de los artículos 13 y 40 de la Ley 80 de 1993</w:t>
      </w:r>
      <w:r w:rsidRPr="677C9FDF">
        <w:rPr>
          <w:rFonts w:ascii="Arial" w:eastAsia="Arial" w:hAnsi="Arial" w:cs="Arial"/>
          <w:vertAlign w:val="superscript"/>
          <w:lang w:val="es-MX"/>
        </w:rPr>
        <w:footnoteReference w:id="16"/>
      </w:r>
      <w:r w:rsidRPr="677C9FDF">
        <w:rPr>
          <w:rFonts w:ascii="Arial" w:eastAsia="Arial" w:hAnsi="Arial" w:cs="Arial"/>
          <w:lang w:val="es-MX"/>
        </w:rPr>
        <w:t>– ámbito jurídico del que surgen la gran mayoría de tipologías contractuales celebradas por las entidades públicas.</w:t>
      </w:r>
    </w:p>
    <w:p w14:paraId="3BF5419F" w14:textId="77777777" w:rsidR="00427014" w:rsidRPr="00700E88" w:rsidRDefault="00427014" w:rsidP="677C9FDF">
      <w:pPr>
        <w:spacing w:line="276" w:lineRule="auto"/>
        <w:ind w:firstLine="709"/>
        <w:jc w:val="both"/>
        <w:rPr>
          <w:rFonts w:ascii="Arial" w:eastAsia="Arial" w:hAnsi="Arial" w:cs="Arial"/>
          <w:lang w:val="es-MX"/>
        </w:rPr>
      </w:pPr>
      <w:r w:rsidRPr="677C9FDF">
        <w:rPr>
          <w:rFonts w:ascii="Arial" w:eastAsia="Arial" w:hAnsi="Arial" w:cs="Arial"/>
          <w:lang w:val="es-MX"/>
        </w:rPr>
        <w:t xml:space="preserve">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mediante el artículo 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 </w:t>
      </w:r>
    </w:p>
    <w:p w14:paraId="4AE336D2" w14:textId="77777777" w:rsidR="00427014" w:rsidRPr="00700E88" w:rsidRDefault="00427014" w:rsidP="677C9FDF">
      <w:pPr>
        <w:spacing w:after="120" w:line="276" w:lineRule="auto"/>
        <w:jc w:val="both"/>
        <w:rPr>
          <w:rFonts w:ascii="Arial" w:eastAsia="Arial" w:hAnsi="Arial" w:cs="Arial"/>
          <w:lang w:val="es-ES"/>
        </w:rPr>
      </w:pPr>
      <w:r w:rsidRPr="00700E88">
        <w:rPr>
          <w:rFonts w:ascii="Century Gothic" w:eastAsia="Times New Roman" w:hAnsi="Century Gothic" w:cs="Arial"/>
          <w:color w:val="000000"/>
          <w:lang w:eastAsia="es-CO"/>
        </w:rPr>
        <w:tab/>
      </w:r>
      <w:r w:rsidRPr="677C9FDF">
        <w:rPr>
          <w:rFonts w:ascii="Arial" w:eastAsia="Arial" w:hAnsi="Arial" w:cs="Arial"/>
          <w:color w:val="000000"/>
          <w:lang w:eastAsia="es-CO"/>
        </w:rPr>
        <w:t xml:space="preserve">Por otro lado, </w:t>
      </w:r>
      <w:r w:rsidRPr="677C9FDF">
        <w:rPr>
          <w:rFonts w:ascii="Arial" w:eastAsia="Arial" w:hAnsi="Arial" w:cs="Arial"/>
          <w:lang w:val="es-ES"/>
        </w:rPr>
        <w:t>es importante señalar que, actualmente, la plataforma introducida por el artículo 3 de la Ley 1150 de 2007 cuenta con dos versiones–SECOP I y SECOP II–. La primera de ellas funciona como repositorio y medio de publicidad de la documentación contractual que, luego de ser producida en medio físico, se digitaliza para ser publicada en la plataforma. De otra parte, la segunda versión no solo permite dar publicidad al desarrollo del proceso de contratación, sino que además funciona como plataforma transaccional que</w:t>
      </w:r>
      <w:r w:rsidRPr="677C9FDF">
        <w:rPr>
          <w:rFonts w:ascii="Arial" w:eastAsia="Arial" w:hAnsi="Arial" w:cs="Arial"/>
          <w:lang w:val="es-ES" w:eastAsia="es-ES"/>
        </w:rPr>
        <w:t xml:space="preserve"> permite gestionar en línea todos los procedimientos de contratación con cuentas y usuarios asociados a estas, para las entidades y los proveedores, y vista pública para cualquier interesado en hacer seguimiento a la contratación pública. Esta diferencia fundamental entre las dos versiones del SECOP, tiene incidencia en el cumplimiento del deber de publicidad de las actuaciones contractuales.</w:t>
      </w:r>
    </w:p>
    <w:p w14:paraId="09BAE9C3" w14:textId="77777777" w:rsidR="00427014" w:rsidRPr="00700E88" w:rsidRDefault="00427014" w:rsidP="677C9FDF">
      <w:pPr>
        <w:widowControl w:val="0"/>
        <w:autoSpaceDE w:val="0"/>
        <w:autoSpaceDN w:val="0"/>
        <w:spacing w:after="120" w:line="276" w:lineRule="auto"/>
        <w:ind w:firstLine="708"/>
        <w:jc w:val="both"/>
        <w:rPr>
          <w:rFonts w:ascii="Arial" w:eastAsia="Arial" w:hAnsi="Arial" w:cs="Arial"/>
          <w:lang w:val="es-ES" w:eastAsia="es-ES"/>
        </w:rPr>
      </w:pPr>
      <w:r w:rsidRPr="677C9FDF">
        <w:rPr>
          <w:rFonts w:ascii="Arial" w:eastAsia="Arial" w:hAnsi="Arial" w:cs="Arial"/>
          <w:lang w:val="es-ES" w:eastAsia="es-ES"/>
        </w:rPr>
        <w:t>Si bien los documentos</w:t>
      </w:r>
      <w:r w:rsidRPr="677C9FDF">
        <w:rPr>
          <w:rFonts w:ascii="Arial" w:eastAsia="Arial" w:hAnsi="Arial" w:cs="Arial"/>
          <w:i/>
          <w:iCs/>
          <w:lang w:val="es-ES" w:eastAsia="es-ES"/>
        </w:rPr>
        <w:t xml:space="preserve"> </w:t>
      </w:r>
      <w:r w:rsidRPr="677C9FDF">
        <w:rPr>
          <w:rFonts w:ascii="Arial" w:eastAsia="Arial" w:hAnsi="Arial" w:cs="Arial"/>
          <w:lang w:val="es-ES" w:eastAsia="es-ES"/>
        </w:rPr>
        <w:t xml:space="preserve">que deben publicarse en el SECOP II son los mismos que deben publicarse en el SECOP I, esto es, todos los expedidos con ocasión el </w:t>
      </w:r>
      <w:r w:rsidRPr="677C9FDF">
        <w:rPr>
          <w:rFonts w:ascii="Arial" w:eastAsia="Arial" w:hAnsi="Arial" w:cs="Arial"/>
          <w:i/>
          <w:iCs/>
          <w:lang w:val="es-ES" w:eastAsia="es-ES"/>
        </w:rPr>
        <w:t>Proceso de Contratación –</w:t>
      </w:r>
      <w:r w:rsidRPr="677C9FDF">
        <w:rPr>
          <w:rFonts w:ascii="Arial" w:eastAsia="Arial" w:hAnsi="Arial" w:cs="Arial"/>
          <w:lang w:val="es-ES" w:eastAsia="es-ES"/>
        </w:rPr>
        <w:t>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el proceso contractual avanza en la medida en la que se generen y aprueben estos documentos y actuaciones electrónicas en la plataforma</w:t>
      </w:r>
      <w:r w:rsidRPr="677C9FDF">
        <w:rPr>
          <w:rFonts w:ascii="Arial" w:eastAsia="Arial" w:hAnsi="Arial" w:cs="Arial"/>
          <w:vertAlign w:val="superscript"/>
          <w:lang w:val="es-ES" w:eastAsia="es-ES"/>
        </w:rPr>
        <w:footnoteReference w:id="17"/>
      </w:r>
      <w:r w:rsidRPr="677C9FDF">
        <w:rPr>
          <w:rFonts w:ascii="Arial" w:eastAsia="Arial" w:hAnsi="Arial" w:cs="Arial"/>
          <w:lang w:val="es-ES" w:eastAsia="es-ES"/>
        </w:rPr>
        <w:t>.</w:t>
      </w:r>
    </w:p>
    <w:p w14:paraId="62A69EA7" w14:textId="77777777" w:rsidR="00427014" w:rsidRPr="00700E88" w:rsidRDefault="00427014" w:rsidP="677C9FDF">
      <w:pPr>
        <w:spacing w:after="0" w:line="240" w:lineRule="auto"/>
        <w:contextualSpacing/>
        <w:jc w:val="both"/>
        <w:rPr>
          <w:rFonts w:ascii="Arial" w:eastAsia="Arial" w:hAnsi="Arial" w:cs="Arial"/>
          <w:color w:val="000000" w:themeColor="text1"/>
          <w:sz w:val="21"/>
          <w:szCs w:val="21"/>
        </w:rPr>
      </w:pPr>
    </w:p>
    <w:p w14:paraId="2D214B14" w14:textId="77777777" w:rsidR="00427014" w:rsidRPr="00700E88" w:rsidRDefault="00427014" w:rsidP="677C9FDF">
      <w:pPr>
        <w:numPr>
          <w:ilvl w:val="0"/>
          <w:numId w:val="6"/>
        </w:numPr>
        <w:tabs>
          <w:tab w:val="left" w:pos="284"/>
        </w:tabs>
        <w:spacing w:after="0" w:line="240" w:lineRule="auto"/>
        <w:ind w:left="0" w:firstLine="0"/>
        <w:contextualSpacing/>
        <w:rPr>
          <w:rFonts w:ascii="Arial" w:eastAsia="Arial" w:hAnsi="Arial" w:cs="Arial"/>
          <w:b/>
          <w:bCs/>
          <w:color w:val="000000" w:themeColor="text1"/>
        </w:rPr>
      </w:pPr>
      <w:r w:rsidRPr="677C9FDF">
        <w:rPr>
          <w:rFonts w:ascii="Arial" w:eastAsia="Arial" w:hAnsi="Arial" w:cs="Arial"/>
          <w:b/>
          <w:bCs/>
          <w:color w:val="000000" w:themeColor="text1"/>
        </w:rPr>
        <w:t xml:space="preserve">Respuesta </w:t>
      </w:r>
    </w:p>
    <w:p w14:paraId="714A1302" w14:textId="77777777" w:rsidR="00427014" w:rsidRPr="00700E88" w:rsidRDefault="00427014" w:rsidP="677C9FDF">
      <w:pPr>
        <w:tabs>
          <w:tab w:val="left" w:pos="709"/>
        </w:tabs>
        <w:spacing w:after="0" w:line="240" w:lineRule="auto"/>
        <w:contextualSpacing/>
        <w:jc w:val="both"/>
        <w:rPr>
          <w:rFonts w:ascii="Arial" w:eastAsia="Arial" w:hAnsi="Arial" w:cs="Arial"/>
          <w:color w:val="000000" w:themeColor="text1"/>
          <w:lang w:val="es-MX"/>
        </w:rPr>
      </w:pPr>
    </w:p>
    <w:p w14:paraId="41C81E46" w14:textId="77777777" w:rsidR="00427014" w:rsidRPr="00700E88" w:rsidRDefault="00427014" w:rsidP="677C9FDF">
      <w:pPr>
        <w:pStyle w:val="NormalWeb"/>
        <w:ind w:left="709" w:right="709"/>
        <w:contextualSpacing/>
        <w:jc w:val="both"/>
        <w:rPr>
          <w:rFonts w:ascii="Arial" w:eastAsia="Arial" w:hAnsi="Arial" w:cs="Arial"/>
          <w:sz w:val="21"/>
          <w:szCs w:val="21"/>
        </w:rPr>
      </w:pPr>
      <w:r w:rsidRPr="677C9FDF">
        <w:rPr>
          <w:rFonts w:ascii="Arial" w:eastAsia="Arial" w:hAnsi="Arial" w:cs="Arial"/>
          <w:sz w:val="21"/>
          <w:szCs w:val="21"/>
        </w:rPr>
        <w:t>“A la entidad pública Fiscalía General de la Nación le es exigible la publicación de convenios celebrados con entes territoriales que no comprometen recursos públicos ni con cargo a presupuesto público” (SIC).</w:t>
      </w:r>
    </w:p>
    <w:p w14:paraId="353E48A9" w14:textId="77777777" w:rsidR="00427014" w:rsidRPr="00700E88" w:rsidRDefault="00427014" w:rsidP="677C9FDF">
      <w:pPr>
        <w:spacing w:after="0" w:line="240" w:lineRule="auto"/>
        <w:contextualSpacing/>
        <w:jc w:val="both"/>
        <w:rPr>
          <w:rFonts w:ascii="Arial" w:eastAsia="Arial" w:hAnsi="Arial" w:cs="Arial"/>
          <w:color w:val="000000" w:themeColor="text1"/>
          <w:lang w:val="es-ES"/>
        </w:rPr>
      </w:pPr>
    </w:p>
    <w:p w14:paraId="31763E15" w14:textId="77777777" w:rsidR="00427014" w:rsidRPr="00700E88" w:rsidRDefault="00427014" w:rsidP="677C9FDF">
      <w:pPr>
        <w:spacing w:after="0" w:line="276" w:lineRule="auto"/>
        <w:jc w:val="both"/>
        <w:rPr>
          <w:rFonts w:ascii="Arial" w:eastAsia="Arial" w:hAnsi="Arial" w:cs="Arial"/>
          <w:lang w:val="es-MX"/>
        </w:rPr>
      </w:pPr>
      <w:r w:rsidRPr="677C9FDF">
        <w:rPr>
          <w:rFonts w:ascii="Arial" w:eastAsia="Arial" w:hAnsi="Arial" w:cs="Arial"/>
          <w:color w:val="000000" w:themeColor="text1"/>
          <w:lang w:val="es-ES"/>
        </w:rPr>
        <w:t xml:space="preserve">De acuerdo con la explicación precedente, </w:t>
      </w:r>
      <w:r w:rsidRPr="677C9FDF">
        <w:rPr>
          <w:rFonts w:ascii="Arial" w:eastAsia="Arial" w:hAnsi="Arial" w:cs="Arial"/>
          <w:lang w:val="es-MX"/>
        </w:rPr>
        <w:t>la publicidad de los contratos estatales debe realizarse a través de SECOP, independientemente del régimen aplicable al contrato o que este implique o no la erogación de recursos públicos, como quiera que las referidas normas no sujetan la obligación de publicar en dicha plataforma a tales condiciones. Esto en la medida en que, independientemente de que se realice alguna erogación o no, los contratos estatales involucran un interés público, por lo que deben publicarse en el SECOP que fue el mecanismo establecido por el legislador y el reglamento para garantizar que se cumplan los principios de publicidad y transparencia respecto de los estos. En consecuencia, los contratos que tengan como parte a una entidad estatal, deberán publicarse en el SECOP independientemente del régimen aplicable o que impliquen o no erogación de recursos públicos.</w:t>
      </w:r>
    </w:p>
    <w:p w14:paraId="2038786F" w14:textId="77777777" w:rsidR="00427014" w:rsidRPr="00700E88" w:rsidRDefault="00427014" w:rsidP="677C9FDF">
      <w:pPr>
        <w:spacing w:after="0" w:line="276" w:lineRule="auto"/>
        <w:jc w:val="both"/>
        <w:rPr>
          <w:rFonts w:ascii="Arial" w:eastAsia="Arial" w:hAnsi="Arial" w:cs="Arial"/>
          <w:color w:val="000000" w:themeColor="text1"/>
          <w:lang w:val="es-MX"/>
        </w:rPr>
      </w:pPr>
    </w:p>
    <w:p w14:paraId="3170F4C5" w14:textId="77777777" w:rsidR="00427014" w:rsidRPr="00700E88" w:rsidRDefault="00427014" w:rsidP="677C9FDF">
      <w:pPr>
        <w:spacing w:after="0" w:line="276" w:lineRule="auto"/>
        <w:jc w:val="both"/>
        <w:rPr>
          <w:rFonts w:ascii="Arial" w:eastAsia="Arial" w:hAnsi="Arial" w:cs="Arial"/>
          <w:color w:val="000000" w:themeColor="text1"/>
          <w:lang w:val="es-MX"/>
        </w:rPr>
      </w:pPr>
      <w:r w:rsidRPr="677C9FDF">
        <w:rPr>
          <w:rFonts w:ascii="Arial" w:eastAsia="Arial" w:hAnsi="Arial" w:cs="Arial"/>
          <w:color w:val="000000" w:themeColor="text1"/>
          <w:lang w:val="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56AF71E" w14:textId="77777777" w:rsidR="00427014" w:rsidRPr="00700E88" w:rsidRDefault="00427014" w:rsidP="677C9FDF">
      <w:pPr>
        <w:spacing w:after="0" w:line="240" w:lineRule="auto"/>
        <w:ind w:firstLine="709"/>
        <w:jc w:val="both"/>
        <w:rPr>
          <w:rFonts w:ascii="Arial" w:eastAsia="Arial" w:hAnsi="Arial" w:cs="Arial"/>
          <w:color w:val="000000" w:themeColor="text1"/>
          <w:lang w:val="es-MX"/>
        </w:rPr>
      </w:pPr>
    </w:p>
    <w:p w14:paraId="039713AB" w14:textId="77777777" w:rsidR="00427014" w:rsidRPr="00700E88" w:rsidRDefault="00427014" w:rsidP="677C9FDF">
      <w:pPr>
        <w:spacing w:after="0" w:line="240" w:lineRule="auto"/>
        <w:jc w:val="both"/>
        <w:rPr>
          <w:rFonts w:ascii="Arial" w:eastAsia="Arial" w:hAnsi="Arial" w:cs="Arial"/>
          <w:color w:val="000000" w:themeColor="text1"/>
          <w:lang w:val="es-MX" w:eastAsia="es-CO"/>
        </w:rPr>
      </w:pPr>
      <w:r w:rsidRPr="677C9FDF">
        <w:rPr>
          <w:rFonts w:ascii="Arial" w:eastAsia="Arial" w:hAnsi="Arial" w:cs="Arial"/>
          <w:color w:val="000000" w:themeColor="text1"/>
          <w:lang w:val="es-MX" w:eastAsia="es-CO"/>
        </w:rPr>
        <w:t>Atentamente,</w:t>
      </w:r>
    </w:p>
    <w:bookmarkEnd w:id="0"/>
    <w:bookmarkEnd w:id="1"/>
    <w:bookmarkEnd w:id="2"/>
    <w:p w14:paraId="55DA2B76" w14:textId="1DA553E0" w:rsidR="00427014" w:rsidRPr="00700E88" w:rsidRDefault="008A597F" w:rsidP="677C9FDF">
      <w:pPr>
        <w:spacing w:after="0" w:line="240" w:lineRule="auto"/>
        <w:jc w:val="center"/>
        <w:rPr>
          <w:rFonts w:ascii="Arial" w:eastAsia="Arial" w:hAnsi="Arial" w:cs="Arial"/>
          <w:sz w:val="24"/>
          <w:szCs w:val="24"/>
          <w:lang w:val="es-US" w:eastAsia="es-MX"/>
        </w:rPr>
      </w:pPr>
      <w:r>
        <w:rPr>
          <w:noProof/>
        </w:rPr>
        <w:drawing>
          <wp:inline distT="0" distB="0" distL="0" distR="0" wp14:anchorId="6A8F8134" wp14:editId="08E42C1D">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1">
                      <a:extLst>
                        <a:ext uri="{28A0092B-C50C-407E-A947-70E740481C1C}">
                          <a14:useLocalDpi xmlns:a14="http://schemas.microsoft.com/office/drawing/2010/main" val="0"/>
                        </a:ext>
                      </a:extLst>
                    </a:blip>
                    <a:stretch>
                      <a:fillRect/>
                    </a:stretch>
                  </pic:blipFill>
                  <pic:spPr>
                    <a:xfrm>
                      <a:off x="0" y="0"/>
                      <a:ext cx="2774950" cy="1064260"/>
                    </a:xfrm>
                    <a:prstGeom prst="rect">
                      <a:avLst/>
                    </a:prstGeom>
                  </pic:spPr>
                </pic:pic>
              </a:graphicData>
            </a:graphic>
          </wp:inline>
        </w:drawing>
      </w:r>
    </w:p>
    <w:p w14:paraId="2DC22B61" w14:textId="77777777" w:rsidR="00427014" w:rsidRPr="00700E88" w:rsidRDefault="00427014" w:rsidP="677C9FDF">
      <w:pPr>
        <w:spacing w:after="0" w:line="240" w:lineRule="auto"/>
        <w:jc w:val="both"/>
        <w:rPr>
          <w:rFonts w:ascii="Arial" w:eastAsia="Arial" w:hAnsi="Arial" w:cs="Arial"/>
          <w:b/>
          <w:bCs/>
          <w:lang w:val="es-MX"/>
        </w:rPr>
      </w:pPr>
    </w:p>
    <w:p w14:paraId="0D06F618" w14:textId="77777777" w:rsidR="00427014" w:rsidRPr="00700E88" w:rsidRDefault="00427014" w:rsidP="677C9FDF">
      <w:pPr>
        <w:spacing w:after="0" w:line="240" w:lineRule="auto"/>
        <w:jc w:val="center"/>
        <w:rPr>
          <w:rFonts w:ascii="Arial" w:eastAsia="Arial" w:hAnsi="Arial" w:cs="Arial"/>
          <w:lang w:val="es-ES" w:eastAsia="es-CO"/>
        </w:rPr>
      </w:pPr>
    </w:p>
    <w:tbl>
      <w:tblPr>
        <w:tblW w:w="56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4946"/>
      </w:tblGrid>
      <w:tr w:rsidR="00427014" w:rsidRPr="00B808E1" w14:paraId="1CDC71FD" w14:textId="77777777" w:rsidTr="677C9FDF">
        <w:trPr>
          <w:trHeight w:val="315"/>
        </w:trPr>
        <w:tc>
          <w:tcPr>
            <w:tcW w:w="709" w:type="dxa"/>
            <w:tcBorders>
              <w:top w:val="nil"/>
              <w:left w:val="nil"/>
              <w:bottom w:val="nil"/>
              <w:right w:val="nil"/>
            </w:tcBorders>
            <w:shd w:val="clear" w:color="auto" w:fill="auto"/>
            <w:vAlign w:val="center"/>
            <w:hideMark/>
          </w:tcPr>
          <w:p w14:paraId="5F1B9FA1" w14:textId="77777777" w:rsidR="00427014" w:rsidRPr="00700E88" w:rsidRDefault="00427014" w:rsidP="677C9FDF">
            <w:pPr>
              <w:spacing w:after="0" w:line="240" w:lineRule="auto"/>
              <w:textAlignment w:val="baseline"/>
              <w:rPr>
                <w:rFonts w:ascii="Arial" w:eastAsia="Arial" w:hAnsi="Arial" w:cs="Arial"/>
                <w:sz w:val="18"/>
                <w:szCs w:val="18"/>
                <w:lang w:eastAsia="es-CO"/>
              </w:rPr>
            </w:pPr>
            <w:r w:rsidRPr="677C9FDF">
              <w:rPr>
                <w:rFonts w:ascii="Arial" w:eastAsia="Arial" w:hAnsi="Arial" w:cs="Arial"/>
                <w:sz w:val="17"/>
                <w:szCs w:val="17"/>
                <w:lang w:val="es-ES" w:eastAsia="es-CO"/>
              </w:rPr>
              <w:t>Elaboró:</w:t>
            </w:r>
            <w:r w:rsidRPr="677C9FDF">
              <w:rPr>
                <w:rFonts w:ascii="Arial" w:eastAsia="Arial" w:hAnsi="Arial" w:cs="Arial"/>
                <w:sz w:val="17"/>
                <w:szCs w:val="17"/>
                <w:lang w:eastAsia="es-CO"/>
              </w:rPr>
              <w:t> </w:t>
            </w:r>
          </w:p>
        </w:tc>
        <w:tc>
          <w:tcPr>
            <w:tcW w:w="4946" w:type="dxa"/>
            <w:tcBorders>
              <w:top w:val="nil"/>
              <w:left w:val="nil"/>
              <w:bottom w:val="dotted" w:sz="6" w:space="0" w:color="7F7F7F" w:themeColor="text1" w:themeTint="80"/>
              <w:right w:val="nil"/>
            </w:tcBorders>
            <w:shd w:val="clear" w:color="auto" w:fill="auto"/>
            <w:vAlign w:val="center"/>
            <w:hideMark/>
          </w:tcPr>
          <w:p w14:paraId="41C7C412" w14:textId="77777777" w:rsidR="00427014" w:rsidRPr="00700E88" w:rsidRDefault="00427014" w:rsidP="677C9FDF">
            <w:pPr>
              <w:spacing w:after="0" w:line="240" w:lineRule="auto"/>
              <w:textAlignment w:val="baseline"/>
              <w:rPr>
                <w:rFonts w:ascii="Arial" w:eastAsia="Arial" w:hAnsi="Arial" w:cs="Arial"/>
                <w:sz w:val="18"/>
                <w:szCs w:val="18"/>
                <w:lang w:eastAsia="es-CO"/>
              </w:rPr>
            </w:pPr>
            <w:r w:rsidRPr="677C9FDF">
              <w:rPr>
                <w:rFonts w:ascii="Arial" w:eastAsia="Arial" w:hAnsi="Arial" w:cs="Arial"/>
                <w:sz w:val="17"/>
                <w:szCs w:val="17"/>
                <w:lang w:val="es-ES" w:eastAsia="es-CO"/>
              </w:rPr>
              <w:t>Ximena Ríos López</w:t>
            </w:r>
          </w:p>
          <w:p w14:paraId="27B9C58D" w14:textId="77777777" w:rsidR="00427014" w:rsidRPr="00700E88" w:rsidRDefault="00427014" w:rsidP="677C9FDF">
            <w:pPr>
              <w:spacing w:after="0" w:line="240" w:lineRule="auto"/>
              <w:textAlignment w:val="baseline"/>
              <w:rPr>
                <w:rFonts w:ascii="Arial" w:eastAsia="Arial" w:hAnsi="Arial" w:cs="Arial"/>
                <w:sz w:val="18"/>
                <w:szCs w:val="18"/>
                <w:lang w:eastAsia="es-CO"/>
              </w:rPr>
            </w:pPr>
            <w:r w:rsidRPr="677C9FDF">
              <w:rPr>
                <w:rFonts w:ascii="Arial" w:eastAsia="Arial" w:hAnsi="Arial" w:cs="Arial"/>
                <w:sz w:val="17"/>
                <w:szCs w:val="17"/>
                <w:lang w:val="es-ES" w:eastAsia="es-CO"/>
              </w:rPr>
              <w:t>Gestor T1-11 de la Subdirección de Gestión Contractual</w:t>
            </w:r>
            <w:r w:rsidRPr="677C9FDF">
              <w:rPr>
                <w:rFonts w:ascii="Arial" w:eastAsia="Arial" w:hAnsi="Arial" w:cs="Arial"/>
                <w:sz w:val="17"/>
                <w:szCs w:val="17"/>
                <w:lang w:eastAsia="es-CO"/>
              </w:rPr>
              <w:t> </w:t>
            </w:r>
          </w:p>
        </w:tc>
      </w:tr>
      <w:tr w:rsidR="00427014" w:rsidRPr="00B808E1" w14:paraId="74185359" w14:textId="77777777" w:rsidTr="677C9FDF">
        <w:trPr>
          <w:trHeight w:val="315"/>
        </w:trPr>
        <w:tc>
          <w:tcPr>
            <w:tcW w:w="709" w:type="dxa"/>
            <w:tcBorders>
              <w:top w:val="nil"/>
              <w:left w:val="nil"/>
              <w:bottom w:val="nil"/>
              <w:right w:val="nil"/>
            </w:tcBorders>
            <w:shd w:val="clear" w:color="auto" w:fill="auto"/>
            <w:vAlign w:val="center"/>
            <w:hideMark/>
          </w:tcPr>
          <w:p w14:paraId="500DC07D" w14:textId="77777777" w:rsidR="00427014" w:rsidRPr="00700E88" w:rsidRDefault="00427014" w:rsidP="677C9FDF">
            <w:pPr>
              <w:spacing w:after="0" w:line="240" w:lineRule="auto"/>
              <w:textAlignment w:val="baseline"/>
              <w:rPr>
                <w:rFonts w:ascii="Arial" w:eastAsia="Arial" w:hAnsi="Arial" w:cs="Arial"/>
                <w:sz w:val="18"/>
                <w:szCs w:val="18"/>
                <w:lang w:eastAsia="es-CO"/>
              </w:rPr>
            </w:pPr>
            <w:r w:rsidRPr="677C9FDF">
              <w:rPr>
                <w:rFonts w:ascii="Arial" w:eastAsia="Arial" w:hAnsi="Arial" w:cs="Arial"/>
                <w:sz w:val="17"/>
                <w:szCs w:val="17"/>
                <w:lang w:val="es-ES" w:eastAsia="es-CO"/>
              </w:rPr>
              <w:t>Revisó:</w:t>
            </w:r>
            <w:r w:rsidRPr="677C9FDF">
              <w:rPr>
                <w:rFonts w:ascii="Arial" w:eastAsia="Arial" w:hAnsi="Arial" w:cs="Arial"/>
                <w:sz w:val="17"/>
                <w:szCs w:val="17"/>
                <w:lang w:eastAsia="es-CO"/>
              </w:rPr>
              <w:t> </w:t>
            </w:r>
          </w:p>
        </w:tc>
        <w:tc>
          <w:tcPr>
            <w:tcW w:w="494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3A9E637C" w14:textId="77777777" w:rsidR="00427014" w:rsidRPr="00700E88" w:rsidRDefault="00427014" w:rsidP="677C9FDF">
            <w:pPr>
              <w:spacing w:after="0" w:line="240" w:lineRule="auto"/>
              <w:textAlignment w:val="baseline"/>
              <w:rPr>
                <w:rFonts w:ascii="Arial" w:eastAsia="Arial" w:hAnsi="Arial" w:cs="Arial"/>
                <w:sz w:val="17"/>
                <w:szCs w:val="17"/>
                <w:lang w:val="es-ES" w:eastAsia="es-CO"/>
              </w:rPr>
            </w:pPr>
            <w:r w:rsidRPr="677C9FDF">
              <w:rPr>
                <w:rFonts w:ascii="Arial" w:eastAsia="Arial" w:hAnsi="Arial" w:cs="Arial"/>
                <w:sz w:val="17"/>
                <w:szCs w:val="17"/>
                <w:lang w:val="es-ES" w:eastAsia="es-CO"/>
              </w:rPr>
              <w:t>Alejandro Sarmiento Cantillo</w:t>
            </w:r>
          </w:p>
          <w:p w14:paraId="695B7159" w14:textId="77777777" w:rsidR="00427014" w:rsidRPr="00700E88" w:rsidRDefault="00427014" w:rsidP="677C9FDF">
            <w:pPr>
              <w:spacing w:after="0" w:line="240" w:lineRule="auto"/>
              <w:textAlignment w:val="baseline"/>
              <w:rPr>
                <w:rFonts w:ascii="Arial" w:eastAsia="Arial" w:hAnsi="Arial" w:cs="Arial"/>
                <w:sz w:val="18"/>
                <w:szCs w:val="18"/>
                <w:lang w:eastAsia="es-CO"/>
              </w:rPr>
            </w:pPr>
            <w:r w:rsidRPr="677C9FDF">
              <w:rPr>
                <w:rFonts w:ascii="Arial" w:eastAsia="Arial" w:hAnsi="Arial" w:cs="Arial"/>
                <w:sz w:val="17"/>
                <w:szCs w:val="17"/>
                <w:lang w:val="es-ES" w:eastAsia="es-CO"/>
              </w:rPr>
              <w:t>Gestor T1-15 de la Subdirección de Gestión Contractual</w:t>
            </w:r>
            <w:r w:rsidRPr="677C9FDF">
              <w:rPr>
                <w:rFonts w:ascii="Arial" w:eastAsia="Arial" w:hAnsi="Arial" w:cs="Arial"/>
                <w:sz w:val="17"/>
                <w:szCs w:val="17"/>
                <w:lang w:eastAsia="es-CO"/>
              </w:rPr>
              <w:t> </w:t>
            </w:r>
          </w:p>
        </w:tc>
      </w:tr>
      <w:tr w:rsidR="00427014" w:rsidRPr="00F45E9F" w14:paraId="0AC0CCA1" w14:textId="77777777" w:rsidTr="677C9FDF">
        <w:trPr>
          <w:trHeight w:val="300"/>
        </w:trPr>
        <w:tc>
          <w:tcPr>
            <w:tcW w:w="709" w:type="dxa"/>
            <w:tcBorders>
              <w:top w:val="nil"/>
              <w:left w:val="nil"/>
              <w:bottom w:val="nil"/>
              <w:right w:val="nil"/>
            </w:tcBorders>
            <w:shd w:val="clear" w:color="auto" w:fill="auto"/>
            <w:vAlign w:val="center"/>
            <w:hideMark/>
          </w:tcPr>
          <w:p w14:paraId="64426C60" w14:textId="77777777" w:rsidR="00427014" w:rsidRPr="00700E88" w:rsidRDefault="00427014" w:rsidP="677C9FDF">
            <w:pPr>
              <w:spacing w:after="0" w:line="240" w:lineRule="auto"/>
              <w:textAlignment w:val="baseline"/>
              <w:rPr>
                <w:rFonts w:ascii="Arial" w:eastAsia="Arial" w:hAnsi="Arial" w:cs="Arial"/>
                <w:sz w:val="18"/>
                <w:szCs w:val="18"/>
                <w:lang w:eastAsia="es-CO"/>
              </w:rPr>
            </w:pPr>
            <w:r w:rsidRPr="677C9FDF">
              <w:rPr>
                <w:rFonts w:ascii="Arial" w:eastAsia="Arial" w:hAnsi="Arial" w:cs="Arial"/>
                <w:sz w:val="17"/>
                <w:szCs w:val="17"/>
                <w:lang w:val="es-ES" w:eastAsia="es-CO"/>
              </w:rPr>
              <w:t>Aprobó:</w:t>
            </w:r>
            <w:r w:rsidRPr="677C9FDF">
              <w:rPr>
                <w:rFonts w:ascii="Arial" w:eastAsia="Arial" w:hAnsi="Arial" w:cs="Arial"/>
                <w:sz w:val="17"/>
                <w:szCs w:val="17"/>
                <w:lang w:eastAsia="es-CO"/>
              </w:rPr>
              <w:t> </w:t>
            </w:r>
          </w:p>
        </w:tc>
        <w:tc>
          <w:tcPr>
            <w:tcW w:w="494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63448034" w14:textId="77777777" w:rsidR="00427014" w:rsidRPr="00700E88" w:rsidRDefault="00427014" w:rsidP="677C9FDF">
            <w:pPr>
              <w:spacing w:after="0" w:line="240" w:lineRule="auto"/>
              <w:rPr>
                <w:rFonts w:ascii="Arial" w:eastAsia="Arial" w:hAnsi="Arial" w:cs="Arial"/>
                <w:sz w:val="16"/>
                <w:szCs w:val="16"/>
                <w:lang w:eastAsia="es-ES"/>
              </w:rPr>
            </w:pPr>
            <w:r w:rsidRPr="677C9FDF">
              <w:rPr>
                <w:rFonts w:ascii="Arial" w:eastAsia="Arial" w:hAnsi="Arial" w:cs="Arial"/>
                <w:sz w:val="16"/>
                <w:szCs w:val="16"/>
                <w:lang w:eastAsia="es-ES"/>
              </w:rPr>
              <w:t>Nohelia del Carmen Zawady Palacio</w:t>
            </w:r>
          </w:p>
          <w:p w14:paraId="55F74938" w14:textId="77777777" w:rsidR="00427014" w:rsidRPr="00700E88" w:rsidRDefault="00427014" w:rsidP="677C9FDF">
            <w:pPr>
              <w:spacing w:after="0" w:line="240" w:lineRule="auto"/>
              <w:textAlignment w:val="baseline"/>
              <w:rPr>
                <w:rFonts w:ascii="Arial" w:eastAsia="Arial" w:hAnsi="Arial" w:cs="Arial"/>
                <w:sz w:val="18"/>
                <w:szCs w:val="18"/>
                <w:lang w:eastAsia="es-CO"/>
              </w:rPr>
            </w:pPr>
            <w:r w:rsidRPr="677C9FDF">
              <w:rPr>
                <w:rFonts w:ascii="Arial" w:eastAsia="Arial" w:hAnsi="Arial" w:cs="Arial"/>
                <w:sz w:val="16"/>
                <w:szCs w:val="16"/>
                <w:lang w:eastAsia="es-ES"/>
              </w:rPr>
              <w:t>Subdirectora de Gestión Contractual ANCP – CCE</w:t>
            </w:r>
          </w:p>
        </w:tc>
      </w:tr>
    </w:tbl>
    <w:p w14:paraId="5FCADBF9" w14:textId="77777777" w:rsidR="00E245AB" w:rsidRPr="00C330EB" w:rsidRDefault="00E245AB" w:rsidP="677C9FDF">
      <w:pPr>
        <w:spacing w:after="0"/>
        <w:rPr>
          <w:rFonts w:ascii="Arial" w:eastAsia="Arial" w:hAnsi="Arial" w:cs="Arial"/>
        </w:rPr>
      </w:pPr>
    </w:p>
    <w:sectPr w:rsidR="00E245AB" w:rsidRPr="00C330EB"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A0D41" w14:textId="77777777" w:rsidR="00EB0C22" w:rsidRDefault="00EB0C22" w:rsidP="004A1847">
      <w:pPr>
        <w:spacing w:after="0" w:line="240" w:lineRule="auto"/>
      </w:pPr>
      <w:r>
        <w:separator/>
      </w:r>
    </w:p>
  </w:endnote>
  <w:endnote w:type="continuationSeparator" w:id="0">
    <w:p w14:paraId="57CA693F" w14:textId="77777777" w:rsidR="00EB0C22" w:rsidRDefault="00EB0C22" w:rsidP="004A1847">
      <w:pPr>
        <w:spacing w:after="0" w:line="240" w:lineRule="auto"/>
      </w:pPr>
      <w:r>
        <w:continuationSeparator/>
      </w:r>
    </w:p>
  </w:endnote>
  <w:endnote w:type="continuationNotice" w:id="1">
    <w:p w14:paraId="75EB6186" w14:textId="77777777" w:rsidR="00EB0C22" w:rsidRDefault="00EB0C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0CB26" w14:textId="77777777" w:rsidR="00EB0C22" w:rsidRDefault="00EB0C22" w:rsidP="004A1847">
      <w:pPr>
        <w:spacing w:after="0" w:line="240" w:lineRule="auto"/>
      </w:pPr>
      <w:r>
        <w:separator/>
      </w:r>
    </w:p>
  </w:footnote>
  <w:footnote w:type="continuationSeparator" w:id="0">
    <w:p w14:paraId="11446FB0" w14:textId="77777777" w:rsidR="00EB0C22" w:rsidRDefault="00EB0C22" w:rsidP="004A1847">
      <w:pPr>
        <w:spacing w:after="0" w:line="240" w:lineRule="auto"/>
      </w:pPr>
      <w:r>
        <w:continuationSeparator/>
      </w:r>
    </w:p>
  </w:footnote>
  <w:footnote w:type="continuationNotice" w:id="1">
    <w:p w14:paraId="291F9595" w14:textId="77777777" w:rsidR="00EB0C22" w:rsidRDefault="00EB0C22">
      <w:pPr>
        <w:spacing w:after="0" w:line="240" w:lineRule="auto"/>
      </w:pPr>
    </w:p>
  </w:footnote>
  <w:footnote w:id="2">
    <w:p w14:paraId="57BA3D11" w14:textId="77777777" w:rsidR="00427014" w:rsidRPr="00BB6F6A" w:rsidRDefault="00427014" w:rsidP="00427014">
      <w:pPr>
        <w:pStyle w:val="Textonotapie"/>
        <w:ind w:firstLine="709"/>
        <w:jc w:val="both"/>
        <w:rPr>
          <w:rFonts w:ascii="Century Gothic" w:hAnsi="Century Gothic" w:cs="Arial"/>
          <w:sz w:val="19"/>
          <w:szCs w:val="19"/>
          <w:lang w:val="es-ES"/>
        </w:rPr>
      </w:pPr>
      <w:r w:rsidRPr="00BB6F6A">
        <w:rPr>
          <w:rStyle w:val="Refdenotaalpie"/>
          <w:rFonts w:ascii="Century Gothic" w:hAnsi="Century Gothic" w:cs="Arial"/>
          <w:sz w:val="19"/>
          <w:szCs w:val="19"/>
        </w:rPr>
        <w:footnoteRef/>
      </w:r>
      <w:r w:rsidRPr="00BB6F6A">
        <w:rPr>
          <w:rFonts w:ascii="Century Gothic" w:hAnsi="Century Gothic" w:cs="Arial"/>
          <w:sz w:val="19"/>
          <w:szCs w:val="19"/>
        </w:rPr>
        <w:t xml:space="preserve"> </w:t>
      </w:r>
      <w:r w:rsidRPr="00BB6F6A">
        <w:rPr>
          <w:rFonts w:ascii="Century Gothic" w:hAnsi="Century Gothic" w:cs="Arial"/>
          <w:sz w:val="19"/>
          <w:szCs w:val="19"/>
          <w:lang w:val="es-ES"/>
        </w:rPr>
        <w:t>BOBBIO, Norberto. Democracia y secreto. México: Fondo de Cultura Económica, 2013. p. 27.</w:t>
      </w:r>
    </w:p>
  </w:footnote>
  <w:footnote w:id="3">
    <w:p w14:paraId="1EC59191"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p>
    <w:p w14:paraId="1C6E19BB"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Style w:val="Refdenotaalpie"/>
          <w:rFonts w:ascii="Century Gothic" w:hAnsi="Century Gothic" w:cs="Arial"/>
          <w:color w:val="000000" w:themeColor="text1"/>
          <w:sz w:val="19"/>
          <w:szCs w:val="19"/>
        </w:rPr>
        <w:footnoteRef/>
      </w:r>
      <w:r w:rsidRPr="00BB6F6A">
        <w:rPr>
          <w:rFonts w:ascii="Century Gothic" w:hAnsi="Century Gothic" w:cs="Arial"/>
          <w:color w:val="000000" w:themeColor="text1"/>
          <w:sz w:val="19"/>
          <w:szCs w:val="19"/>
        </w:rPr>
        <w:t xml:space="preserve"> Corte Constitucional. Sentencia C- 341 del 4 de junio de 2014. M. P. Mauricio González Cuervo.</w:t>
      </w:r>
    </w:p>
    <w:p w14:paraId="46DDDB4C"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p>
  </w:footnote>
  <w:footnote w:id="4">
    <w:p w14:paraId="4832CD92"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Style w:val="Refdenotaalpie"/>
          <w:rFonts w:ascii="Century Gothic" w:hAnsi="Century Gothic" w:cs="Arial"/>
          <w:color w:val="000000" w:themeColor="text1"/>
          <w:sz w:val="19"/>
          <w:szCs w:val="19"/>
        </w:rPr>
        <w:footnoteRef/>
      </w:r>
      <w:r w:rsidRPr="00BB6F6A">
        <w:rPr>
          <w:rFonts w:ascii="Century Gothic" w:hAnsi="Century Gothic"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0054782"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Fonts w:ascii="Century Gothic" w:hAnsi="Century Gothic" w:cs="Arial"/>
          <w:color w:val="000000" w:themeColor="text1"/>
          <w:sz w:val="19"/>
          <w:szCs w:val="19"/>
        </w:rPr>
        <w:t>“Lo anterior, sin perjuicio de las publicaciones previstas en el numeral 3 del artículo 30 de la Ley 80 de 1993.</w:t>
      </w:r>
    </w:p>
    <w:p w14:paraId="45952E87"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Fonts w:ascii="Century Gothic" w:hAnsi="Century Gothic"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0726C4E4"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Fonts w:ascii="Century Gothic" w:hAnsi="Century Gothic" w:cs="Arial"/>
          <w:color w:val="000000" w:themeColor="text1"/>
          <w:sz w:val="19"/>
          <w:szCs w:val="19"/>
        </w:rPr>
        <w:t>[…]</w:t>
      </w:r>
    </w:p>
    <w:p w14:paraId="755C1C1E"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Fonts w:ascii="Century Gothic" w:hAnsi="Century Gothic"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69AF9B10" w14:textId="77777777" w:rsidR="00427014" w:rsidRPr="00BB6F6A" w:rsidRDefault="00427014" w:rsidP="00427014">
      <w:pPr>
        <w:pStyle w:val="Textonotapie"/>
        <w:ind w:firstLine="709"/>
        <w:jc w:val="both"/>
        <w:rPr>
          <w:rFonts w:ascii="Century Gothic" w:hAnsi="Century Gothic" w:cs="Arial"/>
          <w:color w:val="000000" w:themeColor="text1"/>
          <w:sz w:val="19"/>
          <w:szCs w:val="19"/>
          <w:lang w:val="es-CO"/>
        </w:rPr>
      </w:pPr>
    </w:p>
  </w:footnote>
  <w:footnote w:id="5">
    <w:p w14:paraId="10DCB1DF"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Style w:val="Refdenotaalpie"/>
          <w:rFonts w:ascii="Century Gothic" w:hAnsi="Century Gothic" w:cs="Arial"/>
          <w:color w:val="000000" w:themeColor="text1"/>
          <w:sz w:val="19"/>
          <w:szCs w:val="19"/>
        </w:rPr>
        <w:footnoteRef/>
      </w:r>
      <w:r w:rsidRPr="00BB6F6A">
        <w:rPr>
          <w:rFonts w:ascii="Century Gothic" w:hAnsi="Century Gothic"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DA0718E" w14:textId="77777777" w:rsidR="00427014" w:rsidRPr="00BB6F6A" w:rsidRDefault="00427014" w:rsidP="00427014">
      <w:pPr>
        <w:pStyle w:val="Textonotapie"/>
        <w:ind w:firstLine="709"/>
        <w:jc w:val="both"/>
        <w:rPr>
          <w:rFonts w:ascii="Century Gothic" w:hAnsi="Century Gothic" w:cs="Arial"/>
          <w:color w:val="000000" w:themeColor="text1"/>
          <w:sz w:val="19"/>
          <w:szCs w:val="19"/>
          <w:lang w:val="es-CO"/>
        </w:rPr>
      </w:pPr>
    </w:p>
  </w:footnote>
  <w:footnote w:id="6">
    <w:p w14:paraId="0F31419C" w14:textId="77777777" w:rsidR="00427014" w:rsidRPr="00BB6F6A" w:rsidRDefault="00427014" w:rsidP="00427014">
      <w:pPr>
        <w:pStyle w:val="Textonotapie"/>
        <w:ind w:firstLine="707"/>
        <w:jc w:val="both"/>
        <w:rPr>
          <w:rFonts w:ascii="Century Gothic" w:hAnsi="Century Gothic" w:cs="Arial"/>
          <w:sz w:val="19"/>
          <w:szCs w:val="19"/>
          <w:lang w:val="es-CO"/>
        </w:rPr>
      </w:pPr>
      <w:r w:rsidRPr="00BB6F6A">
        <w:rPr>
          <w:rStyle w:val="Refdenotaalpie"/>
          <w:rFonts w:ascii="Century Gothic" w:hAnsi="Century Gothic" w:cs="Arial"/>
          <w:sz w:val="19"/>
          <w:szCs w:val="19"/>
        </w:rPr>
        <w:footnoteRef/>
      </w:r>
      <w:r w:rsidRPr="00BB6F6A">
        <w:rPr>
          <w:rFonts w:ascii="Century Gothic" w:hAnsi="Century Gothic" w:cs="Arial"/>
          <w:sz w:val="19"/>
          <w:szCs w:val="19"/>
          <w:vertAlign w:val="superscript"/>
        </w:rPr>
        <w:t xml:space="preserve"> </w:t>
      </w:r>
      <w:r w:rsidRPr="00BB6F6A">
        <w:rPr>
          <w:rFonts w:ascii="Century Gothic" w:hAnsi="Century Gothic" w:cs="Arial"/>
          <w:sz w:val="19"/>
          <w:szCs w:val="19"/>
        </w:rPr>
        <w:t xml:space="preserve">Ley 1712 de 2014: “Artículo 3. </w:t>
      </w:r>
      <w:r w:rsidRPr="00BB6F6A">
        <w:rPr>
          <w:rFonts w:ascii="Century Gothic" w:hAnsi="Century Gothic" w:cs="Arial"/>
          <w:sz w:val="19"/>
          <w:szCs w:val="19"/>
          <w:lang w:val="es-CO"/>
        </w:rPr>
        <w:t>Otros principios de la transparencia y acceso a la información pública. </w:t>
      </w:r>
    </w:p>
    <w:p w14:paraId="6FAEBC3C" w14:textId="77777777" w:rsidR="00427014" w:rsidRPr="00BB6F6A" w:rsidRDefault="00427014" w:rsidP="00427014">
      <w:pPr>
        <w:pStyle w:val="Textonotapie"/>
        <w:ind w:firstLine="707"/>
        <w:jc w:val="both"/>
        <w:rPr>
          <w:rFonts w:ascii="Century Gothic" w:hAnsi="Century Gothic" w:cs="Arial"/>
          <w:sz w:val="19"/>
          <w:szCs w:val="19"/>
          <w:lang w:val="es-ES"/>
        </w:rPr>
      </w:pPr>
      <w:r w:rsidRPr="00BB6F6A">
        <w:rPr>
          <w:rFonts w:ascii="Century Gothic" w:hAnsi="Century Gothic" w:cs="Arial"/>
          <w:sz w:val="19"/>
          <w:szCs w:val="19"/>
          <w:lang w:val="es-ES"/>
        </w:rPr>
        <w:t>[…]</w:t>
      </w:r>
    </w:p>
    <w:p w14:paraId="1D783D57" w14:textId="77777777" w:rsidR="00427014" w:rsidRPr="00BB6F6A" w:rsidRDefault="00427014" w:rsidP="00427014">
      <w:pPr>
        <w:pStyle w:val="Textonotapie"/>
        <w:ind w:firstLine="707"/>
        <w:jc w:val="both"/>
        <w:rPr>
          <w:rFonts w:ascii="Century Gothic" w:hAnsi="Century Gothic" w:cs="Arial"/>
          <w:sz w:val="19"/>
          <w:szCs w:val="19"/>
        </w:rPr>
      </w:pPr>
      <w:r w:rsidRPr="00BB6F6A">
        <w:rPr>
          <w:rStyle w:val="baj"/>
          <w:rFonts w:ascii="Century Gothic" w:hAnsi="Century Gothic" w:cs="Arial"/>
          <w:b/>
          <w:sz w:val="19"/>
          <w:szCs w:val="19"/>
        </w:rPr>
        <w:t>Principio de buena fe</w:t>
      </w:r>
      <w:r w:rsidRPr="00BB6F6A">
        <w:rPr>
          <w:rFonts w:ascii="Century Gothic" w:hAnsi="Century Gothic" w:cs="Arial"/>
          <w:sz w:val="19"/>
          <w:szCs w:val="19"/>
        </w:rPr>
        <w:t>. En virtud del cual todo sujeto obligado, al cumplir con las obligaciones derivadas del derecho de acceso a la información pública, lo hará con motivación honesta, leal y desprovista de cualquier intención dolosa o culposa.</w:t>
      </w:r>
    </w:p>
    <w:p w14:paraId="28D5E9AE" w14:textId="77777777" w:rsidR="00427014" w:rsidRPr="00BB6F6A" w:rsidRDefault="00427014" w:rsidP="00427014">
      <w:pPr>
        <w:pStyle w:val="Textonotapie"/>
        <w:ind w:firstLine="707"/>
        <w:jc w:val="both"/>
        <w:rPr>
          <w:rFonts w:ascii="Century Gothic" w:hAnsi="Century Gothic" w:cs="Arial"/>
          <w:sz w:val="19"/>
          <w:szCs w:val="19"/>
          <w:lang w:val="es-ES"/>
        </w:rPr>
      </w:pPr>
    </w:p>
  </w:footnote>
  <w:footnote w:id="7">
    <w:p w14:paraId="31727F18"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Style w:val="Refdenotaalpie"/>
          <w:rFonts w:ascii="Century Gothic" w:hAnsi="Century Gothic" w:cs="Arial"/>
          <w:color w:val="000000" w:themeColor="text1"/>
          <w:sz w:val="19"/>
          <w:szCs w:val="19"/>
        </w:rPr>
        <w:footnoteRef/>
      </w:r>
      <w:r w:rsidRPr="00BB6F6A">
        <w:rPr>
          <w:rFonts w:ascii="Century Gothic" w:hAnsi="Century Gothic" w:cs="Arial"/>
          <w:color w:val="000000" w:themeColor="text1"/>
          <w:sz w:val="19"/>
          <w:szCs w:val="19"/>
        </w:rPr>
        <w:t xml:space="preserve"> Ley 1712 de 2014: “Artículo 5. Ámbito de aplicación. Las disposiciones de esta ley serán aplicables a las siguientes personas en calidad de sujetos obligados: </w:t>
      </w:r>
    </w:p>
    <w:p w14:paraId="10828F1E"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Fonts w:ascii="Century Gothic" w:hAnsi="Century Gothic"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BB92BBD" w14:textId="77777777" w:rsidR="00427014" w:rsidRPr="00BB6F6A" w:rsidRDefault="00427014" w:rsidP="00427014">
      <w:pPr>
        <w:pStyle w:val="Textonotapie"/>
        <w:ind w:firstLine="709"/>
        <w:jc w:val="both"/>
        <w:rPr>
          <w:rFonts w:ascii="Century Gothic" w:hAnsi="Century Gothic" w:cs="Arial"/>
          <w:color w:val="000000" w:themeColor="text1"/>
          <w:sz w:val="19"/>
          <w:szCs w:val="19"/>
          <w:lang w:val="es-CO"/>
        </w:rPr>
      </w:pPr>
    </w:p>
  </w:footnote>
  <w:footnote w:id="8">
    <w:p w14:paraId="09CFFA8F"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Fonts w:ascii="Century Gothic" w:eastAsia="Times New Roman" w:hAnsi="Century Gothic" w:cs="Arial"/>
          <w:color w:val="000000" w:themeColor="text1"/>
          <w:sz w:val="19"/>
          <w:szCs w:val="19"/>
          <w:vertAlign w:val="superscript"/>
          <w:lang w:val="es-ES" w:eastAsia="es-ES"/>
        </w:rPr>
        <w:footnoteRef/>
      </w:r>
      <w:r w:rsidRPr="00BB6F6A">
        <w:rPr>
          <w:rFonts w:ascii="Century Gothic" w:eastAsia="Times New Roman" w:hAnsi="Century Gothic" w:cs="Arial"/>
          <w:color w:val="000000" w:themeColor="text1"/>
          <w:sz w:val="19"/>
          <w:szCs w:val="19"/>
          <w:vertAlign w:val="superscript"/>
          <w:lang w:val="es-ES" w:eastAsia="es-ES"/>
        </w:rPr>
        <w:t xml:space="preserve"> </w:t>
      </w:r>
      <w:r w:rsidRPr="00BB6F6A">
        <w:rPr>
          <w:rFonts w:ascii="Century Gothic" w:eastAsia="Times New Roman" w:hAnsi="Century Gothic" w:cs="Arial"/>
          <w:color w:val="000000" w:themeColor="text1"/>
          <w:sz w:val="19"/>
          <w:szCs w:val="19"/>
          <w:lang w:val="es-ES" w:eastAsia="es-ES"/>
        </w:rPr>
        <w:t>“</w:t>
      </w:r>
      <w:r w:rsidRPr="00BB6F6A">
        <w:rPr>
          <w:rFonts w:ascii="Century Gothic" w:hAnsi="Century Gothic"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ACBEE09" w14:textId="77777777" w:rsidR="00427014" w:rsidRPr="00BB6F6A" w:rsidRDefault="00427014" w:rsidP="00427014">
      <w:pPr>
        <w:pStyle w:val="Textonotapie"/>
        <w:ind w:firstLine="709"/>
        <w:jc w:val="both"/>
        <w:rPr>
          <w:rFonts w:ascii="Century Gothic" w:eastAsia="Times New Roman" w:hAnsi="Century Gothic" w:cs="Arial"/>
          <w:color w:val="000000" w:themeColor="text1"/>
          <w:sz w:val="19"/>
          <w:szCs w:val="19"/>
          <w:lang w:val="es-ES" w:eastAsia="es-ES"/>
        </w:rPr>
      </w:pPr>
      <w:r w:rsidRPr="00BB6F6A">
        <w:rPr>
          <w:rFonts w:ascii="Century Gothic" w:hAnsi="Century Gothic" w:cs="Arial"/>
          <w:color w:val="000000" w:themeColor="text1"/>
          <w:sz w:val="19"/>
          <w:szCs w:val="19"/>
        </w:rPr>
        <w:t>[…].</w:t>
      </w:r>
    </w:p>
    <w:p w14:paraId="4C777795" w14:textId="77777777" w:rsidR="00427014" w:rsidRPr="00BB6F6A" w:rsidRDefault="00427014" w:rsidP="00427014">
      <w:pPr>
        <w:pStyle w:val="Textonotapie"/>
        <w:ind w:firstLine="709"/>
        <w:jc w:val="both"/>
        <w:rPr>
          <w:rFonts w:ascii="Century Gothic" w:eastAsia="Times New Roman" w:hAnsi="Century Gothic" w:cs="Arial"/>
          <w:color w:val="000000" w:themeColor="text1"/>
          <w:sz w:val="19"/>
          <w:szCs w:val="19"/>
          <w:lang w:val="es-ES" w:eastAsia="es-ES"/>
        </w:rPr>
      </w:pPr>
      <w:r w:rsidRPr="00BB6F6A">
        <w:rPr>
          <w:rFonts w:ascii="Century Gothic" w:eastAsia="Times New Roman" w:hAnsi="Century Gothic"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E335E55" w14:textId="77777777" w:rsidR="00427014" w:rsidRPr="00BB6F6A" w:rsidRDefault="00427014" w:rsidP="00427014">
      <w:pPr>
        <w:pStyle w:val="Textonotapie"/>
        <w:ind w:firstLine="709"/>
        <w:jc w:val="both"/>
        <w:rPr>
          <w:rFonts w:ascii="Century Gothic" w:eastAsia="Times New Roman" w:hAnsi="Century Gothic" w:cs="Arial"/>
          <w:color w:val="000000" w:themeColor="text1"/>
          <w:sz w:val="19"/>
          <w:szCs w:val="19"/>
          <w:lang w:val="es-ES" w:eastAsia="es-ES"/>
        </w:rPr>
      </w:pPr>
    </w:p>
  </w:footnote>
  <w:footnote w:id="9">
    <w:p w14:paraId="33B69622"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Style w:val="Refdenotaalpie"/>
          <w:rFonts w:ascii="Century Gothic" w:hAnsi="Century Gothic" w:cs="Arial"/>
          <w:color w:val="000000" w:themeColor="text1"/>
          <w:sz w:val="19"/>
          <w:szCs w:val="19"/>
        </w:rPr>
        <w:footnoteRef/>
      </w:r>
      <w:r w:rsidRPr="00BB6F6A">
        <w:rPr>
          <w:rFonts w:ascii="Century Gothic" w:hAnsi="Century Gothic" w:cs="Arial"/>
          <w:color w:val="000000" w:themeColor="text1"/>
          <w:sz w:val="19"/>
          <w:szCs w:val="19"/>
        </w:rPr>
        <w:t xml:space="preserve"> C</w:t>
      </w:r>
      <w:r w:rsidRPr="00BB6F6A">
        <w:rPr>
          <w:rFonts w:ascii="Century Gothic" w:eastAsia="Times New Roman" w:hAnsi="Century Gothic" w:cs="Arial"/>
          <w:color w:val="000000" w:themeColor="text1"/>
          <w:sz w:val="19"/>
          <w:szCs w:val="19"/>
          <w:lang w:val="es-ES" w:eastAsia="es-ES"/>
        </w:rPr>
        <w:t>orte Constitucional. Sentencia C</w:t>
      </w:r>
      <w:r w:rsidRPr="00344D98">
        <w:rPr>
          <w:rFonts w:ascii="Arial" w:eastAsia="Times New Roman" w:hAnsi="Arial" w:cs="Arial"/>
          <w:color w:val="000000" w:themeColor="text1"/>
          <w:sz w:val="19"/>
          <w:szCs w:val="19"/>
          <w:lang w:val="es-ES" w:eastAsia="es-ES"/>
        </w:rPr>
        <w:t>‒</w:t>
      </w:r>
      <w:r w:rsidRPr="00BB6F6A">
        <w:rPr>
          <w:rFonts w:ascii="Century Gothic" w:eastAsia="Times New Roman" w:hAnsi="Century Gothic" w:cs="Arial"/>
          <w:color w:val="000000" w:themeColor="text1"/>
          <w:sz w:val="19"/>
          <w:szCs w:val="19"/>
          <w:lang w:val="es-ES" w:eastAsia="es-ES"/>
        </w:rPr>
        <w:t>274 de 9 de mayo de 2013. M.P. Mar</w:t>
      </w:r>
      <w:r w:rsidRPr="00BB6F6A">
        <w:rPr>
          <w:rFonts w:ascii="Century Gothic" w:eastAsia="Times New Roman" w:hAnsi="Century Gothic" w:cs="Century Gothic"/>
          <w:color w:val="000000" w:themeColor="text1"/>
          <w:sz w:val="19"/>
          <w:szCs w:val="19"/>
          <w:lang w:val="es-ES" w:eastAsia="es-ES"/>
        </w:rPr>
        <w:t>í</w:t>
      </w:r>
      <w:r w:rsidRPr="00BB6F6A">
        <w:rPr>
          <w:rFonts w:ascii="Century Gothic" w:eastAsia="Times New Roman" w:hAnsi="Century Gothic" w:cs="Arial"/>
          <w:color w:val="000000" w:themeColor="text1"/>
          <w:sz w:val="19"/>
          <w:szCs w:val="19"/>
          <w:lang w:val="es-ES" w:eastAsia="es-ES"/>
        </w:rPr>
        <w:t xml:space="preserve">a Victoria Calle Correa. </w:t>
      </w:r>
    </w:p>
    <w:p w14:paraId="7EAA531D" w14:textId="77777777" w:rsidR="00427014" w:rsidRPr="00BB6F6A" w:rsidRDefault="00427014" w:rsidP="00427014">
      <w:pPr>
        <w:pStyle w:val="Textonotapie"/>
        <w:ind w:firstLine="709"/>
        <w:jc w:val="both"/>
        <w:rPr>
          <w:rFonts w:ascii="Century Gothic" w:hAnsi="Century Gothic" w:cs="Arial"/>
          <w:color w:val="000000" w:themeColor="text1"/>
          <w:sz w:val="19"/>
          <w:szCs w:val="19"/>
          <w:lang w:val="es-CO"/>
        </w:rPr>
      </w:pPr>
    </w:p>
  </w:footnote>
  <w:footnote w:id="10">
    <w:p w14:paraId="67438BA6" w14:textId="77777777" w:rsidR="00427014" w:rsidRPr="00BB6F6A" w:rsidRDefault="00427014" w:rsidP="00427014">
      <w:pPr>
        <w:pStyle w:val="Textonotapie"/>
        <w:ind w:firstLine="709"/>
        <w:jc w:val="both"/>
        <w:rPr>
          <w:rFonts w:ascii="Century Gothic" w:hAnsi="Century Gothic" w:cs="Arial"/>
          <w:color w:val="000000" w:themeColor="text1"/>
          <w:sz w:val="19"/>
          <w:szCs w:val="19"/>
        </w:rPr>
      </w:pPr>
      <w:r w:rsidRPr="00BB6F6A">
        <w:rPr>
          <w:rStyle w:val="Refdenotaalpie"/>
          <w:rFonts w:ascii="Century Gothic" w:hAnsi="Century Gothic" w:cs="Arial"/>
          <w:color w:val="000000" w:themeColor="text1"/>
          <w:sz w:val="19"/>
          <w:szCs w:val="19"/>
        </w:rPr>
        <w:footnoteRef/>
      </w:r>
      <w:r w:rsidRPr="00BB6F6A">
        <w:rPr>
          <w:rFonts w:ascii="Century Gothic" w:hAnsi="Century Gothic"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55152EC" w14:textId="77777777" w:rsidR="00427014" w:rsidRPr="00BB6F6A" w:rsidRDefault="00427014" w:rsidP="00427014">
      <w:pPr>
        <w:pStyle w:val="Textonotapie"/>
        <w:ind w:firstLine="709"/>
        <w:jc w:val="both"/>
        <w:rPr>
          <w:rFonts w:ascii="Century Gothic" w:hAnsi="Century Gothic" w:cs="Arial"/>
          <w:color w:val="000000" w:themeColor="text1"/>
          <w:sz w:val="19"/>
          <w:szCs w:val="19"/>
          <w:lang w:val="es-CO"/>
        </w:rPr>
      </w:pPr>
    </w:p>
  </w:footnote>
  <w:footnote w:id="11">
    <w:p w14:paraId="3BE6E5A0" w14:textId="77777777" w:rsidR="00427014" w:rsidRPr="00BB6F6A" w:rsidRDefault="00427014" w:rsidP="00427014">
      <w:pPr>
        <w:spacing w:after="0" w:line="240" w:lineRule="auto"/>
        <w:ind w:firstLine="709"/>
        <w:jc w:val="both"/>
        <w:rPr>
          <w:rFonts w:ascii="Century Gothic" w:hAnsi="Century Gothic" w:cs="Arial"/>
          <w:sz w:val="19"/>
          <w:szCs w:val="19"/>
        </w:rPr>
      </w:pPr>
      <w:r w:rsidRPr="00BB6F6A">
        <w:rPr>
          <w:rStyle w:val="Refdenotaalpie"/>
          <w:rFonts w:ascii="Century Gothic" w:hAnsi="Century Gothic"/>
        </w:rPr>
        <w:footnoteRef/>
      </w:r>
      <w:r w:rsidRPr="00BB6F6A">
        <w:rPr>
          <w:rFonts w:ascii="Century Gothic" w:hAnsi="Century Gothic"/>
        </w:rPr>
        <w:t xml:space="preserve"> “[…] </w:t>
      </w:r>
      <w:r w:rsidRPr="00BB6F6A">
        <w:rPr>
          <w:rFonts w:ascii="Century Gothic" w:hAnsi="Century Gothic" w:cs="Arial"/>
          <w:sz w:val="19"/>
          <w:szCs w:val="19"/>
        </w:rPr>
        <w:t>El Gobierno Nacional desarrollará el Sistema Electrónico para la Contratación Pública, Secop, el cual:</w:t>
      </w:r>
    </w:p>
    <w:p w14:paraId="24040651" w14:textId="77777777" w:rsidR="00427014" w:rsidRPr="00BB6F6A" w:rsidRDefault="00427014" w:rsidP="00427014">
      <w:pPr>
        <w:spacing w:after="0" w:line="240" w:lineRule="auto"/>
        <w:ind w:firstLine="709"/>
        <w:jc w:val="both"/>
        <w:rPr>
          <w:rFonts w:ascii="Century Gothic" w:hAnsi="Century Gothic" w:cs="Arial"/>
          <w:sz w:val="19"/>
          <w:szCs w:val="19"/>
        </w:rPr>
      </w:pPr>
      <w:r w:rsidRPr="00BB6F6A">
        <w:rPr>
          <w:rFonts w:ascii="Century Gothic" w:hAnsi="Century Gothic" w:cs="Arial"/>
          <w:sz w:val="19"/>
          <w:szCs w:val="19"/>
        </w:rPr>
        <w:t>“[…]</w:t>
      </w:r>
    </w:p>
    <w:p w14:paraId="49730713" w14:textId="77777777" w:rsidR="00427014" w:rsidRDefault="00427014" w:rsidP="00427014">
      <w:pPr>
        <w:spacing w:after="0" w:line="240" w:lineRule="auto"/>
        <w:ind w:firstLine="709"/>
        <w:jc w:val="both"/>
        <w:rPr>
          <w:rFonts w:ascii="Century Gothic" w:hAnsi="Century Gothic" w:cs="Arial"/>
          <w:sz w:val="19"/>
          <w:szCs w:val="19"/>
        </w:rPr>
      </w:pPr>
      <w:r w:rsidRPr="00BB6F6A">
        <w:rPr>
          <w:rFonts w:ascii="Century Gothic" w:hAnsi="Century Gothic" w:cs="Arial"/>
          <w:sz w:val="19"/>
          <w:szCs w:val="19"/>
        </w:rPr>
        <w:t>“c) Contará con la información oficial de la contratación realizada con dineros públicos, para lo cual establecerá los patrones a que haya lugar y se encargará de su difusión a través de canales electrónicos […]”.</w:t>
      </w:r>
    </w:p>
    <w:p w14:paraId="09DA2B7F" w14:textId="77777777" w:rsidR="00427014" w:rsidRPr="003E3AC2" w:rsidRDefault="00427014" w:rsidP="00427014">
      <w:pPr>
        <w:spacing w:after="0" w:line="240" w:lineRule="auto"/>
        <w:ind w:firstLine="709"/>
        <w:jc w:val="both"/>
        <w:rPr>
          <w:rFonts w:ascii="Century Gothic" w:hAnsi="Century Gothic" w:cs="Arial"/>
          <w:sz w:val="19"/>
          <w:szCs w:val="19"/>
        </w:rPr>
      </w:pPr>
    </w:p>
  </w:footnote>
  <w:footnote w:id="12">
    <w:p w14:paraId="5CE33FD7" w14:textId="77777777" w:rsidR="00427014" w:rsidRPr="00BB6F6A" w:rsidRDefault="00427014" w:rsidP="00427014">
      <w:pPr>
        <w:pStyle w:val="Textonotapie"/>
        <w:ind w:firstLine="708"/>
        <w:jc w:val="both"/>
        <w:rPr>
          <w:rFonts w:ascii="Century Gothic" w:hAnsi="Century Gothic" w:cs="Arial"/>
          <w:color w:val="000000"/>
          <w:sz w:val="18"/>
          <w:szCs w:val="18"/>
        </w:rPr>
      </w:pPr>
      <w:r w:rsidRPr="00BB6F6A">
        <w:rPr>
          <w:rStyle w:val="Refdenotaalpie"/>
          <w:rFonts w:ascii="Century Gothic" w:hAnsi="Century Gothic" w:cs="Arial"/>
          <w:color w:val="000000"/>
          <w:sz w:val="18"/>
          <w:szCs w:val="18"/>
        </w:rPr>
        <w:footnoteRef/>
      </w:r>
      <w:r w:rsidRPr="00BB6F6A">
        <w:rPr>
          <w:rFonts w:ascii="Century Gothic" w:hAnsi="Century Gothic" w:cs="Arial"/>
          <w:color w:val="000000"/>
          <w:sz w:val="18"/>
          <w:szCs w:val="18"/>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514F014" w14:textId="77777777" w:rsidR="00427014" w:rsidRPr="00BB6F6A" w:rsidRDefault="00427014" w:rsidP="00427014">
      <w:pPr>
        <w:ind w:firstLine="708"/>
        <w:jc w:val="both"/>
        <w:rPr>
          <w:rFonts w:ascii="Century Gothic" w:hAnsi="Century Gothic" w:cs="Arial"/>
          <w:color w:val="000000"/>
          <w:sz w:val="18"/>
          <w:szCs w:val="18"/>
        </w:rPr>
      </w:pPr>
      <w:r w:rsidRPr="00BB6F6A">
        <w:rPr>
          <w:rFonts w:ascii="Century Gothic" w:hAnsi="Century Gothic" w:cs="Arial"/>
          <w:color w:val="000000"/>
          <w:sz w:val="18"/>
          <w:szCs w:val="18"/>
        </w:rPr>
        <w:t>“Lo anterior, sin perjuicio de las publicaciones previstas en el numeral 3 del artículo 30 de la Ley 80 de 1993.</w:t>
      </w:r>
    </w:p>
    <w:p w14:paraId="5F4AE1FE" w14:textId="77777777" w:rsidR="00427014" w:rsidRPr="00BB6F6A" w:rsidRDefault="00427014" w:rsidP="00427014">
      <w:pPr>
        <w:pStyle w:val="Textonotapie"/>
        <w:ind w:firstLine="708"/>
        <w:jc w:val="both"/>
        <w:rPr>
          <w:rFonts w:ascii="Century Gothic" w:hAnsi="Century Gothic" w:cs="Arial"/>
          <w:color w:val="000000"/>
          <w:sz w:val="18"/>
          <w:szCs w:val="18"/>
        </w:rPr>
      </w:pPr>
      <w:r w:rsidRPr="00BB6F6A">
        <w:rPr>
          <w:rFonts w:ascii="Century Gothic" w:hAnsi="Century Gothic" w:cs="Arial"/>
          <w:color w:val="000000"/>
          <w:sz w:val="18"/>
          <w:szCs w:val="18"/>
        </w:rPr>
        <w:t>“Con el fin de materializar los objetivos a que se refiere el inciso anterior, el Gobierno Nacional desarrollará el Sistema Electrónico para la Contratación Pública, Secop, el cual:</w:t>
      </w:r>
    </w:p>
    <w:p w14:paraId="56CCA5FD" w14:textId="77777777" w:rsidR="00427014" w:rsidRPr="00BB6F6A" w:rsidRDefault="00427014" w:rsidP="00427014">
      <w:pPr>
        <w:pStyle w:val="Textonotapie"/>
        <w:ind w:firstLine="708"/>
        <w:jc w:val="both"/>
        <w:rPr>
          <w:rFonts w:ascii="Century Gothic" w:hAnsi="Century Gothic" w:cs="Arial"/>
          <w:color w:val="000000"/>
          <w:sz w:val="18"/>
          <w:szCs w:val="18"/>
        </w:rPr>
      </w:pPr>
      <w:r w:rsidRPr="00BB6F6A">
        <w:rPr>
          <w:rFonts w:ascii="Century Gothic" w:hAnsi="Century Gothic" w:cs="Arial"/>
          <w:color w:val="000000"/>
          <w:sz w:val="18"/>
          <w:szCs w:val="18"/>
        </w:rPr>
        <w:t>“a) Dispondrá de las funcionalidades tecnológicas para realizar procesos de contratación electrónicos bajo los métodos de selección señalados en el artículo 2o de la presente ley según lo defina el reglamento;</w:t>
      </w:r>
    </w:p>
    <w:p w14:paraId="0408B727" w14:textId="77777777" w:rsidR="00427014" w:rsidRPr="00BB6F6A" w:rsidRDefault="00427014" w:rsidP="00427014">
      <w:pPr>
        <w:pStyle w:val="Textonotapie"/>
        <w:ind w:firstLine="708"/>
        <w:jc w:val="both"/>
        <w:rPr>
          <w:rFonts w:ascii="Century Gothic" w:hAnsi="Century Gothic" w:cs="Arial"/>
          <w:color w:val="000000"/>
          <w:sz w:val="18"/>
          <w:szCs w:val="18"/>
        </w:rPr>
      </w:pPr>
      <w:r w:rsidRPr="00BB6F6A">
        <w:rPr>
          <w:rFonts w:ascii="Century Gothic" w:hAnsi="Century Gothic" w:cs="Arial"/>
          <w:color w:val="000000"/>
          <w:sz w:val="18"/>
          <w:szCs w:val="18"/>
        </w:rPr>
        <w:t>“b) Servirá de punto único de ingreso de información y de generación de reportes para las entidades estatales y la ciudadanía;</w:t>
      </w:r>
    </w:p>
    <w:p w14:paraId="5D66F748" w14:textId="77777777" w:rsidR="00427014" w:rsidRPr="00BB6F6A" w:rsidRDefault="00427014" w:rsidP="00427014">
      <w:pPr>
        <w:pStyle w:val="Textonotapie"/>
        <w:ind w:firstLine="708"/>
        <w:jc w:val="both"/>
        <w:rPr>
          <w:rFonts w:ascii="Century Gothic" w:hAnsi="Century Gothic" w:cs="Arial"/>
          <w:color w:val="000000"/>
          <w:sz w:val="18"/>
          <w:szCs w:val="18"/>
        </w:rPr>
      </w:pPr>
      <w:r w:rsidRPr="00BB6F6A">
        <w:rPr>
          <w:rFonts w:ascii="Century Gothic" w:hAnsi="Century Gothic" w:cs="Arial"/>
          <w:color w:val="000000"/>
          <w:sz w:val="18"/>
          <w:szCs w:val="18"/>
        </w:rPr>
        <w:t>“c) Contará con la información oficial de la contratación realizada con dineros públicos, para lo cual establecerá los patrones a que haya lugar y se encargará de su difusión a través de canales electrónicos y;</w:t>
      </w:r>
    </w:p>
    <w:p w14:paraId="52297420" w14:textId="77777777" w:rsidR="00427014" w:rsidRPr="00BB6F6A" w:rsidRDefault="00427014" w:rsidP="00427014">
      <w:pPr>
        <w:pStyle w:val="Textonotapie"/>
        <w:ind w:firstLine="708"/>
        <w:jc w:val="both"/>
        <w:rPr>
          <w:rFonts w:ascii="Century Gothic" w:hAnsi="Century Gothic" w:cs="Arial"/>
          <w:color w:val="000000"/>
          <w:sz w:val="18"/>
          <w:szCs w:val="18"/>
        </w:rPr>
      </w:pPr>
      <w:r w:rsidRPr="00BB6F6A">
        <w:rPr>
          <w:rFonts w:ascii="Century Gothic" w:hAnsi="Century Gothic" w:cs="Arial"/>
          <w:color w:val="000000"/>
          <w:sz w:val="18"/>
          <w:szCs w:val="18"/>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1B58C9D7" w14:textId="77777777" w:rsidR="00427014" w:rsidRPr="00BB6F6A" w:rsidRDefault="00427014" w:rsidP="00427014">
      <w:pPr>
        <w:pStyle w:val="Textonotapie"/>
        <w:jc w:val="both"/>
        <w:rPr>
          <w:rFonts w:ascii="Century Gothic" w:hAnsi="Century Gothic" w:cs="Arial"/>
          <w:color w:val="000000"/>
          <w:sz w:val="18"/>
          <w:szCs w:val="18"/>
        </w:rPr>
      </w:pPr>
    </w:p>
  </w:footnote>
  <w:footnote w:id="13">
    <w:p w14:paraId="38440B42" w14:textId="77777777" w:rsidR="00427014" w:rsidRPr="00BB6F6A" w:rsidRDefault="00427014" w:rsidP="00427014">
      <w:pPr>
        <w:pStyle w:val="Textonotapie"/>
        <w:ind w:firstLine="708"/>
        <w:jc w:val="both"/>
        <w:rPr>
          <w:rFonts w:ascii="Century Gothic" w:hAnsi="Century Gothic" w:cs="Arial"/>
          <w:color w:val="000000"/>
          <w:sz w:val="18"/>
          <w:szCs w:val="18"/>
          <w:lang w:val="es-CO"/>
        </w:rPr>
      </w:pPr>
      <w:r w:rsidRPr="00BB6F6A">
        <w:rPr>
          <w:rStyle w:val="Refdenotaalpie"/>
          <w:rFonts w:ascii="Century Gothic" w:hAnsi="Century Gothic" w:cs="Arial"/>
          <w:color w:val="000000"/>
          <w:sz w:val="18"/>
          <w:szCs w:val="18"/>
        </w:rPr>
        <w:footnoteRef/>
      </w:r>
      <w:r w:rsidRPr="00BB6F6A">
        <w:rPr>
          <w:rFonts w:ascii="Century Gothic" w:hAnsi="Century Gothic" w:cs="Arial"/>
          <w:color w:val="000000"/>
          <w:sz w:val="18"/>
          <w:szCs w:val="18"/>
        </w:rPr>
        <w:t xml:space="preserve"> Corte Constitucional. </w:t>
      </w:r>
      <w:r w:rsidRPr="00BB6F6A">
        <w:rPr>
          <w:rFonts w:ascii="Century Gothic" w:hAnsi="Century Gothic" w:cs="Arial"/>
          <w:color w:val="000000"/>
          <w:sz w:val="18"/>
          <w:szCs w:val="18"/>
          <w:lang w:val="es-CO"/>
        </w:rPr>
        <w:t xml:space="preserve">Sentencia C 711 del 11 de marzo de 2011. M.P. Mauricio González Cuervo. </w:t>
      </w:r>
    </w:p>
    <w:p w14:paraId="2570A7C3" w14:textId="77777777" w:rsidR="00427014" w:rsidRPr="00BB6F6A" w:rsidRDefault="00427014" w:rsidP="00427014">
      <w:pPr>
        <w:pStyle w:val="Textonotapie"/>
        <w:ind w:firstLine="708"/>
        <w:jc w:val="both"/>
        <w:rPr>
          <w:rFonts w:ascii="Century Gothic" w:hAnsi="Century Gothic" w:cs="Arial"/>
          <w:color w:val="000000"/>
          <w:sz w:val="18"/>
          <w:szCs w:val="18"/>
          <w:lang w:val="es-CO"/>
        </w:rPr>
      </w:pPr>
    </w:p>
  </w:footnote>
  <w:footnote w:id="14">
    <w:p w14:paraId="6DE0B3F0" w14:textId="77777777" w:rsidR="00427014" w:rsidRPr="00BB6F6A" w:rsidRDefault="00427014" w:rsidP="00427014">
      <w:pPr>
        <w:pStyle w:val="Textonotapie"/>
        <w:ind w:firstLine="708"/>
        <w:jc w:val="both"/>
        <w:rPr>
          <w:rFonts w:ascii="Century Gothic" w:hAnsi="Century Gothic" w:cs="Arial"/>
          <w:sz w:val="18"/>
          <w:szCs w:val="18"/>
        </w:rPr>
      </w:pPr>
      <w:r w:rsidRPr="00BB6F6A">
        <w:rPr>
          <w:rStyle w:val="Refdenotaalpie"/>
          <w:rFonts w:ascii="Century Gothic" w:hAnsi="Century Gothic" w:cs="Arial"/>
          <w:sz w:val="18"/>
          <w:szCs w:val="18"/>
        </w:rPr>
        <w:footnoteRef/>
      </w:r>
      <w:r w:rsidRPr="00BB6F6A">
        <w:rPr>
          <w:rFonts w:ascii="Century Gothic" w:hAnsi="Century Gothic" w:cs="Arial"/>
          <w:sz w:val="18"/>
          <w:szCs w:val="18"/>
        </w:rPr>
        <w:t xml:space="preserve"> Agencia Nacional de Contratación Pública – Colombia Compra Eficiente. Concepto C-087 del del 4 de marzo de 2020. Radicado de entrada No. 4202012000000579. Radicado de salida No. 2202013000001598.</w:t>
      </w:r>
    </w:p>
  </w:footnote>
  <w:footnote w:id="15">
    <w:p w14:paraId="6063DEB2" w14:textId="77777777" w:rsidR="00427014" w:rsidRPr="00BB6F6A" w:rsidRDefault="00427014" w:rsidP="00427014">
      <w:pPr>
        <w:pStyle w:val="Textonotapie"/>
        <w:jc w:val="both"/>
        <w:rPr>
          <w:rFonts w:ascii="Century Gothic" w:hAnsi="Century Gothic" w:cs="Arial"/>
          <w:sz w:val="18"/>
          <w:szCs w:val="18"/>
        </w:rPr>
      </w:pPr>
    </w:p>
    <w:p w14:paraId="72632AB4" w14:textId="77777777" w:rsidR="00427014" w:rsidRPr="00BB6F6A" w:rsidRDefault="00427014" w:rsidP="00427014">
      <w:pPr>
        <w:pStyle w:val="Textonotapie"/>
        <w:ind w:firstLine="708"/>
        <w:jc w:val="both"/>
        <w:rPr>
          <w:rFonts w:ascii="Century Gothic" w:hAnsi="Century Gothic" w:cs="Arial"/>
          <w:sz w:val="18"/>
          <w:szCs w:val="18"/>
        </w:rPr>
      </w:pPr>
      <w:r w:rsidRPr="00BB6F6A">
        <w:rPr>
          <w:rStyle w:val="Refdenotaalpie"/>
          <w:rFonts w:ascii="Century Gothic" w:hAnsi="Century Gothic" w:cs="Arial"/>
          <w:sz w:val="18"/>
          <w:szCs w:val="18"/>
        </w:rPr>
        <w:footnoteRef/>
      </w:r>
      <w:r w:rsidRPr="00BB6F6A">
        <w:rPr>
          <w:rFonts w:ascii="Century Gothic" w:hAnsi="Century Gothic" w:cs="Arial"/>
          <w:sz w:val="18"/>
          <w:szCs w:val="18"/>
        </w:rPr>
        <w:t xml:space="preserve"> Ley 80 de 1993 “</w:t>
      </w:r>
      <w:r w:rsidRPr="00BB6F6A">
        <w:rPr>
          <w:rStyle w:val="Textoennegrita"/>
          <w:rFonts w:ascii="Century Gothic" w:hAnsi="Century Gothic" w:cs="Arial"/>
          <w:color w:val="000000"/>
          <w:sz w:val="18"/>
          <w:szCs w:val="18"/>
        </w:rPr>
        <w:t>Articulo 32. De los contratos estatales. </w:t>
      </w:r>
      <w:r w:rsidRPr="00BB6F6A">
        <w:rPr>
          <w:rFonts w:ascii="Century Gothic" w:hAnsi="Century Gothic" w:cs="Arial"/>
          <w:color w:val="000000"/>
          <w:sz w:val="18"/>
          <w:szCs w:val="18"/>
        </w:rPr>
        <w:t>Son contratos estatales todos los actos jurídicos generadores de obligaciones que celebren las entidades a que se refiere el presente estatuto, previstos en el derecho privado o en disposiciones especiales, o derivados del ejercicio de la autonomía de la voluntad […]”.</w:t>
      </w:r>
    </w:p>
  </w:footnote>
  <w:footnote w:id="16">
    <w:p w14:paraId="616A25A3" w14:textId="77777777" w:rsidR="00427014" w:rsidRPr="00BB6F6A" w:rsidRDefault="00427014" w:rsidP="00427014">
      <w:pPr>
        <w:pStyle w:val="NormalWeb"/>
        <w:ind w:firstLine="708"/>
        <w:jc w:val="both"/>
        <w:rPr>
          <w:rFonts w:ascii="Century Gothic" w:hAnsi="Century Gothic" w:cs="Arial"/>
          <w:color w:val="000000"/>
          <w:sz w:val="18"/>
          <w:szCs w:val="18"/>
        </w:rPr>
      </w:pPr>
      <w:r w:rsidRPr="00BB6F6A">
        <w:rPr>
          <w:rStyle w:val="Refdenotaalpie"/>
          <w:rFonts w:ascii="Century Gothic" w:hAnsi="Century Gothic" w:cs="Arial"/>
          <w:sz w:val="18"/>
          <w:szCs w:val="18"/>
        </w:rPr>
        <w:footnoteRef/>
      </w:r>
      <w:r w:rsidRPr="00BB6F6A">
        <w:rPr>
          <w:rFonts w:ascii="Century Gothic" w:hAnsi="Century Gothic" w:cs="Arial"/>
          <w:sz w:val="18"/>
          <w:szCs w:val="18"/>
        </w:rPr>
        <w:t xml:space="preserve"> Ley 80 de 1993 “</w:t>
      </w:r>
      <w:r w:rsidRPr="00BB6F6A">
        <w:rPr>
          <w:rFonts w:ascii="Century Gothic" w:hAnsi="Century Gothic" w:cs="Arial"/>
          <w:color w:val="000000"/>
          <w:sz w:val="18"/>
          <w:szCs w:val="18"/>
        </w:rPr>
        <w:t>Artículo 13</w:t>
      </w:r>
      <w:r w:rsidRPr="00BB6F6A">
        <w:rPr>
          <w:rFonts w:ascii="Century Gothic" w:hAnsi="Century Gothic" w:cs="Arial"/>
          <w:b/>
          <w:color w:val="000000"/>
          <w:sz w:val="18"/>
          <w:szCs w:val="18"/>
        </w:rPr>
        <w:t xml:space="preserve">. </w:t>
      </w:r>
      <w:r w:rsidRPr="00BB6F6A">
        <w:rPr>
          <w:rFonts w:ascii="Century Gothic" w:hAnsi="Century Gothic" w:cs="Arial"/>
          <w:color w:val="000000"/>
          <w:sz w:val="18"/>
          <w:szCs w:val="18"/>
        </w:rPr>
        <w:t>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4032CDEF" w14:textId="77777777" w:rsidR="00427014" w:rsidRPr="00BB6F6A" w:rsidRDefault="00427014" w:rsidP="00427014">
      <w:pPr>
        <w:jc w:val="both"/>
        <w:rPr>
          <w:rFonts w:ascii="Century Gothic" w:hAnsi="Century Gothic" w:cs="Arial"/>
          <w:color w:val="000000"/>
          <w:sz w:val="18"/>
          <w:szCs w:val="18"/>
          <w:lang w:eastAsia="es-CO"/>
        </w:rPr>
      </w:pPr>
      <w:r w:rsidRPr="00BB6F6A">
        <w:rPr>
          <w:rFonts w:ascii="Century Gothic" w:hAnsi="Century Gothic" w:cs="Arial"/>
          <w:color w:val="000000"/>
          <w:sz w:val="18"/>
          <w:szCs w:val="18"/>
          <w:lang w:eastAsia="es-CO"/>
        </w:rPr>
        <w:t> </w:t>
      </w:r>
      <w:r w:rsidRPr="00BB6F6A">
        <w:rPr>
          <w:rFonts w:ascii="Century Gothic" w:hAnsi="Century Gothic" w:cs="Arial"/>
          <w:color w:val="000000"/>
          <w:sz w:val="18"/>
          <w:szCs w:val="18"/>
          <w:lang w:eastAsia="es-CO"/>
        </w:rPr>
        <w:tab/>
        <w:t>“Los contratos celebrados en el exterior se podrán regir en su ejecución por las reglas del país en donde se hayan suscrito, a menos que deban cumplirse en Colombia. </w:t>
      </w:r>
    </w:p>
    <w:p w14:paraId="78131CFE" w14:textId="77777777" w:rsidR="00427014" w:rsidRPr="00BB6F6A" w:rsidRDefault="00427014" w:rsidP="00427014">
      <w:pPr>
        <w:jc w:val="both"/>
        <w:rPr>
          <w:rFonts w:ascii="Century Gothic" w:hAnsi="Century Gothic" w:cs="Arial"/>
          <w:color w:val="000000"/>
          <w:sz w:val="18"/>
          <w:szCs w:val="18"/>
          <w:lang w:eastAsia="es-CO"/>
        </w:rPr>
      </w:pPr>
      <w:r w:rsidRPr="00BB6F6A">
        <w:rPr>
          <w:rFonts w:ascii="Century Gothic" w:hAnsi="Century Gothic" w:cs="Arial"/>
          <w:color w:val="000000"/>
          <w:sz w:val="18"/>
          <w:szCs w:val="18"/>
          <w:lang w:eastAsia="es-CO"/>
        </w:rPr>
        <w:t>  </w:t>
      </w:r>
      <w:r w:rsidRPr="00BB6F6A">
        <w:rPr>
          <w:rFonts w:ascii="Century Gothic" w:hAnsi="Century Gothic" w:cs="Arial"/>
          <w:color w:val="000000"/>
          <w:sz w:val="18"/>
          <w:szCs w:val="18"/>
          <w:lang w:eastAsia="es-CO"/>
        </w:rPr>
        <w:tab/>
        <w:t>“Los contratos que se celebren en Colombia y deban ejecutarse o cumplirse en el extranjero, podrán someterse a la ley extranjera. </w:t>
      </w:r>
    </w:p>
    <w:p w14:paraId="104C2DF1" w14:textId="77777777" w:rsidR="00427014" w:rsidRPr="00BB6F6A" w:rsidRDefault="00427014" w:rsidP="00427014">
      <w:pPr>
        <w:pStyle w:val="NormalWeb"/>
        <w:ind w:firstLine="708"/>
        <w:jc w:val="both"/>
        <w:rPr>
          <w:rFonts w:ascii="Century Gothic" w:hAnsi="Century Gothic" w:cs="Arial"/>
          <w:sz w:val="18"/>
          <w:szCs w:val="18"/>
        </w:rPr>
      </w:pPr>
      <w:r w:rsidRPr="00BB6F6A">
        <w:rPr>
          <w:rFonts w:ascii="Century Gothic" w:hAnsi="Century Gothic" w:cs="Arial"/>
          <w:sz w:val="18"/>
          <w:szCs w:val="18"/>
        </w:rPr>
        <w:t>[…]</w:t>
      </w:r>
    </w:p>
    <w:p w14:paraId="558B3F28" w14:textId="77777777" w:rsidR="00427014" w:rsidRPr="00BB6F6A" w:rsidRDefault="00427014" w:rsidP="00427014">
      <w:pPr>
        <w:pStyle w:val="NormalWeb"/>
        <w:ind w:firstLine="708"/>
        <w:jc w:val="both"/>
        <w:rPr>
          <w:rFonts w:ascii="Century Gothic" w:hAnsi="Century Gothic" w:cs="Arial"/>
          <w:color w:val="000000"/>
          <w:sz w:val="18"/>
          <w:szCs w:val="18"/>
        </w:rPr>
      </w:pPr>
      <w:r w:rsidRPr="00BB6F6A">
        <w:rPr>
          <w:rFonts w:ascii="Century Gothic" w:hAnsi="Century Gothic" w:cs="Arial"/>
          <w:b/>
          <w:color w:val="000000"/>
          <w:sz w:val="18"/>
          <w:szCs w:val="18"/>
        </w:rPr>
        <w:t>“</w:t>
      </w:r>
      <w:r w:rsidRPr="00BB6F6A">
        <w:rPr>
          <w:rFonts w:ascii="Century Gothic" w:hAnsi="Century Gothic" w:cs="Arial"/>
          <w:color w:val="000000"/>
          <w:sz w:val="18"/>
          <w:szCs w:val="18"/>
        </w:rPr>
        <w:t>Artículo 40. Del contenido del contrato estatal. Las estipulaciones de los contratos serán las que de acuerdo con las normas civiles, comerciales y las previstas en esta ley, correspondan a su esencia y naturaleza. </w:t>
      </w:r>
    </w:p>
    <w:p w14:paraId="5A02BBBE" w14:textId="77777777" w:rsidR="00427014" w:rsidRPr="00BB6F6A" w:rsidRDefault="00427014" w:rsidP="00427014">
      <w:pPr>
        <w:jc w:val="both"/>
        <w:rPr>
          <w:rFonts w:ascii="Century Gothic" w:hAnsi="Century Gothic" w:cs="Arial"/>
          <w:color w:val="000000"/>
          <w:sz w:val="18"/>
          <w:szCs w:val="18"/>
          <w:lang w:eastAsia="es-CO"/>
        </w:rPr>
      </w:pPr>
      <w:r w:rsidRPr="00BB6F6A">
        <w:rPr>
          <w:rFonts w:ascii="Century Gothic" w:hAnsi="Century Gothic" w:cs="Arial"/>
          <w:color w:val="000000"/>
          <w:sz w:val="18"/>
          <w:szCs w:val="18"/>
          <w:lang w:eastAsia="es-CO"/>
        </w:rPr>
        <w:t>  </w:t>
      </w:r>
      <w:r w:rsidRPr="00BB6F6A">
        <w:rPr>
          <w:rFonts w:ascii="Century Gothic" w:hAnsi="Century Gothic" w:cs="Arial"/>
          <w:color w:val="000000"/>
          <w:sz w:val="18"/>
          <w:szCs w:val="18"/>
          <w:lang w:eastAsia="es-CO"/>
        </w:rPr>
        <w:tab/>
        <w:t>“Las entidades podrán celebrar los contratos y acuerdos que permitan la autonomía de la voluntad y requieran el cumplimiento de los fines estatales. </w:t>
      </w:r>
    </w:p>
    <w:p w14:paraId="35E95C8A" w14:textId="77777777" w:rsidR="00427014" w:rsidRPr="00BB6F6A" w:rsidRDefault="00427014" w:rsidP="00427014">
      <w:pPr>
        <w:jc w:val="both"/>
        <w:rPr>
          <w:rFonts w:ascii="Century Gothic" w:hAnsi="Century Gothic" w:cs="Arial"/>
          <w:color w:val="000000"/>
          <w:sz w:val="18"/>
          <w:szCs w:val="18"/>
          <w:lang w:eastAsia="es-CO"/>
        </w:rPr>
      </w:pPr>
      <w:r w:rsidRPr="00BB6F6A">
        <w:rPr>
          <w:rFonts w:ascii="Century Gothic" w:hAnsi="Century Gothic" w:cs="Arial"/>
          <w:color w:val="000000"/>
          <w:sz w:val="18"/>
          <w:szCs w:val="18"/>
          <w:lang w:eastAsia="es-CO"/>
        </w:rPr>
        <w:t xml:space="preserve">   </w:t>
      </w:r>
      <w:r w:rsidRPr="00BB6F6A">
        <w:rPr>
          <w:rFonts w:ascii="Century Gothic" w:hAnsi="Century Gothic" w:cs="Arial"/>
          <w:color w:val="000000"/>
          <w:sz w:val="18"/>
          <w:szCs w:val="18"/>
          <w:lang w:eastAsia="es-CO"/>
        </w:rPr>
        <w:tab/>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548FDEEB" w14:textId="77777777" w:rsidR="00427014" w:rsidRPr="00BB6F6A" w:rsidRDefault="00427014" w:rsidP="00427014">
      <w:pPr>
        <w:jc w:val="both"/>
        <w:rPr>
          <w:rFonts w:ascii="Century Gothic" w:hAnsi="Century Gothic" w:cs="Arial"/>
          <w:color w:val="000000"/>
          <w:sz w:val="18"/>
          <w:szCs w:val="18"/>
          <w:lang w:eastAsia="es-CO"/>
        </w:rPr>
      </w:pPr>
      <w:r w:rsidRPr="00BB6F6A">
        <w:rPr>
          <w:rFonts w:ascii="Century Gothic" w:hAnsi="Century Gothic" w:cs="Arial"/>
          <w:color w:val="000000"/>
          <w:sz w:val="18"/>
          <w:szCs w:val="18"/>
          <w:lang w:eastAsia="es-CO"/>
        </w:rPr>
        <w:t>  </w:t>
      </w:r>
      <w:r w:rsidRPr="00BB6F6A">
        <w:rPr>
          <w:rFonts w:ascii="Century Gothic" w:hAnsi="Century Gothic" w:cs="Arial"/>
          <w:color w:val="000000"/>
          <w:sz w:val="18"/>
          <w:szCs w:val="18"/>
          <w:lang w:eastAsia="es-CO"/>
        </w:rPr>
        <w:tab/>
        <w:t>“En los contratos de empréstito o cualquier otra forma de financiación de organismos multilaterales, podrán incluirse las previsiones y particularidades contempladas en los reglamentos de tales entidades, que no sean contrarias a la Constitución o a la ley […]”. </w:t>
      </w:r>
    </w:p>
    <w:p w14:paraId="2E67AD79" w14:textId="77777777" w:rsidR="00427014" w:rsidRPr="00BB6F6A" w:rsidRDefault="00427014" w:rsidP="00427014">
      <w:pPr>
        <w:pStyle w:val="Textonotapie"/>
        <w:ind w:firstLine="708"/>
        <w:jc w:val="both"/>
        <w:rPr>
          <w:rFonts w:ascii="Century Gothic" w:hAnsi="Century Gothic" w:cs="Arial"/>
          <w:sz w:val="18"/>
          <w:szCs w:val="18"/>
        </w:rPr>
      </w:pPr>
    </w:p>
  </w:footnote>
  <w:footnote w:id="17">
    <w:p w14:paraId="5A76B51A" w14:textId="77777777" w:rsidR="00427014" w:rsidRPr="00BB6F6A" w:rsidRDefault="00427014" w:rsidP="00427014">
      <w:pPr>
        <w:pStyle w:val="Textonotapie"/>
        <w:ind w:firstLine="708"/>
        <w:jc w:val="both"/>
        <w:rPr>
          <w:rFonts w:ascii="Century Gothic" w:hAnsi="Century Gothic" w:cs="Arial"/>
          <w:sz w:val="19"/>
          <w:szCs w:val="19"/>
        </w:rPr>
      </w:pPr>
      <w:r w:rsidRPr="00BB6F6A">
        <w:rPr>
          <w:rStyle w:val="Refdenotaalpie"/>
          <w:rFonts w:ascii="Century Gothic" w:hAnsi="Century Gothic" w:cs="Arial"/>
          <w:sz w:val="19"/>
          <w:szCs w:val="19"/>
        </w:rPr>
        <w:footnoteRef/>
      </w:r>
      <w:r w:rsidRPr="00BB6F6A">
        <w:rPr>
          <w:rFonts w:ascii="Century Gothic" w:hAnsi="Century Gothic" w:cs="Arial"/>
          <w:sz w:val="19"/>
          <w:szCs w:val="19"/>
        </w:rPr>
        <w:t xml:space="preserve"> </w:t>
      </w:r>
      <w:r w:rsidRPr="00BB6F6A">
        <w:rPr>
          <w:rFonts w:ascii="Century Gothic" w:eastAsia="Calibri" w:hAnsi="Century Gothic" w:cs="Arial"/>
          <w:sz w:val="19"/>
          <w:szCs w:val="19"/>
          <w:lang w:val="es-ES"/>
        </w:rPr>
        <w:t xml:space="preserve">Es pertinente mencionar que, la implementación del SECOP II para el grueso de entidades estatales ha sido un proceso gradual y progresivo que se viene adelantando desde 2018, en el marco del cual, conforme se ha ido realizando el despliegue a nivel territorial de la plataforma y capacitando a los funcionarios para el uso de esta, se han ido vinculando diferentes entidades al uso obligatorio del SECOP II.  Estas entidades y las fechas a partir de las cuales les correspondió o corresponderá comenzar a utilizar la referida plataforma transaccional son definidos por las circulares externas nos. 001 de 2013, 020 de 2015, 001 de 2019, 002 de 2019, 003 de 2020, 001 de 2021 y 002 de 2022. </w:t>
      </w:r>
      <w:r w:rsidRPr="00BB6F6A">
        <w:rPr>
          <w:rFonts w:ascii="Century Gothic" w:hAnsi="Century Gothic" w:cs="Arial"/>
          <w:sz w:val="19"/>
          <w:szCs w:val="19"/>
        </w:rPr>
        <w:t xml:space="preserve">Estas circulares pueden ser consultadas en: </w:t>
      </w:r>
      <w:hyperlink r:id="rId1" w:history="1">
        <w:r w:rsidRPr="00BB6F6A">
          <w:rPr>
            <w:rStyle w:val="Hipervnculo"/>
            <w:rFonts w:ascii="Century Gothic" w:hAnsi="Century Gothic" w:cs="Arial"/>
            <w:sz w:val="19"/>
            <w:szCs w:val="19"/>
          </w:rPr>
          <w:t>https://www.colombiacompra.gov.co/circulares</w:t>
        </w:r>
      </w:hyperlink>
    </w:p>
    <w:p w14:paraId="170E7E7D" w14:textId="77777777" w:rsidR="00427014" w:rsidRPr="00BB6F6A" w:rsidRDefault="00427014" w:rsidP="00427014">
      <w:pPr>
        <w:pStyle w:val="Textonotapie"/>
        <w:ind w:firstLine="708"/>
        <w:rPr>
          <w:rFonts w:ascii="Century Gothic" w:hAnsi="Century Gothic"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64149200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AE0"/>
    <w:rsid w:val="000A683E"/>
    <w:rsid w:val="000B19B9"/>
    <w:rsid w:val="000D0334"/>
    <w:rsid w:val="000F6486"/>
    <w:rsid w:val="00127233"/>
    <w:rsid w:val="001402A3"/>
    <w:rsid w:val="001E4177"/>
    <w:rsid w:val="002951A0"/>
    <w:rsid w:val="002962BC"/>
    <w:rsid w:val="002A49AC"/>
    <w:rsid w:val="002A64FD"/>
    <w:rsid w:val="002C04F0"/>
    <w:rsid w:val="002C7A84"/>
    <w:rsid w:val="003756B5"/>
    <w:rsid w:val="003A779E"/>
    <w:rsid w:val="003D0F4D"/>
    <w:rsid w:val="003E0499"/>
    <w:rsid w:val="003E3AC2"/>
    <w:rsid w:val="003F3941"/>
    <w:rsid w:val="00427014"/>
    <w:rsid w:val="004A1847"/>
    <w:rsid w:val="004A305D"/>
    <w:rsid w:val="004F21C4"/>
    <w:rsid w:val="004F685F"/>
    <w:rsid w:val="005566E8"/>
    <w:rsid w:val="00574867"/>
    <w:rsid w:val="005C5CDC"/>
    <w:rsid w:val="005D1116"/>
    <w:rsid w:val="005D476C"/>
    <w:rsid w:val="006219F8"/>
    <w:rsid w:val="00665D70"/>
    <w:rsid w:val="00700E88"/>
    <w:rsid w:val="00706C16"/>
    <w:rsid w:val="00756841"/>
    <w:rsid w:val="007649AB"/>
    <w:rsid w:val="007833AC"/>
    <w:rsid w:val="007C3DC2"/>
    <w:rsid w:val="007E5497"/>
    <w:rsid w:val="00806F5F"/>
    <w:rsid w:val="00820278"/>
    <w:rsid w:val="008843B6"/>
    <w:rsid w:val="00891928"/>
    <w:rsid w:val="008A446D"/>
    <w:rsid w:val="008A597F"/>
    <w:rsid w:val="008F0EA7"/>
    <w:rsid w:val="00923EEF"/>
    <w:rsid w:val="009419F9"/>
    <w:rsid w:val="00961B09"/>
    <w:rsid w:val="00965334"/>
    <w:rsid w:val="0097093E"/>
    <w:rsid w:val="009C71FA"/>
    <w:rsid w:val="009C72E7"/>
    <w:rsid w:val="00A17F13"/>
    <w:rsid w:val="00A20739"/>
    <w:rsid w:val="00A33C78"/>
    <w:rsid w:val="00A666DD"/>
    <w:rsid w:val="00A84E8F"/>
    <w:rsid w:val="00AB0ADB"/>
    <w:rsid w:val="00AE5061"/>
    <w:rsid w:val="00AF6B70"/>
    <w:rsid w:val="00B72CD3"/>
    <w:rsid w:val="00B72FFF"/>
    <w:rsid w:val="00BB6F6A"/>
    <w:rsid w:val="00BD7F72"/>
    <w:rsid w:val="00C330EB"/>
    <w:rsid w:val="00C754BE"/>
    <w:rsid w:val="00CB6357"/>
    <w:rsid w:val="00CC1B26"/>
    <w:rsid w:val="00D423A2"/>
    <w:rsid w:val="00D63AC2"/>
    <w:rsid w:val="00D7383B"/>
    <w:rsid w:val="00E16408"/>
    <w:rsid w:val="00E20894"/>
    <w:rsid w:val="00E245AB"/>
    <w:rsid w:val="00E50AFE"/>
    <w:rsid w:val="00E771DC"/>
    <w:rsid w:val="00E8772A"/>
    <w:rsid w:val="00E90F6B"/>
    <w:rsid w:val="00E92C27"/>
    <w:rsid w:val="00EA0E3D"/>
    <w:rsid w:val="00EB0C22"/>
    <w:rsid w:val="00EE1AA8"/>
    <w:rsid w:val="00F31EDC"/>
    <w:rsid w:val="00F42C4C"/>
    <w:rsid w:val="00F5664F"/>
    <w:rsid w:val="00F76AFC"/>
    <w:rsid w:val="00FB5DD1"/>
    <w:rsid w:val="00FC2B5D"/>
    <w:rsid w:val="00FF1449"/>
    <w:rsid w:val="1DC80F15"/>
    <w:rsid w:val="22045460"/>
    <w:rsid w:val="38335250"/>
    <w:rsid w:val="677C9FDF"/>
    <w:rsid w:val="6D000B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39"/>
    <w:rsid w:val="00427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27014"/>
    <w:rPr>
      <w:color w:val="0563C1" w:themeColor="hyperlink"/>
      <w:u w:val="single"/>
    </w:rPr>
  </w:style>
  <w:style w:type="paragraph" w:styleId="NormalWeb">
    <w:name w:val="Normal (Web)"/>
    <w:basedOn w:val="Normal"/>
    <w:link w:val="NormalWebCar"/>
    <w:uiPriority w:val="99"/>
    <w:unhideWhenUsed/>
    <w:rsid w:val="00427014"/>
    <w:pPr>
      <w:spacing w:after="0" w:line="240" w:lineRule="auto"/>
    </w:pPr>
    <w:rPr>
      <w:rFonts w:ascii="Times New Roman" w:hAnsi="Times New Roman" w:cs="Times New Roman"/>
      <w:sz w:val="24"/>
      <w:szCs w:val="24"/>
      <w:lang w:val="es-MX"/>
    </w:rPr>
  </w:style>
  <w:style w:type="paragraph" w:customStyle="1" w:styleId="Appelnotedebasde">
    <w:name w:val="Appel note de bas de..."/>
    <w:basedOn w:val="Normal"/>
    <w:link w:val="Refdenotaalpie"/>
    <w:uiPriority w:val="99"/>
    <w:rsid w:val="00427014"/>
    <w:pPr>
      <w:spacing w:line="240" w:lineRule="exact"/>
    </w:pPr>
    <w:rPr>
      <w:vertAlign w:val="superscript"/>
    </w:rPr>
  </w:style>
  <w:style w:type="character" w:customStyle="1" w:styleId="baj">
    <w:name w:val="b_aj"/>
    <w:basedOn w:val="Fuentedeprrafopredeter"/>
    <w:rsid w:val="00427014"/>
  </w:style>
  <w:style w:type="paragraph" w:customStyle="1" w:styleId="xmsonormal">
    <w:name w:val="x_msonormal"/>
    <w:basedOn w:val="Normal"/>
    <w:rsid w:val="00427014"/>
    <w:pPr>
      <w:spacing w:after="0" w:line="240" w:lineRule="auto"/>
    </w:pPr>
    <w:rPr>
      <w:rFonts w:ascii="Calibri" w:hAnsi="Calibri" w:cs="Calibri"/>
      <w:lang w:eastAsia="es-CO"/>
    </w:rPr>
  </w:style>
  <w:style w:type="character" w:styleId="Textoennegrita">
    <w:name w:val="Strong"/>
    <w:basedOn w:val="Fuentedeprrafopredeter"/>
    <w:uiPriority w:val="22"/>
    <w:qFormat/>
    <w:rsid w:val="00427014"/>
    <w:rPr>
      <w:b/>
      <w:bCs/>
    </w:rPr>
  </w:style>
  <w:style w:type="character" w:customStyle="1" w:styleId="NormalWebCar">
    <w:name w:val="Normal (Web) Car"/>
    <w:link w:val="NormalWeb"/>
    <w:uiPriority w:val="99"/>
    <w:rsid w:val="00427014"/>
    <w:rPr>
      <w:rFonts w:ascii="Times New Roman" w:hAnsi="Times New Roman" w:cs="Times New Roman"/>
      <w:sz w:val="24"/>
      <w:szCs w:val="24"/>
      <w:lang w:val="es-MX"/>
    </w:rPr>
  </w:style>
  <w:style w:type="paragraph" w:styleId="Revisin">
    <w:name w:val="Revision"/>
    <w:hidden/>
    <w:uiPriority w:val="99"/>
    <w:semiHidden/>
    <w:rsid w:val="003E3A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588646AC-6D3C-4C2C-BB51-02B2594C4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3899</Words>
  <Characters>21449</Characters>
  <Application>Microsoft Office Word</Application>
  <DocSecurity>0</DocSecurity>
  <Lines>178</Lines>
  <Paragraphs>50</Paragraphs>
  <ScaleCrop>false</ScaleCrop>
  <Company/>
  <LinksUpToDate>false</LinksUpToDate>
  <CharactersWithSpaces>25298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Johanna Ovalle Clavijo</cp:lastModifiedBy>
  <cp:revision>2</cp:revision>
  <cp:lastPrinted>2023-01-10T21:18:00Z</cp:lastPrinted>
  <dcterms:created xsi:type="dcterms:W3CDTF">2023-08-30T18:23:00Z</dcterms:created>
  <dcterms:modified xsi:type="dcterms:W3CDTF">2023-08-30T18:23:00Z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