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C1ADF" w14:textId="77777777" w:rsidR="00970213" w:rsidRPr="008D5724" w:rsidRDefault="00970213" w:rsidP="008D5724">
      <w:pPr>
        <w:spacing w:line="240" w:lineRule="auto"/>
        <w:rPr>
          <w:rFonts w:ascii="Arial" w:eastAsia="Calibri" w:hAnsi="Arial" w:cs="Arial"/>
          <w:b/>
          <w:bCs/>
          <w:sz w:val="20"/>
          <w:szCs w:val="20"/>
          <w:lang w:val="es-MX" w:eastAsia="es-ES_tradnl"/>
        </w:rPr>
      </w:pPr>
      <w:r w:rsidRPr="008D5724">
        <w:rPr>
          <w:rFonts w:ascii="Arial" w:eastAsia="Calibri" w:hAnsi="Arial" w:cs="Arial"/>
          <w:b/>
          <w:bCs/>
          <w:sz w:val="20"/>
          <w:szCs w:val="20"/>
          <w:lang w:val="es-MX" w:eastAsia="es-ES_tradnl"/>
        </w:rPr>
        <w:t xml:space="preserve">EXPERIENCIA – Noción ‒ Colombia Compra Eficiente </w:t>
      </w:r>
    </w:p>
    <w:p w14:paraId="34AB7760" w14:textId="77777777" w:rsidR="00970213" w:rsidRPr="008D5724" w:rsidRDefault="00970213"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Por lo demás, 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p>
    <w:p w14:paraId="2F6AF7F6" w14:textId="488C20CA" w:rsidR="00970213" w:rsidRPr="008D5724" w:rsidRDefault="00970213"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w:t>
      </w:r>
    </w:p>
    <w:p w14:paraId="60DC9A0F" w14:textId="77777777" w:rsidR="00970213" w:rsidRPr="008D5724" w:rsidRDefault="00970213" w:rsidP="008D5724">
      <w:pPr>
        <w:spacing w:line="240" w:lineRule="auto"/>
        <w:rPr>
          <w:rFonts w:ascii="Arial" w:eastAsia="Calibri" w:hAnsi="Arial" w:cs="Arial"/>
          <w:b/>
          <w:bCs/>
          <w:sz w:val="20"/>
          <w:szCs w:val="20"/>
          <w:lang w:val="es-MX" w:eastAsia="es-ES_tradnl"/>
        </w:rPr>
      </w:pPr>
      <w:r w:rsidRPr="008D5724">
        <w:rPr>
          <w:rFonts w:ascii="Arial" w:eastAsia="Calibri" w:hAnsi="Arial" w:cs="Arial"/>
          <w:b/>
          <w:bCs/>
          <w:sz w:val="20"/>
          <w:szCs w:val="20"/>
          <w:lang w:val="es-MX" w:eastAsia="es-ES_tradnl"/>
        </w:rPr>
        <w:t xml:space="preserve">SOCIEDADES NUEVAS ‒ Experiencia ‒ Inferior a tres años ‒ Requisitos habilitantes ‒ Desarrollo de la empresa </w:t>
      </w:r>
    </w:p>
    <w:p w14:paraId="3FA7EC03" w14:textId="1EEDEE35" w:rsidR="00970213" w:rsidRPr="008D5724" w:rsidRDefault="00970213"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El Decreto 1082 de 2015, en el artículo 2.2.1.1.1.5.2, numeral 2.1, establece que si</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una persona natural se inscribe en el RUP aportará los certificados de experiencia en</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provisión de bienes, obras y servicios, los cuales deben ser expedidos por terceros que</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hayan recibido tales bienes, obras y servicios, y deben corresponder a contratos ejecutados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o copias de los contratos cuando el interesado no puede obtener tal certificado.</w:t>
      </w:r>
    </w:p>
    <w:p w14:paraId="00113574" w14:textId="3201BCFB" w:rsidR="00970213" w:rsidRPr="008D5724" w:rsidRDefault="00970213"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El numeral 2.512 del mismo artículo señala que la persona jurídica se registrará</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aportando los certificados de la experiencia en la provisión de los bienes, obras y servicios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que ofrecerá a las entidades estatales, los cuales deben ser expedidos por terceros que</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hayan recibido tales bienes, obras o servicios y deben corresponder a contratos ejecutados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o copias de los contratos cuando el interesado no puede obtener tal certificado.</w:t>
      </w:r>
    </w:p>
    <w:p w14:paraId="253C628E" w14:textId="07103275" w:rsidR="00970213" w:rsidRPr="008D5724" w:rsidRDefault="00970213"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El interesado debe indicar en cada certificado, o en cada copia de los contratos, los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bienes, obras y servicios a los cuales corresponde la experiencia que pretende acreditar,</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identificándolos con el Clasificador de Bienes y Servicios, en el tercer nivel. Si la constitución</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del interesado es menor a 3 años, puede acreditar la experiencia de sus accionistas, socios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o constituyentes.</w:t>
      </w:r>
    </w:p>
    <w:p w14:paraId="2B5D6F9A" w14:textId="601B609D" w:rsidR="00970213" w:rsidRPr="008D5724" w:rsidRDefault="00970213"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La parte final del numeral 2.5 del artículo citado incluye una medida diferenciada</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para las personas jurídicas cuya constitución sea menor a 3 años al momento del registro.</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Esta prerrogativa, que puede ser entendida como de fomento a la participación de</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pequeños oferentes en la contratación estatal, permite que las sociedades relativamente</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nuevas ─con menos de 3 años de constitución─ puedan acreditar como experiencia en el</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 xml:space="preserve">RUP la de sus accionistas, socios o constituyentes. A pesar de que </w:t>
      </w:r>
      <w:r w:rsidRPr="008D5724">
        <w:rPr>
          <w:rFonts w:ascii="Arial" w:eastAsia="Calibri" w:hAnsi="Arial" w:cs="Arial"/>
          <w:sz w:val="20"/>
          <w:szCs w:val="20"/>
          <w:lang w:val="es-MX" w:eastAsia="es-ES_tradnl"/>
        </w:rPr>
        <w:lastRenderedPageBreak/>
        <w:t>la experiencia es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inherente a la persona que la ha obtenido, razón por la cual es intransferible en virtud de su</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carácter personalísimo, por disposición legal o reglamentaria, en casos excepcionales,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como el descrito por el artículo mencionado, se aplica de otra forma.</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La finalidad de esta norma es permitir que las sociedades que no cuentan con la</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experiencia suficiente para contratar con el Estado puedan apoyarse en la experiencia de</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sus accionistas, socios o constituyentes con el fin de incentivar la competencia en la</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contratación estatal. Así las cosas, el socio transfiere la experiencia adquirida directamente</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a la sociedad de la que es parte, para que esta, como persona jurídica independiente, pueda</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cumplir con los requisitos habilitantes o puntuables que establezcan las entidades estatales</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en sus procesos de contratación, y de esta forma promover el desarrollo de la empresa y la</w:t>
      </w:r>
      <w:r w:rsidR="002B6149" w:rsidRPr="008D5724">
        <w:rPr>
          <w:rFonts w:ascii="Arial" w:eastAsia="Calibri" w:hAnsi="Arial" w:cs="Arial"/>
          <w:sz w:val="20"/>
          <w:szCs w:val="20"/>
          <w:lang w:val="es-MX" w:eastAsia="es-ES_tradnl"/>
        </w:rPr>
        <w:t xml:space="preserve"> </w:t>
      </w:r>
      <w:r w:rsidRPr="008D5724">
        <w:rPr>
          <w:rFonts w:ascii="Arial" w:eastAsia="Calibri" w:hAnsi="Arial" w:cs="Arial"/>
          <w:sz w:val="20"/>
          <w:szCs w:val="20"/>
          <w:lang w:val="es-MX" w:eastAsia="es-ES_tradnl"/>
        </w:rPr>
        <w:t>pluralidad de oferentes en la contratación pública</w:t>
      </w:r>
      <w:r w:rsidR="002B6149" w:rsidRPr="008D5724">
        <w:rPr>
          <w:rFonts w:ascii="Arial" w:eastAsia="Calibri" w:hAnsi="Arial" w:cs="Arial"/>
          <w:sz w:val="20"/>
          <w:szCs w:val="20"/>
          <w:lang w:val="es-MX" w:eastAsia="es-ES_tradnl"/>
        </w:rPr>
        <w:t>.</w:t>
      </w:r>
    </w:p>
    <w:p w14:paraId="6F31936D" w14:textId="77777777" w:rsidR="002B6149" w:rsidRPr="008D5724" w:rsidRDefault="00970213" w:rsidP="008D5724">
      <w:pPr>
        <w:spacing w:line="240" w:lineRule="auto"/>
        <w:rPr>
          <w:rFonts w:ascii="Arial" w:eastAsia="Calibri" w:hAnsi="Arial" w:cs="Arial"/>
          <w:b/>
          <w:bCs/>
          <w:sz w:val="20"/>
          <w:szCs w:val="20"/>
          <w:lang w:val="es-MX" w:eastAsia="es-ES_tradnl"/>
        </w:rPr>
      </w:pPr>
      <w:r w:rsidRPr="008D5724">
        <w:rPr>
          <w:rFonts w:ascii="Arial" w:eastAsia="Calibri" w:hAnsi="Arial" w:cs="Arial"/>
          <w:b/>
          <w:bCs/>
          <w:sz w:val="20"/>
          <w:szCs w:val="20"/>
          <w:lang w:val="es-MX" w:eastAsia="es-ES_tradnl"/>
        </w:rPr>
        <w:t xml:space="preserve">EXPERIENCIA ‒ Conservación ‒ Renovación RUP ‒ Cesación efectos RUP </w:t>
      </w:r>
    </w:p>
    <w:p w14:paraId="5F3ECBC2" w14:textId="31C90872" w:rsidR="002B6149" w:rsidRPr="008D5724" w:rsidRDefault="002B6149"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Asimismo, esta Agencia ha indicado que la persona jurídica que tenga más de tres años de constituida y haya registrado inicialmente la experiencia de sus socios en el RUP ― pues su constitución era inferior a tres años―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4E08CAC9" w14:textId="37D6C4FE" w:rsidR="00970213" w:rsidRPr="008D5724" w:rsidRDefault="00970213" w:rsidP="008D5724">
      <w:pPr>
        <w:spacing w:line="240" w:lineRule="auto"/>
        <w:rPr>
          <w:rFonts w:ascii="Arial" w:eastAsia="Calibri" w:hAnsi="Arial" w:cs="Arial"/>
          <w:b/>
          <w:bCs/>
          <w:sz w:val="20"/>
          <w:szCs w:val="20"/>
          <w:lang w:val="es-MX" w:eastAsia="es-ES_tradnl"/>
        </w:rPr>
      </w:pPr>
      <w:r w:rsidRPr="008D5724">
        <w:rPr>
          <w:rFonts w:ascii="Arial" w:eastAsia="Calibri" w:hAnsi="Arial" w:cs="Arial"/>
          <w:b/>
          <w:bCs/>
          <w:sz w:val="20"/>
          <w:szCs w:val="20"/>
          <w:lang w:val="es-MX" w:eastAsia="es-ES_tradnl"/>
        </w:rPr>
        <w:t>EXPERIENCIA – Conservación – Sociedades – Menor a 3 años de constitución–Posibilidad de ponderar experiencia de los socios – Porcentaje de participación</w:t>
      </w:r>
    </w:p>
    <w:p w14:paraId="2F355DF9" w14:textId="4ADF4232" w:rsidR="00C4067A" w:rsidRPr="008D5724" w:rsidRDefault="00C4067A"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08F8009D" w14:textId="04BCE118" w:rsidR="00C4067A" w:rsidRPr="008D5724" w:rsidRDefault="00C4067A"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Lo anterior, tiene fundamento en la Circular Única de la Superintendencia de Industria y Comercio, en el numeral 4.2, sobre el procedimiento para llevar el Registro Único de Proponentes, que establece: “4.2.5.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75DC95FF" w14:textId="3D1BC3ED" w:rsidR="00C4067A" w:rsidRPr="008D5724" w:rsidRDefault="00C4067A" w:rsidP="008D5724">
      <w:pPr>
        <w:spacing w:line="240" w:lineRule="auto"/>
        <w:jc w:val="both"/>
        <w:rPr>
          <w:rFonts w:ascii="Arial" w:eastAsia="Calibri" w:hAnsi="Arial" w:cs="Arial"/>
          <w:sz w:val="20"/>
          <w:szCs w:val="20"/>
          <w:lang w:val="es-MX" w:eastAsia="es-ES_tradnl"/>
        </w:rPr>
      </w:pPr>
      <w:r w:rsidRPr="008D5724">
        <w:rPr>
          <w:rFonts w:ascii="Arial" w:eastAsia="Calibri" w:hAnsi="Arial" w:cs="Arial"/>
          <w:sz w:val="20"/>
          <w:szCs w:val="20"/>
          <w:lang w:val="es-MX" w:eastAsia="es-ES_tradnl"/>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w:t>
      </w:r>
    </w:p>
    <w:p w14:paraId="5F2865C3" w14:textId="77777777" w:rsidR="00970213" w:rsidRPr="008D5724" w:rsidRDefault="00970213" w:rsidP="008D5724">
      <w:pPr>
        <w:spacing w:line="240" w:lineRule="auto"/>
        <w:rPr>
          <w:rFonts w:ascii="Arial" w:eastAsia="Calibri" w:hAnsi="Arial" w:cs="Arial"/>
          <w:b/>
          <w:bCs/>
          <w:sz w:val="20"/>
          <w:szCs w:val="20"/>
        </w:rPr>
      </w:pPr>
      <w:r w:rsidRPr="008D5724">
        <w:rPr>
          <w:rFonts w:ascii="Arial" w:eastAsia="Calibri" w:hAnsi="Arial" w:cs="Arial"/>
          <w:b/>
          <w:bCs/>
          <w:sz w:val="20"/>
          <w:szCs w:val="20"/>
        </w:rPr>
        <w:lastRenderedPageBreak/>
        <w:t>DOCUMENTOS TIPO – Documento Base - Formato 13 Acreditación de MIPYME - Formato 12 Acreditación de Emprendimientos y Empresas de Mujeres</w:t>
      </w:r>
    </w:p>
    <w:p w14:paraId="68C021FD" w14:textId="3A2B3ED6" w:rsidR="00C4067A" w:rsidRPr="008D5724" w:rsidRDefault="00C4067A" w:rsidP="008D5724">
      <w:pPr>
        <w:spacing w:line="240" w:lineRule="auto"/>
        <w:jc w:val="both"/>
        <w:rPr>
          <w:rFonts w:ascii="Arial" w:eastAsia="Calibri" w:hAnsi="Arial" w:cs="Arial"/>
          <w:sz w:val="20"/>
          <w:szCs w:val="20"/>
        </w:rPr>
      </w:pPr>
      <w:r w:rsidRPr="008D5724">
        <w:rPr>
          <w:rFonts w:ascii="Arial" w:eastAsia="Calibri" w:hAnsi="Arial" w:cs="Arial"/>
          <w:sz w:val="20"/>
          <w:szCs w:val="20"/>
        </w:rPr>
        <w:t>En el primer formato, correspondiente al de acreditación de emprendimientos y empresas de mujeres, se indica que: “Este Formato debe diligenciarse por los Proponentes personas jurídicas o los integrantes que sean personas jurídicas del Proponente Plural cuyo porcentaje de participación sea al menos del diez por ciento (10 %) y acrediten la condición de emprendimientos y empresas de mujeres”. A continuación, señala lo siguiente: “[El Proponente escogerá una de las siguientes dos (2) opciones para acreditar la condición de emprendimiento y empresa de mujer:] [Opción 1. Incorporar si la participación accionaria de la persona jurídica en su mayoría son mujeres y los derechos de propiedad han pertenecido a éstas durante el último año.] (…)”.</w:t>
      </w:r>
    </w:p>
    <w:p w14:paraId="5A4C1C8D" w14:textId="0F1FB19F" w:rsidR="00C4067A" w:rsidRPr="008D5724" w:rsidRDefault="00C4067A" w:rsidP="008D5724">
      <w:pPr>
        <w:spacing w:line="240" w:lineRule="auto"/>
        <w:jc w:val="both"/>
        <w:rPr>
          <w:rFonts w:ascii="Arial" w:eastAsia="Calibri" w:hAnsi="Arial" w:cs="Arial"/>
          <w:sz w:val="20"/>
          <w:szCs w:val="20"/>
        </w:rPr>
      </w:pPr>
      <w:r w:rsidRPr="008D5724">
        <w:rPr>
          <w:rFonts w:ascii="Arial" w:eastAsia="Calibri" w:hAnsi="Arial" w:cs="Arial"/>
          <w:sz w:val="20"/>
          <w:szCs w:val="20"/>
        </w:rPr>
        <w:t>El cuadro debe diligenciarse respecto de las mujeres (s) que tienen o tuvieron participación durante el último año en la persona jurídica, relacionando su número de acciones, partes de interés o cuotas de participación en la persona jurídica. Esto es importante para determinar y verificar si el proponente cumple con el porcentaje del cincuenta por ciento (50 %) de las acciones, partes de interés o cuotas de participación de la persona jurídica pertenecen a mujeres y los derechos de propiedad han pertenecido a estas durante al menos el último año anterior a la fecha de cierre del Proceso de Contratación y con ellos ser acreedores del puntaje respectivo y de los criterios diferenciales del proceso de selección conforme lo estipulado en el artículo 2.2.1.2.4.2.15 del Decreto 1082 de 2015 y no para acreditar la experiencia transferida por los socios en función de su porcentaje participación.</w:t>
      </w:r>
    </w:p>
    <w:p w14:paraId="1BD1F973" w14:textId="6F6A40FD" w:rsidR="00970213" w:rsidRPr="008D5724" w:rsidRDefault="00970213" w:rsidP="008D5724">
      <w:pPr>
        <w:spacing w:line="240" w:lineRule="auto"/>
        <w:rPr>
          <w:rFonts w:ascii="Arial" w:eastAsia="Calibri" w:hAnsi="Arial" w:cs="Arial"/>
          <w:b/>
          <w:bCs/>
          <w:sz w:val="20"/>
          <w:szCs w:val="20"/>
        </w:rPr>
      </w:pPr>
      <w:r w:rsidRPr="008D5724">
        <w:rPr>
          <w:rFonts w:ascii="Arial" w:eastAsia="Calibri" w:hAnsi="Arial" w:cs="Arial"/>
          <w:b/>
          <w:bCs/>
          <w:sz w:val="20"/>
          <w:szCs w:val="20"/>
        </w:rPr>
        <w:t>SUBSANACIÓN – Requisitos Habilitantes – Reglas</w:t>
      </w:r>
    </w:p>
    <w:p w14:paraId="18283697" w14:textId="3EB48145" w:rsidR="00C4067A" w:rsidRPr="008D5724" w:rsidRDefault="00C4067A" w:rsidP="008D5724">
      <w:pPr>
        <w:spacing w:line="240" w:lineRule="auto"/>
        <w:jc w:val="both"/>
        <w:rPr>
          <w:rFonts w:ascii="Arial" w:hAnsi="Arial" w:cs="Arial"/>
          <w:sz w:val="20"/>
          <w:szCs w:val="20"/>
        </w:rPr>
      </w:pPr>
      <w:r w:rsidRPr="008D5724">
        <w:rPr>
          <w:rFonts w:ascii="Arial" w:hAnsi="Arial" w:cs="Arial"/>
          <w:sz w:val="20"/>
          <w:szCs w:val="20"/>
        </w:rPr>
        <w:t>En consecuencia, una vez verificada la ausencia de requisitos y/o documentos de la</w:t>
      </w:r>
      <w:r w:rsidR="008D5724" w:rsidRPr="008D5724">
        <w:rPr>
          <w:rFonts w:ascii="Arial" w:hAnsi="Arial" w:cs="Arial"/>
          <w:sz w:val="20"/>
          <w:szCs w:val="20"/>
        </w:rPr>
        <w:t xml:space="preserve"> </w:t>
      </w:r>
      <w:r w:rsidRPr="008D5724">
        <w:rPr>
          <w:rFonts w:ascii="Arial" w:hAnsi="Arial" w:cs="Arial"/>
          <w:sz w:val="20"/>
          <w:szCs w:val="20"/>
        </w:rPr>
        <w:t>oferta, para efectos de saber si se pueden subsanar, la Entidad Estatal se debe preguntar,</w:t>
      </w:r>
      <w:r w:rsidR="008D5724" w:rsidRPr="008D5724">
        <w:rPr>
          <w:rFonts w:ascii="Arial" w:hAnsi="Arial" w:cs="Arial"/>
          <w:sz w:val="20"/>
          <w:szCs w:val="20"/>
        </w:rPr>
        <w:t xml:space="preserve"> </w:t>
      </w:r>
      <w:r w:rsidRPr="008D5724">
        <w:rPr>
          <w:rFonts w:ascii="Arial" w:hAnsi="Arial" w:cs="Arial"/>
          <w:sz w:val="20"/>
          <w:szCs w:val="20"/>
        </w:rPr>
        <w:t>en primer lugar, si lo que hace falta o debe corregirse es un documento que afecte la</w:t>
      </w:r>
      <w:r w:rsidR="008D5724" w:rsidRPr="008D5724">
        <w:rPr>
          <w:rFonts w:ascii="Arial" w:hAnsi="Arial" w:cs="Arial"/>
          <w:sz w:val="20"/>
          <w:szCs w:val="20"/>
        </w:rPr>
        <w:t xml:space="preserve"> </w:t>
      </w:r>
      <w:r w:rsidRPr="008D5724">
        <w:rPr>
          <w:rFonts w:ascii="Arial" w:hAnsi="Arial" w:cs="Arial"/>
          <w:sz w:val="20"/>
          <w:szCs w:val="20"/>
        </w:rPr>
        <w:t>asignación de puntaje o no y, en segundo lugar, si el cumplimiento del requisito constituye</w:t>
      </w:r>
      <w:r w:rsidR="008D5724" w:rsidRPr="008D5724">
        <w:rPr>
          <w:rFonts w:ascii="Arial" w:hAnsi="Arial" w:cs="Arial"/>
          <w:sz w:val="20"/>
          <w:szCs w:val="20"/>
        </w:rPr>
        <w:t xml:space="preserve"> </w:t>
      </w:r>
      <w:r w:rsidRPr="008D5724">
        <w:rPr>
          <w:rFonts w:ascii="Arial" w:hAnsi="Arial" w:cs="Arial"/>
          <w:sz w:val="20"/>
          <w:szCs w:val="20"/>
        </w:rPr>
        <w:t>una circunstancia ocurrida con anterioridad o con posterioridad al cierre del proceso. Para</w:t>
      </w:r>
      <w:r w:rsidR="008D5724" w:rsidRPr="008D5724">
        <w:rPr>
          <w:rFonts w:ascii="Arial" w:hAnsi="Arial" w:cs="Arial"/>
          <w:sz w:val="20"/>
          <w:szCs w:val="20"/>
        </w:rPr>
        <w:t xml:space="preserve"> </w:t>
      </w:r>
      <w:r w:rsidRPr="008D5724">
        <w:rPr>
          <w:rFonts w:ascii="Arial" w:hAnsi="Arial" w:cs="Arial"/>
          <w:sz w:val="20"/>
          <w:szCs w:val="20"/>
        </w:rPr>
        <w:t>arribar a la conclusión de que lo omitido puede subsanarse, la respuesta al primer</w:t>
      </w:r>
      <w:r w:rsidR="008D5724" w:rsidRPr="008D5724">
        <w:rPr>
          <w:rFonts w:ascii="Arial" w:hAnsi="Arial" w:cs="Arial"/>
          <w:sz w:val="20"/>
          <w:szCs w:val="20"/>
        </w:rPr>
        <w:t xml:space="preserve"> </w:t>
      </w:r>
      <w:r w:rsidRPr="008D5724">
        <w:rPr>
          <w:rFonts w:ascii="Arial" w:hAnsi="Arial" w:cs="Arial"/>
          <w:sz w:val="20"/>
          <w:szCs w:val="20"/>
        </w:rPr>
        <w:t>interrogante debe ser negativa, es decir, que lo omitido no sea un factor que afecte la</w:t>
      </w:r>
      <w:r w:rsidR="008D5724" w:rsidRPr="008D5724">
        <w:rPr>
          <w:rFonts w:ascii="Arial" w:hAnsi="Arial" w:cs="Arial"/>
          <w:sz w:val="20"/>
          <w:szCs w:val="20"/>
        </w:rPr>
        <w:t xml:space="preserve"> </w:t>
      </w:r>
      <w:r w:rsidRPr="008D5724">
        <w:rPr>
          <w:rFonts w:ascii="Arial" w:hAnsi="Arial" w:cs="Arial"/>
          <w:sz w:val="20"/>
          <w:szCs w:val="20"/>
        </w:rPr>
        <w:t>asignación de puntaje y</w:t>
      </w:r>
      <w:r w:rsidR="008D5724" w:rsidRPr="008D5724">
        <w:rPr>
          <w:rFonts w:ascii="Arial" w:hAnsi="Arial" w:cs="Arial"/>
          <w:sz w:val="20"/>
          <w:szCs w:val="20"/>
        </w:rPr>
        <w:t>,</w:t>
      </w:r>
      <w:r w:rsidRPr="008D5724">
        <w:rPr>
          <w:rFonts w:ascii="Arial" w:hAnsi="Arial" w:cs="Arial"/>
          <w:sz w:val="20"/>
          <w:szCs w:val="20"/>
        </w:rPr>
        <w:t xml:space="preserve"> la respuesta al segundo interrogante debe dar cuenta de que lo</w:t>
      </w:r>
      <w:r w:rsidR="008D5724" w:rsidRPr="008D5724">
        <w:rPr>
          <w:rFonts w:ascii="Arial" w:hAnsi="Arial" w:cs="Arial"/>
          <w:sz w:val="20"/>
          <w:szCs w:val="20"/>
        </w:rPr>
        <w:t xml:space="preserve"> </w:t>
      </w:r>
      <w:r w:rsidRPr="008D5724">
        <w:rPr>
          <w:rFonts w:ascii="Arial" w:hAnsi="Arial" w:cs="Arial"/>
          <w:sz w:val="20"/>
          <w:szCs w:val="20"/>
        </w:rPr>
        <w:t>omitido sea la prueba de una circunstancia o hecho que ocurrió con anterioridad al cierre</w:t>
      </w:r>
      <w:r w:rsidR="008D5724" w:rsidRPr="008D5724">
        <w:rPr>
          <w:rFonts w:ascii="Arial" w:hAnsi="Arial" w:cs="Arial"/>
          <w:sz w:val="20"/>
          <w:szCs w:val="20"/>
        </w:rPr>
        <w:t xml:space="preserve"> </w:t>
      </w:r>
      <w:r w:rsidRPr="008D5724">
        <w:rPr>
          <w:rFonts w:ascii="Arial" w:hAnsi="Arial" w:cs="Arial"/>
          <w:sz w:val="20"/>
          <w:szCs w:val="20"/>
        </w:rPr>
        <w:t>del proceso.</w:t>
      </w:r>
    </w:p>
    <w:p w14:paraId="6DCB708D" w14:textId="0BD5956C" w:rsidR="00970213" w:rsidRPr="008D5724" w:rsidRDefault="00970213" w:rsidP="008D5724">
      <w:pPr>
        <w:spacing w:line="240" w:lineRule="auto"/>
        <w:rPr>
          <w:rFonts w:ascii="Arial" w:hAnsi="Arial" w:cs="Arial"/>
          <w:sz w:val="20"/>
          <w:szCs w:val="20"/>
        </w:rPr>
      </w:pPr>
      <w:r w:rsidRPr="008D5724">
        <w:rPr>
          <w:rFonts w:ascii="Arial" w:hAnsi="Arial" w:cs="Arial"/>
          <w:sz w:val="20"/>
          <w:szCs w:val="20"/>
        </w:rPr>
        <w:br w:type="page"/>
      </w:r>
    </w:p>
    <w:p w14:paraId="6336F6C1" w14:textId="71E809C3" w:rsidR="007671C1" w:rsidRPr="00403007" w:rsidRDefault="0083409B" w:rsidP="007671C1">
      <w:pPr>
        <w:spacing w:after="0"/>
        <w:jc w:val="both"/>
        <w:rPr>
          <w:rFonts w:ascii="Arial" w:hAnsi="Arial" w:cs="Arial"/>
        </w:rPr>
      </w:pPr>
      <w:r w:rsidRPr="0083409B">
        <w:rPr>
          <w:noProof/>
        </w:rPr>
        <w:lastRenderedPageBreak/>
        <w:drawing>
          <wp:anchor distT="0" distB="0" distL="114300" distR="114300" simplePos="0" relativeHeight="251658240" behindDoc="1" locked="0" layoutInCell="1" allowOverlap="1" wp14:anchorId="0F11DD93" wp14:editId="699FB1A1">
            <wp:simplePos x="0" y="0"/>
            <wp:positionH relativeFrom="column">
              <wp:posOffset>3206115</wp:posOffset>
            </wp:positionH>
            <wp:positionV relativeFrom="paragraph">
              <wp:posOffset>6350</wp:posOffset>
            </wp:positionV>
            <wp:extent cx="2495550" cy="759734"/>
            <wp:effectExtent l="0" t="0" r="0" b="2540"/>
            <wp:wrapNone/>
            <wp:docPr id="15044968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96882" name=""/>
                    <pic:cNvPicPr/>
                  </pic:nvPicPr>
                  <pic:blipFill>
                    <a:blip r:embed="rId11">
                      <a:extLst>
                        <a:ext uri="{28A0092B-C50C-407E-A947-70E740481C1C}">
                          <a14:useLocalDpi xmlns:a14="http://schemas.microsoft.com/office/drawing/2010/main" val="0"/>
                        </a:ext>
                      </a:extLst>
                    </a:blip>
                    <a:stretch>
                      <a:fillRect/>
                    </a:stretch>
                  </pic:blipFill>
                  <pic:spPr>
                    <a:xfrm>
                      <a:off x="0" y="0"/>
                      <a:ext cx="2495550" cy="759734"/>
                    </a:xfrm>
                    <a:prstGeom prst="rect">
                      <a:avLst/>
                    </a:prstGeom>
                  </pic:spPr>
                </pic:pic>
              </a:graphicData>
            </a:graphic>
            <wp14:sizeRelH relativeFrom="margin">
              <wp14:pctWidth>0</wp14:pctWidth>
            </wp14:sizeRelH>
            <wp14:sizeRelV relativeFrom="margin">
              <wp14:pctHeight>0</wp14:pctHeight>
            </wp14:sizeRelV>
          </wp:anchor>
        </w:drawing>
      </w:r>
      <w:r w:rsidR="007671C1" w:rsidRPr="02E3505A">
        <w:rPr>
          <w:rFonts w:ascii="Arial" w:hAnsi="Arial" w:cs="Arial"/>
        </w:rPr>
        <w:t xml:space="preserve">Bogotá D.C., </w:t>
      </w:r>
      <w:r w:rsidR="4587E745" w:rsidRPr="02E3505A">
        <w:rPr>
          <w:rFonts w:ascii="Arial" w:hAnsi="Arial" w:cs="Arial"/>
        </w:rPr>
        <w:t>13 de julio de 2023</w:t>
      </w:r>
      <w:r w:rsidR="007671C1">
        <w:tab/>
      </w:r>
    </w:p>
    <w:p w14:paraId="4EA534F6" w14:textId="77777777" w:rsidR="007671C1" w:rsidRPr="00403007" w:rsidRDefault="007671C1" w:rsidP="007671C1">
      <w:pPr>
        <w:spacing w:after="0"/>
        <w:jc w:val="both"/>
        <w:rPr>
          <w:rFonts w:ascii="Arial" w:hAnsi="Arial" w:cs="Arial"/>
        </w:rPr>
      </w:pPr>
    </w:p>
    <w:p w14:paraId="32ED9BF5" w14:textId="77777777" w:rsidR="007671C1" w:rsidRPr="00403007" w:rsidRDefault="007671C1" w:rsidP="007671C1">
      <w:pPr>
        <w:spacing w:after="0"/>
        <w:jc w:val="both"/>
        <w:rPr>
          <w:rFonts w:ascii="Arial" w:hAnsi="Arial" w:cs="Arial"/>
        </w:rPr>
      </w:pPr>
    </w:p>
    <w:p w14:paraId="6084D0A1" w14:textId="77777777" w:rsidR="007671C1" w:rsidRPr="00403007" w:rsidRDefault="007671C1" w:rsidP="007671C1">
      <w:pPr>
        <w:spacing w:after="0"/>
        <w:jc w:val="both"/>
        <w:rPr>
          <w:rFonts w:ascii="Arial" w:hAnsi="Arial" w:cs="Arial"/>
          <w:lang w:val="es-MX"/>
        </w:rPr>
      </w:pPr>
      <w:r w:rsidRPr="00403007">
        <w:rPr>
          <w:rFonts w:ascii="Arial" w:hAnsi="Arial" w:cs="Arial"/>
          <w:lang w:val="es-MX"/>
        </w:rPr>
        <w:t>Señor (a)</w:t>
      </w:r>
    </w:p>
    <w:p w14:paraId="6244AD64" w14:textId="2266B1B2" w:rsidR="007671C1" w:rsidRPr="00403007" w:rsidRDefault="00C95EB9" w:rsidP="007671C1">
      <w:pPr>
        <w:spacing w:after="0"/>
        <w:rPr>
          <w:rFonts w:ascii="Arial" w:hAnsi="Arial" w:cs="Arial"/>
        </w:rPr>
      </w:pPr>
      <w:r w:rsidRPr="00403007">
        <w:rPr>
          <w:rFonts w:ascii="Arial" w:hAnsi="Arial" w:cs="Arial"/>
        </w:rPr>
        <w:t>Anónimo</w:t>
      </w:r>
    </w:p>
    <w:p w14:paraId="7B845880" w14:textId="70EF2B35" w:rsidR="00C95EB9" w:rsidRPr="00403007" w:rsidRDefault="00000000" w:rsidP="007671C1">
      <w:pPr>
        <w:spacing w:after="0"/>
        <w:rPr>
          <w:rFonts w:ascii="Arial" w:hAnsi="Arial" w:cs="Arial"/>
        </w:rPr>
      </w:pPr>
      <w:hyperlink r:id="rId12" w:history="1">
        <w:r w:rsidR="003E1765" w:rsidRPr="00403007">
          <w:rPr>
            <w:rStyle w:val="Hipervnculo"/>
            <w:rFonts w:ascii="Arial" w:hAnsi="Arial" w:cs="Arial"/>
          </w:rPr>
          <w:t>licitaciones@incoplansa.com</w:t>
        </w:r>
      </w:hyperlink>
      <w:r w:rsidR="003E1765" w:rsidRPr="00403007">
        <w:rPr>
          <w:rFonts w:ascii="Arial" w:hAnsi="Arial" w:cs="Arial"/>
        </w:rPr>
        <w:t xml:space="preserve"> </w:t>
      </w:r>
    </w:p>
    <w:p w14:paraId="7FBCCDA9" w14:textId="2E71039C" w:rsidR="007671C1" w:rsidRPr="00403007" w:rsidRDefault="00C95EB9" w:rsidP="007671C1">
      <w:pPr>
        <w:spacing w:after="0"/>
        <w:rPr>
          <w:rFonts w:ascii="Arial" w:hAnsi="Arial" w:cs="Arial"/>
        </w:rPr>
      </w:pPr>
      <w:r w:rsidRPr="00403007">
        <w:rPr>
          <w:rFonts w:ascii="Arial" w:hAnsi="Arial" w:cs="Arial"/>
        </w:rPr>
        <w:t>Bogotá D.C.</w:t>
      </w:r>
    </w:p>
    <w:p w14:paraId="092AC1A9" w14:textId="77777777" w:rsidR="007671C1" w:rsidRPr="00403007" w:rsidRDefault="007671C1" w:rsidP="007671C1">
      <w:pPr>
        <w:spacing w:after="0"/>
        <w:jc w:val="both"/>
        <w:rPr>
          <w:rFonts w:ascii="Arial" w:hAnsi="Arial" w:cs="Arial"/>
        </w:rPr>
      </w:pPr>
    </w:p>
    <w:p w14:paraId="48542E36" w14:textId="4F1DFD08" w:rsidR="007671C1" w:rsidRPr="00403007" w:rsidRDefault="007671C1" w:rsidP="007671C1">
      <w:pPr>
        <w:spacing w:after="0" w:line="276" w:lineRule="auto"/>
        <w:contextualSpacing/>
        <w:jc w:val="both"/>
        <w:rPr>
          <w:rFonts w:ascii="Arial" w:eastAsia="Calibri" w:hAnsi="Arial" w:cs="Arial"/>
          <w:b/>
          <w:color w:val="000000" w:themeColor="text1"/>
        </w:rPr>
      </w:pPr>
      <w:bookmarkStart w:id="0" w:name="_Hlk137525426"/>
      <w:r w:rsidRPr="00403007">
        <w:rPr>
          <w:rFonts w:ascii="Arial" w:eastAsia="Calibri" w:hAnsi="Arial" w:cs="Arial"/>
          <w:b/>
          <w:color w:val="000000" w:themeColor="text1"/>
        </w:rPr>
        <w:t xml:space="preserve">                                </w:t>
      </w:r>
      <w:r w:rsidR="00EA17AC" w:rsidRPr="00403007">
        <w:rPr>
          <w:rFonts w:ascii="Arial" w:eastAsia="Calibri" w:hAnsi="Arial" w:cs="Arial"/>
          <w:b/>
          <w:color w:val="000000" w:themeColor="text1"/>
        </w:rPr>
        <w:tab/>
      </w:r>
      <w:r w:rsidR="00EA17AC" w:rsidRPr="00403007">
        <w:rPr>
          <w:rFonts w:ascii="Arial" w:eastAsia="Calibri" w:hAnsi="Arial" w:cs="Arial"/>
          <w:b/>
          <w:color w:val="000000" w:themeColor="text1"/>
        </w:rPr>
        <w:tab/>
      </w:r>
      <w:r w:rsidRPr="00403007">
        <w:rPr>
          <w:rFonts w:ascii="Arial" w:eastAsia="Calibri" w:hAnsi="Arial" w:cs="Arial"/>
          <w:b/>
          <w:color w:val="000000" w:themeColor="text1"/>
        </w:rPr>
        <w:t xml:space="preserve">Concepto C – </w:t>
      </w:r>
      <w:r w:rsidR="003A2FFF" w:rsidRPr="00403007">
        <w:rPr>
          <w:rFonts w:ascii="Arial" w:eastAsia="Calibri" w:hAnsi="Arial" w:cs="Arial"/>
          <w:b/>
          <w:color w:val="000000" w:themeColor="text1"/>
        </w:rPr>
        <w:t>261</w:t>
      </w:r>
      <w:r w:rsidRPr="00403007">
        <w:rPr>
          <w:rFonts w:ascii="Arial" w:eastAsia="Calibri" w:hAnsi="Arial" w:cs="Arial"/>
          <w:b/>
          <w:color w:val="000000" w:themeColor="text1"/>
        </w:rPr>
        <w:t xml:space="preserve"> de 2023 </w:t>
      </w:r>
    </w:p>
    <w:p w14:paraId="607DA1D6" w14:textId="77777777" w:rsidR="007671C1" w:rsidRPr="00403007" w:rsidRDefault="007671C1" w:rsidP="007671C1">
      <w:pPr>
        <w:spacing w:after="0" w:line="276" w:lineRule="auto"/>
        <w:contextualSpacing/>
        <w:jc w:val="both"/>
        <w:rPr>
          <w:rFonts w:ascii="Arial" w:eastAsia="Calibri" w:hAnsi="Arial"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49"/>
      </w:tblGrid>
      <w:tr w:rsidR="007671C1" w:rsidRPr="003D56E3" w14:paraId="5CDC2716" w14:textId="77777777" w:rsidTr="00EA17AC">
        <w:trPr>
          <w:trHeight w:val="822"/>
        </w:trPr>
        <w:tc>
          <w:tcPr>
            <w:tcW w:w="2835" w:type="dxa"/>
          </w:tcPr>
          <w:p w14:paraId="4EB66EE0" w14:textId="77777777" w:rsidR="007671C1" w:rsidRPr="00403007" w:rsidRDefault="007671C1" w:rsidP="00A43D3F">
            <w:pPr>
              <w:pStyle w:val="Textoindependiente"/>
              <w:spacing w:line="276" w:lineRule="auto"/>
              <w:contextualSpacing/>
              <w:jc w:val="both"/>
              <w:rPr>
                <w:rFonts w:eastAsia="Calibri"/>
                <w:b/>
                <w:sz w:val="22"/>
                <w:szCs w:val="22"/>
                <w:lang w:val="es-CO"/>
              </w:rPr>
            </w:pPr>
            <w:r w:rsidRPr="00403007">
              <w:rPr>
                <w:rFonts w:eastAsia="Calibri"/>
                <w:b/>
                <w:color w:val="000000" w:themeColor="text1"/>
                <w:sz w:val="22"/>
                <w:szCs w:val="22"/>
              </w:rPr>
              <w:t>Temas:</w:t>
            </w:r>
          </w:p>
          <w:p w14:paraId="47C862F0" w14:textId="77777777" w:rsidR="007671C1" w:rsidRPr="00403007" w:rsidRDefault="007671C1" w:rsidP="00A43D3F">
            <w:pPr>
              <w:pStyle w:val="Textoindependiente"/>
              <w:spacing w:line="276" w:lineRule="auto"/>
              <w:contextualSpacing/>
              <w:jc w:val="both"/>
              <w:rPr>
                <w:rFonts w:eastAsia="Calibri"/>
                <w:b/>
                <w:sz w:val="22"/>
                <w:szCs w:val="22"/>
                <w:lang w:val="es-CO"/>
              </w:rPr>
            </w:pPr>
          </w:p>
          <w:p w14:paraId="6D8869AD" w14:textId="77777777" w:rsidR="007671C1" w:rsidRPr="00403007" w:rsidRDefault="007671C1" w:rsidP="00A43D3F">
            <w:pPr>
              <w:spacing w:line="276" w:lineRule="auto"/>
              <w:contextualSpacing/>
              <w:jc w:val="both"/>
              <w:rPr>
                <w:rFonts w:ascii="Arial" w:eastAsia="Calibri" w:hAnsi="Arial" w:cs="Arial"/>
                <w:color w:val="000000" w:themeColor="text1"/>
              </w:rPr>
            </w:pPr>
            <w:r w:rsidRPr="00403007">
              <w:rPr>
                <w:rFonts w:ascii="Arial" w:eastAsia="Calibri" w:hAnsi="Arial" w:cs="Arial"/>
                <w:color w:val="000000" w:themeColor="text1"/>
              </w:rPr>
              <w:t xml:space="preserve">        </w:t>
            </w:r>
          </w:p>
        </w:tc>
        <w:tc>
          <w:tcPr>
            <w:tcW w:w="5949" w:type="dxa"/>
          </w:tcPr>
          <w:p w14:paraId="3AE82BD7" w14:textId="395AF314" w:rsidR="007671C1" w:rsidRPr="00403007" w:rsidRDefault="00F3566E" w:rsidP="00F3566E">
            <w:pPr>
              <w:spacing w:line="276" w:lineRule="auto"/>
              <w:contextualSpacing/>
              <w:jc w:val="both"/>
              <w:rPr>
                <w:rFonts w:ascii="Arial" w:eastAsia="Calibri" w:hAnsi="Arial" w:cs="Arial"/>
              </w:rPr>
            </w:pPr>
            <w:r w:rsidRPr="00403007">
              <w:rPr>
                <w:rFonts w:ascii="Arial" w:eastAsia="Calibri" w:hAnsi="Arial" w:cs="Arial"/>
                <w:lang w:val="es-MX" w:eastAsia="es-ES_tradnl"/>
              </w:rPr>
              <w:t xml:space="preserve">EXPERIENCIA – Noción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Colombia Compra Eficiente / SOCIEDADES NUEVAS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Experiencia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Inferior a tres años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Requisitos habilitantes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Desarrollo de la empresa / EXPERIENCIA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Conservación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Renovación RUP </w:t>
            </w:r>
            <w:r w:rsidRPr="003D56E3">
              <w:rPr>
                <w:rFonts w:ascii="Arial" w:eastAsia="Calibri" w:hAnsi="Arial" w:cs="Arial"/>
                <w:bCs/>
                <w:lang w:val="es-MX" w:eastAsia="es-ES_tradnl"/>
              </w:rPr>
              <w:t>‒</w:t>
            </w:r>
            <w:r w:rsidRPr="00403007">
              <w:rPr>
                <w:rFonts w:ascii="Arial" w:eastAsia="Calibri" w:hAnsi="Arial" w:cs="Arial"/>
                <w:lang w:val="es-MX" w:eastAsia="es-ES_tradnl"/>
              </w:rPr>
              <w:t xml:space="preserve"> Cesación efectos RUP / EXPERIENCIA – Conservación – Sociedades – Menor a 3 años de constitución / EXPERIENCIA – Conservación – Sociedades – Menor a 3 años de constitución – Posibilidad de ponderar experiencia de los socios – Porcentaje de participación/</w:t>
            </w:r>
            <w:r w:rsidRPr="00403007">
              <w:rPr>
                <w:rFonts w:ascii="Arial" w:eastAsia="Calibri" w:hAnsi="Arial" w:cs="Arial"/>
              </w:rPr>
              <w:t xml:space="preserve"> </w:t>
            </w:r>
            <w:r w:rsidR="0028547B" w:rsidRPr="00403007">
              <w:rPr>
                <w:rFonts w:ascii="Arial" w:eastAsia="Calibri" w:hAnsi="Arial" w:cs="Arial"/>
              </w:rPr>
              <w:t>DOCUMENTOS TIPO</w:t>
            </w:r>
            <w:r w:rsidR="00173C54" w:rsidRPr="00403007">
              <w:rPr>
                <w:rFonts w:ascii="Arial" w:eastAsia="Calibri" w:hAnsi="Arial" w:cs="Arial"/>
              </w:rPr>
              <w:t xml:space="preserve"> –</w:t>
            </w:r>
            <w:r w:rsidR="00F356C6" w:rsidRPr="00403007">
              <w:rPr>
                <w:rFonts w:ascii="Arial" w:eastAsia="Calibri" w:hAnsi="Arial" w:cs="Arial"/>
              </w:rPr>
              <w:t xml:space="preserve"> Documento Base -</w:t>
            </w:r>
            <w:r w:rsidR="00173C54" w:rsidRPr="00403007">
              <w:rPr>
                <w:rFonts w:ascii="Arial" w:eastAsia="Calibri" w:hAnsi="Arial" w:cs="Arial"/>
              </w:rPr>
              <w:t xml:space="preserve"> Formato 13</w:t>
            </w:r>
            <w:r w:rsidR="00172B10" w:rsidRPr="00403007">
              <w:rPr>
                <w:rFonts w:ascii="Arial" w:eastAsia="Calibri" w:hAnsi="Arial" w:cs="Arial"/>
              </w:rPr>
              <w:t xml:space="preserve"> Acreditación de MIPYME</w:t>
            </w:r>
            <w:r w:rsidR="0039494A" w:rsidRPr="00403007">
              <w:rPr>
                <w:rFonts w:ascii="Arial" w:eastAsia="Calibri" w:hAnsi="Arial" w:cs="Arial"/>
              </w:rPr>
              <w:t xml:space="preserve"> </w:t>
            </w:r>
            <w:r w:rsidR="00172B10" w:rsidRPr="00403007">
              <w:rPr>
                <w:rFonts w:ascii="Arial" w:eastAsia="Calibri" w:hAnsi="Arial" w:cs="Arial"/>
              </w:rPr>
              <w:t xml:space="preserve">- Formato 12 Acreditación de </w:t>
            </w:r>
            <w:r w:rsidR="0039494A" w:rsidRPr="00403007">
              <w:rPr>
                <w:rFonts w:ascii="Arial" w:eastAsia="Calibri" w:hAnsi="Arial" w:cs="Arial"/>
              </w:rPr>
              <w:t>Emprendimientos y Empresas de Mujeres</w:t>
            </w:r>
            <w:r w:rsidR="00E82CDA" w:rsidRPr="00403007">
              <w:rPr>
                <w:rFonts w:ascii="Arial" w:eastAsia="Calibri" w:hAnsi="Arial" w:cs="Arial"/>
              </w:rPr>
              <w:t xml:space="preserve">/ </w:t>
            </w:r>
            <w:r w:rsidR="0047618D" w:rsidRPr="00403007">
              <w:rPr>
                <w:rFonts w:ascii="Arial" w:eastAsia="Calibri" w:hAnsi="Arial" w:cs="Arial"/>
              </w:rPr>
              <w:t>SUBSANACIÓN – Requisitos Habilitantes – Reglas.</w:t>
            </w:r>
          </w:p>
          <w:p w14:paraId="493A4E56" w14:textId="6A3DB981" w:rsidR="0015043C" w:rsidRPr="00403007" w:rsidRDefault="0015043C" w:rsidP="00F3566E">
            <w:pPr>
              <w:spacing w:line="276" w:lineRule="auto"/>
              <w:contextualSpacing/>
              <w:jc w:val="both"/>
              <w:rPr>
                <w:rFonts w:ascii="Arial" w:eastAsia="Calibri" w:hAnsi="Arial" w:cs="Arial"/>
                <w:color w:val="000000" w:themeColor="text1"/>
                <w:highlight w:val="yellow"/>
              </w:rPr>
            </w:pPr>
          </w:p>
        </w:tc>
      </w:tr>
      <w:tr w:rsidR="007671C1" w:rsidRPr="003D56E3" w14:paraId="3C48A926" w14:textId="77777777" w:rsidTr="00EA17AC">
        <w:tc>
          <w:tcPr>
            <w:tcW w:w="2835" w:type="dxa"/>
          </w:tcPr>
          <w:p w14:paraId="04D45BC6" w14:textId="77777777" w:rsidR="007671C1" w:rsidRPr="00403007" w:rsidRDefault="007671C1" w:rsidP="00A43D3F">
            <w:pPr>
              <w:spacing w:line="276" w:lineRule="auto"/>
              <w:contextualSpacing/>
              <w:jc w:val="both"/>
              <w:rPr>
                <w:rFonts w:ascii="Arial" w:eastAsia="Calibri" w:hAnsi="Arial" w:cs="Arial"/>
                <w:color w:val="000000" w:themeColor="text1"/>
              </w:rPr>
            </w:pPr>
            <w:r w:rsidRPr="00403007">
              <w:rPr>
                <w:rFonts w:ascii="Arial" w:eastAsia="Calibri" w:hAnsi="Arial" w:cs="Arial"/>
                <w:b/>
                <w:color w:val="000000" w:themeColor="text1"/>
              </w:rPr>
              <w:t>Radicación:</w:t>
            </w:r>
            <w:r w:rsidRPr="00403007">
              <w:rPr>
                <w:rFonts w:ascii="Arial" w:eastAsia="Calibri" w:hAnsi="Arial" w:cs="Arial"/>
                <w:color w:val="000000" w:themeColor="text1"/>
              </w:rPr>
              <w:t xml:space="preserve">                              </w:t>
            </w:r>
          </w:p>
        </w:tc>
        <w:tc>
          <w:tcPr>
            <w:tcW w:w="5949" w:type="dxa"/>
          </w:tcPr>
          <w:p w14:paraId="61D17A2B" w14:textId="5353A979" w:rsidR="007671C1" w:rsidRPr="00403007" w:rsidRDefault="007671C1" w:rsidP="00A43D3F">
            <w:pPr>
              <w:spacing w:line="276" w:lineRule="auto"/>
              <w:contextualSpacing/>
              <w:jc w:val="both"/>
              <w:rPr>
                <w:rFonts w:ascii="Arial" w:eastAsia="Calibri" w:hAnsi="Arial" w:cs="Arial"/>
                <w:color w:val="000000" w:themeColor="text1"/>
              </w:rPr>
            </w:pPr>
            <w:r w:rsidRPr="00403007">
              <w:rPr>
                <w:rFonts w:ascii="Arial" w:eastAsia="Calibri" w:hAnsi="Arial" w:cs="Arial"/>
                <w:color w:val="000000" w:themeColor="text1"/>
              </w:rPr>
              <w:t>Respuesta a la</w:t>
            </w:r>
            <w:r w:rsidR="003673B0" w:rsidRPr="00403007">
              <w:rPr>
                <w:rFonts w:ascii="Arial" w:eastAsia="Calibri" w:hAnsi="Arial" w:cs="Arial"/>
                <w:color w:val="000000" w:themeColor="text1"/>
              </w:rPr>
              <w:t>s</w:t>
            </w:r>
            <w:r w:rsidRPr="00403007">
              <w:rPr>
                <w:rFonts w:ascii="Arial" w:eastAsia="Calibri" w:hAnsi="Arial" w:cs="Arial"/>
                <w:color w:val="000000" w:themeColor="text1"/>
              </w:rPr>
              <w:t xml:space="preserve"> consulta</w:t>
            </w:r>
            <w:r w:rsidR="003673B0" w:rsidRPr="00403007">
              <w:rPr>
                <w:rFonts w:ascii="Arial" w:eastAsia="Calibri" w:hAnsi="Arial" w:cs="Arial"/>
                <w:color w:val="000000" w:themeColor="text1"/>
              </w:rPr>
              <w:t>s</w:t>
            </w:r>
            <w:r w:rsidRPr="00403007">
              <w:rPr>
                <w:rFonts w:ascii="Arial" w:eastAsia="Calibri" w:hAnsi="Arial" w:cs="Arial"/>
                <w:color w:val="000000" w:themeColor="text1"/>
              </w:rPr>
              <w:t xml:space="preserve"> No. P2023052</w:t>
            </w:r>
            <w:r w:rsidR="003673B0" w:rsidRPr="00403007">
              <w:rPr>
                <w:rFonts w:ascii="Arial" w:eastAsia="Calibri" w:hAnsi="Arial" w:cs="Arial"/>
                <w:color w:val="000000" w:themeColor="text1"/>
              </w:rPr>
              <w:t>9011745</w:t>
            </w:r>
            <w:r w:rsidR="00EA17AC" w:rsidRPr="00403007">
              <w:rPr>
                <w:rFonts w:ascii="Arial" w:eastAsia="Calibri" w:hAnsi="Arial" w:cs="Arial"/>
                <w:color w:val="000000" w:themeColor="text1"/>
              </w:rPr>
              <w:t xml:space="preserve"> y P20230529011749</w:t>
            </w:r>
            <w:r w:rsidR="003673B0" w:rsidRPr="00403007">
              <w:rPr>
                <w:rFonts w:ascii="Arial" w:eastAsia="Calibri" w:hAnsi="Arial" w:cs="Arial"/>
                <w:color w:val="000000" w:themeColor="text1"/>
              </w:rPr>
              <w:t xml:space="preserve"> </w:t>
            </w:r>
          </w:p>
        </w:tc>
      </w:tr>
    </w:tbl>
    <w:p w14:paraId="4A8DF55D" w14:textId="77777777" w:rsidR="007671C1" w:rsidRPr="00403007" w:rsidRDefault="007671C1" w:rsidP="007671C1">
      <w:pPr>
        <w:spacing w:after="0" w:line="276" w:lineRule="auto"/>
        <w:contextualSpacing/>
        <w:jc w:val="both"/>
        <w:rPr>
          <w:rFonts w:ascii="Arial" w:eastAsia="Calibri" w:hAnsi="Arial" w:cs="Arial"/>
          <w:color w:val="000000" w:themeColor="text1"/>
        </w:rPr>
      </w:pPr>
    </w:p>
    <w:p w14:paraId="12BA939A" w14:textId="3116B05E" w:rsidR="007671C1" w:rsidRPr="00403007" w:rsidRDefault="007671C1" w:rsidP="00002AB4">
      <w:pPr>
        <w:spacing w:after="0"/>
        <w:jc w:val="both"/>
        <w:rPr>
          <w:rFonts w:ascii="Arial" w:hAnsi="Arial" w:cs="Arial"/>
          <w:lang w:val="es-MX"/>
        </w:rPr>
      </w:pPr>
      <w:r w:rsidRPr="00403007">
        <w:rPr>
          <w:rFonts w:ascii="Arial" w:eastAsia="Calibri" w:hAnsi="Arial" w:cs="Arial"/>
          <w:color w:val="000000" w:themeColor="text1"/>
        </w:rPr>
        <w:t xml:space="preserve">Respetado </w:t>
      </w:r>
      <w:r w:rsidR="00002AB4" w:rsidRPr="00403007">
        <w:rPr>
          <w:rFonts w:ascii="Arial" w:hAnsi="Arial" w:cs="Arial"/>
          <w:lang w:val="es-MX"/>
        </w:rPr>
        <w:t>Señor (a),</w:t>
      </w:r>
    </w:p>
    <w:p w14:paraId="0E77DB9C" w14:textId="77777777" w:rsidR="00002AB4" w:rsidRPr="00403007" w:rsidRDefault="00002AB4" w:rsidP="00002AB4">
      <w:pPr>
        <w:spacing w:after="0"/>
        <w:jc w:val="both"/>
        <w:rPr>
          <w:rFonts w:ascii="Arial" w:eastAsia="Calibri" w:hAnsi="Arial" w:cs="Arial"/>
          <w:color w:val="000000" w:themeColor="text1"/>
        </w:rPr>
      </w:pPr>
    </w:p>
    <w:p w14:paraId="1ABD28A7" w14:textId="2E998168" w:rsidR="007671C1" w:rsidRPr="00403007" w:rsidRDefault="007671C1" w:rsidP="007671C1">
      <w:pPr>
        <w:pStyle w:val="Prrafodelista"/>
        <w:spacing w:after="0" w:line="276" w:lineRule="auto"/>
        <w:ind w:left="0"/>
        <w:jc w:val="both"/>
        <w:rPr>
          <w:rFonts w:ascii="Arial" w:eastAsia="Calibri" w:hAnsi="Arial" w:cs="Arial"/>
          <w:lang w:val="es-ES_tradnl"/>
        </w:rPr>
      </w:pPr>
      <w:r w:rsidRPr="00403007">
        <w:rPr>
          <w:rFonts w:ascii="Arial" w:eastAsia="Calibri" w:hAnsi="Arial" w:cs="Arial"/>
          <w:lang w:val="es-ES_tradnl"/>
        </w:rPr>
        <w:t xml:space="preserve">En ejercicio de la competencia otorgada por </w:t>
      </w:r>
      <w:r w:rsidRPr="00403007">
        <w:rPr>
          <w:rFonts w:ascii="Arial" w:eastAsia="Calibri" w:hAnsi="Arial" w:cs="Arial"/>
          <w:color w:val="000000" w:themeColor="text1"/>
          <w:lang w:val="es-ES_tradnl"/>
        </w:rPr>
        <w:t>el numeral 8 del artículo 11 y el numeral 5 del artículo 3 del Decreto Ley 4170 de 2011</w:t>
      </w:r>
      <w:r w:rsidRPr="00403007">
        <w:rPr>
          <w:rFonts w:ascii="Arial" w:eastAsia="Calibri" w:hAnsi="Arial" w:cs="Arial"/>
          <w:lang w:val="es-ES_tradnl"/>
        </w:rPr>
        <w:t>, la Agencia Nacional de Contratación Pública − Colombia Compra Eficiente responde su</w:t>
      </w:r>
      <w:r w:rsidR="005F15DF" w:rsidRPr="00403007">
        <w:rPr>
          <w:rFonts w:ascii="Arial" w:eastAsia="Calibri" w:hAnsi="Arial" w:cs="Arial"/>
          <w:lang w:val="es-ES_tradnl"/>
        </w:rPr>
        <w:t>s</w:t>
      </w:r>
      <w:r w:rsidRPr="00403007">
        <w:rPr>
          <w:rFonts w:ascii="Arial" w:eastAsia="Calibri" w:hAnsi="Arial" w:cs="Arial"/>
          <w:lang w:val="es-ES_tradnl"/>
        </w:rPr>
        <w:t xml:space="preserve"> consulta</w:t>
      </w:r>
      <w:r w:rsidR="005F15DF" w:rsidRPr="00403007">
        <w:rPr>
          <w:rFonts w:ascii="Arial" w:eastAsia="Calibri" w:hAnsi="Arial" w:cs="Arial"/>
          <w:lang w:val="es-ES_tradnl"/>
        </w:rPr>
        <w:t>s</w:t>
      </w:r>
      <w:r w:rsidRPr="00403007">
        <w:rPr>
          <w:rFonts w:ascii="Arial" w:eastAsia="Calibri" w:hAnsi="Arial" w:cs="Arial"/>
          <w:lang w:val="es-ES_tradnl"/>
        </w:rPr>
        <w:t xml:space="preserve"> remitida</w:t>
      </w:r>
      <w:r w:rsidR="005F15DF" w:rsidRPr="00403007">
        <w:rPr>
          <w:rFonts w:ascii="Arial" w:eastAsia="Calibri" w:hAnsi="Arial" w:cs="Arial"/>
          <w:lang w:val="es-ES_tradnl"/>
        </w:rPr>
        <w:t>s</w:t>
      </w:r>
      <w:r w:rsidRPr="00403007">
        <w:rPr>
          <w:rFonts w:ascii="Arial" w:eastAsia="Calibri" w:hAnsi="Arial" w:cs="Arial"/>
          <w:lang w:val="es-ES_tradnl"/>
        </w:rPr>
        <w:t xml:space="preserve"> </w:t>
      </w:r>
      <w:r w:rsidRPr="00403007">
        <w:rPr>
          <w:rFonts w:ascii="Arial" w:eastAsia="Calibri" w:hAnsi="Arial" w:cs="Arial"/>
          <w:lang w:val="es-CO"/>
        </w:rPr>
        <w:t>el 2</w:t>
      </w:r>
      <w:r w:rsidR="005F15DF" w:rsidRPr="00403007">
        <w:rPr>
          <w:rFonts w:ascii="Arial" w:eastAsia="Calibri" w:hAnsi="Arial" w:cs="Arial"/>
          <w:lang w:val="es-CO"/>
        </w:rPr>
        <w:t>9</w:t>
      </w:r>
      <w:r w:rsidRPr="00403007">
        <w:rPr>
          <w:rFonts w:ascii="Arial" w:eastAsia="Calibri" w:hAnsi="Arial" w:cs="Arial"/>
          <w:lang w:val="es-CO"/>
        </w:rPr>
        <w:t xml:space="preserve"> mayo de 2023. </w:t>
      </w:r>
    </w:p>
    <w:p w14:paraId="65CD60DD" w14:textId="77777777" w:rsidR="007671C1" w:rsidRPr="00403007" w:rsidRDefault="007671C1" w:rsidP="007671C1">
      <w:pPr>
        <w:pStyle w:val="Prrafodelista"/>
        <w:spacing w:after="0" w:line="276" w:lineRule="auto"/>
        <w:ind w:left="0"/>
        <w:jc w:val="both"/>
        <w:rPr>
          <w:rFonts w:ascii="Arial" w:eastAsia="Calibri" w:hAnsi="Arial" w:cs="Arial"/>
          <w:color w:val="000000" w:themeColor="text1"/>
          <w:lang w:val="es-ES_tradnl"/>
        </w:rPr>
      </w:pPr>
    </w:p>
    <w:p w14:paraId="1309E218" w14:textId="77777777" w:rsidR="007671C1" w:rsidRPr="00403007" w:rsidRDefault="007671C1" w:rsidP="007671C1">
      <w:pPr>
        <w:tabs>
          <w:tab w:val="left" w:pos="0"/>
        </w:tabs>
        <w:spacing w:after="0" w:line="276" w:lineRule="auto"/>
        <w:contextualSpacing/>
        <w:jc w:val="both"/>
        <w:rPr>
          <w:rFonts w:ascii="Arial" w:eastAsia="Calibri" w:hAnsi="Arial" w:cs="Arial"/>
          <w:b/>
          <w:color w:val="000000" w:themeColor="text1"/>
        </w:rPr>
      </w:pPr>
      <w:r w:rsidRPr="00403007">
        <w:rPr>
          <w:rFonts w:ascii="Arial" w:eastAsia="Calibri" w:hAnsi="Arial" w:cs="Arial"/>
          <w:b/>
          <w:color w:val="000000" w:themeColor="text1"/>
        </w:rPr>
        <w:t>1. Problema planteado</w:t>
      </w:r>
    </w:p>
    <w:p w14:paraId="7D336418" w14:textId="77777777" w:rsidR="007671C1" w:rsidRPr="00403007" w:rsidRDefault="007671C1" w:rsidP="007671C1">
      <w:pPr>
        <w:spacing w:after="0" w:line="276" w:lineRule="auto"/>
        <w:contextualSpacing/>
        <w:jc w:val="both"/>
        <w:rPr>
          <w:rFonts w:ascii="Arial" w:eastAsia="Calibri" w:hAnsi="Arial" w:cs="Arial"/>
          <w:color w:val="000000" w:themeColor="text1"/>
        </w:rPr>
      </w:pPr>
    </w:p>
    <w:p w14:paraId="3793E175" w14:textId="67646B79" w:rsidR="007671C1" w:rsidRPr="00403007" w:rsidRDefault="001E0734" w:rsidP="007671C1">
      <w:pPr>
        <w:spacing w:after="0" w:line="276" w:lineRule="auto"/>
        <w:contextualSpacing/>
        <w:jc w:val="both"/>
        <w:rPr>
          <w:rFonts w:ascii="Arial" w:eastAsia="Calibri" w:hAnsi="Arial" w:cs="Arial"/>
        </w:rPr>
      </w:pPr>
      <w:r w:rsidRPr="00403007">
        <w:rPr>
          <w:rFonts w:ascii="Arial" w:eastAsia="Calibri" w:hAnsi="Arial" w:cs="Arial"/>
        </w:rPr>
        <w:t>Usted realiza la siguiente consulta</w:t>
      </w:r>
    </w:p>
    <w:p w14:paraId="3F3D1F58" w14:textId="77777777" w:rsidR="007671C1" w:rsidRPr="00403007" w:rsidRDefault="007671C1" w:rsidP="007671C1">
      <w:pPr>
        <w:spacing w:after="0" w:line="276" w:lineRule="auto"/>
        <w:contextualSpacing/>
        <w:jc w:val="both"/>
        <w:rPr>
          <w:rFonts w:ascii="Arial" w:eastAsia="Calibri" w:hAnsi="Arial" w:cs="Arial"/>
        </w:rPr>
      </w:pPr>
    </w:p>
    <w:p w14:paraId="2FB62D7A" w14:textId="4B04A9E8" w:rsidR="000D133B" w:rsidRPr="00403007" w:rsidRDefault="007671C1" w:rsidP="00F45866">
      <w:pPr>
        <w:autoSpaceDE w:val="0"/>
        <w:autoSpaceDN w:val="0"/>
        <w:adjustRightInd w:val="0"/>
        <w:spacing w:after="0" w:line="240" w:lineRule="auto"/>
        <w:ind w:left="709" w:right="709"/>
        <w:jc w:val="both"/>
        <w:rPr>
          <w:rFonts w:ascii="Arial" w:hAnsi="Arial" w:cs="Arial"/>
          <w:i/>
          <w:sz w:val="21"/>
          <w:szCs w:val="21"/>
        </w:rPr>
      </w:pPr>
      <w:bookmarkStart w:id="1" w:name="_Hlk136419030"/>
      <w:r w:rsidRPr="00403007">
        <w:rPr>
          <w:rFonts w:ascii="Arial" w:hAnsi="Arial" w:cs="Arial"/>
          <w:i/>
          <w:sz w:val="21"/>
          <w:szCs w:val="21"/>
        </w:rPr>
        <w:lastRenderedPageBreak/>
        <w:t xml:space="preserve">“(…) </w:t>
      </w:r>
      <w:r w:rsidR="000D133B" w:rsidRPr="00403007">
        <w:rPr>
          <w:rFonts w:ascii="Arial" w:hAnsi="Arial" w:cs="Arial"/>
          <w:i/>
          <w:sz w:val="21"/>
          <w:szCs w:val="21"/>
        </w:rPr>
        <w:t>Si dentro del Formato 13 de emprendimiento se incluye la composición accionaria de la</w:t>
      </w:r>
      <w:r w:rsidR="00B27D22" w:rsidRPr="00403007">
        <w:rPr>
          <w:rFonts w:ascii="Arial" w:hAnsi="Arial" w:cs="Arial"/>
          <w:i/>
          <w:sz w:val="21"/>
          <w:szCs w:val="21"/>
        </w:rPr>
        <w:t xml:space="preserve"> </w:t>
      </w:r>
      <w:r w:rsidR="000D133B" w:rsidRPr="00403007">
        <w:rPr>
          <w:rFonts w:ascii="Arial" w:hAnsi="Arial" w:cs="Arial"/>
          <w:i/>
          <w:sz w:val="21"/>
          <w:szCs w:val="21"/>
        </w:rPr>
        <w:t>empresa, la cual cuenta con menos de 3 años de constituida y dicho formato se</w:t>
      </w:r>
      <w:r w:rsidR="004462C0" w:rsidRPr="00403007">
        <w:rPr>
          <w:rFonts w:ascii="Arial" w:hAnsi="Arial" w:cs="Arial"/>
          <w:i/>
          <w:sz w:val="21"/>
          <w:szCs w:val="21"/>
        </w:rPr>
        <w:t xml:space="preserve"> </w:t>
      </w:r>
      <w:r w:rsidR="000D133B" w:rsidRPr="00403007">
        <w:rPr>
          <w:rFonts w:ascii="Arial" w:hAnsi="Arial" w:cs="Arial"/>
          <w:i/>
          <w:sz w:val="21"/>
          <w:szCs w:val="21"/>
        </w:rPr>
        <w:t>encuentra debidamente firmado por contador y representante legal de la empresa, este</w:t>
      </w:r>
      <w:r w:rsidR="004462C0" w:rsidRPr="00403007">
        <w:rPr>
          <w:rFonts w:ascii="Arial" w:hAnsi="Arial" w:cs="Arial"/>
          <w:i/>
          <w:sz w:val="21"/>
          <w:szCs w:val="21"/>
        </w:rPr>
        <w:t xml:space="preserve"> </w:t>
      </w:r>
      <w:r w:rsidR="000D133B" w:rsidRPr="00403007">
        <w:rPr>
          <w:rFonts w:ascii="Arial" w:hAnsi="Arial" w:cs="Arial"/>
          <w:i/>
          <w:sz w:val="21"/>
          <w:szCs w:val="21"/>
        </w:rPr>
        <w:t>formato es válido para acreditar lo solicitado en el numeral F. de los pliegos tipo el cual</w:t>
      </w:r>
      <w:r w:rsidR="004462C0" w:rsidRPr="00403007">
        <w:rPr>
          <w:rFonts w:ascii="Arial" w:hAnsi="Arial" w:cs="Arial"/>
          <w:i/>
          <w:sz w:val="21"/>
          <w:szCs w:val="21"/>
        </w:rPr>
        <w:t xml:space="preserve"> </w:t>
      </w:r>
      <w:r w:rsidR="000D133B" w:rsidRPr="00403007">
        <w:rPr>
          <w:rFonts w:ascii="Arial" w:hAnsi="Arial" w:cs="Arial"/>
          <w:i/>
          <w:sz w:val="21"/>
          <w:szCs w:val="21"/>
        </w:rPr>
        <w:t>señala que:</w:t>
      </w:r>
    </w:p>
    <w:p w14:paraId="7A11BB82" w14:textId="77777777" w:rsidR="004462C0" w:rsidRPr="00403007" w:rsidRDefault="004462C0" w:rsidP="00F45866">
      <w:pPr>
        <w:autoSpaceDE w:val="0"/>
        <w:autoSpaceDN w:val="0"/>
        <w:adjustRightInd w:val="0"/>
        <w:spacing w:after="0" w:line="240" w:lineRule="auto"/>
        <w:ind w:left="709" w:right="709"/>
        <w:jc w:val="both"/>
        <w:rPr>
          <w:rFonts w:ascii="Arial" w:hAnsi="Arial" w:cs="Arial"/>
          <w:i/>
          <w:sz w:val="21"/>
          <w:szCs w:val="21"/>
        </w:rPr>
      </w:pPr>
    </w:p>
    <w:p w14:paraId="28057F0C" w14:textId="1B8E2EDE" w:rsidR="000D133B" w:rsidRPr="00403007" w:rsidRDefault="000D133B" w:rsidP="00F45866">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t>"F. Para los contratos que sean aportados por personas jurídicas que no cuentan con</w:t>
      </w:r>
      <w:r w:rsidR="004462C0" w:rsidRPr="00403007">
        <w:rPr>
          <w:rFonts w:ascii="Arial" w:hAnsi="Arial" w:cs="Arial"/>
          <w:i/>
          <w:sz w:val="21"/>
          <w:szCs w:val="21"/>
        </w:rPr>
        <w:t xml:space="preserve"> </w:t>
      </w:r>
      <w:r w:rsidRPr="00403007">
        <w:rPr>
          <w:rFonts w:ascii="Arial" w:hAnsi="Arial" w:cs="Arial"/>
          <w:i/>
          <w:sz w:val="21"/>
          <w:szCs w:val="21"/>
        </w:rPr>
        <w:t>más de tres (3) años de constituidas, que pretendan acreditar la experiencia de sus</w:t>
      </w:r>
      <w:r w:rsidR="004462C0" w:rsidRPr="00403007">
        <w:rPr>
          <w:rFonts w:ascii="Arial" w:hAnsi="Arial" w:cs="Arial"/>
          <w:i/>
          <w:sz w:val="21"/>
          <w:szCs w:val="21"/>
        </w:rPr>
        <w:t xml:space="preserve"> </w:t>
      </w:r>
      <w:r w:rsidRPr="00403007">
        <w:rPr>
          <w:rFonts w:ascii="Arial" w:hAnsi="Arial" w:cs="Arial"/>
          <w:i/>
          <w:sz w:val="21"/>
          <w:szCs w:val="21"/>
        </w:rPr>
        <w:t>socios, accionistas o constituyentes, de conformidad con la posibilidad establecida en</w:t>
      </w:r>
      <w:r w:rsidR="004462C0" w:rsidRPr="00403007">
        <w:rPr>
          <w:rFonts w:ascii="Arial" w:hAnsi="Arial" w:cs="Arial"/>
          <w:i/>
          <w:sz w:val="21"/>
          <w:szCs w:val="21"/>
        </w:rPr>
        <w:t xml:space="preserve"> </w:t>
      </w:r>
      <w:r w:rsidRPr="00403007">
        <w:rPr>
          <w:rFonts w:ascii="Arial" w:hAnsi="Arial" w:cs="Arial"/>
          <w:i/>
          <w:sz w:val="21"/>
          <w:szCs w:val="21"/>
        </w:rPr>
        <w:t>el numeral 2.5 del artículo 2.2.1.1.1.5.2. del Decreto 1082 de 2015, además del RUP</w:t>
      </w:r>
      <w:r w:rsidR="004462C0" w:rsidRPr="00403007">
        <w:rPr>
          <w:rFonts w:ascii="Arial" w:hAnsi="Arial" w:cs="Arial"/>
          <w:i/>
          <w:sz w:val="21"/>
          <w:szCs w:val="21"/>
        </w:rPr>
        <w:t xml:space="preserve"> </w:t>
      </w:r>
      <w:r w:rsidRPr="00403007">
        <w:rPr>
          <w:rFonts w:ascii="Arial" w:hAnsi="Arial" w:cs="Arial"/>
          <w:i/>
          <w:sz w:val="21"/>
          <w:szCs w:val="21"/>
        </w:rPr>
        <w:t>deben adjuntar un documento suscrito por el representante legal y el revisor fiscal o</w:t>
      </w:r>
      <w:r w:rsidR="004462C0" w:rsidRPr="00403007">
        <w:rPr>
          <w:rFonts w:ascii="Arial" w:hAnsi="Arial" w:cs="Arial"/>
          <w:i/>
          <w:sz w:val="21"/>
          <w:szCs w:val="21"/>
        </w:rPr>
        <w:t xml:space="preserve"> </w:t>
      </w:r>
      <w:r w:rsidRPr="00403007">
        <w:rPr>
          <w:rFonts w:ascii="Arial" w:hAnsi="Arial" w:cs="Arial"/>
          <w:i/>
          <w:sz w:val="21"/>
          <w:szCs w:val="21"/>
        </w:rPr>
        <w:t>contador público (según corresponda) donde se indique la conformación de la persona</w:t>
      </w:r>
      <w:r w:rsidR="004462C0" w:rsidRPr="00403007">
        <w:rPr>
          <w:rFonts w:ascii="Arial" w:hAnsi="Arial" w:cs="Arial"/>
          <w:i/>
          <w:sz w:val="21"/>
          <w:szCs w:val="21"/>
        </w:rPr>
        <w:t xml:space="preserve"> </w:t>
      </w:r>
      <w:r w:rsidRPr="00403007">
        <w:rPr>
          <w:rFonts w:ascii="Arial" w:hAnsi="Arial" w:cs="Arial"/>
          <w:i/>
          <w:sz w:val="21"/>
          <w:szCs w:val="21"/>
        </w:rPr>
        <w:t>jurídica. La Entidad tendrá en cuenta la experiencia de los accionistas, socios o</w:t>
      </w:r>
      <w:r w:rsidR="004462C0" w:rsidRPr="00403007">
        <w:rPr>
          <w:rFonts w:ascii="Arial" w:hAnsi="Arial" w:cs="Arial"/>
          <w:i/>
          <w:sz w:val="21"/>
          <w:szCs w:val="21"/>
        </w:rPr>
        <w:t xml:space="preserve"> </w:t>
      </w:r>
      <w:r w:rsidRPr="00403007">
        <w:rPr>
          <w:rFonts w:ascii="Arial" w:hAnsi="Arial" w:cs="Arial"/>
          <w:i/>
          <w:sz w:val="21"/>
          <w:szCs w:val="21"/>
        </w:rPr>
        <w:t>constituyentes de las sociedades con menos de tres (3) años de constituidas. Pasado</w:t>
      </w:r>
      <w:r w:rsidR="004462C0" w:rsidRPr="00403007">
        <w:rPr>
          <w:rFonts w:ascii="Arial" w:hAnsi="Arial" w:cs="Arial"/>
          <w:i/>
          <w:sz w:val="21"/>
          <w:szCs w:val="21"/>
        </w:rPr>
        <w:t xml:space="preserve"> </w:t>
      </w:r>
      <w:r w:rsidRPr="00403007">
        <w:rPr>
          <w:rFonts w:ascii="Arial" w:hAnsi="Arial" w:cs="Arial"/>
          <w:i/>
          <w:sz w:val="21"/>
          <w:szCs w:val="21"/>
        </w:rPr>
        <w:t>este tiempo, la sociedad conservará esta experiencia, tal y como haya quedado</w:t>
      </w:r>
      <w:r w:rsidR="004462C0" w:rsidRPr="00403007">
        <w:rPr>
          <w:rFonts w:ascii="Arial" w:hAnsi="Arial" w:cs="Arial"/>
          <w:i/>
          <w:sz w:val="21"/>
          <w:szCs w:val="21"/>
        </w:rPr>
        <w:t xml:space="preserve"> </w:t>
      </w:r>
      <w:r w:rsidRPr="00403007">
        <w:rPr>
          <w:rFonts w:ascii="Arial" w:hAnsi="Arial" w:cs="Arial"/>
          <w:i/>
          <w:sz w:val="21"/>
          <w:szCs w:val="21"/>
        </w:rPr>
        <w:t>registrada en el RUP"</w:t>
      </w:r>
    </w:p>
    <w:p w14:paraId="3CD054E8" w14:textId="77777777" w:rsidR="004462C0" w:rsidRPr="00403007" w:rsidRDefault="004462C0" w:rsidP="00F45866">
      <w:pPr>
        <w:autoSpaceDE w:val="0"/>
        <w:autoSpaceDN w:val="0"/>
        <w:adjustRightInd w:val="0"/>
        <w:spacing w:after="0" w:line="240" w:lineRule="auto"/>
        <w:ind w:left="709" w:right="709"/>
        <w:jc w:val="both"/>
        <w:rPr>
          <w:rFonts w:ascii="Arial" w:hAnsi="Arial" w:cs="Arial"/>
          <w:i/>
          <w:sz w:val="21"/>
          <w:szCs w:val="21"/>
        </w:rPr>
      </w:pPr>
    </w:p>
    <w:p w14:paraId="7BD4D212" w14:textId="147FC814" w:rsidR="000D133B" w:rsidRPr="00403007" w:rsidRDefault="000D133B" w:rsidP="00F45866">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t xml:space="preserve">Indistintamente que dicho Formato 13 no se haya entregado en el mismo </w:t>
      </w:r>
      <w:proofErr w:type="spellStart"/>
      <w:r w:rsidRPr="00403007">
        <w:rPr>
          <w:rFonts w:ascii="Arial" w:hAnsi="Arial" w:cs="Arial"/>
          <w:i/>
          <w:sz w:val="21"/>
          <w:szCs w:val="21"/>
        </w:rPr>
        <w:t>pdf</w:t>
      </w:r>
      <w:proofErr w:type="spellEnd"/>
      <w:r w:rsidRPr="00403007">
        <w:rPr>
          <w:rFonts w:ascii="Arial" w:hAnsi="Arial" w:cs="Arial"/>
          <w:i/>
          <w:sz w:val="21"/>
          <w:szCs w:val="21"/>
        </w:rPr>
        <w:t xml:space="preserve"> de la</w:t>
      </w:r>
      <w:r w:rsidR="0014329B" w:rsidRPr="00403007">
        <w:rPr>
          <w:rFonts w:ascii="Arial" w:hAnsi="Arial" w:cs="Arial"/>
          <w:i/>
          <w:sz w:val="21"/>
          <w:szCs w:val="21"/>
        </w:rPr>
        <w:t xml:space="preserve"> </w:t>
      </w:r>
      <w:r w:rsidRPr="00403007">
        <w:rPr>
          <w:rFonts w:ascii="Arial" w:hAnsi="Arial" w:cs="Arial"/>
          <w:i/>
          <w:sz w:val="21"/>
          <w:szCs w:val="21"/>
        </w:rPr>
        <w:t>experiencia especifica. La entidad puede verificar y constatar que la composición</w:t>
      </w:r>
      <w:r w:rsidR="0014329B" w:rsidRPr="00403007">
        <w:rPr>
          <w:rFonts w:ascii="Arial" w:hAnsi="Arial" w:cs="Arial"/>
          <w:i/>
          <w:sz w:val="21"/>
          <w:szCs w:val="21"/>
        </w:rPr>
        <w:t xml:space="preserve"> </w:t>
      </w:r>
      <w:r w:rsidRPr="00403007">
        <w:rPr>
          <w:rFonts w:ascii="Arial" w:hAnsi="Arial" w:cs="Arial"/>
          <w:i/>
          <w:sz w:val="21"/>
          <w:szCs w:val="21"/>
        </w:rPr>
        <w:t>accionaria corresponde a la requerida en dicho numeral para considerar valida la</w:t>
      </w:r>
      <w:r w:rsidR="00B526CB" w:rsidRPr="00403007">
        <w:rPr>
          <w:rFonts w:ascii="Arial" w:hAnsi="Arial" w:cs="Arial"/>
          <w:i/>
          <w:sz w:val="21"/>
          <w:szCs w:val="21"/>
        </w:rPr>
        <w:t xml:space="preserve"> </w:t>
      </w:r>
      <w:r w:rsidRPr="00403007">
        <w:rPr>
          <w:rFonts w:ascii="Arial" w:hAnsi="Arial" w:cs="Arial"/>
          <w:i/>
          <w:sz w:val="21"/>
          <w:szCs w:val="21"/>
        </w:rPr>
        <w:t>experiencia solicitada en el pliego de condiciones?</w:t>
      </w:r>
    </w:p>
    <w:p w14:paraId="6BB7F785" w14:textId="77777777" w:rsidR="00B526CB" w:rsidRPr="00403007" w:rsidRDefault="00B526CB" w:rsidP="00F45866">
      <w:pPr>
        <w:autoSpaceDE w:val="0"/>
        <w:autoSpaceDN w:val="0"/>
        <w:adjustRightInd w:val="0"/>
        <w:spacing w:after="0" w:line="240" w:lineRule="auto"/>
        <w:ind w:left="709" w:right="709"/>
        <w:jc w:val="both"/>
        <w:rPr>
          <w:rFonts w:ascii="Arial" w:hAnsi="Arial" w:cs="Arial"/>
          <w:i/>
          <w:sz w:val="21"/>
          <w:szCs w:val="21"/>
        </w:rPr>
      </w:pPr>
    </w:p>
    <w:p w14:paraId="379E20F8" w14:textId="16DBFDA2" w:rsidR="007671C1" w:rsidRPr="00403007" w:rsidRDefault="000D133B" w:rsidP="00F45866">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t>Lo anterior teniendo en cuenta que la oferta se encuentra encriptada y presentada, es</w:t>
      </w:r>
      <w:r w:rsidR="00B526CB" w:rsidRPr="00403007">
        <w:rPr>
          <w:rFonts w:ascii="Arial" w:hAnsi="Arial" w:cs="Arial"/>
          <w:i/>
          <w:sz w:val="21"/>
          <w:szCs w:val="21"/>
        </w:rPr>
        <w:t xml:space="preserve"> </w:t>
      </w:r>
      <w:r w:rsidRPr="00403007">
        <w:rPr>
          <w:rFonts w:ascii="Arial" w:hAnsi="Arial" w:cs="Arial"/>
          <w:i/>
          <w:sz w:val="21"/>
          <w:szCs w:val="21"/>
        </w:rPr>
        <w:t xml:space="preserve">plataforma </w:t>
      </w:r>
      <w:proofErr w:type="spellStart"/>
      <w:r w:rsidRPr="00403007">
        <w:rPr>
          <w:rFonts w:ascii="Arial" w:hAnsi="Arial" w:cs="Arial"/>
          <w:i/>
          <w:sz w:val="21"/>
          <w:szCs w:val="21"/>
        </w:rPr>
        <w:t>Secop</w:t>
      </w:r>
      <w:proofErr w:type="spellEnd"/>
      <w:r w:rsidRPr="00403007">
        <w:rPr>
          <w:rFonts w:ascii="Arial" w:hAnsi="Arial" w:cs="Arial"/>
          <w:i/>
          <w:sz w:val="21"/>
          <w:szCs w:val="21"/>
        </w:rPr>
        <w:t xml:space="preserve"> II, no se </w:t>
      </w:r>
      <w:proofErr w:type="spellStart"/>
      <w:r w:rsidRPr="00403007">
        <w:rPr>
          <w:rFonts w:ascii="Arial" w:hAnsi="Arial" w:cs="Arial"/>
          <w:i/>
          <w:sz w:val="21"/>
          <w:szCs w:val="21"/>
        </w:rPr>
        <w:t>esta</w:t>
      </w:r>
      <w:proofErr w:type="spellEnd"/>
      <w:r w:rsidRPr="00403007">
        <w:rPr>
          <w:rFonts w:ascii="Arial" w:hAnsi="Arial" w:cs="Arial"/>
          <w:i/>
          <w:sz w:val="21"/>
          <w:szCs w:val="21"/>
        </w:rPr>
        <w:t xml:space="preserve"> adicionando ningún documento que pretenda mejorar la</w:t>
      </w:r>
      <w:r w:rsidR="00B526CB" w:rsidRPr="00403007">
        <w:rPr>
          <w:rFonts w:ascii="Arial" w:hAnsi="Arial" w:cs="Arial"/>
          <w:i/>
          <w:sz w:val="21"/>
          <w:szCs w:val="21"/>
        </w:rPr>
        <w:t xml:space="preserve"> </w:t>
      </w:r>
      <w:r w:rsidRPr="00403007">
        <w:rPr>
          <w:rFonts w:ascii="Arial" w:hAnsi="Arial" w:cs="Arial"/>
          <w:i/>
          <w:sz w:val="21"/>
          <w:szCs w:val="21"/>
        </w:rPr>
        <w:t>oferta y adicional a ello la carta de presentación también indica la composición</w:t>
      </w:r>
      <w:r w:rsidR="00B526CB" w:rsidRPr="00403007">
        <w:rPr>
          <w:rFonts w:ascii="Arial" w:hAnsi="Arial" w:cs="Arial"/>
          <w:i/>
          <w:sz w:val="21"/>
          <w:szCs w:val="21"/>
        </w:rPr>
        <w:t xml:space="preserve"> </w:t>
      </w:r>
      <w:r w:rsidRPr="00403007">
        <w:rPr>
          <w:rFonts w:ascii="Arial" w:hAnsi="Arial" w:cs="Arial"/>
          <w:i/>
          <w:sz w:val="21"/>
          <w:szCs w:val="21"/>
        </w:rPr>
        <w:t>accionaria de la empresa, la cual NO difiere de la presentada en el documento</w:t>
      </w:r>
      <w:r w:rsidR="00B526CB" w:rsidRPr="00403007">
        <w:rPr>
          <w:rFonts w:ascii="Arial" w:hAnsi="Arial" w:cs="Arial"/>
          <w:i/>
          <w:sz w:val="21"/>
          <w:szCs w:val="21"/>
        </w:rPr>
        <w:t xml:space="preserve"> </w:t>
      </w:r>
      <w:r w:rsidRPr="00403007">
        <w:rPr>
          <w:rFonts w:ascii="Arial" w:hAnsi="Arial" w:cs="Arial"/>
          <w:i/>
          <w:sz w:val="21"/>
          <w:szCs w:val="21"/>
        </w:rPr>
        <w:t>certificado y todos los documentos hacen parte integral de la oferta.</w:t>
      </w:r>
      <w:r w:rsidR="00B526CB" w:rsidRPr="00403007">
        <w:rPr>
          <w:rFonts w:ascii="Arial" w:hAnsi="Arial" w:cs="Arial"/>
          <w:i/>
          <w:sz w:val="21"/>
          <w:szCs w:val="21"/>
        </w:rPr>
        <w:t>”</w:t>
      </w:r>
      <w:r w:rsidR="00223208" w:rsidRPr="00403007">
        <w:rPr>
          <w:rFonts w:ascii="Arial" w:hAnsi="Arial" w:cs="Arial"/>
          <w:i/>
          <w:sz w:val="21"/>
          <w:szCs w:val="21"/>
        </w:rPr>
        <w:t xml:space="preserve"> </w:t>
      </w:r>
      <w:r w:rsidR="00C63269" w:rsidRPr="00403007">
        <w:rPr>
          <w:rFonts w:ascii="Arial" w:hAnsi="Arial" w:cs="Arial"/>
          <w:i/>
          <w:sz w:val="21"/>
          <w:szCs w:val="21"/>
        </w:rPr>
        <w:t>(sic)</w:t>
      </w:r>
    </w:p>
    <w:p w14:paraId="2AFA01A1" w14:textId="77777777" w:rsidR="0047159A" w:rsidRPr="00403007" w:rsidRDefault="0047159A" w:rsidP="000D133B">
      <w:pPr>
        <w:autoSpaceDE w:val="0"/>
        <w:autoSpaceDN w:val="0"/>
        <w:adjustRightInd w:val="0"/>
        <w:spacing w:after="0" w:line="240" w:lineRule="auto"/>
        <w:ind w:left="709" w:right="709"/>
        <w:jc w:val="both"/>
        <w:rPr>
          <w:rFonts w:ascii="Arial" w:eastAsia="Calibri" w:hAnsi="Arial" w:cs="Arial"/>
          <w:sz w:val="21"/>
          <w:szCs w:val="21"/>
        </w:rPr>
      </w:pPr>
    </w:p>
    <w:bookmarkEnd w:id="1"/>
    <w:p w14:paraId="48639852" w14:textId="77777777" w:rsidR="007671C1" w:rsidRPr="00403007" w:rsidRDefault="007671C1" w:rsidP="007671C1">
      <w:pPr>
        <w:spacing w:after="0" w:line="276" w:lineRule="auto"/>
        <w:contextualSpacing/>
        <w:jc w:val="both"/>
        <w:rPr>
          <w:rFonts w:ascii="Arial" w:eastAsia="Calibri" w:hAnsi="Arial" w:cs="Arial"/>
          <w:color w:val="000000" w:themeColor="text1"/>
        </w:rPr>
      </w:pPr>
      <w:r w:rsidRPr="00403007">
        <w:rPr>
          <w:rFonts w:ascii="Arial" w:eastAsia="Calibri" w:hAnsi="Arial" w:cs="Arial"/>
          <w:b/>
          <w:color w:val="000000" w:themeColor="text1"/>
        </w:rPr>
        <w:t>2. Consideraciones</w:t>
      </w:r>
    </w:p>
    <w:p w14:paraId="2FD74D8B" w14:textId="77777777" w:rsidR="007671C1" w:rsidRPr="00403007" w:rsidRDefault="007671C1" w:rsidP="007671C1">
      <w:pPr>
        <w:tabs>
          <w:tab w:val="left" w:pos="426"/>
        </w:tabs>
        <w:spacing w:after="0" w:line="276" w:lineRule="auto"/>
        <w:contextualSpacing/>
        <w:jc w:val="both"/>
        <w:rPr>
          <w:rFonts w:ascii="Arial" w:eastAsia="Calibri" w:hAnsi="Arial" w:cs="Arial"/>
          <w:color w:val="000000" w:themeColor="text1"/>
        </w:rPr>
      </w:pPr>
    </w:p>
    <w:p w14:paraId="71C69978" w14:textId="77777777" w:rsidR="007671C1" w:rsidRPr="00403007" w:rsidRDefault="007671C1" w:rsidP="007671C1">
      <w:pPr>
        <w:tabs>
          <w:tab w:val="left" w:pos="426"/>
        </w:tabs>
        <w:spacing w:after="120"/>
        <w:jc w:val="both"/>
        <w:rPr>
          <w:rFonts w:ascii="Arial" w:hAnsi="Arial" w:cs="Arial"/>
          <w:color w:val="000000" w:themeColor="text1"/>
          <w:lang w:eastAsia="es-MX"/>
        </w:rPr>
      </w:pPr>
      <w:r w:rsidRPr="00403007">
        <w:rPr>
          <w:rFonts w:ascii="Arial" w:hAnsi="Arial" w:cs="Arial"/>
        </w:rPr>
        <w:t xml:space="preserve">La Agencia Nacional de Contratación Pública – Colombia Compra Eficiente resuelve </w:t>
      </w:r>
      <w:r w:rsidRPr="00403007">
        <w:rPr>
          <w:rFonts w:ascii="Arial" w:hAnsi="Arial" w:cs="Arial"/>
          <w:color w:val="000000" w:themeColor="text1"/>
          <w:lang w:eastAsia="es-MX"/>
        </w:rPr>
        <w:t>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los partícipes de la contratación estatal ni para interpretar el alcance de cualquier norma vigente en el ordenamiento jurídico.</w:t>
      </w:r>
    </w:p>
    <w:p w14:paraId="6AFA97D6" w14:textId="472699F8" w:rsidR="007671C1" w:rsidRPr="00403007" w:rsidRDefault="007671C1" w:rsidP="007671C1">
      <w:pPr>
        <w:spacing w:before="120" w:after="120"/>
        <w:ind w:firstLine="708"/>
        <w:jc w:val="both"/>
        <w:rPr>
          <w:rFonts w:ascii="Arial" w:hAnsi="Arial" w:cs="Arial"/>
          <w:lang w:val="es-ES"/>
        </w:rPr>
      </w:pPr>
      <w:r w:rsidRPr="00403007">
        <w:rPr>
          <w:rFonts w:ascii="Arial" w:hAnsi="Arial" w:cs="Arial"/>
          <w:color w:val="000000" w:themeColor="text1"/>
          <w:lang w:eastAsia="es-MX"/>
        </w:rPr>
        <w:t xml:space="preserve">La competencia de esta entidad se fija con límites claros, con el objeto de evitar que la Agencia actúe como una instancia de validación de las actuaciones de las entidades </w:t>
      </w:r>
      <w:r w:rsidRPr="00403007">
        <w:rPr>
          <w:rFonts w:ascii="Arial" w:hAnsi="Arial" w:cs="Arial"/>
          <w:color w:val="000000" w:themeColor="text1"/>
          <w:lang w:eastAsia="es-MX"/>
        </w:rPr>
        <w:lastRenderedPageBreak/>
        <w:t>sujetas a la Ley 80 de 1993 o de los demás participantes de la contratación pública</w:t>
      </w:r>
      <w:r w:rsidRPr="00403007">
        <w:rPr>
          <w:rStyle w:val="Refdenotaalpie"/>
          <w:rFonts w:ascii="Arial" w:hAnsi="Arial" w:cs="Arial"/>
        </w:rPr>
        <w:footnoteReference w:id="2"/>
      </w:r>
      <w:r w:rsidRPr="00403007">
        <w:rPr>
          <w:rStyle w:val="Refdenotaalpie"/>
          <w:rFonts w:ascii="Arial" w:hAnsi="Arial" w:cs="Arial"/>
          <w:sz w:val="18"/>
          <w:szCs w:val="18"/>
        </w:rPr>
        <w:t>.</w:t>
      </w:r>
      <w:r w:rsidRPr="00403007">
        <w:rPr>
          <w:rFonts w:ascii="Arial" w:hAnsi="Arial" w:cs="Arial"/>
          <w:color w:val="000000" w:themeColor="text1"/>
          <w:lang w:eastAsia="es-MX"/>
        </w:rPr>
        <w:t xml:space="preserve">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w:t>
      </w:r>
      <w:r w:rsidRPr="00403007">
        <w:rPr>
          <w:rFonts w:ascii="Arial" w:hAnsi="Arial" w:cs="Arial"/>
          <w:lang w:val="es-ES"/>
        </w:rPr>
        <w:t>.</w:t>
      </w:r>
    </w:p>
    <w:p w14:paraId="2A9FE7B3" w14:textId="5FFA5411" w:rsidR="007671C1" w:rsidRPr="00403007" w:rsidRDefault="007671C1" w:rsidP="007671C1">
      <w:pPr>
        <w:spacing w:before="120" w:after="120"/>
        <w:ind w:firstLine="708"/>
        <w:jc w:val="both"/>
        <w:rPr>
          <w:rFonts w:ascii="Arial" w:hAnsi="Arial" w:cs="Arial"/>
          <w:color w:val="000000" w:themeColor="text1"/>
          <w:lang w:eastAsia="es-MX"/>
        </w:rPr>
      </w:pPr>
      <w:r w:rsidRPr="00403007">
        <w:rPr>
          <w:rFonts w:ascii="Arial" w:hAnsi="Arial" w:cs="Arial"/>
          <w:color w:val="000000" w:themeColor="text1"/>
          <w:lang w:eastAsia="es-MX"/>
        </w:rPr>
        <w:t>Sin perjuicio de lo anterior, la Subdirección de Gestión Contractual, dentro de los límites de sus atribuciones, resolverá la consulta de forma general conforme a las normas generales del sistema de compras y contratación pública. Con este objetivo se analizarán los siguientes temas: i)</w:t>
      </w:r>
      <w:r w:rsidR="006375BD" w:rsidRPr="00403007">
        <w:rPr>
          <w:rFonts w:ascii="Arial" w:hAnsi="Arial" w:cs="Arial"/>
          <w:color w:val="000000" w:themeColor="text1"/>
          <w:lang w:eastAsia="es-MX"/>
        </w:rPr>
        <w:t xml:space="preserve"> </w:t>
      </w:r>
      <w:r w:rsidR="004D0E18" w:rsidRPr="00403007">
        <w:rPr>
          <w:rFonts w:ascii="Arial" w:eastAsia="Calibri" w:hAnsi="Arial" w:cs="Arial"/>
          <w:color w:val="000000" w:themeColor="text1"/>
          <w:lang w:val="es-ES" w:eastAsia="es-MX"/>
        </w:rPr>
        <w:t>aproximación general al concepto de experiencia en la contratación pública; ii) acreditación de experiencia de socios por parte de sociedades con menos de tres años de constitución y la posibilidad de ponderar la experiencia transferida por los socios en función de su porcentaje participación; iii</w:t>
      </w:r>
      <w:r w:rsidR="006375BD" w:rsidRPr="00403007">
        <w:rPr>
          <w:rFonts w:ascii="Arial" w:eastAsia="Calibri" w:hAnsi="Arial" w:cs="Arial"/>
          <w:color w:val="000000" w:themeColor="text1"/>
          <w:lang w:val="es-ES" w:eastAsia="es-MX"/>
        </w:rPr>
        <w:t>) d</w:t>
      </w:r>
      <w:r w:rsidR="00147FD8" w:rsidRPr="00403007">
        <w:rPr>
          <w:rFonts w:ascii="Arial" w:eastAsia="Calibri" w:hAnsi="Arial" w:cs="Arial"/>
          <w:color w:val="000000" w:themeColor="text1"/>
          <w:lang w:val="es-ES" w:eastAsia="es-MX"/>
        </w:rPr>
        <w:t xml:space="preserve">iligenciamiento </w:t>
      </w:r>
      <w:r w:rsidR="00F44C82" w:rsidRPr="00403007">
        <w:rPr>
          <w:rFonts w:ascii="Arial" w:eastAsia="Calibri" w:hAnsi="Arial" w:cs="Arial"/>
          <w:color w:val="000000" w:themeColor="text1"/>
          <w:lang w:val="es-ES" w:eastAsia="es-MX"/>
        </w:rPr>
        <w:t xml:space="preserve">del </w:t>
      </w:r>
      <w:r w:rsidR="00147FD8" w:rsidRPr="00403007">
        <w:rPr>
          <w:rFonts w:ascii="Arial" w:eastAsia="Calibri" w:hAnsi="Arial" w:cs="Arial"/>
          <w:color w:val="000000" w:themeColor="text1"/>
          <w:lang w:val="es-ES" w:eastAsia="es-MX"/>
        </w:rPr>
        <w:t xml:space="preserve">formato 12 de incentivos para empresas y emprendimientos de mujeres y </w:t>
      </w:r>
      <w:r w:rsidR="00F44C82" w:rsidRPr="00403007">
        <w:rPr>
          <w:rFonts w:ascii="Arial" w:eastAsia="Calibri" w:hAnsi="Arial" w:cs="Arial"/>
          <w:color w:val="000000" w:themeColor="text1"/>
          <w:lang w:val="es-ES" w:eastAsia="es-MX"/>
        </w:rPr>
        <w:t xml:space="preserve">el </w:t>
      </w:r>
      <w:r w:rsidR="00147FD8" w:rsidRPr="00403007">
        <w:rPr>
          <w:rFonts w:ascii="Arial" w:eastAsia="Calibri" w:hAnsi="Arial" w:cs="Arial"/>
          <w:color w:val="000000" w:themeColor="text1"/>
          <w:lang w:val="es-ES" w:eastAsia="es-MX"/>
        </w:rPr>
        <w:t>formato</w:t>
      </w:r>
      <w:r w:rsidR="00F44C82" w:rsidRPr="00403007">
        <w:rPr>
          <w:rFonts w:ascii="Arial" w:eastAsia="Calibri" w:hAnsi="Arial" w:cs="Arial"/>
          <w:color w:val="000000" w:themeColor="text1"/>
          <w:lang w:val="es-ES" w:eastAsia="es-MX"/>
        </w:rPr>
        <w:t xml:space="preserve"> </w:t>
      </w:r>
      <w:r w:rsidR="00147FD8" w:rsidRPr="00403007">
        <w:rPr>
          <w:rFonts w:ascii="Arial" w:eastAsia="Calibri" w:hAnsi="Arial" w:cs="Arial"/>
          <w:color w:val="000000" w:themeColor="text1"/>
          <w:lang w:val="es-ES" w:eastAsia="es-MX"/>
        </w:rPr>
        <w:t>13</w:t>
      </w:r>
      <w:r w:rsidR="00F44C82" w:rsidRPr="00403007">
        <w:rPr>
          <w:rFonts w:ascii="Arial" w:eastAsia="Calibri" w:hAnsi="Arial" w:cs="Arial"/>
          <w:color w:val="000000" w:themeColor="text1"/>
          <w:lang w:val="es-ES" w:eastAsia="es-MX"/>
        </w:rPr>
        <w:t xml:space="preserve"> de acreditación de MiPyme de los documentos tipo adoptados por la Agencia; y, </w:t>
      </w:r>
      <w:proofErr w:type="spellStart"/>
      <w:r w:rsidR="00F44C82" w:rsidRPr="00403007">
        <w:rPr>
          <w:rFonts w:ascii="Arial" w:eastAsia="Calibri" w:hAnsi="Arial" w:cs="Arial"/>
          <w:color w:val="000000" w:themeColor="text1"/>
          <w:lang w:val="es-ES" w:eastAsia="es-MX"/>
        </w:rPr>
        <w:t>iv</w:t>
      </w:r>
      <w:proofErr w:type="spellEnd"/>
      <w:r w:rsidR="00F44C82" w:rsidRPr="00403007">
        <w:rPr>
          <w:rFonts w:ascii="Arial" w:eastAsia="Calibri" w:hAnsi="Arial" w:cs="Arial"/>
          <w:color w:val="000000" w:themeColor="text1"/>
          <w:lang w:val="es-ES" w:eastAsia="es-MX"/>
        </w:rPr>
        <w:t xml:space="preserve">) subsanabilidad </w:t>
      </w:r>
      <w:r w:rsidR="00B831AF" w:rsidRPr="00403007">
        <w:rPr>
          <w:rFonts w:ascii="Arial" w:eastAsia="Calibri" w:hAnsi="Arial" w:cs="Arial"/>
          <w:color w:val="000000" w:themeColor="text1"/>
          <w:lang w:val="es-ES" w:eastAsia="es-MX"/>
        </w:rPr>
        <w:t>de las ofertas.</w:t>
      </w:r>
    </w:p>
    <w:p w14:paraId="2ACD03C2" w14:textId="75C40463" w:rsidR="00BC0C79" w:rsidRPr="00403007" w:rsidRDefault="000469D3" w:rsidP="007671C1">
      <w:pPr>
        <w:spacing w:line="276" w:lineRule="auto"/>
        <w:ind w:firstLine="708"/>
        <w:jc w:val="both"/>
        <w:rPr>
          <w:rFonts w:ascii="Arial" w:eastAsia="Calibri" w:hAnsi="Arial" w:cs="Arial"/>
        </w:rPr>
      </w:pPr>
      <w:r w:rsidRPr="00403007">
        <w:rPr>
          <w:rFonts w:ascii="Arial" w:eastAsia="Calibri" w:hAnsi="Arial" w:cs="Arial"/>
          <w:color w:val="000000" w:themeColor="text1"/>
          <w:lang w:val="es-ES"/>
        </w:rPr>
        <w:t xml:space="preserve">Sobre la </w:t>
      </w:r>
      <w:r w:rsidRPr="00403007">
        <w:rPr>
          <w:rFonts w:ascii="Arial" w:hAnsi="Arial" w:cs="Arial"/>
          <w:color w:val="000000" w:themeColor="text1"/>
          <w:lang w:val="es-ES_tradnl"/>
        </w:rPr>
        <w:t>acreditación de experiencia de socios por parte de sociedades con menos de tres años de constitución</w:t>
      </w:r>
      <w:r w:rsidR="007357FA" w:rsidRPr="00403007">
        <w:rPr>
          <w:rFonts w:ascii="Arial" w:hAnsi="Arial" w:cs="Arial"/>
          <w:color w:val="000000" w:themeColor="text1"/>
          <w:lang w:val="es-ES_tradnl"/>
        </w:rPr>
        <w:t>, l</w:t>
      </w:r>
      <w:r w:rsidR="007671C1" w:rsidRPr="00403007">
        <w:rPr>
          <w:rFonts w:ascii="Arial" w:hAnsi="Arial" w:cs="Arial"/>
        </w:rPr>
        <w:t xml:space="preserve">a </w:t>
      </w:r>
      <w:r w:rsidR="007671C1" w:rsidRPr="00403007">
        <w:rPr>
          <w:rFonts w:ascii="Arial" w:eastAsia="Calibri" w:hAnsi="Arial" w:cs="Arial"/>
        </w:rPr>
        <w:t xml:space="preserve">Agencia Nacional de Contratación Pública ― Colombia Compra Eficiente se ha pronunciado </w:t>
      </w:r>
      <w:r w:rsidR="00CD08E0" w:rsidRPr="00403007">
        <w:rPr>
          <w:rFonts w:ascii="Arial" w:eastAsia="Calibri" w:hAnsi="Arial" w:cs="Arial"/>
          <w:color w:val="000000" w:themeColor="text1"/>
          <w:lang w:val="es-ES"/>
        </w:rPr>
        <w:t xml:space="preserve">en los Conceptos 4201913000006797 del 19 de noviembre de 2019, </w:t>
      </w:r>
      <w:r w:rsidR="00CD08E0" w:rsidRPr="00403007">
        <w:rPr>
          <w:rFonts w:ascii="Arial" w:eastAsia="Calibri" w:hAnsi="Arial" w:cs="Arial"/>
          <w:color w:val="000000" w:themeColor="text1"/>
          <w:lang w:val="es-MX"/>
        </w:rPr>
        <w:t xml:space="preserve">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del 11 de diciembre de 2020, C-008 del 15 de febrero de 2021, C-103 del 24 de marzo de 2021, C-230 del 25 de mayo de 2021, C-316 del 29 de junio de 2021, C-318 del 29 de junio de 2021, C-474 del 6 de septiembre de 2021, C-589 </w:t>
      </w:r>
      <w:r w:rsidR="00CD08E0" w:rsidRPr="00403007">
        <w:rPr>
          <w:rFonts w:ascii="Arial" w:eastAsia="Calibri" w:hAnsi="Arial" w:cs="Arial"/>
          <w:color w:val="000000" w:themeColor="text1"/>
          <w:lang w:val="es-MX"/>
        </w:rPr>
        <w:lastRenderedPageBreak/>
        <w:t>del 19 de octubre de 2021, C-608 del 29 de octubre de 2021, C-696 del 31 de diciembre de 2021,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w:t>
      </w:r>
      <w:r w:rsidR="00CD08E0" w:rsidRPr="00403007">
        <w:rPr>
          <w:rFonts w:ascii="Arial" w:eastAsia="Calibri" w:hAnsi="Arial" w:cs="Arial"/>
          <w:color w:val="000000" w:themeColor="text1"/>
          <w:lang w:val="es-ES"/>
        </w:rPr>
        <w:t>, C-128 del 18 de mayo de 2023</w:t>
      </w:r>
      <w:r w:rsidR="007357FA" w:rsidRPr="00403007">
        <w:rPr>
          <w:rFonts w:ascii="Arial" w:eastAsia="Calibri" w:hAnsi="Arial" w:cs="Arial"/>
          <w:color w:val="000000" w:themeColor="text1"/>
          <w:lang w:val="es-ES"/>
        </w:rPr>
        <w:t xml:space="preserve"> y C-146 de</w:t>
      </w:r>
      <w:r w:rsidR="00C15C33" w:rsidRPr="00403007">
        <w:rPr>
          <w:rFonts w:ascii="Arial" w:eastAsia="Calibri" w:hAnsi="Arial" w:cs="Arial"/>
          <w:color w:val="000000" w:themeColor="text1"/>
          <w:lang w:val="es-ES"/>
        </w:rPr>
        <w:t xml:space="preserve"> 13 de junio de 2023</w:t>
      </w:r>
      <w:r w:rsidR="00CD08E0" w:rsidRPr="00403007">
        <w:rPr>
          <w:rFonts w:ascii="Arial" w:eastAsia="Calibri" w:hAnsi="Arial" w:cs="Arial"/>
          <w:color w:val="000000" w:themeColor="text1"/>
          <w:lang w:val="es-ES"/>
        </w:rPr>
        <w:t>, entre otros</w:t>
      </w:r>
      <w:r w:rsidR="007671C1" w:rsidRPr="00403007">
        <w:rPr>
          <w:rStyle w:val="Refdenotaalpie"/>
          <w:rFonts w:ascii="Arial" w:eastAsia="Calibri" w:hAnsi="Arial" w:cs="Arial"/>
        </w:rPr>
        <w:footnoteReference w:id="3"/>
      </w:r>
      <w:r w:rsidR="007671C1" w:rsidRPr="00403007">
        <w:rPr>
          <w:rFonts w:ascii="Arial" w:eastAsia="Calibri" w:hAnsi="Arial" w:cs="Arial"/>
        </w:rPr>
        <w:t xml:space="preserve">. </w:t>
      </w:r>
    </w:p>
    <w:p w14:paraId="4EFD1702" w14:textId="4C3AE02E" w:rsidR="00BC0C79" w:rsidRPr="00403007" w:rsidRDefault="00C15C33" w:rsidP="00BC0C79">
      <w:pPr>
        <w:spacing w:before="120" w:after="0" w:line="276" w:lineRule="auto"/>
        <w:ind w:firstLine="709"/>
        <w:jc w:val="both"/>
        <w:rPr>
          <w:rFonts w:ascii="Arial" w:hAnsi="Arial" w:cs="Arial"/>
          <w:color w:val="000000"/>
          <w:bdr w:val="none" w:sz="0" w:space="0" w:color="auto" w:frame="1"/>
        </w:rPr>
      </w:pPr>
      <w:r w:rsidRPr="00403007">
        <w:rPr>
          <w:rFonts w:ascii="Arial" w:hAnsi="Arial" w:cs="Arial"/>
          <w:lang w:val="es-MX"/>
        </w:rPr>
        <w:t>Por su parte, sobre la forma de establecer y acreditar la experiencia exigible en procesos de contratación adelantados con documentos tipo</w:t>
      </w:r>
      <w:r w:rsidR="000C6848" w:rsidRPr="00403007">
        <w:rPr>
          <w:rFonts w:ascii="Arial" w:hAnsi="Arial" w:cs="Arial"/>
          <w:color w:val="000000"/>
          <w:bdr w:val="none" w:sz="0" w:space="0" w:color="auto" w:frame="1"/>
        </w:rPr>
        <w:t xml:space="preserve"> la Agencia ha emitido los siguientes </w:t>
      </w:r>
      <w:proofErr w:type="spellStart"/>
      <w:r w:rsidR="00AB5BE2" w:rsidRPr="00403007">
        <w:rPr>
          <w:rFonts w:ascii="Arial" w:hAnsi="Arial" w:cs="Arial"/>
          <w:color w:val="000000"/>
          <w:bdr w:val="none" w:sz="0" w:space="0" w:color="auto" w:frame="1"/>
        </w:rPr>
        <w:t>concpetos</w:t>
      </w:r>
      <w:proofErr w:type="spellEnd"/>
      <w:r w:rsidR="000C6848" w:rsidRPr="00403007">
        <w:rPr>
          <w:rFonts w:ascii="Arial" w:hAnsi="Arial" w:cs="Arial"/>
          <w:lang w:val="es-MX"/>
        </w:rPr>
        <w:t>:</w:t>
      </w:r>
      <w:r w:rsidR="00BC0C79" w:rsidRPr="00403007">
        <w:rPr>
          <w:rFonts w:ascii="Arial" w:hAnsi="Arial" w:cs="Arial"/>
          <w:lang w:val="es-MX"/>
        </w:rPr>
        <w:t xml:space="preserve">  </w:t>
      </w:r>
      <w:r w:rsidR="00BC0C79" w:rsidRPr="00403007">
        <w:rPr>
          <w:rFonts w:ascii="Arial" w:hAnsi="Arial" w:cs="Arial"/>
          <w:color w:val="000000"/>
          <w:bdr w:val="none" w:sz="0" w:space="0" w:color="auto" w:frame="1"/>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y C-637 del 27 de septiembre de 2022</w:t>
      </w:r>
      <w:r w:rsidR="000C6848" w:rsidRPr="00403007">
        <w:rPr>
          <w:rFonts w:ascii="Arial" w:hAnsi="Arial" w:cs="Arial"/>
          <w:color w:val="000000"/>
          <w:bdr w:val="none" w:sz="0" w:space="0" w:color="auto" w:frame="1"/>
        </w:rPr>
        <w:t>.</w:t>
      </w:r>
    </w:p>
    <w:p w14:paraId="64C74B0F" w14:textId="1AF7EC0E" w:rsidR="003243E5" w:rsidRPr="00403007" w:rsidRDefault="000C6848" w:rsidP="003243E5">
      <w:pPr>
        <w:spacing w:before="120" w:after="0" w:line="276" w:lineRule="auto"/>
        <w:ind w:firstLine="709"/>
        <w:jc w:val="both"/>
        <w:rPr>
          <w:rFonts w:ascii="Arial" w:eastAsia="Calibri" w:hAnsi="Arial" w:cs="Arial"/>
          <w:color w:val="000000" w:themeColor="text1"/>
          <w:lang w:val="es-ES"/>
        </w:rPr>
      </w:pPr>
      <w:r w:rsidRPr="00403007">
        <w:rPr>
          <w:rFonts w:ascii="Arial" w:hAnsi="Arial" w:cs="Arial"/>
          <w:color w:val="000000"/>
          <w:bdr w:val="none" w:sz="0" w:space="0" w:color="auto" w:frame="1"/>
        </w:rPr>
        <w:t>Asimismo</w:t>
      </w:r>
      <w:r w:rsidR="003243E5" w:rsidRPr="00403007">
        <w:rPr>
          <w:rFonts w:ascii="Arial" w:hAnsi="Arial" w:cs="Arial"/>
          <w:color w:val="000000"/>
          <w:bdr w:val="none" w:sz="0" w:space="0" w:color="auto" w:frame="1"/>
        </w:rPr>
        <w:t xml:space="preserve">, </w:t>
      </w:r>
      <w:r w:rsidR="003243E5" w:rsidRPr="00403007">
        <w:rPr>
          <w:rFonts w:ascii="Arial" w:eastAsia="Calibri" w:hAnsi="Arial" w:cs="Arial"/>
          <w:lang w:val="es-ES_tradnl" w:eastAsia="es-ES_tradnl"/>
        </w:rPr>
        <w:t xml:space="preserve">se ha pronunciado sobre lo dispuesto en el artículo 32 de la Ley de Emprendimiento, alusivo a los criterios diferenciales para emprendimientos y empresas de mujeres, en los Conceptos </w:t>
      </w:r>
      <w:r w:rsidR="003243E5" w:rsidRPr="00403007">
        <w:rPr>
          <w:rFonts w:ascii="Arial" w:eastAsia="Times New Roman" w:hAnsi="Arial" w:cs="Arial"/>
          <w:shd w:val="clear" w:color="auto" w:fill="FFFFFF"/>
          <w:lang w:eastAsia="es-ES_tradnl"/>
        </w:rPr>
        <w:t xml:space="preserve">C-029 de 21 de febrero de 2021, C-037 del 26 de febrero de 2021, C-141 del 8 de abril de 2021, C-114 del 13 de abril de 2015, C-031 del 1 de marzo de 2022, C-217 del 21 de abril de 2022, C-476 del 21 de junio de 2022, C-429 del 18 de julio de 2022, </w:t>
      </w:r>
      <w:r w:rsidR="003243E5" w:rsidRPr="00403007">
        <w:rPr>
          <w:rFonts w:ascii="Arial" w:hAnsi="Arial" w:cs="Arial"/>
          <w:shd w:val="clear" w:color="auto" w:fill="FFFFFF"/>
        </w:rPr>
        <w:t>C-438 del 11 de julio de 2022, C-454 del 13 de julio de 2022, C-476 del 21 de junio de 2022, C-479 del 26 de julio de 2022, C-504 del 8 de agosto de 2022, C-509 de 8 de agosto de 2022, C-522 del 16 de agosto de 2022, C-533 de 25 de agosto de 2022, C-</w:t>
      </w:r>
      <w:r w:rsidR="003243E5" w:rsidRPr="00403007">
        <w:rPr>
          <w:rFonts w:ascii="Arial" w:hAnsi="Arial" w:cs="Arial"/>
          <w:shd w:val="clear" w:color="auto" w:fill="FFFFFF"/>
        </w:rPr>
        <w:lastRenderedPageBreak/>
        <w:t>587 del 21 de septiembre de 2022, C-650 de 6 de octubre de 2022, C-698 de 24 de octubre de 2022, C-715 del 4 de noviembre de 2022, C-752 del 21 de diciembre de 2022, C-048 del 12 de abril de 2023 y C-058 del 10 de mayo de 2023.</w:t>
      </w:r>
    </w:p>
    <w:p w14:paraId="53889AB6" w14:textId="346A568D" w:rsidR="007671C1" w:rsidRPr="00403007" w:rsidRDefault="00195314" w:rsidP="00BF0DB4">
      <w:pPr>
        <w:spacing w:before="120" w:line="276" w:lineRule="auto"/>
        <w:ind w:firstLine="708"/>
        <w:jc w:val="both"/>
        <w:rPr>
          <w:rFonts w:ascii="Arial" w:hAnsi="Arial" w:cs="Arial"/>
          <w:color w:val="000000" w:themeColor="text1"/>
          <w:lang w:val="es-ES"/>
        </w:rPr>
      </w:pPr>
      <w:r w:rsidRPr="00403007">
        <w:rPr>
          <w:rFonts w:ascii="Arial" w:eastAsia="Calibri" w:hAnsi="Arial" w:cs="Arial"/>
          <w:lang w:val="es-ES"/>
        </w:rPr>
        <w:t xml:space="preserve">Finalmente, </w:t>
      </w:r>
      <w:r w:rsidR="00007572" w:rsidRPr="00403007">
        <w:rPr>
          <w:rFonts w:ascii="Arial" w:eastAsia="Times New Roman" w:hAnsi="Arial" w:cs="Arial"/>
          <w:lang w:eastAsia="es-CO"/>
        </w:rPr>
        <w:t>sobre</w:t>
      </w:r>
      <w:r w:rsidRPr="00403007">
        <w:rPr>
          <w:rFonts w:ascii="Arial" w:hAnsi="Arial" w:cs="Arial"/>
          <w:lang w:val="es-ES_tradnl"/>
        </w:rPr>
        <w:t xml:space="preserve"> la regla de subsanabilidad de la oferta</w:t>
      </w:r>
      <w:r w:rsidR="00007572" w:rsidRPr="00403007">
        <w:rPr>
          <w:rFonts w:ascii="Arial" w:hAnsi="Arial" w:cs="Arial"/>
          <w:lang w:val="es-ES_tradnl"/>
        </w:rPr>
        <w:t xml:space="preserve"> esta entidad unificó</w:t>
      </w:r>
      <w:r w:rsidRPr="00403007">
        <w:rPr>
          <w:rFonts w:ascii="Arial" w:hAnsi="Arial" w:cs="Arial"/>
          <w:lang w:val="es-ES_tradnl"/>
        </w:rPr>
        <w:t xml:space="preserve"> </w:t>
      </w:r>
      <w:r w:rsidRPr="00403007">
        <w:rPr>
          <w:rFonts w:ascii="Arial" w:hAnsi="Arial" w:cs="Arial"/>
        </w:rPr>
        <w:t xml:space="preserve">concepto CU — 060 de 16 de enero de 2020, </w:t>
      </w:r>
      <w:r w:rsidR="008B40D4" w:rsidRPr="00403007">
        <w:rPr>
          <w:rFonts w:ascii="Arial" w:hAnsi="Arial" w:cs="Arial"/>
        </w:rPr>
        <w:t xml:space="preserve">posición que ha sido </w:t>
      </w:r>
      <w:r w:rsidRPr="00403007">
        <w:rPr>
          <w:rFonts w:ascii="Arial" w:hAnsi="Arial" w:cs="Arial"/>
        </w:rPr>
        <w:t>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w:t>
      </w:r>
      <w:r w:rsidR="005602F1" w:rsidRPr="00403007">
        <w:rPr>
          <w:rFonts w:ascii="Arial" w:hAnsi="Arial" w:cs="Arial"/>
        </w:rPr>
        <w:t xml:space="preserve">, </w:t>
      </w:r>
      <w:r w:rsidRPr="00403007">
        <w:rPr>
          <w:rFonts w:ascii="Arial" w:hAnsi="Arial" w:cs="Arial"/>
        </w:rPr>
        <w:t>C-681 de 19 de octubre de 2022</w:t>
      </w:r>
      <w:r w:rsidR="005602F1" w:rsidRPr="00403007">
        <w:rPr>
          <w:rFonts w:ascii="Arial" w:hAnsi="Arial" w:cs="Arial"/>
        </w:rPr>
        <w:t xml:space="preserve"> y C-216 de 6 de junio de 2023</w:t>
      </w:r>
      <w:r w:rsidR="008B40D4" w:rsidRPr="00403007">
        <w:rPr>
          <w:rFonts w:ascii="Arial" w:hAnsi="Arial" w:cs="Arial"/>
        </w:rPr>
        <w:t>, entre otros</w:t>
      </w:r>
      <w:r w:rsidRPr="00403007">
        <w:rPr>
          <w:rFonts w:ascii="Arial" w:hAnsi="Arial" w:cs="Arial"/>
        </w:rPr>
        <w:t>.</w:t>
      </w:r>
      <w:r w:rsidR="007671C1" w:rsidRPr="00403007">
        <w:rPr>
          <w:rFonts w:ascii="Arial" w:hAnsi="Arial" w:cs="Arial"/>
          <w:color w:val="000000" w:themeColor="text1"/>
          <w:lang w:val="es-ES"/>
        </w:rPr>
        <w:t xml:space="preserve">La tesis propuesta </w:t>
      </w:r>
      <w:r w:rsidR="008B40D4" w:rsidRPr="00403007">
        <w:rPr>
          <w:rFonts w:ascii="Arial" w:hAnsi="Arial" w:cs="Arial"/>
          <w:color w:val="000000" w:themeColor="text1"/>
          <w:lang w:val="es-ES"/>
        </w:rPr>
        <w:t>en estos conceptos</w:t>
      </w:r>
      <w:r w:rsidR="007671C1" w:rsidRPr="00403007">
        <w:rPr>
          <w:rFonts w:ascii="Arial" w:hAnsi="Arial" w:cs="Arial"/>
          <w:color w:val="000000" w:themeColor="text1"/>
          <w:lang w:val="es-ES"/>
        </w:rPr>
        <w:t xml:space="preserve"> expone a continuación</w:t>
      </w:r>
      <w:r w:rsidR="008B40D4" w:rsidRPr="00403007">
        <w:rPr>
          <w:rFonts w:ascii="Arial" w:hAnsi="Arial" w:cs="Arial"/>
          <w:color w:val="000000" w:themeColor="text1"/>
          <w:lang w:val="es-ES"/>
        </w:rPr>
        <w:t xml:space="preserve"> y se complementa en lo pertinente</w:t>
      </w:r>
      <w:r w:rsidR="007671C1" w:rsidRPr="00403007">
        <w:rPr>
          <w:rFonts w:ascii="Arial" w:hAnsi="Arial" w:cs="Arial"/>
          <w:color w:val="000000" w:themeColor="text1"/>
          <w:lang w:val="es-ES"/>
        </w:rPr>
        <w:t>:</w:t>
      </w:r>
    </w:p>
    <w:p w14:paraId="47486806" w14:textId="7F918AEE" w:rsidR="007671C1" w:rsidRPr="00403007" w:rsidRDefault="00626B92" w:rsidP="00626B92">
      <w:pPr>
        <w:pStyle w:val="Sinespaciado"/>
        <w:numPr>
          <w:ilvl w:val="1"/>
          <w:numId w:val="6"/>
        </w:numPr>
        <w:spacing w:line="276" w:lineRule="auto"/>
        <w:jc w:val="both"/>
        <w:rPr>
          <w:rFonts w:ascii="Arial" w:hAnsi="Arial" w:cs="Arial"/>
          <w:b/>
          <w:color w:val="000000" w:themeColor="text1"/>
          <w:sz w:val="22"/>
        </w:rPr>
      </w:pPr>
      <w:r w:rsidRPr="00403007">
        <w:rPr>
          <w:rFonts w:ascii="Arial" w:eastAsia="Calibri" w:hAnsi="Arial" w:cs="Arial"/>
          <w:b/>
          <w:color w:val="000000" w:themeColor="text1"/>
          <w:lang w:val="es-ES" w:eastAsia="es-MX"/>
        </w:rPr>
        <w:t>A</w:t>
      </w:r>
      <w:r w:rsidR="00FA3612" w:rsidRPr="00403007">
        <w:rPr>
          <w:rFonts w:ascii="Arial" w:eastAsia="Calibri" w:hAnsi="Arial" w:cs="Arial"/>
          <w:b/>
          <w:color w:val="000000" w:themeColor="text1"/>
          <w:lang w:val="es-ES" w:eastAsia="es-MX"/>
        </w:rPr>
        <w:t>proximación general al concepto de experiencia en la contratación pública</w:t>
      </w:r>
    </w:p>
    <w:p w14:paraId="52E4990C" w14:textId="77777777" w:rsidR="00005F51" w:rsidRPr="00403007" w:rsidRDefault="00005F51" w:rsidP="00E005E6">
      <w:pPr>
        <w:spacing w:line="276" w:lineRule="auto"/>
        <w:jc w:val="both"/>
        <w:rPr>
          <w:rFonts w:ascii="Arial" w:eastAsia="Calibri" w:hAnsi="Arial" w:cs="Arial"/>
        </w:rPr>
      </w:pPr>
    </w:p>
    <w:p w14:paraId="610639B6" w14:textId="54D03741" w:rsidR="002629A8" w:rsidRPr="00403007" w:rsidRDefault="002629A8" w:rsidP="00E005E6">
      <w:pPr>
        <w:spacing w:line="276" w:lineRule="auto"/>
        <w:jc w:val="both"/>
        <w:rPr>
          <w:rFonts w:ascii="Arial" w:eastAsia="Calibri" w:hAnsi="Arial" w:cs="Arial"/>
        </w:rPr>
      </w:pPr>
      <w:r w:rsidRPr="00403007">
        <w:rPr>
          <w:rFonts w:ascii="Arial" w:eastAsia="Calibri" w:hAnsi="Arial" w:cs="Arial"/>
        </w:rPr>
        <w:t>El artículo 5 de la Ley 1150 de 2007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403007">
        <w:rPr>
          <w:rStyle w:val="Refdenotaalpie"/>
          <w:rFonts w:ascii="Arial" w:eastAsia="Calibri" w:hAnsi="Arial" w:cs="Arial"/>
        </w:rPr>
        <w:footnoteReference w:id="4"/>
      </w:r>
      <w:r w:rsidRPr="00403007">
        <w:rPr>
          <w:rFonts w:ascii="Arial" w:eastAsia="Calibri" w:hAnsi="Arial" w:cs="Arial"/>
        </w:rPr>
        <w:t xml:space="preserve">. Con los matices requeridos para la aplicación de los documentos tipo, la entidad, como responsable de la estructuración </w:t>
      </w:r>
      <w:r w:rsidRPr="00403007">
        <w:rPr>
          <w:rFonts w:ascii="Arial" w:eastAsia="Calibri" w:hAnsi="Arial" w:cs="Arial"/>
        </w:rPr>
        <w:lastRenderedPageBreak/>
        <w:t>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403007">
        <w:rPr>
          <w:rStyle w:val="Refdenotaalpie"/>
          <w:rFonts w:ascii="Arial" w:eastAsia="Calibri" w:hAnsi="Arial" w:cs="Arial"/>
        </w:rPr>
        <w:footnoteReference w:id="5"/>
      </w:r>
      <w:r w:rsidRPr="00403007">
        <w:rPr>
          <w:rFonts w:ascii="Arial" w:eastAsia="Calibri" w:hAnsi="Arial" w:cs="Arial"/>
        </w:rPr>
        <w:t>.</w:t>
      </w:r>
    </w:p>
    <w:p w14:paraId="46E0F314" w14:textId="77777777" w:rsidR="002629A8" w:rsidRPr="00403007" w:rsidRDefault="002629A8" w:rsidP="00E005E6">
      <w:pPr>
        <w:spacing w:before="120" w:after="120" w:line="276" w:lineRule="auto"/>
        <w:ind w:firstLine="708"/>
        <w:jc w:val="both"/>
        <w:rPr>
          <w:rFonts w:ascii="Arial" w:eastAsia="Calibri" w:hAnsi="Arial" w:cs="Arial"/>
        </w:rPr>
      </w:pPr>
      <w:r w:rsidRPr="00403007">
        <w:rPr>
          <w:rFonts w:ascii="Arial" w:eastAsia="Calibri" w:hAnsi="Arial" w:cs="Arial"/>
        </w:rPr>
        <w:t>La experiencia que se deriva de los contratos que el proponente ha celebrado y ejecutado con diferentes contratantes, sin importar la naturaleza de estos, se verifica con el Registro Único de Proponentes –RUP–</w:t>
      </w:r>
      <w:r w:rsidRPr="00403007">
        <w:rPr>
          <w:rStyle w:val="Refdenotaalpie"/>
          <w:rFonts w:ascii="Arial" w:eastAsia="Calibri" w:hAnsi="Arial" w:cs="Arial"/>
        </w:rPr>
        <w:footnoteReference w:id="6"/>
      </w:r>
      <w:r w:rsidRPr="00403007">
        <w:rPr>
          <w:rFonts w:ascii="Arial" w:eastAsia="Calibri" w:hAnsi="Arial" w:cs="Arial"/>
        </w:rPr>
        <w:t>, cuando este certificado sea exigible de acuerdo con la ley, en el cual constan los requisitos habilitantes que se evalúan exclusivamente con este documento, que es plena prueba, sin que la entidad o el proponente puedan solicitar o aportar otra documentación</w:t>
      </w:r>
      <w:r w:rsidRPr="00403007">
        <w:rPr>
          <w:rStyle w:val="Refdenotaalpie"/>
          <w:rFonts w:ascii="Arial" w:eastAsia="Calibri" w:hAnsi="Arial" w:cs="Arial"/>
        </w:rPr>
        <w:footnoteReference w:id="7"/>
      </w:r>
      <w:r w:rsidRPr="00403007">
        <w:rPr>
          <w:rFonts w:ascii="Arial" w:eastAsia="Calibri" w:hAnsi="Arial" w:cs="Arial"/>
        </w:rPr>
        <w:t>.</w:t>
      </w:r>
    </w:p>
    <w:p w14:paraId="3EDA2713" w14:textId="77777777" w:rsidR="002629A8" w:rsidRPr="00403007" w:rsidRDefault="002629A8" w:rsidP="00B06E3A">
      <w:pPr>
        <w:pStyle w:val="Prrafodelista"/>
        <w:spacing w:line="276" w:lineRule="auto"/>
        <w:ind w:left="0" w:firstLine="708"/>
        <w:jc w:val="both"/>
        <w:rPr>
          <w:rFonts w:ascii="Arial" w:eastAsia="Calibri" w:hAnsi="Arial" w:cs="Arial"/>
        </w:rPr>
      </w:pPr>
      <w:r w:rsidRPr="00403007">
        <w:rPr>
          <w:rFonts w:ascii="Arial" w:eastAsia="Calibri" w:hAnsi="Arial" w:cs="Aria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403007">
        <w:rPr>
          <w:rStyle w:val="Refdenotaalpie"/>
          <w:rFonts w:ascii="Arial" w:eastAsia="Calibri" w:hAnsi="Arial" w:cs="Arial"/>
        </w:rPr>
        <w:footnoteReference w:id="8"/>
      </w:r>
      <w:r w:rsidRPr="00403007">
        <w:rPr>
          <w:rFonts w:ascii="Arial" w:eastAsia="Calibri" w:hAnsi="Arial" w:cs="Ari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5219D174" w14:textId="77777777" w:rsidR="002629A8" w:rsidRPr="00403007" w:rsidRDefault="002629A8" w:rsidP="00B06E3A">
      <w:pPr>
        <w:spacing w:line="276" w:lineRule="auto"/>
        <w:ind w:firstLine="708"/>
        <w:jc w:val="both"/>
        <w:rPr>
          <w:rFonts w:ascii="Arial" w:eastAsia="Calibri" w:hAnsi="Arial" w:cs="Arial"/>
        </w:rPr>
      </w:pPr>
      <w:r w:rsidRPr="00403007">
        <w:rPr>
          <w:rFonts w:ascii="Arial" w:eastAsia="Calibri" w:hAnsi="Arial" w:cs="Arial"/>
        </w:rPr>
        <w:t>Por lo demás, 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403007">
        <w:rPr>
          <w:rStyle w:val="Refdenotaalpie"/>
          <w:rFonts w:ascii="Arial" w:eastAsia="Calibri" w:hAnsi="Arial" w:cs="Arial"/>
        </w:rPr>
        <w:footnoteReference w:id="9"/>
      </w:r>
      <w:r w:rsidRPr="00403007">
        <w:rPr>
          <w:rFonts w:ascii="Arial" w:eastAsia="Calibri" w:hAnsi="Arial" w:cs="Arial"/>
        </w:rPr>
        <w:t>.</w:t>
      </w:r>
    </w:p>
    <w:p w14:paraId="438528E8" w14:textId="77777777" w:rsidR="002629A8" w:rsidRPr="00403007" w:rsidRDefault="002629A8" w:rsidP="00D9472A">
      <w:pPr>
        <w:spacing w:before="120" w:after="120" w:line="276" w:lineRule="auto"/>
        <w:ind w:firstLine="708"/>
        <w:jc w:val="both"/>
        <w:rPr>
          <w:rFonts w:ascii="Arial" w:eastAsia="Calibri" w:hAnsi="Arial" w:cs="Arial"/>
        </w:rPr>
      </w:pPr>
      <w:r w:rsidRPr="00403007">
        <w:rPr>
          <w:rFonts w:ascii="Arial" w:eastAsia="Calibri" w:hAnsi="Arial" w:cs="Arial"/>
        </w:rPr>
        <w:lastRenderedPageBreak/>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Finalmente, pueden extraerse cuatro (4) conclusiones relevantes para evaluar las figuras y reformas estatutarias de las sociedades comerciales, respecto de la experiencia: </w:t>
      </w:r>
    </w:p>
    <w:p w14:paraId="667F16FC" w14:textId="77777777" w:rsidR="002629A8" w:rsidRPr="00403007" w:rsidRDefault="002629A8" w:rsidP="00D9472A">
      <w:pPr>
        <w:spacing w:before="120" w:after="120" w:line="276" w:lineRule="auto"/>
        <w:ind w:firstLine="708"/>
        <w:jc w:val="both"/>
        <w:rPr>
          <w:rFonts w:ascii="Arial" w:eastAsia="Calibri" w:hAnsi="Arial" w:cs="Arial"/>
        </w:rPr>
      </w:pPr>
      <w:bookmarkStart w:id="2" w:name="_Hlk132125885"/>
      <w:r w:rsidRPr="00403007">
        <w:rPr>
          <w:rFonts w:ascii="Arial" w:eastAsia="Calibri" w:hAnsi="Arial" w:cs="Arial"/>
        </w:rPr>
        <w:t xml:space="preserve">i) La experiencia es </w:t>
      </w:r>
      <w:r w:rsidRPr="00403007">
        <w:rPr>
          <w:rFonts w:ascii="Arial" w:eastAsia="Calibri" w:hAnsi="Arial" w:cs="Arial"/>
          <w:i/>
        </w:rPr>
        <w:t>personal</w:t>
      </w:r>
      <w:r w:rsidRPr="00403007">
        <w:rPr>
          <w:rFonts w:ascii="Arial" w:eastAsia="Calibri" w:hAnsi="Arial" w:cs="Arial"/>
        </w:rPr>
        <w:t>, esto es, se adquiere participando, directa o indirectamente, sin que sea posible no hacerlo y tener experiencia.</w:t>
      </w:r>
    </w:p>
    <w:p w14:paraId="34A19F0F" w14:textId="77777777" w:rsidR="002629A8" w:rsidRPr="00403007" w:rsidRDefault="002629A8" w:rsidP="00D9472A">
      <w:pPr>
        <w:spacing w:before="120" w:after="120" w:line="276" w:lineRule="auto"/>
        <w:ind w:firstLine="708"/>
        <w:jc w:val="both"/>
        <w:rPr>
          <w:rFonts w:ascii="Arial" w:eastAsia="Calibri" w:hAnsi="Arial" w:cs="Arial"/>
          <w:lang w:val="es-MX"/>
        </w:rPr>
      </w:pPr>
      <w:r w:rsidRPr="00403007">
        <w:rPr>
          <w:rFonts w:ascii="Arial" w:eastAsia="Calibri" w:hAnsi="Arial" w:cs="Arial"/>
        </w:rPr>
        <w:t xml:space="preserve">ii) </w:t>
      </w:r>
      <w:r w:rsidRPr="00403007">
        <w:rPr>
          <w:rFonts w:ascii="Arial" w:eastAsia="Calibri" w:hAnsi="Arial" w:cs="Arial"/>
          <w:lang w:val="es-MX"/>
        </w:rPr>
        <w:t xml:space="preserve">La experiencia se puede </w:t>
      </w:r>
      <w:r w:rsidRPr="00403007">
        <w:rPr>
          <w:rFonts w:ascii="Arial" w:eastAsia="Calibri" w:hAnsi="Arial" w:cs="Arial"/>
          <w:i/>
          <w:lang w:val="es-MX"/>
        </w:rPr>
        <w:t>compartir</w:t>
      </w:r>
      <w:r w:rsidRPr="00403007">
        <w:rPr>
          <w:rFonts w:ascii="Arial" w:eastAsia="Calibri" w:hAnsi="Arial" w:cs="Arial"/>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403007">
        <w:rPr>
          <w:rFonts w:ascii="Arial" w:eastAsia="Calibri" w:hAnsi="Arial" w:cs="Arial"/>
          <w:lang w:val="es-MX"/>
        </w:rPr>
        <w:t xml:space="preserve">asociativas  </w:t>
      </w:r>
      <w:r w:rsidRPr="003D56E3">
        <w:rPr>
          <w:rFonts w:ascii="Arial" w:eastAsia="Calibri" w:hAnsi="Arial" w:cs="Arial"/>
          <w:lang w:val="es-MX"/>
        </w:rPr>
        <w:t>̶</w:t>
      </w:r>
      <w:proofErr w:type="gramEnd"/>
      <w:r w:rsidRPr="00403007">
        <w:rPr>
          <w:rFonts w:ascii="Arial" w:eastAsia="Calibri" w:hAnsi="Arial" w:cs="Arial"/>
          <w:lang w:val="es-MX"/>
        </w:rPr>
        <w:t xml:space="preserve"> consorcios y uniones temporales </w:t>
      </w:r>
      <w:r w:rsidRPr="003D56E3">
        <w:rPr>
          <w:rFonts w:ascii="Arial" w:eastAsia="Calibri" w:hAnsi="Arial" w:cs="Arial"/>
          <w:lang w:val="es-MX"/>
        </w:rPr>
        <w:t>̶</w:t>
      </w:r>
      <w:r w:rsidRPr="00403007">
        <w:rPr>
          <w:rFonts w:ascii="Arial" w:eastAsia="Calibri" w:hAnsi="Arial" w:cs="Arial"/>
          <w:lang w:val="es-MX"/>
        </w:rPr>
        <w:t xml:space="preserve">  que se verificará en el documento privado de constitución.</w:t>
      </w:r>
    </w:p>
    <w:p w14:paraId="375FD04D" w14:textId="77777777" w:rsidR="002629A8" w:rsidRPr="00403007" w:rsidRDefault="002629A8" w:rsidP="00D9472A">
      <w:pPr>
        <w:spacing w:before="120" w:after="120" w:line="276" w:lineRule="auto"/>
        <w:ind w:firstLine="708"/>
        <w:jc w:val="both"/>
        <w:rPr>
          <w:rFonts w:ascii="Arial" w:eastAsia="Calibri" w:hAnsi="Arial" w:cs="Arial"/>
        </w:rPr>
      </w:pPr>
      <w:r w:rsidRPr="00403007">
        <w:rPr>
          <w:rFonts w:ascii="Arial" w:eastAsia="Calibri" w:hAnsi="Arial" w:cs="Arial"/>
        </w:rPr>
        <w:t xml:space="preserve">iii) La experiencia se puede </w:t>
      </w:r>
      <w:r w:rsidRPr="00403007">
        <w:rPr>
          <w:rFonts w:ascii="Arial" w:eastAsia="Calibri" w:hAnsi="Arial" w:cs="Arial"/>
          <w:i/>
        </w:rPr>
        <w:t>transferir</w:t>
      </w:r>
      <w:r w:rsidRPr="00403007">
        <w:rPr>
          <w:rFonts w:ascii="Arial" w:eastAsia="Calibri" w:hAnsi="Arial" w:cs="Arial"/>
        </w:rPr>
        <w:t xml:space="preserve">, y esto es diferente a compartir, lo que implica que la experiencia de una persona se traslada a otra, y esta última acredita la experiencia </w:t>
      </w:r>
      <w:r w:rsidRPr="00403007">
        <w:rPr>
          <w:rFonts w:ascii="Arial" w:eastAsia="Calibri" w:hAnsi="Arial" w:cs="Arial"/>
        </w:rPr>
        <w:lastRenderedPageBreak/>
        <w:t>como propia, como sucede con algunas figuras y reformas estatutarias como la transformación, fusión o escisión.</w:t>
      </w:r>
    </w:p>
    <w:p w14:paraId="71C6E93E" w14:textId="77777777" w:rsidR="002629A8" w:rsidRPr="00403007" w:rsidRDefault="002629A8" w:rsidP="00D9472A">
      <w:pPr>
        <w:spacing w:line="276" w:lineRule="auto"/>
        <w:ind w:firstLine="708"/>
        <w:jc w:val="both"/>
        <w:rPr>
          <w:rFonts w:ascii="Arial" w:eastAsia="Calibri" w:hAnsi="Arial" w:cs="Arial"/>
        </w:rPr>
      </w:pPr>
      <w:proofErr w:type="spellStart"/>
      <w:r w:rsidRPr="00403007">
        <w:rPr>
          <w:rFonts w:ascii="Arial" w:eastAsia="Calibri" w:hAnsi="Arial" w:cs="Arial"/>
        </w:rPr>
        <w:t>iv</w:t>
      </w:r>
      <w:proofErr w:type="spellEnd"/>
      <w:r w:rsidRPr="00403007">
        <w:rPr>
          <w:rFonts w:ascii="Arial" w:eastAsia="Calibri" w:hAnsi="Arial" w:cs="Arial"/>
        </w:rPr>
        <w:t xml:space="preserve">) Solo es posible transferir o compartir la experiencia de una persona natural o jurídica a otra, en los casos señalados en los numerales anteriores, por lo cual no es posible que se acredite la experiencia adquirida por un </w:t>
      </w:r>
      <w:proofErr w:type="gramStart"/>
      <w:r w:rsidRPr="00403007">
        <w:rPr>
          <w:rFonts w:ascii="Arial" w:eastAsia="Calibri" w:hAnsi="Arial" w:cs="Arial"/>
        </w:rPr>
        <w:t xml:space="preserve">tercero  </w:t>
      </w:r>
      <w:r w:rsidRPr="003D56E3">
        <w:rPr>
          <w:rFonts w:ascii="Arial" w:eastAsia="Calibri" w:hAnsi="Arial" w:cs="Arial"/>
        </w:rPr>
        <w:t>̶</w:t>
      </w:r>
      <w:proofErr w:type="gramEnd"/>
      <w:r w:rsidRPr="00403007">
        <w:rPr>
          <w:rFonts w:ascii="Arial" w:eastAsia="Calibri" w:hAnsi="Arial" w:cs="Arial"/>
        </w:rPr>
        <w:t xml:space="preserve"> que es otra persona diferente a la principal </w:t>
      </w:r>
      <w:r w:rsidRPr="003D56E3">
        <w:rPr>
          <w:rFonts w:ascii="Arial" w:eastAsia="Calibri" w:hAnsi="Arial" w:cs="Arial"/>
        </w:rPr>
        <w:t>̶</w:t>
      </w:r>
      <w:r w:rsidRPr="00403007">
        <w:rPr>
          <w:rFonts w:ascii="Arial" w:eastAsia="Calibri" w:hAnsi="Arial" w:cs="Arial"/>
        </w:rPr>
        <w:t xml:space="preserve">  sin que se relacione con lo establecido, ya que la experiencia es personal, esto es, de quien la adquirió. Asimismo, cuando la persona que adquirió la experiencia </w:t>
      </w:r>
      <w:r w:rsidRPr="00403007">
        <w:rPr>
          <w:rFonts w:ascii="Arial" w:eastAsia="Calibri" w:hAnsi="Arial" w:cs="Arial"/>
          <w:i/>
        </w:rPr>
        <w:t>desaparece</w:t>
      </w:r>
      <w:r w:rsidRPr="00403007">
        <w:rPr>
          <w:rFonts w:ascii="Arial" w:eastAsia="Calibri" w:hAnsi="Arial" w:cs="Arial"/>
        </w:rPr>
        <w:t xml:space="preserve"> o se liquida no es posible que comparta o transfiera su experiencia, porque al ser personal sigue la suerte de quien la adquirió.</w:t>
      </w:r>
    </w:p>
    <w:bookmarkEnd w:id="2"/>
    <w:p w14:paraId="76EEF677" w14:textId="77777777" w:rsidR="002629A8" w:rsidRPr="00403007" w:rsidRDefault="002629A8" w:rsidP="00D9472A">
      <w:pPr>
        <w:spacing w:before="120" w:line="276" w:lineRule="auto"/>
        <w:ind w:firstLine="708"/>
        <w:jc w:val="both"/>
        <w:rPr>
          <w:rFonts w:ascii="Arial" w:eastAsia="Calibri" w:hAnsi="Arial" w:cs="Arial"/>
          <w:color w:val="000000" w:themeColor="text1"/>
        </w:rPr>
      </w:pPr>
      <w:r w:rsidRPr="00403007">
        <w:rPr>
          <w:rFonts w:ascii="Arial" w:eastAsia="Calibri" w:hAnsi="Arial" w:cs="Arial"/>
          <w:color w:val="000000" w:themeColor="text1"/>
        </w:rP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 anterior, salvo que se trate de objetos contractuales regidos por documentos tipo, evento en el cual las reglas relativas a la experiencia exigida y a la forma de acreditación están allí previstas.</w:t>
      </w:r>
    </w:p>
    <w:p w14:paraId="487238AD" w14:textId="77777777" w:rsidR="002629A8" w:rsidRPr="00403007" w:rsidRDefault="002629A8" w:rsidP="00D9472A">
      <w:pPr>
        <w:spacing w:before="120" w:after="120" w:line="276" w:lineRule="auto"/>
        <w:ind w:firstLine="708"/>
        <w:jc w:val="both"/>
        <w:rPr>
          <w:rFonts w:ascii="Arial" w:hAnsi="Arial" w:cs="Arial"/>
        </w:rPr>
      </w:pPr>
      <w:r w:rsidRPr="00403007">
        <w:rPr>
          <w:rFonts w:ascii="Arial" w:hAnsi="Arial" w:cs="Arial"/>
        </w:rPr>
        <w:t>Ahora, el RUP fue creado por el artículo 6 de la Ley 1150 de 2007 y constituye el medio idóneo para verificar las condiciones de los proponentes en procesos de contratación pública. Este registro, conforme a lo señalado por la Corte Constitucional</w:t>
      </w:r>
      <w:r w:rsidRPr="00403007">
        <w:rPr>
          <w:rFonts w:ascii="Arial" w:hAnsi="Arial" w:cs="Arial"/>
          <w:vertAlign w:val="superscript"/>
        </w:rPr>
        <w:footnoteReference w:id="10"/>
      </w:r>
      <w:r w:rsidRPr="00403007">
        <w:rPr>
          <w:rFonts w:ascii="Arial" w:hAnsi="Arial" w:cs="Arial"/>
        </w:rPr>
        <w:t>, es administrado por las Cámaras de Comercio y la actividad relacionada en el mismo está “</w:t>
      </w:r>
      <w:proofErr w:type="spellStart"/>
      <w:r w:rsidRPr="00403007">
        <w:rPr>
          <w:rFonts w:ascii="Arial" w:hAnsi="Arial" w:cs="Arial"/>
        </w:rPr>
        <w:t>sometid</w:t>
      </w:r>
      <w:proofErr w:type="spellEnd"/>
      <w:r w:rsidRPr="00403007">
        <w:rPr>
          <w:rFonts w:ascii="Arial" w:hAnsi="Arial" w:cs="Arial"/>
        </w:rPr>
        <w:t xml:space="preserve">[a] a los principios de la función administrativa y de contratación estatal”. 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60F53204" w14:textId="7DE280DA" w:rsidR="002629A8" w:rsidRPr="00403007" w:rsidRDefault="002629A8" w:rsidP="00D9472A">
      <w:pPr>
        <w:spacing w:before="120" w:after="120" w:line="276" w:lineRule="auto"/>
        <w:ind w:firstLine="708"/>
        <w:jc w:val="both"/>
        <w:rPr>
          <w:rFonts w:ascii="Arial" w:hAnsi="Arial" w:cs="Arial"/>
        </w:rPr>
      </w:pPr>
      <w:r w:rsidRPr="00403007">
        <w:rPr>
          <w:rFonts w:ascii="Arial" w:hAnsi="Arial" w:cs="Arial"/>
        </w:rPr>
        <w:t xml:space="preserve">La norma impuso la obligación a todos los proponentes de inscribirse en el </w:t>
      </w:r>
      <w:r w:rsidR="00B63053" w:rsidRPr="00403007">
        <w:rPr>
          <w:rFonts w:ascii="Arial" w:hAnsi="Arial" w:cs="Arial"/>
        </w:rPr>
        <w:t>Registro Único de Proponentes</w:t>
      </w:r>
      <w:r w:rsidRPr="00403007">
        <w:rPr>
          <w:rFonts w:ascii="Arial" w:hAnsi="Arial" w:cs="Arial"/>
        </w:rPr>
        <w:t xml:space="preserve">,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398CB63E" w14:textId="113E6854" w:rsidR="002629A8" w:rsidRPr="00403007" w:rsidRDefault="002629A8" w:rsidP="00D9472A">
      <w:pPr>
        <w:spacing w:before="120" w:after="120" w:line="276" w:lineRule="auto"/>
        <w:ind w:firstLine="708"/>
        <w:jc w:val="both"/>
        <w:rPr>
          <w:rFonts w:ascii="Arial" w:hAnsi="Arial" w:cs="Arial"/>
        </w:rPr>
      </w:pPr>
      <w:r w:rsidRPr="00403007">
        <w:rPr>
          <w:rFonts w:ascii="Arial" w:hAnsi="Arial" w:cs="Arial"/>
        </w:rPr>
        <w:lastRenderedPageBreak/>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el artículo 5 de la Ley 1150 de 2007 se demostrará “exclusivamente con el respectivo certificado del RUP en donde deberán constar dichas condiciones”. </w:t>
      </w:r>
    </w:p>
    <w:p w14:paraId="66384CDA" w14:textId="535183DF" w:rsidR="002629A8" w:rsidRPr="00403007" w:rsidRDefault="002629A8" w:rsidP="00D9472A">
      <w:pPr>
        <w:spacing w:before="120" w:after="0" w:line="276" w:lineRule="auto"/>
        <w:ind w:firstLine="708"/>
        <w:jc w:val="both"/>
        <w:rPr>
          <w:rFonts w:ascii="Arial" w:hAnsi="Arial" w:cs="Arial"/>
        </w:rPr>
      </w:pPr>
      <w:r w:rsidRPr="00403007">
        <w:rPr>
          <w:rFonts w:ascii="Arial" w:hAnsi="Arial" w:cs="Arial"/>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w:t>
      </w:r>
      <w:r w:rsidR="00B63053" w:rsidRPr="00403007">
        <w:rPr>
          <w:rFonts w:ascii="Arial" w:hAnsi="Arial" w:cs="Arial"/>
        </w:rPr>
        <w:t>Registro Único de Proponentes</w:t>
      </w:r>
      <w:r w:rsidRPr="00403007">
        <w:rPr>
          <w:rFonts w:ascii="Arial" w:hAnsi="Arial" w:cs="Arial"/>
        </w:rPr>
        <w:t xml:space="preserve">. </w:t>
      </w:r>
    </w:p>
    <w:p w14:paraId="223CB635" w14:textId="77777777" w:rsidR="002629A8" w:rsidRPr="00403007" w:rsidRDefault="002629A8" w:rsidP="00D9472A">
      <w:pPr>
        <w:pStyle w:val="Sinespaciado"/>
        <w:spacing w:line="276" w:lineRule="auto"/>
        <w:jc w:val="both"/>
        <w:rPr>
          <w:rFonts w:ascii="Arial" w:hAnsi="Arial" w:cs="Arial"/>
          <w:b/>
          <w:color w:val="000000" w:themeColor="text1"/>
          <w:sz w:val="22"/>
        </w:rPr>
      </w:pPr>
    </w:p>
    <w:p w14:paraId="59155E84" w14:textId="3AF0027A" w:rsidR="0041083A" w:rsidRPr="00403007" w:rsidRDefault="0041083A" w:rsidP="0041083A">
      <w:pPr>
        <w:pStyle w:val="Prrafodelista"/>
        <w:numPr>
          <w:ilvl w:val="1"/>
          <w:numId w:val="6"/>
        </w:numPr>
        <w:tabs>
          <w:tab w:val="left" w:pos="426"/>
        </w:tabs>
        <w:spacing w:after="0" w:line="276" w:lineRule="auto"/>
        <w:ind w:right="49"/>
        <w:jc w:val="both"/>
        <w:rPr>
          <w:rFonts w:ascii="Arial" w:eastAsia="Calibri" w:hAnsi="Arial" w:cs="Arial"/>
          <w:color w:val="000000" w:themeColor="text1"/>
          <w:lang w:eastAsia="es-MX"/>
        </w:rPr>
      </w:pPr>
      <w:bookmarkStart w:id="3" w:name="_Hlk136958112"/>
      <w:r w:rsidRPr="00403007">
        <w:rPr>
          <w:rFonts w:ascii="Arial" w:hAnsi="Arial" w:cs="Arial"/>
          <w:b/>
        </w:rPr>
        <w:t xml:space="preserve">     Acreditación de experiencia de socios por parte de sociedades con menos de tres años de constitución. Posibilidad de pondera la experiencia transferida por los socios en función de su porcentaje participación.</w:t>
      </w:r>
    </w:p>
    <w:bookmarkEnd w:id="3"/>
    <w:p w14:paraId="4B4B2DE5" w14:textId="77777777" w:rsidR="00005F51" w:rsidRPr="00403007" w:rsidRDefault="00005F51" w:rsidP="00005F51">
      <w:pPr>
        <w:spacing w:after="120" w:line="276" w:lineRule="auto"/>
        <w:jc w:val="both"/>
        <w:rPr>
          <w:rFonts w:ascii="Arial" w:hAnsi="Arial" w:cs="Arial"/>
        </w:rPr>
      </w:pPr>
    </w:p>
    <w:p w14:paraId="737A6D81" w14:textId="5089A351" w:rsidR="009954AD" w:rsidRPr="00403007" w:rsidRDefault="009954AD" w:rsidP="00005F51">
      <w:pPr>
        <w:spacing w:after="120" w:line="276" w:lineRule="auto"/>
        <w:jc w:val="both"/>
        <w:rPr>
          <w:rFonts w:ascii="Arial" w:hAnsi="Arial" w:cs="Arial"/>
        </w:rPr>
      </w:pPr>
      <w:r w:rsidRPr="00403007">
        <w:rPr>
          <w:rFonts w:ascii="Arial" w:hAnsi="Arial" w:cs="Arial"/>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Esto con excepción de la selección de consultores mediante un concurso de méritos, donde es posible otorgar puntaje al criterio de experiencia. </w:t>
      </w:r>
    </w:p>
    <w:p w14:paraId="3AC7DDCF" w14:textId="57C3C914" w:rsidR="009954AD" w:rsidRPr="00403007" w:rsidRDefault="009954AD" w:rsidP="00005F51">
      <w:pPr>
        <w:spacing w:before="120" w:after="120" w:line="276" w:lineRule="auto"/>
        <w:ind w:firstLine="708"/>
        <w:jc w:val="both"/>
        <w:rPr>
          <w:rFonts w:ascii="Arial" w:hAnsi="Arial" w:cs="Arial"/>
        </w:rPr>
      </w:pPr>
      <w:r w:rsidRPr="00403007">
        <w:rPr>
          <w:rFonts w:ascii="Arial" w:hAnsi="Arial" w:cs="Arial"/>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w:t>
      </w:r>
      <w:r w:rsidRPr="00403007">
        <w:rPr>
          <w:rFonts w:ascii="Arial" w:hAnsi="Arial" w:cs="Arial"/>
          <w:i/>
        </w:rPr>
        <w:t xml:space="preserve">Manual para determinar y </w:t>
      </w:r>
      <w:r w:rsidRPr="00403007">
        <w:rPr>
          <w:rFonts w:ascii="Arial" w:hAnsi="Arial" w:cs="Arial"/>
          <w:i/>
        </w:rPr>
        <w:lastRenderedPageBreak/>
        <w:t>verificar requisitos habilitantes en los procesos de contratación”</w:t>
      </w:r>
      <w:r w:rsidR="00F43C46" w:rsidRPr="00403007">
        <w:rPr>
          <w:rStyle w:val="Refdenotaalpie"/>
          <w:rFonts w:ascii="Arial" w:hAnsi="Arial" w:cs="Arial"/>
          <w:i/>
        </w:rPr>
        <w:footnoteReference w:id="11"/>
      </w:r>
      <w:r w:rsidRPr="00403007">
        <w:rPr>
          <w:rFonts w:ascii="Arial" w:hAnsi="Arial" w:cs="Arial"/>
        </w:rPr>
        <w:t xml:space="preserve"> </w:t>
      </w:r>
      <w:r w:rsidR="00F43C46" w:rsidRPr="00403007">
        <w:rPr>
          <w:rFonts w:ascii="Arial" w:hAnsi="Arial" w:cs="Arial"/>
        </w:rPr>
        <w:t xml:space="preserve">expedido por esta Agencia, </w:t>
      </w:r>
      <w:r w:rsidRPr="00403007">
        <w:rPr>
          <w:rFonts w:ascii="Arial" w:hAnsi="Arial" w:cs="Arial"/>
        </w:rPr>
        <w:t>se define la experiencia como “el conocimiento del proponente derivado de su participación previa en actividades iguales o similares a las previstas en el objeto del contrato”.</w:t>
      </w:r>
    </w:p>
    <w:p w14:paraId="20951010"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03007">
        <w:rPr>
          <w:rStyle w:val="Refdenotaalpie"/>
          <w:rFonts w:ascii="Arial" w:hAnsi="Arial" w:cs="Arial"/>
        </w:rPr>
        <w:footnoteReference w:id="12"/>
      </w:r>
      <w:r w:rsidRPr="00403007">
        <w:rPr>
          <w:rFonts w:ascii="Arial" w:hAnsi="Arial" w:cs="Arial"/>
        </w:rPr>
        <w:t xml:space="preserve">.  </w:t>
      </w:r>
    </w:p>
    <w:p w14:paraId="119602B1"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t>El numeral 2.5</w:t>
      </w:r>
      <w:r w:rsidRPr="00403007">
        <w:rPr>
          <w:rStyle w:val="Refdenotaalpie"/>
          <w:rFonts w:ascii="Arial" w:hAnsi="Arial" w:cs="Arial"/>
        </w:rPr>
        <w:footnoteReference w:id="13"/>
      </w:r>
      <w:r w:rsidRPr="00403007">
        <w:rPr>
          <w:rFonts w:ascii="Arial" w:hAnsi="Arial" w:cs="Arial"/>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2F201B7"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t xml:space="preserve">El interesado debe indicar en cada certificado, o en cada copia de los contratos, los bienes, obras y servicios a los cuales corresponde la experiencia que pretende acreditar, identificándolos con el Clasificador de Bienes y Servicios, en el tercer nivel. Si la constitución </w:t>
      </w:r>
      <w:r w:rsidRPr="00403007">
        <w:rPr>
          <w:rFonts w:ascii="Arial" w:hAnsi="Arial" w:cs="Arial"/>
        </w:rPr>
        <w:lastRenderedPageBreak/>
        <w:t>del interesado es menor a 3 años, puede acreditar la experiencia de sus accionistas, socios o constituyentes.</w:t>
      </w:r>
    </w:p>
    <w:p w14:paraId="593892E9" w14:textId="77777777" w:rsidR="009954AD" w:rsidRPr="00403007" w:rsidRDefault="009954AD" w:rsidP="00402767">
      <w:pPr>
        <w:spacing w:before="120" w:after="120" w:line="276" w:lineRule="auto"/>
        <w:ind w:firstLine="708"/>
        <w:jc w:val="both"/>
        <w:rPr>
          <w:rFonts w:ascii="Arial" w:hAnsi="Arial" w:cs="Arial"/>
        </w:rPr>
      </w:pPr>
      <w:bookmarkStart w:id="4" w:name="_Hlk132126019"/>
      <w:r w:rsidRPr="00403007">
        <w:rPr>
          <w:rFonts w:ascii="Arial" w:hAnsi="Arial" w:cs="Aria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403007">
        <w:rPr>
          <w:rFonts w:ascii="Arial" w:eastAsia="Calibri" w:hAnsi="Arial" w:cs="Arial"/>
        </w:rPr>
        <w:t>─</w:t>
      </w:r>
      <w:r w:rsidRPr="00403007">
        <w:rPr>
          <w:rFonts w:ascii="Arial" w:hAnsi="Arial" w:cs="Arial"/>
        </w:rPr>
        <w:t>con menos de 3 años de constitución</w:t>
      </w:r>
      <w:r w:rsidRPr="00403007">
        <w:rPr>
          <w:rFonts w:ascii="Arial" w:eastAsia="Calibri" w:hAnsi="Arial" w:cs="Arial"/>
        </w:rPr>
        <w:t>─</w:t>
      </w:r>
      <w:r w:rsidRPr="00403007">
        <w:rPr>
          <w:rFonts w:ascii="Arial" w:hAnsi="Arial" w:cs="Arial"/>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A68CEC8"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4"/>
    <w:p w14:paraId="58EF64D5" w14:textId="0059AAA3" w:rsidR="009954AD" w:rsidRPr="00403007" w:rsidRDefault="00A56474" w:rsidP="00402767">
      <w:pPr>
        <w:spacing w:before="120" w:after="120" w:line="276" w:lineRule="auto"/>
        <w:ind w:firstLine="708"/>
        <w:jc w:val="both"/>
        <w:rPr>
          <w:rFonts w:ascii="Arial" w:hAnsi="Arial" w:cs="Arial"/>
        </w:rPr>
      </w:pPr>
      <w:r w:rsidRPr="02E3505A">
        <w:rPr>
          <w:rFonts w:ascii="Arial" w:hAnsi="Arial" w:cs="Arial"/>
        </w:rPr>
        <w:t>Asimismo</w:t>
      </w:r>
      <w:r w:rsidR="009954AD" w:rsidRPr="02E3505A">
        <w:rPr>
          <w:rFonts w:ascii="Arial" w:hAnsi="Arial" w:cs="Arial"/>
        </w:rPr>
        <w:t>,</w:t>
      </w:r>
      <w:r w:rsidRPr="02E3505A">
        <w:rPr>
          <w:rFonts w:ascii="Arial" w:hAnsi="Arial" w:cs="Arial"/>
        </w:rPr>
        <w:t xml:space="preserve"> </w:t>
      </w:r>
      <w:r w:rsidR="00747E55" w:rsidRPr="02E3505A">
        <w:rPr>
          <w:rFonts w:ascii="Arial" w:hAnsi="Arial" w:cs="Arial"/>
        </w:rPr>
        <w:t>esta Agencia</w:t>
      </w:r>
      <w:r w:rsidR="005068F0" w:rsidRPr="02E3505A">
        <w:rPr>
          <w:rFonts w:ascii="Arial" w:hAnsi="Arial" w:cs="Arial"/>
        </w:rPr>
        <w:t xml:space="preserve"> ha indicado </w:t>
      </w:r>
      <w:r w:rsidR="009954AD" w:rsidRPr="02E3505A">
        <w:rPr>
          <w:rFonts w:ascii="Arial" w:hAnsi="Arial" w:cs="Arial"/>
        </w:rPr>
        <w:t xml:space="preserve">que la </w:t>
      </w:r>
      <w:r w:rsidR="4F111FB0" w:rsidRPr="02E3505A">
        <w:rPr>
          <w:rFonts w:ascii="Arial" w:hAnsi="Arial" w:cs="Arial"/>
        </w:rPr>
        <w:t>persona</w:t>
      </w:r>
      <w:r w:rsidR="009954AD" w:rsidRPr="02E3505A">
        <w:rPr>
          <w:rFonts w:ascii="Arial" w:hAnsi="Arial" w:cs="Arial"/>
        </w:rPr>
        <w:t xml:space="preserve"> jurídica </w:t>
      </w:r>
      <w:r w:rsidR="00A74182" w:rsidRPr="02E3505A">
        <w:rPr>
          <w:rFonts w:ascii="Arial" w:hAnsi="Arial" w:cs="Arial"/>
        </w:rPr>
        <w:t xml:space="preserve">que </w:t>
      </w:r>
      <w:r w:rsidR="009954AD" w:rsidRPr="02E3505A">
        <w:rPr>
          <w:rFonts w:ascii="Arial" w:hAnsi="Arial" w:cs="Arial"/>
        </w:rPr>
        <w:t xml:space="preserve">tenga más de tres años de constituida y haya registrado inicialmente la experiencia de sus socios en el RUP </w:t>
      </w:r>
      <w:r w:rsidR="009954AD" w:rsidRPr="02E3505A">
        <w:rPr>
          <w:rFonts w:ascii="Arial" w:eastAsia="Calibri" w:hAnsi="Arial" w:cs="Arial"/>
        </w:rPr>
        <w:t>―</w:t>
      </w:r>
      <w:r w:rsidR="009954AD" w:rsidRPr="02E3505A">
        <w:rPr>
          <w:rFonts w:ascii="Arial" w:hAnsi="Arial" w:cs="Arial"/>
        </w:rPr>
        <w:t>pues su constitución era inferior a tres años</w:t>
      </w:r>
      <w:r w:rsidR="009954AD" w:rsidRPr="02E3505A">
        <w:rPr>
          <w:rFonts w:ascii="Arial" w:eastAsia="Calibri" w:hAnsi="Arial" w:cs="Arial"/>
        </w:rPr>
        <w:t>―</w:t>
      </w:r>
      <w:r w:rsidR="009954AD" w:rsidRPr="02E3505A">
        <w:rPr>
          <w:rFonts w:ascii="Arial" w:hAnsi="Arial" w:cs="Arial"/>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7D97574" w14:textId="4E1F4478" w:rsidR="009954AD" w:rsidRPr="00403007" w:rsidRDefault="00747E55" w:rsidP="00402767">
      <w:pPr>
        <w:spacing w:before="120" w:after="120" w:line="276" w:lineRule="auto"/>
        <w:ind w:firstLine="708"/>
        <w:jc w:val="both"/>
        <w:rPr>
          <w:rFonts w:ascii="Arial" w:hAnsi="Arial" w:cs="Arial"/>
        </w:rPr>
      </w:pPr>
      <w:r w:rsidRPr="00403007">
        <w:rPr>
          <w:rFonts w:ascii="Arial" w:hAnsi="Arial" w:cs="Arial"/>
        </w:rPr>
        <w:t>Igualmente, se ha reiterado</w:t>
      </w:r>
      <w:r w:rsidR="009954AD" w:rsidRPr="00403007">
        <w:rPr>
          <w:rFonts w:ascii="Arial" w:hAnsi="Arial" w:cs="Arial"/>
        </w:rPr>
        <w:t xml:space="preserve">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w:t>
      </w:r>
      <w:r w:rsidR="009954AD" w:rsidRPr="00403007">
        <w:rPr>
          <w:rFonts w:ascii="Arial" w:hAnsi="Arial" w:cs="Arial"/>
        </w:rPr>
        <w:lastRenderedPageBreak/>
        <w:t>quinto día hábil del mes de abril de cada año, de lo contrario cesan sus efectos</w:t>
      </w:r>
      <w:r w:rsidR="009954AD" w:rsidRPr="00403007">
        <w:rPr>
          <w:rStyle w:val="Refdenotaalpie"/>
          <w:rFonts w:ascii="Arial" w:hAnsi="Arial" w:cs="Arial"/>
        </w:rPr>
        <w:footnoteReference w:id="14"/>
      </w:r>
      <w:r w:rsidR="009954AD" w:rsidRPr="00403007">
        <w:rPr>
          <w:rFonts w:ascii="Arial" w:hAnsi="Arial" w:cs="Arial"/>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1C7BDF86"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73ADF3C" w14:textId="6AD6CE58" w:rsidR="009954AD" w:rsidRPr="00403007" w:rsidRDefault="009954AD" w:rsidP="00402767">
      <w:pPr>
        <w:spacing w:after="0" w:line="276" w:lineRule="auto"/>
        <w:ind w:firstLine="708"/>
        <w:jc w:val="both"/>
        <w:rPr>
          <w:rFonts w:ascii="Arial" w:hAnsi="Arial" w:cs="Arial"/>
        </w:rPr>
      </w:pPr>
      <w:r w:rsidRPr="00403007">
        <w:rPr>
          <w:rFonts w:ascii="Arial" w:hAnsi="Arial" w:cs="Arial"/>
        </w:rPr>
        <w:t xml:space="preserve">Lo anterior, tiene fundamento en la Circular Única de la Superintendencia de Industria y Comercio, en el numeral 4.2, sobre el procedimiento para llevar el </w:t>
      </w:r>
      <w:r w:rsidR="00B63053" w:rsidRPr="00403007">
        <w:rPr>
          <w:rFonts w:ascii="Arial" w:hAnsi="Arial" w:cs="Arial"/>
        </w:rPr>
        <w:t>Registro Único de Proponentes</w:t>
      </w:r>
      <w:r w:rsidRPr="00403007">
        <w:rPr>
          <w:rFonts w:ascii="Arial" w:hAnsi="Arial" w:cs="Arial"/>
        </w:rPr>
        <w:t xml:space="preserve">, que establece:  </w:t>
      </w:r>
    </w:p>
    <w:p w14:paraId="0892EC8C" w14:textId="77777777" w:rsidR="009954AD" w:rsidRPr="00403007" w:rsidRDefault="009954AD" w:rsidP="00402767">
      <w:pPr>
        <w:pStyle w:val="Prrafodelista"/>
        <w:spacing w:after="0" w:line="276" w:lineRule="auto"/>
        <w:ind w:left="360"/>
        <w:jc w:val="both"/>
        <w:rPr>
          <w:rFonts w:ascii="Arial" w:hAnsi="Arial" w:cs="Arial"/>
        </w:rPr>
      </w:pPr>
    </w:p>
    <w:p w14:paraId="078971FB" w14:textId="77777777" w:rsidR="009954AD" w:rsidRPr="00403007" w:rsidRDefault="009954AD" w:rsidP="00402767">
      <w:pPr>
        <w:pStyle w:val="Prrafodelista"/>
        <w:spacing w:after="0" w:line="240" w:lineRule="auto"/>
        <w:ind w:left="709" w:right="709"/>
        <w:jc w:val="both"/>
        <w:rPr>
          <w:rFonts w:ascii="Arial" w:hAnsi="Arial" w:cs="Arial"/>
          <w:sz w:val="21"/>
          <w:szCs w:val="21"/>
        </w:rPr>
      </w:pPr>
      <w:r w:rsidRPr="00403007">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3EE669B9" w14:textId="77777777" w:rsidR="009954AD" w:rsidRPr="00403007" w:rsidRDefault="009954AD" w:rsidP="00402767">
      <w:pPr>
        <w:pStyle w:val="Prrafodelista"/>
        <w:spacing w:after="0" w:line="276" w:lineRule="auto"/>
        <w:ind w:left="360" w:right="709"/>
        <w:jc w:val="both"/>
        <w:rPr>
          <w:rFonts w:ascii="Arial" w:hAnsi="Arial" w:cs="Arial"/>
        </w:rPr>
      </w:pPr>
    </w:p>
    <w:p w14:paraId="2872B93F" w14:textId="77777777" w:rsidR="009954AD" w:rsidRPr="00403007" w:rsidRDefault="009954AD" w:rsidP="00402767">
      <w:pPr>
        <w:spacing w:line="276" w:lineRule="auto"/>
        <w:ind w:firstLine="708"/>
        <w:jc w:val="both"/>
        <w:rPr>
          <w:rFonts w:ascii="Arial" w:hAnsi="Arial" w:cs="Arial"/>
        </w:rPr>
      </w:pPr>
      <w:r w:rsidRPr="00403007">
        <w:rPr>
          <w:rFonts w:ascii="Arial" w:hAnsi="Arial" w:cs="Arial"/>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543973F6"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lastRenderedPageBreak/>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3B22888C" w14:textId="77777777" w:rsidR="009954AD" w:rsidRPr="00403007" w:rsidRDefault="009954AD" w:rsidP="00402767">
      <w:pPr>
        <w:spacing w:before="120" w:after="120" w:line="276" w:lineRule="auto"/>
        <w:ind w:firstLine="708"/>
        <w:jc w:val="both"/>
        <w:rPr>
          <w:rFonts w:ascii="Arial" w:hAnsi="Arial" w:cs="Arial"/>
        </w:rPr>
      </w:pPr>
      <w:r w:rsidRPr="00403007">
        <w:rPr>
          <w:rFonts w:ascii="Arial" w:hAnsi="Arial" w:cs="Arial"/>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36DD3714" w14:textId="77777777" w:rsidR="009954AD" w:rsidRPr="00403007" w:rsidRDefault="009954AD" w:rsidP="00402767">
      <w:pPr>
        <w:spacing w:before="120" w:line="276" w:lineRule="auto"/>
        <w:ind w:firstLine="708"/>
        <w:jc w:val="both"/>
        <w:rPr>
          <w:rFonts w:ascii="Arial" w:hAnsi="Arial" w:cs="Arial"/>
        </w:rPr>
      </w:pPr>
      <w:r w:rsidRPr="00403007">
        <w:rPr>
          <w:rFonts w:ascii="Arial" w:hAnsi="Arial" w:cs="Arial"/>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6A78F13E" w14:textId="77777777" w:rsidR="00344C5C" w:rsidRPr="00403007" w:rsidRDefault="00344C5C" w:rsidP="00344C5C">
      <w:pPr>
        <w:tabs>
          <w:tab w:val="left" w:pos="709"/>
        </w:tabs>
        <w:spacing w:after="0" w:line="276" w:lineRule="auto"/>
        <w:jc w:val="both"/>
        <w:rPr>
          <w:rFonts w:ascii="Arial" w:eastAsia="Calibri" w:hAnsi="Arial" w:cs="Arial"/>
        </w:rPr>
      </w:pPr>
      <w:r w:rsidRPr="00403007">
        <w:rPr>
          <w:rFonts w:ascii="Arial" w:eastAsia="Calibri" w:hAnsi="Arial" w:cs="Arial"/>
        </w:rPr>
        <w:tab/>
        <w:t>Lo anterior implica que, una vez en firme la inscripción, actualización o renovación en el marco del cual una sociedad con menos de tres años de constitución presenta certificados de experiencia adquirida por sus socios o constituyentes, de acuerdo con el numeral 2.5 del artículo 2.2.1.1.1.5.2 del Decreto 1082 de 2015, dicha experiencia queda consolidada en el RUP de la persona jurídica quien por el efecto de la prerrogativa podrá acreditar esa experiencia como propia, mientras no cesen los efectos del RUP por su no renovación. De esta manera la experiencia inscrita de acuerdo con la referida prerrogativa podrá ser acreditada en procesos de selección mediante el respectivo RUP, con efectos de plena prueba de las circunstancias de las que en el constan.</w:t>
      </w:r>
    </w:p>
    <w:p w14:paraId="5F96DA66" w14:textId="01B5AA46" w:rsidR="009954AD" w:rsidRPr="00403007" w:rsidRDefault="009954AD" w:rsidP="00402767">
      <w:pPr>
        <w:spacing w:before="120" w:after="120" w:line="276" w:lineRule="auto"/>
        <w:ind w:firstLine="708"/>
        <w:jc w:val="both"/>
        <w:rPr>
          <w:rFonts w:ascii="Arial" w:eastAsia="Calibri" w:hAnsi="Arial" w:cs="Arial"/>
        </w:rPr>
      </w:pPr>
      <w:r w:rsidRPr="00403007">
        <w:rPr>
          <w:rFonts w:ascii="Arial" w:eastAsia="Calibri" w:hAnsi="Arial" w:cs="Arial"/>
        </w:rPr>
        <w:t xml:space="preserve">En cuanto al objeto especifico de la consulta es necesario poner de presente que la regla contenida en el numeral 2.5 del artículo 2.2.1.1.1.5.2 del Decreto 1082 de 2015 es una norma reglamentaria de alcance general que determina </w:t>
      </w:r>
      <w:r w:rsidR="00F11DBA" w:rsidRPr="00403007">
        <w:rPr>
          <w:rFonts w:ascii="Arial" w:eastAsia="Calibri" w:hAnsi="Arial" w:cs="Arial"/>
        </w:rPr>
        <w:t xml:space="preserve">que la forma en la que se debe </w:t>
      </w:r>
      <w:r w:rsidRPr="00403007">
        <w:rPr>
          <w:rFonts w:ascii="Arial" w:eastAsia="Calibri" w:hAnsi="Arial" w:cs="Arial"/>
        </w:rPr>
        <w:t xml:space="preserve">acreditar la experiencia adquirida por un proponente </w:t>
      </w:r>
      <w:r w:rsidR="00F11DBA" w:rsidRPr="00403007">
        <w:rPr>
          <w:rFonts w:ascii="Arial" w:eastAsia="Calibri" w:hAnsi="Arial" w:cs="Arial"/>
        </w:rPr>
        <w:t>es a través del</w:t>
      </w:r>
      <w:r w:rsidRPr="00403007">
        <w:rPr>
          <w:rFonts w:ascii="Arial" w:eastAsia="Calibri" w:hAnsi="Arial" w:cs="Arial"/>
        </w:rPr>
        <w:t xml:space="preserve"> RUP. En ese sentido, dicha disposición resulta particularmente relevante para las cámaras de comercio</w:t>
      </w:r>
      <w:r w:rsidR="00207B61" w:rsidRPr="00403007">
        <w:rPr>
          <w:rFonts w:ascii="Arial" w:eastAsia="Calibri" w:hAnsi="Arial" w:cs="Arial"/>
        </w:rPr>
        <w:t xml:space="preserve">, </w:t>
      </w:r>
      <w:r w:rsidRPr="00403007">
        <w:rPr>
          <w:rFonts w:ascii="Arial" w:eastAsia="Calibri" w:hAnsi="Arial" w:cs="Arial"/>
        </w:rPr>
        <w:t>proponentes</w:t>
      </w:r>
      <w:r w:rsidR="00207B61" w:rsidRPr="00403007">
        <w:rPr>
          <w:rFonts w:ascii="Arial" w:eastAsia="Calibri" w:hAnsi="Arial" w:cs="Arial"/>
        </w:rPr>
        <w:t xml:space="preserve"> y entidades estatales</w:t>
      </w:r>
      <w:r w:rsidRPr="00403007">
        <w:rPr>
          <w:rFonts w:ascii="Arial" w:eastAsia="Calibri" w:hAnsi="Arial" w:cs="Arial"/>
        </w:rPr>
        <w:t xml:space="preserve">, a quienes corresponde aplicar dicha disposición reglamentaría </w:t>
      </w:r>
      <w:r w:rsidR="00620C0A" w:rsidRPr="00403007">
        <w:rPr>
          <w:rFonts w:ascii="Arial" w:eastAsia="Calibri" w:hAnsi="Arial" w:cs="Arial"/>
        </w:rPr>
        <w:t xml:space="preserve">en sus procesos de selección de contratistas </w:t>
      </w:r>
      <w:r w:rsidRPr="00403007">
        <w:rPr>
          <w:rFonts w:ascii="Arial" w:eastAsia="Calibri" w:hAnsi="Arial" w:cs="Arial"/>
        </w:rPr>
        <w:t xml:space="preserve">de acuerdo con lo indicado en su texto, en el que no se prevé una regla que </w:t>
      </w:r>
      <w:r w:rsidR="00207B61" w:rsidRPr="00403007">
        <w:rPr>
          <w:rFonts w:ascii="Arial" w:eastAsia="Calibri" w:hAnsi="Arial" w:cs="Arial"/>
        </w:rPr>
        <w:t xml:space="preserve">exija </w:t>
      </w:r>
      <w:r w:rsidR="00D67200" w:rsidRPr="00403007">
        <w:rPr>
          <w:rFonts w:ascii="Arial" w:eastAsia="Calibri" w:hAnsi="Arial" w:cs="Arial"/>
        </w:rPr>
        <w:t xml:space="preserve">el deber de adjuntar </w:t>
      </w:r>
      <w:r w:rsidR="000A7230" w:rsidRPr="00403007">
        <w:rPr>
          <w:rFonts w:ascii="Arial" w:eastAsia="Calibri" w:hAnsi="Arial" w:cs="Arial"/>
        </w:rPr>
        <w:t xml:space="preserve">con el RUP </w:t>
      </w:r>
      <w:r w:rsidR="00D67200" w:rsidRPr="00403007">
        <w:rPr>
          <w:rFonts w:ascii="Arial" w:eastAsia="Calibri" w:hAnsi="Arial" w:cs="Arial"/>
        </w:rPr>
        <w:t xml:space="preserve">un </w:t>
      </w:r>
      <w:r w:rsidR="00D67200" w:rsidRPr="00403007">
        <w:rPr>
          <w:rFonts w:ascii="Arial" w:eastAsia="Calibri" w:hAnsi="Arial" w:cs="Arial"/>
        </w:rPr>
        <w:lastRenderedPageBreak/>
        <w:t>documento suscrito por el representante legal y el revisor fiscal o contador público (según corresponda) donde se indique la conformación de la persona jurídica, sin embargo, e</w:t>
      </w:r>
      <w:r w:rsidR="00620C0A" w:rsidRPr="00403007">
        <w:rPr>
          <w:rFonts w:ascii="Arial" w:eastAsia="Calibri" w:hAnsi="Arial" w:cs="Arial"/>
        </w:rPr>
        <w:t xml:space="preserve">n los documentos pliego tipo adoptados </w:t>
      </w:r>
      <w:r w:rsidR="000A7230" w:rsidRPr="00403007">
        <w:rPr>
          <w:rFonts w:ascii="Arial" w:eastAsia="Calibri" w:hAnsi="Arial" w:cs="Arial"/>
        </w:rPr>
        <w:t xml:space="preserve">esta Agencia, dicha regla de acreditación fue </w:t>
      </w:r>
      <w:r w:rsidR="008F00B4" w:rsidRPr="00403007">
        <w:rPr>
          <w:rFonts w:ascii="Arial" w:eastAsia="Calibri" w:hAnsi="Arial" w:cs="Arial"/>
        </w:rPr>
        <w:t>incorporada</w:t>
      </w:r>
      <w:r w:rsidR="000A7230" w:rsidRPr="00403007">
        <w:rPr>
          <w:rFonts w:ascii="Arial" w:eastAsia="Calibri" w:hAnsi="Arial" w:cs="Arial"/>
        </w:rPr>
        <w:t xml:space="preserve"> en los Documentos Base, como </w:t>
      </w:r>
      <w:r w:rsidR="008F00B4" w:rsidRPr="00403007">
        <w:rPr>
          <w:rFonts w:ascii="Arial" w:eastAsia="Calibri" w:hAnsi="Arial" w:cs="Arial"/>
        </w:rPr>
        <w:t xml:space="preserve">criterio para acreditar la experiencia exigida, por lo que en mencionados procesos de selección se deberá aportar el documento </w:t>
      </w:r>
      <w:r w:rsidR="00F251E1" w:rsidRPr="00403007">
        <w:rPr>
          <w:rFonts w:ascii="Arial" w:eastAsia="Calibri" w:hAnsi="Arial" w:cs="Arial"/>
        </w:rPr>
        <w:t>indicado, el cual es susceptible de subsanación si la experiencia exigida se encuentra como requisito habilitante y no ponderable o calificable como se expondrá más adelante.</w:t>
      </w:r>
    </w:p>
    <w:p w14:paraId="63FFE7C2" w14:textId="6CDC3469" w:rsidR="00402767" w:rsidRPr="00403007" w:rsidRDefault="00B13358" w:rsidP="00B13358">
      <w:pPr>
        <w:pStyle w:val="Prrafodelista"/>
        <w:numPr>
          <w:ilvl w:val="1"/>
          <w:numId w:val="6"/>
        </w:numPr>
        <w:tabs>
          <w:tab w:val="left" w:pos="709"/>
        </w:tabs>
        <w:spacing w:after="0" w:line="276" w:lineRule="auto"/>
        <w:jc w:val="both"/>
        <w:rPr>
          <w:rFonts w:ascii="Arial" w:eastAsia="Calibri" w:hAnsi="Arial" w:cs="Arial"/>
          <w:b/>
          <w:color w:val="000000" w:themeColor="text1"/>
          <w:lang w:eastAsia="es-MX"/>
        </w:rPr>
      </w:pPr>
      <w:r w:rsidRPr="00403007">
        <w:rPr>
          <w:rFonts w:ascii="Arial" w:eastAsia="Calibri" w:hAnsi="Arial" w:cs="Arial"/>
          <w:b/>
        </w:rPr>
        <w:t>D</w:t>
      </w:r>
      <w:r w:rsidRPr="00403007">
        <w:rPr>
          <w:rFonts w:ascii="Arial" w:eastAsia="Calibri" w:hAnsi="Arial" w:cs="Arial"/>
          <w:b/>
          <w:color w:val="000000" w:themeColor="text1"/>
          <w:lang w:eastAsia="es-MX"/>
        </w:rPr>
        <w:t>iligenciamiento del formato 12 de incentivos para empresas y emprendimientos de mujeres y el formato 13 de acreditación de MiPyme de los documentos tipo adoptados por la Agencia</w:t>
      </w:r>
    </w:p>
    <w:p w14:paraId="13A58652" w14:textId="77777777" w:rsidR="00B13358" w:rsidRPr="00403007" w:rsidRDefault="00B13358" w:rsidP="00B13358">
      <w:pPr>
        <w:tabs>
          <w:tab w:val="left" w:pos="709"/>
        </w:tabs>
        <w:spacing w:after="0" w:line="276" w:lineRule="auto"/>
        <w:jc w:val="both"/>
        <w:rPr>
          <w:rFonts w:ascii="Arial" w:eastAsia="Calibri" w:hAnsi="Arial" w:cs="Arial"/>
          <w:b/>
          <w:color w:val="000000" w:themeColor="text1"/>
          <w:lang w:eastAsia="es-MX"/>
        </w:rPr>
      </w:pPr>
    </w:p>
    <w:p w14:paraId="58ACDB29" w14:textId="77777777" w:rsidR="00294845" w:rsidRPr="00403007" w:rsidRDefault="00294845" w:rsidP="00294845">
      <w:pPr>
        <w:spacing w:after="120" w:line="276" w:lineRule="auto"/>
        <w:jc w:val="both"/>
        <w:rPr>
          <w:rFonts w:ascii="Arial" w:eastAsia="Calibri" w:hAnsi="Arial" w:cs="Arial"/>
          <w:lang w:val="es-ES_tradnl"/>
        </w:rPr>
      </w:pPr>
      <w:r w:rsidRPr="00403007">
        <w:rPr>
          <w:rFonts w:ascii="Arial" w:eastAsia="Calibri" w:hAnsi="Arial" w:cs="Arial"/>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14:paraId="7A60979F" w14:textId="77777777" w:rsidR="00294845" w:rsidRPr="00403007" w:rsidRDefault="00294845" w:rsidP="00294845">
      <w:pPr>
        <w:spacing w:after="120" w:line="276" w:lineRule="auto"/>
        <w:ind w:firstLine="709"/>
        <w:jc w:val="both"/>
        <w:rPr>
          <w:rFonts w:ascii="Arial" w:eastAsia="Calibri" w:hAnsi="Arial" w:cs="Arial"/>
          <w:lang w:val="es-ES_tradnl"/>
        </w:rPr>
      </w:pPr>
      <w:r w:rsidRPr="00403007">
        <w:rPr>
          <w:rFonts w:ascii="Arial" w:eastAsia="Calibri" w:hAnsi="Arial" w:cs="Arial"/>
          <w:lang w:val="es-ES_tradnl"/>
        </w:rPr>
        <w:t>En cuanto a su contenido, como dispone el artículo 1, aquella “tiene por objeto establecer un marco regulatorio que propicie el emprendimiento y el crecimiento, consolidación y sostenibilidad de las empresas, con el fin de aumentar el bienestar social y generar equidad”</w:t>
      </w:r>
      <w:r w:rsidRPr="00403007">
        <w:rPr>
          <w:rFonts w:ascii="Arial" w:eastAsia="Calibri" w:hAnsi="Arial" w:cs="Arial"/>
          <w:vertAlign w:val="superscript"/>
          <w:lang w:val="es-ES_tradnl"/>
        </w:rPr>
        <w:footnoteReference w:id="15"/>
      </w:r>
      <w:r w:rsidRPr="00403007">
        <w:rPr>
          <w:rFonts w:ascii="Arial" w:eastAsia="Calibri" w:hAnsi="Arial" w:cs="Arial"/>
          <w:lang w:val="es-ES_tradnl"/>
        </w:rPr>
        <w:t>. Esto, a partir de “[…] un enfoque regionalizado de acuerdo a las realidades socioeconómicas de cada región”. En desarrollo de esta finalidad, se establecen medidas de apoyo para las micro, pequeñas y medianas empresas –Mipyme–, mediante la racionalización y simplificación de los trámites y tarifas</w:t>
      </w:r>
      <w:r w:rsidRPr="00403007">
        <w:rPr>
          <w:rStyle w:val="Refdenotaalpie"/>
          <w:rFonts w:ascii="Arial" w:eastAsia="Calibri" w:hAnsi="Arial" w:cs="Arial"/>
          <w:lang w:val="es-ES_tradnl"/>
        </w:rPr>
        <w:footnoteReference w:id="16"/>
      </w:r>
      <w:r w:rsidRPr="00403007">
        <w:rPr>
          <w:rFonts w:ascii="Arial" w:eastAsia="Calibri" w:hAnsi="Arial" w:cs="Arial"/>
          <w:lang w:val="es-ES_tradnl"/>
        </w:rPr>
        <w:t>, así como incentivos a favor de aquellas dentro del sistema de compras y contratación pública</w:t>
      </w:r>
      <w:r w:rsidRPr="00403007">
        <w:rPr>
          <w:rStyle w:val="Refdenotaalpie"/>
          <w:rFonts w:ascii="Arial" w:eastAsia="Calibri" w:hAnsi="Arial" w:cs="Arial"/>
          <w:lang w:val="es-ES_tradnl"/>
        </w:rPr>
        <w:footnoteReference w:id="17"/>
      </w:r>
      <w:r w:rsidRPr="00403007">
        <w:rPr>
          <w:rFonts w:ascii="Arial" w:eastAsia="Calibri" w:hAnsi="Arial" w:cs="Arial"/>
          <w:lang w:val="es-ES_tradnl"/>
        </w:rPr>
        <w:t>. También se consagran mecanismos de acceso al financiamiento</w:t>
      </w:r>
      <w:r w:rsidRPr="00403007">
        <w:rPr>
          <w:rStyle w:val="Refdenotaalpie"/>
          <w:rFonts w:ascii="Arial" w:eastAsia="Calibri" w:hAnsi="Arial" w:cs="Arial"/>
          <w:lang w:val="es-ES_tradnl"/>
        </w:rPr>
        <w:footnoteReference w:id="18"/>
      </w:r>
      <w:r w:rsidRPr="00403007">
        <w:rPr>
          <w:rFonts w:ascii="Arial" w:eastAsia="Calibri" w:hAnsi="Arial" w:cs="Arial"/>
          <w:lang w:val="es-ES_tradnl"/>
        </w:rPr>
        <w:t>, se unifican las fuentes de emprendimiento y de desarrollo empresarial, para fortalecer y promover los distintos sectores de la economía</w:t>
      </w:r>
      <w:r w:rsidRPr="00403007">
        <w:rPr>
          <w:rStyle w:val="Refdenotaalpie"/>
          <w:rFonts w:ascii="Arial" w:eastAsia="Calibri" w:hAnsi="Arial" w:cs="Arial"/>
          <w:lang w:val="es-ES_tradnl"/>
        </w:rPr>
        <w:footnoteReference w:id="19"/>
      </w:r>
      <w:r w:rsidRPr="00403007">
        <w:rPr>
          <w:rFonts w:ascii="Arial" w:eastAsia="Calibri" w:hAnsi="Arial" w:cs="Arial"/>
          <w:lang w:val="es-ES_tradnl"/>
        </w:rPr>
        <w:t xml:space="preserve"> y se prevén medidas de educación para el emprendimiento y la innovación</w:t>
      </w:r>
      <w:r w:rsidRPr="00403007">
        <w:rPr>
          <w:rStyle w:val="Refdenotaalpie"/>
          <w:rFonts w:ascii="Arial" w:eastAsia="Calibri" w:hAnsi="Arial" w:cs="Arial"/>
          <w:lang w:val="es-ES_tradnl"/>
        </w:rPr>
        <w:footnoteReference w:id="20"/>
      </w:r>
      <w:r w:rsidRPr="00403007">
        <w:rPr>
          <w:rFonts w:ascii="Arial" w:eastAsia="Calibri" w:hAnsi="Arial" w:cs="Arial"/>
          <w:lang w:val="es-ES_tradnl"/>
        </w:rPr>
        <w:t>.</w:t>
      </w:r>
    </w:p>
    <w:p w14:paraId="66A5A5E5" w14:textId="77777777" w:rsidR="00294845" w:rsidRPr="00403007" w:rsidRDefault="00294845" w:rsidP="00294845">
      <w:pPr>
        <w:spacing w:after="120" w:line="276" w:lineRule="auto"/>
        <w:ind w:firstLine="709"/>
        <w:jc w:val="both"/>
        <w:rPr>
          <w:rFonts w:ascii="Arial" w:eastAsia="Calibri" w:hAnsi="Arial" w:cs="Arial"/>
          <w:lang w:val="es-ES_tradnl"/>
        </w:rPr>
      </w:pPr>
      <w:r w:rsidRPr="00403007">
        <w:rPr>
          <w:rFonts w:ascii="Arial" w:eastAsia="Calibri" w:hAnsi="Arial" w:cs="Arial"/>
          <w:lang w:val="es-ES_tradnl"/>
        </w:rPr>
        <w:lastRenderedPageBreak/>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 en el procedimiento de mínima cuantía, ii) </w:t>
      </w:r>
      <w:r w:rsidRPr="00403007">
        <w:rPr>
          <w:rFonts w:ascii="Arial" w:eastAsia="Calibri" w:hAnsi="Arial" w:cs="Arial"/>
          <w:i/>
          <w:lang w:val="es-ES_tradnl"/>
        </w:rPr>
        <w:t>criterios diferenciales para Mipyme</w:t>
      </w:r>
      <w:r w:rsidRPr="00403007">
        <w:rPr>
          <w:rFonts w:ascii="Arial" w:eastAsia="Calibri" w:hAnsi="Arial" w:cs="Arial"/>
          <w:lang w:val="es-ES_tradnl"/>
        </w:rPr>
        <w:t xml:space="preserve"> en el sistema de compras públicas, iii) </w:t>
      </w:r>
      <w:r w:rsidRPr="00403007">
        <w:rPr>
          <w:rFonts w:ascii="Arial" w:eastAsia="Calibri" w:hAnsi="Arial" w:cs="Arial"/>
          <w:i/>
          <w:lang w:val="es-ES_tradnl"/>
        </w:rPr>
        <w:t>criterios diferenciales para emprendimientos y empresas de mujeres</w:t>
      </w:r>
      <w:r w:rsidRPr="00403007">
        <w:rPr>
          <w:rFonts w:ascii="Arial" w:eastAsia="Calibri" w:hAnsi="Arial" w:cs="Arial"/>
          <w:lang w:val="es-ES_tradnl"/>
        </w:rPr>
        <w:t xml:space="preserve"> en el sistema de compras públicas, </w:t>
      </w:r>
      <w:proofErr w:type="spellStart"/>
      <w:r w:rsidRPr="00403007">
        <w:rPr>
          <w:rFonts w:ascii="Arial" w:eastAsia="Calibri" w:hAnsi="Arial" w:cs="Arial"/>
          <w:lang w:val="es-ES_tradnl"/>
        </w:rPr>
        <w:t>iv</w:t>
      </w:r>
      <w:proofErr w:type="spellEnd"/>
      <w:r w:rsidRPr="00403007">
        <w:rPr>
          <w:rFonts w:ascii="Arial" w:eastAsia="Calibri" w:hAnsi="Arial" w:cs="Arial"/>
          <w:lang w:val="es-ES_tradnl"/>
        </w:rPr>
        <w:t>) promoción del acceso de las Mipyme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w:t>
      </w:r>
      <w:r w:rsidRPr="00403007">
        <w:rPr>
          <w:rFonts w:ascii="Arial" w:eastAsia="Calibri" w:hAnsi="Arial" w:cs="Arial"/>
          <w:vertAlign w:val="superscript"/>
          <w:lang w:val="es-MX"/>
        </w:rPr>
        <w:footnoteReference w:id="21"/>
      </w:r>
      <w:r w:rsidRPr="00403007">
        <w:rPr>
          <w:rFonts w:ascii="Arial" w:eastAsia="Calibri" w:hAnsi="Arial" w:cs="Arial"/>
          <w:lang w:val="es-ES_tradnl"/>
        </w:rPr>
        <w:t xml:space="preserve">.  </w:t>
      </w:r>
    </w:p>
    <w:p w14:paraId="7BDA3B33" w14:textId="77777777" w:rsidR="00294845" w:rsidRPr="00403007" w:rsidRDefault="00294845" w:rsidP="00294845">
      <w:pPr>
        <w:tabs>
          <w:tab w:val="left" w:pos="709"/>
        </w:tabs>
        <w:spacing w:after="120" w:line="276" w:lineRule="auto"/>
        <w:jc w:val="both"/>
        <w:rPr>
          <w:rFonts w:ascii="Arial" w:eastAsia="Calibri" w:hAnsi="Arial" w:cs="Arial"/>
        </w:rPr>
      </w:pPr>
      <w:r w:rsidRPr="00403007">
        <w:rPr>
          <w:rFonts w:ascii="Arial" w:eastAsia="Calibri" w:hAnsi="Arial" w:cs="Arial"/>
        </w:rPr>
        <w:tab/>
        <w:t xml:space="preserve">Dentro del referido capítulo se encuentran </w:t>
      </w:r>
      <w:bookmarkStart w:id="6" w:name="_Hlk63848566"/>
      <w:r w:rsidRPr="00403007">
        <w:rPr>
          <w:rFonts w:ascii="Arial" w:eastAsia="Calibri" w:hAnsi="Arial" w:cs="Arial"/>
        </w:rPr>
        <w:t>los artículos 31 y 32 de la Ley 2069 de 2020</w:t>
      </w:r>
      <w:bookmarkEnd w:id="6"/>
      <w:r w:rsidRPr="00403007">
        <w:rPr>
          <w:rFonts w:ascii="Arial" w:eastAsia="Calibri" w:hAnsi="Arial" w:cs="Arial"/>
        </w:rPr>
        <w:t xml:space="preserve">, los cuales crean una serie de incentivos para las personas interesadas en celebrar contratos con el Estado. </w:t>
      </w:r>
      <w:r w:rsidRPr="00403007">
        <w:rPr>
          <w:rFonts w:ascii="Arial" w:eastAsia="Calibri" w:hAnsi="Arial" w:cs="Arial"/>
          <w:lang w:val="es-ES_tradnl"/>
        </w:rPr>
        <w:t xml:space="preserve">Por un lado, el artículo 31 </w:t>
      </w:r>
      <w:r w:rsidRPr="00403007">
        <w:rPr>
          <w:rFonts w:ascii="Arial" w:eastAsia="Calibri" w:hAnsi="Arial" w:cs="Arial"/>
        </w:rPr>
        <w:t xml:space="preserve">introduce criterios diferenciales para el acceso de las Mipyme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7E1DFAC6" w14:textId="77777777" w:rsidR="00294845" w:rsidRPr="00403007" w:rsidRDefault="00294845" w:rsidP="00294845">
      <w:pPr>
        <w:tabs>
          <w:tab w:val="left" w:pos="709"/>
        </w:tabs>
        <w:spacing w:after="120" w:line="276" w:lineRule="auto"/>
        <w:jc w:val="both"/>
        <w:rPr>
          <w:rFonts w:ascii="Arial" w:eastAsia="Calibri" w:hAnsi="Arial" w:cs="Arial"/>
        </w:rPr>
      </w:pPr>
      <w:r w:rsidRPr="00403007">
        <w:rPr>
          <w:rFonts w:ascii="Arial" w:eastAsia="Calibri" w:hAnsi="Arial" w:cs="Arial"/>
        </w:rPr>
        <w:tab/>
        <w:t xml:space="preserve">Además, el inciso segundo y el parágrafo del </w:t>
      </w:r>
      <w:r w:rsidRPr="00403007">
        <w:rPr>
          <w:rFonts w:ascii="Arial" w:eastAsia="Calibri" w:hAnsi="Arial" w:cs="Arial"/>
          <w:lang w:val="es-ES_tradnl"/>
        </w:rPr>
        <w:t xml:space="preserve">artículo 31 </w:t>
      </w:r>
      <w:r w:rsidRPr="00403007">
        <w:rPr>
          <w:rFonts w:ascii="Arial" w:eastAsia="Calibri" w:hAnsi="Arial" w:cs="Aria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5F2A89D2" w14:textId="77777777" w:rsidR="00294845" w:rsidRPr="00403007" w:rsidRDefault="00294845" w:rsidP="00294845">
      <w:pPr>
        <w:tabs>
          <w:tab w:val="left" w:pos="709"/>
        </w:tabs>
        <w:spacing w:after="0" w:line="276" w:lineRule="auto"/>
        <w:jc w:val="both"/>
        <w:rPr>
          <w:rFonts w:ascii="Arial" w:eastAsia="Calibri" w:hAnsi="Arial" w:cs="Arial"/>
        </w:rPr>
      </w:pPr>
      <w:r w:rsidRPr="00403007">
        <w:rPr>
          <w:rFonts w:ascii="Arial" w:eastAsia="Calibri" w:hAnsi="Arial" w:cs="Arial"/>
        </w:rPr>
        <w:tab/>
        <w:t xml:space="preserve">Por otra parte, el artículo 32 de la Ley 2069 de 2020 regula criterios diferenciales para los “emprendimientos y empresas de mujeres” en el sistema de compras y contratación pública. En relación con este aspecto, el inciso primero de la norma citada prescribe lo siguiente: </w:t>
      </w:r>
    </w:p>
    <w:p w14:paraId="7DF61BEC" w14:textId="77777777" w:rsidR="00294845" w:rsidRPr="00403007" w:rsidRDefault="00294845" w:rsidP="00294845">
      <w:pPr>
        <w:tabs>
          <w:tab w:val="left" w:pos="709"/>
        </w:tabs>
        <w:spacing w:after="0" w:line="276" w:lineRule="auto"/>
        <w:jc w:val="both"/>
        <w:rPr>
          <w:rFonts w:ascii="Arial" w:eastAsia="Calibri" w:hAnsi="Arial" w:cs="Arial"/>
        </w:rPr>
      </w:pPr>
    </w:p>
    <w:p w14:paraId="659A1662" w14:textId="77777777" w:rsidR="00294845" w:rsidRPr="00403007" w:rsidRDefault="00294845" w:rsidP="00294845">
      <w:pPr>
        <w:tabs>
          <w:tab w:val="left" w:pos="709"/>
        </w:tabs>
        <w:spacing w:after="0" w:line="240" w:lineRule="auto"/>
        <w:ind w:left="709" w:right="709"/>
        <w:jc w:val="both"/>
        <w:rPr>
          <w:rFonts w:ascii="Arial" w:eastAsia="Calibri" w:hAnsi="Arial" w:cs="Arial"/>
          <w:sz w:val="21"/>
          <w:szCs w:val="21"/>
        </w:rPr>
      </w:pPr>
      <w:r w:rsidRPr="00403007">
        <w:rPr>
          <w:rFonts w:ascii="Arial" w:eastAsia="Calibri" w:hAnsi="Arial" w:cs="Arial"/>
          <w:sz w:val="21"/>
          <w:szCs w:val="21"/>
        </w:rPr>
        <w:lastRenderedPageBreak/>
        <w:t>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63598BEF" w14:textId="77777777" w:rsidR="00294845" w:rsidRPr="00403007" w:rsidRDefault="00294845" w:rsidP="00294845">
      <w:pPr>
        <w:tabs>
          <w:tab w:val="left" w:pos="709"/>
        </w:tabs>
        <w:spacing w:after="0"/>
        <w:ind w:left="709" w:right="709"/>
        <w:jc w:val="both"/>
        <w:rPr>
          <w:rFonts w:ascii="Arial" w:eastAsia="Calibri" w:hAnsi="Arial" w:cs="Arial"/>
        </w:rPr>
      </w:pPr>
    </w:p>
    <w:p w14:paraId="7D5A43F6" w14:textId="77777777" w:rsidR="00294845" w:rsidRPr="00403007" w:rsidRDefault="00294845" w:rsidP="00294845">
      <w:pPr>
        <w:tabs>
          <w:tab w:val="left" w:pos="709"/>
        </w:tabs>
        <w:spacing w:after="120" w:line="276" w:lineRule="auto"/>
        <w:jc w:val="both"/>
        <w:rPr>
          <w:rFonts w:ascii="Arial" w:eastAsia="Calibri" w:hAnsi="Arial" w:cs="Arial"/>
        </w:rPr>
      </w:pPr>
      <w:r w:rsidRPr="00403007">
        <w:rPr>
          <w:rFonts w:ascii="Arial" w:eastAsia="Calibri" w:hAnsi="Arial" w:cs="Arial"/>
        </w:rPr>
        <w:tab/>
        <w:t xml:space="preserve">El contraste con la norma analizada anteriormente salta a la vista. Por un lado, a diferencia del artículo 31 de la Ley de Emprendimiento, los “criterios diferenciales” del artículo 32 </w:t>
      </w:r>
      <w:proofErr w:type="spellStart"/>
      <w:r w:rsidRPr="00403007">
        <w:rPr>
          <w:rFonts w:ascii="Arial" w:eastAsia="Calibri" w:hAnsi="Arial" w:cs="Arial"/>
          <w:i/>
        </w:rPr>
        <w:t>ibídem</w:t>
      </w:r>
      <w:proofErr w:type="spellEnd"/>
      <w:r w:rsidRPr="00403007">
        <w:rPr>
          <w:rFonts w:ascii="Arial" w:eastAsia="Calibri" w:hAnsi="Arial" w:cs="Aria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que realicen las entidades estatales excluidas de la Ley 80 de 1993.     </w:t>
      </w:r>
    </w:p>
    <w:p w14:paraId="0AEE230A" w14:textId="77777777" w:rsidR="00294845" w:rsidRPr="00403007" w:rsidRDefault="00294845" w:rsidP="00294845">
      <w:pPr>
        <w:spacing w:after="120" w:line="276" w:lineRule="auto"/>
        <w:ind w:firstLine="709"/>
        <w:jc w:val="both"/>
        <w:rPr>
          <w:rFonts w:ascii="Arial" w:eastAsia="Calibri" w:hAnsi="Arial" w:cs="Arial"/>
          <w:lang w:val="es-ES_tradnl"/>
        </w:rPr>
      </w:pPr>
      <w:r w:rsidRPr="00403007">
        <w:rPr>
          <w:rFonts w:ascii="Arial" w:eastAsia="Calibri" w:hAnsi="Arial" w:cs="Arial"/>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6CC2F50C" w14:textId="77777777" w:rsidR="00294845" w:rsidRPr="00403007" w:rsidRDefault="00294845" w:rsidP="00294845">
      <w:pPr>
        <w:spacing w:after="120" w:line="276" w:lineRule="auto"/>
        <w:jc w:val="both"/>
        <w:rPr>
          <w:rFonts w:ascii="Arial" w:eastAsia="Calibri" w:hAnsi="Arial" w:cs="Arial"/>
          <w:lang w:val="es-ES_tradnl"/>
        </w:rPr>
      </w:pPr>
      <w:r w:rsidRPr="00403007">
        <w:rPr>
          <w:rFonts w:ascii="Arial" w:eastAsia="Calibri" w:hAnsi="Arial" w:cs="Arial"/>
          <w:b/>
          <w:lang w:val="es-ES_tradnl"/>
        </w:rPr>
        <w:tab/>
      </w:r>
      <w:r w:rsidRPr="00403007">
        <w:rPr>
          <w:rFonts w:ascii="Arial" w:eastAsia="Calibri" w:hAnsi="Arial" w:cs="Arial"/>
          <w:lang w:val="es-ES_tradnl"/>
        </w:rPr>
        <w:t>En este contexto, el Gobierno nacional expidió el Decreto 1860 del 24 de diciembre de 2021,</w:t>
      </w:r>
      <w:r w:rsidRPr="00403007">
        <w:rPr>
          <w:rFonts w:ascii="Arial" w:hAnsi="Arial" w:cs="Arial"/>
        </w:rPr>
        <w:t xml:space="preserve"> </w:t>
      </w:r>
      <w:r w:rsidRPr="00403007">
        <w:rPr>
          <w:rFonts w:ascii="Arial" w:eastAsia="Calibri" w:hAnsi="Arial"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como indica el artículo 1 del Decreto 1860 de 2021</w:t>
      </w:r>
      <w:r w:rsidRPr="00403007">
        <w:rPr>
          <w:rStyle w:val="Refdenotaalpie"/>
          <w:rFonts w:ascii="Arial" w:eastAsia="Calibri" w:hAnsi="Arial" w:cs="Arial"/>
          <w:lang w:val="es-ES_tradnl"/>
        </w:rPr>
        <w:footnoteReference w:id="22"/>
      </w:r>
      <w:r w:rsidRPr="00403007">
        <w:rPr>
          <w:rFonts w:ascii="Arial" w:eastAsia="Calibri" w:hAnsi="Arial" w:cs="Arial"/>
          <w:lang w:val="es-ES_tradnl"/>
        </w:rPr>
        <w:t xml:space="preserve">.  </w:t>
      </w:r>
    </w:p>
    <w:p w14:paraId="22B73D2A" w14:textId="05BDFC06" w:rsidR="00116BCB" w:rsidRPr="00403007" w:rsidRDefault="00294845" w:rsidP="002B2C83">
      <w:pPr>
        <w:spacing w:after="0" w:line="276" w:lineRule="auto"/>
        <w:ind w:firstLine="708"/>
        <w:jc w:val="both"/>
        <w:rPr>
          <w:rFonts w:ascii="Arial" w:eastAsia="Calibri" w:hAnsi="Arial" w:cs="Arial"/>
          <w:lang w:val="es-ES"/>
        </w:rPr>
      </w:pPr>
      <w:r w:rsidRPr="02E3505A">
        <w:rPr>
          <w:rFonts w:ascii="Arial" w:eastAsia="Calibri" w:hAnsi="Arial" w:cs="Arial"/>
          <w:lang w:val="es-ES"/>
        </w:rPr>
        <w:lastRenderedPageBreak/>
        <w:t xml:space="preserve">En desarrollo de lo dispuesto el Decreto 1860 de 2021 adicionó </w:t>
      </w:r>
      <w:r w:rsidR="00F4699C" w:rsidRPr="02E3505A">
        <w:rPr>
          <w:rFonts w:ascii="Arial" w:eastAsia="Calibri" w:hAnsi="Arial" w:cs="Arial"/>
          <w:lang w:val="es-ES"/>
        </w:rPr>
        <w:t xml:space="preserve">los </w:t>
      </w:r>
      <w:r w:rsidRPr="02E3505A">
        <w:rPr>
          <w:rFonts w:ascii="Arial" w:eastAsia="Calibri" w:hAnsi="Arial" w:cs="Arial"/>
          <w:lang w:val="es-ES"/>
        </w:rPr>
        <w:t>artículo</w:t>
      </w:r>
      <w:r w:rsidR="00F4699C" w:rsidRPr="02E3505A">
        <w:rPr>
          <w:rFonts w:ascii="Arial" w:eastAsia="Calibri" w:hAnsi="Arial" w:cs="Arial"/>
          <w:lang w:val="es-ES"/>
        </w:rPr>
        <w:t>s</w:t>
      </w:r>
      <w:r w:rsidR="00116BCB" w:rsidRPr="02E3505A">
        <w:rPr>
          <w:rFonts w:ascii="Arial" w:eastAsia="Calibri" w:hAnsi="Arial" w:cs="Arial"/>
          <w:lang w:val="es-ES"/>
        </w:rPr>
        <w:t xml:space="preserve">. </w:t>
      </w:r>
      <w:r w:rsidRPr="02E3505A">
        <w:rPr>
          <w:rFonts w:ascii="Arial" w:eastAsia="Calibri" w:hAnsi="Arial" w:cs="Arial"/>
          <w:lang w:val="es-ES"/>
        </w:rPr>
        <w:t xml:space="preserve">2.2.1.2.4.2.14 </w:t>
      </w:r>
      <w:r w:rsidR="00116BCB" w:rsidRPr="02E3505A">
        <w:rPr>
          <w:rFonts w:ascii="Arial" w:eastAsia="Calibri" w:hAnsi="Arial" w:cs="Arial"/>
          <w:lang w:val="es-ES"/>
        </w:rPr>
        <w:t xml:space="preserve">y 2.2.1.2.4.2.18 </w:t>
      </w:r>
      <w:r w:rsidRPr="02E3505A">
        <w:rPr>
          <w:rFonts w:ascii="Arial" w:eastAsia="Calibri" w:hAnsi="Arial" w:cs="Arial"/>
          <w:lang w:val="es-ES"/>
        </w:rPr>
        <w:t xml:space="preserve">al Decreto 1082 de 2015. </w:t>
      </w:r>
      <w:r w:rsidR="483E079D" w:rsidRPr="02E3505A">
        <w:rPr>
          <w:rFonts w:ascii="Arial" w:eastAsia="Calibri" w:hAnsi="Arial" w:cs="Arial"/>
          <w:lang w:val="es-ES"/>
        </w:rPr>
        <w:t>Esta</w:t>
      </w:r>
      <w:r w:rsidRPr="02E3505A">
        <w:rPr>
          <w:rFonts w:ascii="Arial" w:eastAsia="Calibri" w:hAnsi="Arial" w:cs="Arial"/>
          <w:lang w:val="es-ES"/>
        </w:rPr>
        <w:t xml:space="preserve"> norma establece las condiciones y requisitos en atención a los cuales se definen los empresas y emprendimientos de mujeres, a las que les aplican los criterios diferenciales</w:t>
      </w:r>
      <w:r w:rsidR="00116BCB" w:rsidRPr="02E3505A">
        <w:rPr>
          <w:rFonts w:ascii="Arial" w:eastAsia="Calibri" w:hAnsi="Arial" w:cs="Arial"/>
          <w:lang w:val="es-ES"/>
        </w:rPr>
        <w:t xml:space="preserve"> al igual que a MiPymes en el sistema de compras públicas</w:t>
      </w:r>
      <w:r w:rsidRPr="02E3505A">
        <w:rPr>
          <w:rFonts w:ascii="Arial" w:eastAsia="Calibri" w:hAnsi="Arial" w:cs="Arial"/>
          <w:lang w:val="es-ES"/>
        </w:rPr>
        <w:t xml:space="preserve">. Para estos efectos, cada uno de los </w:t>
      </w:r>
      <w:r w:rsidR="00116BCB" w:rsidRPr="02E3505A">
        <w:rPr>
          <w:rFonts w:ascii="Arial" w:eastAsia="Calibri" w:hAnsi="Arial" w:cs="Arial"/>
          <w:lang w:val="es-ES"/>
        </w:rPr>
        <w:t xml:space="preserve">artículos mencionados </w:t>
      </w:r>
      <w:r w:rsidRPr="02E3505A">
        <w:rPr>
          <w:rFonts w:ascii="Arial" w:eastAsia="Calibri" w:hAnsi="Arial" w:cs="Arial"/>
          <w:lang w:val="es-ES"/>
        </w:rPr>
        <w:t xml:space="preserve">establecen unas condiciones alternativas </w:t>
      </w:r>
      <w:r w:rsidR="00116BCB" w:rsidRPr="02E3505A">
        <w:rPr>
          <w:rFonts w:ascii="Arial" w:eastAsia="Calibri" w:hAnsi="Arial" w:cs="Arial"/>
          <w:lang w:val="es-ES"/>
        </w:rPr>
        <w:t>para</w:t>
      </w:r>
      <w:r w:rsidRPr="02E3505A">
        <w:rPr>
          <w:rFonts w:ascii="Arial" w:eastAsia="Calibri" w:hAnsi="Arial" w:cs="Arial"/>
          <w:lang w:val="es-ES"/>
        </w:rPr>
        <w:t xml:space="preserve"> aplicar los criterios diferenciales. </w:t>
      </w:r>
    </w:p>
    <w:p w14:paraId="51771447" w14:textId="77777777" w:rsidR="00116BCB" w:rsidRPr="00403007" w:rsidRDefault="00116BCB" w:rsidP="002B2C83">
      <w:pPr>
        <w:spacing w:after="0" w:line="276" w:lineRule="auto"/>
        <w:ind w:firstLine="708"/>
        <w:jc w:val="both"/>
        <w:rPr>
          <w:rFonts w:ascii="Arial" w:eastAsia="Calibri" w:hAnsi="Arial" w:cs="Arial"/>
          <w:lang w:val="es-ES_tradnl"/>
        </w:rPr>
      </w:pPr>
    </w:p>
    <w:p w14:paraId="36514C9E" w14:textId="77777777" w:rsidR="00556F9F" w:rsidRPr="00403007" w:rsidRDefault="00294845" w:rsidP="00556F9F">
      <w:pPr>
        <w:spacing w:after="0" w:line="276" w:lineRule="auto"/>
        <w:ind w:firstLine="708"/>
        <w:jc w:val="both"/>
        <w:rPr>
          <w:rFonts w:ascii="Arial" w:eastAsia="Calibri" w:hAnsi="Arial" w:cs="Arial"/>
          <w:color w:val="000000" w:themeColor="text1"/>
        </w:rPr>
      </w:pPr>
      <w:r w:rsidRPr="00403007">
        <w:rPr>
          <w:rFonts w:ascii="Arial" w:eastAsia="Calibri" w:hAnsi="Arial" w:cs="Arial"/>
          <w:lang w:val="es-ES_tradnl"/>
        </w:rPr>
        <w:t>Para la consulta es relevante</w:t>
      </w:r>
      <w:r w:rsidR="00E94827" w:rsidRPr="00403007">
        <w:rPr>
          <w:rFonts w:ascii="Arial" w:eastAsia="Calibri" w:hAnsi="Arial" w:cs="Arial"/>
          <w:lang w:val="es-ES_tradnl"/>
        </w:rPr>
        <w:t xml:space="preserve">, determinar el alcance que tienen el diligenciamiento del </w:t>
      </w:r>
      <w:r w:rsidRPr="00403007">
        <w:rPr>
          <w:rFonts w:ascii="Arial" w:eastAsia="Calibri" w:hAnsi="Arial" w:cs="Arial"/>
          <w:color w:val="000000" w:themeColor="text1"/>
        </w:rPr>
        <w:t>l</w:t>
      </w:r>
      <w:r w:rsidR="00E94827" w:rsidRPr="00403007">
        <w:rPr>
          <w:rFonts w:ascii="Arial" w:eastAsia="Calibri" w:hAnsi="Arial" w:cs="Arial"/>
          <w:color w:val="000000" w:themeColor="text1"/>
        </w:rPr>
        <w:t>os</w:t>
      </w:r>
      <w:r w:rsidRPr="00403007">
        <w:rPr>
          <w:rFonts w:ascii="Arial" w:eastAsia="Calibri" w:hAnsi="Arial" w:cs="Arial"/>
          <w:color w:val="000000" w:themeColor="text1"/>
        </w:rPr>
        <w:t xml:space="preserve"> “Formato 12 – Acreditación emprendimiento y empresa de mujeres”</w:t>
      </w:r>
      <w:r w:rsidR="00E94827" w:rsidRPr="00403007">
        <w:rPr>
          <w:rFonts w:ascii="Arial" w:eastAsia="Calibri" w:hAnsi="Arial" w:cs="Arial"/>
          <w:color w:val="000000" w:themeColor="text1"/>
        </w:rPr>
        <w:t xml:space="preserve"> y </w:t>
      </w:r>
      <w:r w:rsidR="00404172" w:rsidRPr="00403007">
        <w:rPr>
          <w:rFonts w:ascii="Arial" w:eastAsia="Calibri" w:hAnsi="Arial" w:cs="Arial"/>
          <w:color w:val="000000" w:themeColor="text1"/>
        </w:rPr>
        <w:t xml:space="preserve">“Formato 13 – Acreditación </w:t>
      </w:r>
      <w:r w:rsidR="00D36C65" w:rsidRPr="00403007">
        <w:rPr>
          <w:rFonts w:ascii="Arial" w:eastAsia="Calibri" w:hAnsi="Arial" w:cs="Arial"/>
          <w:color w:val="000000" w:themeColor="text1"/>
        </w:rPr>
        <w:t>MiPyme” de</w:t>
      </w:r>
      <w:r w:rsidRPr="00403007">
        <w:rPr>
          <w:rFonts w:ascii="Arial" w:eastAsia="Calibri" w:hAnsi="Arial" w:cs="Arial"/>
          <w:color w:val="000000" w:themeColor="text1"/>
        </w:rPr>
        <w:t xml:space="preserve"> los documentos tipo </w:t>
      </w:r>
      <w:r w:rsidR="00404172" w:rsidRPr="00403007">
        <w:rPr>
          <w:rFonts w:ascii="Arial" w:eastAsia="Calibri" w:hAnsi="Arial" w:cs="Arial"/>
          <w:color w:val="000000" w:themeColor="text1"/>
        </w:rPr>
        <w:t xml:space="preserve">adoptados por esta Agencia. </w:t>
      </w:r>
      <w:r w:rsidR="00D36C65" w:rsidRPr="00403007">
        <w:rPr>
          <w:rFonts w:ascii="Arial" w:eastAsia="Calibri" w:hAnsi="Arial" w:cs="Arial"/>
          <w:color w:val="000000" w:themeColor="text1"/>
        </w:rPr>
        <w:t>Teniendo en cuenta ello, y que en su consulta no define a que documento tipo en específico hace alusión, a manera de ejemplo, se citará lo contenido en el documento tipo para licitación pública de infraestructura de transporte.</w:t>
      </w:r>
      <w:r w:rsidR="00A86BE6" w:rsidRPr="00403007">
        <w:rPr>
          <w:rFonts w:ascii="Arial" w:eastAsia="Calibri" w:hAnsi="Arial" w:cs="Arial"/>
          <w:color w:val="000000" w:themeColor="text1"/>
        </w:rPr>
        <w:t xml:space="preserve"> </w:t>
      </w:r>
    </w:p>
    <w:p w14:paraId="415E77F4" w14:textId="77777777" w:rsidR="00556F9F" w:rsidRPr="00403007" w:rsidRDefault="00556F9F" w:rsidP="00556F9F">
      <w:pPr>
        <w:spacing w:after="0" w:line="276" w:lineRule="auto"/>
        <w:ind w:firstLine="708"/>
        <w:jc w:val="both"/>
        <w:rPr>
          <w:rFonts w:ascii="Arial" w:eastAsia="Calibri" w:hAnsi="Arial" w:cs="Arial"/>
          <w:color w:val="000000" w:themeColor="text1"/>
        </w:rPr>
      </w:pPr>
    </w:p>
    <w:p w14:paraId="3EF531B5" w14:textId="56EAFFCB" w:rsidR="00294845" w:rsidRPr="00403007" w:rsidRDefault="00556F9F" w:rsidP="009C60AA">
      <w:pPr>
        <w:spacing w:after="0" w:line="276" w:lineRule="auto"/>
        <w:ind w:firstLine="708"/>
        <w:jc w:val="both"/>
        <w:rPr>
          <w:rFonts w:ascii="Arial" w:eastAsia="Calibri" w:hAnsi="Arial" w:cs="Arial"/>
          <w:color w:val="000000" w:themeColor="text1"/>
        </w:rPr>
      </w:pPr>
      <w:r w:rsidRPr="00403007">
        <w:rPr>
          <w:rFonts w:ascii="Arial" w:eastAsia="Calibri" w:hAnsi="Arial" w:cs="Arial"/>
          <w:color w:val="000000" w:themeColor="text1"/>
        </w:rPr>
        <w:t xml:space="preserve">En el primer formato, correspondiente al de acreditación de emprendimientos y empresas de mujeres, se indica que: “Este Formato debe diligenciarse por los Proponentes personas jurídicas o los integrantes que sean personas jurídicas del Proponente Plural cuyo porcentaje de participación sea al menos del diez por ciento (10 %) y acrediten la condición de emprendimientos y empresas de mujeres”. </w:t>
      </w:r>
      <w:r w:rsidR="00294845" w:rsidRPr="00403007">
        <w:rPr>
          <w:rFonts w:ascii="Arial" w:eastAsia="Calibri" w:hAnsi="Arial" w:cs="Arial"/>
          <w:color w:val="000000" w:themeColor="text1"/>
        </w:rPr>
        <w:t xml:space="preserve">A </w:t>
      </w:r>
      <w:r w:rsidR="00D36C65" w:rsidRPr="00403007">
        <w:rPr>
          <w:rFonts w:ascii="Arial" w:eastAsia="Calibri" w:hAnsi="Arial" w:cs="Arial"/>
          <w:color w:val="000000" w:themeColor="text1"/>
        </w:rPr>
        <w:t>continuación,</w:t>
      </w:r>
      <w:r w:rsidR="00294845" w:rsidRPr="00403007">
        <w:rPr>
          <w:rFonts w:ascii="Arial" w:eastAsia="Calibri" w:hAnsi="Arial" w:cs="Arial"/>
          <w:color w:val="000000" w:themeColor="text1"/>
        </w:rPr>
        <w:t xml:space="preserve"> señala lo siguiente: “</w:t>
      </w:r>
      <w:r w:rsidR="009C60AA" w:rsidRPr="00403007">
        <w:rPr>
          <w:rFonts w:ascii="Arial" w:eastAsia="Calibri" w:hAnsi="Arial" w:cs="Arial"/>
          <w:color w:val="000000" w:themeColor="text1"/>
        </w:rPr>
        <w:t>[El Proponente escogerá una de las siguientes dos (2) opciones para acreditar la condición de emprendimiento y empresa de mujer:] [Opción 1. Incorporar si la participación accionaria de la persona jurídica en su mayoría son mujeres y los derechos de propiedad han pertenecido a éstas durante el último año.] (…)</w:t>
      </w:r>
      <w:r w:rsidR="00294845" w:rsidRPr="00403007">
        <w:rPr>
          <w:rFonts w:ascii="Arial" w:eastAsia="Calibri" w:hAnsi="Arial" w:cs="Arial"/>
          <w:color w:val="000000" w:themeColor="text1"/>
        </w:rPr>
        <w:t xml:space="preserve">”. </w:t>
      </w:r>
    </w:p>
    <w:p w14:paraId="4F0291A7" w14:textId="77777777" w:rsidR="00944514" w:rsidRPr="00403007" w:rsidRDefault="00944514" w:rsidP="009C60AA">
      <w:pPr>
        <w:spacing w:after="0" w:line="276" w:lineRule="auto"/>
        <w:ind w:firstLine="708"/>
        <w:jc w:val="both"/>
        <w:rPr>
          <w:rFonts w:ascii="Arial" w:eastAsia="Calibri" w:hAnsi="Arial" w:cs="Arial"/>
          <w:color w:val="000000" w:themeColor="text1"/>
        </w:rPr>
      </w:pPr>
    </w:p>
    <w:p w14:paraId="0E63607A" w14:textId="7374BE32" w:rsidR="0045246E" w:rsidRPr="00403007" w:rsidRDefault="00294845" w:rsidP="00294845">
      <w:pPr>
        <w:spacing w:after="120" w:line="276" w:lineRule="auto"/>
        <w:jc w:val="both"/>
        <w:rPr>
          <w:rFonts w:ascii="Arial" w:eastAsia="Calibri" w:hAnsi="Arial" w:cs="Arial"/>
          <w:color w:val="000000" w:themeColor="text1"/>
        </w:rPr>
      </w:pPr>
      <w:r w:rsidRPr="00403007">
        <w:rPr>
          <w:rFonts w:ascii="Arial" w:eastAsia="Calibri" w:hAnsi="Arial" w:cs="Arial"/>
          <w:color w:val="000000" w:themeColor="text1"/>
        </w:rPr>
        <w:tab/>
        <w:t xml:space="preserve">El cuadro debe diligenciarse respecto </w:t>
      </w:r>
      <w:r w:rsidR="00C77175" w:rsidRPr="00403007">
        <w:rPr>
          <w:rFonts w:ascii="Arial" w:eastAsia="Calibri" w:hAnsi="Arial" w:cs="Arial"/>
          <w:color w:val="000000" w:themeColor="text1"/>
        </w:rPr>
        <w:t>de las</w:t>
      </w:r>
      <w:r w:rsidRPr="00403007">
        <w:rPr>
          <w:rFonts w:ascii="Arial" w:eastAsia="Calibri" w:hAnsi="Arial" w:cs="Arial"/>
          <w:color w:val="000000" w:themeColor="text1"/>
        </w:rPr>
        <w:t xml:space="preserve"> </w:t>
      </w:r>
      <w:r w:rsidR="00C77175" w:rsidRPr="00403007">
        <w:rPr>
          <w:rFonts w:ascii="Arial" w:eastAsia="Calibri" w:hAnsi="Arial" w:cs="Arial"/>
          <w:color w:val="000000" w:themeColor="text1"/>
        </w:rPr>
        <w:t xml:space="preserve">mujeres (s) que tienen o tuvieron participación durante el último año en la persona jurídica, relacionando </w:t>
      </w:r>
      <w:r w:rsidR="008F2F4C" w:rsidRPr="00403007">
        <w:rPr>
          <w:rFonts w:ascii="Arial" w:eastAsia="Calibri" w:hAnsi="Arial" w:cs="Arial"/>
          <w:color w:val="000000" w:themeColor="text1"/>
        </w:rPr>
        <w:t>su número de acciones, partes de interés o cuotas de participación en la persona jurídica</w:t>
      </w:r>
      <w:r w:rsidRPr="00403007">
        <w:rPr>
          <w:rFonts w:ascii="Arial" w:eastAsia="Calibri" w:hAnsi="Arial" w:cs="Arial"/>
          <w:color w:val="000000" w:themeColor="text1"/>
        </w:rPr>
        <w:t xml:space="preserve">. Esto es importante para determinar </w:t>
      </w:r>
      <w:r w:rsidR="0045246E" w:rsidRPr="00403007">
        <w:rPr>
          <w:rFonts w:ascii="Arial" w:eastAsia="Calibri" w:hAnsi="Arial" w:cs="Arial"/>
          <w:color w:val="000000" w:themeColor="text1"/>
        </w:rPr>
        <w:t xml:space="preserve">y verificar si el proponente cumple con </w:t>
      </w:r>
      <w:r w:rsidRPr="00403007">
        <w:rPr>
          <w:rFonts w:ascii="Arial" w:eastAsia="Calibri" w:hAnsi="Arial" w:cs="Arial"/>
          <w:color w:val="000000" w:themeColor="text1"/>
        </w:rPr>
        <w:t xml:space="preserve">el porcentaje </w:t>
      </w:r>
      <w:r w:rsidR="0045246E" w:rsidRPr="00403007">
        <w:rPr>
          <w:rFonts w:ascii="Arial" w:eastAsia="Calibri" w:hAnsi="Arial" w:cs="Arial"/>
          <w:color w:val="000000" w:themeColor="text1"/>
        </w:rPr>
        <w:t xml:space="preserve">del cincuenta por ciento (50 %) de las acciones, partes de interés o cuotas de participación de la persona jurídica pertenecen a mujeres y los derechos de propiedad han pertenecido a </w:t>
      </w:r>
      <w:r w:rsidR="0045246E" w:rsidRPr="00403007">
        <w:rPr>
          <w:rFonts w:ascii="Arial" w:eastAsia="Calibri" w:hAnsi="Arial" w:cs="Arial"/>
          <w:color w:val="000000" w:themeColor="text1"/>
        </w:rPr>
        <w:lastRenderedPageBreak/>
        <w:t>estas durante al menos el último año anterior a la fecha de cierre del Proceso de Contratación y con ellos ser acreedores del puntaje respectivo y de los criterios diferenciales de</w:t>
      </w:r>
      <w:r w:rsidR="000C28E5" w:rsidRPr="00403007">
        <w:rPr>
          <w:rFonts w:ascii="Arial" w:eastAsia="Calibri" w:hAnsi="Arial" w:cs="Arial"/>
          <w:color w:val="000000" w:themeColor="text1"/>
        </w:rPr>
        <w:t>l proceso de selección conforme lo estipulado en el artículo 2.2.1.2.4.2.15 del Decreto 1082 de 2015 y no para acreditar la experiencia transferida por los socios en función de su porcentaje participación.</w:t>
      </w:r>
    </w:p>
    <w:p w14:paraId="15DC5423" w14:textId="77777777" w:rsidR="000C28E5" w:rsidRPr="00403007" w:rsidRDefault="000C28E5" w:rsidP="008C767E">
      <w:pPr>
        <w:spacing w:after="120" w:line="276" w:lineRule="auto"/>
        <w:ind w:firstLine="708"/>
        <w:jc w:val="both"/>
        <w:rPr>
          <w:rFonts w:ascii="Arial" w:eastAsia="Calibri" w:hAnsi="Arial" w:cs="Arial"/>
          <w:color w:val="000000" w:themeColor="text1"/>
        </w:rPr>
      </w:pPr>
    </w:p>
    <w:p w14:paraId="2DA49838" w14:textId="0B9C4E0B" w:rsidR="00B63E99" w:rsidRPr="00403007" w:rsidRDefault="000C28E5" w:rsidP="007E793F">
      <w:pPr>
        <w:spacing w:after="120" w:line="276" w:lineRule="auto"/>
        <w:jc w:val="both"/>
        <w:rPr>
          <w:rFonts w:ascii="Arial" w:hAnsi="Arial" w:cs="Arial"/>
        </w:rPr>
      </w:pPr>
      <w:r w:rsidRPr="00403007">
        <w:rPr>
          <w:rFonts w:ascii="Arial" w:eastAsia="Calibri" w:hAnsi="Arial" w:cs="Arial"/>
          <w:color w:val="000000" w:themeColor="text1"/>
        </w:rPr>
        <w:t>En ese mismo sentido, el Formato 13</w:t>
      </w:r>
      <w:r w:rsidR="00DB2378" w:rsidRPr="00403007">
        <w:rPr>
          <w:rFonts w:ascii="Arial" w:eastAsia="Calibri" w:hAnsi="Arial" w:cs="Arial"/>
          <w:color w:val="000000" w:themeColor="text1"/>
        </w:rPr>
        <w:t xml:space="preserve"> para la acreditación de MiPyme, inicia indicando que “[El interesado persona natural que solicita limitar la convocatoria del Proceso de Contratación a Mipyme, acreditará la condición de Mipyme con el diligenciamiento de este Formato y entregará los documentos requeridos en el artículo 2.2.1.2.4.2.4. del Decreto 1082 de 2015. En todo caso, cuando la calidad de Mipyme se acredite con la presentación del RUP vigente y en firme, no será necesario diligenciar este Formato ni aportar los mencionados documentos].” En ese orden de ideas, tampoco tiene relación con acreditar la experiencia transferida por los socios en función de su porcentaje participación</w:t>
      </w:r>
      <w:r w:rsidR="00E51BE4" w:rsidRPr="00403007">
        <w:rPr>
          <w:rFonts w:ascii="Arial" w:eastAsia="Calibri" w:hAnsi="Arial" w:cs="Arial"/>
          <w:color w:val="000000" w:themeColor="text1"/>
        </w:rPr>
        <w:t xml:space="preserve">, ni mucho menos con el documento solicitado en el Documento Base del documento pliego </w:t>
      </w:r>
      <w:r w:rsidR="00E51BE4" w:rsidRPr="00403007">
        <w:rPr>
          <w:rFonts w:ascii="Arial" w:eastAsia="Calibri" w:hAnsi="Arial" w:cs="Arial"/>
        </w:rPr>
        <w:t>como criterio para acreditar la experiencia exigida</w:t>
      </w:r>
      <w:r w:rsidR="00D25D79" w:rsidRPr="00403007">
        <w:rPr>
          <w:rFonts w:ascii="Arial" w:eastAsia="Calibri" w:hAnsi="Arial" w:cs="Arial"/>
        </w:rPr>
        <w:t>, que c</w:t>
      </w:r>
      <w:r w:rsidR="00294845" w:rsidRPr="00403007">
        <w:rPr>
          <w:rFonts w:ascii="Arial" w:eastAsia="Calibri" w:hAnsi="Arial" w:cs="Arial"/>
          <w:color w:val="000000" w:themeColor="text1"/>
        </w:rPr>
        <w:t xml:space="preserve">omo se explicó </w:t>
      </w:r>
      <w:r w:rsidR="00294845" w:rsidRPr="00403007">
        <w:rPr>
          <w:rFonts w:ascii="Arial" w:eastAsia="Calibri" w:hAnsi="Arial" w:cs="Arial"/>
          <w:i/>
          <w:color w:val="000000" w:themeColor="text1"/>
        </w:rPr>
        <w:t>ut supra</w:t>
      </w:r>
      <w:r w:rsidR="00294845" w:rsidRPr="00403007">
        <w:rPr>
          <w:rFonts w:ascii="Arial" w:eastAsia="Calibri" w:hAnsi="Arial" w:cs="Arial"/>
          <w:color w:val="000000" w:themeColor="text1"/>
        </w:rPr>
        <w:t xml:space="preserve">, el cumplimiento de este requisito se valida fundamentalmente </w:t>
      </w:r>
      <w:r w:rsidR="00D25D79" w:rsidRPr="00403007">
        <w:rPr>
          <w:rFonts w:ascii="Arial" w:eastAsia="Calibri" w:hAnsi="Arial" w:cs="Arial"/>
          <w:color w:val="000000" w:themeColor="text1"/>
        </w:rPr>
        <w:t>con el RUP</w:t>
      </w:r>
      <w:r w:rsidR="00B63E99" w:rsidRPr="00403007">
        <w:rPr>
          <w:rFonts w:ascii="Arial" w:eastAsia="Calibri" w:hAnsi="Arial" w:cs="Arial"/>
          <w:color w:val="000000" w:themeColor="text1"/>
        </w:rPr>
        <w:t xml:space="preserve">, y en el caso de procesos adelantados bajo documentos pliego tipo, </w:t>
      </w:r>
      <w:r w:rsidR="007E793F" w:rsidRPr="00403007">
        <w:rPr>
          <w:rFonts w:ascii="Arial" w:eastAsia="Calibri" w:hAnsi="Arial" w:cs="Arial"/>
          <w:color w:val="000000" w:themeColor="text1"/>
        </w:rPr>
        <w:t xml:space="preserve">además con </w:t>
      </w:r>
      <w:r w:rsidR="00B63E99" w:rsidRPr="00403007">
        <w:rPr>
          <w:rFonts w:ascii="Arial" w:eastAsia="Calibri" w:hAnsi="Arial" w:cs="Arial"/>
        </w:rPr>
        <w:t>un documento suscrito por el representante legal y el revisor fiscal o contador público (según corresponda) donde se indique la conformación de la persona jurídica,</w:t>
      </w:r>
      <w:r w:rsidR="007E793F" w:rsidRPr="00403007">
        <w:rPr>
          <w:rFonts w:ascii="Arial" w:eastAsia="Calibri" w:hAnsi="Arial" w:cs="Arial"/>
        </w:rPr>
        <w:t xml:space="preserve"> </w:t>
      </w:r>
      <w:r w:rsidR="00B63E99" w:rsidRPr="00403007">
        <w:rPr>
          <w:rFonts w:ascii="Arial" w:eastAsia="Calibri" w:hAnsi="Arial" w:cs="Arial"/>
        </w:rPr>
        <w:t>, el cual</w:t>
      </w:r>
      <w:r w:rsidR="007E793F" w:rsidRPr="00403007">
        <w:rPr>
          <w:rFonts w:ascii="Arial" w:eastAsia="Calibri" w:hAnsi="Arial" w:cs="Arial"/>
        </w:rPr>
        <w:t xml:space="preserve">, como se expuso previamente </w:t>
      </w:r>
      <w:r w:rsidR="00B63E99" w:rsidRPr="00403007">
        <w:rPr>
          <w:rFonts w:ascii="Arial" w:eastAsia="Calibri" w:hAnsi="Arial" w:cs="Arial"/>
        </w:rPr>
        <w:t xml:space="preserve">es susceptible de subsanación si la experiencia exigida se encuentra como requisito habilitante y no ponderable o calificable como se expondrá </w:t>
      </w:r>
      <w:r w:rsidR="007E793F" w:rsidRPr="00403007">
        <w:rPr>
          <w:rFonts w:ascii="Arial" w:eastAsia="Calibri" w:hAnsi="Arial" w:cs="Arial"/>
        </w:rPr>
        <w:t>a continuación</w:t>
      </w:r>
    </w:p>
    <w:p w14:paraId="09C8867E" w14:textId="7C34F872" w:rsidR="00B13358" w:rsidRPr="00403007" w:rsidRDefault="00B13358" w:rsidP="00B13358">
      <w:pPr>
        <w:pStyle w:val="Prrafodelista"/>
        <w:numPr>
          <w:ilvl w:val="1"/>
          <w:numId w:val="6"/>
        </w:numPr>
        <w:tabs>
          <w:tab w:val="left" w:pos="709"/>
        </w:tabs>
        <w:spacing w:after="0" w:line="276" w:lineRule="auto"/>
        <w:jc w:val="both"/>
        <w:rPr>
          <w:rFonts w:ascii="Arial" w:eastAsia="Calibri" w:hAnsi="Arial" w:cs="Arial"/>
          <w:b/>
        </w:rPr>
      </w:pPr>
      <w:r w:rsidRPr="00403007">
        <w:rPr>
          <w:rFonts w:ascii="Arial" w:eastAsia="Calibri" w:hAnsi="Arial" w:cs="Arial"/>
          <w:b/>
          <w:color w:val="000000" w:themeColor="text1"/>
          <w:lang w:eastAsia="es-MX"/>
        </w:rPr>
        <w:t>Subsanabilidad de las ofertas</w:t>
      </w:r>
    </w:p>
    <w:p w14:paraId="7FE30D91" w14:textId="77777777" w:rsidR="0004459C" w:rsidRPr="00403007" w:rsidRDefault="0004459C" w:rsidP="0004459C">
      <w:pPr>
        <w:tabs>
          <w:tab w:val="left" w:pos="709"/>
        </w:tabs>
        <w:spacing w:after="0" w:line="276" w:lineRule="auto"/>
        <w:jc w:val="both"/>
        <w:rPr>
          <w:rFonts w:ascii="Arial" w:eastAsia="Calibri" w:hAnsi="Arial" w:cs="Arial"/>
          <w:b/>
        </w:rPr>
      </w:pPr>
    </w:p>
    <w:p w14:paraId="4E9142CD" w14:textId="5ED4F9C0" w:rsidR="00857CB6" w:rsidRPr="00403007" w:rsidRDefault="005C65AB" w:rsidP="007E793F">
      <w:pPr>
        <w:spacing w:line="276" w:lineRule="auto"/>
        <w:jc w:val="both"/>
        <w:rPr>
          <w:rFonts w:ascii="Arial" w:hAnsi="Arial" w:cs="Arial"/>
          <w:lang w:val="es-ES_tradnl"/>
        </w:rPr>
      </w:pPr>
      <w:r w:rsidRPr="00403007">
        <w:rPr>
          <w:rFonts w:ascii="Arial" w:hAnsi="Arial" w:cs="Arial"/>
          <w:lang w:val="es-ES_tradnl"/>
        </w:rPr>
        <w:t>P</w:t>
      </w:r>
      <w:r w:rsidR="00857CB6" w:rsidRPr="00403007">
        <w:rPr>
          <w:rFonts w:ascii="Arial" w:hAnsi="Arial" w:cs="Arial"/>
          <w:lang w:val="es-ES_tradnl"/>
        </w:rPr>
        <w:t>or regla general, la falta de entrega y los defectos, en la acreditación de los requisitos habilitantes</w:t>
      </w:r>
      <w:r w:rsidRPr="00403007">
        <w:rPr>
          <w:rFonts w:ascii="Arial" w:hAnsi="Arial" w:cs="Arial"/>
          <w:lang w:val="es-ES_tradnl"/>
        </w:rPr>
        <w:t xml:space="preserve"> de la oferta presentada por los proponentes</w:t>
      </w:r>
      <w:r w:rsidR="00857CB6" w:rsidRPr="00403007">
        <w:rPr>
          <w:rFonts w:ascii="Arial" w:hAnsi="Arial" w:cs="Arial"/>
          <w:lang w:val="es-ES_tradnl"/>
        </w:rPr>
        <w:t xml:space="preserve"> son aspectos subsanables. La excepción se encuentra en los casos, previstos en la ley, que limitan la subsanabilidad, por ejemplo, en la prohibición de permitir la entrega de la garantía de seriedad de la oferta que no fue aportada con la propuesta 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 </w:t>
      </w:r>
    </w:p>
    <w:p w14:paraId="35BC8139"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En un </w:t>
      </w:r>
      <w:r w:rsidRPr="00403007">
        <w:rPr>
          <w:rFonts w:ascii="Arial" w:hAnsi="Arial" w:cs="Arial"/>
          <w:i/>
          <w:lang w:val="es-ES_tradnl"/>
        </w:rPr>
        <w:t>primer momento</w:t>
      </w:r>
      <w:r w:rsidRPr="00403007">
        <w:rPr>
          <w:rFonts w:ascii="Arial" w:hAnsi="Arial" w:cs="Arial"/>
          <w:lang w:val="es-ES_tradnl"/>
        </w:rPr>
        <w:t xml:space="preserve">, antes de la entrada en vigor de la Constitución Política de 1991, el régimen jurídico de la subsanabilidad de las ofertas estaba compuesto por el </w:t>
      </w:r>
      <w:r w:rsidRPr="00403007">
        <w:rPr>
          <w:rFonts w:ascii="Arial" w:hAnsi="Arial" w:cs="Arial"/>
          <w:lang w:val="es-ES_tradnl"/>
        </w:rPr>
        <w:lastRenderedPageBreak/>
        <w:t xml:space="preserve">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BB63DE1" w14:textId="77777777" w:rsidR="00857CB6" w:rsidRPr="00403007" w:rsidRDefault="00857CB6" w:rsidP="00857CB6">
      <w:pPr>
        <w:spacing w:before="120" w:line="276" w:lineRule="auto"/>
        <w:ind w:firstLine="709"/>
        <w:jc w:val="both"/>
        <w:rPr>
          <w:rFonts w:ascii="Arial" w:hAnsi="Arial" w:cs="Arial"/>
          <w:lang w:val="es-ES_tradnl"/>
        </w:rPr>
      </w:pPr>
      <w:r w:rsidRPr="00403007">
        <w:rPr>
          <w:rFonts w:ascii="Arial" w:hAnsi="Arial" w:cs="Arial"/>
          <w:lang w:val="es-ES_tradnl"/>
        </w:rPr>
        <w:t xml:space="preserve">En un </w:t>
      </w:r>
      <w:r w:rsidRPr="00403007">
        <w:rPr>
          <w:rFonts w:ascii="Arial" w:hAnsi="Arial" w:cs="Arial"/>
          <w:i/>
          <w:lang w:val="es-ES_tradnl"/>
        </w:rPr>
        <w:t>segundo momento</w:t>
      </w:r>
      <w:r w:rsidRPr="00403007">
        <w:rPr>
          <w:rFonts w:ascii="Arial" w:hAnsi="Arial" w:cs="Arial"/>
          <w:lang w:val="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39708FDE" w14:textId="69F2C91D" w:rsidR="00857CB6" w:rsidRPr="00403007" w:rsidRDefault="00AB5BE2" w:rsidP="00857CB6">
      <w:pPr>
        <w:spacing w:after="120" w:line="240" w:lineRule="auto"/>
        <w:ind w:left="709" w:right="709"/>
        <w:jc w:val="both"/>
        <w:rPr>
          <w:rFonts w:ascii="Arial" w:hAnsi="Arial" w:cs="Arial"/>
          <w:sz w:val="21"/>
          <w:szCs w:val="21"/>
          <w:lang w:val="es-ES_tradnl"/>
        </w:rPr>
      </w:pPr>
      <w:r w:rsidRPr="00403007">
        <w:rPr>
          <w:rFonts w:ascii="Arial" w:eastAsia="Arial" w:hAnsi="Arial" w:cs="Arial"/>
          <w:color w:val="000000"/>
          <w:sz w:val="21"/>
          <w:szCs w:val="21"/>
        </w:rPr>
        <w:t>“</w:t>
      </w:r>
      <w:r w:rsidR="00857CB6" w:rsidRPr="00403007">
        <w:rPr>
          <w:rFonts w:ascii="Arial" w:hAnsi="Arial"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2E4C1B28" w14:textId="207AF682" w:rsidR="00857CB6" w:rsidRPr="00403007" w:rsidRDefault="00857CB6" w:rsidP="00857CB6">
      <w:pPr>
        <w:spacing w:before="120" w:line="240" w:lineRule="auto"/>
        <w:ind w:left="709" w:right="709"/>
        <w:jc w:val="both"/>
        <w:rPr>
          <w:rFonts w:ascii="Arial" w:hAnsi="Arial" w:cs="Arial"/>
          <w:sz w:val="21"/>
          <w:szCs w:val="21"/>
          <w:lang w:val="es-ES_tradnl"/>
        </w:rPr>
      </w:pPr>
      <w:r w:rsidRPr="00403007">
        <w:rPr>
          <w:rFonts w:ascii="Arial" w:hAnsi="Arial" w:cs="Arial"/>
          <w:sz w:val="21"/>
          <w:szCs w:val="21"/>
          <w:lang w:val="es-ES_tradnl"/>
        </w:rPr>
        <w:t>La ausencia de requisitos o la falta de documentos referentes a la futura contratación o al proponente, no necesarios para la comparación de propuestas, no servirá de título suficiente para el rechazo de los ofrecimientos hechos.</w:t>
      </w:r>
      <w:r w:rsidR="00AB5BE2" w:rsidRPr="00403007">
        <w:rPr>
          <w:rFonts w:ascii="Arial" w:eastAsia="Arial" w:hAnsi="Arial" w:cs="Arial"/>
          <w:i/>
          <w:color w:val="000000"/>
          <w:sz w:val="21"/>
          <w:szCs w:val="21"/>
        </w:rPr>
        <w:t>”</w:t>
      </w:r>
      <w:r w:rsidRPr="00403007">
        <w:rPr>
          <w:rFonts w:ascii="Arial" w:hAnsi="Arial" w:cs="Arial"/>
          <w:sz w:val="21"/>
          <w:szCs w:val="21"/>
          <w:lang w:val="es-ES_tradnl"/>
        </w:rPr>
        <w:t xml:space="preserve"> </w:t>
      </w:r>
    </w:p>
    <w:p w14:paraId="38BA8966" w14:textId="0FEC7A85" w:rsidR="00857CB6" w:rsidRPr="00403007" w:rsidRDefault="00857CB6" w:rsidP="00857CB6">
      <w:pPr>
        <w:spacing w:after="120" w:line="276" w:lineRule="auto"/>
        <w:ind w:firstLine="709"/>
        <w:jc w:val="both"/>
        <w:rPr>
          <w:rFonts w:ascii="Arial" w:hAnsi="Arial" w:cs="Arial"/>
          <w:lang w:val="es-ES_tradnl"/>
        </w:rPr>
      </w:pPr>
      <w:r w:rsidRPr="00403007">
        <w:rPr>
          <w:rFonts w:ascii="Arial" w:hAnsi="Arial" w:cs="Arial"/>
          <w:lang w:val="es-ES_tradnl"/>
        </w:rPr>
        <w:t xml:space="preserve">Bajo el amparo de esta norma, el régimen jurídico de subsanabilidad de las ofertas sufre un cambio fundamental, pues ya no era posible rechazar las ofertas por falta de requisitos o documentos que no fueran </w:t>
      </w:r>
      <w:r w:rsidR="00AB5BE2" w:rsidRPr="00403007">
        <w:rPr>
          <w:rFonts w:ascii="Arial" w:hAnsi="Arial" w:cs="Arial"/>
          <w:lang w:val="es-ES_tradnl"/>
        </w:rPr>
        <w:t>“</w:t>
      </w:r>
      <w:r w:rsidRPr="00403007">
        <w:rPr>
          <w:rFonts w:ascii="Arial" w:hAnsi="Arial" w:cs="Arial"/>
          <w:i/>
          <w:lang w:val="es-ES_tradnl"/>
        </w:rPr>
        <w:t>necesarios para la comparación de propuestas</w:t>
      </w:r>
      <w:r w:rsidR="00AB5BE2" w:rsidRPr="00403007">
        <w:rPr>
          <w:rFonts w:ascii="Arial" w:hAnsi="Arial" w:cs="Arial"/>
          <w:i/>
          <w:lang w:val="es-ES_tradnl"/>
        </w:rPr>
        <w:t>”</w:t>
      </w:r>
      <w:r w:rsidRPr="00403007">
        <w:rPr>
          <w:rFonts w:ascii="Arial" w:hAnsi="Arial" w:cs="Arial"/>
          <w:i/>
          <w:lang w:val="es-ES_tradnl"/>
        </w:rPr>
        <w:t>.</w:t>
      </w:r>
      <w:r w:rsidRPr="00403007">
        <w:rPr>
          <w:rFonts w:ascii="Arial" w:hAnsi="Arial" w:cs="Arial"/>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6735ECE9"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Esta norma debía leerse en conjunto con otras de la Ley 80 de 1993, particularmente con el artículo 30.7</w:t>
      </w:r>
      <w:r w:rsidRPr="00403007">
        <w:rPr>
          <w:rFonts w:ascii="Arial" w:hAnsi="Arial" w:cs="Arial"/>
          <w:vertAlign w:val="superscript"/>
          <w:lang w:val="es-ES_tradnl"/>
        </w:rPr>
        <w:footnoteReference w:id="23"/>
      </w:r>
      <w:r w:rsidRPr="00403007">
        <w:rPr>
          <w:rFonts w:ascii="Arial" w:hAnsi="Arial" w:cs="Arial"/>
          <w:lang w:val="es-ES_tradnl"/>
        </w:rPr>
        <w:t xml:space="preserve">, que ordena a la entidad señalar un plazo razonable para evaluar las propuestas y para pedir a los proponentes, de ser necesario, que aclaren o expliquen aspectos que ofrezcan dudas y resulten indispensables para llevar a cabo la evaluación; y </w:t>
      </w:r>
      <w:r w:rsidRPr="00403007">
        <w:rPr>
          <w:rFonts w:ascii="Arial" w:hAnsi="Arial" w:cs="Arial"/>
          <w:lang w:val="es-ES_tradnl"/>
        </w:rPr>
        <w:lastRenderedPageBreak/>
        <w:t>con el artículo 30.8</w:t>
      </w:r>
      <w:r w:rsidRPr="00403007">
        <w:rPr>
          <w:rFonts w:ascii="Arial" w:hAnsi="Arial" w:cs="Arial"/>
          <w:vertAlign w:val="superscript"/>
          <w:lang w:val="es-ES_tradnl"/>
        </w:rPr>
        <w:footnoteReference w:id="24"/>
      </w:r>
      <w:r w:rsidRPr="00403007">
        <w:rPr>
          <w:rFonts w:ascii="Arial" w:hAnsi="Arial" w:cs="Arial"/>
          <w:lang w:val="es-ES_tradnl"/>
        </w:rPr>
        <w:t xml:space="preserve">, que consagró el término de 5 días hábiles para que los oferentes presenten observaciones al informe de evaluación de las propuestas, sin que sea posible completar, adicionar, modificar o mejorar su oferta.  </w:t>
      </w:r>
    </w:p>
    <w:p w14:paraId="1ACEA533"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04A4675A" w14:textId="77777777" w:rsidR="00857CB6" w:rsidRPr="00403007" w:rsidRDefault="00857CB6" w:rsidP="00857CB6">
      <w:pPr>
        <w:spacing w:line="276" w:lineRule="auto"/>
        <w:ind w:firstLine="709"/>
        <w:jc w:val="both"/>
        <w:rPr>
          <w:rFonts w:ascii="Arial" w:hAnsi="Arial" w:cs="Arial"/>
          <w:lang w:val="es-ES_tradnl"/>
        </w:rPr>
      </w:pPr>
      <w:r w:rsidRPr="00403007">
        <w:rPr>
          <w:rFonts w:ascii="Arial" w:hAnsi="Arial" w:cs="Arial"/>
          <w:lang w:val="es-ES_tradnl"/>
        </w:rPr>
        <w:t xml:space="preserve">En un </w:t>
      </w:r>
      <w:r w:rsidRPr="00403007">
        <w:rPr>
          <w:rFonts w:ascii="Arial" w:hAnsi="Arial" w:cs="Arial"/>
          <w:i/>
          <w:lang w:val="es-ES_tradnl"/>
        </w:rPr>
        <w:t>tercer momento</w:t>
      </w:r>
      <w:r w:rsidRPr="00403007">
        <w:rPr>
          <w:rFonts w:ascii="Arial" w:hAnsi="Arial" w:cs="Arial"/>
          <w:lang w:val="es-ES_tradnl"/>
        </w:rPr>
        <w:t xml:space="preserve">, siguiendo la línea trazada por la Ley 80 de 1993, el legislador expidió la Ley 1150 de 2007, que, en el parágrafo 1º del artículo 5, determinó lo siguiente: </w:t>
      </w:r>
    </w:p>
    <w:p w14:paraId="321DA8A9" w14:textId="6DEDFEC8" w:rsidR="00857CB6" w:rsidRPr="00403007" w:rsidRDefault="00AB5BE2" w:rsidP="00857CB6">
      <w:pPr>
        <w:spacing w:line="240" w:lineRule="auto"/>
        <w:ind w:left="709" w:right="709"/>
        <w:jc w:val="both"/>
        <w:rPr>
          <w:rFonts w:ascii="Arial" w:hAnsi="Arial" w:cs="Arial"/>
          <w:sz w:val="21"/>
          <w:szCs w:val="21"/>
          <w:lang w:val="es-ES_tradnl"/>
        </w:rPr>
      </w:pPr>
      <w:r w:rsidRPr="00403007">
        <w:rPr>
          <w:rFonts w:ascii="Arial" w:eastAsia="Arial" w:hAnsi="Arial" w:cs="Arial"/>
          <w:color w:val="000000"/>
        </w:rPr>
        <w:t>“</w:t>
      </w:r>
      <w:r w:rsidR="00857CB6" w:rsidRPr="00403007">
        <w:rPr>
          <w:rFonts w:ascii="Arial" w:hAnsi="Arial" w:cs="Arial"/>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00857CB6" w:rsidRPr="00403007">
        <w:rPr>
          <w:rFonts w:ascii="Arial" w:hAnsi="Arial" w:cs="Arial"/>
          <w:b/>
          <w:sz w:val="21"/>
          <w:szCs w:val="21"/>
          <w:lang w:val="es-ES_tradnl"/>
        </w:rPr>
        <w:t xml:space="preserve">, </w:t>
      </w:r>
      <w:r w:rsidR="00857CB6" w:rsidRPr="00403007">
        <w:rPr>
          <w:rFonts w:ascii="Arial" w:hAnsi="Arial" w:cs="Arial"/>
          <w:sz w:val="21"/>
          <w:szCs w:val="21"/>
          <w:lang w:val="es-ES_tradnl"/>
        </w:rPr>
        <w:t xml:space="preserve">todos aquellos requisitos de la propuesta que no afecten la asignación de </w:t>
      </w:r>
      <w:proofErr w:type="gramStart"/>
      <w:r w:rsidR="00857CB6" w:rsidRPr="00403007">
        <w:rPr>
          <w:rFonts w:ascii="Arial" w:hAnsi="Arial" w:cs="Arial"/>
          <w:sz w:val="21"/>
          <w:szCs w:val="21"/>
          <w:lang w:val="es-ES_tradnl"/>
        </w:rPr>
        <w:t>puntaje,</w:t>
      </w:r>
      <w:proofErr w:type="gramEnd"/>
      <w:r w:rsidR="00857CB6" w:rsidRPr="00403007">
        <w:rPr>
          <w:rFonts w:ascii="Arial" w:hAnsi="Arial" w:cs="Arial"/>
          <w:sz w:val="21"/>
          <w:szCs w:val="21"/>
          <w:lang w:val="es-ES_tradnl"/>
        </w:rPr>
        <w:t xml:space="preserve"> podrán ser solicitados por las entidades en cualquier momento, hasta la adjudicación. No obstante lo anterior, en aquellos procesos de selección en los que se utilice el mecanismo de subasta, deberán ser solicitados hasta el momento previo a su realización.</w:t>
      </w:r>
      <w:r w:rsidRPr="00403007">
        <w:rPr>
          <w:rFonts w:ascii="Arial" w:eastAsia="Arial" w:hAnsi="Arial" w:cs="Arial"/>
          <w:i/>
          <w:color w:val="000000"/>
        </w:rPr>
        <w:t>”</w:t>
      </w:r>
      <w:r w:rsidR="00857CB6" w:rsidRPr="00403007">
        <w:rPr>
          <w:rFonts w:ascii="Arial" w:hAnsi="Arial" w:cs="Arial"/>
          <w:sz w:val="21"/>
          <w:szCs w:val="21"/>
          <w:lang w:val="es-ES_tradnl"/>
        </w:rPr>
        <w:t xml:space="preserve"> </w:t>
      </w:r>
    </w:p>
    <w:p w14:paraId="36DC2161" w14:textId="77777777" w:rsidR="00857CB6" w:rsidRPr="00403007" w:rsidRDefault="00857CB6" w:rsidP="00857CB6">
      <w:pPr>
        <w:spacing w:after="120" w:line="276" w:lineRule="auto"/>
        <w:ind w:firstLine="709"/>
        <w:jc w:val="both"/>
        <w:rPr>
          <w:rFonts w:ascii="Arial" w:hAnsi="Arial" w:cs="Arial"/>
          <w:lang w:val="es-ES_tradnl"/>
        </w:rPr>
      </w:pPr>
      <w:r w:rsidRPr="00403007">
        <w:rPr>
          <w:rFonts w:ascii="Arial" w:hAnsi="Arial" w:cs="Arial"/>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35F952BE"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8E807F5" w14:textId="5F6FA184" w:rsidR="00857CB6" w:rsidRPr="00403007" w:rsidRDefault="00857CB6" w:rsidP="00857CB6">
      <w:pPr>
        <w:spacing w:before="120" w:line="276" w:lineRule="auto"/>
        <w:ind w:firstLine="709"/>
        <w:jc w:val="both"/>
        <w:rPr>
          <w:rFonts w:ascii="Arial" w:hAnsi="Arial" w:cs="Arial"/>
          <w:lang w:val="es-ES_tradnl"/>
        </w:rPr>
      </w:pPr>
      <w:r w:rsidRPr="00403007">
        <w:rPr>
          <w:rFonts w:ascii="Arial" w:hAnsi="Arial" w:cs="Arial"/>
          <w:lang w:val="es-ES_tradnl"/>
        </w:rPr>
        <w:t xml:space="preserve">El artículo 5 de la Ley 1150 de 2007, además de consagrar un criterio más claro, y, de paso, reducir la discrecionalidad de la Administración, fijó un ámbito temporal para que las entidades requirieran la subsanación de las ofertas: </w:t>
      </w:r>
      <w:r w:rsidR="00AB5BE2" w:rsidRPr="00403007">
        <w:rPr>
          <w:rFonts w:ascii="Arial" w:hAnsi="Arial" w:cs="Arial"/>
          <w:lang w:val="es-ES_tradnl"/>
        </w:rPr>
        <w:t>“</w:t>
      </w:r>
      <w:r w:rsidRPr="00403007">
        <w:rPr>
          <w:rFonts w:ascii="Arial" w:hAnsi="Arial" w:cs="Arial"/>
          <w:lang w:val="es-ES_tradnl"/>
        </w:rPr>
        <w:t>en cualquier momento, hasta la adjudicación</w:t>
      </w:r>
      <w:r w:rsidR="00AB5BE2" w:rsidRPr="00403007">
        <w:rPr>
          <w:rFonts w:ascii="Arial" w:hAnsi="Arial" w:cs="Arial"/>
          <w:lang w:val="es-ES_tradnl"/>
        </w:rPr>
        <w:t>”</w:t>
      </w:r>
      <w:r w:rsidRPr="00403007">
        <w:rPr>
          <w:rFonts w:ascii="Arial" w:hAnsi="Arial" w:cs="Arial"/>
          <w:lang w:val="es-ES_tradnl"/>
        </w:rPr>
        <w:t xml:space="preserve">. El Consejo de Estado, con particular sindéresis, concluyó que a partir del </w:t>
      </w:r>
      <w:r w:rsidRPr="00403007">
        <w:rPr>
          <w:rFonts w:ascii="Arial" w:hAnsi="Arial" w:cs="Arial"/>
          <w:lang w:val="es-ES_tradnl"/>
        </w:rPr>
        <w:lastRenderedPageBreak/>
        <w:t xml:space="preserve">parágrafo 1º del artículo 5 de la Ley 1150, la definición de lo que es subsanable y lo que no lo es surge a partir del planteamiento de la pregunta sobre si el defecto asigna puntaje o no, en estos términos: </w:t>
      </w:r>
    </w:p>
    <w:p w14:paraId="3886200A" w14:textId="456583CE" w:rsidR="00857CB6" w:rsidRPr="00403007" w:rsidRDefault="00AB5BE2" w:rsidP="00857CB6">
      <w:pPr>
        <w:spacing w:line="240" w:lineRule="auto"/>
        <w:ind w:left="709" w:right="709"/>
        <w:jc w:val="both"/>
        <w:rPr>
          <w:rFonts w:ascii="Arial" w:hAnsi="Arial" w:cs="Arial"/>
          <w:sz w:val="21"/>
          <w:szCs w:val="21"/>
          <w:lang w:val="es-ES_tradnl"/>
        </w:rPr>
      </w:pPr>
      <w:r w:rsidRPr="00403007">
        <w:rPr>
          <w:rFonts w:ascii="Arial" w:eastAsia="Arial" w:hAnsi="Arial" w:cs="Arial"/>
          <w:color w:val="000000"/>
        </w:rPr>
        <w:t>“</w:t>
      </w:r>
      <w:r w:rsidR="00857CB6" w:rsidRPr="00403007">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00857CB6" w:rsidRPr="00403007">
        <w:rPr>
          <w:rFonts w:ascii="Arial" w:hAnsi="Arial" w:cs="Arial"/>
          <w:sz w:val="21"/>
          <w:szCs w:val="21"/>
          <w:vertAlign w:val="superscript"/>
          <w:lang w:val="es-ES_tradnl"/>
        </w:rPr>
        <w:footnoteReference w:id="25"/>
      </w:r>
      <w:r w:rsidR="00857CB6" w:rsidRPr="00403007">
        <w:rPr>
          <w:rFonts w:ascii="Arial" w:hAnsi="Arial" w:cs="Arial"/>
          <w:sz w:val="21"/>
          <w:szCs w:val="21"/>
          <w:lang w:val="es-ES_tradnl"/>
        </w:rPr>
        <w:t>.</w:t>
      </w:r>
      <w:r w:rsidRPr="00403007">
        <w:rPr>
          <w:rFonts w:ascii="Arial" w:eastAsia="Arial" w:hAnsi="Arial" w:cs="Arial"/>
          <w:i/>
          <w:color w:val="000000"/>
        </w:rPr>
        <w:t>”</w:t>
      </w:r>
    </w:p>
    <w:p w14:paraId="0C87F7E7" w14:textId="77777777" w:rsidR="00857CB6" w:rsidRPr="00403007" w:rsidRDefault="00857CB6" w:rsidP="00857CB6">
      <w:pPr>
        <w:tabs>
          <w:tab w:val="left" w:pos="284"/>
        </w:tabs>
        <w:spacing w:before="120" w:after="120" w:line="276" w:lineRule="auto"/>
        <w:ind w:firstLine="709"/>
        <w:jc w:val="both"/>
        <w:rPr>
          <w:rFonts w:ascii="Arial" w:hAnsi="Arial" w:cs="Arial"/>
          <w:lang w:val="es-ES_tradnl"/>
        </w:rPr>
      </w:pPr>
      <w:r w:rsidRPr="00403007">
        <w:rPr>
          <w:rFonts w:ascii="Arial" w:hAnsi="Arial" w:cs="Arial"/>
          <w:lang w:val="es-ES_tradnl"/>
        </w:rPr>
        <w:t xml:space="preserve">Esa interpretación fue compartida por la </w:t>
      </w:r>
      <w:r w:rsidRPr="00403007">
        <w:rPr>
          <w:rFonts w:ascii="Arial" w:eastAsia="Times New Roman" w:hAnsi="Arial" w:cs="Arial"/>
          <w:lang w:val="es-ES_tradnl" w:eastAsia="es-CO"/>
        </w:rPr>
        <w:t>Agencia Nacional de Contratación Pública – Colombia Compra Eficiente</w:t>
      </w:r>
      <w:r w:rsidRPr="00403007">
        <w:rPr>
          <w:rFonts w:ascii="Arial" w:hAnsi="Arial" w:cs="Arial"/>
          <w:lang w:val="es-ES_tradnl"/>
        </w:rPr>
        <w:t>, pues en la Circular Externa Única</w:t>
      </w:r>
      <w:r w:rsidRPr="00403007">
        <w:rPr>
          <w:rStyle w:val="Refdenotaalpie"/>
          <w:rFonts w:ascii="Arial" w:hAnsi="Arial" w:cs="Arial"/>
          <w:lang w:val="es-ES_tradnl"/>
        </w:rPr>
        <w:footnoteReference w:id="26"/>
      </w:r>
      <w:r w:rsidRPr="00403007">
        <w:rPr>
          <w:rFonts w:ascii="Arial" w:hAnsi="Arial" w:cs="Arial"/>
          <w:lang w:val="es-ES_tradnl"/>
        </w:rPr>
        <w:t xml:space="preserve"> se precisó que, si durante un Proceso de Contratación hay proponentes que no acreditaron en sus ofertas requisitos que no afectan la asignación de puntaje, la Entidad Estatal deberá indicarlo en el informe de evaluación y advertir que la correspondiente oferta puede ser subsanada.</w:t>
      </w:r>
    </w:p>
    <w:p w14:paraId="573E0B58" w14:textId="77777777" w:rsidR="00857CB6" w:rsidRPr="00403007" w:rsidRDefault="00857CB6" w:rsidP="00857CB6">
      <w:pPr>
        <w:tabs>
          <w:tab w:val="left" w:pos="284"/>
        </w:tabs>
        <w:spacing w:line="276" w:lineRule="auto"/>
        <w:ind w:firstLine="709"/>
        <w:jc w:val="both"/>
        <w:rPr>
          <w:rFonts w:ascii="Arial" w:eastAsia="Times New Roman" w:hAnsi="Arial" w:cs="Arial"/>
          <w:lang w:val="es-ES_tradnl" w:eastAsia="es-CO"/>
        </w:rPr>
      </w:pPr>
      <w:r w:rsidRPr="00403007">
        <w:rPr>
          <w:rFonts w:ascii="Arial" w:eastAsia="Times New Roman" w:hAnsi="Arial" w:cs="Arial"/>
          <w:lang w:val="es-ES_tradnl" w:eastAsia="es-CO"/>
        </w:rPr>
        <w:t xml:space="preserve">Finalmente, en un </w:t>
      </w:r>
      <w:r w:rsidRPr="00403007">
        <w:rPr>
          <w:rFonts w:ascii="Arial" w:eastAsia="Times New Roman" w:hAnsi="Arial" w:cs="Arial"/>
          <w:i/>
          <w:lang w:val="es-ES_tradnl" w:eastAsia="es-CO"/>
        </w:rPr>
        <w:t>cuarto momento</w:t>
      </w:r>
      <w:r w:rsidRPr="00403007">
        <w:rPr>
          <w:rFonts w:ascii="Arial" w:eastAsia="Times New Roman" w:hAnsi="Arial"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0246122E" w14:textId="21EF424B" w:rsidR="00857CB6" w:rsidRPr="00403007" w:rsidRDefault="00AB5BE2" w:rsidP="00857CB6">
      <w:pPr>
        <w:spacing w:line="240" w:lineRule="auto"/>
        <w:ind w:left="709" w:right="709"/>
        <w:jc w:val="both"/>
        <w:rPr>
          <w:rFonts w:ascii="Arial" w:hAnsi="Arial" w:cs="Arial"/>
          <w:sz w:val="21"/>
          <w:szCs w:val="21"/>
          <w:lang w:val="es-ES_tradnl"/>
        </w:rPr>
      </w:pPr>
      <w:r w:rsidRPr="00403007">
        <w:rPr>
          <w:rFonts w:ascii="Arial" w:eastAsia="Arial" w:hAnsi="Arial" w:cs="Arial"/>
          <w:color w:val="000000"/>
          <w:sz w:val="21"/>
          <w:szCs w:val="21"/>
        </w:rPr>
        <w:t>“</w:t>
      </w:r>
      <w:r w:rsidR="00857CB6" w:rsidRPr="00403007">
        <w:rPr>
          <w:rFonts w:ascii="Arial" w:hAnsi="Arial" w:cs="Arial"/>
          <w:sz w:val="21"/>
          <w:szCs w:val="21"/>
          <w:lang w:val="es-ES_tradnl"/>
        </w:rPr>
        <w:t xml:space="preserve">Artículo 5°. De la selección objetiva. </w:t>
      </w:r>
    </w:p>
    <w:p w14:paraId="55340EB4" w14:textId="77777777" w:rsidR="00857CB6" w:rsidRPr="00403007" w:rsidRDefault="00857CB6" w:rsidP="00857CB6">
      <w:pPr>
        <w:spacing w:before="120" w:after="120" w:line="240" w:lineRule="auto"/>
        <w:ind w:left="709" w:right="709"/>
        <w:jc w:val="both"/>
        <w:rPr>
          <w:rFonts w:ascii="Arial" w:hAnsi="Arial" w:cs="Arial"/>
          <w:sz w:val="21"/>
          <w:szCs w:val="21"/>
          <w:lang w:val="es-ES_tradnl"/>
        </w:rPr>
      </w:pPr>
      <w:r w:rsidRPr="00403007">
        <w:rPr>
          <w:rFonts w:ascii="Arial" w:hAnsi="Arial" w:cs="Arial"/>
          <w:sz w:val="21"/>
          <w:szCs w:val="21"/>
          <w:lang w:val="es-ES_tradnl"/>
        </w:rPr>
        <w:t>[... ]</w:t>
      </w:r>
    </w:p>
    <w:p w14:paraId="4924FEBC" w14:textId="248C7CF5" w:rsidR="00857CB6" w:rsidRPr="00403007" w:rsidRDefault="00857CB6" w:rsidP="00857CB6">
      <w:pPr>
        <w:spacing w:line="240" w:lineRule="auto"/>
        <w:ind w:left="709" w:right="709"/>
        <w:jc w:val="both"/>
        <w:rPr>
          <w:rFonts w:ascii="Arial" w:hAnsi="Arial" w:cs="Arial"/>
          <w:sz w:val="21"/>
          <w:szCs w:val="21"/>
          <w:lang w:val="es-ES_tradnl"/>
        </w:rPr>
      </w:pPr>
      <w:r w:rsidRPr="00403007">
        <w:rPr>
          <w:rFonts w:ascii="Arial"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403007">
        <w:rPr>
          <w:rFonts w:ascii="Arial" w:hAnsi="Arial" w:cs="Arial"/>
          <w:sz w:val="21"/>
          <w:szCs w:val="21"/>
          <w:lang w:val="es-ES_tradnl"/>
        </w:rPr>
        <w:t>puntaje,</w:t>
      </w:r>
      <w:proofErr w:type="gramEnd"/>
      <w:r w:rsidRPr="00403007">
        <w:rPr>
          <w:rFonts w:ascii="Arial"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w:t>
      </w:r>
      <w:r w:rsidRPr="00403007">
        <w:rPr>
          <w:rFonts w:ascii="Arial" w:hAnsi="Arial" w:cs="Arial"/>
          <w:sz w:val="21"/>
          <w:szCs w:val="21"/>
          <w:lang w:val="es-ES_tradnl"/>
        </w:rPr>
        <w:lastRenderedPageBreak/>
        <w:t>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00AB5BE2" w:rsidRPr="00403007">
        <w:rPr>
          <w:rFonts w:ascii="Arial" w:eastAsia="Arial" w:hAnsi="Arial" w:cs="Arial"/>
          <w:i/>
          <w:color w:val="000000"/>
          <w:sz w:val="21"/>
          <w:szCs w:val="21"/>
        </w:rPr>
        <w:t>”</w:t>
      </w:r>
      <w:r w:rsidRPr="00403007">
        <w:rPr>
          <w:rFonts w:ascii="Arial" w:hAnsi="Arial" w:cs="Arial"/>
          <w:sz w:val="21"/>
          <w:szCs w:val="21"/>
          <w:lang w:val="es-ES_tradnl"/>
        </w:rPr>
        <w:t xml:space="preserve"> </w:t>
      </w:r>
    </w:p>
    <w:p w14:paraId="2B4D5FFE"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52686A1D" w14:textId="77777777" w:rsidR="00857CB6" w:rsidRPr="00403007" w:rsidRDefault="00857CB6" w:rsidP="00857CB6">
      <w:pPr>
        <w:spacing w:after="120" w:line="276" w:lineRule="auto"/>
        <w:ind w:right="51" w:firstLine="709"/>
        <w:jc w:val="both"/>
        <w:rPr>
          <w:rFonts w:ascii="Arial" w:hAnsi="Arial" w:cs="Arial"/>
          <w:lang w:val="es-ES_tradnl"/>
        </w:rPr>
      </w:pPr>
      <w:r w:rsidRPr="00403007">
        <w:rPr>
          <w:rFonts w:ascii="Arial" w:hAnsi="Arial" w:cs="Arial"/>
          <w:i/>
          <w:lang w:val="es-ES_tradnl"/>
        </w:rPr>
        <w:t>El primero</w:t>
      </w:r>
      <w:r w:rsidRPr="00403007">
        <w:rPr>
          <w:rFonts w:ascii="Arial" w:hAnsi="Arial" w:cs="Arial"/>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403007">
        <w:rPr>
          <w:rFonts w:ascii="Arial" w:hAnsi="Arial" w:cs="Arial"/>
          <w:vertAlign w:val="superscript"/>
          <w:lang w:val="es-ES_tradnl"/>
        </w:rPr>
        <w:footnoteReference w:id="27"/>
      </w:r>
      <w:r w:rsidRPr="00403007">
        <w:rPr>
          <w:rFonts w:ascii="Arial" w:hAnsi="Arial" w:cs="Arial"/>
          <w:lang w:val="es-ES_tradnl"/>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403007">
        <w:rPr>
          <w:rFonts w:ascii="Arial" w:hAnsi="Arial" w:cs="Arial"/>
          <w:vertAlign w:val="superscript"/>
          <w:lang w:val="es-ES_tradnl"/>
        </w:rPr>
        <w:footnoteReference w:id="28"/>
      </w:r>
      <w:r w:rsidRPr="00403007">
        <w:rPr>
          <w:rFonts w:ascii="Arial" w:hAnsi="Arial" w:cs="Arial"/>
          <w:lang w:val="es-ES_tradnl"/>
        </w:rPr>
        <w:t xml:space="preserve">. </w:t>
      </w:r>
    </w:p>
    <w:p w14:paraId="0ABBC862" w14:textId="417C9E69"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lastRenderedPageBreak/>
        <w:t xml:space="preserve">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00AB5BE2" w:rsidRPr="00403007">
        <w:rPr>
          <w:rFonts w:ascii="Arial" w:hAnsi="Arial" w:cs="Arial"/>
          <w:lang w:val="es-ES_tradnl"/>
        </w:rPr>
        <w:t>“</w:t>
      </w:r>
      <w:r w:rsidRPr="00403007">
        <w:rPr>
          <w:rFonts w:ascii="Arial" w:hAnsi="Arial" w:cs="Arial"/>
          <w:i/>
          <w:lang w:val="es-ES_tradnl"/>
        </w:rPr>
        <w:t>deberán ser solicitados por las entidades estatales y deberán ser entregados por los proponentes hasta el término de traslado del informe de evaluación que corresponda a cada modalidad de selección</w:t>
      </w:r>
      <w:r w:rsidR="00AB5BE2" w:rsidRPr="00403007">
        <w:rPr>
          <w:rFonts w:ascii="Arial" w:hAnsi="Arial" w:cs="Arial"/>
          <w:i/>
          <w:lang w:val="es-ES_tradnl"/>
        </w:rPr>
        <w:t>”</w:t>
      </w:r>
      <w:r w:rsidRPr="00403007">
        <w:rPr>
          <w:rFonts w:ascii="Arial" w:hAnsi="Arial" w:cs="Arial"/>
          <w:i/>
          <w:lang w:val="es-ES_tradnl"/>
        </w:rPr>
        <w:t>.</w:t>
      </w:r>
      <w:r w:rsidRPr="00403007">
        <w:rPr>
          <w:rFonts w:ascii="Arial" w:hAnsi="Arial" w:cs="Arial"/>
          <w:lang w:val="es-ES_tradnl"/>
        </w:rPr>
        <w:t xml:space="preserve"> </w:t>
      </w:r>
    </w:p>
    <w:p w14:paraId="61031604" w14:textId="02642AE0"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El segundo cambio importante de la Ley 1882 de 2018 fue la introducción de un criterio material, directamente relacionado con los aspectos subsanables: </w:t>
      </w:r>
      <w:r w:rsidR="00AB5BE2" w:rsidRPr="00403007">
        <w:rPr>
          <w:rFonts w:ascii="Arial" w:hAnsi="Arial" w:cs="Arial"/>
          <w:i/>
          <w:lang w:val="es-ES_tradnl"/>
        </w:rPr>
        <w:t>“</w:t>
      </w:r>
      <w:r w:rsidRPr="00403007">
        <w:rPr>
          <w:rFonts w:ascii="Arial" w:hAnsi="Arial" w:cs="Arial"/>
          <w:i/>
          <w:lang w:val="es-ES_tradnl"/>
        </w:rPr>
        <w:t>los proponentes no podrán acreditar circunstancias ocurridas con posterioridad al cierre del proceso</w:t>
      </w:r>
      <w:r w:rsidR="00AB5BE2" w:rsidRPr="00403007">
        <w:rPr>
          <w:rFonts w:ascii="Arial" w:hAnsi="Arial" w:cs="Arial"/>
          <w:i/>
          <w:lang w:val="es-ES_tradnl"/>
        </w:rPr>
        <w:t>”</w:t>
      </w:r>
      <w:r w:rsidRPr="00403007">
        <w:rPr>
          <w:rFonts w:ascii="Arial" w:hAnsi="Arial" w:cs="Arial"/>
          <w:i/>
          <w:lang w:val="es-ES_tradnl"/>
        </w:rPr>
        <w:t>.</w:t>
      </w:r>
      <w:r w:rsidRPr="00403007">
        <w:rPr>
          <w:rFonts w:ascii="Arial" w:hAnsi="Arial" w:cs="Arial"/>
          <w:lang w:val="es-ES_tradnl"/>
        </w:rPr>
        <w:t xml:space="preserve"> Lo anterior ofrece dos aspectos que merecen clarificación; primero, qué debe entenderse por circunstancias ocurridas con posterioridad; y segundo, qué es el cierre del proceso. </w:t>
      </w:r>
    </w:p>
    <w:p w14:paraId="4E707D0E"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403007">
        <w:rPr>
          <w:rFonts w:ascii="Arial" w:hAnsi="Arial" w:cs="Arial"/>
          <w:vertAlign w:val="superscript"/>
          <w:lang w:val="es-ES_tradnl"/>
        </w:rPr>
        <w:footnoteReference w:id="29"/>
      </w:r>
      <w:r w:rsidRPr="00403007">
        <w:rPr>
          <w:rFonts w:ascii="Arial" w:hAnsi="Arial" w:cs="Arial"/>
          <w:lang w:val="es-ES_tradnl"/>
        </w:rPr>
        <w:t>.</w:t>
      </w:r>
    </w:p>
    <w:p w14:paraId="4C7A679D" w14:textId="02596F45"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w:t>
      </w:r>
      <w:r w:rsidR="00AB5BE2" w:rsidRPr="00403007">
        <w:rPr>
          <w:rFonts w:ascii="Arial" w:hAnsi="Arial" w:cs="Arial"/>
          <w:lang w:val="es-ES_tradnl"/>
        </w:rPr>
        <w:t>“</w:t>
      </w:r>
      <w:r w:rsidRPr="00403007">
        <w:rPr>
          <w:rFonts w:ascii="Arial" w:hAnsi="Arial" w:cs="Arial"/>
          <w:lang w:val="es-ES_tradnl"/>
        </w:rPr>
        <w:t>cierre del proceso</w:t>
      </w:r>
      <w:r w:rsidR="00AB5BE2" w:rsidRPr="00403007">
        <w:rPr>
          <w:rFonts w:ascii="Arial" w:hAnsi="Arial" w:cs="Arial"/>
          <w:lang w:val="es-ES_tradnl"/>
        </w:rPr>
        <w:t>”</w:t>
      </w:r>
      <w:r w:rsidRPr="00403007">
        <w:rPr>
          <w:rFonts w:ascii="Arial" w:hAnsi="Arial" w:cs="Arial"/>
          <w:lang w:val="es-ES_tradnl"/>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EE5D099" w14:textId="0F88FF44"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Un mejor entendimiento del significado de la expresión </w:t>
      </w:r>
      <w:r w:rsidR="00AB5BE2" w:rsidRPr="00403007">
        <w:rPr>
          <w:rFonts w:ascii="Arial" w:hAnsi="Arial" w:cs="Arial"/>
          <w:i/>
          <w:lang w:val="es-ES_tradnl"/>
        </w:rPr>
        <w:t>“</w:t>
      </w:r>
      <w:r w:rsidRPr="00403007">
        <w:rPr>
          <w:rFonts w:ascii="Arial" w:hAnsi="Arial" w:cs="Arial"/>
          <w:i/>
          <w:lang w:val="es-ES_tradnl"/>
        </w:rPr>
        <w:t>circunstancias ocurridas con posterioridad al cierre del proceso</w:t>
      </w:r>
      <w:r w:rsidR="00AB5BE2" w:rsidRPr="00403007">
        <w:rPr>
          <w:rFonts w:ascii="Arial" w:hAnsi="Arial" w:cs="Arial"/>
          <w:i/>
          <w:lang w:val="es-ES_tradnl"/>
        </w:rPr>
        <w:t>”</w:t>
      </w:r>
      <w:r w:rsidRPr="00403007">
        <w:rPr>
          <w:rFonts w:ascii="Arial" w:hAnsi="Arial" w:cs="Arial"/>
          <w:lang w:val="es-ES_tradnl"/>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403007">
        <w:rPr>
          <w:rFonts w:ascii="Arial" w:hAnsi="Arial" w:cs="Arial"/>
          <w:vertAlign w:val="superscript"/>
          <w:lang w:val="es-ES_tradnl"/>
        </w:rPr>
        <w:footnoteReference w:id="30"/>
      </w:r>
      <w:r w:rsidRPr="00403007">
        <w:rPr>
          <w:rFonts w:ascii="Arial" w:hAnsi="Arial" w:cs="Arial"/>
          <w:lang w:val="es-ES_tradnl"/>
        </w:rPr>
        <w:t xml:space="preserve">. </w:t>
      </w:r>
    </w:p>
    <w:p w14:paraId="218039E7" w14:textId="77777777" w:rsidR="00857CB6" w:rsidRPr="00403007" w:rsidRDefault="00857CB6" w:rsidP="00857CB6">
      <w:pPr>
        <w:spacing w:before="120" w:after="120" w:line="276" w:lineRule="auto"/>
        <w:ind w:firstLine="709"/>
        <w:jc w:val="both"/>
        <w:rPr>
          <w:rFonts w:ascii="Arial" w:hAnsi="Arial" w:cs="Arial"/>
          <w:lang w:val="es-ES_tradnl"/>
        </w:rPr>
      </w:pPr>
      <w:r w:rsidRPr="00403007">
        <w:rPr>
          <w:rFonts w:ascii="Arial" w:hAnsi="Arial" w:cs="Arial"/>
          <w:lang w:val="es-ES_tradnl"/>
        </w:rPr>
        <w:t xml:space="preserve">Por ejemplo: i) si un oferente olvidó adjuntar con su propuesta el certificado que da cuenta de su inscripción en el RUP, el requisito será subsanable siempre que la prueba </w:t>
      </w:r>
      <w:r w:rsidRPr="00403007">
        <w:rPr>
          <w:rFonts w:ascii="Arial" w:hAnsi="Arial" w:cs="Arial"/>
          <w:lang w:val="es-ES_tradnl"/>
        </w:rPr>
        <w:lastRenderedPageBreak/>
        <w:t>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403007">
        <w:rPr>
          <w:rFonts w:ascii="Arial" w:hAnsi="Arial" w:cs="Arial"/>
          <w:vertAlign w:val="superscript"/>
          <w:lang w:val="es-ES_tradnl"/>
        </w:rPr>
        <w:footnoteReference w:id="31"/>
      </w:r>
      <w:r w:rsidRPr="00403007">
        <w:rPr>
          <w:rFonts w:ascii="Arial" w:hAnsi="Arial" w:cs="Arial"/>
          <w:lang w:val="es-ES_tradnl"/>
        </w:rPr>
        <w:t>; iii) si un oferente no anexó el Certificado de existencia y representación legal, el documento aportado con posterioridad debe dar cuenta de que la sociedad existía antes del cierre del proceso</w:t>
      </w:r>
      <w:r w:rsidRPr="00403007">
        <w:rPr>
          <w:rFonts w:ascii="Arial" w:hAnsi="Arial" w:cs="Arial"/>
          <w:vertAlign w:val="superscript"/>
          <w:lang w:val="es-ES_tradnl"/>
        </w:rPr>
        <w:footnoteReference w:id="32"/>
      </w:r>
      <w:r w:rsidRPr="00403007">
        <w:rPr>
          <w:rFonts w:ascii="Arial" w:hAnsi="Arial" w:cs="Arial"/>
          <w:lang w:val="es-ES_tradnl"/>
        </w:rPr>
        <w:t xml:space="preserve">; </w:t>
      </w:r>
      <w:proofErr w:type="spellStart"/>
      <w:r w:rsidRPr="00403007">
        <w:rPr>
          <w:rFonts w:ascii="Arial" w:hAnsi="Arial" w:cs="Arial"/>
          <w:lang w:val="es-ES_tradnl"/>
        </w:rPr>
        <w:t>iv</w:t>
      </w:r>
      <w:proofErr w:type="spellEnd"/>
      <w:r w:rsidRPr="00403007">
        <w:rPr>
          <w:rFonts w:ascii="Arial" w:hAnsi="Arial" w:cs="Arial"/>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4F3A0EDC" w14:textId="7237A88D" w:rsidR="00857CB6" w:rsidRPr="00403007" w:rsidRDefault="00857CB6" w:rsidP="00857CB6">
      <w:pPr>
        <w:spacing w:before="120" w:after="120" w:line="276" w:lineRule="auto"/>
        <w:ind w:firstLine="709"/>
        <w:jc w:val="both"/>
        <w:rPr>
          <w:rFonts w:ascii="Arial" w:hAnsi="Arial" w:cs="Arial"/>
          <w:i/>
          <w:lang w:val="es-ES_tradnl"/>
        </w:rPr>
      </w:pPr>
      <w:r w:rsidRPr="00403007">
        <w:rPr>
          <w:rFonts w:ascii="Arial" w:hAnsi="Arial" w:cs="Arial"/>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por lo que el Consejo de Estado sostiene que </w:t>
      </w:r>
      <w:r w:rsidR="00AB5BE2" w:rsidRPr="00403007">
        <w:rPr>
          <w:rFonts w:ascii="Arial" w:hAnsi="Arial" w:cs="Arial"/>
          <w:lang w:val="es-ES_tradnl"/>
        </w:rPr>
        <w:t>“</w:t>
      </w:r>
      <w:r w:rsidRPr="00403007">
        <w:rPr>
          <w:rFonts w:ascii="Arial" w:hAnsi="Arial" w:cs="Arial"/>
          <w:i/>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AB5BE2" w:rsidRPr="00403007">
        <w:rPr>
          <w:rFonts w:ascii="Arial" w:hAnsi="Arial" w:cs="Arial"/>
          <w:i/>
          <w:lang w:val="es-ES_tradnl"/>
        </w:rPr>
        <w:t>”</w:t>
      </w:r>
      <w:r w:rsidRPr="00403007">
        <w:rPr>
          <w:rFonts w:ascii="Arial" w:hAnsi="Arial" w:cs="Arial"/>
          <w:i/>
          <w:vertAlign w:val="superscript"/>
          <w:lang w:val="es-ES_tradnl"/>
        </w:rPr>
        <w:footnoteReference w:id="33"/>
      </w:r>
      <w:r w:rsidRPr="00403007">
        <w:rPr>
          <w:rFonts w:ascii="Arial" w:hAnsi="Arial" w:cs="Arial"/>
          <w:i/>
          <w:lang w:val="es-ES_tradnl"/>
        </w:rPr>
        <w:t xml:space="preserve">. </w:t>
      </w:r>
    </w:p>
    <w:p w14:paraId="0158F3C1" w14:textId="77777777" w:rsidR="00857CB6" w:rsidRPr="00403007" w:rsidRDefault="00857CB6" w:rsidP="00857CB6">
      <w:pPr>
        <w:spacing w:before="120" w:line="276" w:lineRule="auto"/>
        <w:ind w:firstLine="709"/>
        <w:jc w:val="both"/>
        <w:rPr>
          <w:rFonts w:ascii="Arial" w:hAnsi="Arial" w:cs="Arial"/>
          <w:lang w:val="es-ES"/>
        </w:rPr>
      </w:pPr>
      <w:r w:rsidRPr="00403007">
        <w:rPr>
          <w:rFonts w:ascii="Arial" w:hAnsi="Arial" w:cs="Arial"/>
          <w:lang w:val="es-ES"/>
        </w:rPr>
        <w:t xml:space="preserve">En consecuencia, una vez verificada la ausencia de requisitos y/o documentos de la oferta, para efectos de saber si se pueden subsanar, la Entidad Estatal se debe preguntar, en primer lugar, si lo que hace falta o debe corregirse es un documento que afecte la </w:t>
      </w:r>
      <w:r w:rsidRPr="00403007">
        <w:rPr>
          <w:rFonts w:ascii="Arial" w:hAnsi="Arial" w:cs="Arial"/>
          <w:lang w:val="es-ES"/>
        </w:rPr>
        <w:lastRenderedPageBreak/>
        <w:t xml:space="preserve">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220002CE" w14:textId="7C88A848" w:rsidR="00996D22" w:rsidRPr="00403007" w:rsidRDefault="007E6931" w:rsidP="00996D22">
      <w:pPr>
        <w:spacing w:after="0" w:line="276" w:lineRule="auto"/>
        <w:ind w:firstLine="709"/>
        <w:jc w:val="both"/>
        <w:rPr>
          <w:rFonts w:ascii="Arial" w:eastAsia="Arial" w:hAnsi="Arial" w:cs="Arial"/>
          <w:szCs w:val="24"/>
          <w:lang w:eastAsia="es-MX"/>
        </w:rPr>
      </w:pPr>
      <w:r w:rsidRPr="00403007">
        <w:rPr>
          <w:rFonts w:ascii="Arial" w:eastAsia="Arial" w:hAnsi="Arial" w:cs="Arial"/>
          <w:szCs w:val="24"/>
          <w:lang w:eastAsia="es-MX"/>
        </w:rPr>
        <w:t>En ese orden de ideas</w:t>
      </w:r>
      <w:r w:rsidR="00996D22" w:rsidRPr="00403007">
        <w:rPr>
          <w:rFonts w:ascii="Arial" w:eastAsia="Arial" w:hAnsi="Arial" w:cs="Arial"/>
          <w:szCs w:val="24"/>
          <w:lang w:eastAsia="es-MX"/>
        </w:rPr>
        <w:t xml:space="preserve">, teniendo en cuenta que el consultante </w:t>
      </w:r>
      <w:r w:rsidRPr="00403007">
        <w:rPr>
          <w:rFonts w:ascii="Arial" w:eastAsia="Arial" w:hAnsi="Arial" w:cs="Arial"/>
          <w:szCs w:val="24"/>
          <w:lang w:eastAsia="es-MX"/>
        </w:rPr>
        <w:t xml:space="preserve">realiza su consulta bajo el supuesto de un proceso de selección adelantado bajo Documentos Tipo, </w:t>
      </w:r>
      <w:r w:rsidR="001F7103" w:rsidRPr="00403007">
        <w:rPr>
          <w:rFonts w:ascii="Arial" w:eastAsia="Arial" w:hAnsi="Arial" w:cs="Arial"/>
          <w:szCs w:val="24"/>
          <w:lang w:eastAsia="es-MX"/>
        </w:rPr>
        <w:t xml:space="preserve">y de que se ha usado de ejemplo el </w:t>
      </w:r>
      <w:r w:rsidR="00996D22" w:rsidRPr="00403007">
        <w:rPr>
          <w:rFonts w:ascii="Arial" w:eastAsia="Arial" w:hAnsi="Arial" w:cs="Arial"/>
          <w:szCs w:val="24"/>
          <w:lang w:eastAsia="es-MX"/>
        </w:rPr>
        <w:t>Documentos Tipo para la licitación de obra pública de infraestructura de transporte – Versión 3, la obligación del proponente de presentar su oferta de manera íntegra es congruente con el numeral 1.6. –Reglas de subsanabilidad– del “Documento Base”. Al respecto, dispone que</w:t>
      </w:r>
      <w:r w:rsidR="00996D22" w:rsidRPr="00403007">
        <w:rPr>
          <w:rFonts w:ascii="Arial" w:eastAsia="Arial" w:hAnsi="Arial" w:cs="Arial"/>
          <w:sz w:val="21"/>
          <w:szCs w:val="21"/>
          <w:lang w:eastAsia="es-MX"/>
        </w:rPr>
        <w:t>:</w:t>
      </w:r>
    </w:p>
    <w:p w14:paraId="75786662" w14:textId="77777777" w:rsidR="00996D22" w:rsidRPr="00403007" w:rsidRDefault="00996D22" w:rsidP="00996D22">
      <w:pPr>
        <w:spacing w:after="0" w:line="276" w:lineRule="auto"/>
        <w:ind w:firstLine="360"/>
        <w:jc w:val="both"/>
        <w:rPr>
          <w:rFonts w:ascii="Arial" w:eastAsia="Arial" w:hAnsi="Arial" w:cs="Arial"/>
          <w:sz w:val="21"/>
          <w:szCs w:val="21"/>
          <w:lang w:eastAsia="es-MX"/>
        </w:rPr>
      </w:pPr>
    </w:p>
    <w:p w14:paraId="26FCBDBB" w14:textId="77777777" w:rsidR="00996D22" w:rsidRPr="00403007" w:rsidRDefault="00996D22" w:rsidP="00996D22">
      <w:pPr>
        <w:spacing w:after="120" w:line="240" w:lineRule="auto"/>
        <w:ind w:left="709" w:right="709"/>
        <w:jc w:val="both"/>
        <w:rPr>
          <w:rFonts w:ascii="Arial" w:eastAsia="Arial" w:hAnsi="Arial" w:cs="Arial"/>
          <w:sz w:val="21"/>
          <w:szCs w:val="21"/>
          <w:lang w:eastAsia="es-MX"/>
        </w:rPr>
      </w:pPr>
      <w:r w:rsidRPr="00403007">
        <w:rPr>
          <w:rFonts w:ascii="Arial" w:eastAsia="Arial" w:hAnsi="Arial" w:cs="Arial"/>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490779C9" w14:textId="77777777" w:rsidR="00996D22" w:rsidRPr="00403007" w:rsidRDefault="00996D22" w:rsidP="00996D22">
      <w:pPr>
        <w:spacing w:after="0" w:line="240" w:lineRule="auto"/>
        <w:ind w:left="709" w:right="709"/>
        <w:jc w:val="both"/>
        <w:rPr>
          <w:rFonts w:ascii="Arial" w:eastAsia="Arial" w:hAnsi="Arial" w:cs="Arial"/>
          <w:sz w:val="21"/>
          <w:szCs w:val="21"/>
          <w:lang w:eastAsia="es-MX"/>
        </w:rPr>
      </w:pPr>
      <w:r w:rsidRPr="00403007">
        <w:rPr>
          <w:rFonts w:ascii="Arial" w:eastAsia="Arial" w:hAnsi="Arial" w:cs="Arial"/>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3ED7FF78" w14:textId="77777777" w:rsidR="00996D22" w:rsidRPr="00403007" w:rsidRDefault="00996D22" w:rsidP="00996D22">
      <w:pPr>
        <w:spacing w:after="0" w:line="240" w:lineRule="auto"/>
        <w:ind w:left="709" w:right="709"/>
        <w:jc w:val="both"/>
        <w:rPr>
          <w:rFonts w:ascii="Arial" w:eastAsia="Arial" w:hAnsi="Arial" w:cs="Arial"/>
          <w:sz w:val="21"/>
          <w:szCs w:val="21"/>
          <w:lang w:eastAsia="es-MX"/>
        </w:rPr>
      </w:pPr>
    </w:p>
    <w:p w14:paraId="7F706433" w14:textId="77777777" w:rsidR="00996D22" w:rsidRPr="00403007" w:rsidRDefault="00996D22" w:rsidP="00996D22">
      <w:pPr>
        <w:spacing w:after="0" w:line="240" w:lineRule="auto"/>
        <w:ind w:left="709" w:right="709"/>
        <w:jc w:val="both"/>
        <w:rPr>
          <w:rFonts w:ascii="Arial" w:eastAsia="Arial" w:hAnsi="Arial" w:cs="Arial"/>
          <w:sz w:val="21"/>
          <w:szCs w:val="21"/>
          <w:u w:val="single"/>
          <w:lang w:eastAsia="es-MX"/>
        </w:rPr>
      </w:pPr>
      <w:r w:rsidRPr="00403007">
        <w:rPr>
          <w:rFonts w:ascii="Arial" w:eastAsia="Arial" w:hAnsi="Arial" w:cs="Arial"/>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14:paraId="15C0EEEB" w14:textId="77777777" w:rsidR="00996D22" w:rsidRPr="00403007" w:rsidRDefault="00996D22" w:rsidP="00996D22">
      <w:pPr>
        <w:spacing w:after="0" w:line="276" w:lineRule="auto"/>
        <w:ind w:firstLine="709"/>
        <w:jc w:val="both"/>
        <w:rPr>
          <w:rFonts w:ascii="Arial" w:eastAsia="Times New Roman" w:hAnsi="Arial" w:cs="Arial"/>
          <w:color w:val="000000"/>
          <w:szCs w:val="24"/>
          <w:shd w:val="clear" w:color="auto" w:fill="FFFFFF"/>
          <w:lang w:val="es-ES" w:eastAsia="es-MX"/>
        </w:rPr>
      </w:pPr>
    </w:p>
    <w:p w14:paraId="259A608D" w14:textId="77777777" w:rsidR="00996D22" w:rsidRPr="00403007" w:rsidRDefault="00996D22" w:rsidP="00454B0A">
      <w:pPr>
        <w:spacing w:after="0" w:line="276" w:lineRule="auto"/>
        <w:ind w:firstLine="708"/>
        <w:jc w:val="both"/>
        <w:rPr>
          <w:rFonts w:ascii="Arial" w:eastAsia="Calibri" w:hAnsi="Arial" w:cs="Arial"/>
          <w:color w:val="000000"/>
          <w:szCs w:val="24"/>
          <w:lang w:val="es-ES" w:eastAsia="es-ES_tradnl"/>
        </w:rPr>
      </w:pPr>
      <w:r w:rsidRPr="00403007">
        <w:rPr>
          <w:rFonts w:ascii="Arial" w:eastAsia="Times New Roman" w:hAnsi="Arial" w:cs="Arial"/>
          <w:color w:val="000000"/>
          <w:szCs w:val="24"/>
          <w:shd w:val="clear" w:color="auto" w:fill="FFFFFF"/>
          <w:lang w:val="es-ES" w:eastAsia="es-MX"/>
        </w:rPr>
        <w:lastRenderedPageBreak/>
        <w:t>El texto transcrito, es concordante con el parágrafo 3 del artículo 30 de la Ley 80 de 1993</w:t>
      </w:r>
      <w:r w:rsidRPr="00403007">
        <w:rPr>
          <w:rFonts w:ascii="Arial" w:eastAsia="Arial" w:hAnsi="Arial" w:cs="Arial"/>
          <w:color w:val="000000"/>
          <w:szCs w:val="24"/>
          <w:vertAlign w:val="superscript"/>
          <w:lang w:val="es-ES" w:eastAsia="es-MX"/>
        </w:rPr>
        <w:footnoteReference w:id="34"/>
      </w:r>
      <w:r w:rsidRPr="00403007">
        <w:rPr>
          <w:rFonts w:ascii="Arial" w:eastAsia="Times New Roman" w:hAnsi="Arial" w:cs="Arial"/>
          <w:color w:val="000000"/>
          <w:szCs w:val="24"/>
          <w:shd w:val="clear" w:color="auto" w:fill="FFFFFF"/>
          <w:lang w:val="es-ES" w:eastAsia="es-MX"/>
        </w:rPr>
        <w:t>,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los mismos, el cual debe ser publicado durante un plazo de cinco (5) días hábiles, durante el cual, les corresponde a los proponentes subsanar aquellos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w:t>
      </w:r>
    </w:p>
    <w:p w14:paraId="7F52BCE3" w14:textId="77777777" w:rsidR="0004459C" w:rsidRPr="00403007" w:rsidRDefault="0004459C" w:rsidP="0004459C">
      <w:pPr>
        <w:tabs>
          <w:tab w:val="left" w:pos="709"/>
        </w:tabs>
        <w:spacing w:after="0" w:line="276" w:lineRule="auto"/>
        <w:jc w:val="both"/>
        <w:rPr>
          <w:rFonts w:ascii="Arial" w:eastAsia="Calibri" w:hAnsi="Arial" w:cs="Arial"/>
          <w:b/>
        </w:rPr>
      </w:pPr>
    </w:p>
    <w:p w14:paraId="28FBC518" w14:textId="77777777" w:rsidR="007671C1" w:rsidRPr="00403007" w:rsidRDefault="007671C1" w:rsidP="007671C1">
      <w:pPr>
        <w:tabs>
          <w:tab w:val="left" w:pos="709"/>
        </w:tabs>
        <w:spacing w:after="0" w:line="276" w:lineRule="auto"/>
        <w:contextualSpacing/>
        <w:jc w:val="both"/>
        <w:rPr>
          <w:rFonts w:ascii="Arial" w:eastAsia="Calibri" w:hAnsi="Arial" w:cs="Arial"/>
          <w:b/>
          <w:lang w:val="es-ES_tradnl"/>
        </w:rPr>
      </w:pPr>
      <w:r w:rsidRPr="00403007">
        <w:rPr>
          <w:rFonts w:ascii="Arial" w:eastAsia="Calibri" w:hAnsi="Arial" w:cs="Arial"/>
          <w:b/>
          <w:lang w:val="es-ES_tradnl"/>
        </w:rPr>
        <w:t>3. Respuesta:</w:t>
      </w:r>
    </w:p>
    <w:p w14:paraId="5DC4F1B9" w14:textId="77777777" w:rsidR="007671C1" w:rsidRPr="00403007" w:rsidRDefault="007671C1" w:rsidP="007671C1">
      <w:pPr>
        <w:spacing w:after="0" w:line="276" w:lineRule="auto"/>
        <w:contextualSpacing/>
        <w:jc w:val="both"/>
        <w:rPr>
          <w:rFonts w:ascii="Arial" w:eastAsia="Calibri" w:hAnsi="Arial" w:cs="Arial"/>
        </w:rPr>
      </w:pPr>
    </w:p>
    <w:p w14:paraId="4E077945"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t>“(…) Si dentro del Formato 13 de emprendimiento se incluye la composición accionaria de la empresa, la cual cuenta con menos de 3 años de constituida y dicho formato se encuentra debidamente firmado por contador y representante legal de la empresa, este formato es válido para acreditar lo solicitado en el numeral F. de los pliegos tipo el cual señala que:</w:t>
      </w:r>
    </w:p>
    <w:p w14:paraId="0FC41E31"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p>
    <w:p w14:paraId="71C6F445"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t>"F. Para los contratos que sean aportados por personas jurídicas que no cuentan con más de tres (3) años de constituidas, que pretendan acreditar la experiencia de sus socios, accionistas o constituyentes, de conformidad con la posibilidad establecida en el numeral 2.5 del artículo 2.2.1.1.1.5.2. del Decreto 1082 de 2015, además del RUP deben adjuntar un documento suscrito por el representante legal y el revisor fiscal o contador público (según corresponda) donde se indique la conformación de la persona jurídica. La Entidad tendrá en cuenta la experiencia de los accionistas, socios o constituyentes de las sociedades con menos de tres (3) años de constituidas. Pasado este tiempo, la sociedad conservará esta experiencia, tal y como haya quedado registrada en el RUP"</w:t>
      </w:r>
    </w:p>
    <w:p w14:paraId="7895FD4A"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p>
    <w:p w14:paraId="2D22F466"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lastRenderedPageBreak/>
        <w:t xml:space="preserve">Indistintamente que dicho Formato 13 no se haya entregado en el mismo </w:t>
      </w:r>
      <w:proofErr w:type="spellStart"/>
      <w:r w:rsidRPr="00403007">
        <w:rPr>
          <w:rFonts w:ascii="Arial" w:hAnsi="Arial" w:cs="Arial"/>
          <w:i/>
          <w:sz w:val="21"/>
          <w:szCs w:val="21"/>
        </w:rPr>
        <w:t>pdf</w:t>
      </w:r>
      <w:proofErr w:type="spellEnd"/>
      <w:r w:rsidRPr="00403007">
        <w:rPr>
          <w:rFonts w:ascii="Arial" w:hAnsi="Arial" w:cs="Arial"/>
          <w:i/>
          <w:sz w:val="21"/>
          <w:szCs w:val="21"/>
        </w:rPr>
        <w:t xml:space="preserve"> de la experiencia especifica. La entidad puede verificar y constatar que la composición accionaria corresponde a la requerida en dicho numeral para considerar valida la experiencia solicitada en el pliego de condiciones?</w:t>
      </w:r>
    </w:p>
    <w:p w14:paraId="3106B1EA"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p>
    <w:p w14:paraId="68E43513" w14:textId="77777777" w:rsidR="0004459C" w:rsidRPr="00403007" w:rsidRDefault="0004459C" w:rsidP="0004459C">
      <w:pPr>
        <w:autoSpaceDE w:val="0"/>
        <w:autoSpaceDN w:val="0"/>
        <w:adjustRightInd w:val="0"/>
        <w:spacing w:after="0" w:line="240" w:lineRule="auto"/>
        <w:ind w:left="709" w:right="709"/>
        <w:jc w:val="both"/>
        <w:rPr>
          <w:rFonts w:ascii="Arial" w:hAnsi="Arial" w:cs="Arial"/>
          <w:i/>
          <w:sz w:val="21"/>
          <w:szCs w:val="21"/>
        </w:rPr>
      </w:pPr>
      <w:r w:rsidRPr="00403007">
        <w:rPr>
          <w:rFonts w:ascii="Arial" w:hAnsi="Arial" w:cs="Arial"/>
          <w:i/>
          <w:sz w:val="21"/>
          <w:szCs w:val="21"/>
        </w:rPr>
        <w:t xml:space="preserve">Lo anterior teniendo en cuenta que la oferta se encuentra encriptada y presentada, es plataforma </w:t>
      </w:r>
      <w:proofErr w:type="spellStart"/>
      <w:r w:rsidRPr="00403007">
        <w:rPr>
          <w:rFonts w:ascii="Arial" w:hAnsi="Arial" w:cs="Arial"/>
          <w:i/>
          <w:sz w:val="21"/>
          <w:szCs w:val="21"/>
        </w:rPr>
        <w:t>Secop</w:t>
      </w:r>
      <w:proofErr w:type="spellEnd"/>
      <w:r w:rsidRPr="00403007">
        <w:rPr>
          <w:rFonts w:ascii="Arial" w:hAnsi="Arial" w:cs="Arial"/>
          <w:i/>
          <w:sz w:val="21"/>
          <w:szCs w:val="21"/>
        </w:rPr>
        <w:t xml:space="preserve"> II, no se </w:t>
      </w:r>
      <w:proofErr w:type="spellStart"/>
      <w:r w:rsidRPr="00403007">
        <w:rPr>
          <w:rFonts w:ascii="Arial" w:hAnsi="Arial" w:cs="Arial"/>
          <w:i/>
          <w:sz w:val="21"/>
          <w:szCs w:val="21"/>
        </w:rPr>
        <w:t>esta</w:t>
      </w:r>
      <w:proofErr w:type="spellEnd"/>
      <w:r w:rsidRPr="00403007">
        <w:rPr>
          <w:rFonts w:ascii="Arial" w:hAnsi="Arial" w:cs="Arial"/>
          <w:i/>
          <w:sz w:val="21"/>
          <w:szCs w:val="21"/>
        </w:rPr>
        <w:t xml:space="preserve"> adicionando ningún documento que pretenda mejorar la oferta y adicional a ello la carta de presentación también indica la composición accionaria de la empresa, la cual NO difiere de la presentada en el documento certificado y todos los documentos hacen parte integral de la oferta.” (sic)</w:t>
      </w:r>
    </w:p>
    <w:p w14:paraId="470CF31B" w14:textId="77777777" w:rsidR="0063640C" w:rsidRPr="00403007" w:rsidRDefault="0063640C" w:rsidP="0063640C">
      <w:pPr>
        <w:shd w:val="clear" w:color="auto" w:fill="FFFFFF" w:themeFill="background1"/>
        <w:spacing w:after="0" w:line="276" w:lineRule="auto"/>
        <w:jc w:val="both"/>
        <w:textAlignment w:val="baseline"/>
        <w:rPr>
          <w:rFonts w:ascii="Arial" w:hAnsi="Arial" w:cs="Arial"/>
          <w:color w:val="000000" w:themeColor="text1"/>
          <w:lang w:eastAsia="es-MX"/>
        </w:rPr>
      </w:pPr>
    </w:p>
    <w:p w14:paraId="0996290E" w14:textId="26E2FBE0" w:rsidR="0063640C" w:rsidRPr="00403007" w:rsidRDefault="0063640C" w:rsidP="00472169">
      <w:pPr>
        <w:shd w:val="clear" w:color="auto" w:fill="FFFFFF" w:themeFill="background1"/>
        <w:spacing w:after="0" w:line="276" w:lineRule="auto"/>
        <w:jc w:val="both"/>
        <w:textAlignment w:val="baseline"/>
        <w:rPr>
          <w:rFonts w:ascii="Arial" w:hAnsi="Arial" w:cs="Arial"/>
          <w:color w:val="000000" w:themeColor="text1"/>
          <w:lang w:val="es-ES" w:eastAsia="es-MX"/>
        </w:rPr>
      </w:pPr>
      <w:r w:rsidRPr="00403007">
        <w:rPr>
          <w:rFonts w:ascii="Arial" w:hAnsi="Arial" w:cs="Arial"/>
          <w:color w:val="000000" w:themeColor="text1"/>
          <w:lang w:val="es-ES" w:eastAsia="es-MX"/>
        </w:rPr>
        <w:t xml:space="preserve">De acuerdo </w:t>
      </w:r>
      <w:r w:rsidR="002A7BC4" w:rsidRPr="00403007">
        <w:rPr>
          <w:rFonts w:ascii="Arial" w:hAnsi="Arial" w:cs="Arial"/>
          <w:color w:val="000000" w:themeColor="text1"/>
          <w:lang w:val="es-ES" w:eastAsia="es-MX"/>
        </w:rPr>
        <w:t xml:space="preserve">con lo expuesto, nuestro ordenamiento jurídico permite que </w:t>
      </w:r>
      <w:r w:rsidRPr="00403007">
        <w:rPr>
          <w:rFonts w:ascii="Arial" w:hAnsi="Arial" w:cs="Arial"/>
          <w:color w:val="000000" w:themeColor="text1"/>
          <w:lang w:val="es-ES" w:eastAsia="es-MX"/>
        </w:rPr>
        <w:t xml:space="preserve">las sociedades de reciente creación, en aplicación del beneficio establecido en el numeral 2.5 del artículo 2.2.1.1.1.5.2 del Decreto 1082 de 2015, </w:t>
      </w:r>
      <w:r w:rsidR="00A4061B" w:rsidRPr="00403007">
        <w:rPr>
          <w:rFonts w:ascii="Arial" w:hAnsi="Arial" w:cs="Arial"/>
          <w:color w:val="000000" w:themeColor="text1"/>
          <w:lang w:val="es-ES" w:eastAsia="es-MX"/>
        </w:rPr>
        <w:t>puedan inscribir</w:t>
      </w:r>
      <w:r w:rsidRPr="00403007">
        <w:rPr>
          <w:rFonts w:ascii="Arial" w:hAnsi="Arial" w:cs="Arial"/>
          <w:color w:val="000000" w:themeColor="text1"/>
          <w:lang w:val="es-ES" w:eastAsia="es-MX"/>
        </w:rPr>
        <w:t xml:space="preserve"> la experiencia de sus socios o accionistas en el RUP, </w:t>
      </w:r>
      <w:r w:rsidR="00A4061B" w:rsidRPr="00403007">
        <w:rPr>
          <w:rFonts w:ascii="Arial" w:hAnsi="Arial" w:cs="Arial"/>
          <w:color w:val="000000" w:themeColor="text1"/>
          <w:lang w:val="es-ES" w:eastAsia="es-MX"/>
        </w:rPr>
        <w:t xml:space="preserve">la cual </w:t>
      </w:r>
      <w:r w:rsidRPr="00403007">
        <w:rPr>
          <w:rFonts w:ascii="Arial" w:hAnsi="Arial" w:cs="Arial"/>
          <w:color w:val="000000" w:themeColor="text1"/>
          <w:lang w:val="es-ES" w:eastAsia="es-MX"/>
        </w:rPr>
        <w:t>pued</w:t>
      </w:r>
      <w:r w:rsidR="00A4061B" w:rsidRPr="00403007">
        <w:rPr>
          <w:rFonts w:ascii="Arial" w:hAnsi="Arial" w:cs="Arial"/>
          <w:color w:val="000000" w:themeColor="text1"/>
          <w:lang w:val="es-ES" w:eastAsia="es-MX"/>
        </w:rPr>
        <w:t>en</w:t>
      </w:r>
      <w:r w:rsidRPr="00403007">
        <w:rPr>
          <w:rFonts w:ascii="Arial" w:hAnsi="Arial" w:cs="Arial"/>
          <w:color w:val="000000" w:themeColor="text1"/>
          <w:lang w:val="es-ES" w:eastAsia="es-MX"/>
        </w:rPr>
        <w:t xml:space="preserve"> seguir </w:t>
      </w:r>
      <w:r w:rsidR="00A4061B" w:rsidRPr="00403007">
        <w:rPr>
          <w:rFonts w:ascii="Arial" w:hAnsi="Arial" w:cs="Arial"/>
          <w:color w:val="000000" w:themeColor="text1"/>
          <w:lang w:val="es-ES" w:eastAsia="es-MX"/>
        </w:rPr>
        <w:t>acreditándola</w:t>
      </w:r>
      <w:r w:rsidRPr="00403007">
        <w:rPr>
          <w:rFonts w:ascii="Arial" w:hAnsi="Arial" w:cs="Arial"/>
          <w:color w:val="000000" w:themeColor="text1"/>
          <w:lang w:val="es-ES" w:eastAsia="es-MX"/>
        </w:rPr>
        <w:t xml:space="preserve"> en los procedimientos de selección, aun después de cumplidos los 3 años de constitución, siempre que no hayan cesado los efectos del RUP por el incumplimiento del deber de renovación</w:t>
      </w:r>
      <w:r w:rsidR="00472169" w:rsidRPr="00403007">
        <w:rPr>
          <w:rFonts w:ascii="Arial" w:hAnsi="Arial" w:cs="Arial"/>
          <w:color w:val="000000" w:themeColor="text1"/>
          <w:lang w:val="es-ES" w:eastAsia="es-MX"/>
        </w:rPr>
        <w:t xml:space="preserve">, pues de ser así, </w:t>
      </w:r>
      <w:r w:rsidRPr="00403007">
        <w:rPr>
          <w:rFonts w:ascii="Arial" w:hAnsi="Arial" w:cs="Arial"/>
          <w:color w:val="000000" w:themeColor="text1"/>
          <w:lang w:val="es-ES" w:eastAsia="es-MX"/>
        </w:rPr>
        <w:t>cesan los efectos de este, la experiencia de los socios no puede registrarse nuevamente y las Cámaras de Comercios tienen el deber de hacer nuevamente la verificación documental de la información presentada al momento de inscribirse en el registro.</w:t>
      </w:r>
    </w:p>
    <w:p w14:paraId="338EB855" w14:textId="77777777" w:rsidR="00472169" w:rsidRPr="00403007" w:rsidRDefault="00472169" w:rsidP="0063640C">
      <w:pPr>
        <w:shd w:val="clear" w:color="auto" w:fill="FFFFFF" w:themeFill="background1"/>
        <w:spacing w:after="0" w:line="276" w:lineRule="auto"/>
        <w:jc w:val="both"/>
        <w:textAlignment w:val="baseline"/>
        <w:rPr>
          <w:rFonts w:ascii="Arial" w:hAnsi="Arial" w:cs="Arial"/>
          <w:color w:val="000000" w:themeColor="text1"/>
          <w:lang w:val="es-ES" w:eastAsia="es-MX"/>
        </w:rPr>
      </w:pPr>
    </w:p>
    <w:p w14:paraId="15E3C47E" w14:textId="16E9F1C4" w:rsidR="0063640C" w:rsidRPr="00403007" w:rsidRDefault="00C45E18" w:rsidP="00F50E6B">
      <w:pPr>
        <w:shd w:val="clear" w:color="auto" w:fill="FFFFFF" w:themeFill="background1"/>
        <w:spacing w:after="0" w:line="276" w:lineRule="auto"/>
        <w:ind w:firstLine="708"/>
        <w:jc w:val="both"/>
        <w:textAlignment w:val="baseline"/>
        <w:rPr>
          <w:rFonts w:ascii="Arial" w:hAnsi="Arial" w:cs="Arial"/>
          <w:color w:val="000000" w:themeColor="text1"/>
          <w:lang w:val="es-ES" w:eastAsia="es-MX"/>
        </w:rPr>
      </w:pPr>
      <w:r w:rsidRPr="02E3505A">
        <w:rPr>
          <w:rFonts w:ascii="Arial" w:hAnsi="Arial" w:cs="Arial"/>
          <w:color w:val="000000" w:themeColor="text1"/>
          <w:lang w:val="es-ES" w:eastAsia="es-MX"/>
        </w:rPr>
        <w:t>Asimismo</w:t>
      </w:r>
      <w:r w:rsidR="0063640C" w:rsidRPr="02E3505A">
        <w:rPr>
          <w:rFonts w:ascii="Arial" w:hAnsi="Arial" w:cs="Arial"/>
          <w:color w:val="000000" w:themeColor="text1"/>
          <w:lang w:val="es-ES" w:eastAsia="es-MX"/>
        </w:rPr>
        <w:t xml:space="preserve">, </w:t>
      </w:r>
      <w:r w:rsidRPr="02E3505A">
        <w:rPr>
          <w:rFonts w:ascii="Arial" w:hAnsi="Arial" w:cs="Arial"/>
          <w:color w:val="000000" w:themeColor="text1"/>
          <w:lang w:val="es-ES" w:eastAsia="es-MX"/>
        </w:rPr>
        <w:t xml:space="preserve">se indicó que </w:t>
      </w:r>
      <w:r w:rsidR="0063640C" w:rsidRPr="02E3505A">
        <w:rPr>
          <w:rFonts w:ascii="Arial" w:hAnsi="Arial" w:cs="Arial"/>
          <w:color w:val="000000" w:themeColor="text1"/>
          <w:lang w:val="es-ES" w:eastAsia="es-MX"/>
        </w:rPr>
        <w:t xml:space="preserve">la regla contenida en el numeral 2.5 del artículo 2.2.1.1.1.5.2 del Decreto 1082 de 2015 es una norma reglamentaria de alcance general que </w:t>
      </w:r>
      <w:r w:rsidR="00E7500C" w:rsidRPr="02E3505A">
        <w:rPr>
          <w:rFonts w:ascii="Arial" w:hAnsi="Arial" w:cs="Arial"/>
          <w:color w:val="000000" w:themeColor="text1"/>
          <w:lang w:val="es-ES" w:eastAsia="es-MX"/>
        </w:rPr>
        <w:t>dispone que</w:t>
      </w:r>
      <w:r w:rsidR="0063640C" w:rsidRPr="02E3505A">
        <w:rPr>
          <w:rFonts w:ascii="Arial" w:hAnsi="Arial" w:cs="Arial"/>
          <w:color w:val="000000" w:themeColor="text1"/>
          <w:lang w:val="es-ES" w:eastAsia="es-MX"/>
        </w:rPr>
        <w:t xml:space="preserve"> la experiencia inscrita de acuerdo con la referida prerrogativa podrá ser acreditada en procesos de selección mediante el respectivo RUP, con efectos de plena prueba de las circunstancias de las que en el constan. </w:t>
      </w:r>
      <w:r w:rsidR="00F50E6B" w:rsidRPr="02E3505A">
        <w:rPr>
          <w:rFonts w:ascii="Arial" w:hAnsi="Arial" w:cs="Arial"/>
          <w:color w:val="000000" w:themeColor="text1"/>
          <w:lang w:val="es-ES" w:eastAsia="es-MX"/>
        </w:rPr>
        <w:t xml:space="preserve"> </w:t>
      </w:r>
      <w:r w:rsidR="0063640C" w:rsidRPr="02E3505A">
        <w:rPr>
          <w:rFonts w:ascii="Arial" w:hAnsi="Arial" w:cs="Arial"/>
          <w:color w:val="000000" w:themeColor="text1"/>
          <w:lang w:val="es-ES" w:eastAsia="es-MX"/>
        </w:rPr>
        <w:t xml:space="preserve">De acuerdo con lo anterior, si bien las Entidades Estatales, en el marco de la selección objetiva y lo permitido por las reglas para definir la oferta más favorable, tienen cierta discrecionalidad para incluir en los pliegos de condiciones los criterios de evaluación que estimen justificados, el alcance de dicha potestad no puede desconocer los efectos de plena prueba de </w:t>
      </w:r>
      <w:r w:rsidR="4240CE6C" w:rsidRPr="02E3505A">
        <w:rPr>
          <w:rFonts w:ascii="Arial" w:hAnsi="Arial" w:cs="Arial"/>
          <w:color w:val="000000" w:themeColor="text1"/>
          <w:lang w:val="es-ES" w:eastAsia="es-MX"/>
        </w:rPr>
        <w:t>las</w:t>
      </w:r>
      <w:r w:rsidR="0063640C" w:rsidRPr="02E3505A">
        <w:rPr>
          <w:rFonts w:ascii="Arial" w:hAnsi="Arial" w:cs="Arial"/>
          <w:color w:val="000000" w:themeColor="text1"/>
          <w:lang w:val="es-ES" w:eastAsia="es-MX"/>
        </w:rPr>
        <w:t xml:space="preserve"> circunstancias en el contenidas, que el artículo 6 de la Ley 1150 de 2007 le atribuye al RUP.  </w:t>
      </w:r>
    </w:p>
    <w:p w14:paraId="61AC9EB2" w14:textId="77777777" w:rsidR="00F50E6B" w:rsidRPr="00403007" w:rsidRDefault="00F50E6B" w:rsidP="00F50E6B">
      <w:pPr>
        <w:shd w:val="clear" w:color="auto" w:fill="FFFFFF" w:themeFill="background1"/>
        <w:spacing w:after="0" w:line="276" w:lineRule="auto"/>
        <w:ind w:firstLine="708"/>
        <w:jc w:val="both"/>
        <w:textAlignment w:val="baseline"/>
        <w:rPr>
          <w:rFonts w:ascii="Arial" w:hAnsi="Arial" w:cs="Arial"/>
          <w:color w:val="000000" w:themeColor="text1"/>
          <w:lang w:val="es-ES" w:eastAsia="es-MX"/>
        </w:rPr>
      </w:pPr>
    </w:p>
    <w:p w14:paraId="15D06563" w14:textId="6E593CE2" w:rsidR="0063640C" w:rsidRPr="00403007" w:rsidRDefault="00F50E6B" w:rsidP="00F4303E">
      <w:pPr>
        <w:spacing w:after="120" w:line="276" w:lineRule="auto"/>
        <w:jc w:val="both"/>
        <w:rPr>
          <w:rFonts w:ascii="Arial" w:hAnsi="Arial" w:cs="Arial"/>
          <w:color w:val="000000" w:themeColor="text1"/>
          <w:lang w:eastAsia="es-MX"/>
        </w:rPr>
      </w:pPr>
      <w:r w:rsidRPr="00403007">
        <w:rPr>
          <w:rFonts w:ascii="Arial" w:hAnsi="Arial" w:cs="Arial"/>
          <w:color w:val="000000" w:themeColor="text1"/>
          <w:lang w:val="es-ES" w:eastAsia="es-MX"/>
        </w:rPr>
        <w:tab/>
      </w:r>
      <w:r w:rsidR="00601575" w:rsidRPr="00403007">
        <w:rPr>
          <w:rFonts w:ascii="Arial" w:hAnsi="Arial" w:cs="Arial"/>
          <w:color w:val="000000" w:themeColor="text1"/>
          <w:lang w:val="es-ES" w:eastAsia="es-MX"/>
        </w:rPr>
        <w:t xml:space="preserve">Sin embargo, respecto de los proceso de contratación </w:t>
      </w:r>
      <w:r w:rsidR="00601575" w:rsidRPr="00403007">
        <w:rPr>
          <w:rFonts w:ascii="Arial" w:eastAsia="Calibri" w:hAnsi="Arial" w:cs="Arial"/>
          <w:color w:val="000000" w:themeColor="text1"/>
        </w:rPr>
        <w:t xml:space="preserve">adelantados bajo documentos pliego tipo, en los “Documento Base” se incorporó como requisito el </w:t>
      </w:r>
      <w:r w:rsidR="00F73B0D" w:rsidRPr="00403007">
        <w:rPr>
          <w:rFonts w:ascii="Arial" w:eastAsia="Calibri" w:hAnsi="Arial" w:cs="Arial"/>
          <w:color w:val="000000" w:themeColor="text1"/>
        </w:rPr>
        <w:t xml:space="preserve">para acreditar la experiencia requerida en el supuesto bajo estudio, que se acompañe el RUP </w:t>
      </w:r>
      <w:r w:rsidR="00601575" w:rsidRPr="00403007">
        <w:rPr>
          <w:rFonts w:ascii="Arial" w:eastAsia="Calibri" w:hAnsi="Arial" w:cs="Arial"/>
          <w:color w:val="000000" w:themeColor="text1"/>
        </w:rPr>
        <w:t xml:space="preserve">con </w:t>
      </w:r>
      <w:r w:rsidR="00601575" w:rsidRPr="00403007">
        <w:rPr>
          <w:rFonts w:ascii="Arial" w:eastAsia="Calibri" w:hAnsi="Arial" w:cs="Arial"/>
        </w:rPr>
        <w:t>un documento suscrito por el representante legal y el revisor fiscal o contador público (según corresponda) donde se indique la conformación de la persona jurídica, el cual, como se expuso previamente es susceptible de subsanación</w:t>
      </w:r>
      <w:r w:rsidR="00F4303E" w:rsidRPr="00403007">
        <w:rPr>
          <w:rFonts w:ascii="Arial" w:eastAsia="Calibri" w:hAnsi="Arial" w:cs="Arial"/>
        </w:rPr>
        <w:t xml:space="preserve"> si la experiencia exigida se encuentra </w:t>
      </w:r>
      <w:r w:rsidR="00F4303E" w:rsidRPr="00403007">
        <w:rPr>
          <w:rFonts w:ascii="Arial" w:eastAsia="Calibri" w:hAnsi="Arial" w:cs="Arial"/>
        </w:rPr>
        <w:lastRenderedPageBreak/>
        <w:t>como requisito habilitante y no ponderable o calificable</w:t>
      </w:r>
      <w:r w:rsidR="00F73B0D" w:rsidRPr="00403007">
        <w:rPr>
          <w:rFonts w:ascii="Arial" w:eastAsia="Calibri" w:hAnsi="Arial" w:cs="Arial"/>
        </w:rPr>
        <w:t xml:space="preserve">, dentro del término de traslado otorgado por la Entidad Estatal, en caso de omitir su </w:t>
      </w:r>
      <w:r w:rsidR="00F4303E" w:rsidRPr="00403007">
        <w:rPr>
          <w:rFonts w:ascii="Arial" w:eastAsia="Calibri" w:hAnsi="Arial" w:cs="Arial"/>
        </w:rPr>
        <w:t>envió con la propuesta inicial.</w:t>
      </w:r>
    </w:p>
    <w:p w14:paraId="094C057A" w14:textId="56D71F16" w:rsidR="007671C1" w:rsidRPr="00403007" w:rsidRDefault="007671C1" w:rsidP="007671C1">
      <w:pPr>
        <w:shd w:val="clear" w:color="auto" w:fill="FFFFFF" w:themeFill="background1"/>
        <w:spacing w:after="0" w:line="276" w:lineRule="auto"/>
        <w:ind w:firstLine="708"/>
        <w:jc w:val="both"/>
        <w:textAlignment w:val="baseline"/>
        <w:rPr>
          <w:rFonts w:ascii="Arial" w:hAnsi="Arial" w:cs="Arial"/>
          <w:color w:val="000000" w:themeColor="text1"/>
          <w:lang w:eastAsia="es-MX"/>
        </w:rPr>
      </w:pPr>
      <w:r w:rsidRPr="00403007">
        <w:rPr>
          <w:rFonts w:ascii="Arial" w:hAnsi="Arial"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47AE05A" w14:textId="77777777" w:rsidR="007671C1" w:rsidRPr="00403007" w:rsidRDefault="007671C1" w:rsidP="007671C1">
      <w:pPr>
        <w:spacing w:after="0" w:line="276" w:lineRule="auto"/>
        <w:contextualSpacing/>
        <w:jc w:val="both"/>
        <w:textAlignment w:val="baseline"/>
        <w:rPr>
          <w:rFonts w:ascii="Arial" w:hAnsi="Arial" w:cs="Arial"/>
          <w:lang w:val="es-ES"/>
        </w:rPr>
      </w:pPr>
    </w:p>
    <w:p w14:paraId="38FDBE07" w14:textId="77777777" w:rsidR="007671C1" w:rsidRPr="00403007" w:rsidRDefault="007671C1" w:rsidP="007671C1">
      <w:pPr>
        <w:spacing w:after="0" w:line="276" w:lineRule="auto"/>
        <w:contextualSpacing/>
        <w:jc w:val="both"/>
        <w:textAlignment w:val="baseline"/>
        <w:rPr>
          <w:rFonts w:ascii="Arial" w:eastAsia="Times New Roman" w:hAnsi="Arial" w:cs="Arial"/>
          <w:lang w:eastAsia="es-CO"/>
        </w:rPr>
      </w:pPr>
      <w:r w:rsidRPr="00403007">
        <w:rPr>
          <w:rFonts w:ascii="Arial" w:hAnsi="Arial" w:cs="Arial"/>
          <w:lang w:val="es-ES"/>
        </w:rPr>
        <w:t>Atentamente</w:t>
      </w:r>
      <w:r w:rsidRPr="00403007">
        <w:rPr>
          <w:rFonts w:ascii="Arial" w:eastAsia="Times New Roman" w:hAnsi="Arial" w:cs="Arial"/>
          <w:lang w:val="es-MX" w:eastAsia="es-CO"/>
        </w:rPr>
        <w:t>,</w:t>
      </w:r>
      <w:r w:rsidRPr="00403007">
        <w:rPr>
          <w:rFonts w:ascii="Arial" w:eastAsia="Times New Roman" w:hAnsi="Arial" w:cs="Arial"/>
          <w:lang w:eastAsia="es-CO"/>
        </w:rPr>
        <w:t> </w:t>
      </w:r>
    </w:p>
    <w:p w14:paraId="796FEA81" w14:textId="61A9A98C" w:rsidR="007671C1" w:rsidRPr="00403007" w:rsidRDefault="0083409B" w:rsidP="007671C1">
      <w:pPr>
        <w:spacing w:after="0" w:line="276" w:lineRule="auto"/>
        <w:jc w:val="center"/>
        <w:textAlignment w:val="baseline"/>
        <w:rPr>
          <w:rFonts w:ascii="Arial" w:eastAsia="Times New Roman" w:hAnsi="Arial" w:cs="Arial"/>
          <w:sz w:val="18"/>
          <w:szCs w:val="18"/>
          <w:lang w:eastAsia="es-CO"/>
        </w:rPr>
      </w:pPr>
      <w:r>
        <w:rPr>
          <w:noProof/>
        </w:rPr>
        <w:drawing>
          <wp:inline distT="0" distB="0" distL="0" distR="0" wp14:anchorId="24B37F3B" wp14:editId="1524AFE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55846081" w14:textId="77777777" w:rsidR="007671C1" w:rsidRPr="00403007" w:rsidRDefault="007671C1" w:rsidP="007671C1">
      <w:pPr>
        <w:spacing w:after="0" w:line="276"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eastAsia="es-CO"/>
        </w:rPr>
        <w:t> </w:t>
      </w:r>
    </w:p>
    <w:tbl>
      <w:tblPr>
        <w:tblW w:w="50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1"/>
        <w:gridCol w:w="4430"/>
      </w:tblGrid>
      <w:tr w:rsidR="007671C1" w:rsidRPr="003D56E3" w14:paraId="797D8B45" w14:textId="77777777" w:rsidTr="00A43D3F">
        <w:trPr>
          <w:trHeight w:val="403"/>
        </w:trPr>
        <w:tc>
          <w:tcPr>
            <w:tcW w:w="517" w:type="dxa"/>
            <w:tcBorders>
              <w:top w:val="nil"/>
              <w:left w:val="nil"/>
              <w:bottom w:val="nil"/>
              <w:right w:val="nil"/>
            </w:tcBorders>
            <w:vAlign w:val="center"/>
            <w:hideMark/>
          </w:tcPr>
          <w:p w14:paraId="527728A0" w14:textId="77777777" w:rsidR="007671C1" w:rsidRPr="00403007" w:rsidRDefault="007671C1" w:rsidP="00A43D3F">
            <w:pPr>
              <w:spacing w:after="0" w:line="276"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val="es-MX" w:eastAsia="es-CO"/>
              </w:rPr>
              <w:t>Elaboró:</w:t>
            </w:r>
            <w:r w:rsidRPr="00403007">
              <w:rPr>
                <w:rFonts w:ascii="Arial" w:eastAsia="Times New Roman" w:hAnsi="Arial" w:cs="Arial"/>
                <w:sz w:val="16"/>
                <w:szCs w:val="16"/>
                <w:lang w:eastAsia="es-CO"/>
              </w:rPr>
              <w:t> </w:t>
            </w:r>
          </w:p>
        </w:tc>
        <w:tc>
          <w:tcPr>
            <w:tcW w:w="4554" w:type="dxa"/>
            <w:tcBorders>
              <w:top w:val="nil"/>
              <w:left w:val="nil"/>
              <w:bottom w:val="dotted" w:sz="6" w:space="0" w:color="7F7F7F"/>
              <w:right w:val="nil"/>
            </w:tcBorders>
            <w:vAlign w:val="center"/>
            <w:hideMark/>
          </w:tcPr>
          <w:p w14:paraId="405E7451" w14:textId="77777777" w:rsidR="007671C1" w:rsidRPr="00403007" w:rsidRDefault="007671C1" w:rsidP="00A43D3F">
            <w:pPr>
              <w:spacing w:after="0" w:line="240" w:lineRule="auto"/>
              <w:jc w:val="both"/>
              <w:textAlignment w:val="baseline"/>
              <w:rPr>
                <w:rFonts w:ascii="Arial" w:eastAsia="Times New Roman" w:hAnsi="Arial" w:cs="Arial"/>
                <w:sz w:val="16"/>
                <w:szCs w:val="16"/>
                <w:lang w:val="es-MX" w:eastAsia="es-CO"/>
              </w:rPr>
            </w:pPr>
            <w:r w:rsidRPr="00403007">
              <w:rPr>
                <w:rFonts w:ascii="Arial" w:eastAsia="Times New Roman" w:hAnsi="Arial" w:cs="Arial"/>
                <w:sz w:val="16"/>
                <w:szCs w:val="16"/>
                <w:lang w:val="es-MX" w:eastAsia="es-CO"/>
              </w:rPr>
              <w:t>Any Alejandra Tovar Castillo</w:t>
            </w:r>
          </w:p>
          <w:p w14:paraId="02A11A60" w14:textId="77777777" w:rsidR="007671C1" w:rsidRPr="00403007" w:rsidRDefault="007671C1" w:rsidP="00A43D3F">
            <w:pPr>
              <w:spacing w:after="0" w:line="240"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val="es-MX" w:eastAsia="es-CO"/>
              </w:rPr>
              <w:t xml:space="preserve">Contratista </w:t>
            </w:r>
            <w:r w:rsidRPr="00403007">
              <w:rPr>
                <w:rFonts w:ascii="Arial" w:eastAsia="Times New Roman" w:hAnsi="Arial" w:cs="Arial"/>
                <w:sz w:val="16"/>
                <w:szCs w:val="16"/>
                <w:lang w:eastAsia="es-CO"/>
              </w:rPr>
              <w:t>Subdirección de Gestión Contractual</w:t>
            </w:r>
          </w:p>
        </w:tc>
      </w:tr>
      <w:tr w:rsidR="007671C1" w:rsidRPr="003D56E3" w14:paraId="3ADEA200" w14:textId="77777777" w:rsidTr="00A43D3F">
        <w:trPr>
          <w:trHeight w:val="403"/>
        </w:trPr>
        <w:tc>
          <w:tcPr>
            <w:tcW w:w="517" w:type="dxa"/>
            <w:tcBorders>
              <w:top w:val="nil"/>
              <w:left w:val="nil"/>
              <w:bottom w:val="nil"/>
              <w:right w:val="nil"/>
            </w:tcBorders>
            <w:vAlign w:val="center"/>
            <w:hideMark/>
          </w:tcPr>
          <w:p w14:paraId="6054D153" w14:textId="77777777" w:rsidR="007671C1" w:rsidRPr="00403007" w:rsidRDefault="007671C1" w:rsidP="00A43D3F">
            <w:pPr>
              <w:spacing w:after="0" w:line="276"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val="es-MX" w:eastAsia="es-CO"/>
              </w:rPr>
              <w:t>Revisó:</w:t>
            </w:r>
            <w:r w:rsidRPr="00403007">
              <w:rPr>
                <w:rFonts w:ascii="Arial" w:eastAsia="Times New Roman" w:hAnsi="Arial" w:cs="Arial"/>
                <w:sz w:val="16"/>
                <w:szCs w:val="16"/>
                <w:lang w:eastAsia="es-CO"/>
              </w:rPr>
              <w:t> </w:t>
            </w:r>
          </w:p>
        </w:tc>
        <w:tc>
          <w:tcPr>
            <w:tcW w:w="4554" w:type="dxa"/>
            <w:tcBorders>
              <w:top w:val="dotted" w:sz="6" w:space="0" w:color="7F7F7F"/>
              <w:left w:val="nil"/>
              <w:bottom w:val="dotted" w:sz="6" w:space="0" w:color="7F7F7F"/>
              <w:right w:val="nil"/>
            </w:tcBorders>
            <w:vAlign w:val="center"/>
            <w:hideMark/>
          </w:tcPr>
          <w:p w14:paraId="30EF4647" w14:textId="77777777" w:rsidR="007671C1" w:rsidRPr="00403007" w:rsidRDefault="007671C1" w:rsidP="00A43D3F">
            <w:pPr>
              <w:spacing w:after="0" w:line="276" w:lineRule="auto"/>
              <w:jc w:val="both"/>
              <w:textAlignment w:val="baseline"/>
              <w:rPr>
                <w:rFonts w:ascii="Arial" w:eastAsia="Times New Roman" w:hAnsi="Arial" w:cs="Arial"/>
                <w:sz w:val="16"/>
                <w:szCs w:val="16"/>
                <w:lang w:val="es-MX" w:eastAsia="es-CO"/>
              </w:rPr>
            </w:pPr>
            <w:r w:rsidRPr="00403007">
              <w:rPr>
                <w:rFonts w:ascii="Arial" w:eastAsia="Times New Roman" w:hAnsi="Arial" w:cs="Arial"/>
                <w:sz w:val="16"/>
                <w:szCs w:val="16"/>
                <w:lang w:val="es-MX" w:eastAsia="es-CO"/>
              </w:rPr>
              <w:t>Juan David Cárdenas Cabeza</w:t>
            </w:r>
          </w:p>
          <w:p w14:paraId="6667E590" w14:textId="77777777" w:rsidR="007671C1" w:rsidRPr="00403007" w:rsidRDefault="007671C1" w:rsidP="00A43D3F">
            <w:pPr>
              <w:spacing w:after="0" w:line="240"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val="es-MX" w:eastAsia="es-CO"/>
              </w:rPr>
              <w:t>Contratista Subdirección de Gestión Contractual</w:t>
            </w:r>
          </w:p>
        </w:tc>
      </w:tr>
      <w:tr w:rsidR="007671C1" w:rsidRPr="003D56E3" w14:paraId="5E5CE68F" w14:textId="77777777" w:rsidTr="00A43D3F">
        <w:trPr>
          <w:trHeight w:val="384"/>
        </w:trPr>
        <w:tc>
          <w:tcPr>
            <w:tcW w:w="517" w:type="dxa"/>
            <w:tcBorders>
              <w:top w:val="nil"/>
              <w:left w:val="nil"/>
              <w:bottom w:val="nil"/>
              <w:right w:val="nil"/>
            </w:tcBorders>
            <w:vAlign w:val="center"/>
            <w:hideMark/>
          </w:tcPr>
          <w:p w14:paraId="09F9A7EE" w14:textId="77777777" w:rsidR="007671C1" w:rsidRPr="00403007" w:rsidRDefault="007671C1" w:rsidP="00A43D3F">
            <w:pPr>
              <w:spacing w:after="0" w:line="276"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val="es-MX" w:eastAsia="es-CO"/>
              </w:rPr>
              <w:t>Aprobó:</w:t>
            </w:r>
            <w:r w:rsidRPr="00403007">
              <w:rPr>
                <w:rFonts w:ascii="Arial" w:eastAsia="Times New Roman" w:hAnsi="Arial" w:cs="Arial"/>
                <w:sz w:val="16"/>
                <w:szCs w:val="16"/>
                <w:lang w:eastAsia="es-CO"/>
              </w:rPr>
              <w:t> </w:t>
            </w:r>
          </w:p>
        </w:tc>
        <w:tc>
          <w:tcPr>
            <w:tcW w:w="4554" w:type="dxa"/>
            <w:tcBorders>
              <w:top w:val="dotted" w:sz="6" w:space="0" w:color="7F7F7F"/>
              <w:left w:val="nil"/>
              <w:bottom w:val="dotted" w:sz="6" w:space="0" w:color="7F7F7F"/>
              <w:right w:val="nil"/>
            </w:tcBorders>
            <w:vAlign w:val="center"/>
            <w:hideMark/>
          </w:tcPr>
          <w:p w14:paraId="49AC0557" w14:textId="77777777" w:rsidR="007671C1" w:rsidRPr="00403007" w:rsidRDefault="007671C1" w:rsidP="00A43D3F">
            <w:pPr>
              <w:spacing w:after="0" w:line="240" w:lineRule="auto"/>
              <w:jc w:val="both"/>
              <w:textAlignment w:val="baseline"/>
              <w:rPr>
                <w:rFonts w:ascii="Arial" w:eastAsia="Times New Roman" w:hAnsi="Arial" w:cs="Arial"/>
                <w:sz w:val="16"/>
                <w:szCs w:val="16"/>
                <w:lang w:val="es-ES_tradnl" w:eastAsia="es-CO"/>
              </w:rPr>
            </w:pPr>
            <w:r w:rsidRPr="00403007">
              <w:rPr>
                <w:rFonts w:ascii="Arial" w:eastAsia="Times New Roman" w:hAnsi="Arial" w:cs="Arial"/>
                <w:sz w:val="16"/>
                <w:szCs w:val="16"/>
                <w:lang w:val="es-ES_tradnl" w:eastAsia="es-CO"/>
              </w:rPr>
              <w:t>Nohelia del Carmen Zawady Palacio</w:t>
            </w:r>
          </w:p>
          <w:p w14:paraId="6755B711" w14:textId="77777777" w:rsidR="007671C1" w:rsidRPr="00403007" w:rsidRDefault="007671C1" w:rsidP="00A43D3F">
            <w:pPr>
              <w:spacing w:after="0" w:line="240" w:lineRule="auto"/>
              <w:jc w:val="both"/>
              <w:textAlignment w:val="baseline"/>
              <w:rPr>
                <w:rFonts w:ascii="Arial" w:eastAsia="Times New Roman" w:hAnsi="Arial" w:cs="Arial"/>
                <w:sz w:val="16"/>
                <w:szCs w:val="16"/>
                <w:lang w:eastAsia="es-CO"/>
              </w:rPr>
            </w:pPr>
            <w:r w:rsidRPr="00403007">
              <w:rPr>
                <w:rFonts w:ascii="Arial" w:eastAsia="Times New Roman" w:hAnsi="Arial" w:cs="Arial"/>
                <w:sz w:val="16"/>
                <w:szCs w:val="16"/>
                <w:lang w:val="es-ES_tradnl" w:eastAsia="es-CO"/>
              </w:rPr>
              <w:t>Subdirectora de Gestión Contractual ANCP-CCE</w:t>
            </w:r>
          </w:p>
        </w:tc>
      </w:tr>
      <w:bookmarkEnd w:id="0"/>
    </w:tbl>
    <w:p w14:paraId="0F293BF4" w14:textId="765C9CD7" w:rsidR="00127233" w:rsidRPr="00403007" w:rsidRDefault="00127233" w:rsidP="007671C1">
      <w:pPr>
        <w:rPr>
          <w:rFonts w:ascii="Arial" w:hAnsi="Arial" w:cs="Arial"/>
        </w:rPr>
      </w:pPr>
    </w:p>
    <w:sectPr w:rsidR="00127233" w:rsidRPr="00403007"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2DCA0" w14:textId="77777777" w:rsidR="00103BD1" w:rsidRDefault="00103BD1" w:rsidP="004A1847">
      <w:pPr>
        <w:spacing w:after="0" w:line="240" w:lineRule="auto"/>
      </w:pPr>
      <w:r>
        <w:separator/>
      </w:r>
    </w:p>
  </w:endnote>
  <w:endnote w:type="continuationSeparator" w:id="0">
    <w:p w14:paraId="3435ECA7" w14:textId="77777777" w:rsidR="00103BD1" w:rsidRDefault="00103BD1" w:rsidP="004A1847">
      <w:pPr>
        <w:spacing w:after="0" w:line="240" w:lineRule="auto"/>
      </w:pPr>
      <w:r>
        <w:continuationSeparator/>
      </w:r>
    </w:p>
  </w:endnote>
  <w:endnote w:type="continuationNotice" w:id="1">
    <w:p w14:paraId="752E6181" w14:textId="77777777" w:rsidR="00103BD1" w:rsidRDefault="00103B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p w14:paraId="6584C4AA" w14:textId="77777777" w:rsidR="00142FBA" w:rsidRDefault="00142FBA"/>
  <w:p w14:paraId="3BFB6FE8" w14:textId="77777777" w:rsidR="00142FBA" w:rsidRDefault="00142F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72A61" w14:textId="77777777" w:rsidR="00103BD1" w:rsidRDefault="00103BD1" w:rsidP="004A1847">
      <w:pPr>
        <w:spacing w:after="0" w:line="240" w:lineRule="auto"/>
      </w:pPr>
      <w:r>
        <w:separator/>
      </w:r>
    </w:p>
  </w:footnote>
  <w:footnote w:type="continuationSeparator" w:id="0">
    <w:p w14:paraId="36D93C23" w14:textId="77777777" w:rsidR="00103BD1" w:rsidRDefault="00103BD1" w:rsidP="004A1847">
      <w:pPr>
        <w:spacing w:after="0" w:line="240" w:lineRule="auto"/>
      </w:pPr>
      <w:r>
        <w:continuationSeparator/>
      </w:r>
    </w:p>
  </w:footnote>
  <w:footnote w:type="continuationNotice" w:id="1">
    <w:p w14:paraId="524419BF" w14:textId="77777777" w:rsidR="00103BD1" w:rsidRDefault="00103BD1">
      <w:pPr>
        <w:spacing w:after="0" w:line="240" w:lineRule="auto"/>
      </w:pPr>
    </w:p>
  </w:footnote>
  <w:footnote w:id="2">
    <w:p w14:paraId="50DE8CC9" w14:textId="77777777" w:rsidR="007671C1" w:rsidRPr="00F43C46" w:rsidRDefault="007671C1" w:rsidP="00F43C46">
      <w:pPr>
        <w:pStyle w:val="Textonotapie"/>
        <w:ind w:firstLine="708"/>
        <w:contextualSpacing/>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La Agencia Nacional de Contratación Pública </w:t>
      </w:r>
      <w:r w:rsidRPr="00F43C46">
        <w:rPr>
          <w:rFonts w:ascii="Arial" w:hAnsi="Arial" w:cs="Arial"/>
          <w:sz w:val="18"/>
          <w:szCs w:val="18"/>
        </w:rPr>
        <w:t>‒</w:t>
      </w:r>
      <w:r w:rsidRPr="00F43C46">
        <w:rPr>
          <w:rFonts w:ascii="Century Gothic" w:hAnsi="Century Gothic" w:cs="Arial"/>
          <w:sz w:val="18"/>
          <w:szCs w:val="18"/>
        </w:rPr>
        <w:t xml:space="preserve"> Colombia Compra Eficiente fue creada por el Decreto Ley 4170 de 2011. Su objetivo es servir como ente rector de la pol</w:t>
      </w:r>
      <w:r w:rsidRPr="00F43C46">
        <w:rPr>
          <w:rFonts w:ascii="Century Gothic" w:hAnsi="Century Gothic" w:cs="Century Gothic"/>
          <w:sz w:val="18"/>
          <w:szCs w:val="18"/>
        </w:rPr>
        <w:t>í</w:t>
      </w:r>
      <w:r w:rsidRPr="00F43C46">
        <w:rPr>
          <w:rFonts w:ascii="Century Gothic" w:hAnsi="Century Gothic" w:cs="Arial"/>
          <w:sz w:val="18"/>
          <w:szCs w:val="18"/>
        </w:rPr>
        <w:t>tica de compras y contrataci</w:t>
      </w:r>
      <w:r w:rsidRPr="00F43C46">
        <w:rPr>
          <w:rFonts w:ascii="Century Gothic" w:hAnsi="Century Gothic" w:cs="Century Gothic"/>
          <w:sz w:val="18"/>
          <w:szCs w:val="18"/>
        </w:rPr>
        <w:t>ó</w:t>
      </w:r>
      <w:r w:rsidRPr="00F43C46">
        <w:rPr>
          <w:rFonts w:ascii="Century Gothic" w:hAnsi="Century Gothic" w:cs="Arial"/>
          <w:sz w:val="18"/>
          <w:szCs w:val="18"/>
        </w:rPr>
        <w:t xml:space="preserve">n del Estado. Para tales fines, como </w:t>
      </w:r>
      <w:r w:rsidRPr="00F43C46">
        <w:rPr>
          <w:rFonts w:ascii="Century Gothic" w:hAnsi="Century Gothic" w:cs="Century Gothic"/>
          <w:sz w:val="18"/>
          <w:szCs w:val="18"/>
        </w:rPr>
        <w:t>ó</w:t>
      </w:r>
      <w:r w:rsidRPr="00F43C46">
        <w:rPr>
          <w:rFonts w:ascii="Century Gothic" w:hAnsi="Century Gothic" w:cs="Arial"/>
          <w:sz w:val="18"/>
          <w:szCs w:val="18"/>
        </w:rPr>
        <w:t>rgano t</w:t>
      </w:r>
      <w:r w:rsidRPr="00F43C46">
        <w:rPr>
          <w:rFonts w:ascii="Century Gothic" w:hAnsi="Century Gothic" w:cs="Century Gothic"/>
          <w:sz w:val="18"/>
          <w:szCs w:val="18"/>
        </w:rPr>
        <w:t>é</w:t>
      </w:r>
      <w:r w:rsidRPr="00F43C46">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F43C46">
        <w:rPr>
          <w:rFonts w:ascii="Century Gothic" w:hAnsi="Century Gothic" w:cs="Arial"/>
          <w:i/>
          <w:iCs/>
          <w:sz w:val="18"/>
          <w:szCs w:val="18"/>
        </w:rPr>
        <w:t xml:space="preserve">ibidem </w:t>
      </w:r>
      <w:r w:rsidRPr="00F43C46">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04CBCD12" w14:textId="77777777" w:rsidR="007671C1" w:rsidRPr="00F43C46" w:rsidRDefault="007671C1" w:rsidP="00F43C46">
      <w:pPr>
        <w:pStyle w:val="Textonotapie"/>
        <w:spacing w:after="160"/>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F43C46">
          <w:rPr>
            <w:rStyle w:val="Hipervnculo"/>
            <w:rFonts w:ascii="Century Gothic" w:hAnsi="Century Gothic" w:cs="Arial"/>
            <w:sz w:val="18"/>
            <w:szCs w:val="18"/>
          </w:rPr>
          <w:t>https://relatoria.colombiacompra.gov.co/busqueda/conceptos</w:t>
        </w:r>
      </w:hyperlink>
    </w:p>
  </w:footnote>
  <w:footnote w:id="4">
    <w:p w14:paraId="43E43996" w14:textId="77777777" w:rsidR="002629A8" w:rsidRPr="00F43C46" w:rsidRDefault="002629A8"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5820BCE"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90BAF49" w14:textId="77777777" w:rsidR="002629A8" w:rsidRPr="00F43C46" w:rsidRDefault="002629A8" w:rsidP="00F43C46">
      <w:pPr>
        <w:pStyle w:val="Textonotapie"/>
        <w:ind w:firstLine="708"/>
        <w:jc w:val="both"/>
        <w:rPr>
          <w:rFonts w:ascii="Century Gothic" w:hAnsi="Century Gothic" w:cs="Arial"/>
          <w:sz w:val="18"/>
          <w:szCs w:val="18"/>
        </w:rPr>
      </w:pPr>
    </w:p>
  </w:footnote>
  <w:footnote w:id="5">
    <w:p w14:paraId="20504802" w14:textId="17C94592" w:rsidR="002629A8" w:rsidRPr="00F43C46" w:rsidRDefault="002629A8"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Decreto 1082 de 2015: “Artículo 2.2.1.1.1.6.2. Determinación de los Requisitos Habilitantes. La </w:t>
      </w:r>
      <w:r w:rsidR="00B63053" w:rsidRPr="00F43C46">
        <w:rPr>
          <w:rFonts w:ascii="Century Gothic" w:hAnsi="Century Gothic" w:cs="Arial"/>
          <w:sz w:val="18"/>
          <w:szCs w:val="18"/>
        </w:rPr>
        <w:t>Entidad Estatal</w:t>
      </w:r>
      <w:r w:rsidRPr="00F43C46">
        <w:rPr>
          <w:rFonts w:ascii="Century Gothic" w:hAnsi="Century Gothic" w:cs="Arial"/>
          <w:sz w:val="18"/>
          <w:szCs w:val="18"/>
        </w:rPr>
        <w:t xml:space="preserve">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w:t>
      </w:r>
      <w:r w:rsidR="00B63053" w:rsidRPr="00F43C46">
        <w:rPr>
          <w:rFonts w:ascii="Century Gothic" w:hAnsi="Century Gothic" w:cs="Arial"/>
          <w:sz w:val="18"/>
          <w:szCs w:val="18"/>
        </w:rPr>
        <w:t>Entidad Estatal</w:t>
      </w:r>
      <w:r w:rsidRPr="00F43C46">
        <w:rPr>
          <w:rFonts w:ascii="Century Gothic" w:hAnsi="Century Gothic" w:cs="Arial"/>
          <w:sz w:val="18"/>
          <w:szCs w:val="18"/>
        </w:rPr>
        <w:t xml:space="preserve"> no debe limitarse a la aplicación mecánica de fórmulas financieras para verificar los requisitos habilitantes”.</w:t>
      </w:r>
    </w:p>
    <w:p w14:paraId="42E728F4" w14:textId="77777777" w:rsidR="002629A8" w:rsidRPr="00F43C46" w:rsidRDefault="002629A8" w:rsidP="00F43C46">
      <w:pPr>
        <w:pStyle w:val="Textonotapie"/>
        <w:ind w:firstLine="708"/>
        <w:jc w:val="both"/>
        <w:rPr>
          <w:rFonts w:ascii="Century Gothic" w:hAnsi="Century Gothic" w:cs="Arial"/>
          <w:sz w:val="18"/>
          <w:szCs w:val="18"/>
        </w:rPr>
      </w:pPr>
    </w:p>
  </w:footnote>
  <w:footnote w:id="6">
    <w:p w14:paraId="391AE345" w14:textId="77777777" w:rsidR="002629A8" w:rsidRPr="00F43C46" w:rsidRDefault="002629A8"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78DA49C"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6FF0C6A4"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w:t>
      </w:r>
    </w:p>
    <w:p w14:paraId="030176D8" w14:textId="77777777" w:rsidR="002629A8" w:rsidRPr="00F43C46" w:rsidRDefault="002629A8" w:rsidP="00F43C46">
      <w:pPr>
        <w:pStyle w:val="Textonotapie"/>
        <w:ind w:firstLine="708"/>
        <w:jc w:val="both"/>
        <w:rPr>
          <w:rFonts w:ascii="Century Gothic" w:hAnsi="Century Gothic" w:cs="Arial"/>
          <w:sz w:val="18"/>
          <w:szCs w:val="18"/>
        </w:rPr>
      </w:pPr>
    </w:p>
  </w:footnote>
  <w:footnote w:id="7">
    <w:p w14:paraId="6A38FA48" w14:textId="77777777" w:rsidR="002629A8" w:rsidRPr="00F43C46" w:rsidRDefault="002629A8"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6E696BE"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w:t>
      </w:r>
    </w:p>
    <w:p w14:paraId="7731C7CB"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BCAAF9B"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14:paraId="39BFA6B3" w14:textId="77777777" w:rsidR="002629A8" w:rsidRPr="00F43C46" w:rsidRDefault="002629A8"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86AEF42"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1.    Si es una persona natural:</w:t>
      </w:r>
    </w:p>
    <w:p w14:paraId="09695C5F"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1.1. Bienes, obras y servicios que ofrecerá a las Entidades Estatales, identificados con el Clasificador de Bienes y Servicios en el tercer nivel.</w:t>
      </w:r>
    </w:p>
    <w:p w14:paraId="2A094E21"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2070282" w14:textId="77777777" w:rsidR="002629A8" w:rsidRPr="00F43C46" w:rsidRDefault="002629A8" w:rsidP="00F43C46">
      <w:pPr>
        <w:pStyle w:val="Textonotapie"/>
        <w:ind w:firstLine="708"/>
        <w:jc w:val="both"/>
        <w:rPr>
          <w:rFonts w:ascii="Century Gothic" w:hAnsi="Century Gothic" w:cs="Arial"/>
          <w:sz w:val="18"/>
          <w:szCs w:val="18"/>
        </w:rPr>
      </w:pPr>
    </w:p>
  </w:footnote>
  <w:footnote w:id="9">
    <w:p w14:paraId="21F809BF" w14:textId="77777777" w:rsidR="002629A8" w:rsidRPr="00F43C46" w:rsidRDefault="002629A8"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439ABA08"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21DF8FFD"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w:t>
      </w:r>
    </w:p>
    <w:p w14:paraId="18A3908A"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55ECB761" w14:textId="595E421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 xml:space="preserve">La experiencia es proporcional cuando tiene relación con el alcance, la cuantía y complejidad del contrato a celebrar. Por ejemplo, en un Proceso de Contratación de obra pública con un presupuesto oficial de 100 SMMLV, la experiencia exigida es proporcional si la </w:t>
      </w:r>
      <w:r w:rsidR="00B63053" w:rsidRPr="00F43C46">
        <w:rPr>
          <w:rFonts w:ascii="Century Gothic" w:hAnsi="Century Gothic" w:cs="Arial"/>
          <w:sz w:val="18"/>
          <w:szCs w:val="18"/>
        </w:rPr>
        <w:t>Entidad Estatal</w:t>
      </w:r>
      <w:r w:rsidRPr="00F43C46">
        <w:rPr>
          <w:rFonts w:ascii="Century Gothic" w:hAnsi="Century Gothic" w:cs="Arial"/>
          <w:sz w:val="18"/>
          <w:szCs w:val="18"/>
        </w:rPr>
        <w:t xml:space="preserve"> exige que los proponentes hayan participado en Procesos de Contratación de 50 SMMLV del mismo tipo de obra.</w:t>
      </w:r>
    </w:p>
    <w:p w14:paraId="7543D562" w14:textId="77777777" w:rsidR="002629A8" w:rsidRPr="00F43C46" w:rsidRDefault="002629A8"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w:t>
      </w:r>
    </w:p>
  </w:footnote>
  <w:footnote w:id="10">
    <w:p w14:paraId="465E05F0" w14:textId="77777777" w:rsidR="002629A8" w:rsidRPr="00F43C46" w:rsidRDefault="002629A8" w:rsidP="00F43C46">
      <w:pPr>
        <w:pStyle w:val="Textonotapie"/>
        <w:ind w:firstLine="708"/>
        <w:jc w:val="both"/>
        <w:rPr>
          <w:rFonts w:ascii="Century Gothic" w:hAnsi="Century Gothic" w:cs="Arial"/>
          <w:color w:val="000000" w:themeColor="text1"/>
          <w:sz w:val="18"/>
          <w:szCs w:val="18"/>
          <w:lang w:val="es-CO"/>
        </w:rPr>
      </w:pPr>
      <w:r w:rsidRPr="00F43C46">
        <w:rPr>
          <w:rStyle w:val="Refdenotaalpie"/>
          <w:rFonts w:ascii="Century Gothic" w:hAnsi="Century Gothic" w:cs="Arial"/>
          <w:color w:val="000000" w:themeColor="text1"/>
          <w:sz w:val="18"/>
          <w:szCs w:val="18"/>
        </w:rPr>
        <w:footnoteRef/>
      </w:r>
      <w:r w:rsidRPr="00F43C46">
        <w:rPr>
          <w:rFonts w:ascii="Century Gothic" w:hAnsi="Century Gothic" w:cs="Arial"/>
          <w:color w:val="000000" w:themeColor="text1"/>
          <w:sz w:val="18"/>
          <w:szCs w:val="18"/>
        </w:rPr>
        <w:t xml:space="preserve"> Corte Constitucional. </w:t>
      </w:r>
      <w:r w:rsidRPr="00F43C46">
        <w:rPr>
          <w:rFonts w:ascii="Century Gothic" w:hAnsi="Century Gothic" w:cs="Arial"/>
          <w:color w:val="000000" w:themeColor="text1"/>
          <w:sz w:val="18"/>
          <w:szCs w:val="18"/>
          <w:lang w:val="es-CO"/>
        </w:rPr>
        <w:t xml:space="preserve">Sentencia C </w:t>
      </w:r>
      <w:r w:rsidRPr="00F43C46">
        <w:rPr>
          <w:rFonts w:ascii="Century Gothic" w:eastAsia="Calibri" w:hAnsi="Century Gothic" w:cs="Arial"/>
          <w:color w:val="000000" w:themeColor="text1"/>
          <w:sz w:val="18"/>
          <w:szCs w:val="18"/>
        </w:rPr>
        <w:t xml:space="preserve">- </w:t>
      </w:r>
      <w:r w:rsidRPr="00F43C46">
        <w:rPr>
          <w:rFonts w:ascii="Century Gothic" w:hAnsi="Century Gothic" w:cs="Arial"/>
          <w:color w:val="000000" w:themeColor="text1"/>
          <w:sz w:val="18"/>
          <w:szCs w:val="18"/>
          <w:lang w:val="es-CO"/>
        </w:rPr>
        <w:t xml:space="preserve">259 del 11 de marzo 2008. M.P. Jaime Córdoba Triviño. </w:t>
      </w:r>
    </w:p>
  </w:footnote>
  <w:footnote w:id="11">
    <w:p w14:paraId="2D4F75EA" w14:textId="3398481B" w:rsidR="00F43C46" w:rsidRPr="00F43C46" w:rsidRDefault="00F43C46" w:rsidP="00F43C46">
      <w:pPr>
        <w:pStyle w:val="Textonotapie"/>
        <w:ind w:firstLine="708"/>
        <w:jc w:val="both"/>
        <w:rPr>
          <w:rFonts w:ascii="Century Gothic" w:hAnsi="Century Gothic"/>
          <w:sz w:val="18"/>
          <w:szCs w:val="18"/>
        </w:rPr>
      </w:pPr>
      <w:r w:rsidRPr="00F43C46">
        <w:rPr>
          <w:rStyle w:val="Refdenotaalpie"/>
          <w:rFonts w:ascii="Century Gothic" w:hAnsi="Century Gothic"/>
          <w:sz w:val="18"/>
          <w:szCs w:val="18"/>
        </w:rPr>
        <w:footnoteRef/>
      </w:r>
      <w:r w:rsidRPr="00F43C46">
        <w:rPr>
          <w:rFonts w:ascii="Century Gothic" w:hAnsi="Century Gothic"/>
          <w:sz w:val="18"/>
          <w:szCs w:val="18"/>
        </w:rPr>
        <w:t xml:space="preserve">  Ver en línea: </w:t>
      </w:r>
      <w:hyperlink r:id="rId2" w:history="1">
        <w:r w:rsidRPr="00F43C46">
          <w:rPr>
            <w:rStyle w:val="Hipervnculo"/>
            <w:rFonts w:ascii="Century Gothic" w:hAnsi="Century Gothic"/>
            <w:sz w:val="18"/>
            <w:szCs w:val="18"/>
          </w:rPr>
          <w:t>https://colombiacompra.gov.co/manuales-guias-y-pliegos-tipo/manuales-y-guias/manual-para-determinar-y-verificar-los-requisitos</w:t>
        </w:r>
      </w:hyperlink>
      <w:r w:rsidRPr="00F43C46">
        <w:rPr>
          <w:rFonts w:ascii="Century Gothic" w:hAnsi="Century Gothic"/>
          <w:sz w:val="18"/>
          <w:szCs w:val="18"/>
        </w:rPr>
        <w:t xml:space="preserve"> </w:t>
      </w:r>
    </w:p>
  </w:footnote>
  <w:footnote w:id="12">
    <w:p w14:paraId="3418C3E4" w14:textId="77777777" w:rsidR="009954AD" w:rsidRPr="00F43C46" w:rsidRDefault="009954AD"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51FC929" w14:textId="77777777" w:rsidR="009954AD" w:rsidRPr="00F43C46" w:rsidRDefault="009954AD"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w:t>
      </w:r>
    </w:p>
    <w:p w14:paraId="1F7500BD" w14:textId="77777777" w:rsidR="009954AD" w:rsidRPr="00F43C46" w:rsidRDefault="009954AD"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shd w:val="clear" w:color="auto" w:fill="FFFFFF"/>
        </w:rPr>
        <w:t>2.1.   Bienes, obras y servicios que ofrecerá a las Entidades Estatales, identificados con el Clasificador de Bienes y Servicios en el tercer nivel</w:t>
      </w:r>
      <w:r w:rsidRPr="00F43C46">
        <w:rPr>
          <w:rFonts w:ascii="Century Gothic" w:hAnsi="Century Gothic" w:cs="Arial"/>
          <w:sz w:val="18"/>
          <w:szCs w:val="18"/>
        </w:rPr>
        <w:t>”</w:t>
      </w:r>
      <w:r w:rsidRPr="00F43C46">
        <w:rPr>
          <w:rFonts w:ascii="Century Gothic" w:hAnsi="Century Gothic" w:cs="Arial"/>
          <w:sz w:val="18"/>
          <w:szCs w:val="18"/>
          <w:shd w:val="clear" w:color="auto" w:fill="FFFFFF"/>
        </w:rPr>
        <w:t>.</w:t>
      </w:r>
    </w:p>
  </w:footnote>
  <w:footnote w:id="13">
    <w:p w14:paraId="66AA1A24" w14:textId="77777777" w:rsidR="009954AD" w:rsidRPr="00F43C46" w:rsidRDefault="009954AD" w:rsidP="00F43C46">
      <w:pPr>
        <w:pStyle w:val="Textonotapie"/>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6B9BBDC" w14:textId="77777777" w:rsidR="009954AD" w:rsidRPr="00F43C46" w:rsidRDefault="009954AD" w:rsidP="00F43C46">
      <w:pPr>
        <w:pStyle w:val="Textonotapie"/>
        <w:ind w:firstLine="708"/>
        <w:jc w:val="both"/>
        <w:rPr>
          <w:rFonts w:ascii="Century Gothic" w:hAnsi="Century Gothic" w:cs="Arial"/>
          <w:sz w:val="18"/>
          <w:szCs w:val="18"/>
        </w:rPr>
      </w:pPr>
      <w:r w:rsidRPr="00F43C46">
        <w:rPr>
          <w:rFonts w:ascii="Century Gothic" w:hAnsi="Century Gothic" w:cs="Arial"/>
          <w:sz w:val="18"/>
          <w:szCs w:val="18"/>
        </w:rPr>
        <w:t>[…]</w:t>
      </w:r>
    </w:p>
    <w:p w14:paraId="3E68A629" w14:textId="77777777" w:rsidR="009954AD" w:rsidRPr="00F43C46" w:rsidRDefault="009954AD" w:rsidP="00F43C46">
      <w:pPr>
        <w:pStyle w:val="Textonotapie"/>
        <w:ind w:firstLine="708"/>
        <w:jc w:val="both"/>
        <w:rPr>
          <w:rFonts w:ascii="Century Gothic" w:hAnsi="Century Gothic" w:cs="Arial"/>
          <w:sz w:val="18"/>
          <w:szCs w:val="18"/>
          <w:lang w:val="es-CO"/>
        </w:rPr>
      </w:pPr>
      <w:r w:rsidRPr="00F43C46">
        <w:rPr>
          <w:rFonts w:ascii="Century Gothic" w:hAnsi="Century Gothic"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sidRPr="00F43C46">
        <w:rPr>
          <w:rFonts w:ascii="Century Gothic" w:hAnsi="Century Gothic" w:cs="Arial"/>
          <w:sz w:val="18"/>
          <w:szCs w:val="18"/>
        </w:rPr>
        <w:t>”.</w:t>
      </w:r>
    </w:p>
  </w:footnote>
  <w:footnote w:id="14">
    <w:p w14:paraId="56B71F6D" w14:textId="77777777" w:rsidR="009954AD" w:rsidRPr="00F43C46" w:rsidRDefault="009954AD" w:rsidP="00F43C46">
      <w:pPr>
        <w:pStyle w:val="Textocomentario"/>
        <w:ind w:firstLine="708"/>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15">
    <w:p w14:paraId="1287B243" w14:textId="77777777" w:rsidR="00294845" w:rsidRPr="00F43C46" w:rsidRDefault="00294845" w:rsidP="00F43C46">
      <w:pPr>
        <w:pStyle w:val="Textonotapie"/>
        <w:ind w:firstLine="708"/>
        <w:jc w:val="both"/>
        <w:rPr>
          <w:rFonts w:ascii="Century Gothic" w:hAnsi="Century Gothic" w:cs="Arial"/>
          <w:color w:val="44546A" w:themeColor="text2"/>
          <w:sz w:val="18"/>
          <w:szCs w:val="18"/>
          <w:u w:val="single"/>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Texto del Proyecto de Ley 122 de 2020 Cámara. Exposición de motivos. Consultado el 29 de diciembre de 2021 en la página web: </w:t>
      </w:r>
      <w:hyperlink r:id="rId3" w:history="1">
        <w:r w:rsidRPr="00F43C46">
          <w:rPr>
            <w:rStyle w:val="Hipervnculo1"/>
            <w:rFonts w:ascii="Century Gothic" w:hAnsi="Century Gothic" w:cs="Arial"/>
            <w:color w:val="44546A" w:themeColor="text2"/>
            <w:sz w:val="18"/>
            <w:szCs w:val="18"/>
          </w:rPr>
          <w:t>http://leyes.senado.gov.co/proyectos/index.php/textos-radicados-senado/p-ley-2020-2021/1957-proyecto-de-ley-161-de-2020</w:t>
        </w:r>
      </w:hyperlink>
    </w:p>
  </w:footnote>
  <w:footnote w:id="16">
    <w:p w14:paraId="7ACE80D7" w14:textId="77777777" w:rsidR="00294845" w:rsidRPr="00F43C46" w:rsidRDefault="00294845" w:rsidP="00F43C46">
      <w:pPr>
        <w:pStyle w:val="Textonotapie"/>
        <w:ind w:firstLine="709"/>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w:t>
      </w:r>
      <w:r w:rsidRPr="00F43C46">
        <w:rPr>
          <w:rFonts w:ascii="Century Gothic" w:hAnsi="Century Gothic" w:cs="Arial"/>
          <w:sz w:val="18"/>
          <w:szCs w:val="18"/>
          <w:lang w:val="es-ES"/>
        </w:rPr>
        <w:t>Artículos 2 al 29.</w:t>
      </w:r>
    </w:p>
  </w:footnote>
  <w:footnote w:id="17">
    <w:p w14:paraId="5F31A367" w14:textId="77777777" w:rsidR="00294845" w:rsidRPr="00F43C46" w:rsidRDefault="00294845" w:rsidP="00F43C46">
      <w:pPr>
        <w:pStyle w:val="Textonotapie"/>
        <w:ind w:firstLine="709"/>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w:t>
      </w:r>
      <w:r w:rsidRPr="00F43C46">
        <w:rPr>
          <w:rFonts w:ascii="Century Gothic" w:hAnsi="Century Gothic" w:cs="Arial"/>
          <w:sz w:val="18"/>
          <w:szCs w:val="18"/>
          <w:lang w:val="es-ES"/>
        </w:rPr>
        <w:t>Artículos 30 al 36.</w:t>
      </w:r>
    </w:p>
  </w:footnote>
  <w:footnote w:id="18">
    <w:p w14:paraId="0E568475" w14:textId="77777777" w:rsidR="00294845" w:rsidRPr="00F43C46" w:rsidRDefault="00294845" w:rsidP="00F43C46">
      <w:pPr>
        <w:pStyle w:val="Textonotapie"/>
        <w:ind w:firstLine="709"/>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w:t>
      </w:r>
      <w:r w:rsidRPr="00F43C46">
        <w:rPr>
          <w:rFonts w:ascii="Century Gothic" w:hAnsi="Century Gothic" w:cs="Arial"/>
          <w:sz w:val="18"/>
          <w:szCs w:val="18"/>
          <w:lang w:val="es-ES"/>
        </w:rPr>
        <w:t>Artículos 37 al 45.</w:t>
      </w:r>
    </w:p>
  </w:footnote>
  <w:footnote w:id="19">
    <w:p w14:paraId="28242E68" w14:textId="77777777" w:rsidR="00294845" w:rsidRPr="00F43C46" w:rsidRDefault="00294845" w:rsidP="00F43C46">
      <w:pPr>
        <w:pStyle w:val="Textonotapie"/>
        <w:ind w:firstLine="709"/>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w:t>
      </w:r>
      <w:r w:rsidRPr="00F43C46">
        <w:rPr>
          <w:rFonts w:ascii="Century Gothic" w:hAnsi="Century Gothic" w:cs="Arial"/>
          <w:sz w:val="18"/>
          <w:szCs w:val="18"/>
          <w:lang w:val="es-ES"/>
        </w:rPr>
        <w:t>Artículos 46 al 73.</w:t>
      </w:r>
    </w:p>
  </w:footnote>
  <w:footnote w:id="20">
    <w:p w14:paraId="0F152493" w14:textId="77777777" w:rsidR="00294845" w:rsidRPr="00F43C46" w:rsidRDefault="00294845" w:rsidP="00F43C46">
      <w:pPr>
        <w:pStyle w:val="Textonotapie"/>
        <w:ind w:firstLine="709"/>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w:t>
      </w:r>
      <w:r w:rsidRPr="00F43C46">
        <w:rPr>
          <w:rFonts w:ascii="Century Gothic" w:hAnsi="Century Gothic" w:cs="Arial"/>
          <w:sz w:val="18"/>
          <w:szCs w:val="18"/>
          <w:lang w:val="es-ES"/>
        </w:rPr>
        <w:t>Artículos 74 al 83.</w:t>
      </w:r>
    </w:p>
  </w:footnote>
  <w:footnote w:id="21">
    <w:p w14:paraId="3928D83F" w14:textId="77777777" w:rsidR="00294845" w:rsidRPr="00F43C46" w:rsidRDefault="00294845" w:rsidP="00F43C46">
      <w:pPr>
        <w:pStyle w:val="Textonotapie"/>
        <w:ind w:firstLine="708"/>
        <w:jc w:val="both"/>
        <w:rPr>
          <w:rFonts w:ascii="Century Gothic" w:hAnsi="Century Gothic" w:cs="Arial"/>
          <w:sz w:val="18"/>
          <w:szCs w:val="18"/>
          <w:lang w:val="es-ES"/>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w:t>
      </w:r>
      <w:bookmarkStart w:id="5" w:name="_Hlk63862868"/>
      <w:r w:rsidRPr="00F43C46">
        <w:rPr>
          <w:rFonts w:ascii="Century Gothic" w:hAnsi="Century Gothic" w:cs="Arial"/>
          <w:sz w:val="18"/>
          <w:szCs w:val="18"/>
        </w:rPr>
        <w:t xml:space="preserve">CONGRESO DE LA REPÚBLICA. Gaceta No. 670 del 11 de agosto de 2020. Exposición de motivos del Proyecto de Ley No. 122 de 2020 Cámara. p. 13. </w:t>
      </w:r>
      <w:bookmarkEnd w:id="5"/>
    </w:p>
  </w:footnote>
  <w:footnote w:id="22">
    <w:p w14:paraId="6EFCAF3E" w14:textId="77777777" w:rsidR="00294845" w:rsidRPr="00F43C46" w:rsidRDefault="00294845" w:rsidP="00F43C46">
      <w:pPr>
        <w:pStyle w:val="Textonotapie"/>
        <w:ind w:firstLine="709"/>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23">
    <w:p w14:paraId="4C8BE0D2" w14:textId="7DDF1C1D"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Ley 80 de 1993. Art. 30.7: </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 xml:space="preserve">. </w:t>
      </w:r>
    </w:p>
  </w:footnote>
  <w:footnote w:id="24">
    <w:p w14:paraId="2D3CAA7D" w14:textId="74115063"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Ley 80 de 1993. Art. 30.8: </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w:t>
      </w:r>
    </w:p>
  </w:footnote>
  <w:footnote w:id="25">
    <w:p w14:paraId="0B654652" w14:textId="77777777"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CONSEJO DE ESTADO. Sección Tercera. Subsección C. Sentencia del 26 de febrero de 2014. Expediente: 25.804. Consejero Ponente: Enrique Gil Botero.</w:t>
      </w:r>
    </w:p>
  </w:footnote>
  <w:footnote w:id="26">
    <w:p w14:paraId="47476126" w14:textId="77777777" w:rsidR="00857CB6" w:rsidRPr="00F43C46" w:rsidRDefault="00857CB6" w:rsidP="00F43C46">
      <w:pPr>
        <w:pStyle w:val="Textonotapie"/>
        <w:ind w:firstLine="708"/>
        <w:jc w:val="both"/>
        <w:rPr>
          <w:rFonts w:ascii="Century Gothic" w:hAnsi="Century Gothic"/>
          <w:sz w:val="18"/>
          <w:szCs w:val="18"/>
        </w:rPr>
      </w:pPr>
      <w:r w:rsidRPr="00F43C46">
        <w:rPr>
          <w:rStyle w:val="Refdenotaalpie"/>
          <w:rFonts w:ascii="Century Gothic" w:hAnsi="Century Gothic"/>
          <w:sz w:val="18"/>
          <w:szCs w:val="18"/>
        </w:rPr>
        <w:footnoteRef/>
      </w:r>
      <w:r w:rsidRPr="00F43C46">
        <w:rPr>
          <w:rFonts w:ascii="Century Gothic" w:hAnsi="Century Gothic"/>
          <w:sz w:val="18"/>
          <w:szCs w:val="18"/>
        </w:rPr>
        <w:t xml:space="preserve"> Ver en el siguiente link: </w:t>
      </w:r>
      <w:hyperlink r:id="rId4" w:history="1">
        <w:r w:rsidRPr="00F43C46">
          <w:rPr>
            <w:rStyle w:val="Hipervnculo"/>
            <w:rFonts w:ascii="Century Gothic" w:hAnsi="Century Gothic"/>
            <w:sz w:val="18"/>
            <w:szCs w:val="18"/>
          </w:rPr>
          <w:t>https://colombiacompra.gov.co/sites/cce_public/files/cce_circulares/cce-eicp-ma-06_circular_externa_con_comentarios_de_ciudadanos-_v2f_002.pdf</w:t>
        </w:r>
      </w:hyperlink>
      <w:r w:rsidRPr="00F43C46">
        <w:rPr>
          <w:rFonts w:ascii="Century Gothic" w:hAnsi="Century Gothic"/>
          <w:sz w:val="18"/>
          <w:szCs w:val="18"/>
        </w:rPr>
        <w:t xml:space="preserve"> </w:t>
      </w:r>
    </w:p>
  </w:footnote>
  <w:footnote w:id="27">
    <w:p w14:paraId="1866D2D6" w14:textId="2CCD31B3"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Style w:val="Refdenotaalpie"/>
          <w:rFonts w:ascii="Century Gothic" w:hAnsi="Century Gothic"/>
          <w:color w:val="000000"/>
          <w:sz w:val="18"/>
          <w:szCs w:val="18"/>
        </w:rPr>
        <w:t xml:space="preserve"> </w:t>
      </w:r>
      <w:r w:rsidRPr="00F43C46">
        <w:rPr>
          <w:rFonts w:ascii="Century Gothic" w:hAnsi="Century Gothic" w:cs="Arial"/>
          <w:color w:val="000000"/>
          <w:sz w:val="18"/>
          <w:szCs w:val="18"/>
        </w:rPr>
        <w:t xml:space="preserve">Ley 1150 de 2007, artículo 5, parágrafo 4°: </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w:t>
      </w:r>
    </w:p>
  </w:footnote>
  <w:footnote w:id="28">
    <w:p w14:paraId="3BB32207" w14:textId="5A6E448F" w:rsidR="00857CB6" w:rsidRPr="00F43C46" w:rsidRDefault="00857CB6" w:rsidP="00F43C46">
      <w:pPr>
        <w:pStyle w:val="NormalWeb"/>
        <w:shd w:val="clear" w:color="auto" w:fill="FFFFFF"/>
        <w:spacing w:after="0" w:afterAutospacing="0"/>
        <w:ind w:firstLine="708"/>
        <w:jc w:val="both"/>
        <w:rPr>
          <w:rFonts w:ascii="Century Gothic" w:hAnsi="Century Gothic" w:cs="Arial"/>
          <w:sz w:val="18"/>
          <w:szCs w:val="18"/>
          <w:lang w:val="es-ES"/>
        </w:rPr>
      </w:pPr>
      <w:r w:rsidRPr="00F43C46">
        <w:rPr>
          <w:rStyle w:val="Refdenotaalpie"/>
          <w:rFonts w:ascii="Century Gothic" w:eastAsia="Arial" w:hAnsi="Century Gothic"/>
          <w:sz w:val="18"/>
          <w:szCs w:val="18"/>
        </w:rPr>
        <w:footnoteRef/>
      </w:r>
      <w:r w:rsidRPr="00F43C46">
        <w:rPr>
          <w:rFonts w:ascii="Century Gothic" w:hAnsi="Century Gothic" w:cs="Arial"/>
          <w:sz w:val="18"/>
          <w:szCs w:val="18"/>
        </w:rPr>
        <w:t xml:space="preserve"> </w:t>
      </w:r>
      <w:r w:rsidR="00AB5BE2" w:rsidRPr="00F43C46">
        <w:rPr>
          <w:rFonts w:ascii="Century Gothic" w:hAnsi="Century Gothic" w:cs="Arial"/>
          <w:sz w:val="18"/>
          <w:szCs w:val="18"/>
        </w:rPr>
        <w:t>“</w:t>
      </w:r>
      <w:r w:rsidRPr="00F43C46">
        <w:rPr>
          <w:rFonts w:ascii="Century Gothic" w:hAnsi="Century Gothic" w:cs="Arial"/>
          <w:bCs/>
          <w:sz w:val="18"/>
          <w:szCs w:val="18"/>
          <w:shd w:val="clear" w:color="auto" w:fill="FFFFFF"/>
        </w:rPr>
        <w:t>2.2.1.2.1.5.2</w:t>
      </w:r>
      <w:r w:rsidRPr="00F43C46">
        <w:rPr>
          <w:rFonts w:ascii="Century Gothic" w:hAnsi="Century Gothic" w:cs="Arial"/>
          <w:sz w:val="18"/>
          <w:szCs w:val="18"/>
          <w:lang w:val="es-ES"/>
        </w:rPr>
        <w:t xml:space="preserve">5. </w:t>
      </w:r>
      <w:r w:rsidRPr="00F43C46">
        <w:rPr>
          <w:rFonts w:ascii="Century Gothic" w:hAnsi="Century Gothic" w:cs="Arial"/>
          <w:bCs/>
          <w:sz w:val="18"/>
          <w:szCs w:val="18"/>
          <w:lang w:val="es-ES"/>
        </w:rPr>
        <w:t>Procedimiento para la contratación de mínima cuantía.</w:t>
      </w:r>
      <w:r w:rsidRPr="00F43C46">
        <w:rPr>
          <w:rFonts w:ascii="Century Gothic" w:hAnsi="Century Gothic" w:cs="Arial"/>
          <w:sz w:val="18"/>
          <w:szCs w:val="18"/>
          <w:lang w:val="es-ES"/>
        </w:rPr>
        <w:t xml:space="preserve"> Las siguientes reglas son aplicables a la contratación cuyo valor no excede del diez por ciento (10%) de la menor cuantía de la </w:t>
      </w:r>
      <w:r w:rsidR="00B63053" w:rsidRPr="00F43C46">
        <w:rPr>
          <w:rFonts w:ascii="Century Gothic" w:hAnsi="Century Gothic" w:cs="Arial"/>
          <w:sz w:val="18"/>
          <w:szCs w:val="18"/>
          <w:lang w:val="es-ES"/>
        </w:rPr>
        <w:t>Entidad Estatal</w:t>
      </w:r>
      <w:r w:rsidRPr="00F43C46">
        <w:rPr>
          <w:rFonts w:ascii="Century Gothic" w:hAnsi="Century Gothic" w:cs="Arial"/>
          <w:sz w:val="18"/>
          <w:szCs w:val="18"/>
          <w:lang w:val="es-ES"/>
        </w:rPr>
        <w:t>, independientemente de su objeto: […]</w:t>
      </w:r>
    </w:p>
    <w:p w14:paraId="622D288E" w14:textId="44721229" w:rsidR="00857CB6" w:rsidRPr="00F43C46" w:rsidRDefault="00AB5BE2" w:rsidP="00F43C46">
      <w:pPr>
        <w:pStyle w:val="NormalWeb"/>
        <w:shd w:val="clear" w:color="auto" w:fill="FFFFFF"/>
        <w:spacing w:after="0" w:afterAutospacing="0"/>
        <w:ind w:firstLine="708"/>
        <w:jc w:val="both"/>
        <w:rPr>
          <w:rFonts w:ascii="Century Gothic" w:hAnsi="Century Gothic" w:cs="Arial"/>
          <w:sz w:val="18"/>
          <w:szCs w:val="18"/>
          <w:lang w:val="es-ES"/>
        </w:rPr>
      </w:pPr>
      <w:r w:rsidRPr="00F43C46">
        <w:rPr>
          <w:rFonts w:ascii="Century Gothic" w:hAnsi="Century Gothic" w:cs="Arial"/>
          <w:sz w:val="18"/>
          <w:szCs w:val="18"/>
        </w:rPr>
        <w:t>“</w:t>
      </w:r>
      <w:r w:rsidR="00857CB6" w:rsidRPr="00F43C46">
        <w:rPr>
          <w:rFonts w:ascii="Century Gothic" w:hAnsi="Century Gothic" w:cs="Arial"/>
          <w:sz w:val="18"/>
          <w:szCs w:val="18"/>
          <w:lang w:val="es-ES"/>
        </w:rPr>
        <w:t xml:space="preserve">5. La </w:t>
      </w:r>
      <w:r w:rsidR="00B63053" w:rsidRPr="00F43C46">
        <w:rPr>
          <w:rFonts w:ascii="Century Gothic" w:hAnsi="Century Gothic" w:cs="Arial"/>
          <w:sz w:val="18"/>
          <w:szCs w:val="18"/>
          <w:lang w:val="es-ES"/>
        </w:rPr>
        <w:t>Entidad Estatal</w:t>
      </w:r>
      <w:r w:rsidR="00857CB6" w:rsidRPr="00F43C46">
        <w:rPr>
          <w:rFonts w:ascii="Century Gothic" w:hAnsi="Century Gothic" w:cs="Arial"/>
          <w:sz w:val="18"/>
          <w:szCs w:val="18"/>
          <w:lang w:val="es-ES"/>
        </w:rPr>
        <w:t xml:space="preserve"> debe revisar las ofertas económicas y verificar que la de menor precio cumple con las condiciones de la invitación. Si esta no cumple, la </w:t>
      </w:r>
      <w:r w:rsidR="00B63053" w:rsidRPr="00F43C46">
        <w:rPr>
          <w:rFonts w:ascii="Century Gothic" w:hAnsi="Century Gothic" w:cs="Arial"/>
          <w:sz w:val="18"/>
          <w:szCs w:val="18"/>
          <w:lang w:val="es-ES"/>
        </w:rPr>
        <w:t>Entidad Estatal</w:t>
      </w:r>
      <w:r w:rsidR="00857CB6" w:rsidRPr="00F43C46">
        <w:rPr>
          <w:rFonts w:ascii="Century Gothic" w:hAnsi="Century Gothic" w:cs="Arial"/>
          <w:sz w:val="18"/>
          <w:szCs w:val="18"/>
          <w:lang w:val="es-ES"/>
        </w:rPr>
        <w:t xml:space="preserve">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5" w:anchor="5" w:history="1">
        <w:r w:rsidR="00857CB6" w:rsidRPr="00F43C46">
          <w:rPr>
            <w:rFonts w:ascii="Century Gothic" w:hAnsi="Century Gothic" w:cs="Arial"/>
            <w:sz w:val="18"/>
            <w:szCs w:val="18"/>
            <w:u w:val="single"/>
            <w:lang w:val="es-ES"/>
          </w:rPr>
          <w:t>5 </w:t>
        </w:r>
      </w:hyperlink>
      <w:r w:rsidR="00857CB6" w:rsidRPr="00F43C46">
        <w:rPr>
          <w:rFonts w:ascii="Century Gothic" w:hAnsi="Century Gothic" w:cs="Arial"/>
          <w:sz w:val="18"/>
          <w:szCs w:val="18"/>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F43C46">
        <w:rPr>
          <w:rFonts w:ascii="Century Gothic" w:hAnsi="Century Gothic" w:cs="Arial"/>
          <w:sz w:val="18"/>
          <w:szCs w:val="18"/>
        </w:rPr>
        <w:t>”</w:t>
      </w:r>
      <w:r w:rsidR="00857CB6" w:rsidRPr="00F43C46">
        <w:rPr>
          <w:rFonts w:ascii="Century Gothic" w:hAnsi="Century Gothic" w:cs="Arial"/>
          <w:sz w:val="18"/>
          <w:szCs w:val="18"/>
          <w:lang w:val="es-ES"/>
        </w:rPr>
        <w:t>.</w:t>
      </w:r>
    </w:p>
  </w:footnote>
  <w:footnote w:id="29">
    <w:p w14:paraId="7979AA65" w14:textId="38E9DA2A"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4B8AEA96" w14:textId="3AFC152F" w:rsidR="00857CB6" w:rsidRPr="00F43C46" w:rsidRDefault="00AB5BE2" w:rsidP="00F43C46">
      <w:pPr>
        <w:pStyle w:val="Textonotapie"/>
        <w:ind w:firstLine="709"/>
        <w:jc w:val="both"/>
        <w:rPr>
          <w:rFonts w:ascii="Century Gothic" w:hAnsi="Century Gothic" w:cs="Arial"/>
          <w:color w:val="000000"/>
          <w:sz w:val="18"/>
          <w:szCs w:val="18"/>
        </w:rPr>
      </w:pPr>
      <w:r w:rsidRPr="00F43C46">
        <w:rPr>
          <w:rFonts w:ascii="Century Gothic" w:hAnsi="Century Gothic" w:cs="Arial"/>
          <w:color w:val="000000"/>
          <w:sz w:val="18"/>
          <w:szCs w:val="18"/>
        </w:rPr>
        <w:t>“</w:t>
      </w:r>
      <w:r w:rsidR="00857CB6" w:rsidRPr="00F43C46">
        <w:rPr>
          <w:rFonts w:ascii="Century Gothic" w:hAnsi="Century Gothic" w:cs="Arial"/>
          <w:color w:val="000000"/>
          <w:sz w:val="18"/>
          <w:szCs w:val="18"/>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F43C46">
        <w:rPr>
          <w:rFonts w:ascii="Century Gothic" w:hAnsi="Century Gothic" w:cs="Arial"/>
          <w:color w:val="000000"/>
          <w:sz w:val="18"/>
          <w:szCs w:val="18"/>
        </w:rPr>
        <w:t>”</w:t>
      </w:r>
      <w:r w:rsidR="00857CB6" w:rsidRPr="00F43C46">
        <w:rPr>
          <w:rFonts w:ascii="Century Gothic" w:hAnsi="Century Gothic" w:cs="Arial"/>
          <w:color w:val="000000"/>
          <w:sz w:val="18"/>
          <w:szCs w:val="18"/>
        </w:rPr>
        <w:t xml:space="preserve"> (Consejo de Estado. Sala de Consulta y Servicio Civil. Concepto del 6 de noviembre de 2008. Expediente: 1927. Consejero Ponente: William Zambrano Cetina).</w:t>
      </w:r>
    </w:p>
    <w:p w14:paraId="2B566D1C" w14:textId="77777777" w:rsidR="00857CB6" w:rsidRPr="00F43C46" w:rsidRDefault="00857CB6" w:rsidP="00F43C46">
      <w:pPr>
        <w:pStyle w:val="Textonotapie"/>
        <w:ind w:firstLine="709"/>
        <w:jc w:val="both"/>
        <w:rPr>
          <w:rFonts w:ascii="Century Gothic" w:hAnsi="Century Gothic" w:cs="Arial"/>
          <w:color w:val="000000"/>
          <w:sz w:val="18"/>
          <w:szCs w:val="18"/>
        </w:rPr>
      </w:pPr>
    </w:p>
  </w:footnote>
  <w:footnote w:id="30">
    <w:p w14:paraId="2DA4A53D" w14:textId="4222C200"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sz w:val="18"/>
          <w:szCs w:val="18"/>
        </w:rPr>
        <w:footnoteRef/>
      </w:r>
      <w:r w:rsidRPr="00F43C46">
        <w:rPr>
          <w:rFonts w:ascii="Century Gothic" w:hAnsi="Century Gothic" w:cs="Arial"/>
          <w:sz w:val="18"/>
          <w:szCs w:val="18"/>
        </w:rPr>
        <w:t xml:space="preserve"> </w:t>
      </w:r>
      <w:r w:rsidRPr="00F43C46">
        <w:rPr>
          <w:rFonts w:ascii="Century Gothic" w:hAnsi="Century Gothic" w:cs="Arial"/>
          <w:color w:val="000000"/>
          <w:sz w:val="18"/>
          <w:szCs w:val="18"/>
        </w:rPr>
        <w:t xml:space="preserve">En armonía con lo anterior, actualmente la Circular Externa Única de Colombia Compra Eficiente señala lo siguiente: </w:t>
      </w:r>
      <w:r w:rsidR="00AB5BE2" w:rsidRPr="00F43C46">
        <w:rPr>
          <w:rFonts w:ascii="Century Gothic" w:hAnsi="Century Gothic" w:cs="Arial"/>
          <w:color w:val="000000"/>
          <w:sz w:val="18"/>
          <w:szCs w:val="18"/>
        </w:rPr>
        <w:t>“</w:t>
      </w:r>
      <w:r w:rsidRPr="00F43C46">
        <w:rPr>
          <w:rFonts w:ascii="Century Gothic" w:hAnsi="Century Gothic" w:cs="Arial"/>
          <w:color w:val="000000"/>
          <w:sz w:val="18"/>
          <w:szCs w:val="18"/>
        </w:rPr>
        <w:t xml:space="preserve">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2063D560" w14:textId="13B9C588" w:rsidR="00857CB6" w:rsidRPr="00F43C46" w:rsidRDefault="00AB5BE2" w:rsidP="00F43C46">
      <w:pPr>
        <w:pStyle w:val="Textonotapie"/>
        <w:ind w:firstLine="709"/>
        <w:jc w:val="both"/>
        <w:rPr>
          <w:rFonts w:ascii="Century Gothic" w:hAnsi="Century Gothic" w:cs="Arial"/>
          <w:sz w:val="18"/>
          <w:szCs w:val="18"/>
        </w:rPr>
      </w:pPr>
      <w:r w:rsidRPr="00F43C46">
        <w:rPr>
          <w:rFonts w:ascii="Century Gothic" w:hAnsi="Century Gothic" w:cs="Arial"/>
          <w:color w:val="000000"/>
          <w:sz w:val="18"/>
          <w:szCs w:val="18"/>
        </w:rPr>
        <w:t>“</w:t>
      </w:r>
      <w:r w:rsidR="00857CB6" w:rsidRPr="00F43C46">
        <w:rPr>
          <w:rFonts w:ascii="Century Gothic" w:hAnsi="Century Gothic" w:cs="Arial"/>
          <w:color w:val="000000"/>
          <w:sz w:val="18"/>
          <w:szCs w:val="18"/>
        </w:rPr>
        <w:t xml:space="preserve"> 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w:t>
      </w:r>
      <w:r w:rsidRPr="00F43C46">
        <w:rPr>
          <w:rFonts w:ascii="Century Gothic" w:hAnsi="Century Gothic" w:cs="Arial"/>
          <w:color w:val="000000"/>
          <w:sz w:val="18"/>
          <w:szCs w:val="18"/>
        </w:rPr>
        <w:t>“</w:t>
      </w:r>
      <w:r w:rsidR="00857CB6" w:rsidRPr="00F43C46">
        <w:rPr>
          <w:rFonts w:ascii="Century Gothic" w:hAnsi="Century Gothic" w:cs="Arial"/>
          <w:color w:val="000000"/>
          <w:sz w:val="18"/>
          <w:szCs w:val="18"/>
        </w:rPr>
        <w:t>circunstancias ocurridas con posterioridad al cierre del proceso</w:t>
      </w:r>
      <w:r w:rsidRPr="00F43C46">
        <w:rPr>
          <w:rFonts w:ascii="Century Gothic" w:hAnsi="Century Gothic" w:cs="Arial"/>
          <w:color w:val="000000"/>
          <w:sz w:val="18"/>
          <w:szCs w:val="18"/>
        </w:rPr>
        <w:t>”</w:t>
      </w:r>
      <w:r w:rsidR="00857CB6" w:rsidRPr="00F43C46">
        <w:rPr>
          <w:rFonts w:ascii="Century Gothic" w:hAnsi="Century Gothic" w:cs="Arial"/>
          <w:color w:val="000000"/>
          <w:sz w:val="18"/>
          <w:szCs w:val="18"/>
        </w:rPr>
        <w:t xml:space="preserve">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w:t>
      </w:r>
      <w:r w:rsidRPr="00F43C46">
        <w:rPr>
          <w:rFonts w:ascii="Century Gothic" w:hAnsi="Century Gothic" w:cs="Arial"/>
          <w:color w:val="000000"/>
          <w:sz w:val="18"/>
          <w:szCs w:val="18"/>
        </w:rPr>
        <w:t>”</w:t>
      </w:r>
      <w:r w:rsidR="00857CB6" w:rsidRPr="00F43C46">
        <w:rPr>
          <w:rFonts w:ascii="Century Gothic" w:hAnsi="Century Gothic" w:cs="Arial"/>
          <w:color w:val="000000"/>
          <w:sz w:val="18"/>
          <w:szCs w:val="18"/>
        </w:rPr>
        <w:t xml:space="preserve">. Disponible en: </w:t>
      </w:r>
      <w:hyperlink r:id="rId6" w:history="1">
        <w:r w:rsidR="00857CB6" w:rsidRPr="00F43C46">
          <w:rPr>
            <w:rStyle w:val="Hipervnculo"/>
            <w:rFonts w:ascii="Century Gothic" w:hAnsi="Century Gothic" w:cs="Arial"/>
            <w:color w:val="000000"/>
            <w:sz w:val="18"/>
            <w:szCs w:val="18"/>
          </w:rPr>
          <w:t>https://www.colombiacompra.gov.co/content/circular-unica-externa</w:t>
        </w:r>
      </w:hyperlink>
      <w:r w:rsidR="00857CB6" w:rsidRPr="00F43C46">
        <w:rPr>
          <w:rFonts w:ascii="Century Gothic" w:hAnsi="Century Gothic" w:cs="Arial"/>
          <w:color w:val="000000"/>
          <w:sz w:val="18"/>
          <w:szCs w:val="18"/>
        </w:rPr>
        <w:t>.</w:t>
      </w:r>
    </w:p>
  </w:footnote>
  <w:footnote w:id="31">
    <w:p w14:paraId="30FD90E7" w14:textId="77777777"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Ver CONSEJO DE ESTADO, Sección Tercera, Subsección C. Sentencia del 26 de febrero de 2011. C.P. Jaime Orlando Santofimio. Rad. 36.408. </w:t>
      </w:r>
    </w:p>
    <w:p w14:paraId="0AACBD45" w14:textId="77777777" w:rsidR="00857CB6" w:rsidRPr="00F43C46" w:rsidRDefault="00857CB6" w:rsidP="00F43C46">
      <w:pPr>
        <w:pStyle w:val="Textonotapie"/>
        <w:ind w:firstLine="709"/>
        <w:jc w:val="both"/>
        <w:rPr>
          <w:rFonts w:ascii="Century Gothic" w:hAnsi="Century Gothic" w:cs="Arial"/>
          <w:color w:val="000000"/>
          <w:sz w:val="18"/>
          <w:szCs w:val="18"/>
        </w:rPr>
      </w:pPr>
    </w:p>
  </w:footnote>
  <w:footnote w:id="32">
    <w:p w14:paraId="1FE5C142" w14:textId="77777777"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Ver CONSEJO DE ESTADO, Sección Tercera, Subsección C. Sentencia del 26 de febrero de 2014. C.P. Enrique Gil Botero. Rad. 25.804. </w:t>
      </w:r>
    </w:p>
    <w:p w14:paraId="4C33B580" w14:textId="77777777" w:rsidR="00857CB6" w:rsidRPr="00F43C46" w:rsidRDefault="00857CB6" w:rsidP="00F43C46">
      <w:pPr>
        <w:pStyle w:val="Textonotapie"/>
        <w:ind w:firstLine="709"/>
        <w:jc w:val="both"/>
        <w:rPr>
          <w:rFonts w:ascii="Century Gothic" w:hAnsi="Century Gothic" w:cs="Arial"/>
          <w:color w:val="000000"/>
          <w:sz w:val="18"/>
          <w:szCs w:val="18"/>
        </w:rPr>
      </w:pPr>
    </w:p>
  </w:footnote>
  <w:footnote w:id="33">
    <w:p w14:paraId="76C6D600" w14:textId="77777777" w:rsidR="00857CB6" w:rsidRPr="00F43C46" w:rsidRDefault="00857CB6" w:rsidP="00F43C46">
      <w:pPr>
        <w:pStyle w:val="Textonotapie"/>
        <w:ind w:firstLine="709"/>
        <w:jc w:val="both"/>
        <w:rPr>
          <w:rFonts w:ascii="Century Gothic" w:hAnsi="Century Gothic" w:cs="Arial"/>
          <w:color w:val="000000"/>
          <w:sz w:val="18"/>
          <w:szCs w:val="18"/>
        </w:rPr>
      </w:pPr>
      <w:r w:rsidRPr="00F43C46">
        <w:rPr>
          <w:rStyle w:val="Refdenotaalpie"/>
          <w:rFonts w:ascii="Century Gothic" w:hAnsi="Century Gothic"/>
          <w:color w:val="000000"/>
          <w:sz w:val="18"/>
          <w:szCs w:val="18"/>
        </w:rPr>
        <w:footnoteRef/>
      </w:r>
      <w:r w:rsidRPr="00F43C46">
        <w:rPr>
          <w:rFonts w:ascii="Century Gothic" w:hAnsi="Century Gothic" w:cs="Arial"/>
          <w:color w:val="000000"/>
          <w:sz w:val="18"/>
          <w:szCs w:val="18"/>
        </w:rPr>
        <w:t xml:space="preserve"> CONSEJO DE ESTADO. Sala de Consulta y Servicio Civil. Concepto del 20 de mayo de 2010. Expediente: 1992. Consejero Ponente: Enrique José Arboleda Perdomo.</w:t>
      </w:r>
    </w:p>
  </w:footnote>
  <w:footnote w:id="34">
    <w:p w14:paraId="66D62DB4" w14:textId="77777777" w:rsidR="00996D22" w:rsidRPr="00F43C46" w:rsidRDefault="00996D22" w:rsidP="00F43C46">
      <w:pPr>
        <w:pStyle w:val="Textonotapie"/>
        <w:spacing w:before="120"/>
        <w:ind w:firstLine="709"/>
        <w:jc w:val="both"/>
        <w:rPr>
          <w:rFonts w:ascii="Century Gothic" w:hAnsi="Century Gothic" w:cs="Arial"/>
          <w:sz w:val="18"/>
          <w:szCs w:val="18"/>
        </w:rPr>
      </w:pPr>
      <w:r w:rsidRPr="00F43C46">
        <w:rPr>
          <w:rStyle w:val="Refdenotaalpie"/>
          <w:rFonts w:ascii="Century Gothic" w:hAnsi="Century Gothic" w:cs="Arial"/>
          <w:sz w:val="18"/>
          <w:szCs w:val="18"/>
        </w:rPr>
        <w:footnoteRef/>
      </w:r>
      <w:r w:rsidRPr="00F43C46">
        <w:rPr>
          <w:rFonts w:ascii="Century Gothic" w:hAnsi="Century Gothic" w:cs="Arial"/>
          <w:sz w:val="18"/>
          <w:szCs w:val="18"/>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41A444BB" w14:textId="23923D82" w:rsidR="00996D22" w:rsidRPr="00F43C46" w:rsidRDefault="00996D22" w:rsidP="00F43C46">
      <w:pPr>
        <w:pStyle w:val="Textonotapie"/>
        <w:spacing w:before="120"/>
        <w:ind w:firstLine="709"/>
        <w:jc w:val="both"/>
        <w:rPr>
          <w:rFonts w:ascii="Century Gothic" w:hAnsi="Century Gothic" w:cs="Arial"/>
          <w:sz w:val="18"/>
          <w:szCs w:val="18"/>
          <w:lang w:val="es-ES"/>
        </w:rPr>
      </w:pPr>
      <w:r w:rsidRPr="00F43C46">
        <w:rPr>
          <w:rFonts w:ascii="Century Gothic" w:hAnsi="Century Gothic" w:cs="Arial"/>
          <w:sz w:val="18"/>
          <w:szCs w:val="18"/>
        </w:rPr>
        <w:t xml:space="preserve">En estos procesos el informe permanecerá publicado en el Secop durante cinco (5) días hábiles, término hasta el cual los proponentes podrán hacer las observaciones que consideren y entregar los documentos y la información solicitada por la </w:t>
      </w:r>
      <w:r w:rsidR="00B63053" w:rsidRPr="00F43C46">
        <w:rPr>
          <w:rFonts w:ascii="Century Gothic" w:hAnsi="Century Gothic" w:cs="Arial"/>
          <w:sz w:val="18"/>
          <w:szCs w:val="18"/>
        </w:rPr>
        <w:t>Entidad Estatal</w:t>
      </w:r>
      <w:r w:rsidRPr="00F43C46">
        <w:rPr>
          <w:rFonts w:ascii="Century Gothic" w:hAnsi="Century Gothic" w:cs="Arial"/>
          <w:sz w:val="18"/>
          <w:szCs w:val="18"/>
        </w:rPr>
        <w:t>. Al finalizar este plazo, la entidad estatal se pronunciará sobre las observaciones y publicará el informe final de evaluación de los requisitos habilitantes y los requisitos objeto de puntuación distintos a la oferta económica.”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333E034E">
          <wp:simplePos x="0" y="0"/>
          <wp:positionH relativeFrom="margin">
            <wp:align>right</wp:align>
          </wp:positionH>
          <wp:positionV relativeFrom="margin">
            <wp:posOffset>-1021080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983231C"/>
    <w:multiLevelType w:val="multilevel"/>
    <w:tmpl w:val="7B38B1F6"/>
    <w:lvl w:ilvl="0">
      <w:start w:val="1"/>
      <w:numFmt w:val="decimal"/>
      <w:lvlText w:val="%1."/>
      <w:lvlJc w:val="left"/>
      <w:pPr>
        <w:ind w:left="720" w:hanging="360"/>
      </w:pPr>
      <w:rPr>
        <w:rFonts w:hint="default"/>
        <w:b/>
        <w:bCs/>
      </w:rPr>
    </w:lvl>
    <w:lvl w:ilvl="1">
      <w:start w:val="2"/>
      <w:numFmt w:val="decimal"/>
      <w:isLgl/>
      <w:lvlText w:val="%1.%2."/>
      <w:lvlJc w:val="left"/>
      <w:pPr>
        <w:ind w:left="1287" w:hanging="72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7CCD0A55"/>
    <w:multiLevelType w:val="multilevel"/>
    <w:tmpl w:val="05701A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708800726">
    <w:abstractNumId w:val="4"/>
  </w:num>
  <w:num w:numId="7" w16cid:durableId="11734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AB4"/>
    <w:rsid w:val="00005F51"/>
    <w:rsid w:val="00007572"/>
    <w:rsid w:val="0004459C"/>
    <w:rsid w:val="000469D3"/>
    <w:rsid w:val="000A683E"/>
    <w:rsid w:val="000A7230"/>
    <w:rsid w:val="000B19B9"/>
    <w:rsid w:val="000C28E5"/>
    <w:rsid w:val="000C6848"/>
    <w:rsid w:val="000D0334"/>
    <w:rsid w:val="000D133B"/>
    <w:rsid w:val="000E6CBB"/>
    <w:rsid w:val="000F6486"/>
    <w:rsid w:val="00103BD1"/>
    <w:rsid w:val="00116BCB"/>
    <w:rsid w:val="00125105"/>
    <w:rsid w:val="00127233"/>
    <w:rsid w:val="00142FBA"/>
    <w:rsid w:val="0014329B"/>
    <w:rsid w:val="00147FD8"/>
    <w:rsid w:val="0015043C"/>
    <w:rsid w:val="00172B10"/>
    <w:rsid w:val="00173C54"/>
    <w:rsid w:val="00173DAA"/>
    <w:rsid w:val="00195314"/>
    <w:rsid w:val="001E0734"/>
    <w:rsid w:val="001E4177"/>
    <w:rsid w:val="001F7103"/>
    <w:rsid w:val="00207B61"/>
    <w:rsid w:val="00223208"/>
    <w:rsid w:val="00255705"/>
    <w:rsid w:val="002629A8"/>
    <w:rsid w:val="0028547B"/>
    <w:rsid w:val="00294845"/>
    <w:rsid w:val="002951A0"/>
    <w:rsid w:val="002962BC"/>
    <w:rsid w:val="002A093D"/>
    <w:rsid w:val="002A49AC"/>
    <w:rsid w:val="002A64FD"/>
    <w:rsid w:val="002A7BC4"/>
    <w:rsid w:val="002B2C83"/>
    <w:rsid w:val="002B6149"/>
    <w:rsid w:val="002C217D"/>
    <w:rsid w:val="002C7A84"/>
    <w:rsid w:val="003243E5"/>
    <w:rsid w:val="003448F4"/>
    <w:rsid w:val="00344C5C"/>
    <w:rsid w:val="00353BCD"/>
    <w:rsid w:val="003673B0"/>
    <w:rsid w:val="0039492F"/>
    <w:rsid w:val="0039494A"/>
    <w:rsid w:val="003A2FFF"/>
    <w:rsid w:val="003A779E"/>
    <w:rsid w:val="003D0F4D"/>
    <w:rsid w:val="003D56E3"/>
    <w:rsid w:val="003E0499"/>
    <w:rsid w:val="003E1765"/>
    <w:rsid w:val="003F3941"/>
    <w:rsid w:val="00400548"/>
    <w:rsid w:val="00402767"/>
    <w:rsid w:val="00403007"/>
    <w:rsid w:val="00404172"/>
    <w:rsid w:val="0041083A"/>
    <w:rsid w:val="004462C0"/>
    <w:rsid w:val="0045246E"/>
    <w:rsid w:val="00454B0A"/>
    <w:rsid w:val="0047159A"/>
    <w:rsid w:val="00472169"/>
    <w:rsid w:val="0047618D"/>
    <w:rsid w:val="00482018"/>
    <w:rsid w:val="004A1847"/>
    <w:rsid w:val="004A305D"/>
    <w:rsid w:val="004D0E18"/>
    <w:rsid w:val="004F21C4"/>
    <w:rsid w:val="004F685F"/>
    <w:rsid w:val="005068F0"/>
    <w:rsid w:val="005566E8"/>
    <w:rsid w:val="00556F9F"/>
    <w:rsid w:val="005602F1"/>
    <w:rsid w:val="00574867"/>
    <w:rsid w:val="005C5CDC"/>
    <w:rsid w:val="005C65AB"/>
    <w:rsid w:val="005D476C"/>
    <w:rsid w:val="005E0D18"/>
    <w:rsid w:val="005F15DF"/>
    <w:rsid w:val="00601575"/>
    <w:rsid w:val="00620C0A"/>
    <w:rsid w:val="006219F8"/>
    <w:rsid w:val="00626B92"/>
    <w:rsid w:val="0063640C"/>
    <w:rsid w:val="006375BD"/>
    <w:rsid w:val="00641112"/>
    <w:rsid w:val="00665D70"/>
    <w:rsid w:val="00703CA7"/>
    <w:rsid w:val="00706C16"/>
    <w:rsid w:val="007357FA"/>
    <w:rsid w:val="00747E55"/>
    <w:rsid w:val="00756841"/>
    <w:rsid w:val="007649AB"/>
    <w:rsid w:val="007671C1"/>
    <w:rsid w:val="007833AC"/>
    <w:rsid w:val="007B7171"/>
    <w:rsid w:val="007C3DC2"/>
    <w:rsid w:val="007E5497"/>
    <w:rsid w:val="007E6931"/>
    <w:rsid w:val="007E793F"/>
    <w:rsid w:val="00806F5F"/>
    <w:rsid w:val="00820278"/>
    <w:rsid w:val="0083409B"/>
    <w:rsid w:val="00857CB6"/>
    <w:rsid w:val="008711B0"/>
    <w:rsid w:val="008843B6"/>
    <w:rsid w:val="00891928"/>
    <w:rsid w:val="008A446D"/>
    <w:rsid w:val="008B40D4"/>
    <w:rsid w:val="008C767E"/>
    <w:rsid w:val="008D5724"/>
    <w:rsid w:val="008F00B4"/>
    <w:rsid w:val="008F0EA7"/>
    <w:rsid w:val="008F2F4C"/>
    <w:rsid w:val="009043DD"/>
    <w:rsid w:val="00923EEF"/>
    <w:rsid w:val="009419F9"/>
    <w:rsid w:val="00944514"/>
    <w:rsid w:val="00957A21"/>
    <w:rsid w:val="00961B09"/>
    <w:rsid w:val="00965334"/>
    <w:rsid w:val="00970213"/>
    <w:rsid w:val="0097036A"/>
    <w:rsid w:val="0097093E"/>
    <w:rsid w:val="009954AD"/>
    <w:rsid w:val="00996D22"/>
    <w:rsid w:val="009C60AA"/>
    <w:rsid w:val="009C71FA"/>
    <w:rsid w:val="009C72E7"/>
    <w:rsid w:val="009E3A74"/>
    <w:rsid w:val="00A028D6"/>
    <w:rsid w:val="00A17F13"/>
    <w:rsid w:val="00A20739"/>
    <w:rsid w:val="00A33C78"/>
    <w:rsid w:val="00A4061B"/>
    <w:rsid w:val="00A56474"/>
    <w:rsid w:val="00A74182"/>
    <w:rsid w:val="00A86BE6"/>
    <w:rsid w:val="00AB0ADB"/>
    <w:rsid w:val="00AB5BE2"/>
    <w:rsid w:val="00AD16D8"/>
    <w:rsid w:val="00B06E3A"/>
    <w:rsid w:val="00B13358"/>
    <w:rsid w:val="00B27D22"/>
    <w:rsid w:val="00B526CB"/>
    <w:rsid w:val="00B63053"/>
    <w:rsid w:val="00B63C5A"/>
    <w:rsid w:val="00B63E99"/>
    <w:rsid w:val="00B72CD3"/>
    <w:rsid w:val="00B72FFF"/>
    <w:rsid w:val="00B831AF"/>
    <w:rsid w:val="00BC0C79"/>
    <w:rsid w:val="00BD7F72"/>
    <w:rsid w:val="00BF0DB4"/>
    <w:rsid w:val="00C04FB3"/>
    <w:rsid w:val="00C15015"/>
    <w:rsid w:val="00C15C33"/>
    <w:rsid w:val="00C330EB"/>
    <w:rsid w:val="00C4067A"/>
    <w:rsid w:val="00C45E18"/>
    <w:rsid w:val="00C63269"/>
    <w:rsid w:val="00C66804"/>
    <w:rsid w:val="00C754BE"/>
    <w:rsid w:val="00C77175"/>
    <w:rsid w:val="00C86748"/>
    <w:rsid w:val="00C95EB9"/>
    <w:rsid w:val="00CB6357"/>
    <w:rsid w:val="00CC1B26"/>
    <w:rsid w:val="00CD08E0"/>
    <w:rsid w:val="00CF014A"/>
    <w:rsid w:val="00D25D79"/>
    <w:rsid w:val="00D36C65"/>
    <w:rsid w:val="00D423A2"/>
    <w:rsid w:val="00D45A16"/>
    <w:rsid w:val="00D63AC2"/>
    <w:rsid w:val="00D67200"/>
    <w:rsid w:val="00D7383B"/>
    <w:rsid w:val="00D9472A"/>
    <w:rsid w:val="00DA1B8D"/>
    <w:rsid w:val="00DA231B"/>
    <w:rsid w:val="00DB2378"/>
    <w:rsid w:val="00E005E6"/>
    <w:rsid w:val="00E16408"/>
    <w:rsid w:val="00E1781F"/>
    <w:rsid w:val="00E20894"/>
    <w:rsid w:val="00E245AB"/>
    <w:rsid w:val="00E276F1"/>
    <w:rsid w:val="00E50AFE"/>
    <w:rsid w:val="00E51BE4"/>
    <w:rsid w:val="00E62422"/>
    <w:rsid w:val="00E72C65"/>
    <w:rsid w:val="00E7500C"/>
    <w:rsid w:val="00E76594"/>
    <w:rsid w:val="00E771DC"/>
    <w:rsid w:val="00E82CDA"/>
    <w:rsid w:val="00E8772A"/>
    <w:rsid w:val="00E90F6B"/>
    <w:rsid w:val="00E92C27"/>
    <w:rsid w:val="00E94827"/>
    <w:rsid w:val="00EA0E3D"/>
    <w:rsid w:val="00EA17AC"/>
    <w:rsid w:val="00EE1AA8"/>
    <w:rsid w:val="00F06F45"/>
    <w:rsid w:val="00F11DBA"/>
    <w:rsid w:val="00F204AB"/>
    <w:rsid w:val="00F21E78"/>
    <w:rsid w:val="00F22D1E"/>
    <w:rsid w:val="00F251E1"/>
    <w:rsid w:val="00F31EDC"/>
    <w:rsid w:val="00F3566E"/>
    <w:rsid w:val="00F356C6"/>
    <w:rsid w:val="00F4303E"/>
    <w:rsid w:val="00F43C46"/>
    <w:rsid w:val="00F44C82"/>
    <w:rsid w:val="00F45866"/>
    <w:rsid w:val="00F4699C"/>
    <w:rsid w:val="00F50E6B"/>
    <w:rsid w:val="00F5664F"/>
    <w:rsid w:val="00F73B0D"/>
    <w:rsid w:val="00F76AFC"/>
    <w:rsid w:val="00F95E5C"/>
    <w:rsid w:val="00FA3612"/>
    <w:rsid w:val="00FB5DD1"/>
    <w:rsid w:val="00FC2B5D"/>
    <w:rsid w:val="00FF1449"/>
    <w:rsid w:val="02E3505A"/>
    <w:rsid w:val="13FAEB41"/>
    <w:rsid w:val="4240CE6C"/>
    <w:rsid w:val="4587E745"/>
    <w:rsid w:val="483E079D"/>
    <w:rsid w:val="4C69232D"/>
    <w:rsid w:val="4F111FB0"/>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671C1"/>
    <w:rPr>
      <w:rFonts w:ascii="Geomanist Light" w:hAnsi="Geomanist Light"/>
      <w:lang w:val="es-ES"/>
    </w:rPr>
  </w:style>
  <w:style w:type="paragraph" w:styleId="Textoindependiente">
    <w:name w:val="Body Text"/>
    <w:basedOn w:val="Normal"/>
    <w:link w:val="TextoindependienteCar"/>
    <w:uiPriority w:val="1"/>
    <w:qFormat/>
    <w:rsid w:val="007671C1"/>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7671C1"/>
    <w:rPr>
      <w:rFonts w:ascii="Arial" w:eastAsia="Arial" w:hAnsi="Arial" w:cs="Arial"/>
      <w:sz w:val="20"/>
      <w:szCs w:val="20"/>
      <w:lang w:val="es-ES"/>
    </w:rPr>
  </w:style>
  <w:style w:type="paragraph" w:customStyle="1" w:styleId="Appelnotedebasde">
    <w:name w:val="Appel note de bas de..."/>
    <w:basedOn w:val="Normal"/>
    <w:link w:val="Refdenotaalpie"/>
    <w:rsid w:val="007671C1"/>
    <w:pPr>
      <w:spacing w:line="240" w:lineRule="exact"/>
    </w:pPr>
    <w:rPr>
      <w:vertAlign w:val="superscript"/>
    </w:rPr>
  </w:style>
  <w:style w:type="paragraph" w:styleId="Sinespaciado">
    <w:name w:val="No Spacing"/>
    <w:aliases w:val="No Indent"/>
    <w:uiPriority w:val="3"/>
    <w:qFormat/>
    <w:rsid w:val="007671C1"/>
    <w:pPr>
      <w:spacing w:after="0" w:line="240" w:lineRule="auto"/>
    </w:pPr>
    <w:rPr>
      <w:sz w:val="24"/>
      <w:lang w:val="es-MX"/>
    </w:rPr>
  </w:style>
  <w:style w:type="character" w:styleId="Mencinsinresolver">
    <w:name w:val="Unresolved Mention"/>
    <w:basedOn w:val="Fuentedeprrafopredeter"/>
    <w:uiPriority w:val="99"/>
    <w:semiHidden/>
    <w:unhideWhenUsed/>
    <w:rsid w:val="003E1765"/>
    <w:rPr>
      <w:color w:val="605E5C"/>
      <w:shd w:val="clear" w:color="auto" w:fill="E1DFDD"/>
    </w:rPr>
  </w:style>
  <w:style w:type="paragraph" w:styleId="Textocomentario">
    <w:name w:val="annotation text"/>
    <w:basedOn w:val="Normal"/>
    <w:link w:val="TextocomentarioCar"/>
    <w:uiPriority w:val="99"/>
    <w:unhideWhenUsed/>
    <w:rsid w:val="009954AD"/>
    <w:pPr>
      <w:spacing w:line="240" w:lineRule="auto"/>
    </w:pPr>
    <w:rPr>
      <w:sz w:val="20"/>
      <w:szCs w:val="20"/>
    </w:rPr>
  </w:style>
  <w:style w:type="character" w:customStyle="1" w:styleId="TextocomentarioCar">
    <w:name w:val="Texto comentario Car"/>
    <w:basedOn w:val="Fuentedeprrafopredeter"/>
    <w:link w:val="Textocomentario"/>
    <w:uiPriority w:val="99"/>
    <w:rsid w:val="009954AD"/>
    <w:rPr>
      <w:sz w:val="20"/>
      <w:szCs w:val="20"/>
    </w:rPr>
  </w:style>
  <w:style w:type="character" w:customStyle="1" w:styleId="Hipervnculo1">
    <w:name w:val="Hipervínculo1"/>
    <w:basedOn w:val="Fuentedeprrafopredeter"/>
    <w:uiPriority w:val="99"/>
    <w:unhideWhenUsed/>
    <w:rsid w:val="00294845"/>
    <w:rPr>
      <w:color w:val="F2F2F2"/>
      <w:u w:val="single"/>
    </w:rPr>
  </w:style>
  <w:style w:type="paragraph" w:styleId="NormalWeb">
    <w:name w:val="Normal (Web)"/>
    <w:basedOn w:val="Normal"/>
    <w:link w:val="NormalWebCar"/>
    <w:uiPriority w:val="99"/>
    <w:unhideWhenUsed/>
    <w:rsid w:val="00857CB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857CB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2895">
      <w:bodyDiv w:val="1"/>
      <w:marLeft w:val="0"/>
      <w:marRight w:val="0"/>
      <w:marTop w:val="0"/>
      <w:marBottom w:val="0"/>
      <w:divBdr>
        <w:top w:val="none" w:sz="0" w:space="0" w:color="auto"/>
        <w:left w:val="none" w:sz="0" w:space="0" w:color="auto"/>
        <w:bottom w:val="none" w:sz="0" w:space="0" w:color="auto"/>
        <w:right w:val="none" w:sz="0" w:space="0" w:color="auto"/>
      </w:divBdr>
    </w:div>
    <w:div w:id="291667967">
      <w:bodyDiv w:val="1"/>
      <w:marLeft w:val="0"/>
      <w:marRight w:val="0"/>
      <w:marTop w:val="0"/>
      <w:marBottom w:val="0"/>
      <w:divBdr>
        <w:top w:val="none" w:sz="0" w:space="0" w:color="auto"/>
        <w:left w:val="none" w:sz="0" w:space="0" w:color="auto"/>
        <w:bottom w:val="none" w:sz="0" w:space="0" w:color="auto"/>
        <w:right w:val="none" w:sz="0" w:space="0" w:color="auto"/>
      </w:divBdr>
    </w:div>
    <w:div w:id="633414794">
      <w:bodyDiv w:val="1"/>
      <w:marLeft w:val="0"/>
      <w:marRight w:val="0"/>
      <w:marTop w:val="0"/>
      <w:marBottom w:val="0"/>
      <w:divBdr>
        <w:top w:val="none" w:sz="0" w:space="0" w:color="auto"/>
        <w:left w:val="none" w:sz="0" w:space="0" w:color="auto"/>
        <w:bottom w:val="none" w:sz="0" w:space="0" w:color="auto"/>
        <w:right w:val="none" w:sz="0" w:space="0" w:color="auto"/>
      </w:divBdr>
    </w:div>
    <w:div w:id="107616894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941911762">
      <w:bodyDiv w:val="1"/>
      <w:marLeft w:val="0"/>
      <w:marRight w:val="0"/>
      <w:marTop w:val="0"/>
      <w:marBottom w:val="0"/>
      <w:divBdr>
        <w:top w:val="none" w:sz="0" w:space="0" w:color="auto"/>
        <w:left w:val="none" w:sz="0" w:space="0" w:color="auto"/>
        <w:bottom w:val="none" w:sz="0" w:space="0" w:color="auto"/>
        <w:right w:val="none" w:sz="0" w:space="0" w:color="auto"/>
      </w:divBdr>
    </w:div>
    <w:div w:id="208020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itaciones@incoplansa.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leyes.senado.gov.co/proyectos/index.php/textos-radicados-senado/p-ley-2020-2021/1957-proyecto-de-ley-161-de-2020" TargetMode="External"/><Relationship Id="rId2"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colombiacompra.gov.co/content/circular-unica-externa" TargetMode="External"/><Relationship Id="rId5" Type="http://schemas.openxmlformats.org/officeDocument/2006/relationships/hyperlink" Target="https://www.funcionpublica.gov.co/eva/gestornormativo/norma.php?i=25678" TargetMode="External"/><Relationship Id="rId4"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61B3E7-3A8A-497A-99F9-139FF78FED2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EDF5A0CB-416F-41EA-AE23-DE3D33333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11581</Words>
  <Characters>63700</Characters>
  <Application>Microsoft Office Word</Application>
  <DocSecurity>0</DocSecurity>
  <Lines>530</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2023-11-14T21:53:00Z</dcterms:created>
  <dcterms:modified xsi:type="dcterms:W3CDTF">2023-11-14T21:53:00Z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