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625B1" w14:textId="6115931B" w:rsidR="00D974F0" w:rsidRPr="00D974F0" w:rsidRDefault="00D974F0" w:rsidP="00D974F0">
      <w:pPr>
        <w:jc w:val="both"/>
        <w:rPr>
          <w:rFonts w:ascii="Verdana" w:eastAsia="Calibri" w:hAnsi="Verdana" w:cs="Arial"/>
          <w:b/>
          <w:bCs/>
          <w:lang w:val="es-ES" w:eastAsia="es-ES"/>
        </w:rPr>
      </w:pPr>
      <w:bookmarkStart w:id="0" w:name="_Hlk143780582"/>
      <w:r w:rsidRPr="00D974F0">
        <w:rPr>
          <w:rFonts w:ascii="Verdana" w:eastAsia="Calibri" w:hAnsi="Verdana" w:cs="Arial"/>
          <w:b/>
          <w:bCs/>
          <w:lang w:val="es-ES" w:eastAsia="es-ES"/>
        </w:rPr>
        <w:t xml:space="preserve">CENSURA – Ley 1123 de 2007 </w:t>
      </w:r>
    </w:p>
    <w:p w14:paraId="13B961A1" w14:textId="3EA84073" w:rsidR="00D974F0" w:rsidRPr="00D974F0" w:rsidRDefault="00D974F0" w:rsidP="00D974F0">
      <w:pPr>
        <w:widowControl w:val="0"/>
        <w:autoSpaceDE w:val="0"/>
        <w:autoSpaceDN w:val="0"/>
        <w:spacing w:after="120" w:line="276" w:lineRule="auto"/>
        <w:jc w:val="both"/>
        <w:rPr>
          <w:rFonts w:ascii="Verdana" w:eastAsia="Calibri" w:hAnsi="Verdana" w:cs="Arial"/>
          <w:sz w:val="20"/>
          <w:szCs w:val="20"/>
          <w:lang w:eastAsia="es-ES"/>
        </w:rPr>
      </w:pPr>
      <w:r w:rsidRPr="00D974F0">
        <w:rPr>
          <w:rFonts w:ascii="Verdana" w:hAnsi="Verdana" w:cs="Arial"/>
          <w:sz w:val="20"/>
          <w:szCs w:val="20"/>
        </w:rPr>
        <w:t xml:space="preserve">[…] </w:t>
      </w:r>
      <w:r w:rsidRPr="00D974F0">
        <w:rPr>
          <w:rFonts w:ascii="Verdana" w:hAnsi="Verdana" w:cs="Arial"/>
          <w:sz w:val="20"/>
          <w:szCs w:val="20"/>
        </w:rPr>
        <w:t xml:space="preserve">se encuentra que la censura es una sanción disciplinaria a las faltas disciplinarias imputables a los abogados cuya lesividad es de menor entidad. Ahora bien, la misma corresponde a la reprobación pública del abogado por la falta cometida y como puede observarse en la norma, esta no implica la suspensión o prohibición del ejercicio de la profesión. </w:t>
      </w:r>
      <w:r w:rsidRPr="00D974F0">
        <w:rPr>
          <w:rFonts w:ascii="Verdana" w:eastAsia="Calibri" w:hAnsi="Verdana" w:cs="Arial"/>
          <w:sz w:val="20"/>
          <w:szCs w:val="20"/>
          <w:lang w:eastAsia="es-ES"/>
        </w:rPr>
        <w:t xml:space="preserve">Con respecto a esta sanción el numeral 2) del literal b) del artículo 45 </w:t>
      </w:r>
      <w:proofErr w:type="spellStart"/>
      <w:r w:rsidRPr="00D974F0">
        <w:rPr>
          <w:rFonts w:ascii="Verdana" w:eastAsia="Calibri" w:hAnsi="Verdana" w:cs="Arial"/>
          <w:sz w:val="20"/>
          <w:szCs w:val="20"/>
          <w:lang w:eastAsia="es-ES"/>
        </w:rPr>
        <w:t>ibídem</w:t>
      </w:r>
      <w:proofErr w:type="spellEnd"/>
      <w:r w:rsidRPr="00D974F0">
        <w:rPr>
          <w:rFonts w:ascii="Verdana" w:eastAsia="Calibri" w:hAnsi="Verdana" w:cs="Arial"/>
          <w:sz w:val="20"/>
          <w:szCs w:val="20"/>
          <w:lang w:eastAsia="es-ES"/>
        </w:rPr>
        <w:t>, contempla como circunstancia de atenuación el haber procurado, por iniciativa propia, resarcir el daño o compensar el perjuicio causado. La concurrencia de tal circunstancia implica que la sanción aplicable sea siempre la censura, con la condición que el investigado carezca de antecedentes disciplinarios.</w:t>
      </w:r>
    </w:p>
    <w:p w14:paraId="37E7B2B5" w14:textId="7F8D5119" w:rsidR="00D974F0" w:rsidRPr="00D974F0" w:rsidRDefault="00D974F0" w:rsidP="00D974F0">
      <w:pPr>
        <w:jc w:val="both"/>
        <w:rPr>
          <w:rFonts w:ascii="Verdana" w:eastAsia="Calibri" w:hAnsi="Verdana" w:cs="Arial"/>
          <w:b/>
          <w:bCs/>
          <w:lang w:val="es-ES" w:eastAsia="es-ES"/>
        </w:rPr>
      </w:pPr>
      <w:r w:rsidRPr="00D974F0">
        <w:rPr>
          <w:rFonts w:ascii="Verdana" w:eastAsia="Calibri" w:hAnsi="Verdana" w:cs="Arial"/>
          <w:b/>
          <w:bCs/>
          <w:lang w:val="es-ES" w:eastAsia="es-ES"/>
        </w:rPr>
        <w:t xml:space="preserve">RÉGIMEN DE INHABILIDADES E INCOMPATIBILIDADES – Concepto – Interpretación Restrictiva </w:t>
      </w:r>
    </w:p>
    <w:p w14:paraId="6E79F053" w14:textId="3D3688FB" w:rsidR="00D974F0" w:rsidRPr="00D974F0" w:rsidRDefault="00D974F0" w:rsidP="00D974F0">
      <w:pPr>
        <w:jc w:val="both"/>
        <w:rPr>
          <w:rFonts w:ascii="Verdana" w:eastAsia="Calibri" w:hAnsi="Verdana" w:cs="Arial"/>
          <w:sz w:val="20"/>
          <w:szCs w:val="20"/>
          <w:lang w:val="es-ES"/>
        </w:rPr>
      </w:pPr>
      <w:r w:rsidRPr="00D974F0">
        <w:rPr>
          <w:rFonts w:ascii="Verdana" w:eastAsia="Calibri" w:hAnsi="Verdana" w:cs="Arial"/>
          <w:sz w:val="20"/>
          <w:szCs w:val="20"/>
          <w:lang w:val="es-ES"/>
        </w:rPr>
        <w:t>Debido a las restricciones que impone el régimen de inhabilidades e incompatibilidades, este se tipifica en la Ley expresamente y su interpretación debe ser restrictiva. Es decir, las causales de inhabilidad e impedimentos deben estar enunciadas en las normas de forma taxativa y al aplicarse en una situación particular su interpretación debe ser restrictiva, de tal forma que no se admita una interpretación amplia o extensiva que permitiera contemplar supuestos indeterminados como causales de inhabilidad o impedimentos. Por lo que, la interpretación de los efectos de la suspensión o exclusión del ejercicio de la profesión no puede hacerse extensiva a otras sanciones que no estén expresamente establecidas en la norma.</w:t>
      </w:r>
    </w:p>
    <w:p w14:paraId="1ECE74A9" w14:textId="3BE41433" w:rsidR="00D974F0" w:rsidRPr="00D974F0" w:rsidRDefault="00D974F0" w:rsidP="00D974F0">
      <w:pPr>
        <w:jc w:val="both"/>
        <w:rPr>
          <w:rFonts w:ascii="Verdana" w:eastAsia="Calibri" w:hAnsi="Verdana" w:cs="Arial"/>
          <w:b/>
          <w:bCs/>
          <w:lang w:val="es-ES" w:eastAsia="es-ES"/>
        </w:rPr>
      </w:pPr>
      <w:r w:rsidRPr="00D974F0">
        <w:rPr>
          <w:rFonts w:ascii="Verdana" w:eastAsia="Calibri" w:hAnsi="Verdana" w:cs="Arial"/>
          <w:b/>
          <w:bCs/>
          <w:lang w:val="es-ES" w:eastAsia="es-ES"/>
        </w:rPr>
        <w:t>CONTRATO DE PRESTACIÓN DE SERVICIOS – Verificación idoneidad – Sanciones disciplinarias</w:t>
      </w:r>
    </w:p>
    <w:p w14:paraId="48739EFA" w14:textId="1F4D5436" w:rsidR="00D974F0" w:rsidRDefault="00D974F0" w:rsidP="00D974F0">
      <w:pPr>
        <w:spacing w:after="0" w:line="240" w:lineRule="auto"/>
        <w:jc w:val="both"/>
        <w:rPr>
          <w:rFonts w:ascii="Verdana" w:hAnsi="Verdana"/>
        </w:rPr>
      </w:pPr>
      <w:r>
        <w:rPr>
          <w:rFonts w:ascii="Verdana" w:hAnsi="Verdana" w:cs="Arial"/>
        </w:rPr>
        <w:t xml:space="preserve">[…] </w:t>
      </w:r>
      <w:r w:rsidRPr="00D974F0">
        <w:rPr>
          <w:rFonts w:ascii="Verdana" w:hAnsi="Verdana" w:cs="Arial"/>
          <w:sz w:val="20"/>
          <w:szCs w:val="20"/>
        </w:rPr>
        <w:t xml:space="preserve">Una vez establecidos los requisitos habilitantes y las demás características de la contratación en los documentos previos, a cada entidad estatal le corresponde </w:t>
      </w:r>
      <w:r w:rsidRPr="00D974F0">
        <w:rPr>
          <w:rFonts w:ascii="Verdana" w:hAnsi="Verdana" w:cs="Arial"/>
          <w:sz w:val="20"/>
          <w:szCs w:val="20"/>
          <w:lang w:val="es-ES"/>
        </w:rPr>
        <w:t>verificar la idoneidad de las personas que pretendan celebrar contratos de prestación de servicios profesionales, de acuerdo con las características, el alcance del objeto del contrato y el perfil establecido</w:t>
      </w:r>
      <w:r w:rsidRPr="00D974F0">
        <w:rPr>
          <w:rFonts w:ascii="Verdana" w:hAnsi="Verdana" w:cs="Arial"/>
          <w:sz w:val="20"/>
          <w:szCs w:val="20"/>
          <w:lang w:val="es-ES"/>
        </w:rPr>
        <w:t>. […]</w:t>
      </w:r>
    </w:p>
    <w:p w14:paraId="13B78EB5" w14:textId="77777777" w:rsidR="00D974F0" w:rsidRDefault="00D974F0" w:rsidP="00ED2333">
      <w:pPr>
        <w:spacing w:after="0" w:line="240" w:lineRule="auto"/>
        <w:rPr>
          <w:rFonts w:ascii="Verdana" w:hAnsi="Verdana"/>
        </w:rPr>
      </w:pPr>
    </w:p>
    <w:p w14:paraId="5699A2A7" w14:textId="77777777" w:rsidR="00D974F0" w:rsidRDefault="00D974F0" w:rsidP="00ED2333">
      <w:pPr>
        <w:spacing w:after="0" w:line="240" w:lineRule="auto"/>
        <w:rPr>
          <w:rFonts w:ascii="Verdana" w:hAnsi="Verdana"/>
        </w:rPr>
      </w:pPr>
    </w:p>
    <w:p w14:paraId="5FC1A5E1" w14:textId="77777777" w:rsidR="00D974F0" w:rsidRDefault="00D974F0" w:rsidP="00ED2333">
      <w:pPr>
        <w:spacing w:after="0" w:line="240" w:lineRule="auto"/>
        <w:rPr>
          <w:rFonts w:ascii="Verdana" w:hAnsi="Verdana"/>
        </w:rPr>
      </w:pPr>
    </w:p>
    <w:p w14:paraId="29F88531" w14:textId="77777777" w:rsidR="00D974F0" w:rsidRDefault="00D974F0" w:rsidP="00ED2333">
      <w:pPr>
        <w:spacing w:after="0" w:line="240" w:lineRule="auto"/>
        <w:rPr>
          <w:rFonts w:ascii="Verdana" w:hAnsi="Verdana"/>
        </w:rPr>
      </w:pPr>
    </w:p>
    <w:p w14:paraId="17B6FA69" w14:textId="77777777" w:rsidR="00D974F0" w:rsidRDefault="00D974F0" w:rsidP="00ED2333">
      <w:pPr>
        <w:spacing w:after="0" w:line="240" w:lineRule="auto"/>
        <w:rPr>
          <w:rFonts w:ascii="Verdana" w:hAnsi="Verdana"/>
        </w:rPr>
      </w:pPr>
    </w:p>
    <w:p w14:paraId="6B541E38" w14:textId="77777777" w:rsidR="00D974F0" w:rsidRDefault="00D974F0" w:rsidP="00ED2333">
      <w:pPr>
        <w:spacing w:after="0" w:line="240" w:lineRule="auto"/>
        <w:rPr>
          <w:rFonts w:ascii="Verdana" w:hAnsi="Verdana"/>
        </w:rPr>
      </w:pPr>
    </w:p>
    <w:p w14:paraId="5F6C748E" w14:textId="77777777" w:rsidR="00D974F0" w:rsidRDefault="00D974F0" w:rsidP="00ED2333">
      <w:pPr>
        <w:spacing w:after="0" w:line="240" w:lineRule="auto"/>
        <w:rPr>
          <w:rFonts w:ascii="Verdana" w:hAnsi="Verdana"/>
        </w:rPr>
      </w:pPr>
    </w:p>
    <w:p w14:paraId="11D810E7" w14:textId="77777777" w:rsidR="00D974F0" w:rsidRDefault="00D974F0" w:rsidP="00ED2333">
      <w:pPr>
        <w:spacing w:after="0" w:line="240" w:lineRule="auto"/>
        <w:rPr>
          <w:rFonts w:ascii="Verdana" w:hAnsi="Verdana"/>
        </w:rPr>
      </w:pPr>
    </w:p>
    <w:p w14:paraId="77009A49" w14:textId="77777777" w:rsidR="00D974F0" w:rsidRDefault="00D974F0" w:rsidP="00ED2333">
      <w:pPr>
        <w:spacing w:after="0" w:line="240" w:lineRule="auto"/>
        <w:rPr>
          <w:rFonts w:ascii="Verdana" w:hAnsi="Verdana"/>
        </w:rPr>
      </w:pPr>
    </w:p>
    <w:p w14:paraId="44332C95" w14:textId="77777777" w:rsidR="00D974F0" w:rsidRDefault="00D974F0" w:rsidP="00ED2333">
      <w:pPr>
        <w:spacing w:after="0" w:line="240" w:lineRule="auto"/>
        <w:rPr>
          <w:rFonts w:ascii="Verdana" w:hAnsi="Verdana"/>
        </w:rPr>
      </w:pPr>
    </w:p>
    <w:p w14:paraId="5722E2D5" w14:textId="77777777" w:rsidR="00D974F0" w:rsidRDefault="00D974F0" w:rsidP="00ED2333">
      <w:pPr>
        <w:spacing w:after="0" w:line="240" w:lineRule="auto"/>
        <w:rPr>
          <w:rFonts w:ascii="Verdana" w:hAnsi="Verdana"/>
        </w:rPr>
      </w:pPr>
    </w:p>
    <w:p w14:paraId="6CEA89F0" w14:textId="77777777" w:rsidR="00D974F0" w:rsidRDefault="00D974F0" w:rsidP="00ED2333">
      <w:pPr>
        <w:spacing w:after="0" w:line="240" w:lineRule="auto"/>
        <w:rPr>
          <w:rFonts w:ascii="Verdana" w:hAnsi="Verdana"/>
        </w:rPr>
      </w:pPr>
    </w:p>
    <w:p w14:paraId="22392152" w14:textId="77777777" w:rsidR="00D974F0" w:rsidRDefault="00D974F0" w:rsidP="00ED2333">
      <w:pPr>
        <w:spacing w:after="0" w:line="240" w:lineRule="auto"/>
        <w:rPr>
          <w:rFonts w:ascii="Verdana" w:hAnsi="Verdana"/>
        </w:rPr>
      </w:pPr>
    </w:p>
    <w:p w14:paraId="3FE2184B" w14:textId="6A668AD8" w:rsidR="00E245AB" w:rsidRPr="0044528D" w:rsidRDefault="00E245AB" w:rsidP="00ED2333">
      <w:pPr>
        <w:spacing w:after="0" w:line="240" w:lineRule="auto"/>
        <w:rPr>
          <w:rFonts w:ascii="Verdana" w:hAnsi="Verdana"/>
        </w:rPr>
      </w:pPr>
      <w:r w:rsidRPr="0044528D">
        <w:rPr>
          <w:rFonts w:ascii="Verdana" w:hAnsi="Verdana"/>
        </w:rPr>
        <w:t xml:space="preserve">Bogotá D.C., </w:t>
      </w:r>
      <w:r w:rsidR="00D974F0">
        <w:rPr>
          <w:rFonts w:ascii="Verdana" w:hAnsi="Verdana"/>
        </w:rPr>
        <w:t xml:space="preserve">07 </w:t>
      </w:r>
      <w:proofErr w:type="gramStart"/>
      <w:r w:rsidR="00D974F0">
        <w:rPr>
          <w:rFonts w:ascii="Verdana" w:hAnsi="Verdana"/>
        </w:rPr>
        <w:t>Abril</w:t>
      </w:r>
      <w:proofErr w:type="gramEnd"/>
      <w:r w:rsidR="00D974F0">
        <w:rPr>
          <w:rFonts w:ascii="Verdana" w:hAnsi="Verdana"/>
        </w:rPr>
        <w:t xml:space="preserve"> 2025</w:t>
      </w:r>
      <w:r w:rsidR="00891928" w:rsidRPr="0044528D">
        <w:rPr>
          <w:rFonts w:ascii="Verdana" w:hAnsi="Verdana"/>
        </w:rPr>
        <w:tab/>
      </w:r>
    </w:p>
    <w:p w14:paraId="5FCADBF9" w14:textId="13962F53" w:rsidR="00E245AB" w:rsidRPr="0044528D" w:rsidRDefault="00D974F0" w:rsidP="00ED2333">
      <w:pPr>
        <w:spacing w:after="0" w:line="240" w:lineRule="auto"/>
        <w:rPr>
          <w:rFonts w:ascii="Verdana" w:hAnsi="Verdana"/>
        </w:rPr>
      </w:pPr>
      <w:r>
        <w:rPr>
          <w:rFonts w:ascii="Verdana" w:eastAsia="Calibri" w:hAnsi="Verdana" w:cs="Arial"/>
          <w:noProof/>
          <w:lang w:val="es-ES" w:eastAsia="es-ES"/>
        </w:rPr>
        <w:drawing>
          <wp:anchor distT="0" distB="0" distL="114300" distR="114300" simplePos="0" relativeHeight="251658240" behindDoc="0" locked="0" layoutInCell="1" allowOverlap="1" wp14:anchorId="60E65E08" wp14:editId="2B1A9BCD">
            <wp:simplePos x="0" y="0"/>
            <wp:positionH relativeFrom="column">
              <wp:posOffset>2730871</wp:posOffset>
            </wp:positionH>
            <wp:positionV relativeFrom="paragraph">
              <wp:posOffset>156751</wp:posOffset>
            </wp:positionV>
            <wp:extent cx="2571750" cy="850900"/>
            <wp:effectExtent l="0" t="0" r="0"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571750" cy="850900"/>
                    </a:xfrm>
                    <a:prstGeom prst="rect">
                      <a:avLst/>
                    </a:prstGeom>
                  </pic:spPr>
                </pic:pic>
              </a:graphicData>
            </a:graphic>
            <wp14:sizeRelH relativeFrom="page">
              <wp14:pctWidth>0</wp14:pctWidth>
            </wp14:sizeRelH>
            <wp14:sizeRelV relativeFrom="page">
              <wp14:pctHeight>0</wp14:pctHeight>
            </wp14:sizeRelV>
          </wp:anchor>
        </w:drawing>
      </w:r>
    </w:p>
    <w:p w14:paraId="0465BA6D" w14:textId="71B45A49" w:rsidR="00E245AB" w:rsidRPr="0044528D" w:rsidRDefault="00E245AB" w:rsidP="00ED2333">
      <w:pPr>
        <w:spacing w:after="0" w:line="240" w:lineRule="auto"/>
        <w:rPr>
          <w:rFonts w:ascii="Verdana" w:hAnsi="Verdana"/>
        </w:rPr>
      </w:pPr>
    </w:p>
    <w:bookmarkEnd w:id="0"/>
    <w:p w14:paraId="3FF35719" w14:textId="22EDB06E" w:rsidR="003C25B4" w:rsidRPr="00B96799" w:rsidRDefault="003C25B4" w:rsidP="003C25B4">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75612562" w14:textId="77777777" w:rsidR="003C25B4" w:rsidRDefault="003C25B4" w:rsidP="003C25B4">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Daniela Huertas</w:t>
      </w:r>
    </w:p>
    <w:p w14:paraId="2AE40F7F" w14:textId="77777777" w:rsidR="003C25B4" w:rsidRDefault="008A2383" w:rsidP="003C25B4">
      <w:pPr>
        <w:spacing w:after="0" w:line="240" w:lineRule="auto"/>
        <w:rPr>
          <w:rFonts w:ascii="Verdana" w:eastAsia="Calibri" w:hAnsi="Verdana" w:cs="Arial"/>
          <w:u w:val="single"/>
          <w:lang w:val="es-ES" w:eastAsia="es-ES"/>
        </w:rPr>
      </w:pPr>
      <w:hyperlink r:id="rId11" w:history="1">
        <w:r w:rsidR="003C25B4" w:rsidRPr="00E315CE">
          <w:rPr>
            <w:rStyle w:val="Hipervnculo"/>
            <w:rFonts w:ascii="Verdana" w:eastAsia="Calibri" w:hAnsi="Verdana" w:cs="Arial"/>
            <w:lang w:val="es-ES" w:eastAsia="es-ES"/>
          </w:rPr>
          <w:t>danielahuertas23@gmail.com</w:t>
        </w:r>
      </w:hyperlink>
    </w:p>
    <w:p w14:paraId="0A334E63" w14:textId="77777777" w:rsidR="003C25B4" w:rsidRPr="00B96799" w:rsidRDefault="003C25B4" w:rsidP="003C25B4">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r w:rsidRPr="00B96799">
        <w:rPr>
          <w:rFonts w:ascii="Verdana" w:eastAsia="Calibri" w:hAnsi="Verdana" w:cs="Arial"/>
          <w:lang w:val="es-ES" w:eastAsia="es-ES"/>
        </w:rPr>
        <w:t>, Cundinamarca</w:t>
      </w:r>
    </w:p>
    <w:p w14:paraId="6D52D7DF" w14:textId="77777777" w:rsidR="003C25B4" w:rsidRPr="00593A5F" w:rsidRDefault="003C25B4" w:rsidP="003C25B4">
      <w:pPr>
        <w:spacing w:after="0" w:line="240" w:lineRule="auto"/>
        <w:rPr>
          <w:rFonts w:ascii="Verdana" w:eastAsia="Calibri" w:hAnsi="Verdana" w:cs="Arial"/>
          <w:b/>
          <w:bCs/>
          <w:color w:val="000000"/>
          <w:lang w:val="es-ES_tradnl" w:eastAsia="es-ES_tradnl"/>
        </w:rPr>
      </w:pPr>
    </w:p>
    <w:p w14:paraId="1E3070C9" w14:textId="77777777" w:rsidR="003C25B4" w:rsidRPr="00593A5F" w:rsidRDefault="003C25B4" w:rsidP="003C25B4">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C25B4" w:rsidRPr="00593A5F" w14:paraId="4854A293" w14:textId="77777777" w:rsidTr="00ED2333">
        <w:trPr>
          <w:trHeight w:val="222"/>
        </w:trPr>
        <w:tc>
          <w:tcPr>
            <w:tcW w:w="2689" w:type="dxa"/>
          </w:tcPr>
          <w:p w14:paraId="4363A2B7" w14:textId="77777777" w:rsidR="003C25B4" w:rsidRPr="00C00976" w:rsidRDefault="003C25B4" w:rsidP="0052103A">
            <w:pPr>
              <w:jc w:val="both"/>
              <w:rPr>
                <w:rFonts w:ascii="Verdana" w:eastAsia="Calibri" w:hAnsi="Verdana" w:cs="Arial"/>
                <w:b/>
                <w:bCs/>
                <w:color w:val="7030A0"/>
                <w:lang w:val="es-ES_tradnl" w:eastAsia="es-ES_tradnl"/>
              </w:rPr>
            </w:pPr>
          </w:p>
        </w:tc>
        <w:tc>
          <w:tcPr>
            <w:tcW w:w="6100" w:type="dxa"/>
          </w:tcPr>
          <w:p w14:paraId="355784E2" w14:textId="77777777" w:rsidR="003C25B4" w:rsidRDefault="003C25B4" w:rsidP="00E315CE">
            <w:pPr>
              <w:jc w:val="both"/>
              <w:rPr>
                <w:rFonts w:ascii="Verdana" w:eastAsia="Calibri" w:hAnsi="Verdana" w:cs="Arial"/>
                <w:b/>
                <w:bCs/>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261</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C00976">
              <w:rPr>
                <w:rFonts w:ascii="Verdana" w:eastAsia="Calibri" w:hAnsi="Verdana" w:cs="Arial"/>
                <w:b/>
                <w:bCs/>
                <w:color w:val="7030A0"/>
                <w:lang w:val="es-ES" w:eastAsia="es-ES"/>
              </w:rPr>
              <w:t xml:space="preserve"> </w:t>
            </w:r>
            <w:r w:rsidRPr="006C34DD">
              <w:rPr>
                <w:rFonts w:ascii="Verdana" w:eastAsia="Calibri" w:hAnsi="Verdana" w:cs="Arial"/>
                <w:b/>
                <w:bCs/>
                <w:lang w:val="es-ES" w:eastAsia="es-ES"/>
              </w:rPr>
              <w:t>2025</w:t>
            </w:r>
          </w:p>
          <w:p w14:paraId="60661C32" w14:textId="77777777" w:rsidR="003C25B4" w:rsidRPr="00C00976" w:rsidRDefault="003C25B4" w:rsidP="0052103A">
            <w:pPr>
              <w:jc w:val="both"/>
              <w:rPr>
                <w:rFonts w:ascii="Verdana" w:eastAsia="Calibri" w:hAnsi="Verdana" w:cs="Arial"/>
                <w:b/>
                <w:bCs/>
                <w:color w:val="7030A0"/>
                <w:lang w:val="es-ES" w:eastAsia="es-ES"/>
              </w:rPr>
            </w:pPr>
          </w:p>
        </w:tc>
      </w:tr>
      <w:tr w:rsidR="003C25B4" w:rsidRPr="00593A5F" w14:paraId="576A98EF" w14:textId="77777777" w:rsidTr="0052103A">
        <w:trPr>
          <w:trHeight w:val="884"/>
        </w:trPr>
        <w:tc>
          <w:tcPr>
            <w:tcW w:w="2689" w:type="dxa"/>
          </w:tcPr>
          <w:p w14:paraId="71EDB744" w14:textId="77777777" w:rsidR="003C25B4" w:rsidRPr="00593A5F" w:rsidRDefault="003C25B4" w:rsidP="0052103A">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79CB20D" w14:textId="3A13E094" w:rsidR="003C25B4" w:rsidRPr="00E90102" w:rsidRDefault="00D64C9E" w:rsidP="00ED2333">
            <w:pPr>
              <w:jc w:val="both"/>
              <w:rPr>
                <w:rFonts w:ascii="Verdana" w:eastAsia="Calibri" w:hAnsi="Verdana" w:cs="Arial"/>
                <w:lang w:val="es-ES" w:eastAsia="es-ES"/>
              </w:rPr>
            </w:pPr>
            <w:r w:rsidRPr="00E315CE">
              <w:rPr>
                <w:rFonts w:ascii="Verdana" w:eastAsia="Calibri" w:hAnsi="Verdana" w:cs="Arial"/>
                <w:lang w:val="es-ES" w:eastAsia="es-ES"/>
              </w:rPr>
              <w:t>CENSURA – Ley 1123 de 2007</w:t>
            </w:r>
            <w:r>
              <w:rPr>
                <w:rFonts w:ascii="Verdana" w:eastAsia="Calibri" w:hAnsi="Verdana" w:cs="Arial"/>
                <w:lang w:val="es-ES" w:eastAsia="es-ES"/>
              </w:rPr>
              <w:t xml:space="preserve"> / </w:t>
            </w:r>
            <w:r w:rsidRPr="00E315CE">
              <w:rPr>
                <w:rFonts w:ascii="Verdana" w:eastAsia="Calibri" w:hAnsi="Verdana" w:cs="Arial"/>
                <w:lang w:val="es-ES" w:eastAsia="es-ES"/>
              </w:rPr>
              <w:t xml:space="preserve">RÉGIMEN DE INHABILIDADES E INCOMPATIBILIDADES – Concepto – Interpretación Restrictiva </w:t>
            </w:r>
            <w:r>
              <w:rPr>
                <w:rFonts w:ascii="Verdana" w:eastAsia="Calibri" w:hAnsi="Verdana" w:cs="Arial"/>
                <w:lang w:val="es-ES" w:eastAsia="es-ES"/>
              </w:rPr>
              <w:t xml:space="preserve">/ </w:t>
            </w:r>
            <w:r w:rsidR="003C25B4" w:rsidRPr="00E90102">
              <w:rPr>
                <w:rFonts w:ascii="Verdana" w:eastAsia="Calibri" w:hAnsi="Verdana" w:cs="Arial"/>
                <w:lang w:val="es-ES" w:eastAsia="es-ES"/>
              </w:rPr>
              <w:t xml:space="preserve">CONTRATO DE PRESTACIÓN DE SERVICIOS – Verificación idoneidad – </w:t>
            </w:r>
            <w:r w:rsidRPr="00E315CE">
              <w:rPr>
                <w:rFonts w:ascii="Verdana" w:eastAsia="Calibri" w:hAnsi="Verdana" w:cs="Arial"/>
                <w:lang w:val="es-ES" w:eastAsia="es-ES"/>
              </w:rPr>
              <w:t>Sanciones</w:t>
            </w:r>
            <w:r w:rsidR="003C25B4" w:rsidRPr="00E90102">
              <w:rPr>
                <w:rFonts w:ascii="Verdana" w:eastAsia="Calibri" w:hAnsi="Verdana" w:cs="Arial"/>
                <w:lang w:val="es-ES" w:eastAsia="es-ES"/>
              </w:rPr>
              <w:t xml:space="preserve"> disciplinarias</w:t>
            </w:r>
          </w:p>
          <w:p w14:paraId="61676A6C" w14:textId="77777777" w:rsidR="003C25B4" w:rsidRPr="00593A5F" w:rsidRDefault="003C25B4" w:rsidP="00ED2333">
            <w:pPr>
              <w:jc w:val="both"/>
              <w:rPr>
                <w:rFonts w:ascii="Verdana" w:eastAsia="Calibri" w:hAnsi="Verdana" w:cs="Arial"/>
                <w:lang w:val="es-ES" w:eastAsia="es-ES"/>
              </w:rPr>
            </w:pPr>
          </w:p>
        </w:tc>
      </w:tr>
      <w:tr w:rsidR="003C25B4" w:rsidRPr="00593A5F" w14:paraId="2EB7C07C" w14:textId="77777777" w:rsidTr="0052103A">
        <w:tc>
          <w:tcPr>
            <w:tcW w:w="2689" w:type="dxa"/>
          </w:tcPr>
          <w:p w14:paraId="2F79F1A6" w14:textId="77777777" w:rsidR="003C25B4" w:rsidRPr="006C34DD" w:rsidRDefault="003C25B4" w:rsidP="0052103A">
            <w:pPr>
              <w:jc w:val="both"/>
              <w:rPr>
                <w:rFonts w:ascii="Verdana" w:eastAsia="Calibri" w:hAnsi="Verdana" w:cs="Arial"/>
                <w:b/>
                <w:lang w:val="es-ES_tradnl" w:eastAsia="es-ES_tradnl"/>
              </w:rPr>
            </w:pPr>
            <w:r w:rsidRPr="006C34DD">
              <w:rPr>
                <w:rFonts w:ascii="Verdana" w:eastAsia="Calibri" w:hAnsi="Verdana" w:cs="Arial"/>
                <w:b/>
                <w:lang w:val="es-ES_tradnl" w:eastAsia="es-ES_tradnl"/>
              </w:rPr>
              <w:t>Radicación:</w:t>
            </w:r>
            <w:r w:rsidRPr="006C34DD">
              <w:rPr>
                <w:rFonts w:ascii="Verdana" w:eastAsia="Calibri" w:hAnsi="Verdana" w:cs="Arial"/>
                <w:lang w:val="es-ES_tradnl" w:eastAsia="es-ES_tradnl"/>
              </w:rPr>
              <w:t xml:space="preserve">               </w:t>
            </w:r>
          </w:p>
        </w:tc>
        <w:tc>
          <w:tcPr>
            <w:tcW w:w="6100" w:type="dxa"/>
          </w:tcPr>
          <w:p w14:paraId="74384B90" w14:textId="77777777" w:rsidR="003C25B4" w:rsidRPr="006C34DD" w:rsidRDefault="003C25B4" w:rsidP="0052103A">
            <w:pPr>
              <w:jc w:val="both"/>
              <w:rPr>
                <w:rFonts w:ascii="Verdana" w:eastAsia="Calibri" w:hAnsi="Verdana" w:cs="Arial"/>
                <w:lang w:val="es-ES_tradnl" w:eastAsia="es-ES_tradnl"/>
              </w:rPr>
            </w:pPr>
            <w:r w:rsidRPr="006C34DD">
              <w:rPr>
                <w:rFonts w:ascii="Verdana" w:eastAsia="Calibri" w:hAnsi="Verdana" w:cs="Arial"/>
                <w:lang w:val="es-ES_tradnl" w:eastAsia="es-ES_tradnl"/>
              </w:rPr>
              <w:t>Respuesta a consulta con radicado No. P20250228001982</w:t>
            </w:r>
          </w:p>
        </w:tc>
      </w:tr>
    </w:tbl>
    <w:p w14:paraId="5A60218C" w14:textId="77777777" w:rsidR="003C25B4" w:rsidRPr="00593A5F" w:rsidRDefault="003C25B4" w:rsidP="003C25B4">
      <w:pPr>
        <w:spacing w:after="0" w:line="240" w:lineRule="auto"/>
        <w:jc w:val="both"/>
        <w:rPr>
          <w:rFonts w:ascii="Verdana" w:eastAsia="Calibri" w:hAnsi="Verdana" w:cs="Arial"/>
          <w:color w:val="000000"/>
          <w:lang w:val="es-ES_tradnl" w:eastAsia="es-ES_tradnl"/>
        </w:rPr>
      </w:pPr>
    </w:p>
    <w:p w14:paraId="34F3E328" w14:textId="77777777" w:rsidR="003C25B4" w:rsidRPr="00593A5F" w:rsidRDefault="003C25B4" w:rsidP="003C25B4">
      <w:pPr>
        <w:spacing w:after="0" w:line="240" w:lineRule="auto"/>
        <w:jc w:val="both"/>
        <w:rPr>
          <w:rFonts w:ascii="Verdana" w:eastAsia="Calibri" w:hAnsi="Verdana" w:cs="Arial"/>
          <w:color w:val="000000"/>
          <w:lang w:val="es-ES_tradnl" w:eastAsia="es-ES_tradnl"/>
        </w:rPr>
      </w:pPr>
    </w:p>
    <w:p w14:paraId="0B5E5392" w14:textId="77777777" w:rsidR="003C25B4" w:rsidRPr="006C34DD" w:rsidRDefault="003C25B4" w:rsidP="003C25B4">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593A5F">
        <w:rPr>
          <w:rFonts w:ascii="Verdana" w:eastAsia="Calibri" w:hAnsi="Verdana" w:cs="Arial"/>
          <w:color w:val="000000" w:themeColor="text1"/>
          <w:lang w:val="es-ES" w:eastAsia="es-ES"/>
        </w:rPr>
        <w:t xml:space="preserve"> </w:t>
      </w:r>
      <w:r w:rsidRPr="006C34DD">
        <w:rPr>
          <w:rFonts w:ascii="Verdana" w:eastAsia="Calibri" w:hAnsi="Verdana" w:cs="Arial"/>
          <w:lang w:val="es-ES" w:eastAsia="es-ES"/>
        </w:rPr>
        <w:t xml:space="preserve">señora Huertas: </w:t>
      </w:r>
    </w:p>
    <w:p w14:paraId="3CB8B9F1" w14:textId="77777777" w:rsidR="003C25B4" w:rsidRDefault="003C25B4" w:rsidP="003C25B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5C22B58" w14:textId="77777777" w:rsidR="003C25B4" w:rsidRPr="00593A5F" w:rsidRDefault="003C25B4" w:rsidP="003C25B4">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6C34DD">
        <w:rPr>
          <w:rFonts w:ascii="Verdana" w:eastAsia="Calibri" w:hAnsi="Verdana" w:cs="Arial"/>
          <w:lang w:val="es-ES" w:eastAsia="es-ES"/>
        </w:rPr>
        <w:t>fecha 28 de febrero de 2025, en la cual manifiesta lo siguiente</w:t>
      </w:r>
      <w:r w:rsidRPr="005233F3">
        <w:rPr>
          <w:rFonts w:ascii="Verdana" w:eastAsia="Calibri" w:hAnsi="Verdana" w:cs="Arial"/>
          <w:color w:val="7030A0"/>
          <w:lang w:val="es-ES" w:eastAsia="es-ES"/>
        </w:rPr>
        <w:t xml:space="preserve">: </w:t>
      </w:r>
    </w:p>
    <w:p w14:paraId="55058BCF" w14:textId="77777777" w:rsidR="003C25B4" w:rsidRPr="006C34DD" w:rsidRDefault="003C25B4" w:rsidP="00ED2333">
      <w:pPr>
        <w:pStyle w:val="Default"/>
        <w:spacing w:line="276" w:lineRule="auto"/>
        <w:rPr>
          <w:rFonts w:ascii="Times New Roman" w:hAnsi="Times New Roman" w:cs="Times New Roman"/>
        </w:rPr>
      </w:pPr>
    </w:p>
    <w:p w14:paraId="50D170EB" w14:textId="279B552D" w:rsidR="003C25B4" w:rsidRPr="006C34DD" w:rsidRDefault="003C25B4" w:rsidP="003C25B4">
      <w:pPr>
        <w:spacing w:after="0" w:line="240" w:lineRule="auto"/>
        <w:ind w:left="709" w:right="709"/>
        <w:jc w:val="both"/>
        <w:rPr>
          <w:rFonts w:ascii="Verdana" w:eastAsia="Century Gothic" w:hAnsi="Verdana" w:cs="Century Gothic"/>
          <w:color w:val="7030A0"/>
          <w:sz w:val="20"/>
          <w:szCs w:val="20"/>
          <w:lang w:val="es-ES"/>
        </w:rPr>
      </w:pPr>
      <w:r w:rsidRPr="006C34DD">
        <w:rPr>
          <w:rFonts w:ascii="Verdana" w:hAnsi="Verdana" w:cs="Times New Roman"/>
          <w:color w:val="000000"/>
          <w:sz w:val="20"/>
          <w:szCs w:val="20"/>
        </w:rPr>
        <w:t>“Por medio del presente y de manera respetuosa, solicito se conceptúe si un abogado sancionado con censura se encuentra impedido o no para firmar contrato de prestación de servicios en calidad de abogado”</w:t>
      </w:r>
      <w:r w:rsidR="00E315CE">
        <w:rPr>
          <w:rFonts w:ascii="Verdana" w:hAnsi="Verdana" w:cs="Times New Roman"/>
          <w:color w:val="000000"/>
          <w:sz w:val="20"/>
          <w:szCs w:val="20"/>
        </w:rPr>
        <w:t>.</w:t>
      </w:r>
    </w:p>
    <w:p w14:paraId="0DE5D6B8" w14:textId="77777777" w:rsidR="003C25B4" w:rsidRPr="00593A5F" w:rsidRDefault="003C25B4" w:rsidP="00ED2333">
      <w:pPr>
        <w:pStyle w:val="Prrafodelista"/>
        <w:tabs>
          <w:tab w:val="left" w:pos="142"/>
          <w:tab w:val="left" w:pos="284"/>
        </w:tabs>
        <w:spacing w:after="0" w:line="276" w:lineRule="auto"/>
        <w:ind w:left="0"/>
        <w:jc w:val="both"/>
        <w:rPr>
          <w:rFonts w:ascii="Verdana" w:eastAsia="Century Gothic" w:hAnsi="Verdana" w:cs="Century Gothic"/>
          <w:b/>
          <w:bCs/>
        </w:rPr>
      </w:pPr>
    </w:p>
    <w:p w14:paraId="456B012C" w14:textId="77777777" w:rsidR="003C25B4" w:rsidRDefault="003C25B4" w:rsidP="003C25B4">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593A5F">
        <w:rPr>
          <w:rFonts w:ascii="Verdana" w:eastAsia="Calibri" w:hAnsi="Verdana" w:cs="Arial"/>
          <w:color w:val="000000"/>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518D4E5" w14:textId="77777777" w:rsidR="003C25B4" w:rsidRDefault="003C25B4" w:rsidP="003C25B4">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14AC1BDA" w14:textId="77777777" w:rsidR="003C25B4" w:rsidRPr="00593A5F" w:rsidRDefault="003C25B4" w:rsidP="003C25B4">
      <w:pPr>
        <w:spacing w:after="0" w:line="276" w:lineRule="auto"/>
        <w:ind w:firstLine="709"/>
        <w:jc w:val="both"/>
        <w:rPr>
          <w:rFonts w:ascii="Verdana" w:eastAsia="Calibri" w:hAnsi="Verdana" w:cs="Arial"/>
          <w:color w:val="000000"/>
          <w:lang w:val="es-ES" w:eastAsia="es-ES"/>
        </w:rPr>
      </w:pPr>
    </w:p>
    <w:p w14:paraId="29B538B0" w14:textId="77777777" w:rsidR="003C25B4" w:rsidRPr="00593A5F" w:rsidRDefault="003C25B4" w:rsidP="00E315C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 planteado:</w:t>
      </w:r>
    </w:p>
    <w:p w14:paraId="284C7E26" w14:textId="77777777" w:rsidR="003C25B4" w:rsidRPr="00593A5F" w:rsidRDefault="003C25B4" w:rsidP="003C25B4">
      <w:pPr>
        <w:tabs>
          <w:tab w:val="left" w:pos="426"/>
        </w:tabs>
        <w:spacing w:after="0" w:line="276" w:lineRule="auto"/>
        <w:jc w:val="both"/>
        <w:rPr>
          <w:rFonts w:ascii="Verdana" w:eastAsia="Century Gothic" w:hAnsi="Verdana" w:cs="Century Gothic"/>
          <w:lang w:val="es-ES"/>
        </w:rPr>
      </w:pPr>
    </w:p>
    <w:p w14:paraId="199032DA" w14:textId="0D1F56CC" w:rsidR="003C25B4" w:rsidRPr="00593A5F" w:rsidRDefault="003C25B4" w:rsidP="003C25B4">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 jurídico:</w:t>
      </w:r>
      <w:r>
        <w:rPr>
          <w:rFonts w:ascii="Verdana" w:eastAsia="Century Gothic" w:hAnsi="Verdana" w:cs="Century Gothic"/>
        </w:rPr>
        <w:t xml:space="preserve"> ¿la sanción de censura impuesta a un abogado constituye una inhabilidad o impedimento para </w:t>
      </w:r>
      <w:r w:rsidR="00C76DE9">
        <w:rPr>
          <w:rFonts w:ascii="Verdana" w:eastAsia="Century Gothic" w:hAnsi="Verdana" w:cs="Century Gothic"/>
        </w:rPr>
        <w:t>suscribir</w:t>
      </w:r>
      <w:r>
        <w:rPr>
          <w:rFonts w:ascii="Verdana" w:eastAsia="Century Gothic" w:hAnsi="Verdana" w:cs="Century Gothic"/>
        </w:rPr>
        <w:t xml:space="preserve"> un contrato de prestación de servicios con entidades estatales en calidad de abogado?</w:t>
      </w:r>
    </w:p>
    <w:p w14:paraId="4BFB8DC4" w14:textId="77777777" w:rsidR="003C25B4" w:rsidRPr="00593A5F" w:rsidRDefault="003C25B4" w:rsidP="003C25B4">
      <w:pPr>
        <w:spacing w:after="0" w:line="276" w:lineRule="auto"/>
        <w:jc w:val="both"/>
        <w:rPr>
          <w:rFonts w:ascii="Verdana" w:eastAsia="Calibri" w:hAnsi="Verdana" w:cs="Arial"/>
          <w:color w:val="7030A0"/>
          <w:lang w:val="es-ES"/>
        </w:rPr>
      </w:pPr>
    </w:p>
    <w:p w14:paraId="0C7A775E" w14:textId="77777777" w:rsidR="003C25B4" w:rsidRPr="00593A5F" w:rsidRDefault="003C25B4" w:rsidP="003C25B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141F87C" w14:textId="77777777" w:rsidR="003C25B4" w:rsidRPr="00593A5F" w:rsidRDefault="003C25B4" w:rsidP="003C25B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C25B4" w:rsidRPr="00593A5F" w14:paraId="22F6F1F1" w14:textId="77777777" w:rsidTr="0052103A">
        <w:tc>
          <w:tcPr>
            <w:tcW w:w="8828" w:type="dxa"/>
            <w:shd w:val="clear" w:color="auto" w:fill="auto"/>
          </w:tcPr>
          <w:p w14:paraId="6AE694BF" w14:textId="029347C0" w:rsidR="003C25B4" w:rsidRDefault="004F75B4" w:rsidP="00ED2333">
            <w:pPr>
              <w:widowControl w:val="0"/>
              <w:autoSpaceDE w:val="0"/>
              <w:autoSpaceDN w:val="0"/>
              <w:spacing w:after="120" w:line="276" w:lineRule="auto"/>
              <w:jc w:val="both"/>
              <w:rPr>
                <w:rFonts w:ascii="Verdana" w:eastAsia="Calibri" w:hAnsi="Verdana" w:cs="Arial"/>
                <w:lang w:eastAsia="es-ES"/>
              </w:rPr>
            </w:pPr>
            <w:r w:rsidRPr="6042873E">
              <w:rPr>
                <w:rFonts w:ascii="Verdana" w:eastAsia="Calibri" w:hAnsi="Verdana" w:cs="Arial"/>
                <w:color w:val="000000" w:themeColor="text1"/>
                <w:lang w:val="es-ES" w:eastAsia="es-ES"/>
              </w:rPr>
              <w:t xml:space="preserve">En torno al problema jurídico, objeto de la consulta, se señala </w:t>
            </w:r>
            <w:r w:rsidR="003C25B4" w:rsidRPr="00BE021E">
              <w:rPr>
                <w:rFonts w:ascii="Verdana" w:hAnsi="Verdana" w:cs="Arial"/>
              </w:rPr>
              <w:t>que la censura es una sanción disciplinaria a las faltas disciplinarias imputables a los abogados cuya lesividad es de menor entidad</w:t>
            </w:r>
            <w:r w:rsidR="003C25B4">
              <w:rPr>
                <w:rFonts w:ascii="Verdana" w:hAnsi="Verdana" w:cs="Arial"/>
              </w:rPr>
              <w:t xml:space="preserve">, y </w:t>
            </w:r>
            <w:r w:rsidR="003C25B4" w:rsidRPr="00BE021E">
              <w:rPr>
                <w:rFonts w:ascii="Verdana" w:hAnsi="Verdana" w:cs="Arial"/>
              </w:rPr>
              <w:t xml:space="preserve">corresponde a la reprobación pública del abogado por la falta cometida </w:t>
            </w:r>
            <w:r w:rsidR="003C25B4">
              <w:rPr>
                <w:rFonts w:ascii="Verdana" w:hAnsi="Verdana" w:cs="Arial"/>
              </w:rPr>
              <w:t xml:space="preserve">según el artículo 41 de la Ley 1123 de 2007 – Código Disciplinario del Abogado-. Ahora bien, </w:t>
            </w:r>
            <w:r w:rsidR="003C25B4" w:rsidRPr="00BE021E">
              <w:rPr>
                <w:rFonts w:ascii="Verdana" w:hAnsi="Verdana" w:cs="Arial"/>
              </w:rPr>
              <w:t>como puede observarse en la norma, esta no implica la suspensión o prohibición del ejercicio de la profesión</w:t>
            </w:r>
            <w:r w:rsidR="003C25B4">
              <w:rPr>
                <w:rFonts w:ascii="Verdana" w:hAnsi="Verdana" w:cs="Arial"/>
              </w:rPr>
              <w:t xml:space="preserve">. De hecho, </w:t>
            </w:r>
            <w:r w:rsidR="003C25B4" w:rsidRPr="00BE021E">
              <w:rPr>
                <w:rFonts w:ascii="Verdana" w:eastAsia="Calibri" w:hAnsi="Verdana" w:cs="Arial"/>
                <w:lang w:eastAsia="es-ES"/>
              </w:rPr>
              <w:t xml:space="preserve">respecto a esta sanción el numeral 2) del literal b) del artículo 45 </w:t>
            </w:r>
            <w:proofErr w:type="spellStart"/>
            <w:r w:rsidR="003C25B4" w:rsidRPr="00BE021E">
              <w:rPr>
                <w:rFonts w:ascii="Verdana" w:eastAsia="Calibri" w:hAnsi="Verdana" w:cs="Arial"/>
                <w:lang w:eastAsia="es-ES"/>
              </w:rPr>
              <w:t>ibídem</w:t>
            </w:r>
            <w:proofErr w:type="spellEnd"/>
            <w:r w:rsidR="003C25B4" w:rsidRPr="00BE021E">
              <w:rPr>
                <w:rFonts w:ascii="Verdana" w:eastAsia="Calibri" w:hAnsi="Verdana" w:cs="Arial"/>
                <w:lang w:eastAsia="es-ES"/>
              </w:rPr>
              <w:t>, contempla como circunstancia de atenuación el haber procurado, por iniciativa propia, resarcir el daño o compensar el perjuicio causado. La concurrencia de tal circunstancia implica que la sanción aplicable sea siempre la censura, con la condición que el investigado carezca de antecedentes disciplinarios.</w:t>
            </w:r>
          </w:p>
          <w:p w14:paraId="39A991F4" w14:textId="77777777" w:rsidR="003C25B4" w:rsidRDefault="003C25B4" w:rsidP="00ED2333">
            <w:pPr>
              <w:widowControl w:val="0"/>
              <w:autoSpaceDE w:val="0"/>
              <w:autoSpaceDN w:val="0"/>
              <w:spacing w:after="120" w:line="276" w:lineRule="auto"/>
              <w:ind w:firstLine="708"/>
              <w:jc w:val="both"/>
              <w:rPr>
                <w:rFonts w:ascii="Verdana" w:eastAsia="Calibri" w:hAnsi="Verdana" w:cs="Arial"/>
                <w:lang w:eastAsia="es-ES"/>
              </w:rPr>
            </w:pPr>
            <w:r w:rsidRPr="00BE021E">
              <w:rPr>
                <w:rFonts w:ascii="Verdana" w:eastAsia="Calibri" w:hAnsi="Verdana" w:cs="Arial"/>
                <w:lang w:eastAsia="es-ES"/>
              </w:rPr>
              <w:t xml:space="preserve"> En tal sentido, es importante precisar que el artículo 29, numeral 4° de la Ley 1123 de 2007 que regula las incompatibilidades para ejercer la abogacía, dispone que no pueden ejercer la profesión de abogado cuando sean suspendidos o excluidos, esto es, que la sanción haya sido la suspensión o la </w:t>
            </w:r>
            <w:r w:rsidRPr="00BE021E">
              <w:rPr>
                <w:rFonts w:ascii="Verdana" w:eastAsia="Calibri" w:hAnsi="Verdana" w:cs="Arial"/>
                <w:lang w:eastAsia="es-ES"/>
              </w:rPr>
              <w:lastRenderedPageBreak/>
              <w:t xml:space="preserve">exclusión, contemplados en los artículos 44 y 45 respectivamente de la precitada Ley. De este modo, puede inferirse de la Ley 1123 de 2007 –Código Disciplinario del Abogado- que la censura no contempla como sanción la suspensión o exclusión, lo cual no implica, en principio, una restricción </w:t>
            </w:r>
            <w:r>
              <w:rPr>
                <w:rFonts w:ascii="Verdana" w:eastAsia="Calibri" w:hAnsi="Verdana" w:cs="Arial"/>
                <w:lang w:eastAsia="es-ES"/>
              </w:rPr>
              <w:t xml:space="preserve">o afectación de la capacidad </w:t>
            </w:r>
            <w:r w:rsidRPr="00BE021E">
              <w:rPr>
                <w:rFonts w:ascii="Verdana" w:eastAsia="Calibri" w:hAnsi="Verdana" w:cs="Arial"/>
                <w:lang w:eastAsia="es-ES"/>
              </w:rPr>
              <w:t xml:space="preserve">para celebrar un contrato de prestación de servicios profesionales con una entidad estatal, aclarando en todo caso que es al fallador del proceso disciplinario correspondiente previa aplicación del debido proceso definir la sanción a aplicar de conformidad con la ley. </w:t>
            </w:r>
          </w:p>
          <w:p w14:paraId="752FD02D" w14:textId="77777777" w:rsidR="003C25B4" w:rsidRDefault="003C25B4" w:rsidP="00ED2333">
            <w:pPr>
              <w:widowControl w:val="0"/>
              <w:autoSpaceDE w:val="0"/>
              <w:autoSpaceDN w:val="0"/>
              <w:spacing w:after="120" w:line="276" w:lineRule="auto"/>
              <w:ind w:firstLine="708"/>
              <w:jc w:val="both"/>
              <w:rPr>
                <w:rFonts w:ascii="Verdana" w:eastAsia="Calibri" w:hAnsi="Verdana" w:cs="Arial"/>
                <w:lang w:val="es-ES"/>
              </w:rPr>
            </w:pPr>
            <w:r>
              <w:rPr>
                <w:rFonts w:ascii="Verdana" w:eastAsia="Calibri" w:hAnsi="Verdana" w:cs="Arial"/>
                <w:lang w:eastAsia="es-ES"/>
              </w:rPr>
              <w:t xml:space="preserve">En relación con el régimen de inhabilidades e incompatibilidades en contratación estatal, </w:t>
            </w:r>
            <w:r w:rsidRPr="00BE021E">
              <w:rPr>
                <w:rFonts w:ascii="Verdana" w:eastAsia="Calibri" w:hAnsi="Verdana" w:cs="Arial"/>
                <w:lang w:val="es-ES"/>
              </w:rPr>
              <w:t>este se tipifica en la Ley expresamente y su interpretación debe ser restrictiva. Es decir, las causales de inhabilidad e impedimentos deben estar enunciadas en las normas de forma taxativa y al aplicarse en una situación particular su interpretación debe ser restrictiva, de tal forma que no se admita una interpretación amplia o extensiva que permitiera contemplar supuestos indeterminados como causales de inhabilidad o impedimentos.</w:t>
            </w:r>
            <w:r>
              <w:rPr>
                <w:rFonts w:ascii="Verdana" w:eastAsia="Calibri" w:hAnsi="Verdana" w:cs="Arial"/>
                <w:lang w:val="es-ES"/>
              </w:rPr>
              <w:t xml:space="preserve"> Por lo que, la interpretación de los efectos de la suspensión o exclusión del ejercicio de la profesión no puede hacerse extensiva a otras sanciones que no estén expresamente establecidas en la norma. </w:t>
            </w:r>
          </w:p>
          <w:p w14:paraId="15B384B6" w14:textId="21B24A37" w:rsidR="003C25B4" w:rsidRPr="00593A5F" w:rsidRDefault="003C25B4" w:rsidP="001268BD">
            <w:pPr>
              <w:widowControl w:val="0"/>
              <w:autoSpaceDE w:val="0"/>
              <w:autoSpaceDN w:val="0"/>
              <w:spacing w:line="276" w:lineRule="auto"/>
              <w:ind w:firstLine="708"/>
              <w:jc w:val="both"/>
              <w:rPr>
                <w:rFonts w:ascii="Verdana" w:eastAsia="Calibri" w:hAnsi="Verdana" w:cs="Arial"/>
                <w:color w:val="7030A0"/>
                <w:lang w:val="es-ES"/>
              </w:rPr>
            </w:pPr>
            <w:r w:rsidRPr="00BE021E">
              <w:rPr>
                <w:rFonts w:ascii="Verdana" w:hAnsi="Verdana" w:cs="Arial"/>
              </w:rPr>
              <w:t xml:space="preserve">Por último, teniendo en cuenta que la consulta hace referencia a los contratos de prestación de servicios, se considera relevante señalar la obligación de las entidades estatales de verificar la idoneidad de las personas con las que se celebrará este tipo de contratos </w:t>
            </w:r>
            <w:r w:rsidRPr="00BE021E">
              <w:rPr>
                <w:rFonts w:ascii="Verdana" w:eastAsia="Calibri" w:hAnsi="Verdana" w:cs="Arial"/>
              </w:rPr>
              <w:t>establecida en el artículo 2.2.1.2.1.4.9 del Decreto 1082 de 2015</w:t>
            </w:r>
            <w:r>
              <w:rPr>
                <w:rFonts w:ascii="Verdana" w:eastAsia="Calibri" w:hAnsi="Verdana" w:cs="Arial"/>
              </w:rPr>
              <w:t>.</w:t>
            </w:r>
          </w:p>
        </w:tc>
      </w:tr>
    </w:tbl>
    <w:p w14:paraId="76AC6A63" w14:textId="77777777" w:rsidR="003C25B4" w:rsidRPr="00593A5F" w:rsidRDefault="003C25B4" w:rsidP="003C25B4">
      <w:pPr>
        <w:tabs>
          <w:tab w:val="left" w:pos="142"/>
          <w:tab w:val="left" w:pos="284"/>
        </w:tabs>
        <w:spacing w:after="0" w:line="276" w:lineRule="auto"/>
        <w:jc w:val="both"/>
        <w:rPr>
          <w:rFonts w:ascii="Verdana" w:eastAsia="Century Gothic" w:hAnsi="Verdana" w:cs="Century Gothic"/>
          <w:b/>
          <w:bCs/>
          <w:lang w:val="es-ES"/>
        </w:rPr>
      </w:pPr>
    </w:p>
    <w:p w14:paraId="4F7A4EE0" w14:textId="77777777" w:rsidR="003C25B4" w:rsidRPr="00593A5F" w:rsidRDefault="003C25B4" w:rsidP="003C25B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230CB68" w14:textId="77777777" w:rsidR="003C25B4" w:rsidRPr="00593A5F" w:rsidRDefault="003C25B4" w:rsidP="003C25B4">
      <w:pPr>
        <w:spacing w:after="0" w:line="276" w:lineRule="auto"/>
        <w:jc w:val="both"/>
        <w:rPr>
          <w:rFonts w:ascii="Verdana" w:eastAsia="Calibri" w:hAnsi="Verdana" w:cs="Arial"/>
          <w:color w:val="7030A0"/>
          <w:lang w:val="es-ES"/>
        </w:rPr>
      </w:pPr>
    </w:p>
    <w:p w14:paraId="44F81B10" w14:textId="77777777" w:rsidR="003C25B4" w:rsidRPr="00B96799" w:rsidRDefault="003C25B4" w:rsidP="003C25B4">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7D331D2F" w14:textId="77777777" w:rsidR="003C25B4" w:rsidRDefault="003C25B4" w:rsidP="003C25B4">
      <w:pPr>
        <w:widowControl w:val="0"/>
        <w:autoSpaceDE w:val="0"/>
        <w:autoSpaceDN w:val="0"/>
        <w:spacing w:after="0" w:line="276" w:lineRule="auto"/>
        <w:jc w:val="both"/>
        <w:rPr>
          <w:rFonts w:ascii="Verdana" w:eastAsia="Calibri" w:hAnsi="Verdana" w:cs="Arial"/>
          <w:color w:val="7030A0"/>
          <w:lang w:val="es-ES"/>
        </w:rPr>
      </w:pPr>
    </w:p>
    <w:p w14:paraId="1318C434" w14:textId="206E4537" w:rsidR="003C25B4" w:rsidRPr="001268BD" w:rsidRDefault="003C25B4" w:rsidP="001268BD">
      <w:pPr>
        <w:widowControl w:val="0"/>
        <w:autoSpaceDE w:val="0"/>
        <w:autoSpaceDN w:val="0"/>
        <w:spacing w:after="120" w:line="276" w:lineRule="auto"/>
        <w:jc w:val="both"/>
        <w:rPr>
          <w:rFonts w:ascii="Verdana" w:eastAsia="Calibri" w:hAnsi="Verdana" w:cs="Arial"/>
          <w:lang w:val="es-ES"/>
        </w:rPr>
      </w:pPr>
      <w:r w:rsidRPr="00BE021E">
        <w:rPr>
          <w:rFonts w:ascii="Verdana" w:eastAsia="Calibri" w:hAnsi="Verdana" w:cs="Arial"/>
          <w:lang w:val="es-ES"/>
        </w:rPr>
        <w:t>Para determinar si la censura es una posible causal de inhabilidad o impedimento para celebrar un contrato de prestación de servicios, sea lo primero analizar su naturaleza jurídica. En el Código Disciplinario del Abogado – Ley 1123 de 2007 – se establece expresamente en su artículo 41 la censura como una sanción disciplinaria</w:t>
      </w:r>
      <w:r>
        <w:rPr>
          <w:rFonts w:ascii="Verdana" w:eastAsia="Calibri" w:hAnsi="Verdana" w:cs="Arial"/>
          <w:lang w:val="es-ES"/>
        </w:rPr>
        <w:t xml:space="preserve"> que</w:t>
      </w:r>
      <w:r w:rsidR="00917F3B" w:rsidRPr="001268BD">
        <w:rPr>
          <w:rFonts w:ascii="Verdana" w:hAnsi="Verdana" w:cs="Open Sans"/>
        </w:rPr>
        <w:t xml:space="preserve"> “</w:t>
      </w:r>
      <w:r w:rsidRPr="001268BD">
        <w:rPr>
          <w:rFonts w:ascii="Verdana" w:hAnsi="Verdana" w:cs="Open Sans"/>
        </w:rPr>
        <w:t>Consiste en la reprobación pública que se hace al infractor por la falta cometida</w:t>
      </w:r>
      <w:r w:rsidR="00917F3B" w:rsidRPr="001268BD">
        <w:rPr>
          <w:rFonts w:ascii="Verdana" w:hAnsi="Verdana" w:cs="Open Sans"/>
        </w:rPr>
        <w:t>”</w:t>
      </w:r>
      <w:r w:rsidR="00C61CE0" w:rsidRPr="001268BD">
        <w:rPr>
          <w:rFonts w:ascii="Verdana" w:hAnsi="Verdana" w:cs="Open Sans"/>
        </w:rPr>
        <w:t xml:space="preserve">. </w:t>
      </w:r>
    </w:p>
    <w:p w14:paraId="382BABA0" w14:textId="77777777" w:rsidR="003C25B4" w:rsidRPr="00BE021E" w:rsidRDefault="003C25B4" w:rsidP="003C25B4">
      <w:pPr>
        <w:widowControl w:val="0"/>
        <w:autoSpaceDE w:val="0"/>
        <w:autoSpaceDN w:val="0"/>
        <w:spacing w:after="0" w:line="276" w:lineRule="auto"/>
        <w:jc w:val="both"/>
        <w:rPr>
          <w:rFonts w:ascii="Verdana" w:eastAsia="Calibri" w:hAnsi="Verdana" w:cs="Arial"/>
          <w:lang w:val="es-ES"/>
        </w:rPr>
      </w:pPr>
    </w:p>
    <w:p w14:paraId="7E63DD75" w14:textId="77777777" w:rsidR="003C25B4" w:rsidRPr="00BE021E" w:rsidRDefault="003C25B4" w:rsidP="003C25B4">
      <w:pPr>
        <w:widowControl w:val="0"/>
        <w:autoSpaceDE w:val="0"/>
        <w:autoSpaceDN w:val="0"/>
        <w:spacing w:after="0" w:line="276" w:lineRule="auto"/>
        <w:jc w:val="both"/>
        <w:rPr>
          <w:rFonts w:ascii="Verdana" w:eastAsia="Calibri" w:hAnsi="Verdana" w:cs="Arial"/>
          <w:lang w:val="es-ES"/>
        </w:rPr>
      </w:pPr>
      <w:r w:rsidRPr="00BE021E">
        <w:rPr>
          <w:rFonts w:ascii="Verdana" w:eastAsia="Calibri" w:hAnsi="Verdana" w:cs="Arial"/>
          <w:lang w:val="es-ES"/>
        </w:rPr>
        <w:tab/>
        <w:t xml:space="preserve">Al analizar la constitucionalidad del sistema de sanciones que establece </w:t>
      </w:r>
      <w:r w:rsidRPr="00BE021E">
        <w:rPr>
          <w:rFonts w:ascii="Verdana" w:eastAsia="Calibri" w:hAnsi="Verdana" w:cs="Arial"/>
          <w:lang w:val="es-ES"/>
        </w:rPr>
        <w:lastRenderedPageBreak/>
        <w:t>dicho Código, la Corte Constitucional señaló que:</w:t>
      </w:r>
    </w:p>
    <w:p w14:paraId="5833C485" w14:textId="77777777" w:rsidR="003C25B4" w:rsidRPr="00BE021E" w:rsidRDefault="003C25B4" w:rsidP="003C25B4">
      <w:pPr>
        <w:widowControl w:val="0"/>
        <w:autoSpaceDE w:val="0"/>
        <w:autoSpaceDN w:val="0"/>
        <w:spacing w:after="0" w:line="276" w:lineRule="auto"/>
        <w:jc w:val="both"/>
        <w:rPr>
          <w:rFonts w:ascii="Verdana" w:eastAsia="Calibri" w:hAnsi="Verdana" w:cs="Arial"/>
          <w:lang w:val="es-ES"/>
        </w:rPr>
      </w:pPr>
    </w:p>
    <w:p w14:paraId="5506F543" w14:textId="77777777" w:rsidR="003C25B4" w:rsidRPr="00BE021E" w:rsidRDefault="003C25B4" w:rsidP="00C61CE0">
      <w:pPr>
        <w:pStyle w:val="NormalWeb"/>
        <w:spacing w:before="0" w:beforeAutospacing="0" w:after="0" w:afterAutospacing="0" w:line="270" w:lineRule="atLeast"/>
        <w:ind w:left="708" w:right="709" w:firstLine="2"/>
        <w:jc w:val="both"/>
        <w:rPr>
          <w:rFonts w:ascii="Verdana" w:hAnsi="Verdana" w:cs="Open Sans"/>
          <w:sz w:val="20"/>
          <w:szCs w:val="20"/>
        </w:rPr>
      </w:pPr>
      <w:r w:rsidRPr="00BE021E">
        <w:rPr>
          <w:rFonts w:ascii="Verdana" w:hAnsi="Verdana" w:cs="Open Sans"/>
          <w:sz w:val="20"/>
          <w:szCs w:val="20"/>
        </w:rPr>
        <w:t>Teniendo en cuenta que el legislador delimitó de manera taxativa la clase de sanciones que es posible imponer, describiendo cada una de ellas y sometiéndolas a un límite temporal</w:t>
      </w:r>
      <w:bookmarkStart w:id="1" w:name="ref_endnote_53"/>
      <w:bookmarkEnd w:id="1"/>
      <w:r w:rsidRPr="00BE021E">
        <w:rPr>
          <w:rFonts w:ascii="Verdana" w:hAnsi="Verdana" w:cs="Open Sans"/>
          <w:sz w:val="20"/>
          <w:szCs w:val="20"/>
        </w:rPr>
        <w:t>[53]; que proporcionó unos criterios de graduación (Art. 45) que vinculan a la autoridad competente; que condicionó la imposición de una sanción a la infracción injustificada de alguno de los deberes previstos en el estatuto (arts. 4º y 28); que estableció como guías inexcusables del proceso de individualización de la sanción los principios de razonabilidad y proporcionalidad, y que impuso la necesidad de motivación de la dosificación sancionatoria , es posible afirmar que el legislador proporcionó un marco de referencia que se aviene a la razonable flexibilización que se le ha reconocido al principio de legalidad en el ámbito disciplinario.</w:t>
      </w:r>
    </w:p>
    <w:p w14:paraId="5313943F" w14:textId="77777777" w:rsidR="00C61CE0" w:rsidRPr="00BE021E" w:rsidRDefault="00C61CE0" w:rsidP="001268BD">
      <w:pPr>
        <w:pStyle w:val="NormalWeb"/>
        <w:spacing w:before="0" w:beforeAutospacing="0" w:after="0" w:afterAutospacing="0" w:line="270" w:lineRule="atLeast"/>
        <w:ind w:left="708" w:right="709" w:firstLine="2"/>
        <w:jc w:val="both"/>
        <w:rPr>
          <w:rFonts w:ascii="Verdana" w:hAnsi="Verdana" w:cs="Open Sans"/>
          <w:sz w:val="20"/>
          <w:szCs w:val="20"/>
        </w:rPr>
      </w:pPr>
    </w:p>
    <w:p w14:paraId="06FBE81B" w14:textId="77777777" w:rsidR="003C25B4" w:rsidRPr="00BE021E" w:rsidRDefault="003C25B4" w:rsidP="00C61CE0">
      <w:pPr>
        <w:spacing w:after="0" w:line="270" w:lineRule="atLeast"/>
        <w:ind w:left="708" w:right="709"/>
        <w:jc w:val="both"/>
        <w:rPr>
          <w:rFonts w:ascii="Verdana" w:eastAsia="Times New Roman" w:hAnsi="Verdana" w:cs="Open Sans"/>
          <w:sz w:val="20"/>
          <w:szCs w:val="20"/>
          <w:lang w:eastAsia="es-CO"/>
        </w:rPr>
      </w:pPr>
      <w:r w:rsidRPr="00BE021E">
        <w:rPr>
          <w:rFonts w:ascii="Verdana" w:eastAsia="Times New Roman" w:hAnsi="Verdana" w:cs="Open Sans"/>
          <w:sz w:val="20"/>
          <w:szCs w:val="20"/>
          <w:lang w:eastAsia="es-CO"/>
        </w:rPr>
        <w:t>El margen de discrecionalidad que el legislador asigna a la autoridad disciplinaria para la individualización de la sanción se encuentra limitado así por la taxativa consagración de los tipos de sanciones permitidas; el suministro de unos criterios objetivos generales, de agravación y de atenuación de la sanción (Art.45); la vinculación explícita del funcionario a los criterios de razonabilidad y proporcionalidad; y por los controles establecidos al interior del mismo proceso frente a una eventual decisión sancionatoria (la doble instancia Arts. 55 y 59).</w:t>
      </w:r>
      <w:r w:rsidRPr="00BE021E">
        <w:rPr>
          <w:rStyle w:val="Refdenotaalpie"/>
          <w:rFonts w:ascii="Verdana" w:eastAsia="Times New Roman" w:hAnsi="Verdana" w:cs="Open Sans"/>
          <w:sz w:val="20"/>
          <w:szCs w:val="20"/>
          <w:lang w:eastAsia="es-CO"/>
        </w:rPr>
        <w:footnoteReference w:id="2"/>
      </w:r>
    </w:p>
    <w:p w14:paraId="01ECFC7F" w14:textId="77777777" w:rsidR="00C61CE0" w:rsidRPr="001268BD" w:rsidRDefault="00C61CE0" w:rsidP="001268BD">
      <w:pPr>
        <w:spacing w:after="0" w:line="276" w:lineRule="auto"/>
        <w:ind w:left="709" w:right="709"/>
        <w:jc w:val="both"/>
        <w:rPr>
          <w:rFonts w:ascii="Verdana" w:eastAsia="Times New Roman" w:hAnsi="Verdana" w:cs="Open Sans"/>
          <w:lang w:eastAsia="es-CO"/>
        </w:rPr>
      </w:pPr>
    </w:p>
    <w:p w14:paraId="09040258" w14:textId="77777777" w:rsidR="003C25B4" w:rsidRPr="00BE021E" w:rsidRDefault="003C25B4" w:rsidP="003C25B4">
      <w:pPr>
        <w:widowControl w:val="0"/>
        <w:autoSpaceDE w:val="0"/>
        <w:autoSpaceDN w:val="0"/>
        <w:spacing w:after="0" w:line="276" w:lineRule="auto"/>
        <w:jc w:val="both"/>
        <w:rPr>
          <w:rFonts w:ascii="Verdana" w:hAnsi="Verdana" w:cs="Arial"/>
        </w:rPr>
      </w:pPr>
      <w:r w:rsidRPr="00BE021E">
        <w:rPr>
          <w:rFonts w:ascii="Verdana" w:hAnsi="Verdana" w:cs="Arial"/>
        </w:rPr>
        <w:tab/>
        <w:t>De lo anterior, se resalta entonces que la censura como sanción disciplinaria se impone como resultado de un proceso disciplinario, en el que la autoridad competente debe motivar su decisión y la dosificación sancionatoria atendiendo a los criterios de razonabilidad y proporcionalidad, así como de graduación, individualizando la sanción correspondiente a la infracción cometida por el disciplinado. Sobre este tema, la Corte Constitucional ha aclarado que:</w:t>
      </w:r>
    </w:p>
    <w:p w14:paraId="79DA95B9" w14:textId="77777777" w:rsidR="003C25B4" w:rsidRPr="00BE021E" w:rsidRDefault="003C25B4" w:rsidP="003C25B4">
      <w:pPr>
        <w:widowControl w:val="0"/>
        <w:autoSpaceDE w:val="0"/>
        <w:autoSpaceDN w:val="0"/>
        <w:spacing w:after="0" w:line="276" w:lineRule="auto"/>
        <w:jc w:val="both"/>
        <w:rPr>
          <w:rFonts w:ascii="Verdana" w:hAnsi="Verdana" w:cs="Arial"/>
        </w:rPr>
      </w:pPr>
    </w:p>
    <w:p w14:paraId="51AEDD68" w14:textId="77777777" w:rsidR="003C25B4" w:rsidRPr="000E112E" w:rsidRDefault="003C25B4" w:rsidP="001268BD">
      <w:pPr>
        <w:widowControl w:val="0"/>
        <w:autoSpaceDE w:val="0"/>
        <w:autoSpaceDN w:val="0"/>
        <w:spacing w:after="0" w:line="240" w:lineRule="auto"/>
        <w:ind w:left="708" w:right="709" w:firstLine="2"/>
        <w:jc w:val="both"/>
        <w:rPr>
          <w:rFonts w:ascii="Verdana" w:hAnsi="Verdana" w:cs="Arial"/>
          <w:sz w:val="20"/>
          <w:szCs w:val="20"/>
        </w:rPr>
      </w:pPr>
      <w:r w:rsidRPr="000E112E">
        <w:rPr>
          <w:rFonts w:ascii="Verdana" w:hAnsi="Verdana"/>
          <w:sz w:val="20"/>
          <w:szCs w:val="20"/>
          <w:shd w:val="clear" w:color="auto" w:fill="FFFFFF"/>
        </w:rPr>
        <w:t>[…] las faltas disciplinarias imputables a los abogados en cuanto no revisten la misma lesividad pueden ser sancionadas con diversas medidas, dependiendo de su gravedad: con censura y multa – como sanción autónoma- las de menor entidad, y con suspensión y exclusión de la profesión las que revisten mayor gravedad, trascendencia social y potencialidad lesiva de intereses de especial relevancia.</w:t>
      </w:r>
      <w:r w:rsidRPr="000E112E">
        <w:rPr>
          <w:rStyle w:val="Refdenotaalpie"/>
          <w:rFonts w:ascii="Verdana" w:hAnsi="Verdana"/>
          <w:sz w:val="20"/>
          <w:szCs w:val="20"/>
          <w:shd w:val="clear" w:color="auto" w:fill="FFFFFF"/>
        </w:rPr>
        <w:footnoteReference w:id="3"/>
      </w:r>
    </w:p>
    <w:p w14:paraId="3C70BAB8" w14:textId="77777777" w:rsidR="003C25B4" w:rsidRPr="00BE021E" w:rsidRDefault="003C25B4" w:rsidP="003C25B4">
      <w:pPr>
        <w:widowControl w:val="0"/>
        <w:autoSpaceDE w:val="0"/>
        <w:autoSpaceDN w:val="0"/>
        <w:spacing w:after="0" w:line="276" w:lineRule="auto"/>
        <w:jc w:val="both"/>
        <w:rPr>
          <w:rFonts w:ascii="Verdana" w:hAnsi="Verdana" w:cs="Arial"/>
        </w:rPr>
      </w:pPr>
    </w:p>
    <w:p w14:paraId="4BB7F9D0" w14:textId="77777777" w:rsidR="003C25B4" w:rsidRDefault="003C25B4" w:rsidP="001268BD">
      <w:pPr>
        <w:widowControl w:val="0"/>
        <w:autoSpaceDE w:val="0"/>
        <w:autoSpaceDN w:val="0"/>
        <w:spacing w:after="120" w:line="276" w:lineRule="auto"/>
        <w:jc w:val="both"/>
        <w:rPr>
          <w:rFonts w:ascii="Verdana" w:eastAsia="Calibri" w:hAnsi="Verdana" w:cs="Arial"/>
          <w:lang w:eastAsia="es-ES"/>
        </w:rPr>
      </w:pPr>
      <w:r w:rsidRPr="00BE021E">
        <w:rPr>
          <w:rFonts w:ascii="Verdana" w:hAnsi="Verdana" w:cs="Arial"/>
        </w:rPr>
        <w:lastRenderedPageBreak/>
        <w:tab/>
        <w:t>Así, se encuentra que la censura es una sanción disciplinaria a las faltas disciplinarias imputables a los abogados cuya lesividad es de menor entidad. Ahora bien, la misma corresponde a la reprobación pública del abogado por la falta cometida y como puede observarse en la norma, esta no implica la suspensión o prohibición del ejercicio de la profesión</w:t>
      </w:r>
      <w:r>
        <w:rPr>
          <w:rFonts w:ascii="Verdana" w:hAnsi="Verdana" w:cs="Arial"/>
        </w:rPr>
        <w:t xml:space="preserve">. </w:t>
      </w:r>
      <w:r w:rsidRPr="00BE021E">
        <w:rPr>
          <w:rFonts w:ascii="Verdana" w:eastAsia="Calibri" w:hAnsi="Verdana" w:cs="Arial"/>
          <w:lang w:eastAsia="es-ES"/>
        </w:rPr>
        <w:t xml:space="preserve">Con respecto a esta sanción el numeral 2) del literal b) del artículo 45 </w:t>
      </w:r>
      <w:proofErr w:type="spellStart"/>
      <w:r w:rsidRPr="00BE021E">
        <w:rPr>
          <w:rFonts w:ascii="Verdana" w:eastAsia="Calibri" w:hAnsi="Verdana" w:cs="Arial"/>
          <w:lang w:eastAsia="es-ES"/>
        </w:rPr>
        <w:t>ibídem</w:t>
      </w:r>
      <w:proofErr w:type="spellEnd"/>
      <w:r w:rsidRPr="00BE021E">
        <w:rPr>
          <w:rFonts w:ascii="Verdana" w:eastAsia="Calibri" w:hAnsi="Verdana" w:cs="Arial"/>
          <w:lang w:eastAsia="es-ES"/>
        </w:rPr>
        <w:t>, contempla como circunstancia de atenuación el haber procurado, por iniciativa propia, resarcir el daño o compensar el perjuicio causado. La concurrencia de tal circunstancia implica que la sanción aplicable sea siempre la censura, con la condición que el investigado carezca de antecedentes disciplinarios.</w:t>
      </w:r>
    </w:p>
    <w:p w14:paraId="1002D463" w14:textId="448B5A74" w:rsidR="003C25B4" w:rsidRDefault="003C25B4" w:rsidP="001268BD">
      <w:pPr>
        <w:widowControl w:val="0"/>
        <w:autoSpaceDE w:val="0"/>
        <w:autoSpaceDN w:val="0"/>
        <w:spacing w:after="120" w:line="276" w:lineRule="auto"/>
        <w:ind w:firstLine="708"/>
        <w:jc w:val="both"/>
        <w:rPr>
          <w:rFonts w:ascii="Verdana" w:eastAsia="Calibri" w:hAnsi="Verdana" w:cs="Arial"/>
          <w:lang w:eastAsia="es-ES"/>
        </w:rPr>
      </w:pPr>
      <w:r w:rsidRPr="00BE021E">
        <w:rPr>
          <w:rFonts w:ascii="Verdana" w:eastAsia="Calibri" w:hAnsi="Verdana" w:cs="Arial"/>
          <w:lang w:eastAsia="es-ES"/>
        </w:rPr>
        <w:t xml:space="preserve"> En tal sentido, es importante precisar que el artículo 29, numeral 4° de la Ley 1123 de 2007 que regula las incompatibilidades para ejercer la abogacía, dispone que no pueden ejercer la profesión de abogado cuando sean suspendidos o excluidos, esto es, que la sanción haya sido la suspensión o la exclusión, contemplados en los artículos 44 y 45 respectivamente de la precitada Ley. De este modo, puede inferirse de la Ley 1123 de 2007 –Código Disciplinario del Abogado- que la censura no </w:t>
      </w:r>
      <w:r w:rsidR="00C6752D">
        <w:rPr>
          <w:rFonts w:ascii="Verdana" w:eastAsia="Calibri" w:hAnsi="Verdana" w:cs="Arial"/>
          <w:lang w:eastAsia="es-ES"/>
        </w:rPr>
        <w:t xml:space="preserve">se </w:t>
      </w:r>
      <w:r w:rsidRPr="00BE021E">
        <w:rPr>
          <w:rFonts w:ascii="Verdana" w:eastAsia="Calibri" w:hAnsi="Verdana" w:cs="Arial"/>
          <w:lang w:eastAsia="es-ES"/>
        </w:rPr>
        <w:t xml:space="preserve">contempla como sanción </w:t>
      </w:r>
      <w:r w:rsidR="002C48EE">
        <w:rPr>
          <w:rFonts w:ascii="Verdana" w:eastAsia="Calibri" w:hAnsi="Verdana" w:cs="Arial"/>
          <w:lang w:eastAsia="es-ES"/>
        </w:rPr>
        <w:t>que conlleve a</w:t>
      </w:r>
      <w:r w:rsidRPr="00BE021E">
        <w:rPr>
          <w:rFonts w:ascii="Verdana" w:eastAsia="Calibri" w:hAnsi="Verdana" w:cs="Arial"/>
          <w:lang w:eastAsia="es-ES"/>
        </w:rPr>
        <w:t xml:space="preserve"> la suspensión o exclusión, lo cual no implica, en principio, una restricción </w:t>
      </w:r>
      <w:r>
        <w:rPr>
          <w:rFonts w:ascii="Verdana" w:eastAsia="Calibri" w:hAnsi="Verdana" w:cs="Arial"/>
          <w:lang w:eastAsia="es-ES"/>
        </w:rPr>
        <w:t xml:space="preserve">o afectación de la capacidad </w:t>
      </w:r>
      <w:r w:rsidRPr="00BE021E">
        <w:rPr>
          <w:rFonts w:ascii="Verdana" w:eastAsia="Calibri" w:hAnsi="Verdana" w:cs="Arial"/>
          <w:lang w:eastAsia="es-ES"/>
        </w:rPr>
        <w:t xml:space="preserve">para celebrar un contrato de prestación de servicios profesionales con una entidad estatal, aclarando en todo caso que es al fallador del proceso disciplinario correspondiente previa aplicación del debido proceso definir la sanción a aplicar de conformidad con la ley. </w:t>
      </w:r>
    </w:p>
    <w:p w14:paraId="5F8CF595" w14:textId="18A25432" w:rsidR="003C25B4" w:rsidRDefault="003C25B4" w:rsidP="001268BD">
      <w:pPr>
        <w:widowControl w:val="0"/>
        <w:autoSpaceDE w:val="0"/>
        <w:autoSpaceDN w:val="0"/>
        <w:spacing w:after="120" w:line="276" w:lineRule="auto"/>
        <w:ind w:firstLine="708"/>
        <w:jc w:val="both"/>
        <w:rPr>
          <w:rFonts w:ascii="Verdana" w:eastAsia="Calibri" w:hAnsi="Verdana" w:cs="Arial"/>
          <w:lang w:eastAsia="es-ES"/>
        </w:rPr>
      </w:pPr>
      <w:r w:rsidRPr="00BA7032">
        <w:rPr>
          <w:rFonts w:ascii="Verdana" w:eastAsia="Calibri" w:hAnsi="Verdana" w:cs="Arial"/>
          <w:lang w:eastAsia="es-ES"/>
        </w:rPr>
        <w:t xml:space="preserve">No obstante, los tipos de sanciones disciplinarias que puedan llegar a imponerse a los abogados, como la multa, censura, suspensión o exclusión, éstas tienen una regulación dispuesta para su registro en el </w:t>
      </w:r>
      <w:bookmarkStart w:id="4" w:name="_Hlk194585783"/>
      <w:r w:rsidRPr="00BA7032">
        <w:rPr>
          <w:rFonts w:ascii="Verdana" w:eastAsia="Calibri" w:hAnsi="Verdana" w:cs="Arial"/>
          <w:lang w:eastAsia="es-ES"/>
        </w:rPr>
        <w:t>Acuerdo 075 de 2024, “Por el cual se regula la expedición de los certificados de sanciones vigentes y de antecedentes disciplinarios de la Comisión Nacional de Disciplina Judicial</w:t>
      </w:r>
      <w:bookmarkEnd w:id="4"/>
      <w:r w:rsidRPr="00BA7032">
        <w:rPr>
          <w:rFonts w:ascii="Verdana" w:eastAsia="Calibri" w:hAnsi="Verdana" w:cs="Arial"/>
          <w:lang w:eastAsia="es-ES"/>
        </w:rPr>
        <w:t>”</w:t>
      </w:r>
      <w:r w:rsidR="009114EA">
        <w:rPr>
          <w:rFonts w:ascii="Verdana" w:eastAsia="Calibri" w:hAnsi="Verdana" w:cs="Arial"/>
          <w:lang w:eastAsia="es-ES"/>
        </w:rPr>
        <w:t xml:space="preserve">. Esta resolución </w:t>
      </w:r>
      <w:r w:rsidRPr="00BA7032">
        <w:rPr>
          <w:rFonts w:ascii="Verdana" w:eastAsia="Calibri" w:hAnsi="Verdana" w:cs="Arial"/>
          <w:lang w:eastAsia="es-ES"/>
        </w:rPr>
        <w:t xml:space="preserve">establece dos tipos de certificados para efectos de consulta de los interesados: i) el certificado de sanciones vigentes, que contiene las sanciones vigentes de la expedición, en cumplimiento de lo establecido en el artículo 238 de la Ley 1952 de 2019, en armonía con el artículo 45 de Ley 1123 de 2007; </w:t>
      </w:r>
      <w:proofErr w:type="spellStart"/>
      <w:r w:rsidRPr="00BA7032">
        <w:rPr>
          <w:rFonts w:ascii="Verdana" w:eastAsia="Calibri" w:hAnsi="Verdana" w:cs="Arial"/>
          <w:lang w:eastAsia="es-ES"/>
        </w:rPr>
        <w:t>ii</w:t>
      </w:r>
      <w:proofErr w:type="spellEnd"/>
      <w:r w:rsidRPr="00BA7032">
        <w:rPr>
          <w:rFonts w:ascii="Verdana" w:eastAsia="Calibri" w:hAnsi="Verdana" w:cs="Arial"/>
          <w:lang w:eastAsia="es-ES"/>
        </w:rPr>
        <w:t>) el certificado de antecedentes disciplinarios, que contiene el listado de anotaciones de las sanciones de los últimos cinco (5) años, previos a la comisión de la falta que se investiga, en cumplimiento de lo establecido en el artículo 238 de la Ley 1952 de 2019, en armonía con el artículo 45 de Ley 1123 de 2007.</w:t>
      </w:r>
    </w:p>
    <w:p w14:paraId="145F4D4C" w14:textId="77777777" w:rsidR="003C25B4" w:rsidRPr="00BE021E" w:rsidRDefault="003C25B4" w:rsidP="001268BD">
      <w:pPr>
        <w:widowControl w:val="0"/>
        <w:autoSpaceDE w:val="0"/>
        <w:autoSpaceDN w:val="0"/>
        <w:spacing w:after="120" w:line="276" w:lineRule="auto"/>
        <w:ind w:firstLine="708"/>
        <w:jc w:val="both"/>
        <w:rPr>
          <w:rFonts w:ascii="Verdana" w:eastAsia="Calibri" w:hAnsi="Verdana" w:cs="Arial"/>
          <w:lang w:val="es-ES"/>
        </w:rPr>
      </w:pPr>
      <w:r>
        <w:rPr>
          <w:rFonts w:ascii="Verdana" w:eastAsia="Calibri" w:hAnsi="Verdana" w:cs="Arial"/>
          <w:lang w:val="es-ES"/>
        </w:rPr>
        <w:lastRenderedPageBreak/>
        <w:t>Adicionalmente, al analizar el ré</w:t>
      </w:r>
      <w:r w:rsidRPr="00BE021E">
        <w:rPr>
          <w:rFonts w:ascii="Verdana" w:eastAsia="Calibri" w:hAnsi="Verdana" w:cs="Arial"/>
          <w:lang w:val="es-ES"/>
        </w:rPr>
        <w:t>gimen de inhabilidades e incompatibilidades para determinar si la sanción de censura da lugar a la aplicación del mismo</w:t>
      </w:r>
      <w:r>
        <w:rPr>
          <w:rFonts w:ascii="Verdana" w:eastAsia="Calibri" w:hAnsi="Verdana" w:cs="Arial"/>
          <w:lang w:val="es-ES"/>
        </w:rPr>
        <w:t>, sea lo primero aclarar que e</w:t>
      </w:r>
      <w:r w:rsidRPr="00BE021E">
        <w:rPr>
          <w:rFonts w:ascii="Verdana" w:eastAsia="Calibri" w:hAnsi="Verdana" w:cs="Arial"/>
          <w:lang w:val="es-ES"/>
        </w:rPr>
        <w:t>ste régimen es un conjunto de normas que impone restricciones para los sujetos que eventualmente pretendan participar en los procedimientos de selección o en la celebración de contratos con las entidades estatales, constituyendo “</w:t>
      </w:r>
      <w:r w:rsidRPr="00BE021E">
        <w:rPr>
          <w:rFonts w:ascii="Verdana" w:eastAsia="Calibri" w:hAnsi="Verdana" w:cs="Arial"/>
          <w:i/>
          <w:iCs/>
          <w:lang w:val="es-ES"/>
        </w:rPr>
        <w:t>prohibiciones que restringen la capacidad y la libertad de un contratista para acceder a la contratación</w:t>
      </w:r>
      <w:r w:rsidRPr="00BE021E">
        <w:rPr>
          <w:rFonts w:ascii="Verdana" w:eastAsia="Calibri" w:hAnsi="Verdana" w:cs="Arial"/>
          <w:lang w:val="es-ES"/>
        </w:rPr>
        <w:t>”</w:t>
      </w:r>
      <w:r w:rsidRPr="00BE021E">
        <w:rPr>
          <w:rStyle w:val="Refdenotaalpie"/>
          <w:rFonts w:ascii="Verdana" w:eastAsia="Calibri" w:hAnsi="Verdana" w:cs="Arial"/>
          <w:lang w:val="es-ES"/>
        </w:rPr>
        <w:footnoteReference w:id="4"/>
      </w:r>
      <w:r w:rsidRPr="00BE021E">
        <w:rPr>
          <w:rFonts w:ascii="Verdana" w:eastAsia="Calibri" w:hAnsi="Verdana" w:cs="Arial"/>
          <w:lang w:val="es-ES"/>
        </w:rPr>
        <w:t xml:space="preserve">. </w:t>
      </w:r>
    </w:p>
    <w:p w14:paraId="57E63F9F" w14:textId="77777777" w:rsidR="003C25B4" w:rsidRPr="00BE021E" w:rsidRDefault="003C25B4" w:rsidP="001268BD">
      <w:pPr>
        <w:widowControl w:val="0"/>
        <w:autoSpaceDE w:val="0"/>
        <w:autoSpaceDN w:val="0"/>
        <w:spacing w:after="120" w:line="276" w:lineRule="auto"/>
        <w:ind w:firstLine="708"/>
        <w:jc w:val="both"/>
        <w:rPr>
          <w:rFonts w:ascii="Verdana" w:eastAsia="Calibri" w:hAnsi="Verdana" w:cs="Arial"/>
          <w:lang w:val="es-ES"/>
        </w:rPr>
      </w:pPr>
      <w:r w:rsidRPr="00BE021E">
        <w:rPr>
          <w:rFonts w:ascii="Verdana" w:eastAsia="Calibri" w:hAnsi="Verdana" w:cs="Arial"/>
          <w:lang w:val="es-ES"/>
        </w:rPr>
        <w:t>De una parte, las inhabilidades son prohibiciones para concurrir a los procedimientos de selección y para contratar con el Estado, que se derivan i) de la existencia de comportamientos reprochables o de sanciones anteriormente impuestas</w:t>
      </w:r>
      <w:r w:rsidRPr="00BE021E">
        <w:rPr>
          <w:rFonts w:ascii="Verdana" w:eastAsia="Calibri" w:hAnsi="Verdana" w:cs="Arial"/>
          <w:vertAlign w:val="superscript"/>
          <w:lang w:val="es-ES"/>
        </w:rPr>
        <w:footnoteReference w:id="5"/>
      </w:r>
      <w:r w:rsidRPr="00BE021E">
        <w:rPr>
          <w:rFonts w:ascii="Verdana" w:eastAsia="Calibri" w:hAnsi="Verdana" w:cs="Arial"/>
          <w:lang w:val="es-ES"/>
        </w:rPr>
        <w:t xml:space="preserve">, </w:t>
      </w:r>
      <w:proofErr w:type="spellStart"/>
      <w:r w:rsidRPr="00BE021E">
        <w:rPr>
          <w:rFonts w:ascii="Verdana" w:eastAsia="Calibri" w:hAnsi="Verdana" w:cs="Arial"/>
          <w:lang w:val="es-ES"/>
        </w:rPr>
        <w:t>ii</w:t>
      </w:r>
      <w:proofErr w:type="spellEnd"/>
      <w:r w:rsidRPr="00BE021E">
        <w:rPr>
          <w:rFonts w:ascii="Verdana" w:eastAsia="Calibri" w:hAnsi="Verdana" w:cs="Arial"/>
          <w:lang w:val="es-ES"/>
        </w:rPr>
        <w:t>) de vínculos personales relativos al parentesco o al estado civil</w:t>
      </w:r>
      <w:r w:rsidRPr="00BE021E">
        <w:rPr>
          <w:rFonts w:ascii="Verdana" w:eastAsia="Calibri" w:hAnsi="Verdana" w:cs="Arial"/>
          <w:vertAlign w:val="superscript"/>
          <w:lang w:val="es-ES"/>
        </w:rPr>
        <w:footnoteReference w:id="6"/>
      </w:r>
      <w:r w:rsidRPr="00BE021E">
        <w:rPr>
          <w:rFonts w:ascii="Verdana" w:eastAsia="Calibri" w:hAnsi="Verdana" w:cs="Arial"/>
          <w:lang w:val="es-ES"/>
        </w:rPr>
        <w:t xml:space="preserve"> o </w:t>
      </w:r>
      <w:proofErr w:type="spellStart"/>
      <w:r w:rsidRPr="00BE021E">
        <w:rPr>
          <w:rFonts w:ascii="Verdana" w:eastAsia="Calibri" w:hAnsi="Verdana" w:cs="Arial"/>
          <w:lang w:val="es-ES"/>
        </w:rPr>
        <w:lastRenderedPageBreak/>
        <w:t>iii</w:t>
      </w:r>
      <w:proofErr w:type="spellEnd"/>
      <w:r w:rsidRPr="00BE021E">
        <w:rPr>
          <w:rFonts w:ascii="Verdana" w:eastAsia="Calibri" w:hAnsi="Verdana" w:cs="Arial"/>
          <w:lang w:val="es-ES"/>
        </w:rPr>
        <w:t>) de una actividad u oficio que se desempeñó en el pasado</w:t>
      </w:r>
      <w:r w:rsidRPr="00BE021E">
        <w:rPr>
          <w:rFonts w:ascii="Verdana" w:eastAsia="Calibri" w:hAnsi="Verdana" w:cs="Arial"/>
          <w:vertAlign w:val="superscript"/>
          <w:lang w:val="es-ES"/>
        </w:rPr>
        <w:footnoteReference w:id="7"/>
      </w:r>
      <w:r w:rsidRPr="00BE021E">
        <w:rPr>
          <w:rFonts w:ascii="Verdana" w:eastAsia="Calibri" w:hAnsi="Verdana" w:cs="Arial"/>
          <w:lang w:val="es-ES"/>
        </w:rPr>
        <w:t>. De otra,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BE021E">
        <w:rPr>
          <w:rFonts w:ascii="Verdana" w:eastAsia="Calibri" w:hAnsi="Verdana" w:cs="Arial"/>
          <w:vertAlign w:val="superscript"/>
          <w:lang w:val="es-ES"/>
        </w:rPr>
        <w:footnoteReference w:id="8"/>
      </w:r>
      <w:r w:rsidRPr="00BE021E">
        <w:rPr>
          <w:rFonts w:ascii="Verdana" w:eastAsia="Calibri" w:hAnsi="Verdana" w:cs="Arial"/>
          <w:lang w:val="es-ES"/>
        </w:rPr>
        <w:t>.</w:t>
      </w:r>
    </w:p>
    <w:p w14:paraId="6EB94436" w14:textId="2A4B2EA8" w:rsidR="003C25B4" w:rsidRDefault="003C25B4" w:rsidP="001268BD">
      <w:pPr>
        <w:widowControl w:val="0"/>
        <w:autoSpaceDE w:val="0"/>
        <w:autoSpaceDN w:val="0"/>
        <w:spacing w:after="120" w:line="276" w:lineRule="auto"/>
        <w:jc w:val="both"/>
        <w:rPr>
          <w:rFonts w:ascii="Verdana" w:eastAsia="Calibri" w:hAnsi="Verdana" w:cs="Arial"/>
          <w:lang w:val="es-ES"/>
        </w:rPr>
      </w:pPr>
      <w:r w:rsidRPr="00BE021E">
        <w:rPr>
          <w:rFonts w:ascii="Verdana" w:eastAsia="Calibri" w:hAnsi="Verdana" w:cs="Arial"/>
          <w:lang w:val="es-ES"/>
        </w:rPr>
        <w:tab/>
        <w:t xml:space="preserve">Debido a las restricciones que impone el régimen de inhabilidades e incompatibilidades, este se tipifica en la Ley expresamente y su interpretación debe ser restrictiva. Es decir, las causales de inhabilidad e impedimentos deben estar enunciadas en las normas de forma taxativa y al aplicarse en una situación particular su interpretación debe ser restrictiva, de tal forma que no se admita </w:t>
      </w:r>
      <w:r w:rsidRPr="00BE021E">
        <w:rPr>
          <w:rFonts w:ascii="Verdana" w:eastAsia="Calibri" w:hAnsi="Verdana" w:cs="Arial"/>
          <w:lang w:val="es-ES"/>
        </w:rPr>
        <w:lastRenderedPageBreak/>
        <w:t>una interpretación amplia o extensiva que permitiera contemplar supuestos indeterminados como causales de inhabilidad o impedimentos.</w:t>
      </w:r>
      <w:r>
        <w:rPr>
          <w:rFonts w:ascii="Verdana" w:eastAsia="Calibri" w:hAnsi="Verdana" w:cs="Arial"/>
          <w:lang w:val="es-ES"/>
        </w:rPr>
        <w:t xml:space="preserve"> Por lo que, la interpretación de los efectos de la suspensión o exclusión del ejercicio de la profesión no puede hacerse extensiva a otras sanciones que no estén expresamente establecidas en la norma. </w:t>
      </w:r>
    </w:p>
    <w:p w14:paraId="05A50C25" w14:textId="77777777" w:rsidR="003C25B4" w:rsidRPr="000E112E" w:rsidRDefault="003C25B4" w:rsidP="001268BD">
      <w:pPr>
        <w:widowControl w:val="0"/>
        <w:autoSpaceDE w:val="0"/>
        <w:autoSpaceDN w:val="0"/>
        <w:spacing w:after="120" w:line="276" w:lineRule="auto"/>
        <w:ind w:firstLine="708"/>
        <w:jc w:val="both"/>
        <w:rPr>
          <w:rFonts w:ascii="Verdana" w:eastAsia="Calibri" w:hAnsi="Verdana" w:cs="Arial"/>
          <w:lang w:val="es-ES"/>
        </w:rPr>
      </w:pPr>
      <w:r>
        <w:rPr>
          <w:rFonts w:ascii="Verdana" w:eastAsia="Calibri" w:hAnsi="Verdana" w:cs="Arial"/>
          <w:lang w:val="es-ES"/>
        </w:rPr>
        <w:t>En efecto, sobre la interpretación de este tipo de normas, la Corte Constitucional ha aclarado que</w:t>
      </w:r>
      <w:r w:rsidRPr="000E112E">
        <w:rPr>
          <w:rFonts w:ascii="Verdana" w:eastAsia="Calibri" w:hAnsi="Verdana" w:cs="Arial"/>
          <w:color w:val="000000"/>
          <w:szCs w:val="24"/>
          <w:lang w:val="es-ES_tradnl" w:eastAsia="es-ES_tradnl"/>
        </w:rPr>
        <w:t xml:space="preserv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0E112E">
        <w:rPr>
          <w:rFonts w:ascii="Verdana" w:eastAsia="Aptos" w:hAnsi="Verdana" w:cs="Times New Roman"/>
          <w:vertAlign w:val="superscript"/>
        </w:rPr>
        <w:footnoteReference w:id="9"/>
      </w:r>
      <w:r w:rsidRPr="000E112E">
        <w:rPr>
          <w:rFonts w:ascii="Verdana" w:eastAsia="Calibri" w:hAnsi="Verdana" w:cs="Arial"/>
          <w:color w:val="000000"/>
          <w:szCs w:val="24"/>
          <w:lang w:val="es-ES_tradnl" w:eastAsia="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0E112E">
        <w:rPr>
          <w:rFonts w:ascii="Verdana" w:eastAsia="Aptos" w:hAnsi="Verdana" w:cs="Times New Roman"/>
          <w:vertAlign w:val="superscript"/>
        </w:rPr>
        <w:footnoteReference w:id="10"/>
      </w:r>
      <w:r w:rsidRPr="000E112E">
        <w:rPr>
          <w:rFonts w:ascii="Verdana" w:eastAsia="Calibri" w:hAnsi="Verdana" w:cs="Arial"/>
          <w:color w:val="000000"/>
          <w:szCs w:val="24"/>
          <w:lang w:val="es-ES_tradnl" w:eastAsia="es-ES_tradnl"/>
        </w:rPr>
        <w:t>.</w:t>
      </w:r>
    </w:p>
    <w:p w14:paraId="61042BB9" w14:textId="58E8EC74" w:rsidR="003C25B4" w:rsidRPr="00BE021E" w:rsidRDefault="003C25B4" w:rsidP="001268BD">
      <w:pPr>
        <w:widowControl w:val="0"/>
        <w:autoSpaceDE w:val="0"/>
        <w:autoSpaceDN w:val="0"/>
        <w:spacing w:after="120" w:line="276" w:lineRule="auto"/>
        <w:ind w:firstLine="708"/>
        <w:jc w:val="both"/>
        <w:rPr>
          <w:rFonts w:ascii="Verdana" w:eastAsia="Calibri" w:hAnsi="Verdana" w:cs="Arial"/>
          <w:lang w:val="es-ES"/>
        </w:rPr>
      </w:pPr>
      <w:r w:rsidRPr="00BE021E">
        <w:rPr>
          <w:rFonts w:ascii="Verdana" w:eastAsia="Calibri" w:hAnsi="Verdana" w:cs="Arial"/>
          <w:lang w:val="es-ES"/>
        </w:rPr>
        <w:t xml:space="preserve"> Así, al revisar lo dispuesto en el artículo 8 de la Ley 80 de 1993, que establece las causales de inhabilidad en contratación estatal, no se encuentra disposición referente a la sanción de censura y</w:t>
      </w:r>
      <w:r w:rsidR="00D8567C">
        <w:rPr>
          <w:rFonts w:ascii="Verdana" w:eastAsia="Calibri" w:hAnsi="Verdana" w:cs="Arial"/>
          <w:lang w:val="es-ES"/>
        </w:rPr>
        <w:t>,</w:t>
      </w:r>
      <w:r w:rsidRPr="00BE021E">
        <w:rPr>
          <w:rFonts w:ascii="Verdana" w:eastAsia="Calibri" w:hAnsi="Verdana" w:cs="Arial"/>
          <w:lang w:val="es-ES"/>
        </w:rPr>
        <w:t xml:space="preserve"> por tanto, atendiendo a la interpretación restrictiva, no podría considerarse la misma como causal de inhabilidad</w:t>
      </w:r>
      <w:r w:rsidR="00D8567C">
        <w:rPr>
          <w:rFonts w:ascii="Verdana" w:eastAsia="Calibri" w:hAnsi="Verdana" w:cs="Arial"/>
          <w:lang w:val="es-ES"/>
        </w:rPr>
        <w:t xml:space="preserve"> para celebrar un contrato con el Estado</w:t>
      </w:r>
      <w:r w:rsidRPr="00BE021E">
        <w:rPr>
          <w:rFonts w:ascii="Verdana" w:eastAsia="Calibri" w:hAnsi="Verdana" w:cs="Arial"/>
          <w:lang w:val="es-ES"/>
        </w:rPr>
        <w:t>.</w:t>
      </w:r>
    </w:p>
    <w:p w14:paraId="587F7008" w14:textId="77777777" w:rsidR="003C25B4" w:rsidRPr="00097DBE" w:rsidRDefault="003C25B4" w:rsidP="00C61CE0">
      <w:pPr>
        <w:widowControl w:val="0"/>
        <w:autoSpaceDE w:val="0"/>
        <w:autoSpaceDN w:val="0"/>
        <w:spacing w:after="0" w:line="276" w:lineRule="auto"/>
        <w:ind w:firstLine="708"/>
        <w:jc w:val="both"/>
        <w:rPr>
          <w:rFonts w:ascii="Verdana" w:eastAsia="Calibri" w:hAnsi="Verdana" w:cs="Arial"/>
          <w:lang w:val="es-ES"/>
        </w:rPr>
      </w:pPr>
      <w:r w:rsidRPr="00BE021E">
        <w:rPr>
          <w:rFonts w:ascii="Verdana" w:hAnsi="Verdana" w:cs="Arial"/>
        </w:rPr>
        <w:t>Por último, teniendo en cuenta que la consulta hace referencia a los contratos de prestación de servicios,</w:t>
      </w:r>
      <w:r>
        <w:rPr>
          <w:rFonts w:ascii="Verdana" w:hAnsi="Verdana" w:cs="Arial"/>
        </w:rPr>
        <w:t xml:space="preserve"> </w:t>
      </w:r>
      <w:r>
        <w:rPr>
          <w:rFonts w:ascii="Verdana" w:eastAsia="Calibri" w:hAnsi="Verdana" w:cs="Arial"/>
          <w:lang w:val="es-ES"/>
        </w:rPr>
        <w:t>que son</w:t>
      </w:r>
      <w:r w:rsidRPr="00097DBE">
        <w:rPr>
          <w:rFonts w:ascii="Verdana" w:eastAsia="Calibri" w:hAnsi="Verdana" w:cs="Arial"/>
          <w:lang w:val="es-ES"/>
        </w:rPr>
        <w:t xml:space="preserve"> un contrato estatal típico regulado en el numeral 3 del artículo 32 de la Ley 80 de 1993:</w:t>
      </w:r>
    </w:p>
    <w:p w14:paraId="2FD8074D" w14:textId="77777777" w:rsidR="00C370FE" w:rsidRPr="00097DBE" w:rsidRDefault="00C370FE" w:rsidP="001268BD">
      <w:pPr>
        <w:widowControl w:val="0"/>
        <w:autoSpaceDE w:val="0"/>
        <w:autoSpaceDN w:val="0"/>
        <w:spacing w:after="0" w:line="276" w:lineRule="auto"/>
        <w:ind w:firstLine="708"/>
        <w:jc w:val="both"/>
        <w:rPr>
          <w:rFonts w:ascii="Verdana" w:eastAsia="Calibri" w:hAnsi="Verdana" w:cs="Arial"/>
          <w:lang w:val="es-ES"/>
        </w:rPr>
      </w:pPr>
    </w:p>
    <w:p w14:paraId="2BF9CF08" w14:textId="77777777" w:rsidR="003C25B4" w:rsidRPr="0054725F" w:rsidRDefault="003C25B4" w:rsidP="00C370FE">
      <w:pPr>
        <w:spacing w:after="0" w:line="270" w:lineRule="atLeast"/>
        <w:ind w:left="709" w:right="709"/>
        <w:jc w:val="both"/>
        <w:rPr>
          <w:rFonts w:ascii="Verdana" w:eastAsia="Times New Roman" w:hAnsi="Verdana" w:cs="Open Sans"/>
          <w:sz w:val="20"/>
          <w:szCs w:val="20"/>
          <w:lang w:eastAsia="es-CO"/>
        </w:rPr>
      </w:pPr>
      <w:r w:rsidRPr="0054725F">
        <w:rPr>
          <w:rFonts w:ascii="Verdana" w:eastAsia="Times New Roman" w:hAnsi="Verdana" w:cs="Open Sans"/>
          <w:sz w:val="20"/>
          <w:szCs w:val="20"/>
          <w:lang w:eastAsia="es-CO"/>
        </w:rPr>
        <w:t xml:space="preserve">Son contratos de prestación de servicios los que celebren las entidades estatales para desarrollar actividades relacionadas con la administración o funcionamiento de la entidad. Estos contratos sólo podrán celebrarse con </w:t>
      </w:r>
      <w:r w:rsidRPr="0054725F">
        <w:rPr>
          <w:rFonts w:ascii="Verdana" w:eastAsia="Times New Roman" w:hAnsi="Verdana" w:cs="Open Sans"/>
          <w:sz w:val="20"/>
          <w:szCs w:val="20"/>
          <w:lang w:eastAsia="es-CO"/>
        </w:rPr>
        <w:lastRenderedPageBreak/>
        <w:t>personas naturales cuando dichas actividades </w:t>
      </w:r>
      <w:r w:rsidRPr="0054725F">
        <w:rPr>
          <w:rFonts w:ascii="Verdana" w:eastAsia="Times New Roman" w:hAnsi="Verdana" w:cs="Open Sans"/>
          <w:sz w:val="20"/>
          <w:szCs w:val="20"/>
          <w:u w:val="single"/>
          <w:lang w:eastAsia="es-CO"/>
        </w:rPr>
        <w:t>no puedan realizarse con personal de planta</w:t>
      </w:r>
      <w:r w:rsidRPr="0054725F">
        <w:rPr>
          <w:rFonts w:ascii="Verdana" w:eastAsia="Times New Roman" w:hAnsi="Verdana" w:cs="Open Sans"/>
          <w:sz w:val="20"/>
          <w:szCs w:val="20"/>
          <w:lang w:eastAsia="es-CO"/>
        </w:rPr>
        <w:t> o requieran conocimientos especializados.</w:t>
      </w:r>
    </w:p>
    <w:p w14:paraId="077DD722" w14:textId="77777777" w:rsidR="00C370FE" w:rsidRPr="0054725F" w:rsidRDefault="00C370FE" w:rsidP="001268BD">
      <w:pPr>
        <w:spacing w:after="0" w:line="270" w:lineRule="atLeast"/>
        <w:ind w:left="709" w:right="709"/>
        <w:jc w:val="both"/>
        <w:rPr>
          <w:rFonts w:ascii="Verdana" w:eastAsia="Times New Roman" w:hAnsi="Verdana" w:cs="Open Sans"/>
          <w:sz w:val="20"/>
          <w:szCs w:val="20"/>
          <w:lang w:eastAsia="es-CO"/>
        </w:rPr>
      </w:pPr>
    </w:p>
    <w:p w14:paraId="29881D81" w14:textId="77777777" w:rsidR="003C25B4" w:rsidRPr="0054725F" w:rsidRDefault="003C25B4" w:rsidP="00C370FE">
      <w:pPr>
        <w:spacing w:after="0" w:line="270" w:lineRule="atLeast"/>
        <w:ind w:left="709" w:right="709"/>
        <w:jc w:val="both"/>
        <w:rPr>
          <w:rFonts w:ascii="Verdana" w:eastAsia="Times New Roman" w:hAnsi="Verdana" w:cs="Open Sans"/>
          <w:sz w:val="20"/>
          <w:szCs w:val="20"/>
          <w:lang w:eastAsia="es-CO"/>
        </w:rPr>
      </w:pPr>
      <w:r w:rsidRPr="0054725F">
        <w:rPr>
          <w:rFonts w:ascii="Verdana" w:eastAsia="Times New Roman" w:hAnsi="Verdana" w:cs="Open Sans"/>
          <w:sz w:val="20"/>
          <w:szCs w:val="20"/>
          <w:u w:val="single"/>
          <w:lang w:eastAsia="es-CO"/>
        </w:rPr>
        <w:t>En ningún caso</w:t>
      </w:r>
      <w:r w:rsidRPr="0054725F">
        <w:rPr>
          <w:rFonts w:ascii="Verdana" w:eastAsia="Times New Roman" w:hAnsi="Verdana" w:cs="Open Sans"/>
          <w:sz w:val="20"/>
          <w:szCs w:val="20"/>
          <w:lang w:eastAsia="es-CO"/>
        </w:rPr>
        <w:t> estos contratos</w:t>
      </w:r>
      <w:r w:rsidRPr="0054725F">
        <w:rPr>
          <w:rFonts w:ascii="Verdana" w:eastAsia="Times New Roman" w:hAnsi="Verdana" w:cs="Open Sans"/>
          <w:sz w:val="20"/>
          <w:szCs w:val="20"/>
          <w:u w:val="single"/>
          <w:lang w:eastAsia="es-CO"/>
        </w:rPr>
        <w:t> generan relación laboral ni prestaciones sociales</w:t>
      </w:r>
      <w:r w:rsidRPr="0054725F">
        <w:rPr>
          <w:rFonts w:ascii="Verdana" w:eastAsia="Times New Roman" w:hAnsi="Verdana" w:cs="Open Sans"/>
          <w:sz w:val="20"/>
          <w:szCs w:val="20"/>
          <w:lang w:eastAsia="es-CO"/>
        </w:rPr>
        <w:t> y se celebrarán por el término estrictamente indispensable.</w:t>
      </w:r>
    </w:p>
    <w:p w14:paraId="58A9AC08" w14:textId="77777777" w:rsidR="00C370FE" w:rsidRPr="0054725F" w:rsidRDefault="00C370FE" w:rsidP="001268BD">
      <w:pPr>
        <w:spacing w:after="0" w:line="270" w:lineRule="atLeast"/>
        <w:ind w:left="709" w:right="709"/>
        <w:jc w:val="both"/>
        <w:rPr>
          <w:rFonts w:ascii="Verdana" w:eastAsia="Times New Roman" w:hAnsi="Verdana" w:cs="Open Sans"/>
          <w:sz w:val="20"/>
          <w:szCs w:val="20"/>
          <w:lang w:eastAsia="es-CO"/>
        </w:rPr>
      </w:pPr>
    </w:p>
    <w:p w14:paraId="65E0AF29" w14:textId="1A425E84" w:rsidR="003C25B4" w:rsidRPr="00BE021E" w:rsidRDefault="00D65610" w:rsidP="001268BD">
      <w:pPr>
        <w:widowControl w:val="0"/>
        <w:autoSpaceDE w:val="0"/>
        <w:autoSpaceDN w:val="0"/>
        <w:spacing w:before="120" w:after="0" w:line="276" w:lineRule="auto"/>
        <w:ind w:firstLine="708"/>
        <w:jc w:val="both"/>
        <w:rPr>
          <w:rFonts w:ascii="Verdana" w:eastAsia="Calibri" w:hAnsi="Verdana" w:cs="Arial"/>
        </w:rPr>
      </w:pPr>
      <w:r>
        <w:rPr>
          <w:rFonts w:ascii="Verdana" w:hAnsi="Verdana" w:cs="Arial"/>
        </w:rPr>
        <w:t>S</w:t>
      </w:r>
      <w:r w:rsidR="003C25B4" w:rsidRPr="00BE021E">
        <w:rPr>
          <w:rFonts w:ascii="Verdana" w:hAnsi="Verdana" w:cs="Arial"/>
        </w:rPr>
        <w:t xml:space="preserve">e considera relevante señalar la obligación de las entidades estatales de verificar la idoneidad de las personas con las que se celebrará este tipo de contratos </w:t>
      </w:r>
      <w:r w:rsidR="003C25B4" w:rsidRPr="00BE021E">
        <w:rPr>
          <w:rFonts w:ascii="Verdana" w:eastAsia="Calibri" w:hAnsi="Verdana" w:cs="Arial"/>
        </w:rPr>
        <w:t xml:space="preserve">establecida en el </w:t>
      </w:r>
      <w:bookmarkStart w:id="6" w:name="_Hlk194585867"/>
      <w:r w:rsidR="003C25B4" w:rsidRPr="00BE021E">
        <w:rPr>
          <w:rFonts w:ascii="Verdana" w:eastAsia="Calibri" w:hAnsi="Verdana" w:cs="Arial"/>
        </w:rPr>
        <w:t xml:space="preserve">artículo 2.2.1.2.1.4.9 </w:t>
      </w:r>
      <w:bookmarkEnd w:id="6"/>
      <w:r w:rsidR="003C25B4" w:rsidRPr="00BE021E">
        <w:rPr>
          <w:rFonts w:ascii="Verdana" w:eastAsia="Calibri" w:hAnsi="Verdana" w:cs="Arial"/>
        </w:rPr>
        <w:t xml:space="preserve">del Decreto 1082 de 2015, que prescribe: </w:t>
      </w:r>
    </w:p>
    <w:p w14:paraId="77AC94CD" w14:textId="77777777" w:rsidR="003C25B4" w:rsidRPr="00BE021E" w:rsidRDefault="003C25B4" w:rsidP="003C25B4">
      <w:pPr>
        <w:spacing w:after="0" w:line="276" w:lineRule="auto"/>
        <w:jc w:val="both"/>
        <w:rPr>
          <w:rFonts w:ascii="Verdana" w:eastAsia="Calibri" w:hAnsi="Verdana" w:cs="Arial"/>
        </w:rPr>
      </w:pPr>
    </w:p>
    <w:p w14:paraId="32D585AB" w14:textId="77777777" w:rsidR="003C25B4" w:rsidRPr="001268BD" w:rsidRDefault="003C25B4" w:rsidP="003C25B4">
      <w:pPr>
        <w:spacing w:after="0" w:line="240" w:lineRule="auto"/>
        <w:ind w:left="709" w:right="709"/>
        <w:jc w:val="both"/>
        <w:rPr>
          <w:rFonts w:ascii="Verdana" w:eastAsia="Calibri" w:hAnsi="Verdana" w:cs="Arial"/>
          <w:sz w:val="20"/>
          <w:szCs w:val="20"/>
        </w:rPr>
      </w:pPr>
      <w:r w:rsidRPr="001268BD">
        <w:rPr>
          <w:rFonts w:ascii="Verdana" w:eastAsia="Calibri" w:hAnsi="Verdana" w:cs="Arial"/>
          <w:sz w:val="20"/>
          <w:szCs w:val="20"/>
        </w:rPr>
        <w:t xml:space="preserve">Las Entidades Estatales pueden contratar bajo la modalidad de contratación directa la prestación de servicios profesionales y de apoyo a la gestión con la persona natural o jurídica que esté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w:t>
      </w:r>
    </w:p>
    <w:p w14:paraId="4475BB13" w14:textId="77777777" w:rsidR="003C25B4" w:rsidRPr="001268BD" w:rsidRDefault="003C25B4" w:rsidP="003C25B4">
      <w:pPr>
        <w:spacing w:after="0" w:line="240" w:lineRule="auto"/>
        <w:jc w:val="both"/>
        <w:rPr>
          <w:rFonts w:ascii="Verdana" w:eastAsia="Calibri" w:hAnsi="Verdana" w:cs="Arial"/>
          <w:sz w:val="20"/>
          <w:szCs w:val="20"/>
        </w:rPr>
      </w:pPr>
    </w:p>
    <w:p w14:paraId="7396AC74" w14:textId="77777777" w:rsidR="003C25B4" w:rsidRPr="001268BD" w:rsidRDefault="003C25B4" w:rsidP="003C25B4">
      <w:pPr>
        <w:spacing w:after="0" w:line="240" w:lineRule="auto"/>
        <w:ind w:left="709" w:right="709"/>
        <w:jc w:val="both"/>
        <w:rPr>
          <w:rFonts w:ascii="Verdana" w:eastAsia="Calibri" w:hAnsi="Verdana" w:cs="Arial"/>
          <w:sz w:val="20"/>
          <w:szCs w:val="20"/>
        </w:rPr>
      </w:pPr>
      <w:r w:rsidRPr="001268BD">
        <w:rPr>
          <w:rFonts w:ascii="Verdana" w:eastAsia="Calibri" w:hAnsi="Verdana" w:cs="Arial"/>
          <w:sz w:val="20"/>
          <w:szCs w:val="20"/>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w:t>
      </w:r>
    </w:p>
    <w:p w14:paraId="7662D533" w14:textId="77777777" w:rsidR="003C25B4" w:rsidRPr="00BE021E" w:rsidRDefault="003C25B4" w:rsidP="003C25B4">
      <w:pPr>
        <w:spacing w:after="0" w:line="240" w:lineRule="auto"/>
        <w:ind w:right="709"/>
        <w:jc w:val="both"/>
        <w:rPr>
          <w:rFonts w:ascii="Verdana" w:eastAsia="Calibri" w:hAnsi="Verdana" w:cs="Arial"/>
          <w:sz w:val="21"/>
          <w:szCs w:val="21"/>
        </w:rPr>
      </w:pPr>
    </w:p>
    <w:p w14:paraId="4899F77E" w14:textId="202F0693" w:rsidR="003C25B4" w:rsidRPr="00BE021E" w:rsidRDefault="003C25B4" w:rsidP="001268BD">
      <w:pPr>
        <w:spacing w:after="120" w:line="276" w:lineRule="auto"/>
        <w:ind w:right="51" w:firstLine="709"/>
        <w:jc w:val="both"/>
        <w:rPr>
          <w:rFonts w:ascii="Verdana" w:eastAsia="Calibri" w:hAnsi="Verdana" w:cs="Arial"/>
          <w:sz w:val="21"/>
          <w:szCs w:val="21"/>
        </w:rPr>
      </w:pPr>
      <w:r w:rsidRPr="00BE021E">
        <w:rPr>
          <w:rFonts w:ascii="Verdana" w:eastAsia="Calibri" w:hAnsi="Verdana" w:cs="Arial"/>
          <w:sz w:val="21"/>
          <w:szCs w:val="21"/>
        </w:rPr>
        <w:t xml:space="preserve">Se resalta que </w:t>
      </w:r>
      <w:r w:rsidRPr="00BE021E">
        <w:rPr>
          <w:rFonts w:ascii="Verdana" w:hAnsi="Verdana" w:cs="Arial"/>
        </w:rPr>
        <w:t xml:space="preserve">cada </w:t>
      </w:r>
      <w:r w:rsidR="0090752F" w:rsidRPr="00BE021E">
        <w:rPr>
          <w:rFonts w:ascii="Verdana" w:hAnsi="Verdana" w:cs="Arial"/>
        </w:rPr>
        <w:t>entidad estatal</w:t>
      </w:r>
      <w:r w:rsidRPr="00BE021E">
        <w:rPr>
          <w:rFonts w:ascii="Verdana" w:hAnsi="Verdana" w:cs="Arial"/>
        </w:rPr>
        <w:t xml:space="preserve"> tiene la facultad de definir los requisitos habilitantes para la contratación en los documentos previos de acuerdo con las características y la naturaleza del contrato, atendiendo siempre a los principios de planeación, transparencia y selección objetiva. En virtud de los cuales, la Entidad estatal al definir la necesidad a satisfacer con la contratación de prestación de servicios profesionales, debe establecer el objeto contractual, las obligaciones que lo desarrollan y el perfil requerido para dar cumplimiento a los mismos. </w:t>
      </w:r>
    </w:p>
    <w:p w14:paraId="22436458" w14:textId="4EFE498B" w:rsidR="003C25B4" w:rsidRPr="00BE021E" w:rsidRDefault="003C25B4" w:rsidP="003C25B4">
      <w:pPr>
        <w:widowControl w:val="0"/>
        <w:autoSpaceDE w:val="0"/>
        <w:autoSpaceDN w:val="0"/>
        <w:spacing w:after="0" w:line="276" w:lineRule="auto"/>
        <w:jc w:val="both"/>
        <w:rPr>
          <w:rFonts w:ascii="Verdana" w:hAnsi="Verdana" w:cs="Arial"/>
        </w:rPr>
      </w:pPr>
      <w:r w:rsidRPr="00BE021E">
        <w:rPr>
          <w:rFonts w:ascii="Verdana" w:hAnsi="Verdana" w:cs="Arial"/>
        </w:rPr>
        <w:tab/>
        <w:t xml:space="preserve">Una vez establecidos los requisitos habilitantes y las demás características de la contratación en los documentos previos, a cada </w:t>
      </w:r>
      <w:r w:rsidR="00D4732D" w:rsidRPr="00BE021E">
        <w:rPr>
          <w:rFonts w:ascii="Verdana" w:hAnsi="Verdana" w:cs="Arial"/>
        </w:rPr>
        <w:t>entidad estatal</w:t>
      </w:r>
      <w:r w:rsidRPr="00BE021E">
        <w:rPr>
          <w:rFonts w:ascii="Verdana" w:hAnsi="Verdana" w:cs="Arial"/>
        </w:rPr>
        <w:t xml:space="preserve"> le corresponde </w:t>
      </w:r>
      <w:r w:rsidRPr="00BE021E">
        <w:rPr>
          <w:rFonts w:ascii="Verdana" w:hAnsi="Verdana" w:cs="Arial"/>
          <w:lang w:val="es-ES"/>
        </w:rPr>
        <w:t xml:space="preserve">verificar la idoneidad de las personas que pretendan celebrar contratos de prestación de servicios profesionales, de acuerdo con las características, el alcance del objeto del contrato y el perfil establecido. </w:t>
      </w:r>
      <w:r w:rsidRPr="00BE021E">
        <w:rPr>
          <w:rFonts w:ascii="Verdana" w:eastAsia="Calibri" w:hAnsi="Verdana" w:cs="Arial"/>
        </w:rPr>
        <w:t xml:space="preserve">Para el caso concreto de su consulta, se precisa que la profesión de abogado puede ejercerse de manera independiente en virtud de un contrato de prestación de </w:t>
      </w:r>
      <w:r w:rsidRPr="00BE021E">
        <w:rPr>
          <w:rFonts w:ascii="Verdana" w:eastAsia="Calibri" w:hAnsi="Verdana" w:cs="Arial"/>
        </w:rPr>
        <w:lastRenderedPageBreak/>
        <w:t xml:space="preserve">servicios profesionales o de un mandato o poder, conforme al artículo 1 del </w:t>
      </w:r>
      <w:bookmarkStart w:id="7" w:name="_Hlk194585904"/>
      <w:r w:rsidRPr="00BE021E">
        <w:rPr>
          <w:rFonts w:ascii="Verdana" w:eastAsia="Calibri" w:hAnsi="Verdana" w:cs="Arial"/>
        </w:rPr>
        <w:t xml:space="preserve">Decreto 3032 de 2013. </w:t>
      </w:r>
      <w:bookmarkEnd w:id="7"/>
      <w:r w:rsidRPr="00BE021E">
        <w:rPr>
          <w:rFonts w:ascii="Verdana" w:eastAsia="Calibri" w:hAnsi="Verdana" w:cs="Arial"/>
        </w:rPr>
        <w:t>En ese sentido, cuando la profesión de abogado se pone al servicio de la administración, en virtud de un contrato de prestación de servicios profesionales</w:t>
      </w:r>
      <w:r w:rsidR="00D4732D">
        <w:rPr>
          <w:rFonts w:ascii="Verdana" w:eastAsia="Calibri" w:hAnsi="Verdana" w:cs="Arial"/>
        </w:rPr>
        <w:t>,</w:t>
      </w:r>
      <w:r w:rsidRPr="00BE021E">
        <w:rPr>
          <w:rFonts w:ascii="Verdana" w:eastAsia="Calibri" w:hAnsi="Verdana" w:cs="Arial"/>
        </w:rPr>
        <w:t xml:space="preserve"> le corresponde al abogado/contratista cumplir las obligaciones para la cual fue contratado, de conformidad a lo estipulado en el contrato, que se funda en un acuerdo entre las partes y bajo los principios de buena fe y confianza legítima.</w:t>
      </w:r>
    </w:p>
    <w:p w14:paraId="0E6D539F" w14:textId="77777777" w:rsidR="003C25B4" w:rsidRPr="00BE021E" w:rsidRDefault="003C25B4" w:rsidP="003C25B4">
      <w:pPr>
        <w:widowControl w:val="0"/>
        <w:autoSpaceDE w:val="0"/>
        <w:autoSpaceDN w:val="0"/>
        <w:spacing w:after="0" w:line="276" w:lineRule="auto"/>
        <w:jc w:val="both"/>
        <w:rPr>
          <w:rFonts w:ascii="Verdana" w:hAnsi="Verdana" w:cs="Arial"/>
        </w:rPr>
      </w:pPr>
    </w:p>
    <w:p w14:paraId="132DB176" w14:textId="77777777" w:rsidR="003C25B4" w:rsidRPr="00BE021E" w:rsidRDefault="003C25B4" w:rsidP="003C25B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E021E">
        <w:rPr>
          <w:rFonts w:ascii="Verdana" w:eastAsia="Century Gothic" w:hAnsi="Verdana" w:cs="Century Gothic"/>
          <w:b/>
          <w:bCs/>
        </w:rPr>
        <w:t>Referencias normativas, jurisprudenciales y otras fuentes:</w:t>
      </w:r>
    </w:p>
    <w:p w14:paraId="5AFDC645" w14:textId="77777777" w:rsidR="003C25B4" w:rsidRPr="00BE021E" w:rsidRDefault="003C25B4" w:rsidP="003C25B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C25B4" w:rsidRPr="00BE021E" w14:paraId="3AAE8BD3" w14:textId="77777777" w:rsidTr="0052103A">
        <w:trPr>
          <w:trHeight w:val="870"/>
        </w:trPr>
        <w:tc>
          <w:tcPr>
            <w:tcW w:w="8647" w:type="dxa"/>
          </w:tcPr>
          <w:p w14:paraId="54AC2D11" w14:textId="77777777" w:rsidR="003C25B4" w:rsidRPr="00463520" w:rsidRDefault="003C25B4" w:rsidP="003C25B4">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Ley 1123 de 2007, artículos 29, 41, 44 y 45</w:t>
            </w:r>
          </w:p>
          <w:p w14:paraId="6C49C382" w14:textId="77777777" w:rsidR="003C25B4" w:rsidRPr="00463520" w:rsidRDefault="003C25B4" w:rsidP="003C25B4">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Ley 80 de 1993, artículo 8 y 32</w:t>
            </w:r>
          </w:p>
          <w:p w14:paraId="64DE465D" w14:textId="77777777" w:rsidR="003C25B4" w:rsidRPr="00463520" w:rsidRDefault="003C25B4" w:rsidP="003C25B4">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Decreto 3032 de 2013, artículo 1</w:t>
            </w:r>
          </w:p>
          <w:p w14:paraId="3E3E4C9B" w14:textId="77777777" w:rsidR="003C25B4" w:rsidRPr="00463520" w:rsidRDefault="003C25B4" w:rsidP="003C25B4">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Decreto 1082 de 2015, artículo 2.2.1.2.1.4.9</w:t>
            </w:r>
          </w:p>
          <w:p w14:paraId="770DA295" w14:textId="77777777" w:rsidR="003C25B4" w:rsidRPr="00463520" w:rsidRDefault="003C25B4" w:rsidP="003C25B4">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Acuerdo 075 de 2024, “Por el cual se regula la expedición de los certificados de sanciones vigentes y de antecedentes disciplinarios de la Comisión Nacional de Disciplina Judicial”</w:t>
            </w:r>
          </w:p>
          <w:p w14:paraId="61232AE2" w14:textId="77777777" w:rsidR="003C25B4" w:rsidRPr="00463520" w:rsidRDefault="003C25B4" w:rsidP="003C25B4">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Corte Constitucional. Sentencia C-290/08. M.P: Jaime Córdoba Triviño</w:t>
            </w:r>
          </w:p>
          <w:p w14:paraId="1D310A94" w14:textId="77777777" w:rsidR="003C25B4" w:rsidRPr="00463520" w:rsidRDefault="003C25B4" w:rsidP="003C25B4">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Corte Constitucional. Sentencia C-612/13. M.P: Alberto Rojas Ríos</w:t>
            </w:r>
          </w:p>
          <w:p w14:paraId="7D6F8782" w14:textId="77777777" w:rsidR="003C25B4" w:rsidRPr="00BE021E" w:rsidRDefault="003C25B4" w:rsidP="003C25B4">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463520">
              <w:rPr>
                <w:rFonts w:ascii="Verdana" w:hAnsi="Verdana" w:cs="Arial"/>
              </w:rPr>
              <w:t>Corte Constitucional. Sentencia C-489/96. M.P: Antonio Barrera Carbonell</w:t>
            </w:r>
          </w:p>
        </w:tc>
      </w:tr>
    </w:tbl>
    <w:p w14:paraId="5536F265" w14:textId="77777777" w:rsidR="003C25B4" w:rsidRPr="00BE021E" w:rsidRDefault="003C25B4" w:rsidP="003C25B4">
      <w:pPr>
        <w:widowControl w:val="0"/>
        <w:autoSpaceDE w:val="0"/>
        <w:autoSpaceDN w:val="0"/>
        <w:spacing w:after="0" w:line="276" w:lineRule="auto"/>
        <w:jc w:val="both"/>
        <w:rPr>
          <w:rFonts w:ascii="Verdana" w:hAnsi="Verdana" w:cs="Arial"/>
        </w:rPr>
      </w:pPr>
    </w:p>
    <w:p w14:paraId="37FDF73E" w14:textId="77777777" w:rsidR="003C25B4" w:rsidRDefault="003C25B4" w:rsidP="003C25B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E021E">
        <w:rPr>
          <w:rFonts w:ascii="Verdana" w:eastAsia="Century Gothic" w:hAnsi="Verdana" w:cs="Century Gothic"/>
          <w:b/>
          <w:bCs/>
        </w:rPr>
        <w:t>Doctrina de la Agencia Nacional de Contratación Pública:</w:t>
      </w:r>
    </w:p>
    <w:p w14:paraId="2502C43E" w14:textId="77777777" w:rsidR="003C25B4" w:rsidRDefault="003C25B4" w:rsidP="003C25B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62F3345" w14:textId="77777777" w:rsidR="003C25B4" w:rsidRPr="00463520" w:rsidRDefault="003C25B4" w:rsidP="003C25B4">
      <w:pPr>
        <w:widowControl w:val="0"/>
        <w:autoSpaceDE w:val="0"/>
        <w:autoSpaceDN w:val="0"/>
        <w:spacing w:after="0" w:line="276" w:lineRule="auto"/>
        <w:jc w:val="both"/>
        <w:rPr>
          <w:rStyle w:val="normaltextrun"/>
          <w:rFonts w:ascii="Verdana" w:eastAsia="Aptos" w:hAnsi="Verdana" w:cs="Calibri"/>
        </w:rPr>
      </w:pPr>
      <w:r w:rsidRPr="00BA1192">
        <w:rPr>
          <w:rFonts w:ascii="Verdana" w:eastAsia="Calibri" w:hAnsi="Verdana" w:cs="Arial"/>
          <w:lang w:val="es-ES_tradnl" w:eastAsia="es-ES_tradnl"/>
        </w:rPr>
        <w:t>Sobre el régimen de inhabilidades e incompatibilidades esta Subdirección se pronunció en los</w:t>
      </w:r>
      <w:r w:rsidRPr="00BA1192">
        <w:rPr>
          <w:rFonts w:ascii="Verdana" w:eastAsia="Calibri" w:hAnsi="Verdana" w:cs="Arial"/>
          <w:lang w:val="es-MX"/>
        </w:rPr>
        <w:t xml:space="preserve">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la respuesta </w:t>
      </w:r>
      <w:r w:rsidRPr="00BA1192">
        <w:rPr>
          <w:rFonts w:ascii="Verdana" w:hAnsi="Verdana" w:cs="Arial"/>
        </w:rPr>
        <w:t xml:space="preserve">al radicado </w:t>
      </w:r>
      <w:r w:rsidRPr="00BA1192">
        <w:rPr>
          <w:rFonts w:ascii="Verdana" w:eastAsia="Aptos" w:hAnsi="Verdana" w:cs="Calibri"/>
        </w:rPr>
        <w:t>P20240308002646 del 24 de abril de 2024,</w:t>
      </w:r>
      <w:r w:rsidRPr="00BA1192">
        <w:rPr>
          <w:rFonts w:ascii="Verdana" w:eastAsia="Calibri" w:hAnsi="Verdana" w:cs="Arial"/>
          <w:lang w:val="es-MX"/>
        </w:rPr>
        <w:t xml:space="preserve"> el C-039 del 23 de abril de 2024, </w:t>
      </w:r>
      <w:r w:rsidRPr="00BA1192">
        <w:rPr>
          <w:rFonts w:ascii="Verdana" w:hAnsi="Verdana" w:cs="Arial"/>
        </w:rPr>
        <w:t xml:space="preserve">C-085 del 3 de marzo de 2025 y </w:t>
      </w:r>
      <w:r w:rsidRPr="00BA1192">
        <w:rPr>
          <w:rFonts w:ascii="Verdana" w:eastAsia="Aptos" w:hAnsi="Verdana" w:cs="Calibri"/>
        </w:rPr>
        <w:t>C-170 del 19 de marzo de 2025.</w:t>
      </w:r>
      <w:r>
        <w:rPr>
          <w:rFonts w:ascii="Verdana" w:eastAsia="Aptos" w:hAnsi="Verdana" w:cs="Calibri"/>
        </w:rPr>
        <w:t xml:space="preserve"> </w:t>
      </w:r>
      <w:r w:rsidRPr="00BA1192">
        <w:rPr>
          <w:rStyle w:val="normaltextrun"/>
          <w:rFonts w:ascii="Verdana" w:hAnsi="Verdana" w:cs="Arial"/>
          <w:shd w:val="clear" w:color="auto" w:fill="FFFFFF"/>
          <w:lang w:val="es-ES"/>
        </w:rPr>
        <w:t>Sobre las características de los contratos de prestación de servicios se pronunció esta Subdirección en los conceptos</w:t>
      </w:r>
      <w:r w:rsidRPr="00BA1192">
        <w:rPr>
          <w:rStyle w:val="normaltextrun"/>
          <w:rFonts w:ascii="Verdana" w:hAnsi="Verdana" w:cs="Calibri"/>
          <w:shd w:val="clear" w:color="auto" w:fill="FFFFFF"/>
        </w:rPr>
        <w:t xml:space="preserve"> C-311 de 21 de agosto de 2024, C- 604 de 25 de octubre de 2024, C-028 del 5 de febrero de 2025, C-037 de 20 de febrero de 2025</w:t>
      </w:r>
      <w:r>
        <w:rPr>
          <w:rStyle w:val="normaltextrun"/>
          <w:rFonts w:ascii="Verdana" w:hAnsi="Verdana" w:cs="Calibri"/>
          <w:shd w:val="clear" w:color="auto" w:fill="FFFFFF"/>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w:t>
      </w:r>
      <w:r w:rsidRPr="00A1554D">
        <w:rPr>
          <w:rFonts w:ascii="Verdana" w:hAnsi="Verdana"/>
        </w:rPr>
        <w:lastRenderedPageBreak/>
        <w:t xml:space="preserve">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D4732D">
          <w:rPr>
            <w:rStyle w:val="Hipervnculo"/>
            <w:rFonts w:ascii="Verdana" w:hAnsi="Verdana" w:cs="Arial"/>
            <w:shd w:val="clear" w:color="auto" w:fill="FFFFFF"/>
            <w:lang w:val="es-ES"/>
          </w:rPr>
          <w:t>https://relatoria.colombiacompra.gov.co/busqueda/conceptos</w:t>
        </w:r>
      </w:hyperlink>
      <w:r w:rsidRPr="00D4732D">
        <w:rPr>
          <w:rStyle w:val="normaltextrun"/>
          <w:rFonts w:ascii="Verdana" w:hAnsi="Verdana" w:cs="Arial"/>
          <w:color w:val="FF0000"/>
          <w:shd w:val="clear" w:color="auto" w:fill="FFFFFF"/>
          <w:lang w:val="es-ES"/>
        </w:rPr>
        <w:t xml:space="preserve">. </w:t>
      </w:r>
    </w:p>
    <w:p w14:paraId="0BCED97A" w14:textId="77777777" w:rsidR="003C25B4" w:rsidRDefault="003C25B4" w:rsidP="003C25B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979D718" w14:textId="77777777" w:rsidR="003C25B4" w:rsidRDefault="003C25B4" w:rsidP="003C25B4">
      <w:pPr>
        <w:spacing w:after="0" w:line="276" w:lineRule="auto"/>
        <w:jc w:val="both"/>
        <w:rPr>
          <w:rFonts w:ascii="Verdana" w:eastAsia="Calibri" w:hAnsi="Verdana" w:cs="Arial"/>
          <w:lang w:val="es-ES" w:eastAsia="es-ES"/>
        </w:rPr>
      </w:pPr>
      <w:r w:rsidRPr="00944E10">
        <w:rPr>
          <w:rFonts w:ascii="Verdana" w:eastAsia="Calibri" w:hAnsi="Verdana" w:cs="Arial"/>
          <w:lang w:eastAsia="es-ES"/>
        </w:rPr>
        <w:t xml:space="preserve">Te informamos que ya se encuentra disponible la </w:t>
      </w:r>
      <w:r w:rsidRPr="00944E10">
        <w:rPr>
          <w:rFonts w:ascii="Verdana" w:eastAsia="Calibri" w:hAnsi="Verdana" w:cs="Arial"/>
          <w:b/>
          <w:bCs/>
          <w:lang w:eastAsia="es-ES"/>
        </w:rPr>
        <w:t>Cartilla para incentivar y fortalecer el acceso a las compras y contratación pública de los pueblos y comunidades étnicas en Colombia.</w:t>
      </w:r>
      <w:r w:rsidRPr="00944E10">
        <w:rPr>
          <w:rFonts w:ascii="Verdana" w:eastAsia="Calibri" w:hAnsi="Verdana" w:cs="Arial"/>
          <w:lang w:eastAsia="es-ES"/>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w:t>
      </w:r>
      <w:r w:rsidRPr="00D4732D">
        <w:rPr>
          <w:rFonts w:ascii="Verdana" w:eastAsia="Calibri" w:hAnsi="Verdana" w:cs="Arial"/>
          <w:lang w:eastAsia="es-ES"/>
        </w:rPr>
        <w:t xml:space="preserve">Puede consultar la versión actualizada en el siguiente enlace: </w:t>
      </w:r>
      <w:hyperlink r:id="rId13" w:history="1">
        <w:r w:rsidRPr="00D4732D">
          <w:rPr>
            <w:rStyle w:val="Hipervnculo"/>
            <w:rFonts w:ascii="Verdana" w:eastAsia="Calibri" w:hAnsi="Verdana" w:cs="Arial"/>
            <w:lang w:eastAsia="es-ES"/>
          </w:rPr>
          <w:t>Cartilla para incentivar y fortalecer el acceso a las compras y contratación pública de los pueblos y comunidades étnicas en Colombia | Colombia Compra Eficiente | Agencia Nacional de Contratación Pública</w:t>
        </w:r>
      </w:hyperlink>
    </w:p>
    <w:p w14:paraId="723D68EA" w14:textId="77777777" w:rsidR="003C25B4" w:rsidRPr="00944E10" w:rsidRDefault="003C25B4" w:rsidP="003C25B4">
      <w:pPr>
        <w:spacing w:after="0" w:line="276" w:lineRule="auto"/>
        <w:jc w:val="both"/>
        <w:rPr>
          <w:rFonts w:ascii="Verdana" w:eastAsia="Calibri" w:hAnsi="Verdana" w:cs="Arial"/>
          <w:lang w:eastAsia="es-ES"/>
        </w:rPr>
      </w:pPr>
    </w:p>
    <w:p w14:paraId="38EED7DD" w14:textId="77777777" w:rsidR="003C25B4" w:rsidRDefault="003C25B4" w:rsidP="003C25B4">
      <w:pPr>
        <w:spacing w:after="0" w:line="276" w:lineRule="auto"/>
        <w:jc w:val="both"/>
        <w:rPr>
          <w:rFonts w:ascii="Verdana" w:eastAsia="Calibri" w:hAnsi="Verdana" w:cs="Arial"/>
          <w:lang w:val="es-ES" w:eastAsia="es-ES"/>
        </w:rPr>
      </w:pPr>
      <w:r w:rsidRPr="00944E10">
        <w:rPr>
          <w:rFonts w:ascii="Verdana" w:eastAsia="Calibri" w:hAnsi="Verdana" w:cs="Arial"/>
          <w:lang w:eastAsia="es-ES"/>
        </w:rPr>
        <w:t>De otra parte, </w:t>
      </w:r>
      <w:r>
        <w:rPr>
          <w:rFonts w:ascii="Verdana" w:eastAsia="Calibri" w:hAnsi="Verdana" w:cs="Arial"/>
          <w:lang w:eastAsia="es-ES"/>
        </w:rPr>
        <w:t>l</w:t>
      </w:r>
      <w:r w:rsidRPr="00944E10">
        <w:rPr>
          <w:rFonts w:ascii="Verdana" w:eastAsia="Calibri" w:hAnsi="Verdana" w:cs="Arial"/>
          <w:lang w:eastAsia="es-ES"/>
        </w:rPr>
        <w:t xml:space="preserve">e informamos que, con el objetivo de garantizar un conocimiento adecuado de las </w:t>
      </w:r>
      <w:r w:rsidRPr="00944E10">
        <w:rPr>
          <w:rFonts w:ascii="Verdana" w:eastAsia="Calibri" w:hAnsi="Verdana" w:cs="Arial"/>
          <w:b/>
          <w:bCs/>
          <w:lang w:eastAsia="es-ES"/>
        </w:rPr>
        <w:t>modificaciones y/o actualizaciones realizadas a los Documentos Tipo</w:t>
      </w:r>
      <w:r w:rsidRPr="00944E10">
        <w:rPr>
          <w:rFonts w:ascii="Verdana" w:eastAsia="Calibri" w:hAnsi="Verdana" w:cs="Arial"/>
          <w:lang w:eastAsia="es-ES"/>
        </w:rPr>
        <w:t xml:space="preserve">, hemos programado una serie de </w:t>
      </w:r>
      <w:r w:rsidRPr="00944E10">
        <w:rPr>
          <w:rFonts w:ascii="Verdana" w:eastAsia="Calibri" w:hAnsi="Verdana" w:cs="Arial"/>
          <w:b/>
          <w:bCs/>
          <w:lang w:eastAsia="es-ES"/>
        </w:rPr>
        <w:t xml:space="preserve">capacitaciones </w:t>
      </w:r>
      <w:r w:rsidRPr="00944E10">
        <w:rPr>
          <w:rFonts w:ascii="Verdana" w:eastAsia="Calibri" w:hAnsi="Verdana" w:cs="Arial"/>
          <w:lang w:eastAsia="es-ES"/>
        </w:rPr>
        <w:t xml:space="preserve">dirigidas a todos los actores involucrados en los procesos de selección. </w:t>
      </w:r>
      <w:r w:rsidRPr="00D4732D">
        <w:rPr>
          <w:rFonts w:ascii="Verdana" w:eastAsia="Calibri" w:hAnsi="Verdana" w:cs="Arial"/>
          <w:lang w:eastAsia="es-ES"/>
        </w:rPr>
        <w:t xml:space="preserve">Podrá conocer la programación y realizar tu inscripción a estas capacitaciones a través del siguiente enlace: </w:t>
      </w:r>
      <w:hyperlink r:id="rId14" w:history="1">
        <w:r w:rsidRPr="00D4732D">
          <w:rPr>
            <w:rStyle w:val="Hipervnculo"/>
            <w:rFonts w:ascii="Verdana" w:eastAsia="Calibri" w:hAnsi="Verdana" w:cs="Arial"/>
            <w:lang w:eastAsia="es-ES"/>
          </w:rPr>
          <w:t>Calendario | Colombia Compra Eficiente | Agencia Nacional de Contratación Pública</w:t>
        </w:r>
      </w:hyperlink>
    </w:p>
    <w:p w14:paraId="3DDC00B1" w14:textId="77777777" w:rsidR="003C25B4" w:rsidRPr="00944E10" w:rsidRDefault="003C25B4" w:rsidP="003C25B4">
      <w:pPr>
        <w:spacing w:after="0" w:line="276" w:lineRule="auto"/>
        <w:jc w:val="both"/>
        <w:rPr>
          <w:rFonts w:ascii="Verdana" w:eastAsia="Calibri" w:hAnsi="Verdana" w:cs="Arial"/>
          <w:lang w:eastAsia="es-ES"/>
        </w:rPr>
      </w:pPr>
    </w:p>
    <w:p w14:paraId="3C13641D" w14:textId="77777777" w:rsidR="003C25B4" w:rsidRPr="00944E10" w:rsidRDefault="003C25B4" w:rsidP="003C25B4">
      <w:pPr>
        <w:spacing w:after="0" w:line="276" w:lineRule="auto"/>
        <w:jc w:val="both"/>
        <w:rPr>
          <w:rFonts w:ascii="Verdana" w:eastAsia="Calibri" w:hAnsi="Verdana" w:cs="Arial"/>
          <w:lang w:eastAsia="es-ES"/>
        </w:rPr>
      </w:pPr>
      <w:r>
        <w:rPr>
          <w:rFonts w:ascii="Verdana" w:eastAsia="Calibri" w:hAnsi="Verdana" w:cs="Arial"/>
          <w:lang w:eastAsia="es-ES"/>
        </w:rPr>
        <w:t>Se le informa que</w:t>
      </w:r>
      <w:r w:rsidRPr="00944E10">
        <w:rPr>
          <w:rFonts w:ascii="Verdana" w:eastAsia="Calibri" w:hAnsi="Verdana" w:cs="Arial"/>
          <w:lang w:eastAsia="es-ES"/>
        </w:rPr>
        <w:t xml:space="preserve"> publicamos </w:t>
      </w:r>
      <w:r w:rsidRPr="00944E10">
        <w:rPr>
          <w:rFonts w:ascii="Verdana" w:eastAsia="Calibri" w:hAnsi="Verdana" w:cs="Arial"/>
          <w:b/>
          <w:bCs/>
          <w:lang w:eastAsia="es-ES"/>
        </w:rPr>
        <w:t>la nueva Guía de Contratación Pública Sostenible y Socialmente Responsable</w:t>
      </w:r>
      <w:r w:rsidRPr="00944E10">
        <w:rPr>
          <w:rFonts w:ascii="Verdana" w:eastAsia="Calibri" w:hAnsi="Verdana" w:cs="Arial"/>
          <w:lang w:eastAsia="es-ES"/>
        </w:rPr>
        <w:t xml:space="preserve">. Esta guía es un instrumento clave para integrar buenas prácticas en la contratación estatal, promoviendo los Objetivos de Desarrollo Sostenible (ODS) a través de criterios y obligaciones ambientales y sociales en todas las etapas del proceso. </w:t>
      </w:r>
      <w:r w:rsidRPr="00D4732D">
        <w:rPr>
          <w:rFonts w:ascii="Verdana" w:eastAsia="Calibri" w:hAnsi="Verdana" w:cs="Arial"/>
          <w:lang w:eastAsia="es-ES"/>
        </w:rPr>
        <w:t xml:space="preserve">Puede consultar la guía en el siguiente enlace: </w:t>
      </w:r>
      <w:hyperlink r:id="rId15" w:history="1">
        <w:r w:rsidRPr="00D4732D">
          <w:rPr>
            <w:rStyle w:val="Hipervnculo"/>
            <w:rFonts w:ascii="Verdana" w:eastAsia="Calibri" w:hAnsi="Verdana" w:cs="Arial"/>
            <w:lang w:eastAsia="es-ES"/>
          </w:rPr>
          <w:t>Guía de Contratación Pública Sostenible y Socialmente Responsable | Colombia Compra Eficiente | Agencia Nacional de Contratación Pública</w:t>
        </w:r>
      </w:hyperlink>
    </w:p>
    <w:p w14:paraId="4EF46FE5" w14:textId="77777777" w:rsidR="003C25B4" w:rsidRPr="00672426" w:rsidRDefault="003C25B4" w:rsidP="003C25B4">
      <w:pPr>
        <w:spacing w:after="0" w:line="276" w:lineRule="auto"/>
        <w:jc w:val="both"/>
        <w:rPr>
          <w:rFonts w:ascii="Verdana" w:hAnsi="Verdana"/>
        </w:rPr>
      </w:pPr>
    </w:p>
    <w:p w14:paraId="12758959" w14:textId="77777777" w:rsidR="003C25B4" w:rsidRPr="00504DD6" w:rsidRDefault="003C25B4" w:rsidP="003C25B4">
      <w:pPr>
        <w:spacing w:after="0" w:line="276" w:lineRule="auto"/>
        <w:jc w:val="both"/>
        <w:rPr>
          <w:rFonts w:ascii="Verdana" w:eastAsia="Calibri" w:hAnsi="Verdana" w:cs="Arial"/>
          <w:lang w:eastAsia="es-ES_tradnl"/>
        </w:rPr>
      </w:pPr>
      <w:r>
        <w:rPr>
          <w:rFonts w:ascii="Verdana" w:eastAsia="Calibri" w:hAnsi="Verdana" w:cs="Arial"/>
          <w:lang w:eastAsia="es-ES_tradnl"/>
        </w:rPr>
        <w:t>Así mismo, lo</w:t>
      </w:r>
      <w:r w:rsidRPr="00B84822">
        <w:rPr>
          <w:rFonts w:ascii="Verdana" w:eastAsia="Calibri" w:hAnsi="Verdana" w:cs="Arial"/>
          <w:lang w:eastAsia="es-ES_tradnl"/>
        </w:rPr>
        <w:t xml:space="preserv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hyperlink r:id="rId16" w:history="1">
        <w:r w:rsidRPr="00D4732D">
          <w:rPr>
            <w:rStyle w:val="Hipervnculo"/>
            <w:rFonts w:ascii="Verdana" w:eastAsia="Calibri" w:hAnsi="Verdana"/>
            <w:lang w:eastAsia="es-ES_tradnl"/>
          </w:rPr>
          <w:t>https://www.colombiacompra.gov.co/sites/cce_public/files/files_2020/boletin_de_realtoria_viii.pdf</w:t>
        </w:r>
      </w:hyperlink>
    </w:p>
    <w:p w14:paraId="4222D70D" w14:textId="77777777" w:rsidR="003C25B4" w:rsidRDefault="003C25B4" w:rsidP="001268BD">
      <w:pPr>
        <w:spacing w:after="0" w:line="276" w:lineRule="auto"/>
        <w:jc w:val="both"/>
        <w:rPr>
          <w:rFonts w:ascii="Verdana" w:hAnsi="Verdana"/>
        </w:rPr>
      </w:pPr>
    </w:p>
    <w:p w14:paraId="4DA0DEA5" w14:textId="77777777" w:rsidR="003C25B4" w:rsidRPr="003E2460" w:rsidRDefault="003C25B4" w:rsidP="001268BD">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F8A4060" w14:textId="77777777" w:rsidR="003C25B4" w:rsidRPr="003E2460" w:rsidRDefault="003C25B4" w:rsidP="001268BD">
      <w:pPr>
        <w:spacing w:after="0" w:line="276" w:lineRule="auto"/>
        <w:jc w:val="both"/>
        <w:rPr>
          <w:rFonts w:ascii="Verdana" w:hAnsi="Verdana"/>
        </w:rPr>
      </w:pPr>
    </w:p>
    <w:p w14:paraId="65D473F2" w14:textId="77777777" w:rsidR="003C25B4" w:rsidRPr="003E2460" w:rsidRDefault="003C25B4" w:rsidP="001268BD">
      <w:pPr>
        <w:spacing w:after="0" w:line="276"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2270F949" w14:textId="77777777" w:rsidR="003C25B4" w:rsidRPr="003E2460" w:rsidRDefault="003C25B4" w:rsidP="001268BD">
      <w:pPr>
        <w:spacing w:after="0" w:line="276"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63182E59" w14:textId="77777777" w:rsidR="003C25B4" w:rsidRPr="003E2460" w:rsidRDefault="003C25B4" w:rsidP="001268BD">
      <w:pPr>
        <w:spacing w:after="0" w:line="276"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31B6FB74" w14:textId="77777777" w:rsidR="003C25B4" w:rsidRPr="00593A5F" w:rsidRDefault="003C25B4" w:rsidP="003C25B4">
      <w:pPr>
        <w:widowControl w:val="0"/>
        <w:autoSpaceDE w:val="0"/>
        <w:autoSpaceDN w:val="0"/>
        <w:spacing w:after="0" w:line="276" w:lineRule="auto"/>
        <w:jc w:val="both"/>
        <w:rPr>
          <w:rFonts w:ascii="Verdana" w:hAnsi="Verdana" w:cs="Arial"/>
        </w:rPr>
      </w:pPr>
    </w:p>
    <w:p w14:paraId="53D952ED" w14:textId="77777777" w:rsidR="003C25B4" w:rsidRPr="00593A5F" w:rsidRDefault="003C25B4" w:rsidP="003C25B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34F3A5E" w14:textId="77777777" w:rsidR="003C25B4" w:rsidRPr="00593A5F" w:rsidRDefault="003C25B4" w:rsidP="003C25B4">
      <w:pPr>
        <w:widowControl w:val="0"/>
        <w:autoSpaceDE w:val="0"/>
        <w:autoSpaceDN w:val="0"/>
        <w:spacing w:after="0" w:line="276" w:lineRule="auto"/>
        <w:jc w:val="both"/>
        <w:rPr>
          <w:rFonts w:ascii="Verdana" w:hAnsi="Verdana" w:cs="Arial"/>
        </w:rPr>
      </w:pPr>
    </w:p>
    <w:p w14:paraId="217F140C" w14:textId="77777777" w:rsidR="003C25B4" w:rsidRPr="00593A5F" w:rsidRDefault="003C25B4" w:rsidP="001268BD">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330D96B" w14:textId="2AEE2A90" w:rsidR="003C25B4" w:rsidRPr="00593A5F" w:rsidRDefault="00D974F0" w:rsidP="003C25B4">
      <w:pPr>
        <w:spacing w:line="276" w:lineRule="auto"/>
        <w:jc w:val="center"/>
        <w:rPr>
          <w:rFonts w:ascii="Verdana" w:hAnsi="Verdana" w:cs="Arial"/>
          <w:color w:val="000000"/>
          <w:lang w:val="es-ES_tradnl" w:eastAsia="es-CO"/>
        </w:rPr>
      </w:pPr>
      <w:r>
        <w:rPr>
          <w:noProof/>
        </w:rPr>
        <w:drawing>
          <wp:inline distT="0" distB="0" distL="0" distR="0" wp14:anchorId="0DE3AF2E" wp14:editId="72C43B85">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C25B4" w:rsidRPr="00593A5F" w14:paraId="64A194AD" w14:textId="77777777" w:rsidTr="0052103A">
        <w:trPr>
          <w:trHeight w:val="315"/>
        </w:trPr>
        <w:tc>
          <w:tcPr>
            <w:tcW w:w="893" w:type="dxa"/>
            <w:vAlign w:val="center"/>
            <w:hideMark/>
          </w:tcPr>
          <w:p w14:paraId="2411952C" w14:textId="77777777" w:rsidR="003C25B4" w:rsidRPr="003751C7" w:rsidRDefault="003C25B4" w:rsidP="0052103A">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946E68" w14:textId="77777777" w:rsidR="003C25B4" w:rsidRPr="004466B9" w:rsidRDefault="003C25B4" w:rsidP="0052103A">
            <w:pPr>
              <w:contextualSpacing/>
              <w:rPr>
                <w:rFonts w:ascii="Verdana" w:eastAsia="Arial" w:hAnsi="Verdana" w:cs="Arial"/>
                <w:sz w:val="16"/>
                <w:szCs w:val="16"/>
              </w:rPr>
            </w:pPr>
            <w:r w:rsidRPr="004466B9">
              <w:rPr>
                <w:rFonts w:ascii="Verdana" w:eastAsia="Arial" w:hAnsi="Verdana" w:cs="Arial"/>
                <w:sz w:val="16"/>
                <w:szCs w:val="16"/>
              </w:rPr>
              <w:t xml:space="preserve">Catalina Cubides </w:t>
            </w:r>
            <w:proofErr w:type="spellStart"/>
            <w:r w:rsidRPr="004466B9">
              <w:rPr>
                <w:rFonts w:ascii="Verdana" w:eastAsia="Arial" w:hAnsi="Verdana" w:cs="Arial"/>
                <w:sz w:val="16"/>
                <w:szCs w:val="16"/>
              </w:rPr>
              <w:t>Estupiñan</w:t>
            </w:r>
            <w:proofErr w:type="spellEnd"/>
          </w:p>
          <w:p w14:paraId="465C792D" w14:textId="77777777" w:rsidR="003C25B4" w:rsidRPr="003751C7" w:rsidRDefault="003C25B4" w:rsidP="0052103A">
            <w:pPr>
              <w:contextualSpacing/>
              <w:rPr>
                <w:rFonts w:ascii="Verdana" w:eastAsia="Arial" w:hAnsi="Verdana" w:cs="Arial"/>
                <w:sz w:val="16"/>
                <w:szCs w:val="16"/>
              </w:rPr>
            </w:pPr>
            <w:r w:rsidRPr="004466B9">
              <w:rPr>
                <w:rStyle w:val="normaltextrun"/>
                <w:rFonts w:ascii="Verdana" w:eastAsia="Arial" w:hAnsi="Verdana" w:cs="Arial"/>
                <w:sz w:val="16"/>
                <w:szCs w:val="16"/>
              </w:rPr>
              <w:t>Contratista de la Subdirección de Gestión Contractual</w:t>
            </w:r>
          </w:p>
        </w:tc>
      </w:tr>
      <w:tr w:rsidR="003C25B4" w:rsidRPr="00593A5F" w14:paraId="1CDB03CA" w14:textId="77777777" w:rsidTr="0052103A">
        <w:trPr>
          <w:trHeight w:val="330"/>
        </w:trPr>
        <w:tc>
          <w:tcPr>
            <w:tcW w:w="893" w:type="dxa"/>
            <w:vAlign w:val="center"/>
            <w:hideMark/>
          </w:tcPr>
          <w:p w14:paraId="25D1AF2E" w14:textId="77777777" w:rsidR="003C25B4" w:rsidRPr="003751C7" w:rsidRDefault="003C25B4" w:rsidP="0052103A">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83A34A0" w14:textId="77777777" w:rsidR="003C25B4" w:rsidRPr="004466B9" w:rsidRDefault="003C25B4" w:rsidP="0052103A">
            <w:pPr>
              <w:pStyle w:val="paragraph"/>
              <w:spacing w:before="0" w:beforeAutospacing="0" w:after="0" w:afterAutospacing="0"/>
              <w:contextualSpacing/>
              <w:textAlignment w:val="baseline"/>
              <w:rPr>
                <w:rFonts w:ascii="Verdana" w:hAnsi="Verdana" w:cs="Segoe UI"/>
                <w:sz w:val="16"/>
                <w:szCs w:val="16"/>
              </w:rPr>
            </w:pPr>
            <w:r w:rsidRPr="004466B9">
              <w:rPr>
                <w:rStyle w:val="normaltextrun"/>
                <w:rFonts w:ascii="Verdana" w:hAnsi="Verdana" w:cs="Arial"/>
                <w:sz w:val="16"/>
                <w:szCs w:val="16"/>
                <w:lang w:val="es-ES"/>
              </w:rPr>
              <w:t>Diana Lucía Saavedra</w:t>
            </w:r>
          </w:p>
          <w:p w14:paraId="6C01D1D0" w14:textId="77777777" w:rsidR="003C25B4" w:rsidRPr="003751C7" w:rsidRDefault="003C25B4" w:rsidP="0052103A">
            <w:pPr>
              <w:pStyle w:val="paragraph"/>
              <w:spacing w:before="0" w:beforeAutospacing="0" w:after="0" w:afterAutospacing="0"/>
              <w:contextualSpacing/>
              <w:textAlignment w:val="baseline"/>
              <w:rPr>
                <w:rFonts w:ascii="Verdana" w:hAnsi="Verdana" w:cs="Segoe UI"/>
                <w:sz w:val="16"/>
                <w:szCs w:val="16"/>
              </w:rPr>
            </w:pPr>
            <w:r w:rsidRPr="004466B9">
              <w:rPr>
                <w:rStyle w:val="normaltextrun"/>
                <w:rFonts w:ascii="Verdana" w:hAnsi="Verdana" w:cs="Arial"/>
                <w:sz w:val="16"/>
                <w:szCs w:val="16"/>
                <w:lang w:val="es-ES"/>
              </w:rPr>
              <w:t>Contratista de la Subdirección de Gestión Contractual</w:t>
            </w:r>
            <w:r w:rsidRPr="004466B9">
              <w:rPr>
                <w:rStyle w:val="eop"/>
                <w:rFonts w:ascii="Verdana" w:hAnsi="Verdana" w:cs="Arial"/>
                <w:sz w:val="16"/>
                <w:szCs w:val="16"/>
              </w:rPr>
              <w:t> </w:t>
            </w:r>
          </w:p>
        </w:tc>
      </w:tr>
      <w:tr w:rsidR="003C25B4" w:rsidRPr="00593A5F" w14:paraId="740B23AB" w14:textId="77777777" w:rsidTr="0052103A">
        <w:trPr>
          <w:trHeight w:val="300"/>
        </w:trPr>
        <w:tc>
          <w:tcPr>
            <w:tcW w:w="893" w:type="dxa"/>
            <w:vAlign w:val="center"/>
          </w:tcPr>
          <w:p w14:paraId="192D0D2A" w14:textId="77777777" w:rsidR="003C25B4" w:rsidRPr="003751C7" w:rsidRDefault="003C25B4" w:rsidP="0052103A">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05EC13F" w14:textId="77777777" w:rsidR="003C25B4" w:rsidRPr="003751C7" w:rsidRDefault="003C25B4" w:rsidP="0052103A">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7E28888A" w14:textId="77777777" w:rsidR="003C25B4" w:rsidRPr="003751C7" w:rsidRDefault="003C25B4" w:rsidP="0052103A">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w:t>
            </w:r>
            <w:proofErr w:type="spellStart"/>
            <w:r w:rsidRPr="003751C7">
              <w:rPr>
                <w:rFonts w:ascii="Verdana" w:eastAsia="Calibri" w:hAnsi="Verdana" w:cs="Arial"/>
                <w:sz w:val="16"/>
                <w:szCs w:val="16"/>
                <w:lang w:val="pt-BR" w:eastAsia="es-ES"/>
              </w:rPr>
              <w:t>Gestión</w:t>
            </w:r>
            <w:proofErr w:type="spellEnd"/>
            <w:r w:rsidRPr="003751C7">
              <w:rPr>
                <w:rFonts w:ascii="Verdana" w:eastAsia="Calibri" w:hAnsi="Verdana" w:cs="Arial"/>
                <w:sz w:val="16"/>
                <w:szCs w:val="16"/>
                <w:lang w:val="pt-BR" w:eastAsia="es-ES"/>
              </w:rPr>
              <w:t xml:space="preserve">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A645BF7" w14:textId="77777777" w:rsidR="003C25B4" w:rsidRPr="00593A5F" w:rsidRDefault="003C25B4" w:rsidP="003C25B4">
      <w:pPr>
        <w:spacing w:after="0" w:line="240" w:lineRule="auto"/>
        <w:rPr>
          <w:rFonts w:ascii="Verdana" w:eastAsia="Times New Roman" w:hAnsi="Verdana" w:cs="Arial"/>
          <w:sz w:val="24"/>
          <w:szCs w:val="24"/>
          <w:lang w:eastAsia="es-ES"/>
        </w:rPr>
      </w:pPr>
    </w:p>
    <w:p w14:paraId="272914E2" w14:textId="77777777" w:rsidR="003C25B4" w:rsidRPr="00871B59" w:rsidRDefault="003C25B4" w:rsidP="003C25B4"/>
    <w:p w14:paraId="3900974D" w14:textId="77777777" w:rsidR="003D5B0D" w:rsidRPr="0044528D" w:rsidRDefault="003D5B0D" w:rsidP="003C25B4">
      <w:pPr>
        <w:spacing w:after="0"/>
        <w:rPr>
          <w:rFonts w:ascii="Verdana" w:eastAsia="Times New Roman" w:hAnsi="Verdana" w:cs="Segoe UI"/>
          <w:b/>
          <w:bCs/>
          <w:color w:val="46589C"/>
          <w:lang w:val="es-ES" w:eastAsia="es-CO"/>
        </w:rPr>
      </w:pPr>
    </w:p>
    <w:sectPr w:rsidR="003D5B0D"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8E20E" w14:textId="77777777" w:rsidR="008A2383" w:rsidRDefault="008A2383" w:rsidP="004A1847">
      <w:pPr>
        <w:spacing w:after="0" w:line="240" w:lineRule="auto"/>
      </w:pPr>
      <w:r>
        <w:separator/>
      </w:r>
    </w:p>
  </w:endnote>
  <w:endnote w:type="continuationSeparator" w:id="0">
    <w:p w14:paraId="7FF24D3D" w14:textId="77777777" w:rsidR="008A2383" w:rsidRDefault="008A2383" w:rsidP="004A1847">
      <w:pPr>
        <w:spacing w:after="0" w:line="240" w:lineRule="auto"/>
      </w:pPr>
      <w:r>
        <w:continuationSeparator/>
      </w:r>
    </w:p>
  </w:endnote>
  <w:endnote w:type="continuationNotice" w:id="1">
    <w:p w14:paraId="07E5B268" w14:textId="77777777" w:rsidR="008A2383" w:rsidRDefault="008A23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8E72C" w14:textId="77777777" w:rsidR="008A2383" w:rsidRDefault="008A2383" w:rsidP="004A1847">
      <w:pPr>
        <w:spacing w:after="0" w:line="240" w:lineRule="auto"/>
      </w:pPr>
      <w:r>
        <w:separator/>
      </w:r>
    </w:p>
  </w:footnote>
  <w:footnote w:type="continuationSeparator" w:id="0">
    <w:p w14:paraId="53606C4E" w14:textId="77777777" w:rsidR="008A2383" w:rsidRDefault="008A2383" w:rsidP="004A1847">
      <w:pPr>
        <w:spacing w:after="0" w:line="240" w:lineRule="auto"/>
      </w:pPr>
      <w:r>
        <w:continuationSeparator/>
      </w:r>
    </w:p>
  </w:footnote>
  <w:footnote w:type="continuationNotice" w:id="1">
    <w:p w14:paraId="5101A87F" w14:textId="77777777" w:rsidR="008A2383" w:rsidRDefault="008A2383">
      <w:pPr>
        <w:spacing w:after="0" w:line="240" w:lineRule="auto"/>
      </w:pPr>
    </w:p>
  </w:footnote>
  <w:footnote w:id="2">
    <w:p w14:paraId="5582779D" w14:textId="77777777" w:rsidR="003C25B4" w:rsidRPr="006F43F2" w:rsidRDefault="003C25B4" w:rsidP="003C25B4">
      <w:pPr>
        <w:pStyle w:val="Textonotapie"/>
        <w:rPr>
          <w:lang w:val="es-ES"/>
        </w:rPr>
      </w:pPr>
      <w:r>
        <w:rPr>
          <w:rStyle w:val="Refdenotaalpie"/>
        </w:rPr>
        <w:footnoteRef/>
      </w:r>
      <w:r>
        <w:t xml:space="preserve"> </w:t>
      </w:r>
      <w:bookmarkStart w:id="2" w:name="_Hlk194585735"/>
      <w:r>
        <w:rPr>
          <w:lang w:val="es-ES"/>
        </w:rPr>
        <w:t>Corte Constitucional. Sentencia C-290/08. M.P: Jaime Córdoba Triviño</w:t>
      </w:r>
      <w:bookmarkEnd w:id="2"/>
    </w:p>
  </w:footnote>
  <w:footnote w:id="3">
    <w:p w14:paraId="0933AC4A" w14:textId="77777777" w:rsidR="003C25B4" w:rsidRPr="009026F5" w:rsidRDefault="003C25B4" w:rsidP="003C25B4">
      <w:pPr>
        <w:pStyle w:val="Textonotapie"/>
        <w:rPr>
          <w:lang w:val="es-ES"/>
        </w:rPr>
      </w:pPr>
      <w:r>
        <w:rPr>
          <w:rStyle w:val="Refdenotaalpie"/>
        </w:rPr>
        <w:footnoteRef/>
      </w:r>
      <w:r>
        <w:t xml:space="preserve"> </w:t>
      </w:r>
      <w:bookmarkStart w:id="3" w:name="_Hlk194585800"/>
      <w:r>
        <w:rPr>
          <w:lang w:val="es-ES"/>
        </w:rPr>
        <w:t>Corte Constitucional. Sentencia C-612/13. M.P: Alberto Rojas Ríos</w:t>
      </w:r>
      <w:bookmarkEnd w:id="3"/>
    </w:p>
  </w:footnote>
  <w:footnote w:id="4">
    <w:p w14:paraId="1E6535BA" w14:textId="77777777" w:rsidR="003C25B4" w:rsidRPr="007F6E1C" w:rsidRDefault="003C25B4" w:rsidP="003C25B4">
      <w:pPr>
        <w:pStyle w:val="Textonotapie"/>
        <w:rPr>
          <w:lang w:val="es-ES"/>
        </w:rPr>
      </w:pPr>
      <w:bookmarkStart w:id="5" w:name="_Hlk194585808"/>
      <w:r>
        <w:rPr>
          <w:rStyle w:val="Refdenotaalpie"/>
        </w:rPr>
        <w:footnoteRef/>
      </w:r>
      <w:r>
        <w:t xml:space="preserve"> </w:t>
      </w:r>
      <w:r>
        <w:rPr>
          <w:lang w:val="es-ES"/>
        </w:rPr>
        <w:t>Corte Constitucional. Sentencia C-489/96. M.P: Antonio Barrera Carbonell</w:t>
      </w:r>
      <w:bookmarkEnd w:id="5"/>
    </w:p>
  </w:footnote>
  <w:footnote w:id="5">
    <w:p w14:paraId="2BCAE5CE" w14:textId="77777777" w:rsidR="003C25B4" w:rsidRPr="001A625A" w:rsidRDefault="003C25B4" w:rsidP="003C25B4">
      <w:pPr>
        <w:spacing w:after="0" w:line="240" w:lineRule="auto"/>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21DEE362" w14:textId="77777777" w:rsidR="003C25B4" w:rsidRPr="001A625A" w:rsidRDefault="003C25B4" w:rsidP="003C25B4">
      <w:pPr>
        <w:spacing w:after="0" w:line="240" w:lineRule="auto"/>
        <w:ind w:firstLine="709"/>
        <w:jc w:val="both"/>
        <w:rPr>
          <w:rFonts w:ascii="Verdana" w:hAnsi="Verdana" w:cs="Arial"/>
          <w:color w:val="000000" w:themeColor="text1"/>
          <w:sz w:val="16"/>
          <w:szCs w:val="16"/>
          <w:lang w:val="es-ES"/>
        </w:rPr>
      </w:pPr>
    </w:p>
  </w:footnote>
  <w:footnote w:id="6">
    <w:p w14:paraId="7EC5EE61" w14:textId="77777777" w:rsidR="003C25B4" w:rsidRPr="001A625A" w:rsidRDefault="003C25B4" w:rsidP="003C25B4">
      <w:pPr>
        <w:pStyle w:val="Textonotapie"/>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0A56FFE5" w14:textId="77777777" w:rsidR="003C25B4" w:rsidRPr="001A625A" w:rsidRDefault="003C25B4" w:rsidP="003C25B4">
      <w:pPr>
        <w:pStyle w:val="Textonotapie"/>
        <w:ind w:firstLine="709"/>
        <w:jc w:val="both"/>
        <w:rPr>
          <w:rFonts w:ascii="Verdana" w:hAnsi="Verdana" w:cs="Arial"/>
          <w:color w:val="000000" w:themeColor="text1"/>
          <w:sz w:val="16"/>
          <w:szCs w:val="16"/>
          <w:lang w:val="es-CO"/>
        </w:rPr>
      </w:pPr>
    </w:p>
  </w:footnote>
  <w:footnote w:id="7">
    <w:p w14:paraId="46A3A306" w14:textId="77777777" w:rsidR="003C25B4" w:rsidRPr="001A625A" w:rsidRDefault="003C25B4" w:rsidP="003C25B4">
      <w:pPr>
        <w:pStyle w:val="Textonotapie"/>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0EB1E4D1" w14:textId="77777777" w:rsidR="003C25B4" w:rsidRPr="001A625A" w:rsidRDefault="003C25B4" w:rsidP="003C25B4">
      <w:pPr>
        <w:pStyle w:val="Textonotapie"/>
        <w:ind w:firstLine="709"/>
        <w:jc w:val="both"/>
        <w:rPr>
          <w:rFonts w:ascii="Verdana" w:hAnsi="Verdana" w:cs="Arial"/>
          <w:color w:val="000000" w:themeColor="text1"/>
          <w:sz w:val="16"/>
          <w:szCs w:val="16"/>
          <w:lang w:val="es-CO"/>
        </w:rPr>
      </w:pPr>
      <w:r w:rsidRPr="001A625A">
        <w:rPr>
          <w:rFonts w:ascii="Verdana" w:hAnsi="Verdana" w:cs="Arial"/>
          <w:color w:val="000000" w:themeColor="text1"/>
          <w:sz w:val="16"/>
          <w:szCs w:val="16"/>
          <w:lang w:val="es-ES"/>
        </w:rPr>
        <w:t xml:space="preserve">  </w:t>
      </w:r>
    </w:p>
  </w:footnote>
  <w:footnote w:id="8">
    <w:p w14:paraId="59A3CBEA" w14:textId="77777777" w:rsidR="003C25B4" w:rsidRPr="001A625A" w:rsidRDefault="003C25B4" w:rsidP="003C25B4">
      <w:pPr>
        <w:spacing w:after="0" w:line="240" w:lineRule="auto"/>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7BD2AD5D" w14:textId="77777777" w:rsidR="003C25B4" w:rsidRPr="001A625A" w:rsidRDefault="003C25B4" w:rsidP="003C25B4">
      <w:pPr>
        <w:spacing w:after="0" w:line="240" w:lineRule="auto"/>
        <w:ind w:firstLine="709"/>
        <w:jc w:val="both"/>
        <w:rPr>
          <w:rFonts w:ascii="Verdana" w:hAnsi="Verdana" w:cs="Arial"/>
          <w:color w:val="000000" w:themeColor="text1"/>
          <w:sz w:val="16"/>
          <w:szCs w:val="16"/>
          <w:lang w:val="es-ES"/>
        </w:rPr>
      </w:pPr>
    </w:p>
  </w:footnote>
  <w:footnote w:id="9">
    <w:p w14:paraId="5C51D56D" w14:textId="77777777" w:rsidR="003C25B4" w:rsidRPr="007A0D4B" w:rsidRDefault="003C25B4" w:rsidP="003C25B4">
      <w:pPr>
        <w:pStyle w:val="Textonotapie"/>
        <w:ind w:firstLine="709"/>
        <w:contextualSpacing/>
        <w:jc w:val="both"/>
        <w:rPr>
          <w:rFonts w:ascii="Century Gothic" w:hAnsi="Century Gothic" w:cs="Arial"/>
          <w:color w:val="000000"/>
          <w:sz w:val="16"/>
          <w:szCs w:val="16"/>
          <w:lang w:val="es-ES"/>
        </w:rPr>
      </w:pPr>
      <w:r w:rsidRPr="007A0D4B">
        <w:rPr>
          <w:rStyle w:val="Refdenotaalpie"/>
          <w:rFonts w:ascii="Century Gothic" w:hAnsi="Century Gothic"/>
          <w:sz w:val="16"/>
          <w:szCs w:val="16"/>
        </w:rPr>
        <w:footnoteRef/>
      </w:r>
      <w:r w:rsidRPr="007A0D4B">
        <w:rPr>
          <w:rFonts w:ascii="Century Gothic" w:hAnsi="Century Gothic" w:cs="Arial"/>
          <w:color w:val="000000"/>
          <w:sz w:val="16"/>
          <w:szCs w:val="16"/>
        </w:rPr>
        <w:t xml:space="preserve"> </w:t>
      </w:r>
      <w:r w:rsidRPr="007A0D4B">
        <w:rPr>
          <w:rFonts w:ascii="Century Gothic" w:hAnsi="Century Gothic" w:cs="Arial"/>
          <w:color w:val="000000"/>
          <w:sz w:val="16"/>
          <w:szCs w:val="16"/>
          <w:lang w:val="es-ES"/>
        </w:rPr>
        <w:t xml:space="preserve">Corte Constitucional. Sentencia T-1039 de 2006. </w:t>
      </w:r>
      <w:r w:rsidRPr="001268BD">
        <w:rPr>
          <w:rFonts w:ascii="Century Gothic" w:hAnsi="Century Gothic" w:cs="Arial"/>
          <w:color w:val="000000"/>
          <w:sz w:val="16"/>
          <w:szCs w:val="16"/>
          <w:lang w:val="it-IT"/>
        </w:rPr>
        <w:t xml:space="preserve">Magistrado Ponente: Humberto Sierra Porto. </w:t>
      </w:r>
      <w:r w:rsidRPr="007A0D4B">
        <w:rPr>
          <w:rFonts w:ascii="Century Gothic" w:hAnsi="Century Gothic" w:cs="Arial"/>
          <w:color w:val="000000"/>
          <w:sz w:val="16"/>
          <w:szCs w:val="16"/>
          <w:lang w:val="es-ES"/>
        </w:rPr>
        <w:t xml:space="preserve">La Corte ha mantenido este criterio en las sentencias: C-903 de 2008. Magistrado Ponente: Jaime Araujo Rentería; C-101 de 2018. Magistrada Ponente Gloria Stella Ortiz Delgado; entre otras. </w:t>
      </w:r>
    </w:p>
    <w:p w14:paraId="4A758E30" w14:textId="77777777" w:rsidR="003C25B4" w:rsidRPr="007A0D4B" w:rsidRDefault="003C25B4" w:rsidP="003C25B4">
      <w:pPr>
        <w:pStyle w:val="Textonotapie"/>
        <w:ind w:firstLine="709"/>
        <w:contextualSpacing/>
        <w:jc w:val="both"/>
        <w:rPr>
          <w:rFonts w:ascii="Century Gothic" w:hAnsi="Century Gothic" w:cs="Arial"/>
          <w:color w:val="000000"/>
          <w:sz w:val="16"/>
          <w:szCs w:val="16"/>
          <w:lang w:val="es-ES"/>
        </w:rPr>
      </w:pPr>
    </w:p>
  </w:footnote>
  <w:footnote w:id="10">
    <w:p w14:paraId="1ADCAE3E" w14:textId="77777777" w:rsidR="003C25B4" w:rsidRPr="007A0D4B" w:rsidRDefault="003C25B4" w:rsidP="003C25B4">
      <w:pPr>
        <w:pStyle w:val="Textonotapie"/>
        <w:ind w:firstLine="709"/>
        <w:contextualSpacing/>
        <w:jc w:val="both"/>
        <w:rPr>
          <w:rFonts w:ascii="Century Gothic" w:hAnsi="Century Gothic" w:cs="Arial"/>
          <w:color w:val="000000"/>
          <w:sz w:val="16"/>
          <w:szCs w:val="16"/>
          <w:lang w:val="es-ES"/>
        </w:rPr>
      </w:pPr>
      <w:r w:rsidRPr="007A0D4B">
        <w:rPr>
          <w:rStyle w:val="Refdenotaalpie"/>
          <w:rFonts w:ascii="Century Gothic" w:hAnsi="Century Gothic"/>
          <w:sz w:val="16"/>
          <w:szCs w:val="16"/>
        </w:rPr>
        <w:footnoteRef/>
      </w:r>
      <w:r w:rsidRPr="007A0D4B">
        <w:rPr>
          <w:rFonts w:ascii="Century Gothic" w:hAnsi="Century Gothic" w:cs="Arial"/>
          <w:color w:val="000000"/>
          <w:sz w:val="16"/>
          <w:szCs w:val="16"/>
        </w:rPr>
        <w:t xml:space="preserve"> </w:t>
      </w:r>
      <w:r w:rsidRPr="007A0D4B">
        <w:rPr>
          <w:rFonts w:ascii="Century Gothic" w:hAnsi="Century Gothic" w:cs="Arial"/>
          <w:color w:val="000000"/>
          <w:sz w:val="16"/>
          <w:szCs w:val="16"/>
          <w:lang w:val="es-ES"/>
        </w:rPr>
        <w:t>Consejo de Estado. Sala de Consulta y Servicio Civil. Concepto del 30 de abril de 2015. Expediente: 2.251. Consejero Ponente: Álvaro Namén Vargas.</w:t>
      </w:r>
    </w:p>
    <w:p w14:paraId="1F153C18" w14:textId="77777777" w:rsidR="003C25B4" w:rsidRPr="007A0D4B" w:rsidRDefault="003C25B4" w:rsidP="003C25B4">
      <w:pPr>
        <w:pStyle w:val="Textonotapie"/>
        <w:ind w:firstLine="709"/>
        <w:contextualSpacing/>
        <w:jc w:val="both"/>
        <w:rPr>
          <w:rFonts w:ascii="Century Gothic" w:hAnsi="Century Gothic" w:cs="Arial"/>
          <w:color w:val="000000"/>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10pt;height:10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26DA"/>
    <w:rsid w:val="000D0334"/>
    <w:rsid w:val="000F6486"/>
    <w:rsid w:val="00101D86"/>
    <w:rsid w:val="00125105"/>
    <w:rsid w:val="001268BD"/>
    <w:rsid w:val="00127233"/>
    <w:rsid w:val="001511A0"/>
    <w:rsid w:val="001E4177"/>
    <w:rsid w:val="001F7DC6"/>
    <w:rsid w:val="002421BB"/>
    <w:rsid w:val="0025796E"/>
    <w:rsid w:val="002707A2"/>
    <w:rsid w:val="002951A0"/>
    <w:rsid w:val="002962BC"/>
    <w:rsid w:val="002A093D"/>
    <w:rsid w:val="002A0DD0"/>
    <w:rsid w:val="002A49AC"/>
    <w:rsid w:val="002A64FD"/>
    <w:rsid w:val="002C48EE"/>
    <w:rsid w:val="002C7A84"/>
    <w:rsid w:val="002E4FD9"/>
    <w:rsid w:val="00322A85"/>
    <w:rsid w:val="00324168"/>
    <w:rsid w:val="003448F4"/>
    <w:rsid w:val="00374F5E"/>
    <w:rsid w:val="00377E3E"/>
    <w:rsid w:val="00384BAA"/>
    <w:rsid w:val="003A779E"/>
    <w:rsid w:val="003C25B4"/>
    <w:rsid w:val="003D0F4D"/>
    <w:rsid w:val="003D5B0D"/>
    <w:rsid w:val="003E0499"/>
    <w:rsid w:val="003F3941"/>
    <w:rsid w:val="00406575"/>
    <w:rsid w:val="00414C74"/>
    <w:rsid w:val="0042722E"/>
    <w:rsid w:val="0044528D"/>
    <w:rsid w:val="004A1847"/>
    <w:rsid w:val="004A305D"/>
    <w:rsid w:val="004F21C4"/>
    <w:rsid w:val="004F685F"/>
    <w:rsid w:val="004F75B4"/>
    <w:rsid w:val="0051521E"/>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90C28"/>
    <w:rsid w:val="007B268C"/>
    <w:rsid w:val="007B7171"/>
    <w:rsid w:val="007C0C0F"/>
    <w:rsid w:val="007C3DC2"/>
    <w:rsid w:val="007E5497"/>
    <w:rsid w:val="00806F5F"/>
    <w:rsid w:val="00820278"/>
    <w:rsid w:val="008206D5"/>
    <w:rsid w:val="00840166"/>
    <w:rsid w:val="00867F95"/>
    <w:rsid w:val="008843B6"/>
    <w:rsid w:val="00891928"/>
    <w:rsid w:val="008A2383"/>
    <w:rsid w:val="008A446D"/>
    <w:rsid w:val="008D180B"/>
    <w:rsid w:val="008F0EA7"/>
    <w:rsid w:val="0090752F"/>
    <w:rsid w:val="00910210"/>
    <w:rsid w:val="009114EA"/>
    <w:rsid w:val="00917F3B"/>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3662D"/>
    <w:rsid w:val="00B66319"/>
    <w:rsid w:val="00B72CD3"/>
    <w:rsid w:val="00B72FFF"/>
    <w:rsid w:val="00BC3D36"/>
    <w:rsid w:val="00BD7F72"/>
    <w:rsid w:val="00C04FB3"/>
    <w:rsid w:val="00C330EB"/>
    <w:rsid w:val="00C370FE"/>
    <w:rsid w:val="00C41061"/>
    <w:rsid w:val="00C61CE0"/>
    <w:rsid w:val="00C6752D"/>
    <w:rsid w:val="00C754BE"/>
    <w:rsid w:val="00C76B1C"/>
    <w:rsid w:val="00C76DE9"/>
    <w:rsid w:val="00CB6357"/>
    <w:rsid w:val="00CC0FF4"/>
    <w:rsid w:val="00CC1B26"/>
    <w:rsid w:val="00D423A2"/>
    <w:rsid w:val="00D4732D"/>
    <w:rsid w:val="00D520D8"/>
    <w:rsid w:val="00D63AC2"/>
    <w:rsid w:val="00D64C9E"/>
    <w:rsid w:val="00D65610"/>
    <w:rsid w:val="00D72EC0"/>
    <w:rsid w:val="00D7383B"/>
    <w:rsid w:val="00D8567C"/>
    <w:rsid w:val="00D974F0"/>
    <w:rsid w:val="00DA231B"/>
    <w:rsid w:val="00DC39FC"/>
    <w:rsid w:val="00DF5254"/>
    <w:rsid w:val="00E16408"/>
    <w:rsid w:val="00E20894"/>
    <w:rsid w:val="00E245AB"/>
    <w:rsid w:val="00E2764C"/>
    <w:rsid w:val="00E27F2E"/>
    <w:rsid w:val="00E315CE"/>
    <w:rsid w:val="00E50AFE"/>
    <w:rsid w:val="00E75C92"/>
    <w:rsid w:val="00E771DC"/>
    <w:rsid w:val="00E8772A"/>
    <w:rsid w:val="00E90F6B"/>
    <w:rsid w:val="00E92C27"/>
    <w:rsid w:val="00EA0E3D"/>
    <w:rsid w:val="00EC38A7"/>
    <w:rsid w:val="00ED2333"/>
    <w:rsid w:val="00ED7384"/>
    <w:rsid w:val="00EE1AA8"/>
    <w:rsid w:val="00F256B3"/>
    <w:rsid w:val="00F31EDC"/>
    <w:rsid w:val="00F462B3"/>
    <w:rsid w:val="00F5664F"/>
    <w:rsid w:val="00F666C4"/>
    <w:rsid w:val="00F76AFC"/>
    <w:rsid w:val="00FA47C0"/>
    <w:rsid w:val="00FB5DD1"/>
    <w:rsid w:val="00FC2B5D"/>
    <w:rsid w:val="00FD7063"/>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C25B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25B4"/>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sergio.caballero%40colombiacompra.gov.co%7Ceb0fd05604104aa4d3bc08dd4c4ad35e%7C7b09041e245149d08cb179d5e3d8c1be%7C0%7C0%7C638750606450638124%7CUnknown%7CTWFpbGZsb3d8eyJFbXB0eU1hcGkiOnRydWUsIlYiOiIwLjAuMDAwMCIsIlAiOiJXaW4zMiIsIkFOIjoiTWFpbCIsIldUIjoyfQ%3D%3D%7C0%7C%7C%7C&amp;sdata=GsJIL57dtjU4EgyeV9GoXT9Qyf5HCr3L97ztn6DduKY%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sites/cce_public/files/files_2020/boletin_de_realtoria_viii.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ielahuertas23@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eb0fd05604104aa4d3bc08dd4c4ad35e%7C7b09041e245149d08cb179d5e3d8c1be%7C0%7C0%7C638750606450689684%7CUnknown%7CTWFpbGZsb3d8eyJFbXB0eU1hcGkiOnRydWUsIlYiOiIwLjAuMDAwMCIsIlAiOiJXaW4zMiIsIkFOIjoiTWFpbCIsIldUIjoyfQ%3D%3D%7C0%7C%7C%7C&amp;sdata=NxWmEz0gePs69v4kYbGRcHH9k%2FqWDe2nEUXaxf28aZc%3D&amp;reserved=0" TargetMode="External"/><Relationship Id="rId10" Type="http://schemas.openxmlformats.org/officeDocument/2006/relationships/image" Target="media/image2.tmp"/><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sergio.caballero%40colombiacompra.gov.co%7Ceb0fd05604104aa4d3bc08dd4c4ad35e%7C7b09041e245149d08cb179d5e3d8c1be%7C0%7C0%7C638750606450666822%7CUnknown%7CTWFpbGZsb3d8eyJFbXB0eU1hcGkiOnRydWUsIlYiOiIwLjAuMDAwMCIsIlAiOiJXaW4zMiIsIkFOIjoiTWFpbCIsIldUIjoyfQ%3D%3D%7C0%7C%7C%7C&amp;sdata=mU5XUX7Q%2BXd%2FpAjSuS1xL4Fxie0rJRg%2FgAbyPiGkYwc%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44B765F-FDBF-4229-A835-47682095FE67}"/>
</file>

<file path=docProps/app.xml><?xml version="1.0" encoding="utf-8"?>
<Properties xmlns="http://schemas.openxmlformats.org/officeDocument/2006/extended-properties" xmlns:vt="http://schemas.openxmlformats.org/officeDocument/2006/docPropsVTypes">
  <Template>Normal</Template>
  <TotalTime>13</TotalTime>
  <Pages>13</Pages>
  <Words>4078</Words>
  <Characters>22434</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cp:lastModifiedBy>
  <cp:revision>5</cp:revision>
  <cp:lastPrinted>2023-01-10T21:18:00Z</cp:lastPrinted>
  <dcterms:created xsi:type="dcterms:W3CDTF">2025-04-08T02:04:00Z</dcterms:created>
  <dcterms:modified xsi:type="dcterms:W3CDTF">2025-04-10T22:34:00Z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