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CAC71" w14:textId="5282EFA7" w:rsidR="002415B8" w:rsidRPr="00400B70" w:rsidRDefault="00B55C69" w:rsidP="008536BB">
      <w:pPr>
        <w:jc w:val="right"/>
        <w:rPr>
          <w:rFonts w:ascii="Arial" w:eastAsia="Calibri" w:hAnsi="Arial" w:cs="Arial"/>
          <w:b/>
          <w:color w:val="000000" w:themeColor="text1"/>
          <w:sz w:val="20"/>
          <w:szCs w:val="20"/>
          <w:lang w:val="es-ES_tradnl"/>
        </w:rPr>
      </w:pPr>
      <w:bookmarkStart w:id="0" w:name="_Hlk28946138"/>
      <w:bookmarkStart w:id="1" w:name="_Hlk29548183"/>
      <w:r w:rsidRPr="00400B70">
        <w:rPr>
          <w:rFonts w:ascii="Arial" w:hAnsi="Arial" w:cs="Arial"/>
          <w:bCs/>
          <w:color w:val="000000" w:themeColor="text1"/>
          <w:sz w:val="16"/>
          <w:szCs w:val="16"/>
          <w:lang w:val="es-ES_tradnl" w:eastAsia="es-ES"/>
        </w:rPr>
        <w:t>CCE-DES-FM-17</w:t>
      </w:r>
      <w:bookmarkEnd w:id="0"/>
      <w:bookmarkEnd w:id="1"/>
    </w:p>
    <w:p w14:paraId="55FBD910" w14:textId="77777777" w:rsidR="008536BB" w:rsidRPr="00400B70" w:rsidRDefault="008536BB" w:rsidP="00B95C30">
      <w:pPr>
        <w:spacing w:line="276" w:lineRule="auto"/>
        <w:jc w:val="both"/>
        <w:rPr>
          <w:rFonts w:ascii="Arial" w:hAnsi="Arial" w:cs="Arial"/>
          <w:noProof/>
          <w:color w:val="000000" w:themeColor="text1"/>
          <w:sz w:val="22"/>
          <w:lang w:val="es-ES_tradnl"/>
        </w:rPr>
      </w:pPr>
    </w:p>
    <w:p w14:paraId="72CC44DB" w14:textId="77777777" w:rsidR="00D92C14" w:rsidRPr="002B3BB3" w:rsidRDefault="00D92C14" w:rsidP="00D92C14">
      <w:pPr>
        <w:spacing w:after="120"/>
        <w:contextualSpacing/>
        <w:jc w:val="both"/>
        <w:rPr>
          <w:rFonts w:ascii="Arial" w:eastAsia="Calibri" w:hAnsi="Arial" w:cs="Arial"/>
          <w:b/>
          <w:bCs/>
          <w:color w:val="000000" w:themeColor="text1"/>
          <w:sz w:val="20"/>
          <w:szCs w:val="20"/>
          <w:lang w:val="es-ES_tradnl" w:eastAsia="en-US"/>
        </w:rPr>
      </w:pPr>
      <w:r w:rsidRPr="002B3BB3">
        <w:rPr>
          <w:rFonts w:ascii="Arial" w:eastAsia="Calibri" w:hAnsi="Arial" w:cs="Arial"/>
          <w:b/>
          <w:bCs/>
          <w:color w:val="000000" w:themeColor="text1"/>
          <w:sz w:val="20"/>
          <w:szCs w:val="20"/>
          <w:lang w:val="es-ES_tradnl" w:eastAsia="en-US"/>
        </w:rPr>
        <w:t>LEY DE GARANTÍAS ELECTORALES – Finalidad</w:t>
      </w:r>
    </w:p>
    <w:p w14:paraId="217A7DBF" w14:textId="77777777" w:rsidR="00D92C14" w:rsidRPr="002B3BB3" w:rsidRDefault="00D92C14" w:rsidP="00C61228">
      <w:pPr>
        <w:spacing w:after="120"/>
        <w:contextualSpacing/>
        <w:jc w:val="both"/>
        <w:rPr>
          <w:rFonts w:ascii="Arial" w:eastAsia="Calibri" w:hAnsi="Arial" w:cs="Arial"/>
          <w:color w:val="000000" w:themeColor="text1"/>
          <w:sz w:val="20"/>
          <w:szCs w:val="20"/>
          <w:lang w:val="es-ES_tradnl" w:eastAsia="en-US"/>
        </w:rPr>
      </w:pPr>
    </w:p>
    <w:p w14:paraId="33674FD6" w14:textId="7EC63E4F" w:rsidR="00C61228" w:rsidRPr="002B3BB3" w:rsidRDefault="00D92C14" w:rsidP="00C61228">
      <w:pPr>
        <w:tabs>
          <w:tab w:val="left" w:pos="426"/>
        </w:tabs>
        <w:spacing w:after="120"/>
        <w:jc w:val="both"/>
        <w:rPr>
          <w:rFonts w:ascii="Arial" w:hAnsi="Arial" w:cs="Arial"/>
          <w:bCs/>
          <w:color w:val="000000" w:themeColor="text1"/>
          <w:sz w:val="20"/>
          <w:szCs w:val="20"/>
          <w:lang w:val="es-ES_tradnl" w:eastAsia="es-CO"/>
        </w:rPr>
      </w:pPr>
      <w:r w:rsidRPr="002B3BB3">
        <w:rPr>
          <w:rFonts w:ascii="Arial" w:hAnsi="Arial" w:cs="Arial"/>
          <w:bCs/>
          <w:color w:val="000000" w:themeColor="text1"/>
          <w:sz w:val="20"/>
          <w:szCs w:val="20"/>
          <w:lang w:val="es-ES_tradnl" w:eastAsia="es-CO"/>
        </w:rPr>
        <w:t xml:space="preserve">[…] </w:t>
      </w:r>
      <w:r w:rsidR="00C61228" w:rsidRPr="002B3BB3">
        <w:rPr>
          <w:rFonts w:ascii="Arial" w:eastAsia="Calibri" w:hAnsi="Arial" w:cs="Arial"/>
          <w:bCs/>
          <w:color w:val="000000" w:themeColor="text1"/>
          <w:sz w:val="20"/>
          <w:szCs w:val="20"/>
          <w:lang w:val="es-ES_tradnl" w:eastAsia="en-US"/>
        </w:rPr>
        <w:t xml:space="preserve">el artículo 127 de la Constitución Política establece una prohibición contractual a los servidores públicos y, en cuanto a aspectos políticos, establece restricciones a ciertos empleados del Estado, incluso en época no electoral. </w:t>
      </w:r>
    </w:p>
    <w:p w14:paraId="7336C959" w14:textId="599FB11D" w:rsidR="00D92C14" w:rsidRPr="002B3BB3" w:rsidRDefault="00C61228" w:rsidP="00C61228">
      <w:pPr>
        <w:tabs>
          <w:tab w:val="left" w:pos="426"/>
        </w:tabs>
        <w:spacing w:after="120"/>
        <w:jc w:val="both"/>
        <w:rPr>
          <w:rFonts w:ascii="Arial" w:eastAsia="Calibri" w:hAnsi="Arial" w:cs="Arial"/>
          <w:bCs/>
          <w:color w:val="000000" w:themeColor="text1"/>
          <w:sz w:val="20"/>
          <w:szCs w:val="20"/>
          <w:lang w:val="es-ES_tradnl"/>
        </w:rPr>
      </w:pPr>
      <w:r w:rsidRPr="002B3BB3">
        <w:rPr>
          <w:rFonts w:ascii="Arial" w:hAnsi="Arial" w:cs="Arial"/>
          <w:bCs/>
          <w:color w:val="000000" w:themeColor="text1"/>
          <w:sz w:val="20"/>
          <w:szCs w:val="20"/>
          <w:lang w:val="es-ES_tradnl" w:eastAsia="es-CO"/>
        </w:rPr>
        <w:t>En el mismo sentido, la Ley 996 de 2005, conocida como «Ley de Garantías Electorales», se suma a la normatividad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p>
    <w:p w14:paraId="17D747AE" w14:textId="77777777" w:rsidR="00D92C14" w:rsidRPr="002B3BB3" w:rsidRDefault="00D92C14" w:rsidP="00D92C14">
      <w:pPr>
        <w:tabs>
          <w:tab w:val="left" w:pos="426"/>
        </w:tabs>
        <w:jc w:val="both"/>
        <w:rPr>
          <w:rFonts w:ascii="Arial" w:eastAsia="Calibri" w:hAnsi="Arial" w:cs="Arial"/>
          <w:bCs/>
          <w:color w:val="000000" w:themeColor="text1"/>
          <w:sz w:val="20"/>
          <w:szCs w:val="20"/>
          <w:lang w:val="es-ES_tradnl" w:eastAsia="en-US"/>
        </w:rPr>
      </w:pPr>
    </w:p>
    <w:p w14:paraId="38E5AADD" w14:textId="77777777" w:rsidR="00D92C14" w:rsidRPr="002B3BB3" w:rsidRDefault="00D92C14" w:rsidP="00D92C14">
      <w:pPr>
        <w:tabs>
          <w:tab w:val="left" w:pos="426"/>
        </w:tabs>
        <w:jc w:val="both"/>
        <w:rPr>
          <w:rFonts w:ascii="Arial" w:eastAsia="Calibri" w:hAnsi="Arial" w:cs="Arial"/>
          <w:b/>
          <w:bCs/>
          <w:color w:val="000000" w:themeColor="text1"/>
          <w:sz w:val="20"/>
          <w:szCs w:val="20"/>
          <w:lang w:val="es-ES_tradnl" w:eastAsia="en-US"/>
        </w:rPr>
      </w:pPr>
      <w:bookmarkStart w:id="2" w:name="_Hlk77152637"/>
      <w:bookmarkStart w:id="3" w:name="_Hlk77157066"/>
      <w:r w:rsidRPr="002B3BB3">
        <w:rPr>
          <w:rFonts w:ascii="Arial" w:eastAsia="Calibri" w:hAnsi="Arial" w:cs="Arial"/>
          <w:b/>
          <w:bCs/>
          <w:color w:val="000000" w:themeColor="text1"/>
          <w:sz w:val="20"/>
          <w:szCs w:val="20"/>
          <w:lang w:val="es-ES_tradnl" w:eastAsia="en-US"/>
        </w:rPr>
        <w:t>LEY DE GARANTÍAS ELECTORALES ‒</w:t>
      </w:r>
      <w:bookmarkEnd w:id="2"/>
      <w:r w:rsidRPr="002B3BB3">
        <w:rPr>
          <w:rFonts w:ascii="Arial" w:eastAsia="Calibri" w:hAnsi="Arial" w:cs="Arial"/>
          <w:b/>
          <w:bCs/>
          <w:color w:val="000000" w:themeColor="text1"/>
          <w:sz w:val="20"/>
          <w:szCs w:val="20"/>
          <w:lang w:val="es-ES_tradnl" w:eastAsia="en-US"/>
        </w:rPr>
        <w:t xml:space="preserve"> Restricciones </w:t>
      </w:r>
      <w:bookmarkStart w:id="4" w:name="_Hlk77157034"/>
      <w:r w:rsidRPr="002B3BB3">
        <w:rPr>
          <w:rFonts w:ascii="Arial" w:eastAsia="Calibri" w:hAnsi="Arial" w:cs="Arial"/>
          <w:b/>
          <w:bCs/>
          <w:color w:val="000000" w:themeColor="text1"/>
          <w:sz w:val="20"/>
          <w:szCs w:val="20"/>
          <w:lang w:val="es-ES_tradnl" w:eastAsia="en-US"/>
        </w:rPr>
        <w:t xml:space="preserve">‒ </w:t>
      </w:r>
      <w:bookmarkEnd w:id="4"/>
      <w:r w:rsidRPr="002B3BB3">
        <w:rPr>
          <w:rFonts w:ascii="Arial" w:eastAsia="Calibri" w:hAnsi="Arial" w:cs="Arial"/>
          <w:b/>
          <w:bCs/>
          <w:color w:val="000000" w:themeColor="text1"/>
          <w:sz w:val="20"/>
          <w:szCs w:val="20"/>
          <w:lang w:val="es-ES_tradnl" w:eastAsia="en-US"/>
        </w:rPr>
        <w:t>Contratación</w:t>
      </w:r>
      <w:bookmarkStart w:id="5" w:name="_Hlk77153098"/>
      <w:r w:rsidRPr="002B3BB3">
        <w:rPr>
          <w:rFonts w:ascii="Arial" w:eastAsia="Calibri" w:hAnsi="Arial" w:cs="Arial"/>
          <w:b/>
          <w:bCs/>
          <w:color w:val="000000" w:themeColor="text1"/>
          <w:sz w:val="20"/>
          <w:szCs w:val="20"/>
          <w:lang w:val="es-ES_tradnl" w:eastAsia="en-US"/>
        </w:rPr>
        <w:t xml:space="preserve"> ‒ Tipos de elección</w:t>
      </w:r>
      <w:bookmarkEnd w:id="5"/>
      <w:r w:rsidRPr="002B3BB3">
        <w:rPr>
          <w:rFonts w:ascii="Arial" w:eastAsia="Calibri" w:hAnsi="Arial" w:cs="Arial"/>
          <w:b/>
          <w:bCs/>
          <w:color w:val="000000" w:themeColor="text1"/>
          <w:sz w:val="20"/>
          <w:szCs w:val="20"/>
          <w:lang w:val="es-ES_tradnl" w:eastAsia="en-US"/>
        </w:rPr>
        <w:t xml:space="preserve"> </w:t>
      </w:r>
    </w:p>
    <w:p w14:paraId="5DD8B328" w14:textId="77777777" w:rsidR="00D92C14" w:rsidRPr="002B3BB3" w:rsidRDefault="00D92C14" w:rsidP="00D92C14">
      <w:pPr>
        <w:tabs>
          <w:tab w:val="left" w:pos="426"/>
        </w:tabs>
        <w:jc w:val="both"/>
        <w:rPr>
          <w:rFonts w:ascii="Arial" w:eastAsia="Calibri" w:hAnsi="Arial" w:cs="Arial"/>
          <w:b/>
          <w:bCs/>
          <w:color w:val="000000" w:themeColor="text1"/>
          <w:sz w:val="20"/>
          <w:szCs w:val="20"/>
          <w:lang w:val="es-ES_tradnl" w:eastAsia="en-US"/>
        </w:rPr>
      </w:pPr>
    </w:p>
    <w:p w14:paraId="642A4A28" w14:textId="77777777" w:rsidR="00C61228" w:rsidRPr="002B3BB3" w:rsidRDefault="00C61228" w:rsidP="00C61228">
      <w:pPr>
        <w:spacing w:after="120"/>
        <w:jc w:val="both"/>
        <w:rPr>
          <w:rFonts w:ascii="Arial" w:eastAsia="Arial" w:hAnsi="Arial" w:cs="Arial"/>
          <w:color w:val="000000" w:themeColor="text1"/>
          <w:sz w:val="20"/>
          <w:szCs w:val="20"/>
          <w:lang w:val="es-ES_tradnl" w:eastAsia="es-ES" w:bidi="es-ES"/>
        </w:rPr>
      </w:pPr>
      <w:bookmarkStart w:id="6" w:name="_Hlk77165666"/>
      <w:bookmarkEnd w:id="3"/>
      <w:r w:rsidRPr="002B3BB3">
        <w:rPr>
          <w:rFonts w:ascii="Arial" w:eastAsia="Arial" w:hAnsi="Arial" w:cs="Arial"/>
          <w:color w:val="000000" w:themeColor="text1"/>
          <w:sz w:val="20"/>
          <w:szCs w:val="20"/>
          <w:lang w:val="es-ES_tradnl" w:eastAsia="es-ES" w:bidi="es-ES"/>
        </w:rPr>
        <w:t>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períodos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p>
    <w:p w14:paraId="456BBCEC" w14:textId="3DB4BC11" w:rsidR="00C61228" w:rsidRPr="002B3BB3" w:rsidRDefault="00C61228" w:rsidP="00C61228">
      <w:pPr>
        <w:spacing w:after="120"/>
        <w:jc w:val="both"/>
        <w:rPr>
          <w:rFonts w:ascii="Arial" w:eastAsia="Calibri" w:hAnsi="Arial" w:cs="Arial"/>
          <w:color w:val="000000" w:themeColor="text1"/>
          <w:sz w:val="20"/>
          <w:szCs w:val="20"/>
          <w:lang w:val="es-ES_tradnl" w:eastAsia="en-US"/>
        </w:rPr>
      </w:pPr>
      <w:r w:rsidRPr="002B3BB3">
        <w:rPr>
          <w:rFonts w:ascii="Arial" w:eastAsia="Calibri" w:hAnsi="Arial" w:cs="Arial"/>
          <w:color w:val="000000" w:themeColor="text1"/>
          <w:sz w:val="20"/>
          <w:szCs w:val="20"/>
          <w:lang w:val="es-ES_tradnl" w:eastAsia="en-US"/>
        </w:rPr>
        <w:t xml:space="preserve">Por un lado, el artículo 33 de la Ley 996 de 2005 prohíbe </w:t>
      </w:r>
      <w:r w:rsidRPr="002B3BB3">
        <w:rPr>
          <w:rFonts w:ascii="Arial" w:eastAsia="Calibri" w:hAnsi="Arial" w:cs="Arial"/>
          <w:bCs/>
          <w:color w:val="000000" w:themeColor="text1"/>
          <w:sz w:val="20"/>
          <w:szCs w:val="20"/>
          <w:lang w:val="es-ES_tradnl" w:eastAsia="en-US"/>
        </w:rPr>
        <w:t xml:space="preserve">«[…] </w:t>
      </w:r>
      <w:r w:rsidRPr="002B3BB3">
        <w:rPr>
          <w:rFonts w:ascii="Arial" w:eastAsia="Calibri" w:hAnsi="Arial" w:cs="Arial"/>
          <w:color w:val="000000" w:themeColor="text1"/>
          <w:sz w:val="20"/>
          <w:szCs w:val="20"/>
          <w:lang w:val="es-ES_tradnl" w:eastAsia="en-US"/>
        </w:rPr>
        <w:t>la contratación directa por parte de todos los entes del Estado</w:t>
      </w:r>
      <w:r w:rsidRPr="002B3BB3">
        <w:rPr>
          <w:rFonts w:ascii="Arial" w:eastAsia="Calibri" w:hAnsi="Arial" w:cs="Arial"/>
          <w:bCs/>
          <w:color w:val="000000" w:themeColor="text1"/>
          <w:sz w:val="20"/>
          <w:szCs w:val="20"/>
          <w:lang w:val="es-ES_tradnl" w:eastAsia="en-US"/>
        </w:rPr>
        <w:t>»</w:t>
      </w:r>
      <w:r w:rsidRPr="002B3BB3">
        <w:rPr>
          <w:rFonts w:ascii="Arial" w:eastAsia="Calibri" w:hAnsi="Arial" w:cs="Arial"/>
          <w:color w:val="000000" w:themeColor="text1"/>
          <w:sz w:val="20"/>
          <w:szCs w:val="20"/>
          <w:lang w:val="es-ES_tradnl" w:eastAsia="en-US"/>
        </w:rPr>
        <w:t xml:space="preserve"> durante los cuatro (4) meses anteriores a las elecciones presidenciales, salvo </w:t>
      </w:r>
      <w:r w:rsidRPr="002B3BB3">
        <w:rPr>
          <w:rFonts w:ascii="Arial" w:eastAsia="Calibri" w:hAnsi="Arial" w:cs="Arial"/>
          <w:bCs/>
          <w:color w:val="000000" w:themeColor="text1"/>
          <w:sz w:val="20"/>
          <w:szCs w:val="20"/>
          <w:lang w:val="es-ES_tradnl" w:eastAsia="en-US"/>
        </w:rPr>
        <w:t xml:space="preserve">«[…] </w:t>
      </w:r>
      <w:r w:rsidRPr="002B3BB3">
        <w:rPr>
          <w:rFonts w:ascii="Arial" w:eastAsia="Calibri" w:hAnsi="Arial" w:cs="Arial"/>
          <w:color w:val="000000" w:themeColor="text1"/>
          <w:sz w:val="20"/>
          <w:szCs w:val="20"/>
          <w:lang w:val="es-ES_tradnl" w:eastAsia="en-US"/>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2B3BB3">
        <w:rPr>
          <w:rFonts w:ascii="Arial" w:eastAsia="Calibri" w:hAnsi="Arial" w:cs="Arial"/>
          <w:bCs/>
          <w:color w:val="000000" w:themeColor="text1"/>
          <w:sz w:val="20"/>
          <w:szCs w:val="20"/>
          <w:lang w:val="es-ES_tradnl" w:eastAsia="en-US"/>
        </w:rPr>
        <w:t>»</w:t>
      </w:r>
      <w:r w:rsidRPr="002B3BB3">
        <w:rPr>
          <w:rFonts w:ascii="Arial" w:eastAsia="Calibri" w:hAnsi="Arial" w:cs="Arial"/>
          <w:color w:val="000000" w:themeColor="text1"/>
          <w:sz w:val="20"/>
          <w:szCs w:val="20"/>
          <w:lang w:val="es-ES_tradnl" w:eastAsia="en-US"/>
        </w:rPr>
        <w:t>.</w:t>
      </w:r>
    </w:p>
    <w:p w14:paraId="0EF6CDE8" w14:textId="54534F53" w:rsidR="00A9366B" w:rsidRPr="002B3BB3" w:rsidRDefault="00C61228" w:rsidP="00C61228">
      <w:pPr>
        <w:tabs>
          <w:tab w:val="left" w:pos="426"/>
        </w:tabs>
        <w:jc w:val="both"/>
        <w:rPr>
          <w:rFonts w:ascii="Arial" w:eastAsia="Calibri" w:hAnsi="Arial" w:cs="Arial"/>
          <w:color w:val="000000" w:themeColor="text1"/>
          <w:sz w:val="20"/>
          <w:szCs w:val="20"/>
          <w:lang w:val="es-ES_tradnl" w:eastAsia="en-US"/>
        </w:rPr>
      </w:pPr>
      <w:r w:rsidRPr="002B3BB3">
        <w:rPr>
          <w:rFonts w:ascii="Arial" w:eastAsia="Calibri" w:hAnsi="Arial" w:cs="Arial"/>
          <w:color w:val="000000" w:themeColor="text1"/>
          <w:sz w:val="20"/>
          <w:szCs w:val="20"/>
          <w:lang w:val="es-ES_tradnl" w:eastAsia="en-US"/>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2B3BB3">
        <w:rPr>
          <w:rFonts w:ascii="Arial" w:eastAsia="Calibri" w:hAnsi="Arial" w:cs="Arial"/>
          <w:bCs/>
          <w:color w:val="000000" w:themeColor="text1"/>
          <w:sz w:val="20"/>
          <w:szCs w:val="20"/>
          <w:lang w:val="es-ES_tradnl" w:eastAsia="en-US"/>
        </w:rPr>
        <w:t xml:space="preserve">«[…] </w:t>
      </w:r>
      <w:r w:rsidRPr="002B3BB3">
        <w:rPr>
          <w:rFonts w:ascii="Arial" w:eastAsia="Calibri" w:hAnsi="Arial" w:cs="Arial"/>
          <w:color w:val="000000" w:themeColor="text1"/>
          <w:sz w:val="20"/>
          <w:szCs w:val="20"/>
          <w:lang w:val="es-ES_tradnl" w:eastAsia="en-US"/>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2B3BB3">
        <w:rPr>
          <w:rFonts w:ascii="Arial" w:eastAsia="Calibri" w:hAnsi="Arial" w:cs="Arial"/>
          <w:bCs/>
          <w:color w:val="000000" w:themeColor="text1"/>
          <w:sz w:val="20"/>
          <w:szCs w:val="20"/>
          <w:lang w:val="es-ES_tradnl" w:eastAsia="en-US"/>
        </w:rPr>
        <w:t>»</w:t>
      </w:r>
      <w:r w:rsidRPr="002B3BB3">
        <w:rPr>
          <w:rFonts w:ascii="Arial" w:eastAsia="Calibri" w:hAnsi="Arial" w:cs="Arial"/>
          <w:color w:val="000000" w:themeColor="text1"/>
          <w:sz w:val="20"/>
          <w:szCs w:val="20"/>
          <w:lang w:val="es-ES_tradnl" w:eastAsia="en-US"/>
        </w:rPr>
        <w:t>.</w:t>
      </w:r>
    </w:p>
    <w:p w14:paraId="1B17133F" w14:textId="77777777" w:rsidR="00C61228" w:rsidRPr="002B3BB3" w:rsidRDefault="00C61228" w:rsidP="00C61228">
      <w:pPr>
        <w:tabs>
          <w:tab w:val="left" w:pos="426"/>
        </w:tabs>
        <w:jc w:val="both"/>
        <w:rPr>
          <w:rFonts w:ascii="Arial" w:eastAsia="Arial" w:hAnsi="Arial" w:cs="Arial"/>
          <w:color w:val="000000" w:themeColor="text1"/>
          <w:sz w:val="20"/>
          <w:szCs w:val="20"/>
          <w:lang w:val="es-ES_tradnl" w:eastAsia="es-ES" w:bidi="es-ES"/>
        </w:rPr>
      </w:pPr>
    </w:p>
    <w:p w14:paraId="3278BB5E" w14:textId="5AA53533" w:rsidR="00D92C14" w:rsidRPr="002B3BB3" w:rsidRDefault="00D92C14" w:rsidP="00D92C14">
      <w:pPr>
        <w:tabs>
          <w:tab w:val="left" w:pos="426"/>
        </w:tabs>
        <w:jc w:val="both"/>
        <w:rPr>
          <w:rFonts w:ascii="Arial" w:eastAsia="Calibri" w:hAnsi="Arial" w:cs="Arial"/>
          <w:b/>
          <w:bCs/>
          <w:color w:val="000000" w:themeColor="text1"/>
          <w:sz w:val="20"/>
          <w:szCs w:val="20"/>
          <w:lang w:val="es-ES_tradnl" w:eastAsia="en-US"/>
        </w:rPr>
      </w:pPr>
      <w:r w:rsidRPr="002B3BB3">
        <w:rPr>
          <w:rFonts w:ascii="Arial" w:eastAsia="Calibri" w:hAnsi="Arial" w:cs="Arial"/>
          <w:b/>
          <w:bCs/>
          <w:color w:val="000000" w:themeColor="text1"/>
          <w:sz w:val="20"/>
          <w:szCs w:val="20"/>
          <w:lang w:val="es-ES_tradnl" w:eastAsia="en-US"/>
        </w:rPr>
        <w:t xml:space="preserve">LEY DE GARANTÍAS ELECTORALES ─ Prohibición artículo 33 ‒ </w:t>
      </w:r>
      <w:bookmarkEnd w:id="6"/>
      <w:r w:rsidRPr="002B3BB3">
        <w:rPr>
          <w:rFonts w:ascii="Arial" w:eastAsia="Calibri" w:hAnsi="Arial" w:cs="Arial"/>
          <w:b/>
          <w:bCs/>
          <w:color w:val="000000" w:themeColor="text1"/>
          <w:sz w:val="20"/>
          <w:szCs w:val="20"/>
          <w:lang w:val="es-ES_tradnl" w:eastAsia="en-US"/>
        </w:rPr>
        <w:t xml:space="preserve">Contratación directa ‒ Alcance </w:t>
      </w:r>
    </w:p>
    <w:p w14:paraId="5CB8E594" w14:textId="77777777" w:rsidR="00D92C14" w:rsidRPr="002B3BB3" w:rsidRDefault="00D92C14" w:rsidP="00D92C14">
      <w:pPr>
        <w:tabs>
          <w:tab w:val="left" w:pos="426"/>
        </w:tabs>
        <w:jc w:val="both"/>
        <w:rPr>
          <w:rFonts w:ascii="Arial" w:eastAsia="Calibri" w:hAnsi="Arial" w:cs="Arial"/>
          <w:noProof/>
          <w:color w:val="000000" w:themeColor="text1"/>
          <w:sz w:val="20"/>
          <w:szCs w:val="20"/>
          <w:lang w:val="es-ES_tradnl" w:eastAsia="en-US"/>
        </w:rPr>
      </w:pPr>
    </w:p>
    <w:p w14:paraId="3C4C5634" w14:textId="77777777" w:rsidR="00D92C14" w:rsidRPr="002B3BB3" w:rsidRDefault="00D92C14" w:rsidP="00D92C14">
      <w:pPr>
        <w:jc w:val="both"/>
        <w:rPr>
          <w:rFonts w:ascii="Arial" w:hAnsi="Arial" w:cs="Arial"/>
          <w:bCs/>
          <w:color w:val="000000" w:themeColor="text1"/>
          <w:sz w:val="20"/>
          <w:szCs w:val="20"/>
          <w:lang w:val="es-ES_tradnl" w:eastAsia="x-none"/>
        </w:rPr>
      </w:pPr>
      <w:r w:rsidRPr="002B3BB3">
        <w:rPr>
          <w:rFonts w:ascii="Arial" w:eastAsia="Calibri" w:hAnsi="Arial" w:cs="Arial"/>
          <w:noProof/>
          <w:color w:val="000000" w:themeColor="text1"/>
          <w:sz w:val="20"/>
          <w:szCs w:val="20"/>
          <w:lang w:val="es-ES_tradnl" w:eastAsia="en-US"/>
        </w:rPr>
        <w:t xml:space="preserve">[…] </w:t>
      </w:r>
      <w:r w:rsidRPr="002B3BB3">
        <w:rPr>
          <w:rFonts w:ascii="Arial" w:hAnsi="Arial" w:cs="Arial"/>
          <w:bCs/>
          <w:color w:val="000000" w:themeColor="text1"/>
          <w:sz w:val="20"/>
          <w:szCs w:val="20"/>
          <w:lang w:val="es-ES_tradnl" w:eastAsia="x-none"/>
        </w:rPr>
        <w:t>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2B3BB3">
        <w:rPr>
          <w:rFonts w:ascii="Arial" w:hAnsi="Arial" w:cs="Arial"/>
          <w:color w:val="000000" w:themeColor="text1"/>
          <w:sz w:val="20"/>
          <w:szCs w:val="20"/>
          <w:vertAlign w:val="superscript"/>
          <w:lang w:val="es-ES_tradnl" w:eastAsia="x-none"/>
        </w:rPr>
        <w:t xml:space="preserve">. </w:t>
      </w:r>
      <w:r w:rsidRPr="002B3BB3">
        <w:rPr>
          <w:rFonts w:ascii="Arial" w:hAnsi="Arial" w:cs="Arial"/>
          <w:bCs/>
          <w:color w:val="000000" w:themeColor="text1"/>
          <w:sz w:val="20"/>
          <w:szCs w:val="20"/>
          <w:lang w:val="es-ES_tradnl" w:eastAsia="x-none"/>
        </w:rPr>
        <w:t xml:space="preserve">De lo anterior se desprende que la restricción aplica, sin perjuicio de las excepciones establecidas en la misma ley, para celebrar </w:t>
      </w:r>
      <w:r w:rsidRPr="002B3BB3">
        <w:rPr>
          <w:rFonts w:ascii="Arial" w:hAnsi="Arial" w:cs="Arial"/>
          <w:bCs/>
          <w:color w:val="000000" w:themeColor="text1"/>
          <w:sz w:val="20"/>
          <w:szCs w:val="20"/>
          <w:lang w:val="es-ES_tradnl" w:eastAsia="x-none"/>
        </w:rPr>
        <w:lastRenderedPageBreak/>
        <w:t>cualquier contrato de forma directa, esto es, sin que exista un proceso abierto y competitivo.</w:t>
      </w:r>
      <w:r w:rsidRPr="002B3BB3">
        <w:rPr>
          <w:rFonts w:ascii="Arial" w:hAnsi="Arial" w:cs="Arial"/>
          <w:color w:val="000000" w:themeColor="text1"/>
          <w:sz w:val="20"/>
          <w:szCs w:val="20"/>
          <w:lang w:val="es-ES_tradnl" w:eastAsia="x-none"/>
        </w:rPr>
        <w:t xml:space="preserve"> Por tanto, no son materia de la prohibición las demás modalidades de selección previstas en la Ley 1150 de 2007, es decir, la licitación pública, el concurso de méritos y la selección abreviada, razón por la cual en ese período preelectoral de que trata la disposición pueden las entidades públicas seguir contratando bajo estos sistemas</w:t>
      </w:r>
    </w:p>
    <w:p w14:paraId="33A16C8C" w14:textId="77777777" w:rsidR="00D92C14" w:rsidRPr="002B3BB3" w:rsidRDefault="00D92C14" w:rsidP="00D92C14">
      <w:pPr>
        <w:tabs>
          <w:tab w:val="left" w:pos="426"/>
        </w:tabs>
        <w:jc w:val="both"/>
        <w:rPr>
          <w:rFonts w:ascii="Arial" w:eastAsia="Calibri" w:hAnsi="Arial" w:cs="Arial"/>
          <w:noProof/>
          <w:color w:val="000000" w:themeColor="text1"/>
          <w:sz w:val="20"/>
          <w:szCs w:val="20"/>
          <w:lang w:val="es-ES_tradnl" w:eastAsia="en-US"/>
        </w:rPr>
      </w:pPr>
    </w:p>
    <w:p w14:paraId="52CDFC64" w14:textId="77777777" w:rsidR="00D92C14" w:rsidRPr="002B3BB3" w:rsidRDefault="00D92C14" w:rsidP="00D92C14">
      <w:pPr>
        <w:jc w:val="both"/>
        <w:rPr>
          <w:rFonts w:ascii="Arial" w:hAnsi="Arial" w:cs="Arial"/>
          <w:b/>
          <w:color w:val="000000" w:themeColor="text1"/>
          <w:sz w:val="20"/>
          <w:szCs w:val="20"/>
          <w:lang w:val="es-ES_tradnl" w:eastAsia="es-CO"/>
        </w:rPr>
      </w:pPr>
      <w:r w:rsidRPr="002B3BB3">
        <w:rPr>
          <w:rFonts w:ascii="Arial" w:hAnsi="Arial" w:cs="Arial"/>
          <w:b/>
          <w:bCs/>
          <w:color w:val="000000" w:themeColor="text1"/>
          <w:sz w:val="20"/>
          <w:szCs w:val="20"/>
          <w:lang w:val="es-ES_tradnl" w:eastAsia="es-CO"/>
        </w:rPr>
        <w:t xml:space="preserve">LEY DE GARANTÍAS ELECTORALES </w:t>
      </w:r>
      <w:bookmarkStart w:id="7" w:name="_Hlk77166669"/>
      <w:r w:rsidRPr="002B3BB3">
        <w:rPr>
          <w:rFonts w:ascii="Arial" w:hAnsi="Arial" w:cs="Arial"/>
          <w:b/>
          <w:bCs/>
          <w:color w:val="000000" w:themeColor="text1"/>
          <w:sz w:val="20"/>
          <w:szCs w:val="20"/>
          <w:lang w:val="es-ES_tradnl" w:eastAsia="es-CO"/>
        </w:rPr>
        <w:t>‒</w:t>
      </w:r>
      <w:bookmarkEnd w:id="7"/>
      <w:r w:rsidRPr="002B3BB3">
        <w:rPr>
          <w:rFonts w:ascii="Arial" w:hAnsi="Arial" w:cs="Arial"/>
          <w:b/>
          <w:bCs/>
          <w:color w:val="000000" w:themeColor="text1"/>
          <w:sz w:val="20"/>
          <w:szCs w:val="20"/>
          <w:lang w:val="es-ES_tradnl" w:eastAsia="es-CO"/>
        </w:rPr>
        <w:t xml:space="preserve"> </w:t>
      </w:r>
      <w:r w:rsidRPr="002B3BB3">
        <w:rPr>
          <w:rFonts w:ascii="Arial" w:hAnsi="Arial" w:cs="Arial"/>
          <w:b/>
          <w:color w:val="000000" w:themeColor="text1"/>
          <w:sz w:val="20"/>
          <w:szCs w:val="20"/>
          <w:lang w:val="es-ES_tradnl" w:eastAsia="es-CO"/>
        </w:rPr>
        <w:t xml:space="preserve">Prohibición del artículo 33 </w:t>
      </w:r>
      <w:r w:rsidRPr="002B3BB3">
        <w:rPr>
          <w:rFonts w:ascii="Arial" w:hAnsi="Arial" w:cs="Arial"/>
          <w:b/>
          <w:bCs/>
          <w:color w:val="000000" w:themeColor="text1"/>
          <w:sz w:val="20"/>
          <w:szCs w:val="20"/>
          <w:lang w:val="es-ES_tradnl" w:eastAsia="es-CO"/>
        </w:rPr>
        <w:t>‒ Destinatarios</w:t>
      </w:r>
    </w:p>
    <w:p w14:paraId="435877BF" w14:textId="77777777" w:rsidR="00D92C14" w:rsidRPr="002B3BB3" w:rsidRDefault="00D92C14" w:rsidP="00D92C14">
      <w:pPr>
        <w:tabs>
          <w:tab w:val="left" w:pos="426"/>
        </w:tabs>
        <w:jc w:val="both"/>
        <w:rPr>
          <w:rFonts w:ascii="Arial" w:eastAsia="Calibri" w:hAnsi="Arial" w:cs="Arial"/>
          <w:noProof/>
          <w:color w:val="000000" w:themeColor="text1"/>
          <w:sz w:val="20"/>
          <w:szCs w:val="20"/>
          <w:lang w:val="es-ES_tradnl" w:eastAsia="en-US"/>
        </w:rPr>
      </w:pPr>
    </w:p>
    <w:p w14:paraId="33F6B80C" w14:textId="77777777" w:rsidR="00D92C14" w:rsidRPr="002B3BB3" w:rsidRDefault="00D92C14" w:rsidP="00D92C14">
      <w:pPr>
        <w:tabs>
          <w:tab w:val="left" w:pos="426"/>
        </w:tabs>
        <w:jc w:val="both"/>
        <w:rPr>
          <w:rFonts w:ascii="Arial" w:hAnsi="Arial" w:cs="Arial"/>
          <w:bCs/>
          <w:color w:val="000000" w:themeColor="text1"/>
          <w:sz w:val="20"/>
          <w:szCs w:val="20"/>
          <w:lang w:val="es-ES_tradnl" w:eastAsia="x-none"/>
        </w:rPr>
      </w:pPr>
      <w:r w:rsidRPr="002B3BB3">
        <w:rPr>
          <w:rFonts w:ascii="Arial" w:hAnsi="Arial" w:cs="Arial"/>
          <w:bCs/>
          <w:color w:val="000000" w:themeColor="text1"/>
          <w:sz w:val="20"/>
          <w:szCs w:val="20"/>
          <w:lang w:val="es-ES_tradnl" w:eastAsia="x-none"/>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2B3BB3">
        <w:rPr>
          <w:rFonts w:ascii="Arial" w:eastAsia="Calibri" w:hAnsi="Arial" w:cs="Arial"/>
          <w:color w:val="000000" w:themeColor="text1"/>
          <w:sz w:val="20"/>
          <w:szCs w:val="20"/>
          <w:lang w:val="es-ES_tradnl" w:eastAsia="en-US"/>
        </w:rPr>
        <w:t xml:space="preserve"> </w:t>
      </w:r>
      <w:r w:rsidRPr="002B3BB3">
        <w:rPr>
          <w:rFonts w:ascii="Arial" w:hAnsi="Arial" w:cs="Arial"/>
          <w:bCs/>
          <w:color w:val="000000" w:themeColor="text1"/>
          <w:sz w:val="20"/>
          <w:szCs w:val="20"/>
          <w:lang w:val="es-ES_tradnl" w:eastAsia="x-none"/>
        </w:rPr>
        <w:t>En efecto, tal como lo ha sostenido el Consejo de Estado, el vocablo «todos» utilizado por el legislador comprende</w:t>
      </w:r>
      <w:r w:rsidRPr="002B3BB3">
        <w:rPr>
          <w:rFonts w:ascii="Arial" w:eastAsia="Calibri" w:hAnsi="Arial" w:cs="Arial"/>
          <w:color w:val="000000" w:themeColor="text1"/>
          <w:sz w:val="20"/>
          <w:szCs w:val="20"/>
          <w:lang w:val="es-ES_tradnl" w:eastAsia="en-US"/>
        </w:rPr>
        <w:t xml:space="preserve"> </w:t>
      </w:r>
      <w:r w:rsidRPr="002B3BB3">
        <w:rPr>
          <w:rFonts w:ascii="Arial" w:hAnsi="Arial" w:cs="Arial"/>
          <w:bCs/>
          <w:color w:val="000000" w:themeColor="text1"/>
          <w:sz w:val="20"/>
          <w:szCs w:val="20"/>
          <w:lang w:val="es-ES_tradnl" w:eastAsia="x-none"/>
        </w:rPr>
        <w:t>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14:paraId="4FFC9439" w14:textId="3A439821" w:rsidR="00C50168" w:rsidRPr="002B3BB3" w:rsidRDefault="00C50168" w:rsidP="00C50168">
      <w:pPr>
        <w:jc w:val="both"/>
        <w:rPr>
          <w:rFonts w:ascii="Arial" w:eastAsia="Calibri" w:hAnsi="Arial" w:cs="Arial"/>
          <w:color w:val="000000" w:themeColor="text1"/>
          <w:sz w:val="20"/>
          <w:szCs w:val="20"/>
          <w:lang w:eastAsia="en-US"/>
        </w:rPr>
      </w:pPr>
    </w:p>
    <w:p w14:paraId="0E1B67A7" w14:textId="68EDEE43" w:rsidR="0049327C" w:rsidRDefault="00B17084" w:rsidP="0049327C">
      <w:pPr>
        <w:spacing w:after="120"/>
        <w:jc w:val="both"/>
        <w:rPr>
          <w:rFonts w:ascii="Arial" w:eastAsia="Calibri" w:hAnsi="Arial" w:cs="Arial"/>
          <w:b/>
          <w:color w:val="000000" w:themeColor="text1"/>
          <w:sz w:val="20"/>
          <w:szCs w:val="20"/>
          <w:lang w:val="es-ES_tradnl"/>
        </w:rPr>
      </w:pPr>
      <w:r>
        <w:rPr>
          <w:rFonts w:ascii="Arial" w:eastAsia="Calibri" w:hAnsi="Arial" w:cs="Arial"/>
          <w:b/>
          <w:color w:val="000000" w:themeColor="text1"/>
          <w:sz w:val="20"/>
          <w:szCs w:val="20"/>
          <w:lang w:val="es-ES_tradnl"/>
        </w:rPr>
        <w:t xml:space="preserve">DECRETO 092 DE 2017 – Restricción a la contratación directa – Ley de Garantías </w:t>
      </w:r>
    </w:p>
    <w:p w14:paraId="0ADA62E0" w14:textId="7C5541A3" w:rsidR="00B17084" w:rsidRPr="00B17084" w:rsidRDefault="00B17084" w:rsidP="00B17084">
      <w:pPr>
        <w:spacing w:after="120"/>
        <w:jc w:val="both"/>
        <w:rPr>
          <w:rFonts w:ascii="Arial" w:eastAsia="Calibri" w:hAnsi="Arial" w:cs="Arial"/>
          <w:b/>
          <w:color w:val="000000" w:themeColor="text1"/>
          <w:sz w:val="20"/>
          <w:szCs w:val="20"/>
          <w:lang w:val="es-ES_tradnl"/>
        </w:rPr>
      </w:pPr>
      <w:r w:rsidRPr="0045779F">
        <w:rPr>
          <w:rFonts w:ascii="Arial" w:eastAsia="Calibri" w:hAnsi="Arial" w:cs="Arial"/>
          <w:color w:val="000000" w:themeColor="text1"/>
          <w:sz w:val="20"/>
          <w:szCs w:val="20"/>
          <w:lang w:val="es-MX"/>
        </w:rPr>
        <w:t xml:space="preserve">[…] armonizando el desarrollo realizado frente a los convenios de que trata el Decreto 092 para la contratación con entidades privadas sin ánimo de lucro, frente a las restricciones impuestas por la Ley de Garantías Electorales cabe señalar lo siguiente. i) Debido a que dichos contratos se celebran con entidades </w:t>
      </w:r>
      <w:r w:rsidRPr="0045779F">
        <w:rPr>
          <w:rFonts w:ascii="Arial" w:eastAsia="Calibri" w:hAnsi="Arial" w:cs="Arial"/>
          <w:i/>
          <w:iCs/>
          <w:color w:val="000000" w:themeColor="text1"/>
          <w:sz w:val="20"/>
          <w:szCs w:val="20"/>
          <w:lang w:val="es-MX"/>
        </w:rPr>
        <w:t xml:space="preserve">privadas </w:t>
      </w:r>
      <w:r w:rsidRPr="0045779F">
        <w:rPr>
          <w:rFonts w:ascii="Arial" w:eastAsia="Calibri" w:hAnsi="Arial" w:cs="Arial"/>
          <w:color w:val="000000" w:themeColor="text1"/>
          <w:sz w:val="20"/>
          <w:szCs w:val="20"/>
          <w:lang w:val="es-MX"/>
        </w:rPr>
        <w:t>sin ánimo de lucro, en relación con ellos no resultaría aplicable la restricción del parágrafo del artículo 38 de la Ley 996 de 2005, toda vez que no se cumple con el criterio subjetivo –u orgánico– de ser contratos entre entidades públicas, toda vez que una de las partes sería un particular, por lo que no serían contratos interadministrativos. En tal sentido, frente a los contratos o convenios de que trata el Decreto 092 de 2017 no resulta aplicable la prohibición indicada. ii) Ahora bien, la prohibición de la contratación directa establecida en el artículo 33 de la Ley de Garantías Electorales sí aplicaría frente a los convenios del Decreto 092 de 2017 exclusivamente frente a los procesos no competitivos, ya que en ellos se presenta una selección directa del contratista, lo que implica una contratación directa; sin embargo, cuando se trate de procesos competitivos no resultaría aplicable dicha prohibición.</w:t>
      </w:r>
    </w:p>
    <w:p w14:paraId="2EFEC4DF" w14:textId="7ED3631E" w:rsidR="00535D23" w:rsidRPr="002B3BB3" w:rsidRDefault="00535D23" w:rsidP="0049327C">
      <w:pPr>
        <w:spacing w:after="120"/>
        <w:jc w:val="both"/>
        <w:rPr>
          <w:rFonts w:ascii="Arial" w:eastAsia="Calibri" w:hAnsi="Arial" w:cs="Arial"/>
          <w:b/>
          <w:color w:val="000000" w:themeColor="text1"/>
          <w:sz w:val="20"/>
          <w:szCs w:val="20"/>
          <w:lang w:val="es-ES_tradnl"/>
        </w:rPr>
      </w:pPr>
    </w:p>
    <w:p w14:paraId="0E8E7A60" w14:textId="0AF96DC0" w:rsidR="00535D23" w:rsidRPr="002B3BB3" w:rsidRDefault="00535D23" w:rsidP="0049327C">
      <w:pPr>
        <w:spacing w:after="120"/>
        <w:jc w:val="both"/>
        <w:rPr>
          <w:rFonts w:ascii="Arial" w:eastAsia="Calibri" w:hAnsi="Arial" w:cs="Arial"/>
          <w:b/>
          <w:color w:val="000000" w:themeColor="text1"/>
          <w:sz w:val="20"/>
          <w:szCs w:val="20"/>
          <w:lang w:val="es-ES_tradnl"/>
        </w:rPr>
      </w:pPr>
    </w:p>
    <w:p w14:paraId="1DF40D0F" w14:textId="36A5B5AB" w:rsidR="00535D23" w:rsidRPr="002B3BB3" w:rsidRDefault="00535D23" w:rsidP="0049327C">
      <w:pPr>
        <w:spacing w:after="120"/>
        <w:jc w:val="both"/>
        <w:rPr>
          <w:rFonts w:ascii="Arial" w:eastAsia="Calibri" w:hAnsi="Arial" w:cs="Arial"/>
          <w:b/>
          <w:color w:val="000000" w:themeColor="text1"/>
          <w:sz w:val="20"/>
          <w:szCs w:val="20"/>
          <w:lang w:val="es-ES_tradnl"/>
        </w:rPr>
      </w:pPr>
    </w:p>
    <w:p w14:paraId="0E3723F6" w14:textId="746B48BD" w:rsidR="00535D23" w:rsidRDefault="00535D23" w:rsidP="0049327C">
      <w:pPr>
        <w:spacing w:after="120"/>
        <w:jc w:val="both"/>
        <w:rPr>
          <w:rFonts w:ascii="Arial" w:eastAsia="Calibri" w:hAnsi="Arial" w:cs="Arial"/>
          <w:b/>
          <w:color w:val="000000" w:themeColor="text1"/>
          <w:sz w:val="22"/>
          <w:szCs w:val="22"/>
          <w:lang w:val="es-ES_tradnl"/>
        </w:rPr>
      </w:pPr>
    </w:p>
    <w:p w14:paraId="52D27996" w14:textId="6F8F644E" w:rsidR="00535D23" w:rsidRDefault="00535D23" w:rsidP="0049327C">
      <w:pPr>
        <w:spacing w:after="120"/>
        <w:jc w:val="both"/>
        <w:rPr>
          <w:rFonts w:ascii="Arial" w:eastAsia="Calibri" w:hAnsi="Arial" w:cs="Arial"/>
          <w:b/>
          <w:color w:val="000000" w:themeColor="text1"/>
          <w:sz w:val="22"/>
          <w:szCs w:val="22"/>
          <w:lang w:val="es-ES_tradnl"/>
        </w:rPr>
      </w:pPr>
    </w:p>
    <w:p w14:paraId="6B07E4FE" w14:textId="28E8CA67" w:rsidR="00535D23" w:rsidRDefault="00535D23" w:rsidP="0049327C">
      <w:pPr>
        <w:spacing w:after="120"/>
        <w:jc w:val="both"/>
        <w:rPr>
          <w:rFonts w:ascii="Arial" w:eastAsia="Calibri" w:hAnsi="Arial" w:cs="Arial"/>
          <w:b/>
          <w:color w:val="000000" w:themeColor="text1"/>
          <w:sz w:val="22"/>
          <w:szCs w:val="22"/>
          <w:lang w:val="es-ES_tradnl"/>
        </w:rPr>
      </w:pPr>
    </w:p>
    <w:p w14:paraId="05A99B14" w14:textId="56AEF095" w:rsidR="00535D23" w:rsidRDefault="00535D23" w:rsidP="0049327C">
      <w:pPr>
        <w:spacing w:after="120"/>
        <w:jc w:val="both"/>
        <w:rPr>
          <w:rFonts w:ascii="Arial" w:eastAsia="Calibri" w:hAnsi="Arial" w:cs="Arial"/>
          <w:b/>
          <w:color w:val="000000" w:themeColor="text1"/>
          <w:sz w:val="22"/>
          <w:szCs w:val="22"/>
          <w:lang w:val="es-ES_tradnl"/>
        </w:rPr>
      </w:pPr>
    </w:p>
    <w:p w14:paraId="10506550" w14:textId="774B7817" w:rsidR="00535D23" w:rsidRDefault="00535D23" w:rsidP="0049327C">
      <w:pPr>
        <w:spacing w:after="120"/>
        <w:jc w:val="both"/>
        <w:rPr>
          <w:rFonts w:ascii="Arial" w:eastAsia="Calibri" w:hAnsi="Arial" w:cs="Arial"/>
          <w:b/>
          <w:color w:val="000000" w:themeColor="text1"/>
          <w:sz w:val="22"/>
          <w:szCs w:val="22"/>
          <w:lang w:val="es-ES_tradnl"/>
        </w:rPr>
      </w:pPr>
    </w:p>
    <w:p w14:paraId="254AF5E1" w14:textId="47C78564" w:rsidR="00535D23" w:rsidRDefault="00535D23" w:rsidP="0049327C">
      <w:pPr>
        <w:spacing w:after="120"/>
        <w:jc w:val="both"/>
        <w:rPr>
          <w:rFonts w:ascii="Arial" w:eastAsia="Calibri" w:hAnsi="Arial" w:cs="Arial"/>
          <w:b/>
          <w:color w:val="000000" w:themeColor="text1"/>
          <w:sz w:val="22"/>
          <w:szCs w:val="22"/>
          <w:lang w:val="es-ES_tradnl"/>
        </w:rPr>
      </w:pPr>
    </w:p>
    <w:p w14:paraId="4F0D587C" w14:textId="77777777" w:rsidR="00535D23" w:rsidRDefault="00535D23" w:rsidP="0049327C">
      <w:pPr>
        <w:spacing w:after="120"/>
        <w:jc w:val="both"/>
        <w:rPr>
          <w:rFonts w:ascii="Arial" w:eastAsia="Calibri" w:hAnsi="Arial" w:cs="Arial"/>
          <w:color w:val="000000" w:themeColor="text1"/>
          <w:sz w:val="20"/>
          <w:szCs w:val="20"/>
        </w:rPr>
      </w:pPr>
    </w:p>
    <w:p w14:paraId="37DAFAA9" w14:textId="66CEE887" w:rsidR="0049327C" w:rsidRDefault="0049327C" w:rsidP="0049327C">
      <w:pPr>
        <w:spacing w:after="120"/>
        <w:jc w:val="both"/>
        <w:rPr>
          <w:rFonts w:ascii="Arial" w:eastAsia="Calibri" w:hAnsi="Arial" w:cs="Arial"/>
          <w:color w:val="000000" w:themeColor="text1"/>
          <w:sz w:val="20"/>
          <w:szCs w:val="20"/>
        </w:rPr>
      </w:pPr>
    </w:p>
    <w:p w14:paraId="3E7C8736" w14:textId="77777777" w:rsidR="00033B58" w:rsidRPr="0049327C" w:rsidRDefault="00033B58" w:rsidP="0049327C">
      <w:pPr>
        <w:spacing w:after="120"/>
        <w:jc w:val="both"/>
        <w:rPr>
          <w:rFonts w:ascii="Arial" w:eastAsia="Calibri" w:hAnsi="Arial" w:cs="Arial"/>
          <w:color w:val="000000" w:themeColor="text1"/>
          <w:sz w:val="20"/>
          <w:szCs w:val="20"/>
        </w:rPr>
      </w:pPr>
    </w:p>
    <w:p w14:paraId="02A810A4" w14:textId="426890D9" w:rsidR="00C50168" w:rsidRPr="0049327C" w:rsidRDefault="007D2BD2" w:rsidP="0049327C">
      <w:pPr>
        <w:widowControl w:val="0"/>
        <w:autoSpaceDE w:val="0"/>
        <w:autoSpaceDN w:val="0"/>
        <w:spacing w:before="94"/>
        <w:ind w:right="533"/>
        <w:jc w:val="right"/>
        <w:rPr>
          <w:rFonts w:ascii="Arial" w:eastAsia="Arial MT" w:hAnsi="Arial MT" w:cs="Arial MT"/>
          <w:b/>
          <w:sz w:val="18"/>
          <w:szCs w:val="22"/>
          <w:lang w:val="es-ES" w:eastAsia="en-US"/>
        </w:rPr>
      </w:pPr>
      <w:r w:rsidRPr="007D2BD2">
        <w:rPr>
          <w:rFonts w:ascii="Arial" w:eastAsia="Arial MT" w:hAnsi="Arial MT" w:cs="Arial MT"/>
          <w:b/>
          <w:color w:val="585858"/>
          <w:sz w:val="18"/>
          <w:szCs w:val="22"/>
          <w:lang w:val="es-ES" w:eastAsia="en-US"/>
        </w:rPr>
        <w:lastRenderedPageBreak/>
        <w:t>CCE-DES-FM-17</w:t>
      </w:r>
    </w:p>
    <w:p w14:paraId="48EE0DE1" w14:textId="77777777" w:rsidR="00114E2A" w:rsidRDefault="00114E2A" w:rsidP="00C50168">
      <w:pPr>
        <w:jc w:val="both"/>
        <w:rPr>
          <w:rFonts w:ascii="Arial" w:eastAsia="Calibri" w:hAnsi="Arial" w:cs="Arial"/>
          <w:color w:val="000000" w:themeColor="text1"/>
          <w:sz w:val="22"/>
          <w:szCs w:val="22"/>
        </w:rPr>
      </w:pPr>
    </w:p>
    <w:p w14:paraId="6A9EBF6C" w14:textId="128B246D" w:rsidR="00114E2A" w:rsidRDefault="00114E2A" w:rsidP="00114E2A">
      <w:pPr>
        <w:jc w:val="right"/>
      </w:pPr>
      <w:r>
        <w:fldChar w:fldCharType="begin"/>
      </w:r>
      <w:r>
        <w:instrText xml:space="preserve"> INCLUDEPICTURE "/var/folders/tb/0fmk9b510f57pz5rwhv8lnpw0000gp/T/com.microsoft.Word/WebArchiveCopyPasteTempFiles/page1image30392944" \* MERGEFORMATINET </w:instrText>
      </w:r>
      <w:r>
        <w:fldChar w:fldCharType="separate"/>
      </w:r>
      <w:r>
        <w:rPr>
          <w:noProof/>
        </w:rPr>
        <w:drawing>
          <wp:inline distT="0" distB="0" distL="0" distR="0" wp14:anchorId="6A160A87" wp14:editId="183DB666">
            <wp:extent cx="2402205" cy="614045"/>
            <wp:effectExtent l="0" t="0" r="0" b="0"/>
            <wp:docPr id="1" name="Imagen 1" descr="page1image30392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3039294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02205" cy="614045"/>
                    </a:xfrm>
                    <a:prstGeom prst="rect">
                      <a:avLst/>
                    </a:prstGeom>
                    <a:noFill/>
                    <a:ln>
                      <a:noFill/>
                    </a:ln>
                  </pic:spPr>
                </pic:pic>
              </a:graphicData>
            </a:graphic>
          </wp:inline>
        </w:drawing>
      </w:r>
      <w:r>
        <w:fldChar w:fldCharType="end"/>
      </w:r>
    </w:p>
    <w:p w14:paraId="210D1EF5" w14:textId="77777777" w:rsidR="00114E2A" w:rsidRDefault="00114E2A" w:rsidP="00C50168">
      <w:pPr>
        <w:jc w:val="both"/>
        <w:rPr>
          <w:rFonts w:ascii="Arial" w:eastAsia="Calibri" w:hAnsi="Arial" w:cs="Arial"/>
          <w:color w:val="000000" w:themeColor="text1"/>
          <w:sz w:val="22"/>
          <w:szCs w:val="22"/>
        </w:rPr>
      </w:pPr>
    </w:p>
    <w:p w14:paraId="5B90F32F" w14:textId="6F8F6614" w:rsidR="00114E2A" w:rsidRDefault="00276A7C" w:rsidP="00C50168">
      <w:pPr>
        <w:jc w:val="both"/>
        <w:rPr>
          <w:rFonts w:ascii="Arial" w:eastAsia="Calibri" w:hAnsi="Arial" w:cs="Arial"/>
          <w:color w:val="000000" w:themeColor="text1"/>
          <w:sz w:val="22"/>
          <w:szCs w:val="22"/>
        </w:rPr>
      </w:pPr>
      <w:r>
        <w:rPr>
          <w:rFonts w:ascii="Arial" w:eastAsia="Calibri" w:hAnsi="Arial" w:cs="Arial"/>
          <w:color w:val="000000" w:themeColor="text1"/>
          <w:sz w:val="22"/>
          <w:szCs w:val="22"/>
        </w:rPr>
        <w:t>Bogotá D.C., 4 de mayo de 2022</w:t>
      </w:r>
    </w:p>
    <w:p w14:paraId="0493090C" w14:textId="0F6973ED" w:rsidR="00C50168" w:rsidRPr="00910945" w:rsidRDefault="00C50168" w:rsidP="00C50168">
      <w:pPr>
        <w:jc w:val="both"/>
        <w:rPr>
          <w:rFonts w:ascii="Arial" w:eastAsia="Calibri" w:hAnsi="Arial" w:cs="Arial"/>
          <w:color w:val="000000" w:themeColor="text1"/>
          <w:sz w:val="22"/>
          <w:szCs w:val="22"/>
        </w:rPr>
      </w:pPr>
      <w:r w:rsidRPr="00910945">
        <w:rPr>
          <w:rFonts w:ascii="Arial" w:eastAsia="Calibri" w:hAnsi="Arial" w:cs="Arial"/>
          <w:color w:val="000000" w:themeColor="text1"/>
          <w:sz w:val="22"/>
          <w:szCs w:val="22"/>
        </w:rPr>
        <w:t>Señor</w:t>
      </w:r>
    </w:p>
    <w:p w14:paraId="17CEBDF2" w14:textId="7799CA43" w:rsidR="00C50168" w:rsidRDefault="00535D23" w:rsidP="00C50168">
      <w:pPr>
        <w:jc w:val="both"/>
        <w:rPr>
          <w:rFonts w:ascii="Arial" w:eastAsia="Calibri" w:hAnsi="Arial" w:cs="Arial"/>
          <w:b/>
          <w:color w:val="000000" w:themeColor="text1"/>
          <w:sz w:val="22"/>
          <w:szCs w:val="22"/>
        </w:rPr>
      </w:pPr>
      <w:r>
        <w:rPr>
          <w:rFonts w:ascii="Arial" w:eastAsia="Calibri" w:hAnsi="Arial" w:cs="Arial"/>
          <w:b/>
          <w:color w:val="000000" w:themeColor="text1"/>
          <w:sz w:val="22"/>
          <w:szCs w:val="22"/>
        </w:rPr>
        <w:t>José Miguel Carvajal</w:t>
      </w:r>
    </w:p>
    <w:p w14:paraId="6F739F9A" w14:textId="59550E7A" w:rsidR="009F2C6F" w:rsidRPr="009F2C6F" w:rsidRDefault="00535D23" w:rsidP="00C50168">
      <w:pPr>
        <w:jc w:val="both"/>
        <w:rPr>
          <w:rFonts w:ascii="Arial" w:eastAsia="Calibri" w:hAnsi="Arial" w:cs="Arial"/>
          <w:bCs/>
          <w:color w:val="000000" w:themeColor="text1"/>
          <w:sz w:val="22"/>
          <w:szCs w:val="22"/>
        </w:rPr>
      </w:pPr>
      <w:r>
        <w:rPr>
          <w:rFonts w:ascii="Arial" w:eastAsia="Calibri" w:hAnsi="Arial" w:cs="Arial"/>
          <w:bCs/>
          <w:color w:val="000000" w:themeColor="text1"/>
          <w:sz w:val="22"/>
          <w:szCs w:val="22"/>
        </w:rPr>
        <w:t>Bogotá D.C</w:t>
      </w:r>
      <w:r w:rsidR="00B33983">
        <w:rPr>
          <w:rFonts w:ascii="Arial" w:eastAsia="Calibri" w:hAnsi="Arial" w:cs="Arial"/>
          <w:bCs/>
          <w:color w:val="000000" w:themeColor="text1"/>
          <w:sz w:val="22"/>
          <w:szCs w:val="22"/>
        </w:rPr>
        <w:t>.</w:t>
      </w:r>
    </w:p>
    <w:p w14:paraId="1A4D2548" w14:textId="77777777" w:rsidR="00C50168" w:rsidRPr="00910945" w:rsidRDefault="00C50168" w:rsidP="00C50168">
      <w:pPr>
        <w:jc w:val="both"/>
        <w:rPr>
          <w:rFonts w:ascii="Arial" w:eastAsia="Calibri" w:hAnsi="Arial" w:cs="Arial"/>
          <w:color w:val="000000" w:themeColor="text1"/>
          <w:sz w:val="22"/>
          <w:szCs w:val="22"/>
        </w:rPr>
      </w:pPr>
    </w:p>
    <w:p w14:paraId="1C9BFC6C" w14:textId="77777777" w:rsidR="00C50168" w:rsidRPr="00910945" w:rsidRDefault="00C50168" w:rsidP="00C50168">
      <w:pPr>
        <w:jc w:val="both"/>
        <w:rPr>
          <w:rFonts w:ascii="Arial" w:eastAsia="Calibri" w:hAnsi="Arial" w:cs="Arial"/>
          <w:color w:val="000000" w:themeColor="text1"/>
          <w:sz w:val="22"/>
          <w:szCs w:val="22"/>
        </w:rPr>
      </w:pPr>
    </w:p>
    <w:p w14:paraId="272F76BB" w14:textId="578BD9EB" w:rsidR="00C50168" w:rsidRPr="00910945" w:rsidRDefault="00C50168" w:rsidP="00C50168">
      <w:pPr>
        <w:rPr>
          <w:rFonts w:ascii="Arial" w:eastAsia="Calibri" w:hAnsi="Arial" w:cs="Arial"/>
          <w:b/>
          <w:bCs/>
          <w:color w:val="000000" w:themeColor="text1"/>
          <w:sz w:val="22"/>
          <w:szCs w:val="22"/>
          <w:lang w:val="es-ES_tradnl"/>
        </w:rPr>
      </w:pPr>
      <w:r w:rsidRPr="00910945">
        <w:rPr>
          <w:rFonts w:ascii="Arial" w:eastAsia="Calibri" w:hAnsi="Arial" w:cs="Arial"/>
          <w:b/>
          <w:bCs/>
          <w:color w:val="000000" w:themeColor="text1"/>
          <w:sz w:val="22"/>
          <w:szCs w:val="22"/>
        </w:rPr>
        <w:t xml:space="preserve">                                            </w:t>
      </w:r>
      <w:r w:rsidRPr="00910945">
        <w:rPr>
          <w:rFonts w:ascii="Arial" w:eastAsia="Calibri" w:hAnsi="Arial" w:cs="Arial"/>
          <w:b/>
          <w:bCs/>
          <w:color w:val="000000" w:themeColor="text1"/>
          <w:sz w:val="22"/>
          <w:szCs w:val="22"/>
          <w:lang w:val="es-ES_tradnl"/>
        </w:rPr>
        <w:t>Concepto C</w:t>
      </w:r>
      <w:r w:rsidR="005439B2">
        <w:rPr>
          <w:rFonts w:ascii="Arial" w:eastAsia="Calibri" w:hAnsi="Arial" w:cs="Arial"/>
          <w:b/>
          <w:bCs/>
          <w:color w:val="000000" w:themeColor="text1"/>
          <w:sz w:val="22"/>
          <w:szCs w:val="22"/>
          <w:lang w:val="es-ES_tradnl"/>
        </w:rPr>
        <w:t>-</w:t>
      </w:r>
      <w:r w:rsidR="009F2C6F">
        <w:rPr>
          <w:rFonts w:ascii="Arial" w:eastAsia="Calibri" w:hAnsi="Arial" w:cs="Arial"/>
          <w:b/>
          <w:bCs/>
          <w:color w:val="000000" w:themeColor="text1"/>
          <w:sz w:val="22"/>
          <w:szCs w:val="22"/>
          <w:lang w:val="es-ES_tradnl"/>
        </w:rPr>
        <w:t>2</w:t>
      </w:r>
      <w:r w:rsidR="00D2223F">
        <w:rPr>
          <w:rFonts w:ascii="Arial" w:eastAsia="Calibri" w:hAnsi="Arial" w:cs="Arial"/>
          <w:b/>
          <w:bCs/>
          <w:color w:val="000000" w:themeColor="text1"/>
          <w:sz w:val="22"/>
          <w:szCs w:val="22"/>
          <w:lang w:val="es-ES_tradnl"/>
        </w:rPr>
        <w:t>62</w:t>
      </w:r>
      <w:r w:rsidRPr="00910945">
        <w:rPr>
          <w:rFonts w:ascii="Arial" w:eastAsia="Calibri" w:hAnsi="Arial" w:cs="Arial"/>
          <w:b/>
          <w:bCs/>
          <w:color w:val="000000" w:themeColor="text1"/>
          <w:sz w:val="22"/>
          <w:szCs w:val="22"/>
          <w:lang w:val="es-ES_tradnl"/>
        </w:rPr>
        <w:t xml:space="preserve"> de 2022</w:t>
      </w:r>
    </w:p>
    <w:p w14:paraId="1BD594F9" w14:textId="77777777" w:rsidR="00B95C30" w:rsidRPr="00910945" w:rsidRDefault="00B95C30" w:rsidP="00B95C30">
      <w:pPr>
        <w:jc w:val="both"/>
        <w:rPr>
          <w:rFonts w:ascii="Arial" w:eastAsia="Calibri" w:hAnsi="Arial" w:cs="Arial"/>
          <w:color w:val="000000" w:themeColor="text1"/>
          <w:sz w:val="22"/>
          <w:lang w:val="es-ES_tradnl"/>
        </w:rPr>
      </w:pPr>
    </w:p>
    <w:tbl>
      <w:tblPr>
        <w:tblStyle w:val="Tablaconcuadrcula"/>
        <w:tblW w:w="1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gridCol w:w="6237"/>
      </w:tblGrid>
      <w:tr w:rsidR="00A36D47" w:rsidRPr="003D4FC2" w14:paraId="19DFC051" w14:textId="765F9007" w:rsidTr="00A36D47">
        <w:tc>
          <w:tcPr>
            <w:tcW w:w="2689" w:type="dxa"/>
          </w:tcPr>
          <w:p w14:paraId="6BC0D1AC" w14:textId="77777777" w:rsidR="00A36D47" w:rsidRPr="003D4FC2" w:rsidRDefault="00A36D47" w:rsidP="0015145A">
            <w:pPr>
              <w:jc w:val="both"/>
              <w:rPr>
                <w:rFonts w:ascii="Arial" w:eastAsia="Calibri" w:hAnsi="Arial" w:cs="Arial"/>
                <w:color w:val="000000" w:themeColor="text1"/>
                <w:sz w:val="22"/>
                <w:lang w:val="es-ES_tradnl"/>
              </w:rPr>
            </w:pPr>
            <w:r w:rsidRPr="003D4FC2">
              <w:rPr>
                <w:rFonts w:ascii="Arial" w:eastAsia="Calibri" w:hAnsi="Arial" w:cs="Arial"/>
                <w:b/>
                <w:color w:val="000000" w:themeColor="text1"/>
                <w:sz w:val="22"/>
                <w:lang w:val="es-ES_tradnl"/>
              </w:rPr>
              <w:t>Temas:</w:t>
            </w:r>
            <w:r w:rsidRPr="003D4FC2">
              <w:rPr>
                <w:rFonts w:ascii="Arial" w:eastAsia="Calibri" w:hAnsi="Arial" w:cs="Arial"/>
                <w:color w:val="000000" w:themeColor="text1"/>
                <w:sz w:val="22"/>
                <w:lang w:val="es-ES_tradnl"/>
              </w:rPr>
              <w:t xml:space="preserve">                                      </w:t>
            </w:r>
          </w:p>
        </w:tc>
        <w:tc>
          <w:tcPr>
            <w:tcW w:w="6237" w:type="dxa"/>
          </w:tcPr>
          <w:p w14:paraId="0E7ECA5C" w14:textId="56124AD0" w:rsidR="0049327C" w:rsidRDefault="00A36D47" w:rsidP="0045779F">
            <w:pPr>
              <w:spacing w:after="120"/>
              <w:jc w:val="both"/>
              <w:rPr>
                <w:rFonts w:ascii="Arial" w:hAnsi="Arial" w:cs="Arial"/>
                <w:bCs/>
                <w:color w:val="000000" w:themeColor="text1"/>
                <w:sz w:val="22"/>
                <w:lang w:val="es-ES_tradnl" w:eastAsia="es-CO"/>
              </w:rPr>
            </w:pPr>
            <w:r w:rsidRPr="003D4FC2">
              <w:rPr>
                <w:rFonts w:ascii="Arial" w:eastAsia="Calibri" w:hAnsi="Arial" w:cs="Arial"/>
                <w:bCs/>
                <w:color w:val="000000" w:themeColor="text1"/>
                <w:sz w:val="22"/>
                <w:lang w:val="es-ES_tradnl"/>
              </w:rPr>
              <w:t xml:space="preserve">LEY DE GARANTÍAS ELECTORALES – Finalidad / LEY DE GARANTÍAS ELECTORALES ‒ Restricciones ‒ Contratación ‒ Tipos de elección / LEY DE GARANTÍAS ELECTORALES ─ Prohibición artículo 33 ‒ Contratación directa ‒ Alcance </w:t>
            </w:r>
            <w:r w:rsidRPr="003D4FC2">
              <w:rPr>
                <w:rFonts w:ascii="Arial" w:hAnsi="Arial" w:cs="Arial"/>
                <w:color w:val="000000" w:themeColor="text1"/>
                <w:sz w:val="22"/>
                <w:lang w:val="es-ES_tradnl" w:eastAsia="es-CO"/>
              </w:rPr>
              <w:t xml:space="preserve">/ </w:t>
            </w:r>
            <w:r w:rsidRPr="003D4FC2">
              <w:rPr>
                <w:rFonts w:ascii="Arial" w:hAnsi="Arial" w:cs="Arial"/>
                <w:bCs/>
                <w:color w:val="000000" w:themeColor="text1"/>
                <w:sz w:val="22"/>
                <w:lang w:val="es-ES_tradnl" w:eastAsia="es-CO"/>
              </w:rPr>
              <w:t xml:space="preserve">LEY DE GARANTÍAS ELECTORALES ‒ </w:t>
            </w:r>
            <w:r w:rsidRPr="003D4FC2">
              <w:rPr>
                <w:rFonts w:ascii="Arial" w:hAnsi="Arial" w:cs="Arial"/>
                <w:color w:val="000000" w:themeColor="text1"/>
                <w:sz w:val="22"/>
                <w:lang w:val="es-ES_tradnl" w:eastAsia="es-CO"/>
              </w:rPr>
              <w:t xml:space="preserve">Prohibición del artículo 33 </w:t>
            </w:r>
            <w:r w:rsidRPr="003D4FC2">
              <w:rPr>
                <w:rFonts w:ascii="Arial" w:hAnsi="Arial" w:cs="Arial"/>
                <w:bCs/>
                <w:color w:val="000000" w:themeColor="text1"/>
                <w:sz w:val="22"/>
                <w:lang w:val="es-ES_tradnl" w:eastAsia="es-CO"/>
              </w:rPr>
              <w:t xml:space="preserve">‒ </w:t>
            </w:r>
            <w:r w:rsidRPr="0045779F">
              <w:rPr>
                <w:rFonts w:ascii="Arial" w:hAnsi="Arial" w:cs="Arial"/>
                <w:bCs/>
                <w:color w:val="000000" w:themeColor="text1"/>
                <w:sz w:val="22"/>
                <w:lang w:val="es-ES_tradnl" w:eastAsia="es-CO"/>
              </w:rPr>
              <w:t>Destinatarios</w:t>
            </w:r>
            <w:r w:rsidR="0045779F" w:rsidRPr="00D269D0">
              <w:rPr>
                <w:rFonts w:ascii="Arial" w:hAnsi="Arial" w:cs="Arial"/>
                <w:bCs/>
                <w:color w:val="000000" w:themeColor="text1"/>
                <w:sz w:val="22"/>
                <w:lang w:val="es-ES_tradnl" w:eastAsia="es-CO"/>
              </w:rPr>
              <w:t xml:space="preserve"> / </w:t>
            </w:r>
            <w:r w:rsidR="0045779F" w:rsidRPr="0045779F">
              <w:rPr>
                <w:rFonts w:ascii="Arial" w:eastAsia="Calibri" w:hAnsi="Arial" w:cs="Arial"/>
                <w:bCs/>
                <w:color w:val="000000" w:themeColor="text1"/>
                <w:sz w:val="20"/>
                <w:szCs w:val="20"/>
                <w:lang w:val="es-ES_tradnl"/>
              </w:rPr>
              <w:t>DECRETO 092 DE 2017 – Restricción a la contratación directa – Ley de Garantías</w:t>
            </w:r>
            <w:r w:rsidR="0045779F">
              <w:rPr>
                <w:rFonts w:ascii="Arial" w:eastAsia="Calibri" w:hAnsi="Arial" w:cs="Arial"/>
                <w:b/>
                <w:color w:val="000000" w:themeColor="text1"/>
                <w:sz w:val="20"/>
                <w:szCs w:val="20"/>
                <w:lang w:val="es-ES_tradnl"/>
              </w:rPr>
              <w:t xml:space="preserve"> </w:t>
            </w:r>
          </w:p>
          <w:p w14:paraId="5F389CAF" w14:textId="2B7DA710" w:rsidR="00B17084" w:rsidRPr="003D4FC2" w:rsidRDefault="00B17084" w:rsidP="00B33983">
            <w:pPr>
              <w:jc w:val="both"/>
              <w:rPr>
                <w:rFonts w:ascii="Arial" w:eastAsia="Calibri" w:hAnsi="Arial" w:cs="Arial"/>
                <w:color w:val="000000" w:themeColor="text1"/>
                <w:sz w:val="22"/>
                <w:szCs w:val="22"/>
                <w:lang w:val="es-ES_tradnl"/>
              </w:rPr>
            </w:pPr>
          </w:p>
        </w:tc>
        <w:tc>
          <w:tcPr>
            <w:tcW w:w="6237" w:type="dxa"/>
          </w:tcPr>
          <w:p w14:paraId="4B2565E3" w14:textId="77777777" w:rsidR="00A36D47" w:rsidRPr="003D4FC2" w:rsidRDefault="00A36D47" w:rsidP="00B117EC">
            <w:pPr>
              <w:jc w:val="both"/>
              <w:rPr>
                <w:rFonts w:ascii="Arial" w:eastAsia="Calibri" w:hAnsi="Arial" w:cs="Arial"/>
                <w:bCs/>
                <w:color w:val="000000" w:themeColor="text1"/>
                <w:sz w:val="22"/>
                <w:lang w:val="es-ES_tradnl"/>
              </w:rPr>
            </w:pPr>
          </w:p>
        </w:tc>
      </w:tr>
      <w:tr w:rsidR="00C50168" w:rsidRPr="003D4FC2" w14:paraId="2211B1AE" w14:textId="77777777" w:rsidTr="002C0EE4">
        <w:trPr>
          <w:gridAfter w:val="1"/>
          <w:wAfter w:w="6237" w:type="dxa"/>
          <w:trHeight w:val="391"/>
        </w:trPr>
        <w:tc>
          <w:tcPr>
            <w:tcW w:w="2689" w:type="dxa"/>
          </w:tcPr>
          <w:p w14:paraId="3CB5D473" w14:textId="77777777" w:rsidR="00C50168" w:rsidRPr="003D4FC2" w:rsidRDefault="00C50168" w:rsidP="003D4FC2">
            <w:pPr>
              <w:jc w:val="both"/>
              <w:rPr>
                <w:rFonts w:ascii="Arial" w:eastAsia="Calibri" w:hAnsi="Arial" w:cs="Arial"/>
                <w:color w:val="000000" w:themeColor="text1"/>
                <w:sz w:val="22"/>
                <w:szCs w:val="22"/>
                <w:lang w:val="es-ES_tradnl"/>
              </w:rPr>
            </w:pPr>
            <w:r w:rsidRPr="003D4FC2">
              <w:rPr>
                <w:rFonts w:ascii="Arial" w:eastAsia="Calibri" w:hAnsi="Arial" w:cs="Arial"/>
                <w:b/>
                <w:color w:val="000000" w:themeColor="text1"/>
                <w:sz w:val="22"/>
                <w:szCs w:val="22"/>
                <w:lang w:val="es-ES_tradnl"/>
              </w:rPr>
              <w:t>Radicación</w:t>
            </w:r>
            <w:r w:rsidRPr="003D4FC2">
              <w:rPr>
                <w:rFonts w:ascii="Arial" w:eastAsia="Calibri" w:hAnsi="Arial" w:cs="Arial"/>
                <w:color w:val="000000" w:themeColor="text1"/>
                <w:sz w:val="22"/>
                <w:szCs w:val="22"/>
                <w:lang w:val="es-ES_tradnl"/>
              </w:rPr>
              <w:t xml:space="preserve">:                              </w:t>
            </w:r>
          </w:p>
        </w:tc>
        <w:tc>
          <w:tcPr>
            <w:tcW w:w="6237" w:type="dxa"/>
          </w:tcPr>
          <w:p w14:paraId="046D869D" w14:textId="77777777" w:rsidR="00D2223F" w:rsidRPr="00E64022" w:rsidRDefault="00C50168" w:rsidP="00D2223F">
            <w:pPr>
              <w:rPr>
                <w:rFonts w:ascii="Arial" w:hAnsi="Arial" w:cs="Arial"/>
                <w:sz w:val="22"/>
                <w:szCs w:val="22"/>
              </w:rPr>
            </w:pPr>
            <w:r w:rsidRPr="003D4FC2">
              <w:rPr>
                <w:rFonts w:ascii="Arial" w:eastAsia="Calibri" w:hAnsi="Arial" w:cs="Arial"/>
                <w:color w:val="000000" w:themeColor="text1"/>
                <w:sz w:val="22"/>
                <w:szCs w:val="22"/>
                <w:lang w:val="es-ES_tradnl"/>
              </w:rPr>
              <w:t xml:space="preserve">Respuesta a consulta </w:t>
            </w:r>
            <w:r w:rsidR="00D2223F" w:rsidRPr="00E64022">
              <w:rPr>
                <w:rFonts w:ascii="Arial" w:hAnsi="Arial" w:cs="Arial"/>
                <w:sz w:val="22"/>
                <w:szCs w:val="22"/>
              </w:rPr>
              <w:t>P20220323002863</w:t>
            </w:r>
          </w:p>
          <w:p w14:paraId="00499625" w14:textId="78D1E61C" w:rsidR="00C50168" w:rsidRPr="003D4FC2" w:rsidRDefault="00C50168" w:rsidP="003D4FC2">
            <w:pPr>
              <w:jc w:val="both"/>
              <w:rPr>
                <w:rFonts w:ascii="Arial" w:eastAsia="Calibri" w:hAnsi="Arial" w:cs="Arial"/>
                <w:color w:val="000000" w:themeColor="text1"/>
                <w:sz w:val="22"/>
                <w:szCs w:val="22"/>
                <w:lang w:val="es-ES_tradnl"/>
              </w:rPr>
            </w:pPr>
          </w:p>
        </w:tc>
      </w:tr>
    </w:tbl>
    <w:p w14:paraId="1BDA2872" w14:textId="77777777" w:rsidR="00C50168" w:rsidRPr="003D4FC2" w:rsidRDefault="00C50168" w:rsidP="00C50168">
      <w:pPr>
        <w:jc w:val="both"/>
        <w:rPr>
          <w:rFonts w:ascii="Arial" w:eastAsia="Calibri" w:hAnsi="Arial" w:cs="Arial"/>
          <w:color w:val="000000" w:themeColor="text1"/>
          <w:sz w:val="22"/>
          <w:lang w:val="es-ES_tradnl"/>
        </w:rPr>
      </w:pPr>
    </w:p>
    <w:p w14:paraId="1B4E632D" w14:textId="1CF9F22E" w:rsidR="00C50168" w:rsidRPr="003D4FC2" w:rsidRDefault="00C50168" w:rsidP="00C50168">
      <w:pPr>
        <w:jc w:val="both"/>
        <w:rPr>
          <w:rFonts w:ascii="Arial" w:eastAsia="Calibri" w:hAnsi="Arial" w:cs="Arial"/>
          <w:color w:val="000000" w:themeColor="text1"/>
          <w:sz w:val="22"/>
          <w:lang w:val="es-ES_tradnl"/>
        </w:rPr>
      </w:pPr>
      <w:r w:rsidRPr="003D4FC2">
        <w:rPr>
          <w:rFonts w:ascii="Arial" w:eastAsia="Calibri" w:hAnsi="Arial" w:cs="Arial"/>
          <w:color w:val="000000" w:themeColor="text1"/>
          <w:sz w:val="22"/>
          <w:lang w:val="es-ES_tradnl"/>
        </w:rPr>
        <w:t>Estimado</w:t>
      </w:r>
      <w:r w:rsidR="00535D23">
        <w:rPr>
          <w:rFonts w:ascii="Arial" w:eastAsia="Calibri" w:hAnsi="Arial" w:cs="Arial"/>
          <w:color w:val="000000" w:themeColor="text1"/>
          <w:sz w:val="22"/>
          <w:lang w:val="es-ES_tradnl"/>
        </w:rPr>
        <w:t xml:space="preserve"> señor Carvajal: </w:t>
      </w:r>
    </w:p>
    <w:p w14:paraId="293F6CF2" w14:textId="77777777" w:rsidR="00C50168" w:rsidRPr="003D4FC2" w:rsidRDefault="00C50168" w:rsidP="00C50168">
      <w:pPr>
        <w:jc w:val="both"/>
        <w:rPr>
          <w:rFonts w:ascii="Arial" w:eastAsia="Calibri" w:hAnsi="Arial" w:cs="Arial"/>
          <w:color w:val="000000" w:themeColor="text1"/>
          <w:sz w:val="22"/>
          <w:lang w:val="es-ES_tradnl"/>
        </w:rPr>
      </w:pPr>
    </w:p>
    <w:p w14:paraId="01435137" w14:textId="0FC10786" w:rsidR="00C50168" w:rsidRPr="003D4FC2" w:rsidRDefault="00C50168" w:rsidP="00C50168">
      <w:pPr>
        <w:spacing w:line="276" w:lineRule="auto"/>
        <w:jc w:val="both"/>
        <w:rPr>
          <w:rFonts w:ascii="Arial" w:eastAsia="Calibri" w:hAnsi="Arial" w:cs="Arial"/>
          <w:color w:val="000000" w:themeColor="text1"/>
          <w:sz w:val="22"/>
          <w:lang w:val="es-ES_tradnl"/>
        </w:rPr>
      </w:pPr>
      <w:r w:rsidRPr="003D4FC2">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 responde a su consulta</w:t>
      </w:r>
      <w:r w:rsidR="00EE5710">
        <w:rPr>
          <w:rFonts w:ascii="Arial" w:eastAsia="Calibri" w:hAnsi="Arial" w:cs="Arial"/>
          <w:color w:val="000000" w:themeColor="text1"/>
          <w:sz w:val="22"/>
          <w:lang w:val="es-ES_tradnl"/>
        </w:rPr>
        <w:t xml:space="preserve">, que fue trasladada por competencia por parte del Departamento Administrativo de la Función Pública </w:t>
      </w:r>
      <w:r w:rsidRPr="003D4FC2">
        <w:rPr>
          <w:rFonts w:ascii="Arial" w:eastAsia="Calibri" w:hAnsi="Arial" w:cs="Arial"/>
          <w:color w:val="000000" w:themeColor="text1"/>
          <w:sz w:val="22"/>
          <w:lang w:val="es-ES_tradnl"/>
        </w:rPr>
        <w:t xml:space="preserve">el </w:t>
      </w:r>
      <w:r w:rsidR="00D2223F">
        <w:rPr>
          <w:rFonts w:ascii="Arial" w:eastAsia="Calibri" w:hAnsi="Arial" w:cs="Arial"/>
          <w:color w:val="000000" w:themeColor="text1"/>
          <w:sz w:val="22"/>
          <w:lang w:val="es-ES_tradnl"/>
        </w:rPr>
        <w:t>2</w:t>
      </w:r>
      <w:r w:rsidR="009A3C52">
        <w:rPr>
          <w:rFonts w:ascii="Arial" w:eastAsia="Calibri" w:hAnsi="Arial" w:cs="Arial"/>
          <w:color w:val="000000" w:themeColor="text1"/>
          <w:sz w:val="22"/>
          <w:lang w:val="es-ES_tradnl"/>
        </w:rPr>
        <w:t xml:space="preserve">3 </w:t>
      </w:r>
      <w:r w:rsidRPr="003D4FC2">
        <w:rPr>
          <w:rFonts w:ascii="Arial" w:eastAsia="Calibri" w:hAnsi="Arial" w:cs="Arial"/>
          <w:color w:val="000000" w:themeColor="text1"/>
          <w:sz w:val="22"/>
          <w:lang w:val="es-ES_tradnl"/>
        </w:rPr>
        <w:t xml:space="preserve">de </w:t>
      </w:r>
      <w:r w:rsidR="009A3C52">
        <w:rPr>
          <w:rFonts w:ascii="Arial" w:eastAsia="Calibri" w:hAnsi="Arial" w:cs="Arial"/>
          <w:color w:val="000000" w:themeColor="text1"/>
          <w:sz w:val="22"/>
          <w:lang w:val="es-ES_tradnl"/>
        </w:rPr>
        <w:t xml:space="preserve">marzo </w:t>
      </w:r>
      <w:r w:rsidRPr="003D4FC2">
        <w:rPr>
          <w:rFonts w:ascii="Arial" w:eastAsia="Calibri" w:hAnsi="Arial" w:cs="Arial"/>
          <w:color w:val="000000" w:themeColor="text1"/>
          <w:sz w:val="22"/>
          <w:lang w:val="es-ES_tradnl"/>
        </w:rPr>
        <w:t xml:space="preserve">de 2022. </w:t>
      </w:r>
    </w:p>
    <w:p w14:paraId="6153F413" w14:textId="77777777" w:rsidR="0064414A" w:rsidRPr="003D4FC2" w:rsidRDefault="0064414A" w:rsidP="00DF76A2">
      <w:pPr>
        <w:spacing w:line="276" w:lineRule="auto"/>
        <w:jc w:val="both"/>
        <w:rPr>
          <w:rFonts w:ascii="Arial" w:eastAsia="Calibri" w:hAnsi="Arial" w:cs="Arial"/>
          <w:b/>
          <w:color w:val="000000" w:themeColor="text1"/>
          <w:sz w:val="22"/>
          <w:lang w:val="es-ES_tradnl"/>
        </w:rPr>
      </w:pPr>
    </w:p>
    <w:p w14:paraId="7701FCC7" w14:textId="77777777" w:rsidR="00DD5B04" w:rsidRPr="003D4FC2"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3D4FC2">
        <w:rPr>
          <w:rFonts w:ascii="Arial" w:eastAsia="Calibri" w:hAnsi="Arial" w:cs="Arial"/>
          <w:b/>
          <w:color w:val="000000" w:themeColor="text1"/>
          <w:sz w:val="22"/>
          <w:lang w:val="es-ES_tradnl"/>
        </w:rPr>
        <w:t xml:space="preserve">Problema planteado </w:t>
      </w:r>
    </w:p>
    <w:p w14:paraId="224B43D3" w14:textId="77777777" w:rsidR="00DD5B04" w:rsidRPr="003D4FC2"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3C575DE9" w14:textId="6BD9FECF" w:rsidR="00443B55" w:rsidRPr="003D4FC2" w:rsidRDefault="00EE5710" w:rsidP="0099583D">
      <w:pPr>
        <w:spacing w:line="276" w:lineRule="auto"/>
        <w:jc w:val="both"/>
        <w:rPr>
          <w:rFonts w:ascii="Arial" w:hAnsi="Arial" w:cs="Arial"/>
          <w:color w:val="000000" w:themeColor="text1"/>
          <w:sz w:val="22"/>
          <w:lang w:val="es-ES_tradnl"/>
        </w:rPr>
      </w:pPr>
      <w:r>
        <w:rPr>
          <w:rFonts w:ascii="Arial" w:hAnsi="Arial" w:cs="Arial"/>
          <w:color w:val="000000" w:themeColor="text1"/>
          <w:sz w:val="22"/>
          <w:lang w:val="es-ES_tradnl"/>
        </w:rPr>
        <w:t>En la comunicación remitida a esta Agencia se manifiesta la siguiente inquietud</w:t>
      </w:r>
      <w:r w:rsidR="00B422C0" w:rsidRPr="003D4FC2">
        <w:rPr>
          <w:rFonts w:ascii="Arial" w:hAnsi="Arial" w:cs="Arial"/>
          <w:color w:val="000000" w:themeColor="text1"/>
          <w:sz w:val="22"/>
          <w:lang w:val="es-ES_tradnl"/>
        </w:rPr>
        <w:t>:</w:t>
      </w:r>
      <w:r w:rsidR="007E18DF" w:rsidRPr="003D4FC2">
        <w:rPr>
          <w:rFonts w:ascii="Arial" w:hAnsi="Arial" w:cs="Arial"/>
          <w:color w:val="000000" w:themeColor="text1"/>
          <w:sz w:val="22"/>
          <w:lang w:val="es-ES_tradnl"/>
        </w:rPr>
        <w:t xml:space="preserve"> </w:t>
      </w:r>
    </w:p>
    <w:p w14:paraId="7686B8B0" w14:textId="77777777" w:rsidR="000E7E1A" w:rsidRPr="003D4FC2" w:rsidRDefault="000E7E1A" w:rsidP="000E7E1A">
      <w:pPr>
        <w:autoSpaceDE w:val="0"/>
        <w:autoSpaceDN w:val="0"/>
        <w:adjustRightInd w:val="0"/>
        <w:spacing w:line="276" w:lineRule="auto"/>
        <w:ind w:left="709" w:right="709"/>
        <w:jc w:val="both"/>
        <w:rPr>
          <w:rFonts w:ascii="Arial" w:hAnsi="Arial" w:cs="Arial"/>
          <w:color w:val="000000" w:themeColor="text1"/>
          <w:sz w:val="21"/>
          <w:szCs w:val="21"/>
          <w:lang w:val="es-ES_tradnl"/>
        </w:rPr>
      </w:pPr>
    </w:p>
    <w:p w14:paraId="2F4A596A" w14:textId="7F352997" w:rsidR="00D2223F" w:rsidRPr="00D2223F" w:rsidRDefault="00D2223F" w:rsidP="00D2223F">
      <w:pPr>
        <w:ind w:left="709" w:right="709"/>
        <w:jc w:val="both"/>
        <w:rPr>
          <w:rFonts w:ascii="Arial" w:hAnsi="Arial" w:cs="Arial"/>
          <w:sz w:val="21"/>
          <w:szCs w:val="21"/>
          <w:lang w:val="es-419" w:eastAsia="es-419"/>
        </w:rPr>
      </w:pPr>
      <w:r w:rsidRPr="00D2223F">
        <w:rPr>
          <w:rFonts w:ascii="Arial" w:hAnsi="Arial" w:cs="Arial"/>
          <w:sz w:val="21"/>
          <w:szCs w:val="21"/>
        </w:rPr>
        <w:t>«</w:t>
      </w:r>
      <w:r w:rsidRPr="00D2223F">
        <w:rPr>
          <w:rFonts w:ascii="Arial" w:hAnsi="Arial" w:cs="Arial"/>
          <w:sz w:val="21"/>
          <w:szCs w:val="21"/>
          <w:lang w:val="es-419" w:eastAsia="es-419"/>
        </w:rPr>
        <w:t>De acuerdo a (sic) lo mencionado en el asunto solicito su colaboración en el sentido de aclarar si para el periodo que comprende la Ley de Garantías, una entidad pública puede suscribir convenios que no sean interadministrativos y además que no tienen recursos o no comprometen el presupuesto de la entidad o de la Nación ya que son más de cooperación.</w:t>
      </w:r>
      <w:bookmarkStart w:id="8" w:name="_Hlk99006767"/>
      <w:r w:rsidRPr="00D2223F">
        <w:rPr>
          <w:rFonts w:ascii="Arial" w:hAnsi="Arial" w:cs="Arial"/>
          <w:sz w:val="21"/>
          <w:szCs w:val="21"/>
        </w:rPr>
        <w:t>»</w:t>
      </w:r>
      <w:bookmarkEnd w:id="8"/>
      <w:r w:rsidRPr="00D2223F">
        <w:rPr>
          <w:rFonts w:ascii="Arial" w:hAnsi="Arial" w:cs="Arial"/>
          <w:sz w:val="21"/>
          <w:szCs w:val="21"/>
          <w:lang w:val="es-419" w:eastAsia="es-419"/>
        </w:rPr>
        <w:t>  </w:t>
      </w:r>
    </w:p>
    <w:p w14:paraId="45F2BEC6" w14:textId="7D560BE5" w:rsidR="00A62DB2" w:rsidRPr="003D4FC2" w:rsidRDefault="00A62DB2" w:rsidP="00E965BC">
      <w:pPr>
        <w:jc w:val="both"/>
        <w:rPr>
          <w:rFonts w:ascii="Arial" w:hAnsi="Arial" w:cs="Arial"/>
          <w:color w:val="000000" w:themeColor="text1"/>
          <w:sz w:val="22"/>
          <w:lang w:val="es-ES_tradnl"/>
        </w:rPr>
      </w:pPr>
    </w:p>
    <w:p w14:paraId="4E86570E" w14:textId="7DC44C3C" w:rsidR="000A0DF7" w:rsidRPr="003D4FC2" w:rsidRDefault="000A0DF7" w:rsidP="000A0DF7">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3D4FC2">
        <w:rPr>
          <w:rFonts w:ascii="Arial" w:eastAsia="Calibri" w:hAnsi="Arial" w:cs="Arial"/>
          <w:b/>
          <w:color w:val="000000" w:themeColor="text1"/>
          <w:sz w:val="22"/>
          <w:lang w:val="es-ES_tradnl"/>
        </w:rPr>
        <w:t>Consideraciones</w:t>
      </w:r>
    </w:p>
    <w:p w14:paraId="6EADA7B5" w14:textId="77777777" w:rsidR="009F2C6F" w:rsidRPr="003D4FC2" w:rsidRDefault="009F2C6F" w:rsidP="009F2C6F">
      <w:pPr>
        <w:pStyle w:val="Prrafodelista"/>
        <w:tabs>
          <w:tab w:val="left" w:pos="0"/>
          <w:tab w:val="left" w:pos="284"/>
        </w:tabs>
        <w:ind w:left="0"/>
        <w:jc w:val="both"/>
        <w:rPr>
          <w:rFonts w:ascii="Arial" w:eastAsia="Calibri" w:hAnsi="Arial" w:cs="Arial"/>
          <w:b/>
          <w:color w:val="000000" w:themeColor="text1"/>
          <w:sz w:val="22"/>
          <w:lang w:val="es-ES_tradnl"/>
        </w:rPr>
      </w:pPr>
    </w:p>
    <w:p w14:paraId="497C435D" w14:textId="77777777" w:rsidR="00B87F7B" w:rsidRPr="006D54A1" w:rsidRDefault="00B87F7B" w:rsidP="00B87F7B">
      <w:pPr>
        <w:spacing w:after="120" w:line="276" w:lineRule="auto"/>
        <w:jc w:val="both"/>
        <w:rPr>
          <w:rFonts w:ascii="Arial" w:hAnsi="Arial" w:cs="Arial"/>
          <w:bCs/>
          <w:sz w:val="22"/>
          <w:lang w:val="es-ES_tradnl"/>
        </w:rPr>
      </w:pPr>
      <w:r w:rsidRPr="006D54A1">
        <w:rPr>
          <w:rFonts w:ascii="Arial" w:eastAsia="Calibri" w:hAnsi="Arial" w:cs="Arial"/>
          <w:color w:val="000000" w:themeColor="text1"/>
          <w:sz w:val="22"/>
          <w:lang w:val="es-ES_tradnl"/>
        </w:rPr>
        <w:lastRenderedPageBreak/>
        <w:t xml:space="preserve">Como cuestión preliminar, </w:t>
      </w:r>
      <w:r w:rsidRPr="006D54A1">
        <w:rPr>
          <w:rFonts w:ascii="Arial" w:hAnsi="Arial" w:cs="Arial"/>
          <w:bCs/>
          <w:sz w:val="22"/>
          <w:lang w:val="es-ES_tradnl"/>
        </w:rPr>
        <w:t xml:space="preserve">es </w:t>
      </w:r>
      <w:r>
        <w:rPr>
          <w:rFonts w:ascii="Arial" w:hAnsi="Arial" w:cs="Arial"/>
          <w:bCs/>
          <w:sz w:val="22"/>
          <w:lang w:val="es-ES_tradnl"/>
        </w:rPr>
        <w:t>relevante</w:t>
      </w:r>
      <w:r w:rsidRPr="006D54A1">
        <w:rPr>
          <w:rFonts w:ascii="Arial" w:hAnsi="Arial" w:cs="Arial"/>
          <w:bCs/>
          <w:sz w:val="22"/>
          <w:lang w:val="es-ES_tradnl"/>
        </w:rPr>
        <w:t xml:space="preserve"> señalar que, en ejercicio de las competencias establecidas en los artículos 3.5 y 11.8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p>
    <w:p w14:paraId="3F3114C9" w14:textId="77777777" w:rsidR="00B87F7B" w:rsidRPr="006D54A1" w:rsidRDefault="00B87F7B" w:rsidP="00B87F7B">
      <w:pPr>
        <w:spacing w:after="120" w:line="276" w:lineRule="auto"/>
        <w:ind w:firstLine="708"/>
        <w:jc w:val="both"/>
        <w:rPr>
          <w:rFonts w:ascii="Arial" w:hAnsi="Arial" w:cs="Arial"/>
          <w:sz w:val="22"/>
          <w:lang w:val="es-ES_tradnl"/>
        </w:rPr>
      </w:pPr>
      <w:bookmarkStart w:id="9" w:name="_Hlk61701014"/>
      <w:bookmarkStart w:id="10" w:name="_Hlk62136649"/>
      <w:r w:rsidRPr="006D54A1">
        <w:rPr>
          <w:rFonts w:ascii="Arial" w:hAnsi="Arial" w:cs="Arial"/>
          <w:sz w:val="22"/>
          <w:lang w:val="es-ES_tradnl"/>
        </w:rPr>
        <w:t xml:space="preserve">Es necesario tener en cuenta que </w:t>
      </w:r>
      <w:bookmarkStart w:id="11" w:name="_Hlk61026958"/>
      <w:r w:rsidRPr="006D54A1">
        <w:rPr>
          <w:rFonts w:ascii="Arial" w:hAnsi="Arial" w:cs="Arial"/>
          <w:sz w:val="22"/>
          <w:lang w:val="es-ES_tradnl"/>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6D54A1">
        <w:rPr>
          <w:rFonts w:ascii="Arial" w:hAnsi="Arial" w:cs="Arial"/>
          <w:bCs/>
          <w:sz w:val="22"/>
          <w:lang w:val="es-ES_tradnl"/>
        </w:rPr>
        <w:t xml:space="preserve"> de todos los partícipes de la contratación estatal.</w:t>
      </w:r>
    </w:p>
    <w:p w14:paraId="58F7403B" w14:textId="77777777" w:rsidR="00B87F7B" w:rsidRPr="006D54A1" w:rsidRDefault="00B87F7B" w:rsidP="00B87F7B">
      <w:pPr>
        <w:spacing w:after="120" w:line="276" w:lineRule="auto"/>
        <w:ind w:firstLine="708"/>
        <w:jc w:val="both"/>
        <w:rPr>
          <w:rFonts w:ascii="Arial" w:hAnsi="Arial" w:cs="Arial"/>
          <w:sz w:val="22"/>
          <w:lang w:val="es-ES_tradnl"/>
        </w:rPr>
      </w:pPr>
      <w:r w:rsidRPr="006D54A1">
        <w:rPr>
          <w:rFonts w:ascii="Arial" w:hAnsi="Arial" w:cs="Arial"/>
          <w:sz w:val="22"/>
          <w:lang w:val="es-ES_tradnl"/>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6D54A1">
        <w:rPr>
          <w:rFonts w:ascii="Arial" w:hAnsi="Arial" w:cs="Arial"/>
          <w:sz w:val="22"/>
          <w:vertAlign w:val="superscript"/>
          <w:lang w:val="es-ES_tradnl"/>
        </w:rPr>
        <w:footnoteReference w:id="2"/>
      </w:r>
      <w:r w:rsidRPr="006D54A1">
        <w:rPr>
          <w:rFonts w:ascii="Arial" w:hAnsi="Arial" w:cs="Arial"/>
          <w:sz w:val="22"/>
          <w:lang w:val="es-ES_tradnl"/>
        </w:rPr>
        <w:t>.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w:t>
      </w:r>
      <w:bookmarkEnd w:id="11"/>
      <w:r w:rsidRPr="006D54A1">
        <w:rPr>
          <w:rFonts w:ascii="Arial" w:hAnsi="Arial" w:cs="Arial"/>
          <w:sz w:val="22"/>
          <w:lang w:val="es-ES_tradnl"/>
        </w:rPr>
        <w:t xml:space="preserve">. Por lo anterior, previo concepto de sus órganos asesores, la solución de este tipo de problemas corresponde a la entidad que adelanta el procedimiento de selección y, en caso de conflicto, a las autoridades judiciales, fiscales y disciplinarias. </w:t>
      </w:r>
      <w:bookmarkEnd w:id="9"/>
    </w:p>
    <w:bookmarkEnd w:id="10"/>
    <w:p w14:paraId="0B1F1C1E" w14:textId="72EA4CA0" w:rsidR="0090648C" w:rsidRPr="003D4FC2" w:rsidRDefault="00B87F7B" w:rsidP="00751C77">
      <w:pPr>
        <w:spacing w:line="276" w:lineRule="auto"/>
        <w:ind w:firstLine="708"/>
        <w:jc w:val="both"/>
        <w:rPr>
          <w:rFonts w:ascii="Arial" w:eastAsia="Calibri" w:hAnsi="Arial" w:cs="Arial"/>
          <w:color w:val="000000" w:themeColor="text1"/>
          <w:sz w:val="22"/>
          <w:lang w:val="es-ES_tradnl"/>
        </w:rPr>
      </w:pPr>
      <w:r w:rsidRPr="006D54A1">
        <w:rPr>
          <w:rFonts w:ascii="Arial" w:eastAsia="Calibri" w:hAnsi="Arial" w:cs="Arial"/>
          <w:color w:val="000000" w:themeColor="text1"/>
          <w:sz w:val="22"/>
          <w:lang w:val="es-ES_tradnl"/>
        </w:rPr>
        <w:t xml:space="preserve">Sin perjuicio de lo anterior, la Agencia –dentro de los límites de sus atribuciones– resolverá la consulta conforme a las normas generales en materia de contratación estatal. </w:t>
      </w:r>
      <w:r>
        <w:rPr>
          <w:rFonts w:ascii="Arial" w:eastAsia="Calibri" w:hAnsi="Arial" w:cs="Arial"/>
          <w:sz w:val="22"/>
          <w:szCs w:val="22"/>
          <w:lang w:val="es-ES_tradnl" w:eastAsia="en-US"/>
        </w:rPr>
        <w:t xml:space="preserve">En este sentido, se analizarán los siguientes temas: </w:t>
      </w:r>
      <w:r w:rsidR="00EF44A6" w:rsidRPr="003D4FC2">
        <w:rPr>
          <w:rFonts w:ascii="Arial" w:eastAsia="Calibri" w:hAnsi="Arial" w:cs="Arial"/>
          <w:color w:val="000000" w:themeColor="text1"/>
          <w:sz w:val="22"/>
          <w:szCs w:val="22"/>
          <w:lang w:val="es-ES_tradnl"/>
        </w:rPr>
        <w:t xml:space="preserve">i) </w:t>
      </w:r>
      <w:r w:rsidR="006A25C7">
        <w:rPr>
          <w:rFonts w:ascii="Arial" w:eastAsia="Calibri" w:hAnsi="Arial" w:cs="Arial"/>
          <w:color w:val="000000" w:themeColor="text1"/>
          <w:sz w:val="22"/>
          <w:szCs w:val="22"/>
          <w:lang w:val="es-ES_tradnl"/>
        </w:rPr>
        <w:t>d</w:t>
      </w:r>
      <w:r w:rsidR="00535D23">
        <w:rPr>
          <w:rFonts w:ascii="Arial" w:eastAsia="Calibri" w:hAnsi="Arial" w:cs="Arial"/>
          <w:color w:val="000000" w:themeColor="text1"/>
          <w:sz w:val="22"/>
          <w:szCs w:val="22"/>
          <w:lang w:val="es-ES_tradnl"/>
        </w:rPr>
        <w:t>efinición y finalidad de la Ley de Garantías Electorales: a</w:t>
      </w:r>
      <w:r w:rsidR="009F2C6F" w:rsidRPr="003D4FC2">
        <w:rPr>
          <w:rFonts w:ascii="Arial" w:eastAsia="Calibri" w:hAnsi="Arial" w:cs="Arial"/>
          <w:color w:val="000000" w:themeColor="text1"/>
          <w:sz w:val="22"/>
          <w:szCs w:val="22"/>
          <w:lang w:val="es-ES_tradnl"/>
        </w:rPr>
        <w:t xml:space="preserve">lcance </w:t>
      </w:r>
      <w:r w:rsidR="00535D23">
        <w:rPr>
          <w:rFonts w:ascii="Arial" w:eastAsia="Calibri" w:hAnsi="Arial" w:cs="Arial"/>
          <w:color w:val="000000" w:themeColor="text1"/>
          <w:sz w:val="22"/>
          <w:szCs w:val="22"/>
          <w:lang w:val="es-ES_tradnl"/>
        </w:rPr>
        <w:t>de las restricciones</w:t>
      </w:r>
      <w:r w:rsidR="009F2C6F" w:rsidRPr="003D4FC2">
        <w:rPr>
          <w:rFonts w:ascii="Arial" w:eastAsia="Calibri" w:hAnsi="Arial" w:cs="Arial"/>
          <w:color w:val="000000" w:themeColor="text1"/>
          <w:sz w:val="22"/>
          <w:szCs w:val="22"/>
          <w:lang w:val="es-ES_tradnl"/>
        </w:rPr>
        <w:t xml:space="preserve">, ii) </w:t>
      </w:r>
      <w:r w:rsidR="00535D23">
        <w:rPr>
          <w:rFonts w:ascii="Arial" w:eastAsia="Calibri" w:hAnsi="Arial" w:cs="Arial"/>
          <w:color w:val="000000" w:themeColor="text1"/>
          <w:sz w:val="22"/>
          <w:szCs w:val="22"/>
          <w:lang w:val="es-ES_tradnl"/>
        </w:rPr>
        <w:t>restricciones en elecciones presidenciales: prohibición del artículo 33 de la Ley 996 de 2005</w:t>
      </w:r>
      <w:r w:rsidR="004A2A99" w:rsidRPr="003D4FC2">
        <w:rPr>
          <w:rFonts w:ascii="Arial" w:eastAsia="Calibri" w:hAnsi="Arial" w:cs="Arial"/>
          <w:color w:val="000000" w:themeColor="text1"/>
          <w:sz w:val="22"/>
          <w:szCs w:val="22"/>
          <w:lang w:val="es-ES_tradnl"/>
        </w:rPr>
        <w:t xml:space="preserve"> ii</w:t>
      </w:r>
      <w:r w:rsidR="00B7276A" w:rsidRPr="003D4FC2">
        <w:rPr>
          <w:rFonts w:ascii="Arial" w:eastAsia="Calibri" w:hAnsi="Arial" w:cs="Arial"/>
          <w:color w:val="000000" w:themeColor="text1"/>
          <w:sz w:val="22"/>
          <w:szCs w:val="22"/>
          <w:lang w:val="es-ES_tradnl"/>
        </w:rPr>
        <w:t>i</w:t>
      </w:r>
      <w:r w:rsidR="004A2A99" w:rsidRPr="003D4FC2">
        <w:rPr>
          <w:rFonts w:ascii="Arial" w:eastAsia="Calibri" w:hAnsi="Arial" w:cs="Arial"/>
          <w:color w:val="000000" w:themeColor="text1"/>
          <w:sz w:val="22"/>
          <w:szCs w:val="22"/>
          <w:lang w:val="es-ES_tradnl"/>
        </w:rPr>
        <w:t>)</w:t>
      </w:r>
      <w:r w:rsidR="00DD4EE3" w:rsidRPr="003D4FC2">
        <w:rPr>
          <w:rFonts w:ascii="Arial" w:eastAsia="Calibri" w:hAnsi="Arial" w:cs="Arial"/>
          <w:color w:val="000000" w:themeColor="text1"/>
          <w:sz w:val="22"/>
          <w:szCs w:val="22"/>
          <w:lang w:val="es-ES_tradnl"/>
        </w:rPr>
        <w:t xml:space="preserve"> </w:t>
      </w:r>
      <w:r w:rsidR="00535D23">
        <w:rPr>
          <w:rFonts w:ascii="Arial" w:eastAsia="Calibri" w:hAnsi="Arial" w:cs="Arial"/>
          <w:color w:val="000000" w:themeColor="text1"/>
          <w:sz w:val="22"/>
          <w:szCs w:val="22"/>
          <w:lang w:val="es-ES_tradnl"/>
        </w:rPr>
        <w:t xml:space="preserve">restricciones para la celebración de contratos y convenios interadministrativos en los comicios de cargos de elección popular: prohibición del parágrafo del artículo 38 de la Ley 996 de 2005 y iv) </w:t>
      </w:r>
      <w:r w:rsidR="00535D23">
        <w:rPr>
          <w:rFonts w:ascii="Arial" w:eastAsia="Calibri" w:hAnsi="Arial" w:cs="Arial"/>
          <w:color w:val="000000" w:themeColor="text1"/>
          <w:sz w:val="22"/>
          <w:szCs w:val="22"/>
          <w:lang w:val="es-ES_tradnl"/>
        </w:rPr>
        <w:lastRenderedPageBreak/>
        <w:t>restricciones de la Ley de Garantías en los contratos de colaboración y convenios de asociación.</w:t>
      </w:r>
      <w:r w:rsidR="00B117EC" w:rsidRPr="003D4FC2">
        <w:rPr>
          <w:rFonts w:ascii="Arial" w:hAnsi="Arial" w:cs="Arial"/>
          <w:color w:val="000000" w:themeColor="text1"/>
          <w:sz w:val="22"/>
          <w:szCs w:val="22"/>
          <w:lang w:val="es-ES_tradnl" w:eastAsia="es-CO"/>
        </w:rPr>
        <w:t xml:space="preserve"> </w:t>
      </w:r>
    </w:p>
    <w:p w14:paraId="7DF3A8DD" w14:textId="3C5E9CCB" w:rsidR="000E7E1A" w:rsidRPr="003D4FC2" w:rsidRDefault="00033B58" w:rsidP="000E7E1A">
      <w:pPr>
        <w:spacing w:before="120" w:line="276" w:lineRule="auto"/>
        <w:ind w:firstLine="709"/>
        <w:jc w:val="both"/>
        <w:rPr>
          <w:rFonts w:ascii="Arial" w:eastAsia="Calibri" w:hAnsi="Arial" w:cs="Arial"/>
          <w:color w:val="000000" w:themeColor="text1"/>
          <w:sz w:val="22"/>
          <w:szCs w:val="22"/>
          <w:lang w:val="es-ES_tradnl"/>
        </w:rPr>
      </w:pPr>
      <w:r>
        <w:rPr>
          <w:rFonts w:ascii="Arial" w:eastAsia="Calibri" w:hAnsi="Arial" w:cs="Arial"/>
          <w:color w:val="000000" w:themeColor="text1"/>
          <w:sz w:val="22"/>
          <w:szCs w:val="22"/>
          <w:lang w:val="es-ES_tradnl"/>
        </w:rPr>
        <w:t>E</w:t>
      </w:r>
      <w:r w:rsidR="00A62DB2" w:rsidRPr="003D4FC2">
        <w:rPr>
          <w:rFonts w:ascii="Arial" w:eastAsia="Calibri" w:hAnsi="Arial" w:cs="Arial"/>
          <w:color w:val="000000" w:themeColor="text1"/>
          <w:sz w:val="22"/>
          <w:szCs w:val="22"/>
          <w:lang w:val="es-ES_tradnl"/>
        </w:rPr>
        <w:t xml:space="preserve">sta Agencia </w:t>
      </w:r>
      <w:r w:rsidR="00A62DB2" w:rsidRPr="003D4FC2">
        <w:rPr>
          <w:rFonts w:ascii="Arial" w:hAnsi="Arial" w:cs="Arial"/>
          <w:color w:val="000000" w:themeColor="text1"/>
          <w:sz w:val="22"/>
          <w:szCs w:val="22"/>
          <w:shd w:val="clear" w:color="auto" w:fill="FFFFFF"/>
        </w:rPr>
        <w:t xml:space="preserve">ha impartido lineamientos sobre la aplicación de la Ley 996 de 2005 y también se ha pronunciado al respecto, entre otros, en los conceptos 4201912000004632 del 6 de agosto de 2019, 2201913000005655 del 8 de agosto de 2019, 2201913000006283 del 27 de agosto de 2019, 2201913000006521 del 3 de septiembre de 2019, 2201913000006634 del 6 de septiembre de 2019, 2201913000006639 del 9 de septiembre de 2019, 2201913000007430 del 7 de octubre de 2019, 2201913000007565 del 10 de octubre de 2019, 2201913000008259 del 6 de noviembre de 2019, C-074 del 17 de marzo de 2021, C-075 del 16 de marzo de 2021, C-227 de 2021 del 5 de mayo de 2021, C-259 del 2 de junio de 2021, C-337 del 13 de julio de 2021, C-350 del 16 de julio de 2021, C-352 del 27 de julio de 2021, C-374 del 16 de septiembre de 2021, </w:t>
      </w:r>
      <w:r w:rsidR="00505F58" w:rsidRPr="003D4FC2">
        <w:rPr>
          <w:rFonts w:ascii="Arial" w:hAnsi="Arial" w:cs="Arial"/>
          <w:color w:val="000000" w:themeColor="text1"/>
          <w:sz w:val="22"/>
          <w:szCs w:val="22"/>
          <w:shd w:val="clear" w:color="auto" w:fill="FFFFFF"/>
        </w:rPr>
        <w:t>C-381 del 2 de agosto de 2021</w:t>
      </w:r>
      <w:r w:rsidR="00A62DB2" w:rsidRPr="003D4FC2">
        <w:rPr>
          <w:rFonts w:ascii="Arial" w:hAnsi="Arial" w:cs="Arial"/>
          <w:color w:val="000000" w:themeColor="text1"/>
          <w:sz w:val="22"/>
          <w:szCs w:val="22"/>
          <w:shd w:val="clear" w:color="auto" w:fill="FFFFFF"/>
        </w:rPr>
        <w:t xml:space="preserve">, C-396 del 13 de agosto de 2021, C-401 del 10 de agosto de 2021, C-413 del 17 de agosto de 2021, C-439  del 27 de agosto de 2021, C-456 del 3 de septiembre de 2021, C-481 del 98 de septiembre de 2021, C-495 del 15 de septiembre de 2021, C-497 del 15 de septiembre de 2021, C-499 del 15 de septiembre de 2021, C-523 del 10 de octubre de 2021, C-528 del 27 de septiembre de 2021, C-543 del 9 de noviembre de 2021, C-550 del 5 de octubre de 2021, C-557 del 7 de octubre de 2021, C-563 del 8 de octubre de 2021, C-606 del 3 de noviembre de 2021, C-614 del 2 de noviembre de 2021, C-633 del 11 de noviembre de 2021, C-634 del 11 de noviembre de 2021, C-636 del 16 de noviembre de 2021, C-677 del 4 de diciembre de 2021, C-674 del 6 de diciembre de 2021, </w:t>
      </w:r>
      <w:r w:rsidR="000E7E1A" w:rsidRPr="003D4FC2">
        <w:rPr>
          <w:rFonts w:ascii="Arial" w:eastAsia="Calibri" w:hAnsi="Arial" w:cs="Arial"/>
          <w:color w:val="000000" w:themeColor="text1"/>
          <w:sz w:val="22"/>
        </w:rPr>
        <w:t>681 del 7 de diciembre de 2021, C-686 del 21 de diciembre de 2021,</w:t>
      </w:r>
      <w:r w:rsidR="000E7E1A" w:rsidRPr="003D4FC2">
        <w:rPr>
          <w:rFonts w:ascii="Arial" w:hAnsi="Arial" w:cs="Arial"/>
          <w:color w:val="000000" w:themeColor="text1"/>
          <w:sz w:val="22"/>
          <w:szCs w:val="22"/>
          <w:shd w:val="clear" w:color="auto" w:fill="FFFFFF"/>
        </w:rPr>
        <w:t xml:space="preserve"> </w:t>
      </w:r>
      <w:r w:rsidR="00A62DB2" w:rsidRPr="003D4FC2">
        <w:rPr>
          <w:rFonts w:ascii="Arial" w:hAnsi="Arial" w:cs="Arial"/>
          <w:color w:val="000000" w:themeColor="text1"/>
          <w:sz w:val="22"/>
          <w:szCs w:val="22"/>
          <w:shd w:val="clear" w:color="auto" w:fill="FFFFFF"/>
        </w:rPr>
        <w:t>C-69</w:t>
      </w:r>
      <w:r w:rsidR="00505F58" w:rsidRPr="003D4FC2">
        <w:rPr>
          <w:rFonts w:ascii="Arial" w:hAnsi="Arial" w:cs="Arial"/>
          <w:color w:val="000000" w:themeColor="text1"/>
          <w:sz w:val="22"/>
          <w:szCs w:val="22"/>
          <w:shd w:val="clear" w:color="auto" w:fill="FFFFFF"/>
        </w:rPr>
        <w:t xml:space="preserve">5 del 22 de diciembre de 2021, </w:t>
      </w:r>
      <w:r w:rsidR="00A62DB2" w:rsidRPr="003D4FC2">
        <w:rPr>
          <w:rFonts w:ascii="Arial" w:hAnsi="Arial" w:cs="Arial"/>
          <w:color w:val="000000" w:themeColor="text1"/>
          <w:sz w:val="22"/>
          <w:szCs w:val="22"/>
          <w:shd w:val="clear" w:color="auto" w:fill="FFFFFF"/>
        </w:rPr>
        <w:t>C-723 del 28 de diciembre de 2021, C-726 de 24 de enero de 2022</w:t>
      </w:r>
      <w:r w:rsidR="000E7E1A" w:rsidRPr="003D4FC2">
        <w:rPr>
          <w:rFonts w:ascii="Arial" w:hAnsi="Arial" w:cs="Arial"/>
          <w:color w:val="000000" w:themeColor="text1"/>
          <w:sz w:val="22"/>
          <w:szCs w:val="22"/>
          <w:shd w:val="clear" w:color="auto" w:fill="FFFFFF"/>
        </w:rPr>
        <w:t>,</w:t>
      </w:r>
      <w:r w:rsidR="000E7E1A" w:rsidRPr="003D4FC2">
        <w:rPr>
          <w:rFonts w:ascii="Arial" w:eastAsia="Calibri" w:hAnsi="Arial" w:cs="Arial"/>
          <w:color w:val="000000" w:themeColor="text1"/>
          <w:sz w:val="22"/>
        </w:rPr>
        <w:t xml:space="preserve"> C-697 del 3 de enero de 2022, 002 del 15 de febrero de 2022, C-009 del 15 de febrero de 2022,</w:t>
      </w:r>
      <w:r w:rsidR="00A62DB2" w:rsidRPr="003D4FC2">
        <w:rPr>
          <w:rFonts w:ascii="Arial" w:hAnsi="Arial" w:cs="Arial"/>
          <w:color w:val="000000" w:themeColor="text1"/>
          <w:sz w:val="22"/>
          <w:szCs w:val="22"/>
          <w:shd w:val="clear" w:color="auto" w:fill="FFFFFF"/>
        </w:rPr>
        <w:t xml:space="preserve"> C-037 de 21 de enero de 2022</w:t>
      </w:r>
      <w:r w:rsidR="000E7E1A" w:rsidRPr="003D4FC2">
        <w:rPr>
          <w:rFonts w:ascii="Arial" w:hAnsi="Arial" w:cs="Arial"/>
          <w:color w:val="000000" w:themeColor="text1"/>
          <w:sz w:val="22"/>
          <w:szCs w:val="22"/>
          <w:shd w:val="clear" w:color="auto" w:fill="FFFFFF"/>
        </w:rPr>
        <w:t xml:space="preserve">, </w:t>
      </w:r>
      <w:r w:rsidR="000E7E1A" w:rsidRPr="003D4FC2">
        <w:rPr>
          <w:rFonts w:ascii="Arial" w:eastAsia="Calibri" w:hAnsi="Arial" w:cs="Arial"/>
          <w:color w:val="000000" w:themeColor="text1"/>
          <w:sz w:val="22"/>
        </w:rPr>
        <w:t>C-005 del 16 de febrero de  2022, C-014 del 18 de febrero de 2022, C- 022 del 21 de febrero de 2022, C-045 del 3 de marzo de 2022</w:t>
      </w:r>
      <w:r w:rsidR="00B117EC" w:rsidRPr="003D4FC2">
        <w:rPr>
          <w:rFonts w:ascii="Arial" w:eastAsia="Calibri" w:hAnsi="Arial" w:cs="Arial"/>
          <w:color w:val="000000" w:themeColor="text1"/>
          <w:sz w:val="22"/>
        </w:rPr>
        <w:t>, C-216 del 9 de marzo de 2022</w:t>
      </w:r>
      <w:r w:rsidR="00A62DB2" w:rsidRPr="003D4FC2">
        <w:rPr>
          <w:rFonts w:ascii="Arial" w:eastAsia="Calibri" w:hAnsi="Arial" w:cs="Arial"/>
          <w:color w:val="000000" w:themeColor="text1"/>
          <w:sz w:val="22"/>
          <w:szCs w:val="22"/>
          <w:lang w:val="es-ES_tradnl"/>
        </w:rPr>
        <w:t xml:space="preserve">. </w:t>
      </w:r>
    </w:p>
    <w:p w14:paraId="1A992592" w14:textId="77777777" w:rsidR="009F2C6F" w:rsidRPr="003D4FC2" w:rsidRDefault="009F2C6F" w:rsidP="00B7276A">
      <w:pPr>
        <w:spacing w:line="276" w:lineRule="auto"/>
        <w:jc w:val="both"/>
        <w:rPr>
          <w:rFonts w:ascii="Arial" w:eastAsia="Calibri" w:hAnsi="Arial" w:cs="Arial"/>
          <w:color w:val="000000" w:themeColor="text1"/>
          <w:sz w:val="22"/>
          <w:lang w:val="es-ES_tradnl"/>
        </w:rPr>
      </w:pPr>
    </w:p>
    <w:p w14:paraId="60E29C0B" w14:textId="77777777" w:rsidR="00535D23" w:rsidRPr="00535D23" w:rsidRDefault="00535D23" w:rsidP="00535D23">
      <w:pPr>
        <w:tabs>
          <w:tab w:val="left" w:pos="426"/>
        </w:tabs>
        <w:spacing w:line="276" w:lineRule="auto"/>
        <w:jc w:val="both"/>
        <w:rPr>
          <w:rFonts w:ascii="Arial" w:eastAsia="Calibri" w:hAnsi="Arial" w:cs="Arial"/>
          <w:b/>
          <w:bCs/>
          <w:color w:val="000000"/>
          <w:sz w:val="22"/>
          <w:szCs w:val="22"/>
          <w:lang w:val="es-ES_tradnl" w:eastAsia="en-US"/>
        </w:rPr>
      </w:pPr>
      <w:r w:rsidRPr="00535D23">
        <w:rPr>
          <w:rFonts w:ascii="Arial" w:eastAsia="Calibri" w:hAnsi="Arial" w:cs="Arial"/>
          <w:b/>
          <w:bCs/>
          <w:color w:val="000000"/>
          <w:sz w:val="22"/>
          <w:szCs w:val="22"/>
          <w:lang w:val="es-ES_tradnl" w:eastAsia="en-US"/>
        </w:rPr>
        <w:t>2.1. Definición y finalidad de la Ley de Garantías Electorales: alcance de las restricciones</w:t>
      </w:r>
    </w:p>
    <w:p w14:paraId="708945C2" w14:textId="77777777" w:rsidR="00535D23" w:rsidRPr="00535D23" w:rsidRDefault="00535D23" w:rsidP="00535D23">
      <w:pPr>
        <w:tabs>
          <w:tab w:val="left" w:pos="426"/>
        </w:tabs>
        <w:spacing w:line="276" w:lineRule="auto"/>
        <w:ind w:firstLine="709"/>
        <w:jc w:val="both"/>
        <w:rPr>
          <w:rFonts w:ascii="Arial" w:eastAsia="Calibri" w:hAnsi="Arial" w:cs="Arial"/>
          <w:bCs/>
          <w:color w:val="000000"/>
          <w:sz w:val="22"/>
          <w:szCs w:val="22"/>
          <w:lang w:val="es-ES_tradnl" w:eastAsia="en-US"/>
        </w:rPr>
      </w:pPr>
    </w:p>
    <w:p w14:paraId="5D4615AA" w14:textId="77777777" w:rsidR="00535D23" w:rsidRPr="00535D23" w:rsidRDefault="00535D23" w:rsidP="00535D23">
      <w:pPr>
        <w:tabs>
          <w:tab w:val="left" w:pos="426"/>
        </w:tabs>
        <w:spacing w:after="120" w:line="276" w:lineRule="auto"/>
        <w:jc w:val="both"/>
        <w:rPr>
          <w:rFonts w:ascii="Arial" w:eastAsia="Calibri" w:hAnsi="Arial" w:cs="Arial"/>
          <w:bCs/>
          <w:color w:val="000000"/>
          <w:sz w:val="22"/>
          <w:szCs w:val="22"/>
          <w:lang w:val="es-ES_tradnl" w:eastAsia="es-CO"/>
        </w:rPr>
      </w:pPr>
      <w:r w:rsidRPr="00535D23">
        <w:rPr>
          <w:rFonts w:ascii="Arial" w:eastAsia="Calibri" w:hAnsi="Arial" w:cs="Arial"/>
          <w:bCs/>
          <w:color w:val="000000"/>
          <w:sz w:val="22"/>
          <w:szCs w:val="22"/>
          <w:lang w:val="es-ES_tradnl" w:eastAsia="en-US"/>
        </w:rPr>
        <w:t>El ordenamiento jurídico colombiano contempla previsiones claras para evitar la obtención de beneficios personales en asuntos propios de la administración pública</w:t>
      </w:r>
      <w:r w:rsidRPr="00535D23">
        <w:rPr>
          <w:rFonts w:ascii="Arial" w:eastAsia="Calibri" w:hAnsi="Arial" w:cs="Arial"/>
          <w:bCs/>
          <w:i/>
          <w:iCs/>
          <w:color w:val="000000"/>
          <w:sz w:val="22"/>
          <w:szCs w:val="22"/>
          <w:lang w:val="es-ES_tradnl" w:eastAsia="en-US"/>
        </w:rPr>
        <w:t xml:space="preserve">. </w:t>
      </w:r>
      <w:r w:rsidRPr="00535D23">
        <w:rPr>
          <w:rFonts w:ascii="Arial" w:eastAsia="Calibri" w:hAnsi="Arial" w:cs="Arial"/>
          <w:bCs/>
          <w:color w:val="000000"/>
          <w:sz w:val="22"/>
          <w:szCs w:val="22"/>
          <w:lang w:val="es-ES_tradnl" w:eastAsia="en-US"/>
        </w:rPr>
        <w:t>Por ejemplo, el artículo 127 de la Constitución Política establece una prohibición contractual a los servidores públicos y, en cuanto a aspectos políticos, establece restricciones a ciertos empleados del Estado, incluso en época no electoral</w:t>
      </w:r>
      <w:r w:rsidRPr="00535D23">
        <w:rPr>
          <w:rFonts w:ascii="Arial" w:eastAsia="Calibri" w:hAnsi="Arial" w:cs="Arial"/>
          <w:color w:val="000000"/>
          <w:vertAlign w:val="superscript"/>
          <w:lang w:eastAsia="en-US"/>
        </w:rPr>
        <w:footnoteReference w:id="3"/>
      </w:r>
      <w:r w:rsidRPr="00535D23">
        <w:rPr>
          <w:rFonts w:ascii="Arial" w:eastAsia="Calibri" w:hAnsi="Arial" w:cs="Arial"/>
          <w:bCs/>
          <w:color w:val="000000"/>
          <w:sz w:val="22"/>
          <w:szCs w:val="22"/>
          <w:lang w:val="es-ES_tradnl" w:eastAsia="en-US"/>
        </w:rPr>
        <w:t xml:space="preserve">. </w:t>
      </w:r>
    </w:p>
    <w:p w14:paraId="64BA1411" w14:textId="77777777" w:rsidR="00535D23" w:rsidRPr="00535D23" w:rsidRDefault="00535D23" w:rsidP="00535D23">
      <w:pPr>
        <w:tabs>
          <w:tab w:val="left" w:pos="426"/>
        </w:tabs>
        <w:spacing w:line="276" w:lineRule="auto"/>
        <w:ind w:firstLine="709"/>
        <w:jc w:val="both"/>
        <w:rPr>
          <w:rFonts w:ascii="Arial" w:eastAsia="Calibri" w:hAnsi="Arial" w:cs="Arial"/>
          <w:bCs/>
          <w:color w:val="000000"/>
          <w:sz w:val="22"/>
          <w:szCs w:val="22"/>
          <w:lang w:val="es-ES_tradnl" w:eastAsia="es-CO"/>
        </w:rPr>
      </w:pPr>
      <w:r w:rsidRPr="00535D23">
        <w:rPr>
          <w:rFonts w:ascii="Arial" w:eastAsia="Calibri" w:hAnsi="Arial" w:cs="Arial"/>
          <w:bCs/>
          <w:color w:val="000000"/>
          <w:sz w:val="22"/>
          <w:szCs w:val="22"/>
          <w:lang w:val="es-ES_tradnl" w:eastAsia="es-CO"/>
        </w:rPr>
        <w:lastRenderedPageBreak/>
        <w:t>En el mismo sentido, la Ley 996 de 2005, conocida como «Ley de Garantías Electorales», se suma a la normatividad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535D23">
        <w:rPr>
          <w:rFonts w:ascii="Arial" w:eastAsia="Calibri" w:hAnsi="Arial" w:cs="Arial"/>
          <w:color w:val="000000"/>
          <w:vertAlign w:val="superscript"/>
          <w:lang w:eastAsia="en-US"/>
        </w:rPr>
        <w:footnoteReference w:id="4"/>
      </w:r>
      <w:r w:rsidRPr="00535D23">
        <w:rPr>
          <w:rFonts w:ascii="Arial" w:eastAsia="Calibri" w:hAnsi="Arial" w:cs="Arial"/>
          <w:bCs/>
          <w:color w:val="000000"/>
          <w:sz w:val="22"/>
          <w:szCs w:val="22"/>
          <w:lang w:val="es-ES_tradnl" w:eastAsia="es-CO"/>
        </w:rPr>
        <w:t>. En esta medida, introduce limitaciones para realizar nombramientos, postulaciones, contrataciones o cualquier otro tipo de actividad que implique destinación de recursos públicos bajo el devenir propio de las entidades estatales.</w:t>
      </w:r>
      <w:r w:rsidRPr="00535D23">
        <w:rPr>
          <w:rFonts w:ascii="Arial" w:eastAsia="Calibri" w:hAnsi="Arial" w:cs="Arial"/>
          <w:noProof/>
          <w:color w:val="000000"/>
          <w:sz w:val="22"/>
          <w:szCs w:val="22"/>
          <w:lang w:val="es-ES_tradnl" w:eastAsia="en-US"/>
        </w:rPr>
        <w:t xml:space="preserve"> </w:t>
      </w:r>
      <w:r w:rsidRPr="00535D23">
        <w:rPr>
          <w:rFonts w:ascii="Arial" w:eastAsia="Calibri" w:hAnsi="Arial" w:cs="Arial"/>
          <w:bCs/>
          <w:color w:val="000000"/>
          <w:sz w:val="22"/>
          <w:szCs w:val="22"/>
          <w:lang w:val="es-ES_tradnl" w:eastAsia="es-CO"/>
        </w:rPr>
        <w:t>En armonía con lo anterior, la Corte Constitucional ha abordado la definición de la Ley de Garantías Electorales. De esta manera, explica que tiene como propósito:</w:t>
      </w:r>
    </w:p>
    <w:p w14:paraId="51A0ACF0" w14:textId="77777777" w:rsidR="00535D23" w:rsidRPr="00535D23" w:rsidRDefault="00535D23" w:rsidP="00535D23">
      <w:pPr>
        <w:ind w:right="709"/>
        <w:jc w:val="both"/>
        <w:rPr>
          <w:rFonts w:ascii="Arial" w:eastAsia="Calibri" w:hAnsi="Arial" w:cs="Arial"/>
          <w:color w:val="000000"/>
          <w:sz w:val="21"/>
          <w:szCs w:val="21"/>
          <w:lang w:val="es-ES_tradnl" w:eastAsia="es-CO"/>
        </w:rPr>
      </w:pPr>
    </w:p>
    <w:p w14:paraId="1C174815" w14:textId="77777777" w:rsidR="00535D23" w:rsidRPr="00535D23" w:rsidRDefault="00535D23" w:rsidP="00535D23">
      <w:pPr>
        <w:ind w:left="709" w:right="709"/>
        <w:jc w:val="both"/>
        <w:rPr>
          <w:rFonts w:ascii="Arial" w:eastAsia="Calibri" w:hAnsi="Arial" w:cs="Arial"/>
          <w:bCs/>
          <w:color w:val="000000"/>
          <w:sz w:val="21"/>
          <w:szCs w:val="21"/>
          <w:lang w:val="es-ES_tradnl" w:eastAsia="es-CO"/>
        </w:rPr>
      </w:pPr>
      <w:r w:rsidRPr="00535D23">
        <w:rPr>
          <w:rFonts w:ascii="Arial" w:eastAsia="Calibri" w:hAnsi="Arial" w:cs="Arial"/>
          <w:sz w:val="21"/>
          <w:szCs w:val="21"/>
          <w:lang w:eastAsia="en-US"/>
        </w:rPr>
        <w:t>«</w:t>
      </w:r>
      <w:r w:rsidRPr="00535D23">
        <w:rPr>
          <w:rFonts w:ascii="Arial" w:eastAsia="Calibri" w:hAnsi="Arial" w:cs="Arial"/>
          <w:color w:val="000000"/>
          <w:sz w:val="21"/>
          <w:szCs w:val="21"/>
          <w:lang w:val="es-ES_tradnl" w:eastAsia="es-CO"/>
        </w:rPr>
        <w:t xml:space="preserve">[…] </w:t>
      </w:r>
      <w:r w:rsidRPr="00535D23">
        <w:rPr>
          <w:rFonts w:ascii="Arial" w:eastAsia="Calibri" w:hAnsi="Arial" w:cs="Arial"/>
          <w:bCs/>
          <w:color w:val="000000"/>
          <w:sz w:val="21"/>
          <w:szCs w:val="21"/>
          <w:lang w:val="es-ES_tradnl" w:eastAsia="es-CO"/>
        </w:rPr>
        <w:t>la definición de reglas claras que permitan acceder a los canales de expresión democrática de manera efectiva e igualitaria. El objetivo de una ley de garantías es definir esas reglas.</w:t>
      </w:r>
    </w:p>
    <w:p w14:paraId="44351FC0" w14:textId="77777777" w:rsidR="00535D23" w:rsidRPr="00535D23" w:rsidRDefault="00535D23" w:rsidP="00535D23">
      <w:pPr>
        <w:spacing w:after="120"/>
        <w:ind w:left="709" w:right="709"/>
        <w:jc w:val="both"/>
        <w:rPr>
          <w:rFonts w:ascii="Arial" w:eastAsia="Calibri" w:hAnsi="Arial" w:cs="Arial"/>
          <w:bCs/>
          <w:color w:val="000000"/>
          <w:sz w:val="21"/>
          <w:szCs w:val="21"/>
          <w:lang w:val="es-ES_tradnl" w:eastAsia="es-CO"/>
        </w:rPr>
      </w:pPr>
      <w:r w:rsidRPr="00535D23">
        <w:rPr>
          <w:rFonts w:ascii="Arial" w:eastAsia="Calibri" w:hAnsi="Arial" w:cs="Arial"/>
          <w:bCs/>
          <w:color w:val="000000"/>
          <w:sz w:val="21"/>
          <w:szCs w:val="21"/>
          <w:lang w:val="es-ES_tradnl" w:eastAsia="es-CO"/>
        </w:rPr>
        <w:t xml:space="preserve">[…] </w:t>
      </w:r>
    </w:p>
    <w:p w14:paraId="450FE596" w14:textId="77777777" w:rsidR="00535D23" w:rsidRPr="00535D23" w:rsidRDefault="00535D23" w:rsidP="00535D23">
      <w:pPr>
        <w:ind w:left="709" w:right="709"/>
        <w:jc w:val="both"/>
        <w:rPr>
          <w:rFonts w:ascii="Arial" w:eastAsia="Calibri" w:hAnsi="Arial" w:cs="Arial"/>
          <w:bCs/>
          <w:color w:val="000000"/>
          <w:sz w:val="21"/>
          <w:szCs w:val="21"/>
          <w:lang w:val="es-ES_tradnl" w:eastAsia="es-CO"/>
        </w:rPr>
      </w:pPr>
      <w:r w:rsidRPr="00535D23">
        <w:rPr>
          <w:rFonts w:ascii="Arial" w:eastAsia="Calibri" w:hAnsi="Arial" w:cs="Arial"/>
          <w:bCs/>
          <w:color w:val="000000"/>
          <w:sz w:val="21"/>
          <w:szCs w:val="21"/>
          <w:lang w:val="es-ES_tradnl"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535D23">
        <w:rPr>
          <w:rFonts w:ascii="Arial" w:eastAsia="Calibri" w:hAnsi="Arial" w:cs="Arial"/>
          <w:sz w:val="21"/>
          <w:szCs w:val="21"/>
          <w:lang w:val="es-ES" w:eastAsia="en-US"/>
        </w:rPr>
        <w:t>»</w:t>
      </w:r>
      <w:r w:rsidRPr="00535D23">
        <w:rPr>
          <w:rFonts w:ascii="Arial" w:eastAsia="Calibri" w:hAnsi="Arial" w:cs="Arial"/>
          <w:color w:val="000000"/>
          <w:vertAlign w:val="superscript"/>
          <w:lang w:eastAsia="en-US"/>
        </w:rPr>
        <w:footnoteReference w:id="5"/>
      </w:r>
    </w:p>
    <w:p w14:paraId="0DE7875C" w14:textId="77777777" w:rsidR="00535D23" w:rsidRPr="00535D23" w:rsidRDefault="00535D23" w:rsidP="00535D23">
      <w:pPr>
        <w:spacing w:line="276" w:lineRule="auto"/>
        <w:ind w:left="709" w:right="709"/>
        <w:jc w:val="both"/>
        <w:rPr>
          <w:rFonts w:ascii="Arial" w:eastAsia="Calibri" w:hAnsi="Arial" w:cs="Arial"/>
          <w:bCs/>
          <w:color w:val="000000"/>
          <w:sz w:val="21"/>
          <w:szCs w:val="21"/>
          <w:lang w:val="es-ES_tradnl" w:eastAsia="es-CO"/>
        </w:rPr>
      </w:pPr>
    </w:p>
    <w:p w14:paraId="06407C10" w14:textId="77777777" w:rsidR="00535D23" w:rsidRPr="00535D23" w:rsidRDefault="00535D23" w:rsidP="00535D23">
      <w:pPr>
        <w:spacing w:line="276" w:lineRule="auto"/>
        <w:ind w:firstLine="709"/>
        <w:jc w:val="both"/>
        <w:rPr>
          <w:rFonts w:ascii="Arial" w:eastAsia="Calibri" w:hAnsi="Arial" w:cs="Arial"/>
          <w:bCs/>
          <w:color w:val="000000"/>
          <w:sz w:val="22"/>
          <w:szCs w:val="22"/>
          <w:lang w:val="es-ES_tradnl" w:eastAsia="es-CO"/>
        </w:rPr>
      </w:pPr>
      <w:r w:rsidRPr="00535D23">
        <w:rPr>
          <w:rFonts w:ascii="Arial" w:eastAsia="Calibri" w:hAnsi="Arial" w:cs="Arial"/>
          <w:bCs/>
          <w:color w:val="000000"/>
          <w:sz w:val="22"/>
          <w:szCs w:val="22"/>
          <w:lang w:val="es-ES_tradnl" w:eastAsia="es-CO"/>
        </w:rPr>
        <w:t xml:space="preserve">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w:t>
      </w:r>
      <w:r w:rsidRPr="00535D23">
        <w:rPr>
          <w:rFonts w:ascii="Arial" w:eastAsia="Calibri" w:hAnsi="Arial" w:cs="Arial"/>
          <w:bCs/>
          <w:color w:val="000000"/>
          <w:sz w:val="22"/>
          <w:szCs w:val="22"/>
          <w:lang w:val="es-ES_tradnl" w:eastAsia="es-CO"/>
        </w:rPr>
        <w:lastRenderedPageBreak/>
        <w:t>sino que deben interpretarse restrictivamente. En efecto, la Sala de Consulta y Servicio Civil del Consejo de Estado al analizar la referida ley, precisó lo siguiente:</w:t>
      </w:r>
    </w:p>
    <w:p w14:paraId="72E428A8" w14:textId="77777777" w:rsidR="00535D23" w:rsidRPr="00535D23" w:rsidRDefault="00535D23" w:rsidP="00535D23">
      <w:pPr>
        <w:spacing w:line="276" w:lineRule="auto"/>
        <w:ind w:firstLine="709"/>
        <w:jc w:val="both"/>
        <w:rPr>
          <w:rFonts w:ascii="Arial" w:eastAsia="Calibri" w:hAnsi="Arial" w:cs="Arial"/>
          <w:bCs/>
          <w:color w:val="000000"/>
          <w:sz w:val="22"/>
          <w:szCs w:val="22"/>
          <w:lang w:val="es-ES_tradnl" w:eastAsia="es-CO"/>
        </w:rPr>
      </w:pPr>
    </w:p>
    <w:p w14:paraId="35F8B3BC" w14:textId="77777777" w:rsidR="00535D23" w:rsidRPr="00535D23" w:rsidRDefault="00535D23" w:rsidP="00535D23">
      <w:pPr>
        <w:spacing w:after="120"/>
        <w:ind w:left="709" w:right="709"/>
        <w:jc w:val="both"/>
        <w:rPr>
          <w:rFonts w:ascii="Arial" w:eastAsia="Calibri" w:hAnsi="Arial" w:cs="Arial"/>
          <w:bCs/>
          <w:color w:val="000000"/>
          <w:sz w:val="21"/>
          <w:szCs w:val="21"/>
          <w:lang w:val="es-ES_tradnl" w:eastAsia="es-CO"/>
        </w:rPr>
      </w:pPr>
      <w:r w:rsidRPr="00535D23">
        <w:rPr>
          <w:rFonts w:ascii="Arial" w:eastAsia="Calibri" w:hAnsi="Arial" w:cs="Arial"/>
          <w:sz w:val="21"/>
          <w:szCs w:val="21"/>
          <w:lang w:eastAsia="en-US"/>
        </w:rPr>
        <w:t>«</w:t>
      </w:r>
      <w:r w:rsidRPr="00535D23">
        <w:rPr>
          <w:rFonts w:ascii="Arial" w:eastAsia="Calibri" w:hAnsi="Arial" w:cs="Arial"/>
          <w:bCs/>
          <w:color w:val="000000"/>
          <w:sz w:val="21"/>
          <w:szCs w:val="21"/>
          <w:lang w:val="es-ES_tradnl" w:eastAsia="es-CO"/>
        </w:rPr>
        <w:t>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21141322" w14:textId="77777777" w:rsidR="00535D23" w:rsidRPr="00535D23" w:rsidRDefault="00535D23" w:rsidP="00535D23">
      <w:pPr>
        <w:ind w:left="709" w:right="709"/>
        <w:jc w:val="both"/>
        <w:rPr>
          <w:rFonts w:ascii="Arial" w:eastAsia="Calibri" w:hAnsi="Arial" w:cs="Arial"/>
          <w:bCs/>
          <w:color w:val="000000"/>
          <w:sz w:val="21"/>
          <w:szCs w:val="21"/>
          <w:lang w:val="es-ES_tradnl" w:eastAsia="es-CO"/>
        </w:rPr>
      </w:pPr>
      <w:r w:rsidRPr="00535D23">
        <w:rPr>
          <w:rFonts w:ascii="Arial" w:eastAsia="Calibri" w:hAnsi="Arial" w:cs="Arial"/>
          <w:bCs/>
          <w:color w:val="000000"/>
          <w:sz w:val="21"/>
          <w:szCs w:val="21"/>
          <w:lang w:val="es-ES_tradnl" w:eastAsia="es-CO"/>
        </w:rPr>
        <w:t>La jurisprudencia de la Corte Constitucional</w:t>
      </w:r>
      <w:r w:rsidRPr="00535D23">
        <w:rPr>
          <w:rFonts w:ascii="Arial" w:eastAsia="Calibri" w:hAnsi="Arial" w:cs="Arial"/>
          <w:color w:val="000000"/>
          <w:vertAlign w:val="superscript"/>
          <w:lang w:eastAsia="en-US"/>
        </w:rPr>
        <w:footnoteReference w:id="6"/>
      </w:r>
      <w:r w:rsidRPr="00535D23">
        <w:rPr>
          <w:rFonts w:ascii="Arial" w:eastAsia="Calibri" w:hAnsi="Arial" w:cs="Arial"/>
          <w:bCs/>
          <w:color w:val="000000"/>
          <w:sz w:val="21"/>
          <w:szCs w:val="21"/>
          <w:lang w:val="es-ES_tradnl" w:eastAsia="es-CO"/>
        </w:rPr>
        <w:t> y del Consejo de Estado</w:t>
      </w:r>
      <w:r w:rsidRPr="00535D23">
        <w:rPr>
          <w:rFonts w:ascii="Arial" w:eastAsia="Calibri" w:hAnsi="Arial" w:cs="Arial"/>
          <w:color w:val="000000"/>
          <w:vertAlign w:val="superscript"/>
          <w:lang w:eastAsia="en-US"/>
        </w:rPr>
        <w:footnoteReference w:id="7"/>
      </w:r>
      <w:r w:rsidRPr="00535D23">
        <w:rPr>
          <w:rFonts w:ascii="Arial" w:eastAsia="Calibri" w:hAnsi="Arial" w:cs="Arial"/>
          <w:bCs/>
          <w:color w:val="000000"/>
          <w:sz w:val="21"/>
          <w:szCs w:val="21"/>
          <w:lang w:val="es-ES_tradnl"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535D23">
        <w:rPr>
          <w:rFonts w:ascii="Arial" w:eastAsia="Calibri" w:hAnsi="Arial" w:cs="Arial"/>
          <w:sz w:val="21"/>
          <w:szCs w:val="21"/>
          <w:lang w:val="es-ES" w:eastAsia="en-US"/>
        </w:rPr>
        <w:t>»</w:t>
      </w:r>
      <w:r w:rsidRPr="00535D23">
        <w:rPr>
          <w:rFonts w:ascii="Arial" w:eastAsia="Calibri" w:hAnsi="Arial" w:cs="Arial"/>
          <w:color w:val="000000"/>
          <w:vertAlign w:val="superscript"/>
          <w:lang w:eastAsia="en-US"/>
        </w:rPr>
        <w:footnoteReference w:id="8"/>
      </w:r>
    </w:p>
    <w:p w14:paraId="1A2EBF0B" w14:textId="77777777" w:rsidR="00535D23" w:rsidRPr="00535D23" w:rsidRDefault="00535D23" w:rsidP="00535D23">
      <w:pPr>
        <w:spacing w:line="276" w:lineRule="auto"/>
        <w:ind w:right="709"/>
        <w:jc w:val="both"/>
        <w:rPr>
          <w:rFonts w:ascii="Arial" w:eastAsia="Calibri" w:hAnsi="Arial" w:cs="Arial"/>
          <w:bCs/>
          <w:color w:val="000000"/>
          <w:sz w:val="22"/>
          <w:szCs w:val="22"/>
          <w:lang w:val="es-ES_tradnl" w:eastAsia="es-CO"/>
        </w:rPr>
      </w:pPr>
    </w:p>
    <w:p w14:paraId="0E63CB9C" w14:textId="77777777" w:rsidR="00535D23" w:rsidRPr="00535D23" w:rsidRDefault="00535D23" w:rsidP="00535D23">
      <w:pPr>
        <w:spacing w:after="120" w:line="276" w:lineRule="auto"/>
        <w:jc w:val="both"/>
        <w:rPr>
          <w:rFonts w:ascii="Arial" w:eastAsia="Arial" w:hAnsi="Arial" w:cs="Arial"/>
          <w:color w:val="000000"/>
          <w:sz w:val="22"/>
          <w:szCs w:val="22"/>
          <w:lang w:val="es-ES_tradnl" w:eastAsia="es-ES" w:bidi="es-ES"/>
        </w:rPr>
      </w:pPr>
      <w:r w:rsidRPr="00535D23">
        <w:rPr>
          <w:rFonts w:ascii="Arial" w:eastAsia="Calibri" w:hAnsi="Arial" w:cs="Arial"/>
          <w:bCs/>
          <w:color w:val="000000"/>
          <w:sz w:val="22"/>
          <w:szCs w:val="22"/>
          <w:lang w:val="es-ES_tradnl" w:eastAsia="es-CO"/>
        </w:rPr>
        <w:tab/>
        <w:t>De</w:t>
      </w:r>
      <w:r w:rsidRPr="00535D23">
        <w:rPr>
          <w:rFonts w:ascii="Arial" w:eastAsia="Arial" w:hAnsi="Arial" w:cs="Arial"/>
          <w:color w:val="000000"/>
          <w:sz w:val="22"/>
          <w:szCs w:val="22"/>
          <w:lang w:val="es-ES_tradnl" w:eastAsia="es-ES" w:bidi="es-ES"/>
        </w:rPr>
        <w:t xml:space="preserve"> conformidad con lo anterior, 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períodos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p>
    <w:p w14:paraId="2586E582" w14:textId="77777777" w:rsidR="00535D23" w:rsidRPr="00535D23" w:rsidRDefault="00535D23" w:rsidP="00535D23">
      <w:pPr>
        <w:spacing w:after="120" w:line="276" w:lineRule="auto"/>
        <w:ind w:firstLine="708"/>
        <w:jc w:val="both"/>
        <w:rPr>
          <w:rFonts w:ascii="Arial" w:eastAsia="Calibri" w:hAnsi="Arial" w:cs="Arial"/>
          <w:color w:val="000000"/>
          <w:sz w:val="22"/>
          <w:szCs w:val="22"/>
          <w:lang w:val="es-ES_tradnl" w:eastAsia="en-US"/>
        </w:rPr>
      </w:pPr>
      <w:r w:rsidRPr="00535D23">
        <w:rPr>
          <w:rFonts w:ascii="Arial" w:eastAsia="Calibri" w:hAnsi="Arial" w:cs="Arial"/>
          <w:color w:val="000000"/>
          <w:sz w:val="22"/>
          <w:szCs w:val="22"/>
          <w:lang w:val="es-ES_tradnl" w:eastAsia="en-US"/>
        </w:rPr>
        <w:lastRenderedPageBreak/>
        <w:t xml:space="preserve">Por un lado, el artículo 33 de la Ley 996 de 2005 prohíbe </w:t>
      </w:r>
      <w:r w:rsidRPr="00535D23">
        <w:rPr>
          <w:rFonts w:ascii="Arial" w:eastAsia="Calibri" w:hAnsi="Arial" w:cs="Arial"/>
          <w:bCs/>
          <w:color w:val="000000"/>
          <w:sz w:val="22"/>
          <w:szCs w:val="22"/>
          <w:lang w:val="es-ES_tradnl" w:eastAsia="en-US"/>
        </w:rPr>
        <w:t xml:space="preserve">«[…] </w:t>
      </w:r>
      <w:r w:rsidRPr="00535D23">
        <w:rPr>
          <w:rFonts w:ascii="Arial" w:eastAsia="Calibri" w:hAnsi="Arial" w:cs="Arial"/>
          <w:color w:val="000000"/>
          <w:sz w:val="22"/>
          <w:szCs w:val="22"/>
          <w:lang w:val="es-ES_tradnl" w:eastAsia="en-US"/>
        </w:rPr>
        <w:t>la contratación directa por parte de todos los entes del Estado</w:t>
      </w:r>
      <w:r w:rsidRPr="00535D23">
        <w:rPr>
          <w:rFonts w:ascii="Arial" w:eastAsia="Calibri" w:hAnsi="Arial" w:cs="Arial"/>
          <w:bCs/>
          <w:color w:val="000000"/>
          <w:sz w:val="22"/>
          <w:szCs w:val="22"/>
          <w:lang w:val="es-ES_tradnl" w:eastAsia="en-US"/>
        </w:rPr>
        <w:t>»</w:t>
      </w:r>
      <w:r w:rsidRPr="00535D23">
        <w:rPr>
          <w:rFonts w:ascii="Arial" w:eastAsia="Calibri" w:hAnsi="Arial" w:cs="Arial"/>
          <w:color w:val="000000"/>
          <w:sz w:val="22"/>
          <w:szCs w:val="22"/>
          <w:lang w:val="es-ES_tradnl" w:eastAsia="en-US"/>
        </w:rPr>
        <w:t xml:space="preserve"> durante los cuatro (4) meses anteriores a las elecciones presidenciales, salvo </w:t>
      </w:r>
      <w:r w:rsidRPr="00535D23">
        <w:rPr>
          <w:rFonts w:ascii="Arial" w:eastAsia="Calibri" w:hAnsi="Arial" w:cs="Arial"/>
          <w:bCs/>
          <w:color w:val="000000"/>
          <w:sz w:val="22"/>
          <w:szCs w:val="22"/>
          <w:lang w:val="es-ES_tradnl" w:eastAsia="en-US"/>
        </w:rPr>
        <w:t xml:space="preserve">«[…] </w:t>
      </w:r>
      <w:r w:rsidRPr="00535D23">
        <w:rPr>
          <w:rFonts w:ascii="Arial" w:eastAsia="Calibri" w:hAnsi="Arial" w:cs="Arial"/>
          <w:color w:val="000000"/>
          <w:sz w:val="22"/>
          <w:szCs w:val="22"/>
          <w:lang w:val="es-ES_tradnl" w:eastAsia="en-US"/>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535D23">
        <w:rPr>
          <w:rFonts w:ascii="Arial" w:eastAsia="Calibri" w:hAnsi="Arial" w:cs="Arial"/>
          <w:bCs/>
          <w:color w:val="000000"/>
          <w:sz w:val="22"/>
          <w:szCs w:val="22"/>
          <w:lang w:val="es-ES_tradnl" w:eastAsia="en-US"/>
        </w:rPr>
        <w:t>»</w:t>
      </w:r>
      <w:r w:rsidRPr="00535D23">
        <w:rPr>
          <w:rFonts w:ascii="Arial" w:eastAsia="Calibri" w:hAnsi="Arial" w:cs="Arial"/>
          <w:color w:val="000000"/>
          <w:vertAlign w:val="superscript"/>
          <w:lang w:eastAsia="en-US"/>
        </w:rPr>
        <w:footnoteReference w:id="9"/>
      </w:r>
      <w:r w:rsidRPr="00535D23">
        <w:rPr>
          <w:rFonts w:ascii="Arial" w:eastAsia="Calibri" w:hAnsi="Arial" w:cs="Arial"/>
          <w:color w:val="000000"/>
          <w:sz w:val="22"/>
          <w:szCs w:val="22"/>
          <w:lang w:val="es-ES_tradnl" w:eastAsia="en-US"/>
        </w:rPr>
        <w:t>.</w:t>
      </w:r>
    </w:p>
    <w:p w14:paraId="431F6ACB" w14:textId="77777777" w:rsidR="00535D23" w:rsidRPr="00535D23" w:rsidRDefault="00535D23" w:rsidP="00535D23">
      <w:pPr>
        <w:widowControl w:val="0"/>
        <w:autoSpaceDE w:val="0"/>
        <w:autoSpaceDN w:val="0"/>
        <w:spacing w:line="276" w:lineRule="auto"/>
        <w:ind w:right="113" w:firstLine="708"/>
        <w:jc w:val="both"/>
        <w:rPr>
          <w:rFonts w:ascii="Arial" w:eastAsia="Arial" w:hAnsi="Arial" w:cs="Arial"/>
          <w:color w:val="000000"/>
          <w:sz w:val="22"/>
          <w:szCs w:val="22"/>
          <w:lang w:val="es-ES_tradnl" w:eastAsia="es-ES" w:bidi="es-ES"/>
        </w:rPr>
      </w:pPr>
      <w:r w:rsidRPr="00535D23">
        <w:rPr>
          <w:rFonts w:ascii="Arial" w:eastAsia="Calibri" w:hAnsi="Arial" w:cs="Arial"/>
          <w:color w:val="000000"/>
          <w:sz w:val="22"/>
          <w:szCs w:val="22"/>
          <w:lang w:val="es-ES_tradnl" w:eastAsia="en-US"/>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535D23">
        <w:rPr>
          <w:rFonts w:ascii="Arial" w:eastAsia="Calibri" w:hAnsi="Arial" w:cs="Arial"/>
          <w:bCs/>
          <w:color w:val="000000"/>
          <w:sz w:val="22"/>
          <w:szCs w:val="22"/>
          <w:lang w:val="es-ES_tradnl" w:eastAsia="en-US"/>
        </w:rPr>
        <w:t xml:space="preserve">«[…] </w:t>
      </w:r>
      <w:r w:rsidRPr="00535D23">
        <w:rPr>
          <w:rFonts w:ascii="Arial" w:eastAsia="Calibri" w:hAnsi="Arial" w:cs="Arial"/>
          <w:color w:val="000000"/>
          <w:sz w:val="22"/>
          <w:szCs w:val="22"/>
          <w:lang w:val="es-ES_tradnl" w:eastAsia="en-US"/>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535D23">
        <w:rPr>
          <w:rFonts w:ascii="Arial" w:eastAsia="Calibri" w:hAnsi="Arial" w:cs="Arial"/>
          <w:bCs/>
          <w:color w:val="000000"/>
          <w:sz w:val="19"/>
          <w:szCs w:val="19"/>
          <w:lang w:val="es-ES_tradnl" w:eastAsia="en-US"/>
        </w:rPr>
        <w:t>»</w:t>
      </w:r>
      <w:r w:rsidRPr="00535D23">
        <w:rPr>
          <w:rFonts w:ascii="Arial" w:eastAsia="Calibri" w:hAnsi="Arial" w:cs="Arial"/>
          <w:color w:val="000000"/>
          <w:vertAlign w:val="superscript"/>
          <w:lang w:eastAsia="en-US"/>
        </w:rPr>
        <w:footnoteReference w:id="10"/>
      </w:r>
      <w:r w:rsidRPr="00535D23">
        <w:rPr>
          <w:rFonts w:ascii="Arial" w:eastAsia="Calibri" w:hAnsi="Arial" w:cs="Arial"/>
          <w:color w:val="000000"/>
          <w:sz w:val="22"/>
          <w:szCs w:val="22"/>
          <w:lang w:val="es-ES_tradnl" w:eastAsia="en-US"/>
        </w:rPr>
        <w:t>.</w:t>
      </w:r>
      <w:r w:rsidRPr="00535D23">
        <w:rPr>
          <w:rFonts w:ascii="Arial" w:eastAsia="Arial" w:hAnsi="Arial" w:cs="Arial"/>
          <w:color w:val="000000"/>
          <w:sz w:val="22"/>
          <w:szCs w:val="22"/>
          <w:lang w:val="es-ES_tradnl" w:eastAsia="es-ES" w:bidi="es-ES"/>
        </w:rPr>
        <w:t xml:space="preserve"> La Sala de Consulta y Servicio Civil del Consejo de Estado ha aclarado la distinción en la aplicación de las prohibiciones de la Ley 996 de 2005, dependiendo del tipo de elección que se trate. Al respecto, considera que:</w:t>
      </w:r>
    </w:p>
    <w:p w14:paraId="2750BAED" w14:textId="77777777" w:rsidR="00535D23" w:rsidRPr="00535D23" w:rsidRDefault="00535D23" w:rsidP="00535D23">
      <w:pPr>
        <w:widowControl w:val="0"/>
        <w:autoSpaceDE w:val="0"/>
        <w:autoSpaceDN w:val="0"/>
        <w:ind w:left="805" w:right="812"/>
        <w:jc w:val="both"/>
        <w:rPr>
          <w:rFonts w:ascii="Arial" w:eastAsia="Arial" w:hAnsi="Arial" w:cs="Arial"/>
          <w:color w:val="000000"/>
          <w:sz w:val="22"/>
          <w:szCs w:val="22"/>
          <w:lang w:val="es-ES_tradnl" w:eastAsia="es-ES" w:bidi="es-ES"/>
        </w:rPr>
      </w:pPr>
    </w:p>
    <w:p w14:paraId="5F1FCD05" w14:textId="14B1E021" w:rsidR="00535D23" w:rsidRPr="00535D23" w:rsidRDefault="00535D23" w:rsidP="00535D23">
      <w:pPr>
        <w:widowControl w:val="0"/>
        <w:autoSpaceDE w:val="0"/>
        <w:autoSpaceDN w:val="0"/>
        <w:ind w:left="709" w:right="709"/>
        <w:jc w:val="both"/>
        <w:rPr>
          <w:rFonts w:ascii="Arial" w:eastAsia="Arial" w:hAnsi="Arial" w:cs="Arial"/>
          <w:color w:val="000000"/>
          <w:sz w:val="21"/>
          <w:szCs w:val="21"/>
          <w:lang w:val="es-ES_tradnl" w:eastAsia="es-ES" w:bidi="es-ES"/>
        </w:rPr>
      </w:pPr>
      <w:r w:rsidRPr="00535D23">
        <w:rPr>
          <w:rFonts w:ascii="Arial" w:eastAsia="Calibri" w:hAnsi="Arial" w:cs="Arial"/>
          <w:sz w:val="21"/>
          <w:szCs w:val="21"/>
          <w:lang w:eastAsia="en-US"/>
        </w:rPr>
        <w:t>«</w:t>
      </w:r>
      <w:r w:rsidRPr="00535D23">
        <w:rPr>
          <w:rFonts w:ascii="Arial" w:eastAsia="Arial" w:hAnsi="Arial" w:cs="Arial"/>
          <w:color w:val="000000"/>
          <w:sz w:val="21"/>
          <w:szCs w:val="21"/>
          <w:lang w:val="es-ES_tradnl" w:eastAsia="es-ES" w:bidi="es-ES"/>
        </w:rPr>
        <w:t xml:space="preserve">La interpretación sistemática de las disposiciones consagradas en los artículos 32, 33 y el parágrafo del artículo 38 de la ley 996 de 2.005 lleva a concluir que dichas normas contienen restricciones y prohibiciones para períodos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w:t>
      </w:r>
      <w:r w:rsidRPr="00535D23">
        <w:rPr>
          <w:rFonts w:ascii="Arial" w:eastAsia="Arial" w:hAnsi="Arial" w:cs="Arial"/>
          <w:color w:val="000000"/>
          <w:sz w:val="21"/>
          <w:szCs w:val="21"/>
          <w:lang w:val="es-ES_tradnl" w:eastAsia="es-ES" w:bidi="es-ES"/>
        </w:rPr>
        <w:lastRenderedPageBreak/>
        <w:t xml:space="preserve">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535D23">
        <w:rPr>
          <w:rFonts w:ascii="Arial" w:eastAsia="Arial" w:hAnsi="Arial" w:cs="Arial"/>
          <w:bCs/>
          <w:color w:val="000000"/>
          <w:sz w:val="21"/>
          <w:szCs w:val="21"/>
          <w:lang w:val="es-ES_tradnl" w:eastAsia="es-ES" w:bidi="es-ES"/>
        </w:rPr>
        <w:t>En cambio, para elecciones en general, excluyendo las correspondientes a Presidente de la República, a las autoridades territoriales allí mencionadas sólo se aplican las restricciones contenidas en el parágrafo del artículo 38</w:t>
      </w:r>
      <w:r w:rsidRPr="00535D23">
        <w:rPr>
          <w:rFonts w:ascii="Arial" w:eastAsia="Calibri" w:hAnsi="Arial" w:cs="Arial"/>
          <w:sz w:val="21"/>
          <w:szCs w:val="21"/>
          <w:lang w:val="es-ES" w:eastAsia="en-US"/>
        </w:rPr>
        <w:t>»</w:t>
      </w:r>
      <w:r w:rsidRPr="00535D23">
        <w:rPr>
          <w:rFonts w:ascii="Arial" w:eastAsia="Arial" w:hAnsi="Arial" w:cs="Arial"/>
          <w:color w:val="000000"/>
          <w:vertAlign w:val="superscript"/>
          <w:lang w:eastAsia="en-US"/>
        </w:rPr>
        <w:footnoteReference w:id="11"/>
      </w:r>
      <w:r w:rsidR="00AB3A68">
        <w:rPr>
          <w:rFonts w:ascii="Arial" w:eastAsia="Calibri" w:hAnsi="Arial" w:cs="Arial"/>
          <w:sz w:val="21"/>
          <w:szCs w:val="21"/>
          <w:lang w:val="es-ES" w:eastAsia="en-US"/>
        </w:rPr>
        <w:t>.</w:t>
      </w:r>
    </w:p>
    <w:p w14:paraId="62091820" w14:textId="77777777" w:rsidR="00535D23" w:rsidRPr="00535D23" w:rsidRDefault="00535D23" w:rsidP="00535D23">
      <w:pPr>
        <w:widowControl w:val="0"/>
        <w:autoSpaceDE w:val="0"/>
        <w:autoSpaceDN w:val="0"/>
        <w:spacing w:before="8"/>
        <w:rPr>
          <w:rFonts w:ascii="Arial" w:eastAsia="Arial" w:hAnsi="Arial" w:cs="Arial"/>
          <w:color w:val="000000"/>
          <w:sz w:val="22"/>
          <w:szCs w:val="22"/>
          <w:lang w:val="es-ES_tradnl" w:eastAsia="es-ES" w:bidi="es-ES"/>
        </w:rPr>
      </w:pPr>
    </w:p>
    <w:p w14:paraId="11EF5F44" w14:textId="77777777" w:rsidR="00535D23" w:rsidRPr="00535D23" w:rsidRDefault="00535D23" w:rsidP="00535D23">
      <w:pPr>
        <w:spacing w:after="120" w:line="276" w:lineRule="auto"/>
        <w:ind w:firstLine="709"/>
        <w:jc w:val="both"/>
        <w:rPr>
          <w:rFonts w:ascii="Arial" w:eastAsia="Arial" w:hAnsi="Arial" w:cs="Arial"/>
          <w:color w:val="000000"/>
          <w:sz w:val="22"/>
          <w:szCs w:val="22"/>
          <w:lang w:val="es-ES_tradnl" w:eastAsia="es-ES" w:bidi="es-ES"/>
        </w:rPr>
      </w:pPr>
      <w:r w:rsidRPr="00535D23">
        <w:rPr>
          <w:rFonts w:ascii="Arial" w:eastAsia="Arial" w:hAnsi="Arial" w:cs="Arial"/>
          <w:color w:val="000000"/>
          <w:sz w:val="22"/>
          <w:szCs w:val="22"/>
          <w:lang w:val="es-ES_tradnl" w:eastAsia="es-ES" w:bidi="es-ES"/>
        </w:rPr>
        <w:t xml:space="preserve">De lo anterior se desprende que la Ley 996 de 2005 establece dos (2) tipos de restricciones en materia de contratación, las cuales coinciden parcialmente. </w:t>
      </w:r>
      <w:r w:rsidRPr="00535D23">
        <w:rPr>
          <w:rFonts w:ascii="Arial" w:eastAsia="Arial" w:hAnsi="Arial" w:cs="Arial"/>
          <w:i/>
          <w:iCs/>
          <w:color w:val="000000"/>
          <w:sz w:val="22"/>
          <w:szCs w:val="22"/>
          <w:lang w:val="es-ES_tradnl" w:eastAsia="es-ES" w:bidi="es-ES"/>
        </w:rPr>
        <w:t>En primer lugar</w:t>
      </w:r>
      <w:r w:rsidRPr="00535D23">
        <w:rPr>
          <w:rFonts w:ascii="Arial" w:eastAsia="Arial" w:hAnsi="Arial" w:cs="Arial"/>
          <w:color w:val="000000"/>
          <w:sz w:val="22"/>
          <w:szCs w:val="22"/>
          <w:lang w:val="es-ES_tradnl"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conforme al artículo 190 de la Constitución Política. Para estos efectos, la restricción se extenderá hasta la fecha en la que se realice la segunda vuelta. </w:t>
      </w:r>
      <w:r w:rsidRPr="00535D23">
        <w:rPr>
          <w:rFonts w:ascii="Arial" w:eastAsia="Arial" w:hAnsi="Arial" w:cs="Arial"/>
          <w:i/>
          <w:iCs/>
          <w:color w:val="000000"/>
          <w:sz w:val="22"/>
          <w:szCs w:val="22"/>
          <w:lang w:val="es-ES_tradnl" w:eastAsia="es-ES" w:bidi="es-ES"/>
        </w:rPr>
        <w:t>En segundo lugar</w:t>
      </w:r>
      <w:r w:rsidRPr="00535D23">
        <w:rPr>
          <w:rFonts w:ascii="Arial" w:eastAsia="Arial" w:hAnsi="Arial" w:cs="Arial"/>
          <w:color w:val="000000"/>
          <w:sz w:val="22"/>
          <w:szCs w:val="22"/>
          <w:lang w:val="es-ES_tradnl"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27266CCD" w14:textId="77777777" w:rsidR="00535D23" w:rsidRPr="00535D23" w:rsidRDefault="00535D23" w:rsidP="00535D23">
      <w:pPr>
        <w:spacing w:after="120" w:line="276" w:lineRule="auto"/>
        <w:ind w:firstLine="709"/>
        <w:jc w:val="both"/>
        <w:rPr>
          <w:rFonts w:ascii="Arial" w:eastAsia="Arial" w:hAnsi="Arial" w:cs="Arial"/>
          <w:color w:val="000000"/>
          <w:sz w:val="22"/>
          <w:szCs w:val="22"/>
          <w:lang w:val="es-ES_tradnl" w:eastAsia="es-ES" w:bidi="es-ES"/>
        </w:rPr>
      </w:pPr>
      <w:r w:rsidRPr="00535D23">
        <w:rPr>
          <w:rFonts w:ascii="Arial" w:eastAsia="Arial" w:hAnsi="Arial" w:cs="Arial"/>
          <w:color w:val="000000"/>
          <w:sz w:val="22"/>
          <w:szCs w:val="22"/>
          <w:lang w:val="es-ES_tradnl" w:eastAsia="es-ES" w:bidi="es-ES"/>
        </w:rPr>
        <w:t>Ambas restricciones no son excluyentes, lo que permite concluir que en el período preelectoral para elección de Presidente de la República, a todos los entes del Estado, incluidos los territoriales, aplican las restricciones del artículo 33 con sus excepciones, así como las del parágrafo del artículo 38. En cambio, tratándose de elecciones en general, excluyendo las correspondientes al Presidente de la República, las autoridades allí mencionadas solo deben aplicar las restricciones contenidas en el parágrafo del artículo 38.</w:t>
      </w:r>
    </w:p>
    <w:p w14:paraId="0828B7B0" w14:textId="77777777" w:rsidR="00535D23" w:rsidRPr="00535D23" w:rsidRDefault="00535D23" w:rsidP="00535D23">
      <w:pPr>
        <w:spacing w:line="276" w:lineRule="auto"/>
        <w:ind w:firstLine="708"/>
        <w:jc w:val="both"/>
        <w:rPr>
          <w:rFonts w:ascii="Arial" w:eastAsia="Arial" w:hAnsi="Arial" w:cs="Arial"/>
          <w:color w:val="000000"/>
          <w:sz w:val="22"/>
          <w:szCs w:val="22"/>
          <w:lang w:val="es-ES_tradnl" w:eastAsia="es-ES" w:bidi="es-ES"/>
        </w:rPr>
      </w:pPr>
      <w:r w:rsidRPr="00535D23">
        <w:rPr>
          <w:rFonts w:ascii="Arial" w:eastAsia="Arial" w:hAnsi="Arial" w:cs="Arial"/>
          <w:color w:val="000000"/>
          <w:sz w:val="22"/>
          <w:szCs w:val="22"/>
          <w:lang w:val="es-ES_tradnl" w:eastAsia="es-ES" w:bidi="es-ES"/>
        </w:rPr>
        <w:t xml:space="preserve">La Corte Constitucional, en la Sentencia C-1153 del 11 de noviembre de 2005, señaló que, para que la garantía sea plena, era necesario que la prohibición se aplicara para el Presidente o el Vicepresidente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w:t>
      </w:r>
      <w:r w:rsidRPr="00535D23">
        <w:rPr>
          <w:rFonts w:ascii="Arial" w:eastAsia="Arial" w:hAnsi="Arial" w:cs="Arial"/>
          <w:color w:val="000000"/>
          <w:sz w:val="22"/>
          <w:szCs w:val="22"/>
          <w:lang w:val="es-ES_tradnl" w:eastAsia="es-ES" w:bidi="es-ES"/>
        </w:rPr>
        <w:lastRenderedPageBreak/>
        <w:t>el respectivo cuatrienio, en forma continua o discontinua, conforme al artículo 197 de la Constitución Política.</w:t>
      </w:r>
    </w:p>
    <w:p w14:paraId="1D1B8BCB" w14:textId="77777777" w:rsidR="00535D23" w:rsidRPr="00535D23" w:rsidRDefault="00535D23" w:rsidP="00535D23">
      <w:pPr>
        <w:spacing w:line="276" w:lineRule="auto"/>
        <w:jc w:val="both"/>
        <w:rPr>
          <w:rFonts w:ascii="Arial" w:eastAsia="Arial" w:hAnsi="Arial" w:cs="Arial"/>
          <w:color w:val="000000"/>
          <w:sz w:val="22"/>
          <w:szCs w:val="22"/>
          <w:lang w:val="es-ES_tradnl" w:eastAsia="es-ES" w:bidi="es-ES"/>
        </w:rPr>
      </w:pPr>
    </w:p>
    <w:p w14:paraId="44CEAEB5" w14:textId="77777777" w:rsidR="00535D23" w:rsidRPr="00535D23" w:rsidRDefault="00535D23" w:rsidP="00535D23">
      <w:pPr>
        <w:spacing w:line="276" w:lineRule="auto"/>
        <w:jc w:val="both"/>
        <w:rPr>
          <w:rFonts w:ascii="Arial" w:eastAsia="Calibri" w:hAnsi="Arial" w:cs="Arial"/>
          <w:b/>
          <w:color w:val="000000"/>
          <w:sz w:val="22"/>
          <w:szCs w:val="22"/>
          <w:lang w:val="es-ES_tradnl" w:eastAsia="es-CO"/>
        </w:rPr>
      </w:pPr>
      <w:r w:rsidRPr="00535D23">
        <w:rPr>
          <w:rFonts w:ascii="Arial" w:eastAsia="Calibri" w:hAnsi="Arial" w:cs="Arial"/>
          <w:b/>
          <w:color w:val="000000"/>
          <w:sz w:val="22"/>
          <w:szCs w:val="22"/>
          <w:lang w:val="es-ES_tradnl" w:eastAsia="es-CO"/>
        </w:rPr>
        <w:t xml:space="preserve">2.2. </w:t>
      </w:r>
      <w:r w:rsidRPr="00535D23">
        <w:rPr>
          <w:rFonts w:ascii="Arial" w:eastAsia="Calibri" w:hAnsi="Arial" w:cs="Arial"/>
          <w:b/>
          <w:bCs/>
          <w:color w:val="000000"/>
          <w:sz w:val="22"/>
          <w:szCs w:val="22"/>
          <w:lang w:val="es-ES_tradnl" w:eastAsia="es-CO"/>
        </w:rPr>
        <w:t>Restricciones en elecciones presidenciales: prohibición del artículo 33 de la Ley 996 de 2005</w:t>
      </w:r>
    </w:p>
    <w:p w14:paraId="481125ED" w14:textId="77777777" w:rsidR="00535D23" w:rsidRPr="00535D23" w:rsidRDefault="00535D23" w:rsidP="00535D23">
      <w:pPr>
        <w:spacing w:line="276" w:lineRule="auto"/>
        <w:jc w:val="both"/>
        <w:rPr>
          <w:rFonts w:ascii="Arial" w:eastAsia="Calibri" w:hAnsi="Arial" w:cs="Arial"/>
          <w:bCs/>
          <w:color w:val="000000"/>
          <w:sz w:val="22"/>
          <w:szCs w:val="22"/>
          <w:lang w:val="es-ES_tradnl" w:eastAsia="x-none"/>
        </w:rPr>
      </w:pPr>
    </w:p>
    <w:p w14:paraId="54E8DC93" w14:textId="77777777" w:rsidR="00535D23" w:rsidRPr="00535D23" w:rsidRDefault="00535D23" w:rsidP="00535D23">
      <w:pPr>
        <w:spacing w:line="276" w:lineRule="auto"/>
        <w:jc w:val="both"/>
        <w:rPr>
          <w:rFonts w:ascii="Arial" w:eastAsia="Calibri" w:hAnsi="Arial" w:cs="Arial"/>
          <w:bCs/>
          <w:color w:val="000000"/>
          <w:sz w:val="22"/>
          <w:szCs w:val="22"/>
          <w:lang w:val="es-ES_tradnl" w:eastAsia="es-CO"/>
        </w:rPr>
      </w:pPr>
      <w:r w:rsidRPr="00535D23">
        <w:rPr>
          <w:rFonts w:ascii="Arial" w:eastAsia="Calibri" w:hAnsi="Arial" w:cs="Arial"/>
          <w:bCs/>
          <w:color w:val="000000"/>
          <w:sz w:val="22"/>
          <w:szCs w:val="22"/>
          <w:lang w:val="es-ES_tradnl" w:eastAsia="x-none"/>
        </w:rPr>
        <w:t xml:space="preserve">El ámbito material de la prohibición contenida en el artículo 33 de la ley 996 de 2005 está delimitado por la expresión </w:t>
      </w:r>
      <w:r w:rsidRPr="00535D23">
        <w:rPr>
          <w:rFonts w:ascii="Arial" w:eastAsia="Calibri" w:hAnsi="Arial" w:cs="Arial"/>
          <w:bCs/>
          <w:color w:val="000000"/>
          <w:sz w:val="20"/>
          <w:szCs w:val="20"/>
          <w:lang w:val="es-ES_tradnl" w:eastAsia="en-US"/>
        </w:rPr>
        <w:t>«</w:t>
      </w:r>
      <w:r w:rsidRPr="00535D23">
        <w:rPr>
          <w:rFonts w:ascii="Arial" w:eastAsia="Calibri" w:hAnsi="Arial" w:cs="Arial"/>
          <w:bCs/>
          <w:color w:val="000000"/>
          <w:sz w:val="22"/>
          <w:szCs w:val="22"/>
          <w:lang w:val="es-ES_tradnl" w:eastAsia="x-none"/>
        </w:rPr>
        <w:t>queda prohibida la contratación directa</w:t>
      </w:r>
      <w:r w:rsidRPr="00535D23">
        <w:rPr>
          <w:rFonts w:ascii="Arial" w:eastAsia="Calibri" w:hAnsi="Arial" w:cs="Arial"/>
          <w:color w:val="000000"/>
          <w:sz w:val="20"/>
          <w:szCs w:val="20"/>
          <w:lang w:val="es-ES_tradnl" w:eastAsia="en-US"/>
        </w:rPr>
        <w:t>»</w:t>
      </w:r>
      <w:r w:rsidRPr="00535D23">
        <w:rPr>
          <w:rFonts w:ascii="Arial" w:eastAsia="Calibri" w:hAnsi="Arial" w:cs="Arial"/>
          <w:bCs/>
          <w:color w:val="000000"/>
          <w:sz w:val="22"/>
          <w:szCs w:val="22"/>
          <w:lang w:val="es-ES_tradnl" w:eastAsia="x-none"/>
        </w:rPr>
        <w:t xml:space="preserve">. </w:t>
      </w:r>
      <w:r w:rsidRPr="00535D23">
        <w:rPr>
          <w:rFonts w:ascii="Arial" w:eastAsia="Calibri" w:hAnsi="Arial" w:cs="Arial"/>
          <w:color w:val="000000"/>
          <w:sz w:val="22"/>
          <w:szCs w:val="22"/>
          <w:lang w:val="es-ES_tradnl" w:eastAsia="es-CO"/>
        </w:rPr>
        <w:t xml:space="preserve"> A propósito de esta restricción de la Ley de Garantías Electorales, la Sala de Consulta y Servicio Civil del Consejo de Estado ha considerado que:</w:t>
      </w:r>
    </w:p>
    <w:p w14:paraId="0462C753" w14:textId="77777777" w:rsidR="00535D23" w:rsidRPr="00535D23" w:rsidRDefault="00535D23" w:rsidP="00535D23">
      <w:pPr>
        <w:ind w:left="708" w:right="709"/>
        <w:jc w:val="both"/>
        <w:rPr>
          <w:rFonts w:ascii="Arial" w:eastAsia="Calibri" w:hAnsi="Arial" w:cs="Arial"/>
          <w:color w:val="000000"/>
          <w:sz w:val="21"/>
          <w:szCs w:val="21"/>
          <w:lang w:val="es-ES_tradnl" w:eastAsia="en-US"/>
        </w:rPr>
      </w:pPr>
    </w:p>
    <w:p w14:paraId="5C857F69" w14:textId="77777777" w:rsidR="00535D23" w:rsidRPr="00535D23" w:rsidRDefault="00535D23" w:rsidP="00535D23">
      <w:pPr>
        <w:spacing w:after="120"/>
        <w:ind w:left="709" w:right="709"/>
        <w:jc w:val="both"/>
        <w:rPr>
          <w:rFonts w:ascii="Arial" w:eastAsia="Calibri" w:hAnsi="Arial" w:cs="Arial"/>
          <w:color w:val="000000"/>
          <w:sz w:val="21"/>
          <w:szCs w:val="21"/>
          <w:lang w:val="es-ES_tradnl" w:eastAsia="en-US"/>
        </w:rPr>
      </w:pPr>
      <w:r w:rsidRPr="00535D23">
        <w:rPr>
          <w:rFonts w:ascii="Arial" w:eastAsia="Calibri" w:hAnsi="Arial" w:cs="Arial"/>
          <w:sz w:val="21"/>
          <w:szCs w:val="21"/>
          <w:lang w:eastAsia="en-US"/>
        </w:rPr>
        <w:t>«</w:t>
      </w:r>
      <w:r w:rsidRPr="00535D23">
        <w:rPr>
          <w:rFonts w:ascii="Arial" w:eastAsia="Calibri" w:hAnsi="Arial" w:cs="Arial"/>
          <w:color w:val="000000"/>
          <w:sz w:val="21"/>
          <w:szCs w:val="21"/>
          <w:lang w:val="es-ES_tradnl" w:eastAsia="en-US"/>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535D23">
        <w:rPr>
          <w:rFonts w:ascii="Arial" w:eastAsia="Calibri" w:hAnsi="Arial" w:cs="Arial"/>
          <w:color w:val="000000"/>
          <w:vertAlign w:val="superscript"/>
          <w:lang w:eastAsia="en-US"/>
        </w:rPr>
        <w:footnoteReference w:id="12"/>
      </w:r>
      <w:r w:rsidRPr="00535D23">
        <w:rPr>
          <w:rFonts w:ascii="Arial" w:eastAsia="Calibri" w:hAnsi="Arial" w:cs="Arial"/>
          <w:color w:val="000000"/>
          <w:sz w:val="21"/>
          <w:szCs w:val="21"/>
          <w:lang w:val="es-ES_tradnl" w:eastAsia="en-US"/>
        </w:rPr>
        <w:t>.</w:t>
      </w:r>
    </w:p>
    <w:p w14:paraId="0875CB32" w14:textId="77777777" w:rsidR="00535D23" w:rsidRPr="00535D23" w:rsidRDefault="00535D23" w:rsidP="00535D23">
      <w:pPr>
        <w:ind w:left="708" w:right="709"/>
        <w:jc w:val="both"/>
        <w:rPr>
          <w:rFonts w:ascii="Arial" w:eastAsia="Calibri" w:hAnsi="Arial" w:cs="Arial"/>
          <w:color w:val="000000"/>
          <w:sz w:val="21"/>
          <w:szCs w:val="21"/>
          <w:lang w:val="es-ES_tradnl" w:eastAsia="en-US"/>
        </w:rPr>
      </w:pPr>
      <w:r w:rsidRPr="00535D23">
        <w:rPr>
          <w:rFonts w:ascii="Arial" w:eastAsia="Calibri" w:hAnsi="Arial" w:cs="Arial"/>
          <w:color w:val="000000"/>
          <w:sz w:val="21"/>
          <w:szCs w:val="21"/>
          <w:lang w:val="es-ES_tradnl" w:eastAsia="en-US"/>
        </w:rPr>
        <w:t>Esta Sala ha entendido que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535D23">
        <w:rPr>
          <w:rFonts w:ascii="Arial" w:eastAsia="Calibri" w:hAnsi="Arial" w:cs="Arial"/>
          <w:color w:val="000000"/>
          <w:vertAlign w:val="superscript"/>
          <w:lang w:eastAsia="en-US"/>
        </w:rPr>
        <w:footnoteReference w:id="13"/>
      </w:r>
      <w:r w:rsidRPr="00535D23">
        <w:rPr>
          <w:rFonts w:ascii="Arial" w:eastAsia="Calibri" w:hAnsi="Arial" w:cs="Arial"/>
          <w:color w:val="000000"/>
          <w:sz w:val="21"/>
          <w:szCs w:val="21"/>
          <w:vertAlign w:val="superscript"/>
          <w:lang w:val="es-ES_tradnl" w:eastAsia="en-US"/>
        </w:rPr>
        <w:t>.</w:t>
      </w:r>
      <w:r w:rsidRPr="00535D23">
        <w:rPr>
          <w:rFonts w:ascii="Arial" w:eastAsia="Calibri" w:hAnsi="Arial" w:cs="Arial"/>
          <w:color w:val="000000"/>
          <w:sz w:val="21"/>
          <w:szCs w:val="21"/>
          <w:lang w:val="es-ES_tradnl" w:eastAsia="en-US"/>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535D23">
        <w:rPr>
          <w:rFonts w:ascii="Arial" w:eastAsia="Calibri" w:hAnsi="Arial" w:cs="Arial"/>
          <w:color w:val="000000"/>
          <w:vertAlign w:val="superscript"/>
          <w:lang w:eastAsia="en-US"/>
        </w:rPr>
        <w:footnoteReference w:id="14"/>
      </w:r>
      <w:r w:rsidRPr="00535D23">
        <w:rPr>
          <w:rFonts w:ascii="Arial" w:eastAsia="Calibri" w:hAnsi="Arial" w:cs="Arial"/>
          <w:color w:val="000000"/>
          <w:sz w:val="21"/>
          <w:szCs w:val="21"/>
          <w:lang w:val="es-ES_tradnl" w:eastAsia="en-US"/>
        </w:rPr>
        <w:t xml:space="preserve"> .</w:t>
      </w:r>
    </w:p>
    <w:p w14:paraId="2A00EDCB" w14:textId="77777777" w:rsidR="00535D23" w:rsidRPr="00535D23" w:rsidRDefault="00535D23" w:rsidP="00535D23">
      <w:pPr>
        <w:shd w:val="clear" w:color="auto" w:fill="FFFFFF"/>
        <w:spacing w:line="276" w:lineRule="auto"/>
        <w:ind w:firstLine="709"/>
        <w:jc w:val="both"/>
        <w:rPr>
          <w:rFonts w:ascii="Arial" w:eastAsia="Calibri" w:hAnsi="Arial" w:cs="Arial"/>
          <w:color w:val="000000"/>
          <w:sz w:val="22"/>
          <w:szCs w:val="22"/>
          <w:lang w:val="es-ES_tradnl" w:eastAsia="x-none"/>
        </w:rPr>
      </w:pPr>
    </w:p>
    <w:p w14:paraId="00AF5A2B" w14:textId="77777777" w:rsidR="00535D23" w:rsidRPr="00535D23" w:rsidRDefault="00535D23" w:rsidP="00535D23">
      <w:pPr>
        <w:spacing w:after="120" w:line="276" w:lineRule="auto"/>
        <w:ind w:firstLine="708"/>
        <w:jc w:val="both"/>
        <w:rPr>
          <w:rFonts w:ascii="Arial" w:eastAsia="Calibri" w:hAnsi="Arial" w:cs="Arial"/>
          <w:bCs/>
          <w:color w:val="000000"/>
          <w:sz w:val="22"/>
          <w:szCs w:val="22"/>
          <w:lang w:val="es-ES_tradnl" w:eastAsia="x-none"/>
        </w:rPr>
      </w:pPr>
      <w:r w:rsidRPr="00535D23">
        <w:rPr>
          <w:rFonts w:ascii="Arial" w:eastAsia="Calibri" w:hAnsi="Arial" w:cs="Arial"/>
          <w:color w:val="000000"/>
          <w:sz w:val="22"/>
          <w:szCs w:val="22"/>
          <w:lang w:val="es-ES_tradnl" w:eastAsia="x-none"/>
        </w:rPr>
        <w:t xml:space="preserve">De acuerdo con el citado concepto, la prohibición del artículo 33 de la Ley de Garantías Electorales se refiere a </w:t>
      </w:r>
      <w:r w:rsidRPr="00535D23">
        <w:rPr>
          <w:rFonts w:ascii="Arial" w:eastAsia="Calibri" w:hAnsi="Arial" w:cs="Arial"/>
          <w:color w:val="000000"/>
          <w:sz w:val="19"/>
          <w:szCs w:val="19"/>
          <w:lang w:val="es-ES_tradnl" w:eastAsia="en-GB"/>
        </w:rPr>
        <w:t>«</w:t>
      </w:r>
      <w:r w:rsidRPr="00535D23">
        <w:rPr>
          <w:rFonts w:ascii="Arial" w:eastAsia="Calibri" w:hAnsi="Arial" w:cs="Arial"/>
          <w:color w:val="000000"/>
          <w:sz w:val="22"/>
          <w:szCs w:val="22"/>
          <w:lang w:val="es-ES_tradnl" w:eastAsia="x-none"/>
        </w:rPr>
        <w:t>cualquier sistema que no implique convocatoria pública y posibilidad de pluralidad de oferentes</w:t>
      </w:r>
      <w:r w:rsidRPr="00535D23">
        <w:rPr>
          <w:rFonts w:ascii="Arial" w:eastAsia="Calibri" w:hAnsi="Arial" w:cs="Arial"/>
          <w:color w:val="000000"/>
          <w:sz w:val="22"/>
          <w:szCs w:val="22"/>
          <w:lang w:val="es-ES_tradnl" w:eastAsia="en-GB"/>
        </w:rPr>
        <w:t>»</w:t>
      </w:r>
      <w:r w:rsidRPr="00535D23">
        <w:rPr>
          <w:rFonts w:ascii="Arial" w:eastAsia="Calibri" w:hAnsi="Arial" w:cs="Arial"/>
          <w:color w:val="000000"/>
          <w:sz w:val="22"/>
          <w:szCs w:val="22"/>
          <w:lang w:val="es-ES_tradnl" w:eastAsia="x-none"/>
        </w:rPr>
        <w:t xml:space="preserve">, por lo que excluye las demás modalidades de contratación previstas en la Ley 1150 de 2007, es decir, la licitación pública, la selección abreviada, el concurso de méritos y la mínima cuantía u otros previstos en normas especiales, que contemplen en alguna de sus etapas la posible participación de pluralidad </w:t>
      </w:r>
      <w:r w:rsidRPr="00535D23">
        <w:rPr>
          <w:rFonts w:ascii="Arial" w:eastAsia="Calibri" w:hAnsi="Arial" w:cs="Arial"/>
          <w:color w:val="000000"/>
          <w:sz w:val="22"/>
          <w:szCs w:val="22"/>
          <w:lang w:val="es-ES_tradnl" w:eastAsia="x-none"/>
        </w:rPr>
        <w:lastRenderedPageBreak/>
        <w:t>de oferentes. Esta posición es congruente con la expedición de la Ley 1150 de 2007 que, entre otras reformas, introdujo la selección abreviada, rediseñó el concurso de méritos</w:t>
      </w:r>
      <w:r w:rsidRPr="00535D23">
        <w:rPr>
          <w:rFonts w:ascii="Arial" w:eastAsia="Calibri" w:hAnsi="Arial" w:cs="Arial"/>
          <w:color w:val="000000"/>
          <w:vertAlign w:val="superscript"/>
          <w:lang w:eastAsia="en-US"/>
        </w:rPr>
        <w:footnoteReference w:id="15"/>
      </w:r>
      <w:r w:rsidRPr="00535D23">
        <w:rPr>
          <w:rFonts w:ascii="Arial" w:eastAsia="Calibri" w:hAnsi="Arial" w:cs="Arial"/>
          <w:color w:val="000000"/>
          <w:sz w:val="22"/>
          <w:szCs w:val="22"/>
          <w:lang w:val="es-ES_tradnl" w:eastAsia="x-none"/>
        </w:rPr>
        <w:t xml:space="preserve"> y sistematizó las causales de contratación directa</w:t>
      </w:r>
      <w:r w:rsidRPr="00535D23">
        <w:rPr>
          <w:rFonts w:ascii="Arial" w:eastAsia="Calibri" w:hAnsi="Arial" w:cs="Arial"/>
          <w:color w:val="000000"/>
          <w:vertAlign w:val="superscript"/>
          <w:lang w:eastAsia="en-US"/>
        </w:rPr>
        <w:footnoteReference w:id="16"/>
      </w:r>
      <w:r w:rsidRPr="00535D23">
        <w:rPr>
          <w:rFonts w:ascii="Arial" w:eastAsia="Calibri" w:hAnsi="Arial" w:cs="Arial"/>
          <w:color w:val="000000"/>
          <w:sz w:val="22"/>
          <w:szCs w:val="22"/>
          <w:lang w:val="es-ES_tradnl" w:eastAsia="x-none"/>
        </w:rPr>
        <w:t xml:space="preserve">, </w:t>
      </w:r>
      <w:r w:rsidRPr="00535D23">
        <w:rPr>
          <w:rFonts w:ascii="Arial" w:eastAsia="Calibri" w:hAnsi="Arial" w:cs="Arial"/>
          <w:color w:val="000000"/>
          <w:sz w:val="22"/>
          <w:lang w:eastAsia="x-none"/>
        </w:rPr>
        <w:t>además lo es con la posterior creación de la modalidad de mínima cuantía establecida actualmente en el numeral 5 del artículo 2 de la Ley 1150 de 2007, de acuerdo con las modificaciones realizadas por leyes posteriores.</w:t>
      </w:r>
    </w:p>
    <w:p w14:paraId="6222D9CB" w14:textId="77777777" w:rsidR="00535D23" w:rsidRPr="00535D23" w:rsidRDefault="00535D23" w:rsidP="00535D23">
      <w:pPr>
        <w:spacing w:after="120" w:line="276" w:lineRule="auto"/>
        <w:ind w:firstLine="708"/>
        <w:jc w:val="both"/>
        <w:rPr>
          <w:rFonts w:ascii="Arial" w:eastAsia="Calibri" w:hAnsi="Arial" w:cs="Arial"/>
          <w:color w:val="000000"/>
          <w:sz w:val="22"/>
          <w:szCs w:val="22"/>
          <w:lang w:val="es-ES_tradnl" w:eastAsia="x-none"/>
        </w:rPr>
      </w:pPr>
      <w:r w:rsidRPr="00535D23">
        <w:rPr>
          <w:rFonts w:ascii="Arial" w:eastAsia="Calibri" w:hAnsi="Arial" w:cs="Arial"/>
          <w:color w:val="000000"/>
          <w:sz w:val="22"/>
          <w:szCs w:val="22"/>
          <w:lang w:val="es-ES_tradnl" w:eastAsia="x-none"/>
        </w:rPr>
        <w:t xml:space="preserve">De esta forma, con fundamento en la evolución de la normativa sobre la contratación pública, se ha depurado la noción de </w:t>
      </w:r>
      <w:r w:rsidRPr="00535D23">
        <w:rPr>
          <w:rFonts w:ascii="Arial" w:eastAsia="Calibri" w:hAnsi="Arial" w:cs="Arial"/>
          <w:color w:val="000000"/>
          <w:sz w:val="19"/>
          <w:szCs w:val="19"/>
          <w:lang w:val="es-ES_tradnl" w:eastAsia="en-GB"/>
        </w:rPr>
        <w:t>«</w:t>
      </w:r>
      <w:r w:rsidRPr="00535D23">
        <w:rPr>
          <w:rFonts w:ascii="Arial" w:eastAsia="Calibri" w:hAnsi="Arial" w:cs="Arial"/>
          <w:color w:val="000000"/>
          <w:sz w:val="22"/>
          <w:szCs w:val="22"/>
          <w:lang w:val="es-ES_tradnl" w:eastAsia="x-none"/>
        </w:rPr>
        <w:t>contratación directa</w:t>
      </w:r>
      <w:r w:rsidRPr="00535D23">
        <w:rPr>
          <w:rFonts w:ascii="Arial" w:eastAsia="Calibri" w:hAnsi="Arial" w:cs="Arial"/>
          <w:color w:val="000000"/>
          <w:sz w:val="22"/>
          <w:szCs w:val="22"/>
          <w:lang w:val="es-ES_tradnl" w:eastAsia="en-GB"/>
        </w:rPr>
        <w:t>»</w:t>
      </w:r>
      <w:r w:rsidRPr="00535D23">
        <w:rPr>
          <w:rFonts w:ascii="Arial" w:eastAsia="Calibri" w:hAnsi="Arial" w:cs="Arial"/>
          <w:color w:val="000000"/>
          <w:sz w:val="22"/>
          <w:szCs w:val="22"/>
          <w:lang w:val="es-ES_tradnl"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535D23">
        <w:rPr>
          <w:rFonts w:ascii="Arial" w:eastAsia="Calibri" w:hAnsi="Arial" w:cs="Arial"/>
          <w:color w:val="000000"/>
          <w:vertAlign w:val="superscript"/>
          <w:lang w:eastAsia="en-US"/>
        </w:rPr>
        <w:footnoteReference w:id="17"/>
      </w:r>
      <w:r w:rsidRPr="00535D23">
        <w:rPr>
          <w:rFonts w:ascii="Arial" w:eastAsia="Calibri" w:hAnsi="Arial" w:cs="Arial"/>
          <w:color w:val="000000"/>
          <w:sz w:val="22"/>
          <w:szCs w:val="22"/>
          <w:lang w:val="es-ES_tradnl" w:eastAsia="x-none"/>
        </w:rPr>
        <w:t>, han establecido sistemas de contratación que implican convocatoria pública y participación de varios oferentes</w:t>
      </w:r>
      <w:r w:rsidRPr="00535D23">
        <w:rPr>
          <w:rFonts w:ascii="Arial" w:eastAsia="Calibri" w:hAnsi="Arial" w:cs="Arial"/>
          <w:color w:val="000000"/>
          <w:sz w:val="22"/>
          <w:szCs w:val="22"/>
          <w:lang w:val="es-ES_tradnl" w:eastAsia="en-GB"/>
        </w:rPr>
        <w:t>»</w:t>
      </w:r>
      <w:r w:rsidRPr="00535D23">
        <w:rPr>
          <w:rFonts w:ascii="Arial" w:eastAsia="Calibri" w:hAnsi="Arial" w:cs="Arial"/>
          <w:color w:val="000000"/>
          <w:sz w:val="22"/>
          <w:szCs w:val="22"/>
          <w:lang w:val="es-ES_tradnl" w:eastAsia="x-none"/>
        </w:rPr>
        <w:t xml:space="preserve">. </w:t>
      </w:r>
    </w:p>
    <w:p w14:paraId="6E0A2719" w14:textId="77777777" w:rsidR="00535D23" w:rsidRPr="00535D23" w:rsidRDefault="00535D23" w:rsidP="00535D23">
      <w:pPr>
        <w:spacing w:after="120" w:line="276" w:lineRule="auto"/>
        <w:ind w:firstLine="708"/>
        <w:jc w:val="both"/>
        <w:rPr>
          <w:rFonts w:ascii="Arial" w:eastAsia="Calibri" w:hAnsi="Arial" w:cs="Arial"/>
          <w:bCs/>
          <w:color w:val="000000"/>
          <w:sz w:val="22"/>
          <w:szCs w:val="22"/>
          <w:lang w:val="es-ES_tradnl" w:eastAsia="es-CO"/>
        </w:rPr>
      </w:pPr>
      <w:r w:rsidRPr="00535D23">
        <w:rPr>
          <w:rFonts w:ascii="Arial" w:eastAsia="Calibri" w:hAnsi="Arial" w:cs="Arial"/>
          <w:bCs/>
          <w:color w:val="000000"/>
          <w:sz w:val="22"/>
          <w:szCs w:val="22"/>
          <w:lang w:val="es-ES_tradnl" w:eastAsia="x-none"/>
        </w:rPr>
        <w:t>E</w:t>
      </w:r>
      <w:r w:rsidRPr="00535D23">
        <w:rPr>
          <w:rFonts w:ascii="Arial" w:eastAsia="Calibri" w:hAnsi="Arial" w:cs="Arial"/>
          <w:color w:val="000000"/>
          <w:sz w:val="22"/>
          <w:szCs w:val="22"/>
          <w:lang w:val="es-ES_tradnl" w:eastAsia="x-none"/>
        </w:rPr>
        <w:t>n efecto, vale la pena mencionar que, 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r w:rsidRPr="00535D23">
        <w:rPr>
          <w:rFonts w:ascii="Arial" w:eastAsia="Calibri" w:hAnsi="Arial" w:cs="Arial"/>
          <w:color w:val="000000"/>
          <w:vertAlign w:val="superscript"/>
          <w:lang w:eastAsia="en-US"/>
        </w:rPr>
        <w:footnoteReference w:id="18"/>
      </w:r>
      <w:r w:rsidRPr="00535D23">
        <w:rPr>
          <w:rFonts w:ascii="Arial" w:eastAsia="Calibri" w:hAnsi="Arial" w:cs="Arial"/>
          <w:color w:val="000000"/>
          <w:sz w:val="22"/>
          <w:szCs w:val="22"/>
          <w:lang w:val="es-ES_tradnl" w:eastAsia="x-none"/>
        </w:rPr>
        <w:t xml:space="preserve">. </w:t>
      </w:r>
    </w:p>
    <w:p w14:paraId="168AD409" w14:textId="06F0174D" w:rsidR="00535D23" w:rsidRPr="00535D23" w:rsidRDefault="00535D23" w:rsidP="00535D23">
      <w:pPr>
        <w:spacing w:after="120" w:line="276" w:lineRule="auto"/>
        <w:ind w:firstLine="708"/>
        <w:jc w:val="both"/>
        <w:rPr>
          <w:rFonts w:ascii="Arial" w:eastAsia="Calibri" w:hAnsi="Arial" w:cs="Arial"/>
          <w:bCs/>
          <w:color w:val="000000"/>
          <w:sz w:val="22"/>
          <w:szCs w:val="22"/>
          <w:lang w:val="es-ES_tradnl" w:eastAsia="es-CO"/>
        </w:rPr>
      </w:pPr>
      <w:r w:rsidRPr="00535D23">
        <w:rPr>
          <w:rFonts w:ascii="Arial" w:eastAsia="Calibri" w:hAnsi="Arial" w:cs="Arial"/>
          <w:bCs/>
          <w:color w:val="000000"/>
          <w:sz w:val="22"/>
          <w:szCs w:val="22"/>
          <w:lang w:val="es-ES_tradnl" w:eastAsia="es-CO"/>
        </w:rPr>
        <w:t xml:space="preserve">Como se advierte de lo anterior, el Consejo de Estado realiza una interpretación amplia de la contratación directa, para efectos de aplicar las restricciones establecidas en la Ley de Garantías, al señalar que no solo aplica frente a las entidades sometidas al Estatuto </w:t>
      </w:r>
      <w:r w:rsidR="00033B58">
        <w:rPr>
          <w:rFonts w:ascii="Arial" w:eastAsia="Calibri" w:hAnsi="Arial" w:cs="Arial"/>
          <w:bCs/>
          <w:color w:val="000000"/>
          <w:sz w:val="22"/>
          <w:szCs w:val="22"/>
          <w:lang w:val="es-ES_tradnl" w:eastAsia="es-CO"/>
        </w:rPr>
        <w:t>G</w:t>
      </w:r>
      <w:r w:rsidRPr="00535D23">
        <w:rPr>
          <w:rFonts w:ascii="Arial" w:eastAsia="Calibri" w:hAnsi="Arial" w:cs="Arial"/>
          <w:bCs/>
          <w:color w:val="000000"/>
          <w:sz w:val="22"/>
          <w:szCs w:val="22"/>
          <w:lang w:val="es-ES_tradnl" w:eastAsia="es-CO"/>
        </w:rPr>
        <w:t>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14:paraId="66F50AC0" w14:textId="77777777" w:rsidR="00535D23" w:rsidRPr="00535D23" w:rsidRDefault="00535D23" w:rsidP="00535D23">
      <w:pPr>
        <w:spacing w:after="120" w:line="276" w:lineRule="auto"/>
        <w:ind w:firstLine="708"/>
        <w:jc w:val="both"/>
        <w:rPr>
          <w:rFonts w:ascii="Arial" w:eastAsia="Calibri" w:hAnsi="Arial" w:cs="Arial"/>
          <w:bCs/>
          <w:color w:val="000000"/>
          <w:sz w:val="22"/>
          <w:szCs w:val="22"/>
          <w:lang w:val="es-ES_tradnl" w:eastAsia="x-none"/>
        </w:rPr>
      </w:pPr>
      <w:r w:rsidRPr="00535D23">
        <w:rPr>
          <w:rFonts w:ascii="Arial" w:eastAsia="Calibri" w:hAnsi="Arial" w:cs="Arial"/>
          <w:bCs/>
          <w:color w:val="000000"/>
          <w:sz w:val="22"/>
          <w:szCs w:val="22"/>
          <w:lang w:val="es-ES_tradnl" w:eastAsia="x-none"/>
        </w:rPr>
        <w:t xml:space="preserve"> Así las cosas, ha de entenderse que, para los efectos de la Ley de Garantías Electorales y, en particular, para la prohibición o restricción temporal contenida en su </w:t>
      </w:r>
      <w:r w:rsidRPr="00535D23">
        <w:rPr>
          <w:rFonts w:ascii="Arial" w:eastAsia="Calibri" w:hAnsi="Arial" w:cs="Arial"/>
          <w:bCs/>
          <w:color w:val="000000"/>
          <w:sz w:val="22"/>
          <w:szCs w:val="22"/>
          <w:lang w:val="es-ES_tradnl" w:eastAsia="x-none"/>
        </w:rPr>
        <w:lastRenderedPageBreak/>
        <w:t>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535D23">
        <w:rPr>
          <w:rFonts w:ascii="Arial" w:eastAsia="Calibri" w:hAnsi="Arial" w:cs="Arial"/>
          <w:color w:val="000000"/>
          <w:vertAlign w:val="superscript"/>
          <w:lang w:eastAsia="en-US"/>
        </w:rPr>
        <w:footnoteReference w:id="19"/>
      </w:r>
      <w:r w:rsidRPr="00535D23">
        <w:rPr>
          <w:rFonts w:ascii="Arial" w:eastAsia="Calibri" w:hAnsi="Arial" w:cs="Arial"/>
          <w:bCs/>
          <w:color w:val="000000"/>
          <w:sz w:val="22"/>
          <w:szCs w:val="22"/>
          <w:lang w:val="es-ES_tradnl" w:eastAsia="x-none"/>
        </w:rPr>
        <w:t>.</w:t>
      </w:r>
      <w:r w:rsidRPr="00535D23">
        <w:rPr>
          <w:rFonts w:ascii="Arial" w:eastAsia="Calibri" w:hAnsi="Arial" w:cs="Arial"/>
          <w:color w:val="000000"/>
          <w:sz w:val="22"/>
          <w:szCs w:val="22"/>
          <w:vertAlign w:val="superscript"/>
          <w:lang w:val="es-ES_tradnl" w:eastAsia="x-none"/>
        </w:rPr>
        <w:t xml:space="preserve"> </w:t>
      </w:r>
    </w:p>
    <w:p w14:paraId="61AA4B67" w14:textId="43BA991F" w:rsidR="00535D23" w:rsidRPr="00535D23" w:rsidRDefault="00535D23" w:rsidP="00535D23">
      <w:pPr>
        <w:spacing w:after="120" w:line="276" w:lineRule="auto"/>
        <w:ind w:firstLine="708"/>
        <w:jc w:val="both"/>
        <w:rPr>
          <w:rFonts w:ascii="Arial" w:eastAsia="Calibri" w:hAnsi="Arial" w:cs="Arial"/>
          <w:color w:val="000000"/>
          <w:sz w:val="22"/>
          <w:szCs w:val="22"/>
          <w:lang w:val="es-ES_tradnl" w:eastAsia="x-none"/>
        </w:rPr>
      </w:pPr>
      <w:r w:rsidRPr="00535D23">
        <w:rPr>
          <w:rFonts w:ascii="Arial" w:eastAsia="Calibri" w:hAnsi="Arial" w:cs="Arial"/>
          <w:bCs/>
          <w:color w:val="000000"/>
          <w:sz w:val="22"/>
          <w:szCs w:val="22"/>
          <w:lang w:val="es-ES_tradnl" w:eastAsia="x-none"/>
        </w:rPr>
        <w:t>De lo anterior se desprende que la restricción aplica, sin perjuicio de las excepciones establecidas en la misma ley, para celebrar cualquier contrato de forma directa, esto es, sin que exista un proceso abierto y competitivo.</w:t>
      </w:r>
      <w:r w:rsidRPr="00535D23">
        <w:rPr>
          <w:rFonts w:ascii="Arial" w:eastAsia="Calibri" w:hAnsi="Arial" w:cs="Arial"/>
          <w:color w:val="000000"/>
          <w:sz w:val="22"/>
          <w:szCs w:val="22"/>
          <w:lang w:val="es-ES_tradnl" w:eastAsia="x-none"/>
        </w:rPr>
        <w:t xml:space="preserve">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w:t>
      </w:r>
      <w:r w:rsidR="00033B58">
        <w:rPr>
          <w:rFonts w:ascii="Arial" w:eastAsia="Calibri" w:hAnsi="Arial" w:cs="Arial"/>
          <w:color w:val="000000"/>
          <w:sz w:val="22"/>
          <w:szCs w:val="22"/>
          <w:lang w:val="es-ES_tradnl" w:eastAsia="x-none"/>
        </w:rPr>
        <w:t>pueden</w:t>
      </w:r>
      <w:r w:rsidR="00033B58" w:rsidRPr="00535D23">
        <w:rPr>
          <w:rFonts w:ascii="Arial" w:eastAsia="Calibri" w:hAnsi="Arial" w:cs="Arial"/>
          <w:color w:val="000000"/>
          <w:sz w:val="22"/>
          <w:szCs w:val="22"/>
          <w:lang w:val="es-ES_tradnl" w:eastAsia="x-none"/>
        </w:rPr>
        <w:t xml:space="preserve"> </w:t>
      </w:r>
      <w:r w:rsidRPr="00535D23">
        <w:rPr>
          <w:rFonts w:ascii="Arial" w:eastAsia="Calibri" w:hAnsi="Arial" w:cs="Arial"/>
          <w:color w:val="000000"/>
          <w:sz w:val="22"/>
          <w:szCs w:val="22"/>
          <w:lang w:val="es-ES_tradnl" w:eastAsia="x-none"/>
        </w:rPr>
        <w:t>seguir contratando bajo estos procedimientos.</w:t>
      </w:r>
    </w:p>
    <w:p w14:paraId="5D1B9E96" w14:textId="7765E85D" w:rsidR="00535D23" w:rsidRPr="00535D23" w:rsidRDefault="00535D23" w:rsidP="00535D23">
      <w:pPr>
        <w:spacing w:after="120" w:line="276" w:lineRule="auto"/>
        <w:ind w:firstLine="708"/>
        <w:jc w:val="both"/>
        <w:rPr>
          <w:rFonts w:ascii="Arial" w:eastAsia="Calibri" w:hAnsi="Arial" w:cs="Arial"/>
          <w:bCs/>
          <w:color w:val="000000"/>
          <w:sz w:val="22"/>
          <w:szCs w:val="22"/>
          <w:lang w:val="es-ES_tradnl" w:eastAsia="x-none"/>
        </w:rPr>
      </w:pPr>
      <w:r w:rsidRPr="00535D23">
        <w:rPr>
          <w:rFonts w:ascii="Arial" w:eastAsia="Calibri" w:hAnsi="Arial" w:cs="Arial"/>
          <w:bCs/>
          <w:color w:val="000000"/>
          <w:sz w:val="22"/>
          <w:szCs w:val="22"/>
          <w:lang w:val="es-ES_tradnl" w:eastAsia="es-CO"/>
        </w:rPr>
        <w:t>Como en otras oportunidades lo ha manifestado esta Agencia, las prórrogas, modificaciones o adiciones de los contratos suscritos antes de la entrada en vigencia de las prohibiciones anotadas, así como la cesión de los mismos, pueden tener lugar en el período de aplicación de la Ley de Garantías</w:t>
      </w:r>
      <w:r w:rsidRPr="00535D23">
        <w:rPr>
          <w:rFonts w:ascii="Arial" w:eastAsia="Calibri" w:hAnsi="Arial" w:cs="Arial"/>
          <w:color w:val="000000"/>
          <w:vertAlign w:val="superscript"/>
          <w:lang w:eastAsia="en-US"/>
        </w:rPr>
        <w:footnoteReference w:id="20"/>
      </w:r>
      <w:r w:rsidRPr="00535D23">
        <w:rPr>
          <w:rFonts w:ascii="Arial" w:eastAsia="Calibri" w:hAnsi="Arial" w:cs="Arial"/>
          <w:bCs/>
          <w:color w:val="000000"/>
          <w:sz w:val="22"/>
          <w:szCs w:val="22"/>
          <w:lang w:val="es-ES_tradnl" w:eastAsia="es-CO"/>
        </w:rPr>
        <w:t>. Esto sin que ello haga nugatoria la restricción de la contratación directa y siempre que cumplan los principios de planeación, transparencia y responsabilidad</w:t>
      </w:r>
      <w:r w:rsidR="009737CA">
        <w:rPr>
          <w:rStyle w:val="Refdenotaalpie"/>
          <w:rFonts w:ascii="Arial" w:eastAsia="Calibri" w:hAnsi="Arial" w:cs="Arial"/>
          <w:bCs/>
          <w:color w:val="000000"/>
          <w:sz w:val="22"/>
          <w:szCs w:val="22"/>
          <w:lang w:val="es-ES_tradnl" w:eastAsia="es-CO"/>
        </w:rPr>
        <w:footnoteReference w:id="21"/>
      </w:r>
      <w:r w:rsidRPr="00535D23">
        <w:rPr>
          <w:rFonts w:ascii="Arial" w:eastAsia="Calibri" w:hAnsi="Arial" w:cs="Arial"/>
          <w:bCs/>
          <w:color w:val="000000"/>
          <w:sz w:val="22"/>
          <w:szCs w:val="22"/>
          <w:lang w:val="es-ES_tradnl" w:eastAsia="es-CO"/>
        </w:rPr>
        <w:t>.</w:t>
      </w:r>
    </w:p>
    <w:p w14:paraId="079FB71D" w14:textId="77777777" w:rsidR="00535D23" w:rsidRPr="00535D23" w:rsidRDefault="00535D23" w:rsidP="00535D23">
      <w:pPr>
        <w:spacing w:after="120" w:line="276" w:lineRule="auto"/>
        <w:ind w:firstLine="708"/>
        <w:jc w:val="both"/>
        <w:rPr>
          <w:rFonts w:ascii="Arial" w:eastAsia="Calibri" w:hAnsi="Arial" w:cs="Arial"/>
          <w:bCs/>
          <w:color w:val="000000"/>
          <w:sz w:val="22"/>
          <w:szCs w:val="22"/>
          <w:lang w:val="es-ES_tradnl" w:eastAsia="es-CO"/>
        </w:rPr>
      </w:pPr>
      <w:r w:rsidRPr="00535D23">
        <w:rPr>
          <w:rFonts w:ascii="Arial" w:eastAsia="Calibri" w:hAnsi="Arial" w:cs="Arial"/>
          <w:bCs/>
          <w:color w:val="000000"/>
          <w:sz w:val="22"/>
          <w:szCs w:val="22"/>
          <w:lang w:val="es-ES_tradnl" w:eastAsia="x-none"/>
        </w:rPr>
        <w:t>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535D23">
        <w:rPr>
          <w:rFonts w:ascii="Arial" w:eastAsia="Calibri" w:hAnsi="Arial" w:cs="Arial"/>
          <w:bCs/>
          <w:color w:val="000000"/>
          <w:sz w:val="22"/>
          <w:szCs w:val="22"/>
          <w:lang w:val="es-ES_tradnl"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1540861D" w14:textId="77777777" w:rsidR="00535D23" w:rsidRPr="00535D23" w:rsidRDefault="00535D23" w:rsidP="00535D23">
      <w:pPr>
        <w:spacing w:line="276" w:lineRule="auto"/>
        <w:ind w:firstLine="708"/>
        <w:jc w:val="both"/>
        <w:rPr>
          <w:rFonts w:ascii="Arial" w:eastAsia="Calibri" w:hAnsi="Arial" w:cs="Arial"/>
          <w:bCs/>
          <w:color w:val="000000"/>
          <w:sz w:val="22"/>
          <w:szCs w:val="22"/>
          <w:lang w:val="es-ES_tradnl" w:eastAsia="x-none"/>
        </w:rPr>
      </w:pPr>
      <w:r w:rsidRPr="00535D23">
        <w:rPr>
          <w:rFonts w:ascii="Arial" w:eastAsia="Calibri" w:hAnsi="Arial" w:cs="Arial"/>
          <w:bCs/>
          <w:color w:val="000000"/>
          <w:sz w:val="22"/>
          <w:szCs w:val="22"/>
          <w:lang w:val="es-ES_tradnl" w:eastAsia="x-none"/>
        </w:rPr>
        <w:t xml:space="preserve">En esta labor es importante tener en cuenta, como lo anotó la Corte Constitucional, en Sentencia C-1153 de noviembre 11 de 2005 que «si bien la limitación garantiza la igualdad de condiciones, también es necesario que tal limitación que pretende la igualdad </w:t>
      </w:r>
      <w:r w:rsidRPr="00535D23">
        <w:rPr>
          <w:rFonts w:ascii="Arial" w:eastAsia="Calibri" w:hAnsi="Arial" w:cs="Arial"/>
          <w:bCs/>
          <w:color w:val="000000"/>
          <w:sz w:val="22"/>
          <w:szCs w:val="22"/>
          <w:lang w:val="es-ES_tradnl" w:eastAsia="x-none"/>
        </w:rPr>
        <w:lastRenderedPageBreak/>
        <w:t>no termine yendo en detrimento de intereses públicos, cuya garantía está en cabeza del ejecutivo, como son los inmersos en las excepciones para la prohibición de contratación»</w:t>
      </w:r>
      <w:r w:rsidRPr="00535D23">
        <w:rPr>
          <w:rFonts w:ascii="Arial" w:eastAsia="Calibri" w:hAnsi="Arial" w:cs="Arial"/>
          <w:color w:val="000000"/>
          <w:vertAlign w:val="superscript"/>
          <w:lang w:eastAsia="en-US"/>
        </w:rPr>
        <w:footnoteReference w:id="22"/>
      </w:r>
      <w:r w:rsidRPr="00535D23">
        <w:rPr>
          <w:rFonts w:ascii="Arial" w:eastAsia="Calibri" w:hAnsi="Arial" w:cs="Arial"/>
          <w:bCs/>
          <w:color w:val="000000"/>
          <w:sz w:val="22"/>
          <w:szCs w:val="22"/>
          <w:lang w:val="es-ES_tradnl" w:eastAsia="x-none"/>
        </w:rPr>
        <w:t>. De ahí que la Corte haya señalado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p>
    <w:p w14:paraId="646BA920" w14:textId="77777777" w:rsidR="00033B58" w:rsidRPr="00910945" w:rsidRDefault="00535D23" w:rsidP="00033B58">
      <w:pPr>
        <w:spacing w:before="120" w:after="120" w:line="276" w:lineRule="auto"/>
        <w:ind w:firstLine="709"/>
        <w:jc w:val="both"/>
        <w:rPr>
          <w:rFonts w:ascii="Arial" w:hAnsi="Arial" w:cs="Arial"/>
          <w:bCs/>
          <w:color w:val="000000" w:themeColor="text1"/>
          <w:sz w:val="21"/>
          <w:szCs w:val="21"/>
          <w:lang w:val="es-ES_tradnl" w:eastAsia="es-CO"/>
        </w:rPr>
      </w:pPr>
      <w:r w:rsidRPr="00535D23">
        <w:rPr>
          <w:rFonts w:ascii="Arial" w:eastAsia="Calibri" w:hAnsi="Arial" w:cs="Arial"/>
          <w:bCs/>
          <w:color w:val="000000"/>
          <w:sz w:val="22"/>
          <w:szCs w:val="22"/>
          <w:lang w:val="es-ES_tradnl" w:eastAsia="x-none"/>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535D23">
        <w:rPr>
          <w:rFonts w:ascii="Arial" w:eastAsia="Calibri" w:hAnsi="Arial" w:cs="Arial"/>
          <w:color w:val="000000"/>
          <w:szCs w:val="22"/>
          <w:lang w:val="es-ES_tradnl" w:eastAsia="en-US"/>
        </w:rPr>
        <w:t xml:space="preserve"> </w:t>
      </w:r>
      <w:r w:rsidRPr="00535D23">
        <w:rPr>
          <w:rFonts w:ascii="Arial" w:eastAsia="Calibri" w:hAnsi="Arial" w:cs="Arial"/>
          <w:bCs/>
          <w:color w:val="000000"/>
          <w:sz w:val="22"/>
          <w:szCs w:val="22"/>
          <w:lang w:val="es-ES_tradnl" w:eastAsia="x-none"/>
        </w:rPr>
        <w:t>En efecto, tal como lo ha sostenido el Consejo de Estado, el vocablo «todos» utilizado por el legislador comprende</w:t>
      </w:r>
      <w:r w:rsidRPr="00535D23">
        <w:rPr>
          <w:rFonts w:ascii="Arial" w:eastAsia="Calibri" w:hAnsi="Arial" w:cs="Arial"/>
          <w:color w:val="000000"/>
          <w:szCs w:val="22"/>
          <w:lang w:val="es-ES_tradnl" w:eastAsia="en-US"/>
        </w:rPr>
        <w:t xml:space="preserve"> </w:t>
      </w:r>
      <w:r w:rsidRPr="00535D23">
        <w:rPr>
          <w:rFonts w:ascii="Arial" w:eastAsia="Calibri" w:hAnsi="Arial" w:cs="Arial"/>
          <w:bCs/>
          <w:color w:val="000000"/>
          <w:sz w:val="22"/>
          <w:szCs w:val="22"/>
          <w:lang w:val="es-ES_tradnl" w:eastAsia="x-none"/>
        </w:rPr>
        <w:t xml:space="preserve">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w:t>
      </w:r>
      <w:r w:rsidR="00033B58" w:rsidRPr="000E7535">
        <w:rPr>
          <w:rFonts w:ascii="Arial" w:hAnsi="Arial" w:cs="Arial"/>
          <w:bCs/>
          <w:color w:val="000000" w:themeColor="text1"/>
          <w:sz w:val="22"/>
          <w:szCs w:val="22"/>
          <w:lang w:val="es-MX" w:eastAsia="x-none"/>
        </w:rPr>
        <w:t>La Sala de Consulta y Servicio Civil del Consejo de Estado, en Concepto 1727 del 20 de febrero de 2006, consideró que el artículo 33 de la ley 996 de 2005, 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00033B58" w:rsidRPr="000E7535">
        <w:rPr>
          <w:rFonts w:ascii="Arial" w:hAnsi="Arial" w:cs="Arial"/>
          <w:bCs/>
          <w:color w:val="000000" w:themeColor="text1"/>
          <w:sz w:val="22"/>
          <w:szCs w:val="22"/>
          <w:vertAlign w:val="superscript"/>
          <w:lang w:val="es-MX" w:eastAsia="x-none"/>
        </w:rPr>
        <w:footnoteReference w:id="23"/>
      </w:r>
      <w:r w:rsidR="00033B58" w:rsidRPr="000E7535">
        <w:rPr>
          <w:rFonts w:ascii="Arial" w:hAnsi="Arial" w:cs="Arial"/>
          <w:bCs/>
          <w:color w:val="000000" w:themeColor="text1"/>
          <w:sz w:val="22"/>
          <w:szCs w:val="22"/>
          <w:lang w:val="es-MX" w:eastAsia="x-none"/>
        </w:rPr>
        <w:t>.</w:t>
      </w:r>
    </w:p>
    <w:p w14:paraId="0F7E03FC" w14:textId="77777777" w:rsidR="00535D23" w:rsidRPr="00535D23" w:rsidRDefault="00535D23" w:rsidP="00535D23">
      <w:pPr>
        <w:spacing w:line="276" w:lineRule="auto"/>
        <w:ind w:firstLine="708"/>
        <w:jc w:val="both"/>
        <w:rPr>
          <w:rFonts w:ascii="Calibri" w:eastAsia="Calibri" w:hAnsi="Calibri"/>
          <w:lang w:eastAsia="en-US"/>
        </w:rPr>
      </w:pPr>
      <w:r w:rsidRPr="00535D23">
        <w:rPr>
          <w:rFonts w:ascii="Arial" w:eastAsia="Calibri" w:hAnsi="Arial" w:cs="Arial"/>
          <w:color w:val="000000"/>
          <w:sz w:val="22"/>
          <w:szCs w:val="22"/>
          <w:lang w:val="es-ES_tradnl" w:eastAsia="en-US"/>
        </w:rPr>
        <w:t xml:space="preserve">Por lo tanto, la restricción prevista en la Ley 996 de 2005, </w:t>
      </w:r>
      <w:r w:rsidRPr="00535D23">
        <w:rPr>
          <w:rFonts w:ascii="Arial" w:eastAsia="Calibri" w:hAnsi="Arial" w:cs="Arial"/>
          <w:bCs/>
          <w:color w:val="000000"/>
          <w:sz w:val="22"/>
          <w:szCs w:val="22"/>
          <w:lang w:val="es-ES_tradnl" w:eastAsia="x-none"/>
        </w:rPr>
        <w:t xml:space="preserve">teniendo en cuenta la finalidad de la ley de garantías electorales, cobija a cualquier ente público que pueda a través de la contratación directa romper el equilibrio entre los candidatos en desarrollo de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w:t>
      </w:r>
      <w:r w:rsidRPr="00535D23">
        <w:rPr>
          <w:rFonts w:ascii="Arial" w:eastAsia="Calibri" w:hAnsi="Arial" w:cs="Arial"/>
          <w:bCs/>
          <w:color w:val="000000"/>
          <w:sz w:val="22"/>
          <w:szCs w:val="22"/>
          <w:lang w:val="es-ES_tradnl" w:eastAsia="x-none"/>
        </w:rPr>
        <w:lastRenderedPageBreak/>
        <w:t>tanto en la contratación regulada por la Ley 80 de 1993 como en la regida por normas especiales.</w:t>
      </w:r>
    </w:p>
    <w:p w14:paraId="706B858E" w14:textId="77777777" w:rsidR="00535D23" w:rsidRPr="00535D23" w:rsidRDefault="00535D23" w:rsidP="00535D23">
      <w:pPr>
        <w:rPr>
          <w:rFonts w:ascii="Calibri" w:eastAsia="Calibri" w:hAnsi="Calibri"/>
          <w:lang w:eastAsia="en-US"/>
        </w:rPr>
      </w:pPr>
    </w:p>
    <w:p w14:paraId="67EF7C77" w14:textId="77777777" w:rsidR="00535D23" w:rsidRPr="00535D23" w:rsidRDefault="00535D23" w:rsidP="00535D23">
      <w:pPr>
        <w:spacing w:line="276" w:lineRule="auto"/>
        <w:jc w:val="both"/>
        <w:rPr>
          <w:rFonts w:ascii="Arial" w:hAnsi="Arial" w:cs="Arial"/>
          <w:b/>
          <w:lang w:val="es-ES" w:eastAsia="es-CO"/>
        </w:rPr>
      </w:pPr>
      <w:r w:rsidRPr="00535D23">
        <w:rPr>
          <w:rFonts w:ascii="Arial" w:eastAsia="Calibri" w:hAnsi="Arial" w:cs="Arial"/>
          <w:b/>
          <w:sz w:val="22"/>
          <w:lang w:val="es-ES_tradnl" w:eastAsia="en-US"/>
        </w:rPr>
        <w:t>2.3.</w:t>
      </w:r>
      <w:r w:rsidRPr="00535D23">
        <w:rPr>
          <w:rFonts w:ascii="Arial" w:eastAsia="Calibri" w:hAnsi="Arial" w:cs="Arial"/>
          <w:b/>
          <w:bCs/>
          <w:sz w:val="22"/>
          <w:szCs w:val="22"/>
          <w:lang w:val="es-MX" w:eastAsia="en-US"/>
        </w:rPr>
        <w:t xml:space="preserve"> </w:t>
      </w:r>
      <w:bookmarkStart w:id="12" w:name="_Hlk77153296"/>
      <w:r w:rsidRPr="00EF00E7">
        <w:rPr>
          <w:rFonts w:ascii="Arial" w:eastAsia="Calibri" w:hAnsi="Arial" w:cs="Arial"/>
          <w:b/>
          <w:bCs/>
          <w:sz w:val="22"/>
          <w:szCs w:val="22"/>
          <w:lang w:val="es-MX" w:eastAsia="es-CO"/>
        </w:rPr>
        <w:t xml:space="preserve">Restricciones </w:t>
      </w:r>
      <w:bookmarkStart w:id="13" w:name="_Hlk75643279"/>
      <w:r w:rsidRPr="00EF00E7">
        <w:rPr>
          <w:rFonts w:ascii="Arial" w:eastAsia="Calibri" w:hAnsi="Arial" w:cs="Arial"/>
          <w:b/>
          <w:bCs/>
          <w:sz w:val="22"/>
          <w:szCs w:val="22"/>
          <w:lang w:val="es-MX" w:eastAsia="es-CO"/>
        </w:rPr>
        <w:t>para la celebración de contratos y convenios interadministrativos en los comicios de cargos de elección popular</w:t>
      </w:r>
      <w:r w:rsidRPr="00751C77">
        <w:rPr>
          <w:rFonts w:ascii="Arial" w:hAnsi="Arial" w:cs="Arial"/>
          <w:b/>
          <w:bCs/>
          <w:sz w:val="22"/>
          <w:szCs w:val="22"/>
          <w:lang w:val="es-MX" w:eastAsia="es-CO"/>
        </w:rPr>
        <w:t xml:space="preserve">: </w:t>
      </w:r>
      <w:r w:rsidRPr="00751C77">
        <w:rPr>
          <w:rFonts w:ascii="Arial" w:eastAsia="Calibri" w:hAnsi="Arial" w:cs="Arial"/>
          <w:b/>
          <w:bCs/>
          <w:sz w:val="22"/>
          <w:szCs w:val="22"/>
          <w:lang w:val="es-ES_tradnl" w:eastAsia="es-CO"/>
        </w:rPr>
        <w:t>prohibición del parágrafo del artículo 38 de la Ley 996 de 2005</w:t>
      </w:r>
    </w:p>
    <w:p w14:paraId="6986C003" w14:textId="77777777" w:rsidR="00535D23" w:rsidRPr="00535D23" w:rsidRDefault="00535D23" w:rsidP="00535D23">
      <w:pPr>
        <w:spacing w:after="200" w:line="276" w:lineRule="auto"/>
        <w:jc w:val="both"/>
        <w:rPr>
          <w:rFonts w:ascii="Arial" w:eastAsia="Calibri" w:hAnsi="Arial" w:cs="Arial"/>
          <w:b/>
          <w:bCs/>
          <w:sz w:val="22"/>
          <w:szCs w:val="22"/>
          <w:lang w:val="es-MX" w:eastAsia="en-US"/>
        </w:rPr>
      </w:pPr>
    </w:p>
    <w:bookmarkEnd w:id="12"/>
    <w:bookmarkEnd w:id="13"/>
    <w:p w14:paraId="71812AAC" w14:textId="77777777" w:rsidR="00535D23" w:rsidRPr="00535D23" w:rsidRDefault="00535D23" w:rsidP="00535D23">
      <w:pPr>
        <w:tabs>
          <w:tab w:val="left" w:pos="426"/>
        </w:tabs>
        <w:spacing w:after="120" w:line="276" w:lineRule="auto"/>
        <w:jc w:val="both"/>
        <w:rPr>
          <w:rFonts w:ascii="Arial" w:eastAsia="Calibri" w:hAnsi="Arial" w:cs="Arial"/>
          <w:bCs/>
          <w:sz w:val="22"/>
          <w:szCs w:val="22"/>
          <w:lang w:eastAsia="en-US"/>
        </w:rPr>
      </w:pPr>
      <w:r w:rsidRPr="00535D23">
        <w:rPr>
          <w:rFonts w:ascii="Arial" w:eastAsia="Calibri" w:hAnsi="Arial" w:cs="Arial"/>
          <w:bCs/>
          <w:sz w:val="22"/>
          <w:szCs w:val="22"/>
          <w:lang w:eastAsia="en-US"/>
        </w:rPr>
        <w:t>El parágrafo del artículo 38 de la Ley 996 de 2005 dispone que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w:t>
      </w:r>
      <w:r w:rsidRPr="00535D23">
        <w:rPr>
          <w:rFonts w:ascii="Arial" w:eastAsia="Calibri" w:hAnsi="Arial" w:cs="Arial"/>
          <w:bCs/>
          <w:iCs/>
          <w:sz w:val="22"/>
          <w:szCs w:val="22"/>
          <w:lang w:val="es-MX" w:eastAsia="x-none"/>
        </w:rPr>
        <w:t xml:space="preserve"> 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r w:rsidRPr="00535D23">
        <w:rPr>
          <w:rFonts w:ascii="Arial" w:eastAsia="Calibri" w:hAnsi="Arial" w:cs="Arial"/>
          <w:bCs/>
          <w:iCs/>
          <w:sz w:val="22"/>
          <w:szCs w:val="22"/>
          <w:vertAlign w:val="superscript"/>
          <w:lang w:val="es-MX" w:eastAsia="x-none"/>
        </w:rPr>
        <w:footnoteReference w:id="24"/>
      </w:r>
      <w:r w:rsidRPr="00535D23">
        <w:rPr>
          <w:rFonts w:ascii="Arial" w:eastAsia="Calibri" w:hAnsi="Arial" w:cs="Arial"/>
          <w:bCs/>
          <w:iCs/>
          <w:sz w:val="22"/>
          <w:szCs w:val="22"/>
          <w:lang w:val="es-MX" w:eastAsia="x-none"/>
        </w:rPr>
        <w:t>.</w:t>
      </w:r>
      <w:r w:rsidRPr="00535D23">
        <w:rPr>
          <w:rFonts w:ascii="Arial" w:eastAsia="Calibri" w:hAnsi="Arial" w:cs="Arial"/>
          <w:szCs w:val="22"/>
          <w:lang w:val="es-MX" w:eastAsia="en-US"/>
        </w:rPr>
        <w:t xml:space="preserve"> </w:t>
      </w:r>
    </w:p>
    <w:p w14:paraId="034F04CB" w14:textId="77777777" w:rsidR="00535D23" w:rsidRPr="00535D23" w:rsidRDefault="00535D23" w:rsidP="00535D23">
      <w:pPr>
        <w:widowControl w:val="0"/>
        <w:autoSpaceDE w:val="0"/>
        <w:autoSpaceDN w:val="0"/>
        <w:spacing w:after="120" w:line="276" w:lineRule="auto"/>
        <w:ind w:firstLine="707"/>
        <w:jc w:val="both"/>
        <w:rPr>
          <w:rFonts w:ascii="Arial" w:eastAsia="Arial" w:hAnsi="Arial" w:cs="Arial"/>
          <w:sz w:val="22"/>
          <w:szCs w:val="22"/>
          <w:lang w:val="es-ES" w:eastAsia="es-ES" w:bidi="es-ES"/>
        </w:rPr>
      </w:pPr>
      <w:r w:rsidRPr="00535D23">
        <w:rPr>
          <w:rFonts w:ascii="Arial" w:eastAsia="Calibri" w:hAnsi="Arial" w:cs="Arial"/>
          <w:bCs/>
          <w:sz w:val="22"/>
          <w:szCs w:val="22"/>
          <w:lang w:eastAsia="es-ES" w:bidi="es-ES"/>
        </w:rPr>
        <w:t xml:space="preserve">Ahora bien, </w:t>
      </w:r>
      <w:bookmarkStart w:id="14" w:name="_Hlk78820161"/>
      <w:r w:rsidRPr="00535D23">
        <w:rPr>
          <w:rFonts w:ascii="Arial" w:eastAsia="Calibri" w:hAnsi="Arial" w:cs="Arial"/>
          <w:bCs/>
          <w:sz w:val="22"/>
          <w:szCs w:val="22"/>
          <w:lang w:eastAsia="es-ES" w:bidi="es-ES"/>
        </w:rPr>
        <w:t xml:space="preserve">para determinar el alcance de la prohibición consagrada por la Ley de Garantías Electorales, conviene precisar la tipología de convenios o contratos interadministrativos. </w:t>
      </w:r>
      <w:r w:rsidRPr="00535D23">
        <w:rPr>
          <w:rFonts w:ascii="Arial" w:eastAsia="Arial" w:hAnsi="Arial" w:cs="Arial"/>
          <w:sz w:val="22"/>
          <w:szCs w:val="22"/>
          <w:lang w:val="es-ES" w:eastAsia="es-ES" w:bidi="es-ES"/>
        </w:rPr>
        <w:t>Aunque la ley no la definió ni desarrolló, el Decreto 1082 de 2015 califica a los convenios o contratos interadministrativos como aquella contratación entre entidades estatales</w:t>
      </w:r>
      <w:r w:rsidRPr="00535D23">
        <w:rPr>
          <w:rFonts w:ascii="Arial" w:eastAsia="Arial" w:hAnsi="Arial" w:cs="Arial"/>
          <w:sz w:val="22"/>
          <w:szCs w:val="22"/>
          <w:vertAlign w:val="superscript"/>
          <w:lang w:val="es-ES" w:eastAsia="es-ES" w:bidi="es-ES"/>
        </w:rPr>
        <w:footnoteReference w:id="25"/>
      </w:r>
      <w:r w:rsidRPr="00535D23">
        <w:rPr>
          <w:rFonts w:ascii="Arial" w:eastAsia="Arial" w:hAnsi="Arial" w:cs="Arial"/>
          <w:sz w:val="22"/>
          <w:szCs w:val="22"/>
          <w:lang w:val="es-ES" w:eastAsia="es-ES" w:bidi="es-ES"/>
        </w:rPr>
        <w:t>.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Pr="00535D23">
        <w:rPr>
          <w:rFonts w:ascii="Arial" w:eastAsia="Arial" w:hAnsi="Arial" w:cs="Arial"/>
          <w:spacing w:val="-6"/>
          <w:sz w:val="22"/>
          <w:szCs w:val="22"/>
          <w:lang w:val="es-ES" w:eastAsia="es-ES" w:bidi="es-ES"/>
        </w:rPr>
        <w:t xml:space="preserve"> </w:t>
      </w:r>
      <w:r w:rsidRPr="00535D23">
        <w:rPr>
          <w:rFonts w:ascii="Arial" w:eastAsia="Arial" w:hAnsi="Arial" w:cs="Arial"/>
          <w:sz w:val="22"/>
          <w:szCs w:val="22"/>
          <w:lang w:val="es-ES" w:eastAsia="es-ES" w:bidi="es-ES"/>
        </w:rPr>
        <w:t>estatales.</w:t>
      </w:r>
    </w:p>
    <w:p w14:paraId="0977A06A" w14:textId="77777777" w:rsidR="00535D23" w:rsidRPr="00535D23" w:rsidRDefault="00535D23" w:rsidP="00535D23">
      <w:pPr>
        <w:widowControl w:val="0"/>
        <w:autoSpaceDE w:val="0"/>
        <w:autoSpaceDN w:val="0"/>
        <w:spacing w:before="117" w:after="120" w:line="276" w:lineRule="auto"/>
        <w:ind w:firstLine="707"/>
        <w:jc w:val="both"/>
        <w:rPr>
          <w:rFonts w:ascii="Arial" w:eastAsia="Arial" w:hAnsi="Arial" w:cs="Arial"/>
          <w:sz w:val="22"/>
          <w:szCs w:val="22"/>
          <w:lang w:val="es-ES" w:eastAsia="es-ES" w:bidi="es-ES"/>
        </w:rPr>
      </w:pPr>
      <w:bookmarkStart w:id="15" w:name="_Hlk78820654"/>
      <w:bookmarkEnd w:id="14"/>
      <w:r w:rsidRPr="00535D23">
        <w:rPr>
          <w:rFonts w:ascii="Arial" w:eastAsia="Arial" w:hAnsi="Arial" w:cs="Arial"/>
          <w:sz w:val="22"/>
          <w:szCs w:val="22"/>
          <w:lang w:val="es-ES" w:eastAsia="es-ES" w:bidi="es-ES"/>
        </w:rPr>
        <w:t xml:space="preserve">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convenios con una entidad estatal de régimen especial y no por ello dejará </w:t>
      </w:r>
      <w:r w:rsidRPr="00535D23">
        <w:rPr>
          <w:rFonts w:ascii="Arial" w:eastAsia="Arial" w:hAnsi="Arial" w:cs="Arial"/>
          <w:sz w:val="22"/>
          <w:szCs w:val="22"/>
          <w:lang w:val="es-ES" w:eastAsia="es-ES" w:bidi="es-ES"/>
        </w:rPr>
        <w:lastRenderedPageBreak/>
        <w:t>de ser un contrato o convenio interadministrativo.</w:t>
      </w:r>
    </w:p>
    <w:bookmarkEnd w:id="15"/>
    <w:p w14:paraId="4D51AC9F" w14:textId="77777777" w:rsidR="00535D23" w:rsidRPr="00535D23" w:rsidRDefault="00535D23" w:rsidP="00535D23">
      <w:pPr>
        <w:widowControl w:val="0"/>
        <w:autoSpaceDE w:val="0"/>
        <w:autoSpaceDN w:val="0"/>
        <w:spacing w:before="121" w:after="120" w:line="276" w:lineRule="auto"/>
        <w:ind w:firstLine="707"/>
        <w:jc w:val="both"/>
        <w:rPr>
          <w:rFonts w:ascii="Arial" w:eastAsia="Arial" w:hAnsi="Arial" w:cs="Arial"/>
          <w:sz w:val="22"/>
          <w:szCs w:val="22"/>
          <w:lang w:val="es-ES" w:eastAsia="es-ES" w:bidi="es-ES"/>
        </w:rPr>
      </w:pPr>
      <w:r w:rsidRPr="00535D23">
        <w:rPr>
          <w:rFonts w:ascii="Arial" w:eastAsia="Arial" w:hAnsi="Arial" w:cs="Arial"/>
          <w:sz w:val="22"/>
          <w:szCs w:val="22"/>
          <w:lang w:val="es-ES" w:eastAsia="es-ES" w:bidi="es-ES"/>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Pr="00535D23">
        <w:rPr>
          <w:rFonts w:ascii="Arial" w:eastAsia="Arial" w:hAnsi="Arial" w:cs="Arial"/>
          <w:sz w:val="22"/>
          <w:szCs w:val="22"/>
          <w:vertAlign w:val="superscript"/>
          <w:lang w:val="es-ES" w:eastAsia="es-ES" w:bidi="es-ES"/>
        </w:rPr>
        <w:footnoteReference w:id="26"/>
      </w:r>
      <w:r w:rsidRPr="00535D23">
        <w:rPr>
          <w:rFonts w:ascii="Arial" w:eastAsia="Arial" w:hAnsi="Arial" w:cs="Arial"/>
          <w:sz w:val="22"/>
          <w:szCs w:val="22"/>
          <w:lang w:val="es-ES" w:eastAsia="es-ES" w:bidi="es-ES"/>
        </w:rPr>
        <w:t>. Nótese que, en este caso, lo que cambia es la modalidad de selección y no la naturaleza de contrato</w:t>
      </w:r>
      <w:r w:rsidRPr="00535D23">
        <w:rPr>
          <w:rFonts w:ascii="Arial" w:eastAsia="Arial" w:hAnsi="Arial" w:cs="Arial"/>
          <w:spacing w:val="-18"/>
          <w:sz w:val="22"/>
          <w:szCs w:val="22"/>
          <w:lang w:val="es-ES" w:eastAsia="es-ES" w:bidi="es-ES"/>
        </w:rPr>
        <w:t xml:space="preserve"> </w:t>
      </w:r>
      <w:r w:rsidRPr="00535D23">
        <w:rPr>
          <w:rFonts w:ascii="Arial" w:eastAsia="Arial" w:hAnsi="Arial" w:cs="Arial"/>
          <w:sz w:val="22"/>
          <w:szCs w:val="22"/>
          <w:lang w:val="es-ES" w:eastAsia="es-ES" w:bidi="es-ES"/>
        </w:rPr>
        <w:t>interadministrativo.</w:t>
      </w:r>
    </w:p>
    <w:p w14:paraId="51581D61" w14:textId="77777777" w:rsidR="00535D23" w:rsidRPr="00535D23" w:rsidRDefault="00535D23" w:rsidP="00535D23">
      <w:pPr>
        <w:widowControl w:val="0"/>
        <w:autoSpaceDE w:val="0"/>
        <w:autoSpaceDN w:val="0"/>
        <w:spacing w:before="114" w:line="276" w:lineRule="auto"/>
        <w:ind w:firstLine="707"/>
        <w:jc w:val="both"/>
        <w:rPr>
          <w:rFonts w:ascii="Arial" w:eastAsia="Arial" w:hAnsi="Arial" w:cs="Arial"/>
          <w:sz w:val="22"/>
          <w:szCs w:val="22"/>
          <w:lang w:val="es-ES" w:eastAsia="es-ES" w:bidi="es-ES"/>
        </w:rPr>
      </w:pPr>
      <w:r w:rsidRPr="00535D23">
        <w:rPr>
          <w:rFonts w:ascii="Arial" w:eastAsia="Arial" w:hAnsi="Arial" w:cs="Arial"/>
          <w:sz w:val="22"/>
          <w:szCs w:val="22"/>
          <w:lang w:val="es-ES" w:eastAsia="es-ES" w:bidi="es-ES"/>
        </w:rPr>
        <w:t>La Corte Constitucional expresó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w:t>
      </w:r>
      <w:r w:rsidRPr="00535D23">
        <w:rPr>
          <w:rFonts w:ascii="Arial" w:eastAsia="Arial" w:hAnsi="Arial" w:cs="Arial"/>
          <w:spacing w:val="-13"/>
          <w:sz w:val="22"/>
          <w:szCs w:val="22"/>
          <w:lang w:val="es-ES" w:eastAsia="es-ES" w:bidi="es-ES"/>
        </w:rPr>
        <w:t xml:space="preserve"> </w:t>
      </w:r>
      <w:r w:rsidRPr="00535D23">
        <w:rPr>
          <w:rFonts w:ascii="Arial" w:eastAsia="Arial" w:hAnsi="Arial" w:cs="Arial"/>
          <w:sz w:val="22"/>
          <w:szCs w:val="22"/>
          <w:lang w:val="es-ES" w:eastAsia="es-ES" w:bidi="es-ES"/>
        </w:rPr>
        <w:t>que:</w:t>
      </w:r>
    </w:p>
    <w:p w14:paraId="3C6BE3B0" w14:textId="77777777" w:rsidR="00535D23" w:rsidRPr="00535D23" w:rsidRDefault="00535D23" w:rsidP="00535D23">
      <w:pPr>
        <w:widowControl w:val="0"/>
        <w:autoSpaceDE w:val="0"/>
        <w:autoSpaceDN w:val="0"/>
        <w:spacing w:line="276" w:lineRule="auto"/>
        <w:ind w:firstLine="707"/>
        <w:jc w:val="both"/>
        <w:rPr>
          <w:rFonts w:ascii="Arial" w:eastAsia="Arial" w:hAnsi="Arial" w:cs="Arial"/>
          <w:sz w:val="22"/>
          <w:szCs w:val="22"/>
          <w:lang w:val="es-ES" w:eastAsia="es-ES" w:bidi="es-ES"/>
        </w:rPr>
      </w:pPr>
    </w:p>
    <w:p w14:paraId="120A9B6D" w14:textId="77777777" w:rsidR="00535D23" w:rsidRPr="00535D23" w:rsidRDefault="00535D23" w:rsidP="00535D23">
      <w:pPr>
        <w:ind w:left="709" w:right="709"/>
        <w:jc w:val="both"/>
        <w:rPr>
          <w:rFonts w:ascii="Arial" w:eastAsia="Calibri" w:hAnsi="Arial" w:cs="Arial"/>
          <w:sz w:val="21"/>
          <w:szCs w:val="22"/>
          <w:lang w:val="es-MX" w:eastAsia="en-US"/>
        </w:rPr>
      </w:pPr>
      <w:r w:rsidRPr="00535D23">
        <w:rPr>
          <w:rFonts w:ascii="Arial" w:eastAsia="Calibri" w:hAnsi="Arial" w:cs="Arial"/>
          <w:sz w:val="21"/>
          <w:szCs w:val="21"/>
          <w:lang w:val="es-ES" w:eastAsia="en-US"/>
        </w:rPr>
        <w:t>«</w:t>
      </w:r>
      <w:r w:rsidRPr="00535D23">
        <w:rPr>
          <w:rFonts w:ascii="Arial" w:eastAsia="Calibri" w:hAnsi="Arial" w:cs="Arial"/>
          <w:sz w:val="21"/>
          <w:szCs w:val="22"/>
          <w:lang w:val="es-MX" w:eastAsia="en-US"/>
        </w:rPr>
        <w:t xml:space="preserve">[…] se puede señalar que los convenios o contratos interadministrativos tienen como características principales las siguientes: (i) constituyen verdaderos contratos en los términos del Código de Comercio cuando su objeto lo constituyen obligaciones patrimoniales; (ii) tienen como fuente la autonomía contractual; (iii) son contratos nominados puesto que están mencionados en la ley; (iv)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(vii) persiguen  una finalidad común a través de la realización de intereses compartidos entre las entidades vinculadas; </w:t>
      </w:r>
      <w:r w:rsidRPr="00535D23">
        <w:rPr>
          <w:rFonts w:ascii="Arial" w:eastAsia="Calibri" w:hAnsi="Arial" w:cs="Arial"/>
          <w:sz w:val="21"/>
          <w:szCs w:val="22"/>
          <w:lang w:val="es-MX" w:eastAsia="en-US"/>
        </w:rPr>
        <w:lastRenderedPageBreak/>
        <w:t>(viii) la acción mediante la cual se deben ventilar las diferencias que sobre el particular surjan es la de controversias contractuales.</w:t>
      </w:r>
      <w:r w:rsidRPr="00535D23">
        <w:rPr>
          <w:rFonts w:ascii="Arial" w:eastAsia="Calibri" w:hAnsi="Arial" w:cs="Arial"/>
          <w:sz w:val="21"/>
          <w:szCs w:val="21"/>
          <w:lang w:val="es-ES" w:eastAsia="en-US"/>
        </w:rPr>
        <w:t>»</w:t>
      </w:r>
      <w:r w:rsidRPr="00535D23">
        <w:rPr>
          <w:rFonts w:ascii="Arial" w:eastAsia="Calibri" w:hAnsi="Arial" w:cs="Arial"/>
          <w:sz w:val="21"/>
          <w:szCs w:val="22"/>
          <w:vertAlign w:val="superscript"/>
          <w:lang w:val="es-MX" w:eastAsia="en-US"/>
        </w:rPr>
        <w:footnoteReference w:id="27"/>
      </w:r>
    </w:p>
    <w:p w14:paraId="3BF958D3" w14:textId="77777777" w:rsidR="00535D23" w:rsidRPr="00535D23" w:rsidRDefault="00535D23" w:rsidP="00535D23">
      <w:pPr>
        <w:spacing w:line="276" w:lineRule="auto"/>
        <w:ind w:left="709" w:right="709"/>
        <w:jc w:val="both"/>
        <w:rPr>
          <w:rFonts w:ascii="Calibri" w:eastAsia="Calibri" w:hAnsi="Calibri"/>
          <w:sz w:val="22"/>
          <w:szCs w:val="22"/>
          <w:lang w:val="es-MX" w:eastAsia="en-US"/>
        </w:rPr>
      </w:pPr>
    </w:p>
    <w:p w14:paraId="67D16147" w14:textId="77777777" w:rsidR="00535D23" w:rsidRPr="00535D23" w:rsidRDefault="00535D23" w:rsidP="00535D23">
      <w:pPr>
        <w:widowControl w:val="0"/>
        <w:autoSpaceDE w:val="0"/>
        <w:autoSpaceDN w:val="0"/>
        <w:spacing w:after="120" w:line="276" w:lineRule="auto"/>
        <w:ind w:firstLine="707"/>
        <w:jc w:val="both"/>
        <w:rPr>
          <w:rFonts w:ascii="Arial" w:eastAsia="Arial" w:hAnsi="Arial" w:cs="Arial"/>
          <w:sz w:val="22"/>
          <w:szCs w:val="22"/>
          <w:lang w:val="es-ES" w:eastAsia="es-ES" w:bidi="es-ES"/>
        </w:rPr>
      </w:pPr>
      <w:r w:rsidRPr="00535D23">
        <w:rPr>
          <w:rFonts w:ascii="Arial" w:eastAsia="Arial" w:hAnsi="Arial" w:cs="Arial"/>
          <w:sz w:val="22"/>
          <w:szCs w:val="22"/>
          <w:lang w:val="es-ES" w:eastAsia="es-ES" w:bidi="es-ES"/>
        </w:rPr>
        <w:t>En ese sentido, los convenios interadministrativos se caracterizan por los sujetos que intervienen y por la modalidad de selección que la ley permite aplicar para su celebración, ya que comporta un grado de excepcionalidad frente a las demás tipologías contractuales, donde los sujetos no están restringidos a una cualificación particular y aplican otras modalidades de selección. El Estatuto General de Contratación de la Administración Pública establece la contratación directa como la modalidad de selección aplicable, por regla general, a la celebración de los contratos interadministrativos.</w:t>
      </w:r>
    </w:p>
    <w:p w14:paraId="668DDDB2" w14:textId="77777777" w:rsidR="00535D23" w:rsidRPr="00535D23" w:rsidRDefault="00535D23" w:rsidP="00535D23">
      <w:pPr>
        <w:widowControl w:val="0"/>
        <w:autoSpaceDE w:val="0"/>
        <w:autoSpaceDN w:val="0"/>
        <w:spacing w:before="119" w:after="120" w:line="276" w:lineRule="auto"/>
        <w:ind w:firstLine="707"/>
        <w:jc w:val="both"/>
        <w:rPr>
          <w:rFonts w:ascii="Arial" w:eastAsia="Arial" w:hAnsi="Arial" w:cs="Arial"/>
          <w:sz w:val="22"/>
          <w:szCs w:val="22"/>
          <w:lang w:val="es-ES" w:eastAsia="es-ES" w:bidi="es-ES"/>
        </w:rPr>
      </w:pPr>
      <w:r w:rsidRPr="00535D23">
        <w:rPr>
          <w:rFonts w:ascii="Arial" w:eastAsia="Arial" w:hAnsi="Arial" w:cs="Arial"/>
          <w:sz w:val="22"/>
          <w:szCs w:val="22"/>
          <w:lang w:val="es-ES" w:eastAsia="es-ES" w:bidi="es-ES"/>
        </w:rPr>
        <w:t>Así las cosas, 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No obstante, es posible que se celebren contratos interadministrativos en el marco de un proceso donde sea posible la participación 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 sino, entre otras cosas, de la calidad de las partes que lo suscriben, es decir, debe tratarse de entidades</w:t>
      </w:r>
      <w:r w:rsidRPr="00535D23">
        <w:rPr>
          <w:rFonts w:ascii="Arial" w:eastAsia="Arial" w:hAnsi="Arial" w:cs="Arial"/>
          <w:spacing w:val="-3"/>
          <w:sz w:val="22"/>
          <w:szCs w:val="22"/>
          <w:lang w:val="es-ES" w:eastAsia="es-ES" w:bidi="es-ES"/>
        </w:rPr>
        <w:t xml:space="preserve"> </w:t>
      </w:r>
      <w:r w:rsidRPr="00535D23">
        <w:rPr>
          <w:rFonts w:ascii="Arial" w:eastAsia="Arial" w:hAnsi="Arial" w:cs="Arial"/>
          <w:sz w:val="22"/>
          <w:szCs w:val="22"/>
          <w:lang w:val="es-ES" w:eastAsia="es-ES" w:bidi="es-ES"/>
        </w:rPr>
        <w:t>estatales.</w:t>
      </w:r>
    </w:p>
    <w:p w14:paraId="6B7EEDFF" w14:textId="77777777" w:rsidR="00535D23" w:rsidRPr="00535D23" w:rsidRDefault="00535D23" w:rsidP="00535D23">
      <w:pPr>
        <w:widowControl w:val="0"/>
        <w:autoSpaceDE w:val="0"/>
        <w:autoSpaceDN w:val="0"/>
        <w:spacing w:before="120" w:after="200" w:line="276" w:lineRule="auto"/>
        <w:ind w:firstLine="709"/>
        <w:jc w:val="both"/>
        <w:rPr>
          <w:rFonts w:ascii="Arial" w:eastAsia="Arial" w:hAnsi="Arial" w:cs="Arial"/>
          <w:sz w:val="22"/>
          <w:szCs w:val="22"/>
          <w:lang w:val="es-ES" w:eastAsia="es-ES" w:bidi="es-ES"/>
        </w:rPr>
      </w:pPr>
      <w:r w:rsidRPr="00535D23">
        <w:rPr>
          <w:rFonts w:ascii="Arial" w:eastAsia="Arial" w:hAnsi="Arial" w:cs="Arial"/>
          <w:sz w:val="22"/>
          <w:szCs w:val="22"/>
          <w:lang w:val="es-ES" w:eastAsia="es-ES" w:bidi="es-ES"/>
        </w:rPr>
        <w:t>Además, es necesario tener en cuenta que para que un contrato o convenio interadministrativo exista, debe cumplir con los siguientes elementos: acuerdo sobre el objeto y la contraprestación, y que se eleve a escrito. Por otra parte, si bien actualmente el EGCAP hace referencia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w:t>
      </w:r>
      <w:r w:rsidRPr="00535D23">
        <w:rPr>
          <w:rFonts w:ascii="Arial" w:eastAsia="Arial" w:hAnsi="Arial" w:cs="Arial"/>
          <w:spacing w:val="-4"/>
          <w:sz w:val="22"/>
          <w:szCs w:val="22"/>
          <w:lang w:val="es-ES" w:eastAsia="es-ES" w:bidi="es-ES"/>
        </w:rPr>
        <w:t xml:space="preserve"> </w:t>
      </w:r>
      <w:r w:rsidRPr="00535D23">
        <w:rPr>
          <w:rFonts w:ascii="Arial" w:eastAsia="Arial" w:hAnsi="Arial" w:cs="Arial"/>
          <w:sz w:val="22"/>
          <w:szCs w:val="22"/>
          <w:lang w:val="es-ES" w:eastAsia="es-ES" w:bidi="es-ES"/>
        </w:rPr>
        <w:t>estatales.</w:t>
      </w:r>
    </w:p>
    <w:p w14:paraId="7F7D44E5" w14:textId="77777777" w:rsidR="00535D23" w:rsidRPr="00535D23" w:rsidRDefault="00535D23" w:rsidP="00535D23">
      <w:pPr>
        <w:widowControl w:val="0"/>
        <w:autoSpaceDE w:val="0"/>
        <w:autoSpaceDN w:val="0"/>
        <w:spacing w:before="122" w:after="120" w:line="276" w:lineRule="auto"/>
        <w:ind w:firstLine="708"/>
        <w:jc w:val="both"/>
        <w:rPr>
          <w:rFonts w:ascii="Arial" w:eastAsia="Arial" w:hAnsi="Arial" w:cs="Arial"/>
          <w:sz w:val="22"/>
          <w:szCs w:val="22"/>
          <w:lang w:val="es-ES" w:eastAsia="es-ES" w:bidi="es-ES"/>
        </w:rPr>
      </w:pPr>
      <w:r w:rsidRPr="00535D23">
        <w:rPr>
          <w:rFonts w:ascii="Arial" w:eastAsia="Arial" w:hAnsi="Arial" w:cs="Arial"/>
          <w:sz w:val="22"/>
          <w:szCs w:val="22"/>
          <w:lang w:val="es-ES" w:eastAsia="es-ES" w:bidi="es-ES"/>
        </w:rPr>
        <w:t xml:space="preserve">Es bueno destacar que el Decreto 1082 de 2015 dispone que los convenios o </w:t>
      </w:r>
      <w:r w:rsidRPr="00535D23">
        <w:rPr>
          <w:rFonts w:ascii="Arial" w:eastAsia="Arial" w:hAnsi="Arial" w:cs="Arial"/>
          <w:sz w:val="22"/>
          <w:szCs w:val="22"/>
          <w:lang w:val="es-ES" w:eastAsia="es-ES" w:bidi="es-ES"/>
        </w:rPr>
        <w:lastRenderedPageBreak/>
        <w:t>contratos interadministrativos, así denominados en su artículo 2.2.1.2.1.4.4, se contratan directamente, por lo que no hay lugar a dudas que representan lo mismo en la medida en que concurran entidades estatales en el acuerdo de voluntades. De este modo, es posible concluir que en la contratación estatal no existen mayores diferencias entre convenio y contrato y, dando aplicación al derecho privado y a la definición contenida en el Código Civil, puede afirmarse que se trata de figuras equivalentes.</w:t>
      </w:r>
    </w:p>
    <w:p w14:paraId="03C90FBD" w14:textId="77777777" w:rsidR="00535D23" w:rsidRPr="00535D23" w:rsidRDefault="00535D23" w:rsidP="00535D23">
      <w:pPr>
        <w:widowControl w:val="0"/>
        <w:autoSpaceDE w:val="0"/>
        <w:autoSpaceDN w:val="0"/>
        <w:spacing w:line="276" w:lineRule="auto"/>
        <w:ind w:firstLine="708"/>
        <w:jc w:val="both"/>
        <w:rPr>
          <w:rFonts w:ascii="Arial" w:eastAsia="Calibri" w:hAnsi="Arial" w:cs="Arial"/>
          <w:bCs/>
          <w:sz w:val="22"/>
          <w:szCs w:val="22"/>
          <w:lang w:eastAsia="es-ES" w:bidi="es-ES"/>
        </w:rPr>
      </w:pPr>
      <w:r w:rsidRPr="00535D23">
        <w:rPr>
          <w:rFonts w:ascii="Arial" w:eastAsia="Arial" w:hAnsi="Arial" w:cs="Arial"/>
          <w:sz w:val="22"/>
          <w:szCs w:val="22"/>
          <w:lang w:val="es-ES" w:eastAsia="es-ES" w:bidi="es-ES"/>
        </w:rPr>
        <w:t>Por tanto, aunque el artículo 95 de la Ley 489 de 1998 dispone que «Las entidades públicas podrán asociarse con el fin de cooperar en el cumplimiento de funciones administrativas o de prestar conjuntamente servicios que se hallen a su cargo, mediante la celebración de convenios interadministrativos […]», esto no significa que dichos acuerdos estén exceptuados del Estatuto General de Contratación de la Administración Pública por no tener carácter contractual. Por ello, la jurisprudencia considera que «Estos convenios cuentan con las características propias de los contratos, cuando su objeto lo constituyen obligaciones patrimoniales, y las entidades estatales que los conforman están sujetas tanto a la normativa contractual pública, como a las normas del derecho civil</w:t>
      </w:r>
      <w:r w:rsidRPr="00535D23">
        <w:rPr>
          <w:rFonts w:ascii="Arial" w:eastAsia="Arial" w:hAnsi="Arial" w:cs="Arial"/>
          <w:spacing w:val="-4"/>
          <w:sz w:val="22"/>
          <w:szCs w:val="22"/>
          <w:lang w:val="es-ES" w:eastAsia="es-ES" w:bidi="es-ES"/>
        </w:rPr>
        <w:t xml:space="preserve"> </w:t>
      </w:r>
      <w:r w:rsidRPr="00535D23">
        <w:rPr>
          <w:rFonts w:ascii="Arial" w:eastAsia="Arial" w:hAnsi="Arial" w:cs="Arial"/>
          <w:sz w:val="22"/>
          <w:szCs w:val="22"/>
          <w:lang w:val="es-ES" w:eastAsia="es-ES" w:bidi="es-ES"/>
        </w:rPr>
        <w:t>[…]»</w:t>
      </w:r>
      <w:r w:rsidRPr="00535D23">
        <w:rPr>
          <w:rFonts w:ascii="Arial" w:eastAsia="Arial" w:hAnsi="Arial" w:cs="Arial"/>
          <w:sz w:val="22"/>
          <w:szCs w:val="22"/>
          <w:vertAlign w:val="superscript"/>
          <w:lang w:val="es-ES" w:eastAsia="es-ES" w:bidi="es-ES"/>
        </w:rPr>
        <w:footnoteReference w:id="28"/>
      </w:r>
      <w:r w:rsidRPr="00535D23">
        <w:rPr>
          <w:rFonts w:ascii="Arial" w:eastAsia="Arial" w:hAnsi="Arial" w:cs="Arial"/>
          <w:sz w:val="22"/>
          <w:szCs w:val="22"/>
          <w:lang w:val="es-ES" w:eastAsia="es-ES" w:bidi="es-ES"/>
        </w:rPr>
        <w:t>.</w:t>
      </w:r>
      <w:bookmarkStart w:id="16" w:name="_Hlk77171241"/>
    </w:p>
    <w:p w14:paraId="536D7397" w14:textId="77777777" w:rsidR="00535D23" w:rsidRPr="00535D23" w:rsidRDefault="00535D23" w:rsidP="00535D23">
      <w:pPr>
        <w:widowControl w:val="0"/>
        <w:autoSpaceDE w:val="0"/>
        <w:autoSpaceDN w:val="0"/>
        <w:spacing w:before="122" w:after="200" w:line="276" w:lineRule="auto"/>
        <w:ind w:firstLine="709"/>
        <w:jc w:val="both"/>
        <w:rPr>
          <w:rFonts w:ascii="Arial" w:eastAsia="Arial" w:hAnsi="Arial" w:cs="Arial"/>
          <w:sz w:val="22"/>
          <w:szCs w:val="22"/>
          <w:lang w:val="es-ES" w:eastAsia="es-ES" w:bidi="es-ES"/>
        </w:rPr>
      </w:pPr>
      <w:r w:rsidRPr="00535D23">
        <w:rPr>
          <w:rFonts w:ascii="Arial" w:eastAsia="Arial" w:hAnsi="Arial" w:cs="Arial"/>
          <w:sz w:val="22"/>
          <w:szCs w:val="22"/>
          <w:lang w:val="es-ES" w:eastAsia="es-ES" w:bidi="es-ES"/>
        </w:rPr>
        <w:t>Sin perjuicio de lo anterior, vale la pena tener en cuenta que cierto sector de la doctrina y la jurisprudencia han establecido algunas diferencias o caracterización de los contratos interadministrativos frente a los convenios interadministrativos de que trata el artículo 95 de la Ley 489 de 1998. Por ejemplo, el Consejo de Estado sentencia del 14 de junio de 2019 expresó:</w:t>
      </w:r>
    </w:p>
    <w:p w14:paraId="28F84EF5" w14:textId="77777777" w:rsidR="00535D23" w:rsidRPr="00535D23" w:rsidRDefault="00535D23" w:rsidP="00535D23">
      <w:pPr>
        <w:spacing w:after="120"/>
        <w:ind w:left="709" w:right="709"/>
        <w:jc w:val="both"/>
        <w:rPr>
          <w:rFonts w:ascii="Arial" w:eastAsia="Calibri" w:hAnsi="Arial" w:cs="Arial"/>
          <w:sz w:val="21"/>
          <w:szCs w:val="21"/>
          <w:lang w:val="es-ES_tradnl" w:eastAsia="en-US"/>
        </w:rPr>
      </w:pPr>
      <w:r w:rsidRPr="00535D23">
        <w:rPr>
          <w:rFonts w:ascii="Arial" w:eastAsia="Calibri" w:hAnsi="Arial" w:cs="Arial"/>
          <w:sz w:val="21"/>
          <w:szCs w:val="21"/>
          <w:lang w:val="es-ES" w:eastAsia="en-US"/>
        </w:rPr>
        <w:t>«</w:t>
      </w:r>
      <w:r w:rsidRPr="00535D23">
        <w:rPr>
          <w:rFonts w:ascii="Arial" w:eastAsia="Calibri" w:hAnsi="Arial" w:cs="Arial"/>
          <w:sz w:val="21"/>
          <w:szCs w:val="21"/>
          <w:lang w:val="es-ES_tradnl" w:eastAsia="en-US"/>
        </w:rPr>
        <w:t>La Sala de Consulta y Servicio Civil</w:t>
      </w:r>
      <w:r w:rsidRPr="00535D23">
        <w:rPr>
          <w:rFonts w:ascii="Arial" w:eastAsia="Calibri" w:hAnsi="Arial" w:cs="Arial"/>
          <w:sz w:val="21"/>
          <w:szCs w:val="21"/>
          <w:vertAlign w:val="superscript"/>
          <w:lang w:val="es-ES_tradnl" w:eastAsia="en-US"/>
        </w:rPr>
        <w:footnoteReference w:id="29"/>
      </w:r>
      <w:r w:rsidRPr="00535D23">
        <w:rPr>
          <w:rFonts w:ascii="Arial" w:eastAsia="Calibri" w:hAnsi="Arial" w:cs="Arial"/>
          <w:sz w:val="21"/>
          <w:szCs w:val="21"/>
          <w:lang w:val="es-ES_tradnl" w:eastAsia="en-US"/>
        </w:rPr>
        <w:t xml:space="preserve"> de esta Corporación se ha referido a los </w:t>
      </w:r>
      <w:r w:rsidRPr="00535D23">
        <w:rPr>
          <w:rFonts w:ascii="Arial" w:eastAsia="Calibri" w:hAnsi="Arial" w:cs="Arial"/>
          <w:i/>
          <w:sz w:val="21"/>
          <w:szCs w:val="21"/>
          <w:lang w:val="es-ES_tradnl" w:eastAsia="en-US"/>
        </w:rPr>
        <w:t>“convenios interadministrativos”</w:t>
      </w:r>
      <w:r w:rsidRPr="00535D23">
        <w:rPr>
          <w:rFonts w:ascii="Arial" w:eastAsia="Calibri" w:hAnsi="Arial" w:cs="Arial"/>
          <w:sz w:val="21"/>
          <w:szCs w:val="21"/>
          <w:lang w:val="es-ES_tradnl" w:eastAsia="en-US"/>
        </w:rPr>
        <w:t xml:space="preserve"> a los cuales alude el artículo 95 de la Ley 489 de 1998, calificándolos de </w:t>
      </w:r>
      <w:r w:rsidRPr="00535D23">
        <w:rPr>
          <w:rFonts w:ascii="Arial" w:eastAsia="Calibri" w:hAnsi="Arial" w:cs="Arial"/>
          <w:i/>
          <w:sz w:val="21"/>
          <w:szCs w:val="21"/>
          <w:lang w:val="es-ES_tradnl" w:eastAsia="en-US"/>
        </w:rPr>
        <w:t xml:space="preserve">“puros” </w:t>
      </w:r>
      <w:r w:rsidRPr="00535D23">
        <w:rPr>
          <w:rFonts w:ascii="Arial" w:eastAsia="Calibri" w:hAnsi="Arial" w:cs="Arial"/>
          <w:sz w:val="21"/>
          <w:szCs w:val="21"/>
          <w:lang w:val="es-ES_tradnl" w:eastAsia="en-US"/>
        </w:rPr>
        <w:t xml:space="preserve">y entendiendo que estos, además de perseguir la finalidad de cooperación antes indicada, no implican intereses contrapuestos ni tampoco se circunscriben a un </w:t>
      </w:r>
      <w:r w:rsidRPr="00535D23">
        <w:rPr>
          <w:rFonts w:ascii="Arial" w:eastAsia="Calibri" w:hAnsi="Arial" w:cs="Arial"/>
          <w:i/>
          <w:sz w:val="21"/>
          <w:szCs w:val="21"/>
          <w:lang w:val="es-ES_tradnl" w:eastAsia="en-US"/>
        </w:rPr>
        <w:t>“intercambio patrimonial”</w:t>
      </w:r>
      <w:r w:rsidRPr="00535D23">
        <w:rPr>
          <w:rFonts w:ascii="Arial" w:eastAsia="Calibri" w:hAnsi="Arial" w:cs="Arial"/>
          <w:sz w:val="21"/>
          <w:szCs w:val="21"/>
          <w:lang w:val="es-ES_tradnl" w:eastAsia="en-US"/>
        </w:rPr>
        <w:t>. Sin perjuicio de lo anterior, en otra oportunidad, la misma Sala</w:t>
      </w:r>
      <w:r w:rsidRPr="00535D23">
        <w:rPr>
          <w:rFonts w:ascii="Arial" w:eastAsia="Calibri" w:hAnsi="Arial" w:cs="Arial"/>
          <w:sz w:val="21"/>
          <w:szCs w:val="21"/>
          <w:vertAlign w:val="superscript"/>
          <w:lang w:val="es-ES_tradnl" w:eastAsia="en-US"/>
        </w:rPr>
        <w:footnoteReference w:id="30"/>
      </w:r>
      <w:r w:rsidRPr="00535D23">
        <w:rPr>
          <w:rFonts w:ascii="Arial" w:eastAsia="Calibri" w:hAnsi="Arial" w:cs="Arial"/>
          <w:sz w:val="21"/>
          <w:szCs w:val="21"/>
          <w:lang w:val="es-ES_tradnl" w:eastAsia="en-US"/>
        </w:rPr>
        <w:t xml:space="preserve"> había indicado que, si bien en dichos convenios no se daba un </w:t>
      </w:r>
      <w:r w:rsidRPr="00535D23">
        <w:rPr>
          <w:rFonts w:ascii="Arial" w:eastAsia="Calibri" w:hAnsi="Arial" w:cs="Arial"/>
          <w:i/>
          <w:sz w:val="21"/>
          <w:szCs w:val="21"/>
          <w:lang w:val="es-ES_tradnl" w:eastAsia="en-US"/>
        </w:rPr>
        <w:t>“verdadero intercambio de bienes o servicios (contrato conmutativo)”</w:t>
      </w:r>
      <w:r w:rsidRPr="00535D23">
        <w:rPr>
          <w:rFonts w:ascii="Arial" w:eastAsia="Calibri" w:hAnsi="Arial" w:cs="Arial"/>
          <w:sz w:val="21"/>
          <w:szCs w:val="21"/>
          <w:lang w:val="es-ES_tradnl" w:eastAsia="en-US"/>
        </w:rPr>
        <w:t>, ello no impedía que se conviniera una remuneración a cargo de alguna(s) entidad(es).</w:t>
      </w:r>
    </w:p>
    <w:p w14:paraId="58F9E472" w14:textId="77777777" w:rsidR="00535D23" w:rsidRPr="00535D23" w:rsidRDefault="00535D23" w:rsidP="00535D23">
      <w:pPr>
        <w:widowControl w:val="0"/>
        <w:autoSpaceDE w:val="0"/>
        <w:autoSpaceDN w:val="0"/>
        <w:ind w:left="709" w:right="709"/>
        <w:jc w:val="both"/>
        <w:rPr>
          <w:rFonts w:ascii="Arial" w:eastAsia="Arial" w:hAnsi="Arial" w:cs="Arial"/>
          <w:sz w:val="21"/>
          <w:szCs w:val="21"/>
          <w:lang w:val="es-ES" w:eastAsia="es-ES" w:bidi="es-ES"/>
        </w:rPr>
      </w:pPr>
      <w:r w:rsidRPr="00535D23">
        <w:rPr>
          <w:rFonts w:ascii="Arial" w:eastAsia="Arial" w:hAnsi="Arial" w:cs="Arial"/>
          <w:sz w:val="21"/>
          <w:szCs w:val="21"/>
          <w:lang w:val="es-ES_tradnl" w:eastAsia="es-ES" w:bidi="es-ES"/>
        </w:rPr>
        <w:t xml:space="preserve">Lo expuesto evidencia que, en general, las interpretaciones en torno a los </w:t>
      </w:r>
      <w:r w:rsidRPr="00535D23">
        <w:rPr>
          <w:rFonts w:ascii="Arial" w:eastAsia="Arial" w:hAnsi="Arial" w:cs="Arial"/>
          <w:i/>
          <w:sz w:val="21"/>
          <w:szCs w:val="21"/>
          <w:lang w:val="es-ES_tradnl" w:eastAsia="es-ES" w:bidi="es-ES"/>
        </w:rPr>
        <w:t>“convenios interadministrativos”</w:t>
      </w:r>
      <w:r w:rsidRPr="00535D23">
        <w:rPr>
          <w:rFonts w:ascii="Arial" w:eastAsia="Arial" w:hAnsi="Arial" w:cs="Arial"/>
          <w:sz w:val="21"/>
          <w:szCs w:val="21"/>
          <w:lang w:val="es-ES_tradnl" w:eastAsia="es-ES" w:bidi="es-ES"/>
        </w:rPr>
        <w:t xml:space="preserve"> previstos en el artículo 95 de la Ley 489 de 1998, en el propósito de encasillarlos dentro de una categoría normativa </w:t>
      </w:r>
      <w:r w:rsidRPr="00535D23">
        <w:rPr>
          <w:rFonts w:ascii="Arial" w:eastAsia="Arial" w:hAnsi="Arial" w:cs="Arial"/>
          <w:sz w:val="21"/>
          <w:szCs w:val="21"/>
          <w:lang w:val="es-ES_tradnl" w:eastAsia="es-ES" w:bidi="es-ES"/>
        </w:rPr>
        <w:lastRenderedPageBreak/>
        <w:t>delimitada en su estructura, elementos y régimen jurídico, han sido dubitativas al vincular o no las obligaciones propias de dichos convenios con las de los contratos estatales sometidos al EGCAP, las cuales tienen por objeto prestaciones patrimoniales.</w:t>
      </w:r>
      <w:r w:rsidRPr="00535D23">
        <w:rPr>
          <w:rFonts w:ascii="Arial" w:eastAsia="Calibri" w:hAnsi="Arial" w:cs="Arial"/>
          <w:sz w:val="21"/>
          <w:szCs w:val="21"/>
          <w:lang w:val="es-ES" w:eastAsia="en-US"/>
        </w:rPr>
        <w:t>»</w:t>
      </w:r>
      <w:r w:rsidRPr="00535D23">
        <w:rPr>
          <w:rFonts w:ascii="Arial" w:eastAsia="Arial" w:hAnsi="Arial" w:cs="Arial"/>
          <w:sz w:val="21"/>
          <w:szCs w:val="21"/>
          <w:vertAlign w:val="superscript"/>
          <w:lang w:val="es-ES_tradnl" w:eastAsia="es-ES" w:bidi="es-ES"/>
        </w:rPr>
        <w:footnoteReference w:id="31"/>
      </w:r>
      <w:r w:rsidRPr="00535D23">
        <w:rPr>
          <w:rFonts w:ascii="Arial" w:eastAsia="Calibri" w:hAnsi="Arial" w:cs="Arial"/>
          <w:sz w:val="21"/>
          <w:szCs w:val="21"/>
          <w:vertAlign w:val="superscript"/>
          <w:lang w:val="es-ES" w:eastAsia="en-US"/>
        </w:rPr>
        <w:t>-</w:t>
      </w:r>
      <w:r w:rsidRPr="00535D23">
        <w:rPr>
          <w:rFonts w:ascii="Arial" w:eastAsia="Arial" w:hAnsi="Arial" w:cs="Arial"/>
          <w:sz w:val="21"/>
          <w:szCs w:val="21"/>
          <w:vertAlign w:val="superscript"/>
          <w:lang w:val="es-ES_tradnl" w:eastAsia="es-ES" w:bidi="es-ES"/>
        </w:rPr>
        <w:footnoteReference w:id="32"/>
      </w:r>
    </w:p>
    <w:p w14:paraId="05BDC248" w14:textId="77777777" w:rsidR="00535D23" w:rsidRPr="00535D23" w:rsidRDefault="00535D23" w:rsidP="00535D23">
      <w:pPr>
        <w:widowControl w:val="0"/>
        <w:autoSpaceDE w:val="0"/>
        <w:autoSpaceDN w:val="0"/>
        <w:spacing w:line="276" w:lineRule="auto"/>
        <w:jc w:val="both"/>
        <w:rPr>
          <w:rFonts w:ascii="Arial" w:eastAsia="Arial" w:hAnsi="Arial" w:cs="Arial"/>
          <w:sz w:val="22"/>
          <w:szCs w:val="22"/>
          <w:lang w:val="es-ES" w:eastAsia="es-ES" w:bidi="es-ES"/>
        </w:rPr>
      </w:pPr>
    </w:p>
    <w:p w14:paraId="5BD307F7" w14:textId="5E0CF18C" w:rsidR="00535D23" w:rsidRPr="00535D23" w:rsidRDefault="00535D23" w:rsidP="00535D23">
      <w:pPr>
        <w:widowControl w:val="0"/>
        <w:autoSpaceDE w:val="0"/>
        <w:autoSpaceDN w:val="0"/>
        <w:spacing w:after="120" w:line="276" w:lineRule="auto"/>
        <w:jc w:val="both"/>
        <w:rPr>
          <w:rFonts w:ascii="Arial" w:eastAsia="Arial" w:hAnsi="Arial" w:cs="Arial"/>
          <w:sz w:val="22"/>
          <w:szCs w:val="22"/>
          <w:lang w:val="es-ES" w:eastAsia="es-ES" w:bidi="es-ES"/>
        </w:rPr>
      </w:pPr>
      <w:r w:rsidRPr="00535D23">
        <w:rPr>
          <w:rFonts w:ascii="Arial" w:eastAsia="Arial" w:hAnsi="Arial" w:cs="Arial"/>
          <w:sz w:val="22"/>
          <w:szCs w:val="22"/>
          <w:lang w:val="es-ES" w:eastAsia="es-ES" w:bidi="es-ES"/>
        </w:rPr>
        <w:tab/>
        <w:t>Sin perjuicio de lo indicado, vale la pena reiterar que el ordenamiento jurídico</w:t>
      </w:r>
      <w:r w:rsidR="00EF00E7">
        <w:rPr>
          <w:rFonts w:ascii="Arial" w:eastAsia="Arial" w:hAnsi="Arial" w:cs="Arial"/>
          <w:sz w:val="22"/>
          <w:szCs w:val="22"/>
          <w:lang w:val="es-ES" w:eastAsia="es-ES" w:bidi="es-ES"/>
        </w:rPr>
        <w:t xml:space="preserve"> </w:t>
      </w:r>
      <w:r w:rsidRPr="00535D23">
        <w:rPr>
          <w:rFonts w:ascii="Arial" w:eastAsia="Arial" w:hAnsi="Arial" w:cs="Arial"/>
          <w:sz w:val="22"/>
          <w:szCs w:val="22"/>
          <w:lang w:val="es-ES" w:eastAsia="es-ES" w:bidi="es-ES"/>
        </w:rPr>
        <w:t>en distintas ocasiones utiliza de forma indistinta los conceptos de contrato o convenio para referirse a la misma institución jurídica</w:t>
      </w:r>
      <w:r w:rsidRPr="00535D23">
        <w:rPr>
          <w:rFonts w:ascii="Arial" w:eastAsia="Arial" w:hAnsi="Arial" w:cs="Arial"/>
          <w:sz w:val="22"/>
          <w:szCs w:val="22"/>
          <w:vertAlign w:val="superscript"/>
          <w:lang w:val="es-ES" w:eastAsia="es-ES" w:bidi="es-ES"/>
        </w:rPr>
        <w:footnoteReference w:id="33"/>
      </w:r>
      <w:r w:rsidRPr="00535D23">
        <w:rPr>
          <w:rFonts w:ascii="Arial" w:eastAsia="Arial" w:hAnsi="Arial" w:cs="Arial"/>
          <w:sz w:val="22"/>
          <w:szCs w:val="22"/>
          <w:lang w:val="es-ES" w:eastAsia="es-ES" w:bidi="es-ES"/>
        </w:rPr>
        <w:t>. Incluso la Corte Constitucional explica la posibilidad de celebrar convenios interadministrativos de forma directa, con fundamento en la causal establecida en la Ley 1150 de 2007 respecto a los contratos interadministrativos</w:t>
      </w:r>
      <w:r w:rsidRPr="00535D23">
        <w:rPr>
          <w:rFonts w:ascii="Arial" w:eastAsia="Arial" w:hAnsi="Arial" w:cs="Arial"/>
          <w:sz w:val="22"/>
          <w:szCs w:val="22"/>
          <w:vertAlign w:val="superscript"/>
          <w:lang w:val="es-ES" w:eastAsia="es-ES" w:bidi="es-ES"/>
        </w:rPr>
        <w:footnoteReference w:id="34"/>
      </w:r>
      <w:r w:rsidRPr="00535D23">
        <w:rPr>
          <w:rFonts w:ascii="Arial" w:eastAsia="Arial" w:hAnsi="Arial" w:cs="Arial"/>
          <w:sz w:val="22"/>
          <w:szCs w:val="22"/>
          <w:lang w:val="es-ES" w:eastAsia="es-ES" w:bidi="es-ES"/>
        </w:rPr>
        <w:t>.</w:t>
      </w:r>
    </w:p>
    <w:p w14:paraId="49E57755" w14:textId="77777777" w:rsidR="00535D23" w:rsidRPr="00535D23" w:rsidRDefault="00535D23" w:rsidP="00535D23">
      <w:pPr>
        <w:widowControl w:val="0"/>
        <w:autoSpaceDE w:val="0"/>
        <w:autoSpaceDN w:val="0"/>
        <w:spacing w:line="276" w:lineRule="auto"/>
        <w:jc w:val="both"/>
        <w:rPr>
          <w:rFonts w:ascii="Arial" w:eastAsia="Arial" w:hAnsi="Arial" w:cs="Arial"/>
          <w:sz w:val="22"/>
          <w:szCs w:val="22"/>
          <w:lang w:val="es-ES" w:eastAsia="es-ES" w:bidi="es-ES"/>
        </w:rPr>
      </w:pPr>
      <w:r w:rsidRPr="00535D23">
        <w:rPr>
          <w:rFonts w:ascii="Arial" w:eastAsia="Arial" w:hAnsi="Arial" w:cs="Arial"/>
          <w:sz w:val="22"/>
          <w:szCs w:val="22"/>
          <w:lang w:val="es-ES" w:eastAsia="es-ES" w:bidi="es-ES"/>
        </w:rPr>
        <w:tab/>
        <w:t xml:space="preserve">En desarrollo de lo anterior, vale la pena destacar que la Circular Externa Única de Colombia Compra Eficiente, pese a reconocer que se han realizado algunas distinciones jurisprudenciales en torno a los contratos y convenios interadministrativos, relacionados con el alcance de las obligaciones que los caracterizan, señala que no existe una definición legal que diferencie los conceptos de convenio o de contrato. En tal sentido, de acuerdo con las consideraciones expuestas en este numeral los asimila para efectos de aplicar las disposiciones que tangencialmente se refieren a uno u otro vocablo, por ejemplo, lo que resulta bastante relevante para este concepto, para la aplicación de la Ley de Garantías. </w:t>
      </w:r>
      <w:r w:rsidRPr="00535D23">
        <w:rPr>
          <w:rFonts w:ascii="Arial" w:eastAsia="Arial" w:hAnsi="Arial" w:cs="Arial"/>
          <w:sz w:val="22"/>
          <w:szCs w:val="22"/>
          <w:lang w:val="es-ES" w:eastAsia="es-ES" w:bidi="es-ES"/>
        </w:rPr>
        <w:lastRenderedPageBreak/>
        <w:t>En este sentido, la Circular, refiriéndose al parágrafo del artículo 38 de la Ley 996 de 2005, expresa:</w:t>
      </w:r>
    </w:p>
    <w:p w14:paraId="031FC13D" w14:textId="77777777" w:rsidR="00535D23" w:rsidRPr="00535D23" w:rsidRDefault="00535D23" w:rsidP="00535D23">
      <w:pPr>
        <w:widowControl w:val="0"/>
        <w:autoSpaceDE w:val="0"/>
        <w:autoSpaceDN w:val="0"/>
        <w:spacing w:line="276" w:lineRule="auto"/>
        <w:jc w:val="both"/>
        <w:rPr>
          <w:rFonts w:ascii="Arial" w:eastAsia="Arial" w:hAnsi="Arial" w:cs="Arial"/>
          <w:sz w:val="22"/>
          <w:szCs w:val="22"/>
          <w:lang w:val="es-ES" w:eastAsia="es-ES" w:bidi="es-ES"/>
        </w:rPr>
      </w:pPr>
    </w:p>
    <w:p w14:paraId="7444EDF7" w14:textId="77777777" w:rsidR="00535D23" w:rsidRPr="00535D23" w:rsidRDefault="00535D23" w:rsidP="00535D23">
      <w:pPr>
        <w:spacing w:after="120"/>
        <w:ind w:left="709" w:right="709"/>
        <w:jc w:val="both"/>
        <w:rPr>
          <w:rFonts w:ascii="Arial" w:eastAsia="Calibri" w:hAnsi="Arial" w:cs="Arial"/>
          <w:sz w:val="21"/>
          <w:szCs w:val="21"/>
          <w:lang w:val="es-MX" w:eastAsia="en-US"/>
        </w:rPr>
      </w:pPr>
      <w:r w:rsidRPr="00535D23">
        <w:rPr>
          <w:rFonts w:ascii="Arial" w:eastAsia="Calibri" w:hAnsi="Arial" w:cs="Arial"/>
          <w:sz w:val="21"/>
          <w:szCs w:val="21"/>
          <w:lang w:val="es-ES" w:eastAsia="en-US"/>
        </w:rPr>
        <w:t>«</w:t>
      </w:r>
      <w:r w:rsidRPr="00535D23">
        <w:rPr>
          <w:rFonts w:ascii="Arial" w:eastAsia="Calibri" w:hAnsi="Arial" w:cs="Arial"/>
          <w:sz w:val="21"/>
          <w:szCs w:val="21"/>
          <w:lang w:val="es-ES_tradnl" w:eastAsia="en-US"/>
        </w:rPr>
        <w:t xml:space="preserve">Esta restricción es aplicable tanto a los convenios como a los contratos interadministrativos. Toda vez que, al no existir definición legal que diferencie el concepto de convenio del concepto de contrato, la denominación prevista por la Ley 80 de 1993 y la Ley 1150 de 2007 </w:t>
      </w:r>
      <w:r w:rsidRPr="00535D23">
        <w:rPr>
          <w:rFonts w:ascii="Arial" w:eastAsia="Calibri" w:hAnsi="Arial" w:cs="Arial"/>
          <w:sz w:val="21"/>
          <w:szCs w:val="21"/>
          <w:lang w:val="es-MX" w:eastAsia="en-US"/>
        </w:rPr>
        <w:t xml:space="preserve">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w:t>
      </w:r>
    </w:p>
    <w:p w14:paraId="136A0E67" w14:textId="77777777" w:rsidR="00535D23" w:rsidRPr="00535D23" w:rsidRDefault="00535D23" w:rsidP="00535D23">
      <w:pPr>
        <w:spacing w:after="120"/>
        <w:ind w:left="709" w:right="709"/>
        <w:jc w:val="both"/>
        <w:rPr>
          <w:rFonts w:ascii="Arial" w:eastAsia="Calibri" w:hAnsi="Arial" w:cs="Arial"/>
          <w:sz w:val="21"/>
          <w:szCs w:val="21"/>
          <w:lang w:val="es-MX" w:eastAsia="en-US"/>
        </w:rPr>
      </w:pPr>
      <w:r w:rsidRPr="00535D23">
        <w:rPr>
          <w:rFonts w:ascii="Arial" w:eastAsia="Calibri" w:hAnsi="Arial" w:cs="Arial"/>
          <w:sz w:val="21"/>
          <w:szCs w:val="21"/>
          <w:lang w:val="es-MX" w:eastAsia="en-US"/>
        </w:rPr>
        <w:t>No obstante, por vía jurisprudencial se ha establecido que en los contratos interadministrativos existe una contraprestación directa a favor de la entidad que ha entregado el bien o prestado el servicio a la Entidad contratante, habilitado para ello por su objeto legal como entidad ejecutora, como quiera que las obligaciones asignadas legalmente a aquella entidad pública están directamente relacionadas con el objeto contractual. Por su parte, en los convenios interadministrativos las entidades se asocian con el fin de cooperar en el cumplimiento de funciones administrativas o de prestar conjuntamente servicios que se hallen a su cargo, sin que exista una contraprestación para ninguna de las entidades ni la prestación de un servicio a cargo de alguna de ellas y en favor de la otra parte del convenio.</w:t>
      </w:r>
    </w:p>
    <w:p w14:paraId="66B73E96" w14:textId="77777777" w:rsidR="00535D23" w:rsidRPr="00535D23" w:rsidRDefault="00535D23" w:rsidP="00535D23">
      <w:pPr>
        <w:ind w:left="709" w:right="709"/>
        <w:jc w:val="both"/>
        <w:rPr>
          <w:rFonts w:ascii="Calibri" w:eastAsia="Calibri" w:hAnsi="Calibri"/>
          <w:szCs w:val="22"/>
          <w:vertAlign w:val="superscript"/>
          <w:lang w:val="es-MX" w:eastAsia="en-US"/>
        </w:rPr>
      </w:pPr>
      <w:r w:rsidRPr="00535D23">
        <w:rPr>
          <w:rFonts w:ascii="Arial" w:eastAsia="Calibri" w:hAnsi="Arial" w:cs="Arial"/>
          <w:sz w:val="21"/>
          <w:szCs w:val="21"/>
          <w:lang w:val="es-MX" w:eastAsia="en-US"/>
        </w:rPr>
        <w:t>En el contexto de la Ley de Garantías, las restricciones además de propender por la igualdad de los candidatos están encaminadas a evitar que por medio de la contratación se altere la voluntad popular, lo cual se puede lograr a través de contratos o convenios.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r w:rsidRPr="00535D23">
        <w:rPr>
          <w:rFonts w:ascii="Arial" w:eastAsia="Calibri" w:hAnsi="Arial" w:cs="Arial"/>
          <w:sz w:val="21"/>
          <w:szCs w:val="21"/>
          <w:lang w:val="es-ES" w:eastAsia="en-US"/>
        </w:rPr>
        <w:t>»</w:t>
      </w:r>
    </w:p>
    <w:p w14:paraId="1EE8F109" w14:textId="77777777" w:rsidR="00535D23" w:rsidRPr="00535D23" w:rsidRDefault="00535D23" w:rsidP="00535D23">
      <w:pPr>
        <w:widowControl w:val="0"/>
        <w:autoSpaceDE w:val="0"/>
        <w:autoSpaceDN w:val="0"/>
        <w:spacing w:before="3" w:line="276" w:lineRule="auto"/>
        <w:jc w:val="both"/>
        <w:rPr>
          <w:rFonts w:ascii="Arial" w:eastAsia="Arial" w:hAnsi="Arial" w:cs="Arial"/>
          <w:sz w:val="25"/>
          <w:szCs w:val="22"/>
          <w:lang w:val="es-ES" w:eastAsia="es-ES" w:bidi="es-ES"/>
        </w:rPr>
      </w:pPr>
    </w:p>
    <w:p w14:paraId="6973B95D" w14:textId="77777777" w:rsidR="00535D23" w:rsidRPr="00535D23" w:rsidRDefault="00535D23" w:rsidP="00535D23">
      <w:pPr>
        <w:widowControl w:val="0"/>
        <w:shd w:val="clear" w:color="auto" w:fill="FFFFFF"/>
        <w:autoSpaceDE w:val="0"/>
        <w:autoSpaceDN w:val="0"/>
        <w:spacing w:after="120" w:line="276" w:lineRule="auto"/>
        <w:jc w:val="both"/>
        <w:rPr>
          <w:rFonts w:ascii="Arial" w:eastAsia="Calibri" w:hAnsi="Arial" w:cs="Arial"/>
          <w:bCs/>
          <w:sz w:val="22"/>
          <w:szCs w:val="22"/>
          <w:lang w:eastAsia="es-ES" w:bidi="es-ES"/>
        </w:rPr>
      </w:pPr>
      <w:r w:rsidRPr="00535D23">
        <w:rPr>
          <w:rFonts w:ascii="Arial" w:eastAsia="Arial" w:hAnsi="Arial" w:cs="Arial"/>
          <w:sz w:val="25"/>
          <w:szCs w:val="22"/>
          <w:lang w:val="es-ES" w:eastAsia="es-ES" w:bidi="es-ES"/>
        </w:rPr>
        <w:tab/>
      </w:r>
      <w:r w:rsidRPr="00535D23">
        <w:rPr>
          <w:rFonts w:ascii="Arial" w:eastAsia="Arial" w:hAnsi="Arial" w:cs="Arial"/>
          <w:sz w:val="22"/>
          <w:szCs w:val="22"/>
          <w:lang w:val="es-ES" w:eastAsia="es-ES" w:bidi="es-ES"/>
        </w:rPr>
        <w:t>Teniendo en cuenta lo anterior, se reitera la conclusión en el sentido de que lo que define los contratos o convenios interadministrativos es la naturaleza de las partes, de manera que están determinados por un criterio orgánico, en el sentido de que lo serán aquellos celebrados entre entidades estatales. Además, como se indicó en la Circular citada, no existe una definición legal que diferencie los conceptos de contrato y convenio, por lo que se asimilaron para la aplicación de la Ley de Garantías. En tal sentido, las referencias realizadas por el legislador a estos términos deben asimilarse, salvo que de su contenido se logre inferir que se le quiere otorgar un contenido en particular, pues como se expresó, el legislador utiliza estos conceptos de forma indistinta.</w:t>
      </w:r>
      <w:bookmarkEnd w:id="16"/>
    </w:p>
    <w:p w14:paraId="7C168F4E" w14:textId="478B5936" w:rsidR="00EF00E7" w:rsidRPr="00535D23" w:rsidRDefault="00EF00E7" w:rsidP="00535D23">
      <w:pPr>
        <w:shd w:val="clear" w:color="auto" w:fill="FFFFFF"/>
        <w:tabs>
          <w:tab w:val="left" w:pos="426"/>
        </w:tabs>
        <w:spacing w:after="120" w:line="276" w:lineRule="auto"/>
        <w:ind w:firstLine="709"/>
        <w:jc w:val="both"/>
        <w:rPr>
          <w:rFonts w:ascii="Arial" w:eastAsia="Calibri" w:hAnsi="Arial" w:cs="Arial"/>
          <w:bCs/>
          <w:sz w:val="22"/>
          <w:szCs w:val="22"/>
          <w:lang w:val="es-MX" w:eastAsia="es-CO"/>
        </w:rPr>
      </w:pPr>
      <w:r w:rsidRPr="00097A6E">
        <w:rPr>
          <w:rFonts w:ascii="Arial" w:hAnsi="Arial" w:cs="Arial"/>
          <w:bCs/>
          <w:sz w:val="22"/>
          <w:szCs w:val="22"/>
          <w:lang w:val="es-ES_tradnl" w:eastAsia="es-CO"/>
        </w:rPr>
        <w:t xml:space="preserve">Se observa entonces que el parágrafo del artículo 38 de la Ley 996 de 2005 prohíbe a los alcaldes, gobernadores, secretarios, gerentes y directores de las entidades del orden municipal, departamental o distrital celebrar convenios y contratos interadministrativos para </w:t>
      </w:r>
      <w:r w:rsidRPr="00097A6E">
        <w:rPr>
          <w:rFonts w:ascii="Arial" w:hAnsi="Arial" w:cs="Arial"/>
          <w:bCs/>
          <w:sz w:val="22"/>
          <w:szCs w:val="22"/>
          <w:lang w:val="es-ES_tradnl" w:eastAsia="es-CO"/>
        </w:rPr>
        <w:lastRenderedPageBreak/>
        <w:t xml:space="preserve">la ejecución de recursos públicos. En este sentido, si una o ambas partes de la relación contractual es una entidad de aquellas descritas en el parágrafo </w:t>
      </w:r>
      <w:r w:rsidRPr="00097A6E">
        <w:rPr>
          <w:rFonts w:ascii="Arial" w:hAnsi="Arial" w:cs="Arial"/>
          <w:bCs/>
          <w:i/>
          <w:iCs/>
          <w:sz w:val="22"/>
          <w:szCs w:val="22"/>
          <w:lang w:val="es-ES_tradnl" w:eastAsia="es-CO"/>
        </w:rPr>
        <w:t>ibidem</w:t>
      </w:r>
      <w:r w:rsidRPr="00097A6E">
        <w:rPr>
          <w:rFonts w:ascii="Arial" w:hAnsi="Arial" w:cs="Arial"/>
          <w:bCs/>
          <w:sz w:val="22"/>
          <w:szCs w:val="22"/>
          <w:lang w:val="es-ES_tradnl" w:eastAsia="es-CO"/>
        </w:rPr>
        <w:t xml:space="preserve">, no podrá celebrar tales convenios o contratos durante la aplicación de la ley de garantías, toda vez que la citada disposición hace </w:t>
      </w:r>
      <w:r w:rsidRPr="00AA6559">
        <w:rPr>
          <w:rFonts w:ascii="Arial" w:hAnsi="Arial" w:cs="Arial"/>
          <w:bCs/>
          <w:sz w:val="22"/>
          <w:szCs w:val="22"/>
          <w:lang w:val="es-ES_tradnl" w:eastAsia="es-CO"/>
        </w:rPr>
        <w:t>referencia a dicha tipología contractual sin que el legislador hubiere contemplado excepción alguna frente a la modalidad de selección o naturaleza de su objeto</w:t>
      </w:r>
      <w:r>
        <w:rPr>
          <w:rFonts w:ascii="Arial" w:hAnsi="Arial" w:cs="Arial"/>
          <w:bCs/>
          <w:sz w:val="22"/>
          <w:szCs w:val="22"/>
          <w:lang w:val="es-ES_tradnl" w:eastAsia="es-CO"/>
        </w:rPr>
        <w:t>.</w:t>
      </w:r>
    </w:p>
    <w:p w14:paraId="5CA93B4D" w14:textId="67C00506" w:rsidR="009D581C" w:rsidRDefault="009D581C" w:rsidP="00751C77">
      <w:pPr>
        <w:shd w:val="clear" w:color="auto" w:fill="FFFFFF"/>
        <w:tabs>
          <w:tab w:val="left" w:pos="426"/>
        </w:tabs>
        <w:spacing w:line="276" w:lineRule="auto"/>
        <w:ind w:firstLine="709"/>
        <w:jc w:val="both"/>
        <w:rPr>
          <w:rFonts w:ascii="Arial" w:eastAsia="Arial" w:hAnsi="Arial" w:cs="Arial"/>
          <w:sz w:val="22"/>
          <w:szCs w:val="22"/>
          <w:lang w:val="es-ES" w:eastAsia="es-ES" w:bidi="es-ES"/>
        </w:rPr>
      </w:pPr>
    </w:p>
    <w:p w14:paraId="65E466DE" w14:textId="73F4B9F1" w:rsidR="00227007" w:rsidRDefault="00227007" w:rsidP="00751C77">
      <w:pPr>
        <w:shd w:val="clear" w:color="auto" w:fill="FFFFFF"/>
        <w:tabs>
          <w:tab w:val="left" w:pos="426"/>
        </w:tabs>
        <w:spacing w:line="276" w:lineRule="auto"/>
        <w:jc w:val="both"/>
        <w:rPr>
          <w:rFonts w:ascii="Arial" w:eastAsia="Arial" w:hAnsi="Arial" w:cs="Arial"/>
          <w:b/>
          <w:bCs/>
          <w:sz w:val="22"/>
          <w:szCs w:val="22"/>
          <w:lang w:val="es-ES" w:eastAsia="es-ES" w:bidi="es-ES"/>
        </w:rPr>
      </w:pPr>
      <w:r>
        <w:rPr>
          <w:rFonts w:ascii="Arial" w:eastAsia="Arial" w:hAnsi="Arial" w:cs="Arial"/>
          <w:b/>
          <w:bCs/>
          <w:sz w:val="22"/>
          <w:szCs w:val="22"/>
          <w:lang w:val="es-ES" w:eastAsia="es-ES" w:bidi="es-ES"/>
        </w:rPr>
        <w:t xml:space="preserve">2.4. </w:t>
      </w:r>
      <w:r w:rsidR="009D581C">
        <w:rPr>
          <w:rFonts w:ascii="Arial" w:eastAsia="Arial" w:hAnsi="Arial" w:cs="Arial"/>
          <w:b/>
          <w:bCs/>
          <w:sz w:val="22"/>
          <w:szCs w:val="22"/>
          <w:lang w:val="es-ES" w:eastAsia="es-ES" w:bidi="es-ES"/>
        </w:rPr>
        <w:t>R</w:t>
      </w:r>
      <w:r>
        <w:rPr>
          <w:rFonts w:ascii="Arial" w:eastAsia="Arial" w:hAnsi="Arial" w:cs="Arial"/>
          <w:b/>
          <w:bCs/>
          <w:sz w:val="22"/>
          <w:szCs w:val="22"/>
          <w:lang w:val="es-ES" w:eastAsia="es-ES" w:bidi="es-ES"/>
        </w:rPr>
        <w:t>estricciones de la Ley de Garantías en los contratos de colaboración y convenios de asociación</w:t>
      </w:r>
      <w:r w:rsidR="009D581C">
        <w:rPr>
          <w:rFonts w:ascii="Arial" w:eastAsia="Arial" w:hAnsi="Arial" w:cs="Arial"/>
          <w:b/>
          <w:bCs/>
          <w:sz w:val="22"/>
          <w:szCs w:val="22"/>
          <w:lang w:val="es-ES" w:eastAsia="es-ES" w:bidi="es-ES"/>
        </w:rPr>
        <w:t xml:space="preserve"> de que trata el Decreto 092 de 2017 relacionado con la contratación con entidades privadas sin ánimo de lucro</w:t>
      </w:r>
    </w:p>
    <w:p w14:paraId="6BA969A6" w14:textId="77777777" w:rsidR="009D581C" w:rsidRPr="00535D23" w:rsidRDefault="009D581C" w:rsidP="00751C77">
      <w:pPr>
        <w:shd w:val="clear" w:color="auto" w:fill="FFFFFF"/>
        <w:tabs>
          <w:tab w:val="left" w:pos="426"/>
        </w:tabs>
        <w:spacing w:line="276" w:lineRule="auto"/>
        <w:jc w:val="both"/>
        <w:rPr>
          <w:rFonts w:ascii="Arial" w:eastAsia="Arial" w:hAnsi="Arial" w:cs="Arial"/>
          <w:b/>
          <w:bCs/>
          <w:sz w:val="22"/>
          <w:szCs w:val="22"/>
          <w:lang w:val="es-ES" w:eastAsia="es-ES" w:bidi="es-ES"/>
        </w:rPr>
      </w:pPr>
    </w:p>
    <w:p w14:paraId="5478BF59" w14:textId="77777777" w:rsidR="00227007" w:rsidRPr="00910945" w:rsidRDefault="00227007" w:rsidP="00227007">
      <w:pPr>
        <w:spacing w:after="120" w:line="276" w:lineRule="auto"/>
        <w:jc w:val="both"/>
        <w:rPr>
          <w:rFonts w:ascii="Arial" w:hAnsi="Arial" w:cs="Arial"/>
          <w:color w:val="000000" w:themeColor="text1"/>
          <w:sz w:val="22"/>
          <w:szCs w:val="22"/>
          <w:lang w:val="es-MX"/>
        </w:rPr>
      </w:pPr>
      <w:r w:rsidRPr="00910945">
        <w:rPr>
          <w:rFonts w:ascii="Arial" w:hAnsi="Arial" w:cs="Arial"/>
          <w:color w:val="000000" w:themeColor="text1"/>
          <w:sz w:val="22"/>
          <w:szCs w:val="22"/>
          <w:lang w:val="es-MX"/>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entidades privadas sin ánimo de lucro –ESAL– con el fin de impulsar programas y actividades de interés público acordes con el plan nacional y los planes seccionales de desarrollo</w:t>
      </w:r>
      <w:r w:rsidRPr="00910945">
        <w:rPr>
          <w:rFonts w:ascii="Arial" w:hAnsi="Arial" w:cs="Arial"/>
          <w:color w:val="000000" w:themeColor="text1"/>
          <w:sz w:val="22"/>
          <w:szCs w:val="22"/>
          <w:vertAlign w:val="superscript"/>
          <w:lang w:val="es-MX"/>
        </w:rPr>
        <w:footnoteReference w:id="35"/>
      </w:r>
      <w:r w:rsidRPr="00910945">
        <w:rPr>
          <w:rFonts w:ascii="Arial" w:hAnsi="Arial" w:cs="Arial"/>
          <w:color w:val="000000" w:themeColor="text1"/>
          <w:sz w:val="22"/>
          <w:szCs w:val="22"/>
          <w:lang w:val="es-MX"/>
        </w:rPr>
        <w:t xml:space="preserve">. </w:t>
      </w:r>
      <w:r w:rsidRPr="00910945">
        <w:rPr>
          <w:rFonts w:ascii="Arial" w:eastAsia="Calibri" w:hAnsi="Arial" w:cs="Arial"/>
          <w:color w:val="000000" w:themeColor="text1"/>
          <w:sz w:val="22"/>
          <w:szCs w:val="22"/>
          <w:lang w:val="es-MX"/>
        </w:rPr>
        <w:t>Por otra parte, la Ley 489 de 1998, en el artículo 96, permite a las entidades públicas en general, es decir, cualquiera sea su naturaleza y orden administrativo, asociarse con personas jurídicas particulares, mediante la celebración de convenios de asociación o la creación de personas jurídicas</w:t>
      </w:r>
      <w:r w:rsidRPr="00910945">
        <w:rPr>
          <w:rFonts w:ascii="Arial" w:eastAsia="Calibri" w:hAnsi="Arial" w:cs="Arial"/>
          <w:color w:val="000000" w:themeColor="text1"/>
          <w:sz w:val="22"/>
          <w:szCs w:val="22"/>
          <w:vertAlign w:val="superscript"/>
          <w:lang w:val="es-MX"/>
        </w:rPr>
        <w:footnoteReference w:id="36"/>
      </w:r>
      <w:r w:rsidRPr="00910945">
        <w:rPr>
          <w:rFonts w:ascii="Arial" w:eastAsia="Calibri" w:hAnsi="Arial" w:cs="Arial"/>
          <w:color w:val="000000" w:themeColor="text1"/>
          <w:sz w:val="22"/>
          <w:szCs w:val="22"/>
          <w:lang w:val="es-MX"/>
        </w:rPr>
        <w:t>. Ambas figuras tienen como fin desarrollar conjuntamente actividades relacionadas con los cometidos y funciones legales asignadas a la entidad.</w:t>
      </w:r>
    </w:p>
    <w:p w14:paraId="3751963E" w14:textId="20401A4B" w:rsidR="00227007" w:rsidRPr="00910945" w:rsidRDefault="00227007" w:rsidP="00227007">
      <w:pPr>
        <w:spacing w:after="120" w:line="276" w:lineRule="auto"/>
        <w:ind w:firstLine="708"/>
        <w:jc w:val="both"/>
        <w:rPr>
          <w:rFonts w:ascii="Arial" w:eastAsia="Calibri" w:hAnsi="Arial" w:cs="Arial"/>
          <w:color w:val="000000" w:themeColor="text1"/>
          <w:sz w:val="22"/>
          <w:szCs w:val="22"/>
          <w:lang w:val="es-MX"/>
        </w:rPr>
      </w:pPr>
      <w:r w:rsidRPr="00910945">
        <w:rPr>
          <w:rFonts w:ascii="Arial" w:hAnsi="Arial" w:cs="Arial"/>
          <w:color w:val="000000" w:themeColor="text1"/>
          <w:sz w:val="22"/>
          <w:szCs w:val="22"/>
          <w:lang w:val="es-MX"/>
        </w:rPr>
        <w:t xml:space="preserve">En desarrollo del artículo 355 de la Constitución, el Gobierno Nacional expidió el Decreto </w:t>
      </w:r>
      <w:r w:rsidR="00114161">
        <w:rPr>
          <w:rFonts w:ascii="Arial" w:hAnsi="Arial" w:cs="Arial"/>
          <w:color w:val="000000" w:themeColor="text1"/>
          <w:sz w:val="22"/>
          <w:szCs w:val="22"/>
          <w:lang w:val="es-MX"/>
        </w:rPr>
        <w:t>0</w:t>
      </w:r>
      <w:r w:rsidRPr="00910945">
        <w:rPr>
          <w:rFonts w:ascii="Arial" w:hAnsi="Arial" w:cs="Arial"/>
          <w:color w:val="000000" w:themeColor="text1"/>
          <w:sz w:val="22"/>
          <w:szCs w:val="22"/>
          <w:lang w:val="es-MX"/>
        </w:rPr>
        <w:t>92 de 2017, q</w:t>
      </w:r>
      <w:r w:rsidRPr="00910945">
        <w:rPr>
          <w:rFonts w:ascii="Arial" w:eastAsia="Calibri" w:hAnsi="Arial" w:cs="Arial"/>
          <w:color w:val="000000" w:themeColor="text1"/>
          <w:sz w:val="22"/>
          <w:szCs w:val="22"/>
          <w:lang w:val="es-MX"/>
        </w:rPr>
        <w:t xml:space="preserve">ue dispone las reglas para las contrataciones que realicen las entidades estatales con las ESAL. El Decreto regula dos eventos: i) los </w:t>
      </w:r>
      <w:r w:rsidRPr="00910945">
        <w:rPr>
          <w:rFonts w:ascii="Arial" w:eastAsia="Calibri" w:hAnsi="Arial" w:cs="Arial"/>
          <w:i/>
          <w:iCs/>
          <w:color w:val="000000" w:themeColor="text1"/>
          <w:sz w:val="22"/>
          <w:szCs w:val="22"/>
          <w:lang w:val="es-MX"/>
        </w:rPr>
        <w:t>contratos de colaboración</w:t>
      </w:r>
      <w:r w:rsidRPr="00910945">
        <w:rPr>
          <w:rFonts w:ascii="Arial" w:eastAsia="Calibri" w:hAnsi="Arial" w:cs="Arial"/>
          <w:color w:val="000000" w:themeColor="text1"/>
          <w:sz w:val="22"/>
          <w:szCs w:val="22"/>
          <w:lang w:val="es-MX"/>
        </w:rPr>
        <w:t xml:space="preserve"> o de interés público, con el fin impulsar programas y actividades de interés público de acuerdo con el Plan Nacional o los planes seccionales de desarrollo, en los términos del artículo 355 de la Constitución Política; y ii) los </w:t>
      </w:r>
      <w:r w:rsidRPr="00910945">
        <w:rPr>
          <w:rFonts w:ascii="Arial" w:eastAsia="Calibri" w:hAnsi="Arial" w:cs="Arial"/>
          <w:i/>
          <w:iCs/>
          <w:color w:val="000000" w:themeColor="text1"/>
          <w:sz w:val="22"/>
          <w:szCs w:val="22"/>
          <w:lang w:val="es-MX"/>
        </w:rPr>
        <w:t>convenios de asociación</w:t>
      </w:r>
      <w:r w:rsidRPr="00910945">
        <w:rPr>
          <w:rFonts w:ascii="Arial" w:eastAsia="Calibri" w:hAnsi="Arial" w:cs="Arial"/>
          <w:color w:val="000000" w:themeColor="text1"/>
          <w:sz w:val="22"/>
          <w:szCs w:val="22"/>
          <w:lang w:val="es-MX"/>
        </w:rPr>
        <w:t xml:space="preserve">, para el desarrollo conjunto de actividades relacionadas con las funciones de las entidades estatales, en desarrollo del artículo 96 de la Ley 489 de 1998. Los primeros están regulados en el artículo 2 del Decreto 92 de 2017, mientras que los segundos en los artículos 5, 6, 7 </w:t>
      </w:r>
      <w:r w:rsidRPr="00910945">
        <w:rPr>
          <w:rFonts w:ascii="Arial" w:eastAsia="Calibri" w:hAnsi="Arial" w:cs="Arial"/>
          <w:color w:val="000000" w:themeColor="text1"/>
          <w:sz w:val="22"/>
          <w:szCs w:val="22"/>
          <w:lang w:val="es-MX"/>
        </w:rPr>
        <w:lastRenderedPageBreak/>
        <w:t xml:space="preserve">y 8 </w:t>
      </w:r>
      <w:r w:rsidRPr="00910945">
        <w:rPr>
          <w:rFonts w:ascii="Arial" w:eastAsia="Calibri" w:hAnsi="Arial" w:cs="Arial"/>
          <w:i/>
          <w:iCs/>
          <w:color w:val="000000" w:themeColor="text1"/>
          <w:sz w:val="22"/>
          <w:szCs w:val="22"/>
          <w:lang w:val="es-MX"/>
        </w:rPr>
        <w:t>ibidem</w:t>
      </w:r>
      <w:r w:rsidRPr="00910945">
        <w:rPr>
          <w:rFonts w:ascii="Arial" w:eastAsia="Calibri" w:hAnsi="Arial" w:cs="Arial"/>
          <w:color w:val="000000" w:themeColor="text1"/>
          <w:sz w:val="22"/>
          <w:szCs w:val="22"/>
          <w:lang w:val="es-MX"/>
        </w:rPr>
        <w:t xml:space="preserve">. Es posible diferenciar, pues, los </w:t>
      </w:r>
      <w:r w:rsidRPr="00910945">
        <w:rPr>
          <w:rFonts w:ascii="Arial" w:eastAsia="Calibri" w:hAnsi="Arial" w:cs="Arial"/>
          <w:i/>
          <w:iCs/>
          <w:color w:val="000000" w:themeColor="text1"/>
          <w:sz w:val="22"/>
          <w:szCs w:val="22"/>
          <w:lang w:val="es-MX"/>
        </w:rPr>
        <w:t>convenios de asociación</w:t>
      </w:r>
      <w:r w:rsidRPr="00910945">
        <w:rPr>
          <w:rFonts w:ascii="Arial" w:eastAsia="Calibri" w:hAnsi="Arial" w:cs="Arial"/>
          <w:color w:val="000000" w:themeColor="text1"/>
          <w:sz w:val="22"/>
          <w:szCs w:val="22"/>
          <w:lang w:val="es-MX"/>
        </w:rPr>
        <w:t xml:space="preserve">, regulados en el artículo 5, de los </w:t>
      </w:r>
      <w:r w:rsidRPr="00910945">
        <w:rPr>
          <w:rFonts w:ascii="Arial" w:eastAsia="Calibri" w:hAnsi="Arial" w:cs="Arial"/>
          <w:i/>
          <w:iCs/>
          <w:color w:val="000000" w:themeColor="text1"/>
          <w:sz w:val="22"/>
          <w:szCs w:val="22"/>
          <w:lang w:val="es-MX"/>
        </w:rPr>
        <w:t>contratos de colaboración</w:t>
      </w:r>
      <w:r w:rsidRPr="00910945">
        <w:rPr>
          <w:rFonts w:ascii="Arial" w:eastAsia="Calibri" w:hAnsi="Arial" w:cs="Arial"/>
          <w:color w:val="000000" w:themeColor="text1"/>
          <w:sz w:val="22"/>
          <w:szCs w:val="22"/>
          <w:lang w:val="es-MX"/>
        </w:rPr>
        <w:t>, establecidos en el artículo 2 del Decreto 92 de 2017</w:t>
      </w:r>
      <w:r w:rsidRPr="00910945">
        <w:rPr>
          <w:rFonts w:ascii="Arial" w:eastAsia="Calibri" w:hAnsi="Arial" w:cs="Arial"/>
          <w:color w:val="000000" w:themeColor="text1"/>
          <w:sz w:val="22"/>
          <w:szCs w:val="22"/>
          <w:vertAlign w:val="superscript"/>
          <w:lang w:val="es-MX"/>
        </w:rPr>
        <w:footnoteReference w:id="37"/>
      </w:r>
      <w:r w:rsidRPr="00910945">
        <w:rPr>
          <w:rFonts w:ascii="Arial" w:eastAsia="Calibri" w:hAnsi="Arial" w:cs="Arial"/>
          <w:color w:val="000000" w:themeColor="text1"/>
          <w:sz w:val="22"/>
          <w:szCs w:val="22"/>
          <w:lang w:val="es-MX"/>
        </w:rPr>
        <w:t xml:space="preserve">. </w:t>
      </w:r>
    </w:p>
    <w:p w14:paraId="4FFDAB5A" w14:textId="0E5932E4" w:rsidR="00227007" w:rsidRPr="00910945" w:rsidRDefault="00227007" w:rsidP="00227007">
      <w:pPr>
        <w:spacing w:after="120" w:line="276" w:lineRule="auto"/>
        <w:ind w:firstLine="708"/>
        <w:jc w:val="both"/>
        <w:rPr>
          <w:rFonts w:ascii="Arial" w:eastAsia="Calibri" w:hAnsi="Arial" w:cs="Arial"/>
          <w:color w:val="000000" w:themeColor="text1"/>
          <w:sz w:val="22"/>
          <w:szCs w:val="22"/>
          <w:lang w:val="es-MX"/>
        </w:rPr>
      </w:pPr>
      <w:r w:rsidRPr="00910945">
        <w:rPr>
          <w:rFonts w:ascii="Arial" w:eastAsia="Calibri" w:hAnsi="Arial" w:cs="Arial"/>
          <w:color w:val="000000" w:themeColor="text1"/>
          <w:sz w:val="22"/>
          <w:szCs w:val="22"/>
          <w:lang w:val="es-MX"/>
        </w:rPr>
        <w:t xml:space="preserve">Los </w:t>
      </w:r>
      <w:r w:rsidRPr="00910945">
        <w:rPr>
          <w:rFonts w:ascii="Arial" w:eastAsia="Calibri" w:hAnsi="Arial" w:cs="Arial"/>
          <w:i/>
          <w:iCs/>
          <w:color w:val="000000" w:themeColor="text1"/>
          <w:sz w:val="22"/>
          <w:szCs w:val="22"/>
          <w:lang w:val="es-MX"/>
        </w:rPr>
        <w:t xml:space="preserve">contratos de colaboración </w:t>
      </w:r>
      <w:r w:rsidRPr="00910945">
        <w:rPr>
          <w:rFonts w:ascii="Arial" w:eastAsia="Calibri" w:hAnsi="Arial" w:cs="Arial"/>
          <w:color w:val="000000" w:themeColor="text1"/>
          <w:sz w:val="22"/>
          <w:szCs w:val="22"/>
          <w:lang w:val="es-MX"/>
        </w:rPr>
        <w:t xml:space="preserve">tienen como objeto promover acciones de fomento social en beneficio de los sectores más desprotegidos de la población, previstas en los planes de desarrollo, motivo por el cual no dan lugar a una contraprestación directa a favor de la entidad y tampoco a una relación conmutativa entre esta y la ESAL, toda vez que el beneficio real y directo lo reciben, en últimas, los terceros beneficiarios de este tipo de acciones de fomento. Para celebrar estos contratos, según lo establece el artículo 3 del Decreto </w:t>
      </w:r>
      <w:r w:rsidR="00114161">
        <w:rPr>
          <w:rFonts w:ascii="Arial" w:eastAsia="Calibri" w:hAnsi="Arial" w:cs="Arial"/>
          <w:color w:val="000000" w:themeColor="text1"/>
          <w:sz w:val="22"/>
          <w:szCs w:val="22"/>
          <w:lang w:val="es-MX"/>
        </w:rPr>
        <w:t>0</w:t>
      </w:r>
      <w:r w:rsidRPr="00910945">
        <w:rPr>
          <w:rFonts w:ascii="Arial" w:eastAsia="Calibri" w:hAnsi="Arial" w:cs="Arial"/>
          <w:color w:val="000000" w:themeColor="text1"/>
          <w:sz w:val="22"/>
          <w:szCs w:val="22"/>
          <w:lang w:val="es-MX"/>
        </w:rPr>
        <w:t>92 de 2017, por regla general, la entidad debe adelantar un proceso competitivo para seleccionar la entidad sin ánimo de lucro contratista. En particular, debe verificar el cumplimiento de los siguientes requisitos: i) que el objeto del contrato corresponda a programas y actividades de interés público acordes con el Plan Nacional o Seccional de Desarrollo; y ii) que no haya una contraprestación directa a favor de la entidad estatal, es decir, que el programa o actividad a desarrollar esté dirigido al beneficio de la población en general, ya que cuando se adquieren bienes o servicios o se ejecutan obras, en una relación conmutativa, las normas aplicables son las del Estatuto General de Contratación de la Administración Pública –en adelante EGCAP–. Solo cuando se reúnan estas condiciones, y se cuente con la autorización previa y escrita del representante legal de la entidad estatal, es procedente celebrar contratos de colaboración.</w:t>
      </w:r>
    </w:p>
    <w:p w14:paraId="51A38BF0" w14:textId="77777777" w:rsidR="00227007" w:rsidRPr="00910945" w:rsidRDefault="00227007" w:rsidP="00227007">
      <w:pPr>
        <w:spacing w:after="120" w:line="276" w:lineRule="auto"/>
        <w:ind w:firstLine="708"/>
        <w:jc w:val="both"/>
        <w:rPr>
          <w:rFonts w:ascii="Arial" w:hAnsi="Arial" w:cs="Arial"/>
          <w:color w:val="000000" w:themeColor="text1"/>
          <w:sz w:val="22"/>
          <w:szCs w:val="22"/>
          <w:lang w:val="es-MX"/>
        </w:rPr>
      </w:pPr>
      <w:r w:rsidRPr="00910945">
        <w:rPr>
          <w:rFonts w:ascii="Arial" w:hAnsi="Arial" w:cs="Arial"/>
          <w:color w:val="000000" w:themeColor="text1"/>
          <w:sz w:val="22"/>
          <w:szCs w:val="22"/>
          <w:lang w:val="es-MX"/>
        </w:rPr>
        <w:t xml:space="preserve">De otro lado, los </w:t>
      </w:r>
      <w:r w:rsidRPr="00910945">
        <w:rPr>
          <w:rFonts w:ascii="Arial" w:hAnsi="Arial" w:cs="Arial"/>
          <w:i/>
          <w:iCs/>
          <w:color w:val="000000" w:themeColor="text1"/>
          <w:sz w:val="22"/>
          <w:szCs w:val="22"/>
          <w:lang w:val="es-MX"/>
        </w:rPr>
        <w:t>convenios de asociación</w:t>
      </w:r>
      <w:r w:rsidRPr="00910945">
        <w:rPr>
          <w:rFonts w:ascii="Arial" w:hAnsi="Arial" w:cs="Arial"/>
          <w:color w:val="000000" w:themeColor="text1"/>
          <w:sz w:val="22"/>
          <w:szCs w:val="22"/>
          <w:lang w:val="es-MX"/>
        </w:rPr>
        <w:t xml:space="preserve"> «[t]ienen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910945">
        <w:rPr>
          <w:rFonts w:ascii="Arial" w:hAnsi="Arial" w:cs="Arial"/>
          <w:color w:val="000000" w:themeColor="text1"/>
          <w:sz w:val="22"/>
          <w:szCs w:val="22"/>
          <w:vertAlign w:val="superscript"/>
          <w:lang w:val="es-MX"/>
        </w:rPr>
        <w:footnoteReference w:id="38"/>
      </w:r>
      <w:r w:rsidRPr="00910945">
        <w:rPr>
          <w:rFonts w:ascii="Arial" w:hAnsi="Arial" w:cs="Arial"/>
          <w:color w:val="000000" w:themeColor="text1"/>
          <w:sz w:val="22"/>
          <w:szCs w:val="22"/>
          <w:lang w:val="es-MX"/>
        </w:rPr>
        <w:t xml:space="preserve">. En estos convenios no existe contraprestación o pago, sino aportes, los cuales están dirigidos, exclusivamente, a lograr la ejecución del convenio y no a remunerar la actividad o actuaciones del asociado. De todos modos, la entidad debe adelantar un proceso competitivo, salvo cuando la ESAL comprometa recursos en dinero para la ejecución de estas actividades, en una proporción no inferior al 30% del valor total del convenio. </w:t>
      </w:r>
    </w:p>
    <w:p w14:paraId="0A3C53C7" w14:textId="77777777" w:rsidR="00227007" w:rsidRPr="00910945" w:rsidRDefault="00227007" w:rsidP="00227007">
      <w:pPr>
        <w:spacing w:after="120" w:line="276" w:lineRule="auto"/>
        <w:ind w:firstLine="708"/>
        <w:jc w:val="both"/>
        <w:rPr>
          <w:rFonts w:ascii="Arial" w:hAnsi="Arial" w:cs="Arial"/>
          <w:color w:val="000000" w:themeColor="text1"/>
          <w:sz w:val="22"/>
          <w:szCs w:val="22"/>
          <w:lang w:val="es-MX"/>
        </w:rPr>
      </w:pPr>
      <w:r w:rsidRPr="00910945">
        <w:rPr>
          <w:rFonts w:ascii="Arial" w:hAnsi="Arial" w:cs="Arial"/>
          <w:color w:val="000000" w:themeColor="text1"/>
          <w:sz w:val="22"/>
          <w:szCs w:val="22"/>
          <w:lang w:val="es-MX"/>
        </w:rPr>
        <w:t xml:space="preserve">De conformidad con el inciso segundo del artículo 96 de la Ley 489 de 1998, en estos convenios debe determinarse «con precisión su objeto, término, obligaciones de las partes, aportes, coordinación y todos aquellos aspectos que se consideren pertinentes», elementos dentro de los que resalta la exigencia de aportes, que debe interpretarse en el sentido de que las ESAL deben realizar aportes a los convenios que suscriban, los cuales </w:t>
      </w:r>
      <w:r w:rsidRPr="00910945">
        <w:rPr>
          <w:rFonts w:ascii="Arial" w:hAnsi="Arial" w:cs="Arial"/>
          <w:color w:val="000000" w:themeColor="text1"/>
          <w:sz w:val="22"/>
          <w:szCs w:val="22"/>
          <w:lang w:val="es-MX"/>
        </w:rPr>
        <w:lastRenderedPageBreak/>
        <w:t xml:space="preserve">pueden ser en dinero, en porcentajes inferiores o superiores al 30%, o en especie, los cuales deben servir al desarrollo de los objetivos comunes de la asociación. </w:t>
      </w:r>
    </w:p>
    <w:p w14:paraId="4766A7C0" w14:textId="77777777" w:rsidR="00227007" w:rsidRPr="00910945" w:rsidRDefault="00227007" w:rsidP="00227007">
      <w:pPr>
        <w:spacing w:after="120" w:line="276" w:lineRule="auto"/>
        <w:ind w:firstLine="708"/>
        <w:jc w:val="both"/>
        <w:rPr>
          <w:rFonts w:ascii="Arial" w:eastAsia="Calibri" w:hAnsi="Arial" w:cs="Arial"/>
          <w:color w:val="000000" w:themeColor="text1"/>
          <w:sz w:val="22"/>
          <w:szCs w:val="22"/>
          <w:lang w:val="es-MX"/>
        </w:rPr>
      </w:pPr>
      <w:r w:rsidRPr="00910945">
        <w:rPr>
          <w:rFonts w:ascii="Arial" w:hAnsi="Arial" w:cs="Arial"/>
          <w:color w:val="000000" w:themeColor="text1"/>
          <w:sz w:val="22"/>
          <w:szCs w:val="22"/>
          <w:lang w:val="es-MX"/>
        </w:rPr>
        <w:t>L</w:t>
      </w:r>
      <w:r w:rsidRPr="00910945">
        <w:rPr>
          <w:rFonts w:ascii="Arial" w:eastAsia="Calibri" w:hAnsi="Arial" w:cs="Arial"/>
          <w:color w:val="000000" w:themeColor="text1"/>
          <w:sz w:val="22"/>
          <w:szCs w:val="22"/>
          <w:lang w:val="es-MX"/>
        </w:rPr>
        <w:t>a normativa vigente no impide que varias entidades suscriban conjuntamente el convenio de asociación ni tampoco que dos o más ESAL pueden hacerlo a través de las figuras asociativas autorizadas por la ley, por ejemplo, la unión temporal o el consorcio</w:t>
      </w:r>
      <w:r w:rsidRPr="00910945">
        <w:rPr>
          <w:rFonts w:ascii="Arial" w:eastAsia="Calibri" w:hAnsi="Arial" w:cs="Arial"/>
          <w:color w:val="000000" w:themeColor="text1"/>
          <w:sz w:val="22"/>
          <w:szCs w:val="22"/>
          <w:vertAlign w:val="superscript"/>
          <w:lang w:val="es-MX"/>
        </w:rPr>
        <w:footnoteReference w:id="39"/>
      </w:r>
      <w:r w:rsidRPr="00910945">
        <w:rPr>
          <w:rFonts w:ascii="Arial" w:eastAsia="Calibri" w:hAnsi="Arial" w:cs="Arial"/>
          <w:color w:val="000000" w:themeColor="text1"/>
          <w:sz w:val="22"/>
          <w:szCs w:val="22"/>
          <w:lang w:val="es-MX"/>
        </w:rPr>
        <w:t xml:space="preserve">. Sin embargo, comoquiera que el artículo 96 de la Ley 489 de 1998 determina que el convenio debe buscar el desarrollo conjunto de actividades relacionadas con los cometidos y funciones que la ley les asigna a las entidades estatales involucradas, es necesario que las funciones legales de las entidades estatales que suscriben conjuntamente el convenio coincidan de alguna de tal manera que, los cometidos funcionales de una y otra entidad se relacionen con el objeto del convenio.  </w:t>
      </w:r>
    </w:p>
    <w:p w14:paraId="483E3BE7" w14:textId="77777777" w:rsidR="00227007" w:rsidRPr="00910945" w:rsidRDefault="00227007" w:rsidP="00227007">
      <w:pPr>
        <w:spacing w:after="120" w:line="276" w:lineRule="auto"/>
        <w:ind w:firstLine="708"/>
        <w:jc w:val="both"/>
        <w:rPr>
          <w:rFonts w:ascii="Arial" w:eastAsia="Calibri" w:hAnsi="Arial" w:cs="Arial"/>
          <w:color w:val="000000" w:themeColor="text1"/>
          <w:sz w:val="22"/>
          <w:szCs w:val="22"/>
          <w:lang w:val="es-MX"/>
        </w:rPr>
      </w:pPr>
      <w:r w:rsidRPr="00910945">
        <w:rPr>
          <w:rFonts w:ascii="Arial" w:eastAsia="Calibri" w:hAnsi="Arial" w:cs="Arial"/>
          <w:color w:val="000000" w:themeColor="text1"/>
          <w:sz w:val="22"/>
          <w:szCs w:val="22"/>
          <w:lang w:val="es-MX"/>
        </w:rPr>
        <w:t>Igualmente, considerando que los convenios de asociación «no estarán sujetos a competencia cuando la entidad sin ánimo de lucro comprometa recursos en dinero para la ejecución de esas actividades en una proporción no inferior al 30% del valor total del convenio», las entidades deben asegurarse de que su contratista, es decir, una o varias ESAL, aporten al menos el treinta por ciento del valor del convenio para celebrarlo directamente, pues de lo contrario deberá adelantarse un proceso competitivo. Además, en atención al inciso 2 del artículo 5 del Decreto 092 de 2017, deben «asegurarse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r w:rsidRPr="00910945">
        <w:rPr>
          <w:rFonts w:ascii="Arial" w:eastAsia="Calibri" w:hAnsi="Arial" w:cs="Arial"/>
          <w:color w:val="000000" w:themeColor="text1"/>
          <w:sz w:val="22"/>
          <w:szCs w:val="22"/>
          <w:vertAlign w:val="superscript"/>
          <w:lang w:val="es-MX"/>
        </w:rPr>
        <w:footnoteReference w:id="40"/>
      </w:r>
      <w:r w:rsidRPr="00910945">
        <w:rPr>
          <w:rFonts w:ascii="Arial" w:eastAsia="Calibri" w:hAnsi="Arial" w:cs="Arial"/>
          <w:color w:val="000000" w:themeColor="text1"/>
          <w:sz w:val="22"/>
          <w:szCs w:val="22"/>
          <w:lang w:val="es-MX"/>
        </w:rPr>
        <w:t>.</w:t>
      </w:r>
    </w:p>
    <w:p w14:paraId="168CEDE1" w14:textId="77777777" w:rsidR="00227007" w:rsidRPr="00910945" w:rsidRDefault="00227007" w:rsidP="00227007">
      <w:pPr>
        <w:spacing w:after="120" w:line="276" w:lineRule="auto"/>
        <w:ind w:firstLine="708"/>
        <w:jc w:val="both"/>
        <w:rPr>
          <w:rFonts w:ascii="Arial" w:hAnsi="Arial" w:cs="Arial"/>
          <w:color w:val="000000" w:themeColor="text1"/>
          <w:sz w:val="22"/>
          <w:szCs w:val="22"/>
          <w:lang w:val="es-MX"/>
        </w:rPr>
      </w:pPr>
      <w:r w:rsidRPr="00910945">
        <w:rPr>
          <w:rFonts w:ascii="Arial" w:hAnsi="Arial" w:cs="Arial"/>
          <w:color w:val="000000" w:themeColor="text1"/>
          <w:sz w:val="22"/>
          <w:szCs w:val="22"/>
          <w:lang w:val="es-MX"/>
        </w:rPr>
        <w:t xml:space="preserve">La noción «seleccionar de forma objetiva», contenida en la disposición </w:t>
      </w:r>
      <w:r w:rsidRPr="00910945">
        <w:rPr>
          <w:rFonts w:ascii="Arial" w:hAnsi="Arial" w:cs="Arial"/>
          <w:i/>
          <w:iCs/>
          <w:color w:val="000000" w:themeColor="text1"/>
          <w:sz w:val="22"/>
          <w:szCs w:val="22"/>
          <w:lang w:val="es-MX"/>
        </w:rPr>
        <w:t xml:space="preserve">sub examine </w:t>
      </w:r>
      <w:r w:rsidRPr="00910945">
        <w:rPr>
          <w:rFonts w:ascii="Arial" w:hAnsi="Arial" w:cs="Arial"/>
          <w:color w:val="000000" w:themeColor="text1"/>
          <w:sz w:val="22"/>
          <w:szCs w:val="22"/>
          <w:lang w:val="es-MX"/>
        </w:rPr>
        <w:t xml:space="preserve">no puede ser entendida como una remisión a las Leyes 80 de 1993 y 1150 de 2007. A lo que se refiere la norma es a que la entidad estatal debe diseñar herramientas que permitan una comparación objetiva de las entidades sin ánimo de lucro para seleccionar objetivamente a aquella que tenga las mejores condiciones para alcanzar el resultado esperado con el proyecto de cooperación, por lo que los criterios que permitan una selección objetiva deben definirse en términos de la obtención de los objetivos del convenio de asociación. Sin perjuicio de lo anterior, la entidad puede decidir acudir a los procesos de </w:t>
      </w:r>
      <w:r w:rsidRPr="00910945">
        <w:rPr>
          <w:rFonts w:ascii="Arial" w:hAnsi="Arial" w:cs="Arial"/>
          <w:color w:val="000000" w:themeColor="text1"/>
          <w:sz w:val="22"/>
          <w:szCs w:val="22"/>
          <w:lang w:val="es-MX"/>
        </w:rPr>
        <w:lastRenderedPageBreak/>
        <w:t>selección de contratistas que establece el EGCAP o, incluso, al trámite que regula el inciso 2 del artículo 2 del Decreto 92 de 2017.</w:t>
      </w:r>
    </w:p>
    <w:p w14:paraId="378E85DD" w14:textId="77777777" w:rsidR="00227007" w:rsidRPr="00910945" w:rsidRDefault="00227007" w:rsidP="00227007">
      <w:pPr>
        <w:spacing w:after="120" w:line="276" w:lineRule="auto"/>
        <w:ind w:firstLine="708"/>
        <w:jc w:val="both"/>
        <w:textAlignment w:val="baseline"/>
        <w:rPr>
          <w:rFonts w:ascii="Arial" w:hAnsi="Arial" w:cs="Arial"/>
          <w:color w:val="000000" w:themeColor="text1"/>
          <w:sz w:val="22"/>
          <w:szCs w:val="22"/>
          <w:lang w:val="es-MX"/>
        </w:rPr>
      </w:pPr>
      <w:r w:rsidRPr="00910945">
        <w:rPr>
          <w:rFonts w:ascii="Arial" w:eastAsia="Arial" w:hAnsi="Arial" w:cs="Arial"/>
          <w:color w:val="000000" w:themeColor="text1"/>
          <w:sz w:val="22"/>
          <w:szCs w:val="22"/>
          <w:lang w:val="es-ES"/>
        </w:rPr>
        <w:t>En suma, las entidades estatales son autónomas en la configuración del proceso competitivo en desarrollo del artículo 5 del Decreto 092 de 2017. En todo caso, el proceso competitivo que definan las entidades estatales para sus convenios de asociación debe garantizar la libre concurrencia y la pluralidad de interesados y la comparación objetiva de las ofertas. Este procedimiento puede ser análogo a otros donde existe competencia, como la licitación pública</w:t>
      </w:r>
      <w:r w:rsidRPr="00910945">
        <w:rPr>
          <w:rFonts w:ascii="Arial" w:hAnsi="Arial" w:cs="Arial"/>
          <w:color w:val="000000" w:themeColor="text1"/>
          <w:sz w:val="22"/>
          <w:szCs w:val="22"/>
          <w:lang w:val="es-MX"/>
        </w:rPr>
        <w:t>. </w:t>
      </w:r>
    </w:p>
    <w:p w14:paraId="5C7539D7" w14:textId="7172303D" w:rsidR="00EF7033" w:rsidRPr="00910945" w:rsidRDefault="00227007" w:rsidP="00227007">
      <w:pPr>
        <w:spacing w:after="120" w:line="276" w:lineRule="auto"/>
        <w:ind w:firstLine="709"/>
        <w:jc w:val="both"/>
        <w:rPr>
          <w:rFonts w:ascii="Arial" w:eastAsia="Calibri" w:hAnsi="Arial" w:cs="Arial"/>
          <w:color w:val="000000" w:themeColor="text1"/>
          <w:sz w:val="22"/>
          <w:szCs w:val="22"/>
          <w:lang w:val="es-MX"/>
        </w:rPr>
      </w:pPr>
      <w:r w:rsidRPr="00910945">
        <w:rPr>
          <w:rFonts w:ascii="Arial" w:hAnsi="Arial" w:cs="Arial"/>
          <w:color w:val="000000" w:themeColor="text1"/>
          <w:sz w:val="22"/>
          <w:szCs w:val="22"/>
          <w:lang w:val="es-MX"/>
        </w:rPr>
        <w:t>Ahora bien, e</w:t>
      </w:r>
      <w:r w:rsidRPr="00910945">
        <w:rPr>
          <w:rFonts w:ascii="Arial" w:eastAsia="Calibri" w:hAnsi="Arial" w:cs="Arial"/>
          <w:color w:val="000000" w:themeColor="text1"/>
          <w:sz w:val="22"/>
          <w:szCs w:val="22"/>
          <w:lang w:val="es-MX"/>
        </w:rPr>
        <w:t>l Consejo de Estado, en el Auto del 6 de agosto de 2019 de la Sección Tercera, Subsección A –Exp. 62.003–, estudió la solicitud de suspensión provisional</w:t>
      </w:r>
      <w:r w:rsidRPr="00910945">
        <w:rPr>
          <w:rFonts w:ascii="Arial" w:eastAsia="Calibri" w:hAnsi="Arial" w:cs="Arial"/>
          <w:color w:val="000000" w:themeColor="text1"/>
          <w:sz w:val="22"/>
          <w:szCs w:val="22"/>
          <w:vertAlign w:val="superscript"/>
          <w:lang w:val="es-MX"/>
        </w:rPr>
        <w:footnoteReference w:id="41"/>
      </w:r>
      <w:r w:rsidRPr="00910945">
        <w:rPr>
          <w:rFonts w:ascii="Arial" w:eastAsia="Calibri" w:hAnsi="Arial" w:cs="Arial"/>
          <w:color w:val="000000" w:themeColor="text1"/>
          <w:sz w:val="22"/>
          <w:szCs w:val="22"/>
          <w:lang w:val="es-MX"/>
        </w:rPr>
        <w:t xml:space="preserve"> del inciso 2 del artículo 1, literales a y c del artículo 2, inciso 5 del artículo 2, inciso 2 del artículo 3, inciso final del artículo 4 y artículo 5 del Decreto 092 de 2017. No obstante, sobre esta última norma concluyó que el análisis de esta disposición debe realizarse a profundidad para establecer si efectivamente existe una contradicción normativa que implique que se afectó la competencia del legislador. En consecuencia, negó la solicitud de suspensión provisional, reservando el análisis sobre la legalidad </w:t>
      </w:r>
      <w:r w:rsidR="00B9367B">
        <w:rPr>
          <w:rFonts w:ascii="Arial" w:eastAsia="Calibri" w:hAnsi="Arial" w:cs="Arial"/>
          <w:color w:val="000000" w:themeColor="text1"/>
          <w:sz w:val="22"/>
          <w:szCs w:val="22"/>
          <w:lang w:val="es-MX"/>
        </w:rPr>
        <w:t>del último</w:t>
      </w:r>
      <w:r w:rsidRPr="00910945">
        <w:rPr>
          <w:rFonts w:ascii="Arial" w:eastAsia="Calibri" w:hAnsi="Arial" w:cs="Arial"/>
          <w:color w:val="000000" w:themeColor="text1"/>
          <w:sz w:val="22"/>
          <w:szCs w:val="22"/>
          <w:lang w:val="es-MX"/>
        </w:rPr>
        <w:t xml:space="preserve"> artículo</w:t>
      </w:r>
      <w:r w:rsidR="00B9367B">
        <w:rPr>
          <w:rFonts w:ascii="Arial" w:eastAsia="Calibri" w:hAnsi="Arial" w:cs="Arial"/>
          <w:color w:val="000000" w:themeColor="text1"/>
          <w:sz w:val="22"/>
          <w:szCs w:val="22"/>
          <w:lang w:val="es-MX"/>
        </w:rPr>
        <w:t xml:space="preserve"> indicado para</w:t>
      </w:r>
      <w:r w:rsidRPr="00910945">
        <w:rPr>
          <w:rFonts w:ascii="Arial" w:eastAsia="Calibri" w:hAnsi="Arial" w:cs="Arial"/>
          <w:color w:val="000000" w:themeColor="text1"/>
          <w:sz w:val="22"/>
          <w:szCs w:val="22"/>
          <w:lang w:val="es-MX"/>
        </w:rPr>
        <w:t xml:space="preserve"> la sentencia de fondo. Por tanto, si se pretende realizar un </w:t>
      </w:r>
      <w:r w:rsidRPr="00910945">
        <w:rPr>
          <w:rFonts w:ascii="Arial" w:eastAsia="Calibri" w:hAnsi="Arial" w:cs="Arial"/>
          <w:i/>
          <w:iCs/>
          <w:color w:val="000000" w:themeColor="text1"/>
          <w:sz w:val="22"/>
          <w:szCs w:val="22"/>
          <w:lang w:val="es-MX"/>
        </w:rPr>
        <w:t>convenio de asociación</w:t>
      </w:r>
      <w:r w:rsidRPr="00910945">
        <w:rPr>
          <w:rFonts w:ascii="Arial" w:eastAsia="Calibri" w:hAnsi="Arial" w:cs="Arial"/>
          <w:color w:val="000000" w:themeColor="text1"/>
          <w:sz w:val="22"/>
          <w:szCs w:val="22"/>
          <w:lang w:val="es-MX"/>
        </w:rPr>
        <w:t xml:space="preserve"> con ESAL de reconocida idoneidad para el cumplimiento de las funciones que la ley les asigna a las entidades públicas, debe aplicarse lo dispuesto en el artículo 5 del Decreto 092 de 2017</w:t>
      </w:r>
      <w:r w:rsidR="004B59B8">
        <w:rPr>
          <w:rFonts w:ascii="Arial" w:eastAsia="Calibri" w:hAnsi="Arial" w:cs="Arial"/>
          <w:color w:val="000000" w:themeColor="text1"/>
          <w:sz w:val="22"/>
          <w:szCs w:val="22"/>
          <w:lang w:val="es-MX"/>
        </w:rPr>
        <w:t>, en armonía con el auto indicado. Sin embargo, c</w:t>
      </w:r>
      <w:r w:rsidR="00EF7033">
        <w:rPr>
          <w:rFonts w:ascii="Arial" w:eastAsia="Calibri" w:hAnsi="Arial" w:cs="Arial"/>
          <w:color w:val="000000" w:themeColor="text1"/>
          <w:sz w:val="22"/>
          <w:szCs w:val="22"/>
          <w:lang w:val="es-MX"/>
        </w:rPr>
        <w:t xml:space="preserve">abe precisar que mediante </w:t>
      </w:r>
      <w:r w:rsidR="00B9367B">
        <w:rPr>
          <w:rFonts w:ascii="Arial" w:eastAsia="Calibri" w:hAnsi="Arial" w:cs="Arial"/>
          <w:color w:val="000000" w:themeColor="text1"/>
          <w:sz w:val="22"/>
          <w:szCs w:val="22"/>
          <w:lang w:val="es-MX"/>
        </w:rPr>
        <w:t xml:space="preserve">el </w:t>
      </w:r>
      <w:r w:rsidR="00EF7033">
        <w:rPr>
          <w:rFonts w:ascii="Arial" w:eastAsia="Calibri" w:hAnsi="Arial" w:cs="Arial"/>
          <w:color w:val="000000" w:themeColor="text1"/>
          <w:sz w:val="22"/>
          <w:szCs w:val="22"/>
          <w:lang w:val="es-MX"/>
        </w:rPr>
        <w:t>auto de</w:t>
      </w:r>
      <w:r w:rsidR="00B9367B">
        <w:rPr>
          <w:rFonts w:ascii="Arial" w:eastAsia="Calibri" w:hAnsi="Arial" w:cs="Arial"/>
          <w:color w:val="000000" w:themeColor="text1"/>
          <w:sz w:val="22"/>
          <w:szCs w:val="22"/>
          <w:lang w:val="es-MX"/>
        </w:rPr>
        <w:t>l</w:t>
      </w:r>
      <w:r w:rsidR="00EF7033">
        <w:rPr>
          <w:rFonts w:ascii="Arial" w:eastAsia="Calibri" w:hAnsi="Arial" w:cs="Arial"/>
          <w:color w:val="000000" w:themeColor="text1"/>
          <w:sz w:val="22"/>
          <w:szCs w:val="22"/>
          <w:lang w:val="es-MX"/>
        </w:rPr>
        <w:t xml:space="preserve"> 15 de marzo de 2022, la Sala Plena del Consejo de </w:t>
      </w:r>
      <w:r w:rsidR="00B40FBD">
        <w:rPr>
          <w:rFonts w:ascii="Arial" w:eastAsia="Calibri" w:hAnsi="Arial" w:cs="Arial"/>
          <w:color w:val="000000" w:themeColor="text1"/>
          <w:sz w:val="22"/>
          <w:szCs w:val="22"/>
          <w:lang w:val="es-MX"/>
        </w:rPr>
        <w:t>E</w:t>
      </w:r>
      <w:r w:rsidR="00EF7033">
        <w:rPr>
          <w:rFonts w:ascii="Arial" w:eastAsia="Calibri" w:hAnsi="Arial" w:cs="Arial"/>
          <w:color w:val="000000" w:themeColor="text1"/>
          <w:sz w:val="22"/>
          <w:szCs w:val="22"/>
          <w:lang w:val="es-MX"/>
        </w:rPr>
        <w:t>stado</w:t>
      </w:r>
      <w:r w:rsidR="00B40FBD">
        <w:rPr>
          <w:rStyle w:val="Refdenotaalpie"/>
          <w:rFonts w:ascii="Arial" w:eastAsia="Calibri" w:hAnsi="Arial" w:cs="Arial"/>
          <w:color w:val="000000" w:themeColor="text1"/>
          <w:sz w:val="22"/>
          <w:szCs w:val="22"/>
          <w:lang w:val="es-MX"/>
        </w:rPr>
        <w:footnoteReference w:id="42"/>
      </w:r>
      <w:r w:rsidR="00EF7033">
        <w:rPr>
          <w:rFonts w:ascii="Arial" w:eastAsia="Calibri" w:hAnsi="Arial" w:cs="Arial"/>
          <w:color w:val="000000" w:themeColor="text1"/>
          <w:sz w:val="22"/>
          <w:szCs w:val="22"/>
          <w:lang w:val="es-MX"/>
        </w:rPr>
        <w:t xml:space="preserve">, resolvió </w:t>
      </w:r>
      <w:r w:rsidR="004B59B8">
        <w:rPr>
          <w:rFonts w:ascii="Arial" w:eastAsia="Calibri" w:hAnsi="Arial" w:cs="Arial"/>
          <w:color w:val="000000" w:themeColor="text1"/>
          <w:sz w:val="22"/>
          <w:szCs w:val="22"/>
          <w:lang w:val="es-MX"/>
        </w:rPr>
        <w:t xml:space="preserve">el </w:t>
      </w:r>
      <w:r w:rsidR="00EF7033">
        <w:rPr>
          <w:rFonts w:ascii="Arial" w:eastAsia="Calibri" w:hAnsi="Arial" w:cs="Arial"/>
          <w:color w:val="000000" w:themeColor="text1"/>
          <w:sz w:val="22"/>
          <w:szCs w:val="22"/>
          <w:lang w:val="es-MX"/>
        </w:rPr>
        <w:t>recurso de s</w:t>
      </w:r>
      <w:r w:rsidR="004B59B8">
        <w:rPr>
          <w:rFonts w:ascii="Arial" w:eastAsia="Calibri" w:hAnsi="Arial" w:cs="Arial"/>
          <w:color w:val="000000" w:themeColor="text1"/>
          <w:sz w:val="22"/>
          <w:szCs w:val="22"/>
          <w:lang w:val="es-MX"/>
        </w:rPr>
        <w:t>ú</w:t>
      </w:r>
      <w:r w:rsidR="00EF7033">
        <w:rPr>
          <w:rFonts w:ascii="Arial" w:eastAsia="Calibri" w:hAnsi="Arial" w:cs="Arial"/>
          <w:color w:val="000000" w:themeColor="text1"/>
          <w:sz w:val="22"/>
          <w:szCs w:val="22"/>
          <w:lang w:val="es-MX"/>
        </w:rPr>
        <w:t>plica interpuesto</w:t>
      </w:r>
      <w:r w:rsidR="00B40FBD">
        <w:rPr>
          <w:rFonts w:ascii="Arial" w:eastAsia="Calibri" w:hAnsi="Arial" w:cs="Arial"/>
          <w:color w:val="000000" w:themeColor="text1"/>
          <w:sz w:val="22"/>
          <w:szCs w:val="22"/>
          <w:lang w:val="es-MX"/>
        </w:rPr>
        <w:t xml:space="preserve"> sobre la decisión de suspensión provisional y decidió levantar la suspensión provisional del inciso segundo del artículo 1 y del inciso segundo del artículo 3, manteniendo </w:t>
      </w:r>
      <w:r w:rsidR="004B59B8">
        <w:rPr>
          <w:rFonts w:ascii="Arial" w:eastAsia="Calibri" w:hAnsi="Arial" w:cs="Arial"/>
          <w:color w:val="000000" w:themeColor="text1"/>
          <w:sz w:val="22"/>
          <w:szCs w:val="22"/>
          <w:lang w:val="es-MX"/>
        </w:rPr>
        <w:t xml:space="preserve">en </w:t>
      </w:r>
      <w:r w:rsidR="00B40FBD">
        <w:rPr>
          <w:rFonts w:ascii="Arial" w:eastAsia="Calibri" w:hAnsi="Arial" w:cs="Arial"/>
          <w:color w:val="000000" w:themeColor="text1"/>
          <w:sz w:val="22"/>
          <w:szCs w:val="22"/>
          <w:lang w:val="es-MX"/>
        </w:rPr>
        <w:t xml:space="preserve">lo demás </w:t>
      </w:r>
      <w:r w:rsidR="004B59B8">
        <w:rPr>
          <w:rFonts w:ascii="Arial" w:eastAsia="Calibri" w:hAnsi="Arial" w:cs="Arial"/>
          <w:color w:val="000000" w:themeColor="text1"/>
          <w:sz w:val="22"/>
          <w:szCs w:val="22"/>
          <w:lang w:val="es-MX"/>
        </w:rPr>
        <w:t xml:space="preserve">la </w:t>
      </w:r>
      <w:r w:rsidR="00B40FBD">
        <w:rPr>
          <w:rFonts w:ascii="Arial" w:eastAsia="Calibri" w:hAnsi="Arial" w:cs="Arial"/>
          <w:color w:val="000000" w:themeColor="text1"/>
          <w:sz w:val="22"/>
          <w:szCs w:val="22"/>
          <w:lang w:val="es-MX"/>
        </w:rPr>
        <w:t xml:space="preserve">suspensión provisional. </w:t>
      </w:r>
    </w:p>
    <w:p w14:paraId="5E6D10A7" w14:textId="74A1F7A4" w:rsidR="00227007" w:rsidRDefault="00B9367B" w:rsidP="00227007">
      <w:pPr>
        <w:spacing w:after="120" w:line="276" w:lineRule="auto"/>
        <w:ind w:firstLine="708"/>
        <w:jc w:val="both"/>
        <w:rPr>
          <w:rFonts w:ascii="Arial" w:eastAsia="Calibri" w:hAnsi="Arial" w:cs="Arial"/>
          <w:color w:val="000000" w:themeColor="text1"/>
          <w:sz w:val="22"/>
          <w:szCs w:val="22"/>
          <w:lang w:val="es-MX"/>
        </w:rPr>
      </w:pPr>
      <w:r>
        <w:rPr>
          <w:rFonts w:ascii="Arial" w:eastAsia="Calibri" w:hAnsi="Arial" w:cs="Arial"/>
          <w:color w:val="000000" w:themeColor="text1"/>
          <w:sz w:val="22"/>
          <w:szCs w:val="22"/>
          <w:lang w:val="es-MX"/>
        </w:rPr>
        <w:t xml:space="preserve">Finalmente, cabe precisar que frente a </w:t>
      </w:r>
      <w:r w:rsidR="00227007" w:rsidRPr="00910945">
        <w:rPr>
          <w:rFonts w:ascii="Arial" w:eastAsia="Calibri" w:hAnsi="Arial" w:cs="Arial"/>
          <w:color w:val="000000" w:themeColor="text1"/>
          <w:sz w:val="22"/>
          <w:szCs w:val="22"/>
          <w:lang w:val="es-MX"/>
        </w:rPr>
        <w:t>los convenios de asociación, el artículo 5 del citado Decreto establece que el proceso para la selección de la ESAL, por regla general, debe estar sujeto a competencia; salvo en aquellos casos en que una entidad sin ánimo de lucro comprometa recursos en dinero por un valor igual o superior al 30% del valor total del convenio</w:t>
      </w:r>
      <w:r w:rsidR="00227007" w:rsidRPr="00910945">
        <w:rPr>
          <w:rFonts w:ascii="Arial" w:hAnsi="Arial" w:cs="Arial"/>
          <w:color w:val="000000" w:themeColor="text1"/>
          <w:sz w:val="22"/>
          <w:szCs w:val="22"/>
          <w:vertAlign w:val="superscript"/>
          <w:lang w:val="es-MX"/>
        </w:rPr>
        <w:footnoteReference w:id="43"/>
      </w:r>
      <w:r w:rsidR="00227007" w:rsidRPr="00910945">
        <w:rPr>
          <w:rFonts w:ascii="Arial" w:eastAsia="Calibri" w:hAnsi="Arial" w:cs="Arial"/>
          <w:color w:val="000000" w:themeColor="text1"/>
          <w:sz w:val="22"/>
          <w:szCs w:val="22"/>
          <w:lang w:val="es-MX"/>
        </w:rPr>
        <w:t xml:space="preserve">, y siempre que la entidad estatal verifique previamente que no existe ninguna </w:t>
      </w:r>
      <w:r w:rsidR="00227007" w:rsidRPr="00910945">
        <w:rPr>
          <w:rFonts w:ascii="Arial" w:eastAsia="Calibri" w:hAnsi="Arial" w:cs="Arial"/>
          <w:color w:val="000000" w:themeColor="text1"/>
          <w:sz w:val="22"/>
          <w:szCs w:val="22"/>
          <w:lang w:val="es-MX"/>
        </w:rPr>
        <w:lastRenderedPageBreak/>
        <w:t xml:space="preserve">otra entidad sin ánimo de lucro que ofrezca aportes </w:t>
      </w:r>
      <w:r>
        <w:rPr>
          <w:rFonts w:ascii="Arial" w:eastAsia="Calibri" w:hAnsi="Arial" w:cs="Arial"/>
          <w:color w:val="000000" w:themeColor="text1"/>
          <w:sz w:val="22"/>
          <w:szCs w:val="22"/>
          <w:lang w:val="es-MX"/>
        </w:rPr>
        <w:t xml:space="preserve">–en dinero– </w:t>
      </w:r>
      <w:r w:rsidR="00227007" w:rsidRPr="00910945">
        <w:rPr>
          <w:rFonts w:ascii="Arial" w:eastAsia="Calibri" w:hAnsi="Arial" w:cs="Arial"/>
          <w:color w:val="000000" w:themeColor="text1"/>
          <w:sz w:val="22"/>
          <w:szCs w:val="22"/>
          <w:lang w:val="es-MX"/>
        </w:rPr>
        <w:t xml:space="preserve">iguales o superiores al 30%. </w:t>
      </w:r>
      <w:r>
        <w:rPr>
          <w:rFonts w:ascii="Arial" w:eastAsia="Calibri" w:hAnsi="Arial" w:cs="Arial"/>
          <w:color w:val="000000" w:themeColor="text1"/>
          <w:sz w:val="22"/>
          <w:szCs w:val="22"/>
          <w:lang w:val="es-MX"/>
        </w:rPr>
        <w:t>Ahora bien</w:t>
      </w:r>
      <w:r w:rsidR="00227007" w:rsidRPr="00910945">
        <w:rPr>
          <w:rFonts w:ascii="Arial" w:eastAsia="Calibri" w:hAnsi="Arial" w:cs="Arial"/>
          <w:color w:val="000000" w:themeColor="text1"/>
          <w:sz w:val="22"/>
          <w:szCs w:val="22"/>
          <w:lang w:val="es-MX"/>
        </w:rPr>
        <w:t>, en relación con la naturaleza y cuantía de los convenios, la norma anteriormente citada no prohíbe la celebración de convenios en que la ESAL aporte menos del 30% o cuando aporte recursos en especie: s</w:t>
      </w:r>
      <w:r w:rsidR="004B59B8">
        <w:rPr>
          <w:rFonts w:ascii="Arial" w:eastAsia="Calibri" w:hAnsi="Arial" w:cs="Arial"/>
          <w:color w:val="000000" w:themeColor="text1"/>
          <w:sz w:val="22"/>
          <w:szCs w:val="22"/>
          <w:lang w:val="es-MX"/>
        </w:rPr>
        <w:t>o</w:t>
      </w:r>
      <w:r w:rsidR="00227007" w:rsidRPr="00910945">
        <w:rPr>
          <w:rFonts w:ascii="Arial" w:eastAsia="Calibri" w:hAnsi="Arial" w:cs="Arial"/>
          <w:color w:val="000000" w:themeColor="text1"/>
          <w:sz w:val="22"/>
          <w:szCs w:val="22"/>
          <w:lang w:val="es-MX"/>
        </w:rPr>
        <w:t xml:space="preserve">lo indica que en esos casos la entidad estatal debe acudir al proceso competitivo para seleccionar a la entidad sin ánimo de lucro con la cual celebrará el respectivo convenio.  </w:t>
      </w:r>
    </w:p>
    <w:p w14:paraId="25D5F1D4" w14:textId="3EBF4A8E" w:rsidR="00B40FBD" w:rsidRPr="00751C77" w:rsidRDefault="00B40FBD" w:rsidP="00227007">
      <w:pPr>
        <w:spacing w:after="120" w:line="276" w:lineRule="auto"/>
        <w:ind w:firstLine="708"/>
        <w:jc w:val="both"/>
        <w:rPr>
          <w:rFonts w:ascii="Arial" w:eastAsia="Calibri" w:hAnsi="Arial" w:cs="Arial"/>
          <w:color w:val="000000" w:themeColor="text1"/>
          <w:sz w:val="22"/>
          <w:szCs w:val="22"/>
          <w:lang w:val="es-MX"/>
        </w:rPr>
      </w:pPr>
      <w:r w:rsidRPr="00751C77">
        <w:rPr>
          <w:rFonts w:ascii="Arial" w:eastAsia="Calibri" w:hAnsi="Arial" w:cs="Arial"/>
          <w:color w:val="000000" w:themeColor="text1"/>
          <w:sz w:val="22"/>
          <w:szCs w:val="22"/>
          <w:lang w:val="es-MX"/>
        </w:rPr>
        <w:t xml:space="preserve">Ahora bien, </w:t>
      </w:r>
      <w:r w:rsidR="004B59B8" w:rsidRPr="00751C77">
        <w:rPr>
          <w:rFonts w:ascii="Arial" w:eastAsia="Calibri" w:hAnsi="Arial" w:cs="Arial"/>
          <w:color w:val="000000" w:themeColor="text1"/>
          <w:sz w:val="22"/>
          <w:szCs w:val="22"/>
          <w:lang w:val="es-MX"/>
        </w:rPr>
        <w:t xml:space="preserve">armonizando el desarrollo realizado frente a los convenios de que trata el Decreto 092 para la contratación con entidades privadas sin ánimo de lucro, frente a las restricciones </w:t>
      </w:r>
      <w:r w:rsidR="001C48D9" w:rsidRPr="00751C77">
        <w:rPr>
          <w:rFonts w:ascii="Arial" w:eastAsia="Calibri" w:hAnsi="Arial" w:cs="Arial"/>
          <w:color w:val="000000" w:themeColor="text1"/>
          <w:sz w:val="22"/>
          <w:szCs w:val="22"/>
          <w:lang w:val="es-MX"/>
        </w:rPr>
        <w:t>impuestas</w:t>
      </w:r>
      <w:r w:rsidRPr="00751C77">
        <w:rPr>
          <w:rFonts w:ascii="Arial" w:eastAsia="Calibri" w:hAnsi="Arial" w:cs="Arial"/>
          <w:color w:val="000000" w:themeColor="text1"/>
          <w:sz w:val="22"/>
          <w:szCs w:val="22"/>
          <w:lang w:val="es-MX"/>
        </w:rPr>
        <w:t xml:space="preserve"> por la Ley </w:t>
      </w:r>
      <w:r w:rsidR="007D4247" w:rsidRPr="00751C77">
        <w:rPr>
          <w:rFonts w:ascii="Arial" w:eastAsia="Calibri" w:hAnsi="Arial" w:cs="Arial"/>
          <w:color w:val="000000" w:themeColor="text1"/>
          <w:sz w:val="22"/>
          <w:szCs w:val="22"/>
          <w:lang w:val="es-MX"/>
        </w:rPr>
        <w:t xml:space="preserve">de Garantías Electorales </w:t>
      </w:r>
      <w:r w:rsidR="00EF6E58" w:rsidRPr="00751C77">
        <w:rPr>
          <w:rFonts w:ascii="Arial" w:eastAsia="Calibri" w:hAnsi="Arial" w:cs="Arial"/>
          <w:color w:val="000000" w:themeColor="text1"/>
          <w:sz w:val="22"/>
          <w:szCs w:val="22"/>
          <w:lang w:val="es-MX"/>
        </w:rPr>
        <w:t xml:space="preserve">cabe señalar lo siguiente. i) Debido a que dichos contratos se celebran con entidades </w:t>
      </w:r>
      <w:r w:rsidR="00EF6E58" w:rsidRPr="00751C77">
        <w:rPr>
          <w:rFonts w:ascii="Arial" w:eastAsia="Calibri" w:hAnsi="Arial" w:cs="Arial"/>
          <w:i/>
          <w:iCs/>
          <w:color w:val="000000" w:themeColor="text1"/>
          <w:sz w:val="22"/>
          <w:szCs w:val="22"/>
          <w:lang w:val="es-MX"/>
        </w:rPr>
        <w:t xml:space="preserve">privadas </w:t>
      </w:r>
      <w:r w:rsidR="00EF6E58" w:rsidRPr="00751C77">
        <w:rPr>
          <w:rFonts w:ascii="Arial" w:eastAsia="Calibri" w:hAnsi="Arial" w:cs="Arial"/>
          <w:color w:val="000000" w:themeColor="text1"/>
          <w:sz w:val="22"/>
          <w:szCs w:val="22"/>
          <w:lang w:val="es-MX"/>
        </w:rPr>
        <w:t>sin ánimo de lucro, en relación con ellos no resultaría aplicable la restricción del parágrafo del artículo 38 de la Ley 996 de 2005, toda vez que no se cumple con el criterio subjetivo –u orgánico– de ser contratos entre entidades públicas, toda vez que una de las partes sería un particular, por lo que no serían contratos interadministrativos. En tal sentido, frente a los contratos o convenios de que trata el Decreto 092 de 2017 no resulta aplicable la prohibición indicada. ii) Ahora bien, la prohibición de la contratación directa establecida en el artículo 33 de la Ley de Garantías Electorales s</w:t>
      </w:r>
      <w:r w:rsidR="00BD57F8" w:rsidRPr="00751C77">
        <w:rPr>
          <w:rFonts w:ascii="Arial" w:eastAsia="Calibri" w:hAnsi="Arial" w:cs="Arial"/>
          <w:color w:val="000000" w:themeColor="text1"/>
          <w:sz w:val="22"/>
          <w:szCs w:val="22"/>
          <w:lang w:val="es-MX"/>
        </w:rPr>
        <w:t>í</w:t>
      </w:r>
      <w:r w:rsidR="00EF6E58" w:rsidRPr="00751C77">
        <w:rPr>
          <w:rFonts w:ascii="Arial" w:eastAsia="Calibri" w:hAnsi="Arial" w:cs="Arial"/>
          <w:color w:val="000000" w:themeColor="text1"/>
          <w:sz w:val="22"/>
          <w:szCs w:val="22"/>
          <w:lang w:val="es-MX"/>
        </w:rPr>
        <w:t xml:space="preserve"> aplicaría frente a los convenios del Decreto 092 de 2017 </w:t>
      </w:r>
      <w:r w:rsidR="00740331" w:rsidRPr="00751C77">
        <w:rPr>
          <w:rFonts w:ascii="Arial" w:eastAsia="Calibri" w:hAnsi="Arial" w:cs="Arial"/>
          <w:color w:val="000000" w:themeColor="text1"/>
          <w:sz w:val="22"/>
          <w:szCs w:val="22"/>
          <w:lang w:val="es-MX"/>
        </w:rPr>
        <w:t>exclusivamente frente a los procesos no competitivos, ya que en ellos se presenta una selección directa del contratista</w:t>
      </w:r>
      <w:r w:rsidR="00FD1F52" w:rsidRPr="00751C77">
        <w:rPr>
          <w:rFonts w:ascii="Arial" w:eastAsia="Calibri" w:hAnsi="Arial" w:cs="Arial"/>
          <w:color w:val="000000" w:themeColor="text1"/>
          <w:sz w:val="22"/>
          <w:szCs w:val="22"/>
          <w:lang w:val="es-MX"/>
        </w:rPr>
        <w:t>, lo que implica una contratación directa</w:t>
      </w:r>
      <w:r w:rsidR="00740331" w:rsidRPr="00751C77">
        <w:rPr>
          <w:rFonts w:ascii="Arial" w:eastAsia="Calibri" w:hAnsi="Arial" w:cs="Arial"/>
          <w:color w:val="000000" w:themeColor="text1"/>
          <w:sz w:val="22"/>
          <w:szCs w:val="22"/>
          <w:lang w:val="es-MX"/>
        </w:rPr>
        <w:t>; sin embargo, cuando se trate de procesos competitivos no resultaría aplicable dicha prohibición.</w:t>
      </w:r>
    </w:p>
    <w:p w14:paraId="3ED84034" w14:textId="77777777" w:rsidR="004F0A4B" w:rsidRPr="00751C77" w:rsidRDefault="004F0A4B" w:rsidP="000A0DF7">
      <w:pPr>
        <w:tabs>
          <w:tab w:val="left" w:pos="0"/>
        </w:tabs>
        <w:jc w:val="both"/>
        <w:rPr>
          <w:rFonts w:ascii="Arial" w:eastAsia="Calibri" w:hAnsi="Arial" w:cs="Arial"/>
          <w:b/>
          <w:color w:val="000000" w:themeColor="text1"/>
          <w:sz w:val="22"/>
          <w:highlight w:val="yellow"/>
          <w:lang w:val="es-ES_tradnl"/>
        </w:rPr>
      </w:pPr>
    </w:p>
    <w:p w14:paraId="05F5364A" w14:textId="16BCE618" w:rsidR="000A0DF7" w:rsidRPr="00751C77" w:rsidRDefault="000A0DF7" w:rsidP="000A0DF7">
      <w:pPr>
        <w:tabs>
          <w:tab w:val="left" w:pos="0"/>
        </w:tabs>
        <w:jc w:val="both"/>
        <w:rPr>
          <w:rFonts w:ascii="Arial" w:eastAsia="Calibri" w:hAnsi="Arial" w:cs="Arial"/>
          <w:b/>
          <w:color w:val="000000" w:themeColor="text1"/>
          <w:sz w:val="22"/>
          <w:lang w:val="es-ES_tradnl"/>
        </w:rPr>
      </w:pPr>
      <w:r w:rsidRPr="00751C77">
        <w:rPr>
          <w:rFonts w:ascii="Arial" w:eastAsia="Calibri" w:hAnsi="Arial" w:cs="Arial"/>
          <w:b/>
          <w:color w:val="000000" w:themeColor="text1"/>
          <w:sz w:val="22"/>
          <w:lang w:val="es-ES_tradnl"/>
        </w:rPr>
        <w:t>3. Respuesta</w:t>
      </w:r>
    </w:p>
    <w:p w14:paraId="2B3071BA" w14:textId="77777777" w:rsidR="000A0DF7" w:rsidRPr="00751C77" w:rsidRDefault="000A0DF7" w:rsidP="000A0DF7">
      <w:pPr>
        <w:tabs>
          <w:tab w:val="left" w:pos="0"/>
        </w:tabs>
        <w:jc w:val="both"/>
        <w:rPr>
          <w:rFonts w:ascii="Arial" w:eastAsia="Calibri" w:hAnsi="Arial" w:cs="Arial"/>
          <w:color w:val="000000" w:themeColor="text1"/>
          <w:sz w:val="21"/>
          <w:szCs w:val="21"/>
          <w:lang w:val="es-ES_tradnl"/>
        </w:rPr>
      </w:pPr>
    </w:p>
    <w:p w14:paraId="71A72431" w14:textId="01E8DF00" w:rsidR="00B775A8" w:rsidRPr="00751C77" w:rsidRDefault="00B775A8" w:rsidP="00B775A8">
      <w:pPr>
        <w:ind w:left="709" w:right="709"/>
        <w:jc w:val="both"/>
        <w:rPr>
          <w:rFonts w:ascii="Arial" w:hAnsi="Arial" w:cs="Arial"/>
          <w:sz w:val="21"/>
          <w:szCs w:val="21"/>
          <w:lang w:val="es-419" w:eastAsia="es-419"/>
        </w:rPr>
      </w:pPr>
      <w:r w:rsidRPr="00751C77">
        <w:rPr>
          <w:rFonts w:ascii="Arial" w:hAnsi="Arial" w:cs="Arial"/>
          <w:sz w:val="21"/>
          <w:szCs w:val="21"/>
        </w:rPr>
        <w:t>«</w:t>
      </w:r>
      <w:r w:rsidRPr="00751C77">
        <w:rPr>
          <w:rFonts w:ascii="Arial" w:hAnsi="Arial" w:cs="Arial"/>
          <w:sz w:val="21"/>
          <w:szCs w:val="21"/>
          <w:lang w:val="es-419" w:eastAsia="es-419"/>
        </w:rPr>
        <w:t>De acuerdo a (sic) lo mencionado en el asunto solicito su colaboración en el sentido de aclarar si para el periodo que comprende la Ley de Garantías, una entidad pública puede suscribir convenios que no sean interadministrativos y además que no tienen recursos o no comprometen el presupuesto de la entidad o de la Nación ya que son más de cooperación.</w:t>
      </w:r>
      <w:r w:rsidRPr="00751C77">
        <w:rPr>
          <w:rFonts w:ascii="Arial" w:hAnsi="Arial" w:cs="Arial"/>
          <w:sz w:val="21"/>
          <w:szCs w:val="21"/>
        </w:rPr>
        <w:t>»</w:t>
      </w:r>
      <w:r w:rsidRPr="00751C77">
        <w:rPr>
          <w:rFonts w:ascii="Arial" w:hAnsi="Arial" w:cs="Arial"/>
          <w:sz w:val="21"/>
          <w:szCs w:val="21"/>
          <w:lang w:val="es-419" w:eastAsia="es-419"/>
        </w:rPr>
        <w:t>  </w:t>
      </w:r>
    </w:p>
    <w:p w14:paraId="39AC92C4" w14:textId="77777777" w:rsidR="00303974" w:rsidRPr="00751C77" w:rsidRDefault="00303974" w:rsidP="00303974">
      <w:pPr>
        <w:spacing w:line="276" w:lineRule="auto"/>
        <w:jc w:val="both"/>
        <w:rPr>
          <w:rFonts w:ascii="Arial" w:hAnsi="Arial" w:cs="Arial"/>
          <w:color w:val="000000" w:themeColor="text1"/>
          <w:sz w:val="22"/>
          <w:szCs w:val="22"/>
          <w:lang w:val="es-ES"/>
        </w:rPr>
      </w:pPr>
    </w:p>
    <w:p w14:paraId="78BF7790" w14:textId="77777777" w:rsidR="007D4247" w:rsidRPr="00751C77" w:rsidRDefault="007D4247" w:rsidP="007D4247">
      <w:pPr>
        <w:widowControl w:val="0"/>
        <w:autoSpaceDE w:val="0"/>
        <w:autoSpaceDN w:val="0"/>
        <w:spacing w:after="120" w:line="276" w:lineRule="auto"/>
        <w:jc w:val="both"/>
        <w:rPr>
          <w:rFonts w:ascii="Arial" w:eastAsia="Calibri" w:hAnsi="Arial" w:cs="Arial"/>
          <w:color w:val="000000" w:themeColor="text1"/>
          <w:sz w:val="22"/>
        </w:rPr>
      </w:pPr>
      <w:r w:rsidRPr="00751C77">
        <w:rPr>
          <w:rFonts w:ascii="Arial" w:eastAsia="Calibri" w:hAnsi="Arial" w:cs="Arial"/>
          <w:color w:val="000000" w:themeColor="text1"/>
          <w:sz w:val="22"/>
        </w:rPr>
        <w:t xml:space="preserve">Con base en las anteriores consideraciones, esta Agencia concluye que ha de entenderse que, para efectos de la Ley de Garantías Electorales y, en particular, para la prohibición o restricción temporal contenida en su artículo 33, que la «contratación directa» es cualquier sistema de selección o procedimiento de contratación utilizado por las entidades estatales que no incluya la convocatoria pública en alguna de sus etapas, ni permita la participación de una pluralidad de oferentes. De lo anterior se desprende que la prohibición aplica, sin perjuicio de las excepciones establecidas en la misma ley, para celebrar cualquier contrato </w:t>
      </w:r>
      <w:r w:rsidRPr="00751C77">
        <w:rPr>
          <w:rFonts w:ascii="Arial" w:eastAsia="Calibri" w:hAnsi="Arial" w:cs="Arial"/>
          <w:color w:val="000000" w:themeColor="text1"/>
          <w:sz w:val="22"/>
        </w:rPr>
        <w:lastRenderedPageBreak/>
        <w:t xml:space="preserve">que se celebre de forma directa, esto es, sin que exista un proceso abierto y competitivo. </w:t>
      </w:r>
    </w:p>
    <w:p w14:paraId="645AD6EE" w14:textId="3B253F4E" w:rsidR="007D4247" w:rsidRPr="00751C77" w:rsidRDefault="007D4247" w:rsidP="007D4247">
      <w:pPr>
        <w:widowControl w:val="0"/>
        <w:autoSpaceDE w:val="0"/>
        <w:autoSpaceDN w:val="0"/>
        <w:spacing w:after="120" w:line="276" w:lineRule="auto"/>
        <w:ind w:firstLine="708"/>
        <w:jc w:val="both"/>
        <w:rPr>
          <w:rFonts w:ascii="Arial" w:eastAsia="Calibri" w:hAnsi="Arial" w:cs="Arial"/>
          <w:color w:val="000000" w:themeColor="text1"/>
          <w:sz w:val="22"/>
        </w:rPr>
      </w:pPr>
      <w:r w:rsidRPr="00751C77">
        <w:rPr>
          <w:rFonts w:ascii="Arial" w:eastAsia="Calibri" w:hAnsi="Arial" w:cs="Arial"/>
          <w:color w:val="000000" w:themeColor="text1"/>
          <w:sz w:val="22"/>
        </w:rPr>
        <w:t>Así las cosas, los entes estatales, durante los cuatro (4) meses anteriores a la elección presidencial y hasta la realización de la elección en la segunda vuelta podrán celebrar contratos siempre que la escogencia del contratista se realice mediante un procedimiento abierto y competitivo, que permita la participación de una pluralidad de oferentes. Por el contrario, no le será posible a los entes estatales destinatarios del artículo 33 de la Ley 996 de 2005 celebrar contratos de forma directa, esto es</w:t>
      </w:r>
      <w:r w:rsidR="00F4092D" w:rsidRPr="00751C77">
        <w:rPr>
          <w:rFonts w:ascii="Arial" w:eastAsia="Calibri" w:hAnsi="Arial" w:cs="Arial"/>
          <w:color w:val="000000" w:themeColor="text1"/>
          <w:sz w:val="22"/>
        </w:rPr>
        <w:t>,</w:t>
      </w:r>
      <w:r w:rsidRPr="00751C77">
        <w:rPr>
          <w:rFonts w:ascii="Arial" w:eastAsia="Calibri" w:hAnsi="Arial" w:cs="Arial"/>
          <w:color w:val="000000" w:themeColor="text1"/>
          <w:sz w:val="22"/>
        </w:rPr>
        <w:t xml:space="preserve"> </w:t>
      </w:r>
      <w:r w:rsidR="00F4092D" w:rsidRPr="00751C77">
        <w:rPr>
          <w:rFonts w:ascii="Arial" w:eastAsia="Calibri" w:hAnsi="Arial" w:cs="Arial"/>
          <w:color w:val="000000" w:themeColor="text1"/>
          <w:sz w:val="22"/>
        </w:rPr>
        <w:t>mediante</w:t>
      </w:r>
      <w:r w:rsidRPr="00751C77">
        <w:rPr>
          <w:rFonts w:ascii="Arial" w:eastAsia="Calibri" w:hAnsi="Arial" w:cs="Arial"/>
          <w:color w:val="000000" w:themeColor="text1"/>
          <w:sz w:val="22"/>
        </w:rPr>
        <w:t xml:space="preserve"> cualquier sistema de selección de contratistas en el que no exista convocatoria pública, ni sea posible la participación de una pluralidad de oferentes, independientemente del régimen de contratación que se aplique. Lo último, salvo que el contrato específico a celebrar se enmarque en alguna de las excepciones establecidas en el inciso segundo del artículo 33 de la Ley 996 de 2005, bajo los cuales se excepciona la prohibición de la contratación directa, esto es,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Es responsabilidad del respectivo ente del Estado, examinar en cada caso concreto si el contrato a celebrar se enmarca en alguna de las mencionadas excepciones.</w:t>
      </w:r>
    </w:p>
    <w:p w14:paraId="0BF45FFA" w14:textId="77777777" w:rsidR="007D4247" w:rsidRPr="00751C77" w:rsidRDefault="007D4247" w:rsidP="007D4247">
      <w:pPr>
        <w:widowControl w:val="0"/>
        <w:autoSpaceDE w:val="0"/>
        <w:autoSpaceDN w:val="0"/>
        <w:spacing w:after="120" w:line="276" w:lineRule="auto"/>
        <w:ind w:firstLine="708"/>
        <w:jc w:val="both"/>
        <w:rPr>
          <w:rFonts w:ascii="Arial" w:eastAsia="Calibri" w:hAnsi="Arial" w:cs="Arial"/>
          <w:color w:val="000000" w:themeColor="text1"/>
          <w:sz w:val="22"/>
        </w:rPr>
      </w:pPr>
      <w:r w:rsidRPr="00751C77">
        <w:rPr>
          <w:rFonts w:ascii="Arial" w:eastAsia="Calibri" w:hAnsi="Arial" w:cs="Arial"/>
          <w:color w:val="000000" w:themeColor="text1"/>
          <w:sz w:val="22"/>
        </w:rPr>
        <w:t xml:space="preserve">De otro lado, es importante reiterar lo explicado en las consideraciones, en el sentido de que el parágrafo del artículo 38 de la Ley 996 de 2005 prohíbe a los alcaldes, gobernadores, secretarios, gerentes y directores de las entidades del orden municipal, departamental o distrital celebrar convenios y contratos interadministrativos para la ejecución de recursos públicos dentro de los cuatro (4) meses anteriores a las elecciones. Así las cosas, si una o ambas partes de la relación contractual es una entidad de aquellas descritas en el parágrafo </w:t>
      </w:r>
      <w:r w:rsidRPr="00751C77">
        <w:rPr>
          <w:rFonts w:ascii="Arial" w:eastAsia="Calibri" w:hAnsi="Arial" w:cs="Arial"/>
          <w:i/>
          <w:iCs/>
          <w:color w:val="000000" w:themeColor="text1"/>
          <w:sz w:val="22"/>
        </w:rPr>
        <w:t>ibidem</w:t>
      </w:r>
      <w:r w:rsidRPr="00751C77">
        <w:rPr>
          <w:rFonts w:ascii="Arial" w:eastAsia="Calibri" w:hAnsi="Arial" w:cs="Arial"/>
          <w:color w:val="000000" w:themeColor="text1"/>
          <w:sz w:val="22"/>
        </w:rPr>
        <w:t xml:space="preserve">, no podrá celebrar tales convenios o contratos interadministrativos durante el ámbito temporal de esta prohibición, toda vez que la citada disposición hace referencia a dicha tipología contractual sin que el legislador hubiere contemplado excepción alguna frente a la modalidad de selección o naturaleza de su objeto. </w:t>
      </w:r>
    </w:p>
    <w:p w14:paraId="237F07CC" w14:textId="18E55519" w:rsidR="00F4092D" w:rsidRPr="00751C77" w:rsidRDefault="00F4092D" w:rsidP="00F4092D">
      <w:pPr>
        <w:spacing w:after="120" w:line="276" w:lineRule="auto"/>
        <w:ind w:firstLine="708"/>
        <w:jc w:val="both"/>
        <w:rPr>
          <w:rFonts w:ascii="Arial" w:eastAsia="Calibri" w:hAnsi="Arial" w:cs="Arial"/>
          <w:color w:val="000000" w:themeColor="text1"/>
          <w:sz w:val="22"/>
          <w:szCs w:val="22"/>
          <w:lang w:val="es-MX"/>
        </w:rPr>
      </w:pPr>
      <w:r w:rsidRPr="00751C77">
        <w:rPr>
          <w:rFonts w:ascii="Arial" w:eastAsia="Calibri" w:hAnsi="Arial" w:cs="Arial"/>
          <w:color w:val="000000" w:themeColor="text1"/>
          <w:sz w:val="22"/>
          <w:szCs w:val="22"/>
          <w:lang w:val="es-MX"/>
        </w:rPr>
        <w:t xml:space="preserve">Ahora bien, armonizando el desarrollo realizado frente a los convenios de que trata el Decreto 092 para la contratación con entidades privadas sin ánimo de lucro, frente a las restricciones </w:t>
      </w:r>
      <w:r w:rsidR="001C48D9" w:rsidRPr="00751C77">
        <w:rPr>
          <w:rFonts w:ascii="Arial" w:eastAsia="Calibri" w:hAnsi="Arial" w:cs="Arial"/>
          <w:color w:val="000000" w:themeColor="text1"/>
          <w:sz w:val="22"/>
          <w:szCs w:val="22"/>
          <w:lang w:val="es-MX"/>
        </w:rPr>
        <w:t>impuestas</w:t>
      </w:r>
      <w:r w:rsidRPr="00751C77">
        <w:rPr>
          <w:rFonts w:ascii="Arial" w:eastAsia="Calibri" w:hAnsi="Arial" w:cs="Arial"/>
          <w:color w:val="000000" w:themeColor="text1"/>
          <w:sz w:val="22"/>
          <w:szCs w:val="22"/>
          <w:lang w:val="es-MX"/>
        </w:rPr>
        <w:t xml:space="preserve"> por la Ley de Garantías Electorales cabe señalar lo siguiente. i) Debido a que dichos contratos se celebran con entidades </w:t>
      </w:r>
      <w:r w:rsidRPr="00751C77">
        <w:rPr>
          <w:rFonts w:ascii="Arial" w:eastAsia="Calibri" w:hAnsi="Arial" w:cs="Arial"/>
          <w:i/>
          <w:iCs/>
          <w:color w:val="000000" w:themeColor="text1"/>
          <w:sz w:val="22"/>
          <w:szCs w:val="22"/>
          <w:lang w:val="es-MX"/>
        </w:rPr>
        <w:t xml:space="preserve">privadas </w:t>
      </w:r>
      <w:r w:rsidRPr="00751C77">
        <w:rPr>
          <w:rFonts w:ascii="Arial" w:eastAsia="Calibri" w:hAnsi="Arial" w:cs="Arial"/>
          <w:color w:val="000000" w:themeColor="text1"/>
          <w:sz w:val="22"/>
          <w:szCs w:val="22"/>
          <w:lang w:val="es-MX"/>
        </w:rPr>
        <w:t xml:space="preserve">sin ánimo de lucro, en relación con ellos no resultaría aplicable la restricción del parágrafo del artículo 38 de la Ley 996 de 2005, toda vez que no se cumple con el criterio subjetivo –u orgánico– de ser contratos entre entidades públicas, toda vez que una de las partes sería un particular, por lo que no serían contratos interadministrativos. En tal sentido, frente a los contratos o convenios de que trata el Decreto 092 de 2017 no resulta aplicable la prohibición indicada. </w:t>
      </w:r>
      <w:r w:rsidRPr="00751C77">
        <w:rPr>
          <w:rFonts w:ascii="Arial" w:eastAsia="Calibri" w:hAnsi="Arial" w:cs="Arial"/>
          <w:color w:val="000000" w:themeColor="text1"/>
          <w:sz w:val="22"/>
          <w:szCs w:val="22"/>
          <w:lang w:val="es-MX"/>
        </w:rPr>
        <w:lastRenderedPageBreak/>
        <w:t>ii) Ahora bien, la prohibición de la contratación directa establecida en el artículo 33 de la Ley de Garantías Electorales sí aplicaría frente a los convenios del Decreto 092 de 2017 exclusivamente frente a los procesos no competitivos, ya que en ellos se presenta una selección directa del contratista, lo que implica una contratación directa; sin embargo, cuando se trate de procesos competitivos no resultaría aplicable dicha prohibición.</w:t>
      </w:r>
    </w:p>
    <w:p w14:paraId="6A559D07" w14:textId="34E7C09E" w:rsidR="001C48D9" w:rsidRPr="00B76D7E" w:rsidRDefault="001C48D9" w:rsidP="00F4092D">
      <w:pPr>
        <w:spacing w:after="120" w:line="276" w:lineRule="auto"/>
        <w:ind w:firstLine="708"/>
        <w:jc w:val="both"/>
        <w:rPr>
          <w:rFonts w:ascii="Arial" w:eastAsia="Calibri" w:hAnsi="Arial" w:cs="Arial"/>
          <w:color w:val="000000" w:themeColor="text1"/>
          <w:sz w:val="22"/>
          <w:szCs w:val="22"/>
          <w:lang w:val="es-MX"/>
        </w:rPr>
      </w:pPr>
      <w:r w:rsidRPr="00751C77">
        <w:rPr>
          <w:rFonts w:ascii="Arial" w:eastAsia="Calibri" w:hAnsi="Arial" w:cs="Arial"/>
          <w:color w:val="000000" w:themeColor="text1"/>
          <w:sz w:val="22"/>
          <w:szCs w:val="22"/>
          <w:lang w:val="es-MX"/>
        </w:rPr>
        <w:t xml:space="preserve">De acuerdo con el análisis realizado respecto al alcance de las prohibiciones establecidas en la Ley de Garantías Electorales, le corresponde a cada entidad estatal definir la procedencia de celebrar determinado </w:t>
      </w:r>
      <w:r w:rsidR="00B64D66" w:rsidRPr="00751C77">
        <w:rPr>
          <w:rFonts w:ascii="Arial" w:eastAsia="Calibri" w:hAnsi="Arial" w:cs="Arial"/>
          <w:color w:val="000000" w:themeColor="text1"/>
          <w:sz w:val="22"/>
          <w:szCs w:val="22"/>
          <w:lang w:val="es-MX"/>
        </w:rPr>
        <w:t>negocio jurídico en particular.</w:t>
      </w:r>
    </w:p>
    <w:p w14:paraId="73020749" w14:textId="77777777" w:rsidR="00F4092D" w:rsidRPr="00751C77" w:rsidRDefault="00F4092D" w:rsidP="007D4247">
      <w:pPr>
        <w:widowControl w:val="0"/>
        <w:autoSpaceDE w:val="0"/>
        <w:autoSpaceDN w:val="0"/>
        <w:spacing w:after="120" w:line="276" w:lineRule="auto"/>
        <w:ind w:firstLine="708"/>
        <w:jc w:val="both"/>
        <w:rPr>
          <w:rFonts w:ascii="Arial" w:eastAsia="Arial" w:hAnsi="Arial" w:cs="Arial"/>
          <w:sz w:val="22"/>
          <w:szCs w:val="22"/>
          <w:lang w:val="es-MX" w:eastAsia="es-ES" w:bidi="es-ES"/>
        </w:rPr>
      </w:pPr>
    </w:p>
    <w:p w14:paraId="0A7BABD1" w14:textId="27250C6D" w:rsidR="000A0DF7" w:rsidRPr="00910945" w:rsidRDefault="000A0DF7" w:rsidP="00B117EC">
      <w:pPr>
        <w:spacing w:line="276" w:lineRule="auto"/>
        <w:jc w:val="both"/>
        <w:rPr>
          <w:rFonts w:ascii="Arial" w:eastAsia="Calibri" w:hAnsi="Arial" w:cs="Arial"/>
          <w:color w:val="000000" w:themeColor="text1"/>
          <w:sz w:val="22"/>
          <w:szCs w:val="22"/>
          <w:lang w:val="es-ES_tradnl" w:eastAsia="en-US"/>
        </w:rPr>
      </w:pPr>
      <w:r w:rsidRPr="00400B70">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457B169D" w14:textId="77777777" w:rsidR="000A0DF7" w:rsidRPr="00400B70" w:rsidRDefault="000A0DF7" w:rsidP="000A0DF7">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7B6487EF" w14:textId="4366C819" w:rsidR="0025336C" w:rsidRPr="00400B70" w:rsidRDefault="000A0DF7" w:rsidP="0025336C">
      <w:pPr>
        <w:pStyle w:val="NormalWeb"/>
        <w:spacing w:before="0" w:beforeAutospacing="0" w:after="0" w:afterAutospacing="0" w:line="276" w:lineRule="auto"/>
        <w:jc w:val="both"/>
        <w:rPr>
          <w:rFonts w:ascii="Arial" w:hAnsi="Arial" w:cs="Arial"/>
          <w:color w:val="000000" w:themeColor="text1"/>
          <w:sz w:val="22"/>
          <w:szCs w:val="22"/>
          <w:lang w:val="es-ES_tradnl"/>
        </w:rPr>
      </w:pPr>
      <w:r w:rsidRPr="00400B70">
        <w:rPr>
          <w:rFonts w:ascii="Arial" w:hAnsi="Arial" w:cs="Arial"/>
          <w:color w:val="000000" w:themeColor="text1"/>
          <w:sz w:val="22"/>
          <w:szCs w:val="22"/>
          <w:lang w:val="es-ES_tradnl"/>
        </w:rPr>
        <w:t>Atentamente,</w:t>
      </w:r>
    </w:p>
    <w:p w14:paraId="396D9EE7" w14:textId="4EF06A78" w:rsidR="008E4688" w:rsidRPr="007825AE" w:rsidRDefault="00B940BC" w:rsidP="008E4688">
      <w:pPr>
        <w:jc w:val="center"/>
        <w:rPr>
          <w:rFonts w:ascii="Arial" w:hAnsi="Arial" w:cs="Arial"/>
          <w:sz w:val="18"/>
          <w:szCs w:val="20"/>
          <w:lang w:val="es-ES" w:eastAsia="es-CO"/>
        </w:rPr>
      </w:pPr>
      <w:r w:rsidRPr="009000E4">
        <w:rPr>
          <w:rFonts w:ascii="Arial" w:hAnsi="Arial" w:cs="Arial"/>
          <w:noProof/>
          <w:lang w:val="es-ES_tradnl"/>
        </w:rPr>
        <w:drawing>
          <wp:inline distT="0" distB="0" distL="0" distR="0" wp14:anchorId="1758B482" wp14:editId="4111ACA1">
            <wp:extent cx="2514600" cy="1114425"/>
            <wp:effectExtent l="0" t="0" r="0" b="9525"/>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14600" cy="1114425"/>
                    </a:xfrm>
                    <a:prstGeom prst="rect">
                      <a:avLst/>
                    </a:prstGeom>
                    <a:noFill/>
                    <a:ln>
                      <a:noFill/>
                    </a:ln>
                  </pic:spPr>
                </pic:pic>
              </a:graphicData>
            </a:graphic>
          </wp:inline>
        </w:drawing>
      </w:r>
    </w:p>
    <w:p w14:paraId="3D75E3E7" w14:textId="77777777" w:rsidR="008E4688" w:rsidRPr="007825AE" w:rsidRDefault="008E4688" w:rsidP="008E4688">
      <w:pPr>
        <w:jc w:val="center"/>
        <w:rPr>
          <w:rFonts w:ascii="Arial" w:hAnsi="Arial" w:cs="Arial"/>
          <w:sz w:val="18"/>
          <w:szCs w:val="20"/>
          <w:lang w:val="es-ES" w:eastAsia="es-CO"/>
        </w:rPr>
      </w:pPr>
    </w:p>
    <w:tbl>
      <w:tblPr>
        <w:tblStyle w:val="Tablaconcuadrcula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8E4688" w:rsidRPr="007825AE" w14:paraId="228F4436" w14:textId="77777777" w:rsidTr="001B7450">
        <w:trPr>
          <w:trHeight w:val="315"/>
        </w:trPr>
        <w:tc>
          <w:tcPr>
            <w:tcW w:w="812" w:type="dxa"/>
            <w:vAlign w:val="center"/>
            <w:hideMark/>
          </w:tcPr>
          <w:p w14:paraId="6EB4E28B" w14:textId="77777777" w:rsidR="008E4688" w:rsidRPr="007825AE" w:rsidRDefault="008E4688" w:rsidP="001B7450">
            <w:pPr>
              <w:rPr>
                <w:rFonts w:ascii="Arial" w:hAnsi="Arial" w:cs="Arial"/>
                <w:sz w:val="16"/>
                <w:szCs w:val="16"/>
                <w:lang w:val="es-ES" w:eastAsia="es-ES"/>
              </w:rPr>
            </w:pPr>
            <w:r w:rsidRPr="007825AE">
              <w:rPr>
                <w:rFonts w:ascii="Arial" w:hAnsi="Arial" w:cs="Arial"/>
                <w:sz w:val="16"/>
                <w:szCs w:val="16"/>
                <w:lang w:val="es-ES" w:eastAsia="es-ES"/>
              </w:rPr>
              <w:t>Elaboró:</w:t>
            </w:r>
          </w:p>
        </w:tc>
        <w:tc>
          <w:tcPr>
            <w:tcW w:w="4413" w:type="dxa"/>
            <w:tcBorders>
              <w:top w:val="nil"/>
              <w:left w:val="nil"/>
              <w:bottom w:val="dotted" w:sz="4" w:space="0" w:color="7F7F7F" w:themeColor="text1" w:themeTint="80"/>
              <w:right w:val="nil"/>
            </w:tcBorders>
            <w:vAlign w:val="center"/>
            <w:hideMark/>
          </w:tcPr>
          <w:p w14:paraId="2C63CF3B" w14:textId="77777777" w:rsidR="008E4688" w:rsidRPr="007825AE" w:rsidRDefault="008E4688" w:rsidP="001B7450">
            <w:pPr>
              <w:rPr>
                <w:rFonts w:ascii="Arial" w:hAnsi="Arial" w:cs="Arial"/>
                <w:sz w:val="16"/>
                <w:szCs w:val="16"/>
                <w:lang w:val="es-ES" w:eastAsia="es-ES"/>
              </w:rPr>
            </w:pPr>
            <w:r w:rsidRPr="007825AE">
              <w:rPr>
                <w:rFonts w:ascii="Arial" w:hAnsi="Arial" w:cs="Arial"/>
                <w:sz w:val="16"/>
                <w:szCs w:val="16"/>
                <w:lang w:val="es-ES" w:eastAsia="es-ES"/>
              </w:rPr>
              <w:t>Camilo Perdomo Villamil</w:t>
            </w:r>
          </w:p>
          <w:p w14:paraId="0C11D118" w14:textId="77777777" w:rsidR="008E4688" w:rsidRPr="007825AE" w:rsidRDefault="008E4688" w:rsidP="001B7450">
            <w:pPr>
              <w:rPr>
                <w:rFonts w:ascii="Arial" w:hAnsi="Arial" w:cs="Arial"/>
                <w:sz w:val="16"/>
                <w:szCs w:val="16"/>
                <w:lang w:val="es-ES" w:eastAsia="es-ES"/>
              </w:rPr>
            </w:pPr>
            <w:r w:rsidRPr="007825AE">
              <w:rPr>
                <w:rFonts w:ascii="Arial" w:hAnsi="Arial" w:cs="Arial"/>
                <w:sz w:val="16"/>
                <w:szCs w:val="16"/>
                <w:lang w:val="es-ES" w:eastAsia="es-ES"/>
              </w:rPr>
              <w:t>Contratista de la Subdirección de Gestión Contractual</w:t>
            </w:r>
          </w:p>
        </w:tc>
      </w:tr>
      <w:tr w:rsidR="008E4688" w:rsidRPr="007825AE" w14:paraId="34E0C9C3" w14:textId="77777777" w:rsidTr="001B7450">
        <w:trPr>
          <w:trHeight w:val="330"/>
        </w:trPr>
        <w:tc>
          <w:tcPr>
            <w:tcW w:w="812" w:type="dxa"/>
            <w:vAlign w:val="center"/>
            <w:hideMark/>
          </w:tcPr>
          <w:p w14:paraId="6D3891D3" w14:textId="77777777" w:rsidR="008E4688" w:rsidRPr="007825AE" w:rsidRDefault="008E4688" w:rsidP="001B7450">
            <w:pPr>
              <w:rPr>
                <w:rFonts w:ascii="Arial" w:hAnsi="Arial" w:cs="Arial"/>
                <w:sz w:val="16"/>
                <w:szCs w:val="16"/>
                <w:lang w:val="es-ES" w:eastAsia="es-ES"/>
              </w:rPr>
            </w:pPr>
            <w:r w:rsidRPr="007825AE">
              <w:rPr>
                <w:rFonts w:ascii="Arial" w:hAnsi="Arial" w:cs="Arial"/>
                <w:sz w:val="16"/>
                <w:szCs w:val="16"/>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E3F2D0F" w14:textId="5759EC1B" w:rsidR="008E4688" w:rsidRPr="007825AE" w:rsidRDefault="007D4247" w:rsidP="001B7450">
            <w:pPr>
              <w:rPr>
                <w:rFonts w:ascii="Arial" w:hAnsi="Arial" w:cs="Arial"/>
                <w:sz w:val="16"/>
                <w:szCs w:val="16"/>
                <w:lang w:val="es-ES" w:eastAsia="es-ES"/>
              </w:rPr>
            </w:pPr>
            <w:r>
              <w:rPr>
                <w:rFonts w:ascii="Arial" w:hAnsi="Arial" w:cs="Arial"/>
                <w:sz w:val="16"/>
                <w:szCs w:val="16"/>
                <w:lang w:val="es-ES" w:eastAsia="es-ES"/>
              </w:rPr>
              <w:t>Sebastián Ramírez Grisales</w:t>
            </w:r>
          </w:p>
          <w:p w14:paraId="48B07762" w14:textId="51E072C4" w:rsidR="008E4688" w:rsidRPr="007825AE" w:rsidRDefault="007D4247" w:rsidP="001B7450">
            <w:pPr>
              <w:rPr>
                <w:rFonts w:ascii="Arial" w:hAnsi="Arial" w:cs="Arial"/>
                <w:sz w:val="16"/>
                <w:szCs w:val="16"/>
                <w:lang w:val="es-ES" w:eastAsia="es-ES"/>
              </w:rPr>
            </w:pPr>
            <w:r>
              <w:rPr>
                <w:rFonts w:ascii="Arial" w:hAnsi="Arial" w:cs="Arial"/>
                <w:sz w:val="16"/>
                <w:szCs w:val="16"/>
                <w:lang w:val="es-ES" w:eastAsia="es-ES"/>
              </w:rPr>
              <w:t>Contratista de la</w:t>
            </w:r>
            <w:r w:rsidR="008E4688" w:rsidRPr="007825AE">
              <w:rPr>
                <w:rFonts w:ascii="Arial" w:hAnsi="Arial" w:cs="Arial"/>
                <w:sz w:val="16"/>
                <w:szCs w:val="16"/>
                <w:lang w:val="es-ES" w:eastAsia="es-ES"/>
              </w:rPr>
              <w:t xml:space="preserve"> Subdirección de Gestión Contractual</w:t>
            </w:r>
          </w:p>
        </w:tc>
      </w:tr>
      <w:tr w:rsidR="008E4688" w:rsidRPr="007825AE" w14:paraId="7019E126" w14:textId="77777777" w:rsidTr="001B7450">
        <w:trPr>
          <w:trHeight w:val="300"/>
        </w:trPr>
        <w:tc>
          <w:tcPr>
            <w:tcW w:w="812" w:type="dxa"/>
            <w:vAlign w:val="center"/>
            <w:hideMark/>
          </w:tcPr>
          <w:p w14:paraId="2EA90B8B" w14:textId="77777777" w:rsidR="008E4688" w:rsidRPr="007825AE" w:rsidRDefault="008E4688" w:rsidP="001B7450">
            <w:pPr>
              <w:rPr>
                <w:rFonts w:ascii="Arial" w:hAnsi="Arial" w:cs="Arial"/>
                <w:sz w:val="16"/>
                <w:szCs w:val="16"/>
                <w:lang w:val="es-ES" w:eastAsia="es-ES"/>
              </w:rPr>
            </w:pPr>
            <w:r w:rsidRPr="007825AE">
              <w:rPr>
                <w:rFonts w:ascii="Arial" w:hAnsi="Arial" w:cs="Arial"/>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62C94D6" w14:textId="77777777" w:rsidR="008E4688" w:rsidRPr="007825AE" w:rsidRDefault="008E4688" w:rsidP="001B7450">
            <w:pPr>
              <w:rPr>
                <w:rFonts w:ascii="Arial" w:hAnsi="Arial" w:cs="Arial"/>
                <w:sz w:val="16"/>
                <w:szCs w:val="16"/>
                <w:lang w:val="es-ES" w:eastAsia="es-ES"/>
              </w:rPr>
            </w:pPr>
            <w:r w:rsidRPr="007825AE">
              <w:rPr>
                <w:rFonts w:ascii="Arial" w:hAnsi="Arial" w:cs="Arial"/>
                <w:sz w:val="16"/>
                <w:szCs w:val="16"/>
                <w:lang w:val="es-ES" w:eastAsia="es-ES"/>
              </w:rPr>
              <w:t>Jorge Augusto Tirado Navarro</w:t>
            </w:r>
          </w:p>
          <w:p w14:paraId="17569835" w14:textId="77777777" w:rsidR="008E4688" w:rsidRPr="007825AE" w:rsidRDefault="008E4688" w:rsidP="001B7450">
            <w:pPr>
              <w:rPr>
                <w:rFonts w:ascii="Arial" w:hAnsi="Arial" w:cs="Arial"/>
                <w:sz w:val="16"/>
                <w:szCs w:val="16"/>
                <w:lang w:val="es-ES" w:eastAsia="es-ES"/>
              </w:rPr>
            </w:pPr>
            <w:r w:rsidRPr="007825AE">
              <w:rPr>
                <w:rFonts w:ascii="Arial" w:hAnsi="Arial" w:cs="Arial"/>
                <w:sz w:val="16"/>
                <w:szCs w:val="16"/>
                <w:lang w:val="es-ES" w:eastAsia="es-ES"/>
              </w:rPr>
              <w:t>Subdirector de Gestión Contractual ANCP – CCE</w:t>
            </w:r>
          </w:p>
        </w:tc>
      </w:tr>
    </w:tbl>
    <w:p w14:paraId="2BDF5BFA" w14:textId="77777777" w:rsidR="008E4688" w:rsidRPr="007825AE" w:rsidRDefault="008E4688" w:rsidP="008E4688"/>
    <w:p w14:paraId="725DB761" w14:textId="5335B235" w:rsidR="62C4790C" w:rsidRDefault="62C4790C" w:rsidP="62C4790C"/>
    <w:sectPr w:rsidR="62C4790C"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705AF0" w14:textId="77777777" w:rsidR="00547C5C" w:rsidRDefault="00547C5C">
      <w:r>
        <w:separator/>
      </w:r>
    </w:p>
  </w:endnote>
  <w:endnote w:type="continuationSeparator" w:id="0">
    <w:p w14:paraId="442D360C" w14:textId="77777777" w:rsidR="00547C5C" w:rsidRDefault="00547C5C">
      <w:r>
        <w:continuationSeparator/>
      </w:r>
    </w:p>
  </w:endnote>
  <w:endnote w:type="continuationNotice" w:id="1">
    <w:p w14:paraId="4EFDA379" w14:textId="77777777" w:rsidR="00547C5C" w:rsidRDefault="00547C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MT">
    <w:altName w:val="Arial"/>
    <w:charset w:val="01"/>
    <w:family w:val="swiss"/>
    <w:pitch w:val="variable"/>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15145A" w:rsidRDefault="0015145A" w:rsidP="00322937">
    <w:pPr>
      <w:pStyle w:val="Sinespaciado"/>
      <w:jc w:val="right"/>
      <w:rPr>
        <w:rFonts w:ascii="Arial" w:hAnsi="Arial" w:cs="Arial"/>
        <w:sz w:val="18"/>
        <w:szCs w:val="18"/>
      </w:rPr>
    </w:pPr>
  </w:p>
  <w:p w14:paraId="7A3785F3" w14:textId="3E56AC19" w:rsidR="0015145A" w:rsidRPr="008217B7" w:rsidRDefault="0015145A"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A36D47">
      <w:rPr>
        <w:rFonts w:ascii="Arial" w:hAnsi="Arial" w:cs="Arial"/>
        <w:b/>
        <w:bCs/>
        <w:noProof/>
        <w:color w:val="7F7F7F" w:themeColor="text1" w:themeTint="80"/>
        <w:sz w:val="16"/>
        <w:szCs w:val="16"/>
      </w:rPr>
      <w:t>23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A36D47">
      <w:rPr>
        <w:rFonts w:ascii="Arial" w:hAnsi="Arial" w:cs="Arial"/>
        <w:b/>
        <w:bCs/>
        <w:noProof/>
        <w:color w:val="7F7F7F" w:themeColor="text1" w:themeTint="80"/>
        <w:sz w:val="16"/>
        <w:szCs w:val="16"/>
      </w:rPr>
      <w:t>24</w:t>
    </w:r>
    <w:r w:rsidRPr="00084B97">
      <w:rPr>
        <w:rFonts w:ascii="Arial" w:hAnsi="Arial" w:cs="Arial"/>
        <w:b/>
        <w:bCs/>
        <w:color w:val="7F7F7F" w:themeColor="text1" w:themeTint="80"/>
        <w:sz w:val="16"/>
        <w:szCs w:val="16"/>
      </w:rPr>
      <w:fldChar w:fldCharType="end"/>
    </w:r>
  </w:p>
  <w:p w14:paraId="48FC6A04" w14:textId="5FD1A7C9" w:rsidR="0015145A" w:rsidRDefault="0015145A" w:rsidP="00322937">
    <w:pPr>
      <w:pStyle w:val="Piedepgina"/>
      <w:jc w:val="center"/>
      <w:rPr>
        <w:lang w:val="es-ES"/>
      </w:rPr>
    </w:pPr>
    <w:r>
      <w:rPr>
        <w:noProof/>
        <w:lang w:val="en-U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15145A" w:rsidRDefault="0015145A" w:rsidP="007B0854">
    <w:pPr>
      <w:pStyle w:val="Piedepgina"/>
      <w:jc w:val="center"/>
      <w:rPr>
        <w:lang w:val="es-ES"/>
      </w:rPr>
    </w:pPr>
  </w:p>
  <w:p w14:paraId="6C0EFC49" w14:textId="77777777" w:rsidR="0015145A" w:rsidRPr="007B0854" w:rsidRDefault="0015145A"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262542" w14:textId="77777777" w:rsidR="00547C5C" w:rsidRDefault="00547C5C">
      <w:r>
        <w:separator/>
      </w:r>
    </w:p>
  </w:footnote>
  <w:footnote w:type="continuationSeparator" w:id="0">
    <w:p w14:paraId="3CDE4658" w14:textId="77777777" w:rsidR="00547C5C" w:rsidRDefault="00547C5C">
      <w:r>
        <w:continuationSeparator/>
      </w:r>
    </w:p>
  </w:footnote>
  <w:footnote w:type="continuationNotice" w:id="1">
    <w:p w14:paraId="70100786" w14:textId="77777777" w:rsidR="00547C5C" w:rsidRDefault="00547C5C"/>
  </w:footnote>
  <w:footnote w:id="2">
    <w:p w14:paraId="4E665EB0" w14:textId="77777777" w:rsidR="00B87F7B" w:rsidRPr="00B97354" w:rsidRDefault="00B87F7B" w:rsidP="00B87F7B">
      <w:pPr>
        <w:pStyle w:val="Textonotapie"/>
        <w:ind w:firstLine="708"/>
        <w:jc w:val="both"/>
        <w:rPr>
          <w:rFonts w:ascii="Arial" w:hAnsi="Arial" w:cs="Arial"/>
          <w:color w:val="000000" w:themeColor="text1"/>
          <w:sz w:val="19"/>
          <w:szCs w:val="19"/>
          <w:lang w:val="es-ES"/>
        </w:rPr>
      </w:pPr>
      <w:r w:rsidRPr="00B97354">
        <w:rPr>
          <w:rStyle w:val="Refdenotaalpie"/>
          <w:rFonts w:ascii="Arial" w:hAnsi="Arial" w:cs="Arial"/>
          <w:color w:val="000000" w:themeColor="text1"/>
          <w:sz w:val="19"/>
          <w:szCs w:val="19"/>
        </w:rPr>
        <w:footnoteRef/>
      </w:r>
      <w:r w:rsidRPr="00B97354">
        <w:rPr>
          <w:rFonts w:ascii="Arial" w:hAnsi="Arial" w:cs="Arial"/>
          <w:color w:val="000000" w:themeColor="text1"/>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B97354">
        <w:rPr>
          <w:rFonts w:ascii="Arial" w:hAnsi="Arial" w:cs="Arial"/>
          <w:i/>
          <w:iCs/>
          <w:color w:val="000000" w:themeColor="text1"/>
          <w:sz w:val="19"/>
          <w:szCs w:val="19"/>
        </w:rPr>
        <w:t xml:space="preserve">ibidem </w:t>
      </w:r>
      <w:r w:rsidRPr="00B97354">
        <w:rPr>
          <w:rFonts w:ascii="Arial" w:hAnsi="Arial" w:cs="Arial"/>
          <w:color w:val="000000" w:themeColor="text1"/>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3">
    <w:p w14:paraId="51C5A9E6" w14:textId="77777777" w:rsidR="00535D23" w:rsidRPr="00910945" w:rsidRDefault="00535D23" w:rsidP="008C656C">
      <w:pPr>
        <w:pStyle w:val="Textonotapie"/>
        <w:ind w:firstLine="709"/>
        <w:jc w:val="both"/>
        <w:rPr>
          <w:rFonts w:ascii="Arial" w:hAnsi="Arial" w:cs="Arial"/>
          <w:sz w:val="18"/>
          <w:szCs w:val="18"/>
        </w:rPr>
      </w:pPr>
    </w:p>
    <w:p w14:paraId="2713B259" w14:textId="77777777" w:rsidR="00535D23" w:rsidRPr="00910945" w:rsidRDefault="00535D23" w:rsidP="008C656C">
      <w:pPr>
        <w:pStyle w:val="Textonotapie"/>
        <w:ind w:firstLine="709"/>
        <w:jc w:val="both"/>
        <w:rPr>
          <w:rFonts w:ascii="Arial" w:hAnsi="Arial" w:cs="Arial"/>
          <w:sz w:val="18"/>
          <w:szCs w:val="18"/>
        </w:rPr>
      </w:pPr>
      <w:r w:rsidRPr="00910945">
        <w:rPr>
          <w:rStyle w:val="Refdenotaalpie"/>
          <w:rFonts w:ascii="Arial" w:hAnsi="Arial" w:cs="Arial"/>
          <w:sz w:val="18"/>
          <w:szCs w:val="18"/>
        </w:rPr>
        <w:footnoteRef/>
      </w:r>
      <w:r w:rsidRPr="00910945">
        <w:rPr>
          <w:rFonts w:ascii="Arial" w:hAnsi="Arial" w:cs="Arial"/>
          <w:sz w:val="18"/>
          <w:szCs w:val="18"/>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39ADD959" w14:textId="77777777" w:rsidR="00535D23" w:rsidRPr="00910945" w:rsidRDefault="00535D23" w:rsidP="008C656C">
      <w:pPr>
        <w:pStyle w:val="Textonotapie"/>
        <w:ind w:firstLine="709"/>
        <w:jc w:val="both"/>
        <w:rPr>
          <w:rFonts w:ascii="Arial" w:hAnsi="Arial" w:cs="Arial"/>
          <w:sz w:val="18"/>
          <w:szCs w:val="18"/>
        </w:rPr>
      </w:pPr>
      <w:r w:rsidRPr="00910945">
        <w:rPr>
          <w:rFonts w:ascii="Arial" w:hAnsi="Arial" w:cs="Arial"/>
          <w:sz w:val="18"/>
          <w:szCs w:val="18"/>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p w14:paraId="5D77FD14" w14:textId="77777777" w:rsidR="00535D23" w:rsidRPr="00910945" w:rsidRDefault="00535D23" w:rsidP="008C656C">
      <w:pPr>
        <w:pStyle w:val="Textonotapie"/>
        <w:ind w:firstLine="709"/>
        <w:jc w:val="both"/>
        <w:rPr>
          <w:rFonts w:ascii="Arial" w:hAnsi="Arial" w:cs="Arial"/>
          <w:sz w:val="18"/>
          <w:szCs w:val="18"/>
        </w:rPr>
      </w:pPr>
    </w:p>
  </w:footnote>
  <w:footnote w:id="4">
    <w:p w14:paraId="5F34C89F" w14:textId="77777777" w:rsidR="00535D23" w:rsidRPr="00910945" w:rsidRDefault="00535D23" w:rsidP="008C656C">
      <w:pPr>
        <w:pStyle w:val="Textonotapie"/>
        <w:ind w:firstLine="709"/>
        <w:jc w:val="both"/>
        <w:rPr>
          <w:rFonts w:ascii="Arial" w:hAnsi="Arial" w:cs="Arial"/>
          <w:sz w:val="18"/>
          <w:szCs w:val="18"/>
        </w:rPr>
      </w:pPr>
      <w:r w:rsidRPr="00910945">
        <w:rPr>
          <w:rStyle w:val="Refdenotaalpie"/>
          <w:rFonts w:ascii="Arial" w:hAnsi="Arial" w:cs="Arial"/>
          <w:sz w:val="18"/>
          <w:szCs w:val="18"/>
        </w:rPr>
        <w:footnoteRef/>
      </w:r>
      <w:r w:rsidRPr="00910945">
        <w:rPr>
          <w:rFonts w:ascii="Arial" w:hAnsi="Arial" w:cs="Arial"/>
          <w:sz w:val="18"/>
          <w:szCs w:val="18"/>
        </w:rPr>
        <w:t xml:space="preserve"> Gaceta del Congreso de la República No. 71 del 2005.</w:t>
      </w:r>
    </w:p>
    <w:p w14:paraId="07016C3C" w14:textId="77777777" w:rsidR="00535D23" w:rsidRPr="00910945" w:rsidRDefault="00535D23" w:rsidP="008C656C">
      <w:pPr>
        <w:pStyle w:val="Textonotapie"/>
        <w:ind w:firstLine="709"/>
        <w:jc w:val="both"/>
        <w:rPr>
          <w:rFonts w:ascii="Arial" w:hAnsi="Arial" w:cs="Arial"/>
          <w:sz w:val="18"/>
          <w:szCs w:val="18"/>
        </w:rPr>
      </w:pPr>
    </w:p>
  </w:footnote>
  <w:footnote w:id="5">
    <w:p w14:paraId="5CA1DF8F" w14:textId="77777777" w:rsidR="00535D23" w:rsidRPr="00910945" w:rsidRDefault="00535D23" w:rsidP="008C656C">
      <w:pPr>
        <w:pStyle w:val="Textonotapie"/>
        <w:ind w:firstLine="709"/>
        <w:jc w:val="both"/>
        <w:rPr>
          <w:rFonts w:ascii="Arial" w:hAnsi="Arial" w:cs="Arial"/>
          <w:sz w:val="18"/>
          <w:szCs w:val="18"/>
        </w:rPr>
      </w:pPr>
      <w:r w:rsidRPr="00910945">
        <w:rPr>
          <w:rStyle w:val="Refdenotaalpie"/>
          <w:rFonts w:ascii="Arial" w:hAnsi="Arial" w:cs="Arial"/>
          <w:sz w:val="18"/>
          <w:szCs w:val="18"/>
        </w:rPr>
        <w:footnoteRef/>
      </w:r>
      <w:r w:rsidRPr="00910945">
        <w:rPr>
          <w:rFonts w:ascii="Arial" w:hAnsi="Arial" w:cs="Arial"/>
          <w:sz w:val="18"/>
          <w:szCs w:val="18"/>
        </w:rPr>
        <w:t xml:space="preserve"> Corte Constitucional. Sentencia C- 1153 de 2005, M.P. Marco Gerardo Monroy Cabra.</w:t>
      </w:r>
    </w:p>
    <w:p w14:paraId="490A5FC5" w14:textId="77777777" w:rsidR="00535D23" w:rsidRPr="00910945" w:rsidRDefault="00535D23" w:rsidP="008C656C">
      <w:pPr>
        <w:pStyle w:val="Textonotapie"/>
        <w:ind w:firstLine="709"/>
        <w:jc w:val="both"/>
        <w:rPr>
          <w:rFonts w:ascii="Arial" w:hAnsi="Arial" w:cs="Arial"/>
          <w:sz w:val="18"/>
          <w:szCs w:val="18"/>
        </w:rPr>
      </w:pPr>
    </w:p>
  </w:footnote>
  <w:footnote w:id="6">
    <w:p w14:paraId="2E08D4D8" w14:textId="77777777" w:rsidR="00535D23" w:rsidRPr="00910945" w:rsidRDefault="00535D23" w:rsidP="008C656C">
      <w:pPr>
        <w:pStyle w:val="Textonotapie"/>
        <w:ind w:firstLine="709"/>
        <w:jc w:val="both"/>
        <w:rPr>
          <w:rFonts w:ascii="Arial" w:hAnsi="Arial" w:cs="Arial"/>
          <w:sz w:val="18"/>
          <w:szCs w:val="18"/>
        </w:rPr>
      </w:pPr>
      <w:r w:rsidRPr="00910945">
        <w:rPr>
          <w:rStyle w:val="Refdenotaalpie"/>
          <w:rFonts w:ascii="Arial" w:hAnsi="Arial" w:cs="Arial"/>
          <w:sz w:val="18"/>
          <w:szCs w:val="18"/>
        </w:rPr>
        <w:footnoteRef/>
      </w:r>
      <w:r w:rsidRPr="00910945">
        <w:rPr>
          <w:rFonts w:ascii="Arial" w:hAnsi="Arial" w:cs="Arial"/>
          <w:sz w:val="18"/>
          <w:szCs w:val="18"/>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p w14:paraId="23DA38DD" w14:textId="77777777" w:rsidR="00535D23" w:rsidRPr="00910945" w:rsidRDefault="00535D23" w:rsidP="008C656C">
      <w:pPr>
        <w:pStyle w:val="Textonotapie"/>
        <w:ind w:firstLine="709"/>
        <w:jc w:val="both"/>
        <w:rPr>
          <w:rFonts w:ascii="Arial" w:hAnsi="Arial" w:cs="Arial"/>
          <w:sz w:val="18"/>
          <w:szCs w:val="18"/>
        </w:rPr>
      </w:pPr>
    </w:p>
  </w:footnote>
  <w:footnote w:id="7">
    <w:p w14:paraId="05C43A53" w14:textId="77777777" w:rsidR="00535D23" w:rsidRPr="00910945" w:rsidRDefault="00535D23" w:rsidP="008C656C">
      <w:pPr>
        <w:pStyle w:val="Textonotapie"/>
        <w:ind w:firstLine="709"/>
        <w:jc w:val="both"/>
        <w:rPr>
          <w:rFonts w:ascii="Arial" w:hAnsi="Arial" w:cs="Arial"/>
          <w:sz w:val="18"/>
          <w:szCs w:val="18"/>
          <w:lang w:val="es-CO"/>
        </w:rPr>
      </w:pPr>
      <w:r w:rsidRPr="00910945">
        <w:rPr>
          <w:rStyle w:val="Refdenotaalpie"/>
          <w:rFonts w:ascii="Arial" w:hAnsi="Arial" w:cs="Arial"/>
          <w:sz w:val="18"/>
          <w:szCs w:val="18"/>
        </w:rPr>
        <w:footnoteRef/>
      </w:r>
      <w:r w:rsidRPr="00910945">
        <w:rPr>
          <w:rFonts w:ascii="Arial" w:hAnsi="Arial" w:cs="Arial"/>
          <w:sz w:val="18"/>
          <w:szCs w:val="18"/>
          <w:lang w:val="es-CO"/>
        </w:rPr>
        <w:t xml:space="preserve"> Consejo de Estado.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p w14:paraId="53FE32EE" w14:textId="77777777" w:rsidR="00535D23" w:rsidRPr="00910945" w:rsidRDefault="00535D23" w:rsidP="008C656C">
      <w:pPr>
        <w:pStyle w:val="Textonotapie"/>
        <w:ind w:firstLine="709"/>
        <w:jc w:val="both"/>
        <w:rPr>
          <w:rFonts w:ascii="Arial" w:hAnsi="Arial" w:cs="Arial"/>
          <w:sz w:val="18"/>
          <w:szCs w:val="18"/>
          <w:lang w:val="es-CO"/>
        </w:rPr>
      </w:pPr>
    </w:p>
  </w:footnote>
  <w:footnote w:id="8">
    <w:p w14:paraId="59F4B7D1" w14:textId="77777777" w:rsidR="00535D23" w:rsidRPr="00910945" w:rsidRDefault="00535D23" w:rsidP="008C656C">
      <w:pPr>
        <w:pStyle w:val="Textonotapie"/>
        <w:ind w:firstLine="709"/>
        <w:jc w:val="both"/>
        <w:rPr>
          <w:rFonts w:ascii="Arial" w:hAnsi="Arial" w:cs="Arial"/>
          <w:sz w:val="18"/>
          <w:szCs w:val="18"/>
        </w:rPr>
      </w:pPr>
      <w:r w:rsidRPr="00910945">
        <w:rPr>
          <w:rStyle w:val="Refdenotaalpie"/>
          <w:rFonts w:ascii="Arial" w:hAnsi="Arial" w:cs="Arial"/>
          <w:sz w:val="18"/>
          <w:szCs w:val="18"/>
        </w:rPr>
        <w:footnoteRef/>
      </w:r>
      <w:r w:rsidRPr="00910945">
        <w:rPr>
          <w:rFonts w:ascii="Arial" w:hAnsi="Arial" w:cs="Arial"/>
          <w:sz w:val="18"/>
          <w:szCs w:val="18"/>
        </w:rPr>
        <w:t xml:space="preserve"> Consejo de Estado, Sala de Consulta y Servicio Civil de fecha 24 de julio de 2013, radicado 2166, Consejero Ponente: Álvaro Namén Vargas.  </w:t>
      </w:r>
    </w:p>
  </w:footnote>
  <w:footnote w:id="9">
    <w:p w14:paraId="1C3CA139" w14:textId="77777777" w:rsidR="00535D23" w:rsidRPr="00910945" w:rsidRDefault="00535D23" w:rsidP="008C656C">
      <w:pPr>
        <w:ind w:firstLine="709"/>
        <w:jc w:val="both"/>
        <w:rPr>
          <w:rFonts w:ascii="Arial" w:hAnsi="Arial" w:cs="Arial"/>
          <w:sz w:val="18"/>
          <w:szCs w:val="18"/>
        </w:rPr>
      </w:pPr>
      <w:r w:rsidRPr="00910945">
        <w:rPr>
          <w:rStyle w:val="Refdenotaalpie"/>
          <w:rFonts w:ascii="Arial" w:hAnsi="Arial" w:cs="Arial"/>
          <w:sz w:val="18"/>
          <w:szCs w:val="18"/>
        </w:rPr>
        <w:footnoteRef/>
      </w:r>
      <w:r w:rsidRPr="00910945">
        <w:rPr>
          <w:rFonts w:ascii="Arial" w:hAnsi="Arial" w:cs="Arial"/>
          <w:sz w:val="18"/>
          <w:szCs w:val="18"/>
        </w:rPr>
        <w:t xml:space="preserve"> </w:t>
      </w:r>
      <w:r w:rsidRPr="00910945">
        <w:rPr>
          <w:rFonts w:ascii="Arial" w:eastAsia="Calibri" w:hAnsi="Arial" w:cs="Arial"/>
          <w:bCs/>
          <w:color w:val="000000"/>
          <w:sz w:val="18"/>
          <w:szCs w:val="18"/>
        </w:rPr>
        <w:t>«</w:t>
      </w:r>
      <w:r w:rsidRPr="00910945">
        <w:rPr>
          <w:rFonts w:ascii="Arial" w:hAnsi="Arial" w:cs="Arial"/>
          <w:sz w:val="18"/>
          <w:szCs w:val="18"/>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p w14:paraId="5D01C872" w14:textId="77777777" w:rsidR="00535D23" w:rsidRPr="00910945" w:rsidRDefault="00535D23" w:rsidP="008C656C">
      <w:pPr>
        <w:ind w:firstLine="709"/>
        <w:jc w:val="both"/>
        <w:rPr>
          <w:rFonts w:ascii="Arial" w:hAnsi="Arial" w:cs="Arial"/>
          <w:sz w:val="18"/>
          <w:szCs w:val="18"/>
        </w:rPr>
      </w:pPr>
      <w:r w:rsidRPr="00910945">
        <w:rPr>
          <w:rFonts w:ascii="Arial" w:eastAsia="Calibri" w:hAnsi="Arial" w:cs="Arial"/>
          <w:bCs/>
          <w:color w:val="000000"/>
          <w:sz w:val="18"/>
          <w:szCs w:val="18"/>
        </w:rPr>
        <w:t>»</w:t>
      </w:r>
      <w:r w:rsidRPr="00910945">
        <w:rPr>
          <w:rFonts w:ascii="Arial" w:hAnsi="Arial" w:cs="Arial"/>
          <w:sz w:val="18"/>
          <w:szCs w:val="18"/>
        </w:rPr>
        <w:t xml:space="preserve">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910945">
        <w:rPr>
          <w:rFonts w:ascii="Arial" w:eastAsia="Calibri" w:hAnsi="Arial" w:cs="Arial"/>
          <w:bCs/>
          <w:color w:val="000000"/>
          <w:sz w:val="18"/>
          <w:szCs w:val="18"/>
        </w:rPr>
        <w:t>»</w:t>
      </w:r>
      <w:r w:rsidRPr="00910945">
        <w:rPr>
          <w:rFonts w:ascii="Arial" w:hAnsi="Arial" w:cs="Arial"/>
          <w:sz w:val="18"/>
          <w:szCs w:val="18"/>
        </w:rPr>
        <w:t>.</w:t>
      </w:r>
    </w:p>
    <w:p w14:paraId="287394DB" w14:textId="77777777" w:rsidR="00535D23" w:rsidRPr="00910945" w:rsidRDefault="00535D23" w:rsidP="008C656C">
      <w:pPr>
        <w:ind w:firstLine="709"/>
        <w:jc w:val="both"/>
        <w:rPr>
          <w:rFonts w:ascii="Arial" w:hAnsi="Arial" w:cs="Arial"/>
          <w:sz w:val="18"/>
          <w:szCs w:val="18"/>
        </w:rPr>
      </w:pPr>
    </w:p>
  </w:footnote>
  <w:footnote w:id="10">
    <w:p w14:paraId="75226E6C" w14:textId="77777777" w:rsidR="00535D23" w:rsidRPr="00910945" w:rsidRDefault="00535D23" w:rsidP="008C656C">
      <w:pPr>
        <w:pStyle w:val="NormalWeb"/>
        <w:spacing w:before="0" w:beforeAutospacing="0" w:after="0" w:afterAutospacing="0"/>
        <w:ind w:firstLine="709"/>
        <w:jc w:val="both"/>
        <w:rPr>
          <w:rFonts w:ascii="Arial" w:hAnsi="Arial" w:cs="Arial"/>
          <w:sz w:val="18"/>
          <w:szCs w:val="18"/>
          <w:lang w:val="es-MX"/>
        </w:rPr>
      </w:pPr>
      <w:r w:rsidRPr="00910945">
        <w:rPr>
          <w:rStyle w:val="Refdenotaalpie"/>
          <w:rFonts w:ascii="Arial" w:hAnsi="Arial" w:cs="Arial"/>
          <w:sz w:val="18"/>
          <w:szCs w:val="18"/>
        </w:rPr>
        <w:footnoteRef/>
      </w:r>
      <w:r w:rsidRPr="00910945">
        <w:rPr>
          <w:rFonts w:ascii="Arial" w:hAnsi="Arial" w:cs="Arial"/>
          <w:sz w:val="18"/>
          <w:szCs w:val="18"/>
        </w:rPr>
        <w:t xml:space="preserve"> </w:t>
      </w:r>
      <w:r w:rsidRPr="00910945">
        <w:rPr>
          <w:rFonts w:ascii="Arial" w:eastAsia="Calibri" w:hAnsi="Arial" w:cs="Arial"/>
          <w:bCs/>
          <w:color w:val="000000"/>
          <w:sz w:val="18"/>
          <w:szCs w:val="18"/>
        </w:rPr>
        <w:t>«</w:t>
      </w:r>
      <w:r w:rsidRPr="00910945">
        <w:rPr>
          <w:rFonts w:ascii="Arial" w:hAnsi="Arial" w:cs="Arial"/>
          <w:sz w:val="18"/>
          <w:szCs w:val="18"/>
          <w:lang w:val="es-MX"/>
        </w:rPr>
        <w:t>Artículo 38. Prohibiciones para los servidores públicos. A los empleados del Estado les está prohibido:</w:t>
      </w:r>
    </w:p>
    <w:p w14:paraId="44F30F68" w14:textId="77777777" w:rsidR="00535D23" w:rsidRPr="00910945" w:rsidRDefault="00535D23" w:rsidP="008C656C">
      <w:pPr>
        <w:pStyle w:val="NormalWeb"/>
        <w:spacing w:before="0" w:beforeAutospacing="0" w:after="0" w:afterAutospacing="0"/>
        <w:ind w:firstLine="709"/>
        <w:jc w:val="both"/>
        <w:rPr>
          <w:rFonts w:ascii="Arial" w:hAnsi="Arial" w:cs="Arial"/>
          <w:sz w:val="18"/>
          <w:szCs w:val="18"/>
          <w:lang w:val="es-MX"/>
        </w:rPr>
      </w:pPr>
      <w:r w:rsidRPr="00910945">
        <w:rPr>
          <w:rFonts w:ascii="Arial" w:eastAsia="Calibri" w:hAnsi="Arial" w:cs="Arial"/>
          <w:bCs/>
          <w:color w:val="000000"/>
          <w:sz w:val="18"/>
          <w:szCs w:val="18"/>
        </w:rPr>
        <w:t>»</w:t>
      </w:r>
      <w:r w:rsidRPr="00910945">
        <w:rPr>
          <w:rFonts w:ascii="Arial" w:hAnsi="Arial" w:cs="Arial"/>
          <w:sz w:val="18"/>
          <w:szCs w:val="18"/>
          <w:lang w:val="es-MX"/>
        </w:rPr>
        <w:t xml:space="preserve"> […]</w:t>
      </w:r>
    </w:p>
    <w:p w14:paraId="3BA2F175" w14:textId="77777777" w:rsidR="00535D23" w:rsidRPr="00910945" w:rsidRDefault="00535D23" w:rsidP="008C656C">
      <w:pPr>
        <w:ind w:firstLine="709"/>
        <w:jc w:val="both"/>
        <w:rPr>
          <w:rFonts w:ascii="Arial" w:hAnsi="Arial" w:cs="Arial"/>
          <w:sz w:val="18"/>
          <w:szCs w:val="18"/>
          <w:lang w:val="es-MX"/>
        </w:rPr>
      </w:pPr>
      <w:r w:rsidRPr="00910945">
        <w:rPr>
          <w:rFonts w:ascii="Arial" w:eastAsia="Calibri" w:hAnsi="Arial" w:cs="Arial"/>
          <w:bCs/>
          <w:color w:val="000000"/>
          <w:sz w:val="18"/>
          <w:szCs w:val="18"/>
        </w:rPr>
        <w:t>»</w:t>
      </w:r>
      <w:r w:rsidRPr="00910945">
        <w:rPr>
          <w:rStyle w:val="baj"/>
          <w:rFonts w:ascii="Arial" w:hAnsi="Arial" w:cs="Arial"/>
          <w:sz w:val="18"/>
          <w:szCs w:val="18"/>
          <w:lang w:val="es-MX"/>
        </w:rPr>
        <w:t xml:space="preserve"> Parágrafo.</w:t>
      </w:r>
      <w:r w:rsidRPr="00910945">
        <w:rPr>
          <w:rFonts w:ascii="Arial" w:hAnsi="Arial" w:cs="Arial"/>
          <w:sz w:val="18"/>
          <w:szCs w:val="18"/>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910945">
        <w:rPr>
          <w:rFonts w:ascii="Arial" w:eastAsia="Calibri" w:hAnsi="Arial" w:cs="Arial"/>
          <w:bCs/>
          <w:color w:val="000000"/>
          <w:sz w:val="18"/>
          <w:szCs w:val="18"/>
        </w:rPr>
        <w:t>»</w:t>
      </w:r>
      <w:r w:rsidRPr="00910945">
        <w:rPr>
          <w:rFonts w:ascii="Arial" w:hAnsi="Arial" w:cs="Arial"/>
          <w:sz w:val="18"/>
          <w:szCs w:val="18"/>
          <w:lang w:val="es-MX"/>
        </w:rPr>
        <w:t>.</w:t>
      </w:r>
    </w:p>
    <w:p w14:paraId="7515E5D3" w14:textId="77777777" w:rsidR="00535D23" w:rsidRPr="00910945" w:rsidRDefault="00535D23" w:rsidP="008C656C">
      <w:pPr>
        <w:ind w:firstLine="709"/>
        <w:jc w:val="both"/>
        <w:rPr>
          <w:rFonts w:ascii="Arial" w:hAnsi="Arial" w:cs="Arial"/>
          <w:sz w:val="18"/>
          <w:szCs w:val="18"/>
          <w:lang w:val="es-MX"/>
        </w:rPr>
      </w:pPr>
    </w:p>
  </w:footnote>
  <w:footnote w:id="11">
    <w:p w14:paraId="641EC510" w14:textId="77777777" w:rsidR="00535D23" w:rsidRPr="00910945" w:rsidRDefault="00535D23" w:rsidP="008C656C">
      <w:pPr>
        <w:ind w:firstLine="709"/>
        <w:jc w:val="both"/>
        <w:rPr>
          <w:rFonts w:ascii="Arial" w:hAnsi="Arial" w:cs="Arial"/>
          <w:sz w:val="18"/>
          <w:szCs w:val="18"/>
          <w:lang w:val="es-ES"/>
        </w:rPr>
      </w:pPr>
      <w:r w:rsidRPr="00910945">
        <w:rPr>
          <w:rStyle w:val="Refdenotaalpie"/>
          <w:rFonts w:ascii="Arial" w:hAnsi="Arial" w:cs="Arial"/>
          <w:sz w:val="18"/>
          <w:szCs w:val="18"/>
        </w:rPr>
        <w:footnoteRef/>
      </w:r>
      <w:r w:rsidRPr="00910945">
        <w:rPr>
          <w:rFonts w:ascii="Arial" w:hAnsi="Arial" w:cs="Arial"/>
          <w:sz w:val="18"/>
          <w:szCs w:val="18"/>
        </w:rPr>
        <w:t xml:space="preserve"> Consejo de Estado. Sala de Consulta y Servicio Civil. Concepto del 17 de febrero de 2015. C.P. William Zambrano Cetina. Radicación No. 11001-03-06-000-2015-00164-00(2269).</w:t>
      </w:r>
    </w:p>
  </w:footnote>
  <w:footnote w:id="12">
    <w:p w14:paraId="0B7AE8EF" w14:textId="77777777" w:rsidR="00535D23" w:rsidRPr="00910945" w:rsidRDefault="00535D23" w:rsidP="008C656C">
      <w:pPr>
        <w:pStyle w:val="Textonotapie"/>
        <w:ind w:firstLine="709"/>
        <w:jc w:val="both"/>
        <w:rPr>
          <w:rFonts w:ascii="Arial" w:hAnsi="Arial" w:cs="Arial"/>
          <w:sz w:val="18"/>
          <w:szCs w:val="18"/>
        </w:rPr>
      </w:pPr>
      <w:r w:rsidRPr="00910945">
        <w:rPr>
          <w:rStyle w:val="Refdenotaalpie"/>
          <w:rFonts w:ascii="Arial" w:hAnsi="Arial" w:cs="Arial"/>
          <w:sz w:val="18"/>
          <w:szCs w:val="18"/>
        </w:rPr>
        <w:footnoteRef/>
      </w:r>
      <w:r w:rsidRPr="00910945">
        <w:rPr>
          <w:rFonts w:ascii="Arial" w:hAnsi="Arial" w:cs="Arial"/>
          <w:sz w:val="18"/>
          <w:szCs w:val="18"/>
        </w:rPr>
        <w:t xml:space="preserve"> «</w:t>
      </w:r>
      <w:r w:rsidRPr="00910945">
        <w:rPr>
          <w:rFonts w:ascii="Arial" w:hAnsi="Arial" w:cs="Arial"/>
          <w:sz w:val="18"/>
          <w:szCs w:val="18"/>
          <w:lang w:val="es-ES"/>
        </w:rPr>
        <w:t xml:space="preserve">[25] </w:t>
      </w:r>
      <w:r w:rsidRPr="00910945">
        <w:rPr>
          <w:rFonts w:ascii="Arial" w:hAnsi="Arial" w:cs="Arial"/>
          <w:sz w:val="18"/>
          <w:szCs w:val="18"/>
        </w:rPr>
        <w:t>Cfr. Consejo de Estado. Sección Tercera. Sentencia de 3 de diciembre de 2007. Radicados: 24.715, 25.206, 25.409, 24.524, 27.834, 25.410, 26.105, 28.244, 31.447 -acumulados-».</w:t>
      </w:r>
    </w:p>
    <w:p w14:paraId="0546BE71" w14:textId="77777777" w:rsidR="00535D23" w:rsidRPr="00910945" w:rsidRDefault="00535D23" w:rsidP="008C656C">
      <w:pPr>
        <w:pStyle w:val="Textonotapie"/>
        <w:ind w:firstLine="709"/>
        <w:jc w:val="both"/>
        <w:rPr>
          <w:rFonts w:ascii="Arial" w:hAnsi="Arial" w:cs="Arial"/>
          <w:sz w:val="18"/>
          <w:szCs w:val="18"/>
        </w:rPr>
      </w:pPr>
    </w:p>
  </w:footnote>
  <w:footnote w:id="13">
    <w:p w14:paraId="0604AF93" w14:textId="77777777" w:rsidR="00535D23" w:rsidRPr="00910945" w:rsidRDefault="00535D23" w:rsidP="008C656C">
      <w:pPr>
        <w:pStyle w:val="Textonotapie"/>
        <w:ind w:firstLine="709"/>
        <w:jc w:val="both"/>
        <w:rPr>
          <w:rFonts w:ascii="Arial" w:hAnsi="Arial" w:cs="Arial"/>
          <w:sz w:val="18"/>
          <w:szCs w:val="18"/>
        </w:rPr>
      </w:pPr>
      <w:r w:rsidRPr="00910945">
        <w:rPr>
          <w:rStyle w:val="Refdenotaalpie"/>
          <w:rFonts w:ascii="Arial" w:hAnsi="Arial" w:cs="Arial"/>
          <w:sz w:val="18"/>
          <w:szCs w:val="18"/>
        </w:rPr>
        <w:footnoteRef/>
      </w:r>
      <w:r w:rsidRPr="00910945">
        <w:rPr>
          <w:rFonts w:ascii="Arial" w:hAnsi="Arial" w:cs="Arial"/>
          <w:sz w:val="18"/>
          <w:szCs w:val="18"/>
        </w:rPr>
        <w:t xml:space="preserve"> «</w:t>
      </w:r>
      <w:r w:rsidRPr="00910945">
        <w:rPr>
          <w:rFonts w:ascii="Arial" w:hAnsi="Arial" w:cs="Arial"/>
          <w:sz w:val="18"/>
          <w:szCs w:val="18"/>
          <w:lang w:val="es-ES"/>
        </w:rPr>
        <w:t xml:space="preserve">[26] </w:t>
      </w:r>
      <w:r w:rsidRPr="00910945">
        <w:rPr>
          <w:rFonts w:ascii="Arial" w:hAnsi="Arial" w:cs="Arial"/>
          <w:sz w:val="18"/>
          <w:szCs w:val="18"/>
        </w:rPr>
        <w:t>Al respecto ver el concepto 1712 de 2 de febrero de 2006. Consejo de Estado Sala de Consulta y Servicio Civil».</w:t>
      </w:r>
    </w:p>
    <w:p w14:paraId="7CD0488E" w14:textId="77777777" w:rsidR="00535D23" w:rsidRPr="00910945" w:rsidRDefault="00535D23" w:rsidP="008C656C">
      <w:pPr>
        <w:pStyle w:val="Textonotapie"/>
        <w:ind w:firstLine="709"/>
        <w:jc w:val="both"/>
        <w:rPr>
          <w:rFonts w:ascii="Arial" w:hAnsi="Arial" w:cs="Arial"/>
          <w:sz w:val="18"/>
          <w:szCs w:val="18"/>
        </w:rPr>
      </w:pPr>
    </w:p>
  </w:footnote>
  <w:footnote w:id="14">
    <w:p w14:paraId="5D7C6B97" w14:textId="77777777" w:rsidR="00535D23" w:rsidRPr="00910945" w:rsidRDefault="00535D23" w:rsidP="008C656C">
      <w:pPr>
        <w:pStyle w:val="Textonotapie"/>
        <w:ind w:firstLine="709"/>
        <w:jc w:val="both"/>
        <w:rPr>
          <w:rFonts w:ascii="Arial" w:hAnsi="Arial" w:cs="Arial"/>
          <w:sz w:val="18"/>
          <w:szCs w:val="18"/>
        </w:rPr>
      </w:pPr>
      <w:r w:rsidRPr="00910945">
        <w:rPr>
          <w:rStyle w:val="Refdenotaalpie"/>
          <w:rFonts w:ascii="Arial" w:hAnsi="Arial" w:cs="Arial"/>
          <w:sz w:val="18"/>
          <w:szCs w:val="18"/>
        </w:rPr>
        <w:footnoteRef/>
      </w:r>
      <w:r w:rsidRPr="00910945">
        <w:rPr>
          <w:rFonts w:ascii="Arial" w:hAnsi="Arial" w:cs="Arial"/>
          <w:sz w:val="18"/>
          <w:szCs w:val="18"/>
        </w:rPr>
        <w:t xml:space="preserve"> Consejo de Estado. Sala de Consulta y Servicio Civil. Concepto del 2 de septiembre de 2013. Radicación número: 11001-03-06-000-2013-00412-00 (2168). Consejero Ponente: Álvaro Namén Vargas.</w:t>
      </w:r>
    </w:p>
    <w:p w14:paraId="09387160" w14:textId="77777777" w:rsidR="00535D23" w:rsidRPr="00910945" w:rsidRDefault="00535D23" w:rsidP="008C656C">
      <w:pPr>
        <w:pStyle w:val="Textonotapie"/>
        <w:ind w:firstLine="709"/>
        <w:jc w:val="both"/>
        <w:rPr>
          <w:rFonts w:ascii="Arial" w:hAnsi="Arial" w:cs="Arial"/>
          <w:sz w:val="18"/>
          <w:szCs w:val="18"/>
        </w:rPr>
      </w:pPr>
    </w:p>
  </w:footnote>
  <w:footnote w:id="15">
    <w:p w14:paraId="55622A78" w14:textId="77777777" w:rsidR="00535D23" w:rsidRPr="00910945" w:rsidRDefault="00535D23" w:rsidP="008C656C">
      <w:pPr>
        <w:pStyle w:val="Textonotapie"/>
        <w:ind w:firstLine="709"/>
        <w:jc w:val="both"/>
        <w:rPr>
          <w:rFonts w:ascii="Arial" w:hAnsi="Arial" w:cs="Arial"/>
          <w:sz w:val="18"/>
          <w:szCs w:val="18"/>
          <w:lang w:val="es-ES"/>
        </w:rPr>
      </w:pPr>
      <w:r w:rsidRPr="00910945">
        <w:rPr>
          <w:rStyle w:val="Refdenotaalpie"/>
          <w:rFonts w:ascii="Arial" w:hAnsi="Arial" w:cs="Arial"/>
          <w:sz w:val="18"/>
          <w:szCs w:val="18"/>
        </w:rPr>
        <w:footnoteRef/>
      </w:r>
      <w:r w:rsidRPr="00910945">
        <w:rPr>
          <w:rFonts w:ascii="Arial" w:hAnsi="Arial" w:cs="Arial"/>
          <w:sz w:val="18"/>
          <w:szCs w:val="18"/>
        </w:rPr>
        <w:t xml:space="preserve"> </w:t>
      </w:r>
      <w:r w:rsidRPr="00910945">
        <w:rPr>
          <w:rFonts w:ascii="Arial" w:hAnsi="Arial" w:cs="Arial"/>
          <w:sz w:val="18"/>
          <w:szCs w:val="18"/>
          <w:lang w:val="es-ES"/>
        </w:rPr>
        <w:t xml:space="preserve">Artículo 2. </w:t>
      </w:r>
    </w:p>
    <w:p w14:paraId="32041915" w14:textId="77777777" w:rsidR="00535D23" w:rsidRPr="00910945" w:rsidRDefault="00535D23" w:rsidP="008C656C">
      <w:pPr>
        <w:pStyle w:val="Textonotapie"/>
        <w:ind w:firstLine="709"/>
        <w:jc w:val="both"/>
        <w:rPr>
          <w:rFonts w:ascii="Arial" w:hAnsi="Arial" w:cs="Arial"/>
          <w:sz w:val="18"/>
          <w:szCs w:val="18"/>
          <w:lang w:val="es-ES"/>
        </w:rPr>
      </w:pPr>
    </w:p>
  </w:footnote>
  <w:footnote w:id="16">
    <w:p w14:paraId="62430C26" w14:textId="77777777" w:rsidR="00535D23" w:rsidRPr="00910945" w:rsidRDefault="00535D23" w:rsidP="008C656C">
      <w:pPr>
        <w:pStyle w:val="Textonotapie"/>
        <w:ind w:firstLine="709"/>
        <w:jc w:val="both"/>
        <w:rPr>
          <w:rFonts w:ascii="Arial" w:hAnsi="Arial" w:cs="Arial"/>
          <w:sz w:val="18"/>
          <w:szCs w:val="18"/>
          <w:lang w:val="es-ES"/>
        </w:rPr>
      </w:pPr>
      <w:r w:rsidRPr="00910945">
        <w:rPr>
          <w:rStyle w:val="Refdenotaalpie"/>
          <w:rFonts w:ascii="Arial" w:hAnsi="Arial" w:cs="Arial"/>
          <w:sz w:val="18"/>
          <w:szCs w:val="18"/>
        </w:rPr>
        <w:footnoteRef/>
      </w:r>
      <w:r w:rsidRPr="00910945">
        <w:rPr>
          <w:rFonts w:ascii="Arial" w:hAnsi="Arial" w:cs="Arial"/>
          <w:sz w:val="18"/>
          <w:szCs w:val="18"/>
        </w:rPr>
        <w:t xml:space="preserve"> </w:t>
      </w:r>
      <w:r w:rsidRPr="00910945">
        <w:rPr>
          <w:rFonts w:ascii="Arial" w:hAnsi="Arial" w:cs="Arial"/>
          <w:i/>
          <w:sz w:val="18"/>
          <w:szCs w:val="18"/>
          <w:lang w:val="es-ES"/>
        </w:rPr>
        <w:t>Ídem</w:t>
      </w:r>
      <w:r w:rsidRPr="00910945">
        <w:rPr>
          <w:rFonts w:ascii="Arial" w:hAnsi="Arial" w:cs="Arial"/>
          <w:sz w:val="18"/>
          <w:szCs w:val="18"/>
          <w:lang w:val="es-ES"/>
        </w:rPr>
        <w:t>.</w:t>
      </w:r>
    </w:p>
    <w:p w14:paraId="4135FF9F" w14:textId="77777777" w:rsidR="00535D23" w:rsidRPr="00910945" w:rsidRDefault="00535D23" w:rsidP="008C656C">
      <w:pPr>
        <w:pStyle w:val="Textonotapie"/>
        <w:ind w:firstLine="709"/>
        <w:jc w:val="both"/>
        <w:rPr>
          <w:rFonts w:ascii="Arial" w:hAnsi="Arial" w:cs="Arial"/>
          <w:sz w:val="18"/>
          <w:szCs w:val="18"/>
          <w:lang w:val="es-ES"/>
        </w:rPr>
      </w:pPr>
    </w:p>
  </w:footnote>
  <w:footnote w:id="17">
    <w:p w14:paraId="4F9C4D3A" w14:textId="77777777" w:rsidR="00535D23" w:rsidRPr="00910945" w:rsidRDefault="00535D23" w:rsidP="008C656C">
      <w:pPr>
        <w:pStyle w:val="Textonotapie"/>
        <w:ind w:firstLine="709"/>
        <w:jc w:val="both"/>
        <w:rPr>
          <w:rFonts w:ascii="Arial" w:hAnsi="Arial" w:cs="Arial"/>
          <w:sz w:val="18"/>
          <w:szCs w:val="18"/>
          <w:lang w:val="es-ES"/>
        </w:rPr>
      </w:pPr>
      <w:r w:rsidRPr="00910945">
        <w:rPr>
          <w:rStyle w:val="Refdenotaalpie"/>
          <w:rFonts w:ascii="Arial" w:hAnsi="Arial" w:cs="Arial"/>
          <w:sz w:val="18"/>
          <w:szCs w:val="18"/>
        </w:rPr>
        <w:footnoteRef/>
      </w:r>
      <w:r w:rsidRPr="00910945">
        <w:rPr>
          <w:rStyle w:val="Refdenotaalpie"/>
          <w:rFonts w:ascii="Arial" w:hAnsi="Arial" w:cs="Arial"/>
          <w:sz w:val="18"/>
          <w:szCs w:val="18"/>
        </w:rPr>
        <w:t xml:space="preserve"> </w:t>
      </w:r>
      <w:r w:rsidRPr="00910945">
        <w:rPr>
          <w:rFonts w:ascii="Arial" w:hAnsi="Arial" w:cs="Arial"/>
          <w:sz w:val="18"/>
          <w:szCs w:val="18"/>
          <w:lang w:val="es-ES"/>
        </w:rPr>
        <w:t xml:space="preserve">«[…] A este respecto, cabe recordar que el artículo 860 del Código de Comercio regula la licitación en el derecho privado». </w:t>
      </w:r>
    </w:p>
    <w:p w14:paraId="3A4B9B70" w14:textId="77777777" w:rsidR="00535D23" w:rsidRPr="00910945" w:rsidRDefault="00535D23" w:rsidP="008C656C">
      <w:pPr>
        <w:pStyle w:val="Textonotapie"/>
        <w:ind w:firstLine="709"/>
        <w:jc w:val="both"/>
        <w:rPr>
          <w:rFonts w:ascii="Arial" w:hAnsi="Arial" w:cs="Arial"/>
          <w:sz w:val="18"/>
          <w:szCs w:val="18"/>
          <w:lang w:val="es-ES"/>
        </w:rPr>
      </w:pPr>
    </w:p>
  </w:footnote>
  <w:footnote w:id="18">
    <w:p w14:paraId="0196EAB6" w14:textId="77777777" w:rsidR="00535D23" w:rsidRPr="00910945" w:rsidRDefault="00535D23" w:rsidP="008C656C">
      <w:pPr>
        <w:shd w:val="clear" w:color="auto" w:fill="FFFFFF"/>
        <w:ind w:firstLine="709"/>
        <w:jc w:val="both"/>
        <w:rPr>
          <w:rFonts w:ascii="Arial" w:hAnsi="Arial" w:cs="Arial"/>
          <w:sz w:val="18"/>
          <w:szCs w:val="18"/>
          <w:lang w:val="es-ES"/>
        </w:rPr>
      </w:pPr>
      <w:r w:rsidRPr="00910945">
        <w:rPr>
          <w:rStyle w:val="Refdenotaalpie"/>
          <w:rFonts w:ascii="Arial" w:hAnsi="Arial" w:cs="Arial"/>
          <w:sz w:val="18"/>
          <w:szCs w:val="18"/>
        </w:rPr>
        <w:footnoteRef/>
      </w:r>
      <w:r w:rsidRPr="00910945">
        <w:rPr>
          <w:rStyle w:val="Refdenotaalpie"/>
          <w:rFonts w:ascii="Arial" w:hAnsi="Arial" w:cs="Arial"/>
          <w:sz w:val="18"/>
          <w:szCs w:val="18"/>
        </w:rPr>
        <w:t xml:space="preserve"> </w:t>
      </w:r>
      <w:r w:rsidRPr="00910945">
        <w:rPr>
          <w:rFonts w:ascii="Arial" w:hAnsi="Arial" w:cs="Arial"/>
          <w:sz w:val="18"/>
          <w:szCs w:val="18"/>
          <w:lang w:val="es-ES"/>
        </w:rPr>
        <w:t>Consejo de Estado. Sala de Consulta y Servicio Civil, Concepto de 8 de mayo de 2018. Radicación Número: 11001-03-06-000-2018-00095-00(2382). Consejero Ponente: Álvaro Namén Vargas.</w:t>
      </w:r>
    </w:p>
  </w:footnote>
  <w:footnote w:id="19">
    <w:p w14:paraId="15B7057D" w14:textId="77777777" w:rsidR="00535D23" w:rsidRPr="00910945" w:rsidRDefault="00535D23" w:rsidP="008C656C">
      <w:pPr>
        <w:pStyle w:val="Textonotapie"/>
        <w:ind w:firstLine="709"/>
        <w:jc w:val="both"/>
        <w:rPr>
          <w:rFonts w:ascii="Arial" w:hAnsi="Arial" w:cs="Arial"/>
          <w:sz w:val="18"/>
          <w:szCs w:val="18"/>
        </w:rPr>
      </w:pPr>
      <w:r w:rsidRPr="00910945">
        <w:rPr>
          <w:rStyle w:val="Refdenotaalpie"/>
          <w:rFonts w:ascii="Arial" w:hAnsi="Arial" w:cs="Arial"/>
          <w:sz w:val="18"/>
          <w:szCs w:val="18"/>
        </w:rPr>
        <w:footnoteRef/>
      </w:r>
      <w:r w:rsidRPr="00910945">
        <w:rPr>
          <w:rFonts w:ascii="Arial" w:hAnsi="Arial" w:cs="Arial"/>
          <w:sz w:val="18"/>
          <w:szCs w:val="18"/>
        </w:rPr>
        <w:t xml:space="preserve"> Consejo de Estado. Sala de Consulta y Servicio Civil. Concepto del 08 de mayo de 2018. Exp. 2.382. C.P. Álvaro Namén Vargas.</w:t>
      </w:r>
    </w:p>
    <w:p w14:paraId="295A36D3" w14:textId="77777777" w:rsidR="00535D23" w:rsidRPr="00910945" w:rsidRDefault="00535D23" w:rsidP="008C656C">
      <w:pPr>
        <w:pStyle w:val="Textonotapie"/>
        <w:ind w:firstLine="709"/>
        <w:jc w:val="both"/>
        <w:rPr>
          <w:rFonts w:ascii="Arial" w:hAnsi="Arial" w:cs="Arial"/>
          <w:sz w:val="18"/>
          <w:szCs w:val="18"/>
        </w:rPr>
      </w:pPr>
    </w:p>
  </w:footnote>
  <w:footnote w:id="20">
    <w:p w14:paraId="04F5F44A" w14:textId="77777777" w:rsidR="00535D23" w:rsidRPr="00751C77" w:rsidRDefault="00535D23" w:rsidP="008C656C">
      <w:pPr>
        <w:pStyle w:val="Textonotapie"/>
        <w:ind w:firstLine="709"/>
        <w:jc w:val="both"/>
        <w:rPr>
          <w:rFonts w:ascii="Arial" w:hAnsi="Arial" w:cs="Arial"/>
          <w:sz w:val="18"/>
          <w:szCs w:val="18"/>
        </w:rPr>
      </w:pPr>
      <w:r w:rsidRPr="00751C77">
        <w:rPr>
          <w:rStyle w:val="Refdenotaalpie"/>
          <w:rFonts w:ascii="Arial" w:hAnsi="Arial" w:cs="Arial"/>
          <w:sz w:val="18"/>
          <w:szCs w:val="18"/>
        </w:rPr>
        <w:footnoteRef/>
      </w:r>
      <w:r w:rsidRPr="00751C77">
        <w:rPr>
          <w:rFonts w:ascii="Arial" w:hAnsi="Arial" w:cs="Arial"/>
          <w:sz w:val="18"/>
          <w:szCs w:val="18"/>
        </w:rPr>
        <w:t xml:space="preserve"> Cfr. Concepto C-757 del 30 de diciembre de 2021.</w:t>
      </w:r>
    </w:p>
  </w:footnote>
  <w:footnote w:id="21">
    <w:p w14:paraId="1B9037EA" w14:textId="01FF4433" w:rsidR="009737CA" w:rsidRPr="00751C77" w:rsidRDefault="009737CA" w:rsidP="00751C77">
      <w:pPr>
        <w:pStyle w:val="Textonotapie"/>
        <w:ind w:firstLine="708"/>
        <w:jc w:val="both"/>
      </w:pPr>
      <w:r w:rsidRPr="00751C77">
        <w:rPr>
          <w:rStyle w:val="Refdenotaalpie"/>
        </w:rPr>
        <w:footnoteRef/>
      </w:r>
      <w:r w:rsidRPr="00751C77">
        <w:t xml:space="preserve"> </w:t>
      </w:r>
      <w:r w:rsidRPr="00751C77">
        <w:rPr>
          <w:rFonts w:ascii="Arial" w:hAnsi="Arial" w:cs="Arial"/>
          <w:sz w:val="18"/>
          <w:szCs w:val="18"/>
        </w:rPr>
        <w:t>Adicionalmente, es importante señalar que esta Agencia expidió el concepto CU-180 del 8 de abril de 2022</w:t>
      </w:r>
      <w:r w:rsidR="00AE57E3" w:rsidRPr="00751C77">
        <w:rPr>
          <w:rFonts w:ascii="Arial" w:hAnsi="Arial" w:cs="Arial"/>
          <w:sz w:val="18"/>
          <w:szCs w:val="18"/>
        </w:rPr>
        <w:t xml:space="preserve"> donde analizó el alcance de las prohibiciones de la Ley de Garantías Electorales en relación con la contratación con organismos internacionales.</w:t>
      </w:r>
      <w:r w:rsidRPr="00751C77">
        <w:t xml:space="preserve"> </w:t>
      </w:r>
    </w:p>
  </w:footnote>
  <w:footnote w:id="22">
    <w:p w14:paraId="6AA97C7B" w14:textId="77777777" w:rsidR="00535D23" w:rsidRPr="00910945" w:rsidRDefault="00535D23" w:rsidP="008C656C">
      <w:pPr>
        <w:pStyle w:val="Textonotapie"/>
        <w:ind w:firstLine="709"/>
        <w:jc w:val="both"/>
        <w:rPr>
          <w:rFonts w:ascii="Arial" w:hAnsi="Arial" w:cs="Arial"/>
          <w:sz w:val="18"/>
          <w:szCs w:val="18"/>
        </w:rPr>
      </w:pPr>
      <w:r w:rsidRPr="00751C77">
        <w:rPr>
          <w:rStyle w:val="Refdenotaalpie"/>
          <w:rFonts w:ascii="Arial" w:hAnsi="Arial" w:cs="Arial"/>
          <w:sz w:val="18"/>
          <w:szCs w:val="18"/>
        </w:rPr>
        <w:footnoteRef/>
      </w:r>
      <w:r w:rsidRPr="00751C77">
        <w:rPr>
          <w:rFonts w:ascii="Arial" w:hAnsi="Arial" w:cs="Arial"/>
          <w:sz w:val="18"/>
          <w:szCs w:val="18"/>
        </w:rPr>
        <w:t xml:space="preserve"> La Corte Constitucional mediante Sentencia</w:t>
      </w:r>
      <w:r w:rsidRPr="00910945">
        <w:rPr>
          <w:rFonts w:ascii="Arial" w:hAnsi="Arial" w:cs="Arial"/>
          <w:sz w:val="18"/>
          <w:szCs w:val="18"/>
        </w:rPr>
        <w:t xml:space="preserve"> C-1153-05 de 11 de noviembre de 2005, Magistrado Ponente Marco Gerardo Monroy Cabra, efectuó el Control constitucional al Proyecto de Ley Estatutaria N° 216/05 Senado, N° 235-Cámara que dio lugar a la Ley de Garantías Electorales.</w:t>
      </w:r>
    </w:p>
    <w:p w14:paraId="031968B8" w14:textId="77777777" w:rsidR="00535D23" w:rsidRPr="00910945" w:rsidRDefault="00535D23" w:rsidP="008C656C">
      <w:pPr>
        <w:pStyle w:val="Textonotapie"/>
        <w:ind w:firstLine="709"/>
        <w:jc w:val="both"/>
        <w:rPr>
          <w:rFonts w:ascii="Arial" w:hAnsi="Arial" w:cs="Arial"/>
          <w:sz w:val="18"/>
          <w:szCs w:val="18"/>
        </w:rPr>
      </w:pPr>
    </w:p>
  </w:footnote>
  <w:footnote w:id="23">
    <w:p w14:paraId="7E3D7BC4" w14:textId="77777777" w:rsidR="00033B58" w:rsidRPr="00264178" w:rsidRDefault="00033B58" w:rsidP="008C656C">
      <w:pPr>
        <w:ind w:firstLine="709"/>
        <w:jc w:val="both"/>
        <w:rPr>
          <w:rFonts w:ascii="Arial" w:hAnsi="Arial" w:cs="Arial"/>
          <w:color w:val="000000" w:themeColor="text1"/>
          <w:sz w:val="19"/>
          <w:szCs w:val="19"/>
        </w:rPr>
      </w:pPr>
      <w:r w:rsidRPr="00264178">
        <w:rPr>
          <w:rStyle w:val="Refdenotaalpie"/>
          <w:rFonts w:ascii="Arial" w:hAnsi="Arial" w:cs="Arial"/>
          <w:color w:val="000000" w:themeColor="text1"/>
          <w:sz w:val="19"/>
          <w:szCs w:val="19"/>
        </w:rPr>
        <w:footnoteRef/>
      </w:r>
      <w:r w:rsidRPr="00264178">
        <w:rPr>
          <w:rFonts w:ascii="Arial" w:hAnsi="Arial" w:cs="Arial"/>
          <w:color w:val="000000" w:themeColor="text1"/>
          <w:sz w:val="19"/>
          <w:szCs w:val="19"/>
        </w:rPr>
        <w:t xml:space="preserve"> Consejo de Estado. Sala de Consulta y Servicio Civil. Concepto de 20 de febrero de 2006. Radicación Número: 11001-03-06-000-2006-00026-00 (1727).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4">
    <w:p w14:paraId="12204CCF" w14:textId="77777777" w:rsidR="00535D23" w:rsidRPr="00EC20D7" w:rsidRDefault="00535D23" w:rsidP="008C656C">
      <w:pPr>
        <w:pStyle w:val="Textonotapie"/>
        <w:ind w:firstLine="709"/>
        <w:jc w:val="both"/>
        <w:rPr>
          <w:rFonts w:ascii="Arial" w:hAnsi="Arial" w:cs="Arial"/>
          <w:sz w:val="19"/>
          <w:szCs w:val="19"/>
        </w:rPr>
      </w:pPr>
      <w:r w:rsidRPr="00EC20D7">
        <w:rPr>
          <w:rStyle w:val="Refdenotaalpie"/>
          <w:rFonts w:ascii="Arial" w:hAnsi="Arial" w:cs="Arial"/>
          <w:sz w:val="19"/>
          <w:szCs w:val="19"/>
        </w:rPr>
        <w:footnoteRef/>
      </w:r>
      <w:r w:rsidRPr="00EC20D7">
        <w:rPr>
          <w:rFonts w:ascii="Arial" w:hAnsi="Arial" w:cs="Arial"/>
          <w:sz w:val="19"/>
          <w:szCs w:val="19"/>
        </w:rPr>
        <w:t xml:space="preserve"> Consejo de Estado. Sala de Consulta y Servicio Civil. Concepto de 20 de febrero de2006. Radicación 11001-03-06-000-2006-00023-00(1724). Consejero Ponente: Flavio Augusto Rodríguez Arce.</w:t>
      </w:r>
    </w:p>
    <w:p w14:paraId="7C2F5AF7" w14:textId="77777777" w:rsidR="00535D23" w:rsidRPr="00EC20D7" w:rsidRDefault="00535D23" w:rsidP="008C656C">
      <w:pPr>
        <w:pStyle w:val="Textonotapie"/>
        <w:ind w:firstLine="709"/>
        <w:jc w:val="both"/>
        <w:rPr>
          <w:rFonts w:ascii="Arial" w:hAnsi="Arial" w:cs="Arial"/>
          <w:sz w:val="19"/>
          <w:szCs w:val="19"/>
        </w:rPr>
      </w:pPr>
    </w:p>
  </w:footnote>
  <w:footnote w:id="25">
    <w:p w14:paraId="3FC1B7A8" w14:textId="77777777" w:rsidR="00535D23" w:rsidRPr="00EC20D7" w:rsidRDefault="00535D23" w:rsidP="008C656C">
      <w:pPr>
        <w:spacing w:before="78"/>
        <w:ind w:firstLine="709"/>
        <w:jc w:val="both"/>
        <w:rPr>
          <w:rFonts w:ascii="Arial" w:hAnsi="Arial" w:cs="Arial"/>
          <w:sz w:val="19"/>
          <w:szCs w:val="19"/>
        </w:rPr>
      </w:pPr>
      <w:r w:rsidRPr="00EC20D7">
        <w:rPr>
          <w:rStyle w:val="Refdenotaalpie"/>
          <w:rFonts w:ascii="Arial" w:hAnsi="Arial" w:cs="Arial"/>
          <w:sz w:val="19"/>
          <w:szCs w:val="19"/>
        </w:rPr>
        <w:footnoteRef/>
      </w:r>
      <w:r w:rsidRPr="00EC20D7">
        <w:rPr>
          <w:rFonts w:ascii="Arial" w:hAnsi="Arial" w:cs="Arial"/>
          <w:sz w:val="19"/>
          <w:szCs w:val="19"/>
        </w:rPr>
        <w:t xml:space="preserve"> 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05AF80AD" w14:textId="77777777" w:rsidR="00535D23" w:rsidRPr="00EC20D7" w:rsidRDefault="00535D23" w:rsidP="008C656C">
      <w:pPr>
        <w:ind w:firstLine="709"/>
        <w:jc w:val="both"/>
        <w:rPr>
          <w:rFonts w:ascii="Arial" w:hAnsi="Arial" w:cs="Arial"/>
          <w:sz w:val="19"/>
          <w:szCs w:val="19"/>
        </w:rPr>
      </w:pPr>
      <w:r w:rsidRPr="00EC20D7">
        <w:rPr>
          <w:rFonts w:ascii="Arial" w:hAnsi="Arial" w:cs="Arial"/>
          <w:sz w:val="19"/>
          <w:szCs w:val="19"/>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EC20D7">
        <w:rPr>
          <w:rFonts w:ascii="Arial" w:hAnsi="Arial" w:cs="Arial"/>
          <w:spacing w:val="-1"/>
          <w:sz w:val="19"/>
          <w:szCs w:val="19"/>
        </w:rPr>
        <w:t xml:space="preserve"> </w:t>
      </w:r>
      <w:r w:rsidRPr="00EC20D7">
        <w:rPr>
          <w:rFonts w:ascii="Arial" w:hAnsi="Arial" w:cs="Arial"/>
          <w:sz w:val="19"/>
          <w:szCs w:val="19"/>
        </w:rPr>
        <w:t>Estatales».</w:t>
      </w:r>
    </w:p>
  </w:footnote>
  <w:footnote w:id="26">
    <w:p w14:paraId="38E81BC1" w14:textId="77777777" w:rsidR="00535D23" w:rsidRDefault="00535D23" w:rsidP="008C656C">
      <w:pPr>
        <w:ind w:firstLine="709"/>
        <w:jc w:val="both"/>
        <w:rPr>
          <w:rFonts w:ascii="Arial" w:hAnsi="Arial" w:cs="Arial"/>
          <w:sz w:val="19"/>
          <w:szCs w:val="19"/>
        </w:rPr>
      </w:pPr>
    </w:p>
    <w:p w14:paraId="3B7D89B7" w14:textId="77777777" w:rsidR="00535D23" w:rsidRPr="00EC20D7" w:rsidRDefault="00535D23" w:rsidP="008C656C">
      <w:pPr>
        <w:ind w:firstLine="709"/>
        <w:jc w:val="both"/>
        <w:rPr>
          <w:rFonts w:ascii="Arial" w:hAnsi="Arial" w:cs="Arial"/>
          <w:sz w:val="19"/>
          <w:szCs w:val="19"/>
        </w:rPr>
      </w:pPr>
      <w:r w:rsidRPr="00EC20D7">
        <w:rPr>
          <w:rStyle w:val="Refdenotaalpie"/>
          <w:rFonts w:ascii="Arial" w:hAnsi="Arial" w:cs="Arial"/>
          <w:sz w:val="19"/>
          <w:szCs w:val="19"/>
        </w:rPr>
        <w:footnoteRef/>
      </w:r>
      <w:r w:rsidRPr="00EC20D7">
        <w:rPr>
          <w:rFonts w:ascii="Arial" w:hAnsi="Arial" w:cs="Arial"/>
          <w:sz w:val="19"/>
          <w:szCs w:val="19"/>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EC20D7">
        <w:rPr>
          <w:rFonts w:ascii="Arial" w:hAnsi="Arial" w:cs="Arial"/>
          <w:spacing w:val="-6"/>
          <w:sz w:val="19"/>
          <w:szCs w:val="19"/>
        </w:rPr>
        <w:t xml:space="preserve"> </w:t>
      </w:r>
      <w:r w:rsidRPr="00EC20D7">
        <w:rPr>
          <w:rFonts w:ascii="Arial" w:hAnsi="Arial" w:cs="Arial"/>
          <w:sz w:val="19"/>
          <w:szCs w:val="19"/>
        </w:rPr>
        <w:t>artículo».</w:t>
      </w:r>
    </w:p>
  </w:footnote>
  <w:footnote w:id="27">
    <w:p w14:paraId="5A18F9B6" w14:textId="77777777" w:rsidR="00535D23" w:rsidRDefault="00535D23" w:rsidP="008C656C">
      <w:pPr>
        <w:ind w:firstLine="709"/>
        <w:jc w:val="both"/>
        <w:rPr>
          <w:rFonts w:ascii="Arial" w:hAnsi="Arial" w:cs="Arial"/>
          <w:position w:val="7"/>
          <w:sz w:val="19"/>
          <w:szCs w:val="19"/>
        </w:rPr>
      </w:pPr>
    </w:p>
    <w:p w14:paraId="0B3098DB" w14:textId="77777777" w:rsidR="00535D23" w:rsidRPr="002F0981" w:rsidRDefault="00535D23" w:rsidP="008C656C">
      <w:pPr>
        <w:ind w:firstLine="709"/>
        <w:jc w:val="both"/>
        <w:rPr>
          <w:rFonts w:ascii="Arial" w:hAnsi="Arial" w:cs="Arial"/>
          <w:sz w:val="19"/>
          <w:szCs w:val="19"/>
        </w:rPr>
      </w:pPr>
      <w:r w:rsidRPr="0026728E">
        <w:rPr>
          <w:rStyle w:val="Refdenotaalpie"/>
          <w:rFonts w:ascii="Arial" w:hAnsi="Arial" w:cs="Arial"/>
          <w:sz w:val="19"/>
          <w:szCs w:val="19"/>
        </w:rPr>
        <w:footnoteRef/>
      </w:r>
      <w:r w:rsidRPr="00AC7007">
        <w:rPr>
          <w:rFonts w:ascii="Arial" w:hAnsi="Arial" w:cs="Arial"/>
          <w:position w:val="7"/>
          <w:sz w:val="19"/>
          <w:szCs w:val="19"/>
        </w:rPr>
        <w:t xml:space="preserve"> </w:t>
      </w:r>
      <w:r w:rsidRPr="00A27246">
        <w:rPr>
          <w:rFonts w:ascii="Arial" w:hAnsi="Arial" w:cs="Arial"/>
          <w:sz w:val="19"/>
          <w:szCs w:val="19"/>
        </w:rPr>
        <w:t>Consejo de Estado. Sección Tercera. Sentencia del 23 de junio de 2010. Radicación No. 66001-23-31-000-1998-00261-01(17.860). Consejero Ponente: Mauricio Fajardo Gómez.</w:t>
      </w:r>
    </w:p>
  </w:footnote>
  <w:footnote w:id="28">
    <w:p w14:paraId="6264C5F3" w14:textId="77777777" w:rsidR="00535D23" w:rsidRDefault="00535D23" w:rsidP="008C656C">
      <w:pPr>
        <w:ind w:firstLine="709"/>
        <w:jc w:val="both"/>
        <w:rPr>
          <w:rFonts w:ascii="Arial" w:hAnsi="Arial" w:cs="Arial"/>
          <w:sz w:val="19"/>
          <w:szCs w:val="19"/>
        </w:rPr>
      </w:pPr>
      <w:r w:rsidRPr="00EC20D7">
        <w:rPr>
          <w:rStyle w:val="Refdenotaalpie"/>
          <w:rFonts w:ascii="Arial" w:hAnsi="Arial" w:cs="Arial"/>
          <w:sz w:val="19"/>
          <w:szCs w:val="19"/>
        </w:rPr>
        <w:footnoteRef/>
      </w:r>
      <w:r w:rsidRPr="00EC20D7">
        <w:rPr>
          <w:rFonts w:ascii="Arial" w:hAnsi="Arial" w:cs="Arial"/>
          <w:sz w:val="19"/>
          <w:szCs w:val="19"/>
        </w:rPr>
        <w:t xml:space="preserve"> Consejo de Estado. Sección Tercera. Subsección C. Sentencia del 11 de diciembre de 2019. Exp. 46.986. C.P. Jaime Enrique Rodríguez Navas.</w:t>
      </w:r>
    </w:p>
    <w:p w14:paraId="4F0AE48D" w14:textId="77777777" w:rsidR="00535D23" w:rsidRPr="00EC20D7" w:rsidRDefault="00535D23" w:rsidP="008C656C">
      <w:pPr>
        <w:ind w:firstLine="709"/>
        <w:jc w:val="both"/>
        <w:rPr>
          <w:rFonts w:ascii="Arial" w:hAnsi="Arial" w:cs="Arial"/>
          <w:sz w:val="19"/>
          <w:szCs w:val="19"/>
        </w:rPr>
      </w:pPr>
    </w:p>
  </w:footnote>
  <w:footnote w:id="29">
    <w:p w14:paraId="6FEED6ED" w14:textId="77777777" w:rsidR="00535D23" w:rsidRDefault="00535D23" w:rsidP="008C656C">
      <w:pPr>
        <w:pStyle w:val="Textonotapie"/>
        <w:ind w:firstLine="708"/>
        <w:jc w:val="both"/>
        <w:rPr>
          <w:rFonts w:ascii="Arial" w:hAnsi="Arial" w:cs="Arial"/>
          <w:sz w:val="19"/>
          <w:szCs w:val="19"/>
        </w:rPr>
      </w:pPr>
      <w:r w:rsidRPr="00EC20D7">
        <w:rPr>
          <w:rStyle w:val="Refdenotaalpie"/>
          <w:rFonts w:ascii="Arial" w:hAnsi="Arial" w:cs="Arial"/>
          <w:sz w:val="19"/>
          <w:szCs w:val="19"/>
        </w:rPr>
        <w:footnoteRef/>
      </w:r>
      <w:r w:rsidRPr="00EC20D7">
        <w:rPr>
          <w:rFonts w:ascii="Arial" w:hAnsi="Arial" w:cs="Arial"/>
          <w:sz w:val="19"/>
          <w:szCs w:val="19"/>
        </w:rPr>
        <w:t xml:space="preserve"> [Referencia propia de la cita] «CE. SCSC. Concepto de 1 de noviembre de 2016 [Rad. 11001-03-06-000-2016-00125-00(2305)]. MP. Germán Alberto Bula Escobar».</w:t>
      </w:r>
    </w:p>
    <w:p w14:paraId="38B83CE8" w14:textId="77777777" w:rsidR="00535D23" w:rsidRPr="00EC20D7" w:rsidRDefault="00535D23" w:rsidP="008C656C">
      <w:pPr>
        <w:pStyle w:val="Textonotapie"/>
        <w:ind w:firstLine="708"/>
        <w:jc w:val="both"/>
        <w:rPr>
          <w:rFonts w:ascii="Arial" w:hAnsi="Arial" w:cs="Arial"/>
          <w:sz w:val="19"/>
          <w:szCs w:val="19"/>
        </w:rPr>
      </w:pPr>
    </w:p>
  </w:footnote>
  <w:footnote w:id="30">
    <w:p w14:paraId="0F055F09" w14:textId="77777777" w:rsidR="00535D23" w:rsidRPr="00EC20D7" w:rsidRDefault="00535D23" w:rsidP="008C656C">
      <w:pPr>
        <w:pStyle w:val="Textonotapie"/>
        <w:ind w:firstLine="708"/>
        <w:jc w:val="both"/>
        <w:rPr>
          <w:rFonts w:ascii="Arial" w:hAnsi="Arial" w:cs="Arial"/>
          <w:sz w:val="19"/>
          <w:szCs w:val="19"/>
        </w:rPr>
      </w:pPr>
      <w:r w:rsidRPr="00EC20D7">
        <w:rPr>
          <w:rStyle w:val="Refdenotaalpie"/>
          <w:rFonts w:ascii="Arial" w:hAnsi="Arial" w:cs="Arial"/>
          <w:sz w:val="19"/>
          <w:szCs w:val="19"/>
        </w:rPr>
        <w:footnoteRef/>
      </w:r>
      <w:r w:rsidRPr="00EC20D7">
        <w:rPr>
          <w:rFonts w:ascii="Arial" w:hAnsi="Arial" w:cs="Arial"/>
          <w:sz w:val="19"/>
          <w:szCs w:val="19"/>
        </w:rPr>
        <w:t xml:space="preserve"> [Referencia propia de la cita] «CE. SCSC. Concepto de 30 de abril de 2008 [Rad. 11001-03-06-000-2008-00013-00(1881)]. MP. Enrique José Arboleda Perdomo. En esta oportunidad, la Sala indicó que el contenido </w:t>
      </w:r>
      <w:r w:rsidRPr="00EC20D7">
        <w:rPr>
          <w:rFonts w:ascii="Arial" w:hAnsi="Arial" w:cs="Arial"/>
          <w:i/>
          <w:sz w:val="19"/>
          <w:szCs w:val="19"/>
        </w:rPr>
        <w:t>“obligacional”</w:t>
      </w:r>
      <w:r w:rsidRPr="00EC20D7">
        <w:rPr>
          <w:rFonts w:ascii="Arial" w:hAnsi="Arial" w:cs="Arial"/>
          <w:sz w:val="19"/>
          <w:szCs w:val="19"/>
        </w:rPr>
        <w:t xml:space="preserve"> de los convenios se estructura definiendo el resultado querido por las partes y los medios que cada entidad despliega para la obtención del respectivo objeto».</w:t>
      </w:r>
    </w:p>
  </w:footnote>
  <w:footnote w:id="31">
    <w:p w14:paraId="5C1B8C13" w14:textId="77777777" w:rsidR="00535D23" w:rsidRDefault="00535D23" w:rsidP="008C656C">
      <w:pPr>
        <w:pStyle w:val="Textonotapie"/>
        <w:ind w:firstLine="708"/>
        <w:jc w:val="both"/>
        <w:rPr>
          <w:rFonts w:ascii="Arial" w:hAnsi="Arial" w:cs="Arial"/>
          <w:sz w:val="19"/>
          <w:szCs w:val="19"/>
        </w:rPr>
      </w:pPr>
    </w:p>
    <w:p w14:paraId="27D98A66" w14:textId="77777777" w:rsidR="00535D23" w:rsidRDefault="00535D23" w:rsidP="008C656C">
      <w:pPr>
        <w:pStyle w:val="Textonotapie"/>
        <w:ind w:firstLine="708"/>
        <w:jc w:val="both"/>
        <w:rPr>
          <w:rFonts w:ascii="Arial" w:hAnsi="Arial" w:cs="Arial"/>
          <w:sz w:val="19"/>
          <w:szCs w:val="19"/>
        </w:rPr>
      </w:pPr>
      <w:r w:rsidRPr="00EC20D7">
        <w:rPr>
          <w:rStyle w:val="Refdenotaalpie"/>
          <w:rFonts w:ascii="Arial" w:hAnsi="Arial" w:cs="Arial"/>
          <w:sz w:val="19"/>
          <w:szCs w:val="19"/>
        </w:rPr>
        <w:footnoteRef/>
      </w:r>
      <w:r w:rsidRPr="00EC20D7">
        <w:rPr>
          <w:rFonts w:ascii="Arial" w:hAnsi="Arial" w:cs="Arial"/>
          <w:sz w:val="19"/>
          <w:szCs w:val="19"/>
        </w:rPr>
        <w:t xml:space="preserve"> [Referencia propia de la cita] «La normativa vigente del EGCAP </w:t>
      </w:r>
      <w:r w:rsidRPr="00EC20D7">
        <w:rPr>
          <w:rFonts w:ascii="Arial" w:hAnsi="Arial" w:cs="Arial"/>
          <w:i/>
          <w:sz w:val="19"/>
          <w:szCs w:val="19"/>
        </w:rPr>
        <w:t>[literal c) del numeral 4. del artículo 2 de la Ley 1150/07]</w:t>
      </w:r>
      <w:r w:rsidRPr="00EC20D7">
        <w:rPr>
          <w:rFonts w:ascii="Arial" w:hAnsi="Arial" w:cs="Arial"/>
          <w:sz w:val="19"/>
          <w:szCs w:val="19"/>
        </w:rPr>
        <w:t xml:space="preserve"> se refiere a </w:t>
      </w:r>
      <w:r w:rsidRPr="00EC20D7">
        <w:rPr>
          <w:rFonts w:ascii="Arial" w:hAnsi="Arial" w:cs="Arial"/>
          <w:i/>
          <w:sz w:val="19"/>
          <w:szCs w:val="19"/>
        </w:rPr>
        <w:t>“contratos interadministrativos”</w:t>
      </w:r>
      <w:r w:rsidRPr="00EC20D7">
        <w:rPr>
          <w:rFonts w:ascii="Arial" w:hAnsi="Arial" w:cs="Arial"/>
          <w:sz w:val="19"/>
          <w:szCs w:val="19"/>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p>
    <w:p w14:paraId="5F9F2832" w14:textId="77777777" w:rsidR="00535D23" w:rsidRPr="00EC20D7" w:rsidRDefault="00535D23" w:rsidP="008C656C">
      <w:pPr>
        <w:pStyle w:val="Textonotapie"/>
        <w:ind w:firstLine="708"/>
        <w:jc w:val="both"/>
        <w:rPr>
          <w:rFonts w:ascii="Arial" w:hAnsi="Arial" w:cs="Arial"/>
          <w:sz w:val="19"/>
          <w:szCs w:val="19"/>
        </w:rPr>
      </w:pPr>
    </w:p>
  </w:footnote>
  <w:footnote w:id="32">
    <w:p w14:paraId="77D5E864" w14:textId="77777777" w:rsidR="00535D23" w:rsidRDefault="00535D23" w:rsidP="008C656C">
      <w:pPr>
        <w:pStyle w:val="Textonotapie"/>
        <w:ind w:firstLine="708"/>
        <w:jc w:val="both"/>
        <w:rPr>
          <w:rFonts w:ascii="Arial" w:hAnsi="Arial" w:cs="Arial"/>
          <w:sz w:val="19"/>
          <w:szCs w:val="19"/>
        </w:rPr>
      </w:pPr>
      <w:r w:rsidRPr="00EC20D7">
        <w:rPr>
          <w:rStyle w:val="Refdenotaalpie"/>
          <w:rFonts w:ascii="Arial" w:hAnsi="Arial" w:cs="Arial"/>
          <w:sz w:val="19"/>
          <w:szCs w:val="19"/>
        </w:rPr>
        <w:footnoteRef/>
      </w:r>
      <w:r w:rsidRPr="00EC20D7">
        <w:rPr>
          <w:rFonts w:ascii="Arial" w:hAnsi="Arial" w:cs="Arial"/>
          <w:sz w:val="19"/>
          <w:szCs w:val="19"/>
        </w:rPr>
        <w:t xml:space="preserve"> En línea con lo anterior, la Sala de Consulta y Servicio Civil del Consejo de Estado expresó lo siguiente: «La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 (Consejo de Estado. Sala de Consulta y Servicio Civil. Concepto 26 de julio de 2016. Exp. 2.257. M.P. Álvaro Namén Vargas).</w:t>
      </w:r>
    </w:p>
    <w:p w14:paraId="6441498C" w14:textId="77777777" w:rsidR="00535D23" w:rsidRPr="00EC20D7" w:rsidRDefault="00535D23" w:rsidP="008C656C">
      <w:pPr>
        <w:pStyle w:val="Textonotapie"/>
        <w:ind w:firstLine="708"/>
        <w:jc w:val="both"/>
        <w:rPr>
          <w:rFonts w:ascii="Arial" w:hAnsi="Arial" w:cs="Arial"/>
          <w:sz w:val="19"/>
          <w:szCs w:val="19"/>
        </w:rPr>
      </w:pPr>
    </w:p>
  </w:footnote>
  <w:footnote w:id="33">
    <w:p w14:paraId="37AF7E90" w14:textId="77777777" w:rsidR="00535D23" w:rsidRPr="00EC20D7" w:rsidRDefault="00535D23" w:rsidP="008C656C">
      <w:pPr>
        <w:pStyle w:val="Textonotapie"/>
        <w:ind w:firstLine="708"/>
        <w:jc w:val="both"/>
        <w:rPr>
          <w:rFonts w:ascii="Arial" w:hAnsi="Arial" w:cs="Arial"/>
          <w:sz w:val="19"/>
          <w:szCs w:val="19"/>
        </w:rPr>
      </w:pPr>
      <w:r w:rsidRPr="00EC20D7">
        <w:rPr>
          <w:rStyle w:val="Refdenotaalpie"/>
          <w:rFonts w:ascii="Arial" w:hAnsi="Arial" w:cs="Arial"/>
          <w:sz w:val="19"/>
          <w:szCs w:val="19"/>
        </w:rPr>
        <w:footnoteRef/>
      </w:r>
      <w:r w:rsidRPr="00EC20D7">
        <w:rPr>
          <w:rFonts w:ascii="Arial" w:hAnsi="Arial" w:cs="Arial"/>
          <w:sz w:val="19"/>
          <w:szCs w:val="19"/>
        </w:rPr>
        <w:t xml:space="preserve"> Es lo que sucede, por ejemplo, con el Decreto 092 de 2017, que en su desarrollo hace referencia tanto a los «contratos» como a los «convenios». </w:t>
      </w:r>
    </w:p>
    <w:p w14:paraId="62973A12" w14:textId="77777777" w:rsidR="00535D23" w:rsidRPr="00EC20D7" w:rsidRDefault="00535D23" w:rsidP="008C656C">
      <w:pPr>
        <w:pStyle w:val="Textonotapie"/>
        <w:ind w:firstLine="708"/>
        <w:jc w:val="both"/>
        <w:rPr>
          <w:rFonts w:ascii="Arial" w:hAnsi="Arial" w:cs="Arial"/>
          <w:sz w:val="19"/>
          <w:szCs w:val="19"/>
          <w:lang w:val="es-CO"/>
        </w:rPr>
      </w:pPr>
    </w:p>
  </w:footnote>
  <w:footnote w:id="34">
    <w:p w14:paraId="5E9BA39F" w14:textId="77777777" w:rsidR="00535D23" w:rsidRPr="00EC20D7" w:rsidRDefault="00535D23" w:rsidP="008C656C">
      <w:pPr>
        <w:pStyle w:val="Textonotapie"/>
        <w:ind w:firstLine="708"/>
        <w:jc w:val="both"/>
        <w:rPr>
          <w:rFonts w:ascii="Arial" w:hAnsi="Arial" w:cs="Arial"/>
          <w:sz w:val="19"/>
          <w:szCs w:val="19"/>
          <w:lang w:val="es-CO"/>
        </w:rPr>
      </w:pPr>
      <w:r w:rsidRPr="00EC20D7">
        <w:rPr>
          <w:rStyle w:val="Refdenotaalpie"/>
          <w:rFonts w:ascii="Arial" w:hAnsi="Arial" w:cs="Arial"/>
          <w:sz w:val="19"/>
          <w:szCs w:val="19"/>
        </w:rPr>
        <w:footnoteRef/>
      </w:r>
      <w:r w:rsidRPr="00EC20D7">
        <w:rPr>
          <w:rFonts w:ascii="Arial" w:hAnsi="Arial" w:cs="Arial"/>
          <w:sz w:val="19"/>
          <w:szCs w:val="19"/>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(Corte Constitucional. Sentencia C-671 de 2015. M.P. Alberto Rojas Ríos).</w:t>
      </w:r>
    </w:p>
  </w:footnote>
  <w:footnote w:id="35">
    <w:p w14:paraId="1924AD36" w14:textId="77777777" w:rsidR="00227007" w:rsidRPr="00910945" w:rsidRDefault="00227007" w:rsidP="008C656C">
      <w:pPr>
        <w:pStyle w:val="Textonotapie"/>
        <w:ind w:firstLine="708"/>
        <w:jc w:val="both"/>
        <w:rPr>
          <w:rFonts w:ascii="Arial" w:hAnsi="Arial" w:cs="Arial"/>
          <w:color w:val="000000" w:themeColor="text1"/>
          <w:sz w:val="18"/>
          <w:szCs w:val="18"/>
        </w:rPr>
      </w:pPr>
      <w:r w:rsidRPr="00910945">
        <w:rPr>
          <w:rStyle w:val="Refdenotaalpie"/>
          <w:rFonts w:ascii="Arial" w:hAnsi="Arial" w:cs="Arial"/>
          <w:color w:val="000000" w:themeColor="text1"/>
          <w:sz w:val="18"/>
          <w:szCs w:val="18"/>
        </w:rPr>
        <w:footnoteRef/>
      </w:r>
      <w:r w:rsidRPr="00910945">
        <w:rPr>
          <w:rFonts w:ascii="Arial" w:hAnsi="Arial" w:cs="Arial"/>
          <w:color w:val="000000" w:themeColor="text1"/>
          <w:sz w:val="18"/>
          <w:szCs w:val="18"/>
        </w:rPr>
        <w:t xml:space="preserve"> Sobre esta norma consultar los conceptos del 8 de octubre de 2019, con radicado 2201913000007532, y del 20 de diciembre de 2019, cuyo radicado es el No. 4201913000008240.</w:t>
      </w:r>
    </w:p>
  </w:footnote>
  <w:footnote w:id="36">
    <w:p w14:paraId="2F15C297" w14:textId="77777777" w:rsidR="00227007" w:rsidRPr="00910945" w:rsidRDefault="00227007" w:rsidP="008C656C">
      <w:pPr>
        <w:pStyle w:val="Textonotapie"/>
        <w:ind w:firstLine="708"/>
        <w:jc w:val="both"/>
        <w:rPr>
          <w:rFonts w:ascii="Arial" w:hAnsi="Arial" w:cs="Arial"/>
          <w:color w:val="000000" w:themeColor="text1"/>
          <w:sz w:val="18"/>
          <w:szCs w:val="18"/>
        </w:rPr>
      </w:pPr>
      <w:r w:rsidRPr="00910945">
        <w:rPr>
          <w:rStyle w:val="Refdenotaalpie"/>
          <w:rFonts w:ascii="Arial" w:hAnsi="Arial" w:cs="Arial"/>
          <w:color w:val="000000" w:themeColor="text1"/>
          <w:sz w:val="18"/>
          <w:szCs w:val="18"/>
        </w:rPr>
        <w:footnoteRef/>
      </w:r>
      <w:r w:rsidRPr="00910945">
        <w:rPr>
          <w:rFonts w:ascii="Arial" w:hAnsi="Arial" w:cs="Arial"/>
          <w:color w:val="000000" w:themeColor="text1"/>
          <w:sz w:val="18"/>
          <w:szCs w:val="18"/>
        </w:rPr>
        <w:t xml:space="preserve"> «Articulo 96. Constitución de asociaciones y fundaciones para el cumplimiento de las actividades propias de las entidades públicas con participación de particulares.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70D6E9C1" w14:textId="77777777" w:rsidR="00227007" w:rsidRPr="00910945" w:rsidRDefault="00227007" w:rsidP="008C656C">
      <w:pPr>
        <w:pStyle w:val="Textonotapie"/>
        <w:ind w:firstLine="708"/>
        <w:jc w:val="both"/>
        <w:rPr>
          <w:rFonts w:ascii="Arial" w:hAnsi="Arial" w:cs="Arial"/>
          <w:color w:val="000000" w:themeColor="text1"/>
          <w:sz w:val="18"/>
          <w:szCs w:val="18"/>
        </w:rPr>
      </w:pPr>
      <w:r w:rsidRPr="00910945">
        <w:rPr>
          <w:rFonts w:ascii="Arial" w:hAnsi="Arial" w:cs="Arial"/>
          <w:color w:val="000000" w:themeColor="text1"/>
          <w:sz w:val="18"/>
          <w:szCs w:val="18"/>
        </w:rPr>
        <w:t>» Los convenios de asociación a que se refiere el presente artículo se celebrarán de conformidad con lo dispuesto en el artículo 355 de la Constitución Política, en ellos se determinará con precisión su objeto, término, obligaciones de las partes, aportes, coordinación y todos aquellos aspectos que se consideren pertinentes».</w:t>
      </w:r>
    </w:p>
  </w:footnote>
  <w:footnote w:id="37">
    <w:p w14:paraId="7FD27537" w14:textId="77777777" w:rsidR="00227007" w:rsidRPr="00910945" w:rsidRDefault="00227007" w:rsidP="00751C77">
      <w:pPr>
        <w:pStyle w:val="Textonotapie"/>
        <w:ind w:firstLine="708"/>
        <w:jc w:val="both"/>
        <w:rPr>
          <w:rFonts w:ascii="Arial" w:hAnsi="Arial" w:cs="Arial"/>
          <w:color w:val="000000" w:themeColor="text1"/>
          <w:sz w:val="18"/>
          <w:szCs w:val="18"/>
        </w:rPr>
      </w:pPr>
      <w:r w:rsidRPr="00910945">
        <w:rPr>
          <w:rStyle w:val="Refdenotaalpie"/>
          <w:rFonts w:ascii="Arial" w:hAnsi="Arial" w:cs="Arial"/>
          <w:color w:val="000000" w:themeColor="text1"/>
          <w:sz w:val="18"/>
          <w:szCs w:val="18"/>
        </w:rPr>
        <w:footnoteRef/>
      </w:r>
      <w:r w:rsidRPr="00910945">
        <w:rPr>
          <w:rFonts w:ascii="Arial" w:hAnsi="Arial" w:cs="Arial"/>
          <w:color w:val="000000" w:themeColor="text1"/>
          <w:sz w:val="18"/>
          <w:szCs w:val="18"/>
        </w:rPr>
        <w:t xml:space="preserve"> En el concepto emitido el 5 de febrero de 2019, dentro del radicado No. 2201913000000663, se dijo: «[l]os convenios de asociación del artículo 5 son distintos a los contratos de colaboración del artículo 2 del Decreto 092 de 2017».</w:t>
      </w:r>
    </w:p>
  </w:footnote>
  <w:footnote w:id="38">
    <w:p w14:paraId="47E7B298" w14:textId="77777777" w:rsidR="00227007" w:rsidRPr="00910945" w:rsidRDefault="00227007" w:rsidP="00751C77">
      <w:pPr>
        <w:pStyle w:val="Textonotapie"/>
        <w:ind w:firstLine="708"/>
        <w:jc w:val="both"/>
        <w:rPr>
          <w:rFonts w:ascii="Arial" w:hAnsi="Arial" w:cs="Arial"/>
          <w:color w:val="000000" w:themeColor="text1"/>
          <w:sz w:val="18"/>
          <w:szCs w:val="18"/>
        </w:rPr>
      </w:pPr>
      <w:r w:rsidRPr="00910945">
        <w:rPr>
          <w:rStyle w:val="Refdenotaalpie"/>
          <w:rFonts w:ascii="Arial" w:hAnsi="Arial" w:cs="Arial"/>
          <w:color w:val="000000" w:themeColor="text1"/>
          <w:sz w:val="18"/>
          <w:szCs w:val="18"/>
        </w:rPr>
        <w:footnoteRef/>
      </w:r>
      <w:r w:rsidRPr="00910945">
        <w:rPr>
          <w:rFonts w:ascii="Arial" w:hAnsi="Arial" w:cs="Arial"/>
          <w:color w:val="000000" w:themeColor="text1"/>
          <w:sz w:val="18"/>
          <w:szCs w:val="18"/>
        </w:rPr>
        <w:t xml:space="preserve"> Concepto del 3 de septiembre de 2019, emitido en el radicado No. 2201913000006512.</w:t>
      </w:r>
    </w:p>
  </w:footnote>
  <w:footnote w:id="39">
    <w:p w14:paraId="1EBB558D" w14:textId="77777777" w:rsidR="00227007" w:rsidRPr="00910945" w:rsidRDefault="00227007" w:rsidP="008C656C">
      <w:pPr>
        <w:pStyle w:val="Textonotapie"/>
        <w:ind w:firstLine="708"/>
        <w:jc w:val="both"/>
        <w:rPr>
          <w:rFonts w:ascii="Arial" w:hAnsi="Arial" w:cs="Arial"/>
          <w:color w:val="000000" w:themeColor="text1"/>
          <w:sz w:val="18"/>
          <w:szCs w:val="18"/>
        </w:rPr>
      </w:pPr>
      <w:r w:rsidRPr="00910945">
        <w:rPr>
          <w:rStyle w:val="Refdenotaalpie"/>
          <w:rFonts w:ascii="Arial" w:hAnsi="Arial" w:cs="Arial"/>
          <w:color w:val="000000" w:themeColor="text1"/>
          <w:sz w:val="18"/>
          <w:szCs w:val="18"/>
        </w:rPr>
        <w:footnoteRef/>
      </w:r>
      <w:r w:rsidRPr="00910945">
        <w:rPr>
          <w:rFonts w:ascii="Arial" w:hAnsi="Arial" w:cs="Arial"/>
          <w:color w:val="000000" w:themeColor="text1"/>
          <w:sz w:val="18"/>
          <w:szCs w:val="18"/>
        </w:rPr>
        <w:t xml:space="preserve"> El numeral 16.9 de la Circular Externa Única de Colombia Compra Eficiente determina:</w:t>
      </w:r>
    </w:p>
    <w:p w14:paraId="13CDBE05" w14:textId="77777777" w:rsidR="00227007" w:rsidRPr="00910945" w:rsidRDefault="00227007" w:rsidP="008C656C">
      <w:pPr>
        <w:pStyle w:val="Textonotapie"/>
        <w:ind w:firstLine="708"/>
        <w:jc w:val="both"/>
        <w:rPr>
          <w:rFonts w:ascii="Arial" w:hAnsi="Arial" w:cs="Arial"/>
          <w:color w:val="000000" w:themeColor="text1"/>
          <w:sz w:val="18"/>
          <w:szCs w:val="18"/>
        </w:rPr>
      </w:pPr>
      <w:r w:rsidRPr="00910945">
        <w:rPr>
          <w:rFonts w:ascii="Arial" w:hAnsi="Arial" w:cs="Arial"/>
          <w:color w:val="000000" w:themeColor="text1"/>
          <w:sz w:val="18"/>
          <w:szCs w:val="18"/>
        </w:rPr>
        <w:t>«16.9 Uniones temporales y consorcios conformados por entidades sin ánimo de lucro.</w:t>
      </w:r>
    </w:p>
    <w:p w14:paraId="56FF7758" w14:textId="77777777" w:rsidR="00227007" w:rsidRPr="00910945" w:rsidRDefault="00227007" w:rsidP="008C656C">
      <w:pPr>
        <w:pStyle w:val="Textonotapie"/>
        <w:ind w:firstLine="708"/>
        <w:jc w:val="both"/>
        <w:rPr>
          <w:rFonts w:ascii="Arial" w:hAnsi="Arial" w:cs="Arial"/>
          <w:color w:val="000000" w:themeColor="text1"/>
          <w:sz w:val="18"/>
          <w:szCs w:val="18"/>
        </w:rPr>
      </w:pPr>
      <w:r w:rsidRPr="00910945">
        <w:rPr>
          <w:rFonts w:ascii="Arial" w:hAnsi="Arial" w:cs="Arial"/>
          <w:color w:val="000000" w:themeColor="text1"/>
          <w:sz w:val="18"/>
          <w:szCs w:val="18"/>
        </w:rPr>
        <w:t>»El Decreto 092 de 2017 no restringe ninguna forma de asociación entre las entidades privadas sin ánimo de lucro, y prevé que los contratos y convenios que regula se sujetarán a las normas generales aplicables al Sistema de Compra Pública, es decir Ley 80 de 1993, salvo lo que de manera expresa esté regulado en dicho Decreto. La Ley 80 de 1993 establece las diferentes formas asociativas que pueden utilizar los proponentes para participar en los Procesos de Contratación. De esta forma, entidades privadas sin ánimo de lucro pueden constituirse como unión temporal o consorcio para efectos de la celebración de contratos de colaboración o convenios de asociación».</w:t>
      </w:r>
    </w:p>
    <w:p w14:paraId="21924748" w14:textId="77777777" w:rsidR="00227007" w:rsidRPr="00910945" w:rsidRDefault="00227007" w:rsidP="008C656C">
      <w:pPr>
        <w:pStyle w:val="Textonotapie"/>
        <w:ind w:firstLine="708"/>
        <w:jc w:val="both"/>
        <w:rPr>
          <w:rFonts w:ascii="Arial" w:hAnsi="Arial" w:cs="Arial"/>
          <w:color w:val="000000" w:themeColor="text1"/>
          <w:sz w:val="18"/>
          <w:szCs w:val="18"/>
        </w:rPr>
      </w:pPr>
    </w:p>
  </w:footnote>
  <w:footnote w:id="40">
    <w:p w14:paraId="03C5669B" w14:textId="77777777" w:rsidR="00227007" w:rsidRPr="00910945" w:rsidRDefault="00227007" w:rsidP="008C656C">
      <w:pPr>
        <w:pStyle w:val="Textonotapie"/>
        <w:ind w:firstLine="708"/>
        <w:jc w:val="both"/>
        <w:rPr>
          <w:rFonts w:ascii="Arial" w:hAnsi="Arial" w:cs="Arial"/>
          <w:color w:val="000000" w:themeColor="text1"/>
          <w:sz w:val="18"/>
          <w:szCs w:val="18"/>
          <w:lang w:val="es-ES"/>
        </w:rPr>
      </w:pPr>
      <w:r w:rsidRPr="00910945">
        <w:rPr>
          <w:rStyle w:val="Refdenotaalpie"/>
          <w:rFonts w:ascii="Arial" w:hAnsi="Arial" w:cs="Arial"/>
          <w:color w:val="000000" w:themeColor="text1"/>
          <w:sz w:val="18"/>
          <w:szCs w:val="18"/>
        </w:rPr>
        <w:footnoteRef/>
      </w:r>
      <w:r w:rsidRPr="00910945">
        <w:rPr>
          <w:rFonts w:ascii="Arial" w:hAnsi="Arial" w:cs="Arial"/>
          <w:color w:val="000000" w:themeColor="text1"/>
          <w:sz w:val="18"/>
          <w:szCs w:val="18"/>
        </w:rPr>
        <w:t xml:space="preserve"> Concepto del 19 de noviembre de 2019, emitido en el radicado No. 2201913000008611.</w:t>
      </w:r>
    </w:p>
  </w:footnote>
  <w:footnote w:id="41">
    <w:p w14:paraId="46FE0CCB" w14:textId="77777777" w:rsidR="00227007" w:rsidRPr="00910945" w:rsidRDefault="00227007" w:rsidP="008C656C">
      <w:pPr>
        <w:pStyle w:val="Textonotapie"/>
        <w:ind w:firstLine="708"/>
        <w:jc w:val="both"/>
        <w:rPr>
          <w:rFonts w:ascii="Arial" w:hAnsi="Arial" w:cs="Arial"/>
          <w:color w:val="000000" w:themeColor="text1"/>
          <w:sz w:val="18"/>
          <w:szCs w:val="18"/>
        </w:rPr>
      </w:pPr>
      <w:r w:rsidRPr="00910945">
        <w:rPr>
          <w:rStyle w:val="Refdenotaalpie"/>
          <w:rFonts w:ascii="Arial" w:hAnsi="Arial" w:cs="Arial"/>
          <w:color w:val="000000" w:themeColor="text1"/>
          <w:sz w:val="18"/>
          <w:szCs w:val="18"/>
        </w:rPr>
        <w:footnoteRef/>
      </w:r>
      <w:r w:rsidRPr="00910945">
        <w:rPr>
          <w:rFonts w:ascii="Arial" w:hAnsi="Arial" w:cs="Arial"/>
          <w:color w:val="000000" w:themeColor="text1"/>
          <w:sz w:val="18"/>
          <w:szCs w:val="18"/>
        </w:rPr>
        <w:t xml:space="preserve"> Se precisa que la suspensión provisional, de acuerdo con el artículo 231 de la Ley 1437 de 2011, es una medida cautelar que busca proteger y garantizar, de forma provisional, que la norma demandada no genere actos contrarios al ordenamiento jurídico, razón por la cual, para decretarla es necesario que la transgresión de las normas superiores invocadas surja de la comparación entre estas y los actos acusados o del estudio de las pruebas aportadas con la solicitud.</w:t>
      </w:r>
    </w:p>
  </w:footnote>
  <w:footnote w:id="42">
    <w:p w14:paraId="3FC8B227" w14:textId="29823DE1" w:rsidR="00B40FBD" w:rsidRPr="00751C77" w:rsidRDefault="00B40FBD" w:rsidP="00751C77">
      <w:pPr>
        <w:pStyle w:val="Textonotapie"/>
        <w:ind w:firstLine="708"/>
        <w:jc w:val="both"/>
        <w:rPr>
          <w:rFonts w:ascii="Arial" w:hAnsi="Arial" w:cs="Arial"/>
          <w:color w:val="000000" w:themeColor="text1"/>
          <w:sz w:val="19"/>
          <w:szCs w:val="19"/>
        </w:rPr>
      </w:pPr>
      <w:r w:rsidRPr="00B40FBD">
        <w:rPr>
          <w:rStyle w:val="Refdenotaalpie"/>
          <w:sz w:val="19"/>
          <w:szCs w:val="19"/>
        </w:rPr>
        <w:footnoteRef/>
      </w:r>
      <w:r w:rsidRPr="00B40FBD">
        <w:rPr>
          <w:sz w:val="19"/>
          <w:szCs w:val="19"/>
        </w:rPr>
        <w:t xml:space="preserve">  </w:t>
      </w:r>
      <w:r w:rsidRPr="00B40FBD">
        <w:rPr>
          <w:rFonts w:ascii="Arial" w:hAnsi="Arial" w:cs="Arial"/>
          <w:color w:val="000000" w:themeColor="text1"/>
          <w:sz w:val="19"/>
          <w:szCs w:val="19"/>
        </w:rPr>
        <w:t xml:space="preserve">CONSEJO DE ESTADO. Sala Plena. Auto del 15 de marzo de 2022. </w:t>
      </w:r>
      <w:r w:rsidRPr="00751C77">
        <w:rPr>
          <w:rFonts w:ascii="Arial" w:hAnsi="Arial" w:cs="Arial"/>
          <w:color w:val="000000" w:themeColor="text1"/>
          <w:sz w:val="19"/>
          <w:szCs w:val="19"/>
        </w:rPr>
        <w:t>Exp. 11001-03-26-000-2018-00113-01 (62.003). C.P. Rocío Araújo Oñate.</w:t>
      </w:r>
    </w:p>
    <w:p w14:paraId="11675BB6" w14:textId="77777777" w:rsidR="00B40FBD" w:rsidRPr="00751C77" w:rsidRDefault="00B40FBD" w:rsidP="00751C77">
      <w:pPr>
        <w:pStyle w:val="Textonotapie"/>
        <w:ind w:firstLine="708"/>
        <w:jc w:val="both"/>
      </w:pPr>
    </w:p>
    <w:p w14:paraId="154FDB5A" w14:textId="45360AEA" w:rsidR="00B40FBD" w:rsidRPr="00B40FBD" w:rsidRDefault="00B40FBD" w:rsidP="00751C77">
      <w:pPr>
        <w:pStyle w:val="Textonotapie"/>
        <w:jc w:val="both"/>
        <w:rPr>
          <w:lang w:val="es-ES"/>
        </w:rPr>
      </w:pPr>
    </w:p>
  </w:footnote>
  <w:footnote w:id="43">
    <w:p w14:paraId="1B3DA256" w14:textId="77777777" w:rsidR="00227007" w:rsidRDefault="00227007" w:rsidP="008C656C">
      <w:pPr>
        <w:pStyle w:val="Textonotapie"/>
        <w:ind w:firstLine="708"/>
        <w:jc w:val="both"/>
        <w:rPr>
          <w:rFonts w:ascii="Arial" w:hAnsi="Arial" w:cs="Arial"/>
          <w:color w:val="000000" w:themeColor="text1"/>
          <w:sz w:val="18"/>
          <w:szCs w:val="18"/>
        </w:rPr>
      </w:pPr>
    </w:p>
    <w:p w14:paraId="268987DF" w14:textId="77777777" w:rsidR="00227007" w:rsidRPr="00910945" w:rsidRDefault="00227007" w:rsidP="008C656C">
      <w:pPr>
        <w:pStyle w:val="Textonotapie"/>
        <w:ind w:firstLine="708"/>
        <w:jc w:val="both"/>
        <w:rPr>
          <w:rFonts w:ascii="Arial" w:hAnsi="Arial" w:cs="Arial"/>
          <w:color w:val="000000" w:themeColor="text1"/>
          <w:sz w:val="18"/>
          <w:szCs w:val="18"/>
        </w:rPr>
      </w:pPr>
      <w:r w:rsidRPr="00910945">
        <w:rPr>
          <w:rStyle w:val="Refdenotaalpie"/>
          <w:rFonts w:ascii="Arial" w:hAnsi="Arial" w:cs="Arial"/>
          <w:color w:val="000000" w:themeColor="text1"/>
          <w:sz w:val="18"/>
          <w:szCs w:val="18"/>
        </w:rPr>
        <w:footnoteRef/>
      </w:r>
      <w:r w:rsidRPr="00910945">
        <w:rPr>
          <w:rFonts w:ascii="Arial" w:hAnsi="Arial" w:cs="Arial"/>
          <w:color w:val="000000" w:themeColor="text1"/>
          <w:sz w:val="18"/>
          <w:szCs w:val="18"/>
        </w:rPr>
        <w:t xml:space="preserve"> Decreto 1082, artículo 5: «[…]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15145A" w:rsidRDefault="0015145A">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66E7880"/>
    <w:multiLevelType w:val="multilevel"/>
    <w:tmpl w:val="6100D58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7"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1"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2"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3"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79DF3375"/>
    <w:multiLevelType w:val="multilevel"/>
    <w:tmpl w:val="7FCE6E46"/>
    <w:lvl w:ilvl="0">
      <w:start w:val="2"/>
      <w:numFmt w:val="decimal"/>
      <w:lvlText w:val="%1."/>
      <w:lvlJc w:val="left"/>
      <w:pPr>
        <w:ind w:left="400" w:hanging="4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2124379124">
    <w:abstractNumId w:val="9"/>
  </w:num>
  <w:num w:numId="2" w16cid:durableId="1613052188">
    <w:abstractNumId w:val="7"/>
  </w:num>
  <w:num w:numId="3" w16cid:durableId="647365430">
    <w:abstractNumId w:val="12"/>
  </w:num>
  <w:num w:numId="4" w16cid:durableId="1006784926">
    <w:abstractNumId w:val="16"/>
  </w:num>
  <w:num w:numId="5" w16cid:durableId="1357923359">
    <w:abstractNumId w:val="20"/>
  </w:num>
  <w:num w:numId="6" w16cid:durableId="78794149">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52383205">
    <w:abstractNumId w:val="18"/>
  </w:num>
  <w:num w:numId="8" w16cid:durableId="429816029">
    <w:abstractNumId w:val="0"/>
  </w:num>
  <w:num w:numId="9" w16cid:durableId="165244783">
    <w:abstractNumId w:val="3"/>
  </w:num>
  <w:num w:numId="10" w16cid:durableId="19974190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7153704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59271991">
    <w:abstractNumId w:val="8"/>
  </w:num>
  <w:num w:numId="13" w16cid:durableId="1948200142">
    <w:abstractNumId w:val="11"/>
  </w:num>
  <w:num w:numId="14" w16cid:durableId="1558473592">
    <w:abstractNumId w:val="6"/>
  </w:num>
  <w:num w:numId="15" w16cid:durableId="1188836653">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82311590">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62702273">
    <w:abstractNumId w:val="22"/>
  </w:num>
  <w:num w:numId="18" w16cid:durableId="1225070050">
    <w:abstractNumId w:val="13"/>
  </w:num>
  <w:num w:numId="19" w16cid:durableId="327371196">
    <w:abstractNumId w:val="2"/>
  </w:num>
  <w:num w:numId="20" w16cid:durableId="444613897">
    <w:abstractNumId w:val="23"/>
  </w:num>
  <w:num w:numId="21" w16cid:durableId="1544058985">
    <w:abstractNumId w:val="14"/>
  </w:num>
  <w:num w:numId="22" w16cid:durableId="692533828">
    <w:abstractNumId w:val="5"/>
  </w:num>
  <w:num w:numId="23" w16cid:durableId="719939161">
    <w:abstractNumId w:val="4"/>
  </w:num>
  <w:num w:numId="24" w16cid:durableId="1443375194">
    <w:abstractNumId w:val="21"/>
  </w:num>
  <w:num w:numId="25" w16cid:durableId="1283927417">
    <w:abstractNumId w:val="17"/>
  </w:num>
  <w:num w:numId="26" w16cid:durableId="833841812">
    <w:abstractNumId w:val="24"/>
  </w:num>
  <w:num w:numId="27" w16cid:durableId="7864494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004"/>
    <w:rsid w:val="0000162E"/>
    <w:rsid w:val="00001A1C"/>
    <w:rsid w:val="00001EED"/>
    <w:rsid w:val="00001FFD"/>
    <w:rsid w:val="00002027"/>
    <w:rsid w:val="000020FE"/>
    <w:rsid w:val="00002173"/>
    <w:rsid w:val="00002916"/>
    <w:rsid w:val="000031A3"/>
    <w:rsid w:val="000031A8"/>
    <w:rsid w:val="00003C5C"/>
    <w:rsid w:val="000040D7"/>
    <w:rsid w:val="00004556"/>
    <w:rsid w:val="000051AF"/>
    <w:rsid w:val="0000572B"/>
    <w:rsid w:val="000059D3"/>
    <w:rsid w:val="00005B6D"/>
    <w:rsid w:val="0000600A"/>
    <w:rsid w:val="00006081"/>
    <w:rsid w:val="00007750"/>
    <w:rsid w:val="000077FD"/>
    <w:rsid w:val="00007E37"/>
    <w:rsid w:val="00010C40"/>
    <w:rsid w:val="00010C50"/>
    <w:rsid w:val="00010CE6"/>
    <w:rsid w:val="000112B4"/>
    <w:rsid w:val="00011DCC"/>
    <w:rsid w:val="000120B3"/>
    <w:rsid w:val="00012532"/>
    <w:rsid w:val="00012B9E"/>
    <w:rsid w:val="00012FBA"/>
    <w:rsid w:val="00013C6B"/>
    <w:rsid w:val="0001406B"/>
    <w:rsid w:val="000143F8"/>
    <w:rsid w:val="00014624"/>
    <w:rsid w:val="00015B44"/>
    <w:rsid w:val="00016081"/>
    <w:rsid w:val="000165AC"/>
    <w:rsid w:val="00016651"/>
    <w:rsid w:val="00016739"/>
    <w:rsid w:val="000168A1"/>
    <w:rsid w:val="000171A2"/>
    <w:rsid w:val="00017B65"/>
    <w:rsid w:val="00020158"/>
    <w:rsid w:val="000207E0"/>
    <w:rsid w:val="000209E2"/>
    <w:rsid w:val="00020F8F"/>
    <w:rsid w:val="00021464"/>
    <w:rsid w:val="000215A6"/>
    <w:rsid w:val="00021A95"/>
    <w:rsid w:val="00022223"/>
    <w:rsid w:val="0002256F"/>
    <w:rsid w:val="00023DAE"/>
    <w:rsid w:val="0002427B"/>
    <w:rsid w:val="0002465F"/>
    <w:rsid w:val="00024896"/>
    <w:rsid w:val="00025600"/>
    <w:rsid w:val="00025D0A"/>
    <w:rsid w:val="00025E0C"/>
    <w:rsid w:val="000263A5"/>
    <w:rsid w:val="000263F0"/>
    <w:rsid w:val="00026407"/>
    <w:rsid w:val="00026608"/>
    <w:rsid w:val="00027787"/>
    <w:rsid w:val="000278D2"/>
    <w:rsid w:val="00030FF6"/>
    <w:rsid w:val="00031158"/>
    <w:rsid w:val="00031364"/>
    <w:rsid w:val="000315E1"/>
    <w:rsid w:val="000319F3"/>
    <w:rsid w:val="0003236E"/>
    <w:rsid w:val="0003339A"/>
    <w:rsid w:val="0003370C"/>
    <w:rsid w:val="00033B58"/>
    <w:rsid w:val="00033D07"/>
    <w:rsid w:val="000341F2"/>
    <w:rsid w:val="00035046"/>
    <w:rsid w:val="000351F2"/>
    <w:rsid w:val="00036D53"/>
    <w:rsid w:val="00036E03"/>
    <w:rsid w:val="00037553"/>
    <w:rsid w:val="000406DB"/>
    <w:rsid w:val="0004094D"/>
    <w:rsid w:val="00041029"/>
    <w:rsid w:val="000411C6"/>
    <w:rsid w:val="0004149B"/>
    <w:rsid w:val="0004234D"/>
    <w:rsid w:val="00042961"/>
    <w:rsid w:val="00042C25"/>
    <w:rsid w:val="00042D03"/>
    <w:rsid w:val="00042F9C"/>
    <w:rsid w:val="00043086"/>
    <w:rsid w:val="000430A0"/>
    <w:rsid w:val="0004392F"/>
    <w:rsid w:val="00043D3B"/>
    <w:rsid w:val="0004418C"/>
    <w:rsid w:val="00044204"/>
    <w:rsid w:val="000449D4"/>
    <w:rsid w:val="000463B5"/>
    <w:rsid w:val="00046717"/>
    <w:rsid w:val="00046A63"/>
    <w:rsid w:val="00046C09"/>
    <w:rsid w:val="0004716A"/>
    <w:rsid w:val="00047385"/>
    <w:rsid w:val="000473E8"/>
    <w:rsid w:val="000504DE"/>
    <w:rsid w:val="00051074"/>
    <w:rsid w:val="00051A08"/>
    <w:rsid w:val="000526F0"/>
    <w:rsid w:val="0005273D"/>
    <w:rsid w:val="00052B79"/>
    <w:rsid w:val="00052EA0"/>
    <w:rsid w:val="000536A7"/>
    <w:rsid w:val="000536E3"/>
    <w:rsid w:val="00053896"/>
    <w:rsid w:val="0005474D"/>
    <w:rsid w:val="00055CB9"/>
    <w:rsid w:val="00056F66"/>
    <w:rsid w:val="0005702F"/>
    <w:rsid w:val="00061010"/>
    <w:rsid w:val="0006120E"/>
    <w:rsid w:val="00061D06"/>
    <w:rsid w:val="00062407"/>
    <w:rsid w:val="00062CDD"/>
    <w:rsid w:val="00062F1A"/>
    <w:rsid w:val="000635D9"/>
    <w:rsid w:val="00063C5F"/>
    <w:rsid w:val="00063F7D"/>
    <w:rsid w:val="000640AF"/>
    <w:rsid w:val="00064940"/>
    <w:rsid w:val="00064CAE"/>
    <w:rsid w:val="00064DB7"/>
    <w:rsid w:val="00064FA7"/>
    <w:rsid w:val="00065195"/>
    <w:rsid w:val="0006536C"/>
    <w:rsid w:val="00066813"/>
    <w:rsid w:val="00066D62"/>
    <w:rsid w:val="0006764C"/>
    <w:rsid w:val="00067A2D"/>
    <w:rsid w:val="00070325"/>
    <w:rsid w:val="00070AF1"/>
    <w:rsid w:val="000714DE"/>
    <w:rsid w:val="0007254F"/>
    <w:rsid w:val="00072CEB"/>
    <w:rsid w:val="00073C30"/>
    <w:rsid w:val="00073F80"/>
    <w:rsid w:val="00074305"/>
    <w:rsid w:val="000744D0"/>
    <w:rsid w:val="00074B2A"/>
    <w:rsid w:val="00074EEE"/>
    <w:rsid w:val="000753D5"/>
    <w:rsid w:val="00075B3E"/>
    <w:rsid w:val="00076456"/>
    <w:rsid w:val="0007779B"/>
    <w:rsid w:val="000777E7"/>
    <w:rsid w:val="0007790A"/>
    <w:rsid w:val="0008017B"/>
    <w:rsid w:val="000808C5"/>
    <w:rsid w:val="00080ACD"/>
    <w:rsid w:val="000811ED"/>
    <w:rsid w:val="00081D62"/>
    <w:rsid w:val="00082B74"/>
    <w:rsid w:val="00083099"/>
    <w:rsid w:val="00083452"/>
    <w:rsid w:val="00083EDC"/>
    <w:rsid w:val="000842B0"/>
    <w:rsid w:val="000842BE"/>
    <w:rsid w:val="000844E7"/>
    <w:rsid w:val="00084B97"/>
    <w:rsid w:val="0008510E"/>
    <w:rsid w:val="000856DE"/>
    <w:rsid w:val="00085F17"/>
    <w:rsid w:val="00085FB0"/>
    <w:rsid w:val="00085FB3"/>
    <w:rsid w:val="0008686B"/>
    <w:rsid w:val="00086B2A"/>
    <w:rsid w:val="00086ED2"/>
    <w:rsid w:val="00087D59"/>
    <w:rsid w:val="000914D6"/>
    <w:rsid w:val="00091569"/>
    <w:rsid w:val="0009217E"/>
    <w:rsid w:val="00092A2C"/>
    <w:rsid w:val="00092CDB"/>
    <w:rsid w:val="00092DCA"/>
    <w:rsid w:val="00093630"/>
    <w:rsid w:val="00093B65"/>
    <w:rsid w:val="00094121"/>
    <w:rsid w:val="000942EB"/>
    <w:rsid w:val="00095813"/>
    <w:rsid w:val="00095B70"/>
    <w:rsid w:val="0009617E"/>
    <w:rsid w:val="0009628D"/>
    <w:rsid w:val="0009670F"/>
    <w:rsid w:val="00097342"/>
    <w:rsid w:val="000979CF"/>
    <w:rsid w:val="000A03C8"/>
    <w:rsid w:val="000A05F2"/>
    <w:rsid w:val="000A06C4"/>
    <w:rsid w:val="000A0861"/>
    <w:rsid w:val="000A0DF7"/>
    <w:rsid w:val="000A0ED1"/>
    <w:rsid w:val="000A1179"/>
    <w:rsid w:val="000A12DB"/>
    <w:rsid w:val="000A17C8"/>
    <w:rsid w:val="000A1B74"/>
    <w:rsid w:val="000A20D7"/>
    <w:rsid w:val="000A2128"/>
    <w:rsid w:val="000A236C"/>
    <w:rsid w:val="000A2C39"/>
    <w:rsid w:val="000A362F"/>
    <w:rsid w:val="000A3B49"/>
    <w:rsid w:val="000A47E6"/>
    <w:rsid w:val="000A52C0"/>
    <w:rsid w:val="000A5AAF"/>
    <w:rsid w:val="000A5F97"/>
    <w:rsid w:val="000A648E"/>
    <w:rsid w:val="000A73BB"/>
    <w:rsid w:val="000A7EF4"/>
    <w:rsid w:val="000B0A15"/>
    <w:rsid w:val="000B103F"/>
    <w:rsid w:val="000B1437"/>
    <w:rsid w:val="000B1470"/>
    <w:rsid w:val="000B244D"/>
    <w:rsid w:val="000B2B86"/>
    <w:rsid w:val="000B3051"/>
    <w:rsid w:val="000B419B"/>
    <w:rsid w:val="000B4D46"/>
    <w:rsid w:val="000B5781"/>
    <w:rsid w:val="000B5CB1"/>
    <w:rsid w:val="000B633F"/>
    <w:rsid w:val="000B6D08"/>
    <w:rsid w:val="000C0185"/>
    <w:rsid w:val="000C01D5"/>
    <w:rsid w:val="000C063D"/>
    <w:rsid w:val="000C0F81"/>
    <w:rsid w:val="000C128D"/>
    <w:rsid w:val="000C179F"/>
    <w:rsid w:val="000C17A3"/>
    <w:rsid w:val="000C1D4B"/>
    <w:rsid w:val="000C2DC4"/>
    <w:rsid w:val="000C3260"/>
    <w:rsid w:val="000C3B77"/>
    <w:rsid w:val="000C3F6D"/>
    <w:rsid w:val="000C4720"/>
    <w:rsid w:val="000C4F49"/>
    <w:rsid w:val="000C5828"/>
    <w:rsid w:val="000C5861"/>
    <w:rsid w:val="000C5BDE"/>
    <w:rsid w:val="000C639D"/>
    <w:rsid w:val="000C6946"/>
    <w:rsid w:val="000C6C31"/>
    <w:rsid w:val="000C6DBC"/>
    <w:rsid w:val="000C6F79"/>
    <w:rsid w:val="000C7476"/>
    <w:rsid w:val="000C7711"/>
    <w:rsid w:val="000C7AA2"/>
    <w:rsid w:val="000D02BB"/>
    <w:rsid w:val="000D0462"/>
    <w:rsid w:val="000D053D"/>
    <w:rsid w:val="000D0ED2"/>
    <w:rsid w:val="000D127B"/>
    <w:rsid w:val="000D1CEB"/>
    <w:rsid w:val="000D2563"/>
    <w:rsid w:val="000D25BF"/>
    <w:rsid w:val="000D3282"/>
    <w:rsid w:val="000D3FDC"/>
    <w:rsid w:val="000D490B"/>
    <w:rsid w:val="000D4E38"/>
    <w:rsid w:val="000D50DB"/>
    <w:rsid w:val="000D53F2"/>
    <w:rsid w:val="000D6288"/>
    <w:rsid w:val="000D7541"/>
    <w:rsid w:val="000D75E1"/>
    <w:rsid w:val="000D79F4"/>
    <w:rsid w:val="000D7C34"/>
    <w:rsid w:val="000E0259"/>
    <w:rsid w:val="000E047D"/>
    <w:rsid w:val="000E0A36"/>
    <w:rsid w:val="000E22CF"/>
    <w:rsid w:val="000E27B9"/>
    <w:rsid w:val="000E2977"/>
    <w:rsid w:val="000E2CC0"/>
    <w:rsid w:val="000E30AC"/>
    <w:rsid w:val="000E36C2"/>
    <w:rsid w:val="000E39A2"/>
    <w:rsid w:val="000E39E8"/>
    <w:rsid w:val="000E3B46"/>
    <w:rsid w:val="000E3E11"/>
    <w:rsid w:val="000E4596"/>
    <w:rsid w:val="000E5768"/>
    <w:rsid w:val="000E5843"/>
    <w:rsid w:val="000E6139"/>
    <w:rsid w:val="000E6BE1"/>
    <w:rsid w:val="000E7E0B"/>
    <w:rsid w:val="000E7E1A"/>
    <w:rsid w:val="000E7E48"/>
    <w:rsid w:val="000F0136"/>
    <w:rsid w:val="000F0772"/>
    <w:rsid w:val="000F078A"/>
    <w:rsid w:val="000F122D"/>
    <w:rsid w:val="000F1450"/>
    <w:rsid w:val="000F14E8"/>
    <w:rsid w:val="000F1BBD"/>
    <w:rsid w:val="000F290F"/>
    <w:rsid w:val="000F3061"/>
    <w:rsid w:val="000F4403"/>
    <w:rsid w:val="000F459A"/>
    <w:rsid w:val="000F4702"/>
    <w:rsid w:val="000F480B"/>
    <w:rsid w:val="000F4A52"/>
    <w:rsid w:val="000F4DFC"/>
    <w:rsid w:val="000F4E17"/>
    <w:rsid w:val="000F6578"/>
    <w:rsid w:val="000F7E8F"/>
    <w:rsid w:val="000F7FBB"/>
    <w:rsid w:val="001000FB"/>
    <w:rsid w:val="00100314"/>
    <w:rsid w:val="00100A9E"/>
    <w:rsid w:val="00100F6A"/>
    <w:rsid w:val="00101850"/>
    <w:rsid w:val="00102605"/>
    <w:rsid w:val="00102686"/>
    <w:rsid w:val="00102745"/>
    <w:rsid w:val="00103795"/>
    <w:rsid w:val="00103915"/>
    <w:rsid w:val="00103EA0"/>
    <w:rsid w:val="00104F1C"/>
    <w:rsid w:val="001051E5"/>
    <w:rsid w:val="00105A74"/>
    <w:rsid w:val="00105ACB"/>
    <w:rsid w:val="00105AEF"/>
    <w:rsid w:val="00106259"/>
    <w:rsid w:val="001068EB"/>
    <w:rsid w:val="0010741E"/>
    <w:rsid w:val="001078CE"/>
    <w:rsid w:val="0011044C"/>
    <w:rsid w:val="00110F61"/>
    <w:rsid w:val="001111BD"/>
    <w:rsid w:val="00111325"/>
    <w:rsid w:val="0011165A"/>
    <w:rsid w:val="001116C6"/>
    <w:rsid w:val="00111B2B"/>
    <w:rsid w:val="00112774"/>
    <w:rsid w:val="00112B2E"/>
    <w:rsid w:val="00113003"/>
    <w:rsid w:val="00113062"/>
    <w:rsid w:val="00113705"/>
    <w:rsid w:val="00113975"/>
    <w:rsid w:val="00113CFC"/>
    <w:rsid w:val="00113FEA"/>
    <w:rsid w:val="00114161"/>
    <w:rsid w:val="00114A22"/>
    <w:rsid w:val="00114E2A"/>
    <w:rsid w:val="00114E9D"/>
    <w:rsid w:val="00114ED2"/>
    <w:rsid w:val="0011507B"/>
    <w:rsid w:val="0011627A"/>
    <w:rsid w:val="001162D6"/>
    <w:rsid w:val="00116328"/>
    <w:rsid w:val="00116334"/>
    <w:rsid w:val="001163CF"/>
    <w:rsid w:val="001174C9"/>
    <w:rsid w:val="0011764D"/>
    <w:rsid w:val="001176F2"/>
    <w:rsid w:val="00117716"/>
    <w:rsid w:val="00117AB4"/>
    <w:rsid w:val="00117E69"/>
    <w:rsid w:val="001204D2"/>
    <w:rsid w:val="00121103"/>
    <w:rsid w:val="0012180F"/>
    <w:rsid w:val="00121BAB"/>
    <w:rsid w:val="00121E3C"/>
    <w:rsid w:val="00122B23"/>
    <w:rsid w:val="00122B7E"/>
    <w:rsid w:val="0012340B"/>
    <w:rsid w:val="00123FB5"/>
    <w:rsid w:val="0012400F"/>
    <w:rsid w:val="001249DC"/>
    <w:rsid w:val="001251F7"/>
    <w:rsid w:val="0012572D"/>
    <w:rsid w:val="00125BED"/>
    <w:rsid w:val="00125C59"/>
    <w:rsid w:val="00125D4F"/>
    <w:rsid w:val="00125DDE"/>
    <w:rsid w:val="00126812"/>
    <w:rsid w:val="00127004"/>
    <w:rsid w:val="00127AF2"/>
    <w:rsid w:val="00127EDC"/>
    <w:rsid w:val="00127F6D"/>
    <w:rsid w:val="00130355"/>
    <w:rsid w:val="00130365"/>
    <w:rsid w:val="00130A28"/>
    <w:rsid w:val="00131B5A"/>
    <w:rsid w:val="00132809"/>
    <w:rsid w:val="00132B94"/>
    <w:rsid w:val="00132C30"/>
    <w:rsid w:val="00132EFD"/>
    <w:rsid w:val="00133AED"/>
    <w:rsid w:val="001345B0"/>
    <w:rsid w:val="00134E09"/>
    <w:rsid w:val="001357CB"/>
    <w:rsid w:val="00135DB9"/>
    <w:rsid w:val="0013695C"/>
    <w:rsid w:val="00136BF7"/>
    <w:rsid w:val="001378B9"/>
    <w:rsid w:val="00137FFA"/>
    <w:rsid w:val="00140109"/>
    <w:rsid w:val="0014029B"/>
    <w:rsid w:val="00140464"/>
    <w:rsid w:val="00140A4F"/>
    <w:rsid w:val="001413AB"/>
    <w:rsid w:val="00141DBF"/>
    <w:rsid w:val="001429DA"/>
    <w:rsid w:val="00142E3A"/>
    <w:rsid w:val="00142EFD"/>
    <w:rsid w:val="00142F55"/>
    <w:rsid w:val="00144335"/>
    <w:rsid w:val="0014502F"/>
    <w:rsid w:val="00145282"/>
    <w:rsid w:val="001453B0"/>
    <w:rsid w:val="001454D9"/>
    <w:rsid w:val="00145D8E"/>
    <w:rsid w:val="00146083"/>
    <w:rsid w:val="001462F7"/>
    <w:rsid w:val="001467CA"/>
    <w:rsid w:val="00147F35"/>
    <w:rsid w:val="00150005"/>
    <w:rsid w:val="00150BE7"/>
    <w:rsid w:val="0015145A"/>
    <w:rsid w:val="001518D7"/>
    <w:rsid w:val="00151AEB"/>
    <w:rsid w:val="00151B99"/>
    <w:rsid w:val="001521B2"/>
    <w:rsid w:val="0015237F"/>
    <w:rsid w:val="00152EDD"/>
    <w:rsid w:val="00153491"/>
    <w:rsid w:val="0015361C"/>
    <w:rsid w:val="0015372F"/>
    <w:rsid w:val="00153BFB"/>
    <w:rsid w:val="0015407E"/>
    <w:rsid w:val="0015448E"/>
    <w:rsid w:val="00154A6F"/>
    <w:rsid w:val="001552BD"/>
    <w:rsid w:val="00155D08"/>
    <w:rsid w:val="001560D3"/>
    <w:rsid w:val="00156BE5"/>
    <w:rsid w:val="00157232"/>
    <w:rsid w:val="00157A58"/>
    <w:rsid w:val="00160401"/>
    <w:rsid w:val="00160D4E"/>
    <w:rsid w:val="00160DF9"/>
    <w:rsid w:val="00161DDA"/>
    <w:rsid w:val="00161E62"/>
    <w:rsid w:val="00161F1C"/>
    <w:rsid w:val="0016200B"/>
    <w:rsid w:val="00162013"/>
    <w:rsid w:val="001625C8"/>
    <w:rsid w:val="00163102"/>
    <w:rsid w:val="00163BCF"/>
    <w:rsid w:val="00163C66"/>
    <w:rsid w:val="00163D7A"/>
    <w:rsid w:val="00164281"/>
    <w:rsid w:val="00164ACE"/>
    <w:rsid w:val="00165703"/>
    <w:rsid w:val="001662D8"/>
    <w:rsid w:val="0016685F"/>
    <w:rsid w:val="001669F1"/>
    <w:rsid w:val="0016712F"/>
    <w:rsid w:val="00167503"/>
    <w:rsid w:val="001676A9"/>
    <w:rsid w:val="00167A15"/>
    <w:rsid w:val="00167A50"/>
    <w:rsid w:val="00167DF5"/>
    <w:rsid w:val="00170001"/>
    <w:rsid w:val="00172198"/>
    <w:rsid w:val="001724F5"/>
    <w:rsid w:val="00172612"/>
    <w:rsid w:val="00172817"/>
    <w:rsid w:val="001734E3"/>
    <w:rsid w:val="001742BF"/>
    <w:rsid w:val="00175567"/>
    <w:rsid w:val="00175E49"/>
    <w:rsid w:val="0017649F"/>
    <w:rsid w:val="0017655D"/>
    <w:rsid w:val="00177B7C"/>
    <w:rsid w:val="001805C1"/>
    <w:rsid w:val="00180A2E"/>
    <w:rsid w:val="001813AF"/>
    <w:rsid w:val="001829CD"/>
    <w:rsid w:val="00182F01"/>
    <w:rsid w:val="00184082"/>
    <w:rsid w:val="00184E10"/>
    <w:rsid w:val="00184F27"/>
    <w:rsid w:val="0018519B"/>
    <w:rsid w:val="00185966"/>
    <w:rsid w:val="00185A2D"/>
    <w:rsid w:val="00185AFE"/>
    <w:rsid w:val="00185CA2"/>
    <w:rsid w:val="00185E78"/>
    <w:rsid w:val="001866C3"/>
    <w:rsid w:val="00186B78"/>
    <w:rsid w:val="00187177"/>
    <w:rsid w:val="00187ABD"/>
    <w:rsid w:val="00190117"/>
    <w:rsid w:val="001904E3"/>
    <w:rsid w:val="0019087A"/>
    <w:rsid w:val="00191C5A"/>
    <w:rsid w:val="00191CEB"/>
    <w:rsid w:val="00191E63"/>
    <w:rsid w:val="001923E3"/>
    <w:rsid w:val="00192531"/>
    <w:rsid w:val="00192D68"/>
    <w:rsid w:val="00192DF7"/>
    <w:rsid w:val="0019388B"/>
    <w:rsid w:val="00193B9A"/>
    <w:rsid w:val="001940ED"/>
    <w:rsid w:val="001946AE"/>
    <w:rsid w:val="001946D5"/>
    <w:rsid w:val="00194E8C"/>
    <w:rsid w:val="001962EC"/>
    <w:rsid w:val="001963DD"/>
    <w:rsid w:val="001965DB"/>
    <w:rsid w:val="00196D01"/>
    <w:rsid w:val="00196DC9"/>
    <w:rsid w:val="00196E95"/>
    <w:rsid w:val="00197C09"/>
    <w:rsid w:val="001A0236"/>
    <w:rsid w:val="001A0AF8"/>
    <w:rsid w:val="001A18D5"/>
    <w:rsid w:val="001A1A38"/>
    <w:rsid w:val="001A1BE0"/>
    <w:rsid w:val="001A1D4A"/>
    <w:rsid w:val="001A3011"/>
    <w:rsid w:val="001A4A9B"/>
    <w:rsid w:val="001A4DAF"/>
    <w:rsid w:val="001A4E37"/>
    <w:rsid w:val="001A54CD"/>
    <w:rsid w:val="001A66DF"/>
    <w:rsid w:val="001A67D0"/>
    <w:rsid w:val="001A6863"/>
    <w:rsid w:val="001A7591"/>
    <w:rsid w:val="001A75B1"/>
    <w:rsid w:val="001A7B06"/>
    <w:rsid w:val="001B0366"/>
    <w:rsid w:val="001B0444"/>
    <w:rsid w:val="001B096B"/>
    <w:rsid w:val="001B0F9F"/>
    <w:rsid w:val="001B123C"/>
    <w:rsid w:val="001B1A0D"/>
    <w:rsid w:val="001B1BF1"/>
    <w:rsid w:val="001B2456"/>
    <w:rsid w:val="001B246B"/>
    <w:rsid w:val="001B255B"/>
    <w:rsid w:val="001B3C8A"/>
    <w:rsid w:val="001B449C"/>
    <w:rsid w:val="001B4546"/>
    <w:rsid w:val="001B4AA2"/>
    <w:rsid w:val="001B4ADE"/>
    <w:rsid w:val="001B5EF8"/>
    <w:rsid w:val="001B615D"/>
    <w:rsid w:val="001B61E9"/>
    <w:rsid w:val="001B6791"/>
    <w:rsid w:val="001B731A"/>
    <w:rsid w:val="001C07C6"/>
    <w:rsid w:val="001C19CD"/>
    <w:rsid w:val="001C22D5"/>
    <w:rsid w:val="001C250A"/>
    <w:rsid w:val="001C2515"/>
    <w:rsid w:val="001C26FB"/>
    <w:rsid w:val="001C2BE4"/>
    <w:rsid w:val="001C33C1"/>
    <w:rsid w:val="001C3E30"/>
    <w:rsid w:val="001C3E5C"/>
    <w:rsid w:val="001C48D9"/>
    <w:rsid w:val="001C5072"/>
    <w:rsid w:val="001C5B2A"/>
    <w:rsid w:val="001C600B"/>
    <w:rsid w:val="001C6306"/>
    <w:rsid w:val="001C65AA"/>
    <w:rsid w:val="001C6898"/>
    <w:rsid w:val="001C6DD8"/>
    <w:rsid w:val="001C702D"/>
    <w:rsid w:val="001C7C7B"/>
    <w:rsid w:val="001D068D"/>
    <w:rsid w:val="001D12D1"/>
    <w:rsid w:val="001D15DF"/>
    <w:rsid w:val="001D2973"/>
    <w:rsid w:val="001D30F3"/>
    <w:rsid w:val="001D31A0"/>
    <w:rsid w:val="001D338E"/>
    <w:rsid w:val="001D426C"/>
    <w:rsid w:val="001D56E9"/>
    <w:rsid w:val="001D5EE1"/>
    <w:rsid w:val="001D70EF"/>
    <w:rsid w:val="001D796A"/>
    <w:rsid w:val="001D7A84"/>
    <w:rsid w:val="001D7C79"/>
    <w:rsid w:val="001E003B"/>
    <w:rsid w:val="001E1CC4"/>
    <w:rsid w:val="001E1D38"/>
    <w:rsid w:val="001E28A0"/>
    <w:rsid w:val="001E4258"/>
    <w:rsid w:val="001E4963"/>
    <w:rsid w:val="001E5AEF"/>
    <w:rsid w:val="001E5D6A"/>
    <w:rsid w:val="001E6644"/>
    <w:rsid w:val="001E6A94"/>
    <w:rsid w:val="001E70FB"/>
    <w:rsid w:val="001E780A"/>
    <w:rsid w:val="001F0FA0"/>
    <w:rsid w:val="001F1349"/>
    <w:rsid w:val="001F1863"/>
    <w:rsid w:val="001F2356"/>
    <w:rsid w:val="001F2A68"/>
    <w:rsid w:val="001F3BF5"/>
    <w:rsid w:val="001F4773"/>
    <w:rsid w:val="001F4E6F"/>
    <w:rsid w:val="001F5008"/>
    <w:rsid w:val="001F51A9"/>
    <w:rsid w:val="001F56AA"/>
    <w:rsid w:val="001F58AA"/>
    <w:rsid w:val="001F5A4E"/>
    <w:rsid w:val="001F5EF6"/>
    <w:rsid w:val="001F657F"/>
    <w:rsid w:val="001F6F17"/>
    <w:rsid w:val="001F6FB6"/>
    <w:rsid w:val="001F72BB"/>
    <w:rsid w:val="001F7978"/>
    <w:rsid w:val="001F7A0E"/>
    <w:rsid w:val="0020002B"/>
    <w:rsid w:val="0020022E"/>
    <w:rsid w:val="0020054E"/>
    <w:rsid w:val="00201AC4"/>
    <w:rsid w:val="00201F1E"/>
    <w:rsid w:val="00202950"/>
    <w:rsid w:val="0020299B"/>
    <w:rsid w:val="00202D50"/>
    <w:rsid w:val="00202E44"/>
    <w:rsid w:val="002037AA"/>
    <w:rsid w:val="00203FE3"/>
    <w:rsid w:val="002042D8"/>
    <w:rsid w:val="002043FB"/>
    <w:rsid w:val="00204515"/>
    <w:rsid w:val="00204BF5"/>
    <w:rsid w:val="00204E6B"/>
    <w:rsid w:val="002053EF"/>
    <w:rsid w:val="002058D4"/>
    <w:rsid w:val="00205D9F"/>
    <w:rsid w:val="0020632A"/>
    <w:rsid w:val="0020697F"/>
    <w:rsid w:val="00210D5C"/>
    <w:rsid w:val="002110EB"/>
    <w:rsid w:val="00211338"/>
    <w:rsid w:val="00211388"/>
    <w:rsid w:val="0021148C"/>
    <w:rsid w:val="00211694"/>
    <w:rsid w:val="0021201A"/>
    <w:rsid w:val="00212D27"/>
    <w:rsid w:val="00212E0C"/>
    <w:rsid w:val="002138FE"/>
    <w:rsid w:val="00213A1F"/>
    <w:rsid w:val="00213C63"/>
    <w:rsid w:val="00213EC5"/>
    <w:rsid w:val="00214502"/>
    <w:rsid w:val="00214741"/>
    <w:rsid w:val="0021539A"/>
    <w:rsid w:val="00215852"/>
    <w:rsid w:val="00215853"/>
    <w:rsid w:val="00215B8E"/>
    <w:rsid w:val="00216264"/>
    <w:rsid w:val="002176B6"/>
    <w:rsid w:val="0021792D"/>
    <w:rsid w:val="00217DB8"/>
    <w:rsid w:val="002202CE"/>
    <w:rsid w:val="0022032A"/>
    <w:rsid w:val="00220B2D"/>
    <w:rsid w:val="0022194E"/>
    <w:rsid w:val="002220B1"/>
    <w:rsid w:val="002221CE"/>
    <w:rsid w:val="00222BE8"/>
    <w:rsid w:val="00223102"/>
    <w:rsid w:val="002232CB"/>
    <w:rsid w:val="00224022"/>
    <w:rsid w:val="00224A66"/>
    <w:rsid w:val="00226055"/>
    <w:rsid w:val="0022613F"/>
    <w:rsid w:val="00226236"/>
    <w:rsid w:val="00227007"/>
    <w:rsid w:val="002270C9"/>
    <w:rsid w:val="00227A8B"/>
    <w:rsid w:val="0023146B"/>
    <w:rsid w:val="002315A0"/>
    <w:rsid w:val="0023161C"/>
    <w:rsid w:val="00231748"/>
    <w:rsid w:val="00231EC7"/>
    <w:rsid w:val="002324A5"/>
    <w:rsid w:val="00232E15"/>
    <w:rsid w:val="00233079"/>
    <w:rsid w:val="00233769"/>
    <w:rsid w:val="0023382C"/>
    <w:rsid w:val="00233977"/>
    <w:rsid w:val="00233C58"/>
    <w:rsid w:val="00233C71"/>
    <w:rsid w:val="0023434C"/>
    <w:rsid w:val="002343B3"/>
    <w:rsid w:val="002345B6"/>
    <w:rsid w:val="002347A6"/>
    <w:rsid w:val="00234B84"/>
    <w:rsid w:val="00236016"/>
    <w:rsid w:val="00237065"/>
    <w:rsid w:val="00237589"/>
    <w:rsid w:val="0023758D"/>
    <w:rsid w:val="002375A7"/>
    <w:rsid w:val="0023798D"/>
    <w:rsid w:val="0024019A"/>
    <w:rsid w:val="00241146"/>
    <w:rsid w:val="0024120F"/>
    <w:rsid w:val="0024131D"/>
    <w:rsid w:val="002415B8"/>
    <w:rsid w:val="00241ED1"/>
    <w:rsid w:val="0024265C"/>
    <w:rsid w:val="00242D62"/>
    <w:rsid w:val="002430BF"/>
    <w:rsid w:val="002430D0"/>
    <w:rsid w:val="002431D7"/>
    <w:rsid w:val="00243C4B"/>
    <w:rsid w:val="00244058"/>
    <w:rsid w:val="00245718"/>
    <w:rsid w:val="00245DD8"/>
    <w:rsid w:val="00245E07"/>
    <w:rsid w:val="00247610"/>
    <w:rsid w:val="00247712"/>
    <w:rsid w:val="00247949"/>
    <w:rsid w:val="00250EC6"/>
    <w:rsid w:val="002515C7"/>
    <w:rsid w:val="00251866"/>
    <w:rsid w:val="00251A9F"/>
    <w:rsid w:val="00251D8D"/>
    <w:rsid w:val="00252492"/>
    <w:rsid w:val="00252B35"/>
    <w:rsid w:val="0025316D"/>
    <w:rsid w:val="0025336C"/>
    <w:rsid w:val="00253A02"/>
    <w:rsid w:val="00253A8F"/>
    <w:rsid w:val="00253B81"/>
    <w:rsid w:val="002547CB"/>
    <w:rsid w:val="002554DE"/>
    <w:rsid w:val="00255575"/>
    <w:rsid w:val="00255E11"/>
    <w:rsid w:val="00256835"/>
    <w:rsid w:val="002569F0"/>
    <w:rsid w:val="00256E1A"/>
    <w:rsid w:val="00256ECF"/>
    <w:rsid w:val="00257730"/>
    <w:rsid w:val="00257999"/>
    <w:rsid w:val="00257D50"/>
    <w:rsid w:val="002604AA"/>
    <w:rsid w:val="0026129B"/>
    <w:rsid w:val="00261560"/>
    <w:rsid w:val="0026157A"/>
    <w:rsid w:val="00261715"/>
    <w:rsid w:val="00261CF9"/>
    <w:rsid w:val="00261EC0"/>
    <w:rsid w:val="0026231B"/>
    <w:rsid w:val="00263101"/>
    <w:rsid w:val="002631D1"/>
    <w:rsid w:val="00263201"/>
    <w:rsid w:val="00263224"/>
    <w:rsid w:val="002634CA"/>
    <w:rsid w:val="00263A37"/>
    <w:rsid w:val="00263A8A"/>
    <w:rsid w:val="0026478A"/>
    <w:rsid w:val="0026480D"/>
    <w:rsid w:val="00264A13"/>
    <w:rsid w:val="002653A6"/>
    <w:rsid w:val="00265F9D"/>
    <w:rsid w:val="00265FD3"/>
    <w:rsid w:val="002661F1"/>
    <w:rsid w:val="00266209"/>
    <w:rsid w:val="00266DB6"/>
    <w:rsid w:val="002710FA"/>
    <w:rsid w:val="002711A4"/>
    <w:rsid w:val="00271F13"/>
    <w:rsid w:val="0027278E"/>
    <w:rsid w:val="00272CC8"/>
    <w:rsid w:val="0027482E"/>
    <w:rsid w:val="00274DB5"/>
    <w:rsid w:val="00275BB1"/>
    <w:rsid w:val="00276A7C"/>
    <w:rsid w:val="00277933"/>
    <w:rsid w:val="00277F8D"/>
    <w:rsid w:val="00277FA7"/>
    <w:rsid w:val="00280046"/>
    <w:rsid w:val="00280B4F"/>
    <w:rsid w:val="00280F3D"/>
    <w:rsid w:val="0028106A"/>
    <w:rsid w:val="00281EB4"/>
    <w:rsid w:val="0028308E"/>
    <w:rsid w:val="002834E9"/>
    <w:rsid w:val="00283975"/>
    <w:rsid w:val="00283A52"/>
    <w:rsid w:val="00283C5E"/>
    <w:rsid w:val="00283E26"/>
    <w:rsid w:val="0028428F"/>
    <w:rsid w:val="00284CFC"/>
    <w:rsid w:val="00285832"/>
    <w:rsid w:val="00285969"/>
    <w:rsid w:val="00285D4C"/>
    <w:rsid w:val="0028663B"/>
    <w:rsid w:val="00286CEC"/>
    <w:rsid w:val="002870F9"/>
    <w:rsid w:val="002871A9"/>
    <w:rsid w:val="00287505"/>
    <w:rsid w:val="0029043A"/>
    <w:rsid w:val="00290781"/>
    <w:rsid w:val="00290D27"/>
    <w:rsid w:val="00290DD0"/>
    <w:rsid w:val="002910A6"/>
    <w:rsid w:val="00291784"/>
    <w:rsid w:val="002920DF"/>
    <w:rsid w:val="0029273C"/>
    <w:rsid w:val="002929BB"/>
    <w:rsid w:val="00292E33"/>
    <w:rsid w:val="00292FF2"/>
    <w:rsid w:val="00294368"/>
    <w:rsid w:val="00294B78"/>
    <w:rsid w:val="00295416"/>
    <w:rsid w:val="00295949"/>
    <w:rsid w:val="0029624A"/>
    <w:rsid w:val="00296311"/>
    <w:rsid w:val="00296922"/>
    <w:rsid w:val="00297098"/>
    <w:rsid w:val="002A05D4"/>
    <w:rsid w:val="002A06DB"/>
    <w:rsid w:val="002A09FF"/>
    <w:rsid w:val="002A0E60"/>
    <w:rsid w:val="002A1A58"/>
    <w:rsid w:val="002A1B02"/>
    <w:rsid w:val="002A1C53"/>
    <w:rsid w:val="002A244B"/>
    <w:rsid w:val="002A28FC"/>
    <w:rsid w:val="002A2B44"/>
    <w:rsid w:val="002A2EA5"/>
    <w:rsid w:val="002A3D94"/>
    <w:rsid w:val="002A4736"/>
    <w:rsid w:val="002A4B1C"/>
    <w:rsid w:val="002A55FE"/>
    <w:rsid w:val="002A58BB"/>
    <w:rsid w:val="002A6AFB"/>
    <w:rsid w:val="002A733D"/>
    <w:rsid w:val="002A774A"/>
    <w:rsid w:val="002A78F3"/>
    <w:rsid w:val="002A7E5C"/>
    <w:rsid w:val="002A7F6D"/>
    <w:rsid w:val="002B057F"/>
    <w:rsid w:val="002B1342"/>
    <w:rsid w:val="002B1F83"/>
    <w:rsid w:val="002B2008"/>
    <w:rsid w:val="002B2368"/>
    <w:rsid w:val="002B27C8"/>
    <w:rsid w:val="002B2A7F"/>
    <w:rsid w:val="002B3043"/>
    <w:rsid w:val="002B330B"/>
    <w:rsid w:val="002B39BE"/>
    <w:rsid w:val="002B3BB3"/>
    <w:rsid w:val="002B438C"/>
    <w:rsid w:val="002B48DB"/>
    <w:rsid w:val="002B4B34"/>
    <w:rsid w:val="002B541A"/>
    <w:rsid w:val="002B5EAB"/>
    <w:rsid w:val="002B6407"/>
    <w:rsid w:val="002B6416"/>
    <w:rsid w:val="002B6459"/>
    <w:rsid w:val="002B680A"/>
    <w:rsid w:val="002B7014"/>
    <w:rsid w:val="002B73B0"/>
    <w:rsid w:val="002C0E93"/>
    <w:rsid w:val="002C24B4"/>
    <w:rsid w:val="002C26CF"/>
    <w:rsid w:val="002C28A6"/>
    <w:rsid w:val="002C2B3A"/>
    <w:rsid w:val="002C2B87"/>
    <w:rsid w:val="002C37FA"/>
    <w:rsid w:val="002C3CF4"/>
    <w:rsid w:val="002C441A"/>
    <w:rsid w:val="002C4969"/>
    <w:rsid w:val="002C4A73"/>
    <w:rsid w:val="002C4B84"/>
    <w:rsid w:val="002C4C0C"/>
    <w:rsid w:val="002C4C48"/>
    <w:rsid w:val="002C5016"/>
    <w:rsid w:val="002C5C2F"/>
    <w:rsid w:val="002C5C87"/>
    <w:rsid w:val="002C5D0F"/>
    <w:rsid w:val="002C60B9"/>
    <w:rsid w:val="002C6706"/>
    <w:rsid w:val="002C6F77"/>
    <w:rsid w:val="002C704D"/>
    <w:rsid w:val="002D0845"/>
    <w:rsid w:val="002D0933"/>
    <w:rsid w:val="002D0CE3"/>
    <w:rsid w:val="002D19BB"/>
    <w:rsid w:val="002D1A9B"/>
    <w:rsid w:val="002D20F8"/>
    <w:rsid w:val="002D22BD"/>
    <w:rsid w:val="002D22C5"/>
    <w:rsid w:val="002D241F"/>
    <w:rsid w:val="002D302A"/>
    <w:rsid w:val="002D3355"/>
    <w:rsid w:val="002D36C6"/>
    <w:rsid w:val="002D37C1"/>
    <w:rsid w:val="002D3822"/>
    <w:rsid w:val="002D43CA"/>
    <w:rsid w:val="002D444B"/>
    <w:rsid w:val="002D4A45"/>
    <w:rsid w:val="002D4B42"/>
    <w:rsid w:val="002D4B43"/>
    <w:rsid w:val="002D57DB"/>
    <w:rsid w:val="002D5A1B"/>
    <w:rsid w:val="002D65BC"/>
    <w:rsid w:val="002D6A45"/>
    <w:rsid w:val="002D6B56"/>
    <w:rsid w:val="002D7D88"/>
    <w:rsid w:val="002E03E8"/>
    <w:rsid w:val="002E055C"/>
    <w:rsid w:val="002E063F"/>
    <w:rsid w:val="002E1050"/>
    <w:rsid w:val="002E107C"/>
    <w:rsid w:val="002E107E"/>
    <w:rsid w:val="002E1459"/>
    <w:rsid w:val="002E18E5"/>
    <w:rsid w:val="002E1953"/>
    <w:rsid w:val="002E1F40"/>
    <w:rsid w:val="002E2CB5"/>
    <w:rsid w:val="002E2D7D"/>
    <w:rsid w:val="002E32D0"/>
    <w:rsid w:val="002E3D76"/>
    <w:rsid w:val="002E40A1"/>
    <w:rsid w:val="002E48EC"/>
    <w:rsid w:val="002E4B44"/>
    <w:rsid w:val="002E4ECB"/>
    <w:rsid w:val="002E4F23"/>
    <w:rsid w:val="002E57B7"/>
    <w:rsid w:val="002E5999"/>
    <w:rsid w:val="002E5E8E"/>
    <w:rsid w:val="002E635A"/>
    <w:rsid w:val="002E6D68"/>
    <w:rsid w:val="002E7847"/>
    <w:rsid w:val="002F0073"/>
    <w:rsid w:val="002F0E20"/>
    <w:rsid w:val="002F167F"/>
    <w:rsid w:val="002F1C67"/>
    <w:rsid w:val="002F240B"/>
    <w:rsid w:val="002F26B7"/>
    <w:rsid w:val="002F2F50"/>
    <w:rsid w:val="002F33EC"/>
    <w:rsid w:val="002F34E3"/>
    <w:rsid w:val="002F3601"/>
    <w:rsid w:val="002F37F2"/>
    <w:rsid w:val="002F45F6"/>
    <w:rsid w:val="002F5A6F"/>
    <w:rsid w:val="002F6411"/>
    <w:rsid w:val="002F692F"/>
    <w:rsid w:val="002F7B66"/>
    <w:rsid w:val="00300CB4"/>
    <w:rsid w:val="00300E24"/>
    <w:rsid w:val="00302ED6"/>
    <w:rsid w:val="0030303A"/>
    <w:rsid w:val="003033BA"/>
    <w:rsid w:val="00303926"/>
    <w:rsid w:val="00303974"/>
    <w:rsid w:val="00303C19"/>
    <w:rsid w:val="00304200"/>
    <w:rsid w:val="003043A3"/>
    <w:rsid w:val="00304BD4"/>
    <w:rsid w:val="0030500A"/>
    <w:rsid w:val="003052EB"/>
    <w:rsid w:val="00305FCB"/>
    <w:rsid w:val="003060BC"/>
    <w:rsid w:val="003063C3"/>
    <w:rsid w:val="00306435"/>
    <w:rsid w:val="00306616"/>
    <w:rsid w:val="003069DC"/>
    <w:rsid w:val="00306B44"/>
    <w:rsid w:val="00307C44"/>
    <w:rsid w:val="003100AF"/>
    <w:rsid w:val="00310196"/>
    <w:rsid w:val="0031088E"/>
    <w:rsid w:val="00310D01"/>
    <w:rsid w:val="00311376"/>
    <w:rsid w:val="00311A1F"/>
    <w:rsid w:val="00311B47"/>
    <w:rsid w:val="00311D52"/>
    <w:rsid w:val="00312015"/>
    <w:rsid w:val="00312190"/>
    <w:rsid w:val="003123CC"/>
    <w:rsid w:val="003125E0"/>
    <w:rsid w:val="0031271D"/>
    <w:rsid w:val="003132BB"/>
    <w:rsid w:val="00313337"/>
    <w:rsid w:val="00313447"/>
    <w:rsid w:val="00313748"/>
    <w:rsid w:val="00313EA3"/>
    <w:rsid w:val="00315365"/>
    <w:rsid w:val="00315457"/>
    <w:rsid w:val="00315C55"/>
    <w:rsid w:val="003161A4"/>
    <w:rsid w:val="00316955"/>
    <w:rsid w:val="0031720A"/>
    <w:rsid w:val="0031749B"/>
    <w:rsid w:val="003174E5"/>
    <w:rsid w:val="00317C9D"/>
    <w:rsid w:val="00317CD2"/>
    <w:rsid w:val="00317D99"/>
    <w:rsid w:val="0032078D"/>
    <w:rsid w:val="00320ADF"/>
    <w:rsid w:val="0032137B"/>
    <w:rsid w:val="00321BD6"/>
    <w:rsid w:val="00321FA3"/>
    <w:rsid w:val="003227D3"/>
    <w:rsid w:val="00322937"/>
    <w:rsid w:val="00323881"/>
    <w:rsid w:val="003247ED"/>
    <w:rsid w:val="003251A8"/>
    <w:rsid w:val="003254B1"/>
    <w:rsid w:val="0032586E"/>
    <w:rsid w:val="00325D98"/>
    <w:rsid w:val="0032682A"/>
    <w:rsid w:val="00327781"/>
    <w:rsid w:val="00327A5C"/>
    <w:rsid w:val="0033092C"/>
    <w:rsid w:val="00330E4A"/>
    <w:rsid w:val="0033112A"/>
    <w:rsid w:val="0033122A"/>
    <w:rsid w:val="003315AC"/>
    <w:rsid w:val="00331932"/>
    <w:rsid w:val="00332382"/>
    <w:rsid w:val="00332453"/>
    <w:rsid w:val="0033251B"/>
    <w:rsid w:val="00332F8C"/>
    <w:rsid w:val="00333A88"/>
    <w:rsid w:val="00333BC9"/>
    <w:rsid w:val="00335B15"/>
    <w:rsid w:val="00335B21"/>
    <w:rsid w:val="00335D3F"/>
    <w:rsid w:val="00336104"/>
    <w:rsid w:val="0033660B"/>
    <w:rsid w:val="00336729"/>
    <w:rsid w:val="0033726D"/>
    <w:rsid w:val="0033746A"/>
    <w:rsid w:val="00337CA8"/>
    <w:rsid w:val="00340D3F"/>
    <w:rsid w:val="0034174B"/>
    <w:rsid w:val="0034177C"/>
    <w:rsid w:val="00341EBD"/>
    <w:rsid w:val="0034204E"/>
    <w:rsid w:val="003420E9"/>
    <w:rsid w:val="00342345"/>
    <w:rsid w:val="00342C27"/>
    <w:rsid w:val="00342F14"/>
    <w:rsid w:val="003430C8"/>
    <w:rsid w:val="003432C8"/>
    <w:rsid w:val="003434B3"/>
    <w:rsid w:val="00343536"/>
    <w:rsid w:val="00343EFB"/>
    <w:rsid w:val="00344026"/>
    <w:rsid w:val="0034437F"/>
    <w:rsid w:val="00344384"/>
    <w:rsid w:val="00344760"/>
    <w:rsid w:val="003454E8"/>
    <w:rsid w:val="00345574"/>
    <w:rsid w:val="0034680A"/>
    <w:rsid w:val="00346C62"/>
    <w:rsid w:val="00347202"/>
    <w:rsid w:val="003474A1"/>
    <w:rsid w:val="0034778E"/>
    <w:rsid w:val="00347A5A"/>
    <w:rsid w:val="003501E2"/>
    <w:rsid w:val="00351E10"/>
    <w:rsid w:val="00352091"/>
    <w:rsid w:val="003533F4"/>
    <w:rsid w:val="003536F6"/>
    <w:rsid w:val="00353DD5"/>
    <w:rsid w:val="00354CAC"/>
    <w:rsid w:val="00355131"/>
    <w:rsid w:val="0035585E"/>
    <w:rsid w:val="00355C52"/>
    <w:rsid w:val="00355F74"/>
    <w:rsid w:val="003560DB"/>
    <w:rsid w:val="003564DB"/>
    <w:rsid w:val="00356F87"/>
    <w:rsid w:val="00360CE8"/>
    <w:rsid w:val="00360CF3"/>
    <w:rsid w:val="00361A59"/>
    <w:rsid w:val="00363348"/>
    <w:rsid w:val="00363857"/>
    <w:rsid w:val="00363D59"/>
    <w:rsid w:val="003640F7"/>
    <w:rsid w:val="003649F8"/>
    <w:rsid w:val="00365D3A"/>
    <w:rsid w:val="003664FF"/>
    <w:rsid w:val="00366BD2"/>
    <w:rsid w:val="00366F1C"/>
    <w:rsid w:val="003670B8"/>
    <w:rsid w:val="00367519"/>
    <w:rsid w:val="003704A3"/>
    <w:rsid w:val="003706F2"/>
    <w:rsid w:val="0037124F"/>
    <w:rsid w:val="0037162B"/>
    <w:rsid w:val="00372051"/>
    <w:rsid w:val="003722B3"/>
    <w:rsid w:val="003722E6"/>
    <w:rsid w:val="00372808"/>
    <w:rsid w:val="00373827"/>
    <w:rsid w:val="0037401C"/>
    <w:rsid w:val="0037453B"/>
    <w:rsid w:val="00374D49"/>
    <w:rsid w:val="0037507B"/>
    <w:rsid w:val="00375C7C"/>
    <w:rsid w:val="00376182"/>
    <w:rsid w:val="00377027"/>
    <w:rsid w:val="00377135"/>
    <w:rsid w:val="00377FEF"/>
    <w:rsid w:val="00380272"/>
    <w:rsid w:val="003805DB"/>
    <w:rsid w:val="0038152A"/>
    <w:rsid w:val="003822A4"/>
    <w:rsid w:val="00382BAD"/>
    <w:rsid w:val="0038333E"/>
    <w:rsid w:val="003835FD"/>
    <w:rsid w:val="00383632"/>
    <w:rsid w:val="00384DF1"/>
    <w:rsid w:val="00384FF3"/>
    <w:rsid w:val="0038512F"/>
    <w:rsid w:val="00386456"/>
    <w:rsid w:val="003865A9"/>
    <w:rsid w:val="00387BD8"/>
    <w:rsid w:val="0039092B"/>
    <w:rsid w:val="00390C01"/>
    <w:rsid w:val="00390C57"/>
    <w:rsid w:val="00390F32"/>
    <w:rsid w:val="0039135E"/>
    <w:rsid w:val="00392A0C"/>
    <w:rsid w:val="0039319C"/>
    <w:rsid w:val="00393498"/>
    <w:rsid w:val="00393577"/>
    <w:rsid w:val="00393C2B"/>
    <w:rsid w:val="00393CAE"/>
    <w:rsid w:val="00394178"/>
    <w:rsid w:val="003945F4"/>
    <w:rsid w:val="0039471F"/>
    <w:rsid w:val="00394EB5"/>
    <w:rsid w:val="003953B4"/>
    <w:rsid w:val="0039615F"/>
    <w:rsid w:val="003966A0"/>
    <w:rsid w:val="00396A29"/>
    <w:rsid w:val="00397FF0"/>
    <w:rsid w:val="003A0878"/>
    <w:rsid w:val="003A1561"/>
    <w:rsid w:val="003A1D25"/>
    <w:rsid w:val="003A22A2"/>
    <w:rsid w:val="003A22E9"/>
    <w:rsid w:val="003A2447"/>
    <w:rsid w:val="003A2AA1"/>
    <w:rsid w:val="003A31A5"/>
    <w:rsid w:val="003A329A"/>
    <w:rsid w:val="003A3603"/>
    <w:rsid w:val="003A3851"/>
    <w:rsid w:val="003A39DD"/>
    <w:rsid w:val="003A4199"/>
    <w:rsid w:val="003A4A8E"/>
    <w:rsid w:val="003A563C"/>
    <w:rsid w:val="003A581E"/>
    <w:rsid w:val="003A6160"/>
    <w:rsid w:val="003A65A5"/>
    <w:rsid w:val="003A6812"/>
    <w:rsid w:val="003A68F4"/>
    <w:rsid w:val="003A72F5"/>
    <w:rsid w:val="003A74FC"/>
    <w:rsid w:val="003A78E5"/>
    <w:rsid w:val="003B0341"/>
    <w:rsid w:val="003B1AF1"/>
    <w:rsid w:val="003B1DAF"/>
    <w:rsid w:val="003B1E57"/>
    <w:rsid w:val="003B2E90"/>
    <w:rsid w:val="003B2EF3"/>
    <w:rsid w:val="003B34B5"/>
    <w:rsid w:val="003B4A4D"/>
    <w:rsid w:val="003B534F"/>
    <w:rsid w:val="003B5391"/>
    <w:rsid w:val="003B58CE"/>
    <w:rsid w:val="003B65D7"/>
    <w:rsid w:val="003B65E0"/>
    <w:rsid w:val="003B6BD4"/>
    <w:rsid w:val="003B6F4D"/>
    <w:rsid w:val="003B6FE7"/>
    <w:rsid w:val="003B7ED6"/>
    <w:rsid w:val="003C0012"/>
    <w:rsid w:val="003C095A"/>
    <w:rsid w:val="003C0D1F"/>
    <w:rsid w:val="003C116A"/>
    <w:rsid w:val="003C1AF4"/>
    <w:rsid w:val="003C1C9C"/>
    <w:rsid w:val="003C1CB8"/>
    <w:rsid w:val="003C22DA"/>
    <w:rsid w:val="003C2550"/>
    <w:rsid w:val="003C287F"/>
    <w:rsid w:val="003C31A1"/>
    <w:rsid w:val="003C3339"/>
    <w:rsid w:val="003C375A"/>
    <w:rsid w:val="003C4D9F"/>
    <w:rsid w:val="003C5247"/>
    <w:rsid w:val="003C55EC"/>
    <w:rsid w:val="003C622C"/>
    <w:rsid w:val="003C6505"/>
    <w:rsid w:val="003C73C7"/>
    <w:rsid w:val="003C7CFB"/>
    <w:rsid w:val="003D050B"/>
    <w:rsid w:val="003D0750"/>
    <w:rsid w:val="003D0B98"/>
    <w:rsid w:val="003D0C38"/>
    <w:rsid w:val="003D0C3C"/>
    <w:rsid w:val="003D0DE5"/>
    <w:rsid w:val="003D0F46"/>
    <w:rsid w:val="003D1351"/>
    <w:rsid w:val="003D21C1"/>
    <w:rsid w:val="003D3B15"/>
    <w:rsid w:val="003D3B2E"/>
    <w:rsid w:val="003D4101"/>
    <w:rsid w:val="003D484D"/>
    <w:rsid w:val="003D49CB"/>
    <w:rsid w:val="003D4FC2"/>
    <w:rsid w:val="003D6B8F"/>
    <w:rsid w:val="003D6F7A"/>
    <w:rsid w:val="003D7209"/>
    <w:rsid w:val="003D7566"/>
    <w:rsid w:val="003D7FB3"/>
    <w:rsid w:val="003E006D"/>
    <w:rsid w:val="003E0224"/>
    <w:rsid w:val="003E067E"/>
    <w:rsid w:val="003E09BB"/>
    <w:rsid w:val="003E159D"/>
    <w:rsid w:val="003E20EA"/>
    <w:rsid w:val="003E210C"/>
    <w:rsid w:val="003E2F55"/>
    <w:rsid w:val="003E3239"/>
    <w:rsid w:val="003E34DB"/>
    <w:rsid w:val="003E3833"/>
    <w:rsid w:val="003E3AF9"/>
    <w:rsid w:val="003E4A70"/>
    <w:rsid w:val="003E4C48"/>
    <w:rsid w:val="003E4CD9"/>
    <w:rsid w:val="003E52C2"/>
    <w:rsid w:val="003E54B3"/>
    <w:rsid w:val="003E5780"/>
    <w:rsid w:val="003E57F7"/>
    <w:rsid w:val="003E5B9F"/>
    <w:rsid w:val="003E6072"/>
    <w:rsid w:val="003E67DE"/>
    <w:rsid w:val="003E6AB6"/>
    <w:rsid w:val="003E6E0B"/>
    <w:rsid w:val="003E71CD"/>
    <w:rsid w:val="003E72F0"/>
    <w:rsid w:val="003E78DA"/>
    <w:rsid w:val="003E7A8B"/>
    <w:rsid w:val="003F060E"/>
    <w:rsid w:val="003F0F7F"/>
    <w:rsid w:val="003F115C"/>
    <w:rsid w:val="003F155A"/>
    <w:rsid w:val="003F2B26"/>
    <w:rsid w:val="003F300D"/>
    <w:rsid w:val="003F31C0"/>
    <w:rsid w:val="003F391F"/>
    <w:rsid w:val="003F4599"/>
    <w:rsid w:val="003F45E1"/>
    <w:rsid w:val="003F4F6C"/>
    <w:rsid w:val="003F559E"/>
    <w:rsid w:val="003F6181"/>
    <w:rsid w:val="003F662E"/>
    <w:rsid w:val="003F6BFC"/>
    <w:rsid w:val="003F7343"/>
    <w:rsid w:val="00400002"/>
    <w:rsid w:val="00400054"/>
    <w:rsid w:val="004004EA"/>
    <w:rsid w:val="00400B70"/>
    <w:rsid w:val="00400C41"/>
    <w:rsid w:val="004016A3"/>
    <w:rsid w:val="00401B31"/>
    <w:rsid w:val="00401EEA"/>
    <w:rsid w:val="0040202B"/>
    <w:rsid w:val="00402DE1"/>
    <w:rsid w:val="00402EEB"/>
    <w:rsid w:val="004037C2"/>
    <w:rsid w:val="00404041"/>
    <w:rsid w:val="004047DF"/>
    <w:rsid w:val="00404B43"/>
    <w:rsid w:val="00404C61"/>
    <w:rsid w:val="00405487"/>
    <w:rsid w:val="00405B8A"/>
    <w:rsid w:val="0040602B"/>
    <w:rsid w:val="00406359"/>
    <w:rsid w:val="00406599"/>
    <w:rsid w:val="00406DF5"/>
    <w:rsid w:val="00406F35"/>
    <w:rsid w:val="00407A7A"/>
    <w:rsid w:val="00407ABC"/>
    <w:rsid w:val="00407F1E"/>
    <w:rsid w:val="004101CA"/>
    <w:rsid w:val="00410A88"/>
    <w:rsid w:val="00411317"/>
    <w:rsid w:val="00411692"/>
    <w:rsid w:val="00411A9E"/>
    <w:rsid w:val="0041259F"/>
    <w:rsid w:val="00412B4D"/>
    <w:rsid w:val="00412C51"/>
    <w:rsid w:val="00413262"/>
    <w:rsid w:val="0041329C"/>
    <w:rsid w:val="00413920"/>
    <w:rsid w:val="004139F4"/>
    <w:rsid w:val="00413FFA"/>
    <w:rsid w:val="00414229"/>
    <w:rsid w:val="00414246"/>
    <w:rsid w:val="00414D9A"/>
    <w:rsid w:val="00415194"/>
    <w:rsid w:val="00415816"/>
    <w:rsid w:val="00415B88"/>
    <w:rsid w:val="00415D32"/>
    <w:rsid w:val="004160A2"/>
    <w:rsid w:val="004170D7"/>
    <w:rsid w:val="004177A6"/>
    <w:rsid w:val="00417C23"/>
    <w:rsid w:val="00417EFD"/>
    <w:rsid w:val="004200EE"/>
    <w:rsid w:val="004209D2"/>
    <w:rsid w:val="00420D6E"/>
    <w:rsid w:val="00420ECA"/>
    <w:rsid w:val="0042158C"/>
    <w:rsid w:val="00421BD2"/>
    <w:rsid w:val="00421E00"/>
    <w:rsid w:val="00421F51"/>
    <w:rsid w:val="00421FCB"/>
    <w:rsid w:val="00422DCA"/>
    <w:rsid w:val="00423F9F"/>
    <w:rsid w:val="00425845"/>
    <w:rsid w:val="00425C43"/>
    <w:rsid w:val="00425D70"/>
    <w:rsid w:val="00425DD1"/>
    <w:rsid w:val="00426058"/>
    <w:rsid w:val="004266A1"/>
    <w:rsid w:val="004273FA"/>
    <w:rsid w:val="004275A7"/>
    <w:rsid w:val="00430186"/>
    <w:rsid w:val="00430682"/>
    <w:rsid w:val="00431017"/>
    <w:rsid w:val="00431C0B"/>
    <w:rsid w:val="0043269A"/>
    <w:rsid w:val="00432B3C"/>
    <w:rsid w:val="00432C6D"/>
    <w:rsid w:val="004333C2"/>
    <w:rsid w:val="00434787"/>
    <w:rsid w:val="00434C13"/>
    <w:rsid w:val="00435703"/>
    <w:rsid w:val="00435BD5"/>
    <w:rsid w:val="00436156"/>
    <w:rsid w:val="00436323"/>
    <w:rsid w:val="0043676B"/>
    <w:rsid w:val="0043683F"/>
    <w:rsid w:val="00436F40"/>
    <w:rsid w:val="004370FA"/>
    <w:rsid w:val="00440096"/>
    <w:rsid w:val="004403DD"/>
    <w:rsid w:val="00440CF3"/>
    <w:rsid w:val="00440DB0"/>
    <w:rsid w:val="00440DD6"/>
    <w:rsid w:val="00440DDC"/>
    <w:rsid w:val="00440FAD"/>
    <w:rsid w:val="00441291"/>
    <w:rsid w:val="00441E04"/>
    <w:rsid w:val="004420AB"/>
    <w:rsid w:val="004422D6"/>
    <w:rsid w:val="004427AC"/>
    <w:rsid w:val="00442C7D"/>
    <w:rsid w:val="00442D4D"/>
    <w:rsid w:val="004435DF"/>
    <w:rsid w:val="0044374D"/>
    <w:rsid w:val="00443B55"/>
    <w:rsid w:val="00443D27"/>
    <w:rsid w:val="0044414B"/>
    <w:rsid w:val="004445EB"/>
    <w:rsid w:val="0044478A"/>
    <w:rsid w:val="0044500B"/>
    <w:rsid w:val="004454E8"/>
    <w:rsid w:val="00446037"/>
    <w:rsid w:val="0044642F"/>
    <w:rsid w:val="004473C9"/>
    <w:rsid w:val="0044772C"/>
    <w:rsid w:val="00447D53"/>
    <w:rsid w:val="00450846"/>
    <w:rsid w:val="00451A52"/>
    <w:rsid w:val="0045271D"/>
    <w:rsid w:val="00452755"/>
    <w:rsid w:val="00452803"/>
    <w:rsid w:val="004529A6"/>
    <w:rsid w:val="004529C6"/>
    <w:rsid w:val="00452EAD"/>
    <w:rsid w:val="004533A8"/>
    <w:rsid w:val="004533D1"/>
    <w:rsid w:val="004534D1"/>
    <w:rsid w:val="00454548"/>
    <w:rsid w:val="00454717"/>
    <w:rsid w:val="00455004"/>
    <w:rsid w:val="00455047"/>
    <w:rsid w:val="00455354"/>
    <w:rsid w:val="0045558D"/>
    <w:rsid w:val="00455AA5"/>
    <w:rsid w:val="00455B70"/>
    <w:rsid w:val="00455BD3"/>
    <w:rsid w:val="00456970"/>
    <w:rsid w:val="00456BB1"/>
    <w:rsid w:val="00456CD4"/>
    <w:rsid w:val="00456D08"/>
    <w:rsid w:val="00456DDB"/>
    <w:rsid w:val="00457031"/>
    <w:rsid w:val="0045779F"/>
    <w:rsid w:val="00457EDF"/>
    <w:rsid w:val="00460915"/>
    <w:rsid w:val="00460946"/>
    <w:rsid w:val="004614A9"/>
    <w:rsid w:val="00461E97"/>
    <w:rsid w:val="0046268F"/>
    <w:rsid w:val="0046284F"/>
    <w:rsid w:val="00462B10"/>
    <w:rsid w:val="00462C04"/>
    <w:rsid w:val="0046320A"/>
    <w:rsid w:val="004632E2"/>
    <w:rsid w:val="004638E2"/>
    <w:rsid w:val="00464030"/>
    <w:rsid w:val="004647F8"/>
    <w:rsid w:val="004647FB"/>
    <w:rsid w:val="00465347"/>
    <w:rsid w:val="00465677"/>
    <w:rsid w:val="00466616"/>
    <w:rsid w:val="00466A0C"/>
    <w:rsid w:val="00466A53"/>
    <w:rsid w:val="004673A8"/>
    <w:rsid w:val="0046753A"/>
    <w:rsid w:val="00467CA9"/>
    <w:rsid w:val="00467D4E"/>
    <w:rsid w:val="0047098A"/>
    <w:rsid w:val="00470A6A"/>
    <w:rsid w:val="00470D73"/>
    <w:rsid w:val="00470D92"/>
    <w:rsid w:val="00471DF7"/>
    <w:rsid w:val="00471FD5"/>
    <w:rsid w:val="00472450"/>
    <w:rsid w:val="004734CF"/>
    <w:rsid w:val="004737EA"/>
    <w:rsid w:val="00473BD9"/>
    <w:rsid w:val="00474665"/>
    <w:rsid w:val="00475C5A"/>
    <w:rsid w:val="00475C78"/>
    <w:rsid w:val="00475C9C"/>
    <w:rsid w:val="0047676B"/>
    <w:rsid w:val="0047773C"/>
    <w:rsid w:val="00477C5F"/>
    <w:rsid w:val="00477D59"/>
    <w:rsid w:val="00477F7E"/>
    <w:rsid w:val="00480050"/>
    <w:rsid w:val="004800E5"/>
    <w:rsid w:val="0048011C"/>
    <w:rsid w:val="004808DE"/>
    <w:rsid w:val="00481AC4"/>
    <w:rsid w:val="00481DC1"/>
    <w:rsid w:val="00482507"/>
    <w:rsid w:val="0048268A"/>
    <w:rsid w:val="00482E12"/>
    <w:rsid w:val="004835CA"/>
    <w:rsid w:val="004836F8"/>
    <w:rsid w:val="004836FE"/>
    <w:rsid w:val="00484F0F"/>
    <w:rsid w:val="00484F40"/>
    <w:rsid w:val="0048540C"/>
    <w:rsid w:val="00485BA7"/>
    <w:rsid w:val="00485D18"/>
    <w:rsid w:val="004861B4"/>
    <w:rsid w:val="00486BD0"/>
    <w:rsid w:val="00486D00"/>
    <w:rsid w:val="00487263"/>
    <w:rsid w:val="0048734F"/>
    <w:rsid w:val="004877B4"/>
    <w:rsid w:val="0048785D"/>
    <w:rsid w:val="0049029D"/>
    <w:rsid w:val="0049030C"/>
    <w:rsid w:val="004903C0"/>
    <w:rsid w:val="004907FA"/>
    <w:rsid w:val="0049114B"/>
    <w:rsid w:val="004912A8"/>
    <w:rsid w:val="00491577"/>
    <w:rsid w:val="0049196A"/>
    <w:rsid w:val="0049196E"/>
    <w:rsid w:val="00491B54"/>
    <w:rsid w:val="0049241A"/>
    <w:rsid w:val="00492C1F"/>
    <w:rsid w:val="00492E4C"/>
    <w:rsid w:val="0049327C"/>
    <w:rsid w:val="00493664"/>
    <w:rsid w:val="004938E1"/>
    <w:rsid w:val="00493E04"/>
    <w:rsid w:val="004940E3"/>
    <w:rsid w:val="00494269"/>
    <w:rsid w:val="00494963"/>
    <w:rsid w:val="0049530F"/>
    <w:rsid w:val="00496664"/>
    <w:rsid w:val="00496786"/>
    <w:rsid w:val="0049695B"/>
    <w:rsid w:val="00496D8F"/>
    <w:rsid w:val="00497463"/>
    <w:rsid w:val="004A054C"/>
    <w:rsid w:val="004A08D1"/>
    <w:rsid w:val="004A104A"/>
    <w:rsid w:val="004A16C1"/>
    <w:rsid w:val="004A1CE2"/>
    <w:rsid w:val="004A1DF9"/>
    <w:rsid w:val="004A24BC"/>
    <w:rsid w:val="004A2A99"/>
    <w:rsid w:val="004A33AD"/>
    <w:rsid w:val="004A34D2"/>
    <w:rsid w:val="004A4301"/>
    <w:rsid w:val="004A4D93"/>
    <w:rsid w:val="004A58EE"/>
    <w:rsid w:val="004A59B7"/>
    <w:rsid w:val="004A5C13"/>
    <w:rsid w:val="004A6051"/>
    <w:rsid w:val="004A623B"/>
    <w:rsid w:val="004A6334"/>
    <w:rsid w:val="004A65AC"/>
    <w:rsid w:val="004A6A04"/>
    <w:rsid w:val="004A6A52"/>
    <w:rsid w:val="004B02CF"/>
    <w:rsid w:val="004B0A44"/>
    <w:rsid w:val="004B0F0B"/>
    <w:rsid w:val="004B1A5A"/>
    <w:rsid w:val="004B1EA5"/>
    <w:rsid w:val="004B2197"/>
    <w:rsid w:val="004B298A"/>
    <w:rsid w:val="004B42BE"/>
    <w:rsid w:val="004B50CB"/>
    <w:rsid w:val="004B578D"/>
    <w:rsid w:val="004B59B8"/>
    <w:rsid w:val="004B5BE7"/>
    <w:rsid w:val="004B5E2D"/>
    <w:rsid w:val="004B6C07"/>
    <w:rsid w:val="004B74D3"/>
    <w:rsid w:val="004B788E"/>
    <w:rsid w:val="004B78E1"/>
    <w:rsid w:val="004B7E5D"/>
    <w:rsid w:val="004C033C"/>
    <w:rsid w:val="004C1033"/>
    <w:rsid w:val="004C13E9"/>
    <w:rsid w:val="004C1F58"/>
    <w:rsid w:val="004C2180"/>
    <w:rsid w:val="004C22F7"/>
    <w:rsid w:val="004C2310"/>
    <w:rsid w:val="004C2B27"/>
    <w:rsid w:val="004C3929"/>
    <w:rsid w:val="004C5212"/>
    <w:rsid w:val="004C580A"/>
    <w:rsid w:val="004C5EF0"/>
    <w:rsid w:val="004C64C9"/>
    <w:rsid w:val="004C6862"/>
    <w:rsid w:val="004C7226"/>
    <w:rsid w:val="004C74C9"/>
    <w:rsid w:val="004C7915"/>
    <w:rsid w:val="004C7D70"/>
    <w:rsid w:val="004C7F4F"/>
    <w:rsid w:val="004D02F9"/>
    <w:rsid w:val="004D03FE"/>
    <w:rsid w:val="004D0446"/>
    <w:rsid w:val="004D06A3"/>
    <w:rsid w:val="004D0F95"/>
    <w:rsid w:val="004D106A"/>
    <w:rsid w:val="004D1C7E"/>
    <w:rsid w:val="004D245A"/>
    <w:rsid w:val="004D2F4A"/>
    <w:rsid w:val="004D31EE"/>
    <w:rsid w:val="004D36AF"/>
    <w:rsid w:val="004D3BD1"/>
    <w:rsid w:val="004D4A03"/>
    <w:rsid w:val="004D4BA1"/>
    <w:rsid w:val="004D4EC1"/>
    <w:rsid w:val="004D584D"/>
    <w:rsid w:val="004D5A7E"/>
    <w:rsid w:val="004D5ED1"/>
    <w:rsid w:val="004D6120"/>
    <w:rsid w:val="004D636B"/>
    <w:rsid w:val="004D6826"/>
    <w:rsid w:val="004D6E7F"/>
    <w:rsid w:val="004E023F"/>
    <w:rsid w:val="004E0546"/>
    <w:rsid w:val="004E0742"/>
    <w:rsid w:val="004E0C64"/>
    <w:rsid w:val="004E0EBC"/>
    <w:rsid w:val="004E0F6B"/>
    <w:rsid w:val="004E1545"/>
    <w:rsid w:val="004E1F1C"/>
    <w:rsid w:val="004E24CE"/>
    <w:rsid w:val="004E2A35"/>
    <w:rsid w:val="004E40CE"/>
    <w:rsid w:val="004E5736"/>
    <w:rsid w:val="004E5A3C"/>
    <w:rsid w:val="004E5B36"/>
    <w:rsid w:val="004E5D5D"/>
    <w:rsid w:val="004E5DAD"/>
    <w:rsid w:val="004E6045"/>
    <w:rsid w:val="004E6F43"/>
    <w:rsid w:val="004E7200"/>
    <w:rsid w:val="004E7437"/>
    <w:rsid w:val="004E7497"/>
    <w:rsid w:val="004E787E"/>
    <w:rsid w:val="004F0960"/>
    <w:rsid w:val="004F0A4B"/>
    <w:rsid w:val="004F0A5C"/>
    <w:rsid w:val="004F0DB3"/>
    <w:rsid w:val="004F163F"/>
    <w:rsid w:val="004F18A0"/>
    <w:rsid w:val="004F1A08"/>
    <w:rsid w:val="004F2B64"/>
    <w:rsid w:val="004F2D2A"/>
    <w:rsid w:val="004F31B8"/>
    <w:rsid w:val="004F375E"/>
    <w:rsid w:val="004F3764"/>
    <w:rsid w:val="004F3DB4"/>
    <w:rsid w:val="004F3EEF"/>
    <w:rsid w:val="004F4A8C"/>
    <w:rsid w:val="004F5180"/>
    <w:rsid w:val="004F57C9"/>
    <w:rsid w:val="004F5930"/>
    <w:rsid w:val="004F5970"/>
    <w:rsid w:val="004F5F0C"/>
    <w:rsid w:val="004F5F46"/>
    <w:rsid w:val="004F6121"/>
    <w:rsid w:val="004F6161"/>
    <w:rsid w:val="004F66BC"/>
    <w:rsid w:val="004F6B63"/>
    <w:rsid w:val="004F6C26"/>
    <w:rsid w:val="004F7AC9"/>
    <w:rsid w:val="0050062F"/>
    <w:rsid w:val="00500E74"/>
    <w:rsid w:val="0050160F"/>
    <w:rsid w:val="0050275F"/>
    <w:rsid w:val="0050284E"/>
    <w:rsid w:val="0050306F"/>
    <w:rsid w:val="005047A0"/>
    <w:rsid w:val="00504A78"/>
    <w:rsid w:val="00505DCB"/>
    <w:rsid w:val="00505F58"/>
    <w:rsid w:val="005075CA"/>
    <w:rsid w:val="00507B06"/>
    <w:rsid w:val="00507B79"/>
    <w:rsid w:val="00507BF1"/>
    <w:rsid w:val="0051047A"/>
    <w:rsid w:val="0051074C"/>
    <w:rsid w:val="00510CB7"/>
    <w:rsid w:val="00510DE9"/>
    <w:rsid w:val="00510F21"/>
    <w:rsid w:val="005111E2"/>
    <w:rsid w:val="00511231"/>
    <w:rsid w:val="0051197C"/>
    <w:rsid w:val="005126ED"/>
    <w:rsid w:val="00512C4F"/>
    <w:rsid w:val="00513042"/>
    <w:rsid w:val="0051334F"/>
    <w:rsid w:val="00513399"/>
    <w:rsid w:val="00513AF2"/>
    <w:rsid w:val="00514575"/>
    <w:rsid w:val="00514C03"/>
    <w:rsid w:val="00514D67"/>
    <w:rsid w:val="0051522A"/>
    <w:rsid w:val="00515515"/>
    <w:rsid w:val="00515EA6"/>
    <w:rsid w:val="0051635C"/>
    <w:rsid w:val="00516C5B"/>
    <w:rsid w:val="00517612"/>
    <w:rsid w:val="0051782E"/>
    <w:rsid w:val="00517CFB"/>
    <w:rsid w:val="00517F85"/>
    <w:rsid w:val="00520235"/>
    <w:rsid w:val="00520899"/>
    <w:rsid w:val="00520922"/>
    <w:rsid w:val="005209FC"/>
    <w:rsid w:val="005212D7"/>
    <w:rsid w:val="00521A30"/>
    <w:rsid w:val="005224E5"/>
    <w:rsid w:val="00523496"/>
    <w:rsid w:val="00523903"/>
    <w:rsid w:val="005239B6"/>
    <w:rsid w:val="00523C45"/>
    <w:rsid w:val="0052413E"/>
    <w:rsid w:val="00524165"/>
    <w:rsid w:val="005246E7"/>
    <w:rsid w:val="00524B08"/>
    <w:rsid w:val="00524C38"/>
    <w:rsid w:val="00524FD2"/>
    <w:rsid w:val="00525172"/>
    <w:rsid w:val="00525621"/>
    <w:rsid w:val="00525EDB"/>
    <w:rsid w:val="00526431"/>
    <w:rsid w:val="00527064"/>
    <w:rsid w:val="00527532"/>
    <w:rsid w:val="00527703"/>
    <w:rsid w:val="00527DEB"/>
    <w:rsid w:val="00527E57"/>
    <w:rsid w:val="00527F2C"/>
    <w:rsid w:val="00530405"/>
    <w:rsid w:val="00530522"/>
    <w:rsid w:val="005305E5"/>
    <w:rsid w:val="00530CBA"/>
    <w:rsid w:val="00530F38"/>
    <w:rsid w:val="00531F26"/>
    <w:rsid w:val="00532039"/>
    <w:rsid w:val="00532299"/>
    <w:rsid w:val="005323DA"/>
    <w:rsid w:val="0053277C"/>
    <w:rsid w:val="005327C0"/>
    <w:rsid w:val="00533101"/>
    <w:rsid w:val="00533CA9"/>
    <w:rsid w:val="00533EA7"/>
    <w:rsid w:val="005346AD"/>
    <w:rsid w:val="00534EFB"/>
    <w:rsid w:val="00534F60"/>
    <w:rsid w:val="005357F1"/>
    <w:rsid w:val="00535D23"/>
    <w:rsid w:val="00536053"/>
    <w:rsid w:val="00536985"/>
    <w:rsid w:val="005369E6"/>
    <w:rsid w:val="00537079"/>
    <w:rsid w:val="005371AC"/>
    <w:rsid w:val="00537672"/>
    <w:rsid w:val="0053772F"/>
    <w:rsid w:val="00537B77"/>
    <w:rsid w:val="00540C4C"/>
    <w:rsid w:val="00541469"/>
    <w:rsid w:val="00541571"/>
    <w:rsid w:val="00541B1F"/>
    <w:rsid w:val="0054275A"/>
    <w:rsid w:val="005428B8"/>
    <w:rsid w:val="00542BD7"/>
    <w:rsid w:val="00543084"/>
    <w:rsid w:val="00543584"/>
    <w:rsid w:val="005439B2"/>
    <w:rsid w:val="00543A9E"/>
    <w:rsid w:val="0054413A"/>
    <w:rsid w:val="00544288"/>
    <w:rsid w:val="005446BB"/>
    <w:rsid w:val="005448C8"/>
    <w:rsid w:val="00544DA5"/>
    <w:rsid w:val="00544F43"/>
    <w:rsid w:val="00545E30"/>
    <w:rsid w:val="00545EA3"/>
    <w:rsid w:val="005465E8"/>
    <w:rsid w:val="00546C2A"/>
    <w:rsid w:val="00546C9B"/>
    <w:rsid w:val="005476A5"/>
    <w:rsid w:val="00547BF6"/>
    <w:rsid w:val="00547C5C"/>
    <w:rsid w:val="00547FB3"/>
    <w:rsid w:val="00551098"/>
    <w:rsid w:val="00551598"/>
    <w:rsid w:val="0055162B"/>
    <w:rsid w:val="00551BFF"/>
    <w:rsid w:val="00551D68"/>
    <w:rsid w:val="00551DFF"/>
    <w:rsid w:val="005525C9"/>
    <w:rsid w:val="00552B3E"/>
    <w:rsid w:val="00552FB2"/>
    <w:rsid w:val="00554D57"/>
    <w:rsid w:val="005551AA"/>
    <w:rsid w:val="00555D01"/>
    <w:rsid w:val="005564CA"/>
    <w:rsid w:val="005568EA"/>
    <w:rsid w:val="00557140"/>
    <w:rsid w:val="00557984"/>
    <w:rsid w:val="00557CFB"/>
    <w:rsid w:val="00560C87"/>
    <w:rsid w:val="00560F51"/>
    <w:rsid w:val="00561249"/>
    <w:rsid w:val="0056182B"/>
    <w:rsid w:val="00561AF3"/>
    <w:rsid w:val="00561E0B"/>
    <w:rsid w:val="00562141"/>
    <w:rsid w:val="00562891"/>
    <w:rsid w:val="00562D86"/>
    <w:rsid w:val="00563210"/>
    <w:rsid w:val="00564704"/>
    <w:rsid w:val="00564712"/>
    <w:rsid w:val="005657A8"/>
    <w:rsid w:val="00565952"/>
    <w:rsid w:val="00566866"/>
    <w:rsid w:val="005670A5"/>
    <w:rsid w:val="00567285"/>
    <w:rsid w:val="00567723"/>
    <w:rsid w:val="0056772D"/>
    <w:rsid w:val="00567AB8"/>
    <w:rsid w:val="00570A26"/>
    <w:rsid w:val="00570CFD"/>
    <w:rsid w:val="00571872"/>
    <w:rsid w:val="0057221F"/>
    <w:rsid w:val="00572539"/>
    <w:rsid w:val="00572E46"/>
    <w:rsid w:val="00573355"/>
    <w:rsid w:val="0057337D"/>
    <w:rsid w:val="00573450"/>
    <w:rsid w:val="00573504"/>
    <w:rsid w:val="00573BA3"/>
    <w:rsid w:val="00573C8C"/>
    <w:rsid w:val="005745F3"/>
    <w:rsid w:val="00574708"/>
    <w:rsid w:val="00574D81"/>
    <w:rsid w:val="005756AA"/>
    <w:rsid w:val="0057696F"/>
    <w:rsid w:val="00576C37"/>
    <w:rsid w:val="00576E5C"/>
    <w:rsid w:val="00577458"/>
    <w:rsid w:val="005774FE"/>
    <w:rsid w:val="0058040C"/>
    <w:rsid w:val="00580937"/>
    <w:rsid w:val="00580D6D"/>
    <w:rsid w:val="005812E4"/>
    <w:rsid w:val="005813DE"/>
    <w:rsid w:val="00581768"/>
    <w:rsid w:val="00581796"/>
    <w:rsid w:val="00581B45"/>
    <w:rsid w:val="0058239C"/>
    <w:rsid w:val="00582480"/>
    <w:rsid w:val="00582805"/>
    <w:rsid w:val="0058290E"/>
    <w:rsid w:val="00582CAB"/>
    <w:rsid w:val="00582D08"/>
    <w:rsid w:val="00582FA6"/>
    <w:rsid w:val="0058375E"/>
    <w:rsid w:val="005840B1"/>
    <w:rsid w:val="00584233"/>
    <w:rsid w:val="005842D0"/>
    <w:rsid w:val="005845FB"/>
    <w:rsid w:val="00585128"/>
    <w:rsid w:val="005855AE"/>
    <w:rsid w:val="00585829"/>
    <w:rsid w:val="00585C52"/>
    <w:rsid w:val="00585CA8"/>
    <w:rsid w:val="00586412"/>
    <w:rsid w:val="005864B9"/>
    <w:rsid w:val="005866C4"/>
    <w:rsid w:val="00590F1A"/>
    <w:rsid w:val="00591C03"/>
    <w:rsid w:val="00591D9E"/>
    <w:rsid w:val="00591E2A"/>
    <w:rsid w:val="005923C4"/>
    <w:rsid w:val="00593EA2"/>
    <w:rsid w:val="00593F75"/>
    <w:rsid w:val="005940A0"/>
    <w:rsid w:val="0059429A"/>
    <w:rsid w:val="00594462"/>
    <w:rsid w:val="00594CBE"/>
    <w:rsid w:val="00594DE2"/>
    <w:rsid w:val="005950CB"/>
    <w:rsid w:val="00596AF7"/>
    <w:rsid w:val="00596CCE"/>
    <w:rsid w:val="00597B2F"/>
    <w:rsid w:val="005A1976"/>
    <w:rsid w:val="005A2120"/>
    <w:rsid w:val="005A2501"/>
    <w:rsid w:val="005A2C80"/>
    <w:rsid w:val="005A3066"/>
    <w:rsid w:val="005A3B35"/>
    <w:rsid w:val="005A3C4B"/>
    <w:rsid w:val="005A3C85"/>
    <w:rsid w:val="005A3E5A"/>
    <w:rsid w:val="005A4399"/>
    <w:rsid w:val="005A43F3"/>
    <w:rsid w:val="005A496F"/>
    <w:rsid w:val="005A4A56"/>
    <w:rsid w:val="005A5608"/>
    <w:rsid w:val="005A5A3D"/>
    <w:rsid w:val="005A6035"/>
    <w:rsid w:val="005A6B75"/>
    <w:rsid w:val="005A6E00"/>
    <w:rsid w:val="005A718A"/>
    <w:rsid w:val="005A7209"/>
    <w:rsid w:val="005A7752"/>
    <w:rsid w:val="005A7885"/>
    <w:rsid w:val="005B12B2"/>
    <w:rsid w:val="005B143B"/>
    <w:rsid w:val="005B150B"/>
    <w:rsid w:val="005B19BD"/>
    <w:rsid w:val="005B1E45"/>
    <w:rsid w:val="005B21C4"/>
    <w:rsid w:val="005B2A28"/>
    <w:rsid w:val="005B3621"/>
    <w:rsid w:val="005B4948"/>
    <w:rsid w:val="005B501D"/>
    <w:rsid w:val="005B54CC"/>
    <w:rsid w:val="005B74AD"/>
    <w:rsid w:val="005B7551"/>
    <w:rsid w:val="005B7E96"/>
    <w:rsid w:val="005C0429"/>
    <w:rsid w:val="005C084F"/>
    <w:rsid w:val="005C0EE9"/>
    <w:rsid w:val="005C12DB"/>
    <w:rsid w:val="005C16A8"/>
    <w:rsid w:val="005C1716"/>
    <w:rsid w:val="005C1954"/>
    <w:rsid w:val="005C1C0B"/>
    <w:rsid w:val="005C2011"/>
    <w:rsid w:val="005C3DCB"/>
    <w:rsid w:val="005C3EA3"/>
    <w:rsid w:val="005C4161"/>
    <w:rsid w:val="005C44DE"/>
    <w:rsid w:val="005C4E6D"/>
    <w:rsid w:val="005C5011"/>
    <w:rsid w:val="005C5241"/>
    <w:rsid w:val="005C529E"/>
    <w:rsid w:val="005C57BA"/>
    <w:rsid w:val="005C5C52"/>
    <w:rsid w:val="005C5D3D"/>
    <w:rsid w:val="005C5F05"/>
    <w:rsid w:val="005C6186"/>
    <w:rsid w:val="005C7B9B"/>
    <w:rsid w:val="005C7E45"/>
    <w:rsid w:val="005C7F3E"/>
    <w:rsid w:val="005D06D3"/>
    <w:rsid w:val="005D0C3B"/>
    <w:rsid w:val="005D1051"/>
    <w:rsid w:val="005D1606"/>
    <w:rsid w:val="005D18D1"/>
    <w:rsid w:val="005D2044"/>
    <w:rsid w:val="005D2917"/>
    <w:rsid w:val="005D2EB2"/>
    <w:rsid w:val="005D2F48"/>
    <w:rsid w:val="005D3B32"/>
    <w:rsid w:val="005D464B"/>
    <w:rsid w:val="005D466F"/>
    <w:rsid w:val="005D49F0"/>
    <w:rsid w:val="005D51F7"/>
    <w:rsid w:val="005D51FA"/>
    <w:rsid w:val="005D53E8"/>
    <w:rsid w:val="005D577C"/>
    <w:rsid w:val="005D5A9D"/>
    <w:rsid w:val="005D6651"/>
    <w:rsid w:val="005D691D"/>
    <w:rsid w:val="005D6A72"/>
    <w:rsid w:val="005D6F38"/>
    <w:rsid w:val="005D72AD"/>
    <w:rsid w:val="005D7516"/>
    <w:rsid w:val="005D791B"/>
    <w:rsid w:val="005D7CF2"/>
    <w:rsid w:val="005D7EB1"/>
    <w:rsid w:val="005D7F1C"/>
    <w:rsid w:val="005D7F92"/>
    <w:rsid w:val="005E0297"/>
    <w:rsid w:val="005E09B0"/>
    <w:rsid w:val="005E0D7B"/>
    <w:rsid w:val="005E1595"/>
    <w:rsid w:val="005E1F1D"/>
    <w:rsid w:val="005E273D"/>
    <w:rsid w:val="005E2FD1"/>
    <w:rsid w:val="005E3278"/>
    <w:rsid w:val="005E3365"/>
    <w:rsid w:val="005E363B"/>
    <w:rsid w:val="005E3736"/>
    <w:rsid w:val="005E3A24"/>
    <w:rsid w:val="005E5AAC"/>
    <w:rsid w:val="005E6E1D"/>
    <w:rsid w:val="005F1044"/>
    <w:rsid w:val="005F1E4E"/>
    <w:rsid w:val="005F305B"/>
    <w:rsid w:val="005F3081"/>
    <w:rsid w:val="005F3361"/>
    <w:rsid w:val="005F3B47"/>
    <w:rsid w:val="005F40A5"/>
    <w:rsid w:val="005F4481"/>
    <w:rsid w:val="005F47AC"/>
    <w:rsid w:val="005F49AF"/>
    <w:rsid w:val="005F4A58"/>
    <w:rsid w:val="005F54DF"/>
    <w:rsid w:val="005F581C"/>
    <w:rsid w:val="005F5888"/>
    <w:rsid w:val="005F5984"/>
    <w:rsid w:val="005F5EAB"/>
    <w:rsid w:val="005F6CE2"/>
    <w:rsid w:val="005F6F24"/>
    <w:rsid w:val="005F72E9"/>
    <w:rsid w:val="005F765D"/>
    <w:rsid w:val="005F76AE"/>
    <w:rsid w:val="005F7797"/>
    <w:rsid w:val="005F780B"/>
    <w:rsid w:val="00600473"/>
    <w:rsid w:val="0060139A"/>
    <w:rsid w:val="006013C9"/>
    <w:rsid w:val="00601689"/>
    <w:rsid w:val="0060218C"/>
    <w:rsid w:val="00602B45"/>
    <w:rsid w:val="00603499"/>
    <w:rsid w:val="006035F5"/>
    <w:rsid w:val="00603CC2"/>
    <w:rsid w:val="00604537"/>
    <w:rsid w:val="006047D1"/>
    <w:rsid w:val="00604A55"/>
    <w:rsid w:val="00604D4E"/>
    <w:rsid w:val="00604E3E"/>
    <w:rsid w:val="00605AC3"/>
    <w:rsid w:val="00606908"/>
    <w:rsid w:val="00606B13"/>
    <w:rsid w:val="00607996"/>
    <w:rsid w:val="00607A37"/>
    <w:rsid w:val="00607E0A"/>
    <w:rsid w:val="00607E9F"/>
    <w:rsid w:val="0061085E"/>
    <w:rsid w:val="00611398"/>
    <w:rsid w:val="00612322"/>
    <w:rsid w:val="006123C0"/>
    <w:rsid w:val="00612DF1"/>
    <w:rsid w:val="006130D4"/>
    <w:rsid w:val="00613191"/>
    <w:rsid w:val="006133F9"/>
    <w:rsid w:val="006134B3"/>
    <w:rsid w:val="00613DE1"/>
    <w:rsid w:val="0061401F"/>
    <w:rsid w:val="00614166"/>
    <w:rsid w:val="00614817"/>
    <w:rsid w:val="006149CC"/>
    <w:rsid w:val="0061535F"/>
    <w:rsid w:val="006157A9"/>
    <w:rsid w:val="0061584D"/>
    <w:rsid w:val="0061591D"/>
    <w:rsid w:val="00615C46"/>
    <w:rsid w:val="00615ED0"/>
    <w:rsid w:val="0061604C"/>
    <w:rsid w:val="00616B1C"/>
    <w:rsid w:val="00616C2B"/>
    <w:rsid w:val="00616D7F"/>
    <w:rsid w:val="0061708E"/>
    <w:rsid w:val="006177DB"/>
    <w:rsid w:val="006178D1"/>
    <w:rsid w:val="00620719"/>
    <w:rsid w:val="006212C9"/>
    <w:rsid w:val="0062183A"/>
    <w:rsid w:val="00621C06"/>
    <w:rsid w:val="00621D0C"/>
    <w:rsid w:val="00622470"/>
    <w:rsid w:val="00622725"/>
    <w:rsid w:val="00622F49"/>
    <w:rsid w:val="006231AA"/>
    <w:rsid w:val="00623482"/>
    <w:rsid w:val="00623AC2"/>
    <w:rsid w:val="00623D46"/>
    <w:rsid w:val="00623EBC"/>
    <w:rsid w:val="006244CF"/>
    <w:rsid w:val="006266D7"/>
    <w:rsid w:val="0062698D"/>
    <w:rsid w:val="00626D42"/>
    <w:rsid w:val="00626EE3"/>
    <w:rsid w:val="006274AD"/>
    <w:rsid w:val="00627519"/>
    <w:rsid w:val="00627532"/>
    <w:rsid w:val="00627652"/>
    <w:rsid w:val="006302AA"/>
    <w:rsid w:val="006310C3"/>
    <w:rsid w:val="0063143E"/>
    <w:rsid w:val="0063161E"/>
    <w:rsid w:val="00631BB5"/>
    <w:rsid w:val="00631DD0"/>
    <w:rsid w:val="006323D3"/>
    <w:rsid w:val="00633DBF"/>
    <w:rsid w:val="00634122"/>
    <w:rsid w:val="00634261"/>
    <w:rsid w:val="00635D25"/>
    <w:rsid w:val="00635E00"/>
    <w:rsid w:val="00635E32"/>
    <w:rsid w:val="006360FC"/>
    <w:rsid w:val="006364DB"/>
    <w:rsid w:val="006365DE"/>
    <w:rsid w:val="00636BE4"/>
    <w:rsid w:val="00636F88"/>
    <w:rsid w:val="0063732C"/>
    <w:rsid w:val="00637802"/>
    <w:rsid w:val="00637836"/>
    <w:rsid w:val="00637C26"/>
    <w:rsid w:val="00637F44"/>
    <w:rsid w:val="00641078"/>
    <w:rsid w:val="00641242"/>
    <w:rsid w:val="00642A32"/>
    <w:rsid w:val="006433D5"/>
    <w:rsid w:val="00643412"/>
    <w:rsid w:val="0064414A"/>
    <w:rsid w:val="006445C1"/>
    <w:rsid w:val="006459D3"/>
    <w:rsid w:val="00645CEB"/>
    <w:rsid w:val="00645E6E"/>
    <w:rsid w:val="00646B20"/>
    <w:rsid w:val="00646D0F"/>
    <w:rsid w:val="00647A36"/>
    <w:rsid w:val="00647DCC"/>
    <w:rsid w:val="00647EFA"/>
    <w:rsid w:val="00647F14"/>
    <w:rsid w:val="00650027"/>
    <w:rsid w:val="00651B9C"/>
    <w:rsid w:val="00651C47"/>
    <w:rsid w:val="00652E70"/>
    <w:rsid w:val="0065339A"/>
    <w:rsid w:val="00653469"/>
    <w:rsid w:val="00654971"/>
    <w:rsid w:val="00654A38"/>
    <w:rsid w:val="00655301"/>
    <w:rsid w:val="00655371"/>
    <w:rsid w:val="0065548D"/>
    <w:rsid w:val="00655507"/>
    <w:rsid w:val="00656C4B"/>
    <w:rsid w:val="006573EA"/>
    <w:rsid w:val="0066073F"/>
    <w:rsid w:val="00661029"/>
    <w:rsid w:val="0066135A"/>
    <w:rsid w:val="00661A38"/>
    <w:rsid w:val="0066272D"/>
    <w:rsid w:val="006628F8"/>
    <w:rsid w:val="00662E58"/>
    <w:rsid w:val="00662F39"/>
    <w:rsid w:val="006635A0"/>
    <w:rsid w:val="00664351"/>
    <w:rsid w:val="00665968"/>
    <w:rsid w:val="00665BF7"/>
    <w:rsid w:val="00666178"/>
    <w:rsid w:val="0066639E"/>
    <w:rsid w:val="00666473"/>
    <w:rsid w:val="00666754"/>
    <w:rsid w:val="00666C72"/>
    <w:rsid w:val="00666E6C"/>
    <w:rsid w:val="0066707F"/>
    <w:rsid w:val="006671DB"/>
    <w:rsid w:val="00667ED8"/>
    <w:rsid w:val="0067064C"/>
    <w:rsid w:val="00670B20"/>
    <w:rsid w:val="00670BA4"/>
    <w:rsid w:val="00670E12"/>
    <w:rsid w:val="00670F27"/>
    <w:rsid w:val="0067105C"/>
    <w:rsid w:val="00671B38"/>
    <w:rsid w:val="00672E80"/>
    <w:rsid w:val="0067333F"/>
    <w:rsid w:val="006739E4"/>
    <w:rsid w:val="00673ECF"/>
    <w:rsid w:val="0067426B"/>
    <w:rsid w:val="006749F5"/>
    <w:rsid w:val="00674A1B"/>
    <w:rsid w:val="00674F1C"/>
    <w:rsid w:val="0067519F"/>
    <w:rsid w:val="006754F8"/>
    <w:rsid w:val="00676127"/>
    <w:rsid w:val="00676866"/>
    <w:rsid w:val="00676AED"/>
    <w:rsid w:val="00677E9C"/>
    <w:rsid w:val="00677F26"/>
    <w:rsid w:val="00677F92"/>
    <w:rsid w:val="006800EE"/>
    <w:rsid w:val="00680297"/>
    <w:rsid w:val="006802A7"/>
    <w:rsid w:val="006811C9"/>
    <w:rsid w:val="006812CE"/>
    <w:rsid w:val="006826C1"/>
    <w:rsid w:val="00682C89"/>
    <w:rsid w:val="006832B8"/>
    <w:rsid w:val="006837B2"/>
    <w:rsid w:val="00683800"/>
    <w:rsid w:val="00684462"/>
    <w:rsid w:val="006846D7"/>
    <w:rsid w:val="0068482E"/>
    <w:rsid w:val="00684C8A"/>
    <w:rsid w:val="00684CF5"/>
    <w:rsid w:val="0068553E"/>
    <w:rsid w:val="00685E7B"/>
    <w:rsid w:val="00686551"/>
    <w:rsid w:val="006866B4"/>
    <w:rsid w:val="00686CAB"/>
    <w:rsid w:val="00686E4D"/>
    <w:rsid w:val="0068717F"/>
    <w:rsid w:val="0068730C"/>
    <w:rsid w:val="00687504"/>
    <w:rsid w:val="00687A14"/>
    <w:rsid w:val="00687A8C"/>
    <w:rsid w:val="00690839"/>
    <w:rsid w:val="006908DB"/>
    <w:rsid w:val="00690DE9"/>
    <w:rsid w:val="00691DE9"/>
    <w:rsid w:val="00691EAA"/>
    <w:rsid w:val="00692245"/>
    <w:rsid w:val="00692FFA"/>
    <w:rsid w:val="00693772"/>
    <w:rsid w:val="00693984"/>
    <w:rsid w:val="00693B77"/>
    <w:rsid w:val="00694160"/>
    <w:rsid w:val="006959A5"/>
    <w:rsid w:val="00695C0C"/>
    <w:rsid w:val="00696736"/>
    <w:rsid w:val="00696A05"/>
    <w:rsid w:val="00697401"/>
    <w:rsid w:val="00697665"/>
    <w:rsid w:val="006979BF"/>
    <w:rsid w:val="00697C9A"/>
    <w:rsid w:val="00697E68"/>
    <w:rsid w:val="00697FC1"/>
    <w:rsid w:val="006A0274"/>
    <w:rsid w:val="006A0FDD"/>
    <w:rsid w:val="006A103E"/>
    <w:rsid w:val="006A21BC"/>
    <w:rsid w:val="006A25C7"/>
    <w:rsid w:val="006A27BC"/>
    <w:rsid w:val="006A2A43"/>
    <w:rsid w:val="006A2BEE"/>
    <w:rsid w:val="006A2BF1"/>
    <w:rsid w:val="006A2F9A"/>
    <w:rsid w:val="006A34E4"/>
    <w:rsid w:val="006A3A5A"/>
    <w:rsid w:val="006A44CF"/>
    <w:rsid w:val="006A457D"/>
    <w:rsid w:val="006A4C06"/>
    <w:rsid w:val="006A55EE"/>
    <w:rsid w:val="006A575B"/>
    <w:rsid w:val="006A59DE"/>
    <w:rsid w:val="006A5A3C"/>
    <w:rsid w:val="006A64C6"/>
    <w:rsid w:val="006A6655"/>
    <w:rsid w:val="006A6B6B"/>
    <w:rsid w:val="006A6BF9"/>
    <w:rsid w:val="006A7CB5"/>
    <w:rsid w:val="006A7FD0"/>
    <w:rsid w:val="006B00E4"/>
    <w:rsid w:val="006B025C"/>
    <w:rsid w:val="006B08ED"/>
    <w:rsid w:val="006B0BFD"/>
    <w:rsid w:val="006B1AE2"/>
    <w:rsid w:val="006B2534"/>
    <w:rsid w:val="006B2CB2"/>
    <w:rsid w:val="006B347D"/>
    <w:rsid w:val="006B3E19"/>
    <w:rsid w:val="006B4488"/>
    <w:rsid w:val="006B49FC"/>
    <w:rsid w:val="006B50C4"/>
    <w:rsid w:val="006B53AE"/>
    <w:rsid w:val="006B58B4"/>
    <w:rsid w:val="006B67AC"/>
    <w:rsid w:val="006B786A"/>
    <w:rsid w:val="006B7E4E"/>
    <w:rsid w:val="006C003A"/>
    <w:rsid w:val="006C107C"/>
    <w:rsid w:val="006C2454"/>
    <w:rsid w:val="006C2551"/>
    <w:rsid w:val="006C37CA"/>
    <w:rsid w:val="006C40D2"/>
    <w:rsid w:val="006C4273"/>
    <w:rsid w:val="006C4BBD"/>
    <w:rsid w:val="006C50FA"/>
    <w:rsid w:val="006C5B15"/>
    <w:rsid w:val="006C5D32"/>
    <w:rsid w:val="006C5DCB"/>
    <w:rsid w:val="006C6475"/>
    <w:rsid w:val="006C6C54"/>
    <w:rsid w:val="006C70C4"/>
    <w:rsid w:val="006C741F"/>
    <w:rsid w:val="006D04DA"/>
    <w:rsid w:val="006D080E"/>
    <w:rsid w:val="006D10F6"/>
    <w:rsid w:val="006D1544"/>
    <w:rsid w:val="006D1688"/>
    <w:rsid w:val="006D1DD3"/>
    <w:rsid w:val="006D1FF3"/>
    <w:rsid w:val="006D2410"/>
    <w:rsid w:val="006D2C65"/>
    <w:rsid w:val="006D32C6"/>
    <w:rsid w:val="006D3491"/>
    <w:rsid w:val="006D360E"/>
    <w:rsid w:val="006D3697"/>
    <w:rsid w:val="006D39D2"/>
    <w:rsid w:val="006D3F2A"/>
    <w:rsid w:val="006D41A9"/>
    <w:rsid w:val="006D4370"/>
    <w:rsid w:val="006D46A3"/>
    <w:rsid w:val="006D5DAB"/>
    <w:rsid w:val="006D62E0"/>
    <w:rsid w:val="006D658F"/>
    <w:rsid w:val="006D6A12"/>
    <w:rsid w:val="006D6F4D"/>
    <w:rsid w:val="006D712D"/>
    <w:rsid w:val="006D741C"/>
    <w:rsid w:val="006D7687"/>
    <w:rsid w:val="006D784A"/>
    <w:rsid w:val="006D7CF3"/>
    <w:rsid w:val="006D7D1F"/>
    <w:rsid w:val="006D7D8A"/>
    <w:rsid w:val="006E0572"/>
    <w:rsid w:val="006E05D8"/>
    <w:rsid w:val="006E08EE"/>
    <w:rsid w:val="006E155A"/>
    <w:rsid w:val="006E2C34"/>
    <w:rsid w:val="006E359B"/>
    <w:rsid w:val="006E39D1"/>
    <w:rsid w:val="006E3B05"/>
    <w:rsid w:val="006E437F"/>
    <w:rsid w:val="006E4D5B"/>
    <w:rsid w:val="006E602F"/>
    <w:rsid w:val="006E6720"/>
    <w:rsid w:val="006E7275"/>
    <w:rsid w:val="006E77B8"/>
    <w:rsid w:val="006F13BA"/>
    <w:rsid w:val="006F15CC"/>
    <w:rsid w:val="006F15F6"/>
    <w:rsid w:val="006F2BA2"/>
    <w:rsid w:val="006F36EA"/>
    <w:rsid w:val="006F3C27"/>
    <w:rsid w:val="006F4147"/>
    <w:rsid w:val="006F4315"/>
    <w:rsid w:val="006F4CB0"/>
    <w:rsid w:val="006F4F78"/>
    <w:rsid w:val="006F547E"/>
    <w:rsid w:val="006F5CCF"/>
    <w:rsid w:val="006F6F04"/>
    <w:rsid w:val="006F71F5"/>
    <w:rsid w:val="00700610"/>
    <w:rsid w:val="00700B9C"/>
    <w:rsid w:val="0070138A"/>
    <w:rsid w:val="0070157E"/>
    <w:rsid w:val="007030D4"/>
    <w:rsid w:val="00703262"/>
    <w:rsid w:val="00703279"/>
    <w:rsid w:val="00703B18"/>
    <w:rsid w:val="00703B61"/>
    <w:rsid w:val="00703E11"/>
    <w:rsid w:val="00704102"/>
    <w:rsid w:val="0070437C"/>
    <w:rsid w:val="0070461C"/>
    <w:rsid w:val="00704A8C"/>
    <w:rsid w:val="00705631"/>
    <w:rsid w:val="00705692"/>
    <w:rsid w:val="00705818"/>
    <w:rsid w:val="00705F62"/>
    <w:rsid w:val="007074DB"/>
    <w:rsid w:val="0070773F"/>
    <w:rsid w:val="007078BD"/>
    <w:rsid w:val="00707ED3"/>
    <w:rsid w:val="007101B7"/>
    <w:rsid w:val="00710668"/>
    <w:rsid w:val="007110F4"/>
    <w:rsid w:val="007112B1"/>
    <w:rsid w:val="0071130F"/>
    <w:rsid w:val="007119F3"/>
    <w:rsid w:val="00711B2E"/>
    <w:rsid w:val="00711C90"/>
    <w:rsid w:val="00712714"/>
    <w:rsid w:val="007129AB"/>
    <w:rsid w:val="00712B63"/>
    <w:rsid w:val="00713526"/>
    <w:rsid w:val="007136E4"/>
    <w:rsid w:val="00713B3B"/>
    <w:rsid w:val="00713FC5"/>
    <w:rsid w:val="00714DCA"/>
    <w:rsid w:val="00714F38"/>
    <w:rsid w:val="007159F5"/>
    <w:rsid w:val="00715BBF"/>
    <w:rsid w:val="00715C29"/>
    <w:rsid w:val="00715CBD"/>
    <w:rsid w:val="00715EAA"/>
    <w:rsid w:val="00716CAD"/>
    <w:rsid w:val="00716F18"/>
    <w:rsid w:val="00717363"/>
    <w:rsid w:val="00717786"/>
    <w:rsid w:val="00717ACB"/>
    <w:rsid w:val="007209A2"/>
    <w:rsid w:val="0072138B"/>
    <w:rsid w:val="00721BFF"/>
    <w:rsid w:val="00723475"/>
    <w:rsid w:val="007236C4"/>
    <w:rsid w:val="007242A2"/>
    <w:rsid w:val="00724635"/>
    <w:rsid w:val="00724F21"/>
    <w:rsid w:val="00725134"/>
    <w:rsid w:val="00725359"/>
    <w:rsid w:val="0072544A"/>
    <w:rsid w:val="0072554B"/>
    <w:rsid w:val="00725AFD"/>
    <w:rsid w:val="00725B8C"/>
    <w:rsid w:val="00725E6A"/>
    <w:rsid w:val="00726603"/>
    <w:rsid w:val="00727B1D"/>
    <w:rsid w:val="00727DDC"/>
    <w:rsid w:val="00730CD6"/>
    <w:rsid w:val="00730F74"/>
    <w:rsid w:val="0073114B"/>
    <w:rsid w:val="0073196D"/>
    <w:rsid w:val="007319FA"/>
    <w:rsid w:val="00732151"/>
    <w:rsid w:val="0073223D"/>
    <w:rsid w:val="007338C5"/>
    <w:rsid w:val="00734952"/>
    <w:rsid w:val="00734990"/>
    <w:rsid w:val="00734FF5"/>
    <w:rsid w:val="00735B78"/>
    <w:rsid w:val="00735DA7"/>
    <w:rsid w:val="007368B4"/>
    <w:rsid w:val="007370F9"/>
    <w:rsid w:val="007378E0"/>
    <w:rsid w:val="00737D92"/>
    <w:rsid w:val="00740331"/>
    <w:rsid w:val="00740529"/>
    <w:rsid w:val="00740876"/>
    <w:rsid w:val="00741358"/>
    <w:rsid w:val="00741626"/>
    <w:rsid w:val="00742332"/>
    <w:rsid w:val="00742886"/>
    <w:rsid w:val="00742DD2"/>
    <w:rsid w:val="00742F60"/>
    <w:rsid w:val="00743095"/>
    <w:rsid w:val="007437C6"/>
    <w:rsid w:val="007440CB"/>
    <w:rsid w:val="007441A2"/>
    <w:rsid w:val="00744E80"/>
    <w:rsid w:val="00745035"/>
    <w:rsid w:val="0074531C"/>
    <w:rsid w:val="00745547"/>
    <w:rsid w:val="007459D0"/>
    <w:rsid w:val="00745A1E"/>
    <w:rsid w:val="00745F81"/>
    <w:rsid w:val="0074608B"/>
    <w:rsid w:val="0074623A"/>
    <w:rsid w:val="00746420"/>
    <w:rsid w:val="00746A60"/>
    <w:rsid w:val="00746E04"/>
    <w:rsid w:val="00746E08"/>
    <w:rsid w:val="00746E3D"/>
    <w:rsid w:val="007473B9"/>
    <w:rsid w:val="0074740B"/>
    <w:rsid w:val="00747C96"/>
    <w:rsid w:val="00750075"/>
    <w:rsid w:val="007502EC"/>
    <w:rsid w:val="00750382"/>
    <w:rsid w:val="0075094E"/>
    <w:rsid w:val="00750FA8"/>
    <w:rsid w:val="00750FB5"/>
    <w:rsid w:val="00751C77"/>
    <w:rsid w:val="007520F0"/>
    <w:rsid w:val="007522E8"/>
    <w:rsid w:val="00753BAC"/>
    <w:rsid w:val="00753E9B"/>
    <w:rsid w:val="00754A0B"/>
    <w:rsid w:val="007552DB"/>
    <w:rsid w:val="00755920"/>
    <w:rsid w:val="00755B08"/>
    <w:rsid w:val="00755DD0"/>
    <w:rsid w:val="007563D0"/>
    <w:rsid w:val="0075647A"/>
    <w:rsid w:val="0075666A"/>
    <w:rsid w:val="00756A2F"/>
    <w:rsid w:val="007573E1"/>
    <w:rsid w:val="0075749E"/>
    <w:rsid w:val="00757722"/>
    <w:rsid w:val="00757B2D"/>
    <w:rsid w:val="00757BAD"/>
    <w:rsid w:val="00757D62"/>
    <w:rsid w:val="00760021"/>
    <w:rsid w:val="00760561"/>
    <w:rsid w:val="00760867"/>
    <w:rsid w:val="00760C6E"/>
    <w:rsid w:val="00760EB6"/>
    <w:rsid w:val="007616DB"/>
    <w:rsid w:val="00761939"/>
    <w:rsid w:val="00761AB7"/>
    <w:rsid w:val="00761C64"/>
    <w:rsid w:val="00761CE6"/>
    <w:rsid w:val="0076228A"/>
    <w:rsid w:val="00762440"/>
    <w:rsid w:val="00762499"/>
    <w:rsid w:val="007629B7"/>
    <w:rsid w:val="00762E60"/>
    <w:rsid w:val="0076308E"/>
    <w:rsid w:val="007634AD"/>
    <w:rsid w:val="00763E0E"/>
    <w:rsid w:val="0076445F"/>
    <w:rsid w:val="00764EC5"/>
    <w:rsid w:val="00765BCA"/>
    <w:rsid w:val="00766A4A"/>
    <w:rsid w:val="00766ECC"/>
    <w:rsid w:val="007672F3"/>
    <w:rsid w:val="007677B5"/>
    <w:rsid w:val="007678B1"/>
    <w:rsid w:val="00767F6E"/>
    <w:rsid w:val="00770093"/>
    <w:rsid w:val="007703DB"/>
    <w:rsid w:val="00770632"/>
    <w:rsid w:val="00770690"/>
    <w:rsid w:val="007708A8"/>
    <w:rsid w:val="00772100"/>
    <w:rsid w:val="00772275"/>
    <w:rsid w:val="00772752"/>
    <w:rsid w:val="007731FA"/>
    <w:rsid w:val="007734E4"/>
    <w:rsid w:val="0077380D"/>
    <w:rsid w:val="00773BC8"/>
    <w:rsid w:val="0077466F"/>
    <w:rsid w:val="007752B7"/>
    <w:rsid w:val="007759A8"/>
    <w:rsid w:val="00775C27"/>
    <w:rsid w:val="00775D98"/>
    <w:rsid w:val="00776DBF"/>
    <w:rsid w:val="00776FE5"/>
    <w:rsid w:val="00777101"/>
    <w:rsid w:val="007774E7"/>
    <w:rsid w:val="0077768C"/>
    <w:rsid w:val="00777696"/>
    <w:rsid w:val="00777FF4"/>
    <w:rsid w:val="00780251"/>
    <w:rsid w:val="007804FE"/>
    <w:rsid w:val="00780F32"/>
    <w:rsid w:val="0078122E"/>
    <w:rsid w:val="00781939"/>
    <w:rsid w:val="00781D29"/>
    <w:rsid w:val="007825EF"/>
    <w:rsid w:val="0078286B"/>
    <w:rsid w:val="00782D2C"/>
    <w:rsid w:val="00782FC2"/>
    <w:rsid w:val="0078347A"/>
    <w:rsid w:val="007842D6"/>
    <w:rsid w:val="00784392"/>
    <w:rsid w:val="00784FC4"/>
    <w:rsid w:val="007850EC"/>
    <w:rsid w:val="00785353"/>
    <w:rsid w:val="00785BBB"/>
    <w:rsid w:val="00786937"/>
    <w:rsid w:val="00786FAD"/>
    <w:rsid w:val="007870D7"/>
    <w:rsid w:val="0078754B"/>
    <w:rsid w:val="00787D90"/>
    <w:rsid w:val="00787F5E"/>
    <w:rsid w:val="00790164"/>
    <w:rsid w:val="00790A24"/>
    <w:rsid w:val="00790A37"/>
    <w:rsid w:val="00790A60"/>
    <w:rsid w:val="00790D86"/>
    <w:rsid w:val="0079146D"/>
    <w:rsid w:val="007918DF"/>
    <w:rsid w:val="00791C32"/>
    <w:rsid w:val="00791FF0"/>
    <w:rsid w:val="007923D0"/>
    <w:rsid w:val="007930D3"/>
    <w:rsid w:val="007936F2"/>
    <w:rsid w:val="0079381F"/>
    <w:rsid w:val="00793A57"/>
    <w:rsid w:val="00793B2E"/>
    <w:rsid w:val="007948F5"/>
    <w:rsid w:val="00795647"/>
    <w:rsid w:val="007963F6"/>
    <w:rsid w:val="007968B8"/>
    <w:rsid w:val="00796DC8"/>
    <w:rsid w:val="00796E80"/>
    <w:rsid w:val="0079744F"/>
    <w:rsid w:val="007979AD"/>
    <w:rsid w:val="00797A9C"/>
    <w:rsid w:val="007A00FA"/>
    <w:rsid w:val="007A0EAB"/>
    <w:rsid w:val="007A2341"/>
    <w:rsid w:val="007A2754"/>
    <w:rsid w:val="007A2932"/>
    <w:rsid w:val="007A38A1"/>
    <w:rsid w:val="007A3BBE"/>
    <w:rsid w:val="007A4766"/>
    <w:rsid w:val="007A4947"/>
    <w:rsid w:val="007A5747"/>
    <w:rsid w:val="007A5947"/>
    <w:rsid w:val="007A595F"/>
    <w:rsid w:val="007A5C22"/>
    <w:rsid w:val="007A5DB3"/>
    <w:rsid w:val="007A717B"/>
    <w:rsid w:val="007B0313"/>
    <w:rsid w:val="007B0854"/>
    <w:rsid w:val="007B0E48"/>
    <w:rsid w:val="007B1D1B"/>
    <w:rsid w:val="007B303E"/>
    <w:rsid w:val="007B32C0"/>
    <w:rsid w:val="007B32F7"/>
    <w:rsid w:val="007B3659"/>
    <w:rsid w:val="007B38B5"/>
    <w:rsid w:val="007B3BF3"/>
    <w:rsid w:val="007B431B"/>
    <w:rsid w:val="007B4558"/>
    <w:rsid w:val="007B4632"/>
    <w:rsid w:val="007B46A2"/>
    <w:rsid w:val="007B4828"/>
    <w:rsid w:val="007B4B2D"/>
    <w:rsid w:val="007B4D4A"/>
    <w:rsid w:val="007B53DA"/>
    <w:rsid w:val="007B5428"/>
    <w:rsid w:val="007B57FF"/>
    <w:rsid w:val="007B59B7"/>
    <w:rsid w:val="007B5C40"/>
    <w:rsid w:val="007B6C64"/>
    <w:rsid w:val="007B6EC8"/>
    <w:rsid w:val="007B6F81"/>
    <w:rsid w:val="007B7878"/>
    <w:rsid w:val="007B7DD4"/>
    <w:rsid w:val="007B7EA2"/>
    <w:rsid w:val="007C097D"/>
    <w:rsid w:val="007C0AF2"/>
    <w:rsid w:val="007C11CE"/>
    <w:rsid w:val="007C1672"/>
    <w:rsid w:val="007C29A0"/>
    <w:rsid w:val="007C2F60"/>
    <w:rsid w:val="007C312A"/>
    <w:rsid w:val="007C338A"/>
    <w:rsid w:val="007C34A9"/>
    <w:rsid w:val="007C3570"/>
    <w:rsid w:val="007C3F3B"/>
    <w:rsid w:val="007C4241"/>
    <w:rsid w:val="007C425E"/>
    <w:rsid w:val="007C51A1"/>
    <w:rsid w:val="007C55FF"/>
    <w:rsid w:val="007C5A87"/>
    <w:rsid w:val="007C5DA2"/>
    <w:rsid w:val="007C6339"/>
    <w:rsid w:val="007C753F"/>
    <w:rsid w:val="007C7C43"/>
    <w:rsid w:val="007C7F0D"/>
    <w:rsid w:val="007D06E3"/>
    <w:rsid w:val="007D1134"/>
    <w:rsid w:val="007D17F0"/>
    <w:rsid w:val="007D23F7"/>
    <w:rsid w:val="007D2566"/>
    <w:rsid w:val="007D2BD2"/>
    <w:rsid w:val="007D2C18"/>
    <w:rsid w:val="007D2D74"/>
    <w:rsid w:val="007D3693"/>
    <w:rsid w:val="007D3C6D"/>
    <w:rsid w:val="007D4247"/>
    <w:rsid w:val="007D42D3"/>
    <w:rsid w:val="007D481A"/>
    <w:rsid w:val="007D4D52"/>
    <w:rsid w:val="007D4ED0"/>
    <w:rsid w:val="007D5482"/>
    <w:rsid w:val="007D5648"/>
    <w:rsid w:val="007D58C5"/>
    <w:rsid w:val="007D5DE8"/>
    <w:rsid w:val="007D6FE9"/>
    <w:rsid w:val="007D7CFC"/>
    <w:rsid w:val="007E0812"/>
    <w:rsid w:val="007E18DF"/>
    <w:rsid w:val="007E22B2"/>
    <w:rsid w:val="007E2C36"/>
    <w:rsid w:val="007E3309"/>
    <w:rsid w:val="007E350D"/>
    <w:rsid w:val="007E3ACA"/>
    <w:rsid w:val="007E564D"/>
    <w:rsid w:val="007E5C4A"/>
    <w:rsid w:val="007E64D4"/>
    <w:rsid w:val="007E66E9"/>
    <w:rsid w:val="007E69F2"/>
    <w:rsid w:val="007E7432"/>
    <w:rsid w:val="007E74BF"/>
    <w:rsid w:val="007F063B"/>
    <w:rsid w:val="007F14D3"/>
    <w:rsid w:val="007F1D9D"/>
    <w:rsid w:val="007F1E28"/>
    <w:rsid w:val="007F1F63"/>
    <w:rsid w:val="007F22A0"/>
    <w:rsid w:val="007F2903"/>
    <w:rsid w:val="007F2F90"/>
    <w:rsid w:val="007F3320"/>
    <w:rsid w:val="007F382B"/>
    <w:rsid w:val="007F3AC1"/>
    <w:rsid w:val="007F4976"/>
    <w:rsid w:val="007F52AF"/>
    <w:rsid w:val="007F561C"/>
    <w:rsid w:val="007F5A56"/>
    <w:rsid w:val="007F616E"/>
    <w:rsid w:val="007F6B46"/>
    <w:rsid w:val="007F72CB"/>
    <w:rsid w:val="007F736A"/>
    <w:rsid w:val="007F7635"/>
    <w:rsid w:val="007F785F"/>
    <w:rsid w:val="007F7961"/>
    <w:rsid w:val="007F7AF6"/>
    <w:rsid w:val="007F7B36"/>
    <w:rsid w:val="007F7E36"/>
    <w:rsid w:val="007F7F8E"/>
    <w:rsid w:val="00800E6D"/>
    <w:rsid w:val="008014D9"/>
    <w:rsid w:val="0080150F"/>
    <w:rsid w:val="0080153A"/>
    <w:rsid w:val="00801A2A"/>
    <w:rsid w:val="00802041"/>
    <w:rsid w:val="008022C9"/>
    <w:rsid w:val="008024F9"/>
    <w:rsid w:val="00802605"/>
    <w:rsid w:val="008027F1"/>
    <w:rsid w:val="00802F9E"/>
    <w:rsid w:val="00803700"/>
    <w:rsid w:val="00803D9D"/>
    <w:rsid w:val="00804C3F"/>
    <w:rsid w:val="008059C6"/>
    <w:rsid w:val="00805AD7"/>
    <w:rsid w:val="00805BD6"/>
    <w:rsid w:val="00805DE3"/>
    <w:rsid w:val="00805F78"/>
    <w:rsid w:val="00807C35"/>
    <w:rsid w:val="00807F35"/>
    <w:rsid w:val="00807F69"/>
    <w:rsid w:val="008100F7"/>
    <w:rsid w:val="00810206"/>
    <w:rsid w:val="00811561"/>
    <w:rsid w:val="0081166C"/>
    <w:rsid w:val="00811898"/>
    <w:rsid w:val="00811CDC"/>
    <w:rsid w:val="008124D8"/>
    <w:rsid w:val="0081250A"/>
    <w:rsid w:val="00813A7B"/>
    <w:rsid w:val="00813F04"/>
    <w:rsid w:val="00814C2C"/>
    <w:rsid w:val="0081513E"/>
    <w:rsid w:val="00815DA5"/>
    <w:rsid w:val="00816221"/>
    <w:rsid w:val="00817063"/>
    <w:rsid w:val="00817500"/>
    <w:rsid w:val="0081766B"/>
    <w:rsid w:val="00817D03"/>
    <w:rsid w:val="00820705"/>
    <w:rsid w:val="00820BA7"/>
    <w:rsid w:val="00820CBF"/>
    <w:rsid w:val="00820DBC"/>
    <w:rsid w:val="00820FA8"/>
    <w:rsid w:val="008212FD"/>
    <w:rsid w:val="00821489"/>
    <w:rsid w:val="008217B7"/>
    <w:rsid w:val="0082239B"/>
    <w:rsid w:val="008227CD"/>
    <w:rsid w:val="0082292E"/>
    <w:rsid w:val="00822D06"/>
    <w:rsid w:val="00822EC4"/>
    <w:rsid w:val="0082348D"/>
    <w:rsid w:val="008235ED"/>
    <w:rsid w:val="00823624"/>
    <w:rsid w:val="008236BE"/>
    <w:rsid w:val="008241CE"/>
    <w:rsid w:val="008251BA"/>
    <w:rsid w:val="00825240"/>
    <w:rsid w:val="00825B43"/>
    <w:rsid w:val="00826F71"/>
    <w:rsid w:val="00827CC0"/>
    <w:rsid w:val="00831026"/>
    <w:rsid w:val="0083119B"/>
    <w:rsid w:val="008315FD"/>
    <w:rsid w:val="00831BAE"/>
    <w:rsid w:val="00831DB1"/>
    <w:rsid w:val="00832216"/>
    <w:rsid w:val="00832321"/>
    <w:rsid w:val="00832CD0"/>
    <w:rsid w:val="00833430"/>
    <w:rsid w:val="0083382A"/>
    <w:rsid w:val="00833FD4"/>
    <w:rsid w:val="00834128"/>
    <w:rsid w:val="0083417F"/>
    <w:rsid w:val="00835143"/>
    <w:rsid w:val="0083569B"/>
    <w:rsid w:val="00835741"/>
    <w:rsid w:val="0083622D"/>
    <w:rsid w:val="00836E74"/>
    <w:rsid w:val="00836EAB"/>
    <w:rsid w:val="00836FDF"/>
    <w:rsid w:val="00837673"/>
    <w:rsid w:val="00837937"/>
    <w:rsid w:val="00837D82"/>
    <w:rsid w:val="00840893"/>
    <w:rsid w:val="00840A8F"/>
    <w:rsid w:val="00840E88"/>
    <w:rsid w:val="008417E8"/>
    <w:rsid w:val="008418BE"/>
    <w:rsid w:val="008423EC"/>
    <w:rsid w:val="008429A6"/>
    <w:rsid w:val="00843615"/>
    <w:rsid w:val="00843698"/>
    <w:rsid w:val="008439E4"/>
    <w:rsid w:val="00843A4B"/>
    <w:rsid w:val="00843AAC"/>
    <w:rsid w:val="00843B57"/>
    <w:rsid w:val="00843B60"/>
    <w:rsid w:val="00843D33"/>
    <w:rsid w:val="008440DF"/>
    <w:rsid w:val="008444F0"/>
    <w:rsid w:val="00844D4F"/>
    <w:rsid w:val="00845AE3"/>
    <w:rsid w:val="008466A0"/>
    <w:rsid w:val="00847535"/>
    <w:rsid w:val="00847B6D"/>
    <w:rsid w:val="00850172"/>
    <w:rsid w:val="0085092D"/>
    <w:rsid w:val="00850C6C"/>
    <w:rsid w:val="00850C79"/>
    <w:rsid w:val="00850D82"/>
    <w:rsid w:val="00850F79"/>
    <w:rsid w:val="0085100B"/>
    <w:rsid w:val="00852C43"/>
    <w:rsid w:val="0085304C"/>
    <w:rsid w:val="008536BB"/>
    <w:rsid w:val="00853A3C"/>
    <w:rsid w:val="008548CA"/>
    <w:rsid w:val="00854ACB"/>
    <w:rsid w:val="00856B9F"/>
    <w:rsid w:val="00856C06"/>
    <w:rsid w:val="0085790B"/>
    <w:rsid w:val="008579B9"/>
    <w:rsid w:val="00857C95"/>
    <w:rsid w:val="00857E78"/>
    <w:rsid w:val="00860AEF"/>
    <w:rsid w:val="00860B18"/>
    <w:rsid w:val="00860D5E"/>
    <w:rsid w:val="0086122C"/>
    <w:rsid w:val="00861310"/>
    <w:rsid w:val="0086136D"/>
    <w:rsid w:val="00861F53"/>
    <w:rsid w:val="0086289E"/>
    <w:rsid w:val="008629CB"/>
    <w:rsid w:val="00862E11"/>
    <w:rsid w:val="0086394E"/>
    <w:rsid w:val="00863F8A"/>
    <w:rsid w:val="00863FE3"/>
    <w:rsid w:val="00864241"/>
    <w:rsid w:val="0086468A"/>
    <w:rsid w:val="008650BE"/>
    <w:rsid w:val="0086633B"/>
    <w:rsid w:val="00866495"/>
    <w:rsid w:val="00866881"/>
    <w:rsid w:val="00866931"/>
    <w:rsid w:val="00866AAA"/>
    <w:rsid w:val="00867512"/>
    <w:rsid w:val="008678A3"/>
    <w:rsid w:val="00867C13"/>
    <w:rsid w:val="00867C1D"/>
    <w:rsid w:val="0087033C"/>
    <w:rsid w:val="00870C8D"/>
    <w:rsid w:val="008715ED"/>
    <w:rsid w:val="008717D8"/>
    <w:rsid w:val="00871E3C"/>
    <w:rsid w:val="00872CC1"/>
    <w:rsid w:val="00872F97"/>
    <w:rsid w:val="00873149"/>
    <w:rsid w:val="00873E79"/>
    <w:rsid w:val="00874607"/>
    <w:rsid w:val="00874915"/>
    <w:rsid w:val="00874ACD"/>
    <w:rsid w:val="00874ACF"/>
    <w:rsid w:val="00874B89"/>
    <w:rsid w:val="00875403"/>
    <w:rsid w:val="00875434"/>
    <w:rsid w:val="00875C1F"/>
    <w:rsid w:val="00876215"/>
    <w:rsid w:val="0087646C"/>
    <w:rsid w:val="00876815"/>
    <w:rsid w:val="00877932"/>
    <w:rsid w:val="00880744"/>
    <w:rsid w:val="008808C7"/>
    <w:rsid w:val="0088106B"/>
    <w:rsid w:val="0088107D"/>
    <w:rsid w:val="008815D1"/>
    <w:rsid w:val="00881E64"/>
    <w:rsid w:val="00882E39"/>
    <w:rsid w:val="008850EB"/>
    <w:rsid w:val="00885228"/>
    <w:rsid w:val="0088680C"/>
    <w:rsid w:val="00886DF2"/>
    <w:rsid w:val="00886FB9"/>
    <w:rsid w:val="00887057"/>
    <w:rsid w:val="00887080"/>
    <w:rsid w:val="00887563"/>
    <w:rsid w:val="00887C79"/>
    <w:rsid w:val="0089091B"/>
    <w:rsid w:val="0089107B"/>
    <w:rsid w:val="008913CC"/>
    <w:rsid w:val="008914AE"/>
    <w:rsid w:val="008919CF"/>
    <w:rsid w:val="00891BB6"/>
    <w:rsid w:val="00891EDC"/>
    <w:rsid w:val="00891F84"/>
    <w:rsid w:val="008928EC"/>
    <w:rsid w:val="00892B7C"/>
    <w:rsid w:val="00892E5D"/>
    <w:rsid w:val="008935CF"/>
    <w:rsid w:val="0089425E"/>
    <w:rsid w:val="0089436B"/>
    <w:rsid w:val="00894436"/>
    <w:rsid w:val="0089494C"/>
    <w:rsid w:val="00894BB1"/>
    <w:rsid w:val="00894C4E"/>
    <w:rsid w:val="008951D0"/>
    <w:rsid w:val="00895828"/>
    <w:rsid w:val="0089582D"/>
    <w:rsid w:val="008959C6"/>
    <w:rsid w:val="0089606D"/>
    <w:rsid w:val="00896129"/>
    <w:rsid w:val="00896316"/>
    <w:rsid w:val="00896873"/>
    <w:rsid w:val="0089774F"/>
    <w:rsid w:val="00897875"/>
    <w:rsid w:val="00897B8F"/>
    <w:rsid w:val="008A00D9"/>
    <w:rsid w:val="008A07D5"/>
    <w:rsid w:val="008A187A"/>
    <w:rsid w:val="008A1FB7"/>
    <w:rsid w:val="008A229A"/>
    <w:rsid w:val="008A2A23"/>
    <w:rsid w:val="008A2AF5"/>
    <w:rsid w:val="008A2B5A"/>
    <w:rsid w:val="008A3F9D"/>
    <w:rsid w:val="008A4799"/>
    <w:rsid w:val="008A5474"/>
    <w:rsid w:val="008A5C9A"/>
    <w:rsid w:val="008A6005"/>
    <w:rsid w:val="008A614F"/>
    <w:rsid w:val="008A6273"/>
    <w:rsid w:val="008A6A55"/>
    <w:rsid w:val="008A6DF0"/>
    <w:rsid w:val="008A6F6E"/>
    <w:rsid w:val="008A7888"/>
    <w:rsid w:val="008A796E"/>
    <w:rsid w:val="008B0862"/>
    <w:rsid w:val="008B088C"/>
    <w:rsid w:val="008B1475"/>
    <w:rsid w:val="008B1BF5"/>
    <w:rsid w:val="008B2332"/>
    <w:rsid w:val="008B263F"/>
    <w:rsid w:val="008B3045"/>
    <w:rsid w:val="008B47A6"/>
    <w:rsid w:val="008B672C"/>
    <w:rsid w:val="008C065F"/>
    <w:rsid w:val="008C0743"/>
    <w:rsid w:val="008C0B4C"/>
    <w:rsid w:val="008C11F0"/>
    <w:rsid w:val="008C1DBA"/>
    <w:rsid w:val="008C24E7"/>
    <w:rsid w:val="008C2500"/>
    <w:rsid w:val="008C2CAC"/>
    <w:rsid w:val="008C2D70"/>
    <w:rsid w:val="008C3C57"/>
    <w:rsid w:val="008C3E2A"/>
    <w:rsid w:val="008C45A3"/>
    <w:rsid w:val="008C45BD"/>
    <w:rsid w:val="008C4B19"/>
    <w:rsid w:val="008C62D4"/>
    <w:rsid w:val="008C656C"/>
    <w:rsid w:val="008C6B89"/>
    <w:rsid w:val="008C76F5"/>
    <w:rsid w:val="008D18AA"/>
    <w:rsid w:val="008D18E2"/>
    <w:rsid w:val="008D1A2A"/>
    <w:rsid w:val="008D1ADE"/>
    <w:rsid w:val="008D27C5"/>
    <w:rsid w:val="008D2D6A"/>
    <w:rsid w:val="008D35D9"/>
    <w:rsid w:val="008D3B79"/>
    <w:rsid w:val="008D3B85"/>
    <w:rsid w:val="008D417D"/>
    <w:rsid w:val="008D462D"/>
    <w:rsid w:val="008D4645"/>
    <w:rsid w:val="008D560B"/>
    <w:rsid w:val="008D6084"/>
    <w:rsid w:val="008D63B5"/>
    <w:rsid w:val="008D64AC"/>
    <w:rsid w:val="008D66CA"/>
    <w:rsid w:val="008D69B1"/>
    <w:rsid w:val="008D7338"/>
    <w:rsid w:val="008D785E"/>
    <w:rsid w:val="008E0012"/>
    <w:rsid w:val="008E0952"/>
    <w:rsid w:val="008E0DF7"/>
    <w:rsid w:val="008E0FAD"/>
    <w:rsid w:val="008E11E4"/>
    <w:rsid w:val="008E1252"/>
    <w:rsid w:val="008E1347"/>
    <w:rsid w:val="008E16E0"/>
    <w:rsid w:val="008E1C15"/>
    <w:rsid w:val="008E1C9A"/>
    <w:rsid w:val="008E2709"/>
    <w:rsid w:val="008E28BD"/>
    <w:rsid w:val="008E30C4"/>
    <w:rsid w:val="008E331C"/>
    <w:rsid w:val="008E38B4"/>
    <w:rsid w:val="008E3BA4"/>
    <w:rsid w:val="008E44AB"/>
    <w:rsid w:val="008E4688"/>
    <w:rsid w:val="008E4F5E"/>
    <w:rsid w:val="008E5179"/>
    <w:rsid w:val="008E57FE"/>
    <w:rsid w:val="008E6598"/>
    <w:rsid w:val="008E7214"/>
    <w:rsid w:val="008E7884"/>
    <w:rsid w:val="008E7D6E"/>
    <w:rsid w:val="008F1056"/>
    <w:rsid w:val="008F2E8D"/>
    <w:rsid w:val="008F361D"/>
    <w:rsid w:val="008F387B"/>
    <w:rsid w:val="008F3DD9"/>
    <w:rsid w:val="008F42F1"/>
    <w:rsid w:val="008F4814"/>
    <w:rsid w:val="008F4DA6"/>
    <w:rsid w:val="008F538E"/>
    <w:rsid w:val="008F5A20"/>
    <w:rsid w:val="008F5ABA"/>
    <w:rsid w:val="008F67B9"/>
    <w:rsid w:val="008F71AB"/>
    <w:rsid w:val="008F7905"/>
    <w:rsid w:val="008F7989"/>
    <w:rsid w:val="00900890"/>
    <w:rsid w:val="0090103E"/>
    <w:rsid w:val="0090106D"/>
    <w:rsid w:val="00901369"/>
    <w:rsid w:val="0090156E"/>
    <w:rsid w:val="00901F1D"/>
    <w:rsid w:val="009020B3"/>
    <w:rsid w:val="009028E8"/>
    <w:rsid w:val="00902E5C"/>
    <w:rsid w:val="00902F36"/>
    <w:rsid w:val="0090363E"/>
    <w:rsid w:val="009046E5"/>
    <w:rsid w:val="009047C5"/>
    <w:rsid w:val="0090648C"/>
    <w:rsid w:val="0090691B"/>
    <w:rsid w:val="00906ECE"/>
    <w:rsid w:val="0090700A"/>
    <w:rsid w:val="00910683"/>
    <w:rsid w:val="00910764"/>
    <w:rsid w:val="00910945"/>
    <w:rsid w:val="00910E00"/>
    <w:rsid w:val="009116CE"/>
    <w:rsid w:val="00911714"/>
    <w:rsid w:val="00911774"/>
    <w:rsid w:val="00911D04"/>
    <w:rsid w:val="00911EFF"/>
    <w:rsid w:val="009126F0"/>
    <w:rsid w:val="00912DEF"/>
    <w:rsid w:val="009136D4"/>
    <w:rsid w:val="00914B9A"/>
    <w:rsid w:val="00914C3F"/>
    <w:rsid w:val="00914F33"/>
    <w:rsid w:val="00915FCE"/>
    <w:rsid w:val="00916AFE"/>
    <w:rsid w:val="00916FC8"/>
    <w:rsid w:val="009170D3"/>
    <w:rsid w:val="00917258"/>
    <w:rsid w:val="0091759C"/>
    <w:rsid w:val="00920026"/>
    <w:rsid w:val="009203E2"/>
    <w:rsid w:val="00920F61"/>
    <w:rsid w:val="00921304"/>
    <w:rsid w:val="00921395"/>
    <w:rsid w:val="00921805"/>
    <w:rsid w:val="00921E63"/>
    <w:rsid w:val="009232B9"/>
    <w:rsid w:val="00923396"/>
    <w:rsid w:val="00923B36"/>
    <w:rsid w:val="00923F56"/>
    <w:rsid w:val="00925346"/>
    <w:rsid w:val="00925743"/>
    <w:rsid w:val="0092579F"/>
    <w:rsid w:val="0092643A"/>
    <w:rsid w:val="00926EF7"/>
    <w:rsid w:val="00927E8D"/>
    <w:rsid w:val="00927F23"/>
    <w:rsid w:val="00930144"/>
    <w:rsid w:val="009307CD"/>
    <w:rsid w:val="00930C72"/>
    <w:rsid w:val="009312BE"/>
    <w:rsid w:val="0093133D"/>
    <w:rsid w:val="00931365"/>
    <w:rsid w:val="00931451"/>
    <w:rsid w:val="009314FA"/>
    <w:rsid w:val="0093194F"/>
    <w:rsid w:val="00931BF3"/>
    <w:rsid w:val="00931C55"/>
    <w:rsid w:val="00931D27"/>
    <w:rsid w:val="00933333"/>
    <w:rsid w:val="0093349A"/>
    <w:rsid w:val="009338BA"/>
    <w:rsid w:val="00933FCB"/>
    <w:rsid w:val="00934CEC"/>
    <w:rsid w:val="00934E69"/>
    <w:rsid w:val="00935E70"/>
    <w:rsid w:val="0093609A"/>
    <w:rsid w:val="00937401"/>
    <w:rsid w:val="009376FB"/>
    <w:rsid w:val="00937D6B"/>
    <w:rsid w:val="00940477"/>
    <w:rsid w:val="00940876"/>
    <w:rsid w:val="00940A53"/>
    <w:rsid w:val="00940F3C"/>
    <w:rsid w:val="009410E0"/>
    <w:rsid w:val="00941FA9"/>
    <w:rsid w:val="00942089"/>
    <w:rsid w:val="009444B4"/>
    <w:rsid w:val="00944644"/>
    <w:rsid w:val="00945623"/>
    <w:rsid w:val="00945C62"/>
    <w:rsid w:val="00946A24"/>
    <w:rsid w:val="009470D4"/>
    <w:rsid w:val="00947337"/>
    <w:rsid w:val="00947E6E"/>
    <w:rsid w:val="00947E93"/>
    <w:rsid w:val="0095025D"/>
    <w:rsid w:val="009509DA"/>
    <w:rsid w:val="009512FA"/>
    <w:rsid w:val="009516A9"/>
    <w:rsid w:val="00951E57"/>
    <w:rsid w:val="009524DB"/>
    <w:rsid w:val="00952505"/>
    <w:rsid w:val="00953018"/>
    <w:rsid w:val="009533E2"/>
    <w:rsid w:val="00953554"/>
    <w:rsid w:val="0095385A"/>
    <w:rsid w:val="0095416F"/>
    <w:rsid w:val="0095780A"/>
    <w:rsid w:val="009578C3"/>
    <w:rsid w:val="009579E4"/>
    <w:rsid w:val="00957AA4"/>
    <w:rsid w:val="00957ACB"/>
    <w:rsid w:val="00957F27"/>
    <w:rsid w:val="00960156"/>
    <w:rsid w:val="00960BDB"/>
    <w:rsid w:val="0096105C"/>
    <w:rsid w:val="0096147D"/>
    <w:rsid w:val="00961D53"/>
    <w:rsid w:val="00961E5F"/>
    <w:rsid w:val="009625C6"/>
    <w:rsid w:val="00962794"/>
    <w:rsid w:val="00962980"/>
    <w:rsid w:val="009629B5"/>
    <w:rsid w:val="00962A50"/>
    <w:rsid w:val="00963347"/>
    <w:rsid w:val="0096409A"/>
    <w:rsid w:val="00964138"/>
    <w:rsid w:val="009648D6"/>
    <w:rsid w:val="00964A0B"/>
    <w:rsid w:val="00964B3F"/>
    <w:rsid w:val="00964C98"/>
    <w:rsid w:val="00967100"/>
    <w:rsid w:val="00971441"/>
    <w:rsid w:val="009715D4"/>
    <w:rsid w:val="0097179A"/>
    <w:rsid w:val="00972105"/>
    <w:rsid w:val="00972490"/>
    <w:rsid w:val="009732A4"/>
    <w:rsid w:val="009737CA"/>
    <w:rsid w:val="009739CC"/>
    <w:rsid w:val="00973C05"/>
    <w:rsid w:val="0097494E"/>
    <w:rsid w:val="00974999"/>
    <w:rsid w:val="00974B58"/>
    <w:rsid w:val="00975445"/>
    <w:rsid w:val="009761ED"/>
    <w:rsid w:val="0097764C"/>
    <w:rsid w:val="00977991"/>
    <w:rsid w:val="0098022F"/>
    <w:rsid w:val="009808BE"/>
    <w:rsid w:val="00980EAB"/>
    <w:rsid w:val="00980F26"/>
    <w:rsid w:val="00981042"/>
    <w:rsid w:val="009810DE"/>
    <w:rsid w:val="00981B91"/>
    <w:rsid w:val="00981DFC"/>
    <w:rsid w:val="009822D7"/>
    <w:rsid w:val="009827E6"/>
    <w:rsid w:val="00982F84"/>
    <w:rsid w:val="0098427D"/>
    <w:rsid w:val="00984567"/>
    <w:rsid w:val="00984E90"/>
    <w:rsid w:val="00985102"/>
    <w:rsid w:val="009854BC"/>
    <w:rsid w:val="00985D08"/>
    <w:rsid w:val="0098606C"/>
    <w:rsid w:val="009865D5"/>
    <w:rsid w:val="00986DF4"/>
    <w:rsid w:val="00986E96"/>
    <w:rsid w:val="009876F2"/>
    <w:rsid w:val="00987C77"/>
    <w:rsid w:val="00987FED"/>
    <w:rsid w:val="00990345"/>
    <w:rsid w:val="00990701"/>
    <w:rsid w:val="00990E2B"/>
    <w:rsid w:val="0099119C"/>
    <w:rsid w:val="0099137A"/>
    <w:rsid w:val="009917A5"/>
    <w:rsid w:val="00992043"/>
    <w:rsid w:val="0099211C"/>
    <w:rsid w:val="0099349E"/>
    <w:rsid w:val="00993B78"/>
    <w:rsid w:val="00993DBE"/>
    <w:rsid w:val="00995119"/>
    <w:rsid w:val="0099531F"/>
    <w:rsid w:val="009953AD"/>
    <w:rsid w:val="0099583D"/>
    <w:rsid w:val="00996020"/>
    <w:rsid w:val="0099642F"/>
    <w:rsid w:val="00996992"/>
    <w:rsid w:val="00996E1E"/>
    <w:rsid w:val="00997148"/>
    <w:rsid w:val="00997392"/>
    <w:rsid w:val="0099747C"/>
    <w:rsid w:val="0099771C"/>
    <w:rsid w:val="009A01E4"/>
    <w:rsid w:val="009A0917"/>
    <w:rsid w:val="009A0A33"/>
    <w:rsid w:val="009A1351"/>
    <w:rsid w:val="009A2435"/>
    <w:rsid w:val="009A35DC"/>
    <w:rsid w:val="009A38AB"/>
    <w:rsid w:val="009A3A0D"/>
    <w:rsid w:val="009A3C52"/>
    <w:rsid w:val="009A3D47"/>
    <w:rsid w:val="009A4D63"/>
    <w:rsid w:val="009A5356"/>
    <w:rsid w:val="009A5468"/>
    <w:rsid w:val="009A5D99"/>
    <w:rsid w:val="009A608C"/>
    <w:rsid w:val="009A6FDF"/>
    <w:rsid w:val="009A715F"/>
    <w:rsid w:val="009A76D6"/>
    <w:rsid w:val="009B0E0F"/>
    <w:rsid w:val="009B1DA0"/>
    <w:rsid w:val="009B2374"/>
    <w:rsid w:val="009B2E29"/>
    <w:rsid w:val="009B3163"/>
    <w:rsid w:val="009B422F"/>
    <w:rsid w:val="009B46BC"/>
    <w:rsid w:val="009B4D1A"/>
    <w:rsid w:val="009B4D85"/>
    <w:rsid w:val="009B502F"/>
    <w:rsid w:val="009B558B"/>
    <w:rsid w:val="009B5F29"/>
    <w:rsid w:val="009B61D7"/>
    <w:rsid w:val="009B6A34"/>
    <w:rsid w:val="009B6D21"/>
    <w:rsid w:val="009B78ED"/>
    <w:rsid w:val="009C078B"/>
    <w:rsid w:val="009C181C"/>
    <w:rsid w:val="009C1A44"/>
    <w:rsid w:val="009C1C7F"/>
    <w:rsid w:val="009C1EC7"/>
    <w:rsid w:val="009C28A2"/>
    <w:rsid w:val="009C3239"/>
    <w:rsid w:val="009C37CE"/>
    <w:rsid w:val="009C3828"/>
    <w:rsid w:val="009C3AD3"/>
    <w:rsid w:val="009C3AF4"/>
    <w:rsid w:val="009C3D2C"/>
    <w:rsid w:val="009C3DB7"/>
    <w:rsid w:val="009C3FEE"/>
    <w:rsid w:val="009C4987"/>
    <w:rsid w:val="009C4FDE"/>
    <w:rsid w:val="009C523F"/>
    <w:rsid w:val="009C59BF"/>
    <w:rsid w:val="009C5B5F"/>
    <w:rsid w:val="009C5E4F"/>
    <w:rsid w:val="009C5E5C"/>
    <w:rsid w:val="009C5F64"/>
    <w:rsid w:val="009C5F82"/>
    <w:rsid w:val="009C60EA"/>
    <w:rsid w:val="009C6BFC"/>
    <w:rsid w:val="009C70F8"/>
    <w:rsid w:val="009C78A3"/>
    <w:rsid w:val="009C7912"/>
    <w:rsid w:val="009C7E68"/>
    <w:rsid w:val="009D00D7"/>
    <w:rsid w:val="009D0156"/>
    <w:rsid w:val="009D05DA"/>
    <w:rsid w:val="009D11F6"/>
    <w:rsid w:val="009D131C"/>
    <w:rsid w:val="009D1A14"/>
    <w:rsid w:val="009D1E2A"/>
    <w:rsid w:val="009D1FA0"/>
    <w:rsid w:val="009D23A4"/>
    <w:rsid w:val="009D2562"/>
    <w:rsid w:val="009D2BDF"/>
    <w:rsid w:val="009D3736"/>
    <w:rsid w:val="009D3EC2"/>
    <w:rsid w:val="009D4529"/>
    <w:rsid w:val="009D581C"/>
    <w:rsid w:val="009D5CFD"/>
    <w:rsid w:val="009D604F"/>
    <w:rsid w:val="009D61BB"/>
    <w:rsid w:val="009D6410"/>
    <w:rsid w:val="009D65B8"/>
    <w:rsid w:val="009D6856"/>
    <w:rsid w:val="009D68BB"/>
    <w:rsid w:val="009D7056"/>
    <w:rsid w:val="009D70C2"/>
    <w:rsid w:val="009D75A0"/>
    <w:rsid w:val="009D7ADB"/>
    <w:rsid w:val="009D7B33"/>
    <w:rsid w:val="009E06C3"/>
    <w:rsid w:val="009E0703"/>
    <w:rsid w:val="009E1035"/>
    <w:rsid w:val="009E16DA"/>
    <w:rsid w:val="009E1CD4"/>
    <w:rsid w:val="009E2391"/>
    <w:rsid w:val="009E34A5"/>
    <w:rsid w:val="009E35FE"/>
    <w:rsid w:val="009E41A0"/>
    <w:rsid w:val="009E476A"/>
    <w:rsid w:val="009E4E05"/>
    <w:rsid w:val="009E56FF"/>
    <w:rsid w:val="009E5CB1"/>
    <w:rsid w:val="009E5E56"/>
    <w:rsid w:val="009E61EA"/>
    <w:rsid w:val="009E6990"/>
    <w:rsid w:val="009E6FEE"/>
    <w:rsid w:val="009F00B9"/>
    <w:rsid w:val="009F060F"/>
    <w:rsid w:val="009F0781"/>
    <w:rsid w:val="009F0850"/>
    <w:rsid w:val="009F1BDF"/>
    <w:rsid w:val="009F1EAE"/>
    <w:rsid w:val="009F2C6F"/>
    <w:rsid w:val="009F311F"/>
    <w:rsid w:val="009F369D"/>
    <w:rsid w:val="009F36FE"/>
    <w:rsid w:val="009F4990"/>
    <w:rsid w:val="009F4F25"/>
    <w:rsid w:val="009F59C2"/>
    <w:rsid w:val="009F7263"/>
    <w:rsid w:val="009F76EA"/>
    <w:rsid w:val="009F78EB"/>
    <w:rsid w:val="009F7F32"/>
    <w:rsid w:val="009F7FEB"/>
    <w:rsid w:val="00A003D5"/>
    <w:rsid w:val="00A010FD"/>
    <w:rsid w:val="00A0111D"/>
    <w:rsid w:val="00A014B5"/>
    <w:rsid w:val="00A01852"/>
    <w:rsid w:val="00A0188B"/>
    <w:rsid w:val="00A01E73"/>
    <w:rsid w:val="00A023E7"/>
    <w:rsid w:val="00A02B88"/>
    <w:rsid w:val="00A03160"/>
    <w:rsid w:val="00A036AC"/>
    <w:rsid w:val="00A0385E"/>
    <w:rsid w:val="00A03C54"/>
    <w:rsid w:val="00A03DE5"/>
    <w:rsid w:val="00A041BC"/>
    <w:rsid w:val="00A0447F"/>
    <w:rsid w:val="00A046D2"/>
    <w:rsid w:val="00A04A54"/>
    <w:rsid w:val="00A05587"/>
    <w:rsid w:val="00A05732"/>
    <w:rsid w:val="00A05B4B"/>
    <w:rsid w:val="00A05FED"/>
    <w:rsid w:val="00A066C3"/>
    <w:rsid w:val="00A06754"/>
    <w:rsid w:val="00A069E0"/>
    <w:rsid w:val="00A06E4A"/>
    <w:rsid w:val="00A06EE8"/>
    <w:rsid w:val="00A070E9"/>
    <w:rsid w:val="00A078FB"/>
    <w:rsid w:val="00A1036D"/>
    <w:rsid w:val="00A1069F"/>
    <w:rsid w:val="00A10ACA"/>
    <w:rsid w:val="00A10D08"/>
    <w:rsid w:val="00A11E78"/>
    <w:rsid w:val="00A120A7"/>
    <w:rsid w:val="00A12355"/>
    <w:rsid w:val="00A125D9"/>
    <w:rsid w:val="00A127D2"/>
    <w:rsid w:val="00A12DED"/>
    <w:rsid w:val="00A13C44"/>
    <w:rsid w:val="00A13CF5"/>
    <w:rsid w:val="00A143EC"/>
    <w:rsid w:val="00A149E8"/>
    <w:rsid w:val="00A1500F"/>
    <w:rsid w:val="00A151AD"/>
    <w:rsid w:val="00A15621"/>
    <w:rsid w:val="00A15670"/>
    <w:rsid w:val="00A157A0"/>
    <w:rsid w:val="00A1585B"/>
    <w:rsid w:val="00A15C19"/>
    <w:rsid w:val="00A15FE9"/>
    <w:rsid w:val="00A16052"/>
    <w:rsid w:val="00A167AC"/>
    <w:rsid w:val="00A16809"/>
    <w:rsid w:val="00A17769"/>
    <w:rsid w:val="00A17941"/>
    <w:rsid w:val="00A17C11"/>
    <w:rsid w:val="00A17EA2"/>
    <w:rsid w:val="00A20264"/>
    <w:rsid w:val="00A208E4"/>
    <w:rsid w:val="00A20997"/>
    <w:rsid w:val="00A20B29"/>
    <w:rsid w:val="00A213DD"/>
    <w:rsid w:val="00A21454"/>
    <w:rsid w:val="00A216CE"/>
    <w:rsid w:val="00A22025"/>
    <w:rsid w:val="00A22498"/>
    <w:rsid w:val="00A22571"/>
    <w:rsid w:val="00A2298D"/>
    <w:rsid w:val="00A24560"/>
    <w:rsid w:val="00A25B0F"/>
    <w:rsid w:val="00A25BBB"/>
    <w:rsid w:val="00A26363"/>
    <w:rsid w:val="00A27207"/>
    <w:rsid w:val="00A27FB6"/>
    <w:rsid w:val="00A30121"/>
    <w:rsid w:val="00A30368"/>
    <w:rsid w:val="00A3043A"/>
    <w:rsid w:val="00A30E02"/>
    <w:rsid w:val="00A30F6A"/>
    <w:rsid w:val="00A3157B"/>
    <w:rsid w:val="00A31C3E"/>
    <w:rsid w:val="00A31CD6"/>
    <w:rsid w:val="00A342DF"/>
    <w:rsid w:val="00A34538"/>
    <w:rsid w:val="00A34677"/>
    <w:rsid w:val="00A3540F"/>
    <w:rsid w:val="00A35587"/>
    <w:rsid w:val="00A3559E"/>
    <w:rsid w:val="00A35630"/>
    <w:rsid w:val="00A35692"/>
    <w:rsid w:val="00A35914"/>
    <w:rsid w:val="00A36189"/>
    <w:rsid w:val="00A36D47"/>
    <w:rsid w:val="00A37E73"/>
    <w:rsid w:val="00A37FB6"/>
    <w:rsid w:val="00A40781"/>
    <w:rsid w:val="00A409E2"/>
    <w:rsid w:val="00A40F08"/>
    <w:rsid w:val="00A4104A"/>
    <w:rsid w:val="00A41081"/>
    <w:rsid w:val="00A411CA"/>
    <w:rsid w:val="00A42080"/>
    <w:rsid w:val="00A42096"/>
    <w:rsid w:val="00A426F3"/>
    <w:rsid w:val="00A4271D"/>
    <w:rsid w:val="00A42FDF"/>
    <w:rsid w:val="00A430A9"/>
    <w:rsid w:val="00A431FE"/>
    <w:rsid w:val="00A4324A"/>
    <w:rsid w:val="00A439E5"/>
    <w:rsid w:val="00A43C3E"/>
    <w:rsid w:val="00A4495C"/>
    <w:rsid w:val="00A4497A"/>
    <w:rsid w:val="00A44BE8"/>
    <w:rsid w:val="00A44C96"/>
    <w:rsid w:val="00A44CDD"/>
    <w:rsid w:val="00A44F54"/>
    <w:rsid w:val="00A45EC5"/>
    <w:rsid w:val="00A45F9B"/>
    <w:rsid w:val="00A46574"/>
    <w:rsid w:val="00A500B1"/>
    <w:rsid w:val="00A513C8"/>
    <w:rsid w:val="00A52478"/>
    <w:rsid w:val="00A52A53"/>
    <w:rsid w:val="00A52EE5"/>
    <w:rsid w:val="00A53037"/>
    <w:rsid w:val="00A532B9"/>
    <w:rsid w:val="00A5351D"/>
    <w:rsid w:val="00A53AC2"/>
    <w:rsid w:val="00A53B95"/>
    <w:rsid w:val="00A53E79"/>
    <w:rsid w:val="00A54031"/>
    <w:rsid w:val="00A5426D"/>
    <w:rsid w:val="00A5471D"/>
    <w:rsid w:val="00A54FC2"/>
    <w:rsid w:val="00A55122"/>
    <w:rsid w:val="00A55CEA"/>
    <w:rsid w:val="00A563BD"/>
    <w:rsid w:val="00A56DE7"/>
    <w:rsid w:val="00A57EB2"/>
    <w:rsid w:val="00A60065"/>
    <w:rsid w:val="00A6009E"/>
    <w:rsid w:val="00A60265"/>
    <w:rsid w:val="00A60B1F"/>
    <w:rsid w:val="00A60BF3"/>
    <w:rsid w:val="00A6155D"/>
    <w:rsid w:val="00A61C60"/>
    <w:rsid w:val="00A6202C"/>
    <w:rsid w:val="00A62335"/>
    <w:rsid w:val="00A62589"/>
    <w:rsid w:val="00A62AD0"/>
    <w:rsid w:val="00A62C3A"/>
    <w:rsid w:val="00A62DB2"/>
    <w:rsid w:val="00A62FD9"/>
    <w:rsid w:val="00A6319C"/>
    <w:rsid w:val="00A6326A"/>
    <w:rsid w:val="00A63812"/>
    <w:rsid w:val="00A63DF7"/>
    <w:rsid w:val="00A644CC"/>
    <w:rsid w:val="00A6454D"/>
    <w:rsid w:val="00A64CA9"/>
    <w:rsid w:val="00A64F18"/>
    <w:rsid w:val="00A64F2F"/>
    <w:rsid w:val="00A65EDE"/>
    <w:rsid w:val="00A6611E"/>
    <w:rsid w:val="00A668BA"/>
    <w:rsid w:val="00A66FA7"/>
    <w:rsid w:val="00A67E16"/>
    <w:rsid w:val="00A67EB1"/>
    <w:rsid w:val="00A67F7F"/>
    <w:rsid w:val="00A703CC"/>
    <w:rsid w:val="00A70C5C"/>
    <w:rsid w:val="00A710A2"/>
    <w:rsid w:val="00A71EA7"/>
    <w:rsid w:val="00A71F57"/>
    <w:rsid w:val="00A726DD"/>
    <w:rsid w:val="00A730AD"/>
    <w:rsid w:val="00A73741"/>
    <w:rsid w:val="00A73855"/>
    <w:rsid w:val="00A73D64"/>
    <w:rsid w:val="00A74216"/>
    <w:rsid w:val="00A744B4"/>
    <w:rsid w:val="00A751E3"/>
    <w:rsid w:val="00A75504"/>
    <w:rsid w:val="00A75FD7"/>
    <w:rsid w:val="00A76357"/>
    <w:rsid w:val="00A77168"/>
    <w:rsid w:val="00A7723B"/>
    <w:rsid w:val="00A7793C"/>
    <w:rsid w:val="00A77D21"/>
    <w:rsid w:val="00A77FDE"/>
    <w:rsid w:val="00A80085"/>
    <w:rsid w:val="00A8043B"/>
    <w:rsid w:val="00A80703"/>
    <w:rsid w:val="00A80DA0"/>
    <w:rsid w:val="00A81323"/>
    <w:rsid w:val="00A81E43"/>
    <w:rsid w:val="00A820CB"/>
    <w:rsid w:val="00A82342"/>
    <w:rsid w:val="00A82454"/>
    <w:rsid w:val="00A83BEF"/>
    <w:rsid w:val="00A84443"/>
    <w:rsid w:val="00A8487F"/>
    <w:rsid w:val="00A849A3"/>
    <w:rsid w:val="00A84A0E"/>
    <w:rsid w:val="00A85709"/>
    <w:rsid w:val="00A86E0B"/>
    <w:rsid w:val="00A90F12"/>
    <w:rsid w:val="00A913C7"/>
    <w:rsid w:val="00A91890"/>
    <w:rsid w:val="00A91DAA"/>
    <w:rsid w:val="00A93101"/>
    <w:rsid w:val="00A9366B"/>
    <w:rsid w:val="00A9413E"/>
    <w:rsid w:val="00A94281"/>
    <w:rsid w:val="00A94293"/>
    <w:rsid w:val="00A9496E"/>
    <w:rsid w:val="00A949F0"/>
    <w:rsid w:val="00A94BDE"/>
    <w:rsid w:val="00A94CD7"/>
    <w:rsid w:val="00A94FCA"/>
    <w:rsid w:val="00A95E4C"/>
    <w:rsid w:val="00A96998"/>
    <w:rsid w:val="00A96C60"/>
    <w:rsid w:val="00A9740B"/>
    <w:rsid w:val="00A9766C"/>
    <w:rsid w:val="00A977F8"/>
    <w:rsid w:val="00A979DB"/>
    <w:rsid w:val="00A97C93"/>
    <w:rsid w:val="00AA08E7"/>
    <w:rsid w:val="00AA0A06"/>
    <w:rsid w:val="00AA1351"/>
    <w:rsid w:val="00AA184C"/>
    <w:rsid w:val="00AA19F8"/>
    <w:rsid w:val="00AA1C84"/>
    <w:rsid w:val="00AA3D7B"/>
    <w:rsid w:val="00AA42A0"/>
    <w:rsid w:val="00AA442B"/>
    <w:rsid w:val="00AA46A4"/>
    <w:rsid w:val="00AA5779"/>
    <w:rsid w:val="00AA58A1"/>
    <w:rsid w:val="00AA61C7"/>
    <w:rsid w:val="00AA669D"/>
    <w:rsid w:val="00AA66ED"/>
    <w:rsid w:val="00AA6B59"/>
    <w:rsid w:val="00AA6BE1"/>
    <w:rsid w:val="00AA7416"/>
    <w:rsid w:val="00AA7A60"/>
    <w:rsid w:val="00AA7B42"/>
    <w:rsid w:val="00AB041C"/>
    <w:rsid w:val="00AB14E8"/>
    <w:rsid w:val="00AB1B1D"/>
    <w:rsid w:val="00AB1B32"/>
    <w:rsid w:val="00AB2216"/>
    <w:rsid w:val="00AB358D"/>
    <w:rsid w:val="00AB37A1"/>
    <w:rsid w:val="00AB3A68"/>
    <w:rsid w:val="00AB3BAD"/>
    <w:rsid w:val="00AB3CFD"/>
    <w:rsid w:val="00AB410C"/>
    <w:rsid w:val="00AB4244"/>
    <w:rsid w:val="00AB49BC"/>
    <w:rsid w:val="00AB4DEE"/>
    <w:rsid w:val="00AB4E32"/>
    <w:rsid w:val="00AB5649"/>
    <w:rsid w:val="00AB5C19"/>
    <w:rsid w:val="00AB6534"/>
    <w:rsid w:val="00AB724B"/>
    <w:rsid w:val="00AB726C"/>
    <w:rsid w:val="00AB72B4"/>
    <w:rsid w:val="00AB7B86"/>
    <w:rsid w:val="00AC02AA"/>
    <w:rsid w:val="00AC0537"/>
    <w:rsid w:val="00AC0A84"/>
    <w:rsid w:val="00AC1508"/>
    <w:rsid w:val="00AC2A0B"/>
    <w:rsid w:val="00AC2BEE"/>
    <w:rsid w:val="00AC2E53"/>
    <w:rsid w:val="00AC484F"/>
    <w:rsid w:val="00AC4B20"/>
    <w:rsid w:val="00AC56F2"/>
    <w:rsid w:val="00AC71C3"/>
    <w:rsid w:val="00AC7AC6"/>
    <w:rsid w:val="00AD09F7"/>
    <w:rsid w:val="00AD1EFA"/>
    <w:rsid w:val="00AD2072"/>
    <w:rsid w:val="00AD2DBD"/>
    <w:rsid w:val="00AD2FBF"/>
    <w:rsid w:val="00AD31F5"/>
    <w:rsid w:val="00AD33AC"/>
    <w:rsid w:val="00AD340E"/>
    <w:rsid w:val="00AD455D"/>
    <w:rsid w:val="00AD463C"/>
    <w:rsid w:val="00AD4F60"/>
    <w:rsid w:val="00AD5044"/>
    <w:rsid w:val="00AD5114"/>
    <w:rsid w:val="00AD6236"/>
    <w:rsid w:val="00AD69D5"/>
    <w:rsid w:val="00AD6CF7"/>
    <w:rsid w:val="00AD7619"/>
    <w:rsid w:val="00AD7770"/>
    <w:rsid w:val="00AD7BE4"/>
    <w:rsid w:val="00AE04B0"/>
    <w:rsid w:val="00AE1772"/>
    <w:rsid w:val="00AE1990"/>
    <w:rsid w:val="00AE249C"/>
    <w:rsid w:val="00AE25C0"/>
    <w:rsid w:val="00AE25E8"/>
    <w:rsid w:val="00AE2AD4"/>
    <w:rsid w:val="00AE2CA7"/>
    <w:rsid w:val="00AE2F1D"/>
    <w:rsid w:val="00AE4C81"/>
    <w:rsid w:val="00AE534E"/>
    <w:rsid w:val="00AE57E3"/>
    <w:rsid w:val="00AE586F"/>
    <w:rsid w:val="00AE6582"/>
    <w:rsid w:val="00AE6DC5"/>
    <w:rsid w:val="00AE6E4D"/>
    <w:rsid w:val="00AE7686"/>
    <w:rsid w:val="00AE799A"/>
    <w:rsid w:val="00AF041E"/>
    <w:rsid w:val="00AF0E81"/>
    <w:rsid w:val="00AF117A"/>
    <w:rsid w:val="00AF15A7"/>
    <w:rsid w:val="00AF16CA"/>
    <w:rsid w:val="00AF186E"/>
    <w:rsid w:val="00AF19DF"/>
    <w:rsid w:val="00AF1D41"/>
    <w:rsid w:val="00AF26CF"/>
    <w:rsid w:val="00AF2CC5"/>
    <w:rsid w:val="00AF344D"/>
    <w:rsid w:val="00AF39B3"/>
    <w:rsid w:val="00AF4402"/>
    <w:rsid w:val="00AF4639"/>
    <w:rsid w:val="00AF4E92"/>
    <w:rsid w:val="00AF554B"/>
    <w:rsid w:val="00AF5C9B"/>
    <w:rsid w:val="00AF5CED"/>
    <w:rsid w:val="00AF5D53"/>
    <w:rsid w:val="00AF5E2D"/>
    <w:rsid w:val="00AF644B"/>
    <w:rsid w:val="00AF69EB"/>
    <w:rsid w:val="00AF6CA6"/>
    <w:rsid w:val="00AF6EB6"/>
    <w:rsid w:val="00AF7796"/>
    <w:rsid w:val="00AF7EA2"/>
    <w:rsid w:val="00B011A7"/>
    <w:rsid w:val="00B011A9"/>
    <w:rsid w:val="00B01BAF"/>
    <w:rsid w:val="00B024ED"/>
    <w:rsid w:val="00B026B8"/>
    <w:rsid w:val="00B02B49"/>
    <w:rsid w:val="00B02EB3"/>
    <w:rsid w:val="00B02FCB"/>
    <w:rsid w:val="00B033F8"/>
    <w:rsid w:val="00B03C1E"/>
    <w:rsid w:val="00B04259"/>
    <w:rsid w:val="00B043FA"/>
    <w:rsid w:val="00B04400"/>
    <w:rsid w:val="00B04835"/>
    <w:rsid w:val="00B053A0"/>
    <w:rsid w:val="00B05A55"/>
    <w:rsid w:val="00B05DE1"/>
    <w:rsid w:val="00B06595"/>
    <w:rsid w:val="00B06C81"/>
    <w:rsid w:val="00B07439"/>
    <w:rsid w:val="00B10109"/>
    <w:rsid w:val="00B1029D"/>
    <w:rsid w:val="00B10776"/>
    <w:rsid w:val="00B1085E"/>
    <w:rsid w:val="00B10FD1"/>
    <w:rsid w:val="00B1125B"/>
    <w:rsid w:val="00B117EC"/>
    <w:rsid w:val="00B11E1D"/>
    <w:rsid w:val="00B11F65"/>
    <w:rsid w:val="00B1219D"/>
    <w:rsid w:val="00B12735"/>
    <w:rsid w:val="00B12F44"/>
    <w:rsid w:val="00B13C48"/>
    <w:rsid w:val="00B13E35"/>
    <w:rsid w:val="00B13EC0"/>
    <w:rsid w:val="00B14102"/>
    <w:rsid w:val="00B14D32"/>
    <w:rsid w:val="00B1557C"/>
    <w:rsid w:val="00B155DC"/>
    <w:rsid w:val="00B15766"/>
    <w:rsid w:val="00B15E4A"/>
    <w:rsid w:val="00B1666A"/>
    <w:rsid w:val="00B1686D"/>
    <w:rsid w:val="00B16B4F"/>
    <w:rsid w:val="00B16BF7"/>
    <w:rsid w:val="00B17084"/>
    <w:rsid w:val="00B17129"/>
    <w:rsid w:val="00B1741D"/>
    <w:rsid w:val="00B17447"/>
    <w:rsid w:val="00B1771D"/>
    <w:rsid w:val="00B1773E"/>
    <w:rsid w:val="00B17B91"/>
    <w:rsid w:val="00B20209"/>
    <w:rsid w:val="00B203C9"/>
    <w:rsid w:val="00B2088D"/>
    <w:rsid w:val="00B208FF"/>
    <w:rsid w:val="00B20943"/>
    <w:rsid w:val="00B22E22"/>
    <w:rsid w:val="00B22F5F"/>
    <w:rsid w:val="00B231D9"/>
    <w:rsid w:val="00B23813"/>
    <w:rsid w:val="00B23FD9"/>
    <w:rsid w:val="00B24342"/>
    <w:rsid w:val="00B24591"/>
    <w:rsid w:val="00B245D5"/>
    <w:rsid w:val="00B245EF"/>
    <w:rsid w:val="00B2464D"/>
    <w:rsid w:val="00B24C36"/>
    <w:rsid w:val="00B24DE5"/>
    <w:rsid w:val="00B24F94"/>
    <w:rsid w:val="00B25126"/>
    <w:rsid w:val="00B25A52"/>
    <w:rsid w:val="00B25FC3"/>
    <w:rsid w:val="00B263B3"/>
    <w:rsid w:val="00B27875"/>
    <w:rsid w:val="00B30001"/>
    <w:rsid w:val="00B3008D"/>
    <w:rsid w:val="00B3050F"/>
    <w:rsid w:val="00B30E11"/>
    <w:rsid w:val="00B30EAE"/>
    <w:rsid w:val="00B30EEB"/>
    <w:rsid w:val="00B31423"/>
    <w:rsid w:val="00B31EE2"/>
    <w:rsid w:val="00B323E0"/>
    <w:rsid w:val="00B32DC0"/>
    <w:rsid w:val="00B3346C"/>
    <w:rsid w:val="00B335E4"/>
    <w:rsid w:val="00B33983"/>
    <w:rsid w:val="00B33C23"/>
    <w:rsid w:val="00B345B4"/>
    <w:rsid w:val="00B348B1"/>
    <w:rsid w:val="00B34A28"/>
    <w:rsid w:val="00B34BE2"/>
    <w:rsid w:val="00B34DF5"/>
    <w:rsid w:val="00B34E51"/>
    <w:rsid w:val="00B35046"/>
    <w:rsid w:val="00B35B6A"/>
    <w:rsid w:val="00B36114"/>
    <w:rsid w:val="00B36D2B"/>
    <w:rsid w:val="00B37171"/>
    <w:rsid w:val="00B37657"/>
    <w:rsid w:val="00B37AFD"/>
    <w:rsid w:val="00B37B07"/>
    <w:rsid w:val="00B4046F"/>
    <w:rsid w:val="00B406B3"/>
    <w:rsid w:val="00B40A36"/>
    <w:rsid w:val="00B40F3D"/>
    <w:rsid w:val="00B40FBD"/>
    <w:rsid w:val="00B41D39"/>
    <w:rsid w:val="00B422C0"/>
    <w:rsid w:val="00B4231D"/>
    <w:rsid w:val="00B426CA"/>
    <w:rsid w:val="00B426E1"/>
    <w:rsid w:val="00B4387A"/>
    <w:rsid w:val="00B44746"/>
    <w:rsid w:val="00B44854"/>
    <w:rsid w:val="00B44BA5"/>
    <w:rsid w:val="00B458D0"/>
    <w:rsid w:val="00B46915"/>
    <w:rsid w:val="00B46A84"/>
    <w:rsid w:val="00B471FE"/>
    <w:rsid w:val="00B4792C"/>
    <w:rsid w:val="00B50CAE"/>
    <w:rsid w:val="00B512AD"/>
    <w:rsid w:val="00B5196C"/>
    <w:rsid w:val="00B51D2C"/>
    <w:rsid w:val="00B525CB"/>
    <w:rsid w:val="00B52697"/>
    <w:rsid w:val="00B537EA"/>
    <w:rsid w:val="00B54D8F"/>
    <w:rsid w:val="00B55857"/>
    <w:rsid w:val="00B55C69"/>
    <w:rsid w:val="00B56851"/>
    <w:rsid w:val="00B569D4"/>
    <w:rsid w:val="00B56BA8"/>
    <w:rsid w:val="00B56D6E"/>
    <w:rsid w:val="00B572F7"/>
    <w:rsid w:val="00B57B9D"/>
    <w:rsid w:val="00B57DAF"/>
    <w:rsid w:val="00B60094"/>
    <w:rsid w:val="00B6022C"/>
    <w:rsid w:val="00B614F8"/>
    <w:rsid w:val="00B61994"/>
    <w:rsid w:val="00B61FD4"/>
    <w:rsid w:val="00B62880"/>
    <w:rsid w:val="00B63872"/>
    <w:rsid w:val="00B63C29"/>
    <w:rsid w:val="00B63CB2"/>
    <w:rsid w:val="00B64246"/>
    <w:rsid w:val="00B64D66"/>
    <w:rsid w:val="00B64EDB"/>
    <w:rsid w:val="00B65010"/>
    <w:rsid w:val="00B65938"/>
    <w:rsid w:val="00B65C8A"/>
    <w:rsid w:val="00B65CE2"/>
    <w:rsid w:val="00B660AD"/>
    <w:rsid w:val="00B66109"/>
    <w:rsid w:val="00B66349"/>
    <w:rsid w:val="00B663F4"/>
    <w:rsid w:val="00B66CB4"/>
    <w:rsid w:val="00B67903"/>
    <w:rsid w:val="00B67FBF"/>
    <w:rsid w:val="00B70832"/>
    <w:rsid w:val="00B71376"/>
    <w:rsid w:val="00B71617"/>
    <w:rsid w:val="00B716D7"/>
    <w:rsid w:val="00B72110"/>
    <w:rsid w:val="00B7276A"/>
    <w:rsid w:val="00B72B91"/>
    <w:rsid w:val="00B73019"/>
    <w:rsid w:val="00B7315F"/>
    <w:rsid w:val="00B7323A"/>
    <w:rsid w:val="00B7353B"/>
    <w:rsid w:val="00B737FB"/>
    <w:rsid w:val="00B73E5D"/>
    <w:rsid w:val="00B73EF3"/>
    <w:rsid w:val="00B7423D"/>
    <w:rsid w:val="00B74D05"/>
    <w:rsid w:val="00B75893"/>
    <w:rsid w:val="00B7654F"/>
    <w:rsid w:val="00B775A8"/>
    <w:rsid w:val="00B777FA"/>
    <w:rsid w:val="00B77850"/>
    <w:rsid w:val="00B7796B"/>
    <w:rsid w:val="00B80BFD"/>
    <w:rsid w:val="00B80C72"/>
    <w:rsid w:val="00B81586"/>
    <w:rsid w:val="00B81964"/>
    <w:rsid w:val="00B81BCE"/>
    <w:rsid w:val="00B81E6F"/>
    <w:rsid w:val="00B82123"/>
    <w:rsid w:val="00B8225B"/>
    <w:rsid w:val="00B82BB5"/>
    <w:rsid w:val="00B83182"/>
    <w:rsid w:val="00B839F0"/>
    <w:rsid w:val="00B84769"/>
    <w:rsid w:val="00B848D0"/>
    <w:rsid w:val="00B851E4"/>
    <w:rsid w:val="00B854CE"/>
    <w:rsid w:val="00B85681"/>
    <w:rsid w:val="00B857EB"/>
    <w:rsid w:val="00B86162"/>
    <w:rsid w:val="00B86877"/>
    <w:rsid w:val="00B8695D"/>
    <w:rsid w:val="00B86E66"/>
    <w:rsid w:val="00B873BA"/>
    <w:rsid w:val="00B8746F"/>
    <w:rsid w:val="00B8760D"/>
    <w:rsid w:val="00B87706"/>
    <w:rsid w:val="00B87BC5"/>
    <w:rsid w:val="00B87F7B"/>
    <w:rsid w:val="00B90A49"/>
    <w:rsid w:val="00B90A73"/>
    <w:rsid w:val="00B90E0D"/>
    <w:rsid w:val="00B91B8E"/>
    <w:rsid w:val="00B91DFA"/>
    <w:rsid w:val="00B92531"/>
    <w:rsid w:val="00B92618"/>
    <w:rsid w:val="00B92751"/>
    <w:rsid w:val="00B92B69"/>
    <w:rsid w:val="00B92CC6"/>
    <w:rsid w:val="00B935C9"/>
    <w:rsid w:val="00B9367B"/>
    <w:rsid w:val="00B93E3D"/>
    <w:rsid w:val="00B940BC"/>
    <w:rsid w:val="00B95464"/>
    <w:rsid w:val="00B95C30"/>
    <w:rsid w:val="00B95E3D"/>
    <w:rsid w:val="00B9691F"/>
    <w:rsid w:val="00B96EEC"/>
    <w:rsid w:val="00B97392"/>
    <w:rsid w:val="00B97669"/>
    <w:rsid w:val="00B976C7"/>
    <w:rsid w:val="00BA0B40"/>
    <w:rsid w:val="00BA0C54"/>
    <w:rsid w:val="00BA0E5F"/>
    <w:rsid w:val="00BA1382"/>
    <w:rsid w:val="00BA15E3"/>
    <w:rsid w:val="00BA1A8C"/>
    <w:rsid w:val="00BA20D8"/>
    <w:rsid w:val="00BA2140"/>
    <w:rsid w:val="00BA22FC"/>
    <w:rsid w:val="00BA290F"/>
    <w:rsid w:val="00BA2C2A"/>
    <w:rsid w:val="00BA2F30"/>
    <w:rsid w:val="00BA3982"/>
    <w:rsid w:val="00BA3BF9"/>
    <w:rsid w:val="00BA3F04"/>
    <w:rsid w:val="00BA4771"/>
    <w:rsid w:val="00BA5027"/>
    <w:rsid w:val="00BA59F2"/>
    <w:rsid w:val="00BA63DB"/>
    <w:rsid w:val="00BA665B"/>
    <w:rsid w:val="00BA6FE8"/>
    <w:rsid w:val="00BA732D"/>
    <w:rsid w:val="00BA7370"/>
    <w:rsid w:val="00BA778B"/>
    <w:rsid w:val="00BA7E10"/>
    <w:rsid w:val="00BB0888"/>
    <w:rsid w:val="00BB0DF1"/>
    <w:rsid w:val="00BB0E81"/>
    <w:rsid w:val="00BB0E9B"/>
    <w:rsid w:val="00BB19CD"/>
    <w:rsid w:val="00BB2841"/>
    <w:rsid w:val="00BB300F"/>
    <w:rsid w:val="00BB32C9"/>
    <w:rsid w:val="00BB35C5"/>
    <w:rsid w:val="00BB4C8E"/>
    <w:rsid w:val="00BB57ED"/>
    <w:rsid w:val="00BB65C3"/>
    <w:rsid w:val="00BB662E"/>
    <w:rsid w:val="00BB67A9"/>
    <w:rsid w:val="00BB6C01"/>
    <w:rsid w:val="00BB7198"/>
    <w:rsid w:val="00BB7942"/>
    <w:rsid w:val="00BB7A1E"/>
    <w:rsid w:val="00BB7CD1"/>
    <w:rsid w:val="00BC0F33"/>
    <w:rsid w:val="00BC14A7"/>
    <w:rsid w:val="00BC17CC"/>
    <w:rsid w:val="00BC2898"/>
    <w:rsid w:val="00BC2928"/>
    <w:rsid w:val="00BC29BD"/>
    <w:rsid w:val="00BC2BB1"/>
    <w:rsid w:val="00BC34A3"/>
    <w:rsid w:val="00BC3FF9"/>
    <w:rsid w:val="00BC44B8"/>
    <w:rsid w:val="00BC4834"/>
    <w:rsid w:val="00BC4944"/>
    <w:rsid w:val="00BC4A97"/>
    <w:rsid w:val="00BC4E15"/>
    <w:rsid w:val="00BC5A25"/>
    <w:rsid w:val="00BC5FDD"/>
    <w:rsid w:val="00BC68B4"/>
    <w:rsid w:val="00BC6C4E"/>
    <w:rsid w:val="00BC73A7"/>
    <w:rsid w:val="00BC7BC1"/>
    <w:rsid w:val="00BD0140"/>
    <w:rsid w:val="00BD02CC"/>
    <w:rsid w:val="00BD088E"/>
    <w:rsid w:val="00BD0F18"/>
    <w:rsid w:val="00BD194C"/>
    <w:rsid w:val="00BD2063"/>
    <w:rsid w:val="00BD33D9"/>
    <w:rsid w:val="00BD38C5"/>
    <w:rsid w:val="00BD3DEA"/>
    <w:rsid w:val="00BD3E97"/>
    <w:rsid w:val="00BD40E4"/>
    <w:rsid w:val="00BD4385"/>
    <w:rsid w:val="00BD4550"/>
    <w:rsid w:val="00BD52FE"/>
    <w:rsid w:val="00BD57F8"/>
    <w:rsid w:val="00BD5FD5"/>
    <w:rsid w:val="00BD62CF"/>
    <w:rsid w:val="00BD67B2"/>
    <w:rsid w:val="00BD68E2"/>
    <w:rsid w:val="00BD6A55"/>
    <w:rsid w:val="00BD6C11"/>
    <w:rsid w:val="00BD76E5"/>
    <w:rsid w:val="00BD78FE"/>
    <w:rsid w:val="00BD7D10"/>
    <w:rsid w:val="00BD7D8A"/>
    <w:rsid w:val="00BE0149"/>
    <w:rsid w:val="00BE0767"/>
    <w:rsid w:val="00BE12D7"/>
    <w:rsid w:val="00BE1372"/>
    <w:rsid w:val="00BE1775"/>
    <w:rsid w:val="00BE18DA"/>
    <w:rsid w:val="00BE26C0"/>
    <w:rsid w:val="00BE3442"/>
    <w:rsid w:val="00BE37CD"/>
    <w:rsid w:val="00BE47B2"/>
    <w:rsid w:val="00BE488E"/>
    <w:rsid w:val="00BE48C7"/>
    <w:rsid w:val="00BE48F2"/>
    <w:rsid w:val="00BE4C4F"/>
    <w:rsid w:val="00BE4F66"/>
    <w:rsid w:val="00BE5238"/>
    <w:rsid w:val="00BE6074"/>
    <w:rsid w:val="00BE7257"/>
    <w:rsid w:val="00BF020D"/>
    <w:rsid w:val="00BF0609"/>
    <w:rsid w:val="00BF0B16"/>
    <w:rsid w:val="00BF0E64"/>
    <w:rsid w:val="00BF0EE8"/>
    <w:rsid w:val="00BF1DD2"/>
    <w:rsid w:val="00BF23A3"/>
    <w:rsid w:val="00BF2A7E"/>
    <w:rsid w:val="00BF3331"/>
    <w:rsid w:val="00BF3A45"/>
    <w:rsid w:val="00BF436F"/>
    <w:rsid w:val="00BF5C05"/>
    <w:rsid w:val="00BF6FC6"/>
    <w:rsid w:val="00BF7C52"/>
    <w:rsid w:val="00BF7F99"/>
    <w:rsid w:val="00C00713"/>
    <w:rsid w:val="00C009A0"/>
    <w:rsid w:val="00C018E1"/>
    <w:rsid w:val="00C01912"/>
    <w:rsid w:val="00C01F74"/>
    <w:rsid w:val="00C02558"/>
    <w:rsid w:val="00C0285F"/>
    <w:rsid w:val="00C02F35"/>
    <w:rsid w:val="00C03305"/>
    <w:rsid w:val="00C03515"/>
    <w:rsid w:val="00C03738"/>
    <w:rsid w:val="00C037A6"/>
    <w:rsid w:val="00C043F5"/>
    <w:rsid w:val="00C044E3"/>
    <w:rsid w:val="00C04607"/>
    <w:rsid w:val="00C04BDB"/>
    <w:rsid w:val="00C052C6"/>
    <w:rsid w:val="00C05A61"/>
    <w:rsid w:val="00C05FEE"/>
    <w:rsid w:val="00C06CCF"/>
    <w:rsid w:val="00C06F3F"/>
    <w:rsid w:val="00C0794D"/>
    <w:rsid w:val="00C10688"/>
    <w:rsid w:val="00C10E78"/>
    <w:rsid w:val="00C114A0"/>
    <w:rsid w:val="00C1159D"/>
    <w:rsid w:val="00C1233E"/>
    <w:rsid w:val="00C123F6"/>
    <w:rsid w:val="00C12475"/>
    <w:rsid w:val="00C12FB3"/>
    <w:rsid w:val="00C138BC"/>
    <w:rsid w:val="00C13BFD"/>
    <w:rsid w:val="00C13D85"/>
    <w:rsid w:val="00C14639"/>
    <w:rsid w:val="00C14E82"/>
    <w:rsid w:val="00C14FF6"/>
    <w:rsid w:val="00C15A85"/>
    <w:rsid w:val="00C1637C"/>
    <w:rsid w:val="00C1641B"/>
    <w:rsid w:val="00C165FC"/>
    <w:rsid w:val="00C1684D"/>
    <w:rsid w:val="00C17109"/>
    <w:rsid w:val="00C17492"/>
    <w:rsid w:val="00C176D5"/>
    <w:rsid w:val="00C17D24"/>
    <w:rsid w:val="00C2082C"/>
    <w:rsid w:val="00C20EB0"/>
    <w:rsid w:val="00C21004"/>
    <w:rsid w:val="00C21005"/>
    <w:rsid w:val="00C220B6"/>
    <w:rsid w:val="00C22D7C"/>
    <w:rsid w:val="00C22DDE"/>
    <w:rsid w:val="00C2338B"/>
    <w:rsid w:val="00C233CE"/>
    <w:rsid w:val="00C23639"/>
    <w:rsid w:val="00C237DD"/>
    <w:rsid w:val="00C238F4"/>
    <w:rsid w:val="00C23A99"/>
    <w:rsid w:val="00C245EE"/>
    <w:rsid w:val="00C24AE1"/>
    <w:rsid w:val="00C24B8D"/>
    <w:rsid w:val="00C24BD7"/>
    <w:rsid w:val="00C25813"/>
    <w:rsid w:val="00C27143"/>
    <w:rsid w:val="00C272CE"/>
    <w:rsid w:val="00C27490"/>
    <w:rsid w:val="00C27D37"/>
    <w:rsid w:val="00C30945"/>
    <w:rsid w:val="00C309E8"/>
    <w:rsid w:val="00C3188F"/>
    <w:rsid w:val="00C31EEA"/>
    <w:rsid w:val="00C32017"/>
    <w:rsid w:val="00C32571"/>
    <w:rsid w:val="00C325CD"/>
    <w:rsid w:val="00C3322E"/>
    <w:rsid w:val="00C332AD"/>
    <w:rsid w:val="00C337F5"/>
    <w:rsid w:val="00C33B90"/>
    <w:rsid w:val="00C34161"/>
    <w:rsid w:val="00C34B5F"/>
    <w:rsid w:val="00C358D4"/>
    <w:rsid w:val="00C35AAA"/>
    <w:rsid w:val="00C365C6"/>
    <w:rsid w:val="00C366F4"/>
    <w:rsid w:val="00C36785"/>
    <w:rsid w:val="00C36D17"/>
    <w:rsid w:val="00C3711C"/>
    <w:rsid w:val="00C37256"/>
    <w:rsid w:val="00C37A7B"/>
    <w:rsid w:val="00C37FFE"/>
    <w:rsid w:val="00C40B50"/>
    <w:rsid w:val="00C41348"/>
    <w:rsid w:val="00C419E3"/>
    <w:rsid w:val="00C419F4"/>
    <w:rsid w:val="00C41E6A"/>
    <w:rsid w:val="00C42093"/>
    <w:rsid w:val="00C42247"/>
    <w:rsid w:val="00C439BE"/>
    <w:rsid w:val="00C4494B"/>
    <w:rsid w:val="00C4539B"/>
    <w:rsid w:val="00C45466"/>
    <w:rsid w:val="00C454EB"/>
    <w:rsid w:val="00C455C1"/>
    <w:rsid w:val="00C4581D"/>
    <w:rsid w:val="00C45FE3"/>
    <w:rsid w:val="00C46269"/>
    <w:rsid w:val="00C47472"/>
    <w:rsid w:val="00C500F0"/>
    <w:rsid w:val="00C50168"/>
    <w:rsid w:val="00C504A7"/>
    <w:rsid w:val="00C506C9"/>
    <w:rsid w:val="00C50A16"/>
    <w:rsid w:val="00C51C9A"/>
    <w:rsid w:val="00C51FAA"/>
    <w:rsid w:val="00C52C68"/>
    <w:rsid w:val="00C52D98"/>
    <w:rsid w:val="00C52DA1"/>
    <w:rsid w:val="00C53D24"/>
    <w:rsid w:val="00C54640"/>
    <w:rsid w:val="00C547A6"/>
    <w:rsid w:val="00C54A3A"/>
    <w:rsid w:val="00C55B52"/>
    <w:rsid w:val="00C55C32"/>
    <w:rsid w:val="00C56976"/>
    <w:rsid w:val="00C56A67"/>
    <w:rsid w:val="00C56CC2"/>
    <w:rsid w:val="00C57498"/>
    <w:rsid w:val="00C5763C"/>
    <w:rsid w:val="00C5780C"/>
    <w:rsid w:val="00C5796B"/>
    <w:rsid w:val="00C61228"/>
    <w:rsid w:val="00C612C4"/>
    <w:rsid w:val="00C619A1"/>
    <w:rsid w:val="00C61B46"/>
    <w:rsid w:val="00C62027"/>
    <w:rsid w:val="00C621FC"/>
    <w:rsid w:val="00C62370"/>
    <w:rsid w:val="00C62BBB"/>
    <w:rsid w:val="00C6305F"/>
    <w:rsid w:val="00C6325B"/>
    <w:rsid w:val="00C63E99"/>
    <w:rsid w:val="00C649B8"/>
    <w:rsid w:val="00C64A64"/>
    <w:rsid w:val="00C65151"/>
    <w:rsid w:val="00C657F4"/>
    <w:rsid w:val="00C6598D"/>
    <w:rsid w:val="00C660FE"/>
    <w:rsid w:val="00C66119"/>
    <w:rsid w:val="00C66292"/>
    <w:rsid w:val="00C672A3"/>
    <w:rsid w:val="00C672F1"/>
    <w:rsid w:val="00C673D0"/>
    <w:rsid w:val="00C6742E"/>
    <w:rsid w:val="00C67B0B"/>
    <w:rsid w:val="00C67D3B"/>
    <w:rsid w:val="00C70012"/>
    <w:rsid w:val="00C71C91"/>
    <w:rsid w:val="00C71E2A"/>
    <w:rsid w:val="00C733BA"/>
    <w:rsid w:val="00C760DC"/>
    <w:rsid w:val="00C762D5"/>
    <w:rsid w:val="00C767D6"/>
    <w:rsid w:val="00C76931"/>
    <w:rsid w:val="00C802F2"/>
    <w:rsid w:val="00C8082B"/>
    <w:rsid w:val="00C812CE"/>
    <w:rsid w:val="00C81A88"/>
    <w:rsid w:val="00C81D46"/>
    <w:rsid w:val="00C82298"/>
    <w:rsid w:val="00C82A80"/>
    <w:rsid w:val="00C833B4"/>
    <w:rsid w:val="00C838B0"/>
    <w:rsid w:val="00C83D95"/>
    <w:rsid w:val="00C84284"/>
    <w:rsid w:val="00C84B35"/>
    <w:rsid w:val="00C84E33"/>
    <w:rsid w:val="00C85FFC"/>
    <w:rsid w:val="00C861FC"/>
    <w:rsid w:val="00C86C87"/>
    <w:rsid w:val="00C87F29"/>
    <w:rsid w:val="00C9005E"/>
    <w:rsid w:val="00C90111"/>
    <w:rsid w:val="00C9038E"/>
    <w:rsid w:val="00C9077B"/>
    <w:rsid w:val="00C90CA9"/>
    <w:rsid w:val="00C90F88"/>
    <w:rsid w:val="00C915F2"/>
    <w:rsid w:val="00C917B1"/>
    <w:rsid w:val="00C9193C"/>
    <w:rsid w:val="00C91AB6"/>
    <w:rsid w:val="00C91B77"/>
    <w:rsid w:val="00C920E2"/>
    <w:rsid w:val="00C926E0"/>
    <w:rsid w:val="00C93765"/>
    <w:rsid w:val="00C93877"/>
    <w:rsid w:val="00C93D8C"/>
    <w:rsid w:val="00C93E07"/>
    <w:rsid w:val="00C946CC"/>
    <w:rsid w:val="00C959BD"/>
    <w:rsid w:val="00C95DFE"/>
    <w:rsid w:val="00C95F44"/>
    <w:rsid w:val="00C96201"/>
    <w:rsid w:val="00C96D1B"/>
    <w:rsid w:val="00C97106"/>
    <w:rsid w:val="00C978D4"/>
    <w:rsid w:val="00C979B3"/>
    <w:rsid w:val="00CA0031"/>
    <w:rsid w:val="00CA00DE"/>
    <w:rsid w:val="00CA0413"/>
    <w:rsid w:val="00CA043A"/>
    <w:rsid w:val="00CA0CBA"/>
    <w:rsid w:val="00CA0E51"/>
    <w:rsid w:val="00CA0E81"/>
    <w:rsid w:val="00CA1691"/>
    <w:rsid w:val="00CA25D0"/>
    <w:rsid w:val="00CA2738"/>
    <w:rsid w:val="00CA2798"/>
    <w:rsid w:val="00CA2D2E"/>
    <w:rsid w:val="00CA2D98"/>
    <w:rsid w:val="00CA41E7"/>
    <w:rsid w:val="00CA4A99"/>
    <w:rsid w:val="00CA5520"/>
    <w:rsid w:val="00CA5812"/>
    <w:rsid w:val="00CA5BD4"/>
    <w:rsid w:val="00CA5C14"/>
    <w:rsid w:val="00CA76FC"/>
    <w:rsid w:val="00CA781A"/>
    <w:rsid w:val="00CA7E7B"/>
    <w:rsid w:val="00CB0236"/>
    <w:rsid w:val="00CB1969"/>
    <w:rsid w:val="00CB19E3"/>
    <w:rsid w:val="00CB1B20"/>
    <w:rsid w:val="00CB2AE8"/>
    <w:rsid w:val="00CB2C3A"/>
    <w:rsid w:val="00CB2D38"/>
    <w:rsid w:val="00CB39CD"/>
    <w:rsid w:val="00CB4137"/>
    <w:rsid w:val="00CB4378"/>
    <w:rsid w:val="00CB44BD"/>
    <w:rsid w:val="00CB52D0"/>
    <w:rsid w:val="00CB5578"/>
    <w:rsid w:val="00CB5671"/>
    <w:rsid w:val="00CB591C"/>
    <w:rsid w:val="00CB5943"/>
    <w:rsid w:val="00CB61B3"/>
    <w:rsid w:val="00CB6F83"/>
    <w:rsid w:val="00CB72AE"/>
    <w:rsid w:val="00CC00CD"/>
    <w:rsid w:val="00CC0579"/>
    <w:rsid w:val="00CC0723"/>
    <w:rsid w:val="00CC0AF3"/>
    <w:rsid w:val="00CC0BC6"/>
    <w:rsid w:val="00CC0E68"/>
    <w:rsid w:val="00CC0EEA"/>
    <w:rsid w:val="00CC1780"/>
    <w:rsid w:val="00CC194E"/>
    <w:rsid w:val="00CC21AC"/>
    <w:rsid w:val="00CC232E"/>
    <w:rsid w:val="00CC2514"/>
    <w:rsid w:val="00CC2D34"/>
    <w:rsid w:val="00CC2F69"/>
    <w:rsid w:val="00CC315F"/>
    <w:rsid w:val="00CC390A"/>
    <w:rsid w:val="00CC3D38"/>
    <w:rsid w:val="00CC40C3"/>
    <w:rsid w:val="00CC4E5D"/>
    <w:rsid w:val="00CC50AE"/>
    <w:rsid w:val="00CC5FFE"/>
    <w:rsid w:val="00CC61B7"/>
    <w:rsid w:val="00CC61CA"/>
    <w:rsid w:val="00CC69EC"/>
    <w:rsid w:val="00CC71D3"/>
    <w:rsid w:val="00CC7414"/>
    <w:rsid w:val="00CC743D"/>
    <w:rsid w:val="00CC7A62"/>
    <w:rsid w:val="00CD050A"/>
    <w:rsid w:val="00CD1017"/>
    <w:rsid w:val="00CD205D"/>
    <w:rsid w:val="00CD2A22"/>
    <w:rsid w:val="00CD2B50"/>
    <w:rsid w:val="00CD3172"/>
    <w:rsid w:val="00CD3E1C"/>
    <w:rsid w:val="00CD405C"/>
    <w:rsid w:val="00CD4506"/>
    <w:rsid w:val="00CD520B"/>
    <w:rsid w:val="00CD5831"/>
    <w:rsid w:val="00CD592E"/>
    <w:rsid w:val="00CD5982"/>
    <w:rsid w:val="00CD5A1A"/>
    <w:rsid w:val="00CD7EFA"/>
    <w:rsid w:val="00CE020E"/>
    <w:rsid w:val="00CE0566"/>
    <w:rsid w:val="00CE0B60"/>
    <w:rsid w:val="00CE1CD4"/>
    <w:rsid w:val="00CE2761"/>
    <w:rsid w:val="00CE28FC"/>
    <w:rsid w:val="00CE2C18"/>
    <w:rsid w:val="00CE314E"/>
    <w:rsid w:val="00CE38BF"/>
    <w:rsid w:val="00CE3D5C"/>
    <w:rsid w:val="00CE3E09"/>
    <w:rsid w:val="00CE3E14"/>
    <w:rsid w:val="00CE4176"/>
    <w:rsid w:val="00CE44C7"/>
    <w:rsid w:val="00CE53B7"/>
    <w:rsid w:val="00CE53CC"/>
    <w:rsid w:val="00CE5829"/>
    <w:rsid w:val="00CE65A7"/>
    <w:rsid w:val="00CE68FE"/>
    <w:rsid w:val="00CE697B"/>
    <w:rsid w:val="00CE69CC"/>
    <w:rsid w:val="00CE6A78"/>
    <w:rsid w:val="00CE6EC4"/>
    <w:rsid w:val="00CE7F26"/>
    <w:rsid w:val="00CF0A8D"/>
    <w:rsid w:val="00CF1226"/>
    <w:rsid w:val="00CF1ABB"/>
    <w:rsid w:val="00CF1BCA"/>
    <w:rsid w:val="00CF1E1D"/>
    <w:rsid w:val="00CF24FE"/>
    <w:rsid w:val="00CF287F"/>
    <w:rsid w:val="00CF2F00"/>
    <w:rsid w:val="00CF35D0"/>
    <w:rsid w:val="00CF3B57"/>
    <w:rsid w:val="00CF3DD5"/>
    <w:rsid w:val="00CF3FF9"/>
    <w:rsid w:val="00CF481B"/>
    <w:rsid w:val="00CF4AF7"/>
    <w:rsid w:val="00CF4D20"/>
    <w:rsid w:val="00CF4D64"/>
    <w:rsid w:val="00CF73F8"/>
    <w:rsid w:val="00CF7928"/>
    <w:rsid w:val="00CF7CA2"/>
    <w:rsid w:val="00D00911"/>
    <w:rsid w:val="00D00A8E"/>
    <w:rsid w:val="00D00DE0"/>
    <w:rsid w:val="00D00F79"/>
    <w:rsid w:val="00D012B1"/>
    <w:rsid w:val="00D012BF"/>
    <w:rsid w:val="00D01760"/>
    <w:rsid w:val="00D02FA8"/>
    <w:rsid w:val="00D030BD"/>
    <w:rsid w:val="00D0368E"/>
    <w:rsid w:val="00D0393E"/>
    <w:rsid w:val="00D03AC3"/>
    <w:rsid w:val="00D03D2D"/>
    <w:rsid w:val="00D03E7B"/>
    <w:rsid w:val="00D0401A"/>
    <w:rsid w:val="00D04283"/>
    <w:rsid w:val="00D046C1"/>
    <w:rsid w:val="00D047E0"/>
    <w:rsid w:val="00D04B9F"/>
    <w:rsid w:val="00D04FFB"/>
    <w:rsid w:val="00D055FE"/>
    <w:rsid w:val="00D058E9"/>
    <w:rsid w:val="00D0612A"/>
    <w:rsid w:val="00D06E6B"/>
    <w:rsid w:val="00D06F14"/>
    <w:rsid w:val="00D07315"/>
    <w:rsid w:val="00D07FA1"/>
    <w:rsid w:val="00D1060D"/>
    <w:rsid w:val="00D10E7C"/>
    <w:rsid w:val="00D11182"/>
    <w:rsid w:val="00D1137B"/>
    <w:rsid w:val="00D11807"/>
    <w:rsid w:val="00D119AA"/>
    <w:rsid w:val="00D11DB3"/>
    <w:rsid w:val="00D12D82"/>
    <w:rsid w:val="00D12F77"/>
    <w:rsid w:val="00D1306E"/>
    <w:rsid w:val="00D134CD"/>
    <w:rsid w:val="00D14B5F"/>
    <w:rsid w:val="00D14E13"/>
    <w:rsid w:val="00D14F23"/>
    <w:rsid w:val="00D14FFE"/>
    <w:rsid w:val="00D160F6"/>
    <w:rsid w:val="00D16740"/>
    <w:rsid w:val="00D16A8B"/>
    <w:rsid w:val="00D16E39"/>
    <w:rsid w:val="00D172A4"/>
    <w:rsid w:val="00D1771A"/>
    <w:rsid w:val="00D17951"/>
    <w:rsid w:val="00D17AD8"/>
    <w:rsid w:val="00D207C8"/>
    <w:rsid w:val="00D2104A"/>
    <w:rsid w:val="00D21BB5"/>
    <w:rsid w:val="00D21FFC"/>
    <w:rsid w:val="00D2223F"/>
    <w:rsid w:val="00D223B6"/>
    <w:rsid w:val="00D223E8"/>
    <w:rsid w:val="00D224E1"/>
    <w:rsid w:val="00D22DC8"/>
    <w:rsid w:val="00D22F78"/>
    <w:rsid w:val="00D233A6"/>
    <w:rsid w:val="00D2477B"/>
    <w:rsid w:val="00D2522A"/>
    <w:rsid w:val="00D2531C"/>
    <w:rsid w:val="00D2553E"/>
    <w:rsid w:val="00D25B7E"/>
    <w:rsid w:val="00D25E64"/>
    <w:rsid w:val="00D26FFB"/>
    <w:rsid w:val="00D27266"/>
    <w:rsid w:val="00D2742F"/>
    <w:rsid w:val="00D2754F"/>
    <w:rsid w:val="00D2777A"/>
    <w:rsid w:val="00D277C5"/>
    <w:rsid w:val="00D279D9"/>
    <w:rsid w:val="00D3011D"/>
    <w:rsid w:val="00D305EC"/>
    <w:rsid w:val="00D30F1A"/>
    <w:rsid w:val="00D312DC"/>
    <w:rsid w:val="00D31B84"/>
    <w:rsid w:val="00D31C6A"/>
    <w:rsid w:val="00D31EDF"/>
    <w:rsid w:val="00D31FF9"/>
    <w:rsid w:val="00D32149"/>
    <w:rsid w:val="00D32256"/>
    <w:rsid w:val="00D32A27"/>
    <w:rsid w:val="00D32ABC"/>
    <w:rsid w:val="00D33FA4"/>
    <w:rsid w:val="00D34B25"/>
    <w:rsid w:val="00D34F4E"/>
    <w:rsid w:val="00D357F3"/>
    <w:rsid w:val="00D35C0E"/>
    <w:rsid w:val="00D373A8"/>
    <w:rsid w:val="00D379A5"/>
    <w:rsid w:val="00D401BE"/>
    <w:rsid w:val="00D4043A"/>
    <w:rsid w:val="00D40DB0"/>
    <w:rsid w:val="00D4105A"/>
    <w:rsid w:val="00D41093"/>
    <w:rsid w:val="00D416D5"/>
    <w:rsid w:val="00D41858"/>
    <w:rsid w:val="00D422DB"/>
    <w:rsid w:val="00D42303"/>
    <w:rsid w:val="00D42AC2"/>
    <w:rsid w:val="00D431BC"/>
    <w:rsid w:val="00D4498E"/>
    <w:rsid w:val="00D4515F"/>
    <w:rsid w:val="00D451E8"/>
    <w:rsid w:val="00D46185"/>
    <w:rsid w:val="00D4641D"/>
    <w:rsid w:val="00D466C9"/>
    <w:rsid w:val="00D46FAA"/>
    <w:rsid w:val="00D47275"/>
    <w:rsid w:val="00D50689"/>
    <w:rsid w:val="00D51064"/>
    <w:rsid w:val="00D511DC"/>
    <w:rsid w:val="00D517F6"/>
    <w:rsid w:val="00D51E15"/>
    <w:rsid w:val="00D52411"/>
    <w:rsid w:val="00D52B7E"/>
    <w:rsid w:val="00D52E2F"/>
    <w:rsid w:val="00D52F59"/>
    <w:rsid w:val="00D53445"/>
    <w:rsid w:val="00D53E3E"/>
    <w:rsid w:val="00D54620"/>
    <w:rsid w:val="00D55904"/>
    <w:rsid w:val="00D5616F"/>
    <w:rsid w:val="00D56CBC"/>
    <w:rsid w:val="00D57861"/>
    <w:rsid w:val="00D57940"/>
    <w:rsid w:val="00D57E9C"/>
    <w:rsid w:val="00D60327"/>
    <w:rsid w:val="00D61384"/>
    <w:rsid w:val="00D61526"/>
    <w:rsid w:val="00D61F81"/>
    <w:rsid w:val="00D6276C"/>
    <w:rsid w:val="00D62BE6"/>
    <w:rsid w:val="00D62BFC"/>
    <w:rsid w:val="00D63286"/>
    <w:rsid w:val="00D63766"/>
    <w:rsid w:val="00D63912"/>
    <w:rsid w:val="00D63923"/>
    <w:rsid w:val="00D63A42"/>
    <w:rsid w:val="00D6451B"/>
    <w:rsid w:val="00D64B57"/>
    <w:rsid w:val="00D651A1"/>
    <w:rsid w:val="00D6528F"/>
    <w:rsid w:val="00D65DEA"/>
    <w:rsid w:val="00D66579"/>
    <w:rsid w:val="00D676D3"/>
    <w:rsid w:val="00D67B06"/>
    <w:rsid w:val="00D67BC7"/>
    <w:rsid w:val="00D701F1"/>
    <w:rsid w:val="00D705D3"/>
    <w:rsid w:val="00D709C2"/>
    <w:rsid w:val="00D70E00"/>
    <w:rsid w:val="00D70F7C"/>
    <w:rsid w:val="00D7145B"/>
    <w:rsid w:val="00D715AC"/>
    <w:rsid w:val="00D71851"/>
    <w:rsid w:val="00D718CF"/>
    <w:rsid w:val="00D728F5"/>
    <w:rsid w:val="00D72E9D"/>
    <w:rsid w:val="00D73249"/>
    <w:rsid w:val="00D73419"/>
    <w:rsid w:val="00D73CA9"/>
    <w:rsid w:val="00D751B7"/>
    <w:rsid w:val="00D7524B"/>
    <w:rsid w:val="00D75396"/>
    <w:rsid w:val="00D759C0"/>
    <w:rsid w:val="00D75E99"/>
    <w:rsid w:val="00D765CE"/>
    <w:rsid w:val="00D766C7"/>
    <w:rsid w:val="00D7692B"/>
    <w:rsid w:val="00D7734F"/>
    <w:rsid w:val="00D8044C"/>
    <w:rsid w:val="00D805D6"/>
    <w:rsid w:val="00D8075E"/>
    <w:rsid w:val="00D80860"/>
    <w:rsid w:val="00D80D4C"/>
    <w:rsid w:val="00D8184D"/>
    <w:rsid w:val="00D81957"/>
    <w:rsid w:val="00D81A7B"/>
    <w:rsid w:val="00D8223C"/>
    <w:rsid w:val="00D82B57"/>
    <w:rsid w:val="00D82CE5"/>
    <w:rsid w:val="00D830C9"/>
    <w:rsid w:val="00D831E3"/>
    <w:rsid w:val="00D8342C"/>
    <w:rsid w:val="00D85494"/>
    <w:rsid w:val="00D8582C"/>
    <w:rsid w:val="00D85D61"/>
    <w:rsid w:val="00D8616D"/>
    <w:rsid w:val="00D86757"/>
    <w:rsid w:val="00D8711B"/>
    <w:rsid w:val="00D87384"/>
    <w:rsid w:val="00D90650"/>
    <w:rsid w:val="00D90683"/>
    <w:rsid w:val="00D90B2A"/>
    <w:rsid w:val="00D91483"/>
    <w:rsid w:val="00D915C8"/>
    <w:rsid w:val="00D91F06"/>
    <w:rsid w:val="00D92C14"/>
    <w:rsid w:val="00D9310B"/>
    <w:rsid w:val="00D931F3"/>
    <w:rsid w:val="00D9326A"/>
    <w:rsid w:val="00D93726"/>
    <w:rsid w:val="00D93F3E"/>
    <w:rsid w:val="00D9405B"/>
    <w:rsid w:val="00D94942"/>
    <w:rsid w:val="00D95145"/>
    <w:rsid w:val="00D951DA"/>
    <w:rsid w:val="00D96594"/>
    <w:rsid w:val="00D967CB"/>
    <w:rsid w:val="00D968D4"/>
    <w:rsid w:val="00D96EE0"/>
    <w:rsid w:val="00D97BD1"/>
    <w:rsid w:val="00D97DAD"/>
    <w:rsid w:val="00DA06B8"/>
    <w:rsid w:val="00DA14A9"/>
    <w:rsid w:val="00DA1F4B"/>
    <w:rsid w:val="00DA286D"/>
    <w:rsid w:val="00DA2969"/>
    <w:rsid w:val="00DA29B7"/>
    <w:rsid w:val="00DA337C"/>
    <w:rsid w:val="00DA4842"/>
    <w:rsid w:val="00DA5989"/>
    <w:rsid w:val="00DA5AB1"/>
    <w:rsid w:val="00DA5F9D"/>
    <w:rsid w:val="00DA5FFB"/>
    <w:rsid w:val="00DA69B2"/>
    <w:rsid w:val="00DA7462"/>
    <w:rsid w:val="00DA7AD0"/>
    <w:rsid w:val="00DB02D7"/>
    <w:rsid w:val="00DB03CC"/>
    <w:rsid w:val="00DB12D4"/>
    <w:rsid w:val="00DB14F0"/>
    <w:rsid w:val="00DB1745"/>
    <w:rsid w:val="00DB19BB"/>
    <w:rsid w:val="00DB1AFF"/>
    <w:rsid w:val="00DB219A"/>
    <w:rsid w:val="00DB24BE"/>
    <w:rsid w:val="00DB3165"/>
    <w:rsid w:val="00DB4292"/>
    <w:rsid w:val="00DB5023"/>
    <w:rsid w:val="00DB66A7"/>
    <w:rsid w:val="00DB6E46"/>
    <w:rsid w:val="00DB7117"/>
    <w:rsid w:val="00DB7760"/>
    <w:rsid w:val="00DB7DD4"/>
    <w:rsid w:val="00DC00B4"/>
    <w:rsid w:val="00DC0954"/>
    <w:rsid w:val="00DC0DF8"/>
    <w:rsid w:val="00DC0F91"/>
    <w:rsid w:val="00DC15BA"/>
    <w:rsid w:val="00DC18CD"/>
    <w:rsid w:val="00DC1A68"/>
    <w:rsid w:val="00DC2653"/>
    <w:rsid w:val="00DC30B8"/>
    <w:rsid w:val="00DC3CD2"/>
    <w:rsid w:val="00DC478F"/>
    <w:rsid w:val="00DC4D08"/>
    <w:rsid w:val="00DC5ACA"/>
    <w:rsid w:val="00DC62E5"/>
    <w:rsid w:val="00DC6795"/>
    <w:rsid w:val="00DC6D70"/>
    <w:rsid w:val="00DC6F33"/>
    <w:rsid w:val="00DC7349"/>
    <w:rsid w:val="00DD0D6A"/>
    <w:rsid w:val="00DD14D8"/>
    <w:rsid w:val="00DD1599"/>
    <w:rsid w:val="00DD1B03"/>
    <w:rsid w:val="00DD1C4A"/>
    <w:rsid w:val="00DD1E43"/>
    <w:rsid w:val="00DD20A7"/>
    <w:rsid w:val="00DD2A62"/>
    <w:rsid w:val="00DD2F2F"/>
    <w:rsid w:val="00DD2F7A"/>
    <w:rsid w:val="00DD3885"/>
    <w:rsid w:val="00DD44D1"/>
    <w:rsid w:val="00DD4EE3"/>
    <w:rsid w:val="00DD4F78"/>
    <w:rsid w:val="00DD51C3"/>
    <w:rsid w:val="00DD5808"/>
    <w:rsid w:val="00DD5946"/>
    <w:rsid w:val="00DD5B04"/>
    <w:rsid w:val="00DD5DAE"/>
    <w:rsid w:val="00DD5EC6"/>
    <w:rsid w:val="00DD605F"/>
    <w:rsid w:val="00DD72A0"/>
    <w:rsid w:val="00DD735D"/>
    <w:rsid w:val="00DE0159"/>
    <w:rsid w:val="00DE064A"/>
    <w:rsid w:val="00DE082D"/>
    <w:rsid w:val="00DE0FEE"/>
    <w:rsid w:val="00DE1410"/>
    <w:rsid w:val="00DE2038"/>
    <w:rsid w:val="00DE20C6"/>
    <w:rsid w:val="00DE2926"/>
    <w:rsid w:val="00DE3119"/>
    <w:rsid w:val="00DE3FF0"/>
    <w:rsid w:val="00DE4105"/>
    <w:rsid w:val="00DE41C4"/>
    <w:rsid w:val="00DE4853"/>
    <w:rsid w:val="00DE5189"/>
    <w:rsid w:val="00DE64DE"/>
    <w:rsid w:val="00DE7108"/>
    <w:rsid w:val="00DE78D1"/>
    <w:rsid w:val="00DE78FF"/>
    <w:rsid w:val="00DF0263"/>
    <w:rsid w:val="00DF04F1"/>
    <w:rsid w:val="00DF0EB4"/>
    <w:rsid w:val="00DF158B"/>
    <w:rsid w:val="00DF193C"/>
    <w:rsid w:val="00DF1E36"/>
    <w:rsid w:val="00DF236B"/>
    <w:rsid w:val="00DF2A91"/>
    <w:rsid w:val="00DF3889"/>
    <w:rsid w:val="00DF3CC9"/>
    <w:rsid w:val="00DF4076"/>
    <w:rsid w:val="00DF4451"/>
    <w:rsid w:val="00DF49FF"/>
    <w:rsid w:val="00DF4A0E"/>
    <w:rsid w:val="00DF4FFB"/>
    <w:rsid w:val="00DF5236"/>
    <w:rsid w:val="00DF6051"/>
    <w:rsid w:val="00DF651F"/>
    <w:rsid w:val="00DF670E"/>
    <w:rsid w:val="00DF6F43"/>
    <w:rsid w:val="00DF7420"/>
    <w:rsid w:val="00DF752F"/>
    <w:rsid w:val="00DF76A2"/>
    <w:rsid w:val="00E00B7A"/>
    <w:rsid w:val="00E01FDD"/>
    <w:rsid w:val="00E02186"/>
    <w:rsid w:val="00E026BB"/>
    <w:rsid w:val="00E027C5"/>
    <w:rsid w:val="00E02B52"/>
    <w:rsid w:val="00E03124"/>
    <w:rsid w:val="00E031C3"/>
    <w:rsid w:val="00E03951"/>
    <w:rsid w:val="00E03DB8"/>
    <w:rsid w:val="00E03F17"/>
    <w:rsid w:val="00E03F20"/>
    <w:rsid w:val="00E0420C"/>
    <w:rsid w:val="00E04EDD"/>
    <w:rsid w:val="00E05E70"/>
    <w:rsid w:val="00E064BC"/>
    <w:rsid w:val="00E06975"/>
    <w:rsid w:val="00E06EA3"/>
    <w:rsid w:val="00E07225"/>
    <w:rsid w:val="00E076B4"/>
    <w:rsid w:val="00E07B55"/>
    <w:rsid w:val="00E10579"/>
    <w:rsid w:val="00E109DD"/>
    <w:rsid w:val="00E11229"/>
    <w:rsid w:val="00E114CA"/>
    <w:rsid w:val="00E11FE2"/>
    <w:rsid w:val="00E1397F"/>
    <w:rsid w:val="00E13AB8"/>
    <w:rsid w:val="00E1482E"/>
    <w:rsid w:val="00E16382"/>
    <w:rsid w:val="00E1699C"/>
    <w:rsid w:val="00E16E75"/>
    <w:rsid w:val="00E1746D"/>
    <w:rsid w:val="00E2012A"/>
    <w:rsid w:val="00E205A2"/>
    <w:rsid w:val="00E20B11"/>
    <w:rsid w:val="00E20BA4"/>
    <w:rsid w:val="00E228EE"/>
    <w:rsid w:val="00E2302A"/>
    <w:rsid w:val="00E23137"/>
    <w:rsid w:val="00E23621"/>
    <w:rsid w:val="00E23980"/>
    <w:rsid w:val="00E241E9"/>
    <w:rsid w:val="00E257C3"/>
    <w:rsid w:val="00E25CB3"/>
    <w:rsid w:val="00E25DA4"/>
    <w:rsid w:val="00E26237"/>
    <w:rsid w:val="00E26CB8"/>
    <w:rsid w:val="00E26D16"/>
    <w:rsid w:val="00E26F99"/>
    <w:rsid w:val="00E26FCF"/>
    <w:rsid w:val="00E27165"/>
    <w:rsid w:val="00E27367"/>
    <w:rsid w:val="00E275D9"/>
    <w:rsid w:val="00E27988"/>
    <w:rsid w:val="00E3044A"/>
    <w:rsid w:val="00E30BEB"/>
    <w:rsid w:val="00E30E49"/>
    <w:rsid w:val="00E3174A"/>
    <w:rsid w:val="00E31A4A"/>
    <w:rsid w:val="00E31C96"/>
    <w:rsid w:val="00E32912"/>
    <w:rsid w:val="00E33238"/>
    <w:rsid w:val="00E3344A"/>
    <w:rsid w:val="00E33B29"/>
    <w:rsid w:val="00E33B62"/>
    <w:rsid w:val="00E3403D"/>
    <w:rsid w:val="00E344BD"/>
    <w:rsid w:val="00E34E6C"/>
    <w:rsid w:val="00E353E2"/>
    <w:rsid w:val="00E36345"/>
    <w:rsid w:val="00E36C86"/>
    <w:rsid w:val="00E36CEB"/>
    <w:rsid w:val="00E372C5"/>
    <w:rsid w:val="00E37387"/>
    <w:rsid w:val="00E37A28"/>
    <w:rsid w:val="00E403BC"/>
    <w:rsid w:val="00E40430"/>
    <w:rsid w:val="00E40690"/>
    <w:rsid w:val="00E40AEB"/>
    <w:rsid w:val="00E4143A"/>
    <w:rsid w:val="00E424C8"/>
    <w:rsid w:val="00E42518"/>
    <w:rsid w:val="00E4251D"/>
    <w:rsid w:val="00E43D00"/>
    <w:rsid w:val="00E43D0B"/>
    <w:rsid w:val="00E443B4"/>
    <w:rsid w:val="00E445E4"/>
    <w:rsid w:val="00E457CB"/>
    <w:rsid w:val="00E45D47"/>
    <w:rsid w:val="00E45DE4"/>
    <w:rsid w:val="00E45E63"/>
    <w:rsid w:val="00E469D6"/>
    <w:rsid w:val="00E46BBC"/>
    <w:rsid w:val="00E4759C"/>
    <w:rsid w:val="00E50A7B"/>
    <w:rsid w:val="00E50B0B"/>
    <w:rsid w:val="00E50E1F"/>
    <w:rsid w:val="00E510FE"/>
    <w:rsid w:val="00E516C0"/>
    <w:rsid w:val="00E516C7"/>
    <w:rsid w:val="00E51E25"/>
    <w:rsid w:val="00E5205B"/>
    <w:rsid w:val="00E521AE"/>
    <w:rsid w:val="00E529A3"/>
    <w:rsid w:val="00E53A21"/>
    <w:rsid w:val="00E53BCA"/>
    <w:rsid w:val="00E53BF4"/>
    <w:rsid w:val="00E53DE2"/>
    <w:rsid w:val="00E53F02"/>
    <w:rsid w:val="00E54534"/>
    <w:rsid w:val="00E548C3"/>
    <w:rsid w:val="00E54C5A"/>
    <w:rsid w:val="00E54F27"/>
    <w:rsid w:val="00E55FF1"/>
    <w:rsid w:val="00E56090"/>
    <w:rsid w:val="00E565B9"/>
    <w:rsid w:val="00E56E7B"/>
    <w:rsid w:val="00E5733B"/>
    <w:rsid w:val="00E5756C"/>
    <w:rsid w:val="00E57811"/>
    <w:rsid w:val="00E57D1A"/>
    <w:rsid w:val="00E601BE"/>
    <w:rsid w:val="00E60B5F"/>
    <w:rsid w:val="00E60F87"/>
    <w:rsid w:val="00E613AE"/>
    <w:rsid w:val="00E61429"/>
    <w:rsid w:val="00E61ABB"/>
    <w:rsid w:val="00E61FD7"/>
    <w:rsid w:val="00E623E6"/>
    <w:rsid w:val="00E626B8"/>
    <w:rsid w:val="00E630C0"/>
    <w:rsid w:val="00E63107"/>
    <w:rsid w:val="00E6312C"/>
    <w:rsid w:val="00E634E6"/>
    <w:rsid w:val="00E63DCE"/>
    <w:rsid w:val="00E6453E"/>
    <w:rsid w:val="00E64700"/>
    <w:rsid w:val="00E64BD8"/>
    <w:rsid w:val="00E65020"/>
    <w:rsid w:val="00E65074"/>
    <w:rsid w:val="00E65E70"/>
    <w:rsid w:val="00E66087"/>
    <w:rsid w:val="00E6655E"/>
    <w:rsid w:val="00E66D79"/>
    <w:rsid w:val="00E66FF9"/>
    <w:rsid w:val="00E6706F"/>
    <w:rsid w:val="00E67155"/>
    <w:rsid w:val="00E67856"/>
    <w:rsid w:val="00E679C8"/>
    <w:rsid w:val="00E70314"/>
    <w:rsid w:val="00E711B1"/>
    <w:rsid w:val="00E724E7"/>
    <w:rsid w:val="00E7289D"/>
    <w:rsid w:val="00E72B41"/>
    <w:rsid w:val="00E72EFE"/>
    <w:rsid w:val="00E7347B"/>
    <w:rsid w:val="00E73792"/>
    <w:rsid w:val="00E73D03"/>
    <w:rsid w:val="00E74040"/>
    <w:rsid w:val="00E7471C"/>
    <w:rsid w:val="00E7498A"/>
    <w:rsid w:val="00E7514E"/>
    <w:rsid w:val="00E75B57"/>
    <w:rsid w:val="00E76537"/>
    <w:rsid w:val="00E77784"/>
    <w:rsid w:val="00E77AF5"/>
    <w:rsid w:val="00E823F9"/>
    <w:rsid w:val="00E82C1F"/>
    <w:rsid w:val="00E83671"/>
    <w:rsid w:val="00E840EE"/>
    <w:rsid w:val="00E84A71"/>
    <w:rsid w:val="00E84DC3"/>
    <w:rsid w:val="00E85786"/>
    <w:rsid w:val="00E86556"/>
    <w:rsid w:val="00E86D35"/>
    <w:rsid w:val="00E86DC2"/>
    <w:rsid w:val="00E86E32"/>
    <w:rsid w:val="00E86F2E"/>
    <w:rsid w:val="00E8732E"/>
    <w:rsid w:val="00E9011F"/>
    <w:rsid w:val="00E906EB"/>
    <w:rsid w:val="00E90A66"/>
    <w:rsid w:val="00E919FB"/>
    <w:rsid w:val="00E91BF6"/>
    <w:rsid w:val="00E9241E"/>
    <w:rsid w:val="00E92460"/>
    <w:rsid w:val="00E925D7"/>
    <w:rsid w:val="00E92E62"/>
    <w:rsid w:val="00E93804"/>
    <w:rsid w:val="00E9429D"/>
    <w:rsid w:val="00E95434"/>
    <w:rsid w:val="00E96467"/>
    <w:rsid w:val="00E965BC"/>
    <w:rsid w:val="00E966DA"/>
    <w:rsid w:val="00E96948"/>
    <w:rsid w:val="00E9737B"/>
    <w:rsid w:val="00E9744A"/>
    <w:rsid w:val="00E97A3F"/>
    <w:rsid w:val="00E97F0A"/>
    <w:rsid w:val="00EA0100"/>
    <w:rsid w:val="00EA0BCE"/>
    <w:rsid w:val="00EA2744"/>
    <w:rsid w:val="00EA37B9"/>
    <w:rsid w:val="00EA39F7"/>
    <w:rsid w:val="00EA3DC2"/>
    <w:rsid w:val="00EA3F20"/>
    <w:rsid w:val="00EA434E"/>
    <w:rsid w:val="00EA4757"/>
    <w:rsid w:val="00EA560B"/>
    <w:rsid w:val="00EA5669"/>
    <w:rsid w:val="00EA5CC6"/>
    <w:rsid w:val="00EA63EF"/>
    <w:rsid w:val="00EB0A89"/>
    <w:rsid w:val="00EB0C53"/>
    <w:rsid w:val="00EB1573"/>
    <w:rsid w:val="00EB184F"/>
    <w:rsid w:val="00EB1910"/>
    <w:rsid w:val="00EB291E"/>
    <w:rsid w:val="00EB2D83"/>
    <w:rsid w:val="00EB2E97"/>
    <w:rsid w:val="00EB3416"/>
    <w:rsid w:val="00EB3A93"/>
    <w:rsid w:val="00EB3B54"/>
    <w:rsid w:val="00EB4AE1"/>
    <w:rsid w:val="00EB52F4"/>
    <w:rsid w:val="00EB5694"/>
    <w:rsid w:val="00EB5779"/>
    <w:rsid w:val="00EB5D2F"/>
    <w:rsid w:val="00EB67F1"/>
    <w:rsid w:val="00EB72CD"/>
    <w:rsid w:val="00EB749A"/>
    <w:rsid w:val="00EB76B6"/>
    <w:rsid w:val="00EB7D8A"/>
    <w:rsid w:val="00EC05E2"/>
    <w:rsid w:val="00EC08AC"/>
    <w:rsid w:val="00EC0E84"/>
    <w:rsid w:val="00EC16E2"/>
    <w:rsid w:val="00EC1CE7"/>
    <w:rsid w:val="00EC2510"/>
    <w:rsid w:val="00EC26F1"/>
    <w:rsid w:val="00EC3C94"/>
    <w:rsid w:val="00EC44DF"/>
    <w:rsid w:val="00EC4FB9"/>
    <w:rsid w:val="00EC5393"/>
    <w:rsid w:val="00EC5741"/>
    <w:rsid w:val="00EC5DA3"/>
    <w:rsid w:val="00EC6014"/>
    <w:rsid w:val="00EC6B3E"/>
    <w:rsid w:val="00EC73DE"/>
    <w:rsid w:val="00EC7637"/>
    <w:rsid w:val="00EC7CF2"/>
    <w:rsid w:val="00ED046C"/>
    <w:rsid w:val="00ED053A"/>
    <w:rsid w:val="00ED19B4"/>
    <w:rsid w:val="00ED1F03"/>
    <w:rsid w:val="00ED2D27"/>
    <w:rsid w:val="00ED3198"/>
    <w:rsid w:val="00ED3347"/>
    <w:rsid w:val="00ED3438"/>
    <w:rsid w:val="00ED3441"/>
    <w:rsid w:val="00ED3860"/>
    <w:rsid w:val="00ED3954"/>
    <w:rsid w:val="00ED43A2"/>
    <w:rsid w:val="00ED4967"/>
    <w:rsid w:val="00ED5140"/>
    <w:rsid w:val="00ED538C"/>
    <w:rsid w:val="00ED5771"/>
    <w:rsid w:val="00ED585E"/>
    <w:rsid w:val="00ED587F"/>
    <w:rsid w:val="00ED5964"/>
    <w:rsid w:val="00ED623F"/>
    <w:rsid w:val="00ED63A5"/>
    <w:rsid w:val="00ED66FE"/>
    <w:rsid w:val="00ED69BA"/>
    <w:rsid w:val="00ED6D1A"/>
    <w:rsid w:val="00ED72E9"/>
    <w:rsid w:val="00ED732E"/>
    <w:rsid w:val="00ED77F0"/>
    <w:rsid w:val="00ED7C60"/>
    <w:rsid w:val="00ED7FBC"/>
    <w:rsid w:val="00EE0253"/>
    <w:rsid w:val="00EE0297"/>
    <w:rsid w:val="00EE1258"/>
    <w:rsid w:val="00EE13DA"/>
    <w:rsid w:val="00EE1668"/>
    <w:rsid w:val="00EE1EDB"/>
    <w:rsid w:val="00EE2295"/>
    <w:rsid w:val="00EE24E2"/>
    <w:rsid w:val="00EE366D"/>
    <w:rsid w:val="00EE3BB0"/>
    <w:rsid w:val="00EE4CDF"/>
    <w:rsid w:val="00EE5454"/>
    <w:rsid w:val="00EE5710"/>
    <w:rsid w:val="00EE59B5"/>
    <w:rsid w:val="00EE5FB7"/>
    <w:rsid w:val="00EE6783"/>
    <w:rsid w:val="00EE7B54"/>
    <w:rsid w:val="00EE7C47"/>
    <w:rsid w:val="00EE7C88"/>
    <w:rsid w:val="00EE7C8B"/>
    <w:rsid w:val="00EF00E7"/>
    <w:rsid w:val="00EF0209"/>
    <w:rsid w:val="00EF0508"/>
    <w:rsid w:val="00EF0EA4"/>
    <w:rsid w:val="00EF1E97"/>
    <w:rsid w:val="00EF2436"/>
    <w:rsid w:val="00EF2547"/>
    <w:rsid w:val="00EF27CE"/>
    <w:rsid w:val="00EF2B2B"/>
    <w:rsid w:val="00EF2E1C"/>
    <w:rsid w:val="00EF2FD6"/>
    <w:rsid w:val="00EF326A"/>
    <w:rsid w:val="00EF427A"/>
    <w:rsid w:val="00EF44A6"/>
    <w:rsid w:val="00EF45DF"/>
    <w:rsid w:val="00EF48A3"/>
    <w:rsid w:val="00EF4952"/>
    <w:rsid w:val="00EF498F"/>
    <w:rsid w:val="00EF4A42"/>
    <w:rsid w:val="00EF510C"/>
    <w:rsid w:val="00EF55C4"/>
    <w:rsid w:val="00EF57BC"/>
    <w:rsid w:val="00EF6784"/>
    <w:rsid w:val="00EF688A"/>
    <w:rsid w:val="00EF6A03"/>
    <w:rsid w:val="00EF6DC2"/>
    <w:rsid w:val="00EF6E58"/>
    <w:rsid w:val="00EF7033"/>
    <w:rsid w:val="00EF7506"/>
    <w:rsid w:val="00EF78AB"/>
    <w:rsid w:val="00EF7BF4"/>
    <w:rsid w:val="00F0030F"/>
    <w:rsid w:val="00F0057D"/>
    <w:rsid w:val="00F00674"/>
    <w:rsid w:val="00F01657"/>
    <w:rsid w:val="00F01E67"/>
    <w:rsid w:val="00F02744"/>
    <w:rsid w:val="00F02926"/>
    <w:rsid w:val="00F02BFD"/>
    <w:rsid w:val="00F02D25"/>
    <w:rsid w:val="00F03A4A"/>
    <w:rsid w:val="00F03C3D"/>
    <w:rsid w:val="00F0435D"/>
    <w:rsid w:val="00F04580"/>
    <w:rsid w:val="00F04ECA"/>
    <w:rsid w:val="00F04F8B"/>
    <w:rsid w:val="00F06E19"/>
    <w:rsid w:val="00F06F84"/>
    <w:rsid w:val="00F07286"/>
    <w:rsid w:val="00F07585"/>
    <w:rsid w:val="00F076E7"/>
    <w:rsid w:val="00F07AA1"/>
    <w:rsid w:val="00F105AE"/>
    <w:rsid w:val="00F10618"/>
    <w:rsid w:val="00F1108B"/>
    <w:rsid w:val="00F114FA"/>
    <w:rsid w:val="00F11768"/>
    <w:rsid w:val="00F11951"/>
    <w:rsid w:val="00F12262"/>
    <w:rsid w:val="00F12564"/>
    <w:rsid w:val="00F12AF8"/>
    <w:rsid w:val="00F12C52"/>
    <w:rsid w:val="00F13E62"/>
    <w:rsid w:val="00F148B7"/>
    <w:rsid w:val="00F14D67"/>
    <w:rsid w:val="00F14EA9"/>
    <w:rsid w:val="00F15505"/>
    <w:rsid w:val="00F15BFF"/>
    <w:rsid w:val="00F16B79"/>
    <w:rsid w:val="00F16E4F"/>
    <w:rsid w:val="00F17244"/>
    <w:rsid w:val="00F204CC"/>
    <w:rsid w:val="00F213A0"/>
    <w:rsid w:val="00F217F7"/>
    <w:rsid w:val="00F21D54"/>
    <w:rsid w:val="00F21EF4"/>
    <w:rsid w:val="00F223B3"/>
    <w:rsid w:val="00F23113"/>
    <w:rsid w:val="00F2319C"/>
    <w:rsid w:val="00F23255"/>
    <w:rsid w:val="00F23393"/>
    <w:rsid w:val="00F23759"/>
    <w:rsid w:val="00F238B4"/>
    <w:rsid w:val="00F24644"/>
    <w:rsid w:val="00F25947"/>
    <w:rsid w:val="00F262D6"/>
    <w:rsid w:val="00F26F33"/>
    <w:rsid w:val="00F2748A"/>
    <w:rsid w:val="00F300A8"/>
    <w:rsid w:val="00F302C6"/>
    <w:rsid w:val="00F30400"/>
    <w:rsid w:val="00F3079E"/>
    <w:rsid w:val="00F33968"/>
    <w:rsid w:val="00F3399B"/>
    <w:rsid w:val="00F33F4B"/>
    <w:rsid w:val="00F346ED"/>
    <w:rsid w:val="00F34945"/>
    <w:rsid w:val="00F34E1E"/>
    <w:rsid w:val="00F34F5B"/>
    <w:rsid w:val="00F3570C"/>
    <w:rsid w:val="00F363A4"/>
    <w:rsid w:val="00F36765"/>
    <w:rsid w:val="00F368FF"/>
    <w:rsid w:val="00F37026"/>
    <w:rsid w:val="00F37068"/>
    <w:rsid w:val="00F37385"/>
    <w:rsid w:val="00F375D8"/>
    <w:rsid w:val="00F37F3F"/>
    <w:rsid w:val="00F4092D"/>
    <w:rsid w:val="00F40992"/>
    <w:rsid w:val="00F40F72"/>
    <w:rsid w:val="00F40FD8"/>
    <w:rsid w:val="00F41596"/>
    <w:rsid w:val="00F41D8B"/>
    <w:rsid w:val="00F42121"/>
    <w:rsid w:val="00F424B3"/>
    <w:rsid w:val="00F428B1"/>
    <w:rsid w:val="00F428B4"/>
    <w:rsid w:val="00F4345D"/>
    <w:rsid w:val="00F4387B"/>
    <w:rsid w:val="00F448EE"/>
    <w:rsid w:val="00F451D4"/>
    <w:rsid w:val="00F45612"/>
    <w:rsid w:val="00F45921"/>
    <w:rsid w:val="00F45B91"/>
    <w:rsid w:val="00F4613E"/>
    <w:rsid w:val="00F46639"/>
    <w:rsid w:val="00F46DBB"/>
    <w:rsid w:val="00F4753C"/>
    <w:rsid w:val="00F476FD"/>
    <w:rsid w:val="00F50183"/>
    <w:rsid w:val="00F50D92"/>
    <w:rsid w:val="00F51765"/>
    <w:rsid w:val="00F51A51"/>
    <w:rsid w:val="00F51BC6"/>
    <w:rsid w:val="00F51CB4"/>
    <w:rsid w:val="00F52324"/>
    <w:rsid w:val="00F52950"/>
    <w:rsid w:val="00F52C9D"/>
    <w:rsid w:val="00F533F1"/>
    <w:rsid w:val="00F53D10"/>
    <w:rsid w:val="00F55679"/>
    <w:rsid w:val="00F561E3"/>
    <w:rsid w:val="00F565E6"/>
    <w:rsid w:val="00F56772"/>
    <w:rsid w:val="00F56AFA"/>
    <w:rsid w:val="00F575E2"/>
    <w:rsid w:val="00F579FF"/>
    <w:rsid w:val="00F600E0"/>
    <w:rsid w:val="00F605EC"/>
    <w:rsid w:val="00F60F60"/>
    <w:rsid w:val="00F612CE"/>
    <w:rsid w:val="00F6133C"/>
    <w:rsid w:val="00F624A7"/>
    <w:rsid w:val="00F62AB6"/>
    <w:rsid w:val="00F6478E"/>
    <w:rsid w:val="00F65A3C"/>
    <w:rsid w:val="00F66039"/>
    <w:rsid w:val="00F66282"/>
    <w:rsid w:val="00F6639E"/>
    <w:rsid w:val="00F670E9"/>
    <w:rsid w:val="00F67AF1"/>
    <w:rsid w:val="00F67D8B"/>
    <w:rsid w:val="00F701C5"/>
    <w:rsid w:val="00F707E3"/>
    <w:rsid w:val="00F70961"/>
    <w:rsid w:val="00F70A8F"/>
    <w:rsid w:val="00F70B3A"/>
    <w:rsid w:val="00F70E36"/>
    <w:rsid w:val="00F71397"/>
    <w:rsid w:val="00F72389"/>
    <w:rsid w:val="00F72516"/>
    <w:rsid w:val="00F72A1E"/>
    <w:rsid w:val="00F72FB4"/>
    <w:rsid w:val="00F735E5"/>
    <w:rsid w:val="00F73E80"/>
    <w:rsid w:val="00F7469C"/>
    <w:rsid w:val="00F7492E"/>
    <w:rsid w:val="00F74945"/>
    <w:rsid w:val="00F749A3"/>
    <w:rsid w:val="00F74AE8"/>
    <w:rsid w:val="00F769CC"/>
    <w:rsid w:val="00F76C11"/>
    <w:rsid w:val="00F77021"/>
    <w:rsid w:val="00F77E61"/>
    <w:rsid w:val="00F77E9A"/>
    <w:rsid w:val="00F80221"/>
    <w:rsid w:val="00F807F6"/>
    <w:rsid w:val="00F80C81"/>
    <w:rsid w:val="00F81265"/>
    <w:rsid w:val="00F815AC"/>
    <w:rsid w:val="00F8187D"/>
    <w:rsid w:val="00F81AA6"/>
    <w:rsid w:val="00F83B33"/>
    <w:rsid w:val="00F83CAE"/>
    <w:rsid w:val="00F840BF"/>
    <w:rsid w:val="00F8427A"/>
    <w:rsid w:val="00F843DF"/>
    <w:rsid w:val="00F84899"/>
    <w:rsid w:val="00F85585"/>
    <w:rsid w:val="00F859F0"/>
    <w:rsid w:val="00F85CC1"/>
    <w:rsid w:val="00F86280"/>
    <w:rsid w:val="00F86B5D"/>
    <w:rsid w:val="00F875E1"/>
    <w:rsid w:val="00F87634"/>
    <w:rsid w:val="00F87C13"/>
    <w:rsid w:val="00F87C5A"/>
    <w:rsid w:val="00F87E29"/>
    <w:rsid w:val="00F87F18"/>
    <w:rsid w:val="00F87F68"/>
    <w:rsid w:val="00F90C4D"/>
    <w:rsid w:val="00F9167D"/>
    <w:rsid w:val="00F91CB2"/>
    <w:rsid w:val="00F927E8"/>
    <w:rsid w:val="00F9289C"/>
    <w:rsid w:val="00F93D5B"/>
    <w:rsid w:val="00F93DBC"/>
    <w:rsid w:val="00F93E41"/>
    <w:rsid w:val="00F94644"/>
    <w:rsid w:val="00F952E4"/>
    <w:rsid w:val="00F9537B"/>
    <w:rsid w:val="00F963FC"/>
    <w:rsid w:val="00F965CA"/>
    <w:rsid w:val="00F97107"/>
    <w:rsid w:val="00F97141"/>
    <w:rsid w:val="00F97CF1"/>
    <w:rsid w:val="00FA015F"/>
    <w:rsid w:val="00FA0160"/>
    <w:rsid w:val="00FA0FAC"/>
    <w:rsid w:val="00FA10F7"/>
    <w:rsid w:val="00FA1DA2"/>
    <w:rsid w:val="00FA2589"/>
    <w:rsid w:val="00FA3414"/>
    <w:rsid w:val="00FA347A"/>
    <w:rsid w:val="00FA3CDE"/>
    <w:rsid w:val="00FA3EDB"/>
    <w:rsid w:val="00FA49B7"/>
    <w:rsid w:val="00FA5043"/>
    <w:rsid w:val="00FA6569"/>
    <w:rsid w:val="00FA6F8B"/>
    <w:rsid w:val="00FA727C"/>
    <w:rsid w:val="00FA7788"/>
    <w:rsid w:val="00FA7A30"/>
    <w:rsid w:val="00FB033F"/>
    <w:rsid w:val="00FB0507"/>
    <w:rsid w:val="00FB12E3"/>
    <w:rsid w:val="00FB1570"/>
    <w:rsid w:val="00FB193B"/>
    <w:rsid w:val="00FB1E5B"/>
    <w:rsid w:val="00FB1FBC"/>
    <w:rsid w:val="00FB27B7"/>
    <w:rsid w:val="00FB2A6A"/>
    <w:rsid w:val="00FB35E3"/>
    <w:rsid w:val="00FB4893"/>
    <w:rsid w:val="00FB4C98"/>
    <w:rsid w:val="00FB4CE3"/>
    <w:rsid w:val="00FB534D"/>
    <w:rsid w:val="00FB5373"/>
    <w:rsid w:val="00FB583C"/>
    <w:rsid w:val="00FB630E"/>
    <w:rsid w:val="00FB6738"/>
    <w:rsid w:val="00FB67AD"/>
    <w:rsid w:val="00FB691B"/>
    <w:rsid w:val="00FB6BE6"/>
    <w:rsid w:val="00FB731C"/>
    <w:rsid w:val="00FB7628"/>
    <w:rsid w:val="00FB77C9"/>
    <w:rsid w:val="00FC05A0"/>
    <w:rsid w:val="00FC0811"/>
    <w:rsid w:val="00FC1196"/>
    <w:rsid w:val="00FC13D1"/>
    <w:rsid w:val="00FC15EB"/>
    <w:rsid w:val="00FC162C"/>
    <w:rsid w:val="00FC18DC"/>
    <w:rsid w:val="00FC2477"/>
    <w:rsid w:val="00FC2AC4"/>
    <w:rsid w:val="00FC2CAC"/>
    <w:rsid w:val="00FC2F73"/>
    <w:rsid w:val="00FC30FA"/>
    <w:rsid w:val="00FC341C"/>
    <w:rsid w:val="00FC3830"/>
    <w:rsid w:val="00FC3A9B"/>
    <w:rsid w:val="00FC3AE1"/>
    <w:rsid w:val="00FC3DFC"/>
    <w:rsid w:val="00FC3EF4"/>
    <w:rsid w:val="00FC431B"/>
    <w:rsid w:val="00FC434C"/>
    <w:rsid w:val="00FC472C"/>
    <w:rsid w:val="00FC4FDF"/>
    <w:rsid w:val="00FC5CF4"/>
    <w:rsid w:val="00FC5D64"/>
    <w:rsid w:val="00FC6097"/>
    <w:rsid w:val="00FC61A4"/>
    <w:rsid w:val="00FC6A39"/>
    <w:rsid w:val="00FC76A9"/>
    <w:rsid w:val="00FC79AB"/>
    <w:rsid w:val="00FC7BE7"/>
    <w:rsid w:val="00FC7DAC"/>
    <w:rsid w:val="00FC7F00"/>
    <w:rsid w:val="00FD005D"/>
    <w:rsid w:val="00FD023A"/>
    <w:rsid w:val="00FD04AE"/>
    <w:rsid w:val="00FD0CCF"/>
    <w:rsid w:val="00FD0DFA"/>
    <w:rsid w:val="00FD128D"/>
    <w:rsid w:val="00FD1606"/>
    <w:rsid w:val="00FD1890"/>
    <w:rsid w:val="00FD1994"/>
    <w:rsid w:val="00FD1F52"/>
    <w:rsid w:val="00FD29F3"/>
    <w:rsid w:val="00FD3508"/>
    <w:rsid w:val="00FD393C"/>
    <w:rsid w:val="00FD3AFF"/>
    <w:rsid w:val="00FD43BB"/>
    <w:rsid w:val="00FD48CD"/>
    <w:rsid w:val="00FD4AF3"/>
    <w:rsid w:val="00FD798D"/>
    <w:rsid w:val="00FE141E"/>
    <w:rsid w:val="00FE144E"/>
    <w:rsid w:val="00FE1768"/>
    <w:rsid w:val="00FE24F4"/>
    <w:rsid w:val="00FE2560"/>
    <w:rsid w:val="00FE3016"/>
    <w:rsid w:val="00FE35D0"/>
    <w:rsid w:val="00FE3730"/>
    <w:rsid w:val="00FE40EA"/>
    <w:rsid w:val="00FE42ED"/>
    <w:rsid w:val="00FE4E06"/>
    <w:rsid w:val="00FE55A7"/>
    <w:rsid w:val="00FE5C5A"/>
    <w:rsid w:val="00FE6432"/>
    <w:rsid w:val="00FE6D66"/>
    <w:rsid w:val="00FE72A0"/>
    <w:rsid w:val="00FE76F9"/>
    <w:rsid w:val="00FE784E"/>
    <w:rsid w:val="00FF0050"/>
    <w:rsid w:val="00FF045F"/>
    <w:rsid w:val="00FF13D4"/>
    <w:rsid w:val="00FF2053"/>
    <w:rsid w:val="00FF3B37"/>
    <w:rsid w:val="00FF3CC7"/>
    <w:rsid w:val="00FF3D6F"/>
    <w:rsid w:val="00FF4810"/>
    <w:rsid w:val="00FF4BD8"/>
    <w:rsid w:val="00FF4D11"/>
    <w:rsid w:val="00FF5214"/>
    <w:rsid w:val="00FF53DC"/>
    <w:rsid w:val="00FF596E"/>
    <w:rsid w:val="00FF5B59"/>
    <w:rsid w:val="00FF5BFD"/>
    <w:rsid w:val="00FF5DBF"/>
    <w:rsid w:val="00FF6095"/>
    <w:rsid w:val="00FF62FE"/>
    <w:rsid w:val="00FF6553"/>
    <w:rsid w:val="00FF6B9F"/>
    <w:rsid w:val="00FF7A39"/>
    <w:rsid w:val="1D1A3614"/>
    <w:rsid w:val="62C4790C"/>
    <w:rsid w:val="659F2972"/>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E2A"/>
    <w:pPr>
      <w:spacing w:after="0" w:line="240" w:lineRule="auto"/>
    </w:pPr>
    <w:rPr>
      <w:rFonts w:ascii="Times New Roman" w:eastAsia="Times New Roman" w:hAnsi="Times New Roman" w:cs="Times New Roman"/>
      <w:sz w:val="24"/>
      <w:szCs w:val="24"/>
      <w:lang w:eastAsia="es-MX"/>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qFormat/>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paragraph" w:customStyle="1" w:styleId="Cuadrculamedia1-nfasis21">
    <w:name w:val="Cuadrícula media 1 - Énfasis 21"/>
    <w:basedOn w:val="Normal"/>
    <w:uiPriority w:val="34"/>
    <w:qFormat/>
    <w:rsid w:val="003F155A"/>
    <w:pPr>
      <w:spacing w:after="160" w:line="259" w:lineRule="auto"/>
      <w:ind w:left="720"/>
      <w:contextualSpacing/>
    </w:pPr>
    <w:rPr>
      <w:rFonts w:ascii="Calibri" w:eastAsia="Calibri" w:hAnsi="Calibri"/>
      <w:sz w:val="22"/>
      <w:szCs w:val="22"/>
      <w:lang w:eastAsia="en-US"/>
    </w:rPr>
  </w:style>
  <w:style w:type="character" w:styleId="Textodelmarcadordeposicin">
    <w:name w:val="Placeholder Text"/>
    <w:basedOn w:val="Fuentedeprrafopredeter"/>
    <w:uiPriority w:val="99"/>
    <w:semiHidden/>
    <w:rsid w:val="00A4271D"/>
    <w:rPr>
      <w:color w:val="808080"/>
    </w:rPr>
  </w:style>
  <w:style w:type="paragraph" w:styleId="Revisin">
    <w:name w:val="Revision"/>
    <w:hidden/>
    <w:uiPriority w:val="99"/>
    <w:semiHidden/>
    <w:rsid w:val="008815D1"/>
    <w:pPr>
      <w:spacing w:after="0" w:line="240" w:lineRule="auto"/>
    </w:pPr>
    <w:rPr>
      <w:rFonts w:ascii="Times New Roman" w:eastAsia="Times New Roman" w:hAnsi="Times New Roman" w:cs="Times New Roman"/>
      <w:sz w:val="24"/>
      <w:szCs w:val="24"/>
      <w:lang w:eastAsia="es-ES_tradnl"/>
    </w:rPr>
  </w:style>
  <w:style w:type="paragraph" w:customStyle="1" w:styleId="Style1">
    <w:name w:val="Style 1"/>
    <w:uiPriority w:val="99"/>
    <w:rsid w:val="00C17492"/>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character" w:customStyle="1" w:styleId="CharacterStyle1">
    <w:name w:val="Character Style 1"/>
    <w:uiPriority w:val="99"/>
    <w:rsid w:val="00C17492"/>
    <w:rPr>
      <w:sz w:val="20"/>
      <w:szCs w:val="20"/>
    </w:rPr>
  </w:style>
  <w:style w:type="paragraph" w:customStyle="1" w:styleId="Style4">
    <w:name w:val="Style 4"/>
    <w:uiPriority w:val="99"/>
    <w:rsid w:val="00213EC5"/>
    <w:pPr>
      <w:widowControl w:val="0"/>
      <w:autoSpaceDE w:val="0"/>
      <w:autoSpaceDN w:val="0"/>
      <w:spacing w:before="288" w:after="0" w:line="240" w:lineRule="auto"/>
      <w:jc w:val="both"/>
    </w:pPr>
    <w:rPr>
      <w:rFonts w:ascii="Times New Roman" w:eastAsia="Times New Roman" w:hAnsi="Times New Roman" w:cs="Times New Roman"/>
      <w:sz w:val="24"/>
      <w:szCs w:val="24"/>
      <w:lang w:val="en-US" w:eastAsia="es-ES"/>
    </w:rPr>
  </w:style>
  <w:style w:type="character" w:styleId="Refdenotaalfinal">
    <w:name w:val="endnote reference"/>
    <w:basedOn w:val="Fuentedeprrafopredeter"/>
    <w:uiPriority w:val="99"/>
    <w:semiHidden/>
    <w:unhideWhenUsed/>
    <w:rsid w:val="006A5A3C"/>
    <w:rPr>
      <w:vertAlign w:val="superscript"/>
    </w:rPr>
  </w:style>
  <w:style w:type="table" w:customStyle="1" w:styleId="Tablaconcuadrcula12">
    <w:name w:val="Tabla con cuadrícula12"/>
    <w:basedOn w:val="Tablanormal"/>
    <w:next w:val="Tablaconcuadrcula"/>
    <w:uiPriority w:val="59"/>
    <w:rsid w:val="002533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qFormat/>
    <w:rsid w:val="008E46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4502140">
      <w:bodyDiv w:val="1"/>
      <w:marLeft w:val="0"/>
      <w:marRight w:val="0"/>
      <w:marTop w:val="0"/>
      <w:marBottom w:val="0"/>
      <w:divBdr>
        <w:top w:val="none" w:sz="0" w:space="0" w:color="auto"/>
        <w:left w:val="none" w:sz="0" w:space="0" w:color="auto"/>
        <w:bottom w:val="none" w:sz="0" w:space="0" w:color="auto"/>
        <w:right w:val="none" w:sz="0" w:space="0" w:color="auto"/>
      </w:divBdr>
      <w:divsChild>
        <w:div w:id="1779519250">
          <w:marLeft w:val="0"/>
          <w:marRight w:val="0"/>
          <w:marTop w:val="0"/>
          <w:marBottom w:val="0"/>
          <w:divBdr>
            <w:top w:val="none" w:sz="0" w:space="0" w:color="auto"/>
            <w:left w:val="none" w:sz="0" w:space="0" w:color="auto"/>
            <w:bottom w:val="none" w:sz="0" w:space="0" w:color="auto"/>
            <w:right w:val="none" w:sz="0" w:space="0" w:color="auto"/>
          </w:divBdr>
          <w:divsChild>
            <w:div w:id="1734890087">
              <w:marLeft w:val="0"/>
              <w:marRight w:val="0"/>
              <w:marTop w:val="0"/>
              <w:marBottom w:val="0"/>
              <w:divBdr>
                <w:top w:val="none" w:sz="0" w:space="0" w:color="auto"/>
                <w:left w:val="none" w:sz="0" w:space="0" w:color="auto"/>
                <w:bottom w:val="none" w:sz="0" w:space="0" w:color="auto"/>
                <w:right w:val="none" w:sz="0" w:space="0" w:color="auto"/>
              </w:divBdr>
              <w:divsChild>
                <w:div w:id="678459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11138">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28576617">
      <w:bodyDiv w:val="1"/>
      <w:marLeft w:val="0"/>
      <w:marRight w:val="0"/>
      <w:marTop w:val="0"/>
      <w:marBottom w:val="0"/>
      <w:divBdr>
        <w:top w:val="none" w:sz="0" w:space="0" w:color="auto"/>
        <w:left w:val="none" w:sz="0" w:space="0" w:color="auto"/>
        <w:bottom w:val="none" w:sz="0" w:space="0" w:color="auto"/>
        <w:right w:val="none" w:sz="0" w:space="0" w:color="auto"/>
      </w:divBdr>
    </w:div>
    <w:div w:id="28727430">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3990463">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39812000">
      <w:bodyDiv w:val="1"/>
      <w:marLeft w:val="0"/>
      <w:marRight w:val="0"/>
      <w:marTop w:val="0"/>
      <w:marBottom w:val="0"/>
      <w:divBdr>
        <w:top w:val="none" w:sz="0" w:space="0" w:color="auto"/>
        <w:left w:val="none" w:sz="0" w:space="0" w:color="auto"/>
        <w:bottom w:val="none" w:sz="0" w:space="0" w:color="auto"/>
        <w:right w:val="none" w:sz="0" w:space="0" w:color="auto"/>
      </w:divBdr>
    </w:div>
    <w:div w:id="141194916">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74459391">
      <w:bodyDiv w:val="1"/>
      <w:marLeft w:val="0"/>
      <w:marRight w:val="0"/>
      <w:marTop w:val="0"/>
      <w:marBottom w:val="0"/>
      <w:divBdr>
        <w:top w:val="none" w:sz="0" w:space="0" w:color="auto"/>
        <w:left w:val="none" w:sz="0" w:space="0" w:color="auto"/>
        <w:bottom w:val="none" w:sz="0" w:space="0" w:color="auto"/>
        <w:right w:val="none" w:sz="0" w:space="0" w:color="auto"/>
      </w:divBdr>
    </w:div>
    <w:div w:id="191696705">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0820502">
      <w:bodyDiv w:val="1"/>
      <w:marLeft w:val="0"/>
      <w:marRight w:val="0"/>
      <w:marTop w:val="0"/>
      <w:marBottom w:val="0"/>
      <w:divBdr>
        <w:top w:val="none" w:sz="0" w:space="0" w:color="auto"/>
        <w:left w:val="none" w:sz="0" w:space="0" w:color="auto"/>
        <w:bottom w:val="none" w:sz="0" w:space="0" w:color="auto"/>
        <w:right w:val="none" w:sz="0" w:space="0" w:color="auto"/>
      </w:divBdr>
      <w:divsChild>
        <w:div w:id="853305251">
          <w:marLeft w:val="0"/>
          <w:marRight w:val="0"/>
          <w:marTop w:val="0"/>
          <w:marBottom w:val="0"/>
          <w:divBdr>
            <w:top w:val="none" w:sz="0" w:space="0" w:color="auto"/>
            <w:left w:val="none" w:sz="0" w:space="0" w:color="auto"/>
            <w:bottom w:val="none" w:sz="0" w:space="0" w:color="auto"/>
            <w:right w:val="none" w:sz="0" w:space="0" w:color="auto"/>
          </w:divBdr>
          <w:divsChild>
            <w:div w:id="1393885802">
              <w:marLeft w:val="0"/>
              <w:marRight w:val="0"/>
              <w:marTop w:val="0"/>
              <w:marBottom w:val="0"/>
              <w:divBdr>
                <w:top w:val="none" w:sz="0" w:space="0" w:color="auto"/>
                <w:left w:val="none" w:sz="0" w:space="0" w:color="auto"/>
                <w:bottom w:val="none" w:sz="0" w:space="0" w:color="auto"/>
                <w:right w:val="none" w:sz="0" w:space="0" w:color="auto"/>
              </w:divBdr>
              <w:divsChild>
                <w:div w:id="653144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7716642">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1400137">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79266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78431380">
      <w:bodyDiv w:val="1"/>
      <w:marLeft w:val="0"/>
      <w:marRight w:val="0"/>
      <w:marTop w:val="0"/>
      <w:marBottom w:val="0"/>
      <w:divBdr>
        <w:top w:val="none" w:sz="0" w:space="0" w:color="auto"/>
        <w:left w:val="none" w:sz="0" w:space="0" w:color="auto"/>
        <w:bottom w:val="none" w:sz="0" w:space="0" w:color="auto"/>
        <w:right w:val="none" w:sz="0" w:space="0" w:color="auto"/>
      </w:divBdr>
    </w:div>
    <w:div w:id="379550618">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56877285">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9011270">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222371">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235495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70652335">
      <w:bodyDiv w:val="1"/>
      <w:marLeft w:val="0"/>
      <w:marRight w:val="0"/>
      <w:marTop w:val="0"/>
      <w:marBottom w:val="0"/>
      <w:divBdr>
        <w:top w:val="none" w:sz="0" w:space="0" w:color="auto"/>
        <w:left w:val="none" w:sz="0" w:space="0" w:color="auto"/>
        <w:bottom w:val="none" w:sz="0" w:space="0" w:color="auto"/>
        <w:right w:val="none" w:sz="0" w:space="0" w:color="auto"/>
      </w:divBdr>
    </w:div>
    <w:div w:id="580720910">
      <w:bodyDiv w:val="1"/>
      <w:marLeft w:val="0"/>
      <w:marRight w:val="0"/>
      <w:marTop w:val="0"/>
      <w:marBottom w:val="0"/>
      <w:divBdr>
        <w:top w:val="none" w:sz="0" w:space="0" w:color="auto"/>
        <w:left w:val="none" w:sz="0" w:space="0" w:color="auto"/>
        <w:bottom w:val="none" w:sz="0" w:space="0" w:color="auto"/>
        <w:right w:val="none" w:sz="0" w:space="0" w:color="auto"/>
      </w:divBdr>
      <w:divsChild>
        <w:div w:id="1337340172">
          <w:marLeft w:val="0"/>
          <w:marRight w:val="0"/>
          <w:marTop w:val="0"/>
          <w:marBottom w:val="0"/>
          <w:divBdr>
            <w:top w:val="none" w:sz="0" w:space="0" w:color="auto"/>
            <w:left w:val="none" w:sz="0" w:space="0" w:color="auto"/>
            <w:bottom w:val="none" w:sz="0" w:space="0" w:color="auto"/>
            <w:right w:val="none" w:sz="0" w:space="0" w:color="auto"/>
          </w:divBdr>
        </w:div>
      </w:divsChild>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1284043">
      <w:bodyDiv w:val="1"/>
      <w:marLeft w:val="0"/>
      <w:marRight w:val="0"/>
      <w:marTop w:val="0"/>
      <w:marBottom w:val="0"/>
      <w:divBdr>
        <w:top w:val="none" w:sz="0" w:space="0" w:color="auto"/>
        <w:left w:val="none" w:sz="0" w:space="0" w:color="auto"/>
        <w:bottom w:val="none" w:sz="0" w:space="0" w:color="auto"/>
        <w:right w:val="none" w:sz="0" w:space="0" w:color="auto"/>
      </w:divBdr>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329070">
      <w:bodyDiv w:val="1"/>
      <w:marLeft w:val="0"/>
      <w:marRight w:val="0"/>
      <w:marTop w:val="0"/>
      <w:marBottom w:val="0"/>
      <w:divBdr>
        <w:top w:val="none" w:sz="0" w:space="0" w:color="auto"/>
        <w:left w:val="none" w:sz="0" w:space="0" w:color="auto"/>
        <w:bottom w:val="none" w:sz="0" w:space="0" w:color="auto"/>
        <w:right w:val="none" w:sz="0" w:space="0" w:color="auto"/>
      </w:divBdr>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10163729">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37418480">
      <w:bodyDiv w:val="1"/>
      <w:marLeft w:val="0"/>
      <w:marRight w:val="0"/>
      <w:marTop w:val="0"/>
      <w:marBottom w:val="0"/>
      <w:divBdr>
        <w:top w:val="none" w:sz="0" w:space="0" w:color="auto"/>
        <w:left w:val="none" w:sz="0" w:space="0" w:color="auto"/>
        <w:bottom w:val="none" w:sz="0" w:space="0" w:color="auto"/>
        <w:right w:val="none" w:sz="0" w:space="0" w:color="auto"/>
      </w:divBdr>
      <w:divsChild>
        <w:div w:id="133331227">
          <w:marLeft w:val="0"/>
          <w:marRight w:val="0"/>
          <w:marTop w:val="0"/>
          <w:marBottom w:val="0"/>
          <w:divBdr>
            <w:top w:val="none" w:sz="0" w:space="0" w:color="auto"/>
            <w:left w:val="none" w:sz="0" w:space="0" w:color="auto"/>
            <w:bottom w:val="none" w:sz="0" w:space="0" w:color="auto"/>
            <w:right w:val="none" w:sz="0" w:space="0" w:color="auto"/>
          </w:divBdr>
          <w:divsChild>
            <w:div w:id="1117915273">
              <w:marLeft w:val="0"/>
              <w:marRight w:val="0"/>
              <w:marTop w:val="0"/>
              <w:marBottom w:val="0"/>
              <w:divBdr>
                <w:top w:val="none" w:sz="0" w:space="0" w:color="auto"/>
                <w:left w:val="none" w:sz="0" w:space="0" w:color="auto"/>
                <w:bottom w:val="none" w:sz="0" w:space="0" w:color="auto"/>
                <w:right w:val="none" w:sz="0" w:space="0" w:color="auto"/>
              </w:divBdr>
              <w:divsChild>
                <w:div w:id="107743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147473">
      <w:bodyDiv w:val="1"/>
      <w:marLeft w:val="0"/>
      <w:marRight w:val="0"/>
      <w:marTop w:val="0"/>
      <w:marBottom w:val="0"/>
      <w:divBdr>
        <w:top w:val="none" w:sz="0" w:space="0" w:color="auto"/>
        <w:left w:val="none" w:sz="0" w:space="0" w:color="auto"/>
        <w:bottom w:val="none" w:sz="0" w:space="0" w:color="auto"/>
        <w:right w:val="none" w:sz="0" w:space="0" w:color="auto"/>
      </w:divBdr>
      <w:divsChild>
        <w:div w:id="1482426068">
          <w:marLeft w:val="0"/>
          <w:marRight w:val="0"/>
          <w:marTop w:val="0"/>
          <w:marBottom w:val="0"/>
          <w:divBdr>
            <w:top w:val="none" w:sz="0" w:space="0" w:color="auto"/>
            <w:left w:val="none" w:sz="0" w:space="0" w:color="auto"/>
            <w:bottom w:val="none" w:sz="0" w:space="0" w:color="auto"/>
            <w:right w:val="none" w:sz="0" w:space="0" w:color="auto"/>
          </w:divBdr>
        </w:div>
        <w:div w:id="1786777220">
          <w:marLeft w:val="0"/>
          <w:marRight w:val="0"/>
          <w:marTop w:val="0"/>
          <w:marBottom w:val="0"/>
          <w:divBdr>
            <w:top w:val="none" w:sz="0" w:space="0" w:color="auto"/>
            <w:left w:val="none" w:sz="0" w:space="0" w:color="auto"/>
            <w:bottom w:val="none" w:sz="0" w:space="0" w:color="auto"/>
            <w:right w:val="none" w:sz="0" w:space="0" w:color="auto"/>
          </w:divBdr>
        </w:div>
        <w:div w:id="1973706903">
          <w:marLeft w:val="0"/>
          <w:marRight w:val="0"/>
          <w:marTop w:val="0"/>
          <w:marBottom w:val="0"/>
          <w:divBdr>
            <w:top w:val="none" w:sz="0" w:space="0" w:color="auto"/>
            <w:left w:val="none" w:sz="0" w:space="0" w:color="auto"/>
            <w:bottom w:val="none" w:sz="0" w:space="0" w:color="auto"/>
            <w:right w:val="none" w:sz="0" w:space="0" w:color="auto"/>
          </w:divBdr>
        </w:div>
        <w:div w:id="704401714">
          <w:marLeft w:val="0"/>
          <w:marRight w:val="0"/>
          <w:marTop w:val="0"/>
          <w:marBottom w:val="0"/>
          <w:divBdr>
            <w:top w:val="none" w:sz="0" w:space="0" w:color="auto"/>
            <w:left w:val="none" w:sz="0" w:space="0" w:color="auto"/>
            <w:bottom w:val="none" w:sz="0" w:space="0" w:color="auto"/>
            <w:right w:val="none" w:sz="0" w:space="0" w:color="auto"/>
          </w:divBdr>
        </w:div>
        <w:div w:id="113255144">
          <w:marLeft w:val="0"/>
          <w:marRight w:val="0"/>
          <w:marTop w:val="0"/>
          <w:marBottom w:val="0"/>
          <w:divBdr>
            <w:top w:val="none" w:sz="0" w:space="0" w:color="auto"/>
            <w:left w:val="none" w:sz="0" w:space="0" w:color="auto"/>
            <w:bottom w:val="none" w:sz="0" w:space="0" w:color="auto"/>
            <w:right w:val="none" w:sz="0" w:space="0" w:color="auto"/>
          </w:divBdr>
        </w:div>
      </w:divsChild>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43775461">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5646275">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7491459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12491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3775468">
      <w:bodyDiv w:val="1"/>
      <w:marLeft w:val="0"/>
      <w:marRight w:val="0"/>
      <w:marTop w:val="0"/>
      <w:marBottom w:val="0"/>
      <w:divBdr>
        <w:top w:val="none" w:sz="0" w:space="0" w:color="auto"/>
        <w:left w:val="none" w:sz="0" w:space="0" w:color="auto"/>
        <w:bottom w:val="none" w:sz="0" w:space="0" w:color="auto"/>
        <w:right w:val="none" w:sz="0" w:space="0" w:color="auto"/>
      </w:divBdr>
      <w:divsChild>
        <w:div w:id="1932541824">
          <w:marLeft w:val="0"/>
          <w:marRight w:val="0"/>
          <w:marTop w:val="0"/>
          <w:marBottom w:val="0"/>
          <w:divBdr>
            <w:top w:val="none" w:sz="0" w:space="0" w:color="auto"/>
            <w:left w:val="none" w:sz="0" w:space="0" w:color="auto"/>
            <w:bottom w:val="none" w:sz="0" w:space="0" w:color="auto"/>
            <w:right w:val="none" w:sz="0" w:space="0" w:color="auto"/>
          </w:divBdr>
        </w:div>
      </w:divsChild>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177637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43351">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112238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803852">
      <w:bodyDiv w:val="1"/>
      <w:marLeft w:val="0"/>
      <w:marRight w:val="0"/>
      <w:marTop w:val="0"/>
      <w:marBottom w:val="0"/>
      <w:divBdr>
        <w:top w:val="none" w:sz="0" w:space="0" w:color="auto"/>
        <w:left w:val="none" w:sz="0" w:space="0" w:color="auto"/>
        <w:bottom w:val="none" w:sz="0" w:space="0" w:color="auto"/>
        <w:right w:val="none" w:sz="0" w:space="0" w:color="auto"/>
      </w:divBdr>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6629019">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18427827">
      <w:bodyDiv w:val="1"/>
      <w:marLeft w:val="0"/>
      <w:marRight w:val="0"/>
      <w:marTop w:val="0"/>
      <w:marBottom w:val="0"/>
      <w:divBdr>
        <w:top w:val="none" w:sz="0" w:space="0" w:color="auto"/>
        <w:left w:val="none" w:sz="0" w:space="0" w:color="auto"/>
        <w:bottom w:val="none" w:sz="0" w:space="0" w:color="auto"/>
        <w:right w:val="none" w:sz="0" w:space="0" w:color="auto"/>
      </w:divBdr>
    </w:div>
    <w:div w:id="824931210">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39077706">
      <w:bodyDiv w:val="1"/>
      <w:marLeft w:val="0"/>
      <w:marRight w:val="0"/>
      <w:marTop w:val="0"/>
      <w:marBottom w:val="0"/>
      <w:divBdr>
        <w:top w:val="none" w:sz="0" w:space="0" w:color="auto"/>
        <w:left w:val="none" w:sz="0" w:space="0" w:color="auto"/>
        <w:bottom w:val="none" w:sz="0" w:space="0" w:color="auto"/>
        <w:right w:val="none" w:sz="0" w:space="0" w:color="auto"/>
      </w:divBdr>
      <w:divsChild>
        <w:div w:id="1012681878">
          <w:marLeft w:val="0"/>
          <w:marRight w:val="0"/>
          <w:marTop w:val="0"/>
          <w:marBottom w:val="0"/>
          <w:divBdr>
            <w:top w:val="none" w:sz="0" w:space="0" w:color="auto"/>
            <w:left w:val="none" w:sz="0" w:space="0" w:color="auto"/>
            <w:bottom w:val="none" w:sz="0" w:space="0" w:color="auto"/>
            <w:right w:val="none" w:sz="0" w:space="0" w:color="auto"/>
          </w:divBdr>
          <w:divsChild>
            <w:div w:id="1639336313">
              <w:marLeft w:val="0"/>
              <w:marRight w:val="0"/>
              <w:marTop w:val="0"/>
              <w:marBottom w:val="0"/>
              <w:divBdr>
                <w:top w:val="none" w:sz="0" w:space="0" w:color="auto"/>
                <w:left w:val="none" w:sz="0" w:space="0" w:color="auto"/>
                <w:bottom w:val="none" w:sz="0" w:space="0" w:color="auto"/>
                <w:right w:val="none" w:sz="0" w:space="0" w:color="auto"/>
              </w:divBdr>
              <w:divsChild>
                <w:div w:id="531040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0503732">
      <w:bodyDiv w:val="1"/>
      <w:marLeft w:val="0"/>
      <w:marRight w:val="0"/>
      <w:marTop w:val="0"/>
      <w:marBottom w:val="0"/>
      <w:divBdr>
        <w:top w:val="none" w:sz="0" w:space="0" w:color="auto"/>
        <w:left w:val="none" w:sz="0" w:space="0" w:color="auto"/>
        <w:bottom w:val="none" w:sz="0" w:space="0" w:color="auto"/>
        <w:right w:val="none" w:sz="0" w:space="0" w:color="auto"/>
      </w:divBdr>
      <w:divsChild>
        <w:div w:id="64840735">
          <w:marLeft w:val="0"/>
          <w:marRight w:val="0"/>
          <w:marTop w:val="0"/>
          <w:marBottom w:val="0"/>
          <w:divBdr>
            <w:top w:val="none" w:sz="0" w:space="0" w:color="auto"/>
            <w:left w:val="none" w:sz="0" w:space="0" w:color="auto"/>
            <w:bottom w:val="none" w:sz="0" w:space="0" w:color="auto"/>
            <w:right w:val="none" w:sz="0" w:space="0" w:color="auto"/>
          </w:divBdr>
        </w:div>
        <w:div w:id="748162411">
          <w:marLeft w:val="0"/>
          <w:marRight w:val="0"/>
          <w:marTop w:val="0"/>
          <w:marBottom w:val="0"/>
          <w:divBdr>
            <w:top w:val="none" w:sz="0" w:space="0" w:color="auto"/>
            <w:left w:val="none" w:sz="0" w:space="0" w:color="auto"/>
            <w:bottom w:val="none" w:sz="0" w:space="0" w:color="auto"/>
            <w:right w:val="none" w:sz="0" w:space="0" w:color="auto"/>
          </w:divBdr>
        </w:div>
        <w:div w:id="1368945924">
          <w:marLeft w:val="0"/>
          <w:marRight w:val="0"/>
          <w:marTop w:val="0"/>
          <w:marBottom w:val="0"/>
          <w:divBdr>
            <w:top w:val="none" w:sz="0" w:space="0" w:color="auto"/>
            <w:left w:val="none" w:sz="0" w:space="0" w:color="auto"/>
            <w:bottom w:val="none" w:sz="0" w:space="0" w:color="auto"/>
            <w:right w:val="none" w:sz="0" w:space="0" w:color="auto"/>
          </w:divBdr>
        </w:div>
      </w:divsChild>
    </w:div>
    <w:div w:id="934825871">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631209">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436131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06133383">
      <w:bodyDiv w:val="1"/>
      <w:marLeft w:val="0"/>
      <w:marRight w:val="0"/>
      <w:marTop w:val="0"/>
      <w:marBottom w:val="0"/>
      <w:divBdr>
        <w:top w:val="none" w:sz="0" w:space="0" w:color="auto"/>
        <w:left w:val="none" w:sz="0" w:space="0" w:color="auto"/>
        <w:bottom w:val="none" w:sz="0" w:space="0" w:color="auto"/>
        <w:right w:val="none" w:sz="0" w:space="0" w:color="auto"/>
      </w:divBdr>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01641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54230052">
      <w:bodyDiv w:val="1"/>
      <w:marLeft w:val="0"/>
      <w:marRight w:val="0"/>
      <w:marTop w:val="0"/>
      <w:marBottom w:val="0"/>
      <w:divBdr>
        <w:top w:val="none" w:sz="0" w:space="0" w:color="auto"/>
        <w:left w:val="none" w:sz="0" w:space="0" w:color="auto"/>
        <w:bottom w:val="none" w:sz="0" w:space="0" w:color="auto"/>
        <w:right w:val="none" w:sz="0" w:space="0" w:color="auto"/>
      </w:divBdr>
    </w:div>
    <w:div w:id="1056318055">
      <w:bodyDiv w:val="1"/>
      <w:marLeft w:val="0"/>
      <w:marRight w:val="0"/>
      <w:marTop w:val="0"/>
      <w:marBottom w:val="0"/>
      <w:divBdr>
        <w:top w:val="none" w:sz="0" w:space="0" w:color="auto"/>
        <w:left w:val="none" w:sz="0" w:space="0" w:color="auto"/>
        <w:bottom w:val="none" w:sz="0" w:space="0" w:color="auto"/>
        <w:right w:val="none" w:sz="0" w:space="0" w:color="auto"/>
      </w:divBdr>
    </w:div>
    <w:div w:id="1057584220">
      <w:bodyDiv w:val="1"/>
      <w:marLeft w:val="0"/>
      <w:marRight w:val="0"/>
      <w:marTop w:val="0"/>
      <w:marBottom w:val="0"/>
      <w:divBdr>
        <w:top w:val="none" w:sz="0" w:space="0" w:color="auto"/>
        <w:left w:val="none" w:sz="0" w:space="0" w:color="auto"/>
        <w:bottom w:val="none" w:sz="0" w:space="0" w:color="auto"/>
        <w:right w:val="none" w:sz="0" w:space="0" w:color="auto"/>
      </w:divBdr>
    </w:div>
    <w:div w:id="1060784058">
      <w:bodyDiv w:val="1"/>
      <w:marLeft w:val="0"/>
      <w:marRight w:val="0"/>
      <w:marTop w:val="0"/>
      <w:marBottom w:val="0"/>
      <w:divBdr>
        <w:top w:val="none" w:sz="0" w:space="0" w:color="auto"/>
        <w:left w:val="none" w:sz="0" w:space="0" w:color="auto"/>
        <w:bottom w:val="none" w:sz="0" w:space="0" w:color="auto"/>
        <w:right w:val="none" w:sz="0" w:space="0" w:color="auto"/>
      </w:divBdr>
    </w:div>
    <w:div w:id="1065646767">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4568713">
      <w:bodyDiv w:val="1"/>
      <w:marLeft w:val="0"/>
      <w:marRight w:val="0"/>
      <w:marTop w:val="0"/>
      <w:marBottom w:val="0"/>
      <w:divBdr>
        <w:top w:val="none" w:sz="0" w:space="0" w:color="auto"/>
        <w:left w:val="none" w:sz="0" w:space="0" w:color="auto"/>
        <w:bottom w:val="none" w:sz="0" w:space="0" w:color="auto"/>
        <w:right w:val="none" w:sz="0" w:space="0" w:color="auto"/>
      </w:divBdr>
    </w:div>
    <w:div w:id="1096558198">
      <w:bodyDiv w:val="1"/>
      <w:marLeft w:val="0"/>
      <w:marRight w:val="0"/>
      <w:marTop w:val="0"/>
      <w:marBottom w:val="0"/>
      <w:divBdr>
        <w:top w:val="none" w:sz="0" w:space="0" w:color="auto"/>
        <w:left w:val="none" w:sz="0" w:space="0" w:color="auto"/>
        <w:bottom w:val="none" w:sz="0" w:space="0" w:color="auto"/>
        <w:right w:val="none" w:sz="0" w:space="0" w:color="auto"/>
      </w:divBdr>
    </w:div>
    <w:div w:id="1101487777">
      <w:bodyDiv w:val="1"/>
      <w:marLeft w:val="0"/>
      <w:marRight w:val="0"/>
      <w:marTop w:val="0"/>
      <w:marBottom w:val="0"/>
      <w:divBdr>
        <w:top w:val="none" w:sz="0" w:space="0" w:color="auto"/>
        <w:left w:val="none" w:sz="0" w:space="0" w:color="auto"/>
        <w:bottom w:val="none" w:sz="0" w:space="0" w:color="auto"/>
        <w:right w:val="none" w:sz="0" w:space="0" w:color="auto"/>
      </w:divBdr>
      <w:divsChild>
        <w:div w:id="98067892">
          <w:marLeft w:val="0"/>
          <w:marRight w:val="0"/>
          <w:marTop w:val="0"/>
          <w:marBottom w:val="0"/>
          <w:divBdr>
            <w:top w:val="none" w:sz="0" w:space="0" w:color="auto"/>
            <w:left w:val="none" w:sz="0" w:space="0" w:color="auto"/>
            <w:bottom w:val="none" w:sz="0" w:space="0" w:color="auto"/>
            <w:right w:val="none" w:sz="0" w:space="0" w:color="auto"/>
          </w:divBdr>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5534475">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3929162">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89556452">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0768293">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7489096">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383800">
      <w:bodyDiv w:val="1"/>
      <w:marLeft w:val="0"/>
      <w:marRight w:val="0"/>
      <w:marTop w:val="0"/>
      <w:marBottom w:val="0"/>
      <w:divBdr>
        <w:top w:val="none" w:sz="0" w:space="0" w:color="auto"/>
        <w:left w:val="none" w:sz="0" w:space="0" w:color="auto"/>
        <w:bottom w:val="none" w:sz="0" w:space="0" w:color="auto"/>
        <w:right w:val="none" w:sz="0" w:space="0" w:color="auto"/>
      </w:divBdr>
    </w:div>
    <w:div w:id="1329752325">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0472351">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5615560">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197012">
      <w:bodyDiv w:val="1"/>
      <w:marLeft w:val="0"/>
      <w:marRight w:val="0"/>
      <w:marTop w:val="0"/>
      <w:marBottom w:val="0"/>
      <w:divBdr>
        <w:top w:val="none" w:sz="0" w:space="0" w:color="auto"/>
        <w:left w:val="none" w:sz="0" w:space="0" w:color="auto"/>
        <w:bottom w:val="none" w:sz="0" w:space="0" w:color="auto"/>
        <w:right w:val="none" w:sz="0" w:space="0" w:color="auto"/>
      </w:divBdr>
    </w:div>
    <w:div w:id="1437478582">
      <w:bodyDiv w:val="1"/>
      <w:marLeft w:val="0"/>
      <w:marRight w:val="0"/>
      <w:marTop w:val="0"/>
      <w:marBottom w:val="0"/>
      <w:divBdr>
        <w:top w:val="none" w:sz="0" w:space="0" w:color="auto"/>
        <w:left w:val="none" w:sz="0" w:space="0" w:color="auto"/>
        <w:bottom w:val="none" w:sz="0" w:space="0" w:color="auto"/>
        <w:right w:val="none" w:sz="0" w:space="0" w:color="auto"/>
      </w:divBdr>
      <w:divsChild>
        <w:div w:id="1045102601">
          <w:marLeft w:val="0"/>
          <w:marRight w:val="0"/>
          <w:marTop w:val="0"/>
          <w:marBottom w:val="0"/>
          <w:divBdr>
            <w:top w:val="none" w:sz="0" w:space="0" w:color="auto"/>
            <w:left w:val="none" w:sz="0" w:space="0" w:color="auto"/>
            <w:bottom w:val="none" w:sz="0" w:space="0" w:color="auto"/>
            <w:right w:val="none" w:sz="0" w:space="0" w:color="auto"/>
          </w:divBdr>
          <w:divsChild>
            <w:div w:id="1365717778">
              <w:marLeft w:val="0"/>
              <w:marRight w:val="0"/>
              <w:marTop w:val="0"/>
              <w:marBottom w:val="0"/>
              <w:divBdr>
                <w:top w:val="none" w:sz="0" w:space="0" w:color="auto"/>
                <w:left w:val="none" w:sz="0" w:space="0" w:color="auto"/>
                <w:bottom w:val="none" w:sz="0" w:space="0" w:color="auto"/>
                <w:right w:val="none" w:sz="0" w:space="0" w:color="auto"/>
              </w:divBdr>
              <w:divsChild>
                <w:div w:id="128542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5929761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498156499">
      <w:bodyDiv w:val="1"/>
      <w:marLeft w:val="0"/>
      <w:marRight w:val="0"/>
      <w:marTop w:val="0"/>
      <w:marBottom w:val="0"/>
      <w:divBdr>
        <w:top w:val="none" w:sz="0" w:space="0" w:color="auto"/>
        <w:left w:val="none" w:sz="0" w:space="0" w:color="auto"/>
        <w:bottom w:val="none" w:sz="0" w:space="0" w:color="auto"/>
        <w:right w:val="none" w:sz="0" w:space="0" w:color="auto"/>
      </w:divBdr>
    </w:div>
    <w:div w:id="1498376081">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2185197">
      <w:bodyDiv w:val="1"/>
      <w:marLeft w:val="0"/>
      <w:marRight w:val="0"/>
      <w:marTop w:val="0"/>
      <w:marBottom w:val="0"/>
      <w:divBdr>
        <w:top w:val="none" w:sz="0" w:space="0" w:color="auto"/>
        <w:left w:val="none" w:sz="0" w:space="0" w:color="auto"/>
        <w:bottom w:val="none" w:sz="0" w:space="0" w:color="auto"/>
        <w:right w:val="none" w:sz="0" w:space="0" w:color="auto"/>
      </w:divBdr>
    </w:div>
    <w:div w:id="1512379971">
      <w:bodyDiv w:val="1"/>
      <w:marLeft w:val="0"/>
      <w:marRight w:val="0"/>
      <w:marTop w:val="0"/>
      <w:marBottom w:val="0"/>
      <w:divBdr>
        <w:top w:val="none" w:sz="0" w:space="0" w:color="auto"/>
        <w:left w:val="none" w:sz="0" w:space="0" w:color="auto"/>
        <w:bottom w:val="none" w:sz="0" w:space="0" w:color="auto"/>
        <w:right w:val="none" w:sz="0" w:space="0" w:color="auto"/>
      </w:divBdr>
      <w:divsChild>
        <w:div w:id="49622318">
          <w:marLeft w:val="0"/>
          <w:marRight w:val="0"/>
          <w:marTop w:val="0"/>
          <w:marBottom w:val="0"/>
          <w:divBdr>
            <w:top w:val="none" w:sz="0" w:space="0" w:color="auto"/>
            <w:left w:val="none" w:sz="0" w:space="0" w:color="auto"/>
            <w:bottom w:val="none" w:sz="0" w:space="0" w:color="auto"/>
            <w:right w:val="none" w:sz="0" w:space="0" w:color="auto"/>
          </w:divBdr>
          <w:divsChild>
            <w:div w:id="1320771641">
              <w:marLeft w:val="0"/>
              <w:marRight w:val="0"/>
              <w:marTop w:val="0"/>
              <w:marBottom w:val="0"/>
              <w:divBdr>
                <w:top w:val="none" w:sz="0" w:space="0" w:color="auto"/>
                <w:left w:val="none" w:sz="0" w:space="0" w:color="auto"/>
                <w:bottom w:val="none" w:sz="0" w:space="0" w:color="auto"/>
                <w:right w:val="none" w:sz="0" w:space="0" w:color="auto"/>
              </w:divBdr>
              <w:divsChild>
                <w:div w:id="1378579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8083769">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472906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2910145">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2811181">
      <w:bodyDiv w:val="1"/>
      <w:marLeft w:val="0"/>
      <w:marRight w:val="0"/>
      <w:marTop w:val="0"/>
      <w:marBottom w:val="0"/>
      <w:divBdr>
        <w:top w:val="none" w:sz="0" w:space="0" w:color="auto"/>
        <w:left w:val="none" w:sz="0" w:space="0" w:color="auto"/>
        <w:bottom w:val="none" w:sz="0" w:space="0" w:color="auto"/>
        <w:right w:val="none" w:sz="0" w:space="0" w:color="auto"/>
      </w:divBdr>
      <w:divsChild>
        <w:div w:id="418597455">
          <w:marLeft w:val="0"/>
          <w:marRight w:val="0"/>
          <w:marTop w:val="0"/>
          <w:marBottom w:val="0"/>
          <w:divBdr>
            <w:top w:val="none" w:sz="0" w:space="0" w:color="auto"/>
            <w:left w:val="none" w:sz="0" w:space="0" w:color="auto"/>
            <w:bottom w:val="none" w:sz="0" w:space="0" w:color="auto"/>
            <w:right w:val="none" w:sz="0" w:space="0" w:color="auto"/>
          </w:divBdr>
          <w:divsChild>
            <w:div w:id="1001472729">
              <w:marLeft w:val="0"/>
              <w:marRight w:val="0"/>
              <w:marTop w:val="0"/>
              <w:marBottom w:val="0"/>
              <w:divBdr>
                <w:top w:val="none" w:sz="0" w:space="0" w:color="auto"/>
                <w:left w:val="none" w:sz="0" w:space="0" w:color="auto"/>
                <w:bottom w:val="none" w:sz="0" w:space="0" w:color="auto"/>
                <w:right w:val="none" w:sz="0" w:space="0" w:color="auto"/>
              </w:divBdr>
              <w:divsChild>
                <w:div w:id="764806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4916429">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2875713">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33554973">
      <w:bodyDiv w:val="1"/>
      <w:marLeft w:val="0"/>
      <w:marRight w:val="0"/>
      <w:marTop w:val="0"/>
      <w:marBottom w:val="0"/>
      <w:divBdr>
        <w:top w:val="none" w:sz="0" w:space="0" w:color="auto"/>
        <w:left w:val="none" w:sz="0" w:space="0" w:color="auto"/>
        <w:bottom w:val="none" w:sz="0" w:space="0" w:color="auto"/>
        <w:right w:val="none" w:sz="0" w:space="0" w:color="auto"/>
      </w:divBdr>
    </w:div>
    <w:div w:id="1635519712">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6645166">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1734656">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227421">
      <w:bodyDiv w:val="1"/>
      <w:marLeft w:val="0"/>
      <w:marRight w:val="0"/>
      <w:marTop w:val="0"/>
      <w:marBottom w:val="0"/>
      <w:divBdr>
        <w:top w:val="none" w:sz="0" w:space="0" w:color="auto"/>
        <w:left w:val="none" w:sz="0" w:space="0" w:color="auto"/>
        <w:bottom w:val="none" w:sz="0" w:space="0" w:color="auto"/>
        <w:right w:val="none" w:sz="0" w:space="0" w:color="auto"/>
      </w:divBdr>
      <w:divsChild>
        <w:div w:id="1902449101">
          <w:marLeft w:val="0"/>
          <w:marRight w:val="0"/>
          <w:marTop w:val="0"/>
          <w:marBottom w:val="0"/>
          <w:divBdr>
            <w:top w:val="none" w:sz="0" w:space="0" w:color="auto"/>
            <w:left w:val="none" w:sz="0" w:space="0" w:color="auto"/>
            <w:bottom w:val="none" w:sz="0" w:space="0" w:color="auto"/>
            <w:right w:val="none" w:sz="0" w:space="0" w:color="auto"/>
          </w:divBdr>
          <w:divsChild>
            <w:div w:id="839198442">
              <w:marLeft w:val="0"/>
              <w:marRight w:val="0"/>
              <w:marTop w:val="0"/>
              <w:marBottom w:val="0"/>
              <w:divBdr>
                <w:top w:val="none" w:sz="0" w:space="0" w:color="auto"/>
                <w:left w:val="none" w:sz="0" w:space="0" w:color="auto"/>
                <w:bottom w:val="none" w:sz="0" w:space="0" w:color="auto"/>
                <w:right w:val="none" w:sz="0" w:space="0" w:color="auto"/>
              </w:divBdr>
              <w:divsChild>
                <w:div w:id="80531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6583900">
      <w:bodyDiv w:val="1"/>
      <w:marLeft w:val="0"/>
      <w:marRight w:val="0"/>
      <w:marTop w:val="0"/>
      <w:marBottom w:val="0"/>
      <w:divBdr>
        <w:top w:val="none" w:sz="0" w:space="0" w:color="auto"/>
        <w:left w:val="none" w:sz="0" w:space="0" w:color="auto"/>
        <w:bottom w:val="none" w:sz="0" w:space="0" w:color="auto"/>
        <w:right w:val="none" w:sz="0" w:space="0" w:color="auto"/>
      </w:divBdr>
    </w:div>
    <w:div w:id="1790584894">
      <w:bodyDiv w:val="1"/>
      <w:marLeft w:val="0"/>
      <w:marRight w:val="0"/>
      <w:marTop w:val="0"/>
      <w:marBottom w:val="0"/>
      <w:divBdr>
        <w:top w:val="none" w:sz="0" w:space="0" w:color="auto"/>
        <w:left w:val="none" w:sz="0" w:space="0" w:color="auto"/>
        <w:bottom w:val="none" w:sz="0" w:space="0" w:color="auto"/>
        <w:right w:val="none" w:sz="0" w:space="0" w:color="auto"/>
      </w:divBdr>
      <w:divsChild>
        <w:div w:id="762461414">
          <w:marLeft w:val="0"/>
          <w:marRight w:val="0"/>
          <w:marTop w:val="0"/>
          <w:marBottom w:val="0"/>
          <w:divBdr>
            <w:top w:val="none" w:sz="0" w:space="0" w:color="auto"/>
            <w:left w:val="none" w:sz="0" w:space="0" w:color="auto"/>
            <w:bottom w:val="none" w:sz="0" w:space="0" w:color="auto"/>
            <w:right w:val="none" w:sz="0" w:space="0" w:color="auto"/>
          </w:divBdr>
          <w:divsChild>
            <w:div w:id="1127822397">
              <w:marLeft w:val="0"/>
              <w:marRight w:val="0"/>
              <w:marTop w:val="0"/>
              <w:marBottom w:val="0"/>
              <w:divBdr>
                <w:top w:val="none" w:sz="0" w:space="0" w:color="auto"/>
                <w:left w:val="none" w:sz="0" w:space="0" w:color="auto"/>
                <w:bottom w:val="none" w:sz="0" w:space="0" w:color="auto"/>
                <w:right w:val="none" w:sz="0" w:space="0" w:color="auto"/>
              </w:divBdr>
              <w:divsChild>
                <w:div w:id="64123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2094871">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597897">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350112">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1628712">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1847817">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29255">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0893020">
      <w:bodyDiv w:val="1"/>
      <w:marLeft w:val="0"/>
      <w:marRight w:val="0"/>
      <w:marTop w:val="0"/>
      <w:marBottom w:val="0"/>
      <w:divBdr>
        <w:top w:val="none" w:sz="0" w:space="0" w:color="auto"/>
        <w:left w:val="none" w:sz="0" w:space="0" w:color="auto"/>
        <w:bottom w:val="none" w:sz="0" w:space="0" w:color="auto"/>
        <w:right w:val="none" w:sz="0" w:space="0" w:color="auto"/>
      </w:divBdr>
    </w:div>
    <w:div w:id="1883974292">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1692212">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15815225">
      <w:bodyDiv w:val="1"/>
      <w:marLeft w:val="0"/>
      <w:marRight w:val="0"/>
      <w:marTop w:val="0"/>
      <w:marBottom w:val="0"/>
      <w:divBdr>
        <w:top w:val="none" w:sz="0" w:space="0" w:color="auto"/>
        <w:left w:val="none" w:sz="0" w:space="0" w:color="auto"/>
        <w:bottom w:val="none" w:sz="0" w:space="0" w:color="auto"/>
        <w:right w:val="none" w:sz="0" w:space="0" w:color="auto"/>
      </w:divBdr>
      <w:divsChild>
        <w:div w:id="1418945597">
          <w:marLeft w:val="0"/>
          <w:marRight w:val="0"/>
          <w:marTop w:val="0"/>
          <w:marBottom w:val="0"/>
          <w:divBdr>
            <w:top w:val="none" w:sz="0" w:space="0" w:color="auto"/>
            <w:left w:val="none" w:sz="0" w:space="0" w:color="auto"/>
            <w:bottom w:val="none" w:sz="0" w:space="0" w:color="auto"/>
            <w:right w:val="none" w:sz="0" w:space="0" w:color="auto"/>
          </w:divBdr>
          <w:divsChild>
            <w:div w:id="1531139627">
              <w:marLeft w:val="0"/>
              <w:marRight w:val="0"/>
              <w:marTop w:val="0"/>
              <w:marBottom w:val="0"/>
              <w:divBdr>
                <w:top w:val="none" w:sz="0" w:space="0" w:color="auto"/>
                <w:left w:val="none" w:sz="0" w:space="0" w:color="auto"/>
                <w:bottom w:val="none" w:sz="0" w:space="0" w:color="auto"/>
                <w:right w:val="none" w:sz="0" w:space="0" w:color="auto"/>
              </w:divBdr>
              <w:divsChild>
                <w:div w:id="2048066693">
                  <w:marLeft w:val="0"/>
                  <w:marRight w:val="0"/>
                  <w:marTop w:val="0"/>
                  <w:marBottom w:val="0"/>
                  <w:divBdr>
                    <w:top w:val="none" w:sz="0" w:space="0" w:color="auto"/>
                    <w:left w:val="none" w:sz="0" w:space="0" w:color="auto"/>
                    <w:bottom w:val="none" w:sz="0" w:space="0" w:color="auto"/>
                    <w:right w:val="none" w:sz="0" w:space="0" w:color="auto"/>
                  </w:divBdr>
                  <w:divsChild>
                    <w:div w:id="29190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777324">
          <w:marLeft w:val="0"/>
          <w:marRight w:val="0"/>
          <w:marTop w:val="0"/>
          <w:marBottom w:val="0"/>
          <w:divBdr>
            <w:top w:val="none" w:sz="0" w:space="0" w:color="auto"/>
            <w:left w:val="none" w:sz="0" w:space="0" w:color="auto"/>
            <w:bottom w:val="none" w:sz="0" w:space="0" w:color="auto"/>
            <w:right w:val="none" w:sz="0" w:space="0" w:color="auto"/>
          </w:divBdr>
          <w:divsChild>
            <w:div w:id="726802757">
              <w:marLeft w:val="0"/>
              <w:marRight w:val="0"/>
              <w:marTop w:val="0"/>
              <w:marBottom w:val="0"/>
              <w:divBdr>
                <w:top w:val="none" w:sz="0" w:space="0" w:color="auto"/>
                <w:left w:val="none" w:sz="0" w:space="0" w:color="auto"/>
                <w:bottom w:val="none" w:sz="0" w:space="0" w:color="auto"/>
                <w:right w:val="none" w:sz="0" w:space="0" w:color="auto"/>
              </w:divBdr>
              <w:divsChild>
                <w:div w:id="902760746">
                  <w:marLeft w:val="0"/>
                  <w:marRight w:val="0"/>
                  <w:marTop w:val="0"/>
                  <w:marBottom w:val="0"/>
                  <w:divBdr>
                    <w:top w:val="none" w:sz="0" w:space="0" w:color="auto"/>
                    <w:left w:val="none" w:sz="0" w:space="0" w:color="auto"/>
                    <w:bottom w:val="none" w:sz="0" w:space="0" w:color="auto"/>
                    <w:right w:val="none" w:sz="0" w:space="0" w:color="auto"/>
                  </w:divBdr>
                  <w:divsChild>
                    <w:div w:id="763040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4366210">
      <w:bodyDiv w:val="1"/>
      <w:marLeft w:val="0"/>
      <w:marRight w:val="0"/>
      <w:marTop w:val="0"/>
      <w:marBottom w:val="0"/>
      <w:divBdr>
        <w:top w:val="none" w:sz="0" w:space="0" w:color="auto"/>
        <w:left w:val="none" w:sz="0" w:space="0" w:color="auto"/>
        <w:bottom w:val="none" w:sz="0" w:space="0" w:color="auto"/>
        <w:right w:val="none" w:sz="0" w:space="0" w:color="auto"/>
      </w:divBdr>
      <w:divsChild>
        <w:div w:id="813134872">
          <w:marLeft w:val="0"/>
          <w:marRight w:val="0"/>
          <w:marTop w:val="0"/>
          <w:marBottom w:val="0"/>
          <w:divBdr>
            <w:top w:val="none" w:sz="0" w:space="0" w:color="auto"/>
            <w:left w:val="none" w:sz="0" w:space="0" w:color="auto"/>
            <w:bottom w:val="none" w:sz="0" w:space="0" w:color="auto"/>
            <w:right w:val="none" w:sz="0" w:space="0" w:color="auto"/>
          </w:divBdr>
        </w:div>
      </w:divsChild>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4783156">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611677">
      <w:bodyDiv w:val="1"/>
      <w:marLeft w:val="0"/>
      <w:marRight w:val="0"/>
      <w:marTop w:val="0"/>
      <w:marBottom w:val="0"/>
      <w:divBdr>
        <w:top w:val="none" w:sz="0" w:space="0" w:color="auto"/>
        <w:left w:val="none" w:sz="0" w:space="0" w:color="auto"/>
        <w:bottom w:val="none" w:sz="0" w:space="0" w:color="auto"/>
        <w:right w:val="none" w:sz="0" w:space="0" w:color="auto"/>
      </w:divBdr>
      <w:divsChild>
        <w:div w:id="349180649">
          <w:marLeft w:val="0"/>
          <w:marRight w:val="0"/>
          <w:marTop w:val="0"/>
          <w:marBottom w:val="0"/>
          <w:divBdr>
            <w:top w:val="none" w:sz="0" w:space="0" w:color="auto"/>
            <w:left w:val="none" w:sz="0" w:space="0" w:color="auto"/>
            <w:bottom w:val="none" w:sz="0" w:space="0" w:color="auto"/>
            <w:right w:val="none" w:sz="0" w:space="0" w:color="auto"/>
          </w:divBdr>
          <w:divsChild>
            <w:div w:id="1309479924">
              <w:marLeft w:val="0"/>
              <w:marRight w:val="0"/>
              <w:marTop w:val="0"/>
              <w:marBottom w:val="0"/>
              <w:divBdr>
                <w:top w:val="none" w:sz="0" w:space="0" w:color="auto"/>
                <w:left w:val="none" w:sz="0" w:space="0" w:color="auto"/>
                <w:bottom w:val="none" w:sz="0" w:space="0" w:color="auto"/>
                <w:right w:val="none" w:sz="0" w:space="0" w:color="auto"/>
              </w:divBdr>
              <w:divsChild>
                <w:div w:id="1247416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56536903">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7339903">
      <w:bodyDiv w:val="1"/>
      <w:marLeft w:val="0"/>
      <w:marRight w:val="0"/>
      <w:marTop w:val="0"/>
      <w:marBottom w:val="0"/>
      <w:divBdr>
        <w:top w:val="none" w:sz="0" w:space="0" w:color="auto"/>
        <w:left w:val="none" w:sz="0" w:space="0" w:color="auto"/>
        <w:bottom w:val="none" w:sz="0" w:space="0" w:color="auto"/>
        <w:right w:val="none" w:sz="0" w:space="0" w:color="auto"/>
      </w:divBdr>
    </w:div>
    <w:div w:id="2091654183">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2871045">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6174188">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 w:id="2146963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EB7B416-1F34-4C5E-8487-E4C50D43CECF}">
  <ds:schemaRefs>
    <ds:schemaRef ds:uri="http://schemas.openxmlformats.org/officeDocument/2006/bibliography"/>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6EB2765E-799B-432A-BF2E-024F9E2E47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8</TotalTime>
  <Pages>26</Pages>
  <Words>10039</Words>
  <Characters>55219</Characters>
  <Application>Microsoft Office Word</Application>
  <DocSecurity>0</DocSecurity>
  <Lines>460</Lines>
  <Paragraphs>130</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65128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Martin Rojas Mejia</cp:lastModifiedBy>
  <cp:revision>12</cp:revision>
  <cp:lastPrinted>2020-01-30T15:05:00Z</cp:lastPrinted>
  <dcterms:created xsi:type="dcterms:W3CDTF">2022-05-04T20:22:00Z</dcterms:created>
  <dcterms:modified xsi:type="dcterms:W3CDTF">2022-05-25T19:23:00Z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