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31493" w:rsidR="00D31493" w:rsidP="00D31493" w:rsidRDefault="00D31493" w14:paraId="17283BC4" w14:textId="77777777">
      <w:pPr>
        <w:tabs>
          <w:tab w:val="left" w:pos="3374"/>
        </w:tabs>
        <w:spacing w:after="0" w:line="240" w:lineRule="auto"/>
        <w:jc w:val="both"/>
        <w:rPr>
          <w:rFonts w:ascii="Century Gothic" w:hAnsi="Century Gothic" w:cs="Arial"/>
          <w:b/>
          <w:bCs/>
          <w:sz w:val="20"/>
          <w:szCs w:val="20"/>
        </w:rPr>
      </w:pPr>
      <w:bookmarkStart w:name="_Hlk94281581" w:id="0"/>
      <w:bookmarkStart w:name="_Hlk102489058" w:id="1"/>
      <w:bookmarkStart w:name="_Hlk34951122" w:id="2"/>
    </w:p>
    <w:p w:rsidRPr="00D31493" w:rsidR="00D31493" w:rsidP="00D31493" w:rsidRDefault="00D31493" w14:paraId="7D89893E" w14:textId="77777777">
      <w:pPr>
        <w:spacing w:after="0" w:line="240" w:lineRule="auto"/>
        <w:contextualSpacing/>
        <w:jc w:val="both"/>
        <w:rPr>
          <w:rFonts w:ascii="Century Gothic" w:hAnsi="Century Gothic" w:eastAsia="Calibri" w:cs="Arial"/>
          <w:b/>
          <w:lang w:eastAsia="es-ES_tradnl"/>
        </w:rPr>
      </w:pPr>
      <w:r w:rsidRPr="00D31493">
        <w:rPr>
          <w:rFonts w:ascii="Century Gothic" w:hAnsi="Century Gothic" w:eastAsia="Calibri" w:cs="Arial"/>
          <w:b/>
          <w:lang w:eastAsia="es-ES_tradnl"/>
        </w:rPr>
        <w:t xml:space="preserve">ORGANISMOS INTERNACIONALES – Concepto </w:t>
      </w:r>
    </w:p>
    <w:p w:rsidRPr="00D31493" w:rsidR="00D31493" w:rsidP="00D31493" w:rsidRDefault="00D31493" w14:paraId="206314D3" w14:textId="77777777">
      <w:pPr>
        <w:spacing w:after="0" w:line="240" w:lineRule="auto"/>
        <w:contextualSpacing/>
        <w:jc w:val="both"/>
        <w:rPr>
          <w:rFonts w:ascii="Century Gothic" w:hAnsi="Century Gothic" w:eastAsia="Calibri" w:cs="Arial"/>
          <w:bCs/>
          <w:sz w:val="20"/>
          <w:szCs w:val="20"/>
          <w:lang w:val="es-MX" w:eastAsia="es-MX"/>
        </w:rPr>
      </w:pPr>
    </w:p>
    <w:p w:rsidRPr="00D31493" w:rsidR="00D31493" w:rsidP="00D31493" w:rsidRDefault="00D31493" w14:paraId="14229B87" w14:textId="77777777">
      <w:pPr>
        <w:spacing w:after="0" w:line="240" w:lineRule="auto"/>
        <w:contextualSpacing/>
        <w:jc w:val="both"/>
        <w:rPr>
          <w:rFonts w:ascii="Century Gothic" w:hAnsi="Century Gothic" w:eastAsia="Calibri" w:cs="Arial"/>
          <w:bCs/>
          <w:sz w:val="20"/>
          <w:szCs w:val="20"/>
          <w:lang w:val="es-MX" w:eastAsia="es-MX"/>
        </w:rPr>
      </w:pPr>
      <w:r w:rsidRPr="00D31493">
        <w:rPr>
          <w:rFonts w:ascii="Century Gothic" w:hAnsi="Century Gothic" w:eastAsia="Calibri" w:cs="Arial"/>
          <w:bCs/>
          <w:sz w:val="20"/>
          <w:szCs w:val="20"/>
          <w:lang w:val="es-MX" w:eastAsia="es-MX"/>
        </w:rPr>
        <w:t xml:space="preserve">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rsidRPr="00D31493" w:rsidR="00D31493" w:rsidP="00D31493" w:rsidRDefault="00D31493" w14:paraId="0EB5385A" w14:textId="77777777">
      <w:pPr>
        <w:spacing w:after="0" w:line="240" w:lineRule="auto"/>
        <w:contextualSpacing/>
        <w:jc w:val="both"/>
        <w:rPr>
          <w:rFonts w:ascii="Century Gothic" w:hAnsi="Century Gothic" w:eastAsia="Calibri" w:cs="Arial"/>
          <w:bCs/>
          <w:sz w:val="20"/>
          <w:szCs w:val="20"/>
          <w:lang w:val="es-MX" w:eastAsia="es-MX"/>
        </w:rPr>
      </w:pPr>
    </w:p>
    <w:p w:rsidRPr="00D31493" w:rsidR="00D31493" w:rsidP="00D31493" w:rsidRDefault="00D31493" w14:paraId="593F91E9" w14:textId="77777777">
      <w:pPr>
        <w:spacing w:after="0" w:line="240" w:lineRule="auto"/>
        <w:contextualSpacing/>
        <w:jc w:val="both"/>
        <w:rPr>
          <w:rFonts w:ascii="Century Gothic" w:hAnsi="Century Gothic" w:eastAsia="Calibri" w:cs="Arial"/>
          <w:bCs/>
          <w:sz w:val="20"/>
          <w:szCs w:val="20"/>
          <w:lang w:val="es-MX" w:eastAsia="es-MX"/>
        </w:rPr>
      </w:pPr>
      <w:r w:rsidRPr="00D31493">
        <w:rPr>
          <w:rFonts w:ascii="Century Gothic" w:hAnsi="Century Gothic" w:eastAsia="Calibri" w:cs="Arial"/>
          <w:bCs/>
          <w:sz w:val="20"/>
          <w:szCs w:val="20"/>
          <w:lang w:val="es-MX" w:eastAsia="es-MX"/>
        </w:rPr>
        <w:t xml:space="preserve">El artículo 13 de la Ley 80 de 1993 regula de forma general el régimen aplicable a los contratos que celebren las entidades referidas en el artículo segundo del estatuto, señalando en el inciso primero, como primer criterio, la aplicabilidad de las disposiciones civiles y comerciales nacionales, sin perjuicio de la aplicación prevalente de las contenidas en el Estatuto General de Contratación de la Administración Pública.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p>
    <w:p w:rsidRPr="00D31493" w:rsidR="00D31493" w:rsidP="00D31493" w:rsidRDefault="00D31493" w14:paraId="76CD80D7" w14:textId="77777777">
      <w:pPr>
        <w:spacing w:after="0" w:line="240" w:lineRule="auto"/>
        <w:jc w:val="both"/>
        <w:rPr>
          <w:rFonts w:ascii="Century Gothic" w:hAnsi="Century Gothic" w:eastAsia="Calibri" w:cs="Arial"/>
          <w:bCs/>
          <w:color w:val="000000" w:themeColor="text1"/>
          <w:sz w:val="20"/>
          <w:szCs w:val="20"/>
        </w:rPr>
      </w:pPr>
    </w:p>
    <w:p w:rsidRPr="00D31493" w:rsidR="00D31493" w:rsidP="00D31493" w:rsidRDefault="00D31493" w14:paraId="44D4B935" w14:textId="77777777">
      <w:pPr>
        <w:spacing w:after="0" w:line="240" w:lineRule="auto"/>
        <w:contextualSpacing/>
        <w:jc w:val="both"/>
        <w:rPr>
          <w:rFonts w:ascii="Century Gothic" w:hAnsi="Century Gothic" w:eastAsia="Arial" w:cs="Arial"/>
          <w:b/>
          <w:bCs/>
          <w:lang w:val="es-ES" w:eastAsia="es-ES" w:bidi="es-ES"/>
        </w:rPr>
      </w:pPr>
      <w:r w:rsidRPr="00D31493">
        <w:rPr>
          <w:rFonts w:ascii="Century Gothic" w:hAnsi="Century Gothic" w:eastAsia="Arial" w:cs="Arial"/>
          <w:b/>
          <w:bCs/>
          <w:lang w:val="es-ES" w:eastAsia="es-ES" w:bidi="es-ES"/>
        </w:rPr>
        <w:t>RÉGIMEN CONTRACTUAL – Ley 1150 de 2007 – Artículo 20</w:t>
      </w:r>
    </w:p>
    <w:p w:rsidRPr="00D31493" w:rsidR="00D31493" w:rsidP="00D31493" w:rsidRDefault="00D31493" w14:paraId="2FD1FEE5" w14:textId="77777777">
      <w:pPr>
        <w:spacing w:after="0" w:line="240" w:lineRule="auto"/>
        <w:contextualSpacing/>
        <w:jc w:val="both"/>
        <w:rPr>
          <w:rFonts w:ascii="Century Gothic" w:hAnsi="Century Gothic" w:eastAsia="Arial" w:cs="Arial"/>
          <w:b/>
          <w:bCs/>
          <w:sz w:val="20"/>
          <w:szCs w:val="20"/>
          <w:lang w:val="es-ES" w:eastAsia="es-ES" w:bidi="es-ES"/>
        </w:rPr>
      </w:pPr>
    </w:p>
    <w:p w:rsidRPr="00D31493" w:rsidR="00D31493" w:rsidP="00D31493" w:rsidRDefault="00D31493" w14:paraId="262C6C76" w14:textId="77777777">
      <w:pPr>
        <w:spacing w:after="0" w:line="240" w:lineRule="auto"/>
        <w:jc w:val="both"/>
        <w:rPr>
          <w:rFonts w:ascii="Century Gothic" w:hAnsi="Century Gothic" w:eastAsia="Calibri" w:cs="Arial"/>
          <w:color w:val="000000" w:themeColor="text1"/>
          <w:sz w:val="20"/>
          <w:szCs w:val="20"/>
          <w:lang w:val="es-ES_tradnl"/>
        </w:rPr>
      </w:pPr>
      <w:r w:rsidRPr="00D31493">
        <w:rPr>
          <w:rFonts w:ascii="Century Gothic" w:hAnsi="Century Gothic" w:eastAsia="Calibri" w:cs="Arial"/>
          <w:color w:val="000000" w:themeColor="text1"/>
          <w:sz w:val="20"/>
          <w:szCs w:val="20"/>
          <w:lang w:val="es-ES_tradnl"/>
        </w:rPr>
        <w:t xml:space="preserve">[…] en lo que tiene que ver con el </w:t>
      </w:r>
      <w:r w:rsidRPr="00D31493">
        <w:rPr>
          <w:rFonts w:ascii="Century Gothic" w:hAnsi="Century Gothic" w:eastAsia="Calibri" w:cs="Arial"/>
          <w:i/>
          <w:iCs/>
          <w:color w:val="000000" w:themeColor="text1"/>
          <w:sz w:val="20"/>
          <w:szCs w:val="20"/>
          <w:lang w:val="es-ES_tradnl"/>
        </w:rPr>
        <w:t>inciso primero</w:t>
      </w:r>
      <w:r w:rsidRPr="00D31493">
        <w:rPr>
          <w:rFonts w:ascii="Century Gothic" w:hAnsi="Century Gothic" w:eastAsia="Calibri" w:cs="Arial"/>
          <w:color w:val="000000" w:themeColor="text1"/>
          <w:sz w:val="20"/>
          <w:szCs w:val="20"/>
          <w:lang w:val="es-ES_tradnl"/>
        </w:rPr>
        <w:t xml:space="preserve"> [del artículo 20 de la Ley 1150 de 2007],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w:t>
      </w:r>
    </w:p>
    <w:p w:rsidRPr="00D31493" w:rsidR="00D31493" w:rsidP="00D31493" w:rsidRDefault="00D31493" w14:paraId="1149B978" w14:textId="77777777">
      <w:pPr>
        <w:spacing w:after="0" w:line="240" w:lineRule="auto"/>
        <w:jc w:val="both"/>
        <w:rPr>
          <w:rFonts w:ascii="Century Gothic" w:hAnsi="Century Gothic" w:eastAsia="Calibri" w:cs="Arial"/>
          <w:color w:val="000000" w:themeColor="text1"/>
          <w:sz w:val="20"/>
          <w:szCs w:val="20"/>
          <w:lang w:val="es-ES_tradnl"/>
        </w:rPr>
      </w:pPr>
      <w:r w:rsidRPr="00D31493">
        <w:rPr>
          <w:rFonts w:ascii="Century Gothic" w:hAnsi="Century Gothic" w:eastAsia="Calibri" w:cs="Arial"/>
          <w:color w:val="000000" w:themeColor="text1"/>
          <w:sz w:val="20"/>
          <w:szCs w:val="20"/>
          <w:lang w:val="es-ES_tradnl"/>
        </w:rPr>
        <w:t>[…]</w:t>
      </w:r>
    </w:p>
    <w:p w:rsidRPr="00D31493" w:rsidR="00D31493" w:rsidP="00D31493" w:rsidRDefault="00D31493" w14:paraId="545CF8D3" w14:textId="77777777">
      <w:pPr>
        <w:spacing w:after="0" w:line="240" w:lineRule="auto"/>
        <w:jc w:val="both"/>
        <w:rPr>
          <w:rFonts w:ascii="Century Gothic" w:hAnsi="Century Gothic" w:eastAsia="Calibri" w:cs="Arial"/>
          <w:color w:val="000000" w:themeColor="text1"/>
          <w:sz w:val="20"/>
          <w:szCs w:val="20"/>
          <w:lang w:val="es-ES_tradnl"/>
        </w:rPr>
      </w:pPr>
    </w:p>
    <w:p w:rsidRPr="00D31493" w:rsidR="00D31493" w:rsidP="2AD5AC53" w:rsidRDefault="00D31493" w14:paraId="0DC29464" w14:textId="77777777" w14:noSpellErr="1">
      <w:pPr>
        <w:spacing w:after="0" w:line="240" w:lineRule="auto"/>
        <w:jc w:val="both"/>
        <w:rPr>
          <w:rFonts w:ascii="Century Gothic" w:hAnsi="Century Gothic" w:eastAsia="Calibri" w:cs="Arial"/>
          <w:color w:val="000000" w:themeColor="text1"/>
          <w:sz w:val="20"/>
          <w:szCs w:val="20"/>
          <w:lang w:val="es-ES"/>
        </w:rPr>
      </w:pPr>
      <w:r w:rsidRPr="2AD5AC53" w:rsidR="00D31493">
        <w:rPr>
          <w:rFonts w:ascii="Century Gothic" w:hAnsi="Century Gothic" w:eastAsia="Calibri" w:cs="Arial"/>
          <w:color w:val="000000" w:themeColor="text1" w:themeTint="FF" w:themeShade="FF"/>
          <w:sz w:val="20"/>
          <w:szCs w:val="20"/>
          <w:lang w:val="es-ES"/>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w:t>
      </w:r>
    </w:p>
    <w:p w:rsidRPr="00D31493" w:rsidR="00D31493" w:rsidP="00D31493" w:rsidRDefault="00D31493" w14:paraId="7CC37CB8" w14:textId="77777777">
      <w:pPr>
        <w:spacing w:after="0" w:line="240" w:lineRule="auto"/>
        <w:jc w:val="both"/>
        <w:rPr>
          <w:rFonts w:ascii="Century Gothic" w:hAnsi="Century Gothic" w:eastAsia="Calibri" w:cs="Arial"/>
          <w:color w:val="000000" w:themeColor="text1"/>
          <w:sz w:val="20"/>
          <w:szCs w:val="20"/>
          <w:lang w:val="es-ES_tradnl"/>
        </w:rPr>
      </w:pPr>
      <w:r w:rsidRPr="00D31493">
        <w:rPr>
          <w:rFonts w:ascii="Century Gothic" w:hAnsi="Century Gothic" w:eastAsia="Calibri" w:cs="Arial"/>
          <w:color w:val="000000" w:themeColor="text1"/>
          <w:sz w:val="20"/>
          <w:szCs w:val="20"/>
          <w:lang w:val="es-ES_tradnl"/>
        </w:rPr>
        <w:t>[…]</w:t>
      </w:r>
    </w:p>
    <w:p w:rsidRPr="00D31493" w:rsidR="00D31493" w:rsidP="00D31493" w:rsidRDefault="00D31493" w14:paraId="7294881E" w14:textId="77777777">
      <w:pPr>
        <w:spacing w:after="0" w:line="240" w:lineRule="auto"/>
        <w:jc w:val="both"/>
        <w:rPr>
          <w:rFonts w:ascii="Century Gothic" w:hAnsi="Century Gothic" w:eastAsia="Calibri" w:cs="Arial"/>
          <w:color w:val="000000" w:themeColor="text1"/>
          <w:sz w:val="20"/>
          <w:szCs w:val="20"/>
          <w:lang w:val="es-ES_tradnl"/>
        </w:rPr>
      </w:pPr>
    </w:p>
    <w:p w:rsidRPr="00D31493" w:rsidR="00D31493" w:rsidP="2AD5AC53" w:rsidRDefault="00D31493" w14:paraId="4736C8AE" w14:textId="77777777" w14:noSpellErr="1">
      <w:pPr>
        <w:spacing w:after="0" w:line="240" w:lineRule="auto"/>
        <w:jc w:val="both"/>
        <w:rPr>
          <w:rFonts w:ascii="Century Gothic" w:hAnsi="Century Gothic" w:eastAsia="Calibri" w:cs="Arial"/>
          <w:color w:val="000000" w:themeColor="text1"/>
          <w:sz w:val="20"/>
          <w:szCs w:val="20"/>
          <w:lang w:val="es-ES"/>
        </w:rPr>
      </w:pPr>
      <w:r w:rsidRPr="2AD5AC53" w:rsidR="00D31493">
        <w:rPr>
          <w:rFonts w:ascii="Century Gothic" w:hAnsi="Century Gothic" w:eastAsia="Calibri" w:cs="Arial"/>
          <w:color w:val="000000" w:themeColor="text1" w:themeTint="FF" w:themeShade="FF"/>
          <w:sz w:val="20"/>
          <w:szCs w:val="20"/>
          <w:lang w:val="es-ES"/>
        </w:rPr>
        <w:t xml:space="preserve">Asimismo, el parágrafo primero del artículo 20 de la Ley 1150 de 2007 establece un tercer criterio para determinar el régimen contractual aplicable. De acuerdo con la norma, “Los contratos o acuerdos celebrados con personas extranjeras de derecho público, podrán someterse a las reglas de tales organismos”. Estos negocios jurídicos, a diferencia de los contratos del inciso primero ibidem, son independientes del monto de los aportes realizados </w:t>
      </w:r>
      <w:r w:rsidRPr="2AD5AC53" w:rsidR="00D31493">
        <w:rPr>
          <w:rFonts w:ascii="Century Gothic" w:hAnsi="Century Gothic" w:eastAsia="Calibri" w:cs="Arial"/>
          <w:color w:val="000000" w:themeColor="text1" w:themeTint="FF" w:themeShade="FF"/>
          <w:sz w:val="20"/>
          <w:szCs w:val="20"/>
          <w:lang w:val="es-ES"/>
        </w:rPr>
        <w:t>por el organismo. Igualmente, en contraste con los contratos del inciso segundo ibidem, son negocios jurídicos independientes del objeto convenido. No obstante, al igual de los dos (2) supuestos explicados ut supra, en esta hipótesis también es posible optar por someter el contrato a los reglamentos de dichos organismos o bien someterlos a la Ley 80 de 1993.</w:t>
      </w:r>
    </w:p>
    <w:p w:rsidRPr="00D31493" w:rsidR="00D31493" w:rsidP="00D31493" w:rsidRDefault="00D31493" w14:paraId="1BBD96B3" w14:textId="77777777">
      <w:pPr>
        <w:spacing w:after="0" w:line="240" w:lineRule="auto"/>
        <w:jc w:val="both"/>
        <w:rPr>
          <w:rFonts w:ascii="Century Gothic" w:hAnsi="Century Gothic" w:eastAsia="Calibri" w:cs="Arial"/>
          <w:color w:val="000000" w:themeColor="text1"/>
          <w:sz w:val="20"/>
          <w:szCs w:val="20"/>
        </w:rPr>
      </w:pPr>
      <w:r w:rsidRPr="00D31493">
        <w:rPr>
          <w:rFonts w:ascii="Century Gothic" w:hAnsi="Century Gothic" w:eastAsia="Calibri" w:cs="Arial"/>
          <w:color w:val="000000" w:themeColor="text1"/>
          <w:sz w:val="20"/>
          <w:szCs w:val="20"/>
        </w:rPr>
        <w:t xml:space="preserve"> </w:t>
      </w:r>
    </w:p>
    <w:p w:rsidRPr="00D31493" w:rsidR="00D31493" w:rsidP="00D31493" w:rsidRDefault="00D31493" w14:paraId="534B228C" w14:textId="77777777">
      <w:pPr>
        <w:tabs>
          <w:tab w:val="left" w:pos="426"/>
        </w:tabs>
        <w:spacing w:after="0" w:line="240" w:lineRule="auto"/>
        <w:contextualSpacing/>
        <w:jc w:val="both"/>
        <w:rPr>
          <w:rFonts w:ascii="Century Gothic" w:hAnsi="Century Gothic" w:eastAsia="Calibri" w:cs="Arial"/>
          <w:b/>
          <w:bCs/>
          <w:lang w:val="es-MX"/>
        </w:rPr>
      </w:pPr>
      <w:bookmarkStart w:name="_Hlk77152637" w:id="3"/>
      <w:bookmarkStart w:name="_Hlk77157066" w:id="4"/>
      <w:r w:rsidRPr="00D31493">
        <w:rPr>
          <w:rFonts w:ascii="Century Gothic" w:hAnsi="Century Gothic" w:eastAsia="Calibri" w:cs="Arial"/>
          <w:b/>
          <w:bCs/>
          <w:lang w:val="es-MX"/>
        </w:rPr>
        <w:t>SISTEMA NACIONAL DE COOPERACIÓN INTERNACIONAL – Decreto 603 de 2022 – Alcance</w:t>
      </w:r>
    </w:p>
    <w:p w:rsidRPr="00D31493" w:rsidR="00D31493" w:rsidP="00D31493" w:rsidRDefault="00D31493" w14:paraId="047946AE" w14:textId="77777777">
      <w:pPr>
        <w:tabs>
          <w:tab w:val="left" w:pos="426"/>
        </w:tabs>
        <w:spacing w:after="0" w:line="240" w:lineRule="auto"/>
        <w:contextualSpacing/>
        <w:jc w:val="both"/>
        <w:rPr>
          <w:rFonts w:ascii="Century Gothic" w:hAnsi="Century Gothic" w:eastAsia="Calibri" w:cs="Arial"/>
          <w:b/>
          <w:bCs/>
          <w:sz w:val="20"/>
          <w:szCs w:val="20"/>
          <w:lang w:val="es-MX"/>
        </w:rPr>
      </w:pPr>
    </w:p>
    <w:p w:rsidRPr="00D31493" w:rsidR="00D31493" w:rsidP="00D31493" w:rsidRDefault="00D31493" w14:paraId="3B993151" w14:textId="77777777">
      <w:pPr>
        <w:tabs>
          <w:tab w:val="left" w:pos="426"/>
        </w:tabs>
        <w:spacing w:after="0" w:line="240" w:lineRule="auto"/>
        <w:contextualSpacing/>
        <w:jc w:val="both"/>
        <w:rPr>
          <w:rFonts w:ascii="Century Gothic" w:hAnsi="Century Gothic" w:eastAsia="Calibri" w:cs="Arial"/>
          <w:noProof/>
          <w:sz w:val="20"/>
          <w:szCs w:val="20"/>
          <w:lang w:val="es-ES_tradnl"/>
        </w:rPr>
      </w:pPr>
      <w:r w:rsidRPr="00D31493">
        <w:rPr>
          <w:rFonts w:ascii="Century Gothic" w:hAnsi="Century Gothic" w:eastAsia="Calibri" w:cs="Arial"/>
          <w:noProof/>
          <w:sz w:val="20"/>
          <w:szCs w:val="20"/>
          <w:lang w:val="es-ES_tradnl"/>
        </w:rPr>
        <w:t>[…] el tope del 30% establecido en la norma precitada, que determina las condiciones de participación de los socios cooperantes en condición de ejecutor del proyecto o programa, aplica para las contrapartidas dinerarias. Dicho en otras palabras, solo podrán ejecutar programas, proyectos o iniciativas en los que estén involucrados recursos del presupuesto general de la nación, aquellos socios de cooperación internacional que aporte una contrapartida de no menos del 30% de dicho programa, proyecto o iniciativa, que deberá efectuarse únicamente en sumas líquidas de dinero. Además, en cada caso deberán establecerse mecanismos de administración de las condiciones del contrato que permitan hacerle seguimiento al cumplimiento de las obligaciones contractuales.</w:t>
      </w:r>
    </w:p>
    <w:p w:rsidRPr="00D31493" w:rsidR="00D31493" w:rsidP="00D31493" w:rsidRDefault="00D31493" w14:paraId="7F05BB6D" w14:textId="77777777">
      <w:pPr>
        <w:tabs>
          <w:tab w:val="left" w:pos="426"/>
        </w:tabs>
        <w:spacing w:after="0" w:line="240" w:lineRule="auto"/>
        <w:contextualSpacing/>
        <w:jc w:val="both"/>
        <w:rPr>
          <w:rFonts w:ascii="Century Gothic" w:hAnsi="Century Gothic" w:eastAsia="Calibri" w:cs="Arial"/>
          <w:noProof/>
          <w:sz w:val="20"/>
          <w:szCs w:val="20"/>
          <w:lang w:val="es-ES_tradnl"/>
        </w:rPr>
      </w:pPr>
    </w:p>
    <w:p w:rsidRPr="00D31493" w:rsidR="00D31493" w:rsidP="00D31493" w:rsidRDefault="00D31493" w14:paraId="19F43DFC" w14:textId="77777777">
      <w:pPr>
        <w:tabs>
          <w:tab w:val="left" w:pos="426"/>
        </w:tabs>
        <w:spacing w:after="0" w:line="240" w:lineRule="auto"/>
        <w:contextualSpacing/>
        <w:jc w:val="both"/>
        <w:rPr>
          <w:rFonts w:ascii="Century Gothic" w:hAnsi="Century Gothic" w:eastAsia="Calibri" w:cs="Arial"/>
          <w:noProof/>
          <w:sz w:val="20"/>
          <w:szCs w:val="20"/>
          <w:lang w:val="es-ES_tradnl"/>
        </w:rPr>
      </w:pPr>
      <w:r w:rsidRPr="00D31493">
        <w:rPr>
          <w:rFonts w:ascii="Century Gothic" w:hAnsi="Century Gothic" w:eastAsia="Calibri" w:cs="Arial"/>
          <w:noProof/>
          <w:sz w:val="20"/>
          <w:szCs w:val="20"/>
          <w:lang w:val="es-ES_tradnl"/>
        </w:rPr>
        <w:t>En este orden de ideas, las entidades estatales, en ejercicio de la autonomía de la voluntad, pueden suscribir convenios de cooperación internacional que involucre recursos del Presupuesto General de la Nación, siempre y cuando el 30% del valor del proyecto sea aportado en dinero por el organismo internacional, pues el reglamento, como se indicó, estableció un umbral para que las entidades estatales puedan realizar proyectos, iniciativas o programas financiados con presupuesto general de la Nación en convenio con organismos internacionales. De este modo, si el socio cooperante cumple con este umbral, da lugar a suscribir el convenio.</w:t>
      </w:r>
    </w:p>
    <w:p w:rsidRPr="00D31493" w:rsidR="00D31493" w:rsidP="00D31493" w:rsidRDefault="00D31493" w14:paraId="49FAA9EA" w14:textId="77777777">
      <w:pPr>
        <w:tabs>
          <w:tab w:val="left" w:pos="426"/>
        </w:tabs>
        <w:spacing w:after="0" w:line="240" w:lineRule="auto"/>
        <w:contextualSpacing/>
        <w:jc w:val="both"/>
        <w:rPr>
          <w:rFonts w:ascii="Century Gothic" w:hAnsi="Century Gothic" w:eastAsia="Calibri" w:cs="Arial"/>
          <w:b/>
          <w:bCs/>
          <w:sz w:val="20"/>
          <w:szCs w:val="20"/>
          <w:lang w:val="es-MX"/>
        </w:rPr>
      </w:pPr>
    </w:p>
    <w:p w:rsidRPr="00D31493" w:rsidR="00D31493" w:rsidP="00D31493" w:rsidRDefault="00D31493" w14:paraId="305546C8" w14:textId="77777777">
      <w:pPr>
        <w:tabs>
          <w:tab w:val="left" w:pos="426"/>
        </w:tabs>
        <w:spacing w:after="0" w:line="240" w:lineRule="auto"/>
        <w:contextualSpacing/>
        <w:jc w:val="both"/>
        <w:rPr>
          <w:rFonts w:ascii="Century Gothic" w:hAnsi="Century Gothic" w:eastAsia="Calibri" w:cs="Arial"/>
          <w:b/>
          <w:bCs/>
          <w:lang w:val="es-MX"/>
        </w:rPr>
      </w:pPr>
      <w:r w:rsidRPr="00D31493">
        <w:rPr>
          <w:rFonts w:ascii="Century Gothic" w:hAnsi="Century Gothic" w:eastAsia="Calibri" w:cs="Arial"/>
          <w:b/>
          <w:bCs/>
          <w:lang w:val="es-MX"/>
        </w:rPr>
        <w:t xml:space="preserve">SOCIOS DE COOPERACIÓN INTERNACIONAL </w:t>
      </w:r>
      <w:r w:rsidRPr="00D31493">
        <w:rPr>
          <w:rFonts w:ascii="Arial" w:hAnsi="Arial" w:eastAsia="Calibri" w:cs="Arial"/>
          <w:b/>
          <w:bCs/>
          <w:lang w:val="es-MX"/>
        </w:rPr>
        <w:t>‒</w:t>
      </w:r>
      <w:bookmarkEnd w:id="3"/>
      <w:r w:rsidRPr="00D31493">
        <w:rPr>
          <w:rFonts w:ascii="Century Gothic" w:hAnsi="Century Gothic" w:eastAsia="Calibri" w:cs="Arial"/>
          <w:b/>
          <w:bCs/>
          <w:lang w:val="es-MX"/>
        </w:rPr>
        <w:t xml:space="preserve"> </w:t>
      </w:r>
      <w:bookmarkStart w:name="_Hlk77153098" w:id="5"/>
      <w:r w:rsidRPr="00D31493">
        <w:rPr>
          <w:rFonts w:ascii="Century Gothic" w:hAnsi="Century Gothic" w:eastAsia="Calibri" w:cs="Arial"/>
          <w:b/>
          <w:bCs/>
          <w:lang w:val="es-MX"/>
        </w:rPr>
        <w:t xml:space="preserve">Interpretación amplia </w:t>
      </w:r>
      <w:bookmarkEnd w:id="5"/>
    </w:p>
    <w:p w:rsidRPr="00D31493" w:rsidR="00D31493" w:rsidP="00D31493" w:rsidRDefault="00D31493" w14:paraId="52893927" w14:textId="77777777">
      <w:pPr>
        <w:tabs>
          <w:tab w:val="left" w:pos="426"/>
        </w:tabs>
        <w:spacing w:after="0" w:line="240" w:lineRule="auto"/>
        <w:contextualSpacing/>
        <w:jc w:val="both"/>
        <w:rPr>
          <w:rFonts w:ascii="Century Gothic" w:hAnsi="Century Gothic" w:eastAsia="Calibri" w:cs="Arial"/>
          <w:b/>
          <w:bCs/>
          <w:sz w:val="20"/>
          <w:szCs w:val="20"/>
          <w:lang w:val="es-MX"/>
        </w:rPr>
      </w:pPr>
    </w:p>
    <w:bookmarkEnd w:id="4"/>
    <w:p w:rsidR="00D31493" w:rsidP="00D31493" w:rsidRDefault="00D31493" w14:paraId="7562667B" w14:textId="77777777">
      <w:pPr>
        <w:tabs>
          <w:tab w:val="left" w:pos="426"/>
        </w:tabs>
        <w:spacing w:after="0" w:line="240" w:lineRule="auto"/>
        <w:contextualSpacing/>
        <w:jc w:val="both"/>
        <w:rPr>
          <w:rFonts w:ascii="Arial" w:hAnsi="Arial" w:eastAsia="Calibri" w:cs="Arial"/>
          <w:noProof/>
          <w:sz w:val="20"/>
          <w:szCs w:val="20"/>
          <w:lang w:val="es-ES_tradnl"/>
        </w:rPr>
      </w:pPr>
      <w:r w:rsidRPr="00D31493">
        <w:rPr>
          <w:rFonts w:ascii="Century Gothic" w:hAnsi="Century Gothic" w:eastAsia="Calibri" w:cs="Arial"/>
          <w:noProof/>
          <w:sz w:val="20"/>
          <w:szCs w:val="20"/>
          <w:lang w:val="es-ES_tradnl"/>
        </w:rPr>
        <w:t>[…] el artículo 20 de la Ley 1150 de 2007 define el régimen contractual de los convenios suscritos con “organismos de cooperación, asistencia o ayudas internacionales” en los porcentajes del inciso primero, con “personas extranjeras de derecho público u organismos de derecho internacional” respecto a los objetivos señalados en el inciso segundo, o con “personas extranjeras de derecho público” en las condiciones señaladas en el parágrafo primero. Así, la naturaleza jurídica del organismo internacional es relevante para la aplicación de la norma citada. En contraste, el artículo 2.2.8.3.4 del Decreto 603 de 2022 se refiere, en sentido amplio, a los “</w:t>
      </w:r>
      <w:bookmarkStart w:name="_Hlk148448432" w:id="6"/>
      <w:r w:rsidRPr="00D31493">
        <w:rPr>
          <w:rFonts w:ascii="Century Gothic" w:hAnsi="Century Gothic" w:eastAsia="Calibri" w:cs="Arial"/>
          <w:noProof/>
          <w:sz w:val="20"/>
          <w:szCs w:val="20"/>
          <w:lang w:val="es-ES_tradnl"/>
        </w:rPr>
        <w:t>Socios de Cooperación internacional</w:t>
      </w:r>
      <w:bookmarkEnd w:id="6"/>
      <w:r w:rsidRPr="00D31493">
        <w:rPr>
          <w:rFonts w:ascii="Century Gothic" w:hAnsi="Century Gothic" w:eastAsia="Calibri" w:cs="Arial"/>
          <w:noProof/>
          <w:sz w:val="20"/>
          <w:szCs w:val="20"/>
          <w:lang w:val="es-ES_tradnl"/>
        </w:rPr>
        <w:t>”, categoría dentro de la cual se engloban todos los organismos internacionales del artículo 20 de la Ley 1150 de 2007, especialmente cuando las bases del Plan Nacional de Desarrollo 2018 – 2022 no realizan distinción alguna sobre la naturaleza jurídica del órgano cooperante respecto al aporte mínimo que la norma hace obligatorio.</w:t>
      </w:r>
      <w:r w:rsidRPr="00CB6B02">
        <w:rPr>
          <w:rFonts w:ascii="Arial" w:hAnsi="Arial" w:eastAsia="Calibri" w:cs="Arial"/>
          <w:noProof/>
          <w:sz w:val="20"/>
          <w:szCs w:val="20"/>
          <w:lang w:val="es-ES_tradnl"/>
        </w:rPr>
        <w:t xml:space="preserve">  </w:t>
      </w:r>
    </w:p>
    <w:p w:rsidR="00D31493" w:rsidP="00AF36D0" w:rsidRDefault="00D31493" w14:paraId="196BF365" w14:textId="77777777">
      <w:pPr>
        <w:spacing w:after="0"/>
        <w:rPr>
          <w:rFonts w:ascii="Century Gothic" w:hAnsi="Century Gothic" w:eastAsia="Geomanist Light" w:cs="Arial"/>
          <w:color w:val="000000" w:themeColor="text1"/>
          <w:lang w:val="es-MX"/>
        </w:rPr>
      </w:pPr>
    </w:p>
    <w:p w:rsidR="00D31493" w:rsidP="00AF36D0" w:rsidRDefault="00D31493" w14:paraId="0CF716F5" w14:textId="77777777">
      <w:pPr>
        <w:spacing w:after="0"/>
        <w:rPr>
          <w:rFonts w:ascii="Century Gothic" w:hAnsi="Century Gothic" w:eastAsia="Geomanist Light" w:cs="Arial"/>
          <w:color w:val="000000" w:themeColor="text1"/>
          <w:lang w:val="es-MX"/>
        </w:rPr>
      </w:pPr>
    </w:p>
    <w:p w:rsidR="00D31493" w:rsidP="00AF36D0" w:rsidRDefault="00D31493" w14:paraId="569116E5" w14:textId="77777777">
      <w:pPr>
        <w:spacing w:after="0"/>
        <w:rPr>
          <w:rFonts w:ascii="Century Gothic" w:hAnsi="Century Gothic" w:eastAsia="Geomanist Light" w:cs="Arial"/>
          <w:color w:val="000000" w:themeColor="text1"/>
          <w:lang w:val="es-MX"/>
        </w:rPr>
      </w:pPr>
    </w:p>
    <w:p w:rsidR="00D31493" w:rsidP="00AF36D0" w:rsidRDefault="00D31493" w14:paraId="63230D16" w14:textId="77777777">
      <w:pPr>
        <w:spacing w:after="0"/>
        <w:rPr>
          <w:rFonts w:ascii="Century Gothic" w:hAnsi="Century Gothic" w:eastAsia="Geomanist Light" w:cs="Arial"/>
          <w:color w:val="000000" w:themeColor="text1"/>
          <w:lang w:val="es-MX"/>
        </w:rPr>
      </w:pPr>
    </w:p>
    <w:p w:rsidR="00D31493" w:rsidP="00AF36D0" w:rsidRDefault="00D31493" w14:paraId="411EF21C" w14:textId="77777777">
      <w:pPr>
        <w:spacing w:after="0"/>
        <w:rPr>
          <w:rFonts w:ascii="Century Gothic" w:hAnsi="Century Gothic" w:eastAsia="Geomanist Light" w:cs="Arial"/>
          <w:color w:val="000000" w:themeColor="text1"/>
          <w:lang w:val="es-MX"/>
        </w:rPr>
      </w:pPr>
    </w:p>
    <w:p w:rsidRPr="0071238F" w:rsidR="00AF36D0" w:rsidP="00AF36D0" w:rsidRDefault="00AF36D0" w14:paraId="192DFD50" w14:textId="7E387297">
      <w:pPr>
        <w:spacing w:after="0"/>
        <w:rPr>
          <w:rFonts w:ascii="Century Gothic" w:hAnsi="Century Gothic" w:eastAsia="Geomanist Light" w:cs="Arial"/>
          <w:color w:val="201F1E"/>
          <w:lang w:val="es-MX"/>
        </w:rPr>
      </w:pPr>
      <w:r w:rsidRPr="0071238F">
        <w:rPr>
          <w:rFonts w:ascii="Century Gothic" w:hAnsi="Century Gothic" w:eastAsia="Geomanist Light" w:cs="Arial"/>
          <w:color w:val="000000" w:themeColor="text1"/>
          <w:lang w:val="es-MX"/>
        </w:rPr>
        <w:lastRenderedPageBreak/>
        <w:t>Bogotá D.C., </w:t>
      </w:r>
      <w:r w:rsidRPr="00D8227D" w:rsidR="00D8227D">
        <w:rPr>
          <w:rFonts w:ascii="Century Gothic" w:hAnsi="Century Gothic" w:eastAsia="Geomanist Light" w:cs="Arial"/>
          <w:color w:val="000000" w:themeColor="text1"/>
          <w:lang w:val="es-MX"/>
        </w:rPr>
        <w:t xml:space="preserve">18 de </w:t>
      </w:r>
      <w:proofErr w:type="gramStart"/>
      <w:r w:rsidRPr="00D8227D" w:rsidR="00D8227D">
        <w:rPr>
          <w:rFonts w:ascii="Century Gothic" w:hAnsi="Century Gothic" w:eastAsia="Geomanist Light" w:cs="Arial"/>
          <w:color w:val="000000" w:themeColor="text1"/>
          <w:lang w:val="es-MX"/>
        </w:rPr>
        <w:t>Octubre</w:t>
      </w:r>
      <w:proofErr w:type="gramEnd"/>
      <w:r w:rsidRPr="00D8227D" w:rsidR="00D8227D">
        <w:rPr>
          <w:rFonts w:ascii="Century Gothic" w:hAnsi="Century Gothic" w:eastAsia="Geomanist Light" w:cs="Arial"/>
          <w:color w:val="000000" w:themeColor="text1"/>
          <w:lang w:val="es-MX"/>
        </w:rPr>
        <w:t xml:space="preserve"> de 2023</w:t>
      </w:r>
    </w:p>
    <w:p w:rsidR="00AF36D0" w:rsidP="00AF36D0" w:rsidRDefault="00AF36D0" w14:paraId="145BB604" w14:textId="77777777">
      <w:pPr>
        <w:spacing w:after="0"/>
        <w:rPr>
          <w:rFonts w:ascii="Century Gothic" w:hAnsi="Century Gothic" w:eastAsia="Geomanist Light" w:cs="Arial"/>
          <w:color w:val="201F1E"/>
          <w:lang w:val="es-MX"/>
        </w:rPr>
      </w:pPr>
    </w:p>
    <w:p w:rsidRPr="0071238F" w:rsidR="00D8227D" w:rsidP="00D8227D" w:rsidRDefault="00D8227D" w14:paraId="3560EE85" w14:textId="6B823D0A">
      <w:pPr>
        <w:spacing w:after="0"/>
        <w:jc w:val="right"/>
        <w:rPr>
          <w:rFonts w:ascii="Century Gothic" w:hAnsi="Century Gothic" w:eastAsia="Geomanist Light" w:cs="Arial"/>
          <w:color w:val="201F1E"/>
          <w:lang w:val="es-MX"/>
        </w:rPr>
      </w:pPr>
      <w:r>
        <w:rPr>
          <w:noProof/>
        </w:rPr>
        <w:drawing>
          <wp:inline distT="0" distB="0" distL="0" distR="0" wp14:anchorId="7E6C9F18" wp14:editId="7B45B5A4">
            <wp:extent cx="2686676" cy="657225"/>
            <wp:effectExtent l="0" t="0" r="0" b="0"/>
            <wp:docPr id="20480675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067571" name=""/>
                    <pic:cNvPicPr/>
                  </pic:nvPicPr>
                  <pic:blipFill>
                    <a:blip r:embed="rId10"/>
                    <a:stretch>
                      <a:fillRect/>
                    </a:stretch>
                  </pic:blipFill>
                  <pic:spPr>
                    <a:xfrm>
                      <a:off x="0" y="0"/>
                      <a:ext cx="2689037" cy="657802"/>
                    </a:xfrm>
                    <a:prstGeom prst="rect">
                      <a:avLst/>
                    </a:prstGeom>
                  </pic:spPr>
                </pic:pic>
              </a:graphicData>
            </a:graphic>
          </wp:inline>
        </w:drawing>
      </w:r>
    </w:p>
    <w:p w:rsidRPr="0071238F" w:rsidR="00AF36D0" w:rsidP="00AF36D0" w:rsidRDefault="00AF36D0" w14:paraId="1D6263AA" w14:textId="77777777">
      <w:pPr>
        <w:spacing w:after="0"/>
        <w:contextualSpacing/>
        <w:jc w:val="both"/>
        <w:rPr>
          <w:rFonts w:ascii="Century Gothic" w:hAnsi="Century Gothic" w:eastAsia="Calibri" w:cs="Arial"/>
          <w:lang w:val="es-ES_tradnl" w:eastAsia="es-ES_tradnl"/>
        </w:rPr>
      </w:pPr>
    </w:p>
    <w:p w:rsidRPr="0071238F" w:rsidR="00AF36D0" w:rsidP="00AF36D0" w:rsidRDefault="00AF36D0" w14:paraId="62962AAD" w14:textId="77777777">
      <w:pPr>
        <w:contextualSpacing/>
        <w:jc w:val="both"/>
        <w:rPr>
          <w:rFonts w:ascii="Century Gothic" w:hAnsi="Century Gothic" w:eastAsia="Calibri" w:cs="Arial"/>
          <w:lang w:eastAsia="es-ES_tradnl"/>
        </w:rPr>
      </w:pPr>
      <w:r w:rsidRPr="0071238F">
        <w:rPr>
          <w:rFonts w:ascii="Century Gothic" w:hAnsi="Century Gothic" w:eastAsia="Calibri" w:cs="Arial"/>
          <w:lang w:eastAsia="es-ES_tradnl"/>
        </w:rPr>
        <w:t>Doctor</w:t>
      </w:r>
    </w:p>
    <w:p w:rsidRPr="0071238F" w:rsidR="00AF36D0" w:rsidP="00AF36D0" w:rsidRDefault="00AF36D0" w14:paraId="35F01859" w14:textId="77777777">
      <w:pPr>
        <w:contextualSpacing/>
        <w:jc w:val="both"/>
        <w:rPr>
          <w:rFonts w:ascii="Century Gothic" w:hAnsi="Century Gothic" w:eastAsia="Calibri" w:cs="Arial"/>
          <w:b/>
          <w:lang w:eastAsia="es-ES_tradnl"/>
        </w:rPr>
      </w:pPr>
      <w:r w:rsidRPr="0071238F">
        <w:rPr>
          <w:rFonts w:ascii="Century Gothic" w:hAnsi="Century Gothic" w:eastAsia="Calibri" w:cs="Arial"/>
          <w:b/>
          <w:lang w:eastAsia="es-ES_tradnl"/>
        </w:rPr>
        <w:t xml:space="preserve">Oscar Gustavo </w:t>
      </w:r>
      <w:bookmarkStart w:name="_Hlk148429351" w:id="7"/>
      <w:r w:rsidRPr="0071238F">
        <w:rPr>
          <w:rFonts w:ascii="Century Gothic" w:hAnsi="Century Gothic" w:eastAsia="Calibri" w:cs="Arial"/>
          <w:b/>
          <w:lang w:eastAsia="es-ES_tradnl"/>
        </w:rPr>
        <w:t>Sánchez Jaramillo</w:t>
      </w:r>
      <w:bookmarkEnd w:id="7"/>
    </w:p>
    <w:p w:rsidRPr="0071238F" w:rsidR="00AF36D0" w:rsidP="00AF36D0" w:rsidRDefault="00AF36D0" w14:paraId="56E2DE94" w14:textId="77777777">
      <w:pPr>
        <w:contextualSpacing/>
        <w:jc w:val="both"/>
        <w:rPr>
          <w:rFonts w:ascii="Century Gothic" w:hAnsi="Century Gothic" w:eastAsia="Geomanist Light" w:cs="Arial"/>
          <w:color w:val="000000" w:themeColor="text1"/>
          <w:lang w:val="es-MX"/>
        </w:rPr>
      </w:pPr>
      <w:r w:rsidRPr="0071238F">
        <w:rPr>
          <w:rFonts w:ascii="Century Gothic" w:hAnsi="Century Gothic" w:eastAsia="Geomanist Light" w:cs="Arial"/>
          <w:color w:val="000000" w:themeColor="text1"/>
          <w:lang w:val="es-MX"/>
        </w:rPr>
        <w:t>Viceministro de Educación Preescolar, Básica y Media</w:t>
      </w:r>
    </w:p>
    <w:p w:rsidRPr="0071238F" w:rsidR="00AF36D0" w:rsidP="00AF36D0" w:rsidRDefault="00AF36D0" w14:paraId="5881C235" w14:textId="77777777">
      <w:pPr>
        <w:contextualSpacing/>
        <w:jc w:val="both"/>
        <w:rPr>
          <w:rFonts w:ascii="Century Gothic" w:hAnsi="Century Gothic" w:eastAsia="Geomanist Light" w:cs="Arial"/>
          <w:color w:val="000000" w:themeColor="text1"/>
          <w:lang w:val="es-MX"/>
        </w:rPr>
      </w:pPr>
      <w:r w:rsidRPr="0071238F">
        <w:rPr>
          <w:rFonts w:ascii="Century Gothic" w:hAnsi="Century Gothic" w:eastAsia="Geomanist Light" w:cs="Arial"/>
          <w:color w:val="000000" w:themeColor="text1"/>
          <w:lang w:val="es-MX"/>
        </w:rPr>
        <w:t>Ministerio de Educación Nacional</w:t>
      </w:r>
    </w:p>
    <w:p w:rsidRPr="0071238F" w:rsidR="00AF36D0" w:rsidP="00AF36D0" w:rsidRDefault="00AF36D0" w14:paraId="0504616B" w14:textId="77777777">
      <w:pPr>
        <w:contextualSpacing/>
        <w:jc w:val="both"/>
        <w:rPr>
          <w:rFonts w:ascii="Century Gothic" w:hAnsi="Century Gothic" w:eastAsia="Calibri" w:cs="Arial"/>
          <w:lang w:eastAsia="es-ES_tradnl"/>
        </w:rPr>
      </w:pPr>
      <w:r w:rsidRPr="0071238F">
        <w:rPr>
          <w:rFonts w:ascii="Century Gothic" w:hAnsi="Century Gothic" w:eastAsia="Geomanist Light" w:cs="Arial"/>
          <w:color w:val="000000" w:themeColor="text1"/>
          <w:lang w:val="es-MX"/>
        </w:rPr>
        <w:t>Bogotá D.C.</w:t>
      </w:r>
      <w:r w:rsidRPr="0071238F">
        <w:rPr>
          <w:rFonts w:ascii="Century Gothic" w:hAnsi="Century Gothic" w:eastAsia="Calibri" w:cs="Arial"/>
          <w:lang w:eastAsia="es-ES_tradnl"/>
        </w:rPr>
        <w:t xml:space="preserve">  </w:t>
      </w:r>
    </w:p>
    <w:p w:rsidRPr="0071238F" w:rsidR="00AF36D0" w:rsidP="00AF36D0" w:rsidRDefault="00AF36D0" w14:paraId="141A0A82" w14:textId="77777777">
      <w:pPr>
        <w:contextualSpacing/>
        <w:jc w:val="both"/>
        <w:rPr>
          <w:rFonts w:ascii="Century Gothic" w:hAnsi="Century Gothic" w:eastAsia="Calibri" w:cs="Arial"/>
          <w:lang w:val="es-ES_tradnl" w:eastAsia="es-ES_tradnl"/>
        </w:rPr>
      </w:pPr>
    </w:p>
    <w:p w:rsidRPr="0071238F" w:rsidR="00AF36D0" w:rsidP="00AF36D0" w:rsidRDefault="00AF36D0" w14:paraId="4611DF63" w14:textId="77777777">
      <w:pPr>
        <w:contextualSpacing/>
        <w:rPr>
          <w:rFonts w:ascii="Century Gothic" w:hAnsi="Century Gothic" w:eastAsia="Calibri" w:cs="Arial"/>
          <w:b/>
          <w:lang w:val="es-ES_tradnl" w:eastAsia="es-ES_tradnl"/>
        </w:rPr>
      </w:pPr>
    </w:p>
    <w:p w:rsidRPr="0071238F" w:rsidR="00AF36D0" w:rsidP="00AF36D0" w:rsidRDefault="00AF36D0" w14:paraId="36B3C1B7" w14:textId="5CD82BE2">
      <w:pPr>
        <w:ind w:left="2124" w:firstLine="570"/>
        <w:contextualSpacing/>
        <w:rPr>
          <w:rFonts w:ascii="Century Gothic" w:hAnsi="Century Gothic" w:eastAsia="Calibri" w:cs="Arial"/>
          <w:b/>
          <w:lang w:val="es-ES_tradnl" w:eastAsia="es-ES_tradnl"/>
        </w:rPr>
      </w:pPr>
      <w:r w:rsidRPr="0071238F">
        <w:rPr>
          <w:rFonts w:ascii="Century Gothic" w:hAnsi="Century Gothic" w:eastAsia="Calibri" w:cs="Arial"/>
          <w:b/>
          <w:lang w:val="es-ES_tradnl" w:eastAsia="es-ES_tradnl"/>
        </w:rPr>
        <w:t xml:space="preserve">Concepto C – </w:t>
      </w:r>
      <w:r w:rsidR="00580287">
        <w:rPr>
          <w:rFonts w:ascii="Century Gothic" w:hAnsi="Century Gothic" w:eastAsia="Calibri" w:cs="Arial"/>
          <w:b/>
          <w:lang w:val="es-ES_tradnl" w:eastAsia="es-ES_tradnl"/>
        </w:rPr>
        <w:t>264</w:t>
      </w:r>
      <w:r w:rsidRPr="0071238F">
        <w:rPr>
          <w:rFonts w:ascii="Century Gothic" w:hAnsi="Century Gothic" w:eastAsia="Calibri" w:cs="Arial"/>
          <w:b/>
          <w:lang w:val="es-ES_tradnl" w:eastAsia="es-ES_tradnl"/>
        </w:rPr>
        <w:t xml:space="preserve"> de 2023</w:t>
      </w:r>
    </w:p>
    <w:p w:rsidRPr="0071238F" w:rsidR="00AF36D0" w:rsidP="00AF36D0" w:rsidRDefault="00AF36D0" w14:paraId="291B60C6" w14:textId="77777777">
      <w:pPr>
        <w:contextualSpacing/>
        <w:jc w:val="both"/>
        <w:rPr>
          <w:rFonts w:ascii="Century Gothic" w:hAnsi="Century Gothic" w:eastAsia="Calibri" w:cs="Arial"/>
          <w:lang w:val="es-ES_tradnl" w:eastAsia="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C046D8" w:rsidR="00AF36D0" w:rsidTr="002528FF" w14:paraId="1689C81A" w14:textId="77777777">
        <w:tc>
          <w:tcPr>
            <w:tcW w:w="2689" w:type="dxa"/>
          </w:tcPr>
          <w:p w:rsidRPr="0071238F" w:rsidR="00AF36D0" w:rsidP="002528FF" w:rsidRDefault="00AF36D0" w14:paraId="1A5C56DC" w14:textId="77777777">
            <w:pPr>
              <w:contextualSpacing/>
              <w:jc w:val="both"/>
              <w:rPr>
                <w:rFonts w:ascii="Century Gothic" w:hAnsi="Century Gothic" w:eastAsia="Calibri" w:cs="Arial"/>
                <w:lang w:val="es-ES_tradnl" w:eastAsia="es-ES_tradnl"/>
              </w:rPr>
            </w:pPr>
            <w:r w:rsidRPr="0071238F">
              <w:rPr>
                <w:rFonts w:ascii="Century Gothic" w:hAnsi="Century Gothic" w:eastAsia="Calibri" w:cs="Arial"/>
                <w:b/>
                <w:lang w:val="es-ES_tradnl" w:eastAsia="es-ES_tradnl"/>
              </w:rPr>
              <w:t>Temas:</w:t>
            </w:r>
            <w:r w:rsidRPr="0071238F">
              <w:rPr>
                <w:rFonts w:ascii="Century Gothic" w:hAnsi="Century Gothic" w:eastAsia="Calibri" w:cs="Arial"/>
                <w:lang w:val="es-ES_tradnl" w:eastAsia="es-ES_tradnl"/>
              </w:rPr>
              <w:t xml:space="preserve">                                      </w:t>
            </w:r>
          </w:p>
        </w:tc>
        <w:tc>
          <w:tcPr>
            <w:tcW w:w="6237" w:type="dxa"/>
          </w:tcPr>
          <w:p w:rsidRPr="0071238F" w:rsidR="00AF36D0" w:rsidP="002528FF" w:rsidRDefault="00AF36D0" w14:paraId="637D01F9" w14:textId="77777777">
            <w:pPr>
              <w:spacing w:after="120"/>
              <w:contextualSpacing/>
              <w:jc w:val="both"/>
              <w:rPr>
                <w:rFonts w:ascii="Century Gothic" w:hAnsi="Century Gothic" w:eastAsia="Calibri" w:cs="Arial"/>
                <w:lang w:val="es-MX" w:eastAsia="es-ES_tradnl"/>
              </w:rPr>
            </w:pPr>
            <w:r w:rsidRPr="0071238F">
              <w:rPr>
                <w:rFonts w:ascii="Century Gothic" w:hAnsi="Century Gothic" w:eastAsia="Calibri" w:cs="Arial"/>
                <w:lang w:val="es-MX" w:eastAsia="es-ES_tradnl"/>
              </w:rPr>
              <w:t xml:space="preserve">ORGANISMOS INTERNACIONALES – Concepto / RÉGIMEN CONTRACTUAL – Ley 1150 de 2007 – Artículo 20 / SISTEMA NACIONAL DE COOPERACIÓN INTERNACIONAL – Decreto 603 de 2022 – Alcance / SOCIOS DE COOPERACIÓN INTERNACIONAL </w:t>
            </w:r>
            <w:r w:rsidRPr="000F3257">
              <w:rPr>
                <w:rFonts w:ascii="Arial" w:hAnsi="Arial" w:eastAsia="Calibri" w:cs="Arial"/>
                <w:bCs/>
                <w:lang w:val="es-MX" w:eastAsia="es-ES_tradnl"/>
              </w:rPr>
              <w:t>‒</w:t>
            </w:r>
            <w:r w:rsidRPr="0071238F">
              <w:rPr>
                <w:rFonts w:ascii="Century Gothic" w:hAnsi="Century Gothic" w:eastAsia="Calibri" w:cs="Arial"/>
                <w:lang w:val="es-MX" w:eastAsia="es-ES_tradnl"/>
              </w:rPr>
              <w:t xml:space="preserve"> Interpretaci</w:t>
            </w:r>
            <w:r w:rsidRPr="0071238F">
              <w:rPr>
                <w:rFonts w:ascii="Century Gothic" w:hAnsi="Century Gothic" w:eastAsia="Calibri" w:cs="Century Gothic"/>
                <w:lang w:val="es-MX" w:eastAsia="es-ES_tradnl"/>
              </w:rPr>
              <w:t>ó</w:t>
            </w:r>
            <w:r w:rsidRPr="0071238F">
              <w:rPr>
                <w:rFonts w:ascii="Century Gothic" w:hAnsi="Century Gothic" w:eastAsia="Calibri" w:cs="Arial"/>
                <w:lang w:val="es-MX" w:eastAsia="es-ES_tradnl"/>
              </w:rPr>
              <w:t>n amplia</w:t>
            </w:r>
          </w:p>
          <w:p w:rsidRPr="0071238F" w:rsidR="00AF36D0" w:rsidP="002528FF" w:rsidRDefault="00AF36D0" w14:paraId="4DC1954F" w14:textId="77777777">
            <w:pPr>
              <w:spacing w:after="120"/>
              <w:contextualSpacing/>
              <w:jc w:val="both"/>
              <w:rPr>
                <w:rFonts w:ascii="Century Gothic" w:hAnsi="Century Gothic" w:eastAsia="Calibri" w:cs="Arial"/>
                <w:sz w:val="12"/>
                <w:szCs w:val="12"/>
                <w:lang w:val="es-ES_tradnl" w:eastAsia="es-ES_tradnl"/>
              </w:rPr>
            </w:pPr>
          </w:p>
        </w:tc>
      </w:tr>
      <w:tr w:rsidRPr="00C046D8" w:rsidR="00AF36D0" w:rsidTr="002528FF" w14:paraId="7FC0A9BE" w14:textId="77777777">
        <w:trPr>
          <w:trHeight w:val="227"/>
        </w:trPr>
        <w:tc>
          <w:tcPr>
            <w:tcW w:w="2689" w:type="dxa"/>
          </w:tcPr>
          <w:p w:rsidRPr="0071238F" w:rsidR="00AF36D0" w:rsidP="002528FF" w:rsidRDefault="00AF36D0" w14:paraId="3ECE3D1A" w14:textId="77777777">
            <w:pPr>
              <w:contextualSpacing/>
              <w:jc w:val="both"/>
              <w:rPr>
                <w:rFonts w:ascii="Century Gothic" w:hAnsi="Century Gothic" w:eastAsia="Calibri" w:cs="Arial"/>
                <w:b/>
                <w:lang w:val="es-ES_tradnl" w:eastAsia="es-ES_tradnl"/>
              </w:rPr>
            </w:pPr>
            <w:r w:rsidRPr="0071238F">
              <w:rPr>
                <w:rFonts w:ascii="Century Gothic" w:hAnsi="Century Gothic" w:eastAsia="Calibri" w:cs="Arial"/>
                <w:b/>
                <w:lang w:val="es-ES_tradnl" w:eastAsia="es-ES_tradnl"/>
              </w:rPr>
              <w:t>Radicación:</w:t>
            </w:r>
            <w:r w:rsidRPr="0071238F">
              <w:rPr>
                <w:rFonts w:ascii="Century Gothic" w:hAnsi="Century Gothic" w:eastAsia="Calibri" w:cs="Arial"/>
                <w:lang w:val="es-ES_tradnl" w:eastAsia="es-ES_tradnl"/>
              </w:rPr>
              <w:t xml:space="preserve">                             </w:t>
            </w:r>
          </w:p>
        </w:tc>
        <w:tc>
          <w:tcPr>
            <w:tcW w:w="6237" w:type="dxa"/>
          </w:tcPr>
          <w:p w:rsidRPr="0071238F" w:rsidR="00AF36D0" w:rsidP="002528FF" w:rsidRDefault="00AF36D0" w14:paraId="090AD601" w14:textId="77777777">
            <w:pPr>
              <w:contextualSpacing/>
              <w:jc w:val="both"/>
              <w:rPr>
                <w:rFonts w:ascii="Century Gothic" w:hAnsi="Century Gothic" w:eastAsia="Calibri" w:cs="Arial"/>
                <w:lang w:val="es-ES_tradnl" w:eastAsia="es-ES_tradnl"/>
              </w:rPr>
            </w:pPr>
            <w:r w:rsidRPr="0071238F">
              <w:rPr>
                <w:rFonts w:ascii="Century Gothic" w:hAnsi="Century Gothic" w:eastAsia="Calibri" w:cs="Arial"/>
                <w:lang w:val="es-ES_tradnl" w:eastAsia="es-ES_tradnl"/>
              </w:rPr>
              <w:t>Respuesta a la consulta P20231009015847</w:t>
            </w:r>
          </w:p>
        </w:tc>
      </w:tr>
    </w:tbl>
    <w:p w:rsidRPr="0071238F" w:rsidR="00AF36D0" w:rsidP="00AF36D0" w:rsidRDefault="00AF36D0" w14:paraId="1D3CE5DF" w14:textId="77777777">
      <w:pPr>
        <w:contextualSpacing/>
        <w:jc w:val="both"/>
        <w:rPr>
          <w:rFonts w:ascii="Century Gothic" w:hAnsi="Century Gothic" w:eastAsia="Calibri" w:cs="Arial"/>
          <w:lang w:val="es-ES_tradnl" w:eastAsia="es-ES_tradnl"/>
        </w:rPr>
      </w:pPr>
    </w:p>
    <w:p w:rsidRPr="0071238F" w:rsidR="00AF36D0" w:rsidP="00AF36D0" w:rsidRDefault="00AF36D0" w14:paraId="444B5BA0" w14:textId="77777777">
      <w:pPr>
        <w:contextualSpacing/>
        <w:jc w:val="both"/>
        <w:rPr>
          <w:rFonts w:ascii="Century Gothic" w:hAnsi="Century Gothic" w:eastAsia="Calibri" w:cs="Arial"/>
          <w:lang w:val="es-ES_tradnl" w:eastAsia="es-ES_tradnl"/>
        </w:rPr>
      </w:pPr>
    </w:p>
    <w:p w:rsidRPr="0071238F" w:rsidR="00AF36D0" w:rsidP="00AF36D0" w:rsidRDefault="00AF36D0" w14:paraId="1A06EB22" w14:textId="77777777">
      <w:pPr>
        <w:contextualSpacing/>
        <w:jc w:val="both"/>
        <w:rPr>
          <w:rFonts w:ascii="Century Gothic" w:hAnsi="Century Gothic" w:eastAsia="Calibri" w:cs="Arial"/>
          <w:lang w:val="es-ES" w:eastAsia="es-ES"/>
        </w:rPr>
      </w:pPr>
      <w:r w:rsidRPr="0071238F">
        <w:rPr>
          <w:rFonts w:ascii="Century Gothic" w:hAnsi="Century Gothic" w:eastAsia="Calibri" w:cs="Arial"/>
          <w:lang w:val="es-ES" w:eastAsia="es-ES"/>
        </w:rPr>
        <w:t xml:space="preserve">Respetado doctor Sánchez Jaramillo: </w:t>
      </w:r>
    </w:p>
    <w:p w:rsidRPr="0071238F" w:rsidR="00AF36D0" w:rsidP="00AF36D0" w:rsidRDefault="00AF36D0" w14:paraId="1677414F" w14:textId="77777777">
      <w:pPr>
        <w:spacing w:line="276" w:lineRule="auto"/>
        <w:contextualSpacing/>
        <w:jc w:val="both"/>
        <w:rPr>
          <w:rFonts w:ascii="Century Gothic" w:hAnsi="Century Gothic" w:eastAsia="Calibri" w:cs="Arial"/>
          <w:szCs w:val="24"/>
          <w:lang w:val="es-ES_tradnl" w:eastAsia="es-ES_tradnl"/>
        </w:rPr>
      </w:pPr>
    </w:p>
    <w:bookmarkEnd w:id="0"/>
    <w:bookmarkEnd w:id="1"/>
    <w:p w:rsidRPr="0071238F" w:rsidR="00AF36D0" w:rsidP="00AF36D0" w:rsidRDefault="00AF36D0" w14:paraId="781131E3" w14:textId="77777777">
      <w:pPr>
        <w:spacing w:after="0" w:line="276" w:lineRule="auto"/>
        <w:jc w:val="both"/>
        <w:rPr>
          <w:rFonts w:ascii="Century Gothic" w:hAnsi="Century Gothic" w:eastAsia="Calibri" w:cs="Arial"/>
          <w:color w:val="000000" w:themeColor="text1"/>
          <w:lang w:val="es-ES_tradnl"/>
        </w:rPr>
      </w:pPr>
      <w:r w:rsidRPr="0071238F">
        <w:rPr>
          <w:rFonts w:ascii="Century Gothic" w:hAnsi="Century Gothic" w:eastAsia="Calibri" w:cs="Arial"/>
          <w:color w:val="000000" w:themeColor="text1"/>
          <w:lang w:val="es-ES_tradnl"/>
        </w:rPr>
        <w:t>En ejercicio de la competencia otorgada por el numeral 8 del artículo 11 y el numeral 5 del artículo 3 del Decreto Ley 4170 de 2011</w:t>
      </w:r>
      <w:bookmarkStart w:name="_Hlk99120496" w:id="8"/>
      <w:r w:rsidRPr="0071238F">
        <w:rPr>
          <w:rFonts w:ascii="Century Gothic" w:hAnsi="Century Gothic" w:eastAsia="Arial MT" w:cs="Arial MT"/>
          <w:lang w:val="es-ES"/>
        </w:rPr>
        <w:t xml:space="preserve">, </w:t>
      </w:r>
      <w:bookmarkEnd w:id="8"/>
      <w:r w:rsidRPr="0071238F">
        <w:rPr>
          <w:rFonts w:ascii="Century Gothic" w:hAnsi="Century Gothic" w:eastAsia="Calibri" w:cs="Arial"/>
          <w:color w:val="000000" w:themeColor="text1"/>
          <w:lang w:val="es-ES_tradnl"/>
        </w:rPr>
        <w:t>la Agencia Nacional de Contratación Pública – Colombia Compra Eficiente responde la consulta radicada el 9 de octubre de 2023.</w:t>
      </w:r>
    </w:p>
    <w:p w:rsidRPr="0071238F" w:rsidR="00AF36D0" w:rsidP="00AF36D0" w:rsidRDefault="00AF36D0" w14:paraId="46B3C887" w14:textId="77777777">
      <w:pPr>
        <w:spacing w:after="0" w:line="276" w:lineRule="auto"/>
        <w:jc w:val="both"/>
        <w:rPr>
          <w:rFonts w:ascii="Century Gothic" w:hAnsi="Century Gothic" w:eastAsia="Calibri" w:cs="Arial"/>
          <w:b/>
          <w:color w:val="000000" w:themeColor="text1"/>
          <w:lang w:val="es-ES_tradnl"/>
        </w:rPr>
      </w:pPr>
    </w:p>
    <w:p w:rsidRPr="0071238F" w:rsidR="00AF36D0" w:rsidP="00AF36D0" w:rsidRDefault="00AF36D0" w14:paraId="7A20AEA4" w14:textId="77777777">
      <w:pPr>
        <w:pStyle w:val="Prrafodelista"/>
        <w:numPr>
          <w:ilvl w:val="0"/>
          <w:numId w:val="17"/>
        </w:numPr>
        <w:tabs>
          <w:tab w:val="left" w:pos="0"/>
          <w:tab w:val="left" w:pos="142"/>
          <w:tab w:val="left" w:pos="284"/>
        </w:tabs>
        <w:spacing w:after="0" w:line="276" w:lineRule="auto"/>
        <w:ind w:left="0" w:firstLine="0"/>
        <w:jc w:val="both"/>
        <w:rPr>
          <w:rFonts w:ascii="Century Gothic" w:hAnsi="Century Gothic" w:eastAsia="Calibri" w:cs="Arial"/>
          <w:b/>
          <w:color w:val="000000" w:themeColor="text1"/>
          <w:lang w:val="es-ES_tradnl"/>
        </w:rPr>
      </w:pPr>
      <w:r w:rsidRPr="0071238F">
        <w:rPr>
          <w:rFonts w:ascii="Century Gothic" w:hAnsi="Century Gothic" w:eastAsia="Calibri" w:cs="Arial"/>
          <w:b/>
          <w:color w:val="000000" w:themeColor="text1"/>
          <w:lang w:val="es-ES_tradnl"/>
        </w:rPr>
        <w:t xml:space="preserve">Problemas planteados </w:t>
      </w:r>
    </w:p>
    <w:p w:rsidRPr="0071238F" w:rsidR="00AF36D0" w:rsidP="00AF36D0" w:rsidRDefault="00AF36D0" w14:paraId="52D8D458" w14:textId="77777777">
      <w:pPr>
        <w:tabs>
          <w:tab w:val="left" w:pos="426"/>
        </w:tabs>
        <w:spacing w:after="0" w:line="276" w:lineRule="auto"/>
        <w:jc w:val="both"/>
        <w:rPr>
          <w:rFonts w:ascii="Century Gothic" w:hAnsi="Century Gothic" w:eastAsia="Calibri" w:cs="Arial"/>
          <w:b/>
          <w:color w:val="000000" w:themeColor="text1"/>
          <w:lang w:val="es-ES_tradnl"/>
        </w:rPr>
      </w:pPr>
    </w:p>
    <w:p w:rsidRPr="0071238F" w:rsidR="00AF36D0" w:rsidP="00AF36D0" w:rsidRDefault="00AF36D0" w14:paraId="63571D17" w14:textId="77777777">
      <w:pPr>
        <w:spacing w:after="0" w:line="276" w:lineRule="auto"/>
        <w:jc w:val="both"/>
        <w:rPr>
          <w:rFonts w:ascii="Century Gothic" w:hAnsi="Century Gothic" w:cs="Arial"/>
          <w:color w:val="000000" w:themeColor="text1"/>
          <w:lang w:val="es-ES_tradnl"/>
        </w:rPr>
      </w:pPr>
      <w:bookmarkStart w:name="_Hlk132728388" w:id="9"/>
      <w:r w:rsidRPr="0071238F">
        <w:rPr>
          <w:rFonts w:ascii="Century Gothic" w:hAnsi="Century Gothic" w:cs="Arial"/>
          <w:color w:val="000000" w:themeColor="text1"/>
          <w:lang w:val="es-ES_tradnl"/>
        </w:rPr>
        <w:t>Usted realiza las siguientes preguntas:</w:t>
      </w:r>
      <w:bookmarkEnd w:id="9"/>
      <w:r w:rsidRPr="0071238F">
        <w:rPr>
          <w:rFonts w:ascii="Century Gothic" w:hAnsi="Century Gothic"/>
          <w:color w:val="000000" w:themeColor="text1"/>
        </w:rPr>
        <w:t xml:space="preserve"> </w:t>
      </w:r>
      <w:bookmarkStart w:name="_Hlk132728466" w:id="10"/>
      <w:bookmarkStart w:name="_Hlk134095577" w:id="11"/>
      <w:bookmarkStart w:name="_Hlk137047447" w:id="12"/>
      <w:bookmarkStart w:name="_Hlk148445785" w:id="13"/>
      <w:r w:rsidRPr="0071238F">
        <w:rPr>
          <w:rFonts w:ascii="Century Gothic" w:hAnsi="Century Gothic" w:cs="Arial"/>
          <w:color w:val="000000" w:themeColor="text1"/>
          <w:lang w:val="es-ES_tradnl"/>
        </w:rPr>
        <w:t>i)</w:t>
      </w:r>
      <w:bookmarkEnd w:id="10"/>
      <w:bookmarkEnd w:id="11"/>
      <w:bookmarkEnd w:id="12"/>
      <w:r w:rsidRPr="0071238F">
        <w:rPr>
          <w:rFonts w:ascii="Century Gothic" w:hAnsi="Century Gothic" w:cs="Arial"/>
          <w:color w:val="000000" w:themeColor="text1"/>
          <w:lang w:val="es-ES_tradnl"/>
        </w:rPr>
        <w:t xml:space="preserve"> “¿Es válido afirmar que la exigencia de que: ‘</w:t>
      </w:r>
      <w:r w:rsidRPr="0071238F">
        <w:rPr>
          <w:rFonts w:ascii="Century Gothic" w:hAnsi="Century Gothic" w:cs="Arial"/>
          <w:i/>
          <w:color w:val="000000" w:themeColor="text1"/>
          <w:lang w:val="es-ES_tradnl"/>
        </w:rPr>
        <w:t>Todo proyecto, programa y/o iniciativa de cooperación internacional que sea implementada por un socio de cooperación internacional y que involucre recursos del Presupuesto General de la Nación, debe tener una contrapartida de recursos financieros mínimo del 30%, del socio de cooperación internacional</w:t>
      </w:r>
      <w:r w:rsidRPr="0071238F">
        <w:rPr>
          <w:rFonts w:ascii="Century Gothic" w:hAnsi="Century Gothic" w:cs="Arial"/>
          <w:color w:val="000000" w:themeColor="text1"/>
          <w:lang w:val="es-ES_tradnl"/>
        </w:rPr>
        <w:t xml:space="preserve">’, en los términos del artículo 2.2.8.3.4. del Decreto Nacional 603 de 2022, aplica únicamente </w:t>
      </w:r>
      <w:r w:rsidRPr="0071238F">
        <w:rPr>
          <w:rFonts w:ascii="Century Gothic" w:hAnsi="Century Gothic" w:cs="Arial"/>
          <w:color w:val="000000" w:themeColor="text1"/>
          <w:lang w:val="es-ES_tradnl"/>
        </w:rPr>
        <w:lastRenderedPageBreak/>
        <w:t xml:space="preserve">a los contratos o convenios financiados totalmente o en parte con fondos de los organismos de cooperación, asistencia o ayudas internacionales, esto es, organizaciones internacionales privadas u organizaciones no gubernamentales (ONG), o debe aplicarse a todo proyecto, programa y/o iniciativa de cooperación internacional sin importar la naturaleza jurídica del aliado, es decir, incluyendo a las personas extranjeras de derecho público?” (Énfasis dentro del texto) y </w:t>
      </w:r>
      <w:proofErr w:type="spellStart"/>
      <w:r w:rsidRPr="0071238F">
        <w:rPr>
          <w:rFonts w:ascii="Century Gothic" w:hAnsi="Century Gothic" w:cs="Arial"/>
          <w:color w:val="000000" w:themeColor="text1"/>
          <w:lang w:val="es-ES_tradnl"/>
        </w:rPr>
        <w:t>ii</w:t>
      </w:r>
      <w:proofErr w:type="spellEnd"/>
      <w:r w:rsidRPr="0071238F">
        <w:rPr>
          <w:rFonts w:ascii="Century Gothic" w:hAnsi="Century Gothic" w:cs="Arial"/>
          <w:color w:val="000000" w:themeColor="text1"/>
          <w:lang w:val="es-ES_tradnl"/>
        </w:rPr>
        <w:t>) “En caso de que la respuesta a la pregunta anterior sea afirmativa, ¿cómo es jurídicamente posible que un decreto reglamentario incluya requisitos sustanciales para la celebración de convenios de cooperación internacional que no están incluidos en la ley reglamentada (art. 20 Ley 1150 de 2007)?”</w:t>
      </w:r>
      <w:bookmarkEnd w:id="13"/>
      <w:r w:rsidRPr="0071238F">
        <w:rPr>
          <w:rFonts w:ascii="Century Gothic" w:hAnsi="Century Gothic" w:cs="Arial"/>
          <w:color w:val="000000" w:themeColor="text1"/>
          <w:lang w:val="es-ES_tradnl"/>
        </w:rPr>
        <w:t xml:space="preserve">.  </w:t>
      </w:r>
    </w:p>
    <w:p w:rsidRPr="0071238F" w:rsidR="00AF36D0" w:rsidP="00AF36D0" w:rsidRDefault="00AF36D0" w14:paraId="2003F57E" w14:textId="77777777">
      <w:pPr>
        <w:spacing w:after="0" w:line="276" w:lineRule="auto"/>
        <w:ind w:right="709"/>
        <w:jc w:val="both"/>
        <w:rPr>
          <w:rFonts w:ascii="Century Gothic" w:hAnsi="Century Gothic" w:cs="Arial"/>
          <w:color w:val="000000" w:themeColor="text1"/>
          <w:sz w:val="21"/>
          <w:szCs w:val="21"/>
        </w:rPr>
      </w:pPr>
    </w:p>
    <w:p w:rsidRPr="0071238F" w:rsidR="00AF36D0" w:rsidP="00AF36D0" w:rsidRDefault="00AF36D0" w14:paraId="52ED9918" w14:textId="77777777">
      <w:pPr>
        <w:pStyle w:val="Prrafodelista"/>
        <w:numPr>
          <w:ilvl w:val="0"/>
          <w:numId w:val="17"/>
        </w:numPr>
        <w:tabs>
          <w:tab w:val="left" w:pos="0"/>
          <w:tab w:val="left" w:pos="284"/>
        </w:tabs>
        <w:spacing w:after="0" w:line="240" w:lineRule="auto"/>
        <w:ind w:left="0" w:firstLine="0"/>
        <w:jc w:val="both"/>
        <w:rPr>
          <w:rFonts w:ascii="Century Gothic" w:hAnsi="Century Gothic" w:eastAsia="Calibri" w:cs="Arial"/>
          <w:b/>
          <w:color w:val="000000" w:themeColor="text1"/>
          <w:lang w:val="es-ES_tradnl"/>
        </w:rPr>
      </w:pPr>
      <w:r w:rsidRPr="0071238F">
        <w:rPr>
          <w:rFonts w:ascii="Century Gothic" w:hAnsi="Century Gothic" w:eastAsia="Calibri" w:cs="Arial"/>
          <w:b/>
          <w:color w:val="000000" w:themeColor="text1"/>
          <w:lang w:val="es-ES_tradnl"/>
        </w:rPr>
        <w:t>Consideraciones</w:t>
      </w:r>
    </w:p>
    <w:p w:rsidRPr="0071238F" w:rsidR="00AF36D0" w:rsidP="00AF36D0" w:rsidRDefault="00AF36D0" w14:paraId="00172203" w14:textId="77777777">
      <w:pPr>
        <w:spacing w:after="0" w:line="276" w:lineRule="auto"/>
        <w:jc w:val="both"/>
        <w:rPr>
          <w:rFonts w:ascii="Century Gothic" w:hAnsi="Century Gothic" w:eastAsia="Calibri" w:cs="Arial"/>
          <w:color w:val="000000" w:themeColor="text1"/>
          <w:lang w:val="es-ES"/>
        </w:rPr>
      </w:pPr>
    </w:p>
    <w:p w:rsidRPr="0071238F" w:rsidR="00AF36D0" w:rsidP="00AF36D0" w:rsidRDefault="00AF36D0" w14:paraId="12807CF9" w14:textId="77777777">
      <w:pPr>
        <w:spacing w:after="120" w:line="276" w:lineRule="auto"/>
        <w:jc w:val="both"/>
        <w:rPr>
          <w:rFonts w:ascii="Century Gothic" w:hAnsi="Century Gothic" w:cs="Arial"/>
          <w:lang w:val="es-ES"/>
        </w:rPr>
      </w:pPr>
      <w:r w:rsidRPr="0071238F">
        <w:rPr>
          <w:rFonts w:ascii="Century Gothic" w:hAnsi="Century Gothic" w:cs="Arial"/>
        </w:rPr>
        <w:t xml:space="preserve">En ejercicio de las competencias establecidas en los artículos 3.5 y 11.8 del Decreto 4170 de 2011, la Agencia Nacional de Contratación Pública – Colombia Compra Eficiente resuelve consultas sobre </w:t>
      </w:r>
      <w:r w:rsidRPr="0071238F">
        <w:rPr>
          <w:rFonts w:ascii="Century Gothic" w:hAnsi="Century Gothic"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71238F">
        <w:rPr>
          <w:rFonts w:ascii="Century Gothic" w:hAnsi="Century Gothic" w:cs="Arial"/>
        </w:rPr>
        <w:t xml:space="preserve"> de todos los partícipes de la contratación estatal.</w:t>
      </w:r>
    </w:p>
    <w:p w:rsidRPr="0071238F" w:rsidR="00AF36D0" w:rsidP="00AF36D0" w:rsidRDefault="00AF36D0" w14:paraId="6647128E" w14:textId="77777777">
      <w:pPr>
        <w:spacing w:after="120" w:line="276" w:lineRule="auto"/>
        <w:ind w:firstLine="708"/>
        <w:jc w:val="both"/>
        <w:rPr>
          <w:rFonts w:ascii="Century Gothic" w:hAnsi="Century Gothic" w:cs="Arial"/>
          <w:lang w:val="es-ES"/>
        </w:rPr>
      </w:pPr>
      <w:r w:rsidRPr="0071238F">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71238F">
        <w:rPr>
          <w:rFonts w:ascii="Century Gothic" w:hAnsi="Century Gothic" w:cs="Arial"/>
          <w:vertAlign w:val="superscript"/>
          <w:lang w:val="es-ES"/>
        </w:rPr>
        <w:footnoteReference w:id="2"/>
      </w:r>
      <w:r w:rsidRPr="0071238F">
        <w:rPr>
          <w:rFonts w:ascii="Century Gothic" w:hAnsi="Century Gothic" w:cs="Arial"/>
          <w:lang w:val="es-ES"/>
        </w:rPr>
        <w:t>.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celebrar determinado negocio en específico.</w:t>
      </w:r>
    </w:p>
    <w:p w:rsidRPr="0071238F" w:rsidR="00AF36D0" w:rsidP="00AF36D0" w:rsidRDefault="00AF36D0" w14:paraId="4F9FBEA0" w14:textId="77777777">
      <w:pPr>
        <w:spacing w:line="276" w:lineRule="auto"/>
        <w:ind w:firstLine="708"/>
        <w:jc w:val="both"/>
        <w:rPr>
          <w:rFonts w:ascii="Century Gothic" w:hAnsi="Century Gothic" w:cs="Arial"/>
          <w:color w:val="000000" w:themeColor="text1"/>
          <w:lang w:val="es-ES"/>
        </w:rPr>
      </w:pPr>
      <w:r w:rsidRPr="0071238F">
        <w:rPr>
          <w:rFonts w:ascii="Century Gothic" w:hAnsi="Century Gothic" w:eastAsia="Calibri" w:cs="Arial"/>
        </w:rPr>
        <w:lastRenderedPageBreak/>
        <w:t xml:space="preserve">Sin perjuicio de lo anterior, la Agencia –dentro de los límites de sus atribuciones– resolverá la consulta conforme a las normas generales del sistema de compras públicas. Con este objetivo se abordarán </w:t>
      </w:r>
      <w:r w:rsidRPr="0071238F">
        <w:rPr>
          <w:rFonts w:ascii="Century Gothic" w:hAnsi="Century Gothic" w:eastAsia="Calibri" w:cs="Arial"/>
          <w:lang w:val="es-ES"/>
        </w:rPr>
        <w:t>los siguientes temas:</w:t>
      </w:r>
      <w:r w:rsidRPr="0071238F">
        <w:rPr>
          <w:rFonts w:ascii="Century Gothic" w:hAnsi="Century Gothic" w:cs="Arial"/>
          <w:color w:val="000000" w:themeColor="text1"/>
          <w:lang w:val="es-ES"/>
        </w:rPr>
        <w:t xml:space="preserve"> </w:t>
      </w:r>
      <w:r w:rsidRPr="0071238F">
        <w:rPr>
          <w:rFonts w:ascii="Century Gothic" w:hAnsi="Century Gothic" w:cs="Arial"/>
          <w:color w:val="000000" w:themeColor="text1"/>
          <w:lang w:val="es-ES_tradnl"/>
        </w:rPr>
        <w:t xml:space="preserve">i) régimen jurídico de los contratos con organismos internacionales y </w:t>
      </w:r>
      <w:proofErr w:type="spellStart"/>
      <w:r w:rsidRPr="0071238F">
        <w:rPr>
          <w:rFonts w:ascii="Century Gothic" w:hAnsi="Century Gothic" w:cs="Arial"/>
          <w:color w:val="000000" w:themeColor="text1"/>
          <w:lang w:val="es-ES_tradnl"/>
        </w:rPr>
        <w:t>ii</w:t>
      </w:r>
      <w:proofErr w:type="spellEnd"/>
      <w:r w:rsidRPr="0071238F">
        <w:rPr>
          <w:rFonts w:ascii="Century Gothic" w:hAnsi="Century Gothic" w:cs="Arial"/>
          <w:color w:val="000000" w:themeColor="text1"/>
          <w:lang w:val="es-ES_tradnl"/>
        </w:rPr>
        <w:t xml:space="preserve">) alcance del artículo 2.2.8.3.4 del Decreto 603 de 2022.   </w:t>
      </w:r>
    </w:p>
    <w:p w:rsidRPr="0071238F" w:rsidR="00AF36D0" w:rsidP="00AF36D0" w:rsidRDefault="00AF36D0" w14:paraId="3E60DD1D" w14:textId="77777777">
      <w:pPr>
        <w:spacing w:before="120" w:after="0" w:line="276" w:lineRule="auto"/>
        <w:ind w:firstLine="709"/>
        <w:jc w:val="both"/>
        <w:rPr>
          <w:rFonts w:ascii="Century Gothic" w:hAnsi="Century Gothic" w:eastAsia="Calibri" w:cs="Arial"/>
          <w:color w:val="000000" w:themeColor="text1"/>
          <w:lang w:val="es-ES"/>
        </w:rPr>
      </w:pPr>
      <w:r w:rsidRPr="0071238F">
        <w:rPr>
          <w:rFonts w:ascii="Century Gothic" w:hAnsi="Century Gothic" w:eastAsia="Calibri" w:cs="Arial"/>
          <w:color w:val="000000" w:themeColor="text1"/>
          <w:lang w:val="es-ES"/>
        </w:rPr>
        <w:t xml:space="preserve">La Agencia Nacional de Contratación Pública – Colombia Compra Eficiente, en los Conceptos C-185 del 13 de abril de 2020, C-372 del 30 de junio de 2020, C-374 del 23 de julio de 2020, C-680 del 18 de noviembre de 2020, C-771 del 13 de enero de 2021, C-781 del 19 de enero de 2021, C-049 del 8 de marzo de 2021, C-296 del 22 de junio de 2021, C-377 del 28 de julio de 2021, </w:t>
      </w:r>
      <w:r w:rsidRPr="0071238F">
        <w:rPr>
          <w:rFonts w:ascii="Century Gothic" w:hAnsi="Century Gothic" w:eastAsia="Calibri" w:cs="Arial"/>
        </w:rPr>
        <w:t xml:space="preserve">C-559 del 31 de agosto de 2021, C-233 del 6 de junio de 2022, </w:t>
      </w:r>
      <w:r w:rsidRPr="0071238F">
        <w:rPr>
          <w:rFonts w:ascii="Century Gothic" w:hAnsi="Century Gothic" w:eastAsia="Calibri" w:cs="Arial"/>
          <w:color w:val="000000" w:themeColor="text1"/>
          <w:lang w:val="es-ES"/>
        </w:rPr>
        <w:t xml:space="preserve">C-241 del 12 de mayo de 2022, C-305 del 16 de mayo de 2022, C-313 del 17 de mayo de 2022, C-358 del 27 de mayo de 2022, C-362 del 27 de mayo de 2022, C-367 del 7 de junio de 2022, C-368 del 13 de mayo de 2022, C-461 del 19 de julio de 2022 estudió el contenido del artículo 20 de la Ley 1150 de 2007, e hizo especial énfasis en el </w:t>
      </w:r>
      <w:r w:rsidRPr="0071238F">
        <w:rPr>
          <w:rFonts w:ascii="Century Gothic" w:hAnsi="Century Gothic" w:cs="Arial"/>
          <w:color w:val="000000" w:themeColor="text1"/>
          <w:lang w:val="es-ES_tradnl"/>
        </w:rPr>
        <w:t>Decreto 603 de 2022 en los Conceptos C-942 del 7 de marzo de 2023, C-012 del 7 de marzo de 2023, C-223 del 14 de agosto de 2023 y C-228 del 21 de septiembre de 2023</w:t>
      </w:r>
      <w:r w:rsidRPr="0071238F">
        <w:rPr>
          <w:rStyle w:val="Refdenotaalpie"/>
          <w:rFonts w:ascii="Century Gothic" w:hAnsi="Century Gothic" w:eastAsia="Calibri" w:cs="Arial"/>
        </w:rPr>
        <w:footnoteReference w:id="3"/>
      </w:r>
      <w:r w:rsidRPr="0071238F">
        <w:rPr>
          <w:rStyle w:val="normaltextrun"/>
          <w:rFonts w:ascii="Century Gothic" w:hAnsi="Century Gothic" w:cs="Arial"/>
          <w:color w:val="000000"/>
          <w:shd w:val="clear" w:color="auto" w:fill="FFFFFF"/>
        </w:rPr>
        <w:t xml:space="preserve">. </w:t>
      </w:r>
      <w:r w:rsidRPr="0071238F">
        <w:rPr>
          <w:rFonts w:ascii="Century Gothic" w:hAnsi="Century Gothic" w:eastAsia="Calibri" w:cs="Arial"/>
          <w:color w:val="000000" w:themeColor="text1"/>
          <w:lang w:val="es-ES_tradnl"/>
        </w:rPr>
        <w:t xml:space="preserve">La tesis propuesta en estos conceptos se reitera a continuación y se complementa en lo pertinente. </w:t>
      </w:r>
    </w:p>
    <w:p w:rsidRPr="0071238F" w:rsidR="00AF36D0" w:rsidP="00AF36D0" w:rsidRDefault="00AF36D0" w14:paraId="250F64F9" w14:textId="77777777">
      <w:pPr>
        <w:spacing w:after="0" w:line="276" w:lineRule="auto"/>
        <w:contextualSpacing/>
        <w:jc w:val="both"/>
        <w:rPr>
          <w:rFonts w:ascii="Century Gothic" w:hAnsi="Century Gothic" w:eastAsia="Times New Roman" w:cs="Arial"/>
          <w:b/>
          <w:szCs w:val="24"/>
          <w:lang w:eastAsia="es-ES_tradnl"/>
        </w:rPr>
      </w:pPr>
    </w:p>
    <w:p w:rsidRPr="0071238F" w:rsidR="00AF36D0" w:rsidP="00AF36D0" w:rsidRDefault="00AF36D0" w14:paraId="5AA16A37" w14:textId="77777777">
      <w:pPr>
        <w:spacing w:after="0" w:line="276" w:lineRule="auto"/>
        <w:jc w:val="both"/>
        <w:rPr>
          <w:rFonts w:ascii="Century Gothic" w:hAnsi="Century Gothic" w:eastAsia="Calibri" w:cs="Arial"/>
          <w:b/>
          <w:color w:val="000000" w:themeColor="text1"/>
        </w:rPr>
      </w:pPr>
      <w:r w:rsidRPr="0071238F">
        <w:rPr>
          <w:rFonts w:ascii="Century Gothic" w:hAnsi="Century Gothic" w:eastAsia="Times New Roman" w:cs="Arial"/>
          <w:b/>
          <w:szCs w:val="24"/>
          <w:lang w:eastAsia="es-ES_tradnl"/>
        </w:rPr>
        <w:t xml:space="preserve">2.1. </w:t>
      </w:r>
      <w:r w:rsidRPr="0071238F">
        <w:rPr>
          <w:rFonts w:ascii="Century Gothic" w:hAnsi="Century Gothic" w:eastAsia="Calibri" w:cs="Arial"/>
          <w:b/>
          <w:color w:val="000000" w:themeColor="text1"/>
        </w:rPr>
        <w:t>Régimen jurídico de los contratos con organismos internacionales</w:t>
      </w:r>
    </w:p>
    <w:p w:rsidRPr="0071238F" w:rsidR="00AF36D0" w:rsidP="00AF36D0" w:rsidRDefault="00AF36D0" w14:paraId="7D749DF0" w14:textId="77777777">
      <w:pPr>
        <w:spacing w:after="0" w:line="276" w:lineRule="auto"/>
        <w:jc w:val="both"/>
        <w:rPr>
          <w:rFonts w:ascii="Century Gothic" w:hAnsi="Century Gothic" w:eastAsia="Calibri" w:cs="Arial"/>
          <w:b/>
          <w:color w:val="000000" w:themeColor="text1"/>
        </w:rPr>
      </w:pPr>
    </w:p>
    <w:p w:rsidRPr="0071238F" w:rsidR="00AF36D0" w:rsidP="00AF36D0" w:rsidRDefault="00AF36D0" w14:paraId="7DDBF7D8" w14:textId="77777777">
      <w:pPr>
        <w:spacing w:after="120" w:line="276" w:lineRule="auto"/>
        <w:jc w:val="both"/>
        <w:rPr>
          <w:rFonts w:ascii="Century Gothic" w:hAnsi="Century Gothic" w:cs="Arial"/>
          <w:lang w:val="es-ES"/>
        </w:rPr>
      </w:pPr>
      <w:bookmarkStart w:name="_Hlk99449041" w:id="14"/>
      <w:r w:rsidRPr="0071238F">
        <w:rPr>
          <w:rFonts w:ascii="Century Gothic" w:hAnsi="Century Gothic" w:cs="Arial"/>
          <w:lang w:val="es-ES"/>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 con el propósito de cumplir objetivos comunes entre los Estados miembros</w:t>
      </w:r>
      <w:r w:rsidRPr="0071238F">
        <w:rPr>
          <w:rStyle w:val="Refdenotaalpie"/>
          <w:rFonts w:ascii="Century Gothic" w:hAnsi="Century Gothic" w:cs="Arial"/>
        </w:rPr>
        <w:footnoteReference w:id="4"/>
      </w:r>
      <w:r w:rsidRPr="0071238F">
        <w:rPr>
          <w:rFonts w:ascii="Century Gothic" w:hAnsi="Century Gothic" w:cs="Arial"/>
          <w:lang w:val="es-ES"/>
        </w:rPr>
        <w:t xml:space="preserve">.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rsidRPr="0071238F" w:rsidR="00AF36D0" w:rsidP="00AF36D0" w:rsidRDefault="00AF36D0" w14:paraId="7AC01CD1" w14:textId="77777777">
      <w:pPr>
        <w:pStyle w:val="Prrafodelista"/>
        <w:snapToGrid w:val="0"/>
        <w:spacing w:before="120" w:after="120"/>
        <w:ind w:left="0" w:firstLine="709"/>
        <w:jc w:val="both"/>
        <w:rPr>
          <w:rFonts w:ascii="Century Gothic" w:hAnsi="Century Gothic" w:eastAsia="Calibri" w:cs="Arial"/>
        </w:rPr>
      </w:pPr>
      <w:bookmarkStart w:name="_Hlk99449078" w:id="15"/>
      <w:bookmarkEnd w:id="14"/>
      <w:r w:rsidRPr="0071238F">
        <w:rPr>
          <w:rFonts w:ascii="Century Gothic" w:hAnsi="Century Gothic" w:eastAsia="Calibri" w:cs="Arial"/>
        </w:rPr>
        <w:t xml:space="preserve">El artículo 13 de la Ley 80 de 1993 regula de forma general el régimen aplicable a los contratos que celebren las entidades referidas en el artículo segundo del estatuto, señalando en el inciso primero, como primer criterio, la aplicabilidad de las disposiciones civiles y comerciales nacionales, sin perjuicio de </w:t>
      </w:r>
      <w:r w:rsidRPr="0071238F">
        <w:rPr>
          <w:rFonts w:ascii="Century Gothic" w:hAnsi="Century Gothic" w:eastAsia="Calibri" w:cs="Arial"/>
        </w:rPr>
        <w:lastRenderedPageBreak/>
        <w:t>la aplicación prevalente de las contenidas en el Estatuto General de Contratación de la Administración Pública</w:t>
      </w:r>
      <w:r w:rsidRPr="0071238F">
        <w:rPr>
          <w:rStyle w:val="Refdenotaalpie"/>
          <w:rFonts w:ascii="Century Gothic" w:hAnsi="Century Gothic" w:cs="Arial"/>
        </w:rPr>
        <w:footnoteReference w:id="5"/>
      </w:r>
      <w:r w:rsidRPr="0071238F">
        <w:rPr>
          <w:rFonts w:ascii="Century Gothic" w:hAnsi="Century Gothic" w:eastAsia="Calibri" w:cs="Arial"/>
        </w:rPr>
        <w:t xml:space="preserve">. Sin embargo, en su segundo inciso, respecto a los contratos celebrados en el exterior, permite que su ejecución se realice de conformidad con las normas del país donde se hayan suscrito, salvo que deban cumplirse en Colombia, caso en el que se aplicaría el esquema señalado respecto al inciso primero. Por último, el inciso tercero permite que los contratos que se celebren en Colombia, pero deban ejecutarse o cumplirse en el extranjero, se sometan a la ley extranjera. </w:t>
      </w:r>
    </w:p>
    <w:bookmarkEnd w:id="15"/>
    <w:p w:rsidRPr="0071238F" w:rsidR="00AF36D0" w:rsidP="00AF36D0" w:rsidRDefault="00AF36D0" w14:paraId="371E67CD" w14:textId="77777777">
      <w:pPr>
        <w:pStyle w:val="Prrafodelista"/>
        <w:snapToGrid w:val="0"/>
        <w:spacing w:before="120" w:after="120"/>
        <w:ind w:left="0" w:firstLine="709"/>
        <w:rPr>
          <w:rFonts w:ascii="Century Gothic" w:hAnsi="Century Gothic" w:eastAsia="Calibri" w:cs="Arial"/>
          <w:sz w:val="12"/>
          <w:szCs w:val="12"/>
        </w:rPr>
      </w:pPr>
    </w:p>
    <w:p w:rsidRPr="0071238F" w:rsidR="00AF36D0" w:rsidP="00AF36D0" w:rsidRDefault="00AF36D0" w14:paraId="2480F047" w14:textId="77777777">
      <w:pPr>
        <w:pStyle w:val="Prrafodelista"/>
        <w:snapToGrid w:val="0"/>
        <w:ind w:left="0" w:firstLine="709"/>
        <w:jc w:val="both"/>
        <w:rPr>
          <w:rFonts w:ascii="Century Gothic" w:hAnsi="Century Gothic" w:eastAsia="Calibri" w:cs="Arial"/>
        </w:rPr>
      </w:pPr>
      <w:r w:rsidRPr="0071238F">
        <w:rPr>
          <w:rFonts w:ascii="Century Gothic" w:hAnsi="Century Gothic" w:eastAsia="Calibri" w:cs="Arial"/>
        </w:rPr>
        <w:t>Nótese cómo el artículo citado permite que las entidades estatales no se rijan siempre por la normativa colombiana, permitiendo, en algunos casos, la aplicación de la ley extranjera. Además de los supuestos anteriores, el Consejo de Estado explica, en general, los siguientes escenarios, en los cuales el régimen jurídico puede ser uno diferente al prescrito en el derecho nacional, pese a tratarse de contratos sometidos, en principio, a la Ley 80 de 1993:</w:t>
      </w:r>
    </w:p>
    <w:p w:rsidRPr="0071238F" w:rsidR="00AF36D0" w:rsidP="00AF36D0" w:rsidRDefault="00AF36D0" w14:paraId="018E8E3E" w14:textId="77777777">
      <w:pPr>
        <w:pStyle w:val="Prrafodelista"/>
        <w:snapToGrid w:val="0"/>
        <w:ind w:left="0" w:firstLine="709"/>
        <w:jc w:val="both"/>
        <w:rPr>
          <w:rFonts w:ascii="Century Gothic" w:hAnsi="Century Gothic" w:eastAsia="Calibri" w:cs="Arial"/>
        </w:rPr>
      </w:pPr>
    </w:p>
    <w:p w:rsidRPr="0071238F" w:rsidR="00AF36D0" w:rsidP="00AF36D0" w:rsidRDefault="00AF36D0" w14:paraId="54F387B6" w14:textId="77777777">
      <w:pPr>
        <w:pStyle w:val="Prrafodelista"/>
        <w:spacing w:after="0" w:line="240" w:lineRule="auto"/>
        <w:ind w:left="709" w:right="709"/>
        <w:jc w:val="both"/>
        <w:rPr>
          <w:rFonts w:ascii="Century Gothic" w:hAnsi="Century Gothic" w:eastAsia="MS Mincho" w:cs="Arial"/>
          <w:sz w:val="21"/>
          <w:szCs w:val="21"/>
          <w:lang w:eastAsia="es-ES"/>
        </w:rPr>
      </w:pPr>
      <w:r w:rsidRPr="0071238F">
        <w:rPr>
          <w:rFonts w:ascii="Century Gothic" w:hAnsi="Century Gothic" w:eastAsia="MS Mincho" w:cs="Arial"/>
          <w:sz w:val="21"/>
          <w:szCs w:val="21"/>
          <w:lang w:eastAsia="es-ES"/>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Pr="0071238F">
        <w:rPr>
          <w:rFonts w:ascii="Century Gothic" w:hAnsi="Century Gothic" w:eastAsia="MS Mincho" w:cs="Arial"/>
          <w:sz w:val="21"/>
          <w:szCs w:val="21"/>
          <w:lang w:eastAsia="es-ES"/>
        </w:rPr>
        <w:t>ii</w:t>
      </w:r>
      <w:proofErr w:type="spellEnd"/>
      <w:r w:rsidRPr="0071238F">
        <w:rPr>
          <w:rFonts w:ascii="Century Gothic" w:hAnsi="Century Gothic" w:eastAsia="MS Mincho" w:cs="Arial"/>
          <w:sz w:val="21"/>
          <w:szCs w:val="21"/>
          <w:lang w:eastAsia="es-ES"/>
        </w:rPr>
        <w:t xml:space="preserve">) Contratos celebrados en territorio colombiano que deben ejecutarse o cumplirse en el extranjero, en tal caso podrá regirse bajo legislación foránea, salvo aquella parte que deba ejecutarse o cumplirse en Colombia, la cual se regirá por el derecho nacional, </w:t>
      </w:r>
      <w:proofErr w:type="spellStart"/>
      <w:r w:rsidRPr="0071238F">
        <w:rPr>
          <w:rFonts w:ascii="Century Gothic" w:hAnsi="Century Gothic" w:eastAsia="MS Mincho" w:cs="Arial"/>
          <w:sz w:val="21"/>
          <w:szCs w:val="21"/>
          <w:lang w:eastAsia="es-ES"/>
        </w:rPr>
        <w:t>iii</w:t>
      </w:r>
      <w:proofErr w:type="spellEnd"/>
      <w:r w:rsidRPr="0071238F">
        <w:rPr>
          <w:rFonts w:ascii="Century Gothic" w:hAnsi="Century Gothic" w:eastAsia="MS Mincho" w:cs="Arial"/>
          <w:sz w:val="21"/>
          <w:szCs w:val="21"/>
          <w:lang w:eastAsia="es-ES"/>
        </w:rPr>
        <w:t>)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71238F">
        <w:rPr>
          <w:rStyle w:val="Refdenotaalpie"/>
          <w:rFonts w:ascii="Century Gothic" w:hAnsi="Century Gothic" w:cs="Arial"/>
          <w:sz w:val="21"/>
          <w:szCs w:val="21"/>
        </w:rPr>
        <w:footnoteReference w:id="6"/>
      </w:r>
      <w:r w:rsidRPr="0071238F">
        <w:rPr>
          <w:rFonts w:ascii="Century Gothic" w:hAnsi="Century Gothic" w:eastAsia="MS Mincho" w:cs="Arial"/>
          <w:sz w:val="21"/>
          <w:szCs w:val="21"/>
          <w:lang w:eastAsia="es-ES"/>
        </w:rPr>
        <w:t xml:space="preserve">. </w:t>
      </w:r>
    </w:p>
    <w:p w:rsidRPr="0071238F" w:rsidR="00AF36D0" w:rsidP="00AF36D0" w:rsidRDefault="00AF36D0" w14:paraId="1DAA2AE3" w14:textId="77777777">
      <w:pPr>
        <w:pStyle w:val="Prrafodelista"/>
        <w:spacing w:before="120" w:after="0" w:line="240" w:lineRule="auto"/>
        <w:ind w:left="851" w:right="709"/>
        <w:rPr>
          <w:rFonts w:ascii="Century Gothic" w:hAnsi="Century Gothic" w:eastAsia="Calibri" w:cs="Arial"/>
        </w:rPr>
      </w:pPr>
    </w:p>
    <w:p w:rsidRPr="0071238F" w:rsidR="00AF36D0" w:rsidP="00AF36D0" w:rsidRDefault="00AF36D0" w14:paraId="243BF645" w14:textId="77777777">
      <w:pPr>
        <w:spacing w:line="276" w:lineRule="auto"/>
        <w:ind w:firstLine="709"/>
        <w:jc w:val="both"/>
        <w:rPr>
          <w:rFonts w:ascii="Century Gothic" w:hAnsi="Century Gothic" w:eastAsia="Calibri" w:cs="Arial"/>
          <w:lang w:val="es-ES"/>
        </w:rPr>
      </w:pPr>
      <w:r w:rsidRPr="0071238F">
        <w:rPr>
          <w:rFonts w:ascii="Century Gothic" w:hAnsi="Century Gothic" w:eastAsia="Calibri" w:cs="Arial"/>
          <w:lang w:val="es-ES"/>
        </w:rPr>
        <w:t xml:space="preserve">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de la </w:t>
      </w:r>
      <w:r w:rsidRPr="0071238F">
        <w:rPr>
          <w:rFonts w:ascii="Century Gothic" w:hAnsi="Century Gothic" w:eastAsia="Calibri" w:cs="Arial"/>
          <w:lang w:val="es-ES"/>
        </w:rPr>
        <w:lastRenderedPageBreak/>
        <w:t>Administración Pública –en adelante EGCAP–</w:t>
      </w:r>
      <w:r w:rsidRPr="0071238F">
        <w:rPr>
          <w:rStyle w:val="Refdenotaalpie"/>
          <w:rFonts w:ascii="Century Gothic" w:hAnsi="Century Gothic" w:eastAsia="Calibri" w:cs="Arial"/>
        </w:rPr>
        <w:footnoteReference w:id="7"/>
      </w:r>
      <w:r w:rsidRPr="0071238F">
        <w:rPr>
          <w:rFonts w:ascii="Century Gothic" w:hAnsi="Century Gothic" w:eastAsia="Calibri" w:cs="Arial"/>
          <w:lang w:val="es-ES"/>
        </w:rPr>
        <w:t xml:space="preserve">. Sin embargo, el artículo 20 de la Ley 1150 de 2007 modificó el régimen contractual aplicable a los contratos o convenios suscritos con organismos internacionales, estableciendo, para algunos casos, la posible definición del régimen dependiendo del porcentaje de participación que el organismo internacional tuviera frente a dichos contratos, a partir del cual establece una potestad discrecional en torno a la elección del régimen contractual aplicable. Así, el artículo 20 de la citada norma señala que “podrán” someterse a los reglamentos de tales entidades, en lo que tiene que ver con el inciso primero de dicho artículo. </w:t>
      </w:r>
    </w:p>
    <w:p w:rsidRPr="0071238F" w:rsidR="00AF36D0" w:rsidP="00AF36D0" w:rsidRDefault="00AF36D0" w14:paraId="2B638A90" w14:textId="77777777">
      <w:pPr>
        <w:spacing w:before="120" w:after="120" w:line="276" w:lineRule="auto"/>
        <w:ind w:firstLine="709"/>
        <w:jc w:val="both"/>
        <w:rPr>
          <w:rFonts w:ascii="Century Gothic" w:hAnsi="Century Gothic" w:eastAsia="Calibri" w:cs="Arial"/>
          <w:lang w:val="es-ES"/>
        </w:rPr>
      </w:pPr>
      <w:r w:rsidRPr="0071238F">
        <w:rPr>
          <w:rFonts w:ascii="Century Gothic" w:hAnsi="Century Gothic" w:eastAsia="Calibri" w:cs="Arial"/>
          <w:lang w:val="es-ES"/>
        </w:rPr>
        <w:t>Para comprender el alcance del régimen aplicable a los contratos o convenios que se suscriban con organismos internacionales, de acuerdo con la financiación de estos, resulta necesario analizar el artículo 20 de la Ley 1150 de 2007</w:t>
      </w:r>
      <w:r w:rsidRPr="0071238F">
        <w:rPr>
          <w:rStyle w:val="Refdenotaalpie"/>
          <w:rFonts w:ascii="Century Gothic" w:hAnsi="Century Gothic" w:eastAsia="Calibri" w:cs="Arial"/>
        </w:rPr>
        <w:footnoteReference w:id="8"/>
      </w:r>
      <w:r w:rsidRPr="0071238F">
        <w:rPr>
          <w:rFonts w:ascii="Century Gothic" w:hAnsi="Century Gothic" w:eastAsia="Calibri" w:cs="Arial"/>
          <w:lang w:val="es-ES"/>
        </w:rPr>
        <w:t xml:space="preserve">. De conformidad con este artículo, en lo que tiene que ver con el </w:t>
      </w:r>
      <w:r w:rsidRPr="0071238F">
        <w:rPr>
          <w:rFonts w:ascii="Century Gothic" w:hAnsi="Century Gothic" w:eastAsia="Calibri" w:cs="Arial"/>
          <w:i/>
          <w:lang w:val="es-ES"/>
        </w:rPr>
        <w:t>inciso primero</w:t>
      </w:r>
      <w:r w:rsidRPr="0071238F">
        <w:rPr>
          <w:rFonts w:ascii="Century Gothic" w:hAnsi="Century Gothic" w:eastAsia="Calibri" w:cs="Arial"/>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rsidRPr="0071238F" w:rsidR="00AF36D0" w:rsidP="00AF36D0" w:rsidRDefault="00AF36D0" w14:paraId="24C77375" w14:textId="77777777">
      <w:pPr>
        <w:spacing w:after="120" w:line="276" w:lineRule="auto"/>
        <w:ind w:firstLine="709"/>
        <w:jc w:val="both"/>
        <w:rPr>
          <w:rFonts w:ascii="Century Gothic" w:hAnsi="Century Gothic" w:cs="Arial"/>
        </w:rPr>
      </w:pPr>
      <w:r w:rsidRPr="0071238F">
        <w:rPr>
          <w:rFonts w:ascii="Century Gothic" w:hAnsi="Century Gothic" w:eastAsia="Calibri" w:cs="Arial"/>
          <w:lang w:val="es-ES"/>
        </w:rPr>
        <w:t xml:space="preserve">Conviene mencionar que dentro de la ejecución del contrato o convenio pueden presentarse situaciones en las que el porcentaje de los aportes sea </w:t>
      </w:r>
      <w:r w:rsidRPr="0071238F">
        <w:rPr>
          <w:rFonts w:ascii="Century Gothic" w:hAnsi="Century Gothic" w:eastAsia="Calibri" w:cs="Arial"/>
          <w:lang w:val="es-ES"/>
        </w:rPr>
        <w:lastRenderedPageBreak/>
        <w:t>modificado, en virtud de su adición o no ejecución en los términos pactados. Previendo este escenario, el artículo 2.2.1.2.4.4.1 del Decreto 1082 de 2015 dispuso que se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71238F">
        <w:rPr>
          <w:rStyle w:val="Refdenotaalpie"/>
          <w:rFonts w:ascii="Century Gothic" w:hAnsi="Century Gothic" w:eastAsia="Calibri" w:cs="Arial"/>
        </w:rPr>
        <w:footnoteReference w:id="9"/>
      </w:r>
      <w:r w:rsidRPr="0071238F">
        <w:rPr>
          <w:rFonts w:ascii="Century Gothic" w:hAnsi="Century Gothic" w:eastAsia="Calibri" w:cs="Arial"/>
          <w:lang w:val="es-ES"/>
        </w:rPr>
        <w:t>. Así las cosas, la entidad contratante debe realizar un constante monitoreo respecto de los aportes de cada una de las partes para determinar si se debe realizar un ajuste frente al régimen aplicable, esto es, en relación con los contratos regulados en el inciso primero del artículo 20 de la Ley 1150 de 2007</w:t>
      </w:r>
      <w:r w:rsidRPr="0071238F">
        <w:rPr>
          <w:rFonts w:ascii="Century Gothic" w:hAnsi="Century Gothic" w:cs="Arial"/>
        </w:rPr>
        <w:t xml:space="preserve">. </w:t>
      </w:r>
    </w:p>
    <w:p w:rsidRPr="0071238F" w:rsidR="00AF36D0" w:rsidP="00AF36D0" w:rsidRDefault="00AF36D0" w14:paraId="12A50B60" w14:textId="77777777">
      <w:pPr>
        <w:spacing w:after="120" w:line="276" w:lineRule="auto"/>
        <w:ind w:firstLine="709"/>
        <w:jc w:val="both"/>
        <w:rPr>
          <w:rFonts w:ascii="Century Gothic" w:hAnsi="Century Gothic" w:cs="Arial"/>
          <w:lang w:val="es-MX"/>
        </w:rPr>
      </w:pPr>
      <w:r w:rsidRPr="0071238F">
        <w:rPr>
          <w:rStyle w:val="normaltextrun"/>
          <w:rFonts w:ascii="Century Gothic" w:hAnsi="Century Gothic" w:cs="Arial"/>
          <w:color w:val="000000"/>
          <w:shd w:val="clear" w:color="auto" w:fill="FFFFFF"/>
          <w:lang w:val="es-ES"/>
        </w:rPr>
        <w:t>De conformidad con lo expuesto, los contratos o convenios suscritos con organismos de cooperación, asistencia o ayudas internacionales pueden financiarse con aportes en sumas liquidas de dinero o en especie, pues el parágrafo 3 de la misma disposición así lo permite al establecer la obligación de cuantificar en moneda colombiana los aportes en especie realizados por estos organismos. En caso de que supere el 50% de la totalidad del presupuesto de la contratación, la entidad podrá someter el convenio o contrato a las reglas de contratación del referido organismo.</w:t>
      </w:r>
      <w:r w:rsidRPr="0071238F">
        <w:rPr>
          <w:rStyle w:val="eop"/>
          <w:rFonts w:ascii="Century Gothic" w:hAnsi="Century Gothic" w:cs="Arial"/>
          <w:color w:val="000000"/>
          <w:shd w:val="clear" w:color="auto" w:fill="FFFFFF"/>
        </w:rPr>
        <w:t> </w:t>
      </w:r>
    </w:p>
    <w:p w:rsidRPr="0071238F" w:rsidR="00AF36D0" w:rsidP="00AF36D0" w:rsidRDefault="00AF36D0" w14:paraId="60B21A5F" w14:textId="77777777">
      <w:pPr>
        <w:spacing w:before="120" w:after="0" w:line="276" w:lineRule="auto"/>
        <w:ind w:firstLine="709"/>
        <w:jc w:val="both"/>
        <w:rPr>
          <w:rFonts w:ascii="Century Gothic" w:hAnsi="Century Gothic" w:eastAsia="Calibri" w:cs="Arial"/>
          <w:lang w:val="es-ES"/>
        </w:rPr>
      </w:pPr>
      <w:r w:rsidRPr="0071238F">
        <w:rPr>
          <w:rFonts w:ascii="Century Gothic" w:hAnsi="Century Gothic" w:eastAsia="Calibri" w:cs="Arial"/>
          <w:lang w:val="es-ES"/>
        </w:rPr>
        <w:t xml:space="preserve">Por otro lado, la norma establece un criterio adicional en el </w:t>
      </w:r>
      <w:r w:rsidRPr="0071238F">
        <w:rPr>
          <w:rFonts w:ascii="Century Gothic" w:hAnsi="Century Gothic" w:eastAsia="Calibri" w:cs="Arial"/>
          <w:i/>
          <w:lang w:val="es-ES"/>
        </w:rPr>
        <w:t>inciso segundo,</w:t>
      </w:r>
      <w:r w:rsidRPr="0071238F">
        <w:rPr>
          <w:rFonts w:ascii="Century Gothic" w:hAnsi="Century Gothic" w:eastAsia="Calibri" w:cs="Arial"/>
          <w:lang w:val="es-ES"/>
        </w:rPr>
        <w:t xml:space="preserve"> para determinar la posible aplicación de los reglamentos de los organismos internacionales. Este segundo criterio depende del objeto del convenio o contrato a celebrar con personas extranjeras de derecho público u organismos de derecho </w:t>
      </w:r>
      <w:r w:rsidRPr="0071238F">
        <w:rPr>
          <w:rFonts w:ascii="Century Gothic" w:hAnsi="Century Gothic" w:eastAsia="Calibri" w:cs="Arial"/>
          <w:lang w:val="es-ES"/>
        </w:rPr>
        <w:lastRenderedPageBreak/>
        <w:t xml:space="preserve">internacional, de manera que en dichos casos puede pactarse el sometimiento a los reglamentos de estas entidades. En tal sentido, los supuestos en que es posible someter el régimen contractual a los reglamentos de los organismos internacionales son los siguientes: </w:t>
      </w:r>
    </w:p>
    <w:p w:rsidRPr="0071238F" w:rsidR="00AF36D0" w:rsidP="00AF36D0" w:rsidRDefault="00AF36D0" w14:paraId="2BAA86B4" w14:textId="77777777">
      <w:pPr>
        <w:spacing w:after="0" w:line="276" w:lineRule="auto"/>
        <w:ind w:firstLine="709"/>
        <w:jc w:val="both"/>
        <w:rPr>
          <w:rFonts w:ascii="Century Gothic" w:hAnsi="Century Gothic" w:eastAsia="Calibri" w:cs="Arial"/>
          <w:lang w:val="es-ES"/>
        </w:rPr>
      </w:pPr>
    </w:p>
    <w:p w:rsidRPr="0071238F" w:rsidR="00AF36D0" w:rsidP="00AF36D0" w:rsidRDefault="00AF36D0" w14:paraId="47FE7936" w14:textId="77777777">
      <w:pPr>
        <w:pStyle w:val="Prrafodelista"/>
        <w:numPr>
          <w:ilvl w:val="0"/>
          <w:numId w:val="18"/>
        </w:numPr>
        <w:spacing w:after="200" w:line="276" w:lineRule="auto"/>
        <w:ind w:left="1134" w:right="709" w:hanging="141"/>
        <w:jc w:val="both"/>
        <w:rPr>
          <w:rFonts w:ascii="Century Gothic" w:hAnsi="Century Gothic" w:eastAsia="Calibri" w:cs="Arial"/>
          <w:sz w:val="21"/>
          <w:szCs w:val="21"/>
        </w:rPr>
      </w:pPr>
      <w:r w:rsidRPr="0071238F">
        <w:rPr>
          <w:rFonts w:ascii="Century Gothic" w:hAnsi="Century Gothic" w:eastAsia="Calibri" w:cs="Arial"/>
          <w:sz w:val="21"/>
          <w:szCs w:val="21"/>
        </w:rPr>
        <w:t xml:space="preserve">Desarrollo de programas de promoción, prevención y atención en salud. </w:t>
      </w:r>
    </w:p>
    <w:p w:rsidRPr="0071238F" w:rsidR="00AF36D0" w:rsidP="00AF36D0" w:rsidRDefault="00AF36D0" w14:paraId="087CF3F2" w14:textId="77777777">
      <w:pPr>
        <w:pStyle w:val="Prrafodelista"/>
        <w:numPr>
          <w:ilvl w:val="0"/>
          <w:numId w:val="18"/>
        </w:numPr>
        <w:spacing w:after="0" w:line="276" w:lineRule="auto"/>
        <w:ind w:left="1134" w:right="709" w:hanging="141"/>
        <w:jc w:val="both"/>
        <w:rPr>
          <w:rFonts w:ascii="Century Gothic" w:hAnsi="Century Gothic" w:cs="Arial"/>
          <w:sz w:val="21"/>
          <w:szCs w:val="21"/>
        </w:rPr>
      </w:pPr>
      <w:r w:rsidRPr="0071238F">
        <w:rPr>
          <w:rFonts w:ascii="Century Gothic" w:hAnsi="Century Gothic" w:cs="Arial"/>
          <w:sz w:val="21"/>
          <w:szCs w:val="21"/>
        </w:rPr>
        <w:t>Contratos y convenios necesarios para la operación de la OIT.</w:t>
      </w:r>
    </w:p>
    <w:p w:rsidRPr="0071238F" w:rsidR="00AF36D0" w:rsidP="00AF36D0" w:rsidRDefault="00AF36D0" w14:paraId="3CA750E6" w14:textId="77777777">
      <w:pPr>
        <w:pStyle w:val="Prrafodelista"/>
        <w:numPr>
          <w:ilvl w:val="0"/>
          <w:numId w:val="18"/>
        </w:numPr>
        <w:spacing w:after="0" w:line="276" w:lineRule="auto"/>
        <w:ind w:left="1134" w:right="709" w:hanging="141"/>
        <w:jc w:val="both"/>
        <w:rPr>
          <w:rFonts w:ascii="Century Gothic" w:hAnsi="Century Gothic" w:cs="Arial"/>
          <w:sz w:val="21"/>
          <w:szCs w:val="21"/>
        </w:rPr>
      </w:pPr>
      <w:r w:rsidRPr="0071238F">
        <w:rPr>
          <w:rFonts w:ascii="Century Gothic" w:hAnsi="Century Gothic" w:cs="Arial"/>
          <w:sz w:val="21"/>
          <w:szCs w:val="21"/>
        </w:rPr>
        <w:t>Contratos y convenios que se ejecuten en desarrollo del sistema integrado de monitoreo de cultivos ilícitos.</w:t>
      </w:r>
    </w:p>
    <w:p w:rsidRPr="0071238F" w:rsidR="00AF36D0" w:rsidP="00AF36D0" w:rsidRDefault="00AF36D0" w14:paraId="79D7540E" w14:textId="77777777">
      <w:pPr>
        <w:pStyle w:val="Prrafodelista"/>
        <w:numPr>
          <w:ilvl w:val="0"/>
          <w:numId w:val="18"/>
        </w:numPr>
        <w:spacing w:after="0" w:line="276" w:lineRule="auto"/>
        <w:ind w:left="1134" w:right="709" w:hanging="141"/>
        <w:jc w:val="both"/>
        <w:rPr>
          <w:rFonts w:ascii="Century Gothic" w:hAnsi="Century Gothic" w:cs="Arial"/>
          <w:sz w:val="21"/>
          <w:szCs w:val="21"/>
        </w:rPr>
      </w:pPr>
      <w:r w:rsidRPr="0071238F">
        <w:rPr>
          <w:rFonts w:ascii="Century Gothic" w:hAnsi="Century Gothic" w:cs="Arial"/>
          <w:sz w:val="21"/>
          <w:szCs w:val="21"/>
        </w:rPr>
        <w:t>Contratos y convenios para la operación del programa mundial de alimentos.</w:t>
      </w:r>
    </w:p>
    <w:p w:rsidRPr="0071238F" w:rsidR="00AF36D0" w:rsidP="00AF36D0" w:rsidRDefault="00AF36D0" w14:paraId="54C08862" w14:textId="77777777">
      <w:pPr>
        <w:pStyle w:val="Prrafodelista"/>
        <w:numPr>
          <w:ilvl w:val="0"/>
          <w:numId w:val="18"/>
        </w:numPr>
        <w:spacing w:after="0" w:line="276" w:lineRule="auto"/>
        <w:ind w:left="1134" w:right="709" w:hanging="141"/>
        <w:jc w:val="both"/>
        <w:rPr>
          <w:rFonts w:ascii="Century Gothic" w:hAnsi="Century Gothic" w:cs="Arial"/>
          <w:sz w:val="21"/>
          <w:szCs w:val="21"/>
        </w:rPr>
      </w:pPr>
      <w:r w:rsidRPr="0071238F">
        <w:rPr>
          <w:rFonts w:ascii="Century Gothic" w:hAnsi="Century Gothic" w:cs="Arial"/>
          <w:sz w:val="21"/>
          <w:szCs w:val="21"/>
        </w:rPr>
        <w:t>Contratos y convenios para el desarrollo de programas de apoyo educativo a población desplazada y vulnerable adelantados por la Unesco y la OIM.</w:t>
      </w:r>
    </w:p>
    <w:p w:rsidRPr="0071238F" w:rsidR="00AF36D0" w:rsidP="00AF36D0" w:rsidRDefault="00AF36D0" w14:paraId="793CF5A2" w14:textId="77777777">
      <w:pPr>
        <w:pStyle w:val="Prrafodelista"/>
        <w:numPr>
          <w:ilvl w:val="0"/>
          <w:numId w:val="18"/>
        </w:numPr>
        <w:spacing w:after="0" w:line="276" w:lineRule="auto"/>
        <w:ind w:left="1134" w:right="709" w:hanging="141"/>
        <w:jc w:val="both"/>
        <w:rPr>
          <w:rFonts w:ascii="Century Gothic" w:hAnsi="Century Gothic" w:cs="Arial"/>
        </w:rPr>
      </w:pPr>
      <w:r w:rsidRPr="0071238F">
        <w:rPr>
          <w:rFonts w:ascii="Century Gothic" w:hAnsi="Century Gothic" w:cs="Arial"/>
          <w:sz w:val="21"/>
          <w:szCs w:val="21"/>
        </w:rPr>
        <w:t>Los contratos o convenios financiados con fondos de los organismos multilaterales de crédito y entes gubernamentales extranjeros.</w:t>
      </w:r>
      <w:r w:rsidRPr="0071238F">
        <w:rPr>
          <w:rFonts w:ascii="Century Gothic" w:hAnsi="Century Gothic" w:cs="Arial"/>
        </w:rPr>
        <w:t xml:space="preserve"> </w:t>
      </w:r>
    </w:p>
    <w:p w:rsidRPr="0071238F" w:rsidR="00AF36D0" w:rsidP="00AF36D0" w:rsidRDefault="00AF36D0" w14:paraId="32A8467B" w14:textId="77777777">
      <w:pPr>
        <w:pStyle w:val="Prrafodelista"/>
        <w:spacing w:after="0"/>
        <w:ind w:left="1429"/>
        <w:rPr>
          <w:rFonts w:ascii="Century Gothic" w:hAnsi="Century Gothic" w:cs="Arial"/>
        </w:rPr>
      </w:pPr>
    </w:p>
    <w:p w:rsidRPr="0071238F" w:rsidR="00AF36D0" w:rsidP="00AF36D0" w:rsidRDefault="00AF36D0" w14:paraId="7CA4B59F" w14:textId="77777777">
      <w:pPr>
        <w:spacing w:after="0" w:line="276" w:lineRule="auto"/>
        <w:ind w:firstLine="709"/>
        <w:jc w:val="both"/>
        <w:rPr>
          <w:rFonts w:ascii="Century Gothic" w:hAnsi="Century Gothic" w:eastAsia="Calibri" w:cs="Arial"/>
          <w:lang w:val="es-ES"/>
        </w:rPr>
      </w:pPr>
      <w:bookmarkStart w:name="_Hlk148447946" w:id="18"/>
      <w:r w:rsidRPr="0071238F">
        <w:rPr>
          <w:rFonts w:ascii="Century Gothic" w:hAnsi="Century Gothic" w:eastAsia="Calibri" w:cs="Arial"/>
          <w:lang w:val="es-ES"/>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w:t>
      </w:r>
      <w:bookmarkEnd w:id="18"/>
      <w:r w:rsidRPr="0071238F">
        <w:rPr>
          <w:rFonts w:ascii="Century Gothic" w:hAnsi="Century Gothic" w:eastAsia="Calibri" w:cs="Arial"/>
          <w:lang w:val="es-ES"/>
        </w:rPr>
        <w:t>. Al respecto, en el Concepto C-374 del 27 de julio de 2020, esta Agencia –después de analizar el artículo 20 de la Ley 1150 de 2007– concluyó que:</w:t>
      </w:r>
    </w:p>
    <w:p w:rsidRPr="0071238F" w:rsidR="00AF36D0" w:rsidP="00AF36D0" w:rsidRDefault="00AF36D0" w14:paraId="55D885E7" w14:textId="77777777">
      <w:pPr>
        <w:spacing w:after="0" w:line="276" w:lineRule="auto"/>
        <w:ind w:firstLine="709"/>
        <w:jc w:val="both"/>
        <w:rPr>
          <w:rFonts w:ascii="Century Gothic" w:hAnsi="Century Gothic" w:eastAsia="Calibri" w:cs="Arial"/>
          <w:lang w:val="es-ES"/>
        </w:rPr>
      </w:pPr>
    </w:p>
    <w:p w:rsidRPr="0071238F" w:rsidR="00AF36D0" w:rsidP="00AF36D0" w:rsidRDefault="00AF36D0" w14:paraId="6E95D38B" w14:textId="77777777">
      <w:pPr>
        <w:spacing w:after="0" w:line="240" w:lineRule="auto"/>
        <w:ind w:left="709" w:right="709"/>
        <w:jc w:val="both"/>
        <w:rPr>
          <w:rFonts w:ascii="Century Gothic" w:hAnsi="Century Gothic" w:eastAsia="Calibri" w:cs="Arial"/>
          <w:sz w:val="21"/>
          <w:szCs w:val="21"/>
          <w:lang w:val="es-ES"/>
        </w:rPr>
      </w:pPr>
      <w:r w:rsidRPr="0071238F">
        <w:rPr>
          <w:rFonts w:ascii="Century Gothic" w:hAnsi="Century Gothic" w:eastAsia="Calibri" w:cs="Arial"/>
          <w:sz w:val="21"/>
          <w:szCs w:val="21"/>
          <w:lang w:val="es-ES"/>
        </w:rPr>
        <w:t xml:space="preserve">“[…]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w:t>
      </w:r>
      <w:r w:rsidRPr="0071238F">
        <w:rPr>
          <w:rFonts w:ascii="Century Gothic" w:hAnsi="Century Gothic" w:eastAsia="Calibri" w:cs="Arial"/>
          <w:sz w:val="21"/>
          <w:szCs w:val="21"/>
          <w:lang w:val="es-ES"/>
        </w:rPr>
        <w:lastRenderedPageBreak/>
        <w:t>o si se rigen por el Estatuto General de Contratación de la Administración Pública”.</w:t>
      </w:r>
    </w:p>
    <w:p w:rsidRPr="0071238F" w:rsidR="00AF36D0" w:rsidP="00AF36D0" w:rsidRDefault="00AF36D0" w14:paraId="04E17988" w14:textId="77777777">
      <w:pPr>
        <w:spacing w:after="0"/>
        <w:ind w:left="709" w:right="709"/>
        <w:jc w:val="both"/>
        <w:rPr>
          <w:rFonts w:ascii="Century Gothic" w:hAnsi="Century Gothic" w:eastAsia="Calibri" w:cs="Arial"/>
          <w:sz w:val="21"/>
          <w:szCs w:val="21"/>
          <w:lang w:val="es-ES"/>
        </w:rPr>
      </w:pPr>
    </w:p>
    <w:p w:rsidRPr="0071238F" w:rsidR="00AF36D0" w:rsidP="00AF36D0" w:rsidRDefault="00AF36D0" w14:paraId="58FFF799" w14:textId="77777777">
      <w:pPr>
        <w:spacing w:after="120" w:line="276" w:lineRule="auto"/>
        <w:ind w:firstLine="709"/>
        <w:jc w:val="both"/>
        <w:rPr>
          <w:rFonts w:ascii="Century Gothic" w:hAnsi="Century Gothic" w:eastAsia="Calibri" w:cs="Arial"/>
          <w:lang w:val="es-ES"/>
        </w:rPr>
      </w:pPr>
      <w:r w:rsidRPr="0071238F">
        <w:rPr>
          <w:rFonts w:ascii="Century Gothic" w:hAnsi="Century Gothic" w:eastAsia="Calibri" w:cs="Arial"/>
          <w:lang w:val="es-ES"/>
        </w:rPr>
        <w:t xml:space="preserve">Asimismo, el parágrafo primero del artículo 20 de la Ley 1150 de 2007 establece un tercer criterio para determinar el régimen contractual aplicable. De acuerdo con la norma, “Los contratos o acuerdos celebrados con personas extranjeras de derecho público, podrán someterse a las reglas de tales organismos”. Estos negocios jurídicos, a diferencia de los contratos del inciso primero </w:t>
      </w:r>
      <w:r w:rsidRPr="0071238F">
        <w:rPr>
          <w:rFonts w:ascii="Century Gothic" w:hAnsi="Century Gothic" w:eastAsia="Calibri" w:cs="Arial"/>
          <w:i/>
          <w:lang w:val="es-ES"/>
        </w:rPr>
        <w:t>ibidem</w:t>
      </w:r>
      <w:r w:rsidRPr="0071238F">
        <w:rPr>
          <w:rFonts w:ascii="Century Gothic" w:hAnsi="Century Gothic" w:eastAsia="Calibri" w:cs="Arial"/>
          <w:lang w:val="es-ES"/>
        </w:rPr>
        <w:t xml:space="preserve">, son independientes del monto de los aportes realizados por el organismo. Igualmente, en contraste con los contratos del inciso segundo </w:t>
      </w:r>
      <w:r w:rsidRPr="0071238F">
        <w:rPr>
          <w:rFonts w:ascii="Century Gothic" w:hAnsi="Century Gothic" w:eastAsia="Calibri" w:cs="Arial"/>
          <w:i/>
          <w:lang w:val="es-ES"/>
        </w:rPr>
        <w:t>ibidem</w:t>
      </w:r>
      <w:r w:rsidRPr="0071238F">
        <w:rPr>
          <w:rFonts w:ascii="Century Gothic" w:hAnsi="Century Gothic" w:eastAsia="Calibri" w:cs="Arial"/>
          <w:lang w:val="es-ES"/>
        </w:rPr>
        <w:t xml:space="preserve">, son negocios jurídicos independientes del objeto convenido. No obstante, al igual de los dos (2) supuestos explicados </w:t>
      </w:r>
      <w:r w:rsidRPr="0071238F">
        <w:rPr>
          <w:rFonts w:ascii="Century Gothic" w:hAnsi="Century Gothic" w:eastAsia="Calibri" w:cs="Arial"/>
          <w:i/>
          <w:lang w:val="es-ES"/>
        </w:rPr>
        <w:t>ut supra</w:t>
      </w:r>
      <w:r w:rsidRPr="0071238F">
        <w:rPr>
          <w:rFonts w:ascii="Century Gothic" w:hAnsi="Century Gothic" w:eastAsia="Calibri" w:cs="Arial"/>
          <w:lang w:val="es-ES"/>
        </w:rPr>
        <w:t xml:space="preserve">, en esta hipótesis también es posible optar por someter el contrato a los reglamentos de dichos organismos o bien someterlos a la Ley 80 de 1993. </w:t>
      </w:r>
    </w:p>
    <w:p w:rsidRPr="0071238F" w:rsidR="00AF36D0" w:rsidP="00AF36D0" w:rsidRDefault="00AF36D0" w14:paraId="6ECA9454" w14:textId="77777777">
      <w:pPr>
        <w:spacing w:after="0" w:line="276" w:lineRule="auto"/>
        <w:ind w:firstLine="709"/>
        <w:jc w:val="both"/>
        <w:rPr>
          <w:rFonts w:ascii="Century Gothic" w:hAnsi="Century Gothic" w:eastAsia="Calibri" w:cs="Arial"/>
          <w:lang w:val="es-ES"/>
        </w:rPr>
      </w:pPr>
      <w:r w:rsidRPr="0071238F">
        <w:rPr>
          <w:rFonts w:ascii="Century Gothic" w:hAnsi="Century Gothic" w:eastAsia="Calibri" w:cs="Arial"/>
          <w:lang w:val="es-ES"/>
        </w:rPr>
        <w:t xml:space="preserve">Como se observa, la norma en comento no exige aportes mínimos de los organismos internacionales en alguna de las tres (3) hipótesis explicadas, especialmente, cuando el objeto del artículo 20 de la Ley 1150 de 2007 es precisar los casos en que aplica o no el Estatuto General de Contratación. No obstante, esto cambia con el </w:t>
      </w:r>
      <w:bookmarkStart w:name="_Hlk148442847" w:id="19"/>
      <w:r w:rsidRPr="0071238F">
        <w:rPr>
          <w:rFonts w:ascii="Century Gothic" w:hAnsi="Century Gothic" w:eastAsia="Calibri" w:cs="Arial"/>
          <w:lang w:val="es-ES"/>
        </w:rPr>
        <w:t>Sistema Nacional de Cooperación Internacional</w:t>
      </w:r>
      <w:bookmarkEnd w:id="19"/>
      <w:r w:rsidRPr="0071238F">
        <w:rPr>
          <w:rFonts w:ascii="Century Gothic" w:hAnsi="Century Gothic" w:eastAsia="Calibri" w:cs="Arial"/>
          <w:lang w:val="es-ES"/>
        </w:rPr>
        <w:t xml:space="preserve">, el cual fue previsto en las bases del Plan Nacional de Desarrollo 2018-2022 y reglamentado por el Decreto 603 de 2022. Dicho aspecto se explica a continuación.    </w:t>
      </w:r>
    </w:p>
    <w:p w:rsidRPr="0071238F" w:rsidR="00AF36D0" w:rsidP="00AF36D0" w:rsidRDefault="00AF36D0" w14:paraId="6CA93BFF" w14:textId="77777777">
      <w:pPr>
        <w:spacing w:after="0" w:line="276" w:lineRule="auto"/>
        <w:ind w:firstLine="709"/>
        <w:jc w:val="both"/>
        <w:rPr>
          <w:rFonts w:ascii="Century Gothic" w:hAnsi="Century Gothic" w:eastAsia="Calibri" w:cs="Arial"/>
          <w:lang w:val="es-ES"/>
        </w:rPr>
      </w:pPr>
      <w:r w:rsidRPr="0071238F">
        <w:rPr>
          <w:rFonts w:ascii="Century Gothic" w:hAnsi="Century Gothic" w:eastAsia="Calibri" w:cs="Arial"/>
          <w:lang w:val="es-ES"/>
        </w:rPr>
        <w:t xml:space="preserve"> </w:t>
      </w:r>
    </w:p>
    <w:p w:rsidRPr="0071238F" w:rsidR="00AF36D0" w:rsidP="00AF36D0" w:rsidRDefault="00AF36D0" w14:paraId="336F8B9D" w14:textId="77777777">
      <w:pPr>
        <w:spacing w:after="0" w:line="276" w:lineRule="auto"/>
        <w:jc w:val="both"/>
        <w:rPr>
          <w:rFonts w:ascii="Century Gothic" w:hAnsi="Century Gothic" w:cs="Arial"/>
          <w:b/>
        </w:rPr>
      </w:pPr>
      <w:r w:rsidRPr="0071238F">
        <w:rPr>
          <w:rFonts w:ascii="Century Gothic" w:hAnsi="Century Gothic" w:cs="Arial"/>
          <w:b/>
        </w:rPr>
        <w:t xml:space="preserve">2.2. </w:t>
      </w:r>
      <w:bookmarkStart w:name="_Hlk148438412" w:id="20"/>
      <w:r w:rsidRPr="0071238F">
        <w:rPr>
          <w:rFonts w:ascii="Century Gothic" w:hAnsi="Century Gothic" w:cs="Arial"/>
          <w:b/>
        </w:rPr>
        <w:t>Sistema Nacional de Cooperación Internacional en la Bases de Plan Nacional de Desarrollo de la Ley 1955 de 2019: alcance del artículo 2.2.8.3.4 del Decreto 603 de 2022</w:t>
      </w:r>
      <w:bookmarkEnd w:id="20"/>
    </w:p>
    <w:p w:rsidRPr="0071238F" w:rsidR="00AF36D0" w:rsidP="00AF36D0" w:rsidRDefault="00AF36D0" w14:paraId="594BE81D" w14:textId="77777777">
      <w:pPr>
        <w:spacing w:after="0" w:line="276" w:lineRule="auto"/>
        <w:jc w:val="both"/>
        <w:rPr>
          <w:rFonts w:ascii="Century Gothic" w:hAnsi="Century Gothic" w:cs="Arial"/>
        </w:rPr>
      </w:pPr>
    </w:p>
    <w:p w:rsidRPr="0071238F" w:rsidR="00AF36D0" w:rsidP="00AF36D0" w:rsidRDefault="00AF36D0" w14:paraId="501497D2" w14:textId="77777777">
      <w:pPr>
        <w:spacing w:after="0" w:line="276" w:lineRule="auto"/>
        <w:jc w:val="both"/>
        <w:rPr>
          <w:rStyle w:val="Textoennegrita"/>
          <w:rFonts w:ascii="Century Gothic" w:hAnsi="Century Gothic" w:cs="Arial"/>
          <w:b w:val="0"/>
          <w:shd w:val="clear" w:color="auto" w:fill="FFFFFF"/>
        </w:rPr>
      </w:pPr>
      <w:r w:rsidRPr="0071238F">
        <w:rPr>
          <w:rFonts w:ascii="Century Gothic" w:hAnsi="Century Gothic" w:cs="Arial"/>
        </w:rPr>
        <w:t xml:space="preserve">El Decreto 603 de 2022, </w:t>
      </w:r>
      <w:r w:rsidRPr="0071238F">
        <w:rPr>
          <w:rFonts w:ascii="Century Gothic" w:hAnsi="Century Gothic" w:eastAsia="Calibri" w:cs="Arial"/>
          <w:b/>
          <w:sz w:val="21"/>
          <w:szCs w:val="21"/>
          <w:lang w:val="es-ES_tradnl" w:eastAsia="es-CO"/>
        </w:rPr>
        <w:t>“</w:t>
      </w:r>
      <w:r w:rsidRPr="0071238F">
        <w:rPr>
          <w:rStyle w:val="Textoennegrita"/>
          <w:rFonts w:ascii="Century Gothic" w:hAnsi="Century Gothic" w:cs="Arial"/>
          <w:b w:val="0"/>
          <w:shd w:val="clear" w:color="auto" w:fill="FFFFFF"/>
        </w:rPr>
        <w:t xml:space="preserve">Por medio del cual se adiciona el Título 8 en la Parte 2 del Libro 2 del Decreto 1067 de 2015, Único Reglamentario del Sector Administrativo de Relaciones Exteriores, para crear el Sistema Nacional de Cooperación Internacional de Colombia y se dictan disposiciones relacionadas con el desarrollo del mismo”, estableció algunos lineamientos para la cooperación internacional en Colombia, determinando su  objetivo –art. 2.2.8.3.1–, naturaleza –art. 2.2.8.3.2–, efectividad –art. 2.2.8.3.3–, participación de socios –art. 2.2.8.3.4– y destinación –art.  2.2.8.3.5–. En lo que se refiere a la participación de los socios, estableció lo siguiente: </w:t>
      </w:r>
    </w:p>
    <w:p w:rsidRPr="0071238F" w:rsidR="00AF36D0" w:rsidP="00AF36D0" w:rsidRDefault="00AF36D0" w14:paraId="411133B9" w14:textId="77777777">
      <w:pPr>
        <w:spacing w:after="0" w:line="276" w:lineRule="auto"/>
        <w:jc w:val="both"/>
        <w:rPr>
          <w:rStyle w:val="Textoennegrita"/>
          <w:rFonts w:ascii="Century Gothic" w:hAnsi="Century Gothic" w:cs="Arial"/>
          <w:b w:val="0"/>
          <w:shd w:val="clear" w:color="auto" w:fill="FFFFFF"/>
        </w:rPr>
      </w:pPr>
    </w:p>
    <w:p w:rsidRPr="0071238F" w:rsidR="00AF36D0" w:rsidP="00AF36D0" w:rsidRDefault="00AF36D0" w14:paraId="4BFA1147" w14:textId="77777777">
      <w:pPr>
        <w:shd w:val="clear" w:color="auto" w:fill="FFFFFF"/>
        <w:spacing w:after="120" w:line="240" w:lineRule="auto"/>
        <w:ind w:left="709" w:right="709"/>
        <w:jc w:val="both"/>
        <w:rPr>
          <w:rFonts w:ascii="Century Gothic" w:hAnsi="Century Gothic" w:cs="Arial"/>
          <w:sz w:val="21"/>
          <w:szCs w:val="21"/>
        </w:rPr>
      </w:pPr>
      <w:r w:rsidRPr="0071238F">
        <w:rPr>
          <w:rStyle w:val="Textoennegrita"/>
          <w:rFonts w:ascii="Century Gothic" w:hAnsi="Century Gothic" w:cs="Arial"/>
          <w:b w:val="0"/>
          <w:sz w:val="21"/>
          <w:szCs w:val="21"/>
        </w:rPr>
        <w:t>“Artículo</w:t>
      </w:r>
      <w:r w:rsidRPr="0071238F">
        <w:rPr>
          <w:rStyle w:val="Textoennegrita"/>
          <w:rFonts w:ascii="Century Gothic" w:hAnsi="Century Gothic" w:cs="Arial"/>
          <w:sz w:val="21"/>
          <w:szCs w:val="21"/>
        </w:rPr>
        <w:t xml:space="preserve"> </w:t>
      </w:r>
      <w:r w:rsidRPr="0071238F">
        <w:rPr>
          <w:rFonts w:ascii="Century Gothic" w:hAnsi="Century Gothic" w:cs="Arial"/>
          <w:sz w:val="21"/>
          <w:szCs w:val="21"/>
        </w:rPr>
        <w:t>2.2.8.3.4</w:t>
      </w:r>
      <w:r w:rsidRPr="0071238F">
        <w:rPr>
          <w:rStyle w:val="Textoennegrita"/>
          <w:rFonts w:ascii="Century Gothic" w:hAnsi="Century Gothic" w:cs="Arial"/>
          <w:sz w:val="21"/>
          <w:szCs w:val="21"/>
        </w:rPr>
        <w:t xml:space="preserve">. </w:t>
      </w:r>
      <w:r w:rsidRPr="0071238F">
        <w:rPr>
          <w:rStyle w:val="Textoennegrita"/>
          <w:rFonts w:ascii="Century Gothic" w:hAnsi="Century Gothic" w:cs="Arial"/>
          <w:b w:val="0"/>
          <w:sz w:val="21"/>
          <w:szCs w:val="21"/>
        </w:rPr>
        <w:t>Participación de los Socios de la cooperación Internacional.</w:t>
      </w:r>
      <w:r w:rsidRPr="0071238F">
        <w:rPr>
          <w:rFonts w:ascii="Century Gothic" w:hAnsi="Century Gothic" w:cs="Arial"/>
          <w:sz w:val="21"/>
          <w:szCs w:val="21"/>
        </w:rPr>
        <w:t xml:space="preserve"> Todo proyecto, programa y/o iniciativa de cooperación internacional que sea implementada por un socio de cooperación </w:t>
      </w:r>
      <w:r w:rsidRPr="0071238F">
        <w:rPr>
          <w:rFonts w:ascii="Century Gothic" w:hAnsi="Century Gothic" w:cs="Arial"/>
          <w:sz w:val="21"/>
          <w:szCs w:val="21"/>
        </w:rPr>
        <w:lastRenderedPageBreak/>
        <w:t xml:space="preserve">internacional y que involucre recursos del Presupuesto General de la Nación, debe tener una contrapartida de </w:t>
      </w:r>
      <w:r w:rsidRPr="0071238F">
        <w:rPr>
          <w:rFonts w:ascii="Century Gothic" w:hAnsi="Century Gothic" w:cs="Arial"/>
          <w:i/>
          <w:sz w:val="21"/>
          <w:szCs w:val="21"/>
        </w:rPr>
        <w:t>recursos financieros</w:t>
      </w:r>
      <w:r w:rsidRPr="0071238F">
        <w:rPr>
          <w:rFonts w:ascii="Century Gothic" w:hAnsi="Century Gothic" w:cs="Arial"/>
          <w:sz w:val="21"/>
          <w:szCs w:val="21"/>
        </w:rPr>
        <w:t xml:space="preserve"> mínimo del 30%, del socio de cooperación internacional.</w:t>
      </w:r>
    </w:p>
    <w:p w:rsidRPr="0071238F" w:rsidR="00AF36D0" w:rsidP="00AF36D0" w:rsidRDefault="00AF36D0" w14:paraId="5375BF29" w14:textId="77777777">
      <w:pPr>
        <w:shd w:val="clear" w:color="auto" w:fill="FFFFFF"/>
        <w:spacing w:after="0" w:line="240" w:lineRule="auto"/>
        <w:ind w:left="709" w:right="709"/>
        <w:jc w:val="both"/>
        <w:rPr>
          <w:rStyle w:val="Textoennegrita"/>
          <w:rFonts w:ascii="Century Gothic" w:hAnsi="Century Gothic" w:cs="Arial"/>
          <w:sz w:val="21"/>
          <w:szCs w:val="21"/>
        </w:rPr>
      </w:pPr>
      <w:r w:rsidRPr="0071238F">
        <w:rPr>
          <w:rStyle w:val="Textoennegrita"/>
          <w:rFonts w:ascii="Century Gothic" w:hAnsi="Century Gothic" w:cs="Arial"/>
          <w:b w:val="0"/>
          <w:sz w:val="21"/>
          <w:szCs w:val="21"/>
        </w:rPr>
        <w:t>Parágrafo.</w:t>
      </w:r>
      <w:r w:rsidRPr="0071238F">
        <w:rPr>
          <w:rStyle w:val="Textoennegrita"/>
          <w:rFonts w:ascii="Century Gothic" w:hAnsi="Century Gothic" w:cs="Arial"/>
          <w:sz w:val="21"/>
          <w:szCs w:val="21"/>
        </w:rPr>
        <w:t xml:space="preserve"> </w:t>
      </w:r>
      <w:r w:rsidRPr="0071238F">
        <w:rPr>
          <w:rFonts w:ascii="Century Gothic" w:hAnsi="Century Gothic" w:cs="Arial"/>
          <w:sz w:val="21"/>
          <w:szCs w:val="21"/>
        </w:rPr>
        <w:t>Cuando más del 40% del financiamiento proviene del Presupuesto Nacional, el Socio de Cooperación internacional debe presentar estados financieros detallados o documento equivalente, a la entidad nacional o territorial líder del proyecto”.</w:t>
      </w:r>
      <w:r w:rsidRPr="0071238F">
        <w:rPr>
          <w:rStyle w:val="Textoennegrita"/>
          <w:rFonts w:ascii="Century Gothic" w:hAnsi="Century Gothic" w:cs="Arial"/>
          <w:sz w:val="21"/>
          <w:szCs w:val="21"/>
        </w:rPr>
        <w:t xml:space="preserve"> </w:t>
      </w:r>
      <w:r w:rsidRPr="0071238F">
        <w:rPr>
          <w:rStyle w:val="Textoennegrita"/>
          <w:rFonts w:ascii="Century Gothic" w:hAnsi="Century Gothic" w:cs="Arial"/>
          <w:b w:val="0"/>
          <w:sz w:val="21"/>
          <w:szCs w:val="21"/>
        </w:rPr>
        <w:t>(Énfasis fuera del texto)</w:t>
      </w:r>
      <w:r w:rsidRPr="0071238F">
        <w:rPr>
          <w:rStyle w:val="Textoennegrita"/>
          <w:rFonts w:ascii="Century Gothic" w:hAnsi="Century Gothic" w:cs="Arial"/>
          <w:sz w:val="21"/>
          <w:szCs w:val="21"/>
        </w:rPr>
        <w:t xml:space="preserve"> </w:t>
      </w:r>
    </w:p>
    <w:p w:rsidRPr="0071238F" w:rsidR="00AF36D0" w:rsidP="00AF36D0" w:rsidRDefault="00AF36D0" w14:paraId="67337716" w14:textId="77777777">
      <w:pPr>
        <w:shd w:val="clear" w:color="auto" w:fill="FFFFFF"/>
        <w:spacing w:after="0" w:line="240" w:lineRule="auto"/>
        <w:ind w:left="709" w:right="709"/>
        <w:jc w:val="both"/>
        <w:rPr>
          <w:rStyle w:val="Textoennegrita"/>
          <w:rFonts w:ascii="Century Gothic" w:hAnsi="Century Gothic" w:cs="Arial"/>
          <w:b w:val="0"/>
          <w:sz w:val="21"/>
          <w:szCs w:val="21"/>
        </w:rPr>
      </w:pPr>
    </w:p>
    <w:p w:rsidRPr="0071238F" w:rsidR="00AF36D0" w:rsidP="00AF36D0" w:rsidRDefault="00AF36D0" w14:paraId="3C6C761D" w14:textId="77777777">
      <w:pPr>
        <w:shd w:val="clear" w:color="auto" w:fill="FFFFFF"/>
        <w:spacing w:after="120" w:line="276" w:lineRule="auto"/>
        <w:ind w:firstLine="709"/>
        <w:jc w:val="both"/>
        <w:rPr>
          <w:rStyle w:val="Textoennegrita"/>
          <w:rFonts w:ascii="Century Gothic" w:hAnsi="Century Gothic" w:cs="Arial"/>
          <w:b w:val="0"/>
          <w:shd w:val="clear" w:color="auto" w:fill="FFFFFF"/>
        </w:rPr>
      </w:pPr>
      <w:r w:rsidRPr="0071238F">
        <w:rPr>
          <w:rStyle w:val="Textoennegrita"/>
          <w:rFonts w:ascii="Century Gothic" w:hAnsi="Century Gothic" w:cs="Arial"/>
          <w:b w:val="0"/>
          <w:shd w:val="clear" w:color="auto" w:fill="FFFFFF"/>
        </w:rPr>
        <w:t>La norma estableció los lineamientos para la ejecución de proyectos, programas o iniciativas</w:t>
      </w:r>
      <w:r w:rsidRPr="0071238F">
        <w:rPr>
          <w:rStyle w:val="Textoennegrita"/>
          <w:rFonts w:ascii="Century Gothic" w:hAnsi="Century Gothic" w:cs="Arial"/>
          <w:b w:val="0"/>
        </w:rPr>
        <w:t xml:space="preserve"> de cooperación internacional en los que se involucren recursos del Presupuesto General de la Nación, precisando que los socios de cooperación internacional que pretendan ejecutar dichos </w:t>
      </w:r>
      <w:r w:rsidRPr="0071238F">
        <w:rPr>
          <w:rStyle w:val="Textoennegrita"/>
          <w:rFonts w:ascii="Century Gothic" w:hAnsi="Century Gothic" w:cs="Arial"/>
          <w:b w:val="0"/>
          <w:shd w:val="clear" w:color="auto" w:fill="FFFFFF"/>
        </w:rPr>
        <w:t>proyectos deben aportar una contrapartida de mínimo el 30% de recursos financieros. De lo anterior entonces, se encuentra que esta norma reglamentó parcialmente la Ley 1955 de 2019, “por el cual se expide el Plan Nacional de Desarrollo 2018-2022 pacto por Colombia, pacto por la equidad”.</w:t>
      </w:r>
    </w:p>
    <w:p w:rsidRPr="0071238F" w:rsidR="00AF36D0" w:rsidP="00AF36D0" w:rsidRDefault="00AF36D0" w14:paraId="27FBF853" w14:textId="77777777">
      <w:pPr>
        <w:shd w:val="clear" w:color="auto" w:fill="FFFFFF"/>
        <w:spacing w:after="120" w:line="276" w:lineRule="auto"/>
        <w:ind w:firstLine="709"/>
        <w:jc w:val="both"/>
        <w:rPr>
          <w:rStyle w:val="Textoennegrita"/>
          <w:rFonts w:ascii="Century Gothic" w:hAnsi="Century Gothic" w:cs="Arial"/>
          <w:b w:val="0"/>
          <w:shd w:val="clear" w:color="auto" w:fill="FFFFFF"/>
        </w:rPr>
      </w:pPr>
      <w:r w:rsidRPr="0071238F">
        <w:rPr>
          <w:rStyle w:val="Textoennegrita"/>
          <w:rFonts w:ascii="Century Gothic" w:hAnsi="Century Gothic" w:cs="Arial"/>
          <w:b w:val="0"/>
          <w:shd w:val="clear" w:color="auto" w:fill="FFFFFF"/>
        </w:rPr>
        <w:t>Al respecto,</w:t>
      </w:r>
      <w:r w:rsidRPr="0071238F">
        <w:rPr>
          <w:rStyle w:val="Textoennegrita"/>
          <w:rFonts w:ascii="Century Gothic" w:hAnsi="Century Gothic" w:cs="Arial"/>
          <w:shd w:val="clear" w:color="auto" w:fill="FFFFFF"/>
        </w:rPr>
        <w:t xml:space="preserve"> </w:t>
      </w:r>
      <w:r w:rsidRPr="0071238F">
        <w:rPr>
          <w:rFonts w:ascii="Century Gothic" w:hAnsi="Century Gothic" w:cs="Arial"/>
        </w:rPr>
        <w:t>las Bases del Plan Nacional de Desarrollo 2018 – 2022 disponen que “El Gobierno nacional creará el Sistema Nacional de Cooperación Internacional como estrategia para la orientación y coordinación de las entidades del nivel nacional, departamental, distrital y municipal, así como del sector privado y no gubernamental, para alcanzar la mayor alineación, pertinencia y eficacia de la cooperación internacional no reembolsable y técnica, cuya secretaría técnica será ejercida por APC-Colombia. Las acciones desarrolladas en el marco de este sistema estarán articuladas con la agenda de política exterior”</w:t>
      </w:r>
      <w:r w:rsidRPr="0071238F">
        <w:rPr>
          <w:rStyle w:val="Refdenotaalpie"/>
          <w:rFonts w:ascii="Century Gothic" w:hAnsi="Century Gothic" w:cs="Arial"/>
          <w:shd w:val="clear" w:color="auto" w:fill="FFFFFF"/>
        </w:rPr>
        <w:footnoteReference w:id="10"/>
      </w:r>
      <w:r w:rsidRPr="0071238F">
        <w:rPr>
          <w:rFonts w:ascii="Century Gothic" w:hAnsi="Century Gothic" w:cs="Arial"/>
        </w:rPr>
        <w:t>.</w:t>
      </w:r>
      <w:r w:rsidRPr="0071238F">
        <w:rPr>
          <w:rStyle w:val="Textoennegrita"/>
          <w:rFonts w:ascii="Century Gothic" w:hAnsi="Century Gothic" w:cs="Arial"/>
          <w:shd w:val="clear" w:color="auto" w:fill="FFFFFF"/>
        </w:rPr>
        <w:t xml:space="preserve"> </w:t>
      </w:r>
      <w:r w:rsidRPr="0071238F">
        <w:rPr>
          <w:rFonts w:ascii="Century Gothic" w:hAnsi="Century Gothic" w:cs="Arial"/>
        </w:rPr>
        <w:t>Asimismo, el artículo 2 de la Ley 1955 de 2019 dispone que “El documento denominado ‘Bases del Plan Nacional de Desarrollo 2018 - 2022: Pacto por Colombia, pacto por la equidad’, elaborado por el Gobierno nacional con la participación del Consejo Superior de la Judicatura y del Consejo Nacional de Planeación, y construido desde los territorios, con las modificaciones realizadas en el trámite legislativo, es parte integral del Plan Nacional de Desarrollo, y se incorpora a la presente Ley como un anexo”.</w:t>
      </w:r>
      <w:r w:rsidRPr="0071238F">
        <w:rPr>
          <w:rStyle w:val="Textoennegrita"/>
          <w:rFonts w:ascii="Century Gothic" w:hAnsi="Century Gothic" w:cs="Arial"/>
          <w:shd w:val="clear" w:color="auto" w:fill="FFFFFF"/>
        </w:rPr>
        <w:t xml:space="preserve"> </w:t>
      </w:r>
    </w:p>
    <w:p w:rsidRPr="0071238F" w:rsidR="00AF36D0" w:rsidP="00AF36D0" w:rsidRDefault="00AF36D0" w14:paraId="08724E10" w14:textId="77777777">
      <w:pPr>
        <w:shd w:val="clear" w:color="auto" w:fill="FFFFFF"/>
        <w:spacing w:after="120" w:line="276" w:lineRule="auto"/>
        <w:ind w:firstLine="709"/>
        <w:jc w:val="both"/>
        <w:rPr>
          <w:rStyle w:val="Textoennegrita"/>
          <w:rFonts w:ascii="Century Gothic" w:hAnsi="Century Gothic" w:cs="Arial"/>
          <w:b w:val="0"/>
          <w:shd w:val="clear" w:color="auto" w:fill="FFFFFF"/>
        </w:rPr>
      </w:pPr>
      <w:r w:rsidRPr="0071238F">
        <w:rPr>
          <w:rStyle w:val="Textoennegrita"/>
          <w:rFonts w:ascii="Century Gothic" w:hAnsi="Century Gothic" w:cs="Arial"/>
          <w:b w:val="0"/>
          <w:shd w:val="clear" w:color="auto" w:fill="FFFFFF"/>
        </w:rPr>
        <w:t xml:space="preserve">En todo caso, para el correcto entendimiento del artículo 2.2.8.3.4 del Decreto 603 de 2022 es necesario determinar el alcance del concepto “recursos financieros”. </w:t>
      </w:r>
      <w:r w:rsidRPr="0071238F">
        <w:rPr>
          <w:rStyle w:val="Textoennegrita"/>
          <w:rFonts w:ascii="Century Gothic" w:hAnsi="Century Gothic" w:cs="Arial"/>
          <w:b w:val="0"/>
        </w:rPr>
        <w:t xml:space="preserve">Es importante precisar que el Estatuto General de Contratación de la Administración Pública no definió el concepto </w:t>
      </w:r>
      <w:r w:rsidRPr="0071238F">
        <w:rPr>
          <w:rStyle w:val="Textoennegrita"/>
          <w:rFonts w:ascii="Century Gothic" w:hAnsi="Century Gothic" w:cs="Arial"/>
          <w:b w:val="0"/>
          <w:shd w:val="clear" w:color="auto" w:fill="FFFFFF"/>
        </w:rPr>
        <w:t>“recursos financieros”</w:t>
      </w:r>
      <w:r w:rsidRPr="0071238F">
        <w:rPr>
          <w:rStyle w:val="Textoennegrita"/>
          <w:rFonts w:ascii="Century Gothic" w:hAnsi="Century Gothic" w:cs="Arial"/>
          <w:b w:val="0"/>
        </w:rPr>
        <w:t>. No obstante, el programa “Gerencia de recursos físicos y financieros”</w:t>
      </w:r>
      <w:r w:rsidRPr="0071238F">
        <w:rPr>
          <w:rStyle w:val="Textoennegrita"/>
          <w:rFonts w:ascii="Century Gothic" w:hAnsi="Century Gothic" w:cs="Arial"/>
          <w:b w:val="0"/>
          <w:vertAlign w:val="superscript"/>
        </w:rPr>
        <w:t xml:space="preserve"> </w:t>
      </w:r>
      <w:r w:rsidRPr="0071238F">
        <w:rPr>
          <w:rStyle w:val="Textoennegrita"/>
          <w:rFonts w:ascii="Century Gothic" w:hAnsi="Century Gothic" w:cs="Arial"/>
          <w:b w:val="0"/>
        </w:rPr>
        <w:t xml:space="preserve">de la Escuela Superior de </w:t>
      </w:r>
      <w:r w:rsidRPr="0071238F">
        <w:rPr>
          <w:rStyle w:val="Textoennegrita"/>
          <w:rFonts w:ascii="Century Gothic" w:hAnsi="Century Gothic" w:cs="Arial"/>
          <w:b w:val="0"/>
        </w:rPr>
        <w:lastRenderedPageBreak/>
        <w:t>Administración Pública trae una aproximación a la definición de los recursos financieros del Estado, según el cual son “todos aquellos recursos económicos que le permiten al sector público desarrollar sus actividades. El estudio de las operaciones propias para la consecución y administración de dichos recursos corresponde a las Finanzas Públicas” y precisa que estos recursos se clasifican, a su vez, en ingresos corrientes, contribuciones parafiscales y recursos de capital</w:t>
      </w:r>
      <w:r w:rsidRPr="0071238F">
        <w:rPr>
          <w:rStyle w:val="Textoennegrita"/>
          <w:rFonts w:ascii="Century Gothic" w:hAnsi="Century Gothic" w:cs="Arial"/>
          <w:b w:val="0"/>
          <w:vertAlign w:val="superscript"/>
        </w:rPr>
        <w:footnoteReference w:id="11"/>
      </w:r>
      <w:r w:rsidRPr="0071238F">
        <w:rPr>
          <w:rStyle w:val="Textoennegrita"/>
          <w:rFonts w:ascii="Century Gothic" w:hAnsi="Century Gothic" w:cs="Arial"/>
          <w:b w:val="0"/>
        </w:rPr>
        <w:t xml:space="preserve">. </w:t>
      </w:r>
    </w:p>
    <w:p w:rsidRPr="0071238F" w:rsidR="00AF36D0" w:rsidP="00AF36D0" w:rsidRDefault="00AF36D0" w14:paraId="24298159" w14:textId="77777777">
      <w:pPr>
        <w:shd w:val="clear" w:color="auto" w:fill="FFFFFF"/>
        <w:spacing w:after="120" w:line="276" w:lineRule="auto"/>
        <w:ind w:firstLine="709"/>
        <w:jc w:val="both"/>
        <w:rPr>
          <w:rStyle w:val="Textoennegrita"/>
          <w:rFonts w:ascii="Century Gothic" w:hAnsi="Century Gothic" w:cs="Arial"/>
          <w:b w:val="0"/>
        </w:rPr>
      </w:pPr>
      <w:r w:rsidRPr="0071238F">
        <w:rPr>
          <w:rStyle w:val="Textoennegrita"/>
          <w:rFonts w:ascii="Century Gothic" w:hAnsi="Century Gothic" w:cs="Arial"/>
          <w:b w:val="0"/>
        </w:rPr>
        <w:t>Estas tres categorías, a diferencia de lo señalado en relación con la definición de recursos financieros, fueron definidas por el legislador. De un lado, los ingresos corrientes corresponden a los “ingresos que recaudan los establecimientos por bienes y servicios y los tributos que reciben por norma legal”</w:t>
      </w:r>
      <w:r w:rsidRPr="0071238F">
        <w:rPr>
          <w:rStyle w:val="Refdenotaalpie"/>
          <w:rFonts w:ascii="Century Gothic" w:hAnsi="Century Gothic" w:cs="Arial"/>
          <w:b/>
        </w:rPr>
        <w:footnoteReference w:id="12"/>
      </w:r>
      <w:r w:rsidRPr="0071238F">
        <w:rPr>
          <w:rStyle w:val="Textoennegrita"/>
          <w:rFonts w:ascii="Century Gothic" w:hAnsi="Century Gothic" w:cs="Arial"/>
          <w:b w:val="0"/>
        </w:rPr>
        <w:t>. El artículo 27 del Decreto 111 de 1996 señala que se clasifican en ingresos tributarios y no tributarios. Entendiendo por tributarios los impuestos y por no tributarios las tasas y multas</w:t>
      </w:r>
      <w:r w:rsidRPr="0071238F">
        <w:rPr>
          <w:rStyle w:val="Refdenotaalpie"/>
          <w:rFonts w:ascii="Century Gothic" w:hAnsi="Century Gothic" w:cs="Arial"/>
          <w:b/>
        </w:rPr>
        <w:footnoteReference w:id="13"/>
      </w:r>
      <w:r w:rsidRPr="0071238F">
        <w:rPr>
          <w:rStyle w:val="Textoennegrita"/>
          <w:rFonts w:ascii="Century Gothic" w:hAnsi="Century Gothic" w:cs="Arial"/>
          <w:b w:val="0"/>
        </w:rPr>
        <w:t xml:space="preserve">. </w:t>
      </w:r>
    </w:p>
    <w:p w:rsidRPr="0071238F" w:rsidR="00AF36D0" w:rsidP="00AF36D0" w:rsidRDefault="00AF36D0" w14:paraId="6753FC63" w14:textId="77777777">
      <w:pPr>
        <w:shd w:val="clear" w:color="auto" w:fill="FFFFFF"/>
        <w:spacing w:after="120" w:line="276" w:lineRule="auto"/>
        <w:ind w:firstLine="709"/>
        <w:jc w:val="both"/>
        <w:rPr>
          <w:rStyle w:val="Textoennegrita"/>
          <w:rFonts w:ascii="Century Gothic" w:hAnsi="Century Gothic" w:cs="Arial"/>
          <w:b w:val="0"/>
        </w:rPr>
      </w:pPr>
      <w:r w:rsidRPr="0071238F">
        <w:rPr>
          <w:rStyle w:val="Textoennegrita"/>
          <w:rFonts w:ascii="Century Gothic" w:hAnsi="Century Gothic" w:cs="Arial"/>
          <w:b w:val="0"/>
        </w:rPr>
        <w:t xml:space="preserve"> Por su parte, las contribuciones parafiscales son “una institución intermedia entre la tasa administrativa y el impuesto. Se trata de pagos que deben hacer los usuarios de ciertos organismos públicos o semipúblicos para asegurar el financiamiento de estas entidades de manera autónoma”</w:t>
      </w:r>
      <w:r w:rsidRPr="0071238F">
        <w:rPr>
          <w:rStyle w:val="Refdenotaalpie"/>
          <w:rFonts w:ascii="Century Gothic" w:hAnsi="Century Gothic" w:cs="Arial"/>
          <w:b/>
        </w:rPr>
        <w:footnoteReference w:id="14"/>
      </w:r>
      <w:r w:rsidRPr="0071238F">
        <w:rPr>
          <w:rStyle w:val="Textoennegrita"/>
          <w:rFonts w:ascii="Century Gothic" w:hAnsi="Century Gothic" w:cs="Arial"/>
          <w:b w:val="0"/>
        </w:rPr>
        <w:t>. El artículo 28 del Decreto 111 de 1996, las define como los gravámenes obligatorios definidos en la Ley, utilizados para beneficio de un sector específico que afectan al grupo social y económico del referido sector</w:t>
      </w:r>
      <w:r w:rsidRPr="0071238F">
        <w:rPr>
          <w:rStyle w:val="Refdenotaalpie"/>
          <w:rFonts w:ascii="Century Gothic" w:hAnsi="Century Gothic" w:cs="Arial"/>
          <w:b/>
        </w:rPr>
        <w:footnoteReference w:id="15"/>
      </w:r>
      <w:r w:rsidRPr="0071238F">
        <w:rPr>
          <w:rStyle w:val="Textoennegrita"/>
          <w:rFonts w:ascii="Century Gothic" w:hAnsi="Century Gothic" w:cs="Arial"/>
          <w:b w:val="0"/>
        </w:rPr>
        <w:t>.</w:t>
      </w:r>
    </w:p>
    <w:p w:rsidRPr="0071238F" w:rsidR="00AF36D0" w:rsidP="00AF36D0" w:rsidRDefault="00AF36D0" w14:paraId="1C063FA1" w14:textId="77777777">
      <w:pPr>
        <w:shd w:val="clear" w:color="auto" w:fill="FFFFFF"/>
        <w:spacing w:after="120" w:line="276" w:lineRule="auto"/>
        <w:ind w:firstLine="709"/>
        <w:jc w:val="both"/>
        <w:rPr>
          <w:rStyle w:val="Textoennegrita"/>
          <w:rFonts w:ascii="Century Gothic" w:hAnsi="Century Gothic" w:cs="Arial"/>
          <w:b w:val="0"/>
        </w:rPr>
      </w:pPr>
      <w:r w:rsidRPr="0071238F">
        <w:rPr>
          <w:rStyle w:val="Textoennegrita"/>
          <w:rFonts w:ascii="Century Gothic" w:hAnsi="Century Gothic" w:cs="Arial"/>
          <w:b w:val="0"/>
        </w:rPr>
        <w:t>Los recursos de capital son “los recursos que se obtienen del crédito interno, del crédito externo, los que se generan como recursos del balance, los rendimientos financieros, las donaciones y otros recursos esporádicos”</w:t>
      </w:r>
      <w:r w:rsidRPr="0071238F">
        <w:rPr>
          <w:rStyle w:val="Refdenotaalpie"/>
          <w:rFonts w:ascii="Century Gothic" w:hAnsi="Century Gothic" w:cs="Arial"/>
          <w:b/>
        </w:rPr>
        <w:footnoteReference w:id="16"/>
      </w:r>
      <w:r w:rsidRPr="0071238F">
        <w:rPr>
          <w:rStyle w:val="Textoennegrita"/>
          <w:rFonts w:ascii="Century Gothic" w:hAnsi="Century Gothic" w:cs="Arial"/>
          <w:b w:val="0"/>
        </w:rPr>
        <w:t xml:space="preserve">. El artículo 31 del referido Decreto señala que comprenden “los recursos del balance, los recursos del crédito interno y externo con vencimiento mayor a un año de acuerdo con los cupos autorizados por el Congreso de la República, los rendimientos financieros, el diferencial cambiario originado por la monetización de los desembolsos del crédito </w:t>
      </w:r>
      <w:r w:rsidRPr="0071238F">
        <w:rPr>
          <w:rStyle w:val="Textoennegrita"/>
          <w:rFonts w:ascii="Century Gothic" w:hAnsi="Century Gothic" w:cs="Arial"/>
          <w:b w:val="0"/>
        </w:rPr>
        <w:lastRenderedPageBreak/>
        <w:t>externo y de las inversiones en moneda extranjera, las donaciones, el excedente financiero de los establecimientos públicos del orden nacional y de las empresas industriales y comerciales del Estado del orden nacional, y de las sociedades de economía mixta con el régimen de aquéllas, sin perjuicio de la autonomía que la Constitución y la ley les otorga, y las utilidades del Banco de la República, descontadas las reservas de estabilización cambiaria y monetaria”</w:t>
      </w:r>
      <w:r w:rsidRPr="0071238F">
        <w:rPr>
          <w:rStyle w:val="Refdenotaalpie"/>
          <w:rFonts w:ascii="Century Gothic" w:hAnsi="Century Gothic" w:cs="Arial"/>
          <w:b/>
        </w:rPr>
        <w:footnoteReference w:id="17"/>
      </w:r>
      <w:r w:rsidRPr="0071238F">
        <w:rPr>
          <w:rStyle w:val="Textoennegrita"/>
          <w:rFonts w:ascii="Century Gothic" w:hAnsi="Century Gothic" w:cs="Arial"/>
          <w:b w:val="0"/>
        </w:rPr>
        <w:t>.</w:t>
      </w:r>
    </w:p>
    <w:p w:rsidRPr="0071238F" w:rsidR="00AF36D0" w:rsidP="00AF36D0" w:rsidRDefault="00AF36D0" w14:paraId="36C3B8EA" w14:textId="77777777">
      <w:pPr>
        <w:shd w:val="clear" w:color="auto" w:fill="FFFFFF"/>
        <w:spacing w:after="120" w:line="276" w:lineRule="auto"/>
        <w:ind w:firstLine="709"/>
        <w:jc w:val="both"/>
        <w:rPr>
          <w:rFonts w:ascii="Century Gothic" w:hAnsi="Century Gothic" w:cs="Arial"/>
        </w:rPr>
      </w:pPr>
      <w:r w:rsidRPr="0071238F">
        <w:rPr>
          <w:rStyle w:val="Textoennegrita"/>
          <w:rFonts w:ascii="Century Gothic" w:hAnsi="Century Gothic" w:cs="Arial"/>
          <w:b w:val="0"/>
        </w:rPr>
        <w:t>Además, el Estatuto Orgánico del Presupuesto dispone que las tipologías referidas componen el presupuesto de rentas del presupuesto general de la Nación. En los términos del literal a) del artículo 11 del Decreto 111 de 1996, este “[…]</w:t>
      </w:r>
      <w:r w:rsidRPr="0071238F">
        <w:rPr>
          <w:rStyle w:val="Textoennegrita"/>
          <w:rFonts w:ascii="Century Gothic" w:hAnsi="Century Gothic" w:cs="Arial"/>
        </w:rPr>
        <w:t xml:space="preserve"> </w:t>
      </w:r>
      <w:r w:rsidRPr="0071238F">
        <w:rPr>
          <w:rFonts w:ascii="Century Gothic" w:hAnsi="Century Gothic" w:cs="Arial"/>
        </w:rPr>
        <w:t xml:space="preserve">contendrá la estimación de los ingresos corrientes de la Nación; de las contribuciones parafiscales cuando sean administradas por un órgano que haga parte del presupuesto, de los fondos especiales, los recursos de capital y los ingresos de los establecimientos públicos del orden nacional”. </w:t>
      </w:r>
    </w:p>
    <w:p w:rsidRPr="0071238F" w:rsidR="00AF36D0" w:rsidP="00AF36D0" w:rsidRDefault="00AF36D0" w14:paraId="0D99B00B" w14:textId="77777777">
      <w:pPr>
        <w:shd w:val="clear" w:color="auto" w:fill="FFFFFF"/>
        <w:spacing w:after="120" w:line="276" w:lineRule="auto"/>
        <w:ind w:firstLine="709"/>
        <w:jc w:val="both"/>
        <w:rPr>
          <w:rStyle w:val="Textoennegrita"/>
          <w:rFonts w:ascii="Century Gothic" w:hAnsi="Century Gothic" w:cs="Arial"/>
          <w:b w:val="0"/>
        </w:rPr>
      </w:pPr>
      <w:r w:rsidRPr="0071238F">
        <w:rPr>
          <w:rStyle w:val="Textoennegrita"/>
          <w:rFonts w:ascii="Century Gothic" w:hAnsi="Century Gothic" w:cs="Arial"/>
          <w:b w:val="0"/>
        </w:rPr>
        <w:t xml:space="preserve">De las aproximaciones conceptuales anteriores, se encuentra que los ingresos corrientes, las contribuciones parafiscales y los recursos de capital hacen parte del presupuesto de rentas del presupuesto general de la nación, de manera que constituyen partidas dinerarias. De esta manera, puede concluirse que los recursos financieros del Estado constituyen aquellos ingresos que tienen liquidez. Entonces, debe entenderse que, aunque el legislador también guardó silencio en relación con la definición de los recursos financieros de organismos internacionales, la aproximación anterior permite concluir que cuando la norma se refiere a recursos financieros alude a aquellos ingresos que constituyen sumas dinerarias.  </w:t>
      </w:r>
    </w:p>
    <w:p w:rsidRPr="0071238F" w:rsidR="00AF36D0" w:rsidP="00AF36D0" w:rsidRDefault="00AF36D0" w14:paraId="5C0350F7" w14:textId="77777777">
      <w:pPr>
        <w:autoSpaceDE w:val="0"/>
        <w:autoSpaceDN w:val="0"/>
        <w:adjustRightInd w:val="0"/>
        <w:spacing w:after="120" w:line="276" w:lineRule="auto"/>
        <w:ind w:firstLine="708"/>
        <w:jc w:val="both"/>
        <w:rPr>
          <w:rStyle w:val="Textoennegrita"/>
          <w:rFonts w:ascii="Century Gothic" w:hAnsi="Century Gothic" w:cs="Arial"/>
          <w:b w:val="0"/>
        </w:rPr>
      </w:pPr>
      <w:r w:rsidRPr="0071238F">
        <w:rPr>
          <w:rFonts w:ascii="Century Gothic" w:hAnsi="Century Gothic" w:cs="Arial"/>
        </w:rPr>
        <w:t>Si se contrasta esta conclusión, esto es, la relativa a que los recursos financieros son sumas liquidas de dinero, con lo dispuesto en el parágrafo tercero del artículo 20 de la Ley 1150 de 2007 y con el artículo 2.2.1.2.4.4.1 del Decreto 1082 de 2015, se encuentra que, a diferencia de tales disposiciones, para efectos del cálculo del umbral establecido en el artículo 2.2.8.3.4 del Decreto 603 de 2022 no resultan relevantes los aportes en especie. Esto dado que esta última disposición es clara al señalar que solo resulta aplicable a recursos financieros, mientras que el parágrafo tercero del artículo 20 de la Ley 1150 de 2007, referido señala que los aportes en especie deben ser monetizados.</w:t>
      </w:r>
    </w:p>
    <w:p w:rsidRPr="0071238F" w:rsidR="00AF36D0" w:rsidP="00AF36D0" w:rsidRDefault="00AF36D0" w14:paraId="0645EBB3" w14:textId="77777777">
      <w:pPr>
        <w:shd w:val="clear" w:color="auto" w:fill="FFFFFF"/>
        <w:spacing w:after="120" w:line="276" w:lineRule="auto"/>
        <w:ind w:firstLine="709"/>
        <w:jc w:val="both"/>
        <w:rPr>
          <w:rStyle w:val="Textoennegrita"/>
          <w:rFonts w:ascii="Century Gothic" w:hAnsi="Century Gothic" w:cs="Arial"/>
          <w:b w:val="0"/>
        </w:rPr>
      </w:pPr>
      <w:r w:rsidRPr="0071238F">
        <w:rPr>
          <w:rStyle w:val="Textoennegrita"/>
          <w:rFonts w:ascii="Century Gothic" w:hAnsi="Century Gothic" w:cs="Arial"/>
          <w:b w:val="0"/>
        </w:rPr>
        <w:t xml:space="preserve">Así las cosas, el artículo 2.2.8.3.4 del Decreto 603 de 2022 reglamentó parcialmente lo establecido en la Ley 1955 de 2019, “por el cual se expide el Plan Nacional de Desarrollo 2018-2022 pacto por Colombia, pacto por la equidad”. Por </w:t>
      </w:r>
      <w:r w:rsidRPr="0071238F">
        <w:rPr>
          <w:rStyle w:val="Textoennegrita"/>
          <w:rFonts w:ascii="Century Gothic" w:hAnsi="Century Gothic" w:cs="Arial"/>
          <w:b w:val="0"/>
        </w:rPr>
        <w:lastRenderedPageBreak/>
        <w:t>lo demás, el tope del 30% establecido en la norma precitada, que determina las condiciones de participación de los socios cooperantes en condición de ejecutor del proyecto o programa, aplica para las contrapartidas dinerarias. Dicho en otras palabras, solo podrán ejecutar programas, proyectos o iniciativas en los que estén involucrados recursos del presupuesto general de la nación, aquellos socios de cooperación internacional que aporte una contrapartida de no menos del 30% de dicho programa, proyecto o iniciativa, que deberá efectuarse únicamente en sumas líquidas de dinero. Además, en cada caso deberán establecerse mecanismos de administración de las condiciones del contrato que permitan hacerle seguimiento al cumplimiento de las obligaciones contractuales.</w:t>
      </w:r>
    </w:p>
    <w:p w:rsidRPr="0071238F" w:rsidR="00AF36D0" w:rsidP="00AF36D0" w:rsidRDefault="00AF36D0" w14:paraId="436FEEF2" w14:textId="77777777">
      <w:pPr>
        <w:shd w:val="clear" w:color="auto" w:fill="FFFFFF"/>
        <w:spacing w:after="120" w:line="276" w:lineRule="auto"/>
        <w:ind w:firstLine="709"/>
        <w:jc w:val="both"/>
        <w:rPr>
          <w:rStyle w:val="Textoennegrita"/>
          <w:rFonts w:ascii="Century Gothic" w:hAnsi="Century Gothic" w:cs="Arial"/>
          <w:b w:val="0"/>
        </w:rPr>
      </w:pPr>
      <w:r w:rsidRPr="0071238F">
        <w:rPr>
          <w:rStyle w:val="Textoennegrita"/>
          <w:rFonts w:ascii="Century Gothic" w:hAnsi="Century Gothic" w:cs="Arial"/>
          <w:b w:val="0"/>
        </w:rPr>
        <w:t>En este orden de ideas, las entidades estatales, en ejercicio de la autonomía de la voluntad, pueden suscribir convenios de cooperación internacional</w:t>
      </w:r>
      <w:r w:rsidRPr="0071238F">
        <w:rPr>
          <w:rStyle w:val="Textoennegrita"/>
          <w:rFonts w:ascii="Century Gothic" w:hAnsi="Century Gothic" w:cs="Arial"/>
        </w:rPr>
        <w:t xml:space="preserve"> </w:t>
      </w:r>
      <w:r w:rsidRPr="0071238F">
        <w:rPr>
          <w:rFonts w:ascii="Century Gothic" w:hAnsi="Century Gothic" w:cs="Arial"/>
        </w:rPr>
        <w:t>que involucre recursos del Presupuesto General de la Nación</w:t>
      </w:r>
      <w:r w:rsidRPr="0071238F">
        <w:rPr>
          <w:rStyle w:val="Textoennegrita"/>
          <w:rFonts w:ascii="Century Gothic" w:hAnsi="Century Gothic" w:cs="Arial"/>
          <w:b w:val="0"/>
        </w:rPr>
        <w:t xml:space="preserve">, siempre y cuando el 30% del valor del proyecto sea aportado en dinero por el organismo internacional, pues el reglamento, como se indicó, estableció un umbral para que las entidades estatales puedan realizar proyectos, iniciativas o programas financiados con presupuesto general de la Nación en convenio con organismos internacionales. De este modo, si el socio cooperante cumple con este umbral, da lugar a suscribir el convenio. </w:t>
      </w:r>
    </w:p>
    <w:p w:rsidRPr="0071238F" w:rsidR="00AF36D0" w:rsidP="00AF36D0" w:rsidRDefault="00AF36D0" w14:paraId="382E873E" w14:textId="77777777">
      <w:pPr>
        <w:shd w:val="clear" w:color="auto" w:fill="FFFFFF"/>
        <w:spacing w:after="120" w:line="276" w:lineRule="auto"/>
        <w:ind w:firstLine="709"/>
        <w:jc w:val="both"/>
        <w:rPr>
          <w:rStyle w:val="Textoennegrita"/>
          <w:rFonts w:ascii="Century Gothic" w:hAnsi="Century Gothic" w:cs="Arial"/>
          <w:b w:val="0"/>
        </w:rPr>
      </w:pPr>
      <w:r w:rsidRPr="0071238F">
        <w:rPr>
          <w:rStyle w:val="Textoennegrita"/>
          <w:rFonts w:ascii="Century Gothic" w:hAnsi="Century Gothic" w:cs="Arial"/>
          <w:b w:val="0"/>
        </w:rPr>
        <w:t>Lo anterior en ningún momento afecta las reglas sobre el régimen de contratación que le sea aplicable al convenio financiados con presupuesto general de la Nación, esto es, si está sometido al Estatuto General de la Administración Pública o al régimen de contratación con el que contratan el organismo cooperante, pues ello aún se rige por las reglas de los establecido en el artículo 20 de la Ley 1150 de 2007 y en el</w:t>
      </w:r>
      <w:r w:rsidRPr="0071238F">
        <w:rPr>
          <w:rStyle w:val="Textoennegrita"/>
          <w:rFonts w:ascii="Century Gothic" w:hAnsi="Century Gothic" w:cs="Arial"/>
        </w:rPr>
        <w:t xml:space="preserve"> </w:t>
      </w:r>
      <w:r w:rsidRPr="0071238F">
        <w:rPr>
          <w:rFonts w:ascii="Century Gothic" w:hAnsi="Century Gothic" w:cs="Arial"/>
          <w:lang w:val="es-ES_tradnl"/>
        </w:rPr>
        <w:t xml:space="preserve">artículo </w:t>
      </w:r>
      <w:bookmarkStart w:name="_Hlk146187072" w:id="21"/>
      <w:r w:rsidRPr="0071238F">
        <w:rPr>
          <w:rFonts w:ascii="Century Gothic" w:hAnsi="Century Gothic" w:cs="Arial"/>
          <w:lang w:val="es-ES_tradnl"/>
        </w:rPr>
        <w:t xml:space="preserve">2.2.1.2.4.4.1 del Decreto 1082 de 2015. Desde esta perspectiva, las reglas precitadas se complementan con </w:t>
      </w:r>
      <w:r w:rsidRPr="0071238F">
        <w:rPr>
          <w:rStyle w:val="Textoennegrita"/>
          <w:rFonts w:ascii="Century Gothic" w:hAnsi="Century Gothic" w:cs="Arial"/>
          <w:b w:val="0"/>
        </w:rPr>
        <w:t>el artículo 2.2.8.3.4 del Decreto 603 de 2022. En efecto, mientras las primeras definen el marco jurídico aplicable, este último define los aportes mínimos en recursos financieros del organismo internacional.</w:t>
      </w:r>
    </w:p>
    <w:p w:rsidRPr="0071238F" w:rsidR="00AF36D0" w:rsidP="00AF36D0" w:rsidRDefault="00AF36D0" w14:paraId="6C071A61" w14:textId="77777777">
      <w:pPr>
        <w:shd w:val="clear" w:color="auto" w:fill="FFFFFF"/>
        <w:spacing w:after="0" w:line="276" w:lineRule="auto"/>
        <w:ind w:firstLine="709"/>
        <w:jc w:val="both"/>
        <w:rPr>
          <w:rStyle w:val="Textoennegrita"/>
          <w:rFonts w:ascii="Century Gothic" w:hAnsi="Century Gothic" w:cs="Arial"/>
          <w:b w:val="0"/>
        </w:rPr>
      </w:pPr>
      <w:r w:rsidRPr="0071238F">
        <w:rPr>
          <w:rStyle w:val="Textoennegrita"/>
          <w:rFonts w:ascii="Century Gothic" w:hAnsi="Century Gothic" w:cs="Arial"/>
          <w:b w:val="0"/>
        </w:rPr>
        <w:t>De esta manera, el artículo 20 de la Ley 1150 de 2007 define el régimen contractual de los convenios suscritos con “organismos de cooperación, asistencia o ayudas internacionales” en los porcentajes del inciso primero, con “</w:t>
      </w:r>
      <w:bookmarkStart w:name="_Hlk148443677" w:id="22"/>
      <w:r w:rsidRPr="0071238F">
        <w:rPr>
          <w:rStyle w:val="Textoennegrita"/>
          <w:rFonts w:ascii="Century Gothic" w:hAnsi="Century Gothic" w:cs="Arial"/>
          <w:b w:val="0"/>
        </w:rPr>
        <w:t>personas extranjeras de derecho público</w:t>
      </w:r>
      <w:bookmarkEnd w:id="22"/>
      <w:r w:rsidRPr="0071238F">
        <w:rPr>
          <w:rStyle w:val="Textoennegrita"/>
          <w:rFonts w:ascii="Century Gothic" w:hAnsi="Century Gothic" w:cs="Arial"/>
          <w:b w:val="0"/>
        </w:rPr>
        <w:t xml:space="preserve"> u organismos de derecho internacional” respecto a los objetivos señalados en el inciso segundo, o con “personas extranjeras de derecho público” en las condiciones señaladas en el parágrafo primero. Así, la naturaleza jurídica del organismo internacional es relevante para la aplicación de </w:t>
      </w:r>
      <w:r w:rsidRPr="0071238F">
        <w:rPr>
          <w:rStyle w:val="Textoennegrita"/>
          <w:rFonts w:ascii="Century Gothic" w:hAnsi="Century Gothic" w:cs="Arial"/>
          <w:b w:val="0"/>
        </w:rPr>
        <w:lastRenderedPageBreak/>
        <w:t>la norma citada. En contraste, el artículo 2.2.8.3.4 del Decreto 603 de 2022 se refiere, en sentido amplio, a los “Socios de Cooperación internacional”, categoría dentro de la cual se engloban todos los organismos internacionales del artículo 20 de la Ley 1150 de 2007, especialmente cuando las bases</w:t>
      </w:r>
      <w:r w:rsidRPr="0071238F">
        <w:rPr>
          <w:rStyle w:val="Textoennegrita"/>
          <w:rFonts w:ascii="Century Gothic" w:hAnsi="Century Gothic" w:cs="Arial"/>
        </w:rPr>
        <w:t xml:space="preserve"> </w:t>
      </w:r>
      <w:r w:rsidRPr="0071238F">
        <w:rPr>
          <w:rFonts w:ascii="Century Gothic" w:hAnsi="Century Gothic" w:cs="Arial"/>
        </w:rPr>
        <w:t>del Plan Nacional de Desarrollo 2018 – 2022 no realizan distinción alguna sobre la naturaleza jurídica del órgano cooperante respecto al aporte mínimo que la norma hace obligatorio.</w:t>
      </w:r>
      <w:r w:rsidRPr="0071238F">
        <w:rPr>
          <w:rStyle w:val="Textoennegrita"/>
          <w:rFonts w:ascii="Century Gothic" w:hAnsi="Century Gothic" w:cs="Arial"/>
        </w:rPr>
        <w:t xml:space="preserve">    </w:t>
      </w:r>
    </w:p>
    <w:bookmarkEnd w:id="21"/>
    <w:p w:rsidRPr="0071238F" w:rsidR="00AF36D0" w:rsidP="00AF36D0" w:rsidRDefault="00AF36D0" w14:paraId="678BF8AB" w14:textId="77777777">
      <w:pPr>
        <w:spacing w:after="0" w:line="276" w:lineRule="auto"/>
        <w:contextualSpacing/>
        <w:jc w:val="both"/>
        <w:rPr>
          <w:rFonts w:ascii="Century Gothic" w:hAnsi="Century Gothic" w:cs="Arial"/>
          <w:color w:val="000000" w:themeColor="text1"/>
          <w:lang w:eastAsia="es-MX"/>
        </w:rPr>
      </w:pPr>
    </w:p>
    <w:p w:rsidRPr="0071238F" w:rsidR="00AF36D0" w:rsidP="00AF36D0" w:rsidRDefault="00AF36D0" w14:paraId="7FCF94A7" w14:textId="77777777">
      <w:pPr>
        <w:tabs>
          <w:tab w:val="left" w:pos="0"/>
        </w:tabs>
        <w:spacing w:after="0"/>
        <w:jc w:val="both"/>
        <w:rPr>
          <w:rFonts w:ascii="Century Gothic" w:hAnsi="Century Gothic" w:eastAsia="Calibri" w:cs="Arial"/>
          <w:b/>
          <w:color w:val="000000" w:themeColor="text1"/>
          <w:lang w:val="es-ES_tradnl"/>
        </w:rPr>
      </w:pPr>
      <w:r w:rsidRPr="0071238F">
        <w:rPr>
          <w:rFonts w:ascii="Century Gothic" w:hAnsi="Century Gothic" w:eastAsia="Calibri" w:cs="Arial"/>
          <w:b/>
          <w:color w:val="000000" w:themeColor="text1"/>
          <w:lang w:val="es-ES_tradnl"/>
        </w:rPr>
        <w:t>3. Respuesta</w:t>
      </w:r>
    </w:p>
    <w:p w:rsidRPr="0071238F" w:rsidR="00AF36D0" w:rsidP="00AF36D0" w:rsidRDefault="00AF36D0" w14:paraId="5986D762" w14:textId="77777777">
      <w:pPr>
        <w:spacing w:after="0" w:line="276" w:lineRule="auto"/>
        <w:jc w:val="both"/>
        <w:rPr>
          <w:rFonts w:ascii="Century Gothic" w:hAnsi="Century Gothic" w:cs="Arial"/>
          <w:color w:val="000000" w:themeColor="text1"/>
        </w:rPr>
      </w:pPr>
    </w:p>
    <w:p w:rsidRPr="0071238F" w:rsidR="00AF36D0" w:rsidP="00AF36D0" w:rsidRDefault="00AF36D0" w14:paraId="2501A93D" w14:textId="77777777">
      <w:pPr>
        <w:spacing w:after="120" w:line="240" w:lineRule="auto"/>
        <w:ind w:left="709" w:right="709"/>
        <w:jc w:val="both"/>
        <w:rPr>
          <w:rFonts w:ascii="Century Gothic" w:hAnsi="Century Gothic" w:cs="Arial"/>
          <w:color w:val="000000" w:themeColor="text1"/>
          <w:sz w:val="21"/>
          <w:szCs w:val="21"/>
          <w:lang w:val="es-ES_tradnl"/>
        </w:rPr>
      </w:pPr>
      <w:r w:rsidRPr="0071238F">
        <w:rPr>
          <w:rFonts w:ascii="Century Gothic" w:hAnsi="Century Gothic" w:cs="Arial"/>
          <w:color w:val="000000" w:themeColor="text1"/>
          <w:sz w:val="21"/>
          <w:szCs w:val="21"/>
          <w:lang w:val="es-ES_tradnl"/>
        </w:rPr>
        <w:t>i) “¿Es válido afirmar que la exigencia de que: ‘</w:t>
      </w:r>
      <w:r w:rsidRPr="0071238F">
        <w:rPr>
          <w:rFonts w:ascii="Century Gothic" w:hAnsi="Century Gothic" w:cs="Arial"/>
          <w:i/>
          <w:color w:val="000000" w:themeColor="text1"/>
          <w:sz w:val="21"/>
          <w:szCs w:val="21"/>
          <w:lang w:val="es-ES_tradnl"/>
        </w:rPr>
        <w:t>Todo proyecto, programa y/o iniciativa de cooperación internacional que sea implementada por un socio de cooperación internacional y que involucre recursos del Presupuesto General de la Nación, debe tener una contrapartida de recursos financieros mínimo del 30%, del socio de cooperación internacional</w:t>
      </w:r>
      <w:r w:rsidRPr="0071238F">
        <w:rPr>
          <w:rFonts w:ascii="Century Gothic" w:hAnsi="Century Gothic" w:cs="Arial"/>
          <w:color w:val="000000" w:themeColor="text1"/>
          <w:sz w:val="21"/>
          <w:szCs w:val="21"/>
          <w:lang w:val="es-ES_tradnl"/>
        </w:rPr>
        <w:t>’, en los términos del artículo 2.2.8.3.4. del Decreto Nacional 603 de 2022, aplica únicamente a los contratos o convenios financiados totalmente o en parte con fondos de los organismos de cooperación, asistencia o ayudas internacionales, esto es, organizaciones internacionales privadas u organizaciones no gubernamentales (ONG), o debe aplicarse a todo proyecto, programa y/o iniciativa de cooperación internacional sin importar la naturaleza jurídica del aliado, es decir, incluyendo a las personas extranjeras de derecho público?” (Énfasis dentro del texto).</w:t>
      </w:r>
    </w:p>
    <w:p w:rsidRPr="0071238F" w:rsidR="00AF36D0" w:rsidP="00AF36D0" w:rsidRDefault="00AF36D0" w14:paraId="4BC64C72" w14:textId="77777777">
      <w:pPr>
        <w:spacing w:after="0" w:line="240" w:lineRule="auto"/>
        <w:ind w:left="709" w:right="709"/>
        <w:jc w:val="both"/>
        <w:rPr>
          <w:rFonts w:ascii="Century Gothic" w:hAnsi="Century Gothic" w:cs="Arial"/>
          <w:color w:val="000000" w:themeColor="text1"/>
          <w:sz w:val="21"/>
          <w:szCs w:val="21"/>
        </w:rPr>
      </w:pPr>
      <w:proofErr w:type="spellStart"/>
      <w:r w:rsidRPr="0071238F">
        <w:rPr>
          <w:rFonts w:ascii="Century Gothic" w:hAnsi="Century Gothic" w:cs="Arial"/>
          <w:color w:val="000000" w:themeColor="text1"/>
          <w:sz w:val="21"/>
          <w:szCs w:val="21"/>
          <w:lang w:val="es-ES_tradnl"/>
        </w:rPr>
        <w:t>ii</w:t>
      </w:r>
      <w:proofErr w:type="spellEnd"/>
      <w:r w:rsidRPr="0071238F">
        <w:rPr>
          <w:rFonts w:ascii="Century Gothic" w:hAnsi="Century Gothic" w:cs="Arial"/>
          <w:color w:val="000000" w:themeColor="text1"/>
          <w:sz w:val="21"/>
          <w:szCs w:val="21"/>
          <w:lang w:val="es-ES_tradnl"/>
        </w:rPr>
        <w:t>) “En caso de que la respuesta a la pregunta anterior sea afirmativa, ¿cómo es jurídicamente posible que un decreto reglamentario incluya requisitos sustanciales para la celebración de convenios de cooperación internacional que no están incluidos en la ley reglamentada (art. 20 Ley 1150 de 2007)?”.</w:t>
      </w:r>
    </w:p>
    <w:p w:rsidRPr="0071238F" w:rsidR="00AF36D0" w:rsidP="00AF36D0" w:rsidRDefault="00AF36D0" w14:paraId="116F8F9A" w14:textId="77777777">
      <w:pPr>
        <w:spacing w:after="0" w:line="276" w:lineRule="auto"/>
        <w:ind w:left="709" w:right="709"/>
        <w:jc w:val="both"/>
        <w:rPr>
          <w:rFonts w:ascii="Century Gothic" w:hAnsi="Century Gothic" w:cs="Arial"/>
          <w:color w:val="000000" w:themeColor="text1"/>
        </w:rPr>
      </w:pPr>
      <w:r w:rsidRPr="0071238F">
        <w:rPr>
          <w:rFonts w:ascii="Century Gothic" w:hAnsi="Century Gothic" w:cs="Arial"/>
          <w:color w:val="000000" w:themeColor="text1"/>
          <w:sz w:val="21"/>
          <w:szCs w:val="21"/>
        </w:rPr>
        <w:t xml:space="preserve">  </w:t>
      </w:r>
    </w:p>
    <w:p w:rsidRPr="0071238F" w:rsidR="00AF36D0" w:rsidP="00AF36D0" w:rsidRDefault="00AF36D0" w14:paraId="7FE4C6C8" w14:textId="77777777">
      <w:pPr>
        <w:shd w:val="clear" w:color="auto" w:fill="FFFFFF"/>
        <w:spacing w:after="120" w:line="276" w:lineRule="auto"/>
        <w:jc w:val="both"/>
        <w:rPr>
          <w:rStyle w:val="Textoennegrita"/>
          <w:rFonts w:ascii="Century Gothic" w:hAnsi="Century Gothic" w:cs="Arial"/>
          <w:b w:val="0"/>
        </w:rPr>
      </w:pPr>
      <w:bookmarkStart w:name="_Hlk131064197" w:id="23"/>
      <w:r w:rsidRPr="0071238F">
        <w:rPr>
          <w:rStyle w:val="Textoennegrita"/>
          <w:rFonts w:ascii="Century Gothic" w:hAnsi="Century Gothic" w:cs="Arial"/>
          <w:b w:val="0"/>
          <w:shd w:val="clear" w:color="auto" w:fill="FFFFFF"/>
        </w:rPr>
        <w:t xml:space="preserve">De acuerdo con la interpretación general de las normas que conforman el sistema de compras públicas, </w:t>
      </w:r>
      <w:r w:rsidRPr="0071238F">
        <w:rPr>
          <w:rStyle w:val="Textoennegrita"/>
          <w:rFonts w:ascii="Century Gothic" w:hAnsi="Century Gothic" w:cs="Arial"/>
          <w:b w:val="0"/>
        </w:rPr>
        <w:t xml:space="preserve">el artículo 2.2.8.3.4 del Decreto 603 de 2022, </w:t>
      </w:r>
      <w:r w:rsidRPr="0071238F">
        <w:rPr>
          <w:rFonts w:ascii="Century Gothic" w:hAnsi="Century Gothic" w:eastAsia="Calibri" w:cs="Arial"/>
          <w:b/>
          <w:sz w:val="21"/>
          <w:szCs w:val="21"/>
          <w:lang w:val="es-ES_tradnl" w:eastAsia="es-CO"/>
        </w:rPr>
        <w:t>“</w:t>
      </w:r>
      <w:r w:rsidRPr="0071238F">
        <w:rPr>
          <w:rStyle w:val="Textoennegrita"/>
          <w:rFonts w:ascii="Century Gothic" w:hAnsi="Century Gothic" w:cs="Arial"/>
          <w:b w:val="0"/>
          <w:shd w:val="clear" w:color="auto" w:fill="FFFFFF"/>
        </w:rPr>
        <w:t>Por medio del cual se adiciona el Título 8 en la Parte 2 del Libro 2 del Decreto 1067 de 2015, Único Reglamentario del Sector Administrativo de Relaciones Exteriores, para crear el Sistema Nacional de Cooperación Internacional de Colombia y se dictan disposiciones relacionadas con el desarrollo del mismo”,</w:t>
      </w:r>
      <w:r w:rsidRPr="0071238F">
        <w:rPr>
          <w:rStyle w:val="Textoennegrita"/>
          <w:rFonts w:ascii="Century Gothic" w:hAnsi="Century Gothic" w:cs="Arial"/>
          <w:b w:val="0"/>
        </w:rPr>
        <w:t xml:space="preserve"> desarrolló parcialmente lo establecido en la Ley 1955 de 2019, “por el cual se expide el Plan Nacional de Desarrollo 2018-2022 pacto por Colombia, pacto por la equidad”. </w:t>
      </w:r>
    </w:p>
    <w:p w:rsidRPr="0071238F" w:rsidR="00AF36D0" w:rsidP="00AF36D0" w:rsidRDefault="00AF36D0" w14:paraId="06AADD92" w14:textId="0E926097">
      <w:pPr>
        <w:shd w:val="clear" w:color="auto" w:fill="FFFFFF"/>
        <w:spacing w:after="120" w:line="276" w:lineRule="auto"/>
        <w:ind w:firstLine="709"/>
        <w:jc w:val="both"/>
        <w:rPr>
          <w:rStyle w:val="Textoennegrita"/>
          <w:rFonts w:ascii="Century Gothic" w:hAnsi="Century Gothic" w:cs="Arial"/>
          <w:shd w:val="clear" w:color="auto" w:fill="FFFFFF"/>
        </w:rPr>
      </w:pPr>
      <w:r w:rsidRPr="0071238F">
        <w:rPr>
          <w:rStyle w:val="Textoennegrita"/>
          <w:rFonts w:ascii="Century Gothic" w:hAnsi="Century Gothic" w:cs="Arial"/>
          <w:b w:val="0"/>
          <w:shd w:val="clear" w:color="auto" w:fill="FFFFFF"/>
        </w:rPr>
        <w:t>Al respecto,</w:t>
      </w:r>
      <w:r w:rsidRPr="0071238F">
        <w:rPr>
          <w:rStyle w:val="Textoennegrita"/>
          <w:rFonts w:ascii="Century Gothic" w:hAnsi="Century Gothic" w:cs="Arial"/>
          <w:shd w:val="clear" w:color="auto" w:fill="FFFFFF"/>
        </w:rPr>
        <w:t xml:space="preserve"> </w:t>
      </w:r>
      <w:r w:rsidRPr="0071238F">
        <w:rPr>
          <w:rFonts w:ascii="Century Gothic" w:hAnsi="Century Gothic" w:cs="Arial"/>
        </w:rPr>
        <w:t xml:space="preserve">las Bases del Plan Nacional de Desarrollo 2018 – 2022 disponen que “El Gobierno nacional creará el Sistema Nacional de Cooperación Internacional como estrategia para la orientación y coordinación de las entidades </w:t>
      </w:r>
      <w:r w:rsidRPr="0071238F">
        <w:rPr>
          <w:rFonts w:ascii="Century Gothic" w:hAnsi="Century Gothic" w:cs="Arial"/>
        </w:rPr>
        <w:lastRenderedPageBreak/>
        <w:t>del nivel nacional, departamental, distrital y municipal, así como del sector privado y no gubernamental, para alcanzar la mayor alineación, pertinencia y eficacia de la cooperación internacional no reembolsable y técnica, cuya secretaría técnica será ejercida por APC-Colombia. Las acciones desarrolladas en el marco de este sistema estarán articuladas con la agenda de política exterior”.</w:t>
      </w:r>
      <w:r w:rsidRPr="0071238F">
        <w:rPr>
          <w:rStyle w:val="Textoennegrita"/>
          <w:rFonts w:ascii="Century Gothic" w:hAnsi="Century Gothic" w:cs="Arial"/>
          <w:shd w:val="clear" w:color="auto" w:fill="FFFFFF"/>
        </w:rPr>
        <w:t xml:space="preserve"> </w:t>
      </w:r>
      <w:r w:rsidRPr="0071238F">
        <w:rPr>
          <w:rFonts w:ascii="Century Gothic" w:hAnsi="Century Gothic" w:cs="Arial"/>
        </w:rPr>
        <w:t>Asimismo, el artículo 2 de la Ley 1955 de 2019 dispone que “El documento denominado ‘Bases del Plan Nacional de Desarrollo 2018 - 2022: Pacto por Colombia, pacto por la equidad’, elaborado por el Gobierno nacional con la participación del Consejo Superior de la Judicatura y del Consejo Nacional de Planeación, y construido desde los territorios, con las modificaciones realizadas en el trámite legislativo, es parte integral del Plan Nacional de Desarrollo, y se incorpora a la presente Ley como un anexo”.</w:t>
      </w:r>
      <w:r w:rsidRPr="0071238F">
        <w:rPr>
          <w:rStyle w:val="Textoennegrita"/>
          <w:rFonts w:ascii="Century Gothic" w:hAnsi="Century Gothic" w:cs="Arial"/>
          <w:shd w:val="clear" w:color="auto" w:fill="FFFFFF"/>
        </w:rPr>
        <w:t xml:space="preserve"> </w:t>
      </w:r>
    </w:p>
    <w:p w:rsidRPr="0071238F" w:rsidR="00AF36D0" w:rsidP="00AF36D0" w:rsidRDefault="00AF36D0" w14:paraId="6402E7B4" w14:textId="77777777">
      <w:pPr>
        <w:shd w:val="clear" w:color="auto" w:fill="FFFFFF"/>
        <w:spacing w:after="120" w:line="276" w:lineRule="auto"/>
        <w:ind w:firstLine="708"/>
        <w:jc w:val="both"/>
        <w:rPr>
          <w:rStyle w:val="Textoennegrita"/>
          <w:rFonts w:ascii="Century Gothic" w:hAnsi="Century Gothic" w:cs="Arial"/>
          <w:b w:val="0"/>
        </w:rPr>
      </w:pPr>
      <w:r w:rsidRPr="0071238F">
        <w:rPr>
          <w:rStyle w:val="Textoennegrita"/>
          <w:rFonts w:ascii="Century Gothic" w:hAnsi="Century Gothic" w:cs="Arial"/>
          <w:b w:val="0"/>
        </w:rPr>
        <w:t>Por lo demás, el tope del 30% establecido en la norma precitada, que determina las condiciones de participación de los socios cooperantes en condición de ejecutor del proyecto o programa, aplica para las contrapartidas dinerarias. Dicho en otras palabras, solo podrán ejecutar programas, proyectos o iniciativas en los que estén involucrados recursos del presupuesto general de la nación, aquellos socios de cooperación internacional que aporte una contrapartida de no menos del 30% de dicho programa, proyecto o iniciativa, que deberá efectuarse únicamente en sumas líquidas de dinero. Además, en cada caso deberán establecerse mecanismos de administración de las condiciones del contrato que permitan hacerle seguimiento al cumplimiento de las obligaciones contractuales.</w:t>
      </w:r>
    </w:p>
    <w:p w:rsidRPr="0071238F" w:rsidR="00AF36D0" w:rsidP="00AF36D0" w:rsidRDefault="00AF36D0" w14:paraId="5E7FD109" w14:textId="77777777">
      <w:pPr>
        <w:shd w:val="clear" w:color="auto" w:fill="FFFFFF"/>
        <w:spacing w:after="120" w:line="276" w:lineRule="auto"/>
        <w:ind w:firstLine="709"/>
        <w:jc w:val="both"/>
        <w:rPr>
          <w:rStyle w:val="Textoennegrita"/>
          <w:rFonts w:ascii="Century Gothic" w:hAnsi="Century Gothic" w:cs="Arial"/>
          <w:b w:val="0"/>
        </w:rPr>
      </w:pPr>
      <w:r w:rsidRPr="0071238F">
        <w:rPr>
          <w:rStyle w:val="Textoennegrita"/>
          <w:rFonts w:ascii="Century Gothic" w:hAnsi="Century Gothic" w:cs="Arial"/>
          <w:b w:val="0"/>
        </w:rPr>
        <w:t>En este orden de ideas, las entidades estatales, en ejercicio de la autonomía de la voluntad, pueden suscribir convenios de cooperación internacional</w:t>
      </w:r>
      <w:r w:rsidRPr="0071238F">
        <w:rPr>
          <w:rStyle w:val="Textoennegrita"/>
          <w:rFonts w:ascii="Century Gothic" w:hAnsi="Century Gothic" w:cs="Arial"/>
        </w:rPr>
        <w:t xml:space="preserve"> </w:t>
      </w:r>
      <w:r w:rsidRPr="0071238F">
        <w:rPr>
          <w:rFonts w:ascii="Century Gothic" w:hAnsi="Century Gothic" w:cs="Arial"/>
        </w:rPr>
        <w:t>que involucre recursos del Presupuesto General de la Nación</w:t>
      </w:r>
      <w:r w:rsidRPr="0071238F">
        <w:rPr>
          <w:rStyle w:val="Textoennegrita"/>
          <w:rFonts w:ascii="Century Gothic" w:hAnsi="Century Gothic" w:cs="Arial"/>
          <w:b w:val="0"/>
        </w:rPr>
        <w:t xml:space="preserve">, siempre y cuando el 30% del valor del proyecto sea aportado en dinero por el organismo internacional, pues el reglamento, como se indicó, estableció un umbral para que las entidades estatales puedan realizar proyectos, iniciativas o programas financiados con presupuesto general de la Nación en convenio con organismos internacionales. De este modo, si el socio cooperante cumple con este umbral, da lugar a suscribir el convenio. </w:t>
      </w:r>
    </w:p>
    <w:p w:rsidRPr="0071238F" w:rsidR="00AF36D0" w:rsidP="00AF36D0" w:rsidRDefault="00AF36D0" w14:paraId="68832EA4" w14:textId="77777777">
      <w:pPr>
        <w:shd w:val="clear" w:color="auto" w:fill="FFFFFF"/>
        <w:spacing w:after="120" w:line="276" w:lineRule="auto"/>
        <w:ind w:firstLine="709"/>
        <w:jc w:val="both"/>
        <w:rPr>
          <w:rStyle w:val="Textoennegrita"/>
          <w:rFonts w:ascii="Century Gothic" w:hAnsi="Century Gothic" w:cs="Arial"/>
          <w:b w:val="0"/>
        </w:rPr>
      </w:pPr>
      <w:r w:rsidRPr="0071238F">
        <w:rPr>
          <w:rStyle w:val="Textoennegrita"/>
          <w:rFonts w:ascii="Century Gothic" w:hAnsi="Century Gothic" w:cs="Arial"/>
          <w:b w:val="0"/>
        </w:rPr>
        <w:t xml:space="preserve">Lo anterior en ningún momento afecta las reglas sobre el régimen de contratación que le sea aplicable al convenio financiados con presupuesto general de la Nación, esto es, si está sometido al Estatuto General de la Administración Pública o al régimen de contratación con el que contratan el organismo cooperante, pues ello aún se rige por las reglas de los establecido en el </w:t>
      </w:r>
      <w:r w:rsidRPr="0071238F">
        <w:rPr>
          <w:rStyle w:val="Textoennegrita"/>
          <w:rFonts w:ascii="Century Gothic" w:hAnsi="Century Gothic" w:cs="Arial"/>
          <w:b w:val="0"/>
        </w:rPr>
        <w:lastRenderedPageBreak/>
        <w:t>artículo 20 de la Ley 1150 de 2007 y en el</w:t>
      </w:r>
      <w:r w:rsidRPr="0071238F">
        <w:rPr>
          <w:rStyle w:val="Textoennegrita"/>
          <w:rFonts w:ascii="Century Gothic" w:hAnsi="Century Gothic" w:cs="Arial"/>
        </w:rPr>
        <w:t xml:space="preserve"> </w:t>
      </w:r>
      <w:r w:rsidRPr="0071238F">
        <w:rPr>
          <w:rFonts w:ascii="Century Gothic" w:hAnsi="Century Gothic" w:cs="Arial"/>
          <w:lang w:val="es-ES_tradnl"/>
        </w:rPr>
        <w:t xml:space="preserve">artículo 2.2.1.2.4.4.1 del Decreto 1082 de 2015. Desde esta perspectiva, las reglas precitadas se complementan con </w:t>
      </w:r>
      <w:r w:rsidRPr="0071238F">
        <w:rPr>
          <w:rStyle w:val="Textoennegrita"/>
          <w:rFonts w:ascii="Century Gothic" w:hAnsi="Century Gothic" w:cs="Arial"/>
          <w:b w:val="0"/>
        </w:rPr>
        <w:t>el artículo 2.2.8.3.4 del Decreto 603 de 2022. En efecto, mientras las primeras definen el marco jurídico aplicable, este último define los aportes mínimos en recursos financieros del organismo internacional.</w:t>
      </w:r>
    </w:p>
    <w:p w:rsidRPr="0071238F" w:rsidR="00AF36D0" w:rsidP="00AF36D0" w:rsidRDefault="00AF36D0" w14:paraId="0BA14AC2" w14:textId="77777777">
      <w:pPr>
        <w:shd w:val="clear" w:color="auto" w:fill="FFFFFF"/>
        <w:spacing w:after="0" w:line="276" w:lineRule="auto"/>
        <w:ind w:firstLine="709"/>
        <w:jc w:val="both"/>
        <w:rPr>
          <w:rFonts w:ascii="Century Gothic" w:hAnsi="Century Gothic" w:cs="Arial"/>
        </w:rPr>
      </w:pPr>
      <w:r w:rsidRPr="0071238F">
        <w:rPr>
          <w:rStyle w:val="Textoennegrita"/>
          <w:rFonts w:ascii="Century Gothic" w:hAnsi="Century Gothic" w:cs="Arial"/>
          <w:b w:val="0"/>
        </w:rPr>
        <w:t>De esta manera, el artículo 20 de la Ley 1150 de 2007 define el régimen contractual de los convenios suscritos con “organismos de cooperación, asistencia o ayudas internacionales” en los porcentajes del inciso primero, con “personas extranjeras de derecho público u organismos de derecho internacional” respecto a los objetivos señalados en el inciso segundo, o con “personas extranjeras de derecho público” en las condiciones señaladas en el parágrafo primero. Así, la naturaleza jurídica del organismo internacional es relevante para la aplicación de la norma citada. En contraste, el artículo 2.2.8.3.4 del Decreto 603 de 2022 se refiere, en sentido amplio, a los “Socios de Cooperación internacional”, categoría dentro de la cual se engloban todos los organismos internacionales del artículo 20 de la Ley 1150 de 2007, especialmente cuando las bases del</w:t>
      </w:r>
      <w:r w:rsidRPr="0071238F">
        <w:rPr>
          <w:rStyle w:val="Textoennegrita"/>
          <w:rFonts w:ascii="Century Gothic" w:hAnsi="Century Gothic" w:cs="Arial"/>
        </w:rPr>
        <w:t xml:space="preserve"> </w:t>
      </w:r>
      <w:r w:rsidRPr="0071238F">
        <w:rPr>
          <w:rFonts w:ascii="Century Gothic" w:hAnsi="Century Gothic" w:cs="Arial"/>
        </w:rPr>
        <w:t>Plan Nacional de Desarrollo 2018 – 2022 no realizan distinción alguna sobre la naturaleza jurídica del órgano cooperante respecto al aporte mínimo que la norma hace obligatorio.</w:t>
      </w:r>
      <w:r w:rsidRPr="0071238F">
        <w:rPr>
          <w:rStyle w:val="Textoennegrita"/>
          <w:rFonts w:ascii="Century Gothic" w:hAnsi="Century Gothic" w:cs="Arial"/>
        </w:rPr>
        <w:t xml:space="preserve">    </w:t>
      </w:r>
    </w:p>
    <w:bookmarkEnd w:id="23"/>
    <w:p w:rsidRPr="0071238F" w:rsidR="00AF36D0" w:rsidP="00AF36D0" w:rsidRDefault="00AF36D0" w14:paraId="45BDADA6" w14:textId="77777777">
      <w:pPr>
        <w:tabs>
          <w:tab w:val="left" w:pos="426"/>
        </w:tabs>
        <w:spacing w:after="120" w:line="276" w:lineRule="auto"/>
        <w:jc w:val="both"/>
        <w:rPr>
          <w:rFonts w:ascii="Century Gothic" w:hAnsi="Century Gothic" w:eastAsia="Arial" w:cs="Arial"/>
          <w:lang w:val="es-ES" w:eastAsia="es-ES" w:bidi="es-ES"/>
        </w:rPr>
      </w:pPr>
    </w:p>
    <w:p w:rsidRPr="0071238F" w:rsidR="00AF36D0" w:rsidP="00AF36D0" w:rsidRDefault="00AF36D0" w14:paraId="18BB837D" w14:textId="77777777">
      <w:pPr>
        <w:widowControl w:val="0"/>
        <w:autoSpaceDE w:val="0"/>
        <w:autoSpaceDN w:val="0"/>
        <w:spacing w:after="0" w:line="276" w:lineRule="auto"/>
        <w:jc w:val="both"/>
        <w:rPr>
          <w:rFonts w:ascii="Century Gothic" w:hAnsi="Century Gothic" w:cs="Arial"/>
          <w:color w:val="000000" w:themeColor="text1"/>
          <w:lang w:val="es-ES_tradnl" w:bidi="es-ES"/>
        </w:rPr>
      </w:pPr>
      <w:r w:rsidRPr="0071238F">
        <w:rPr>
          <w:rFonts w:ascii="Century Gothic" w:hAnsi="Century Gothic" w:cs="Arial"/>
          <w:color w:val="000000" w:themeColor="text1"/>
          <w:lang w:val="es-ES_tradnl"/>
        </w:rPr>
        <w:t>Este concepto tiene el alcance previsto en el artículo 28 del Código de Procedimiento Administrativo y de lo Contencioso Administrativo.</w:t>
      </w:r>
    </w:p>
    <w:p w:rsidRPr="0071238F" w:rsidR="00AF36D0" w:rsidP="00AF36D0" w:rsidRDefault="00AF36D0" w14:paraId="6CAFFF24" w14:textId="77777777">
      <w:pPr>
        <w:widowControl w:val="0"/>
        <w:autoSpaceDE w:val="0"/>
        <w:autoSpaceDN w:val="0"/>
        <w:spacing w:after="0" w:line="276" w:lineRule="auto"/>
        <w:jc w:val="both"/>
        <w:rPr>
          <w:rFonts w:ascii="Century Gothic" w:hAnsi="Century Gothic" w:cs="Arial"/>
          <w:color w:val="000000" w:themeColor="text1"/>
          <w:lang w:val="es-ES_tradnl" w:bidi="es-ES"/>
        </w:rPr>
      </w:pPr>
    </w:p>
    <w:p w:rsidRPr="0071238F" w:rsidR="00AF36D0" w:rsidP="00AF36D0" w:rsidRDefault="00AF36D0" w14:paraId="36DBF2C7" w14:textId="77777777">
      <w:pPr>
        <w:tabs>
          <w:tab w:val="left" w:pos="426"/>
        </w:tabs>
        <w:spacing w:line="276" w:lineRule="auto"/>
        <w:jc w:val="both"/>
        <w:rPr>
          <w:rFonts w:ascii="Century Gothic" w:hAnsi="Century Gothic" w:eastAsia="Times New Roman" w:cs="Arial"/>
          <w:color w:val="000000" w:themeColor="text1"/>
        </w:rPr>
      </w:pPr>
      <w:r w:rsidRPr="0071238F">
        <w:rPr>
          <w:rFonts w:ascii="Century Gothic" w:hAnsi="Century Gothic" w:eastAsia="Times New Roman" w:cs="Arial"/>
          <w:color w:val="000000" w:themeColor="text1"/>
        </w:rPr>
        <w:t>Atentamente,</w:t>
      </w:r>
    </w:p>
    <w:p w:rsidRPr="0071238F" w:rsidR="00AF36D0" w:rsidP="00AF36D0" w:rsidRDefault="00301085" w14:paraId="2EFD88F2" w14:textId="13A98063">
      <w:pPr>
        <w:jc w:val="center"/>
        <w:rPr>
          <w:rFonts w:ascii="Century Gothic" w:hAnsi="Century Gothic" w:eastAsia="Times New Roman" w:cs="Arial"/>
          <w:lang w:eastAsia="es-CO"/>
        </w:rPr>
      </w:pPr>
      <w:r>
        <w:rPr>
          <w:noProof/>
        </w:rPr>
        <w:drawing>
          <wp:inline distT="0" distB="0" distL="0" distR="0" wp14:anchorId="68AF1BF2" wp14:editId="20D01148">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w:rsidRPr="003F5F71" w:rsidR="00AF36D0" w:rsidTr="002528FF" w14:paraId="7B6F7D82" w14:textId="77777777">
        <w:trPr>
          <w:trHeight w:val="409"/>
        </w:trPr>
        <w:tc>
          <w:tcPr>
            <w:tcW w:w="817" w:type="dxa"/>
            <w:tcBorders>
              <w:top w:val="nil"/>
              <w:left w:val="nil"/>
              <w:bottom w:val="nil"/>
              <w:right w:val="nil"/>
            </w:tcBorders>
            <w:vAlign w:val="center"/>
            <w:hideMark/>
          </w:tcPr>
          <w:p w:rsidRPr="0071238F" w:rsidR="00AF36D0" w:rsidP="002528FF" w:rsidRDefault="00AF36D0" w14:paraId="4F7B7EC9" w14:textId="77777777">
            <w:pPr>
              <w:spacing w:after="0" w:line="240" w:lineRule="auto"/>
              <w:jc w:val="both"/>
              <w:rPr>
                <w:rFonts w:ascii="Century Gothic" w:hAnsi="Century Gothic" w:cs="Arial"/>
                <w:sz w:val="16"/>
                <w:szCs w:val="16"/>
              </w:rPr>
            </w:pPr>
            <w:r w:rsidRPr="0071238F">
              <w:rPr>
                <w:rFonts w:ascii="Century Gothic" w:hAnsi="Century Gothic" w:cs="Arial"/>
                <w:sz w:val="16"/>
                <w:szCs w:val="16"/>
              </w:rPr>
              <w:t>Elaboró: </w:t>
            </w:r>
          </w:p>
        </w:tc>
        <w:tc>
          <w:tcPr>
            <w:tcW w:w="4937" w:type="dxa"/>
            <w:tcBorders>
              <w:top w:val="nil"/>
              <w:left w:val="nil"/>
              <w:bottom w:val="dotted" w:color="7F7F7F" w:themeColor="text1" w:themeTint="80" w:sz="6" w:space="0"/>
              <w:right w:val="nil"/>
            </w:tcBorders>
            <w:vAlign w:val="center"/>
            <w:hideMark/>
          </w:tcPr>
          <w:p w:rsidRPr="0071238F" w:rsidR="00AF36D0" w:rsidP="002528FF" w:rsidRDefault="00AF36D0" w14:paraId="4FBBBAD0" w14:textId="77777777">
            <w:pPr>
              <w:spacing w:after="0" w:line="240" w:lineRule="auto"/>
              <w:jc w:val="both"/>
              <w:rPr>
                <w:rFonts w:ascii="Century Gothic" w:hAnsi="Century Gothic" w:cs="Arial"/>
                <w:sz w:val="16"/>
                <w:szCs w:val="16"/>
              </w:rPr>
            </w:pPr>
            <w:r w:rsidRPr="0071238F">
              <w:rPr>
                <w:rFonts w:ascii="Century Gothic" w:hAnsi="Century Gothic" w:cs="Arial"/>
                <w:sz w:val="16"/>
                <w:szCs w:val="16"/>
              </w:rPr>
              <w:t>Juan David Montoya Penagos</w:t>
            </w:r>
          </w:p>
          <w:p w:rsidRPr="0071238F" w:rsidR="00AF36D0" w:rsidP="002528FF" w:rsidRDefault="00AF36D0" w14:paraId="6FFA9693" w14:textId="77777777">
            <w:pPr>
              <w:spacing w:after="0" w:line="240" w:lineRule="auto"/>
              <w:jc w:val="both"/>
              <w:rPr>
                <w:rFonts w:ascii="Century Gothic" w:hAnsi="Century Gothic" w:cs="Arial"/>
                <w:sz w:val="16"/>
                <w:szCs w:val="16"/>
              </w:rPr>
            </w:pPr>
            <w:r w:rsidRPr="0071238F">
              <w:rPr>
                <w:rFonts w:ascii="Century Gothic" w:hAnsi="Century Gothic" w:cs="Arial"/>
                <w:sz w:val="16"/>
                <w:szCs w:val="16"/>
              </w:rPr>
              <w:t>Contratista de la Subdirección de Gestión Contractual</w:t>
            </w:r>
          </w:p>
        </w:tc>
      </w:tr>
      <w:tr w:rsidRPr="003F5F71" w:rsidR="00AF36D0" w:rsidTr="002528FF" w14:paraId="73BC7D5A" w14:textId="77777777">
        <w:trPr>
          <w:trHeight w:val="409"/>
        </w:trPr>
        <w:tc>
          <w:tcPr>
            <w:tcW w:w="817" w:type="dxa"/>
            <w:tcBorders>
              <w:top w:val="nil"/>
              <w:left w:val="nil"/>
              <w:right w:val="nil"/>
            </w:tcBorders>
            <w:vAlign w:val="center"/>
          </w:tcPr>
          <w:p w:rsidRPr="0071238F" w:rsidR="00AF36D0" w:rsidP="002528FF" w:rsidRDefault="00AF36D0" w14:paraId="7F2EEB05" w14:textId="77777777">
            <w:pPr>
              <w:jc w:val="both"/>
              <w:rPr>
                <w:rFonts w:ascii="Century Gothic" w:hAnsi="Century Gothic" w:cs="Arial"/>
                <w:sz w:val="16"/>
                <w:szCs w:val="16"/>
              </w:rPr>
            </w:pPr>
            <w:r w:rsidRPr="0071238F">
              <w:rPr>
                <w:rFonts w:ascii="Century Gothic" w:hAnsi="Century Gothic" w:cs="Arial"/>
                <w:sz w:val="16"/>
                <w:szCs w:val="16"/>
              </w:rPr>
              <w:t>Revisó</w:t>
            </w:r>
          </w:p>
        </w:tc>
        <w:tc>
          <w:tcPr>
            <w:tcW w:w="4937" w:type="dxa"/>
            <w:tcBorders>
              <w:top w:val="dotted" w:color="7F7F7F" w:themeColor="text1" w:themeTint="80" w:sz="6" w:space="0"/>
              <w:left w:val="nil"/>
              <w:bottom w:val="dotted" w:color="7F7F7F" w:themeColor="text1" w:themeTint="80" w:sz="6" w:space="0"/>
              <w:right w:val="nil"/>
            </w:tcBorders>
            <w:vAlign w:val="center"/>
          </w:tcPr>
          <w:p w:rsidRPr="0071238F" w:rsidR="00AF36D0" w:rsidP="002528FF" w:rsidRDefault="00AF36D0" w14:paraId="45FB1654" w14:textId="77777777">
            <w:pPr>
              <w:spacing w:after="0" w:line="240" w:lineRule="auto"/>
              <w:jc w:val="both"/>
              <w:rPr>
                <w:rFonts w:ascii="Century Gothic" w:hAnsi="Century Gothic" w:cs="Arial"/>
                <w:sz w:val="16"/>
                <w:szCs w:val="16"/>
              </w:rPr>
            </w:pPr>
            <w:r w:rsidRPr="0071238F">
              <w:rPr>
                <w:rFonts w:ascii="Century Gothic" w:hAnsi="Century Gothic" w:cs="Arial"/>
                <w:sz w:val="16"/>
                <w:szCs w:val="16"/>
              </w:rPr>
              <w:t>Alejandro Sarmiento Cantillo</w:t>
            </w:r>
          </w:p>
          <w:p w:rsidRPr="0071238F" w:rsidR="00AF36D0" w:rsidP="002528FF" w:rsidRDefault="00AF36D0" w14:paraId="4C946391" w14:textId="77777777">
            <w:pPr>
              <w:spacing w:after="0" w:line="240" w:lineRule="auto"/>
              <w:jc w:val="both"/>
              <w:rPr>
                <w:rFonts w:ascii="Century Gothic" w:hAnsi="Century Gothic" w:cs="Arial"/>
                <w:sz w:val="16"/>
                <w:szCs w:val="16"/>
              </w:rPr>
            </w:pPr>
            <w:r w:rsidRPr="0071238F">
              <w:rPr>
                <w:rFonts w:ascii="Century Gothic" w:hAnsi="Century Gothic" w:cs="Arial"/>
                <w:sz w:val="16"/>
                <w:szCs w:val="16"/>
              </w:rPr>
              <w:t xml:space="preserve">Gestor T1 </w:t>
            </w:r>
            <w:r w:rsidRPr="00A25BE4">
              <w:rPr>
                <w:rFonts w:ascii="Arial" w:hAnsi="Arial" w:cs="Arial"/>
                <w:sz w:val="16"/>
                <w:szCs w:val="16"/>
              </w:rPr>
              <w:t>‒</w:t>
            </w:r>
            <w:r w:rsidRPr="0071238F">
              <w:rPr>
                <w:rFonts w:ascii="Century Gothic" w:hAnsi="Century Gothic" w:cs="Arial"/>
                <w:sz w:val="16"/>
                <w:szCs w:val="16"/>
              </w:rPr>
              <w:t xml:space="preserve"> 15 de la Subdirecci</w:t>
            </w:r>
            <w:r w:rsidRPr="0071238F">
              <w:rPr>
                <w:rFonts w:ascii="Century Gothic" w:hAnsi="Century Gothic" w:cs="Century Gothic"/>
                <w:sz w:val="16"/>
                <w:szCs w:val="16"/>
              </w:rPr>
              <w:t>ó</w:t>
            </w:r>
            <w:r w:rsidRPr="0071238F">
              <w:rPr>
                <w:rFonts w:ascii="Century Gothic" w:hAnsi="Century Gothic" w:cs="Arial"/>
                <w:sz w:val="16"/>
                <w:szCs w:val="16"/>
              </w:rPr>
              <w:t>n de Gesti</w:t>
            </w:r>
            <w:r w:rsidRPr="0071238F">
              <w:rPr>
                <w:rFonts w:ascii="Century Gothic" w:hAnsi="Century Gothic" w:cs="Century Gothic"/>
                <w:sz w:val="16"/>
                <w:szCs w:val="16"/>
              </w:rPr>
              <w:t>ó</w:t>
            </w:r>
            <w:r w:rsidRPr="0071238F">
              <w:rPr>
                <w:rFonts w:ascii="Century Gothic" w:hAnsi="Century Gothic" w:cs="Arial"/>
                <w:sz w:val="16"/>
                <w:szCs w:val="16"/>
              </w:rPr>
              <w:t>n Contractual</w:t>
            </w:r>
          </w:p>
        </w:tc>
      </w:tr>
      <w:tr w:rsidRPr="003F5F71" w:rsidR="00AF36D0" w:rsidTr="002528FF" w14:paraId="156BBA9E" w14:textId="77777777">
        <w:trPr>
          <w:trHeight w:val="389"/>
        </w:trPr>
        <w:tc>
          <w:tcPr>
            <w:tcW w:w="817" w:type="dxa"/>
            <w:tcBorders>
              <w:top w:val="nil"/>
              <w:left w:val="nil"/>
              <w:bottom w:val="nil"/>
              <w:right w:val="nil"/>
            </w:tcBorders>
            <w:vAlign w:val="center"/>
            <w:hideMark/>
          </w:tcPr>
          <w:p w:rsidRPr="0071238F" w:rsidR="00AF36D0" w:rsidP="002528FF" w:rsidRDefault="00AF36D0" w14:paraId="2121D112" w14:textId="77777777">
            <w:pPr>
              <w:spacing w:after="0" w:line="240" w:lineRule="auto"/>
              <w:jc w:val="both"/>
              <w:rPr>
                <w:rFonts w:ascii="Century Gothic" w:hAnsi="Century Gothic" w:cs="Arial"/>
                <w:sz w:val="16"/>
                <w:szCs w:val="16"/>
              </w:rPr>
            </w:pPr>
            <w:r w:rsidRPr="0071238F">
              <w:rPr>
                <w:rFonts w:ascii="Century Gothic" w:hAnsi="Century Gothic" w:cs="Arial"/>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71238F" w:rsidR="00AF36D0" w:rsidP="002528FF" w:rsidRDefault="00AF36D0" w14:paraId="295E5E41" w14:textId="77777777">
            <w:pPr>
              <w:spacing w:after="0" w:line="240" w:lineRule="auto"/>
              <w:jc w:val="both"/>
              <w:rPr>
                <w:rFonts w:ascii="Century Gothic" w:hAnsi="Century Gothic" w:cs="Arial"/>
                <w:sz w:val="16"/>
                <w:szCs w:val="16"/>
              </w:rPr>
            </w:pPr>
            <w:r w:rsidRPr="0071238F">
              <w:rPr>
                <w:rFonts w:ascii="Century Gothic" w:hAnsi="Century Gothic" w:cs="Arial"/>
                <w:sz w:val="16"/>
                <w:szCs w:val="16"/>
              </w:rPr>
              <w:t xml:space="preserve">Nohelia del Carmen </w:t>
            </w:r>
            <w:proofErr w:type="spellStart"/>
            <w:r w:rsidRPr="0071238F">
              <w:rPr>
                <w:rFonts w:ascii="Century Gothic" w:hAnsi="Century Gothic" w:cs="Arial"/>
                <w:sz w:val="16"/>
                <w:szCs w:val="16"/>
              </w:rPr>
              <w:t>Zawady</w:t>
            </w:r>
            <w:proofErr w:type="spellEnd"/>
            <w:r w:rsidRPr="0071238F">
              <w:rPr>
                <w:rFonts w:ascii="Century Gothic" w:hAnsi="Century Gothic" w:cs="Arial"/>
                <w:sz w:val="16"/>
                <w:szCs w:val="16"/>
              </w:rPr>
              <w:t xml:space="preserve"> Palacio</w:t>
            </w:r>
          </w:p>
          <w:p w:rsidRPr="0071238F" w:rsidR="00AF36D0" w:rsidP="002528FF" w:rsidRDefault="00AF36D0" w14:paraId="2452BEBA" w14:textId="09F18465">
            <w:pPr>
              <w:spacing w:after="0" w:line="240" w:lineRule="auto"/>
              <w:jc w:val="both"/>
              <w:rPr>
                <w:rFonts w:ascii="Century Gothic" w:hAnsi="Century Gothic" w:cs="Arial"/>
                <w:sz w:val="16"/>
                <w:szCs w:val="16"/>
              </w:rPr>
            </w:pPr>
            <w:r w:rsidRPr="0071238F">
              <w:rPr>
                <w:rFonts w:ascii="Century Gothic" w:hAnsi="Century Gothic" w:cs="Arial"/>
                <w:sz w:val="16"/>
                <w:szCs w:val="16"/>
              </w:rPr>
              <w:t xml:space="preserve">Subdirectora de Gestión Contractual ANCP </w:t>
            </w:r>
            <w:r w:rsidR="00A908FF">
              <w:rPr>
                <w:rFonts w:ascii="Century Gothic" w:hAnsi="Century Gothic" w:cs="Arial"/>
                <w:sz w:val="16"/>
                <w:szCs w:val="16"/>
              </w:rPr>
              <w:t>–</w:t>
            </w:r>
            <w:r w:rsidRPr="0071238F">
              <w:rPr>
                <w:rFonts w:ascii="Century Gothic" w:hAnsi="Century Gothic" w:cs="Arial"/>
                <w:sz w:val="16"/>
                <w:szCs w:val="16"/>
              </w:rPr>
              <w:t xml:space="preserve"> CCE</w:t>
            </w:r>
          </w:p>
        </w:tc>
      </w:tr>
      <w:bookmarkEnd w:id="2"/>
    </w:tbl>
    <w:p w:rsidRPr="0071238F" w:rsidR="00AF36D0" w:rsidP="00AF36D0" w:rsidRDefault="00AF36D0" w14:paraId="60E2F917" w14:textId="77777777">
      <w:pPr>
        <w:tabs>
          <w:tab w:val="left" w:pos="0"/>
        </w:tabs>
        <w:spacing w:line="276" w:lineRule="auto"/>
        <w:contextualSpacing/>
        <w:jc w:val="both"/>
        <w:rPr>
          <w:rFonts w:ascii="Century Gothic" w:hAnsi="Century Gothic"/>
          <w:lang w:val="es-MX"/>
        </w:rPr>
      </w:pPr>
    </w:p>
    <w:p w:rsidRPr="0071238F" w:rsidR="00127233" w:rsidP="004C065D" w:rsidRDefault="00127233" w14:paraId="0F293BF4" w14:textId="7BBFAB11">
      <w:pPr>
        <w:rPr>
          <w:rFonts w:ascii="Century Gothic" w:hAnsi="Century Gothic"/>
        </w:rPr>
      </w:pPr>
    </w:p>
    <w:sectPr w:rsidRPr="0071238F" w:rsidR="00127233" w:rsidSect="002E4FD9">
      <w:headerReference w:type="default" r:id="rId12"/>
      <w:footerReference w:type="default" r:id="rId13"/>
      <w:pgSz w:w="12240" w:h="15840" w:orient="portrait"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D1292" w:rsidP="004A1847" w:rsidRDefault="00BD1292" w14:paraId="6F555F6F" w14:textId="77777777">
      <w:pPr>
        <w:spacing w:after="0" w:line="240" w:lineRule="auto"/>
      </w:pPr>
      <w:r>
        <w:separator/>
      </w:r>
    </w:p>
  </w:endnote>
  <w:endnote w:type="continuationSeparator" w:id="0">
    <w:p w:rsidR="00BD1292" w:rsidP="004A1847" w:rsidRDefault="00BD1292" w14:paraId="2D355C8D" w14:textId="77777777">
      <w:pPr>
        <w:spacing w:after="0" w:line="240" w:lineRule="auto"/>
      </w:pPr>
      <w:r>
        <w:continuationSeparator/>
      </w:r>
    </w:p>
  </w:endnote>
  <w:endnote w:type="continuationNotice" w:id="1">
    <w:p w:rsidR="00BD1292" w:rsidRDefault="00BD1292" w14:paraId="099A411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00000001"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322A85" w:rsidP="00322A85" w:rsidRDefault="003F3941" w14:paraId="171D456F" w14:textId="56C74A82">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415501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061B2A">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F4E4C24">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D1292" w:rsidP="004A1847" w:rsidRDefault="00BD1292" w14:paraId="1526AB64" w14:textId="77777777">
      <w:pPr>
        <w:spacing w:after="0" w:line="240" w:lineRule="auto"/>
      </w:pPr>
      <w:r>
        <w:separator/>
      </w:r>
    </w:p>
  </w:footnote>
  <w:footnote w:type="continuationSeparator" w:id="0">
    <w:p w:rsidR="00BD1292" w:rsidP="004A1847" w:rsidRDefault="00BD1292" w14:paraId="4F36AAD5" w14:textId="77777777">
      <w:pPr>
        <w:spacing w:after="0" w:line="240" w:lineRule="auto"/>
      </w:pPr>
      <w:r>
        <w:continuationSeparator/>
      </w:r>
    </w:p>
  </w:footnote>
  <w:footnote w:type="continuationNotice" w:id="1">
    <w:p w:rsidR="00BD1292" w:rsidRDefault="00BD1292" w14:paraId="03044105" w14:textId="77777777">
      <w:pPr>
        <w:spacing w:after="0" w:line="240" w:lineRule="auto"/>
      </w:pPr>
    </w:p>
  </w:footnote>
  <w:footnote w:id="2">
    <w:p w:rsidRPr="0071238F" w:rsidR="00AF36D0" w:rsidP="00AF36D0" w:rsidRDefault="00AF36D0" w14:paraId="273AFF9E" w14:textId="77777777">
      <w:pPr>
        <w:pStyle w:val="Textonotapie"/>
        <w:ind w:firstLine="708"/>
        <w:jc w:val="both"/>
        <w:rPr>
          <w:rFonts w:ascii="Century Gothic" w:hAnsi="Century Gothic" w:cs="Arial"/>
          <w:sz w:val="14"/>
          <w:szCs w:val="14"/>
          <w:lang w:val="es-ES"/>
        </w:rPr>
      </w:pPr>
      <w:r w:rsidRPr="0071238F">
        <w:rPr>
          <w:rStyle w:val="Refdenotaalpie"/>
          <w:rFonts w:ascii="Century Gothic" w:hAnsi="Century Gothic" w:cs="Arial"/>
          <w:sz w:val="14"/>
          <w:szCs w:val="14"/>
        </w:rPr>
        <w:footnoteRef/>
      </w:r>
      <w:r w:rsidRPr="0071238F">
        <w:rPr>
          <w:rFonts w:ascii="Century Gothic" w:hAnsi="Century Gothic" w:cs="Arial"/>
          <w:sz w:val="14"/>
          <w:szCs w:val="14"/>
        </w:rPr>
        <w:t xml:space="preserve"> La Agencia Nacional de Contratación Pública </w:t>
      </w:r>
      <w:r w:rsidRPr="0071238F">
        <w:rPr>
          <w:rFonts w:ascii="Arial" w:hAnsi="Arial" w:cs="Arial"/>
          <w:sz w:val="14"/>
          <w:szCs w:val="14"/>
        </w:rPr>
        <w:t>‒</w:t>
      </w:r>
      <w:r w:rsidRPr="0071238F">
        <w:rPr>
          <w:rFonts w:ascii="Century Gothic" w:hAnsi="Century Gothic" w:cs="Arial"/>
          <w:sz w:val="14"/>
          <w:szCs w:val="14"/>
        </w:rPr>
        <w:t xml:space="preserve"> Colombia Compra Eficiente fue creada por el Decreto Ley 4170 de 2011. Su objetivo es servir como ente rector de la pol</w:t>
      </w:r>
      <w:r w:rsidRPr="0071238F">
        <w:rPr>
          <w:rFonts w:ascii="Century Gothic" w:hAnsi="Century Gothic" w:cs="Century Gothic"/>
          <w:sz w:val="14"/>
          <w:szCs w:val="14"/>
        </w:rPr>
        <w:t>í</w:t>
      </w:r>
      <w:r w:rsidRPr="0071238F">
        <w:rPr>
          <w:rFonts w:ascii="Century Gothic" w:hAnsi="Century Gothic" w:cs="Arial"/>
          <w:sz w:val="14"/>
          <w:szCs w:val="14"/>
        </w:rPr>
        <w:t>tica de compras y contrataci</w:t>
      </w:r>
      <w:r w:rsidRPr="0071238F">
        <w:rPr>
          <w:rFonts w:ascii="Century Gothic" w:hAnsi="Century Gothic" w:cs="Century Gothic"/>
          <w:sz w:val="14"/>
          <w:szCs w:val="14"/>
        </w:rPr>
        <w:t>ó</w:t>
      </w:r>
      <w:r w:rsidRPr="0071238F">
        <w:rPr>
          <w:rFonts w:ascii="Century Gothic" w:hAnsi="Century Gothic" w:cs="Arial"/>
          <w:sz w:val="14"/>
          <w:szCs w:val="14"/>
        </w:rPr>
        <w:t xml:space="preserve">n del Estado. Para tales fines, como </w:t>
      </w:r>
      <w:r w:rsidRPr="0071238F">
        <w:rPr>
          <w:rFonts w:ascii="Century Gothic" w:hAnsi="Century Gothic" w:cs="Century Gothic"/>
          <w:sz w:val="14"/>
          <w:szCs w:val="14"/>
        </w:rPr>
        <w:t>ó</w:t>
      </w:r>
      <w:r w:rsidRPr="0071238F">
        <w:rPr>
          <w:rFonts w:ascii="Century Gothic" w:hAnsi="Century Gothic" w:cs="Arial"/>
          <w:sz w:val="14"/>
          <w:szCs w:val="14"/>
        </w:rPr>
        <w:t>rgano t</w:t>
      </w:r>
      <w:r w:rsidRPr="0071238F">
        <w:rPr>
          <w:rFonts w:ascii="Century Gothic" w:hAnsi="Century Gothic" w:cs="Century Gothic"/>
          <w:sz w:val="14"/>
          <w:szCs w:val="14"/>
        </w:rPr>
        <w:t>é</w:t>
      </w:r>
      <w:r w:rsidRPr="0071238F">
        <w:rPr>
          <w:rFonts w:ascii="Century Gothic" w:hAnsi="Century Gothic" w:cs="Arial"/>
          <w:sz w:val="14"/>
          <w:szCs w:val="14"/>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71238F">
        <w:rPr>
          <w:rFonts w:ascii="Century Gothic" w:hAnsi="Century Gothic" w:cs="Arial"/>
          <w:i/>
          <w:sz w:val="14"/>
          <w:szCs w:val="14"/>
        </w:rPr>
        <w:t xml:space="preserve">ibidem </w:t>
      </w:r>
      <w:r w:rsidRPr="0071238F">
        <w:rPr>
          <w:rFonts w:ascii="Century Gothic" w:hAnsi="Century Gothic" w:cs="Arial"/>
          <w:sz w:val="14"/>
          <w:szCs w:val="14"/>
        </w:rPr>
        <w:t>señala, de manera precisa, las funciones de Colombia Compra Eficiente. Concretamente, el numeral 5º de este artículo establece que le corresponde a esta entidad: “[a]</w:t>
      </w:r>
      <w:proofErr w:type="spellStart"/>
      <w:r w:rsidRPr="0071238F">
        <w:rPr>
          <w:rFonts w:ascii="Century Gothic" w:hAnsi="Century Gothic" w:cs="Arial"/>
          <w:sz w:val="14"/>
          <w:szCs w:val="14"/>
        </w:rPr>
        <w:t>bsolver</w:t>
      </w:r>
      <w:proofErr w:type="spellEnd"/>
      <w:r w:rsidRPr="0071238F">
        <w:rPr>
          <w:rFonts w:ascii="Century Gothic" w:hAnsi="Century Gothic" w:cs="Arial"/>
          <w:sz w:val="14"/>
          <w:szCs w:val="14"/>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71238F">
        <w:rPr>
          <w:rFonts w:ascii="Century Gothic" w:hAnsi="Century Gothic" w:cs="Arial"/>
          <w:sz w:val="14"/>
          <w:szCs w:val="14"/>
        </w:rPr>
        <w:t>bsolver</w:t>
      </w:r>
      <w:proofErr w:type="spellEnd"/>
      <w:r w:rsidRPr="0071238F">
        <w:rPr>
          <w:rFonts w:ascii="Century Gothic" w:hAnsi="Century Gothic" w:cs="Arial"/>
          <w:sz w:val="14"/>
          <w:szCs w:val="14"/>
        </w:rPr>
        <w:t xml:space="preserve"> consultas sobre la aplicación de normas de carácter general”.</w:t>
      </w:r>
    </w:p>
  </w:footnote>
  <w:footnote w:id="3">
    <w:p w:rsidRPr="0071238F" w:rsidR="00AF36D0" w:rsidP="00AF36D0" w:rsidRDefault="00AF36D0" w14:paraId="1D6D0D05" w14:textId="77777777">
      <w:pPr>
        <w:pStyle w:val="Textonotapie"/>
        <w:ind w:firstLine="708"/>
        <w:jc w:val="both"/>
        <w:rPr>
          <w:rFonts w:ascii="Century Gothic" w:hAnsi="Century Gothic" w:cs="Arial"/>
          <w:sz w:val="14"/>
          <w:szCs w:val="14"/>
        </w:rPr>
      </w:pPr>
      <w:r w:rsidRPr="0071238F">
        <w:rPr>
          <w:rStyle w:val="Refdenotaalpie"/>
          <w:rFonts w:ascii="Century Gothic" w:hAnsi="Century Gothic" w:cs="Arial"/>
          <w:sz w:val="14"/>
          <w:szCs w:val="14"/>
        </w:rPr>
        <w:footnoteRef/>
      </w:r>
      <w:r w:rsidRPr="0071238F">
        <w:rPr>
          <w:rFonts w:ascii="Century Gothic" w:hAnsi="Century Gothic"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71238F">
          <w:rPr>
            <w:rStyle w:val="Hipervnculo"/>
            <w:rFonts w:ascii="Century Gothic" w:hAnsi="Century Gothic" w:cs="Arial"/>
            <w:sz w:val="14"/>
            <w:szCs w:val="14"/>
          </w:rPr>
          <w:t>https://relatoria.colombiacompra.gov.co/busqueda/conceptos</w:t>
        </w:r>
      </w:hyperlink>
      <w:r w:rsidRPr="0071238F">
        <w:rPr>
          <w:rStyle w:val="Hipervnculo"/>
          <w:rFonts w:ascii="Century Gothic" w:hAnsi="Century Gothic" w:cs="Arial"/>
          <w:sz w:val="14"/>
          <w:szCs w:val="14"/>
        </w:rPr>
        <w:t xml:space="preserve">. </w:t>
      </w:r>
      <w:r w:rsidRPr="0071238F">
        <w:rPr>
          <w:rFonts w:ascii="Century Gothic" w:hAnsi="Century Gothic" w:cs="Arial"/>
          <w:sz w:val="14"/>
          <w:szCs w:val="14"/>
          <w:shd w:val="clear" w:color="auto" w:fill="E6E6E6"/>
        </w:rPr>
        <w:t xml:space="preserve"> </w:t>
      </w:r>
    </w:p>
  </w:footnote>
  <w:footnote w:id="4">
    <w:p w:rsidRPr="0071238F" w:rsidR="00AF36D0" w:rsidP="00AF36D0" w:rsidRDefault="00AF36D0" w14:paraId="7B992A44" w14:textId="77777777">
      <w:pPr>
        <w:pStyle w:val="Textonotapie"/>
        <w:ind w:firstLine="709"/>
        <w:jc w:val="both"/>
        <w:rPr>
          <w:rFonts w:ascii="Century Gothic" w:hAnsi="Century Gothic" w:cs="Arial"/>
          <w:color w:val="000000" w:themeColor="text1"/>
          <w:sz w:val="14"/>
          <w:szCs w:val="14"/>
          <w:lang w:val="es-CO"/>
        </w:rPr>
      </w:pPr>
      <w:r w:rsidRPr="0071238F">
        <w:rPr>
          <w:rStyle w:val="Refdenotaalpie"/>
          <w:rFonts w:ascii="Century Gothic" w:hAnsi="Century Gothic" w:cs="Arial"/>
          <w:sz w:val="14"/>
          <w:szCs w:val="14"/>
        </w:rPr>
        <w:footnoteRef/>
      </w:r>
      <w:r w:rsidRPr="0071238F">
        <w:rPr>
          <w:rFonts w:ascii="Century Gothic" w:hAnsi="Century Gothic" w:cs="Arial"/>
          <w:color w:val="000000" w:themeColor="text1"/>
          <w:sz w:val="14"/>
          <w:szCs w:val="14"/>
          <w:lang w:val="es-CO"/>
        </w:rPr>
        <w:t xml:space="preserve"> FIGUEROA U. Organismos internacionales. 2ª edición. Santiago de Chile: Editorial RIL editores, 2010.</w:t>
      </w:r>
    </w:p>
  </w:footnote>
  <w:footnote w:id="5">
    <w:p w:rsidRPr="0071238F" w:rsidR="00AF36D0" w:rsidP="00AF36D0" w:rsidRDefault="00AF36D0" w14:paraId="3DF76E69" w14:textId="77777777">
      <w:pPr>
        <w:pStyle w:val="NormalWeb"/>
        <w:spacing w:before="0" w:beforeAutospacing="0" w:after="0" w:afterAutospacing="0"/>
        <w:ind w:firstLine="709"/>
        <w:jc w:val="both"/>
        <w:rPr>
          <w:rFonts w:ascii="Century Gothic" w:hAnsi="Century Gothic" w:cs="Arial"/>
          <w:color w:val="000000" w:themeColor="text1"/>
          <w:sz w:val="14"/>
          <w:szCs w:val="14"/>
        </w:rPr>
      </w:pPr>
      <w:r w:rsidRPr="0071238F">
        <w:rPr>
          <w:rStyle w:val="Refdenotaalpie"/>
          <w:rFonts w:ascii="Century Gothic" w:hAnsi="Century Gothic" w:cs="Arial"/>
          <w:sz w:val="14"/>
          <w:szCs w:val="14"/>
        </w:rPr>
        <w:footnoteRef/>
      </w:r>
      <w:r w:rsidRPr="0071238F">
        <w:rPr>
          <w:rFonts w:ascii="Century Gothic" w:hAnsi="Century Gothic" w:cs="Arial"/>
          <w:color w:val="000000" w:themeColor="text1"/>
          <w:sz w:val="14"/>
          <w:szCs w:val="14"/>
        </w:rPr>
        <w:t xml:space="preserve"> Ley 80 de 1993: “Artículo 13. De la normatividad aplicable a los contratos estatales. Los contratos que celebren las entidades a que se refiere el artículo </w:t>
      </w:r>
      <w:hyperlink w:history="1" w:anchor="2" r:id="rId2">
        <w:r w:rsidRPr="0071238F">
          <w:rPr>
            <w:rStyle w:val="Hipervnculo"/>
            <w:rFonts w:ascii="Century Gothic" w:hAnsi="Century Gothic" w:cs="Arial"/>
            <w:color w:val="000000" w:themeColor="text1"/>
            <w:sz w:val="14"/>
            <w:szCs w:val="14"/>
          </w:rPr>
          <w:t>2</w:t>
        </w:r>
      </w:hyperlink>
      <w:r w:rsidRPr="0071238F">
        <w:rPr>
          <w:rFonts w:ascii="Century Gothic" w:hAnsi="Century Gothic" w:cs="Arial"/>
          <w:color w:val="000000" w:themeColor="text1"/>
          <w:sz w:val="14"/>
          <w:szCs w:val="14"/>
        </w:rPr>
        <w:t>o. del presente estatuto se regirán por las disposiciones comerciales y civiles pertinentes, salvo en las materias particularmente reguladas en esta ley.</w:t>
      </w:r>
    </w:p>
    <w:p w:rsidRPr="0071238F" w:rsidR="00AF36D0" w:rsidP="00AF36D0" w:rsidRDefault="00AF36D0" w14:paraId="585387C9" w14:textId="77777777">
      <w:pPr>
        <w:pStyle w:val="NormalWeb"/>
        <w:spacing w:before="0" w:beforeAutospacing="0" w:after="0" w:afterAutospacing="0"/>
        <w:ind w:firstLine="709"/>
        <w:jc w:val="both"/>
        <w:rPr>
          <w:rFonts w:ascii="Century Gothic" w:hAnsi="Century Gothic" w:cs="Arial"/>
          <w:color w:val="000000" w:themeColor="text1"/>
          <w:sz w:val="14"/>
          <w:szCs w:val="14"/>
        </w:rPr>
      </w:pPr>
      <w:r w:rsidRPr="0071238F">
        <w:rPr>
          <w:rFonts w:ascii="Century Gothic" w:hAnsi="Century Gothic" w:cs="Arial"/>
          <w:color w:val="000000" w:themeColor="text1"/>
          <w:sz w:val="14"/>
          <w:szCs w:val="14"/>
        </w:rPr>
        <w:t>Los contratos celebrados en el exterior se podrán regir en su ejecución por las reglas del país en donde se hayan suscrito, a menos que deban cumplirse en Colombia.</w:t>
      </w:r>
    </w:p>
    <w:p w:rsidRPr="0071238F" w:rsidR="00AF36D0" w:rsidP="00AF36D0" w:rsidRDefault="00AF36D0" w14:paraId="178D1B77" w14:textId="77777777">
      <w:pPr>
        <w:pStyle w:val="NormalWeb"/>
        <w:spacing w:before="0" w:beforeAutospacing="0" w:after="0" w:afterAutospacing="0"/>
        <w:ind w:firstLine="709"/>
        <w:jc w:val="both"/>
        <w:rPr>
          <w:rFonts w:ascii="Century Gothic" w:hAnsi="Century Gothic" w:cs="Arial"/>
          <w:color w:val="000000" w:themeColor="text1"/>
          <w:sz w:val="14"/>
          <w:szCs w:val="14"/>
        </w:rPr>
      </w:pPr>
      <w:r w:rsidRPr="0071238F">
        <w:rPr>
          <w:rFonts w:ascii="Century Gothic" w:hAnsi="Century Gothic" w:cs="Arial"/>
          <w:color w:val="000000" w:themeColor="text1"/>
          <w:sz w:val="14"/>
          <w:szCs w:val="14"/>
        </w:rPr>
        <w:t>Los contratos que se celebren en Colombia y deban ejecutarse o cumplirse en el extranjero, podrán someterse a la ley extranjera”.</w:t>
      </w:r>
    </w:p>
  </w:footnote>
  <w:footnote w:id="6">
    <w:p w:rsidRPr="0071238F" w:rsidR="00AF36D0" w:rsidP="00AF36D0" w:rsidRDefault="00AF36D0" w14:paraId="1B6357DC" w14:textId="77777777">
      <w:pPr>
        <w:pStyle w:val="Textonotapie"/>
        <w:ind w:firstLine="709"/>
        <w:jc w:val="both"/>
        <w:rPr>
          <w:rFonts w:ascii="Century Gothic" w:hAnsi="Century Gothic" w:cs="Arial"/>
          <w:color w:val="000000" w:themeColor="text1"/>
          <w:sz w:val="14"/>
          <w:szCs w:val="14"/>
          <w:lang w:val="es-ES_tradnl"/>
        </w:rPr>
      </w:pPr>
      <w:r w:rsidRPr="0071238F">
        <w:rPr>
          <w:rStyle w:val="Refdenotaalpie"/>
          <w:rFonts w:ascii="Century Gothic" w:hAnsi="Century Gothic" w:cs="Arial"/>
          <w:sz w:val="14"/>
          <w:szCs w:val="14"/>
        </w:rPr>
        <w:footnoteRef/>
      </w:r>
      <w:r w:rsidRPr="0071238F">
        <w:rPr>
          <w:rFonts w:ascii="Century Gothic" w:hAnsi="Century Gothic" w:cs="Arial"/>
          <w:color w:val="000000" w:themeColor="text1"/>
          <w:sz w:val="14"/>
          <w:szCs w:val="14"/>
        </w:rPr>
        <w:t xml:space="preserve"> Consejo de Estado. Sección Tercera, Subsección C. Sentencia del 26 de noviembre de 2015. </w:t>
      </w:r>
      <w:proofErr w:type="spellStart"/>
      <w:r w:rsidRPr="0071238F">
        <w:rPr>
          <w:rFonts w:ascii="Century Gothic" w:hAnsi="Century Gothic" w:cs="Arial"/>
          <w:color w:val="000000" w:themeColor="text1"/>
          <w:sz w:val="14"/>
          <w:szCs w:val="14"/>
          <w:lang w:val="es-ES_tradnl"/>
        </w:rPr>
        <w:t>Exp</w:t>
      </w:r>
      <w:proofErr w:type="spellEnd"/>
      <w:r w:rsidRPr="0071238F">
        <w:rPr>
          <w:rFonts w:ascii="Century Gothic" w:hAnsi="Century Gothic" w:cs="Arial"/>
          <w:color w:val="000000" w:themeColor="text1"/>
          <w:sz w:val="14"/>
          <w:szCs w:val="14"/>
          <w:lang w:val="es-ES_tradnl"/>
        </w:rPr>
        <w:t xml:space="preserve">. </w:t>
      </w:r>
      <w:r w:rsidRPr="0071238F">
        <w:rPr>
          <w:rFonts w:ascii="Century Gothic" w:hAnsi="Century Gothic" w:cs="Arial"/>
          <w:color w:val="000000" w:themeColor="text1"/>
          <w:sz w:val="14"/>
          <w:szCs w:val="14"/>
          <w:lang w:val="es-CO"/>
        </w:rPr>
        <w:t xml:space="preserve">54.069. C.P Jaime Orlando Santofimio Gamboa. </w:t>
      </w:r>
    </w:p>
  </w:footnote>
  <w:footnote w:id="7">
    <w:p w:rsidRPr="0071238F" w:rsidR="00AF36D0" w:rsidP="00AF36D0" w:rsidRDefault="00AF36D0" w14:paraId="4D2E4C2B" w14:textId="77777777">
      <w:pPr>
        <w:pStyle w:val="Textonotapie"/>
        <w:ind w:firstLine="709"/>
        <w:jc w:val="both"/>
        <w:rPr>
          <w:rFonts w:ascii="Century Gothic" w:hAnsi="Century Gothic" w:cs="Arial"/>
          <w:color w:val="000000" w:themeColor="text1"/>
          <w:sz w:val="14"/>
          <w:szCs w:val="14"/>
          <w:lang w:eastAsia="es-CO"/>
        </w:rPr>
      </w:pPr>
      <w:r w:rsidRPr="0071238F">
        <w:rPr>
          <w:rStyle w:val="Refdenotaalpie"/>
          <w:rFonts w:ascii="Century Gothic" w:hAnsi="Century Gothic" w:cs="Arial"/>
          <w:sz w:val="14"/>
          <w:szCs w:val="14"/>
        </w:rPr>
        <w:footnoteRef/>
      </w:r>
      <w:r w:rsidRPr="0071238F">
        <w:rPr>
          <w:rFonts w:ascii="Century Gothic" w:hAnsi="Century Gothic" w:cs="Arial"/>
          <w:color w:val="000000" w:themeColor="text1"/>
          <w:sz w:val="14"/>
          <w:szCs w:val="14"/>
        </w:rPr>
        <w:t xml:space="preserve"> </w:t>
      </w:r>
      <w:r w:rsidRPr="0071238F">
        <w:rPr>
          <w:rFonts w:ascii="Century Gothic" w:hAnsi="Century Gothic" w:cs="Arial"/>
          <w:color w:val="000000" w:themeColor="text1"/>
          <w:sz w:val="14"/>
          <w:szCs w:val="14"/>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w:t>
      </w:r>
      <w:r w:rsidRPr="0071238F">
        <w:rPr>
          <w:rFonts w:ascii="Century Gothic" w:hAnsi="Century Gothic" w:cs="Arial"/>
          <w:color w:val="000000" w:themeColor="text1"/>
          <w:sz w:val="14"/>
          <w:szCs w:val="14"/>
          <w:lang w:eastAsia="es-CO"/>
        </w:rPr>
        <w:t xml:space="preserve"> adjudicación y cláusulas especiales de ejecución, cumplimiento, pago y ajustes”. (Derogado por el artículo 32 de la Ley 1150 de 2007).</w:t>
      </w:r>
    </w:p>
  </w:footnote>
  <w:footnote w:id="8">
    <w:p w:rsidRPr="0071238F" w:rsidR="00AF36D0" w:rsidP="00AF36D0" w:rsidRDefault="00AF36D0" w14:paraId="042CDEC6" w14:textId="77777777">
      <w:pPr>
        <w:pStyle w:val="NormalWeb"/>
        <w:spacing w:before="0" w:beforeAutospacing="0" w:after="0" w:afterAutospacing="0"/>
        <w:ind w:firstLine="709"/>
        <w:jc w:val="both"/>
        <w:rPr>
          <w:rFonts w:ascii="Century Gothic" w:hAnsi="Century Gothic" w:cs="Arial"/>
          <w:color w:val="000000" w:themeColor="text1"/>
          <w:sz w:val="14"/>
          <w:szCs w:val="14"/>
        </w:rPr>
      </w:pPr>
      <w:r w:rsidRPr="0071238F">
        <w:rPr>
          <w:rStyle w:val="Refdenotaalpie"/>
          <w:rFonts w:ascii="Century Gothic" w:hAnsi="Century Gothic" w:cs="Arial"/>
          <w:sz w:val="14"/>
          <w:szCs w:val="14"/>
        </w:rPr>
        <w:footnoteRef/>
      </w:r>
      <w:r w:rsidRPr="0071238F">
        <w:rPr>
          <w:rFonts w:ascii="Century Gothic" w:hAnsi="Century Gothic" w:cs="Arial"/>
          <w:color w:val="000000" w:themeColor="text1"/>
          <w:sz w:val="14"/>
          <w:szCs w:val="14"/>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rsidRPr="0071238F" w:rsidR="00AF36D0" w:rsidP="00AF36D0" w:rsidRDefault="00AF36D0" w14:paraId="486AFA8A" w14:textId="77777777">
      <w:pPr>
        <w:pStyle w:val="NormalWeb"/>
        <w:spacing w:before="0" w:beforeAutospacing="0" w:after="0" w:afterAutospacing="0"/>
        <w:ind w:firstLine="709"/>
        <w:jc w:val="both"/>
        <w:rPr>
          <w:rFonts w:ascii="Century Gothic" w:hAnsi="Century Gothic" w:cs="Arial"/>
          <w:color w:val="000000" w:themeColor="text1"/>
          <w:sz w:val="14"/>
          <w:szCs w:val="14"/>
        </w:rPr>
      </w:pPr>
      <w:r w:rsidRPr="0071238F">
        <w:rPr>
          <w:rFonts w:ascii="Century Gothic" w:hAnsi="Century Gothic" w:cs="Arial"/>
          <w:color w:val="000000" w:themeColor="text1"/>
          <w:sz w:val="14"/>
          <w:szCs w:val="14"/>
        </w:rPr>
        <w:t xml:space="preserve">Los contratos o convenios celebrados con </w:t>
      </w:r>
      <w:bookmarkStart w:name="_Hlk148436103" w:id="16"/>
      <w:r w:rsidRPr="0071238F">
        <w:rPr>
          <w:rFonts w:ascii="Century Gothic" w:hAnsi="Century Gothic" w:cs="Arial"/>
          <w:color w:val="000000" w:themeColor="text1"/>
          <w:sz w:val="14"/>
          <w:szCs w:val="14"/>
        </w:rPr>
        <w:t>personas extranjeras de derecho público u organismos de derecho internacional</w:t>
      </w:r>
      <w:bookmarkEnd w:id="16"/>
      <w:r w:rsidRPr="0071238F">
        <w:rPr>
          <w:rFonts w:ascii="Century Gothic" w:hAnsi="Century Gothic" w:cs="Arial"/>
          <w:color w:val="000000" w:themeColor="text1"/>
          <w:sz w:val="14"/>
          <w:szCs w:val="14"/>
        </w:rPr>
        <w:t xml:space="preserve">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rsidRPr="0071238F" w:rsidR="00AF36D0" w:rsidP="00AF36D0" w:rsidRDefault="00AF36D0" w14:paraId="4B1A6B34" w14:textId="77777777">
      <w:pPr>
        <w:pStyle w:val="NormalWeb"/>
        <w:spacing w:before="0" w:beforeAutospacing="0" w:after="0" w:afterAutospacing="0"/>
        <w:ind w:firstLine="709"/>
        <w:jc w:val="both"/>
        <w:rPr>
          <w:rFonts w:ascii="Century Gothic" w:hAnsi="Century Gothic" w:cs="Arial"/>
          <w:color w:val="000000" w:themeColor="text1"/>
          <w:sz w:val="14"/>
          <w:szCs w:val="14"/>
        </w:rPr>
      </w:pPr>
      <w:r w:rsidRPr="0071238F">
        <w:rPr>
          <w:rFonts w:ascii="Century Gothic" w:hAnsi="Century Gothic" w:cs="Arial"/>
          <w:color w:val="000000" w:themeColor="text1"/>
          <w:sz w:val="14"/>
          <w:szCs w:val="14"/>
        </w:rPr>
        <w:t>Las entidades estatales no podrán celebrar contratos o convenios para la administración o gerencia de sus recursos propios o de aquellos que les asignen los presupuestos públicos, con organismos de cooperación, asistencia o ayuda internacional.</w:t>
      </w:r>
    </w:p>
    <w:p w:rsidRPr="0071238F" w:rsidR="00AF36D0" w:rsidP="00AF36D0" w:rsidRDefault="00AF36D0" w14:paraId="4F8F9962" w14:textId="77777777">
      <w:pPr>
        <w:pStyle w:val="NormalWeb"/>
        <w:spacing w:before="0" w:beforeAutospacing="0" w:after="0" w:afterAutospacing="0"/>
        <w:ind w:firstLine="709"/>
        <w:jc w:val="both"/>
        <w:rPr>
          <w:rFonts w:ascii="Century Gothic" w:hAnsi="Century Gothic" w:cs="Arial"/>
          <w:color w:val="000000" w:themeColor="text1"/>
          <w:sz w:val="14"/>
          <w:szCs w:val="14"/>
        </w:rPr>
      </w:pPr>
      <w:r w:rsidRPr="0071238F">
        <w:rPr>
          <w:rStyle w:val="baj"/>
          <w:rFonts w:ascii="Century Gothic" w:hAnsi="Century Gothic" w:cs="Arial"/>
          <w:color w:val="000000" w:themeColor="text1"/>
          <w:sz w:val="14"/>
          <w:szCs w:val="14"/>
        </w:rPr>
        <w:t>PARÁGRAFO 1o.</w:t>
      </w:r>
      <w:r w:rsidRPr="0071238F">
        <w:rPr>
          <w:rFonts w:ascii="Century Gothic" w:hAnsi="Century Gothic" w:cs="Arial"/>
          <w:color w:val="000000" w:themeColor="text1"/>
          <w:sz w:val="14"/>
          <w:szCs w:val="14"/>
        </w:rPr>
        <w:t> </w:t>
      </w:r>
      <w:bookmarkStart w:name="_Hlk148436375" w:id="17"/>
      <w:r w:rsidRPr="0071238F">
        <w:rPr>
          <w:rFonts w:ascii="Century Gothic" w:hAnsi="Century Gothic" w:cs="Arial"/>
          <w:color w:val="000000" w:themeColor="text1"/>
          <w:sz w:val="14"/>
          <w:szCs w:val="14"/>
        </w:rPr>
        <w:t xml:space="preserve">Los contratos o acuerdos celebrados con personas extranjeras de derecho </w:t>
      </w:r>
      <w:proofErr w:type="gramStart"/>
      <w:r w:rsidRPr="0071238F">
        <w:rPr>
          <w:rFonts w:ascii="Century Gothic" w:hAnsi="Century Gothic" w:cs="Arial"/>
          <w:color w:val="000000" w:themeColor="text1"/>
          <w:sz w:val="14"/>
          <w:szCs w:val="14"/>
        </w:rPr>
        <w:t>público,</w:t>
      </w:r>
      <w:proofErr w:type="gramEnd"/>
      <w:r w:rsidRPr="0071238F">
        <w:rPr>
          <w:rFonts w:ascii="Century Gothic" w:hAnsi="Century Gothic" w:cs="Arial"/>
          <w:color w:val="000000" w:themeColor="text1"/>
          <w:sz w:val="14"/>
          <w:szCs w:val="14"/>
        </w:rPr>
        <w:t xml:space="preserve"> podrán someterse a las reglas de tales organismos</w:t>
      </w:r>
      <w:bookmarkEnd w:id="17"/>
      <w:r w:rsidRPr="0071238F">
        <w:rPr>
          <w:rFonts w:ascii="Century Gothic" w:hAnsi="Century Gothic" w:cs="Arial"/>
          <w:color w:val="000000" w:themeColor="text1"/>
          <w:sz w:val="14"/>
          <w:szCs w:val="14"/>
        </w:rPr>
        <w:t>.</w:t>
      </w:r>
    </w:p>
    <w:p w:rsidRPr="0071238F" w:rsidR="00AF36D0" w:rsidP="00AF36D0" w:rsidRDefault="00AF36D0" w14:paraId="52FC293B" w14:textId="77777777">
      <w:pPr>
        <w:pStyle w:val="NormalWeb"/>
        <w:spacing w:before="0" w:beforeAutospacing="0" w:after="0" w:afterAutospacing="0"/>
        <w:ind w:firstLine="709"/>
        <w:jc w:val="both"/>
        <w:rPr>
          <w:rFonts w:ascii="Century Gothic" w:hAnsi="Century Gothic" w:cs="Arial"/>
          <w:color w:val="000000" w:themeColor="text1"/>
          <w:sz w:val="14"/>
          <w:szCs w:val="14"/>
        </w:rPr>
      </w:pPr>
      <w:r w:rsidRPr="0071238F">
        <w:rPr>
          <w:rStyle w:val="baj"/>
          <w:rFonts w:ascii="Century Gothic" w:hAnsi="Century Gothic" w:cs="Arial"/>
          <w:color w:val="000000" w:themeColor="text1"/>
          <w:sz w:val="14"/>
          <w:szCs w:val="14"/>
        </w:rPr>
        <w:t>PARÁGRAFO 2o.</w:t>
      </w:r>
      <w:r w:rsidRPr="0071238F">
        <w:rPr>
          <w:rFonts w:ascii="Century Gothic" w:hAnsi="Century Gothic" w:cs="Arial"/>
          <w:color w:val="000000" w:themeColor="text1"/>
          <w:sz w:val="14"/>
          <w:szCs w:val="14"/>
        </w:rPr>
        <w:t> Las entidades estatales tendrán la obligación de reportar la información a los organismos de control y al Secop relativa a la ejecución de los contratos a los que se refiere el presente artículo.</w:t>
      </w:r>
    </w:p>
    <w:p w:rsidRPr="0071238F" w:rsidR="00AF36D0" w:rsidP="00AF36D0" w:rsidRDefault="00AF36D0" w14:paraId="2EC6941A" w14:textId="77777777">
      <w:pPr>
        <w:pStyle w:val="NormalWeb"/>
        <w:spacing w:before="0" w:beforeAutospacing="0" w:after="0" w:afterAutospacing="0"/>
        <w:ind w:firstLine="709"/>
        <w:jc w:val="both"/>
        <w:rPr>
          <w:rFonts w:ascii="Century Gothic" w:hAnsi="Century Gothic" w:cs="Arial"/>
          <w:color w:val="000000" w:themeColor="text1"/>
          <w:sz w:val="14"/>
          <w:szCs w:val="14"/>
        </w:rPr>
      </w:pPr>
      <w:r w:rsidRPr="0071238F">
        <w:rPr>
          <w:rStyle w:val="baj"/>
          <w:rFonts w:ascii="Century Gothic" w:hAnsi="Century Gothic" w:cs="Arial"/>
          <w:color w:val="000000" w:themeColor="text1"/>
          <w:sz w:val="14"/>
          <w:szCs w:val="14"/>
        </w:rPr>
        <w:t>PARÁGRAFO 3o.</w:t>
      </w:r>
      <w:r w:rsidRPr="0071238F">
        <w:rPr>
          <w:rFonts w:ascii="Century Gothic" w:hAnsi="Century Gothic" w:cs="Arial"/>
          <w:color w:val="000000" w:themeColor="text1"/>
          <w:sz w:val="14"/>
          <w:szCs w:val="14"/>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 w:id="9">
    <w:p w:rsidRPr="0071238F" w:rsidR="00AF36D0" w:rsidP="00AF36D0" w:rsidRDefault="00AF36D0" w14:paraId="132C70DB" w14:textId="77777777">
      <w:pPr>
        <w:pStyle w:val="NormalWeb"/>
        <w:shd w:val="clear" w:color="auto" w:fill="FFFFFF"/>
        <w:spacing w:before="0" w:beforeAutospacing="0" w:after="0" w:afterAutospacing="0"/>
        <w:ind w:firstLine="709"/>
        <w:jc w:val="both"/>
        <w:rPr>
          <w:rFonts w:ascii="Century Gothic" w:hAnsi="Century Gothic" w:cs="Arial"/>
          <w:color w:val="000000" w:themeColor="text1"/>
          <w:sz w:val="14"/>
          <w:szCs w:val="14"/>
        </w:rPr>
      </w:pPr>
      <w:r w:rsidRPr="0071238F">
        <w:rPr>
          <w:rStyle w:val="Refdenotaalpie"/>
          <w:rFonts w:ascii="Century Gothic" w:hAnsi="Century Gothic" w:cs="Arial"/>
          <w:sz w:val="14"/>
          <w:szCs w:val="14"/>
        </w:rPr>
        <w:footnoteRef/>
      </w:r>
      <w:r w:rsidRPr="0071238F">
        <w:rPr>
          <w:rFonts w:ascii="Century Gothic" w:hAnsi="Century Gothic" w:cs="Arial"/>
          <w:color w:val="000000" w:themeColor="text1"/>
          <w:sz w:val="14"/>
          <w:szCs w:val="14"/>
        </w:rPr>
        <w:t xml:space="preserve"> Decreto 1082 de 2015. “Artículo </w:t>
      </w:r>
      <w:r w:rsidRPr="0071238F">
        <w:rPr>
          <w:rStyle w:val="Textoennegrita"/>
          <w:rFonts w:ascii="Century Gothic" w:hAnsi="Century Gothic" w:cs="Arial"/>
          <w:b w:val="0"/>
          <w:color w:val="000000" w:themeColor="text1"/>
          <w:sz w:val="14"/>
          <w:szCs w:val="14"/>
        </w:rPr>
        <w:t>2.2.1.2.4.4.1.</w:t>
      </w:r>
      <w:r w:rsidRPr="0071238F">
        <w:rPr>
          <w:rStyle w:val="Textoennegrita"/>
          <w:rFonts w:ascii="Century Gothic" w:hAnsi="Century Gothic" w:cs="Arial"/>
          <w:color w:val="000000" w:themeColor="text1"/>
          <w:sz w:val="14"/>
          <w:szCs w:val="14"/>
        </w:rPr>
        <w:t> </w:t>
      </w:r>
      <w:r w:rsidRPr="0071238F">
        <w:rPr>
          <w:rStyle w:val="nfasis"/>
          <w:rFonts w:ascii="Century Gothic" w:hAnsi="Century Gothic" w:cs="Arial"/>
          <w:color w:val="000000" w:themeColor="text1"/>
          <w:sz w:val="14"/>
          <w:szCs w:val="14"/>
        </w:rPr>
        <w:t>Régimen aplicable a los contratos o convenios de cooperación Internacional. </w:t>
      </w:r>
      <w:r w:rsidRPr="0071238F">
        <w:rPr>
          <w:rFonts w:ascii="Century Gothic" w:hAnsi="Century Gothic" w:cs="Arial"/>
          <w:color w:val="000000" w:themeColor="text1"/>
          <w:sz w:val="14"/>
          <w:szCs w:val="14"/>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rsidRPr="0071238F" w:rsidR="00AF36D0" w:rsidP="00AF36D0" w:rsidRDefault="00AF36D0" w14:paraId="2AF23902" w14:textId="77777777">
      <w:pPr>
        <w:pStyle w:val="NormalWeb"/>
        <w:shd w:val="clear" w:color="auto" w:fill="FFFFFF"/>
        <w:spacing w:before="0" w:beforeAutospacing="0" w:after="0" w:afterAutospacing="0"/>
        <w:ind w:firstLine="709"/>
        <w:jc w:val="both"/>
        <w:rPr>
          <w:rFonts w:ascii="Century Gothic" w:hAnsi="Century Gothic" w:cs="Arial"/>
          <w:color w:val="000000" w:themeColor="text1"/>
          <w:sz w:val="14"/>
          <w:szCs w:val="14"/>
        </w:rPr>
      </w:pPr>
      <w:r w:rsidRPr="0071238F">
        <w:rPr>
          <w:rFonts w:ascii="Century Gothic" w:hAnsi="Century Gothic" w:cs="Arial"/>
          <w:i/>
          <w:color w:val="000000" w:themeColor="text1"/>
          <w:sz w:val="14"/>
          <w:szCs w:val="14"/>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71238F">
        <w:rPr>
          <w:rFonts w:ascii="Century Gothic" w:hAnsi="Century Gothic" w:cs="Arial"/>
          <w:color w:val="000000" w:themeColor="text1"/>
          <w:sz w:val="14"/>
          <w:szCs w:val="14"/>
        </w:rPr>
        <w:t>.</w:t>
      </w:r>
    </w:p>
    <w:p w:rsidRPr="0071238F" w:rsidR="00AF36D0" w:rsidP="00AF36D0" w:rsidRDefault="00AF36D0" w14:paraId="2981C517" w14:textId="77777777">
      <w:pPr>
        <w:pStyle w:val="NormalWeb"/>
        <w:shd w:val="clear" w:color="auto" w:fill="FFFFFF"/>
        <w:spacing w:before="0" w:beforeAutospacing="0" w:after="0" w:afterAutospacing="0"/>
        <w:ind w:firstLine="709"/>
        <w:jc w:val="both"/>
        <w:rPr>
          <w:rFonts w:ascii="Century Gothic" w:hAnsi="Century Gothic" w:cs="Arial"/>
          <w:color w:val="000000" w:themeColor="text1"/>
          <w:sz w:val="14"/>
          <w:szCs w:val="14"/>
        </w:rPr>
      </w:pPr>
      <w:r w:rsidRPr="0071238F">
        <w:rPr>
          <w:rFonts w:ascii="Century Gothic" w:hAnsi="Century Gothic" w:cs="Arial"/>
          <w:color w:val="000000" w:themeColor="text1"/>
          <w:sz w:val="14"/>
          <w:szCs w:val="14"/>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rsidRPr="0071238F" w:rsidR="00AF36D0" w:rsidP="00AF36D0" w:rsidRDefault="00AF36D0" w14:paraId="7272C225" w14:textId="77777777">
      <w:pPr>
        <w:pStyle w:val="NormalWeb"/>
        <w:shd w:val="clear" w:color="auto" w:fill="FFFFFF"/>
        <w:spacing w:before="0" w:beforeAutospacing="0" w:after="0" w:afterAutospacing="0"/>
        <w:ind w:firstLine="709"/>
        <w:jc w:val="both"/>
        <w:rPr>
          <w:rFonts w:ascii="Century Gothic" w:hAnsi="Century Gothic" w:cs="Arial"/>
          <w:color w:val="000000" w:themeColor="text1"/>
          <w:sz w:val="14"/>
          <w:szCs w:val="14"/>
        </w:rPr>
      </w:pPr>
      <w:r w:rsidRPr="0071238F">
        <w:rPr>
          <w:rFonts w:ascii="Century Gothic" w:hAnsi="Century Gothic" w:cs="Arial"/>
          <w:color w:val="000000" w:themeColor="text1"/>
          <w:sz w:val="14"/>
          <w:szCs w:val="14"/>
        </w:rPr>
        <w:t>Los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rsidRPr="0071238F" w:rsidR="00AF36D0" w:rsidP="00AF36D0" w:rsidRDefault="00AF36D0" w14:paraId="378EE786" w14:textId="77777777">
      <w:pPr>
        <w:pStyle w:val="NormalWeb"/>
        <w:shd w:val="clear" w:color="auto" w:fill="FFFFFF"/>
        <w:spacing w:before="0" w:beforeAutospacing="0" w:after="0" w:afterAutospacing="0"/>
        <w:ind w:firstLine="709"/>
        <w:jc w:val="both"/>
        <w:rPr>
          <w:rFonts w:ascii="Century Gothic" w:hAnsi="Century Gothic" w:cs="Arial"/>
          <w:color w:val="000000" w:themeColor="text1"/>
          <w:sz w:val="14"/>
          <w:szCs w:val="14"/>
        </w:rPr>
      </w:pPr>
      <w:r w:rsidRPr="0071238F">
        <w:rPr>
          <w:rFonts w:ascii="Century Gothic" w:hAnsi="Century Gothic" w:cs="Arial"/>
          <w:color w:val="000000" w:themeColor="text1"/>
          <w:sz w:val="14"/>
          <w:szCs w:val="14"/>
        </w:rPr>
        <w:t>Los contratos o convenios financiados con fondos de los organismos multilaterales de crédito, entes gubernamentales extranjeros o personas extranjeras de derecho público, así como aquellos a los que se refiere el inciso 2 del artículo 20 de la </w:t>
      </w:r>
      <w:r w:rsidRPr="0071238F">
        <w:rPr>
          <w:rFonts w:ascii="Century Gothic" w:hAnsi="Century Gothic" w:cs="Arial"/>
          <w:sz w:val="14"/>
          <w:szCs w:val="14"/>
        </w:rPr>
        <w:t>Ley 1150 de 2007</w:t>
      </w:r>
      <w:r w:rsidRPr="0071238F">
        <w:rPr>
          <w:rFonts w:ascii="Century Gothic" w:hAnsi="Century Gothic" w:cs="Arial"/>
          <w:color w:val="000000" w:themeColor="text1"/>
          <w:sz w:val="14"/>
          <w:szCs w:val="14"/>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r w:rsidRPr="0071238F">
        <w:rPr>
          <w:rFonts w:ascii="Century Gothic" w:hAnsi="Century Gothic" w:cs="Arial"/>
          <w:sz w:val="14"/>
          <w:szCs w:val="14"/>
        </w:rPr>
        <w:t> Ley 1150 de 2007</w:t>
      </w:r>
      <w:r w:rsidRPr="0071238F">
        <w:rPr>
          <w:rFonts w:ascii="Century Gothic" w:hAnsi="Century Gothic" w:cs="Arial"/>
          <w:color w:val="000000" w:themeColor="text1"/>
          <w:sz w:val="14"/>
          <w:szCs w:val="14"/>
        </w:rPr>
        <w:t>.</w:t>
      </w:r>
    </w:p>
    <w:p w:rsidRPr="0071238F" w:rsidR="00AF36D0" w:rsidP="00AF36D0" w:rsidRDefault="00AF36D0" w14:paraId="0054D0AE" w14:textId="77777777">
      <w:pPr>
        <w:pStyle w:val="NormalWeb"/>
        <w:shd w:val="clear" w:color="auto" w:fill="FFFFFF"/>
        <w:spacing w:before="0" w:beforeAutospacing="0" w:after="0" w:afterAutospacing="0"/>
        <w:ind w:firstLine="709"/>
        <w:jc w:val="both"/>
        <w:rPr>
          <w:rFonts w:ascii="Century Gothic" w:hAnsi="Century Gothic" w:cs="Arial"/>
          <w:color w:val="000000" w:themeColor="text1"/>
          <w:sz w:val="14"/>
          <w:szCs w:val="14"/>
        </w:rPr>
      </w:pPr>
      <w:r w:rsidRPr="0071238F">
        <w:rPr>
          <w:rFonts w:ascii="Century Gothic" w:hAnsi="Century Gothic" w:cs="Arial"/>
          <w:color w:val="000000" w:themeColor="text1"/>
          <w:sz w:val="14"/>
          <w:szCs w:val="14"/>
        </w:rPr>
        <w:t>Los contratos con personas extranjeras de derecho público se deben celebrar y ejecutar según se acuerde entre las partes” (Énfasis fuera de texto).</w:t>
      </w:r>
    </w:p>
  </w:footnote>
  <w:footnote w:id="10">
    <w:p w:rsidRPr="0071238F" w:rsidR="00AF36D0" w:rsidP="00AF36D0" w:rsidRDefault="00AF36D0" w14:paraId="50D6643F" w14:textId="77777777">
      <w:pPr>
        <w:pStyle w:val="Textonotapie"/>
        <w:ind w:firstLine="708"/>
        <w:jc w:val="both"/>
        <w:rPr>
          <w:rFonts w:ascii="Century Gothic" w:hAnsi="Century Gothic" w:cs="Arial"/>
          <w:sz w:val="14"/>
          <w:szCs w:val="14"/>
        </w:rPr>
      </w:pPr>
      <w:r w:rsidRPr="0071238F">
        <w:rPr>
          <w:rStyle w:val="Refdenotaalpie"/>
          <w:rFonts w:ascii="Century Gothic" w:hAnsi="Century Gothic" w:cs="Arial"/>
          <w:sz w:val="14"/>
          <w:szCs w:val="14"/>
        </w:rPr>
        <w:footnoteRef/>
      </w:r>
      <w:r w:rsidRPr="0071238F">
        <w:rPr>
          <w:rFonts w:ascii="Century Gothic" w:hAnsi="Century Gothic" w:cs="Arial"/>
          <w:sz w:val="14"/>
          <w:szCs w:val="14"/>
        </w:rPr>
        <w:t xml:space="preserve"> Cfr. </w:t>
      </w:r>
      <w:hyperlink w:history="1" r:id="rId3">
        <w:r w:rsidRPr="0071238F">
          <w:rPr>
            <w:rStyle w:val="Hipervnculo"/>
            <w:rFonts w:ascii="Century Gothic" w:hAnsi="Century Gothic" w:cs="Arial"/>
            <w:sz w:val="14"/>
            <w:szCs w:val="14"/>
          </w:rPr>
          <w:t>https://colaboracion.dnp.gov.co/CDT/portalDNP/PND-2023/PND_2018-2022/pdf/bases-pnd-2018-2022.pdf</w:t>
        </w:r>
      </w:hyperlink>
      <w:r w:rsidRPr="0071238F">
        <w:rPr>
          <w:rFonts w:ascii="Century Gothic" w:hAnsi="Century Gothic" w:cs="Arial"/>
          <w:sz w:val="14"/>
          <w:szCs w:val="14"/>
        </w:rPr>
        <w:t xml:space="preserve">. </w:t>
      </w:r>
    </w:p>
    <w:p w:rsidRPr="0071238F" w:rsidR="00AF36D0" w:rsidP="00AF36D0" w:rsidRDefault="00AF36D0" w14:paraId="4BD0B834" w14:textId="77777777">
      <w:pPr>
        <w:pStyle w:val="Textonotapie"/>
        <w:ind w:firstLine="708"/>
        <w:jc w:val="both"/>
        <w:rPr>
          <w:rFonts w:ascii="Century Gothic" w:hAnsi="Century Gothic" w:cs="Arial"/>
          <w:sz w:val="14"/>
          <w:szCs w:val="14"/>
        </w:rPr>
      </w:pPr>
      <w:r w:rsidRPr="0071238F">
        <w:rPr>
          <w:rFonts w:ascii="Century Gothic" w:hAnsi="Century Gothic" w:cs="Arial"/>
          <w:sz w:val="14"/>
          <w:szCs w:val="14"/>
        </w:rPr>
        <w:t>.</w:t>
      </w:r>
    </w:p>
  </w:footnote>
  <w:footnote w:id="11">
    <w:p w:rsidRPr="0071238F" w:rsidR="00AF36D0" w:rsidP="00AF36D0" w:rsidRDefault="00AF36D0" w14:paraId="213779A9" w14:textId="77777777">
      <w:pPr>
        <w:pStyle w:val="Textonotapie"/>
        <w:ind w:firstLine="709"/>
        <w:jc w:val="both"/>
        <w:rPr>
          <w:rFonts w:ascii="Century Gothic" w:hAnsi="Century Gothic" w:cs="Arial"/>
          <w:sz w:val="14"/>
          <w:szCs w:val="14"/>
        </w:rPr>
      </w:pPr>
      <w:r w:rsidRPr="0071238F">
        <w:rPr>
          <w:rStyle w:val="Refdenotaalpie"/>
          <w:rFonts w:ascii="Century Gothic" w:hAnsi="Century Gothic" w:cs="Arial"/>
          <w:sz w:val="14"/>
          <w:szCs w:val="14"/>
        </w:rPr>
        <w:footnoteRef/>
      </w:r>
      <w:r w:rsidRPr="0071238F">
        <w:rPr>
          <w:rFonts w:ascii="Century Gothic" w:hAnsi="Century Gothic" w:cs="Arial"/>
          <w:sz w:val="14"/>
          <w:szCs w:val="14"/>
        </w:rPr>
        <w:t xml:space="preserve"> Gerencia de Recursos Físicos y Financieros. Programa Administración pública territorial. Escuela Superior de Administración Pública. Bogotá. 2008. Pág. 22.</w:t>
      </w:r>
    </w:p>
  </w:footnote>
  <w:footnote w:id="12">
    <w:p w:rsidRPr="0071238F" w:rsidR="00AF36D0" w:rsidP="00AF36D0" w:rsidRDefault="00AF36D0" w14:paraId="684308E8" w14:textId="77777777">
      <w:pPr>
        <w:pStyle w:val="Textonotapie"/>
        <w:ind w:firstLine="709"/>
        <w:jc w:val="both"/>
        <w:rPr>
          <w:rFonts w:ascii="Century Gothic" w:hAnsi="Century Gothic" w:cs="Arial"/>
          <w:sz w:val="14"/>
          <w:szCs w:val="14"/>
        </w:rPr>
      </w:pPr>
      <w:r w:rsidRPr="0071238F">
        <w:rPr>
          <w:rStyle w:val="Refdenotaalpie"/>
          <w:rFonts w:ascii="Century Gothic" w:hAnsi="Century Gothic" w:cs="Arial"/>
          <w:sz w:val="14"/>
          <w:szCs w:val="14"/>
        </w:rPr>
        <w:footnoteRef/>
      </w:r>
      <w:r w:rsidRPr="0071238F">
        <w:rPr>
          <w:rFonts w:ascii="Century Gothic" w:hAnsi="Century Gothic" w:cs="Arial"/>
          <w:sz w:val="14"/>
          <w:szCs w:val="14"/>
        </w:rPr>
        <w:t xml:space="preserve"> ROMERO ROMERO, Enrique. </w:t>
      </w:r>
      <w:r w:rsidRPr="0071238F">
        <w:rPr>
          <w:rFonts w:ascii="Century Gothic" w:hAnsi="Century Gothic" w:cs="Arial"/>
          <w:i/>
          <w:sz w:val="14"/>
          <w:szCs w:val="14"/>
        </w:rPr>
        <w:t xml:space="preserve">Presupuesto Público y Contabilidad Gubernamental.ECOE ediciones. </w:t>
      </w:r>
      <w:r w:rsidRPr="0071238F">
        <w:rPr>
          <w:rFonts w:ascii="Century Gothic" w:hAnsi="Century Gothic" w:cs="Arial"/>
          <w:sz w:val="14"/>
          <w:szCs w:val="14"/>
        </w:rPr>
        <w:t xml:space="preserve">Quinta Edición. Bogotá. 2013. </w:t>
      </w:r>
    </w:p>
  </w:footnote>
  <w:footnote w:id="13">
    <w:p w:rsidRPr="0071238F" w:rsidR="00AF36D0" w:rsidP="00AF36D0" w:rsidRDefault="00AF36D0" w14:paraId="6EB9952E" w14:textId="77777777">
      <w:pPr>
        <w:pStyle w:val="Textonotapie"/>
        <w:ind w:firstLine="709"/>
        <w:jc w:val="both"/>
        <w:rPr>
          <w:rFonts w:ascii="Century Gothic" w:hAnsi="Century Gothic" w:cs="Arial"/>
          <w:sz w:val="14"/>
          <w:szCs w:val="14"/>
        </w:rPr>
      </w:pPr>
      <w:r w:rsidRPr="0071238F">
        <w:rPr>
          <w:rStyle w:val="Refdenotaalpie"/>
          <w:rFonts w:ascii="Century Gothic" w:hAnsi="Century Gothic" w:cs="Arial"/>
          <w:sz w:val="14"/>
          <w:szCs w:val="14"/>
        </w:rPr>
        <w:footnoteRef/>
      </w:r>
      <w:r w:rsidRPr="0071238F">
        <w:rPr>
          <w:rFonts w:ascii="Century Gothic" w:hAnsi="Century Gothic" w:cs="Arial"/>
          <w:sz w:val="14"/>
          <w:szCs w:val="14"/>
        </w:rPr>
        <w:t xml:space="preserve"> ARTÍCULO 27. Los ingresos corrientes se clasificarán en tributarios y no tributarios. Los ingresos tributarios se subclasificarán en impuestos directos e indirectos, y los ingresos no tributarios comprenderán las tasas y las multas (L. 38/89, art. 20; L. 179/94, art. 55, inc. 10, y arts. 67 y 71).</w:t>
      </w:r>
    </w:p>
  </w:footnote>
  <w:footnote w:id="14">
    <w:p w:rsidRPr="0071238F" w:rsidR="00AF36D0" w:rsidP="00AF36D0" w:rsidRDefault="00AF36D0" w14:paraId="609CEAF0" w14:textId="77777777">
      <w:pPr>
        <w:pStyle w:val="Textonotapie"/>
        <w:ind w:firstLine="709"/>
        <w:jc w:val="both"/>
        <w:rPr>
          <w:rFonts w:ascii="Century Gothic" w:hAnsi="Century Gothic" w:cs="Arial"/>
          <w:sz w:val="14"/>
          <w:szCs w:val="14"/>
        </w:rPr>
      </w:pPr>
      <w:r w:rsidRPr="0071238F">
        <w:rPr>
          <w:rStyle w:val="Refdenotaalpie"/>
          <w:rFonts w:ascii="Century Gothic" w:hAnsi="Century Gothic" w:cs="Arial"/>
          <w:sz w:val="14"/>
          <w:szCs w:val="14"/>
        </w:rPr>
        <w:footnoteRef/>
      </w:r>
      <w:r w:rsidRPr="0071238F">
        <w:rPr>
          <w:rFonts w:ascii="Century Gothic" w:hAnsi="Century Gothic" w:cs="Arial"/>
          <w:sz w:val="14"/>
          <w:szCs w:val="14"/>
        </w:rPr>
        <w:t xml:space="preserve"> RESTREPO, Juan Camilo. </w:t>
      </w:r>
      <w:r w:rsidRPr="0071238F">
        <w:rPr>
          <w:rFonts w:ascii="Century Gothic" w:hAnsi="Century Gothic" w:cs="Arial"/>
          <w:i/>
          <w:sz w:val="14"/>
          <w:szCs w:val="14"/>
        </w:rPr>
        <w:t>Hacienda Pública.</w:t>
      </w:r>
      <w:r w:rsidRPr="0071238F">
        <w:rPr>
          <w:rFonts w:ascii="Century Gothic" w:hAnsi="Century Gothic" w:cs="Arial"/>
          <w:sz w:val="14"/>
          <w:szCs w:val="14"/>
        </w:rPr>
        <w:t xml:space="preserve"> Ed. Universidad Externado de Colombia. Decimo primera Edición. Bogotá. 2020. </w:t>
      </w:r>
    </w:p>
  </w:footnote>
  <w:footnote w:id="15">
    <w:p w:rsidRPr="0071238F" w:rsidR="00AF36D0" w:rsidP="00AF36D0" w:rsidRDefault="00AF36D0" w14:paraId="7EEDE24F" w14:textId="77777777">
      <w:pPr>
        <w:pStyle w:val="Textonotapie"/>
        <w:ind w:firstLine="709"/>
        <w:jc w:val="both"/>
        <w:rPr>
          <w:rFonts w:ascii="Century Gothic" w:hAnsi="Century Gothic" w:cs="Arial"/>
          <w:sz w:val="14"/>
          <w:szCs w:val="14"/>
        </w:rPr>
      </w:pPr>
      <w:r w:rsidRPr="0071238F">
        <w:rPr>
          <w:rStyle w:val="Refdenotaalpie"/>
          <w:rFonts w:ascii="Century Gothic" w:hAnsi="Century Gothic" w:cs="Arial"/>
          <w:sz w:val="14"/>
          <w:szCs w:val="14"/>
        </w:rPr>
        <w:footnoteRef/>
      </w:r>
      <w:r w:rsidRPr="0071238F">
        <w:rPr>
          <w:rFonts w:ascii="Century Gothic" w:hAnsi="Century Gothic" w:cs="Arial"/>
          <w:sz w:val="14"/>
          <w:szCs w:val="14"/>
        </w:rPr>
        <w:t xml:space="preserve"> “Artículo 29. Son contribuciones parafiscales los gravámenes establecidos con carácter obligatorio por la ley, que afectan a un determinado y único grupo social y económico y se utilizan para beneficio del propio sector. El manejo, administración y ejecución de estos recursos se hará exclusivamente en forma dispuesta en la ley que los crea y se destinarán sólo al objeto previsto en ella, lo mismo que los rendimientos y excedentes financieros que resulten al cierre del ejercicio contable.</w:t>
      </w:r>
    </w:p>
    <w:p w:rsidRPr="0071238F" w:rsidR="00AF36D0" w:rsidP="00AF36D0" w:rsidRDefault="00AF36D0" w14:paraId="070FEAD6" w14:textId="77777777">
      <w:pPr>
        <w:pStyle w:val="Textonotapie"/>
        <w:ind w:firstLine="709"/>
        <w:jc w:val="both"/>
        <w:rPr>
          <w:rFonts w:ascii="Century Gothic" w:hAnsi="Century Gothic" w:cs="Arial"/>
          <w:sz w:val="14"/>
          <w:szCs w:val="14"/>
        </w:rPr>
      </w:pPr>
      <w:r w:rsidRPr="0071238F">
        <w:rPr>
          <w:rFonts w:ascii="Century Gothic" w:hAnsi="Century Gothic" w:cs="Arial"/>
          <w:sz w:val="14"/>
          <w:szCs w:val="14"/>
        </w:rPr>
        <w:t>“Las contribuciones parafiscales administradas por los órganos que formen parte del presupuesto general de la Nación se incorporarán al presupuesto solamente para registrar la estimación de su cuantía y en capítulo separado de las rentas fiscales y su recaudo será efectuado por los órganos encargados de su administración (L. 179/94, art. 12; L. 225/95, art. 2)”.</w:t>
      </w:r>
    </w:p>
  </w:footnote>
  <w:footnote w:id="16">
    <w:p w:rsidRPr="0071238F" w:rsidR="00AF36D0" w:rsidP="00AF36D0" w:rsidRDefault="00AF36D0" w14:paraId="08B0CA38" w14:textId="77777777">
      <w:pPr>
        <w:pStyle w:val="Textonotapie"/>
        <w:ind w:firstLine="709"/>
        <w:jc w:val="both"/>
        <w:rPr>
          <w:rFonts w:ascii="Century Gothic" w:hAnsi="Century Gothic" w:cs="Arial"/>
          <w:i/>
          <w:sz w:val="14"/>
          <w:szCs w:val="14"/>
        </w:rPr>
      </w:pPr>
      <w:r w:rsidRPr="0071238F">
        <w:rPr>
          <w:rStyle w:val="Refdenotaalpie"/>
          <w:rFonts w:ascii="Century Gothic" w:hAnsi="Century Gothic" w:cs="Arial"/>
          <w:sz w:val="14"/>
          <w:szCs w:val="14"/>
        </w:rPr>
        <w:footnoteRef/>
      </w:r>
      <w:r w:rsidRPr="0071238F">
        <w:rPr>
          <w:rFonts w:ascii="Century Gothic" w:hAnsi="Century Gothic" w:cs="Arial"/>
          <w:sz w:val="14"/>
          <w:szCs w:val="14"/>
        </w:rPr>
        <w:t xml:space="preserve"> </w:t>
      </w:r>
      <w:r w:rsidRPr="0071238F">
        <w:rPr>
          <w:rFonts w:ascii="Century Gothic" w:hAnsi="Century Gothic" w:cs="Arial"/>
          <w:i/>
          <w:sz w:val="14"/>
          <w:szCs w:val="14"/>
        </w:rPr>
        <w:t xml:space="preserve">Ibíd. </w:t>
      </w:r>
    </w:p>
  </w:footnote>
  <w:footnote w:id="17">
    <w:p w:rsidRPr="0071238F" w:rsidR="00AF36D0" w:rsidP="00AF36D0" w:rsidRDefault="00AF36D0" w14:paraId="014A7BD9" w14:textId="77777777">
      <w:pPr>
        <w:pStyle w:val="Textonotapie"/>
        <w:ind w:firstLine="708"/>
        <w:rPr>
          <w:rFonts w:ascii="Century Gothic" w:hAnsi="Century Gothic" w:cs="Arial"/>
          <w:sz w:val="14"/>
          <w:szCs w:val="14"/>
        </w:rPr>
      </w:pPr>
      <w:r w:rsidRPr="0071238F">
        <w:rPr>
          <w:rStyle w:val="Refdenotaalpie"/>
          <w:rFonts w:ascii="Century Gothic" w:hAnsi="Century Gothic" w:cs="Arial"/>
          <w:sz w:val="14"/>
          <w:szCs w:val="14"/>
        </w:rPr>
        <w:footnoteRef/>
      </w:r>
      <w:r w:rsidRPr="0071238F">
        <w:rPr>
          <w:rFonts w:ascii="Century Gothic" w:hAnsi="Century Gothic" w:cs="Arial"/>
          <w:sz w:val="14"/>
          <w:szCs w:val="14"/>
        </w:rPr>
        <w:t xml:space="preserve"> Artículo 27 del Decreto 111 de 1996.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D6F55FC">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061B2A">
      <w:rPr>
        <w:rFonts w:ascii="Century Gothic" w:hAnsi="Century Gothic" w:eastAsia="Geo" w:cs="Geo"/>
        <w:bCs/>
        <w:color w:val="000000"/>
        <w:sz w:val="16"/>
        <w:szCs w:val="16"/>
        <w:lang w:eastAsia="es-CO"/>
      </w:rPr>
      <w:t>7</w:t>
    </w:r>
  </w:p>
  <w:p w:rsidRPr="004A305D" w:rsidR="004A305D" w:rsidP="004A305D" w:rsidRDefault="004A305D" w14:paraId="5E18350A" w14:textId="39FD735C">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322A85">
      <w:rPr>
        <w:rFonts w:ascii="Century Gothic" w:hAnsi="Century Gothic" w:eastAsia="Geo" w:cs="Geo"/>
        <w:sz w:val="16"/>
        <w:szCs w:val="16"/>
        <w:lang w:eastAsia="es-CO"/>
      </w:rPr>
      <w:t>2</w:t>
    </w:r>
    <w:r w:rsidRPr="004A305D">
      <w:rPr>
        <w:rFonts w:ascii="Century Gothic" w:hAnsi="Century Gothic" w:eastAsia="Geo" w:cs="Geo"/>
        <w:sz w:val="16"/>
        <w:szCs w:val="16"/>
        <w:lang w:eastAsia="es-CO"/>
      </w:rPr>
      <w:t xml:space="preserve"> DEL </w:t>
    </w:r>
    <w:r w:rsidR="002E4FD9">
      <w:rPr>
        <w:rFonts w:ascii="Century Gothic" w:hAnsi="Century Gothic" w:eastAsia="Geo" w:cs="Geo"/>
        <w:sz w:val="16"/>
        <w:szCs w:val="16"/>
        <w:lang w:eastAsia="es-CO"/>
      </w:rPr>
      <w:t>31</w:t>
    </w:r>
    <w:r w:rsidR="00CB6357">
      <w:rPr>
        <w:rFonts w:ascii="Century Gothic" w:hAnsi="Century Gothic" w:eastAsia="Geo" w:cs="Geo"/>
        <w:sz w:val="16"/>
        <w:szCs w:val="16"/>
        <w:lang w:eastAsia="es-CO"/>
      </w:rPr>
      <w:t xml:space="preserve"> </w:t>
    </w:r>
    <w:r w:rsidRPr="004A305D">
      <w:rPr>
        <w:rFonts w:ascii="Century Gothic" w:hAnsi="Century Gothic" w:eastAsia="Geo" w:cs="Geo"/>
        <w:sz w:val="16"/>
        <w:szCs w:val="16"/>
        <w:lang w:eastAsia="es-CO"/>
      </w:rPr>
      <w:t xml:space="preserve">DE </w:t>
    </w:r>
    <w:r w:rsidR="00322A85">
      <w:rPr>
        <w:rFonts w:ascii="Century Gothic" w:hAnsi="Century Gothic" w:eastAsia="Geo" w:cs="Geo"/>
        <w:sz w:val="16"/>
        <w:szCs w:val="16"/>
        <w:lang w:eastAsia="es-CO"/>
      </w:rPr>
      <w:t>AGOSTO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600" style="width:11.25pt;height:11.25pt" o:bullet="t" type="#_x0000_t75">
        <v:imagedata o:title="mso1B13" r:id="rId1"/>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C9241D"/>
    <w:multiLevelType w:val="hybridMultilevel"/>
    <w:tmpl w:val="B0B487B8"/>
    <w:lvl w:ilvl="0" w:tplc="AAC4AE08">
      <w:start w:val="1"/>
      <w:numFmt w:val="lowerRoman"/>
      <w:lvlText w:val="%1."/>
      <w:lvlJc w:val="right"/>
      <w:pPr>
        <w:ind w:left="1429" w:hanging="360"/>
      </w:pPr>
      <w:rPr>
        <w:rFonts w:ascii="Arial" w:hAnsi="Arial" w:eastAsia="Calibri"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num w:numId="1" w16cid:durableId="583297128">
    <w:abstractNumId w:val="7"/>
  </w:num>
  <w:num w:numId="2" w16cid:durableId="445544208">
    <w:abstractNumId w:val="3"/>
  </w:num>
  <w:num w:numId="3" w16cid:durableId="805388967">
    <w:abstractNumId w:val="5"/>
  </w:num>
  <w:num w:numId="4" w16cid:durableId="8641747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84836356">
    <w:abstractNumId w:val="3"/>
  </w:num>
  <w:num w:numId="6" w16cid:durableId="279265817">
    <w:abstractNumId w:val="13"/>
  </w:num>
  <w:num w:numId="7" w16cid:durableId="1703896953">
    <w:abstractNumId w:val="6"/>
  </w:num>
  <w:num w:numId="8" w16cid:durableId="2131699474">
    <w:abstractNumId w:val="12"/>
  </w:num>
  <w:num w:numId="9" w16cid:durableId="471943214">
    <w:abstractNumId w:val="8"/>
  </w:num>
  <w:num w:numId="10" w16cid:durableId="1745106200">
    <w:abstractNumId w:val="11"/>
  </w:num>
  <w:num w:numId="11" w16cid:durableId="1930113978">
    <w:abstractNumId w:val="9"/>
  </w:num>
  <w:num w:numId="12" w16cid:durableId="1400009255">
    <w:abstractNumId w:val="2"/>
  </w:num>
  <w:num w:numId="13" w16cid:durableId="2021882546">
    <w:abstractNumId w:val="4"/>
  </w:num>
  <w:num w:numId="14" w16cid:durableId="938369549">
    <w:abstractNumId w:val="14"/>
  </w:num>
  <w:num w:numId="15" w16cid:durableId="512956490">
    <w:abstractNumId w:val="10"/>
  </w:num>
  <w:num w:numId="16" w16cid:durableId="302320425">
    <w:abstractNumId w:val="0"/>
  </w:num>
  <w:num w:numId="17" w16cid:durableId="1103645313">
    <w:abstractNumId w:val="1"/>
  </w:num>
  <w:num w:numId="18" w16cid:durableId="12346555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50D88"/>
    <w:rsid w:val="00061B2A"/>
    <w:rsid w:val="00082362"/>
    <w:rsid w:val="000A683E"/>
    <w:rsid w:val="000B19B9"/>
    <w:rsid w:val="000C3BA2"/>
    <w:rsid w:val="000D0334"/>
    <w:rsid w:val="000F6486"/>
    <w:rsid w:val="00125105"/>
    <w:rsid w:val="00127233"/>
    <w:rsid w:val="001E4177"/>
    <w:rsid w:val="001F7DC6"/>
    <w:rsid w:val="002421BB"/>
    <w:rsid w:val="002707A2"/>
    <w:rsid w:val="002951A0"/>
    <w:rsid w:val="002962BC"/>
    <w:rsid w:val="002A093D"/>
    <w:rsid w:val="002A0DD0"/>
    <w:rsid w:val="002A49AC"/>
    <w:rsid w:val="002A64FD"/>
    <w:rsid w:val="002B3EE6"/>
    <w:rsid w:val="002C7A84"/>
    <w:rsid w:val="002E4FD9"/>
    <w:rsid w:val="00301085"/>
    <w:rsid w:val="00322A85"/>
    <w:rsid w:val="003448F4"/>
    <w:rsid w:val="00374F5E"/>
    <w:rsid w:val="00377E3E"/>
    <w:rsid w:val="003A779E"/>
    <w:rsid w:val="003D0F4D"/>
    <w:rsid w:val="003D5B0D"/>
    <w:rsid w:val="003E0499"/>
    <w:rsid w:val="003E1F8D"/>
    <w:rsid w:val="003F3941"/>
    <w:rsid w:val="00406575"/>
    <w:rsid w:val="0042722E"/>
    <w:rsid w:val="00435C39"/>
    <w:rsid w:val="004A1847"/>
    <w:rsid w:val="004A305D"/>
    <w:rsid w:val="004C065D"/>
    <w:rsid w:val="004F21C4"/>
    <w:rsid w:val="004F685F"/>
    <w:rsid w:val="005343A2"/>
    <w:rsid w:val="005566E8"/>
    <w:rsid w:val="00574867"/>
    <w:rsid w:val="00580287"/>
    <w:rsid w:val="00585D1D"/>
    <w:rsid w:val="00591460"/>
    <w:rsid w:val="005A2340"/>
    <w:rsid w:val="005C3777"/>
    <w:rsid w:val="005C5CDC"/>
    <w:rsid w:val="005D476C"/>
    <w:rsid w:val="006219F8"/>
    <w:rsid w:val="00665D70"/>
    <w:rsid w:val="006900D9"/>
    <w:rsid w:val="00706C16"/>
    <w:rsid w:val="0071238F"/>
    <w:rsid w:val="00756841"/>
    <w:rsid w:val="007649AB"/>
    <w:rsid w:val="00771D0C"/>
    <w:rsid w:val="007833AC"/>
    <w:rsid w:val="007845D3"/>
    <w:rsid w:val="007B268C"/>
    <w:rsid w:val="007B4E3B"/>
    <w:rsid w:val="007B7171"/>
    <w:rsid w:val="007C3DC2"/>
    <w:rsid w:val="007E5497"/>
    <w:rsid w:val="00806F5F"/>
    <w:rsid w:val="00820278"/>
    <w:rsid w:val="008843B6"/>
    <w:rsid w:val="00891928"/>
    <w:rsid w:val="008A446D"/>
    <w:rsid w:val="008D180B"/>
    <w:rsid w:val="008F0EA7"/>
    <w:rsid w:val="009045CC"/>
    <w:rsid w:val="00923EEF"/>
    <w:rsid w:val="009401F8"/>
    <w:rsid w:val="009419F9"/>
    <w:rsid w:val="00961B09"/>
    <w:rsid w:val="00965334"/>
    <w:rsid w:val="0097093E"/>
    <w:rsid w:val="009A6976"/>
    <w:rsid w:val="009C71FA"/>
    <w:rsid w:val="009C72E7"/>
    <w:rsid w:val="009E0689"/>
    <w:rsid w:val="009F3A13"/>
    <w:rsid w:val="00A122D3"/>
    <w:rsid w:val="00A17F13"/>
    <w:rsid w:val="00A20739"/>
    <w:rsid w:val="00A33C78"/>
    <w:rsid w:val="00A908FF"/>
    <w:rsid w:val="00AB02C6"/>
    <w:rsid w:val="00AB0ADB"/>
    <w:rsid w:val="00AF36D0"/>
    <w:rsid w:val="00B72CD3"/>
    <w:rsid w:val="00B72FFF"/>
    <w:rsid w:val="00BC3D36"/>
    <w:rsid w:val="00BD1292"/>
    <w:rsid w:val="00BD7F72"/>
    <w:rsid w:val="00C04FB3"/>
    <w:rsid w:val="00C079EC"/>
    <w:rsid w:val="00C330EB"/>
    <w:rsid w:val="00C633A0"/>
    <w:rsid w:val="00C754BE"/>
    <w:rsid w:val="00C76B1C"/>
    <w:rsid w:val="00CB6357"/>
    <w:rsid w:val="00CC1B26"/>
    <w:rsid w:val="00D31493"/>
    <w:rsid w:val="00D423A2"/>
    <w:rsid w:val="00D63AC2"/>
    <w:rsid w:val="00D7383B"/>
    <w:rsid w:val="00D8227D"/>
    <w:rsid w:val="00DA231B"/>
    <w:rsid w:val="00DF5254"/>
    <w:rsid w:val="00E16408"/>
    <w:rsid w:val="00E20894"/>
    <w:rsid w:val="00E245AB"/>
    <w:rsid w:val="00E2764C"/>
    <w:rsid w:val="00E27F2E"/>
    <w:rsid w:val="00E50AFE"/>
    <w:rsid w:val="00E771DC"/>
    <w:rsid w:val="00E8772A"/>
    <w:rsid w:val="00E90F6B"/>
    <w:rsid w:val="00E92C27"/>
    <w:rsid w:val="00E97D30"/>
    <w:rsid w:val="00EA0E3D"/>
    <w:rsid w:val="00EE1AA8"/>
    <w:rsid w:val="00F31EDC"/>
    <w:rsid w:val="00F462B3"/>
    <w:rsid w:val="00F5664F"/>
    <w:rsid w:val="00F666C4"/>
    <w:rsid w:val="00F76AFC"/>
    <w:rsid w:val="00FB5DD1"/>
    <w:rsid w:val="00FC2B5D"/>
    <w:rsid w:val="00FC4E9D"/>
    <w:rsid w:val="00FF1449"/>
    <w:rsid w:val="2AD5AC5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Refdecomentario">
    <w:name w:val="annotation reference"/>
    <w:basedOn w:val="Fuentedeprrafopredeter"/>
    <w:uiPriority w:val="99"/>
    <w:semiHidden/>
    <w:unhideWhenUsed/>
    <w:rsid w:val="00AF36D0"/>
    <w:rPr>
      <w:sz w:val="16"/>
      <w:szCs w:val="16"/>
    </w:rPr>
  </w:style>
  <w:style w:type="paragraph" w:styleId="Textocomentario">
    <w:name w:val="annotation text"/>
    <w:basedOn w:val="Normal"/>
    <w:link w:val="TextocomentarioCar"/>
    <w:uiPriority w:val="99"/>
    <w:unhideWhenUsed/>
    <w:rsid w:val="00AF36D0"/>
    <w:pPr>
      <w:spacing w:line="240" w:lineRule="auto"/>
    </w:pPr>
    <w:rPr>
      <w:sz w:val="20"/>
      <w:szCs w:val="20"/>
    </w:rPr>
  </w:style>
  <w:style w:type="character" w:styleId="TextocomentarioCar" w:customStyle="1">
    <w:name w:val="Texto comentario Car"/>
    <w:basedOn w:val="Fuentedeprrafopredeter"/>
    <w:link w:val="Textocomentario"/>
    <w:uiPriority w:val="99"/>
    <w:rsid w:val="00AF36D0"/>
    <w:rPr>
      <w:sz w:val="20"/>
      <w:szCs w:val="20"/>
    </w:rPr>
  </w:style>
  <w:style w:type="paragraph" w:styleId="Appelnotedebasde" w:customStyle="1">
    <w:name w:val="Appel note de bas de..."/>
    <w:basedOn w:val="Normal"/>
    <w:link w:val="Refdenotaalpie"/>
    <w:rsid w:val="00AF36D0"/>
    <w:pPr>
      <w:spacing w:line="240" w:lineRule="exact"/>
    </w:pPr>
    <w:rPr>
      <w:vertAlign w:val="superscript"/>
    </w:rPr>
  </w:style>
  <w:style w:type="character" w:styleId="NormalWebCar" w:customStyle="1">
    <w:name w:val="Normal (Web) Car"/>
    <w:link w:val="NormalWeb"/>
    <w:uiPriority w:val="99"/>
    <w:rsid w:val="00AF36D0"/>
    <w:rPr>
      <w:rFonts w:ascii="Times New Roman" w:hAnsi="Times New Roman" w:eastAsia="Times New Roman" w:cs="Times New Roman"/>
      <w:sz w:val="24"/>
      <w:szCs w:val="24"/>
      <w:lang w:eastAsia="es-CO"/>
    </w:rPr>
  </w:style>
  <w:style w:type="character" w:styleId="baj" w:customStyle="1">
    <w:name w:val="b_aj"/>
    <w:basedOn w:val="Fuentedeprrafopredeter"/>
    <w:rsid w:val="00AF36D0"/>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F36D0"/>
    <w:rPr>
      <w:rFonts w:ascii="Geomanist Light" w:hAnsi="Geomanist Light"/>
      <w:lang w:val="es-ES"/>
    </w:rPr>
  </w:style>
  <w:style w:type="character" w:styleId="Textoennegrita">
    <w:name w:val="Strong"/>
    <w:basedOn w:val="Fuentedeprrafopredeter"/>
    <w:uiPriority w:val="22"/>
    <w:qFormat/>
    <w:rsid w:val="00AF36D0"/>
    <w:rPr>
      <w:b/>
      <w:bCs/>
    </w:rPr>
  </w:style>
  <w:style w:type="character" w:styleId="nfasis">
    <w:name w:val="Emphasis"/>
    <w:basedOn w:val="Fuentedeprrafopredeter"/>
    <w:uiPriority w:val="20"/>
    <w:qFormat/>
    <w:rsid w:val="00AF36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3" Type="http://schemas.openxmlformats.org/officeDocument/2006/relationships/hyperlink" Target="https://colaboracion.dnp.gov.co/CDT/portalDNP/PND-2023/PND_2018-2022/pdf/bases-pnd-2018-2022.pdf" TargetMode="External"/><Relationship Id="rId2" Type="http://schemas.openxmlformats.org/officeDocument/2006/relationships/hyperlink" Target="http://www.secretariasenado.gov.co/senado/basedoc/ley_0080_1993.html"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3.xml><?xml version="1.0" encoding="utf-8"?>
<ds:datastoreItem xmlns:ds="http://schemas.openxmlformats.org/officeDocument/2006/customXml" ds:itemID="{58F134B3-B098-4C49-84D5-8EA60AB07E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6</cp:revision>
  <cp:lastPrinted>2023-01-10T21:18:00Z</cp:lastPrinted>
  <dcterms:created xsi:type="dcterms:W3CDTF">2023-10-18T15:00:00Z</dcterms:created>
  <dcterms:modified xsi:type="dcterms:W3CDTF">2024-06-06T21:53:48Z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