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14411A" w14:textId="43DDEAC8" w:rsidR="00871B59" w:rsidRPr="00034DD9" w:rsidRDefault="00034DD9" w:rsidP="00871B59">
      <w:pPr>
        <w:spacing w:after="0" w:line="240" w:lineRule="auto"/>
        <w:rPr>
          <w:rFonts w:ascii="Verdana" w:eastAsia="Geomanist Light" w:hAnsi="Verdana" w:cs="Arial"/>
          <w:b/>
          <w:bCs/>
          <w:color w:val="000000" w:themeColor="text1"/>
          <w:lang w:val="es-MX"/>
        </w:rPr>
      </w:pPr>
      <w:r w:rsidRPr="00034DD9">
        <w:rPr>
          <w:rFonts w:ascii="Verdana" w:eastAsia="Geomanist Light" w:hAnsi="Verdana" w:cs="Arial"/>
          <w:b/>
          <w:bCs/>
          <w:color w:val="000000" w:themeColor="text1"/>
          <w:lang w:val="es-MX"/>
        </w:rPr>
        <w:t>CONTRATO DE PRESTACIÓN DE SERVICIOS – Apoyo a la Gestión</w:t>
      </w:r>
    </w:p>
    <w:p w14:paraId="08F2E829" w14:textId="77777777" w:rsidR="00034DD9" w:rsidRDefault="00034DD9" w:rsidP="00871B59">
      <w:pPr>
        <w:spacing w:after="0" w:line="240" w:lineRule="auto"/>
        <w:rPr>
          <w:rFonts w:ascii="Verdana" w:eastAsia="Geomanist Light" w:hAnsi="Verdana" w:cs="Arial"/>
          <w:color w:val="000000" w:themeColor="text1"/>
          <w:lang w:val="es-MX"/>
        </w:rPr>
      </w:pPr>
    </w:p>
    <w:p w14:paraId="2E5E806B" w14:textId="77777777" w:rsidR="00034DD9" w:rsidRDefault="00034DD9" w:rsidP="00871B59">
      <w:pPr>
        <w:spacing w:after="0" w:line="240" w:lineRule="auto"/>
        <w:rPr>
          <w:rFonts w:ascii="Verdana" w:eastAsia="Geomanist Light" w:hAnsi="Verdana" w:cs="Arial"/>
          <w:color w:val="000000" w:themeColor="text1"/>
          <w:lang w:val="es-MX"/>
        </w:rPr>
      </w:pPr>
    </w:p>
    <w:p w14:paraId="28BF0A11" w14:textId="2CAAC544" w:rsidR="00034DD9" w:rsidRDefault="00034DD9" w:rsidP="00034DD9">
      <w:pPr>
        <w:spacing w:after="0" w:line="240" w:lineRule="auto"/>
        <w:jc w:val="both"/>
        <w:rPr>
          <w:rFonts w:ascii="Verdana" w:eastAsia="Geomanist Light" w:hAnsi="Verdana" w:cs="Arial"/>
          <w:color w:val="000000" w:themeColor="text1"/>
          <w:lang w:val="es-MX"/>
        </w:rPr>
      </w:pPr>
      <w:r w:rsidRPr="00034DD9">
        <w:rPr>
          <w:rFonts w:ascii="Verdana" w:eastAsia="Geomanist Light" w:hAnsi="Verdana" w:cs="Arial"/>
          <w:color w:val="000000" w:themeColor="text1"/>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w:t>
      </w:r>
      <w:r>
        <w:rPr>
          <w:rFonts w:ascii="Verdana" w:eastAsia="Geomanist Light" w:hAnsi="Verdana" w:cs="Arial"/>
          <w:color w:val="000000" w:themeColor="text1"/>
          <w:lang w:val="es-MX"/>
        </w:rPr>
        <w:t>.</w:t>
      </w:r>
    </w:p>
    <w:p w14:paraId="24C66BB2" w14:textId="77777777" w:rsidR="00034DD9" w:rsidRPr="007A229D" w:rsidRDefault="00034DD9" w:rsidP="00871B59">
      <w:pPr>
        <w:spacing w:after="0" w:line="240" w:lineRule="auto"/>
        <w:rPr>
          <w:rFonts w:ascii="Verdana" w:eastAsia="Geomanist Light" w:hAnsi="Verdana" w:cs="Arial"/>
          <w:color w:val="000000" w:themeColor="text1"/>
          <w:lang w:val="es-MX"/>
        </w:rPr>
      </w:pPr>
    </w:p>
    <w:p w14:paraId="50DF7748" w14:textId="01FC491D" w:rsidR="00034DD9" w:rsidRPr="00034DD9" w:rsidRDefault="00034DD9" w:rsidP="00034DD9">
      <w:pPr>
        <w:spacing w:after="0" w:line="240" w:lineRule="auto"/>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Los contratos de apoyo a la gestión en su</w:t>
      </w:r>
      <w:r w:rsidRPr="00034DD9">
        <w:rPr>
          <w:rFonts w:ascii="Verdana" w:eastAsia="Geomanist Light" w:hAnsi="Verdana" w:cs="Arial"/>
          <w:color w:val="000000" w:themeColor="text1"/>
          <w:lang w:val="es-MX"/>
        </w:rPr>
        <w:t xml:space="preserve"> objeto contractual participan de las características encaminadas a desarrollar actividades identificables e intangibles. Hay lugar a su celebración en aquellos casos en donde las necesidades de la Administración no demanden la presencia de personal profesional</w:t>
      </w:r>
      <w:r>
        <w:rPr>
          <w:rFonts w:ascii="Verdana" w:eastAsia="Geomanist Light" w:hAnsi="Verdana" w:cs="Arial"/>
          <w:color w:val="000000" w:themeColor="text1"/>
          <w:lang w:val="es-MX"/>
        </w:rPr>
        <w:t xml:space="preserve">, </w:t>
      </w:r>
      <w:r w:rsidRPr="00034DD9">
        <w:rPr>
          <w:rFonts w:ascii="Verdana" w:eastAsia="Geomanist Light" w:hAnsi="Verdana" w:cs="Arial"/>
          <w:color w:val="000000" w:themeColor="text1"/>
          <w:lang w:val="es-MX"/>
        </w:rPr>
        <w:t>en donde prima el esfuerzo físico o mecánico.</w:t>
      </w:r>
    </w:p>
    <w:p w14:paraId="4CED6EB5" w14:textId="77777777" w:rsidR="00034DD9" w:rsidRDefault="00034DD9" w:rsidP="00871B59">
      <w:pPr>
        <w:spacing w:after="0" w:line="240" w:lineRule="auto"/>
        <w:rPr>
          <w:rFonts w:ascii="Verdana" w:eastAsia="Geomanist Light" w:hAnsi="Verdana" w:cs="Arial"/>
          <w:color w:val="000000" w:themeColor="text1"/>
          <w:lang w:val="es-MX"/>
        </w:rPr>
      </w:pPr>
    </w:p>
    <w:p w14:paraId="425F767A" w14:textId="77777777" w:rsidR="00034DD9" w:rsidRDefault="00034DD9" w:rsidP="00871B59">
      <w:pPr>
        <w:spacing w:after="0" w:line="240" w:lineRule="auto"/>
        <w:rPr>
          <w:rFonts w:ascii="Verdana" w:eastAsia="Geomanist Light" w:hAnsi="Verdana" w:cs="Arial"/>
          <w:color w:val="000000" w:themeColor="text1"/>
          <w:lang w:val="es-MX"/>
        </w:rPr>
      </w:pPr>
    </w:p>
    <w:p w14:paraId="2AB366B8" w14:textId="65200B2B" w:rsidR="00034DD9" w:rsidRPr="00034DD9" w:rsidRDefault="00034DD9" w:rsidP="00871B59">
      <w:pPr>
        <w:spacing w:after="0" w:line="240" w:lineRule="auto"/>
        <w:rPr>
          <w:rFonts w:ascii="Verdana" w:eastAsia="Geomanist Light" w:hAnsi="Verdana" w:cs="Arial"/>
          <w:b/>
          <w:bCs/>
          <w:color w:val="000000" w:themeColor="text1"/>
          <w:lang w:val="es-MX"/>
        </w:rPr>
      </w:pPr>
      <w:r w:rsidRPr="00034DD9">
        <w:rPr>
          <w:rFonts w:ascii="Verdana" w:eastAsia="Geomanist Light" w:hAnsi="Verdana" w:cs="Arial"/>
          <w:b/>
          <w:bCs/>
          <w:color w:val="000000" w:themeColor="text1"/>
          <w:lang w:val="es-MX"/>
        </w:rPr>
        <w:t>SERVICIOS LOGÍSTICOS</w:t>
      </w:r>
    </w:p>
    <w:p w14:paraId="0A4131AF" w14:textId="77777777" w:rsidR="00034DD9" w:rsidRDefault="00034DD9" w:rsidP="00871B59">
      <w:pPr>
        <w:spacing w:after="0" w:line="240" w:lineRule="auto"/>
        <w:rPr>
          <w:rFonts w:ascii="Verdana" w:eastAsia="Geomanist Light" w:hAnsi="Verdana" w:cs="Arial"/>
          <w:color w:val="000000" w:themeColor="text1"/>
          <w:lang w:val="es-MX"/>
        </w:rPr>
      </w:pPr>
    </w:p>
    <w:p w14:paraId="7C83D8FA" w14:textId="77777777" w:rsidR="00034DD9" w:rsidRDefault="00034DD9" w:rsidP="00871B59">
      <w:pPr>
        <w:spacing w:after="0" w:line="240" w:lineRule="auto"/>
        <w:rPr>
          <w:rFonts w:ascii="Verdana" w:eastAsia="Geomanist Light" w:hAnsi="Verdana" w:cs="Arial"/>
          <w:color w:val="000000" w:themeColor="text1"/>
          <w:lang w:val="es-MX"/>
        </w:rPr>
      </w:pPr>
    </w:p>
    <w:p w14:paraId="3CD2D8CD" w14:textId="6C14775B" w:rsidR="00034DD9" w:rsidRDefault="00034DD9" w:rsidP="00034DD9">
      <w:pPr>
        <w:spacing w:after="0" w:line="240" w:lineRule="auto"/>
        <w:jc w:val="both"/>
        <w:rPr>
          <w:rFonts w:ascii="Verdana" w:eastAsia="Geomanist Light" w:hAnsi="Verdana" w:cs="Arial"/>
          <w:color w:val="000000" w:themeColor="text1"/>
          <w:lang w:val="es-MX"/>
        </w:rPr>
      </w:pPr>
      <w:r>
        <w:rPr>
          <w:rFonts w:ascii="Verdana" w:eastAsia="Geomanist Light" w:hAnsi="Verdana" w:cs="Arial"/>
          <w:color w:val="000000" w:themeColor="text1"/>
          <w:lang w:val="es-MX"/>
        </w:rPr>
        <w:t xml:space="preserve">Es </w:t>
      </w:r>
      <w:r w:rsidRPr="00034DD9">
        <w:rPr>
          <w:rFonts w:ascii="Verdana" w:eastAsia="Geomanist Light" w:hAnsi="Verdana" w:cs="Arial"/>
          <w:color w:val="000000" w:themeColor="text1"/>
          <w:lang w:val="es-MX"/>
        </w:rPr>
        <w:t>la organización, planificación, control y ejecución del flujo de bienes desde el desarrollo y compras, pasando por producción y distribución, hasta su puesta a disposición del consumidor final en orden a satisfacer las exigencias del mercado al mínimo coste y capital</w:t>
      </w:r>
      <w:r>
        <w:rPr>
          <w:rFonts w:ascii="Verdana" w:eastAsia="Geomanist Light" w:hAnsi="Verdana" w:cs="Arial"/>
          <w:color w:val="000000" w:themeColor="text1"/>
          <w:lang w:val="es-MX"/>
        </w:rPr>
        <w:t>.</w:t>
      </w:r>
    </w:p>
    <w:p w14:paraId="05F28159" w14:textId="77777777" w:rsidR="00034DD9" w:rsidRDefault="00034DD9" w:rsidP="00871B59">
      <w:pPr>
        <w:spacing w:after="0" w:line="240" w:lineRule="auto"/>
        <w:rPr>
          <w:rFonts w:ascii="Verdana" w:eastAsia="Geomanist Light" w:hAnsi="Verdana" w:cs="Arial"/>
          <w:color w:val="000000" w:themeColor="text1"/>
          <w:lang w:val="es-MX"/>
        </w:rPr>
      </w:pPr>
    </w:p>
    <w:p w14:paraId="45CC172A" w14:textId="77777777" w:rsidR="00034DD9" w:rsidRDefault="00034DD9" w:rsidP="00871B59">
      <w:pPr>
        <w:spacing w:after="0" w:line="240" w:lineRule="auto"/>
        <w:rPr>
          <w:rFonts w:ascii="Verdana" w:eastAsia="Geomanist Light" w:hAnsi="Verdana" w:cs="Arial"/>
          <w:color w:val="000000" w:themeColor="text1"/>
          <w:lang w:val="es-MX"/>
        </w:rPr>
      </w:pPr>
    </w:p>
    <w:p w14:paraId="6971AB22" w14:textId="77777777" w:rsidR="00034DD9" w:rsidRDefault="00034DD9" w:rsidP="00871B59">
      <w:pPr>
        <w:spacing w:after="0" w:line="240" w:lineRule="auto"/>
        <w:rPr>
          <w:rFonts w:ascii="Verdana" w:eastAsia="Geomanist Light" w:hAnsi="Verdana" w:cs="Arial"/>
          <w:color w:val="000000" w:themeColor="text1"/>
          <w:lang w:val="es-MX"/>
        </w:rPr>
      </w:pPr>
    </w:p>
    <w:p w14:paraId="6A335AB9" w14:textId="77777777" w:rsidR="00034DD9" w:rsidRDefault="00034DD9" w:rsidP="00871B59">
      <w:pPr>
        <w:spacing w:after="0" w:line="240" w:lineRule="auto"/>
        <w:rPr>
          <w:rFonts w:ascii="Verdana" w:eastAsia="Geomanist Light" w:hAnsi="Verdana" w:cs="Arial"/>
          <w:color w:val="000000" w:themeColor="text1"/>
          <w:lang w:val="es-MX"/>
        </w:rPr>
      </w:pPr>
    </w:p>
    <w:p w14:paraId="7272973C" w14:textId="77777777" w:rsidR="00034DD9" w:rsidRDefault="00034DD9" w:rsidP="00871B59">
      <w:pPr>
        <w:spacing w:after="0" w:line="240" w:lineRule="auto"/>
        <w:rPr>
          <w:rFonts w:ascii="Verdana" w:eastAsia="Geomanist Light" w:hAnsi="Verdana" w:cs="Arial"/>
          <w:color w:val="000000" w:themeColor="text1"/>
          <w:lang w:val="es-MX"/>
        </w:rPr>
      </w:pPr>
    </w:p>
    <w:p w14:paraId="4FB99A38" w14:textId="77777777" w:rsidR="00034DD9" w:rsidRDefault="00034DD9" w:rsidP="00871B59">
      <w:pPr>
        <w:spacing w:after="0" w:line="240" w:lineRule="auto"/>
        <w:rPr>
          <w:rFonts w:ascii="Verdana" w:eastAsia="Geomanist Light" w:hAnsi="Verdana" w:cs="Arial"/>
          <w:color w:val="000000" w:themeColor="text1"/>
          <w:lang w:val="es-MX"/>
        </w:rPr>
      </w:pPr>
    </w:p>
    <w:p w14:paraId="1DFB31CB" w14:textId="77777777" w:rsidR="00034DD9" w:rsidRDefault="00034DD9" w:rsidP="00871B59">
      <w:pPr>
        <w:spacing w:after="0" w:line="240" w:lineRule="auto"/>
        <w:rPr>
          <w:rFonts w:ascii="Verdana" w:eastAsia="Geomanist Light" w:hAnsi="Verdana" w:cs="Arial"/>
          <w:color w:val="000000" w:themeColor="text1"/>
          <w:lang w:val="es-MX"/>
        </w:rPr>
      </w:pPr>
    </w:p>
    <w:p w14:paraId="6DC5AC9C" w14:textId="77777777" w:rsidR="00034DD9" w:rsidRDefault="00034DD9" w:rsidP="00871B59">
      <w:pPr>
        <w:spacing w:after="0" w:line="240" w:lineRule="auto"/>
        <w:rPr>
          <w:rFonts w:ascii="Verdana" w:eastAsia="Geomanist Light" w:hAnsi="Verdana" w:cs="Arial"/>
          <w:color w:val="000000" w:themeColor="text1"/>
          <w:lang w:val="es-MX"/>
        </w:rPr>
      </w:pPr>
    </w:p>
    <w:p w14:paraId="4D4EE32A" w14:textId="77777777" w:rsidR="00034DD9" w:rsidRDefault="00034DD9" w:rsidP="00871B59">
      <w:pPr>
        <w:spacing w:after="0" w:line="240" w:lineRule="auto"/>
        <w:rPr>
          <w:rFonts w:ascii="Verdana" w:eastAsia="Geomanist Light" w:hAnsi="Verdana" w:cs="Arial"/>
          <w:color w:val="000000" w:themeColor="text1"/>
          <w:lang w:val="es-MX"/>
        </w:rPr>
      </w:pPr>
    </w:p>
    <w:p w14:paraId="17A54A43" w14:textId="77777777" w:rsidR="00034DD9" w:rsidRDefault="00034DD9" w:rsidP="00871B59">
      <w:pPr>
        <w:spacing w:after="0" w:line="240" w:lineRule="auto"/>
        <w:rPr>
          <w:rFonts w:ascii="Verdana" w:eastAsia="Geomanist Light" w:hAnsi="Verdana" w:cs="Arial"/>
          <w:color w:val="000000" w:themeColor="text1"/>
          <w:lang w:val="es-MX"/>
        </w:rPr>
      </w:pPr>
    </w:p>
    <w:p w14:paraId="4381D623" w14:textId="77777777" w:rsidR="00871B59" w:rsidRPr="007A229D" w:rsidRDefault="00871B59" w:rsidP="00871B59">
      <w:pPr>
        <w:spacing w:after="0" w:line="240" w:lineRule="auto"/>
        <w:rPr>
          <w:rFonts w:ascii="Verdana" w:eastAsia="Geomanist Light" w:hAnsi="Verdana" w:cs="Arial"/>
          <w:color w:val="000000" w:themeColor="text1"/>
          <w:lang w:val="es-MX"/>
        </w:rPr>
      </w:pPr>
    </w:p>
    <w:p w14:paraId="59D3F114" w14:textId="77777777" w:rsidR="00160766" w:rsidRDefault="00160766" w:rsidP="00871B59">
      <w:pPr>
        <w:spacing w:after="0" w:line="240" w:lineRule="auto"/>
        <w:rPr>
          <w:rFonts w:ascii="Verdana" w:eastAsia="Geomanist Light" w:hAnsi="Verdana" w:cs="Arial"/>
          <w:color w:val="000000" w:themeColor="text1"/>
          <w:lang w:val="es-MX"/>
        </w:rPr>
      </w:pPr>
    </w:p>
    <w:p w14:paraId="6700D6DA" w14:textId="77777777" w:rsidR="00871B59" w:rsidRPr="007A229D" w:rsidRDefault="00871B59" w:rsidP="00871B59">
      <w:pPr>
        <w:spacing w:after="0" w:line="240" w:lineRule="auto"/>
        <w:rPr>
          <w:rFonts w:ascii="Verdana" w:eastAsia="Geomanist Light" w:hAnsi="Verdana" w:cs="Arial"/>
          <w:color w:val="201F1E"/>
          <w:lang w:val="es-MX"/>
        </w:rPr>
      </w:pPr>
      <w:r w:rsidRPr="007A229D">
        <w:rPr>
          <w:rFonts w:ascii="Verdana" w:eastAsia="Geomanist Light" w:hAnsi="Verdana" w:cs="Arial"/>
          <w:color w:val="000000" w:themeColor="text1"/>
          <w:lang w:val="es-MX"/>
        </w:rPr>
        <w:t>Bogotá D.C., </w:t>
      </w:r>
      <w:r w:rsidRPr="007A229D">
        <w:rPr>
          <w:rFonts w:ascii="Verdana" w:eastAsia="Geomanist Light" w:hAnsi="Verdana" w:cs="Arial"/>
          <w:color w:val="201F1E"/>
          <w:lang w:val="es-MX"/>
        </w:rPr>
        <w:t>[Día] de [</w:t>
      </w:r>
      <w:proofErr w:type="spellStart"/>
      <w:r w:rsidRPr="007A229D">
        <w:rPr>
          <w:rFonts w:ascii="Verdana" w:eastAsia="Geomanist Light" w:hAnsi="Verdana" w:cs="Arial"/>
          <w:color w:val="201F1E"/>
          <w:lang w:val="es-MX"/>
        </w:rPr>
        <w:t>Mes.NombreCapitalizado</w:t>
      </w:r>
      <w:proofErr w:type="spellEnd"/>
      <w:r w:rsidRPr="007A229D">
        <w:rPr>
          <w:rFonts w:ascii="Verdana" w:eastAsia="Geomanist Light" w:hAnsi="Verdana" w:cs="Arial"/>
          <w:color w:val="201F1E"/>
          <w:lang w:val="es-MX"/>
        </w:rPr>
        <w:t>] de [Año]</w:t>
      </w:r>
    </w:p>
    <w:p w14:paraId="263F56BE" w14:textId="3E5A2A6C" w:rsidR="00871B59" w:rsidRPr="007A229D" w:rsidRDefault="00871B59" w:rsidP="00871B59">
      <w:pPr>
        <w:spacing w:after="0" w:line="240" w:lineRule="auto"/>
        <w:jc w:val="both"/>
        <w:rPr>
          <w:rFonts w:ascii="Verdana" w:eastAsia="Calibri" w:hAnsi="Verdana" w:cs="Arial"/>
          <w:color w:val="000000"/>
          <w:lang w:val="es-ES"/>
        </w:rPr>
      </w:pPr>
    </w:p>
    <w:p w14:paraId="31522A26" w14:textId="2F9885EC" w:rsidR="007A229D" w:rsidRDefault="00EA4777" w:rsidP="00100934">
      <w:pPr>
        <w:autoSpaceDE w:val="0"/>
        <w:autoSpaceDN w:val="0"/>
        <w:adjustRightInd w:val="0"/>
        <w:spacing w:after="0" w:line="276" w:lineRule="auto"/>
        <w:jc w:val="both"/>
        <w:rPr>
          <w:rFonts w:ascii="Verdana" w:eastAsia="Calibri" w:hAnsi="Verdana" w:cs="Arial"/>
        </w:rPr>
      </w:pPr>
      <w:r w:rsidRPr="00EA4777">
        <w:rPr>
          <w:rFonts w:ascii="Verdana" w:eastAsia="Calibri" w:hAnsi="Verdana" w:cs="Arial"/>
          <w:noProof/>
        </w:rPr>
        <w:drawing>
          <wp:anchor distT="0" distB="0" distL="114300" distR="114300" simplePos="0" relativeHeight="251658240" behindDoc="1" locked="0" layoutInCell="1" allowOverlap="1" wp14:anchorId="39E55524" wp14:editId="0E4F9181">
            <wp:simplePos x="0" y="0"/>
            <wp:positionH relativeFrom="column">
              <wp:posOffset>2831465</wp:posOffset>
            </wp:positionH>
            <wp:positionV relativeFrom="paragraph">
              <wp:posOffset>6350</wp:posOffset>
            </wp:positionV>
            <wp:extent cx="3305175" cy="1047750"/>
            <wp:effectExtent l="0" t="0" r="9525" b="0"/>
            <wp:wrapNone/>
            <wp:docPr id="6420251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25153" name=""/>
                    <pic:cNvPicPr/>
                  </pic:nvPicPr>
                  <pic:blipFill>
                    <a:blip r:embed="rId11">
                      <a:extLst>
                        <a:ext uri="{28A0092B-C50C-407E-A947-70E740481C1C}">
                          <a14:useLocalDpi xmlns:a14="http://schemas.microsoft.com/office/drawing/2010/main" val="0"/>
                        </a:ext>
                      </a:extLst>
                    </a:blip>
                    <a:stretch>
                      <a:fillRect/>
                    </a:stretch>
                  </pic:blipFill>
                  <pic:spPr>
                    <a:xfrm>
                      <a:off x="0" y="0"/>
                      <a:ext cx="3305175" cy="1047750"/>
                    </a:xfrm>
                    <a:prstGeom prst="rect">
                      <a:avLst/>
                    </a:prstGeom>
                  </pic:spPr>
                </pic:pic>
              </a:graphicData>
            </a:graphic>
          </wp:anchor>
        </w:drawing>
      </w:r>
    </w:p>
    <w:p w14:paraId="4F1187B1" w14:textId="0FBF0E69" w:rsidR="00100934" w:rsidRPr="007A229D" w:rsidRDefault="00100934" w:rsidP="00100934">
      <w:pPr>
        <w:autoSpaceDE w:val="0"/>
        <w:autoSpaceDN w:val="0"/>
        <w:adjustRightInd w:val="0"/>
        <w:spacing w:after="0" w:line="276" w:lineRule="auto"/>
        <w:jc w:val="both"/>
        <w:rPr>
          <w:rFonts w:ascii="Verdana" w:eastAsia="Calibri" w:hAnsi="Verdana" w:cs="Arial"/>
        </w:rPr>
      </w:pPr>
      <w:r w:rsidRPr="007A229D">
        <w:rPr>
          <w:rFonts w:ascii="Verdana" w:eastAsia="Calibri" w:hAnsi="Verdana" w:cs="Arial"/>
        </w:rPr>
        <w:t>Señor</w:t>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r w:rsidR="00EA4777">
        <w:rPr>
          <w:rFonts w:ascii="Verdana" w:eastAsia="Calibri" w:hAnsi="Verdana" w:cs="Arial"/>
        </w:rPr>
        <w:tab/>
      </w:r>
    </w:p>
    <w:p w14:paraId="6E8F63FB" w14:textId="3B7D60A8" w:rsidR="00100934" w:rsidRPr="007A229D" w:rsidRDefault="00100934" w:rsidP="00100934">
      <w:pPr>
        <w:autoSpaceDE w:val="0"/>
        <w:autoSpaceDN w:val="0"/>
        <w:adjustRightInd w:val="0"/>
        <w:spacing w:after="0" w:line="276" w:lineRule="auto"/>
        <w:jc w:val="both"/>
        <w:rPr>
          <w:rFonts w:ascii="Verdana" w:eastAsia="Calibri" w:hAnsi="Verdana" w:cs="Arial"/>
          <w:b/>
          <w:bCs/>
        </w:rPr>
      </w:pPr>
      <w:r w:rsidRPr="007A229D">
        <w:rPr>
          <w:rFonts w:ascii="Verdana" w:eastAsia="Calibri" w:hAnsi="Verdana" w:cs="Arial"/>
          <w:b/>
          <w:bCs/>
        </w:rPr>
        <w:t>Rubén Darío Córdoba Rosero</w:t>
      </w:r>
    </w:p>
    <w:p w14:paraId="0DFB9211" w14:textId="77777777" w:rsidR="00100934" w:rsidRPr="007A229D" w:rsidRDefault="008307CF" w:rsidP="00100934">
      <w:pPr>
        <w:autoSpaceDE w:val="0"/>
        <w:autoSpaceDN w:val="0"/>
        <w:adjustRightInd w:val="0"/>
        <w:spacing w:after="0" w:line="276" w:lineRule="auto"/>
        <w:jc w:val="both"/>
        <w:rPr>
          <w:rFonts w:ascii="Verdana" w:eastAsia="Calibri" w:hAnsi="Verdana" w:cs="Arial"/>
        </w:rPr>
      </w:pPr>
      <w:hyperlink r:id="rId12" w:history="1">
        <w:r w:rsidR="00100934" w:rsidRPr="007A229D">
          <w:rPr>
            <w:rFonts w:ascii="Verdana" w:eastAsia="Calibri" w:hAnsi="Verdana" w:cs="Arial"/>
            <w:color w:val="0563C1" w:themeColor="hyperlink"/>
            <w:u w:val="single"/>
          </w:rPr>
          <w:t>rubencordoba5@gmail.com</w:t>
        </w:r>
      </w:hyperlink>
    </w:p>
    <w:p w14:paraId="071F4FA6" w14:textId="77777777" w:rsidR="00100934" w:rsidRPr="007A229D" w:rsidRDefault="00100934" w:rsidP="00100934">
      <w:pPr>
        <w:autoSpaceDE w:val="0"/>
        <w:autoSpaceDN w:val="0"/>
        <w:adjustRightInd w:val="0"/>
        <w:spacing w:after="0" w:line="276" w:lineRule="auto"/>
        <w:jc w:val="both"/>
        <w:rPr>
          <w:rFonts w:ascii="Verdana" w:eastAsia="Calibri" w:hAnsi="Verdana" w:cs="Arial"/>
        </w:rPr>
      </w:pPr>
      <w:r w:rsidRPr="007A229D">
        <w:rPr>
          <w:rFonts w:ascii="Verdana" w:eastAsia="Calibri" w:hAnsi="Verdana" w:cs="Arial"/>
        </w:rPr>
        <w:t>Cali, Valle del Cauca</w:t>
      </w:r>
    </w:p>
    <w:p w14:paraId="75545CBA" w14:textId="573F52FE" w:rsidR="00871B59" w:rsidRPr="007A229D" w:rsidRDefault="00100934" w:rsidP="00100934">
      <w:pPr>
        <w:spacing w:after="0" w:line="240" w:lineRule="auto"/>
        <w:rPr>
          <w:rFonts w:ascii="Verdana" w:eastAsia="Calibri" w:hAnsi="Verdana" w:cs="Arial"/>
          <w:b/>
          <w:bCs/>
          <w:color w:val="000000"/>
          <w:lang w:val="es-ES_tradnl" w:eastAsia="es-ES_tradnl"/>
        </w:rPr>
      </w:pPr>
      <w:r w:rsidRPr="007A229D">
        <w:rPr>
          <w:rFonts w:ascii="Verdana" w:eastAsia="Times New Roman" w:hAnsi="Verdana" w:cs="Arial"/>
          <w:lang w:eastAsia="es-CO"/>
        </w:rPr>
        <w:tab/>
      </w:r>
      <w:r w:rsidRPr="007A229D">
        <w:rPr>
          <w:rFonts w:ascii="Verdana" w:eastAsia="Times New Roman" w:hAnsi="Verdana" w:cs="Arial"/>
          <w:lang w:eastAsia="es-CO"/>
        </w:rPr>
        <w:tab/>
      </w:r>
      <w:r w:rsidRPr="007A229D">
        <w:rPr>
          <w:rFonts w:ascii="Verdana" w:eastAsia="Times New Roman" w:hAnsi="Verdana" w:cs="Arial"/>
          <w:lang w:eastAsia="es-CO"/>
        </w:rPr>
        <w:tab/>
      </w:r>
    </w:p>
    <w:p w14:paraId="40764CBF" w14:textId="77777777" w:rsidR="00871B59" w:rsidRPr="007A229D" w:rsidRDefault="00871B59" w:rsidP="00871B59">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7A229D" w14:paraId="6AC1791A" w14:textId="77777777">
        <w:trPr>
          <w:trHeight w:val="884"/>
        </w:trPr>
        <w:tc>
          <w:tcPr>
            <w:tcW w:w="2689" w:type="dxa"/>
          </w:tcPr>
          <w:p w14:paraId="156B1AEC" w14:textId="77777777" w:rsidR="00871B59" w:rsidRPr="007A229D" w:rsidRDefault="00871B59">
            <w:pPr>
              <w:jc w:val="both"/>
              <w:rPr>
                <w:rFonts w:ascii="Verdana" w:eastAsia="Calibri" w:hAnsi="Verdana" w:cs="Arial"/>
                <w:b/>
                <w:bCs/>
                <w:lang w:val="es-ES_tradnl" w:eastAsia="es-ES_tradnl"/>
              </w:rPr>
            </w:pPr>
          </w:p>
        </w:tc>
        <w:tc>
          <w:tcPr>
            <w:tcW w:w="6100" w:type="dxa"/>
          </w:tcPr>
          <w:p w14:paraId="48F499EA" w14:textId="6E418CE7" w:rsidR="00871B59" w:rsidRPr="007A229D" w:rsidRDefault="00871B59">
            <w:pPr>
              <w:jc w:val="both"/>
              <w:rPr>
                <w:rFonts w:ascii="Verdana" w:eastAsia="Calibri" w:hAnsi="Verdana" w:cs="Arial"/>
                <w:b/>
                <w:bCs/>
                <w:lang w:val="es-ES" w:eastAsia="es-ES"/>
              </w:rPr>
            </w:pPr>
            <w:r w:rsidRPr="007A229D">
              <w:rPr>
                <w:rFonts w:ascii="Verdana" w:eastAsia="Calibri" w:hAnsi="Verdana" w:cs="Arial"/>
                <w:b/>
                <w:bCs/>
                <w:lang w:val="es-ES" w:eastAsia="es-ES"/>
              </w:rPr>
              <w:t xml:space="preserve">Concepto C- </w:t>
            </w:r>
            <w:r w:rsidR="00100934" w:rsidRPr="007A229D">
              <w:rPr>
                <w:rFonts w:ascii="Verdana" w:eastAsia="Calibri" w:hAnsi="Verdana" w:cs="Arial"/>
                <w:b/>
                <w:bCs/>
                <w:lang w:val="es-ES" w:eastAsia="es-ES"/>
              </w:rPr>
              <w:t>266</w:t>
            </w:r>
            <w:r w:rsidRPr="007A229D">
              <w:rPr>
                <w:rFonts w:ascii="Verdana" w:eastAsia="Calibri" w:hAnsi="Verdana" w:cs="Arial"/>
                <w:b/>
                <w:bCs/>
                <w:lang w:val="es-ES" w:eastAsia="es-ES"/>
              </w:rPr>
              <w:t xml:space="preserve"> de 2024</w:t>
            </w:r>
          </w:p>
        </w:tc>
      </w:tr>
      <w:tr w:rsidR="00871B59" w:rsidRPr="007A229D" w14:paraId="0DD246A7" w14:textId="77777777">
        <w:trPr>
          <w:trHeight w:val="884"/>
        </w:trPr>
        <w:tc>
          <w:tcPr>
            <w:tcW w:w="2689" w:type="dxa"/>
          </w:tcPr>
          <w:p w14:paraId="1B4FC525" w14:textId="77777777" w:rsidR="00871B59" w:rsidRPr="007A229D" w:rsidRDefault="00871B59">
            <w:pPr>
              <w:jc w:val="both"/>
              <w:rPr>
                <w:rFonts w:ascii="Verdana" w:eastAsia="Calibri" w:hAnsi="Verdana" w:cs="Arial"/>
                <w:color w:val="000000"/>
                <w:lang w:val="es-ES_tradnl" w:eastAsia="es-ES_tradnl"/>
              </w:rPr>
            </w:pPr>
            <w:r w:rsidRPr="007A229D">
              <w:rPr>
                <w:rFonts w:ascii="Verdana" w:eastAsia="Calibri" w:hAnsi="Verdana" w:cs="Arial"/>
                <w:b/>
                <w:color w:val="000000"/>
                <w:lang w:val="es-ES_tradnl" w:eastAsia="es-ES_tradnl"/>
              </w:rPr>
              <w:t>Temas:</w:t>
            </w:r>
            <w:r w:rsidRPr="007A229D">
              <w:rPr>
                <w:rFonts w:ascii="Verdana" w:eastAsia="Calibri" w:hAnsi="Verdana" w:cs="Arial"/>
                <w:color w:val="000000"/>
                <w:lang w:val="es-ES_tradnl" w:eastAsia="es-ES_tradnl"/>
              </w:rPr>
              <w:t xml:space="preserve">                   </w:t>
            </w:r>
          </w:p>
        </w:tc>
        <w:tc>
          <w:tcPr>
            <w:tcW w:w="6100" w:type="dxa"/>
          </w:tcPr>
          <w:p w14:paraId="5C23EF56" w14:textId="62D5533A" w:rsidR="00100934" w:rsidRPr="007A229D" w:rsidRDefault="00100934" w:rsidP="00100934">
            <w:pPr>
              <w:jc w:val="both"/>
              <w:textAlignment w:val="baseline"/>
              <w:rPr>
                <w:rFonts w:ascii="Verdana" w:eastAsia="Times New Roman" w:hAnsi="Verdana" w:cs="Segoe UI"/>
                <w:lang w:eastAsia="es-CO"/>
              </w:rPr>
            </w:pPr>
            <w:r w:rsidRPr="007A229D">
              <w:rPr>
                <w:rFonts w:ascii="Verdana" w:eastAsia="Times New Roman" w:hAnsi="Verdana" w:cs="Segoe UI"/>
                <w:lang w:eastAsia="es-CO"/>
              </w:rPr>
              <w:t xml:space="preserve">CONTRATO DE PRESTACIÓN DE SERVICIOS - Apoyo a </w:t>
            </w:r>
            <w:r w:rsidR="009A24E9">
              <w:rPr>
                <w:rFonts w:ascii="Verdana" w:eastAsia="Times New Roman" w:hAnsi="Verdana" w:cs="Segoe UI"/>
                <w:lang w:eastAsia="es-CO"/>
              </w:rPr>
              <w:t>l</w:t>
            </w:r>
            <w:r w:rsidRPr="007A229D">
              <w:rPr>
                <w:rFonts w:ascii="Verdana" w:eastAsia="Times New Roman" w:hAnsi="Verdana" w:cs="Segoe UI"/>
                <w:lang w:eastAsia="es-CO"/>
              </w:rPr>
              <w:t>a Gestión / SERVICIOS LOGÍSTICOS</w:t>
            </w:r>
          </w:p>
          <w:p w14:paraId="69A19686" w14:textId="77777777" w:rsidR="00100934" w:rsidRPr="007A229D" w:rsidRDefault="00100934" w:rsidP="00100934">
            <w:pPr>
              <w:jc w:val="both"/>
              <w:textAlignment w:val="baseline"/>
              <w:rPr>
                <w:rFonts w:ascii="Verdana" w:eastAsia="Times New Roman" w:hAnsi="Verdana" w:cs="Segoe UI"/>
                <w:lang w:eastAsia="es-CO"/>
              </w:rPr>
            </w:pPr>
            <w:r w:rsidRPr="007A229D">
              <w:rPr>
                <w:rFonts w:ascii="Verdana" w:eastAsia="Times New Roman" w:hAnsi="Verdana" w:cs="Segoe UI"/>
                <w:lang w:eastAsia="es-CO"/>
              </w:rPr>
              <w:t> </w:t>
            </w:r>
          </w:p>
          <w:p w14:paraId="7ADD1096" w14:textId="77777777" w:rsidR="00871B59" w:rsidRPr="007A229D" w:rsidRDefault="00871B59">
            <w:pPr>
              <w:spacing w:line="276" w:lineRule="auto"/>
              <w:jc w:val="both"/>
              <w:rPr>
                <w:rFonts w:ascii="Verdana" w:eastAsia="Calibri" w:hAnsi="Verdana" w:cs="Arial"/>
                <w:lang w:eastAsia="es-ES"/>
              </w:rPr>
            </w:pPr>
          </w:p>
        </w:tc>
      </w:tr>
      <w:tr w:rsidR="00871B59" w:rsidRPr="007A229D" w14:paraId="0A874006" w14:textId="77777777">
        <w:tc>
          <w:tcPr>
            <w:tcW w:w="2689" w:type="dxa"/>
          </w:tcPr>
          <w:p w14:paraId="56ED2765" w14:textId="77777777" w:rsidR="00871B59" w:rsidRPr="007A229D" w:rsidRDefault="00871B59">
            <w:pPr>
              <w:jc w:val="both"/>
              <w:rPr>
                <w:rFonts w:ascii="Verdana" w:eastAsia="Calibri" w:hAnsi="Verdana" w:cs="Arial"/>
                <w:b/>
                <w:color w:val="7030A0"/>
                <w:lang w:val="es-ES_tradnl" w:eastAsia="es-ES_tradnl"/>
              </w:rPr>
            </w:pPr>
            <w:r w:rsidRPr="007A229D">
              <w:rPr>
                <w:rFonts w:ascii="Verdana" w:eastAsia="Calibri" w:hAnsi="Verdana" w:cs="Arial"/>
                <w:b/>
                <w:lang w:val="es-ES_tradnl" w:eastAsia="es-ES_tradnl"/>
              </w:rPr>
              <w:t>Radicación:</w:t>
            </w:r>
            <w:r w:rsidRPr="007A229D">
              <w:rPr>
                <w:rFonts w:ascii="Verdana" w:eastAsia="Calibri" w:hAnsi="Verdana" w:cs="Arial"/>
                <w:lang w:val="es-ES_tradnl" w:eastAsia="es-ES_tradnl"/>
              </w:rPr>
              <w:t xml:space="preserve">               </w:t>
            </w:r>
          </w:p>
        </w:tc>
        <w:tc>
          <w:tcPr>
            <w:tcW w:w="6100" w:type="dxa"/>
          </w:tcPr>
          <w:p w14:paraId="4C7A336D" w14:textId="77777777" w:rsidR="00100934" w:rsidRPr="007A229D" w:rsidRDefault="00100934" w:rsidP="00100934">
            <w:pPr>
              <w:jc w:val="both"/>
              <w:textAlignment w:val="baseline"/>
              <w:rPr>
                <w:rFonts w:ascii="Verdana" w:eastAsia="Times New Roman" w:hAnsi="Verdana" w:cs="Arial"/>
                <w:lang w:eastAsia="es-CO"/>
              </w:rPr>
            </w:pPr>
            <w:r w:rsidRPr="007A229D">
              <w:rPr>
                <w:rFonts w:ascii="Verdana" w:eastAsia="Times New Roman" w:hAnsi="Verdana" w:cs="Segoe UI"/>
                <w:color w:val="000000"/>
                <w:lang w:eastAsia="es-CO"/>
              </w:rPr>
              <w:t xml:space="preserve">Respuesta a consulta con radicado No. </w:t>
            </w:r>
            <w:r w:rsidRPr="007A229D">
              <w:rPr>
                <w:rFonts w:ascii="Verdana" w:eastAsia="Times New Roman" w:hAnsi="Verdana" w:cs="Arial"/>
                <w:lang w:eastAsia="es-CO"/>
              </w:rPr>
              <w:t>P20240523005385</w:t>
            </w:r>
          </w:p>
          <w:p w14:paraId="630D2668" w14:textId="01BD0BCC" w:rsidR="00871B59" w:rsidRPr="007A229D" w:rsidRDefault="00871B59">
            <w:pPr>
              <w:jc w:val="both"/>
              <w:rPr>
                <w:rFonts w:ascii="Verdana" w:eastAsia="Calibri" w:hAnsi="Verdana" w:cs="Arial"/>
                <w:color w:val="7030A0"/>
                <w:lang w:val="es-ES_tradnl" w:eastAsia="es-ES_tradnl"/>
              </w:rPr>
            </w:pPr>
          </w:p>
        </w:tc>
      </w:tr>
    </w:tbl>
    <w:p w14:paraId="01AFCA4D" w14:textId="77777777" w:rsidR="00871B59" w:rsidRPr="007A229D"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7A229D" w:rsidRDefault="00871B59" w:rsidP="00871B59">
      <w:pPr>
        <w:spacing w:after="0" w:line="240" w:lineRule="auto"/>
        <w:jc w:val="both"/>
        <w:rPr>
          <w:rFonts w:ascii="Verdana" w:eastAsia="Calibri" w:hAnsi="Verdana" w:cs="Arial"/>
          <w:color w:val="000000"/>
          <w:lang w:val="es-ES_tradnl" w:eastAsia="es-ES_tradnl"/>
        </w:rPr>
      </w:pPr>
    </w:p>
    <w:p w14:paraId="5A8CAE32" w14:textId="73ED3D14" w:rsidR="00871B59" w:rsidRPr="007A229D" w:rsidRDefault="00871B59" w:rsidP="00871B59">
      <w:pPr>
        <w:spacing w:after="0" w:line="276" w:lineRule="auto"/>
        <w:jc w:val="both"/>
        <w:rPr>
          <w:rFonts w:ascii="Verdana" w:eastAsia="Calibri" w:hAnsi="Verdana" w:cs="Arial"/>
          <w:color w:val="000000" w:themeColor="text1"/>
          <w:lang w:val="es-ES" w:eastAsia="es-ES"/>
        </w:rPr>
      </w:pPr>
      <w:r w:rsidRPr="007A229D">
        <w:rPr>
          <w:rFonts w:ascii="Verdana" w:eastAsia="Calibri" w:hAnsi="Verdana" w:cs="Arial"/>
          <w:color w:val="000000" w:themeColor="text1"/>
          <w:lang w:val="es-ES" w:eastAsia="es-ES"/>
        </w:rPr>
        <w:t>Estimado señor</w:t>
      </w:r>
      <w:r w:rsidR="00100934" w:rsidRPr="007A229D">
        <w:rPr>
          <w:rFonts w:ascii="Verdana" w:eastAsia="Calibri" w:hAnsi="Verdana" w:cs="Arial"/>
          <w:color w:val="7030A0"/>
          <w:lang w:val="es-ES" w:eastAsia="es-ES"/>
        </w:rPr>
        <w:t xml:space="preserve"> </w:t>
      </w:r>
      <w:r w:rsidR="00100934" w:rsidRPr="007A229D">
        <w:rPr>
          <w:rFonts w:ascii="Verdana" w:eastAsia="Calibri" w:hAnsi="Verdana" w:cs="Arial"/>
          <w:lang w:val="es-ES" w:eastAsia="es-ES"/>
        </w:rPr>
        <w:t>Córdoba</w:t>
      </w:r>
      <w:r w:rsidRPr="007A229D">
        <w:rPr>
          <w:rFonts w:ascii="Verdana" w:eastAsia="Calibri" w:hAnsi="Verdana" w:cs="Arial"/>
          <w:lang w:val="es-ES" w:eastAsia="es-ES"/>
        </w:rPr>
        <w:t xml:space="preserve">: </w:t>
      </w:r>
    </w:p>
    <w:p w14:paraId="62039951" w14:textId="77777777" w:rsidR="00871B59" w:rsidRPr="007A229D" w:rsidRDefault="00871B59" w:rsidP="00871B59">
      <w:pPr>
        <w:tabs>
          <w:tab w:val="left" w:pos="3768"/>
        </w:tabs>
        <w:spacing w:after="0" w:line="276" w:lineRule="auto"/>
        <w:jc w:val="both"/>
        <w:rPr>
          <w:rFonts w:ascii="Verdana" w:eastAsia="Calibri" w:hAnsi="Verdana" w:cs="Arial"/>
          <w:color w:val="000000" w:themeColor="text1"/>
          <w:lang w:val="es-ES" w:eastAsia="es-ES"/>
        </w:rPr>
      </w:pPr>
      <w:r w:rsidRPr="007A229D">
        <w:rPr>
          <w:rFonts w:ascii="Verdana" w:eastAsia="Calibri" w:hAnsi="Verdana" w:cs="Arial"/>
          <w:color w:val="000000" w:themeColor="text1"/>
          <w:lang w:val="es-ES" w:eastAsia="es-ES"/>
        </w:rPr>
        <w:tab/>
      </w:r>
    </w:p>
    <w:p w14:paraId="6DBD3E26" w14:textId="1E9E4FEA" w:rsidR="00871B59" w:rsidRDefault="00871B59" w:rsidP="007A229D">
      <w:pPr>
        <w:spacing w:after="0" w:line="276" w:lineRule="auto"/>
        <w:jc w:val="both"/>
        <w:rPr>
          <w:rFonts w:ascii="Verdana" w:eastAsia="Calibri" w:hAnsi="Verdana" w:cs="Arial"/>
          <w:lang w:val="es-ES" w:eastAsia="es-ES"/>
        </w:rPr>
      </w:pPr>
      <w:r w:rsidRPr="007A229D">
        <w:rPr>
          <w:rFonts w:ascii="Verdana" w:eastAsia="Calibri" w:hAnsi="Verdana" w:cs="Arial"/>
          <w:lang w:val="es-ES" w:eastAsia="es-ES"/>
        </w:rPr>
        <w:t>En ejercicio de la competencia otorgada por los artículos 3, numeral 5º, y 11, numeral 8º, del Decreto Ley 4170 de 2011,</w:t>
      </w:r>
      <w:r w:rsidRPr="007A229D">
        <w:rPr>
          <w:rFonts w:ascii="Verdana" w:eastAsia="Arial MT" w:hAnsi="Verdana" w:cs="Arial MT"/>
          <w:lang w:val="es-ES" w:eastAsia="es-ES"/>
        </w:rPr>
        <w:t xml:space="preserve"> </w:t>
      </w:r>
      <w:r w:rsidRPr="007A229D">
        <w:rPr>
          <w:rFonts w:ascii="Verdana" w:hAnsi="Verdana" w:cs="Arial"/>
        </w:rPr>
        <w:t xml:space="preserve">así como lo establecido en el artículo 4 de la Resolución 1707 de 2018 expedida por esta Entidad, </w:t>
      </w:r>
      <w:r w:rsidRPr="007A229D">
        <w:rPr>
          <w:rFonts w:ascii="Verdana" w:eastAsia="Calibri" w:hAnsi="Verdana" w:cs="Arial"/>
          <w:lang w:val="es-ES" w:eastAsia="es-ES"/>
        </w:rPr>
        <w:t xml:space="preserve">la Agencia Nacional de Contratación Pública – Colombia Compra Eficiente– responde su solicitud de consulta de fecha </w:t>
      </w:r>
      <w:r w:rsidR="00100934" w:rsidRPr="007A229D">
        <w:rPr>
          <w:rFonts w:ascii="Verdana" w:eastAsia="Calibri" w:hAnsi="Verdana" w:cs="Arial"/>
          <w:lang w:val="es-ES" w:eastAsia="es-ES"/>
        </w:rPr>
        <w:t>23</w:t>
      </w:r>
      <w:r w:rsidRPr="007A229D">
        <w:rPr>
          <w:rFonts w:ascii="Verdana" w:eastAsia="Calibri" w:hAnsi="Verdana" w:cs="Arial"/>
          <w:lang w:val="es-ES" w:eastAsia="es-ES"/>
        </w:rPr>
        <w:t xml:space="preserve"> de </w:t>
      </w:r>
      <w:r w:rsidR="00100934" w:rsidRPr="007A229D">
        <w:rPr>
          <w:rFonts w:ascii="Verdana" w:eastAsia="Calibri" w:hAnsi="Verdana" w:cs="Arial"/>
          <w:lang w:val="es-ES" w:eastAsia="es-ES"/>
        </w:rPr>
        <w:t xml:space="preserve">mayo </w:t>
      </w:r>
      <w:r w:rsidRPr="007A229D">
        <w:rPr>
          <w:rFonts w:ascii="Verdana" w:eastAsia="Calibri" w:hAnsi="Verdana" w:cs="Arial"/>
          <w:lang w:val="es-ES" w:eastAsia="es-ES"/>
        </w:rPr>
        <w:t>de 20</w:t>
      </w:r>
      <w:r w:rsidR="00100934" w:rsidRPr="007A229D">
        <w:rPr>
          <w:rFonts w:ascii="Verdana" w:eastAsia="Calibri" w:hAnsi="Verdana" w:cs="Arial"/>
          <w:lang w:val="es-ES" w:eastAsia="es-ES"/>
        </w:rPr>
        <w:t>24</w:t>
      </w:r>
      <w:r w:rsidRPr="007A229D">
        <w:rPr>
          <w:rFonts w:ascii="Verdana" w:eastAsia="Calibri" w:hAnsi="Verdana" w:cs="Arial"/>
          <w:lang w:val="es-ES" w:eastAsia="es-ES"/>
        </w:rPr>
        <w:t xml:space="preserve">, en la cual manifiesta lo siguiente: </w:t>
      </w:r>
    </w:p>
    <w:p w14:paraId="730A69D9" w14:textId="77777777" w:rsidR="007A229D" w:rsidRPr="007A229D" w:rsidRDefault="007A229D" w:rsidP="007A229D">
      <w:pPr>
        <w:spacing w:after="0" w:line="276" w:lineRule="auto"/>
        <w:jc w:val="both"/>
        <w:rPr>
          <w:rFonts w:ascii="Verdana" w:eastAsia="Calibri" w:hAnsi="Verdana" w:cs="Arial"/>
          <w:lang w:val="es-ES" w:eastAsia="es-ES"/>
        </w:rPr>
      </w:pPr>
    </w:p>
    <w:p w14:paraId="62EF065A"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r w:rsidRPr="007A229D">
        <w:rPr>
          <w:rFonts w:ascii="Verdana" w:hAnsi="Verdana" w:cs="Arial"/>
          <w:sz w:val="21"/>
          <w:szCs w:val="21"/>
          <w:shd w:val="clear" w:color="auto" w:fill="FFFFFF"/>
        </w:rPr>
        <w:t>“</w:t>
      </w:r>
      <w:r w:rsidRPr="007A229D">
        <w:rPr>
          <w:rFonts w:ascii="Verdana" w:hAnsi="Verdana" w:cs="Arial"/>
          <w:sz w:val="20"/>
          <w:szCs w:val="20"/>
          <w:shd w:val="clear" w:color="auto" w:fill="FFFFFF"/>
        </w:rPr>
        <w:t xml:space="preserve">Por su parte, la </w:t>
      </w:r>
      <w:proofErr w:type="gramStart"/>
      <w:r w:rsidRPr="007A229D">
        <w:rPr>
          <w:rFonts w:ascii="Verdana" w:hAnsi="Verdana" w:cs="Arial"/>
          <w:sz w:val="20"/>
          <w:szCs w:val="20"/>
          <w:shd w:val="clear" w:color="auto" w:fill="FFFFFF"/>
        </w:rPr>
        <w:t>Subdirectora</w:t>
      </w:r>
      <w:proofErr w:type="gramEnd"/>
      <w:r w:rsidRPr="007A229D">
        <w:rPr>
          <w:rFonts w:ascii="Verdana" w:hAnsi="Verdana" w:cs="Arial"/>
          <w:sz w:val="20"/>
          <w:szCs w:val="20"/>
          <w:shd w:val="clear" w:color="auto" w:fill="FFFFFF"/>
        </w:rPr>
        <w:t xml:space="preserve"> de Gestión Contractual de Colombia Compra Eficiente, en concepto de fecha 17 de abril de 2018 (respuesta a consulta # 4201700000453) en relación con la contratación de actividades logísticas, expresó:</w:t>
      </w:r>
    </w:p>
    <w:p w14:paraId="06D38AD5"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p>
    <w:p w14:paraId="7C81C293"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r w:rsidRPr="007A229D">
        <w:rPr>
          <w:rFonts w:ascii="Verdana" w:hAnsi="Verdana" w:cs="Arial"/>
          <w:sz w:val="20"/>
          <w:szCs w:val="20"/>
          <w:shd w:val="clear" w:color="auto" w:fill="FFFFFF"/>
        </w:rPr>
        <w:t>“(…) ¿Las actividades de servicios logísticos puede ser contratadas directamente?</w:t>
      </w:r>
    </w:p>
    <w:p w14:paraId="19128042"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p>
    <w:p w14:paraId="75CF2B61"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r w:rsidRPr="007A229D">
        <w:rPr>
          <w:rFonts w:ascii="Verdana" w:hAnsi="Verdana" w:cs="Arial"/>
          <w:sz w:val="20"/>
          <w:szCs w:val="20"/>
          <w:shd w:val="clear" w:color="auto" w:fill="FFFFFF"/>
        </w:rPr>
        <w:t>-COLOMBIA COMPRA EFICIENTE RESPONDE:</w:t>
      </w:r>
    </w:p>
    <w:p w14:paraId="27C02C6A"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p>
    <w:p w14:paraId="1274A1DF"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r w:rsidRPr="007A229D">
        <w:rPr>
          <w:rFonts w:ascii="Verdana" w:hAnsi="Verdana" w:cs="Arial"/>
          <w:sz w:val="20"/>
          <w:szCs w:val="20"/>
          <w:shd w:val="clear" w:color="auto" w:fill="FFFFFF"/>
        </w:rPr>
        <w:t>Sí, las Entidades Estatales pueden contratar bajo la modalidad de contratación directa la prestación de servicios profesionales y de apoyo a la gestión, sus actividades operativas, logísticas y asistenciales siempre que estas no impliquen un conocimiento profesional.</w:t>
      </w:r>
    </w:p>
    <w:p w14:paraId="1F72A6CE" w14:textId="77777777" w:rsidR="00100934" w:rsidRPr="007A229D" w:rsidRDefault="00100934" w:rsidP="00100934">
      <w:pPr>
        <w:spacing w:after="0" w:line="240" w:lineRule="auto"/>
        <w:ind w:left="709" w:right="709"/>
        <w:jc w:val="both"/>
        <w:textAlignment w:val="baseline"/>
        <w:rPr>
          <w:rFonts w:ascii="Verdana" w:hAnsi="Verdana" w:cs="Arial"/>
          <w:sz w:val="20"/>
          <w:szCs w:val="20"/>
          <w:shd w:val="clear" w:color="auto" w:fill="FFFFFF"/>
        </w:rPr>
      </w:pPr>
      <w:bookmarkStart w:id="0" w:name="_Hlk170979228"/>
      <w:r w:rsidRPr="007A229D">
        <w:rPr>
          <w:rFonts w:ascii="Verdana" w:hAnsi="Verdana" w:cs="Arial"/>
          <w:sz w:val="20"/>
          <w:szCs w:val="20"/>
          <w:shd w:val="clear" w:color="auto" w:fill="FFFFFF"/>
        </w:rPr>
        <w:t xml:space="preserve">Los contratos de prestación de servicios de apoyo a la gestión pueden versar sobre actividades logísticas, pero esto no implica que a través de este tipo de contratos puedan contratarse servicios logísticos”. </w:t>
      </w:r>
      <w:bookmarkEnd w:id="0"/>
      <w:r w:rsidRPr="007A229D">
        <w:rPr>
          <w:rFonts w:ascii="Verdana" w:hAnsi="Verdana" w:cs="Arial"/>
          <w:sz w:val="20"/>
          <w:szCs w:val="20"/>
          <w:shd w:val="clear" w:color="auto" w:fill="FFFFFF"/>
        </w:rPr>
        <w:t>(sic)</w:t>
      </w:r>
    </w:p>
    <w:p w14:paraId="54DCAD4E" w14:textId="77777777" w:rsidR="00871B59" w:rsidRPr="007A229D" w:rsidRDefault="00871B59" w:rsidP="00871B59">
      <w:pPr>
        <w:pStyle w:val="ListParagraph"/>
        <w:tabs>
          <w:tab w:val="left" w:pos="142"/>
          <w:tab w:val="left" w:pos="284"/>
        </w:tabs>
        <w:spacing w:line="276" w:lineRule="auto"/>
        <w:ind w:left="0"/>
        <w:jc w:val="both"/>
        <w:rPr>
          <w:rFonts w:ascii="Verdana" w:eastAsia="Century Gothic" w:hAnsi="Verdana" w:cs="Century Gothic"/>
          <w:b/>
          <w:bCs/>
          <w:sz w:val="20"/>
          <w:szCs w:val="20"/>
          <w:lang w:val="es-ES"/>
        </w:rPr>
      </w:pPr>
    </w:p>
    <w:p w14:paraId="30F17EAD" w14:textId="77777777" w:rsidR="00871B59" w:rsidRPr="007A229D"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7A229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A229D">
        <w:rPr>
          <w:rFonts w:ascii="Verdana" w:eastAsia="Calibri" w:hAnsi="Verdana" w:cs="Arial"/>
          <w:color w:val="000000"/>
          <w:szCs w:val="24"/>
          <w:lang w:val="es-ES_tradnl" w:eastAsia="es-ES_tradnl"/>
        </w:rPr>
        <w:tab/>
      </w:r>
    </w:p>
    <w:p w14:paraId="3B95778F" w14:textId="7416576D" w:rsidR="00871B59" w:rsidRPr="007A229D" w:rsidRDefault="00871B59" w:rsidP="00871B59">
      <w:pPr>
        <w:spacing w:after="0" w:line="276" w:lineRule="auto"/>
        <w:ind w:firstLine="709"/>
        <w:jc w:val="both"/>
        <w:rPr>
          <w:rFonts w:ascii="Verdana" w:eastAsia="Calibri" w:hAnsi="Verdana" w:cs="Arial"/>
          <w:color w:val="000000"/>
          <w:lang w:val="es-ES" w:eastAsia="es-ES"/>
        </w:rPr>
      </w:pPr>
      <w:r w:rsidRPr="007A229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7A229D">
        <w:rPr>
          <w:rFonts w:ascii="Verdana" w:eastAsia="Calibri" w:hAnsi="Verdana" w:cs="Arial"/>
          <w:color w:val="7030A0"/>
          <w:lang w:val="es-ES" w:eastAsia="es-ES"/>
        </w:rPr>
        <w:t xml:space="preserve"> </w:t>
      </w:r>
      <w:r w:rsidRPr="007A229D">
        <w:rPr>
          <w:rFonts w:ascii="Verdana" w:eastAsia="Calibri" w:hAnsi="Verdana" w:cs="Arial"/>
          <w:color w:val="000000"/>
          <w:lang w:val="es-ES" w:eastAsia="es-ES"/>
        </w:rPr>
        <w:t>problema</w:t>
      </w:r>
      <w:r w:rsidRPr="007A229D">
        <w:rPr>
          <w:rFonts w:ascii="Verdana" w:eastAsia="Calibri" w:hAnsi="Verdana" w:cs="Arial"/>
          <w:color w:val="7030A0"/>
          <w:lang w:val="es-ES" w:eastAsia="es-ES"/>
        </w:rPr>
        <w:t xml:space="preserve"> </w:t>
      </w:r>
      <w:r w:rsidRPr="007A229D">
        <w:rPr>
          <w:rFonts w:ascii="Verdana" w:eastAsia="Calibri" w:hAnsi="Verdana" w:cs="Arial"/>
          <w:color w:val="000000"/>
          <w:lang w:val="es-ES" w:eastAsia="es-ES"/>
        </w:rPr>
        <w:t>jurídic</w:t>
      </w:r>
      <w:r w:rsidR="00100934" w:rsidRPr="007A229D">
        <w:rPr>
          <w:rFonts w:ascii="Verdana" w:eastAsia="Calibri" w:hAnsi="Verdana" w:cs="Arial"/>
          <w:color w:val="000000"/>
          <w:lang w:val="es-ES" w:eastAsia="es-ES"/>
        </w:rPr>
        <w:t>o</w:t>
      </w:r>
      <w:r w:rsidRPr="007A229D">
        <w:rPr>
          <w:rFonts w:ascii="Verdana" w:eastAsia="Calibri" w:hAnsi="Verdana" w:cs="Arial"/>
          <w:color w:val="7030A0"/>
          <w:lang w:val="es-ES" w:eastAsia="es-ES"/>
        </w:rPr>
        <w:t xml:space="preserve"> </w:t>
      </w:r>
      <w:r w:rsidRPr="007A229D">
        <w:rPr>
          <w:rFonts w:ascii="Verdana" w:eastAsia="Calibri" w:hAnsi="Verdana" w:cs="Arial"/>
          <w:color w:val="000000"/>
          <w:lang w:val="es-ES" w:eastAsia="es-ES"/>
        </w:rPr>
        <w:t xml:space="preserve">de su consulta. </w:t>
      </w:r>
    </w:p>
    <w:p w14:paraId="70187214" w14:textId="77777777" w:rsidR="00871B59" w:rsidRPr="007A229D"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7A229D" w:rsidRDefault="00871B59" w:rsidP="00871B59">
      <w:pPr>
        <w:pStyle w:val="ListParagraph"/>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7A229D">
        <w:rPr>
          <w:rFonts w:ascii="Verdana" w:eastAsia="Century Gothic" w:hAnsi="Verdana" w:cs="Century Gothic"/>
          <w:b/>
          <w:bCs/>
          <w:lang w:val="es-ES"/>
        </w:rPr>
        <w:t>Problema planteado:</w:t>
      </w:r>
    </w:p>
    <w:p w14:paraId="690221EE" w14:textId="77777777" w:rsidR="00871B59" w:rsidRPr="007A229D" w:rsidRDefault="00871B59" w:rsidP="00871B59">
      <w:pPr>
        <w:tabs>
          <w:tab w:val="left" w:pos="426"/>
        </w:tabs>
        <w:spacing w:after="0" w:line="276" w:lineRule="auto"/>
        <w:jc w:val="both"/>
        <w:rPr>
          <w:rFonts w:ascii="Verdana" w:eastAsia="Century Gothic" w:hAnsi="Verdana" w:cs="Century Gothic"/>
          <w:lang w:val="es-ES"/>
        </w:rPr>
      </w:pPr>
    </w:p>
    <w:p w14:paraId="11DC9C47" w14:textId="02C7BAAA" w:rsidR="00871B59" w:rsidRPr="007A229D" w:rsidRDefault="00871B59" w:rsidP="00871B59">
      <w:pPr>
        <w:spacing w:after="0" w:line="276" w:lineRule="auto"/>
        <w:jc w:val="both"/>
        <w:rPr>
          <w:rFonts w:ascii="Verdana" w:eastAsia="Century Gothic" w:hAnsi="Verdana" w:cs="Century Gothic"/>
        </w:rPr>
      </w:pPr>
      <w:r w:rsidRPr="007A229D">
        <w:rPr>
          <w:rFonts w:ascii="Verdana" w:eastAsia="Century Gothic" w:hAnsi="Verdana" w:cs="Century Gothic"/>
        </w:rPr>
        <w:t xml:space="preserve">De acuerdo con el contenido de su solicitud, esta Agencia resolverá el siguiente problemas jurídico: </w:t>
      </w:r>
      <w:r w:rsidR="00100934" w:rsidRPr="007A229D">
        <w:rPr>
          <w:rFonts w:ascii="Verdana" w:eastAsia="Century Gothic" w:hAnsi="Verdana" w:cs="Century Gothic"/>
        </w:rPr>
        <w:t>La información sobre el concepto a la consulta con radicado 4201700000453</w:t>
      </w:r>
      <w:r w:rsidR="00100934" w:rsidRPr="007A229D">
        <w:rPr>
          <w:rFonts w:ascii="Verdana" w:eastAsia="Century Gothic" w:hAnsi="Verdana" w:cs="Century Gothic"/>
          <w:i/>
          <w:iCs/>
        </w:rPr>
        <w:t xml:space="preserve"> </w:t>
      </w:r>
      <w:r w:rsidR="00100934" w:rsidRPr="007A229D">
        <w:rPr>
          <w:rFonts w:ascii="Verdana" w:eastAsia="Century Gothic" w:hAnsi="Verdana" w:cs="Century Gothic"/>
        </w:rPr>
        <w:t>de fecha 17 de abril de 2018</w:t>
      </w:r>
      <w:r w:rsidR="007C52B1" w:rsidRPr="007A229D">
        <w:rPr>
          <w:rFonts w:ascii="Verdana" w:eastAsia="Century Gothic" w:hAnsi="Verdana" w:cs="Century Gothic"/>
        </w:rPr>
        <w:t>, sin embargo, el radicado referenciado no corresponde a la respuesta de la Agencia en indicar que la modalidad de contratación directa de la prestación de servicios de apoyo a la gestión pueden versar sobre actividades logísticas pero esto no implica que a través de este tipo de contratos pueda contratarse servicios logísticos. Es por ello</w:t>
      </w:r>
      <w:r w:rsidR="00D370A7" w:rsidRPr="007A229D">
        <w:rPr>
          <w:rFonts w:ascii="Verdana" w:eastAsia="Century Gothic" w:hAnsi="Verdana" w:cs="Century Gothic"/>
        </w:rPr>
        <w:t xml:space="preserve"> </w:t>
      </w:r>
      <w:proofErr w:type="gramStart"/>
      <w:r w:rsidR="00D370A7" w:rsidRPr="007A229D">
        <w:rPr>
          <w:rFonts w:ascii="Verdana" w:eastAsia="Century Gothic" w:hAnsi="Verdana" w:cs="Century Gothic"/>
        </w:rPr>
        <w:t>que</w:t>
      </w:r>
      <w:proofErr w:type="gramEnd"/>
      <w:r w:rsidR="00D370A7" w:rsidRPr="007A229D">
        <w:rPr>
          <w:rFonts w:ascii="Verdana" w:eastAsia="Century Gothic" w:hAnsi="Verdana" w:cs="Century Gothic"/>
        </w:rPr>
        <w:t xml:space="preserve">, </w:t>
      </w:r>
      <w:r w:rsidR="007C52B1" w:rsidRPr="007A229D">
        <w:rPr>
          <w:rFonts w:ascii="Verdana" w:eastAsia="Century Gothic" w:hAnsi="Verdana" w:cs="Century Gothic"/>
        </w:rPr>
        <w:t>para respetar el derecho fundamental al derecho a la información se responderá de fondo mediante el concepto respectivo.</w:t>
      </w:r>
    </w:p>
    <w:p w14:paraId="57640A16" w14:textId="77777777" w:rsidR="00871B59" w:rsidRPr="007A229D" w:rsidRDefault="00871B59" w:rsidP="00871B59">
      <w:pPr>
        <w:spacing w:after="0" w:line="276" w:lineRule="auto"/>
        <w:jc w:val="both"/>
        <w:rPr>
          <w:rFonts w:ascii="Verdana" w:eastAsia="Calibri" w:hAnsi="Verdana" w:cs="Arial"/>
          <w:lang w:val="es-ES"/>
        </w:rPr>
      </w:pPr>
    </w:p>
    <w:p w14:paraId="33E3D3F8" w14:textId="77777777" w:rsidR="00871B59" w:rsidRPr="007A229D" w:rsidRDefault="00871B59" w:rsidP="00871B59">
      <w:pPr>
        <w:pStyle w:val="ListParagraph"/>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A229D">
        <w:rPr>
          <w:rFonts w:ascii="Verdana" w:eastAsia="Century Gothic" w:hAnsi="Verdana" w:cs="Century Gothic"/>
          <w:b/>
          <w:bCs/>
          <w:lang w:val="es-ES"/>
        </w:rPr>
        <w:t>Respuesta:</w:t>
      </w:r>
    </w:p>
    <w:p w14:paraId="4647B31A" w14:textId="77777777" w:rsidR="00871B59" w:rsidRPr="007A229D"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7A229D" w14:paraId="14984B9D" w14:textId="77777777">
        <w:tc>
          <w:tcPr>
            <w:tcW w:w="8828" w:type="dxa"/>
            <w:shd w:val="clear" w:color="auto" w:fill="auto"/>
          </w:tcPr>
          <w:p w14:paraId="31BB751E" w14:textId="61A4586A" w:rsidR="00D370A7" w:rsidRPr="00D370A7" w:rsidRDefault="00A432FC" w:rsidP="00D370A7">
            <w:pPr>
              <w:spacing w:line="276" w:lineRule="auto"/>
              <w:jc w:val="both"/>
              <w:rPr>
                <w:rFonts w:ascii="Verdana" w:eastAsia="Calibri" w:hAnsi="Verdana" w:cs="Arial"/>
                <w:i/>
                <w:iCs/>
              </w:rPr>
            </w:pPr>
            <w:r>
              <w:rPr>
                <w:rFonts w:ascii="Verdana" w:eastAsia="Calibri" w:hAnsi="Verdana" w:cs="Arial"/>
                <w:lang w:val="es-ES"/>
              </w:rPr>
              <w:t>En la</w:t>
            </w:r>
            <w:r w:rsidR="00D370A7" w:rsidRPr="00D370A7">
              <w:rPr>
                <w:rFonts w:ascii="Verdana" w:eastAsia="Calibri" w:hAnsi="Verdana" w:cs="Arial"/>
              </w:rPr>
              <w:t xml:space="preserve"> necesidad de una entidad estatal </w:t>
            </w:r>
            <w:r>
              <w:rPr>
                <w:rFonts w:ascii="Verdana" w:eastAsia="Calibri" w:hAnsi="Verdana" w:cs="Arial"/>
              </w:rPr>
              <w:t>para</w:t>
            </w:r>
            <w:r w:rsidR="00D370A7" w:rsidRPr="00D370A7">
              <w:rPr>
                <w:rFonts w:ascii="Verdana" w:eastAsia="Calibri" w:hAnsi="Verdana" w:cs="Arial"/>
              </w:rPr>
              <w:t xml:space="preserve"> realizar actividades netamente de logística </w:t>
            </w:r>
            <w:r>
              <w:rPr>
                <w:rFonts w:ascii="Verdana" w:eastAsia="Calibri" w:hAnsi="Verdana" w:cs="Arial"/>
              </w:rPr>
              <w:t>como</w:t>
            </w:r>
            <w:r w:rsidR="00D370A7" w:rsidRPr="00D370A7">
              <w:rPr>
                <w:rFonts w:ascii="Verdana" w:eastAsia="Calibri" w:hAnsi="Verdana" w:cs="Arial"/>
              </w:rPr>
              <w:t xml:space="preserve"> organizar, administrar, planificar, coordinar áreas y servicios, disponer eventos, instalar y dotar de elementos, entre otras, se requiere acudir a la modalidad de</w:t>
            </w:r>
            <w:r>
              <w:rPr>
                <w:rFonts w:ascii="Verdana" w:eastAsia="Calibri" w:hAnsi="Verdana" w:cs="Arial"/>
              </w:rPr>
              <w:t>l</w:t>
            </w:r>
            <w:r w:rsidR="00D370A7" w:rsidRPr="00D370A7">
              <w:rPr>
                <w:rFonts w:ascii="Verdana" w:eastAsia="Calibri" w:hAnsi="Verdana" w:cs="Arial"/>
              </w:rPr>
              <w:t xml:space="preserve"> contrato atípico, por ejemplo, de servicio u operador logístico. De allí se desprende el texto final del escrito </w:t>
            </w:r>
            <w:r w:rsidR="007A229D">
              <w:rPr>
                <w:rFonts w:ascii="Verdana" w:eastAsia="Calibri" w:hAnsi="Verdana" w:cs="Arial"/>
              </w:rPr>
              <w:t>sobre</w:t>
            </w:r>
            <w:r w:rsidR="00D370A7" w:rsidRPr="00D370A7">
              <w:rPr>
                <w:rFonts w:ascii="Verdana" w:eastAsia="Calibri" w:hAnsi="Verdana" w:cs="Arial"/>
              </w:rPr>
              <w:t xml:space="preserve"> la consulta extraída de </w:t>
            </w:r>
            <w:r w:rsidR="007A229D">
              <w:rPr>
                <w:rFonts w:ascii="Verdana" w:eastAsia="Calibri" w:hAnsi="Verdana" w:cs="Arial"/>
              </w:rPr>
              <w:t>l</w:t>
            </w:r>
            <w:r w:rsidR="00D370A7" w:rsidRPr="00D370A7">
              <w:rPr>
                <w:rFonts w:ascii="Verdana" w:eastAsia="Calibri" w:hAnsi="Verdana" w:cs="Arial"/>
              </w:rPr>
              <w:t xml:space="preserve">a respuesta </w:t>
            </w:r>
            <w:r w:rsidR="007A229D">
              <w:rPr>
                <w:rFonts w:ascii="Verdana" w:eastAsia="Calibri" w:hAnsi="Verdana" w:cs="Arial"/>
              </w:rPr>
              <w:t>por</w:t>
            </w:r>
            <w:r w:rsidR="00D370A7" w:rsidRPr="00D370A7">
              <w:rPr>
                <w:rFonts w:ascii="Verdana" w:eastAsia="Calibri" w:hAnsi="Verdana" w:cs="Arial"/>
              </w:rPr>
              <w:t xml:space="preserve"> la Agencia </w:t>
            </w:r>
            <w:proofErr w:type="gramStart"/>
            <w:r w:rsidR="00D370A7" w:rsidRPr="00D370A7">
              <w:rPr>
                <w:rFonts w:ascii="Verdana" w:eastAsia="Calibri" w:hAnsi="Verdana" w:cs="Arial"/>
              </w:rPr>
              <w:t>“….</w:t>
            </w:r>
            <w:proofErr w:type="gramEnd"/>
            <w:r w:rsidR="00D370A7" w:rsidRPr="00D370A7">
              <w:rPr>
                <w:rFonts w:ascii="Verdana" w:eastAsia="Calibri" w:hAnsi="Verdana" w:cs="Arial"/>
                <w:i/>
                <w:iCs/>
              </w:rPr>
              <w:t>Los contratos de prestación de servicios de apoyo a la gestión pueden versar sobre actividades logísticas, pero esto no implica que a través de este tipo de contratos puedan contratarse servicios logísticos”.</w:t>
            </w:r>
          </w:p>
          <w:p w14:paraId="7F88BDB6" w14:textId="77777777" w:rsidR="00D370A7" w:rsidRPr="00D370A7" w:rsidRDefault="00D370A7" w:rsidP="00D370A7">
            <w:pPr>
              <w:spacing w:line="276" w:lineRule="auto"/>
              <w:jc w:val="both"/>
              <w:rPr>
                <w:rFonts w:ascii="Verdana" w:eastAsia="Calibri" w:hAnsi="Verdana" w:cs="Arial"/>
              </w:rPr>
            </w:pPr>
          </w:p>
          <w:p w14:paraId="47AEB666" w14:textId="3F4B5BB1" w:rsidR="00871B59" w:rsidRPr="007A229D" w:rsidRDefault="00D370A7" w:rsidP="00D370A7">
            <w:pPr>
              <w:spacing w:line="276" w:lineRule="auto"/>
              <w:jc w:val="both"/>
              <w:rPr>
                <w:rFonts w:ascii="Verdana" w:eastAsia="Calibri" w:hAnsi="Verdana" w:cs="Arial"/>
                <w:color w:val="7030A0"/>
                <w:lang w:val="es-ES"/>
              </w:rPr>
            </w:pPr>
            <w:r w:rsidRPr="007A229D">
              <w:rPr>
                <w:rFonts w:ascii="Verdana" w:eastAsia="Calibri" w:hAnsi="Verdana" w:cs="Arial"/>
              </w:rPr>
              <w:t>Igualmente se pronunció el Honorable Consejo de Estado, si las actividades operativas, logísticas o asistenciales no se ejecutan a través de un contrato de estas características, es decir no desarrollan actividades relacionadas con la administración o funcionamiento de la Entidad Estatal, se debe recurrir a una modalidad de selección diferente</w:t>
            </w:r>
            <w:r w:rsidR="007A229D">
              <w:rPr>
                <w:rStyle w:val="FootnoteReference"/>
                <w:rFonts w:ascii="Verdana" w:eastAsia="Calibri" w:hAnsi="Verdana" w:cs="Arial"/>
              </w:rPr>
              <w:footnoteReference w:id="2"/>
            </w:r>
          </w:p>
        </w:tc>
      </w:tr>
    </w:tbl>
    <w:p w14:paraId="3199705F" w14:textId="77777777" w:rsidR="00871B59" w:rsidRPr="007A229D"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7A229D" w:rsidRDefault="00871B59" w:rsidP="00871B59">
      <w:pPr>
        <w:pStyle w:val="ListParagraph"/>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A229D">
        <w:rPr>
          <w:rFonts w:ascii="Verdana" w:eastAsia="Century Gothic" w:hAnsi="Verdana" w:cs="Century Gothic"/>
          <w:b/>
          <w:bCs/>
          <w:lang w:val="es-ES"/>
        </w:rPr>
        <w:t>Razones de la respuesta:</w:t>
      </w:r>
    </w:p>
    <w:p w14:paraId="40393512" w14:textId="77777777" w:rsidR="00871B59" w:rsidRPr="007A229D" w:rsidRDefault="00871B59" w:rsidP="00871B59">
      <w:pPr>
        <w:spacing w:after="0" w:line="276" w:lineRule="auto"/>
        <w:jc w:val="both"/>
        <w:rPr>
          <w:rFonts w:ascii="Verdana" w:eastAsia="Calibri" w:hAnsi="Verdana" w:cs="Arial"/>
          <w:color w:val="7030A0"/>
          <w:lang w:val="es-ES"/>
        </w:rPr>
      </w:pPr>
    </w:p>
    <w:p w14:paraId="6DB5BA6B" w14:textId="77777777" w:rsidR="00871B59" w:rsidRPr="007A229D" w:rsidRDefault="00871B59" w:rsidP="00871B59">
      <w:pPr>
        <w:spacing w:after="0" w:line="276" w:lineRule="auto"/>
        <w:jc w:val="both"/>
        <w:rPr>
          <w:rFonts w:ascii="Verdana" w:eastAsia="Calibri" w:hAnsi="Verdana" w:cs="Arial"/>
          <w:lang w:val="es-ES"/>
        </w:rPr>
      </w:pPr>
      <w:r w:rsidRPr="007A229D">
        <w:rPr>
          <w:rFonts w:ascii="Verdana" w:eastAsia="Calibri" w:hAnsi="Verdana" w:cs="Arial"/>
          <w:lang w:val="es-ES"/>
        </w:rPr>
        <w:t xml:space="preserve">Lo anterior se sustenta en las siguientes consideraciones: </w:t>
      </w:r>
    </w:p>
    <w:p w14:paraId="6FBD94A1" w14:textId="77777777" w:rsidR="00871B59" w:rsidRPr="007A229D" w:rsidRDefault="00871B59" w:rsidP="00871B59">
      <w:pPr>
        <w:spacing w:after="0" w:line="276" w:lineRule="auto"/>
        <w:jc w:val="both"/>
        <w:rPr>
          <w:rFonts w:ascii="Verdana" w:eastAsia="Calibri" w:hAnsi="Verdana" w:cs="Arial"/>
          <w:color w:val="7030A0"/>
          <w:lang w:val="es-ES"/>
        </w:rPr>
      </w:pPr>
    </w:p>
    <w:p w14:paraId="579FDB81" w14:textId="77777777" w:rsidR="00D370A7" w:rsidRPr="007A229D" w:rsidRDefault="00D370A7" w:rsidP="00D370A7">
      <w:pPr>
        <w:tabs>
          <w:tab w:val="left" w:pos="0"/>
        </w:tabs>
        <w:spacing w:before="120" w:after="120" w:line="276" w:lineRule="auto"/>
        <w:ind w:firstLine="709"/>
        <w:contextualSpacing/>
        <w:jc w:val="both"/>
        <w:rPr>
          <w:rFonts w:ascii="Verdana" w:eastAsia="Calibri" w:hAnsi="Verdana" w:cs="Arial"/>
          <w:color w:val="000000" w:themeColor="text1"/>
          <w:lang w:val="es-ES_tradnl"/>
        </w:rPr>
      </w:pPr>
      <w:bookmarkStart w:id="1" w:name="_Hlk172877916"/>
      <w:r w:rsidRPr="007A229D">
        <w:rPr>
          <w:rFonts w:ascii="Verdana" w:eastAsia="Times New Roman" w:hAnsi="Verdana" w:cs="Arial"/>
          <w:color w:val="000000"/>
          <w:szCs w:val="24"/>
          <w:lang w:val="es-ES_tradnl" w:eastAsia="es-ES_tradnl"/>
        </w:rPr>
        <w:t xml:space="preserve">El contrato de prestación de servicios es un contrato </w:t>
      </w:r>
      <w:r w:rsidRPr="007A229D">
        <w:rPr>
          <w:rFonts w:ascii="Verdana" w:hAnsi="Verdana" w:cs="Arial"/>
          <w:color w:val="000000" w:themeColor="text1"/>
          <w:lang w:val="es-MX"/>
        </w:rPr>
        <w:t>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7A229D">
        <w:rPr>
          <w:rFonts w:ascii="Verdana" w:eastAsia="Calibri" w:hAnsi="Verdana" w:cs="Arial"/>
          <w:color w:val="000000" w:themeColor="text1"/>
          <w:lang w:val="es-ES_tradnl"/>
        </w:rPr>
        <w:t xml:space="preserve"> La celebración de dicho contrato debe efectuarse a través de la modalidad de contratación directa</w:t>
      </w:r>
      <w:bookmarkEnd w:id="1"/>
      <w:r w:rsidRPr="007A229D">
        <w:rPr>
          <w:rFonts w:ascii="Verdana" w:eastAsia="Calibri" w:hAnsi="Verdana" w:cs="Arial"/>
          <w:color w:val="000000" w:themeColor="text1"/>
          <w:lang w:val="es-ES_tradnl"/>
        </w:rPr>
        <w:t>. Así lo dispone el artículo 2, numeral 4º, literal h), de la Ley 1150 de 2007:</w:t>
      </w:r>
    </w:p>
    <w:p w14:paraId="2AB4BE9A" w14:textId="77777777" w:rsidR="00D370A7" w:rsidRPr="007A229D" w:rsidRDefault="00D370A7" w:rsidP="00D370A7">
      <w:pPr>
        <w:spacing w:after="0" w:line="276" w:lineRule="auto"/>
        <w:ind w:right="709"/>
        <w:contextualSpacing/>
        <w:jc w:val="both"/>
        <w:rPr>
          <w:rFonts w:ascii="Verdana" w:eastAsia="Calibri" w:hAnsi="Verdana" w:cs="Arial"/>
          <w:color w:val="000000" w:themeColor="text1"/>
          <w:sz w:val="21"/>
          <w:szCs w:val="21"/>
          <w:lang w:val="es-ES_tradnl"/>
        </w:rPr>
      </w:pPr>
    </w:p>
    <w:p w14:paraId="7300F282" w14:textId="77777777" w:rsidR="00D370A7" w:rsidRPr="007A229D" w:rsidRDefault="00D370A7" w:rsidP="00D370A7">
      <w:pPr>
        <w:spacing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eastAsia="Calibri" w:hAnsi="Verdana" w:cs="Arial"/>
          <w:color w:val="000000" w:themeColor="text1"/>
          <w:sz w:val="20"/>
          <w:szCs w:val="20"/>
          <w:lang w:val="es-MX"/>
        </w:rPr>
        <w:t>“</w:t>
      </w:r>
      <w:r w:rsidRPr="007A229D">
        <w:rPr>
          <w:rFonts w:ascii="Verdana" w:eastAsia="Times New Roman" w:hAnsi="Verdana" w:cs="Arial"/>
          <w:color w:val="000000"/>
          <w:sz w:val="20"/>
          <w:szCs w:val="20"/>
          <w:lang w:val="es-ES_tradnl" w:eastAsia="es-ES_tradnl"/>
        </w:rPr>
        <w:t>La escogencia del contratista se efectuará con arreglo a las modalidades de selección de licitación pública, selección abreviada, concurso de méritos y contratación directa, con base en las siguientes reglas:</w:t>
      </w:r>
    </w:p>
    <w:p w14:paraId="066459E5" w14:textId="77777777" w:rsidR="00D370A7" w:rsidRPr="007A229D" w:rsidRDefault="00D370A7" w:rsidP="00D370A7">
      <w:pPr>
        <w:spacing w:before="120"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eastAsia="Times New Roman" w:hAnsi="Verdana" w:cs="Arial"/>
          <w:color w:val="000000"/>
          <w:sz w:val="20"/>
          <w:szCs w:val="20"/>
          <w:lang w:val="es-ES_tradnl" w:eastAsia="es-ES_tradnl"/>
        </w:rPr>
        <w:t>[…]</w:t>
      </w:r>
    </w:p>
    <w:p w14:paraId="52D952A0" w14:textId="77777777" w:rsidR="00D370A7" w:rsidRPr="007A229D" w:rsidRDefault="00D370A7" w:rsidP="00D370A7">
      <w:pPr>
        <w:spacing w:before="120" w:after="0" w:line="240" w:lineRule="auto"/>
        <w:ind w:left="709" w:right="709"/>
        <w:jc w:val="both"/>
        <w:rPr>
          <w:rFonts w:ascii="Verdana" w:eastAsia="Times New Roman" w:hAnsi="Verdana" w:cs="Arial"/>
          <w:color w:val="000000"/>
          <w:sz w:val="20"/>
          <w:szCs w:val="20"/>
          <w:lang w:val="es-ES" w:eastAsia="es-ES"/>
        </w:rPr>
      </w:pPr>
      <w:r w:rsidRPr="007A229D">
        <w:rPr>
          <w:rFonts w:ascii="Verdana" w:eastAsia="Times New Roman" w:hAnsi="Verdana" w:cs="Arial"/>
          <w:color w:val="000000" w:themeColor="text1"/>
          <w:sz w:val="20"/>
          <w:szCs w:val="20"/>
          <w:lang w:val="es-ES" w:eastAsia="es-ES"/>
        </w:rPr>
        <w:t xml:space="preserve">4. Contratación directa. La modalidad de selección de contratación </w:t>
      </w:r>
      <w:proofErr w:type="gramStart"/>
      <w:r w:rsidRPr="007A229D">
        <w:rPr>
          <w:rFonts w:ascii="Verdana" w:eastAsia="Times New Roman" w:hAnsi="Verdana" w:cs="Arial"/>
          <w:color w:val="000000" w:themeColor="text1"/>
          <w:sz w:val="20"/>
          <w:szCs w:val="20"/>
          <w:lang w:val="es-ES" w:eastAsia="es-ES"/>
        </w:rPr>
        <w:t>directa,</w:t>
      </w:r>
      <w:proofErr w:type="gramEnd"/>
      <w:r w:rsidRPr="007A229D">
        <w:rPr>
          <w:rFonts w:ascii="Verdana" w:eastAsia="Times New Roman" w:hAnsi="Verdana" w:cs="Arial"/>
          <w:color w:val="000000" w:themeColor="text1"/>
          <w:sz w:val="20"/>
          <w:szCs w:val="20"/>
          <w:lang w:val="es-ES" w:eastAsia="es-ES"/>
        </w:rPr>
        <w:t xml:space="preserve"> solamente procederá en los siguientes casos:</w:t>
      </w:r>
    </w:p>
    <w:p w14:paraId="764392F2" w14:textId="77777777" w:rsidR="00D370A7" w:rsidRPr="007A229D" w:rsidRDefault="00D370A7" w:rsidP="00D370A7">
      <w:pPr>
        <w:spacing w:before="120"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eastAsia="Times New Roman" w:hAnsi="Verdana" w:cs="Arial"/>
          <w:color w:val="000000"/>
          <w:sz w:val="20"/>
          <w:szCs w:val="20"/>
          <w:lang w:val="es-ES_tradnl" w:eastAsia="es-ES_tradnl"/>
        </w:rPr>
        <w:t>[…]</w:t>
      </w:r>
    </w:p>
    <w:p w14:paraId="1969516A" w14:textId="77777777" w:rsidR="00D370A7" w:rsidRPr="007A229D" w:rsidRDefault="00D370A7" w:rsidP="00D370A7">
      <w:pPr>
        <w:spacing w:before="120"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eastAsia="Times New Roman" w:hAnsi="Verdana" w:cs="Arial"/>
          <w:color w:val="000000"/>
          <w:sz w:val="20"/>
          <w:szCs w:val="20"/>
          <w:lang w:val="es-ES_tradnl" w:eastAsia="es-ES_tradnl"/>
        </w:rPr>
        <w:t>h) Para la prestación de servicios profesionales y de apoyo a la gestión, o para la ejecución de trabajos artísticos que sólo puedan encomendarse a determinadas personas naturales”.</w:t>
      </w:r>
    </w:p>
    <w:p w14:paraId="786520F4" w14:textId="77777777" w:rsidR="00D370A7" w:rsidRPr="007A229D" w:rsidRDefault="00D370A7" w:rsidP="00D370A7">
      <w:pPr>
        <w:tabs>
          <w:tab w:val="left" w:pos="0"/>
        </w:tabs>
        <w:spacing w:after="0" w:line="240" w:lineRule="auto"/>
        <w:contextualSpacing/>
        <w:jc w:val="both"/>
        <w:rPr>
          <w:rFonts w:ascii="Verdana" w:hAnsi="Verdana" w:cs="Arial"/>
          <w:noProof/>
          <w:lang w:val="es-ES_tradnl"/>
        </w:rPr>
      </w:pPr>
      <w:r w:rsidRPr="007A229D">
        <w:rPr>
          <w:rFonts w:ascii="Verdana" w:hAnsi="Verdana" w:cs="Arial"/>
          <w:noProof/>
          <w:lang w:val="es-ES_tradnl"/>
        </w:rPr>
        <w:tab/>
      </w:r>
    </w:p>
    <w:p w14:paraId="5AAE1B7D" w14:textId="77777777" w:rsidR="00D370A7" w:rsidRPr="007A229D" w:rsidRDefault="00D370A7" w:rsidP="00D370A7">
      <w:pPr>
        <w:tabs>
          <w:tab w:val="left" w:pos="0"/>
        </w:tabs>
        <w:spacing w:after="0" w:line="276" w:lineRule="auto"/>
        <w:contextualSpacing/>
        <w:jc w:val="both"/>
        <w:rPr>
          <w:rFonts w:ascii="Verdana" w:hAnsi="Verdana" w:cs="Arial"/>
          <w:lang w:val="es-ES_tradnl"/>
        </w:rPr>
      </w:pPr>
      <w:r w:rsidRPr="007A229D">
        <w:rPr>
          <w:rFonts w:ascii="Verdana" w:hAnsi="Verdana" w:cs="Arial"/>
          <w:noProof/>
          <w:lang w:val="es-ES_tradnl"/>
        </w:rPr>
        <w:tab/>
      </w:r>
      <w:r w:rsidRPr="007A229D">
        <w:rPr>
          <w:rFonts w:ascii="Verdana" w:hAnsi="Verdana" w:cs="Arial"/>
          <w:lang w:val="es-ES_tradnl"/>
        </w:rPr>
        <w:t>En tal sentido, 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64616525" w14:textId="77777777" w:rsidR="00D370A7" w:rsidRPr="007A229D" w:rsidRDefault="00D370A7" w:rsidP="00D370A7">
      <w:pPr>
        <w:tabs>
          <w:tab w:val="left" w:pos="0"/>
        </w:tabs>
        <w:spacing w:after="0" w:line="276" w:lineRule="auto"/>
        <w:contextualSpacing/>
        <w:jc w:val="both"/>
        <w:rPr>
          <w:rFonts w:ascii="Verdana" w:hAnsi="Verdana" w:cs="Arial"/>
          <w:lang w:val="es-ES_tradnl"/>
        </w:rPr>
      </w:pPr>
    </w:p>
    <w:p w14:paraId="07723B60" w14:textId="77777777" w:rsidR="00D370A7" w:rsidRPr="007A229D" w:rsidRDefault="00D370A7" w:rsidP="00D370A7">
      <w:pPr>
        <w:spacing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hAnsi="Verdana" w:cs="Arial"/>
          <w:sz w:val="20"/>
          <w:szCs w:val="20"/>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w:t>
      </w:r>
      <w:r w:rsidRPr="007A229D">
        <w:rPr>
          <w:rFonts w:ascii="Verdana" w:eastAsia="Times New Roman" w:hAnsi="Verdana" w:cs="Arial"/>
          <w:color w:val="000000"/>
          <w:sz w:val="20"/>
          <w:szCs w:val="20"/>
          <w:lang w:val="es-ES_tradnl" w:eastAsia="es-ES_tradnl"/>
        </w:rPr>
        <w:t>la idoneidad o experiencia requerida y relacionada con el área de que se trate. En este caso, no es necesario que la Entidad Estatal haya obtenido previamente varias ofertas, de lo cual el ordenador del gasto debe dejar constancia escrita.</w:t>
      </w:r>
    </w:p>
    <w:p w14:paraId="445C79D0" w14:textId="77777777" w:rsidR="00D370A7" w:rsidRPr="007A229D" w:rsidRDefault="00D370A7" w:rsidP="00D370A7">
      <w:pPr>
        <w:spacing w:before="120" w:after="0" w:line="240" w:lineRule="auto"/>
        <w:ind w:left="709" w:right="709"/>
        <w:jc w:val="both"/>
        <w:rPr>
          <w:rFonts w:ascii="Verdana" w:eastAsia="Times New Roman" w:hAnsi="Verdana" w:cs="Arial"/>
          <w:color w:val="000000"/>
          <w:sz w:val="20"/>
          <w:szCs w:val="20"/>
          <w:lang w:val="es-ES_tradnl" w:eastAsia="es-ES_tradnl"/>
        </w:rPr>
      </w:pPr>
      <w:r w:rsidRPr="007A229D">
        <w:rPr>
          <w:rFonts w:ascii="Verdana" w:eastAsia="Times New Roman" w:hAnsi="Verdana" w:cs="Arial"/>
          <w:color w:val="000000"/>
          <w:sz w:val="20"/>
          <w:szCs w:val="20"/>
          <w:lang w:val="es-ES_tradnl"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AB9F349" w14:textId="77777777" w:rsidR="00D370A7" w:rsidRPr="007A229D" w:rsidRDefault="00D370A7" w:rsidP="00D370A7">
      <w:pPr>
        <w:spacing w:before="120" w:after="0" w:line="240" w:lineRule="auto"/>
        <w:ind w:left="709" w:right="709"/>
        <w:jc w:val="both"/>
        <w:rPr>
          <w:rFonts w:ascii="Verdana" w:hAnsi="Verdana" w:cs="Arial"/>
          <w:sz w:val="20"/>
          <w:szCs w:val="20"/>
          <w:lang w:val="es-MX"/>
        </w:rPr>
      </w:pPr>
      <w:r w:rsidRPr="007A229D">
        <w:rPr>
          <w:rFonts w:ascii="Verdana" w:eastAsia="Times New Roman" w:hAnsi="Verdana" w:cs="Arial"/>
          <w:color w:val="000000"/>
          <w:sz w:val="20"/>
          <w:szCs w:val="20"/>
          <w:lang w:val="es-ES_tradnl" w:eastAsia="es-ES_tradnl"/>
        </w:rPr>
        <w:t>La Entidad Estatal, para la contratación de trabajos artísticos que solamente puedan</w:t>
      </w:r>
      <w:r w:rsidRPr="007A229D">
        <w:rPr>
          <w:rFonts w:ascii="Verdana" w:hAnsi="Verdana" w:cs="Arial"/>
          <w:sz w:val="20"/>
          <w:szCs w:val="20"/>
          <w:lang w:val="es-MX"/>
        </w:rPr>
        <w:t xml:space="preserve"> en</w:t>
      </w:r>
      <w:r w:rsidRPr="007A229D">
        <w:rPr>
          <w:rFonts w:ascii="Verdana" w:hAnsi="Verdana" w:cs="Arial"/>
          <w:sz w:val="20"/>
          <w:szCs w:val="20"/>
          <w:lang w:val="es-MX"/>
        </w:rPr>
        <w:softHyphen/>
        <w:t>comendarse a determinadas personas naturales, debe justificar esta situación en los estudios y documentos previos”.</w:t>
      </w:r>
    </w:p>
    <w:p w14:paraId="3AB6FF60" w14:textId="77777777" w:rsidR="00D370A7" w:rsidRPr="007A229D" w:rsidRDefault="00D370A7" w:rsidP="00D370A7">
      <w:pPr>
        <w:tabs>
          <w:tab w:val="left" w:pos="0"/>
        </w:tabs>
        <w:spacing w:after="0" w:line="276" w:lineRule="auto"/>
        <w:jc w:val="both"/>
        <w:rPr>
          <w:rFonts w:ascii="Verdana" w:hAnsi="Verdana" w:cs="Arial"/>
          <w:noProof/>
          <w:sz w:val="21"/>
          <w:szCs w:val="21"/>
        </w:rPr>
      </w:pPr>
    </w:p>
    <w:p w14:paraId="196FE722" w14:textId="77777777" w:rsidR="00D370A7" w:rsidRPr="007A229D" w:rsidRDefault="00D370A7" w:rsidP="00D370A7">
      <w:pPr>
        <w:tabs>
          <w:tab w:val="left" w:pos="0"/>
        </w:tabs>
        <w:spacing w:after="120" w:line="276" w:lineRule="auto"/>
        <w:jc w:val="both"/>
        <w:rPr>
          <w:rFonts w:ascii="Verdana" w:hAnsi="Verdana" w:cs="Arial"/>
          <w:color w:val="000000" w:themeColor="text1"/>
          <w:lang w:val="es-ES_tradnl"/>
        </w:rPr>
      </w:pPr>
      <w:r w:rsidRPr="007A229D">
        <w:rPr>
          <w:rFonts w:ascii="Verdana" w:hAnsi="Verdana" w:cs="Arial"/>
          <w:color w:val="000000" w:themeColor="text1"/>
          <w:lang w:val="es-ES_tradnl"/>
        </w:rPr>
        <w:tab/>
        <w:t>A partir de las disposiciones citadas, así como de la Sentencia de Unificación Jurisprudencial del 9 de septiembre de 2021, proferida por el Consejo de Estado</w:t>
      </w:r>
      <w:r w:rsidRPr="007A229D">
        <w:rPr>
          <w:rStyle w:val="FootnoteReference"/>
          <w:rFonts w:ascii="Verdana" w:hAnsi="Verdana" w:cs="Arial"/>
          <w:color w:val="000000" w:themeColor="text1"/>
          <w:lang w:val="es-ES_tradnl"/>
        </w:rPr>
        <w:footnoteReference w:id="3"/>
      </w:r>
      <w:r w:rsidRPr="007A229D">
        <w:rPr>
          <w:rFonts w:ascii="Verdana" w:hAnsi="Verdana" w:cs="Arial"/>
          <w:color w:val="000000" w:themeColor="text1"/>
          <w:lang w:val="es-ES_tradnl"/>
        </w:rPr>
        <w:t xml:space="preserve"> es posible señalar las siguientes características del contrato de prestación de servicios</w:t>
      </w:r>
      <w:r w:rsidRPr="007A229D">
        <w:rPr>
          <w:rFonts w:ascii="Verdana" w:hAnsi="Verdana" w:cs="Arial"/>
          <w:lang w:val="es-ES_tradnl"/>
        </w:rPr>
        <w:t>:</w:t>
      </w:r>
    </w:p>
    <w:p w14:paraId="7502D459" w14:textId="77777777" w:rsidR="00D370A7" w:rsidRPr="007A229D" w:rsidRDefault="00D370A7" w:rsidP="00D370A7">
      <w:pPr>
        <w:spacing w:before="120" w:after="120" w:line="276" w:lineRule="auto"/>
        <w:ind w:firstLine="709"/>
        <w:jc w:val="both"/>
        <w:rPr>
          <w:rFonts w:ascii="Verdana" w:hAnsi="Verdana" w:cs="Arial"/>
          <w:lang w:val="es-ES_tradnl"/>
        </w:rPr>
      </w:pPr>
      <w:r w:rsidRPr="007A229D">
        <w:rPr>
          <w:rFonts w:ascii="Verdana" w:hAnsi="Verdana" w:cs="Arial"/>
          <w:lang w:val="es-ES_tradnl"/>
        </w:rPr>
        <w:t>i) Solo puede celebrarse para realizar “actividades relacionadas con la administración o funcionamiento de la entidad”, es decir, que hagan parte de su giro ordinario o quehacer cotidiano</w:t>
      </w:r>
      <w:r w:rsidRPr="007A229D">
        <w:rPr>
          <w:rStyle w:val="FootnoteReference"/>
          <w:rFonts w:ascii="Verdana" w:hAnsi="Verdana" w:cs="Arial"/>
          <w:lang w:val="es-ES_tradnl"/>
        </w:rPr>
        <w:footnoteReference w:id="4"/>
      </w:r>
      <w:r w:rsidRPr="007A229D">
        <w:rPr>
          <w:rFonts w:ascii="Verdana" w:hAnsi="Verdana" w:cs="Arial"/>
          <w:lang w:val="es-ES_tradnl"/>
        </w:rPr>
        <w:t>.</w:t>
      </w:r>
    </w:p>
    <w:p w14:paraId="089941BD" w14:textId="77777777" w:rsidR="00D370A7" w:rsidRPr="007A229D" w:rsidRDefault="00D370A7" w:rsidP="7E3FA7F7">
      <w:pPr>
        <w:spacing w:before="120" w:after="120" w:line="276" w:lineRule="auto"/>
        <w:ind w:firstLine="709"/>
        <w:jc w:val="both"/>
        <w:rPr>
          <w:rFonts w:ascii="Verdana" w:hAnsi="Verdana" w:cs="Arial"/>
          <w:lang w:val="es-ES"/>
        </w:rPr>
      </w:pPr>
      <w:proofErr w:type="spellStart"/>
      <w:r w:rsidRPr="7E3FA7F7">
        <w:rPr>
          <w:rFonts w:ascii="Verdana" w:hAnsi="Verdana" w:cs="Arial"/>
          <w:lang w:val="es-ES"/>
        </w:rPr>
        <w:t>ii</w:t>
      </w:r>
      <w:proofErr w:type="spellEnd"/>
      <w:r w:rsidRPr="7E3FA7F7">
        <w:rPr>
          <w:rFonts w:ascii="Verdana" w:hAnsi="Verdana" w:cs="Arial"/>
          <w:lang w:val="es-ES"/>
        </w:rPr>
        <w:t xml:space="preserve">)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w:t>
      </w:r>
    </w:p>
    <w:p w14:paraId="7A7B963F" w14:textId="77777777" w:rsidR="00D370A7" w:rsidRPr="007A229D" w:rsidRDefault="00D370A7" w:rsidP="7E3FA7F7">
      <w:pPr>
        <w:spacing w:before="120" w:after="120" w:line="276" w:lineRule="auto"/>
        <w:ind w:firstLine="709"/>
        <w:jc w:val="both"/>
        <w:rPr>
          <w:rFonts w:ascii="Verdana" w:hAnsi="Verdana" w:cs="Arial"/>
          <w:lang w:val="es-ES"/>
        </w:rPr>
      </w:pPr>
      <w:proofErr w:type="spellStart"/>
      <w:r w:rsidRPr="7E3FA7F7">
        <w:rPr>
          <w:rFonts w:ascii="Verdana" w:hAnsi="Verdana" w:cs="Arial"/>
          <w:lang w:val="es-ES"/>
        </w:rPr>
        <w:t>iii</w:t>
      </w:r>
      <w:proofErr w:type="spellEnd"/>
      <w:r w:rsidRPr="7E3FA7F7">
        <w:rPr>
          <w:rFonts w:ascii="Verdana" w:hAnsi="Verdana" w:cs="Arial"/>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7E3FA7F7">
        <w:rPr>
          <w:rFonts w:ascii="Verdana" w:hAnsi="Verdana" w:cs="Arial"/>
          <w:i/>
          <w:iCs/>
          <w:lang w:val="es-ES"/>
        </w:rPr>
        <w:t xml:space="preserve">subordinación </w:t>
      </w:r>
      <w:r w:rsidRPr="7E3FA7F7">
        <w:rPr>
          <w:rFonts w:ascii="Verdana" w:hAnsi="Verdana" w:cs="Arial"/>
          <w:lang w:val="es-ES"/>
        </w:rPr>
        <w:t>ni</w:t>
      </w:r>
      <w:r w:rsidRPr="7E3FA7F7">
        <w:rPr>
          <w:rFonts w:ascii="Verdana" w:hAnsi="Verdana" w:cs="Arial"/>
          <w:i/>
          <w:iCs/>
          <w:lang w:val="es-ES"/>
        </w:rPr>
        <w:t xml:space="preserve"> dependencia</w:t>
      </w:r>
      <w:r w:rsidRPr="7E3FA7F7">
        <w:rPr>
          <w:rFonts w:ascii="Verdana" w:hAnsi="Verdana" w:cs="Arial"/>
          <w:lang w:val="es-ES"/>
        </w:rPr>
        <w:t>, que es uno de los elementos constitutivos del vínculo laboral</w:t>
      </w:r>
      <w:r w:rsidRPr="7E3FA7F7">
        <w:rPr>
          <w:rStyle w:val="FootnoteReference"/>
          <w:rFonts w:ascii="Verdana" w:hAnsi="Verdana" w:cs="Arial"/>
          <w:lang w:val="es-ES"/>
        </w:rPr>
        <w:footnoteReference w:id="5"/>
      </w:r>
      <w:r w:rsidRPr="7E3FA7F7">
        <w:rPr>
          <w:rFonts w:ascii="Verdana" w:hAnsi="Verdana" w:cs="Arial"/>
          <w:lang w:val="es-ES"/>
        </w:rPr>
        <w:t xml:space="preserve">. Por eso, el artículo 32, numeral 3,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7E3FA7F7">
        <w:rPr>
          <w:rFonts w:ascii="Verdana" w:hAnsi="Verdana" w:cs="Arial"/>
          <w:i/>
          <w:iCs/>
          <w:lang w:val="es-ES"/>
        </w:rPr>
        <w:t>no pueden</w:t>
      </w:r>
      <w:r w:rsidRPr="7E3FA7F7">
        <w:rPr>
          <w:rFonts w:ascii="Verdana" w:hAnsi="Verdana" w:cs="Arial"/>
          <w:lang w:val="es-ES"/>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7E3FA7F7">
        <w:rPr>
          <w:rStyle w:val="FootnoteReference"/>
          <w:rFonts w:ascii="Verdana" w:hAnsi="Verdana" w:cs="Arial"/>
          <w:lang w:val="es-ES"/>
        </w:rPr>
        <w:footnoteReference w:id="6"/>
      </w:r>
      <w:r w:rsidRPr="7E3FA7F7">
        <w:rPr>
          <w:rFonts w:ascii="Verdana" w:hAnsi="Verdana" w:cs="Arial"/>
          <w:lang w:val="es-ES"/>
        </w:rPr>
        <w:t>.</w:t>
      </w:r>
    </w:p>
    <w:p w14:paraId="723FDDA1" w14:textId="77777777" w:rsidR="00D370A7" w:rsidRPr="007A229D" w:rsidRDefault="00D370A7" w:rsidP="7E3FA7F7">
      <w:pPr>
        <w:spacing w:before="120" w:after="120" w:line="276" w:lineRule="auto"/>
        <w:ind w:firstLine="709"/>
        <w:jc w:val="both"/>
        <w:rPr>
          <w:rFonts w:ascii="Verdana" w:hAnsi="Verdana" w:cs="Arial"/>
          <w:lang w:val="es-ES"/>
        </w:rPr>
      </w:pPr>
      <w:r w:rsidRPr="7E3FA7F7">
        <w:rPr>
          <w:rFonts w:ascii="Verdana" w:hAnsi="Verdana" w:cs="Arial"/>
          <w:lang w:val="es-ES"/>
        </w:rPr>
        <w:t xml:space="preserve">A pesar de este mandato deontológico, es posible que en la práctica se configure una relación laboral, pues el contrato de trabajo es </w:t>
      </w:r>
      <w:r w:rsidRPr="7E3FA7F7">
        <w:rPr>
          <w:rFonts w:ascii="Verdana" w:hAnsi="Verdana" w:cs="Arial"/>
          <w:i/>
          <w:iCs/>
          <w:lang w:val="es-ES"/>
        </w:rPr>
        <w:t>de realidad</w:t>
      </w:r>
      <w:r w:rsidRPr="7E3FA7F7">
        <w:rPr>
          <w:rFonts w:ascii="Verdana" w:hAnsi="Verdana" w:cs="Arial"/>
          <w:lang w:val="es-ES"/>
        </w:rPr>
        <w:t xml:space="preserve"> y para perfeccionarlo rige el principio de prevalencia de la realidad sobre las formalidades. En el sentido anterior, la Corte Constitucional declaró la </w:t>
      </w:r>
      <w:proofErr w:type="spellStart"/>
      <w:r w:rsidRPr="7E3FA7F7">
        <w:rPr>
          <w:rFonts w:ascii="Verdana" w:hAnsi="Verdana" w:cs="Arial"/>
          <w:lang w:val="es-ES"/>
        </w:rPr>
        <w:t>exequibilidad</w:t>
      </w:r>
      <w:proofErr w:type="spellEnd"/>
      <w:r w:rsidRPr="7E3FA7F7">
        <w:rPr>
          <w:rFonts w:ascii="Verdana" w:hAnsi="Verdana" w:cs="Arial"/>
          <w:lang w:val="es-ES"/>
        </w:rPr>
        <w:t xml:space="preserve"> condicionada del segundo inciso del numeral 3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7E3FA7F7">
        <w:rPr>
          <w:rStyle w:val="FootnoteReference"/>
          <w:rFonts w:ascii="Verdana" w:hAnsi="Verdana" w:cs="Arial"/>
          <w:lang w:val="es-ES"/>
        </w:rPr>
        <w:footnoteReference w:id="7"/>
      </w:r>
      <w:r w:rsidRPr="7E3FA7F7">
        <w:rPr>
          <w:rFonts w:ascii="Verdana" w:hAnsi="Verdana" w:cs="Arial"/>
          <w:lang w:val="es-ES"/>
        </w:rPr>
        <w:t>.</w:t>
      </w:r>
    </w:p>
    <w:p w14:paraId="17265550" w14:textId="77777777" w:rsidR="00D370A7" w:rsidRPr="007A229D" w:rsidRDefault="00D370A7" w:rsidP="00D370A7">
      <w:pPr>
        <w:spacing w:before="120" w:after="0" w:line="276" w:lineRule="auto"/>
        <w:contextualSpacing/>
        <w:jc w:val="both"/>
        <w:rPr>
          <w:rFonts w:ascii="Verdana" w:eastAsia="Times New Roman" w:hAnsi="Verdana" w:cs="Arial"/>
          <w:color w:val="000000"/>
          <w:lang w:val="es-ES" w:eastAsia="es-ES"/>
        </w:rPr>
      </w:pPr>
      <w:r w:rsidRPr="007A229D">
        <w:rPr>
          <w:rFonts w:ascii="Verdana" w:eastAsia="Times New Roman" w:hAnsi="Verdana" w:cs="Arial"/>
          <w:color w:val="000000"/>
          <w:szCs w:val="24"/>
          <w:lang w:val="es-ES_tradnl" w:eastAsia="es-ES_tradnl"/>
        </w:rPr>
        <w:tab/>
      </w:r>
      <w:proofErr w:type="spellStart"/>
      <w:r w:rsidRPr="007A229D">
        <w:rPr>
          <w:rFonts w:ascii="Verdana" w:eastAsia="Times New Roman" w:hAnsi="Verdana" w:cs="Arial"/>
          <w:color w:val="000000"/>
          <w:lang w:val="es-ES" w:eastAsia="es-ES"/>
        </w:rPr>
        <w:t>iv</w:t>
      </w:r>
      <w:proofErr w:type="spellEnd"/>
      <w:r w:rsidRPr="007A229D">
        <w:rPr>
          <w:rFonts w:ascii="Verdana" w:eastAsia="Times New Roman" w:hAnsi="Verdana" w:cs="Arial"/>
          <w:color w:val="000000"/>
          <w:lang w:val="es-ES" w:eastAsia="es-ES"/>
        </w:rPr>
        <w:t>) 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entidad aproxima en función del objeto a contratar y de los recursos disponibles, el tiempo de vigencia máximo que estima “imprescindible” para su ejecución”.</w:t>
      </w:r>
    </w:p>
    <w:p w14:paraId="34A3A03A" w14:textId="77777777" w:rsidR="00D370A7" w:rsidRPr="007A229D" w:rsidRDefault="00D370A7" w:rsidP="00D370A7">
      <w:pPr>
        <w:spacing w:before="120" w:after="0" w:line="276" w:lineRule="auto"/>
        <w:ind w:firstLine="709"/>
        <w:jc w:val="both"/>
        <w:rPr>
          <w:rFonts w:ascii="Verdana" w:eastAsia="Times New Roman" w:hAnsi="Verdana" w:cs="Arial"/>
          <w:color w:val="000000"/>
          <w:lang w:val="es-ES" w:eastAsia="es-ES"/>
        </w:rPr>
      </w:pPr>
      <w:r w:rsidRPr="007A229D">
        <w:rPr>
          <w:rFonts w:ascii="Verdana" w:eastAsia="Times New Roman" w:hAnsi="Verdana" w:cs="Arial"/>
          <w:color w:val="000000" w:themeColor="text1"/>
          <w:lang w:val="es-ES" w:eastAsia="es-ES"/>
        </w:rPr>
        <w:t>De igual forma, señaló que “la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04469376" w14:textId="77777777" w:rsidR="00D370A7" w:rsidRPr="007A229D" w:rsidRDefault="00D370A7" w:rsidP="00D370A7">
      <w:pPr>
        <w:spacing w:before="120" w:after="0" w:line="276" w:lineRule="auto"/>
        <w:ind w:firstLine="709"/>
        <w:jc w:val="both"/>
        <w:rPr>
          <w:rFonts w:ascii="Verdana" w:hAnsi="Verdana" w:cs="Arial"/>
          <w:lang w:val="es-ES_tradnl"/>
        </w:rPr>
      </w:pPr>
      <w:r w:rsidRPr="007A229D">
        <w:rPr>
          <w:rFonts w:ascii="Verdana" w:eastAsia="Times New Roman" w:hAnsi="Verdana" w:cs="Arial"/>
          <w:color w:val="000000"/>
          <w:szCs w:val="24"/>
          <w:lang w:val="es-ES_tradnl" w:eastAsia="es-ES_tradnl"/>
        </w:rPr>
        <w:t>vi) Para su celebración no se requiere expedir un acto administrativo de justificación de la contratación</w:t>
      </w:r>
      <w:r w:rsidRPr="007A229D">
        <w:rPr>
          <w:rStyle w:val="FootnoteReference"/>
          <w:rFonts w:ascii="Verdana" w:eastAsia="Times New Roman" w:hAnsi="Verdana" w:cs="Arial"/>
          <w:color w:val="000000"/>
          <w:szCs w:val="24"/>
          <w:lang w:val="es-ES_tradnl" w:eastAsia="es-ES_tradnl"/>
        </w:rPr>
        <w:footnoteReference w:id="8"/>
      </w:r>
      <w:r w:rsidRPr="007A229D">
        <w:rPr>
          <w:rFonts w:ascii="Verdana" w:eastAsia="Times New Roman" w:hAnsi="Verdana" w:cs="Arial"/>
          <w:color w:val="000000"/>
          <w:szCs w:val="24"/>
          <w:lang w:val="es-ES_tradnl" w:eastAsia="es-ES_tradnl"/>
        </w:rPr>
        <w:t>.</w:t>
      </w:r>
    </w:p>
    <w:p w14:paraId="2293C6CC" w14:textId="77777777" w:rsidR="00D370A7" w:rsidRPr="007A229D" w:rsidRDefault="00D370A7" w:rsidP="00D370A7">
      <w:pPr>
        <w:spacing w:before="120" w:after="0" w:line="276" w:lineRule="auto"/>
        <w:ind w:firstLine="709"/>
        <w:jc w:val="both"/>
        <w:rPr>
          <w:rFonts w:ascii="Verdana" w:eastAsia="Times New Roman" w:hAnsi="Verdana" w:cs="Arial"/>
          <w:color w:val="000000"/>
          <w:lang w:val="es-ES" w:eastAsia="es-ES"/>
        </w:rPr>
      </w:pPr>
      <w:proofErr w:type="spellStart"/>
      <w:r w:rsidRPr="007A229D">
        <w:rPr>
          <w:rFonts w:ascii="Verdana" w:eastAsia="Times New Roman" w:hAnsi="Verdana" w:cs="Arial"/>
          <w:color w:val="000000"/>
          <w:lang w:val="es-ES" w:eastAsia="es-ES"/>
        </w:rPr>
        <w:t>vii</w:t>
      </w:r>
      <w:proofErr w:type="spellEnd"/>
      <w:r w:rsidRPr="007A229D">
        <w:rPr>
          <w:rFonts w:ascii="Verdana" w:eastAsia="Times New Roman" w:hAnsi="Verdana" w:cs="Arial"/>
          <w:color w:val="000000"/>
          <w:lang w:val="es-ES" w:eastAsia="es-ES"/>
        </w:rPr>
        <w:t xml:space="preserve">) </w:t>
      </w:r>
      <w:r w:rsidRPr="007A229D">
        <w:rPr>
          <w:rFonts w:ascii="Verdana" w:hAnsi="Verdana" w:cs="Arial"/>
          <w:lang w:val="es-ES"/>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7A229D">
        <w:rPr>
          <w:rStyle w:val="FootnoteReference"/>
          <w:rFonts w:ascii="Verdana" w:hAnsi="Verdana" w:cs="Arial"/>
          <w:lang w:val="es-ES"/>
        </w:rPr>
        <w:footnoteReference w:id="9"/>
      </w:r>
      <w:r w:rsidRPr="007A229D">
        <w:rPr>
          <w:rFonts w:ascii="Verdana" w:hAnsi="Verdana" w:cs="Arial"/>
          <w:lang w:val="es-ES"/>
        </w:rPr>
        <w:t>.</w:t>
      </w:r>
    </w:p>
    <w:p w14:paraId="1A3E4B0A" w14:textId="77777777" w:rsidR="00D370A7" w:rsidRPr="007A229D" w:rsidRDefault="00D370A7" w:rsidP="7E3FA7F7">
      <w:pPr>
        <w:spacing w:before="120" w:after="120" w:line="276" w:lineRule="auto"/>
        <w:ind w:firstLine="709"/>
        <w:jc w:val="both"/>
        <w:rPr>
          <w:rFonts w:ascii="Verdana" w:hAnsi="Verdana" w:cs="Arial"/>
          <w:lang w:val="es-ES"/>
        </w:rPr>
      </w:pPr>
      <w:proofErr w:type="spellStart"/>
      <w:r w:rsidRPr="7E3FA7F7">
        <w:rPr>
          <w:rFonts w:ascii="Verdana" w:hAnsi="Verdana" w:cs="Arial"/>
          <w:lang w:val="es-ES"/>
        </w:rPr>
        <w:t>viii</w:t>
      </w:r>
      <w:proofErr w:type="spellEnd"/>
      <w:r w:rsidRPr="7E3FA7F7">
        <w:rPr>
          <w:rFonts w:ascii="Verdana" w:hAnsi="Verdana" w:cs="Arial"/>
          <w:lang w:val="es-ES"/>
        </w:rPr>
        <w:t>) No es obligatoria la liquidación de estos contratos, como lo establece el artículo 217 del Decreto 019 de 2012, que modificó el artículo 60 de la Ley 80 de 1993</w:t>
      </w:r>
      <w:r w:rsidRPr="7E3FA7F7">
        <w:rPr>
          <w:rStyle w:val="FootnoteReference"/>
          <w:rFonts w:ascii="Verdana" w:hAnsi="Verdana" w:cs="Arial"/>
          <w:lang w:val="es-ES"/>
        </w:rPr>
        <w:footnoteReference w:id="10"/>
      </w:r>
      <w:r w:rsidRPr="7E3FA7F7">
        <w:rPr>
          <w:rFonts w:ascii="Verdana" w:hAnsi="Verdana" w:cs="Arial"/>
          <w:lang w:val="es-ES"/>
        </w:rPr>
        <w:t>.</w:t>
      </w:r>
    </w:p>
    <w:p w14:paraId="62D18AAF" w14:textId="77777777" w:rsidR="00D370A7" w:rsidRPr="007A229D" w:rsidRDefault="00D370A7" w:rsidP="7E3FA7F7">
      <w:pPr>
        <w:spacing w:before="120" w:after="120" w:line="276" w:lineRule="auto"/>
        <w:ind w:firstLine="709"/>
        <w:jc w:val="both"/>
        <w:rPr>
          <w:rFonts w:ascii="Verdana" w:hAnsi="Verdana" w:cs="Arial"/>
          <w:lang w:val="es-ES"/>
        </w:rPr>
      </w:pPr>
      <w:proofErr w:type="spellStart"/>
      <w:r w:rsidRPr="7E3FA7F7">
        <w:rPr>
          <w:rFonts w:ascii="Verdana" w:hAnsi="Verdana" w:cs="Arial"/>
          <w:lang w:val="es-ES"/>
        </w:rPr>
        <w:t>ix</w:t>
      </w:r>
      <w:proofErr w:type="spellEnd"/>
      <w:r w:rsidRPr="7E3FA7F7">
        <w:rPr>
          <w:rFonts w:ascii="Verdana" w:hAnsi="Verdana" w:cs="Arial"/>
          <w:lang w:val="es-ES"/>
        </w:rPr>
        <w:t>) Para su celebración el contratista no requiere estar inscrito en el Registro Único de Proponentes –RUP–, como lo señala el artículo 6 de la Ley 1150 de 2007</w:t>
      </w:r>
      <w:r w:rsidRPr="7E3FA7F7">
        <w:rPr>
          <w:rStyle w:val="FootnoteReference"/>
          <w:rFonts w:ascii="Verdana" w:hAnsi="Verdana" w:cs="Arial"/>
          <w:lang w:val="es-ES"/>
        </w:rPr>
        <w:footnoteReference w:id="11"/>
      </w:r>
      <w:r w:rsidRPr="7E3FA7F7">
        <w:rPr>
          <w:rFonts w:ascii="Verdana" w:hAnsi="Verdana" w:cs="Arial"/>
          <w:lang w:val="es-ES"/>
        </w:rPr>
        <w:t>.</w:t>
      </w:r>
    </w:p>
    <w:p w14:paraId="1BC2436D" w14:textId="77777777" w:rsidR="00D370A7" w:rsidRPr="007A229D" w:rsidRDefault="00D370A7" w:rsidP="00D370A7">
      <w:pPr>
        <w:spacing w:before="120" w:after="120" w:line="276" w:lineRule="auto"/>
        <w:ind w:firstLine="708"/>
        <w:jc w:val="both"/>
        <w:rPr>
          <w:rFonts w:ascii="Verdana" w:hAnsi="Verdana" w:cs="Arial"/>
          <w:lang w:val="es-ES_tradnl"/>
        </w:rPr>
      </w:pPr>
      <w:r w:rsidRPr="007A229D">
        <w:rPr>
          <w:rFonts w:ascii="Verdana" w:hAnsi="Verdana" w:cs="Arial"/>
          <w:lang w:val="es-ES_tradnl"/>
        </w:rPr>
        <w:t>x) No es obligatoria la exigencia de garantías</w:t>
      </w:r>
      <w:r w:rsidRPr="007A229D">
        <w:rPr>
          <w:rStyle w:val="FootnoteReference"/>
          <w:rFonts w:ascii="Verdana" w:hAnsi="Verdana" w:cs="Arial"/>
          <w:lang w:val="es-ES_tradnl"/>
        </w:rPr>
        <w:footnoteReference w:id="12"/>
      </w:r>
      <w:r w:rsidRPr="007A229D">
        <w:rPr>
          <w:rFonts w:ascii="Verdana" w:hAnsi="Verdana" w:cs="Arial"/>
          <w:lang w:val="es-ES_tradnl"/>
        </w:rPr>
        <w:t>.</w:t>
      </w:r>
    </w:p>
    <w:p w14:paraId="06A17D00" w14:textId="77777777" w:rsidR="00D370A7" w:rsidRPr="007A229D" w:rsidRDefault="00D370A7" w:rsidP="00D370A7">
      <w:pPr>
        <w:spacing w:before="120" w:after="120" w:line="276" w:lineRule="auto"/>
        <w:ind w:firstLine="708"/>
        <w:jc w:val="both"/>
        <w:rPr>
          <w:rFonts w:ascii="Verdana" w:hAnsi="Verdana" w:cs="Arial"/>
          <w:lang w:val="es-ES"/>
        </w:rPr>
      </w:pPr>
      <w:r w:rsidRPr="007A229D">
        <w:rPr>
          <w:rFonts w:ascii="Verdana" w:hAnsi="Verdana" w:cs="Arial"/>
          <w:lang w:val="es-ES_tradnl"/>
        </w:rPr>
        <w:t>xi) Como los demás contratos estatales, se trata de un contrato solemne que debe constar por escrito y debe ser publicado en el SECOP.</w:t>
      </w:r>
    </w:p>
    <w:p w14:paraId="7C4518A7" w14:textId="77777777" w:rsidR="00D370A7" w:rsidRPr="007A229D" w:rsidRDefault="00D370A7" w:rsidP="00D370A7">
      <w:pPr>
        <w:tabs>
          <w:tab w:val="left" w:pos="0"/>
        </w:tabs>
        <w:spacing w:before="120" w:after="0" w:line="276" w:lineRule="auto"/>
        <w:ind w:firstLine="709"/>
        <w:jc w:val="both"/>
        <w:rPr>
          <w:rFonts w:ascii="Verdana" w:hAnsi="Verdana" w:cs="Arial"/>
          <w:color w:val="000000" w:themeColor="text1"/>
          <w:lang w:val="es-MX"/>
        </w:rPr>
      </w:pPr>
      <w:proofErr w:type="spellStart"/>
      <w:r w:rsidRPr="007A229D">
        <w:rPr>
          <w:rFonts w:ascii="Verdana" w:hAnsi="Verdana" w:cs="Arial"/>
          <w:color w:val="000000" w:themeColor="text1"/>
          <w:lang w:val="es-ES"/>
        </w:rPr>
        <w:t>xii</w:t>
      </w:r>
      <w:proofErr w:type="spellEnd"/>
      <w:r w:rsidRPr="007A229D">
        <w:rPr>
          <w:rFonts w:ascii="Verdana" w:hAnsi="Verdana" w:cs="Arial"/>
          <w:color w:val="000000" w:themeColor="text1"/>
          <w:lang w:val="es-ES"/>
        </w:rPr>
        <w:t>) Como</w:t>
      </w:r>
      <w:r w:rsidRPr="007A229D">
        <w:rPr>
          <w:rFonts w:ascii="Verdana" w:hAnsi="Verdana" w:cs="Arial"/>
          <w:color w:val="000000" w:themeColor="text1"/>
          <w:lang w:val="es-MX"/>
        </w:rPr>
        <w:t xml:space="preserve"> especies del género </w:t>
      </w:r>
      <w:r w:rsidRPr="007A229D">
        <w:rPr>
          <w:rFonts w:ascii="Verdana" w:hAnsi="Verdana" w:cs="Arial"/>
          <w:i/>
          <w:color w:val="000000" w:themeColor="text1"/>
          <w:lang w:val="es-MX"/>
        </w:rPr>
        <w:t>prestación de servicios,</w:t>
      </w:r>
      <w:r w:rsidRPr="007A229D">
        <w:rPr>
          <w:rFonts w:ascii="Verdana" w:hAnsi="Verdana" w:cs="Arial"/>
          <w:color w:val="000000" w:themeColor="text1"/>
          <w:lang w:val="es-MX"/>
        </w:rPr>
        <w:t xml:space="preserve"> se incluyen </w:t>
      </w:r>
      <w:r w:rsidRPr="007A229D">
        <w:rPr>
          <w:rFonts w:ascii="Verdana" w:hAnsi="Verdana" w:cs="Arial"/>
          <w:color w:val="000000" w:themeColor="text1"/>
          <w:lang w:val="es-ES_tradnl"/>
        </w:rPr>
        <w:t xml:space="preserve">los </w:t>
      </w:r>
      <w:r w:rsidRPr="007A229D">
        <w:rPr>
          <w:rFonts w:ascii="Verdana" w:hAnsi="Verdana" w:cs="Arial"/>
          <w:i/>
          <w:color w:val="000000" w:themeColor="text1"/>
          <w:lang w:val="es-ES_tradnl"/>
        </w:rPr>
        <w:t>contratos de prestación de servicios profesionales, los contratos de prestación de servicios de apoyo a la gestión</w:t>
      </w:r>
      <w:r w:rsidRPr="007A229D">
        <w:rPr>
          <w:rFonts w:ascii="Verdana" w:hAnsi="Verdana" w:cs="Arial"/>
          <w:color w:val="000000" w:themeColor="text1"/>
          <w:lang w:val="es-ES_tradnl"/>
        </w:rPr>
        <w:t xml:space="preserve"> y los </w:t>
      </w:r>
      <w:r w:rsidRPr="007A229D">
        <w:rPr>
          <w:rFonts w:ascii="Verdana" w:hAnsi="Verdana" w:cs="Arial"/>
          <w:i/>
          <w:color w:val="000000" w:themeColor="text1"/>
          <w:lang w:val="es-ES_tradnl"/>
        </w:rPr>
        <w:t>contratos de prestación de servicios artísticos que solo pueden encomendarse a determinadas personas naturales</w:t>
      </w:r>
      <w:r w:rsidRPr="007A229D">
        <w:rPr>
          <w:rStyle w:val="FootnoteReference"/>
          <w:rFonts w:ascii="Verdana" w:hAnsi="Verdana" w:cs="Arial"/>
          <w:i/>
          <w:color w:val="000000" w:themeColor="text1"/>
          <w:lang w:val="es-ES_tradnl"/>
        </w:rPr>
        <w:footnoteReference w:id="13"/>
      </w:r>
      <w:r w:rsidRPr="007A229D">
        <w:rPr>
          <w:rFonts w:ascii="Verdana" w:hAnsi="Verdana" w:cs="Arial"/>
          <w:color w:val="000000" w:themeColor="text1"/>
          <w:lang w:val="es-MX"/>
        </w:rPr>
        <w:t xml:space="preserve">. </w:t>
      </w:r>
    </w:p>
    <w:p w14:paraId="01CFAC98" w14:textId="77777777" w:rsidR="00D370A7" w:rsidRPr="007A229D" w:rsidRDefault="00D370A7" w:rsidP="00D370A7">
      <w:pPr>
        <w:tabs>
          <w:tab w:val="left" w:pos="0"/>
        </w:tabs>
        <w:spacing w:before="120" w:after="0" w:line="276" w:lineRule="auto"/>
        <w:ind w:firstLine="709"/>
        <w:jc w:val="both"/>
        <w:rPr>
          <w:rFonts w:ascii="Verdana" w:hAnsi="Verdana" w:cs="Arial"/>
          <w:color w:val="000000" w:themeColor="text1"/>
          <w:lang w:val="es-MX"/>
        </w:rPr>
      </w:pPr>
      <w:r w:rsidRPr="007A229D">
        <w:rPr>
          <w:rFonts w:ascii="Verdana" w:hAnsi="Verdana" w:cs="Arial"/>
          <w:color w:val="000000" w:themeColor="text1"/>
          <w:lang w:val="es-ES_tradnl"/>
        </w:rPr>
        <w:t xml:space="preserve">La diferencia entre el contrato de prestación de servicios </w:t>
      </w:r>
      <w:r w:rsidRPr="007A229D">
        <w:rPr>
          <w:rFonts w:ascii="Verdana" w:hAnsi="Verdana" w:cs="Arial"/>
          <w:i/>
          <w:color w:val="000000" w:themeColor="text1"/>
          <w:lang w:val="es-ES_tradnl"/>
        </w:rPr>
        <w:t>profesionales</w:t>
      </w:r>
      <w:r w:rsidRPr="007A229D">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171CE251" w14:textId="77777777" w:rsidR="00D370A7" w:rsidRPr="007A229D" w:rsidRDefault="00D370A7" w:rsidP="00D370A7">
      <w:pPr>
        <w:spacing w:after="0" w:line="276" w:lineRule="auto"/>
        <w:ind w:firstLine="709"/>
        <w:contextualSpacing/>
        <w:jc w:val="both"/>
        <w:rPr>
          <w:rFonts w:ascii="Verdana" w:hAnsi="Verdana" w:cs="Arial"/>
          <w:color w:val="000000" w:themeColor="text1"/>
          <w:lang w:val="es-ES_tradnl"/>
        </w:rPr>
      </w:pPr>
    </w:p>
    <w:p w14:paraId="4A22FF84" w14:textId="77777777" w:rsidR="00D370A7" w:rsidRPr="007A229D" w:rsidRDefault="00D370A7" w:rsidP="00D370A7">
      <w:pPr>
        <w:spacing w:after="0" w:line="240" w:lineRule="auto"/>
        <w:ind w:left="709" w:right="709"/>
        <w:contextualSpacing/>
        <w:jc w:val="both"/>
        <w:rPr>
          <w:rFonts w:ascii="Verdana" w:hAnsi="Verdana" w:cs="Arial"/>
          <w:color w:val="000000" w:themeColor="text1"/>
          <w:sz w:val="20"/>
          <w:szCs w:val="20"/>
          <w:lang w:val="es-ES_tradnl"/>
        </w:rPr>
      </w:pPr>
      <w:r w:rsidRPr="007A229D">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7A229D">
        <w:rPr>
          <w:rFonts w:ascii="Verdana" w:hAnsi="Verdana" w:cs="Arial"/>
          <w:color w:val="000000" w:themeColor="text1"/>
          <w:sz w:val="20"/>
          <w:szCs w:val="20"/>
          <w:vertAlign w:val="superscript"/>
          <w:lang w:val="es-ES_tradnl"/>
        </w:rPr>
        <w:footnoteReference w:id="14"/>
      </w:r>
      <w:r w:rsidRPr="007A229D">
        <w:rPr>
          <w:rFonts w:ascii="Verdana" w:hAnsi="Verdana" w:cs="Arial"/>
          <w:color w:val="000000" w:themeColor="text1"/>
          <w:sz w:val="20"/>
          <w:szCs w:val="20"/>
          <w:lang w:val="es-ES_tradnl"/>
        </w:rPr>
        <w:t>.</w:t>
      </w:r>
    </w:p>
    <w:p w14:paraId="3BB13D60" w14:textId="77777777" w:rsidR="00D370A7" w:rsidRPr="007A229D" w:rsidRDefault="00D370A7" w:rsidP="00D370A7">
      <w:pPr>
        <w:spacing w:after="0" w:line="240" w:lineRule="auto"/>
        <w:ind w:right="709"/>
        <w:contextualSpacing/>
        <w:jc w:val="both"/>
        <w:rPr>
          <w:rFonts w:ascii="Verdana" w:hAnsi="Verdana" w:cs="Arial"/>
          <w:color w:val="000000" w:themeColor="text1"/>
          <w:sz w:val="21"/>
          <w:szCs w:val="21"/>
          <w:lang w:val="es-ES_tradnl"/>
        </w:rPr>
      </w:pPr>
    </w:p>
    <w:p w14:paraId="198C5E39" w14:textId="77777777" w:rsidR="00D370A7" w:rsidRPr="007A229D" w:rsidRDefault="00D370A7" w:rsidP="00D370A7">
      <w:pPr>
        <w:spacing w:after="0" w:line="240" w:lineRule="auto"/>
        <w:ind w:right="709"/>
        <w:contextualSpacing/>
        <w:jc w:val="both"/>
        <w:rPr>
          <w:rFonts w:ascii="Verdana" w:hAnsi="Verdana" w:cs="Arial"/>
          <w:color w:val="000000" w:themeColor="text1"/>
          <w:sz w:val="21"/>
          <w:szCs w:val="21"/>
          <w:lang w:val="es-ES_tradnl"/>
        </w:rPr>
      </w:pPr>
    </w:p>
    <w:p w14:paraId="39077C16" w14:textId="77777777" w:rsidR="00D370A7" w:rsidRPr="007A229D" w:rsidRDefault="00D370A7" w:rsidP="00D370A7">
      <w:pPr>
        <w:spacing w:after="0" w:line="240" w:lineRule="auto"/>
        <w:ind w:right="709" w:firstLine="709"/>
        <w:contextualSpacing/>
        <w:jc w:val="both"/>
        <w:rPr>
          <w:rFonts w:ascii="Verdana" w:hAnsi="Verdana" w:cs="Arial"/>
          <w:color w:val="000000" w:themeColor="text1"/>
          <w:lang w:val="es-ES_tradnl"/>
        </w:rPr>
      </w:pPr>
      <w:r w:rsidRPr="007A229D">
        <w:rPr>
          <w:rFonts w:ascii="Verdana" w:hAnsi="Verdana" w:cs="Arial"/>
          <w:color w:val="000000" w:themeColor="text1"/>
        </w:rPr>
        <w:t>En la especie del género que nos corresponde en la consulta sobre las actividades de “apoyo a la gestión” son aquellas que están relacionadas con la administración o funcionamiento de la Entidad. La normativa del Sistema de Compra Pública no establece qué actividades específicas se pueden contratar por este medio, por lo cual la Entidad Estatal debe realizar la planeación del contrato y justificar su uso según su necesidad, el objeto contractual particular y la regulación al respecto.</w:t>
      </w:r>
    </w:p>
    <w:p w14:paraId="6F30277D" w14:textId="77777777" w:rsidR="00D370A7" w:rsidRPr="007A229D" w:rsidRDefault="00D370A7" w:rsidP="00D370A7">
      <w:pPr>
        <w:spacing w:after="0" w:line="240" w:lineRule="auto"/>
        <w:ind w:firstLine="709"/>
        <w:contextualSpacing/>
        <w:jc w:val="both"/>
        <w:rPr>
          <w:rFonts w:ascii="Verdana" w:hAnsi="Verdana" w:cs="Arial"/>
          <w:color w:val="000000" w:themeColor="text1"/>
          <w:lang w:val="es-ES_tradnl"/>
        </w:rPr>
      </w:pPr>
    </w:p>
    <w:p w14:paraId="2567DBE6" w14:textId="77777777" w:rsidR="00D370A7" w:rsidRPr="007A229D" w:rsidRDefault="00D370A7" w:rsidP="00D370A7">
      <w:pPr>
        <w:spacing w:after="0" w:line="276" w:lineRule="auto"/>
        <w:ind w:firstLine="709"/>
        <w:contextualSpacing/>
        <w:jc w:val="both"/>
        <w:rPr>
          <w:rFonts w:ascii="Verdana" w:hAnsi="Verdana" w:cs="Arial"/>
          <w:color w:val="000000" w:themeColor="text1"/>
          <w:lang w:val="es-ES_tradnl"/>
        </w:rPr>
      </w:pPr>
      <w:r w:rsidRPr="007A229D">
        <w:rPr>
          <w:rFonts w:ascii="Verdana" w:hAnsi="Verdana" w:cs="Arial"/>
          <w:color w:val="000000" w:themeColor="text1"/>
          <w:lang w:val="es-ES_tradnl"/>
        </w:rPr>
        <w:t xml:space="preserve">Lo expuesto, según la jurisprudencia citada, se diferencia del objeto del </w:t>
      </w:r>
      <w:r w:rsidRPr="007A229D">
        <w:rPr>
          <w:rFonts w:ascii="Verdana" w:hAnsi="Verdana" w:cs="Arial"/>
          <w:i/>
          <w:color w:val="000000" w:themeColor="text1"/>
          <w:lang w:val="es-ES_tradnl"/>
        </w:rPr>
        <w:t>contrato de prestación de servicios de apoyo a la gestión</w:t>
      </w:r>
      <w:r w:rsidRPr="007A229D">
        <w:rPr>
          <w:rFonts w:ascii="Verdana" w:hAnsi="Verdana" w:cs="Arial"/>
          <w:color w:val="000000" w:themeColor="text1"/>
          <w:lang w:val="es-ES_tradnl"/>
        </w:rPr>
        <w:t>, en los siguientes aspectos:</w:t>
      </w:r>
    </w:p>
    <w:p w14:paraId="1C6BD934" w14:textId="77777777" w:rsidR="00D370A7" w:rsidRPr="007A229D" w:rsidRDefault="00D370A7" w:rsidP="00D370A7">
      <w:pPr>
        <w:spacing w:after="0" w:line="276" w:lineRule="auto"/>
        <w:ind w:firstLine="709"/>
        <w:contextualSpacing/>
        <w:jc w:val="both"/>
        <w:rPr>
          <w:rFonts w:ascii="Verdana" w:hAnsi="Verdana" w:cs="Arial"/>
          <w:color w:val="000000" w:themeColor="text1"/>
          <w:lang w:val="es-ES_tradnl"/>
        </w:rPr>
      </w:pPr>
    </w:p>
    <w:p w14:paraId="707860C7" w14:textId="77777777" w:rsidR="00D370A7" w:rsidRPr="007A229D" w:rsidRDefault="00D370A7" w:rsidP="00D370A7">
      <w:pPr>
        <w:spacing w:after="0" w:line="240" w:lineRule="auto"/>
        <w:ind w:left="709" w:right="709"/>
        <w:jc w:val="both"/>
        <w:rPr>
          <w:rFonts w:ascii="Verdana" w:hAnsi="Verdana" w:cs="Arial"/>
          <w:color w:val="000000" w:themeColor="text1"/>
          <w:sz w:val="20"/>
          <w:szCs w:val="20"/>
          <w:lang w:val="es-ES_tradnl"/>
        </w:rPr>
      </w:pPr>
      <w:r w:rsidRPr="007A229D">
        <w:rPr>
          <w:rFonts w:ascii="Verdana" w:hAnsi="Verdana" w:cs="Arial"/>
          <w:color w:val="000000" w:themeColor="text1"/>
          <w:sz w:val="20"/>
          <w:szCs w:val="20"/>
          <w:lang w:val="es-ES_tradnl"/>
        </w:rPr>
        <w:t>“</w:t>
      </w:r>
      <w:bookmarkStart w:id="2" w:name="_Hlk172878040"/>
      <w:r w:rsidRPr="007A229D">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52597AC" w14:textId="77777777" w:rsidR="00D370A7" w:rsidRPr="007A229D" w:rsidRDefault="00D370A7" w:rsidP="00D370A7">
      <w:pPr>
        <w:spacing w:after="0" w:line="240" w:lineRule="auto"/>
        <w:ind w:left="709" w:right="709"/>
        <w:jc w:val="both"/>
        <w:rPr>
          <w:rFonts w:ascii="Verdana" w:hAnsi="Verdana" w:cs="Arial"/>
          <w:color w:val="000000" w:themeColor="text1"/>
          <w:sz w:val="20"/>
          <w:szCs w:val="20"/>
          <w:lang w:val="es-ES_tradnl"/>
        </w:rPr>
      </w:pPr>
    </w:p>
    <w:p w14:paraId="1E38722F" w14:textId="77777777" w:rsidR="00D370A7" w:rsidRPr="007A229D" w:rsidRDefault="00D370A7" w:rsidP="00D370A7">
      <w:pPr>
        <w:spacing w:after="0" w:line="240" w:lineRule="auto"/>
        <w:ind w:left="709" w:right="709"/>
        <w:jc w:val="both"/>
        <w:rPr>
          <w:rFonts w:ascii="Verdana" w:hAnsi="Verdana" w:cs="Arial"/>
          <w:color w:val="000000" w:themeColor="text1"/>
          <w:sz w:val="20"/>
          <w:szCs w:val="20"/>
          <w:lang w:val="es-ES"/>
        </w:rPr>
      </w:pPr>
      <w:r w:rsidRPr="007A229D">
        <w:rPr>
          <w:rFonts w:ascii="Verdana" w:hAnsi="Verdana" w:cs="Arial"/>
          <w:color w:val="000000" w:themeColor="text1"/>
          <w:sz w:val="20"/>
          <w:szCs w:val="20"/>
          <w:lang w:val="es-ES"/>
        </w:rPr>
        <w:t xml:space="preserve">Aunque también se caracteriza por el desempeño de actividad intelectiva, ésta </w:t>
      </w:r>
      <w:proofErr w:type="gramStart"/>
      <w:r w:rsidRPr="007A229D">
        <w:rPr>
          <w:rFonts w:ascii="Verdana" w:hAnsi="Verdana" w:cs="Arial"/>
          <w:color w:val="000000" w:themeColor="text1"/>
          <w:sz w:val="20"/>
          <w:szCs w:val="20"/>
          <w:lang w:val="es-ES"/>
        </w:rPr>
        <w:t>se enmarca dentro de</w:t>
      </w:r>
      <w:proofErr w:type="gramEnd"/>
      <w:r w:rsidRPr="007A229D">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76814099" w14:textId="77777777" w:rsidR="00D370A7" w:rsidRPr="007A229D" w:rsidRDefault="00D370A7" w:rsidP="00D370A7">
      <w:pPr>
        <w:spacing w:after="0" w:line="240" w:lineRule="auto"/>
        <w:ind w:left="709" w:right="709"/>
        <w:jc w:val="both"/>
        <w:rPr>
          <w:rFonts w:ascii="Verdana" w:hAnsi="Verdana" w:cs="Arial"/>
          <w:color w:val="000000" w:themeColor="text1"/>
          <w:sz w:val="20"/>
          <w:szCs w:val="20"/>
          <w:lang w:val="es-ES_tradnl"/>
        </w:rPr>
      </w:pPr>
    </w:p>
    <w:p w14:paraId="57983161" w14:textId="77777777" w:rsidR="00D370A7" w:rsidRPr="007A229D" w:rsidRDefault="00D370A7" w:rsidP="00D370A7">
      <w:pPr>
        <w:spacing w:after="0" w:line="240" w:lineRule="auto"/>
        <w:ind w:left="709" w:right="709"/>
        <w:jc w:val="both"/>
        <w:rPr>
          <w:rFonts w:ascii="Verdana" w:hAnsi="Verdana" w:cs="Arial"/>
          <w:color w:val="000000" w:themeColor="text1"/>
          <w:sz w:val="20"/>
          <w:szCs w:val="20"/>
          <w:lang w:val="es-ES_tradnl"/>
        </w:rPr>
      </w:pPr>
      <w:r w:rsidRPr="007A229D">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bookmarkEnd w:id="2"/>
      <w:r w:rsidRPr="007A229D">
        <w:rPr>
          <w:rFonts w:ascii="Verdana" w:hAnsi="Verdana" w:cs="Arial"/>
          <w:color w:val="000000" w:themeColor="text1"/>
          <w:sz w:val="20"/>
          <w:szCs w:val="20"/>
          <w:lang w:val="es-ES_tradnl"/>
        </w:rPr>
        <w:t>”</w:t>
      </w:r>
      <w:r w:rsidRPr="007A229D">
        <w:rPr>
          <w:rFonts w:ascii="Verdana" w:hAnsi="Verdana" w:cs="Arial"/>
          <w:color w:val="000000" w:themeColor="text1"/>
          <w:sz w:val="20"/>
          <w:szCs w:val="20"/>
          <w:vertAlign w:val="superscript"/>
          <w:lang w:val="es-ES_tradnl"/>
        </w:rPr>
        <w:footnoteReference w:id="15"/>
      </w:r>
      <w:r w:rsidRPr="007A229D">
        <w:rPr>
          <w:rFonts w:ascii="Verdana" w:hAnsi="Verdana" w:cs="Arial"/>
          <w:color w:val="000000" w:themeColor="text1"/>
          <w:sz w:val="20"/>
          <w:szCs w:val="20"/>
          <w:lang w:val="es-ES_tradnl"/>
        </w:rPr>
        <w:t>.</w:t>
      </w:r>
    </w:p>
    <w:p w14:paraId="04AB4390" w14:textId="77777777" w:rsidR="00D370A7" w:rsidRPr="007A229D" w:rsidRDefault="00D370A7" w:rsidP="00D370A7">
      <w:pPr>
        <w:spacing w:after="0" w:line="276" w:lineRule="auto"/>
        <w:ind w:firstLine="709"/>
        <w:jc w:val="both"/>
        <w:rPr>
          <w:rFonts w:ascii="Verdana" w:hAnsi="Verdana" w:cs="Arial"/>
          <w:color w:val="000000" w:themeColor="text1"/>
          <w:sz w:val="20"/>
          <w:szCs w:val="20"/>
          <w:lang w:val="es-ES_tradnl"/>
        </w:rPr>
      </w:pPr>
    </w:p>
    <w:p w14:paraId="394B9F50" w14:textId="77777777" w:rsidR="00D370A7" w:rsidRPr="007A229D" w:rsidRDefault="00D370A7" w:rsidP="00D370A7">
      <w:pPr>
        <w:spacing w:after="0" w:line="276" w:lineRule="auto"/>
        <w:ind w:firstLine="709"/>
        <w:jc w:val="both"/>
        <w:rPr>
          <w:rFonts w:ascii="Verdana" w:hAnsi="Verdana" w:cs="Arial"/>
          <w:color w:val="000000" w:themeColor="text1"/>
        </w:rPr>
      </w:pPr>
      <w:r w:rsidRPr="007A229D">
        <w:rPr>
          <w:rFonts w:ascii="Verdana" w:hAnsi="Verdana" w:cs="Arial"/>
          <w:color w:val="000000" w:themeColor="text1"/>
        </w:rPr>
        <w:t>El Departamento Nacional de Planeación establece que “en lo que refiere a las actividades asistenciales, conforme se señaló en los antecedentes del decreto (Decreto 4266 de 2010) que alimentan el espíritu del Reglamento, en la Memoria Justificativa, acápite “Antecedentes, razones de oportunidad y conveniencia que justifican su expedición”, el Departamento Nacional de Planeación lo delimitó a aquellas referidas a las actividades de apoyo y complementarias a las tareas propias de la entidad o a las labores que se caracterizan por el predominio de actividades manuales o tareas de simple ejecución realizadas por personas no profesionales ni comerciantes. En cuanto a las actividades operativas, debe entenderse por éstas las que, con carácter ocasional, deban contratarse para el desarrollo de actividades propias de la entidad por personal no profesional. En lo que respecta a las actividades logísticas, son aquellas que emplean un conjunto de medios y métodos necesarios para llevar a cabo la organización de un servicio o evento específico</w:t>
      </w:r>
      <w:r w:rsidRPr="007A229D">
        <w:rPr>
          <w:rStyle w:val="FootnoteReference"/>
          <w:rFonts w:ascii="Verdana" w:hAnsi="Verdana" w:cs="Arial"/>
          <w:color w:val="000000" w:themeColor="text1"/>
        </w:rPr>
        <w:footnoteReference w:id="16"/>
      </w:r>
      <w:r w:rsidRPr="007A229D">
        <w:rPr>
          <w:rFonts w:ascii="Verdana" w:hAnsi="Verdana" w:cs="Arial"/>
          <w:color w:val="000000" w:themeColor="text1"/>
        </w:rPr>
        <w:t>.”</w:t>
      </w:r>
    </w:p>
    <w:p w14:paraId="252B9C27" w14:textId="77777777" w:rsidR="00D370A7" w:rsidRPr="007A229D" w:rsidRDefault="00D370A7" w:rsidP="00D370A7">
      <w:pPr>
        <w:spacing w:after="0" w:line="276" w:lineRule="auto"/>
        <w:jc w:val="both"/>
        <w:rPr>
          <w:rFonts w:ascii="Verdana" w:hAnsi="Verdana" w:cs="Arial"/>
          <w:color w:val="000000" w:themeColor="text1"/>
        </w:rPr>
      </w:pPr>
    </w:p>
    <w:p w14:paraId="151240B7" w14:textId="77777777" w:rsidR="00D370A7" w:rsidRPr="007A229D" w:rsidRDefault="00D370A7" w:rsidP="00D370A7">
      <w:pPr>
        <w:spacing w:after="0" w:line="276" w:lineRule="auto"/>
        <w:ind w:firstLine="709"/>
        <w:jc w:val="both"/>
        <w:rPr>
          <w:rFonts w:ascii="Verdana" w:hAnsi="Verdana" w:cs="Arial"/>
          <w:color w:val="000000" w:themeColor="text1"/>
        </w:rPr>
      </w:pPr>
      <w:r w:rsidRPr="007A229D">
        <w:rPr>
          <w:rFonts w:ascii="Verdana" w:hAnsi="Verdana" w:cs="Arial"/>
          <w:color w:val="000000" w:themeColor="text1"/>
        </w:rPr>
        <w:t>Respecto a los servicios logísticos, acudimos a la definición adoptada por la -</w:t>
      </w:r>
      <w:proofErr w:type="spellStart"/>
      <w:r w:rsidRPr="007A229D">
        <w:rPr>
          <w:rFonts w:ascii="Verdana" w:hAnsi="Verdana" w:cs="Arial"/>
          <w:color w:val="000000" w:themeColor="text1"/>
        </w:rPr>
        <w:t>European</w:t>
      </w:r>
      <w:proofErr w:type="spellEnd"/>
      <w:r w:rsidRPr="007A229D">
        <w:rPr>
          <w:rFonts w:ascii="Verdana" w:hAnsi="Verdana" w:cs="Arial"/>
          <w:color w:val="000000" w:themeColor="text1"/>
        </w:rPr>
        <w:t xml:space="preserve"> </w:t>
      </w:r>
      <w:proofErr w:type="spellStart"/>
      <w:r w:rsidRPr="007A229D">
        <w:rPr>
          <w:rFonts w:ascii="Verdana" w:hAnsi="Verdana" w:cs="Arial"/>
          <w:color w:val="000000" w:themeColor="text1"/>
        </w:rPr>
        <w:t>Logistics</w:t>
      </w:r>
      <w:proofErr w:type="spellEnd"/>
      <w:r w:rsidRPr="007A229D">
        <w:rPr>
          <w:rFonts w:ascii="Verdana" w:hAnsi="Verdana" w:cs="Arial"/>
          <w:color w:val="000000" w:themeColor="text1"/>
        </w:rPr>
        <w:t xml:space="preserve"> </w:t>
      </w:r>
      <w:proofErr w:type="spellStart"/>
      <w:r w:rsidRPr="007A229D">
        <w:rPr>
          <w:rFonts w:ascii="Verdana" w:hAnsi="Verdana" w:cs="Arial"/>
          <w:color w:val="000000" w:themeColor="text1"/>
        </w:rPr>
        <w:t>Association</w:t>
      </w:r>
      <w:proofErr w:type="spellEnd"/>
      <w:r w:rsidRPr="007A229D">
        <w:rPr>
          <w:rFonts w:ascii="Verdana" w:hAnsi="Verdana" w:cs="Arial"/>
          <w:color w:val="000000" w:themeColor="text1"/>
        </w:rPr>
        <w:t>- como “</w:t>
      </w:r>
      <w:bookmarkStart w:id="3" w:name="_Hlk172878218"/>
      <w:r w:rsidRPr="007A229D">
        <w:rPr>
          <w:rFonts w:ascii="Verdana" w:hAnsi="Verdana" w:cs="Arial"/>
          <w:color w:val="000000" w:themeColor="text1"/>
        </w:rPr>
        <w:t>la organización, planificación, control y ejecución del flujo de bienes desde el desarrollo y compras, pasando por producción y distribución, hasta su puesta a disposición del consumidor final en orden a satisfacer las exigencias del mercado al mínimo coste y capital</w:t>
      </w:r>
      <w:bookmarkEnd w:id="3"/>
      <w:r w:rsidRPr="007A229D">
        <w:rPr>
          <w:rFonts w:ascii="Verdana" w:hAnsi="Verdana" w:cs="Arial"/>
          <w:color w:val="000000" w:themeColor="text1"/>
        </w:rPr>
        <w:t>”</w:t>
      </w:r>
      <w:r w:rsidRPr="007A229D">
        <w:rPr>
          <w:rStyle w:val="FootnoteReference"/>
          <w:rFonts w:ascii="Verdana" w:hAnsi="Verdana" w:cs="Arial"/>
          <w:color w:val="000000" w:themeColor="text1"/>
        </w:rPr>
        <w:footnoteReference w:id="17"/>
      </w:r>
      <w:r w:rsidRPr="007A229D">
        <w:rPr>
          <w:rFonts w:ascii="Verdana" w:hAnsi="Verdana" w:cs="Arial"/>
          <w:color w:val="000000" w:themeColor="text1"/>
        </w:rPr>
        <w:t>.</w:t>
      </w:r>
    </w:p>
    <w:p w14:paraId="784956F6" w14:textId="77777777" w:rsidR="00D370A7" w:rsidRPr="007A229D" w:rsidRDefault="00D370A7" w:rsidP="00D370A7">
      <w:pPr>
        <w:spacing w:after="0" w:line="276" w:lineRule="auto"/>
        <w:ind w:firstLine="709"/>
        <w:jc w:val="both"/>
        <w:rPr>
          <w:rFonts w:ascii="Verdana" w:hAnsi="Verdana" w:cs="Arial"/>
          <w:color w:val="000000" w:themeColor="text1"/>
        </w:rPr>
      </w:pPr>
    </w:p>
    <w:p w14:paraId="309A1B32" w14:textId="77777777" w:rsidR="00D370A7" w:rsidRPr="007A229D" w:rsidRDefault="00D370A7" w:rsidP="00D370A7">
      <w:pPr>
        <w:spacing w:after="0" w:line="276" w:lineRule="auto"/>
        <w:ind w:firstLine="709"/>
        <w:jc w:val="both"/>
        <w:rPr>
          <w:rFonts w:ascii="Verdana" w:hAnsi="Verdana" w:cs="Arial"/>
          <w:color w:val="000000" w:themeColor="text1"/>
        </w:rPr>
      </w:pPr>
      <w:r w:rsidRPr="007A229D">
        <w:rPr>
          <w:rFonts w:ascii="Verdana" w:hAnsi="Verdana" w:cs="Arial"/>
          <w:color w:val="000000" w:themeColor="text1"/>
        </w:rPr>
        <w:t>La logística comprende un conjunto de actividades que se refieren al aprovisionamiento de una empresa y a la distribución de sus productos en el mercado. En principio, la ejecución de estas actividades corresponde a uno o varios departamentos de la empresa, pero en ocasiones se encomienda a un tercero, a cambio de un precio. Cuando así ocurre, se establece un vínculo jurídico-mercantil entre el empresario y un operador logístico, vínculo que en la práctica suele recibir el nombre de «contrato de logística» o «contrato de prestación de servicios logísticos»</w:t>
      </w:r>
      <w:r w:rsidRPr="007A229D">
        <w:rPr>
          <w:rStyle w:val="FootnoteReference"/>
          <w:rFonts w:ascii="Verdana" w:hAnsi="Verdana" w:cs="Arial"/>
          <w:color w:val="000000" w:themeColor="text1"/>
        </w:rPr>
        <w:footnoteReference w:id="18"/>
      </w:r>
      <w:r w:rsidRPr="007A229D">
        <w:rPr>
          <w:rFonts w:ascii="Verdana" w:hAnsi="Verdana" w:cs="Arial"/>
          <w:color w:val="000000" w:themeColor="text1"/>
        </w:rPr>
        <w:t xml:space="preserve">. </w:t>
      </w:r>
    </w:p>
    <w:p w14:paraId="23122282" w14:textId="77777777" w:rsidR="00D370A7" w:rsidRPr="007A229D" w:rsidRDefault="00D370A7" w:rsidP="00D370A7">
      <w:pPr>
        <w:spacing w:after="0" w:line="276" w:lineRule="auto"/>
        <w:ind w:firstLine="709"/>
        <w:jc w:val="both"/>
        <w:rPr>
          <w:rFonts w:ascii="Verdana" w:hAnsi="Verdana" w:cs="Arial"/>
          <w:color w:val="000000" w:themeColor="text1"/>
        </w:rPr>
      </w:pPr>
    </w:p>
    <w:p w14:paraId="09C2AACC" w14:textId="15BFBBE0" w:rsidR="00D370A7" w:rsidRPr="007A229D" w:rsidRDefault="00D370A7" w:rsidP="00D370A7">
      <w:pPr>
        <w:spacing w:after="0" w:line="276" w:lineRule="auto"/>
        <w:ind w:firstLine="709"/>
        <w:jc w:val="both"/>
        <w:rPr>
          <w:rFonts w:ascii="Verdana" w:hAnsi="Verdana" w:cs="Arial"/>
          <w:color w:val="000000" w:themeColor="text1"/>
        </w:rPr>
      </w:pPr>
      <w:r w:rsidRPr="007A229D">
        <w:rPr>
          <w:rFonts w:ascii="Verdana" w:hAnsi="Verdana" w:cs="Arial"/>
          <w:color w:val="000000" w:themeColor="text1"/>
        </w:rPr>
        <w:t>Entendido lo que comprende la definición de logística en materia contractual; la prestación de servicios logísticos presenta una realidad propia, autónoma, independiente y compleja en la que se entremezclan aspectos de Derecho Privado y de Derecho Público.</w:t>
      </w:r>
    </w:p>
    <w:p w14:paraId="630020D9" w14:textId="77777777" w:rsidR="00D370A7" w:rsidRPr="007A229D" w:rsidRDefault="00D370A7" w:rsidP="00D370A7">
      <w:pPr>
        <w:spacing w:after="0" w:line="276" w:lineRule="auto"/>
        <w:ind w:firstLine="709"/>
        <w:jc w:val="both"/>
        <w:rPr>
          <w:rFonts w:ascii="Verdana" w:hAnsi="Verdana" w:cs="Arial"/>
          <w:color w:val="000000" w:themeColor="text1"/>
        </w:rPr>
      </w:pPr>
    </w:p>
    <w:p w14:paraId="53133908" w14:textId="77777777" w:rsidR="00871B59" w:rsidRPr="007A229D" w:rsidRDefault="00871B59" w:rsidP="00871B59">
      <w:pPr>
        <w:pStyle w:val="ListParagraph"/>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A229D">
        <w:rPr>
          <w:rFonts w:ascii="Verdana" w:eastAsia="Century Gothic" w:hAnsi="Verdana" w:cs="Century Gothic"/>
          <w:b/>
          <w:bCs/>
          <w:lang w:val="es-ES"/>
        </w:rPr>
        <w:t>Referencias normativas, jurisprudenciales y otras fuentes:</w:t>
      </w:r>
    </w:p>
    <w:p w14:paraId="237FD993" w14:textId="77777777" w:rsidR="00871B59" w:rsidRPr="007A229D" w:rsidRDefault="00871B59" w:rsidP="00871B59">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7A229D" w14:paraId="150F7C2A" w14:textId="77777777">
        <w:trPr>
          <w:trHeight w:val="870"/>
        </w:trPr>
        <w:tc>
          <w:tcPr>
            <w:tcW w:w="8647" w:type="dxa"/>
          </w:tcPr>
          <w:p w14:paraId="7ACAA4EE" w14:textId="229FCBAA" w:rsidR="00871B59" w:rsidRPr="00461BDB" w:rsidRDefault="00871B59" w:rsidP="00461BDB">
            <w:pPr>
              <w:pStyle w:val="ListParagraph"/>
              <w:widowControl w:val="0"/>
              <w:numPr>
                <w:ilvl w:val="0"/>
                <w:numId w:val="8"/>
              </w:numPr>
              <w:autoSpaceDE w:val="0"/>
              <w:autoSpaceDN w:val="0"/>
              <w:spacing w:after="120" w:line="360" w:lineRule="auto"/>
              <w:jc w:val="both"/>
              <w:rPr>
                <w:rFonts w:ascii="Verdana" w:hAnsi="Verdana" w:cs="Arial"/>
              </w:rPr>
            </w:pPr>
            <w:r w:rsidRPr="00461BDB">
              <w:rPr>
                <w:rFonts w:ascii="Verdana" w:hAnsi="Verdana" w:cs="Arial"/>
              </w:rPr>
              <w:t xml:space="preserve">Ley </w:t>
            </w:r>
            <w:r w:rsidR="00A432FC" w:rsidRPr="00461BDB">
              <w:rPr>
                <w:rFonts w:ascii="Verdana" w:hAnsi="Verdana" w:cs="Arial"/>
              </w:rPr>
              <w:t>80 de 1993</w:t>
            </w:r>
            <w:r w:rsidRPr="00461BDB">
              <w:rPr>
                <w:rFonts w:ascii="Verdana" w:hAnsi="Verdana" w:cs="Arial"/>
              </w:rPr>
              <w:t xml:space="preserve">, artículo </w:t>
            </w:r>
            <w:r w:rsidR="00A432FC" w:rsidRPr="00461BDB">
              <w:rPr>
                <w:rFonts w:ascii="Verdana" w:hAnsi="Verdana" w:cs="Arial"/>
              </w:rPr>
              <w:t>32</w:t>
            </w:r>
            <w:r w:rsidRPr="00461BDB">
              <w:rPr>
                <w:rFonts w:ascii="Verdana" w:hAnsi="Verdana" w:cs="Arial"/>
              </w:rPr>
              <w:t xml:space="preserve"> </w:t>
            </w:r>
          </w:p>
          <w:p w14:paraId="1441DCE3" w14:textId="314D275E" w:rsidR="00871B59" w:rsidRDefault="00511396" w:rsidP="009A24E9">
            <w:pPr>
              <w:pStyle w:val="ListParagraph"/>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461BDB">
              <w:rPr>
                <w:rFonts w:ascii="Verdana" w:hAnsi="Verdana" w:cs="Arial"/>
              </w:rPr>
              <w:t>Decreto 1082 de 2015</w:t>
            </w:r>
          </w:p>
          <w:p w14:paraId="1A315D16" w14:textId="606DD55B" w:rsidR="00461BDB" w:rsidRPr="00461BDB" w:rsidRDefault="00461BDB" w:rsidP="009A24E9">
            <w:pPr>
              <w:pStyle w:val="ListParagraph"/>
              <w:widowControl w:val="0"/>
              <w:numPr>
                <w:ilvl w:val="0"/>
                <w:numId w:val="8"/>
              </w:numPr>
              <w:tabs>
                <w:tab w:val="left" w:pos="8419"/>
              </w:tabs>
              <w:autoSpaceDE w:val="0"/>
              <w:autoSpaceDN w:val="0"/>
              <w:spacing w:after="120" w:line="276" w:lineRule="auto"/>
              <w:contextualSpacing w:val="0"/>
              <w:jc w:val="both"/>
              <w:rPr>
                <w:rFonts w:ascii="Verdana" w:hAnsi="Verdana" w:cs="Arial"/>
              </w:rPr>
            </w:pPr>
            <w:r>
              <w:rPr>
                <w:rFonts w:ascii="Verdana" w:hAnsi="Verdana" w:cs="Arial"/>
              </w:rPr>
              <w:t>Decreto 4266 de 2010</w:t>
            </w:r>
          </w:p>
          <w:p w14:paraId="3DC3BBD8" w14:textId="539D8EFE" w:rsidR="00871B59" w:rsidRPr="00461BDB" w:rsidRDefault="00A432FC" w:rsidP="00871B59">
            <w:pPr>
              <w:pStyle w:val="ListParagraph"/>
              <w:widowControl w:val="0"/>
              <w:numPr>
                <w:ilvl w:val="0"/>
                <w:numId w:val="8"/>
              </w:numPr>
              <w:autoSpaceDE w:val="0"/>
              <w:autoSpaceDN w:val="0"/>
              <w:spacing w:after="120" w:line="276" w:lineRule="auto"/>
              <w:contextualSpacing w:val="0"/>
              <w:jc w:val="both"/>
              <w:rPr>
                <w:rFonts w:ascii="Verdana" w:hAnsi="Verdana" w:cs="Arial"/>
              </w:rPr>
            </w:pPr>
            <w:r w:rsidRPr="00461BDB">
              <w:rPr>
                <w:rFonts w:ascii="Verdana" w:hAnsi="Verdana" w:cs="Arial"/>
              </w:rPr>
              <w:t>Concepto del Departamento Nacional de Planeación número 20118010153521 del 10 de marzo de 2011</w:t>
            </w:r>
          </w:p>
          <w:p w14:paraId="190A1CF8" w14:textId="77777777" w:rsidR="00871B59" w:rsidRDefault="00871B59" w:rsidP="00871B59">
            <w:pPr>
              <w:pStyle w:val="ListParagraph"/>
              <w:widowControl w:val="0"/>
              <w:numPr>
                <w:ilvl w:val="0"/>
                <w:numId w:val="8"/>
              </w:numPr>
              <w:autoSpaceDE w:val="0"/>
              <w:autoSpaceDN w:val="0"/>
              <w:spacing w:after="120" w:line="276" w:lineRule="auto"/>
              <w:contextualSpacing w:val="0"/>
              <w:jc w:val="both"/>
              <w:rPr>
                <w:rFonts w:ascii="Verdana" w:hAnsi="Verdana" w:cs="Arial"/>
              </w:rPr>
            </w:pPr>
            <w:r w:rsidRPr="00461BDB">
              <w:rPr>
                <w:rFonts w:ascii="Verdana" w:hAnsi="Verdana" w:cs="Arial"/>
              </w:rPr>
              <w:t xml:space="preserve">Jurisprudencia del Consejo de Estado. Disponible en: </w:t>
            </w:r>
            <w:hyperlink r:id="rId13" w:history="1">
              <w:r w:rsidRPr="007A229D">
                <w:rPr>
                  <w:rStyle w:val="Hyperlink"/>
                  <w:rFonts w:ascii="Verdana" w:hAnsi="Verdana" w:cs="Arial"/>
                </w:rPr>
                <w:t>https://relatoria.colombiacompra.gov.co/providencias-consejo-de-estado/</w:t>
              </w:r>
            </w:hyperlink>
            <w:r w:rsidRPr="007A229D">
              <w:rPr>
                <w:rFonts w:ascii="Verdana" w:hAnsi="Verdana" w:cs="Arial"/>
              </w:rPr>
              <w:t xml:space="preserve"> </w:t>
            </w:r>
          </w:p>
          <w:p w14:paraId="631224C7" w14:textId="32B451B1" w:rsidR="00E93653" w:rsidRPr="007A229D" w:rsidRDefault="00E93653" w:rsidP="00871B59">
            <w:pPr>
              <w:pStyle w:val="ListParagraph"/>
              <w:widowControl w:val="0"/>
              <w:numPr>
                <w:ilvl w:val="0"/>
                <w:numId w:val="8"/>
              </w:numPr>
              <w:autoSpaceDE w:val="0"/>
              <w:autoSpaceDN w:val="0"/>
              <w:spacing w:after="120" w:line="276" w:lineRule="auto"/>
              <w:contextualSpacing w:val="0"/>
              <w:jc w:val="both"/>
              <w:rPr>
                <w:rFonts w:ascii="Verdana" w:hAnsi="Verdana" w:cs="Arial"/>
              </w:rPr>
            </w:pPr>
            <w:r>
              <w:rPr>
                <w:rFonts w:ascii="Verdana" w:hAnsi="Verdana" w:cs="Arial"/>
              </w:rPr>
              <w:t xml:space="preserve">Jurisprudencia de la Corte Constitucional. Disponible en: </w:t>
            </w:r>
            <w:hyperlink r:id="rId14" w:history="1">
              <w:r w:rsidR="0085069C" w:rsidRPr="00572249">
                <w:rPr>
                  <w:rStyle w:val="Hyperlink"/>
                  <w:rFonts w:ascii="Verdana" w:hAnsi="Verdana" w:cs="Arial"/>
                </w:rPr>
                <w:t>https://www.corteconstitucional.gov.co/relatoria/#</w:t>
              </w:r>
            </w:hyperlink>
            <w:r w:rsidR="0085069C">
              <w:rPr>
                <w:rFonts w:ascii="Verdana" w:hAnsi="Verdana" w:cs="Arial"/>
              </w:rPr>
              <w:t xml:space="preserve"> </w:t>
            </w:r>
          </w:p>
          <w:p w14:paraId="34062538" w14:textId="77777777" w:rsidR="00871B59" w:rsidRPr="007A229D" w:rsidRDefault="00871B59" w:rsidP="00871B59">
            <w:pPr>
              <w:pStyle w:val="ListParagraph"/>
              <w:widowControl w:val="0"/>
              <w:numPr>
                <w:ilvl w:val="0"/>
                <w:numId w:val="8"/>
              </w:numPr>
              <w:autoSpaceDE w:val="0"/>
              <w:autoSpaceDN w:val="0"/>
              <w:spacing w:after="120" w:line="276" w:lineRule="auto"/>
              <w:contextualSpacing w:val="0"/>
              <w:jc w:val="both"/>
              <w:rPr>
                <w:rFonts w:ascii="Verdana" w:hAnsi="Verdana" w:cs="Arial"/>
              </w:rPr>
            </w:pPr>
            <w:r w:rsidRPr="00461BDB">
              <w:rPr>
                <w:rFonts w:ascii="Verdana" w:hAnsi="Verdana" w:cs="Arial"/>
              </w:rPr>
              <w:t>Guías y manuales expedidos por la ANCP-CCE. Disponible en:</w:t>
            </w:r>
            <w:r w:rsidRPr="00461BDB">
              <w:rPr>
                <w:rFonts w:ascii="Verdana" w:hAnsi="Verdana"/>
              </w:rPr>
              <w:t xml:space="preserve"> </w:t>
            </w:r>
            <w:hyperlink r:id="rId15" w:history="1">
              <w:r w:rsidRPr="007A229D">
                <w:rPr>
                  <w:rStyle w:val="Hyperlink"/>
                  <w:rFonts w:ascii="Verdana" w:hAnsi="Verdana" w:cs="Arial"/>
                </w:rPr>
                <w:t>https://www.colombiacompra.gov.co/manuales-guias-y-pliegos-tipo/manuales-y-guias</w:t>
              </w:r>
            </w:hyperlink>
            <w:r w:rsidRPr="007A229D">
              <w:rPr>
                <w:rFonts w:ascii="Verdana" w:hAnsi="Verdana" w:cs="Arial"/>
              </w:rPr>
              <w:t xml:space="preserve"> </w:t>
            </w:r>
          </w:p>
          <w:p w14:paraId="6ACEA7FD" w14:textId="77777777" w:rsidR="00871B59" w:rsidRPr="007A229D" w:rsidRDefault="00871B59">
            <w:pPr>
              <w:widowControl w:val="0"/>
              <w:autoSpaceDE w:val="0"/>
              <w:autoSpaceDN w:val="0"/>
              <w:spacing w:after="120" w:line="276" w:lineRule="auto"/>
              <w:ind w:left="360"/>
              <w:jc w:val="both"/>
              <w:rPr>
                <w:rFonts w:ascii="Verdana" w:hAnsi="Verdana" w:cs="Arial"/>
              </w:rPr>
            </w:pPr>
          </w:p>
        </w:tc>
      </w:tr>
    </w:tbl>
    <w:p w14:paraId="0E1B166D" w14:textId="77777777" w:rsidR="00871B59" w:rsidRPr="007A229D"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7A229D" w:rsidRDefault="00871B59" w:rsidP="00871B59">
      <w:pPr>
        <w:pStyle w:val="ListParagraph"/>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7A229D">
        <w:rPr>
          <w:rFonts w:ascii="Verdana" w:eastAsia="Century Gothic" w:hAnsi="Verdana" w:cs="Century Gothic"/>
          <w:b/>
          <w:bCs/>
          <w:lang w:val="es-ES"/>
        </w:rPr>
        <w:t>Doctrina de la Agencia Nacional de Contratación Pública:</w:t>
      </w:r>
    </w:p>
    <w:p w14:paraId="41294D6D" w14:textId="77777777" w:rsidR="00871B59" w:rsidRPr="007A229D" w:rsidRDefault="00871B59" w:rsidP="00871B59">
      <w:pPr>
        <w:widowControl w:val="0"/>
        <w:autoSpaceDE w:val="0"/>
        <w:autoSpaceDN w:val="0"/>
        <w:spacing w:after="0" w:line="276" w:lineRule="auto"/>
        <w:jc w:val="both"/>
        <w:rPr>
          <w:rFonts w:ascii="Verdana" w:hAnsi="Verdana" w:cs="Arial"/>
        </w:rPr>
      </w:pPr>
    </w:p>
    <w:p w14:paraId="688C30E7" w14:textId="0E5B343A" w:rsidR="00871B59" w:rsidRPr="007A229D"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A229D">
        <w:rPr>
          <w:rStyle w:val="normaltextrun"/>
          <w:rFonts w:ascii="Verdana" w:hAnsi="Verdana" w:cs="Arial"/>
          <w:shd w:val="clear" w:color="auto" w:fill="FFFFFF"/>
          <w:lang w:val="es-ES"/>
        </w:rPr>
        <w:t xml:space="preserve">Sobre el </w:t>
      </w:r>
      <w:r w:rsidR="00D370A7" w:rsidRPr="007A229D">
        <w:rPr>
          <w:rStyle w:val="normaltextrun"/>
          <w:rFonts w:ascii="Verdana" w:hAnsi="Verdana" w:cs="Arial"/>
          <w:shd w:val="clear" w:color="auto" w:fill="FFFFFF"/>
          <w:lang w:val="es-ES"/>
        </w:rPr>
        <w:t xml:space="preserve">contrato de </w:t>
      </w:r>
      <w:r w:rsidR="007A229D" w:rsidRPr="007A229D">
        <w:rPr>
          <w:rStyle w:val="normaltextrun"/>
          <w:rFonts w:ascii="Verdana" w:hAnsi="Verdana" w:cs="Arial"/>
          <w:shd w:val="clear" w:color="auto" w:fill="FFFFFF"/>
          <w:lang w:val="es-ES"/>
        </w:rPr>
        <w:t xml:space="preserve">prestación de servicios profesionales y de apoyo a la gestión </w:t>
      </w:r>
      <w:r w:rsidRPr="007A229D">
        <w:rPr>
          <w:rStyle w:val="normaltextrun"/>
          <w:rFonts w:ascii="Verdana" w:hAnsi="Verdana" w:cs="Arial"/>
          <w:shd w:val="clear" w:color="auto" w:fill="FFFFFF"/>
          <w:lang w:val="es-ES"/>
        </w:rPr>
        <w:t>se pronunció esta Subdirección en los conceptos</w:t>
      </w:r>
      <w:r w:rsidRPr="007A229D">
        <w:rPr>
          <w:rStyle w:val="normaltextrun"/>
          <w:rFonts w:ascii="Verdana" w:hAnsi="Verdana" w:cs="Calibri"/>
          <w:shd w:val="clear" w:color="auto" w:fill="FFFFFF"/>
        </w:rPr>
        <w:t xml:space="preserve"> </w:t>
      </w:r>
      <w:r w:rsidR="00D370A7" w:rsidRPr="007A229D">
        <w:rPr>
          <w:rFonts w:ascii="Verdana" w:hAnsi="Verdana" w:cs="Arial"/>
          <w:shd w:val="clear" w:color="auto" w:fill="FFFFFF"/>
        </w:rPr>
        <w:t>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2020,C−379 del 30 de junio de 2020, C−414 del 30 de junio de 2020, C-661 del 17 de noviembre de 2020 C−685 del 18 de diciembre de 2020, C- 004 del 12 de febrero de 2021, C−106 del 7 de abril de 2021, C-181 del 07 de abril de 2022, C-214 del 22 de abril de 2022, C-491 de 01 de agosto de 2022, C- 936 de 19 de diciembre de 2022, C- 057 de 29 de marzo de 2023, C-102 de 5 de mayo de 2023, C-135 de 25 de mayo de 2023, C-178 de 8 de junio de 2023, C-192 de 13 de junio de 2023, C-334 de 17 de agosto de 2023, C-420 de 10 de octubre de 2023, C-443 de 21 de octubre de 2023, entre otros</w:t>
      </w:r>
      <w:r w:rsidR="00D370A7" w:rsidRPr="007A229D">
        <w:rPr>
          <w:rFonts w:ascii="Verdana" w:hAnsi="Verdana" w:cs="Arial"/>
          <w:shd w:val="clear" w:color="auto" w:fill="FFFFFF"/>
          <w:vertAlign w:val="superscript"/>
        </w:rPr>
        <w:footnoteReference w:id="19"/>
      </w:r>
      <w:r w:rsidRPr="007A229D">
        <w:rPr>
          <w:rStyle w:val="normaltextrun"/>
          <w:rFonts w:ascii="Verdana" w:hAnsi="Verdana" w:cs="Arial"/>
          <w:shd w:val="clear" w:color="auto" w:fill="FFFFFF"/>
          <w:lang w:val="es-ES"/>
        </w:rPr>
        <w:t>. Es</w:t>
      </w:r>
      <w:r w:rsidRPr="007A229D">
        <w:rPr>
          <w:rFonts w:ascii="Verdana" w:hAnsi="Verdana"/>
        </w:rPr>
        <w:t>tos y otros conceptos se encuentran disponibles para consulta en el Sistema de relatoría de la Agencia, al cual se puede acceder a través del siguiente enlace:</w:t>
      </w:r>
      <w:r w:rsidRPr="007A229D">
        <w:rPr>
          <w:rStyle w:val="normaltextrun"/>
          <w:rFonts w:ascii="Verdana" w:hAnsi="Verdana" w:cs="Arial"/>
          <w:shd w:val="clear" w:color="auto" w:fill="FFFFFF"/>
          <w:lang w:val="es-ES"/>
        </w:rPr>
        <w:t xml:space="preserve"> </w:t>
      </w:r>
      <w:hyperlink r:id="rId16" w:history="1">
        <w:r w:rsidRPr="007A229D">
          <w:rPr>
            <w:rStyle w:val="Hyperlink"/>
            <w:rFonts w:ascii="Verdana" w:hAnsi="Verdana" w:cs="Arial"/>
            <w:shd w:val="clear" w:color="auto" w:fill="FFFFFF"/>
            <w:lang w:val="es-ES"/>
          </w:rPr>
          <w:t>https://relatoria.colombiacompra.gov.co/busqueda/conceptos</w:t>
        </w:r>
      </w:hyperlink>
      <w:r w:rsidRPr="007A229D">
        <w:rPr>
          <w:rStyle w:val="normaltextrun"/>
          <w:rFonts w:ascii="Verdana" w:hAnsi="Verdana" w:cs="Arial"/>
          <w:color w:val="FF0000"/>
          <w:shd w:val="clear" w:color="auto" w:fill="FFFFFF"/>
          <w:lang w:val="es-ES"/>
        </w:rPr>
        <w:t xml:space="preserve"> </w:t>
      </w:r>
    </w:p>
    <w:p w14:paraId="653CF3BE" w14:textId="77777777" w:rsidR="00871B59" w:rsidRPr="007A229D"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Pr="007A229D"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7A229D">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7A229D">
        <w:rPr>
          <w:rStyle w:val="normaltextrun"/>
          <w:rFonts w:ascii="Verdana" w:hAnsi="Verdana" w:cs="Arial"/>
          <w:color w:val="FF0000"/>
          <w:shd w:val="clear" w:color="auto" w:fill="FFFFFF"/>
          <w:lang w:val="es-ES"/>
        </w:rPr>
        <w:t xml:space="preserve"> </w:t>
      </w:r>
      <w:hyperlink r:id="rId17" w:history="1">
        <w:r w:rsidRPr="007A229D">
          <w:rPr>
            <w:rStyle w:val="Hyperlink"/>
            <w:rFonts w:ascii="Verdana" w:hAnsi="Verdana" w:cs="Arial"/>
            <w:shd w:val="clear" w:color="auto" w:fill="FFFFFF"/>
            <w:lang w:val="es-ES"/>
          </w:rPr>
          <w:t>https://www.colombiacompra.gov.co/sala-de-prensa/boletin-digital</w:t>
        </w:r>
      </w:hyperlink>
      <w:r w:rsidRPr="007A229D">
        <w:rPr>
          <w:rStyle w:val="normaltextrun"/>
          <w:rFonts w:ascii="Verdana" w:hAnsi="Verdana" w:cs="Arial"/>
          <w:color w:val="FF0000"/>
          <w:shd w:val="clear" w:color="auto" w:fill="FFFFFF"/>
          <w:lang w:val="es-ES"/>
        </w:rPr>
        <w:t xml:space="preserve">      </w:t>
      </w:r>
    </w:p>
    <w:p w14:paraId="1570ED43" w14:textId="77777777" w:rsidR="008815E5" w:rsidRPr="007A229D" w:rsidRDefault="008815E5" w:rsidP="008815E5">
      <w:pPr>
        <w:spacing w:after="0" w:line="240" w:lineRule="auto"/>
        <w:jc w:val="both"/>
        <w:rPr>
          <w:rFonts w:ascii="Verdana" w:hAnsi="Verdana"/>
        </w:rPr>
      </w:pPr>
      <w:r w:rsidRPr="007A229D">
        <w:rPr>
          <w:rFonts w:ascii="Verdana" w:hAnsi="Verdana"/>
        </w:rPr>
        <w:t xml:space="preserve">Por último, lo invitamos a seguirnos en las redes sociales en las cuales se difunde información institucional: </w:t>
      </w:r>
    </w:p>
    <w:p w14:paraId="284AF384" w14:textId="77777777" w:rsidR="008815E5" w:rsidRPr="007A229D" w:rsidRDefault="008815E5" w:rsidP="008815E5">
      <w:pPr>
        <w:spacing w:after="0" w:line="240" w:lineRule="auto"/>
        <w:jc w:val="both"/>
        <w:rPr>
          <w:rFonts w:ascii="Verdana" w:hAnsi="Verdana"/>
        </w:rPr>
      </w:pPr>
    </w:p>
    <w:p w14:paraId="5E6CD010" w14:textId="77777777" w:rsidR="008815E5" w:rsidRPr="007A229D" w:rsidRDefault="008815E5" w:rsidP="008815E5">
      <w:pPr>
        <w:spacing w:after="0" w:line="240" w:lineRule="auto"/>
        <w:jc w:val="both"/>
        <w:rPr>
          <w:rFonts w:ascii="Verdana" w:hAnsi="Verdana"/>
        </w:rPr>
      </w:pPr>
      <w:r w:rsidRPr="007A229D">
        <w:rPr>
          <w:rFonts w:ascii="Verdana" w:hAnsi="Verdana"/>
        </w:rPr>
        <w:t xml:space="preserve">Twitter: </w:t>
      </w:r>
      <w:r w:rsidRPr="007A229D">
        <w:rPr>
          <w:rStyle w:val="Hyperlink"/>
          <w:rFonts w:ascii="Verdana" w:hAnsi="Verdana"/>
          <w:color w:val="4472C4" w:themeColor="accent1"/>
        </w:rPr>
        <w:t>@colombiacompra</w:t>
      </w:r>
      <w:r w:rsidRPr="007A229D">
        <w:rPr>
          <w:rFonts w:ascii="Verdana" w:hAnsi="Verdana"/>
          <w:color w:val="4472C4" w:themeColor="accent1"/>
        </w:rPr>
        <w:t xml:space="preserve"> </w:t>
      </w:r>
    </w:p>
    <w:p w14:paraId="0F76F019" w14:textId="77777777" w:rsidR="008815E5" w:rsidRPr="007A229D" w:rsidRDefault="008815E5" w:rsidP="008815E5">
      <w:pPr>
        <w:spacing w:after="0" w:line="240" w:lineRule="auto"/>
        <w:jc w:val="both"/>
        <w:rPr>
          <w:rFonts w:ascii="Verdana" w:hAnsi="Verdana"/>
        </w:rPr>
      </w:pPr>
      <w:r w:rsidRPr="007A229D">
        <w:rPr>
          <w:rFonts w:ascii="Verdana" w:hAnsi="Verdana"/>
        </w:rPr>
        <w:t xml:space="preserve">Facebook: </w:t>
      </w:r>
      <w:proofErr w:type="spellStart"/>
      <w:r w:rsidRPr="007A229D">
        <w:rPr>
          <w:rStyle w:val="Hyperlink"/>
          <w:rFonts w:ascii="Verdana" w:hAnsi="Verdana"/>
          <w:color w:val="4472C4" w:themeColor="accent1"/>
        </w:rPr>
        <w:t>ColombiaCompraEficiente</w:t>
      </w:r>
      <w:proofErr w:type="spellEnd"/>
    </w:p>
    <w:p w14:paraId="60E5B357" w14:textId="77777777" w:rsidR="008815E5" w:rsidRPr="007A229D" w:rsidRDefault="008815E5" w:rsidP="008815E5">
      <w:pPr>
        <w:spacing w:after="0" w:line="240" w:lineRule="auto"/>
        <w:jc w:val="both"/>
        <w:rPr>
          <w:rFonts w:ascii="Verdana" w:hAnsi="Verdana"/>
        </w:rPr>
      </w:pPr>
      <w:r w:rsidRPr="007A229D">
        <w:rPr>
          <w:rFonts w:ascii="Verdana" w:hAnsi="Verdana"/>
        </w:rPr>
        <w:t xml:space="preserve">LinkedIn: </w:t>
      </w:r>
      <w:r w:rsidRPr="007A229D">
        <w:rPr>
          <w:rStyle w:val="Hyperlink"/>
          <w:rFonts w:ascii="Verdana" w:hAnsi="Verdana"/>
          <w:color w:val="4472C4" w:themeColor="accent1"/>
        </w:rPr>
        <w:t>Agencia Nacional de Contratación Pública - Colombia Compra Eficiente</w:t>
      </w:r>
      <w:r w:rsidRPr="007A229D">
        <w:rPr>
          <w:rFonts w:ascii="Verdana" w:hAnsi="Verdana"/>
          <w:color w:val="4472C4" w:themeColor="accent1"/>
        </w:rPr>
        <w:t xml:space="preserve"> </w:t>
      </w:r>
      <w:r w:rsidRPr="007A229D">
        <w:rPr>
          <w:rFonts w:ascii="Verdana" w:hAnsi="Verdana"/>
        </w:rPr>
        <w:t xml:space="preserve">Instagram: </w:t>
      </w:r>
      <w:r w:rsidRPr="007A229D">
        <w:rPr>
          <w:rStyle w:val="Hyperlink"/>
          <w:rFonts w:ascii="Verdana" w:hAnsi="Verdana"/>
          <w:color w:val="4472C4" w:themeColor="accent1"/>
        </w:rPr>
        <w:t>@colombiacompraeficiente_cce</w:t>
      </w:r>
    </w:p>
    <w:p w14:paraId="6980ECB3" w14:textId="77777777" w:rsidR="00871B59" w:rsidRPr="007A229D"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7A229D" w:rsidRDefault="00871B59" w:rsidP="00871B59">
      <w:pPr>
        <w:widowControl w:val="0"/>
        <w:autoSpaceDE w:val="0"/>
        <w:autoSpaceDN w:val="0"/>
        <w:spacing w:after="0" w:line="276" w:lineRule="auto"/>
        <w:jc w:val="both"/>
        <w:rPr>
          <w:rFonts w:ascii="Verdana" w:hAnsi="Verdana" w:cs="Arial"/>
          <w:lang w:val="es-ES_tradnl"/>
        </w:rPr>
      </w:pPr>
      <w:r w:rsidRPr="007A229D">
        <w:rPr>
          <w:rFonts w:ascii="Verdana" w:hAnsi="Verdana" w:cs="Arial"/>
        </w:rPr>
        <w:t xml:space="preserve">Este concepto tiene el alcance previsto en el artículo 28 del Código de Procedimiento Administrativo y de lo Contencioso Administrativo </w:t>
      </w:r>
      <w:r w:rsidRPr="007A229D">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7A229D"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7A229D" w:rsidRDefault="00871B59" w:rsidP="00871B59">
      <w:pPr>
        <w:spacing w:after="0" w:line="240" w:lineRule="auto"/>
        <w:rPr>
          <w:rFonts w:ascii="Verdana" w:hAnsi="Verdana" w:cs="Arial"/>
          <w:lang w:eastAsia="es-CO"/>
        </w:rPr>
      </w:pPr>
      <w:r w:rsidRPr="007A229D">
        <w:rPr>
          <w:rFonts w:ascii="Verdana" w:eastAsia="Times New Roman" w:hAnsi="Verdana" w:cs="Arial"/>
          <w:lang w:eastAsia="es-CO"/>
        </w:rPr>
        <w:t>Atentamente,</w:t>
      </w:r>
      <w:r w:rsidRPr="007A229D">
        <w:rPr>
          <w:rFonts w:ascii="Verdana" w:hAnsi="Verdana" w:cs="Arial"/>
          <w:lang w:eastAsia="es-CO"/>
        </w:rPr>
        <w:t xml:space="preserve"> </w:t>
      </w:r>
    </w:p>
    <w:p w14:paraId="694E7D53" w14:textId="77777777" w:rsidR="007A229D" w:rsidRPr="007A229D" w:rsidRDefault="007A229D" w:rsidP="00871B59">
      <w:pPr>
        <w:spacing w:line="276" w:lineRule="auto"/>
        <w:jc w:val="center"/>
        <w:rPr>
          <w:rFonts w:ascii="Verdana" w:hAnsi="Verdana" w:cs="Arial"/>
          <w:color w:val="000000"/>
          <w:lang w:val="es-ES_tradnl" w:eastAsia="es-CO"/>
        </w:rPr>
      </w:pPr>
    </w:p>
    <w:p w14:paraId="7B21B32E" w14:textId="2546612D" w:rsidR="00871B59" w:rsidRDefault="00BB7B39" w:rsidP="00871B59">
      <w:pPr>
        <w:spacing w:line="276" w:lineRule="auto"/>
        <w:jc w:val="center"/>
        <w:rPr>
          <w:rFonts w:ascii="Verdana" w:hAnsi="Verdana" w:cs="Arial"/>
          <w:color w:val="000000"/>
          <w:lang w:val="es-ES_tradnl" w:eastAsia="es-CO"/>
        </w:rPr>
      </w:pPr>
      <w:r>
        <w:rPr>
          <w:rFonts w:ascii="Verdana" w:hAnsi="Verdana" w:cs="Arial"/>
          <w:noProof/>
          <w:color w:val="000000"/>
          <w:lang w:val="es-ES_tradnl" w:eastAsia="es-CO"/>
        </w:rPr>
        <w:drawing>
          <wp:inline distT="0" distB="0" distL="0" distR="0" wp14:anchorId="113E22C3" wp14:editId="3BF2324F">
            <wp:extent cx="3773805" cy="1402080"/>
            <wp:effectExtent l="0" t="0" r="0" b="7620"/>
            <wp:docPr id="7836019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3805" cy="1402080"/>
                    </a:xfrm>
                    <a:prstGeom prst="rect">
                      <a:avLst/>
                    </a:prstGeom>
                    <a:noFill/>
                  </pic:spPr>
                </pic:pic>
              </a:graphicData>
            </a:graphic>
          </wp:inline>
        </w:drawing>
      </w:r>
    </w:p>
    <w:p w14:paraId="604EB825" w14:textId="77777777" w:rsidR="00A432FC" w:rsidRPr="007A229D" w:rsidRDefault="00A432FC" w:rsidP="00871B59">
      <w:pPr>
        <w:spacing w:line="276" w:lineRule="auto"/>
        <w:jc w:val="center"/>
        <w:rPr>
          <w:rFonts w:ascii="Verdana" w:hAnsi="Verdana" w:cs="Arial"/>
          <w:color w:val="000000"/>
          <w:lang w:val="es-ES_tradnl" w:eastAsia="es-CO"/>
        </w:rPr>
      </w:pPr>
    </w:p>
    <w:p w14:paraId="60580AB2" w14:textId="77777777" w:rsidR="007A229D" w:rsidRPr="007A229D" w:rsidRDefault="007A229D" w:rsidP="007A229D">
      <w:pPr>
        <w:spacing w:after="0" w:line="240" w:lineRule="auto"/>
        <w:jc w:val="center"/>
        <w:textAlignment w:val="baseline"/>
        <w:rPr>
          <w:rFonts w:ascii="Verdana" w:eastAsia="Times New Roman" w:hAnsi="Verdana" w:cs="Arial"/>
          <w:sz w:val="18"/>
          <w:szCs w:val="18"/>
          <w:lang w:eastAsia="es-CO"/>
        </w:rPr>
      </w:pPr>
      <w:r w:rsidRPr="007A229D">
        <w:rPr>
          <w:rFonts w:ascii="Verdana" w:eastAsia="Times New Roman" w:hAnsi="Verdana" w:cs="Arial"/>
          <w:sz w:val="18"/>
          <w:szCs w:val="18"/>
          <w:lang w:eastAsia="es-CO"/>
        </w:rPr>
        <w:t> </w:t>
      </w:r>
    </w:p>
    <w:tbl>
      <w:tblPr>
        <w:tblW w:w="56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
        <w:gridCol w:w="4868"/>
      </w:tblGrid>
      <w:tr w:rsidR="007A229D" w:rsidRPr="007A229D" w14:paraId="45B05A4E" w14:textId="77777777">
        <w:trPr>
          <w:trHeight w:val="282"/>
        </w:trPr>
        <w:tc>
          <w:tcPr>
            <w:tcW w:w="802" w:type="dxa"/>
            <w:tcBorders>
              <w:top w:val="nil"/>
              <w:left w:val="nil"/>
              <w:bottom w:val="nil"/>
              <w:right w:val="nil"/>
            </w:tcBorders>
            <w:shd w:val="clear" w:color="auto" w:fill="auto"/>
            <w:vAlign w:val="center"/>
            <w:hideMark/>
          </w:tcPr>
          <w:p w14:paraId="2C9F32EB"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Elaboró:  </w:t>
            </w:r>
          </w:p>
        </w:tc>
        <w:tc>
          <w:tcPr>
            <w:tcW w:w="4868" w:type="dxa"/>
            <w:tcBorders>
              <w:top w:val="nil"/>
              <w:left w:val="nil"/>
              <w:bottom w:val="dotted" w:sz="6" w:space="0" w:color="7F7F7F" w:themeColor="text1" w:themeTint="80"/>
              <w:right w:val="nil"/>
            </w:tcBorders>
            <w:shd w:val="clear" w:color="auto" w:fill="auto"/>
            <w:vAlign w:val="center"/>
            <w:hideMark/>
          </w:tcPr>
          <w:p w14:paraId="72713C8E"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Leonardo Pinzón Pachón</w:t>
            </w:r>
          </w:p>
          <w:p w14:paraId="7D2D15F5"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Contratista de la Subdirección de Gestión Contractual </w:t>
            </w:r>
          </w:p>
        </w:tc>
      </w:tr>
      <w:tr w:rsidR="007A229D" w:rsidRPr="007A229D" w14:paraId="4ECD8380" w14:textId="77777777">
        <w:trPr>
          <w:trHeight w:val="282"/>
        </w:trPr>
        <w:tc>
          <w:tcPr>
            <w:tcW w:w="802" w:type="dxa"/>
            <w:tcBorders>
              <w:top w:val="nil"/>
              <w:left w:val="nil"/>
              <w:bottom w:val="nil"/>
              <w:right w:val="nil"/>
            </w:tcBorders>
            <w:shd w:val="clear" w:color="auto" w:fill="auto"/>
            <w:vAlign w:val="center"/>
            <w:hideMark/>
          </w:tcPr>
          <w:p w14:paraId="19853762"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Revisó:  </w:t>
            </w:r>
          </w:p>
        </w:tc>
        <w:tc>
          <w:tcPr>
            <w:tcW w:w="4868"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26AA644C"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Libardo Alberto Verjel De Filippis</w:t>
            </w:r>
          </w:p>
          <w:p w14:paraId="71D68C33"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Experto G3-08 de la Subdirección de Gestión Contractual</w:t>
            </w:r>
          </w:p>
        </w:tc>
      </w:tr>
      <w:tr w:rsidR="007A229D" w:rsidRPr="007A229D" w14:paraId="1704C505" w14:textId="77777777">
        <w:trPr>
          <w:trHeight w:val="268"/>
        </w:trPr>
        <w:tc>
          <w:tcPr>
            <w:tcW w:w="802" w:type="dxa"/>
            <w:tcBorders>
              <w:top w:val="nil"/>
              <w:left w:val="nil"/>
              <w:bottom w:val="nil"/>
              <w:right w:val="nil"/>
            </w:tcBorders>
            <w:shd w:val="clear" w:color="auto" w:fill="auto"/>
            <w:vAlign w:val="center"/>
            <w:hideMark/>
          </w:tcPr>
          <w:p w14:paraId="3D3AB2D2"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Aprobó:  </w:t>
            </w:r>
          </w:p>
        </w:tc>
        <w:tc>
          <w:tcPr>
            <w:tcW w:w="4868"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0FEAFCA8"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 xml:space="preserve">Carolina Quintero </w:t>
            </w:r>
            <w:proofErr w:type="spellStart"/>
            <w:r w:rsidRPr="007A229D">
              <w:rPr>
                <w:rFonts w:ascii="Verdana" w:eastAsia="Times New Roman" w:hAnsi="Verdana" w:cs="Arial"/>
                <w:sz w:val="16"/>
                <w:szCs w:val="16"/>
                <w:lang w:eastAsia="es-CO"/>
              </w:rPr>
              <w:t>Gacharná</w:t>
            </w:r>
            <w:proofErr w:type="spellEnd"/>
            <w:r w:rsidRPr="007A229D">
              <w:rPr>
                <w:rFonts w:ascii="Verdana" w:eastAsia="Times New Roman" w:hAnsi="Verdana" w:cs="Arial"/>
                <w:sz w:val="16"/>
                <w:szCs w:val="16"/>
                <w:lang w:eastAsia="es-CO"/>
              </w:rPr>
              <w:t> </w:t>
            </w:r>
          </w:p>
          <w:p w14:paraId="44EB6EC1" w14:textId="77777777" w:rsidR="007A229D" w:rsidRPr="007A229D" w:rsidRDefault="007A229D">
            <w:pPr>
              <w:spacing w:after="0" w:line="240" w:lineRule="auto"/>
              <w:textAlignment w:val="baseline"/>
              <w:rPr>
                <w:rFonts w:ascii="Verdana" w:eastAsia="Times New Roman" w:hAnsi="Verdana" w:cs="Arial"/>
                <w:sz w:val="16"/>
                <w:szCs w:val="16"/>
                <w:lang w:eastAsia="es-CO"/>
              </w:rPr>
            </w:pPr>
            <w:r w:rsidRPr="007A229D">
              <w:rPr>
                <w:rFonts w:ascii="Verdana" w:eastAsia="Times New Roman" w:hAnsi="Verdana" w:cs="Arial"/>
                <w:sz w:val="16"/>
                <w:szCs w:val="16"/>
                <w:lang w:eastAsia="es-CO"/>
              </w:rPr>
              <w:t>Subdirectora de Gestión Contractual ANCP–CCE–</w:t>
            </w:r>
          </w:p>
        </w:tc>
      </w:tr>
    </w:tbl>
    <w:p w14:paraId="2D0721AA" w14:textId="77777777" w:rsidR="007A229D" w:rsidRPr="007A229D" w:rsidRDefault="007A229D" w:rsidP="007A229D">
      <w:pPr>
        <w:spacing w:after="0" w:line="240" w:lineRule="auto"/>
        <w:textAlignment w:val="baseline"/>
        <w:rPr>
          <w:rFonts w:ascii="Verdana" w:eastAsia="Times New Roman" w:hAnsi="Verdana" w:cs="Arial"/>
          <w:sz w:val="14"/>
          <w:szCs w:val="14"/>
          <w:lang w:eastAsia="es-CO"/>
        </w:rPr>
      </w:pPr>
    </w:p>
    <w:p w14:paraId="05A3503A" w14:textId="77777777" w:rsidR="007A229D" w:rsidRPr="007A229D" w:rsidRDefault="007A229D" w:rsidP="007A229D">
      <w:pPr>
        <w:rPr>
          <w:rFonts w:ascii="Verdana" w:hAnsi="Verdana"/>
        </w:rPr>
      </w:pPr>
    </w:p>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A52020" w14:textId="77777777" w:rsidR="001529B3" w:rsidRDefault="001529B3" w:rsidP="00B30448">
      <w:pPr>
        <w:spacing w:after="0" w:line="240" w:lineRule="auto"/>
      </w:pPr>
      <w:r>
        <w:separator/>
      </w:r>
    </w:p>
  </w:endnote>
  <w:endnote w:type="continuationSeparator" w:id="0">
    <w:p w14:paraId="047FA117" w14:textId="77777777" w:rsidR="001529B3" w:rsidRDefault="001529B3" w:rsidP="00B30448">
      <w:pPr>
        <w:spacing w:after="0" w:line="240" w:lineRule="auto"/>
      </w:pPr>
      <w:r>
        <w:continuationSeparator/>
      </w:r>
    </w:p>
  </w:endnote>
  <w:endnote w:type="continuationNotice" w:id="1">
    <w:p w14:paraId="34673066" w14:textId="77777777" w:rsidR="001529B3" w:rsidRDefault="00152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alibri"/>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Foote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Footer"/>
    </w:pPr>
  </w:p>
  <w:p w14:paraId="769219E2" w14:textId="77777777" w:rsidR="00B30448" w:rsidRPr="000849D5" w:rsidRDefault="00B30448" w:rsidP="00084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C9D43" w14:textId="77777777" w:rsidR="001529B3" w:rsidRDefault="001529B3" w:rsidP="00B30448">
      <w:pPr>
        <w:spacing w:after="0" w:line="240" w:lineRule="auto"/>
      </w:pPr>
      <w:r>
        <w:separator/>
      </w:r>
    </w:p>
  </w:footnote>
  <w:footnote w:type="continuationSeparator" w:id="0">
    <w:p w14:paraId="79E86E12" w14:textId="77777777" w:rsidR="001529B3" w:rsidRDefault="001529B3" w:rsidP="00B30448">
      <w:pPr>
        <w:spacing w:after="0" w:line="240" w:lineRule="auto"/>
      </w:pPr>
      <w:r>
        <w:continuationSeparator/>
      </w:r>
    </w:p>
  </w:footnote>
  <w:footnote w:type="continuationNotice" w:id="1">
    <w:p w14:paraId="257F040C" w14:textId="77777777" w:rsidR="001529B3" w:rsidRDefault="001529B3">
      <w:pPr>
        <w:spacing w:after="0" w:line="240" w:lineRule="auto"/>
      </w:pPr>
    </w:p>
  </w:footnote>
  <w:footnote w:id="2">
    <w:p w14:paraId="53AE1337" w14:textId="77777777" w:rsidR="007A229D" w:rsidRPr="00A432FC" w:rsidRDefault="007A229D" w:rsidP="00A432FC">
      <w:pPr>
        <w:pStyle w:val="FootnoteText"/>
        <w:ind w:firstLine="709"/>
        <w:jc w:val="both"/>
        <w:rPr>
          <w:rFonts w:ascii="Verdana" w:hAnsi="Verdana"/>
          <w:sz w:val="16"/>
          <w:szCs w:val="16"/>
        </w:rPr>
      </w:pPr>
      <w:r w:rsidRPr="00A432FC">
        <w:rPr>
          <w:rStyle w:val="FootnoteReference"/>
          <w:rFonts w:ascii="Verdana" w:hAnsi="Verdana"/>
          <w:sz w:val="16"/>
          <w:szCs w:val="16"/>
        </w:rPr>
        <w:footnoteRef/>
      </w:r>
      <w:r w:rsidRPr="00A432FC">
        <w:rPr>
          <w:rFonts w:ascii="Verdana" w:hAnsi="Verdana"/>
          <w:sz w:val="16"/>
          <w:szCs w:val="16"/>
        </w:rPr>
        <w:t>Consejo de Estado, Sección Tercera, Subsección C, Sentencia del 2 de diciembre de 2013, Exp. 41719. Consejero Ponente: Jaime Orlando Santofimio Gamboa.</w:t>
      </w:r>
    </w:p>
    <w:p w14:paraId="490973DC" w14:textId="58241659" w:rsidR="007A229D" w:rsidRPr="00A432FC" w:rsidRDefault="007A229D" w:rsidP="00A432FC">
      <w:pPr>
        <w:pStyle w:val="FootnoteText"/>
        <w:jc w:val="both"/>
        <w:rPr>
          <w:rFonts w:ascii="Verdana" w:hAnsi="Verdana"/>
          <w:sz w:val="16"/>
          <w:szCs w:val="16"/>
          <w:lang w:val="es-CO"/>
        </w:rPr>
      </w:pPr>
      <w:r w:rsidRPr="00A432FC">
        <w:rPr>
          <w:rFonts w:ascii="Verdana" w:hAnsi="Verdana"/>
          <w:sz w:val="16"/>
          <w:szCs w:val="16"/>
        </w:rPr>
        <w:t xml:space="preserve"> </w:t>
      </w:r>
    </w:p>
  </w:footnote>
  <w:footnote w:id="3">
    <w:p w14:paraId="0C1F1839" w14:textId="77777777" w:rsidR="00D370A7" w:rsidRPr="00A432FC" w:rsidRDefault="00D370A7" w:rsidP="00D370A7">
      <w:pPr>
        <w:pStyle w:val="FootnoteText"/>
        <w:ind w:firstLine="709"/>
        <w:rPr>
          <w:rFonts w:ascii="Verdana" w:hAnsi="Verdana"/>
          <w:lang w:val="es-CO"/>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rPr>
        <w:t>Consejo de Estado. Sección Segunda. Sentencia del 9 de septiembre de 2021. Expediente No. 05001-23-33-000-2013-01143-01(1317-16). M.P. Dra. Sandra Lisset Ibarra Vélez</w:t>
      </w:r>
    </w:p>
  </w:footnote>
  <w:footnote w:id="4">
    <w:p w14:paraId="1FF0FA75" w14:textId="77777777" w:rsidR="00D370A7" w:rsidRPr="00A432FC" w:rsidRDefault="00D370A7" w:rsidP="00D370A7">
      <w:pPr>
        <w:pStyle w:val="FootnoteText"/>
        <w:ind w:firstLine="709"/>
        <w:jc w:val="both"/>
        <w:rPr>
          <w:rFonts w:ascii="Verdana" w:hAnsi="Verdana"/>
          <w:lang w:val="es-CO"/>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rPr>
        <w:t>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5">
    <w:p w14:paraId="7AC5135F" w14:textId="77777777" w:rsidR="00D370A7" w:rsidRPr="00A432FC" w:rsidRDefault="00D370A7" w:rsidP="00D370A7">
      <w:pPr>
        <w:pStyle w:val="FootnoteText"/>
        <w:ind w:firstLine="709"/>
        <w:jc w:val="both"/>
        <w:rPr>
          <w:rFonts w:ascii="Verdana" w:hAnsi="Verdana"/>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6">
    <w:p w14:paraId="75851E8B" w14:textId="77777777" w:rsidR="00D370A7" w:rsidRPr="00A432FC" w:rsidRDefault="00D370A7" w:rsidP="00D370A7">
      <w:pPr>
        <w:pStyle w:val="FootnoteText"/>
        <w:ind w:firstLine="709"/>
        <w:jc w:val="both"/>
        <w:rPr>
          <w:rFonts w:ascii="Verdana" w:hAnsi="Verdana"/>
          <w:lang w:val="es-CO"/>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footnote>
  <w:footnote w:id="7">
    <w:p w14:paraId="0EF19E3B" w14:textId="77777777" w:rsidR="00D370A7" w:rsidRPr="00A432FC" w:rsidRDefault="00D370A7" w:rsidP="00D370A7">
      <w:pPr>
        <w:pStyle w:val="FootnoteText"/>
        <w:ind w:firstLine="709"/>
        <w:jc w:val="both"/>
        <w:rPr>
          <w:rFonts w:ascii="Verdana" w:hAnsi="Verdana" w:cs="Arial"/>
          <w:sz w:val="16"/>
          <w:szCs w:val="16"/>
          <w:lang w:val="es-ES"/>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pt-BR"/>
        </w:rPr>
        <w:t xml:space="preserve">Corte Constitucional. Sentencia C-154 de 1997. </w:t>
      </w:r>
      <w:r w:rsidRPr="00A432FC">
        <w:rPr>
          <w:rFonts w:ascii="Verdana" w:hAnsi="Verdana" w:cs="Arial"/>
          <w:sz w:val="16"/>
          <w:szCs w:val="16"/>
          <w:lang w:val="es-ES"/>
        </w:rPr>
        <w:t>MP: Hernando Herrera Vergara.</w:t>
      </w:r>
    </w:p>
  </w:footnote>
  <w:footnote w:id="8">
    <w:p w14:paraId="664FE7EA" w14:textId="77777777" w:rsidR="00D370A7" w:rsidRPr="00A432FC" w:rsidRDefault="00D370A7" w:rsidP="00D370A7">
      <w:pPr>
        <w:pStyle w:val="FootnoteText"/>
        <w:ind w:firstLine="709"/>
        <w:jc w:val="both"/>
        <w:rPr>
          <w:rFonts w:ascii="Verdana" w:hAnsi="Verdana" w:cs="Arial"/>
          <w:sz w:val="16"/>
          <w:szCs w:val="16"/>
          <w:lang w:val="es-ES"/>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2280FBD6"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1. La causal que invoca para contratar directamente.</w:t>
      </w:r>
    </w:p>
    <w:p w14:paraId="494A15EF"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2. El objeto del contrato.</w:t>
      </w:r>
    </w:p>
    <w:p w14:paraId="3A385FD2"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3. El presupuesto para la contratación y las condiciones que exigirá al contratista.</w:t>
      </w:r>
    </w:p>
    <w:p w14:paraId="1FC0C7A5"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4. El lugar en el cual los interesados pueden consultar los estudios y documentos previos.</w:t>
      </w:r>
    </w:p>
    <w:p w14:paraId="41B7BBF0"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40B1CC77" w14:textId="77777777" w:rsidR="00D370A7" w:rsidRPr="00A432FC" w:rsidRDefault="00D370A7" w:rsidP="00D370A7">
      <w:pPr>
        <w:pStyle w:val="FootnoteText"/>
        <w:ind w:firstLine="709"/>
        <w:jc w:val="both"/>
        <w:rPr>
          <w:rFonts w:ascii="Verdana" w:hAnsi="Verdana" w:cs="Arial"/>
          <w:sz w:val="16"/>
          <w:szCs w:val="16"/>
          <w:lang w:val="es-ES"/>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 xml:space="preserve">La norma expresa: “Art. 14. </w:t>
      </w:r>
      <w:r w:rsidRPr="00A432FC">
        <w:rPr>
          <w:rFonts w:ascii="Verdana" w:hAnsi="Verdana" w:cs="Arial"/>
          <w:sz w:val="16"/>
          <w:szCs w:val="16"/>
        </w:rPr>
        <w:t>P</w:t>
      </w:r>
      <w:r w:rsidRPr="00A432FC">
        <w:rPr>
          <w:rFonts w:ascii="Verdana" w:hAnsi="Verdana" w:cs="Arial"/>
          <w:sz w:val="16"/>
          <w:szCs w:val="16"/>
          <w:lang w:val="es-ES"/>
        </w:rPr>
        <w:t>ara el cumplimiento de los fines de la contratación, las entidades estatales al celebrar un contrato:</w:t>
      </w:r>
    </w:p>
    <w:p w14:paraId="7FFDC8BE"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w:t>
      </w:r>
    </w:p>
    <w:p w14:paraId="460B2738"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4EC7579" w14:textId="77777777" w:rsidR="00D370A7" w:rsidRPr="00A432FC" w:rsidRDefault="00D370A7" w:rsidP="00D370A7">
      <w:pPr>
        <w:pStyle w:val="FootnoteText"/>
        <w:ind w:firstLine="709"/>
        <w:jc w:val="both"/>
        <w:rPr>
          <w:rFonts w:ascii="Verdana" w:hAnsi="Verdana" w:cs="Arial"/>
          <w:sz w:val="16"/>
          <w:szCs w:val="16"/>
          <w:lang w:val="es-ES"/>
        </w:rPr>
      </w:pPr>
      <w:r w:rsidRPr="00A432FC">
        <w:rPr>
          <w:rFonts w:ascii="Verdana" w:hAnsi="Verdana" w:cs="Arial"/>
          <w:sz w:val="16"/>
          <w:szCs w:val="16"/>
          <w:lang w:val="es-ES"/>
        </w:rPr>
        <w:t>Las entidades estatales podrán pactar estas cláusulas en los contratos de suministro y de prestación de servicios. […]”.</w:t>
      </w:r>
    </w:p>
  </w:footnote>
  <w:footnote w:id="10">
    <w:p w14:paraId="6E636C89" w14:textId="77777777" w:rsidR="00D370A7" w:rsidRPr="00A432FC" w:rsidRDefault="00D370A7" w:rsidP="00D370A7">
      <w:pPr>
        <w:pStyle w:val="FootnoteText"/>
        <w:ind w:firstLine="709"/>
        <w:jc w:val="both"/>
        <w:rPr>
          <w:rFonts w:ascii="Verdana" w:hAnsi="Verdana"/>
          <w:lang w:val="es-CO"/>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r w:rsidRPr="00A432FC">
        <w:rPr>
          <w:rFonts w:ascii="Verdana" w:hAnsi="Verdana"/>
        </w:rPr>
        <w:t xml:space="preserve"> </w:t>
      </w:r>
    </w:p>
  </w:footnote>
  <w:footnote w:id="11">
    <w:p w14:paraId="7747ABD8" w14:textId="77777777" w:rsidR="00D370A7" w:rsidRPr="00A432FC" w:rsidRDefault="00D370A7" w:rsidP="00D370A7">
      <w:pPr>
        <w:pStyle w:val="FootnoteText"/>
        <w:ind w:firstLine="709"/>
        <w:jc w:val="both"/>
        <w:rPr>
          <w:rFonts w:ascii="Verdana" w:hAnsi="Verdana" w:cs="Arial"/>
          <w:sz w:val="16"/>
          <w:szCs w:val="16"/>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rPr>
        <w:t>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footnote>
  <w:footnote w:id="12">
    <w:p w14:paraId="139862DA" w14:textId="77777777" w:rsidR="00D370A7" w:rsidRPr="00A432FC" w:rsidRDefault="00D370A7" w:rsidP="00D370A7">
      <w:pPr>
        <w:pStyle w:val="FootnoteText"/>
        <w:ind w:firstLine="709"/>
        <w:jc w:val="both"/>
        <w:rPr>
          <w:rFonts w:ascii="Verdana" w:hAnsi="Verdana" w:cs="Arial"/>
          <w:sz w:val="16"/>
          <w:szCs w:val="16"/>
          <w:lang w:val="es-ES"/>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814EF87" w14:textId="77777777" w:rsidR="00D370A7" w:rsidRPr="00A432FC" w:rsidRDefault="00D370A7" w:rsidP="00D370A7">
      <w:pPr>
        <w:pStyle w:val="FootnoteText"/>
        <w:rPr>
          <w:rFonts w:ascii="Verdana" w:hAnsi="Verdana"/>
          <w:lang w:val="es-ES"/>
        </w:rPr>
      </w:pPr>
    </w:p>
  </w:footnote>
  <w:footnote w:id="13">
    <w:p w14:paraId="3635FFEF" w14:textId="77777777" w:rsidR="00D370A7" w:rsidRPr="00A432FC" w:rsidRDefault="00D370A7" w:rsidP="00D370A7">
      <w:pPr>
        <w:pStyle w:val="FootnoteText"/>
        <w:ind w:firstLine="709"/>
        <w:jc w:val="both"/>
        <w:rPr>
          <w:rFonts w:ascii="Verdana" w:hAnsi="Verdana" w:cs="Arial"/>
          <w:color w:val="000000" w:themeColor="text1"/>
          <w:sz w:val="16"/>
          <w:szCs w:val="16"/>
          <w:lang w:val="es-ES"/>
        </w:rPr>
      </w:pPr>
      <w:r w:rsidRPr="00A432FC">
        <w:rPr>
          <w:rStyle w:val="FootnoteReference"/>
          <w:rFonts w:ascii="Verdana" w:hAnsi="Verdana"/>
        </w:rPr>
        <w:footnoteRef/>
      </w:r>
      <w:r w:rsidRPr="00A432FC">
        <w:rPr>
          <w:rFonts w:ascii="Verdana" w:hAnsi="Verdana"/>
        </w:rPr>
        <w:t xml:space="preserve"> </w:t>
      </w:r>
      <w:r w:rsidRPr="00A432FC">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footnote>
  <w:footnote w:id="14">
    <w:p w14:paraId="50A85142" w14:textId="77777777" w:rsidR="00D370A7" w:rsidRPr="00A432FC" w:rsidRDefault="00D370A7" w:rsidP="00D370A7">
      <w:pPr>
        <w:pStyle w:val="FootnoteText"/>
        <w:ind w:firstLine="709"/>
        <w:jc w:val="both"/>
        <w:rPr>
          <w:rFonts w:ascii="Verdana" w:hAnsi="Verdana" w:cs="Arial"/>
          <w:color w:val="000000" w:themeColor="text1"/>
          <w:sz w:val="16"/>
          <w:szCs w:val="16"/>
          <w:lang w:val="es-ES"/>
        </w:rPr>
      </w:pPr>
      <w:r w:rsidRPr="00A432FC">
        <w:rPr>
          <w:rStyle w:val="FootnoteReference"/>
          <w:rFonts w:ascii="Verdana" w:hAnsi="Verdana" w:cs="Arial"/>
          <w:color w:val="000000" w:themeColor="text1"/>
          <w:sz w:val="16"/>
          <w:szCs w:val="16"/>
        </w:rPr>
        <w:footnoteRef/>
      </w:r>
      <w:r w:rsidRPr="00A432FC">
        <w:rPr>
          <w:rFonts w:ascii="Verdana" w:hAnsi="Verdana" w:cs="Arial"/>
          <w:color w:val="000000" w:themeColor="text1"/>
          <w:sz w:val="16"/>
          <w:szCs w:val="16"/>
        </w:rPr>
        <w:t xml:space="preserve"> </w:t>
      </w:r>
      <w:r w:rsidRPr="00A432FC">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64423E38" w14:textId="77777777" w:rsidR="00D370A7" w:rsidRPr="00A432FC" w:rsidRDefault="00D370A7" w:rsidP="00D370A7">
      <w:pPr>
        <w:pStyle w:val="FootnoteText"/>
        <w:ind w:firstLine="709"/>
        <w:jc w:val="both"/>
        <w:rPr>
          <w:rFonts w:ascii="Verdana" w:hAnsi="Verdana" w:cs="Arial"/>
          <w:color w:val="000000" w:themeColor="text1"/>
          <w:sz w:val="16"/>
          <w:szCs w:val="16"/>
          <w:lang w:val="es-ES"/>
        </w:rPr>
      </w:pPr>
    </w:p>
  </w:footnote>
  <w:footnote w:id="15">
    <w:p w14:paraId="5C59E41A" w14:textId="77777777" w:rsidR="00D370A7" w:rsidRPr="009A24E9" w:rsidRDefault="00D370A7" w:rsidP="00D370A7">
      <w:pPr>
        <w:pStyle w:val="FootnoteText"/>
        <w:ind w:firstLine="709"/>
        <w:jc w:val="both"/>
        <w:rPr>
          <w:rFonts w:ascii="Verdana" w:hAnsi="Verdana" w:cs="Arial"/>
          <w:color w:val="000000" w:themeColor="text1"/>
          <w:sz w:val="16"/>
          <w:szCs w:val="16"/>
          <w:lang w:val="es-ES"/>
        </w:rPr>
      </w:pPr>
      <w:r w:rsidRPr="009A24E9">
        <w:rPr>
          <w:rStyle w:val="FootnoteReference"/>
          <w:rFonts w:ascii="Verdana" w:hAnsi="Verdana" w:cs="Arial"/>
          <w:color w:val="000000" w:themeColor="text1"/>
          <w:sz w:val="16"/>
          <w:szCs w:val="16"/>
        </w:rPr>
        <w:footnoteRef/>
      </w:r>
      <w:r w:rsidRPr="009A24E9">
        <w:rPr>
          <w:rFonts w:ascii="Verdana" w:hAnsi="Verdana" w:cs="Arial"/>
          <w:color w:val="000000" w:themeColor="text1"/>
          <w:sz w:val="16"/>
          <w:szCs w:val="16"/>
        </w:rPr>
        <w:t xml:space="preserve"> </w:t>
      </w:r>
      <w:r w:rsidRPr="009A24E9">
        <w:rPr>
          <w:rFonts w:ascii="Verdana" w:hAnsi="Verdana" w:cs="Arial"/>
          <w:i/>
          <w:color w:val="000000" w:themeColor="text1"/>
          <w:sz w:val="16"/>
          <w:szCs w:val="16"/>
          <w:lang w:val="es-ES"/>
        </w:rPr>
        <w:t>Ibíd</w:t>
      </w:r>
      <w:r w:rsidRPr="009A24E9">
        <w:rPr>
          <w:rFonts w:ascii="Verdana" w:hAnsi="Verdana" w:cs="Arial"/>
          <w:color w:val="000000" w:themeColor="text1"/>
          <w:sz w:val="16"/>
          <w:szCs w:val="16"/>
          <w:lang w:val="es-ES"/>
        </w:rPr>
        <w:t>.</w:t>
      </w:r>
    </w:p>
    <w:p w14:paraId="7F9099A6" w14:textId="77777777" w:rsidR="00D370A7" w:rsidRPr="009A24E9" w:rsidRDefault="00D370A7" w:rsidP="00D370A7">
      <w:pPr>
        <w:pStyle w:val="FootnoteText"/>
        <w:ind w:firstLine="709"/>
        <w:jc w:val="both"/>
        <w:rPr>
          <w:rFonts w:ascii="Verdana" w:hAnsi="Verdana" w:cs="Arial"/>
          <w:color w:val="000000" w:themeColor="text1"/>
          <w:sz w:val="16"/>
          <w:szCs w:val="16"/>
          <w:lang w:val="es-ES"/>
        </w:rPr>
      </w:pPr>
    </w:p>
  </w:footnote>
  <w:footnote w:id="16">
    <w:p w14:paraId="69637E32" w14:textId="77777777" w:rsidR="00D370A7" w:rsidRPr="009A24E9" w:rsidRDefault="00D370A7" w:rsidP="00D370A7">
      <w:pPr>
        <w:pStyle w:val="FootnoteText"/>
        <w:ind w:firstLine="709"/>
        <w:rPr>
          <w:rFonts w:ascii="Verdana" w:hAnsi="Verdana"/>
          <w:sz w:val="16"/>
          <w:szCs w:val="16"/>
        </w:rPr>
      </w:pPr>
      <w:r w:rsidRPr="009A24E9">
        <w:rPr>
          <w:rStyle w:val="FootnoteReference"/>
          <w:rFonts w:ascii="Verdana" w:hAnsi="Verdana"/>
          <w:sz w:val="16"/>
          <w:szCs w:val="16"/>
        </w:rPr>
        <w:footnoteRef/>
      </w:r>
      <w:r w:rsidRPr="009A24E9">
        <w:rPr>
          <w:rFonts w:ascii="Verdana" w:hAnsi="Verdana"/>
          <w:sz w:val="16"/>
          <w:szCs w:val="16"/>
        </w:rPr>
        <w:t xml:space="preserve"> </w:t>
      </w:r>
      <w:r w:rsidRPr="009A24E9">
        <w:rPr>
          <w:rFonts w:ascii="Verdana" w:hAnsi="Verdana"/>
          <w:sz w:val="16"/>
          <w:szCs w:val="16"/>
          <w:lang w:val="es-CO"/>
        </w:rPr>
        <w:t>Departamento Nacional de Planeación, Concepto 20118010153521 del 10 de marzo de 2011.</w:t>
      </w:r>
    </w:p>
  </w:footnote>
  <w:footnote w:id="17">
    <w:p w14:paraId="28ED3EF9" w14:textId="77777777" w:rsidR="00D370A7" w:rsidRPr="009A24E9" w:rsidRDefault="00D370A7" w:rsidP="00D370A7">
      <w:pPr>
        <w:pStyle w:val="FootnoteText"/>
        <w:ind w:firstLine="709"/>
        <w:jc w:val="both"/>
        <w:rPr>
          <w:rFonts w:ascii="Verdana" w:hAnsi="Verdana"/>
          <w:sz w:val="16"/>
          <w:szCs w:val="16"/>
          <w:lang w:val="es-CO"/>
        </w:rPr>
      </w:pPr>
      <w:r w:rsidRPr="009A24E9">
        <w:rPr>
          <w:rStyle w:val="FootnoteReference"/>
          <w:rFonts w:ascii="Verdana" w:hAnsi="Verdana"/>
          <w:sz w:val="16"/>
          <w:szCs w:val="16"/>
        </w:rPr>
        <w:footnoteRef/>
      </w:r>
      <w:r w:rsidRPr="009A24E9">
        <w:rPr>
          <w:rFonts w:ascii="Verdana" w:hAnsi="Verdana"/>
          <w:sz w:val="16"/>
          <w:szCs w:val="16"/>
        </w:rPr>
        <w:t xml:space="preserve"> </w:t>
      </w:r>
      <w:r w:rsidRPr="009A24E9">
        <w:rPr>
          <w:rFonts w:ascii="Verdana" w:hAnsi="Verdana"/>
          <w:sz w:val="16"/>
          <w:szCs w:val="16"/>
          <w:lang w:val="es-CO"/>
        </w:rPr>
        <w:t xml:space="preserve">Asociación Europea de Logística Handelsstraat – Rue du Commerce 77 B-1040 Bruselas. Correo </w:t>
      </w:r>
      <w:hyperlink r:id="rId1" w:history="1">
        <w:r w:rsidRPr="009A24E9">
          <w:rPr>
            <w:rStyle w:val="Hyperlink"/>
            <w:rFonts w:ascii="Verdana" w:hAnsi="Verdana"/>
            <w:sz w:val="16"/>
            <w:szCs w:val="16"/>
            <w:lang w:val="es-CO"/>
          </w:rPr>
          <w:t>office@elalog.eu</w:t>
        </w:r>
      </w:hyperlink>
      <w:r w:rsidRPr="009A24E9">
        <w:rPr>
          <w:rFonts w:ascii="Verdana" w:hAnsi="Verdana"/>
          <w:sz w:val="16"/>
          <w:szCs w:val="16"/>
          <w:lang w:val="es-CO"/>
        </w:rPr>
        <w:t xml:space="preserve"> </w:t>
      </w:r>
    </w:p>
    <w:p w14:paraId="3095A522" w14:textId="77777777" w:rsidR="00D370A7" w:rsidRPr="009A24E9" w:rsidRDefault="00D370A7" w:rsidP="00D370A7">
      <w:pPr>
        <w:pStyle w:val="FootnoteText"/>
        <w:ind w:firstLine="709"/>
        <w:jc w:val="both"/>
        <w:rPr>
          <w:rFonts w:ascii="Verdana" w:hAnsi="Verdana"/>
          <w:sz w:val="16"/>
          <w:szCs w:val="16"/>
        </w:rPr>
      </w:pPr>
    </w:p>
  </w:footnote>
  <w:footnote w:id="18">
    <w:p w14:paraId="77ECD88C" w14:textId="77777777" w:rsidR="00D370A7" w:rsidRPr="00A432FC" w:rsidRDefault="00D370A7" w:rsidP="00A432FC">
      <w:pPr>
        <w:pStyle w:val="FootnoteText"/>
        <w:ind w:firstLine="709"/>
        <w:jc w:val="both"/>
        <w:rPr>
          <w:rFonts w:ascii="Verdana" w:hAnsi="Verdana"/>
          <w:sz w:val="16"/>
          <w:szCs w:val="16"/>
          <w:lang w:val="es-CO"/>
        </w:rPr>
      </w:pPr>
      <w:r w:rsidRPr="00A432FC">
        <w:rPr>
          <w:rStyle w:val="FootnoteReference"/>
          <w:rFonts w:ascii="Verdana" w:hAnsi="Verdana"/>
          <w:sz w:val="16"/>
          <w:szCs w:val="16"/>
        </w:rPr>
        <w:footnoteRef/>
      </w:r>
      <w:r w:rsidRPr="00A432FC">
        <w:rPr>
          <w:rFonts w:ascii="Verdana" w:hAnsi="Verdana"/>
          <w:sz w:val="16"/>
          <w:szCs w:val="16"/>
        </w:rPr>
        <w:t xml:space="preserve"> </w:t>
      </w:r>
      <w:r w:rsidRPr="00A432FC">
        <w:rPr>
          <w:rFonts w:ascii="Verdana" w:hAnsi="Verdana"/>
          <w:sz w:val="16"/>
          <w:szCs w:val="16"/>
          <w:lang w:val="es-CO"/>
        </w:rPr>
        <w:t xml:space="preserve">CONTRATOS DE LOGISTICA </w:t>
      </w:r>
      <w:hyperlink r:id="rId2" w:history="1">
        <w:r w:rsidRPr="00A432FC">
          <w:rPr>
            <w:rStyle w:val="Hyperlink"/>
            <w:rFonts w:ascii="Verdana" w:hAnsi="Verdana"/>
            <w:sz w:val="16"/>
            <w:szCs w:val="16"/>
            <w:lang w:val="es-CO"/>
          </w:rPr>
          <w:t>FERNANDO JUAN Y MATEU</w:t>
        </w:r>
      </w:hyperlink>
      <w:r w:rsidRPr="00A432FC">
        <w:rPr>
          <w:rFonts w:ascii="Verdana" w:hAnsi="Verdana"/>
          <w:sz w:val="16"/>
          <w:szCs w:val="16"/>
          <w:lang w:val="es-CO"/>
        </w:rPr>
        <w:t>, Marcial Pons Ediciones Jurídicas y Sociales, S.A.</w:t>
      </w:r>
    </w:p>
    <w:p w14:paraId="543C72D6" w14:textId="77777777" w:rsidR="00D370A7" w:rsidRDefault="00D370A7" w:rsidP="00D370A7">
      <w:pPr>
        <w:pStyle w:val="FootnoteText"/>
      </w:pPr>
    </w:p>
  </w:footnote>
  <w:footnote w:id="19">
    <w:p w14:paraId="1A0B53E9" w14:textId="77777777" w:rsidR="00D370A7" w:rsidRPr="00A432FC" w:rsidRDefault="00D370A7" w:rsidP="00A432FC">
      <w:pPr>
        <w:pStyle w:val="FootnoteText"/>
        <w:ind w:firstLine="708"/>
        <w:jc w:val="both"/>
        <w:rPr>
          <w:rFonts w:ascii="Verdana" w:hAnsi="Verdana" w:cs="Arial"/>
          <w:sz w:val="16"/>
          <w:szCs w:val="16"/>
          <w:lang w:val="es-CO"/>
        </w:rPr>
      </w:pPr>
      <w:r w:rsidRPr="00A432FC">
        <w:rPr>
          <w:rStyle w:val="FootnoteReference"/>
          <w:rFonts w:ascii="Verdana" w:hAnsi="Verdana" w:cs="Arial"/>
          <w:sz w:val="16"/>
          <w:szCs w:val="16"/>
        </w:rPr>
        <w:footnoteRef/>
      </w:r>
      <w:r w:rsidRPr="00A432FC">
        <w:rPr>
          <w:rFonts w:ascii="Verdana" w:hAnsi="Verdana" w:cs="Arial"/>
          <w:sz w:val="16"/>
          <w:szCs w:val="16"/>
        </w:rPr>
        <w:t xml:space="preserve"> Estos conceptos pueden ser consultados en la relatoría de Colombia Compra Eficiente en el siguiente enlace: </w:t>
      </w:r>
      <w:hyperlink r:id="rId3" w:history="1">
        <w:r w:rsidRPr="00A432FC">
          <w:rPr>
            <w:rStyle w:val="Hyperlink"/>
            <w:rFonts w:ascii="Verdana" w:hAnsi="Verdana" w:cs="Arial"/>
            <w:sz w:val="16"/>
            <w:szCs w:val="16"/>
          </w:rPr>
          <w:t>http://relatoria.colombiacompra.gov.co/busqueda/conceptos</w:t>
        </w:r>
      </w:hyperlink>
      <w:r w:rsidRPr="00A432FC">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Header"/>
    </w:pPr>
  </w:p>
  <w:p w14:paraId="10CE77C0" w14:textId="77777777" w:rsidR="00515FB5" w:rsidRDefault="00515FB5" w:rsidP="00515FB5">
    <w:pPr>
      <w:pStyle w:val="Header"/>
    </w:pPr>
  </w:p>
  <w:p w14:paraId="5BD4CAA1" w14:textId="77777777" w:rsidR="00515FB5" w:rsidRDefault="00515FB5" w:rsidP="00515FB5">
    <w:pPr>
      <w:pStyle w:val="Header"/>
    </w:pPr>
  </w:p>
  <w:p w14:paraId="0D6E6014" w14:textId="77777777" w:rsidR="00515FB5" w:rsidRPr="00AB7B56" w:rsidRDefault="00515FB5" w:rsidP="00515FB5">
    <w:pPr>
      <w:pStyle w:val="Header"/>
    </w:pPr>
  </w:p>
  <w:p w14:paraId="68E0C024" w14:textId="77777777" w:rsidR="00B30448" w:rsidRPr="00515FB5" w:rsidRDefault="00B30448" w:rsidP="00515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4DD9"/>
    <w:rsid w:val="00037347"/>
    <w:rsid w:val="000442CC"/>
    <w:rsid w:val="000556D4"/>
    <w:rsid w:val="000716AB"/>
    <w:rsid w:val="00081CE5"/>
    <w:rsid w:val="00082E4C"/>
    <w:rsid w:val="000849D5"/>
    <w:rsid w:val="0008528F"/>
    <w:rsid w:val="000A6E0C"/>
    <w:rsid w:val="000A7A56"/>
    <w:rsid w:val="000B1FF7"/>
    <w:rsid w:val="000B2513"/>
    <w:rsid w:val="000B4024"/>
    <w:rsid w:val="000C3C51"/>
    <w:rsid w:val="000C7262"/>
    <w:rsid w:val="000D2A7F"/>
    <w:rsid w:val="000D4FCE"/>
    <w:rsid w:val="00100934"/>
    <w:rsid w:val="00100D28"/>
    <w:rsid w:val="0011037E"/>
    <w:rsid w:val="00126A3D"/>
    <w:rsid w:val="001363C7"/>
    <w:rsid w:val="00141AC5"/>
    <w:rsid w:val="00146B11"/>
    <w:rsid w:val="00147A04"/>
    <w:rsid w:val="001529B3"/>
    <w:rsid w:val="0015476D"/>
    <w:rsid w:val="00160766"/>
    <w:rsid w:val="00161E13"/>
    <w:rsid w:val="00164AE0"/>
    <w:rsid w:val="00164F0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E5D2C"/>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E1DB5"/>
    <w:rsid w:val="002F6CCB"/>
    <w:rsid w:val="0030461E"/>
    <w:rsid w:val="0032756A"/>
    <w:rsid w:val="00334EF8"/>
    <w:rsid w:val="00336408"/>
    <w:rsid w:val="00340DFB"/>
    <w:rsid w:val="00341F4E"/>
    <w:rsid w:val="0034404F"/>
    <w:rsid w:val="00356980"/>
    <w:rsid w:val="00367462"/>
    <w:rsid w:val="00371ECA"/>
    <w:rsid w:val="00372748"/>
    <w:rsid w:val="0037332A"/>
    <w:rsid w:val="0038151A"/>
    <w:rsid w:val="0039082A"/>
    <w:rsid w:val="00390C21"/>
    <w:rsid w:val="003A37BD"/>
    <w:rsid w:val="003B6D94"/>
    <w:rsid w:val="003C4C96"/>
    <w:rsid w:val="003C55E0"/>
    <w:rsid w:val="003D6ED0"/>
    <w:rsid w:val="003F519B"/>
    <w:rsid w:val="0040544F"/>
    <w:rsid w:val="00406A19"/>
    <w:rsid w:val="0041222D"/>
    <w:rsid w:val="0041483E"/>
    <w:rsid w:val="00415369"/>
    <w:rsid w:val="00430492"/>
    <w:rsid w:val="00450BE7"/>
    <w:rsid w:val="00461BDB"/>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7B2"/>
    <w:rsid w:val="00500DFA"/>
    <w:rsid w:val="005019AA"/>
    <w:rsid w:val="005021BB"/>
    <w:rsid w:val="00511396"/>
    <w:rsid w:val="005139E7"/>
    <w:rsid w:val="005147DA"/>
    <w:rsid w:val="00515FB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34CCE"/>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6700"/>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229D"/>
    <w:rsid w:val="007A3C1D"/>
    <w:rsid w:val="007B285D"/>
    <w:rsid w:val="007C52B1"/>
    <w:rsid w:val="007C6BC6"/>
    <w:rsid w:val="007E2F7C"/>
    <w:rsid w:val="00807D79"/>
    <w:rsid w:val="00813634"/>
    <w:rsid w:val="00814A6D"/>
    <w:rsid w:val="00822821"/>
    <w:rsid w:val="008307CF"/>
    <w:rsid w:val="00831C29"/>
    <w:rsid w:val="008431EF"/>
    <w:rsid w:val="008468E0"/>
    <w:rsid w:val="0085069C"/>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24E9"/>
    <w:rsid w:val="009A5453"/>
    <w:rsid w:val="009B2BB0"/>
    <w:rsid w:val="009B4D94"/>
    <w:rsid w:val="009C2871"/>
    <w:rsid w:val="009D3C33"/>
    <w:rsid w:val="009D7F3A"/>
    <w:rsid w:val="009E4885"/>
    <w:rsid w:val="00A07DB6"/>
    <w:rsid w:val="00A10A73"/>
    <w:rsid w:val="00A16C49"/>
    <w:rsid w:val="00A170B3"/>
    <w:rsid w:val="00A223D5"/>
    <w:rsid w:val="00A37D1C"/>
    <w:rsid w:val="00A432F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B7B39"/>
    <w:rsid w:val="00BC08C8"/>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561FE"/>
    <w:rsid w:val="00CA3347"/>
    <w:rsid w:val="00CC299A"/>
    <w:rsid w:val="00CD03E3"/>
    <w:rsid w:val="00CD33DF"/>
    <w:rsid w:val="00CE6BDA"/>
    <w:rsid w:val="00D03DBE"/>
    <w:rsid w:val="00D072C0"/>
    <w:rsid w:val="00D25A65"/>
    <w:rsid w:val="00D34C82"/>
    <w:rsid w:val="00D370A7"/>
    <w:rsid w:val="00D3757A"/>
    <w:rsid w:val="00D504A9"/>
    <w:rsid w:val="00D5206D"/>
    <w:rsid w:val="00D54C6A"/>
    <w:rsid w:val="00D7177D"/>
    <w:rsid w:val="00D81311"/>
    <w:rsid w:val="00DB201E"/>
    <w:rsid w:val="00DC0E68"/>
    <w:rsid w:val="00DD25ED"/>
    <w:rsid w:val="00DE0D6E"/>
    <w:rsid w:val="00DF6A97"/>
    <w:rsid w:val="00E1610C"/>
    <w:rsid w:val="00E16D73"/>
    <w:rsid w:val="00E23E9E"/>
    <w:rsid w:val="00E25722"/>
    <w:rsid w:val="00E27F0A"/>
    <w:rsid w:val="00E4231E"/>
    <w:rsid w:val="00E4302C"/>
    <w:rsid w:val="00E44AC7"/>
    <w:rsid w:val="00E45F4B"/>
    <w:rsid w:val="00E60A16"/>
    <w:rsid w:val="00E82B6E"/>
    <w:rsid w:val="00E93653"/>
    <w:rsid w:val="00E94258"/>
    <w:rsid w:val="00E96C18"/>
    <w:rsid w:val="00EA2E61"/>
    <w:rsid w:val="00EA4777"/>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 w:val="7E3FA7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42737040-4865-4A92-892A-CF6999D8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Heading1">
    <w:name w:val="heading 1"/>
    <w:basedOn w:val="Normal"/>
    <w:link w:val="Heading1Ch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B3044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B30448"/>
    <w:pPr>
      <w:spacing w:after="0" w:line="240" w:lineRule="auto"/>
    </w:pPr>
    <w:rPr>
      <w:sz w:val="20"/>
      <w:szCs w:val="20"/>
      <w:lang w:val="es-MX"/>
    </w:rPr>
  </w:style>
  <w:style w:type="character" w:customStyle="1" w:styleId="TextonotapieCar1">
    <w:name w:val="Texto nota pie Car1"/>
    <w:basedOn w:val="DefaultParagraphFont"/>
    <w:uiPriority w:val="99"/>
    <w:semiHidden/>
    <w:rsid w:val="00B3044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nhideWhenUsed/>
    <w:qFormat/>
    <w:rsid w:val="00B30448"/>
    <w:rPr>
      <w:vertAlign w:val="superscript"/>
    </w:rPr>
  </w:style>
  <w:style w:type="paragraph" w:customStyle="1" w:styleId="Appelnotedebasde">
    <w:name w:val="Appel note de bas de..."/>
    <w:basedOn w:val="Normal"/>
    <w:link w:val="FootnoteReference"/>
    <w:rsid w:val="00B30448"/>
    <w:pPr>
      <w:spacing w:line="240" w:lineRule="exact"/>
    </w:pPr>
    <w:rPr>
      <w:vertAlign w:val="superscript"/>
    </w:rPr>
  </w:style>
  <w:style w:type="paragraph" w:styleId="Header">
    <w:name w:val="header"/>
    <w:basedOn w:val="Normal"/>
    <w:link w:val="HeaderChar"/>
    <w:uiPriority w:val="99"/>
    <w:unhideWhenUsed/>
    <w:rsid w:val="00B30448"/>
    <w:pPr>
      <w:tabs>
        <w:tab w:val="center" w:pos="4419"/>
        <w:tab w:val="right" w:pos="8838"/>
      </w:tabs>
      <w:spacing w:after="0" w:line="240" w:lineRule="auto"/>
    </w:pPr>
  </w:style>
  <w:style w:type="character" w:customStyle="1" w:styleId="HeaderChar">
    <w:name w:val="Header Char"/>
    <w:basedOn w:val="DefaultParagraphFont"/>
    <w:link w:val="Header"/>
    <w:uiPriority w:val="99"/>
    <w:rsid w:val="00B30448"/>
  </w:style>
  <w:style w:type="paragraph" w:styleId="Footer">
    <w:name w:val="footer"/>
    <w:basedOn w:val="Normal"/>
    <w:link w:val="FooterChar"/>
    <w:uiPriority w:val="99"/>
    <w:unhideWhenUsed/>
    <w:rsid w:val="00B30448"/>
    <w:pPr>
      <w:tabs>
        <w:tab w:val="center" w:pos="4419"/>
        <w:tab w:val="right" w:pos="8838"/>
      </w:tabs>
      <w:spacing w:after="0" w:line="240" w:lineRule="auto"/>
    </w:pPr>
  </w:style>
  <w:style w:type="character" w:customStyle="1" w:styleId="FooterChar">
    <w:name w:val="Footer Char"/>
    <w:basedOn w:val="DefaultParagraphFont"/>
    <w:link w:val="Footer"/>
    <w:uiPriority w:val="99"/>
    <w:rsid w:val="00B30448"/>
  </w:style>
  <w:style w:type="table" w:styleId="TableGrid">
    <w:name w:val="Table Grid"/>
    <w:basedOn w:val="Table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2307"/>
    <w:rPr>
      <w:color w:val="0563C1" w:themeColor="hyperlink"/>
      <w:u w:val="single"/>
    </w:rPr>
  </w:style>
  <w:style w:type="character" w:styleId="UnresolvedMention">
    <w:name w:val="Unresolved Mention"/>
    <w:basedOn w:val="DefaultParagraphFont"/>
    <w:uiPriority w:val="99"/>
    <w:semiHidden/>
    <w:unhideWhenUsed/>
    <w:rsid w:val="00C22307"/>
    <w:rPr>
      <w:color w:val="605E5C"/>
      <w:shd w:val="clear" w:color="auto" w:fill="E1DFDD"/>
    </w:rPr>
  </w:style>
  <w:style w:type="character" w:styleId="FollowedHyperlink">
    <w:name w:val="FollowedHyperlink"/>
    <w:basedOn w:val="DefaultParagraphFont"/>
    <w:uiPriority w:val="99"/>
    <w:semiHidden/>
    <w:unhideWhenUsed/>
    <w:rsid w:val="00C22307"/>
    <w:rPr>
      <w:color w:val="954F72" w:themeColor="followedHyperlink"/>
      <w:u w:val="single"/>
    </w:rPr>
  </w:style>
  <w:style w:type="character" w:styleId="CommentReference">
    <w:name w:val="annotation reference"/>
    <w:basedOn w:val="DefaultParagraphFont"/>
    <w:uiPriority w:val="99"/>
    <w:semiHidden/>
    <w:unhideWhenUsed/>
    <w:rsid w:val="00A37D1C"/>
    <w:rPr>
      <w:sz w:val="16"/>
      <w:szCs w:val="16"/>
    </w:rPr>
  </w:style>
  <w:style w:type="paragraph" w:styleId="CommentText">
    <w:name w:val="annotation text"/>
    <w:basedOn w:val="Normal"/>
    <w:link w:val="CommentTextChar"/>
    <w:uiPriority w:val="99"/>
    <w:unhideWhenUsed/>
    <w:rsid w:val="00A37D1C"/>
    <w:pPr>
      <w:spacing w:line="240" w:lineRule="auto"/>
    </w:pPr>
    <w:rPr>
      <w:sz w:val="20"/>
      <w:szCs w:val="20"/>
    </w:rPr>
  </w:style>
  <w:style w:type="character" w:customStyle="1" w:styleId="CommentTextChar">
    <w:name w:val="Comment Text Char"/>
    <w:basedOn w:val="DefaultParagraphFont"/>
    <w:link w:val="CommentText"/>
    <w:uiPriority w:val="99"/>
    <w:rsid w:val="00A37D1C"/>
    <w:rPr>
      <w:sz w:val="20"/>
      <w:szCs w:val="20"/>
    </w:rPr>
  </w:style>
  <w:style w:type="paragraph" w:styleId="CommentSubject">
    <w:name w:val="annotation subject"/>
    <w:basedOn w:val="CommentText"/>
    <w:next w:val="CommentText"/>
    <w:link w:val="CommentSubjectChar"/>
    <w:uiPriority w:val="99"/>
    <w:semiHidden/>
    <w:unhideWhenUsed/>
    <w:rsid w:val="00A37D1C"/>
    <w:rPr>
      <w:b/>
      <w:bCs/>
    </w:rPr>
  </w:style>
  <w:style w:type="character" w:customStyle="1" w:styleId="CommentSubjectChar">
    <w:name w:val="Comment Subject Char"/>
    <w:basedOn w:val="CommentTextChar"/>
    <w:link w:val="CommentSubject"/>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on">
    <w:name w:val="Revision"/>
    <w:hidden/>
    <w:uiPriority w:val="99"/>
    <w:semiHidden/>
    <w:rsid w:val="00F64D5A"/>
    <w:pPr>
      <w:spacing w:after="0" w:line="240" w:lineRule="auto"/>
    </w:pPr>
  </w:style>
  <w:style w:type="character" w:customStyle="1" w:styleId="cf01">
    <w:name w:val="cf01"/>
    <w:basedOn w:val="DefaultParagraphFont"/>
    <w:rsid w:val="005019AA"/>
    <w:rPr>
      <w:rFonts w:ascii="Segoe UI" w:hAnsi="Segoe UI" w:cs="Segoe UI" w:hint="default"/>
      <w:i/>
      <w:iCs/>
      <w:sz w:val="18"/>
      <w:szCs w:val="18"/>
    </w:rPr>
  </w:style>
  <w:style w:type="character" w:customStyle="1" w:styleId="normaltextrun">
    <w:name w:val="normaltextrun"/>
    <w:basedOn w:val="DefaultParagraphFont"/>
    <w:rsid w:val="5D8505AD"/>
  </w:style>
  <w:style w:type="character" w:customStyle="1" w:styleId="eop">
    <w:name w:val="eop"/>
    <w:basedOn w:val="DefaultParagraphFont"/>
    <w:rsid w:val="5D8505AD"/>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082E4C"/>
    <w:pPr>
      <w:ind w:left="720"/>
      <w:contextualSpacing/>
    </w:pPr>
  </w:style>
  <w:style w:type="character" w:customStyle="1" w:styleId="Hipervnculo1">
    <w:name w:val="Hipervínculo1"/>
    <w:basedOn w:val="DefaultParagraphFont"/>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Strong">
    <w:name w:val="Strong"/>
    <w:basedOn w:val="DefaultParagraphFont"/>
    <w:uiPriority w:val="22"/>
    <w:qFormat/>
    <w:rsid w:val="000C3C51"/>
    <w:rPr>
      <w:b/>
      <w:bCs/>
    </w:rPr>
  </w:style>
  <w:style w:type="character" w:styleId="Emphasis">
    <w:name w:val="Emphasis"/>
    <w:basedOn w:val="DefaultParagraphFont"/>
    <w:uiPriority w:val="20"/>
    <w:qFormat/>
    <w:rsid w:val="000C3C51"/>
    <w:rPr>
      <w:i/>
      <w:iCs/>
    </w:rPr>
  </w:style>
  <w:style w:type="paragraph" w:styleId="BodyText">
    <w:name w:val="Body Text"/>
    <w:basedOn w:val="Normal"/>
    <w:link w:val="BodyTextChar"/>
    <w:uiPriority w:val="1"/>
    <w:unhideWhenUsed/>
    <w:qFormat/>
    <w:rsid w:val="00430492"/>
    <w:pPr>
      <w:spacing w:after="120"/>
    </w:pPr>
  </w:style>
  <w:style w:type="character" w:customStyle="1" w:styleId="BodyTextChar">
    <w:name w:val="Body Text Char"/>
    <w:basedOn w:val="DefaultParagraphFont"/>
    <w:link w:val="BodyText"/>
    <w:uiPriority w:val="99"/>
    <w:rsid w:val="00430492"/>
  </w:style>
  <w:style w:type="paragraph" w:customStyle="1" w:styleId="Car1">
    <w:name w:val="Car1"/>
    <w:basedOn w:val="Normal"/>
    <w:next w:val="FootnoteText"/>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Heading1Char">
    <w:name w:val="Heading 1 Char"/>
    <w:basedOn w:val="DefaultParagraphFont"/>
    <w:link w:val="Heading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eNormal"/>
    <w:next w:val="TableGrid"/>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NoList"/>
    <w:uiPriority w:val="99"/>
    <w:semiHidden/>
    <w:unhideWhenUsed/>
    <w:rsid w:val="00B34786"/>
  </w:style>
  <w:style w:type="table" w:customStyle="1" w:styleId="NormalTable0">
    <w:name w:val="Normal Table0"/>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eNormal"/>
    <w:next w:val="TableGrid"/>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ubencordoba5@gmail.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rteconstitucional.gov.co/relatoria/"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relatoria.colombiacompra.gov.co/busqueda/conceptos" TargetMode="External"/><Relationship Id="rId2" Type="http://schemas.openxmlformats.org/officeDocument/2006/relationships/hyperlink" Target="https://www.casadellibro.com.co/libros-ebooks/fernando-juan-y-mateu/107873" TargetMode="External"/><Relationship Id="rId1" Type="http://schemas.openxmlformats.org/officeDocument/2006/relationships/hyperlink" Target="mailto:office@elalog.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3359</Words>
  <Characters>19150</Characters>
  <Application>Microsoft Office Word</Application>
  <DocSecurity>4</DocSecurity>
  <Lines>159</Lines>
  <Paragraphs>44</Paragraphs>
  <ScaleCrop>false</ScaleCrop>
  <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8</cp:revision>
  <dcterms:created xsi:type="dcterms:W3CDTF">2024-07-26T04:22:00Z</dcterms:created>
  <dcterms:modified xsi:type="dcterms:W3CDTF">2024-07-26T14:59:00Z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