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FB936" w14:textId="77777777" w:rsidR="005C15E8" w:rsidRDefault="005C15E8" w:rsidP="03039DCC">
      <w:pPr>
        <w:spacing w:after="0"/>
        <w:ind w:firstLine="708"/>
        <w:rPr>
          <w:rFonts w:ascii="Century Gothic" w:hAnsi="Century Gothic"/>
        </w:rPr>
      </w:pPr>
    </w:p>
    <w:p w14:paraId="03E3BAF1" w14:textId="77777777" w:rsidR="005C15E8" w:rsidRDefault="005C15E8" w:rsidP="005C15E8">
      <w:pPr>
        <w:spacing w:after="0"/>
        <w:rPr>
          <w:rFonts w:ascii="Century Gothic" w:hAnsi="Century Gothic"/>
        </w:rPr>
      </w:pPr>
    </w:p>
    <w:p w14:paraId="084479E6" w14:textId="77777777" w:rsidR="005C15E8" w:rsidRPr="005C15E8" w:rsidRDefault="005C15E8" w:rsidP="005C15E8">
      <w:pPr>
        <w:spacing w:after="0" w:line="240" w:lineRule="auto"/>
        <w:jc w:val="both"/>
        <w:rPr>
          <w:rFonts w:ascii="Century Gothic" w:eastAsia="Calibri" w:hAnsi="Century Gothic" w:cs="Arial"/>
          <w:b/>
          <w:sz w:val="20"/>
          <w:szCs w:val="20"/>
          <w:lang w:val="es-ES_tradnl" w:eastAsia="es-ES_tradnl"/>
        </w:rPr>
      </w:pPr>
      <w:r w:rsidRPr="005C15E8">
        <w:rPr>
          <w:rFonts w:ascii="Century Gothic" w:eastAsia="Calibri" w:hAnsi="Century Gothic" w:cs="Arial"/>
          <w:b/>
          <w:sz w:val="20"/>
          <w:szCs w:val="20"/>
          <w:lang w:val="es-ES_tradnl" w:eastAsia="es-ES_tradnl"/>
        </w:rPr>
        <w:t xml:space="preserve">SOCIEDADES NUEVAS </w:t>
      </w:r>
      <w:r w:rsidRPr="005C15E8">
        <w:rPr>
          <w:rFonts w:ascii="Arial" w:eastAsia="Calibri" w:hAnsi="Arial" w:cs="Arial"/>
          <w:b/>
          <w:sz w:val="20"/>
          <w:szCs w:val="20"/>
          <w:lang w:val="es-ES_tradnl" w:eastAsia="es-ES_tradnl"/>
        </w:rPr>
        <w:t>‒</w:t>
      </w:r>
      <w:r w:rsidRPr="005C15E8">
        <w:rPr>
          <w:rFonts w:ascii="Century Gothic" w:eastAsia="Calibri" w:hAnsi="Century Gothic" w:cs="Arial"/>
          <w:b/>
          <w:sz w:val="20"/>
          <w:szCs w:val="20"/>
          <w:lang w:val="es-ES_tradnl" w:eastAsia="es-ES_tradnl"/>
        </w:rPr>
        <w:t xml:space="preserve"> Experiencia </w:t>
      </w:r>
      <w:r w:rsidRPr="005C15E8">
        <w:rPr>
          <w:rFonts w:ascii="Arial" w:eastAsia="Calibri" w:hAnsi="Arial" w:cs="Arial"/>
          <w:b/>
          <w:sz w:val="20"/>
          <w:szCs w:val="20"/>
          <w:lang w:val="es-ES_tradnl" w:eastAsia="es-ES_tradnl"/>
        </w:rPr>
        <w:t>‒</w:t>
      </w:r>
      <w:r w:rsidRPr="005C15E8">
        <w:rPr>
          <w:rFonts w:ascii="Century Gothic" w:eastAsia="Calibri" w:hAnsi="Century Gothic" w:cs="Arial"/>
          <w:b/>
          <w:sz w:val="20"/>
          <w:szCs w:val="20"/>
          <w:lang w:val="es-ES_tradnl" w:eastAsia="es-ES_tradnl"/>
        </w:rPr>
        <w:t xml:space="preserve"> Inferior a tres años </w:t>
      </w:r>
      <w:r w:rsidRPr="005C15E8">
        <w:rPr>
          <w:rFonts w:ascii="Arial" w:eastAsia="Calibri" w:hAnsi="Arial" w:cs="Arial"/>
          <w:b/>
          <w:sz w:val="20"/>
          <w:szCs w:val="20"/>
          <w:lang w:val="es-ES_tradnl" w:eastAsia="es-ES_tradnl"/>
        </w:rPr>
        <w:t>‒</w:t>
      </w:r>
      <w:r w:rsidRPr="005C15E8">
        <w:rPr>
          <w:rFonts w:ascii="Century Gothic" w:eastAsia="Calibri" w:hAnsi="Century Gothic" w:cs="Arial"/>
          <w:b/>
          <w:sz w:val="20"/>
          <w:szCs w:val="20"/>
          <w:lang w:val="es-ES_tradnl" w:eastAsia="es-ES_tradnl"/>
        </w:rPr>
        <w:t xml:space="preserve"> Requisitos habilitantes </w:t>
      </w:r>
      <w:r w:rsidRPr="005C15E8">
        <w:rPr>
          <w:rFonts w:ascii="Arial" w:eastAsia="Calibri" w:hAnsi="Arial" w:cs="Arial"/>
          <w:b/>
          <w:sz w:val="20"/>
          <w:szCs w:val="20"/>
          <w:lang w:val="es-ES_tradnl" w:eastAsia="es-ES_tradnl"/>
        </w:rPr>
        <w:t>‒</w:t>
      </w:r>
      <w:r w:rsidRPr="005C15E8">
        <w:rPr>
          <w:rFonts w:ascii="Century Gothic" w:eastAsia="Calibri" w:hAnsi="Century Gothic" w:cs="Arial"/>
          <w:b/>
          <w:sz w:val="20"/>
          <w:szCs w:val="20"/>
          <w:lang w:val="es-ES_tradnl" w:eastAsia="es-ES_tradnl"/>
        </w:rPr>
        <w:t>Desarrollo de la empresa</w:t>
      </w:r>
    </w:p>
    <w:p w14:paraId="4605329D" w14:textId="77777777" w:rsidR="005C15E8" w:rsidRPr="005C15E8" w:rsidRDefault="005C15E8" w:rsidP="005C15E8">
      <w:pPr>
        <w:spacing w:after="0" w:line="240" w:lineRule="auto"/>
        <w:jc w:val="both"/>
        <w:rPr>
          <w:rFonts w:ascii="Century Gothic" w:eastAsia="Calibri" w:hAnsi="Century Gothic" w:cs="Arial"/>
          <w:b/>
          <w:sz w:val="20"/>
          <w:szCs w:val="20"/>
          <w:lang w:val="es-ES_tradnl" w:eastAsia="es-ES_tradnl"/>
        </w:rPr>
      </w:pPr>
    </w:p>
    <w:p w14:paraId="50738481" w14:textId="77777777" w:rsidR="005C15E8" w:rsidRPr="005C15E8" w:rsidRDefault="005C15E8" w:rsidP="005C15E8">
      <w:pPr>
        <w:spacing w:after="0" w:line="240" w:lineRule="auto"/>
        <w:jc w:val="both"/>
        <w:rPr>
          <w:rFonts w:ascii="Century Gothic" w:eastAsia="Calibri" w:hAnsi="Century Gothic" w:cs="Arial"/>
          <w:bCs/>
          <w:sz w:val="20"/>
          <w:szCs w:val="20"/>
          <w:lang w:val="es-ES_tradnl" w:eastAsia="es-ES_tradnl"/>
        </w:rPr>
      </w:pPr>
      <w:r w:rsidRPr="005C15E8">
        <w:rPr>
          <w:rFonts w:ascii="Century Gothic" w:eastAsia="Calibri" w:hAnsi="Century Gothic" w:cs="Arial"/>
          <w:bCs/>
          <w:sz w:val="20"/>
          <w:szCs w:val="20"/>
          <w:lang w:val="es-ES_tradnl" w:eastAsia="es-ES_tradnl"/>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 </w:t>
      </w:r>
    </w:p>
    <w:p w14:paraId="7AAF3009" w14:textId="77777777" w:rsidR="005C15E8" w:rsidRPr="005C15E8" w:rsidRDefault="005C15E8" w:rsidP="005C15E8">
      <w:pPr>
        <w:spacing w:after="0" w:line="240" w:lineRule="auto"/>
        <w:jc w:val="both"/>
        <w:rPr>
          <w:rFonts w:ascii="Century Gothic" w:eastAsia="Calibri" w:hAnsi="Century Gothic" w:cs="Arial"/>
          <w:bCs/>
          <w:sz w:val="20"/>
          <w:szCs w:val="20"/>
          <w:lang w:val="es-ES_tradnl" w:eastAsia="es-ES_tradnl"/>
        </w:rPr>
      </w:pPr>
      <w:r w:rsidRPr="005C15E8">
        <w:rPr>
          <w:rFonts w:ascii="Century Gothic" w:eastAsia="Calibri" w:hAnsi="Century Gothic" w:cs="Arial"/>
          <w:bCs/>
          <w:sz w:val="20"/>
          <w:szCs w:val="20"/>
          <w:lang w:val="es-ES_tradnl" w:eastAsia="es-ES_tradnl"/>
        </w:rPr>
        <w:t xml:space="preserve">[…] </w:t>
      </w:r>
    </w:p>
    <w:p w14:paraId="2DD2CE0B" w14:textId="77777777" w:rsidR="005C15E8" w:rsidRPr="005C15E8" w:rsidRDefault="005C15E8" w:rsidP="1BA93D08">
      <w:pPr>
        <w:spacing w:after="0" w:line="240" w:lineRule="auto"/>
        <w:jc w:val="both"/>
        <w:rPr>
          <w:rFonts w:ascii="Century Gothic" w:eastAsia="Calibri" w:hAnsi="Century Gothic" w:cs="Arial"/>
          <w:sz w:val="20"/>
          <w:szCs w:val="20"/>
          <w:lang w:val="es-ES" w:eastAsia="es-ES"/>
        </w:rPr>
      </w:pPr>
      <w:r w:rsidRPr="1BA93D08">
        <w:rPr>
          <w:rFonts w:ascii="Century Gothic" w:eastAsia="Calibri" w:hAnsi="Century Gothic" w:cs="Arial"/>
          <w:sz w:val="20"/>
          <w:szCs w:val="20"/>
          <w:lang w:val="es-ES" w:eastAsia="es-E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0B3750BE" w14:textId="77777777" w:rsidR="005C15E8" w:rsidRPr="005C15E8" w:rsidRDefault="005C15E8" w:rsidP="005C15E8">
      <w:pPr>
        <w:spacing w:after="0" w:line="240" w:lineRule="auto"/>
        <w:jc w:val="both"/>
        <w:rPr>
          <w:rFonts w:ascii="Century Gothic" w:eastAsia="Calibri" w:hAnsi="Century Gothic" w:cs="Arial"/>
          <w:bCs/>
          <w:sz w:val="20"/>
          <w:szCs w:val="20"/>
          <w:lang w:val="es-ES_tradnl" w:eastAsia="es-ES_tradnl"/>
        </w:rPr>
      </w:pPr>
    </w:p>
    <w:p w14:paraId="64214D35" w14:textId="77777777" w:rsidR="005C15E8" w:rsidRPr="005C15E8" w:rsidRDefault="005C15E8" w:rsidP="005C15E8">
      <w:pPr>
        <w:spacing w:after="0" w:line="240" w:lineRule="auto"/>
        <w:jc w:val="both"/>
        <w:rPr>
          <w:rFonts w:ascii="Century Gothic" w:eastAsia="Calibri" w:hAnsi="Century Gothic" w:cs="Arial"/>
          <w:b/>
          <w:sz w:val="20"/>
          <w:szCs w:val="20"/>
          <w:lang w:val="es-ES_tradnl" w:eastAsia="es-ES_tradnl"/>
        </w:rPr>
      </w:pPr>
      <w:r w:rsidRPr="005C15E8">
        <w:rPr>
          <w:rFonts w:ascii="Century Gothic" w:eastAsia="Calibri" w:hAnsi="Century Gothic" w:cs="Arial"/>
          <w:b/>
          <w:sz w:val="20"/>
          <w:szCs w:val="20"/>
          <w:lang w:val="es-ES_tradnl" w:eastAsia="es-ES_tradnl"/>
        </w:rPr>
        <w:t xml:space="preserve">EXPERIENCIA </w:t>
      </w:r>
      <w:r w:rsidRPr="005C15E8">
        <w:rPr>
          <w:rFonts w:ascii="Arial" w:eastAsia="Calibri" w:hAnsi="Arial" w:cs="Arial"/>
          <w:b/>
          <w:sz w:val="20"/>
          <w:szCs w:val="20"/>
          <w:lang w:val="es-ES_tradnl" w:eastAsia="es-ES_tradnl"/>
        </w:rPr>
        <w:t>‒</w:t>
      </w:r>
      <w:r w:rsidRPr="005C15E8">
        <w:rPr>
          <w:rFonts w:ascii="Century Gothic" w:eastAsia="Calibri" w:hAnsi="Century Gothic" w:cs="Arial"/>
          <w:b/>
          <w:sz w:val="20"/>
          <w:szCs w:val="20"/>
          <w:lang w:val="es-ES_tradnl" w:eastAsia="es-ES_tradnl"/>
        </w:rPr>
        <w:t xml:space="preserve"> Conservación </w:t>
      </w:r>
      <w:r w:rsidRPr="005C15E8">
        <w:rPr>
          <w:rFonts w:ascii="Arial" w:eastAsia="Calibri" w:hAnsi="Arial" w:cs="Arial"/>
          <w:b/>
          <w:sz w:val="20"/>
          <w:szCs w:val="20"/>
          <w:lang w:val="es-ES_tradnl" w:eastAsia="es-ES_tradnl"/>
        </w:rPr>
        <w:t>‒</w:t>
      </w:r>
      <w:r w:rsidRPr="005C15E8">
        <w:rPr>
          <w:rFonts w:ascii="Century Gothic" w:eastAsia="Calibri" w:hAnsi="Century Gothic" w:cs="Arial"/>
          <w:b/>
          <w:sz w:val="20"/>
          <w:szCs w:val="20"/>
          <w:lang w:val="es-ES_tradnl" w:eastAsia="es-ES_tradnl"/>
        </w:rPr>
        <w:t xml:space="preserve"> Renovación RUP </w:t>
      </w:r>
      <w:r w:rsidRPr="005C15E8">
        <w:rPr>
          <w:rFonts w:ascii="Arial" w:eastAsia="Calibri" w:hAnsi="Arial" w:cs="Arial"/>
          <w:b/>
          <w:sz w:val="20"/>
          <w:szCs w:val="20"/>
          <w:lang w:val="es-ES_tradnl" w:eastAsia="es-ES_tradnl"/>
        </w:rPr>
        <w:t>‒</w:t>
      </w:r>
      <w:r w:rsidRPr="005C15E8">
        <w:rPr>
          <w:rFonts w:ascii="Century Gothic" w:eastAsia="Calibri" w:hAnsi="Century Gothic" w:cs="Arial"/>
          <w:b/>
          <w:sz w:val="20"/>
          <w:szCs w:val="20"/>
          <w:lang w:val="es-ES_tradnl" w:eastAsia="es-ES_tradnl"/>
        </w:rPr>
        <w:t xml:space="preserve"> Cesación efectos RUP</w:t>
      </w:r>
    </w:p>
    <w:p w14:paraId="6C9BCF54" w14:textId="77777777" w:rsidR="005C15E8" w:rsidRPr="005C15E8" w:rsidRDefault="005C15E8" w:rsidP="005C15E8">
      <w:pPr>
        <w:spacing w:after="0" w:line="240" w:lineRule="auto"/>
        <w:jc w:val="both"/>
        <w:rPr>
          <w:rFonts w:ascii="Century Gothic" w:eastAsia="Calibri" w:hAnsi="Century Gothic" w:cs="Arial"/>
          <w:bCs/>
          <w:sz w:val="20"/>
          <w:szCs w:val="20"/>
          <w:lang w:val="es-ES_tradnl" w:eastAsia="es-ES_tradnl"/>
        </w:rPr>
      </w:pPr>
    </w:p>
    <w:p w14:paraId="306DCAFE" w14:textId="77777777" w:rsidR="005C15E8" w:rsidRPr="005C15E8" w:rsidRDefault="005C15E8" w:rsidP="1BA93D08">
      <w:pPr>
        <w:spacing w:after="0" w:line="240" w:lineRule="auto"/>
        <w:jc w:val="both"/>
        <w:rPr>
          <w:rFonts w:ascii="Century Gothic" w:eastAsia="Calibri" w:hAnsi="Century Gothic" w:cs="Arial"/>
          <w:sz w:val="20"/>
          <w:szCs w:val="20"/>
          <w:lang w:val="es-ES" w:eastAsia="es-ES"/>
        </w:rPr>
      </w:pPr>
      <w:r w:rsidRPr="1BA93D08">
        <w:rPr>
          <w:rFonts w:ascii="Century Gothic" w:eastAsia="Calibri" w:hAnsi="Century Gothic" w:cs="Arial"/>
          <w:sz w:val="20"/>
          <w:szCs w:val="20"/>
          <w:lang w:val="es-ES" w:eastAsia="es-ES"/>
        </w:rPr>
        <w:t>[…]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7F114750" w14:textId="77777777" w:rsidR="005C15E8" w:rsidRPr="005C15E8" w:rsidRDefault="005C15E8" w:rsidP="005C15E8">
      <w:pPr>
        <w:spacing w:after="0" w:line="240" w:lineRule="auto"/>
        <w:jc w:val="both"/>
        <w:rPr>
          <w:rFonts w:ascii="Century Gothic" w:eastAsia="Calibri" w:hAnsi="Century Gothic" w:cs="Arial"/>
          <w:bCs/>
          <w:sz w:val="20"/>
          <w:szCs w:val="20"/>
          <w:lang w:val="es-ES_tradnl" w:eastAsia="es-ES_tradnl"/>
        </w:rPr>
      </w:pPr>
    </w:p>
    <w:p w14:paraId="54E9CE7C" w14:textId="77777777" w:rsidR="005C15E8" w:rsidRPr="005C15E8" w:rsidRDefault="005C15E8" w:rsidP="005C15E8">
      <w:pPr>
        <w:spacing w:after="0" w:line="240" w:lineRule="auto"/>
        <w:jc w:val="both"/>
        <w:rPr>
          <w:rFonts w:ascii="Century Gothic" w:eastAsia="Calibri" w:hAnsi="Century Gothic" w:cs="Arial"/>
          <w:b/>
          <w:sz w:val="20"/>
          <w:szCs w:val="20"/>
          <w:lang w:val="es-ES_tradnl" w:eastAsia="es-ES_tradnl"/>
        </w:rPr>
      </w:pPr>
      <w:r w:rsidRPr="005C15E8">
        <w:rPr>
          <w:rFonts w:ascii="Century Gothic" w:eastAsia="Calibri" w:hAnsi="Century Gothic" w:cs="Arial"/>
          <w:b/>
          <w:sz w:val="20"/>
          <w:szCs w:val="20"/>
          <w:lang w:val="es-ES_tradnl" w:eastAsia="es-ES_tradnl"/>
        </w:rPr>
        <w:t>EXPERIENCIA – Retiro del socio − Sociedades – Menor a 3 años de constitución</w:t>
      </w:r>
    </w:p>
    <w:p w14:paraId="28A33FCB" w14:textId="77777777" w:rsidR="005C15E8" w:rsidRPr="005C15E8" w:rsidRDefault="005C15E8" w:rsidP="005C15E8">
      <w:pPr>
        <w:spacing w:after="0" w:line="240" w:lineRule="auto"/>
        <w:jc w:val="both"/>
        <w:rPr>
          <w:rFonts w:ascii="Century Gothic" w:eastAsia="Calibri" w:hAnsi="Century Gothic" w:cs="Arial"/>
          <w:bCs/>
          <w:sz w:val="20"/>
          <w:szCs w:val="20"/>
          <w:lang w:val="es-ES_tradnl" w:eastAsia="es-ES_tradnl"/>
        </w:rPr>
      </w:pPr>
    </w:p>
    <w:p w14:paraId="19D312EF" w14:textId="77777777" w:rsidR="005C15E8" w:rsidRPr="005C15E8" w:rsidRDefault="005C15E8" w:rsidP="005C15E8">
      <w:pPr>
        <w:spacing w:after="0" w:line="240" w:lineRule="auto"/>
        <w:jc w:val="both"/>
        <w:rPr>
          <w:rFonts w:ascii="Century Gothic" w:eastAsia="Calibri" w:hAnsi="Century Gothic" w:cs="Arial"/>
          <w:bCs/>
          <w:sz w:val="20"/>
          <w:szCs w:val="20"/>
          <w:lang w:val="es-ES_tradnl" w:eastAsia="es-ES_tradnl"/>
        </w:rPr>
      </w:pPr>
      <w:r w:rsidRPr="005C15E8">
        <w:rPr>
          <w:rFonts w:ascii="Century Gothic" w:eastAsia="Calibri" w:hAnsi="Century Gothic" w:cs="Arial"/>
          <w:bCs/>
          <w:sz w:val="20"/>
          <w:szCs w:val="20"/>
          <w:lang w:val="es-ES_tradnl" w:eastAsia="es-ES_tradnl"/>
        </w:rPr>
        <w:t>El Decreto 1082 de 2015 es claro en indicar que una sociedad con menos de tres años de constituida puede aportar la experiencia de sus accionistas, socios o constituyentes, de modo que si se pierde esta calidad, como sucedería cuando un socio se retira por venta o cesión de su participación y pierde su calidad de socio, con el fin de evitar prácticas corruptivas o que atenten contra la transparencia en la contratación estatal, la experiencia aportada por quien se retira no deberá ser tenida en cuenta por las Entidades Estatales, y no debería ser utilizada por el proponente en Procesos de Contratación, ya que es inherente a la persona que la ha obtenido. En consecuencia, el proponente debería actualizar la experiencia en el RUP, actuando de buena fe en el Proceso de Contratación.</w:t>
      </w:r>
    </w:p>
    <w:p w14:paraId="2FBF3BD7" w14:textId="77777777" w:rsidR="005C15E8" w:rsidRPr="005C15E8" w:rsidRDefault="005C15E8" w:rsidP="03039DCC">
      <w:pPr>
        <w:spacing w:after="0"/>
        <w:ind w:firstLine="708"/>
        <w:rPr>
          <w:rFonts w:ascii="Century Gothic" w:eastAsia="Calibri" w:hAnsi="Century Gothic" w:cs="Arial"/>
          <w:bCs/>
          <w:sz w:val="20"/>
          <w:szCs w:val="20"/>
          <w:lang w:val="es-ES_tradnl" w:eastAsia="es-ES_tradnl"/>
        </w:rPr>
      </w:pPr>
    </w:p>
    <w:p w14:paraId="5A12C95F" w14:textId="77777777" w:rsidR="005C15E8" w:rsidRPr="005C15E8" w:rsidRDefault="005C15E8" w:rsidP="03039DCC">
      <w:pPr>
        <w:spacing w:after="0"/>
        <w:ind w:firstLine="708"/>
        <w:rPr>
          <w:rFonts w:ascii="Century Gothic" w:eastAsia="Calibri" w:hAnsi="Century Gothic" w:cs="Arial"/>
          <w:bCs/>
          <w:sz w:val="20"/>
          <w:szCs w:val="20"/>
          <w:lang w:val="es-ES_tradnl" w:eastAsia="es-ES_tradnl"/>
        </w:rPr>
      </w:pPr>
    </w:p>
    <w:p w14:paraId="09C9E14F" w14:textId="77777777" w:rsidR="005C15E8" w:rsidRDefault="005C15E8" w:rsidP="03039DCC">
      <w:pPr>
        <w:spacing w:after="0"/>
        <w:ind w:firstLine="708"/>
        <w:rPr>
          <w:rFonts w:ascii="Century Gothic" w:hAnsi="Century Gothic"/>
        </w:rPr>
      </w:pPr>
    </w:p>
    <w:p w14:paraId="05A78A5B" w14:textId="77777777" w:rsidR="005C15E8" w:rsidRDefault="005C15E8" w:rsidP="005C15E8">
      <w:pPr>
        <w:spacing w:after="0"/>
        <w:rPr>
          <w:rFonts w:ascii="Century Gothic" w:hAnsi="Century Gothic"/>
        </w:rPr>
      </w:pPr>
    </w:p>
    <w:p w14:paraId="74B00842" w14:textId="77777777" w:rsidR="005C15E8" w:rsidRDefault="005C15E8" w:rsidP="03039DCC">
      <w:pPr>
        <w:spacing w:after="0"/>
        <w:ind w:firstLine="708"/>
        <w:rPr>
          <w:rFonts w:ascii="Century Gothic" w:hAnsi="Century Gothic"/>
        </w:rPr>
      </w:pPr>
    </w:p>
    <w:p w14:paraId="44A06B17" w14:textId="07737DDC" w:rsidR="005A6AA1" w:rsidRDefault="005A6AA1" w:rsidP="03039DCC">
      <w:pPr>
        <w:spacing w:after="0"/>
        <w:ind w:firstLine="708"/>
        <w:rPr>
          <w:rFonts w:ascii="Century Gothic" w:hAnsi="Century Gothic"/>
          <w:lang w:val="es-MX"/>
        </w:rPr>
      </w:pPr>
      <w:r w:rsidRPr="03039DCC">
        <w:rPr>
          <w:rFonts w:ascii="Century Gothic" w:hAnsi="Century Gothic"/>
        </w:rPr>
        <w:t>Bogotá D.C., [Día] [</w:t>
      </w:r>
      <w:proofErr w:type="spellStart"/>
      <w:r w:rsidRPr="03039DCC">
        <w:rPr>
          <w:rFonts w:ascii="Century Gothic" w:hAnsi="Century Gothic"/>
        </w:rPr>
        <w:t>Mes.NombreCapitalizado</w:t>
      </w:r>
      <w:proofErr w:type="spellEnd"/>
      <w:r w:rsidRPr="03039DCC">
        <w:rPr>
          <w:rFonts w:ascii="Century Gothic" w:hAnsi="Century Gothic"/>
        </w:rPr>
        <w:t>] [Año]</w:t>
      </w:r>
    </w:p>
    <w:p w14:paraId="7EBFAB6A" w14:textId="77777777" w:rsidR="005A6AA1" w:rsidRDefault="005A6AA1" w:rsidP="00400548">
      <w:pPr>
        <w:spacing w:after="0"/>
        <w:rPr>
          <w:rFonts w:ascii="Century Gothic" w:hAnsi="Century Gothic"/>
          <w:lang w:val="es-MX"/>
        </w:rPr>
      </w:pPr>
    </w:p>
    <w:p w14:paraId="0D5F7C69" w14:textId="31015325" w:rsidR="00F27317" w:rsidRDefault="00964D34" w:rsidP="00964D34">
      <w:pPr>
        <w:spacing w:after="0"/>
        <w:jc w:val="right"/>
        <w:rPr>
          <w:rFonts w:ascii="Century Gothic" w:hAnsi="Century Gothic"/>
          <w:lang w:val="es-MX"/>
        </w:rPr>
      </w:pPr>
      <w:r w:rsidRPr="00964D34">
        <w:rPr>
          <w:rFonts w:ascii="Century Gothic" w:hAnsi="Century Gothic"/>
          <w:noProof/>
          <w:lang w:val="es-MX"/>
        </w:rPr>
        <w:drawing>
          <wp:inline distT="0" distB="0" distL="0" distR="0" wp14:anchorId="1ADF6EE9" wp14:editId="48FD04D5">
            <wp:extent cx="3295650" cy="962025"/>
            <wp:effectExtent l="0" t="0" r="0" b="9525"/>
            <wp:docPr id="1018803119"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03119" name="Imagen 1" descr="Interfaz de usuario gráfica, Texto&#10;&#10;Descripción generada automáticamente"/>
                    <pic:cNvPicPr/>
                  </pic:nvPicPr>
                  <pic:blipFill>
                    <a:blip r:embed="rId10"/>
                    <a:stretch>
                      <a:fillRect/>
                    </a:stretch>
                  </pic:blipFill>
                  <pic:spPr>
                    <a:xfrm>
                      <a:off x="0" y="0"/>
                      <a:ext cx="3295650" cy="962025"/>
                    </a:xfrm>
                    <a:prstGeom prst="rect">
                      <a:avLst/>
                    </a:prstGeom>
                  </pic:spPr>
                </pic:pic>
              </a:graphicData>
            </a:graphic>
          </wp:inline>
        </w:drawing>
      </w:r>
    </w:p>
    <w:p w14:paraId="5B1D648D" w14:textId="77777777" w:rsidR="00F27317" w:rsidRDefault="00F27317" w:rsidP="00F27317">
      <w:pPr>
        <w:spacing w:after="0" w:line="240" w:lineRule="auto"/>
        <w:jc w:val="both"/>
        <w:rPr>
          <w:rFonts w:ascii="Century Gothic" w:eastAsia="Calibri" w:hAnsi="Century Gothic" w:cs="Arial"/>
          <w:color w:val="000000" w:themeColor="text1"/>
          <w:lang w:val="es-ES" w:eastAsia="es-ES"/>
        </w:rPr>
      </w:pPr>
      <w:r w:rsidRPr="00E27F0A">
        <w:rPr>
          <w:rFonts w:ascii="Century Gothic" w:eastAsia="Calibri" w:hAnsi="Century Gothic" w:cs="Arial"/>
          <w:color w:val="000000" w:themeColor="text1"/>
          <w:lang w:val="es-ES" w:eastAsia="es-ES"/>
        </w:rPr>
        <w:t>Señor</w:t>
      </w:r>
    </w:p>
    <w:p w14:paraId="11A75BF4" w14:textId="77777777" w:rsidR="00F27317" w:rsidRDefault="00F27317" w:rsidP="00F27317">
      <w:pPr>
        <w:spacing w:after="0" w:line="240" w:lineRule="auto"/>
        <w:jc w:val="both"/>
        <w:rPr>
          <w:rFonts w:ascii="Century Gothic" w:eastAsia="Calibri" w:hAnsi="Century Gothic" w:cs="Arial"/>
          <w:color w:val="000000" w:themeColor="text1"/>
          <w:lang w:val="es-ES" w:eastAsia="es-ES"/>
        </w:rPr>
      </w:pPr>
      <w:r>
        <w:rPr>
          <w:rFonts w:ascii="Century Gothic" w:eastAsia="Calibri" w:hAnsi="Century Gothic" w:cs="Arial"/>
          <w:color w:val="000000" w:themeColor="text1"/>
          <w:lang w:val="es-ES" w:eastAsia="es-ES"/>
        </w:rPr>
        <w:t>Andrés David Sierra Hernández</w:t>
      </w:r>
    </w:p>
    <w:p w14:paraId="5C7F543D" w14:textId="77777777" w:rsidR="00F27317" w:rsidRPr="00B01160" w:rsidRDefault="00F27317" w:rsidP="00F27317">
      <w:pPr>
        <w:spacing w:after="0" w:line="240" w:lineRule="auto"/>
        <w:jc w:val="both"/>
        <w:rPr>
          <w:rFonts w:ascii="Century Gothic" w:eastAsia="Calibri" w:hAnsi="Century Gothic" w:cs="Arial"/>
          <w:color w:val="000000" w:themeColor="text1"/>
          <w:lang w:val="es-ES" w:eastAsia="es-ES"/>
        </w:rPr>
      </w:pPr>
      <w:r>
        <w:rPr>
          <w:rFonts w:ascii="Century Gothic" w:eastAsia="Calibri" w:hAnsi="Century Gothic" w:cs="Arial"/>
          <w:color w:val="000000" w:themeColor="text1"/>
          <w:lang w:val="es-ES" w:eastAsia="es-ES"/>
        </w:rPr>
        <w:t>Facatativá, Cundinamarca</w:t>
      </w:r>
    </w:p>
    <w:p w14:paraId="1BCF95A2" w14:textId="77777777" w:rsidR="00F27317" w:rsidRDefault="00F27317" w:rsidP="00F27317">
      <w:pPr>
        <w:spacing w:after="0" w:line="240" w:lineRule="auto"/>
        <w:rPr>
          <w:rFonts w:ascii="Century Gothic" w:eastAsia="Calibri" w:hAnsi="Century Gothic" w:cs="Arial"/>
          <w:bCs/>
          <w:lang w:val="es-ES_tradnl" w:eastAsia="es-ES_tradnl"/>
        </w:rPr>
      </w:pPr>
    </w:p>
    <w:p w14:paraId="05AC29CB" w14:textId="77777777" w:rsidR="00F27317" w:rsidRPr="00964D34" w:rsidRDefault="00F27317" w:rsidP="00964D34">
      <w:pPr>
        <w:spacing w:after="0" w:line="240" w:lineRule="auto"/>
        <w:jc w:val="center"/>
        <w:rPr>
          <w:rFonts w:ascii="Century Gothic" w:eastAsia="Calibri" w:hAnsi="Century Gothic" w:cs="Arial"/>
          <w:b/>
          <w:lang w:val="es-ES_tradnl" w:eastAsia="es-ES_tradnl"/>
        </w:rPr>
      </w:pPr>
    </w:p>
    <w:p w14:paraId="38CBFE3A" w14:textId="0C42F987" w:rsidR="00F27317" w:rsidRPr="00964D34" w:rsidRDefault="00964D34" w:rsidP="00964D34">
      <w:pPr>
        <w:spacing w:after="0" w:line="240" w:lineRule="auto"/>
        <w:jc w:val="center"/>
        <w:rPr>
          <w:rFonts w:ascii="Century Gothic" w:eastAsia="Calibri" w:hAnsi="Century Gothic" w:cs="Arial"/>
          <w:b/>
          <w:lang w:val="es-ES_tradnl" w:eastAsia="es-ES_tradnl"/>
        </w:rPr>
      </w:pPr>
      <w:r w:rsidRPr="00964D34">
        <w:rPr>
          <w:rFonts w:ascii="Century Gothic" w:eastAsia="Calibri" w:hAnsi="Century Gothic" w:cs="Arial"/>
          <w:b/>
          <w:lang w:val="es-ES_tradnl" w:eastAsia="es-ES_tradnl"/>
        </w:rPr>
        <w:t>CONCEPTO – 269 DE 2024</w:t>
      </w:r>
    </w:p>
    <w:p w14:paraId="04E4DABB" w14:textId="77777777" w:rsidR="00F27317" w:rsidRPr="00964D34" w:rsidRDefault="00F27317" w:rsidP="00964D34">
      <w:pPr>
        <w:spacing w:after="0" w:line="240" w:lineRule="auto"/>
        <w:jc w:val="center"/>
        <w:rPr>
          <w:rFonts w:ascii="Century Gothic" w:eastAsia="Calibri" w:hAnsi="Century Gothic" w:cs="Arial"/>
          <w:b/>
          <w:color w:val="000000"/>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27317" w:rsidRPr="00E27F0A" w14:paraId="2EDD5D12" w14:textId="77777777" w:rsidTr="00BA607B">
        <w:trPr>
          <w:trHeight w:val="884"/>
        </w:trPr>
        <w:tc>
          <w:tcPr>
            <w:tcW w:w="2689" w:type="dxa"/>
          </w:tcPr>
          <w:p w14:paraId="5AA7DB60" w14:textId="77777777" w:rsidR="00F27317" w:rsidRPr="00E27F0A" w:rsidRDefault="00F27317" w:rsidP="00BA607B">
            <w:pPr>
              <w:jc w:val="both"/>
              <w:rPr>
                <w:rFonts w:ascii="Century Gothic" w:eastAsia="Calibri" w:hAnsi="Century Gothic" w:cs="Arial"/>
                <w:color w:val="000000"/>
                <w:lang w:val="es-ES_tradnl" w:eastAsia="es-ES_tradnl"/>
              </w:rPr>
            </w:pPr>
            <w:r w:rsidRPr="00E27F0A">
              <w:rPr>
                <w:rFonts w:ascii="Century Gothic" w:eastAsia="Calibri" w:hAnsi="Century Gothic" w:cs="Arial"/>
                <w:b/>
                <w:color w:val="000000"/>
                <w:lang w:val="es-ES_tradnl" w:eastAsia="es-ES_tradnl"/>
              </w:rPr>
              <w:t>Temas:</w:t>
            </w:r>
            <w:r w:rsidRPr="00E27F0A">
              <w:rPr>
                <w:rFonts w:ascii="Century Gothic" w:eastAsia="Calibri" w:hAnsi="Century Gothic" w:cs="Arial"/>
                <w:color w:val="000000"/>
                <w:lang w:val="es-ES_tradnl" w:eastAsia="es-ES_tradnl"/>
              </w:rPr>
              <w:t xml:space="preserve">                   </w:t>
            </w:r>
          </w:p>
        </w:tc>
        <w:tc>
          <w:tcPr>
            <w:tcW w:w="6237" w:type="dxa"/>
          </w:tcPr>
          <w:p w14:paraId="7497C87D" w14:textId="77777777" w:rsidR="00F27317" w:rsidRDefault="00F27317" w:rsidP="00BA607B">
            <w:pPr>
              <w:jc w:val="both"/>
              <w:rPr>
                <w:rFonts w:ascii="Century Gothic" w:eastAsia="Calibri" w:hAnsi="Century Gothic" w:cs="Arial"/>
                <w:bCs/>
                <w:lang w:val="es-ES_tradnl" w:eastAsia="es-ES_tradnl"/>
              </w:rPr>
            </w:pPr>
            <w:r w:rsidRPr="004C305D">
              <w:rPr>
                <w:rFonts w:ascii="Century Gothic" w:eastAsia="Calibri" w:hAnsi="Century Gothic" w:cs="Arial"/>
                <w:bCs/>
                <w:lang w:val="es-ES_tradnl" w:eastAsia="es-ES_tradnl"/>
              </w:rPr>
              <w:t xml:space="preserve">SOCIEDADES NUEVAS </w:t>
            </w:r>
            <w:r w:rsidRPr="004C305D">
              <w:rPr>
                <w:rFonts w:ascii="Arial" w:eastAsia="Calibri" w:hAnsi="Arial" w:cs="Arial"/>
                <w:bCs/>
                <w:lang w:val="es-ES_tradnl" w:eastAsia="es-ES_tradnl"/>
              </w:rPr>
              <w:t>‒</w:t>
            </w:r>
            <w:r w:rsidRPr="004C305D">
              <w:rPr>
                <w:rFonts w:ascii="Century Gothic" w:eastAsia="Calibri" w:hAnsi="Century Gothic" w:cs="Arial"/>
                <w:bCs/>
                <w:lang w:val="es-ES_tradnl" w:eastAsia="es-ES_tradnl"/>
              </w:rPr>
              <w:t xml:space="preserve"> Experiencia </w:t>
            </w:r>
            <w:r w:rsidRPr="004C305D">
              <w:rPr>
                <w:rFonts w:ascii="Arial" w:eastAsia="Calibri" w:hAnsi="Arial" w:cs="Arial"/>
                <w:bCs/>
                <w:lang w:val="es-ES_tradnl" w:eastAsia="es-ES_tradnl"/>
              </w:rPr>
              <w:t>‒</w:t>
            </w:r>
            <w:r w:rsidRPr="004C305D">
              <w:rPr>
                <w:rFonts w:ascii="Century Gothic" w:eastAsia="Calibri" w:hAnsi="Century Gothic" w:cs="Arial"/>
                <w:bCs/>
                <w:lang w:val="es-ES_tradnl" w:eastAsia="es-ES_tradnl"/>
              </w:rPr>
              <w:t xml:space="preserve"> Inferior a tres a</w:t>
            </w:r>
            <w:r w:rsidRPr="004C305D">
              <w:rPr>
                <w:rFonts w:ascii="Century Gothic" w:eastAsia="Calibri" w:hAnsi="Century Gothic" w:cs="Century Gothic"/>
                <w:bCs/>
                <w:lang w:val="es-ES_tradnl" w:eastAsia="es-ES_tradnl"/>
              </w:rPr>
              <w:t>ñ</w:t>
            </w:r>
            <w:r w:rsidRPr="004C305D">
              <w:rPr>
                <w:rFonts w:ascii="Century Gothic" w:eastAsia="Calibri" w:hAnsi="Century Gothic" w:cs="Arial"/>
                <w:bCs/>
                <w:lang w:val="es-ES_tradnl" w:eastAsia="es-ES_tradnl"/>
              </w:rPr>
              <w:t xml:space="preserve">os </w:t>
            </w:r>
            <w:r w:rsidRPr="004C305D">
              <w:rPr>
                <w:rFonts w:ascii="Arial" w:eastAsia="Calibri" w:hAnsi="Arial" w:cs="Arial"/>
                <w:bCs/>
                <w:lang w:val="es-ES_tradnl" w:eastAsia="es-ES_tradnl"/>
              </w:rPr>
              <w:t>‒</w:t>
            </w:r>
            <w:r w:rsidRPr="004C305D">
              <w:rPr>
                <w:rFonts w:ascii="Century Gothic" w:eastAsia="Calibri" w:hAnsi="Century Gothic" w:cs="Arial"/>
                <w:bCs/>
                <w:lang w:val="es-ES_tradnl" w:eastAsia="es-ES_tradnl"/>
              </w:rPr>
              <w:t xml:space="preserve"> Requisitos habilitantes </w:t>
            </w:r>
            <w:r w:rsidRPr="004C305D">
              <w:rPr>
                <w:rFonts w:ascii="Arial" w:eastAsia="Calibri" w:hAnsi="Arial" w:cs="Arial"/>
                <w:bCs/>
                <w:lang w:val="es-ES_tradnl" w:eastAsia="es-ES_tradnl"/>
              </w:rPr>
              <w:t>‒</w:t>
            </w:r>
            <w:r w:rsidRPr="004C305D">
              <w:rPr>
                <w:rFonts w:ascii="Century Gothic" w:eastAsia="Calibri" w:hAnsi="Century Gothic" w:cs="Arial"/>
                <w:bCs/>
                <w:lang w:val="es-ES_tradnl" w:eastAsia="es-ES_tradnl"/>
              </w:rPr>
              <w:t xml:space="preserve"> Desarrollo de la empresa / EXPERIENCIA </w:t>
            </w:r>
            <w:r w:rsidRPr="004C305D">
              <w:rPr>
                <w:rFonts w:ascii="Arial" w:eastAsia="Calibri" w:hAnsi="Arial" w:cs="Arial"/>
                <w:bCs/>
                <w:lang w:val="es-ES_tradnl" w:eastAsia="es-ES_tradnl"/>
              </w:rPr>
              <w:t>‒</w:t>
            </w:r>
            <w:r w:rsidRPr="004C305D">
              <w:rPr>
                <w:rFonts w:ascii="Century Gothic" w:eastAsia="Calibri" w:hAnsi="Century Gothic" w:cs="Arial"/>
                <w:bCs/>
                <w:lang w:val="es-ES_tradnl" w:eastAsia="es-ES_tradnl"/>
              </w:rPr>
              <w:t xml:space="preserve"> Conservaci</w:t>
            </w:r>
            <w:r w:rsidRPr="004C305D">
              <w:rPr>
                <w:rFonts w:ascii="Century Gothic" w:eastAsia="Calibri" w:hAnsi="Century Gothic" w:cs="Century Gothic"/>
                <w:bCs/>
                <w:lang w:val="es-ES_tradnl" w:eastAsia="es-ES_tradnl"/>
              </w:rPr>
              <w:t>ó</w:t>
            </w:r>
            <w:r w:rsidRPr="004C305D">
              <w:rPr>
                <w:rFonts w:ascii="Century Gothic" w:eastAsia="Calibri" w:hAnsi="Century Gothic" w:cs="Arial"/>
                <w:bCs/>
                <w:lang w:val="es-ES_tradnl" w:eastAsia="es-ES_tradnl"/>
              </w:rPr>
              <w:t xml:space="preserve">n </w:t>
            </w:r>
            <w:r w:rsidRPr="004C305D">
              <w:rPr>
                <w:rFonts w:ascii="Arial" w:eastAsia="Calibri" w:hAnsi="Arial" w:cs="Arial"/>
                <w:bCs/>
                <w:lang w:val="es-ES_tradnl" w:eastAsia="es-ES_tradnl"/>
              </w:rPr>
              <w:t>‒</w:t>
            </w:r>
            <w:r w:rsidRPr="004C305D">
              <w:rPr>
                <w:rFonts w:ascii="Century Gothic" w:eastAsia="Calibri" w:hAnsi="Century Gothic" w:cs="Arial"/>
                <w:bCs/>
                <w:lang w:val="es-ES_tradnl" w:eastAsia="es-ES_tradnl"/>
              </w:rPr>
              <w:t xml:space="preserve"> Renovaci</w:t>
            </w:r>
            <w:r w:rsidRPr="004C305D">
              <w:rPr>
                <w:rFonts w:ascii="Century Gothic" w:eastAsia="Calibri" w:hAnsi="Century Gothic" w:cs="Century Gothic"/>
                <w:bCs/>
                <w:lang w:val="es-ES_tradnl" w:eastAsia="es-ES_tradnl"/>
              </w:rPr>
              <w:t>ó</w:t>
            </w:r>
            <w:r w:rsidRPr="004C305D">
              <w:rPr>
                <w:rFonts w:ascii="Century Gothic" w:eastAsia="Calibri" w:hAnsi="Century Gothic" w:cs="Arial"/>
                <w:bCs/>
                <w:lang w:val="es-ES_tradnl" w:eastAsia="es-ES_tradnl"/>
              </w:rPr>
              <w:t xml:space="preserve">n RUP </w:t>
            </w:r>
            <w:r w:rsidRPr="004C305D">
              <w:rPr>
                <w:rFonts w:ascii="Arial" w:eastAsia="Calibri" w:hAnsi="Arial" w:cs="Arial"/>
                <w:bCs/>
                <w:lang w:val="es-ES_tradnl" w:eastAsia="es-ES_tradnl"/>
              </w:rPr>
              <w:t>‒</w:t>
            </w:r>
            <w:r w:rsidRPr="004C305D">
              <w:rPr>
                <w:rFonts w:ascii="Century Gothic" w:eastAsia="Calibri" w:hAnsi="Century Gothic" w:cs="Arial"/>
                <w:bCs/>
                <w:lang w:val="es-ES_tradnl" w:eastAsia="es-ES_tradnl"/>
              </w:rPr>
              <w:t xml:space="preserve"> Cesaci</w:t>
            </w:r>
            <w:r w:rsidRPr="004C305D">
              <w:rPr>
                <w:rFonts w:ascii="Century Gothic" w:eastAsia="Calibri" w:hAnsi="Century Gothic" w:cs="Century Gothic"/>
                <w:bCs/>
                <w:lang w:val="es-ES_tradnl" w:eastAsia="es-ES_tradnl"/>
              </w:rPr>
              <w:t>ó</w:t>
            </w:r>
            <w:r w:rsidRPr="004C305D">
              <w:rPr>
                <w:rFonts w:ascii="Century Gothic" w:eastAsia="Calibri" w:hAnsi="Century Gothic" w:cs="Arial"/>
                <w:bCs/>
                <w:lang w:val="es-ES_tradnl" w:eastAsia="es-ES_tradnl"/>
              </w:rPr>
              <w:t xml:space="preserve">n efectos RUP / EXPERIENCIA </w:t>
            </w:r>
            <w:r w:rsidRPr="004C305D">
              <w:rPr>
                <w:rFonts w:ascii="Century Gothic" w:eastAsia="Calibri" w:hAnsi="Century Gothic" w:cs="Century Gothic"/>
                <w:bCs/>
                <w:lang w:val="es-ES_tradnl" w:eastAsia="es-ES_tradnl"/>
              </w:rPr>
              <w:t>–</w:t>
            </w:r>
            <w:r w:rsidRPr="004C305D">
              <w:rPr>
                <w:rFonts w:ascii="Century Gothic" w:eastAsia="Calibri" w:hAnsi="Century Gothic" w:cs="Arial"/>
                <w:bCs/>
                <w:lang w:val="es-ES_tradnl" w:eastAsia="es-ES_tradnl"/>
              </w:rPr>
              <w:t xml:space="preserve"> Retiro del socio </w:t>
            </w:r>
            <w:r w:rsidRPr="004C305D">
              <w:rPr>
                <w:rFonts w:ascii="Century Gothic" w:eastAsia="Calibri" w:hAnsi="Century Gothic" w:cs="Century Gothic"/>
                <w:bCs/>
                <w:lang w:val="es-ES_tradnl" w:eastAsia="es-ES_tradnl"/>
              </w:rPr>
              <w:t>−</w:t>
            </w:r>
            <w:r w:rsidRPr="004C305D">
              <w:rPr>
                <w:rFonts w:ascii="Century Gothic" w:eastAsia="Calibri" w:hAnsi="Century Gothic" w:cs="Arial"/>
                <w:bCs/>
                <w:lang w:val="es-ES_tradnl" w:eastAsia="es-ES_tradnl"/>
              </w:rPr>
              <w:t xml:space="preserve"> Sociedades </w:t>
            </w:r>
            <w:r w:rsidRPr="004C305D">
              <w:rPr>
                <w:rFonts w:ascii="Century Gothic" w:eastAsia="Calibri" w:hAnsi="Century Gothic" w:cs="Century Gothic"/>
                <w:bCs/>
                <w:lang w:val="es-ES_tradnl" w:eastAsia="es-ES_tradnl"/>
              </w:rPr>
              <w:t>–</w:t>
            </w:r>
            <w:r w:rsidRPr="004C305D">
              <w:rPr>
                <w:rFonts w:ascii="Century Gothic" w:eastAsia="Calibri" w:hAnsi="Century Gothic" w:cs="Arial"/>
                <w:bCs/>
                <w:lang w:val="es-ES_tradnl" w:eastAsia="es-ES_tradnl"/>
              </w:rPr>
              <w:t xml:space="preserve"> Menor a 3 a</w:t>
            </w:r>
            <w:r w:rsidRPr="004C305D">
              <w:rPr>
                <w:rFonts w:ascii="Century Gothic" w:eastAsia="Calibri" w:hAnsi="Century Gothic" w:cs="Century Gothic"/>
                <w:bCs/>
                <w:lang w:val="es-ES_tradnl" w:eastAsia="es-ES_tradnl"/>
              </w:rPr>
              <w:t>ñ</w:t>
            </w:r>
            <w:r w:rsidRPr="004C305D">
              <w:rPr>
                <w:rFonts w:ascii="Century Gothic" w:eastAsia="Calibri" w:hAnsi="Century Gothic" w:cs="Arial"/>
                <w:bCs/>
                <w:lang w:val="es-ES_tradnl" w:eastAsia="es-ES_tradnl"/>
              </w:rPr>
              <w:t>os de constituci</w:t>
            </w:r>
            <w:r w:rsidRPr="004C305D">
              <w:rPr>
                <w:rFonts w:ascii="Century Gothic" w:eastAsia="Calibri" w:hAnsi="Century Gothic" w:cs="Century Gothic"/>
                <w:bCs/>
                <w:lang w:val="es-ES_tradnl" w:eastAsia="es-ES_tradnl"/>
              </w:rPr>
              <w:t>ó</w:t>
            </w:r>
            <w:r w:rsidRPr="004C305D">
              <w:rPr>
                <w:rFonts w:ascii="Century Gothic" w:eastAsia="Calibri" w:hAnsi="Century Gothic" w:cs="Arial"/>
                <w:bCs/>
                <w:lang w:val="es-ES_tradnl" w:eastAsia="es-ES_tradnl"/>
              </w:rPr>
              <w:t xml:space="preserve">n </w:t>
            </w:r>
          </w:p>
          <w:p w14:paraId="22519567" w14:textId="77777777" w:rsidR="00F27317" w:rsidRPr="00FA7750" w:rsidRDefault="00F27317" w:rsidP="00BA607B">
            <w:pPr>
              <w:jc w:val="both"/>
              <w:rPr>
                <w:rFonts w:ascii="Century Gothic" w:eastAsia="Calibri" w:hAnsi="Century Gothic" w:cs="Arial"/>
                <w:lang w:val="es-ES" w:eastAsia="es-ES"/>
              </w:rPr>
            </w:pPr>
          </w:p>
        </w:tc>
      </w:tr>
      <w:tr w:rsidR="00F27317" w:rsidRPr="00FA7750" w14:paraId="2372BB48" w14:textId="77777777" w:rsidTr="00BA607B">
        <w:tc>
          <w:tcPr>
            <w:tcW w:w="2689" w:type="dxa"/>
          </w:tcPr>
          <w:p w14:paraId="7D484E68" w14:textId="77777777" w:rsidR="00F27317" w:rsidRPr="00E27F0A" w:rsidRDefault="00F27317" w:rsidP="00BA607B">
            <w:pPr>
              <w:jc w:val="both"/>
              <w:rPr>
                <w:rFonts w:ascii="Century Gothic" w:eastAsia="Calibri" w:hAnsi="Century Gothic" w:cs="Arial"/>
                <w:b/>
                <w:color w:val="000000"/>
                <w:lang w:val="es-ES_tradnl" w:eastAsia="es-ES_tradnl"/>
              </w:rPr>
            </w:pPr>
            <w:r w:rsidRPr="00E27F0A">
              <w:rPr>
                <w:rFonts w:ascii="Century Gothic" w:eastAsia="Calibri" w:hAnsi="Century Gothic" w:cs="Arial"/>
                <w:b/>
                <w:color w:val="000000"/>
                <w:lang w:val="es-ES_tradnl" w:eastAsia="es-ES_tradnl"/>
              </w:rPr>
              <w:t>Radicación:</w:t>
            </w:r>
            <w:r w:rsidRPr="00E27F0A">
              <w:rPr>
                <w:rFonts w:ascii="Century Gothic" w:eastAsia="Calibri" w:hAnsi="Century Gothic" w:cs="Arial"/>
                <w:color w:val="000000"/>
                <w:lang w:val="es-ES_tradnl" w:eastAsia="es-ES_tradnl"/>
              </w:rPr>
              <w:t xml:space="preserve">               </w:t>
            </w:r>
          </w:p>
        </w:tc>
        <w:tc>
          <w:tcPr>
            <w:tcW w:w="6237" w:type="dxa"/>
          </w:tcPr>
          <w:p w14:paraId="59F4E7F0" w14:textId="7D4D2C1B" w:rsidR="00F27317" w:rsidRPr="00FA7750" w:rsidRDefault="00F27317" w:rsidP="00BA607B">
            <w:pPr>
              <w:jc w:val="both"/>
              <w:rPr>
                <w:rFonts w:ascii="Century Gothic" w:eastAsia="Calibri" w:hAnsi="Century Gothic" w:cs="Arial"/>
                <w:lang w:val="es-ES_tradnl" w:eastAsia="es-ES_tradnl"/>
              </w:rPr>
            </w:pPr>
            <w:r w:rsidRPr="00FA7750">
              <w:rPr>
                <w:rFonts w:ascii="Century Gothic" w:eastAsia="Calibri" w:hAnsi="Century Gothic" w:cs="Arial"/>
                <w:lang w:val="es-ES_tradnl" w:eastAsia="es-ES_tradnl"/>
              </w:rPr>
              <w:t>Respuesta a consulta con radicado No. P</w:t>
            </w:r>
            <w:r>
              <w:rPr>
                <w:rFonts w:ascii="Century Gothic" w:eastAsia="Calibri" w:hAnsi="Century Gothic" w:cs="Arial"/>
                <w:lang w:val="es-ES_tradnl" w:eastAsia="es-ES_tradnl"/>
              </w:rPr>
              <w:t>20240</w:t>
            </w:r>
            <w:r w:rsidR="005C15E8">
              <w:rPr>
                <w:rFonts w:ascii="Century Gothic" w:eastAsia="Calibri" w:hAnsi="Century Gothic" w:cs="Arial"/>
                <w:lang w:val="es-ES_tradnl" w:eastAsia="es-ES_tradnl"/>
              </w:rPr>
              <w:t>523005337</w:t>
            </w:r>
          </w:p>
        </w:tc>
      </w:tr>
    </w:tbl>
    <w:p w14:paraId="03876B83" w14:textId="77777777" w:rsidR="00F27317" w:rsidRPr="00E27F0A" w:rsidRDefault="00F27317" w:rsidP="00F27317">
      <w:pPr>
        <w:spacing w:after="0" w:line="240" w:lineRule="auto"/>
        <w:jc w:val="both"/>
        <w:rPr>
          <w:rFonts w:ascii="Century Gothic" w:eastAsia="Calibri" w:hAnsi="Century Gothic" w:cs="Arial"/>
          <w:color w:val="000000"/>
          <w:lang w:val="es-ES_tradnl" w:eastAsia="es-ES_tradnl"/>
        </w:rPr>
      </w:pPr>
    </w:p>
    <w:p w14:paraId="7D343676" w14:textId="77777777" w:rsidR="00F27317" w:rsidRPr="00E27F0A" w:rsidRDefault="00F27317" w:rsidP="00F27317">
      <w:pPr>
        <w:spacing w:after="0" w:line="240" w:lineRule="auto"/>
        <w:jc w:val="both"/>
        <w:rPr>
          <w:rFonts w:ascii="Century Gothic" w:eastAsia="Calibri" w:hAnsi="Century Gothic" w:cs="Arial"/>
          <w:color w:val="000000"/>
          <w:lang w:val="es-ES_tradnl" w:eastAsia="es-ES_tradnl"/>
        </w:rPr>
      </w:pPr>
    </w:p>
    <w:p w14:paraId="571A3DB5" w14:textId="77777777" w:rsidR="00F27317" w:rsidRPr="00E27F0A" w:rsidRDefault="00F27317" w:rsidP="00F27317">
      <w:pPr>
        <w:spacing w:after="0" w:line="276" w:lineRule="auto"/>
        <w:jc w:val="both"/>
        <w:rPr>
          <w:rFonts w:ascii="Century Gothic" w:eastAsia="Calibri" w:hAnsi="Century Gothic" w:cs="Arial"/>
          <w:color w:val="000000"/>
          <w:lang w:val="es-ES" w:eastAsia="es-ES"/>
        </w:rPr>
      </w:pPr>
      <w:r w:rsidRPr="00E27F0A">
        <w:rPr>
          <w:rFonts w:ascii="Century Gothic" w:eastAsia="Calibri" w:hAnsi="Century Gothic" w:cs="Arial"/>
          <w:color w:val="000000" w:themeColor="text1"/>
          <w:lang w:val="es-ES" w:eastAsia="es-ES"/>
        </w:rPr>
        <w:t>Estimad</w:t>
      </w:r>
      <w:r>
        <w:rPr>
          <w:rFonts w:ascii="Century Gothic" w:eastAsia="Calibri" w:hAnsi="Century Gothic" w:cs="Arial"/>
          <w:color w:val="000000" w:themeColor="text1"/>
          <w:lang w:val="es-ES" w:eastAsia="es-ES"/>
        </w:rPr>
        <w:t>o señor Sierra</w:t>
      </w:r>
      <w:r w:rsidRPr="00FA7750">
        <w:rPr>
          <w:rFonts w:ascii="Century Gothic" w:eastAsia="Calibri" w:hAnsi="Century Gothic" w:cs="Arial"/>
          <w:lang w:val="es-ES" w:eastAsia="es-ES"/>
        </w:rPr>
        <w:t>:</w:t>
      </w:r>
      <w:r w:rsidRPr="00E27F0A">
        <w:rPr>
          <w:rFonts w:ascii="Century Gothic" w:eastAsia="Calibri" w:hAnsi="Century Gothic" w:cs="Arial"/>
          <w:color w:val="000000" w:themeColor="text1"/>
          <w:lang w:val="es-ES" w:eastAsia="es-ES"/>
        </w:rPr>
        <w:t xml:space="preserve"> </w:t>
      </w:r>
    </w:p>
    <w:p w14:paraId="24BE37E0" w14:textId="77777777" w:rsidR="00F27317" w:rsidRPr="00E27F0A" w:rsidRDefault="00F27317" w:rsidP="00F27317">
      <w:pPr>
        <w:spacing w:after="0" w:line="276" w:lineRule="auto"/>
        <w:jc w:val="both"/>
        <w:rPr>
          <w:rFonts w:ascii="Century Gothic" w:eastAsia="Calibri" w:hAnsi="Century Gothic" w:cs="Arial"/>
          <w:color w:val="000000"/>
          <w:lang w:val="es-ES_tradnl" w:eastAsia="es-ES_tradnl"/>
        </w:rPr>
      </w:pPr>
    </w:p>
    <w:p w14:paraId="30724E2A" w14:textId="2C0B25BF" w:rsidR="00F27317" w:rsidRDefault="00F27317" w:rsidP="00F27317">
      <w:pPr>
        <w:spacing w:after="0" w:line="276" w:lineRule="auto"/>
        <w:jc w:val="both"/>
        <w:rPr>
          <w:rFonts w:ascii="Century Gothic" w:eastAsia="Calibri" w:hAnsi="Century Gothic" w:cs="Arial"/>
          <w:color w:val="7030A0"/>
          <w:lang w:val="es-ES" w:eastAsia="es-ES"/>
        </w:rPr>
      </w:pPr>
      <w:r w:rsidRPr="008C7AF4">
        <w:rPr>
          <w:rFonts w:ascii="Century Gothic" w:eastAsia="Calibri" w:hAnsi="Century Gothic" w:cs="Arial"/>
          <w:color w:val="000000" w:themeColor="text1"/>
          <w:lang w:val="es-ES" w:eastAsia="es-ES"/>
        </w:rPr>
        <w:t>En ejercicio de la competencia otorgada por los artículos 3, numeral 5º, y 11, numeral 8º, del Decreto Ley 4170 de 2011,</w:t>
      </w:r>
      <w:r w:rsidRPr="008C7AF4">
        <w:rPr>
          <w:rFonts w:ascii="Century Gothic" w:eastAsia="Arial MT" w:hAnsi="Century Gothic" w:cs="Arial MT"/>
          <w:lang w:val="es-ES" w:eastAsia="es-ES"/>
        </w:rPr>
        <w:t xml:space="preserve"> </w:t>
      </w:r>
      <w:r w:rsidRPr="008C7AF4">
        <w:rPr>
          <w:rFonts w:ascii="Century Gothic" w:hAnsi="Century Gothic" w:cs="Arial"/>
        </w:rPr>
        <w:t xml:space="preserve">así como lo establecido en la Resolución 1707 de 2018 expedida por esta Entidad, </w:t>
      </w:r>
      <w:r w:rsidRPr="008C7AF4">
        <w:rPr>
          <w:rFonts w:ascii="Century Gothic" w:eastAsia="Calibri" w:hAnsi="Century Gothic" w:cs="Arial"/>
          <w:color w:val="000000" w:themeColor="text1"/>
          <w:lang w:val="es-ES" w:eastAsia="es-ES"/>
        </w:rPr>
        <w:t xml:space="preserve">la Agencia Nacional de Contratación Pública – Colombia Compra Eficiente– responde su solicitud del </w:t>
      </w:r>
      <w:r>
        <w:rPr>
          <w:rFonts w:ascii="Century Gothic" w:eastAsia="Calibri" w:hAnsi="Century Gothic" w:cs="Arial"/>
          <w:color w:val="000000" w:themeColor="text1"/>
          <w:lang w:val="es-ES" w:eastAsia="es-ES"/>
        </w:rPr>
        <w:t xml:space="preserve">24 de mayo de </w:t>
      </w:r>
      <w:r w:rsidRPr="008C7AF4">
        <w:rPr>
          <w:rFonts w:ascii="Century Gothic" w:eastAsia="Calibri" w:hAnsi="Century Gothic" w:cs="Arial"/>
          <w:color w:val="000000" w:themeColor="text1"/>
          <w:lang w:val="es-ES" w:eastAsia="es-ES"/>
        </w:rPr>
        <w:t>202</w:t>
      </w:r>
      <w:r>
        <w:rPr>
          <w:rFonts w:ascii="Century Gothic" w:eastAsia="Calibri" w:hAnsi="Century Gothic" w:cs="Arial"/>
          <w:color w:val="000000" w:themeColor="text1"/>
          <w:lang w:val="es-ES" w:eastAsia="es-ES"/>
        </w:rPr>
        <w:t>4</w:t>
      </w:r>
      <w:r w:rsidR="00764FA1">
        <w:rPr>
          <w:rFonts w:ascii="Century Gothic" w:eastAsia="Calibri" w:hAnsi="Century Gothic" w:cs="Arial"/>
          <w:color w:val="000000" w:themeColor="text1"/>
          <w:lang w:val="es-ES" w:eastAsia="es-ES"/>
        </w:rPr>
        <w:t>.</w:t>
      </w:r>
      <w:r>
        <w:rPr>
          <w:rFonts w:ascii="Century Gothic" w:eastAsia="Calibri" w:hAnsi="Century Gothic" w:cs="Arial"/>
          <w:color w:val="000000" w:themeColor="text1"/>
          <w:lang w:val="es-ES" w:eastAsia="es-ES"/>
        </w:rPr>
        <w:t xml:space="preserve"> En dicha petición usted manifiesta lo siguiente:</w:t>
      </w:r>
    </w:p>
    <w:p w14:paraId="2C2D672B" w14:textId="77777777" w:rsidR="00F27317" w:rsidRPr="008C7AF4" w:rsidRDefault="00F27317" w:rsidP="00F27317">
      <w:pPr>
        <w:spacing w:after="0" w:line="276" w:lineRule="auto"/>
        <w:jc w:val="both"/>
        <w:rPr>
          <w:rFonts w:ascii="Century Gothic" w:eastAsia="Calibri" w:hAnsi="Century Gothic" w:cs="Arial"/>
          <w:color w:val="000000"/>
          <w:lang w:val="es-ES" w:eastAsia="es-ES"/>
        </w:rPr>
      </w:pPr>
    </w:p>
    <w:p w14:paraId="64DBA227" w14:textId="77777777" w:rsidR="00F27317" w:rsidRPr="00216EF3" w:rsidRDefault="00F27317" w:rsidP="00F27317">
      <w:pPr>
        <w:spacing w:after="120"/>
        <w:ind w:left="709" w:right="709"/>
        <w:jc w:val="both"/>
        <w:rPr>
          <w:rFonts w:ascii="Century Gothic" w:eastAsia="Times New Roman" w:hAnsi="Century Gothic"/>
          <w:sz w:val="20"/>
          <w:szCs w:val="20"/>
        </w:rPr>
      </w:pPr>
      <w:r w:rsidRPr="00216EF3">
        <w:rPr>
          <w:rFonts w:ascii="Century Gothic" w:eastAsia="Calibri" w:hAnsi="Century Gothic" w:cs="Arial"/>
          <w:sz w:val="20"/>
          <w:szCs w:val="20"/>
          <w:lang w:val="es-ES" w:eastAsia="es-ES"/>
        </w:rPr>
        <w:t>“</w:t>
      </w:r>
      <w:r w:rsidRPr="00903AD2">
        <w:rPr>
          <w:rFonts w:ascii="Century Gothic" w:hAnsi="Century Gothic" w:cs="Arial"/>
          <w:sz w:val="20"/>
          <w:szCs w:val="20"/>
        </w:rPr>
        <w:t xml:space="preserve">solicito respetuosamente que se aclare, de acuerdo con el concepto emitido por Colombia Compra Eficiente bajo radicado RS20231103012508 en el que se establece que "LA EXPERIENCIA TRANSFERIDA DE UN SOCIO A UNA SOCIEDAD QUE TIENE COMO VIGENCIA MENOS DE 3 AÑOS DE CONSTITUIDA POR DEBER BASADO EN VALORES Y NO EN UN MANDATO LEGAL, CUANDO ESTE DEJA DE SER SOCIO NO PUEDE SER UTILIZADA EN LOS PROCESOS DE CONTRATACION" es una premisa del deber "moral" pero no de objetividad sustancial establecida en una norma, es por ello, que solicito respetuosamente se manifiesten, este "impedimento" basado en </w:t>
      </w:r>
      <w:r w:rsidRPr="00903AD2">
        <w:rPr>
          <w:rFonts w:ascii="Century Gothic" w:hAnsi="Century Gothic" w:cs="Arial"/>
          <w:sz w:val="20"/>
          <w:szCs w:val="20"/>
        </w:rPr>
        <w:lastRenderedPageBreak/>
        <w:t>interpretación, tiene fundamento en una ¿Ley o Desarrollo jurisprudencial? o es el concepto de Colombia Compra que como bien sabemos puede ser tenido en cuenta como fundamento en los procesos de Contratación por las Entidades Estatales</w:t>
      </w:r>
      <w:r w:rsidRPr="00216EF3">
        <w:rPr>
          <w:rFonts w:ascii="Century Gothic" w:eastAsia="Calibri" w:hAnsi="Century Gothic" w:cs="Arial"/>
          <w:sz w:val="20"/>
          <w:szCs w:val="20"/>
          <w:lang w:val="es-ES" w:eastAsia="es-ES"/>
        </w:rPr>
        <w:t>”.</w:t>
      </w:r>
    </w:p>
    <w:p w14:paraId="58E8A196" w14:textId="77777777" w:rsidR="00F27317" w:rsidRPr="008C7AF4" w:rsidRDefault="00F27317" w:rsidP="00F27317">
      <w:pPr>
        <w:spacing w:after="0" w:line="240" w:lineRule="auto"/>
        <w:ind w:left="709" w:right="680"/>
        <w:jc w:val="both"/>
        <w:rPr>
          <w:rFonts w:ascii="Century Gothic" w:eastAsia="Calibri" w:hAnsi="Century Gothic" w:cs="Arial"/>
          <w:color w:val="000000"/>
          <w:lang w:val="es-ES_tradnl" w:eastAsia="es-ES_tradnl"/>
        </w:rPr>
      </w:pPr>
    </w:p>
    <w:p w14:paraId="4FCFFBF8" w14:textId="77777777" w:rsidR="0056160B" w:rsidRDefault="00F27317" w:rsidP="0056160B">
      <w:pPr>
        <w:spacing w:after="120" w:line="276" w:lineRule="auto"/>
        <w:jc w:val="both"/>
        <w:rPr>
          <w:rFonts w:ascii="Century Gothic" w:eastAsia="Calibri" w:hAnsi="Century Gothic" w:cs="Arial"/>
          <w:color w:val="000000"/>
          <w:lang w:val="es-ES" w:eastAsia="es-ES"/>
        </w:rPr>
      </w:pPr>
      <w:r w:rsidRPr="008C7AF4">
        <w:rPr>
          <w:rFonts w:ascii="Century Gothic" w:eastAsia="Calibri" w:hAnsi="Century Gothic" w:cs="Arial"/>
          <w:color w:val="000000"/>
          <w:lang w:val="es-ES_tradnl" w:eastAsia="es-ES_tradnl"/>
        </w:rPr>
        <w:tab/>
      </w:r>
      <w:r w:rsidRPr="2BEBC948">
        <w:rPr>
          <w:rFonts w:ascii="Century Gothic" w:eastAsia="Calibri" w:hAnsi="Century Gothic"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627D14F4" w14:textId="69D29CA3" w:rsidR="00F27317" w:rsidRPr="000B0E89" w:rsidRDefault="00F27317" w:rsidP="0056160B">
      <w:pPr>
        <w:spacing w:after="120" w:line="276" w:lineRule="auto"/>
        <w:ind w:firstLine="708"/>
        <w:jc w:val="both"/>
        <w:rPr>
          <w:rFonts w:ascii="Century Gothic" w:eastAsia="Calibri" w:hAnsi="Century Gothic" w:cs="Arial"/>
          <w:color w:val="000000"/>
          <w:lang w:val="es-ES" w:eastAsia="es-ES"/>
        </w:rPr>
      </w:pPr>
      <w:r w:rsidRPr="00B42C66">
        <w:rPr>
          <w:rFonts w:ascii="Century Gothic" w:eastAsia="Calibri" w:hAnsi="Century Gothic" w:cs="Arial"/>
          <w:color w:val="000000"/>
          <w:lang w:val="es-ES" w:eastAsia="es-ES"/>
        </w:rPr>
        <w:t xml:space="preserve">Sin perjuicio de lo anterior, en aras de satisfacer el derecho fundamental de petición se resolverá su consulta dentro de los límites de la referida competencia consultiva, esto es, haciendo abstracción de la situación particular y concreta mencionada en su petición, pero haciendo unas consideraciones sobre las normas generales relacionadas con la consulta. </w:t>
      </w:r>
      <w:r w:rsidRPr="00B42C66">
        <w:rPr>
          <w:rFonts w:ascii="Century Gothic" w:eastAsia="Calibri" w:hAnsi="Century Gothic" w:cs="Arial"/>
          <w:lang w:val="es-ES" w:eastAsia="es-ES"/>
        </w:rPr>
        <w:t xml:space="preserve">Para estos efectos, a continuación, se realizarán algunas consideraciones sobre </w:t>
      </w:r>
      <w:bookmarkStart w:id="0" w:name="_Hlk158357260"/>
      <w:r w:rsidRPr="00B42C66">
        <w:rPr>
          <w:rFonts w:ascii="Century Gothic" w:eastAsia="Calibri" w:hAnsi="Century Gothic" w:cs="Arial"/>
          <w:lang w:val="es-ES" w:eastAsia="es-MX"/>
        </w:rPr>
        <w:t xml:space="preserve">la </w:t>
      </w:r>
      <w:r w:rsidRPr="00B42C66">
        <w:rPr>
          <w:rFonts w:ascii="Century Gothic" w:eastAsia="Calibri" w:hAnsi="Century Gothic" w:cs="Arial"/>
          <w:lang w:val="es-ES_tradnl" w:eastAsia="es-MX"/>
        </w:rPr>
        <w:t>acreditación de la experiencia de socios, accionistas o constituyentes por parte de sociedades con menos de tres (3) años de constitución</w:t>
      </w:r>
      <w:bookmarkEnd w:id="0"/>
      <w:r w:rsidRPr="00CD3BD3">
        <w:rPr>
          <w:rFonts w:ascii="Century Gothic" w:eastAsia="Calibri" w:hAnsi="Century Gothic" w:cs="Arial"/>
          <w:lang w:val="es-ES" w:eastAsia="es-ES"/>
        </w:rPr>
        <w:t xml:space="preserve">, </w:t>
      </w:r>
      <w:r w:rsidRPr="000B0E89">
        <w:rPr>
          <w:rFonts w:ascii="Century Gothic" w:eastAsia="Calibri" w:hAnsi="Century Gothic" w:cs="Arial"/>
          <w:color w:val="000000"/>
          <w:lang w:val="es-ES" w:eastAsia="es-ES"/>
        </w:rPr>
        <w:t>temas que ha sido estudiado por esta Subdirección en los conceptos: C-725 del 25 de enero de 2022, C-034 del 2 de marzo de 2022, C-144 del 1° de abril de 2022, C-239 del 26 de julio de 2022, C-324 del 19 de mayo de 2022, C-447 del 19 de julio de 2022, C-456 del 15 de julio de 2022, C-592 del 20 de septiembre de 2022, C-623 del 29 de septiembre de 2022, C-837 del 6 de diciembre de 2022, C-841 del 6 de diciembre de 2022, C-929 del 30 de diciembre de 2022, C-128 del 18 de mayo de 2023, C-146 de 13 de junio de 2023, C-261 del 13 de julio de 2023, C-466 del 01 de diciembre de 2023 y C- 023 del 26 de febrero de 2</w:t>
      </w:r>
      <w:r w:rsidRPr="00CD3BD3">
        <w:rPr>
          <w:rFonts w:ascii="Century Gothic" w:eastAsia="Calibri" w:hAnsi="Century Gothic" w:cs="Arial"/>
          <w:color w:val="000000"/>
          <w:lang w:val="es-ES" w:eastAsia="es-ES"/>
        </w:rPr>
        <w:t>024</w:t>
      </w:r>
      <w:r w:rsidRPr="00CD3BD3">
        <w:rPr>
          <w:rStyle w:val="Refdenotaalpie"/>
          <w:rFonts w:ascii="Century Gothic" w:hAnsi="Century Gothic"/>
        </w:rPr>
        <w:footnoteReference w:id="1"/>
      </w:r>
      <w:r w:rsidRPr="00CD3BD3">
        <w:rPr>
          <w:rFonts w:ascii="Century Gothic" w:hAnsi="Century Gothic"/>
        </w:rPr>
        <w:t xml:space="preserve">. La tesis expuesta en estos conceptos se reitera y se complementan a continuación.  </w:t>
      </w:r>
    </w:p>
    <w:p w14:paraId="6CB89478" w14:textId="77777777" w:rsidR="00F27317" w:rsidRPr="00930790" w:rsidRDefault="00F27317" w:rsidP="0056160B">
      <w:pPr>
        <w:spacing w:after="0" w:line="276" w:lineRule="auto"/>
        <w:ind w:firstLine="708"/>
        <w:jc w:val="both"/>
        <w:rPr>
          <w:rFonts w:ascii="Century Gothic" w:eastAsia="Arial" w:hAnsi="Century Gothic" w:cs="Arial"/>
        </w:rPr>
      </w:pPr>
      <w:r w:rsidRPr="00930790">
        <w:rPr>
          <w:rFonts w:ascii="Century Gothic" w:eastAsia="Arial" w:hAnsi="Century Gothic" w:cs="Arial"/>
        </w:rPr>
        <w:lastRenderedPageBreak/>
        <w:t>El artículo 5 de la Ley 1150 de 2007 dispone que la capacidad jurídica y las condiciones de experiencia, capacidad financiera y organización de los proponentes serán objeto de verificación por parte de las Entidades Estatales como requisitos habilitantes para participar en los procesos de selección y no otorgarán puntaje. Lo anterior con excepción de la selección de consultores mediante un concurso de méritos, donde es posible otorga</w:t>
      </w:r>
      <w:r>
        <w:rPr>
          <w:rFonts w:ascii="Century Gothic" w:eastAsia="Arial" w:hAnsi="Century Gothic" w:cs="Arial"/>
        </w:rPr>
        <w:t>r</w:t>
      </w:r>
      <w:r w:rsidRPr="00930790">
        <w:rPr>
          <w:rFonts w:ascii="Century Gothic" w:eastAsia="Arial" w:hAnsi="Century Gothic" w:cs="Arial"/>
        </w:rPr>
        <w:t xml:space="preserve"> puntaje al criterio de experiencia. </w:t>
      </w:r>
    </w:p>
    <w:p w14:paraId="0024B9CE" w14:textId="77777777" w:rsidR="00F27317" w:rsidRPr="00930790" w:rsidRDefault="00F27317" w:rsidP="00F27317">
      <w:pPr>
        <w:spacing w:before="120" w:after="0" w:line="276" w:lineRule="auto"/>
        <w:jc w:val="both"/>
        <w:rPr>
          <w:rFonts w:ascii="Century Gothic" w:eastAsia="Arial" w:hAnsi="Century Gothic" w:cs="Arial"/>
        </w:rPr>
      </w:pPr>
      <w:r w:rsidRPr="00930790">
        <w:rPr>
          <w:rFonts w:ascii="Century Gothic" w:eastAsia="Arial" w:hAnsi="Century Gothic" w:cs="Arial"/>
        </w:rPr>
        <w:tab/>
        <w:t>Por su parte, conforme lo expuesto en el numeral anterior de este concepto, el artículo 6 de la Ley 1150 de 2007 señala que todas las personas naturales o jurídicas, nacionales o extranjeras, domiciliadas o con sucursal en Colombia, que aspiren celebrar contratos con las Entidades deberán estar inscritas en el RUP.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1BF8D134" w14:textId="77777777" w:rsidR="00F27317" w:rsidRPr="00930790" w:rsidRDefault="00F27317" w:rsidP="00F27317">
      <w:pPr>
        <w:spacing w:before="120" w:after="120" w:line="276" w:lineRule="auto"/>
        <w:ind w:firstLine="709"/>
        <w:jc w:val="both"/>
        <w:rPr>
          <w:rFonts w:ascii="Century Gothic" w:eastAsia="Calibri" w:hAnsi="Century Gothic" w:cs="Arial"/>
          <w:color w:val="000000"/>
        </w:rPr>
      </w:pPr>
      <w:r w:rsidRPr="00930790">
        <w:rPr>
          <w:rFonts w:ascii="Century Gothic" w:eastAsia="Calibri" w:hAnsi="Century Gothic" w:cs="Arial"/>
          <w:color w:val="000000"/>
        </w:rPr>
        <w:t>El numeral 2.1 del artículo 2.2.1.1.1.5.2 del Decreto 1082 de 2015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930790">
        <w:rPr>
          <w:rFonts w:ascii="Century Gothic" w:eastAsia="Calibri" w:hAnsi="Century Gothic" w:cs="Arial"/>
          <w:color w:val="000000"/>
          <w:vertAlign w:val="superscript"/>
        </w:rPr>
        <w:footnoteReference w:id="2"/>
      </w:r>
      <w:r w:rsidRPr="00930790">
        <w:rPr>
          <w:rFonts w:ascii="Century Gothic" w:eastAsia="Calibri" w:hAnsi="Century Gothic" w:cs="Arial"/>
          <w:color w:val="000000"/>
        </w:rPr>
        <w:t>. De la misma forma, el numeral 2.5. ibidem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Pr="00930790">
        <w:rPr>
          <w:rFonts w:ascii="Century Gothic" w:eastAsia="Calibri" w:hAnsi="Century Gothic" w:cs="Arial"/>
          <w:color w:val="000000"/>
          <w:vertAlign w:val="superscript"/>
        </w:rPr>
        <w:footnoteReference w:id="3"/>
      </w:r>
      <w:r w:rsidRPr="00930790">
        <w:rPr>
          <w:rFonts w:ascii="Century Gothic" w:eastAsia="Calibri" w:hAnsi="Century Gothic" w:cs="Arial"/>
          <w:color w:val="000000"/>
        </w:rPr>
        <w:t>.</w:t>
      </w:r>
    </w:p>
    <w:p w14:paraId="337E88AA" w14:textId="77777777" w:rsidR="00F27317" w:rsidRPr="00930790" w:rsidRDefault="00F27317" w:rsidP="00F27317">
      <w:pPr>
        <w:spacing w:before="120" w:after="120" w:line="276" w:lineRule="auto"/>
        <w:ind w:firstLine="709"/>
        <w:jc w:val="both"/>
        <w:rPr>
          <w:rFonts w:ascii="Century Gothic" w:eastAsia="Calibri" w:hAnsi="Century Gothic" w:cs="Arial"/>
          <w:color w:val="000000"/>
        </w:rPr>
      </w:pPr>
      <w:r w:rsidRPr="00930790">
        <w:rPr>
          <w:rFonts w:ascii="Century Gothic" w:eastAsia="Calibri" w:hAnsi="Century Gothic" w:cs="Arial"/>
          <w:color w:val="000000"/>
        </w:rPr>
        <w:lastRenderedPageBreak/>
        <w:t>El interesado debe indicar en cada certificado, o en cada copia de los contratos, los bienes, obras y servicios a los cuales corresponde la experiencia que pretende acreditar, identificándolos con el Clasificador de Bienes y Servicios, en el tercer nivel. La parte final de ese numeral 2.5. indica que “Si la constitución del interesado es menor a tres (3) años, puede acreditar la experiencia de sus accionistas, socios o constituyentes”. 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w:t>
      </w:r>
    </w:p>
    <w:p w14:paraId="184DC2A5" w14:textId="77777777" w:rsidR="00F27317" w:rsidRPr="00930790" w:rsidRDefault="00F27317" w:rsidP="00F27317">
      <w:pPr>
        <w:spacing w:before="120" w:after="120" w:line="276" w:lineRule="auto"/>
        <w:ind w:firstLine="709"/>
        <w:jc w:val="both"/>
        <w:rPr>
          <w:rFonts w:ascii="Century Gothic" w:eastAsia="Calibri" w:hAnsi="Century Gothic" w:cs="Arial"/>
          <w:color w:val="000000"/>
        </w:rPr>
      </w:pPr>
      <w:r w:rsidRPr="00930790">
        <w:rPr>
          <w:rFonts w:ascii="Century Gothic" w:eastAsia="Calibri" w:hAnsi="Century Gothic" w:cs="Arial"/>
          <w:color w:val="000000"/>
        </w:rPr>
        <w:t>A pesar de que la experiencia es inherente a la persona que la ha obtenido, razón por la cual es, en principio, intransferible en virtud de su carácter personalísimo, por disposición legal o reglamentaria, casos excepcionales, como el descrito en el artículo mencionado, se aplica de otra manera. 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puntuales que establezcan las Entidades Estatales en sus procesos de contratación, y de esta forma promover el desarrollo de la empresa y la pluralidad de oferentes en la contratación pública.</w:t>
      </w:r>
    </w:p>
    <w:p w14:paraId="7A30E218" w14:textId="77777777" w:rsidR="00F27317" w:rsidRPr="00930790" w:rsidRDefault="00F27317" w:rsidP="00F27317">
      <w:pPr>
        <w:spacing w:before="120" w:after="120" w:line="276" w:lineRule="auto"/>
        <w:ind w:firstLine="708"/>
        <w:jc w:val="both"/>
        <w:rPr>
          <w:rFonts w:ascii="Century Gothic" w:eastAsia="Times New Roman" w:hAnsi="Century Gothic" w:cs="Arial"/>
          <w:lang w:val="es-MX" w:eastAsia="es-ES_tradnl"/>
        </w:rPr>
      </w:pPr>
      <w:r w:rsidRPr="00930790">
        <w:rPr>
          <w:rFonts w:ascii="Century Gothic" w:eastAsia="Times New Roman" w:hAnsi="Century Gothic" w:cs="Arial"/>
          <w:lang w:val="es-MX" w:eastAsia="es-ES_tradnl"/>
        </w:rPr>
        <w:lastRenderedPageBreak/>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tres (3) años de su constitución? ¿puede seguir siendo beneficiaria de la prerrogativa del numeral 2.5 del artículo 2.2.1.1.1.5.2 del Decreto 1082 de 2015? Estos interrogantes han sido planteados a la Subdirección de Gestión Contractual de esta Agencia y se han desarrollado, en torno a dos posiciones, que se plantean a continuación: </w:t>
      </w:r>
    </w:p>
    <w:p w14:paraId="405EAEBA" w14:textId="44FEE821" w:rsidR="00F27317" w:rsidRPr="00930790" w:rsidRDefault="00FE00C2" w:rsidP="00F27317">
      <w:pPr>
        <w:spacing w:before="120" w:after="120" w:line="276" w:lineRule="auto"/>
        <w:ind w:firstLine="708"/>
        <w:jc w:val="both"/>
        <w:rPr>
          <w:rFonts w:ascii="Century Gothic" w:eastAsia="Times New Roman" w:hAnsi="Century Gothic" w:cs="Arial"/>
          <w:lang w:val="es-MX" w:eastAsia="es-ES"/>
        </w:rPr>
      </w:pPr>
      <w:r>
        <w:rPr>
          <w:rFonts w:ascii="Century Gothic" w:eastAsia="Times New Roman" w:hAnsi="Century Gothic" w:cs="Arial"/>
          <w:lang w:val="es-MX" w:eastAsia="es-ES"/>
        </w:rPr>
        <w:t>Atendiendo su solicitud, se aclara que e</w:t>
      </w:r>
      <w:r w:rsidR="00F27317" w:rsidRPr="00930790">
        <w:rPr>
          <w:rFonts w:ascii="Century Gothic" w:eastAsia="Times New Roman" w:hAnsi="Century Gothic" w:cs="Arial"/>
          <w:lang w:val="es-MX" w:eastAsia="es-ES"/>
        </w:rPr>
        <w:t xml:space="preserve">n el concepto identificado con radicado No. 4201814000001418 del 3 de abril de 2018, </w:t>
      </w:r>
      <w:r w:rsidR="0067196A">
        <w:rPr>
          <w:rFonts w:ascii="Century Gothic" w:eastAsia="Times New Roman" w:hAnsi="Century Gothic" w:cs="Arial"/>
          <w:lang w:val="es-MX" w:eastAsia="es-ES"/>
        </w:rPr>
        <w:t xml:space="preserve">se puntualiza que una vez </w:t>
      </w:r>
      <w:r w:rsidR="00F27317" w:rsidRPr="00930790">
        <w:rPr>
          <w:rFonts w:ascii="Century Gothic" w:eastAsia="Times New Roman" w:hAnsi="Century Gothic" w:cs="Arial"/>
          <w:lang w:val="es-MX" w:eastAsia="es-ES"/>
        </w:rPr>
        <w:t xml:space="preserve"> cumplidos los tres (3) años contados desde la constitución de la sociedad, las Entidades Estatales no deberían tener como válida la experiencia acreditada por los socios, accionistas o constituyentes. Como fundamento de esta posición, la Subdirección consideró lo siguiente: </w:t>
      </w:r>
    </w:p>
    <w:p w14:paraId="0B61E0BA" w14:textId="2AFE46E2" w:rsidR="00F27317" w:rsidRPr="00930790" w:rsidRDefault="00F27317" w:rsidP="00F27317">
      <w:pPr>
        <w:spacing w:before="120" w:after="120" w:line="276" w:lineRule="auto"/>
        <w:ind w:firstLine="708"/>
        <w:jc w:val="both"/>
        <w:rPr>
          <w:rFonts w:ascii="Century Gothic" w:eastAsia="Times New Roman" w:hAnsi="Century Gothic" w:cs="Arial"/>
          <w:lang w:val="es-MX" w:eastAsia="es-ES"/>
        </w:rPr>
      </w:pPr>
      <w:r w:rsidRPr="00930790">
        <w:rPr>
          <w:rFonts w:ascii="Century Gothic" w:eastAsia="Times New Roman" w:hAnsi="Century Gothic" w:cs="Arial"/>
          <w:lang w:val="es-MX" w:eastAsia="es-ES"/>
        </w:rPr>
        <w:t xml:space="preserve">i) La posición de la Agencia Nacional de Contratación Pública – Colombia Compra Eficiente </w:t>
      </w:r>
      <w:r w:rsidR="0055709A">
        <w:rPr>
          <w:rFonts w:ascii="Century Gothic" w:eastAsia="Times New Roman" w:hAnsi="Century Gothic" w:cs="Arial"/>
          <w:lang w:val="es-MX" w:eastAsia="es-ES"/>
        </w:rPr>
        <w:t xml:space="preserve">- </w:t>
      </w:r>
      <w:r w:rsidRPr="00930790">
        <w:rPr>
          <w:rFonts w:ascii="Century Gothic" w:eastAsia="Times New Roman" w:hAnsi="Century Gothic" w:cs="Arial"/>
          <w:lang w:val="es-MX" w:eastAsia="es-ES"/>
        </w:rPr>
        <w:t xml:space="preserve">respecto a la validez de la experiencia de los accionistas, socios o constituyentes, acreditada en el RUP por una sociedad nueva, cuando ésta ya superó los tres (3) años de constituida, ha variado. </w:t>
      </w:r>
    </w:p>
    <w:p w14:paraId="44F6FA2A" w14:textId="77777777" w:rsidR="00F27317" w:rsidRPr="00930790" w:rsidRDefault="00F27317" w:rsidP="00F27317">
      <w:pPr>
        <w:spacing w:before="120" w:after="120" w:line="276" w:lineRule="auto"/>
        <w:ind w:firstLine="708"/>
        <w:jc w:val="both"/>
        <w:rPr>
          <w:rFonts w:ascii="Century Gothic" w:eastAsia="Times New Roman" w:hAnsi="Century Gothic" w:cs="Arial"/>
          <w:lang w:val="es-MX" w:eastAsia="es-ES_tradnl"/>
        </w:rPr>
      </w:pPr>
      <w:proofErr w:type="spellStart"/>
      <w:r w:rsidRPr="00930790">
        <w:rPr>
          <w:rFonts w:ascii="Century Gothic" w:eastAsia="Times New Roman" w:hAnsi="Century Gothic" w:cs="Arial"/>
          <w:lang w:val="es-MX" w:eastAsia="es-ES_tradnl"/>
        </w:rPr>
        <w:t>ii</w:t>
      </w:r>
      <w:proofErr w:type="spellEnd"/>
      <w:r w:rsidRPr="00930790">
        <w:rPr>
          <w:rFonts w:ascii="Century Gothic" w:eastAsia="Times New Roman" w:hAnsi="Century Gothic" w:cs="Arial"/>
          <w:lang w:val="es-MX" w:eastAsia="es-ES_tradnl"/>
        </w:rPr>
        <w:t xml:space="preserve">) El Decreto 1082 de 2015 establece que, para la inscripción en el RUP de una persona jurídica si su constitución es menor a tres (3) años, puede acreditar la experiencia de sus accionistas, socios o constituyentes. </w:t>
      </w:r>
    </w:p>
    <w:p w14:paraId="51E7F8BF" w14:textId="77777777" w:rsidR="00F27317" w:rsidRPr="00930790" w:rsidRDefault="00F27317" w:rsidP="00F27317">
      <w:pPr>
        <w:spacing w:before="120" w:after="120" w:line="276" w:lineRule="auto"/>
        <w:ind w:firstLine="708"/>
        <w:jc w:val="both"/>
        <w:rPr>
          <w:rFonts w:ascii="Century Gothic" w:eastAsia="Times New Roman" w:hAnsi="Century Gothic" w:cs="Arial"/>
          <w:lang w:val="es-MX" w:eastAsia="es-ES_tradnl"/>
        </w:rPr>
      </w:pPr>
      <w:proofErr w:type="spellStart"/>
      <w:r w:rsidRPr="00930790">
        <w:rPr>
          <w:rFonts w:ascii="Century Gothic" w:eastAsia="Times New Roman" w:hAnsi="Century Gothic" w:cs="Arial"/>
          <w:lang w:val="es-MX" w:eastAsia="es-ES_tradnl"/>
        </w:rPr>
        <w:t>iii</w:t>
      </w:r>
      <w:proofErr w:type="spellEnd"/>
      <w:r w:rsidRPr="00930790">
        <w:rPr>
          <w:rFonts w:ascii="Century Gothic" w:eastAsia="Times New Roman" w:hAnsi="Century Gothic" w:cs="Arial"/>
          <w:lang w:val="es-MX" w:eastAsia="es-ES_tradnl"/>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4B3E88E9" w14:textId="77777777" w:rsidR="00F27317" w:rsidRPr="00930790" w:rsidRDefault="00F27317" w:rsidP="00F27317">
      <w:pPr>
        <w:spacing w:before="120" w:after="120" w:line="276" w:lineRule="auto"/>
        <w:ind w:firstLine="708"/>
        <w:jc w:val="both"/>
        <w:rPr>
          <w:rFonts w:ascii="Century Gothic" w:eastAsia="Times New Roman" w:hAnsi="Century Gothic" w:cs="Arial"/>
          <w:lang w:val="es-MX" w:eastAsia="es-ES_tradnl"/>
        </w:rPr>
      </w:pPr>
      <w:proofErr w:type="spellStart"/>
      <w:r w:rsidRPr="00930790">
        <w:rPr>
          <w:rFonts w:ascii="Century Gothic" w:eastAsia="Times New Roman" w:hAnsi="Century Gothic" w:cs="Arial"/>
          <w:lang w:val="es-MX" w:eastAsia="es-ES_tradnl"/>
        </w:rPr>
        <w:t>iv</w:t>
      </w:r>
      <w:proofErr w:type="spellEnd"/>
      <w:r w:rsidRPr="00930790">
        <w:rPr>
          <w:rFonts w:ascii="Century Gothic" w:eastAsia="Times New Roman" w:hAnsi="Century Gothic" w:cs="Arial"/>
          <w:lang w:val="es-MX" w:eastAsia="es-ES_tradnl"/>
        </w:rPr>
        <w:t xml:space="preserve">) En consecuencia, la persona jurídica cuya constitución es menor a tres (3) años puede registrar la experiencia de sus socios en el RUP, la cual no podrá ser tenida en cuenta por la Entidad Estatal como experiencia de la sociedad una vez cumplidos los tres (3) años de constituida la persona jurídica a los que hace referencia la norma, pues no se cumple con el presupuesto normativo para acceder al beneficio que contempla el Decreto 1082 de 2015. </w:t>
      </w:r>
    </w:p>
    <w:p w14:paraId="39171E19" w14:textId="77777777" w:rsidR="00F27317" w:rsidRPr="00930790" w:rsidRDefault="00F27317" w:rsidP="00F27317">
      <w:pPr>
        <w:spacing w:before="120" w:after="120" w:line="276" w:lineRule="auto"/>
        <w:ind w:firstLine="708"/>
        <w:jc w:val="both"/>
        <w:rPr>
          <w:rFonts w:ascii="Century Gothic" w:eastAsia="Times New Roman" w:hAnsi="Century Gothic" w:cs="Arial"/>
          <w:lang w:val="es-MX" w:eastAsia="es-ES_tradnl"/>
        </w:rPr>
      </w:pPr>
      <w:r w:rsidRPr="00930790">
        <w:rPr>
          <w:rFonts w:ascii="Century Gothic" w:eastAsia="Times New Roman" w:hAnsi="Century Gothic" w:cs="Arial"/>
          <w:lang w:val="es-MX" w:eastAsia="es-ES_tradnl"/>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930790">
        <w:rPr>
          <w:rFonts w:ascii="Century Gothic" w:eastAsia="Calibri" w:hAnsi="Century Gothic" w:cs="Arial"/>
          <w:lang w:val="es-MX" w:eastAsia="es-ES_tradnl"/>
        </w:rPr>
        <w:t>―</w:t>
      </w:r>
      <w:r w:rsidRPr="00930790">
        <w:rPr>
          <w:rFonts w:ascii="Century Gothic" w:eastAsia="Times New Roman" w:hAnsi="Century Gothic" w:cs="Arial"/>
          <w:lang w:val="es-MX" w:eastAsia="es-ES_tradnl"/>
        </w:rPr>
        <w:t xml:space="preserve">únicamente </w:t>
      </w:r>
      <w:r w:rsidRPr="00930790">
        <w:rPr>
          <w:rFonts w:ascii="Century Gothic" w:eastAsia="Times New Roman" w:hAnsi="Century Gothic" w:cs="Arial"/>
          <w:lang w:val="es-MX" w:eastAsia="es-ES_tradnl"/>
        </w:rPr>
        <w:lastRenderedPageBreak/>
        <w:t>para la capacidad jurídica y experiencia</w:t>
      </w:r>
      <w:r w:rsidRPr="00930790">
        <w:rPr>
          <w:rFonts w:ascii="Century Gothic" w:eastAsia="Calibri" w:hAnsi="Century Gothic" w:cs="Arial"/>
          <w:lang w:val="es-MX" w:eastAsia="es-ES_tradnl"/>
        </w:rPr>
        <w:t>―</w:t>
      </w:r>
      <w:r w:rsidRPr="00930790">
        <w:rPr>
          <w:rFonts w:ascii="Century Gothic" w:eastAsia="Times New Roman" w:hAnsi="Century Gothic" w:cs="Arial"/>
          <w:lang w:val="es-MX" w:eastAsia="es-ES_tradnl"/>
        </w:rPr>
        <w:t xml:space="preserve"> y debe ser verificada junto con sus soportes por la Cámara de Comercio correspondiente. </w:t>
      </w:r>
    </w:p>
    <w:p w14:paraId="46EA7B8D" w14:textId="77777777" w:rsidR="00F27317" w:rsidRPr="00930790" w:rsidRDefault="00F27317" w:rsidP="00F27317">
      <w:pPr>
        <w:spacing w:before="120" w:after="120" w:line="276" w:lineRule="auto"/>
        <w:ind w:firstLine="708"/>
        <w:jc w:val="both"/>
        <w:rPr>
          <w:rFonts w:ascii="Century Gothic" w:eastAsia="Times New Roman" w:hAnsi="Century Gothic" w:cs="Arial"/>
          <w:lang w:val="es-MX" w:eastAsia="es-ES_tradnl"/>
        </w:rPr>
      </w:pPr>
      <w:r w:rsidRPr="00930790">
        <w:rPr>
          <w:rFonts w:ascii="Century Gothic" w:eastAsia="Times New Roman" w:hAnsi="Century Gothic" w:cs="Arial"/>
          <w:lang w:val="es-MX" w:eastAsia="es-ES_tradnl"/>
        </w:rPr>
        <w:t>La posición anterior, en relación con la posibilidad de que las sociedades nuevas puedan seguir acreditando la experiencia de sus socios, accionistas o constituyentes, incluso después de cumplidos tres (3) años de constitución de la persona jurídica, fue superada y se ratificó por esta Subdirección la tesis que ya había sido desarrollada en el concepto del 7 de febrero de 2018</w:t>
      </w:r>
      <w:r w:rsidRPr="00930790">
        <w:rPr>
          <w:rFonts w:ascii="Century Gothic" w:eastAsia="Times New Roman" w:hAnsi="Century Gothic" w:cs="Arial"/>
          <w:vertAlign w:val="superscript"/>
          <w:lang w:val="es-MX" w:eastAsia="es-ES_tradnl"/>
        </w:rPr>
        <w:footnoteReference w:id="4"/>
      </w:r>
      <w:r w:rsidRPr="00930790">
        <w:rPr>
          <w:rFonts w:ascii="Century Gothic" w:eastAsia="Times New Roman" w:hAnsi="Century Gothic" w:cs="Arial"/>
          <w:lang w:val="es-MX" w:eastAsia="es-ES_tradnl"/>
        </w:rPr>
        <w:t xml:space="preserve">, 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tres (3) años desde la constitución de la sociedad, siempre que se renovara constantemente el RUP.  </w:t>
      </w:r>
    </w:p>
    <w:p w14:paraId="2C929B3A" w14:textId="77777777" w:rsidR="00F27317" w:rsidRPr="00930790" w:rsidRDefault="00F27317" w:rsidP="0056160B">
      <w:pPr>
        <w:spacing w:after="120" w:line="276" w:lineRule="auto"/>
        <w:ind w:firstLine="708"/>
        <w:jc w:val="both"/>
        <w:rPr>
          <w:rFonts w:ascii="Century Gothic" w:eastAsia="Times New Roman" w:hAnsi="Century Gothic" w:cs="Arial"/>
          <w:lang w:val="es-MX" w:eastAsia="es-ES_tradnl"/>
        </w:rPr>
      </w:pPr>
      <w:r w:rsidRPr="00930790">
        <w:rPr>
          <w:rFonts w:ascii="Century Gothic" w:eastAsia="Times New Roman" w:hAnsi="Century Gothic" w:cs="Arial"/>
          <w:lang w:val="es-MX" w:eastAsia="es-ES_tradnl"/>
        </w:rPr>
        <w:t xml:space="preserve">En otras palabras, </w:t>
      </w:r>
      <w:bookmarkStart w:id="1" w:name="_Hlk67498604"/>
      <w:r w:rsidRPr="00930790">
        <w:rPr>
          <w:rFonts w:ascii="Century Gothic" w:eastAsia="Times New Roman" w:hAnsi="Century Gothic" w:cs="Arial"/>
          <w:lang w:val="es-MX" w:eastAsia="es-ES_tradnl"/>
        </w:rPr>
        <w:t>si la persona jurídica con menos de tres (3) años de constituida registra la experiencia de sus socios, accionistas o constituyentes en el RUP, y éste es renovado, puede continuar utilizando la experiencia inscrita mientras no cesen los efectos del RUP. Por el contrario, si no se renueva y la persona jurídica supera los tres (3) años de constituida, la experiencia que registró de sus socios, accionistas o constituyentes no puede ser inscrita nuevamente, puesto que el RUP ha cesado sus efectos y la Cámara de Comercio tiene que hacer nuevamente la verificación documental de la información presentada al momento de inscribirse en el registro.</w:t>
      </w:r>
      <w:bookmarkEnd w:id="1"/>
    </w:p>
    <w:p w14:paraId="0F59D318" w14:textId="77777777" w:rsidR="00F27317" w:rsidRPr="00930790" w:rsidRDefault="00F27317" w:rsidP="0056160B">
      <w:pPr>
        <w:spacing w:after="120" w:line="276" w:lineRule="auto"/>
        <w:ind w:firstLine="708"/>
        <w:jc w:val="both"/>
        <w:rPr>
          <w:rFonts w:ascii="Century Gothic" w:eastAsia="Times New Roman" w:hAnsi="Century Gothic" w:cs="Arial"/>
          <w:lang w:val="es-MX" w:eastAsia="es-ES_tradnl"/>
        </w:rPr>
      </w:pPr>
      <w:r w:rsidRPr="00930790">
        <w:rPr>
          <w:rFonts w:ascii="Century Gothic" w:eastAsia="Times New Roman" w:hAnsi="Century Gothic" w:cs="Arial"/>
          <w:lang w:val="es-MX" w:eastAsia="es-ES_tradnl"/>
        </w:rPr>
        <w:t>Sin embargo, debe aclararse que el Decreto 1082 de 2015 sólo permite que una sociedad acredite la experiencia de quienes tienen la calidad de accionistas, socios o constituyentes durante los primeros tres (3) años de su constitución. Por tanto, si se pierden estas calidades, como sucedería cuando un socio se retira por venta o cesión de su participación y pierde su calidad de socio, ya no sería aceptable que la sociedad acredite la experiencia aportada por dicha persona. Esta interpretación, además, se impone en atención al fin de evitar prácticas corruptas o que atenten contra la transparencia en la contratación estatal, por lo que la experiencia aportada por quien se retira no deberá tenerse en cuenta por las Entidades Estatales, y no debería ser utilizada por el proponente en procesos de contratación, ya que es inherente a la persona que la ha obtenido.</w:t>
      </w:r>
    </w:p>
    <w:p w14:paraId="0403FD17" w14:textId="77777777" w:rsidR="00F27317" w:rsidRPr="00930790" w:rsidRDefault="00F27317" w:rsidP="00F27317">
      <w:pPr>
        <w:spacing w:after="0" w:line="276" w:lineRule="auto"/>
        <w:ind w:firstLine="708"/>
        <w:jc w:val="both"/>
        <w:rPr>
          <w:rFonts w:ascii="Century Gothic" w:eastAsia="Calibri" w:hAnsi="Century Gothic" w:cs="Arial"/>
          <w:lang w:val="es-ES_tradnl"/>
        </w:rPr>
      </w:pPr>
      <w:r w:rsidRPr="00930790">
        <w:rPr>
          <w:rFonts w:ascii="Century Gothic" w:eastAsia="Times New Roman" w:hAnsi="Century Gothic" w:cs="Arial"/>
          <w:lang w:val="es-MX" w:eastAsia="es-ES_tradnl"/>
        </w:rPr>
        <w:lastRenderedPageBreak/>
        <w:t>En ese contexto, si el socio se retira de la sociedad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el proceso de contratación.</w:t>
      </w:r>
    </w:p>
    <w:p w14:paraId="7DCF6657" w14:textId="77777777" w:rsidR="00F27317" w:rsidRPr="008C7AF4" w:rsidRDefault="00F27317" w:rsidP="00F27317">
      <w:pPr>
        <w:widowControl w:val="0"/>
        <w:autoSpaceDE w:val="0"/>
        <w:autoSpaceDN w:val="0"/>
        <w:spacing w:after="0" w:line="276" w:lineRule="auto"/>
        <w:jc w:val="both"/>
        <w:rPr>
          <w:rFonts w:ascii="Century Gothic" w:hAnsi="Century Gothic" w:cs="Arial"/>
          <w:lang w:val="es-ES_tradnl"/>
        </w:rPr>
      </w:pPr>
      <w:r w:rsidRPr="008C7AF4">
        <w:rPr>
          <w:rFonts w:ascii="Century Gothic" w:hAnsi="Century Gothic" w:cs="Arial"/>
        </w:rPr>
        <w:t xml:space="preserve">Este concepto tiene el alcance previsto en el artículo 28 del Código de Procedimiento Administrativo y de lo Contencioso Administrativo </w:t>
      </w:r>
      <w:r w:rsidRPr="008C7AF4">
        <w:rPr>
          <w:rFonts w:ascii="Century Gothic" w:hAnsi="Century Gothic" w:cs="Arial"/>
          <w:lang w:val="es-ES_tradnl"/>
        </w:rPr>
        <w:t>y las expresiones aquí utilizadas con mayúscula inicial deben ser entendidas con el significado que les otorga el artículo 2.2.1.1.1.3.1. del Decreto 1082 de 2015.</w:t>
      </w:r>
    </w:p>
    <w:p w14:paraId="1896053A" w14:textId="77777777" w:rsidR="00F27317" w:rsidRPr="008C7AF4" w:rsidRDefault="00F27317" w:rsidP="00F27317">
      <w:pPr>
        <w:widowControl w:val="0"/>
        <w:autoSpaceDE w:val="0"/>
        <w:autoSpaceDN w:val="0"/>
        <w:spacing w:after="0" w:line="276" w:lineRule="auto"/>
        <w:jc w:val="both"/>
        <w:rPr>
          <w:rFonts w:ascii="Century Gothic" w:hAnsi="Century Gothic" w:cs="Arial"/>
        </w:rPr>
      </w:pPr>
    </w:p>
    <w:p w14:paraId="23AB2240" w14:textId="228CEF2E" w:rsidR="00F27317" w:rsidRPr="00BA015E" w:rsidRDefault="00F27317" w:rsidP="00BA015E">
      <w:pPr>
        <w:spacing w:after="0" w:line="240" w:lineRule="auto"/>
        <w:rPr>
          <w:rFonts w:ascii="Century Gothic" w:eastAsia="Times New Roman" w:hAnsi="Century Gothic" w:cs="Arial"/>
          <w:lang w:eastAsia="es-CO"/>
        </w:rPr>
      </w:pPr>
      <w:r w:rsidRPr="008C7AF4">
        <w:rPr>
          <w:rFonts w:ascii="Century Gothic" w:eastAsia="Times New Roman" w:hAnsi="Century Gothic" w:cs="Arial"/>
          <w:lang w:eastAsia="es-CO"/>
        </w:rPr>
        <w:t>Atentamente,</w:t>
      </w:r>
    </w:p>
    <w:p w14:paraId="774DB475" w14:textId="77777777" w:rsidR="00F27317" w:rsidRDefault="00F27317" w:rsidP="00F27317">
      <w:pPr>
        <w:spacing w:after="0" w:line="276" w:lineRule="auto"/>
        <w:jc w:val="center"/>
        <w:rPr>
          <w:rFonts w:ascii="Century Gothic" w:eastAsia="Times New Roman" w:hAnsi="Century Gothic" w:cs="Arial"/>
          <w:noProof/>
          <w:color w:val="000000"/>
          <w:sz w:val="24"/>
          <w:szCs w:val="24"/>
          <w:lang w:val="es-ES_tradnl" w:eastAsia="es-CO"/>
        </w:rPr>
      </w:pPr>
    </w:p>
    <w:p w14:paraId="7B10EA15" w14:textId="43EC6588" w:rsidR="00F27317" w:rsidRDefault="00964D34" w:rsidP="00F27317">
      <w:pPr>
        <w:spacing w:after="0" w:line="276" w:lineRule="auto"/>
        <w:jc w:val="center"/>
        <w:rPr>
          <w:rFonts w:ascii="Century Gothic" w:eastAsia="Times New Roman" w:hAnsi="Century Gothic" w:cs="Arial"/>
          <w:noProof/>
          <w:color w:val="000000"/>
          <w:sz w:val="24"/>
          <w:szCs w:val="24"/>
          <w:lang w:val="es-ES_tradnl" w:eastAsia="es-CO"/>
        </w:rPr>
      </w:pPr>
      <w:r>
        <w:rPr>
          <w:noProof/>
        </w:rPr>
        <w:drawing>
          <wp:inline distT="0" distB="0" distL="0" distR="0" wp14:anchorId="5EFFF576" wp14:editId="1C788EA7">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1"/>
                    <a:stretch>
                      <a:fillRect/>
                    </a:stretch>
                  </pic:blipFill>
                  <pic:spPr>
                    <a:xfrm>
                      <a:off x="0" y="0"/>
                      <a:ext cx="3771900" cy="1400175"/>
                    </a:xfrm>
                    <a:prstGeom prst="rect">
                      <a:avLst/>
                    </a:prstGeom>
                  </pic:spPr>
                </pic:pic>
              </a:graphicData>
            </a:graphic>
          </wp:inline>
        </w:drawing>
      </w:r>
    </w:p>
    <w:p w14:paraId="52F111F4" w14:textId="77777777" w:rsidR="00F27317" w:rsidRPr="008C7AF4" w:rsidRDefault="00F27317" w:rsidP="00F27317">
      <w:pPr>
        <w:spacing w:after="0" w:line="276" w:lineRule="auto"/>
        <w:jc w:val="center"/>
        <w:rPr>
          <w:rFonts w:ascii="Century Gothic" w:eastAsia="Times New Roman" w:hAnsi="Century Gothic" w:cs="Arial"/>
          <w:color w:val="000000"/>
          <w:sz w:val="24"/>
          <w:szCs w:val="24"/>
          <w:lang w:val="es-ES_tradnl" w:eastAsia="es-CO"/>
        </w:rPr>
      </w:pPr>
      <w:r>
        <w:rPr>
          <w:rFonts w:ascii="Century Gothic" w:eastAsia="Times New Roman" w:hAnsi="Century Gothic" w:cs="Arial"/>
          <w:color w:val="000000"/>
          <w:sz w:val="24"/>
          <w:szCs w:val="24"/>
          <w:lang w:val="es-ES_tradnl" w:eastAsia="es-CO"/>
        </w:rPr>
        <w:t xml:space="preserve"> </w:t>
      </w:r>
    </w:p>
    <w:tbl>
      <w:tblPr>
        <w:tblStyle w:val="Tablaconcuadrcula"/>
        <w:tblW w:w="7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6602"/>
      </w:tblGrid>
      <w:tr w:rsidR="00F27317" w:rsidRPr="008C7AF4" w14:paraId="2F332F0D" w14:textId="77777777" w:rsidTr="00BA607B">
        <w:trPr>
          <w:trHeight w:val="315"/>
        </w:trPr>
        <w:tc>
          <w:tcPr>
            <w:tcW w:w="855" w:type="dxa"/>
            <w:vAlign w:val="center"/>
            <w:hideMark/>
          </w:tcPr>
          <w:p w14:paraId="054A8DE5" w14:textId="77777777" w:rsidR="00F27317" w:rsidRPr="008C7AF4" w:rsidRDefault="00F27317" w:rsidP="00BA607B">
            <w:pPr>
              <w:rPr>
                <w:rFonts w:ascii="Century Gothic" w:eastAsia="Times New Roman" w:hAnsi="Century Gothic" w:cs="Arial"/>
                <w:sz w:val="16"/>
                <w:szCs w:val="16"/>
                <w:lang w:val="es-ES" w:eastAsia="es-ES"/>
              </w:rPr>
            </w:pPr>
            <w:r w:rsidRPr="008C7AF4">
              <w:rPr>
                <w:rFonts w:ascii="Century Gothic" w:eastAsia="Times New Roman" w:hAnsi="Century Gothic" w:cs="Arial"/>
                <w:sz w:val="16"/>
                <w:szCs w:val="16"/>
                <w:lang w:val="es-ES" w:eastAsia="es-ES"/>
              </w:rPr>
              <w:t>Elaboró:</w:t>
            </w:r>
          </w:p>
        </w:tc>
        <w:tc>
          <w:tcPr>
            <w:tcW w:w="6602" w:type="dxa"/>
            <w:tcBorders>
              <w:top w:val="nil"/>
              <w:left w:val="nil"/>
              <w:bottom w:val="dotted" w:sz="4" w:space="0" w:color="7F7F7F" w:themeColor="text1" w:themeTint="80"/>
              <w:right w:val="nil"/>
            </w:tcBorders>
            <w:vAlign w:val="center"/>
            <w:hideMark/>
          </w:tcPr>
          <w:p w14:paraId="18322BE9" w14:textId="77777777" w:rsidR="00F27317" w:rsidRPr="002C33F1" w:rsidRDefault="00F27317" w:rsidP="00BA607B">
            <w:pPr>
              <w:rPr>
                <w:rStyle w:val="normaltextrun"/>
              </w:rPr>
            </w:pPr>
            <w:proofErr w:type="spellStart"/>
            <w:r w:rsidRPr="002C33F1">
              <w:rPr>
                <w:rStyle w:val="normaltextrun"/>
              </w:rPr>
              <w:t>H</w:t>
            </w:r>
            <w:r w:rsidRPr="002C33F1">
              <w:rPr>
                <w:rStyle w:val="normaltextrun"/>
                <w:rFonts w:ascii="Century Gothic" w:eastAsia="Arial" w:hAnsi="Century Gothic" w:cs="Arial"/>
                <w:sz w:val="16"/>
                <w:szCs w:val="16"/>
              </w:rPr>
              <w:t>ector</w:t>
            </w:r>
            <w:proofErr w:type="spellEnd"/>
            <w:r w:rsidRPr="002C33F1">
              <w:rPr>
                <w:rStyle w:val="normaltextrun"/>
                <w:rFonts w:ascii="Century Gothic" w:eastAsia="Arial" w:hAnsi="Century Gothic" w:cs="Arial"/>
                <w:sz w:val="16"/>
                <w:szCs w:val="16"/>
              </w:rPr>
              <w:t xml:space="preserve"> Luis Quiñones </w:t>
            </w:r>
            <w:proofErr w:type="spellStart"/>
            <w:r w:rsidRPr="002C33F1">
              <w:rPr>
                <w:rStyle w:val="normaltextrun"/>
                <w:rFonts w:ascii="Century Gothic" w:eastAsia="Arial" w:hAnsi="Century Gothic" w:cs="Arial"/>
                <w:sz w:val="16"/>
                <w:szCs w:val="16"/>
              </w:rPr>
              <w:t>Quiñones</w:t>
            </w:r>
            <w:proofErr w:type="spellEnd"/>
          </w:p>
          <w:p w14:paraId="57CB5971" w14:textId="77777777" w:rsidR="00F27317" w:rsidRPr="008C7AF4" w:rsidRDefault="00F27317" w:rsidP="00BA607B">
            <w:pPr>
              <w:rPr>
                <w:rFonts w:ascii="Century Gothic" w:eastAsia="Arial" w:hAnsi="Century Gothic" w:cs="Arial"/>
                <w:sz w:val="16"/>
                <w:szCs w:val="16"/>
              </w:rPr>
            </w:pPr>
            <w:r w:rsidRPr="002C33F1">
              <w:rPr>
                <w:rStyle w:val="normaltextrun"/>
                <w:rFonts w:ascii="Century Gothic" w:eastAsia="Arial" w:hAnsi="Century Gothic" w:cs="Arial"/>
                <w:sz w:val="16"/>
                <w:szCs w:val="16"/>
              </w:rPr>
              <w:t xml:space="preserve">Analista T2-02 </w:t>
            </w:r>
            <w:r w:rsidRPr="008C7AF4">
              <w:rPr>
                <w:rStyle w:val="normaltextrun"/>
                <w:rFonts w:ascii="Century Gothic" w:eastAsia="Arial" w:hAnsi="Century Gothic" w:cs="Arial"/>
                <w:sz w:val="16"/>
                <w:szCs w:val="16"/>
              </w:rPr>
              <w:t>de la Subdirección de Gestión Contractual</w:t>
            </w:r>
            <w:r w:rsidRPr="008C7AF4">
              <w:rPr>
                <w:rStyle w:val="eop"/>
                <w:rFonts w:ascii="Century Gothic" w:eastAsia="Arial" w:hAnsi="Century Gothic" w:cs="Arial"/>
                <w:sz w:val="16"/>
                <w:szCs w:val="16"/>
              </w:rPr>
              <w:t> </w:t>
            </w:r>
          </w:p>
        </w:tc>
      </w:tr>
      <w:tr w:rsidR="00F27317" w:rsidRPr="008C7AF4" w14:paraId="36771957" w14:textId="77777777" w:rsidTr="00BA607B">
        <w:trPr>
          <w:trHeight w:val="330"/>
        </w:trPr>
        <w:tc>
          <w:tcPr>
            <w:tcW w:w="855" w:type="dxa"/>
            <w:vAlign w:val="center"/>
            <w:hideMark/>
          </w:tcPr>
          <w:p w14:paraId="59A0C7E2" w14:textId="77777777" w:rsidR="00F27317" w:rsidRPr="008C7AF4" w:rsidRDefault="00F27317" w:rsidP="00BA607B">
            <w:pPr>
              <w:rPr>
                <w:rFonts w:ascii="Century Gothic" w:eastAsia="Times New Roman" w:hAnsi="Century Gothic" w:cs="Arial"/>
                <w:sz w:val="16"/>
                <w:szCs w:val="16"/>
                <w:lang w:val="es-ES" w:eastAsia="es-ES"/>
              </w:rPr>
            </w:pPr>
            <w:r w:rsidRPr="008C7AF4">
              <w:rPr>
                <w:rFonts w:ascii="Century Gothic" w:eastAsia="Times New Roman" w:hAnsi="Century Gothic" w:cs="Arial"/>
                <w:sz w:val="16"/>
                <w:szCs w:val="16"/>
                <w:lang w:val="es-ES" w:eastAsia="es-ES"/>
              </w:rPr>
              <w:t>Revisó:</w:t>
            </w:r>
          </w:p>
        </w:tc>
        <w:tc>
          <w:tcPr>
            <w:tcW w:w="6602" w:type="dxa"/>
            <w:tcBorders>
              <w:top w:val="dotted" w:sz="4" w:space="0" w:color="7F7F7F" w:themeColor="text1" w:themeTint="80"/>
              <w:left w:val="nil"/>
              <w:bottom w:val="dotted" w:sz="4" w:space="0" w:color="7F7F7F" w:themeColor="text1" w:themeTint="80"/>
              <w:right w:val="nil"/>
            </w:tcBorders>
            <w:vAlign w:val="center"/>
            <w:hideMark/>
          </w:tcPr>
          <w:p w14:paraId="082111DB" w14:textId="6CA275A6" w:rsidR="00F27317" w:rsidRPr="002C33F1" w:rsidRDefault="0056160B" w:rsidP="00BA607B">
            <w:pPr>
              <w:rPr>
                <w:rFonts w:ascii="Century Gothic" w:eastAsia="Arial" w:hAnsi="Century Gothic" w:cs="Arial"/>
                <w:sz w:val="16"/>
                <w:szCs w:val="16"/>
              </w:rPr>
            </w:pPr>
            <w:r>
              <w:rPr>
                <w:rStyle w:val="eop"/>
                <w:rFonts w:ascii="Century Gothic" w:eastAsia="Arial" w:hAnsi="Century Gothic" w:cs="Arial"/>
                <w:sz w:val="16"/>
                <w:szCs w:val="16"/>
              </w:rPr>
              <w:t xml:space="preserve">Juan David </w:t>
            </w:r>
            <w:proofErr w:type="spellStart"/>
            <w:r>
              <w:rPr>
                <w:rStyle w:val="eop"/>
                <w:rFonts w:ascii="Century Gothic" w:eastAsia="Arial" w:hAnsi="Century Gothic" w:cs="Arial"/>
                <w:sz w:val="16"/>
                <w:szCs w:val="16"/>
              </w:rPr>
              <w:t>Cardenas</w:t>
            </w:r>
            <w:proofErr w:type="spellEnd"/>
            <w:r>
              <w:rPr>
                <w:rStyle w:val="eop"/>
                <w:rFonts w:ascii="Century Gothic" w:eastAsia="Arial" w:hAnsi="Century Gothic" w:cs="Arial"/>
                <w:sz w:val="16"/>
                <w:szCs w:val="16"/>
              </w:rPr>
              <w:t xml:space="preserve"> Cabeza</w:t>
            </w:r>
            <w:r w:rsidR="00F27317" w:rsidRPr="002C33F1">
              <w:rPr>
                <w:rStyle w:val="eop"/>
                <w:rFonts w:ascii="Century Gothic" w:eastAsia="Arial" w:hAnsi="Century Gothic" w:cs="Arial"/>
                <w:sz w:val="16"/>
                <w:szCs w:val="16"/>
              </w:rPr>
              <w:t xml:space="preserve">  </w:t>
            </w:r>
          </w:p>
          <w:p w14:paraId="77B6AF7C" w14:textId="1BF979F6" w:rsidR="00F27317" w:rsidRPr="008C7AF4" w:rsidRDefault="0056160B" w:rsidP="00BA607B">
            <w:pPr>
              <w:rPr>
                <w:rFonts w:ascii="Century Gothic" w:eastAsia="Arial" w:hAnsi="Century Gothic" w:cs="Arial"/>
                <w:sz w:val="16"/>
                <w:szCs w:val="16"/>
              </w:rPr>
            </w:pPr>
            <w:r>
              <w:rPr>
                <w:rStyle w:val="normaltextrun"/>
                <w:rFonts w:ascii="Century Gothic" w:eastAsia="Arial" w:hAnsi="Century Gothic" w:cs="Arial"/>
                <w:sz w:val="16"/>
                <w:szCs w:val="16"/>
              </w:rPr>
              <w:t>Contratista</w:t>
            </w:r>
            <w:r w:rsidR="00F27317" w:rsidRPr="008C7AF4">
              <w:rPr>
                <w:rStyle w:val="normaltextrun"/>
                <w:rFonts w:ascii="Century Gothic" w:eastAsia="Arial" w:hAnsi="Century Gothic" w:cs="Arial"/>
                <w:sz w:val="16"/>
                <w:szCs w:val="16"/>
              </w:rPr>
              <w:t xml:space="preserve"> Subdirección de Gestión Contractual</w:t>
            </w:r>
            <w:r w:rsidR="00F27317" w:rsidRPr="008C7AF4">
              <w:rPr>
                <w:rStyle w:val="eop"/>
                <w:rFonts w:ascii="Century Gothic" w:eastAsia="Arial" w:hAnsi="Century Gothic" w:cs="Arial"/>
                <w:sz w:val="16"/>
                <w:szCs w:val="16"/>
              </w:rPr>
              <w:t> </w:t>
            </w:r>
          </w:p>
        </w:tc>
      </w:tr>
      <w:tr w:rsidR="00F27317" w:rsidRPr="008C7AF4" w14:paraId="09C68085" w14:textId="77777777" w:rsidTr="00BA607B">
        <w:trPr>
          <w:trHeight w:val="300"/>
        </w:trPr>
        <w:tc>
          <w:tcPr>
            <w:tcW w:w="855" w:type="dxa"/>
            <w:vAlign w:val="center"/>
          </w:tcPr>
          <w:p w14:paraId="1213EAA9" w14:textId="77777777" w:rsidR="00F27317" w:rsidRPr="008C7AF4" w:rsidRDefault="00F27317" w:rsidP="00BA607B">
            <w:pPr>
              <w:rPr>
                <w:rFonts w:ascii="Century Gothic" w:eastAsia="Times New Roman" w:hAnsi="Century Gothic" w:cs="Arial"/>
                <w:sz w:val="16"/>
                <w:szCs w:val="16"/>
                <w:lang w:val="es-ES" w:eastAsia="es-ES"/>
              </w:rPr>
            </w:pPr>
            <w:r w:rsidRPr="008C7AF4">
              <w:rPr>
                <w:rFonts w:ascii="Century Gothic" w:eastAsia="Times New Roman" w:hAnsi="Century Gothic" w:cs="Arial"/>
                <w:sz w:val="16"/>
                <w:szCs w:val="16"/>
                <w:lang w:val="es-ES" w:eastAsia="es-ES"/>
              </w:rPr>
              <w:t>Aprobó:</w:t>
            </w:r>
          </w:p>
        </w:tc>
        <w:tc>
          <w:tcPr>
            <w:tcW w:w="6602" w:type="dxa"/>
            <w:tcBorders>
              <w:top w:val="dotted" w:sz="4" w:space="0" w:color="7F7F7F" w:themeColor="text1" w:themeTint="80"/>
              <w:left w:val="nil"/>
              <w:bottom w:val="dotted" w:sz="4" w:space="0" w:color="7F7F7F" w:themeColor="text1" w:themeTint="80"/>
              <w:right w:val="nil"/>
            </w:tcBorders>
            <w:vAlign w:val="center"/>
          </w:tcPr>
          <w:p w14:paraId="211E16E2" w14:textId="77777777" w:rsidR="00F27317" w:rsidRPr="005A03AC" w:rsidRDefault="00F27317" w:rsidP="00BA607B">
            <w:pPr>
              <w:rPr>
                <w:rFonts w:ascii="Century Gothic" w:eastAsia="Calibri" w:hAnsi="Century Gothic" w:cs="Arial"/>
                <w:sz w:val="16"/>
                <w:szCs w:val="16"/>
                <w:lang w:eastAsia="es-ES"/>
              </w:rPr>
            </w:pPr>
            <w:r>
              <w:rPr>
                <w:rFonts w:ascii="Century Gothic" w:eastAsia="Calibri" w:hAnsi="Century Gothic" w:cs="Arial"/>
                <w:sz w:val="16"/>
                <w:szCs w:val="16"/>
                <w:lang w:eastAsia="es-ES"/>
              </w:rPr>
              <w:t xml:space="preserve">Carolina Quintero </w:t>
            </w:r>
            <w:proofErr w:type="spellStart"/>
            <w:r>
              <w:rPr>
                <w:rFonts w:ascii="Century Gothic" w:eastAsia="Calibri" w:hAnsi="Century Gothic" w:cs="Arial"/>
                <w:sz w:val="16"/>
                <w:szCs w:val="16"/>
                <w:lang w:eastAsia="es-ES"/>
              </w:rPr>
              <w:t>Gacharná</w:t>
            </w:r>
            <w:proofErr w:type="spellEnd"/>
          </w:p>
          <w:p w14:paraId="1A60AC81" w14:textId="77777777" w:rsidR="00F27317" w:rsidRPr="005A03AC" w:rsidRDefault="00F27317" w:rsidP="00BA607B">
            <w:pPr>
              <w:rPr>
                <w:rFonts w:ascii="Century Gothic" w:eastAsia="Calibri" w:hAnsi="Century Gothic" w:cs="Arial"/>
                <w:sz w:val="16"/>
                <w:szCs w:val="16"/>
                <w:lang w:eastAsia="es-ES"/>
              </w:rPr>
            </w:pPr>
            <w:r w:rsidRPr="008C7AF4">
              <w:rPr>
                <w:rFonts w:ascii="Century Gothic" w:eastAsia="Calibri" w:hAnsi="Century Gothic" w:cs="Arial"/>
                <w:sz w:val="16"/>
                <w:szCs w:val="16"/>
                <w:lang w:eastAsia="es-ES"/>
              </w:rPr>
              <w:t>Subdirectora</w:t>
            </w:r>
            <w:r w:rsidRPr="005A03AC">
              <w:rPr>
                <w:rFonts w:ascii="Century Gothic" w:eastAsia="Calibri" w:hAnsi="Century Gothic" w:cs="Arial"/>
                <w:sz w:val="16"/>
                <w:szCs w:val="16"/>
                <w:lang w:eastAsia="es-ES"/>
              </w:rPr>
              <w:t xml:space="preserve"> de Gestión Contractual ANCP – CCE</w:t>
            </w:r>
          </w:p>
        </w:tc>
      </w:tr>
    </w:tbl>
    <w:p w14:paraId="1F3D35E0" w14:textId="77777777" w:rsidR="00F27317" w:rsidRDefault="00F27317" w:rsidP="00F27317"/>
    <w:p w14:paraId="0A4897C3" w14:textId="77777777" w:rsidR="00F27317" w:rsidRPr="00AC2C42" w:rsidRDefault="00F27317" w:rsidP="00F27317">
      <w:pPr>
        <w:spacing w:after="0"/>
        <w:rPr>
          <w:rFonts w:ascii="Century Gothic" w:hAnsi="Century Gothic"/>
        </w:rPr>
      </w:pPr>
    </w:p>
    <w:p w14:paraId="30D1B4DA" w14:textId="77777777" w:rsidR="00F27317" w:rsidRDefault="00F27317" w:rsidP="00400548">
      <w:pPr>
        <w:spacing w:after="0"/>
        <w:rPr>
          <w:rFonts w:ascii="Century Gothic" w:hAnsi="Century Gothic"/>
          <w:lang w:val="es-MX"/>
        </w:rPr>
      </w:pPr>
    </w:p>
    <w:sectPr w:rsidR="00F27317" w:rsidSect="004368BC">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7D52F" w14:textId="77777777" w:rsidR="00AE393A" w:rsidRDefault="00AE393A" w:rsidP="004A1847">
      <w:pPr>
        <w:spacing w:after="0" w:line="240" w:lineRule="auto"/>
      </w:pPr>
      <w:r>
        <w:separator/>
      </w:r>
    </w:p>
  </w:endnote>
  <w:endnote w:type="continuationSeparator" w:id="0">
    <w:p w14:paraId="7D3AA921" w14:textId="77777777" w:rsidR="00AE393A" w:rsidRDefault="00AE393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24E3F" w14:textId="77777777" w:rsidR="00AE393A" w:rsidRDefault="00AE393A" w:rsidP="004A1847">
      <w:pPr>
        <w:spacing w:after="0" w:line="240" w:lineRule="auto"/>
      </w:pPr>
      <w:r>
        <w:separator/>
      </w:r>
    </w:p>
  </w:footnote>
  <w:footnote w:type="continuationSeparator" w:id="0">
    <w:p w14:paraId="5B0374E1" w14:textId="77777777" w:rsidR="00AE393A" w:rsidRDefault="00AE393A" w:rsidP="004A1847">
      <w:pPr>
        <w:spacing w:after="0" w:line="240" w:lineRule="auto"/>
      </w:pPr>
      <w:r>
        <w:continuationSeparator/>
      </w:r>
    </w:p>
  </w:footnote>
  <w:footnote w:id="1">
    <w:p w14:paraId="51170952" w14:textId="77777777" w:rsidR="00F27317" w:rsidRPr="00DB522D" w:rsidRDefault="00F27317" w:rsidP="00F27317">
      <w:pPr>
        <w:pStyle w:val="Textonotapie"/>
        <w:ind w:firstLine="708"/>
        <w:jc w:val="both"/>
        <w:rPr>
          <w:rFonts w:ascii="Century Gothic" w:hAnsi="Century Gothic" w:cs="Arial"/>
          <w:sz w:val="16"/>
          <w:szCs w:val="16"/>
        </w:rPr>
      </w:pPr>
      <w:r w:rsidRPr="00DB522D">
        <w:rPr>
          <w:rStyle w:val="Refdenotaalpie"/>
          <w:rFonts w:ascii="Century Gothic" w:hAnsi="Century Gothic"/>
          <w:sz w:val="16"/>
          <w:szCs w:val="16"/>
        </w:rPr>
        <w:footnoteRef/>
      </w:r>
      <w:r w:rsidRPr="00DB522D">
        <w:rPr>
          <w:rFonts w:ascii="Century Gothic" w:hAnsi="Century Gothic"/>
          <w:sz w:val="16"/>
          <w:szCs w:val="16"/>
        </w:rPr>
        <w:t xml:space="preserve"> </w:t>
      </w:r>
      <w:r w:rsidRPr="00DB522D">
        <w:rPr>
          <w:rFonts w:ascii="Century Gothic" w:hAnsi="Century Gothic" w:cs="Arial"/>
          <w:sz w:val="16"/>
          <w:szCs w:val="16"/>
        </w:rPr>
        <w:t xml:space="preserve">Los conceptos expedidos por la Subdirección de Gestión Contractual de la Agencia Nacional de Contratación Pública pueden ser consultados en plataforma de relatoría a la cual se puede acceder a través del siguiente enlace:  </w:t>
      </w:r>
      <w:hyperlink r:id="rId1" w:history="1">
        <w:r w:rsidRPr="00DB522D">
          <w:rPr>
            <w:rStyle w:val="Hipervnculo"/>
            <w:rFonts w:ascii="Century Gothic" w:hAnsi="Century Gothic" w:cs="Arial"/>
            <w:sz w:val="16"/>
            <w:szCs w:val="16"/>
          </w:rPr>
          <w:t>https://relatoria.colombiacompra.gov.co/busqueda/conceptos</w:t>
        </w:r>
      </w:hyperlink>
    </w:p>
    <w:p w14:paraId="7BCD5CDC" w14:textId="77777777" w:rsidR="00F27317" w:rsidRPr="00DB522D" w:rsidRDefault="00F27317" w:rsidP="00F27317">
      <w:pPr>
        <w:pStyle w:val="Textonotapie"/>
        <w:rPr>
          <w:rFonts w:ascii="Century Gothic" w:hAnsi="Century Gothic"/>
          <w:sz w:val="16"/>
          <w:szCs w:val="16"/>
        </w:rPr>
      </w:pPr>
    </w:p>
  </w:footnote>
  <w:footnote w:id="2">
    <w:p w14:paraId="10706E78" w14:textId="77777777" w:rsidR="00F27317" w:rsidRPr="00BA6AAF" w:rsidRDefault="00F27317" w:rsidP="00F27317">
      <w:pPr>
        <w:pStyle w:val="Textonotapie"/>
        <w:ind w:firstLine="708"/>
        <w:jc w:val="both"/>
        <w:rPr>
          <w:rFonts w:ascii="Century Gothic" w:hAnsi="Century Gothic" w:cs="Arial"/>
          <w:sz w:val="18"/>
          <w:szCs w:val="18"/>
        </w:rPr>
      </w:pPr>
      <w:r w:rsidRPr="00BA6AAF">
        <w:rPr>
          <w:rStyle w:val="Refdenotaalpie"/>
          <w:rFonts w:ascii="Century Gothic" w:hAnsi="Century Gothic" w:cs="Arial"/>
          <w:sz w:val="18"/>
          <w:szCs w:val="18"/>
        </w:rPr>
        <w:footnoteRef/>
      </w:r>
      <w:r w:rsidRPr="00BA6AAF">
        <w:rPr>
          <w:rFonts w:ascii="Century Gothic" w:hAnsi="Century Gothic"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444A9F86" w14:textId="77777777" w:rsidR="00F27317" w:rsidRPr="00BA6AAF" w:rsidRDefault="00F27317" w:rsidP="00F27317">
      <w:pPr>
        <w:pStyle w:val="Textonotapie"/>
        <w:ind w:firstLine="708"/>
        <w:jc w:val="both"/>
        <w:rPr>
          <w:rFonts w:ascii="Century Gothic" w:hAnsi="Century Gothic" w:cs="Arial"/>
          <w:sz w:val="18"/>
          <w:szCs w:val="18"/>
        </w:rPr>
      </w:pPr>
      <w:r w:rsidRPr="00BA6AAF">
        <w:rPr>
          <w:rFonts w:ascii="Century Gothic" w:hAnsi="Century Gothic" w:cs="Arial"/>
          <w:sz w:val="18"/>
          <w:szCs w:val="18"/>
        </w:rPr>
        <w:t xml:space="preserve">[…] </w:t>
      </w:r>
    </w:p>
    <w:p w14:paraId="7DD6BEC7" w14:textId="77777777" w:rsidR="00F27317" w:rsidRPr="00BA6AAF" w:rsidRDefault="00F27317" w:rsidP="00F27317">
      <w:pPr>
        <w:pStyle w:val="Textonotapie"/>
        <w:ind w:firstLine="708"/>
        <w:jc w:val="both"/>
        <w:rPr>
          <w:rFonts w:ascii="Century Gothic" w:hAnsi="Century Gothic" w:cs="Arial"/>
          <w:sz w:val="18"/>
          <w:szCs w:val="18"/>
        </w:rPr>
      </w:pPr>
      <w:r w:rsidRPr="00BA6AAF">
        <w:rPr>
          <w:rFonts w:ascii="Century Gothic" w:hAnsi="Century Gothic" w:cs="Arial"/>
          <w:sz w:val="18"/>
          <w:szCs w:val="18"/>
        </w:rPr>
        <w:t>2.1. Bienes, obras y servicios que ofrecerá a las Entidades Estatales, identificados con el Clasificador de Bienes y Servicios en el tercer nivel”.</w:t>
      </w:r>
    </w:p>
  </w:footnote>
  <w:footnote w:id="3">
    <w:p w14:paraId="3261D619" w14:textId="77777777" w:rsidR="00F27317" w:rsidRDefault="00F27317" w:rsidP="00F27317">
      <w:pPr>
        <w:pStyle w:val="Textonotapie"/>
        <w:ind w:firstLine="708"/>
        <w:jc w:val="both"/>
        <w:rPr>
          <w:rFonts w:ascii="Century Gothic" w:hAnsi="Century Gothic" w:cs="Arial"/>
          <w:sz w:val="18"/>
          <w:szCs w:val="18"/>
        </w:rPr>
      </w:pPr>
    </w:p>
    <w:p w14:paraId="6E5F5605" w14:textId="77777777" w:rsidR="00F27317" w:rsidRPr="00BA6AAF" w:rsidRDefault="00F27317" w:rsidP="00F27317">
      <w:pPr>
        <w:pStyle w:val="Textonotapie"/>
        <w:ind w:firstLine="708"/>
        <w:jc w:val="both"/>
        <w:rPr>
          <w:rFonts w:ascii="Century Gothic" w:hAnsi="Century Gothic" w:cs="Arial"/>
          <w:sz w:val="18"/>
          <w:szCs w:val="18"/>
        </w:rPr>
      </w:pPr>
      <w:r w:rsidRPr="00BA6AAF">
        <w:rPr>
          <w:rStyle w:val="Refdenotaalpie"/>
          <w:rFonts w:ascii="Century Gothic" w:hAnsi="Century Gothic" w:cs="Arial"/>
          <w:sz w:val="18"/>
          <w:szCs w:val="18"/>
        </w:rPr>
        <w:footnoteRef/>
      </w:r>
      <w:r w:rsidRPr="00BA6AAF">
        <w:rPr>
          <w:rFonts w:ascii="Century Gothic" w:hAnsi="Century Gothic"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A73EEF5" w14:textId="77777777" w:rsidR="00F27317" w:rsidRPr="00BA6AAF" w:rsidRDefault="00F27317" w:rsidP="00F27317">
      <w:pPr>
        <w:pStyle w:val="Textonotapie"/>
        <w:ind w:firstLine="708"/>
        <w:jc w:val="both"/>
        <w:rPr>
          <w:rFonts w:ascii="Century Gothic" w:hAnsi="Century Gothic" w:cs="Arial"/>
          <w:sz w:val="18"/>
          <w:szCs w:val="18"/>
        </w:rPr>
      </w:pPr>
      <w:r w:rsidRPr="00BA6AAF">
        <w:rPr>
          <w:rFonts w:ascii="Century Gothic" w:hAnsi="Century Gothic" w:cs="Arial"/>
          <w:sz w:val="18"/>
          <w:szCs w:val="18"/>
        </w:rPr>
        <w:t xml:space="preserve">[…] </w:t>
      </w:r>
    </w:p>
    <w:p w14:paraId="2CA311A2" w14:textId="77777777" w:rsidR="00F27317" w:rsidRPr="00BA6AAF" w:rsidRDefault="00F27317" w:rsidP="00F27317">
      <w:pPr>
        <w:pStyle w:val="Textonotapie"/>
        <w:ind w:firstLine="708"/>
        <w:jc w:val="both"/>
        <w:rPr>
          <w:rFonts w:ascii="Century Gothic" w:hAnsi="Century Gothic" w:cs="Arial"/>
          <w:sz w:val="18"/>
          <w:szCs w:val="18"/>
          <w:lang w:val="es-CO"/>
        </w:rPr>
      </w:pPr>
      <w:r w:rsidRPr="00BA6AAF">
        <w:rPr>
          <w:rFonts w:ascii="Century Gothic" w:hAnsi="Century Gothic" w:cs="Arial"/>
          <w:sz w:val="18"/>
          <w:szCs w:val="18"/>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footnote>
  <w:footnote w:id="4">
    <w:p w14:paraId="06E84B85" w14:textId="77777777" w:rsidR="00F27317" w:rsidRPr="00BA6AAF" w:rsidRDefault="00F27317" w:rsidP="00F27317">
      <w:pPr>
        <w:pStyle w:val="Textonotapie"/>
        <w:ind w:left="708" w:firstLine="1"/>
        <w:contextualSpacing/>
        <w:jc w:val="both"/>
        <w:rPr>
          <w:rFonts w:ascii="Century Gothic" w:hAnsi="Century Gothic" w:cs="Arial"/>
          <w:sz w:val="18"/>
          <w:szCs w:val="18"/>
        </w:rPr>
      </w:pPr>
      <w:r w:rsidRPr="00BA6AAF">
        <w:rPr>
          <w:rStyle w:val="Refdenotaalpie"/>
          <w:rFonts w:ascii="Century Gothic" w:hAnsi="Century Gothic" w:cs="Arial"/>
          <w:sz w:val="18"/>
          <w:szCs w:val="18"/>
        </w:rPr>
        <w:footnoteRef/>
      </w:r>
      <w:r w:rsidRPr="00BA6AAF">
        <w:rPr>
          <w:rFonts w:ascii="Century Gothic" w:hAnsi="Century Gothic" w:cs="Arial"/>
          <w:sz w:val="18"/>
          <w:szCs w:val="18"/>
        </w:rPr>
        <w:t xml:space="preserve"> Colombia Compra Eficiente. Concepto del 7 de febrero de 2018, Rad. 2201813000000954.</w:t>
      </w:r>
    </w:p>
    <w:p w14:paraId="18A5F4BA" w14:textId="77777777" w:rsidR="00F27317" w:rsidRPr="00BA6AAF" w:rsidRDefault="00F27317" w:rsidP="00F27317">
      <w:pPr>
        <w:pStyle w:val="Textonotapie"/>
        <w:ind w:left="708" w:firstLine="1"/>
        <w:contextualSpacing/>
        <w:jc w:val="both"/>
        <w:rPr>
          <w:rFonts w:ascii="Century Gothic" w:hAnsi="Century Gothic"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2214D46D" w:rsidR="00756841" w:rsidRDefault="00AF3080">
    <w:pPr>
      <w:pStyle w:val="Encabezado"/>
    </w:pPr>
    <w:r>
      <w:rPr>
        <w:noProof/>
        <w:lang w:eastAsia="es-CO"/>
      </w:rPr>
      <w:drawing>
        <wp:anchor distT="0" distB="0" distL="114300" distR="114300" simplePos="0" relativeHeight="251659264" behindDoc="1" locked="0" layoutInCell="1" allowOverlap="1" wp14:anchorId="748FC4A6" wp14:editId="494F8AC9">
          <wp:simplePos x="0" y="0"/>
          <wp:positionH relativeFrom="margin">
            <wp:posOffset>4173220</wp:posOffset>
          </wp:positionH>
          <wp:positionV relativeFrom="topMargin">
            <wp:posOffset>273685</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67456" behindDoc="0" locked="0" layoutInCell="1" allowOverlap="1" wp14:anchorId="7E9042C1" wp14:editId="0BADE29A">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BB88D62" w:rsidR="00756841" w:rsidRDefault="00756841">
    <w:pPr>
      <w:pStyle w:val="Encabezado"/>
    </w:pPr>
  </w:p>
  <w:p w14:paraId="1BE2B9AE" w14:textId="4B94DB3B" w:rsidR="00756841" w:rsidRDefault="00756841">
    <w:pPr>
      <w:pStyle w:val="Encabezado"/>
    </w:pPr>
  </w:p>
  <w:p w14:paraId="7FE1230C" w14:textId="040176A5" w:rsidR="004A305D" w:rsidRPr="007C5EE9" w:rsidRDefault="004A305D" w:rsidP="004A305D">
    <w:pPr>
      <w:spacing w:after="0"/>
      <w:rPr>
        <w:rFonts w:ascii="Century Gothic" w:hAnsi="Century Gothic"/>
        <w:color w:val="002060"/>
        <w:sz w:val="16"/>
        <w:szCs w:val="16"/>
        <w:lang w:val="pt-BR"/>
      </w:rPr>
    </w:pPr>
    <w:r w:rsidRPr="007C5EE9">
      <w:rPr>
        <w:rFonts w:ascii="Century Gothic" w:hAnsi="Century Gothic"/>
        <w:color w:val="002060"/>
        <w:sz w:val="16"/>
        <w:szCs w:val="16"/>
        <w:lang w:val="pt-BR"/>
      </w:rPr>
      <w:t>FORMATO PQRSD</w:t>
    </w:r>
  </w:p>
  <w:p w14:paraId="7B0A8834" w14:textId="3B0E5F1B" w:rsidR="004A305D" w:rsidRPr="007C5EE9"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val="pt-BR" w:eastAsia="es-CO"/>
      </w:rPr>
    </w:pPr>
    <w:r w:rsidRPr="007C5EE9">
      <w:rPr>
        <w:rFonts w:ascii="Century Gothic" w:eastAsia="Geo" w:hAnsi="Century Gothic" w:cs="Geo"/>
        <w:b/>
        <w:color w:val="000000"/>
        <w:sz w:val="16"/>
        <w:szCs w:val="16"/>
        <w:lang w:val="pt-BR" w:eastAsia="es-CO"/>
      </w:rPr>
      <w:t xml:space="preserve">Código: </w:t>
    </w:r>
    <w:r w:rsidRPr="007C5EE9">
      <w:rPr>
        <w:rFonts w:ascii="Century Gothic" w:eastAsia="Geo" w:hAnsi="Century Gothic" w:cs="Geo"/>
        <w:bCs/>
        <w:color w:val="000000"/>
        <w:sz w:val="16"/>
        <w:szCs w:val="16"/>
        <w:lang w:val="pt-BR" w:eastAsia="es-CO"/>
      </w:rPr>
      <w:t>CCE-</w:t>
    </w:r>
    <w:r w:rsidR="00CB6357" w:rsidRPr="007C5EE9">
      <w:rPr>
        <w:rFonts w:ascii="Century Gothic" w:eastAsia="Geo" w:hAnsi="Century Gothic" w:cs="Geo"/>
        <w:bCs/>
        <w:color w:val="000000"/>
        <w:sz w:val="16"/>
        <w:szCs w:val="16"/>
        <w:lang w:val="pt-BR" w:eastAsia="es-CO"/>
      </w:rPr>
      <w:t>REC</w:t>
    </w:r>
    <w:r w:rsidRPr="007C5EE9">
      <w:rPr>
        <w:rFonts w:ascii="Century Gothic" w:eastAsia="Geo" w:hAnsi="Century Gothic" w:cs="Geo"/>
        <w:bCs/>
        <w:color w:val="000000"/>
        <w:sz w:val="16"/>
        <w:szCs w:val="16"/>
        <w:lang w:val="pt-BR" w:eastAsia="es-CO"/>
      </w:rPr>
      <w:t>-FM-</w:t>
    </w:r>
    <w:r w:rsidR="00CB6357" w:rsidRPr="007C5EE9">
      <w:rPr>
        <w:rFonts w:ascii="Century Gothic" w:eastAsia="Geo" w:hAnsi="Century Gothic" w:cs="Geo"/>
        <w:bCs/>
        <w:color w:val="000000"/>
        <w:sz w:val="16"/>
        <w:szCs w:val="16"/>
        <w:lang w:val="pt-BR" w:eastAsia="es-CO"/>
      </w:rPr>
      <w:t>1</w:t>
    </w:r>
    <w:r w:rsidR="005B5D8B" w:rsidRPr="007C5EE9">
      <w:rPr>
        <w:rFonts w:ascii="Century Gothic" w:eastAsia="Geo" w:hAnsi="Century Gothic" w:cs="Geo"/>
        <w:bCs/>
        <w:color w:val="000000"/>
        <w:sz w:val="16"/>
        <w:szCs w:val="16"/>
        <w:lang w:val="pt-BR" w:eastAsia="es-CO"/>
      </w:rPr>
      <w:t>7</w:t>
    </w:r>
  </w:p>
  <w:p w14:paraId="42C1A9F5" w14:textId="0367FCFD" w:rsidR="00BD15D4"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46191"/>
    <w:rsid w:val="000A683E"/>
    <w:rsid w:val="000B19B9"/>
    <w:rsid w:val="000D0334"/>
    <w:rsid w:val="000E4714"/>
    <w:rsid w:val="000F6486"/>
    <w:rsid w:val="001144D7"/>
    <w:rsid w:val="0012448A"/>
    <w:rsid w:val="00125105"/>
    <w:rsid w:val="00127233"/>
    <w:rsid w:val="001E4177"/>
    <w:rsid w:val="002951A0"/>
    <w:rsid w:val="002962BC"/>
    <w:rsid w:val="002A093D"/>
    <w:rsid w:val="002A49AC"/>
    <w:rsid w:val="002A64FD"/>
    <w:rsid w:val="002C7A84"/>
    <w:rsid w:val="0032734F"/>
    <w:rsid w:val="003448F4"/>
    <w:rsid w:val="003A779E"/>
    <w:rsid w:val="003D0F4D"/>
    <w:rsid w:val="003E0499"/>
    <w:rsid w:val="003F3941"/>
    <w:rsid w:val="00400548"/>
    <w:rsid w:val="004368BC"/>
    <w:rsid w:val="004707BD"/>
    <w:rsid w:val="004A1847"/>
    <w:rsid w:val="004A305D"/>
    <w:rsid w:val="004B2AA1"/>
    <w:rsid w:val="004F21C4"/>
    <w:rsid w:val="004F685F"/>
    <w:rsid w:val="00533E8F"/>
    <w:rsid w:val="005566E8"/>
    <w:rsid w:val="0055709A"/>
    <w:rsid w:val="0056160B"/>
    <w:rsid w:val="00574867"/>
    <w:rsid w:val="005A6AA1"/>
    <w:rsid w:val="005B5D8B"/>
    <w:rsid w:val="005C15E8"/>
    <w:rsid w:val="005C5CDC"/>
    <w:rsid w:val="005D476C"/>
    <w:rsid w:val="00606852"/>
    <w:rsid w:val="006219F8"/>
    <w:rsid w:val="00665D70"/>
    <w:rsid w:val="0067196A"/>
    <w:rsid w:val="00706C16"/>
    <w:rsid w:val="00727370"/>
    <w:rsid w:val="00756841"/>
    <w:rsid w:val="00763C80"/>
    <w:rsid w:val="007649AB"/>
    <w:rsid w:val="00764FA1"/>
    <w:rsid w:val="007833AC"/>
    <w:rsid w:val="007B7171"/>
    <w:rsid w:val="007C3DC2"/>
    <w:rsid w:val="007C5EE9"/>
    <w:rsid w:val="007E5497"/>
    <w:rsid w:val="007F3C40"/>
    <w:rsid w:val="00806F5F"/>
    <w:rsid w:val="00820278"/>
    <w:rsid w:val="008843B6"/>
    <w:rsid w:val="00891928"/>
    <w:rsid w:val="008A446D"/>
    <w:rsid w:val="008F0EA7"/>
    <w:rsid w:val="00923EEF"/>
    <w:rsid w:val="009419F9"/>
    <w:rsid w:val="00961B09"/>
    <w:rsid w:val="00964D34"/>
    <w:rsid w:val="00965334"/>
    <w:rsid w:val="0097093E"/>
    <w:rsid w:val="009C71FA"/>
    <w:rsid w:val="009C72E7"/>
    <w:rsid w:val="009F6DEA"/>
    <w:rsid w:val="00A17F13"/>
    <w:rsid w:val="00A20739"/>
    <w:rsid w:val="00A33C78"/>
    <w:rsid w:val="00A45DF3"/>
    <w:rsid w:val="00A55D74"/>
    <w:rsid w:val="00A90287"/>
    <w:rsid w:val="00AB0ADB"/>
    <w:rsid w:val="00AD5E99"/>
    <w:rsid w:val="00AE393A"/>
    <w:rsid w:val="00AF3080"/>
    <w:rsid w:val="00B605B4"/>
    <w:rsid w:val="00B72CD3"/>
    <w:rsid w:val="00B72FFF"/>
    <w:rsid w:val="00BA015E"/>
    <w:rsid w:val="00BD15D4"/>
    <w:rsid w:val="00BD2509"/>
    <w:rsid w:val="00BD2E7A"/>
    <w:rsid w:val="00BD7F72"/>
    <w:rsid w:val="00C04FB3"/>
    <w:rsid w:val="00C330EB"/>
    <w:rsid w:val="00C754BE"/>
    <w:rsid w:val="00CB6357"/>
    <w:rsid w:val="00CC1B26"/>
    <w:rsid w:val="00D00E66"/>
    <w:rsid w:val="00D423A2"/>
    <w:rsid w:val="00D60ED1"/>
    <w:rsid w:val="00D63AC2"/>
    <w:rsid w:val="00D7383B"/>
    <w:rsid w:val="00DA231B"/>
    <w:rsid w:val="00E16408"/>
    <w:rsid w:val="00E20894"/>
    <w:rsid w:val="00E245AB"/>
    <w:rsid w:val="00E50AFE"/>
    <w:rsid w:val="00E771DC"/>
    <w:rsid w:val="00E8772A"/>
    <w:rsid w:val="00E90F6B"/>
    <w:rsid w:val="00E92C27"/>
    <w:rsid w:val="00EA0E3D"/>
    <w:rsid w:val="00EE1AA8"/>
    <w:rsid w:val="00F17039"/>
    <w:rsid w:val="00F204AB"/>
    <w:rsid w:val="00F27317"/>
    <w:rsid w:val="00F31EDC"/>
    <w:rsid w:val="00F5664F"/>
    <w:rsid w:val="00F613A2"/>
    <w:rsid w:val="00F76AFC"/>
    <w:rsid w:val="00FB5DD1"/>
    <w:rsid w:val="00FC2B5D"/>
    <w:rsid w:val="00FE00C2"/>
    <w:rsid w:val="00FF1449"/>
    <w:rsid w:val="03039DCC"/>
    <w:rsid w:val="1BA93D08"/>
    <w:rsid w:val="2BEBC948"/>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F27317"/>
    <w:pPr>
      <w:spacing w:line="240" w:lineRule="exact"/>
    </w:pPr>
    <w:rPr>
      <w:vertAlign w:val="superscript"/>
    </w:rPr>
  </w:style>
  <w:style w:type="character" w:customStyle="1" w:styleId="eop">
    <w:name w:val="eop"/>
    <w:basedOn w:val="Fuentedeprrafopredeter"/>
    <w:rsid w:val="00F27317"/>
  </w:style>
  <w:style w:type="paragraph" w:styleId="NormalWeb">
    <w:name w:val="Normal (Web)"/>
    <w:basedOn w:val="Normal"/>
    <w:link w:val="NormalWebCar"/>
    <w:uiPriority w:val="99"/>
    <w:unhideWhenUsed/>
    <w:rsid w:val="00F2731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F27317"/>
    <w:rPr>
      <w:rFonts w:ascii="Times New Roman" w:eastAsia="Times New Roman" w:hAnsi="Times New Roman" w:cs="Times New Roman"/>
      <w:sz w:val="24"/>
      <w:szCs w:val="24"/>
      <w:lang w:eastAsia="es-CO"/>
    </w:rPr>
  </w:style>
  <w:style w:type="paragraph" w:styleId="Revisin">
    <w:name w:val="Revision"/>
    <w:hidden/>
    <w:uiPriority w:val="99"/>
    <w:semiHidden/>
    <w:rsid w:val="00764F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Hector Luis Quiñones Quiñones</DisplayName>
        <AccountId>715</AccountId>
        <AccountType/>
      </UserInfo>
      <UserInfo>
        <DisplayName>Martha Alicia Romero Vargas</DisplayName>
        <AccountId>215</AccountId>
        <AccountType/>
      </UserInfo>
      <UserInfo>
        <DisplayName>Juan David Cárdenas Cabeza</DisplayName>
        <AccountId>659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E695292-15AD-40A3-AA17-EDC1A9630A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purl.org/dc/elements/1.1/"/>
    <ds:schemaRef ds:uri="a6cb9e4b-f1d1-4245-83ec-6cad768d538a"/>
    <ds:schemaRef ds:uri="http://www.w3.org/XML/1998/namespace"/>
    <ds:schemaRef ds:uri="http://purl.org/dc/terms/"/>
    <ds:schemaRef ds:uri="9d85dbaf-23eb-4e57-a637-93dcacc8b1a1"/>
    <ds:schemaRef ds:uri="http://schemas.microsoft.com/office/2006/documentManagement/types"/>
    <ds:schemaRef ds:uri="http://schemas.openxmlformats.org/package/2006/metadata/core-properties"/>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2589</Words>
  <Characters>14243</Characters>
  <Application>Microsoft Office Word</Application>
  <DocSecurity>0</DocSecurity>
  <Lines>118</Lines>
  <Paragraphs>33</Paragraphs>
  <ScaleCrop>false</ScaleCrop>
  <Company/>
  <LinksUpToDate>false</LinksUpToDate>
  <CharactersWithSpaces>16799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2024-10-01T02:57:00Z</dcterms:created>
  <dcterms:modified xsi:type="dcterms:W3CDTF">2024-10-01T02:57:00Z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